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7.xml" ContentType="application/vnd.openxmlformats-officedocument.wordprocessingml.header+xml"/>
  <Override PartName="/word/footer12.xml" ContentType="application/vnd.openxmlformats-officedocument.wordprocessingml.footer+xml"/>
  <Override PartName="/word/header8.xml" ContentType="application/vnd.openxmlformats-officedocument.wordprocessingml.header+xml"/>
  <Override PartName="/word/footer13.xml" ContentType="application/vnd.openxmlformats-officedocument.wordprocessingml.footer+xml"/>
  <Override PartName="/word/header9.xml" ContentType="application/vnd.openxmlformats-officedocument.wordprocessingml.header+xml"/>
  <Override PartName="/word/footer1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footer37.xml" ContentType="application/vnd.openxmlformats-officedocument.wordprocessingml.footer+xml"/>
  <Override PartName="/word/header38.xml" ContentType="application/vnd.openxmlformats-officedocument.wordprocessingml.head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footer40.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41.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42.xml" ContentType="application/vnd.openxmlformats-officedocument.wordprocessingml.footer+xml"/>
  <Override PartName="/word/header45.xml" ContentType="application/vnd.openxmlformats-officedocument.wordprocessingml.header+xml"/>
  <Override PartName="/word/footer43.xml" ContentType="application/vnd.openxmlformats-officedocument.wordprocessingml.footer+xml"/>
  <Override PartName="/word/header46.xml" ContentType="application/vnd.openxmlformats-officedocument.wordprocessingml.header+xml"/>
  <Override PartName="/word/footer44.xml" ContentType="application/vnd.openxmlformats-officedocument.wordprocessingml.footer+xml"/>
  <Override PartName="/word/header47.xml" ContentType="application/vnd.openxmlformats-officedocument.wordprocessingml.header+xml"/>
  <Override PartName="/word/footer45.xml" ContentType="application/vnd.openxmlformats-officedocument.wordprocessingml.footer+xml"/>
  <Override PartName="/word/header48.xml" ContentType="application/vnd.openxmlformats-officedocument.wordprocessingml.header+xml"/>
  <Override PartName="/word/footer46.xml" ContentType="application/vnd.openxmlformats-officedocument.wordprocessingml.footer+xml"/>
  <Override PartName="/word/header49.xml" ContentType="application/vnd.openxmlformats-officedocument.wordprocessingml.header+xml"/>
  <Override PartName="/word/footer47.xml" ContentType="application/vnd.openxmlformats-officedocument.wordprocessingml.footer+xml"/>
  <Override PartName="/word/header50.xml" ContentType="application/vnd.openxmlformats-officedocument.wordprocessingml.header+xml"/>
  <Override PartName="/word/footer48.xml" ContentType="application/vnd.openxmlformats-officedocument.wordprocessingml.footer+xml"/>
  <Override PartName="/word/header51.xml" ContentType="application/vnd.openxmlformats-officedocument.wordprocessingml.header+xml"/>
  <Override PartName="/word/footer49.xml" ContentType="application/vnd.openxmlformats-officedocument.wordprocessingml.footer+xml"/>
  <Override PartName="/word/header52.xml" ContentType="application/vnd.openxmlformats-officedocument.wordprocessingml.header+xml"/>
  <Override PartName="/word/footer50.xml" ContentType="application/vnd.openxmlformats-officedocument.wordprocessingml.footer+xml"/>
  <Override PartName="/word/header53.xml" ContentType="application/vnd.openxmlformats-officedocument.wordprocessingml.header+xml"/>
  <Override PartName="/word/footer51.xml" ContentType="application/vnd.openxmlformats-officedocument.wordprocessingml.footer+xml"/>
  <Override PartName="/word/header54.xml" ContentType="application/vnd.openxmlformats-officedocument.wordprocessingml.header+xml"/>
  <Override PartName="/word/footer52.xml" ContentType="application/vnd.openxmlformats-officedocument.wordprocessingml.footer+xml"/>
  <Override PartName="/word/header55.xml" ContentType="application/vnd.openxmlformats-officedocument.wordprocessingml.header+xml"/>
  <Override PartName="/word/footer53.xml" ContentType="application/vnd.openxmlformats-officedocument.wordprocessingml.footer+xml"/>
  <Override PartName="/word/header56.xml" ContentType="application/vnd.openxmlformats-officedocument.wordprocessingml.header+xml"/>
  <Override PartName="/word/footer54.xml" ContentType="application/vnd.openxmlformats-officedocument.wordprocessingml.footer+xml"/>
  <Override PartName="/word/header57.xml" ContentType="application/vnd.openxmlformats-officedocument.wordprocessingml.header+xml"/>
  <Override PartName="/word/footer55.xml" ContentType="application/vnd.openxmlformats-officedocument.wordprocessingml.footer+xml"/>
  <Override PartName="/word/header58.xml" ContentType="application/vnd.openxmlformats-officedocument.wordprocessingml.header+xml"/>
  <Override PartName="/word/header59.xml" ContentType="application/vnd.openxmlformats-officedocument.wordprocessingml.header+xml"/>
  <Override PartName="/word/footer56.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footer57.xml" ContentType="application/vnd.openxmlformats-officedocument.wordprocessingml.footer+xml"/>
  <Override PartName="/word/header62.xml" ContentType="application/vnd.openxmlformats-officedocument.wordprocessingml.header+xml"/>
  <Override PartName="/word/header63.xml" ContentType="application/vnd.openxmlformats-officedocument.wordprocessingml.header+xml"/>
  <Override PartName="/word/footer58.xml" ContentType="application/vnd.openxmlformats-officedocument.wordprocessingml.foot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footer59.xml" ContentType="application/vnd.openxmlformats-officedocument.wordprocessingml.foot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footer60.xml" ContentType="application/vnd.openxmlformats-officedocument.wordprocessingml.foot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footer61.xml" ContentType="application/vnd.openxmlformats-officedocument.wordprocessingml.footer+xml"/>
  <Override PartName="/word/header73.xml" ContentType="application/vnd.openxmlformats-officedocument.wordprocessingml.header+xml"/>
  <Override PartName="/word/header74.xml" ContentType="application/vnd.openxmlformats-officedocument.wordprocessingml.header+xml"/>
  <Override PartName="/word/footer62.xml" ContentType="application/vnd.openxmlformats-officedocument.wordprocessingml.footer+xml"/>
  <Override PartName="/word/header75.xml" ContentType="application/vnd.openxmlformats-officedocument.wordprocessingml.header+xml"/>
  <Override PartName="/word/footer63.xml" ContentType="application/vnd.openxmlformats-officedocument.wordprocessingml.footer+xml"/>
  <Override PartName="/word/header76.xml" ContentType="application/vnd.openxmlformats-officedocument.wordprocessingml.header+xml"/>
  <Override PartName="/word/footer64.xml" ContentType="application/vnd.openxmlformats-officedocument.wordprocessingml.footer+xml"/>
  <Override PartName="/word/header77.xml" ContentType="application/vnd.openxmlformats-officedocument.wordprocessingml.header+xml"/>
  <Override PartName="/word/footer65.xml" ContentType="application/vnd.openxmlformats-officedocument.wordprocessingml.footer+xml"/>
  <Override PartName="/word/header78.xml" ContentType="application/vnd.openxmlformats-officedocument.wordprocessingml.header+xml"/>
  <Override PartName="/word/footer66.xml" ContentType="application/vnd.openxmlformats-officedocument.wordprocessingml.footer+xml"/>
  <Override PartName="/word/header79.xml" ContentType="application/vnd.openxmlformats-officedocument.wordprocessingml.header+xml"/>
  <Override PartName="/word/footer67.xml" ContentType="application/vnd.openxmlformats-officedocument.wordprocessingml.footer+xml"/>
  <Override PartName="/word/header80.xml" ContentType="application/vnd.openxmlformats-officedocument.wordprocessingml.header+xml"/>
  <Override PartName="/word/footer68.xml" ContentType="application/vnd.openxmlformats-officedocument.wordprocessingml.footer+xml"/>
  <Override PartName="/word/header81.xml" ContentType="application/vnd.openxmlformats-officedocument.wordprocessingml.header+xml"/>
  <Override PartName="/word/footer69.xml" ContentType="application/vnd.openxmlformats-officedocument.wordprocessingml.footer+xml"/>
  <Override PartName="/word/header82.xml" ContentType="application/vnd.openxmlformats-officedocument.wordprocessingml.header+xml"/>
  <Override PartName="/word/footer70.xml" ContentType="application/vnd.openxmlformats-officedocument.wordprocessingml.footer+xml"/>
  <Override PartName="/word/header83.xml" ContentType="application/vnd.openxmlformats-officedocument.wordprocessingml.header+xml"/>
  <Override PartName="/word/footer71.xml" ContentType="application/vnd.openxmlformats-officedocument.wordprocessingml.footer+xml"/>
  <Override PartName="/word/header84.xml" ContentType="application/vnd.openxmlformats-officedocument.wordprocessingml.header+xml"/>
  <Override PartName="/word/footer72.xml" ContentType="application/vnd.openxmlformats-officedocument.wordprocessingml.footer+xml"/>
  <Override PartName="/word/header85.xml" ContentType="application/vnd.openxmlformats-officedocument.wordprocessingml.header+xml"/>
  <Override PartName="/word/footer73.xml" ContentType="application/vnd.openxmlformats-officedocument.wordprocessingml.footer+xml"/>
  <Override PartName="/word/header86.xml" ContentType="application/vnd.openxmlformats-officedocument.wordprocessingml.header+xml"/>
  <Override PartName="/word/footer74.xml" ContentType="application/vnd.openxmlformats-officedocument.wordprocessingml.footer+xml"/>
  <Override PartName="/word/header87.xml" ContentType="application/vnd.openxmlformats-officedocument.wordprocessingml.header+xml"/>
  <Override PartName="/word/footer75.xml" ContentType="application/vnd.openxmlformats-officedocument.wordprocessingml.footer+xml"/>
  <Override PartName="/word/header88.xml" ContentType="application/vnd.openxmlformats-officedocument.wordprocessingml.header+xml"/>
  <Override PartName="/word/footer76.xml" ContentType="application/vnd.openxmlformats-officedocument.wordprocessingml.footer+xml"/>
  <Override PartName="/word/footer77.xml" ContentType="application/vnd.openxmlformats-officedocument.wordprocessingml.footer+xml"/>
  <Override PartName="/word/header89.xml" ContentType="application/vnd.openxmlformats-officedocument.wordprocessingml.header+xml"/>
  <Override PartName="/word/footer78.xml" ContentType="application/vnd.openxmlformats-officedocument.wordprocessingml.footer+xml"/>
  <Override PartName="/word/header90.xml" ContentType="application/vnd.openxmlformats-officedocument.wordprocessingml.header+xml"/>
  <Override PartName="/word/footer79.xml" ContentType="application/vnd.openxmlformats-officedocument.wordprocessingml.footer+xml"/>
  <Override PartName="/word/header91.xml" ContentType="application/vnd.openxmlformats-officedocument.wordprocessingml.header+xml"/>
  <Override PartName="/word/footer80.xml" ContentType="application/vnd.openxmlformats-officedocument.wordprocessingml.footer+xml"/>
  <Override PartName="/word/header92.xml" ContentType="application/vnd.openxmlformats-officedocument.wordprocessingml.header+xml"/>
  <Override PartName="/word/footer81.xml" ContentType="application/vnd.openxmlformats-officedocument.wordprocessingml.footer+xml"/>
  <Override PartName="/word/header93.xml" ContentType="application/vnd.openxmlformats-officedocument.wordprocessingml.header+xml"/>
  <Override PartName="/word/footer82.xml" ContentType="application/vnd.openxmlformats-officedocument.wordprocessingml.footer+xml"/>
  <Override PartName="/word/header94.xml" ContentType="application/vnd.openxmlformats-officedocument.wordprocessingml.header+xml"/>
  <Override PartName="/word/footer83.xml" ContentType="application/vnd.openxmlformats-officedocument.wordprocessingml.footer+xml"/>
  <Override PartName="/word/header95.xml" ContentType="application/vnd.openxmlformats-officedocument.wordprocessingml.header+xml"/>
  <Override PartName="/word/header96.xml" ContentType="application/vnd.openxmlformats-officedocument.wordprocessingml.header+xml"/>
  <Override PartName="/word/footer84.xml" ContentType="application/vnd.openxmlformats-officedocument.wordprocessingml.footer+xml"/>
  <Override PartName="/word/header97.xml" ContentType="application/vnd.openxmlformats-officedocument.wordprocessingml.header+xml"/>
  <Override PartName="/word/footer85.xml" ContentType="application/vnd.openxmlformats-officedocument.wordprocessingml.footer+xml"/>
  <Override PartName="/word/header98.xml" ContentType="application/vnd.openxmlformats-officedocument.wordprocessingml.header+xml"/>
  <Override PartName="/word/footer86.xml" ContentType="application/vnd.openxmlformats-officedocument.wordprocessingml.footer+xml"/>
  <Override PartName="/word/header99.xml" ContentType="application/vnd.openxmlformats-officedocument.wordprocessingml.header+xml"/>
  <Override PartName="/word/footer87.xml" ContentType="application/vnd.openxmlformats-officedocument.wordprocessingml.footer+xml"/>
  <Override PartName="/word/header100.xml" ContentType="application/vnd.openxmlformats-officedocument.wordprocessingml.header+xml"/>
  <Override PartName="/word/footer88.xml" ContentType="application/vnd.openxmlformats-officedocument.wordprocessingml.footer+xml"/>
  <Override PartName="/word/header101.xml" ContentType="application/vnd.openxmlformats-officedocument.wordprocessingml.header+xml"/>
  <Override PartName="/word/footer89.xml" ContentType="application/vnd.openxmlformats-officedocument.wordprocessingml.footer+xml"/>
  <Override PartName="/word/header102.xml" ContentType="application/vnd.openxmlformats-officedocument.wordprocessingml.header+xml"/>
  <Override PartName="/word/footer9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0866F3" w14:textId="33E76FDF" w:rsidR="00465C06" w:rsidRDefault="004D64A3" w:rsidP="00BE3F24">
      <w:pPr>
        <w:rPr>
          <w:rFonts w:ascii="Arial" w:hAnsi="Arial"/>
          <w:b/>
          <w:sz w:val="56"/>
          <w:szCs w:val="56"/>
        </w:rPr>
      </w:pPr>
      <w:r>
        <w:rPr>
          <w:rFonts w:ascii="Arial" w:hAnsi="Arial"/>
          <w:b/>
          <w:noProof/>
          <w:sz w:val="56"/>
          <w:szCs w:val="56"/>
        </w:rPr>
        <mc:AlternateContent>
          <mc:Choice Requires="wps">
            <w:drawing>
              <wp:anchor distT="0" distB="0" distL="114300" distR="114300" simplePos="0" relativeHeight="251507200" behindDoc="0" locked="0" layoutInCell="0" allowOverlap="1" wp14:anchorId="5AD4C3B0" wp14:editId="56D5CF22">
                <wp:simplePos x="0" y="0"/>
                <wp:positionH relativeFrom="column">
                  <wp:posOffset>-428625</wp:posOffset>
                </wp:positionH>
                <wp:positionV relativeFrom="paragraph">
                  <wp:posOffset>-57150</wp:posOffset>
                </wp:positionV>
                <wp:extent cx="6572250" cy="0"/>
                <wp:effectExtent l="38100" t="38100" r="47625" b="38100"/>
                <wp:wrapNone/>
                <wp:docPr id="3309" name="Line 70" descr="Pavement and Geotechnical Design Guide Cover Page Image and Log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72250" cy="0"/>
                        </a:xfrm>
                        <a:prstGeom prst="line">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9C895C" id="Line 70" o:spid="_x0000_s1026" alt="Pavement and Geotechnical Design Guide Cover Page Image and Logo" style="position:absolute;z-index:2515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75pt,-4.5pt" to="483.7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" o:allowincell="f" strokeweight="6pt"/>
            </w:pict>
          </mc:Fallback>
        </mc:AlternateContent>
      </w:r>
      <w:r w:rsidR="002744D8" w:rsidRPr="00F84231">
        <w:rPr>
          <w:rFonts w:ascii="Arial" w:hAnsi="Arial"/>
          <w:b/>
          <w:sz w:val="56"/>
          <w:szCs w:val="56"/>
        </w:rPr>
        <w:t xml:space="preserve">Pavement </w:t>
      </w:r>
      <w:r w:rsidR="00F84231" w:rsidRPr="00F84231">
        <w:rPr>
          <w:rFonts w:ascii="Arial" w:hAnsi="Arial"/>
          <w:b/>
          <w:sz w:val="56"/>
          <w:szCs w:val="56"/>
        </w:rPr>
        <w:t>&amp; Geotechnical</w:t>
      </w:r>
    </w:p>
    <w:p w14:paraId="23E9D429" w14:textId="0F080677" w:rsidR="002744D8" w:rsidRPr="00E93CB4" w:rsidRDefault="002744D8" w:rsidP="00BE3F24">
      <w:pPr>
        <w:rPr>
          <w:rFonts w:ascii="Arial" w:hAnsi="Arial"/>
          <w:b/>
          <w:sz w:val="56"/>
          <w:szCs w:val="56"/>
        </w:rPr>
      </w:pPr>
      <w:r w:rsidRPr="00E93CB4">
        <w:rPr>
          <w:rFonts w:ascii="Arial" w:hAnsi="Arial"/>
          <w:b/>
          <w:sz w:val="56"/>
          <w:szCs w:val="56"/>
        </w:rPr>
        <w:t>Design Gu</w:t>
      </w:r>
      <w:r w:rsidR="00E33229">
        <w:rPr>
          <w:rFonts w:ascii="Arial" w:hAnsi="Arial"/>
          <w:b/>
          <w:sz w:val="56"/>
          <w:szCs w:val="56"/>
        </w:rPr>
        <w:t>i</w:t>
      </w:r>
      <w:r w:rsidRPr="00E93CB4">
        <w:rPr>
          <w:rFonts w:ascii="Arial" w:hAnsi="Arial"/>
          <w:b/>
          <w:sz w:val="56"/>
          <w:szCs w:val="56"/>
        </w:rPr>
        <w:t>de</w:t>
      </w:r>
    </w:p>
    <w:p w14:paraId="7B070A35" w14:textId="5459650E" w:rsidR="002744D8" w:rsidRDefault="003E36E2" w:rsidP="00BE3F24">
      <w:pPr>
        <w:rPr>
          <w:rFonts w:ascii="Arial" w:hAnsi="Arial"/>
          <w:sz w:val="36"/>
        </w:rPr>
      </w:pPr>
      <w:r w:rsidRPr="00E93CB4">
        <w:rPr>
          <w:rFonts w:ascii="Arial" w:hAnsi="Arial"/>
          <w:noProof/>
          <w:sz w:val="24"/>
        </w:rPr>
        <w:drawing>
          <wp:anchor distT="0" distB="0" distL="114300" distR="114300" simplePos="0" relativeHeight="251506176" behindDoc="0" locked="0" layoutInCell="1" allowOverlap="1" wp14:anchorId="2CF2D352" wp14:editId="25089F7D">
            <wp:simplePos x="0" y="0"/>
            <wp:positionH relativeFrom="column">
              <wp:posOffset>-339725</wp:posOffset>
            </wp:positionH>
            <wp:positionV relativeFrom="paragraph">
              <wp:posOffset>233680</wp:posOffset>
            </wp:positionV>
            <wp:extent cx="6410960" cy="3656965"/>
            <wp:effectExtent l="0" t="0" r="8890" b="635"/>
            <wp:wrapNone/>
            <wp:docPr id="975" name="Picture 975" descr="Pavement &amp; Geotechnical Design Guide Cover Page Illustration">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Picture 975" descr="Pavement &amp; Geotechnical Design Guide Cover Page Illustration">
                      <a:extLst>
                        <a:ext uri="{C183D7F6-B498-43B3-948B-1728B52AA6E4}">
                          <adec:decorative xmlns:adec="http://schemas.microsoft.com/office/drawing/2017/decorative" val="0"/>
                        </a:ext>
                      </a:extLst>
                    </pic:cNvPr>
                    <pic:cNvPicPr>
                      <a:picLocks noChangeAspect="1" noChangeArrowheads="1"/>
                    </pic:cNvPicPr>
                  </pic:nvPicPr>
                  <pic:blipFill>
                    <a:blip r:embed="rId8" cstate="print"/>
                    <a:srcRect/>
                    <a:stretch>
                      <a:fillRect/>
                    </a:stretch>
                  </pic:blipFill>
                  <pic:spPr bwMode="auto">
                    <a:xfrm>
                      <a:off x="0" y="0"/>
                      <a:ext cx="6410960" cy="3656965"/>
                    </a:xfrm>
                    <a:prstGeom prst="rect">
                      <a:avLst/>
                    </a:prstGeom>
                    <a:noFill/>
                    <a:ln w="9525">
                      <a:noFill/>
                      <a:miter lim="800000"/>
                      <a:headEnd/>
                      <a:tailEnd/>
                    </a:ln>
                    <a:effectLst/>
                  </pic:spPr>
                </pic:pic>
              </a:graphicData>
            </a:graphic>
          </wp:anchor>
        </w:drawing>
      </w:r>
      <w:r w:rsidR="00C53D1A">
        <w:rPr>
          <w:rFonts w:ascii="Arial" w:hAnsi="Arial"/>
          <w:sz w:val="36"/>
        </w:rPr>
        <w:t>J</w:t>
      </w:r>
      <w:r w:rsidR="00487FF2">
        <w:rPr>
          <w:rFonts w:ascii="Arial" w:hAnsi="Arial"/>
          <w:sz w:val="36"/>
        </w:rPr>
        <w:t>anuary 14</w:t>
      </w:r>
      <w:r w:rsidR="0062091A">
        <w:rPr>
          <w:rFonts w:ascii="Arial" w:hAnsi="Arial"/>
          <w:sz w:val="36"/>
        </w:rPr>
        <w:t>, 202</w:t>
      </w:r>
      <w:r w:rsidR="00487FF2">
        <w:rPr>
          <w:rFonts w:ascii="Arial" w:hAnsi="Arial"/>
          <w:sz w:val="36"/>
        </w:rPr>
        <w:t>6</w:t>
      </w:r>
    </w:p>
    <w:p w14:paraId="5C7CE164" w14:textId="6427D4B6" w:rsidR="002744D8" w:rsidRPr="00FD535D" w:rsidRDefault="002744D8" w:rsidP="00BE3F24">
      <w:pPr>
        <w:rPr>
          <w:rFonts w:ascii="Arial" w:hAnsi="Arial"/>
          <w:sz w:val="24"/>
        </w:rPr>
      </w:pPr>
    </w:p>
    <w:p w14:paraId="3DDF9185" w14:textId="02F2BD1B" w:rsidR="008D3DE4" w:rsidRPr="00AF683B" w:rsidRDefault="008D3DE4" w:rsidP="00BE3F24">
      <w:pPr>
        <w:rPr>
          <w:rFonts w:ascii="Arial" w:hAnsi="Arial"/>
          <w:sz w:val="36"/>
        </w:rPr>
      </w:pPr>
    </w:p>
    <w:p w14:paraId="44DE6D23" w14:textId="2C97748F" w:rsidR="002744D8" w:rsidRDefault="002744D8" w:rsidP="00BE3F24">
      <w:pPr>
        <w:rPr>
          <w:rFonts w:ascii="Arial" w:hAnsi="Arial"/>
          <w:sz w:val="36"/>
        </w:rPr>
      </w:pPr>
    </w:p>
    <w:p w14:paraId="240DBF0B" w14:textId="77777777" w:rsidR="00BA5FBB" w:rsidRDefault="00BA5FBB" w:rsidP="00BE3F24">
      <w:pPr>
        <w:rPr>
          <w:rFonts w:ascii="Arial" w:hAnsi="Arial"/>
          <w:sz w:val="36"/>
        </w:rPr>
      </w:pPr>
    </w:p>
    <w:p w14:paraId="3E66CEFB" w14:textId="76ED1021" w:rsidR="00BA5FBB" w:rsidRDefault="00BA5FBB" w:rsidP="00BE3F24">
      <w:pPr>
        <w:rPr>
          <w:rFonts w:ascii="Arial" w:hAnsi="Arial"/>
          <w:sz w:val="36"/>
        </w:rPr>
      </w:pPr>
    </w:p>
    <w:p w14:paraId="091F3FB0" w14:textId="705E6D78" w:rsidR="00BA5FBB" w:rsidRDefault="001B1040" w:rsidP="00BE3F24">
      <w:pPr>
        <w:rPr>
          <w:rFonts w:ascii="Arial" w:hAnsi="Arial"/>
          <w:sz w:val="36"/>
        </w:rPr>
      </w:pPr>
      <w:r>
        <w:rPr>
          <w:noProof/>
        </w:rPr>
        <w:drawing>
          <wp:anchor distT="0" distB="0" distL="114300" distR="114300" simplePos="0" relativeHeight="251477504" behindDoc="0" locked="0" layoutInCell="1" allowOverlap="1" wp14:anchorId="28BF9881" wp14:editId="383C566B">
            <wp:simplePos x="0" y="0"/>
            <wp:positionH relativeFrom="column">
              <wp:posOffset>-371475</wp:posOffset>
            </wp:positionH>
            <wp:positionV relativeFrom="paragraph">
              <wp:posOffset>109855</wp:posOffset>
            </wp:positionV>
            <wp:extent cx="3145155" cy="1950085"/>
            <wp:effectExtent l="19050" t="0" r="0" b="0"/>
            <wp:wrapNone/>
            <wp:docPr id="737" name="Picture 737" descr="Falling Weight Deflectomet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Picture 737" descr="Falling Weight Deflectometer Image"/>
                    <pic:cNvPicPr>
                      <a:picLocks noChangeAspect="1" noChangeArrowheads="1"/>
                    </pic:cNvPicPr>
                  </pic:nvPicPr>
                  <pic:blipFill>
                    <a:blip r:embed="rId9" cstate="print"/>
                    <a:srcRect/>
                    <a:stretch>
                      <a:fillRect/>
                    </a:stretch>
                  </pic:blipFill>
                  <pic:spPr bwMode="auto">
                    <a:xfrm>
                      <a:off x="0" y="0"/>
                      <a:ext cx="3145155" cy="1950085"/>
                    </a:xfrm>
                    <a:prstGeom prst="rect">
                      <a:avLst/>
                    </a:prstGeom>
                    <a:noFill/>
                    <a:ln w="9525">
                      <a:noFill/>
                      <a:miter lim="800000"/>
                      <a:headEnd/>
                      <a:tailEnd/>
                    </a:ln>
                  </pic:spPr>
                </pic:pic>
              </a:graphicData>
            </a:graphic>
          </wp:anchor>
        </w:drawing>
      </w:r>
    </w:p>
    <w:p w14:paraId="0EDB07E0" w14:textId="77777777" w:rsidR="00CD4085" w:rsidRDefault="00CD4085" w:rsidP="00BE3F24">
      <w:pPr>
        <w:rPr>
          <w:rFonts w:ascii="Arial" w:hAnsi="Arial"/>
          <w:sz w:val="36"/>
        </w:rPr>
      </w:pPr>
    </w:p>
    <w:p w14:paraId="03C9D40D" w14:textId="77777777" w:rsidR="00CD4085" w:rsidRDefault="00CD4085" w:rsidP="00BE3F24">
      <w:pPr>
        <w:rPr>
          <w:rFonts w:ascii="Arial" w:hAnsi="Arial"/>
          <w:sz w:val="36"/>
        </w:rPr>
      </w:pPr>
    </w:p>
    <w:p w14:paraId="70D8A89F" w14:textId="77777777" w:rsidR="00CD4085" w:rsidRDefault="00CD4085" w:rsidP="00BE3F24">
      <w:pPr>
        <w:rPr>
          <w:rFonts w:ascii="Arial" w:hAnsi="Arial"/>
          <w:sz w:val="36"/>
        </w:rPr>
      </w:pPr>
    </w:p>
    <w:p w14:paraId="42C9DAEA" w14:textId="77777777" w:rsidR="00CD4085" w:rsidRDefault="00CD4085" w:rsidP="00BE3F24">
      <w:pPr>
        <w:rPr>
          <w:rFonts w:ascii="Arial" w:hAnsi="Arial"/>
          <w:sz w:val="36"/>
        </w:rPr>
      </w:pPr>
    </w:p>
    <w:p w14:paraId="54E02649" w14:textId="77777777" w:rsidR="00CD4085" w:rsidRDefault="00CD4085" w:rsidP="00BE3F24">
      <w:pPr>
        <w:rPr>
          <w:rFonts w:ascii="Arial" w:hAnsi="Arial"/>
          <w:sz w:val="36"/>
        </w:rPr>
      </w:pPr>
    </w:p>
    <w:p w14:paraId="3629B236" w14:textId="77777777" w:rsidR="00CD4085" w:rsidRDefault="00CD4085" w:rsidP="00BE3F24">
      <w:pPr>
        <w:rPr>
          <w:rFonts w:ascii="Arial" w:hAnsi="Arial"/>
          <w:sz w:val="36"/>
        </w:rPr>
      </w:pPr>
    </w:p>
    <w:p w14:paraId="78A68679" w14:textId="32B6DF47" w:rsidR="00CD4085" w:rsidRDefault="00CD4085" w:rsidP="00BE3F24">
      <w:pPr>
        <w:rPr>
          <w:rFonts w:ascii="Arial" w:hAnsi="Arial"/>
          <w:sz w:val="36"/>
        </w:rPr>
      </w:pPr>
    </w:p>
    <w:p w14:paraId="2781CD64" w14:textId="77777777" w:rsidR="00CD4085" w:rsidRDefault="00CD4085" w:rsidP="00BE3F24">
      <w:pPr>
        <w:rPr>
          <w:rFonts w:ascii="Arial" w:hAnsi="Arial"/>
          <w:sz w:val="36"/>
        </w:rPr>
      </w:pPr>
    </w:p>
    <w:p w14:paraId="39B12B81" w14:textId="77777777" w:rsidR="00CD4085" w:rsidRDefault="00CD4085" w:rsidP="00BE3F24">
      <w:pPr>
        <w:rPr>
          <w:rFonts w:ascii="Arial" w:hAnsi="Arial"/>
          <w:sz w:val="36"/>
        </w:rPr>
      </w:pPr>
    </w:p>
    <w:p w14:paraId="5CDEB3DA" w14:textId="2CA06E6D" w:rsidR="00CD4085" w:rsidRDefault="00CD4085" w:rsidP="00BE3F24">
      <w:pPr>
        <w:rPr>
          <w:rFonts w:ascii="Arial" w:hAnsi="Arial"/>
          <w:sz w:val="36"/>
        </w:rPr>
      </w:pPr>
    </w:p>
    <w:p w14:paraId="66A690AE" w14:textId="77777777" w:rsidR="00CD4085" w:rsidRDefault="00CD4085" w:rsidP="00BE3F24">
      <w:pPr>
        <w:rPr>
          <w:rFonts w:ascii="Arial" w:hAnsi="Arial"/>
          <w:sz w:val="36"/>
        </w:rPr>
      </w:pPr>
    </w:p>
    <w:p w14:paraId="1F093EED" w14:textId="77777777" w:rsidR="00CD4085" w:rsidRDefault="00CD4085" w:rsidP="00BE3F24">
      <w:pPr>
        <w:rPr>
          <w:rFonts w:ascii="Arial" w:hAnsi="Arial"/>
          <w:sz w:val="36"/>
        </w:rPr>
      </w:pPr>
    </w:p>
    <w:p w14:paraId="40BFCA29" w14:textId="77777777" w:rsidR="00CD4085" w:rsidRDefault="00CD4085" w:rsidP="00BE3F24">
      <w:pPr>
        <w:rPr>
          <w:rFonts w:ascii="Arial" w:hAnsi="Arial"/>
          <w:sz w:val="36"/>
        </w:rPr>
      </w:pPr>
    </w:p>
    <w:p w14:paraId="18BB6C5A" w14:textId="77777777" w:rsidR="00CD4085" w:rsidRDefault="00CD4085" w:rsidP="00BE3F24">
      <w:pPr>
        <w:rPr>
          <w:rFonts w:ascii="Arial" w:hAnsi="Arial"/>
          <w:sz w:val="36"/>
        </w:rPr>
      </w:pPr>
    </w:p>
    <w:p w14:paraId="693869EC" w14:textId="77777777" w:rsidR="00CD4085" w:rsidRDefault="00CD4085" w:rsidP="00BE3F24">
      <w:pPr>
        <w:rPr>
          <w:rFonts w:ascii="Arial" w:hAnsi="Arial"/>
          <w:sz w:val="36"/>
        </w:rPr>
      </w:pPr>
    </w:p>
    <w:p w14:paraId="34446989" w14:textId="77777777" w:rsidR="00BA5FBB" w:rsidRDefault="00BA5FBB" w:rsidP="00BE3F24">
      <w:pPr>
        <w:rPr>
          <w:rFonts w:ascii="Arial" w:hAnsi="Arial"/>
          <w:sz w:val="24"/>
        </w:rPr>
      </w:pPr>
    </w:p>
    <w:p w14:paraId="4E1C5260" w14:textId="77777777" w:rsidR="00BA5FBB" w:rsidRDefault="00BA5FBB" w:rsidP="00BE3F24">
      <w:pPr>
        <w:rPr>
          <w:rFonts w:ascii="Arial" w:hAnsi="Arial"/>
          <w:sz w:val="24"/>
        </w:rPr>
      </w:pPr>
    </w:p>
    <w:p w14:paraId="2F91158D" w14:textId="62F97B2A" w:rsidR="002744D8" w:rsidRDefault="002744D8" w:rsidP="00BE3F24">
      <w:pPr>
        <w:rPr>
          <w:rFonts w:ascii="Arial" w:hAnsi="Arial"/>
          <w:sz w:val="36"/>
        </w:rPr>
      </w:pPr>
      <w:r>
        <w:rPr>
          <w:rFonts w:ascii="Arial" w:hAnsi="Arial"/>
          <w:sz w:val="24"/>
        </w:rPr>
        <w:t xml:space="preserve">Prepared by the Pavement </w:t>
      </w:r>
      <w:r w:rsidR="00CB42DD">
        <w:rPr>
          <w:rFonts w:ascii="Arial" w:hAnsi="Arial"/>
          <w:sz w:val="24"/>
        </w:rPr>
        <w:t xml:space="preserve">and Geotechnical </w:t>
      </w:r>
      <w:r>
        <w:rPr>
          <w:rFonts w:ascii="Arial" w:hAnsi="Arial"/>
          <w:sz w:val="24"/>
        </w:rPr>
        <w:t>Division.</w:t>
      </w:r>
    </w:p>
    <w:p w14:paraId="6BF4928B" w14:textId="048A83F0" w:rsidR="002744D8" w:rsidRDefault="0093467E" w:rsidP="00BE3F24">
      <w:pPr>
        <w:rPr>
          <w:rFonts w:ascii="Arial" w:hAnsi="Arial"/>
          <w:sz w:val="36"/>
        </w:rPr>
        <w:sectPr w:rsidR="002744D8">
          <w:footerReference w:type="even" r:id="rId10"/>
          <w:footerReference w:type="default" r:id="rId11"/>
          <w:type w:val="continuous"/>
          <w:pgSz w:w="12240" w:h="15840" w:code="1"/>
          <w:pgMar w:top="1440" w:right="1800" w:bottom="1440" w:left="1800" w:header="432" w:footer="720" w:gutter="0"/>
          <w:pgNumType w:start="0" w:chapStyle="1"/>
          <w:cols w:space="720"/>
          <w:titlePg/>
        </w:sectPr>
      </w:pPr>
      <w:r>
        <w:rPr>
          <w:noProof/>
        </w:rPr>
        <w:t xml:space="preserve">                                                                                                                       </w:t>
      </w:r>
      <w:r>
        <w:rPr>
          <w:noProof/>
        </w:rPr>
        <w:drawing>
          <wp:inline distT="0" distB="0" distL="0" distR="0" wp14:anchorId="36340F46" wp14:editId="504BAD71">
            <wp:extent cx="1690370" cy="1116330"/>
            <wp:effectExtent l="0" t="0" r="5080" b="7620"/>
            <wp:docPr id="1464" name="Picture 1464" descr="MDOT SHA Logo">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 name="Picture 1464" descr="MDOT SHA Logo">
                      <a:extLst>
                        <a:ext uri="{C183D7F6-B498-43B3-948B-1728B52AA6E4}">
                          <adec:decorative xmlns:adec="http://schemas.microsoft.com/office/drawing/2017/decorative" val="0"/>
                        </a:ext>
                      </a:extLst>
                    </pic:cNvPr>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698468" cy="1121678"/>
                    </a:xfrm>
                    <a:prstGeom prst="rect">
                      <a:avLst/>
                    </a:prstGeom>
                    <a:noFill/>
                    <a:ln>
                      <a:noFill/>
                    </a:ln>
                  </pic:spPr>
                </pic:pic>
              </a:graphicData>
            </a:graphic>
          </wp:inline>
        </w:drawing>
      </w:r>
    </w:p>
    <w:p w14:paraId="20A6D3E9" w14:textId="75D21D2D" w:rsidR="002744D8" w:rsidRDefault="002744D8" w:rsidP="00BE3F24">
      <w:pPr>
        <w:rPr>
          <w:rFonts w:ascii="Arial" w:hAnsi="Arial"/>
          <w:sz w:val="36"/>
        </w:rPr>
      </w:pPr>
      <w:r>
        <w:rPr>
          <w:rFonts w:ascii="Arial" w:hAnsi="Arial"/>
          <w:sz w:val="36"/>
        </w:rPr>
        <w:lastRenderedPageBreak/>
        <w:t>Forward</w:t>
      </w:r>
    </w:p>
    <w:p w14:paraId="3B1C5D66" w14:textId="135ACA61" w:rsidR="002744D8" w:rsidRDefault="002744D8" w:rsidP="00BE3F24">
      <w:pPr>
        <w:rPr>
          <w:rFonts w:ascii="Arial" w:hAnsi="Arial"/>
        </w:rPr>
      </w:pPr>
    </w:p>
    <w:p w14:paraId="4A37DE08" w14:textId="21F54108" w:rsidR="002744D8" w:rsidRDefault="002744D8" w:rsidP="00BE3F24">
      <w:pPr>
        <w:jc w:val="both"/>
        <w:rPr>
          <w:rFonts w:ascii="Arial" w:hAnsi="Arial"/>
          <w:sz w:val="22"/>
        </w:rPr>
      </w:pPr>
      <w:r>
        <w:rPr>
          <w:rFonts w:ascii="Arial" w:hAnsi="Arial"/>
          <w:sz w:val="22"/>
        </w:rPr>
        <w:t xml:space="preserve">There are many different approaches that are used in the pavement industry to </w:t>
      </w:r>
      <w:r w:rsidR="00417FCD">
        <w:rPr>
          <w:rFonts w:ascii="Arial" w:hAnsi="Arial"/>
          <w:sz w:val="22"/>
        </w:rPr>
        <w:t xml:space="preserve">perform pavement </w:t>
      </w:r>
      <w:r w:rsidR="00F84231">
        <w:rPr>
          <w:rFonts w:ascii="Arial" w:hAnsi="Arial"/>
          <w:sz w:val="22"/>
        </w:rPr>
        <w:t xml:space="preserve">and pavement-related geotechnical </w:t>
      </w:r>
      <w:r w:rsidR="00417FCD">
        <w:rPr>
          <w:rFonts w:ascii="Arial" w:hAnsi="Arial"/>
          <w:sz w:val="22"/>
        </w:rPr>
        <w:t xml:space="preserve">engineering functions </w:t>
      </w:r>
      <w:r>
        <w:rPr>
          <w:rFonts w:ascii="Arial" w:hAnsi="Arial"/>
          <w:sz w:val="22"/>
        </w:rPr>
        <w:t xml:space="preserve">for new roadways and the </w:t>
      </w:r>
      <w:r w:rsidR="006D24C8">
        <w:rPr>
          <w:rFonts w:ascii="Arial" w:hAnsi="Arial"/>
          <w:sz w:val="22"/>
        </w:rPr>
        <w:t>preservation/</w:t>
      </w:r>
      <w:r>
        <w:rPr>
          <w:rFonts w:ascii="Arial" w:hAnsi="Arial"/>
          <w:sz w:val="22"/>
        </w:rPr>
        <w:t xml:space="preserve">rehabilitation of existing roadways.  </w:t>
      </w:r>
      <w:r w:rsidR="00FF156E">
        <w:rPr>
          <w:rFonts w:ascii="Arial" w:hAnsi="Arial"/>
          <w:sz w:val="22"/>
        </w:rPr>
        <w:t>Most of</w:t>
      </w:r>
      <w:r>
        <w:rPr>
          <w:rFonts w:ascii="Arial" w:hAnsi="Arial"/>
          <w:sz w:val="22"/>
        </w:rPr>
        <w:t xml:space="preserve"> these existing approaches are based on experience of the individuals </w:t>
      </w:r>
      <w:r w:rsidR="00417FCD">
        <w:rPr>
          <w:rFonts w:ascii="Arial" w:hAnsi="Arial"/>
          <w:sz w:val="22"/>
        </w:rPr>
        <w:t>performing those duties</w:t>
      </w:r>
      <w:r>
        <w:rPr>
          <w:rFonts w:ascii="Arial" w:hAnsi="Arial"/>
          <w:sz w:val="22"/>
        </w:rPr>
        <w:t xml:space="preserve">.  There are very limited documented sources of information for </w:t>
      </w:r>
      <w:r w:rsidR="00417FCD">
        <w:rPr>
          <w:rFonts w:ascii="Arial" w:hAnsi="Arial"/>
          <w:sz w:val="22"/>
        </w:rPr>
        <w:t>performing production</w:t>
      </w:r>
      <w:r w:rsidR="006D24C8">
        <w:rPr>
          <w:rFonts w:ascii="Arial" w:hAnsi="Arial"/>
          <w:sz w:val="22"/>
        </w:rPr>
        <w:t>-level</w:t>
      </w:r>
      <w:r w:rsidR="00417FCD">
        <w:rPr>
          <w:rFonts w:ascii="Arial" w:hAnsi="Arial"/>
          <w:sz w:val="22"/>
        </w:rPr>
        <w:t xml:space="preserve"> </w:t>
      </w:r>
      <w:r>
        <w:rPr>
          <w:rFonts w:ascii="Arial" w:hAnsi="Arial"/>
          <w:sz w:val="22"/>
        </w:rPr>
        <w:t>pavement</w:t>
      </w:r>
      <w:r w:rsidR="00417FCD">
        <w:rPr>
          <w:rFonts w:ascii="Arial" w:hAnsi="Arial"/>
          <w:sz w:val="22"/>
        </w:rPr>
        <w:t xml:space="preserve"> engineering functions</w:t>
      </w:r>
      <w:r>
        <w:rPr>
          <w:rFonts w:ascii="Arial" w:hAnsi="Arial"/>
          <w:sz w:val="22"/>
        </w:rPr>
        <w:t xml:space="preserve">.  </w:t>
      </w:r>
      <w:r w:rsidR="00EC4AED">
        <w:rPr>
          <w:rFonts w:ascii="Arial" w:hAnsi="Arial"/>
          <w:sz w:val="22"/>
        </w:rPr>
        <w:t xml:space="preserve">In the few </w:t>
      </w:r>
      <w:r>
        <w:rPr>
          <w:rFonts w:ascii="Arial" w:hAnsi="Arial"/>
          <w:sz w:val="22"/>
        </w:rPr>
        <w:t>documented sources</w:t>
      </w:r>
      <w:r w:rsidR="006D24C8">
        <w:rPr>
          <w:rFonts w:ascii="Arial" w:hAnsi="Arial"/>
          <w:sz w:val="22"/>
        </w:rPr>
        <w:t>,</w:t>
      </w:r>
      <w:r>
        <w:rPr>
          <w:rFonts w:ascii="Arial" w:hAnsi="Arial"/>
          <w:sz w:val="22"/>
        </w:rPr>
        <w:t xml:space="preserve"> </w:t>
      </w:r>
      <w:r w:rsidR="00EC4AED">
        <w:rPr>
          <w:rFonts w:ascii="Arial" w:hAnsi="Arial"/>
          <w:sz w:val="22"/>
        </w:rPr>
        <w:t xml:space="preserve">the </w:t>
      </w:r>
      <w:r>
        <w:rPr>
          <w:rFonts w:ascii="Arial" w:hAnsi="Arial"/>
          <w:sz w:val="22"/>
        </w:rPr>
        <w:t xml:space="preserve">information </w:t>
      </w:r>
      <w:r w:rsidR="00EC4AED">
        <w:rPr>
          <w:rFonts w:ascii="Arial" w:hAnsi="Arial"/>
          <w:sz w:val="22"/>
        </w:rPr>
        <w:t xml:space="preserve">is </w:t>
      </w:r>
      <w:r>
        <w:rPr>
          <w:rFonts w:ascii="Arial" w:hAnsi="Arial"/>
          <w:sz w:val="22"/>
        </w:rPr>
        <w:t xml:space="preserve">typically not </w:t>
      </w:r>
      <w:r w:rsidR="00417FCD">
        <w:rPr>
          <w:rFonts w:ascii="Arial" w:hAnsi="Arial"/>
          <w:sz w:val="22"/>
        </w:rPr>
        <w:t xml:space="preserve">presented </w:t>
      </w:r>
      <w:r>
        <w:rPr>
          <w:rFonts w:ascii="Arial" w:hAnsi="Arial"/>
          <w:sz w:val="22"/>
        </w:rPr>
        <w:t xml:space="preserve">in a procedural manner and </w:t>
      </w:r>
      <w:r w:rsidR="00417FCD">
        <w:rPr>
          <w:rFonts w:ascii="Arial" w:hAnsi="Arial"/>
          <w:sz w:val="22"/>
        </w:rPr>
        <w:t xml:space="preserve">there is </w:t>
      </w:r>
      <w:r w:rsidR="00EC4AED">
        <w:rPr>
          <w:rFonts w:ascii="Arial" w:hAnsi="Arial"/>
          <w:sz w:val="22"/>
        </w:rPr>
        <w:t xml:space="preserve">an </w:t>
      </w:r>
      <w:r>
        <w:rPr>
          <w:rFonts w:ascii="Arial" w:hAnsi="Arial"/>
          <w:sz w:val="22"/>
        </w:rPr>
        <w:t>expect</w:t>
      </w:r>
      <w:r w:rsidR="00EC4AED">
        <w:rPr>
          <w:rFonts w:ascii="Arial" w:hAnsi="Arial"/>
          <w:sz w:val="22"/>
        </w:rPr>
        <w:t xml:space="preserve">ation from the author that </w:t>
      </w:r>
      <w:r>
        <w:rPr>
          <w:rFonts w:ascii="Arial" w:hAnsi="Arial"/>
          <w:sz w:val="22"/>
        </w:rPr>
        <w:t xml:space="preserve">the reader </w:t>
      </w:r>
      <w:r w:rsidR="00EC4AED">
        <w:rPr>
          <w:rFonts w:ascii="Arial" w:hAnsi="Arial"/>
          <w:sz w:val="22"/>
        </w:rPr>
        <w:t xml:space="preserve">is </w:t>
      </w:r>
      <w:r>
        <w:rPr>
          <w:rFonts w:ascii="Arial" w:hAnsi="Arial"/>
          <w:sz w:val="22"/>
        </w:rPr>
        <w:t xml:space="preserve">an experienced </w:t>
      </w:r>
      <w:r w:rsidR="00EC4AED">
        <w:rPr>
          <w:rFonts w:ascii="Arial" w:hAnsi="Arial"/>
          <w:sz w:val="22"/>
        </w:rPr>
        <w:t xml:space="preserve">and knowledgeable </w:t>
      </w:r>
      <w:r w:rsidR="00417FCD">
        <w:rPr>
          <w:rFonts w:ascii="Arial" w:hAnsi="Arial"/>
          <w:sz w:val="22"/>
        </w:rPr>
        <w:t xml:space="preserve">pavement </w:t>
      </w:r>
      <w:r w:rsidR="00EC4AED">
        <w:rPr>
          <w:rFonts w:ascii="Arial" w:hAnsi="Arial"/>
          <w:sz w:val="22"/>
        </w:rPr>
        <w:t>engineer</w:t>
      </w:r>
      <w:r>
        <w:rPr>
          <w:rFonts w:ascii="Arial" w:hAnsi="Arial"/>
          <w:sz w:val="22"/>
        </w:rPr>
        <w:t xml:space="preserve">.  </w:t>
      </w:r>
    </w:p>
    <w:p w14:paraId="5C4DB9CA" w14:textId="77777777" w:rsidR="00AC20C3" w:rsidRDefault="00AC20C3" w:rsidP="00BE3F24">
      <w:pPr>
        <w:jc w:val="both"/>
        <w:rPr>
          <w:rFonts w:ascii="Arial" w:hAnsi="Arial"/>
          <w:sz w:val="22"/>
        </w:rPr>
      </w:pPr>
    </w:p>
    <w:p w14:paraId="2CDD4EE7" w14:textId="15C74807" w:rsidR="006D24C8" w:rsidRDefault="00246589" w:rsidP="00BE3F24">
      <w:pPr>
        <w:jc w:val="both"/>
        <w:rPr>
          <w:rFonts w:ascii="Arial" w:hAnsi="Arial"/>
          <w:sz w:val="22"/>
        </w:rPr>
      </w:pPr>
      <w:r>
        <w:rPr>
          <w:rFonts w:ascii="Arial" w:hAnsi="Arial"/>
          <w:sz w:val="22"/>
        </w:rPr>
        <w:t>This Pavement</w:t>
      </w:r>
      <w:r w:rsidR="00F84231">
        <w:rPr>
          <w:rFonts w:ascii="Arial" w:hAnsi="Arial"/>
          <w:sz w:val="22"/>
        </w:rPr>
        <w:t xml:space="preserve"> &amp; Geotechnical</w:t>
      </w:r>
      <w:r>
        <w:rPr>
          <w:rFonts w:ascii="Arial" w:hAnsi="Arial"/>
          <w:sz w:val="22"/>
        </w:rPr>
        <w:t xml:space="preserve"> Design G</w:t>
      </w:r>
      <w:r w:rsidR="002744D8">
        <w:rPr>
          <w:rFonts w:ascii="Arial" w:hAnsi="Arial"/>
          <w:sz w:val="22"/>
        </w:rPr>
        <w:t>uide was written for Maryland State Highway Administration (</w:t>
      </w:r>
      <w:r w:rsidR="008C7023">
        <w:rPr>
          <w:rFonts w:ascii="Arial" w:hAnsi="Arial"/>
          <w:sz w:val="22"/>
        </w:rPr>
        <w:t>MDOT-SHA</w:t>
      </w:r>
      <w:r w:rsidR="002744D8">
        <w:rPr>
          <w:rFonts w:ascii="Arial" w:hAnsi="Arial"/>
          <w:sz w:val="22"/>
        </w:rPr>
        <w:t xml:space="preserve">) pavement </w:t>
      </w:r>
      <w:r>
        <w:rPr>
          <w:rFonts w:ascii="Arial" w:hAnsi="Arial"/>
          <w:sz w:val="22"/>
        </w:rPr>
        <w:t xml:space="preserve">and geotechnical </w:t>
      </w:r>
      <w:r w:rsidR="002744D8">
        <w:rPr>
          <w:rFonts w:ascii="Arial" w:hAnsi="Arial"/>
          <w:sz w:val="22"/>
        </w:rPr>
        <w:t xml:space="preserve">engineers to </w:t>
      </w:r>
      <w:r w:rsidR="006D24C8">
        <w:rPr>
          <w:rFonts w:ascii="Arial" w:hAnsi="Arial"/>
          <w:sz w:val="22"/>
        </w:rPr>
        <w:t>address these challenges</w:t>
      </w:r>
      <w:r w:rsidR="002744D8">
        <w:rPr>
          <w:rFonts w:ascii="Arial" w:hAnsi="Arial"/>
          <w:sz w:val="22"/>
        </w:rPr>
        <w:t>.  This guide provide</w:t>
      </w:r>
      <w:r w:rsidR="00EC4AED">
        <w:rPr>
          <w:rFonts w:ascii="Arial" w:hAnsi="Arial"/>
          <w:sz w:val="22"/>
        </w:rPr>
        <w:t>s</w:t>
      </w:r>
      <w:r w:rsidR="002744D8">
        <w:rPr>
          <w:rFonts w:ascii="Arial" w:hAnsi="Arial"/>
          <w:sz w:val="22"/>
        </w:rPr>
        <w:t xml:space="preserve"> </w:t>
      </w:r>
      <w:r w:rsidR="008C7023">
        <w:rPr>
          <w:rFonts w:ascii="Arial" w:hAnsi="Arial"/>
          <w:sz w:val="22"/>
        </w:rPr>
        <w:t>MDOT-SHA</w:t>
      </w:r>
      <w:r w:rsidR="002744D8">
        <w:rPr>
          <w:rFonts w:ascii="Arial" w:hAnsi="Arial"/>
          <w:sz w:val="22"/>
        </w:rPr>
        <w:t xml:space="preserve"> </w:t>
      </w:r>
      <w:r w:rsidR="006D24C8">
        <w:rPr>
          <w:rFonts w:ascii="Arial" w:hAnsi="Arial"/>
          <w:sz w:val="22"/>
        </w:rPr>
        <w:t xml:space="preserve">pavement </w:t>
      </w:r>
      <w:r w:rsidR="002744D8">
        <w:rPr>
          <w:rFonts w:ascii="Arial" w:hAnsi="Arial"/>
          <w:sz w:val="22"/>
        </w:rPr>
        <w:t>engineers with a process to evaluat</w:t>
      </w:r>
      <w:r w:rsidR="00B876CC">
        <w:rPr>
          <w:rFonts w:ascii="Arial" w:hAnsi="Arial"/>
          <w:sz w:val="22"/>
        </w:rPr>
        <w:t>e</w:t>
      </w:r>
      <w:r w:rsidR="002744D8">
        <w:rPr>
          <w:rFonts w:ascii="Arial" w:hAnsi="Arial"/>
          <w:sz w:val="22"/>
        </w:rPr>
        <w:t xml:space="preserve"> the </w:t>
      </w:r>
      <w:r w:rsidR="00B876CC">
        <w:rPr>
          <w:rFonts w:ascii="Arial" w:hAnsi="Arial"/>
          <w:sz w:val="22"/>
        </w:rPr>
        <w:t xml:space="preserve">condition of the </w:t>
      </w:r>
      <w:r w:rsidR="002744D8">
        <w:rPr>
          <w:rFonts w:ascii="Arial" w:hAnsi="Arial"/>
          <w:sz w:val="22"/>
        </w:rPr>
        <w:t xml:space="preserve">pavement </w:t>
      </w:r>
      <w:r w:rsidR="00F84231">
        <w:rPr>
          <w:rFonts w:ascii="Arial" w:hAnsi="Arial"/>
          <w:sz w:val="22"/>
        </w:rPr>
        <w:t xml:space="preserve">system </w:t>
      </w:r>
      <w:r w:rsidR="00B876CC">
        <w:rPr>
          <w:rFonts w:ascii="Arial" w:hAnsi="Arial"/>
          <w:sz w:val="22"/>
        </w:rPr>
        <w:t xml:space="preserve">to fulfill </w:t>
      </w:r>
      <w:r w:rsidR="002744D8">
        <w:rPr>
          <w:rFonts w:ascii="Arial" w:hAnsi="Arial"/>
          <w:sz w:val="22"/>
        </w:rPr>
        <w:t xml:space="preserve">pavement </w:t>
      </w:r>
      <w:r w:rsidR="00F84231">
        <w:rPr>
          <w:rFonts w:ascii="Arial" w:hAnsi="Arial"/>
          <w:sz w:val="22"/>
        </w:rPr>
        <w:t xml:space="preserve">and geotechnical </w:t>
      </w:r>
      <w:r w:rsidR="002744D8">
        <w:rPr>
          <w:rFonts w:ascii="Arial" w:hAnsi="Arial"/>
          <w:sz w:val="22"/>
        </w:rPr>
        <w:t xml:space="preserve">design requirements.  The policies and procedures included in the guide are written to achieve </w:t>
      </w:r>
      <w:r w:rsidR="008C7023">
        <w:rPr>
          <w:rFonts w:ascii="Arial" w:hAnsi="Arial"/>
          <w:sz w:val="22"/>
        </w:rPr>
        <w:t>MDOT-SHA</w:t>
      </w:r>
      <w:r w:rsidR="00455921">
        <w:rPr>
          <w:rFonts w:ascii="Arial" w:hAnsi="Arial"/>
          <w:sz w:val="22"/>
        </w:rPr>
        <w:t xml:space="preserve"> </w:t>
      </w:r>
      <w:r w:rsidR="002744D8">
        <w:rPr>
          <w:rFonts w:ascii="Arial" w:hAnsi="Arial"/>
          <w:sz w:val="22"/>
        </w:rPr>
        <w:t xml:space="preserve">Business </w:t>
      </w:r>
      <w:r w:rsidR="00455921">
        <w:rPr>
          <w:rFonts w:ascii="Arial" w:hAnsi="Arial"/>
          <w:sz w:val="22"/>
        </w:rPr>
        <w:t>P</w:t>
      </w:r>
      <w:r w:rsidR="002744D8">
        <w:rPr>
          <w:rFonts w:ascii="Arial" w:hAnsi="Arial"/>
          <w:sz w:val="22"/>
        </w:rPr>
        <w:t>lan goals.</w:t>
      </w:r>
      <w:r w:rsidR="00417FCD">
        <w:rPr>
          <w:rFonts w:ascii="Arial" w:hAnsi="Arial"/>
          <w:sz w:val="22"/>
        </w:rPr>
        <w:t xml:space="preserve">  </w:t>
      </w:r>
    </w:p>
    <w:p w14:paraId="4128C990" w14:textId="77777777" w:rsidR="006D24C8" w:rsidRDefault="006D24C8" w:rsidP="00BE3F24">
      <w:pPr>
        <w:jc w:val="both"/>
        <w:rPr>
          <w:rFonts w:ascii="Arial" w:hAnsi="Arial"/>
          <w:sz w:val="22"/>
        </w:rPr>
      </w:pPr>
    </w:p>
    <w:p w14:paraId="54C96464" w14:textId="6EF48DE7" w:rsidR="005D4811" w:rsidRDefault="005D4811" w:rsidP="00BE3F24">
      <w:pPr>
        <w:jc w:val="both"/>
        <w:rPr>
          <w:rFonts w:ascii="Arial" w:hAnsi="Arial"/>
          <w:sz w:val="22"/>
        </w:rPr>
      </w:pPr>
      <w:r>
        <w:rPr>
          <w:rFonts w:ascii="Arial" w:hAnsi="Arial"/>
          <w:sz w:val="22"/>
        </w:rPr>
        <w:t>This guide can also be used by private industry engineers as a reference in perform</w:t>
      </w:r>
      <w:r w:rsidR="001F54B6">
        <w:rPr>
          <w:rFonts w:ascii="Arial" w:hAnsi="Arial"/>
          <w:sz w:val="22"/>
        </w:rPr>
        <w:t>ing</w:t>
      </w:r>
      <w:r>
        <w:rPr>
          <w:rFonts w:ascii="Arial" w:hAnsi="Arial"/>
          <w:sz w:val="22"/>
        </w:rPr>
        <w:t xml:space="preserve"> pavement engineering functions</w:t>
      </w:r>
      <w:r w:rsidR="001861F1">
        <w:rPr>
          <w:rFonts w:ascii="Arial" w:hAnsi="Arial"/>
          <w:sz w:val="22"/>
        </w:rPr>
        <w:t xml:space="preserve"> </w:t>
      </w:r>
      <w:r w:rsidR="00B876CC">
        <w:rPr>
          <w:rFonts w:ascii="Arial" w:hAnsi="Arial"/>
          <w:sz w:val="22"/>
        </w:rPr>
        <w:t xml:space="preserve">and it is </w:t>
      </w:r>
      <w:r>
        <w:rPr>
          <w:rFonts w:ascii="Arial" w:hAnsi="Arial"/>
          <w:sz w:val="22"/>
        </w:rPr>
        <w:t xml:space="preserve">a standard that shall be used when performing work for any </w:t>
      </w:r>
      <w:r w:rsidR="008C7023">
        <w:rPr>
          <w:rFonts w:ascii="Arial" w:hAnsi="Arial"/>
          <w:sz w:val="22"/>
        </w:rPr>
        <w:t>MDOT-SHA</w:t>
      </w:r>
      <w:r>
        <w:rPr>
          <w:rFonts w:ascii="Arial" w:hAnsi="Arial"/>
          <w:sz w:val="22"/>
        </w:rPr>
        <w:t xml:space="preserve"> project.</w:t>
      </w:r>
      <w:r w:rsidR="00574AE3">
        <w:rPr>
          <w:rFonts w:ascii="Arial" w:hAnsi="Arial"/>
          <w:sz w:val="22"/>
        </w:rPr>
        <w:t xml:space="preserve">  This guide is the standard th</w:t>
      </w:r>
      <w:r w:rsidR="006D24C8">
        <w:rPr>
          <w:rFonts w:ascii="Arial" w:hAnsi="Arial"/>
          <w:sz w:val="22"/>
        </w:rPr>
        <w:t>at</w:t>
      </w:r>
      <w:r w:rsidR="00574AE3">
        <w:rPr>
          <w:rFonts w:ascii="Arial" w:hAnsi="Arial"/>
          <w:sz w:val="22"/>
        </w:rPr>
        <w:t xml:space="preserve"> Design-Builders shall be held to in the development of new pavement design sections and </w:t>
      </w:r>
      <w:r w:rsidR="006D24C8">
        <w:rPr>
          <w:rFonts w:ascii="Arial" w:hAnsi="Arial"/>
          <w:sz w:val="22"/>
        </w:rPr>
        <w:t xml:space="preserve">preservation/ </w:t>
      </w:r>
      <w:r w:rsidR="00574AE3">
        <w:rPr>
          <w:rFonts w:ascii="Arial" w:hAnsi="Arial"/>
          <w:sz w:val="22"/>
        </w:rPr>
        <w:t>rehabilitation of existing pavement section</w:t>
      </w:r>
      <w:r w:rsidR="00B876CC">
        <w:rPr>
          <w:rFonts w:ascii="Arial" w:hAnsi="Arial"/>
          <w:sz w:val="22"/>
        </w:rPr>
        <w:t>s</w:t>
      </w:r>
      <w:r w:rsidR="00574AE3">
        <w:rPr>
          <w:rFonts w:ascii="Arial" w:hAnsi="Arial"/>
          <w:sz w:val="22"/>
        </w:rPr>
        <w:t xml:space="preserve"> on Design–Build projects.</w:t>
      </w:r>
    </w:p>
    <w:p w14:paraId="4D1D2A51" w14:textId="77777777" w:rsidR="00E111E9" w:rsidRDefault="00E111E9" w:rsidP="00BE3F24">
      <w:pPr>
        <w:jc w:val="both"/>
        <w:rPr>
          <w:rFonts w:ascii="Arial" w:hAnsi="Arial"/>
          <w:sz w:val="22"/>
        </w:rPr>
      </w:pPr>
    </w:p>
    <w:p w14:paraId="72ED4508" w14:textId="5BCB12A3" w:rsidR="006D24C8" w:rsidRDefault="00574AE3" w:rsidP="00BE3F24">
      <w:pPr>
        <w:jc w:val="both"/>
        <w:rPr>
          <w:rFonts w:ascii="Arial" w:hAnsi="Arial"/>
          <w:sz w:val="22"/>
        </w:rPr>
      </w:pPr>
      <w:r>
        <w:rPr>
          <w:rFonts w:ascii="Arial" w:hAnsi="Arial"/>
          <w:sz w:val="22"/>
        </w:rPr>
        <w:t xml:space="preserve">All </w:t>
      </w:r>
      <w:r w:rsidR="006D24C8">
        <w:rPr>
          <w:rFonts w:ascii="Arial" w:hAnsi="Arial"/>
          <w:sz w:val="22"/>
        </w:rPr>
        <w:t xml:space="preserve">of </w:t>
      </w:r>
      <w:r>
        <w:rPr>
          <w:rFonts w:ascii="Arial" w:hAnsi="Arial"/>
          <w:sz w:val="22"/>
        </w:rPr>
        <w:t xml:space="preserve">the position titles described throughout this guide are referenced to </w:t>
      </w:r>
      <w:r w:rsidR="008C7023">
        <w:rPr>
          <w:rFonts w:ascii="Arial" w:hAnsi="Arial"/>
          <w:sz w:val="22"/>
        </w:rPr>
        <w:t>MDOT-SHA</w:t>
      </w:r>
      <w:r>
        <w:rPr>
          <w:rFonts w:ascii="Arial" w:hAnsi="Arial"/>
          <w:sz w:val="22"/>
        </w:rPr>
        <w:t xml:space="preserve"> positions and roles.  Private industry engineers may have different position titles.  For that reason,</w:t>
      </w:r>
      <w:r w:rsidR="00B14C0A">
        <w:rPr>
          <w:rFonts w:ascii="Arial" w:hAnsi="Arial"/>
          <w:sz w:val="22"/>
        </w:rPr>
        <w:t xml:space="preserve"> a current organizational chart for the engineering functions of </w:t>
      </w:r>
      <w:r w:rsidR="008C7023">
        <w:rPr>
          <w:rFonts w:ascii="Arial" w:hAnsi="Arial"/>
          <w:sz w:val="22"/>
        </w:rPr>
        <w:t>MDOT-SHA</w:t>
      </w:r>
      <w:r w:rsidR="00B14C0A">
        <w:rPr>
          <w:rFonts w:ascii="Arial" w:hAnsi="Arial"/>
          <w:sz w:val="22"/>
        </w:rPr>
        <w:t xml:space="preserve"> is in the</w:t>
      </w:r>
      <w:r w:rsidR="006708B5">
        <w:rPr>
          <w:rFonts w:ascii="Arial" w:hAnsi="Arial"/>
          <w:sz w:val="22"/>
        </w:rPr>
        <w:t xml:space="preserve"> </w:t>
      </w:r>
      <w:hyperlink w:anchor="_Introduction_and_Background" w:history="1">
        <w:r w:rsidR="006708B5" w:rsidRPr="006708B5">
          <w:rPr>
            <w:rStyle w:val="Hyperlink"/>
            <w:rFonts w:ascii="Arial" w:hAnsi="Arial"/>
            <w:sz w:val="22"/>
          </w:rPr>
          <w:t>Introduction and Background</w:t>
        </w:r>
      </w:hyperlink>
      <w:r w:rsidR="00AA5174">
        <w:rPr>
          <w:rFonts w:ascii="Arial" w:hAnsi="Arial"/>
          <w:sz w:val="22"/>
        </w:rPr>
        <w:t xml:space="preserve"> </w:t>
      </w:r>
      <w:r w:rsidR="00B14C0A">
        <w:rPr>
          <w:rFonts w:ascii="Arial" w:hAnsi="Arial"/>
          <w:sz w:val="22"/>
        </w:rPr>
        <w:t xml:space="preserve">of this guide to assist private engineers </w:t>
      </w:r>
      <w:r w:rsidR="006D24C8">
        <w:rPr>
          <w:rFonts w:ascii="Arial" w:hAnsi="Arial"/>
          <w:sz w:val="22"/>
        </w:rPr>
        <w:t xml:space="preserve">with </w:t>
      </w:r>
      <w:r w:rsidR="00B14C0A">
        <w:rPr>
          <w:rFonts w:ascii="Arial" w:hAnsi="Arial"/>
          <w:sz w:val="22"/>
        </w:rPr>
        <w:t xml:space="preserve">understanding the </w:t>
      </w:r>
      <w:r w:rsidR="008C7023">
        <w:rPr>
          <w:rFonts w:ascii="Arial" w:hAnsi="Arial"/>
          <w:sz w:val="22"/>
        </w:rPr>
        <w:t>MDOT-SHA</w:t>
      </w:r>
      <w:r w:rsidR="00B14C0A">
        <w:rPr>
          <w:rFonts w:ascii="Arial" w:hAnsi="Arial"/>
          <w:sz w:val="22"/>
        </w:rPr>
        <w:t xml:space="preserve"> structure.</w:t>
      </w:r>
      <w:r>
        <w:rPr>
          <w:rFonts w:ascii="Arial" w:hAnsi="Arial"/>
          <w:sz w:val="22"/>
        </w:rPr>
        <w:t xml:space="preserve">  </w:t>
      </w:r>
    </w:p>
    <w:p w14:paraId="137E3B6C" w14:textId="77777777" w:rsidR="006D24C8" w:rsidRDefault="006D24C8" w:rsidP="00BE3F24">
      <w:pPr>
        <w:jc w:val="both"/>
        <w:rPr>
          <w:rFonts w:ascii="Arial" w:hAnsi="Arial"/>
          <w:sz w:val="22"/>
        </w:rPr>
      </w:pPr>
    </w:p>
    <w:p w14:paraId="6CBA46EB" w14:textId="4C1E8297" w:rsidR="00E111E9" w:rsidRDefault="008C7023" w:rsidP="00BE3F24">
      <w:pPr>
        <w:jc w:val="both"/>
        <w:rPr>
          <w:rFonts w:ascii="Arial" w:hAnsi="Arial"/>
          <w:sz w:val="22"/>
        </w:rPr>
      </w:pPr>
      <w:r>
        <w:rPr>
          <w:rFonts w:ascii="Arial" w:hAnsi="Arial"/>
          <w:sz w:val="22"/>
        </w:rPr>
        <w:t>MDOT-SHA</w:t>
      </w:r>
      <w:r w:rsidR="00AA14CD">
        <w:rPr>
          <w:rFonts w:ascii="Arial" w:hAnsi="Arial"/>
          <w:sz w:val="22"/>
        </w:rPr>
        <w:t xml:space="preserve"> p</w:t>
      </w:r>
      <w:r w:rsidR="00574AE3">
        <w:rPr>
          <w:rFonts w:ascii="Arial" w:hAnsi="Arial"/>
          <w:sz w:val="22"/>
        </w:rPr>
        <w:t xml:space="preserve">avement </w:t>
      </w:r>
      <w:r w:rsidR="00F84231">
        <w:rPr>
          <w:rFonts w:ascii="Arial" w:hAnsi="Arial"/>
          <w:sz w:val="22"/>
        </w:rPr>
        <w:t xml:space="preserve">and geotechnical </w:t>
      </w:r>
      <w:r w:rsidR="00574AE3">
        <w:rPr>
          <w:rFonts w:ascii="Arial" w:hAnsi="Arial"/>
          <w:sz w:val="22"/>
        </w:rPr>
        <w:t>engineering function</w:t>
      </w:r>
      <w:r w:rsidR="001F54B6">
        <w:rPr>
          <w:rFonts w:ascii="Arial" w:hAnsi="Arial"/>
          <w:sz w:val="22"/>
        </w:rPr>
        <w:t>s</w:t>
      </w:r>
      <w:r w:rsidR="00574AE3">
        <w:rPr>
          <w:rFonts w:ascii="Arial" w:hAnsi="Arial"/>
          <w:sz w:val="22"/>
        </w:rPr>
        <w:t xml:space="preserve"> </w:t>
      </w:r>
      <w:r w:rsidR="00AA14CD">
        <w:rPr>
          <w:rFonts w:ascii="Arial" w:hAnsi="Arial"/>
          <w:sz w:val="22"/>
        </w:rPr>
        <w:t>are</w:t>
      </w:r>
      <w:r w:rsidR="00574AE3">
        <w:rPr>
          <w:rFonts w:ascii="Arial" w:hAnsi="Arial"/>
          <w:sz w:val="22"/>
        </w:rPr>
        <w:t xml:space="preserve"> performed </w:t>
      </w:r>
      <w:r w:rsidR="001F54B6">
        <w:rPr>
          <w:rFonts w:ascii="Arial" w:hAnsi="Arial"/>
          <w:sz w:val="22"/>
        </w:rPr>
        <w:t xml:space="preserve">by </w:t>
      </w:r>
      <w:r w:rsidR="006D24C8">
        <w:rPr>
          <w:rFonts w:ascii="Arial" w:hAnsi="Arial"/>
          <w:sz w:val="22"/>
        </w:rPr>
        <w:t>engineers</w:t>
      </w:r>
      <w:r w:rsidR="001F54B6">
        <w:rPr>
          <w:rFonts w:ascii="Arial" w:hAnsi="Arial"/>
          <w:sz w:val="22"/>
        </w:rPr>
        <w:t xml:space="preserve"> </w:t>
      </w:r>
      <w:r w:rsidR="00574AE3">
        <w:rPr>
          <w:rFonts w:ascii="Arial" w:hAnsi="Arial"/>
          <w:sz w:val="22"/>
        </w:rPr>
        <w:t xml:space="preserve">in the Pavement and Geotechnical Division of the Office of Materials Technology (OMT).  The senior and design engineers in that Division perform the </w:t>
      </w:r>
      <w:r w:rsidR="001F54B6">
        <w:rPr>
          <w:rFonts w:ascii="Arial" w:hAnsi="Arial"/>
          <w:sz w:val="22"/>
        </w:rPr>
        <w:t xml:space="preserve">majority </w:t>
      </w:r>
      <w:r w:rsidR="00574AE3">
        <w:rPr>
          <w:rFonts w:ascii="Arial" w:hAnsi="Arial"/>
          <w:sz w:val="22"/>
        </w:rPr>
        <w:t>of the production pavement</w:t>
      </w:r>
      <w:r w:rsidR="00F84231">
        <w:rPr>
          <w:rFonts w:ascii="Arial" w:hAnsi="Arial"/>
          <w:sz w:val="22"/>
        </w:rPr>
        <w:t xml:space="preserve"> and routine pavement-related geotechnical</w:t>
      </w:r>
      <w:r w:rsidR="00574AE3">
        <w:rPr>
          <w:rFonts w:ascii="Arial" w:hAnsi="Arial"/>
          <w:sz w:val="22"/>
        </w:rPr>
        <w:t xml:space="preserve"> design work for </w:t>
      </w:r>
      <w:r>
        <w:rPr>
          <w:rFonts w:ascii="Arial" w:hAnsi="Arial"/>
          <w:sz w:val="22"/>
        </w:rPr>
        <w:t>MDOT-SHA</w:t>
      </w:r>
      <w:r w:rsidR="00574AE3">
        <w:rPr>
          <w:rFonts w:ascii="Arial" w:hAnsi="Arial"/>
          <w:sz w:val="22"/>
        </w:rPr>
        <w:t xml:space="preserve">.  The design </w:t>
      </w:r>
      <w:r w:rsidR="006D24C8">
        <w:rPr>
          <w:rFonts w:ascii="Arial" w:hAnsi="Arial"/>
          <w:sz w:val="22"/>
        </w:rPr>
        <w:t>T</w:t>
      </w:r>
      <w:r w:rsidR="00574AE3">
        <w:rPr>
          <w:rFonts w:ascii="Arial" w:hAnsi="Arial"/>
          <w:sz w:val="22"/>
        </w:rPr>
        <w:t xml:space="preserve">eam </w:t>
      </w:r>
      <w:r w:rsidR="006D24C8">
        <w:rPr>
          <w:rFonts w:ascii="Arial" w:hAnsi="Arial"/>
          <w:sz w:val="22"/>
        </w:rPr>
        <w:t>L</w:t>
      </w:r>
      <w:r w:rsidR="00574AE3">
        <w:rPr>
          <w:rFonts w:ascii="Arial" w:hAnsi="Arial"/>
          <w:sz w:val="22"/>
        </w:rPr>
        <w:t>eader and</w:t>
      </w:r>
      <w:r w:rsidR="001F54B6">
        <w:rPr>
          <w:rFonts w:ascii="Arial" w:hAnsi="Arial"/>
          <w:sz w:val="22"/>
        </w:rPr>
        <w:t xml:space="preserve"> </w:t>
      </w:r>
      <w:r w:rsidR="006D24C8">
        <w:rPr>
          <w:rFonts w:ascii="Arial" w:hAnsi="Arial"/>
          <w:sz w:val="22"/>
        </w:rPr>
        <w:t>A</w:t>
      </w:r>
      <w:r w:rsidR="00574AE3">
        <w:rPr>
          <w:rFonts w:ascii="Arial" w:hAnsi="Arial"/>
          <w:sz w:val="22"/>
        </w:rPr>
        <w:t xml:space="preserve">ssistant </w:t>
      </w:r>
      <w:r w:rsidR="006D24C8">
        <w:rPr>
          <w:rFonts w:ascii="Arial" w:hAnsi="Arial"/>
          <w:sz w:val="22"/>
        </w:rPr>
        <w:t>D</w:t>
      </w:r>
      <w:r w:rsidR="00574AE3">
        <w:rPr>
          <w:rFonts w:ascii="Arial" w:hAnsi="Arial"/>
          <w:sz w:val="22"/>
        </w:rPr>
        <w:t xml:space="preserve">ivision </w:t>
      </w:r>
      <w:r w:rsidR="006D24C8">
        <w:rPr>
          <w:rFonts w:ascii="Arial" w:hAnsi="Arial"/>
          <w:sz w:val="22"/>
        </w:rPr>
        <w:t>C</w:t>
      </w:r>
      <w:r w:rsidR="00574AE3">
        <w:rPr>
          <w:rFonts w:ascii="Arial" w:hAnsi="Arial"/>
          <w:sz w:val="22"/>
        </w:rPr>
        <w:t>hief position</w:t>
      </w:r>
      <w:r w:rsidR="00B14C0A">
        <w:rPr>
          <w:rFonts w:ascii="Arial" w:hAnsi="Arial"/>
          <w:sz w:val="22"/>
        </w:rPr>
        <w:t>s</w:t>
      </w:r>
      <w:r w:rsidR="00574AE3">
        <w:rPr>
          <w:rFonts w:ascii="Arial" w:hAnsi="Arial"/>
          <w:sz w:val="22"/>
        </w:rPr>
        <w:t xml:space="preserve"> are responsible for the quality and timeliness of all of the pavement engineering functions for the Division.  Other field data collection divisions in OMT support the design efforts of the Pavement and Geotechnical Division.</w:t>
      </w:r>
      <w:r w:rsidR="001F54B6">
        <w:rPr>
          <w:rFonts w:ascii="Arial" w:hAnsi="Arial"/>
          <w:sz w:val="22"/>
        </w:rPr>
        <w:t xml:space="preserve">  </w:t>
      </w:r>
      <w:r w:rsidR="00574AE3">
        <w:rPr>
          <w:rFonts w:ascii="Arial" w:hAnsi="Arial"/>
          <w:sz w:val="22"/>
        </w:rPr>
        <w:t xml:space="preserve">  </w:t>
      </w:r>
    </w:p>
    <w:p w14:paraId="413F976A" w14:textId="77777777" w:rsidR="002744D8" w:rsidRDefault="002744D8" w:rsidP="00BE3F24">
      <w:pPr>
        <w:jc w:val="both"/>
        <w:rPr>
          <w:rFonts w:ascii="Arial" w:hAnsi="Arial"/>
          <w:sz w:val="22"/>
        </w:rPr>
      </w:pPr>
    </w:p>
    <w:p w14:paraId="3FA082AB" w14:textId="77777777" w:rsidR="002744D8" w:rsidRDefault="002744D8" w:rsidP="00BE3F24">
      <w:pPr>
        <w:jc w:val="both"/>
        <w:rPr>
          <w:rFonts w:ascii="Arial" w:hAnsi="Arial"/>
          <w:sz w:val="22"/>
        </w:rPr>
      </w:pPr>
      <w:r>
        <w:rPr>
          <w:rFonts w:ascii="Arial" w:hAnsi="Arial"/>
          <w:sz w:val="22"/>
        </w:rPr>
        <w:t>Any questions or comments concerning this guide should be directed to</w:t>
      </w:r>
      <w:r w:rsidR="00F84231">
        <w:rPr>
          <w:rFonts w:ascii="Arial" w:hAnsi="Arial"/>
          <w:sz w:val="22"/>
        </w:rPr>
        <w:t>:</w:t>
      </w:r>
      <w:r>
        <w:rPr>
          <w:rFonts w:ascii="Arial" w:hAnsi="Arial"/>
          <w:sz w:val="22"/>
        </w:rPr>
        <w:t xml:space="preserve"> </w:t>
      </w:r>
    </w:p>
    <w:p w14:paraId="0BC1A6B4" w14:textId="77777777" w:rsidR="002744D8" w:rsidRDefault="002744D8" w:rsidP="00BE3F24">
      <w:pPr>
        <w:rPr>
          <w:rFonts w:ascii="Arial" w:hAnsi="Arial"/>
          <w:sz w:val="22"/>
        </w:rPr>
      </w:pPr>
    </w:p>
    <w:p w14:paraId="1F24ECEF" w14:textId="77777777" w:rsidR="00786652" w:rsidRPr="006D6383" w:rsidRDefault="00786652" w:rsidP="00BE3F24">
      <w:pPr>
        <w:rPr>
          <w:rFonts w:ascii="Arial" w:hAnsi="Arial" w:cs="Arial"/>
          <w:sz w:val="22"/>
          <w:szCs w:val="22"/>
        </w:rPr>
      </w:pPr>
      <w:r w:rsidRPr="006D6383">
        <w:rPr>
          <w:rFonts w:ascii="Arial" w:hAnsi="Arial" w:cs="Arial"/>
          <w:sz w:val="22"/>
          <w:szCs w:val="22"/>
        </w:rPr>
        <w:t>Paulo DeSousa, P.E.</w:t>
      </w:r>
    </w:p>
    <w:p w14:paraId="66A2405F" w14:textId="77777777" w:rsidR="00786652" w:rsidRPr="006D6383" w:rsidRDefault="00786652" w:rsidP="00BE3F24">
      <w:pPr>
        <w:rPr>
          <w:rFonts w:ascii="Arial" w:hAnsi="Arial" w:cs="Arial"/>
          <w:sz w:val="22"/>
          <w:szCs w:val="22"/>
        </w:rPr>
      </w:pPr>
      <w:r w:rsidRPr="006D6383">
        <w:rPr>
          <w:rFonts w:ascii="Arial" w:hAnsi="Arial" w:cs="Arial"/>
          <w:sz w:val="22"/>
          <w:szCs w:val="22"/>
        </w:rPr>
        <w:t>Pavement and Geotechnical Assistant Division Chief</w:t>
      </w:r>
    </w:p>
    <w:p w14:paraId="798C7B83" w14:textId="77777777" w:rsidR="00786652" w:rsidRPr="006D6383" w:rsidRDefault="00786652" w:rsidP="00BE3F24">
      <w:pPr>
        <w:rPr>
          <w:rFonts w:ascii="Arial" w:hAnsi="Arial" w:cs="Arial"/>
          <w:sz w:val="22"/>
          <w:szCs w:val="22"/>
        </w:rPr>
      </w:pPr>
      <w:r w:rsidRPr="006D6383">
        <w:rPr>
          <w:rFonts w:ascii="Arial" w:hAnsi="Arial" w:cs="Arial"/>
          <w:sz w:val="22"/>
          <w:szCs w:val="22"/>
        </w:rPr>
        <w:t>Maryland State Highway Administration</w:t>
      </w:r>
    </w:p>
    <w:p w14:paraId="1D6B4C39" w14:textId="77777777" w:rsidR="00786652" w:rsidRPr="006D6383" w:rsidRDefault="00786652" w:rsidP="00BE3F24">
      <w:pPr>
        <w:rPr>
          <w:rFonts w:ascii="Arial" w:hAnsi="Arial" w:cs="Arial"/>
          <w:sz w:val="22"/>
          <w:szCs w:val="22"/>
        </w:rPr>
      </w:pPr>
      <w:r w:rsidRPr="006D6383">
        <w:rPr>
          <w:rFonts w:ascii="Arial" w:hAnsi="Arial" w:cs="Arial"/>
          <w:sz w:val="22"/>
          <w:szCs w:val="22"/>
        </w:rPr>
        <w:t>Office of Materials Technology</w:t>
      </w:r>
    </w:p>
    <w:p w14:paraId="3857F575" w14:textId="77777777" w:rsidR="00786652" w:rsidRPr="006D6383" w:rsidRDefault="00786652" w:rsidP="00BE3F24">
      <w:pPr>
        <w:rPr>
          <w:rFonts w:ascii="Arial" w:hAnsi="Arial" w:cs="Arial"/>
          <w:sz w:val="22"/>
          <w:szCs w:val="22"/>
        </w:rPr>
      </w:pPr>
      <w:r w:rsidRPr="006D6383">
        <w:rPr>
          <w:rFonts w:ascii="Arial" w:hAnsi="Arial" w:cs="Arial"/>
          <w:sz w:val="22"/>
          <w:szCs w:val="22"/>
        </w:rPr>
        <w:t>7450 Traffic Drive</w:t>
      </w:r>
    </w:p>
    <w:p w14:paraId="21705FAC" w14:textId="77777777" w:rsidR="00786652" w:rsidRPr="006D6383" w:rsidRDefault="00786652" w:rsidP="00BE3F24">
      <w:pPr>
        <w:rPr>
          <w:rFonts w:ascii="Arial" w:hAnsi="Arial" w:cs="Arial"/>
          <w:sz w:val="22"/>
          <w:szCs w:val="22"/>
        </w:rPr>
      </w:pPr>
      <w:r w:rsidRPr="006D6383">
        <w:rPr>
          <w:rFonts w:ascii="Arial" w:hAnsi="Arial" w:cs="Arial"/>
          <w:sz w:val="22"/>
          <w:szCs w:val="22"/>
        </w:rPr>
        <w:t>Hanover, MD 21076</w:t>
      </w:r>
    </w:p>
    <w:p w14:paraId="6F131EFA" w14:textId="77777777" w:rsidR="00786652" w:rsidRPr="006D6383" w:rsidRDefault="00786652" w:rsidP="00BE3F24">
      <w:pPr>
        <w:rPr>
          <w:rFonts w:ascii="Arial" w:hAnsi="Arial" w:cs="Arial"/>
          <w:sz w:val="22"/>
          <w:szCs w:val="22"/>
        </w:rPr>
      </w:pPr>
      <w:r w:rsidRPr="006D6383">
        <w:rPr>
          <w:rFonts w:ascii="Arial" w:hAnsi="Arial" w:cs="Arial"/>
          <w:sz w:val="22"/>
          <w:szCs w:val="22"/>
        </w:rPr>
        <w:t>Phone: 443-572-5061</w:t>
      </w:r>
    </w:p>
    <w:p w14:paraId="2AE89263" w14:textId="65686A13" w:rsidR="00786652" w:rsidRPr="006D6383" w:rsidRDefault="00786652" w:rsidP="00BE3F24">
      <w:pPr>
        <w:rPr>
          <w:rFonts w:ascii="Arial" w:hAnsi="Arial" w:cs="Arial"/>
          <w:sz w:val="22"/>
          <w:szCs w:val="22"/>
        </w:rPr>
      </w:pPr>
      <w:r w:rsidRPr="006D6383">
        <w:rPr>
          <w:rFonts w:ascii="Arial" w:hAnsi="Arial" w:cs="Arial"/>
          <w:sz w:val="22"/>
          <w:szCs w:val="22"/>
        </w:rPr>
        <w:t>E-mail: pdesousa@</w:t>
      </w:r>
      <w:r w:rsidR="00296EE0">
        <w:rPr>
          <w:rFonts w:ascii="Arial" w:hAnsi="Arial" w:cs="Arial"/>
          <w:sz w:val="22"/>
          <w:szCs w:val="22"/>
        </w:rPr>
        <w:t>mdot.maryland.gov</w:t>
      </w:r>
      <w:r w:rsidRPr="006D6383">
        <w:rPr>
          <w:rFonts w:ascii="Arial" w:hAnsi="Arial" w:cs="Arial"/>
          <w:sz w:val="22"/>
          <w:szCs w:val="22"/>
        </w:rPr>
        <w:t xml:space="preserve"> </w:t>
      </w:r>
    </w:p>
    <w:p w14:paraId="37449876" w14:textId="77777777" w:rsidR="0097074B" w:rsidRDefault="0097074B" w:rsidP="00BE3F24">
      <w:pPr>
        <w:rPr>
          <w:rFonts w:ascii="Arial" w:hAnsi="Arial"/>
          <w:sz w:val="22"/>
        </w:rPr>
        <w:sectPr w:rsidR="0097074B" w:rsidSect="00466A64">
          <w:headerReference w:type="first" r:id="rId14"/>
          <w:footerReference w:type="first" r:id="rId15"/>
          <w:pgSz w:w="12240" w:h="15840" w:code="1"/>
          <w:pgMar w:top="1440" w:right="1800" w:bottom="1440" w:left="1800" w:header="432" w:footer="720" w:gutter="0"/>
          <w:pgNumType w:start="0" w:chapStyle="1"/>
          <w:cols w:space="720"/>
          <w:titlePg/>
        </w:sectPr>
      </w:pPr>
    </w:p>
    <w:p w14:paraId="5D99BF0E" w14:textId="77777777" w:rsidR="002744D8" w:rsidRDefault="002744D8" w:rsidP="00BE3F24">
      <w:pPr>
        <w:rPr>
          <w:rFonts w:ascii="Arial" w:hAnsi="Arial"/>
        </w:rPr>
      </w:pPr>
    </w:p>
    <w:p w14:paraId="2CD06265" w14:textId="2FFC671C" w:rsidR="002744D8" w:rsidRDefault="00080910" w:rsidP="00BE3F24">
      <w:pPr>
        <w:pStyle w:val="Caption"/>
        <w:jc w:val="center"/>
        <w:rPr>
          <w:rFonts w:ascii="Arial" w:hAnsi="Arial" w:cs="Arial"/>
          <w:sz w:val="24"/>
          <w:szCs w:val="24"/>
        </w:rPr>
      </w:pPr>
      <w:bookmarkStart w:id="0" w:name="TOC"/>
      <w:r w:rsidRPr="00FD2C06">
        <w:rPr>
          <w:rFonts w:ascii="Arial" w:hAnsi="Arial" w:cs="Arial"/>
          <w:sz w:val="24"/>
          <w:szCs w:val="24"/>
        </w:rPr>
        <w:t>Table of Contents</w:t>
      </w:r>
    </w:p>
    <w:bookmarkEnd w:id="0" w:displacedByCustomXml="next"/>
    <w:sdt>
      <w:sdtPr>
        <w:rPr>
          <w:rFonts w:ascii="Times New Roman" w:eastAsia="Times New Roman" w:hAnsi="Times New Roman" w:cs="Times New Roman"/>
          <w:b w:val="0"/>
          <w:bCs w:val="0"/>
          <w:color w:val="auto"/>
          <w:sz w:val="20"/>
          <w:szCs w:val="20"/>
        </w:rPr>
        <w:id w:val="-423890735"/>
        <w:docPartObj>
          <w:docPartGallery w:val="Table of Contents"/>
          <w:docPartUnique/>
        </w:docPartObj>
      </w:sdtPr>
      <w:sdtEndPr>
        <w:rPr>
          <w:noProof/>
        </w:rPr>
      </w:sdtEndPr>
      <w:sdtContent>
        <w:p w14:paraId="65C9A800" w14:textId="147FE136" w:rsidR="00994B26" w:rsidRDefault="00994B26">
          <w:pPr>
            <w:pStyle w:val="TOCHeading"/>
          </w:pPr>
        </w:p>
        <w:p w14:paraId="2EF5BD5C" w14:textId="5EC27C9B" w:rsidR="001777C7" w:rsidRDefault="00994B26">
          <w:pPr>
            <w:pStyle w:val="TOC1"/>
            <w:rPr>
              <w:rFonts w:asciiTheme="minorHAnsi" w:eastAsiaTheme="minorEastAsia" w:hAnsiTheme="minorHAnsi" w:cstheme="minorBidi"/>
              <w:b w:val="0"/>
              <w:kern w:val="2"/>
              <w:szCs w:val="22"/>
              <w14:ligatures w14:val="standardContextual"/>
            </w:rPr>
          </w:pPr>
          <w:r>
            <w:fldChar w:fldCharType="begin"/>
          </w:r>
          <w:r>
            <w:instrText xml:space="preserve"> TOC \o "1-2" \h \z \u </w:instrText>
          </w:r>
          <w:r>
            <w:fldChar w:fldCharType="separate"/>
          </w:r>
          <w:hyperlink w:anchor="_Toc194932349" w:history="1">
            <w:r w:rsidR="001777C7" w:rsidRPr="00E90B60">
              <w:rPr>
                <w:rStyle w:val="Hyperlink"/>
              </w:rPr>
              <w:t>1</w:t>
            </w:r>
            <w:r w:rsidR="001777C7">
              <w:rPr>
                <w:rFonts w:asciiTheme="minorHAnsi" w:eastAsiaTheme="minorEastAsia" w:hAnsiTheme="minorHAnsi" w:cstheme="minorBidi"/>
                <w:b w:val="0"/>
                <w:kern w:val="2"/>
                <w:szCs w:val="22"/>
                <w14:ligatures w14:val="standardContextual"/>
              </w:rPr>
              <w:tab/>
            </w:r>
            <w:r w:rsidR="001777C7" w:rsidRPr="00E90B60">
              <w:rPr>
                <w:rStyle w:val="Hyperlink"/>
              </w:rPr>
              <w:t>Overview</w:t>
            </w:r>
            <w:r w:rsidR="001777C7">
              <w:rPr>
                <w:webHidden/>
              </w:rPr>
              <w:tab/>
            </w:r>
            <w:r w:rsidR="001777C7">
              <w:rPr>
                <w:webHidden/>
              </w:rPr>
              <w:fldChar w:fldCharType="begin"/>
            </w:r>
            <w:r w:rsidR="001777C7">
              <w:rPr>
                <w:webHidden/>
              </w:rPr>
              <w:instrText xml:space="preserve"> PAGEREF _Toc194932349 \h </w:instrText>
            </w:r>
            <w:r w:rsidR="001777C7">
              <w:rPr>
                <w:webHidden/>
              </w:rPr>
            </w:r>
            <w:r w:rsidR="001777C7">
              <w:rPr>
                <w:webHidden/>
              </w:rPr>
              <w:fldChar w:fldCharType="separate"/>
            </w:r>
            <w:r w:rsidR="00624A9D">
              <w:rPr>
                <w:webHidden/>
              </w:rPr>
              <w:t>1-1</w:t>
            </w:r>
            <w:r w:rsidR="001777C7">
              <w:rPr>
                <w:webHidden/>
              </w:rPr>
              <w:fldChar w:fldCharType="end"/>
            </w:r>
          </w:hyperlink>
        </w:p>
        <w:p w14:paraId="246E3629" w14:textId="571312FE" w:rsidR="001777C7" w:rsidRDefault="001777C7">
          <w:pPr>
            <w:pStyle w:val="TOC2"/>
            <w:rPr>
              <w:rFonts w:asciiTheme="minorHAnsi" w:eastAsiaTheme="minorEastAsia" w:hAnsiTheme="minorHAnsi" w:cstheme="minorBidi"/>
              <w:kern w:val="2"/>
              <w:sz w:val="22"/>
              <w:szCs w:val="22"/>
              <w14:ligatures w14:val="standardContextual"/>
            </w:rPr>
          </w:pPr>
          <w:hyperlink w:anchor="_Toc194932350" w:history="1">
            <w:r w:rsidRPr="00E90B60">
              <w:rPr>
                <w:rStyle w:val="Hyperlink"/>
              </w:rPr>
              <w:t>1.01</w:t>
            </w:r>
            <w:r>
              <w:rPr>
                <w:rFonts w:asciiTheme="minorHAnsi" w:eastAsiaTheme="minorEastAsia" w:hAnsiTheme="minorHAnsi" w:cstheme="minorBidi"/>
                <w:kern w:val="2"/>
                <w:sz w:val="22"/>
                <w:szCs w:val="22"/>
                <w14:ligatures w14:val="standardContextual"/>
              </w:rPr>
              <w:tab/>
            </w:r>
            <w:r w:rsidRPr="00E90B60">
              <w:rPr>
                <w:rStyle w:val="Hyperlink"/>
              </w:rPr>
              <w:t>Introduction and Background</w:t>
            </w:r>
            <w:r>
              <w:rPr>
                <w:webHidden/>
              </w:rPr>
              <w:tab/>
            </w:r>
            <w:r>
              <w:rPr>
                <w:webHidden/>
              </w:rPr>
              <w:fldChar w:fldCharType="begin"/>
            </w:r>
            <w:r>
              <w:rPr>
                <w:webHidden/>
              </w:rPr>
              <w:instrText xml:space="preserve"> PAGEREF _Toc194932350 \h </w:instrText>
            </w:r>
            <w:r>
              <w:rPr>
                <w:webHidden/>
              </w:rPr>
            </w:r>
            <w:r>
              <w:rPr>
                <w:webHidden/>
              </w:rPr>
              <w:fldChar w:fldCharType="separate"/>
            </w:r>
            <w:r w:rsidR="00624A9D">
              <w:rPr>
                <w:webHidden/>
              </w:rPr>
              <w:t>1-1</w:t>
            </w:r>
            <w:r>
              <w:rPr>
                <w:webHidden/>
              </w:rPr>
              <w:fldChar w:fldCharType="end"/>
            </w:r>
          </w:hyperlink>
        </w:p>
        <w:p w14:paraId="33207E2A" w14:textId="6CA061EB" w:rsidR="001777C7" w:rsidRDefault="001777C7">
          <w:pPr>
            <w:pStyle w:val="TOC2"/>
            <w:rPr>
              <w:rFonts w:asciiTheme="minorHAnsi" w:eastAsiaTheme="minorEastAsia" w:hAnsiTheme="minorHAnsi" w:cstheme="minorBidi"/>
              <w:kern w:val="2"/>
              <w:sz w:val="22"/>
              <w:szCs w:val="22"/>
              <w14:ligatures w14:val="standardContextual"/>
            </w:rPr>
          </w:pPr>
          <w:hyperlink w:anchor="_Toc194932351" w:history="1">
            <w:r w:rsidRPr="00E90B60">
              <w:rPr>
                <w:rStyle w:val="Hyperlink"/>
              </w:rPr>
              <w:t>1.02</w:t>
            </w:r>
            <w:r>
              <w:rPr>
                <w:rFonts w:asciiTheme="minorHAnsi" w:eastAsiaTheme="minorEastAsia" w:hAnsiTheme="minorHAnsi" w:cstheme="minorBidi"/>
                <w:kern w:val="2"/>
                <w:sz w:val="22"/>
                <w:szCs w:val="22"/>
                <w14:ligatures w14:val="standardContextual"/>
              </w:rPr>
              <w:tab/>
            </w:r>
            <w:r w:rsidRPr="00E90B60">
              <w:rPr>
                <w:rStyle w:val="Hyperlink"/>
              </w:rPr>
              <w:t>MDOT-SHA Pavement Design Overview</w:t>
            </w:r>
            <w:r>
              <w:rPr>
                <w:webHidden/>
              </w:rPr>
              <w:tab/>
            </w:r>
            <w:r>
              <w:rPr>
                <w:webHidden/>
              </w:rPr>
              <w:fldChar w:fldCharType="begin"/>
            </w:r>
            <w:r>
              <w:rPr>
                <w:webHidden/>
              </w:rPr>
              <w:instrText xml:space="preserve"> PAGEREF _Toc194932351 \h </w:instrText>
            </w:r>
            <w:r>
              <w:rPr>
                <w:webHidden/>
              </w:rPr>
            </w:r>
            <w:r>
              <w:rPr>
                <w:webHidden/>
              </w:rPr>
              <w:fldChar w:fldCharType="separate"/>
            </w:r>
            <w:r w:rsidR="00624A9D">
              <w:rPr>
                <w:webHidden/>
              </w:rPr>
              <w:t>1-6</w:t>
            </w:r>
            <w:r>
              <w:rPr>
                <w:webHidden/>
              </w:rPr>
              <w:fldChar w:fldCharType="end"/>
            </w:r>
          </w:hyperlink>
        </w:p>
        <w:p w14:paraId="0094DEBD" w14:textId="331AEB6E" w:rsidR="001777C7" w:rsidRDefault="001777C7">
          <w:pPr>
            <w:pStyle w:val="TOC1"/>
            <w:rPr>
              <w:rFonts w:asciiTheme="minorHAnsi" w:eastAsiaTheme="minorEastAsia" w:hAnsiTheme="minorHAnsi" w:cstheme="minorBidi"/>
              <w:b w:val="0"/>
              <w:kern w:val="2"/>
              <w:szCs w:val="22"/>
              <w14:ligatures w14:val="standardContextual"/>
            </w:rPr>
          </w:pPr>
          <w:hyperlink w:anchor="_Toc194932352" w:history="1">
            <w:r w:rsidRPr="00E90B60">
              <w:rPr>
                <w:rStyle w:val="Hyperlink"/>
              </w:rPr>
              <w:t>2</w:t>
            </w:r>
            <w:r>
              <w:rPr>
                <w:rFonts w:asciiTheme="minorHAnsi" w:eastAsiaTheme="minorEastAsia" w:hAnsiTheme="minorHAnsi" w:cstheme="minorBidi"/>
                <w:b w:val="0"/>
                <w:kern w:val="2"/>
                <w:szCs w:val="22"/>
                <w14:ligatures w14:val="standardContextual"/>
              </w:rPr>
              <w:tab/>
            </w:r>
            <w:r w:rsidRPr="00E90B60">
              <w:rPr>
                <w:rStyle w:val="Hyperlink"/>
              </w:rPr>
              <w:t>Preliminary Procedures</w:t>
            </w:r>
            <w:r>
              <w:rPr>
                <w:webHidden/>
              </w:rPr>
              <w:tab/>
            </w:r>
            <w:r>
              <w:rPr>
                <w:webHidden/>
              </w:rPr>
              <w:fldChar w:fldCharType="begin"/>
            </w:r>
            <w:r>
              <w:rPr>
                <w:webHidden/>
              </w:rPr>
              <w:instrText xml:space="preserve"> PAGEREF _Toc194932352 \h </w:instrText>
            </w:r>
            <w:r>
              <w:rPr>
                <w:webHidden/>
              </w:rPr>
            </w:r>
            <w:r>
              <w:rPr>
                <w:webHidden/>
              </w:rPr>
              <w:fldChar w:fldCharType="separate"/>
            </w:r>
            <w:r w:rsidR="00624A9D">
              <w:rPr>
                <w:webHidden/>
              </w:rPr>
              <w:t>2-1</w:t>
            </w:r>
            <w:r>
              <w:rPr>
                <w:webHidden/>
              </w:rPr>
              <w:fldChar w:fldCharType="end"/>
            </w:r>
          </w:hyperlink>
        </w:p>
        <w:p w14:paraId="6A31A517" w14:textId="239193F7" w:rsidR="001777C7" w:rsidRDefault="001777C7">
          <w:pPr>
            <w:pStyle w:val="TOC2"/>
            <w:rPr>
              <w:rFonts w:asciiTheme="minorHAnsi" w:eastAsiaTheme="minorEastAsia" w:hAnsiTheme="minorHAnsi" w:cstheme="minorBidi"/>
              <w:kern w:val="2"/>
              <w:sz w:val="22"/>
              <w:szCs w:val="22"/>
              <w14:ligatures w14:val="standardContextual"/>
            </w:rPr>
          </w:pPr>
          <w:hyperlink w:anchor="_Toc194932353" w:history="1">
            <w:r w:rsidRPr="00E90B60">
              <w:rPr>
                <w:rStyle w:val="Hyperlink"/>
              </w:rPr>
              <w:t>2.01</w:t>
            </w:r>
            <w:r>
              <w:rPr>
                <w:rFonts w:asciiTheme="minorHAnsi" w:eastAsiaTheme="minorEastAsia" w:hAnsiTheme="minorHAnsi" w:cstheme="minorBidi"/>
                <w:kern w:val="2"/>
                <w:sz w:val="22"/>
                <w:szCs w:val="22"/>
                <w14:ligatures w14:val="standardContextual"/>
              </w:rPr>
              <w:tab/>
            </w:r>
            <w:r w:rsidRPr="00E90B60">
              <w:rPr>
                <w:rStyle w:val="Hyperlink"/>
              </w:rPr>
              <w:t>Initial Communication with Requesting Office</w:t>
            </w:r>
            <w:r>
              <w:rPr>
                <w:webHidden/>
              </w:rPr>
              <w:tab/>
            </w:r>
            <w:r>
              <w:rPr>
                <w:webHidden/>
              </w:rPr>
              <w:fldChar w:fldCharType="begin"/>
            </w:r>
            <w:r>
              <w:rPr>
                <w:webHidden/>
              </w:rPr>
              <w:instrText xml:space="preserve"> PAGEREF _Toc194932353 \h </w:instrText>
            </w:r>
            <w:r>
              <w:rPr>
                <w:webHidden/>
              </w:rPr>
            </w:r>
            <w:r>
              <w:rPr>
                <w:webHidden/>
              </w:rPr>
              <w:fldChar w:fldCharType="separate"/>
            </w:r>
            <w:r w:rsidR="00624A9D">
              <w:rPr>
                <w:webHidden/>
              </w:rPr>
              <w:t>2-1</w:t>
            </w:r>
            <w:r>
              <w:rPr>
                <w:webHidden/>
              </w:rPr>
              <w:fldChar w:fldCharType="end"/>
            </w:r>
          </w:hyperlink>
        </w:p>
        <w:p w14:paraId="0D97588C" w14:textId="75DBD27A" w:rsidR="001777C7" w:rsidRDefault="001777C7">
          <w:pPr>
            <w:pStyle w:val="TOC2"/>
            <w:rPr>
              <w:rFonts w:asciiTheme="minorHAnsi" w:eastAsiaTheme="minorEastAsia" w:hAnsiTheme="minorHAnsi" w:cstheme="minorBidi"/>
              <w:kern w:val="2"/>
              <w:sz w:val="22"/>
              <w:szCs w:val="22"/>
              <w14:ligatures w14:val="standardContextual"/>
            </w:rPr>
          </w:pPr>
          <w:hyperlink w:anchor="_Toc194932354" w:history="1">
            <w:r w:rsidRPr="00E90B60">
              <w:rPr>
                <w:rStyle w:val="Hyperlink"/>
              </w:rPr>
              <w:t>2.02</w:t>
            </w:r>
            <w:r>
              <w:rPr>
                <w:rFonts w:asciiTheme="minorHAnsi" w:eastAsiaTheme="minorEastAsia" w:hAnsiTheme="minorHAnsi" w:cstheme="minorBidi"/>
                <w:kern w:val="2"/>
                <w:sz w:val="22"/>
                <w:szCs w:val="22"/>
                <w14:ligatures w14:val="standardContextual"/>
              </w:rPr>
              <w:tab/>
            </w:r>
            <w:r w:rsidRPr="00E90B60">
              <w:rPr>
                <w:rStyle w:val="Hyperlink"/>
              </w:rPr>
              <w:t>Files</w:t>
            </w:r>
            <w:r>
              <w:rPr>
                <w:webHidden/>
              </w:rPr>
              <w:tab/>
            </w:r>
            <w:r>
              <w:rPr>
                <w:webHidden/>
              </w:rPr>
              <w:fldChar w:fldCharType="begin"/>
            </w:r>
            <w:r>
              <w:rPr>
                <w:webHidden/>
              </w:rPr>
              <w:instrText xml:space="preserve"> PAGEREF _Toc194932354 \h </w:instrText>
            </w:r>
            <w:r>
              <w:rPr>
                <w:webHidden/>
              </w:rPr>
            </w:r>
            <w:r>
              <w:rPr>
                <w:webHidden/>
              </w:rPr>
              <w:fldChar w:fldCharType="separate"/>
            </w:r>
            <w:r w:rsidR="00624A9D">
              <w:rPr>
                <w:webHidden/>
              </w:rPr>
              <w:t>2-4</w:t>
            </w:r>
            <w:r>
              <w:rPr>
                <w:webHidden/>
              </w:rPr>
              <w:fldChar w:fldCharType="end"/>
            </w:r>
          </w:hyperlink>
        </w:p>
        <w:p w14:paraId="022CB51A" w14:textId="1A742027" w:rsidR="001777C7" w:rsidRDefault="001777C7">
          <w:pPr>
            <w:pStyle w:val="TOC2"/>
            <w:rPr>
              <w:rFonts w:asciiTheme="minorHAnsi" w:eastAsiaTheme="minorEastAsia" w:hAnsiTheme="minorHAnsi" w:cstheme="minorBidi"/>
              <w:kern w:val="2"/>
              <w:sz w:val="22"/>
              <w:szCs w:val="22"/>
              <w14:ligatures w14:val="standardContextual"/>
            </w:rPr>
          </w:pPr>
          <w:hyperlink w:anchor="_Toc194932355" w:history="1">
            <w:r w:rsidRPr="00E90B60">
              <w:rPr>
                <w:rStyle w:val="Hyperlink"/>
              </w:rPr>
              <w:t>2.03</w:t>
            </w:r>
            <w:r>
              <w:rPr>
                <w:rFonts w:asciiTheme="minorHAnsi" w:eastAsiaTheme="minorEastAsia" w:hAnsiTheme="minorHAnsi" w:cstheme="minorBidi"/>
                <w:kern w:val="2"/>
                <w:sz w:val="22"/>
                <w:szCs w:val="22"/>
                <w14:ligatures w14:val="standardContextual"/>
              </w:rPr>
              <w:tab/>
            </w:r>
            <w:r w:rsidRPr="00E90B60">
              <w:rPr>
                <w:rStyle w:val="Hyperlink"/>
              </w:rPr>
              <w:t>Records Review</w:t>
            </w:r>
            <w:r>
              <w:rPr>
                <w:webHidden/>
              </w:rPr>
              <w:tab/>
            </w:r>
            <w:r>
              <w:rPr>
                <w:webHidden/>
              </w:rPr>
              <w:fldChar w:fldCharType="begin"/>
            </w:r>
            <w:r>
              <w:rPr>
                <w:webHidden/>
              </w:rPr>
              <w:instrText xml:space="preserve"> PAGEREF _Toc194932355 \h </w:instrText>
            </w:r>
            <w:r>
              <w:rPr>
                <w:webHidden/>
              </w:rPr>
            </w:r>
            <w:r>
              <w:rPr>
                <w:webHidden/>
              </w:rPr>
              <w:fldChar w:fldCharType="separate"/>
            </w:r>
            <w:r w:rsidR="00624A9D">
              <w:rPr>
                <w:webHidden/>
              </w:rPr>
              <w:t>2-6</w:t>
            </w:r>
            <w:r>
              <w:rPr>
                <w:webHidden/>
              </w:rPr>
              <w:fldChar w:fldCharType="end"/>
            </w:r>
          </w:hyperlink>
        </w:p>
        <w:p w14:paraId="082C4971" w14:textId="1453B378" w:rsidR="001777C7" w:rsidRDefault="001777C7">
          <w:pPr>
            <w:pStyle w:val="TOC2"/>
            <w:rPr>
              <w:rFonts w:asciiTheme="minorHAnsi" w:eastAsiaTheme="minorEastAsia" w:hAnsiTheme="minorHAnsi" w:cstheme="minorBidi"/>
              <w:kern w:val="2"/>
              <w:sz w:val="22"/>
              <w:szCs w:val="22"/>
              <w14:ligatures w14:val="standardContextual"/>
            </w:rPr>
          </w:pPr>
          <w:hyperlink w:anchor="_Toc194932356" w:history="1">
            <w:r w:rsidRPr="00E90B60">
              <w:rPr>
                <w:rStyle w:val="Hyperlink"/>
              </w:rPr>
              <w:t>2.04</w:t>
            </w:r>
            <w:r>
              <w:rPr>
                <w:rFonts w:asciiTheme="minorHAnsi" w:eastAsiaTheme="minorEastAsia" w:hAnsiTheme="minorHAnsi" w:cstheme="minorBidi"/>
                <w:kern w:val="2"/>
                <w:sz w:val="22"/>
                <w:szCs w:val="22"/>
                <w14:ligatures w14:val="standardContextual"/>
              </w:rPr>
              <w:tab/>
            </w:r>
            <w:r w:rsidRPr="00E90B60">
              <w:rPr>
                <w:rStyle w:val="Hyperlink"/>
              </w:rPr>
              <w:t>OMT Internal Meetings (OMT Project Initiation)</w:t>
            </w:r>
            <w:r>
              <w:rPr>
                <w:webHidden/>
              </w:rPr>
              <w:tab/>
            </w:r>
            <w:r>
              <w:rPr>
                <w:webHidden/>
              </w:rPr>
              <w:fldChar w:fldCharType="begin"/>
            </w:r>
            <w:r>
              <w:rPr>
                <w:webHidden/>
              </w:rPr>
              <w:instrText xml:space="preserve"> PAGEREF _Toc194932356 \h </w:instrText>
            </w:r>
            <w:r>
              <w:rPr>
                <w:webHidden/>
              </w:rPr>
            </w:r>
            <w:r>
              <w:rPr>
                <w:webHidden/>
              </w:rPr>
              <w:fldChar w:fldCharType="separate"/>
            </w:r>
            <w:r w:rsidR="00624A9D">
              <w:rPr>
                <w:webHidden/>
              </w:rPr>
              <w:t>2-8</w:t>
            </w:r>
            <w:r>
              <w:rPr>
                <w:webHidden/>
              </w:rPr>
              <w:fldChar w:fldCharType="end"/>
            </w:r>
          </w:hyperlink>
        </w:p>
        <w:p w14:paraId="260A20DD" w14:textId="4FAEF1FD" w:rsidR="001777C7" w:rsidRDefault="001777C7">
          <w:pPr>
            <w:pStyle w:val="TOC2"/>
            <w:rPr>
              <w:rFonts w:asciiTheme="minorHAnsi" w:eastAsiaTheme="minorEastAsia" w:hAnsiTheme="minorHAnsi" w:cstheme="minorBidi"/>
              <w:kern w:val="2"/>
              <w:sz w:val="22"/>
              <w:szCs w:val="22"/>
              <w14:ligatures w14:val="standardContextual"/>
            </w:rPr>
          </w:pPr>
          <w:hyperlink w:anchor="_Toc194932357" w:history="1">
            <w:r w:rsidRPr="00E90B60">
              <w:rPr>
                <w:rStyle w:val="Hyperlink"/>
              </w:rPr>
              <w:t>2.05</w:t>
            </w:r>
            <w:r>
              <w:rPr>
                <w:rFonts w:asciiTheme="minorHAnsi" w:eastAsiaTheme="minorEastAsia" w:hAnsiTheme="minorHAnsi" w:cstheme="minorBidi"/>
                <w:kern w:val="2"/>
                <w:sz w:val="22"/>
                <w:szCs w:val="22"/>
                <w14:ligatures w14:val="standardContextual"/>
              </w:rPr>
              <w:tab/>
            </w:r>
            <w:r w:rsidRPr="00E90B60">
              <w:rPr>
                <w:rStyle w:val="Hyperlink"/>
              </w:rPr>
              <w:t>Site Reconnaissance</w:t>
            </w:r>
            <w:r>
              <w:rPr>
                <w:webHidden/>
              </w:rPr>
              <w:tab/>
            </w:r>
            <w:r>
              <w:rPr>
                <w:webHidden/>
              </w:rPr>
              <w:fldChar w:fldCharType="begin"/>
            </w:r>
            <w:r>
              <w:rPr>
                <w:webHidden/>
              </w:rPr>
              <w:instrText xml:space="preserve"> PAGEREF _Toc194932357 \h </w:instrText>
            </w:r>
            <w:r>
              <w:rPr>
                <w:webHidden/>
              </w:rPr>
            </w:r>
            <w:r>
              <w:rPr>
                <w:webHidden/>
              </w:rPr>
              <w:fldChar w:fldCharType="separate"/>
            </w:r>
            <w:r w:rsidR="00624A9D">
              <w:rPr>
                <w:webHidden/>
              </w:rPr>
              <w:t>2-11</w:t>
            </w:r>
            <w:r>
              <w:rPr>
                <w:webHidden/>
              </w:rPr>
              <w:fldChar w:fldCharType="end"/>
            </w:r>
          </w:hyperlink>
        </w:p>
        <w:p w14:paraId="6D9B7A37" w14:textId="0D5EA138" w:rsidR="001777C7" w:rsidRDefault="001777C7">
          <w:pPr>
            <w:pStyle w:val="TOC2"/>
            <w:rPr>
              <w:rFonts w:asciiTheme="minorHAnsi" w:eastAsiaTheme="minorEastAsia" w:hAnsiTheme="minorHAnsi" w:cstheme="minorBidi"/>
              <w:kern w:val="2"/>
              <w:sz w:val="22"/>
              <w:szCs w:val="22"/>
              <w14:ligatures w14:val="standardContextual"/>
            </w:rPr>
          </w:pPr>
          <w:hyperlink w:anchor="_Toc194932358" w:history="1">
            <w:r w:rsidRPr="00E90B60">
              <w:rPr>
                <w:rStyle w:val="Hyperlink"/>
              </w:rPr>
              <w:t>2.06</w:t>
            </w:r>
            <w:r>
              <w:rPr>
                <w:rFonts w:asciiTheme="minorHAnsi" w:eastAsiaTheme="minorEastAsia" w:hAnsiTheme="minorHAnsi" w:cstheme="minorBidi"/>
                <w:kern w:val="2"/>
                <w:sz w:val="22"/>
                <w:szCs w:val="22"/>
                <w14:ligatures w14:val="standardContextual"/>
              </w:rPr>
              <w:tab/>
            </w:r>
            <w:r w:rsidRPr="00E90B60">
              <w:rPr>
                <w:rStyle w:val="Hyperlink"/>
              </w:rPr>
              <w:t>Preliminary Engineering Cost Estimate</w:t>
            </w:r>
            <w:r>
              <w:rPr>
                <w:webHidden/>
              </w:rPr>
              <w:tab/>
            </w:r>
            <w:r>
              <w:rPr>
                <w:webHidden/>
              </w:rPr>
              <w:fldChar w:fldCharType="begin"/>
            </w:r>
            <w:r>
              <w:rPr>
                <w:webHidden/>
              </w:rPr>
              <w:instrText xml:space="preserve"> PAGEREF _Toc194932358 \h </w:instrText>
            </w:r>
            <w:r>
              <w:rPr>
                <w:webHidden/>
              </w:rPr>
            </w:r>
            <w:r>
              <w:rPr>
                <w:webHidden/>
              </w:rPr>
              <w:fldChar w:fldCharType="separate"/>
            </w:r>
            <w:r w:rsidR="00624A9D">
              <w:rPr>
                <w:webHidden/>
              </w:rPr>
              <w:t>2-13</w:t>
            </w:r>
            <w:r>
              <w:rPr>
                <w:webHidden/>
              </w:rPr>
              <w:fldChar w:fldCharType="end"/>
            </w:r>
          </w:hyperlink>
        </w:p>
        <w:p w14:paraId="00AC8CED" w14:textId="0D71D916" w:rsidR="001777C7" w:rsidRDefault="001777C7">
          <w:pPr>
            <w:pStyle w:val="TOC2"/>
            <w:rPr>
              <w:rFonts w:asciiTheme="minorHAnsi" w:eastAsiaTheme="minorEastAsia" w:hAnsiTheme="minorHAnsi" w:cstheme="minorBidi"/>
              <w:kern w:val="2"/>
              <w:sz w:val="22"/>
              <w:szCs w:val="22"/>
              <w14:ligatures w14:val="standardContextual"/>
            </w:rPr>
          </w:pPr>
          <w:hyperlink w:anchor="_Toc194932359" w:history="1">
            <w:r w:rsidRPr="00E90B60">
              <w:rPr>
                <w:rStyle w:val="Hyperlink"/>
              </w:rPr>
              <w:t>2.07</w:t>
            </w:r>
            <w:r>
              <w:rPr>
                <w:rFonts w:asciiTheme="minorHAnsi" w:eastAsiaTheme="minorEastAsia" w:hAnsiTheme="minorHAnsi" w:cstheme="minorBidi"/>
                <w:kern w:val="2"/>
                <w:sz w:val="22"/>
                <w:szCs w:val="22"/>
                <w14:ligatures w14:val="standardContextual"/>
              </w:rPr>
              <w:tab/>
            </w:r>
            <w:r w:rsidRPr="00E90B60">
              <w:rPr>
                <w:rStyle w:val="Hyperlink"/>
              </w:rPr>
              <w:t>Meeting Attendance – Project Team Meetings</w:t>
            </w:r>
            <w:r>
              <w:rPr>
                <w:webHidden/>
              </w:rPr>
              <w:tab/>
            </w:r>
            <w:r>
              <w:rPr>
                <w:webHidden/>
              </w:rPr>
              <w:fldChar w:fldCharType="begin"/>
            </w:r>
            <w:r>
              <w:rPr>
                <w:webHidden/>
              </w:rPr>
              <w:instrText xml:space="preserve"> PAGEREF _Toc194932359 \h </w:instrText>
            </w:r>
            <w:r>
              <w:rPr>
                <w:webHidden/>
              </w:rPr>
            </w:r>
            <w:r>
              <w:rPr>
                <w:webHidden/>
              </w:rPr>
              <w:fldChar w:fldCharType="separate"/>
            </w:r>
            <w:r w:rsidR="00624A9D">
              <w:rPr>
                <w:webHidden/>
              </w:rPr>
              <w:t>2-16</w:t>
            </w:r>
            <w:r>
              <w:rPr>
                <w:webHidden/>
              </w:rPr>
              <w:fldChar w:fldCharType="end"/>
            </w:r>
          </w:hyperlink>
        </w:p>
        <w:p w14:paraId="76A72268" w14:textId="53AE5944" w:rsidR="001777C7" w:rsidRDefault="001777C7">
          <w:pPr>
            <w:pStyle w:val="TOC2"/>
            <w:rPr>
              <w:rFonts w:asciiTheme="minorHAnsi" w:eastAsiaTheme="minorEastAsia" w:hAnsiTheme="minorHAnsi" w:cstheme="minorBidi"/>
              <w:kern w:val="2"/>
              <w:sz w:val="22"/>
              <w:szCs w:val="22"/>
              <w14:ligatures w14:val="standardContextual"/>
            </w:rPr>
          </w:pPr>
          <w:hyperlink w:anchor="_Toc194932360" w:history="1">
            <w:r w:rsidRPr="00E90B60">
              <w:rPr>
                <w:rStyle w:val="Hyperlink"/>
              </w:rPr>
              <w:t>2.08</w:t>
            </w:r>
            <w:r>
              <w:rPr>
                <w:rFonts w:asciiTheme="minorHAnsi" w:eastAsiaTheme="minorEastAsia" w:hAnsiTheme="minorHAnsi" w:cstheme="minorBidi"/>
                <w:kern w:val="2"/>
                <w:sz w:val="22"/>
                <w:szCs w:val="22"/>
                <w14:ligatures w14:val="standardContextual"/>
              </w:rPr>
              <w:tab/>
            </w:r>
            <w:r w:rsidRPr="00E90B60">
              <w:rPr>
                <w:rStyle w:val="Hyperlink"/>
              </w:rPr>
              <w:t>Initial Treatment Identification – Pavement Preservation Guide</w:t>
            </w:r>
            <w:r>
              <w:rPr>
                <w:webHidden/>
              </w:rPr>
              <w:tab/>
            </w:r>
            <w:r>
              <w:rPr>
                <w:webHidden/>
              </w:rPr>
              <w:fldChar w:fldCharType="begin"/>
            </w:r>
            <w:r>
              <w:rPr>
                <w:webHidden/>
              </w:rPr>
              <w:instrText xml:space="preserve"> PAGEREF _Toc194932360 \h </w:instrText>
            </w:r>
            <w:r>
              <w:rPr>
                <w:webHidden/>
              </w:rPr>
            </w:r>
            <w:r>
              <w:rPr>
                <w:webHidden/>
              </w:rPr>
              <w:fldChar w:fldCharType="separate"/>
            </w:r>
            <w:r w:rsidR="00624A9D">
              <w:rPr>
                <w:webHidden/>
              </w:rPr>
              <w:t>2-18</w:t>
            </w:r>
            <w:r>
              <w:rPr>
                <w:webHidden/>
              </w:rPr>
              <w:fldChar w:fldCharType="end"/>
            </w:r>
          </w:hyperlink>
        </w:p>
        <w:p w14:paraId="04DFE679" w14:textId="324175E6" w:rsidR="001777C7" w:rsidRDefault="001777C7">
          <w:pPr>
            <w:pStyle w:val="TOC2"/>
            <w:rPr>
              <w:rFonts w:asciiTheme="minorHAnsi" w:eastAsiaTheme="minorEastAsia" w:hAnsiTheme="minorHAnsi" w:cstheme="minorBidi"/>
              <w:kern w:val="2"/>
              <w:sz w:val="22"/>
              <w:szCs w:val="22"/>
              <w14:ligatures w14:val="standardContextual"/>
            </w:rPr>
          </w:pPr>
          <w:hyperlink w:anchor="_Toc194932361" w:history="1">
            <w:r w:rsidRPr="00E90B60">
              <w:rPr>
                <w:rStyle w:val="Hyperlink"/>
              </w:rPr>
              <w:t>2.09</w:t>
            </w:r>
            <w:r>
              <w:rPr>
                <w:rFonts w:asciiTheme="minorHAnsi" w:eastAsiaTheme="minorEastAsia" w:hAnsiTheme="minorHAnsi" w:cstheme="minorBidi"/>
                <w:kern w:val="2"/>
                <w:sz w:val="22"/>
                <w:szCs w:val="22"/>
                <w14:ligatures w14:val="standardContextual"/>
              </w:rPr>
              <w:tab/>
            </w:r>
            <w:r w:rsidRPr="00E90B60">
              <w:rPr>
                <w:rStyle w:val="Hyperlink"/>
              </w:rPr>
              <w:t>Supplemental Treatment Information</w:t>
            </w:r>
            <w:r>
              <w:rPr>
                <w:webHidden/>
              </w:rPr>
              <w:tab/>
            </w:r>
            <w:r>
              <w:rPr>
                <w:webHidden/>
              </w:rPr>
              <w:fldChar w:fldCharType="begin"/>
            </w:r>
            <w:r>
              <w:rPr>
                <w:webHidden/>
              </w:rPr>
              <w:instrText xml:space="preserve"> PAGEREF _Toc194932361 \h </w:instrText>
            </w:r>
            <w:r>
              <w:rPr>
                <w:webHidden/>
              </w:rPr>
            </w:r>
            <w:r>
              <w:rPr>
                <w:webHidden/>
              </w:rPr>
              <w:fldChar w:fldCharType="separate"/>
            </w:r>
            <w:r w:rsidR="00624A9D">
              <w:rPr>
                <w:webHidden/>
              </w:rPr>
              <w:t>2-34</w:t>
            </w:r>
            <w:r>
              <w:rPr>
                <w:webHidden/>
              </w:rPr>
              <w:fldChar w:fldCharType="end"/>
            </w:r>
          </w:hyperlink>
        </w:p>
        <w:p w14:paraId="1C99642F" w14:textId="14FE5F88" w:rsidR="001777C7" w:rsidRDefault="001777C7">
          <w:pPr>
            <w:pStyle w:val="TOC2"/>
            <w:rPr>
              <w:rFonts w:asciiTheme="minorHAnsi" w:eastAsiaTheme="minorEastAsia" w:hAnsiTheme="minorHAnsi" w:cstheme="minorBidi"/>
              <w:kern w:val="2"/>
              <w:sz w:val="22"/>
              <w:szCs w:val="22"/>
              <w14:ligatures w14:val="standardContextual"/>
            </w:rPr>
          </w:pPr>
          <w:hyperlink w:anchor="_Toc194932362" w:history="1">
            <w:r w:rsidRPr="00E90B60">
              <w:rPr>
                <w:rStyle w:val="Hyperlink"/>
              </w:rPr>
              <w:t>2.10</w:t>
            </w:r>
            <w:r>
              <w:rPr>
                <w:rFonts w:asciiTheme="minorHAnsi" w:eastAsiaTheme="minorEastAsia" w:hAnsiTheme="minorHAnsi" w:cstheme="minorBidi"/>
                <w:kern w:val="2"/>
                <w:sz w:val="22"/>
                <w:szCs w:val="22"/>
                <w14:ligatures w14:val="standardContextual"/>
              </w:rPr>
              <w:tab/>
            </w:r>
            <w:r w:rsidRPr="00E90B60">
              <w:rPr>
                <w:rStyle w:val="Hyperlink"/>
              </w:rPr>
              <w:t>Discussion/Selection Alternative with Project Owner</w:t>
            </w:r>
            <w:r>
              <w:rPr>
                <w:webHidden/>
              </w:rPr>
              <w:tab/>
            </w:r>
            <w:r>
              <w:rPr>
                <w:webHidden/>
              </w:rPr>
              <w:fldChar w:fldCharType="begin"/>
            </w:r>
            <w:r>
              <w:rPr>
                <w:webHidden/>
              </w:rPr>
              <w:instrText xml:space="preserve"> PAGEREF _Toc194932362 \h </w:instrText>
            </w:r>
            <w:r>
              <w:rPr>
                <w:webHidden/>
              </w:rPr>
            </w:r>
            <w:r>
              <w:rPr>
                <w:webHidden/>
              </w:rPr>
              <w:fldChar w:fldCharType="separate"/>
            </w:r>
            <w:r w:rsidR="00624A9D">
              <w:rPr>
                <w:webHidden/>
              </w:rPr>
              <w:t>2-55</w:t>
            </w:r>
            <w:r>
              <w:rPr>
                <w:webHidden/>
              </w:rPr>
              <w:fldChar w:fldCharType="end"/>
            </w:r>
          </w:hyperlink>
        </w:p>
        <w:p w14:paraId="43A529B4" w14:textId="07C46DC0" w:rsidR="001777C7" w:rsidRDefault="001777C7">
          <w:pPr>
            <w:pStyle w:val="TOC1"/>
            <w:rPr>
              <w:rFonts w:asciiTheme="minorHAnsi" w:eastAsiaTheme="minorEastAsia" w:hAnsiTheme="minorHAnsi" w:cstheme="minorBidi"/>
              <w:b w:val="0"/>
              <w:kern w:val="2"/>
              <w:szCs w:val="22"/>
              <w14:ligatures w14:val="standardContextual"/>
            </w:rPr>
          </w:pPr>
          <w:hyperlink w:anchor="_Toc194932363" w:history="1">
            <w:r w:rsidRPr="00E90B60">
              <w:rPr>
                <w:rStyle w:val="Hyperlink"/>
              </w:rPr>
              <w:t>3</w:t>
            </w:r>
            <w:r>
              <w:rPr>
                <w:rFonts w:asciiTheme="minorHAnsi" w:eastAsiaTheme="minorEastAsia" w:hAnsiTheme="minorHAnsi" w:cstheme="minorBidi"/>
                <w:b w:val="0"/>
                <w:kern w:val="2"/>
                <w:szCs w:val="22"/>
                <w14:ligatures w14:val="standardContextual"/>
              </w:rPr>
              <w:tab/>
            </w:r>
            <w:r w:rsidRPr="00E90B60">
              <w:rPr>
                <w:rStyle w:val="Hyperlink"/>
              </w:rPr>
              <w:t>Testing &amp; Data Collection</w:t>
            </w:r>
            <w:r>
              <w:rPr>
                <w:webHidden/>
              </w:rPr>
              <w:tab/>
            </w:r>
            <w:r>
              <w:rPr>
                <w:webHidden/>
              </w:rPr>
              <w:fldChar w:fldCharType="begin"/>
            </w:r>
            <w:r>
              <w:rPr>
                <w:webHidden/>
              </w:rPr>
              <w:instrText xml:space="preserve"> PAGEREF _Toc194932363 \h </w:instrText>
            </w:r>
            <w:r>
              <w:rPr>
                <w:webHidden/>
              </w:rPr>
            </w:r>
            <w:r>
              <w:rPr>
                <w:webHidden/>
              </w:rPr>
              <w:fldChar w:fldCharType="separate"/>
            </w:r>
            <w:r w:rsidR="00624A9D">
              <w:rPr>
                <w:webHidden/>
              </w:rPr>
              <w:t>3-1</w:t>
            </w:r>
            <w:r>
              <w:rPr>
                <w:webHidden/>
              </w:rPr>
              <w:fldChar w:fldCharType="end"/>
            </w:r>
          </w:hyperlink>
        </w:p>
        <w:p w14:paraId="323DB4EF" w14:textId="14756E39" w:rsidR="001777C7" w:rsidRDefault="001777C7">
          <w:pPr>
            <w:pStyle w:val="TOC2"/>
            <w:rPr>
              <w:rFonts w:asciiTheme="minorHAnsi" w:eastAsiaTheme="minorEastAsia" w:hAnsiTheme="minorHAnsi" w:cstheme="minorBidi"/>
              <w:kern w:val="2"/>
              <w:sz w:val="22"/>
              <w:szCs w:val="22"/>
              <w14:ligatures w14:val="standardContextual"/>
            </w:rPr>
          </w:pPr>
          <w:hyperlink w:anchor="_Toc194932364" w:history="1">
            <w:r w:rsidRPr="00E90B60">
              <w:rPr>
                <w:rStyle w:val="Hyperlink"/>
              </w:rPr>
              <w:t>3.01</w:t>
            </w:r>
            <w:r>
              <w:rPr>
                <w:rFonts w:asciiTheme="minorHAnsi" w:eastAsiaTheme="minorEastAsia" w:hAnsiTheme="minorHAnsi" w:cstheme="minorBidi"/>
                <w:kern w:val="2"/>
                <w:sz w:val="22"/>
                <w:szCs w:val="22"/>
                <w14:ligatures w14:val="standardContextual"/>
              </w:rPr>
              <w:tab/>
            </w:r>
            <w:r w:rsidRPr="00E90B60">
              <w:rPr>
                <w:rStyle w:val="Hyperlink"/>
              </w:rPr>
              <w:t>Required Pavement Testing Guidelines</w:t>
            </w:r>
            <w:r>
              <w:rPr>
                <w:webHidden/>
              </w:rPr>
              <w:tab/>
            </w:r>
            <w:r>
              <w:rPr>
                <w:webHidden/>
              </w:rPr>
              <w:fldChar w:fldCharType="begin"/>
            </w:r>
            <w:r>
              <w:rPr>
                <w:webHidden/>
              </w:rPr>
              <w:instrText xml:space="preserve"> PAGEREF _Toc194932364 \h </w:instrText>
            </w:r>
            <w:r>
              <w:rPr>
                <w:webHidden/>
              </w:rPr>
            </w:r>
            <w:r>
              <w:rPr>
                <w:webHidden/>
              </w:rPr>
              <w:fldChar w:fldCharType="separate"/>
            </w:r>
            <w:r w:rsidR="00624A9D">
              <w:rPr>
                <w:webHidden/>
              </w:rPr>
              <w:t>3-1</w:t>
            </w:r>
            <w:r>
              <w:rPr>
                <w:webHidden/>
              </w:rPr>
              <w:fldChar w:fldCharType="end"/>
            </w:r>
          </w:hyperlink>
        </w:p>
        <w:p w14:paraId="045306CD" w14:textId="7111D695" w:rsidR="001777C7" w:rsidRDefault="001777C7">
          <w:pPr>
            <w:pStyle w:val="TOC2"/>
            <w:rPr>
              <w:rFonts w:asciiTheme="minorHAnsi" w:eastAsiaTheme="minorEastAsia" w:hAnsiTheme="minorHAnsi" w:cstheme="minorBidi"/>
              <w:kern w:val="2"/>
              <w:sz w:val="22"/>
              <w:szCs w:val="22"/>
              <w14:ligatures w14:val="standardContextual"/>
            </w:rPr>
          </w:pPr>
          <w:hyperlink w:anchor="_Toc194932365" w:history="1">
            <w:r w:rsidRPr="00E90B60">
              <w:rPr>
                <w:rStyle w:val="Hyperlink"/>
              </w:rPr>
              <w:t>3.02</w:t>
            </w:r>
            <w:r>
              <w:rPr>
                <w:rFonts w:asciiTheme="minorHAnsi" w:eastAsiaTheme="minorEastAsia" w:hAnsiTheme="minorHAnsi" w:cstheme="minorBidi"/>
                <w:kern w:val="2"/>
                <w:sz w:val="22"/>
                <w:szCs w:val="22"/>
                <w14:ligatures w14:val="standardContextual"/>
              </w:rPr>
              <w:tab/>
            </w:r>
            <w:r w:rsidRPr="00E90B60">
              <w:rPr>
                <w:rStyle w:val="Hyperlink"/>
              </w:rPr>
              <w:t>Visual Pavement Condition Assessment</w:t>
            </w:r>
            <w:r>
              <w:rPr>
                <w:webHidden/>
              </w:rPr>
              <w:tab/>
            </w:r>
            <w:r>
              <w:rPr>
                <w:webHidden/>
              </w:rPr>
              <w:fldChar w:fldCharType="begin"/>
            </w:r>
            <w:r>
              <w:rPr>
                <w:webHidden/>
              </w:rPr>
              <w:instrText xml:space="preserve"> PAGEREF _Toc194932365 \h </w:instrText>
            </w:r>
            <w:r>
              <w:rPr>
                <w:webHidden/>
              </w:rPr>
            </w:r>
            <w:r>
              <w:rPr>
                <w:webHidden/>
              </w:rPr>
              <w:fldChar w:fldCharType="separate"/>
            </w:r>
            <w:r w:rsidR="00624A9D">
              <w:rPr>
                <w:webHidden/>
              </w:rPr>
              <w:t>3-4</w:t>
            </w:r>
            <w:r>
              <w:rPr>
                <w:webHidden/>
              </w:rPr>
              <w:fldChar w:fldCharType="end"/>
            </w:r>
          </w:hyperlink>
        </w:p>
        <w:p w14:paraId="00388F03" w14:textId="51381AB2" w:rsidR="001777C7" w:rsidRDefault="001777C7">
          <w:pPr>
            <w:pStyle w:val="TOC2"/>
            <w:rPr>
              <w:rFonts w:asciiTheme="minorHAnsi" w:eastAsiaTheme="minorEastAsia" w:hAnsiTheme="minorHAnsi" w:cstheme="minorBidi"/>
              <w:kern w:val="2"/>
              <w:sz w:val="22"/>
              <w:szCs w:val="22"/>
              <w14:ligatures w14:val="standardContextual"/>
            </w:rPr>
          </w:pPr>
          <w:hyperlink w:anchor="_Toc194932366" w:history="1">
            <w:r w:rsidRPr="00E90B60">
              <w:rPr>
                <w:rStyle w:val="Hyperlink"/>
              </w:rPr>
              <w:t>3.03</w:t>
            </w:r>
            <w:r>
              <w:rPr>
                <w:rFonts w:asciiTheme="minorHAnsi" w:eastAsiaTheme="minorEastAsia" w:hAnsiTheme="minorHAnsi" w:cstheme="minorBidi"/>
                <w:kern w:val="2"/>
                <w:sz w:val="22"/>
                <w:szCs w:val="22"/>
                <w14:ligatures w14:val="standardContextual"/>
              </w:rPr>
              <w:tab/>
            </w:r>
            <w:r w:rsidRPr="00E90B60">
              <w:rPr>
                <w:rStyle w:val="Hyperlink"/>
              </w:rPr>
              <w:t>Patching Survey</w:t>
            </w:r>
            <w:r>
              <w:rPr>
                <w:webHidden/>
              </w:rPr>
              <w:tab/>
            </w:r>
            <w:r>
              <w:rPr>
                <w:webHidden/>
              </w:rPr>
              <w:fldChar w:fldCharType="begin"/>
            </w:r>
            <w:r>
              <w:rPr>
                <w:webHidden/>
              </w:rPr>
              <w:instrText xml:space="preserve"> PAGEREF _Toc194932366 \h </w:instrText>
            </w:r>
            <w:r>
              <w:rPr>
                <w:webHidden/>
              </w:rPr>
            </w:r>
            <w:r>
              <w:rPr>
                <w:webHidden/>
              </w:rPr>
              <w:fldChar w:fldCharType="separate"/>
            </w:r>
            <w:r w:rsidR="00624A9D">
              <w:rPr>
                <w:webHidden/>
              </w:rPr>
              <w:t>3-6</w:t>
            </w:r>
            <w:r>
              <w:rPr>
                <w:webHidden/>
              </w:rPr>
              <w:fldChar w:fldCharType="end"/>
            </w:r>
          </w:hyperlink>
        </w:p>
        <w:p w14:paraId="14D323D5" w14:textId="6BFA65E8" w:rsidR="001777C7" w:rsidRDefault="001777C7">
          <w:pPr>
            <w:pStyle w:val="TOC2"/>
            <w:rPr>
              <w:rFonts w:asciiTheme="minorHAnsi" w:eastAsiaTheme="minorEastAsia" w:hAnsiTheme="minorHAnsi" w:cstheme="minorBidi"/>
              <w:kern w:val="2"/>
              <w:sz w:val="22"/>
              <w:szCs w:val="22"/>
              <w14:ligatures w14:val="standardContextual"/>
            </w:rPr>
          </w:pPr>
          <w:hyperlink w:anchor="_Toc194932367" w:history="1">
            <w:r w:rsidRPr="00E90B60">
              <w:rPr>
                <w:rStyle w:val="Hyperlink"/>
              </w:rPr>
              <w:t>3.04</w:t>
            </w:r>
            <w:r>
              <w:rPr>
                <w:rFonts w:asciiTheme="minorHAnsi" w:eastAsiaTheme="minorEastAsia" w:hAnsiTheme="minorHAnsi" w:cstheme="minorBidi"/>
                <w:kern w:val="2"/>
                <w:sz w:val="22"/>
                <w:szCs w:val="22"/>
                <w14:ligatures w14:val="standardContextual"/>
              </w:rPr>
              <w:tab/>
            </w:r>
            <w:r w:rsidRPr="00E90B60">
              <w:rPr>
                <w:rStyle w:val="Hyperlink"/>
              </w:rPr>
              <w:t>Falling Weight Deflectometer (FWD) Testing</w:t>
            </w:r>
            <w:r>
              <w:rPr>
                <w:webHidden/>
              </w:rPr>
              <w:tab/>
            </w:r>
            <w:r>
              <w:rPr>
                <w:webHidden/>
              </w:rPr>
              <w:fldChar w:fldCharType="begin"/>
            </w:r>
            <w:r>
              <w:rPr>
                <w:webHidden/>
              </w:rPr>
              <w:instrText xml:space="preserve"> PAGEREF _Toc194932367 \h </w:instrText>
            </w:r>
            <w:r>
              <w:rPr>
                <w:webHidden/>
              </w:rPr>
            </w:r>
            <w:r>
              <w:rPr>
                <w:webHidden/>
              </w:rPr>
              <w:fldChar w:fldCharType="separate"/>
            </w:r>
            <w:r w:rsidR="00624A9D">
              <w:rPr>
                <w:webHidden/>
              </w:rPr>
              <w:t>3-7</w:t>
            </w:r>
            <w:r>
              <w:rPr>
                <w:webHidden/>
              </w:rPr>
              <w:fldChar w:fldCharType="end"/>
            </w:r>
          </w:hyperlink>
        </w:p>
        <w:p w14:paraId="03126FA3" w14:textId="0CA2E283" w:rsidR="001777C7" w:rsidRDefault="001777C7">
          <w:pPr>
            <w:pStyle w:val="TOC2"/>
            <w:rPr>
              <w:rFonts w:asciiTheme="minorHAnsi" w:eastAsiaTheme="minorEastAsia" w:hAnsiTheme="minorHAnsi" w:cstheme="minorBidi"/>
              <w:kern w:val="2"/>
              <w:sz w:val="22"/>
              <w:szCs w:val="22"/>
              <w14:ligatures w14:val="standardContextual"/>
            </w:rPr>
          </w:pPr>
          <w:hyperlink w:anchor="_Toc194932368" w:history="1">
            <w:r w:rsidRPr="00E90B60">
              <w:rPr>
                <w:rStyle w:val="Hyperlink"/>
              </w:rPr>
              <w:t>3.05</w:t>
            </w:r>
            <w:r>
              <w:rPr>
                <w:rFonts w:asciiTheme="minorHAnsi" w:eastAsiaTheme="minorEastAsia" w:hAnsiTheme="minorHAnsi" w:cstheme="minorBidi"/>
                <w:kern w:val="2"/>
                <w:sz w:val="22"/>
                <w:szCs w:val="22"/>
                <w14:ligatures w14:val="standardContextual"/>
              </w:rPr>
              <w:tab/>
            </w:r>
            <w:r w:rsidRPr="00E90B60">
              <w:rPr>
                <w:rStyle w:val="Hyperlink"/>
              </w:rPr>
              <w:t>Requests for Pavement Field Work</w:t>
            </w:r>
            <w:r>
              <w:rPr>
                <w:webHidden/>
              </w:rPr>
              <w:tab/>
            </w:r>
            <w:r>
              <w:rPr>
                <w:webHidden/>
              </w:rPr>
              <w:fldChar w:fldCharType="begin"/>
            </w:r>
            <w:r>
              <w:rPr>
                <w:webHidden/>
              </w:rPr>
              <w:instrText xml:space="preserve"> PAGEREF _Toc194932368 \h </w:instrText>
            </w:r>
            <w:r>
              <w:rPr>
                <w:webHidden/>
              </w:rPr>
            </w:r>
            <w:r>
              <w:rPr>
                <w:webHidden/>
              </w:rPr>
              <w:fldChar w:fldCharType="separate"/>
            </w:r>
            <w:r w:rsidR="00624A9D">
              <w:rPr>
                <w:webHidden/>
              </w:rPr>
              <w:t>3-19</w:t>
            </w:r>
            <w:r>
              <w:rPr>
                <w:webHidden/>
              </w:rPr>
              <w:fldChar w:fldCharType="end"/>
            </w:r>
          </w:hyperlink>
        </w:p>
        <w:p w14:paraId="7551661B" w14:textId="0CD0A33D" w:rsidR="001777C7" w:rsidRDefault="001777C7">
          <w:pPr>
            <w:pStyle w:val="TOC2"/>
            <w:rPr>
              <w:rFonts w:asciiTheme="minorHAnsi" w:eastAsiaTheme="minorEastAsia" w:hAnsiTheme="minorHAnsi" w:cstheme="minorBidi"/>
              <w:kern w:val="2"/>
              <w:sz w:val="22"/>
              <w:szCs w:val="22"/>
              <w14:ligatures w14:val="standardContextual"/>
            </w:rPr>
          </w:pPr>
          <w:hyperlink w:anchor="_Toc194932369" w:history="1">
            <w:r w:rsidRPr="00E90B60">
              <w:rPr>
                <w:rStyle w:val="Hyperlink"/>
              </w:rPr>
              <w:t>3.06</w:t>
            </w:r>
            <w:r>
              <w:rPr>
                <w:rFonts w:asciiTheme="minorHAnsi" w:eastAsiaTheme="minorEastAsia" w:hAnsiTheme="minorHAnsi" w:cstheme="minorBidi"/>
                <w:kern w:val="2"/>
                <w:sz w:val="22"/>
                <w:szCs w:val="22"/>
                <w14:ligatures w14:val="standardContextual"/>
              </w:rPr>
              <w:tab/>
            </w:r>
            <w:r w:rsidRPr="00E90B60">
              <w:rPr>
                <w:rStyle w:val="Hyperlink"/>
              </w:rPr>
              <w:t>Geotechnical Investigation Scoping</w:t>
            </w:r>
            <w:r>
              <w:rPr>
                <w:webHidden/>
              </w:rPr>
              <w:tab/>
            </w:r>
            <w:r>
              <w:rPr>
                <w:webHidden/>
              </w:rPr>
              <w:fldChar w:fldCharType="begin"/>
            </w:r>
            <w:r>
              <w:rPr>
                <w:webHidden/>
              </w:rPr>
              <w:instrText xml:space="preserve"> PAGEREF _Toc194932369 \h </w:instrText>
            </w:r>
            <w:r>
              <w:rPr>
                <w:webHidden/>
              </w:rPr>
            </w:r>
            <w:r>
              <w:rPr>
                <w:webHidden/>
              </w:rPr>
              <w:fldChar w:fldCharType="separate"/>
            </w:r>
            <w:r w:rsidR="00624A9D">
              <w:rPr>
                <w:webHidden/>
              </w:rPr>
              <w:t>3-22</w:t>
            </w:r>
            <w:r>
              <w:rPr>
                <w:webHidden/>
              </w:rPr>
              <w:fldChar w:fldCharType="end"/>
            </w:r>
          </w:hyperlink>
        </w:p>
        <w:p w14:paraId="4EC71E6A" w14:textId="63F78277" w:rsidR="001777C7" w:rsidRDefault="001777C7">
          <w:pPr>
            <w:pStyle w:val="TOC2"/>
            <w:rPr>
              <w:rFonts w:asciiTheme="minorHAnsi" w:eastAsiaTheme="minorEastAsia" w:hAnsiTheme="minorHAnsi" w:cstheme="minorBidi"/>
              <w:kern w:val="2"/>
              <w:sz w:val="22"/>
              <w:szCs w:val="22"/>
              <w14:ligatures w14:val="standardContextual"/>
            </w:rPr>
          </w:pPr>
          <w:hyperlink w:anchor="_Toc194932370" w:history="1">
            <w:r w:rsidRPr="00E90B60">
              <w:rPr>
                <w:rStyle w:val="Hyperlink"/>
              </w:rPr>
              <w:t>3.07</w:t>
            </w:r>
            <w:r>
              <w:rPr>
                <w:rFonts w:asciiTheme="minorHAnsi" w:eastAsiaTheme="minorEastAsia" w:hAnsiTheme="minorHAnsi" w:cstheme="minorBidi"/>
                <w:kern w:val="2"/>
                <w:sz w:val="22"/>
                <w:szCs w:val="22"/>
                <w14:ligatures w14:val="standardContextual"/>
              </w:rPr>
              <w:tab/>
            </w:r>
            <w:r w:rsidRPr="00E90B60">
              <w:rPr>
                <w:rStyle w:val="Hyperlink"/>
              </w:rPr>
              <w:t>Geophysical Investigation</w:t>
            </w:r>
            <w:r>
              <w:rPr>
                <w:webHidden/>
              </w:rPr>
              <w:tab/>
            </w:r>
            <w:r>
              <w:rPr>
                <w:webHidden/>
              </w:rPr>
              <w:fldChar w:fldCharType="begin"/>
            </w:r>
            <w:r>
              <w:rPr>
                <w:webHidden/>
              </w:rPr>
              <w:instrText xml:space="preserve"> PAGEREF _Toc194932370 \h </w:instrText>
            </w:r>
            <w:r>
              <w:rPr>
                <w:webHidden/>
              </w:rPr>
            </w:r>
            <w:r>
              <w:rPr>
                <w:webHidden/>
              </w:rPr>
              <w:fldChar w:fldCharType="separate"/>
            </w:r>
            <w:r w:rsidR="00624A9D">
              <w:rPr>
                <w:webHidden/>
              </w:rPr>
              <w:t>3-30</w:t>
            </w:r>
            <w:r>
              <w:rPr>
                <w:webHidden/>
              </w:rPr>
              <w:fldChar w:fldCharType="end"/>
            </w:r>
          </w:hyperlink>
        </w:p>
        <w:p w14:paraId="47E6AE2F" w14:textId="3B07F77E" w:rsidR="001777C7" w:rsidRDefault="001777C7">
          <w:pPr>
            <w:pStyle w:val="TOC2"/>
            <w:rPr>
              <w:rFonts w:asciiTheme="minorHAnsi" w:eastAsiaTheme="minorEastAsia" w:hAnsiTheme="minorHAnsi" w:cstheme="minorBidi"/>
              <w:kern w:val="2"/>
              <w:sz w:val="22"/>
              <w:szCs w:val="22"/>
              <w14:ligatures w14:val="standardContextual"/>
            </w:rPr>
          </w:pPr>
          <w:hyperlink w:anchor="_Toc194932371" w:history="1">
            <w:r w:rsidRPr="00E90B60">
              <w:rPr>
                <w:rStyle w:val="Hyperlink"/>
              </w:rPr>
              <w:t>3.08</w:t>
            </w:r>
            <w:r>
              <w:rPr>
                <w:rFonts w:asciiTheme="minorHAnsi" w:eastAsiaTheme="minorEastAsia" w:hAnsiTheme="minorHAnsi" w:cstheme="minorBidi"/>
                <w:kern w:val="2"/>
                <w:sz w:val="22"/>
                <w:szCs w:val="22"/>
                <w14:ligatures w14:val="standardContextual"/>
              </w:rPr>
              <w:tab/>
            </w:r>
            <w:r w:rsidRPr="00E90B60">
              <w:rPr>
                <w:rStyle w:val="Hyperlink"/>
              </w:rPr>
              <w:t>Requests For Geotechnical Field work</w:t>
            </w:r>
            <w:r>
              <w:rPr>
                <w:webHidden/>
              </w:rPr>
              <w:tab/>
            </w:r>
            <w:r>
              <w:rPr>
                <w:webHidden/>
              </w:rPr>
              <w:fldChar w:fldCharType="begin"/>
            </w:r>
            <w:r>
              <w:rPr>
                <w:webHidden/>
              </w:rPr>
              <w:instrText xml:space="preserve"> PAGEREF _Toc194932371 \h </w:instrText>
            </w:r>
            <w:r>
              <w:rPr>
                <w:webHidden/>
              </w:rPr>
            </w:r>
            <w:r>
              <w:rPr>
                <w:webHidden/>
              </w:rPr>
              <w:fldChar w:fldCharType="separate"/>
            </w:r>
            <w:r w:rsidR="00624A9D">
              <w:rPr>
                <w:webHidden/>
              </w:rPr>
              <w:t>3-39</w:t>
            </w:r>
            <w:r>
              <w:rPr>
                <w:webHidden/>
              </w:rPr>
              <w:fldChar w:fldCharType="end"/>
            </w:r>
          </w:hyperlink>
        </w:p>
        <w:p w14:paraId="77B52D91" w14:textId="3098C4BB" w:rsidR="001777C7" w:rsidRDefault="001777C7">
          <w:pPr>
            <w:pStyle w:val="TOC2"/>
            <w:rPr>
              <w:rFonts w:asciiTheme="minorHAnsi" w:eastAsiaTheme="minorEastAsia" w:hAnsiTheme="minorHAnsi" w:cstheme="minorBidi"/>
              <w:kern w:val="2"/>
              <w:sz w:val="22"/>
              <w:szCs w:val="22"/>
              <w14:ligatures w14:val="standardContextual"/>
            </w:rPr>
          </w:pPr>
          <w:hyperlink w:anchor="_Toc194932372" w:history="1">
            <w:r w:rsidRPr="00E90B60">
              <w:rPr>
                <w:rStyle w:val="Hyperlink"/>
              </w:rPr>
              <w:t>3.09</w:t>
            </w:r>
            <w:r>
              <w:rPr>
                <w:rFonts w:asciiTheme="minorHAnsi" w:eastAsiaTheme="minorEastAsia" w:hAnsiTheme="minorHAnsi" w:cstheme="minorBidi"/>
                <w:kern w:val="2"/>
                <w:sz w:val="22"/>
                <w:szCs w:val="22"/>
                <w14:ligatures w14:val="standardContextual"/>
              </w:rPr>
              <w:tab/>
            </w:r>
            <w:r w:rsidRPr="00E90B60">
              <w:rPr>
                <w:rStyle w:val="Hyperlink"/>
              </w:rPr>
              <w:t>Requests For Lab Work</w:t>
            </w:r>
            <w:r>
              <w:rPr>
                <w:webHidden/>
              </w:rPr>
              <w:tab/>
            </w:r>
            <w:r>
              <w:rPr>
                <w:webHidden/>
              </w:rPr>
              <w:fldChar w:fldCharType="begin"/>
            </w:r>
            <w:r>
              <w:rPr>
                <w:webHidden/>
              </w:rPr>
              <w:instrText xml:space="preserve"> PAGEREF _Toc194932372 \h </w:instrText>
            </w:r>
            <w:r>
              <w:rPr>
                <w:webHidden/>
              </w:rPr>
            </w:r>
            <w:r>
              <w:rPr>
                <w:webHidden/>
              </w:rPr>
              <w:fldChar w:fldCharType="separate"/>
            </w:r>
            <w:r w:rsidR="00624A9D">
              <w:rPr>
                <w:webHidden/>
              </w:rPr>
              <w:t>3-52</w:t>
            </w:r>
            <w:r>
              <w:rPr>
                <w:webHidden/>
              </w:rPr>
              <w:fldChar w:fldCharType="end"/>
            </w:r>
          </w:hyperlink>
        </w:p>
        <w:p w14:paraId="7CA21479" w14:textId="3716C0DA" w:rsidR="001777C7" w:rsidRDefault="001777C7">
          <w:pPr>
            <w:pStyle w:val="TOC1"/>
            <w:rPr>
              <w:rFonts w:asciiTheme="minorHAnsi" w:eastAsiaTheme="minorEastAsia" w:hAnsiTheme="minorHAnsi" w:cstheme="minorBidi"/>
              <w:b w:val="0"/>
              <w:kern w:val="2"/>
              <w:szCs w:val="22"/>
              <w14:ligatures w14:val="standardContextual"/>
            </w:rPr>
          </w:pPr>
          <w:hyperlink w:anchor="_Toc194932373" w:history="1">
            <w:r w:rsidRPr="00E90B60">
              <w:rPr>
                <w:rStyle w:val="Hyperlink"/>
              </w:rPr>
              <w:t>4</w:t>
            </w:r>
            <w:r>
              <w:rPr>
                <w:rFonts w:asciiTheme="minorHAnsi" w:eastAsiaTheme="minorEastAsia" w:hAnsiTheme="minorHAnsi" w:cstheme="minorBidi"/>
                <w:b w:val="0"/>
                <w:kern w:val="2"/>
                <w:szCs w:val="22"/>
                <w14:ligatures w14:val="standardContextual"/>
              </w:rPr>
              <w:tab/>
            </w:r>
            <w:r w:rsidRPr="00E90B60">
              <w:rPr>
                <w:rStyle w:val="Hyperlink"/>
              </w:rPr>
              <w:t>Materials and Typical Design Properties</w:t>
            </w:r>
            <w:r>
              <w:rPr>
                <w:webHidden/>
              </w:rPr>
              <w:tab/>
            </w:r>
            <w:r>
              <w:rPr>
                <w:webHidden/>
              </w:rPr>
              <w:fldChar w:fldCharType="begin"/>
            </w:r>
            <w:r>
              <w:rPr>
                <w:webHidden/>
              </w:rPr>
              <w:instrText xml:space="preserve"> PAGEREF _Toc194932373 \h </w:instrText>
            </w:r>
            <w:r>
              <w:rPr>
                <w:webHidden/>
              </w:rPr>
            </w:r>
            <w:r>
              <w:rPr>
                <w:webHidden/>
              </w:rPr>
              <w:fldChar w:fldCharType="separate"/>
            </w:r>
            <w:r w:rsidR="00624A9D">
              <w:rPr>
                <w:webHidden/>
              </w:rPr>
              <w:t>4-1</w:t>
            </w:r>
            <w:r>
              <w:rPr>
                <w:webHidden/>
              </w:rPr>
              <w:fldChar w:fldCharType="end"/>
            </w:r>
          </w:hyperlink>
        </w:p>
        <w:p w14:paraId="70F86F73" w14:textId="083A4439" w:rsidR="001777C7" w:rsidRDefault="001777C7">
          <w:pPr>
            <w:pStyle w:val="TOC2"/>
            <w:rPr>
              <w:rFonts w:asciiTheme="minorHAnsi" w:eastAsiaTheme="minorEastAsia" w:hAnsiTheme="minorHAnsi" w:cstheme="minorBidi"/>
              <w:kern w:val="2"/>
              <w:sz w:val="22"/>
              <w:szCs w:val="22"/>
              <w14:ligatures w14:val="standardContextual"/>
            </w:rPr>
          </w:pPr>
          <w:hyperlink w:anchor="_Toc194932374" w:history="1">
            <w:r w:rsidRPr="00E90B60">
              <w:rPr>
                <w:rStyle w:val="Hyperlink"/>
              </w:rPr>
              <w:t>4.01</w:t>
            </w:r>
            <w:r>
              <w:rPr>
                <w:rFonts w:asciiTheme="minorHAnsi" w:eastAsiaTheme="minorEastAsia" w:hAnsiTheme="minorHAnsi" w:cstheme="minorBidi"/>
                <w:kern w:val="2"/>
                <w:sz w:val="22"/>
                <w:szCs w:val="22"/>
                <w14:ligatures w14:val="standardContextual"/>
              </w:rPr>
              <w:tab/>
            </w:r>
            <w:r w:rsidRPr="00E90B60">
              <w:rPr>
                <w:rStyle w:val="Hyperlink"/>
              </w:rPr>
              <w:t>Material Description</w:t>
            </w:r>
            <w:r>
              <w:rPr>
                <w:webHidden/>
              </w:rPr>
              <w:tab/>
            </w:r>
            <w:r>
              <w:rPr>
                <w:webHidden/>
              </w:rPr>
              <w:fldChar w:fldCharType="begin"/>
            </w:r>
            <w:r>
              <w:rPr>
                <w:webHidden/>
              </w:rPr>
              <w:instrText xml:space="preserve"> PAGEREF _Toc194932374 \h </w:instrText>
            </w:r>
            <w:r>
              <w:rPr>
                <w:webHidden/>
              </w:rPr>
            </w:r>
            <w:r>
              <w:rPr>
                <w:webHidden/>
              </w:rPr>
              <w:fldChar w:fldCharType="separate"/>
            </w:r>
            <w:r w:rsidR="00624A9D">
              <w:rPr>
                <w:webHidden/>
              </w:rPr>
              <w:t>4-1</w:t>
            </w:r>
            <w:r>
              <w:rPr>
                <w:webHidden/>
              </w:rPr>
              <w:fldChar w:fldCharType="end"/>
            </w:r>
          </w:hyperlink>
        </w:p>
        <w:p w14:paraId="05D8749C" w14:textId="4E2F4F8A" w:rsidR="001777C7" w:rsidRDefault="001777C7">
          <w:pPr>
            <w:pStyle w:val="TOC2"/>
            <w:rPr>
              <w:rFonts w:asciiTheme="minorHAnsi" w:eastAsiaTheme="minorEastAsia" w:hAnsiTheme="minorHAnsi" w:cstheme="minorBidi"/>
              <w:kern w:val="2"/>
              <w:sz w:val="22"/>
              <w:szCs w:val="22"/>
              <w14:ligatures w14:val="standardContextual"/>
            </w:rPr>
          </w:pPr>
          <w:hyperlink w:anchor="_Toc194932375" w:history="1">
            <w:r w:rsidRPr="00E90B60">
              <w:rPr>
                <w:rStyle w:val="Hyperlink"/>
              </w:rPr>
              <w:t>4.02</w:t>
            </w:r>
            <w:r>
              <w:rPr>
                <w:rFonts w:asciiTheme="minorHAnsi" w:eastAsiaTheme="minorEastAsia" w:hAnsiTheme="minorHAnsi" w:cstheme="minorBidi"/>
                <w:kern w:val="2"/>
                <w:sz w:val="22"/>
                <w:szCs w:val="22"/>
                <w14:ligatures w14:val="standardContextual"/>
              </w:rPr>
              <w:tab/>
            </w:r>
            <w:r w:rsidRPr="00E90B60">
              <w:rPr>
                <w:rStyle w:val="Hyperlink"/>
              </w:rPr>
              <w:t>Material Properties – General/Definitions</w:t>
            </w:r>
            <w:r>
              <w:rPr>
                <w:webHidden/>
              </w:rPr>
              <w:tab/>
            </w:r>
            <w:r>
              <w:rPr>
                <w:webHidden/>
              </w:rPr>
              <w:fldChar w:fldCharType="begin"/>
            </w:r>
            <w:r>
              <w:rPr>
                <w:webHidden/>
              </w:rPr>
              <w:instrText xml:space="preserve"> PAGEREF _Toc194932375 \h </w:instrText>
            </w:r>
            <w:r>
              <w:rPr>
                <w:webHidden/>
              </w:rPr>
            </w:r>
            <w:r>
              <w:rPr>
                <w:webHidden/>
              </w:rPr>
              <w:fldChar w:fldCharType="separate"/>
            </w:r>
            <w:r w:rsidR="00624A9D">
              <w:rPr>
                <w:webHidden/>
              </w:rPr>
              <w:t>4-4</w:t>
            </w:r>
            <w:r>
              <w:rPr>
                <w:webHidden/>
              </w:rPr>
              <w:fldChar w:fldCharType="end"/>
            </w:r>
          </w:hyperlink>
        </w:p>
        <w:p w14:paraId="5BFE3274" w14:textId="339160BB" w:rsidR="001777C7" w:rsidRDefault="001777C7">
          <w:pPr>
            <w:pStyle w:val="TOC2"/>
            <w:rPr>
              <w:rFonts w:asciiTheme="minorHAnsi" w:eastAsiaTheme="minorEastAsia" w:hAnsiTheme="minorHAnsi" w:cstheme="minorBidi"/>
              <w:kern w:val="2"/>
              <w:sz w:val="22"/>
              <w:szCs w:val="22"/>
              <w14:ligatures w14:val="standardContextual"/>
            </w:rPr>
          </w:pPr>
          <w:hyperlink w:anchor="_Toc194932376" w:history="1">
            <w:r w:rsidRPr="00E90B60">
              <w:rPr>
                <w:rStyle w:val="Hyperlink"/>
              </w:rPr>
              <w:t>4.03</w:t>
            </w:r>
            <w:r>
              <w:rPr>
                <w:rFonts w:asciiTheme="minorHAnsi" w:eastAsiaTheme="minorEastAsia" w:hAnsiTheme="minorHAnsi" w:cstheme="minorBidi"/>
                <w:kern w:val="2"/>
                <w:sz w:val="22"/>
                <w:szCs w:val="22"/>
                <w14:ligatures w14:val="standardContextual"/>
              </w:rPr>
              <w:tab/>
            </w:r>
            <w:r w:rsidRPr="00E90B60">
              <w:rPr>
                <w:rStyle w:val="Hyperlink"/>
              </w:rPr>
              <w:t>Material Properties – Asphalt</w:t>
            </w:r>
            <w:r>
              <w:rPr>
                <w:webHidden/>
              </w:rPr>
              <w:tab/>
            </w:r>
            <w:r>
              <w:rPr>
                <w:webHidden/>
              </w:rPr>
              <w:fldChar w:fldCharType="begin"/>
            </w:r>
            <w:r>
              <w:rPr>
                <w:webHidden/>
              </w:rPr>
              <w:instrText xml:space="preserve"> PAGEREF _Toc194932376 \h </w:instrText>
            </w:r>
            <w:r>
              <w:rPr>
                <w:webHidden/>
              </w:rPr>
            </w:r>
            <w:r>
              <w:rPr>
                <w:webHidden/>
              </w:rPr>
              <w:fldChar w:fldCharType="separate"/>
            </w:r>
            <w:r w:rsidR="00624A9D">
              <w:rPr>
                <w:webHidden/>
              </w:rPr>
              <w:t>4-7</w:t>
            </w:r>
            <w:r>
              <w:rPr>
                <w:webHidden/>
              </w:rPr>
              <w:fldChar w:fldCharType="end"/>
            </w:r>
          </w:hyperlink>
        </w:p>
        <w:p w14:paraId="41E2654E" w14:textId="7A69E8E0" w:rsidR="001777C7" w:rsidRDefault="001777C7">
          <w:pPr>
            <w:pStyle w:val="TOC2"/>
            <w:rPr>
              <w:rFonts w:asciiTheme="minorHAnsi" w:eastAsiaTheme="minorEastAsia" w:hAnsiTheme="minorHAnsi" w:cstheme="minorBidi"/>
              <w:kern w:val="2"/>
              <w:sz w:val="22"/>
              <w:szCs w:val="22"/>
              <w14:ligatures w14:val="standardContextual"/>
            </w:rPr>
          </w:pPr>
          <w:hyperlink w:anchor="_Toc194932377" w:history="1">
            <w:r w:rsidRPr="00E90B60">
              <w:rPr>
                <w:rStyle w:val="Hyperlink"/>
              </w:rPr>
              <w:t>4.04</w:t>
            </w:r>
            <w:r>
              <w:rPr>
                <w:rFonts w:asciiTheme="minorHAnsi" w:eastAsiaTheme="minorEastAsia" w:hAnsiTheme="minorHAnsi" w:cstheme="minorBidi"/>
                <w:kern w:val="2"/>
                <w:sz w:val="22"/>
                <w:szCs w:val="22"/>
                <w14:ligatures w14:val="standardContextual"/>
              </w:rPr>
              <w:tab/>
            </w:r>
            <w:r w:rsidRPr="00E90B60">
              <w:rPr>
                <w:rStyle w:val="Hyperlink"/>
              </w:rPr>
              <w:t>Material Properties – Concrete</w:t>
            </w:r>
            <w:r>
              <w:rPr>
                <w:webHidden/>
              </w:rPr>
              <w:tab/>
            </w:r>
            <w:r>
              <w:rPr>
                <w:webHidden/>
              </w:rPr>
              <w:fldChar w:fldCharType="begin"/>
            </w:r>
            <w:r>
              <w:rPr>
                <w:webHidden/>
              </w:rPr>
              <w:instrText xml:space="preserve"> PAGEREF _Toc194932377 \h </w:instrText>
            </w:r>
            <w:r>
              <w:rPr>
                <w:webHidden/>
              </w:rPr>
            </w:r>
            <w:r>
              <w:rPr>
                <w:webHidden/>
              </w:rPr>
              <w:fldChar w:fldCharType="separate"/>
            </w:r>
            <w:r w:rsidR="00624A9D">
              <w:rPr>
                <w:webHidden/>
              </w:rPr>
              <w:t>4-10</w:t>
            </w:r>
            <w:r>
              <w:rPr>
                <w:webHidden/>
              </w:rPr>
              <w:fldChar w:fldCharType="end"/>
            </w:r>
          </w:hyperlink>
        </w:p>
        <w:p w14:paraId="25554105" w14:textId="493F5D4E" w:rsidR="001777C7" w:rsidRDefault="001777C7">
          <w:pPr>
            <w:pStyle w:val="TOC2"/>
            <w:rPr>
              <w:rFonts w:asciiTheme="minorHAnsi" w:eastAsiaTheme="minorEastAsia" w:hAnsiTheme="minorHAnsi" w:cstheme="minorBidi"/>
              <w:kern w:val="2"/>
              <w:sz w:val="22"/>
              <w:szCs w:val="22"/>
              <w14:ligatures w14:val="standardContextual"/>
            </w:rPr>
          </w:pPr>
          <w:hyperlink w:anchor="_Toc194932378" w:history="1">
            <w:r w:rsidRPr="00E90B60">
              <w:rPr>
                <w:rStyle w:val="Hyperlink"/>
              </w:rPr>
              <w:t>4.05</w:t>
            </w:r>
            <w:r>
              <w:rPr>
                <w:rFonts w:asciiTheme="minorHAnsi" w:eastAsiaTheme="minorEastAsia" w:hAnsiTheme="minorHAnsi" w:cstheme="minorBidi"/>
                <w:kern w:val="2"/>
                <w:sz w:val="22"/>
                <w:szCs w:val="22"/>
                <w14:ligatures w14:val="standardContextual"/>
              </w:rPr>
              <w:tab/>
            </w:r>
            <w:r w:rsidRPr="00E90B60">
              <w:rPr>
                <w:rStyle w:val="Hyperlink"/>
              </w:rPr>
              <w:t>Material Properties – Unbound Layers</w:t>
            </w:r>
            <w:r>
              <w:rPr>
                <w:webHidden/>
              </w:rPr>
              <w:tab/>
            </w:r>
            <w:r>
              <w:rPr>
                <w:webHidden/>
              </w:rPr>
              <w:fldChar w:fldCharType="begin"/>
            </w:r>
            <w:r>
              <w:rPr>
                <w:webHidden/>
              </w:rPr>
              <w:instrText xml:space="preserve"> PAGEREF _Toc194932378 \h </w:instrText>
            </w:r>
            <w:r>
              <w:rPr>
                <w:webHidden/>
              </w:rPr>
            </w:r>
            <w:r>
              <w:rPr>
                <w:webHidden/>
              </w:rPr>
              <w:fldChar w:fldCharType="separate"/>
            </w:r>
            <w:r w:rsidR="00624A9D">
              <w:rPr>
                <w:webHidden/>
              </w:rPr>
              <w:t>4-13</w:t>
            </w:r>
            <w:r>
              <w:rPr>
                <w:webHidden/>
              </w:rPr>
              <w:fldChar w:fldCharType="end"/>
            </w:r>
          </w:hyperlink>
        </w:p>
        <w:p w14:paraId="52AC34EE" w14:textId="479D3798" w:rsidR="001777C7" w:rsidRDefault="001777C7">
          <w:pPr>
            <w:pStyle w:val="TOC2"/>
            <w:rPr>
              <w:rFonts w:asciiTheme="minorHAnsi" w:eastAsiaTheme="minorEastAsia" w:hAnsiTheme="minorHAnsi" w:cstheme="minorBidi"/>
              <w:kern w:val="2"/>
              <w:sz w:val="22"/>
              <w:szCs w:val="22"/>
              <w14:ligatures w14:val="standardContextual"/>
            </w:rPr>
          </w:pPr>
          <w:hyperlink w:anchor="_Toc194932379" w:history="1">
            <w:r w:rsidRPr="00E90B60">
              <w:rPr>
                <w:rStyle w:val="Hyperlink"/>
              </w:rPr>
              <w:t>4.06</w:t>
            </w:r>
            <w:r>
              <w:rPr>
                <w:rFonts w:asciiTheme="minorHAnsi" w:eastAsiaTheme="minorEastAsia" w:hAnsiTheme="minorHAnsi" w:cstheme="minorBidi"/>
                <w:kern w:val="2"/>
                <w:sz w:val="22"/>
                <w:szCs w:val="22"/>
                <w14:ligatures w14:val="standardContextual"/>
              </w:rPr>
              <w:tab/>
            </w:r>
            <w:r w:rsidRPr="00E90B60">
              <w:rPr>
                <w:rStyle w:val="Hyperlink"/>
              </w:rPr>
              <w:t>Geotechnical Design Properties</w:t>
            </w:r>
            <w:r>
              <w:rPr>
                <w:webHidden/>
              </w:rPr>
              <w:tab/>
            </w:r>
            <w:r>
              <w:rPr>
                <w:webHidden/>
              </w:rPr>
              <w:fldChar w:fldCharType="begin"/>
            </w:r>
            <w:r>
              <w:rPr>
                <w:webHidden/>
              </w:rPr>
              <w:instrText xml:space="preserve"> PAGEREF _Toc194932379 \h </w:instrText>
            </w:r>
            <w:r>
              <w:rPr>
                <w:webHidden/>
              </w:rPr>
            </w:r>
            <w:r>
              <w:rPr>
                <w:webHidden/>
              </w:rPr>
              <w:fldChar w:fldCharType="separate"/>
            </w:r>
            <w:r w:rsidR="00624A9D">
              <w:rPr>
                <w:webHidden/>
              </w:rPr>
              <w:t>4-22</w:t>
            </w:r>
            <w:r>
              <w:rPr>
                <w:webHidden/>
              </w:rPr>
              <w:fldChar w:fldCharType="end"/>
            </w:r>
          </w:hyperlink>
        </w:p>
        <w:p w14:paraId="33777FAE" w14:textId="154824C1" w:rsidR="001777C7" w:rsidRDefault="001777C7">
          <w:pPr>
            <w:pStyle w:val="TOC2"/>
            <w:rPr>
              <w:rFonts w:asciiTheme="minorHAnsi" w:eastAsiaTheme="minorEastAsia" w:hAnsiTheme="minorHAnsi" w:cstheme="minorBidi"/>
              <w:kern w:val="2"/>
              <w:sz w:val="22"/>
              <w:szCs w:val="22"/>
              <w14:ligatures w14:val="standardContextual"/>
            </w:rPr>
          </w:pPr>
          <w:hyperlink w:anchor="_Toc194932380" w:history="1">
            <w:r w:rsidRPr="00E90B60">
              <w:rPr>
                <w:rStyle w:val="Hyperlink"/>
              </w:rPr>
              <w:t>4.07</w:t>
            </w:r>
            <w:r>
              <w:rPr>
                <w:rFonts w:asciiTheme="minorHAnsi" w:eastAsiaTheme="minorEastAsia" w:hAnsiTheme="minorHAnsi" w:cstheme="minorBidi"/>
                <w:kern w:val="2"/>
                <w:sz w:val="22"/>
                <w:szCs w:val="22"/>
                <w14:ligatures w14:val="standardContextual"/>
              </w:rPr>
              <w:tab/>
            </w:r>
            <w:r w:rsidRPr="00E90B60">
              <w:rPr>
                <w:rStyle w:val="Hyperlink"/>
              </w:rPr>
              <w:t>Design Properties for Pavement Materials – AASHTO 1993</w:t>
            </w:r>
            <w:r>
              <w:rPr>
                <w:webHidden/>
              </w:rPr>
              <w:tab/>
            </w:r>
            <w:r>
              <w:rPr>
                <w:webHidden/>
              </w:rPr>
              <w:fldChar w:fldCharType="begin"/>
            </w:r>
            <w:r>
              <w:rPr>
                <w:webHidden/>
              </w:rPr>
              <w:instrText xml:space="preserve"> PAGEREF _Toc194932380 \h </w:instrText>
            </w:r>
            <w:r>
              <w:rPr>
                <w:webHidden/>
              </w:rPr>
            </w:r>
            <w:r>
              <w:rPr>
                <w:webHidden/>
              </w:rPr>
              <w:fldChar w:fldCharType="separate"/>
            </w:r>
            <w:r w:rsidR="00624A9D">
              <w:rPr>
                <w:webHidden/>
              </w:rPr>
              <w:t>4-23</w:t>
            </w:r>
            <w:r>
              <w:rPr>
                <w:webHidden/>
              </w:rPr>
              <w:fldChar w:fldCharType="end"/>
            </w:r>
          </w:hyperlink>
        </w:p>
        <w:p w14:paraId="0A69FB4C" w14:textId="7CF763CC" w:rsidR="001777C7" w:rsidRDefault="001777C7">
          <w:pPr>
            <w:pStyle w:val="TOC1"/>
            <w:rPr>
              <w:rFonts w:asciiTheme="minorHAnsi" w:eastAsiaTheme="minorEastAsia" w:hAnsiTheme="minorHAnsi" w:cstheme="minorBidi"/>
              <w:b w:val="0"/>
              <w:kern w:val="2"/>
              <w:szCs w:val="22"/>
              <w14:ligatures w14:val="standardContextual"/>
            </w:rPr>
          </w:pPr>
          <w:hyperlink w:anchor="_Toc194932381" w:history="1">
            <w:r w:rsidRPr="00E90B60">
              <w:rPr>
                <w:rStyle w:val="Hyperlink"/>
              </w:rPr>
              <w:t>5</w:t>
            </w:r>
            <w:r>
              <w:rPr>
                <w:rFonts w:asciiTheme="minorHAnsi" w:eastAsiaTheme="minorEastAsia" w:hAnsiTheme="minorHAnsi" w:cstheme="minorBidi"/>
                <w:b w:val="0"/>
                <w:kern w:val="2"/>
                <w:szCs w:val="22"/>
                <w14:ligatures w14:val="standardContextual"/>
              </w:rPr>
              <w:tab/>
            </w:r>
            <w:r w:rsidRPr="00E90B60">
              <w:rPr>
                <w:rStyle w:val="Hyperlink"/>
              </w:rPr>
              <w:t>Analysis Procedures</w:t>
            </w:r>
            <w:r>
              <w:rPr>
                <w:webHidden/>
              </w:rPr>
              <w:tab/>
            </w:r>
            <w:r>
              <w:rPr>
                <w:webHidden/>
              </w:rPr>
              <w:fldChar w:fldCharType="begin"/>
            </w:r>
            <w:r>
              <w:rPr>
                <w:webHidden/>
              </w:rPr>
              <w:instrText xml:space="preserve"> PAGEREF _Toc194932381 \h </w:instrText>
            </w:r>
            <w:r>
              <w:rPr>
                <w:webHidden/>
              </w:rPr>
            </w:r>
            <w:r>
              <w:rPr>
                <w:webHidden/>
              </w:rPr>
              <w:fldChar w:fldCharType="separate"/>
            </w:r>
            <w:r w:rsidR="00624A9D">
              <w:rPr>
                <w:webHidden/>
              </w:rPr>
              <w:t>5-1</w:t>
            </w:r>
            <w:r>
              <w:rPr>
                <w:webHidden/>
              </w:rPr>
              <w:fldChar w:fldCharType="end"/>
            </w:r>
          </w:hyperlink>
        </w:p>
        <w:p w14:paraId="1EDA5838" w14:textId="109657B1" w:rsidR="001777C7" w:rsidRDefault="001777C7">
          <w:pPr>
            <w:pStyle w:val="TOC2"/>
            <w:rPr>
              <w:rFonts w:asciiTheme="minorHAnsi" w:eastAsiaTheme="minorEastAsia" w:hAnsiTheme="minorHAnsi" w:cstheme="minorBidi"/>
              <w:kern w:val="2"/>
              <w:sz w:val="22"/>
              <w:szCs w:val="22"/>
              <w14:ligatures w14:val="standardContextual"/>
            </w:rPr>
          </w:pPr>
          <w:hyperlink w:anchor="_Toc194932382" w:history="1">
            <w:r w:rsidRPr="00E90B60">
              <w:rPr>
                <w:rStyle w:val="Hyperlink"/>
              </w:rPr>
              <w:t>5.01</w:t>
            </w:r>
            <w:r>
              <w:rPr>
                <w:rFonts w:asciiTheme="minorHAnsi" w:eastAsiaTheme="minorEastAsia" w:hAnsiTheme="minorHAnsi" w:cstheme="minorBidi"/>
                <w:kern w:val="2"/>
                <w:sz w:val="22"/>
                <w:szCs w:val="22"/>
                <w14:ligatures w14:val="standardContextual"/>
              </w:rPr>
              <w:tab/>
            </w:r>
            <w:r w:rsidRPr="00E90B60">
              <w:rPr>
                <w:rStyle w:val="Hyperlink"/>
              </w:rPr>
              <w:t>Traffic Analysis</w:t>
            </w:r>
            <w:r>
              <w:rPr>
                <w:webHidden/>
              </w:rPr>
              <w:tab/>
            </w:r>
            <w:r>
              <w:rPr>
                <w:webHidden/>
              </w:rPr>
              <w:fldChar w:fldCharType="begin"/>
            </w:r>
            <w:r>
              <w:rPr>
                <w:webHidden/>
              </w:rPr>
              <w:instrText xml:space="preserve"> PAGEREF _Toc194932382 \h </w:instrText>
            </w:r>
            <w:r>
              <w:rPr>
                <w:webHidden/>
              </w:rPr>
            </w:r>
            <w:r>
              <w:rPr>
                <w:webHidden/>
              </w:rPr>
              <w:fldChar w:fldCharType="separate"/>
            </w:r>
            <w:r w:rsidR="00624A9D">
              <w:rPr>
                <w:webHidden/>
              </w:rPr>
              <w:t>5-1</w:t>
            </w:r>
            <w:r>
              <w:rPr>
                <w:webHidden/>
              </w:rPr>
              <w:fldChar w:fldCharType="end"/>
            </w:r>
          </w:hyperlink>
        </w:p>
        <w:p w14:paraId="39772C5E" w14:textId="3A676DF9" w:rsidR="001777C7" w:rsidRDefault="001777C7">
          <w:pPr>
            <w:pStyle w:val="TOC2"/>
            <w:rPr>
              <w:rFonts w:asciiTheme="minorHAnsi" w:eastAsiaTheme="minorEastAsia" w:hAnsiTheme="minorHAnsi" w:cstheme="minorBidi"/>
              <w:kern w:val="2"/>
              <w:sz w:val="22"/>
              <w:szCs w:val="22"/>
              <w14:ligatures w14:val="standardContextual"/>
            </w:rPr>
          </w:pPr>
          <w:hyperlink w:anchor="_Toc194932383" w:history="1">
            <w:r w:rsidRPr="00E90B60">
              <w:rPr>
                <w:rStyle w:val="Hyperlink"/>
              </w:rPr>
              <w:t>5.02</w:t>
            </w:r>
            <w:r>
              <w:rPr>
                <w:rFonts w:asciiTheme="minorHAnsi" w:eastAsiaTheme="minorEastAsia" w:hAnsiTheme="minorHAnsi" w:cstheme="minorBidi"/>
                <w:kern w:val="2"/>
                <w:sz w:val="22"/>
                <w:szCs w:val="22"/>
                <w14:ligatures w14:val="standardContextual"/>
              </w:rPr>
              <w:tab/>
            </w:r>
            <w:r w:rsidRPr="00E90B60">
              <w:rPr>
                <w:rStyle w:val="Hyperlink"/>
              </w:rPr>
              <w:t>FWD Data Analysis Procedure</w:t>
            </w:r>
            <w:r>
              <w:rPr>
                <w:webHidden/>
              </w:rPr>
              <w:tab/>
            </w:r>
            <w:r>
              <w:rPr>
                <w:webHidden/>
              </w:rPr>
              <w:fldChar w:fldCharType="begin"/>
            </w:r>
            <w:r>
              <w:rPr>
                <w:webHidden/>
              </w:rPr>
              <w:instrText xml:space="preserve"> PAGEREF _Toc194932383 \h </w:instrText>
            </w:r>
            <w:r>
              <w:rPr>
                <w:webHidden/>
              </w:rPr>
            </w:r>
            <w:r>
              <w:rPr>
                <w:webHidden/>
              </w:rPr>
              <w:fldChar w:fldCharType="separate"/>
            </w:r>
            <w:r w:rsidR="00624A9D">
              <w:rPr>
                <w:webHidden/>
              </w:rPr>
              <w:t>5-7</w:t>
            </w:r>
            <w:r>
              <w:rPr>
                <w:webHidden/>
              </w:rPr>
              <w:fldChar w:fldCharType="end"/>
            </w:r>
          </w:hyperlink>
        </w:p>
        <w:p w14:paraId="2BEDEBB0" w14:textId="74C5B41C" w:rsidR="001777C7" w:rsidRDefault="001777C7">
          <w:pPr>
            <w:pStyle w:val="TOC2"/>
            <w:rPr>
              <w:rFonts w:asciiTheme="minorHAnsi" w:eastAsiaTheme="minorEastAsia" w:hAnsiTheme="minorHAnsi" w:cstheme="minorBidi"/>
              <w:kern w:val="2"/>
              <w:sz w:val="22"/>
              <w:szCs w:val="22"/>
              <w14:ligatures w14:val="standardContextual"/>
            </w:rPr>
          </w:pPr>
          <w:hyperlink w:anchor="_Toc194932384" w:history="1">
            <w:r w:rsidRPr="00E90B60">
              <w:rPr>
                <w:rStyle w:val="Hyperlink"/>
              </w:rPr>
              <w:t>5.03</w:t>
            </w:r>
            <w:r>
              <w:rPr>
                <w:rFonts w:asciiTheme="minorHAnsi" w:eastAsiaTheme="minorEastAsia" w:hAnsiTheme="minorHAnsi" w:cstheme="minorBidi"/>
                <w:kern w:val="2"/>
                <w:sz w:val="22"/>
                <w:szCs w:val="22"/>
                <w14:ligatures w14:val="standardContextual"/>
              </w:rPr>
              <w:tab/>
            </w:r>
            <w:r w:rsidRPr="00E90B60">
              <w:rPr>
                <w:rStyle w:val="Hyperlink"/>
              </w:rPr>
              <w:t>Processing Boring/Laboratory Data</w:t>
            </w:r>
            <w:r>
              <w:rPr>
                <w:webHidden/>
              </w:rPr>
              <w:tab/>
            </w:r>
            <w:r>
              <w:rPr>
                <w:webHidden/>
              </w:rPr>
              <w:fldChar w:fldCharType="begin"/>
            </w:r>
            <w:r>
              <w:rPr>
                <w:webHidden/>
              </w:rPr>
              <w:instrText xml:space="preserve"> PAGEREF _Toc194932384 \h </w:instrText>
            </w:r>
            <w:r>
              <w:rPr>
                <w:webHidden/>
              </w:rPr>
            </w:r>
            <w:r>
              <w:rPr>
                <w:webHidden/>
              </w:rPr>
              <w:fldChar w:fldCharType="separate"/>
            </w:r>
            <w:r w:rsidR="00624A9D">
              <w:rPr>
                <w:webHidden/>
              </w:rPr>
              <w:t>5-14</w:t>
            </w:r>
            <w:r>
              <w:rPr>
                <w:webHidden/>
              </w:rPr>
              <w:fldChar w:fldCharType="end"/>
            </w:r>
          </w:hyperlink>
        </w:p>
        <w:p w14:paraId="61779B19" w14:textId="6F51EDB4" w:rsidR="001777C7" w:rsidRDefault="001777C7">
          <w:pPr>
            <w:pStyle w:val="TOC2"/>
            <w:rPr>
              <w:rFonts w:asciiTheme="minorHAnsi" w:eastAsiaTheme="minorEastAsia" w:hAnsiTheme="minorHAnsi" w:cstheme="minorBidi"/>
              <w:kern w:val="2"/>
              <w:sz w:val="22"/>
              <w:szCs w:val="22"/>
              <w14:ligatures w14:val="standardContextual"/>
            </w:rPr>
          </w:pPr>
          <w:hyperlink w:anchor="_Toc194932385" w:history="1">
            <w:r w:rsidRPr="00E90B60">
              <w:rPr>
                <w:rStyle w:val="Hyperlink"/>
              </w:rPr>
              <w:t>5.04</w:t>
            </w:r>
            <w:r>
              <w:rPr>
                <w:rFonts w:asciiTheme="minorHAnsi" w:eastAsiaTheme="minorEastAsia" w:hAnsiTheme="minorHAnsi" w:cstheme="minorBidi"/>
                <w:kern w:val="2"/>
                <w:sz w:val="22"/>
                <w:szCs w:val="22"/>
                <w14:ligatures w14:val="standardContextual"/>
              </w:rPr>
              <w:tab/>
            </w:r>
            <w:r w:rsidRPr="00E90B60">
              <w:rPr>
                <w:rStyle w:val="Hyperlink"/>
              </w:rPr>
              <w:t>Geotechnical Data Analysis</w:t>
            </w:r>
            <w:r>
              <w:rPr>
                <w:webHidden/>
              </w:rPr>
              <w:tab/>
            </w:r>
            <w:r>
              <w:rPr>
                <w:webHidden/>
              </w:rPr>
              <w:fldChar w:fldCharType="begin"/>
            </w:r>
            <w:r>
              <w:rPr>
                <w:webHidden/>
              </w:rPr>
              <w:instrText xml:space="preserve"> PAGEREF _Toc194932385 \h </w:instrText>
            </w:r>
            <w:r>
              <w:rPr>
                <w:webHidden/>
              </w:rPr>
            </w:r>
            <w:r>
              <w:rPr>
                <w:webHidden/>
              </w:rPr>
              <w:fldChar w:fldCharType="separate"/>
            </w:r>
            <w:r w:rsidR="00624A9D">
              <w:rPr>
                <w:webHidden/>
              </w:rPr>
              <w:t>5-18</w:t>
            </w:r>
            <w:r>
              <w:rPr>
                <w:webHidden/>
              </w:rPr>
              <w:fldChar w:fldCharType="end"/>
            </w:r>
          </w:hyperlink>
        </w:p>
        <w:p w14:paraId="4485F7F5" w14:textId="1E6C7D13" w:rsidR="001777C7" w:rsidRDefault="001777C7">
          <w:pPr>
            <w:pStyle w:val="TOC2"/>
            <w:rPr>
              <w:rFonts w:asciiTheme="minorHAnsi" w:eastAsiaTheme="minorEastAsia" w:hAnsiTheme="minorHAnsi" w:cstheme="minorBidi"/>
              <w:kern w:val="2"/>
              <w:sz w:val="22"/>
              <w:szCs w:val="22"/>
              <w14:ligatures w14:val="standardContextual"/>
            </w:rPr>
          </w:pPr>
          <w:hyperlink w:anchor="_Toc194932386" w:history="1">
            <w:r w:rsidRPr="00E90B60">
              <w:rPr>
                <w:rStyle w:val="Hyperlink"/>
              </w:rPr>
              <w:t>5.05</w:t>
            </w:r>
            <w:r>
              <w:rPr>
                <w:rFonts w:asciiTheme="minorHAnsi" w:eastAsiaTheme="minorEastAsia" w:hAnsiTheme="minorHAnsi" w:cstheme="minorBidi"/>
                <w:kern w:val="2"/>
                <w:sz w:val="22"/>
                <w:szCs w:val="22"/>
                <w14:ligatures w14:val="standardContextual"/>
              </w:rPr>
              <w:tab/>
            </w:r>
            <w:r w:rsidRPr="00E90B60">
              <w:rPr>
                <w:rStyle w:val="Hyperlink"/>
              </w:rPr>
              <w:t>Pavement Mechanistic-Empirical Analysis</w:t>
            </w:r>
            <w:r>
              <w:rPr>
                <w:webHidden/>
              </w:rPr>
              <w:tab/>
            </w:r>
            <w:r>
              <w:rPr>
                <w:webHidden/>
              </w:rPr>
              <w:fldChar w:fldCharType="begin"/>
            </w:r>
            <w:r>
              <w:rPr>
                <w:webHidden/>
              </w:rPr>
              <w:instrText xml:space="preserve"> PAGEREF _Toc194932386 \h </w:instrText>
            </w:r>
            <w:r>
              <w:rPr>
                <w:webHidden/>
              </w:rPr>
            </w:r>
            <w:r>
              <w:rPr>
                <w:webHidden/>
              </w:rPr>
              <w:fldChar w:fldCharType="separate"/>
            </w:r>
            <w:r w:rsidR="00624A9D">
              <w:rPr>
                <w:webHidden/>
              </w:rPr>
              <w:t>5-24</w:t>
            </w:r>
            <w:r>
              <w:rPr>
                <w:webHidden/>
              </w:rPr>
              <w:fldChar w:fldCharType="end"/>
            </w:r>
          </w:hyperlink>
        </w:p>
        <w:p w14:paraId="62863EBB" w14:textId="7DE371B1" w:rsidR="001777C7" w:rsidRDefault="001777C7">
          <w:pPr>
            <w:pStyle w:val="TOC1"/>
            <w:rPr>
              <w:rFonts w:asciiTheme="minorHAnsi" w:eastAsiaTheme="minorEastAsia" w:hAnsiTheme="minorHAnsi" w:cstheme="minorBidi"/>
              <w:b w:val="0"/>
              <w:kern w:val="2"/>
              <w:szCs w:val="22"/>
              <w14:ligatures w14:val="standardContextual"/>
            </w:rPr>
          </w:pPr>
          <w:hyperlink w:anchor="_Toc194932387" w:history="1">
            <w:r w:rsidRPr="00E90B60">
              <w:rPr>
                <w:rStyle w:val="Hyperlink"/>
              </w:rPr>
              <w:t>6</w:t>
            </w:r>
            <w:r>
              <w:rPr>
                <w:rFonts w:asciiTheme="minorHAnsi" w:eastAsiaTheme="minorEastAsia" w:hAnsiTheme="minorHAnsi" w:cstheme="minorBidi"/>
                <w:b w:val="0"/>
                <w:kern w:val="2"/>
                <w:szCs w:val="22"/>
                <w14:ligatures w14:val="standardContextual"/>
              </w:rPr>
              <w:tab/>
            </w:r>
            <w:r w:rsidRPr="00E90B60">
              <w:rPr>
                <w:rStyle w:val="Hyperlink"/>
              </w:rPr>
              <w:t>Pavement Preservation, Rehabilitation &amp; Design</w:t>
            </w:r>
            <w:r>
              <w:rPr>
                <w:webHidden/>
              </w:rPr>
              <w:tab/>
            </w:r>
            <w:r>
              <w:rPr>
                <w:webHidden/>
              </w:rPr>
              <w:fldChar w:fldCharType="begin"/>
            </w:r>
            <w:r>
              <w:rPr>
                <w:webHidden/>
              </w:rPr>
              <w:instrText xml:space="preserve"> PAGEREF _Toc194932387 \h </w:instrText>
            </w:r>
            <w:r>
              <w:rPr>
                <w:webHidden/>
              </w:rPr>
            </w:r>
            <w:r>
              <w:rPr>
                <w:webHidden/>
              </w:rPr>
              <w:fldChar w:fldCharType="separate"/>
            </w:r>
            <w:r w:rsidR="00624A9D">
              <w:rPr>
                <w:webHidden/>
              </w:rPr>
              <w:t>6-1</w:t>
            </w:r>
            <w:r>
              <w:rPr>
                <w:webHidden/>
              </w:rPr>
              <w:fldChar w:fldCharType="end"/>
            </w:r>
          </w:hyperlink>
        </w:p>
        <w:p w14:paraId="532165C6" w14:textId="64838E83" w:rsidR="001777C7" w:rsidRDefault="001777C7">
          <w:pPr>
            <w:pStyle w:val="TOC2"/>
            <w:rPr>
              <w:rFonts w:asciiTheme="minorHAnsi" w:eastAsiaTheme="minorEastAsia" w:hAnsiTheme="minorHAnsi" w:cstheme="minorBidi"/>
              <w:kern w:val="2"/>
              <w:sz w:val="22"/>
              <w:szCs w:val="22"/>
              <w14:ligatures w14:val="standardContextual"/>
            </w:rPr>
          </w:pPr>
          <w:hyperlink w:anchor="_Toc194932388" w:history="1">
            <w:r w:rsidRPr="00E90B60">
              <w:rPr>
                <w:rStyle w:val="Hyperlink"/>
              </w:rPr>
              <w:t>6.01</w:t>
            </w:r>
            <w:r>
              <w:rPr>
                <w:rFonts w:asciiTheme="minorHAnsi" w:eastAsiaTheme="minorEastAsia" w:hAnsiTheme="minorHAnsi" w:cstheme="minorBidi"/>
                <w:kern w:val="2"/>
                <w:sz w:val="22"/>
                <w:szCs w:val="22"/>
                <w14:ligatures w14:val="standardContextual"/>
              </w:rPr>
              <w:tab/>
            </w:r>
            <w:r w:rsidRPr="00E90B60">
              <w:rPr>
                <w:rStyle w:val="Hyperlink"/>
              </w:rPr>
              <w:t>Design Input Policies</w:t>
            </w:r>
            <w:r>
              <w:rPr>
                <w:webHidden/>
              </w:rPr>
              <w:tab/>
            </w:r>
            <w:r>
              <w:rPr>
                <w:webHidden/>
              </w:rPr>
              <w:fldChar w:fldCharType="begin"/>
            </w:r>
            <w:r>
              <w:rPr>
                <w:webHidden/>
              </w:rPr>
              <w:instrText xml:space="preserve"> PAGEREF _Toc194932388 \h </w:instrText>
            </w:r>
            <w:r>
              <w:rPr>
                <w:webHidden/>
              </w:rPr>
            </w:r>
            <w:r>
              <w:rPr>
                <w:webHidden/>
              </w:rPr>
              <w:fldChar w:fldCharType="separate"/>
            </w:r>
            <w:r w:rsidR="00624A9D">
              <w:rPr>
                <w:webHidden/>
              </w:rPr>
              <w:t>6-1</w:t>
            </w:r>
            <w:r>
              <w:rPr>
                <w:webHidden/>
              </w:rPr>
              <w:fldChar w:fldCharType="end"/>
            </w:r>
          </w:hyperlink>
        </w:p>
        <w:p w14:paraId="434A2E9A" w14:textId="477D016A" w:rsidR="001777C7" w:rsidRDefault="001777C7">
          <w:pPr>
            <w:pStyle w:val="TOC2"/>
            <w:rPr>
              <w:rFonts w:asciiTheme="minorHAnsi" w:eastAsiaTheme="minorEastAsia" w:hAnsiTheme="minorHAnsi" w:cstheme="minorBidi"/>
              <w:kern w:val="2"/>
              <w:sz w:val="22"/>
              <w:szCs w:val="22"/>
              <w14:ligatures w14:val="standardContextual"/>
            </w:rPr>
          </w:pPr>
          <w:hyperlink w:anchor="_Toc194932389" w:history="1">
            <w:r w:rsidRPr="00E90B60">
              <w:rPr>
                <w:rStyle w:val="Hyperlink"/>
              </w:rPr>
              <w:t>6.02</w:t>
            </w:r>
            <w:r>
              <w:rPr>
                <w:rFonts w:asciiTheme="minorHAnsi" w:eastAsiaTheme="minorEastAsia" w:hAnsiTheme="minorHAnsi" w:cstheme="minorBidi"/>
                <w:kern w:val="2"/>
                <w:sz w:val="22"/>
                <w:szCs w:val="22"/>
                <w14:ligatures w14:val="standardContextual"/>
              </w:rPr>
              <w:tab/>
            </w:r>
            <w:r w:rsidRPr="00E90B60">
              <w:rPr>
                <w:rStyle w:val="Hyperlink"/>
              </w:rPr>
              <w:t>Material Selection Policies</w:t>
            </w:r>
            <w:r>
              <w:rPr>
                <w:webHidden/>
              </w:rPr>
              <w:tab/>
            </w:r>
            <w:r>
              <w:rPr>
                <w:webHidden/>
              </w:rPr>
              <w:fldChar w:fldCharType="begin"/>
            </w:r>
            <w:r>
              <w:rPr>
                <w:webHidden/>
              </w:rPr>
              <w:instrText xml:space="preserve"> PAGEREF _Toc194932389 \h </w:instrText>
            </w:r>
            <w:r>
              <w:rPr>
                <w:webHidden/>
              </w:rPr>
            </w:r>
            <w:r>
              <w:rPr>
                <w:webHidden/>
              </w:rPr>
              <w:fldChar w:fldCharType="separate"/>
            </w:r>
            <w:r w:rsidR="00624A9D">
              <w:rPr>
                <w:webHidden/>
              </w:rPr>
              <w:t>6-10</w:t>
            </w:r>
            <w:r>
              <w:rPr>
                <w:webHidden/>
              </w:rPr>
              <w:fldChar w:fldCharType="end"/>
            </w:r>
          </w:hyperlink>
        </w:p>
        <w:p w14:paraId="0FEAA357" w14:textId="62919A49" w:rsidR="001777C7" w:rsidRDefault="001777C7">
          <w:pPr>
            <w:pStyle w:val="TOC2"/>
            <w:rPr>
              <w:rFonts w:asciiTheme="minorHAnsi" w:eastAsiaTheme="minorEastAsia" w:hAnsiTheme="minorHAnsi" w:cstheme="minorBidi"/>
              <w:kern w:val="2"/>
              <w:sz w:val="22"/>
              <w:szCs w:val="22"/>
              <w14:ligatures w14:val="standardContextual"/>
            </w:rPr>
          </w:pPr>
          <w:hyperlink w:anchor="_Toc194932390" w:history="1">
            <w:r w:rsidRPr="00E90B60">
              <w:rPr>
                <w:rStyle w:val="Hyperlink"/>
              </w:rPr>
              <w:t>6.03</w:t>
            </w:r>
            <w:r>
              <w:rPr>
                <w:rFonts w:asciiTheme="minorHAnsi" w:eastAsiaTheme="minorEastAsia" w:hAnsiTheme="minorHAnsi" w:cstheme="minorBidi"/>
                <w:kern w:val="2"/>
                <w:sz w:val="22"/>
                <w:szCs w:val="22"/>
                <w14:ligatures w14:val="standardContextual"/>
              </w:rPr>
              <w:tab/>
            </w:r>
            <w:r w:rsidRPr="00E90B60">
              <w:rPr>
                <w:rStyle w:val="Hyperlink"/>
              </w:rPr>
              <w:t>New Pavement Design</w:t>
            </w:r>
            <w:r>
              <w:rPr>
                <w:webHidden/>
              </w:rPr>
              <w:tab/>
            </w:r>
            <w:r>
              <w:rPr>
                <w:webHidden/>
              </w:rPr>
              <w:fldChar w:fldCharType="begin"/>
            </w:r>
            <w:r>
              <w:rPr>
                <w:webHidden/>
              </w:rPr>
              <w:instrText xml:space="preserve"> PAGEREF _Toc194932390 \h </w:instrText>
            </w:r>
            <w:r>
              <w:rPr>
                <w:webHidden/>
              </w:rPr>
            </w:r>
            <w:r>
              <w:rPr>
                <w:webHidden/>
              </w:rPr>
              <w:fldChar w:fldCharType="separate"/>
            </w:r>
            <w:r w:rsidR="00624A9D">
              <w:rPr>
                <w:webHidden/>
              </w:rPr>
              <w:t>6-23</w:t>
            </w:r>
            <w:r>
              <w:rPr>
                <w:webHidden/>
              </w:rPr>
              <w:fldChar w:fldCharType="end"/>
            </w:r>
          </w:hyperlink>
        </w:p>
        <w:p w14:paraId="3788E878" w14:textId="47F4D699" w:rsidR="001777C7" w:rsidRDefault="001777C7">
          <w:pPr>
            <w:pStyle w:val="TOC2"/>
            <w:rPr>
              <w:rFonts w:asciiTheme="minorHAnsi" w:eastAsiaTheme="minorEastAsia" w:hAnsiTheme="minorHAnsi" w:cstheme="minorBidi"/>
              <w:kern w:val="2"/>
              <w:sz w:val="22"/>
              <w:szCs w:val="22"/>
              <w14:ligatures w14:val="standardContextual"/>
            </w:rPr>
          </w:pPr>
          <w:hyperlink w:anchor="_Toc194932391" w:history="1">
            <w:r w:rsidRPr="00E90B60">
              <w:rPr>
                <w:rStyle w:val="Hyperlink"/>
              </w:rPr>
              <w:t>6.04</w:t>
            </w:r>
            <w:r>
              <w:rPr>
                <w:rFonts w:asciiTheme="minorHAnsi" w:eastAsiaTheme="minorEastAsia" w:hAnsiTheme="minorHAnsi" w:cstheme="minorBidi"/>
                <w:kern w:val="2"/>
                <w:sz w:val="22"/>
                <w:szCs w:val="22"/>
                <w14:ligatures w14:val="standardContextual"/>
              </w:rPr>
              <w:tab/>
            </w:r>
            <w:r w:rsidRPr="00E90B60">
              <w:rPr>
                <w:rStyle w:val="Hyperlink"/>
              </w:rPr>
              <w:t>Pavement Drainage</w:t>
            </w:r>
            <w:r>
              <w:rPr>
                <w:webHidden/>
              </w:rPr>
              <w:tab/>
            </w:r>
            <w:r>
              <w:rPr>
                <w:webHidden/>
              </w:rPr>
              <w:fldChar w:fldCharType="begin"/>
            </w:r>
            <w:r>
              <w:rPr>
                <w:webHidden/>
              </w:rPr>
              <w:instrText xml:space="preserve"> PAGEREF _Toc194932391 \h </w:instrText>
            </w:r>
            <w:r>
              <w:rPr>
                <w:webHidden/>
              </w:rPr>
            </w:r>
            <w:r>
              <w:rPr>
                <w:webHidden/>
              </w:rPr>
              <w:fldChar w:fldCharType="separate"/>
            </w:r>
            <w:r w:rsidR="00624A9D">
              <w:rPr>
                <w:webHidden/>
              </w:rPr>
              <w:t>6-30</w:t>
            </w:r>
            <w:r>
              <w:rPr>
                <w:webHidden/>
              </w:rPr>
              <w:fldChar w:fldCharType="end"/>
            </w:r>
          </w:hyperlink>
        </w:p>
        <w:p w14:paraId="1A4B0F59" w14:textId="302E4570" w:rsidR="001777C7" w:rsidRDefault="001777C7">
          <w:pPr>
            <w:pStyle w:val="TOC2"/>
            <w:rPr>
              <w:rFonts w:asciiTheme="minorHAnsi" w:eastAsiaTheme="minorEastAsia" w:hAnsiTheme="minorHAnsi" w:cstheme="minorBidi"/>
              <w:kern w:val="2"/>
              <w:sz w:val="22"/>
              <w:szCs w:val="22"/>
              <w14:ligatures w14:val="standardContextual"/>
            </w:rPr>
          </w:pPr>
          <w:hyperlink w:anchor="_Toc194932392" w:history="1">
            <w:r w:rsidRPr="00E90B60">
              <w:rPr>
                <w:rStyle w:val="Hyperlink"/>
              </w:rPr>
              <w:t>6.05</w:t>
            </w:r>
            <w:r>
              <w:rPr>
                <w:rFonts w:asciiTheme="minorHAnsi" w:eastAsiaTheme="minorEastAsia" w:hAnsiTheme="minorHAnsi" w:cstheme="minorBidi"/>
                <w:kern w:val="2"/>
                <w:sz w:val="22"/>
                <w:szCs w:val="22"/>
                <w14:ligatures w14:val="standardContextual"/>
              </w:rPr>
              <w:tab/>
            </w:r>
            <w:r w:rsidRPr="00E90B60">
              <w:rPr>
                <w:rStyle w:val="Hyperlink"/>
              </w:rPr>
              <w:t>Pre-Overlay Repair Guidelines</w:t>
            </w:r>
            <w:r>
              <w:rPr>
                <w:webHidden/>
              </w:rPr>
              <w:tab/>
            </w:r>
            <w:r>
              <w:rPr>
                <w:webHidden/>
              </w:rPr>
              <w:fldChar w:fldCharType="begin"/>
            </w:r>
            <w:r>
              <w:rPr>
                <w:webHidden/>
              </w:rPr>
              <w:instrText xml:space="preserve"> PAGEREF _Toc194932392 \h </w:instrText>
            </w:r>
            <w:r>
              <w:rPr>
                <w:webHidden/>
              </w:rPr>
            </w:r>
            <w:r>
              <w:rPr>
                <w:webHidden/>
              </w:rPr>
              <w:fldChar w:fldCharType="separate"/>
            </w:r>
            <w:r w:rsidR="00624A9D">
              <w:rPr>
                <w:webHidden/>
              </w:rPr>
              <w:t>6-37</w:t>
            </w:r>
            <w:r>
              <w:rPr>
                <w:webHidden/>
              </w:rPr>
              <w:fldChar w:fldCharType="end"/>
            </w:r>
          </w:hyperlink>
        </w:p>
        <w:p w14:paraId="4C98954F" w14:textId="4EA9E817" w:rsidR="001777C7" w:rsidRDefault="001777C7">
          <w:pPr>
            <w:pStyle w:val="TOC2"/>
            <w:rPr>
              <w:rFonts w:asciiTheme="minorHAnsi" w:eastAsiaTheme="minorEastAsia" w:hAnsiTheme="minorHAnsi" w:cstheme="minorBidi"/>
              <w:kern w:val="2"/>
              <w:sz w:val="22"/>
              <w:szCs w:val="22"/>
              <w14:ligatures w14:val="standardContextual"/>
            </w:rPr>
          </w:pPr>
          <w:hyperlink w:anchor="_Toc194932393" w:history="1">
            <w:r w:rsidRPr="00E90B60">
              <w:rPr>
                <w:rStyle w:val="Hyperlink"/>
              </w:rPr>
              <w:t>6.06</w:t>
            </w:r>
            <w:r>
              <w:rPr>
                <w:rFonts w:asciiTheme="minorHAnsi" w:eastAsiaTheme="minorEastAsia" w:hAnsiTheme="minorHAnsi" w:cstheme="minorBidi"/>
                <w:kern w:val="2"/>
                <w:sz w:val="22"/>
                <w:szCs w:val="22"/>
                <w14:ligatures w14:val="standardContextual"/>
              </w:rPr>
              <w:tab/>
            </w:r>
            <w:r w:rsidRPr="00E90B60">
              <w:rPr>
                <w:rStyle w:val="Hyperlink"/>
              </w:rPr>
              <w:t>Pavement Preservation &amp; Rehabilitation Design</w:t>
            </w:r>
            <w:r>
              <w:rPr>
                <w:webHidden/>
              </w:rPr>
              <w:tab/>
            </w:r>
            <w:r>
              <w:rPr>
                <w:webHidden/>
              </w:rPr>
              <w:fldChar w:fldCharType="begin"/>
            </w:r>
            <w:r>
              <w:rPr>
                <w:webHidden/>
              </w:rPr>
              <w:instrText xml:space="preserve"> PAGEREF _Toc194932393 \h </w:instrText>
            </w:r>
            <w:r>
              <w:rPr>
                <w:webHidden/>
              </w:rPr>
            </w:r>
            <w:r>
              <w:rPr>
                <w:webHidden/>
              </w:rPr>
              <w:fldChar w:fldCharType="separate"/>
            </w:r>
            <w:r w:rsidR="00624A9D">
              <w:rPr>
                <w:webHidden/>
              </w:rPr>
              <w:t>6-44</w:t>
            </w:r>
            <w:r>
              <w:rPr>
                <w:webHidden/>
              </w:rPr>
              <w:fldChar w:fldCharType="end"/>
            </w:r>
          </w:hyperlink>
        </w:p>
        <w:p w14:paraId="14A4D896" w14:textId="29D132FD" w:rsidR="001777C7" w:rsidRDefault="001777C7">
          <w:pPr>
            <w:pStyle w:val="TOC2"/>
            <w:rPr>
              <w:rFonts w:asciiTheme="minorHAnsi" w:eastAsiaTheme="minorEastAsia" w:hAnsiTheme="minorHAnsi" w:cstheme="minorBidi"/>
              <w:kern w:val="2"/>
              <w:sz w:val="22"/>
              <w:szCs w:val="22"/>
              <w14:ligatures w14:val="standardContextual"/>
            </w:rPr>
          </w:pPr>
          <w:hyperlink w:anchor="_Toc194932394" w:history="1">
            <w:r w:rsidRPr="00E90B60">
              <w:rPr>
                <w:rStyle w:val="Hyperlink"/>
              </w:rPr>
              <w:t>6.07</w:t>
            </w:r>
            <w:r>
              <w:rPr>
                <w:rFonts w:asciiTheme="minorHAnsi" w:eastAsiaTheme="minorEastAsia" w:hAnsiTheme="minorHAnsi" w:cstheme="minorBidi"/>
                <w:kern w:val="2"/>
                <w:sz w:val="22"/>
                <w:szCs w:val="22"/>
                <w14:ligatures w14:val="standardContextual"/>
              </w:rPr>
              <w:tab/>
            </w:r>
            <w:r w:rsidRPr="00E90B60">
              <w:rPr>
                <w:rStyle w:val="Hyperlink"/>
              </w:rPr>
              <w:t>Quantity &amp; Cost Development</w:t>
            </w:r>
            <w:r>
              <w:rPr>
                <w:webHidden/>
              </w:rPr>
              <w:tab/>
            </w:r>
            <w:r>
              <w:rPr>
                <w:webHidden/>
              </w:rPr>
              <w:fldChar w:fldCharType="begin"/>
            </w:r>
            <w:r>
              <w:rPr>
                <w:webHidden/>
              </w:rPr>
              <w:instrText xml:space="preserve"> PAGEREF _Toc194932394 \h </w:instrText>
            </w:r>
            <w:r>
              <w:rPr>
                <w:webHidden/>
              </w:rPr>
            </w:r>
            <w:r>
              <w:rPr>
                <w:webHidden/>
              </w:rPr>
              <w:fldChar w:fldCharType="separate"/>
            </w:r>
            <w:r w:rsidR="00624A9D">
              <w:rPr>
                <w:webHidden/>
              </w:rPr>
              <w:t>6-50</w:t>
            </w:r>
            <w:r>
              <w:rPr>
                <w:webHidden/>
              </w:rPr>
              <w:fldChar w:fldCharType="end"/>
            </w:r>
          </w:hyperlink>
        </w:p>
        <w:p w14:paraId="1315A0A7" w14:textId="1901C415" w:rsidR="001777C7" w:rsidRDefault="001777C7">
          <w:pPr>
            <w:pStyle w:val="TOC2"/>
            <w:rPr>
              <w:rFonts w:asciiTheme="minorHAnsi" w:eastAsiaTheme="minorEastAsia" w:hAnsiTheme="minorHAnsi" w:cstheme="minorBidi"/>
              <w:kern w:val="2"/>
              <w:sz w:val="22"/>
              <w:szCs w:val="22"/>
              <w14:ligatures w14:val="standardContextual"/>
            </w:rPr>
          </w:pPr>
          <w:hyperlink w:anchor="_Toc194932395" w:history="1">
            <w:r w:rsidRPr="00E90B60">
              <w:rPr>
                <w:rStyle w:val="Hyperlink"/>
              </w:rPr>
              <w:t>6.08</w:t>
            </w:r>
            <w:r>
              <w:rPr>
                <w:rFonts w:asciiTheme="minorHAnsi" w:eastAsiaTheme="minorEastAsia" w:hAnsiTheme="minorHAnsi" w:cstheme="minorBidi"/>
                <w:kern w:val="2"/>
                <w:sz w:val="22"/>
                <w:szCs w:val="22"/>
                <w14:ligatures w14:val="standardContextual"/>
              </w:rPr>
              <w:tab/>
            </w:r>
            <w:r w:rsidRPr="00E90B60">
              <w:rPr>
                <w:rStyle w:val="Hyperlink"/>
              </w:rPr>
              <w:t>Remaining Service Life Analysis</w:t>
            </w:r>
            <w:r>
              <w:rPr>
                <w:webHidden/>
              </w:rPr>
              <w:tab/>
            </w:r>
            <w:r>
              <w:rPr>
                <w:webHidden/>
              </w:rPr>
              <w:fldChar w:fldCharType="begin"/>
            </w:r>
            <w:r>
              <w:rPr>
                <w:webHidden/>
              </w:rPr>
              <w:instrText xml:space="preserve"> PAGEREF _Toc194932395 \h </w:instrText>
            </w:r>
            <w:r>
              <w:rPr>
                <w:webHidden/>
              </w:rPr>
            </w:r>
            <w:r>
              <w:rPr>
                <w:webHidden/>
              </w:rPr>
              <w:fldChar w:fldCharType="separate"/>
            </w:r>
            <w:r w:rsidR="00624A9D">
              <w:rPr>
                <w:webHidden/>
              </w:rPr>
              <w:t>6-51</w:t>
            </w:r>
            <w:r>
              <w:rPr>
                <w:webHidden/>
              </w:rPr>
              <w:fldChar w:fldCharType="end"/>
            </w:r>
          </w:hyperlink>
        </w:p>
        <w:p w14:paraId="3FC0D5F3" w14:textId="77F14187" w:rsidR="001777C7" w:rsidRDefault="001777C7">
          <w:pPr>
            <w:pStyle w:val="TOC2"/>
            <w:rPr>
              <w:rFonts w:asciiTheme="minorHAnsi" w:eastAsiaTheme="minorEastAsia" w:hAnsiTheme="minorHAnsi" w:cstheme="minorBidi"/>
              <w:kern w:val="2"/>
              <w:sz w:val="22"/>
              <w:szCs w:val="22"/>
              <w14:ligatures w14:val="standardContextual"/>
            </w:rPr>
          </w:pPr>
          <w:hyperlink w:anchor="_Toc194932396" w:history="1">
            <w:r w:rsidRPr="00E90B60">
              <w:rPr>
                <w:rStyle w:val="Hyperlink"/>
              </w:rPr>
              <w:t>6.09</w:t>
            </w:r>
            <w:r>
              <w:rPr>
                <w:rFonts w:asciiTheme="minorHAnsi" w:eastAsiaTheme="minorEastAsia" w:hAnsiTheme="minorHAnsi" w:cstheme="minorBidi"/>
                <w:kern w:val="2"/>
                <w:sz w:val="22"/>
                <w:szCs w:val="22"/>
                <w14:ligatures w14:val="standardContextual"/>
              </w:rPr>
              <w:tab/>
            </w:r>
            <w:r w:rsidRPr="00E90B60">
              <w:rPr>
                <w:rStyle w:val="Hyperlink"/>
              </w:rPr>
              <w:t>Pavement Type Selection</w:t>
            </w:r>
            <w:r>
              <w:rPr>
                <w:webHidden/>
              </w:rPr>
              <w:tab/>
            </w:r>
            <w:r>
              <w:rPr>
                <w:webHidden/>
              </w:rPr>
              <w:fldChar w:fldCharType="begin"/>
            </w:r>
            <w:r>
              <w:rPr>
                <w:webHidden/>
              </w:rPr>
              <w:instrText xml:space="preserve"> PAGEREF _Toc194932396 \h </w:instrText>
            </w:r>
            <w:r>
              <w:rPr>
                <w:webHidden/>
              </w:rPr>
            </w:r>
            <w:r>
              <w:rPr>
                <w:webHidden/>
              </w:rPr>
              <w:fldChar w:fldCharType="separate"/>
            </w:r>
            <w:r w:rsidR="00624A9D">
              <w:rPr>
                <w:webHidden/>
              </w:rPr>
              <w:t>6-55</w:t>
            </w:r>
            <w:r>
              <w:rPr>
                <w:webHidden/>
              </w:rPr>
              <w:fldChar w:fldCharType="end"/>
            </w:r>
          </w:hyperlink>
        </w:p>
        <w:p w14:paraId="63DC965B" w14:textId="2AF2560D" w:rsidR="001777C7" w:rsidRDefault="001777C7">
          <w:pPr>
            <w:pStyle w:val="TOC2"/>
            <w:rPr>
              <w:rFonts w:asciiTheme="minorHAnsi" w:eastAsiaTheme="minorEastAsia" w:hAnsiTheme="minorHAnsi" w:cstheme="minorBidi"/>
              <w:kern w:val="2"/>
              <w:sz w:val="22"/>
              <w:szCs w:val="22"/>
              <w14:ligatures w14:val="standardContextual"/>
            </w:rPr>
          </w:pPr>
          <w:hyperlink w:anchor="_Toc194932397" w:history="1">
            <w:r w:rsidRPr="00E90B60">
              <w:rPr>
                <w:rStyle w:val="Hyperlink"/>
              </w:rPr>
              <w:t>6.10</w:t>
            </w:r>
            <w:r>
              <w:rPr>
                <w:rFonts w:asciiTheme="minorHAnsi" w:eastAsiaTheme="minorEastAsia" w:hAnsiTheme="minorHAnsi" w:cstheme="minorBidi"/>
                <w:kern w:val="2"/>
                <w:sz w:val="22"/>
                <w:szCs w:val="22"/>
                <w14:ligatures w14:val="standardContextual"/>
              </w:rPr>
              <w:tab/>
            </w:r>
            <w:r w:rsidRPr="00E90B60">
              <w:rPr>
                <w:rStyle w:val="Hyperlink"/>
              </w:rPr>
              <w:t>Concrete Pavement Designs</w:t>
            </w:r>
            <w:r>
              <w:rPr>
                <w:webHidden/>
              </w:rPr>
              <w:tab/>
            </w:r>
            <w:r>
              <w:rPr>
                <w:webHidden/>
              </w:rPr>
              <w:fldChar w:fldCharType="begin"/>
            </w:r>
            <w:r>
              <w:rPr>
                <w:webHidden/>
              </w:rPr>
              <w:instrText xml:space="preserve"> PAGEREF _Toc194932397 \h </w:instrText>
            </w:r>
            <w:r>
              <w:rPr>
                <w:webHidden/>
              </w:rPr>
            </w:r>
            <w:r>
              <w:rPr>
                <w:webHidden/>
              </w:rPr>
              <w:fldChar w:fldCharType="separate"/>
            </w:r>
            <w:r w:rsidR="00624A9D">
              <w:rPr>
                <w:webHidden/>
              </w:rPr>
              <w:t>6-56</w:t>
            </w:r>
            <w:r>
              <w:rPr>
                <w:webHidden/>
              </w:rPr>
              <w:fldChar w:fldCharType="end"/>
            </w:r>
          </w:hyperlink>
        </w:p>
        <w:p w14:paraId="2080FB0D" w14:textId="6D3D8B9A" w:rsidR="001777C7" w:rsidRDefault="001777C7">
          <w:pPr>
            <w:pStyle w:val="TOC2"/>
            <w:rPr>
              <w:rFonts w:asciiTheme="minorHAnsi" w:eastAsiaTheme="minorEastAsia" w:hAnsiTheme="minorHAnsi" w:cstheme="minorBidi"/>
              <w:kern w:val="2"/>
              <w:sz w:val="22"/>
              <w:szCs w:val="22"/>
              <w14:ligatures w14:val="standardContextual"/>
            </w:rPr>
          </w:pPr>
          <w:hyperlink w:anchor="_Toc194932398" w:history="1">
            <w:r w:rsidRPr="00E90B60">
              <w:rPr>
                <w:rStyle w:val="Hyperlink"/>
              </w:rPr>
              <w:t>6.11</w:t>
            </w:r>
            <w:r>
              <w:rPr>
                <w:rFonts w:asciiTheme="minorHAnsi" w:eastAsiaTheme="minorEastAsia" w:hAnsiTheme="minorHAnsi" w:cstheme="minorBidi"/>
                <w:kern w:val="2"/>
                <w:sz w:val="22"/>
                <w:szCs w:val="22"/>
                <w14:ligatures w14:val="standardContextual"/>
              </w:rPr>
              <w:tab/>
            </w:r>
            <w:r w:rsidRPr="00E90B60">
              <w:rPr>
                <w:rStyle w:val="Hyperlink"/>
              </w:rPr>
              <w:t>Standard Pavement Designs</w:t>
            </w:r>
            <w:r>
              <w:rPr>
                <w:webHidden/>
              </w:rPr>
              <w:tab/>
            </w:r>
            <w:r>
              <w:rPr>
                <w:webHidden/>
              </w:rPr>
              <w:fldChar w:fldCharType="begin"/>
            </w:r>
            <w:r>
              <w:rPr>
                <w:webHidden/>
              </w:rPr>
              <w:instrText xml:space="preserve"> PAGEREF _Toc194932398 \h </w:instrText>
            </w:r>
            <w:r>
              <w:rPr>
                <w:webHidden/>
              </w:rPr>
            </w:r>
            <w:r>
              <w:rPr>
                <w:webHidden/>
              </w:rPr>
              <w:fldChar w:fldCharType="separate"/>
            </w:r>
            <w:r w:rsidR="00624A9D">
              <w:rPr>
                <w:webHidden/>
              </w:rPr>
              <w:t>6-61</w:t>
            </w:r>
            <w:r>
              <w:rPr>
                <w:webHidden/>
              </w:rPr>
              <w:fldChar w:fldCharType="end"/>
            </w:r>
          </w:hyperlink>
        </w:p>
        <w:p w14:paraId="0F2BDAF9" w14:textId="3C112AD0" w:rsidR="001777C7" w:rsidRDefault="001777C7">
          <w:pPr>
            <w:pStyle w:val="TOC1"/>
            <w:rPr>
              <w:rFonts w:asciiTheme="minorHAnsi" w:eastAsiaTheme="minorEastAsia" w:hAnsiTheme="minorHAnsi" w:cstheme="minorBidi"/>
              <w:b w:val="0"/>
              <w:kern w:val="2"/>
              <w:szCs w:val="22"/>
              <w14:ligatures w14:val="standardContextual"/>
            </w:rPr>
          </w:pPr>
          <w:hyperlink w:anchor="_Toc194932399" w:history="1">
            <w:r w:rsidRPr="00E90B60">
              <w:rPr>
                <w:rStyle w:val="Hyperlink"/>
              </w:rPr>
              <w:t>7</w:t>
            </w:r>
            <w:r>
              <w:rPr>
                <w:rFonts w:asciiTheme="minorHAnsi" w:eastAsiaTheme="minorEastAsia" w:hAnsiTheme="minorHAnsi" w:cstheme="minorBidi"/>
                <w:b w:val="0"/>
                <w:kern w:val="2"/>
                <w:szCs w:val="22"/>
                <w14:ligatures w14:val="standardContextual"/>
              </w:rPr>
              <w:tab/>
            </w:r>
            <w:r w:rsidRPr="00E90B60">
              <w:rPr>
                <w:rStyle w:val="Hyperlink"/>
              </w:rPr>
              <w:t>Geotechnical Design</w:t>
            </w:r>
            <w:r>
              <w:rPr>
                <w:webHidden/>
              </w:rPr>
              <w:tab/>
            </w:r>
            <w:r>
              <w:rPr>
                <w:webHidden/>
              </w:rPr>
              <w:fldChar w:fldCharType="begin"/>
            </w:r>
            <w:r>
              <w:rPr>
                <w:webHidden/>
              </w:rPr>
              <w:instrText xml:space="preserve"> PAGEREF _Toc194932399 \h </w:instrText>
            </w:r>
            <w:r>
              <w:rPr>
                <w:webHidden/>
              </w:rPr>
            </w:r>
            <w:r>
              <w:rPr>
                <w:webHidden/>
              </w:rPr>
              <w:fldChar w:fldCharType="separate"/>
            </w:r>
            <w:r w:rsidR="00624A9D">
              <w:rPr>
                <w:webHidden/>
              </w:rPr>
              <w:t>7-1</w:t>
            </w:r>
            <w:r>
              <w:rPr>
                <w:webHidden/>
              </w:rPr>
              <w:fldChar w:fldCharType="end"/>
            </w:r>
          </w:hyperlink>
        </w:p>
        <w:p w14:paraId="207C2D3E" w14:textId="2ACD74B3" w:rsidR="001777C7" w:rsidRDefault="001777C7">
          <w:pPr>
            <w:pStyle w:val="TOC2"/>
            <w:rPr>
              <w:rFonts w:asciiTheme="minorHAnsi" w:eastAsiaTheme="minorEastAsia" w:hAnsiTheme="minorHAnsi" w:cstheme="minorBidi"/>
              <w:kern w:val="2"/>
              <w:sz w:val="22"/>
              <w:szCs w:val="22"/>
              <w14:ligatures w14:val="standardContextual"/>
            </w:rPr>
          </w:pPr>
          <w:hyperlink w:anchor="_Toc194932400" w:history="1">
            <w:r w:rsidRPr="00E90B60">
              <w:rPr>
                <w:rStyle w:val="Hyperlink"/>
              </w:rPr>
              <w:t>7.01</w:t>
            </w:r>
            <w:r>
              <w:rPr>
                <w:rFonts w:asciiTheme="minorHAnsi" w:eastAsiaTheme="minorEastAsia" w:hAnsiTheme="minorHAnsi" w:cstheme="minorBidi"/>
                <w:kern w:val="2"/>
                <w:sz w:val="22"/>
                <w:szCs w:val="22"/>
                <w14:ligatures w14:val="standardContextual"/>
              </w:rPr>
              <w:tab/>
            </w:r>
            <w:r w:rsidRPr="00E90B60">
              <w:rPr>
                <w:rStyle w:val="Hyperlink"/>
              </w:rPr>
              <w:t>Earthwork (Excavation)</w:t>
            </w:r>
            <w:r>
              <w:rPr>
                <w:webHidden/>
              </w:rPr>
              <w:tab/>
            </w:r>
            <w:r>
              <w:rPr>
                <w:webHidden/>
              </w:rPr>
              <w:fldChar w:fldCharType="begin"/>
            </w:r>
            <w:r>
              <w:rPr>
                <w:webHidden/>
              </w:rPr>
              <w:instrText xml:space="preserve"> PAGEREF _Toc194932400 \h </w:instrText>
            </w:r>
            <w:r>
              <w:rPr>
                <w:webHidden/>
              </w:rPr>
            </w:r>
            <w:r>
              <w:rPr>
                <w:webHidden/>
              </w:rPr>
              <w:fldChar w:fldCharType="separate"/>
            </w:r>
            <w:r w:rsidR="00624A9D">
              <w:rPr>
                <w:webHidden/>
              </w:rPr>
              <w:t>7-1</w:t>
            </w:r>
            <w:r>
              <w:rPr>
                <w:webHidden/>
              </w:rPr>
              <w:fldChar w:fldCharType="end"/>
            </w:r>
          </w:hyperlink>
        </w:p>
        <w:p w14:paraId="56E0727F" w14:textId="3075B8F2" w:rsidR="001777C7" w:rsidRDefault="001777C7">
          <w:pPr>
            <w:pStyle w:val="TOC2"/>
            <w:rPr>
              <w:rFonts w:asciiTheme="minorHAnsi" w:eastAsiaTheme="minorEastAsia" w:hAnsiTheme="minorHAnsi" w:cstheme="minorBidi"/>
              <w:kern w:val="2"/>
              <w:sz w:val="22"/>
              <w:szCs w:val="22"/>
              <w14:ligatures w14:val="standardContextual"/>
            </w:rPr>
          </w:pPr>
          <w:hyperlink w:anchor="_Toc194932401" w:history="1">
            <w:r w:rsidRPr="00E90B60">
              <w:rPr>
                <w:rStyle w:val="Hyperlink"/>
              </w:rPr>
              <w:t>7.02</w:t>
            </w:r>
            <w:r>
              <w:rPr>
                <w:rFonts w:asciiTheme="minorHAnsi" w:eastAsiaTheme="minorEastAsia" w:hAnsiTheme="minorHAnsi" w:cstheme="minorBidi"/>
                <w:kern w:val="2"/>
                <w:sz w:val="22"/>
                <w:szCs w:val="22"/>
                <w14:ligatures w14:val="standardContextual"/>
              </w:rPr>
              <w:tab/>
            </w:r>
            <w:r w:rsidRPr="00E90B60">
              <w:rPr>
                <w:rStyle w:val="Hyperlink"/>
              </w:rPr>
              <w:t>Slopes</w:t>
            </w:r>
            <w:r>
              <w:rPr>
                <w:webHidden/>
              </w:rPr>
              <w:tab/>
            </w:r>
            <w:r>
              <w:rPr>
                <w:webHidden/>
              </w:rPr>
              <w:fldChar w:fldCharType="begin"/>
            </w:r>
            <w:r>
              <w:rPr>
                <w:webHidden/>
              </w:rPr>
              <w:instrText xml:space="preserve"> PAGEREF _Toc194932401 \h </w:instrText>
            </w:r>
            <w:r>
              <w:rPr>
                <w:webHidden/>
              </w:rPr>
            </w:r>
            <w:r>
              <w:rPr>
                <w:webHidden/>
              </w:rPr>
              <w:fldChar w:fldCharType="separate"/>
            </w:r>
            <w:r w:rsidR="00624A9D">
              <w:rPr>
                <w:webHidden/>
              </w:rPr>
              <w:t>7-10</w:t>
            </w:r>
            <w:r>
              <w:rPr>
                <w:webHidden/>
              </w:rPr>
              <w:fldChar w:fldCharType="end"/>
            </w:r>
          </w:hyperlink>
        </w:p>
        <w:p w14:paraId="7B955D35" w14:textId="0075A2BE" w:rsidR="001777C7" w:rsidRDefault="001777C7">
          <w:pPr>
            <w:pStyle w:val="TOC2"/>
            <w:rPr>
              <w:rFonts w:asciiTheme="minorHAnsi" w:eastAsiaTheme="minorEastAsia" w:hAnsiTheme="minorHAnsi" w:cstheme="minorBidi"/>
              <w:kern w:val="2"/>
              <w:sz w:val="22"/>
              <w:szCs w:val="22"/>
              <w14:ligatures w14:val="standardContextual"/>
            </w:rPr>
          </w:pPr>
          <w:hyperlink w:anchor="_Toc194932402" w:history="1">
            <w:r w:rsidRPr="00E90B60">
              <w:rPr>
                <w:rStyle w:val="Hyperlink"/>
              </w:rPr>
              <w:t>7.03</w:t>
            </w:r>
            <w:r>
              <w:rPr>
                <w:rFonts w:asciiTheme="minorHAnsi" w:eastAsiaTheme="minorEastAsia" w:hAnsiTheme="minorHAnsi" w:cstheme="minorBidi"/>
                <w:kern w:val="2"/>
                <w:sz w:val="22"/>
                <w:szCs w:val="22"/>
                <w14:ligatures w14:val="standardContextual"/>
              </w:rPr>
              <w:tab/>
            </w:r>
            <w:r w:rsidRPr="00E90B60">
              <w:rPr>
                <w:rStyle w:val="Hyperlink"/>
              </w:rPr>
              <w:t>Embankments</w:t>
            </w:r>
            <w:r>
              <w:rPr>
                <w:webHidden/>
              </w:rPr>
              <w:tab/>
            </w:r>
            <w:r>
              <w:rPr>
                <w:webHidden/>
              </w:rPr>
              <w:fldChar w:fldCharType="begin"/>
            </w:r>
            <w:r>
              <w:rPr>
                <w:webHidden/>
              </w:rPr>
              <w:instrText xml:space="preserve"> PAGEREF _Toc194932402 \h </w:instrText>
            </w:r>
            <w:r>
              <w:rPr>
                <w:webHidden/>
              </w:rPr>
            </w:r>
            <w:r>
              <w:rPr>
                <w:webHidden/>
              </w:rPr>
              <w:fldChar w:fldCharType="separate"/>
            </w:r>
            <w:r w:rsidR="00624A9D">
              <w:rPr>
                <w:webHidden/>
              </w:rPr>
              <w:t>7-11</w:t>
            </w:r>
            <w:r>
              <w:rPr>
                <w:webHidden/>
              </w:rPr>
              <w:fldChar w:fldCharType="end"/>
            </w:r>
          </w:hyperlink>
        </w:p>
        <w:p w14:paraId="2C25A9C0" w14:textId="27B8B801" w:rsidR="001777C7" w:rsidRDefault="001777C7">
          <w:pPr>
            <w:pStyle w:val="TOC2"/>
            <w:rPr>
              <w:rFonts w:asciiTheme="minorHAnsi" w:eastAsiaTheme="minorEastAsia" w:hAnsiTheme="minorHAnsi" w:cstheme="minorBidi"/>
              <w:kern w:val="2"/>
              <w:sz w:val="22"/>
              <w:szCs w:val="22"/>
              <w14:ligatures w14:val="standardContextual"/>
            </w:rPr>
          </w:pPr>
          <w:hyperlink w:anchor="_Toc194932403" w:history="1">
            <w:r w:rsidRPr="00E90B60">
              <w:rPr>
                <w:rStyle w:val="Hyperlink"/>
              </w:rPr>
              <w:t>7.04</w:t>
            </w:r>
            <w:r>
              <w:rPr>
                <w:rFonts w:asciiTheme="minorHAnsi" w:eastAsiaTheme="minorEastAsia" w:hAnsiTheme="minorHAnsi" w:cstheme="minorBidi"/>
                <w:kern w:val="2"/>
                <w:sz w:val="22"/>
                <w:szCs w:val="22"/>
                <w14:ligatures w14:val="standardContextual"/>
              </w:rPr>
              <w:tab/>
            </w:r>
            <w:r w:rsidRPr="00E90B60">
              <w:rPr>
                <w:rStyle w:val="Hyperlink"/>
              </w:rPr>
              <w:t>Subgrades</w:t>
            </w:r>
            <w:r>
              <w:rPr>
                <w:webHidden/>
              </w:rPr>
              <w:tab/>
            </w:r>
            <w:r>
              <w:rPr>
                <w:webHidden/>
              </w:rPr>
              <w:fldChar w:fldCharType="begin"/>
            </w:r>
            <w:r>
              <w:rPr>
                <w:webHidden/>
              </w:rPr>
              <w:instrText xml:space="preserve"> PAGEREF _Toc194932403 \h </w:instrText>
            </w:r>
            <w:r>
              <w:rPr>
                <w:webHidden/>
              </w:rPr>
            </w:r>
            <w:r>
              <w:rPr>
                <w:webHidden/>
              </w:rPr>
              <w:fldChar w:fldCharType="separate"/>
            </w:r>
            <w:r w:rsidR="00624A9D">
              <w:rPr>
                <w:webHidden/>
              </w:rPr>
              <w:t>7-14</w:t>
            </w:r>
            <w:r>
              <w:rPr>
                <w:webHidden/>
              </w:rPr>
              <w:fldChar w:fldCharType="end"/>
            </w:r>
          </w:hyperlink>
        </w:p>
        <w:p w14:paraId="3BEDE904" w14:textId="318658E7" w:rsidR="001777C7" w:rsidRDefault="001777C7">
          <w:pPr>
            <w:pStyle w:val="TOC2"/>
            <w:rPr>
              <w:rFonts w:asciiTheme="minorHAnsi" w:eastAsiaTheme="minorEastAsia" w:hAnsiTheme="minorHAnsi" w:cstheme="minorBidi"/>
              <w:kern w:val="2"/>
              <w:sz w:val="22"/>
              <w:szCs w:val="22"/>
              <w14:ligatures w14:val="standardContextual"/>
            </w:rPr>
          </w:pPr>
          <w:hyperlink w:anchor="_Toc194932404" w:history="1">
            <w:r w:rsidRPr="00E90B60">
              <w:rPr>
                <w:rStyle w:val="Hyperlink"/>
              </w:rPr>
              <w:t>7.05</w:t>
            </w:r>
            <w:r>
              <w:rPr>
                <w:rFonts w:asciiTheme="minorHAnsi" w:eastAsiaTheme="minorEastAsia" w:hAnsiTheme="minorHAnsi" w:cstheme="minorBidi"/>
                <w:kern w:val="2"/>
                <w:sz w:val="22"/>
                <w:szCs w:val="22"/>
                <w14:ligatures w14:val="standardContextual"/>
              </w:rPr>
              <w:tab/>
            </w:r>
            <w:r w:rsidRPr="00E90B60">
              <w:rPr>
                <w:rStyle w:val="Hyperlink"/>
              </w:rPr>
              <w:t>Retaining Walls</w:t>
            </w:r>
            <w:r>
              <w:rPr>
                <w:webHidden/>
              </w:rPr>
              <w:tab/>
            </w:r>
            <w:r>
              <w:rPr>
                <w:webHidden/>
              </w:rPr>
              <w:fldChar w:fldCharType="begin"/>
            </w:r>
            <w:r>
              <w:rPr>
                <w:webHidden/>
              </w:rPr>
              <w:instrText xml:space="preserve"> PAGEREF _Toc194932404 \h </w:instrText>
            </w:r>
            <w:r>
              <w:rPr>
                <w:webHidden/>
              </w:rPr>
            </w:r>
            <w:r>
              <w:rPr>
                <w:webHidden/>
              </w:rPr>
              <w:fldChar w:fldCharType="separate"/>
            </w:r>
            <w:r w:rsidR="00624A9D">
              <w:rPr>
                <w:webHidden/>
              </w:rPr>
              <w:t>7-24</w:t>
            </w:r>
            <w:r>
              <w:rPr>
                <w:webHidden/>
              </w:rPr>
              <w:fldChar w:fldCharType="end"/>
            </w:r>
          </w:hyperlink>
        </w:p>
        <w:p w14:paraId="3111161F" w14:textId="4187EB82" w:rsidR="001777C7" w:rsidRDefault="001777C7">
          <w:pPr>
            <w:pStyle w:val="TOC2"/>
            <w:rPr>
              <w:rFonts w:asciiTheme="minorHAnsi" w:eastAsiaTheme="minorEastAsia" w:hAnsiTheme="minorHAnsi" w:cstheme="minorBidi"/>
              <w:kern w:val="2"/>
              <w:sz w:val="22"/>
              <w:szCs w:val="22"/>
              <w14:ligatures w14:val="standardContextual"/>
            </w:rPr>
          </w:pPr>
          <w:hyperlink w:anchor="_Toc194932405" w:history="1">
            <w:r w:rsidRPr="00E90B60">
              <w:rPr>
                <w:rStyle w:val="Hyperlink"/>
              </w:rPr>
              <w:t>7.06</w:t>
            </w:r>
            <w:r>
              <w:rPr>
                <w:rFonts w:asciiTheme="minorHAnsi" w:eastAsiaTheme="minorEastAsia" w:hAnsiTheme="minorHAnsi" w:cstheme="minorBidi"/>
                <w:kern w:val="2"/>
                <w:sz w:val="22"/>
                <w:szCs w:val="22"/>
                <w14:ligatures w14:val="standardContextual"/>
              </w:rPr>
              <w:tab/>
            </w:r>
            <w:r w:rsidRPr="00E90B60">
              <w:rPr>
                <w:rStyle w:val="Hyperlink"/>
              </w:rPr>
              <w:t>Stormwater Management</w:t>
            </w:r>
            <w:r>
              <w:rPr>
                <w:webHidden/>
              </w:rPr>
              <w:tab/>
            </w:r>
            <w:r>
              <w:rPr>
                <w:webHidden/>
              </w:rPr>
              <w:fldChar w:fldCharType="begin"/>
            </w:r>
            <w:r>
              <w:rPr>
                <w:webHidden/>
              </w:rPr>
              <w:instrText xml:space="preserve"> PAGEREF _Toc194932405 \h </w:instrText>
            </w:r>
            <w:r>
              <w:rPr>
                <w:webHidden/>
              </w:rPr>
            </w:r>
            <w:r>
              <w:rPr>
                <w:webHidden/>
              </w:rPr>
              <w:fldChar w:fldCharType="separate"/>
            </w:r>
            <w:r w:rsidR="00624A9D">
              <w:rPr>
                <w:webHidden/>
              </w:rPr>
              <w:t>7-25</w:t>
            </w:r>
            <w:r>
              <w:rPr>
                <w:webHidden/>
              </w:rPr>
              <w:fldChar w:fldCharType="end"/>
            </w:r>
          </w:hyperlink>
        </w:p>
        <w:p w14:paraId="778A6AAA" w14:textId="657A2CA3" w:rsidR="001777C7" w:rsidRDefault="001777C7">
          <w:pPr>
            <w:pStyle w:val="TOC2"/>
            <w:rPr>
              <w:rFonts w:asciiTheme="minorHAnsi" w:eastAsiaTheme="minorEastAsia" w:hAnsiTheme="minorHAnsi" w:cstheme="minorBidi"/>
              <w:kern w:val="2"/>
              <w:sz w:val="22"/>
              <w:szCs w:val="22"/>
              <w14:ligatures w14:val="standardContextual"/>
            </w:rPr>
          </w:pPr>
          <w:hyperlink w:anchor="_Toc194932406" w:history="1">
            <w:r w:rsidRPr="00E90B60">
              <w:rPr>
                <w:rStyle w:val="Hyperlink"/>
              </w:rPr>
              <w:t>7.07</w:t>
            </w:r>
            <w:r>
              <w:rPr>
                <w:rFonts w:asciiTheme="minorHAnsi" w:eastAsiaTheme="minorEastAsia" w:hAnsiTheme="minorHAnsi" w:cstheme="minorBidi"/>
                <w:kern w:val="2"/>
                <w:sz w:val="22"/>
                <w:szCs w:val="22"/>
                <w14:ligatures w14:val="standardContextual"/>
              </w:rPr>
              <w:tab/>
            </w:r>
            <w:r w:rsidRPr="00E90B60">
              <w:rPr>
                <w:rStyle w:val="Hyperlink"/>
              </w:rPr>
              <w:t>Miscellaneous (UST, Karst, Geotextiles, etc.)</w:t>
            </w:r>
            <w:r>
              <w:rPr>
                <w:webHidden/>
              </w:rPr>
              <w:tab/>
            </w:r>
            <w:r>
              <w:rPr>
                <w:webHidden/>
              </w:rPr>
              <w:fldChar w:fldCharType="begin"/>
            </w:r>
            <w:r>
              <w:rPr>
                <w:webHidden/>
              </w:rPr>
              <w:instrText xml:space="preserve"> PAGEREF _Toc194932406 \h </w:instrText>
            </w:r>
            <w:r>
              <w:rPr>
                <w:webHidden/>
              </w:rPr>
            </w:r>
            <w:r>
              <w:rPr>
                <w:webHidden/>
              </w:rPr>
              <w:fldChar w:fldCharType="separate"/>
            </w:r>
            <w:r w:rsidR="00624A9D">
              <w:rPr>
                <w:webHidden/>
              </w:rPr>
              <w:t>7-26</w:t>
            </w:r>
            <w:r>
              <w:rPr>
                <w:webHidden/>
              </w:rPr>
              <w:fldChar w:fldCharType="end"/>
            </w:r>
          </w:hyperlink>
        </w:p>
        <w:p w14:paraId="142AFFEF" w14:textId="35AE6930" w:rsidR="001777C7" w:rsidRDefault="001777C7">
          <w:pPr>
            <w:pStyle w:val="TOC2"/>
            <w:rPr>
              <w:rFonts w:asciiTheme="minorHAnsi" w:eastAsiaTheme="minorEastAsia" w:hAnsiTheme="minorHAnsi" w:cstheme="minorBidi"/>
              <w:kern w:val="2"/>
              <w:sz w:val="22"/>
              <w:szCs w:val="22"/>
              <w14:ligatures w14:val="standardContextual"/>
            </w:rPr>
          </w:pPr>
          <w:hyperlink w:anchor="_Toc194932407" w:history="1">
            <w:r w:rsidRPr="00E90B60">
              <w:rPr>
                <w:rStyle w:val="Hyperlink"/>
              </w:rPr>
              <w:t>7.08</w:t>
            </w:r>
            <w:r>
              <w:rPr>
                <w:rFonts w:asciiTheme="minorHAnsi" w:eastAsiaTheme="minorEastAsia" w:hAnsiTheme="minorHAnsi" w:cstheme="minorBidi"/>
                <w:kern w:val="2"/>
                <w:sz w:val="22"/>
                <w:szCs w:val="22"/>
                <w14:ligatures w14:val="standardContextual"/>
              </w:rPr>
              <w:tab/>
            </w:r>
            <w:r w:rsidRPr="00E90B60">
              <w:rPr>
                <w:rStyle w:val="Hyperlink"/>
              </w:rPr>
              <w:t>Subsurface Drainage</w:t>
            </w:r>
            <w:r>
              <w:rPr>
                <w:webHidden/>
              </w:rPr>
              <w:tab/>
            </w:r>
            <w:r>
              <w:rPr>
                <w:webHidden/>
              </w:rPr>
              <w:fldChar w:fldCharType="begin"/>
            </w:r>
            <w:r>
              <w:rPr>
                <w:webHidden/>
              </w:rPr>
              <w:instrText xml:space="preserve"> PAGEREF _Toc194932407 \h </w:instrText>
            </w:r>
            <w:r>
              <w:rPr>
                <w:webHidden/>
              </w:rPr>
            </w:r>
            <w:r>
              <w:rPr>
                <w:webHidden/>
              </w:rPr>
              <w:fldChar w:fldCharType="separate"/>
            </w:r>
            <w:r w:rsidR="00624A9D">
              <w:rPr>
                <w:webHidden/>
              </w:rPr>
              <w:t>7-31</w:t>
            </w:r>
            <w:r>
              <w:rPr>
                <w:webHidden/>
              </w:rPr>
              <w:fldChar w:fldCharType="end"/>
            </w:r>
          </w:hyperlink>
        </w:p>
        <w:p w14:paraId="50A9372F" w14:textId="290A0167" w:rsidR="001777C7" w:rsidRDefault="001777C7">
          <w:pPr>
            <w:pStyle w:val="TOC1"/>
            <w:rPr>
              <w:rFonts w:asciiTheme="minorHAnsi" w:eastAsiaTheme="minorEastAsia" w:hAnsiTheme="minorHAnsi" w:cstheme="minorBidi"/>
              <w:b w:val="0"/>
              <w:kern w:val="2"/>
              <w:szCs w:val="22"/>
              <w14:ligatures w14:val="standardContextual"/>
            </w:rPr>
          </w:pPr>
          <w:hyperlink w:anchor="_Toc194932408" w:history="1">
            <w:r w:rsidRPr="00E90B60">
              <w:rPr>
                <w:rStyle w:val="Hyperlink"/>
              </w:rPr>
              <w:t>8</w:t>
            </w:r>
            <w:r>
              <w:rPr>
                <w:rFonts w:asciiTheme="minorHAnsi" w:eastAsiaTheme="minorEastAsia" w:hAnsiTheme="minorHAnsi" w:cstheme="minorBidi"/>
                <w:b w:val="0"/>
                <w:kern w:val="2"/>
                <w:szCs w:val="22"/>
                <w14:ligatures w14:val="standardContextual"/>
              </w:rPr>
              <w:tab/>
            </w:r>
            <w:r w:rsidRPr="00E90B60">
              <w:rPr>
                <w:rStyle w:val="Hyperlink"/>
              </w:rPr>
              <w:t>Deliverables and Report</w:t>
            </w:r>
            <w:r>
              <w:rPr>
                <w:webHidden/>
              </w:rPr>
              <w:tab/>
            </w:r>
            <w:r>
              <w:rPr>
                <w:webHidden/>
              </w:rPr>
              <w:fldChar w:fldCharType="begin"/>
            </w:r>
            <w:r>
              <w:rPr>
                <w:webHidden/>
              </w:rPr>
              <w:instrText xml:space="preserve"> PAGEREF _Toc194932408 \h </w:instrText>
            </w:r>
            <w:r>
              <w:rPr>
                <w:webHidden/>
              </w:rPr>
            </w:r>
            <w:r>
              <w:rPr>
                <w:webHidden/>
              </w:rPr>
              <w:fldChar w:fldCharType="separate"/>
            </w:r>
            <w:r w:rsidR="00624A9D">
              <w:rPr>
                <w:webHidden/>
              </w:rPr>
              <w:t>8-1</w:t>
            </w:r>
            <w:r>
              <w:rPr>
                <w:webHidden/>
              </w:rPr>
              <w:fldChar w:fldCharType="end"/>
            </w:r>
          </w:hyperlink>
        </w:p>
        <w:p w14:paraId="06B6EB3B" w14:textId="7D2AB8ED" w:rsidR="001777C7" w:rsidRDefault="001777C7">
          <w:pPr>
            <w:pStyle w:val="TOC2"/>
            <w:rPr>
              <w:rFonts w:asciiTheme="minorHAnsi" w:eastAsiaTheme="minorEastAsia" w:hAnsiTheme="minorHAnsi" w:cstheme="minorBidi"/>
              <w:kern w:val="2"/>
              <w:sz w:val="22"/>
              <w:szCs w:val="22"/>
              <w14:ligatures w14:val="standardContextual"/>
            </w:rPr>
          </w:pPr>
          <w:hyperlink w:anchor="_Toc194932409" w:history="1">
            <w:r w:rsidRPr="00E90B60">
              <w:rPr>
                <w:rStyle w:val="Hyperlink"/>
              </w:rPr>
              <w:t>8.01</w:t>
            </w:r>
            <w:r>
              <w:rPr>
                <w:rFonts w:asciiTheme="minorHAnsi" w:eastAsiaTheme="minorEastAsia" w:hAnsiTheme="minorHAnsi" w:cstheme="minorBidi"/>
                <w:kern w:val="2"/>
                <w:sz w:val="22"/>
                <w:szCs w:val="22"/>
                <w14:ligatures w14:val="standardContextual"/>
              </w:rPr>
              <w:tab/>
            </w:r>
            <w:r w:rsidRPr="00E90B60">
              <w:rPr>
                <w:rStyle w:val="Hyperlink"/>
              </w:rPr>
              <w:t>Preliminary Pavement Recommendation</w:t>
            </w:r>
            <w:r>
              <w:rPr>
                <w:webHidden/>
              </w:rPr>
              <w:tab/>
            </w:r>
            <w:r>
              <w:rPr>
                <w:webHidden/>
              </w:rPr>
              <w:fldChar w:fldCharType="begin"/>
            </w:r>
            <w:r>
              <w:rPr>
                <w:webHidden/>
              </w:rPr>
              <w:instrText xml:space="preserve"> PAGEREF _Toc194932409 \h </w:instrText>
            </w:r>
            <w:r>
              <w:rPr>
                <w:webHidden/>
              </w:rPr>
            </w:r>
            <w:r>
              <w:rPr>
                <w:webHidden/>
              </w:rPr>
              <w:fldChar w:fldCharType="separate"/>
            </w:r>
            <w:r w:rsidR="00624A9D">
              <w:rPr>
                <w:webHidden/>
              </w:rPr>
              <w:t>8-1</w:t>
            </w:r>
            <w:r>
              <w:rPr>
                <w:webHidden/>
              </w:rPr>
              <w:fldChar w:fldCharType="end"/>
            </w:r>
          </w:hyperlink>
        </w:p>
        <w:p w14:paraId="326AF227" w14:textId="4922B72A" w:rsidR="001777C7" w:rsidRDefault="001777C7">
          <w:pPr>
            <w:pStyle w:val="TOC2"/>
            <w:rPr>
              <w:rFonts w:asciiTheme="minorHAnsi" w:eastAsiaTheme="minorEastAsia" w:hAnsiTheme="minorHAnsi" w:cstheme="minorBidi"/>
              <w:kern w:val="2"/>
              <w:sz w:val="22"/>
              <w:szCs w:val="22"/>
              <w14:ligatures w14:val="standardContextual"/>
            </w:rPr>
          </w:pPr>
          <w:hyperlink w:anchor="_Toc194932410" w:history="1">
            <w:r w:rsidRPr="00E90B60">
              <w:rPr>
                <w:rStyle w:val="Hyperlink"/>
              </w:rPr>
              <w:t>8.02</w:t>
            </w:r>
            <w:r>
              <w:rPr>
                <w:rFonts w:asciiTheme="minorHAnsi" w:eastAsiaTheme="minorEastAsia" w:hAnsiTheme="minorHAnsi" w:cstheme="minorBidi"/>
                <w:kern w:val="2"/>
                <w:sz w:val="22"/>
                <w:szCs w:val="22"/>
                <w14:ligatures w14:val="standardContextual"/>
              </w:rPr>
              <w:tab/>
            </w:r>
            <w:r w:rsidRPr="00E90B60">
              <w:rPr>
                <w:rStyle w:val="Hyperlink"/>
              </w:rPr>
              <w:t>Advanced Geotechnical Report</w:t>
            </w:r>
            <w:r>
              <w:rPr>
                <w:webHidden/>
              </w:rPr>
              <w:tab/>
            </w:r>
            <w:r>
              <w:rPr>
                <w:webHidden/>
              </w:rPr>
              <w:fldChar w:fldCharType="begin"/>
            </w:r>
            <w:r>
              <w:rPr>
                <w:webHidden/>
              </w:rPr>
              <w:instrText xml:space="preserve"> PAGEREF _Toc194932410 \h </w:instrText>
            </w:r>
            <w:r>
              <w:rPr>
                <w:webHidden/>
              </w:rPr>
            </w:r>
            <w:r>
              <w:rPr>
                <w:webHidden/>
              </w:rPr>
              <w:fldChar w:fldCharType="separate"/>
            </w:r>
            <w:r w:rsidR="00624A9D">
              <w:rPr>
                <w:webHidden/>
              </w:rPr>
              <w:t>8-3</w:t>
            </w:r>
            <w:r>
              <w:rPr>
                <w:webHidden/>
              </w:rPr>
              <w:fldChar w:fldCharType="end"/>
            </w:r>
          </w:hyperlink>
        </w:p>
        <w:p w14:paraId="4BD89317" w14:textId="614C94D1" w:rsidR="001777C7" w:rsidRDefault="001777C7">
          <w:pPr>
            <w:pStyle w:val="TOC2"/>
            <w:rPr>
              <w:rFonts w:asciiTheme="minorHAnsi" w:eastAsiaTheme="minorEastAsia" w:hAnsiTheme="minorHAnsi" w:cstheme="minorBidi"/>
              <w:kern w:val="2"/>
              <w:sz w:val="22"/>
              <w:szCs w:val="22"/>
              <w14:ligatures w14:val="standardContextual"/>
            </w:rPr>
          </w:pPr>
          <w:hyperlink w:anchor="_Toc194932411" w:history="1">
            <w:r w:rsidRPr="00E90B60">
              <w:rPr>
                <w:rStyle w:val="Hyperlink"/>
              </w:rPr>
              <w:t>8.03</w:t>
            </w:r>
            <w:r>
              <w:rPr>
                <w:rFonts w:asciiTheme="minorHAnsi" w:eastAsiaTheme="minorEastAsia" w:hAnsiTheme="minorHAnsi" w:cstheme="minorBidi"/>
                <w:kern w:val="2"/>
                <w:sz w:val="22"/>
                <w:szCs w:val="22"/>
                <w14:ligatures w14:val="standardContextual"/>
              </w:rPr>
              <w:tab/>
            </w:r>
            <w:r w:rsidRPr="00E90B60">
              <w:rPr>
                <w:rStyle w:val="Hyperlink"/>
              </w:rPr>
              <w:t>Final Pavement &amp; Geotechnical Report</w:t>
            </w:r>
            <w:r>
              <w:rPr>
                <w:webHidden/>
              </w:rPr>
              <w:tab/>
            </w:r>
            <w:r>
              <w:rPr>
                <w:webHidden/>
              </w:rPr>
              <w:fldChar w:fldCharType="begin"/>
            </w:r>
            <w:r>
              <w:rPr>
                <w:webHidden/>
              </w:rPr>
              <w:instrText xml:space="preserve"> PAGEREF _Toc194932411 \h </w:instrText>
            </w:r>
            <w:r>
              <w:rPr>
                <w:webHidden/>
              </w:rPr>
            </w:r>
            <w:r>
              <w:rPr>
                <w:webHidden/>
              </w:rPr>
              <w:fldChar w:fldCharType="separate"/>
            </w:r>
            <w:r w:rsidR="00624A9D">
              <w:rPr>
                <w:webHidden/>
              </w:rPr>
              <w:t>8-5</w:t>
            </w:r>
            <w:r>
              <w:rPr>
                <w:webHidden/>
              </w:rPr>
              <w:fldChar w:fldCharType="end"/>
            </w:r>
          </w:hyperlink>
        </w:p>
        <w:p w14:paraId="4E8FB9CA" w14:textId="677F8FE2" w:rsidR="001777C7" w:rsidRDefault="001777C7">
          <w:pPr>
            <w:pStyle w:val="TOC2"/>
            <w:rPr>
              <w:rFonts w:asciiTheme="minorHAnsi" w:eastAsiaTheme="minorEastAsia" w:hAnsiTheme="minorHAnsi" w:cstheme="minorBidi"/>
              <w:kern w:val="2"/>
              <w:sz w:val="22"/>
              <w:szCs w:val="22"/>
              <w14:ligatures w14:val="standardContextual"/>
            </w:rPr>
          </w:pPr>
          <w:hyperlink w:anchor="_Toc194932412" w:history="1">
            <w:r w:rsidRPr="00E90B60">
              <w:rPr>
                <w:rStyle w:val="Hyperlink"/>
              </w:rPr>
              <w:t>8.04</w:t>
            </w:r>
            <w:r>
              <w:rPr>
                <w:rFonts w:asciiTheme="minorHAnsi" w:eastAsiaTheme="minorEastAsia" w:hAnsiTheme="minorHAnsi" w:cstheme="minorBidi"/>
                <w:kern w:val="2"/>
                <w:sz w:val="22"/>
                <w:szCs w:val="22"/>
                <w14:ligatures w14:val="standardContextual"/>
              </w:rPr>
              <w:tab/>
            </w:r>
            <w:r w:rsidRPr="00E90B60">
              <w:rPr>
                <w:rStyle w:val="Hyperlink"/>
              </w:rPr>
              <w:t>Topsoil Memo</w:t>
            </w:r>
            <w:r>
              <w:rPr>
                <w:webHidden/>
              </w:rPr>
              <w:tab/>
            </w:r>
            <w:r>
              <w:rPr>
                <w:webHidden/>
              </w:rPr>
              <w:fldChar w:fldCharType="begin"/>
            </w:r>
            <w:r>
              <w:rPr>
                <w:webHidden/>
              </w:rPr>
              <w:instrText xml:space="preserve"> PAGEREF _Toc194932412 \h </w:instrText>
            </w:r>
            <w:r>
              <w:rPr>
                <w:webHidden/>
              </w:rPr>
            </w:r>
            <w:r>
              <w:rPr>
                <w:webHidden/>
              </w:rPr>
              <w:fldChar w:fldCharType="separate"/>
            </w:r>
            <w:r w:rsidR="00624A9D">
              <w:rPr>
                <w:webHidden/>
              </w:rPr>
              <w:t>8-6</w:t>
            </w:r>
            <w:r>
              <w:rPr>
                <w:webHidden/>
              </w:rPr>
              <w:fldChar w:fldCharType="end"/>
            </w:r>
          </w:hyperlink>
        </w:p>
        <w:p w14:paraId="7AD74B74" w14:textId="0FADFBF2" w:rsidR="001777C7" w:rsidRDefault="001777C7">
          <w:pPr>
            <w:pStyle w:val="TOC2"/>
            <w:rPr>
              <w:rFonts w:asciiTheme="minorHAnsi" w:eastAsiaTheme="minorEastAsia" w:hAnsiTheme="minorHAnsi" w:cstheme="minorBidi"/>
              <w:kern w:val="2"/>
              <w:sz w:val="22"/>
              <w:szCs w:val="22"/>
              <w14:ligatures w14:val="standardContextual"/>
            </w:rPr>
          </w:pPr>
          <w:hyperlink w:anchor="_Toc194932413" w:history="1">
            <w:r w:rsidRPr="00E90B60">
              <w:rPr>
                <w:rStyle w:val="Hyperlink"/>
              </w:rPr>
              <w:t>8.05</w:t>
            </w:r>
            <w:r>
              <w:rPr>
                <w:rFonts w:asciiTheme="minorHAnsi" w:eastAsiaTheme="minorEastAsia" w:hAnsiTheme="minorHAnsi" w:cstheme="minorBidi"/>
                <w:kern w:val="2"/>
                <w:sz w:val="22"/>
                <w:szCs w:val="22"/>
                <w14:ligatures w14:val="standardContextual"/>
              </w:rPr>
              <w:tab/>
            </w:r>
            <w:r w:rsidRPr="00E90B60">
              <w:rPr>
                <w:rStyle w:val="Hyperlink"/>
              </w:rPr>
              <w:t>Plans, IFB, and Estimate Comments</w:t>
            </w:r>
            <w:r>
              <w:rPr>
                <w:webHidden/>
              </w:rPr>
              <w:tab/>
            </w:r>
            <w:r>
              <w:rPr>
                <w:webHidden/>
              </w:rPr>
              <w:fldChar w:fldCharType="begin"/>
            </w:r>
            <w:r>
              <w:rPr>
                <w:webHidden/>
              </w:rPr>
              <w:instrText xml:space="preserve"> PAGEREF _Toc194932413 \h </w:instrText>
            </w:r>
            <w:r>
              <w:rPr>
                <w:webHidden/>
              </w:rPr>
            </w:r>
            <w:r>
              <w:rPr>
                <w:webHidden/>
              </w:rPr>
              <w:fldChar w:fldCharType="separate"/>
            </w:r>
            <w:r w:rsidR="00624A9D">
              <w:rPr>
                <w:webHidden/>
              </w:rPr>
              <w:t>8-7</w:t>
            </w:r>
            <w:r>
              <w:rPr>
                <w:webHidden/>
              </w:rPr>
              <w:fldChar w:fldCharType="end"/>
            </w:r>
          </w:hyperlink>
        </w:p>
        <w:p w14:paraId="30768F83" w14:textId="45EBEDD9" w:rsidR="001777C7" w:rsidRDefault="001777C7">
          <w:pPr>
            <w:pStyle w:val="TOC2"/>
            <w:rPr>
              <w:rFonts w:asciiTheme="minorHAnsi" w:eastAsiaTheme="minorEastAsia" w:hAnsiTheme="minorHAnsi" w:cstheme="minorBidi"/>
              <w:kern w:val="2"/>
              <w:sz w:val="22"/>
              <w:szCs w:val="22"/>
              <w14:ligatures w14:val="standardContextual"/>
            </w:rPr>
          </w:pPr>
          <w:hyperlink w:anchor="_Toc194932414" w:history="1">
            <w:r w:rsidRPr="00E90B60">
              <w:rPr>
                <w:rStyle w:val="Hyperlink"/>
              </w:rPr>
              <w:t>8.06</w:t>
            </w:r>
            <w:r>
              <w:rPr>
                <w:rFonts w:asciiTheme="minorHAnsi" w:eastAsiaTheme="minorEastAsia" w:hAnsiTheme="minorHAnsi" w:cstheme="minorBidi"/>
                <w:kern w:val="2"/>
                <w:sz w:val="22"/>
                <w:szCs w:val="22"/>
                <w14:ligatures w14:val="standardContextual"/>
              </w:rPr>
              <w:tab/>
            </w:r>
            <w:r w:rsidRPr="00E90B60">
              <w:rPr>
                <w:rStyle w:val="Hyperlink"/>
              </w:rPr>
              <w:t>Other Reports</w:t>
            </w:r>
            <w:r>
              <w:rPr>
                <w:webHidden/>
              </w:rPr>
              <w:tab/>
            </w:r>
            <w:r>
              <w:rPr>
                <w:webHidden/>
              </w:rPr>
              <w:fldChar w:fldCharType="begin"/>
            </w:r>
            <w:r>
              <w:rPr>
                <w:webHidden/>
              </w:rPr>
              <w:instrText xml:space="preserve"> PAGEREF _Toc194932414 \h </w:instrText>
            </w:r>
            <w:r>
              <w:rPr>
                <w:webHidden/>
              </w:rPr>
            </w:r>
            <w:r>
              <w:rPr>
                <w:webHidden/>
              </w:rPr>
              <w:fldChar w:fldCharType="separate"/>
            </w:r>
            <w:r w:rsidR="00624A9D">
              <w:rPr>
                <w:webHidden/>
              </w:rPr>
              <w:t>8-12</w:t>
            </w:r>
            <w:r>
              <w:rPr>
                <w:webHidden/>
              </w:rPr>
              <w:fldChar w:fldCharType="end"/>
            </w:r>
          </w:hyperlink>
        </w:p>
        <w:p w14:paraId="4F6C5D7F" w14:textId="1CB7DF93" w:rsidR="001777C7" w:rsidRDefault="001777C7">
          <w:pPr>
            <w:pStyle w:val="TOC2"/>
            <w:rPr>
              <w:rFonts w:asciiTheme="minorHAnsi" w:eastAsiaTheme="minorEastAsia" w:hAnsiTheme="minorHAnsi" w:cstheme="minorBidi"/>
              <w:kern w:val="2"/>
              <w:sz w:val="22"/>
              <w:szCs w:val="22"/>
              <w14:ligatures w14:val="standardContextual"/>
            </w:rPr>
          </w:pPr>
          <w:hyperlink w:anchor="_Toc194932415" w:history="1">
            <w:r w:rsidRPr="00E90B60">
              <w:rPr>
                <w:rStyle w:val="Hyperlink"/>
              </w:rPr>
              <w:t>8.07</w:t>
            </w:r>
            <w:r>
              <w:rPr>
                <w:rFonts w:asciiTheme="minorHAnsi" w:eastAsiaTheme="minorEastAsia" w:hAnsiTheme="minorHAnsi" w:cstheme="minorBidi"/>
                <w:kern w:val="2"/>
                <w:sz w:val="22"/>
                <w:szCs w:val="22"/>
                <w14:ligatures w14:val="standardContextual"/>
              </w:rPr>
              <w:tab/>
            </w:r>
            <w:r w:rsidRPr="00E90B60">
              <w:rPr>
                <w:rStyle w:val="Hyperlink"/>
              </w:rPr>
              <w:t>Construction and Material Specifications</w:t>
            </w:r>
            <w:r>
              <w:rPr>
                <w:webHidden/>
              </w:rPr>
              <w:tab/>
            </w:r>
            <w:r>
              <w:rPr>
                <w:webHidden/>
              </w:rPr>
              <w:fldChar w:fldCharType="begin"/>
            </w:r>
            <w:r>
              <w:rPr>
                <w:webHidden/>
              </w:rPr>
              <w:instrText xml:space="preserve"> PAGEREF _Toc194932415 \h </w:instrText>
            </w:r>
            <w:r>
              <w:rPr>
                <w:webHidden/>
              </w:rPr>
            </w:r>
            <w:r>
              <w:rPr>
                <w:webHidden/>
              </w:rPr>
              <w:fldChar w:fldCharType="separate"/>
            </w:r>
            <w:r w:rsidR="00624A9D">
              <w:rPr>
                <w:webHidden/>
              </w:rPr>
              <w:t>8-14</w:t>
            </w:r>
            <w:r>
              <w:rPr>
                <w:webHidden/>
              </w:rPr>
              <w:fldChar w:fldCharType="end"/>
            </w:r>
          </w:hyperlink>
        </w:p>
        <w:p w14:paraId="0B4BA0DD" w14:textId="4D23DE7E" w:rsidR="001777C7" w:rsidRDefault="001777C7">
          <w:pPr>
            <w:pStyle w:val="TOC2"/>
            <w:rPr>
              <w:rFonts w:asciiTheme="minorHAnsi" w:eastAsiaTheme="minorEastAsia" w:hAnsiTheme="minorHAnsi" w:cstheme="minorBidi"/>
              <w:kern w:val="2"/>
              <w:sz w:val="22"/>
              <w:szCs w:val="22"/>
              <w14:ligatures w14:val="standardContextual"/>
            </w:rPr>
          </w:pPr>
          <w:hyperlink w:anchor="_Toc194932416" w:history="1">
            <w:r w:rsidRPr="00E90B60">
              <w:rPr>
                <w:rStyle w:val="Hyperlink"/>
              </w:rPr>
              <w:t>8.08</w:t>
            </w:r>
            <w:r>
              <w:rPr>
                <w:rFonts w:asciiTheme="minorHAnsi" w:eastAsiaTheme="minorEastAsia" w:hAnsiTheme="minorHAnsi" w:cstheme="minorBidi"/>
                <w:kern w:val="2"/>
                <w:sz w:val="22"/>
                <w:szCs w:val="22"/>
                <w14:ligatures w14:val="standardContextual"/>
              </w:rPr>
              <w:tab/>
            </w:r>
            <w:r w:rsidRPr="00E90B60">
              <w:rPr>
                <w:rStyle w:val="Hyperlink"/>
              </w:rPr>
              <w:t>Management Review &amp; QA</w:t>
            </w:r>
            <w:r>
              <w:rPr>
                <w:webHidden/>
              </w:rPr>
              <w:tab/>
            </w:r>
            <w:r>
              <w:rPr>
                <w:webHidden/>
              </w:rPr>
              <w:fldChar w:fldCharType="begin"/>
            </w:r>
            <w:r>
              <w:rPr>
                <w:webHidden/>
              </w:rPr>
              <w:instrText xml:space="preserve"> PAGEREF _Toc194932416 \h </w:instrText>
            </w:r>
            <w:r>
              <w:rPr>
                <w:webHidden/>
              </w:rPr>
            </w:r>
            <w:r>
              <w:rPr>
                <w:webHidden/>
              </w:rPr>
              <w:fldChar w:fldCharType="separate"/>
            </w:r>
            <w:r w:rsidR="00624A9D">
              <w:rPr>
                <w:webHidden/>
              </w:rPr>
              <w:t>8-22</w:t>
            </w:r>
            <w:r>
              <w:rPr>
                <w:webHidden/>
              </w:rPr>
              <w:fldChar w:fldCharType="end"/>
            </w:r>
          </w:hyperlink>
        </w:p>
        <w:p w14:paraId="6F66FBF3" w14:textId="5C0BF838" w:rsidR="001777C7" w:rsidRDefault="001777C7">
          <w:pPr>
            <w:pStyle w:val="TOC1"/>
            <w:rPr>
              <w:rFonts w:asciiTheme="minorHAnsi" w:eastAsiaTheme="minorEastAsia" w:hAnsiTheme="minorHAnsi" w:cstheme="minorBidi"/>
              <w:b w:val="0"/>
              <w:kern w:val="2"/>
              <w:szCs w:val="22"/>
              <w14:ligatures w14:val="standardContextual"/>
            </w:rPr>
          </w:pPr>
          <w:hyperlink w:anchor="_Toc194932417" w:history="1">
            <w:r w:rsidRPr="00E90B60">
              <w:rPr>
                <w:rStyle w:val="Hyperlink"/>
              </w:rPr>
              <w:t>9</w:t>
            </w:r>
            <w:r>
              <w:rPr>
                <w:rFonts w:asciiTheme="minorHAnsi" w:eastAsiaTheme="minorEastAsia" w:hAnsiTheme="minorHAnsi" w:cstheme="minorBidi"/>
                <w:b w:val="0"/>
                <w:kern w:val="2"/>
                <w:szCs w:val="22"/>
                <w14:ligatures w14:val="standardContextual"/>
              </w:rPr>
              <w:tab/>
            </w:r>
            <w:r w:rsidRPr="00E90B60">
              <w:rPr>
                <w:rStyle w:val="Hyperlink"/>
              </w:rPr>
              <w:t>Appendices</w:t>
            </w:r>
            <w:r>
              <w:rPr>
                <w:webHidden/>
              </w:rPr>
              <w:tab/>
            </w:r>
            <w:r>
              <w:rPr>
                <w:webHidden/>
              </w:rPr>
              <w:fldChar w:fldCharType="begin"/>
            </w:r>
            <w:r>
              <w:rPr>
                <w:webHidden/>
              </w:rPr>
              <w:instrText xml:space="preserve"> PAGEREF _Toc194932417 \h </w:instrText>
            </w:r>
            <w:r>
              <w:rPr>
                <w:webHidden/>
              </w:rPr>
            </w:r>
            <w:r>
              <w:rPr>
                <w:webHidden/>
              </w:rPr>
              <w:fldChar w:fldCharType="separate"/>
            </w:r>
            <w:r w:rsidR="00624A9D">
              <w:rPr>
                <w:webHidden/>
              </w:rPr>
              <w:t>9-1</w:t>
            </w:r>
            <w:r>
              <w:rPr>
                <w:webHidden/>
              </w:rPr>
              <w:fldChar w:fldCharType="end"/>
            </w:r>
          </w:hyperlink>
        </w:p>
        <w:p w14:paraId="5CDC85EC" w14:textId="3F5CF9A4" w:rsidR="001777C7" w:rsidRDefault="001777C7">
          <w:pPr>
            <w:pStyle w:val="TOC2"/>
            <w:rPr>
              <w:rFonts w:asciiTheme="minorHAnsi" w:eastAsiaTheme="minorEastAsia" w:hAnsiTheme="minorHAnsi" w:cstheme="minorBidi"/>
              <w:kern w:val="2"/>
              <w:sz w:val="22"/>
              <w:szCs w:val="22"/>
              <w14:ligatures w14:val="standardContextual"/>
            </w:rPr>
          </w:pPr>
          <w:hyperlink w:anchor="_Toc194932418" w:history="1">
            <w:r w:rsidRPr="00E90B60">
              <w:rPr>
                <w:rStyle w:val="Hyperlink"/>
              </w:rPr>
              <w:t>9.01</w:t>
            </w:r>
            <w:r>
              <w:rPr>
                <w:rFonts w:asciiTheme="minorHAnsi" w:eastAsiaTheme="minorEastAsia" w:hAnsiTheme="minorHAnsi" w:cstheme="minorBidi"/>
                <w:kern w:val="2"/>
                <w:sz w:val="22"/>
                <w:szCs w:val="22"/>
                <w14:ligatures w14:val="standardContextual"/>
              </w:rPr>
              <w:tab/>
            </w:r>
            <w:r w:rsidRPr="00E90B60">
              <w:rPr>
                <w:rStyle w:val="Hyperlink"/>
              </w:rPr>
              <w:t>Glossary</w:t>
            </w:r>
            <w:r>
              <w:rPr>
                <w:webHidden/>
              </w:rPr>
              <w:tab/>
            </w:r>
            <w:r>
              <w:rPr>
                <w:webHidden/>
              </w:rPr>
              <w:fldChar w:fldCharType="begin"/>
            </w:r>
            <w:r>
              <w:rPr>
                <w:webHidden/>
              </w:rPr>
              <w:instrText xml:space="preserve"> PAGEREF _Toc194932418 \h </w:instrText>
            </w:r>
            <w:r>
              <w:rPr>
                <w:webHidden/>
              </w:rPr>
            </w:r>
            <w:r>
              <w:rPr>
                <w:webHidden/>
              </w:rPr>
              <w:fldChar w:fldCharType="separate"/>
            </w:r>
            <w:r w:rsidR="00624A9D">
              <w:rPr>
                <w:webHidden/>
              </w:rPr>
              <w:t>9-1</w:t>
            </w:r>
            <w:r>
              <w:rPr>
                <w:webHidden/>
              </w:rPr>
              <w:fldChar w:fldCharType="end"/>
            </w:r>
          </w:hyperlink>
        </w:p>
        <w:p w14:paraId="130A9743" w14:textId="2DC6D66E" w:rsidR="001777C7" w:rsidRDefault="001777C7">
          <w:pPr>
            <w:pStyle w:val="TOC2"/>
            <w:rPr>
              <w:rFonts w:asciiTheme="minorHAnsi" w:eastAsiaTheme="minorEastAsia" w:hAnsiTheme="minorHAnsi" w:cstheme="minorBidi"/>
              <w:kern w:val="2"/>
              <w:sz w:val="22"/>
              <w:szCs w:val="22"/>
              <w14:ligatures w14:val="standardContextual"/>
            </w:rPr>
          </w:pPr>
          <w:hyperlink w:anchor="_Toc194932419" w:history="1">
            <w:r w:rsidRPr="00E90B60">
              <w:rPr>
                <w:rStyle w:val="Hyperlink"/>
              </w:rPr>
              <w:t>9.02</w:t>
            </w:r>
            <w:r>
              <w:rPr>
                <w:rFonts w:asciiTheme="minorHAnsi" w:eastAsiaTheme="minorEastAsia" w:hAnsiTheme="minorHAnsi" w:cstheme="minorBidi"/>
                <w:kern w:val="2"/>
                <w:sz w:val="22"/>
                <w:szCs w:val="22"/>
                <w14:ligatures w14:val="standardContextual"/>
              </w:rPr>
              <w:tab/>
            </w:r>
            <w:r w:rsidRPr="00E90B60">
              <w:rPr>
                <w:rStyle w:val="Hyperlink"/>
              </w:rPr>
              <w:t>Geotechnical Investigation references</w:t>
            </w:r>
            <w:r>
              <w:rPr>
                <w:webHidden/>
              </w:rPr>
              <w:tab/>
            </w:r>
            <w:r>
              <w:rPr>
                <w:webHidden/>
              </w:rPr>
              <w:fldChar w:fldCharType="begin"/>
            </w:r>
            <w:r>
              <w:rPr>
                <w:webHidden/>
              </w:rPr>
              <w:instrText xml:space="preserve"> PAGEREF _Toc194932419 \h </w:instrText>
            </w:r>
            <w:r>
              <w:rPr>
                <w:webHidden/>
              </w:rPr>
            </w:r>
            <w:r>
              <w:rPr>
                <w:webHidden/>
              </w:rPr>
              <w:fldChar w:fldCharType="separate"/>
            </w:r>
            <w:r w:rsidR="00624A9D">
              <w:rPr>
                <w:webHidden/>
              </w:rPr>
              <w:t>9-17</w:t>
            </w:r>
            <w:r>
              <w:rPr>
                <w:webHidden/>
              </w:rPr>
              <w:fldChar w:fldCharType="end"/>
            </w:r>
          </w:hyperlink>
        </w:p>
        <w:p w14:paraId="1859A7BB" w14:textId="31912A91" w:rsidR="001777C7" w:rsidRDefault="001777C7">
          <w:pPr>
            <w:pStyle w:val="TOC2"/>
            <w:rPr>
              <w:rFonts w:asciiTheme="minorHAnsi" w:eastAsiaTheme="minorEastAsia" w:hAnsiTheme="minorHAnsi" w:cstheme="minorBidi"/>
              <w:kern w:val="2"/>
              <w:sz w:val="22"/>
              <w:szCs w:val="22"/>
              <w14:ligatures w14:val="standardContextual"/>
            </w:rPr>
          </w:pPr>
          <w:hyperlink w:anchor="_Toc194932420" w:history="1">
            <w:r w:rsidRPr="00E90B60">
              <w:rPr>
                <w:rStyle w:val="Hyperlink"/>
              </w:rPr>
              <w:t>9.03</w:t>
            </w:r>
            <w:r>
              <w:rPr>
                <w:rFonts w:asciiTheme="minorHAnsi" w:eastAsiaTheme="minorEastAsia" w:hAnsiTheme="minorHAnsi" w:cstheme="minorBidi"/>
                <w:kern w:val="2"/>
                <w:sz w:val="22"/>
                <w:szCs w:val="22"/>
                <w14:ligatures w14:val="standardContextual"/>
              </w:rPr>
              <w:tab/>
            </w:r>
            <w:r w:rsidRPr="00E90B60">
              <w:rPr>
                <w:rStyle w:val="Hyperlink"/>
              </w:rPr>
              <w:t>Laboratory Testing Procedures</w:t>
            </w:r>
            <w:r>
              <w:rPr>
                <w:webHidden/>
              </w:rPr>
              <w:tab/>
            </w:r>
            <w:r>
              <w:rPr>
                <w:webHidden/>
              </w:rPr>
              <w:fldChar w:fldCharType="begin"/>
            </w:r>
            <w:r>
              <w:rPr>
                <w:webHidden/>
              </w:rPr>
              <w:instrText xml:space="preserve"> PAGEREF _Toc194932420 \h </w:instrText>
            </w:r>
            <w:r>
              <w:rPr>
                <w:webHidden/>
              </w:rPr>
            </w:r>
            <w:r>
              <w:rPr>
                <w:webHidden/>
              </w:rPr>
              <w:fldChar w:fldCharType="separate"/>
            </w:r>
            <w:r w:rsidR="00624A9D">
              <w:rPr>
                <w:webHidden/>
              </w:rPr>
              <w:t>9-19</w:t>
            </w:r>
            <w:r>
              <w:rPr>
                <w:webHidden/>
              </w:rPr>
              <w:fldChar w:fldCharType="end"/>
            </w:r>
          </w:hyperlink>
        </w:p>
        <w:p w14:paraId="428461DD" w14:textId="03D2AC94" w:rsidR="001777C7" w:rsidRDefault="001777C7">
          <w:pPr>
            <w:pStyle w:val="TOC2"/>
            <w:rPr>
              <w:rFonts w:asciiTheme="minorHAnsi" w:eastAsiaTheme="minorEastAsia" w:hAnsiTheme="minorHAnsi" w:cstheme="minorBidi"/>
              <w:kern w:val="2"/>
              <w:sz w:val="22"/>
              <w:szCs w:val="22"/>
              <w14:ligatures w14:val="standardContextual"/>
            </w:rPr>
          </w:pPr>
          <w:hyperlink w:anchor="_Toc194932421" w:history="1">
            <w:r w:rsidRPr="00E90B60">
              <w:rPr>
                <w:rStyle w:val="Hyperlink"/>
              </w:rPr>
              <w:t>9.04</w:t>
            </w:r>
            <w:r>
              <w:rPr>
                <w:rFonts w:asciiTheme="minorHAnsi" w:eastAsiaTheme="minorEastAsia" w:hAnsiTheme="minorHAnsi" w:cstheme="minorBidi"/>
                <w:kern w:val="2"/>
                <w:sz w:val="22"/>
                <w:szCs w:val="22"/>
                <w14:ligatures w14:val="standardContextual"/>
              </w:rPr>
              <w:tab/>
            </w:r>
            <w:r w:rsidRPr="00E90B60">
              <w:rPr>
                <w:rStyle w:val="Hyperlink"/>
              </w:rPr>
              <w:t>Forms, Spreadsheets &amp; Reference Guidelines</w:t>
            </w:r>
            <w:r>
              <w:rPr>
                <w:webHidden/>
              </w:rPr>
              <w:tab/>
            </w:r>
            <w:r>
              <w:rPr>
                <w:webHidden/>
              </w:rPr>
              <w:fldChar w:fldCharType="begin"/>
            </w:r>
            <w:r>
              <w:rPr>
                <w:webHidden/>
              </w:rPr>
              <w:instrText xml:space="preserve"> PAGEREF _Toc194932421 \h </w:instrText>
            </w:r>
            <w:r>
              <w:rPr>
                <w:webHidden/>
              </w:rPr>
            </w:r>
            <w:r>
              <w:rPr>
                <w:webHidden/>
              </w:rPr>
              <w:fldChar w:fldCharType="separate"/>
            </w:r>
            <w:r w:rsidR="00624A9D">
              <w:rPr>
                <w:webHidden/>
              </w:rPr>
              <w:t>9-20</w:t>
            </w:r>
            <w:r>
              <w:rPr>
                <w:webHidden/>
              </w:rPr>
              <w:fldChar w:fldCharType="end"/>
            </w:r>
          </w:hyperlink>
        </w:p>
        <w:p w14:paraId="6BAB2636" w14:textId="03CBCB56" w:rsidR="001777C7" w:rsidRDefault="001777C7">
          <w:pPr>
            <w:pStyle w:val="TOC2"/>
            <w:rPr>
              <w:rFonts w:asciiTheme="minorHAnsi" w:eastAsiaTheme="minorEastAsia" w:hAnsiTheme="minorHAnsi" w:cstheme="minorBidi"/>
              <w:kern w:val="2"/>
              <w:sz w:val="22"/>
              <w:szCs w:val="22"/>
              <w14:ligatures w14:val="standardContextual"/>
            </w:rPr>
          </w:pPr>
          <w:hyperlink w:anchor="_Toc194932422" w:history="1">
            <w:r w:rsidRPr="00E90B60">
              <w:rPr>
                <w:rStyle w:val="Hyperlink"/>
              </w:rPr>
              <w:t>9.05</w:t>
            </w:r>
            <w:r>
              <w:rPr>
                <w:rFonts w:asciiTheme="minorHAnsi" w:eastAsiaTheme="minorEastAsia" w:hAnsiTheme="minorHAnsi" w:cstheme="minorBidi"/>
                <w:kern w:val="2"/>
                <w:sz w:val="22"/>
                <w:szCs w:val="22"/>
                <w14:ligatures w14:val="standardContextual"/>
              </w:rPr>
              <w:tab/>
            </w:r>
            <w:r w:rsidRPr="00E90B60">
              <w:rPr>
                <w:rStyle w:val="Hyperlink"/>
              </w:rPr>
              <w:t>Example Memos</w:t>
            </w:r>
            <w:r>
              <w:rPr>
                <w:webHidden/>
              </w:rPr>
              <w:tab/>
            </w:r>
            <w:r>
              <w:rPr>
                <w:webHidden/>
              </w:rPr>
              <w:fldChar w:fldCharType="begin"/>
            </w:r>
            <w:r>
              <w:rPr>
                <w:webHidden/>
              </w:rPr>
              <w:instrText xml:space="preserve"> PAGEREF _Toc194932422 \h </w:instrText>
            </w:r>
            <w:r>
              <w:rPr>
                <w:webHidden/>
              </w:rPr>
            </w:r>
            <w:r>
              <w:rPr>
                <w:webHidden/>
              </w:rPr>
              <w:fldChar w:fldCharType="separate"/>
            </w:r>
            <w:r w:rsidR="00624A9D">
              <w:rPr>
                <w:webHidden/>
              </w:rPr>
              <w:t>9-23</w:t>
            </w:r>
            <w:r>
              <w:rPr>
                <w:webHidden/>
              </w:rPr>
              <w:fldChar w:fldCharType="end"/>
            </w:r>
          </w:hyperlink>
        </w:p>
        <w:p w14:paraId="1FE5D809" w14:textId="21BF265E" w:rsidR="001777C7" w:rsidRDefault="001777C7">
          <w:pPr>
            <w:pStyle w:val="TOC2"/>
            <w:rPr>
              <w:rFonts w:asciiTheme="minorHAnsi" w:eastAsiaTheme="minorEastAsia" w:hAnsiTheme="minorHAnsi" w:cstheme="minorBidi"/>
              <w:kern w:val="2"/>
              <w:sz w:val="22"/>
              <w:szCs w:val="22"/>
              <w14:ligatures w14:val="standardContextual"/>
            </w:rPr>
          </w:pPr>
          <w:hyperlink w:anchor="_Toc194932423" w:history="1">
            <w:r w:rsidRPr="00E90B60">
              <w:rPr>
                <w:rStyle w:val="Hyperlink"/>
              </w:rPr>
              <w:t>9.06</w:t>
            </w:r>
            <w:r>
              <w:rPr>
                <w:rFonts w:asciiTheme="minorHAnsi" w:eastAsiaTheme="minorEastAsia" w:hAnsiTheme="minorHAnsi" w:cstheme="minorBidi"/>
                <w:kern w:val="2"/>
                <w:sz w:val="22"/>
                <w:szCs w:val="22"/>
                <w14:ligatures w14:val="standardContextual"/>
              </w:rPr>
              <w:tab/>
            </w:r>
            <w:r w:rsidRPr="00E90B60">
              <w:rPr>
                <w:rStyle w:val="Hyperlink"/>
              </w:rPr>
              <w:t>Electronic File Set-up</w:t>
            </w:r>
            <w:r>
              <w:rPr>
                <w:webHidden/>
              </w:rPr>
              <w:tab/>
            </w:r>
            <w:r>
              <w:rPr>
                <w:webHidden/>
              </w:rPr>
              <w:fldChar w:fldCharType="begin"/>
            </w:r>
            <w:r>
              <w:rPr>
                <w:webHidden/>
              </w:rPr>
              <w:instrText xml:space="preserve"> PAGEREF _Toc194932423 \h </w:instrText>
            </w:r>
            <w:r>
              <w:rPr>
                <w:webHidden/>
              </w:rPr>
            </w:r>
            <w:r>
              <w:rPr>
                <w:webHidden/>
              </w:rPr>
              <w:fldChar w:fldCharType="separate"/>
            </w:r>
            <w:r w:rsidR="00624A9D">
              <w:rPr>
                <w:webHidden/>
              </w:rPr>
              <w:t>9-24</w:t>
            </w:r>
            <w:r>
              <w:rPr>
                <w:webHidden/>
              </w:rPr>
              <w:fldChar w:fldCharType="end"/>
            </w:r>
          </w:hyperlink>
        </w:p>
        <w:p w14:paraId="4F9D92D5" w14:textId="676B14B0" w:rsidR="001777C7" w:rsidRDefault="001777C7">
          <w:pPr>
            <w:pStyle w:val="TOC2"/>
            <w:rPr>
              <w:rFonts w:asciiTheme="minorHAnsi" w:eastAsiaTheme="minorEastAsia" w:hAnsiTheme="minorHAnsi" w:cstheme="minorBidi"/>
              <w:kern w:val="2"/>
              <w:sz w:val="22"/>
              <w:szCs w:val="22"/>
              <w14:ligatures w14:val="standardContextual"/>
            </w:rPr>
          </w:pPr>
          <w:hyperlink w:anchor="_Toc194932424" w:history="1">
            <w:r w:rsidRPr="00E90B60">
              <w:rPr>
                <w:rStyle w:val="Hyperlink"/>
              </w:rPr>
              <w:t>9.07</w:t>
            </w:r>
            <w:r>
              <w:rPr>
                <w:rFonts w:asciiTheme="minorHAnsi" w:eastAsiaTheme="minorEastAsia" w:hAnsiTheme="minorHAnsi" w:cstheme="minorBidi"/>
                <w:kern w:val="2"/>
                <w:sz w:val="22"/>
                <w:szCs w:val="22"/>
                <w14:ligatures w14:val="standardContextual"/>
              </w:rPr>
              <w:tab/>
            </w:r>
            <w:r w:rsidRPr="00E90B60">
              <w:rPr>
                <w:rStyle w:val="Hyperlink"/>
              </w:rPr>
              <w:t>Organization of Project Files and Plans</w:t>
            </w:r>
            <w:r>
              <w:rPr>
                <w:webHidden/>
              </w:rPr>
              <w:tab/>
            </w:r>
            <w:r>
              <w:rPr>
                <w:webHidden/>
              </w:rPr>
              <w:fldChar w:fldCharType="begin"/>
            </w:r>
            <w:r>
              <w:rPr>
                <w:webHidden/>
              </w:rPr>
              <w:instrText xml:space="preserve"> PAGEREF _Toc194932424 \h </w:instrText>
            </w:r>
            <w:r>
              <w:rPr>
                <w:webHidden/>
              </w:rPr>
            </w:r>
            <w:r>
              <w:rPr>
                <w:webHidden/>
              </w:rPr>
              <w:fldChar w:fldCharType="separate"/>
            </w:r>
            <w:r w:rsidR="00624A9D">
              <w:rPr>
                <w:webHidden/>
              </w:rPr>
              <w:t>9-25</w:t>
            </w:r>
            <w:r>
              <w:rPr>
                <w:webHidden/>
              </w:rPr>
              <w:fldChar w:fldCharType="end"/>
            </w:r>
          </w:hyperlink>
        </w:p>
        <w:p w14:paraId="6B16CCBE" w14:textId="7D2C0E1C" w:rsidR="001777C7" w:rsidRDefault="001777C7">
          <w:pPr>
            <w:pStyle w:val="TOC2"/>
            <w:rPr>
              <w:rFonts w:asciiTheme="minorHAnsi" w:eastAsiaTheme="minorEastAsia" w:hAnsiTheme="minorHAnsi" w:cstheme="minorBidi"/>
              <w:kern w:val="2"/>
              <w:sz w:val="22"/>
              <w:szCs w:val="22"/>
              <w14:ligatures w14:val="standardContextual"/>
            </w:rPr>
          </w:pPr>
          <w:hyperlink w:anchor="_Toc194932425" w:history="1">
            <w:r w:rsidRPr="00E90B60">
              <w:rPr>
                <w:rStyle w:val="Hyperlink"/>
              </w:rPr>
              <w:t>9.08</w:t>
            </w:r>
            <w:r>
              <w:rPr>
                <w:rFonts w:asciiTheme="minorHAnsi" w:eastAsiaTheme="minorEastAsia" w:hAnsiTheme="minorHAnsi" w:cstheme="minorBidi"/>
                <w:kern w:val="2"/>
                <w:sz w:val="22"/>
                <w:szCs w:val="22"/>
                <w14:ligatures w14:val="standardContextual"/>
              </w:rPr>
              <w:tab/>
            </w:r>
            <w:r w:rsidRPr="00E90B60">
              <w:rPr>
                <w:rStyle w:val="Hyperlink"/>
              </w:rPr>
              <w:t>Archiving Project Files and Plans</w:t>
            </w:r>
            <w:r>
              <w:rPr>
                <w:webHidden/>
              </w:rPr>
              <w:tab/>
            </w:r>
            <w:r>
              <w:rPr>
                <w:webHidden/>
              </w:rPr>
              <w:fldChar w:fldCharType="begin"/>
            </w:r>
            <w:r>
              <w:rPr>
                <w:webHidden/>
              </w:rPr>
              <w:instrText xml:space="preserve"> PAGEREF _Toc194932425 \h </w:instrText>
            </w:r>
            <w:r>
              <w:rPr>
                <w:webHidden/>
              </w:rPr>
            </w:r>
            <w:r>
              <w:rPr>
                <w:webHidden/>
              </w:rPr>
              <w:fldChar w:fldCharType="separate"/>
            </w:r>
            <w:r w:rsidR="00624A9D">
              <w:rPr>
                <w:webHidden/>
              </w:rPr>
              <w:t>9-28</w:t>
            </w:r>
            <w:r>
              <w:rPr>
                <w:webHidden/>
              </w:rPr>
              <w:fldChar w:fldCharType="end"/>
            </w:r>
          </w:hyperlink>
        </w:p>
        <w:p w14:paraId="64B98D48" w14:textId="3C716B1B" w:rsidR="001777C7" w:rsidRDefault="001777C7">
          <w:pPr>
            <w:pStyle w:val="TOC2"/>
            <w:rPr>
              <w:rFonts w:asciiTheme="minorHAnsi" w:eastAsiaTheme="minorEastAsia" w:hAnsiTheme="minorHAnsi" w:cstheme="minorBidi"/>
              <w:kern w:val="2"/>
              <w:sz w:val="22"/>
              <w:szCs w:val="22"/>
              <w14:ligatures w14:val="standardContextual"/>
            </w:rPr>
          </w:pPr>
          <w:hyperlink w:anchor="_Toc194932426" w:history="1">
            <w:r w:rsidRPr="00E90B60">
              <w:rPr>
                <w:rStyle w:val="Hyperlink"/>
              </w:rPr>
              <w:t>9.09</w:t>
            </w:r>
            <w:r>
              <w:rPr>
                <w:rFonts w:asciiTheme="minorHAnsi" w:eastAsiaTheme="minorEastAsia" w:hAnsiTheme="minorHAnsi" w:cstheme="minorBidi"/>
                <w:kern w:val="2"/>
                <w:sz w:val="22"/>
                <w:szCs w:val="22"/>
                <w14:ligatures w14:val="standardContextual"/>
              </w:rPr>
              <w:tab/>
            </w:r>
            <w:r w:rsidRPr="00E90B60">
              <w:rPr>
                <w:rStyle w:val="Hyperlink"/>
              </w:rPr>
              <w:t>Contractor Requests</w:t>
            </w:r>
            <w:r>
              <w:rPr>
                <w:webHidden/>
              </w:rPr>
              <w:tab/>
            </w:r>
            <w:r>
              <w:rPr>
                <w:webHidden/>
              </w:rPr>
              <w:fldChar w:fldCharType="begin"/>
            </w:r>
            <w:r>
              <w:rPr>
                <w:webHidden/>
              </w:rPr>
              <w:instrText xml:space="preserve"> PAGEREF _Toc194932426 \h </w:instrText>
            </w:r>
            <w:r>
              <w:rPr>
                <w:webHidden/>
              </w:rPr>
            </w:r>
            <w:r>
              <w:rPr>
                <w:webHidden/>
              </w:rPr>
              <w:fldChar w:fldCharType="separate"/>
            </w:r>
            <w:r w:rsidR="00624A9D">
              <w:rPr>
                <w:webHidden/>
              </w:rPr>
              <w:t>9-32</w:t>
            </w:r>
            <w:r>
              <w:rPr>
                <w:webHidden/>
              </w:rPr>
              <w:fldChar w:fldCharType="end"/>
            </w:r>
          </w:hyperlink>
        </w:p>
        <w:p w14:paraId="3D6DF187" w14:textId="797AF8A7" w:rsidR="001777C7" w:rsidRDefault="001777C7">
          <w:pPr>
            <w:pStyle w:val="TOC2"/>
            <w:rPr>
              <w:rFonts w:asciiTheme="minorHAnsi" w:eastAsiaTheme="minorEastAsia" w:hAnsiTheme="minorHAnsi" w:cstheme="minorBidi"/>
              <w:kern w:val="2"/>
              <w:sz w:val="22"/>
              <w:szCs w:val="22"/>
              <w14:ligatures w14:val="standardContextual"/>
            </w:rPr>
          </w:pPr>
          <w:hyperlink w:anchor="_Toc194932427" w:history="1">
            <w:r w:rsidRPr="00E90B60">
              <w:rPr>
                <w:rStyle w:val="Hyperlink"/>
              </w:rPr>
              <w:t>9.10</w:t>
            </w:r>
            <w:r>
              <w:rPr>
                <w:rFonts w:asciiTheme="minorHAnsi" w:eastAsiaTheme="minorEastAsia" w:hAnsiTheme="minorHAnsi" w:cstheme="minorBidi"/>
                <w:kern w:val="2"/>
                <w:sz w:val="22"/>
                <w:szCs w:val="22"/>
                <w14:ligatures w14:val="standardContextual"/>
              </w:rPr>
              <w:tab/>
            </w:r>
            <w:r w:rsidRPr="00E90B60">
              <w:rPr>
                <w:rStyle w:val="Hyperlink"/>
              </w:rPr>
              <w:t>Unit Costs</w:t>
            </w:r>
            <w:r>
              <w:rPr>
                <w:webHidden/>
              </w:rPr>
              <w:tab/>
            </w:r>
            <w:r>
              <w:rPr>
                <w:webHidden/>
              </w:rPr>
              <w:fldChar w:fldCharType="begin"/>
            </w:r>
            <w:r>
              <w:rPr>
                <w:webHidden/>
              </w:rPr>
              <w:instrText xml:space="preserve"> PAGEREF _Toc194932427 \h </w:instrText>
            </w:r>
            <w:r>
              <w:rPr>
                <w:webHidden/>
              </w:rPr>
            </w:r>
            <w:r>
              <w:rPr>
                <w:webHidden/>
              </w:rPr>
              <w:fldChar w:fldCharType="separate"/>
            </w:r>
            <w:r w:rsidR="00624A9D">
              <w:rPr>
                <w:webHidden/>
              </w:rPr>
              <w:t>9-33</w:t>
            </w:r>
            <w:r>
              <w:rPr>
                <w:webHidden/>
              </w:rPr>
              <w:fldChar w:fldCharType="end"/>
            </w:r>
          </w:hyperlink>
        </w:p>
        <w:p w14:paraId="3DD790E0" w14:textId="4F1707BA" w:rsidR="001777C7" w:rsidRDefault="001777C7">
          <w:pPr>
            <w:pStyle w:val="TOC2"/>
            <w:rPr>
              <w:rFonts w:asciiTheme="minorHAnsi" w:eastAsiaTheme="minorEastAsia" w:hAnsiTheme="minorHAnsi" w:cstheme="minorBidi"/>
              <w:kern w:val="2"/>
              <w:sz w:val="22"/>
              <w:szCs w:val="22"/>
              <w14:ligatures w14:val="standardContextual"/>
            </w:rPr>
          </w:pPr>
          <w:hyperlink w:anchor="_Toc194932428" w:history="1">
            <w:r w:rsidRPr="00E90B60">
              <w:rPr>
                <w:rStyle w:val="Hyperlink"/>
              </w:rPr>
              <w:t>9.11</w:t>
            </w:r>
            <w:r>
              <w:rPr>
                <w:rFonts w:asciiTheme="minorHAnsi" w:eastAsiaTheme="minorEastAsia" w:hAnsiTheme="minorHAnsi" w:cstheme="minorBidi"/>
                <w:kern w:val="2"/>
                <w:sz w:val="22"/>
                <w:szCs w:val="22"/>
                <w14:ligatures w14:val="standardContextual"/>
              </w:rPr>
              <w:tab/>
            </w:r>
            <w:r w:rsidRPr="00E90B60">
              <w:rPr>
                <w:rStyle w:val="Hyperlink"/>
              </w:rPr>
              <w:t>FWD Data Analysis Background</w:t>
            </w:r>
            <w:r>
              <w:rPr>
                <w:webHidden/>
              </w:rPr>
              <w:tab/>
            </w:r>
            <w:r>
              <w:rPr>
                <w:webHidden/>
              </w:rPr>
              <w:fldChar w:fldCharType="begin"/>
            </w:r>
            <w:r>
              <w:rPr>
                <w:webHidden/>
              </w:rPr>
              <w:instrText xml:space="preserve"> PAGEREF _Toc194932428 \h </w:instrText>
            </w:r>
            <w:r>
              <w:rPr>
                <w:webHidden/>
              </w:rPr>
            </w:r>
            <w:r>
              <w:rPr>
                <w:webHidden/>
              </w:rPr>
              <w:fldChar w:fldCharType="separate"/>
            </w:r>
            <w:r w:rsidR="00624A9D">
              <w:rPr>
                <w:webHidden/>
              </w:rPr>
              <w:t>9-34</w:t>
            </w:r>
            <w:r>
              <w:rPr>
                <w:webHidden/>
              </w:rPr>
              <w:fldChar w:fldCharType="end"/>
            </w:r>
          </w:hyperlink>
        </w:p>
        <w:p w14:paraId="11DDAA22" w14:textId="57A5B5EB" w:rsidR="001777C7" w:rsidRDefault="001777C7">
          <w:pPr>
            <w:pStyle w:val="TOC2"/>
            <w:rPr>
              <w:rFonts w:asciiTheme="minorHAnsi" w:eastAsiaTheme="minorEastAsia" w:hAnsiTheme="minorHAnsi" w:cstheme="minorBidi"/>
              <w:kern w:val="2"/>
              <w:sz w:val="22"/>
              <w:szCs w:val="22"/>
              <w14:ligatures w14:val="standardContextual"/>
            </w:rPr>
          </w:pPr>
          <w:hyperlink w:anchor="_Toc194932429" w:history="1">
            <w:r w:rsidRPr="00E90B60">
              <w:rPr>
                <w:rStyle w:val="Hyperlink"/>
              </w:rPr>
              <w:t>9.12</w:t>
            </w:r>
            <w:r>
              <w:rPr>
                <w:rFonts w:asciiTheme="minorHAnsi" w:eastAsiaTheme="minorEastAsia" w:hAnsiTheme="minorHAnsi" w:cstheme="minorBidi"/>
                <w:kern w:val="2"/>
                <w:sz w:val="22"/>
                <w:szCs w:val="22"/>
                <w14:ligatures w14:val="standardContextual"/>
              </w:rPr>
              <w:tab/>
            </w:r>
            <w:r w:rsidRPr="00E90B60">
              <w:rPr>
                <w:rStyle w:val="Hyperlink"/>
              </w:rPr>
              <w:t>New Pavement Design Using AASHTO 1993</w:t>
            </w:r>
            <w:r>
              <w:rPr>
                <w:webHidden/>
              </w:rPr>
              <w:tab/>
            </w:r>
            <w:r>
              <w:rPr>
                <w:webHidden/>
              </w:rPr>
              <w:fldChar w:fldCharType="begin"/>
            </w:r>
            <w:r>
              <w:rPr>
                <w:webHidden/>
              </w:rPr>
              <w:instrText xml:space="preserve"> PAGEREF _Toc194932429 \h </w:instrText>
            </w:r>
            <w:r>
              <w:rPr>
                <w:webHidden/>
              </w:rPr>
            </w:r>
            <w:r>
              <w:rPr>
                <w:webHidden/>
              </w:rPr>
              <w:fldChar w:fldCharType="separate"/>
            </w:r>
            <w:r w:rsidR="00624A9D">
              <w:rPr>
                <w:webHidden/>
              </w:rPr>
              <w:t>9-53</w:t>
            </w:r>
            <w:r>
              <w:rPr>
                <w:webHidden/>
              </w:rPr>
              <w:fldChar w:fldCharType="end"/>
            </w:r>
          </w:hyperlink>
        </w:p>
        <w:p w14:paraId="7FD49C23" w14:textId="51686C4E" w:rsidR="001777C7" w:rsidRDefault="001777C7">
          <w:pPr>
            <w:pStyle w:val="TOC2"/>
            <w:rPr>
              <w:rFonts w:asciiTheme="minorHAnsi" w:eastAsiaTheme="minorEastAsia" w:hAnsiTheme="minorHAnsi" w:cstheme="minorBidi"/>
              <w:kern w:val="2"/>
              <w:sz w:val="22"/>
              <w:szCs w:val="22"/>
              <w14:ligatures w14:val="standardContextual"/>
            </w:rPr>
          </w:pPr>
          <w:hyperlink w:anchor="_Toc194932430" w:history="1">
            <w:r w:rsidRPr="00E90B60">
              <w:rPr>
                <w:rStyle w:val="Hyperlink"/>
              </w:rPr>
              <w:t>9.13</w:t>
            </w:r>
            <w:r>
              <w:rPr>
                <w:rFonts w:asciiTheme="minorHAnsi" w:eastAsiaTheme="minorEastAsia" w:hAnsiTheme="minorHAnsi" w:cstheme="minorBidi"/>
                <w:kern w:val="2"/>
                <w:sz w:val="22"/>
                <w:szCs w:val="22"/>
                <w14:ligatures w14:val="standardContextual"/>
              </w:rPr>
              <w:tab/>
            </w:r>
            <w:r w:rsidRPr="00E90B60">
              <w:rPr>
                <w:rStyle w:val="Hyperlink"/>
              </w:rPr>
              <w:t>Pavement Preservation and Rehabilitation Design Using AASHTO 1993</w:t>
            </w:r>
            <w:r>
              <w:rPr>
                <w:webHidden/>
              </w:rPr>
              <w:tab/>
            </w:r>
            <w:r>
              <w:rPr>
                <w:webHidden/>
              </w:rPr>
              <w:fldChar w:fldCharType="begin"/>
            </w:r>
            <w:r>
              <w:rPr>
                <w:webHidden/>
              </w:rPr>
              <w:instrText xml:space="preserve"> PAGEREF _Toc194932430 \h </w:instrText>
            </w:r>
            <w:r>
              <w:rPr>
                <w:webHidden/>
              </w:rPr>
            </w:r>
            <w:r>
              <w:rPr>
                <w:webHidden/>
              </w:rPr>
              <w:fldChar w:fldCharType="separate"/>
            </w:r>
            <w:r w:rsidR="00624A9D">
              <w:rPr>
                <w:webHidden/>
              </w:rPr>
              <w:t>9-57</w:t>
            </w:r>
            <w:r>
              <w:rPr>
                <w:webHidden/>
              </w:rPr>
              <w:fldChar w:fldCharType="end"/>
            </w:r>
          </w:hyperlink>
        </w:p>
        <w:p w14:paraId="1A76D6FD" w14:textId="2F46719B" w:rsidR="001777C7" w:rsidRDefault="001777C7">
          <w:pPr>
            <w:pStyle w:val="TOC2"/>
            <w:rPr>
              <w:rFonts w:asciiTheme="minorHAnsi" w:eastAsiaTheme="minorEastAsia" w:hAnsiTheme="minorHAnsi" w:cstheme="minorBidi"/>
              <w:kern w:val="2"/>
              <w:sz w:val="22"/>
              <w:szCs w:val="22"/>
              <w14:ligatures w14:val="standardContextual"/>
            </w:rPr>
          </w:pPr>
          <w:hyperlink w:anchor="_Toc194932431" w:history="1">
            <w:r w:rsidRPr="00E90B60">
              <w:rPr>
                <w:rStyle w:val="Hyperlink"/>
              </w:rPr>
              <w:t>9.14</w:t>
            </w:r>
            <w:r>
              <w:rPr>
                <w:rFonts w:asciiTheme="minorHAnsi" w:eastAsiaTheme="minorEastAsia" w:hAnsiTheme="minorHAnsi" w:cstheme="minorBidi"/>
                <w:kern w:val="2"/>
                <w:sz w:val="22"/>
                <w:szCs w:val="22"/>
                <w14:ligatures w14:val="standardContextual"/>
              </w:rPr>
              <w:tab/>
            </w:r>
            <w:r w:rsidRPr="00E90B60">
              <w:rPr>
                <w:rStyle w:val="Hyperlink"/>
              </w:rPr>
              <w:t>References</w:t>
            </w:r>
            <w:r>
              <w:rPr>
                <w:webHidden/>
              </w:rPr>
              <w:tab/>
            </w:r>
            <w:r>
              <w:rPr>
                <w:webHidden/>
              </w:rPr>
              <w:fldChar w:fldCharType="begin"/>
            </w:r>
            <w:r>
              <w:rPr>
                <w:webHidden/>
              </w:rPr>
              <w:instrText xml:space="preserve"> PAGEREF _Toc194932431 \h </w:instrText>
            </w:r>
            <w:r>
              <w:rPr>
                <w:webHidden/>
              </w:rPr>
            </w:r>
            <w:r>
              <w:rPr>
                <w:webHidden/>
              </w:rPr>
              <w:fldChar w:fldCharType="separate"/>
            </w:r>
            <w:r w:rsidR="00624A9D">
              <w:rPr>
                <w:webHidden/>
              </w:rPr>
              <w:t>9-66</w:t>
            </w:r>
            <w:r>
              <w:rPr>
                <w:webHidden/>
              </w:rPr>
              <w:fldChar w:fldCharType="end"/>
            </w:r>
          </w:hyperlink>
        </w:p>
        <w:p w14:paraId="5C226D84" w14:textId="3F0455F2" w:rsidR="001777C7" w:rsidRDefault="001777C7">
          <w:pPr>
            <w:pStyle w:val="TOC2"/>
            <w:rPr>
              <w:rFonts w:asciiTheme="minorHAnsi" w:eastAsiaTheme="minorEastAsia" w:hAnsiTheme="minorHAnsi" w:cstheme="minorBidi"/>
              <w:kern w:val="2"/>
              <w:sz w:val="22"/>
              <w:szCs w:val="22"/>
              <w14:ligatures w14:val="standardContextual"/>
            </w:rPr>
          </w:pPr>
          <w:hyperlink w:anchor="_Toc194932432" w:history="1">
            <w:r w:rsidRPr="00E90B60">
              <w:rPr>
                <w:rStyle w:val="Hyperlink"/>
              </w:rPr>
              <w:t>9.15</w:t>
            </w:r>
            <w:r>
              <w:rPr>
                <w:rFonts w:asciiTheme="minorHAnsi" w:eastAsiaTheme="minorEastAsia" w:hAnsiTheme="minorHAnsi" w:cstheme="minorBidi"/>
                <w:kern w:val="2"/>
                <w:sz w:val="22"/>
                <w:szCs w:val="22"/>
                <w14:ligatures w14:val="standardContextual"/>
              </w:rPr>
              <w:tab/>
            </w:r>
            <w:r w:rsidRPr="00E90B60">
              <w:rPr>
                <w:rStyle w:val="Hyperlink"/>
              </w:rPr>
              <w:t>Change Log</w:t>
            </w:r>
            <w:r>
              <w:rPr>
                <w:webHidden/>
              </w:rPr>
              <w:tab/>
            </w:r>
            <w:r>
              <w:rPr>
                <w:webHidden/>
              </w:rPr>
              <w:fldChar w:fldCharType="begin"/>
            </w:r>
            <w:r>
              <w:rPr>
                <w:webHidden/>
              </w:rPr>
              <w:instrText xml:space="preserve"> PAGEREF _Toc194932432 \h </w:instrText>
            </w:r>
            <w:r>
              <w:rPr>
                <w:webHidden/>
              </w:rPr>
            </w:r>
            <w:r>
              <w:rPr>
                <w:webHidden/>
              </w:rPr>
              <w:fldChar w:fldCharType="separate"/>
            </w:r>
            <w:r w:rsidR="00624A9D">
              <w:rPr>
                <w:webHidden/>
              </w:rPr>
              <w:t>9-69</w:t>
            </w:r>
            <w:r>
              <w:rPr>
                <w:webHidden/>
              </w:rPr>
              <w:fldChar w:fldCharType="end"/>
            </w:r>
          </w:hyperlink>
        </w:p>
        <w:p w14:paraId="043EE524" w14:textId="2FD05757" w:rsidR="00994B26" w:rsidRDefault="00994B26">
          <w:r>
            <w:rPr>
              <w:rFonts w:ascii="Arial" w:hAnsi="Arial"/>
              <w:noProof/>
              <w:sz w:val="22"/>
            </w:rPr>
            <w:fldChar w:fldCharType="end"/>
          </w:r>
        </w:p>
      </w:sdtContent>
    </w:sdt>
    <w:p w14:paraId="2B01C111" w14:textId="7D5861BE" w:rsidR="006F1E0B" w:rsidRDefault="006F1E0B" w:rsidP="006F1E0B"/>
    <w:p w14:paraId="6AD123FC" w14:textId="77777777" w:rsidR="002744D8" w:rsidRDefault="002744D8" w:rsidP="00BE3F24">
      <w:pPr>
        <w:pStyle w:val="Heading1"/>
        <w:ind w:left="0" w:firstLine="0"/>
        <w:sectPr w:rsidR="002744D8" w:rsidSect="00982DB5">
          <w:footerReference w:type="default" r:id="rId16"/>
          <w:footerReference w:type="first" r:id="rId17"/>
          <w:pgSz w:w="12240" w:h="15840" w:code="1"/>
          <w:pgMar w:top="1440" w:right="1800" w:bottom="1440" w:left="1800" w:header="432" w:footer="720" w:gutter="0"/>
          <w:pgNumType w:start="0" w:chapStyle="1"/>
          <w:cols w:space="720"/>
          <w:docGrid w:linePitch="272"/>
        </w:sectPr>
      </w:pPr>
    </w:p>
    <w:p w14:paraId="745E5BF3" w14:textId="48760F8C" w:rsidR="00160E58" w:rsidRDefault="00160E58" w:rsidP="00BE3F24">
      <w:pPr>
        <w:pStyle w:val="Heading1"/>
        <w:ind w:left="0" w:firstLine="0"/>
      </w:pPr>
      <w:bookmarkStart w:id="1" w:name="_Overview"/>
      <w:bookmarkStart w:id="2" w:name="_Toc479160064"/>
      <w:bookmarkStart w:id="3" w:name="_Toc514057955"/>
      <w:bookmarkStart w:id="4" w:name="_Toc194932349"/>
      <w:bookmarkEnd w:id="1"/>
      <w:r>
        <w:lastRenderedPageBreak/>
        <w:t>Overview</w:t>
      </w:r>
      <w:bookmarkEnd w:id="2"/>
      <w:bookmarkEnd w:id="3"/>
      <w:bookmarkEnd w:id="4"/>
    </w:p>
    <w:p w14:paraId="62FA7E93" w14:textId="14C11112" w:rsidR="002744D8" w:rsidRDefault="002744D8" w:rsidP="00BE3F24">
      <w:pPr>
        <w:pStyle w:val="Heading2"/>
        <w:ind w:left="0" w:firstLine="0"/>
      </w:pPr>
      <w:bookmarkStart w:id="5" w:name="_Introduction_and_Background"/>
      <w:bookmarkStart w:id="6" w:name="_Toc479160065"/>
      <w:bookmarkStart w:id="7" w:name="_Toc514057956"/>
      <w:bookmarkStart w:id="8" w:name="_Toc194932350"/>
      <w:bookmarkEnd w:id="5"/>
      <w:r>
        <w:t xml:space="preserve">Introduction </w:t>
      </w:r>
      <w:smartTag w:uri="urn:schemas-microsoft-com:office:smarttags" w:element="stockticker">
        <w:r>
          <w:t>and</w:t>
        </w:r>
      </w:smartTag>
      <w:r>
        <w:t xml:space="preserve"> Background</w:t>
      </w:r>
      <w:bookmarkEnd w:id="6"/>
      <w:bookmarkEnd w:id="7"/>
      <w:bookmarkEnd w:id="8"/>
      <w:r w:rsidR="0097074B">
        <w:t xml:space="preserve"> </w:t>
      </w:r>
    </w:p>
    <w:p w14:paraId="3ED6ACA3" w14:textId="577FDD91" w:rsidR="00ED24EC" w:rsidRDefault="002744D8" w:rsidP="00BE3F24">
      <w:pPr>
        <w:jc w:val="both"/>
        <w:rPr>
          <w:rFonts w:ascii="Arial" w:hAnsi="Arial"/>
          <w:sz w:val="22"/>
        </w:rPr>
      </w:pPr>
      <w:r>
        <w:rPr>
          <w:rFonts w:ascii="Arial" w:hAnsi="Arial"/>
          <w:sz w:val="22"/>
        </w:rPr>
        <w:t>This Maryland State Highway Administration (</w:t>
      </w:r>
      <w:r w:rsidR="008C7023">
        <w:rPr>
          <w:rFonts w:ascii="Arial" w:hAnsi="Arial"/>
          <w:sz w:val="22"/>
        </w:rPr>
        <w:t>MDOT-SHA</w:t>
      </w:r>
      <w:r>
        <w:rPr>
          <w:rFonts w:ascii="Arial" w:hAnsi="Arial"/>
          <w:sz w:val="22"/>
        </w:rPr>
        <w:t xml:space="preserve">) Pavement </w:t>
      </w:r>
      <w:r w:rsidR="009D09DA">
        <w:rPr>
          <w:rFonts w:ascii="Arial" w:hAnsi="Arial"/>
          <w:sz w:val="22"/>
        </w:rPr>
        <w:t xml:space="preserve">&amp; Geotechnical </w:t>
      </w:r>
      <w:r>
        <w:rPr>
          <w:rFonts w:ascii="Arial" w:hAnsi="Arial"/>
          <w:sz w:val="22"/>
        </w:rPr>
        <w:t>Design Guide provides a comprehensive set of procedures and policies to assist the pavement</w:t>
      </w:r>
      <w:r w:rsidR="009D09DA">
        <w:rPr>
          <w:rFonts w:ascii="Arial" w:hAnsi="Arial"/>
          <w:sz w:val="22"/>
        </w:rPr>
        <w:t xml:space="preserve"> and geotechnical</w:t>
      </w:r>
      <w:r>
        <w:rPr>
          <w:rFonts w:ascii="Arial" w:hAnsi="Arial"/>
          <w:sz w:val="22"/>
        </w:rPr>
        <w:t xml:space="preserve"> engineer </w:t>
      </w:r>
      <w:r w:rsidR="009D09DA">
        <w:rPr>
          <w:rFonts w:ascii="Arial" w:hAnsi="Arial"/>
          <w:sz w:val="22"/>
        </w:rPr>
        <w:t xml:space="preserve">(also referred to in this document as “pavement engineer”) </w:t>
      </w:r>
      <w:r>
        <w:rPr>
          <w:rFonts w:ascii="Arial" w:hAnsi="Arial"/>
          <w:sz w:val="22"/>
        </w:rPr>
        <w:t>in developing recommendations for new construction and pavement</w:t>
      </w:r>
      <w:r w:rsidR="00ED24EC">
        <w:rPr>
          <w:rFonts w:ascii="Arial" w:hAnsi="Arial"/>
          <w:sz w:val="22"/>
        </w:rPr>
        <w:t xml:space="preserve"> preservation/</w:t>
      </w:r>
      <w:r>
        <w:rPr>
          <w:rFonts w:ascii="Arial" w:hAnsi="Arial"/>
          <w:sz w:val="22"/>
        </w:rPr>
        <w:t xml:space="preserve"> rehabilitation projects.  The audience this pavement </w:t>
      </w:r>
      <w:r w:rsidR="009D09DA">
        <w:rPr>
          <w:rFonts w:ascii="Arial" w:hAnsi="Arial"/>
          <w:sz w:val="22"/>
        </w:rPr>
        <w:t xml:space="preserve">and geotechnical </w:t>
      </w:r>
      <w:r>
        <w:rPr>
          <w:rFonts w:ascii="Arial" w:hAnsi="Arial"/>
          <w:sz w:val="22"/>
        </w:rPr>
        <w:t xml:space="preserve">design guide was written for should have a basic background and general understanding of pavement engineering.  </w:t>
      </w:r>
    </w:p>
    <w:p w14:paraId="4CA9BDE2" w14:textId="77777777" w:rsidR="00ED24EC" w:rsidRDefault="00ED24EC" w:rsidP="00BE3F24">
      <w:pPr>
        <w:jc w:val="both"/>
        <w:rPr>
          <w:rFonts w:ascii="Arial" w:hAnsi="Arial"/>
          <w:sz w:val="22"/>
        </w:rPr>
      </w:pPr>
    </w:p>
    <w:p w14:paraId="26E66AAF" w14:textId="7560D969" w:rsidR="002744D8" w:rsidRPr="009D09DA" w:rsidRDefault="002744D8" w:rsidP="00BE3F24">
      <w:pPr>
        <w:jc w:val="both"/>
        <w:rPr>
          <w:rFonts w:ascii="Arial" w:hAnsi="Arial"/>
          <w:sz w:val="22"/>
          <w:szCs w:val="22"/>
        </w:rPr>
      </w:pPr>
      <w:r>
        <w:rPr>
          <w:rFonts w:ascii="Arial" w:hAnsi="Arial"/>
          <w:sz w:val="22"/>
        </w:rPr>
        <w:t xml:space="preserve">The purpose of this document is to provide Maryland State Highway pavement </w:t>
      </w:r>
      <w:r w:rsidR="00ED24EC">
        <w:rPr>
          <w:rFonts w:ascii="Arial" w:hAnsi="Arial"/>
          <w:sz w:val="22"/>
        </w:rPr>
        <w:t>engineers</w:t>
      </w:r>
      <w:r>
        <w:rPr>
          <w:rFonts w:ascii="Arial" w:hAnsi="Arial"/>
          <w:sz w:val="22"/>
        </w:rPr>
        <w:t xml:space="preserve"> a guideline to developing pavement recommendations that are consistent and accurate.  The goal of this document is to supply pavement engineers the guidance to have the ability to provide pavement recommendations that are based on the most effective engineering design considering cost to </w:t>
      </w:r>
      <w:r w:rsidR="008C7023">
        <w:rPr>
          <w:rFonts w:ascii="Arial" w:hAnsi="Arial"/>
          <w:sz w:val="22"/>
        </w:rPr>
        <w:t>MDOT-SHA</w:t>
      </w:r>
      <w:r>
        <w:rPr>
          <w:rFonts w:ascii="Arial" w:hAnsi="Arial"/>
          <w:sz w:val="22"/>
        </w:rPr>
        <w:t xml:space="preserve">, practicality of construction, and </w:t>
      </w:r>
      <w:r w:rsidRPr="009D09DA">
        <w:rPr>
          <w:rFonts w:ascii="Arial" w:hAnsi="Arial"/>
          <w:sz w:val="22"/>
          <w:szCs w:val="22"/>
        </w:rPr>
        <w:t xml:space="preserve">benefit in terms of service life provided to the </w:t>
      </w:r>
      <w:r w:rsidR="008C7023">
        <w:rPr>
          <w:rFonts w:ascii="Arial" w:hAnsi="Arial"/>
          <w:sz w:val="22"/>
          <w:szCs w:val="22"/>
        </w:rPr>
        <w:t>MDOT-SHA</w:t>
      </w:r>
      <w:r w:rsidRPr="009D09DA">
        <w:rPr>
          <w:rFonts w:ascii="Arial" w:hAnsi="Arial"/>
          <w:sz w:val="22"/>
          <w:szCs w:val="22"/>
        </w:rPr>
        <w:t xml:space="preserve"> pavement network.  </w:t>
      </w:r>
    </w:p>
    <w:p w14:paraId="70977E68" w14:textId="77777777" w:rsidR="002744D8" w:rsidRPr="009D09DA" w:rsidRDefault="002744D8" w:rsidP="00BE3F24">
      <w:pPr>
        <w:rPr>
          <w:rFonts w:ascii="Arial" w:hAnsi="Arial"/>
          <w:sz w:val="22"/>
          <w:szCs w:val="22"/>
        </w:rPr>
      </w:pPr>
    </w:p>
    <w:p w14:paraId="7ED95CE1" w14:textId="519E4DF6" w:rsidR="009D09DA" w:rsidRPr="009D09DA" w:rsidRDefault="009D09DA" w:rsidP="00BE3F24">
      <w:pPr>
        <w:autoSpaceDE w:val="0"/>
        <w:autoSpaceDN w:val="0"/>
        <w:adjustRightInd w:val="0"/>
        <w:jc w:val="both"/>
        <w:rPr>
          <w:rFonts w:ascii="Arial" w:hAnsi="Arial" w:cs="Arial"/>
          <w:sz w:val="22"/>
          <w:szCs w:val="22"/>
        </w:rPr>
      </w:pPr>
      <w:r w:rsidRPr="009D09DA">
        <w:rPr>
          <w:rFonts w:ascii="Arial" w:hAnsi="Arial" w:cs="Arial"/>
          <w:sz w:val="22"/>
          <w:szCs w:val="22"/>
        </w:rPr>
        <w:t>Materials contained in the G</w:t>
      </w:r>
      <w:r>
        <w:rPr>
          <w:rFonts w:ascii="Arial" w:hAnsi="Arial" w:cs="Arial"/>
          <w:sz w:val="22"/>
          <w:szCs w:val="22"/>
        </w:rPr>
        <w:t>uide</w:t>
      </w:r>
      <w:r w:rsidRPr="009D09DA">
        <w:rPr>
          <w:rFonts w:ascii="Arial" w:hAnsi="Arial" w:cs="Arial"/>
          <w:sz w:val="22"/>
          <w:szCs w:val="22"/>
        </w:rPr>
        <w:t xml:space="preserve"> are meant to be useful for both the training of new employees and as a reference to be utilized as needed throughout the course of work. This is a resource document. It is not intended to override or replace the necessary use of good judgment, common sense</w:t>
      </w:r>
      <w:r w:rsidR="00BE6C63">
        <w:rPr>
          <w:rFonts w:ascii="Arial" w:hAnsi="Arial" w:cs="Arial"/>
          <w:sz w:val="22"/>
          <w:szCs w:val="22"/>
        </w:rPr>
        <w:t>,</w:t>
      </w:r>
      <w:r w:rsidRPr="009D09DA">
        <w:rPr>
          <w:rFonts w:ascii="Arial" w:hAnsi="Arial" w:cs="Arial"/>
          <w:sz w:val="22"/>
          <w:szCs w:val="22"/>
        </w:rPr>
        <w:t xml:space="preserve"> and research of current best practices.</w:t>
      </w:r>
    </w:p>
    <w:p w14:paraId="73CD22BD" w14:textId="77777777" w:rsidR="009D09DA" w:rsidRPr="009D09DA" w:rsidRDefault="009D09DA" w:rsidP="00BE3F24">
      <w:pPr>
        <w:jc w:val="both"/>
        <w:rPr>
          <w:rFonts w:ascii="Arial" w:hAnsi="Arial"/>
          <w:sz w:val="22"/>
          <w:szCs w:val="22"/>
        </w:rPr>
      </w:pPr>
    </w:p>
    <w:p w14:paraId="1FBAA85E" w14:textId="46842E2B" w:rsidR="007F58CD" w:rsidRPr="007F58CD" w:rsidRDefault="009D09DA" w:rsidP="00BE3F24">
      <w:pPr>
        <w:jc w:val="both"/>
        <w:rPr>
          <w:rFonts w:ascii="Arial" w:hAnsi="Arial" w:cs="Arial"/>
          <w:sz w:val="22"/>
          <w:szCs w:val="22"/>
        </w:rPr>
      </w:pPr>
      <w:r>
        <w:rPr>
          <w:rFonts w:ascii="Arial" w:hAnsi="Arial"/>
          <w:sz w:val="22"/>
        </w:rPr>
        <w:t>T</w:t>
      </w:r>
      <w:r w:rsidRPr="007F58CD">
        <w:rPr>
          <w:rFonts w:ascii="Arial" w:hAnsi="Arial" w:cs="Arial"/>
          <w:sz w:val="22"/>
          <w:szCs w:val="22"/>
        </w:rPr>
        <w:t xml:space="preserve">he </w:t>
      </w:r>
      <w:r w:rsidR="008C7023">
        <w:rPr>
          <w:rFonts w:ascii="Arial" w:hAnsi="Arial" w:cs="Arial"/>
          <w:sz w:val="22"/>
          <w:szCs w:val="22"/>
        </w:rPr>
        <w:t>MDOT-SHA</w:t>
      </w:r>
      <w:r w:rsidRPr="007F58CD">
        <w:rPr>
          <w:rFonts w:ascii="Arial" w:hAnsi="Arial" w:cs="Arial"/>
          <w:sz w:val="22"/>
          <w:szCs w:val="22"/>
        </w:rPr>
        <w:t xml:space="preserve"> Pavement</w:t>
      </w:r>
      <w:r w:rsidR="006F3F03">
        <w:rPr>
          <w:rFonts w:ascii="Arial" w:hAnsi="Arial" w:cs="Arial"/>
          <w:sz w:val="22"/>
          <w:szCs w:val="22"/>
        </w:rPr>
        <w:t xml:space="preserve"> &amp; Geotechnical</w:t>
      </w:r>
      <w:r w:rsidRPr="007F58CD">
        <w:rPr>
          <w:rFonts w:ascii="Arial" w:hAnsi="Arial" w:cs="Arial"/>
          <w:sz w:val="22"/>
          <w:szCs w:val="22"/>
        </w:rPr>
        <w:t xml:space="preserve"> Design Guide has several particular sections of interest.  </w:t>
      </w:r>
      <w:r w:rsidR="007F58CD" w:rsidRPr="007F58CD">
        <w:rPr>
          <w:rFonts w:ascii="Arial" w:hAnsi="Arial" w:cs="Arial"/>
          <w:sz w:val="22"/>
          <w:szCs w:val="22"/>
        </w:rPr>
        <w:t>Briefly:</w:t>
      </w:r>
    </w:p>
    <w:p w14:paraId="56D9F3CA" w14:textId="77777777" w:rsidR="007F58CD" w:rsidRPr="007F58CD" w:rsidRDefault="007F58CD" w:rsidP="00BE3F24">
      <w:pPr>
        <w:jc w:val="both"/>
        <w:rPr>
          <w:rFonts w:ascii="Arial" w:hAnsi="Arial" w:cs="Arial"/>
          <w:sz w:val="22"/>
          <w:szCs w:val="22"/>
        </w:rPr>
      </w:pPr>
    </w:p>
    <w:p w14:paraId="026A7DD4" w14:textId="77777777" w:rsidR="001A15B9" w:rsidRDefault="009D09DA" w:rsidP="00172E64">
      <w:pPr>
        <w:pStyle w:val="ListParagraph"/>
        <w:numPr>
          <w:ilvl w:val="0"/>
          <w:numId w:val="81"/>
        </w:numPr>
        <w:ind w:hanging="720"/>
        <w:jc w:val="both"/>
        <w:rPr>
          <w:rFonts w:ascii="Arial" w:hAnsi="Arial" w:cs="Arial"/>
          <w:sz w:val="22"/>
          <w:szCs w:val="22"/>
        </w:rPr>
      </w:pPr>
      <w:r w:rsidRPr="007F58CD">
        <w:rPr>
          <w:rFonts w:ascii="Arial" w:hAnsi="Arial" w:cs="Arial"/>
          <w:sz w:val="22"/>
          <w:szCs w:val="22"/>
        </w:rPr>
        <w:t>The section on</w:t>
      </w:r>
      <w:r w:rsidR="006708B5">
        <w:rPr>
          <w:rFonts w:ascii="Arial" w:hAnsi="Arial" w:cs="Arial"/>
          <w:sz w:val="22"/>
          <w:szCs w:val="22"/>
        </w:rPr>
        <w:t xml:space="preserve"> </w:t>
      </w:r>
      <w:hyperlink w:anchor="_Pavement_Design_Procedures" w:history="1">
        <w:r w:rsidR="006708B5" w:rsidRPr="006708B5">
          <w:rPr>
            <w:rStyle w:val="Hyperlink"/>
            <w:rFonts w:ascii="Arial" w:hAnsi="Arial" w:cs="Arial"/>
            <w:sz w:val="22"/>
            <w:szCs w:val="22"/>
          </w:rPr>
          <w:t>Preliminary Procedures</w:t>
        </w:r>
      </w:hyperlink>
      <w:r w:rsidRPr="007F58CD">
        <w:rPr>
          <w:rFonts w:ascii="Arial" w:hAnsi="Arial" w:cs="Arial"/>
          <w:sz w:val="22"/>
          <w:szCs w:val="22"/>
        </w:rPr>
        <w:t xml:space="preserve"> contains information on what to do when an initial project request is received.  </w:t>
      </w:r>
    </w:p>
    <w:p w14:paraId="4A69E1A4" w14:textId="1787DD37" w:rsidR="001A15B9" w:rsidRDefault="009D09DA" w:rsidP="00172E64">
      <w:pPr>
        <w:pStyle w:val="ListParagraph"/>
        <w:numPr>
          <w:ilvl w:val="0"/>
          <w:numId w:val="81"/>
        </w:numPr>
        <w:ind w:hanging="720"/>
        <w:jc w:val="both"/>
        <w:rPr>
          <w:rFonts w:ascii="Arial" w:hAnsi="Arial" w:cs="Arial"/>
          <w:sz w:val="22"/>
          <w:szCs w:val="22"/>
        </w:rPr>
      </w:pPr>
      <w:r w:rsidRPr="007F58CD">
        <w:rPr>
          <w:rFonts w:ascii="Arial" w:hAnsi="Arial" w:cs="Arial"/>
          <w:sz w:val="22"/>
          <w:szCs w:val="22"/>
        </w:rPr>
        <w:t>The section on</w:t>
      </w:r>
      <w:r w:rsidR="006708B5">
        <w:rPr>
          <w:rFonts w:ascii="Arial" w:hAnsi="Arial" w:cs="Arial"/>
          <w:sz w:val="22"/>
          <w:szCs w:val="22"/>
        </w:rPr>
        <w:t xml:space="preserve"> </w:t>
      </w:r>
      <w:hyperlink w:anchor="_Testing_&amp;_Data" w:history="1">
        <w:r w:rsidR="006708B5" w:rsidRPr="006708B5">
          <w:rPr>
            <w:rStyle w:val="Hyperlink"/>
            <w:rFonts w:ascii="Arial" w:hAnsi="Arial" w:cs="Arial"/>
            <w:sz w:val="22"/>
            <w:szCs w:val="22"/>
          </w:rPr>
          <w:t>Testing &amp; Data Collection</w:t>
        </w:r>
      </w:hyperlink>
      <w:r w:rsidRPr="007F58CD">
        <w:rPr>
          <w:rFonts w:ascii="Arial" w:hAnsi="Arial" w:cs="Arial"/>
          <w:sz w:val="22"/>
          <w:szCs w:val="22"/>
        </w:rPr>
        <w:t xml:space="preserve"> provides guidance on testing requirements and pavement/geotechnical data collection.  </w:t>
      </w:r>
    </w:p>
    <w:p w14:paraId="5B023030" w14:textId="115BC71F" w:rsidR="001A15B9" w:rsidRDefault="00C5463A" w:rsidP="00172E64">
      <w:pPr>
        <w:pStyle w:val="ListParagraph"/>
        <w:numPr>
          <w:ilvl w:val="0"/>
          <w:numId w:val="81"/>
        </w:numPr>
        <w:ind w:hanging="720"/>
        <w:jc w:val="both"/>
        <w:rPr>
          <w:rFonts w:ascii="Arial" w:hAnsi="Arial" w:cs="Arial"/>
          <w:sz w:val="22"/>
          <w:szCs w:val="22"/>
        </w:rPr>
      </w:pPr>
      <w:hyperlink w:anchor="_Analysis_Procedures_1" w:history="1">
        <w:r w:rsidRPr="00C5463A">
          <w:rPr>
            <w:rStyle w:val="Hyperlink"/>
            <w:rFonts w:ascii="Arial" w:hAnsi="Arial" w:cs="Arial"/>
            <w:bCs/>
            <w:sz w:val="22"/>
            <w:szCs w:val="22"/>
          </w:rPr>
          <w:t>Analysis Procedures</w:t>
        </w:r>
      </w:hyperlink>
      <w:r w:rsidRPr="00C5463A">
        <w:rPr>
          <w:rStyle w:val="Hyperlink"/>
          <w:rFonts w:ascii="Arial" w:hAnsi="Arial" w:cs="Arial"/>
          <w:bCs/>
          <w:sz w:val="22"/>
          <w:szCs w:val="22"/>
          <w:u w:val="none"/>
        </w:rPr>
        <w:t xml:space="preserve"> </w:t>
      </w:r>
      <w:r w:rsidR="009D09DA" w:rsidRPr="00AC118E">
        <w:rPr>
          <w:rFonts w:ascii="Arial" w:hAnsi="Arial" w:cs="Arial"/>
          <w:sz w:val="22"/>
          <w:szCs w:val="22"/>
        </w:rPr>
        <w:t>provides</w:t>
      </w:r>
      <w:r w:rsidR="009D09DA" w:rsidRPr="007F58CD">
        <w:rPr>
          <w:rFonts w:ascii="Arial" w:hAnsi="Arial" w:cs="Arial"/>
          <w:sz w:val="22"/>
          <w:szCs w:val="22"/>
        </w:rPr>
        <w:t xml:space="preserve"> the steps to analyze pavement</w:t>
      </w:r>
      <w:r w:rsidR="00982DB5">
        <w:rPr>
          <w:rFonts w:ascii="Arial" w:hAnsi="Arial" w:cs="Arial"/>
          <w:sz w:val="22"/>
          <w:szCs w:val="22"/>
        </w:rPr>
        <w:t>/</w:t>
      </w:r>
      <w:r w:rsidR="009D09DA" w:rsidRPr="007F58CD">
        <w:rPr>
          <w:rFonts w:ascii="Arial" w:hAnsi="Arial" w:cs="Arial"/>
          <w:sz w:val="22"/>
          <w:szCs w:val="22"/>
        </w:rPr>
        <w:t>geotechnical data.</w:t>
      </w:r>
    </w:p>
    <w:p w14:paraId="7DFF8996" w14:textId="1605532D" w:rsidR="001A15B9" w:rsidRDefault="009D09DA" w:rsidP="00172E64">
      <w:pPr>
        <w:pStyle w:val="ListParagraph"/>
        <w:numPr>
          <w:ilvl w:val="0"/>
          <w:numId w:val="81"/>
        </w:numPr>
        <w:ind w:hanging="720"/>
        <w:jc w:val="both"/>
        <w:rPr>
          <w:rFonts w:ascii="Arial" w:hAnsi="Arial" w:cs="Arial"/>
          <w:sz w:val="22"/>
          <w:szCs w:val="22"/>
        </w:rPr>
      </w:pPr>
      <w:r w:rsidRPr="007F58CD">
        <w:rPr>
          <w:rFonts w:ascii="Arial" w:hAnsi="Arial" w:cs="Arial"/>
          <w:sz w:val="22"/>
          <w:szCs w:val="22"/>
        </w:rPr>
        <w:t xml:space="preserve">The largest section, </w:t>
      </w:r>
      <w:hyperlink w:anchor="_Pavement_Preservation,_Rehabilitati" w:history="1">
        <w:r w:rsidRPr="007F58CD">
          <w:rPr>
            <w:rStyle w:val="Hyperlink"/>
            <w:rFonts w:ascii="Arial" w:hAnsi="Arial" w:cs="Arial"/>
            <w:sz w:val="22"/>
            <w:szCs w:val="22"/>
          </w:rPr>
          <w:t>Pavement Preservation, Rehabilitation &amp; Design</w:t>
        </w:r>
      </w:hyperlink>
      <w:r w:rsidRPr="007F58CD">
        <w:rPr>
          <w:rFonts w:ascii="Arial" w:hAnsi="Arial" w:cs="Arial"/>
          <w:sz w:val="22"/>
          <w:szCs w:val="22"/>
        </w:rPr>
        <w:t>, contains all of the design procedures, including new and rehabilitation pavement designs.</w:t>
      </w:r>
    </w:p>
    <w:p w14:paraId="4F4E2BC3" w14:textId="77777777" w:rsidR="001A15B9" w:rsidRDefault="009D09DA" w:rsidP="00172E64">
      <w:pPr>
        <w:pStyle w:val="ListParagraph"/>
        <w:numPr>
          <w:ilvl w:val="0"/>
          <w:numId w:val="81"/>
        </w:numPr>
        <w:ind w:hanging="720"/>
        <w:jc w:val="both"/>
        <w:rPr>
          <w:rFonts w:ascii="Arial" w:hAnsi="Arial" w:cs="Arial"/>
          <w:sz w:val="22"/>
          <w:szCs w:val="22"/>
        </w:rPr>
      </w:pPr>
      <w:r w:rsidRPr="007F58CD">
        <w:rPr>
          <w:rFonts w:ascii="Arial" w:hAnsi="Arial" w:cs="Arial"/>
          <w:sz w:val="22"/>
          <w:szCs w:val="22"/>
        </w:rPr>
        <w:t xml:space="preserve">The section on </w:t>
      </w:r>
      <w:hyperlink w:anchor="_Geotechnical_Design" w:history="1">
        <w:r w:rsidRPr="007F58CD">
          <w:rPr>
            <w:rStyle w:val="Hyperlink"/>
            <w:rFonts w:ascii="Arial" w:hAnsi="Arial" w:cs="Arial"/>
            <w:sz w:val="22"/>
            <w:szCs w:val="22"/>
          </w:rPr>
          <w:t>Geotechnical Design</w:t>
        </w:r>
      </w:hyperlink>
      <w:r w:rsidR="007F58CD" w:rsidRPr="007F58CD">
        <w:rPr>
          <w:rFonts w:ascii="Arial" w:hAnsi="Arial" w:cs="Arial"/>
          <w:sz w:val="22"/>
          <w:szCs w:val="22"/>
        </w:rPr>
        <w:t xml:space="preserve"> provides relevant</w:t>
      </w:r>
      <w:r w:rsidR="006F3F03">
        <w:rPr>
          <w:rFonts w:ascii="Arial" w:hAnsi="Arial" w:cs="Arial"/>
          <w:sz w:val="22"/>
          <w:szCs w:val="22"/>
        </w:rPr>
        <w:t xml:space="preserve"> routine</w:t>
      </w:r>
      <w:r w:rsidR="007F58CD" w:rsidRPr="007F58CD">
        <w:rPr>
          <w:rFonts w:ascii="Arial" w:hAnsi="Arial" w:cs="Arial"/>
          <w:sz w:val="22"/>
          <w:szCs w:val="22"/>
        </w:rPr>
        <w:t xml:space="preserve"> geotechnical design information.  </w:t>
      </w:r>
    </w:p>
    <w:p w14:paraId="04F1C3D1" w14:textId="6554979F" w:rsidR="001A15B9" w:rsidRDefault="007F58CD" w:rsidP="00172E64">
      <w:pPr>
        <w:pStyle w:val="ListParagraph"/>
        <w:numPr>
          <w:ilvl w:val="0"/>
          <w:numId w:val="81"/>
        </w:numPr>
        <w:ind w:hanging="720"/>
        <w:jc w:val="both"/>
        <w:rPr>
          <w:rFonts w:ascii="Arial" w:hAnsi="Arial" w:cs="Arial"/>
          <w:sz w:val="22"/>
          <w:szCs w:val="22"/>
        </w:rPr>
      </w:pPr>
      <w:r>
        <w:rPr>
          <w:rFonts w:ascii="Arial" w:hAnsi="Arial" w:cs="Arial"/>
          <w:sz w:val="22"/>
          <w:szCs w:val="22"/>
        </w:rPr>
        <w:t xml:space="preserve">The </w:t>
      </w:r>
      <w:hyperlink w:anchor="_Deliverables_and_Report" w:history="1">
        <w:r w:rsidRPr="007F58CD">
          <w:rPr>
            <w:rStyle w:val="Hyperlink"/>
            <w:rFonts w:ascii="Arial" w:hAnsi="Arial" w:cs="Arial"/>
            <w:sz w:val="22"/>
            <w:szCs w:val="22"/>
          </w:rPr>
          <w:t>Deliverables and Report</w:t>
        </w:r>
      </w:hyperlink>
      <w:r>
        <w:rPr>
          <w:rFonts w:ascii="Arial" w:hAnsi="Arial" w:cs="Arial"/>
          <w:sz w:val="22"/>
          <w:szCs w:val="22"/>
        </w:rPr>
        <w:t xml:space="preserve"> section ties all of the analysis and design together to ensure design recommendations are properly transferred to construction contracts</w:t>
      </w:r>
      <w:r w:rsidR="00BE6C63">
        <w:rPr>
          <w:rFonts w:ascii="Arial" w:hAnsi="Arial" w:cs="Arial"/>
          <w:sz w:val="22"/>
          <w:szCs w:val="22"/>
        </w:rPr>
        <w:t>.</w:t>
      </w:r>
    </w:p>
    <w:p w14:paraId="49F1D296" w14:textId="77777777" w:rsidR="001A15B9" w:rsidRDefault="007F58CD" w:rsidP="00172E64">
      <w:pPr>
        <w:pStyle w:val="ListParagraph"/>
        <w:numPr>
          <w:ilvl w:val="0"/>
          <w:numId w:val="81"/>
        </w:numPr>
        <w:ind w:hanging="720"/>
        <w:jc w:val="both"/>
        <w:rPr>
          <w:rFonts w:ascii="Arial" w:hAnsi="Arial" w:cs="Arial"/>
          <w:sz w:val="22"/>
          <w:szCs w:val="22"/>
        </w:rPr>
      </w:pPr>
      <w:r>
        <w:rPr>
          <w:rFonts w:ascii="Arial" w:hAnsi="Arial" w:cs="Arial"/>
          <w:sz w:val="22"/>
          <w:szCs w:val="22"/>
        </w:rPr>
        <w:t xml:space="preserve">Several </w:t>
      </w:r>
      <w:hyperlink w:anchor="_Appendices" w:history="1">
        <w:r w:rsidRPr="007F58CD">
          <w:rPr>
            <w:rStyle w:val="Hyperlink"/>
            <w:rFonts w:ascii="Arial" w:hAnsi="Arial" w:cs="Arial"/>
            <w:sz w:val="22"/>
            <w:szCs w:val="22"/>
          </w:rPr>
          <w:t>Appendices</w:t>
        </w:r>
      </w:hyperlink>
      <w:r>
        <w:rPr>
          <w:rFonts w:ascii="Arial" w:hAnsi="Arial" w:cs="Arial"/>
          <w:sz w:val="22"/>
          <w:szCs w:val="22"/>
        </w:rPr>
        <w:t xml:space="preserve"> are provided as reference.</w:t>
      </w:r>
    </w:p>
    <w:p w14:paraId="5D289E08" w14:textId="77777777" w:rsidR="007F58CD" w:rsidRPr="007F58CD" w:rsidRDefault="007F58CD" w:rsidP="00BE3F24">
      <w:pPr>
        <w:jc w:val="both"/>
        <w:rPr>
          <w:rFonts w:ascii="Arial" w:hAnsi="Arial" w:cs="Arial"/>
          <w:sz w:val="22"/>
          <w:szCs w:val="22"/>
        </w:rPr>
      </w:pPr>
    </w:p>
    <w:p w14:paraId="7A437511" w14:textId="140F3CE5" w:rsidR="009D09DA" w:rsidRDefault="009D09DA" w:rsidP="00BE3F24">
      <w:pPr>
        <w:jc w:val="both"/>
        <w:rPr>
          <w:rFonts w:ascii="Arial" w:hAnsi="Arial"/>
          <w:sz w:val="22"/>
        </w:rPr>
      </w:pPr>
      <w:r w:rsidRPr="007F58CD">
        <w:rPr>
          <w:rFonts w:ascii="Arial" w:hAnsi="Arial" w:cs="Arial"/>
          <w:sz w:val="22"/>
          <w:szCs w:val="22"/>
        </w:rPr>
        <w:t>All of these sections are needed for developing pavement preservation/rehabilitation recommendation</w:t>
      </w:r>
      <w:r>
        <w:rPr>
          <w:rFonts w:ascii="Arial" w:hAnsi="Arial"/>
          <w:sz w:val="22"/>
        </w:rPr>
        <w:t xml:space="preserve">s and new pavement design sections for any </w:t>
      </w:r>
      <w:r w:rsidR="008C7023">
        <w:rPr>
          <w:rFonts w:ascii="Arial" w:hAnsi="Arial"/>
          <w:sz w:val="22"/>
        </w:rPr>
        <w:t>MDOT-SHA</w:t>
      </w:r>
      <w:r>
        <w:rPr>
          <w:rFonts w:ascii="Arial" w:hAnsi="Arial"/>
          <w:sz w:val="22"/>
        </w:rPr>
        <w:t xml:space="preserve"> pavement construction project.</w:t>
      </w:r>
    </w:p>
    <w:p w14:paraId="08EEF70E" w14:textId="77777777" w:rsidR="009D09DA" w:rsidRDefault="009D09DA" w:rsidP="00BE3F24">
      <w:pPr>
        <w:jc w:val="both"/>
        <w:rPr>
          <w:rFonts w:ascii="Arial" w:hAnsi="Arial"/>
          <w:sz w:val="22"/>
          <w:szCs w:val="22"/>
        </w:rPr>
      </w:pPr>
    </w:p>
    <w:p w14:paraId="52887A86" w14:textId="721F45C7" w:rsidR="0050650E" w:rsidRDefault="008C7023" w:rsidP="00BE3F24">
      <w:pPr>
        <w:jc w:val="both"/>
        <w:rPr>
          <w:rFonts w:ascii="Arial" w:hAnsi="Arial"/>
          <w:sz w:val="22"/>
        </w:rPr>
      </w:pPr>
      <w:r>
        <w:rPr>
          <w:rFonts w:ascii="Arial" w:hAnsi="Arial"/>
          <w:sz w:val="22"/>
          <w:szCs w:val="22"/>
        </w:rPr>
        <w:t>MDOT-SHA</w:t>
      </w:r>
      <w:r w:rsidR="002744D8" w:rsidRPr="009D09DA">
        <w:rPr>
          <w:rFonts w:ascii="Arial" w:hAnsi="Arial"/>
          <w:sz w:val="22"/>
          <w:szCs w:val="22"/>
        </w:rPr>
        <w:t xml:space="preserve"> is currently responsible for approximately 1</w:t>
      </w:r>
      <w:r w:rsidR="0050650E" w:rsidRPr="009D09DA">
        <w:rPr>
          <w:rFonts w:ascii="Arial" w:hAnsi="Arial"/>
          <w:sz w:val="22"/>
          <w:szCs w:val="22"/>
        </w:rPr>
        <w:t>7</w:t>
      </w:r>
      <w:r w:rsidR="002744D8" w:rsidRPr="009D09DA">
        <w:rPr>
          <w:rFonts w:ascii="Arial" w:hAnsi="Arial"/>
          <w:sz w:val="22"/>
          <w:szCs w:val="22"/>
        </w:rPr>
        <w:t>,</w:t>
      </w:r>
      <w:r w:rsidR="0050650E" w:rsidRPr="009D09DA">
        <w:rPr>
          <w:rFonts w:ascii="Arial" w:hAnsi="Arial"/>
          <w:sz w:val="22"/>
          <w:szCs w:val="22"/>
        </w:rPr>
        <w:t>000</w:t>
      </w:r>
      <w:r w:rsidR="002744D8" w:rsidRPr="009D09DA">
        <w:rPr>
          <w:rFonts w:ascii="Arial" w:hAnsi="Arial"/>
          <w:sz w:val="22"/>
          <w:szCs w:val="22"/>
        </w:rPr>
        <w:t xml:space="preserve"> lane</w:t>
      </w:r>
      <w:r w:rsidR="0050650E" w:rsidRPr="009D09DA">
        <w:rPr>
          <w:rFonts w:ascii="Arial" w:hAnsi="Arial"/>
          <w:sz w:val="22"/>
          <w:szCs w:val="22"/>
        </w:rPr>
        <w:t>-</w:t>
      </w:r>
      <w:r w:rsidR="002744D8" w:rsidRPr="009D09DA">
        <w:rPr>
          <w:rFonts w:ascii="Arial" w:hAnsi="Arial"/>
          <w:sz w:val="22"/>
          <w:szCs w:val="22"/>
        </w:rPr>
        <w:t>miles of roadway.</w:t>
      </w:r>
      <w:r w:rsidR="002744D8">
        <w:rPr>
          <w:rFonts w:ascii="Arial" w:hAnsi="Arial"/>
          <w:sz w:val="22"/>
        </w:rPr>
        <w:t xml:space="preserve">  </w:t>
      </w:r>
      <w:r w:rsidR="00727DFC">
        <w:rPr>
          <w:rFonts w:ascii="Arial" w:hAnsi="Arial"/>
          <w:sz w:val="22"/>
        </w:rPr>
        <w:t>A</w:t>
      </w:r>
      <w:r w:rsidR="002744D8">
        <w:rPr>
          <w:rFonts w:ascii="Arial" w:hAnsi="Arial"/>
          <w:sz w:val="22"/>
        </w:rPr>
        <w:t>pproximately 6</w:t>
      </w:r>
      <w:r w:rsidR="00DD4922">
        <w:rPr>
          <w:rFonts w:ascii="Arial" w:hAnsi="Arial"/>
          <w:sz w:val="22"/>
        </w:rPr>
        <w:t>2</w:t>
      </w:r>
      <w:r w:rsidR="002744D8">
        <w:rPr>
          <w:rFonts w:ascii="Arial" w:hAnsi="Arial"/>
          <w:sz w:val="22"/>
        </w:rPr>
        <w:t xml:space="preserve">% of the pavement network </w:t>
      </w:r>
      <w:r w:rsidR="00DD414B">
        <w:rPr>
          <w:rFonts w:ascii="Arial" w:hAnsi="Arial"/>
          <w:sz w:val="22"/>
        </w:rPr>
        <w:t>is</w:t>
      </w:r>
      <w:r w:rsidR="002744D8">
        <w:rPr>
          <w:rFonts w:ascii="Arial" w:hAnsi="Arial"/>
          <w:sz w:val="22"/>
        </w:rPr>
        <w:t xml:space="preserve"> comprised of flexible pavements, 36% </w:t>
      </w:r>
      <w:r w:rsidR="00BE6C63">
        <w:rPr>
          <w:rFonts w:ascii="Arial" w:hAnsi="Arial"/>
          <w:sz w:val="22"/>
        </w:rPr>
        <w:t xml:space="preserve">is </w:t>
      </w:r>
      <w:r w:rsidR="002744D8">
        <w:rPr>
          <w:rFonts w:ascii="Arial" w:hAnsi="Arial"/>
          <w:sz w:val="22"/>
        </w:rPr>
        <w:t xml:space="preserve">composite pavements, and less than </w:t>
      </w:r>
      <w:r w:rsidR="00DD4922">
        <w:rPr>
          <w:rFonts w:ascii="Arial" w:hAnsi="Arial"/>
          <w:sz w:val="22"/>
        </w:rPr>
        <w:t>2</w:t>
      </w:r>
      <w:r w:rsidR="002744D8">
        <w:rPr>
          <w:rFonts w:ascii="Arial" w:hAnsi="Arial"/>
          <w:sz w:val="22"/>
        </w:rPr>
        <w:t xml:space="preserve">% </w:t>
      </w:r>
      <w:r w:rsidR="00BE6C63">
        <w:rPr>
          <w:rFonts w:ascii="Arial" w:hAnsi="Arial"/>
          <w:sz w:val="22"/>
        </w:rPr>
        <w:t xml:space="preserve">is </w:t>
      </w:r>
      <w:r w:rsidR="002744D8">
        <w:rPr>
          <w:rFonts w:ascii="Arial" w:hAnsi="Arial"/>
          <w:sz w:val="22"/>
        </w:rPr>
        <w:t>rigid pavements.</w:t>
      </w:r>
      <w:r w:rsidR="00DD4922">
        <w:rPr>
          <w:rFonts w:ascii="Arial" w:hAnsi="Arial"/>
          <w:sz w:val="22"/>
        </w:rPr>
        <w:t xml:space="preserve">  </w:t>
      </w:r>
      <w:r w:rsidR="002744D8">
        <w:rPr>
          <w:rFonts w:ascii="Arial" w:hAnsi="Arial"/>
          <w:sz w:val="22"/>
        </w:rPr>
        <w:t xml:space="preserve">A large portion of the pavement roadway network of </w:t>
      </w:r>
      <w:r>
        <w:rPr>
          <w:rFonts w:ascii="Arial" w:hAnsi="Arial"/>
          <w:sz w:val="22"/>
        </w:rPr>
        <w:t>MDOT-SHA</w:t>
      </w:r>
      <w:r w:rsidR="002744D8">
        <w:rPr>
          <w:rFonts w:ascii="Arial" w:hAnsi="Arial"/>
          <w:sz w:val="22"/>
        </w:rPr>
        <w:t xml:space="preserve"> has a significant traffic volume.  The </w:t>
      </w:r>
      <w:r w:rsidR="002744D8">
        <w:rPr>
          <w:rFonts w:ascii="Arial" w:hAnsi="Arial"/>
          <w:sz w:val="22"/>
        </w:rPr>
        <w:lastRenderedPageBreak/>
        <w:t xml:space="preserve">environmental and geological regions of </w:t>
      </w:r>
      <w:smartTag w:uri="urn:schemas-microsoft-com:office:smarttags" w:element="State">
        <w:smartTag w:uri="urn:schemas-microsoft-com:office:smarttags" w:element="place">
          <w:r w:rsidR="002744D8">
            <w:rPr>
              <w:rFonts w:ascii="Arial" w:hAnsi="Arial"/>
              <w:sz w:val="22"/>
            </w:rPr>
            <w:t>Maryland</w:t>
          </w:r>
        </w:smartTag>
      </w:smartTag>
      <w:r w:rsidR="002744D8">
        <w:rPr>
          <w:rFonts w:ascii="Arial" w:hAnsi="Arial"/>
          <w:sz w:val="22"/>
        </w:rPr>
        <w:t xml:space="preserve"> lend themselves to a wide range of agricultural and industrial commerce.  </w:t>
      </w:r>
    </w:p>
    <w:p w14:paraId="58D1477C" w14:textId="77777777" w:rsidR="0050650E" w:rsidRDefault="0050650E" w:rsidP="00BE3F24">
      <w:pPr>
        <w:jc w:val="both"/>
        <w:rPr>
          <w:rFonts w:ascii="Arial" w:hAnsi="Arial"/>
          <w:sz w:val="22"/>
        </w:rPr>
      </w:pPr>
    </w:p>
    <w:p w14:paraId="6FB053F5" w14:textId="645FD9E5" w:rsidR="0050650E" w:rsidRDefault="002744D8" w:rsidP="00BE3F24">
      <w:pPr>
        <w:jc w:val="both"/>
        <w:rPr>
          <w:rFonts w:ascii="Arial" w:hAnsi="Arial"/>
          <w:sz w:val="22"/>
        </w:rPr>
      </w:pPr>
      <w:r>
        <w:rPr>
          <w:rFonts w:ascii="Arial" w:hAnsi="Arial"/>
          <w:sz w:val="22"/>
        </w:rPr>
        <w:t>Maryland has three distinct regions that have different traffic and geology/soil conditions.  The eastern shore of Maryland is dominated with agricultural</w:t>
      </w:r>
      <w:r w:rsidR="0050650E">
        <w:rPr>
          <w:rFonts w:ascii="Arial" w:hAnsi="Arial"/>
          <w:sz w:val="22"/>
        </w:rPr>
        <w:t>-</w:t>
      </w:r>
      <w:r>
        <w:rPr>
          <w:rFonts w:ascii="Arial" w:hAnsi="Arial"/>
          <w:sz w:val="22"/>
        </w:rPr>
        <w:t xml:space="preserve">based commerce and traffic.  The soil conditions on the eastern shore are dominated by sandy soils.  The central portion of </w:t>
      </w:r>
      <w:smartTag w:uri="urn:schemas-microsoft-com:office:smarttags" w:element="State">
        <w:smartTag w:uri="urn:schemas-microsoft-com:office:smarttags" w:element="place">
          <w:r>
            <w:rPr>
              <w:rFonts w:ascii="Arial" w:hAnsi="Arial"/>
              <w:sz w:val="22"/>
            </w:rPr>
            <w:t>Maryland</w:t>
          </w:r>
        </w:smartTag>
      </w:smartTag>
      <w:r>
        <w:rPr>
          <w:rFonts w:ascii="Arial" w:hAnsi="Arial"/>
          <w:sz w:val="22"/>
        </w:rPr>
        <w:t xml:space="preserve"> is strongly metropolitan in business with a high percentage of industrial type traffic motivated by the water ports.  This central portion of Maryland is </w:t>
      </w:r>
      <w:r w:rsidR="00664B42">
        <w:rPr>
          <w:rFonts w:ascii="Arial" w:hAnsi="Arial"/>
          <w:sz w:val="22"/>
        </w:rPr>
        <w:t xml:space="preserve">in the </w:t>
      </w:r>
      <w:r w:rsidR="00BE6C63">
        <w:rPr>
          <w:rFonts w:ascii="Arial" w:hAnsi="Arial"/>
          <w:sz w:val="22"/>
        </w:rPr>
        <w:t>P</w:t>
      </w:r>
      <w:r w:rsidR="0050650E">
        <w:rPr>
          <w:rFonts w:ascii="Arial" w:hAnsi="Arial"/>
          <w:sz w:val="22"/>
        </w:rPr>
        <w:t>iedmont</w:t>
      </w:r>
      <w:r>
        <w:rPr>
          <w:rFonts w:ascii="Arial" w:hAnsi="Arial"/>
          <w:sz w:val="22"/>
        </w:rPr>
        <w:t xml:space="preserve"> </w:t>
      </w:r>
      <w:r w:rsidR="00664B42">
        <w:rPr>
          <w:rFonts w:ascii="Arial" w:hAnsi="Arial"/>
          <w:sz w:val="22"/>
        </w:rPr>
        <w:t xml:space="preserve">and </w:t>
      </w:r>
      <w:r>
        <w:rPr>
          <w:rFonts w:ascii="Arial" w:hAnsi="Arial"/>
          <w:sz w:val="22"/>
        </w:rPr>
        <w:t>dominated by silty clays, clays, and mica</w:t>
      </w:r>
      <w:r w:rsidR="0050650E">
        <w:rPr>
          <w:rFonts w:ascii="Arial" w:hAnsi="Arial"/>
          <w:sz w:val="22"/>
        </w:rPr>
        <w:t>c</w:t>
      </w:r>
      <w:r>
        <w:rPr>
          <w:rFonts w:ascii="Arial" w:hAnsi="Arial"/>
          <w:sz w:val="22"/>
        </w:rPr>
        <w:t xml:space="preserve">eous silts.  The western portion of </w:t>
      </w:r>
      <w:smartTag w:uri="urn:schemas-microsoft-com:office:smarttags" w:element="State">
        <w:smartTag w:uri="urn:schemas-microsoft-com:office:smarttags" w:element="place">
          <w:r>
            <w:rPr>
              <w:rFonts w:ascii="Arial" w:hAnsi="Arial"/>
              <w:sz w:val="22"/>
            </w:rPr>
            <w:t>Maryland</w:t>
          </w:r>
        </w:smartTag>
      </w:smartTag>
      <w:r>
        <w:rPr>
          <w:rFonts w:ascii="Arial" w:hAnsi="Arial"/>
          <w:sz w:val="22"/>
        </w:rPr>
        <w:t xml:space="preserve"> is dominated by logging, extractive industries (coal, stone, etc.), and agriculture</w:t>
      </w:r>
      <w:r w:rsidR="00A85335">
        <w:rPr>
          <w:rFonts w:ascii="Arial" w:hAnsi="Arial"/>
          <w:sz w:val="22"/>
        </w:rPr>
        <w:t>-</w:t>
      </w:r>
      <w:r>
        <w:rPr>
          <w:rFonts w:ascii="Arial" w:hAnsi="Arial"/>
          <w:sz w:val="22"/>
        </w:rPr>
        <w:t xml:space="preserve">based commerce as well as several major trucking routes that highly influence the traffic mix.  The western portion of </w:t>
      </w:r>
      <w:smartTag w:uri="urn:schemas-microsoft-com:office:smarttags" w:element="State">
        <w:smartTag w:uri="urn:schemas-microsoft-com:office:smarttags" w:element="place">
          <w:r>
            <w:rPr>
              <w:rFonts w:ascii="Arial" w:hAnsi="Arial"/>
              <w:sz w:val="22"/>
            </w:rPr>
            <w:t>Maryland</w:t>
          </w:r>
        </w:smartTag>
      </w:smartTag>
      <w:r>
        <w:rPr>
          <w:rFonts w:ascii="Arial" w:hAnsi="Arial"/>
          <w:sz w:val="22"/>
        </w:rPr>
        <w:t xml:space="preserve"> is characterized by rocky and silty soils.  </w:t>
      </w:r>
    </w:p>
    <w:p w14:paraId="5A91DE21" w14:textId="77777777" w:rsidR="0050650E" w:rsidRDefault="0050650E" w:rsidP="00BE3F24">
      <w:pPr>
        <w:jc w:val="both"/>
        <w:rPr>
          <w:rFonts w:ascii="Arial" w:hAnsi="Arial"/>
          <w:sz w:val="22"/>
        </w:rPr>
      </w:pPr>
    </w:p>
    <w:p w14:paraId="29038935" w14:textId="7D10F6A5" w:rsidR="002744D8" w:rsidRDefault="002744D8" w:rsidP="00BE3F24">
      <w:pPr>
        <w:jc w:val="both"/>
        <w:rPr>
          <w:rFonts w:ascii="Arial" w:hAnsi="Arial"/>
          <w:sz w:val="22"/>
        </w:rPr>
      </w:pPr>
      <w:r>
        <w:rPr>
          <w:rFonts w:ascii="Arial" w:hAnsi="Arial"/>
          <w:sz w:val="22"/>
        </w:rPr>
        <w:t xml:space="preserve">Although Maryland is a small state, there is a wide range of existing soil and geological conditions, as well as unique traffic volume and weight trends that the </w:t>
      </w:r>
      <w:r w:rsidR="008C7023">
        <w:rPr>
          <w:rFonts w:ascii="Arial" w:hAnsi="Arial"/>
          <w:sz w:val="22"/>
        </w:rPr>
        <w:t>MDOT-SHA</w:t>
      </w:r>
      <w:r>
        <w:rPr>
          <w:rFonts w:ascii="Arial" w:hAnsi="Arial"/>
          <w:sz w:val="22"/>
        </w:rPr>
        <w:t xml:space="preserve"> pavement design engineer needs to possess knowledge of in order to make accurate pavement recommendations.  </w:t>
      </w:r>
    </w:p>
    <w:p w14:paraId="07B37B57" w14:textId="77777777" w:rsidR="002744D8" w:rsidRDefault="002744D8" w:rsidP="00BE3F24">
      <w:pPr>
        <w:jc w:val="both"/>
        <w:rPr>
          <w:rFonts w:ascii="Arial" w:hAnsi="Arial"/>
          <w:sz w:val="22"/>
        </w:rPr>
      </w:pPr>
    </w:p>
    <w:p w14:paraId="0B8F7E38" w14:textId="0809E451" w:rsidR="0050650E" w:rsidRDefault="008C7023" w:rsidP="00BE3F24">
      <w:pPr>
        <w:jc w:val="both"/>
        <w:rPr>
          <w:rFonts w:ascii="Arial" w:hAnsi="Arial"/>
          <w:sz w:val="22"/>
        </w:rPr>
      </w:pPr>
      <w:r>
        <w:rPr>
          <w:rFonts w:ascii="Arial" w:hAnsi="Arial"/>
          <w:sz w:val="22"/>
        </w:rPr>
        <w:t>MDOT-SHA</w:t>
      </w:r>
      <w:r w:rsidR="002744D8">
        <w:rPr>
          <w:rFonts w:ascii="Arial" w:hAnsi="Arial"/>
          <w:sz w:val="22"/>
        </w:rPr>
        <w:t xml:space="preserve"> is currently structured into two separate functions for the purpose of completing and maintaining construction projects</w:t>
      </w:r>
      <w:r w:rsidR="00BE6C63">
        <w:rPr>
          <w:rFonts w:ascii="Arial" w:hAnsi="Arial"/>
          <w:sz w:val="22"/>
        </w:rPr>
        <w:t xml:space="preserve">: </w:t>
      </w:r>
      <w:r w:rsidR="0050650E">
        <w:rPr>
          <w:rFonts w:ascii="Arial" w:hAnsi="Arial"/>
          <w:sz w:val="22"/>
        </w:rPr>
        <w:t xml:space="preserve">(1) </w:t>
      </w:r>
      <w:r w:rsidR="002744D8">
        <w:rPr>
          <w:rFonts w:ascii="Arial" w:hAnsi="Arial"/>
          <w:sz w:val="22"/>
        </w:rPr>
        <w:t xml:space="preserve">Planning/Design and </w:t>
      </w:r>
      <w:r w:rsidR="0050650E">
        <w:rPr>
          <w:rFonts w:ascii="Arial" w:hAnsi="Arial"/>
          <w:sz w:val="22"/>
        </w:rPr>
        <w:t xml:space="preserve">(2) </w:t>
      </w:r>
      <w:r w:rsidR="002744D8">
        <w:rPr>
          <w:rFonts w:ascii="Arial" w:hAnsi="Arial"/>
          <w:sz w:val="22"/>
        </w:rPr>
        <w:t xml:space="preserve">Operations.  The </w:t>
      </w:r>
      <w:r>
        <w:rPr>
          <w:rFonts w:ascii="Arial" w:hAnsi="Arial"/>
          <w:sz w:val="22"/>
        </w:rPr>
        <w:t>MDOT-SHA</w:t>
      </w:r>
      <w:r w:rsidR="002744D8">
        <w:rPr>
          <w:rFonts w:ascii="Arial" w:hAnsi="Arial"/>
          <w:sz w:val="22"/>
        </w:rPr>
        <w:t xml:space="preserve"> Administrator is responsible for overseeing and directing both functions to ensure that </w:t>
      </w:r>
      <w:r>
        <w:rPr>
          <w:rFonts w:ascii="Arial" w:hAnsi="Arial"/>
          <w:sz w:val="22"/>
        </w:rPr>
        <w:t>MDOT-SHA</w:t>
      </w:r>
      <w:r w:rsidR="002744D8">
        <w:rPr>
          <w:rFonts w:ascii="Arial" w:hAnsi="Arial"/>
          <w:sz w:val="22"/>
        </w:rPr>
        <w:t xml:space="preserve"> goals are achieved.  Each function is completed by the efforts of several offices.  There are separate divisions under each office that complete more specific tasks related to the completion of construction projects.  </w:t>
      </w:r>
    </w:p>
    <w:p w14:paraId="1AE9D402" w14:textId="77777777" w:rsidR="0050650E" w:rsidRDefault="0050650E" w:rsidP="00BE3F24">
      <w:pPr>
        <w:jc w:val="both"/>
        <w:rPr>
          <w:rFonts w:ascii="Arial" w:hAnsi="Arial"/>
          <w:sz w:val="22"/>
        </w:rPr>
      </w:pPr>
    </w:p>
    <w:p w14:paraId="177703E8" w14:textId="45318025" w:rsidR="002744D8" w:rsidRDefault="002744D8" w:rsidP="00BE3F24">
      <w:pPr>
        <w:jc w:val="both"/>
        <w:rPr>
          <w:rFonts w:ascii="Arial" w:hAnsi="Arial"/>
          <w:sz w:val="22"/>
        </w:rPr>
      </w:pPr>
      <w:r>
        <w:rPr>
          <w:rFonts w:ascii="Arial" w:hAnsi="Arial"/>
          <w:sz w:val="22"/>
        </w:rPr>
        <w:t xml:space="preserve">The </w:t>
      </w:r>
      <w:r w:rsidR="00713990">
        <w:rPr>
          <w:rFonts w:ascii="Arial" w:hAnsi="Arial"/>
          <w:sz w:val="22"/>
        </w:rPr>
        <w:t xml:space="preserve">Pavement and Geotechnical Division </w:t>
      </w:r>
      <w:r>
        <w:rPr>
          <w:rFonts w:ascii="Arial" w:hAnsi="Arial"/>
          <w:sz w:val="22"/>
        </w:rPr>
        <w:t xml:space="preserve">of </w:t>
      </w:r>
      <w:r w:rsidR="008C7023">
        <w:rPr>
          <w:rFonts w:ascii="Arial" w:hAnsi="Arial"/>
          <w:sz w:val="22"/>
        </w:rPr>
        <w:t>MDOT-SHA</w:t>
      </w:r>
      <w:r>
        <w:rPr>
          <w:rFonts w:ascii="Arial" w:hAnsi="Arial"/>
          <w:sz w:val="22"/>
        </w:rPr>
        <w:t xml:space="preserve"> falls under the Office of Materials Technology (OMT).  OMT is responsible for the design and quality of all materials placed in </w:t>
      </w:r>
      <w:r w:rsidR="008C7023">
        <w:rPr>
          <w:rFonts w:ascii="Arial" w:hAnsi="Arial"/>
          <w:sz w:val="22"/>
        </w:rPr>
        <w:t>MDOT-SHA</w:t>
      </w:r>
      <w:r>
        <w:rPr>
          <w:rFonts w:ascii="Arial" w:hAnsi="Arial"/>
          <w:sz w:val="22"/>
        </w:rPr>
        <w:t xml:space="preserve"> projects.  The Pavement </w:t>
      </w:r>
      <w:r w:rsidR="008F207D">
        <w:rPr>
          <w:rFonts w:ascii="Arial" w:hAnsi="Arial"/>
          <w:sz w:val="22"/>
        </w:rPr>
        <w:t xml:space="preserve">and Geotechnical </w:t>
      </w:r>
      <w:r>
        <w:rPr>
          <w:rFonts w:ascii="Arial" w:hAnsi="Arial"/>
          <w:sz w:val="22"/>
        </w:rPr>
        <w:t xml:space="preserve">Division is responsible for the design of all pavement structures in </w:t>
      </w:r>
      <w:r w:rsidR="008C7023">
        <w:rPr>
          <w:rFonts w:ascii="Arial" w:hAnsi="Arial"/>
          <w:sz w:val="22"/>
        </w:rPr>
        <w:t>MDOT-SHA</w:t>
      </w:r>
      <w:r>
        <w:rPr>
          <w:rFonts w:ascii="Arial" w:hAnsi="Arial"/>
          <w:sz w:val="22"/>
        </w:rPr>
        <w:t xml:space="preserve"> projects.  In addition, the Pavement </w:t>
      </w:r>
      <w:r w:rsidR="008F207D">
        <w:rPr>
          <w:rFonts w:ascii="Arial" w:hAnsi="Arial"/>
          <w:sz w:val="22"/>
        </w:rPr>
        <w:t xml:space="preserve">and Geotechnical </w:t>
      </w:r>
      <w:r>
        <w:rPr>
          <w:rFonts w:ascii="Arial" w:hAnsi="Arial"/>
          <w:sz w:val="22"/>
        </w:rPr>
        <w:t>Division is responsible for the data processing and analysis of</w:t>
      </w:r>
      <w:r w:rsidR="000B3088">
        <w:rPr>
          <w:rFonts w:ascii="Arial" w:hAnsi="Arial"/>
          <w:sz w:val="22"/>
        </w:rPr>
        <w:t xml:space="preserve"> </w:t>
      </w:r>
      <w:r>
        <w:rPr>
          <w:rFonts w:ascii="Arial" w:hAnsi="Arial"/>
          <w:sz w:val="22"/>
        </w:rPr>
        <w:t xml:space="preserve">all the network level data collection for </w:t>
      </w:r>
      <w:r w:rsidR="008C7023">
        <w:rPr>
          <w:rFonts w:ascii="Arial" w:hAnsi="Arial"/>
          <w:sz w:val="22"/>
        </w:rPr>
        <w:t>MDOT-SHA</w:t>
      </w:r>
      <w:r>
        <w:rPr>
          <w:rFonts w:ascii="Arial" w:hAnsi="Arial"/>
          <w:sz w:val="22"/>
        </w:rPr>
        <w:t xml:space="preserve"> roadways and </w:t>
      </w:r>
      <w:r w:rsidR="0017641F">
        <w:rPr>
          <w:rFonts w:ascii="Arial" w:hAnsi="Arial"/>
          <w:sz w:val="22"/>
        </w:rPr>
        <w:t>its</w:t>
      </w:r>
      <w:r>
        <w:rPr>
          <w:rFonts w:ascii="Arial" w:hAnsi="Arial"/>
          <w:sz w:val="22"/>
        </w:rPr>
        <w:t xml:space="preserve"> pavement management system (PMS).  </w:t>
      </w:r>
      <w:r w:rsidR="001374D2">
        <w:rPr>
          <w:rFonts w:ascii="Arial" w:hAnsi="Arial"/>
          <w:sz w:val="22"/>
        </w:rPr>
        <w:t>The chart in the next page shows</w:t>
      </w:r>
      <w:r>
        <w:rPr>
          <w:rFonts w:ascii="Arial" w:hAnsi="Arial"/>
          <w:sz w:val="22"/>
        </w:rPr>
        <w:t xml:space="preserve"> a general schematic of the </w:t>
      </w:r>
      <w:r w:rsidR="008C7023">
        <w:rPr>
          <w:rFonts w:ascii="Arial" w:hAnsi="Arial"/>
          <w:sz w:val="22"/>
        </w:rPr>
        <w:t>MDOT-SHA</w:t>
      </w:r>
      <w:r>
        <w:rPr>
          <w:rFonts w:ascii="Arial" w:hAnsi="Arial"/>
          <w:sz w:val="22"/>
        </w:rPr>
        <w:t xml:space="preserve"> structure.</w:t>
      </w:r>
    </w:p>
    <w:p w14:paraId="4BDD9114" w14:textId="77777777" w:rsidR="002744D8" w:rsidRDefault="002744D8" w:rsidP="00BE3F24">
      <w:pPr>
        <w:rPr>
          <w:rFonts w:ascii="Arial" w:hAnsi="Arial"/>
          <w:sz w:val="22"/>
        </w:rPr>
      </w:pPr>
    </w:p>
    <w:p w14:paraId="0E139625" w14:textId="7E1CE479" w:rsidR="002744D8" w:rsidRDefault="001374D2" w:rsidP="001374D2">
      <w:pPr>
        <w:jc w:val="center"/>
        <w:rPr>
          <w:rFonts w:ascii="Arial" w:hAnsi="Arial"/>
          <w:sz w:val="22"/>
        </w:rPr>
      </w:pPr>
      <w:r>
        <w:rPr>
          <w:rFonts w:ascii="Arial" w:hAnsi="Arial"/>
          <w:noProof/>
          <w:sz w:val="22"/>
        </w:rPr>
        <w:lastRenderedPageBreak/>
        <w:drawing>
          <wp:inline distT="0" distB="0" distL="0" distR="0" wp14:anchorId="3575FD0E" wp14:editId="22B168C6">
            <wp:extent cx="5204460" cy="6212561"/>
            <wp:effectExtent l="0" t="0" r="0" b="0"/>
            <wp:docPr id="1400195699" name="Picture 301" descr="Maryland Department of Transportation (MDOT) State Highway Administration (SHA) Organizational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195699" name="Picture 301" descr="Maryland Department of Transportation (MDOT) State Highway Administration (SHA) Organizational Chart"/>
                    <pic:cNvPicPr/>
                  </pic:nvPicPr>
                  <pic:blipFill rotWithShape="1">
                    <a:blip r:embed="rId18">
                      <a:extLst>
                        <a:ext uri="{28A0092B-C50C-407E-A947-70E740481C1C}">
                          <a14:useLocalDpi xmlns:a14="http://schemas.microsoft.com/office/drawing/2010/main" val="0"/>
                        </a:ext>
                      </a:extLst>
                    </a:blip>
                    <a:srcRect l="24097" r="21527"/>
                    <a:stretch>
                      <a:fillRect/>
                    </a:stretch>
                  </pic:blipFill>
                  <pic:spPr bwMode="auto">
                    <a:xfrm>
                      <a:off x="0" y="0"/>
                      <a:ext cx="5220650" cy="6231887"/>
                    </a:xfrm>
                    <a:prstGeom prst="rect">
                      <a:avLst/>
                    </a:prstGeom>
                    <a:ln>
                      <a:noFill/>
                    </a:ln>
                    <a:extLst>
                      <a:ext uri="{53640926-AAD7-44D8-BBD7-CCE9431645EC}">
                        <a14:shadowObscured xmlns:a14="http://schemas.microsoft.com/office/drawing/2010/main"/>
                      </a:ext>
                    </a:extLst>
                  </pic:spPr>
                </pic:pic>
              </a:graphicData>
            </a:graphic>
          </wp:inline>
        </w:drawing>
      </w:r>
    </w:p>
    <w:p w14:paraId="2073AFCF" w14:textId="77777777" w:rsidR="00BC6EE8" w:rsidRDefault="00BC6EE8" w:rsidP="00BE3F24">
      <w:pPr>
        <w:rPr>
          <w:rFonts w:ascii="Arial" w:hAnsi="Arial"/>
          <w:sz w:val="22"/>
        </w:rPr>
      </w:pPr>
    </w:p>
    <w:p w14:paraId="112C4BAE" w14:textId="1C8F2B76" w:rsidR="002E393C" w:rsidRDefault="00BC6EE8" w:rsidP="00BE3F24">
      <w:pPr>
        <w:jc w:val="both"/>
        <w:rPr>
          <w:rFonts w:ascii="Arial" w:hAnsi="Arial"/>
          <w:sz w:val="22"/>
        </w:rPr>
      </w:pPr>
      <w:r>
        <w:rPr>
          <w:rFonts w:ascii="Arial" w:hAnsi="Arial"/>
          <w:sz w:val="22"/>
        </w:rPr>
        <w:t xml:space="preserve">OMT </w:t>
      </w:r>
      <w:r w:rsidR="002E393C">
        <w:rPr>
          <w:rFonts w:ascii="Arial" w:hAnsi="Arial"/>
          <w:sz w:val="22"/>
        </w:rPr>
        <w:t>ha</w:t>
      </w:r>
      <w:r>
        <w:rPr>
          <w:rFonts w:ascii="Arial" w:hAnsi="Arial"/>
          <w:sz w:val="22"/>
        </w:rPr>
        <w:t xml:space="preserve">s a diverse group of technical disciplines and operating functions.  </w:t>
      </w:r>
      <w:r w:rsidR="002E393C">
        <w:rPr>
          <w:rFonts w:ascii="Arial" w:hAnsi="Arial"/>
          <w:sz w:val="22"/>
        </w:rPr>
        <w:t>While o</w:t>
      </w:r>
      <w:r>
        <w:rPr>
          <w:rFonts w:ascii="Arial" w:hAnsi="Arial"/>
          <w:sz w:val="22"/>
        </w:rPr>
        <w:t xml:space="preserve">ther offices are focused on their core mission as it relates to </w:t>
      </w:r>
      <w:r w:rsidR="008C7023">
        <w:rPr>
          <w:rFonts w:ascii="Arial" w:hAnsi="Arial"/>
          <w:sz w:val="22"/>
        </w:rPr>
        <w:t>MDOT-SHA</w:t>
      </w:r>
      <w:r>
        <w:rPr>
          <w:rFonts w:ascii="Arial" w:hAnsi="Arial"/>
          <w:sz w:val="22"/>
        </w:rPr>
        <w:t>, OMT is focused on the long</w:t>
      </w:r>
      <w:r w:rsidR="008C7023">
        <w:rPr>
          <w:rFonts w:ascii="Arial" w:hAnsi="Arial"/>
          <w:sz w:val="22"/>
        </w:rPr>
        <w:t>-</w:t>
      </w:r>
      <w:r>
        <w:rPr>
          <w:rFonts w:ascii="Arial" w:hAnsi="Arial"/>
          <w:sz w:val="22"/>
        </w:rPr>
        <w:t>term durability and performance of all materials</w:t>
      </w:r>
      <w:r w:rsidR="002E393C">
        <w:rPr>
          <w:rFonts w:ascii="Arial" w:hAnsi="Arial"/>
          <w:sz w:val="22"/>
        </w:rPr>
        <w:t>,</w:t>
      </w:r>
      <w:r>
        <w:rPr>
          <w:rFonts w:ascii="Arial" w:hAnsi="Arial"/>
          <w:sz w:val="22"/>
        </w:rPr>
        <w:t xml:space="preserve"> especially roadway pavements and bridge structures.  </w:t>
      </w:r>
    </w:p>
    <w:p w14:paraId="6B5FFD84" w14:textId="77777777" w:rsidR="002E393C" w:rsidRDefault="002E393C" w:rsidP="00BE3F24">
      <w:pPr>
        <w:jc w:val="both"/>
        <w:rPr>
          <w:rFonts w:ascii="Arial" w:hAnsi="Arial"/>
          <w:sz w:val="22"/>
        </w:rPr>
      </w:pPr>
    </w:p>
    <w:p w14:paraId="5C8DB0B4" w14:textId="77777777" w:rsidR="00DF74AB" w:rsidRDefault="00BC6EE8" w:rsidP="00BE3F24">
      <w:pPr>
        <w:jc w:val="both"/>
        <w:rPr>
          <w:rFonts w:ascii="Arial" w:hAnsi="Arial"/>
          <w:sz w:val="22"/>
        </w:rPr>
      </w:pPr>
      <w:r>
        <w:rPr>
          <w:rFonts w:ascii="Arial" w:hAnsi="Arial"/>
          <w:sz w:val="22"/>
        </w:rPr>
        <w:t xml:space="preserve">OMT is divided into </w:t>
      </w:r>
      <w:r w:rsidR="00DF74AB">
        <w:rPr>
          <w:rFonts w:ascii="Arial" w:hAnsi="Arial"/>
          <w:sz w:val="22"/>
        </w:rPr>
        <w:t>3</w:t>
      </w:r>
      <w:r>
        <w:rPr>
          <w:rFonts w:ascii="Arial" w:hAnsi="Arial"/>
          <w:sz w:val="22"/>
        </w:rPr>
        <w:t xml:space="preserve"> </w:t>
      </w:r>
      <w:r w:rsidR="00DF74AB">
        <w:rPr>
          <w:rFonts w:ascii="Arial" w:hAnsi="Arial"/>
          <w:sz w:val="22"/>
        </w:rPr>
        <w:t>material engineering d</w:t>
      </w:r>
      <w:r>
        <w:rPr>
          <w:rFonts w:ascii="Arial" w:hAnsi="Arial"/>
          <w:sz w:val="22"/>
        </w:rPr>
        <w:t xml:space="preserve">ivisions and </w:t>
      </w:r>
      <w:r w:rsidR="00DF74AB">
        <w:rPr>
          <w:rFonts w:ascii="Arial" w:hAnsi="Arial"/>
          <w:sz w:val="22"/>
        </w:rPr>
        <w:t>5</w:t>
      </w:r>
      <w:r>
        <w:rPr>
          <w:rFonts w:ascii="Arial" w:hAnsi="Arial"/>
          <w:sz w:val="22"/>
        </w:rPr>
        <w:t xml:space="preserve"> </w:t>
      </w:r>
      <w:r w:rsidR="00DF74AB">
        <w:rPr>
          <w:rFonts w:ascii="Arial" w:hAnsi="Arial"/>
          <w:sz w:val="22"/>
        </w:rPr>
        <w:t>material quality d</w:t>
      </w:r>
      <w:r>
        <w:rPr>
          <w:rFonts w:ascii="Arial" w:hAnsi="Arial"/>
          <w:sz w:val="22"/>
        </w:rPr>
        <w:t xml:space="preserve">ivisions.  The </w:t>
      </w:r>
      <w:r w:rsidR="00DF74AB">
        <w:rPr>
          <w:rFonts w:ascii="Arial" w:hAnsi="Arial"/>
          <w:sz w:val="22"/>
        </w:rPr>
        <w:t>material quality d</w:t>
      </w:r>
      <w:r>
        <w:rPr>
          <w:rFonts w:ascii="Arial" w:hAnsi="Arial"/>
          <w:sz w:val="22"/>
        </w:rPr>
        <w:t xml:space="preserve">ivisions are responsible for material testing, design, quality, and acceptance.  </w:t>
      </w:r>
      <w:r w:rsidR="00DF74AB">
        <w:rPr>
          <w:rFonts w:ascii="Arial" w:hAnsi="Arial"/>
          <w:sz w:val="22"/>
        </w:rPr>
        <w:t>Part of the material engineering side, t</w:t>
      </w:r>
      <w:r>
        <w:rPr>
          <w:rFonts w:ascii="Arial" w:hAnsi="Arial"/>
          <w:sz w:val="22"/>
        </w:rPr>
        <w:t>he Pavement and Geotechnical Division is responsible for the design of all pavement and geotechnical features on construction projects</w:t>
      </w:r>
      <w:r w:rsidR="00CD0893">
        <w:rPr>
          <w:rFonts w:ascii="Arial" w:hAnsi="Arial"/>
          <w:sz w:val="22"/>
        </w:rPr>
        <w:t xml:space="preserve">.  </w:t>
      </w:r>
    </w:p>
    <w:p w14:paraId="42C0DE0E" w14:textId="77777777" w:rsidR="00DF74AB" w:rsidRDefault="00DF74AB" w:rsidP="00BE3F24">
      <w:pPr>
        <w:jc w:val="both"/>
        <w:rPr>
          <w:rFonts w:ascii="Arial" w:hAnsi="Arial"/>
          <w:sz w:val="22"/>
        </w:rPr>
      </w:pPr>
    </w:p>
    <w:p w14:paraId="7C1391CE" w14:textId="4AD33440" w:rsidR="00DF74AB" w:rsidRDefault="00CD0893" w:rsidP="00BE3F24">
      <w:pPr>
        <w:jc w:val="both"/>
        <w:rPr>
          <w:rFonts w:ascii="Arial" w:hAnsi="Arial"/>
          <w:sz w:val="22"/>
        </w:rPr>
      </w:pPr>
      <w:r>
        <w:rPr>
          <w:rFonts w:ascii="Arial" w:hAnsi="Arial"/>
          <w:sz w:val="22"/>
        </w:rPr>
        <w:lastRenderedPageBreak/>
        <w:t>The Division has two sections</w:t>
      </w:r>
      <w:r w:rsidR="00DF74AB">
        <w:rPr>
          <w:rFonts w:ascii="Arial" w:hAnsi="Arial"/>
          <w:sz w:val="22"/>
        </w:rPr>
        <w:t>:</w:t>
      </w:r>
      <w:r>
        <w:rPr>
          <w:rFonts w:ascii="Arial" w:hAnsi="Arial"/>
          <w:sz w:val="22"/>
        </w:rPr>
        <w:t xml:space="preserve"> </w:t>
      </w:r>
      <w:r w:rsidR="00DF74AB">
        <w:rPr>
          <w:rFonts w:ascii="Arial" w:hAnsi="Arial"/>
          <w:sz w:val="22"/>
        </w:rPr>
        <w:t>P</w:t>
      </w:r>
      <w:r>
        <w:rPr>
          <w:rFonts w:ascii="Arial" w:hAnsi="Arial"/>
          <w:sz w:val="22"/>
        </w:rPr>
        <w:t xml:space="preserve">avement </w:t>
      </w:r>
      <w:r w:rsidR="00DF74AB">
        <w:rPr>
          <w:rFonts w:ascii="Arial" w:hAnsi="Arial"/>
          <w:sz w:val="22"/>
        </w:rPr>
        <w:t>Ma</w:t>
      </w:r>
      <w:r>
        <w:rPr>
          <w:rFonts w:ascii="Arial" w:hAnsi="Arial"/>
          <w:sz w:val="22"/>
        </w:rPr>
        <w:t xml:space="preserve">nagement and </w:t>
      </w:r>
      <w:r w:rsidR="00DF74AB">
        <w:rPr>
          <w:rFonts w:ascii="Arial" w:hAnsi="Arial"/>
          <w:sz w:val="22"/>
        </w:rPr>
        <w:t>D</w:t>
      </w:r>
      <w:r>
        <w:rPr>
          <w:rFonts w:ascii="Arial" w:hAnsi="Arial"/>
          <w:sz w:val="22"/>
        </w:rPr>
        <w:t xml:space="preserve">esign.  </w:t>
      </w:r>
    </w:p>
    <w:p w14:paraId="15CD7A0F" w14:textId="77777777" w:rsidR="00DF74AB" w:rsidRDefault="00DF74AB" w:rsidP="00BE3F24">
      <w:pPr>
        <w:jc w:val="both"/>
        <w:rPr>
          <w:rFonts w:ascii="Arial" w:hAnsi="Arial"/>
          <w:sz w:val="22"/>
        </w:rPr>
      </w:pPr>
    </w:p>
    <w:p w14:paraId="06D04C6C" w14:textId="5425E1A4" w:rsidR="00DF74AB" w:rsidRPr="00DF74AB" w:rsidRDefault="00DF74AB" w:rsidP="00BE3F24">
      <w:pPr>
        <w:jc w:val="both"/>
        <w:rPr>
          <w:rFonts w:ascii="Arial" w:hAnsi="Arial"/>
          <w:sz w:val="22"/>
        </w:rPr>
      </w:pPr>
      <w:r w:rsidRPr="00DF74AB">
        <w:rPr>
          <w:rFonts w:ascii="Arial" w:hAnsi="Arial"/>
          <w:sz w:val="22"/>
        </w:rPr>
        <w:t xml:space="preserve">Pavement Management (PM) handles all pavement data collection activities, all pavement data processing and analysis responsibilities, and several reporting functions which support several </w:t>
      </w:r>
      <w:r w:rsidR="008C7023">
        <w:rPr>
          <w:rFonts w:ascii="Arial" w:hAnsi="Arial"/>
          <w:sz w:val="22"/>
        </w:rPr>
        <w:t>MDOT-SHA</w:t>
      </w:r>
      <w:r w:rsidRPr="00DF74AB">
        <w:rPr>
          <w:rFonts w:ascii="Arial" w:hAnsi="Arial"/>
          <w:sz w:val="22"/>
        </w:rPr>
        <w:t xml:space="preserve"> business plan goals and performance measures.  PM runs optimization routines several times per year in the Fund 77 program to determine (among other things) predicted pavement performance based on given budgets, and recommended projects and treatments needed to meet that performance.</w:t>
      </w:r>
    </w:p>
    <w:p w14:paraId="00107CD7" w14:textId="77777777" w:rsidR="00DF74AB" w:rsidRDefault="00DF74AB" w:rsidP="00BE3F24">
      <w:pPr>
        <w:jc w:val="both"/>
        <w:rPr>
          <w:rFonts w:ascii="Arial" w:hAnsi="Arial"/>
          <w:sz w:val="22"/>
        </w:rPr>
      </w:pPr>
    </w:p>
    <w:p w14:paraId="13920106" w14:textId="6FD7A45B" w:rsidR="00DF74AB" w:rsidRPr="00DF74AB" w:rsidRDefault="00DF74AB" w:rsidP="00BE3F24">
      <w:pPr>
        <w:jc w:val="both"/>
        <w:rPr>
          <w:rFonts w:ascii="Arial" w:hAnsi="Arial"/>
          <w:sz w:val="22"/>
        </w:rPr>
      </w:pPr>
      <w:r w:rsidRPr="00DF74AB">
        <w:rPr>
          <w:rFonts w:ascii="Arial" w:hAnsi="Arial"/>
          <w:sz w:val="22"/>
        </w:rPr>
        <w:t>Design is responsible for all routine pavement and geotechnical engineering necessary to advertise construction contracts.  Design also works closely with District Operation Engineers to support the design services required to treat pavements under area</w:t>
      </w:r>
      <w:r w:rsidR="00FA4025">
        <w:rPr>
          <w:rFonts w:ascii="Arial" w:hAnsi="Arial"/>
          <w:sz w:val="22"/>
        </w:rPr>
        <w:t xml:space="preserve"> </w:t>
      </w:r>
      <w:r w:rsidRPr="00DF74AB">
        <w:rPr>
          <w:rFonts w:ascii="Arial" w:hAnsi="Arial"/>
          <w:sz w:val="22"/>
        </w:rPr>
        <w:t xml:space="preserve">wide maintenance contracts.  Design has five Team Leader engineers </w:t>
      </w:r>
      <w:r w:rsidR="00BE6C63">
        <w:rPr>
          <w:rFonts w:ascii="Arial" w:hAnsi="Arial"/>
          <w:sz w:val="22"/>
        </w:rPr>
        <w:t>who</w:t>
      </w:r>
      <w:r w:rsidRPr="00DF74AB">
        <w:rPr>
          <w:rFonts w:ascii="Arial" w:hAnsi="Arial"/>
          <w:sz w:val="22"/>
        </w:rPr>
        <w:t xml:space="preserve"> serve as "District Contacts" </w:t>
      </w:r>
      <w:r w:rsidR="00BE6C63">
        <w:rPr>
          <w:rFonts w:ascii="Arial" w:hAnsi="Arial"/>
          <w:sz w:val="22"/>
        </w:rPr>
        <w:t xml:space="preserve">and </w:t>
      </w:r>
      <w:r w:rsidRPr="00DF74AB">
        <w:rPr>
          <w:rFonts w:ascii="Arial" w:hAnsi="Arial"/>
          <w:sz w:val="22"/>
        </w:rPr>
        <w:t xml:space="preserve">points of contact for OMT to the Districts and all Project Development offices within </w:t>
      </w:r>
      <w:r w:rsidR="008C7023">
        <w:rPr>
          <w:rFonts w:ascii="Arial" w:hAnsi="Arial"/>
          <w:sz w:val="22"/>
        </w:rPr>
        <w:t>MDOT-SHA</w:t>
      </w:r>
      <w:r w:rsidRPr="00DF74AB">
        <w:rPr>
          <w:rFonts w:ascii="Arial" w:hAnsi="Arial"/>
          <w:sz w:val="22"/>
        </w:rPr>
        <w:t xml:space="preserve"> for all preliminary engineering and planning services. </w:t>
      </w:r>
    </w:p>
    <w:p w14:paraId="0D9FF01F" w14:textId="77777777" w:rsidR="001374D2" w:rsidRDefault="001374D2" w:rsidP="00A1297B">
      <w:pPr>
        <w:jc w:val="both"/>
        <w:rPr>
          <w:rFonts w:ascii="Arial" w:hAnsi="Arial"/>
          <w:sz w:val="22"/>
        </w:rPr>
      </w:pPr>
    </w:p>
    <w:p w14:paraId="5F0C1DBD" w14:textId="170DF5EB" w:rsidR="00DF74AB" w:rsidRDefault="00D046DC" w:rsidP="00A1297B">
      <w:pPr>
        <w:jc w:val="both"/>
        <w:rPr>
          <w:rFonts w:ascii="Arial" w:hAnsi="Arial"/>
          <w:sz w:val="22"/>
        </w:rPr>
      </w:pPr>
      <w:r>
        <w:rPr>
          <w:rFonts w:ascii="Arial" w:hAnsi="Arial"/>
          <w:sz w:val="22"/>
        </w:rPr>
        <w:t xml:space="preserve">The following two charts </w:t>
      </w:r>
      <w:r w:rsidR="00BE6C63">
        <w:rPr>
          <w:rFonts w:ascii="Arial" w:hAnsi="Arial"/>
          <w:sz w:val="22"/>
        </w:rPr>
        <w:t xml:space="preserve">show </w:t>
      </w:r>
      <w:r>
        <w:rPr>
          <w:rFonts w:ascii="Arial" w:hAnsi="Arial"/>
          <w:sz w:val="22"/>
        </w:rPr>
        <w:t xml:space="preserve">the organizational structure of OMT and the Pavement and Geotechnical Division as of </w:t>
      </w:r>
      <w:r w:rsidR="008C7023">
        <w:rPr>
          <w:rFonts w:ascii="Arial" w:hAnsi="Arial"/>
          <w:sz w:val="22"/>
        </w:rPr>
        <w:t>May 2019</w:t>
      </w:r>
      <w:r>
        <w:rPr>
          <w:rFonts w:ascii="Arial" w:hAnsi="Arial"/>
          <w:sz w:val="22"/>
        </w:rPr>
        <w:t xml:space="preserve">. </w:t>
      </w:r>
      <w:r w:rsidR="00CD0893">
        <w:rPr>
          <w:rFonts w:ascii="Arial" w:hAnsi="Arial"/>
          <w:sz w:val="22"/>
        </w:rPr>
        <w:t xml:space="preserve">  </w:t>
      </w:r>
    </w:p>
    <w:p w14:paraId="6EDDD378" w14:textId="77777777" w:rsidR="003B7671" w:rsidRDefault="003B7671" w:rsidP="00BE3F24">
      <w:pPr>
        <w:rPr>
          <w:rFonts w:ascii="Arial" w:hAnsi="Arial"/>
          <w:sz w:val="22"/>
        </w:rPr>
      </w:pPr>
    </w:p>
    <w:p w14:paraId="15DC438D" w14:textId="77777777" w:rsidR="003F2D9A" w:rsidRDefault="003F2D9A" w:rsidP="00A85335">
      <w:pPr>
        <w:rPr>
          <w:noProof/>
        </w:rPr>
      </w:pPr>
    </w:p>
    <w:p w14:paraId="3A1965CA" w14:textId="46B12B70" w:rsidR="00A85335" w:rsidRDefault="008C7023" w:rsidP="00C947EA">
      <w:pPr>
        <w:jc w:val="center"/>
        <w:rPr>
          <w:rFonts w:ascii="Arial" w:hAnsi="Arial"/>
          <w:sz w:val="22"/>
        </w:rPr>
      </w:pPr>
      <w:r>
        <w:rPr>
          <w:noProof/>
        </w:rPr>
        <w:lastRenderedPageBreak/>
        <w:drawing>
          <wp:inline distT="0" distB="0" distL="0" distR="0" wp14:anchorId="3DF417D8" wp14:editId="174C5806">
            <wp:extent cx="5445710" cy="6699250"/>
            <wp:effectExtent l="0" t="0" r="3175" b="6350"/>
            <wp:docPr id="3307" name="Picture 3307" descr="SHA Office of Materials Technology (OMT) Organizational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7" name="Picture 3307" descr="SHA Office of Materials Technology (OMT) Organizational Chart"/>
                    <pic:cNvPicPr/>
                  </pic:nvPicPr>
                  <pic:blipFill>
                    <a:blip r:embed="rId19">
                      <a:extLst>
                        <a:ext uri="{28A0092B-C50C-407E-A947-70E740481C1C}">
                          <a14:useLocalDpi xmlns:a14="http://schemas.microsoft.com/office/drawing/2010/main" val="0"/>
                        </a:ext>
                      </a:extLst>
                    </a:blip>
                    <a:stretch>
                      <a:fillRect/>
                    </a:stretch>
                  </pic:blipFill>
                  <pic:spPr>
                    <a:xfrm>
                      <a:off x="0" y="0"/>
                      <a:ext cx="5463434" cy="6721054"/>
                    </a:xfrm>
                    <a:prstGeom prst="rect">
                      <a:avLst/>
                    </a:prstGeom>
                  </pic:spPr>
                </pic:pic>
              </a:graphicData>
            </a:graphic>
          </wp:inline>
        </w:drawing>
      </w:r>
    </w:p>
    <w:p w14:paraId="42DCEE2B" w14:textId="77777777" w:rsidR="00C947EA" w:rsidRDefault="00C947EA" w:rsidP="00C947EA">
      <w:pPr>
        <w:jc w:val="center"/>
        <w:rPr>
          <w:rFonts w:ascii="Arial" w:hAnsi="Arial"/>
          <w:sz w:val="22"/>
        </w:rPr>
      </w:pPr>
    </w:p>
    <w:p w14:paraId="62DE2460" w14:textId="493D27A7" w:rsidR="003F2D9A" w:rsidRDefault="00C947EA" w:rsidP="00A85335">
      <w:pPr>
        <w:rPr>
          <w:rFonts w:ascii="Arial" w:hAnsi="Arial"/>
          <w:sz w:val="22"/>
        </w:rPr>
      </w:pPr>
      <w:r>
        <w:rPr>
          <w:rFonts w:ascii="Arial" w:hAnsi="Arial"/>
          <w:noProof/>
          <w:sz w:val="22"/>
        </w:rPr>
        <w:lastRenderedPageBreak/>
        <w:drawing>
          <wp:inline distT="0" distB="0" distL="0" distR="0" wp14:anchorId="4A27098F" wp14:editId="2F005F1C">
            <wp:extent cx="5486400" cy="5095875"/>
            <wp:effectExtent l="0" t="0" r="0" b="9525"/>
            <wp:docPr id="512837710" name="Picture 336" descr="Pavement and Geotechnical Division (PAGD) Organizational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837710" name="Picture 336" descr="Pavement and Geotechnical Division (PAGD) Organizational Char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86400" cy="5095875"/>
                    </a:xfrm>
                    <a:prstGeom prst="rect">
                      <a:avLst/>
                    </a:prstGeom>
                  </pic:spPr>
                </pic:pic>
              </a:graphicData>
            </a:graphic>
          </wp:inline>
        </w:drawing>
      </w:r>
    </w:p>
    <w:p w14:paraId="786BAAC7" w14:textId="77777777" w:rsidR="00C947EA" w:rsidRDefault="00C947EA" w:rsidP="00A85335">
      <w:pPr>
        <w:rPr>
          <w:rFonts w:ascii="Arial" w:hAnsi="Arial"/>
          <w:sz w:val="22"/>
        </w:rPr>
      </w:pPr>
    </w:p>
    <w:p w14:paraId="7F395393" w14:textId="11614AE4" w:rsidR="003B7671" w:rsidRDefault="002744D8" w:rsidP="00A85335">
      <w:pPr>
        <w:rPr>
          <w:rFonts w:ascii="Arial" w:hAnsi="Arial"/>
          <w:sz w:val="22"/>
        </w:rPr>
      </w:pPr>
      <w:r>
        <w:rPr>
          <w:rFonts w:ascii="Arial" w:hAnsi="Arial"/>
          <w:sz w:val="22"/>
        </w:rPr>
        <w:t>Other State agencies, the Federal government, Counties, Cities, and other local municipalities are responsible for the remaining roadways in Maryland.  Frequently in these cases, these other agencies seek the assistance</w:t>
      </w:r>
      <w:r w:rsidR="00801063">
        <w:rPr>
          <w:rFonts w:ascii="Arial" w:hAnsi="Arial"/>
          <w:sz w:val="22"/>
        </w:rPr>
        <w:t xml:space="preserve"> of the </w:t>
      </w:r>
      <w:r>
        <w:rPr>
          <w:rFonts w:ascii="Arial" w:hAnsi="Arial"/>
          <w:sz w:val="22"/>
        </w:rPr>
        <w:t xml:space="preserve">Pavement </w:t>
      </w:r>
      <w:r w:rsidR="008F207D">
        <w:rPr>
          <w:rFonts w:ascii="Arial" w:hAnsi="Arial"/>
          <w:sz w:val="22"/>
        </w:rPr>
        <w:t xml:space="preserve">and Geotechnical </w:t>
      </w:r>
      <w:r>
        <w:rPr>
          <w:rFonts w:ascii="Arial" w:hAnsi="Arial"/>
          <w:sz w:val="22"/>
        </w:rPr>
        <w:t xml:space="preserve">Division </w:t>
      </w:r>
      <w:r w:rsidR="00FF156E">
        <w:rPr>
          <w:rFonts w:ascii="Arial" w:hAnsi="Arial"/>
          <w:sz w:val="22"/>
        </w:rPr>
        <w:t>about</w:t>
      </w:r>
      <w:r>
        <w:rPr>
          <w:rFonts w:ascii="Arial" w:hAnsi="Arial"/>
          <w:sz w:val="22"/>
        </w:rPr>
        <w:t xml:space="preserve"> pavement recommendations.  Therefore, in addition to the workload of </w:t>
      </w:r>
      <w:r w:rsidR="008C7023">
        <w:rPr>
          <w:rFonts w:ascii="Arial" w:hAnsi="Arial"/>
          <w:sz w:val="22"/>
        </w:rPr>
        <w:t>MDOT-SHA</w:t>
      </w:r>
      <w:r>
        <w:rPr>
          <w:rFonts w:ascii="Arial" w:hAnsi="Arial"/>
          <w:sz w:val="22"/>
        </w:rPr>
        <w:t xml:space="preserve"> construction projects, the engineers in the Pavement </w:t>
      </w:r>
      <w:r w:rsidR="00017E36">
        <w:rPr>
          <w:rFonts w:ascii="Arial" w:hAnsi="Arial"/>
          <w:sz w:val="22"/>
        </w:rPr>
        <w:t xml:space="preserve">and Geotechnical </w:t>
      </w:r>
      <w:r>
        <w:rPr>
          <w:rFonts w:ascii="Arial" w:hAnsi="Arial"/>
          <w:sz w:val="22"/>
        </w:rPr>
        <w:t>Division are often asked to assist and review other agencies</w:t>
      </w:r>
      <w:r w:rsidR="001C6717">
        <w:rPr>
          <w:rFonts w:ascii="Arial" w:hAnsi="Arial"/>
          <w:sz w:val="22"/>
        </w:rPr>
        <w:t>’</w:t>
      </w:r>
      <w:r>
        <w:rPr>
          <w:rFonts w:ascii="Arial" w:hAnsi="Arial"/>
          <w:sz w:val="22"/>
        </w:rPr>
        <w:t xml:space="preserve"> construction projects.  </w:t>
      </w:r>
    </w:p>
    <w:p w14:paraId="5548278F" w14:textId="2349FF0B" w:rsidR="001C6717" w:rsidRDefault="001C6717" w:rsidP="00BE3F24">
      <w:pPr>
        <w:jc w:val="both"/>
        <w:rPr>
          <w:rFonts w:ascii="Arial" w:hAnsi="Arial"/>
          <w:sz w:val="22"/>
        </w:rPr>
      </w:pPr>
    </w:p>
    <w:p w14:paraId="4C228E36" w14:textId="57AB7994" w:rsidR="008B3DE6" w:rsidRDefault="002744D8" w:rsidP="00BE3F24">
      <w:pPr>
        <w:jc w:val="both"/>
        <w:rPr>
          <w:rFonts w:ascii="Arial" w:hAnsi="Arial"/>
          <w:sz w:val="22"/>
        </w:rPr>
      </w:pPr>
      <w:r>
        <w:rPr>
          <w:rFonts w:ascii="Arial" w:hAnsi="Arial"/>
          <w:sz w:val="22"/>
        </w:rPr>
        <w:t xml:space="preserve">Based on the work completed over the last several years and the existing transportation budget, the Pavement </w:t>
      </w:r>
      <w:r w:rsidR="008F207D">
        <w:rPr>
          <w:rFonts w:ascii="Arial" w:hAnsi="Arial"/>
          <w:sz w:val="22"/>
        </w:rPr>
        <w:t xml:space="preserve">and Geotechnical </w:t>
      </w:r>
      <w:r>
        <w:rPr>
          <w:rFonts w:ascii="Arial" w:hAnsi="Arial"/>
          <w:sz w:val="22"/>
        </w:rPr>
        <w:t xml:space="preserve">Division is responsible for approximately </w:t>
      </w:r>
      <w:r w:rsidR="00A12790">
        <w:rPr>
          <w:rFonts w:ascii="Arial" w:hAnsi="Arial"/>
          <w:sz w:val="22"/>
        </w:rPr>
        <w:t>1,</w:t>
      </w:r>
      <w:r w:rsidR="00BB0FD9">
        <w:rPr>
          <w:rFonts w:ascii="Arial" w:hAnsi="Arial"/>
          <w:sz w:val="22"/>
        </w:rPr>
        <w:t>2</w:t>
      </w:r>
      <w:r w:rsidR="00A12790">
        <w:rPr>
          <w:rFonts w:ascii="Arial" w:hAnsi="Arial"/>
          <w:sz w:val="22"/>
        </w:rPr>
        <w:t>00</w:t>
      </w:r>
      <w:r>
        <w:rPr>
          <w:rFonts w:ascii="Arial" w:hAnsi="Arial"/>
          <w:sz w:val="22"/>
        </w:rPr>
        <w:t xml:space="preserve"> design </w:t>
      </w:r>
      <w:r w:rsidR="001C6717">
        <w:rPr>
          <w:rFonts w:ascii="Arial" w:hAnsi="Arial"/>
          <w:sz w:val="22"/>
        </w:rPr>
        <w:t>deliverables</w:t>
      </w:r>
      <w:r>
        <w:rPr>
          <w:rFonts w:ascii="Arial" w:hAnsi="Arial"/>
          <w:sz w:val="22"/>
        </w:rPr>
        <w:t xml:space="preserve"> a year</w:t>
      </w:r>
      <w:r w:rsidR="003A0C52">
        <w:rPr>
          <w:rFonts w:ascii="Arial" w:hAnsi="Arial"/>
          <w:sz w:val="22"/>
        </w:rPr>
        <w:t xml:space="preserve"> for </w:t>
      </w:r>
      <w:r w:rsidR="008C7023">
        <w:rPr>
          <w:rFonts w:ascii="Arial" w:hAnsi="Arial"/>
          <w:sz w:val="22"/>
        </w:rPr>
        <w:t>MDOT-SHA</w:t>
      </w:r>
      <w:r>
        <w:rPr>
          <w:rFonts w:ascii="Arial" w:hAnsi="Arial"/>
          <w:sz w:val="22"/>
        </w:rPr>
        <w:t xml:space="preserve"> projects alone.  </w:t>
      </w:r>
    </w:p>
    <w:p w14:paraId="64B691B8" w14:textId="77777777" w:rsidR="008B3DE6" w:rsidRDefault="008B3DE6" w:rsidP="00BE3F24">
      <w:pPr>
        <w:jc w:val="both"/>
        <w:rPr>
          <w:rFonts w:ascii="Arial" w:hAnsi="Arial"/>
          <w:sz w:val="22"/>
        </w:rPr>
      </w:pPr>
    </w:p>
    <w:p w14:paraId="4B013375" w14:textId="77777777" w:rsidR="002744D8" w:rsidRDefault="002744D8" w:rsidP="00BE3F24">
      <w:pPr>
        <w:jc w:val="both"/>
        <w:rPr>
          <w:rFonts w:ascii="Arial" w:hAnsi="Arial"/>
        </w:rPr>
      </w:pPr>
    </w:p>
    <w:p w14:paraId="081FF3C3" w14:textId="77777777" w:rsidR="002744D8" w:rsidRDefault="002744D8" w:rsidP="00BE3F24">
      <w:pPr>
        <w:rPr>
          <w:rFonts w:ascii="Arial" w:hAnsi="Arial"/>
        </w:rPr>
      </w:pPr>
    </w:p>
    <w:p w14:paraId="4CD734AA" w14:textId="77777777" w:rsidR="002744D8" w:rsidRDefault="002744D8" w:rsidP="00BE3F24">
      <w:pPr>
        <w:rPr>
          <w:rFonts w:ascii="Arial" w:hAnsi="Arial"/>
        </w:rPr>
      </w:pPr>
    </w:p>
    <w:p w14:paraId="770C39C4" w14:textId="77777777" w:rsidR="002744D8" w:rsidRDefault="002744D8" w:rsidP="00BE3F24">
      <w:pPr>
        <w:rPr>
          <w:rFonts w:ascii="Arial" w:hAnsi="Arial"/>
        </w:rPr>
      </w:pPr>
    </w:p>
    <w:p w14:paraId="2B111681" w14:textId="77777777" w:rsidR="002744D8" w:rsidRDefault="002744D8" w:rsidP="00BE3F24">
      <w:pPr>
        <w:rPr>
          <w:rFonts w:ascii="Arial" w:hAnsi="Arial"/>
        </w:rPr>
      </w:pPr>
    </w:p>
    <w:p w14:paraId="499927E8" w14:textId="77777777" w:rsidR="002744D8" w:rsidRDefault="002744D8" w:rsidP="00BE3F24">
      <w:pPr>
        <w:pStyle w:val="Heading1"/>
        <w:ind w:left="0" w:firstLine="0"/>
        <w:sectPr w:rsidR="002744D8" w:rsidSect="00A85335">
          <w:headerReference w:type="default" r:id="rId21"/>
          <w:footerReference w:type="default" r:id="rId22"/>
          <w:pgSz w:w="12240" w:h="15840" w:code="1"/>
          <w:pgMar w:top="1440" w:right="1800" w:bottom="1440" w:left="1800" w:header="432" w:footer="720" w:gutter="0"/>
          <w:pgNumType w:start="1" w:chapStyle="1"/>
          <w:cols w:space="720"/>
          <w:docGrid w:linePitch="272"/>
        </w:sectPr>
      </w:pPr>
    </w:p>
    <w:p w14:paraId="139CCF58" w14:textId="5F0C95E9" w:rsidR="002744D8" w:rsidRDefault="008C7023" w:rsidP="00BE3F24">
      <w:pPr>
        <w:pStyle w:val="Heading2"/>
        <w:ind w:left="0" w:firstLine="0"/>
      </w:pPr>
      <w:bookmarkStart w:id="9" w:name="_MDSHA_Pavement_Design"/>
      <w:bookmarkStart w:id="10" w:name="_Toc479160066"/>
      <w:bookmarkStart w:id="11" w:name="_Toc514057957"/>
      <w:bookmarkStart w:id="12" w:name="_Toc194932351"/>
      <w:bookmarkEnd w:id="9"/>
      <w:r>
        <w:lastRenderedPageBreak/>
        <w:t>MDOT-SHA</w:t>
      </w:r>
      <w:r w:rsidR="002744D8">
        <w:t xml:space="preserve"> Pavement Design Overview</w:t>
      </w:r>
      <w:bookmarkEnd w:id="10"/>
      <w:bookmarkEnd w:id="11"/>
      <w:bookmarkEnd w:id="12"/>
    </w:p>
    <w:p w14:paraId="01CB1134" w14:textId="77777777" w:rsidR="009D1638" w:rsidRDefault="002744D8" w:rsidP="00BE3F24">
      <w:pPr>
        <w:pStyle w:val="BodyText"/>
        <w:spacing w:after="0"/>
        <w:jc w:val="both"/>
      </w:pPr>
      <w:r>
        <w:t xml:space="preserve">The Pavement </w:t>
      </w:r>
      <w:r w:rsidR="00DB685B">
        <w:t xml:space="preserve">and Geotechnical </w:t>
      </w:r>
      <w:r>
        <w:t xml:space="preserve">Division </w:t>
      </w:r>
      <w:r w:rsidR="00B352B9">
        <w:t>is in transition between</w:t>
      </w:r>
      <w:r>
        <w:t xml:space="preserve"> utiliz</w:t>
      </w:r>
      <w:r w:rsidR="00B352B9">
        <w:t>ing</w:t>
      </w:r>
      <w:r>
        <w:t xml:space="preserve"> the 1993 “AASHTO Guide for Design of Pavement Structures</w:t>
      </w:r>
      <w:r w:rsidR="00160E58">
        <w:t xml:space="preserve">” </w:t>
      </w:r>
      <w:r w:rsidR="00B352B9">
        <w:t>(</w:t>
      </w:r>
      <w:r>
        <w:t>and its subsequent revisions</w:t>
      </w:r>
      <w:r w:rsidR="00B352B9">
        <w:t>), Remaining Service Life, and the “Mechanistic-Empirical Pavement Design Guide (MEPDG)” July 2008 Interim Edition</w:t>
      </w:r>
      <w:r>
        <w:t xml:space="preserve"> as the framework for its pavement design procedure.  </w:t>
      </w:r>
    </w:p>
    <w:p w14:paraId="665FAE23" w14:textId="77777777" w:rsidR="009D1638" w:rsidRDefault="009D1638" w:rsidP="00BE3F24">
      <w:pPr>
        <w:pStyle w:val="BodyText"/>
        <w:spacing w:after="0"/>
        <w:jc w:val="both"/>
      </w:pPr>
    </w:p>
    <w:p w14:paraId="7FA86209" w14:textId="291921A8" w:rsidR="009D1638" w:rsidRDefault="002744D8" w:rsidP="00BE3F24">
      <w:pPr>
        <w:pStyle w:val="BodyText"/>
        <w:spacing w:after="0"/>
        <w:jc w:val="both"/>
      </w:pPr>
      <w:r>
        <w:t xml:space="preserve">The </w:t>
      </w:r>
      <w:r w:rsidR="009D1638">
        <w:t xml:space="preserve">1993 </w:t>
      </w:r>
      <w:r>
        <w:t>AASHTO guide document</w:t>
      </w:r>
      <w:r w:rsidR="009D1638">
        <w:t>s</w:t>
      </w:r>
      <w:r>
        <w:t xml:space="preserve"> an empirical procedure based on testing and data collection from the AASHO road test in the late 1950s</w:t>
      </w:r>
      <w:r w:rsidR="002A05E7">
        <w:t>,</w:t>
      </w:r>
      <w:r>
        <w:t xml:space="preserve"> and from subsequent refinements and revisions.  </w:t>
      </w:r>
    </w:p>
    <w:p w14:paraId="79C5E4A2" w14:textId="77777777" w:rsidR="009D1638" w:rsidRDefault="009D1638" w:rsidP="00BE3F24">
      <w:pPr>
        <w:pStyle w:val="BodyText"/>
        <w:spacing w:after="0"/>
      </w:pPr>
    </w:p>
    <w:p w14:paraId="37E11450" w14:textId="442CF316" w:rsidR="009D1638" w:rsidRDefault="009D1638" w:rsidP="00BE3F24">
      <w:pPr>
        <w:pStyle w:val="BodyText"/>
        <w:spacing w:after="0"/>
        <w:jc w:val="both"/>
      </w:pPr>
      <w:r>
        <w:t>Remaining Service Life (RSL) characterizes pavement condition and life in terms of distress types that are collected for the network (i.e.</w:t>
      </w:r>
      <w:r w:rsidR="002A05E7">
        <w:t>,</w:t>
      </w:r>
      <w:r>
        <w:t xml:space="preserve"> ride quality, cracking, rutting</w:t>
      </w:r>
      <w:r w:rsidR="002A05E7">
        <w:t>,</w:t>
      </w:r>
      <w:r>
        <w:t xml:space="preserve"> and skid).  This is used to determine design targets for the pavement engineer, described further in</w:t>
      </w:r>
      <w:r w:rsidR="00AA5174">
        <w:t xml:space="preserve"> </w:t>
      </w:r>
      <w:hyperlink w:anchor="_Design_Input_Policies_1" w:history="1">
        <w:r w:rsidR="00AA5174" w:rsidRPr="00AA5174">
          <w:rPr>
            <w:rStyle w:val="Hyperlink"/>
          </w:rPr>
          <w:t>Design Input Policies</w:t>
        </w:r>
      </w:hyperlink>
      <w:r>
        <w:t>.  It is also used to account for the benefits of pavement preservation treatments.</w:t>
      </w:r>
    </w:p>
    <w:p w14:paraId="50D50579" w14:textId="77777777" w:rsidR="009D1638" w:rsidRDefault="009D1638" w:rsidP="00BE3F24">
      <w:pPr>
        <w:pStyle w:val="BodyText"/>
        <w:spacing w:after="0"/>
        <w:jc w:val="both"/>
      </w:pPr>
    </w:p>
    <w:p w14:paraId="173FC694" w14:textId="77777777" w:rsidR="009D1638" w:rsidRDefault="009D1638" w:rsidP="00BE3F24">
      <w:pPr>
        <w:pStyle w:val="BodyText"/>
        <w:spacing w:after="0"/>
        <w:jc w:val="both"/>
      </w:pPr>
      <w:r>
        <w:t>The 2008 AASHTO MEPDG guide documents a mechanistic-empirical procedure based on several decades of research, and provides a much more complex, but more relevant, approach to pavement design.  The output of MEPDG is also put in measurable terms, such as ride quality and cracking quantities.</w:t>
      </w:r>
    </w:p>
    <w:p w14:paraId="04B1EA85" w14:textId="77777777" w:rsidR="009D1638" w:rsidRDefault="009D1638" w:rsidP="00BE3F24">
      <w:pPr>
        <w:pStyle w:val="BodyText"/>
        <w:spacing w:after="0"/>
        <w:jc w:val="both"/>
      </w:pPr>
    </w:p>
    <w:p w14:paraId="387EA01F" w14:textId="11DFBFDB" w:rsidR="002744D8" w:rsidRDefault="002744D8" w:rsidP="00BE3F24">
      <w:pPr>
        <w:pStyle w:val="BodyText"/>
        <w:spacing w:after="0"/>
        <w:jc w:val="both"/>
      </w:pPr>
      <w:r>
        <w:t xml:space="preserve">The </w:t>
      </w:r>
      <w:r w:rsidR="008C7023">
        <w:t>MDOT-SHA</w:t>
      </w:r>
      <w:r>
        <w:t xml:space="preserve"> Pavement Design Guide utilizes a majority of the AASHTO Guide</w:t>
      </w:r>
      <w:r w:rsidR="009D1638">
        <w:t>s</w:t>
      </w:r>
      <w:r>
        <w:t xml:space="preserve"> for design analysis and has made modifications to that procedure based on local knowledge, available pavement data, material knowledge, past experiences, and knowledge and resource base of pavement engineers. </w:t>
      </w:r>
    </w:p>
    <w:p w14:paraId="6CD19AC1" w14:textId="77777777" w:rsidR="002744D8" w:rsidRDefault="002744D8" w:rsidP="00BE3F24">
      <w:pPr>
        <w:jc w:val="both"/>
        <w:rPr>
          <w:rFonts w:ascii="Arial" w:hAnsi="Arial"/>
          <w:sz w:val="22"/>
        </w:rPr>
      </w:pPr>
    </w:p>
    <w:p w14:paraId="11B9D226" w14:textId="36FB8367" w:rsidR="00C947EA" w:rsidRDefault="002744D8" w:rsidP="00544178">
      <w:pPr>
        <w:spacing w:after="120"/>
        <w:jc w:val="both"/>
        <w:rPr>
          <w:rFonts w:ascii="Arial" w:hAnsi="Arial"/>
          <w:sz w:val="22"/>
        </w:rPr>
      </w:pPr>
      <w:r>
        <w:rPr>
          <w:rFonts w:ascii="Arial" w:hAnsi="Arial"/>
          <w:sz w:val="22"/>
        </w:rPr>
        <w:t xml:space="preserve">In the simplest of terms, the goal of the </w:t>
      </w:r>
      <w:r w:rsidR="008C7023">
        <w:rPr>
          <w:rFonts w:ascii="Arial" w:hAnsi="Arial"/>
          <w:sz w:val="22"/>
        </w:rPr>
        <w:t>MDOT-SHA</w:t>
      </w:r>
      <w:r>
        <w:rPr>
          <w:rFonts w:ascii="Arial" w:hAnsi="Arial"/>
          <w:sz w:val="22"/>
        </w:rPr>
        <w:t xml:space="preserve"> pavement engineer is to assess the structural and functional needs of a roadway and develop pavement </w:t>
      </w:r>
      <w:r w:rsidR="006F3F03">
        <w:rPr>
          <w:rFonts w:ascii="Arial" w:hAnsi="Arial"/>
          <w:sz w:val="22"/>
        </w:rPr>
        <w:t>recommendations</w:t>
      </w:r>
      <w:r>
        <w:rPr>
          <w:rFonts w:ascii="Arial" w:hAnsi="Arial"/>
          <w:sz w:val="22"/>
        </w:rPr>
        <w:t xml:space="preserve"> that will </w:t>
      </w:r>
      <w:r w:rsidR="009D1638">
        <w:rPr>
          <w:rFonts w:ascii="Arial" w:hAnsi="Arial"/>
          <w:sz w:val="22"/>
        </w:rPr>
        <w:t>provide an optimum benefit-to-cost ratio</w:t>
      </w:r>
      <w:r>
        <w:rPr>
          <w:rFonts w:ascii="Arial" w:hAnsi="Arial"/>
          <w:sz w:val="22"/>
        </w:rPr>
        <w:t xml:space="preserve">.  The individual design tasks required to achieve this goal are </w:t>
      </w:r>
      <w:r w:rsidR="009D1638">
        <w:rPr>
          <w:rFonts w:ascii="Arial" w:hAnsi="Arial"/>
          <w:sz w:val="22"/>
        </w:rPr>
        <w:t>quite</w:t>
      </w:r>
      <w:r>
        <w:rPr>
          <w:rFonts w:ascii="Arial" w:hAnsi="Arial"/>
          <w:sz w:val="22"/>
        </w:rPr>
        <w:t xml:space="preserve"> involved.  In order to determine the structural and functional needs of a roadway, specific pavement engineering design tasks need to be accomplished as presented in the following diagram: </w:t>
      </w:r>
    </w:p>
    <w:p w14:paraId="77E1AA3A" w14:textId="2D3DD9DE" w:rsidR="00C947EA" w:rsidRDefault="00C947EA" w:rsidP="00C947EA">
      <w:pPr>
        <w:jc w:val="center"/>
        <w:rPr>
          <w:rFonts w:ascii="Arial" w:hAnsi="Arial"/>
          <w:sz w:val="22"/>
        </w:rPr>
      </w:pPr>
      <w:r>
        <w:rPr>
          <w:rFonts w:ascii="Arial" w:hAnsi="Arial"/>
          <w:noProof/>
          <w:sz w:val="22"/>
        </w:rPr>
        <w:drawing>
          <wp:inline distT="0" distB="0" distL="0" distR="0" wp14:anchorId="38909164" wp14:editId="397FCFB1">
            <wp:extent cx="1813941" cy="2809240"/>
            <wp:effectExtent l="0" t="0" r="0" b="0"/>
            <wp:docPr id="1039269363" name="Picture 338" descr="Pavement Engineering Design Tasks Flow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269363" name="Picture 338" descr="Pavement Engineering Design Tasks Flow Diagram"/>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813941" cy="2809240"/>
                    </a:xfrm>
                    <a:prstGeom prst="rect">
                      <a:avLst/>
                    </a:prstGeom>
                    <a:noFill/>
                  </pic:spPr>
                </pic:pic>
              </a:graphicData>
            </a:graphic>
          </wp:inline>
        </w:drawing>
      </w:r>
    </w:p>
    <w:p w14:paraId="4352ACA1" w14:textId="6E6570F9" w:rsidR="008B14BF" w:rsidRDefault="002744D8" w:rsidP="00BE3F24">
      <w:pPr>
        <w:jc w:val="both"/>
        <w:rPr>
          <w:rFonts w:ascii="Arial" w:hAnsi="Arial"/>
          <w:sz w:val="22"/>
        </w:rPr>
      </w:pPr>
      <w:r>
        <w:rPr>
          <w:rFonts w:ascii="Arial" w:hAnsi="Arial"/>
          <w:sz w:val="22"/>
        </w:rPr>
        <w:lastRenderedPageBreak/>
        <w:t xml:space="preserve">The data collection effort involves th gathering of historical information of the roadway as well as existing pavement and subgrade conditions.  The data collection efforts include the following tasks: records review, site inspections, visual condition survey, functional condition data collection, and structural condition data collection.  </w:t>
      </w:r>
    </w:p>
    <w:p w14:paraId="55B57B59" w14:textId="77777777" w:rsidR="008B14BF" w:rsidRDefault="008B14BF" w:rsidP="00BE3F24">
      <w:pPr>
        <w:jc w:val="both"/>
        <w:rPr>
          <w:rFonts w:ascii="Arial" w:hAnsi="Arial"/>
          <w:sz w:val="22"/>
        </w:rPr>
      </w:pPr>
    </w:p>
    <w:p w14:paraId="2E49DD86" w14:textId="77777777" w:rsidR="008B14BF" w:rsidRDefault="002744D8" w:rsidP="00BE3F24">
      <w:pPr>
        <w:jc w:val="both"/>
        <w:rPr>
          <w:rFonts w:ascii="Arial" w:hAnsi="Arial"/>
          <w:sz w:val="22"/>
        </w:rPr>
      </w:pPr>
      <w:r>
        <w:rPr>
          <w:rFonts w:ascii="Arial" w:hAnsi="Arial"/>
          <w:sz w:val="22"/>
        </w:rPr>
        <w:t>The data analysis efforts involve assessing the functional and structural condition of the existing roadway and subgrade in terms</w:t>
      </w:r>
      <w:r w:rsidR="006F3F03">
        <w:rPr>
          <w:rFonts w:ascii="Arial" w:hAnsi="Arial"/>
          <w:sz w:val="22"/>
        </w:rPr>
        <w:t xml:space="preserve"> of</w:t>
      </w:r>
      <w:r>
        <w:rPr>
          <w:rFonts w:ascii="Arial" w:hAnsi="Arial"/>
          <w:sz w:val="22"/>
        </w:rPr>
        <w:t xml:space="preserve"> useful life for design and material selection tasks.   Data analysis efforts include identifying uniform section</w:t>
      </w:r>
      <w:r w:rsidR="008B14BF">
        <w:rPr>
          <w:rFonts w:ascii="Arial" w:hAnsi="Arial"/>
          <w:sz w:val="22"/>
        </w:rPr>
        <w:t>s</w:t>
      </w:r>
      <w:r>
        <w:rPr>
          <w:rFonts w:ascii="Arial" w:hAnsi="Arial"/>
          <w:sz w:val="22"/>
        </w:rPr>
        <w:t xml:space="preserve">, material strengths, existing distress types, and the existing pavement performance.  </w:t>
      </w:r>
    </w:p>
    <w:p w14:paraId="62C42F80" w14:textId="77777777" w:rsidR="008B14BF" w:rsidRDefault="008B14BF" w:rsidP="00BE3F24">
      <w:pPr>
        <w:jc w:val="both"/>
        <w:rPr>
          <w:rFonts w:ascii="Arial" w:hAnsi="Arial"/>
          <w:sz w:val="22"/>
        </w:rPr>
      </w:pPr>
    </w:p>
    <w:p w14:paraId="1B5F28D4" w14:textId="77777777" w:rsidR="008B14BF" w:rsidRDefault="002744D8" w:rsidP="00BE3F24">
      <w:pPr>
        <w:jc w:val="both"/>
        <w:rPr>
          <w:rFonts w:ascii="Arial" w:hAnsi="Arial"/>
          <w:sz w:val="22"/>
        </w:rPr>
      </w:pPr>
      <w:r>
        <w:rPr>
          <w:rFonts w:ascii="Arial" w:hAnsi="Arial"/>
          <w:sz w:val="22"/>
        </w:rPr>
        <w:t xml:space="preserve">Developing </w:t>
      </w:r>
      <w:r w:rsidR="008B14BF">
        <w:rPr>
          <w:rFonts w:ascii="Arial" w:hAnsi="Arial"/>
          <w:sz w:val="22"/>
        </w:rPr>
        <w:t>treatment options</w:t>
      </w:r>
      <w:r>
        <w:rPr>
          <w:rFonts w:ascii="Arial" w:hAnsi="Arial"/>
          <w:sz w:val="22"/>
        </w:rPr>
        <w:t xml:space="preserve"> involves </w:t>
      </w:r>
      <w:r w:rsidR="008B14BF">
        <w:rPr>
          <w:rFonts w:ascii="Arial" w:hAnsi="Arial"/>
          <w:sz w:val="22"/>
        </w:rPr>
        <w:t>identifying</w:t>
      </w:r>
      <w:r>
        <w:rPr>
          <w:rFonts w:ascii="Arial" w:hAnsi="Arial"/>
          <w:sz w:val="22"/>
        </w:rPr>
        <w:t xml:space="preserve"> </w:t>
      </w:r>
      <w:r w:rsidR="008B14BF">
        <w:rPr>
          <w:rFonts w:ascii="Arial" w:hAnsi="Arial"/>
          <w:sz w:val="22"/>
        </w:rPr>
        <w:t>preservation</w:t>
      </w:r>
      <w:r>
        <w:rPr>
          <w:rFonts w:ascii="Arial" w:hAnsi="Arial"/>
          <w:sz w:val="22"/>
        </w:rPr>
        <w:t xml:space="preserve"> and rehabilitation techniques to correct existing distress types and meet the structural and functional demands of the roadway.  </w:t>
      </w:r>
    </w:p>
    <w:p w14:paraId="2CAE1300" w14:textId="77777777" w:rsidR="008B14BF" w:rsidRDefault="008B14BF" w:rsidP="00BE3F24">
      <w:pPr>
        <w:jc w:val="both"/>
        <w:rPr>
          <w:rFonts w:ascii="Arial" w:hAnsi="Arial"/>
          <w:sz w:val="22"/>
        </w:rPr>
      </w:pPr>
    </w:p>
    <w:p w14:paraId="2D1BB381" w14:textId="45CA7083" w:rsidR="002744D8" w:rsidRDefault="002744D8" w:rsidP="00BE3F24">
      <w:pPr>
        <w:jc w:val="both"/>
        <w:rPr>
          <w:rFonts w:ascii="Arial" w:hAnsi="Arial"/>
          <w:sz w:val="22"/>
        </w:rPr>
      </w:pPr>
      <w:r>
        <w:rPr>
          <w:rFonts w:ascii="Arial" w:hAnsi="Arial"/>
          <w:sz w:val="22"/>
        </w:rPr>
        <w:t xml:space="preserve">The selection of a </w:t>
      </w:r>
      <w:r w:rsidR="008B14BF">
        <w:rPr>
          <w:rFonts w:ascii="Arial" w:hAnsi="Arial"/>
          <w:sz w:val="22"/>
        </w:rPr>
        <w:t xml:space="preserve">preservation or </w:t>
      </w:r>
      <w:r>
        <w:rPr>
          <w:rFonts w:ascii="Arial" w:hAnsi="Arial"/>
          <w:sz w:val="22"/>
        </w:rPr>
        <w:t xml:space="preserve">rehabilitation strategy for construction is based on the most effective engineering design considering cost to </w:t>
      </w:r>
      <w:r w:rsidR="008C7023">
        <w:rPr>
          <w:rFonts w:ascii="Arial" w:hAnsi="Arial"/>
          <w:sz w:val="22"/>
        </w:rPr>
        <w:t>MDOT-SHA</w:t>
      </w:r>
      <w:r>
        <w:rPr>
          <w:rFonts w:ascii="Arial" w:hAnsi="Arial"/>
          <w:sz w:val="22"/>
        </w:rPr>
        <w:t>, practicality of construction, and benefit in terms of</w:t>
      </w:r>
      <w:r w:rsidR="006F3F03">
        <w:rPr>
          <w:rFonts w:ascii="Arial" w:hAnsi="Arial"/>
          <w:sz w:val="22"/>
        </w:rPr>
        <w:t xml:space="preserve"> life extension </w:t>
      </w:r>
      <w:r>
        <w:rPr>
          <w:rFonts w:ascii="Arial" w:hAnsi="Arial"/>
          <w:sz w:val="22"/>
        </w:rPr>
        <w:t xml:space="preserve">provided to the </w:t>
      </w:r>
      <w:r w:rsidR="008C7023">
        <w:rPr>
          <w:rFonts w:ascii="Arial" w:hAnsi="Arial"/>
          <w:sz w:val="22"/>
        </w:rPr>
        <w:t>MDOT-SHA</w:t>
      </w:r>
      <w:r>
        <w:rPr>
          <w:rFonts w:ascii="Arial" w:hAnsi="Arial"/>
          <w:sz w:val="22"/>
        </w:rPr>
        <w:t xml:space="preserve"> pavement network. </w:t>
      </w:r>
    </w:p>
    <w:p w14:paraId="1AC220CD" w14:textId="77777777" w:rsidR="002744D8" w:rsidRDefault="002744D8" w:rsidP="00BE3F24">
      <w:pPr>
        <w:rPr>
          <w:rFonts w:ascii="Arial" w:hAnsi="Arial"/>
          <w:sz w:val="22"/>
        </w:rPr>
      </w:pPr>
    </w:p>
    <w:p w14:paraId="24711025" w14:textId="77777777" w:rsidR="002744D8" w:rsidRDefault="002744D8" w:rsidP="00BE3F24">
      <w:pPr>
        <w:jc w:val="both"/>
        <w:rPr>
          <w:rFonts w:ascii="Arial" w:hAnsi="Arial"/>
          <w:sz w:val="22"/>
        </w:rPr>
      </w:pPr>
      <w:r>
        <w:rPr>
          <w:rFonts w:ascii="Arial" w:hAnsi="Arial"/>
          <w:sz w:val="22"/>
        </w:rPr>
        <w:t xml:space="preserve">The material selection portion of this pavement design overview requires knowledge of the existing pavement materials available in specific regions of </w:t>
      </w:r>
      <w:smartTag w:uri="urn:schemas-microsoft-com:office:smarttags" w:element="State">
        <w:smartTag w:uri="urn:schemas-microsoft-com:office:smarttags" w:element="place">
          <w:r>
            <w:rPr>
              <w:rFonts w:ascii="Arial" w:hAnsi="Arial"/>
              <w:sz w:val="22"/>
            </w:rPr>
            <w:t>Maryland</w:t>
          </w:r>
        </w:smartTag>
      </w:smartTag>
      <w:r>
        <w:rPr>
          <w:rFonts w:ascii="Arial" w:hAnsi="Arial"/>
          <w:sz w:val="22"/>
        </w:rPr>
        <w:t xml:space="preserve">.  A significant amount of effort has been completed to develop policies in this guide for material selection.  These policies are intended to keep recommendations and material selection consistent across different pavement design engineers and maintain consistency with current construction issues and concerns.  These policies are intended to take into account the different environmental conditions across the state, material availability, material costs, predicted material performance, existing material performance, traffic conditions, and functional use of the roadway in the future.    </w:t>
      </w:r>
    </w:p>
    <w:p w14:paraId="208533B6" w14:textId="77777777" w:rsidR="002744D8" w:rsidRDefault="002744D8" w:rsidP="00BE3F24">
      <w:pPr>
        <w:rPr>
          <w:rFonts w:ascii="Arial" w:hAnsi="Arial"/>
        </w:rPr>
      </w:pPr>
    </w:p>
    <w:p w14:paraId="311D7F8C" w14:textId="77777777" w:rsidR="002744D8" w:rsidRDefault="002744D8" w:rsidP="00BE3F24">
      <w:pPr>
        <w:rPr>
          <w:rFonts w:ascii="Arial" w:hAnsi="Arial"/>
        </w:rPr>
      </w:pPr>
    </w:p>
    <w:p w14:paraId="53B2DAB3" w14:textId="77777777" w:rsidR="002744D8" w:rsidRDefault="002744D8" w:rsidP="00BE3F24">
      <w:pPr>
        <w:rPr>
          <w:rFonts w:ascii="Arial" w:hAnsi="Arial"/>
        </w:rPr>
      </w:pPr>
    </w:p>
    <w:p w14:paraId="0F7CF1C0" w14:textId="77777777" w:rsidR="002744D8" w:rsidRDefault="002744D8" w:rsidP="00BE3F24">
      <w:pPr>
        <w:rPr>
          <w:rFonts w:ascii="Arial" w:hAnsi="Arial"/>
        </w:rPr>
      </w:pPr>
    </w:p>
    <w:p w14:paraId="47531BBB" w14:textId="77777777" w:rsidR="002744D8" w:rsidRDefault="002744D8" w:rsidP="00BE3F24">
      <w:pPr>
        <w:rPr>
          <w:rFonts w:ascii="Arial" w:hAnsi="Arial"/>
        </w:rPr>
      </w:pPr>
    </w:p>
    <w:p w14:paraId="5A5BABA0" w14:textId="77777777" w:rsidR="002744D8" w:rsidRDefault="002744D8" w:rsidP="00BE3F24">
      <w:pPr>
        <w:rPr>
          <w:rFonts w:ascii="Arial" w:hAnsi="Arial"/>
        </w:rPr>
      </w:pPr>
    </w:p>
    <w:p w14:paraId="09D3F909" w14:textId="77777777" w:rsidR="002744D8" w:rsidRDefault="002744D8" w:rsidP="00BE3F24">
      <w:pPr>
        <w:rPr>
          <w:rFonts w:ascii="Arial" w:hAnsi="Arial"/>
        </w:rPr>
      </w:pPr>
    </w:p>
    <w:p w14:paraId="240594EE" w14:textId="77777777" w:rsidR="002744D8" w:rsidRDefault="002744D8" w:rsidP="00BE3F24">
      <w:pPr>
        <w:rPr>
          <w:rFonts w:ascii="Arial" w:hAnsi="Arial"/>
        </w:rPr>
      </w:pPr>
    </w:p>
    <w:p w14:paraId="052F2CF4" w14:textId="77777777" w:rsidR="002744D8" w:rsidRDefault="002744D8" w:rsidP="00BE3F24">
      <w:pPr>
        <w:rPr>
          <w:rFonts w:ascii="Arial" w:hAnsi="Arial"/>
        </w:rPr>
      </w:pPr>
    </w:p>
    <w:p w14:paraId="7DDC52D8" w14:textId="77777777" w:rsidR="002744D8" w:rsidRDefault="002744D8" w:rsidP="00BE3F24">
      <w:pPr>
        <w:rPr>
          <w:rFonts w:ascii="Arial" w:hAnsi="Arial"/>
        </w:rPr>
      </w:pPr>
    </w:p>
    <w:p w14:paraId="0863303E" w14:textId="77777777" w:rsidR="002744D8" w:rsidRDefault="002744D8" w:rsidP="00BE3F24">
      <w:pPr>
        <w:rPr>
          <w:rFonts w:ascii="Arial" w:hAnsi="Arial"/>
        </w:rPr>
      </w:pPr>
    </w:p>
    <w:p w14:paraId="603E7318" w14:textId="77777777" w:rsidR="002744D8" w:rsidRDefault="002744D8" w:rsidP="00BE3F24">
      <w:pPr>
        <w:rPr>
          <w:rFonts w:ascii="Arial" w:hAnsi="Arial"/>
        </w:rPr>
      </w:pPr>
    </w:p>
    <w:p w14:paraId="56D23EE0" w14:textId="77777777" w:rsidR="002744D8" w:rsidRDefault="002744D8" w:rsidP="00BE3F24">
      <w:pPr>
        <w:rPr>
          <w:rFonts w:ascii="Arial" w:hAnsi="Arial"/>
        </w:rPr>
      </w:pPr>
    </w:p>
    <w:p w14:paraId="5AC30B70" w14:textId="77777777" w:rsidR="002744D8" w:rsidRDefault="002744D8" w:rsidP="00BE3F24">
      <w:pPr>
        <w:rPr>
          <w:rFonts w:ascii="Arial" w:hAnsi="Arial"/>
        </w:rPr>
      </w:pPr>
    </w:p>
    <w:p w14:paraId="079AAF64" w14:textId="77777777" w:rsidR="002744D8" w:rsidRDefault="002744D8" w:rsidP="00BE3F24">
      <w:pPr>
        <w:rPr>
          <w:rFonts w:ascii="Arial" w:hAnsi="Arial"/>
        </w:rPr>
      </w:pPr>
    </w:p>
    <w:p w14:paraId="544751CA" w14:textId="77777777" w:rsidR="002744D8" w:rsidRDefault="002744D8" w:rsidP="00BE3F24">
      <w:pPr>
        <w:rPr>
          <w:rFonts w:ascii="Arial" w:hAnsi="Arial"/>
        </w:rPr>
      </w:pPr>
    </w:p>
    <w:p w14:paraId="4F1990A4" w14:textId="77777777" w:rsidR="002744D8" w:rsidRDefault="002744D8" w:rsidP="00BE3F24">
      <w:pPr>
        <w:rPr>
          <w:rFonts w:ascii="Arial" w:hAnsi="Arial"/>
        </w:rPr>
      </w:pPr>
    </w:p>
    <w:p w14:paraId="22CED0C0" w14:textId="77777777" w:rsidR="002744D8" w:rsidRDefault="002744D8" w:rsidP="00BE3F24">
      <w:pPr>
        <w:rPr>
          <w:rFonts w:ascii="Arial" w:hAnsi="Arial"/>
        </w:rPr>
      </w:pPr>
    </w:p>
    <w:p w14:paraId="732B222D" w14:textId="77777777" w:rsidR="002744D8" w:rsidRDefault="002744D8" w:rsidP="00BE3F24">
      <w:pPr>
        <w:rPr>
          <w:rFonts w:ascii="Arial" w:hAnsi="Arial"/>
        </w:rPr>
      </w:pPr>
    </w:p>
    <w:p w14:paraId="58CAFCAD" w14:textId="77777777" w:rsidR="002744D8" w:rsidRDefault="002744D8" w:rsidP="00BE3F24">
      <w:pPr>
        <w:rPr>
          <w:rFonts w:ascii="Arial" w:hAnsi="Arial"/>
        </w:rPr>
      </w:pPr>
    </w:p>
    <w:p w14:paraId="7E4C5B13" w14:textId="77777777" w:rsidR="002744D8" w:rsidRDefault="002744D8" w:rsidP="00BE3F24">
      <w:pPr>
        <w:rPr>
          <w:rFonts w:ascii="Arial" w:hAnsi="Arial"/>
        </w:rPr>
      </w:pPr>
      <w:r>
        <w:rPr>
          <w:rFonts w:ascii="Arial" w:hAnsi="Arial"/>
        </w:rPr>
        <w:t xml:space="preserve"> </w:t>
      </w:r>
    </w:p>
    <w:p w14:paraId="524EED20" w14:textId="77777777" w:rsidR="002744D8" w:rsidRDefault="002744D8" w:rsidP="00BE3F24">
      <w:pPr>
        <w:rPr>
          <w:rFonts w:ascii="Arial" w:hAnsi="Arial"/>
        </w:rPr>
        <w:sectPr w:rsidR="002744D8" w:rsidSect="00466A64">
          <w:headerReference w:type="default" r:id="rId24"/>
          <w:footerReference w:type="default" r:id="rId25"/>
          <w:pgSz w:w="12240" w:h="15840"/>
          <w:pgMar w:top="1440" w:right="1800" w:bottom="1440" w:left="1800" w:header="720" w:footer="720" w:gutter="0"/>
          <w:pgNumType w:chapStyle="1"/>
          <w:cols w:space="720"/>
          <w:docGrid w:linePitch="272"/>
        </w:sectPr>
      </w:pPr>
    </w:p>
    <w:p w14:paraId="38EBBCF7" w14:textId="0646023B" w:rsidR="002744D8" w:rsidRDefault="00160E58" w:rsidP="00BE3F24">
      <w:pPr>
        <w:pStyle w:val="Heading1"/>
        <w:ind w:left="0" w:firstLine="0"/>
      </w:pPr>
      <w:bookmarkStart w:id="13" w:name="_Pavement_Design_Procedures"/>
      <w:bookmarkStart w:id="14" w:name="_Preliminary_Procedures"/>
      <w:bookmarkStart w:id="15" w:name="_Toc479160067"/>
      <w:bookmarkStart w:id="16" w:name="_Toc514057958"/>
      <w:bookmarkStart w:id="17" w:name="_Toc194932352"/>
      <w:bookmarkEnd w:id="13"/>
      <w:bookmarkEnd w:id="14"/>
      <w:r>
        <w:lastRenderedPageBreak/>
        <w:t>Preliminary Proce</w:t>
      </w:r>
      <w:r w:rsidR="002744D8">
        <w:t>dures</w:t>
      </w:r>
      <w:bookmarkEnd w:id="15"/>
      <w:bookmarkEnd w:id="16"/>
      <w:bookmarkEnd w:id="17"/>
    </w:p>
    <w:p w14:paraId="46BD2F7D" w14:textId="59603481" w:rsidR="008F604D" w:rsidRDefault="00160E58" w:rsidP="00BE3F24">
      <w:pPr>
        <w:pStyle w:val="Heading2"/>
        <w:ind w:left="0" w:firstLine="0"/>
      </w:pPr>
      <w:bookmarkStart w:id="18" w:name="_Initial_Communication_with"/>
      <w:bookmarkStart w:id="19" w:name="_Toc479160068"/>
      <w:bookmarkStart w:id="20" w:name="_Toc514057959"/>
      <w:bookmarkStart w:id="21" w:name="_Toc194932353"/>
      <w:bookmarkEnd w:id="18"/>
      <w:r w:rsidRPr="00160E58">
        <w:t>Initial Communication with Requesting Office</w:t>
      </w:r>
      <w:bookmarkEnd w:id="19"/>
      <w:bookmarkEnd w:id="20"/>
      <w:bookmarkEnd w:id="21"/>
    </w:p>
    <w:p w14:paraId="62D3AD7E" w14:textId="5DB6A703" w:rsidR="00160E58" w:rsidRDefault="008F604D" w:rsidP="003A343F">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OMT_Internal_Meetings" w:history="1">
        <w:r w:rsidRPr="008F604D">
          <w:rPr>
            <w:rStyle w:val="Hyperlink"/>
            <w:rFonts w:ascii="Arial" w:hAnsi="Arial" w:cs="Arial"/>
            <w:bCs/>
            <w:sz w:val="16"/>
            <w:szCs w:val="16"/>
          </w:rPr>
          <w:t>OMT Internal Meetings (OMT P</w:t>
        </w:r>
        <w:r w:rsidR="002379C4">
          <w:rPr>
            <w:rStyle w:val="Hyperlink"/>
            <w:rFonts w:ascii="Arial" w:hAnsi="Arial" w:cs="Arial"/>
            <w:bCs/>
            <w:sz w:val="16"/>
            <w:szCs w:val="16"/>
          </w:rPr>
          <w:t xml:space="preserve">roject </w:t>
        </w:r>
        <w:r w:rsidRPr="008F604D">
          <w:rPr>
            <w:rStyle w:val="Hyperlink"/>
            <w:rFonts w:ascii="Arial" w:hAnsi="Arial" w:cs="Arial"/>
            <w:bCs/>
            <w:sz w:val="16"/>
            <w:szCs w:val="16"/>
          </w:rPr>
          <w:t>I</w:t>
        </w:r>
        <w:r w:rsidR="002379C4">
          <w:rPr>
            <w:rStyle w:val="Hyperlink"/>
            <w:rFonts w:ascii="Arial" w:hAnsi="Arial" w:cs="Arial"/>
            <w:bCs/>
            <w:sz w:val="16"/>
            <w:szCs w:val="16"/>
          </w:rPr>
          <w:t>nitiation</w:t>
        </w:r>
        <w:r w:rsidRPr="008F604D">
          <w:rPr>
            <w:rStyle w:val="Hyperlink"/>
            <w:rFonts w:ascii="Arial" w:hAnsi="Arial" w:cs="Arial"/>
            <w:bCs/>
            <w:sz w:val="16"/>
            <w:szCs w:val="16"/>
          </w:rPr>
          <w:t>)</w:t>
        </w:r>
      </w:hyperlink>
      <w:r w:rsidR="00800A99">
        <w:t xml:space="preserve"> </w:t>
      </w:r>
    </w:p>
    <w:p w14:paraId="6DB3A7DE" w14:textId="77777777" w:rsidR="007E1D5E" w:rsidRPr="008F604D" w:rsidRDefault="007E1D5E" w:rsidP="007E1D5E">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reliminary_Engineering_Cost" w:history="1">
        <w:r w:rsidRPr="007E1D5E">
          <w:rPr>
            <w:rStyle w:val="Hyperlink"/>
            <w:rFonts w:ascii="Arial" w:hAnsi="Arial" w:cs="Arial"/>
            <w:bCs/>
            <w:sz w:val="16"/>
            <w:szCs w:val="16"/>
          </w:rPr>
          <w:t>Preliminary Engineering Cost Estimate</w:t>
        </w:r>
      </w:hyperlink>
    </w:p>
    <w:p w14:paraId="203BDB79" w14:textId="7393227F" w:rsidR="00836AD9" w:rsidRDefault="00836AD9" w:rsidP="00836AD9">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ests_For_Geotechnical_1" w:history="1">
        <w:r w:rsidRPr="00836AD9">
          <w:rPr>
            <w:rStyle w:val="Hyperlink"/>
            <w:rFonts w:ascii="Arial" w:hAnsi="Arial" w:cs="Arial"/>
            <w:bCs/>
            <w:sz w:val="16"/>
            <w:szCs w:val="16"/>
          </w:rPr>
          <w:t xml:space="preserve">Requests </w:t>
        </w:r>
        <w:r w:rsidR="00293210">
          <w:rPr>
            <w:rStyle w:val="Hyperlink"/>
            <w:rFonts w:ascii="Arial" w:hAnsi="Arial" w:cs="Arial"/>
            <w:bCs/>
            <w:sz w:val="16"/>
            <w:szCs w:val="16"/>
          </w:rPr>
          <w:t>f</w:t>
        </w:r>
        <w:r w:rsidRPr="00836AD9">
          <w:rPr>
            <w:rStyle w:val="Hyperlink"/>
            <w:rFonts w:ascii="Arial" w:hAnsi="Arial" w:cs="Arial"/>
            <w:bCs/>
            <w:sz w:val="16"/>
            <w:szCs w:val="16"/>
          </w:rPr>
          <w:t xml:space="preserve">or Geotechnical Field </w:t>
        </w:r>
        <w:r w:rsidR="002A05E7">
          <w:rPr>
            <w:rStyle w:val="Hyperlink"/>
            <w:rFonts w:ascii="Arial" w:hAnsi="Arial" w:cs="Arial"/>
            <w:bCs/>
            <w:sz w:val="16"/>
            <w:szCs w:val="16"/>
          </w:rPr>
          <w:t>W</w:t>
        </w:r>
        <w:r w:rsidRPr="00836AD9">
          <w:rPr>
            <w:rStyle w:val="Hyperlink"/>
            <w:rFonts w:ascii="Arial" w:hAnsi="Arial" w:cs="Arial"/>
            <w:bCs/>
            <w:sz w:val="16"/>
            <w:szCs w:val="16"/>
          </w:rPr>
          <w:t>ork</w:t>
        </w:r>
      </w:hyperlink>
    </w:p>
    <w:p w14:paraId="335F731F" w14:textId="77777777" w:rsidR="002D6703" w:rsidRDefault="002D6703" w:rsidP="00836AD9">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6FD02EA5" w14:textId="77777777" w:rsidR="003C5A72" w:rsidRDefault="003C5A72" w:rsidP="003C5A7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Preservation_&amp;" w:history="1">
        <w:r w:rsidRPr="003C5A72">
          <w:rPr>
            <w:rStyle w:val="Hyperlink"/>
            <w:rFonts w:ascii="Arial" w:hAnsi="Arial" w:cs="Arial"/>
            <w:bCs/>
            <w:sz w:val="16"/>
            <w:szCs w:val="16"/>
          </w:rPr>
          <w:t>Pavement Preservation &amp; Rehabilitation Design</w:t>
        </w:r>
      </w:hyperlink>
    </w:p>
    <w:p w14:paraId="209A6D99" w14:textId="77777777" w:rsidR="003A343F" w:rsidRDefault="003A343F" w:rsidP="003A343F">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reliminary_Pavement_Recommendation" w:history="1">
        <w:r w:rsidRPr="003A343F">
          <w:rPr>
            <w:rStyle w:val="Hyperlink"/>
            <w:rFonts w:ascii="Arial" w:hAnsi="Arial" w:cs="Arial"/>
            <w:bCs/>
            <w:sz w:val="16"/>
            <w:szCs w:val="16"/>
          </w:rPr>
          <w:t>Preliminary Pavement Recommendation</w:t>
        </w:r>
      </w:hyperlink>
    </w:p>
    <w:p w14:paraId="5F6B5195" w14:textId="77777777" w:rsidR="001F32D3" w:rsidRDefault="001F32D3" w:rsidP="001F32D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2" w:history="1">
        <w:r w:rsidRPr="001F32D3">
          <w:rPr>
            <w:rStyle w:val="Hyperlink"/>
            <w:rFonts w:ascii="Arial" w:hAnsi="Arial" w:cs="Arial"/>
            <w:bCs/>
            <w:sz w:val="16"/>
            <w:szCs w:val="16"/>
          </w:rPr>
          <w:t>New Pavement Design Using AASHTO 1993</w:t>
        </w:r>
      </w:hyperlink>
    </w:p>
    <w:p w14:paraId="3325BA84" w14:textId="77777777" w:rsidR="00707989" w:rsidRPr="008F604D"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49711752" w14:textId="77777777" w:rsidR="00D51344" w:rsidRDefault="00D51344" w:rsidP="00BE3F24">
      <w:pPr>
        <w:pStyle w:val="Heading3"/>
        <w:ind w:left="0" w:firstLine="0"/>
      </w:pPr>
      <w:r>
        <w:t>General</w:t>
      </w:r>
    </w:p>
    <w:p w14:paraId="12987591" w14:textId="6E9F463D" w:rsidR="00D51344" w:rsidRDefault="00D51344" w:rsidP="00182974">
      <w:pPr>
        <w:jc w:val="both"/>
        <w:rPr>
          <w:rFonts w:ascii="Arial" w:hAnsi="Arial" w:cs="Arial"/>
          <w:sz w:val="22"/>
          <w:szCs w:val="22"/>
        </w:rPr>
      </w:pPr>
      <w:r w:rsidRPr="00D51344">
        <w:rPr>
          <w:rFonts w:ascii="Arial" w:hAnsi="Arial" w:cs="Arial"/>
          <w:sz w:val="22"/>
          <w:szCs w:val="22"/>
        </w:rPr>
        <w:t xml:space="preserve">This section outlines the types of communication that are expected </w:t>
      </w:r>
      <w:r w:rsidR="002A05E7">
        <w:rPr>
          <w:rFonts w:ascii="Arial" w:hAnsi="Arial" w:cs="Arial"/>
          <w:sz w:val="22"/>
          <w:szCs w:val="22"/>
        </w:rPr>
        <w:t>b</w:t>
      </w:r>
      <w:r w:rsidR="00664B42">
        <w:rPr>
          <w:rFonts w:ascii="Arial" w:hAnsi="Arial" w:cs="Arial"/>
          <w:sz w:val="22"/>
          <w:szCs w:val="22"/>
        </w:rPr>
        <w:t>etween</w:t>
      </w:r>
      <w:r w:rsidR="002A05E7">
        <w:rPr>
          <w:rFonts w:ascii="Arial" w:hAnsi="Arial" w:cs="Arial"/>
          <w:sz w:val="22"/>
          <w:szCs w:val="22"/>
        </w:rPr>
        <w:t xml:space="preserve"> </w:t>
      </w:r>
      <w:r w:rsidRPr="00D51344">
        <w:rPr>
          <w:rFonts w:ascii="Arial" w:hAnsi="Arial" w:cs="Arial"/>
          <w:sz w:val="22"/>
          <w:szCs w:val="22"/>
        </w:rPr>
        <w:t>the PAGD Engineer and the other offices/agencies/divisions at the time the project/request is received to make sure the project progresses smoothly. This section addresses only the initial communication (i.e.</w:t>
      </w:r>
      <w:r w:rsidR="002A05E7">
        <w:rPr>
          <w:rFonts w:ascii="Arial" w:hAnsi="Arial" w:cs="Arial"/>
          <w:sz w:val="22"/>
          <w:szCs w:val="22"/>
        </w:rPr>
        <w:t>,</w:t>
      </w:r>
      <w:r w:rsidRPr="00D51344">
        <w:rPr>
          <w:rFonts w:ascii="Arial" w:hAnsi="Arial" w:cs="Arial"/>
          <w:sz w:val="22"/>
          <w:szCs w:val="22"/>
        </w:rPr>
        <w:t xml:space="preserve"> </w:t>
      </w:r>
      <w:r w:rsidR="002A05E7">
        <w:rPr>
          <w:rFonts w:ascii="Arial" w:hAnsi="Arial" w:cs="Arial"/>
          <w:sz w:val="22"/>
          <w:szCs w:val="22"/>
        </w:rPr>
        <w:t>f</w:t>
      </w:r>
      <w:r w:rsidRPr="00D51344">
        <w:rPr>
          <w:rFonts w:ascii="Arial" w:hAnsi="Arial" w:cs="Arial"/>
          <w:sz w:val="22"/>
          <w:szCs w:val="22"/>
        </w:rPr>
        <w:t>irst conversation/correspondence) with the lead office.  Other communication requirements are addressed in other sections of this guide.</w:t>
      </w:r>
    </w:p>
    <w:p w14:paraId="4FCC7F41" w14:textId="77777777" w:rsidR="00BE43C5" w:rsidRPr="00D51344" w:rsidRDefault="00BE43C5" w:rsidP="00182974">
      <w:pPr>
        <w:jc w:val="both"/>
        <w:rPr>
          <w:rFonts w:ascii="Arial" w:hAnsi="Arial" w:cs="Arial"/>
          <w:sz w:val="22"/>
          <w:szCs w:val="22"/>
        </w:rPr>
      </w:pPr>
    </w:p>
    <w:p w14:paraId="7DE2E7CE" w14:textId="77777777" w:rsidR="00D51344" w:rsidRPr="00D51344" w:rsidRDefault="00D51344" w:rsidP="00182974">
      <w:pPr>
        <w:jc w:val="both"/>
        <w:rPr>
          <w:rFonts w:ascii="Arial" w:hAnsi="Arial" w:cs="Arial"/>
          <w:sz w:val="22"/>
          <w:szCs w:val="22"/>
        </w:rPr>
      </w:pPr>
      <w:r w:rsidRPr="00D51344">
        <w:rPr>
          <w:rFonts w:ascii="Arial" w:hAnsi="Arial" w:cs="Arial"/>
          <w:sz w:val="22"/>
          <w:szCs w:val="22"/>
        </w:rPr>
        <w:t xml:space="preserve">Good communication between the PAGD Engineer and the Project Manager (PM) and other divisions/personnel involved helps avoid misunderstanding between the agencies involved. </w:t>
      </w:r>
    </w:p>
    <w:p w14:paraId="04E3C985" w14:textId="77777777" w:rsidR="00D51344" w:rsidRDefault="00D51344" w:rsidP="00182974">
      <w:pPr>
        <w:pStyle w:val="Heading3"/>
        <w:ind w:left="0" w:firstLine="0"/>
      </w:pPr>
      <w:r>
        <w:t>Purpose</w:t>
      </w:r>
    </w:p>
    <w:p w14:paraId="31B69436" w14:textId="77777777" w:rsidR="00D51344" w:rsidRDefault="00D51344" w:rsidP="00BE3F24">
      <w:pPr>
        <w:pStyle w:val="BodyText"/>
        <w:jc w:val="both"/>
      </w:pPr>
      <w:r>
        <w:t>Good communication for the project is needed to:</w:t>
      </w:r>
    </w:p>
    <w:p w14:paraId="4460AB7E" w14:textId="6F5685C6" w:rsidR="00D51344" w:rsidRDefault="002A05E7" w:rsidP="00E65AD5">
      <w:pPr>
        <w:pStyle w:val="ListNumber"/>
        <w:numPr>
          <w:ilvl w:val="0"/>
          <w:numId w:val="33"/>
        </w:numPr>
        <w:tabs>
          <w:tab w:val="clear" w:pos="1872"/>
        </w:tabs>
        <w:spacing w:before="0"/>
        <w:ind w:left="720" w:hanging="720"/>
        <w:jc w:val="both"/>
      </w:pPr>
      <w:r>
        <w:t>K</w:t>
      </w:r>
      <w:r w:rsidR="00D51344">
        <w:t>eep all the involved offices/agencies/divisions updated regarding the main project contact, progress</w:t>
      </w:r>
      <w:r w:rsidR="00D141FF">
        <w:t>,</w:t>
      </w:r>
      <w:r w:rsidR="00D51344">
        <w:t xml:space="preserve"> and issues regarding the project</w:t>
      </w:r>
    </w:p>
    <w:p w14:paraId="4B9FCC60" w14:textId="6556E142" w:rsidR="00D51344" w:rsidRDefault="002A05E7" w:rsidP="00E65AD5">
      <w:pPr>
        <w:pStyle w:val="ListNumber"/>
        <w:numPr>
          <w:ilvl w:val="0"/>
          <w:numId w:val="33"/>
        </w:numPr>
        <w:tabs>
          <w:tab w:val="clear" w:pos="1872"/>
        </w:tabs>
        <w:spacing w:before="0"/>
        <w:ind w:left="720" w:hanging="720"/>
        <w:jc w:val="both"/>
      </w:pPr>
      <w:r>
        <w:t>D</w:t>
      </w:r>
      <w:r w:rsidR="00D51344">
        <w:t>etermine project scope, deliverables, and expectations required of OMT</w:t>
      </w:r>
    </w:p>
    <w:p w14:paraId="4C706347" w14:textId="6812671C" w:rsidR="00D51344" w:rsidRDefault="00D141FF" w:rsidP="00E65AD5">
      <w:pPr>
        <w:pStyle w:val="ListNumber"/>
        <w:numPr>
          <w:ilvl w:val="0"/>
          <w:numId w:val="33"/>
        </w:numPr>
        <w:tabs>
          <w:tab w:val="clear" w:pos="1872"/>
        </w:tabs>
        <w:spacing w:before="0"/>
        <w:ind w:left="720" w:hanging="720"/>
        <w:jc w:val="both"/>
      </w:pPr>
      <w:r>
        <w:t>I</w:t>
      </w:r>
      <w:r w:rsidR="00D51344">
        <w:t xml:space="preserve">nform the customer </w:t>
      </w:r>
      <w:r w:rsidR="00DC462A">
        <w:t>Project Manager (PM)</w:t>
      </w:r>
      <w:r w:rsidR="00DC462A" w:rsidRPr="003C4AAA">
        <w:t xml:space="preserve"> </w:t>
      </w:r>
      <w:r w:rsidR="00D51344">
        <w:t>of general time and resources required by OMT</w:t>
      </w:r>
    </w:p>
    <w:p w14:paraId="0E9D83EC" w14:textId="250A9BBA" w:rsidR="00D51344" w:rsidRDefault="00D141FF" w:rsidP="00E65AD5">
      <w:pPr>
        <w:pStyle w:val="ListNumber"/>
        <w:numPr>
          <w:ilvl w:val="0"/>
          <w:numId w:val="33"/>
        </w:numPr>
        <w:tabs>
          <w:tab w:val="clear" w:pos="1872"/>
        </w:tabs>
        <w:spacing w:before="0"/>
        <w:ind w:left="720" w:hanging="720"/>
        <w:jc w:val="both"/>
      </w:pPr>
      <w:r>
        <w:t>H</w:t>
      </w:r>
      <w:r w:rsidR="00D51344">
        <w:t>elp identify potential problems and issues</w:t>
      </w:r>
    </w:p>
    <w:p w14:paraId="4BDAA224" w14:textId="23050065" w:rsidR="00D51344" w:rsidRDefault="00D141FF" w:rsidP="00E65AD5">
      <w:pPr>
        <w:pStyle w:val="ListNumber"/>
        <w:numPr>
          <w:ilvl w:val="0"/>
          <w:numId w:val="33"/>
        </w:numPr>
        <w:tabs>
          <w:tab w:val="clear" w:pos="1872"/>
        </w:tabs>
        <w:spacing w:before="0"/>
        <w:ind w:left="720" w:hanging="720"/>
        <w:jc w:val="both"/>
      </w:pPr>
      <w:r>
        <w:t>E</w:t>
      </w:r>
      <w:r w:rsidR="00D51344">
        <w:t>nsure that the required data is provided to respective agencies/divisions when necessary</w:t>
      </w:r>
    </w:p>
    <w:p w14:paraId="1D8B1BC4" w14:textId="11ECE3A8" w:rsidR="00D51344" w:rsidRDefault="00D141FF" w:rsidP="00E65AD5">
      <w:pPr>
        <w:pStyle w:val="ListNumber"/>
        <w:numPr>
          <w:ilvl w:val="0"/>
          <w:numId w:val="33"/>
        </w:numPr>
        <w:tabs>
          <w:tab w:val="clear" w:pos="1872"/>
        </w:tabs>
        <w:spacing w:before="0"/>
        <w:ind w:left="720" w:hanging="720"/>
        <w:jc w:val="both"/>
      </w:pPr>
      <w:r>
        <w:t>H</w:t>
      </w:r>
      <w:r w:rsidR="00D51344">
        <w:t>elp plan for future steps or issues that might arise</w:t>
      </w:r>
    </w:p>
    <w:p w14:paraId="7CB4FC20" w14:textId="77777777" w:rsidR="00D51344" w:rsidRPr="00CC58A7" w:rsidRDefault="00D51344" w:rsidP="00BE3F24">
      <w:pPr>
        <w:pStyle w:val="Heading3"/>
        <w:ind w:left="0" w:firstLine="0"/>
      </w:pPr>
      <w:r w:rsidRPr="00CC58A7">
        <w:t>Resource Requirements</w:t>
      </w:r>
    </w:p>
    <w:p w14:paraId="4639543B" w14:textId="47E66A04" w:rsidR="00D51344" w:rsidRPr="00CC58A7" w:rsidRDefault="00D51344" w:rsidP="00E65AD5">
      <w:pPr>
        <w:pStyle w:val="BodyText"/>
        <w:spacing w:after="200"/>
        <w:jc w:val="both"/>
      </w:pPr>
      <w:r w:rsidRPr="00CC58A7">
        <w:t xml:space="preserve">The </w:t>
      </w:r>
      <w:r>
        <w:t xml:space="preserve">communication with the requesting office is typically done by </w:t>
      </w:r>
      <w:r w:rsidRPr="00CC58A7">
        <w:t xml:space="preserve">the </w:t>
      </w:r>
      <w:r>
        <w:t>PAGD Engineer</w:t>
      </w:r>
      <w:r w:rsidRPr="00CC58A7">
        <w:t xml:space="preserve"> in the office</w:t>
      </w:r>
      <w:r>
        <w:t xml:space="preserve">. </w:t>
      </w:r>
      <w:r w:rsidRPr="00CC58A7">
        <w:t>The</w:t>
      </w:r>
      <w:r>
        <w:t xml:space="preserve"> communication </w:t>
      </w:r>
      <w:r w:rsidRPr="00CC58A7">
        <w:t xml:space="preserve">requires the following staffing needs for a typical </w:t>
      </w:r>
      <w:r>
        <w:t>project</w:t>
      </w:r>
      <w:r w:rsidRPr="00CC58A7">
        <w:t>:</w:t>
      </w:r>
    </w:p>
    <w:tbl>
      <w:tblPr>
        <w:tblW w:w="8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70"/>
        <w:gridCol w:w="2286"/>
        <w:gridCol w:w="1926"/>
        <w:gridCol w:w="1584"/>
      </w:tblGrid>
      <w:tr w:rsidR="00D51344" w:rsidRPr="00CC58A7" w14:paraId="646F1770" w14:textId="77777777" w:rsidTr="003D0D6A">
        <w:trPr>
          <w:jc w:val="center"/>
        </w:trPr>
        <w:tc>
          <w:tcPr>
            <w:tcW w:w="2870" w:type="dxa"/>
            <w:shd w:val="pct15" w:color="auto" w:fill="FFFFFF"/>
            <w:vAlign w:val="center"/>
          </w:tcPr>
          <w:p w14:paraId="206137F9" w14:textId="77777777" w:rsidR="00D51344" w:rsidRPr="00CC58A7" w:rsidRDefault="00D51344" w:rsidP="00E65AD5">
            <w:pPr>
              <w:jc w:val="center"/>
              <w:rPr>
                <w:rFonts w:ascii="Arial" w:hAnsi="Arial"/>
                <w:b/>
              </w:rPr>
            </w:pPr>
            <w:r w:rsidRPr="00CC58A7">
              <w:rPr>
                <w:rFonts w:ascii="Arial" w:hAnsi="Arial"/>
                <w:b/>
              </w:rPr>
              <w:t>Position</w:t>
            </w:r>
          </w:p>
        </w:tc>
        <w:tc>
          <w:tcPr>
            <w:tcW w:w="2286" w:type="dxa"/>
            <w:shd w:val="pct15" w:color="auto" w:fill="FFFFFF"/>
            <w:vAlign w:val="center"/>
          </w:tcPr>
          <w:p w14:paraId="4CAD0B72" w14:textId="77777777" w:rsidR="00D51344" w:rsidRPr="00CC58A7" w:rsidRDefault="00D51344" w:rsidP="00E65AD5">
            <w:pPr>
              <w:jc w:val="center"/>
              <w:rPr>
                <w:rFonts w:ascii="Arial" w:hAnsi="Arial"/>
                <w:b/>
              </w:rPr>
            </w:pPr>
            <w:r w:rsidRPr="00CC58A7">
              <w:rPr>
                <w:rFonts w:ascii="Arial" w:hAnsi="Arial"/>
                <w:b/>
              </w:rPr>
              <w:t>Function</w:t>
            </w:r>
          </w:p>
        </w:tc>
        <w:tc>
          <w:tcPr>
            <w:tcW w:w="1926" w:type="dxa"/>
            <w:shd w:val="pct15" w:color="auto" w:fill="FFFFFF"/>
            <w:vAlign w:val="center"/>
          </w:tcPr>
          <w:p w14:paraId="259CF2E7" w14:textId="77777777" w:rsidR="00D51344" w:rsidRPr="00CC58A7" w:rsidRDefault="00D51344" w:rsidP="00E65AD5">
            <w:pPr>
              <w:jc w:val="center"/>
              <w:rPr>
                <w:rFonts w:ascii="Arial" w:hAnsi="Arial"/>
                <w:b/>
              </w:rPr>
            </w:pPr>
            <w:r w:rsidRPr="00CC58A7">
              <w:rPr>
                <w:rFonts w:ascii="Arial" w:hAnsi="Arial"/>
                <w:b/>
              </w:rPr>
              <w:t>Resources</w:t>
            </w:r>
          </w:p>
        </w:tc>
        <w:tc>
          <w:tcPr>
            <w:tcW w:w="1584" w:type="dxa"/>
            <w:shd w:val="pct15" w:color="auto" w:fill="FFFFFF"/>
            <w:vAlign w:val="center"/>
          </w:tcPr>
          <w:p w14:paraId="111F3D45" w14:textId="77777777" w:rsidR="00D51344" w:rsidRPr="00CC58A7" w:rsidRDefault="00D51344" w:rsidP="00E65AD5">
            <w:pPr>
              <w:jc w:val="center"/>
              <w:rPr>
                <w:rFonts w:ascii="Arial" w:hAnsi="Arial"/>
                <w:b/>
              </w:rPr>
            </w:pPr>
            <w:r w:rsidRPr="00CC58A7">
              <w:rPr>
                <w:rFonts w:ascii="Arial" w:hAnsi="Arial"/>
                <w:b/>
              </w:rPr>
              <w:t>Effort Level</w:t>
            </w:r>
          </w:p>
          <w:p w14:paraId="767E4021" w14:textId="77777777" w:rsidR="00D51344" w:rsidRPr="00CC58A7" w:rsidRDefault="00D51344" w:rsidP="00E65AD5">
            <w:pPr>
              <w:jc w:val="center"/>
              <w:rPr>
                <w:rFonts w:ascii="Arial" w:hAnsi="Arial"/>
                <w:b/>
              </w:rPr>
            </w:pPr>
            <w:r w:rsidRPr="00CC58A7">
              <w:rPr>
                <w:rFonts w:ascii="Arial" w:hAnsi="Arial"/>
                <w:b/>
              </w:rPr>
              <w:t>(man-hours)</w:t>
            </w:r>
          </w:p>
        </w:tc>
      </w:tr>
      <w:tr w:rsidR="00D51344" w:rsidRPr="00CC58A7" w14:paraId="261DC982" w14:textId="77777777" w:rsidTr="003D0D6A">
        <w:trPr>
          <w:jc w:val="center"/>
        </w:trPr>
        <w:tc>
          <w:tcPr>
            <w:tcW w:w="2870" w:type="dxa"/>
          </w:tcPr>
          <w:p w14:paraId="14E321CB" w14:textId="77777777" w:rsidR="00D51344" w:rsidRPr="00CC58A7" w:rsidRDefault="00D51344" w:rsidP="00BE3F24">
            <w:pPr>
              <w:jc w:val="center"/>
              <w:rPr>
                <w:rFonts w:ascii="Arial" w:hAnsi="Arial"/>
                <w:sz w:val="18"/>
              </w:rPr>
            </w:pPr>
            <w:r>
              <w:rPr>
                <w:rFonts w:ascii="Arial" w:hAnsi="Arial"/>
                <w:sz w:val="18"/>
              </w:rPr>
              <w:t>PAGD Engineer</w:t>
            </w:r>
          </w:p>
        </w:tc>
        <w:tc>
          <w:tcPr>
            <w:tcW w:w="2286" w:type="dxa"/>
          </w:tcPr>
          <w:p w14:paraId="6894371E" w14:textId="77777777" w:rsidR="00D51344" w:rsidRPr="00CC58A7" w:rsidRDefault="00D51344" w:rsidP="00BE3F24">
            <w:pPr>
              <w:jc w:val="center"/>
              <w:rPr>
                <w:rFonts w:ascii="Arial" w:hAnsi="Arial"/>
                <w:sz w:val="18"/>
              </w:rPr>
            </w:pPr>
            <w:r>
              <w:rPr>
                <w:rFonts w:ascii="Arial" w:hAnsi="Arial"/>
                <w:sz w:val="18"/>
              </w:rPr>
              <w:t>Phone/E-mail Notification</w:t>
            </w:r>
          </w:p>
        </w:tc>
        <w:tc>
          <w:tcPr>
            <w:tcW w:w="1926" w:type="dxa"/>
          </w:tcPr>
          <w:p w14:paraId="191379F4" w14:textId="77777777" w:rsidR="00D51344" w:rsidRPr="00CC58A7" w:rsidRDefault="00D51344" w:rsidP="00BE3F24">
            <w:pPr>
              <w:jc w:val="center"/>
              <w:rPr>
                <w:rFonts w:ascii="Arial" w:hAnsi="Arial"/>
                <w:sz w:val="18"/>
              </w:rPr>
            </w:pPr>
            <w:r w:rsidRPr="00CC58A7">
              <w:rPr>
                <w:rFonts w:ascii="Arial" w:hAnsi="Arial"/>
                <w:sz w:val="18"/>
              </w:rPr>
              <w:t>1</w:t>
            </w:r>
          </w:p>
        </w:tc>
        <w:tc>
          <w:tcPr>
            <w:tcW w:w="1584" w:type="dxa"/>
          </w:tcPr>
          <w:p w14:paraId="1B3A4961" w14:textId="77777777" w:rsidR="00D51344" w:rsidRPr="00CC58A7" w:rsidRDefault="00D51344" w:rsidP="00BE3F24">
            <w:pPr>
              <w:jc w:val="center"/>
              <w:rPr>
                <w:rFonts w:ascii="Arial" w:hAnsi="Arial"/>
                <w:sz w:val="18"/>
              </w:rPr>
            </w:pPr>
            <w:r>
              <w:rPr>
                <w:rFonts w:ascii="Arial" w:hAnsi="Arial"/>
                <w:sz w:val="18"/>
              </w:rPr>
              <w:t>1*</w:t>
            </w:r>
          </w:p>
        </w:tc>
      </w:tr>
      <w:tr w:rsidR="00D51344" w:rsidRPr="00CC58A7" w14:paraId="0C17DDB2" w14:textId="77777777" w:rsidTr="003D0D6A">
        <w:trPr>
          <w:jc w:val="center"/>
        </w:trPr>
        <w:tc>
          <w:tcPr>
            <w:tcW w:w="2870" w:type="dxa"/>
            <w:shd w:val="clear" w:color="auto" w:fill="FFFFFF"/>
          </w:tcPr>
          <w:p w14:paraId="5FC84DB3" w14:textId="77777777" w:rsidR="00D51344" w:rsidRPr="00CC58A7" w:rsidRDefault="00D51344" w:rsidP="00BE3F24">
            <w:pPr>
              <w:jc w:val="center"/>
              <w:rPr>
                <w:rFonts w:ascii="Arial" w:hAnsi="Arial"/>
                <w:sz w:val="18"/>
              </w:rPr>
            </w:pPr>
            <w:r>
              <w:rPr>
                <w:rFonts w:ascii="Arial" w:hAnsi="Arial"/>
                <w:sz w:val="18"/>
              </w:rPr>
              <w:t>PAGD TL</w:t>
            </w:r>
          </w:p>
        </w:tc>
        <w:tc>
          <w:tcPr>
            <w:tcW w:w="2286" w:type="dxa"/>
            <w:shd w:val="clear" w:color="auto" w:fill="FFFFFF"/>
          </w:tcPr>
          <w:p w14:paraId="2259C530" w14:textId="77777777" w:rsidR="00D51344" w:rsidRDefault="00D51344" w:rsidP="00BE3F24">
            <w:pPr>
              <w:jc w:val="center"/>
              <w:rPr>
                <w:rFonts w:ascii="Arial" w:hAnsi="Arial"/>
                <w:sz w:val="18"/>
              </w:rPr>
            </w:pPr>
            <w:r>
              <w:rPr>
                <w:rFonts w:ascii="Arial" w:hAnsi="Arial"/>
                <w:sz w:val="18"/>
              </w:rPr>
              <w:t>Phone/E-mail Notification</w:t>
            </w:r>
          </w:p>
        </w:tc>
        <w:tc>
          <w:tcPr>
            <w:tcW w:w="1926" w:type="dxa"/>
            <w:shd w:val="clear" w:color="auto" w:fill="FFFFFF"/>
          </w:tcPr>
          <w:p w14:paraId="68EE9143" w14:textId="77777777" w:rsidR="00D51344" w:rsidRPr="00CC58A7" w:rsidRDefault="00D51344" w:rsidP="00BE3F24">
            <w:pPr>
              <w:jc w:val="center"/>
              <w:rPr>
                <w:rFonts w:ascii="Arial" w:hAnsi="Arial"/>
                <w:sz w:val="18"/>
              </w:rPr>
            </w:pPr>
            <w:r>
              <w:rPr>
                <w:rFonts w:ascii="Arial" w:hAnsi="Arial"/>
                <w:sz w:val="18"/>
              </w:rPr>
              <w:t>1</w:t>
            </w:r>
          </w:p>
        </w:tc>
        <w:tc>
          <w:tcPr>
            <w:tcW w:w="1584" w:type="dxa"/>
            <w:shd w:val="clear" w:color="auto" w:fill="FFFFFF"/>
          </w:tcPr>
          <w:p w14:paraId="2347947A" w14:textId="77777777" w:rsidR="00D51344" w:rsidRDefault="00D51344" w:rsidP="00BE3F24">
            <w:pPr>
              <w:jc w:val="center"/>
              <w:rPr>
                <w:rFonts w:ascii="Arial" w:hAnsi="Arial"/>
                <w:sz w:val="18"/>
              </w:rPr>
            </w:pPr>
            <w:r>
              <w:rPr>
                <w:rFonts w:ascii="Arial" w:hAnsi="Arial"/>
                <w:sz w:val="18"/>
              </w:rPr>
              <w:t>1*</w:t>
            </w:r>
          </w:p>
        </w:tc>
      </w:tr>
    </w:tbl>
    <w:p w14:paraId="0AA0B32F" w14:textId="77777777" w:rsidR="00D51344" w:rsidRPr="00023579" w:rsidRDefault="00D51344" w:rsidP="00BE3F24">
      <w:pPr>
        <w:jc w:val="both"/>
        <w:rPr>
          <w:rFonts w:ascii="Arial" w:hAnsi="Arial"/>
          <w:sz w:val="18"/>
          <w:szCs w:val="18"/>
        </w:rPr>
      </w:pPr>
      <w:r>
        <w:rPr>
          <w:rFonts w:ascii="Arial" w:hAnsi="Arial"/>
          <w:sz w:val="18"/>
          <w:szCs w:val="18"/>
        </w:rPr>
        <w:t xml:space="preserve">      </w:t>
      </w:r>
      <w:r w:rsidRPr="00023579">
        <w:rPr>
          <w:rFonts w:ascii="Arial" w:hAnsi="Arial"/>
          <w:sz w:val="18"/>
          <w:szCs w:val="18"/>
        </w:rPr>
        <w:t>* The time required would vary depending on the size and complexity of a project.</w:t>
      </w:r>
    </w:p>
    <w:p w14:paraId="5206CA6B" w14:textId="77777777" w:rsidR="00D51344" w:rsidRPr="00CC58A7" w:rsidRDefault="00D51344" w:rsidP="00BE3F24">
      <w:pPr>
        <w:pStyle w:val="Heading3"/>
        <w:ind w:left="0" w:firstLine="0"/>
      </w:pPr>
      <w:r w:rsidRPr="00CC58A7">
        <w:t>Procedure</w:t>
      </w:r>
    </w:p>
    <w:p w14:paraId="69905B7C" w14:textId="77777777" w:rsidR="00D51344" w:rsidRDefault="00D51344" w:rsidP="00BE3F24">
      <w:pPr>
        <w:pStyle w:val="BodyText"/>
        <w:spacing w:after="0"/>
        <w:jc w:val="both"/>
      </w:pPr>
      <w:r w:rsidRPr="00CC58A7">
        <w:t xml:space="preserve">The procedure </w:t>
      </w:r>
      <w:r w:rsidRPr="00004850">
        <w:t xml:space="preserve">described in the following text should be followed when making </w:t>
      </w:r>
      <w:r>
        <w:t xml:space="preserve">the initial contact with the PM of the requesting agency.  </w:t>
      </w:r>
      <w:r w:rsidRPr="00004850">
        <w:t xml:space="preserve">The following procedure was written to provide the </w:t>
      </w:r>
      <w:r>
        <w:t>PAGD Engineer</w:t>
      </w:r>
      <w:r w:rsidRPr="00004850">
        <w:t xml:space="preserve"> with adequ</w:t>
      </w:r>
      <w:r w:rsidRPr="00CC58A7">
        <w:t xml:space="preserve">ate information to </w:t>
      </w:r>
      <w:r>
        <w:t>initiate communication</w:t>
      </w:r>
      <w:r w:rsidRPr="00CC58A7">
        <w:t xml:space="preserve"> with</w:t>
      </w:r>
      <w:r>
        <w:t xml:space="preserve"> </w:t>
      </w:r>
      <w:r>
        <w:lastRenderedPageBreak/>
        <w:t xml:space="preserve">limited knowledge of the project. At the very least, the request and any plans or other provided documents should be reviewed prior to making contact. </w:t>
      </w:r>
    </w:p>
    <w:p w14:paraId="6212A479" w14:textId="77777777" w:rsidR="00D51344" w:rsidRDefault="00D51344" w:rsidP="00BE3F24">
      <w:pPr>
        <w:pStyle w:val="BodyText"/>
        <w:spacing w:after="0"/>
        <w:jc w:val="both"/>
      </w:pPr>
    </w:p>
    <w:p w14:paraId="73DFE753" w14:textId="4BE7E0E4" w:rsidR="00094EFD" w:rsidRDefault="00D51344" w:rsidP="00BE3F24">
      <w:pPr>
        <w:pStyle w:val="BodyText"/>
        <w:spacing w:after="0"/>
        <w:jc w:val="both"/>
      </w:pPr>
      <w:r w:rsidRPr="00CC58A7">
        <w:t xml:space="preserve">Certain steps in the </w:t>
      </w:r>
      <w:r>
        <w:t xml:space="preserve">communication process and other processes might </w:t>
      </w:r>
      <w:r w:rsidRPr="00CC58A7">
        <w:t xml:space="preserve">overlap.  It is important to keep in mind that although these processes are broken out and written in separate sections, they are a part of an overall process to </w:t>
      </w:r>
      <w:r>
        <w:t xml:space="preserve">deliver technically and practically sound projects. </w:t>
      </w:r>
    </w:p>
    <w:p w14:paraId="5772B04B" w14:textId="77777777" w:rsidR="00094EFD" w:rsidRDefault="00094EFD" w:rsidP="00BE3F24">
      <w:pPr>
        <w:pStyle w:val="BodyText"/>
        <w:spacing w:after="0"/>
        <w:jc w:val="both"/>
      </w:pPr>
    </w:p>
    <w:p w14:paraId="003C9C8A" w14:textId="5CE43998" w:rsidR="00D51344" w:rsidRDefault="00D51344" w:rsidP="00BE3F24">
      <w:pPr>
        <w:pStyle w:val="BodyText"/>
        <w:spacing w:after="0"/>
        <w:jc w:val="both"/>
      </w:pPr>
      <w:r w:rsidRPr="00CC58A7">
        <w:t xml:space="preserve">The procedure described below is </w:t>
      </w:r>
      <w:r>
        <w:t>followed</w:t>
      </w:r>
      <w:r w:rsidRPr="00CC58A7">
        <w:t xml:space="preserve"> after receiving a request</w:t>
      </w:r>
      <w:r>
        <w:t>/memo</w:t>
      </w:r>
      <w:r w:rsidRPr="00CC58A7">
        <w:t xml:space="preserve"> from a customer</w:t>
      </w:r>
      <w:r w:rsidR="00DC462A">
        <w:t xml:space="preserve"> PM</w:t>
      </w:r>
      <w:r w:rsidRPr="00CC58A7">
        <w:t>.  Th</w:t>
      </w:r>
      <w:r>
        <w:t xml:space="preserve">e communication can be </w:t>
      </w:r>
      <w:r w:rsidRPr="00CC58A7">
        <w:t>completed via a memo request, e-</w:t>
      </w:r>
      <w:r>
        <w:t>mail request, or verbal request</w:t>
      </w:r>
      <w:r w:rsidR="00D141FF">
        <w:t>,</w:t>
      </w:r>
      <w:r>
        <w:t xml:space="preserve"> although a memo request and e-mail request </w:t>
      </w:r>
      <w:r w:rsidR="00D141FF">
        <w:t xml:space="preserve">are </w:t>
      </w:r>
      <w:r>
        <w:t>preferred.</w:t>
      </w:r>
    </w:p>
    <w:p w14:paraId="304E00CC" w14:textId="77777777" w:rsidR="00D51344" w:rsidRDefault="00D51344" w:rsidP="00BE3F24">
      <w:pPr>
        <w:pStyle w:val="Heading3"/>
        <w:ind w:left="0" w:firstLine="0"/>
      </w:pPr>
      <w:r w:rsidRPr="00316117">
        <w:t xml:space="preserve">Preliminary </w:t>
      </w:r>
      <w:r>
        <w:t>I</w:t>
      </w:r>
      <w:r w:rsidRPr="00316117">
        <w:t xml:space="preserve">nformation </w:t>
      </w:r>
      <w:r>
        <w:t xml:space="preserve">Requested and/or </w:t>
      </w:r>
      <w:r w:rsidRPr="00316117">
        <w:t>Needed</w:t>
      </w:r>
    </w:p>
    <w:p w14:paraId="64ABC946" w14:textId="7F87CC52" w:rsidR="00094EFD" w:rsidRDefault="00D51344" w:rsidP="00884709">
      <w:pPr>
        <w:pStyle w:val="BodyText"/>
        <w:spacing w:after="0"/>
        <w:jc w:val="both"/>
      </w:pPr>
      <w:r w:rsidRPr="00115674">
        <w:t>The following section contains information that the PAGD Engineer needs to provide, questions to be asked of the PM</w:t>
      </w:r>
      <w:r w:rsidR="00D141FF">
        <w:rPr>
          <w:rFonts w:cs="Arial"/>
          <w:szCs w:val="22"/>
        </w:rPr>
        <w:t>,</w:t>
      </w:r>
      <w:r w:rsidRPr="00115674">
        <w:t xml:space="preserve"> and items required.  This following list is not comprehensive and all items may not apply for all projects.  </w:t>
      </w:r>
      <w:r w:rsidR="00094EFD" w:rsidRPr="004A4196">
        <w:t xml:space="preserve">The </w:t>
      </w:r>
      <w:r w:rsidR="00094EFD">
        <w:t>communication can</w:t>
      </w:r>
      <w:r w:rsidR="00094EFD" w:rsidRPr="00115674">
        <w:t xml:space="preserve"> be </w:t>
      </w:r>
      <w:r w:rsidR="00094EFD" w:rsidRPr="004A4196">
        <w:t xml:space="preserve">completed via </w:t>
      </w:r>
      <w:r w:rsidR="00094EFD" w:rsidRPr="00CC58A7">
        <w:t xml:space="preserve">a memo request, </w:t>
      </w:r>
      <w:r w:rsidR="00094EFD" w:rsidRPr="00115674">
        <w:t>e-</w:t>
      </w:r>
      <w:r w:rsidR="00094EFD" w:rsidRPr="004A4196">
        <w:t xml:space="preserve">mail </w:t>
      </w:r>
      <w:r w:rsidR="00094EFD">
        <w:t>request, or verbal request</w:t>
      </w:r>
      <w:r w:rsidR="00D141FF">
        <w:t>,</w:t>
      </w:r>
      <w:r w:rsidR="00094EFD">
        <w:t xml:space="preserve"> although a memo request and e-mail request </w:t>
      </w:r>
      <w:r w:rsidR="00EE49D4">
        <w:t>are</w:t>
      </w:r>
      <w:r w:rsidR="00094EFD">
        <w:t xml:space="preserve"> preferred.</w:t>
      </w:r>
    </w:p>
    <w:p w14:paraId="17B66159" w14:textId="77777777" w:rsidR="00966436" w:rsidRPr="00115674" w:rsidRDefault="00966436" w:rsidP="00884709">
      <w:pPr>
        <w:pStyle w:val="BodyText"/>
        <w:spacing w:after="0"/>
        <w:jc w:val="both"/>
      </w:pPr>
    </w:p>
    <w:p w14:paraId="6D84BB70" w14:textId="7F16BA62" w:rsidR="001A15B9" w:rsidRDefault="00D51344" w:rsidP="00884709">
      <w:pPr>
        <w:pStyle w:val="ListNumber"/>
        <w:numPr>
          <w:ilvl w:val="0"/>
          <w:numId w:val="33"/>
        </w:numPr>
        <w:tabs>
          <w:tab w:val="clear" w:pos="1872"/>
        </w:tabs>
        <w:spacing w:before="0"/>
        <w:ind w:left="720" w:hanging="720"/>
        <w:jc w:val="both"/>
      </w:pPr>
      <w:r>
        <w:t>Provide the PM with the names of the immediate project contact (PAGD Engineer) and of the PAGD T</w:t>
      </w:r>
      <w:r w:rsidR="00094EFD">
        <w:t xml:space="preserve">eam </w:t>
      </w:r>
      <w:r>
        <w:t>L</w:t>
      </w:r>
      <w:r w:rsidR="00094EFD">
        <w:t>ead (TL)</w:t>
      </w:r>
      <w:r>
        <w:t>. Request the PM to include these names in the distribution list for all future correspondence and documents/plans to be sent.</w:t>
      </w:r>
    </w:p>
    <w:p w14:paraId="1817B425" w14:textId="77777777" w:rsidR="001A15B9" w:rsidRDefault="00D51344" w:rsidP="00557A8B">
      <w:pPr>
        <w:pStyle w:val="ListNumber"/>
        <w:numPr>
          <w:ilvl w:val="0"/>
          <w:numId w:val="33"/>
        </w:numPr>
        <w:tabs>
          <w:tab w:val="clear" w:pos="1872"/>
        </w:tabs>
        <w:ind w:left="720" w:hanging="720"/>
        <w:jc w:val="both"/>
      </w:pPr>
      <w:r>
        <w:t>Obtain the charge number and the Contract number if it is not provided with the memo/request.</w:t>
      </w:r>
      <w:r w:rsidRPr="00CF03BE">
        <w:t xml:space="preserve"> </w:t>
      </w:r>
      <w:r>
        <w:t xml:space="preserve"> </w:t>
      </w:r>
      <w:r w:rsidRPr="00316117">
        <w:t xml:space="preserve">Ask the PM </w:t>
      </w:r>
      <w:r>
        <w:t>regarding federal participation and if the project is funded for construction</w:t>
      </w:r>
      <w:r w:rsidR="002D313A">
        <w:t xml:space="preserve"> or for Preliminary Engineering only.</w:t>
      </w:r>
    </w:p>
    <w:p w14:paraId="6066BE0A" w14:textId="25F946D3" w:rsidR="001A15B9" w:rsidRDefault="00D51344" w:rsidP="00557A8B">
      <w:pPr>
        <w:pStyle w:val="ListNumber"/>
        <w:numPr>
          <w:ilvl w:val="0"/>
          <w:numId w:val="33"/>
        </w:numPr>
        <w:tabs>
          <w:tab w:val="clear" w:pos="1872"/>
        </w:tabs>
        <w:ind w:left="720" w:hanging="720"/>
        <w:jc w:val="both"/>
      </w:pPr>
      <w:r>
        <w:t>Inquire if the project is a Design-Build project.  If it is decided that the project will be a Design-Build project, inform the PAGD TL since the project may have to be reassigned (</w:t>
      </w:r>
      <w:r w:rsidR="00EE49D4">
        <w:t>t</w:t>
      </w:r>
      <w:r>
        <w:t>his applies to PAGD Engineer Consultants only).</w:t>
      </w:r>
    </w:p>
    <w:p w14:paraId="6095743A" w14:textId="47F12F94" w:rsidR="001A15B9" w:rsidRDefault="00D51344" w:rsidP="00557A8B">
      <w:pPr>
        <w:pStyle w:val="ListNumber"/>
        <w:numPr>
          <w:ilvl w:val="0"/>
          <w:numId w:val="33"/>
        </w:numPr>
        <w:tabs>
          <w:tab w:val="clear" w:pos="1872"/>
        </w:tabs>
        <w:ind w:left="720" w:hanging="720"/>
        <w:jc w:val="both"/>
      </w:pPr>
      <w:r>
        <w:t xml:space="preserve">Verify the limits and the </w:t>
      </w:r>
      <w:r w:rsidR="00094EFD">
        <w:t xml:space="preserve">general </w:t>
      </w:r>
      <w:r>
        <w:t>scope of work.</w:t>
      </w:r>
    </w:p>
    <w:p w14:paraId="6098B2CE" w14:textId="77777777" w:rsidR="001A15B9" w:rsidRDefault="00D51344" w:rsidP="00557A8B">
      <w:pPr>
        <w:pStyle w:val="ListNumber"/>
        <w:numPr>
          <w:ilvl w:val="0"/>
          <w:numId w:val="33"/>
        </w:numPr>
        <w:tabs>
          <w:tab w:val="clear" w:pos="1872"/>
        </w:tabs>
        <w:ind w:left="720" w:hanging="720"/>
        <w:jc w:val="both"/>
      </w:pPr>
      <w:r>
        <w:t xml:space="preserve">Request plans (including profiles, typical sections), cross-sections and any other relevant information if not provided. </w:t>
      </w:r>
    </w:p>
    <w:p w14:paraId="5653BB5A" w14:textId="20DFD32B" w:rsidR="003827AB" w:rsidRDefault="003827AB" w:rsidP="00557A8B">
      <w:pPr>
        <w:pStyle w:val="ListNumber"/>
        <w:numPr>
          <w:ilvl w:val="0"/>
          <w:numId w:val="33"/>
        </w:numPr>
        <w:tabs>
          <w:tab w:val="clear" w:pos="1872"/>
        </w:tabs>
        <w:ind w:left="720" w:hanging="720"/>
        <w:jc w:val="both"/>
      </w:pPr>
      <w:r w:rsidRPr="003827AB">
        <w:t xml:space="preserve">For Fund 77 single- advertised projects, Non-Fund 77 projects and Access Permit projects, PAGD will review the scope of work once a project is received and will identify the needs for geotechnical input from EGD For </w:t>
      </w:r>
      <w:r>
        <w:t>n</w:t>
      </w:r>
      <w:r w:rsidRPr="003827AB">
        <w:t>on</w:t>
      </w:r>
      <w:r>
        <w:t>-Fund</w:t>
      </w:r>
      <w:r w:rsidRPr="003827AB">
        <w:t xml:space="preserve"> 77 projects, if PAGD identifies the need for geotechnical evaluation, an OMT Internal PI meeting should be scheduled.</w:t>
      </w:r>
    </w:p>
    <w:p w14:paraId="5D106B97" w14:textId="6E29D816" w:rsidR="001A15B9" w:rsidRDefault="00D51344" w:rsidP="00557A8B">
      <w:pPr>
        <w:pStyle w:val="ListNumber"/>
        <w:numPr>
          <w:ilvl w:val="0"/>
          <w:numId w:val="33"/>
        </w:numPr>
        <w:tabs>
          <w:tab w:val="clear" w:pos="1872"/>
        </w:tabs>
        <w:ind w:left="720" w:hanging="720"/>
        <w:jc w:val="both"/>
      </w:pPr>
      <w:r>
        <w:t xml:space="preserve">Request the project schedule and dates of major milestones (PI Meeting, Semi-Final Review, Final Review, PS&amp;E, and Advertisement Date).  </w:t>
      </w:r>
    </w:p>
    <w:p w14:paraId="59FC6921" w14:textId="77777777" w:rsidR="001A15B9" w:rsidRDefault="00D51344" w:rsidP="00557A8B">
      <w:pPr>
        <w:pStyle w:val="ListNumber"/>
        <w:numPr>
          <w:ilvl w:val="0"/>
          <w:numId w:val="33"/>
        </w:numPr>
        <w:tabs>
          <w:tab w:val="clear" w:pos="1872"/>
        </w:tabs>
        <w:ind w:left="720" w:hanging="720"/>
        <w:jc w:val="both"/>
      </w:pPr>
      <w:r>
        <w:t xml:space="preserve">Inform the PM of the estimated time needed to perform field work, lab work, design, and generate report/recommendations.  </w:t>
      </w:r>
    </w:p>
    <w:p w14:paraId="4359F8B2" w14:textId="77777777" w:rsidR="001A15B9" w:rsidRDefault="00D51344" w:rsidP="00557A8B">
      <w:pPr>
        <w:pStyle w:val="ListNumber"/>
        <w:numPr>
          <w:ilvl w:val="0"/>
          <w:numId w:val="33"/>
        </w:numPr>
        <w:tabs>
          <w:tab w:val="clear" w:pos="1872"/>
        </w:tabs>
        <w:ind w:left="720" w:hanging="720"/>
        <w:jc w:val="both"/>
      </w:pPr>
      <w:r>
        <w:t xml:space="preserve">Verify the </w:t>
      </w:r>
      <w:r w:rsidRPr="006F3551">
        <w:t xml:space="preserve">deliverables (Boring Data, Advanced and Final Reports) that the PM expects to receive from OMT and the anticipated due dates.  If there is a conflict with timeframes, </w:t>
      </w:r>
      <w:r>
        <w:t xml:space="preserve">the PAGD Engineer should discuss with </w:t>
      </w:r>
      <w:r w:rsidRPr="006F3551">
        <w:t>the PAGD TL.</w:t>
      </w:r>
    </w:p>
    <w:p w14:paraId="4A95C74A" w14:textId="1DBDE802" w:rsidR="00094EFD" w:rsidRDefault="00D51344" w:rsidP="00557A8B">
      <w:pPr>
        <w:pStyle w:val="ListNumber"/>
        <w:numPr>
          <w:ilvl w:val="0"/>
          <w:numId w:val="33"/>
        </w:numPr>
        <w:tabs>
          <w:tab w:val="clear" w:pos="1872"/>
        </w:tabs>
        <w:ind w:left="720" w:hanging="720"/>
        <w:jc w:val="both"/>
      </w:pPr>
      <w:r>
        <w:t xml:space="preserve">Inquire if other offices/divisions will require field work (SWM borings, SPT borings for structures) and/or lab work from OMT.  If so, request that a formal submittal be provided to OMT.  </w:t>
      </w:r>
    </w:p>
    <w:p w14:paraId="1D15F8D9" w14:textId="77777777" w:rsidR="00094EFD" w:rsidRDefault="002D313A" w:rsidP="00557A8B">
      <w:pPr>
        <w:pStyle w:val="ListNumber"/>
        <w:numPr>
          <w:ilvl w:val="0"/>
          <w:numId w:val="33"/>
        </w:numPr>
        <w:tabs>
          <w:tab w:val="clear" w:pos="1872"/>
        </w:tabs>
        <w:ind w:left="720" w:hanging="720"/>
        <w:jc w:val="both"/>
      </w:pPr>
      <w:r>
        <w:lastRenderedPageBreak/>
        <w:t xml:space="preserve">Inquire of any known issues with property access/owners.  </w:t>
      </w:r>
    </w:p>
    <w:p w14:paraId="6DA6991B" w14:textId="6EF85566" w:rsidR="001A15B9" w:rsidRDefault="002D313A" w:rsidP="00557A8B">
      <w:pPr>
        <w:pStyle w:val="ListNumber"/>
        <w:numPr>
          <w:ilvl w:val="0"/>
          <w:numId w:val="33"/>
        </w:numPr>
        <w:tabs>
          <w:tab w:val="clear" w:pos="1872"/>
        </w:tabs>
        <w:ind w:left="720" w:hanging="720"/>
        <w:jc w:val="both"/>
      </w:pPr>
      <w:r>
        <w:t>Advise that environmental permits will be required if borings needed in wetlands and waterways.</w:t>
      </w:r>
    </w:p>
    <w:p w14:paraId="2B4C95D9" w14:textId="77777777" w:rsidR="001A15B9" w:rsidRDefault="00D51344" w:rsidP="00557A8B">
      <w:pPr>
        <w:pStyle w:val="ListNumber"/>
        <w:numPr>
          <w:ilvl w:val="0"/>
          <w:numId w:val="33"/>
        </w:numPr>
        <w:tabs>
          <w:tab w:val="clear" w:pos="1872"/>
        </w:tabs>
        <w:ind w:left="720" w:hanging="720"/>
        <w:jc w:val="both"/>
        <w:rPr>
          <w:i/>
        </w:rPr>
      </w:pPr>
      <w:r>
        <w:t xml:space="preserve">Request a copy of the Environmental Impact Statement (EIS) if one was performed for the project.  </w:t>
      </w:r>
      <w:r w:rsidRPr="00316117">
        <w:t>Ask the PM if the</w:t>
      </w:r>
      <w:r>
        <w:t>y</w:t>
      </w:r>
      <w:r w:rsidRPr="00316117">
        <w:t xml:space="preserve"> are a</w:t>
      </w:r>
      <w:r>
        <w:t>ware of any</w:t>
      </w:r>
      <w:r w:rsidRPr="00316117">
        <w:t xml:space="preserve"> contamination issues (gas stations, junk yards, dry cleaners, etc.).</w:t>
      </w:r>
      <w:r>
        <w:t xml:space="preserve">  This information should be passed along to the EGD.</w:t>
      </w:r>
    </w:p>
    <w:p w14:paraId="341D752F" w14:textId="77777777" w:rsidR="009855C4" w:rsidRDefault="009855C4" w:rsidP="00BE3F24">
      <w:pPr>
        <w:pStyle w:val="Heading2"/>
        <w:ind w:left="0" w:firstLine="0"/>
        <w:sectPr w:rsidR="009855C4" w:rsidSect="00E65AD5">
          <w:headerReference w:type="default" r:id="rId26"/>
          <w:footerReference w:type="default" r:id="rId27"/>
          <w:pgSz w:w="12240" w:h="15840" w:code="1"/>
          <w:pgMar w:top="1440" w:right="1800" w:bottom="1440" w:left="1800" w:header="720" w:footer="720" w:gutter="0"/>
          <w:pgNumType w:start="1" w:chapStyle="1"/>
          <w:cols w:space="720"/>
          <w:docGrid w:linePitch="272"/>
        </w:sectPr>
      </w:pPr>
    </w:p>
    <w:p w14:paraId="69254D42" w14:textId="115B3CC5" w:rsidR="00160E58" w:rsidRDefault="00160E58" w:rsidP="00BE3F24">
      <w:pPr>
        <w:pStyle w:val="Heading2"/>
        <w:ind w:left="0" w:firstLine="0"/>
      </w:pPr>
      <w:bookmarkStart w:id="22" w:name="_Files"/>
      <w:bookmarkStart w:id="23" w:name="_Toc479160069"/>
      <w:bookmarkStart w:id="24" w:name="_Toc514057960"/>
      <w:bookmarkStart w:id="25" w:name="_Toc194932354"/>
      <w:bookmarkEnd w:id="22"/>
      <w:r>
        <w:lastRenderedPageBreak/>
        <w:t>Files</w:t>
      </w:r>
      <w:bookmarkEnd w:id="23"/>
      <w:bookmarkEnd w:id="24"/>
      <w:bookmarkEnd w:id="25"/>
      <w:r w:rsidR="00800A99">
        <w:t xml:space="preserve"> </w:t>
      </w:r>
    </w:p>
    <w:p w14:paraId="5711DE3A" w14:textId="77777777" w:rsidR="005A70C0" w:rsidRDefault="005A70C0" w:rsidP="00BE3F24">
      <w:pPr>
        <w:pStyle w:val="Heading3"/>
        <w:ind w:left="0" w:firstLine="0"/>
      </w:pPr>
      <w:r>
        <w:t>General</w:t>
      </w:r>
    </w:p>
    <w:p w14:paraId="63873D92" w14:textId="77777777" w:rsidR="005A70C0" w:rsidRPr="00982DB5" w:rsidRDefault="005A70C0" w:rsidP="00BE3F24">
      <w:pPr>
        <w:jc w:val="both"/>
        <w:rPr>
          <w:rFonts w:ascii="Arial" w:hAnsi="Arial" w:cs="Arial"/>
          <w:sz w:val="22"/>
          <w:szCs w:val="22"/>
        </w:rPr>
      </w:pPr>
      <w:r w:rsidRPr="00982DB5">
        <w:rPr>
          <w:rFonts w:ascii="Arial" w:hAnsi="Arial" w:cs="Arial"/>
          <w:sz w:val="22"/>
          <w:szCs w:val="22"/>
        </w:rPr>
        <w:t xml:space="preserve">This section involves the filing of project plans, documentation, and correspondence from the PAGD Engineer with other agencies/divisions to make sure all the documents are properly stored for future reference.  The project file in this section refers to both the physical file and the network file.  Refer to </w:t>
      </w:r>
      <w:hyperlink w:anchor="_Electronic_File_Storage" w:history="1">
        <w:r w:rsidR="002D313A" w:rsidRPr="00982DB5">
          <w:rPr>
            <w:rStyle w:val="Hyperlink"/>
            <w:rFonts w:ascii="Arial" w:hAnsi="Arial" w:cs="Arial"/>
            <w:sz w:val="22"/>
            <w:szCs w:val="22"/>
          </w:rPr>
          <w:t>Electronic File Storage</w:t>
        </w:r>
      </w:hyperlink>
      <w:r w:rsidR="002D313A" w:rsidRPr="00982DB5">
        <w:rPr>
          <w:rFonts w:ascii="Arial" w:hAnsi="Arial" w:cs="Arial"/>
          <w:sz w:val="22"/>
          <w:szCs w:val="22"/>
        </w:rPr>
        <w:t xml:space="preserve"> and </w:t>
      </w:r>
      <w:hyperlink w:anchor="_Paper_Files_and" w:history="1">
        <w:r w:rsidR="002D313A" w:rsidRPr="00982DB5">
          <w:rPr>
            <w:rStyle w:val="Hyperlink"/>
            <w:rFonts w:ascii="Arial" w:hAnsi="Arial" w:cs="Arial"/>
            <w:sz w:val="22"/>
            <w:szCs w:val="22"/>
          </w:rPr>
          <w:t>Paper Files and Plan Storage</w:t>
        </w:r>
      </w:hyperlink>
      <w:r w:rsidRPr="00982DB5">
        <w:rPr>
          <w:rFonts w:ascii="Arial" w:hAnsi="Arial" w:cs="Arial"/>
          <w:sz w:val="22"/>
          <w:szCs w:val="22"/>
        </w:rPr>
        <w:t xml:space="preserve">.   </w:t>
      </w:r>
    </w:p>
    <w:p w14:paraId="5651F676" w14:textId="77777777" w:rsidR="005A70C0" w:rsidRDefault="005A70C0" w:rsidP="00BE3F24">
      <w:pPr>
        <w:pStyle w:val="Heading3"/>
        <w:ind w:left="0" w:firstLine="0"/>
      </w:pPr>
      <w:r>
        <w:t>Purpose</w:t>
      </w:r>
    </w:p>
    <w:p w14:paraId="2168E057" w14:textId="77777777" w:rsidR="005A70C0" w:rsidRDefault="005A70C0" w:rsidP="00BE3F24">
      <w:pPr>
        <w:pStyle w:val="BodyText"/>
        <w:spacing w:after="0"/>
        <w:jc w:val="both"/>
      </w:pPr>
      <w:r>
        <w:t>A filing system for the project is needed to:</w:t>
      </w:r>
    </w:p>
    <w:p w14:paraId="675D1B5D" w14:textId="77777777" w:rsidR="00FB7127" w:rsidRDefault="00FB7127" w:rsidP="00FB7127">
      <w:pPr>
        <w:pStyle w:val="BodyText"/>
        <w:spacing w:after="0"/>
        <w:ind w:left="720" w:hanging="720"/>
        <w:jc w:val="both"/>
      </w:pPr>
    </w:p>
    <w:p w14:paraId="4F732A6B" w14:textId="77777777" w:rsidR="005A70C0" w:rsidRDefault="005A70C0" w:rsidP="00884709">
      <w:pPr>
        <w:pStyle w:val="ListNumber"/>
        <w:numPr>
          <w:ilvl w:val="0"/>
          <w:numId w:val="33"/>
        </w:numPr>
        <w:tabs>
          <w:tab w:val="clear" w:pos="1872"/>
        </w:tabs>
        <w:spacing w:before="0"/>
        <w:ind w:left="720" w:hanging="720"/>
        <w:jc w:val="both"/>
      </w:pPr>
      <w:r>
        <w:t>Keep all the documents in chronological order</w:t>
      </w:r>
    </w:p>
    <w:p w14:paraId="102F2949" w14:textId="19B3E24A" w:rsidR="005A70C0" w:rsidRDefault="005A70C0" w:rsidP="00884709">
      <w:pPr>
        <w:pStyle w:val="ListNumber"/>
        <w:numPr>
          <w:ilvl w:val="0"/>
          <w:numId w:val="33"/>
        </w:numPr>
        <w:tabs>
          <w:tab w:val="clear" w:pos="1872"/>
        </w:tabs>
        <w:spacing w:before="0"/>
        <w:ind w:left="720" w:hanging="720"/>
        <w:jc w:val="both"/>
      </w:pPr>
      <w:r>
        <w:t xml:space="preserve">Keep the latest plans with </w:t>
      </w:r>
      <w:r w:rsidR="008C7023">
        <w:t>MDOT-SHA</w:t>
      </w:r>
      <w:r>
        <w:t xml:space="preserve"> for reference</w:t>
      </w:r>
    </w:p>
    <w:p w14:paraId="7C4F83E6" w14:textId="77777777" w:rsidR="005A70C0" w:rsidRDefault="005A70C0" w:rsidP="00884709">
      <w:pPr>
        <w:pStyle w:val="ListNumber"/>
        <w:numPr>
          <w:ilvl w:val="0"/>
          <w:numId w:val="33"/>
        </w:numPr>
        <w:tabs>
          <w:tab w:val="clear" w:pos="1872"/>
        </w:tabs>
        <w:spacing w:before="0"/>
        <w:ind w:left="720" w:hanging="720"/>
        <w:jc w:val="both"/>
      </w:pPr>
      <w:r>
        <w:t>Help track down relevant documents or plans for use in design and for reference in case of claims or conflict with other agencies/divisions</w:t>
      </w:r>
    </w:p>
    <w:p w14:paraId="1183F91B" w14:textId="77777777" w:rsidR="005A70C0" w:rsidRDefault="005A70C0" w:rsidP="00884709">
      <w:pPr>
        <w:pStyle w:val="ListNumber"/>
        <w:numPr>
          <w:ilvl w:val="0"/>
          <w:numId w:val="33"/>
        </w:numPr>
        <w:tabs>
          <w:tab w:val="clear" w:pos="1872"/>
        </w:tabs>
        <w:spacing w:before="0"/>
        <w:ind w:left="720" w:hanging="720"/>
        <w:jc w:val="both"/>
      </w:pPr>
      <w:r>
        <w:t>Facilitate the final report review process</w:t>
      </w:r>
    </w:p>
    <w:p w14:paraId="0EF83FAD" w14:textId="77777777" w:rsidR="005A70C0" w:rsidRDefault="005A70C0" w:rsidP="00884709">
      <w:pPr>
        <w:pStyle w:val="ListNumber"/>
        <w:numPr>
          <w:ilvl w:val="0"/>
          <w:numId w:val="33"/>
        </w:numPr>
        <w:tabs>
          <w:tab w:val="clear" w:pos="1872"/>
        </w:tabs>
        <w:spacing w:before="0"/>
        <w:ind w:left="720" w:hanging="720"/>
        <w:jc w:val="both"/>
      </w:pPr>
      <w:r>
        <w:t>Keep the files for records or archive once the project is complete</w:t>
      </w:r>
    </w:p>
    <w:p w14:paraId="64AF9288" w14:textId="77777777" w:rsidR="005A70C0" w:rsidRPr="00CC58A7" w:rsidRDefault="005A70C0" w:rsidP="00BE3F24">
      <w:pPr>
        <w:pStyle w:val="Heading3"/>
        <w:ind w:left="0" w:firstLine="0"/>
      </w:pPr>
      <w:r w:rsidRPr="00CC58A7">
        <w:t>Resource Requirements</w:t>
      </w:r>
    </w:p>
    <w:p w14:paraId="3E955E92" w14:textId="77777777" w:rsidR="005A70C0" w:rsidRDefault="005A70C0" w:rsidP="00BE3F24">
      <w:pPr>
        <w:pStyle w:val="BodyText"/>
        <w:spacing w:after="0"/>
        <w:jc w:val="both"/>
      </w:pPr>
      <w:r>
        <w:t xml:space="preserve">Filing is typically done by </w:t>
      </w:r>
      <w:r w:rsidRPr="00CC58A7">
        <w:t xml:space="preserve">the </w:t>
      </w:r>
      <w:r>
        <w:t xml:space="preserve">PAGD Engineer </w:t>
      </w:r>
      <w:r w:rsidRPr="00CC58A7">
        <w:t>in the office</w:t>
      </w:r>
      <w:r>
        <w:t xml:space="preserve">. It is an ongoing process as the project progresses from planning to completion of the project. Filing </w:t>
      </w:r>
      <w:r w:rsidRPr="00CC58A7">
        <w:t xml:space="preserve">requires the following staffing needs for a typical </w:t>
      </w:r>
      <w:r>
        <w:t>project</w:t>
      </w:r>
      <w:r w:rsidRPr="00CC58A7">
        <w:t>:</w:t>
      </w:r>
    </w:p>
    <w:p w14:paraId="0359E7DA" w14:textId="77777777" w:rsidR="005A70C0" w:rsidRDefault="005A70C0" w:rsidP="00BE3F24">
      <w:pPr>
        <w:pStyle w:val="BodyText"/>
        <w:spacing w:after="0"/>
        <w:jc w:val="both"/>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95"/>
        <w:gridCol w:w="2160"/>
        <w:gridCol w:w="1800"/>
        <w:gridCol w:w="1890"/>
      </w:tblGrid>
      <w:tr w:rsidR="00115674" w:rsidRPr="00CC58A7" w14:paraId="5DBF9C95" w14:textId="77777777" w:rsidTr="005723FE">
        <w:trPr>
          <w:trHeight w:val="288"/>
          <w:jc w:val="center"/>
        </w:trPr>
        <w:tc>
          <w:tcPr>
            <w:tcW w:w="2695" w:type="dxa"/>
            <w:shd w:val="pct15" w:color="auto" w:fill="FFFFFF"/>
            <w:vAlign w:val="center"/>
          </w:tcPr>
          <w:p w14:paraId="2B203D62" w14:textId="77777777" w:rsidR="005A70C0" w:rsidRPr="00CC58A7" w:rsidRDefault="005A70C0" w:rsidP="00884709">
            <w:pPr>
              <w:jc w:val="center"/>
              <w:rPr>
                <w:rFonts w:ascii="Arial" w:hAnsi="Arial"/>
                <w:b/>
              </w:rPr>
            </w:pPr>
            <w:r w:rsidRPr="00CC58A7">
              <w:rPr>
                <w:rFonts w:ascii="Arial" w:hAnsi="Arial"/>
                <w:b/>
              </w:rPr>
              <w:t>Position</w:t>
            </w:r>
          </w:p>
        </w:tc>
        <w:tc>
          <w:tcPr>
            <w:tcW w:w="2160" w:type="dxa"/>
            <w:shd w:val="pct15" w:color="auto" w:fill="FFFFFF"/>
            <w:vAlign w:val="center"/>
          </w:tcPr>
          <w:p w14:paraId="0EDFB25E" w14:textId="77777777" w:rsidR="005A70C0" w:rsidRPr="00CC58A7" w:rsidRDefault="005A70C0" w:rsidP="00884709">
            <w:pPr>
              <w:jc w:val="center"/>
              <w:rPr>
                <w:rFonts w:ascii="Arial" w:hAnsi="Arial"/>
                <w:b/>
              </w:rPr>
            </w:pPr>
            <w:r w:rsidRPr="00CC58A7">
              <w:rPr>
                <w:rFonts w:ascii="Arial" w:hAnsi="Arial"/>
                <w:b/>
              </w:rPr>
              <w:t>Function</w:t>
            </w:r>
          </w:p>
        </w:tc>
        <w:tc>
          <w:tcPr>
            <w:tcW w:w="1800" w:type="dxa"/>
            <w:shd w:val="pct15" w:color="auto" w:fill="FFFFFF"/>
            <w:vAlign w:val="center"/>
          </w:tcPr>
          <w:p w14:paraId="36CA8ADA" w14:textId="77777777" w:rsidR="005A70C0" w:rsidRPr="00CC58A7" w:rsidRDefault="005A70C0" w:rsidP="00884709">
            <w:pPr>
              <w:jc w:val="center"/>
              <w:rPr>
                <w:rFonts w:ascii="Arial" w:hAnsi="Arial"/>
                <w:b/>
              </w:rPr>
            </w:pPr>
            <w:r w:rsidRPr="00CC58A7">
              <w:rPr>
                <w:rFonts w:ascii="Arial" w:hAnsi="Arial"/>
                <w:b/>
              </w:rPr>
              <w:t>Resources</w:t>
            </w:r>
          </w:p>
        </w:tc>
        <w:tc>
          <w:tcPr>
            <w:tcW w:w="1890" w:type="dxa"/>
            <w:shd w:val="pct15" w:color="auto" w:fill="FFFFFF"/>
            <w:vAlign w:val="center"/>
          </w:tcPr>
          <w:p w14:paraId="133DAAB5" w14:textId="77777777" w:rsidR="005A70C0" w:rsidRPr="00CC58A7" w:rsidRDefault="005A70C0" w:rsidP="00884709">
            <w:pPr>
              <w:jc w:val="center"/>
              <w:rPr>
                <w:rFonts w:ascii="Arial" w:hAnsi="Arial"/>
                <w:b/>
              </w:rPr>
            </w:pPr>
            <w:r w:rsidRPr="00CC58A7">
              <w:rPr>
                <w:rFonts w:ascii="Arial" w:hAnsi="Arial"/>
                <w:b/>
              </w:rPr>
              <w:t>Effort Level</w:t>
            </w:r>
          </w:p>
          <w:p w14:paraId="3FCAAF9B" w14:textId="77777777" w:rsidR="005A70C0" w:rsidRPr="00CC58A7" w:rsidRDefault="005A70C0" w:rsidP="00884709">
            <w:pPr>
              <w:jc w:val="center"/>
              <w:rPr>
                <w:rFonts w:ascii="Arial" w:hAnsi="Arial"/>
                <w:b/>
              </w:rPr>
            </w:pPr>
            <w:r w:rsidRPr="00CC58A7">
              <w:rPr>
                <w:rFonts w:ascii="Arial" w:hAnsi="Arial"/>
                <w:b/>
              </w:rPr>
              <w:t>(man-hours)</w:t>
            </w:r>
          </w:p>
        </w:tc>
      </w:tr>
      <w:tr w:rsidR="005A70C0" w:rsidRPr="00CC58A7" w14:paraId="480AC160" w14:textId="77777777" w:rsidTr="005723FE">
        <w:trPr>
          <w:trHeight w:val="288"/>
          <w:jc w:val="center"/>
        </w:trPr>
        <w:tc>
          <w:tcPr>
            <w:tcW w:w="2695" w:type="dxa"/>
            <w:vAlign w:val="center"/>
          </w:tcPr>
          <w:p w14:paraId="1AE6E0B7" w14:textId="77777777" w:rsidR="005A70C0" w:rsidRPr="002960EA" w:rsidRDefault="005A70C0" w:rsidP="00BE3F24">
            <w:pPr>
              <w:jc w:val="center"/>
              <w:rPr>
                <w:rFonts w:ascii="Arial" w:hAnsi="Arial" w:cs="Arial"/>
                <w:sz w:val="18"/>
                <w:szCs w:val="18"/>
              </w:rPr>
            </w:pPr>
            <w:r w:rsidRPr="002960EA">
              <w:rPr>
                <w:rFonts w:ascii="Arial" w:hAnsi="Arial" w:cs="Arial"/>
                <w:sz w:val="18"/>
                <w:szCs w:val="18"/>
              </w:rPr>
              <w:t>PAGD Engineer</w:t>
            </w:r>
          </w:p>
        </w:tc>
        <w:tc>
          <w:tcPr>
            <w:tcW w:w="2160" w:type="dxa"/>
            <w:vAlign w:val="center"/>
          </w:tcPr>
          <w:p w14:paraId="26478521" w14:textId="77777777" w:rsidR="005A70C0" w:rsidRPr="002960EA" w:rsidRDefault="005A70C0" w:rsidP="00BE3F24">
            <w:pPr>
              <w:jc w:val="center"/>
              <w:rPr>
                <w:rFonts w:ascii="Arial" w:hAnsi="Arial" w:cs="Arial"/>
                <w:sz w:val="18"/>
                <w:szCs w:val="18"/>
              </w:rPr>
            </w:pPr>
            <w:r w:rsidRPr="002960EA">
              <w:rPr>
                <w:rFonts w:ascii="Arial" w:hAnsi="Arial" w:cs="Arial"/>
                <w:sz w:val="18"/>
                <w:szCs w:val="18"/>
              </w:rPr>
              <w:t>Filing</w:t>
            </w:r>
          </w:p>
        </w:tc>
        <w:tc>
          <w:tcPr>
            <w:tcW w:w="1800" w:type="dxa"/>
            <w:vAlign w:val="center"/>
          </w:tcPr>
          <w:p w14:paraId="20CB02C1" w14:textId="77777777" w:rsidR="005A70C0" w:rsidRPr="002960EA" w:rsidRDefault="005A70C0" w:rsidP="00BE3F24">
            <w:pPr>
              <w:jc w:val="center"/>
              <w:rPr>
                <w:rFonts w:ascii="Arial" w:hAnsi="Arial" w:cs="Arial"/>
                <w:sz w:val="18"/>
                <w:szCs w:val="18"/>
              </w:rPr>
            </w:pPr>
            <w:r w:rsidRPr="002960EA">
              <w:rPr>
                <w:rFonts w:ascii="Arial" w:hAnsi="Arial" w:cs="Arial"/>
                <w:sz w:val="18"/>
                <w:szCs w:val="18"/>
              </w:rPr>
              <w:t>1</w:t>
            </w:r>
          </w:p>
        </w:tc>
        <w:tc>
          <w:tcPr>
            <w:tcW w:w="1890" w:type="dxa"/>
            <w:vAlign w:val="center"/>
          </w:tcPr>
          <w:p w14:paraId="27356FB2" w14:textId="77777777" w:rsidR="005A70C0" w:rsidRPr="002960EA" w:rsidRDefault="005A70C0" w:rsidP="00BE3F24">
            <w:pPr>
              <w:jc w:val="center"/>
              <w:rPr>
                <w:rFonts w:ascii="Arial" w:hAnsi="Arial" w:cs="Arial"/>
                <w:sz w:val="18"/>
                <w:szCs w:val="18"/>
              </w:rPr>
            </w:pPr>
            <w:r w:rsidRPr="002960EA">
              <w:rPr>
                <w:rFonts w:ascii="Arial" w:hAnsi="Arial" w:cs="Arial"/>
                <w:sz w:val="18"/>
                <w:szCs w:val="18"/>
              </w:rPr>
              <w:t>Varying*</w:t>
            </w:r>
          </w:p>
        </w:tc>
      </w:tr>
    </w:tbl>
    <w:p w14:paraId="5FA9652D" w14:textId="77777777" w:rsidR="005A70C0" w:rsidRPr="005D5B1F" w:rsidRDefault="005A70C0" w:rsidP="00BE3F24">
      <w:pPr>
        <w:jc w:val="both"/>
        <w:rPr>
          <w:rFonts w:ascii="Arial" w:hAnsi="Arial"/>
          <w:sz w:val="18"/>
          <w:szCs w:val="18"/>
        </w:rPr>
      </w:pPr>
      <w:r>
        <w:rPr>
          <w:rFonts w:ascii="Arial" w:hAnsi="Arial"/>
          <w:sz w:val="18"/>
          <w:szCs w:val="18"/>
        </w:rPr>
        <w:t xml:space="preserve">      </w:t>
      </w:r>
      <w:r w:rsidRPr="005D5B1F">
        <w:rPr>
          <w:rFonts w:ascii="Arial" w:hAnsi="Arial"/>
          <w:sz w:val="18"/>
          <w:szCs w:val="18"/>
        </w:rPr>
        <w:t>* The time required would vary depending on the size and complexity of a project.</w:t>
      </w:r>
    </w:p>
    <w:p w14:paraId="009B5F5F" w14:textId="77777777" w:rsidR="005A70C0" w:rsidRPr="00CC58A7" w:rsidRDefault="005A70C0" w:rsidP="00BE3F24">
      <w:pPr>
        <w:pStyle w:val="Heading3"/>
        <w:ind w:left="0" w:firstLine="0"/>
      </w:pPr>
      <w:r w:rsidRPr="00CC58A7">
        <w:t>Procedure</w:t>
      </w:r>
    </w:p>
    <w:p w14:paraId="63A661D4" w14:textId="77777777" w:rsidR="005A70C0" w:rsidRDefault="005A70C0" w:rsidP="00BE3F24">
      <w:pPr>
        <w:pStyle w:val="BodyText"/>
        <w:spacing w:after="0"/>
        <w:jc w:val="both"/>
      </w:pPr>
      <w:r w:rsidRPr="00CC58A7">
        <w:t xml:space="preserve">The procedure </w:t>
      </w:r>
      <w:r w:rsidRPr="00004850">
        <w:t xml:space="preserve">described </w:t>
      </w:r>
      <w:r>
        <w:t>below</w:t>
      </w:r>
      <w:r w:rsidRPr="00004850">
        <w:t xml:space="preserve"> should be followed when </w:t>
      </w:r>
      <w:r>
        <w:t xml:space="preserve">filing project files. </w:t>
      </w:r>
    </w:p>
    <w:p w14:paraId="0103E334" w14:textId="7E1A879D" w:rsidR="005A70C0" w:rsidRDefault="005A70C0" w:rsidP="00BE3F24">
      <w:pPr>
        <w:pStyle w:val="BodyText"/>
        <w:spacing w:after="0"/>
        <w:jc w:val="both"/>
      </w:pPr>
      <w:r>
        <w:br/>
      </w:r>
      <w:r w:rsidRPr="00CC58A7">
        <w:t xml:space="preserve">Certain steps in the </w:t>
      </w:r>
      <w:r>
        <w:t xml:space="preserve">filing process and other processes might </w:t>
      </w:r>
      <w:r w:rsidRPr="00CC58A7">
        <w:t>overlap.  It is important to keep in mind that although these processes are broken out and written in separate sections, they are</w:t>
      </w:r>
      <w:r>
        <w:t xml:space="preserve"> a part of an overall process</w:t>
      </w:r>
      <w:r w:rsidRPr="00CC58A7">
        <w:t xml:space="preserve">.  The procedure described below is </w:t>
      </w:r>
      <w:r>
        <w:t xml:space="preserve">an ongoing process from planning to completion of the project. The filing can be done with hard copies or electronic copies of the documentation and relevant plans. </w:t>
      </w:r>
    </w:p>
    <w:p w14:paraId="0D2FF106" w14:textId="77777777" w:rsidR="001A15B9" w:rsidRDefault="005A70C0" w:rsidP="00884709">
      <w:pPr>
        <w:pStyle w:val="ListNumber"/>
        <w:numPr>
          <w:ilvl w:val="0"/>
          <w:numId w:val="34"/>
        </w:numPr>
        <w:tabs>
          <w:tab w:val="clear" w:pos="1152"/>
          <w:tab w:val="clear" w:pos="1872"/>
          <w:tab w:val="num" w:pos="-1728"/>
        </w:tabs>
        <w:spacing w:before="240"/>
        <w:ind w:left="1080" w:hanging="1080"/>
        <w:jc w:val="both"/>
      </w:pPr>
      <w:r>
        <w:t>Prepare a project folder with labels indicating the project description, charge number, Contract number, and mile points of the roads involved.  The plans should be labeled with the same information.</w:t>
      </w:r>
    </w:p>
    <w:p w14:paraId="033E3054" w14:textId="77777777" w:rsidR="001A15B9" w:rsidRDefault="005A70C0" w:rsidP="00557A8B">
      <w:pPr>
        <w:pStyle w:val="ListNumber"/>
        <w:numPr>
          <w:ilvl w:val="0"/>
          <w:numId w:val="34"/>
        </w:numPr>
        <w:tabs>
          <w:tab w:val="clear" w:pos="1152"/>
          <w:tab w:val="clear" w:pos="1872"/>
          <w:tab w:val="num" w:pos="-1728"/>
        </w:tabs>
        <w:ind w:left="1080" w:hanging="1080"/>
        <w:jc w:val="both"/>
      </w:pPr>
      <w:r>
        <w:t xml:space="preserve">All incoming and outgoing correspondence (memos, transmittals/submittals, e-mails, phone logs) should be printed and filed in the respective section of the project folder in chronological order.  Multiple chains of e-mail correspondence should not be saved, only the last reply containing the original and intermediate messages should be saved.   </w:t>
      </w:r>
    </w:p>
    <w:p w14:paraId="03D0A787" w14:textId="77777777" w:rsidR="001A15B9" w:rsidRDefault="005A70C0" w:rsidP="00557A8B">
      <w:pPr>
        <w:pStyle w:val="ListNumber"/>
        <w:numPr>
          <w:ilvl w:val="0"/>
          <w:numId w:val="34"/>
        </w:numPr>
        <w:tabs>
          <w:tab w:val="clear" w:pos="1152"/>
          <w:tab w:val="clear" w:pos="1872"/>
          <w:tab w:val="num" w:pos="-1728"/>
        </w:tabs>
        <w:ind w:left="1080" w:hanging="1080"/>
        <w:jc w:val="both"/>
      </w:pPr>
      <w:r>
        <w:t xml:space="preserve">All plans should be maintained in the file room with a shelf location (A1, B2, etc.) referenced.  The plans that have soil boring targets marked should be </w:t>
      </w:r>
      <w:r>
        <w:lastRenderedPageBreak/>
        <w:t>kept until the project is completed. If updated plans are received, the older plans should be discarded and replaced with latest plans to avoid any confusion.</w:t>
      </w:r>
    </w:p>
    <w:p w14:paraId="76B786D3" w14:textId="77777777" w:rsidR="001A15B9" w:rsidRDefault="005A70C0" w:rsidP="00557A8B">
      <w:pPr>
        <w:pStyle w:val="ListNumber"/>
        <w:numPr>
          <w:ilvl w:val="0"/>
          <w:numId w:val="34"/>
        </w:numPr>
        <w:tabs>
          <w:tab w:val="clear" w:pos="1152"/>
          <w:tab w:val="clear" w:pos="1872"/>
          <w:tab w:val="num" w:pos="-1728"/>
        </w:tabs>
        <w:ind w:left="1080" w:hanging="1080"/>
        <w:jc w:val="both"/>
      </w:pPr>
      <w:r>
        <w:t xml:space="preserve">The results from regular testing and any special testing should be kept in hard copy and also in electronic format. </w:t>
      </w:r>
    </w:p>
    <w:p w14:paraId="79BC3C3F" w14:textId="77777777" w:rsidR="001A15B9" w:rsidRDefault="005A70C0" w:rsidP="00557A8B">
      <w:pPr>
        <w:pStyle w:val="ListNumber"/>
        <w:numPr>
          <w:ilvl w:val="0"/>
          <w:numId w:val="34"/>
        </w:numPr>
        <w:tabs>
          <w:tab w:val="clear" w:pos="1152"/>
          <w:tab w:val="clear" w:pos="1872"/>
          <w:tab w:val="num" w:pos="-1008"/>
        </w:tabs>
        <w:ind w:left="1080" w:hanging="1080"/>
        <w:jc w:val="both"/>
      </w:pPr>
      <w:r>
        <w:t>The input parameters used for design should be filed in the project folder for future reference.</w:t>
      </w:r>
    </w:p>
    <w:p w14:paraId="45602FE7" w14:textId="77777777" w:rsidR="001A15B9" w:rsidRDefault="005A70C0" w:rsidP="00557A8B">
      <w:pPr>
        <w:pStyle w:val="ListNumber"/>
        <w:numPr>
          <w:ilvl w:val="0"/>
          <w:numId w:val="34"/>
        </w:numPr>
        <w:tabs>
          <w:tab w:val="clear" w:pos="1152"/>
          <w:tab w:val="clear" w:pos="1872"/>
          <w:tab w:val="num" w:pos="-1008"/>
        </w:tabs>
        <w:ind w:left="1080" w:hanging="1080"/>
        <w:jc w:val="both"/>
      </w:pPr>
      <w:r>
        <w:t xml:space="preserve">The project folder and plans should be stored so that they are readily accessible for review. </w:t>
      </w:r>
    </w:p>
    <w:p w14:paraId="161A83DE" w14:textId="17162BFA" w:rsidR="001A15B9" w:rsidRDefault="005A70C0" w:rsidP="00557A8B">
      <w:pPr>
        <w:pStyle w:val="ListNumber"/>
        <w:numPr>
          <w:ilvl w:val="0"/>
          <w:numId w:val="34"/>
        </w:numPr>
        <w:tabs>
          <w:tab w:val="clear" w:pos="1152"/>
          <w:tab w:val="clear" w:pos="1872"/>
          <w:tab w:val="num" w:pos="-1008"/>
        </w:tabs>
        <w:ind w:left="1080" w:hanging="1080"/>
        <w:jc w:val="both"/>
      </w:pPr>
      <w:r>
        <w:t xml:space="preserve">All the reports originating from </w:t>
      </w:r>
      <w:r w:rsidR="008C7023">
        <w:t>MDOT-SHA</w:t>
      </w:r>
      <w:r>
        <w:t xml:space="preserve"> as well as the reports received from other divisions should be filed in the report section. </w:t>
      </w:r>
    </w:p>
    <w:p w14:paraId="1241920D" w14:textId="77777777" w:rsidR="009855C4" w:rsidRDefault="009855C4" w:rsidP="00BE3F24">
      <w:pPr>
        <w:pStyle w:val="Heading2"/>
        <w:ind w:left="0" w:firstLine="0"/>
        <w:sectPr w:rsidR="009855C4" w:rsidSect="00466A64">
          <w:headerReference w:type="default" r:id="rId28"/>
          <w:footerReference w:type="default" r:id="rId29"/>
          <w:pgSz w:w="12240" w:h="15840"/>
          <w:pgMar w:top="1440" w:right="1800" w:bottom="1440" w:left="1800" w:header="720" w:footer="720" w:gutter="0"/>
          <w:pgNumType w:chapStyle="1"/>
          <w:cols w:space="720"/>
          <w:docGrid w:linePitch="272"/>
        </w:sectPr>
      </w:pPr>
    </w:p>
    <w:p w14:paraId="788CAB40" w14:textId="4ACFB0FD" w:rsidR="00800A99" w:rsidRDefault="00160E58" w:rsidP="00BE3F24">
      <w:pPr>
        <w:pStyle w:val="Heading2"/>
        <w:ind w:left="0" w:firstLine="0"/>
      </w:pPr>
      <w:bookmarkStart w:id="26" w:name="_Records_Review_(7-07-09)"/>
      <w:bookmarkStart w:id="27" w:name="_Records_Review"/>
      <w:bookmarkStart w:id="28" w:name="_Toc479160070"/>
      <w:bookmarkStart w:id="29" w:name="_Toc514057961"/>
      <w:bookmarkStart w:id="30" w:name="_Toc194932355"/>
      <w:bookmarkEnd w:id="26"/>
      <w:bookmarkEnd w:id="27"/>
      <w:r>
        <w:lastRenderedPageBreak/>
        <w:t>Records Review</w:t>
      </w:r>
      <w:bookmarkEnd w:id="28"/>
      <w:bookmarkEnd w:id="29"/>
      <w:bookmarkEnd w:id="30"/>
      <w:r w:rsidR="00800A99">
        <w:t xml:space="preserve"> </w:t>
      </w:r>
    </w:p>
    <w:p w14:paraId="4792AEBC" w14:textId="197A5A30" w:rsidR="007E1D5E" w:rsidRPr="008F604D" w:rsidRDefault="007E1D5E" w:rsidP="007E1D5E">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OMT_Internal_Meetings" w:history="1">
        <w:r w:rsidRPr="008F604D">
          <w:rPr>
            <w:rStyle w:val="Hyperlink"/>
            <w:rFonts w:ascii="Arial" w:hAnsi="Arial" w:cs="Arial"/>
            <w:bCs/>
            <w:sz w:val="16"/>
            <w:szCs w:val="16"/>
          </w:rPr>
          <w:t>OMT Internal Meetings (OMT P</w:t>
        </w:r>
        <w:r w:rsidR="002379C4">
          <w:rPr>
            <w:rStyle w:val="Hyperlink"/>
            <w:rFonts w:ascii="Arial" w:hAnsi="Arial" w:cs="Arial"/>
            <w:bCs/>
            <w:sz w:val="16"/>
            <w:szCs w:val="16"/>
          </w:rPr>
          <w:t xml:space="preserve">roject </w:t>
        </w:r>
        <w:r w:rsidRPr="008F604D">
          <w:rPr>
            <w:rStyle w:val="Hyperlink"/>
            <w:rFonts w:ascii="Arial" w:hAnsi="Arial" w:cs="Arial"/>
            <w:bCs/>
            <w:sz w:val="16"/>
            <w:szCs w:val="16"/>
          </w:rPr>
          <w:t>I</w:t>
        </w:r>
        <w:r w:rsidR="002379C4">
          <w:rPr>
            <w:rStyle w:val="Hyperlink"/>
            <w:rFonts w:ascii="Arial" w:hAnsi="Arial" w:cs="Arial"/>
            <w:bCs/>
            <w:sz w:val="16"/>
            <w:szCs w:val="16"/>
          </w:rPr>
          <w:t>nitiation</w:t>
        </w:r>
        <w:r w:rsidRPr="008F604D">
          <w:rPr>
            <w:rStyle w:val="Hyperlink"/>
            <w:rFonts w:ascii="Arial" w:hAnsi="Arial" w:cs="Arial"/>
            <w:bCs/>
            <w:sz w:val="16"/>
            <w:szCs w:val="16"/>
          </w:rPr>
          <w:t>)</w:t>
        </w:r>
      </w:hyperlink>
    </w:p>
    <w:p w14:paraId="61463F22" w14:textId="77777777" w:rsidR="008F604D" w:rsidRDefault="008F604D" w:rsidP="008F604D">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ite_Reconnaissance" w:history="1">
        <w:r w:rsidR="007E1D5E" w:rsidRPr="007E1D5E">
          <w:rPr>
            <w:rStyle w:val="Hyperlink"/>
            <w:rFonts w:ascii="Arial" w:hAnsi="Arial" w:cs="Arial"/>
            <w:bCs/>
            <w:sz w:val="16"/>
            <w:szCs w:val="16"/>
          </w:rPr>
          <w:t>Site Reconnaissance</w:t>
        </w:r>
      </w:hyperlink>
    </w:p>
    <w:p w14:paraId="5EF0D736" w14:textId="77777777" w:rsidR="003E1207" w:rsidRDefault="003E1207" w:rsidP="008F604D">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iscussion/Selection_Alternative_wi_1" w:history="1">
        <w:r w:rsidRPr="003E1207">
          <w:rPr>
            <w:rStyle w:val="Hyperlink"/>
            <w:rFonts w:ascii="Arial" w:hAnsi="Arial" w:cs="Arial"/>
            <w:bCs/>
            <w:sz w:val="16"/>
            <w:szCs w:val="16"/>
          </w:rPr>
          <w:t>Discussion/Selection Alternative with Project Owner</w:t>
        </w:r>
      </w:hyperlink>
    </w:p>
    <w:p w14:paraId="587D26FB" w14:textId="62F4E776" w:rsidR="00836AD9" w:rsidRPr="008F604D" w:rsidRDefault="00836AD9" w:rsidP="00836AD9">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ests_For_Geotechnical_1" w:history="1">
        <w:r w:rsidRPr="00836AD9">
          <w:rPr>
            <w:rStyle w:val="Hyperlink"/>
            <w:rFonts w:ascii="Arial" w:hAnsi="Arial" w:cs="Arial"/>
            <w:bCs/>
            <w:sz w:val="16"/>
            <w:szCs w:val="16"/>
          </w:rPr>
          <w:t xml:space="preserve">Requests </w:t>
        </w:r>
        <w:r w:rsidR="002379C4">
          <w:rPr>
            <w:rStyle w:val="Hyperlink"/>
            <w:rFonts w:ascii="Arial" w:hAnsi="Arial" w:cs="Arial"/>
            <w:bCs/>
            <w:sz w:val="16"/>
            <w:szCs w:val="16"/>
          </w:rPr>
          <w:t>f</w:t>
        </w:r>
        <w:r w:rsidRPr="00836AD9">
          <w:rPr>
            <w:rStyle w:val="Hyperlink"/>
            <w:rFonts w:ascii="Arial" w:hAnsi="Arial" w:cs="Arial"/>
            <w:bCs/>
            <w:sz w:val="16"/>
            <w:szCs w:val="16"/>
          </w:rPr>
          <w:t xml:space="preserve">or Geotechnical Field </w:t>
        </w:r>
        <w:r w:rsidR="007E6DFB">
          <w:rPr>
            <w:rStyle w:val="Hyperlink"/>
            <w:rFonts w:ascii="Arial" w:hAnsi="Arial" w:cs="Arial"/>
            <w:bCs/>
            <w:sz w:val="16"/>
            <w:szCs w:val="16"/>
          </w:rPr>
          <w:t>W</w:t>
        </w:r>
        <w:r w:rsidRPr="00836AD9">
          <w:rPr>
            <w:rStyle w:val="Hyperlink"/>
            <w:rFonts w:ascii="Arial" w:hAnsi="Arial" w:cs="Arial"/>
            <w:bCs/>
            <w:sz w:val="16"/>
            <w:szCs w:val="16"/>
          </w:rPr>
          <w:t>ork</w:t>
        </w:r>
      </w:hyperlink>
    </w:p>
    <w:p w14:paraId="544D4865" w14:textId="77777777" w:rsidR="00DA6951" w:rsidRDefault="00DA6951" w:rsidP="00BE3F24">
      <w:pPr>
        <w:pStyle w:val="Heading3"/>
        <w:ind w:left="0" w:firstLine="0"/>
      </w:pPr>
      <w:r>
        <w:t>General</w:t>
      </w:r>
    </w:p>
    <w:p w14:paraId="33DF2308" w14:textId="77777777" w:rsidR="00DA6951" w:rsidRPr="00DA6951" w:rsidRDefault="00DA6951" w:rsidP="00BE3F24">
      <w:pPr>
        <w:jc w:val="both"/>
        <w:rPr>
          <w:rFonts w:ascii="Arial" w:hAnsi="Arial" w:cs="Arial"/>
          <w:sz w:val="22"/>
          <w:szCs w:val="22"/>
        </w:rPr>
      </w:pPr>
      <w:r w:rsidRPr="00DA6951">
        <w:rPr>
          <w:rFonts w:ascii="Arial" w:hAnsi="Arial" w:cs="Arial"/>
          <w:sz w:val="22"/>
          <w:szCs w:val="22"/>
        </w:rPr>
        <w:t xml:space="preserve">This section contains information regarding readily available records that should be reviewed before submitting a request for field work. </w:t>
      </w:r>
    </w:p>
    <w:p w14:paraId="124FC9AB" w14:textId="77777777" w:rsidR="00DA6951" w:rsidRDefault="00DA6951" w:rsidP="00BE3F24">
      <w:pPr>
        <w:pStyle w:val="Heading3"/>
        <w:ind w:left="0" w:firstLine="0"/>
      </w:pPr>
      <w:r>
        <w:t>Purpose</w:t>
      </w:r>
    </w:p>
    <w:p w14:paraId="19F85DD8" w14:textId="77777777" w:rsidR="00DA6951" w:rsidRDefault="00DA6951" w:rsidP="00BE3F24">
      <w:pPr>
        <w:pStyle w:val="BodyText"/>
        <w:spacing w:after="0"/>
      </w:pPr>
      <w:r>
        <w:t>A record review for the roadway project is needed to:</w:t>
      </w:r>
    </w:p>
    <w:p w14:paraId="624B79F3" w14:textId="68607547" w:rsidR="00FB7127" w:rsidRDefault="00FB7127" w:rsidP="00BE3F24">
      <w:pPr>
        <w:pStyle w:val="BodyText"/>
        <w:spacing w:after="0"/>
      </w:pPr>
    </w:p>
    <w:p w14:paraId="6834EE33" w14:textId="7C61ED92" w:rsidR="00DA6951" w:rsidRDefault="007E6DFB" w:rsidP="00884709">
      <w:pPr>
        <w:pStyle w:val="ListNumber"/>
        <w:numPr>
          <w:ilvl w:val="0"/>
          <w:numId w:val="33"/>
        </w:numPr>
        <w:tabs>
          <w:tab w:val="clear" w:pos="1872"/>
        </w:tabs>
        <w:spacing w:before="0"/>
        <w:ind w:left="720" w:hanging="720"/>
        <w:jc w:val="both"/>
      </w:pPr>
      <w:r>
        <w:t>O</w:t>
      </w:r>
      <w:r w:rsidR="00DA6951">
        <w:t>btain a general knowledge of the soil and geological information</w:t>
      </w:r>
    </w:p>
    <w:p w14:paraId="51A30659" w14:textId="67CDB6B0" w:rsidR="00DA6951" w:rsidRDefault="007E6DFB" w:rsidP="00884709">
      <w:pPr>
        <w:pStyle w:val="ListNumber"/>
        <w:numPr>
          <w:ilvl w:val="0"/>
          <w:numId w:val="33"/>
        </w:numPr>
        <w:tabs>
          <w:tab w:val="clear" w:pos="1872"/>
        </w:tabs>
        <w:spacing w:before="0"/>
        <w:ind w:left="720" w:hanging="720"/>
        <w:jc w:val="both"/>
      </w:pPr>
      <w:r>
        <w:t>A</w:t>
      </w:r>
      <w:r w:rsidR="00DA6951">
        <w:t>nticipate problems that may arise based on the knowledge of adjacent or previous projects in the area</w:t>
      </w:r>
    </w:p>
    <w:p w14:paraId="76376CC7" w14:textId="59E67A64" w:rsidR="00DA6951" w:rsidRDefault="007E6DFB" w:rsidP="00884709">
      <w:pPr>
        <w:pStyle w:val="ListNumber"/>
        <w:numPr>
          <w:ilvl w:val="0"/>
          <w:numId w:val="33"/>
        </w:numPr>
        <w:tabs>
          <w:tab w:val="clear" w:pos="1872"/>
        </w:tabs>
        <w:spacing w:before="0"/>
        <w:ind w:left="720" w:hanging="720"/>
        <w:jc w:val="both"/>
      </w:pPr>
      <w:r>
        <w:t>O</w:t>
      </w:r>
      <w:r w:rsidR="00DA6951">
        <w:t>btain preliminary information prior to requesting the field work</w:t>
      </w:r>
    </w:p>
    <w:p w14:paraId="47551670" w14:textId="79F24337" w:rsidR="00DA6951" w:rsidRDefault="007E6DFB" w:rsidP="00884709">
      <w:pPr>
        <w:pStyle w:val="ListNumber"/>
        <w:numPr>
          <w:ilvl w:val="0"/>
          <w:numId w:val="33"/>
        </w:numPr>
        <w:tabs>
          <w:tab w:val="clear" w:pos="1872"/>
        </w:tabs>
        <w:spacing w:before="0"/>
        <w:ind w:left="720" w:hanging="720"/>
        <w:jc w:val="both"/>
      </w:pPr>
      <w:r>
        <w:t>O</w:t>
      </w:r>
      <w:r w:rsidR="00DA6951">
        <w:t>btain general knowledge regarding what can be expected once the actual field work begins</w:t>
      </w:r>
    </w:p>
    <w:p w14:paraId="264AA22D" w14:textId="5E097C9B" w:rsidR="00DA6951" w:rsidRDefault="007E6DFB" w:rsidP="00884709">
      <w:pPr>
        <w:pStyle w:val="ListNumber"/>
        <w:numPr>
          <w:ilvl w:val="0"/>
          <w:numId w:val="33"/>
        </w:numPr>
        <w:tabs>
          <w:tab w:val="clear" w:pos="1872"/>
        </w:tabs>
        <w:spacing w:before="0"/>
        <w:ind w:left="720" w:hanging="720"/>
        <w:jc w:val="both"/>
      </w:pPr>
      <w:r>
        <w:t>I</w:t>
      </w:r>
      <w:r w:rsidR="00DA6951">
        <w:t>dentify particular areas that need special attention</w:t>
      </w:r>
    </w:p>
    <w:p w14:paraId="183C69DF" w14:textId="77777777" w:rsidR="00DA6951" w:rsidRPr="00CC58A7" w:rsidRDefault="00DA6951" w:rsidP="00BE3F24">
      <w:pPr>
        <w:pStyle w:val="Heading3"/>
        <w:ind w:left="0" w:firstLine="0"/>
      </w:pPr>
      <w:r w:rsidRPr="00CC58A7">
        <w:t>Resource Requirements</w:t>
      </w:r>
    </w:p>
    <w:p w14:paraId="60B65B76" w14:textId="77777777" w:rsidR="00DA6951" w:rsidRDefault="00DA6951" w:rsidP="00BE3F24">
      <w:pPr>
        <w:pStyle w:val="BodyText"/>
        <w:spacing w:after="0"/>
        <w:jc w:val="both"/>
      </w:pPr>
      <w:r w:rsidRPr="00CC58A7">
        <w:t xml:space="preserve">The </w:t>
      </w:r>
      <w:r>
        <w:t xml:space="preserve">records review is typically performed by </w:t>
      </w:r>
      <w:r w:rsidRPr="00CC58A7">
        <w:t xml:space="preserve">the </w:t>
      </w:r>
      <w:r>
        <w:t>PAGD Engineer</w:t>
      </w:r>
      <w:r w:rsidRPr="00CC58A7">
        <w:t xml:space="preserve"> in the office</w:t>
      </w:r>
      <w:r>
        <w:t xml:space="preserve">. </w:t>
      </w:r>
      <w:r w:rsidRPr="00CC58A7">
        <w:t>The</w:t>
      </w:r>
      <w:r>
        <w:t xml:space="preserve"> review process </w:t>
      </w:r>
      <w:r w:rsidRPr="00CC58A7">
        <w:t xml:space="preserve">requires the following staffing needs for a typical </w:t>
      </w:r>
      <w:r>
        <w:t>project</w:t>
      </w:r>
      <w:r w:rsidRPr="00CC58A7">
        <w:t>:</w:t>
      </w:r>
    </w:p>
    <w:p w14:paraId="4EDFBAB2" w14:textId="77777777" w:rsidR="00DA6951" w:rsidRPr="00CC58A7" w:rsidRDefault="00DA6951" w:rsidP="00BE3F24">
      <w:pPr>
        <w:pStyle w:val="BodyText"/>
        <w:spacing w:after="0"/>
        <w:jc w:val="both"/>
      </w:pP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92"/>
        <w:gridCol w:w="2286"/>
        <w:gridCol w:w="1926"/>
        <w:gridCol w:w="1584"/>
      </w:tblGrid>
      <w:tr w:rsidR="00DA6951" w:rsidRPr="00CC58A7" w14:paraId="1ECF710E" w14:textId="77777777" w:rsidTr="00887BB4">
        <w:trPr>
          <w:trHeight w:val="288"/>
          <w:jc w:val="center"/>
        </w:trPr>
        <w:tc>
          <w:tcPr>
            <w:tcW w:w="2692" w:type="dxa"/>
            <w:shd w:val="pct15" w:color="auto" w:fill="FFFFFF"/>
            <w:vAlign w:val="center"/>
          </w:tcPr>
          <w:p w14:paraId="780A3007" w14:textId="77777777" w:rsidR="00DA6951" w:rsidRPr="00CC58A7" w:rsidRDefault="00DA6951" w:rsidP="00BE3F24">
            <w:pPr>
              <w:jc w:val="center"/>
              <w:rPr>
                <w:rFonts w:ascii="Arial" w:hAnsi="Arial"/>
                <w:b/>
              </w:rPr>
            </w:pPr>
            <w:r w:rsidRPr="00CC58A7">
              <w:rPr>
                <w:rFonts w:ascii="Arial" w:hAnsi="Arial"/>
                <w:b/>
              </w:rPr>
              <w:t>Position</w:t>
            </w:r>
          </w:p>
        </w:tc>
        <w:tc>
          <w:tcPr>
            <w:tcW w:w="2286" w:type="dxa"/>
            <w:shd w:val="pct15" w:color="auto" w:fill="FFFFFF"/>
            <w:vAlign w:val="center"/>
          </w:tcPr>
          <w:p w14:paraId="39E175ED" w14:textId="77777777" w:rsidR="00DA6951" w:rsidRPr="00CC58A7" w:rsidRDefault="00DA6951" w:rsidP="00BE3F24">
            <w:pPr>
              <w:jc w:val="center"/>
              <w:rPr>
                <w:rFonts w:ascii="Arial" w:hAnsi="Arial"/>
                <w:b/>
              </w:rPr>
            </w:pPr>
            <w:r w:rsidRPr="00CC58A7">
              <w:rPr>
                <w:rFonts w:ascii="Arial" w:hAnsi="Arial"/>
                <w:b/>
              </w:rPr>
              <w:t>Function</w:t>
            </w:r>
          </w:p>
        </w:tc>
        <w:tc>
          <w:tcPr>
            <w:tcW w:w="1926" w:type="dxa"/>
            <w:shd w:val="pct15" w:color="auto" w:fill="FFFFFF"/>
            <w:vAlign w:val="center"/>
          </w:tcPr>
          <w:p w14:paraId="1975E8D4" w14:textId="77777777" w:rsidR="00DA6951" w:rsidRPr="00CC58A7" w:rsidRDefault="00DA6951" w:rsidP="00BE3F24">
            <w:pPr>
              <w:jc w:val="center"/>
              <w:rPr>
                <w:rFonts w:ascii="Arial" w:hAnsi="Arial"/>
                <w:b/>
              </w:rPr>
            </w:pPr>
            <w:r w:rsidRPr="00CC58A7">
              <w:rPr>
                <w:rFonts w:ascii="Arial" w:hAnsi="Arial"/>
                <w:b/>
              </w:rPr>
              <w:t>Resources</w:t>
            </w:r>
          </w:p>
        </w:tc>
        <w:tc>
          <w:tcPr>
            <w:tcW w:w="1584" w:type="dxa"/>
            <w:shd w:val="pct15" w:color="auto" w:fill="FFFFFF"/>
            <w:vAlign w:val="center"/>
          </w:tcPr>
          <w:p w14:paraId="5B71DDC9" w14:textId="77777777" w:rsidR="00DA6951" w:rsidRPr="00CC58A7" w:rsidRDefault="00DA6951" w:rsidP="00BE3F24">
            <w:pPr>
              <w:jc w:val="center"/>
              <w:rPr>
                <w:rFonts w:ascii="Arial" w:hAnsi="Arial"/>
                <w:b/>
              </w:rPr>
            </w:pPr>
            <w:r w:rsidRPr="00CC58A7">
              <w:rPr>
                <w:rFonts w:ascii="Arial" w:hAnsi="Arial"/>
                <w:b/>
              </w:rPr>
              <w:t>Effort Level</w:t>
            </w:r>
          </w:p>
          <w:p w14:paraId="3A5660E1" w14:textId="77777777" w:rsidR="00DA6951" w:rsidRPr="00CC58A7" w:rsidRDefault="00DA6951" w:rsidP="00BE3F24">
            <w:pPr>
              <w:jc w:val="center"/>
              <w:rPr>
                <w:rFonts w:ascii="Arial" w:hAnsi="Arial"/>
                <w:b/>
              </w:rPr>
            </w:pPr>
            <w:r w:rsidRPr="00CC58A7">
              <w:rPr>
                <w:rFonts w:ascii="Arial" w:hAnsi="Arial"/>
                <w:b/>
              </w:rPr>
              <w:t>(man-hours)</w:t>
            </w:r>
          </w:p>
        </w:tc>
      </w:tr>
      <w:tr w:rsidR="00DA6951" w:rsidRPr="00CC58A7" w14:paraId="069CF6AE" w14:textId="77777777" w:rsidTr="00887BB4">
        <w:trPr>
          <w:trHeight w:val="288"/>
          <w:jc w:val="center"/>
        </w:trPr>
        <w:tc>
          <w:tcPr>
            <w:tcW w:w="2692" w:type="dxa"/>
            <w:vAlign w:val="center"/>
          </w:tcPr>
          <w:p w14:paraId="1730ED58" w14:textId="77777777" w:rsidR="00DA6951" w:rsidRPr="00CC58A7" w:rsidRDefault="00DA6951" w:rsidP="00BE3F24">
            <w:pPr>
              <w:jc w:val="center"/>
              <w:rPr>
                <w:rFonts w:ascii="Arial" w:hAnsi="Arial"/>
                <w:sz w:val="18"/>
              </w:rPr>
            </w:pPr>
            <w:r>
              <w:rPr>
                <w:rFonts w:ascii="Arial" w:hAnsi="Arial"/>
                <w:sz w:val="18"/>
              </w:rPr>
              <w:t>PAGD</w:t>
            </w:r>
            <w:r w:rsidRPr="00CC58A7">
              <w:rPr>
                <w:rFonts w:ascii="Arial" w:hAnsi="Arial"/>
                <w:sz w:val="18"/>
              </w:rPr>
              <w:t xml:space="preserve"> Engineer</w:t>
            </w:r>
          </w:p>
        </w:tc>
        <w:tc>
          <w:tcPr>
            <w:tcW w:w="2286" w:type="dxa"/>
            <w:vAlign w:val="center"/>
          </w:tcPr>
          <w:p w14:paraId="4B0E18D8" w14:textId="77777777" w:rsidR="00DA6951" w:rsidRPr="00CC58A7" w:rsidRDefault="00DA6951" w:rsidP="00BE3F24">
            <w:pPr>
              <w:jc w:val="center"/>
              <w:rPr>
                <w:rFonts w:ascii="Arial" w:hAnsi="Arial"/>
                <w:sz w:val="18"/>
              </w:rPr>
            </w:pPr>
            <w:r>
              <w:rPr>
                <w:rFonts w:ascii="Arial" w:hAnsi="Arial"/>
                <w:sz w:val="18"/>
              </w:rPr>
              <w:t>Review</w:t>
            </w:r>
          </w:p>
        </w:tc>
        <w:tc>
          <w:tcPr>
            <w:tcW w:w="1926" w:type="dxa"/>
            <w:vAlign w:val="center"/>
          </w:tcPr>
          <w:p w14:paraId="76DBE212" w14:textId="77777777" w:rsidR="00DA6951" w:rsidRPr="00CC58A7" w:rsidRDefault="00DA6951" w:rsidP="00BE3F24">
            <w:pPr>
              <w:jc w:val="center"/>
              <w:rPr>
                <w:rFonts w:ascii="Arial" w:hAnsi="Arial"/>
                <w:sz w:val="18"/>
              </w:rPr>
            </w:pPr>
            <w:r w:rsidRPr="00CC58A7">
              <w:rPr>
                <w:rFonts w:ascii="Arial" w:hAnsi="Arial"/>
                <w:sz w:val="18"/>
              </w:rPr>
              <w:t>1</w:t>
            </w:r>
          </w:p>
        </w:tc>
        <w:tc>
          <w:tcPr>
            <w:tcW w:w="1584" w:type="dxa"/>
            <w:vAlign w:val="center"/>
          </w:tcPr>
          <w:p w14:paraId="6C7CB0F1" w14:textId="77777777" w:rsidR="00DA6951" w:rsidRPr="00CC58A7" w:rsidRDefault="00DA6951" w:rsidP="00BE3F24">
            <w:pPr>
              <w:jc w:val="center"/>
              <w:rPr>
                <w:rFonts w:ascii="Arial" w:hAnsi="Arial"/>
                <w:sz w:val="18"/>
              </w:rPr>
            </w:pPr>
            <w:r>
              <w:rPr>
                <w:rFonts w:ascii="Arial" w:hAnsi="Arial"/>
                <w:sz w:val="18"/>
              </w:rPr>
              <w:t>4*</w:t>
            </w:r>
          </w:p>
        </w:tc>
      </w:tr>
    </w:tbl>
    <w:p w14:paraId="4EB01EB1" w14:textId="77777777" w:rsidR="00DA6951" w:rsidRPr="00CC4DCD" w:rsidRDefault="00DA6951" w:rsidP="00BE3F24">
      <w:pPr>
        <w:rPr>
          <w:rFonts w:ascii="Arial" w:hAnsi="Arial"/>
          <w:sz w:val="18"/>
          <w:szCs w:val="18"/>
        </w:rPr>
      </w:pPr>
      <w:r w:rsidRPr="00CC4DCD">
        <w:rPr>
          <w:rFonts w:ascii="Arial" w:hAnsi="Arial"/>
          <w:sz w:val="18"/>
          <w:szCs w:val="18"/>
        </w:rPr>
        <w:t xml:space="preserve">    </w:t>
      </w:r>
      <w:r>
        <w:rPr>
          <w:rFonts w:ascii="Arial" w:hAnsi="Arial"/>
          <w:sz w:val="18"/>
          <w:szCs w:val="18"/>
        </w:rPr>
        <w:t xml:space="preserve"> </w:t>
      </w:r>
      <w:r w:rsidRPr="00CC4DCD">
        <w:rPr>
          <w:rFonts w:ascii="Arial" w:hAnsi="Arial"/>
          <w:sz w:val="18"/>
          <w:szCs w:val="18"/>
        </w:rPr>
        <w:t xml:space="preserve"> * The time required would vary depending on the size and complexity of a project.</w:t>
      </w:r>
    </w:p>
    <w:p w14:paraId="55964FF4" w14:textId="77777777" w:rsidR="00DA6951" w:rsidRPr="00CC58A7" w:rsidRDefault="00DA6951" w:rsidP="00BE3F24">
      <w:pPr>
        <w:pStyle w:val="Heading3"/>
        <w:ind w:left="0" w:firstLine="0"/>
      </w:pPr>
      <w:r w:rsidRPr="00CC58A7">
        <w:t>Procedure</w:t>
      </w:r>
    </w:p>
    <w:p w14:paraId="028633D0" w14:textId="2CFE283E" w:rsidR="00DA6951" w:rsidRDefault="00DA6951" w:rsidP="00BE3F24">
      <w:pPr>
        <w:pStyle w:val="BodyText"/>
        <w:spacing w:after="0"/>
        <w:jc w:val="both"/>
      </w:pPr>
      <w:r w:rsidRPr="00CC58A7">
        <w:t xml:space="preserve">The procedure </w:t>
      </w:r>
      <w:r w:rsidRPr="00004850">
        <w:t xml:space="preserve">described </w:t>
      </w:r>
      <w:r w:rsidR="00D73B4D">
        <w:t>below</w:t>
      </w:r>
      <w:r w:rsidRPr="00004850">
        <w:t xml:space="preserve"> should be followed when </w:t>
      </w:r>
      <w:r>
        <w:t>performing records review for a project</w:t>
      </w:r>
      <w:r w:rsidRPr="00004850">
        <w:t>.</w:t>
      </w:r>
      <w:r>
        <w:t xml:space="preserve">  </w:t>
      </w:r>
      <w:r w:rsidRPr="00004850">
        <w:t xml:space="preserve">The following procedure was written to provide the </w:t>
      </w:r>
      <w:r>
        <w:t>PAGD Engineer</w:t>
      </w:r>
      <w:r w:rsidRPr="00004850">
        <w:t xml:space="preserve"> with adequ</w:t>
      </w:r>
      <w:r w:rsidRPr="00CC58A7">
        <w:t xml:space="preserve">ate information to </w:t>
      </w:r>
      <w:r>
        <w:t>assist in reviewing records for a project.</w:t>
      </w:r>
    </w:p>
    <w:p w14:paraId="717E62D0" w14:textId="249AE490" w:rsidR="00DA6951" w:rsidRDefault="00DA6951" w:rsidP="00BE3F24">
      <w:pPr>
        <w:pStyle w:val="BodyText"/>
        <w:spacing w:after="0"/>
        <w:jc w:val="both"/>
      </w:pPr>
    </w:p>
    <w:p w14:paraId="18A1C4DF" w14:textId="77777777" w:rsidR="00DA6951" w:rsidRPr="00DA6951" w:rsidRDefault="00DA6951" w:rsidP="00BE3F24">
      <w:pPr>
        <w:pStyle w:val="BodyText"/>
        <w:spacing w:after="0"/>
        <w:jc w:val="both"/>
        <w:rPr>
          <w:szCs w:val="22"/>
        </w:rPr>
      </w:pPr>
      <w:r w:rsidRPr="00CC58A7">
        <w:t xml:space="preserve">Certain steps in the </w:t>
      </w:r>
      <w:r>
        <w:t xml:space="preserve">records review process and other processes might </w:t>
      </w:r>
      <w:r w:rsidRPr="00CC58A7">
        <w:t>overlap.  It is important to keep in mind that although these processes are broken out and written in separate sections, they are</w:t>
      </w:r>
      <w:r>
        <w:t xml:space="preserve"> a part of an overall p</w:t>
      </w:r>
      <w:r w:rsidRPr="00DA6951">
        <w:rPr>
          <w:szCs w:val="22"/>
        </w:rPr>
        <w:t xml:space="preserve">rocess. </w:t>
      </w:r>
    </w:p>
    <w:p w14:paraId="1D4B5636" w14:textId="43B15CC2" w:rsidR="00D73B4D" w:rsidRDefault="00DA6951" w:rsidP="00C67CEF">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240"/>
        <w:ind w:left="1080" w:right="29" w:hanging="1080"/>
        <w:jc w:val="both"/>
        <w:rPr>
          <w:rFonts w:ascii="Arial" w:hAnsi="Arial" w:cs="Arial"/>
          <w:sz w:val="22"/>
          <w:szCs w:val="22"/>
        </w:rPr>
      </w:pPr>
      <w:r w:rsidRPr="00922F83">
        <w:rPr>
          <w:rFonts w:ascii="Arial" w:hAnsi="Arial" w:cs="Arial"/>
          <w:sz w:val="22"/>
          <w:szCs w:val="22"/>
        </w:rPr>
        <w:t>Review of Construction History</w:t>
      </w:r>
      <w:r w:rsidR="00F07917" w:rsidRPr="00922F83">
        <w:rPr>
          <w:rFonts w:ascii="Arial" w:hAnsi="Arial" w:cs="Arial"/>
          <w:sz w:val="22"/>
          <w:szCs w:val="22"/>
        </w:rPr>
        <w:t xml:space="preserve"> and Performance Data</w:t>
      </w:r>
      <w:r w:rsidRPr="00922F83">
        <w:rPr>
          <w:rFonts w:ascii="Arial" w:hAnsi="Arial" w:cs="Arial"/>
          <w:sz w:val="22"/>
          <w:szCs w:val="22"/>
        </w:rPr>
        <w:t xml:space="preserve"> – Construction History can provide information regarding the Contract numbers of previous, adjoining or recently completed projects. It can also provide general information regarding the soil type, drainage type, or type of subgrade improvement (Capping Borrow, lime/cement treated aggregates bases or subgrades) used during construction of previous projects in the area.</w:t>
      </w:r>
      <w:r w:rsidR="00F07917" w:rsidRPr="00922F83">
        <w:rPr>
          <w:rFonts w:ascii="Arial" w:hAnsi="Arial" w:cs="Arial"/>
          <w:sz w:val="22"/>
          <w:szCs w:val="22"/>
        </w:rPr>
        <w:t xml:space="preserve">  Also retrieve performance data (ride quality, friction, rutting, cracking) and other network-level data for the project site and place in file.</w:t>
      </w:r>
    </w:p>
    <w:p w14:paraId="06404E94" w14:textId="77777777" w:rsidR="00922F83" w:rsidRDefault="00922F83" w:rsidP="00922F83">
      <w:pPr>
        <w:widowControl w:val="0"/>
        <w:shd w:val="clear" w:color="auto" w:fill="FFFFFF"/>
        <w:tabs>
          <w:tab w:val="left" w:pos="1080"/>
          <w:tab w:val="left" w:pos="8717"/>
        </w:tabs>
        <w:autoSpaceDE w:val="0"/>
        <w:autoSpaceDN w:val="0"/>
        <w:adjustRightInd w:val="0"/>
        <w:spacing w:before="240"/>
        <w:ind w:left="1080" w:right="29"/>
        <w:jc w:val="both"/>
        <w:rPr>
          <w:rFonts w:ascii="Arial" w:hAnsi="Arial" w:cs="Arial"/>
          <w:sz w:val="22"/>
          <w:szCs w:val="22"/>
        </w:rPr>
      </w:pPr>
    </w:p>
    <w:p w14:paraId="4990664C" w14:textId="77777777" w:rsidR="00922F83" w:rsidRDefault="00922F83" w:rsidP="00922F83">
      <w:pPr>
        <w:widowControl w:val="0"/>
        <w:shd w:val="clear" w:color="auto" w:fill="FFFFFF"/>
        <w:tabs>
          <w:tab w:val="left" w:pos="1080"/>
          <w:tab w:val="left" w:pos="8717"/>
        </w:tabs>
        <w:autoSpaceDE w:val="0"/>
        <w:autoSpaceDN w:val="0"/>
        <w:adjustRightInd w:val="0"/>
        <w:spacing w:before="240"/>
        <w:ind w:left="1080" w:right="29"/>
        <w:jc w:val="both"/>
        <w:rPr>
          <w:rFonts w:ascii="Arial" w:hAnsi="Arial" w:cs="Arial"/>
          <w:sz w:val="22"/>
          <w:szCs w:val="22"/>
        </w:rPr>
        <w:sectPr w:rsidR="00922F83" w:rsidSect="00466A64">
          <w:headerReference w:type="default" r:id="rId30"/>
          <w:footerReference w:type="default" r:id="rId31"/>
          <w:pgSz w:w="12240" w:h="15840"/>
          <w:pgMar w:top="1440" w:right="1800" w:bottom="1440" w:left="1800" w:header="720" w:footer="720" w:gutter="0"/>
          <w:pgNumType w:chapStyle="1"/>
          <w:cols w:space="720"/>
          <w:docGrid w:linePitch="272"/>
        </w:sectPr>
      </w:pPr>
    </w:p>
    <w:p w14:paraId="7B40726D" w14:textId="500CFCCE" w:rsidR="001A15B9" w:rsidRDefault="00DA6951" w:rsidP="00557A8B">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120"/>
        <w:ind w:left="1080" w:right="29" w:hanging="1080"/>
        <w:jc w:val="both"/>
        <w:rPr>
          <w:rFonts w:ascii="Arial" w:hAnsi="Arial" w:cs="Arial"/>
          <w:sz w:val="22"/>
          <w:szCs w:val="22"/>
        </w:rPr>
      </w:pPr>
      <w:r w:rsidRPr="00DA6951">
        <w:rPr>
          <w:rFonts w:ascii="Arial" w:hAnsi="Arial" w:cs="Arial"/>
          <w:sz w:val="22"/>
          <w:szCs w:val="22"/>
        </w:rPr>
        <w:lastRenderedPageBreak/>
        <w:t>Review of VisiData – View VisiData for the entire project for general features (cuts, fills, structures, surface drainage, utilities, etc.)</w:t>
      </w:r>
    </w:p>
    <w:p w14:paraId="7272B588" w14:textId="22BCB9C6" w:rsidR="001A15B9" w:rsidRDefault="00DA6951" w:rsidP="00557A8B">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120"/>
        <w:ind w:left="1080" w:right="29" w:hanging="1080"/>
        <w:jc w:val="both"/>
        <w:rPr>
          <w:rFonts w:ascii="Arial" w:hAnsi="Arial" w:cs="Arial"/>
          <w:sz w:val="22"/>
          <w:szCs w:val="22"/>
        </w:rPr>
      </w:pPr>
      <w:r w:rsidRPr="00DA6951">
        <w:rPr>
          <w:rFonts w:ascii="Arial" w:hAnsi="Arial" w:cs="Arial"/>
          <w:sz w:val="22"/>
          <w:szCs w:val="22"/>
        </w:rPr>
        <w:t xml:space="preserve">Review of As-Built – As-built plans are available through </w:t>
      </w:r>
      <w:r w:rsidR="009C2B20">
        <w:rPr>
          <w:rFonts w:ascii="Arial" w:hAnsi="Arial" w:cs="Arial"/>
          <w:sz w:val="22"/>
          <w:szCs w:val="22"/>
        </w:rPr>
        <w:t xml:space="preserve">ArcGIS or </w:t>
      </w:r>
      <w:r w:rsidRPr="00DA6951">
        <w:rPr>
          <w:rFonts w:ascii="Arial" w:hAnsi="Arial" w:cs="Arial"/>
          <w:sz w:val="22"/>
          <w:szCs w:val="22"/>
        </w:rPr>
        <w:t xml:space="preserve">the OHD </w:t>
      </w:r>
      <w:r w:rsidR="009C2B20">
        <w:rPr>
          <w:rFonts w:ascii="Arial" w:hAnsi="Arial" w:cs="Arial"/>
          <w:sz w:val="22"/>
          <w:szCs w:val="22"/>
        </w:rPr>
        <w:t xml:space="preserve">archives </w:t>
      </w:r>
      <w:r w:rsidRPr="00DA6951">
        <w:rPr>
          <w:rFonts w:ascii="Arial" w:hAnsi="Arial" w:cs="Arial"/>
          <w:sz w:val="22"/>
          <w:szCs w:val="22"/>
        </w:rPr>
        <w:t>or may be reques</w:t>
      </w:r>
      <w:r w:rsidRPr="009C3BFF">
        <w:rPr>
          <w:rFonts w:ascii="Arial" w:hAnsi="Arial" w:cs="Arial"/>
          <w:sz w:val="22"/>
          <w:szCs w:val="22"/>
        </w:rPr>
        <w:t xml:space="preserve">ted from the PM.  </w:t>
      </w:r>
      <w:r w:rsidR="009C3BFF" w:rsidRPr="009C3BFF">
        <w:rPr>
          <w:rFonts w:ascii="Arial" w:hAnsi="Arial" w:cs="Arial"/>
          <w:sz w:val="22"/>
          <w:szCs w:val="22"/>
        </w:rPr>
        <w:t xml:space="preserve">Refer to </w:t>
      </w:r>
      <w:hyperlink r:id="rId32" w:history="1">
        <w:r w:rsidR="009C3BFF" w:rsidRPr="009C3BFF">
          <w:rPr>
            <w:rStyle w:val="Hyperlink"/>
            <w:rFonts w:ascii="Arial" w:hAnsi="Arial" w:cs="Arial"/>
            <w:sz w:val="22"/>
            <w:szCs w:val="22"/>
          </w:rPr>
          <w:t>How to Access AsBuilts 1-2-3</w:t>
        </w:r>
      </w:hyperlink>
      <w:r w:rsidR="009C3BFF">
        <w:rPr>
          <w:rFonts w:ascii="Arial" w:hAnsi="Arial" w:cs="Arial"/>
          <w:sz w:val="22"/>
          <w:szCs w:val="22"/>
        </w:rPr>
        <w:t xml:space="preserve">.  </w:t>
      </w:r>
      <w:r w:rsidRPr="009C3BFF">
        <w:rPr>
          <w:rFonts w:ascii="Arial" w:hAnsi="Arial" w:cs="Arial"/>
          <w:sz w:val="22"/>
          <w:szCs w:val="22"/>
        </w:rPr>
        <w:t>T</w:t>
      </w:r>
      <w:r w:rsidRPr="00DA6951">
        <w:rPr>
          <w:rFonts w:ascii="Arial" w:hAnsi="Arial" w:cs="Arial"/>
          <w:sz w:val="22"/>
          <w:szCs w:val="22"/>
        </w:rPr>
        <w:t>he plans should be reviewed for soils information and groundwater information, materials used in embankment and subgrade construction, subsurface drainage structures</w:t>
      </w:r>
      <w:r w:rsidR="00D73B4D">
        <w:rPr>
          <w:rFonts w:ascii="Arial" w:hAnsi="Arial" w:cs="Arial"/>
          <w:sz w:val="22"/>
          <w:szCs w:val="22"/>
        </w:rPr>
        <w:t>,</w:t>
      </w:r>
      <w:r w:rsidRPr="00DA6951">
        <w:rPr>
          <w:rFonts w:ascii="Arial" w:hAnsi="Arial" w:cs="Arial"/>
          <w:sz w:val="22"/>
          <w:szCs w:val="22"/>
        </w:rPr>
        <w:t xml:space="preserve"> and other pertinent information. </w:t>
      </w:r>
    </w:p>
    <w:p w14:paraId="35AB1F03" w14:textId="7344FC81" w:rsidR="003671A8" w:rsidRDefault="00DA6951" w:rsidP="00557A8B">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120"/>
        <w:ind w:left="1080" w:right="29" w:hanging="1080"/>
        <w:jc w:val="both"/>
        <w:rPr>
          <w:rFonts w:ascii="Arial" w:hAnsi="Arial" w:cs="Arial"/>
          <w:sz w:val="22"/>
          <w:szCs w:val="22"/>
        </w:rPr>
      </w:pPr>
      <w:r w:rsidRPr="00DA6951">
        <w:rPr>
          <w:rFonts w:ascii="Arial" w:hAnsi="Arial" w:cs="Arial"/>
          <w:sz w:val="22"/>
          <w:szCs w:val="22"/>
        </w:rPr>
        <w:t>Review of Previous and Adjoining Contracts</w:t>
      </w:r>
      <w:r w:rsidR="00D73B4D">
        <w:rPr>
          <w:rFonts w:ascii="Arial" w:hAnsi="Arial" w:cs="Arial"/>
          <w:sz w:val="22"/>
          <w:szCs w:val="22"/>
        </w:rPr>
        <w:t xml:space="preserve"> – </w:t>
      </w:r>
      <w:r w:rsidRPr="00DA6951">
        <w:rPr>
          <w:rFonts w:ascii="Arial" w:hAnsi="Arial" w:cs="Arial"/>
          <w:sz w:val="22"/>
          <w:szCs w:val="22"/>
        </w:rPr>
        <w:t xml:space="preserve">Review should be made of the files of previous and adjoining or nearby projects.  The nature of problems encountered on these projects and their recommended solutions should be noted since similar problems may be encountered on the current project. If the reviewed project or projects are under construction or completed, they should be inspected in the field. Problems originating during construction or developing after completion of a project may influence the coverage, type of special samples, or the final recommendations for the proposed project. </w:t>
      </w:r>
    </w:p>
    <w:p w14:paraId="00D192A1" w14:textId="3897E81C" w:rsidR="001A15B9" w:rsidRDefault="00DA6951" w:rsidP="003671A8">
      <w:pPr>
        <w:widowControl w:val="0"/>
        <w:shd w:val="clear" w:color="auto" w:fill="FFFFFF"/>
        <w:tabs>
          <w:tab w:val="left" w:pos="1080"/>
          <w:tab w:val="left" w:pos="8717"/>
        </w:tabs>
        <w:autoSpaceDE w:val="0"/>
        <w:autoSpaceDN w:val="0"/>
        <w:adjustRightInd w:val="0"/>
        <w:spacing w:before="120"/>
        <w:ind w:left="1080" w:right="29"/>
        <w:jc w:val="both"/>
        <w:rPr>
          <w:rFonts w:ascii="Arial" w:hAnsi="Arial" w:cs="Arial"/>
          <w:sz w:val="22"/>
          <w:szCs w:val="22"/>
        </w:rPr>
      </w:pPr>
      <w:r w:rsidRPr="00DA6951">
        <w:rPr>
          <w:rFonts w:ascii="Arial" w:hAnsi="Arial" w:cs="Arial"/>
          <w:sz w:val="22"/>
          <w:szCs w:val="22"/>
        </w:rPr>
        <w:t>In addition, files of previous projects may contain pertinent correspondence that was directed to the various departments of the State Highway Administration and/or various Consulting Engineering Firms. Such correspondence may include requests for specific information or may contain information which will be of value in planning the subsurface investigation. For example, problems with unmarked underground utilities, potential problems with a specific property owner, ROW problems requiring either special slopes or construction of a costly retaining wall, etc.</w:t>
      </w:r>
    </w:p>
    <w:p w14:paraId="02F2EA7B" w14:textId="77777777" w:rsidR="003671A8" w:rsidRDefault="003671A8" w:rsidP="003671A8">
      <w:pPr>
        <w:widowControl w:val="0"/>
        <w:shd w:val="clear" w:color="auto" w:fill="FFFFFF"/>
        <w:tabs>
          <w:tab w:val="left" w:pos="1080"/>
          <w:tab w:val="left" w:pos="8717"/>
        </w:tabs>
        <w:autoSpaceDE w:val="0"/>
        <w:autoSpaceDN w:val="0"/>
        <w:adjustRightInd w:val="0"/>
        <w:spacing w:before="120"/>
        <w:ind w:left="1080" w:right="29"/>
        <w:jc w:val="both"/>
        <w:rPr>
          <w:rFonts w:ascii="Arial" w:hAnsi="Arial" w:cs="Arial"/>
          <w:sz w:val="22"/>
          <w:szCs w:val="22"/>
        </w:rPr>
      </w:pPr>
      <w:r>
        <w:rPr>
          <w:rFonts w:ascii="Arial" w:hAnsi="Arial" w:cs="Arial"/>
          <w:sz w:val="22"/>
          <w:szCs w:val="22"/>
        </w:rPr>
        <w:t xml:space="preserve">Look for </w:t>
      </w:r>
      <w:hyperlink r:id="rId33" w:history="1">
        <w:r w:rsidRPr="003671A8">
          <w:rPr>
            <w:rStyle w:val="Hyperlink"/>
            <w:rFonts w:ascii="Arial" w:hAnsi="Arial" w:cs="Arial"/>
            <w:sz w:val="22"/>
            <w:szCs w:val="22"/>
          </w:rPr>
          <w:t>previous cores</w:t>
        </w:r>
      </w:hyperlink>
      <w:r>
        <w:rPr>
          <w:rFonts w:ascii="Arial" w:hAnsi="Arial" w:cs="Arial"/>
          <w:sz w:val="22"/>
          <w:szCs w:val="22"/>
        </w:rPr>
        <w:t xml:space="preserve"> to determine pavement structures and condition at various points in time.  This can be done by looking through the core log table of contents, and finding core logs in similar project limits.</w:t>
      </w:r>
    </w:p>
    <w:p w14:paraId="3C1A28CE" w14:textId="0A48C5E3" w:rsidR="001A15B9" w:rsidRDefault="00DA6951" w:rsidP="00557A8B">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120"/>
        <w:ind w:left="1080" w:right="29" w:hanging="1080"/>
        <w:jc w:val="both"/>
        <w:rPr>
          <w:rFonts w:ascii="Arial" w:hAnsi="Arial" w:cs="Arial"/>
          <w:sz w:val="22"/>
          <w:szCs w:val="22"/>
        </w:rPr>
      </w:pPr>
      <w:r w:rsidRPr="00DA6951">
        <w:rPr>
          <w:rFonts w:ascii="Arial" w:hAnsi="Arial" w:cs="Arial"/>
          <w:sz w:val="22"/>
          <w:szCs w:val="22"/>
        </w:rPr>
        <w:t xml:space="preserve">Review of Soil Information for Existing Structures – Review the Small Structure and Bridge Inventories on the OOS website for structures adjacent or within the proposed project limits.  Using the structure number, search the OOS </w:t>
      </w:r>
      <w:r w:rsidR="00973D5B">
        <w:rPr>
          <w:rFonts w:ascii="Arial" w:hAnsi="Arial" w:cs="Arial"/>
          <w:sz w:val="22"/>
          <w:szCs w:val="22"/>
        </w:rPr>
        <w:t>a</w:t>
      </w:r>
      <w:r w:rsidRPr="00DA6951">
        <w:rPr>
          <w:rFonts w:ascii="Arial" w:hAnsi="Arial" w:cs="Arial"/>
          <w:sz w:val="22"/>
          <w:szCs w:val="22"/>
        </w:rPr>
        <w:t xml:space="preserve">s-builts on the S Drive.  The </w:t>
      </w:r>
      <w:r w:rsidR="00973D5B">
        <w:rPr>
          <w:rFonts w:ascii="Arial" w:hAnsi="Arial" w:cs="Arial"/>
          <w:sz w:val="22"/>
          <w:szCs w:val="22"/>
        </w:rPr>
        <w:t>a</w:t>
      </w:r>
      <w:r w:rsidRPr="00DA6951">
        <w:rPr>
          <w:rFonts w:ascii="Arial" w:hAnsi="Arial" w:cs="Arial"/>
          <w:sz w:val="22"/>
          <w:szCs w:val="22"/>
        </w:rPr>
        <w:t>s-builts generally contain boring and test sheets of previous subsurface investigations.</w:t>
      </w:r>
    </w:p>
    <w:p w14:paraId="529C4E0C" w14:textId="24DC4978" w:rsidR="001A15B9" w:rsidRDefault="00DA6951" w:rsidP="00557A8B">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120"/>
        <w:ind w:left="1080" w:right="29" w:hanging="1080"/>
        <w:jc w:val="both"/>
        <w:rPr>
          <w:rFonts w:ascii="Arial" w:hAnsi="Arial" w:cs="Arial"/>
          <w:sz w:val="22"/>
          <w:szCs w:val="22"/>
        </w:rPr>
      </w:pPr>
      <w:r w:rsidRPr="00DA6951">
        <w:rPr>
          <w:rFonts w:ascii="Arial" w:hAnsi="Arial" w:cs="Arial"/>
          <w:sz w:val="22"/>
          <w:szCs w:val="22"/>
        </w:rPr>
        <w:t>Review of Geological Maps</w:t>
      </w:r>
      <w:r w:rsidR="00D73B4D">
        <w:rPr>
          <w:rFonts w:ascii="Arial" w:hAnsi="Arial" w:cs="Arial"/>
          <w:sz w:val="22"/>
          <w:szCs w:val="22"/>
        </w:rPr>
        <w:t xml:space="preserve"> – </w:t>
      </w:r>
      <w:r w:rsidRPr="00DA6951">
        <w:rPr>
          <w:rFonts w:ascii="Arial" w:hAnsi="Arial" w:cs="Arial"/>
          <w:sz w:val="22"/>
          <w:szCs w:val="22"/>
        </w:rPr>
        <w:t>These maps provide general information about geological formations.  The EGD should be consulted regarding the interpretation of the information obtained from geological maps.</w:t>
      </w:r>
    </w:p>
    <w:p w14:paraId="516B0078" w14:textId="31FB3652" w:rsidR="001A15B9" w:rsidRDefault="00DA6951" w:rsidP="00557A8B">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120"/>
        <w:ind w:left="1080" w:right="29" w:hanging="1080"/>
        <w:jc w:val="both"/>
        <w:rPr>
          <w:rFonts w:ascii="Arial" w:hAnsi="Arial" w:cs="Arial"/>
          <w:sz w:val="22"/>
          <w:szCs w:val="22"/>
        </w:rPr>
      </w:pPr>
      <w:r w:rsidRPr="00DA6951">
        <w:rPr>
          <w:rFonts w:ascii="Arial" w:hAnsi="Arial" w:cs="Arial"/>
          <w:sz w:val="22"/>
          <w:szCs w:val="22"/>
        </w:rPr>
        <w:t>Review of USDA Soil Mapping – USDA Soil Maps indicate general information on soil types, depth to bedrock, depth of groundwater table, and engineering properties of soils which may be helpful in planning the subsurface investigation. However, they are of limited value because the information is limited to shallow depths. EGD should be consulted on the information obtained from USDA Soil Maps.</w:t>
      </w:r>
    </w:p>
    <w:p w14:paraId="10FDDAD5" w14:textId="0D5FA456" w:rsidR="00635087" w:rsidRPr="00635087" w:rsidRDefault="00DA6951" w:rsidP="00557A8B">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120"/>
        <w:ind w:left="1080" w:right="29" w:hanging="1080"/>
        <w:jc w:val="both"/>
        <w:rPr>
          <w:rFonts w:ascii="Tahoma" w:hAnsi="Tahoma" w:cs="Tahoma"/>
          <w:color w:val="000000"/>
        </w:rPr>
      </w:pPr>
      <w:r w:rsidRPr="00635087">
        <w:rPr>
          <w:rFonts w:ascii="Arial" w:hAnsi="Arial" w:cs="Arial"/>
          <w:sz w:val="22"/>
          <w:szCs w:val="22"/>
        </w:rPr>
        <w:t>Review Environmental Impact Statement (EIS)</w:t>
      </w:r>
      <w:r w:rsidR="00D73B4D">
        <w:rPr>
          <w:rFonts w:ascii="Arial" w:hAnsi="Arial" w:cs="Arial"/>
          <w:sz w:val="22"/>
          <w:szCs w:val="22"/>
        </w:rPr>
        <w:t xml:space="preserve"> – </w:t>
      </w:r>
      <w:r w:rsidRPr="00635087">
        <w:rPr>
          <w:rFonts w:ascii="Arial" w:hAnsi="Arial" w:cs="Arial"/>
          <w:sz w:val="22"/>
          <w:szCs w:val="22"/>
        </w:rPr>
        <w:t>An EIS may be obtained from the PM if one was conducted for the project. The EIS should be reviewed by the PAGD Engineer and a copy should be provided to the EGD for review.</w:t>
      </w:r>
    </w:p>
    <w:p w14:paraId="0052DC28" w14:textId="1279BDF6" w:rsidR="00635087" w:rsidRPr="00C376DC" w:rsidRDefault="00635087" w:rsidP="00A16700">
      <w:pPr>
        <w:widowControl w:val="0"/>
        <w:numPr>
          <w:ilvl w:val="0"/>
          <w:numId w:val="35"/>
        </w:numPr>
        <w:shd w:val="clear" w:color="auto" w:fill="FFFFFF"/>
        <w:tabs>
          <w:tab w:val="clear" w:pos="1152"/>
          <w:tab w:val="num" w:pos="-1008"/>
          <w:tab w:val="left" w:pos="1080"/>
          <w:tab w:val="left" w:pos="8717"/>
        </w:tabs>
        <w:autoSpaceDE w:val="0"/>
        <w:autoSpaceDN w:val="0"/>
        <w:adjustRightInd w:val="0"/>
        <w:spacing w:before="120"/>
        <w:ind w:left="1080" w:right="29" w:hanging="1080"/>
        <w:jc w:val="both"/>
        <w:rPr>
          <w:rFonts w:ascii="Arial" w:hAnsi="Arial" w:cs="Arial"/>
          <w:color w:val="000000"/>
        </w:rPr>
      </w:pPr>
      <w:r w:rsidRPr="00C376DC">
        <w:rPr>
          <w:rFonts w:ascii="Arial" w:hAnsi="Arial" w:cs="Arial"/>
          <w:sz w:val="22"/>
          <w:szCs w:val="22"/>
        </w:rPr>
        <w:t>Review of floodplains, wetlands, and more</w:t>
      </w:r>
      <w:r w:rsidR="00C376DC" w:rsidRPr="00C376DC">
        <w:rPr>
          <w:rFonts w:ascii="Arial" w:hAnsi="Arial" w:cs="Arial"/>
          <w:sz w:val="22"/>
          <w:szCs w:val="22"/>
        </w:rPr>
        <w:t xml:space="preserve"> by entering these terms is the search field of: </w:t>
      </w:r>
      <w:hyperlink r:id="rId34" w:history="1">
        <w:r w:rsidR="00C376DC" w:rsidRPr="00C376DC">
          <w:rPr>
            <w:rStyle w:val="Hyperlink"/>
            <w:rFonts w:ascii="Arial" w:hAnsi="Arial" w:cs="Arial"/>
            <w:sz w:val="22"/>
            <w:szCs w:val="22"/>
          </w:rPr>
          <w:t>https://data.imap.maryland.gov/</w:t>
        </w:r>
      </w:hyperlink>
      <w:r w:rsidR="00C376DC">
        <w:rPr>
          <w:rFonts w:ascii="Arial" w:hAnsi="Arial" w:cs="Arial"/>
          <w:sz w:val="22"/>
          <w:szCs w:val="22"/>
        </w:rPr>
        <w:t>.</w:t>
      </w:r>
      <w:hyperlink r:id="rId35" w:tgtFrame="_blank" w:history="1"/>
    </w:p>
    <w:p w14:paraId="05D4AD72" w14:textId="77777777" w:rsidR="001A15B9" w:rsidRDefault="00DA6951" w:rsidP="00635087">
      <w:pPr>
        <w:widowControl w:val="0"/>
        <w:shd w:val="clear" w:color="auto" w:fill="FFFFFF"/>
        <w:tabs>
          <w:tab w:val="left" w:pos="1080"/>
          <w:tab w:val="left" w:pos="8717"/>
        </w:tabs>
        <w:autoSpaceDE w:val="0"/>
        <w:autoSpaceDN w:val="0"/>
        <w:adjustRightInd w:val="0"/>
        <w:spacing w:before="120"/>
        <w:ind w:left="1080" w:right="29"/>
        <w:jc w:val="both"/>
        <w:rPr>
          <w:sz w:val="22"/>
          <w:szCs w:val="22"/>
        </w:rPr>
      </w:pPr>
      <w:r w:rsidRPr="00DA6951">
        <w:rPr>
          <w:sz w:val="22"/>
          <w:szCs w:val="22"/>
        </w:rPr>
        <w:t xml:space="preserve"> </w:t>
      </w:r>
    </w:p>
    <w:p w14:paraId="4B0EA9C2" w14:textId="77777777" w:rsidR="009855C4" w:rsidRDefault="009855C4" w:rsidP="00BE3F24">
      <w:pPr>
        <w:pStyle w:val="Heading2"/>
        <w:ind w:left="0" w:firstLine="0"/>
        <w:sectPr w:rsidR="009855C4" w:rsidSect="00466A64">
          <w:footerReference w:type="default" r:id="rId36"/>
          <w:pgSz w:w="12240" w:h="15840"/>
          <w:pgMar w:top="1440" w:right="1800" w:bottom="1440" w:left="1800" w:header="720" w:footer="720" w:gutter="0"/>
          <w:pgNumType w:chapStyle="1"/>
          <w:cols w:space="720"/>
          <w:docGrid w:linePitch="272"/>
        </w:sectPr>
      </w:pPr>
    </w:p>
    <w:p w14:paraId="0C935A4C" w14:textId="3014D940" w:rsidR="00800A99" w:rsidRPr="00160E58" w:rsidRDefault="00160E58" w:rsidP="00BE3F24">
      <w:pPr>
        <w:pStyle w:val="Heading2"/>
        <w:ind w:left="0" w:firstLine="0"/>
      </w:pPr>
      <w:bookmarkStart w:id="31" w:name="_OMT_Internal_Meetings"/>
      <w:bookmarkStart w:id="32" w:name="_Toc514057962"/>
      <w:bookmarkStart w:id="33" w:name="_Toc479160071"/>
      <w:bookmarkStart w:id="34" w:name="_Toc194932356"/>
      <w:bookmarkEnd w:id="31"/>
      <w:r>
        <w:lastRenderedPageBreak/>
        <w:t>OMT Internal Meetings</w:t>
      </w:r>
      <w:r w:rsidR="00550506">
        <w:t xml:space="preserve"> (OMT </w:t>
      </w:r>
      <w:bookmarkEnd w:id="32"/>
      <w:r w:rsidR="00994B26">
        <w:t>Project Initiation</w:t>
      </w:r>
      <w:r w:rsidR="00550506">
        <w:t>)</w:t>
      </w:r>
      <w:bookmarkEnd w:id="33"/>
      <w:bookmarkEnd w:id="34"/>
      <w:r w:rsidR="00800A99">
        <w:t xml:space="preserve"> </w:t>
      </w:r>
    </w:p>
    <w:p w14:paraId="0BFBC8A4" w14:textId="77777777" w:rsidR="00800A99" w:rsidRDefault="00800A99" w:rsidP="00BE3F24">
      <w:pPr>
        <w:pStyle w:val="Heading3"/>
        <w:ind w:left="0" w:firstLine="0"/>
      </w:pPr>
      <w:r>
        <w:t>General</w:t>
      </w:r>
    </w:p>
    <w:p w14:paraId="554CE370" w14:textId="1AB0C197" w:rsidR="00800A99" w:rsidRPr="00800A99" w:rsidRDefault="00800A99" w:rsidP="00BE3F24">
      <w:pPr>
        <w:jc w:val="both"/>
        <w:rPr>
          <w:rFonts w:ascii="Arial" w:hAnsi="Arial" w:cs="Arial"/>
          <w:sz w:val="22"/>
          <w:szCs w:val="22"/>
        </w:rPr>
      </w:pPr>
      <w:r w:rsidRPr="00800A99">
        <w:rPr>
          <w:rFonts w:ascii="Arial" w:hAnsi="Arial" w:cs="Arial"/>
          <w:sz w:val="22"/>
          <w:szCs w:val="22"/>
        </w:rPr>
        <w:t xml:space="preserve">This section discusses the importance of having an internal meeting of OMT representatives at the project initiation </w:t>
      </w:r>
      <w:r w:rsidR="00094EFD">
        <w:rPr>
          <w:rFonts w:ascii="Arial" w:hAnsi="Arial" w:cs="Arial"/>
          <w:sz w:val="22"/>
          <w:szCs w:val="22"/>
        </w:rPr>
        <w:t xml:space="preserve">(PI) </w:t>
      </w:r>
      <w:r w:rsidRPr="00800A99">
        <w:rPr>
          <w:rFonts w:ascii="Arial" w:hAnsi="Arial" w:cs="Arial"/>
          <w:sz w:val="22"/>
          <w:szCs w:val="22"/>
        </w:rPr>
        <w:t xml:space="preserve">and how it is beneficial to the project.  Internal meetings should be held for all projects involving coordination or participation between PAGD and other OMT Divisions. This meeting may involve participation from one or more OMT Divisions.  The duration of the meeting may vary from a half-hour to several hours depending on the scope and complexity of the project.  It is intended that this meeting will </w:t>
      </w:r>
      <w:r w:rsidR="00D73B4D">
        <w:rPr>
          <w:rFonts w:ascii="Arial" w:hAnsi="Arial" w:cs="Arial"/>
          <w:sz w:val="22"/>
          <w:szCs w:val="22"/>
        </w:rPr>
        <w:t xml:space="preserve">be </w:t>
      </w:r>
      <w:r w:rsidRPr="00800A99">
        <w:rPr>
          <w:rFonts w:ascii="Arial" w:hAnsi="Arial" w:cs="Arial"/>
          <w:sz w:val="22"/>
          <w:szCs w:val="22"/>
        </w:rPr>
        <w:t xml:space="preserve">held at the project initiation; however, OMT internal meetings may be required at various times throughout the project duration.  </w:t>
      </w:r>
    </w:p>
    <w:p w14:paraId="01BE31CF" w14:textId="77777777" w:rsidR="00800A99" w:rsidRDefault="00800A99" w:rsidP="00BE3F24">
      <w:pPr>
        <w:pStyle w:val="Heading3"/>
        <w:ind w:left="0" w:firstLine="0"/>
      </w:pPr>
      <w:r>
        <w:t>Purpose</w:t>
      </w:r>
    </w:p>
    <w:p w14:paraId="788977CF" w14:textId="77777777" w:rsidR="00800A99" w:rsidRDefault="00800A99" w:rsidP="00BE3F24">
      <w:pPr>
        <w:pStyle w:val="BodyText"/>
        <w:spacing w:after="0"/>
        <w:jc w:val="both"/>
      </w:pPr>
      <w:r>
        <w:t>An internal meeting for the project is needed to:</w:t>
      </w:r>
    </w:p>
    <w:p w14:paraId="3AC77191" w14:textId="77777777" w:rsidR="00FB7127" w:rsidRDefault="00FB7127" w:rsidP="00BE3F24">
      <w:pPr>
        <w:pStyle w:val="BodyText"/>
        <w:spacing w:after="0"/>
        <w:jc w:val="both"/>
      </w:pPr>
    </w:p>
    <w:p w14:paraId="4CC64772" w14:textId="77777777" w:rsidR="00800A99" w:rsidRDefault="00800A99" w:rsidP="00884709">
      <w:pPr>
        <w:pStyle w:val="ListNumber"/>
        <w:numPr>
          <w:ilvl w:val="0"/>
          <w:numId w:val="33"/>
        </w:numPr>
        <w:tabs>
          <w:tab w:val="clear" w:pos="1872"/>
        </w:tabs>
        <w:spacing w:before="0"/>
        <w:ind w:left="720" w:hanging="720"/>
        <w:jc w:val="both"/>
      </w:pPr>
      <w:r>
        <w:t>Review and discuss project scope and schedule</w:t>
      </w:r>
    </w:p>
    <w:p w14:paraId="6DAFCBEF" w14:textId="7412D14D" w:rsidR="00800A99" w:rsidRDefault="00800A99" w:rsidP="00884709">
      <w:pPr>
        <w:pStyle w:val="ListNumber"/>
        <w:numPr>
          <w:ilvl w:val="0"/>
          <w:numId w:val="33"/>
        </w:numPr>
        <w:tabs>
          <w:tab w:val="clear" w:pos="1872"/>
        </w:tabs>
        <w:spacing w:before="0"/>
        <w:ind w:left="720" w:hanging="720"/>
        <w:jc w:val="both"/>
      </w:pPr>
      <w:r>
        <w:t>Determine the level of responsibility and assign tasks for each OMT Division</w:t>
      </w:r>
      <w:r w:rsidR="001B15DE">
        <w:t>.</w:t>
      </w:r>
    </w:p>
    <w:p w14:paraId="0C2F82C5" w14:textId="52C5EB8E" w:rsidR="00800A99" w:rsidRPr="00DE4D42" w:rsidRDefault="00800A99" w:rsidP="00884709">
      <w:pPr>
        <w:pStyle w:val="ListNumber"/>
        <w:numPr>
          <w:ilvl w:val="0"/>
          <w:numId w:val="33"/>
        </w:numPr>
        <w:tabs>
          <w:tab w:val="clear" w:pos="1872"/>
        </w:tabs>
        <w:spacing w:before="0"/>
        <w:ind w:left="720" w:hanging="720"/>
        <w:jc w:val="both"/>
      </w:pPr>
      <w:r w:rsidRPr="00DE4D42">
        <w:t>For PAGD and EGD, identify routine and non-routine geotechnical features and elements of the project</w:t>
      </w:r>
      <w:r w:rsidR="00A07CCC" w:rsidRPr="00DE4D42">
        <w:t xml:space="preserve"> per the Executive Memorandum, outlining division of geotechnical responsibilities between PAGD and EGD, dated </w:t>
      </w:r>
      <w:r w:rsidR="00DE4D42" w:rsidRPr="00DE4D42">
        <w:t>November 20</w:t>
      </w:r>
      <w:r w:rsidR="00A07CCC" w:rsidRPr="00DE4D42">
        <w:t>, 2017.   This memor</w:t>
      </w:r>
      <w:r w:rsidR="001B15DE" w:rsidRPr="00DE4D42">
        <w:t>andum is provided in Appendix 9.1</w:t>
      </w:r>
      <w:r w:rsidR="005703AE" w:rsidRPr="00DE4D42">
        <w:t>5</w:t>
      </w:r>
      <w:r w:rsidR="00A07CCC" w:rsidRPr="00DE4D42">
        <w:t xml:space="preserve">.  </w:t>
      </w:r>
    </w:p>
    <w:p w14:paraId="5B7ECEE2" w14:textId="024091F7" w:rsidR="001B15DE" w:rsidRPr="00BC3ABF" w:rsidRDefault="001B15DE" w:rsidP="00557A8B">
      <w:pPr>
        <w:pStyle w:val="ListNumber"/>
        <w:numPr>
          <w:ilvl w:val="0"/>
          <w:numId w:val="33"/>
        </w:numPr>
        <w:tabs>
          <w:tab w:val="clear" w:pos="1872"/>
        </w:tabs>
        <w:spacing w:before="0"/>
        <w:ind w:left="720" w:hanging="720"/>
        <w:jc w:val="both"/>
        <w:rPr>
          <w:rFonts w:cs="Arial"/>
        </w:rPr>
      </w:pPr>
      <w:r w:rsidRPr="00BC3ABF">
        <w:rPr>
          <w:rFonts w:cs="Arial"/>
        </w:rPr>
        <w:t>Identify geological and groundwater issues at the project site with assistance from EGD’s Geology and Groundwater Section.  Issues may include conditions such as karst, potential for sinkholes, bedrock anticipated within project limits including rock cuts and foundation depths, wells and dewatering, springs, vibration monitoring requirements, contamination issues</w:t>
      </w:r>
      <w:r w:rsidR="00D651FE">
        <w:rPr>
          <w:rFonts w:cs="Arial"/>
        </w:rPr>
        <w:t>, e</w:t>
      </w:r>
      <w:r w:rsidR="00D26BC2" w:rsidRPr="00BC3ABF">
        <w:rPr>
          <w:rFonts w:cs="Arial"/>
        </w:rPr>
        <w:t>tc</w:t>
      </w:r>
      <w:r w:rsidR="00973D5B" w:rsidRPr="00BC3ABF">
        <w:rPr>
          <w:rFonts w:cs="Arial"/>
        </w:rPr>
        <w:t>.</w:t>
      </w:r>
      <w:r w:rsidRPr="00BC3ABF">
        <w:rPr>
          <w:rFonts w:cs="Arial"/>
        </w:rPr>
        <w:t>  </w:t>
      </w:r>
    </w:p>
    <w:p w14:paraId="15B86542" w14:textId="77777777" w:rsidR="00800A99" w:rsidRDefault="00800A99" w:rsidP="00884709">
      <w:pPr>
        <w:pStyle w:val="ListNumber"/>
        <w:numPr>
          <w:ilvl w:val="0"/>
          <w:numId w:val="33"/>
        </w:numPr>
        <w:tabs>
          <w:tab w:val="clear" w:pos="1872"/>
        </w:tabs>
        <w:spacing w:before="0"/>
        <w:ind w:left="720" w:hanging="720"/>
        <w:jc w:val="both"/>
      </w:pPr>
      <w:r>
        <w:t>Identify and discuss solutions to existing and potential problems</w:t>
      </w:r>
    </w:p>
    <w:p w14:paraId="3A30F597" w14:textId="77777777" w:rsidR="00CC5B4F" w:rsidRPr="00CC5B4F" w:rsidRDefault="00800A99" w:rsidP="00884709">
      <w:pPr>
        <w:pStyle w:val="ListNumber"/>
        <w:numPr>
          <w:ilvl w:val="0"/>
          <w:numId w:val="33"/>
        </w:numPr>
        <w:tabs>
          <w:tab w:val="clear" w:pos="1872"/>
        </w:tabs>
        <w:spacing w:before="0"/>
        <w:ind w:left="720" w:hanging="720"/>
        <w:jc w:val="both"/>
      </w:pPr>
      <w:r>
        <w:t>Prioritize tasks which are critical to project schedule</w:t>
      </w:r>
      <w:r w:rsidR="00CC5B4F" w:rsidRPr="00CC5B4F">
        <w:rPr>
          <w:rFonts w:cs="Arial"/>
          <w:color w:val="FF0000"/>
        </w:rPr>
        <w:t xml:space="preserve"> </w:t>
      </w:r>
    </w:p>
    <w:p w14:paraId="5E115676" w14:textId="034A71BC" w:rsidR="00800A99" w:rsidRPr="00CC5B4F" w:rsidRDefault="00CC5B4F" w:rsidP="00557A8B">
      <w:pPr>
        <w:pStyle w:val="ListNumber"/>
        <w:numPr>
          <w:ilvl w:val="0"/>
          <w:numId w:val="33"/>
        </w:numPr>
        <w:tabs>
          <w:tab w:val="clear" w:pos="1872"/>
        </w:tabs>
        <w:spacing w:before="0"/>
        <w:ind w:left="720" w:hanging="720"/>
        <w:jc w:val="both"/>
      </w:pPr>
      <w:r w:rsidRPr="00CC5B4F">
        <w:rPr>
          <w:rFonts w:cs="Arial"/>
        </w:rPr>
        <w:t>Make every effort to maintain open and clear communications between OMT Division throughout the project duration</w:t>
      </w:r>
    </w:p>
    <w:p w14:paraId="53DF6D81" w14:textId="77777777" w:rsidR="00800A99" w:rsidRPr="00CC58A7" w:rsidRDefault="00800A99" w:rsidP="00BE3F24">
      <w:pPr>
        <w:pStyle w:val="Heading3"/>
        <w:ind w:left="0" w:firstLine="0"/>
      </w:pPr>
      <w:r w:rsidRPr="00CC58A7">
        <w:t>Resource Requirements</w:t>
      </w:r>
    </w:p>
    <w:p w14:paraId="3D78DBC9" w14:textId="77777777" w:rsidR="00800A99" w:rsidRDefault="00800A99" w:rsidP="00BE3F24">
      <w:pPr>
        <w:pStyle w:val="BodyText"/>
        <w:spacing w:after="0"/>
        <w:jc w:val="both"/>
      </w:pPr>
      <w:r w:rsidRPr="00CC58A7">
        <w:t xml:space="preserve">The </w:t>
      </w:r>
      <w:r>
        <w:t>internal meetings are typically coordinated by the PAGD Engineer</w:t>
      </w:r>
      <w:r w:rsidRPr="00CC58A7">
        <w:t xml:space="preserve"> </w:t>
      </w:r>
      <w:r>
        <w:t xml:space="preserve">and take place </w:t>
      </w:r>
      <w:r w:rsidRPr="00CC58A7">
        <w:t>in the office</w:t>
      </w:r>
      <w:r>
        <w:t xml:space="preserve">. </w:t>
      </w:r>
      <w:r w:rsidRPr="00CC58A7">
        <w:t>The</w:t>
      </w:r>
      <w:r>
        <w:t xml:space="preserve"> internal meeting process </w:t>
      </w:r>
      <w:r w:rsidRPr="00CC58A7">
        <w:t xml:space="preserve">requires the following staffing needs for a typical </w:t>
      </w:r>
      <w:r>
        <w:t>project</w:t>
      </w:r>
      <w:r w:rsidRPr="00CC58A7">
        <w:t>:</w:t>
      </w:r>
    </w:p>
    <w:p w14:paraId="60947367" w14:textId="77777777" w:rsidR="00800A99" w:rsidRPr="00CC58A7" w:rsidRDefault="00800A99" w:rsidP="00BE3F24">
      <w:pPr>
        <w:pStyle w:val="BodyText"/>
        <w:spacing w:after="0"/>
        <w:jc w:val="both"/>
      </w:pPr>
    </w:p>
    <w:tbl>
      <w:tblPr>
        <w:tblW w:w="8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67"/>
        <w:gridCol w:w="2286"/>
        <w:gridCol w:w="1926"/>
        <w:gridCol w:w="1584"/>
      </w:tblGrid>
      <w:tr w:rsidR="00800A99" w:rsidRPr="00CC58A7" w14:paraId="6CE22290" w14:textId="77777777" w:rsidTr="003B74A4">
        <w:trPr>
          <w:trHeight w:val="288"/>
          <w:jc w:val="center"/>
        </w:trPr>
        <w:tc>
          <w:tcPr>
            <w:tcW w:w="2867" w:type="dxa"/>
            <w:shd w:val="pct15" w:color="auto" w:fill="FFFFFF"/>
            <w:vAlign w:val="center"/>
          </w:tcPr>
          <w:p w14:paraId="3A1C17E6" w14:textId="77777777" w:rsidR="00800A99" w:rsidRPr="00CC58A7" w:rsidRDefault="00800A99" w:rsidP="00884709">
            <w:pPr>
              <w:jc w:val="center"/>
              <w:rPr>
                <w:rFonts w:ascii="Arial" w:hAnsi="Arial"/>
                <w:b/>
              </w:rPr>
            </w:pPr>
            <w:r w:rsidRPr="00CC58A7">
              <w:rPr>
                <w:rFonts w:ascii="Arial" w:hAnsi="Arial"/>
                <w:b/>
              </w:rPr>
              <w:t>Position</w:t>
            </w:r>
          </w:p>
        </w:tc>
        <w:tc>
          <w:tcPr>
            <w:tcW w:w="2286" w:type="dxa"/>
            <w:shd w:val="pct15" w:color="auto" w:fill="FFFFFF"/>
            <w:vAlign w:val="center"/>
          </w:tcPr>
          <w:p w14:paraId="62CDB875" w14:textId="77777777" w:rsidR="00800A99" w:rsidRPr="00CC58A7" w:rsidRDefault="00800A99" w:rsidP="00884709">
            <w:pPr>
              <w:jc w:val="center"/>
              <w:rPr>
                <w:rFonts w:ascii="Arial" w:hAnsi="Arial"/>
                <w:b/>
              </w:rPr>
            </w:pPr>
            <w:r w:rsidRPr="00CC58A7">
              <w:rPr>
                <w:rFonts w:ascii="Arial" w:hAnsi="Arial"/>
                <w:b/>
              </w:rPr>
              <w:t>Function</w:t>
            </w:r>
          </w:p>
        </w:tc>
        <w:tc>
          <w:tcPr>
            <w:tcW w:w="1926" w:type="dxa"/>
            <w:shd w:val="pct15" w:color="auto" w:fill="FFFFFF"/>
            <w:vAlign w:val="center"/>
          </w:tcPr>
          <w:p w14:paraId="092A3B8C" w14:textId="77777777" w:rsidR="00800A99" w:rsidRPr="00CC58A7" w:rsidRDefault="00800A99" w:rsidP="00884709">
            <w:pPr>
              <w:jc w:val="center"/>
              <w:rPr>
                <w:rFonts w:ascii="Arial" w:hAnsi="Arial"/>
                <w:b/>
              </w:rPr>
            </w:pPr>
            <w:r w:rsidRPr="00CC58A7">
              <w:rPr>
                <w:rFonts w:ascii="Arial" w:hAnsi="Arial"/>
                <w:b/>
              </w:rPr>
              <w:t>Resources</w:t>
            </w:r>
          </w:p>
        </w:tc>
        <w:tc>
          <w:tcPr>
            <w:tcW w:w="1584" w:type="dxa"/>
            <w:shd w:val="pct15" w:color="auto" w:fill="FFFFFF"/>
            <w:vAlign w:val="center"/>
          </w:tcPr>
          <w:p w14:paraId="343B1193" w14:textId="77777777" w:rsidR="00800A99" w:rsidRPr="00CC58A7" w:rsidRDefault="00800A99" w:rsidP="00884709">
            <w:pPr>
              <w:jc w:val="center"/>
              <w:rPr>
                <w:rFonts w:ascii="Arial" w:hAnsi="Arial"/>
                <w:b/>
              </w:rPr>
            </w:pPr>
            <w:r w:rsidRPr="00CC58A7">
              <w:rPr>
                <w:rFonts w:ascii="Arial" w:hAnsi="Arial"/>
                <w:b/>
              </w:rPr>
              <w:t>Effort Level</w:t>
            </w:r>
          </w:p>
          <w:p w14:paraId="591DF238" w14:textId="77777777" w:rsidR="00800A99" w:rsidRPr="00CC58A7" w:rsidRDefault="00800A99" w:rsidP="00884709">
            <w:pPr>
              <w:jc w:val="center"/>
              <w:rPr>
                <w:rFonts w:ascii="Arial" w:hAnsi="Arial"/>
                <w:b/>
              </w:rPr>
            </w:pPr>
            <w:r w:rsidRPr="00CC58A7">
              <w:rPr>
                <w:rFonts w:ascii="Arial" w:hAnsi="Arial"/>
                <w:b/>
              </w:rPr>
              <w:t>(man-hours)</w:t>
            </w:r>
          </w:p>
        </w:tc>
      </w:tr>
      <w:tr w:rsidR="00800A99" w:rsidRPr="00CC58A7" w14:paraId="4C8662BD" w14:textId="77777777" w:rsidTr="003B74A4">
        <w:trPr>
          <w:trHeight w:val="288"/>
          <w:jc w:val="center"/>
        </w:trPr>
        <w:tc>
          <w:tcPr>
            <w:tcW w:w="2867" w:type="dxa"/>
            <w:vAlign w:val="center"/>
          </w:tcPr>
          <w:p w14:paraId="3A54CE72" w14:textId="77777777" w:rsidR="00800A99" w:rsidRPr="00CC58A7" w:rsidRDefault="00800A99" w:rsidP="00BE3F24">
            <w:pPr>
              <w:jc w:val="center"/>
              <w:rPr>
                <w:rFonts w:ascii="Arial" w:hAnsi="Arial"/>
                <w:sz w:val="18"/>
              </w:rPr>
            </w:pPr>
            <w:r>
              <w:rPr>
                <w:rFonts w:ascii="Arial" w:hAnsi="Arial"/>
                <w:sz w:val="18"/>
              </w:rPr>
              <w:t>PAGD Engineer</w:t>
            </w:r>
          </w:p>
        </w:tc>
        <w:tc>
          <w:tcPr>
            <w:tcW w:w="2286" w:type="dxa"/>
            <w:vAlign w:val="center"/>
          </w:tcPr>
          <w:p w14:paraId="6280C70D" w14:textId="77777777" w:rsidR="00800A99" w:rsidRPr="00CC58A7" w:rsidRDefault="00800A99" w:rsidP="00BE3F24">
            <w:pPr>
              <w:jc w:val="center"/>
              <w:rPr>
                <w:rFonts w:ascii="Arial" w:hAnsi="Arial"/>
                <w:sz w:val="18"/>
              </w:rPr>
            </w:pPr>
            <w:r>
              <w:rPr>
                <w:rFonts w:ascii="Arial" w:hAnsi="Arial"/>
                <w:sz w:val="18"/>
              </w:rPr>
              <w:t>Conduct Meeting</w:t>
            </w:r>
          </w:p>
        </w:tc>
        <w:tc>
          <w:tcPr>
            <w:tcW w:w="1926" w:type="dxa"/>
            <w:vAlign w:val="center"/>
          </w:tcPr>
          <w:p w14:paraId="01611D2F" w14:textId="77777777" w:rsidR="00800A99" w:rsidRPr="00CC58A7" w:rsidRDefault="00800A99" w:rsidP="00BE3F24">
            <w:pPr>
              <w:jc w:val="center"/>
              <w:rPr>
                <w:rFonts w:ascii="Arial" w:hAnsi="Arial"/>
                <w:sz w:val="18"/>
              </w:rPr>
            </w:pPr>
            <w:r w:rsidRPr="00CC58A7">
              <w:rPr>
                <w:rFonts w:ascii="Arial" w:hAnsi="Arial"/>
                <w:sz w:val="18"/>
              </w:rPr>
              <w:t>1</w:t>
            </w:r>
          </w:p>
        </w:tc>
        <w:tc>
          <w:tcPr>
            <w:tcW w:w="1584" w:type="dxa"/>
            <w:vAlign w:val="center"/>
          </w:tcPr>
          <w:p w14:paraId="05A9574A" w14:textId="77777777" w:rsidR="00800A99" w:rsidRPr="00CC58A7" w:rsidRDefault="00800A99" w:rsidP="00BE3F24">
            <w:pPr>
              <w:jc w:val="center"/>
              <w:rPr>
                <w:rFonts w:ascii="Arial" w:hAnsi="Arial"/>
                <w:sz w:val="18"/>
              </w:rPr>
            </w:pPr>
            <w:r>
              <w:rPr>
                <w:rFonts w:ascii="Arial" w:hAnsi="Arial"/>
                <w:sz w:val="18"/>
              </w:rPr>
              <w:t>4*</w:t>
            </w:r>
          </w:p>
        </w:tc>
      </w:tr>
      <w:tr w:rsidR="00800A99" w:rsidRPr="00CC58A7" w14:paraId="14D60411" w14:textId="77777777" w:rsidTr="003B74A4">
        <w:trPr>
          <w:trHeight w:val="288"/>
          <w:jc w:val="center"/>
        </w:trPr>
        <w:tc>
          <w:tcPr>
            <w:tcW w:w="2867" w:type="dxa"/>
            <w:vAlign w:val="center"/>
          </w:tcPr>
          <w:p w14:paraId="5A86BC1E" w14:textId="77777777" w:rsidR="00800A99" w:rsidRPr="00CC58A7" w:rsidRDefault="00800A99" w:rsidP="00BE3F24">
            <w:pPr>
              <w:jc w:val="center"/>
              <w:rPr>
                <w:rFonts w:ascii="Arial" w:hAnsi="Arial"/>
                <w:sz w:val="18"/>
              </w:rPr>
            </w:pPr>
            <w:r>
              <w:rPr>
                <w:rFonts w:ascii="Arial" w:hAnsi="Arial"/>
                <w:sz w:val="18"/>
              </w:rPr>
              <w:t>PAGD TL/ADC</w:t>
            </w:r>
          </w:p>
        </w:tc>
        <w:tc>
          <w:tcPr>
            <w:tcW w:w="2286" w:type="dxa"/>
            <w:vAlign w:val="center"/>
          </w:tcPr>
          <w:p w14:paraId="7DEBA21D" w14:textId="77777777" w:rsidR="00800A99" w:rsidRDefault="00800A99" w:rsidP="00BE3F24">
            <w:pPr>
              <w:jc w:val="center"/>
              <w:rPr>
                <w:rFonts w:ascii="Arial" w:hAnsi="Arial"/>
                <w:sz w:val="18"/>
              </w:rPr>
            </w:pPr>
            <w:r>
              <w:rPr>
                <w:rFonts w:ascii="Arial" w:hAnsi="Arial"/>
                <w:sz w:val="18"/>
              </w:rPr>
              <w:t>Attend Meeting</w:t>
            </w:r>
          </w:p>
        </w:tc>
        <w:tc>
          <w:tcPr>
            <w:tcW w:w="1926" w:type="dxa"/>
            <w:vAlign w:val="center"/>
          </w:tcPr>
          <w:p w14:paraId="53B71CDC" w14:textId="77777777" w:rsidR="00800A99" w:rsidRPr="00CC58A7" w:rsidRDefault="00800A99" w:rsidP="00BE3F24">
            <w:pPr>
              <w:jc w:val="center"/>
              <w:rPr>
                <w:rFonts w:ascii="Arial" w:hAnsi="Arial"/>
                <w:sz w:val="18"/>
              </w:rPr>
            </w:pPr>
            <w:r>
              <w:rPr>
                <w:rFonts w:ascii="Arial" w:hAnsi="Arial"/>
                <w:sz w:val="18"/>
              </w:rPr>
              <w:t>1</w:t>
            </w:r>
          </w:p>
        </w:tc>
        <w:tc>
          <w:tcPr>
            <w:tcW w:w="1584" w:type="dxa"/>
            <w:vAlign w:val="center"/>
          </w:tcPr>
          <w:p w14:paraId="32DAF42C" w14:textId="77777777" w:rsidR="00800A99" w:rsidRDefault="00800A99" w:rsidP="00BE3F24">
            <w:pPr>
              <w:jc w:val="center"/>
              <w:rPr>
                <w:rFonts w:ascii="Arial" w:hAnsi="Arial"/>
                <w:sz w:val="18"/>
              </w:rPr>
            </w:pPr>
            <w:r>
              <w:rPr>
                <w:rFonts w:ascii="Arial" w:hAnsi="Arial"/>
                <w:sz w:val="18"/>
              </w:rPr>
              <w:t>4*</w:t>
            </w:r>
          </w:p>
        </w:tc>
      </w:tr>
      <w:tr w:rsidR="00800A99" w:rsidRPr="00CC58A7" w14:paraId="41532C85" w14:textId="77777777" w:rsidTr="003B74A4">
        <w:trPr>
          <w:trHeight w:val="288"/>
          <w:jc w:val="center"/>
        </w:trPr>
        <w:tc>
          <w:tcPr>
            <w:tcW w:w="2867" w:type="dxa"/>
            <w:vAlign w:val="center"/>
          </w:tcPr>
          <w:p w14:paraId="7166CFF9" w14:textId="77777777" w:rsidR="00800A99" w:rsidRPr="00CC58A7" w:rsidRDefault="00800A99" w:rsidP="00BE3F24">
            <w:pPr>
              <w:jc w:val="center"/>
              <w:rPr>
                <w:rFonts w:ascii="Arial" w:hAnsi="Arial"/>
                <w:sz w:val="18"/>
              </w:rPr>
            </w:pPr>
            <w:r>
              <w:rPr>
                <w:rFonts w:ascii="Arial" w:hAnsi="Arial"/>
                <w:sz w:val="18"/>
              </w:rPr>
              <w:t xml:space="preserve">EGD – </w:t>
            </w:r>
            <w:r w:rsidRPr="002E19C2">
              <w:rPr>
                <w:rFonts w:ascii="Arial" w:hAnsi="Arial"/>
                <w:sz w:val="18"/>
              </w:rPr>
              <w:t>Geotechnics and Specifications Review Representative</w:t>
            </w:r>
          </w:p>
        </w:tc>
        <w:tc>
          <w:tcPr>
            <w:tcW w:w="2286" w:type="dxa"/>
            <w:vAlign w:val="center"/>
          </w:tcPr>
          <w:p w14:paraId="10456E75" w14:textId="77777777" w:rsidR="00800A99" w:rsidRDefault="00800A99" w:rsidP="00BE3F24">
            <w:pPr>
              <w:jc w:val="center"/>
              <w:rPr>
                <w:rFonts w:ascii="Arial" w:hAnsi="Arial"/>
                <w:sz w:val="18"/>
              </w:rPr>
            </w:pPr>
            <w:r>
              <w:rPr>
                <w:rFonts w:ascii="Arial" w:hAnsi="Arial"/>
                <w:sz w:val="18"/>
              </w:rPr>
              <w:t>Attend Meeting</w:t>
            </w:r>
          </w:p>
        </w:tc>
        <w:tc>
          <w:tcPr>
            <w:tcW w:w="1926" w:type="dxa"/>
            <w:vAlign w:val="center"/>
          </w:tcPr>
          <w:p w14:paraId="52AB40AA" w14:textId="77777777" w:rsidR="00800A99" w:rsidRPr="00CC58A7" w:rsidRDefault="00800A99" w:rsidP="00BE3F24">
            <w:pPr>
              <w:jc w:val="center"/>
              <w:rPr>
                <w:rFonts w:ascii="Arial" w:hAnsi="Arial"/>
                <w:sz w:val="18"/>
              </w:rPr>
            </w:pPr>
            <w:r>
              <w:rPr>
                <w:rFonts w:ascii="Arial" w:hAnsi="Arial"/>
                <w:sz w:val="18"/>
              </w:rPr>
              <w:t>1</w:t>
            </w:r>
          </w:p>
        </w:tc>
        <w:tc>
          <w:tcPr>
            <w:tcW w:w="1584" w:type="dxa"/>
            <w:vAlign w:val="center"/>
          </w:tcPr>
          <w:p w14:paraId="0EDCA283" w14:textId="77777777" w:rsidR="00800A99" w:rsidRDefault="00800A99" w:rsidP="00BE3F24">
            <w:pPr>
              <w:jc w:val="center"/>
            </w:pPr>
            <w:r>
              <w:rPr>
                <w:rFonts w:ascii="Arial" w:hAnsi="Arial"/>
                <w:sz w:val="18"/>
              </w:rPr>
              <w:t>4</w:t>
            </w:r>
            <w:r w:rsidRPr="00AC5EC3">
              <w:rPr>
                <w:rFonts w:ascii="Arial" w:hAnsi="Arial"/>
                <w:sz w:val="18"/>
              </w:rPr>
              <w:t>*</w:t>
            </w:r>
          </w:p>
        </w:tc>
      </w:tr>
      <w:tr w:rsidR="00800A99" w:rsidRPr="00CC58A7" w14:paraId="1EE820ED" w14:textId="77777777" w:rsidTr="003B74A4">
        <w:trPr>
          <w:trHeight w:val="288"/>
          <w:jc w:val="center"/>
        </w:trPr>
        <w:tc>
          <w:tcPr>
            <w:tcW w:w="2867" w:type="dxa"/>
            <w:vAlign w:val="center"/>
          </w:tcPr>
          <w:p w14:paraId="2EDFB53F" w14:textId="77777777" w:rsidR="00800A99" w:rsidRPr="00CC58A7" w:rsidRDefault="00800A99" w:rsidP="00BE3F24">
            <w:pPr>
              <w:jc w:val="center"/>
              <w:rPr>
                <w:rFonts w:ascii="Arial" w:hAnsi="Arial"/>
                <w:sz w:val="18"/>
              </w:rPr>
            </w:pPr>
            <w:r>
              <w:rPr>
                <w:rFonts w:ascii="Arial" w:hAnsi="Arial"/>
                <w:sz w:val="18"/>
              </w:rPr>
              <w:t xml:space="preserve">EGD – </w:t>
            </w:r>
            <w:r w:rsidRPr="009D6CF8">
              <w:rPr>
                <w:rFonts w:ascii="Arial" w:hAnsi="Arial"/>
                <w:sz w:val="18"/>
              </w:rPr>
              <w:t>Geology and Groundwater Representative</w:t>
            </w:r>
          </w:p>
        </w:tc>
        <w:tc>
          <w:tcPr>
            <w:tcW w:w="2286" w:type="dxa"/>
            <w:vAlign w:val="center"/>
          </w:tcPr>
          <w:p w14:paraId="5738FDF0" w14:textId="77777777" w:rsidR="00800A99" w:rsidRDefault="00800A99" w:rsidP="00BE3F24">
            <w:pPr>
              <w:jc w:val="center"/>
              <w:rPr>
                <w:rFonts w:ascii="Arial" w:hAnsi="Arial"/>
                <w:sz w:val="18"/>
              </w:rPr>
            </w:pPr>
            <w:r>
              <w:rPr>
                <w:rFonts w:ascii="Arial" w:hAnsi="Arial"/>
                <w:sz w:val="18"/>
              </w:rPr>
              <w:t>Attend Meeting</w:t>
            </w:r>
          </w:p>
        </w:tc>
        <w:tc>
          <w:tcPr>
            <w:tcW w:w="1926" w:type="dxa"/>
            <w:vAlign w:val="center"/>
          </w:tcPr>
          <w:p w14:paraId="4072C80A" w14:textId="77777777" w:rsidR="00800A99" w:rsidRPr="00CC58A7" w:rsidRDefault="00800A99" w:rsidP="00BE3F24">
            <w:pPr>
              <w:jc w:val="center"/>
              <w:rPr>
                <w:rFonts w:ascii="Arial" w:hAnsi="Arial"/>
                <w:sz w:val="18"/>
              </w:rPr>
            </w:pPr>
            <w:r>
              <w:rPr>
                <w:rFonts w:ascii="Arial" w:hAnsi="Arial"/>
                <w:sz w:val="18"/>
              </w:rPr>
              <w:t>1</w:t>
            </w:r>
          </w:p>
        </w:tc>
        <w:tc>
          <w:tcPr>
            <w:tcW w:w="1584" w:type="dxa"/>
            <w:vAlign w:val="center"/>
          </w:tcPr>
          <w:p w14:paraId="0E70F809" w14:textId="77777777" w:rsidR="00800A99" w:rsidRDefault="00800A99" w:rsidP="00BE3F24">
            <w:pPr>
              <w:jc w:val="center"/>
            </w:pPr>
            <w:r>
              <w:rPr>
                <w:rFonts w:ascii="Arial" w:hAnsi="Arial"/>
                <w:sz w:val="18"/>
              </w:rPr>
              <w:t>4</w:t>
            </w:r>
            <w:r w:rsidRPr="00AC5EC3">
              <w:rPr>
                <w:rFonts w:ascii="Arial" w:hAnsi="Arial"/>
                <w:sz w:val="18"/>
              </w:rPr>
              <w:t>*</w:t>
            </w:r>
          </w:p>
        </w:tc>
      </w:tr>
      <w:tr w:rsidR="00800A99" w:rsidRPr="00CC58A7" w14:paraId="01B4E99B" w14:textId="77777777" w:rsidTr="003B74A4">
        <w:trPr>
          <w:trHeight w:val="288"/>
          <w:jc w:val="center"/>
        </w:trPr>
        <w:tc>
          <w:tcPr>
            <w:tcW w:w="2867" w:type="dxa"/>
            <w:vAlign w:val="center"/>
          </w:tcPr>
          <w:p w14:paraId="4A43EBA7" w14:textId="77777777" w:rsidR="00800A99" w:rsidRPr="00CC58A7" w:rsidRDefault="00800A99" w:rsidP="00BE3F24">
            <w:pPr>
              <w:jc w:val="center"/>
              <w:rPr>
                <w:rFonts w:ascii="Arial" w:hAnsi="Arial"/>
                <w:sz w:val="18"/>
              </w:rPr>
            </w:pPr>
            <w:r>
              <w:rPr>
                <w:rFonts w:ascii="Arial" w:hAnsi="Arial"/>
                <w:sz w:val="18"/>
              </w:rPr>
              <w:t>FED Representative</w:t>
            </w:r>
          </w:p>
        </w:tc>
        <w:tc>
          <w:tcPr>
            <w:tcW w:w="2286" w:type="dxa"/>
            <w:vAlign w:val="center"/>
          </w:tcPr>
          <w:p w14:paraId="2AB4516B" w14:textId="77777777" w:rsidR="00800A99" w:rsidRDefault="00800A99" w:rsidP="00BE3F24">
            <w:pPr>
              <w:jc w:val="center"/>
              <w:rPr>
                <w:rFonts w:ascii="Arial" w:hAnsi="Arial"/>
                <w:sz w:val="18"/>
              </w:rPr>
            </w:pPr>
            <w:r>
              <w:rPr>
                <w:rFonts w:ascii="Arial" w:hAnsi="Arial"/>
                <w:sz w:val="18"/>
              </w:rPr>
              <w:t>Attend Meeting</w:t>
            </w:r>
          </w:p>
        </w:tc>
        <w:tc>
          <w:tcPr>
            <w:tcW w:w="1926" w:type="dxa"/>
            <w:vAlign w:val="center"/>
          </w:tcPr>
          <w:p w14:paraId="62A430FD" w14:textId="77777777" w:rsidR="00800A99" w:rsidRPr="00CC58A7" w:rsidRDefault="00800A99" w:rsidP="00BE3F24">
            <w:pPr>
              <w:jc w:val="center"/>
              <w:rPr>
                <w:rFonts w:ascii="Arial" w:hAnsi="Arial"/>
                <w:sz w:val="18"/>
              </w:rPr>
            </w:pPr>
            <w:r>
              <w:rPr>
                <w:rFonts w:ascii="Arial" w:hAnsi="Arial"/>
                <w:sz w:val="18"/>
              </w:rPr>
              <w:t>1</w:t>
            </w:r>
          </w:p>
        </w:tc>
        <w:tc>
          <w:tcPr>
            <w:tcW w:w="1584" w:type="dxa"/>
            <w:vAlign w:val="center"/>
          </w:tcPr>
          <w:p w14:paraId="4FF83FD0" w14:textId="77777777" w:rsidR="00800A99" w:rsidRDefault="00800A99" w:rsidP="00BE3F24">
            <w:pPr>
              <w:jc w:val="center"/>
              <w:rPr>
                <w:rFonts w:ascii="Arial" w:hAnsi="Arial"/>
                <w:sz w:val="18"/>
              </w:rPr>
            </w:pPr>
            <w:r w:rsidRPr="00AC5EC3">
              <w:rPr>
                <w:rFonts w:ascii="Arial" w:hAnsi="Arial"/>
                <w:sz w:val="18"/>
              </w:rPr>
              <w:t>2*</w:t>
            </w:r>
          </w:p>
        </w:tc>
      </w:tr>
      <w:tr w:rsidR="00800A99" w:rsidRPr="00CC58A7" w14:paraId="2E59EB4C" w14:textId="77777777" w:rsidTr="003B74A4">
        <w:trPr>
          <w:trHeight w:val="288"/>
          <w:jc w:val="center"/>
        </w:trPr>
        <w:tc>
          <w:tcPr>
            <w:tcW w:w="2867" w:type="dxa"/>
            <w:vAlign w:val="center"/>
          </w:tcPr>
          <w:p w14:paraId="14728706" w14:textId="77777777" w:rsidR="00800A99" w:rsidRDefault="00800A99" w:rsidP="00BE3F24">
            <w:pPr>
              <w:jc w:val="center"/>
              <w:rPr>
                <w:rFonts w:ascii="Arial" w:hAnsi="Arial"/>
                <w:sz w:val="18"/>
              </w:rPr>
            </w:pPr>
            <w:r>
              <w:rPr>
                <w:rFonts w:ascii="Arial" w:hAnsi="Arial"/>
                <w:sz w:val="18"/>
              </w:rPr>
              <w:t>SATD Representative</w:t>
            </w:r>
          </w:p>
        </w:tc>
        <w:tc>
          <w:tcPr>
            <w:tcW w:w="2286" w:type="dxa"/>
            <w:vAlign w:val="center"/>
          </w:tcPr>
          <w:p w14:paraId="08B2AF00" w14:textId="77777777" w:rsidR="00800A99" w:rsidRDefault="00800A99" w:rsidP="00BE3F24">
            <w:pPr>
              <w:jc w:val="center"/>
              <w:rPr>
                <w:rFonts w:ascii="Arial" w:hAnsi="Arial"/>
                <w:sz w:val="18"/>
              </w:rPr>
            </w:pPr>
            <w:r>
              <w:rPr>
                <w:rFonts w:ascii="Arial" w:hAnsi="Arial"/>
                <w:sz w:val="18"/>
              </w:rPr>
              <w:t>Attend Meeting</w:t>
            </w:r>
          </w:p>
        </w:tc>
        <w:tc>
          <w:tcPr>
            <w:tcW w:w="1926" w:type="dxa"/>
            <w:vAlign w:val="center"/>
          </w:tcPr>
          <w:p w14:paraId="49F057DC" w14:textId="77777777" w:rsidR="00800A99" w:rsidRDefault="00800A99" w:rsidP="00BE3F24">
            <w:pPr>
              <w:jc w:val="center"/>
              <w:rPr>
                <w:rFonts w:ascii="Arial" w:hAnsi="Arial"/>
                <w:sz w:val="18"/>
              </w:rPr>
            </w:pPr>
            <w:r>
              <w:rPr>
                <w:rFonts w:ascii="Arial" w:hAnsi="Arial"/>
                <w:sz w:val="18"/>
              </w:rPr>
              <w:t>1</w:t>
            </w:r>
          </w:p>
        </w:tc>
        <w:tc>
          <w:tcPr>
            <w:tcW w:w="1584" w:type="dxa"/>
            <w:vAlign w:val="center"/>
          </w:tcPr>
          <w:p w14:paraId="246769FE" w14:textId="77777777" w:rsidR="00800A99" w:rsidRPr="00AC5EC3" w:rsidRDefault="00800A99" w:rsidP="00BE3F24">
            <w:pPr>
              <w:jc w:val="center"/>
              <w:rPr>
                <w:rFonts w:ascii="Arial" w:hAnsi="Arial"/>
                <w:sz w:val="18"/>
              </w:rPr>
            </w:pPr>
            <w:r w:rsidRPr="00AC5EC3">
              <w:rPr>
                <w:rFonts w:ascii="Arial" w:hAnsi="Arial"/>
                <w:sz w:val="18"/>
              </w:rPr>
              <w:t>2*</w:t>
            </w:r>
          </w:p>
        </w:tc>
      </w:tr>
    </w:tbl>
    <w:p w14:paraId="4AA49B06" w14:textId="40A0610D" w:rsidR="00800A99" w:rsidRPr="009D6CF8" w:rsidRDefault="00800A99" w:rsidP="00884709">
      <w:pPr>
        <w:ind w:left="270" w:hanging="270"/>
        <w:rPr>
          <w:rFonts w:ascii="Arial" w:hAnsi="Arial"/>
          <w:sz w:val="18"/>
          <w:szCs w:val="18"/>
        </w:rPr>
      </w:pPr>
      <w:r w:rsidRPr="009D6CF8">
        <w:rPr>
          <w:rFonts w:ascii="Arial" w:hAnsi="Arial"/>
          <w:sz w:val="18"/>
          <w:szCs w:val="18"/>
        </w:rPr>
        <w:t xml:space="preserve">* </w:t>
      </w:r>
      <w:r w:rsidR="00D73B4D">
        <w:rPr>
          <w:rFonts w:ascii="Arial" w:hAnsi="Arial"/>
          <w:sz w:val="18"/>
          <w:szCs w:val="18"/>
        </w:rPr>
        <w:tab/>
      </w:r>
      <w:r w:rsidRPr="009D6CF8">
        <w:rPr>
          <w:rFonts w:ascii="Arial" w:hAnsi="Arial"/>
          <w:sz w:val="18"/>
          <w:szCs w:val="18"/>
        </w:rPr>
        <w:t xml:space="preserve">The time required would vary depending on the size and complexity of a project. </w:t>
      </w:r>
      <w:r>
        <w:rPr>
          <w:rFonts w:ascii="Arial" w:hAnsi="Arial"/>
          <w:sz w:val="18"/>
          <w:szCs w:val="18"/>
        </w:rPr>
        <w:t xml:space="preserve"> N</w:t>
      </w:r>
      <w:r w:rsidRPr="009D6CF8">
        <w:rPr>
          <w:rFonts w:ascii="Arial" w:hAnsi="Arial"/>
          <w:sz w:val="18"/>
          <w:szCs w:val="18"/>
        </w:rPr>
        <w:t>ote that this is an ongoing task, when needed, during the design and construction phase of the project.</w:t>
      </w:r>
    </w:p>
    <w:p w14:paraId="27DC1BE8" w14:textId="77777777" w:rsidR="00800A99" w:rsidRPr="00CC58A7" w:rsidRDefault="00800A99" w:rsidP="00BE3F24">
      <w:pPr>
        <w:pStyle w:val="Heading3"/>
        <w:ind w:left="0" w:firstLine="0"/>
      </w:pPr>
      <w:r w:rsidRPr="00CC58A7">
        <w:lastRenderedPageBreak/>
        <w:t>Procedure</w:t>
      </w:r>
    </w:p>
    <w:p w14:paraId="42276E3F" w14:textId="77777777" w:rsidR="00800A99" w:rsidRDefault="00800A99" w:rsidP="00BE3F24">
      <w:pPr>
        <w:pStyle w:val="BodyText"/>
        <w:spacing w:after="0"/>
        <w:jc w:val="both"/>
      </w:pPr>
      <w:r w:rsidRPr="00CC58A7">
        <w:t xml:space="preserve">The procedure </w:t>
      </w:r>
      <w:r w:rsidRPr="00004850">
        <w:t xml:space="preserve">described </w:t>
      </w:r>
      <w:r>
        <w:t>below</w:t>
      </w:r>
      <w:r w:rsidRPr="00004850">
        <w:t xml:space="preserve"> should be followed when </w:t>
      </w:r>
      <w:r>
        <w:t>conducting internal meetings for a project</w:t>
      </w:r>
      <w:r w:rsidRPr="00004850">
        <w:t xml:space="preserve">.  </w:t>
      </w:r>
    </w:p>
    <w:p w14:paraId="7DBD2DFD" w14:textId="77777777" w:rsidR="00800A99" w:rsidRDefault="00800A99" w:rsidP="00BE3F24">
      <w:pPr>
        <w:pStyle w:val="BodyText"/>
        <w:spacing w:after="0"/>
        <w:jc w:val="both"/>
      </w:pPr>
    </w:p>
    <w:p w14:paraId="5D9A5192" w14:textId="77777777" w:rsidR="00800A99" w:rsidRDefault="00800A99" w:rsidP="00BE3F24">
      <w:pPr>
        <w:pStyle w:val="BodyText"/>
        <w:spacing w:after="0"/>
        <w:jc w:val="both"/>
      </w:pPr>
      <w:r>
        <w:t>This</w:t>
      </w:r>
      <w:r w:rsidRPr="00004850">
        <w:t xml:space="preserve"> procedure was written to provide the </w:t>
      </w:r>
      <w:r>
        <w:t>PAGD Engineer</w:t>
      </w:r>
      <w:r w:rsidRPr="00004850">
        <w:t xml:space="preserve"> with adequ</w:t>
      </w:r>
      <w:r w:rsidRPr="00CC58A7">
        <w:t xml:space="preserve">ate information to </w:t>
      </w:r>
      <w:r>
        <w:t>assist in conducting an internal meeting for a project.  The following procedures are intended to occur after the project has been assigned to a PAGD Engineer.</w:t>
      </w:r>
    </w:p>
    <w:p w14:paraId="04384840" w14:textId="77777777" w:rsidR="00800A99" w:rsidRDefault="00800A99" w:rsidP="00BE3F24">
      <w:pPr>
        <w:pStyle w:val="BodyText"/>
        <w:spacing w:after="0"/>
        <w:jc w:val="both"/>
      </w:pPr>
    </w:p>
    <w:p w14:paraId="7E387C8A" w14:textId="77777777" w:rsidR="00800A99" w:rsidRDefault="00800A99" w:rsidP="00BE3F24">
      <w:pPr>
        <w:pStyle w:val="BodyText"/>
        <w:spacing w:after="0"/>
        <w:jc w:val="both"/>
      </w:pPr>
      <w:r w:rsidRPr="00CC58A7">
        <w:t>Certain steps</w:t>
      </w:r>
      <w:r>
        <w:t xml:space="preserve"> with the</w:t>
      </w:r>
      <w:r w:rsidRPr="00CC58A7">
        <w:t xml:space="preserve"> </w:t>
      </w:r>
      <w:r>
        <w:t xml:space="preserve">internal meetings and other processes may </w:t>
      </w:r>
      <w:r w:rsidRPr="00CC58A7">
        <w:t>overlap.  It is important to keep in mind that although these processes are broken out and written in separate sections, they are</w:t>
      </w:r>
      <w:r>
        <w:t xml:space="preserve"> a part of an overall process. </w:t>
      </w:r>
    </w:p>
    <w:p w14:paraId="580EAA4D" w14:textId="77777777" w:rsidR="001A15B9" w:rsidRDefault="00800A99" w:rsidP="00172E64">
      <w:pPr>
        <w:widowControl w:val="0"/>
        <w:numPr>
          <w:ilvl w:val="0"/>
          <w:numId w:val="82"/>
        </w:numPr>
        <w:shd w:val="clear" w:color="auto" w:fill="FFFFFF"/>
        <w:tabs>
          <w:tab w:val="clear" w:pos="1152"/>
          <w:tab w:val="left" w:pos="8717"/>
        </w:tabs>
        <w:autoSpaceDE w:val="0"/>
        <w:autoSpaceDN w:val="0"/>
        <w:adjustRightInd w:val="0"/>
        <w:spacing w:before="240"/>
        <w:ind w:right="29"/>
        <w:jc w:val="both"/>
        <w:rPr>
          <w:rFonts w:ascii="Arial" w:hAnsi="Arial" w:cs="Arial"/>
          <w:sz w:val="22"/>
          <w:szCs w:val="22"/>
        </w:rPr>
      </w:pPr>
      <w:r w:rsidRPr="00800A99">
        <w:rPr>
          <w:rFonts w:ascii="Arial" w:hAnsi="Arial" w:cs="Arial"/>
          <w:sz w:val="22"/>
          <w:szCs w:val="22"/>
        </w:rPr>
        <w:t xml:space="preserve">Complete Steps in </w:t>
      </w:r>
      <w:hyperlink w:anchor="_Initial_Communication_with" w:history="1">
        <w:r w:rsidR="004D133C" w:rsidRPr="004D133C">
          <w:rPr>
            <w:rStyle w:val="Hyperlink"/>
            <w:rFonts w:ascii="Arial" w:hAnsi="Arial" w:cs="Arial"/>
            <w:sz w:val="22"/>
            <w:szCs w:val="22"/>
          </w:rPr>
          <w:t>Initial Communication with Requesting Office</w:t>
        </w:r>
      </w:hyperlink>
      <w:r w:rsidRPr="00800A99">
        <w:rPr>
          <w:rFonts w:ascii="Arial" w:hAnsi="Arial" w:cs="Arial"/>
          <w:sz w:val="22"/>
          <w:szCs w:val="22"/>
        </w:rPr>
        <w:t xml:space="preserve">.  </w:t>
      </w:r>
    </w:p>
    <w:p w14:paraId="45A822AA" w14:textId="5222A8F6" w:rsidR="001A15B9" w:rsidRDefault="00800A99" w:rsidP="00172E64">
      <w:pPr>
        <w:widowControl w:val="0"/>
        <w:numPr>
          <w:ilvl w:val="0"/>
          <w:numId w:val="82"/>
        </w:numPr>
        <w:shd w:val="clear" w:color="auto" w:fill="FFFFFF"/>
        <w:tabs>
          <w:tab w:val="clear" w:pos="1152"/>
          <w:tab w:val="num" w:pos="1080"/>
          <w:tab w:val="left" w:pos="2126"/>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Prior to scheduling internal meeting, send out notices to OMT Division Chiefs (EGD, FED and SATD) requesting project contacts and provide project plans and other pertinent information.  It is recommended to get two contacts from EGD</w:t>
      </w:r>
      <w:r w:rsidR="00D73B4D">
        <w:rPr>
          <w:rFonts w:ascii="Arial" w:hAnsi="Arial" w:cs="Arial"/>
          <w:sz w:val="22"/>
          <w:szCs w:val="22"/>
        </w:rPr>
        <w:t xml:space="preserve">: </w:t>
      </w:r>
      <w:r w:rsidRPr="00800A99">
        <w:rPr>
          <w:rFonts w:ascii="Arial" w:hAnsi="Arial" w:cs="Arial"/>
          <w:sz w:val="22"/>
          <w:szCs w:val="22"/>
        </w:rPr>
        <w:t xml:space="preserve"> one from </w:t>
      </w:r>
      <w:r w:rsidRPr="00800A99">
        <w:rPr>
          <w:rFonts w:ascii="Arial" w:hAnsi="Arial"/>
          <w:sz w:val="22"/>
          <w:szCs w:val="22"/>
        </w:rPr>
        <w:t>Geotechnics and Specifications Review</w:t>
      </w:r>
      <w:r w:rsidR="00D73B4D">
        <w:rPr>
          <w:rFonts w:ascii="Arial" w:hAnsi="Arial"/>
          <w:sz w:val="22"/>
          <w:szCs w:val="22"/>
        </w:rPr>
        <w:t>,</w:t>
      </w:r>
      <w:r w:rsidRPr="00800A99">
        <w:rPr>
          <w:rFonts w:ascii="Arial" w:hAnsi="Arial" w:cs="Arial"/>
          <w:sz w:val="22"/>
          <w:szCs w:val="22"/>
        </w:rPr>
        <w:t xml:space="preserve"> and </w:t>
      </w:r>
      <w:r w:rsidR="00D73B4D">
        <w:rPr>
          <w:rFonts w:ascii="Arial" w:hAnsi="Arial" w:cs="Arial"/>
          <w:sz w:val="22"/>
          <w:szCs w:val="22"/>
        </w:rPr>
        <w:t xml:space="preserve">one </w:t>
      </w:r>
      <w:r w:rsidRPr="00800A99">
        <w:rPr>
          <w:rFonts w:ascii="Arial" w:hAnsi="Arial" w:cs="Arial"/>
          <w:sz w:val="22"/>
          <w:szCs w:val="22"/>
        </w:rPr>
        <w:t xml:space="preserve">from </w:t>
      </w:r>
      <w:r w:rsidRPr="00800A99">
        <w:rPr>
          <w:rFonts w:ascii="Arial" w:hAnsi="Arial"/>
          <w:sz w:val="22"/>
          <w:szCs w:val="22"/>
        </w:rPr>
        <w:t>Geology and Groundwater</w:t>
      </w:r>
      <w:r w:rsidRPr="00800A99">
        <w:rPr>
          <w:rFonts w:ascii="Arial" w:hAnsi="Arial" w:cs="Arial"/>
          <w:sz w:val="22"/>
          <w:szCs w:val="22"/>
        </w:rPr>
        <w:t xml:space="preserve">.  Also notify PAGD TL and PAGD ADC-Design.  </w:t>
      </w:r>
    </w:p>
    <w:p w14:paraId="5E46B3AA" w14:textId="77777777" w:rsidR="001A15B9" w:rsidRDefault="00800A99" w:rsidP="00172E64">
      <w:pPr>
        <w:widowControl w:val="0"/>
        <w:numPr>
          <w:ilvl w:val="0"/>
          <w:numId w:val="82"/>
        </w:numPr>
        <w:shd w:val="clear" w:color="auto" w:fill="FFFFFF"/>
        <w:tabs>
          <w:tab w:val="clear" w:pos="1152"/>
          <w:tab w:val="num" w:pos="1080"/>
          <w:tab w:val="left" w:pos="2126"/>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Complete Steps in</w:t>
      </w:r>
      <w:r w:rsidR="00550506">
        <w:rPr>
          <w:rFonts w:ascii="Arial" w:hAnsi="Arial" w:cs="Arial"/>
          <w:sz w:val="22"/>
          <w:szCs w:val="22"/>
        </w:rPr>
        <w:t xml:space="preserve"> </w:t>
      </w:r>
      <w:hyperlink w:anchor="_Records_Review_(7-07-09)" w:history="1">
        <w:r w:rsidR="00550506" w:rsidRPr="00550506">
          <w:rPr>
            <w:rStyle w:val="Hyperlink"/>
            <w:rFonts w:ascii="Arial" w:hAnsi="Arial" w:cs="Arial"/>
            <w:sz w:val="22"/>
            <w:szCs w:val="22"/>
          </w:rPr>
          <w:t>Records Review</w:t>
        </w:r>
      </w:hyperlink>
      <w:r w:rsidRPr="00800A99">
        <w:rPr>
          <w:rFonts w:ascii="Arial" w:hAnsi="Arial" w:cs="Arial"/>
          <w:sz w:val="22"/>
          <w:szCs w:val="22"/>
        </w:rPr>
        <w:t>.</w:t>
      </w:r>
    </w:p>
    <w:p w14:paraId="59676DC7" w14:textId="77777777" w:rsidR="001A15B9" w:rsidRDefault="00800A99" w:rsidP="00172E64">
      <w:pPr>
        <w:widowControl w:val="0"/>
        <w:numPr>
          <w:ilvl w:val="0"/>
          <w:numId w:val="82"/>
        </w:numPr>
        <w:shd w:val="clear" w:color="auto" w:fill="FFFFFF"/>
        <w:tabs>
          <w:tab w:val="clear" w:pos="1152"/>
          <w:tab w:val="num" w:pos="1080"/>
          <w:tab w:val="left" w:pos="2126"/>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 xml:space="preserve">If necessary, the PAGD Engineer should visit the site prior to conducting the OMT Internal Meeting.  The site visit does not need to be as thorough as that discussed in </w:t>
      </w:r>
      <w:hyperlink w:anchor="_Site_Reconnaissance" w:history="1">
        <w:r w:rsidRPr="00800A99">
          <w:rPr>
            <w:rStyle w:val="Hyperlink"/>
            <w:rFonts w:ascii="Arial" w:hAnsi="Arial" w:cs="Arial"/>
            <w:sz w:val="22"/>
            <w:szCs w:val="22"/>
          </w:rPr>
          <w:t>Site Reconnaissance</w:t>
        </w:r>
      </w:hyperlink>
      <w:r w:rsidRPr="00800A99">
        <w:rPr>
          <w:rFonts w:ascii="Arial" w:hAnsi="Arial" w:cs="Arial"/>
          <w:sz w:val="22"/>
          <w:szCs w:val="22"/>
        </w:rPr>
        <w:t>.</w:t>
      </w:r>
    </w:p>
    <w:p w14:paraId="6FEB5025" w14:textId="2032E358" w:rsidR="001A15B9" w:rsidRDefault="00800A99" w:rsidP="00172E64">
      <w:pPr>
        <w:widowControl w:val="0"/>
        <w:numPr>
          <w:ilvl w:val="0"/>
          <w:numId w:val="82"/>
        </w:numPr>
        <w:shd w:val="clear" w:color="auto" w:fill="FFFFFF"/>
        <w:tabs>
          <w:tab w:val="clear" w:pos="1152"/>
          <w:tab w:val="num" w:pos="1080"/>
          <w:tab w:val="left" w:pos="2126"/>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Prepare an agenda for the meeting outlining the project schedule, scope,</w:t>
      </w:r>
      <w:r w:rsidR="00D73B4D">
        <w:rPr>
          <w:rFonts w:ascii="Arial" w:hAnsi="Arial" w:cs="Arial"/>
          <w:sz w:val="22"/>
          <w:szCs w:val="22"/>
        </w:rPr>
        <w:t xml:space="preserve"> and</w:t>
      </w:r>
      <w:r w:rsidRPr="00800A99">
        <w:rPr>
          <w:rFonts w:ascii="Arial" w:hAnsi="Arial" w:cs="Arial"/>
          <w:sz w:val="22"/>
          <w:szCs w:val="22"/>
        </w:rPr>
        <w:t xml:space="preserve"> responsibilities for each OMT Division.</w:t>
      </w:r>
    </w:p>
    <w:p w14:paraId="316E8804" w14:textId="77777777" w:rsidR="001A15B9" w:rsidRDefault="00800A99" w:rsidP="00172E64">
      <w:pPr>
        <w:widowControl w:val="0"/>
        <w:numPr>
          <w:ilvl w:val="0"/>
          <w:numId w:val="82"/>
        </w:numPr>
        <w:shd w:val="clear" w:color="auto" w:fill="FFFFFF"/>
        <w:tabs>
          <w:tab w:val="clear" w:pos="1152"/>
          <w:tab w:val="num" w:pos="1080"/>
          <w:tab w:val="left" w:pos="2126"/>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 xml:space="preserve">Schedule the meeting and send out an Outlook Appointment to the OMT Division contacts along with the meeting agenda.     </w:t>
      </w:r>
    </w:p>
    <w:p w14:paraId="7864BC92" w14:textId="77777777" w:rsidR="001A15B9" w:rsidRDefault="00800A99" w:rsidP="00172E64">
      <w:pPr>
        <w:widowControl w:val="0"/>
        <w:numPr>
          <w:ilvl w:val="0"/>
          <w:numId w:val="82"/>
        </w:numPr>
        <w:shd w:val="clear" w:color="auto" w:fill="FFFFFF"/>
        <w:tabs>
          <w:tab w:val="clear" w:pos="1152"/>
          <w:tab w:val="left" w:pos="2126"/>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At the meeting, document attendance and describe the project scope and schedule (milestones and upcoming project/team/partnering meetings).</w:t>
      </w:r>
    </w:p>
    <w:p w14:paraId="4BA312F1" w14:textId="77777777" w:rsidR="001A15B9" w:rsidRDefault="00800A99" w:rsidP="00172E64">
      <w:pPr>
        <w:widowControl w:val="0"/>
        <w:numPr>
          <w:ilvl w:val="0"/>
          <w:numId w:val="82"/>
        </w:numPr>
        <w:shd w:val="clear" w:color="auto" w:fill="FFFFFF"/>
        <w:tabs>
          <w:tab w:val="clear" w:pos="1152"/>
          <w:tab w:val="left" w:pos="2126"/>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 xml:space="preserve">Review project plans, cross-sections and other items obtained from Steps in </w:t>
      </w:r>
      <w:hyperlink w:anchor="_Records_Review_(7-07-09)" w:history="1">
        <w:r w:rsidR="00550506" w:rsidRPr="00550506">
          <w:rPr>
            <w:rStyle w:val="Hyperlink"/>
            <w:rFonts w:ascii="Arial" w:hAnsi="Arial" w:cs="Arial"/>
            <w:sz w:val="22"/>
            <w:szCs w:val="22"/>
          </w:rPr>
          <w:t>Records Review</w:t>
        </w:r>
      </w:hyperlink>
      <w:r w:rsidRPr="00800A99">
        <w:rPr>
          <w:rFonts w:ascii="Arial" w:hAnsi="Arial" w:cs="Arial"/>
          <w:sz w:val="22"/>
          <w:szCs w:val="22"/>
        </w:rPr>
        <w:t xml:space="preserve"> with meeting attendees.</w:t>
      </w:r>
    </w:p>
    <w:p w14:paraId="4A1A8297" w14:textId="5402D294" w:rsidR="001A15B9" w:rsidRDefault="00800A99" w:rsidP="00172E64">
      <w:pPr>
        <w:widowControl w:val="0"/>
        <w:numPr>
          <w:ilvl w:val="0"/>
          <w:numId w:val="82"/>
        </w:numPr>
        <w:shd w:val="clear" w:color="auto" w:fill="FFFFFF"/>
        <w:tabs>
          <w:tab w:val="clear" w:pos="1152"/>
          <w:tab w:val="left" w:pos="2126"/>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Review and modify/update the “Summary of Geotechnical Design Elements and Delegation_DRAFT” worksheet (See</w:t>
      </w:r>
      <w:r w:rsidR="00550506">
        <w:rPr>
          <w:rFonts w:ascii="Arial" w:hAnsi="Arial" w:cs="Arial"/>
          <w:sz w:val="22"/>
          <w:szCs w:val="22"/>
        </w:rPr>
        <w:t xml:space="preserve"> </w:t>
      </w:r>
      <w:hyperlink w:anchor="_Forms,_Spreadsheets_&amp;" w:history="1">
        <w:r w:rsidR="00550506" w:rsidRPr="00550506">
          <w:rPr>
            <w:rStyle w:val="Hyperlink"/>
            <w:rFonts w:ascii="Arial" w:hAnsi="Arial" w:cs="Arial"/>
            <w:sz w:val="22"/>
            <w:szCs w:val="22"/>
          </w:rPr>
          <w:t xml:space="preserve">Forms, Spreadsheets &amp; </w:t>
        </w:r>
        <w:r w:rsidR="00D73B4D">
          <w:rPr>
            <w:rStyle w:val="Hyperlink"/>
            <w:rFonts w:ascii="Arial" w:hAnsi="Arial" w:cs="Arial"/>
            <w:sz w:val="22"/>
            <w:szCs w:val="22"/>
          </w:rPr>
          <w:t xml:space="preserve">Reference </w:t>
        </w:r>
        <w:r w:rsidR="00550506" w:rsidRPr="00550506">
          <w:rPr>
            <w:rStyle w:val="Hyperlink"/>
            <w:rFonts w:ascii="Arial" w:hAnsi="Arial" w:cs="Arial"/>
            <w:sz w:val="22"/>
            <w:szCs w:val="22"/>
          </w:rPr>
          <w:t>Guidelines</w:t>
        </w:r>
      </w:hyperlink>
      <w:r w:rsidRPr="00800A99">
        <w:rPr>
          <w:rFonts w:ascii="Arial" w:hAnsi="Arial" w:cs="Arial"/>
          <w:sz w:val="22"/>
          <w:szCs w:val="22"/>
        </w:rPr>
        <w:t>) for the project.  This worksheet is filled out for a typical project but should be modified/updated for the project being discussed.  Updating this worksheet will assist in identifying and delegating responsibilities relating to routine and non-routine geotechnical features and elements of the project between PAGD and EGD</w:t>
      </w:r>
      <w:r w:rsidR="00D26BC2" w:rsidRPr="00430401">
        <w:rPr>
          <w:rFonts w:ascii="Arial" w:hAnsi="Arial" w:cs="Arial"/>
          <w:color w:val="FF0000"/>
          <w:sz w:val="22"/>
          <w:szCs w:val="22"/>
        </w:rPr>
        <w:t xml:space="preserve"> </w:t>
      </w:r>
      <w:r w:rsidR="00D26BC2" w:rsidRPr="00833C9E">
        <w:rPr>
          <w:rFonts w:ascii="Arial" w:hAnsi="Arial" w:cs="Arial"/>
          <w:sz w:val="22"/>
          <w:szCs w:val="22"/>
        </w:rPr>
        <w:t>per the Executive Memorandum</w:t>
      </w:r>
      <w:r w:rsidR="00D651FE" w:rsidRPr="00833C9E">
        <w:rPr>
          <w:rFonts w:ascii="Arial" w:hAnsi="Arial" w:cs="Arial"/>
          <w:sz w:val="22"/>
          <w:szCs w:val="22"/>
        </w:rPr>
        <w:t>,</w:t>
      </w:r>
      <w:r w:rsidR="00D26BC2" w:rsidRPr="00833C9E">
        <w:rPr>
          <w:rFonts w:ascii="Arial" w:hAnsi="Arial" w:cs="Arial"/>
          <w:sz w:val="22"/>
          <w:szCs w:val="22"/>
        </w:rPr>
        <w:t xml:space="preserve"> outlining division of geotechnical responsibilities between PAGD </w:t>
      </w:r>
      <w:r w:rsidR="003A2C9E" w:rsidRPr="00833C9E">
        <w:rPr>
          <w:rFonts w:ascii="Arial" w:hAnsi="Arial" w:cs="Arial"/>
          <w:sz w:val="22"/>
          <w:szCs w:val="22"/>
        </w:rPr>
        <w:t xml:space="preserve">and EGD, dated </w:t>
      </w:r>
      <w:r w:rsidR="00833C9E" w:rsidRPr="00833C9E">
        <w:rPr>
          <w:rFonts w:ascii="Arial" w:hAnsi="Arial" w:cs="Arial"/>
          <w:sz w:val="22"/>
          <w:szCs w:val="22"/>
        </w:rPr>
        <w:t>November 20</w:t>
      </w:r>
      <w:r w:rsidR="003A2C9E" w:rsidRPr="00833C9E">
        <w:rPr>
          <w:rFonts w:ascii="Arial" w:hAnsi="Arial" w:cs="Arial"/>
          <w:sz w:val="22"/>
          <w:szCs w:val="22"/>
        </w:rPr>
        <w:t xml:space="preserve">, 2017.  </w:t>
      </w:r>
      <w:r w:rsidR="00D26BC2" w:rsidRPr="00833C9E">
        <w:rPr>
          <w:rFonts w:ascii="Arial" w:hAnsi="Arial" w:cs="Arial"/>
          <w:sz w:val="22"/>
          <w:szCs w:val="22"/>
        </w:rPr>
        <w:t>This memorandum is provided in Appendix 9.1</w:t>
      </w:r>
      <w:r w:rsidR="004D58B9" w:rsidRPr="00833C9E">
        <w:rPr>
          <w:rFonts w:ascii="Arial" w:hAnsi="Arial" w:cs="Arial"/>
          <w:sz w:val="22"/>
          <w:szCs w:val="22"/>
        </w:rPr>
        <w:t>5</w:t>
      </w:r>
      <w:r w:rsidR="0072448E" w:rsidRPr="00833C9E">
        <w:rPr>
          <w:rFonts w:ascii="Arial" w:hAnsi="Arial" w:cs="Arial"/>
          <w:sz w:val="22"/>
          <w:szCs w:val="22"/>
        </w:rPr>
        <w:t>.</w:t>
      </w:r>
      <w:r w:rsidRPr="00833C9E">
        <w:rPr>
          <w:rFonts w:ascii="Arial" w:hAnsi="Arial" w:cs="Arial"/>
          <w:sz w:val="22"/>
          <w:szCs w:val="22"/>
        </w:rPr>
        <w:t xml:space="preserve"> Items to be addressed by OOS should also be discussed at the meeting</w:t>
      </w:r>
      <w:r w:rsidRPr="00800A99">
        <w:rPr>
          <w:rFonts w:ascii="Arial" w:hAnsi="Arial" w:cs="Arial"/>
          <w:sz w:val="22"/>
          <w:szCs w:val="22"/>
        </w:rPr>
        <w:t xml:space="preserve">. In addition to modifying/updating the worksheet, take notes and identify potential problems or issues with items on the worksheet. </w:t>
      </w:r>
    </w:p>
    <w:p w14:paraId="1981F44D" w14:textId="7207A28C" w:rsidR="00D651FE" w:rsidRPr="00833C9E" w:rsidRDefault="00830C8B" w:rsidP="00172E64">
      <w:pPr>
        <w:widowControl w:val="0"/>
        <w:numPr>
          <w:ilvl w:val="0"/>
          <w:numId w:val="82"/>
        </w:numPr>
        <w:shd w:val="clear" w:color="auto" w:fill="FFFFFF"/>
        <w:tabs>
          <w:tab w:val="clear" w:pos="1152"/>
          <w:tab w:val="left" w:pos="2126"/>
          <w:tab w:val="left" w:pos="8717"/>
        </w:tabs>
        <w:autoSpaceDE w:val="0"/>
        <w:autoSpaceDN w:val="0"/>
        <w:adjustRightInd w:val="0"/>
        <w:spacing w:before="120"/>
        <w:ind w:left="1080" w:right="34" w:hanging="1080"/>
        <w:jc w:val="both"/>
        <w:rPr>
          <w:rFonts w:ascii="Arial" w:hAnsi="Arial" w:cs="Arial"/>
          <w:sz w:val="22"/>
          <w:szCs w:val="22"/>
        </w:rPr>
      </w:pPr>
      <w:r w:rsidRPr="00833C9E">
        <w:rPr>
          <w:rFonts w:ascii="Arial" w:hAnsi="Arial" w:cs="Arial"/>
          <w:sz w:val="22"/>
          <w:szCs w:val="22"/>
        </w:rPr>
        <w:t xml:space="preserve">Discuss if geophysical technologies may be appropriate for this project.  Refer to </w:t>
      </w:r>
      <w:hyperlink w:anchor="Geotech_Invest_Scop" w:history="1">
        <w:r w:rsidR="00D73B4D" w:rsidRPr="00833C9E">
          <w:rPr>
            <w:rStyle w:val="Hyperlink"/>
            <w:rFonts w:ascii="Arial" w:hAnsi="Arial" w:cs="Arial"/>
            <w:sz w:val="22"/>
            <w:szCs w:val="22"/>
          </w:rPr>
          <w:t>Geotechnical Investigation Scoping Section 3.0</w:t>
        </w:r>
        <w:r w:rsidR="004E2185" w:rsidRPr="00833C9E">
          <w:rPr>
            <w:rStyle w:val="Hyperlink"/>
            <w:rFonts w:ascii="Arial" w:hAnsi="Arial" w:cs="Arial"/>
            <w:sz w:val="22"/>
            <w:szCs w:val="22"/>
          </w:rPr>
          <w:t>6</w:t>
        </w:r>
      </w:hyperlink>
      <w:r w:rsidR="004B4AA3" w:rsidRPr="00833C9E">
        <w:rPr>
          <w:rFonts w:ascii="Arial" w:hAnsi="Arial" w:cs="Arial"/>
          <w:sz w:val="22"/>
          <w:szCs w:val="22"/>
        </w:rPr>
        <w:t xml:space="preserve"> and </w:t>
      </w:r>
      <w:r w:rsidR="004E2185" w:rsidRPr="00833C9E">
        <w:rPr>
          <w:rFonts w:ascii="Arial" w:hAnsi="Arial" w:cs="Arial"/>
          <w:i/>
          <w:sz w:val="22"/>
          <w:szCs w:val="22"/>
        </w:rPr>
        <w:fldChar w:fldCharType="begin"/>
      </w:r>
      <w:r w:rsidR="004E2185" w:rsidRPr="00833C9E">
        <w:rPr>
          <w:rFonts w:ascii="Arial" w:hAnsi="Arial" w:cs="Arial"/>
          <w:i/>
          <w:sz w:val="22"/>
          <w:szCs w:val="22"/>
        </w:rPr>
        <w:instrText xml:space="preserve"> HYPERLINK  \l "J2_Geophysical_Investigation" </w:instrText>
      </w:r>
      <w:r w:rsidR="004E2185" w:rsidRPr="00833C9E">
        <w:rPr>
          <w:rFonts w:ascii="Arial" w:hAnsi="Arial" w:cs="Arial"/>
          <w:i/>
          <w:sz w:val="22"/>
          <w:szCs w:val="22"/>
        </w:rPr>
      </w:r>
      <w:r w:rsidR="004E2185" w:rsidRPr="00833C9E">
        <w:rPr>
          <w:rFonts w:ascii="Arial" w:hAnsi="Arial" w:cs="Arial"/>
          <w:i/>
          <w:sz w:val="22"/>
          <w:szCs w:val="22"/>
        </w:rPr>
        <w:fldChar w:fldCharType="separate"/>
      </w:r>
      <w:r w:rsidR="004B4AA3" w:rsidRPr="00833C9E">
        <w:rPr>
          <w:rStyle w:val="Hyperlink"/>
          <w:rFonts w:ascii="Arial" w:hAnsi="Arial" w:cs="Arial"/>
          <w:sz w:val="22"/>
          <w:szCs w:val="22"/>
        </w:rPr>
        <w:t>Geophysical Investigation Section 3.0</w:t>
      </w:r>
      <w:r w:rsidR="004E2185" w:rsidRPr="00833C9E">
        <w:rPr>
          <w:rStyle w:val="Hyperlink"/>
          <w:rFonts w:ascii="Arial" w:hAnsi="Arial" w:cs="Arial"/>
          <w:sz w:val="22"/>
          <w:szCs w:val="22"/>
        </w:rPr>
        <w:t>7</w:t>
      </w:r>
      <w:r w:rsidR="00D523FC" w:rsidRPr="00833C9E">
        <w:rPr>
          <w:rStyle w:val="Hyperlink"/>
          <w:rFonts w:ascii="Arial" w:hAnsi="Arial" w:cs="Arial"/>
          <w:sz w:val="22"/>
          <w:szCs w:val="22"/>
        </w:rPr>
        <w:t>.</w:t>
      </w:r>
      <w:r w:rsidR="00D26BC2" w:rsidRPr="00833C9E">
        <w:rPr>
          <w:rStyle w:val="Hyperlink"/>
          <w:rFonts w:ascii="Arial" w:hAnsi="Arial" w:cs="Arial"/>
          <w:color w:val="auto"/>
          <w:sz w:val="22"/>
          <w:szCs w:val="22"/>
        </w:rPr>
        <w:t xml:space="preserve"> </w:t>
      </w:r>
      <w:r w:rsidR="00D26BC2" w:rsidRPr="00833C9E">
        <w:rPr>
          <w:rFonts w:ascii="Arial" w:hAnsi="Arial" w:cs="Arial"/>
          <w:sz w:val="22"/>
          <w:szCs w:val="22"/>
        </w:rPr>
        <w:t>EGD may also be consulted to determine the feasibility of geophysical technologies on a project</w:t>
      </w:r>
      <w:r w:rsidR="00D651FE" w:rsidRPr="00833C9E">
        <w:rPr>
          <w:rFonts w:ascii="Arial" w:hAnsi="Arial" w:cs="Arial"/>
          <w:sz w:val="22"/>
          <w:szCs w:val="22"/>
        </w:rPr>
        <w:t>-</w:t>
      </w:r>
      <w:r w:rsidR="00D26BC2" w:rsidRPr="00833C9E">
        <w:rPr>
          <w:rFonts w:ascii="Arial" w:hAnsi="Arial" w:cs="Arial"/>
          <w:sz w:val="22"/>
          <w:szCs w:val="22"/>
        </w:rPr>
        <w:t>by</w:t>
      </w:r>
      <w:r w:rsidR="00D651FE" w:rsidRPr="00833C9E">
        <w:rPr>
          <w:rFonts w:ascii="Arial" w:hAnsi="Arial" w:cs="Arial"/>
          <w:sz w:val="22"/>
          <w:szCs w:val="22"/>
        </w:rPr>
        <w:t>-</w:t>
      </w:r>
      <w:r w:rsidR="00D26BC2" w:rsidRPr="00833C9E">
        <w:rPr>
          <w:rFonts w:ascii="Arial" w:hAnsi="Arial" w:cs="Arial"/>
          <w:sz w:val="22"/>
          <w:szCs w:val="22"/>
        </w:rPr>
        <w:t>project basis.</w:t>
      </w:r>
      <w:r w:rsidR="00D651FE" w:rsidRPr="00833C9E">
        <w:rPr>
          <w:rFonts w:ascii="Arial" w:hAnsi="Arial" w:cs="Arial"/>
          <w:sz w:val="22"/>
          <w:szCs w:val="22"/>
        </w:rPr>
        <w:t xml:space="preserve"> </w:t>
      </w:r>
    </w:p>
    <w:p w14:paraId="7610A8EE" w14:textId="61E1CBAD" w:rsidR="001A15B9" w:rsidRPr="00D651FE" w:rsidRDefault="004E2185" w:rsidP="00172E64">
      <w:pPr>
        <w:widowControl w:val="0"/>
        <w:numPr>
          <w:ilvl w:val="0"/>
          <w:numId w:val="82"/>
        </w:numPr>
        <w:shd w:val="clear" w:color="auto" w:fill="FFFFFF"/>
        <w:tabs>
          <w:tab w:val="clear" w:pos="1152"/>
          <w:tab w:val="left" w:pos="8717"/>
        </w:tabs>
        <w:autoSpaceDE w:val="0"/>
        <w:autoSpaceDN w:val="0"/>
        <w:adjustRightInd w:val="0"/>
        <w:spacing w:before="120"/>
        <w:ind w:left="1080" w:right="34" w:hanging="1080"/>
        <w:jc w:val="both"/>
        <w:rPr>
          <w:rFonts w:ascii="Arial" w:hAnsi="Arial" w:cs="Arial"/>
          <w:sz w:val="22"/>
          <w:szCs w:val="22"/>
        </w:rPr>
      </w:pPr>
      <w:r w:rsidRPr="00833C9E">
        <w:rPr>
          <w:rFonts w:ascii="Arial" w:hAnsi="Arial" w:cs="Arial"/>
          <w:i/>
          <w:sz w:val="22"/>
          <w:szCs w:val="22"/>
        </w:rPr>
        <w:lastRenderedPageBreak/>
        <w:fldChar w:fldCharType="end"/>
      </w:r>
      <w:r w:rsidR="00800A99" w:rsidRPr="00D651FE">
        <w:rPr>
          <w:rFonts w:ascii="Arial" w:hAnsi="Arial" w:cs="Arial"/>
          <w:sz w:val="22"/>
          <w:szCs w:val="22"/>
        </w:rPr>
        <w:t xml:space="preserve">Discuss subsurface exploration program needs and scheduling with FED Representative.  Refer to </w:t>
      </w:r>
      <w:hyperlink w:anchor="_Requests_For_Geotechnical_1" w:history="1">
        <w:r w:rsidR="00800A99" w:rsidRPr="00D651FE">
          <w:rPr>
            <w:rStyle w:val="Hyperlink"/>
            <w:rFonts w:ascii="Arial" w:hAnsi="Arial" w:cs="Arial"/>
            <w:sz w:val="22"/>
            <w:szCs w:val="22"/>
          </w:rPr>
          <w:t xml:space="preserve">Requests </w:t>
        </w:r>
        <w:r w:rsidR="00D26BC2" w:rsidRPr="00D651FE">
          <w:rPr>
            <w:rStyle w:val="Hyperlink"/>
            <w:rFonts w:ascii="Arial" w:hAnsi="Arial" w:cs="Arial"/>
            <w:sz w:val="22"/>
            <w:szCs w:val="22"/>
          </w:rPr>
          <w:t>f</w:t>
        </w:r>
        <w:r w:rsidR="00800A99" w:rsidRPr="00D651FE">
          <w:rPr>
            <w:rStyle w:val="Hyperlink"/>
            <w:rFonts w:ascii="Arial" w:hAnsi="Arial" w:cs="Arial"/>
            <w:sz w:val="22"/>
            <w:szCs w:val="22"/>
          </w:rPr>
          <w:t xml:space="preserve">or Geotechnical Field </w:t>
        </w:r>
        <w:r w:rsidR="00FA596B" w:rsidRPr="00D651FE">
          <w:rPr>
            <w:rStyle w:val="Hyperlink"/>
            <w:rFonts w:ascii="Arial" w:hAnsi="Arial" w:cs="Arial"/>
            <w:sz w:val="22"/>
            <w:szCs w:val="22"/>
          </w:rPr>
          <w:t>W</w:t>
        </w:r>
        <w:r w:rsidR="00800A99" w:rsidRPr="00D651FE">
          <w:rPr>
            <w:rStyle w:val="Hyperlink"/>
            <w:rFonts w:ascii="Arial" w:hAnsi="Arial" w:cs="Arial"/>
            <w:sz w:val="22"/>
            <w:szCs w:val="22"/>
          </w:rPr>
          <w:t>ork</w:t>
        </w:r>
      </w:hyperlink>
      <w:r w:rsidR="00800A99" w:rsidRPr="00D651FE">
        <w:rPr>
          <w:rFonts w:ascii="Arial" w:hAnsi="Arial" w:cs="Arial"/>
          <w:sz w:val="22"/>
          <w:szCs w:val="22"/>
        </w:rPr>
        <w:t>.</w:t>
      </w:r>
    </w:p>
    <w:p w14:paraId="782D96A3" w14:textId="3D7D6EF4" w:rsidR="001A15B9" w:rsidRDefault="00800A99" w:rsidP="00172E64">
      <w:pPr>
        <w:widowControl w:val="0"/>
        <w:numPr>
          <w:ilvl w:val="0"/>
          <w:numId w:val="82"/>
        </w:numPr>
        <w:shd w:val="clear" w:color="auto" w:fill="FFFFFF"/>
        <w:tabs>
          <w:tab w:val="clear" w:pos="1152"/>
          <w:tab w:val="left" w:pos="8717"/>
        </w:tabs>
        <w:autoSpaceDE w:val="0"/>
        <w:autoSpaceDN w:val="0"/>
        <w:adjustRightInd w:val="0"/>
        <w:spacing w:before="120"/>
        <w:ind w:left="1080" w:right="34" w:hanging="1080"/>
        <w:jc w:val="both"/>
        <w:rPr>
          <w:rFonts w:ascii="Arial" w:hAnsi="Arial" w:cs="Arial"/>
          <w:sz w:val="22"/>
          <w:szCs w:val="22"/>
        </w:rPr>
      </w:pPr>
      <w:r w:rsidRPr="00F07917">
        <w:rPr>
          <w:rFonts w:ascii="Arial" w:hAnsi="Arial" w:cs="Arial"/>
          <w:sz w:val="22"/>
          <w:szCs w:val="22"/>
        </w:rPr>
        <w:t xml:space="preserve">Discuss the routine and special lab testing needs and scheduling with SATD Representative. Refer to </w:t>
      </w:r>
      <w:hyperlink w:anchor="_Requests_for_Lab" w:history="1">
        <w:r w:rsidRPr="00F07917">
          <w:rPr>
            <w:rStyle w:val="Hyperlink"/>
            <w:rFonts w:ascii="Arial" w:hAnsi="Arial" w:cs="Arial"/>
            <w:sz w:val="22"/>
            <w:szCs w:val="22"/>
          </w:rPr>
          <w:t>Requests for Lab Work</w:t>
        </w:r>
      </w:hyperlink>
      <w:r w:rsidRPr="00F07917">
        <w:rPr>
          <w:rFonts w:ascii="Arial" w:hAnsi="Arial" w:cs="Arial"/>
          <w:sz w:val="22"/>
          <w:szCs w:val="22"/>
        </w:rPr>
        <w:t>.</w:t>
      </w:r>
      <w:r w:rsidR="00F07917" w:rsidRPr="00F07917">
        <w:rPr>
          <w:rFonts w:ascii="Arial" w:hAnsi="Arial" w:cs="Arial"/>
          <w:sz w:val="22"/>
          <w:szCs w:val="22"/>
        </w:rPr>
        <w:t xml:space="preserve"> </w:t>
      </w:r>
      <w:r w:rsidRPr="00F07917">
        <w:rPr>
          <w:rFonts w:ascii="Arial" w:hAnsi="Arial" w:cs="Arial"/>
          <w:sz w:val="22"/>
          <w:szCs w:val="22"/>
        </w:rPr>
        <w:t>Compile list of data requirements of each OMT Division to complete their portion of the work.</w:t>
      </w:r>
    </w:p>
    <w:p w14:paraId="07F8E5E0" w14:textId="1058A344" w:rsidR="001A15B9" w:rsidRDefault="00800A99" w:rsidP="00172E64">
      <w:pPr>
        <w:numPr>
          <w:ilvl w:val="0"/>
          <w:numId w:val="82"/>
        </w:numPr>
        <w:shd w:val="clear" w:color="auto" w:fill="FFFFFF"/>
        <w:tabs>
          <w:tab w:val="clear" w:pos="1152"/>
          <w:tab w:val="left" w:pos="8717"/>
        </w:tabs>
        <w:autoSpaceDE w:val="0"/>
        <w:autoSpaceDN w:val="0"/>
        <w:adjustRightInd w:val="0"/>
        <w:spacing w:before="120"/>
        <w:ind w:left="1080" w:right="29" w:hanging="1080"/>
        <w:jc w:val="both"/>
        <w:rPr>
          <w:rFonts w:ascii="Arial" w:hAnsi="Arial" w:cs="Arial"/>
          <w:sz w:val="22"/>
          <w:szCs w:val="22"/>
        </w:rPr>
      </w:pPr>
      <w:r w:rsidRPr="00800A99">
        <w:rPr>
          <w:rFonts w:ascii="Arial" w:hAnsi="Arial" w:cs="Arial"/>
          <w:sz w:val="22"/>
          <w:szCs w:val="22"/>
        </w:rPr>
        <w:t>Establish action items and tasks for each OMT Division and time frames for completion.</w:t>
      </w:r>
    </w:p>
    <w:p w14:paraId="7297832F" w14:textId="337C23B9" w:rsidR="001A15B9" w:rsidRDefault="00800A99" w:rsidP="00172E64">
      <w:pPr>
        <w:widowControl w:val="0"/>
        <w:numPr>
          <w:ilvl w:val="0"/>
          <w:numId w:val="82"/>
        </w:numPr>
        <w:shd w:val="clear" w:color="auto" w:fill="FFFFFF"/>
        <w:tabs>
          <w:tab w:val="clear" w:pos="1152"/>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Discuss Site Reconnaissance (See Section</w:t>
      </w:r>
      <w:r w:rsidR="000267BC">
        <w:rPr>
          <w:rFonts w:ascii="Arial" w:hAnsi="Arial" w:cs="Arial"/>
          <w:sz w:val="22"/>
          <w:szCs w:val="22"/>
        </w:rPr>
        <w:t xml:space="preserve"> on</w:t>
      </w:r>
      <w:r w:rsidRPr="00800A99">
        <w:rPr>
          <w:rFonts w:ascii="Arial" w:hAnsi="Arial" w:cs="Arial"/>
          <w:sz w:val="22"/>
          <w:szCs w:val="22"/>
        </w:rPr>
        <w:t xml:space="preserve"> </w:t>
      </w:r>
      <w:hyperlink w:anchor="_Site_Reconnaissance" w:history="1">
        <w:r w:rsidR="000267BC" w:rsidRPr="000267BC">
          <w:rPr>
            <w:rStyle w:val="Hyperlink"/>
            <w:rFonts w:ascii="Arial" w:hAnsi="Arial" w:cs="Arial"/>
            <w:sz w:val="22"/>
            <w:szCs w:val="22"/>
          </w:rPr>
          <w:t>Site Reconnaissance</w:t>
        </w:r>
      </w:hyperlink>
      <w:r w:rsidRPr="00800A99">
        <w:rPr>
          <w:rFonts w:ascii="Arial" w:hAnsi="Arial" w:cs="Arial"/>
          <w:sz w:val="22"/>
          <w:szCs w:val="22"/>
        </w:rPr>
        <w:t>) with meeting attendees and determine which OMT Divisions should attend.</w:t>
      </w:r>
    </w:p>
    <w:p w14:paraId="3990A6D9" w14:textId="3C7336A4" w:rsidR="001A15B9" w:rsidRDefault="00800A99" w:rsidP="00172E64">
      <w:pPr>
        <w:widowControl w:val="0"/>
        <w:numPr>
          <w:ilvl w:val="0"/>
          <w:numId w:val="82"/>
        </w:numPr>
        <w:shd w:val="clear" w:color="auto" w:fill="FFFFFF"/>
        <w:tabs>
          <w:tab w:val="left" w:pos="8717"/>
        </w:tabs>
        <w:autoSpaceDE w:val="0"/>
        <w:autoSpaceDN w:val="0"/>
        <w:adjustRightInd w:val="0"/>
        <w:spacing w:before="120"/>
        <w:ind w:right="34"/>
        <w:jc w:val="both"/>
        <w:rPr>
          <w:rFonts w:ascii="Arial" w:hAnsi="Arial" w:cs="Arial"/>
          <w:sz w:val="22"/>
          <w:szCs w:val="22"/>
        </w:rPr>
      </w:pPr>
      <w:r w:rsidRPr="00800A99">
        <w:rPr>
          <w:rFonts w:ascii="Arial" w:hAnsi="Arial" w:cs="Arial"/>
          <w:sz w:val="22"/>
          <w:szCs w:val="22"/>
        </w:rPr>
        <w:t>After the meeting, prepare and send meeting minutes along with action items based on notes taken during the meeting.</w:t>
      </w:r>
    </w:p>
    <w:p w14:paraId="0CF29CF4" w14:textId="10165372" w:rsidR="00800A99" w:rsidRPr="00D651FE" w:rsidRDefault="00800A99" w:rsidP="00172E64">
      <w:pPr>
        <w:widowControl w:val="0"/>
        <w:numPr>
          <w:ilvl w:val="0"/>
          <w:numId w:val="82"/>
        </w:numPr>
        <w:shd w:val="clear" w:color="auto" w:fill="FFFFFF"/>
        <w:tabs>
          <w:tab w:val="clear" w:pos="1152"/>
          <w:tab w:val="left" w:pos="8717"/>
        </w:tabs>
        <w:autoSpaceDE w:val="0"/>
        <w:autoSpaceDN w:val="0"/>
        <w:adjustRightInd w:val="0"/>
        <w:spacing w:before="120"/>
        <w:ind w:left="1080" w:right="34" w:hanging="1080"/>
        <w:jc w:val="both"/>
      </w:pPr>
      <w:r w:rsidRPr="00D651FE">
        <w:rPr>
          <w:rFonts w:ascii="Arial" w:hAnsi="Arial" w:cs="Arial"/>
          <w:sz w:val="22"/>
          <w:szCs w:val="22"/>
        </w:rPr>
        <w:t>Confirm design elements to be addressed by OOS from the modified/updated “Summary of Geotechnical Design Elements and Delegation” worksheet.</w:t>
      </w:r>
      <w:r w:rsidR="00D651FE" w:rsidRPr="00D651FE">
        <w:rPr>
          <w:rFonts w:ascii="Arial" w:hAnsi="Arial" w:cs="Arial"/>
          <w:sz w:val="22"/>
          <w:szCs w:val="22"/>
        </w:rPr>
        <w:t xml:space="preserve">  </w:t>
      </w:r>
      <w:r w:rsidR="00D651FE" w:rsidRPr="00D651FE">
        <w:rPr>
          <w:rFonts w:ascii="Arial" w:hAnsi="Arial"/>
          <w:sz w:val="22"/>
        </w:rPr>
        <w:t xml:space="preserve">Contact </w:t>
      </w:r>
      <w:r w:rsidRPr="00D651FE">
        <w:rPr>
          <w:rFonts w:ascii="Arial" w:hAnsi="Arial"/>
          <w:sz w:val="22"/>
        </w:rPr>
        <w:t xml:space="preserve">PM requesting data requirements of each OMT Division.  It may be necessary to revisit Steps in </w:t>
      </w:r>
      <w:hyperlink w:anchor="_Initial_Communication_with" w:history="1">
        <w:r w:rsidR="00550506" w:rsidRPr="00D651FE">
          <w:rPr>
            <w:rStyle w:val="Hyperlink"/>
            <w:rFonts w:ascii="Arial" w:hAnsi="Arial"/>
            <w:sz w:val="22"/>
          </w:rPr>
          <w:t>Initial Communication with Requesting Office</w:t>
        </w:r>
      </w:hyperlink>
      <w:r w:rsidRPr="00D651FE">
        <w:rPr>
          <w:rFonts w:ascii="Arial" w:hAnsi="Arial"/>
          <w:sz w:val="22"/>
        </w:rPr>
        <w:t>.</w:t>
      </w:r>
    </w:p>
    <w:p w14:paraId="527BFB81" w14:textId="1004B1EE" w:rsidR="001A15B9" w:rsidRDefault="00800A99" w:rsidP="00172E64">
      <w:pPr>
        <w:widowControl w:val="0"/>
        <w:numPr>
          <w:ilvl w:val="0"/>
          <w:numId w:val="82"/>
        </w:numPr>
        <w:shd w:val="clear" w:color="auto" w:fill="FFFFFF"/>
        <w:tabs>
          <w:tab w:val="clear" w:pos="1152"/>
          <w:tab w:val="left" w:pos="8717"/>
        </w:tabs>
        <w:autoSpaceDE w:val="0"/>
        <w:autoSpaceDN w:val="0"/>
        <w:adjustRightInd w:val="0"/>
        <w:spacing w:before="120"/>
        <w:ind w:left="1080" w:right="34" w:hanging="1080"/>
        <w:jc w:val="both"/>
        <w:rPr>
          <w:rFonts w:ascii="Arial" w:hAnsi="Arial" w:cs="Arial"/>
          <w:sz w:val="22"/>
          <w:szCs w:val="22"/>
        </w:rPr>
      </w:pPr>
      <w:r w:rsidRPr="00800A99">
        <w:rPr>
          <w:rFonts w:ascii="Arial" w:hAnsi="Arial" w:cs="Arial"/>
          <w:sz w:val="22"/>
          <w:szCs w:val="22"/>
        </w:rPr>
        <w:t xml:space="preserve">Setup Site Reconnaissance (See </w:t>
      </w:r>
      <w:hyperlink w:anchor="_Site_Reconnaissance" w:history="1">
        <w:r w:rsidR="000267BC" w:rsidRPr="000267BC">
          <w:rPr>
            <w:rStyle w:val="Hyperlink"/>
            <w:rFonts w:ascii="Arial" w:hAnsi="Arial" w:cs="Arial"/>
            <w:sz w:val="22"/>
            <w:szCs w:val="22"/>
          </w:rPr>
          <w:t>Site Reconnaissance</w:t>
        </w:r>
      </w:hyperlink>
      <w:r w:rsidRPr="00800A99">
        <w:rPr>
          <w:rFonts w:ascii="Arial" w:hAnsi="Arial" w:cs="Arial"/>
          <w:sz w:val="22"/>
          <w:szCs w:val="22"/>
        </w:rPr>
        <w:t xml:space="preserve">).  </w:t>
      </w:r>
    </w:p>
    <w:p w14:paraId="796C6CE9" w14:textId="77777777" w:rsidR="009855C4" w:rsidRDefault="009855C4" w:rsidP="00BE3F24">
      <w:pPr>
        <w:pStyle w:val="Heading2"/>
        <w:ind w:left="0" w:firstLine="0"/>
        <w:sectPr w:rsidR="009855C4" w:rsidSect="00466A64">
          <w:headerReference w:type="default" r:id="rId37"/>
          <w:footerReference w:type="default" r:id="rId38"/>
          <w:pgSz w:w="12240" w:h="15840"/>
          <w:pgMar w:top="1440" w:right="1800" w:bottom="1440" w:left="1800" w:header="720" w:footer="720" w:gutter="0"/>
          <w:pgNumType w:chapStyle="1"/>
          <w:cols w:space="720"/>
          <w:docGrid w:linePitch="272"/>
        </w:sectPr>
      </w:pPr>
    </w:p>
    <w:p w14:paraId="4F9B19CF" w14:textId="7F0AC630" w:rsidR="00160E58" w:rsidRDefault="00160E58" w:rsidP="00BE3F24">
      <w:pPr>
        <w:pStyle w:val="Heading2"/>
        <w:ind w:left="0" w:firstLine="0"/>
      </w:pPr>
      <w:bookmarkStart w:id="35" w:name="_Site_Reconnaissance"/>
      <w:bookmarkStart w:id="36" w:name="_Site_Reconnaissance_7-07-09)"/>
      <w:bookmarkStart w:id="37" w:name="_Toc479160072"/>
      <w:bookmarkStart w:id="38" w:name="_Toc514057963"/>
      <w:bookmarkStart w:id="39" w:name="_Toc194932357"/>
      <w:bookmarkEnd w:id="35"/>
      <w:bookmarkEnd w:id="36"/>
      <w:r>
        <w:lastRenderedPageBreak/>
        <w:t>Site Reconnaissance</w:t>
      </w:r>
      <w:bookmarkEnd w:id="37"/>
      <w:bookmarkEnd w:id="38"/>
      <w:bookmarkEnd w:id="39"/>
      <w:r w:rsidR="00233C4E">
        <w:t xml:space="preserve"> </w:t>
      </w:r>
    </w:p>
    <w:p w14:paraId="0C39FB16" w14:textId="2D7FB2B9" w:rsidR="004D133C" w:rsidRDefault="004D133C" w:rsidP="004D133C">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OMT_Internal_Meetings" w:history="1">
        <w:r w:rsidRPr="008F604D">
          <w:rPr>
            <w:rStyle w:val="Hyperlink"/>
            <w:rFonts w:ascii="Arial" w:hAnsi="Arial" w:cs="Arial"/>
            <w:bCs/>
            <w:sz w:val="16"/>
            <w:szCs w:val="16"/>
          </w:rPr>
          <w:t>OMT Internal Meetings (OMT P</w:t>
        </w:r>
        <w:r w:rsidR="0076608D">
          <w:rPr>
            <w:rStyle w:val="Hyperlink"/>
            <w:rFonts w:ascii="Arial" w:hAnsi="Arial" w:cs="Arial"/>
            <w:bCs/>
            <w:sz w:val="16"/>
            <w:szCs w:val="16"/>
          </w:rPr>
          <w:t xml:space="preserve">roject </w:t>
        </w:r>
        <w:r w:rsidRPr="008F604D">
          <w:rPr>
            <w:rStyle w:val="Hyperlink"/>
            <w:rFonts w:ascii="Arial" w:hAnsi="Arial" w:cs="Arial"/>
            <w:bCs/>
            <w:sz w:val="16"/>
            <w:szCs w:val="16"/>
          </w:rPr>
          <w:t>I</w:t>
        </w:r>
        <w:r w:rsidR="0076608D">
          <w:rPr>
            <w:rStyle w:val="Hyperlink"/>
            <w:rFonts w:ascii="Arial" w:hAnsi="Arial" w:cs="Arial"/>
            <w:bCs/>
            <w:sz w:val="16"/>
            <w:szCs w:val="16"/>
          </w:rPr>
          <w:t>nitiation</w:t>
        </w:r>
        <w:r w:rsidRPr="008F604D">
          <w:rPr>
            <w:rStyle w:val="Hyperlink"/>
            <w:rFonts w:ascii="Arial" w:hAnsi="Arial" w:cs="Arial"/>
            <w:bCs/>
            <w:sz w:val="16"/>
            <w:szCs w:val="16"/>
          </w:rPr>
          <w:t>)</w:t>
        </w:r>
      </w:hyperlink>
    </w:p>
    <w:p w14:paraId="27622926" w14:textId="4A0BE0E5" w:rsidR="00836AD9" w:rsidRPr="008F604D" w:rsidRDefault="00836AD9" w:rsidP="00836AD9">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ests_For_Geotechnical_1" w:history="1">
        <w:r w:rsidRPr="00836AD9">
          <w:rPr>
            <w:rStyle w:val="Hyperlink"/>
            <w:rFonts w:ascii="Arial" w:hAnsi="Arial" w:cs="Arial"/>
            <w:bCs/>
            <w:sz w:val="16"/>
            <w:szCs w:val="16"/>
          </w:rPr>
          <w:t xml:space="preserve">Requests </w:t>
        </w:r>
        <w:r w:rsidR="00D651FE">
          <w:rPr>
            <w:rStyle w:val="Hyperlink"/>
            <w:rFonts w:ascii="Arial" w:hAnsi="Arial" w:cs="Arial"/>
            <w:bCs/>
            <w:sz w:val="16"/>
            <w:szCs w:val="16"/>
          </w:rPr>
          <w:t>f</w:t>
        </w:r>
        <w:r w:rsidRPr="00836AD9">
          <w:rPr>
            <w:rStyle w:val="Hyperlink"/>
            <w:rFonts w:ascii="Arial" w:hAnsi="Arial" w:cs="Arial"/>
            <w:bCs/>
            <w:sz w:val="16"/>
            <w:szCs w:val="16"/>
          </w:rPr>
          <w:t xml:space="preserve">or Geotechnical Field </w:t>
        </w:r>
        <w:r w:rsidR="0076608D">
          <w:rPr>
            <w:rStyle w:val="Hyperlink"/>
            <w:rFonts w:ascii="Arial" w:hAnsi="Arial" w:cs="Arial"/>
            <w:bCs/>
            <w:sz w:val="16"/>
            <w:szCs w:val="16"/>
          </w:rPr>
          <w:t>W</w:t>
        </w:r>
        <w:r w:rsidRPr="00836AD9">
          <w:rPr>
            <w:rStyle w:val="Hyperlink"/>
            <w:rFonts w:ascii="Arial" w:hAnsi="Arial" w:cs="Arial"/>
            <w:bCs/>
            <w:sz w:val="16"/>
            <w:szCs w:val="16"/>
          </w:rPr>
          <w:t>ork</w:t>
        </w:r>
      </w:hyperlink>
    </w:p>
    <w:p w14:paraId="2C3A42DB" w14:textId="77777777" w:rsidR="000F2E63" w:rsidRDefault="000F2E63" w:rsidP="00BE3F24">
      <w:pPr>
        <w:pStyle w:val="Heading3"/>
        <w:ind w:left="0" w:firstLine="0"/>
      </w:pPr>
      <w:r>
        <w:t>General</w:t>
      </w:r>
    </w:p>
    <w:p w14:paraId="5223A5B2" w14:textId="77777777" w:rsidR="000F2E63" w:rsidRDefault="000F2E63" w:rsidP="00BE3F24">
      <w:pPr>
        <w:jc w:val="both"/>
        <w:rPr>
          <w:rFonts w:ascii="Arial" w:hAnsi="Arial" w:cs="Arial"/>
          <w:sz w:val="22"/>
          <w:szCs w:val="22"/>
        </w:rPr>
      </w:pPr>
      <w:r w:rsidRPr="000F2E63">
        <w:rPr>
          <w:rFonts w:ascii="Arial" w:hAnsi="Arial" w:cs="Arial"/>
          <w:sz w:val="22"/>
          <w:szCs w:val="22"/>
        </w:rPr>
        <w:t xml:space="preserve">This section involves the type of information and items to be considered and observed during site reconnaissance, which can help during testing and design of the project. </w:t>
      </w:r>
    </w:p>
    <w:p w14:paraId="3C988B36" w14:textId="77777777" w:rsidR="000F2E63" w:rsidRPr="000F2E63" w:rsidRDefault="000F2E63" w:rsidP="00BE3F24">
      <w:pPr>
        <w:jc w:val="both"/>
        <w:rPr>
          <w:rFonts w:ascii="Arial" w:hAnsi="Arial" w:cs="Arial"/>
          <w:sz w:val="22"/>
          <w:szCs w:val="22"/>
        </w:rPr>
      </w:pPr>
    </w:p>
    <w:p w14:paraId="43215F86" w14:textId="77777777" w:rsidR="000F2E63" w:rsidRPr="000F2E63" w:rsidRDefault="000F2E63" w:rsidP="00BE3F24">
      <w:pPr>
        <w:jc w:val="both"/>
        <w:rPr>
          <w:rFonts w:ascii="Arial" w:hAnsi="Arial" w:cs="Arial"/>
          <w:sz w:val="22"/>
          <w:szCs w:val="22"/>
        </w:rPr>
      </w:pPr>
      <w:r w:rsidRPr="000F2E63">
        <w:rPr>
          <w:rFonts w:ascii="Arial" w:hAnsi="Arial" w:cs="Arial"/>
          <w:sz w:val="22"/>
          <w:szCs w:val="22"/>
        </w:rPr>
        <w:t>Site reconnaissance will help in getting familiar with the general soil, drainage conditions, and special project considerations, if any, that should be given for testing and/or design of the project.</w:t>
      </w:r>
    </w:p>
    <w:p w14:paraId="725A6767" w14:textId="77777777" w:rsidR="000F2E63" w:rsidRDefault="000F2E63" w:rsidP="00BE3F24">
      <w:pPr>
        <w:pStyle w:val="Heading3"/>
        <w:ind w:left="0" w:firstLine="0"/>
      </w:pPr>
      <w:r>
        <w:t>Purpose</w:t>
      </w:r>
    </w:p>
    <w:p w14:paraId="113DBE73" w14:textId="77777777" w:rsidR="000F2E63" w:rsidRDefault="000F2E63" w:rsidP="00BE3F24">
      <w:pPr>
        <w:pStyle w:val="BodyText"/>
        <w:spacing w:after="0"/>
      </w:pPr>
      <w:r>
        <w:rPr>
          <w:rFonts w:cs="Arial"/>
          <w:szCs w:val="22"/>
        </w:rPr>
        <w:t>Site reconnaissance</w:t>
      </w:r>
      <w:r>
        <w:t xml:space="preserve"> for the project is needed to:</w:t>
      </w:r>
    </w:p>
    <w:p w14:paraId="6C7E5BD4" w14:textId="44BF9D2A" w:rsidR="00FB7127" w:rsidRDefault="00FB7127" w:rsidP="00BE3F24">
      <w:pPr>
        <w:pStyle w:val="BodyText"/>
        <w:spacing w:after="0"/>
      </w:pPr>
    </w:p>
    <w:p w14:paraId="08C00824" w14:textId="6463014E" w:rsidR="000F2E63" w:rsidRDefault="0076608D" w:rsidP="00430401">
      <w:pPr>
        <w:pStyle w:val="ListNumber"/>
        <w:numPr>
          <w:ilvl w:val="0"/>
          <w:numId w:val="33"/>
        </w:numPr>
        <w:tabs>
          <w:tab w:val="clear" w:pos="1872"/>
        </w:tabs>
        <w:spacing w:before="0"/>
        <w:ind w:left="720" w:hanging="720"/>
        <w:jc w:val="both"/>
      </w:pPr>
      <w:r>
        <w:t>B</w:t>
      </w:r>
      <w:r w:rsidR="000F2E63">
        <w:t>etter visualize the project and get familiar with the project area</w:t>
      </w:r>
    </w:p>
    <w:p w14:paraId="4A04EFB2" w14:textId="05FD2449" w:rsidR="000F2E63" w:rsidRDefault="0076608D" w:rsidP="00430401">
      <w:pPr>
        <w:pStyle w:val="ListNumber"/>
        <w:numPr>
          <w:ilvl w:val="0"/>
          <w:numId w:val="33"/>
        </w:numPr>
        <w:tabs>
          <w:tab w:val="clear" w:pos="1872"/>
        </w:tabs>
        <w:spacing w:before="0"/>
        <w:ind w:left="720" w:hanging="720"/>
        <w:jc w:val="both"/>
      </w:pPr>
      <w:r>
        <w:t>O</w:t>
      </w:r>
      <w:r w:rsidR="000F2E63">
        <w:t xml:space="preserve">btain a general knowledge of </w:t>
      </w:r>
      <w:r w:rsidR="000F2E63" w:rsidRPr="00E509B7">
        <w:t>soil,</w:t>
      </w:r>
      <w:r w:rsidR="000F2E63">
        <w:t xml:space="preserve"> moisture, rock, and drainage conditions</w:t>
      </w:r>
    </w:p>
    <w:p w14:paraId="3A6C565B" w14:textId="5B65B7B2" w:rsidR="000F2E63" w:rsidRDefault="0076608D" w:rsidP="00430401">
      <w:pPr>
        <w:pStyle w:val="ListNumber"/>
        <w:numPr>
          <w:ilvl w:val="0"/>
          <w:numId w:val="33"/>
        </w:numPr>
        <w:tabs>
          <w:tab w:val="clear" w:pos="1872"/>
        </w:tabs>
        <w:spacing w:before="0"/>
        <w:ind w:left="720" w:hanging="720"/>
        <w:jc w:val="both"/>
      </w:pPr>
      <w:r>
        <w:t>O</w:t>
      </w:r>
      <w:r w:rsidR="000F2E63">
        <w:t xml:space="preserve">btain general knowledge of the topography and special project considerations, if any, </w:t>
      </w:r>
      <w:r>
        <w:t xml:space="preserve">that </w:t>
      </w:r>
      <w:r w:rsidR="000F2E63">
        <w:t>should be given during testing due to site conditions</w:t>
      </w:r>
    </w:p>
    <w:p w14:paraId="6939C0F7" w14:textId="684503D3" w:rsidR="000F2E63" w:rsidRDefault="0076608D" w:rsidP="00430401">
      <w:pPr>
        <w:pStyle w:val="ListNumber"/>
        <w:numPr>
          <w:ilvl w:val="0"/>
          <w:numId w:val="33"/>
        </w:numPr>
        <w:tabs>
          <w:tab w:val="clear" w:pos="1872"/>
        </w:tabs>
        <w:spacing w:before="0"/>
        <w:ind w:left="720" w:hanging="720"/>
        <w:jc w:val="both"/>
      </w:pPr>
      <w:r>
        <w:t>C</w:t>
      </w:r>
      <w:r w:rsidR="000F2E63">
        <w:t xml:space="preserve">heck the general effect of excavation/removal on adjacent pavement or other structures </w:t>
      </w:r>
    </w:p>
    <w:p w14:paraId="67ACB0C0" w14:textId="3AB09F87" w:rsidR="000F2E63" w:rsidRDefault="0076608D" w:rsidP="00430401">
      <w:pPr>
        <w:pStyle w:val="ListNumber"/>
        <w:numPr>
          <w:ilvl w:val="0"/>
          <w:numId w:val="33"/>
        </w:numPr>
        <w:tabs>
          <w:tab w:val="clear" w:pos="1872"/>
        </w:tabs>
        <w:spacing w:before="0"/>
        <w:ind w:left="720" w:hanging="720"/>
        <w:jc w:val="both"/>
      </w:pPr>
      <w:r>
        <w:t>G</w:t>
      </w:r>
      <w:r w:rsidR="000F2E63">
        <w:t>et general knowledge of readily available materials</w:t>
      </w:r>
    </w:p>
    <w:p w14:paraId="67059A9A" w14:textId="24E4CAC6" w:rsidR="000F2E63" w:rsidRDefault="0076608D" w:rsidP="00430401">
      <w:pPr>
        <w:pStyle w:val="ListNumber"/>
        <w:numPr>
          <w:ilvl w:val="0"/>
          <w:numId w:val="33"/>
        </w:numPr>
        <w:tabs>
          <w:tab w:val="clear" w:pos="1872"/>
        </w:tabs>
        <w:spacing w:before="0"/>
        <w:ind w:left="720" w:hanging="720"/>
        <w:jc w:val="both"/>
      </w:pPr>
      <w:r>
        <w:t>C</w:t>
      </w:r>
      <w:r w:rsidR="000F2E63">
        <w:t>heck the general condition of the mainline and the shoulder</w:t>
      </w:r>
    </w:p>
    <w:p w14:paraId="782B0B01" w14:textId="7843C167" w:rsidR="002A0F88" w:rsidRDefault="0076608D" w:rsidP="00430401">
      <w:pPr>
        <w:pStyle w:val="ListNumber"/>
        <w:numPr>
          <w:ilvl w:val="0"/>
          <w:numId w:val="33"/>
        </w:numPr>
        <w:tabs>
          <w:tab w:val="clear" w:pos="1872"/>
        </w:tabs>
        <w:spacing w:before="0"/>
        <w:ind w:left="720" w:hanging="720"/>
        <w:jc w:val="both"/>
      </w:pPr>
      <w:r>
        <w:t>I</w:t>
      </w:r>
      <w:r w:rsidR="000F2E63">
        <w:t>dentify potential problem areas, such as swamp, fills, dumps</w:t>
      </w:r>
      <w:r>
        <w:t>,</w:t>
      </w:r>
      <w:r w:rsidR="000F2E63">
        <w:t xml:space="preserve"> etc.</w:t>
      </w:r>
      <w:r w:rsidR="002A0F88" w:rsidRPr="002A0F88">
        <w:t xml:space="preserve"> </w:t>
      </w:r>
    </w:p>
    <w:p w14:paraId="36DCEFD8" w14:textId="1D8506B1" w:rsidR="002A0F88" w:rsidRDefault="0076608D" w:rsidP="00557A8B">
      <w:pPr>
        <w:pStyle w:val="ListNumber"/>
        <w:numPr>
          <w:ilvl w:val="0"/>
          <w:numId w:val="33"/>
        </w:numPr>
        <w:tabs>
          <w:tab w:val="clear" w:pos="1872"/>
        </w:tabs>
        <w:spacing w:before="0"/>
        <w:ind w:left="720" w:hanging="720"/>
        <w:jc w:val="both"/>
      </w:pPr>
      <w:r>
        <w:t>D</w:t>
      </w:r>
      <w:r w:rsidR="002A0F88">
        <w:t>etermine the site constraints (interferences) for the subsurface investigations</w:t>
      </w:r>
    </w:p>
    <w:p w14:paraId="548A9E82" w14:textId="135E86CD" w:rsidR="00A02D42" w:rsidRDefault="00A02D42" w:rsidP="00557A8B">
      <w:pPr>
        <w:pStyle w:val="ListNumber"/>
        <w:numPr>
          <w:ilvl w:val="0"/>
          <w:numId w:val="33"/>
        </w:numPr>
        <w:tabs>
          <w:tab w:val="clear" w:pos="1872"/>
        </w:tabs>
        <w:spacing w:before="0"/>
        <w:ind w:left="720" w:hanging="720"/>
        <w:jc w:val="both"/>
      </w:pPr>
      <w:r>
        <w:t>Determine if geophysical technologies may be useful on the project</w:t>
      </w:r>
    </w:p>
    <w:p w14:paraId="3B4C935C" w14:textId="7DD44C93" w:rsidR="000F2E63" w:rsidRPr="00CC58A7" w:rsidRDefault="000F2E63" w:rsidP="00BE3F24">
      <w:pPr>
        <w:pStyle w:val="Heading3"/>
        <w:ind w:left="0" w:firstLine="0"/>
      </w:pPr>
      <w:r w:rsidRPr="00CC58A7">
        <w:t>Resource Requirements</w:t>
      </w:r>
    </w:p>
    <w:p w14:paraId="03BE0F5C" w14:textId="77777777" w:rsidR="000F2E63" w:rsidRDefault="000F2E63" w:rsidP="00BE3F24">
      <w:pPr>
        <w:pStyle w:val="BodyText"/>
        <w:spacing w:after="0"/>
        <w:jc w:val="both"/>
      </w:pPr>
      <w:r w:rsidRPr="00CC58A7">
        <w:t xml:space="preserve">The </w:t>
      </w:r>
      <w:r>
        <w:rPr>
          <w:rFonts w:cs="Arial"/>
          <w:szCs w:val="22"/>
        </w:rPr>
        <w:t>site reconnaissance</w:t>
      </w:r>
      <w:r>
        <w:t xml:space="preserve"> is performed by </w:t>
      </w:r>
      <w:r w:rsidRPr="00CC58A7">
        <w:t xml:space="preserve">the </w:t>
      </w:r>
      <w:r>
        <w:t xml:space="preserve">PAGD Engineer.  The PAGD Engineer may be accompanied by representatives from the EGD and the FED as necessary.  </w:t>
      </w:r>
      <w:r w:rsidR="005923E4">
        <w:t xml:space="preserve">At least two individuals are needed for safety reasons.  </w:t>
      </w:r>
      <w:r w:rsidRPr="00CC58A7">
        <w:t>The</w:t>
      </w:r>
      <w:r>
        <w:t xml:space="preserve"> </w:t>
      </w:r>
      <w:r>
        <w:rPr>
          <w:rFonts w:cs="Arial"/>
          <w:szCs w:val="22"/>
        </w:rPr>
        <w:t>site reconnaissance</w:t>
      </w:r>
      <w:r>
        <w:t xml:space="preserve"> process </w:t>
      </w:r>
      <w:r w:rsidRPr="00CC58A7">
        <w:t>requires the following staffing need</w:t>
      </w:r>
      <w:r>
        <w:t>s for a typical project</w:t>
      </w:r>
      <w:r w:rsidRPr="00CC58A7">
        <w:t>:</w:t>
      </w:r>
    </w:p>
    <w:p w14:paraId="2D5FF538" w14:textId="77777777" w:rsidR="000F2E63" w:rsidRPr="00CC58A7" w:rsidRDefault="000F2E63" w:rsidP="00BE3F24">
      <w:pPr>
        <w:pStyle w:val="BodyText"/>
        <w:spacing w:after="0"/>
        <w:jc w:val="both"/>
      </w:pP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22"/>
        <w:gridCol w:w="2250"/>
        <w:gridCol w:w="1985"/>
        <w:gridCol w:w="1530"/>
      </w:tblGrid>
      <w:tr w:rsidR="000F2E63" w:rsidRPr="00CC58A7" w14:paraId="1A5BA0AD" w14:textId="77777777" w:rsidTr="004D1807">
        <w:trPr>
          <w:trHeight w:val="288"/>
          <w:jc w:val="center"/>
        </w:trPr>
        <w:tc>
          <w:tcPr>
            <w:tcW w:w="2822" w:type="dxa"/>
            <w:shd w:val="pct15" w:color="auto" w:fill="FFFFFF"/>
            <w:vAlign w:val="center"/>
          </w:tcPr>
          <w:p w14:paraId="554F330B" w14:textId="77777777" w:rsidR="000F2E63" w:rsidRPr="00CC58A7" w:rsidRDefault="000F2E63" w:rsidP="00BE3F24">
            <w:pPr>
              <w:jc w:val="center"/>
              <w:rPr>
                <w:rFonts w:ascii="Arial" w:hAnsi="Arial"/>
                <w:b/>
              </w:rPr>
            </w:pPr>
            <w:r w:rsidRPr="00CC58A7">
              <w:rPr>
                <w:rFonts w:ascii="Arial" w:hAnsi="Arial"/>
                <w:b/>
              </w:rPr>
              <w:t>Position</w:t>
            </w:r>
          </w:p>
        </w:tc>
        <w:tc>
          <w:tcPr>
            <w:tcW w:w="2250" w:type="dxa"/>
            <w:shd w:val="pct15" w:color="auto" w:fill="FFFFFF"/>
            <w:vAlign w:val="center"/>
          </w:tcPr>
          <w:p w14:paraId="5A6614B2" w14:textId="77777777" w:rsidR="000F2E63" w:rsidRPr="00CC58A7" w:rsidRDefault="000F2E63" w:rsidP="00BE3F24">
            <w:pPr>
              <w:jc w:val="center"/>
              <w:rPr>
                <w:rFonts w:ascii="Arial" w:hAnsi="Arial"/>
                <w:b/>
              </w:rPr>
            </w:pPr>
            <w:r w:rsidRPr="00CC58A7">
              <w:rPr>
                <w:rFonts w:ascii="Arial" w:hAnsi="Arial"/>
                <w:b/>
              </w:rPr>
              <w:t>Function</w:t>
            </w:r>
          </w:p>
        </w:tc>
        <w:tc>
          <w:tcPr>
            <w:tcW w:w="1985" w:type="dxa"/>
            <w:shd w:val="pct15" w:color="auto" w:fill="FFFFFF"/>
            <w:vAlign w:val="center"/>
          </w:tcPr>
          <w:p w14:paraId="1934D97E" w14:textId="77777777" w:rsidR="000F2E63" w:rsidRPr="00CC58A7" w:rsidRDefault="000F2E63" w:rsidP="00BE3F24">
            <w:pPr>
              <w:jc w:val="center"/>
              <w:rPr>
                <w:rFonts w:ascii="Arial" w:hAnsi="Arial"/>
                <w:b/>
              </w:rPr>
            </w:pPr>
            <w:r w:rsidRPr="00CC58A7">
              <w:rPr>
                <w:rFonts w:ascii="Arial" w:hAnsi="Arial"/>
                <w:b/>
              </w:rPr>
              <w:t>Resources</w:t>
            </w:r>
          </w:p>
        </w:tc>
        <w:tc>
          <w:tcPr>
            <w:tcW w:w="1530" w:type="dxa"/>
            <w:shd w:val="pct15" w:color="auto" w:fill="FFFFFF"/>
            <w:vAlign w:val="center"/>
          </w:tcPr>
          <w:p w14:paraId="1B886EAC" w14:textId="77777777" w:rsidR="000F2E63" w:rsidRPr="00CC58A7" w:rsidRDefault="000F2E63" w:rsidP="00BE3F24">
            <w:pPr>
              <w:jc w:val="center"/>
              <w:rPr>
                <w:rFonts w:ascii="Arial" w:hAnsi="Arial"/>
                <w:b/>
              </w:rPr>
            </w:pPr>
            <w:r w:rsidRPr="00CC58A7">
              <w:rPr>
                <w:rFonts w:ascii="Arial" w:hAnsi="Arial"/>
                <w:b/>
              </w:rPr>
              <w:t>Effort Level</w:t>
            </w:r>
          </w:p>
          <w:p w14:paraId="5C0A834A" w14:textId="77777777" w:rsidR="000F2E63" w:rsidRPr="00CC58A7" w:rsidRDefault="000F2E63" w:rsidP="00BE3F24">
            <w:pPr>
              <w:jc w:val="center"/>
              <w:rPr>
                <w:rFonts w:ascii="Arial" w:hAnsi="Arial"/>
                <w:b/>
              </w:rPr>
            </w:pPr>
            <w:r w:rsidRPr="00CC58A7">
              <w:rPr>
                <w:rFonts w:ascii="Arial" w:hAnsi="Arial"/>
                <w:b/>
              </w:rPr>
              <w:t>(man-hours)</w:t>
            </w:r>
          </w:p>
        </w:tc>
      </w:tr>
      <w:tr w:rsidR="000F2E63" w:rsidRPr="00CC58A7" w14:paraId="618A5EFD" w14:textId="77777777" w:rsidTr="004D1807">
        <w:trPr>
          <w:trHeight w:val="288"/>
          <w:jc w:val="center"/>
        </w:trPr>
        <w:tc>
          <w:tcPr>
            <w:tcW w:w="2822" w:type="dxa"/>
            <w:vAlign w:val="center"/>
          </w:tcPr>
          <w:p w14:paraId="482FCAD0" w14:textId="77777777" w:rsidR="000F2E63" w:rsidRPr="00CC58A7" w:rsidRDefault="000F2E63" w:rsidP="00BE3F24">
            <w:pPr>
              <w:jc w:val="center"/>
              <w:rPr>
                <w:rFonts w:ascii="Arial" w:hAnsi="Arial"/>
                <w:sz w:val="18"/>
              </w:rPr>
            </w:pPr>
            <w:r>
              <w:rPr>
                <w:rFonts w:ascii="Arial" w:hAnsi="Arial"/>
                <w:sz w:val="18"/>
              </w:rPr>
              <w:t>PAGD Engineer</w:t>
            </w:r>
          </w:p>
        </w:tc>
        <w:tc>
          <w:tcPr>
            <w:tcW w:w="2250" w:type="dxa"/>
            <w:vAlign w:val="center"/>
          </w:tcPr>
          <w:p w14:paraId="6C846FB7" w14:textId="77777777" w:rsidR="000F2E63" w:rsidRPr="00CC58A7" w:rsidRDefault="000F2E63" w:rsidP="00BE3F24">
            <w:pPr>
              <w:jc w:val="center"/>
              <w:rPr>
                <w:rFonts w:ascii="Arial" w:hAnsi="Arial"/>
                <w:sz w:val="18"/>
              </w:rPr>
            </w:pPr>
            <w:r>
              <w:rPr>
                <w:rFonts w:ascii="Arial" w:hAnsi="Arial"/>
                <w:sz w:val="18"/>
              </w:rPr>
              <w:t>Reconnaissance</w:t>
            </w:r>
          </w:p>
        </w:tc>
        <w:tc>
          <w:tcPr>
            <w:tcW w:w="1985" w:type="dxa"/>
            <w:vAlign w:val="center"/>
          </w:tcPr>
          <w:p w14:paraId="2FBEBDBC" w14:textId="77777777" w:rsidR="000F2E63" w:rsidRPr="00CC58A7" w:rsidRDefault="000F2E63" w:rsidP="00BE3F24">
            <w:pPr>
              <w:jc w:val="center"/>
              <w:rPr>
                <w:rFonts w:ascii="Arial" w:hAnsi="Arial"/>
                <w:sz w:val="18"/>
              </w:rPr>
            </w:pPr>
            <w:r w:rsidRPr="00CC58A7">
              <w:rPr>
                <w:rFonts w:ascii="Arial" w:hAnsi="Arial"/>
                <w:sz w:val="18"/>
              </w:rPr>
              <w:t>1</w:t>
            </w:r>
          </w:p>
        </w:tc>
        <w:tc>
          <w:tcPr>
            <w:tcW w:w="1530" w:type="dxa"/>
            <w:vAlign w:val="center"/>
          </w:tcPr>
          <w:p w14:paraId="4381B1AF" w14:textId="77777777" w:rsidR="000F2E63" w:rsidRPr="00CC58A7" w:rsidRDefault="000F2E63" w:rsidP="00BE3F24">
            <w:pPr>
              <w:jc w:val="center"/>
              <w:rPr>
                <w:rFonts w:ascii="Arial" w:hAnsi="Arial"/>
                <w:sz w:val="18"/>
              </w:rPr>
            </w:pPr>
            <w:r>
              <w:rPr>
                <w:rFonts w:ascii="Arial" w:hAnsi="Arial"/>
                <w:sz w:val="18"/>
              </w:rPr>
              <w:t>8*</w:t>
            </w:r>
          </w:p>
        </w:tc>
      </w:tr>
      <w:tr w:rsidR="000F2E63" w:rsidRPr="00CC58A7" w14:paraId="5BBA17EA" w14:textId="77777777" w:rsidTr="004D1807">
        <w:trPr>
          <w:trHeight w:val="288"/>
          <w:jc w:val="center"/>
        </w:trPr>
        <w:tc>
          <w:tcPr>
            <w:tcW w:w="2822" w:type="dxa"/>
            <w:vAlign w:val="center"/>
          </w:tcPr>
          <w:p w14:paraId="146AF6A4" w14:textId="77777777" w:rsidR="000F2E63" w:rsidRPr="00CC58A7" w:rsidRDefault="000F2E63" w:rsidP="00BE3F24">
            <w:pPr>
              <w:jc w:val="center"/>
              <w:rPr>
                <w:rFonts w:ascii="Arial" w:hAnsi="Arial"/>
                <w:sz w:val="18"/>
              </w:rPr>
            </w:pPr>
            <w:r>
              <w:rPr>
                <w:rFonts w:ascii="Arial" w:hAnsi="Arial"/>
                <w:sz w:val="18"/>
              </w:rPr>
              <w:t>EGD Representative</w:t>
            </w:r>
          </w:p>
        </w:tc>
        <w:tc>
          <w:tcPr>
            <w:tcW w:w="2250" w:type="dxa"/>
            <w:vAlign w:val="center"/>
          </w:tcPr>
          <w:p w14:paraId="6684A62D" w14:textId="77777777" w:rsidR="000F2E63" w:rsidRPr="00CC58A7" w:rsidRDefault="000F2E63" w:rsidP="00BE3F24">
            <w:pPr>
              <w:jc w:val="center"/>
              <w:rPr>
                <w:rFonts w:ascii="Arial" w:hAnsi="Arial"/>
                <w:sz w:val="18"/>
              </w:rPr>
            </w:pPr>
            <w:r>
              <w:rPr>
                <w:rFonts w:ascii="Arial" w:hAnsi="Arial"/>
                <w:sz w:val="18"/>
              </w:rPr>
              <w:t>Reconnaissance</w:t>
            </w:r>
          </w:p>
        </w:tc>
        <w:tc>
          <w:tcPr>
            <w:tcW w:w="1985" w:type="dxa"/>
            <w:vAlign w:val="center"/>
          </w:tcPr>
          <w:p w14:paraId="09E7F9D2" w14:textId="77777777" w:rsidR="000F2E63" w:rsidRPr="00CC58A7" w:rsidRDefault="000F2E63" w:rsidP="00BE3F24">
            <w:pPr>
              <w:jc w:val="center"/>
              <w:rPr>
                <w:rFonts w:ascii="Arial" w:hAnsi="Arial"/>
                <w:sz w:val="18"/>
              </w:rPr>
            </w:pPr>
            <w:r w:rsidRPr="00CC58A7">
              <w:rPr>
                <w:rFonts w:ascii="Arial" w:hAnsi="Arial"/>
                <w:sz w:val="18"/>
              </w:rPr>
              <w:t>1</w:t>
            </w:r>
          </w:p>
        </w:tc>
        <w:tc>
          <w:tcPr>
            <w:tcW w:w="1530" w:type="dxa"/>
            <w:vAlign w:val="center"/>
          </w:tcPr>
          <w:p w14:paraId="2367AF3A" w14:textId="77777777" w:rsidR="000F2E63" w:rsidRPr="00CC58A7" w:rsidRDefault="000F2E63" w:rsidP="00BE3F24">
            <w:pPr>
              <w:jc w:val="center"/>
              <w:rPr>
                <w:rFonts w:ascii="Arial" w:hAnsi="Arial"/>
                <w:sz w:val="18"/>
              </w:rPr>
            </w:pPr>
            <w:r>
              <w:rPr>
                <w:rFonts w:ascii="Arial" w:hAnsi="Arial"/>
                <w:sz w:val="18"/>
              </w:rPr>
              <w:t>8*</w:t>
            </w:r>
          </w:p>
        </w:tc>
      </w:tr>
      <w:tr w:rsidR="000F2E63" w:rsidRPr="00CC58A7" w14:paraId="5409D932" w14:textId="77777777" w:rsidTr="004D1807">
        <w:trPr>
          <w:trHeight w:val="288"/>
          <w:jc w:val="center"/>
        </w:trPr>
        <w:tc>
          <w:tcPr>
            <w:tcW w:w="2822" w:type="dxa"/>
            <w:vAlign w:val="center"/>
          </w:tcPr>
          <w:p w14:paraId="0D344FAA" w14:textId="77777777" w:rsidR="000F2E63" w:rsidRPr="00CC58A7" w:rsidRDefault="000F2E63" w:rsidP="00BE3F24">
            <w:pPr>
              <w:jc w:val="center"/>
              <w:rPr>
                <w:rFonts w:ascii="Arial" w:hAnsi="Arial"/>
                <w:sz w:val="18"/>
              </w:rPr>
            </w:pPr>
            <w:r>
              <w:rPr>
                <w:rFonts w:ascii="Arial" w:hAnsi="Arial"/>
                <w:sz w:val="18"/>
              </w:rPr>
              <w:t>FED Representative</w:t>
            </w:r>
          </w:p>
        </w:tc>
        <w:tc>
          <w:tcPr>
            <w:tcW w:w="2250" w:type="dxa"/>
            <w:vAlign w:val="center"/>
          </w:tcPr>
          <w:p w14:paraId="2AE0F690" w14:textId="77777777" w:rsidR="000F2E63" w:rsidRPr="00CC58A7" w:rsidRDefault="000F2E63" w:rsidP="00BE3F24">
            <w:pPr>
              <w:jc w:val="center"/>
              <w:rPr>
                <w:rFonts w:ascii="Arial" w:hAnsi="Arial"/>
                <w:sz w:val="18"/>
              </w:rPr>
            </w:pPr>
            <w:r>
              <w:rPr>
                <w:rFonts w:ascii="Arial" w:hAnsi="Arial"/>
                <w:sz w:val="18"/>
              </w:rPr>
              <w:t>Reconnaissance</w:t>
            </w:r>
          </w:p>
        </w:tc>
        <w:tc>
          <w:tcPr>
            <w:tcW w:w="1985" w:type="dxa"/>
            <w:vAlign w:val="center"/>
          </w:tcPr>
          <w:p w14:paraId="135FC8EF" w14:textId="77777777" w:rsidR="000F2E63" w:rsidRPr="00CC58A7" w:rsidRDefault="000F2E63" w:rsidP="00BE3F24">
            <w:pPr>
              <w:jc w:val="center"/>
              <w:rPr>
                <w:rFonts w:ascii="Arial" w:hAnsi="Arial"/>
                <w:sz w:val="18"/>
              </w:rPr>
            </w:pPr>
            <w:r w:rsidRPr="00CC58A7">
              <w:rPr>
                <w:rFonts w:ascii="Arial" w:hAnsi="Arial"/>
                <w:sz w:val="18"/>
              </w:rPr>
              <w:t>1</w:t>
            </w:r>
          </w:p>
        </w:tc>
        <w:tc>
          <w:tcPr>
            <w:tcW w:w="1530" w:type="dxa"/>
            <w:vAlign w:val="center"/>
          </w:tcPr>
          <w:p w14:paraId="5CAC2B66" w14:textId="77777777" w:rsidR="000F2E63" w:rsidRPr="00CC58A7" w:rsidRDefault="000F2E63" w:rsidP="00BE3F24">
            <w:pPr>
              <w:jc w:val="center"/>
              <w:rPr>
                <w:rFonts w:ascii="Arial" w:hAnsi="Arial"/>
                <w:sz w:val="18"/>
              </w:rPr>
            </w:pPr>
            <w:r>
              <w:rPr>
                <w:rFonts w:ascii="Arial" w:hAnsi="Arial"/>
                <w:sz w:val="18"/>
              </w:rPr>
              <w:t>8*</w:t>
            </w:r>
          </w:p>
        </w:tc>
      </w:tr>
    </w:tbl>
    <w:p w14:paraId="18DE37A5" w14:textId="77777777" w:rsidR="000F2E63" w:rsidRPr="008363E0" w:rsidRDefault="000F2E63" w:rsidP="00BE3F24">
      <w:pPr>
        <w:rPr>
          <w:rFonts w:ascii="Arial" w:hAnsi="Arial"/>
          <w:sz w:val="18"/>
          <w:szCs w:val="18"/>
        </w:rPr>
      </w:pPr>
      <w:r>
        <w:rPr>
          <w:rFonts w:ascii="Arial" w:hAnsi="Arial"/>
          <w:sz w:val="18"/>
          <w:szCs w:val="18"/>
        </w:rPr>
        <w:t xml:space="preserve">      </w:t>
      </w:r>
      <w:r w:rsidRPr="008363E0">
        <w:rPr>
          <w:rFonts w:ascii="Arial" w:hAnsi="Arial"/>
          <w:sz w:val="18"/>
          <w:szCs w:val="18"/>
        </w:rPr>
        <w:t>* The time required would vary depending on the size and complexity of a project.</w:t>
      </w:r>
    </w:p>
    <w:p w14:paraId="20097EAC" w14:textId="77777777" w:rsidR="000F2E63" w:rsidRPr="00CC58A7" w:rsidRDefault="000F2E63" w:rsidP="00BE3F24">
      <w:pPr>
        <w:pStyle w:val="Heading3"/>
        <w:ind w:left="0" w:firstLine="0"/>
      </w:pPr>
      <w:r w:rsidRPr="00CC58A7">
        <w:t>Procedure</w:t>
      </w:r>
    </w:p>
    <w:p w14:paraId="274D5C23" w14:textId="5A5F8474" w:rsidR="000F2E63" w:rsidRDefault="000F2E63" w:rsidP="00BE3F24">
      <w:pPr>
        <w:pStyle w:val="BodyText"/>
        <w:spacing w:after="0"/>
        <w:jc w:val="both"/>
      </w:pPr>
      <w:r w:rsidRPr="00CC58A7">
        <w:t xml:space="preserve">The procedure </w:t>
      </w:r>
      <w:r w:rsidRPr="00004850">
        <w:t xml:space="preserve">described </w:t>
      </w:r>
      <w:r w:rsidR="0076608D">
        <w:t>below</w:t>
      </w:r>
      <w:r w:rsidRPr="00004850">
        <w:t xml:space="preserve"> should be followed when </w:t>
      </w:r>
      <w:r>
        <w:t xml:space="preserve">performing </w:t>
      </w:r>
      <w:r>
        <w:rPr>
          <w:rFonts w:cs="Arial"/>
          <w:szCs w:val="22"/>
        </w:rPr>
        <w:t>site reconnaissance</w:t>
      </w:r>
      <w:r>
        <w:t xml:space="preserve"> for a project</w:t>
      </w:r>
      <w:r w:rsidRPr="00004850">
        <w:t xml:space="preserve">. The following procedure was written to provide the </w:t>
      </w:r>
      <w:r>
        <w:t>PAGD Engineer</w:t>
      </w:r>
      <w:r w:rsidRPr="00004850">
        <w:t xml:space="preserve"> with adequ</w:t>
      </w:r>
      <w:r w:rsidRPr="00CC58A7">
        <w:t xml:space="preserve">ate information to </w:t>
      </w:r>
      <w:r>
        <w:t xml:space="preserve">assist in </w:t>
      </w:r>
      <w:r>
        <w:rPr>
          <w:rFonts w:cs="Arial"/>
          <w:szCs w:val="22"/>
        </w:rPr>
        <w:t>site reconnaissance</w:t>
      </w:r>
      <w:r>
        <w:t xml:space="preserve"> for a project.</w:t>
      </w:r>
    </w:p>
    <w:p w14:paraId="5DD46169" w14:textId="7DD12384" w:rsidR="000F2E63" w:rsidRDefault="000F2E63" w:rsidP="00BE3F24">
      <w:pPr>
        <w:pStyle w:val="BodyText"/>
        <w:spacing w:after="0"/>
        <w:jc w:val="both"/>
      </w:pPr>
    </w:p>
    <w:p w14:paraId="37A9E9EA" w14:textId="77777777" w:rsidR="000F2E63" w:rsidRDefault="000F2E63" w:rsidP="00BE3F24">
      <w:pPr>
        <w:pStyle w:val="BodyText"/>
        <w:spacing w:after="0"/>
        <w:jc w:val="both"/>
      </w:pPr>
      <w:r w:rsidRPr="00CC58A7">
        <w:t xml:space="preserve">Certain steps in the </w:t>
      </w:r>
      <w:r>
        <w:rPr>
          <w:rFonts w:cs="Arial"/>
          <w:szCs w:val="22"/>
        </w:rPr>
        <w:t>site reconnaissance</w:t>
      </w:r>
      <w:r>
        <w:t xml:space="preserve"> process and other processes might </w:t>
      </w:r>
      <w:r w:rsidRPr="00CC58A7">
        <w:t xml:space="preserve">overlap.  It is important to keep in mind that although these processes are broken out and written in </w:t>
      </w:r>
      <w:r w:rsidRPr="00CC58A7">
        <w:lastRenderedPageBreak/>
        <w:t>separate sections, they are</w:t>
      </w:r>
      <w:r>
        <w:t xml:space="preserve"> a part of an overall process.  Protective clothing must be worn (safety vest, hard hat, hard-soled shoes) at all times when conducting the reconnaissance. </w:t>
      </w:r>
    </w:p>
    <w:p w14:paraId="111DD348" w14:textId="77777777" w:rsidR="001A15B9" w:rsidRDefault="000F2E63" w:rsidP="00430401">
      <w:pPr>
        <w:widowControl w:val="0"/>
        <w:numPr>
          <w:ilvl w:val="0"/>
          <w:numId w:val="36"/>
        </w:numPr>
        <w:shd w:val="clear" w:color="auto" w:fill="FFFFFF"/>
        <w:tabs>
          <w:tab w:val="clear" w:pos="1152"/>
          <w:tab w:val="num" w:pos="-576"/>
          <w:tab w:val="left" w:pos="1080"/>
          <w:tab w:val="left" w:pos="8717"/>
        </w:tabs>
        <w:autoSpaceDE w:val="0"/>
        <w:autoSpaceDN w:val="0"/>
        <w:adjustRightInd w:val="0"/>
        <w:spacing w:before="240"/>
        <w:ind w:left="1080" w:right="34" w:hanging="1080"/>
        <w:jc w:val="both"/>
        <w:rPr>
          <w:rFonts w:ascii="Arial" w:hAnsi="Arial" w:cs="Arial"/>
          <w:sz w:val="22"/>
          <w:szCs w:val="22"/>
        </w:rPr>
      </w:pPr>
      <w:r w:rsidRPr="000F2E63">
        <w:rPr>
          <w:rFonts w:ascii="Arial" w:hAnsi="Arial" w:cs="Arial"/>
          <w:sz w:val="22"/>
          <w:szCs w:val="22"/>
        </w:rPr>
        <w:t xml:space="preserve">Complete Steps in </w:t>
      </w:r>
      <w:hyperlink w:anchor="_Records_Review_(7-07-09)" w:history="1">
        <w:r w:rsidR="005923E4" w:rsidRPr="00550506">
          <w:rPr>
            <w:rStyle w:val="Hyperlink"/>
            <w:rFonts w:ascii="Arial" w:hAnsi="Arial" w:cs="Arial"/>
            <w:sz w:val="22"/>
            <w:szCs w:val="22"/>
          </w:rPr>
          <w:t>Records Review</w:t>
        </w:r>
      </w:hyperlink>
      <w:r w:rsidRPr="000F2E63">
        <w:rPr>
          <w:rFonts w:ascii="Arial" w:hAnsi="Arial" w:cs="Arial"/>
          <w:sz w:val="22"/>
          <w:szCs w:val="22"/>
        </w:rPr>
        <w:t>.</w:t>
      </w:r>
    </w:p>
    <w:p w14:paraId="403F1892" w14:textId="6AC3F4D1" w:rsidR="001A15B9" w:rsidRDefault="000F2E63" w:rsidP="00557A8B">
      <w:pPr>
        <w:widowControl w:val="0"/>
        <w:numPr>
          <w:ilvl w:val="0"/>
          <w:numId w:val="36"/>
        </w:numPr>
        <w:shd w:val="clear" w:color="auto" w:fill="FFFFFF"/>
        <w:tabs>
          <w:tab w:val="clear" w:pos="1152"/>
          <w:tab w:val="num" w:pos="-576"/>
          <w:tab w:val="left" w:pos="1080"/>
          <w:tab w:val="left" w:pos="8717"/>
        </w:tabs>
        <w:autoSpaceDE w:val="0"/>
        <w:autoSpaceDN w:val="0"/>
        <w:adjustRightInd w:val="0"/>
        <w:spacing w:before="120"/>
        <w:ind w:left="1080" w:right="34" w:hanging="1080"/>
        <w:jc w:val="both"/>
        <w:rPr>
          <w:rFonts w:ascii="Arial" w:hAnsi="Arial" w:cs="Arial"/>
          <w:sz w:val="22"/>
          <w:szCs w:val="22"/>
        </w:rPr>
      </w:pPr>
      <w:r w:rsidRPr="000F2E63">
        <w:rPr>
          <w:rFonts w:ascii="Arial" w:hAnsi="Arial" w:cs="Arial"/>
          <w:sz w:val="22"/>
          <w:szCs w:val="22"/>
        </w:rPr>
        <w:t xml:space="preserve">Print copy and review Checklist Items for Site Reconnaissance (See </w:t>
      </w:r>
      <w:hyperlink w:anchor="_Forms,_Spreadsheets_&amp;" w:history="1">
        <w:r w:rsidR="005923E4" w:rsidRPr="00550506">
          <w:rPr>
            <w:rStyle w:val="Hyperlink"/>
            <w:rFonts w:ascii="Arial" w:hAnsi="Arial" w:cs="Arial"/>
            <w:sz w:val="22"/>
            <w:szCs w:val="22"/>
          </w:rPr>
          <w:t xml:space="preserve">Forms, Spreadsheets &amp; </w:t>
        </w:r>
        <w:r w:rsidR="0076608D">
          <w:rPr>
            <w:rStyle w:val="Hyperlink"/>
            <w:rFonts w:ascii="Arial" w:hAnsi="Arial" w:cs="Arial"/>
            <w:sz w:val="22"/>
            <w:szCs w:val="22"/>
          </w:rPr>
          <w:t xml:space="preserve">Reference </w:t>
        </w:r>
        <w:r w:rsidR="005923E4" w:rsidRPr="00550506">
          <w:rPr>
            <w:rStyle w:val="Hyperlink"/>
            <w:rFonts w:ascii="Arial" w:hAnsi="Arial" w:cs="Arial"/>
            <w:sz w:val="22"/>
            <w:szCs w:val="22"/>
          </w:rPr>
          <w:t>Guidelines</w:t>
        </w:r>
      </w:hyperlink>
      <w:r w:rsidRPr="000F2E63">
        <w:rPr>
          <w:rFonts w:ascii="Arial" w:hAnsi="Arial" w:cs="Arial"/>
          <w:sz w:val="22"/>
          <w:szCs w:val="22"/>
        </w:rPr>
        <w:t xml:space="preserve">. </w:t>
      </w:r>
    </w:p>
    <w:p w14:paraId="4F9E6158" w14:textId="7A93D53B" w:rsidR="001A15B9" w:rsidRDefault="000F2E63" w:rsidP="00557A8B">
      <w:pPr>
        <w:widowControl w:val="0"/>
        <w:numPr>
          <w:ilvl w:val="0"/>
          <w:numId w:val="36"/>
        </w:numPr>
        <w:shd w:val="clear" w:color="auto" w:fill="FFFFFF"/>
        <w:tabs>
          <w:tab w:val="clear" w:pos="1152"/>
          <w:tab w:val="num" w:pos="-576"/>
          <w:tab w:val="left" w:pos="1080"/>
          <w:tab w:val="left" w:pos="8717"/>
        </w:tabs>
        <w:autoSpaceDE w:val="0"/>
        <w:autoSpaceDN w:val="0"/>
        <w:adjustRightInd w:val="0"/>
        <w:spacing w:before="120"/>
        <w:ind w:left="1080" w:right="34" w:hanging="1080"/>
        <w:jc w:val="both"/>
        <w:rPr>
          <w:rFonts w:ascii="Arial" w:hAnsi="Arial" w:cs="Arial"/>
          <w:sz w:val="22"/>
          <w:szCs w:val="22"/>
        </w:rPr>
      </w:pPr>
      <w:r w:rsidRPr="000F2E63">
        <w:rPr>
          <w:rFonts w:ascii="Arial" w:hAnsi="Arial" w:cs="Arial"/>
          <w:sz w:val="22"/>
          <w:szCs w:val="22"/>
        </w:rPr>
        <w:t>During site reconnaissance, fill in the Checklist as completely as possible.  In addition, notes (type, locations</w:t>
      </w:r>
      <w:r w:rsidR="0076608D">
        <w:rPr>
          <w:rFonts w:ascii="Arial" w:hAnsi="Arial" w:cs="Arial"/>
          <w:sz w:val="22"/>
          <w:szCs w:val="22"/>
        </w:rPr>
        <w:t>,</w:t>
      </w:r>
      <w:r w:rsidRPr="000F2E63">
        <w:rPr>
          <w:rFonts w:ascii="Arial" w:hAnsi="Arial" w:cs="Arial"/>
          <w:sz w:val="22"/>
          <w:szCs w:val="22"/>
        </w:rPr>
        <w:t xml:space="preserve"> and extent of features) should be taken for items on the Checklist applicable to the project.  If unable to make a determination on items on the Checklist, this should be noted also. </w:t>
      </w:r>
    </w:p>
    <w:p w14:paraId="0A0951AD" w14:textId="77777777" w:rsidR="001A15B9" w:rsidRDefault="000F2E63" w:rsidP="00557A8B">
      <w:pPr>
        <w:widowControl w:val="0"/>
        <w:numPr>
          <w:ilvl w:val="0"/>
          <w:numId w:val="36"/>
        </w:numPr>
        <w:shd w:val="clear" w:color="auto" w:fill="FFFFFF"/>
        <w:tabs>
          <w:tab w:val="clear" w:pos="1152"/>
          <w:tab w:val="num" w:pos="-936"/>
          <w:tab w:val="left" w:pos="1080"/>
          <w:tab w:val="left" w:pos="1890"/>
          <w:tab w:val="num" w:pos="2160"/>
          <w:tab w:val="left" w:pos="8717"/>
        </w:tabs>
        <w:autoSpaceDE w:val="0"/>
        <w:autoSpaceDN w:val="0"/>
        <w:adjustRightInd w:val="0"/>
        <w:spacing w:before="120"/>
        <w:ind w:left="1080" w:right="34" w:hanging="1080"/>
        <w:jc w:val="both"/>
        <w:rPr>
          <w:rFonts w:ascii="Arial" w:hAnsi="Arial" w:cs="Arial"/>
          <w:sz w:val="22"/>
          <w:szCs w:val="22"/>
        </w:rPr>
      </w:pPr>
      <w:r w:rsidRPr="000F2E63">
        <w:rPr>
          <w:rFonts w:ascii="Arial" w:hAnsi="Arial" w:cs="Arial"/>
          <w:sz w:val="22"/>
          <w:szCs w:val="22"/>
        </w:rPr>
        <w:t>Review of adjacent properties: Survey the adjacent properties which will be affected due to the construction of the roadway, ramps, or other structures. Survey the properties which will not be removed but will be very close to the proposed project to study the effect of lowering or increasing grade or water table on those properties.</w:t>
      </w:r>
    </w:p>
    <w:p w14:paraId="228F121F" w14:textId="1D692FAF" w:rsidR="001A15B9" w:rsidRDefault="000F2E63" w:rsidP="00557A8B">
      <w:pPr>
        <w:widowControl w:val="0"/>
        <w:numPr>
          <w:ilvl w:val="0"/>
          <w:numId w:val="36"/>
        </w:numPr>
        <w:shd w:val="clear" w:color="auto" w:fill="FFFFFF"/>
        <w:tabs>
          <w:tab w:val="clear" w:pos="1152"/>
          <w:tab w:val="num" w:pos="-576"/>
          <w:tab w:val="left" w:pos="1080"/>
          <w:tab w:val="left" w:pos="8717"/>
        </w:tabs>
        <w:autoSpaceDE w:val="0"/>
        <w:autoSpaceDN w:val="0"/>
        <w:adjustRightInd w:val="0"/>
        <w:spacing w:before="120"/>
        <w:ind w:left="1080" w:right="34" w:hanging="1080"/>
        <w:jc w:val="both"/>
        <w:rPr>
          <w:sz w:val="22"/>
          <w:szCs w:val="22"/>
        </w:rPr>
      </w:pPr>
      <w:r w:rsidRPr="000F2E63">
        <w:rPr>
          <w:rFonts w:ascii="Arial" w:hAnsi="Arial" w:cs="Arial"/>
          <w:sz w:val="22"/>
          <w:szCs w:val="22"/>
        </w:rPr>
        <w:t>Verify availability of material or disposal sites: Check if there are any landfill or quarry sites close to the proposed project site which can be used for dumping o</w:t>
      </w:r>
      <w:r w:rsidR="0076608D">
        <w:rPr>
          <w:rFonts w:ascii="Arial" w:hAnsi="Arial" w:cs="Arial"/>
          <w:sz w:val="22"/>
          <w:szCs w:val="22"/>
        </w:rPr>
        <w:t>f</w:t>
      </w:r>
      <w:r w:rsidRPr="000F2E63">
        <w:rPr>
          <w:rFonts w:ascii="Arial" w:hAnsi="Arial" w:cs="Arial"/>
          <w:sz w:val="22"/>
          <w:szCs w:val="22"/>
        </w:rPr>
        <w:t xml:space="preserve"> construction material to reduce the project cost. </w:t>
      </w:r>
    </w:p>
    <w:p w14:paraId="65B6F28C" w14:textId="6757025F" w:rsidR="001A15B9" w:rsidRDefault="000F2E63" w:rsidP="00557A8B">
      <w:pPr>
        <w:widowControl w:val="0"/>
        <w:numPr>
          <w:ilvl w:val="0"/>
          <w:numId w:val="36"/>
        </w:numPr>
        <w:shd w:val="clear" w:color="auto" w:fill="FFFFFF"/>
        <w:tabs>
          <w:tab w:val="clear" w:pos="1152"/>
          <w:tab w:val="num" w:pos="-576"/>
          <w:tab w:val="left" w:pos="1080"/>
          <w:tab w:val="left" w:pos="8717"/>
        </w:tabs>
        <w:autoSpaceDE w:val="0"/>
        <w:autoSpaceDN w:val="0"/>
        <w:adjustRightInd w:val="0"/>
        <w:spacing w:before="120"/>
        <w:ind w:left="1080" w:right="29" w:hanging="1080"/>
        <w:jc w:val="both"/>
        <w:rPr>
          <w:sz w:val="22"/>
          <w:szCs w:val="22"/>
        </w:rPr>
      </w:pPr>
      <w:r w:rsidRPr="000F2E63">
        <w:rPr>
          <w:rFonts w:ascii="Arial" w:hAnsi="Arial" w:cs="Arial"/>
          <w:sz w:val="22"/>
          <w:szCs w:val="22"/>
        </w:rPr>
        <w:t xml:space="preserve">Check condition of existing pavement and slopes: The existing pavement should be checked for tension cracks.  The existing slopes should be checked for stability or erosion and existing distress. </w:t>
      </w:r>
    </w:p>
    <w:p w14:paraId="3683C30C" w14:textId="77777777" w:rsidR="001A15B9" w:rsidRDefault="000F2E63" w:rsidP="00557A8B">
      <w:pPr>
        <w:widowControl w:val="0"/>
        <w:numPr>
          <w:ilvl w:val="0"/>
          <w:numId w:val="36"/>
        </w:numPr>
        <w:shd w:val="clear" w:color="auto" w:fill="FFFFFF"/>
        <w:tabs>
          <w:tab w:val="clear" w:pos="1152"/>
          <w:tab w:val="num" w:pos="-576"/>
          <w:tab w:val="left" w:pos="1080"/>
          <w:tab w:val="left" w:pos="8717"/>
        </w:tabs>
        <w:autoSpaceDE w:val="0"/>
        <w:autoSpaceDN w:val="0"/>
        <w:adjustRightInd w:val="0"/>
        <w:spacing w:before="120"/>
        <w:ind w:left="1080" w:right="29" w:hanging="1080"/>
        <w:jc w:val="both"/>
        <w:rPr>
          <w:rFonts w:ascii="Arial" w:hAnsi="Arial" w:cs="Arial"/>
          <w:sz w:val="22"/>
          <w:szCs w:val="22"/>
        </w:rPr>
      </w:pPr>
      <w:r w:rsidRPr="000F2E63">
        <w:rPr>
          <w:rFonts w:ascii="Arial" w:hAnsi="Arial" w:cs="Arial"/>
          <w:sz w:val="22"/>
          <w:szCs w:val="22"/>
        </w:rPr>
        <w:t>Discuss items/issues from the site reconnaissance with the PAGD TL and OMT Division contacts (if they did not attend).  It may be necessary to type notes taken during the site reconnaissance for placement in the project file.</w:t>
      </w:r>
    </w:p>
    <w:p w14:paraId="77DE6332" w14:textId="77777777" w:rsidR="00B86D88" w:rsidRPr="000F2E63" w:rsidRDefault="00B86D88" w:rsidP="00557A8B">
      <w:pPr>
        <w:widowControl w:val="0"/>
        <w:numPr>
          <w:ilvl w:val="0"/>
          <w:numId w:val="36"/>
        </w:numPr>
        <w:shd w:val="clear" w:color="auto" w:fill="FFFFFF"/>
        <w:tabs>
          <w:tab w:val="clear" w:pos="1152"/>
          <w:tab w:val="num" w:pos="-864"/>
          <w:tab w:val="left" w:pos="2126"/>
          <w:tab w:val="left" w:pos="8717"/>
        </w:tabs>
        <w:autoSpaceDE w:val="0"/>
        <w:autoSpaceDN w:val="0"/>
        <w:adjustRightInd w:val="0"/>
        <w:spacing w:before="120"/>
        <w:ind w:left="0" w:right="29" w:firstLine="0"/>
        <w:jc w:val="both"/>
        <w:rPr>
          <w:rFonts w:ascii="Arial" w:hAnsi="Arial" w:cs="Arial"/>
          <w:sz w:val="22"/>
          <w:szCs w:val="22"/>
        </w:rPr>
        <w:sectPr w:rsidR="00B86D88" w:rsidRPr="000F2E63" w:rsidSect="00AC40CB">
          <w:headerReference w:type="default" r:id="rId39"/>
          <w:footerReference w:type="default" r:id="rId40"/>
          <w:pgSz w:w="12240" w:h="15840"/>
          <w:pgMar w:top="1440" w:right="1800" w:bottom="1440" w:left="1800" w:header="720" w:footer="720" w:gutter="0"/>
          <w:pgNumType w:chapStyle="1"/>
          <w:cols w:space="720"/>
          <w:docGrid w:linePitch="272"/>
        </w:sectPr>
      </w:pPr>
    </w:p>
    <w:p w14:paraId="29906C14" w14:textId="166EEEBF" w:rsidR="00631A84" w:rsidRDefault="00631A84" w:rsidP="00BE3F24">
      <w:pPr>
        <w:pStyle w:val="Heading2"/>
        <w:ind w:left="0" w:firstLine="0"/>
      </w:pPr>
      <w:bookmarkStart w:id="40" w:name="_Preliminary_Engineering_Cost"/>
      <w:bookmarkStart w:id="41" w:name="_Toc479160073"/>
      <w:bookmarkStart w:id="42" w:name="_Toc514057964"/>
      <w:bookmarkStart w:id="43" w:name="_Toc194932358"/>
      <w:bookmarkEnd w:id="40"/>
      <w:r>
        <w:lastRenderedPageBreak/>
        <w:t xml:space="preserve">Preliminary Engineering </w:t>
      </w:r>
      <w:smartTag w:uri="urn:schemas-microsoft-com:office:smarttags" w:element="stockticker">
        <w:r>
          <w:t>Cost</w:t>
        </w:r>
      </w:smartTag>
      <w:r>
        <w:t xml:space="preserve"> Estimate</w:t>
      </w:r>
      <w:bookmarkEnd w:id="41"/>
      <w:bookmarkEnd w:id="42"/>
      <w:bookmarkEnd w:id="43"/>
      <w:r>
        <w:t xml:space="preserve"> </w:t>
      </w:r>
    </w:p>
    <w:p w14:paraId="248EF8EF" w14:textId="77777777" w:rsidR="00631A84" w:rsidRDefault="00631A84" w:rsidP="00BE3F24">
      <w:pPr>
        <w:pStyle w:val="Heading3"/>
        <w:ind w:left="0" w:firstLine="0"/>
      </w:pPr>
      <w:r>
        <w:t>Purpose</w:t>
      </w:r>
    </w:p>
    <w:p w14:paraId="1BF0AF1C" w14:textId="77777777" w:rsidR="00631A84" w:rsidRDefault="00631A84" w:rsidP="00BE3F24">
      <w:pPr>
        <w:pStyle w:val="BodyText"/>
        <w:jc w:val="both"/>
      </w:pPr>
      <w:r>
        <w:t>A Preliminary Engineering (PE) Cost Estimate is completed to:</w:t>
      </w:r>
    </w:p>
    <w:p w14:paraId="7B7A872E" w14:textId="77777777" w:rsidR="00631A84" w:rsidRPr="00CC5DB3" w:rsidRDefault="00631A84" w:rsidP="00E22ACF">
      <w:pPr>
        <w:numPr>
          <w:ilvl w:val="0"/>
          <w:numId w:val="17"/>
        </w:numPr>
        <w:tabs>
          <w:tab w:val="clear" w:pos="360"/>
          <w:tab w:val="num" w:pos="-2376"/>
        </w:tabs>
        <w:ind w:left="540" w:hanging="540"/>
        <w:jc w:val="both"/>
        <w:rPr>
          <w:rFonts w:ascii="Arial" w:hAnsi="Arial"/>
          <w:sz w:val="22"/>
          <w:szCs w:val="22"/>
        </w:rPr>
      </w:pPr>
      <w:r w:rsidRPr="00CC5DB3">
        <w:rPr>
          <w:rFonts w:ascii="Arial" w:hAnsi="Arial"/>
          <w:sz w:val="22"/>
          <w:szCs w:val="22"/>
        </w:rPr>
        <w:t xml:space="preserve">Provide the Project Owner an estimate of the cost required </w:t>
      </w:r>
      <w:r>
        <w:rPr>
          <w:rFonts w:ascii="Arial" w:hAnsi="Arial"/>
          <w:sz w:val="22"/>
          <w:szCs w:val="22"/>
        </w:rPr>
        <w:t xml:space="preserve">by OMT </w:t>
      </w:r>
      <w:r w:rsidRPr="00CC5DB3">
        <w:rPr>
          <w:rFonts w:ascii="Arial" w:hAnsi="Arial"/>
          <w:sz w:val="22"/>
          <w:szCs w:val="22"/>
        </w:rPr>
        <w:t>to complete the review, testing, design, and analysis of the project</w:t>
      </w:r>
      <w:r w:rsidR="00BF4EF2">
        <w:rPr>
          <w:rFonts w:ascii="Arial" w:hAnsi="Arial"/>
          <w:sz w:val="22"/>
          <w:szCs w:val="22"/>
        </w:rPr>
        <w:t xml:space="preserve">, used for SHA budget and </w:t>
      </w:r>
      <w:r w:rsidR="0082213C">
        <w:rPr>
          <w:rFonts w:ascii="Arial" w:hAnsi="Arial"/>
          <w:sz w:val="22"/>
          <w:szCs w:val="22"/>
        </w:rPr>
        <w:t>Consolidated Transportation Program (</w:t>
      </w:r>
      <w:r w:rsidR="00BF4EF2">
        <w:rPr>
          <w:rFonts w:ascii="Arial" w:hAnsi="Arial"/>
          <w:sz w:val="22"/>
          <w:szCs w:val="22"/>
        </w:rPr>
        <w:t>CTP</w:t>
      </w:r>
      <w:r w:rsidR="0082213C">
        <w:rPr>
          <w:rFonts w:ascii="Arial" w:hAnsi="Arial"/>
          <w:sz w:val="22"/>
          <w:szCs w:val="22"/>
        </w:rPr>
        <w:t>)</w:t>
      </w:r>
      <w:r w:rsidR="00BF4EF2">
        <w:rPr>
          <w:rFonts w:ascii="Arial" w:hAnsi="Arial"/>
          <w:sz w:val="22"/>
          <w:szCs w:val="22"/>
        </w:rPr>
        <w:t xml:space="preserve"> costs.</w:t>
      </w:r>
    </w:p>
    <w:p w14:paraId="26A0F0E4" w14:textId="5E919855" w:rsidR="00631A84" w:rsidRPr="00CC5DB3" w:rsidRDefault="00631A84" w:rsidP="00E22ACF">
      <w:pPr>
        <w:numPr>
          <w:ilvl w:val="0"/>
          <w:numId w:val="17"/>
        </w:numPr>
        <w:tabs>
          <w:tab w:val="clear" w:pos="360"/>
          <w:tab w:val="num" w:pos="-2376"/>
        </w:tabs>
        <w:ind w:left="540" w:hanging="540"/>
        <w:jc w:val="both"/>
        <w:rPr>
          <w:rFonts w:ascii="Arial" w:hAnsi="Arial"/>
          <w:sz w:val="22"/>
          <w:szCs w:val="22"/>
        </w:rPr>
      </w:pPr>
      <w:r w:rsidRPr="00CC5DB3">
        <w:rPr>
          <w:rFonts w:ascii="Arial" w:hAnsi="Arial"/>
          <w:sz w:val="22"/>
          <w:szCs w:val="22"/>
        </w:rPr>
        <w:t>Estimate the amount of testing required on the project, for</w:t>
      </w:r>
      <w:r>
        <w:rPr>
          <w:rFonts w:ascii="Arial" w:hAnsi="Arial"/>
          <w:sz w:val="22"/>
          <w:szCs w:val="22"/>
        </w:rPr>
        <w:t xml:space="preserve"> the</w:t>
      </w:r>
      <w:r w:rsidRPr="00CC5DB3">
        <w:rPr>
          <w:rFonts w:ascii="Arial" w:hAnsi="Arial"/>
          <w:sz w:val="22"/>
          <w:szCs w:val="22"/>
        </w:rPr>
        <w:t xml:space="preserve"> </w:t>
      </w:r>
      <w:r w:rsidR="00D26BC2">
        <w:rPr>
          <w:rFonts w:ascii="Arial" w:hAnsi="Arial"/>
          <w:sz w:val="22"/>
          <w:szCs w:val="22"/>
        </w:rPr>
        <w:t>PAGD</w:t>
      </w:r>
      <w:r w:rsidRPr="00CC5DB3">
        <w:rPr>
          <w:rFonts w:ascii="Arial" w:hAnsi="Arial"/>
          <w:sz w:val="22"/>
          <w:szCs w:val="22"/>
        </w:rPr>
        <w:t xml:space="preserve">, </w:t>
      </w:r>
      <w:r w:rsidR="00D26BC2">
        <w:rPr>
          <w:rFonts w:ascii="Arial" w:hAnsi="Arial"/>
          <w:sz w:val="22"/>
          <w:szCs w:val="22"/>
        </w:rPr>
        <w:t>EGD</w:t>
      </w:r>
      <w:r w:rsidRPr="00CC5DB3">
        <w:rPr>
          <w:rFonts w:ascii="Arial" w:hAnsi="Arial"/>
          <w:sz w:val="22"/>
          <w:szCs w:val="22"/>
        </w:rPr>
        <w:t xml:space="preserve">, </w:t>
      </w:r>
      <w:r w:rsidR="00D26BC2">
        <w:rPr>
          <w:rFonts w:ascii="Arial" w:hAnsi="Arial"/>
          <w:sz w:val="22"/>
          <w:szCs w:val="22"/>
        </w:rPr>
        <w:t>FED</w:t>
      </w:r>
      <w:r>
        <w:rPr>
          <w:rFonts w:ascii="Arial" w:hAnsi="Arial"/>
          <w:sz w:val="22"/>
          <w:szCs w:val="22"/>
        </w:rPr>
        <w:t xml:space="preserve"> </w:t>
      </w:r>
      <w:r w:rsidRPr="00CC5DB3">
        <w:rPr>
          <w:rFonts w:ascii="Arial" w:hAnsi="Arial"/>
          <w:sz w:val="22"/>
          <w:szCs w:val="22"/>
        </w:rPr>
        <w:t xml:space="preserve">and the </w:t>
      </w:r>
      <w:r w:rsidR="00D26BC2">
        <w:rPr>
          <w:rFonts w:ascii="Arial" w:hAnsi="Arial"/>
          <w:sz w:val="22"/>
          <w:szCs w:val="22"/>
        </w:rPr>
        <w:t>SATD</w:t>
      </w:r>
      <w:r w:rsidR="008B41B9">
        <w:rPr>
          <w:rFonts w:ascii="Arial" w:hAnsi="Arial"/>
          <w:sz w:val="22"/>
          <w:szCs w:val="22"/>
        </w:rPr>
        <w:t>.</w:t>
      </w:r>
      <w:r w:rsidRPr="00CC5DB3">
        <w:rPr>
          <w:rFonts w:ascii="Arial" w:hAnsi="Arial"/>
          <w:sz w:val="22"/>
          <w:szCs w:val="22"/>
        </w:rPr>
        <w:t xml:space="preserve"> </w:t>
      </w:r>
    </w:p>
    <w:p w14:paraId="07461401" w14:textId="128DD5C4" w:rsidR="00631A84" w:rsidRPr="00CC5DB3" w:rsidRDefault="00631A84" w:rsidP="00E22ACF">
      <w:pPr>
        <w:numPr>
          <w:ilvl w:val="0"/>
          <w:numId w:val="17"/>
        </w:numPr>
        <w:tabs>
          <w:tab w:val="clear" w:pos="360"/>
          <w:tab w:val="num" w:pos="-2376"/>
        </w:tabs>
        <w:ind w:left="540" w:hanging="540"/>
        <w:jc w:val="both"/>
        <w:rPr>
          <w:rFonts w:ascii="Arial" w:hAnsi="Arial"/>
          <w:sz w:val="22"/>
          <w:szCs w:val="22"/>
        </w:rPr>
      </w:pPr>
      <w:r w:rsidRPr="00CC5DB3">
        <w:rPr>
          <w:rFonts w:ascii="Arial" w:hAnsi="Arial"/>
          <w:sz w:val="22"/>
          <w:szCs w:val="22"/>
        </w:rPr>
        <w:t xml:space="preserve">Estimate the </w:t>
      </w:r>
      <w:r w:rsidR="00BF4EF2">
        <w:rPr>
          <w:rFonts w:ascii="Arial" w:hAnsi="Arial"/>
          <w:sz w:val="22"/>
          <w:szCs w:val="22"/>
        </w:rPr>
        <w:t>total dollar costs</w:t>
      </w:r>
      <w:r w:rsidRPr="00CC5DB3">
        <w:rPr>
          <w:rFonts w:ascii="Arial" w:hAnsi="Arial"/>
          <w:sz w:val="22"/>
          <w:szCs w:val="22"/>
        </w:rPr>
        <w:t xml:space="preserve"> required to complete testing and design of the </w:t>
      </w:r>
      <w:r w:rsidR="0076608D" w:rsidRPr="00CC5DB3">
        <w:rPr>
          <w:rFonts w:ascii="Arial" w:hAnsi="Arial"/>
          <w:sz w:val="22"/>
          <w:szCs w:val="22"/>
        </w:rPr>
        <w:t>project</w:t>
      </w:r>
      <w:r w:rsidR="0076608D">
        <w:rPr>
          <w:rFonts w:ascii="Arial" w:hAnsi="Arial"/>
          <w:sz w:val="22"/>
          <w:szCs w:val="22"/>
        </w:rPr>
        <w:t>.</w:t>
      </w:r>
    </w:p>
    <w:p w14:paraId="267A0E2E" w14:textId="77777777" w:rsidR="00631A84" w:rsidRDefault="00631A84" w:rsidP="00BE3F24">
      <w:pPr>
        <w:pStyle w:val="Heading3"/>
        <w:ind w:left="0" w:firstLine="0"/>
        <w:jc w:val="both"/>
      </w:pPr>
      <w:r>
        <w:t>Resource Requirements</w:t>
      </w:r>
    </w:p>
    <w:p w14:paraId="337ECDCF" w14:textId="77777777" w:rsidR="00631A84" w:rsidRDefault="00631A84" w:rsidP="00430401">
      <w:pPr>
        <w:pStyle w:val="BodyText"/>
        <w:spacing w:after="0"/>
        <w:jc w:val="both"/>
      </w:pPr>
      <w:r>
        <w:t>The PE cost estimate procedure documented below requires the following staffing needs for a typical job:</w:t>
      </w:r>
    </w:p>
    <w:p w14:paraId="773AB973" w14:textId="77777777" w:rsidR="00B16C24" w:rsidRDefault="00B16C24" w:rsidP="00B16C24">
      <w:pPr>
        <w:pStyle w:val="BodyText"/>
        <w:spacing w:after="0"/>
        <w:jc w:val="both"/>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5"/>
        <w:gridCol w:w="2880"/>
        <w:gridCol w:w="1260"/>
        <w:gridCol w:w="1430"/>
      </w:tblGrid>
      <w:tr w:rsidR="00115674" w14:paraId="206AA00C" w14:textId="77777777" w:rsidTr="00E071B5">
        <w:trPr>
          <w:trHeight w:val="288"/>
          <w:jc w:val="center"/>
        </w:trPr>
        <w:tc>
          <w:tcPr>
            <w:tcW w:w="2975" w:type="dxa"/>
            <w:shd w:val="pct15" w:color="auto" w:fill="FFFFFF"/>
            <w:vAlign w:val="center"/>
          </w:tcPr>
          <w:p w14:paraId="22AA4289" w14:textId="77777777" w:rsidR="00631A84" w:rsidRDefault="00631A84" w:rsidP="00430401">
            <w:pPr>
              <w:jc w:val="center"/>
              <w:rPr>
                <w:rFonts w:ascii="Arial" w:hAnsi="Arial"/>
                <w:b/>
              </w:rPr>
            </w:pPr>
            <w:r>
              <w:rPr>
                <w:rFonts w:ascii="Arial" w:hAnsi="Arial"/>
                <w:b/>
              </w:rPr>
              <w:t>Position</w:t>
            </w:r>
          </w:p>
        </w:tc>
        <w:tc>
          <w:tcPr>
            <w:tcW w:w="2880" w:type="dxa"/>
            <w:shd w:val="pct15" w:color="auto" w:fill="FFFFFF"/>
            <w:vAlign w:val="center"/>
          </w:tcPr>
          <w:p w14:paraId="78C74E6B" w14:textId="77777777" w:rsidR="00631A84" w:rsidRDefault="00631A84" w:rsidP="00430401">
            <w:pPr>
              <w:jc w:val="center"/>
              <w:rPr>
                <w:rFonts w:ascii="Arial" w:hAnsi="Arial"/>
                <w:b/>
              </w:rPr>
            </w:pPr>
            <w:r>
              <w:rPr>
                <w:rFonts w:ascii="Arial" w:hAnsi="Arial"/>
                <w:b/>
              </w:rPr>
              <w:t>Function</w:t>
            </w:r>
          </w:p>
        </w:tc>
        <w:tc>
          <w:tcPr>
            <w:tcW w:w="1260" w:type="dxa"/>
            <w:shd w:val="pct15" w:color="auto" w:fill="FFFFFF"/>
            <w:vAlign w:val="center"/>
          </w:tcPr>
          <w:p w14:paraId="1118581C" w14:textId="77777777" w:rsidR="00631A84" w:rsidRDefault="00631A84" w:rsidP="00430401">
            <w:pPr>
              <w:jc w:val="center"/>
              <w:rPr>
                <w:rFonts w:ascii="Arial" w:hAnsi="Arial"/>
                <w:b/>
              </w:rPr>
            </w:pPr>
            <w:r>
              <w:rPr>
                <w:rFonts w:ascii="Arial" w:hAnsi="Arial"/>
                <w:b/>
              </w:rPr>
              <w:t>Resources</w:t>
            </w:r>
          </w:p>
        </w:tc>
        <w:tc>
          <w:tcPr>
            <w:tcW w:w="1430" w:type="dxa"/>
            <w:shd w:val="pct15" w:color="auto" w:fill="FFFFFF"/>
            <w:vAlign w:val="center"/>
          </w:tcPr>
          <w:p w14:paraId="6DF8D9C0" w14:textId="77777777" w:rsidR="00631A84" w:rsidRDefault="00631A84" w:rsidP="00430401">
            <w:pPr>
              <w:jc w:val="center"/>
              <w:rPr>
                <w:rFonts w:ascii="Arial" w:hAnsi="Arial"/>
                <w:b/>
              </w:rPr>
            </w:pPr>
            <w:r>
              <w:rPr>
                <w:rFonts w:ascii="Arial" w:hAnsi="Arial"/>
                <w:b/>
              </w:rPr>
              <w:t>Effort Level</w:t>
            </w:r>
          </w:p>
          <w:p w14:paraId="7EC681B3" w14:textId="77777777" w:rsidR="00631A84" w:rsidRDefault="00631A84" w:rsidP="00430401">
            <w:pPr>
              <w:jc w:val="center"/>
              <w:rPr>
                <w:rFonts w:ascii="Arial" w:hAnsi="Arial"/>
                <w:b/>
                <w:color w:val="FFFFFF"/>
              </w:rPr>
            </w:pPr>
            <w:r>
              <w:rPr>
                <w:rFonts w:ascii="Arial" w:hAnsi="Arial"/>
                <w:b/>
              </w:rPr>
              <w:t>(man-hours)</w:t>
            </w:r>
          </w:p>
        </w:tc>
      </w:tr>
      <w:tr w:rsidR="00631A84" w14:paraId="6CFED333" w14:textId="77777777" w:rsidTr="00E071B5">
        <w:trPr>
          <w:trHeight w:val="288"/>
          <w:jc w:val="center"/>
        </w:trPr>
        <w:tc>
          <w:tcPr>
            <w:tcW w:w="2975" w:type="dxa"/>
            <w:vAlign w:val="center"/>
          </w:tcPr>
          <w:p w14:paraId="358AB51E" w14:textId="77777777" w:rsidR="00631A84" w:rsidRDefault="00631A84" w:rsidP="00430401">
            <w:pPr>
              <w:jc w:val="center"/>
              <w:rPr>
                <w:rFonts w:ascii="Arial" w:hAnsi="Arial"/>
                <w:sz w:val="18"/>
              </w:rPr>
            </w:pPr>
            <w:r>
              <w:rPr>
                <w:rFonts w:ascii="Arial" w:hAnsi="Arial"/>
                <w:sz w:val="18"/>
              </w:rPr>
              <w:t>Staff Engineer or Project Engineer</w:t>
            </w:r>
          </w:p>
        </w:tc>
        <w:tc>
          <w:tcPr>
            <w:tcW w:w="2880" w:type="dxa"/>
            <w:vAlign w:val="center"/>
          </w:tcPr>
          <w:p w14:paraId="255301B0" w14:textId="77777777" w:rsidR="00631A84" w:rsidRDefault="00631A84" w:rsidP="00430401">
            <w:pPr>
              <w:jc w:val="center"/>
              <w:rPr>
                <w:rFonts w:ascii="Arial" w:hAnsi="Arial"/>
                <w:sz w:val="18"/>
              </w:rPr>
            </w:pPr>
            <w:r>
              <w:rPr>
                <w:rFonts w:ascii="Arial" w:hAnsi="Arial"/>
                <w:sz w:val="18"/>
              </w:rPr>
              <w:t>Overview of Project</w:t>
            </w:r>
          </w:p>
        </w:tc>
        <w:tc>
          <w:tcPr>
            <w:tcW w:w="1260" w:type="dxa"/>
            <w:vAlign w:val="center"/>
          </w:tcPr>
          <w:p w14:paraId="7C7482D8" w14:textId="77777777" w:rsidR="00631A84" w:rsidRDefault="00631A84" w:rsidP="00430401">
            <w:pPr>
              <w:jc w:val="center"/>
              <w:rPr>
                <w:rFonts w:ascii="Arial" w:hAnsi="Arial"/>
                <w:sz w:val="18"/>
              </w:rPr>
            </w:pPr>
            <w:r>
              <w:rPr>
                <w:rFonts w:ascii="Arial" w:hAnsi="Arial"/>
                <w:sz w:val="18"/>
              </w:rPr>
              <w:t>1</w:t>
            </w:r>
          </w:p>
        </w:tc>
        <w:tc>
          <w:tcPr>
            <w:tcW w:w="1430" w:type="dxa"/>
            <w:vAlign w:val="center"/>
          </w:tcPr>
          <w:p w14:paraId="1CCC845E" w14:textId="77777777" w:rsidR="00631A84" w:rsidRDefault="00631A84" w:rsidP="00430401">
            <w:pPr>
              <w:jc w:val="center"/>
              <w:rPr>
                <w:rFonts w:ascii="Arial" w:hAnsi="Arial"/>
                <w:sz w:val="18"/>
              </w:rPr>
            </w:pPr>
            <w:r>
              <w:rPr>
                <w:rFonts w:ascii="Arial" w:hAnsi="Arial"/>
                <w:sz w:val="18"/>
              </w:rPr>
              <w:t>1</w:t>
            </w:r>
          </w:p>
        </w:tc>
      </w:tr>
      <w:tr w:rsidR="00631A84" w14:paraId="54D6E7AA" w14:textId="77777777" w:rsidTr="00E071B5">
        <w:trPr>
          <w:trHeight w:val="288"/>
          <w:jc w:val="center"/>
        </w:trPr>
        <w:tc>
          <w:tcPr>
            <w:tcW w:w="2975" w:type="dxa"/>
            <w:vAlign w:val="center"/>
          </w:tcPr>
          <w:p w14:paraId="06F94F8E" w14:textId="77777777" w:rsidR="00631A84" w:rsidRDefault="00631A84" w:rsidP="00430401">
            <w:pPr>
              <w:jc w:val="center"/>
              <w:rPr>
                <w:rFonts w:ascii="Arial" w:hAnsi="Arial"/>
                <w:sz w:val="18"/>
              </w:rPr>
            </w:pPr>
            <w:r>
              <w:rPr>
                <w:rFonts w:ascii="Arial" w:hAnsi="Arial"/>
                <w:sz w:val="18"/>
              </w:rPr>
              <w:t>Staff Engineer or Project Engineer</w:t>
            </w:r>
          </w:p>
        </w:tc>
        <w:tc>
          <w:tcPr>
            <w:tcW w:w="2880" w:type="dxa"/>
            <w:vAlign w:val="center"/>
          </w:tcPr>
          <w:p w14:paraId="256DB029" w14:textId="77777777" w:rsidR="00631A84" w:rsidRDefault="00631A84" w:rsidP="00430401">
            <w:pPr>
              <w:jc w:val="center"/>
              <w:rPr>
                <w:rFonts w:ascii="Arial" w:hAnsi="Arial"/>
                <w:sz w:val="18"/>
              </w:rPr>
            </w:pPr>
            <w:r>
              <w:rPr>
                <w:rFonts w:ascii="Arial" w:hAnsi="Arial"/>
                <w:sz w:val="18"/>
              </w:rPr>
              <w:t>Assess Testing Needs</w:t>
            </w:r>
          </w:p>
        </w:tc>
        <w:tc>
          <w:tcPr>
            <w:tcW w:w="1260" w:type="dxa"/>
            <w:vAlign w:val="center"/>
          </w:tcPr>
          <w:p w14:paraId="7C0BE9DC" w14:textId="77777777" w:rsidR="00631A84" w:rsidRDefault="00631A84" w:rsidP="00430401">
            <w:pPr>
              <w:jc w:val="center"/>
              <w:rPr>
                <w:rFonts w:ascii="Arial" w:hAnsi="Arial"/>
                <w:sz w:val="18"/>
              </w:rPr>
            </w:pPr>
            <w:r>
              <w:rPr>
                <w:rFonts w:ascii="Arial" w:hAnsi="Arial"/>
                <w:sz w:val="18"/>
              </w:rPr>
              <w:t>1</w:t>
            </w:r>
          </w:p>
        </w:tc>
        <w:tc>
          <w:tcPr>
            <w:tcW w:w="1430" w:type="dxa"/>
            <w:vAlign w:val="center"/>
          </w:tcPr>
          <w:p w14:paraId="70179C5F" w14:textId="77777777" w:rsidR="00631A84" w:rsidRDefault="00631A84" w:rsidP="00430401">
            <w:pPr>
              <w:jc w:val="center"/>
              <w:rPr>
                <w:rFonts w:ascii="Arial" w:hAnsi="Arial"/>
                <w:sz w:val="18"/>
              </w:rPr>
            </w:pPr>
            <w:r>
              <w:rPr>
                <w:rFonts w:ascii="Arial" w:hAnsi="Arial"/>
                <w:sz w:val="18"/>
              </w:rPr>
              <w:t>1</w:t>
            </w:r>
          </w:p>
        </w:tc>
      </w:tr>
      <w:tr w:rsidR="00631A84" w14:paraId="6FA2F919" w14:textId="77777777" w:rsidTr="00E071B5">
        <w:trPr>
          <w:trHeight w:val="288"/>
          <w:jc w:val="center"/>
        </w:trPr>
        <w:tc>
          <w:tcPr>
            <w:tcW w:w="2975" w:type="dxa"/>
            <w:vAlign w:val="center"/>
          </w:tcPr>
          <w:p w14:paraId="53824809" w14:textId="77777777" w:rsidR="00631A84" w:rsidRDefault="00631A84" w:rsidP="00430401">
            <w:pPr>
              <w:jc w:val="center"/>
              <w:rPr>
                <w:rFonts w:ascii="Arial" w:hAnsi="Arial"/>
                <w:sz w:val="18"/>
              </w:rPr>
            </w:pPr>
            <w:r>
              <w:rPr>
                <w:rFonts w:ascii="Arial" w:hAnsi="Arial"/>
                <w:sz w:val="18"/>
              </w:rPr>
              <w:t>Staff Engineer or Project Engineer</w:t>
            </w:r>
          </w:p>
        </w:tc>
        <w:tc>
          <w:tcPr>
            <w:tcW w:w="2880" w:type="dxa"/>
            <w:vAlign w:val="center"/>
          </w:tcPr>
          <w:p w14:paraId="481274F5" w14:textId="77777777" w:rsidR="00631A84" w:rsidRDefault="00631A84" w:rsidP="00430401">
            <w:pPr>
              <w:jc w:val="center"/>
              <w:rPr>
                <w:rFonts w:ascii="Arial" w:hAnsi="Arial"/>
                <w:sz w:val="18"/>
              </w:rPr>
            </w:pPr>
            <w:r>
              <w:rPr>
                <w:rFonts w:ascii="Arial" w:hAnsi="Arial"/>
                <w:sz w:val="18"/>
              </w:rPr>
              <w:t>Assess Man-hour Requirements</w:t>
            </w:r>
          </w:p>
        </w:tc>
        <w:tc>
          <w:tcPr>
            <w:tcW w:w="1260" w:type="dxa"/>
            <w:vAlign w:val="center"/>
          </w:tcPr>
          <w:p w14:paraId="071DC63B" w14:textId="77777777" w:rsidR="00631A84" w:rsidRDefault="00631A84" w:rsidP="00430401">
            <w:pPr>
              <w:jc w:val="center"/>
              <w:rPr>
                <w:rFonts w:ascii="Arial" w:hAnsi="Arial"/>
                <w:sz w:val="18"/>
              </w:rPr>
            </w:pPr>
            <w:r>
              <w:rPr>
                <w:rFonts w:ascii="Arial" w:hAnsi="Arial"/>
                <w:sz w:val="18"/>
              </w:rPr>
              <w:t>1</w:t>
            </w:r>
          </w:p>
        </w:tc>
        <w:tc>
          <w:tcPr>
            <w:tcW w:w="1430" w:type="dxa"/>
            <w:vAlign w:val="center"/>
          </w:tcPr>
          <w:p w14:paraId="1C4A7624" w14:textId="77777777" w:rsidR="00631A84" w:rsidRDefault="00BF4EF2" w:rsidP="00430401">
            <w:pPr>
              <w:jc w:val="center"/>
              <w:rPr>
                <w:rFonts w:ascii="Arial" w:hAnsi="Arial"/>
                <w:sz w:val="18"/>
              </w:rPr>
            </w:pPr>
            <w:r>
              <w:rPr>
                <w:rFonts w:ascii="Arial" w:hAnsi="Arial"/>
                <w:sz w:val="18"/>
              </w:rPr>
              <w:t>3</w:t>
            </w:r>
          </w:p>
        </w:tc>
      </w:tr>
      <w:tr w:rsidR="00631A84" w14:paraId="24636149" w14:textId="77777777" w:rsidTr="00E071B5">
        <w:trPr>
          <w:trHeight w:val="288"/>
          <w:jc w:val="center"/>
        </w:trPr>
        <w:tc>
          <w:tcPr>
            <w:tcW w:w="2975" w:type="dxa"/>
            <w:vAlign w:val="center"/>
          </w:tcPr>
          <w:p w14:paraId="5A3B32DC" w14:textId="77777777" w:rsidR="00631A84" w:rsidRDefault="00631A84" w:rsidP="00430401">
            <w:pPr>
              <w:jc w:val="center"/>
              <w:rPr>
                <w:rFonts w:ascii="Arial" w:hAnsi="Arial"/>
                <w:sz w:val="18"/>
              </w:rPr>
            </w:pPr>
            <w:r>
              <w:rPr>
                <w:rFonts w:ascii="Arial" w:hAnsi="Arial"/>
                <w:sz w:val="18"/>
              </w:rPr>
              <w:t>Staff Engineer or Project Engineer</w:t>
            </w:r>
          </w:p>
        </w:tc>
        <w:tc>
          <w:tcPr>
            <w:tcW w:w="2880" w:type="dxa"/>
            <w:vAlign w:val="center"/>
          </w:tcPr>
          <w:p w14:paraId="2C1B08A6" w14:textId="77777777" w:rsidR="00631A84" w:rsidRDefault="00631A84" w:rsidP="00430401">
            <w:pPr>
              <w:jc w:val="center"/>
              <w:rPr>
                <w:rFonts w:ascii="Arial" w:hAnsi="Arial"/>
                <w:sz w:val="18"/>
              </w:rPr>
            </w:pPr>
            <w:r>
              <w:rPr>
                <w:rFonts w:ascii="Arial" w:hAnsi="Arial"/>
                <w:sz w:val="18"/>
              </w:rPr>
              <w:t>Verify with other Divisions</w:t>
            </w:r>
          </w:p>
        </w:tc>
        <w:tc>
          <w:tcPr>
            <w:tcW w:w="1260" w:type="dxa"/>
            <w:vAlign w:val="center"/>
          </w:tcPr>
          <w:p w14:paraId="2427A345" w14:textId="77777777" w:rsidR="00631A84" w:rsidRDefault="00631A84" w:rsidP="00430401">
            <w:pPr>
              <w:jc w:val="center"/>
              <w:rPr>
                <w:rFonts w:ascii="Arial" w:hAnsi="Arial"/>
                <w:sz w:val="18"/>
              </w:rPr>
            </w:pPr>
            <w:r>
              <w:rPr>
                <w:rFonts w:ascii="Arial" w:hAnsi="Arial"/>
                <w:sz w:val="18"/>
              </w:rPr>
              <w:t>1</w:t>
            </w:r>
          </w:p>
        </w:tc>
        <w:tc>
          <w:tcPr>
            <w:tcW w:w="1430" w:type="dxa"/>
            <w:vAlign w:val="center"/>
          </w:tcPr>
          <w:p w14:paraId="1FAF552D" w14:textId="77777777" w:rsidR="00631A84" w:rsidRDefault="00BF4EF2" w:rsidP="00430401">
            <w:pPr>
              <w:jc w:val="center"/>
              <w:rPr>
                <w:rFonts w:ascii="Arial" w:hAnsi="Arial"/>
                <w:sz w:val="18"/>
              </w:rPr>
            </w:pPr>
            <w:r>
              <w:rPr>
                <w:rFonts w:ascii="Arial" w:hAnsi="Arial"/>
                <w:sz w:val="18"/>
              </w:rPr>
              <w:t>5</w:t>
            </w:r>
          </w:p>
        </w:tc>
      </w:tr>
      <w:tr w:rsidR="00631A84" w14:paraId="71A50749" w14:textId="77777777" w:rsidTr="00E071B5">
        <w:trPr>
          <w:trHeight w:val="288"/>
          <w:jc w:val="center"/>
        </w:trPr>
        <w:tc>
          <w:tcPr>
            <w:tcW w:w="2975" w:type="dxa"/>
            <w:vAlign w:val="center"/>
          </w:tcPr>
          <w:p w14:paraId="1398015E" w14:textId="77777777" w:rsidR="00631A84" w:rsidRDefault="00631A84" w:rsidP="00430401">
            <w:pPr>
              <w:jc w:val="center"/>
              <w:rPr>
                <w:rFonts w:ascii="Arial" w:hAnsi="Arial"/>
                <w:sz w:val="18"/>
              </w:rPr>
            </w:pPr>
            <w:r>
              <w:rPr>
                <w:rFonts w:ascii="Arial" w:hAnsi="Arial"/>
                <w:sz w:val="18"/>
              </w:rPr>
              <w:t>Staff Engineer or Project Engineer</w:t>
            </w:r>
          </w:p>
        </w:tc>
        <w:tc>
          <w:tcPr>
            <w:tcW w:w="2880" w:type="dxa"/>
            <w:vAlign w:val="center"/>
          </w:tcPr>
          <w:p w14:paraId="49793071" w14:textId="77777777" w:rsidR="00631A84" w:rsidRDefault="00631A84" w:rsidP="00430401">
            <w:pPr>
              <w:jc w:val="center"/>
              <w:rPr>
                <w:rFonts w:ascii="Arial" w:hAnsi="Arial"/>
                <w:sz w:val="18"/>
              </w:rPr>
            </w:pPr>
            <w:r>
              <w:rPr>
                <w:rFonts w:ascii="Arial" w:hAnsi="Arial"/>
                <w:sz w:val="18"/>
              </w:rPr>
              <w:t>Develop Cost Estimate</w:t>
            </w:r>
            <w:r w:rsidR="00BF4EF2">
              <w:rPr>
                <w:rFonts w:ascii="Arial" w:hAnsi="Arial"/>
                <w:sz w:val="18"/>
              </w:rPr>
              <w:t>/Memo</w:t>
            </w:r>
          </w:p>
        </w:tc>
        <w:tc>
          <w:tcPr>
            <w:tcW w:w="1260" w:type="dxa"/>
            <w:vAlign w:val="center"/>
          </w:tcPr>
          <w:p w14:paraId="494428DB" w14:textId="77777777" w:rsidR="00631A84" w:rsidRDefault="00631A84" w:rsidP="00430401">
            <w:pPr>
              <w:jc w:val="center"/>
              <w:rPr>
                <w:rFonts w:ascii="Arial" w:hAnsi="Arial"/>
                <w:sz w:val="18"/>
              </w:rPr>
            </w:pPr>
            <w:r>
              <w:rPr>
                <w:rFonts w:ascii="Arial" w:hAnsi="Arial"/>
                <w:sz w:val="18"/>
              </w:rPr>
              <w:t>1</w:t>
            </w:r>
          </w:p>
        </w:tc>
        <w:tc>
          <w:tcPr>
            <w:tcW w:w="1430" w:type="dxa"/>
            <w:vAlign w:val="center"/>
          </w:tcPr>
          <w:p w14:paraId="56E0302D" w14:textId="77777777" w:rsidR="00631A84" w:rsidRDefault="00BF4EF2" w:rsidP="00430401">
            <w:pPr>
              <w:jc w:val="center"/>
              <w:rPr>
                <w:rFonts w:ascii="Arial" w:hAnsi="Arial"/>
                <w:sz w:val="18"/>
              </w:rPr>
            </w:pPr>
            <w:r>
              <w:rPr>
                <w:rFonts w:ascii="Arial" w:hAnsi="Arial"/>
                <w:sz w:val="18"/>
              </w:rPr>
              <w:t>4</w:t>
            </w:r>
          </w:p>
        </w:tc>
      </w:tr>
      <w:tr w:rsidR="00A87E32" w14:paraId="279546F9" w14:textId="77777777" w:rsidTr="00E071B5">
        <w:trPr>
          <w:trHeight w:val="288"/>
          <w:jc w:val="center"/>
        </w:trPr>
        <w:tc>
          <w:tcPr>
            <w:tcW w:w="2975" w:type="dxa"/>
            <w:vAlign w:val="center"/>
          </w:tcPr>
          <w:p w14:paraId="63156CA9" w14:textId="77777777" w:rsidR="00A87E32" w:rsidRDefault="00A87E32" w:rsidP="00430401">
            <w:pPr>
              <w:jc w:val="center"/>
              <w:rPr>
                <w:rFonts w:ascii="Arial" w:hAnsi="Arial"/>
                <w:sz w:val="18"/>
              </w:rPr>
            </w:pPr>
            <w:r>
              <w:rPr>
                <w:rFonts w:ascii="Arial" w:hAnsi="Arial"/>
                <w:sz w:val="18"/>
              </w:rPr>
              <w:t>Team Leader/ADC</w:t>
            </w:r>
          </w:p>
        </w:tc>
        <w:tc>
          <w:tcPr>
            <w:tcW w:w="2880" w:type="dxa"/>
            <w:vAlign w:val="center"/>
          </w:tcPr>
          <w:p w14:paraId="47F67406" w14:textId="77777777" w:rsidR="00A87E32" w:rsidRDefault="00A87E32" w:rsidP="00430401">
            <w:pPr>
              <w:jc w:val="center"/>
              <w:rPr>
                <w:rFonts w:ascii="Arial" w:hAnsi="Arial"/>
                <w:sz w:val="18"/>
              </w:rPr>
            </w:pPr>
            <w:r>
              <w:rPr>
                <w:rFonts w:ascii="Arial" w:hAnsi="Arial"/>
                <w:sz w:val="18"/>
              </w:rPr>
              <w:t>QA Review</w:t>
            </w:r>
          </w:p>
        </w:tc>
        <w:tc>
          <w:tcPr>
            <w:tcW w:w="1260" w:type="dxa"/>
            <w:vAlign w:val="center"/>
          </w:tcPr>
          <w:p w14:paraId="54CDE1D8" w14:textId="77777777" w:rsidR="00A87E32" w:rsidRDefault="00A87E32" w:rsidP="00430401">
            <w:pPr>
              <w:jc w:val="center"/>
              <w:rPr>
                <w:rFonts w:ascii="Arial" w:hAnsi="Arial"/>
                <w:sz w:val="18"/>
              </w:rPr>
            </w:pPr>
            <w:r>
              <w:rPr>
                <w:rFonts w:ascii="Arial" w:hAnsi="Arial"/>
                <w:sz w:val="18"/>
              </w:rPr>
              <w:t>1</w:t>
            </w:r>
          </w:p>
        </w:tc>
        <w:tc>
          <w:tcPr>
            <w:tcW w:w="1430" w:type="dxa"/>
            <w:vAlign w:val="center"/>
          </w:tcPr>
          <w:p w14:paraId="795E093C" w14:textId="77777777" w:rsidR="00A87E32" w:rsidRDefault="00A87E32" w:rsidP="00430401">
            <w:pPr>
              <w:jc w:val="center"/>
              <w:rPr>
                <w:rFonts w:ascii="Arial" w:hAnsi="Arial"/>
                <w:sz w:val="18"/>
              </w:rPr>
            </w:pPr>
            <w:r>
              <w:rPr>
                <w:rFonts w:ascii="Arial" w:hAnsi="Arial"/>
                <w:sz w:val="18"/>
              </w:rPr>
              <w:t>2</w:t>
            </w:r>
          </w:p>
        </w:tc>
      </w:tr>
    </w:tbl>
    <w:p w14:paraId="6E111414" w14:textId="77777777" w:rsidR="00631A84" w:rsidRDefault="00631A84" w:rsidP="00BE3F24">
      <w:pPr>
        <w:pStyle w:val="Heading3"/>
        <w:ind w:left="0" w:firstLine="0"/>
        <w:jc w:val="both"/>
      </w:pPr>
      <w:r>
        <w:t>Procedure</w:t>
      </w:r>
    </w:p>
    <w:p w14:paraId="203C2559" w14:textId="6A25FF5D" w:rsidR="00631A84" w:rsidRDefault="00631A84" w:rsidP="00430401">
      <w:pPr>
        <w:pStyle w:val="BodyText"/>
        <w:spacing w:after="240"/>
        <w:jc w:val="both"/>
      </w:pPr>
      <w:r>
        <w:t xml:space="preserve">The procedure presented in </w:t>
      </w:r>
      <w:r w:rsidRPr="00BA1669">
        <w:t>the attached flowchart</w:t>
      </w:r>
      <w:r>
        <w:t xml:space="preserve"> and described in the following text should be followed to complete a PE cost estimate.  The Pavement and Geotechnical Division should be the lead division responsible for developing and providing the PE cost estimate to the project owner.  However, every Division needs to provide input and verify that the correct number of man-hours and testing requirements are accounted for in the submission of the PE cost estimate memorandum.  The end result of the PE cost estimate process is a 1-page memorandum to the project owner that describes the estimated engineering design costs from OMT needed to provide recommendations for a given project.  </w:t>
      </w:r>
    </w:p>
    <w:p w14:paraId="3E719854" w14:textId="6528871D" w:rsidR="00631A84" w:rsidRDefault="00631A84" w:rsidP="00430401">
      <w:pPr>
        <w:pStyle w:val="BodyText"/>
        <w:spacing w:after="240"/>
        <w:jc w:val="both"/>
      </w:pPr>
      <w:r>
        <w:t xml:space="preserve">The majority of the effort in this process to develop the cost estimate is done within </w:t>
      </w:r>
      <w:hyperlink r:id="rId41" w:history="1">
        <w:r w:rsidR="000C7AE1">
          <w:rPr>
            <w:rStyle w:val="Hyperlink"/>
          </w:rPr>
          <w:t>PDS-01 - PE Cost Estimate</w:t>
        </w:r>
      </w:hyperlink>
      <w:r>
        <w:t xml:space="preserve">.  This effort will involve entering </w:t>
      </w:r>
      <w:r w:rsidR="00A87E32">
        <w:t xml:space="preserve">the required numbers of </w:t>
      </w:r>
      <w:r>
        <w:t>estimated hours</w:t>
      </w:r>
      <w:r w:rsidR="00BF4EF2">
        <w:t>, tests</w:t>
      </w:r>
      <w:r w:rsidR="0076608D">
        <w:t>,</w:t>
      </w:r>
      <w:r w:rsidR="00BF4EF2">
        <w:t xml:space="preserve"> and days</w:t>
      </w:r>
      <w:r w:rsidR="00A87E32">
        <w:t>.</w:t>
      </w:r>
      <w:r w:rsidR="00BF4EF2">
        <w:t xml:space="preserve"> </w:t>
      </w:r>
      <w:r>
        <w:t xml:space="preserve"> This will result in a monetary value for the PE cost estimate.    </w:t>
      </w:r>
    </w:p>
    <w:p w14:paraId="7689EA68" w14:textId="607BBCC7" w:rsidR="00E22ACF" w:rsidRDefault="00631A84" w:rsidP="00E22ACF">
      <w:pPr>
        <w:pStyle w:val="BodyText"/>
        <w:spacing w:after="0"/>
        <w:jc w:val="both"/>
      </w:pPr>
      <w:r>
        <w:t>In PD</w:t>
      </w:r>
      <w:r w:rsidR="000C62D0">
        <w:t>S</w:t>
      </w:r>
      <w:r>
        <w:t>-</w:t>
      </w:r>
      <w:r w:rsidR="000C62D0">
        <w:t>01</w:t>
      </w:r>
      <w:r>
        <w:t>, the number of working days is requested in several locations.  Working days are the number of days it would take one individual to complete each item.  If more than one person is expected to work on that item, increase the number of working days</w:t>
      </w:r>
      <w:r w:rsidR="00BF4EF2">
        <w:t>/hours</w:t>
      </w:r>
      <w:r>
        <w:t xml:space="preserve"> by the number of individuals.  The costs of travel and out-of-town expenses are already figured into the calculation.</w:t>
      </w:r>
    </w:p>
    <w:p w14:paraId="0605FE6E" w14:textId="77777777" w:rsidR="00E22ACF" w:rsidRDefault="00E22ACF" w:rsidP="00E22ACF">
      <w:pPr>
        <w:pStyle w:val="BodyText"/>
        <w:spacing w:after="0"/>
        <w:jc w:val="both"/>
      </w:pPr>
    </w:p>
    <w:p w14:paraId="0868C553" w14:textId="77777777" w:rsidR="00631A84" w:rsidRDefault="00631A84" w:rsidP="00455C16">
      <w:pPr>
        <w:pStyle w:val="BodyText"/>
        <w:spacing w:after="240"/>
        <w:jc w:val="both"/>
      </w:pPr>
      <w:r>
        <w:rPr>
          <w:b/>
          <w:u w:val="single"/>
        </w:rPr>
        <w:t>NOTE:</w:t>
      </w:r>
      <w:r w:rsidR="0076608D" w:rsidRPr="00430401">
        <w:t xml:space="preserve"> </w:t>
      </w:r>
      <w:r w:rsidR="00EB53BD">
        <w:t>PD</w:t>
      </w:r>
      <w:r w:rsidR="0046520D">
        <w:t>S</w:t>
      </w:r>
      <w:r w:rsidR="00EB53BD">
        <w:t>-</w:t>
      </w:r>
      <w:r w:rsidR="0046520D">
        <w:t>0</w:t>
      </w:r>
      <w:r w:rsidR="00EB53BD">
        <w:t>1 doubles the costs from the Pavement and Geotechnical engineering tabs to account for consultants.  The costs from the Drillers and Lab tabs use actual costs.</w:t>
      </w:r>
    </w:p>
    <w:p w14:paraId="3666C989" w14:textId="726CF120" w:rsidR="00631A84" w:rsidRDefault="00631A84" w:rsidP="00557A8B">
      <w:pPr>
        <w:pStyle w:val="ListNumber"/>
        <w:numPr>
          <w:ilvl w:val="0"/>
          <w:numId w:val="12"/>
        </w:numPr>
        <w:tabs>
          <w:tab w:val="clear" w:pos="1872"/>
          <w:tab w:val="num" w:pos="-864"/>
        </w:tabs>
        <w:ind w:left="1080" w:hanging="1080"/>
        <w:jc w:val="both"/>
      </w:pPr>
      <w:r>
        <w:lastRenderedPageBreak/>
        <w:t>Receive a request for a PE cost estimate from project owner.  If this project is a project that is new to OMT</w:t>
      </w:r>
      <w:r w:rsidR="0076608D">
        <w:t>,</w:t>
      </w:r>
      <w:r>
        <w:t xml:space="preserve"> then</w:t>
      </w:r>
      <w:r w:rsidR="00BC368B">
        <w:t xml:space="preserve"> follow the steps in </w:t>
      </w:r>
      <w:hyperlink w:anchor="_Initial_Communication_with" w:history="1">
        <w:r w:rsidR="00BC368B" w:rsidRPr="00BC368B">
          <w:rPr>
            <w:rStyle w:val="Hyperlink"/>
          </w:rPr>
          <w:t>Initial Communication with Requesting Office</w:t>
        </w:r>
      </w:hyperlink>
      <w:r w:rsidR="00BF4EF2">
        <w:t>.</w:t>
      </w:r>
      <w:r>
        <w:t xml:space="preserve">  Completing these steps will provide adequate information to complete the PE cost estimate process.  In some cases, certain assumptions and a more conservative PE cost estimate need to be completed.  </w:t>
      </w:r>
    </w:p>
    <w:p w14:paraId="204E5215" w14:textId="3A7E78C5" w:rsidR="00631A84" w:rsidRDefault="00631A84" w:rsidP="00557A8B">
      <w:pPr>
        <w:pStyle w:val="ListNumber"/>
        <w:numPr>
          <w:ilvl w:val="0"/>
          <w:numId w:val="12"/>
        </w:numPr>
        <w:tabs>
          <w:tab w:val="clear" w:pos="1872"/>
          <w:tab w:val="num" w:pos="-1008"/>
        </w:tabs>
        <w:ind w:left="1080" w:hanging="1080"/>
        <w:jc w:val="both"/>
      </w:pPr>
      <w:r>
        <w:t>Start the cost estimating process after collecting the data from the records review</w:t>
      </w:r>
      <w:r w:rsidR="0076608D">
        <w:t>;</w:t>
      </w:r>
      <w:r>
        <w:t xml:space="preserve"> open</w:t>
      </w:r>
      <w:r w:rsidR="0046520D">
        <w:t xml:space="preserve"> </w:t>
      </w:r>
      <w:hyperlink r:id="rId42" w:history="1">
        <w:r w:rsidR="007E7855">
          <w:rPr>
            <w:rStyle w:val="Hyperlink"/>
          </w:rPr>
          <w:t>PDS-01 - PE Cost Estimate</w:t>
        </w:r>
      </w:hyperlink>
      <w:r>
        <w:t xml:space="preserve">. </w:t>
      </w:r>
    </w:p>
    <w:p w14:paraId="77AFA3C7" w14:textId="77777777" w:rsidR="00631A84" w:rsidRDefault="00631A84" w:rsidP="00557A8B">
      <w:pPr>
        <w:pStyle w:val="ListNumber"/>
        <w:numPr>
          <w:ilvl w:val="0"/>
          <w:numId w:val="12"/>
        </w:numPr>
        <w:tabs>
          <w:tab w:val="clear" w:pos="1872"/>
          <w:tab w:val="num" w:pos="-1008"/>
        </w:tabs>
        <w:ind w:left="1080" w:hanging="1080"/>
        <w:jc w:val="both"/>
      </w:pPr>
      <w:r>
        <w:t xml:space="preserve">Open the Summary sheet in the PE Cost Estimate Form and enter the project description information. </w:t>
      </w:r>
    </w:p>
    <w:p w14:paraId="282AF351" w14:textId="77777777" w:rsidR="00631A84" w:rsidRDefault="00631A84" w:rsidP="00557A8B">
      <w:pPr>
        <w:pStyle w:val="ListNumber"/>
        <w:numPr>
          <w:ilvl w:val="0"/>
          <w:numId w:val="12"/>
        </w:numPr>
        <w:tabs>
          <w:tab w:val="clear" w:pos="1872"/>
          <w:tab w:val="num" w:pos="-1008"/>
        </w:tabs>
        <w:ind w:left="1080" w:hanging="1080"/>
        <w:jc w:val="both"/>
      </w:pPr>
      <w:r>
        <w:t>Open the Pavement sheet in PD</w:t>
      </w:r>
      <w:r w:rsidR="0046520D">
        <w:t>S</w:t>
      </w:r>
      <w:r>
        <w:t>-</w:t>
      </w:r>
      <w:r w:rsidR="0046520D">
        <w:t>0</w:t>
      </w:r>
      <w:r>
        <w:t xml:space="preserve">1 and enter the number of working hours for each of the items under the Meetings Design/Analysis, and Report headings.  The values entered in the Pavement sheet are the expected working hours required for the pavement engineering aspects to complete the project accurately and thoroughly.  A summary of the total working hours and cost will result from the data entry for each heading.  Print out the Pavement sheet when all the required fields are populated. </w:t>
      </w:r>
    </w:p>
    <w:p w14:paraId="12C5452B" w14:textId="77777777" w:rsidR="00631A84" w:rsidRDefault="00631A84" w:rsidP="00557A8B">
      <w:pPr>
        <w:pStyle w:val="ListNumber"/>
        <w:numPr>
          <w:ilvl w:val="0"/>
          <w:numId w:val="12"/>
        </w:numPr>
        <w:tabs>
          <w:tab w:val="clear" w:pos="1872"/>
          <w:tab w:val="num" w:pos="-1008"/>
        </w:tabs>
        <w:ind w:left="1080" w:hanging="1080"/>
        <w:jc w:val="both"/>
      </w:pPr>
      <w:r>
        <w:t xml:space="preserve">Open the Geotechnical sheet in </w:t>
      </w:r>
      <w:r w:rsidR="0046520D">
        <w:t>PDS-01</w:t>
      </w:r>
      <w:r>
        <w:t xml:space="preserve"> and enter the number of working hours for each of the items under the Meetings Design/Analysis, and Report headings.  The values entered in the Geotechnical sheet are the expected working hours required for the geotechnical engineering aspects to complete the project accurately and thoroughly.  A summary of the total working hours and cost will result from the data entry for each heading.  Print out the Geotechnical sheet when all the required fields are populated. </w:t>
      </w:r>
    </w:p>
    <w:p w14:paraId="34FB34D3" w14:textId="77777777" w:rsidR="00631A84" w:rsidRDefault="00631A84" w:rsidP="00557A8B">
      <w:pPr>
        <w:pStyle w:val="ListNumber"/>
        <w:numPr>
          <w:ilvl w:val="0"/>
          <w:numId w:val="12"/>
        </w:numPr>
        <w:tabs>
          <w:tab w:val="clear" w:pos="1872"/>
          <w:tab w:val="num" w:pos="-1008"/>
        </w:tabs>
        <w:ind w:left="1080" w:hanging="1080"/>
        <w:jc w:val="both"/>
      </w:pPr>
      <w:r>
        <w:t xml:space="preserve">Open the Geology EGD sheet in </w:t>
      </w:r>
      <w:r w:rsidR="0046520D">
        <w:t>PDS-01</w:t>
      </w:r>
      <w:r>
        <w:t xml:space="preserve"> and enter the number of working hours or other information for each of the items under the Meetings, Geology and Geotechnical headings.  The values entered in the EGD sheet are the expected working days and other information required for the Engineering Geology Division to complete the project accurately and thoroughly.  </w:t>
      </w:r>
      <w:r w:rsidR="00CE73A9">
        <w:t xml:space="preserve">However, if EGD provides a cost estimate, then just enter that amount.  </w:t>
      </w:r>
      <w:r>
        <w:t xml:space="preserve">A summary of the total working hours and cost will result from the data entry for each heading.  Print out the EGD sheet when all the required fields are populated. </w:t>
      </w:r>
    </w:p>
    <w:p w14:paraId="5B817658" w14:textId="6C4EAFB6" w:rsidR="00687FC9" w:rsidRPr="001130A9" w:rsidRDefault="00687FC9" w:rsidP="00557A8B">
      <w:pPr>
        <w:pStyle w:val="ListNumber"/>
        <w:numPr>
          <w:ilvl w:val="0"/>
          <w:numId w:val="12"/>
        </w:numPr>
        <w:tabs>
          <w:tab w:val="clear" w:pos="1872"/>
          <w:tab w:val="num" w:pos="-1008"/>
        </w:tabs>
        <w:ind w:left="1080" w:hanging="1080"/>
        <w:jc w:val="both"/>
      </w:pPr>
      <w:r w:rsidRPr="001130A9">
        <w:t xml:space="preserve">Open the Geophysical sheet in PDS-01 and enter the information for each of the items under </w:t>
      </w:r>
      <w:r w:rsidR="00D26BC2" w:rsidRPr="001130A9">
        <w:t xml:space="preserve">geophysical </w:t>
      </w:r>
      <w:r w:rsidRPr="001130A9">
        <w:t xml:space="preserve">site visit, geophysical investigation, traffic control, and reports.  The values entered in the Geophysical </w:t>
      </w:r>
      <w:r w:rsidR="00B16C24" w:rsidRPr="001130A9">
        <w:t>s</w:t>
      </w:r>
      <w:r w:rsidRPr="001130A9">
        <w:t xml:space="preserve">heet are a rough estimate of the hours required and are expected to change based on discussions with the geophysicist during scope development. </w:t>
      </w:r>
    </w:p>
    <w:p w14:paraId="242650F4" w14:textId="77777777" w:rsidR="00631A84" w:rsidRDefault="00631A84" w:rsidP="00557A8B">
      <w:pPr>
        <w:pStyle w:val="ListNumber"/>
        <w:numPr>
          <w:ilvl w:val="0"/>
          <w:numId w:val="12"/>
        </w:numPr>
        <w:tabs>
          <w:tab w:val="clear" w:pos="1872"/>
          <w:tab w:val="num" w:pos="-1008"/>
        </w:tabs>
        <w:ind w:left="1080" w:hanging="1080"/>
        <w:jc w:val="both"/>
      </w:pPr>
      <w:r>
        <w:t xml:space="preserve">Open the </w:t>
      </w:r>
      <w:r w:rsidR="00023C71">
        <w:t>Pavement Testing</w:t>
      </w:r>
      <w:r>
        <w:t xml:space="preserve"> sheet in </w:t>
      </w:r>
      <w:r w:rsidR="0046520D">
        <w:t>PDS-01</w:t>
      </w:r>
      <w:r>
        <w:t xml:space="preserve"> and enter the number of working days for each of the items under the Testing heading.  The values entered in the Pavement Testing sheet are the expected working days required for the pavement testing team to complete the project accurately and thoroughly.  A summary of the total working days and cost will result from the data entry for the team.  Print out the Pavement Testing sheet when all the required fields are populated. </w:t>
      </w:r>
    </w:p>
    <w:p w14:paraId="6CFC735C" w14:textId="77777777" w:rsidR="00631A84" w:rsidRDefault="00631A84" w:rsidP="00557A8B">
      <w:pPr>
        <w:pStyle w:val="ListNumber"/>
        <w:numPr>
          <w:ilvl w:val="0"/>
          <w:numId w:val="12"/>
        </w:numPr>
        <w:tabs>
          <w:tab w:val="clear" w:pos="1872"/>
          <w:tab w:val="num" w:pos="-1008"/>
        </w:tabs>
        <w:ind w:left="1080" w:hanging="1080"/>
        <w:jc w:val="both"/>
      </w:pPr>
      <w:r>
        <w:t xml:space="preserve">Open the Drillers sheet in </w:t>
      </w:r>
      <w:r w:rsidR="0046520D">
        <w:t>PDS-01</w:t>
      </w:r>
      <w:r>
        <w:t xml:space="preserve"> and enter the quantity for each of the items.  The values entered in the Drillers sheet are the expected information required for the Drillers to complete the project accurately and thoroughly.  Foundation borings are necessary in cases that a structure (bridge) is involved in the </w:t>
      </w:r>
      <w:r>
        <w:lastRenderedPageBreak/>
        <w:t xml:space="preserve">project or exceptionally deep utilities need to be placed.  It is typical to have 5 foundation borings per normal structure.  A summary of the cost will result from the data entry for each heading.  Print out the Drillers sheet when all the required fields are populated. </w:t>
      </w:r>
    </w:p>
    <w:p w14:paraId="2BE27EA5" w14:textId="77777777" w:rsidR="00631A84" w:rsidRDefault="00631A84" w:rsidP="00557A8B">
      <w:pPr>
        <w:pStyle w:val="ListNumber"/>
        <w:numPr>
          <w:ilvl w:val="0"/>
          <w:numId w:val="12"/>
        </w:numPr>
        <w:tabs>
          <w:tab w:val="clear" w:pos="1872"/>
          <w:tab w:val="num" w:pos="-1008"/>
        </w:tabs>
        <w:ind w:left="1080" w:hanging="1080"/>
        <w:jc w:val="both"/>
      </w:pPr>
      <w:r>
        <w:t xml:space="preserve">Open the Lab sheet in </w:t>
      </w:r>
      <w:r w:rsidR="0046520D">
        <w:t xml:space="preserve">PDS-01 </w:t>
      </w:r>
      <w:r>
        <w:t xml:space="preserve">and enter the quantity for each of the items under the Testing heading.  The values entered in the Lab sheet are the expected information required for the Soils and Aggregate Lab to complete the project accurately and thoroughly.  A summary of the total cost will result from the data entry for the Division.  Print out the Lab sheet when all the required fields are populated. </w:t>
      </w:r>
    </w:p>
    <w:p w14:paraId="2B213AE9" w14:textId="77777777" w:rsidR="00631A84" w:rsidRDefault="00631A84" w:rsidP="00557A8B">
      <w:pPr>
        <w:pStyle w:val="ListNumber"/>
        <w:numPr>
          <w:ilvl w:val="0"/>
          <w:numId w:val="12"/>
        </w:numPr>
        <w:tabs>
          <w:tab w:val="clear" w:pos="1872"/>
          <w:tab w:val="num" w:pos="-1008"/>
        </w:tabs>
        <w:ind w:left="1080" w:hanging="1080"/>
        <w:jc w:val="both"/>
      </w:pPr>
      <w:r>
        <w:t xml:space="preserve">Open the Summary sheet in </w:t>
      </w:r>
      <w:r w:rsidR="0046520D">
        <w:t>PDS-01</w:t>
      </w:r>
      <w:r>
        <w:t xml:space="preserve"> and view the estimated PE cost of the project.  </w:t>
      </w:r>
      <w:r w:rsidR="00023C71">
        <w:t xml:space="preserve">Note that the summary sheet is set up to carry over the consultant costs from the Pavement and Geotechnical tabs.  Adjustment is necessary if it is known that a State engineer will perform the work.  </w:t>
      </w:r>
      <w:r>
        <w:t xml:space="preserve">Print out the Summary sheet.  </w:t>
      </w:r>
    </w:p>
    <w:p w14:paraId="34DDD49D" w14:textId="77777777" w:rsidR="00631A84" w:rsidRDefault="00631A84" w:rsidP="00557A8B">
      <w:pPr>
        <w:pStyle w:val="ListNumber"/>
        <w:numPr>
          <w:ilvl w:val="0"/>
          <w:numId w:val="12"/>
        </w:numPr>
        <w:tabs>
          <w:tab w:val="clear" w:pos="1872"/>
          <w:tab w:val="num" w:pos="-1008"/>
        </w:tabs>
        <w:ind w:left="1080" w:hanging="1080"/>
        <w:jc w:val="both"/>
      </w:pPr>
      <w:r>
        <w:t xml:space="preserve">Provide a copy of the PE cost estimate to each OMT Division and function to allow them an opportunity to review their respective areas of responsibility for verification of information and costs.  </w:t>
      </w:r>
    </w:p>
    <w:p w14:paraId="3D3247F4" w14:textId="77777777" w:rsidR="00631A84" w:rsidRDefault="00631A84" w:rsidP="00557A8B">
      <w:pPr>
        <w:pStyle w:val="ListNumber"/>
        <w:numPr>
          <w:ilvl w:val="0"/>
          <w:numId w:val="12"/>
        </w:numPr>
        <w:tabs>
          <w:tab w:val="clear" w:pos="1872"/>
          <w:tab w:val="num" w:pos="-1008"/>
        </w:tabs>
        <w:ind w:left="1080" w:hanging="1080"/>
        <w:jc w:val="both"/>
      </w:pPr>
      <w:r>
        <w:t xml:space="preserve">After the respective Divisions have provided verification, make any correction, if necessary.  Print out all sections of </w:t>
      </w:r>
      <w:r w:rsidR="0046520D">
        <w:t>PDS-01</w:t>
      </w:r>
      <w:r>
        <w:t xml:space="preserve"> and place in project file.  </w:t>
      </w:r>
    </w:p>
    <w:p w14:paraId="4CFF28F7" w14:textId="0201D6CB" w:rsidR="00631A84" w:rsidRDefault="00631A84" w:rsidP="00557A8B">
      <w:pPr>
        <w:pStyle w:val="ListNumber"/>
        <w:numPr>
          <w:ilvl w:val="0"/>
          <w:numId w:val="12"/>
        </w:numPr>
        <w:tabs>
          <w:tab w:val="clear" w:pos="1872"/>
        </w:tabs>
        <w:ind w:left="1080" w:hanging="1080"/>
        <w:jc w:val="both"/>
      </w:pPr>
      <w:r>
        <w:t xml:space="preserve">Prepare a PE cost estimate memorandum on </w:t>
      </w:r>
      <w:r w:rsidR="008C7023">
        <w:t>MDOT-SHA</w:t>
      </w:r>
      <w:r>
        <w:t xml:space="preserve"> letterhead following the </w:t>
      </w:r>
      <w:r w:rsidRPr="00117E1C">
        <w:t>typical format</w:t>
      </w:r>
      <w:r w:rsidR="00117E1C">
        <w:t xml:space="preserve"> provided in</w:t>
      </w:r>
      <w:r w:rsidR="00CE73A9">
        <w:t xml:space="preserve"> </w:t>
      </w:r>
      <w:hyperlink w:anchor="_Example_Memos" w:history="1">
        <w:r w:rsidR="00CE73A9" w:rsidRPr="00CE73A9">
          <w:rPr>
            <w:rStyle w:val="Hyperlink"/>
          </w:rPr>
          <w:t>Example Memos</w:t>
        </w:r>
      </w:hyperlink>
      <w:r w:rsidR="00CE73A9">
        <w:t>.  Pr</w:t>
      </w:r>
      <w:r>
        <w:t xml:space="preserve">ovide an opportunity for Design Team Leader </w:t>
      </w:r>
      <w:r w:rsidR="00023C71">
        <w:t>and</w:t>
      </w:r>
      <w:r>
        <w:t xml:space="preserve"> Assistant Division Chief – Design to perform a quick review.</w:t>
      </w:r>
    </w:p>
    <w:p w14:paraId="73D376F3" w14:textId="77777777" w:rsidR="00631A84" w:rsidRDefault="00631A84" w:rsidP="00557A8B">
      <w:pPr>
        <w:pStyle w:val="ListNumber"/>
        <w:numPr>
          <w:ilvl w:val="0"/>
          <w:numId w:val="12"/>
        </w:numPr>
        <w:tabs>
          <w:tab w:val="clear" w:pos="1872"/>
          <w:tab w:val="num" w:pos="-1008"/>
        </w:tabs>
        <w:ind w:left="1080" w:hanging="1080"/>
        <w:jc w:val="both"/>
      </w:pPr>
      <w:r>
        <w:t xml:space="preserve">Submit PE cost estimate memorandum to </w:t>
      </w:r>
      <w:r w:rsidR="00023C71">
        <w:t>the PAGD Assistant</w:t>
      </w:r>
      <w:r>
        <w:t xml:space="preserve"> Division Chief for approval and signature. </w:t>
      </w:r>
    </w:p>
    <w:p w14:paraId="128745B6" w14:textId="77777777" w:rsidR="00631A84" w:rsidRDefault="00631A84" w:rsidP="00BE3F24">
      <w:pPr>
        <w:jc w:val="both"/>
        <w:rPr>
          <w:rFonts w:ascii="Arial" w:hAnsi="Arial"/>
        </w:rPr>
      </w:pPr>
    </w:p>
    <w:p w14:paraId="6A8A0D4A" w14:textId="77777777" w:rsidR="00631A84" w:rsidRDefault="00631A84" w:rsidP="00BE3F24">
      <w:pPr>
        <w:jc w:val="both"/>
        <w:rPr>
          <w:rFonts w:ascii="Arial" w:hAnsi="Arial"/>
        </w:rPr>
      </w:pPr>
    </w:p>
    <w:p w14:paraId="4D2CB63C" w14:textId="77777777" w:rsidR="009855C4" w:rsidRDefault="009855C4" w:rsidP="005923E4">
      <w:pPr>
        <w:pStyle w:val="Heading3"/>
        <w:numPr>
          <w:ilvl w:val="0"/>
          <w:numId w:val="0"/>
        </w:numPr>
        <w:sectPr w:rsidR="009855C4" w:rsidSect="00AC40CB">
          <w:headerReference w:type="default" r:id="rId43"/>
          <w:footerReference w:type="default" r:id="rId44"/>
          <w:pgSz w:w="12240" w:h="15840"/>
          <w:pgMar w:top="1440" w:right="1800" w:bottom="1440" w:left="1800" w:header="720" w:footer="720" w:gutter="0"/>
          <w:pgNumType w:chapStyle="1"/>
          <w:cols w:space="720"/>
          <w:docGrid w:linePitch="272"/>
        </w:sectPr>
      </w:pPr>
    </w:p>
    <w:p w14:paraId="4757FA48" w14:textId="306AE12E" w:rsidR="00233C4E" w:rsidRDefault="00160E58" w:rsidP="00BE3F24">
      <w:pPr>
        <w:pStyle w:val="Heading2"/>
        <w:ind w:left="0" w:firstLine="0"/>
      </w:pPr>
      <w:bookmarkStart w:id="44" w:name="_Meeting_Attendance_–"/>
      <w:bookmarkStart w:id="45" w:name="_Toc479160074"/>
      <w:bookmarkStart w:id="46" w:name="_Toc514057965"/>
      <w:bookmarkStart w:id="47" w:name="_Toc194932359"/>
      <w:bookmarkEnd w:id="44"/>
      <w:r>
        <w:lastRenderedPageBreak/>
        <w:t>Meeting Attendance</w:t>
      </w:r>
      <w:r w:rsidR="007851BB">
        <w:t xml:space="preserve"> </w:t>
      </w:r>
      <w:r w:rsidR="00233C4E">
        <w:t>– P</w:t>
      </w:r>
      <w:r w:rsidR="005E018D">
        <w:t>roject Team Meetings</w:t>
      </w:r>
      <w:bookmarkEnd w:id="45"/>
      <w:bookmarkEnd w:id="46"/>
      <w:bookmarkEnd w:id="47"/>
    </w:p>
    <w:p w14:paraId="152977DF" w14:textId="77777777" w:rsidR="00233C4E" w:rsidRDefault="00233C4E" w:rsidP="00BE3F24">
      <w:pPr>
        <w:pStyle w:val="Heading3"/>
        <w:ind w:left="0" w:firstLine="0"/>
      </w:pPr>
      <w:r>
        <w:t>General</w:t>
      </w:r>
    </w:p>
    <w:p w14:paraId="72E86613" w14:textId="20EBF5E9" w:rsidR="00233C4E" w:rsidRDefault="00233C4E" w:rsidP="00BE3F24">
      <w:pPr>
        <w:jc w:val="both"/>
        <w:rPr>
          <w:rFonts w:ascii="Arial" w:hAnsi="Arial" w:cs="Arial"/>
          <w:sz w:val="22"/>
          <w:szCs w:val="22"/>
        </w:rPr>
      </w:pPr>
      <w:r w:rsidRPr="00233C4E">
        <w:rPr>
          <w:rFonts w:ascii="Arial" w:hAnsi="Arial" w:cs="Arial"/>
          <w:sz w:val="22"/>
          <w:szCs w:val="22"/>
        </w:rPr>
        <w:t xml:space="preserve">This section discusses the importance of attending project or team meetings with the PM. If necessary, send an invitation to other divisions involved in the testing or design of the project to attend the meetings.  OMT/PAGD generally receives notices of meetings via </w:t>
      </w:r>
      <w:r w:rsidR="007851BB" w:rsidRPr="00233C4E">
        <w:rPr>
          <w:rFonts w:ascii="Arial" w:hAnsi="Arial" w:cs="Arial"/>
          <w:sz w:val="22"/>
          <w:szCs w:val="22"/>
        </w:rPr>
        <w:t>memorand</w:t>
      </w:r>
      <w:r w:rsidR="007851BB">
        <w:rPr>
          <w:rFonts w:ascii="Arial" w:hAnsi="Arial" w:cs="Arial"/>
          <w:sz w:val="22"/>
          <w:szCs w:val="22"/>
        </w:rPr>
        <w:t>a</w:t>
      </w:r>
      <w:r w:rsidRPr="00233C4E">
        <w:rPr>
          <w:rFonts w:ascii="Arial" w:hAnsi="Arial" w:cs="Arial"/>
          <w:sz w:val="22"/>
          <w:szCs w:val="22"/>
        </w:rPr>
        <w:t>, e-mails</w:t>
      </w:r>
      <w:r w:rsidR="00B16C24">
        <w:rPr>
          <w:rFonts w:ascii="Arial" w:hAnsi="Arial" w:cs="Arial"/>
          <w:sz w:val="22"/>
          <w:szCs w:val="22"/>
        </w:rPr>
        <w:t>,</w:t>
      </w:r>
      <w:r w:rsidRPr="00233C4E">
        <w:rPr>
          <w:rFonts w:ascii="Arial" w:hAnsi="Arial" w:cs="Arial"/>
          <w:sz w:val="22"/>
          <w:szCs w:val="22"/>
        </w:rPr>
        <w:t xml:space="preserve"> or Outlook appointments.  Meetings may be Preliminary Investigation (PI) Meetings, Semi-Final Review Meetings, Final Review Meetings, Partnering Meetings, etc.</w:t>
      </w:r>
    </w:p>
    <w:p w14:paraId="4478EFA5" w14:textId="77777777" w:rsidR="009855C3" w:rsidRPr="00233C4E" w:rsidRDefault="009855C3" w:rsidP="00BE3F24">
      <w:pPr>
        <w:jc w:val="both"/>
        <w:rPr>
          <w:rFonts w:ascii="Arial" w:hAnsi="Arial" w:cs="Arial"/>
          <w:sz w:val="22"/>
          <w:szCs w:val="22"/>
        </w:rPr>
      </w:pPr>
    </w:p>
    <w:p w14:paraId="5BD102C5" w14:textId="2C1D7CE3" w:rsidR="00443A22" w:rsidRPr="00443A22" w:rsidRDefault="00233C4E" w:rsidP="00443A22">
      <w:pPr>
        <w:jc w:val="both"/>
        <w:rPr>
          <w:rFonts w:ascii="Arial" w:hAnsi="Arial" w:cs="Arial"/>
          <w:sz w:val="22"/>
          <w:szCs w:val="22"/>
        </w:rPr>
      </w:pPr>
      <w:r w:rsidRPr="00233C4E">
        <w:rPr>
          <w:rFonts w:ascii="Arial" w:hAnsi="Arial" w:cs="Arial"/>
          <w:sz w:val="22"/>
          <w:szCs w:val="22"/>
        </w:rPr>
        <w:t>Project meetings help inform the project team of project progress and existing or anticipated problems.</w:t>
      </w:r>
      <w:r w:rsidR="00443A22">
        <w:rPr>
          <w:rFonts w:ascii="Arial" w:hAnsi="Arial" w:cs="Arial"/>
          <w:sz w:val="22"/>
          <w:szCs w:val="22"/>
        </w:rPr>
        <w:t xml:space="preserve">  </w:t>
      </w:r>
      <w:r w:rsidR="00443A22" w:rsidRPr="00443A22">
        <w:rPr>
          <w:rFonts w:ascii="Arial" w:hAnsi="Arial" w:cs="Arial"/>
          <w:sz w:val="22"/>
          <w:szCs w:val="22"/>
        </w:rPr>
        <w:t xml:space="preserve">The expectation from senior management is that that the individual or a representative(s) from the Division/Office are in attendance and participating at </w:t>
      </w:r>
      <w:r w:rsidR="00443A22" w:rsidRPr="00443A22">
        <w:rPr>
          <w:rFonts w:ascii="Arial" w:hAnsi="Arial" w:cs="Arial"/>
          <w:b/>
          <w:bCs/>
          <w:sz w:val="22"/>
          <w:szCs w:val="22"/>
          <w:u w:val="single"/>
        </w:rPr>
        <w:t>all partnering meetings and milestone meetings.</w:t>
      </w:r>
      <w:r w:rsidR="00443A22">
        <w:rPr>
          <w:rFonts w:ascii="Arial" w:hAnsi="Arial" w:cs="Arial"/>
          <w:b/>
          <w:bCs/>
          <w:sz w:val="22"/>
          <w:szCs w:val="22"/>
          <w:u w:val="single"/>
        </w:rPr>
        <w:t xml:space="preserve">  </w:t>
      </w:r>
      <w:r w:rsidR="00443A22" w:rsidRPr="00443A22">
        <w:rPr>
          <w:rFonts w:ascii="Arial" w:hAnsi="Arial" w:cs="Arial"/>
          <w:sz w:val="22"/>
          <w:szCs w:val="22"/>
        </w:rPr>
        <w:t xml:space="preserve">Meeting attendance is important because the topics impact other disciplines. </w:t>
      </w:r>
    </w:p>
    <w:p w14:paraId="2B206F10" w14:textId="77777777" w:rsidR="00443A22" w:rsidRPr="00443A22" w:rsidRDefault="00443A22" w:rsidP="00443A22">
      <w:pPr>
        <w:jc w:val="both"/>
        <w:rPr>
          <w:rFonts w:ascii="Arial" w:hAnsi="Arial" w:cs="Arial"/>
          <w:sz w:val="22"/>
          <w:szCs w:val="22"/>
        </w:rPr>
      </w:pPr>
    </w:p>
    <w:p w14:paraId="1651773B" w14:textId="77777777" w:rsidR="00443A22" w:rsidRPr="00443A22" w:rsidRDefault="00443A22" w:rsidP="00443A22">
      <w:pPr>
        <w:numPr>
          <w:ilvl w:val="0"/>
          <w:numId w:val="201"/>
        </w:numPr>
        <w:jc w:val="both"/>
        <w:rPr>
          <w:rFonts w:ascii="Arial" w:hAnsi="Arial" w:cs="Arial"/>
          <w:sz w:val="22"/>
          <w:szCs w:val="22"/>
        </w:rPr>
      </w:pPr>
      <w:r w:rsidRPr="00443A22">
        <w:rPr>
          <w:rFonts w:ascii="Arial" w:hAnsi="Arial" w:cs="Arial"/>
          <w:sz w:val="22"/>
          <w:szCs w:val="22"/>
        </w:rPr>
        <w:t xml:space="preserve">Whether in-person or MS Teams, OMT representation is mandatory at </w:t>
      </w:r>
      <w:r w:rsidRPr="00443A22">
        <w:rPr>
          <w:rFonts w:ascii="Arial" w:hAnsi="Arial" w:cs="Arial"/>
          <w:sz w:val="22"/>
          <w:szCs w:val="22"/>
          <w:u w:val="single"/>
        </w:rPr>
        <w:t>all</w:t>
      </w:r>
      <w:r w:rsidRPr="00443A22">
        <w:rPr>
          <w:rFonts w:ascii="Arial" w:hAnsi="Arial" w:cs="Arial"/>
          <w:sz w:val="22"/>
          <w:szCs w:val="22"/>
        </w:rPr>
        <w:t xml:space="preserve"> project meetings, before and after advertisement, when invited. </w:t>
      </w:r>
    </w:p>
    <w:p w14:paraId="4E57D1AC" w14:textId="6B0465C8" w:rsidR="00443A22" w:rsidRPr="00443A22" w:rsidRDefault="00443A22" w:rsidP="00443A22">
      <w:pPr>
        <w:numPr>
          <w:ilvl w:val="0"/>
          <w:numId w:val="201"/>
        </w:numPr>
        <w:jc w:val="both"/>
        <w:rPr>
          <w:rFonts w:ascii="Arial" w:hAnsi="Arial" w:cs="Arial"/>
          <w:sz w:val="22"/>
          <w:szCs w:val="22"/>
        </w:rPr>
      </w:pPr>
      <w:r w:rsidRPr="00443A22">
        <w:rPr>
          <w:rFonts w:ascii="Arial" w:hAnsi="Arial" w:cs="Arial"/>
          <w:sz w:val="22"/>
          <w:szCs w:val="22"/>
        </w:rPr>
        <w:t>If it</w:t>
      </w:r>
      <w:r>
        <w:rPr>
          <w:rFonts w:ascii="Arial" w:hAnsi="Arial" w:cs="Arial"/>
          <w:sz w:val="22"/>
          <w:szCs w:val="22"/>
        </w:rPr>
        <w:t xml:space="preserve"> i</w:t>
      </w:r>
      <w:r w:rsidRPr="00443A22">
        <w:rPr>
          <w:rFonts w:ascii="Arial" w:hAnsi="Arial" w:cs="Arial"/>
          <w:sz w:val="22"/>
          <w:szCs w:val="22"/>
        </w:rPr>
        <w:t xml:space="preserve">s a virtual meeting, be prepared to turn on the camera. </w:t>
      </w:r>
    </w:p>
    <w:p w14:paraId="1A139904" w14:textId="77777777" w:rsidR="00443A22" w:rsidRPr="00443A22" w:rsidRDefault="00443A22" w:rsidP="00443A22">
      <w:pPr>
        <w:numPr>
          <w:ilvl w:val="0"/>
          <w:numId w:val="201"/>
        </w:numPr>
        <w:jc w:val="both"/>
        <w:rPr>
          <w:rFonts w:ascii="Arial" w:hAnsi="Arial" w:cs="Arial"/>
          <w:sz w:val="22"/>
          <w:szCs w:val="22"/>
        </w:rPr>
      </w:pPr>
      <w:r w:rsidRPr="00443A22">
        <w:rPr>
          <w:rFonts w:ascii="Arial" w:hAnsi="Arial" w:cs="Arial"/>
          <w:sz w:val="22"/>
          <w:szCs w:val="22"/>
        </w:rPr>
        <w:t>If we are invited as “required”, attendance is compulsory. If the design engineer cannot attend, either the Team leader or another peer should attend the meeting. If no one is available, the ADC should attend.  Attendance at these meetings takes precedence over any internal OMT meeting.</w:t>
      </w:r>
    </w:p>
    <w:p w14:paraId="7CE1E6A5" w14:textId="77777777" w:rsidR="00443A22" w:rsidRPr="00443A22" w:rsidRDefault="00443A22" w:rsidP="00443A22">
      <w:pPr>
        <w:numPr>
          <w:ilvl w:val="0"/>
          <w:numId w:val="201"/>
        </w:numPr>
        <w:jc w:val="both"/>
        <w:rPr>
          <w:rFonts w:ascii="Arial" w:hAnsi="Arial" w:cs="Arial"/>
          <w:sz w:val="22"/>
          <w:szCs w:val="22"/>
        </w:rPr>
      </w:pPr>
      <w:r w:rsidRPr="00443A22">
        <w:rPr>
          <w:rFonts w:ascii="Arial" w:hAnsi="Arial" w:cs="Arial"/>
          <w:sz w:val="22"/>
          <w:szCs w:val="22"/>
        </w:rPr>
        <w:t>If we are invited as “optional”, the design engineer should reach out to the Project Manager to see if our attendance is required or not, and act per their guidance.</w:t>
      </w:r>
    </w:p>
    <w:p w14:paraId="015A50FD" w14:textId="77777777" w:rsidR="00443A22" w:rsidRPr="00443A22" w:rsidRDefault="00443A22" w:rsidP="00443A22">
      <w:pPr>
        <w:numPr>
          <w:ilvl w:val="0"/>
          <w:numId w:val="201"/>
        </w:numPr>
        <w:jc w:val="both"/>
        <w:rPr>
          <w:rFonts w:ascii="Arial" w:hAnsi="Arial" w:cs="Arial"/>
          <w:sz w:val="22"/>
          <w:szCs w:val="22"/>
        </w:rPr>
      </w:pPr>
      <w:r w:rsidRPr="00443A22">
        <w:rPr>
          <w:rFonts w:ascii="Arial" w:hAnsi="Arial" w:cs="Arial"/>
          <w:sz w:val="22"/>
          <w:szCs w:val="22"/>
        </w:rPr>
        <w:t>While PAGD represents OMT at all meetings, EGD and FED representatives should attend (depending on whether their division scope is included) as dictated by the agenda, or as deemed necessary by the Project Manager.</w:t>
      </w:r>
    </w:p>
    <w:p w14:paraId="45302BF1" w14:textId="3D6371D2" w:rsidR="00443A22" w:rsidRPr="00443A22" w:rsidRDefault="00443A22" w:rsidP="00293E66">
      <w:pPr>
        <w:numPr>
          <w:ilvl w:val="0"/>
          <w:numId w:val="201"/>
        </w:numPr>
        <w:jc w:val="both"/>
        <w:rPr>
          <w:rFonts w:ascii="Arial" w:hAnsi="Arial" w:cs="Arial"/>
          <w:sz w:val="22"/>
          <w:szCs w:val="22"/>
        </w:rPr>
      </w:pPr>
      <w:r w:rsidRPr="00443A22">
        <w:rPr>
          <w:rFonts w:ascii="Arial" w:hAnsi="Arial" w:cs="Arial"/>
          <w:sz w:val="22"/>
          <w:szCs w:val="22"/>
        </w:rPr>
        <w:t xml:space="preserve">Not attending in-person project meetings or sending a substitute for an in-person meeting because the meeting falls on the design engineer’s telework day is NOT acceptable. </w:t>
      </w:r>
    </w:p>
    <w:p w14:paraId="2BCC96CD" w14:textId="77777777" w:rsidR="00233C4E" w:rsidRDefault="00233C4E" w:rsidP="00BE3F24">
      <w:pPr>
        <w:pStyle w:val="Heading3"/>
        <w:ind w:left="0" w:firstLine="0"/>
      </w:pPr>
      <w:r>
        <w:t>Purpose</w:t>
      </w:r>
    </w:p>
    <w:p w14:paraId="62C204D9" w14:textId="77777777" w:rsidR="001A15B9" w:rsidRDefault="00233C4E" w:rsidP="00FA159A">
      <w:pPr>
        <w:pStyle w:val="BodyText"/>
        <w:spacing w:after="0"/>
      </w:pPr>
      <w:r>
        <w:t>Meeting attendance for the roadway project is needed to:</w:t>
      </w:r>
    </w:p>
    <w:p w14:paraId="0276D10C" w14:textId="77777777" w:rsidR="00FB7127" w:rsidRDefault="00FB7127" w:rsidP="00455C16">
      <w:pPr>
        <w:pStyle w:val="ListNumber"/>
        <w:tabs>
          <w:tab w:val="clear" w:pos="720"/>
          <w:tab w:val="clear" w:pos="1872"/>
        </w:tabs>
        <w:ind w:left="0" w:firstLine="0"/>
        <w:jc w:val="both"/>
      </w:pPr>
    </w:p>
    <w:p w14:paraId="4840D285" w14:textId="65D94FB7" w:rsidR="00233C4E" w:rsidRDefault="007851BB" w:rsidP="00455C16">
      <w:pPr>
        <w:pStyle w:val="ListNumber"/>
        <w:numPr>
          <w:ilvl w:val="0"/>
          <w:numId w:val="33"/>
        </w:numPr>
        <w:tabs>
          <w:tab w:val="clear" w:pos="1872"/>
        </w:tabs>
        <w:spacing w:before="0"/>
        <w:ind w:left="720" w:hanging="720"/>
        <w:jc w:val="both"/>
      </w:pPr>
      <w:r>
        <w:t>I</w:t>
      </w:r>
      <w:r w:rsidR="00233C4E">
        <w:t>nform the PM progress from the OMT/PAGD and discuss the project schedule</w:t>
      </w:r>
    </w:p>
    <w:p w14:paraId="79D92269" w14:textId="5CD40C93" w:rsidR="00233C4E" w:rsidRDefault="007851BB" w:rsidP="00455C16">
      <w:pPr>
        <w:pStyle w:val="ListNumber"/>
        <w:numPr>
          <w:ilvl w:val="0"/>
          <w:numId w:val="33"/>
        </w:numPr>
        <w:tabs>
          <w:tab w:val="clear" w:pos="1872"/>
        </w:tabs>
        <w:spacing w:before="0"/>
        <w:ind w:left="720" w:hanging="720"/>
        <w:jc w:val="both"/>
      </w:pPr>
      <w:r>
        <w:t>I</w:t>
      </w:r>
      <w:r w:rsidR="00233C4E">
        <w:t>dentify and discuss existing or anticipated problems</w:t>
      </w:r>
    </w:p>
    <w:p w14:paraId="1A0A1E24" w14:textId="4DF34F39" w:rsidR="00233C4E" w:rsidRDefault="007851BB" w:rsidP="00455C16">
      <w:pPr>
        <w:pStyle w:val="ListNumber"/>
        <w:numPr>
          <w:ilvl w:val="0"/>
          <w:numId w:val="33"/>
        </w:numPr>
        <w:tabs>
          <w:tab w:val="clear" w:pos="1872"/>
        </w:tabs>
        <w:spacing w:before="0"/>
        <w:ind w:left="720" w:hanging="720"/>
        <w:jc w:val="both"/>
      </w:pPr>
      <w:r>
        <w:t>A</w:t>
      </w:r>
      <w:r w:rsidR="00233C4E">
        <w:t>void miscommunication or misunderstanding between the project team</w:t>
      </w:r>
    </w:p>
    <w:p w14:paraId="113318A2" w14:textId="77777777" w:rsidR="00233C4E" w:rsidRPr="00CC58A7" w:rsidRDefault="00233C4E" w:rsidP="00BE3F24">
      <w:pPr>
        <w:pStyle w:val="Heading3"/>
        <w:ind w:left="0" w:firstLine="0"/>
      </w:pPr>
      <w:r w:rsidRPr="00CC58A7">
        <w:t>Resource Requirements</w:t>
      </w:r>
    </w:p>
    <w:p w14:paraId="7044B240" w14:textId="77777777" w:rsidR="00233C4E" w:rsidRDefault="00233C4E" w:rsidP="00BE3F24">
      <w:pPr>
        <w:pStyle w:val="BodyText"/>
        <w:spacing w:after="0"/>
        <w:jc w:val="both"/>
      </w:pPr>
      <w:r w:rsidRPr="00CC58A7">
        <w:t xml:space="preserve">The </w:t>
      </w:r>
      <w:r>
        <w:t xml:space="preserve">project team meetings are typically attended by </w:t>
      </w:r>
      <w:r w:rsidRPr="00CC58A7">
        <w:t xml:space="preserve">the </w:t>
      </w:r>
      <w:r>
        <w:t xml:space="preserve">PAGD Engineer either at SHA Headquarters or District Office.  At times meetings may be held at the project site.  In certain cases, a PAGD TL and representatives from other OMT divisions will be invited to attend the project team meetings. This task </w:t>
      </w:r>
      <w:r w:rsidRPr="00CC58A7">
        <w:t xml:space="preserve">requires the following staffing needs for a typical </w:t>
      </w:r>
      <w:r>
        <w:t>project</w:t>
      </w:r>
      <w:r w:rsidRPr="00CC58A7">
        <w:t>:</w:t>
      </w:r>
    </w:p>
    <w:p w14:paraId="16773252" w14:textId="77777777" w:rsidR="00233C4E" w:rsidRPr="00CC58A7" w:rsidRDefault="00233C4E" w:rsidP="00BE3F24">
      <w:pPr>
        <w:pStyle w:val="BodyText"/>
        <w:spacing w:after="0"/>
        <w:jc w:val="both"/>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340"/>
        <w:gridCol w:w="3003"/>
        <w:gridCol w:w="1582"/>
        <w:gridCol w:w="1620"/>
      </w:tblGrid>
      <w:tr w:rsidR="00115674" w:rsidRPr="00CC58A7" w14:paraId="5DF15047" w14:textId="77777777" w:rsidTr="006F4BA8">
        <w:trPr>
          <w:trHeight w:val="288"/>
          <w:jc w:val="center"/>
        </w:trPr>
        <w:tc>
          <w:tcPr>
            <w:tcW w:w="2340" w:type="dxa"/>
            <w:shd w:val="pct15" w:color="auto" w:fill="FFFFFF"/>
            <w:vAlign w:val="center"/>
          </w:tcPr>
          <w:p w14:paraId="75D22B02" w14:textId="77777777" w:rsidR="00233C4E" w:rsidRPr="00CC58A7" w:rsidRDefault="00233C4E" w:rsidP="00BE3F24">
            <w:pPr>
              <w:jc w:val="center"/>
              <w:rPr>
                <w:rFonts w:ascii="Arial" w:hAnsi="Arial"/>
                <w:b/>
              </w:rPr>
            </w:pPr>
            <w:r w:rsidRPr="00CC58A7">
              <w:rPr>
                <w:rFonts w:ascii="Arial" w:hAnsi="Arial"/>
                <w:b/>
              </w:rPr>
              <w:t>Position</w:t>
            </w:r>
          </w:p>
        </w:tc>
        <w:tc>
          <w:tcPr>
            <w:tcW w:w="3003" w:type="dxa"/>
            <w:shd w:val="pct15" w:color="auto" w:fill="FFFFFF"/>
            <w:vAlign w:val="center"/>
          </w:tcPr>
          <w:p w14:paraId="1AC8E6E9" w14:textId="77777777" w:rsidR="00233C4E" w:rsidRPr="00CC58A7" w:rsidRDefault="00233C4E" w:rsidP="00BE3F24">
            <w:pPr>
              <w:jc w:val="center"/>
              <w:rPr>
                <w:rFonts w:ascii="Arial" w:hAnsi="Arial"/>
                <w:b/>
              </w:rPr>
            </w:pPr>
            <w:r w:rsidRPr="00CC58A7">
              <w:rPr>
                <w:rFonts w:ascii="Arial" w:hAnsi="Arial"/>
                <w:b/>
              </w:rPr>
              <w:t>Function</w:t>
            </w:r>
          </w:p>
        </w:tc>
        <w:tc>
          <w:tcPr>
            <w:tcW w:w="1582" w:type="dxa"/>
            <w:shd w:val="pct15" w:color="auto" w:fill="FFFFFF"/>
            <w:vAlign w:val="center"/>
          </w:tcPr>
          <w:p w14:paraId="284F43CD" w14:textId="77777777" w:rsidR="00233C4E" w:rsidRPr="00CC58A7" w:rsidRDefault="00233C4E" w:rsidP="00BE3F24">
            <w:pPr>
              <w:jc w:val="center"/>
              <w:rPr>
                <w:rFonts w:ascii="Arial" w:hAnsi="Arial"/>
                <w:b/>
              </w:rPr>
            </w:pPr>
            <w:r w:rsidRPr="00CC58A7">
              <w:rPr>
                <w:rFonts w:ascii="Arial" w:hAnsi="Arial"/>
                <w:b/>
              </w:rPr>
              <w:t>Resources</w:t>
            </w:r>
          </w:p>
        </w:tc>
        <w:tc>
          <w:tcPr>
            <w:tcW w:w="1620" w:type="dxa"/>
            <w:shd w:val="pct15" w:color="auto" w:fill="FFFFFF"/>
            <w:vAlign w:val="center"/>
          </w:tcPr>
          <w:p w14:paraId="03E8CA12" w14:textId="77777777" w:rsidR="00233C4E" w:rsidRPr="00CC58A7" w:rsidRDefault="00233C4E" w:rsidP="00BE3F24">
            <w:pPr>
              <w:jc w:val="center"/>
              <w:rPr>
                <w:rFonts w:ascii="Arial" w:hAnsi="Arial"/>
                <w:b/>
              </w:rPr>
            </w:pPr>
            <w:r w:rsidRPr="00CC58A7">
              <w:rPr>
                <w:rFonts w:ascii="Arial" w:hAnsi="Arial"/>
                <w:b/>
              </w:rPr>
              <w:t>Effort Level</w:t>
            </w:r>
          </w:p>
          <w:p w14:paraId="149CC9AB" w14:textId="77777777" w:rsidR="00233C4E" w:rsidRPr="00CC58A7" w:rsidRDefault="00233C4E" w:rsidP="00BE3F24">
            <w:pPr>
              <w:jc w:val="center"/>
              <w:rPr>
                <w:rFonts w:ascii="Arial" w:hAnsi="Arial"/>
                <w:b/>
              </w:rPr>
            </w:pPr>
            <w:r w:rsidRPr="00CC58A7">
              <w:rPr>
                <w:rFonts w:ascii="Arial" w:hAnsi="Arial"/>
                <w:b/>
              </w:rPr>
              <w:t>(man-hours)</w:t>
            </w:r>
          </w:p>
        </w:tc>
      </w:tr>
      <w:tr w:rsidR="00233C4E" w:rsidRPr="00CC58A7" w14:paraId="3F825409" w14:textId="77777777" w:rsidTr="006F4BA8">
        <w:trPr>
          <w:trHeight w:val="288"/>
          <w:jc w:val="center"/>
        </w:trPr>
        <w:tc>
          <w:tcPr>
            <w:tcW w:w="2340" w:type="dxa"/>
            <w:vAlign w:val="center"/>
          </w:tcPr>
          <w:p w14:paraId="0DA1A59D" w14:textId="77777777" w:rsidR="00233C4E" w:rsidRPr="00CC58A7" w:rsidRDefault="00233C4E" w:rsidP="00BE3F24">
            <w:pPr>
              <w:jc w:val="center"/>
              <w:rPr>
                <w:rFonts w:ascii="Arial" w:hAnsi="Arial"/>
                <w:sz w:val="18"/>
              </w:rPr>
            </w:pPr>
            <w:r>
              <w:rPr>
                <w:rFonts w:ascii="Arial" w:hAnsi="Arial"/>
                <w:sz w:val="18"/>
              </w:rPr>
              <w:t>PAGD Engineer</w:t>
            </w:r>
          </w:p>
        </w:tc>
        <w:tc>
          <w:tcPr>
            <w:tcW w:w="3003" w:type="dxa"/>
            <w:vAlign w:val="center"/>
          </w:tcPr>
          <w:p w14:paraId="0D5B2824" w14:textId="77777777" w:rsidR="00233C4E" w:rsidRPr="00CC58A7" w:rsidRDefault="00233C4E" w:rsidP="00BE3F24">
            <w:pPr>
              <w:jc w:val="center"/>
              <w:rPr>
                <w:rFonts w:ascii="Arial" w:hAnsi="Arial"/>
                <w:sz w:val="18"/>
              </w:rPr>
            </w:pPr>
            <w:r>
              <w:rPr>
                <w:rFonts w:ascii="Arial" w:hAnsi="Arial"/>
                <w:sz w:val="18"/>
              </w:rPr>
              <w:t>Attend/Participate at Meetings</w:t>
            </w:r>
          </w:p>
        </w:tc>
        <w:tc>
          <w:tcPr>
            <w:tcW w:w="1582" w:type="dxa"/>
            <w:vAlign w:val="center"/>
          </w:tcPr>
          <w:p w14:paraId="7D1FB814" w14:textId="77777777" w:rsidR="00233C4E" w:rsidRPr="00CC58A7" w:rsidRDefault="00233C4E" w:rsidP="00BE3F24">
            <w:pPr>
              <w:jc w:val="center"/>
              <w:rPr>
                <w:rFonts w:ascii="Arial" w:hAnsi="Arial"/>
                <w:sz w:val="18"/>
              </w:rPr>
            </w:pPr>
            <w:r w:rsidRPr="00CC58A7">
              <w:rPr>
                <w:rFonts w:ascii="Arial" w:hAnsi="Arial"/>
                <w:sz w:val="18"/>
              </w:rPr>
              <w:t>1</w:t>
            </w:r>
          </w:p>
        </w:tc>
        <w:tc>
          <w:tcPr>
            <w:tcW w:w="1620" w:type="dxa"/>
            <w:vAlign w:val="center"/>
          </w:tcPr>
          <w:p w14:paraId="44E5D0A6" w14:textId="77777777" w:rsidR="00233C4E" w:rsidRPr="00CC58A7" w:rsidRDefault="00233C4E" w:rsidP="00BE3F24">
            <w:pPr>
              <w:jc w:val="center"/>
              <w:rPr>
                <w:rFonts w:ascii="Arial" w:hAnsi="Arial"/>
                <w:sz w:val="18"/>
              </w:rPr>
            </w:pPr>
            <w:r>
              <w:rPr>
                <w:rFonts w:ascii="Arial" w:hAnsi="Arial"/>
                <w:sz w:val="18"/>
              </w:rPr>
              <w:t>16*</w:t>
            </w:r>
          </w:p>
        </w:tc>
      </w:tr>
      <w:tr w:rsidR="00233C4E" w:rsidRPr="00CC58A7" w14:paraId="764E44E8" w14:textId="77777777" w:rsidTr="006F4BA8">
        <w:trPr>
          <w:trHeight w:val="288"/>
          <w:jc w:val="center"/>
        </w:trPr>
        <w:tc>
          <w:tcPr>
            <w:tcW w:w="2340" w:type="dxa"/>
            <w:vAlign w:val="center"/>
          </w:tcPr>
          <w:p w14:paraId="05DEAE0C" w14:textId="77777777" w:rsidR="00233C4E" w:rsidRPr="00CC58A7" w:rsidRDefault="00233C4E" w:rsidP="00BE3F24">
            <w:pPr>
              <w:jc w:val="center"/>
              <w:rPr>
                <w:rFonts w:ascii="Arial" w:hAnsi="Arial"/>
                <w:sz w:val="18"/>
              </w:rPr>
            </w:pPr>
            <w:r>
              <w:rPr>
                <w:rFonts w:ascii="Arial" w:hAnsi="Arial"/>
                <w:sz w:val="18"/>
              </w:rPr>
              <w:t>EGD Representative</w:t>
            </w:r>
          </w:p>
        </w:tc>
        <w:tc>
          <w:tcPr>
            <w:tcW w:w="3003" w:type="dxa"/>
            <w:vAlign w:val="center"/>
          </w:tcPr>
          <w:p w14:paraId="4AC7AE7E" w14:textId="77777777" w:rsidR="00233C4E" w:rsidRDefault="00233C4E" w:rsidP="00BE3F24">
            <w:pPr>
              <w:jc w:val="center"/>
            </w:pPr>
            <w:r w:rsidRPr="00724B05">
              <w:rPr>
                <w:rFonts w:ascii="Arial" w:hAnsi="Arial"/>
                <w:sz w:val="18"/>
              </w:rPr>
              <w:t>Attend/Participate at Meetings</w:t>
            </w:r>
          </w:p>
        </w:tc>
        <w:tc>
          <w:tcPr>
            <w:tcW w:w="1582" w:type="dxa"/>
            <w:vAlign w:val="center"/>
          </w:tcPr>
          <w:p w14:paraId="697DF116" w14:textId="77777777" w:rsidR="00233C4E" w:rsidRPr="00CC58A7" w:rsidRDefault="00233C4E" w:rsidP="00BE3F24">
            <w:pPr>
              <w:jc w:val="center"/>
              <w:rPr>
                <w:rFonts w:ascii="Arial" w:hAnsi="Arial"/>
                <w:sz w:val="18"/>
              </w:rPr>
            </w:pPr>
            <w:r w:rsidRPr="00CC58A7">
              <w:rPr>
                <w:rFonts w:ascii="Arial" w:hAnsi="Arial"/>
                <w:sz w:val="18"/>
              </w:rPr>
              <w:t>1</w:t>
            </w:r>
          </w:p>
        </w:tc>
        <w:tc>
          <w:tcPr>
            <w:tcW w:w="1620" w:type="dxa"/>
            <w:vAlign w:val="center"/>
          </w:tcPr>
          <w:p w14:paraId="1F96C69D" w14:textId="77777777" w:rsidR="00233C4E" w:rsidRPr="00CC58A7" w:rsidRDefault="00233C4E" w:rsidP="00BE3F24">
            <w:pPr>
              <w:jc w:val="center"/>
              <w:rPr>
                <w:rFonts w:ascii="Arial" w:hAnsi="Arial"/>
                <w:sz w:val="18"/>
              </w:rPr>
            </w:pPr>
            <w:r>
              <w:rPr>
                <w:rFonts w:ascii="Arial" w:hAnsi="Arial"/>
                <w:sz w:val="18"/>
              </w:rPr>
              <w:t>16*</w:t>
            </w:r>
          </w:p>
        </w:tc>
      </w:tr>
      <w:tr w:rsidR="00233C4E" w:rsidRPr="00CC58A7" w14:paraId="48330807" w14:textId="77777777" w:rsidTr="006F4BA8">
        <w:trPr>
          <w:trHeight w:val="288"/>
          <w:jc w:val="center"/>
        </w:trPr>
        <w:tc>
          <w:tcPr>
            <w:tcW w:w="2340" w:type="dxa"/>
            <w:vAlign w:val="center"/>
          </w:tcPr>
          <w:p w14:paraId="33B66A40" w14:textId="77777777" w:rsidR="00233C4E" w:rsidRPr="00CC58A7" w:rsidRDefault="00233C4E" w:rsidP="00BE3F24">
            <w:pPr>
              <w:jc w:val="center"/>
              <w:rPr>
                <w:rFonts w:ascii="Arial" w:hAnsi="Arial"/>
                <w:sz w:val="18"/>
              </w:rPr>
            </w:pPr>
            <w:r>
              <w:rPr>
                <w:rFonts w:ascii="Arial" w:hAnsi="Arial"/>
                <w:sz w:val="18"/>
              </w:rPr>
              <w:t>PAGD TL</w:t>
            </w:r>
          </w:p>
        </w:tc>
        <w:tc>
          <w:tcPr>
            <w:tcW w:w="3003" w:type="dxa"/>
            <w:vAlign w:val="center"/>
          </w:tcPr>
          <w:p w14:paraId="7816D75D" w14:textId="77777777" w:rsidR="00233C4E" w:rsidRDefault="00233C4E" w:rsidP="00BE3F24">
            <w:pPr>
              <w:jc w:val="center"/>
            </w:pPr>
            <w:r w:rsidRPr="00724B05">
              <w:rPr>
                <w:rFonts w:ascii="Arial" w:hAnsi="Arial"/>
                <w:sz w:val="18"/>
              </w:rPr>
              <w:t>Attend/Participate at Meetings</w:t>
            </w:r>
          </w:p>
        </w:tc>
        <w:tc>
          <w:tcPr>
            <w:tcW w:w="1582" w:type="dxa"/>
            <w:vAlign w:val="center"/>
          </w:tcPr>
          <w:p w14:paraId="1F50FAE1" w14:textId="77777777" w:rsidR="00233C4E" w:rsidRPr="00CC58A7" w:rsidRDefault="00233C4E" w:rsidP="00BE3F24">
            <w:pPr>
              <w:jc w:val="center"/>
              <w:rPr>
                <w:rFonts w:ascii="Arial" w:hAnsi="Arial"/>
                <w:sz w:val="18"/>
              </w:rPr>
            </w:pPr>
            <w:r w:rsidRPr="00CC58A7">
              <w:rPr>
                <w:rFonts w:ascii="Arial" w:hAnsi="Arial"/>
                <w:sz w:val="18"/>
              </w:rPr>
              <w:t>1</w:t>
            </w:r>
          </w:p>
        </w:tc>
        <w:tc>
          <w:tcPr>
            <w:tcW w:w="1620" w:type="dxa"/>
            <w:vAlign w:val="center"/>
          </w:tcPr>
          <w:p w14:paraId="00B55964" w14:textId="77777777" w:rsidR="00233C4E" w:rsidRPr="00CC58A7" w:rsidRDefault="00233C4E" w:rsidP="00BE3F24">
            <w:pPr>
              <w:jc w:val="center"/>
              <w:rPr>
                <w:rFonts w:ascii="Arial" w:hAnsi="Arial"/>
                <w:sz w:val="18"/>
              </w:rPr>
            </w:pPr>
            <w:r>
              <w:rPr>
                <w:rFonts w:ascii="Arial" w:hAnsi="Arial"/>
                <w:sz w:val="18"/>
              </w:rPr>
              <w:t>8*</w:t>
            </w:r>
          </w:p>
        </w:tc>
      </w:tr>
    </w:tbl>
    <w:p w14:paraId="68C7BEF2" w14:textId="0E0E3F66" w:rsidR="00233C4E" w:rsidRPr="00CD2DBB" w:rsidRDefault="00233C4E" w:rsidP="0011449A">
      <w:pPr>
        <w:ind w:left="540" w:hanging="540"/>
        <w:rPr>
          <w:rFonts w:ascii="Arial" w:hAnsi="Arial"/>
          <w:sz w:val="18"/>
          <w:szCs w:val="18"/>
        </w:rPr>
      </w:pPr>
      <w:r>
        <w:rPr>
          <w:rFonts w:ascii="Arial" w:hAnsi="Arial"/>
          <w:sz w:val="18"/>
          <w:szCs w:val="18"/>
        </w:rPr>
        <w:t xml:space="preserve">      </w:t>
      </w:r>
      <w:r w:rsidRPr="00CD2DBB">
        <w:rPr>
          <w:rFonts w:ascii="Arial" w:hAnsi="Arial"/>
          <w:sz w:val="18"/>
          <w:szCs w:val="18"/>
        </w:rPr>
        <w:t xml:space="preserve">* </w:t>
      </w:r>
      <w:r w:rsidR="007851BB">
        <w:rPr>
          <w:rFonts w:ascii="Arial" w:hAnsi="Arial"/>
          <w:sz w:val="18"/>
          <w:szCs w:val="18"/>
        </w:rPr>
        <w:tab/>
      </w:r>
      <w:r w:rsidRPr="00CD2DBB">
        <w:rPr>
          <w:rFonts w:ascii="Arial" w:hAnsi="Arial"/>
          <w:sz w:val="18"/>
          <w:szCs w:val="18"/>
        </w:rPr>
        <w:t xml:space="preserve">The time required would vary depending on the size and </w:t>
      </w:r>
      <w:r>
        <w:rPr>
          <w:rFonts w:ascii="Arial" w:hAnsi="Arial"/>
          <w:sz w:val="18"/>
          <w:szCs w:val="18"/>
        </w:rPr>
        <w:t>complexity of a project.  N</w:t>
      </w:r>
      <w:r w:rsidRPr="00CD2DBB">
        <w:rPr>
          <w:rFonts w:ascii="Arial" w:hAnsi="Arial"/>
          <w:sz w:val="18"/>
          <w:szCs w:val="18"/>
        </w:rPr>
        <w:t>ote that this is an</w:t>
      </w:r>
      <w:r>
        <w:rPr>
          <w:rFonts w:ascii="Arial" w:hAnsi="Arial"/>
          <w:sz w:val="18"/>
          <w:szCs w:val="18"/>
        </w:rPr>
        <w:t xml:space="preserve"> </w:t>
      </w:r>
      <w:r w:rsidRPr="00CD2DBB">
        <w:rPr>
          <w:rFonts w:ascii="Arial" w:hAnsi="Arial"/>
          <w:sz w:val="18"/>
          <w:szCs w:val="18"/>
        </w:rPr>
        <w:t>ongoing task, when needed, during the design and construction phase of the project.</w:t>
      </w:r>
    </w:p>
    <w:p w14:paraId="51F53D61" w14:textId="77777777" w:rsidR="00233C4E" w:rsidRPr="00CC58A7" w:rsidRDefault="00233C4E" w:rsidP="00BE3F24">
      <w:pPr>
        <w:pStyle w:val="Heading3"/>
        <w:ind w:left="0" w:firstLine="0"/>
      </w:pPr>
      <w:r w:rsidRPr="00CC58A7">
        <w:t>Procedure</w:t>
      </w:r>
    </w:p>
    <w:p w14:paraId="4840888E" w14:textId="53A2EA05" w:rsidR="00233C4E" w:rsidRDefault="00233C4E" w:rsidP="00BE3F24">
      <w:pPr>
        <w:pStyle w:val="BodyText"/>
        <w:spacing w:after="0"/>
        <w:jc w:val="both"/>
      </w:pPr>
      <w:r w:rsidRPr="00CC58A7">
        <w:t xml:space="preserve">The procedure </w:t>
      </w:r>
      <w:r w:rsidRPr="00004850">
        <w:t xml:space="preserve">described </w:t>
      </w:r>
      <w:r w:rsidR="00D318BB">
        <w:t>below</w:t>
      </w:r>
      <w:r w:rsidRPr="00004850">
        <w:t xml:space="preserve"> should be followed when </w:t>
      </w:r>
      <w:r>
        <w:t>attending project team meetings.</w:t>
      </w:r>
      <w:r w:rsidRPr="00004850">
        <w:t xml:space="preserve">  </w:t>
      </w:r>
    </w:p>
    <w:p w14:paraId="6EC39303" w14:textId="57555D8A" w:rsidR="00233C4E" w:rsidRDefault="00233C4E" w:rsidP="00BE3F24">
      <w:pPr>
        <w:pStyle w:val="BodyText"/>
        <w:spacing w:after="0"/>
        <w:jc w:val="both"/>
      </w:pPr>
    </w:p>
    <w:p w14:paraId="5FEBDBB7" w14:textId="77777777" w:rsidR="00233C4E" w:rsidRDefault="00233C4E" w:rsidP="00BE3F24">
      <w:pPr>
        <w:pStyle w:val="BodyText"/>
        <w:spacing w:after="0"/>
        <w:jc w:val="both"/>
      </w:pPr>
      <w:r w:rsidRPr="00CC58A7">
        <w:t>Certain steps</w:t>
      </w:r>
      <w:r>
        <w:t xml:space="preserve"> associated with attending project team meetings and other processes may </w:t>
      </w:r>
      <w:r w:rsidRPr="00CC58A7">
        <w:t>overlap.  It is important to keep in mind that although these processes are broken out and written in separate sections, they are</w:t>
      </w:r>
      <w:r>
        <w:t xml:space="preserve"> a part of an overall process. </w:t>
      </w:r>
    </w:p>
    <w:p w14:paraId="7658DE9C" w14:textId="21D1B5A5" w:rsidR="001A15B9" w:rsidRPr="009D4B5C" w:rsidRDefault="00233C4E" w:rsidP="0011449A">
      <w:pPr>
        <w:numPr>
          <w:ilvl w:val="0"/>
          <w:numId w:val="37"/>
        </w:numPr>
        <w:shd w:val="clear" w:color="auto" w:fill="FFFFFF"/>
        <w:tabs>
          <w:tab w:val="clear" w:pos="1152"/>
          <w:tab w:val="num" w:pos="-1296"/>
          <w:tab w:val="left" w:pos="1080"/>
          <w:tab w:val="left" w:pos="8717"/>
        </w:tabs>
        <w:autoSpaceDE w:val="0"/>
        <w:autoSpaceDN w:val="0"/>
        <w:adjustRightInd w:val="0"/>
        <w:spacing w:before="240"/>
        <w:ind w:left="1080" w:right="29" w:hanging="1080"/>
        <w:jc w:val="both"/>
        <w:rPr>
          <w:rFonts w:ascii="Arial" w:hAnsi="Arial" w:cs="Arial"/>
          <w:sz w:val="22"/>
          <w:szCs w:val="22"/>
        </w:rPr>
      </w:pPr>
      <w:r w:rsidRPr="009D4B5C">
        <w:rPr>
          <w:rFonts w:ascii="Arial" w:hAnsi="Arial" w:cs="Arial"/>
          <w:sz w:val="22"/>
          <w:szCs w:val="22"/>
        </w:rPr>
        <w:t>Confirm date, time</w:t>
      </w:r>
      <w:r w:rsidR="00D318BB" w:rsidRPr="009D4B5C">
        <w:rPr>
          <w:rFonts w:ascii="Arial" w:hAnsi="Arial" w:cs="Arial"/>
          <w:sz w:val="22"/>
          <w:szCs w:val="22"/>
        </w:rPr>
        <w:t>,</w:t>
      </w:r>
      <w:r w:rsidRPr="009D4B5C">
        <w:rPr>
          <w:rFonts w:ascii="Arial" w:hAnsi="Arial" w:cs="Arial"/>
          <w:sz w:val="22"/>
          <w:szCs w:val="22"/>
        </w:rPr>
        <w:t xml:space="preserve"> and location of meeting provided in the memorandum, e-mail or Outlook Appointment with the PM.  If the assigned PAGD Engineer is unable to attend, provisions should be made to have another PAGD representative attend.  This representative should be a PAGD Engineer from the same PAGD Team.  Ensure to brief the PAGD Engineer attending and provide a list of questions that need to be asked and a list of items/comments that need to be discussed at the meeting.</w:t>
      </w:r>
    </w:p>
    <w:p w14:paraId="4A60EC6D" w14:textId="77777777" w:rsidR="001A15B9" w:rsidRDefault="00233C4E" w:rsidP="0011449A">
      <w:pPr>
        <w:widowControl w:val="0"/>
        <w:numPr>
          <w:ilvl w:val="0"/>
          <w:numId w:val="37"/>
        </w:numPr>
        <w:shd w:val="clear" w:color="auto" w:fill="FFFFFF"/>
        <w:tabs>
          <w:tab w:val="clear" w:pos="1152"/>
          <w:tab w:val="num" w:pos="-1296"/>
          <w:tab w:val="left" w:pos="1080"/>
          <w:tab w:val="left" w:pos="8717"/>
        </w:tabs>
        <w:autoSpaceDE w:val="0"/>
        <w:autoSpaceDN w:val="0"/>
        <w:adjustRightInd w:val="0"/>
        <w:spacing w:before="120"/>
        <w:ind w:left="1080" w:right="34" w:hanging="1080"/>
        <w:jc w:val="both"/>
        <w:rPr>
          <w:rFonts w:ascii="Arial" w:hAnsi="Arial" w:cs="Arial"/>
          <w:sz w:val="22"/>
          <w:szCs w:val="22"/>
        </w:rPr>
      </w:pPr>
      <w:r w:rsidRPr="00233C4E">
        <w:rPr>
          <w:rFonts w:ascii="Arial" w:hAnsi="Arial" w:cs="Arial"/>
          <w:sz w:val="22"/>
          <w:szCs w:val="22"/>
        </w:rPr>
        <w:t xml:space="preserve">Inform other OMT Division contacts involved regarding the meeting.  </w:t>
      </w:r>
    </w:p>
    <w:p w14:paraId="035ADEDA" w14:textId="72EB6193" w:rsidR="001A15B9" w:rsidRDefault="00233C4E" w:rsidP="0011449A">
      <w:pPr>
        <w:widowControl w:val="0"/>
        <w:numPr>
          <w:ilvl w:val="0"/>
          <w:numId w:val="37"/>
        </w:numPr>
        <w:shd w:val="clear" w:color="auto" w:fill="FFFFFF"/>
        <w:tabs>
          <w:tab w:val="clear" w:pos="1152"/>
          <w:tab w:val="num" w:pos="-1296"/>
          <w:tab w:val="left" w:pos="1080"/>
          <w:tab w:val="left" w:pos="8717"/>
        </w:tabs>
        <w:autoSpaceDE w:val="0"/>
        <w:autoSpaceDN w:val="0"/>
        <w:adjustRightInd w:val="0"/>
        <w:spacing w:before="120"/>
        <w:ind w:left="1080" w:right="34" w:hanging="1080"/>
        <w:jc w:val="both"/>
        <w:rPr>
          <w:rFonts w:ascii="Arial" w:hAnsi="Arial" w:cs="Arial"/>
          <w:sz w:val="22"/>
          <w:szCs w:val="22"/>
        </w:rPr>
      </w:pPr>
      <w:r w:rsidRPr="00233C4E">
        <w:rPr>
          <w:rFonts w:ascii="Arial" w:hAnsi="Arial" w:cs="Arial"/>
          <w:sz w:val="22"/>
          <w:szCs w:val="22"/>
        </w:rPr>
        <w:t>Prepare for meeting.  Refer to III.C Records Review.  This involves reviewing the project plans and folder for any geotechnical concerns with the PAGD TL and other OMT Division contacts.  Any questions, concerns</w:t>
      </w:r>
      <w:r w:rsidR="00D318BB">
        <w:rPr>
          <w:rFonts w:ascii="Arial" w:hAnsi="Arial" w:cs="Arial"/>
          <w:sz w:val="22"/>
          <w:szCs w:val="22"/>
        </w:rPr>
        <w:t>,</w:t>
      </w:r>
      <w:r w:rsidRPr="00233C4E">
        <w:rPr>
          <w:rFonts w:ascii="Arial" w:hAnsi="Arial" w:cs="Arial"/>
          <w:sz w:val="22"/>
          <w:szCs w:val="22"/>
        </w:rPr>
        <w:t xml:space="preserve"> and/or comments should be documented for discussion at the Project Team Meeting.  The level of preparation will vary depending on the project scope and the type of meeting.  Written comments may be required to be submitted at the meeting or within several days after the meeting.  This time frame should be discussed with the PM.</w:t>
      </w:r>
    </w:p>
    <w:p w14:paraId="50240F16" w14:textId="4B0B2882" w:rsidR="001A15B9" w:rsidRDefault="00233C4E" w:rsidP="0011449A">
      <w:pPr>
        <w:widowControl w:val="0"/>
        <w:numPr>
          <w:ilvl w:val="0"/>
          <w:numId w:val="37"/>
        </w:numPr>
        <w:shd w:val="clear" w:color="auto" w:fill="FFFFFF"/>
        <w:tabs>
          <w:tab w:val="clear" w:pos="1152"/>
          <w:tab w:val="num" w:pos="-1296"/>
          <w:tab w:val="left" w:pos="1080"/>
          <w:tab w:val="left" w:pos="8717"/>
        </w:tabs>
        <w:autoSpaceDE w:val="0"/>
        <w:autoSpaceDN w:val="0"/>
        <w:adjustRightInd w:val="0"/>
        <w:spacing w:before="120"/>
        <w:ind w:left="1080" w:right="34" w:hanging="1080"/>
        <w:jc w:val="both"/>
        <w:rPr>
          <w:rFonts w:ascii="Arial" w:hAnsi="Arial" w:cs="Arial"/>
          <w:sz w:val="22"/>
          <w:szCs w:val="22"/>
        </w:rPr>
      </w:pPr>
      <w:r w:rsidRPr="00233C4E">
        <w:rPr>
          <w:rFonts w:ascii="Arial" w:hAnsi="Arial" w:cs="Arial"/>
          <w:sz w:val="22"/>
          <w:szCs w:val="22"/>
        </w:rPr>
        <w:t>Attend the meeting and discuss questions, concerns</w:t>
      </w:r>
      <w:r w:rsidR="00D318BB">
        <w:rPr>
          <w:rFonts w:ascii="Arial" w:hAnsi="Arial" w:cs="Arial"/>
          <w:sz w:val="22"/>
          <w:szCs w:val="22"/>
        </w:rPr>
        <w:t>,</w:t>
      </w:r>
      <w:r w:rsidRPr="00233C4E">
        <w:rPr>
          <w:rFonts w:ascii="Arial" w:hAnsi="Arial" w:cs="Arial"/>
          <w:sz w:val="22"/>
          <w:szCs w:val="22"/>
        </w:rPr>
        <w:t xml:space="preserve"> and/or comments with the PM and other members of the project team.  Take notes at the meeting of items/issues discussed.  Ensure to document any action items required to be completed by OMT/PAGD. </w:t>
      </w:r>
    </w:p>
    <w:p w14:paraId="12639A2F" w14:textId="77777777" w:rsidR="001A15B9" w:rsidRDefault="00233C4E" w:rsidP="0011449A">
      <w:pPr>
        <w:widowControl w:val="0"/>
        <w:numPr>
          <w:ilvl w:val="0"/>
          <w:numId w:val="37"/>
        </w:numPr>
        <w:shd w:val="clear" w:color="auto" w:fill="FFFFFF"/>
        <w:tabs>
          <w:tab w:val="clear" w:pos="1152"/>
          <w:tab w:val="num" w:pos="-1296"/>
          <w:tab w:val="left" w:pos="1080"/>
          <w:tab w:val="left" w:pos="8717"/>
        </w:tabs>
        <w:autoSpaceDE w:val="0"/>
        <w:autoSpaceDN w:val="0"/>
        <w:adjustRightInd w:val="0"/>
        <w:spacing w:before="120"/>
        <w:ind w:left="1080" w:right="34" w:hanging="1080"/>
        <w:jc w:val="both"/>
        <w:rPr>
          <w:rFonts w:ascii="Arial" w:hAnsi="Arial" w:cs="Arial"/>
          <w:sz w:val="22"/>
          <w:szCs w:val="22"/>
        </w:rPr>
      </w:pPr>
      <w:r w:rsidRPr="00233C4E">
        <w:rPr>
          <w:rFonts w:ascii="Arial" w:hAnsi="Arial" w:cs="Arial"/>
          <w:sz w:val="22"/>
          <w:szCs w:val="22"/>
        </w:rPr>
        <w:t xml:space="preserve">Discuss items/issues from the meeting with the PAGD TL and OMT Division contacts (if they did not attend).  It may be necessary to type notes taken during the meeting for placement in the project file.  </w:t>
      </w:r>
    </w:p>
    <w:p w14:paraId="121EB2BA" w14:textId="77777777" w:rsidR="001A15B9" w:rsidRDefault="00233C4E" w:rsidP="0011449A">
      <w:pPr>
        <w:widowControl w:val="0"/>
        <w:numPr>
          <w:ilvl w:val="0"/>
          <w:numId w:val="37"/>
        </w:numPr>
        <w:shd w:val="clear" w:color="auto" w:fill="FFFFFF"/>
        <w:tabs>
          <w:tab w:val="clear" w:pos="1152"/>
          <w:tab w:val="num" w:pos="-1296"/>
          <w:tab w:val="left" w:pos="1080"/>
          <w:tab w:val="left" w:pos="8717"/>
        </w:tabs>
        <w:autoSpaceDE w:val="0"/>
        <w:autoSpaceDN w:val="0"/>
        <w:adjustRightInd w:val="0"/>
        <w:spacing w:before="120"/>
        <w:ind w:left="1080" w:right="34" w:hanging="1080"/>
        <w:jc w:val="both"/>
        <w:rPr>
          <w:rFonts w:ascii="Arial" w:hAnsi="Arial" w:cs="Arial"/>
          <w:sz w:val="22"/>
          <w:szCs w:val="22"/>
        </w:rPr>
      </w:pPr>
      <w:r w:rsidRPr="00233C4E">
        <w:rPr>
          <w:rFonts w:ascii="Arial" w:hAnsi="Arial" w:cs="Arial"/>
          <w:sz w:val="22"/>
          <w:szCs w:val="22"/>
        </w:rPr>
        <w:t>Provide written comments to PM within time frame discussed with the PM.</w:t>
      </w:r>
    </w:p>
    <w:p w14:paraId="2B36C2BE" w14:textId="16402EAC" w:rsidR="00233C4E" w:rsidRDefault="00233C4E" w:rsidP="00B808BE">
      <w:pPr>
        <w:widowControl w:val="0"/>
        <w:numPr>
          <w:ilvl w:val="0"/>
          <w:numId w:val="37"/>
        </w:numPr>
        <w:shd w:val="clear" w:color="auto" w:fill="FFFFFF"/>
        <w:tabs>
          <w:tab w:val="clear" w:pos="1152"/>
          <w:tab w:val="num" w:pos="-1296"/>
          <w:tab w:val="left" w:pos="1080"/>
          <w:tab w:val="left" w:pos="8717"/>
        </w:tabs>
        <w:autoSpaceDE w:val="0"/>
        <w:autoSpaceDN w:val="0"/>
        <w:adjustRightInd w:val="0"/>
        <w:spacing w:before="120"/>
        <w:ind w:left="1080" w:right="34" w:hanging="1080"/>
        <w:jc w:val="both"/>
      </w:pPr>
      <w:r w:rsidRPr="00443A22">
        <w:rPr>
          <w:rFonts w:ascii="Arial" w:hAnsi="Arial" w:cs="Arial"/>
          <w:sz w:val="22"/>
          <w:szCs w:val="22"/>
        </w:rPr>
        <w:t xml:space="preserve">Review meeting minutes, if received, and correct and notify PM if there are discrepancies/inaccuracies. </w:t>
      </w:r>
      <w:r w:rsidRPr="00443A22">
        <w:rPr>
          <w:rFonts w:ascii="Arial" w:hAnsi="Arial" w:cs="Arial"/>
        </w:rPr>
        <w:t xml:space="preserve"> </w:t>
      </w:r>
    </w:p>
    <w:p w14:paraId="6ED9CD3C" w14:textId="77777777" w:rsidR="00233C4E" w:rsidRDefault="00233C4E" w:rsidP="00BE3F24"/>
    <w:p w14:paraId="34A36B50" w14:textId="77777777" w:rsidR="00233C4E" w:rsidRDefault="00233C4E" w:rsidP="00BE3F24"/>
    <w:p w14:paraId="7C58A0EB" w14:textId="77777777" w:rsidR="00233C4E" w:rsidRDefault="00233C4E" w:rsidP="00BE3F24"/>
    <w:p w14:paraId="6F2254CC" w14:textId="77777777" w:rsidR="00233C4E" w:rsidRDefault="00233C4E" w:rsidP="00BE3F24">
      <w:pPr>
        <w:sectPr w:rsidR="00233C4E" w:rsidSect="00455C16">
          <w:headerReference w:type="even" r:id="rId45"/>
          <w:headerReference w:type="default" r:id="rId46"/>
          <w:footerReference w:type="default" r:id="rId47"/>
          <w:headerReference w:type="first" r:id="rId48"/>
          <w:pgSz w:w="12240" w:h="15840" w:code="1"/>
          <w:pgMar w:top="1440" w:right="1800" w:bottom="1440" w:left="1800" w:header="720" w:footer="720" w:gutter="0"/>
          <w:pgNumType w:chapStyle="1"/>
          <w:cols w:space="720"/>
          <w:docGrid w:linePitch="360"/>
        </w:sectPr>
      </w:pPr>
    </w:p>
    <w:p w14:paraId="131C1903" w14:textId="77777777" w:rsidR="00233C4E" w:rsidRDefault="00233C4E" w:rsidP="00BE3F24">
      <w:pPr>
        <w:jc w:val="center"/>
        <w:rPr>
          <w:rFonts w:ascii="Arial" w:hAnsi="Arial" w:cs="Arial"/>
          <w:b/>
        </w:rPr>
        <w:sectPr w:rsidR="00233C4E" w:rsidSect="00466A64">
          <w:headerReference w:type="even" r:id="rId49"/>
          <w:headerReference w:type="default" r:id="rId50"/>
          <w:headerReference w:type="first" r:id="rId51"/>
          <w:type w:val="continuous"/>
          <w:pgSz w:w="12240" w:h="15840" w:code="1"/>
          <w:pgMar w:top="1440" w:right="1440" w:bottom="1440" w:left="1440" w:header="720" w:footer="720" w:gutter="0"/>
          <w:cols w:space="720"/>
          <w:docGrid w:linePitch="360"/>
        </w:sectPr>
      </w:pPr>
    </w:p>
    <w:p w14:paraId="37F84828" w14:textId="77777777" w:rsidR="00233C4E" w:rsidRDefault="00233C4E" w:rsidP="00BE3F24">
      <w:pPr>
        <w:jc w:val="center"/>
        <w:rPr>
          <w:rFonts w:ascii="Arial" w:hAnsi="Arial" w:cs="Arial"/>
          <w:b/>
        </w:rPr>
        <w:sectPr w:rsidR="00233C4E" w:rsidSect="00D318BB">
          <w:headerReference w:type="default" r:id="rId52"/>
          <w:type w:val="continuous"/>
          <w:pgSz w:w="12240" w:h="15840" w:code="1"/>
          <w:pgMar w:top="1440" w:right="1440" w:bottom="1440" w:left="1440" w:header="720" w:footer="720" w:gutter="0"/>
          <w:cols w:space="720"/>
          <w:docGrid w:linePitch="360"/>
        </w:sectPr>
      </w:pPr>
    </w:p>
    <w:p w14:paraId="4AF4E59F" w14:textId="223174A9" w:rsidR="00080910" w:rsidRPr="00775E78" w:rsidRDefault="00080910" w:rsidP="0011449A">
      <w:pPr>
        <w:pStyle w:val="Heading2"/>
        <w:ind w:left="720" w:hanging="720"/>
      </w:pPr>
      <w:bookmarkStart w:id="48" w:name="_Initial_Treatment_Identification"/>
      <w:bookmarkStart w:id="49" w:name="_Toc479160075"/>
      <w:bookmarkStart w:id="50" w:name="_Toc514057966"/>
      <w:bookmarkStart w:id="51" w:name="_Toc194932360"/>
      <w:bookmarkEnd w:id="48"/>
      <w:r w:rsidRPr="00775E78">
        <w:lastRenderedPageBreak/>
        <w:t>Initial Treatment Identification</w:t>
      </w:r>
      <w:r w:rsidR="0063424A" w:rsidRPr="00775E78">
        <w:t xml:space="preserve"> – Pavement Preservation Guide</w:t>
      </w:r>
      <w:bookmarkEnd w:id="49"/>
      <w:bookmarkEnd w:id="50"/>
      <w:bookmarkEnd w:id="51"/>
    </w:p>
    <w:p w14:paraId="3019DC5B" w14:textId="77777777" w:rsidR="003E1207" w:rsidRDefault="003E1207" w:rsidP="003E1207">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iscussion/Selection_Alternative_wi_1" w:history="1">
        <w:r w:rsidRPr="003E1207">
          <w:rPr>
            <w:rStyle w:val="Hyperlink"/>
            <w:rFonts w:ascii="Arial" w:hAnsi="Arial" w:cs="Arial"/>
            <w:bCs/>
            <w:sz w:val="16"/>
            <w:szCs w:val="16"/>
          </w:rPr>
          <w:t>Discussion/Selection Alternative with Project Owner</w:t>
        </w:r>
      </w:hyperlink>
    </w:p>
    <w:p w14:paraId="6B274F7F" w14:textId="77777777" w:rsidR="00777D44" w:rsidRPr="008F604D" w:rsidRDefault="00777D44" w:rsidP="003E1207">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ired_Pavement_Testing_1" w:history="1">
        <w:r w:rsidRPr="00777D44">
          <w:rPr>
            <w:rStyle w:val="Hyperlink"/>
            <w:rFonts w:ascii="Arial" w:hAnsi="Arial" w:cs="Arial"/>
            <w:bCs/>
            <w:sz w:val="16"/>
            <w:szCs w:val="16"/>
          </w:rPr>
          <w:t>Required Pavement Testing Guidelines</w:t>
        </w:r>
      </w:hyperlink>
    </w:p>
    <w:p w14:paraId="5E219D11" w14:textId="77777777" w:rsidR="0063424A" w:rsidRDefault="0063424A" w:rsidP="00BE3F24">
      <w:pPr>
        <w:pStyle w:val="Heading3"/>
        <w:ind w:left="0" w:firstLine="0"/>
        <w:jc w:val="both"/>
      </w:pPr>
      <w:r>
        <w:t>Purpose</w:t>
      </w:r>
    </w:p>
    <w:p w14:paraId="4A937E99" w14:textId="77777777" w:rsidR="0063424A" w:rsidRDefault="0063424A" w:rsidP="0063424A">
      <w:pPr>
        <w:jc w:val="both"/>
        <w:rPr>
          <w:rFonts w:ascii="Arial" w:hAnsi="Arial" w:cs="Arial"/>
          <w:sz w:val="22"/>
        </w:rPr>
      </w:pPr>
      <w:r>
        <w:rPr>
          <w:rFonts w:ascii="Arial" w:hAnsi="Arial" w:cs="Arial"/>
          <w:sz w:val="22"/>
        </w:rPr>
        <w:t xml:space="preserve">When PAGD first receives a project involving preservation or rehabilitation of existing pavement, the pavement engineer should identify the list of viable treatment options that could be appropriate fixes.  This involves utilizing the decision trees of the Pavement Preservation Guide, contained in this section.  </w:t>
      </w:r>
    </w:p>
    <w:p w14:paraId="176CA33A" w14:textId="77777777" w:rsidR="00146F2A" w:rsidRDefault="00146F2A" w:rsidP="00146F2A">
      <w:pPr>
        <w:pStyle w:val="Heading3"/>
        <w:ind w:left="0" w:firstLine="0"/>
        <w:jc w:val="both"/>
      </w:pPr>
      <w:r>
        <w:t>Resource Requirements</w:t>
      </w:r>
    </w:p>
    <w:p w14:paraId="3DBEB446" w14:textId="77777777" w:rsidR="00146F2A" w:rsidRDefault="00146F2A" w:rsidP="00146F2A">
      <w:pPr>
        <w:pStyle w:val="BodyText"/>
        <w:jc w:val="both"/>
      </w:pPr>
      <w:r>
        <w:t>The Initial Treatment Identification procedure documented below requires approximately one man-hour of effort by the project engineer.  This effort does not include the time needed to collect the information to be used in this procedure, as that effort is accounted for elsewhere.</w:t>
      </w:r>
    </w:p>
    <w:p w14:paraId="5816B0DA" w14:textId="77777777" w:rsidR="00146F2A" w:rsidRDefault="00146F2A" w:rsidP="0063424A">
      <w:pPr>
        <w:pStyle w:val="Heading3"/>
        <w:ind w:left="0" w:firstLine="0"/>
        <w:jc w:val="both"/>
      </w:pPr>
      <w:r>
        <w:t>Procedure</w:t>
      </w:r>
    </w:p>
    <w:p w14:paraId="03C239E3" w14:textId="77777777" w:rsidR="00FB7127" w:rsidRPr="00FB7127" w:rsidRDefault="00FB7127" w:rsidP="00FB7127"/>
    <w:p w14:paraId="792F083F" w14:textId="77777777" w:rsidR="00146F2A" w:rsidRDefault="00146F2A" w:rsidP="00146F2A">
      <w:pPr>
        <w:pStyle w:val="Heading4"/>
      </w:pPr>
      <w:r>
        <w:t>Conduct Site Visit</w:t>
      </w:r>
    </w:p>
    <w:p w14:paraId="1C5C3FEA" w14:textId="77777777" w:rsidR="00146F2A" w:rsidRDefault="00146F2A" w:rsidP="00146F2A">
      <w:pPr>
        <w:jc w:val="both"/>
        <w:rPr>
          <w:rFonts w:ascii="Arial" w:hAnsi="Arial" w:cs="Arial"/>
          <w:sz w:val="22"/>
        </w:rPr>
      </w:pPr>
      <w:r>
        <w:rPr>
          <w:rFonts w:ascii="Arial" w:hAnsi="Arial" w:cs="Arial"/>
          <w:sz w:val="22"/>
        </w:rPr>
        <w:t xml:space="preserve">Perform a site visit and document findings as per the section on </w:t>
      </w:r>
      <w:hyperlink w:anchor="_Visual_Pavement_Condition" w:history="1">
        <w:r w:rsidR="00536820">
          <w:rPr>
            <w:rStyle w:val="Hyperlink"/>
            <w:rFonts w:ascii="Arial" w:hAnsi="Arial" w:cs="Arial"/>
            <w:sz w:val="22"/>
          </w:rPr>
          <w:t>Visual Pavement Condition Assessment</w:t>
        </w:r>
      </w:hyperlink>
      <w:r>
        <w:rPr>
          <w:rFonts w:ascii="Arial" w:hAnsi="Arial" w:cs="Arial"/>
          <w:sz w:val="22"/>
        </w:rPr>
        <w:t xml:space="preserve">.  </w:t>
      </w:r>
    </w:p>
    <w:p w14:paraId="04CC3177" w14:textId="77777777" w:rsidR="00D318BB" w:rsidRPr="0011449A" w:rsidRDefault="00D318BB" w:rsidP="00F34EFC">
      <w:pPr>
        <w:jc w:val="both"/>
        <w:rPr>
          <w:sz w:val="22"/>
        </w:rPr>
      </w:pPr>
    </w:p>
    <w:p w14:paraId="76DD5F8A" w14:textId="75A95CCF" w:rsidR="00080910" w:rsidRPr="00FF1FF2" w:rsidRDefault="00080910" w:rsidP="00146F2A">
      <w:pPr>
        <w:pStyle w:val="Heading4"/>
      </w:pPr>
      <w:r w:rsidRPr="00FF1FF2">
        <w:t>Determin</w:t>
      </w:r>
      <w:r w:rsidR="00146F2A">
        <w:t>e</w:t>
      </w:r>
      <w:r w:rsidRPr="00FF1FF2">
        <w:t xml:space="preserve"> Pavement Type</w:t>
      </w:r>
      <w:r w:rsidR="00146F2A">
        <w:t xml:space="preserve"> and Condition</w:t>
      </w:r>
    </w:p>
    <w:p w14:paraId="25A716D0" w14:textId="7949FF8F" w:rsidR="00080910" w:rsidRDefault="00080910" w:rsidP="00BE3F24">
      <w:pPr>
        <w:jc w:val="both"/>
        <w:rPr>
          <w:rFonts w:ascii="Arial" w:hAnsi="Arial" w:cs="Arial"/>
          <w:sz w:val="22"/>
        </w:rPr>
      </w:pPr>
      <w:r>
        <w:rPr>
          <w:rFonts w:ascii="Arial" w:hAnsi="Arial" w:cs="Arial"/>
          <w:sz w:val="22"/>
        </w:rPr>
        <w:t xml:space="preserve">There are different types of pavement within the </w:t>
      </w:r>
      <w:r w:rsidR="008C7023">
        <w:rPr>
          <w:rFonts w:ascii="Arial" w:hAnsi="Arial" w:cs="Arial"/>
          <w:sz w:val="22"/>
        </w:rPr>
        <w:t>MDOT-SHA</w:t>
      </w:r>
      <w:r>
        <w:rPr>
          <w:rFonts w:ascii="Arial" w:hAnsi="Arial" w:cs="Arial"/>
          <w:sz w:val="22"/>
        </w:rPr>
        <w:t xml:space="preserve"> roadway network.  Pavement deterioration, and therefore treatment options for those pavements</w:t>
      </w:r>
      <w:r w:rsidR="00D318BB">
        <w:rPr>
          <w:rFonts w:ascii="Arial" w:hAnsi="Arial" w:cs="Arial"/>
          <w:sz w:val="22"/>
        </w:rPr>
        <w:t>,</w:t>
      </w:r>
      <w:r>
        <w:rPr>
          <w:rFonts w:ascii="Arial" w:hAnsi="Arial" w:cs="Arial"/>
          <w:sz w:val="22"/>
        </w:rPr>
        <w:t xml:space="preserve"> are directly influenced by the composition of the pavement.  Refer to</w:t>
      </w:r>
      <w:r w:rsidR="003B27BA">
        <w:rPr>
          <w:rFonts w:ascii="Arial" w:hAnsi="Arial" w:cs="Arial"/>
          <w:sz w:val="22"/>
        </w:rPr>
        <w:t xml:space="preserve"> </w:t>
      </w:r>
      <w:hyperlink w:anchor="_Pavement_Types" w:history="1">
        <w:r w:rsidR="003B27BA" w:rsidRPr="003B27BA">
          <w:rPr>
            <w:rStyle w:val="Hyperlink"/>
            <w:rFonts w:ascii="Arial" w:hAnsi="Arial" w:cs="Arial"/>
            <w:sz w:val="22"/>
          </w:rPr>
          <w:t>Pavement Types</w:t>
        </w:r>
      </w:hyperlink>
      <w:r>
        <w:rPr>
          <w:rFonts w:ascii="Arial" w:hAnsi="Arial" w:cs="Arial"/>
          <w:sz w:val="22"/>
        </w:rPr>
        <w:t xml:space="preserve"> </w:t>
      </w:r>
      <w:r w:rsidR="00146F2A">
        <w:rPr>
          <w:rFonts w:ascii="Arial" w:hAnsi="Arial" w:cs="Arial"/>
          <w:sz w:val="22"/>
        </w:rPr>
        <w:t>f</w:t>
      </w:r>
      <w:r>
        <w:rPr>
          <w:rFonts w:ascii="Arial" w:hAnsi="Arial" w:cs="Arial"/>
          <w:sz w:val="22"/>
        </w:rPr>
        <w:t>or descriptions.</w:t>
      </w:r>
    </w:p>
    <w:p w14:paraId="73322E1B" w14:textId="77777777" w:rsidR="00D318BB" w:rsidRPr="0011449A" w:rsidRDefault="00D318BB" w:rsidP="00BE3F24">
      <w:pPr>
        <w:jc w:val="both"/>
        <w:rPr>
          <w:rFonts w:ascii="Arial" w:hAnsi="Arial"/>
          <w:sz w:val="22"/>
        </w:rPr>
      </w:pPr>
    </w:p>
    <w:p w14:paraId="555539F9" w14:textId="11DA0CE0" w:rsidR="00080910" w:rsidRPr="00920280" w:rsidRDefault="00080910" w:rsidP="0011449A">
      <w:pPr>
        <w:pStyle w:val="Heading5"/>
        <w:ind w:left="1080" w:hanging="1080"/>
      </w:pPr>
      <w:r w:rsidRPr="00AB488B">
        <w:t xml:space="preserve">Flexible and Composite </w:t>
      </w:r>
      <w:r>
        <w:t>(Asphalt-Surfaced</w:t>
      </w:r>
      <w:r w:rsidRPr="00AB488B">
        <w:t>) Pavements</w:t>
      </w:r>
    </w:p>
    <w:p w14:paraId="419DE464" w14:textId="77777777" w:rsidR="00080910" w:rsidRPr="00301B57" w:rsidRDefault="00080910" w:rsidP="00146F2A">
      <w:pPr>
        <w:jc w:val="both"/>
        <w:rPr>
          <w:rFonts w:ascii="Arial" w:hAnsi="Arial" w:cs="Arial"/>
          <w:sz w:val="22"/>
        </w:rPr>
      </w:pPr>
      <w:r w:rsidRPr="00920280">
        <w:rPr>
          <w:rFonts w:ascii="Arial" w:hAnsi="Arial" w:cs="Arial"/>
          <w:sz w:val="22"/>
        </w:rPr>
        <w:t>Users will need access to the following network-level information</w:t>
      </w:r>
      <w:r>
        <w:rPr>
          <w:rFonts w:ascii="Arial" w:hAnsi="Arial" w:cs="Arial"/>
          <w:sz w:val="22"/>
        </w:rPr>
        <w:t xml:space="preserve"> for Asphalt-Surfaced Pavements.  This information will be used to determine a pool of appropriate treatments for a given project:</w:t>
      </w:r>
    </w:p>
    <w:p w14:paraId="614FAF7C" w14:textId="30A18E9B" w:rsidR="00080910" w:rsidRPr="00920280" w:rsidRDefault="00080910" w:rsidP="0011449A">
      <w:pPr>
        <w:pStyle w:val="Caption"/>
        <w:spacing w:after="0"/>
        <w:jc w:val="center"/>
        <w:rPr>
          <w:rFonts w:ascii="Arial" w:hAnsi="Arial" w:cs="Arial"/>
          <w:sz w:val="22"/>
        </w:rPr>
      </w:pPr>
      <w:r w:rsidRPr="00C72FC3">
        <w:rPr>
          <w:rFonts w:ascii="Arial" w:hAnsi="Arial" w:cs="Arial"/>
          <w:sz w:val="22"/>
        </w:rPr>
        <w:t xml:space="preserve">Table </w:t>
      </w:r>
      <w:r w:rsidR="000D2B44" w:rsidRPr="00C72FC3">
        <w:rPr>
          <w:rFonts w:ascii="Arial" w:hAnsi="Arial" w:cs="Arial"/>
          <w:sz w:val="22"/>
        </w:rPr>
        <w:fldChar w:fldCharType="begin"/>
      </w:r>
      <w:r w:rsidRPr="00C72FC3">
        <w:rPr>
          <w:rFonts w:ascii="Arial" w:hAnsi="Arial" w:cs="Arial"/>
          <w:sz w:val="22"/>
        </w:rPr>
        <w:instrText xml:space="preserve"> SEQ Table \* ALPHABETIC </w:instrText>
      </w:r>
      <w:r w:rsidR="000D2B44" w:rsidRPr="00C72FC3">
        <w:rPr>
          <w:rFonts w:ascii="Arial" w:hAnsi="Arial" w:cs="Arial"/>
          <w:sz w:val="22"/>
        </w:rPr>
        <w:fldChar w:fldCharType="separate"/>
      </w:r>
      <w:r w:rsidR="00624A9D">
        <w:rPr>
          <w:rFonts w:ascii="Arial" w:hAnsi="Arial" w:cs="Arial"/>
          <w:noProof/>
          <w:sz w:val="22"/>
        </w:rPr>
        <w:t>A</w:t>
      </w:r>
      <w:r w:rsidR="000D2B44" w:rsidRPr="00C72FC3">
        <w:rPr>
          <w:rFonts w:ascii="Arial" w:hAnsi="Arial" w:cs="Arial"/>
          <w:sz w:val="22"/>
        </w:rPr>
        <w:fldChar w:fldCharType="end"/>
      </w:r>
      <w:r w:rsidR="00D318BB">
        <w:rPr>
          <w:rFonts w:ascii="Arial" w:hAnsi="Arial" w:cs="Arial"/>
          <w:sz w:val="22"/>
        </w:rPr>
        <w:t xml:space="preserve">:  </w:t>
      </w:r>
      <w:r w:rsidRPr="00920280">
        <w:rPr>
          <w:rFonts w:ascii="Arial" w:hAnsi="Arial" w:cs="Arial"/>
          <w:sz w:val="22"/>
        </w:rPr>
        <w:t>Initial Roadway Data</w:t>
      </w:r>
      <w:r>
        <w:rPr>
          <w:rFonts w:ascii="Arial" w:hAnsi="Arial" w:cs="Arial"/>
          <w:sz w:val="22"/>
        </w:rPr>
        <w:t xml:space="preserve"> for Asphalt-Surfaced Pavements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9"/>
        <w:gridCol w:w="4311"/>
      </w:tblGrid>
      <w:tr w:rsidR="00080910" w:rsidRPr="00301B57" w14:paraId="294864D7" w14:textId="77777777" w:rsidTr="004C13CB">
        <w:trPr>
          <w:trHeight w:val="402"/>
          <w:jc w:val="center"/>
        </w:trPr>
        <w:tc>
          <w:tcPr>
            <w:tcW w:w="4428" w:type="dxa"/>
            <w:shd w:val="pct15" w:color="auto" w:fill="auto"/>
            <w:vAlign w:val="center"/>
          </w:tcPr>
          <w:p w14:paraId="490C1C1C" w14:textId="77777777" w:rsidR="00080910" w:rsidRPr="00920280" w:rsidRDefault="00080910" w:rsidP="00BE3F24">
            <w:pPr>
              <w:jc w:val="center"/>
              <w:rPr>
                <w:rFonts w:ascii="Arial" w:hAnsi="Arial" w:cs="Arial"/>
                <w:b/>
                <w:sz w:val="22"/>
              </w:rPr>
            </w:pPr>
            <w:r w:rsidRPr="00920280">
              <w:rPr>
                <w:rFonts w:ascii="Arial" w:hAnsi="Arial" w:cs="Arial"/>
                <w:b/>
                <w:sz w:val="22"/>
              </w:rPr>
              <w:t>Information</w:t>
            </w:r>
          </w:p>
        </w:tc>
        <w:tc>
          <w:tcPr>
            <w:tcW w:w="4428" w:type="dxa"/>
            <w:shd w:val="pct15" w:color="auto" w:fill="auto"/>
            <w:vAlign w:val="center"/>
          </w:tcPr>
          <w:p w14:paraId="709F45DF" w14:textId="77777777" w:rsidR="00080910" w:rsidRPr="00920280" w:rsidRDefault="00080910" w:rsidP="00BE3F24">
            <w:pPr>
              <w:jc w:val="center"/>
              <w:rPr>
                <w:rFonts w:ascii="Arial" w:hAnsi="Arial" w:cs="Arial"/>
                <w:b/>
                <w:sz w:val="22"/>
              </w:rPr>
            </w:pPr>
            <w:r w:rsidRPr="00920280">
              <w:rPr>
                <w:rFonts w:ascii="Arial" w:hAnsi="Arial" w:cs="Arial"/>
                <w:b/>
                <w:sz w:val="22"/>
              </w:rPr>
              <w:t>Source</w:t>
            </w:r>
          </w:p>
        </w:tc>
      </w:tr>
      <w:tr w:rsidR="00080910" w:rsidRPr="00301B57" w14:paraId="243C4B4E" w14:textId="77777777" w:rsidTr="004C13CB">
        <w:trPr>
          <w:trHeight w:hRule="exact" w:val="432"/>
          <w:jc w:val="center"/>
        </w:trPr>
        <w:tc>
          <w:tcPr>
            <w:tcW w:w="4428" w:type="dxa"/>
            <w:vAlign w:val="center"/>
          </w:tcPr>
          <w:p w14:paraId="59514413" w14:textId="77777777" w:rsidR="00080910" w:rsidRPr="00920280" w:rsidRDefault="00080910" w:rsidP="00BE3F24">
            <w:pPr>
              <w:jc w:val="center"/>
              <w:rPr>
                <w:rFonts w:ascii="Arial" w:hAnsi="Arial" w:cs="Arial"/>
                <w:sz w:val="22"/>
              </w:rPr>
            </w:pPr>
            <w:r w:rsidRPr="00920280">
              <w:rPr>
                <w:rFonts w:ascii="Arial" w:hAnsi="Arial" w:cs="Arial"/>
                <w:sz w:val="22"/>
              </w:rPr>
              <w:t>Pavement Type</w:t>
            </w:r>
          </w:p>
        </w:tc>
        <w:tc>
          <w:tcPr>
            <w:tcW w:w="4428" w:type="dxa"/>
            <w:vAlign w:val="center"/>
          </w:tcPr>
          <w:p w14:paraId="1DAD810B" w14:textId="77777777" w:rsidR="00080910" w:rsidRPr="00920280" w:rsidRDefault="00080910" w:rsidP="00BE3F24">
            <w:pPr>
              <w:jc w:val="center"/>
              <w:rPr>
                <w:rFonts w:ascii="Arial" w:hAnsi="Arial" w:cs="Arial"/>
                <w:sz w:val="22"/>
              </w:rPr>
            </w:pPr>
            <w:r w:rsidRPr="00920280">
              <w:rPr>
                <w:rFonts w:ascii="Arial" w:hAnsi="Arial" w:cs="Arial"/>
                <w:sz w:val="22"/>
              </w:rPr>
              <w:t>PM Base system</w:t>
            </w:r>
            <w:r w:rsidRPr="00920280">
              <w:rPr>
                <w:rFonts w:ascii="Arial" w:hAnsi="Arial" w:cs="Arial"/>
                <w:sz w:val="22"/>
                <w:vertAlign w:val="superscript"/>
              </w:rPr>
              <w:t>1</w:t>
            </w:r>
          </w:p>
        </w:tc>
      </w:tr>
      <w:tr w:rsidR="00080910" w:rsidRPr="00301B57" w14:paraId="3C82EC55" w14:textId="77777777" w:rsidTr="004C13CB">
        <w:trPr>
          <w:trHeight w:hRule="exact" w:val="432"/>
          <w:jc w:val="center"/>
        </w:trPr>
        <w:tc>
          <w:tcPr>
            <w:tcW w:w="4428" w:type="dxa"/>
            <w:vAlign w:val="center"/>
          </w:tcPr>
          <w:p w14:paraId="3821ADAD" w14:textId="77777777" w:rsidR="00080910" w:rsidRPr="00944E88" w:rsidRDefault="00080910" w:rsidP="00BE3F24">
            <w:pPr>
              <w:jc w:val="center"/>
              <w:rPr>
                <w:rFonts w:ascii="Arial" w:hAnsi="Arial" w:cs="Arial"/>
                <w:sz w:val="22"/>
              </w:rPr>
            </w:pPr>
            <w:r w:rsidRPr="00920280">
              <w:rPr>
                <w:rFonts w:ascii="Arial" w:hAnsi="Arial" w:cs="Arial"/>
                <w:sz w:val="22"/>
              </w:rPr>
              <w:t>Average Daily Traffic (ADT)</w:t>
            </w:r>
          </w:p>
        </w:tc>
        <w:tc>
          <w:tcPr>
            <w:tcW w:w="4428" w:type="dxa"/>
            <w:vAlign w:val="center"/>
          </w:tcPr>
          <w:p w14:paraId="7F10A47B" w14:textId="77777777" w:rsidR="00080910" w:rsidRPr="00944E88" w:rsidRDefault="00080910" w:rsidP="00BE3F24">
            <w:pPr>
              <w:jc w:val="center"/>
              <w:rPr>
                <w:rFonts w:ascii="Arial" w:hAnsi="Arial" w:cs="Arial"/>
                <w:sz w:val="22"/>
              </w:rPr>
            </w:pPr>
            <w:r w:rsidRPr="00920280">
              <w:rPr>
                <w:rFonts w:ascii="Arial" w:hAnsi="Arial" w:cs="Arial"/>
                <w:sz w:val="22"/>
              </w:rPr>
              <w:t>Highway Location Reference (HLR)</w:t>
            </w:r>
            <w:r w:rsidRPr="00920280">
              <w:rPr>
                <w:rFonts w:ascii="Arial" w:hAnsi="Arial" w:cs="Arial"/>
                <w:sz w:val="22"/>
                <w:vertAlign w:val="superscript"/>
              </w:rPr>
              <w:t>2</w:t>
            </w:r>
          </w:p>
        </w:tc>
      </w:tr>
      <w:tr w:rsidR="00080910" w:rsidRPr="00301B57" w14:paraId="5FE928C8" w14:textId="77777777" w:rsidTr="004C13CB">
        <w:trPr>
          <w:trHeight w:hRule="exact" w:val="432"/>
          <w:jc w:val="center"/>
        </w:trPr>
        <w:tc>
          <w:tcPr>
            <w:tcW w:w="4428" w:type="dxa"/>
            <w:vAlign w:val="center"/>
          </w:tcPr>
          <w:p w14:paraId="05B15738" w14:textId="77777777" w:rsidR="00080910" w:rsidRPr="00944E88" w:rsidRDefault="00080910" w:rsidP="00BE3F24">
            <w:pPr>
              <w:jc w:val="center"/>
              <w:rPr>
                <w:rFonts w:ascii="Arial" w:hAnsi="Arial" w:cs="Arial"/>
                <w:sz w:val="22"/>
              </w:rPr>
            </w:pPr>
            <w:r w:rsidRPr="00920280">
              <w:rPr>
                <w:rFonts w:ascii="Arial" w:hAnsi="Arial" w:cs="Arial"/>
                <w:sz w:val="22"/>
              </w:rPr>
              <w:t>International Roughness Index (IRI)</w:t>
            </w:r>
          </w:p>
        </w:tc>
        <w:tc>
          <w:tcPr>
            <w:tcW w:w="4428" w:type="dxa"/>
            <w:vAlign w:val="center"/>
          </w:tcPr>
          <w:p w14:paraId="7F6BA6C1" w14:textId="77777777" w:rsidR="00080910" w:rsidRPr="00944E88" w:rsidRDefault="00080910" w:rsidP="00BE3F24">
            <w:pPr>
              <w:jc w:val="center"/>
              <w:rPr>
                <w:rFonts w:ascii="Arial" w:hAnsi="Arial" w:cs="Arial"/>
                <w:sz w:val="22"/>
              </w:rPr>
            </w:pPr>
            <w:r w:rsidRPr="00920280">
              <w:rPr>
                <w:rFonts w:ascii="Arial" w:hAnsi="Arial" w:cs="Arial"/>
                <w:sz w:val="22"/>
              </w:rPr>
              <w:t>PM Base system</w:t>
            </w:r>
            <w:r w:rsidRPr="00920280">
              <w:rPr>
                <w:rFonts w:ascii="Arial" w:hAnsi="Arial" w:cs="Arial"/>
                <w:sz w:val="22"/>
                <w:vertAlign w:val="superscript"/>
              </w:rPr>
              <w:t>1</w:t>
            </w:r>
          </w:p>
        </w:tc>
      </w:tr>
      <w:tr w:rsidR="00080910" w:rsidRPr="00301B57" w14:paraId="3292C1A0" w14:textId="77777777" w:rsidTr="004C13CB">
        <w:trPr>
          <w:trHeight w:hRule="exact" w:val="432"/>
          <w:jc w:val="center"/>
        </w:trPr>
        <w:tc>
          <w:tcPr>
            <w:tcW w:w="4428" w:type="dxa"/>
            <w:vAlign w:val="center"/>
          </w:tcPr>
          <w:p w14:paraId="0ECE6570" w14:textId="6AEDACE7" w:rsidR="00080910" w:rsidRPr="00944E88" w:rsidRDefault="00080910" w:rsidP="00BE3F24">
            <w:pPr>
              <w:jc w:val="center"/>
              <w:rPr>
                <w:rFonts w:ascii="Arial" w:hAnsi="Arial" w:cs="Arial"/>
                <w:sz w:val="22"/>
              </w:rPr>
            </w:pPr>
            <w:r>
              <w:rPr>
                <w:rFonts w:ascii="Arial" w:hAnsi="Arial" w:cs="Arial"/>
                <w:sz w:val="22"/>
              </w:rPr>
              <w:t xml:space="preserve">Functional </w:t>
            </w:r>
            <w:r w:rsidRPr="00920280">
              <w:rPr>
                <w:rFonts w:ascii="Arial" w:hAnsi="Arial" w:cs="Arial"/>
                <w:sz w:val="22"/>
              </w:rPr>
              <w:t xml:space="preserve">Cracking </w:t>
            </w:r>
            <w:r w:rsidR="00592423">
              <w:rPr>
                <w:rFonts w:ascii="Arial" w:hAnsi="Arial" w:cs="Arial"/>
                <w:sz w:val="22"/>
              </w:rPr>
              <w:t>Density</w:t>
            </w:r>
            <w:r w:rsidRPr="00920280">
              <w:rPr>
                <w:rFonts w:ascii="Arial" w:hAnsi="Arial" w:cs="Arial"/>
                <w:sz w:val="22"/>
              </w:rPr>
              <w:t xml:space="preserve"> (</w:t>
            </w:r>
            <w:r>
              <w:rPr>
                <w:rFonts w:ascii="Arial" w:hAnsi="Arial" w:cs="Arial"/>
                <w:sz w:val="22"/>
              </w:rPr>
              <w:t>F</w:t>
            </w:r>
            <w:r w:rsidRPr="00920280">
              <w:rPr>
                <w:rFonts w:ascii="Arial" w:hAnsi="Arial" w:cs="Arial"/>
                <w:sz w:val="22"/>
              </w:rPr>
              <w:t>C</w:t>
            </w:r>
            <w:r w:rsidR="00592423">
              <w:rPr>
                <w:rFonts w:ascii="Arial" w:hAnsi="Arial" w:cs="Arial"/>
                <w:sz w:val="22"/>
              </w:rPr>
              <w:t>D</w:t>
            </w:r>
            <w:r w:rsidRPr="00920280">
              <w:rPr>
                <w:rFonts w:ascii="Arial" w:hAnsi="Arial" w:cs="Arial"/>
                <w:sz w:val="22"/>
              </w:rPr>
              <w:t>)</w:t>
            </w:r>
          </w:p>
        </w:tc>
        <w:tc>
          <w:tcPr>
            <w:tcW w:w="4428" w:type="dxa"/>
            <w:vAlign w:val="center"/>
          </w:tcPr>
          <w:p w14:paraId="1F1638EE" w14:textId="77777777" w:rsidR="00080910" w:rsidRPr="00944E88" w:rsidRDefault="00080910" w:rsidP="00BE3F24">
            <w:pPr>
              <w:jc w:val="center"/>
              <w:rPr>
                <w:rFonts w:ascii="Arial" w:hAnsi="Arial" w:cs="Arial"/>
                <w:sz w:val="22"/>
              </w:rPr>
            </w:pPr>
            <w:r w:rsidRPr="00920280">
              <w:rPr>
                <w:rFonts w:ascii="Arial" w:hAnsi="Arial" w:cs="Arial"/>
                <w:sz w:val="22"/>
              </w:rPr>
              <w:t>PM Base system</w:t>
            </w:r>
            <w:r w:rsidRPr="00920280">
              <w:rPr>
                <w:rFonts w:ascii="Arial" w:hAnsi="Arial" w:cs="Arial"/>
                <w:sz w:val="22"/>
                <w:vertAlign w:val="superscript"/>
              </w:rPr>
              <w:t>1</w:t>
            </w:r>
          </w:p>
        </w:tc>
      </w:tr>
      <w:tr w:rsidR="00080910" w:rsidRPr="00301B57" w14:paraId="287F28EC" w14:textId="77777777" w:rsidTr="004C13CB">
        <w:trPr>
          <w:trHeight w:hRule="exact" w:val="432"/>
          <w:jc w:val="center"/>
        </w:trPr>
        <w:tc>
          <w:tcPr>
            <w:tcW w:w="4428" w:type="dxa"/>
            <w:vAlign w:val="center"/>
          </w:tcPr>
          <w:p w14:paraId="431AF5AF" w14:textId="6F2D0CFA" w:rsidR="00080910" w:rsidRPr="00920280" w:rsidRDefault="00080910" w:rsidP="00BE3F24">
            <w:pPr>
              <w:jc w:val="center"/>
              <w:rPr>
                <w:rFonts w:ascii="Arial" w:hAnsi="Arial" w:cs="Arial"/>
                <w:sz w:val="22"/>
              </w:rPr>
            </w:pPr>
            <w:r>
              <w:rPr>
                <w:rFonts w:ascii="Arial" w:hAnsi="Arial" w:cs="Arial"/>
                <w:sz w:val="22"/>
              </w:rPr>
              <w:t xml:space="preserve">Structural </w:t>
            </w:r>
            <w:r w:rsidRPr="00920280">
              <w:rPr>
                <w:rFonts w:ascii="Arial" w:hAnsi="Arial" w:cs="Arial"/>
                <w:sz w:val="22"/>
              </w:rPr>
              <w:t xml:space="preserve">Cracking </w:t>
            </w:r>
            <w:r w:rsidR="00592423">
              <w:rPr>
                <w:rFonts w:ascii="Arial" w:hAnsi="Arial" w:cs="Arial"/>
                <w:sz w:val="22"/>
              </w:rPr>
              <w:t>Density</w:t>
            </w:r>
            <w:r w:rsidRPr="00920280">
              <w:rPr>
                <w:rFonts w:ascii="Arial" w:hAnsi="Arial" w:cs="Arial"/>
                <w:sz w:val="22"/>
              </w:rPr>
              <w:t xml:space="preserve"> (</w:t>
            </w:r>
            <w:r>
              <w:rPr>
                <w:rFonts w:ascii="Arial" w:hAnsi="Arial" w:cs="Arial"/>
                <w:sz w:val="22"/>
              </w:rPr>
              <w:t>S</w:t>
            </w:r>
            <w:r w:rsidRPr="00920280">
              <w:rPr>
                <w:rFonts w:ascii="Arial" w:hAnsi="Arial" w:cs="Arial"/>
                <w:sz w:val="22"/>
              </w:rPr>
              <w:t>C</w:t>
            </w:r>
            <w:r w:rsidR="00592423">
              <w:rPr>
                <w:rFonts w:ascii="Arial" w:hAnsi="Arial" w:cs="Arial"/>
                <w:sz w:val="22"/>
              </w:rPr>
              <w:t>D</w:t>
            </w:r>
            <w:r w:rsidRPr="00920280">
              <w:rPr>
                <w:rFonts w:ascii="Arial" w:hAnsi="Arial" w:cs="Arial"/>
                <w:sz w:val="22"/>
              </w:rPr>
              <w:t>)</w:t>
            </w:r>
          </w:p>
        </w:tc>
        <w:tc>
          <w:tcPr>
            <w:tcW w:w="4428" w:type="dxa"/>
            <w:vAlign w:val="center"/>
          </w:tcPr>
          <w:p w14:paraId="7C501D40" w14:textId="77777777" w:rsidR="00080910" w:rsidRPr="00920280" w:rsidRDefault="00080910" w:rsidP="00BE3F24">
            <w:pPr>
              <w:jc w:val="center"/>
              <w:rPr>
                <w:rFonts w:ascii="Arial" w:hAnsi="Arial" w:cs="Arial"/>
                <w:sz w:val="22"/>
              </w:rPr>
            </w:pPr>
            <w:r w:rsidRPr="00920280">
              <w:rPr>
                <w:rFonts w:ascii="Arial" w:hAnsi="Arial" w:cs="Arial"/>
                <w:sz w:val="22"/>
              </w:rPr>
              <w:t>PM Base system</w:t>
            </w:r>
            <w:r w:rsidRPr="00920280">
              <w:rPr>
                <w:rFonts w:ascii="Arial" w:hAnsi="Arial" w:cs="Arial"/>
                <w:sz w:val="22"/>
                <w:vertAlign w:val="superscript"/>
              </w:rPr>
              <w:t>1</w:t>
            </w:r>
          </w:p>
        </w:tc>
      </w:tr>
      <w:tr w:rsidR="00080910" w:rsidRPr="00301B57" w14:paraId="164EE4C8" w14:textId="77777777" w:rsidTr="004C13CB">
        <w:trPr>
          <w:trHeight w:hRule="exact" w:val="432"/>
          <w:jc w:val="center"/>
        </w:trPr>
        <w:tc>
          <w:tcPr>
            <w:tcW w:w="4428" w:type="dxa"/>
            <w:vAlign w:val="center"/>
          </w:tcPr>
          <w:p w14:paraId="3151A533" w14:textId="77777777" w:rsidR="00080910" w:rsidRPr="00807BAE" w:rsidRDefault="00080910" w:rsidP="00BE3F24">
            <w:pPr>
              <w:jc w:val="center"/>
              <w:rPr>
                <w:rFonts w:ascii="Arial" w:hAnsi="Arial" w:cs="Arial"/>
                <w:sz w:val="22"/>
              </w:rPr>
            </w:pPr>
            <w:r>
              <w:rPr>
                <w:rFonts w:ascii="Arial" w:hAnsi="Arial" w:cs="Arial"/>
                <w:sz w:val="22"/>
              </w:rPr>
              <w:t>Skid</w:t>
            </w:r>
          </w:p>
        </w:tc>
        <w:tc>
          <w:tcPr>
            <w:tcW w:w="4428" w:type="dxa"/>
            <w:vAlign w:val="center"/>
          </w:tcPr>
          <w:p w14:paraId="243B6999" w14:textId="77777777" w:rsidR="00080910" w:rsidRPr="00944E88" w:rsidRDefault="00080910" w:rsidP="00BE3F24">
            <w:pPr>
              <w:jc w:val="center"/>
              <w:rPr>
                <w:rFonts w:ascii="Arial" w:hAnsi="Arial" w:cs="Arial"/>
                <w:sz w:val="22"/>
              </w:rPr>
            </w:pPr>
            <w:r w:rsidRPr="00920280">
              <w:rPr>
                <w:rFonts w:ascii="Arial" w:hAnsi="Arial" w:cs="Arial"/>
                <w:sz w:val="22"/>
              </w:rPr>
              <w:t>PM Base system</w:t>
            </w:r>
            <w:r w:rsidRPr="00920280">
              <w:rPr>
                <w:rFonts w:ascii="Arial" w:hAnsi="Arial" w:cs="Arial"/>
                <w:sz w:val="22"/>
                <w:vertAlign w:val="superscript"/>
              </w:rPr>
              <w:t>1</w:t>
            </w:r>
          </w:p>
        </w:tc>
      </w:tr>
      <w:tr w:rsidR="00080910" w:rsidRPr="00301B57" w14:paraId="0B08451B" w14:textId="77777777" w:rsidTr="004C13CB">
        <w:trPr>
          <w:trHeight w:hRule="exact" w:val="432"/>
          <w:jc w:val="center"/>
        </w:trPr>
        <w:tc>
          <w:tcPr>
            <w:tcW w:w="4428" w:type="dxa"/>
            <w:vAlign w:val="center"/>
          </w:tcPr>
          <w:p w14:paraId="6BAB8A18" w14:textId="77777777" w:rsidR="00080910" w:rsidRPr="002B65CD" w:rsidRDefault="00080910" w:rsidP="00BE3F24">
            <w:pPr>
              <w:jc w:val="center"/>
              <w:rPr>
                <w:rFonts w:ascii="Arial" w:hAnsi="Arial" w:cs="Arial"/>
                <w:sz w:val="22"/>
              </w:rPr>
            </w:pPr>
            <w:r>
              <w:rPr>
                <w:rFonts w:ascii="Arial" w:hAnsi="Arial" w:cs="Arial"/>
                <w:sz w:val="22"/>
              </w:rPr>
              <w:t>Average Rutting</w:t>
            </w:r>
            <w:r w:rsidRPr="002B65CD">
              <w:rPr>
                <w:rFonts w:ascii="Arial" w:hAnsi="Arial" w:cs="Arial"/>
                <w:sz w:val="22"/>
              </w:rPr>
              <w:t xml:space="preserve"> </w:t>
            </w:r>
            <w:r>
              <w:rPr>
                <w:rFonts w:ascii="Arial" w:hAnsi="Arial" w:cs="Arial"/>
                <w:sz w:val="22"/>
              </w:rPr>
              <w:t>(in.)</w:t>
            </w:r>
          </w:p>
        </w:tc>
        <w:tc>
          <w:tcPr>
            <w:tcW w:w="4428" w:type="dxa"/>
            <w:vAlign w:val="center"/>
          </w:tcPr>
          <w:p w14:paraId="2EDDB8D3" w14:textId="77777777" w:rsidR="00080910" w:rsidRPr="002B65CD" w:rsidRDefault="00080910" w:rsidP="00BE3F24">
            <w:pPr>
              <w:jc w:val="center"/>
              <w:rPr>
                <w:rFonts w:ascii="Arial" w:hAnsi="Arial" w:cs="Arial"/>
                <w:sz w:val="22"/>
              </w:rPr>
            </w:pPr>
            <w:r w:rsidRPr="002B65CD">
              <w:rPr>
                <w:rFonts w:ascii="Arial" w:hAnsi="Arial" w:cs="Arial"/>
                <w:sz w:val="22"/>
              </w:rPr>
              <w:t>PM Base system</w:t>
            </w:r>
            <w:r w:rsidRPr="002B65CD">
              <w:rPr>
                <w:rFonts w:ascii="Arial" w:hAnsi="Arial" w:cs="Arial"/>
                <w:sz w:val="22"/>
                <w:vertAlign w:val="superscript"/>
              </w:rPr>
              <w:t>1</w:t>
            </w:r>
          </w:p>
        </w:tc>
      </w:tr>
    </w:tbl>
    <w:p w14:paraId="574FD71A" w14:textId="4C178EDC" w:rsidR="001A15B9" w:rsidRPr="00D318BB" w:rsidRDefault="00146F2A" w:rsidP="004A4196">
      <w:pPr>
        <w:pStyle w:val="ListParagraph"/>
        <w:numPr>
          <w:ilvl w:val="0"/>
          <w:numId w:val="28"/>
        </w:numPr>
        <w:tabs>
          <w:tab w:val="left" w:pos="1080"/>
        </w:tabs>
        <w:ind w:left="630" w:firstLine="0"/>
        <w:rPr>
          <w:rFonts w:ascii="Arial" w:hAnsi="Arial" w:cs="Arial"/>
          <w:sz w:val="18"/>
          <w:szCs w:val="18"/>
        </w:rPr>
      </w:pPr>
      <w:hyperlink r:id="rId53" w:history="1">
        <w:r w:rsidRPr="004A4196">
          <w:rPr>
            <w:rStyle w:val="Hyperlink"/>
            <w:rFonts w:ascii="Arial" w:hAnsi="Arial"/>
            <w:sz w:val="18"/>
          </w:rPr>
          <w:t>PMBase</w:t>
        </w:r>
      </w:hyperlink>
      <w:r w:rsidRPr="004A4196">
        <w:rPr>
          <w:rFonts w:ascii="Arial" w:hAnsi="Arial"/>
          <w:sz w:val="18"/>
        </w:rPr>
        <w:t xml:space="preserve"> </w:t>
      </w:r>
      <w:r w:rsidR="0011449A">
        <w:rPr>
          <w:rFonts w:ascii="Arial" w:hAnsi="Arial"/>
          <w:sz w:val="18"/>
        </w:rPr>
        <w:t xml:space="preserve"> </w:t>
      </w:r>
    </w:p>
    <w:p w14:paraId="2CFBE66D" w14:textId="5849ACEF" w:rsidR="001A15B9" w:rsidRPr="00D318BB" w:rsidRDefault="00146F2A" w:rsidP="004A4196">
      <w:pPr>
        <w:pStyle w:val="ListParagraph"/>
        <w:numPr>
          <w:ilvl w:val="0"/>
          <w:numId w:val="28"/>
        </w:numPr>
        <w:tabs>
          <w:tab w:val="left" w:pos="1080"/>
        </w:tabs>
        <w:ind w:left="630" w:firstLine="0"/>
        <w:rPr>
          <w:rFonts w:ascii="Arial" w:hAnsi="Arial" w:cs="Arial"/>
          <w:sz w:val="18"/>
          <w:szCs w:val="18"/>
          <w:u w:val="single"/>
        </w:rPr>
      </w:pPr>
      <w:hyperlink r:id="rId54" w:history="1">
        <w:r w:rsidRPr="00D318BB">
          <w:rPr>
            <w:rStyle w:val="Hyperlink"/>
            <w:rFonts w:ascii="Arial" w:hAnsi="Arial" w:cs="Arial"/>
            <w:sz w:val="18"/>
            <w:szCs w:val="18"/>
          </w:rPr>
          <w:t>Highway Location Reference</w:t>
        </w:r>
      </w:hyperlink>
      <w:r w:rsidRPr="00D318BB">
        <w:rPr>
          <w:rFonts w:ascii="Arial" w:hAnsi="Arial" w:cs="Arial"/>
          <w:sz w:val="18"/>
          <w:szCs w:val="18"/>
        </w:rPr>
        <w:t xml:space="preserve"> </w:t>
      </w:r>
    </w:p>
    <w:p w14:paraId="56C39F3D" w14:textId="174366CD" w:rsidR="00080910" w:rsidRPr="00BD1379" w:rsidRDefault="00080910" w:rsidP="0011449A">
      <w:pPr>
        <w:pStyle w:val="Heading6"/>
        <w:tabs>
          <w:tab w:val="left" w:pos="1800"/>
        </w:tabs>
        <w:ind w:left="1080" w:hanging="1080"/>
        <w:rPr>
          <w:b/>
        </w:rPr>
      </w:pPr>
      <w:r w:rsidRPr="00BD1379">
        <w:rPr>
          <w:b/>
        </w:rPr>
        <w:lastRenderedPageBreak/>
        <w:t>Obtain IRI, C</w:t>
      </w:r>
      <w:r w:rsidR="00592423">
        <w:rPr>
          <w:b/>
        </w:rPr>
        <w:t>D</w:t>
      </w:r>
      <w:r w:rsidRPr="00BD1379">
        <w:rPr>
          <w:b/>
        </w:rPr>
        <w:t>, Skid and Rutting (in.) Data</w:t>
      </w:r>
    </w:p>
    <w:p w14:paraId="29C0D77B" w14:textId="77777777" w:rsidR="00080910" w:rsidRPr="006332E8" w:rsidRDefault="00080910" w:rsidP="00BE3F24">
      <w:pPr>
        <w:rPr>
          <w:rFonts w:ascii="Arial" w:hAnsi="Arial" w:cs="Arial"/>
          <w:b/>
          <w:sz w:val="16"/>
        </w:rPr>
      </w:pPr>
    </w:p>
    <w:p w14:paraId="661747DF" w14:textId="37F45B8E" w:rsidR="00080910" w:rsidRDefault="00080910" w:rsidP="00BE3F24">
      <w:pPr>
        <w:jc w:val="both"/>
        <w:rPr>
          <w:rFonts w:ascii="Arial" w:hAnsi="Arial" w:cs="Arial"/>
          <w:sz w:val="22"/>
        </w:rPr>
      </w:pPr>
      <w:r>
        <w:rPr>
          <w:rFonts w:ascii="Arial" w:hAnsi="Arial" w:cs="Arial"/>
          <w:sz w:val="22"/>
        </w:rPr>
        <w:t>Obtain the most recent year IRI, C</w:t>
      </w:r>
      <w:r w:rsidR="00592423">
        <w:rPr>
          <w:rFonts w:ascii="Arial" w:hAnsi="Arial" w:cs="Arial"/>
          <w:sz w:val="22"/>
        </w:rPr>
        <w:t>D</w:t>
      </w:r>
      <w:r>
        <w:rPr>
          <w:rFonts w:ascii="Arial" w:hAnsi="Arial" w:cs="Arial"/>
          <w:sz w:val="22"/>
        </w:rPr>
        <w:t>, Skid and Rutting data available from the PM Base system</w:t>
      </w:r>
      <w:r w:rsidR="00BD1379">
        <w:rPr>
          <w:rFonts w:ascii="Arial" w:hAnsi="Arial" w:cs="Arial"/>
          <w:sz w:val="22"/>
        </w:rPr>
        <w:t>, and verify each value with the data collected during the Visual Assessment</w:t>
      </w:r>
      <w:r>
        <w:rPr>
          <w:rFonts w:ascii="Arial" w:hAnsi="Arial" w:cs="Arial"/>
          <w:sz w:val="22"/>
        </w:rPr>
        <w:t xml:space="preserve">.  Also, it is a good idea to review multiple years’ worth of data to determine the trend of the roadway’s performance and to ensure the most recent years’ data is reasonable. </w:t>
      </w:r>
      <w:r w:rsidR="00AC736F">
        <w:rPr>
          <w:rFonts w:ascii="Arial" w:hAnsi="Arial" w:cs="Arial"/>
          <w:sz w:val="22"/>
        </w:rPr>
        <w:t xml:space="preserve"> </w:t>
      </w:r>
      <w:r>
        <w:rPr>
          <w:rFonts w:ascii="Arial" w:hAnsi="Arial" w:cs="Arial"/>
          <w:sz w:val="22"/>
        </w:rPr>
        <w:t xml:space="preserve">After obtaining the Pavement Type, ADT, and IRI, use </w:t>
      </w:r>
      <w:r w:rsidRPr="00920280">
        <w:rPr>
          <w:rFonts w:ascii="Arial" w:hAnsi="Arial" w:cs="Arial"/>
          <w:sz w:val="22"/>
        </w:rPr>
        <w:t>Figure 1 to find the appropriate Treatment Table</w:t>
      </w:r>
      <w:r>
        <w:rPr>
          <w:rFonts w:ascii="Arial" w:hAnsi="Arial" w:cs="Arial"/>
          <w:sz w:val="22"/>
        </w:rPr>
        <w:t xml:space="preserve">. </w:t>
      </w:r>
    </w:p>
    <w:p w14:paraId="262D2D13" w14:textId="77777777" w:rsidR="00080910" w:rsidRPr="006332E8" w:rsidRDefault="00080910" w:rsidP="00BE3F24">
      <w:pPr>
        <w:jc w:val="both"/>
        <w:rPr>
          <w:rFonts w:ascii="Arial" w:hAnsi="Arial" w:cs="Arial"/>
          <w:sz w:val="16"/>
        </w:rPr>
      </w:pPr>
    </w:p>
    <w:p w14:paraId="2E26FD6E" w14:textId="12175834" w:rsidR="00080910" w:rsidRDefault="00080910" w:rsidP="00BD1379">
      <w:pPr>
        <w:jc w:val="both"/>
        <w:rPr>
          <w:rFonts w:ascii="Arial" w:hAnsi="Arial" w:cs="Arial"/>
          <w:sz w:val="22"/>
        </w:rPr>
      </w:pPr>
      <w:r>
        <w:rPr>
          <w:rFonts w:ascii="Arial" w:hAnsi="Arial" w:cs="Arial"/>
          <w:sz w:val="22"/>
        </w:rPr>
        <w:t xml:space="preserve">If the pavement condition information is not available from the Pavement Management System (PMS), a field visit will be necessary to visually identify the presence of cracking/distress. Distress should be categorized into </w:t>
      </w:r>
      <w:r w:rsidR="00AC736F">
        <w:rPr>
          <w:rFonts w:ascii="Arial" w:hAnsi="Arial" w:cs="Arial"/>
          <w:sz w:val="22"/>
        </w:rPr>
        <w:t xml:space="preserve">Structural </w:t>
      </w:r>
      <w:r>
        <w:rPr>
          <w:rFonts w:ascii="Arial" w:hAnsi="Arial" w:cs="Arial"/>
          <w:sz w:val="22"/>
        </w:rPr>
        <w:t xml:space="preserve">and/or </w:t>
      </w:r>
      <w:r w:rsidR="00AC736F">
        <w:rPr>
          <w:rFonts w:ascii="Arial" w:hAnsi="Arial" w:cs="Arial"/>
          <w:sz w:val="22"/>
        </w:rPr>
        <w:t>Functional</w:t>
      </w:r>
      <w:r>
        <w:rPr>
          <w:rFonts w:ascii="Arial" w:hAnsi="Arial" w:cs="Arial"/>
          <w:sz w:val="22"/>
        </w:rPr>
        <w:t xml:space="preserve"> as listed in Table B.  Even if FC</w:t>
      </w:r>
      <w:r w:rsidR="00592423">
        <w:rPr>
          <w:rFonts w:ascii="Arial" w:hAnsi="Arial" w:cs="Arial"/>
          <w:sz w:val="22"/>
        </w:rPr>
        <w:t>D</w:t>
      </w:r>
      <w:r>
        <w:rPr>
          <w:rFonts w:ascii="Arial" w:hAnsi="Arial" w:cs="Arial"/>
          <w:sz w:val="22"/>
        </w:rPr>
        <w:t xml:space="preserve"> and SC</w:t>
      </w:r>
      <w:r w:rsidR="00592423">
        <w:rPr>
          <w:rFonts w:ascii="Arial" w:hAnsi="Arial" w:cs="Arial"/>
          <w:sz w:val="22"/>
        </w:rPr>
        <w:t>D</w:t>
      </w:r>
      <w:r>
        <w:rPr>
          <w:rFonts w:ascii="Arial" w:hAnsi="Arial" w:cs="Arial"/>
          <w:sz w:val="22"/>
        </w:rPr>
        <w:t xml:space="preserve"> </w:t>
      </w:r>
      <w:r w:rsidR="00E7268C">
        <w:rPr>
          <w:rFonts w:ascii="Arial" w:hAnsi="Arial" w:cs="Arial"/>
          <w:sz w:val="22"/>
        </w:rPr>
        <w:t xml:space="preserve">are </w:t>
      </w:r>
      <w:r>
        <w:rPr>
          <w:rFonts w:ascii="Arial" w:hAnsi="Arial" w:cs="Arial"/>
          <w:sz w:val="22"/>
        </w:rPr>
        <w:t xml:space="preserve">available in the PMS, </w:t>
      </w:r>
      <w:r w:rsidR="00E7268C">
        <w:rPr>
          <w:rFonts w:ascii="Arial" w:hAnsi="Arial" w:cs="Arial"/>
          <w:sz w:val="22"/>
        </w:rPr>
        <w:t>a</w:t>
      </w:r>
      <w:r>
        <w:rPr>
          <w:rFonts w:ascii="Arial" w:hAnsi="Arial" w:cs="Arial"/>
          <w:sz w:val="22"/>
        </w:rPr>
        <w:t xml:space="preserve"> field visit should be performed to validate the information.</w:t>
      </w:r>
    </w:p>
    <w:p w14:paraId="28D54266" w14:textId="249F7937" w:rsidR="00080910" w:rsidRPr="007D1CCC" w:rsidRDefault="00080910" w:rsidP="00001CC7">
      <w:pPr>
        <w:spacing w:before="120"/>
        <w:jc w:val="center"/>
        <w:rPr>
          <w:rFonts w:ascii="Arial" w:hAnsi="Arial" w:cs="Arial"/>
          <w:b/>
          <w:sz w:val="22"/>
        </w:rPr>
      </w:pPr>
      <w:r>
        <w:rPr>
          <w:rFonts w:ascii="Arial" w:hAnsi="Arial" w:cs="Arial"/>
          <w:b/>
          <w:sz w:val="22"/>
        </w:rPr>
        <w:t>Table B</w:t>
      </w:r>
      <w:r w:rsidR="00D318BB">
        <w:rPr>
          <w:rFonts w:ascii="Arial" w:hAnsi="Arial" w:cs="Arial"/>
          <w:b/>
          <w:sz w:val="22"/>
        </w:rPr>
        <w:t xml:space="preserve">: </w:t>
      </w:r>
      <w:r w:rsidRPr="007D1CCC">
        <w:rPr>
          <w:rFonts w:ascii="Arial" w:hAnsi="Arial" w:cs="Arial"/>
          <w:b/>
          <w:sz w:val="22"/>
        </w:rPr>
        <w:t xml:space="preserve"> Cracking/Distress Categories</w:t>
      </w:r>
    </w:p>
    <w:tbl>
      <w:tblPr>
        <w:tblW w:w="8635"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801"/>
        <w:gridCol w:w="2864"/>
        <w:gridCol w:w="2970"/>
      </w:tblGrid>
      <w:tr w:rsidR="00080910" w:rsidRPr="003205FB" w14:paraId="38ADA756" w14:textId="77777777" w:rsidTr="00B95BC1">
        <w:trPr>
          <w:trHeight w:val="301"/>
          <w:jc w:val="center"/>
        </w:trPr>
        <w:tc>
          <w:tcPr>
            <w:tcW w:w="2801" w:type="dxa"/>
            <w:tcBorders>
              <w:top w:val="single" w:sz="4" w:space="0" w:color="auto"/>
              <w:bottom w:val="single" w:sz="4" w:space="0" w:color="auto"/>
              <w:right w:val="single" w:sz="6" w:space="0" w:color="auto"/>
            </w:tcBorders>
            <w:shd w:val="pct15" w:color="auto" w:fill="auto"/>
            <w:noWrap/>
            <w:vAlign w:val="center"/>
            <w:hideMark/>
          </w:tcPr>
          <w:p w14:paraId="186109F1" w14:textId="77777777" w:rsidR="00080910" w:rsidRPr="00F92574" w:rsidRDefault="00080910" w:rsidP="00AC736F">
            <w:pPr>
              <w:jc w:val="center"/>
              <w:rPr>
                <w:rFonts w:ascii="Arial" w:hAnsi="Arial" w:cs="Arial"/>
                <w:b/>
                <w:bCs/>
                <w:color w:val="000000"/>
                <w:sz w:val="22"/>
              </w:rPr>
            </w:pPr>
            <w:r w:rsidRPr="00F92574">
              <w:rPr>
                <w:rFonts w:ascii="Arial" w:hAnsi="Arial" w:cs="Arial"/>
                <w:b/>
                <w:bCs/>
                <w:color w:val="000000"/>
                <w:sz w:val="22"/>
              </w:rPr>
              <w:t>Structural</w:t>
            </w:r>
          </w:p>
        </w:tc>
        <w:tc>
          <w:tcPr>
            <w:tcW w:w="5834" w:type="dxa"/>
            <w:gridSpan w:val="2"/>
            <w:tcBorders>
              <w:top w:val="single" w:sz="4" w:space="0" w:color="auto"/>
              <w:left w:val="single" w:sz="6" w:space="0" w:color="auto"/>
              <w:bottom w:val="single" w:sz="4" w:space="0" w:color="auto"/>
            </w:tcBorders>
            <w:shd w:val="pct15" w:color="auto" w:fill="auto"/>
            <w:noWrap/>
            <w:vAlign w:val="center"/>
            <w:hideMark/>
          </w:tcPr>
          <w:p w14:paraId="5DC70F95" w14:textId="14FA00E9" w:rsidR="00080910" w:rsidRPr="00F92574" w:rsidRDefault="00080910" w:rsidP="00AC736F">
            <w:pPr>
              <w:jc w:val="center"/>
              <w:rPr>
                <w:rFonts w:ascii="Arial" w:hAnsi="Arial" w:cs="Arial"/>
                <w:b/>
                <w:bCs/>
                <w:color w:val="000000"/>
                <w:sz w:val="22"/>
              </w:rPr>
            </w:pPr>
            <w:r w:rsidRPr="00F92574">
              <w:rPr>
                <w:rFonts w:ascii="Arial" w:hAnsi="Arial" w:cs="Arial"/>
                <w:b/>
                <w:bCs/>
                <w:color w:val="000000"/>
                <w:sz w:val="22"/>
              </w:rPr>
              <w:t>Functional</w:t>
            </w:r>
          </w:p>
        </w:tc>
      </w:tr>
      <w:tr w:rsidR="00AC736F" w:rsidRPr="003205FB" w14:paraId="5045C346" w14:textId="77777777" w:rsidTr="00B95BC1">
        <w:trPr>
          <w:trHeight w:val="301"/>
          <w:jc w:val="center"/>
        </w:trPr>
        <w:tc>
          <w:tcPr>
            <w:tcW w:w="2801" w:type="dxa"/>
            <w:tcBorders>
              <w:top w:val="single" w:sz="4" w:space="0" w:color="auto"/>
              <w:bottom w:val="nil"/>
              <w:right w:val="single" w:sz="4" w:space="0" w:color="auto"/>
            </w:tcBorders>
            <w:noWrap/>
            <w:vAlign w:val="center"/>
            <w:hideMark/>
          </w:tcPr>
          <w:p w14:paraId="78F970C5" w14:textId="77777777" w:rsidR="00AC736F" w:rsidRPr="003205FB" w:rsidRDefault="00AC736F" w:rsidP="00BE3F24">
            <w:pPr>
              <w:rPr>
                <w:rFonts w:ascii="Arial" w:hAnsi="Arial" w:cs="Arial"/>
                <w:color w:val="000000"/>
              </w:rPr>
            </w:pPr>
            <w:r w:rsidRPr="003205FB">
              <w:rPr>
                <w:rFonts w:ascii="Arial" w:hAnsi="Arial" w:cs="Arial"/>
                <w:color w:val="000000"/>
              </w:rPr>
              <w:t>Alligator (Fatigue) Cracking</w:t>
            </w:r>
          </w:p>
        </w:tc>
        <w:tc>
          <w:tcPr>
            <w:tcW w:w="2864" w:type="dxa"/>
            <w:tcBorders>
              <w:top w:val="single" w:sz="4" w:space="0" w:color="auto"/>
              <w:left w:val="single" w:sz="4" w:space="0" w:color="auto"/>
            </w:tcBorders>
            <w:noWrap/>
            <w:vAlign w:val="center"/>
            <w:hideMark/>
          </w:tcPr>
          <w:p w14:paraId="1468304D" w14:textId="77777777" w:rsidR="00AC736F" w:rsidRPr="003205FB" w:rsidRDefault="00AC736F" w:rsidP="00BE3F24">
            <w:pPr>
              <w:rPr>
                <w:rFonts w:ascii="Arial" w:hAnsi="Arial" w:cs="Arial"/>
                <w:color w:val="000000"/>
              </w:rPr>
            </w:pPr>
            <w:r w:rsidRPr="003205FB">
              <w:rPr>
                <w:rFonts w:ascii="Arial" w:hAnsi="Arial" w:cs="Arial"/>
                <w:color w:val="000000"/>
              </w:rPr>
              <w:t>Bleeding</w:t>
            </w:r>
          </w:p>
        </w:tc>
        <w:tc>
          <w:tcPr>
            <w:tcW w:w="2970" w:type="dxa"/>
            <w:tcBorders>
              <w:top w:val="single" w:sz="4" w:space="0" w:color="auto"/>
            </w:tcBorders>
            <w:vAlign w:val="center"/>
          </w:tcPr>
          <w:p w14:paraId="7C11C1D3" w14:textId="77777777" w:rsidR="00AC736F" w:rsidRPr="003205FB" w:rsidRDefault="00AC736F" w:rsidP="00AC736F">
            <w:pPr>
              <w:rPr>
                <w:rFonts w:ascii="Arial" w:hAnsi="Arial" w:cs="Arial"/>
                <w:color w:val="000000"/>
              </w:rPr>
            </w:pPr>
            <w:r w:rsidRPr="003205FB">
              <w:rPr>
                <w:rFonts w:ascii="Arial" w:hAnsi="Arial" w:cs="Arial"/>
                <w:color w:val="000000"/>
              </w:rPr>
              <w:t>Lane/Shoulder Drop-off</w:t>
            </w:r>
          </w:p>
        </w:tc>
      </w:tr>
      <w:tr w:rsidR="00AC736F" w:rsidRPr="003205FB" w14:paraId="3F83B381" w14:textId="77777777" w:rsidTr="00B95BC1">
        <w:trPr>
          <w:trHeight w:val="301"/>
          <w:jc w:val="center"/>
        </w:trPr>
        <w:tc>
          <w:tcPr>
            <w:tcW w:w="2801" w:type="dxa"/>
            <w:tcBorders>
              <w:top w:val="nil"/>
              <w:bottom w:val="nil"/>
              <w:right w:val="single" w:sz="4" w:space="0" w:color="auto"/>
            </w:tcBorders>
            <w:noWrap/>
            <w:vAlign w:val="center"/>
            <w:hideMark/>
          </w:tcPr>
          <w:p w14:paraId="1F612594" w14:textId="77777777" w:rsidR="00AC736F" w:rsidRPr="003205FB" w:rsidRDefault="00AC736F" w:rsidP="00BE3F24">
            <w:pPr>
              <w:rPr>
                <w:rFonts w:ascii="Arial" w:hAnsi="Arial" w:cs="Arial"/>
                <w:color w:val="000000"/>
              </w:rPr>
            </w:pPr>
            <w:r w:rsidRPr="003205FB">
              <w:rPr>
                <w:rFonts w:ascii="Arial" w:hAnsi="Arial" w:cs="Arial"/>
                <w:color w:val="000000"/>
              </w:rPr>
              <w:t xml:space="preserve">Depression </w:t>
            </w:r>
          </w:p>
        </w:tc>
        <w:tc>
          <w:tcPr>
            <w:tcW w:w="2864" w:type="dxa"/>
            <w:tcBorders>
              <w:left w:val="single" w:sz="4" w:space="0" w:color="auto"/>
            </w:tcBorders>
            <w:noWrap/>
            <w:vAlign w:val="center"/>
            <w:hideMark/>
          </w:tcPr>
          <w:p w14:paraId="6CEB6DBD" w14:textId="77777777" w:rsidR="00AC736F" w:rsidRPr="003205FB" w:rsidRDefault="00AC736F" w:rsidP="00BE3F24">
            <w:pPr>
              <w:rPr>
                <w:rFonts w:ascii="Arial" w:hAnsi="Arial" w:cs="Arial"/>
                <w:color w:val="000000"/>
              </w:rPr>
            </w:pPr>
            <w:r w:rsidRPr="003205FB">
              <w:rPr>
                <w:rFonts w:ascii="Arial" w:hAnsi="Arial" w:cs="Arial"/>
                <w:color w:val="000000"/>
              </w:rPr>
              <w:t xml:space="preserve">Block Cracking </w:t>
            </w:r>
          </w:p>
        </w:tc>
        <w:tc>
          <w:tcPr>
            <w:tcW w:w="2970" w:type="dxa"/>
            <w:vAlign w:val="center"/>
          </w:tcPr>
          <w:p w14:paraId="1EDDD6BC" w14:textId="77777777" w:rsidR="00AC736F" w:rsidRPr="003205FB" w:rsidRDefault="00AC736F" w:rsidP="00AC736F">
            <w:pPr>
              <w:rPr>
                <w:rFonts w:ascii="Arial" w:hAnsi="Arial" w:cs="Arial"/>
                <w:color w:val="000000"/>
              </w:rPr>
            </w:pPr>
            <w:r w:rsidRPr="003205FB">
              <w:rPr>
                <w:rFonts w:ascii="Arial" w:hAnsi="Arial" w:cs="Arial"/>
                <w:color w:val="000000"/>
              </w:rPr>
              <w:t>Polished Aggregate</w:t>
            </w:r>
          </w:p>
        </w:tc>
      </w:tr>
      <w:tr w:rsidR="00AC736F" w:rsidRPr="003205FB" w14:paraId="1D36C05C" w14:textId="77777777" w:rsidTr="00B95BC1">
        <w:trPr>
          <w:trHeight w:val="301"/>
          <w:jc w:val="center"/>
        </w:trPr>
        <w:tc>
          <w:tcPr>
            <w:tcW w:w="2801" w:type="dxa"/>
            <w:tcBorders>
              <w:top w:val="nil"/>
              <w:bottom w:val="nil"/>
              <w:right w:val="single" w:sz="4" w:space="0" w:color="auto"/>
            </w:tcBorders>
            <w:noWrap/>
            <w:vAlign w:val="center"/>
            <w:hideMark/>
          </w:tcPr>
          <w:p w14:paraId="3A8A2119" w14:textId="77777777" w:rsidR="00AC736F" w:rsidRPr="003205FB" w:rsidRDefault="00AC736F" w:rsidP="00BE3F24">
            <w:pPr>
              <w:rPr>
                <w:rFonts w:ascii="Arial" w:hAnsi="Arial" w:cs="Arial"/>
                <w:color w:val="000000"/>
              </w:rPr>
            </w:pPr>
            <w:r w:rsidRPr="003205FB">
              <w:rPr>
                <w:rFonts w:ascii="Arial" w:hAnsi="Arial" w:cs="Arial"/>
                <w:color w:val="000000"/>
              </w:rPr>
              <w:t>Edge Cracking</w:t>
            </w:r>
          </w:p>
        </w:tc>
        <w:tc>
          <w:tcPr>
            <w:tcW w:w="2864" w:type="dxa"/>
            <w:tcBorders>
              <w:left w:val="single" w:sz="4" w:space="0" w:color="auto"/>
            </w:tcBorders>
            <w:noWrap/>
            <w:vAlign w:val="center"/>
            <w:hideMark/>
          </w:tcPr>
          <w:p w14:paraId="60248FA0" w14:textId="77777777" w:rsidR="00AC736F" w:rsidRPr="003205FB" w:rsidRDefault="00AC736F" w:rsidP="00BE3F24">
            <w:pPr>
              <w:rPr>
                <w:rFonts w:ascii="Arial" w:hAnsi="Arial" w:cs="Arial"/>
                <w:color w:val="000000"/>
              </w:rPr>
            </w:pPr>
            <w:r w:rsidRPr="003205FB">
              <w:rPr>
                <w:rFonts w:ascii="Arial" w:hAnsi="Arial" w:cs="Arial"/>
                <w:color w:val="000000"/>
              </w:rPr>
              <w:t xml:space="preserve">Bumps and Sags </w:t>
            </w:r>
          </w:p>
        </w:tc>
        <w:tc>
          <w:tcPr>
            <w:tcW w:w="2970" w:type="dxa"/>
            <w:vAlign w:val="center"/>
          </w:tcPr>
          <w:p w14:paraId="75A6DB44" w14:textId="77777777" w:rsidR="00AC736F" w:rsidRPr="003205FB" w:rsidRDefault="00AC736F" w:rsidP="00AC736F">
            <w:pPr>
              <w:rPr>
                <w:rFonts w:ascii="Arial" w:hAnsi="Arial" w:cs="Arial"/>
                <w:color w:val="000000"/>
              </w:rPr>
            </w:pPr>
            <w:r w:rsidRPr="003205FB">
              <w:rPr>
                <w:rFonts w:ascii="Arial" w:hAnsi="Arial" w:cs="Arial"/>
                <w:color w:val="000000"/>
              </w:rPr>
              <w:t>Slippage Cracking</w:t>
            </w:r>
          </w:p>
        </w:tc>
      </w:tr>
      <w:tr w:rsidR="00AC736F" w:rsidRPr="003205FB" w14:paraId="5D4EAF98" w14:textId="77777777" w:rsidTr="00B95BC1">
        <w:trPr>
          <w:trHeight w:val="301"/>
          <w:jc w:val="center"/>
        </w:trPr>
        <w:tc>
          <w:tcPr>
            <w:tcW w:w="2801" w:type="dxa"/>
            <w:tcBorders>
              <w:top w:val="nil"/>
              <w:bottom w:val="nil"/>
              <w:right w:val="single" w:sz="4" w:space="0" w:color="auto"/>
            </w:tcBorders>
            <w:noWrap/>
            <w:vAlign w:val="center"/>
            <w:hideMark/>
          </w:tcPr>
          <w:p w14:paraId="587E3840" w14:textId="77777777" w:rsidR="00AC736F" w:rsidRPr="003205FB" w:rsidRDefault="00AC736F" w:rsidP="00BE3F24">
            <w:pPr>
              <w:rPr>
                <w:rFonts w:ascii="Arial" w:hAnsi="Arial" w:cs="Arial"/>
                <w:color w:val="000000"/>
              </w:rPr>
            </w:pPr>
            <w:r w:rsidRPr="003205FB">
              <w:rPr>
                <w:rFonts w:ascii="Arial" w:hAnsi="Arial" w:cs="Arial"/>
                <w:color w:val="000000"/>
              </w:rPr>
              <w:t>Longitudinal Cracking</w:t>
            </w:r>
          </w:p>
        </w:tc>
        <w:tc>
          <w:tcPr>
            <w:tcW w:w="2864" w:type="dxa"/>
            <w:tcBorders>
              <w:left w:val="single" w:sz="4" w:space="0" w:color="auto"/>
            </w:tcBorders>
            <w:noWrap/>
            <w:vAlign w:val="center"/>
            <w:hideMark/>
          </w:tcPr>
          <w:p w14:paraId="7D40DD3E" w14:textId="77777777" w:rsidR="00AC736F" w:rsidRPr="003205FB" w:rsidRDefault="00AC736F" w:rsidP="00BE3F24">
            <w:pPr>
              <w:rPr>
                <w:rFonts w:ascii="Arial" w:hAnsi="Arial" w:cs="Arial"/>
                <w:color w:val="000000"/>
              </w:rPr>
            </w:pPr>
            <w:r w:rsidRPr="003205FB">
              <w:rPr>
                <w:rFonts w:ascii="Arial" w:hAnsi="Arial" w:cs="Arial"/>
                <w:color w:val="000000"/>
              </w:rPr>
              <w:t>Corrugation</w:t>
            </w:r>
          </w:p>
        </w:tc>
        <w:tc>
          <w:tcPr>
            <w:tcW w:w="2970" w:type="dxa"/>
            <w:vAlign w:val="center"/>
          </w:tcPr>
          <w:p w14:paraId="3C74863D" w14:textId="77777777" w:rsidR="00AC736F" w:rsidRPr="003205FB" w:rsidRDefault="00AC736F" w:rsidP="00AC736F">
            <w:pPr>
              <w:rPr>
                <w:rFonts w:ascii="Arial" w:hAnsi="Arial" w:cs="Arial"/>
                <w:color w:val="000000"/>
              </w:rPr>
            </w:pPr>
            <w:r w:rsidRPr="003205FB">
              <w:rPr>
                <w:rFonts w:ascii="Arial" w:hAnsi="Arial" w:cs="Arial"/>
                <w:color w:val="000000"/>
              </w:rPr>
              <w:t>Transverse Cracking</w:t>
            </w:r>
          </w:p>
        </w:tc>
      </w:tr>
      <w:tr w:rsidR="00AC736F" w:rsidRPr="003205FB" w14:paraId="32EB1C69" w14:textId="77777777" w:rsidTr="00B95BC1">
        <w:trPr>
          <w:trHeight w:val="301"/>
          <w:jc w:val="center"/>
        </w:trPr>
        <w:tc>
          <w:tcPr>
            <w:tcW w:w="2801" w:type="dxa"/>
            <w:tcBorders>
              <w:top w:val="nil"/>
              <w:bottom w:val="single" w:sz="4" w:space="0" w:color="auto"/>
              <w:right w:val="single" w:sz="4" w:space="0" w:color="auto"/>
            </w:tcBorders>
            <w:noWrap/>
            <w:vAlign w:val="center"/>
            <w:hideMark/>
          </w:tcPr>
          <w:p w14:paraId="2EB34777" w14:textId="77777777" w:rsidR="00AC736F" w:rsidRPr="003205FB" w:rsidRDefault="00AC736F" w:rsidP="00BE3F24">
            <w:pPr>
              <w:rPr>
                <w:rFonts w:ascii="Arial" w:hAnsi="Arial" w:cs="Arial"/>
                <w:color w:val="000000"/>
              </w:rPr>
            </w:pPr>
            <w:r w:rsidRPr="003205FB">
              <w:rPr>
                <w:rFonts w:ascii="Arial" w:hAnsi="Arial" w:cs="Arial"/>
                <w:color w:val="000000"/>
              </w:rPr>
              <w:t>Patching</w:t>
            </w:r>
            <w:r>
              <w:rPr>
                <w:rFonts w:ascii="Arial" w:hAnsi="Arial" w:cs="Arial"/>
                <w:color w:val="000000"/>
              </w:rPr>
              <w:t>/Potholes</w:t>
            </w:r>
          </w:p>
        </w:tc>
        <w:tc>
          <w:tcPr>
            <w:tcW w:w="2864" w:type="dxa"/>
            <w:tcBorders>
              <w:left w:val="single" w:sz="4" w:space="0" w:color="auto"/>
            </w:tcBorders>
            <w:noWrap/>
            <w:vAlign w:val="center"/>
            <w:hideMark/>
          </w:tcPr>
          <w:p w14:paraId="2EC973A1" w14:textId="77777777" w:rsidR="00AC736F" w:rsidRPr="003205FB" w:rsidRDefault="00AC736F" w:rsidP="00BE3F24">
            <w:pPr>
              <w:rPr>
                <w:rFonts w:ascii="Arial" w:hAnsi="Arial" w:cs="Arial"/>
                <w:color w:val="000000"/>
              </w:rPr>
            </w:pPr>
            <w:r w:rsidRPr="003205FB">
              <w:rPr>
                <w:rFonts w:ascii="Arial" w:hAnsi="Arial" w:cs="Arial"/>
                <w:color w:val="000000"/>
              </w:rPr>
              <w:t>Joint Reflective Cracking</w:t>
            </w:r>
          </w:p>
        </w:tc>
        <w:tc>
          <w:tcPr>
            <w:tcW w:w="2970" w:type="dxa"/>
            <w:vAlign w:val="center"/>
          </w:tcPr>
          <w:p w14:paraId="0165A156" w14:textId="77777777" w:rsidR="00AC736F" w:rsidRPr="003205FB" w:rsidRDefault="00AC736F" w:rsidP="00AC736F">
            <w:pPr>
              <w:rPr>
                <w:rFonts w:ascii="Arial" w:hAnsi="Arial" w:cs="Arial"/>
                <w:color w:val="000000"/>
              </w:rPr>
            </w:pPr>
            <w:r w:rsidRPr="003205FB">
              <w:rPr>
                <w:rFonts w:ascii="Arial" w:hAnsi="Arial" w:cs="Arial"/>
                <w:color w:val="000000"/>
              </w:rPr>
              <w:t>Weathering and Raveling</w:t>
            </w:r>
          </w:p>
        </w:tc>
      </w:tr>
    </w:tbl>
    <w:p w14:paraId="2425E72A" w14:textId="56019A86" w:rsidR="00080910" w:rsidRPr="00001CC7" w:rsidRDefault="00080910" w:rsidP="00001CC7">
      <w:pPr>
        <w:tabs>
          <w:tab w:val="left" w:pos="1080"/>
        </w:tabs>
        <w:ind w:left="1080" w:right="734" w:hanging="540"/>
        <w:rPr>
          <w:rFonts w:ascii="Arial" w:hAnsi="Arial"/>
          <w:sz w:val="18"/>
        </w:rPr>
      </w:pPr>
      <w:r w:rsidRPr="00001CC7">
        <w:rPr>
          <w:rFonts w:ascii="Arial" w:hAnsi="Arial"/>
          <w:sz w:val="18"/>
        </w:rPr>
        <w:t xml:space="preserve">Note: </w:t>
      </w:r>
      <w:r w:rsidR="00E7268C">
        <w:rPr>
          <w:rFonts w:ascii="Arial" w:hAnsi="Arial" w:cs="Arial"/>
          <w:sz w:val="18"/>
          <w:szCs w:val="18"/>
        </w:rPr>
        <w:tab/>
      </w:r>
      <w:r w:rsidRPr="00001CC7">
        <w:rPr>
          <w:rFonts w:ascii="Arial" w:hAnsi="Arial"/>
          <w:sz w:val="18"/>
        </w:rPr>
        <w:t xml:space="preserve">Refer to the Asphalt Distress Paver Manual of the U.S. Army Corps of Engineers for definitions of </w:t>
      </w:r>
      <w:r w:rsidRPr="00E7268C">
        <w:rPr>
          <w:rFonts w:ascii="Arial" w:hAnsi="Arial" w:cs="Arial"/>
          <w:sz w:val="18"/>
          <w:szCs w:val="18"/>
        </w:rPr>
        <w:t>distress</w:t>
      </w:r>
      <w:r w:rsidRPr="00001CC7">
        <w:rPr>
          <w:rFonts w:ascii="Arial" w:hAnsi="Arial"/>
          <w:sz w:val="18"/>
        </w:rPr>
        <w:t>.</w:t>
      </w:r>
    </w:p>
    <w:p w14:paraId="5D21F1DD" w14:textId="77777777" w:rsidR="00080910" w:rsidRPr="007D1CCC" w:rsidRDefault="00080910" w:rsidP="00BE3F24">
      <w:pPr>
        <w:jc w:val="both"/>
        <w:rPr>
          <w:rFonts w:ascii="Arial" w:hAnsi="Arial" w:cs="Arial"/>
          <w:sz w:val="14"/>
        </w:rPr>
      </w:pPr>
    </w:p>
    <w:p w14:paraId="7A48906F" w14:textId="6D32D4BD" w:rsidR="00B16C24" w:rsidRDefault="00080910" w:rsidP="00AC736F">
      <w:pPr>
        <w:jc w:val="both"/>
        <w:rPr>
          <w:rFonts w:ascii="Arial" w:hAnsi="Arial" w:cs="Arial"/>
          <w:sz w:val="22"/>
        </w:rPr>
      </w:pPr>
      <w:r>
        <w:rPr>
          <w:rFonts w:ascii="Arial" w:hAnsi="Arial" w:cs="Arial"/>
          <w:sz w:val="22"/>
        </w:rPr>
        <w:t>Use C</w:t>
      </w:r>
      <w:r w:rsidR="00592423">
        <w:rPr>
          <w:rFonts w:ascii="Arial" w:hAnsi="Arial" w:cs="Arial"/>
          <w:sz w:val="22"/>
        </w:rPr>
        <w:t>D</w:t>
      </w:r>
      <w:r>
        <w:rPr>
          <w:rFonts w:ascii="Arial" w:hAnsi="Arial" w:cs="Arial"/>
          <w:sz w:val="22"/>
        </w:rPr>
        <w:t>, Skid, Rutting (in.), in conjunction with cracking/distress category to determine viable Treatment Options</w:t>
      </w:r>
      <w:r w:rsidR="00BD1379">
        <w:rPr>
          <w:rFonts w:ascii="Arial" w:hAnsi="Arial" w:cs="Arial"/>
          <w:sz w:val="22"/>
        </w:rPr>
        <w:t xml:space="preserve"> as per </w:t>
      </w:r>
      <w:hyperlink w:anchor="_Treatment_Matrices_–" w:history="1">
        <w:r w:rsidR="00BD1379" w:rsidRPr="00BD1379">
          <w:rPr>
            <w:rStyle w:val="Hyperlink"/>
            <w:rFonts w:ascii="Arial" w:hAnsi="Arial" w:cs="Arial"/>
            <w:sz w:val="22"/>
          </w:rPr>
          <w:t>Treatment Matrices – Asphalt Surface</w:t>
        </w:r>
      </w:hyperlink>
      <w:r>
        <w:rPr>
          <w:rFonts w:ascii="Arial" w:hAnsi="Arial" w:cs="Arial"/>
          <w:sz w:val="22"/>
        </w:rPr>
        <w:t xml:space="preserve">.  Each Treatment Table contains the Treatment Group and the Treatment number shown in parentheses. </w:t>
      </w:r>
      <w:r w:rsidRPr="00554060">
        <w:rPr>
          <w:rFonts w:ascii="Arial" w:hAnsi="Arial" w:cs="Arial"/>
          <w:sz w:val="22"/>
        </w:rPr>
        <w:t xml:space="preserve">The Treatment Groups, Treatment numbers and the Treatments are listed in </w:t>
      </w:r>
      <w:hyperlink w:anchor="_Table_C._List_1" w:history="1">
        <w:r w:rsidRPr="00B31FB1">
          <w:rPr>
            <w:rStyle w:val="Hyperlink"/>
            <w:rFonts w:ascii="Arial" w:hAnsi="Arial" w:cs="Arial"/>
            <w:sz w:val="22"/>
          </w:rPr>
          <w:t>Table C</w:t>
        </w:r>
      </w:hyperlink>
      <w:r w:rsidRPr="00554060">
        <w:rPr>
          <w:rFonts w:ascii="Arial" w:hAnsi="Arial" w:cs="Arial"/>
          <w:sz w:val="22"/>
        </w:rPr>
        <w:t>.</w:t>
      </w:r>
      <w:r>
        <w:rPr>
          <w:rFonts w:ascii="Arial" w:hAnsi="Arial" w:cs="Arial"/>
          <w:sz w:val="22"/>
        </w:rPr>
        <w:t xml:space="preserve">  Refer to</w:t>
      </w:r>
      <w:r w:rsidR="003B27BA">
        <w:rPr>
          <w:rFonts w:ascii="Arial" w:hAnsi="Arial" w:cs="Arial"/>
          <w:sz w:val="22"/>
        </w:rPr>
        <w:t xml:space="preserve"> the </w:t>
      </w:r>
      <w:hyperlink w:anchor="_Glossary_1" w:history="1">
        <w:r w:rsidR="003B27BA" w:rsidRPr="003B27BA">
          <w:rPr>
            <w:rStyle w:val="Hyperlink"/>
            <w:rFonts w:ascii="Arial" w:hAnsi="Arial" w:cs="Arial"/>
            <w:sz w:val="22"/>
          </w:rPr>
          <w:t>Glossary</w:t>
        </w:r>
      </w:hyperlink>
      <w:r w:rsidR="003B27BA">
        <w:rPr>
          <w:rFonts w:ascii="Arial" w:hAnsi="Arial" w:cs="Arial"/>
          <w:sz w:val="22"/>
        </w:rPr>
        <w:t xml:space="preserve"> </w:t>
      </w:r>
      <w:r>
        <w:rPr>
          <w:rFonts w:ascii="Arial" w:hAnsi="Arial" w:cs="Arial"/>
          <w:sz w:val="22"/>
        </w:rPr>
        <w:t>for a definition of each Treatment.</w:t>
      </w:r>
    </w:p>
    <w:p w14:paraId="4DDC99FF" w14:textId="46856975" w:rsidR="00080910" w:rsidRDefault="00544178" w:rsidP="00AC736F">
      <w:pPr>
        <w:jc w:val="both"/>
      </w:pPr>
      <w:r>
        <w:rPr>
          <w:noProof/>
        </w:rPr>
        <w:drawing>
          <wp:inline distT="0" distB="0" distL="0" distR="0" wp14:anchorId="072B8CBE" wp14:editId="09F5F1FA">
            <wp:extent cx="5486400" cy="2835275"/>
            <wp:effectExtent l="0" t="0" r="0" b="3175"/>
            <wp:docPr id="438618273" name="Picture 339" descr="Decision Tree for Asphalt-Surfaced Pav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618273" name="Picture 339" descr="Decision Tree for Asphalt-Surfaced Pavements"/>
                    <pic:cNvPicPr/>
                  </pic:nvPicPr>
                  <pic:blipFill rotWithShape="1">
                    <a:blip r:embed="rId55" cstate="print">
                      <a:extLst>
                        <a:ext uri="{28A0092B-C50C-407E-A947-70E740481C1C}">
                          <a14:useLocalDpi xmlns:a14="http://schemas.microsoft.com/office/drawing/2010/main" val="0"/>
                        </a:ext>
                      </a:extLst>
                    </a:blip>
                    <a:srcRect t="6488" b="8301"/>
                    <a:stretch>
                      <a:fillRect/>
                    </a:stretch>
                  </pic:blipFill>
                  <pic:spPr bwMode="auto">
                    <a:xfrm>
                      <a:off x="0" y="0"/>
                      <a:ext cx="5486400" cy="2835275"/>
                    </a:xfrm>
                    <a:prstGeom prst="rect">
                      <a:avLst/>
                    </a:prstGeom>
                    <a:ln>
                      <a:noFill/>
                    </a:ln>
                    <a:extLst>
                      <a:ext uri="{53640926-AAD7-44D8-BBD7-CCE9431645EC}">
                        <a14:shadowObscured xmlns:a14="http://schemas.microsoft.com/office/drawing/2010/main"/>
                      </a:ext>
                    </a:extLst>
                  </pic:spPr>
                </pic:pic>
              </a:graphicData>
            </a:graphic>
          </wp:inline>
        </w:drawing>
      </w:r>
    </w:p>
    <w:p w14:paraId="61762890" w14:textId="4E8244D5" w:rsidR="00080910" w:rsidRPr="00E7268C" w:rsidRDefault="00080910" w:rsidP="00F34EFC">
      <w:pPr>
        <w:pStyle w:val="Caption"/>
        <w:spacing w:after="0"/>
        <w:jc w:val="center"/>
      </w:pPr>
      <w:r w:rsidRPr="00F34EFC">
        <w:rPr>
          <w:rFonts w:ascii="Arial" w:hAnsi="Arial"/>
          <w:sz w:val="22"/>
        </w:rPr>
        <w:t xml:space="preserve">Figure </w:t>
      </w:r>
      <w:r w:rsidR="000D2B44" w:rsidRPr="00F34EFC">
        <w:rPr>
          <w:rFonts w:ascii="Arial" w:hAnsi="Arial"/>
          <w:sz w:val="22"/>
        </w:rPr>
        <w:fldChar w:fldCharType="begin"/>
      </w:r>
      <w:r w:rsidRPr="00E7268C">
        <w:rPr>
          <w:rFonts w:ascii="Arial" w:hAnsi="Arial" w:cs="Arial"/>
          <w:sz w:val="22"/>
        </w:rPr>
        <w:instrText xml:space="preserve"> SEQ Figure \* ARABIC </w:instrText>
      </w:r>
      <w:r w:rsidR="000D2B44" w:rsidRPr="00F34EFC">
        <w:rPr>
          <w:rFonts w:ascii="Arial" w:hAnsi="Arial"/>
          <w:sz w:val="22"/>
        </w:rPr>
        <w:fldChar w:fldCharType="separate"/>
      </w:r>
      <w:r w:rsidR="00624A9D">
        <w:rPr>
          <w:rFonts w:ascii="Arial" w:hAnsi="Arial" w:cs="Arial"/>
          <w:noProof/>
          <w:sz w:val="22"/>
        </w:rPr>
        <w:t>1</w:t>
      </w:r>
      <w:r w:rsidR="000D2B44" w:rsidRPr="00F34EFC">
        <w:rPr>
          <w:rFonts w:ascii="Arial" w:hAnsi="Arial"/>
          <w:sz w:val="22"/>
        </w:rPr>
        <w:fldChar w:fldCharType="end"/>
      </w:r>
      <w:r w:rsidRPr="00F34EFC">
        <w:rPr>
          <w:rFonts w:ascii="Arial" w:hAnsi="Arial"/>
          <w:sz w:val="22"/>
        </w:rPr>
        <w:t xml:space="preserve"> Decision Tree for Asphalt-Surfaced Pavements</w:t>
      </w:r>
    </w:p>
    <w:p w14:paraId="0CFF03B8" w14:textId="77777777" w:rsidR="00080910" w:rsidRDefault="00080910" w:rsidP="00BE3F24">
      <w:pPr>
        <w:pStyle w:val="Caption"/>
        <w:jc w:val="center"/>
      </w:pPr>
    </w:p>
    <w:p w14:paraId="2E3E506F" w14:textId="77777777" w:rsidR="00080910" w:rsidRPr="00FF1FF2" w:rsidRDefault="00080910" w:rsidP="00F34EFC">
      <w:pPr>
        <w:pStyle w:val="Heading5"/>
        <w:ind w:left="1080" w:hanging="1080"/>
      </w:pPr>
      <w:r w:rsidRPr="00FF1FF2">
        <w:lastRenderedPageBreak/>
        <w:t>Rigid (Concrete-Surfaced) Pavements:</w:t>
      </w:r>
    </w:p>
    <w:p w14:paraId="27A07AB5" w14:textId="77777777" w:rsidR="00080910" w:rsidRDefault="00080910" w:rsidP="00BE3F24">
      <w:pPr>
        <w:jc w:val="both"/>
        <w:rPr>
          <w:rFonts w:ascii="Arial" w:hAnsi="Arial" w:cs="Arial"/>
          <w:sz w:val="22"/>
        </w:rPr>
      </w:pPr>
    </w:p>
    <w:p w14:paraId="52903710" w14:textId="77777777" w:rsidR="00080910" w:rsidRDefault="00080910" w:rsidP="00BE3F24">
      <w:pPr>
        <w:jc w:val="both"/>
        <w:rPr>
          <w:rFonts w:ascii="Arial" w:hAnsi="Arial" w:cs="Arial"/>
          <w:sz w:val="22"/>
        </w:rPr>
      </w:pPr>
      <w:r>
        <w:rPr>
          <w:rFonts w:ascii="Arial" w:hAnsi="Arial" w:cs="Arial"/>
          <w:sz w:val="22"/>
        </w:rPr>
        <w:t xml:space="preserve">A field visit is required to determine the </w:t>
      </w:r>
      <w:r w:rsidR="00B376AC">
        <w:rPr>
          <w:rFonts w:ascii="Arial" w:hAnsi="Arial" w:cs="Arial"/>
          <w:sz w:val="22"/>
        </w:rPr>
        <w:t xml:space="preserve">viable treatment options </w:t>
      </w:r>
      <w:r>
        <w:rPr>
          <w:rFonts w:ascii="Arial" w:hAnsi="Arial" w:cs="Arial"/>
          <w:sz w:val="22"/>
        </w:rPr>
        <w:t xml:space="preserve">within the project limits for rigid pavements. </w:t>
      </w:r>
      <w:r w:rsidRPr="00920280">
        <w:rPr>
          <w:rFonts w:ascii="Arial" w:hAnsi="Arial" w:cs="Arial"/>
          <w:sz w:val="22"/>
        </w:rPr>
        <w:t xml:space="preserve">Use </w:t>
      </w:r>
      <w:hyperlink w:anchor="TableX" w:history="1">
        <w:r w:rsidR="00B376AC" w:rsidRPr="00B376AC">
          <w:rPr>
            <w:rStyle w:val="Hyperlink"/>
            <w:rFonts w:ascii="Arial" w:hAnsi="Arial" w:cs="Arial"/>
            <w:sz w:val="22"/>
          </w:rPr>
          <w:t>Table X</w:t>
        </w:r>
      </w:hyperlink>
      <w:r w:rsidRPr="00A37CB6">
        <w:rPr>
          <w:rFonts w:ascii="Arial" w:hAnsi="Arial" w:cs="Arial"/>
          <w:sz w:val="22"/>
        </w:rPr>
        <w:t xml:space="preserve"> to</w:t>
      </w:r>
      <w:r>
        <w:rPr>
          <w:rFonts w:ascii="Arial" w:hAnsi="Arial" w:cs="Arial"/>
          <w:sz w:val="22"/>
        </w:rPr>
        <w:t xml:space="preserve"> identify the appropriate Treatment Options. </w:t>
      </w:r>
    </w:p>
    <w:p w14:paraId="019D3B54" w14:textId="77777777" w:rsidR="00080910" w:rsidRDefault="00080910" w:rsidP="00BE3F24">
      <w:pPr>
        <w:jc w:val="both"/>
        <w:rPr>
          <w:rFonts w:ascii="Arial" w:hAnsi="Arial" w:cs="Arial"/>
          <w:sz w:val="22"/>
        </w:rPr>
      </w:pPr>
    </w:p>
    <w:p w14:paraId="07F9C92E" w14:textId="77777777" w:rsidR="00080910" w:rsidRDefault="00080910" w:rsidP="00BE3F24">
      <w:pPr>
        <w:jc w:val="both"/>
        <w:rPr>
          <w:rFonts w:ascii="Arial" w:hAnsi="Arial" w:cs="Arial"/>
          <w:sz w:val="22"/>
        </w:rPr>
      </w:pPr>
      <w:r w:rsidRPr="00554060">
        <w:rPr>
          <w:rFonts w:ascii="Arial" w:hAnsi="Arial" w:cs="Arial"/>
          <w:sz w:val="22"/>
        </w:rPr>
        <w:t xml:space="preserve">The Treatment Groups, Treatment numbers and the Treatments are listed in </w:t>
      </w:r>
      <w:hyperlink w:anchor="_Table_C._List_1" w:history="1">
        <w:r w:rsidRPr="00B31FB1">
          <w:rPr>
            <w:rStyle w:val="Hyperlink"/>
            <w:rFonts w:ascii="Arial" w:hAnsi="Arial" w:cs="Arial"/>
            <w:sz w:val="22"/>
          </w:rPr>
          <w:t>Table C</w:t>
        </w:r>
      </w:hyperlink>
      <w:r w:rsidRPr="00554060">
        <w:rPr>
          <w:rFonts w:ascii="Arial" w:hAnsi="Arial" w:cs="Arial"/>
          <w:sz w:val="22"/>
        </w:rPr>
        <w:t>.</w:t>
      </w:r>
      <w:r>
        <w:rPr>
          <w:rFonts w:ascii="Arial" w:hAnsi="Arial" w:cs="Arial"/>
          <w:sz w:val="22"/>
        </w:rPr>
        <w:t xml:space="preserve">  Refer to</w:t>
      </w:r>
      <w:r w:rsidR="003B27BA">
        <w:rPr>
          <w:rFonts w:ascii="Arial" w:hAnsi="Arial" w:cs="Arial"/>
          <w:sz w:val="22"/>
        </w:rPr>
        <w:t xml:space="preserve"> the</w:t>
      </w:r>
      <w:r>
        <w:rPr>
          <w:rFonts w:ascii="Arial" w:hAnsi="Arial" w:cs="Arial"/>
          <w:sz w:val="22"/>
        </w:rPr>
        <w:t xml:space="preserve"> </w:t>
      </w:r>
      <w:hyperlink w:anchor="_Glossary_1" w:history="1">
        <w:r w:rsidR="003B27BA" w:rsidRPr="003B27BA">
          <w:rPr>
            <w:rStyle w:val="Hyperlink"/>
            <w:rFonts w:ascii="Arial" w:hAnsi="Arial" w:cs="Arial"/>
            <w:sz w:val="22"/>
          </w:rPr>
          <w:t>Glossary</w:t>
        </w:r>
      </w:hyperlink>
      <w:r w:rsidR="003B27BA">
        <w:rPr>
          <w:rFonts w:ascii="Arial" w:hAnsi="Arial" w:cs="Arial"/>
          <w:sz w:val="22"/>
        </w:rPr>
        <w:t xml:space="preserve"> </w:t>
      </w:r>
      <w:r>
        <w:rPr>
          <w:rFonts w:ascii="Arial" w:hAnsi="Arial" w:cs="Arial"/>
          <w:sz w:val="22"/>
        </w:rPr>
        <w:t>for a definition of each Treatment.</w:t>
      </w:r>
    </w:p>
    <w:p w14:paraId="14A79E04" w14:textId="77777777" w:rsidR="00080910" w:rsidRDefault="00080910" w:rsidP="00BE3F24">
      <w:pPr>
        <w:jc w:val="both"/>
        <w:rPr>
          <w:rFonts w:ascii="Arial" w:hAnsi="Arial" w:cs="Arial"/>
          <w:sz w:val="22"/>
        </w:rPr>
      </w:pPr>
    </w:p>
    <w:p w14:paraId="4250BE06" w14:textId="2C1C149A" w:rsidR="00080910" w:rsidRPr="00115674" w:rsidRDefault="00080910" w:rsidP="00F34EFC">
      <w:r>
        <w:rPr>
          <w:rFonts w:cs="Arial"/>
        </w:rPr>
        <w:t xml:space="preserve"> </w:t>
      </w:r>
    </w:p>
    <w:p w14:paraId="2E96BB01" w14:textId="77777777" w:rsidR="00080910" w:rsidRPr="00F34EFC" w:rsidRDefault="00080910" w:rsidP="004C0B53">
      <w:pPr>
        <w:pStyle w:val="BodyText"/>
        <w:rPr>
          <w:highlight w:val="green"/>
        </w:rPr>
      </w:pPr>
    </w:p>
    <w:p w14:paraId="6790F27F" w14:textId="77777777" w:rsidR="00080910" w:rsidRDefault="00080910" w:rsidP="00BE3F24">
      <w:pPr>
        <w:rPr>
          <w:rFonts w:ascii="Arial" w:hAnsi="Arial" w:cs="Arial"/>
          <w:sz w:val="22"/>
        </w:rPr>
      </w:pPr>
    </w:p>
    <w:p w14:paraId="3EB3E9DF" w14:textId="77777777" w:rsidR="00067070" w:rsidRDefault="00067070" w:rsidP="00BE3F24">
      <w:pPr>
        <w:pStyle w:val="Heading4"/>
        <w:ind w:left="0" w:firstLine="0"/>
        <w:sectPr w:rsidR="00067070" w:rsidSect="004A4196">
          <w:headerReference w:type="default" r:id="rId56"/>
          <w:footerReference w:type="default" r:id="rId57"/>
          <w:pgSz w:w="12240" w:h="15840" w:code="1"/>
          <w:pgMar w:top="1440" w:right="1800" w:bottom="1440" w:left="1800" w:header="720" w:footer="720" w:gutter="0"/>
          <w:pgNumType w:chapStyle="1"/>
          <w:cols w:space="720"/>
          <w:docGrid w:linePitch="360"/>
        </w:sectPr>
      </w:pPr>
      <w:bookmarkStart w:id="52" w:name="_Table_E._List"/>
      <w:bookmarkStart w:id="53" w:name="_Table_C._List"/>
      <w:bookmarkStart w:id="54" w:name="_Treatment_Matrices_–"/>
      <w:bookmarkStart w:id="55" w:name="RANGE!H3:T43"/>
      <w:bookmarkEnd w:id="52"/>
      <w:bookmarkEnd w:id="53"/>
      <w:bookmarkEnd w:id="54"/>
    </w:p>
    <w:p w14:paraId="171FF3E5" w14:textId="77777777" w:rsidR="00080910" w:rsidRDefault="00080910" w:rsidP="00BE3F24">
      <w:pPr>
        <w:pStyle w:val="Heading4"/>
        <w:ind w:left="0" w:firstLine="0"/>
      </w:pPr>
      <w:r>
        <w:lastRenderedPageBreak/>
        <w:t>Treatment Matrices – Asphalt Surface</w:t>
      </w:r>
    </w:p>
    <w:tbl>
      <w:tblPr>
        <w:tblW w:w="12881" w:type="dxa"/>
        <w:tblInd w:w="97" w:type="dxa"/>
        <w:tblLayout w:type="fixed"/>
        <w:tblLook w:val="04A0" w:firstRow="1" w:lastRow="0" w:firstColumn="1" w:lastColumn="0" w:noHBand="0" w:noVBand="1"/>
      </w:tblPr>
      <w:tblGrid>
        <w:gridCol w:w="641"/>
        <w:gridCol w:w="582"/>
        <w:gridCol w:w="630"/>
        <w:gridCol w:w="948"/>
        <w:gridCol w:w="990"/>
        <w:gridCol w:w="1260"/>
        <w:gridCol w:w="1212"/>
        <w:gridCol w:w="1710"/>
        <w:gridCol w:w="900"/>
        <w:gridCol w:w="900"/>
        <w:gridCol w:w="1080"/>
        <w:gridCol w:w="1080"/>
        <w:gridCol w:w="948"/>
      </w:tblGrid>
      <w:tr w:rsidR="00080910" w:rsidRPr="00945156" w14:paraId="691F1807" w14:textId="77777777" w:rsidTr="00731468">
        <w:trPr>
          <w:trHeight w:val="485"/>
        </w:trPr>
        <w:tc>
          <w:tcPr>
            <w:tcW w:w="2801" w:type="dxa"/>
            <w:gridSpan w:val="4"/>
            <w:tcBorders>
              <w:top w:val="single" w:sz="24" w:space="0" w:color="auto"/>
              <w:left w:val="single" w:sz="24" w:space="0" w:color="auto"/>
              <w:bottom w:val="single" w:sz="6" w:space="0" w:color="auto"/>
              <w:right w:val="single" w:sz="6" w:space="0" w:color="auto"/>
            </w:tcBorders>
            <w:noWrap/>
            <w:vAlign w:val="center"/>
            <w:hideMark/>
          </w:tcPr>
          <w:p w14:paraId="3FDC508A" w14:textId="731AEE62" w:rsidR="00080910" w:rsidRPr="00945156" w:rsidRDefault="00080910" w:rsidP="00BE3F24">
            <w:pPr>
              <w:jc w:val="center"/>
              <w:rPr>
                <w:rFonts w:ascii="Bell MT" w:hAnsi="Bell MT" w:cs="Arial"/>
                <w:b/>
                <w:bCs/>
                <w:color w:val="000000"/>
                <w:sz w:val="40"/>
                <w:szCs w:val="40"/>
              </w:rPr>
            </w:pPr>
            <w:r w:rsidRPr="00945156">
              <w:rPr>
                <w:rFonts w:ascii="Bell MT" w:hAnsi="Bell MT" w:cs="Arial"/>
                <w:b/>
                <w:bCs/>
                <w:color w:val="000000"/>
                <w:sz w:val="40"/>
                <w:szCs w:val="40"/>
              </w:rPr>
              <w:t>Table I</w:t>
            </w:r>
            <w:bookmarkEnd w:id="55"/>
          </w:p>
        </w:tc>
        <w:tc>
          <w:tcPr>
            <w:tcW w:w="10080" w:type="dxa"/>
            <w:gridSpan w:val="9"/>
            <w:tcBorders>
              <w:top w:val="single" w:sz="24" w:space="0" w:color="auto"/>
              <w:left w:val="single" w:sz="6" w:space="0" w:color="auto"/>
              <w:bottom w:val="single" w:sz="6" w:space="0" w:color="auto"/>
              <w:right w:val="single" w:sz="24" w:space="0" w:color="auto"/>
            </w:tcBorders>
            <w:vAlign w:val="center"/>
            <w:hideMark/>
          </w:tcPr>
          <w:p w14:paraId="020A8864" w14:textId="2084BA29" w:rsidR="00080910" w:rsidRPr="00945156" w:rsidRDefault="00080910" w:rsidP="00BE3F24">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 xml:space="preserve">ADT: 0 </w:t>
            </w:r>
            <w:r>
              <w:rPr>
                <w:rFonts w:ascii="Arial" w:hAnsi="Arial" w:cs="Arial"/>
                <w:b/>
                <w:bCs/>
                <w:color w:val="000000"/>
                <w:sz w:val="18"/>
                <w:szCs w:val="18"/>
              </w:rPr>
              <w:t>to ≤</w:t>
            </w:r>
            <w:r w:rsidRPr="00945156">
              <w:rPr>
                <w:rFonts w:ascii="Arial" w:hAnsi="Arial" w:cs="Arial"/>
                <w:b/>
                <w:bCs/>
                <w:color w:val="000000"/>
                <w:sz w:val="18"/>
                <w:szCs w:val="18"/>
              </w:rPr>
              <w:t xml:space="preserve"> 4,000</w:t>
            </w:r>
            <w:r>
              <w:rPr>
                <w:rFonts w:ascii="Arial" w:hAnsi="Arial" w:cs="Arial"/>
                <w:b/>
                <w:bCs/>
                <w:color w:val="000000"/>
                <w:sz w:val="18"/>
                <w:szCs w:val="18"/>
              </w:rPr>
              <w:t>, IRI: 0 to ≤ 1</w:t>
            </w:r>
            <w:r w:rsidR="001E70D2">
              <w:rPr>
                <w:rFonts w:ascii="Arial" w:hAnsi="Arial" w:cs="Arial"/>
                <w:b/>
                <w:bCs/>
                <w:color w:val="000000"/>
                <w:sz w:val="18"/>
                <w:szCs w:val="18"/>
              </w:rPr>
              <w:t>2</w:t>
            </w:r>
            <w:r>
              <w:rPr>
                <w:rFonts w:ascii="Arial" w:hAnsi="Arial" w:cs="Arial"/>
                <w:b/>
                <w:bCs/>
                <w:color w:val="000000"/>
                <w:sz w:val="18"/>
                <w:szCs w:val="18"/>
              </w:rPr>
              <w:t>0</w:t>
            </w:r>
            <w:r w:rsidRPr="00945156">
              <w:rPr>
                <w:rFonts w:ascii="Arial" w:hAnsi="Arial" w:cs="Arial"/>
                <w:b/>
                <w:bCs/>
                <w:color w:val="000000"/>
                <w:sz w:val="18"/>
                <w:szCs w:val="18"/>
              </w:rPr>
              <w:t xml:space="preserve"> </w:t>
            </w:r>
          </w:p>
        </w:tc>
      </w:tr>
      <w:tr w:rsidR="00080910" w:rsidRPr="00945156" w14:paraId="68F6E574" w14:textId="77777777" w:rsidTr="00F34EFC">
        <w:trPr>
          <w:trHeight w:val="465"/>
        </w:trPr>
        <w:tc>
          <w:tcPr>
            <w:tcW w:w="641" w:type="dxa"/>
            <w:tcBorders>
              <w:top w:val="single" w:sz="6" w:space="0" w:color="auto"/>
              <w:left w:val="single" w:sz="24" w:space="0" w:color="auto"/>
              <w:bottom w:val="single" w:sz="24" w:space="0" w:color="auto"/>
              <w:right w:val="single" w:sz="6" w:space="0" w:color="auto"/>
            </w:tcBorders>
            <w:vAlign w:val="center"/>
            <w:hideMark/>
          </w:tcPr>
          <w:p w14:paraId="68E9AB1F" w14:textId="7EFDFE2F" w:rsidR="00080910" w:rsidRPr="00945156" w:rsidRDefault="00356EE1" w:rsidP="00BE3F24">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582" w:type="dxa"/>
            <w:tcBorders>
              <w:top w:val="single" w:sz="6" w:space="0" w:color="auto"/>
              <w:left w:val="single" w:sz="6" w:space="0" w:color="auto"/>
              <w:bottom w:val="single" w:sz="24" w:space="0" w:color="auto"/>
              <w:right w:val="single" w:sz="6" w:space="0" w:color="auto"/>
            </w:tcBorders>
            <w:vAlign w:val="center"/>
            <w:hideMark/>
          </w:tcPr>
          <w:p w14:paraId="6756A84A" w14:textId="710D4463" w:rsidR="00080910" w:rsidRPr="00945156" w:rsidRDefault="00356EE1" w:rsidP="00BE3F24">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630" w:type="dxa"/>
            <w:tcBorders>
              <w:top w:val="single" w:sz="6" w:space="0" w:color="auto"/>
              <w:left w:val="single" w:sz="6" w:space="0" w:color="auto"/>
              <w:bottom w:val="single" w:sz="24" w:space="0" w:color="auto"/>
              <w:right w:val="single" w:sz="6" w:space="0" w:color="auto"/>
            </w:tcBorders>
            <w:vAlign w:val="center"/>
            <w:hideMark/>
          </w:tcPr>
          <w:p w14:paraId="02830B88" w14:textId="77777777" w:rsidR="00080910" w:rsidRPr="00945156" w:rsidRDefault="00080910" w:rsidP="00BE3F24">
            <w:pPr>
              <w:jc w:val="center"/>
              <w:rPr>
                <w:rFonts w:ascii="Arial" w:hAnsi="Arial" w:cs="Arial"/>
                <w:b/>
                <w:bCs/>
                <w:color w:val="000000"/>
                <w:sz w:val="16"/>
                <w:szCs w:val="16"/>
              </w:rPr>
            </w:pPr>
            <w:r>
              <w:rPr>
                <w:rFonts w:ascii="Arial" w:hAnsi="Arial" w:cs="Arial"/>
                <w:b/>
                <w:bCs/>
                <w:color w:val="000000"/>
                <w:sz w:val="16"/>
                <w:szCs w:val="16"/>
              </w:rPr>
              <w:t>Skid</w:t>
            </w:r>
          </w:p>
        </w:tc>
        <w:tc>
          <w:tcPr>
            <w:tcW w:w="948" w:type="dxa"/>
            <w:tcBorders>
              <w:top w:val="single" w:sz="6" w:space="0" w:color="auto"/>
              <w:left w:val="single" w:sz="6" w:space="0" w:color="auto"/>
              <w:bottom w:val="single" w:sz="24" w:space="0" w:color="auto"/>
              <w:right w:val="single" w:sz="6" w:space="0" w:color="auto"/>
            </w:tcBorders>
            <w:vAlign w:val="center"/>
            <w:hideMark/>
          </w:tcPr>
          <w:p w14:paraId="785E226A" w14:textId="77777777" w:rsidR="00080910" w:rsidRPr="00945156" w:rsidRDefault="00080910" w:rsidP="00BE3F24">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90" w:type="dxa"/>
            <w:tcBorders>
              <w:top w:val="single" w:sz="6" w:space="0" w:color="auto"/>
              <w:left w:val="single" w:sz="6" w:space="0" w:color="auto"/>
              <w:bottom w:val="single" w:sz="24" w:space="0" w:color="auto"/>
              <w:right w:val="single" w:sz="6" w:space="0" w:color="auto"/>
            </w:tcBorders>
            <w:vAlign w:val="center"/>
            <w:hideMark/>
          </w:tcPr>
          <w:p w14:paraId="4E5B3DB0" w14:textId="77777777" w:rsidR="00080910" w:rsidRPr="00945156" w:rsidRDefault="00080910" w:rsidP="00BE3F24">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60" w:type="dxa"/>
            <w:tcBorders>
              <w:top w:val="single" w:sz="6" w:space="0" w:color="auto"/>
              <w:left w:val="single" w:sz="6" w:space="0" w:color="auto"/>
              <w:bottom w:val="single" w:sz="24" w:space="0" w:color="auto"/>
              <w:right w:val="single" w:sz="6" w:space="0" w:color="auto"/>
            </w:tcBorders>
            <w:vAlign w:val="center"/>
            <w:hideMark/>
          </w:tcPr>
          <w:p w14:paraId="1D5A5930" w14:textId="77777777" w:rsidR="00080910" w:rsidRPr="00945156" w:rsidRDefault="00080910" w:rsidP="00BE3F24">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212" w:type="dxa"/>
            <w:tcBorders>
              <w:top w:val="single" w:sz="6" w:space="0" w:color="auto"/>
              <w:left w:val="single" w:sz="6" w:space="0" w:color="auto"/>
              <w:bottom w:val="single" w:sz="24" w:space="0" w:color="auto"/>
              <w:right w:val="single" w:sz="6" w:space="0" w:color="auto"/>
            </w:tcBorders>
            <w:vAlign w:val="center"/>
            <w:hideMark/>
          </w:tcPr>
          <w:p w14:paraId="2E1C4E85" w14:textId="77777777" w:rsidR="00080910" w:rsidRPr="00945156" w:rsidRDefault="00080910" w:rsidP="00BE3F24">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10" w:type="dxa"/>
            <w:tcBorders>
              <w:top w:val="single" w:sz="6" w:space="0" w:color="auto"/>
              <w:left w:val="single" w:sz="6" w:space="0" w:color="auto"/>
              <w:bottom w:val="single" w:sz="24" w:space="0" w:color="auto"/>
              <w:right w:val="single" w:sz="6" w:space="0" w:color="auto"/>
            </w:tcBorders>
            <w:vAlign w:val="center"/>
            <w:hideMark/>
          </w:tcPr>
          <w:p w14:paraId="0EFD141E" w14:textId="250578C9" w:rsidR="00080910" w:rsidRPr="00945156" w:rsidRDefault="00080910" w:rsidP="00BE3F24">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sidR="00356EE1">
              <w:rPr>
                <w:rFonts w:ascii="Arial" w:hAnsi="Arial" w:cs="Arial"/>
                <w:b/>
                <w:bCs/>
                <w:color w:val="000000"/>
                <w:sz w:val="16"/>
                <w:szCs w:val="16"/>
              </w:rPr>
              <w:t>Asphalt</w:t>
            </w:r>
            <w:r w:rsidRPr="00945156">
              <w:rPr>
                <w:rFonts w:ascii="Arial" w:hAnsi="Arial" w:cs="Arial"/>
                <w:b/>
                <w:bCs/>
                <w:color w:val="000000"/>
                <w:sz w:val="16"/>
                <w:szCs w:val="16"/>
              </w:rPr>
              <w:t xml:space="preserve"> Overlay</w:t>
            </w:r>
            <w:r w:rsidR="00A24BAA">
              <w:rPr>
                <w:rFonts w:ascii="Arial" w:hAnsi="Arial" w:cs="Arial"/>
                <w:b/>
                <w:bCs/>
                <w:color w:val="000000"/>
                <w:sz w:val="16"/>
                <w:szCs w:val="16"/>
              </w:rPr>
              <w:t>**</w:t>
            </w:r>
          </w:p>
        </w:tc>
        <w:tc>
          <w:tcPr>
            <w:tcW w:w="900" w:type="dxa"/>
            <w:tcBorders>
              <w:top w:val="single" w:sz="6" w:space="0" w:color="auto"/>
              <w:left w:val="single" w:sz="6" w:space="0" w:color="auto"/>
              <w:bottom w:val="single" w:sz="24" w:space="0" w:color="auto"/>
              <w:right w:val="single" w:sz="6" w:space="0" w:color="auto"/>
            </w:tcBorders>
            <w:vAlign w:val="center"/>
            <w:hideMark/>
          </w:tcPr>
          <w:p w14:paraId="1DF98789" w14:textId="77777777" w:rsidR="00080910" w:rsidRPr="00945156" w:rsidRDefault="00080910" w:rsidP="00BE3F24">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900" w:type="dxa"/>
            <w:tcBorders>
              <w:top w:val="single" w:sz="6" w:space="0" w:color="auto"/>
              <w:left w:val="single" w:sz="6" w:space="0" w:color="auto"/>
              <w:bottom w:val="single" w:sz="24" w:space="0" w:color="auto"/>
              <w:right w:val="single" w:sz="6" w:space="0" w:color="auto"/>
            </w:tcBorders>
            <w:vAlign w:val="center"/>
            <w:hideMark/>
          </w:tcPr>
          <w:p w14:paraId="08D154EF" w14:textId="5DF7835F" w:rsidR="00080910" w:rsidRPr="00945156" w:rsidRDefault="00080910" w:rsidP="00BE3F24">
            <w:pPr>
              <w:jc w:val="center"/>
              <w:rPr>
                <w:rFonts w:ascii="Arial" w:hAnsi="Arial" w:cs="Arial"/>
                <w:b/>
                <w:bCs/>
                <w:color w:val="000000"/>
                <w:sz w:val="16"/>
                <w:szCs w:val="16"/>
              </w:rPr>
            </w:pPr>
            <w:r w:rsidRPr="00945156">
              <w:rPr>
                <w:rFonts w:ascii="Arial" w:hAnsi="Arial" w:cs="Arial"/>
                <w:b/>
                <w:bCs/>
                <w:color w:val="000000"/>
                <w:sz w:val="16"/>
                <w:szCs w:val="16"/>
              </w:rPr>
              <w:t xml:space="preserve">F. </w:t>
            </w:r>
            <w:r w:rsidR="00356EE1">
              <w:rPr>
                <w:rFonts w:ascii="Arial" w:hAnsi="Arial" w:cs="Arial"/>
                <w:b/>
                <w:bCs/>
                <w:color w:val="000000"/>
                <w:sz w:val="16"/>
                <w:szCs w:val="16"/>
              </w:rPr>
              <w:t>Spot Repair</w:t>
            </w:r>
          </w:p>
        </w:tc>
        <w:tc>
          <w:tcPr>
            <w:tcW w:w="1080" w:type="dxa"/>
            <w:tcBorders>
              <w:top w:val="single" w:sz="6" w:space="0" w:color="auto"/>
              <w:left w:val="single" w:sz="6" w:space="0" w:color="auto"/>
              <w:bottom w:val="single" w:sz="24" w:space="0" w:color="auto"/>
              <w:right w:val="single" w:sz="6" w:space="0" w:color="auto"/>
            </w:tcBorders>
            <w:vAlign w:val="center"/>
            <w:hideMark/>
          </w:tcPr>
          <w:p w14:paraId="61B41735" w14:textId="7B77B0DE" w:rsidR="00080910" w:rsidRPr="00945156" w:rsidRDefault="00356EE1" w:rsidP="00BE3F24">
            <w:pPr>
              <w:jc w:val="center"/>
              <w:rPr>
                <w:rFonts w:ascii="Arial" w:hAnsi="Arial" w:cs="Arial"/>
                <w:b/>
                <w:bCs/>
                <w:color w:val="000000"/>
                <w:sz w:val="16"/>
                <w:szCs w:val="16"/>
              </w:rPr>
            </w:pPr>
            <w:r>
              <w:rPr>
                <w:rFonts w:ascii="Arial" w:hAnsi="Arial" w:cs="Arial"/>
                <w:b/>
                <w:bCs/>
                <w:color w:val="000000"/>
                <w:sz w:val="16"/>
                <w:szCs w:val="16"/>
              </w:rPr>
              <w:t>G</w:t>
            </w:r>
            <w:r w:rsidR="00080910" w:rsidRPr="00945156">
              <w:rPr>
                <w:rFonts w:ascii="Arial" w:hAnsi="Arial" w:cs="Arial"/>
                <w:b/>
                <w:bCs/>
                <w:color w:val="000000"/>
                <w:sz w:val="16"/>
                <w:szCs w:val="16"/>
              </w:rPr>
              <w:t xml:space="preserve">. </w:t>
            </w:r>
            <w:r w:rsidR="00080910">
              <w:rPr>
                <w:rFonts w:ascii="Arial" w:hAnsi="Arial" w:cs="Arial"/>
                <w:b/>
                <w:bCs/>
                <w:color w:val="000000"/>
                <w:sz w:val="16"/>
                <w:szCs w:val="16"/>
              </w:rPr>
              <w:t>Surface Texturizing</w:t>
            </w:r>
          </w:p>
        </w:tc>
        <w:tc>
          <w:tcPr>
            <w:tcW w:w="1080" w:type="dxa"/>
            <w:tcBorders>
              <w:top w:val="single" w:sz="6" w:space="0" w:color="auto"/>
              <w:left w:val="single" w:sz="6" w:space="0" w:color="auto"/>
              <w:bottom w:val="single" w:sz="24" w:space="0" w:color="auto"/>
              <w:right w:val="single" w:sz="6" w:space="0" w:color="auto"/>
            </w:tcBorders>
            <w:vAlign w:val="center"/>
            <w:hideMark/>
          </w:tcPr>
          <w:p w14:paraId="54EB49E8" w14:textId="39C9414A" w:rsidR="00080910" w:rsidRPr="00945156" w:rsidRDefault="00356EE1" w:rsidP="00BE3F24">
            <w:pPr>
              <w:jc w:val="center"/>
              <w:rPr>
                <w:rFonts w:ascii="Arial" w:hAnsi="Arial" w:cs="Arial"/>
                <w:b/>
                <w:bCs/>
                <w:color w:val="000000"/>
                <w:sz w:val="16"/>
                <w:szCs w:val="16"/>
              </w:rPr>
            </w:pPr>
            <w:r>
              <w:rPr>
                <w:rFonts w:ascii="Arial" w:hAnsi="Arial" w:cs="Arial"/>
                <w:b/>
                <w:bCs/>
                <w:color w:val="000000"/>
                <w:sz w:val="16"/>
                <w:szCs w:val="16"/>
              </w:rPr>
              <w:t>H</w:t>
            </w:r>
            <w:r w:rsidR="00080910" w:rsidRPr="00945156">
              <w:rPr>
                <w:rFonts w:ascii="Arial" w:hAnsi="Arial" w:cs="Arial"/>
                <w:b/>
                <w:bCs/>
                <w:color w:val="000000"/>
                <w:sz w:val="16"/>
                <w:szCs w:val="16"/>
              </w:rPr>
              <w:t>. Major Rehab</w:t>
            </w:r>
            <w:r w:rsidR="00452EFF">
              <w:rPr>
                <w:rFonts w:ascii="Arial" w:hAnsi="Arial" w:cs="Arial"/>
                <w:b/>
                <w:bCs/>
                <w:color w:val="000000"/>
                <w:sz w:val="16"/>
                <w:szCs w:val="16"/>
              </w:rPr>
              <w:t>**</w:t>
            </w:r>
          </w:p>
        </w:tc>
        <w:tc>
          <w:tcPr>
            <w:tcW w:w="948" w:type="dxa"/>
            <w:tcBorders>
              <w:top w:val="single" w:sz="6" w:space="0" w:color="auto"/>
              <w:left w:val="single" w:sz="6" w:space="0" w:color="auto"/>
              <w:bottom w:val="single" w:sz="24" w:space="0" w:color="auto"/>
              <w:right w:val="single" w:sz="24" w:space="0" w:color="auto"/>
            </w:tcBorders>
            <w:vAlign w:val="center"/>
            <w:hideMark/>
          </w:tcPr>
          <w:p w14:paraId="617F3A92" w14:textId="732587C1" w:rsidR="00080910" w:rsidRPr="00945156" w:rsidRDefault="00356EE1" w:rsidP="00BE3F24">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r w:rsidRPr="00945156">
              <w:rPr>
                <w:rFonts w:ascii="Arial" w:hAnsi="Arial" w:cs="Arial"/>
                <w:b/>
                <w:bCs/>
                <w:color w:val="000000"/>
                <w:sz w:val="16"/>
                <w:szCs w:val="16"/>
              </w:rPr>
              <w:t>struction</w:t>
            </w:r>
          </w:p>
        </w:tc>
      </w:tr>
      <w:tr w:rsidR="00115674" w:rsidRPr="00945156" w14:paraId="5D00C416" w14:textId="77777777" w:rsidTr="00F536E0">
        <w:trPr>
          <w:trHeight w:val="195"/>
        </w:trPr>
        <w:tc>
          <w:tcPr>
            <w:tcW w:w="641" w:type="dxa"/>
            <w:vMerge w:val="restart"/>
            <w:tcBorders>
              <w:top w:val="single" w:sz="24" w:space="0" w:color="auto"/>
              <w:left w:val="single" w:sz="24" w:space="0" w:color="auto"/>
              <w:bottom w:val="single" w:sz="6" w:space="0" w:color="auto"/>
              <w:right w:val="single" w:sz="6" w:space="0" w:color="auto"/>
            </w:tcBorders>
            <w:noWrap/>
            <w:vAlign w:val="center"/>
            <w:hideMark/>
          </w:tcPr>
          <w:p w14:paraId="2E0E96AC" w14:textId="77777777" w:rsidR="00356EE1" w:rsidRDefault="00356EE1" w:rsidP="00356EE1">
            <w:pPr>
              <w:jc w:val="center"/>
              <w:rPr>
                <w:rFonts w:ascii="Arial" w:hAnsi="Arial" w:cs="Arial"/>
                <w:color w:val="000000"/>
                <w:sz w:val="14"/>
                <w:szCs w:val="14"/>
              </w:rPr>
            </w:pPr>
            <w:r>
              <w:rPr>
                <w:rFonts w:ascii="Arial" w:hAnsi="Arial" w:cs="Arial"/>
                <w:color w:val="000000"/>
                <w:sz w:val="14"/>
                <w:szCs w:val="14"/>
              </w:rPr>
              <w:t>≥25</w:t>
            </w:r>
          </w:p>
          <w:p w14:paraId="62CD7AFD" w14:textId="09B42236" w:rsidR="00080910" w:rsidRPr="00945156" w:rsidRDefault="00080910" w:rsidP="00BE3F24">
            <w:pPr>
              <w:jc w:val="center"/>
              <w:rPr>
                <w:rFonts w:ascii="Arial" w:hAnsi="Arial" w:cs="Arial"/>
                <w:color w:val="000000"/>
                <w:sz w:val="14"/>
                <w:szCs w:val="14"/>
              </w:rPr>
            </w:pPr>
          </w:p>
        </w:tc>
        <w:tc>
          <w:tcPr>
            <w:tcW w:w="582" w:type="dxa"/>
            <w:vMerge w:val="restart"/>
            <w:tcBorders>
              <w:top w:val="single" w:sz="24" w:space="0" w:color="auto"/>
              <w:left w:val="single" w:sz="6" w:space="0" w:color="auto"/>
              <w:bottom w:val="single" w:sz="6" w:space="0" w:color="auto"/>
              <w:right w:val="single" w:sz="6" w:space="0" w:color="auto"/>
            </w:tcBorders>
            <w:vAlign w:val="center"/>
            <w:hideMark/>
          </w:tcPr>
          <w:p w14:paraId="7FF432AB" w14:textId="5E911489"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≤10</w:t>
            </w:r>
          </w:p>
        </w:tc>
        <w:tc>
          <w:tcPr>
            <w:tcW w:w="630" w:type="dxa"/>
            <w:vMerge w:val="restart"/>
            <w:tcBorders>
              <w:top w:val="single" w:sz="24" w:space="0" w:color="auto"/>
              <w:left w:val="single" w:sz="6" w:space="0" w:color="auto"/>
              <w:bottom w:val="single" w:sz="6" w:space="0" w:color="auto"/>
              <w:right w:val="single" w:sz="6" w:space="0" w:color="auto"/>
            </w:tcBorders>
            <w:noWrap/>
            <w:vAlign w:val="center"/>
            <w:hideMark/>
          </w:tcPr>
          <w:p w14:paraId="5648C680"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&gt;40</w:t>
            </w:r>
          </w:p>
        </w:tc>
        <w:tc>
          <w:tcPr>
            <w:tcW w:w="948" w:type="dxa"/>
            <w:tcBorders>
              <w:top w:val="single" w:sz="24" w:space="0" w:color="auto"/>
              <w:left w:val="single" w:sz="6" w:space="0" w:color="auto"/>
              <w:bottom w:val="single" w:sz="6" w:space="0" w:color="auto"/>
              <w:right w:val="single" w:sz="6" w:space="0" w:color="auto"/>
            </w:tcBorders>
            <w:noWrap/>
            <w:vAlign w:val="center"/>
            <w:hideMark/>
          </w:tcPr>
          <w:p w14:paraId="40F40A6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6D40969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61DF0CE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4FDF9B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24" w:space="0" w:color="auto"/>
              <w:left w:val="single" w:sz="6" w:space="0" w:color="auto"/>
              <w:bottom w:val="single" w:sz="6" w:space="0" w:color="auto"/>
              <w:right w:val="single" w:sz="6" w:space="0" w:color="auto"/>
            </w:tcBorders>
            <w:noWrap/>
            <w:vAlign w:val="center"/>
            <w:hideMark/>
          </w:tcPr>
          <w:p w14:paraId="5E61C37C" w14:textId="7ECDAEF6"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 D-6</w:t>
            </w: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67955C5D" w14:textId="4E11D893"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E-1</w:t>
            </w:r>
            <w:r w:rsidR="00080910" w:rsidRPr="00945156">
              <w:rPr>
                <w:rFonts w:ascii="Arial" w:hAnsi="Arial" w:cs="Arial"/>
                <w:color w:val="000000"/>
                <w:sz w:val="14"/>
                <w:szCs w:val="14"/>
              </w:rPr>
              <w:t> </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6805405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2C821A4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noWrap/>
            <w:vAlign w:val="center"/>
            <w:hideMark/>
          </w:tcPr>
          <w:p w14:paraId="1637EDDE" w14:textId="1E8B9395"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48" w:type="dxa"/>
            <w:tcBorders>
              <w:top w:val="single" w:sz="24" w:space="0" w:color="auto"/>
              <w:left w:val="single" w:sz="6" w:space="0" w:color="auto"/>
              <w:bottom w:val="single" w:sz="6" w:space="0" w:color="auto"/>
              <w:right w:val="single" w:sz="24" w:space="0" w:color="auto"/>
            </w:tcBorders>
            <w:noWrap/>
            <w:vAlign w:val="center"/>
            <w:hideMark/>
          </w:tcPr>
          <w:p w14:paraId="7AAD14B8" w14:textId="5E192113"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p>
        </w:tc>
      </w:tr>
      <w:tr w:rsidR="00115674" w:rsidRPr="00945156" w14:paraId="5EA566DB"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16F79E8"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2CA45AB3"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38385F51"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65AD870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D22A6A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55F756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A29025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124B5D02" w14:textId="53BF8DEB"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03BDF61" w14:textId="0B91FFE9"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3F57B4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B875A7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52A74560" w14:textId="7CE3530C"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48" w:type="dxa"/>
            <w:tcBorders>
              <w:top w:val="single" w:sz="6" w:space="0" w:color="auto"/>
              <w:left w:val="single" w:sz="6" w:space="0" w:color="auto"/>
              <w:bottom w:val="single" w:sz="6" w:space="0" w:color="auto"/>
              <w:right w:val="single" w:sz="24" w:space="0" w:color="auto"/>
            </w:tcBorders>
            <w:noWrap/>
            <w:vAlign w:val="center"/>
            <w:hideMark/>
          </w:tcPr>
          <w:p w14:paraId="761D5727" w14:textId="6E51D24D"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39925F3"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A67CAC9"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4ADB31B9"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560F6298"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274639A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4C1DE29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18A22B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B63270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45DD92EF" w14:textId="4C5FAD0E"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605AAEAB" w14:textId="631E4768"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1EBB9C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B42D11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6D5C82B2" w14:textId="56EE9769"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48" w:type="dxa"/>
            <w:tcBorders>
              <w:top w:val="single" w:sz="6" w:space="0" w:color="auto"/>
              <w:left w:val="single" w:sz="6" w:space="0" w:color="auto"/>
              <w:bottom w:val="single" w:sz="12" w:space="0" w:color="auto"/>
              <w:right w:val="single" w:sz="24" w:space="0" w:color="auto"/>
            </w:tcBorders>
            <w:noWrap/>
            <w:vAlign w:val="center"/>
            <w:hideMark/>
          </w:tcPr>
          <w:p w14:paraId="110EE5F8" w14:textId="45FA7D42"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2C39373"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551A05D"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4781D565" w14:textId="77777777" w:rsidR="00080910" w:rsidRPr="00945156" w:rsidRDefault="00080910" w:rsidP="00BE3F24">
            <w:pPr>
              <w:rPr>
                <w:rFonts w:ascii="Arial" w:hAnsi="Arial" w:cs="Arial"/>
                <w:color w:val="000000"/>
                <w:sz w:val="14"/>
                <w:szCs w:val="14"/>
              </w:rPr>
            </w:pP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5AE453B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046C6D0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E9F34F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CC044B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7182D6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45922F2B" w14:textId="35A41EF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 D-6</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1428564C" w14:textId="17084329"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A8354A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B52BF7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40871DCE" w14:textId="746CE573"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48" w:type="dxa"/>
            <w:tcBorders>
              <w:top w:val="single" w:sz="12" w:space="0" w:color="auto"/>
              <w:left w:val="single" w:sz="6" w:space="0" w:color="auto"/>
              <w:bottom w:val="single" w:sz="6" w:space="0" w:color="auto"/>
              <w:right w:val="single" w:sz="24" w:space="0" w:color="auto"/>
            </w:tcBorders>
            <w:noWrap/>
            <w:vAlign w:val="center"/>
            <w:hideMark/>
          </w:tcPr>
          <w:p w14:paraId="1A8F33D1" w14:textId="199DC0A9"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752BDA4A"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3FC50EF"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21B9B679"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6C99FBAC" w14:textId="77777777"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6A58ECC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08021F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EA52B1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172400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3710564B" w14:textId="71BD3C5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08CB42BB" w14:textId="4670584C"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8CBBE59"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B5241E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5DB8535A" w14:textId="01371C78"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48" w:type="dxa"/>
            <w:tcBorders>
              <w:top w:val="single" w:sz="6" w:space="0" w:color="auto"/>
              <w:left w:val="single" w:sz="6" w:space="0" w:color="auto"/>
              <w:bottom w:val="single" w:sz="6" w:space="0" w:color="auto"/>
              <w:right w:val="single" w:sz="24" w:space="0" w:color="auto"/>
            </w:tcBorders>
            <w:noWrap/>
            <w:vAlign w:val="center"/>
            <w:hideMark/>
          </w:tcPr>
          <w:p w14:paraId="03628242" w14:textId="07ECD813"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4655F35"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E62518E"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0CDF740E"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7373EACA" w14:textId="77777777"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41033FF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34B8E46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4202EA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1AB46B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32C59ABA" w14:textId="7A671560"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61CD91C8" w14:textId="17AE18CC"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65E990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62230B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38B3774E" w14:textId="61766F6E"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48" w:type="dxa"/>
            <w:tcBorders>
              <w:top w:val="single" w:sz="6" w:space="0" w:color="auto"/>
              <w:left w:val="single" w:sz="6" w:space="0" w:color="auto"/>
              <w:bottom w:val="single" w:sz="12" w:space="0" w:color="auto"/>
              <w:right w:val="single" w:sz="24" w:space="0" w:color="auto"/>
            </w:tcBorders>
            <w:noWrap/>
            <w:vAlign w:val="center"/>
            <w:hideMark/>
          </w:tcPr>
          <w:p w14:paraId="57F4C639" w14:textId="18B49760"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C1D9D9B"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00260AD" w14:textId="77777777" w:rsidR="00080910" w:rsidRPr="00945156" w:rsidRDefault="00080910" w:rsidP="00BE3F24">
            <w:pPr>
              <w:rPr>
                <w:rFonts w:ascii="Arial" w:hAnsi="Arial" w:cs="Arial"/>
                <w:color w:val="000000"/>
                <w:sz w:val="14"/>
                <w:szCs w:val="14"/>
              </w:rPr>
            </w:pPr>
          </w:p>
        </w:tc>
        <w:tc>
          <w:tcPr>
            <w:tcW w:w="582" w:type="dxa"/>
            <w:vMerge w:val="restart"/>
            <w:tcBorders>
              <w:top w:val="single" w:sz="6" w:space="0" w:color="auto"/>
              <w:left w:val="single" w:sz="6" w:space="0" w:color="auto"/>
              <w:bottom w:val="single" w:sz="6" w:space="0" w:color="auto"/>
              <w:right w:val="single" w:sz="6" w:space="0" w:color="auto"/>
            </w:tcBorders>
            <w:vAlign w:val="center"/>
            <w:hideMark/>
          </w:tcPr>
          <w:p w14:paraId="1643A052" w14:textId="5FCD8993"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&gt;10</w:t>
            </w: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3B6A2A9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72F1345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2A725BC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038B21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A152EC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39AFEC32" w14:textId="6B23BE71"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 D-6</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2D051DF4" w14:textId="782CFEE4"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85AD2E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F591F9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691E9902" w14:textId="72481F63"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r w:rsidRPr="00945156" w:rsidDel="00112B8C">
              <w:rPr>
                <w:rFonts w:ascii="Arial" w:hAnsi="Arial" w:cs="Arial"/>
                <w:color w:val="000000"/>
                <w:sz w:val="14"/>
                <w:szCs w:val="14"/>
              </w:rPr>
              <w:t xml:space="preserve"> </w:t>
            </w:r>
          </w:p>
        </w:tc>
        <w:tc>
          <w:tcPr>
            <w:tcW w:w="948" w:type="dxa"/>
            <w:tcBorders>
              <w:top w:val="single" w:sz="12" w:space="0" w:color="auto"/>
              <w:left w:val="single" w:sz="6" w:space="0" w:color="auto"/>
              <w:bottom w:val="single" w:sz="6" w:space="0" w:color="auto"/>
              <w:right w:val="single" w:sz="24" w:space="0" w:color="auto"/>
            </w:tcBorders>
            <w:noWrap/>
            <w:vAlign w:val="center"/>
            <w:hideMark/>
          </w:tcPr>
          <w:p w14:paraId="55E0CCCC" w14:textId="3165EDB6"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22CA7D8"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7340194"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712D3C11"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6F6645F1" w14:textId="77777777"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419632C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A27ACE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F1FF56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815423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5299DF64" w14:textId="4620260D"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41BEDFF" w14:textId="7B0307C6"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E86345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D92CC3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73B229E2" w14:textId="6F9213DB"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48" w:type="dxa"/>
            <w:tcBorders>
              <w:top w:val="single" w:sz="6" w:space="0" w:color="auto"/>
              <w:left w:val="single" w:sz="6" w:space="0" w:color="auto"/>
              <w:bottom w:val="single" w:sz="6" w:space="0" w:color="auto"/>
              <w:right w:val="single" w:sz="24" w:space="0" w:color="auto"/>
            </w:tcBorders>
            <w:noWrap/>
            <w:vAlign w:val="center"/>
            <w:hideMark/>
          </w:tcPr>
          <w:p w14:paraId="14FDA842" w14:textId="66F73DB9"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92BEB38"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662FE853"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56F0B6B5"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6B9E0F93" w14:textId="77777777"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29C861B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75A08F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417CBB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FF01F3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79E9C5EF" w14:textId="6799C6E9"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185B5CEF" w14:textId="58465716"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409011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87B6EA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6251B9D6" w14:textId="3417808F"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48" w:type="dxa"/>
            <w:tcBorders>
              <w:top w:val="single" w:sz="6" w:space="0" w:color="auto"/>
              <w:left w:val="single" w:sz="6" w:space="0" w:color="auto"/>
              <w:bottom w:val="single" w:sz="12" w:space="0" w:color="auto"/>
              <w:right w:val="single" w:sz="24" w:space="0" w:color="auto"/>
            </w:tcBorders>
            <w:noWrap/>
            <w:vAlign w:val="center"/>
            <w:hideMark/>
          </w:tcPr>
          <w:p w14:paraId="74534285" w14:textId="4A64C15A"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1AC1D165"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64EB8368"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3A1D123C" w14:textId="77777777" w:rsidR="00080910" w:rsidRPr="00945156" w:rsidRDefault="00080910" w:rsidP="00BE3F24">
            <w:pPr>
              <w:rPr>
                <w:rFonts w:ascii="Arial" w:hAnsi="Arial" w:cs="Arial"/>
                <w:color w:val="000000"/>
                <w:sz w:val="14"/>
                <w:szCs w:val="14"/>
              </w:rPr>
            </w:pP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08515F6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34C53FC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0E2C242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E7315B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0145CB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183535B7" w14:textId="165A72F0"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 D-6</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4C5A7C88" w14:textId="454B025A"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668391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762C60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1352D302" w14:textId="1D420599"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48" w:type="dxa"/>
            <w:tcBorders>
              <w:top w:val="single" w:sz="12" w:space="0" w:color="auto"/>
              <w:left w:val="single" w:sz="6" w:space="0" w:color="auto"/>
              <w:bottom w:val="single" w:sz="6" w:space="0" w:color="auto"/>
              <w:right w:val="single" w:sz="24" w:space="0" w:color="auto"/>
            </w:tcBorders>
            <w:noWrap/>
            <w:vAlign w:val="center"/>
            <w:hideMark/>
          </w:tcPr>
          <w:p w14:paraId="6B75A181" w14:textId="32117F43"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18CAC55"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188AC92A"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1F540FF3"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76F49FE3" w14:textId="77777777"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21A6B3A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13473F5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F55205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FC613C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1CF27EC9" w14:textId="506F276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1DF69A4C" w14:textId="67B65CC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88A0EB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362F8F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06F5F2F3" w14:textId="76D78C2B"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48" w:type="dxa"/>
            <w:tcBorders>
              <w:top w:val="single" w:sz="6" w:space="0" w:color="auto"/>
              <w:left w:val="single" w:sz="6" w:space="0" w:color="auto"/>
              <w:bottom w:val="single" w:sz="6" w:space="0" w:color="auto"/>
              <w:right w:val="single" w:sz="24" w:space="0" w:color="auto"/>
            </w:tcBorders>
            <w:noWrap/>
            <w:vAlign w:val="center"/>
            <w:hideMark/>
          </w:tcPr>
          <w:p w14:paraId="2476183D" w14:textId="39A9C8AE"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78240096" w14:textId="77777777" w:rsidTr="00F536E0">
        <w:trPr>
          <w:trHeight w:val="195"/>
        </w:trPr>
        <w:tc>
          <w:tcPr>
            <w:tcW w:w="641" w:type="dxa"/>
            <w:vMerge/>
            <w:tcBorders>
              <w:top w:val="single" w:sz="6" w:space="0" w:color="auto"/>
              <w:left w:val="single" w:sz="24" w:space="0" w:color="auto"/>
              <w:bottom w:val="single" w:sz="24" w:space="0" w:color="auto"/>
              <w:right w:val="single" w:sz="6" w:space="0" w:color="auto"/>
            </w:tcBorders>
            <w:vAlign w:val="center"/>
            <w:hideMark/>
          </w:tcPr>
          <w:p w14:paraId="6CBC205A"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24" w:space="0" w:color="auto"/>
              <w:right w:val="single" w:sz="6" w:space="0" w:color="auto"/>
            </w:tcBorders>
            <w:vAlign w:val="center"/>
            <w:hideMark/>
          </w:tcPr>
          <w:p w14:paraId="083216FB"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24" w:space="0" w:color="auto"/>
              <w:right w:val="single" w:sz="6" w:space="0" w:color="auto"/>
            </w:tcBorders>
            <w:vAlign w:val="center"/>
            <w:hideMark/>
          </w:tcPr>
          <w:p w14:paraId="04A85F72" w14:textId="77777777"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24" w:space="0" w:color="auto"/>
              <w:right w:val="single" w:sz="6" w:space="0" w:color="auto"/>
            </w:tcBorders>
            <w:noWrap/>
            <w:vAlign w:val="center"/>
            <w:hideMark/>
          </w:tcPr>
          <w:p w14:paraId="4A625E19"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3AC0BC1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EFBFA5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3BEF85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24" w:space="0" w:color="auto"/>
              <w:right w:val="single" w:sz="6" w:space="0" w:color="auto"/>
            </w:tcBorders>
            <w:noWrap/>
            <w:vAlign w:val="center"/>
            <w:hideMark/>
          </w:tcPr>
          <w:p w14:paraId="00496E82" w14:textId="132F29BD"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1C212980" w14:textId="4B55DC8F"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3F41D6C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BD9C99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noWrap/>
            <w:vAlign w:val="center"/>
            <w:hideMark/>
          </w:tcPr>
          <w:p w14:paraId="4D178743" w14:textId="06260D55"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48" w:type="dxa"/>
            <w:tcBorders>
              <w:top w:val="single" w:sz="6" w:space="0" w:color="auto"/>
              <w:left w:val="single" w:sz="6" w:space="0" w:color="auto"/>
              <w:bottom w:val="single" w:sz="24" w:space="0" w:color="auto"/>
              <w:right w:val="single" w:sz="24" w:space="0" w:color="auto"/>
            </w:tcBorders>
            <w:noWrap/>
            <w:vAlign w:val="center"/>
            <w:hideMark/>
          </w:tcPr>
          <w:p w14:paraId="1AACF447" w14:textId="5B1A9B14"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132B8777" w14:textId="77777777" w:rsidTr="00F536E0">
        <w:trPr>
          <w:trHeight w:val="180"/>
        </w:trPr>
        <w:tc>
          <w:tcPr>
            <w:tcW w:w="641" w:type="dxa"/>
            <w:vMerge w:val="restart"/>
            <w:tcBorders>
              <w:top w:val="single" w:sz="24" w:space="0" w:color="auto"/>
              <w:left w:val="single" w:sz="24" w:space="0" w:color="auto"/>
              <w:bottom w:val="single" w:sz="6" w:space="0" w:color="auto"/>
              <w:right w:val="single" w:sz="6" w:space="0" w:color="auto"/>
            </w:tcBorders>
            <w:noWrap/>
            <w:vAlign w:val="center"/>
            <w:hideMark/>
          </w:tcPr>
          <w:p w14:paraId="61DA0933" w14:textId="26BC3C7D" w:rsidR="00356EE1" w:rsidRDefault="00356EE1" w:rsidP="00356EE1">
            <w:pPr>
              <w:jc w:val="center"/>
              <w:rPr>
                <w:rFonts w:ascii="Arial" w:hAnsi="Arial" w:cs="Arial"/>
                <w:color w:val="000000"/>
                <w:sz w:val="14"/>
                <w:szCs w:val="14"/>
              </w:rPr>
            </w:pPr>
            <w:r>
              <w:rPr>
                <w:rFonts w:ascii="Arial" w:hAnsi="Arial" w:cs="Arial"/>
                <w:color w:val="000000"/>
                <w:sz w:val="14"/>
                <w:szCs w:val="14"/>
              </w:rPr>
              <w:t>≥5</w:t>
            </w:r>
            <w:r w:rsidR="00080910">
              <w:rPr>
                <w:rFonts w:ascii="Arial" w:hAnsi="Arial" w:cs="Arial"/>
                <w:color w:val="000000"/>
                <w:sz w:val="14"/>
                <w:szCs w:val="14"/>
              </w:rPr>
              <w:t xml:space="preserve"> to </w:t>
            </w:r>
            <w:r>
              <w:rPr>
                <w:rFonts w:ascii="Arial" w:hAnsi="Arial" w:cs="Arial"/>
                <w:color w:val="000000"/>
                <w:sz w:val="14"/>
                <w:szCs w:val="14"/>
              </w:rPr>
              <w:t>&lt;25</w:t>
            </w:r>
          </w:p>
          <w:p w14:paraId="18376E8F" w14:textId="47217B55" w:rsidR="00080910" w:rsidRPr="00945156" w:rsidRDefault="00080910" w:rsidP="00BE3F24">
            <w:pPr>
              <w:jc w:val="center"/>
              <w:rPr>
                <w:rFonts w:ascii="Arial" w:hAnsi="Arial" w:cs="Arial"/>
                <w:color w:val="000000"/>
                <w:sz w:val="14"/>
                <w:szCs w:val="14"/>
              </w:rPr>
            </w:pPr>
          </w:p>
        </w:tc>
        <w:tc>
          <w:tcPr>
            <w:tcW w:w="582" w:type="dxa"/>
            <w:vMerge w:val="restart"/>
            <w:tcBorders>
              <w:top w:val="single" w:sz="24" w:space="0" w:color="auto"/>
              <w:left w:val="single" w:sz="6" w:space="0" w:color="auto"/>
              <w:bottom w:val="single" w:sz="6" w:space="0" w:color="auto"/>
              <w:right w:val="single" w:sz="6" w:space="0" w:color="auto"/>
            </w:tcBorders>
            <w:vAlign w:val="center"/>
            <w:hideMark/>
          </w:tcPr>
          <w:p w14:paraId="2199255D" w14:textId="6A855347"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≤10</w:t>
            </w:r>
          </w:p>
        </w:tc>
        <w:tc>
          <w:tcPr>
            <w:tcW w:w="630" w:type="dxa"/>
            <w:vMerge w:val="restart"/>
            <w:tcBorders>
              <w:top w:val="single" w:sz="24" w:space="0" w:color="auto"/>
              <w:left w:val="single" w:sz="6" w:space="0" w:color="auto"/>
              <w:bottom w:val="single" w:sz="6" w:space="0" w:color="auto"/>
              <w:right w:val="single" w:sz="6" w:space="0" w:color="auto"/>
            </w:tcBorders>
            <w:noWrap/>
            <w:vAlign w:val="center"/>
            <w:hideMark/>
          </w:tcPr>
          <w:p w14:paraId="0B3B2A3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&gt;40</w:t>
            </w:r>
          </w:p>
        </w:tc>
        <w:tc>
          <w:tcPr>
            <w:tcW w:w="948" w:type="dxa"/>
            <w:tcBorders>
              <w:top w:val="single" w:sz="24" w:space="0" w:color="auto"/>
              <w:left w:val="single" w:sz="6" w:space="0" w:color="auto"/>
              <w:bottom w:val="single" w:sz="6" w:space="0" w:color="auto"/>
              <w:right w:val="single" w:sz="6" w:space="0" w:color="auto"/>
            </w:tcBorders>
            <w:noWrap/>
            <w:vAlign w:val="center"/>
            <w:hideMark/>
          </w:tcPr>
          <w:p w14:paraId="77CF5A1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68C11E7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3B9C47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8B30D4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24" w:space="0" w:color="auto"/>
              <w:left w:val="single" w:sz="6" w:space="0" w:color="auto"/>
              <w:bottom w:val="single" w:sz="6" w:space="0" w:color="auto"/>
              <w:right w:val="single" w:sz="6" w:space="0" w:color="auto"/>
            </w:tcBorders>
            <w:noWrap/>
            <w:vAlign w:val="center"/>
            <w:hideMark/>
          </w:tcPr>
          <w:p w14:paraId="28105267" w14:textId="17D8BE1C"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356EE1">
              <w:rPr>
                <w:rFonts w:ascii="Arial" w:hAnsi="Arial" w:cs="Arial"/>
                <w:color w:val="000000"/>
                <w:sz w:val="14"/>
                <w:szCs w:val="14"/>
              </w:rPr>
              <w:t>4, D-6</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536007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53BC1D1C" w14:textId="3C5FA7EC"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F-1</w:t>
            </w:r>
            <w:r w:rsidR="00080910"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2B5932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ADA88FF" w14:textId="7102008D" w:rsidR="00080910" w:rsidRPr="00945156" w:rsidRDefault="00080910" w:rsidP="00BE3F24">
            <w:pPr>
              <w:jc w:val="center"/>
              <w:rPr>
                <w:rFonts w:ascii="Arial" w:hAnsi="Arial" w:cs="Arial"/>
                <w:color w:val="000000"/>
                <w:sz w:val="14"/>
                <w:szCs w:val="14"/>
              </w:rPr>
            </w:pPr>
          </w:p>
        </w:tc>
        <w:tc>
          <w:tcPr>
            <w:tcW w:w="948"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CC66C09"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087AC20"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7F88CD1"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653EE452"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38CA190C"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3C2FB37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D05528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03B942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8B076B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14C70155" w14:textId="74DC0CE4"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18ACBDB" w14:textId="402521E0"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E-2</w:t>
            </w:r>
            <w:r w:rsidR="00080910"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4BB7051" w14:textId="6B9155B4"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5D0B28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25D1254" w14:textId="38E787C8"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794BF9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611FC8F"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5FE31A0B"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266B10B5"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746CBB21"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0A53D6D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4D66386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58E544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045177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15A215FC" w14:textId="0F0AAAAE"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sidRPr="00945156">
              <w:rPr>
                <w:rFonts w:ascii="Arial" w:hAnsi="Arial" w:cs="Arial"/>
                <w:color w:val="000000"/>
                <w:sz w:val="14"/>
                <w:szCs w:val="14"/>
              </w:rPr>
              <w:t>3</w:t>
            </w:r>
            <w:r w:rsidR="00356EE1">
              <w:rPr>
                <w:rFonts w:ascii="Arial" w:hAnsi="Arial" w:cs="Arial"/>
                <w:color w:val="000000"/>
                <w:sz w:val="14"/>
                <w:szCs w:val="14"/>
              </w:rPr>
              <w:t>,</w:t>
            </w:r>
            <w:r>
              <w:rPr>
                <w:rFonts w:ascii="Arial" w:hAnsi="Arial" w:cs="Arial"/>
                <w:color w:val="000000"/>
                <w:sz w:val="14"/>
                <w:szCs w:val="14"/>
              </w:rPr>
              <w:t xml:space="preserve"> D-</w:t>
            </w:r>
            <w:r w:rsidR="00356EE1">
              <w:rPr>
                <w:rFonts w:ascii="Arial" w:hAnsi="Arial" w:cs="Arial"/>
                <w:color w:val="000000"/>
                <w:sz w:val="14"/>
                <w:szCs w:val="14"/>
              </w:rPr>
              <w:t>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063231A7" w14:textId="5425BA76"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4EA7839F" w14:textId="466F2259"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B714E3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4D18911" w14:textId="27427E20"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45840DC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4A71A49"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B12F5A8"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116703AD" w14:textId="77777777" w:rsidR="00080910" w:rsidRPr="00945156" w:rsidRDefault="00080910" w:rsidP="00BE3F24">
            <w:pPr>
              <w:rPr>
                <w:rFonts w:ascii="Arial" w:hAnsi="Arial" w:cs="Arial"/>
                <w:color w:val="000000"/>
                <w:sz w:val="14"/>
                <w:szCs w:val="14"/>
              </w:rPr>
            </w:pP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3804CEE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2B83341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63720F99"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9CD581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5B95FB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7398F45F" w14:textId="3CED4BD8"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356EE1">
              <w:rPr>
                <w:rFonts w:ascii="Arial" w:hAnsi="Arial" w:cs="Arial"/>
                <w:color w:val="000000"/>
                <w:sz w:val="14"/>
                <w:szCs w:val="14"/>
              </w:rPr>
              <w:t>4,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DE3D00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37AF9AFE" w14:textId="0FE156D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6D9D9F0"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E8AB9F5" w14:textId="76837C7A" w:rsidR="00080910" w:rsidRPr="00945156" w:rsidRDefault="00080910" w:rsidP="00BE3F24">
            <w:pPr>
              <w:jc w:val="center"/>
              <w:rPr>
                <w:rFonts w:ascii="Arial" w:hAnsi="Arial" w:cs="Arial"/>
                <w:color w:val="000000"/>
                <w:sz w:val="14"/>
                <w:szCs w:val="14"/>
              </w:rPr>
            </w:pPr>
          </w:p>
        </w:tc>
        <w:tc>
          <w:tcPr>
            <w:tcW w:w="948"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B0CC9D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ACBBE75"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49A847AC"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57D273B7"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3FAE1257"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14026BC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BEE42E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E8A8BC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4218A5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75C604A6" w14:textId="2D4B3A7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8AD3F9A" w14:textId="21FDBF1B"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96DD4FB" w14:textId="1E994308"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590797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2900991" w14:textId="3A0E176F"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ACBE2E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7700148"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75567DEB"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1229A479"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6297726C"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670D897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D5FEAE9"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3C39B1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221FF9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1D57718B" w14:textId="4E3DC5E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sidRPr="00945156">
              <w:rPr>
                <w:rFonts w:ascii="Arial" w:hAnsi="Arial" w:cs="Arial"/>
                <w:color w:val="000000"/>
                <w:sz w:val="14"/>
                <w:szCs w:val="14"/>
              </w:rPr>
              <w:t>3</w:t>
            </w:r>
            <w:r w:rsidR="00356EE1">
              <w:rPr>
                <w:rFonts w:ascii="Arial" w:hAnsi="Arial" w:cs="Arial"/>
                <w:color w:val="000000"/>
                <w:sz w:val="14"/>
                <w:szCs w:val="14"/>
              </w:rPr>
              <w:t>,</w:t>
            </w:r>
            <w:r>
              <w:rPr>
                <w:rFonts w:ascii="Arial" w:hAnsi="Arial" w:cs="Arial"/>
                <w:color w:val="000000"/>
                <w:sz w:val="14"/>
                <w:szCs w:val="14"/>
              </w:rPr>
              <w:t xml:space="preserve"> D-</w:t>
            </w:r>
            <w:r w:rsidR="00356EE1">
              <w:rPr>
                <w:rFonts w:ascii="Arial" w:hAnsi="Arial" w:cs="Arial"/>
                <w:color w:val="000000"/>
                <w:sz w:val="14"/>
                <w:szCs w:val="14"/>
              </w:rPr>
              <w:t>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3EAB96C5" w14:textId="6163D7C8"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57C3E306" w14:textId="4E5A0F4A"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0E946C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04C3154" w14:textId="32DD80FD"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60D4DD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F6334BA"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EEDE846" w14:textId="77777777" w:rsidR="00080910" w:rsidRPr="00945156" w:rsidRDefault="00080910" w:rsidP="00BE3F24">
            <w:pPr>
              <w:rPr>
                <w:rFonts w:ascii="Arial" w:hAnsi="Arial" w:cs="Arial"/>
                <w:color w:val="000000"/>
                <w:sz w:val="14"/>
                <w:szCs w:val="14"/>
              </w:rPr>
            </w:pPr>
          </w:p>
        </w:tc>
        <w:tc>
          <w:tcPr>
            <w:tcW w:w="582" w:type="dxa"/>
            <w:vMerge w:val="restart"/>
            <w:tcBorders>
              <w:top w:val="single" w:sz="6" w:space="0" w:color="auto"/>
              <w:left w:val="single" w:sz="6" w:space="0" w:color="auto"/>
              <w:bottom w:val="single" w:sz="6" w:space="0" w:color="auto"/>
              <w:right w:val="single" w:sz="6" w:space="0" w:color="auto"/>
            </w:tcBorders>
            <w:vAlign w:val="center"/>
            <w:hideMark/>
          </w:tcPr>
          <w:p w14:paraId="57F472FC" w14:textId="7AF9254F"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&gt;10</w:t>
            </w: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57EC182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176815A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0F14181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0EDE5F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19B9E2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1A100AB4" w14:textId="4319480D"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356EE1">
              <w:rPr>
                <w:rFonts w:ascii="Arial" w:hAnsi="Arial" w:cs="Arial"/>
                <w:color w:val="000000"/>
                <w:sz w:val="14"/>
                <w:szCs w:val="14"/>
              </w:rPr>
              <w:t>4,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477538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20CBA44E" w14:textId="22986288"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F6B046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794A283" w14:textId="3BEDFA68" w:rsidR="00080910" w:rsidRPr="00945156" w:rsidRDefault="00080910" w:rsidP="00BE3F24">
            <w:pPr>
              <w:jc w:val="center"/>
              <w:rPr>
                <w:rFonts w:ascii="Arial" w:hAnsi="Arial" w:cs="Arial"/>
                <w:color w:val="000000"/>
                <w:sz w:val="14"/>
                <w:szCs w:val="14"/>
              </w:rPr>
            </w:pPr>
          </w:p>
        </w:tc>
        <w:tc>
          <w:tcPr>
            <w:tcW w:w="948"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C2B2CD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053F237"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BEAA581"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63DC08D9"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0B4C5583"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0A792C8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5AEEC4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2AB051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5EFC82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0ADF71B8" w14:textId="33AC3FE6"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91A64B4" w14:textId="287FF66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4962475" w14:textId="501BEF4F"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F0178E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6879B3F" w14:textId="721C2568"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B5B804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EFEC25B"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4F7FEF16"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7A04074A"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07989C18"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04A9021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2C1D6C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158EFB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BF07F5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24521A3A" w14:textId="714F40C2"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sidRPr="00945156">
              <w:rPr>
                <w:rFonts w:ascii="Arial" w:hAnsi="Arial" w:cs="Arial"/>
                <w:color w:val="000000"/>
                <w:sz w:val="14"/>
                <w:szCs w:val="14"/>
              </w:rPr>
              <w:t>3</w:t>
            </w:r>
            <w:r w:rsidR="00356EE1">
              <w:rPr>
                <w:rFonts w:ascii="Arial" w:hAnsi="Arial" w:cs="Arial"/>
                <w:color w:val="000000"/>
                <w:sz w:val="14"/>
                <w:szCs w:val="14"/>
              </w:rPr>
              <w:t>,</w:t>
            </w:r>
            <w:r>
              <w:rPr>
                <w:rFonts w:ascii="Arial" w:hAnsi="Arial" w:cs="Arial"/>
                <w:color w:val="000000"/>
                <w:sz w:val="14"/>
                <w:szCs w:val="14"/>
              </w:rPr>
              <w:t xml:space="preserve"> D-</w:t>
            </w:r>
            <w:r w:rsidR="00356EE1">
              <w:rPr>
                <w:rFonts w:ascii="Arial" w:hAnsi="Arial" w:cs="Arial"/>
                <w:color w:val="000000"/>
                <w:sz w:val="14"/>
                <w:szCs w:val="14"/>
              </w:rPr>
              <w:t>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7CC4F2F1" w14:textId="1BF8EE1A"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2AA8F985" w14:textId="37D30EC6"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F79216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504690D" w14:textId="08744A24"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253F0DB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B7A6840"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E730DD4"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6EE63FBA" w14:textId="77777777" w:rsidR="00080910" w:rsidRPr="00945156" w:rsidRDefault="00080910" w:rsidP="00BE3F24">
            <w:pPr>
              <w:rPr>
                <w:rFonts w:ascii="Arial" w:hAnsi="Arial" w:cs="Arial"/>
                <w:color w:val="000000"/>
                <w:sz w:val="14"/>
                <w:szCs w:val="14"/>
              </w:rPr>
            </w:pP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1227A7E0"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1660060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7CD4299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24C40A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259F6F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0063BAD9" w14:textId="704CFDB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356EE1">
              <w:rPr>
                <w:rFonts w:ascii="Arial" w:hAnsi="Arial" w:cs="Arial"/>
                <w:color w:val="000000"/>
                <w:sz w:val="14"/>
                <w:szCs w:val="14"/>
              </w:rPr>
              <w:t>4,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D03BFF9"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63E85C38" w14:textId="5E16AC6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426B15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B6F3652" w14:textId="54ADA5D3" w:rsidR="00080910" w:rsidRPr="00945156" w:rsidRDefault="00080910" w:rsidP="00BE3F24">
            <w:pPr>
              <w:jc w:val="center"/>
              <w:rPr>
                <w:rFonts w:ascii="Arial" w:hAnsi="Arial" w:cs="Arial"/>
                <w:color w:val="000000"/>
                <w:sz w:val="14"/>
                <w:szCs w:val="14"/>
              </w:rPr>
            </w:pPr>
          </w:p>
        </w:tc>
        <w:tc>
          <w:tcPr>
            <w:tcW w:w="948"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483B31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C4332DD"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61FE327E"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6FE40468"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1989F48F"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5C77BF4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8F202D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7651D6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D268E2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4B293B60" w14:textId="24BF7BC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356EE1">
              <w:rPr>
                <w:rFonts w:ascii="Arial" w:hAnsi="Arial" w:cs="Arial"/>
                <w:color w:val="000000"/>
                <w:sz w:val="14"/>
                <w:szCs w:val="14"/>
              </w:rPr>
              <w:t>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07D7A26D" w14:textId="04E2C2A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67EED30" w14:textId="0A518FAE"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E5E301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E68B51A" w14:textId="60FC38E3"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1F8AE4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3CD7E75" w14:textId="77777777" w:rsidTr="00F536E0">
        <w:trPr>
          <w:trHeight w:val="195"/>
        </w:trPr>
        <w:tc>
          <w:tcPr>
            <w:tcW w:w="641" w:type="dxa"/>
            <w:vMerge/>
            <w:tcBorders>
              <w:top w:val="single" w:sz="6" w:space="0" w:color="auto"/>
              <w:left w:val="single" w:sz="24" w:space="0" w:color="auto"/>
              <w:bottom w:val="single" w:sz="24" w:space="0" w:color="auto"/>
              <w:right w:val="single" w:sz="6" w:space="0" w:color="auto"/>
            </w:tcBorders>
            <w:vAlign w:val="center"/>
            <w:hideMark/>
          </w:tcPr>
          <w:p w14:paraId="090303EF"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24" w:space="0" w:color="auto"/>
              <w:right w:val="single" w:sz="6" w:space="0" w:color="auto"/>
            </w:tcBorders>
            <w:vAlign w:val="center"/>
            <w:hideMark/>
          </w:tcPr>
          <w:p w14:paraId="53BA8B6A"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24" w:space="0" w:color="auto"/>
              <w:right w:val="single" w:sz="6" w:space="0" w:color="auto"/>
            </w:tcBorders>
            <w:vAlign w:val="center"/>
            <w:hideMark/>
          </w:tcPr>
          <w:p w14:paraId="36834610"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24" w:space="0" w:color="auto"/>
              <w:right w:val="single" w:sz="6" w:space="0" w:color="auto"/>
            </w:tcBorders>
            <w:noWrap/>
            <w:vAlign w:val="center"/>
            <w:hideMark/>
          </w:tcPr>
          <w:p w14:paraId="6523A48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236B011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6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B16B95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1D0DF2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24" w:space="0" w:color="auto"/>
              <w:right w:val="single" w:sz="6" w:space="0" w:color="auto"/>
            </w:tcBorders>
            <w:noWrap/>
            <w:vAlign w:val="center"/>
            <w:hideMark/>
          </w:tcPr>
          <w:p w14:paraId="150CA206" w14:textId="3418669A"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sidRPr="00945156">
              <w:rPr>
                <w:rFonts w:ascii="Arial" w:hAnsi="Arial" w:cs="Arial"/>
                <w:color w:val="000000"/>
                <w:sz w:val="14"/>
                <w:szCs w:val="14"/>
              </w:rPr>
              <w:t>3</w:t>
            </w:r>
            <w:r w:rsidR="00356EE1">
              <w:rPr>
                <w:rFonts w:ascii="Arial" w:hAnsi="Arial" w:cs="Arial"/>
                <w:color w:val="000000"/>
                <w:sz w:val="14"/>
                <w:szCs w:val="14"/>
              </w:rPr>
              <w:t>,</w:t>
            </w:r>
            <w:r>
              <w:rPr>
                <w:rFonts w:ascii="Arial" w:hAnsi="Arial" w:cs="Arial"/>
                <w:color w:val="000000"/>
                <w:sz w:val="14"/>
                <w:szCs w:val="14"/>
              </w:rPr>
              <w:t xml:space="preserve"> D-</w:t>
            </w:r>
            <w:r w:rsidR="00356EE1">
              <w:rPr>
                <w:rFonts w:ascii="Arial" w:hAnsi="Arial" w:cs="Arial"/>
                <w:color w:val="000000"/>
                <w:sz w:val="14"/>
                <w:szCs w:val="14"/>
              </w:rPr>
              <w:t>4, D-6</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20B07A07" w14:textId="31B07B6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2D461AB6" w14:textId="5A7AE4B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57B8C7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1FC95F1E" w14:textId="2724EBD4" w:rsidR="00080910" w:rsidRPr="00945156" w:rsidRDefault="00080910" w:rsidP="00BE3F24">
            <w:pPr>
              <w:jc w:val="center"/>
              <w:rPr>
                <w:rFonts w:ascii="Arial" w:hAnsi="Arial" w:cs="Arial"/>
                <w:color w:val="000000"/>
                <w:sz w:val="14"/>
                <w:szCs w:val="14"/>
              </w:rPr>
            </w:pPr>
          </w:p>
        </w:tc>
        <w:tc>
          <w:tcPr>
            <w:tcW w:w="948"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B52D54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6C80AF2" w14:textId="77777777" w:rsidTr="00356EE1">
        <w:trPr>
          <w:trHeight w:val="180"/>
        </w:trPr>
        <w:tc>
          <w:tcPr>
            <w:tcW w:w="641" w:type="dxa"/>
            <w:vMerge w:val="restart"/>
            <w:tcBorders>
              <w:top w:val="single" w:sz="24" w:space="0" w:color="auto"/>
              <w:left w:val="single" w:sz="24" w:space="0" w:color="auto"/>
              <w:bottom w:val="single" w:sz="6" w:space="0" w:color="auto"/>
              <w:right w:val="single" w:sz="6" w:space="0" w:color="auto"/>
            </w:tcBorders>
            <w:noWrap/>
            <w:vAlign w:val="center"/>
            <w:hideMark/>
          </w:tcPr>
          <w:p w14:paraId="37A48F67" w14:textId="77777777" w:rsidR="00356EE1" w:rsidRDefault="00356EE1" w:rsidP="00356EE1">
            <w:pPr>
              <w:jc w:val="center"/>
              <w:rPr>
                <w:rFonts w:ascii="Arial" w:hAnsi="Arial" w:cs="Arial"/>
                <w:color w:val="000000"/>
                <w:sz w:val="14"/>
                <w:szCs w:val="14"/>
              </w:rPr>
            </w:pPr>
            <w:r>
              <w:rPr>
                <w:rFonts w:ascii="Arial" w:hAnsi="Arial" w:cs="Arial"/>
                <w:color w:val="000000"/>
                <w:sz w:val="14"/>
                <w:szCs w:val="14"/>
              </w:rPr>
              <w:t>&lt;5</w:t>
            </w:r>
          </w:p>
          <w:p w14:paraId="7D790AAB" w14:textId="4E77DB3D" w:rsidR="00080910" w:rsidRPr="00945156" w:rsidRDefault="00080910" w:rsidP="00BE3F24">
            <w:pPr>
              <w:jc w:val="center"/>
              <w:rPr>
                <w:rFonts w:ascii="Arial" w:hAnsi="Arial" w:cs="Arial"/>
                <w:color w:val="000000"/>
                <w:sz w:val="14"/>
                <w:szCs w:val="14"/>
              </w:rPr>
            </w:pPr>
          </w:p>
        </w:tc>
        <w:tc>
          <w:tcPr>
            <w:tcW w:w="582" w:type="dxa"/>
            <w:vMerge w:val="restart"/>
            <w:tcBorders>
              <w:top w:val="single" w:sz="24" w:space="0" w:color="auto"/>
              <w:left w:val="single" w:sz="6" w:space="0" w:color="auto"/>
              <w:bottom w:val="single" w:sz="6" w:space="0" w:color="auto"/>
              <w:right w:val="single" w:sz="6" w:space="0" w:color="auto"/>
            </w:tcBorders>
            <w:vAlign w:val="center"/>
            <w:hideMark/>
          </w:tcPr>
          <w:p w14:paraId="279B3CDB" w14:textId="672287FA"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≤10</w:t>
            </w:r>
          </w:p>
        </w:tc>
        <w:tc>
          <w:tcPr>
            <w:tcW w:w="630" w:type="dxa"/>
            <w:vMerge w:val="restart"/>
            <w:tcBorders>
              <w:top w:val="single" w:sz="24" w:space="0" w:color="auto"/>
              <w:left w:val="single" w:sz="6" w:space="0" w:color="auto"/>
              <w:bottom w:val="single" w:sz="6" w:space="0" w:color="auto"/>
              <w:right w:val="single" w:sz="6" w:space="0" w:color="auto"/>
            </w:tcBorders>
            <w:noWrap/>
            <w:vAlign w:val="center"/>
            <w:hideMark/>
          </w:tcPr>
          <w:p w14:paraId="097A656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&gt;40</w:t>
            </w:r>
          </w:p>
        </w:tc>
        <w:tc>
          <w:tcPr>
            <w:tcW w:w="948" w:type="dxa"/>
            <w:tcBorders>
              <w:top w:val="single" w:sz="24" w:space="0" w:color="auto"/>
              <w:left w:val="single" w:sz="6" w:space="0" w:color="auto"/>
              <w:bottom w:val="single" w:sz="6" w:space="0" w:color="auto"/>
              <w:right w:val="single" w:sz="6" w:space="0" w:color="auto"/>
            </w:tcBorders>
            <w:noWrap/>
            <w:vAlign w:val="center"/>
            <w:hideMark/>
          </w:tcPr>
          <w:p w14:paraId="379174C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24" w:space="0" w:color="auto"/>
              <w:left w:val="single" w:sz="6" w:space="0" w:color="auto"/>
              <w:bottom w:val="single" w:sz="6" w:space="0" w:color="auto"/>
              <w:right w:val="single" w:sz="6" w:space="0" w:color="auto"/>
            </w:tcBorders>
            <w:vAlign w:val="center"/>
            <w:hideMark/>
          </w:tcPr>
          <w:p w14:paraId="6239543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A-1</w:t>
            </w:r>
          </w:p>
        </w:tc>
        <w:tc>
          <w:tcPr>
            <w:tcW w:w="1260" w:type="dxa"/>
            <w:tcBorders>
              <w:top w:val="single" w:sz="24" w:space="0" w:color="auto"/>
              <w:left w:val="single" w:sz="6" w:space="0" w:color="auto"/>
              <w:bottom w:val="single" w:sz="6" w:space="0" w:color="auto"/>
              <w:right w:val="single" w:sz="6" w:space="0" w:color="auto"/>
            </w:tcBorders>
            <w:noWrap/>
            <w:vAlign w:val="center"/>
            <w:hideMark/>
          </w:tcPr>
          <w:p w14:paraId="4C600FE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B-1, B-2</w:t>
            </w:r>
          </w:p>
        </w:tc>
        <w:tc>
          <w:tcPr>
            <w:tcW w:w="1212" w:type="dxa"/>
            <w:tcBorders>
              <w:top w:val="single" w:sz="24" w:space="0" w:color="auto"/>
              <w:left w:val="single" w:sz="6" w:space="0" w:color="auto"/>
              <w:bottom w:val="single" w:sz="6" w:space="0" w:color="auto"/>
              <w:right w:val="single" w:sz="6" w:space="0" w:color="auto"/>
            </w:tcBorders>
            <w:noWrap/>
            <w:vAlign w:val="center"/>
            <w:hideMark/>
          </w:tcPr>
          <w:p w14:paraId="1C4FEA6A" w14:textId="31D79598" w:rsidR="00080910" w:rsidRPr="00945156" w:rsidRDefault="00080910" w:rsidP="002417C7">
            <w:pPr>
              <w:jc w:val="center"/>
              <w:rPr>
                <w:rFonts w:ascii="Arial" w:hAnsi="Arial" w:cs="Arial"/>
                <w:color w:val="000000"/>
                <w:sz w:val="14"/>
                <w:szCs w:val="14"/>
              </w:rPr>
            </w:pPr>
            <w:r w:rsidRPr="00945156">
              <w:rPr>
                <w:rFonts w:ascii="Arial" w:hAnsi="Arial" w:cs="Arial"/>
                <w:color w:val="000000"/>
                <w:sz w:val="14"/>
                <w:szCs w:val="14"/>
              </w:rPr>
              <w:t>C</w:t>
            </w:r>
            <w:r w:rsidR="00356EE1" w:rsidRPr="00945156">
              <w:rPr>
                <w:rFonts w:ascii="Arial" w:hAnsi="Arial" w:cs="Arial"/>
                <w:color w:val="000000"/>
                <w:sz w:val="14"/>
                <w:szCs w:val="14"/>
              </w:rPr>
              <w:t>1 thru C</w:t>
            </w:r>
            <w:r w:rsidR="00356EE1">
              <w:rPr>
                <w:rFonts w:ascii="Arial" w:hAnsi="Arial" w:cs="Arial"/>
                <w:color w:val="000000"/>
                <w:sz w:val="14"/>
                <w:szCs w:val="14"/>
              </w:rPr>
              <w:t>4</w:t>
            </w:r>
            <w:r w:rsidR="000D75AB">
              <w:rPr>
                <w:rFonts w:ascii="Arial" w:hAnsi="Arial" w:cs="Arial"/>
                <w:color w:val="000000"/>
                <w:sz w:val="14"/>
                <w:szCs w:val="14"/>
              </w:rPr>
              <w:t>, C6</w:t>
            </w:r>
          </w:p>
        </w:tc>
        <w:tc>
          <w:tcPr>
            <w:tcW w:w="1710" w:type="dxa"/>
            <w:tcBorders>
              <w:top w:val="single" w:sz="24" w:space="0" w:color="auto"/>
              <w:left w:val="single" w:sz="6" w:space="0" w:color="auto"/>
              <w:bottom w:val="single" w:sz="6" w:space="0" w:color="auto"/>
              <w:right w:val="single" w:sz="6" w:space="0" w:color="auto"/>
            </w:tcBorders>
            <w:noWrap/>
            <w:vAlign w:val="center"/>
            <w:hideMark/>
          </w:tcPr>
          <w:p w14:paraId="40E0ACE4" w14:textId="1E2C0DFA"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1 thru D-6</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6556C2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1622553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E2C7C1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BA17F62"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DA0A43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71BAB96"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358DEA0"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23616B81"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6B66035C"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439BD5E9"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vAlign w:val="center"/>
            <w:hideMark/>
          </w:tcPr>
          <w:p w14:paraId="4C6A1E4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A-1</w:t>
            </w:r>
          </w:p>
        </w:tc>
        <w:tc>
          <w:tcPr>
            <w:tcW w:w="1260" w:type="dxa"/>
            <w:tcBorders>
              <w:top w:val="single" w:sz="6" w:space="0" w:color="auto"/>
              <w:left w:val="single" w:sz="6" w:space="0" w:color="auto"/>
              <w:bottom w:val="single" w:sz="6" w:space="0" w:color="auto"/>
              <w:right w:val="single" w:sz="6" w:space="0" w:color="auto"/>
            </w:tcBorders>
            <w:noWrap/>
            <w:vAlign w:val="center"/>
            <w:hideMark/>
          </w:tcPr>
          <w:p w14:paraId="1E18E42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B-1, B-2</w:t>
            </w:r>
          </w:p>
        </w:tc>
        <w:tc>
          <w:tcPr>
            <w:tcW w:w="1212" w:type="dxa"/>
            <w:tcBorders>
              <w:top w:val="single" w:sz="6" w:space="0" w:color="auto"/>
              <w:left w:val="single" w:sz="6" w:space="0" w:color="auto"/>
              <w:bottom w:val="single" w:sz="6" w:space="0" w:color="auto"/>
              <w:right w:val="single" w:sz="6" w:space="0" w:color="auto"/>
            </w:tcBorders>
            <w:noWrap/>
            <w:vAlign w:val="center"/>
            <w:hideMark/>
          </w:tcPr>
          <w:p w14:paraId="3BF4D1BB" w14:textId="4FBCD9E2"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C</w:t>
            </w:r>
            <w:r w:rsidR="00356EE1">
              <w:rPr>
                <w:rFonts w:ascii="Arial" w:hAnsi="Arial" w:cs="Arial"/>
                <w:color w:val="000000"/>
                <w:sz w:val="14"/>
                <w:szCs w:val="14"/>
              </w:rPr>
              <w:t>1, C3, C4</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3A1EC38F" w14:textId="64A79BE3"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 xml:space="preserve">D-1, </w:t>
            </w:r>
            <w:r w:rsidR="00080910"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9410982" w14:textId="0D144CB4"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E-2</w:t>
            </w:r>
            <w:r w:rsidRPr="00945156">
              <w:rPr>
                <w:rFonts w:ascii="Arial" w:hAnsi="Arial" w:cs="Arial"/>
                <w:color w:val="000000"/>
                <w:sz w:val="14"/>
                <w:szCs w:val="14"/>
              </w:rPr>
              <w:t> </w:t>
            </w:r>
            <w:r w:rsidR="00080910"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5F16A1C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02496288" w14:textId="5B5482E5"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w:t>
            </w:r>
            <w:r w:rsidR="00080910"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455ABF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5B2CAD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ED60809"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B92767B"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2CD8101F"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77EF3B04"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2FB80CC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vAlign w:val="center"/>
            <w:hideMark/>
          </w:tcPr>
          <w:p w14:paraId="42CEFFB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A-1</w:t>
            </w:r>
          </w:p>
        </w:tc>
        <w:tc>
          <w:tcPr>
            <w:tcW w:w="1260" w:type="dxa"/>
            <w:tcBorders>
              <w:top w:val="single" w:sz="6" w:space="0" w:color="auto"/>
              <w:left w:val="single" w:sz="6" w:space="0" w:color="auto"/>
              <w:bottom w:val="single" w:sz="12" w:space="0" w:color="auto"/>
              <w:right w:val="single" w:sz="6" w:space="0" w:color="auto"/>
            </w:tcBorders>
            <w:noWrap/>
            <w:vAlign w:val="center"/>
            <w:hideMark/>
          </w:tcPr>
          <w:p w14:paraId="1A35E08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B-1, B-2</w:t>
            </w:r>
          </w:p>
        </w:tc>
        <w:tc>
          <w:tcPr>
            <w:tcW w:w="1212" w:type="dxa"/>
            <w:tcBorders>
              <w:top w:val="single" w:sz="6" w:space="0" w:color="auto"/>
              <w:left w:val="single" w:sz="6" w:space="0" w:color="auto"/>
              <w:bottom w:val="single" w:sz="12" w:space="0" w:color="auto"/>
              <w:right w:val="single" w:sz="6" w:space="0" w:color="auto"/>
            </w:tcBorders>
            <w:noWrap/>
            <w:vAlign w:val="center"/>
            <w:hideMark/>
          </w:tcPr>
          <w:p w14:paraId="1FF2B5D1" w14:textId="54027D9A"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C-4</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3D35DD8E" w14:textId="542E7C8F"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 D-4</w:t>
            </w:r>
            <w:r w:rsidR="00356EE1">
              <w:rPr>
                <w:rFonts w:ascii="Arial" w:hAnsi="Arial" w:cs="Arial"/>
                <w:color w:val="000000"/>
                <w:sz w:val="14"/>
                <w:szCs w:val="14"/>
              </w:rPr>
              <w:t>,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56816721" w14:textId="5A8C5B3C"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3D5E2EF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613C6244" w14:textId="166D4CF9"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w:t>
            </w:r>
            <w:r w:rsidR="00080910"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492AEC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A49087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B2916E9"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43FEF618"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2733D2BC" w14:textId="77777777" w:rsidR="00080910" w:rsidRPr="00945156" w:rsidRDefault="00080910" w:rsidP="00BE3F24">
            <w:pPr>
              <w:rPr>
                <w:rFonts w:ascii="Arial" w:hAnsi="Arial" w:cs="Arial"/>
                <w:color w:val="000000"/>
                <w:sz w:val="14"/>
                <w:szCs w:val="14"/>
              </w:rPr>
            </w:pP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0A282BE0"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4227DEF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EA21C47" w14:textId="7A2EA9D2" w:rsidR="00080910" w:rsidRPr="00945156" w:rsidRDefault="00080910" w:rsidP="00BE3F24">
            <w:pPr>
              <w:jc w:val="center"/>
              <w:rPr>
                <w:rFonts w:ascii="Arial" w:hAnsi="Arial" w:cs="Arial"/>
                <w:color w:val="000000"/>
                <w:sz w:val="14"/>
                <w:szCs w:val="14"/>
              </w:rPr>
            </w:pPr>
          </w:p>
        </w:tc>
        <w:tc>
          <w:tcPr>
            <w:tcW w:w="126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C23822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12" w:space="0" w:color="auto"/>
              <w:left w:val="single" w:sz="6" w:space="0" w:color="auto"/>
              <w:bottom w:val="single" w:sz="6" w:space="0" w:color="auto"/>
              <w:right w:val="single" w:sz="6" w:space="0" w:color="auto"/>
            </w:tcBorders>
            <w:noWrap/>
            <w:vAlign w:val="center"/>
            <w:hideMark/>
          </w:tcPr>
          <w:p w14:paraId="7944A1AD" w14:textId="696CB34B" w:rsidR="00080910" w:rsidRPr="00945156" w:rsidRDefault="000D75AB" w:rsidP="002417C7">
            <w:pPr>
              <w:jc w:val="center"/>
              <w:rPr>
                <w:rFonts w:ascii="Arial" w:hAnsi="Arial" w:cs="Arial"/>
                <w:color w:val="000000"/>
                <w:sz w:val="14"/>
                <w:szCs w:val="14"/>
              </w:rPr>
            </w:pPr>
            <w:r w:rsidRPr="00945156">
              <w:rPr>
                <w:rFonts w:ascii="Arial" w:hAnsi="Arial" w:cs="Arial"/>
                <w:color w:val="000000"/>
                <w:sz w:val="14"/>
                <w:szCs w:val="14"/>
              </w:rPr>
              <w:t>C1 thru C</w:t>
            </w:r>
            <w:r>
              <w:rPr>
                <w:rFonts w:ascii="Arial" w:hAnsi="Arial" w:cs="Arial"/>
                <w:color w:val="000000"/>
                <w:sz w:val="14"/>
                <w:szCs w:val="14"/>
              </w:rPr>
              <w:t>4, C6</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58FB5AC3" w14:textId="5F652DD9"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1 thru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DD5E0D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511FE84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501DF661" w14:textId="479CCA2E"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G-2</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881CF3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6F8357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848EA9B"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260D751"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5830FCC4"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6A5DC9D6"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2B15176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32F52CF" w14:textId="65051336" w:rsidR="00080910" w:rsidRPr="00945156" w:rsidRDefault="00080910" w:rsidP="00BE3F24">
            <w:pPr>
              <w:jc w:val="center"/>
              <w:rPr>
                <w:rFonts w:ascii="Arial" w:hAnsi="Arial" w:cs="Arial"/>
                <w:color w:val="000000"/>
                <w:sz w:val="14"/>
                <w:szCs w:val="14"/>
              </w:rPr>
            </w:pPr>
          </w:p>
        </w:tc>
        <w:tc>
          <w:tcPr>
            <w:tcW w:w="126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988B63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noWrap/>
            <w:vAlign w:val="center"/>
            <w:hideMark/>
          </w:tcPr>
          <w:p w14:paraId="7CC39F8A" w14:textId="0EBEE9EB"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C-</w:t>
            </w:r>
            <w:r w:rsidR="00356EE1">
              <w:rPr>
                <w:rFonts w:ascii="Arial" w:hAnsi="Arial" w:cs="Arial"/>
                <w:color w:val="000000"/>
                <w:sz w:val="14"/>
                <w:szCs w:val="14"/>
              </w:rPr>
              <w:t>1, C-3, C-4</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77CC747B" w14:textId="30769E9A"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 xml:space="preserve">D-1, </w:t>
            </w:r>
            <w:r w:rsidR="00080910"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99D7C8E" w14:textId="51AF3FB4"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29C046C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506714A2" w14:textId="4D20940B"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w:t>
            </w:r>
            <w:r w:rsidR="00080910"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D8F5F60"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04A952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A192D11"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505D3CA9"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23ECFF01"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55FF9A82"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49D76290"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66ED1962" w14:textId="75DC4242" w:rsidR="00080910" w:rsidRPr="00945156" w:rsidRDefault="00080910" w:rsidP="00BE3F24">
            <w:pPr>
              <w:jc w:val="center"/>
              <w:rPr>
                <w:rFonts w:ascii="Arial" w:hAnsi="Arial" w:cs="Arial"/>
                <w:color w:val="000000"/>
                <w:sz w:val="14"/>
                <w:szCs w:val="14"/>
              </w:rPr>
            </w:pPr>
          </w:p>
        </w:tc>
        <w:tc>
          <w:tcPr>
            <w:tcW w:w="126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0F3B419"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12" w:space="0" w:color="auto"/>
              <w:right w:val="single" w:sz="6" w:space="0" w:color="auto"/>
            </w:tcBorders>
            <w:noWrap/>
            <w:vAlign w:val="center"/>
            <w:hideMark/>
          </w:tcPr>
          <w:p w14:paraId="1050E15A" w14:textId="6798DFFE"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C-4</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09E1EB00" w14:textId="1DE6DD22"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 D-4</w:t>
            </w:r>
            <w:r w:rsidR="00356EE1">
              <w:rPr>
                <w:rFonts w:ascii="Arial" w:hAnsi="Arial" w:cs="Arial"/>
                <w:color w:val="000000"/>
                <w:sz w:val="14"/>
                <w:szCs w:val="14"/>
              </w:rPr>
              <w:t>,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3B012668" w14:textId="206C1DE8"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362B419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34802795" w14:textId="3CBE1E45"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w:t>
            </w:r>
            <w:r w:rsidR="00080910"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37B3DE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1A034274"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098E07C"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2E29F40" w14:textId="77777777" w:rsidR="002417C7" w:rsidRPr="00945156" w:rsidRDefault="002417C7" w:rsidP="00BE3F24">
            <w:pPr>
              <w:rPr>
                <w:rFonts w:ascii="Arial" w:hAnsi="Arial" w:cs="Arial"/>
                <w:color w:val="000000"/>
                <w:sz w:val="14"/>
                <w:szCs w:val="14"/>
              </w:rPr>
            </w:pPr>
          </w:p>
        </w:tc>
        <w:tc>
          <w:tcPr>
            <w:tcW w:w="582" w:type="dxa"/>
            <w:vMerge w:val="restart"/>
            <w:tcBorders>
              <w:top w:val="single" w:sz="6" w:space="0" w:color="auto"/>
              <w:left w:val="single" w:sz="6" w:space="0" w:color="auto"/>
              <w:bottom w:val="single" w:sz="6" w:space="0" w:color="auto"/>
              <w:right w:val="single" w:sz="6" w:space="0" w:color="auto"/>
            </w:tcBorders>
            <w:vAlign w:val="center"/>
            <w:hideMark/>
          </w:tcPr>
          <w:p w14:paraId="4B0404F5" w14:textId="5147898D" w:rsidR="002417C7" w:rsidRPr="00945156" w:rsidRDefault="00356EE1" w:rsidP="00BE3F24">
            <w:pPr>
              <w:jc w:val="center"/>
              <w:rPr>
                <w:rFonts w:ascii="Arial" w:hAnsi="Arial" w:cs="Arial"/>
                <w:color w:val="000000"/>
                <w:sz w:val="14"/>
                <w:szCs w:val="14"/>
              </w:rPr>
            </w:pPr>
            <w:r>
              <w:rPr>
                <w:rFonts w:ascii="Arial" w:hAnsi="Arial" w:cs="Arial"/>
                <w:color w:val="000000"/>
                <w:sz w:val="14"/>
                <w:szCs w:val="14"/>
              </w:rPr>
              <w:t>&gt;10</w:t>
            </w: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743F195F" w14:textId="77777777" w:rsidR="002417C7" w:rsidRPr="00945156" w:rsidRDefault="002417C7" w:rsidP="00BE3F24">
            <w:pPr>
              <w:jc w:val="center"/>
              <w:rPr>
                <w:rFonts w:ascii="Arial" w:hAnsi="Arial" w:cs="Arial"/>
                <w:color w:val="000000"/>
                <w:sz w:val="14"/>
                <w:szCs w:val="14"/>
              </w:rPr>
            </w:pPr>
            <w:r w:rsidRPr="00945156">
              <w:rPr>
                <w:rFonts w:ascii="Arial" w:hAnsi="Arial" w:cs="Arial"/>
                <w:color w:val="000000"/>
                <w:sz w:val="14"/>
                <w:szCs w:val="14"/>
              </w:rPr>
              <w:t>&gt;40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33BD57B6" w14:textId="77777777" w:rsidR="002417C7" w:rsidRPr="00945156" w:rsidRDefault="002417C7"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1DAA0E3" w14:textId="4074BD4A" w:rsidR="002417C7" w:rsidRPr="00945156" w:rsidRDefault="002417C7" w:rsidP="00BE3F24">
            <w:pPr>
              <w:jc w:val="center"/>
              <w:rPr>
                <w:rFonts w:ascii="Arial" w:hAnsi="Arial" w:cs="Arial"/>
                <w:color w:val="000000"/>
                <w:sz w:val="14"/>
                <w:szCs w:val="14"/>
              </w:rPr>
            </w:pPr>
          </w:p>
        </w:tc>
        <w:tc>
          <w:tcPr>
            <w:tcW w:w="126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B5AC7AF" w14:textId="598E9C45" w:rsidR="002417C7" w:rsidRPr="00945156" w:rsidRDefault="002417C7" w:rsidP="00BE3F24">
            <w:pPr>
              <w:jc w:val="center"/>
              <w:rPr>
                <w:rFonts w:ascii="Arial" w:hAnsi="Arial" w:cs="Arial"/>
                <w:color w:val="000000"/>
                <w:sz w:val="14"/>
                <w:szCs w:val="14"/>
              </w:rPr>
            </w:pPr>
          </w:p>
        </w:tc>
        <w:tc>
          <w:tcPr>
            <w:tcW w:w="1212" w:type="dxa"/>
            <w:tcBorders>
              <w:top w:val="single" w:sz="12" w:space="0" w:color="auto"/>
              <w:left w:val="single" w:sz="6" w:space="0" w:color="auto"/>
              <w:bottom w:val="single" w:sz="6" w:space="0" w:color="auto"/>
              <w:right w:val="single" w:sz="6" w:space="0" w:color="auto"/>
            </w:tcBorders>
            <w:noWrap/>
            <w:vAlign w:val="center"/>
            <w:hideMark/>
          </w:tcPr>
          <w:p w14:paraId="24AB464A" w14:textId="0796BB90" w:rsidR="002417C7" w:rsidRPr="00945156" w:rsidRDefault="002417C7" w:rsidP="00E40083">
            <w:pPr>
              <w:jc w:val="center"/>
              <w:rPr>
                <w:rFonts w:ascii="Arial" w:hAnsi="Arial" w:cs="Arial"/>
                <w:color w:val="000000"/>
                <w:sz w:val="14"/>
                <w:szCs w:val="14"/>
              </w:rPr>
            </w:pPr>
            <w:r w:rsidRPr="00945156">
              <w:rPr>
                <w:rFonts w:ascii="Arial" w:hAnsi="Arial" w:cs="Arial"/>
                <w:color w:val="000000"/>
                <w:sz w:val="14"/>
                <w:szCs w:val="14"/>
              </w:rPr>
              <w:t>C-</w:t>
            </w:r>
            <w:r w:rsidR="00356EE1">
              <w:rPr>
                <w:rFonts w:ascii="Arial" w:hAnsi="Arial" w:cs="Arial"/>
                <w:color w:val="000000"/>
                <w:sz w:val="14"/>
                <w:szCs w:val="14"/>
              </w:rPr>
              <w:t>1, C-2</w:t>
            </w:r>
            <w:r w:rsidR="000D75AB">
              <w:rPr>
                <w:rFonts w:ascii="Arial" w:hAnsi="Arial" w:cs="Arial"/>
                <w:color w:val="000000"/>
                <w:sz w:val="14"/>
                <w:szCs w:val="14"/>
              </w:rPr>
              <w:t>, C6</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59B45AD3" w14:textId="4DAC6B1B" w:rsidR="002417C7" w:rsidRPr="00945156" w:rsidRDefault="00356EE1" w:rsidP="00BE3F24">
            <w:pPr>
              <w:jc w:val="center"/>
              <w:rPr>
                <w:rFonts w:ascii="Arial" w:hAnsi="Arial" w:cs="Arial"/>
                <w:color w:val="000000"/>
                <w:sz w:val="14"/>
                <w:szCs w:val="14"/>
              </w:rPr>
            </w:pPr>
            <w:r>
              <w:rPr>
                <w:rFonts w:ascii="Arial" w:hAnsi="Arial" w:cs="Arial"/>
                <w:color w:val="000000"/>
                <w:sz w:val="14"/>
                <w:szCs w:val="14"/>
              </w:rPr>
              <w:t>D-1</w:t>
            </w:r>
            <w:r w:rsidR="002417C7">
              <w:rPr>
                <w:rFonts w:ascii="Arial" w:hAnsi="Arial" w:cs="Arial"/>
                <w:color w:val="000000"/>
                <w:sz w:val="14"/>
                <w:szCs w:val="14"/>
              </w:rPr>
              <w:t xml:space="preserve">, </w:t>
            </w:r>
            <w:r w:rsidR="002417C7" w:rsidRPr="00945156">
              <w:rPr>
                <w:rFonts w:ascii="Arial" w:hAnsi="Arial" w:cs="Arial"/>
                <w:color w:val="000000"/>
                <w:sz w:val="14"/>
                <w:szCs w:val="14"/>
              </w:rPr>
              <w:t>D-3</w:t>
            </w:r>
            <w:r>
              <w:rPr>
                <w:rFonts w:ascii="Arial" w:hAnsi="Arial" w:cs="Arial"/>
                <w:color w:val="000000"/>
                <w:sz w:val="14"/>
                <w:szCs w:val="14"/>
              </w:rPr>
              <w:t>, D-4, D-5,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70D379A" w14:textId="77777777" w:rsidR="002417C7" w:rsidRPr="00945156" w:rsidRDefault="002417C7"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511AFED0" w14:textId="6BF092D5" w:rsidR="002417C7" w:rsidRPr="00945156" w:rsidRDefault="00356EE1" w:rsidP="00BE3F24">
            <w:pPr>
              <w:jc w:val="center"/>
              <w:rPr>
                <w:rFonts w:ascii="Arial" w:hAnsi="Arial" w:cs="Arial"/>
                <w:color w:val="000000"/>
                <w:sz w:val="14"/>
                <w:szCs w:val="14"/>
              </w:rPr>
            </w:pPr>
            <w:r>
              <w:rPr>
                <w:rFonts w:ascii="Arial" w:hAnsi="Arial" w:cs="Arial"/>
                <w:color w:val="000000"/>
                <w:sz w:val="14"/>
                <w:szCs w:val="14"/>
              </w:rPr>
              <w:t>F-1</w:t>
            </w:r>
            <w:r w:rsidRPr="00945156">
              <w:rPr>
                <w:rFonts w:ascii="Arial" w:hAnsi="Arial" w:cs="Arial"/>
                <w:color w:val="000000"/>
                <w:sz w:val="14"/>
                <w:szCs w:val="14"/>
              </w:rPr>
              <w:t> </w:t>
            </w:r>
            <w:r w:rsidR="002417C7"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3AE52BF" w14:textId="77777777" w:rsidR="002417C7" w:rsidRPr="00945156" w:rsidRDefault="002417C7"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1A9336B" w14:textId="77777777" w:rsidR="002417C7" w:rsidRPr="00945156" w:rsidRDefault="002417C7"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3265507" w14:textId="77777777" w:rsidR="002417C7" w:rsidRPr="00945156" w:rsidRDefault="002417C7"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82A3A4F"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3E8C11A"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3344C3EF"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701D7838"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3599F8B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EE7BF20" w14:textId="6A95D847" w:rsidR="00080910" w:rsidRPr="00945156" w:rsidRDefault="00080910" w:rsidP="00BE3F24">
            <w:pPr>
              <w:jc w:val="center"/>
              <w:rPr>
                <w:rFonts w:ascii="Arial" w:hAnsi="Arial" w:cs="Arial"/>
                <w:color w:val="000000"/>
                <w:sz w:val="14"/>
                <w:szCs w:val="14"/>
              </w:rPr>
            </w:pPr>
          </w:p>
        </w:tc>
        <w:tc>
          <w:tcPr>
            <w:tcW w:w="126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B9C1A5F" w14:textId="11970419" w:rsidR="00080910" w:rsidRPr="00945156" w:rsidRDefault="00080910" w:rsidP="00BE3F24">
            <w:pPr>
              <w:jc w:val="center"/>
              <w:rPr>
                <w:rFonts w:ascii="Arial" w:hAnsi="Arial" w:cs="Arial"/>
                <w:color w:val="000000"/>
                <w:sz w:val="14"/>
                <w:szCs w:val="14"/>
              </w:rPr>
            </w:pPr>
          </w:p>
        </w:tc>
        <w:tc>
          <w:tcPr>
            <w:tcW w:w="1212" w:type="dxa"/>
            <w:tcBorders>
              <w:top w:val="single" w:sz="6" w:space="0" w:color="auto"/>
              <w:left w:val="single" w:sz="6" w:space="0" w:color="auto"/>
              <w:bottom w:val="single" w:sz="6" w:space="0" w:color="auto"/>
              <w:right w:val="single" w:sz="6" w:space="0" w:color="auto"/>
            </w:tcBorders>
            <w:noWrap/>
            <w:vAlign w:val="center"/>
            <w:hideMark/>
          </w:tcPr>
          <w:p w14:paraId="3EAC9025" w14:textId="6984E090"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C-</w:t>
            </w:r>
            <w:r w:rsidR="00356EE1">
              <w:rPr>
                <w:rFonts w:ascii="Arial" w:hAnsi="Arial" w:cs="Arial"/>
                <w:color w:val="000000"/>
                <w:sz w:val="14"/>
                <w:szCs w:val="14"/>
              </w:rPr>
              <w:t>1</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7D22A8EA" w14:textId="04D1FD00"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 xml:space="preserve">D-1, </w:t>
            </w:r>
            <w:r w:rsidR="00080910"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5B7122B" w14:textId="06E39C2E"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B40CA85" w14:textId="64EB4682"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0FA6346D" w14:textId="29A7D7F8"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w:t>
            </w:r>
            <w:r w:rsidR="00080910"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635E07C"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BF1D94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51C0A2E" w14:textId="77777777" w:rsidTr="00F536E0">
        <w:trPr>
          <w:trHeight w:val="195"/>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670BD2A5"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4B9CFE00"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12" w:space="0" w:color="auto"/>
              <w:right w:val="single" w:sz="6" w:space="0" w:color="auto"/>
            </w:tcBorders>
            <w:vAlign w:val="center"/>
            <w:hideMark/>
          </w:tcPr>
          <w:p w14:paraId="60C91BB7"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12" w:space="0" w:color="auto"/>
              <w:right w:val="single" w:sz="6" w:space="0" w:color="auto"/>
            </w:tcBorders>
            <w:noWrap/>
            <w:vAlign w:val="center"/>
            <w:hideMark/>
          </w:tcPr>
          <w:p w14:paraId="1E3933E5"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138887B3" w14:textId="27150EE6" w:rsidR="00080910" w:rsidRPr="00945156" w:rsidRDefault="00080910" w:rsidP="00BE3F24">
            <w:pPr>
              <w:jc w:val="center"/>
              <w:rPr>
                <w:rFonts w:ascii="Arial" w:hAnsi="Arial" w:cs="Arial"/>
                <w:color w:val="000000"/>
                <w:sz w:val="14"/>
                <w:szCs w:val="14"/>
              </w:rPr>
            </w:pPr>
          </w:p>
        </w:tc>
        <w:tc>
          <w:tcPr>
            <w:tcW w:w="126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77CA97A5" w14:textId="6DE9642B" w:rsidR="00080910" w:rsidRPr="00945156" w:rsidRDefault="00080910" w:rsidP="00BE3F24">
            <w:pPr>
              <w:jc w:val="center"/>
              <w:rPr>
                <w:rFonts w:ascii="Arial" w:hAnsi="Arial" w:cs="Arial"/>
                <w:color w:val="000000"/>
                <w:sz w:val="14"/>
                <w:szCs w:val="14"/>
              </w:rPr>
            </w:pPr>
          </w:p>
        </w:tc>
        <w:tc>
          <w:tcPr>
            <w:tcW w:w="1212"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22888E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12" w:space="0" w:color="auto"/>
              <w:right w:val="single" w:sz="6" w:space="0" w:color="auto"/>
            </w:tcBorders>
            <w:noWrap/>
            <w:vAlign w:val="center"/>
            <w:hideMark/>
          </w:tcPr>
          <w:p w14:paraId="5819F331" w14:textId="2DB4C4ED"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 D-4</w:t>
            </w:r>
            <w:r w:rsidR="00356EE1">
              <w:rPr>
                <w:rFonts w:ascii="Arial" w:hAnsi="Arial" w:cs="Arial"/>
                <w:color w:val="000000"/>
                <w:sz w:val="14"/>
                <w:szCs w:val="14"/>
              </w:rPr>
              <w:t>,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76938BBE" w14:textId="75D8C6D2"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1564FC46" w14:textId="18505E6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5E2ED3D5" w14:textId="0AF382F4"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w:t>
            </w:r>
            <w:r w:rsidR="00080910"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5817A61"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1340B99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115F58D"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0FBF4F05"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39473128" w14:textId="77777777" w:rsidR="00080910" w:rsidRPr="00945156" w:rsidRDefault="00080910" w:rsidP="00BE3F24">
            <w:pPr>
              <w:rPr>
                <w:rFonts w:ascii="Arial" w:hAnsi="Arial" w:cs="Arial"/>
                <w:color w:val="000000"/>
                <w:sz w:val="14"/>
                <w:szCs w:val="14"/>
              </w:rPr>
            </w:pPr>
          </w:p>
        </w:tc>
        <w:tc>
          <w:tcPr>
            <w:tcW w:w="630" w:type="dxa"/>
            <w:vMerge w:val="restart"/>
            <w:tcBorders>
              <w:top w:val="single" w:sz="12" w:space="0" w:color="auto"/>
              <w:left w:val="single" w:sz="6" w:space="0" w:color="auto"/>
              <w:bottom w:val="single" w:sz="6" w:space="0" w:color="auto"/>
              <w:right w:val="single" w:sz="6" w:space="0" w:color="auto"/>
            </w:tcBorders>
            <w:noWrap/>
            <w:vAlign w:val="center"/>
            <w:hideMark/>
          </w:tcPr>
          <w:p w14:paraId="7B35AA2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40</w:t>
            </w:r>
          </w:p>
        </w:tc>
        <w:tc>
          <w:tcPr>
            <w:tcW w:w="948" w:type="dxa"/>
            <w:tcBorders>
              <w:top w:val="single" w:sz="12" w:space="0" w:color="auto"/>
              <w:left w:val="single" w:sz="6" w:space="0" w:color="auto"/>
              <w:bottom w:val="single" w:sz="6" w:space="0" w:color="auto"/>
              <w:right w:val="single" w:sz="6" w:space="0" w:color="auto"/>
            </w:tcBorders>
            <w:noWrap/>
            <w:vAlign w:val="center"/>
            <w:hideMark/>
          </w:tcPr>
          <w:p w14:paraId="54CDF6E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&lt; ½"</w:t>
            </w:r>
          </w:p>
        </w:tc>
        <w:tc>
          <w:tcPr>
            <w:tcW w:w="990"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86009D" w14:textId="3AF38FBA" w:rsidR="00080910" w:rsidRPr="00945156" w:rsidRDefault="00080910" w:rsidP="00BE3F24">
            <w:pPr>
              <w:jc w:val="center"/>
              <w:rPr>
                <w:rFonts w:ascii="Arial" w:hAnsi="Arial" w:cs="Arial"/>
                <w:color w:val="000000"/>
                <w:sz w:val="14"/>
                <w:szCs w:val="14"/>
              </w:rPr>
            </w:pPr>
          </w:p>
        </w:tc>
        <w:tc>
          <w:tcPr>
            <w:tcW w:w="126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BD27B2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12" w:space="0" w:color="auto"/>
              <w:left w:val="single" w:sz="6" w:space="0" w:color="auto"/>
              <w:bottom w:val="single" w:sz="6" w:space="0" w:color="auto"/>
              <w:right w:val="single" w:sz="6" w:space="0" w:color="auto"/>
            </w:tcBorders>
            <w:noWrap/>
            <w:vAlign w:val="center"/>
            <w:hideMark/>
          </w:tcPr>
          <w:p w14:paraId="14CC35CE" w14:textId="1A4F2E99" w:rsidR="00080910" w:rsidRPr="00945156" w:rsidRDefault="00080910" w:rsidP="002417C7">
            <w:pPr>
              <w:jc w:val="center"/>
              <w:rPr>
                <w:rFonts w:ascii="Arial" w:hAnsi="Arial" w:cs="Arial"/>
                <w:color w:val="000000"/>
                <w:sz w:val="14"/>
                <w:szCs w:val="14"/>
              </w:rPr>
            </w:pPr>
            <w:r w:rsidRPr="00945156">
              <w:rPr>
                <w:rFonts w:ascii="Arial" w:hAnsi="Arial" w:cs="Arial"/>
                <w:color w:val="000000"/>
                <w:sz w:val="14"/>
                <w:szCs w:val="14"/>
              </w:rPr>
              <w:t xml:space="preserve">C-1 </w:t>
            </w:r>
            <w:r w:rsidR="00356EE1">
              <w:rPr>
                <w:rFonts w:ascii="Arial" w:hAnsi="Arial" w:cs="Arial"/>
                <w:color w:val="000000"/>
                <w:sz w:val="14"/>
                <w:szCs w:val="14"/>
              </w:rPr>
              <w:t>,</w:t>
            </w:r>
            <w:r w:rsidRPr="00945156">
              <w:rPr>
                <w:rFonts w:ascii="Arial" w:hAnsi="Arial" w:cs="Arial"/>
                <w:color w:val="000000"/>
                <w:sz w:val="14"/>
                <w:szCs w:val="14"/>
              </w:rPr>
              <w:t xml:space="preserve"> C-</w:t>
            </w:r>
            <w:r w:rsidR="00356EE1">
              <w:rPr>
                <w:rFonts w:ascii="Arial" w:hAnsi="Arial" w:cs="Arial"/>
                <w:color w:val="000000"/>
                <w:sz w:val="14"/>
                <w:szCs w:val="14"/>
              </w:rPr>
              <w:t>2</w:t>
            </w:r>
            <w:r w:rsidR="000D75AB">
              <w:rPr>
                <w:rFonts w:ascii="Arial" w:hAnsi="Arial" w:cs="Arial"/>
                <w:color w:val="000000"/>
                <w:sz w:val="14"/>
                <w:szCs w:val="14"/>
              </w:rPr>
              <w:t>, C6</w:t>
            </w:r>
          </w:p>
        </w:tc>
        <w:tc>
          <w:tcPr>
            <w:tcW w:w="1710" w:type="dxa"/>
            <w:tcBorders>
              <w:top w:val="single" w:sz="12" w:space="0" w:color="auto"/>
              <w:left w:val="single" w:sz="6" w:space="0" w:color="auto"/>
              <w:bottom w:val="single" w:sz="6" w:space="0" w:color="auto"/>
              <w:right w:val="single" w:sz="6" w:space="0" w:color="auto"/>
            </w:tcBorders>
            <w:noWrap/>
            <w:vAlign w:val="center"/>
            <w:hideMark/>
          </w:tcPr>
          <w:p w14:paraId="7938EC1C" w14:textId="193DC1D7"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D-1</w:t>
            </w:r>
            <w:r w:rsidR="00080910">
              <w:rPr>
                <w:rFonts w:ascii="Arial" w:hAnsi="Arial" w:cs="Arial"/>
                <w:color w:val="000000"/>
                <w:sz w:val="14"/>
                <w:szCs w:val="14"/>
              </w:rPr>
              <w:t xml:space="preserve">, </w:t>
            </w:r>
            <w:r w:rsidR="00080910" w:rsidRPr="00945156">
              <w:rPr>
                <w:rFonts w:ascii="Arial" w:hAnsi="Arial" w:cs="Arial"/>
                <w:color w:val="000000"/>
                <w:sz w:val="14"/>
                <w:szCs w:val="14"/>
              </w:rPr>
              <w:t>D-3</w:t>
            </w:r>
            <w:r>
              <w:rPr>
                <w:rFonts w:ascii="Arial" w:hAnsi="Arial" w:cs="Arial"/>
                <w:color w:val="000000"/>
                <w:sz w:val="14"/>
                <w:szCs w:val="14"/>
              </w:rPr>
              <w:t>, D-4, D-5,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7C6EAEE"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452F7092" w14:textId="620E9CC6"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47FE6F26" w14:textId="71420AE7"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G-2</w:t>
            </w:r>
            <w:r w:rsidR="00080910"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6FAE40B"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20B284D"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1B3B5F1" w14:textId="77777777" w:rsidTr="00F536E0">
        <w:trPr>
          <w:trHeight w:val="180"/>
        </w:trPr>
        <w:tc>
          <w:tcPr>
            <w:tcW w:w="641" w:type="dxa"/>
            <w:vMerge/>
            <w:tcBorders>
              <w:top w:val="single" w:sz="6" w:space="0" w:color="auto"/>
              <w:left w:val="single" w:sz="24" w:space="0" w:color="auto"/>
              <w:bottom w:val="single" w:sz="6" w:space="0" w:color="auto"/>
              <w:right w:val="single" w:sz="6" w:space="0" w:color="auto"/>
            </w:tcBorders>
            <w:vAlign w:val="center"/>
            <w:hideMark/>
          </w:tcPr>
          <w:p w14:paraId="227A0B6D"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6" w:space="0" w:color="auto"/>
              <w:right w:val="single" w:sz="6" w:space="0" w:color="auto"/>
            </w:tcBorders>
            <w:vAlign w:val="center"/>
            <w:hideMark/>
          </w:tcPr>
          <w:p w14:paraId="3F1508F9"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6" w:space="0" w:color="auto"/>
              <w:right w:val="single" w:sz="6" w:space="0" w:color="auto"/>
            </w:tcBorders>
            <w:vAlign w:val="center"/>
            <w:hideMark/>
          </w:tcPr>
          <w:p w14:paraId="25061106"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6" w:space="0" w:color="auto"/>
              <w:right w:val="single" w:sz="6" w:space="0" w:color="auto"/>
            </w:tcBorders>
            <w:noWrap/>
            <w:vAlign w:val="center"/>
            <w:hideMark/>
          </w:tcPr>
          <w:p w14:paraId="74C7E17A"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½" to 1"</w:t>
            </w:r>
          </w:p>
        </w:tc>
        <w:tc>
          <w:tcPr>
            <w:tcW w:w="990"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21FE68" w14:textId="0DA929CC" w:rsidR="00080910" w:rsidRPr="00945156" w:rsidRDefault="00080910" w:rsidP="00BE3F24">
            <w:pPr>
              <w:jc w:val="center"/>
              <w:rPr>
                <w:rFonts w:ascii="Arial" w:hAnsi="Arial" w:cs="Arial"/>
                <w:color w:val="000000"/>
                <w:sz w:val="14"/>
                <w:szCs w:val="14"/>
              </w:rPr>
            </w:pPr>
          </w:p>
        </w:tc>
        <w:tc>
          <w:tcPr>
            <w:tcW w:w="126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A29A3A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6" w:space="0" w:color="auto"/>
              <w:right w:val="single" w:sz="6" w:space="0" w:color="auto"/>
            </w:tcBorders>
            <w:noWrap/>
            <w:vAlign w:val="center"/>
            <w:hideMark/>
          </w:tcPr>
          <w:p w14:paraId="6A778578" w14:textId="2DB51D8D"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C-</w:t>
            </w:r>
            <w:r w:rsidR="00356EE1">
              <w:rPr>
                <w:rFonts w:ascii="Arial" w:hAnsi="Arial" w:cs="Arial"/>
                <w:color w:val="000000"/>
                <w:sz w:val="14"/>
                <w:szCs w:val="14"/>
              </w:rPr>
              <w:t>1</w:t>
            </w:r>
          </w:p>
        </w:tc>
        <w:tc>
          <w:tcPr>
            <w:tcW w:w="1710" w:type="dxa"/>
            <w:tcBorders>
              <w:top w:val="single" w:sz="6" w:space="0" w:color="auto"/>
              <w:left w:val="single" w:sz="6" w:space="0" w:color="auto"/>
              <w:bottom w:val="single" w:sz="6" w:space="0" w:color="auto"/>
              <w:right w:val="single" w:sz="6" w:space="0" w:color="auto"/>
            </w:tcBorders>
            <w:noWrap/>
            <w:vAlign w:val="center"/>
            <w:hideMark/>
          </w:tcPr>
          <w:p w14:paraId="064843F5" w14:textId="2DE92E68"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 xml:space="preserve">D-1, </w:t>
            </w:r>
            <w:r w:rsidR="00080910"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1D63CF0B" w14:textId="65A6082C"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190AA5F3" w14:textId="2D946943"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88D23A8" w14:textId="183B64AB"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w:t>
            </w:r>
            <w:r w:rsidR="00080910"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99DCFB3"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63606E7"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470419E" w14:textId="77777777" w:rsidTr="00F536E0">
        <w:trPr>
          <w:trHeight w:val="195"/>
        </w:trPr>
        <w:tc>
          <w:tcPr>
            <w:tcW w:w="641" w:type="dxa"/>
            <w:vMerge/>
            <w:tcBorders>
              <w:top w:val="single" w:sz="6" w:space="0" w:color="auto"/>
              <w:left w:val="single" w:sz="24" w:space="0" w:color="auto"/>
              <w:bottom w:val="single" w:sz="24" w:space="0" w:color="auto"/>
              <w:right w:val="single" w:sz="6" w:space="0" w:color="auto"/>
            </w:tcBorders>
            <w:vAlign w:val="center"/>
            <w:hideMark/>
          </w:tcPr>
          <w:p w14:paraId="2657B937" w14:textId="77777777" w:rsidR="00080910" w:rsidRPr="00945156" w:rsidRDefault="00080910" w:rsidP="00BE3F24">
            <w:pPr>
              <w:rPr>
                <w:rFonts w:ascii="Arial" w:hAnsi="Arial" w:cs="Arial"/>
                <w:color w:val="000000"/>
                <w:sz w:val="14"/>
                <w:szCs w:val="14"/>
              </w:rPr>
            </w:pPr>
          </w:p>
        </w:tc>
        <w:tc>
          <w:tcPr>
            <w:tcW w:w="582" w:type="dxa"/>
            <w:vMerge/>
            <w:tcBorders>
              <w:top w:val="single" w:sz="6" w:space="0" w:color="auto"/>
              <w:left w:val="single" w:sz="6" w:space="0" w:color="auto"/>
              <w:bottom w:val="single" w:sz="24" w:space="0" w:color="auto"/>
              <w:right w:val="single" w:sz="6" w:space="0" w:color="auto"/>
            </w:tcBorders>
            <w:vAlign w:val="center"/>
            <w:hideMark/>
          </w:tcPr>
          <w:p w14:paraId="0E694495" w14:textId="77777777" w:rsidR="00080910" w:rsidRPr="00945156" w:rsidRDefault="00080910" w:rsidP="00BE3F24">
            <w:pPr>
              <w:rPr>
                <w:rFonts w:ascii="Arial" w:hAnsi="Arial" w:cs="Arial"/>
                <w:color w:val="000000"/>
                <w:sz w:val="14"/>
                <w:szCs w:val="14"/>
              </w:rPr>
            </w:pPr>
          </w:p>
        </w:tc>
        <w:tc>
          <w:tcPr>
            <w:tcW w:w="630" w:type="dxa"/>
            <w:vMerge/>
            <w:tcBorders>
              <w:top w:val="single" w:sz="6" w:space="0" w:color="auto"/>
              <w:left w:val="single" w:sz="6" w:space="0" w:color="auto"/>
              <w:bottom w:val="single" w:sz="24" w:space="0" w:color="auto"/>
              <w:right w:val="single" w:sz="6" w:space="0" w:color="auto"/>
            </w:tcBorders>
            <w:vAlign w:val="center"/>
            <w:hideMark/>
          </w:tcPr>
          <w:p w14:paraId="7778B42F" w14:textId="77777777" w:rsidR="00080910" w:rsidRPr="00945156" w:rsidRDefault="00080910" w:rsidP="00BE3F24">
            <w:pPr>
              <w:rPr>
                <w:rFonts w:ascii="Arial" w:hAnsi="Arial" w:cs="Arial"/>
                <w:color w:val="000000"/>
                <w:sz w:val="14"/>
                <w:szCs w:val="14"/>
              </w:rPr>
            </w:pPr>
          </w:p>
        </w:tc>
        <w:tc>
          <w:tcPr>
            <w:tcW w:w="948" w:type="dxa"/>
            <w:tcBorders>
              <w:top w:val="single" w:sz="6" w:space="0" w:color="auto"/>
              <w:left w:val="single" w:sz="6" w:space="0" w:color="auto"/>
              <w:bottom w:val="single" w:sz="24" w:space="0" w:color="auto"/>
              <w:right w:val="single" w:sz="6" w:space="0" w:color="auto"/>
            </w:tcBorders>
            <w:noWrap/>
            <w:vAlign w:val="center"/>
            <w:hideMark/>
          </w:tcPr>
          <w:p w14:paraId="6CA567C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&gt;1"</w:t>
            </w:r>
          </w:p>
        </w:tc>
        <w:tc>
          <w:tcPr>
            <w:tcW w:w="990"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208B5579" w14:textId="3991C1AC" w:rsidR="00080910" w:rsidRPr="00945156" w:rsidRDefault="00080910" w:rsidP="00BE3F24">
            <w:pPr>
              <w:jc w:val="center"/>
              <w:rPr>
                <w:rFonts w:ascii="Arial" w:hAnsi="Arial" w:cs="Arial"/>
                <w:color w:val="000000"/>
                <w:sz w:val="14"/>
                <w:szCs w:val="14"/>
              </w:rPr>
            </w:pPr>
          </w:p>
        </w:tc>
        <w:tc>
          <w:tcPr>
            <w:tcW w:w="1260"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1C5AD980"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212"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6456D578"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1710" w:type="dxa"/>
            <w:tcBorders>
              <w:top w:val="single" w:sz="6" w:space="0" w:color="auto"/>
              <w:left w:val="single" w:sz="6" w:space="0" w:color="auto"/>
              <w:bottom w:val="single" w:sz="24" w:space="0" w:color="auto"/>
              <w:right w:val="single" w:sz="6" w:space="0" w:color="auto"/>
            </w:tcBorders>
            <w:noWrap/>
            <w:vAlign w:val="center"/>
            <w:hideMark/>
          </w:tcPr>
          <w:p w14:paraId="724851DB" w14:textId="27BFBD40"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D-3, D-4</w:t>
            </w:r>
            <w:r w:rsidR="00356EE1">
              <w:rPr>
                <w:rFonts w:ascii="Arial" w:hAnsi="Arial" w:cs="Arial"/>
                <w:color w:val="000000"/>
                <w:sz w:val="14"/>
                <w:szCs w:val="14"/>
              </w:rPr>
              <w:t>, D-6</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5B7922A9" w14:textId="34915E7E"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5133A102" w14:textId="47E2D6F9"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noWrap/>
            <w:vAlign w:val="center"/>
            <w:hideMark/>
          </w:tcPr>
          <w:p w14:paraId="44B4ADFB" w14:textId="01CC0AF5" w:rsidR="00080910" w:rsidRPr="00945156" w:rsidRDefault="00356EE1" w:rsidP="00BE3F24">
            <w:pPr>
              <w:jc w:val="center"/>
              <w:rPr>
                <w:rFonts w:ascii="Arial" w:hAnsi="Arial" w:cs="Arial"/>
                <w:color w:val="000000"/>
                <w:sz w:val="14"/>
                <w:szCs w:val="14"/>
              </w:rPr>
            </w:pPr>
            <w:r>
              <w:rPr>
                <w:rFonts w:ascii="Arial" w:hAnsi="Arial" w:cs="Arial"/>
                <w:color w:val="000000"/>
                <w:sz w:val="14"/>
                <w:szCs w:val="14"/>
              </w:rPr>
              <w:t>G</w:t>
            </w:r>
            <w:r w:rsidR="00080910" w:rsidRPr="00945156">
              <w:rPr>
                <w:rFonts w:ascii="Arial" w:hAnsi="Arial" w:cs="Arial"/>
                <w:color w:val="000000"/>
                <w:sz w:val="14"/>
                <w:szCs w:val="14"/>
              </w:rPr>
              <w:t>-1</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6283515F"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c>
          <w:tcPr>
            <w:tcW w:w="948"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62D58586" w14:textId="77777777" w:rsidR="00080910" w:rsidRPr="00945156" w:rsidRDefault="00080910" w:rsidP="00BE3F24">
            <w:pPr>
              <w:jc w:val="center"/>
              <w:rPr>
                <w:rFonts w:ascii="Arial" w:hAnsi="Arial" w:cs="Arial"/>
                <w:color w:val="000000"/>
                <w:sz w:val="14"/>
                <w:szCs w:val="14"/>
              </w:rPr>
            </w:pPr>
            <w:r w:rsidRPr="00945156">
              <w:rPr>
                <w:rFonts w:ascii="Arial" w:hAnsi="Arial" w:cs="Arial"/>
                <w:color w:val="000000"/>
                <w:sz w:val="14"/>
                <w:szCs w:val="14"/>
              </w:rPr>
              <w:t> </w:t>
            </w:r>
          </w:p>
        </w:tc>
      </w:tr>
      <w:tr w:rsidR="00080910" w:rsidRPr="00945156" w14:paraId="00F626E1" w14:textId="77777777" w:rsidTr="00731468">
        <w:trPr>
          <w:trHeight w:val="255"/>
        </w:trPr>
        <w:tc>
          <w:tcPr>
            <w:tcW w:w="12881" w:type="dxa"/>
            <w:gridSpan w:val="13"/>
            <w:tcBorders>
              <w:top w:val="single" w:sz="24" w:space="0" w:color="auto"/>
              <w:left w:val="nil"/>
              <w:bottom w:val="nil"/>
              <w:right w:val="nil"/>
            </w:tcBorders>
            <w:noWrap/>
            <w:vAlign w:val="bottom"/>
            <w:hideMark/>
          </w:tcPr>
          <w:p w14:paraId="6DCA323C" w14:textId="5C7BCEEB" w:rsidR="00080910" w:rsidRPr="00945156" w:rsidRDefault="00080910" w:rsidP="00E7268C">
            <w:pPr>
              <w:rPr>
                <w:rFonts w:ascii="Arial" w:hAnsi="Arial" w:cs="Arial"/>
                <w:color w:val="000000"/>
                <w:sz w:val="16"/>
                <w:szCs w:val="16"/>
              </w:rPr>
            </w:pPr>
            <w:r w:rsidRPr="00945156">
              <w:rPr>
                <w:rFonts w:ascii="Arial" w:hAnsi="Arial" w:cs="Arial"/>
                <w:color w:val="000000"/>
                <w:sz w:val="16"/>
                <w:szCs w:val="16"/>
              </w:rPr>
              <w:t xml:space="preserve">Note: See </w:t>
            </w:r>
            <w:hyperlink w:anchor="_Table_C._List_1" w:history="1">
              <w:r w:rsidRPr="00EE5EE0">
                <w:rPr>
                  <w:rStyle w:val="Hyperlink"/>
                  <w:rFonts w:ascii="Arial" w:hAnsi="Arial" w:cs="Arial"/>
                  <w:sz w:val="16"/>
                  <w:szCs w:val="16"/>
                </w:rPr>
                <w:t xml:space="preserve">Table </w:t>
              </w:r>
              <w:r>
                <w:rPr>
                  <w:rStyle w:val="Hyperlink"/>
                  <w:rFonts w:ascii="Arial" w:hAnsi="Arial" w:cs="Arial"/>
                  <w:sz w:val="16"/>
                  <w:szCs w:val="16"/>
                </w:rPr>
                <w:t>C</w:t>
              </w:r>
              <w:r w:rsidRPr="00EE5EE0">
                <w:rPr>
                  <w:rStyle w:val="Hyperlink"/>
                  <w:rFonts w:ascii="Arial" w:hAnsi="Arial" w:cs="Arial"/>
                  <w:sz w:val="16"/>
                  <w:szCs w:val="16"/>
                </w:rPr>
                <w:t xml:space="preserve"> </w:t>
              </w:r>
            </w:hyperlink>
            <w:r w:rsidRPr="00945156">
              <w:rPr>
                <w:rFonts w:ascii="Arial" w:hAnsi="Arial" w:cs="Arial"/>
                <w:color w:val="000000"/>
                <w:sz w:val="16"/>
                <w:szCs w:val="16"/>
              </w:rPr>
              <w:t>for Treatment Activities</w:t>
            </w:r>
            <w:r>
              <w:rPr>
                <w:rFonts w:ascii="Arial" w:hAnsi="Arial" w:cs="Arial"/>
                <w:color w:val="000000"/>
                <w:sz w:val="16"/>
                <w:szCs w:val="16"/>
              </w:rPr>
              <w:t>.  *</w:t>
            </w:r>
            <w:r w:rsidR="00356EE1">
              <w:rPr>
                <w:rFonts w:ascii="Arial" w:hAnsi="Arial" w:cs="Arial"/>
                <w:color w:val="000000"/>
                <w:sz w:val="16"/>
                <w:szCs w:val="16"/>
              </w:rPr>
              <w:t>H</w:t>
            </w:r>
            <w:r>
              <w:rPr>
                <w:rFonts w:ascii="Arial" w:hAnsi="Arial" w:cs="Arial"/>
                <w:color w:val="000000"/>
                <w:sz w:val="16"/>
                <w:szCs w:val="16"/>
              </w:rPr>
              <w:t xml:space="preserve">-2 and </w:t>
            </w:r>
            <w:r w:rsidR="00356EE1">
              <w:rPr>
                <w:rFonts w:ascii="Arial" w:hAnsi="Arial" w:cs="Arial"/>
                <w:color w:val="000000"/>
                <w:sz w:val="16"/>
                <w:szCs w:val="16"/>
              </w:rPr>
              <w:t>H</w:t>
            </w:r>
            <w:r>
              <w:rPr>
                <w:rFonts w:ascii="Arial" w:hAnsi="Arial" w:cs="Arial"/>
                <w:color w:val="000000"/>
                <w:sz w:val="16"/>
                <w:szCs w:val="16"/>
              </w:rPr>
              <w:t>-3 apply to composite pavements only.</w:t>
            </w:r>
            <w:r w:rsidR="00A24BAA">
              <w:rPr>
                <w:rFonts w:ascii="Arial" w:hAnsi="Arial" w:cs="Arial"/>
                <w:color w:val="000000"/>
                <w:sz w:val="16"/>
                <w:szCs w:val="16"/>
              </w:rPr>
              <w:t xml:space="preserve">  **</w:t>
            </w:r>
            <w:r w:rsidR="00871AE3">
              <w:rPr>
                <w:rFonts w:ascii="Arial" w:hAnsi="Arial" w:cs="Arial"/>
                <w:color w:val="000000"/>
                <w:sz w:val="16"/>
                <w:szCs w:val="16"/>
              </w:rPr>
              <w:t>D-</w:t>
            </w:r>
            <w:r w:rsidR="00356EE1">
              <w:rPr>
                <w:rFonts w:ascii="Arial" w:hAnsi="Arial" w:cs="Arial"/>
                <w:color w:val="000000"/>
                <w:sz w:val="16"/>
                <w:szCs w:val="16"/>
              </w:rPr>
              <w:t xml:space="preserve">4, </w:t>
            </w:r>
            <w:r w:rsidR="00871AE3">
              <w:rPr>
                <w:rFonts w:ascii="Arial" w:hAnsi="Arial" w:cs="Arial"/>
                <w:color w:val="000000"/>
                <w:sz w:val="16"/>
                <w:szCs w:val="16"/>
              </w:rPr>
              <w:t>D-</w:t>
            </w:r>
            <w:r w:rsidR="00356EE1">
              <w:rPr>
                <w:rFonts w:ascii="Arial" w:hAnsi="Arial" w:cs="Arial"/>
                <w:color w:val="000000"/>
                <w:sz w:val="16"/>
                <w:szCs w:val="16"/>
              </w:rPr>
              <w:t>6,</w:t>
            </w:r>
            <w:r w:rsidR="00871AE3">
              <w:rPr>
                <w:rFonts w:ascii="Arial" w:hAnsi="Arial" w:cs="Arial"/>
                <w:color w:val="000000"/>
                <w:sz w:val="16"/>
                <w:szCs w:val="16"/>
              </w:rPr>
              <w:t xml:space="preserve"> and </w:t>
            </w:r>
            <w:r w:rsidR="00356EE1">
              <w:rPr>
                <w:rFonts w:ascii="Arial" w:hAnsi="Arial" w:cs="Arial"/>
                <w:color w:val="000000"/>
                <w:sz w:val="16"/>
                <w:szCs w:val="16"/>
              </w:rPr>
              <w:t>Major Rehab</w:t>
            </w:r>
            <w:r w:rsidR="00A24BAA">
              <w:rPr>
                <w:rFonts w:ascii="Arial" w:hAnsi="Arial" w:cs="Arial"/>
                <w:color w:val="000000"/>
                <w:sz w:val="16"/>
                <w:szCs w:val="16"/>
              </w:rPr>
              <w:t xml:space="preserve"> do not apply to pavements with predominant Curb &amp; Gutter.</w:t>
            </w:r>
            <w:r w:rsidR="007E1D5E">
              <w:rPr>
                <w:rFonts w:ascii="Arial" w:hAnsi="Arial" w:cs="Arial"/>
                <w:color w:val="000000"/>
                <w:sz w:val="16"/>
                <w:szCs w:val="16"/>
              </w:rPr>
              <w:t xml:space="preserve">  </w:t>
            </w:r>
            <w:r w:rsidR="007E1D5E">
              <w:rPr>
                <w:rFonts w:ascii="Arial" w:eastAsia="Arial" w:hAnsi="Arial" w:cs="Arial"/>
                <w:sz w:val="16"/>
              </w:rPr>
              <w:t>Click to go</w:t>
            </w:r>
            <w:r w:rsidR="007E1D5E" w:rsidRPr="00982DB5">
              <w:rPr>
                <w:rFonts w:ascii="Arial" w:eastAsia="Arial" w:hAnsi="Arial" w:cs="Arial"/>
                <w:sz w:val="16"/>
                <w:szCs w:val="16"/>
              </w:rPr>
              <w:t xml:space="preserve"> to</w:t>
            </w:r>
            <w:r w:rsidR="007E1D5E" w:rsidRPr="00982DB5">
              <w:rPr>
                <w:rFonts w:ascii="Arial" w:hAnsi="Arial" w:cs="Arial"/>
                <w:bCs/>
                <w:sz w:val="16"/>
                <w:szCs w:val="16"/>
              </w:rPr>
              <w:t xml:space="preserve"> </w:t>
            </w:r>
            <w:hyperlink w:anchor="_Initial_Treatment_Identification" w:history="1">
              <w:r w:rsidR="007E1D5E" w:rsidRPr="007E1D5E">
                <w:rPr>
                  <w:rStyle w:val="Hyperlink"/>
                  <w:rFonts w:ascii="Arial" w:hAnsi="Arial" w:cs="Arial"/>
                  <w:bCs/>
                  <w:sz w:val="16"/>
                  <w:szCs w:val="16"/>
                </w:rPr>
                <w:t>Initial Treatment Identification – Pavement Preservation Guide</w:t>
              </w:r>
            </w:hyperlink>
            <w:r w:rsidR="00E7268C">
              <w:rPr>
                <w:rStyle w:val="Hyperlink"/>
                <w:rFonts w:ascii="Arial" w:hAnsi="Arial" w:cs="Arial"/>
                <w:bCs/>
                <w:sz w:val="16"/>
                <w:szCs w:val="16"/>
              </w:rPr>
              <w:t>.</w:t>
            </w:r>
          </w:p>
        </w:tc>
      </w:tr>
    </w:tbl>
    <w:p w14:paraId="7E3E3B9C" w14:textId="77777777" w:rsidR="00080910" w:rsidRPr="00807BAE" w:rsidRDefault="00080910" w:rsidP="00F34EFC">
      <w:pPr>
        <w:rPr>
          <w:rFonts w:cs="Arial"/>
          <w:szCs w:val="24"/>
        </w:rPr>
        <w:sectPr w:rsidR="00080910" w:rsidRPr="00807BAE" w:rsidSect="004C6139">
          <w:headerReference w:type="default" r:id="rId58"/>
          <w:footerReference w:type="default" r:id="rId59"/>
          <w:pgSz w:w="15840" w:h="12240" w:orient="landscape"/>
          <w:pgMar w:top="1354" w:right="1498" w:bottom="1152" w:left="1440" w:header="720" w:footer="720" w:gutter="0"/>
          <w:pgNumType w:chapStyle="1"/>
          <w:cols w:space="720"/>
          <w:docGrid w:linePitch="360"/>
        </w:sectPr>
      </w:pPr>
    </w:p>
    <w:tbl>
      <w:tblPr>
        <w:tblpPr w:leftFromText="180" w:rightFromText="180" w:vertAnchor="text" w:tblpX="97" w:tblpY="1"/>
        <w:tblOverlap w:val="never"/>
        <w:tblW w:w="12889" w:type="dxa"/>
        <w:tblLayout w:type="fixed"/>
        <w:tblLook w:val="04A0" w:firstRow="1" w:lastRow="0" w:firstColumn="1" w:lastColumn="0" w:noHBand="0" w:noVBand="1"/>
      </w:tblPr>
      <w:tblGrid>
        <w:gridCol w:w="621"/>
        <w:gridCol w:w="604"/>
        <w:gridCol w:w="712"/>
        <w:gridCol w:w="789"/>
        <w:gridCol w:w="961"/>
        <w:gridCol w:w="1223"/>
        <w:gridCol w:w="1340"/>
        <w:gridCol w:w="1704"/>
        <w:gridCol w:w="897"/>
        <w:gridCol w:w="897"/>
        <w:gridCol w:w="1077"/>
        <w:gridCol w:w="1077"/>
        <w:gridCol w:w="987"/>
      </w:tblGrid>
      <w:tr w:rsidR="00080910" w:rsidRPr="00945156" w14:paraId="11B10440" w14:textId="77777777" w:rsidTr="00052EEE">
        <w:trPr>
          <w:trHeight w:val="735"/>
        </w:trPr>
        <w:tc>
          <w:tcPr>
            <w:tcW w:w="2726" w:type="dxa"/>
            <w:gridSpan w:val="4"/>
            <w:tcBorders>
              <w:top w:val="single" w:sz="36" w:space="0" w:color="auto"/>
              <w:left w:val="single" w:sz="24" w:space="0" w:color="auto"/>
              <w:bottom w:val="single" w:sz="6" w:space="0" w:color="auto"/>
              <w:right w:val="single" w:sz="6" w:space="0" w:color="auto"/>
            </w:tcBorders>
            <w:noWrap/>
            <w:vAlign w:val="center"/>
            <w:hideMark/>
          </w:tcPr>
          <w:p w14:paraId="3481C084" w14:textId="77777777" w:rsidR="00080910" w:rsidRPr="00945156" w:rsidRDefault="00080910" w:rsidP="00133518">
            <w:pPr>
              <w:jc w:val="center"/>
              <w:rPr>
                <w:rFonts w:ascii="Bell MT" w:hAnsi="Bell MT" w:cs="Arial"/>
                <w:b/>
                <w:bCs/>
                <w:color w:val="000000"/>
                <w:sz w:val="40"/>
                <w:szCs w:val="40"/>
              </w:rPr>
            </w:pPr>
            <w:r w:rsidRPr="00945156">
              <w:rPr>
                <w:rFonts w:ascii="Bell MT" w:hAnsi="Bell MT" w:cs="Arial"/>
                <w:b/>
                <w:bCs/>
                <w:color w:val="000000"/>
                <w:sz w:val="40"/>
                <w:szCs w:val="40"/>
              </w:rPr>
              <w:lastRenderedPageBreak/>
              <w:t>Table I</w:t>
            </w:r>
            <w:r>
              <w:rPr>
                <w:rFonts w:ascii="Bell MT" w:hAnsi="Bell MT" w:cs="Arial"/>
                <w:b/>
                <w:bCs/>
                <w:color w:val="000000"/>
                <w:sz w:val="40"/>
                <w:szCs w:val="40"/>
              </w:rPr>
              <w:t>I</w:t>
            </w:r>
          </w:p>
        </w:tc>
        <w:tc>
          <w:tcPr>
            <w:tcW w:w="10163" w:type="dxa"/>
            <w:gridSpan w:val="9"/>
            <w:tcBorders>
              <w:top w:val="single" w:sz="36" w:space="0" w:color="auto"/>
              <w:left w:val="single" w:sz="6" w:space="0" w:color="auto"/>
              <w:bottom w:val="single" w:sz="6" w:space="0" w:color="auto"/>
              <w:right w:val="single" w:sz="24" w:space="0" w:color="auto"/>
            </w:tcBorders>
            <w:vAlign w:val="center"/>
            <w:hideMark/>
          </w:tcPr>
          <w:p w14:paraId="70C35C18" w14:textId="0A62FAFA" w:rsidR="00080910" w:rsidRPr="00945156" w:rsidRDefault="00080910" w:rsidP="00133518">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 xml:space="preserve">ADT: 0 </w:t>
            </w:r>
            <w:r>
              <w:rPr>
                <w:rFonts w:ascii="Arial" w:hAnsi="Arial" w:cs="Arial"/>
                <w:b/>
                <w:bCs/>
                <w:color w:val="000000"/>
                <w:sz w:val="18"/>
                <w:szCs w:val="18"/>
              </w:rPr>
              <w:t xml:space="preserve">to ≤ </w:t>
            </w:r>
            <w:r w:rsidRPr="00945156">
              <w:rPr>
                <w:rFonts w:ascii="Arial" w:hAnsi="Arial" w:cs="Arial"/>
                <w:b/>
                <w:bCs/>
                <w:color w:val="000000"/>
                <w:sz w:val="18"/>
                <w:szCs w:val="18"/>
              </w:rPr>
              <w:t>4,000</w:t>
            </w:r>
            <w:r w:rsidRPr="00945156">
              <w:rPr>
                <w:rFonts w:ascii="Arial" w:hAnsi="Arial" w:cs="Arial"/>
                <w:b/>
                <w:bCs/>
                <w:color w:val="000000"/>
                <w:sz w:val="18"/>
                <w:szCs w:val="18"/>
              </w:rPr>
              <w:br/>
              <w:t xml:space="preserve">IRI: </w:t>
            </w:r>
            <w:r>
              <w:rPr>
                <w:rFonts w:ascii="Arial" w:hAnsi="Arial" w:cs="Arial"/>
                <w:b/>
                <w:bCs/>
                <w:color w:val="000000"/>
                <w:sz w:val="18"/>
                <w:szCs w:val="18"/>
              </w:rPr>
              <w:t>1</w:t>
            </w:r>
            <w:r w:rsidR="001E70D2">
              <w:rPr>
                <w:rFonts w:ascii="Arial" w:hAnsi="Arial" w:cs="Arial"/>
                <w:b/>
                <w:bCs/>
                <w:color w:val="000000"/>
                <w:sz w:val="18"/>
                <w:szCs w:val="18"/>
              </w:rPr>
              <w:t>2</w:t>
            </w:r>
            <w:r>
              <w:rPr>
                <w:rFonts w:ascii="Arial" w:hAnsi="Arial" w:cs="Arial"/>
                <w:b/>
                <w:bCs/>
                <w:color w:val="000000"/>
                <w:sz w:val="18"/>
                <w:szCs w:val="18"/>
              </w:rPr>
              <w:t>1</w:t>
            </w:r>
            <w:r w:rsidRPr="00945156">
              <w:rPr>
                <w:rFonts w:ascii="Arial" w:hAnsi="Arial" w:cs="Arial"/>
                <w:b/>
                <w:bCs/>
                <w:color w:val="000000"/>
                <w:sz w:val="18"/>
                <w:szCs w:val="18"/>
              </w:rPr>
              <w:t xml:space="preserve"> </w:t>
            </w:r>
            <w:r>
              <w:rPr>
                <w:rFonts w:ascii="Arial" w:hAnsi="Arial" w:cs="Arial"/>
                <w:b/>
                <w:bCs/>
                <w:color w:val="000000"/>
                <w:sz w:val="18"/>
                <w:szCs w:val="18"/>
              </w:rPr>
              <w:t>to ≤</w:t>
            </w:r>
            <w:r w:rsidRPr="00945156">
              <w:rPr>
                <w:rFonts w:ascii="Arial" w:hAnsi="Arial" w:cs="Arial"/>
                <w:b/>
                <w:bCs/>
                <w:color w:val="000000"/>
                <w:sz w:val="18"/>
                <w:szCs w:val="18"/>
              </w:rPr>
              <w:t xml:space="preserve"> 1</w:t>
            </w:r>
            <w:r>
              <w:rPr>
                <w:rFonts w:ascii="Arial" w:hAnsi="Arial" w:cs="Arial"/>
                <w:b/>
                <w:bCs/>
                <w:color w:val="000000"/>
                <w:sz w:val="18"/>
                <w:szCs w:val="18"/>
              </w:rPr>
              <w:t>7</w:t>
            </w:r>
            <w:r w:rsidRPr="00945156">
              <w:rPr>
                <w:rFonts w:ascii="Arial" w:hAnsi="Arial" w:cs="Arial"/>
                <w:b/>
                <w:bCs/>
                <w:color w:val="000000"/>
                <w:sz w:val="18"/>
                <w:szCs w:val="18"/>
              </w:rPr>
              <w:t>0</w:t>
            </w:r>
          </w:p>
        </w:tc>
      </w:tr>
      <w:tr w:rsidR="00080910" w:rsidRPr="00945156" w14:paraId="559AFFE0" w14:textId="77777777" w:rsidTr="00052EEE">
        <w:trPr>
          <w:trHeight w:val="465"/>
        </w:trPr>
        <w:tc>
          <w:tcPr>
            <w:tcW w:w="621" w:type="dxa"/>
            <w:tcBorders>
              <w:top w:val="single" w:sz="6" w:space="0" w:color="auto"/>
              <w:left w:val="single" w:sz="24" w:space="0" w:color="auto"/>
              <w:bottom w:val="single" w:sz="24" w:space="0" w:color="auto"/>
              <w:right w:val="single" w:sz="6" w:space="0" w:color="auto"/>
            </w:tcBorders>
            <w:vAlign w:val="center"/>
            <w:hideMark/>
          </w:tcPr>
          <w:p w14:paraId="4EFCC4B8" w14:textId="14BDF021" w:rsidR="00080910" w:rsidRPr="00945156" w:rsidRDefault="00356EE1" w:rsidP="00133518">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604" w:type="dxa"/>
            <w:tcBorders>
              <w:top w:val="single" w:sz="6" w:space="0" w:color="auto"/>
              <w:left w:val="single" w:sz="6" w:space="0" w:color="auto"/>
              <w:bottom w:val="single" w:sz="24" w:space="0" w:color="auto"/>
              <w:right w:val="single" w:sz="6" w:space="0" w:color="auto"/>
            </w:tcBorders>
            <w:vAlign w:val="center"/>
            <w:hideMark/>
          </w:tcPr>
          <w:p w14:paraId="5213ACE5" w14:textId="55B1E4E6" w:rsidR="00080910" w:rsidRPr="00945156" w:rsidRDefault="00356EE1" w:rsidP="00133518">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712" w:type="dxa"/>
            <w:tcBorders>
              <w:top w:val="single" w:sz="6" w:space="0" w:color="auto"/>
              <w:left w:val="single" w:sz="6" w:space="0" w:color="auto"/>
              <w:bottom w:val="single" w:sz="24" w:space="0" w:color="auto"/>
              <w:right w:val="single" w:sz="6" w:space="0" w:color="auto"/>
            </w:tcBorders>
            <w:vAlign w:val="center"/>
            <w:hideMark/>
          </w:tcPr>
          <w:p w14:paraId="57DCB62A" w14:textId="77777777" w:rsidR="00080910" w:rsidRPr="00945156" w:rsidRDefault="00080910" w:rsidP="00133518">
            <w:pPr>
              <w:jc w:val="center"/>
              <w:rPr>
                <w:rFonts w:ascii="Arial" w:hAnsi="Arial" w:cs="Arial"/>
                <w:b/>
                <w:bCs/>
                <w:color w:val="000000"/>
                <w:sz w:val="16"/>
                <w:szCs w:val="16"/>
              </w:rPr>
            </w:pPr>
            <w:r>
              <w:rPr>
                <w:rFonts w:ascii="Arial" w:hAnsi="Arial" w:cs="Arial"/>
                <w:b/>
                <w:bCs/>
                <w:color w:val="000000"/>
                <w:sz w:val="16"/>
                <w:szCs w:val="16"/>
              </w:rPr>
              <w:t>Skid</w:t>
            </w:r>
          </w:p>
        </w:tc>
        <w:tc>
          <w:tcPr>
            <w:tcW w:w="789" w:type="dxa"/>
            <w:tcBorders>
              <w:top w:val="single" w:sz="6" w:space="0" w:color="auto"/>
              <w:left w:val="single" w:sz="6" w:space="0" w:color="auto"/>
              <w:bottom w:val="single" w:sz="24" w:space="0" w:color="auto"/>
              <w:right w:val="single" w:sz="6" w:space="0" w:color="auto"/>
            </w:tcBorders>
            <w:vAlign w:val="center"/>
            <w:hideMark/>
          </w:tcPr>
          <w:p w14:paraId="49455574" w14:textId="77777777" w:rsidR="00080910" w:rsidRPr="00945156" w:rsidRDefault="00080910" w:rsidP="00133518">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61" w:type="dxa"/>
            <w:tcBorders>
              <w:top w:val="single" w:sz="6" w:space="0" w:color="auto"/>
              <w:left w:val="single" w:sz="6" w:space="0" w:color="auto"/>
              <w:bottom w:val="single" w:sz="24" w:space="0" w:color="auto"/>
              <w:right w:val="single" w:sz="6" w:space="0" w:color="auto"/>
            </w:tcBorders>
            <w:vAlign w:val="center"/>
            <w:hideMark/>
          </w:tcPr>
          <w:p w14:paraId="03EC2813" w14:textId="77777777" w:rsidR="00080910" w:rsidRPr="00945156" w:rsidRDefault="00080910" w:rsidP="00133518">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23" w:type="dxa"/>
            <w:tcBorders>
              <w:top w:val="single" w:sz="6" w:space="0" w:color="auto"/>
              <w:left w:val="single" w:sz="6" w:space="0" w:color="auto"/>
              <w:bottom w:val="single" w:sz="24" w:space="0" w:color="auto"/>
              <w:right w:val="single" w:sz="6" w:space="0" w:color="auto"/>
            </w:tcBorders>
            <w:vAlign w:val="center"/>
            <w:hideMark/>
          </w:tcPr>
          <w:p w14:paraId="15CA07B8" w14:textId="77777777" w:rsidR="00080910" w:rsidRPr="00945156" w:rsidRDefault="00080910" w:rsidP="00133518">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340" w:type="dxa"/>
            <w:tcBorders>
              <w:top w:val="single" w:sz="6" w:space="0" w:color="auto"/>
              <w:left w:val="single" w:sz="6" w:space="0" w:color="auto"/>
              <w:bottom w:val="single" w:sz="24" w:space="0" w:color="auto"/>
              <w:right w:val="single" w:sz="6" w:space="0" w:color="auto"/>
            </w:tcBorders>
            <w:vAlign w:val="center"/>
            <w:hideMark/>
          </w:tcPr>
          <w:p w14:paraId="0296D4C5" w14:textId="77777777" w:rsidR="00080910" w:rsidRPr="00945156" w:rsidRDefault="00080910" w:rsidP="00133518">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04" w:type="dxa"/>
            <w:tcBorders>
              <w:top w:val="single" w:sz="6" w:space="0" w:color="auto"/>
              <w:left w:val="single" w:sz="6" w:space="0" w:color="auto"/>
              <w:bottom w:val="single" w:sz="24" w:space="0" w:color="auto"/>
              <w:right w:val="single" w:sz="6" w:space="0" w:color="auto"/>
            </w:tcBorders>
            <w:vAlign w:val="center"/>
            <w:hideMark/>
          </w:tcPr>
          <w:p w14:paraId="6F6D4282" w14:textId="24A72D43" w:rsidR="00080910" w:rsidRPr="00945156" w:rsidRDefault="00080910"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sidR="00356EE1">
              <w:rPr>
                <w:rFonts w:ascii="Arial" w:hAnsi="Arial" w:cs="Arial"/>
                <w:b/>
                <w:bCs/>
                <w:color w:val="000000"/>
                <w:sz w:val="16"/>
                <w:szCs w:val="16"/>
              </w:rPr>
              <w:t>Asphalt</w:t>
            </w:r>
            <w:r w:rsidRPr="00945156">
              <w:rPr>
                <w:rFonts w:ascii="Arial" w:hAnsi="Arial" w:cs="Arial"/>
                <w:b/>
                <w:bCs/>
                <w:color w:val="000000"/>
                <w:sz w:val="16"/>
                <w:szCs w:val="16"/>
              </w:rPr>
              <w:t xml:space="preserve"> Overlay</w:t>
            </w:r>
            <w:r w:rsidR="00A24BAA">
              <w:rPr>
                <w:rFonts w:ascii="Arial" w:hAnsi="Arial" w:cs="Arial"/>
                <w:b/>
                <w:bCs/>
                <w:color w:val="000000"/>
                <w:sz w:val="16"/>
                <w:szCs w:val="16"/>
              </w:rPr>
              <w:t>**</w:t>
            </w:r>
          </w:p>
        </w:tc>
        <w:tc>
          <w:tcPr>
            <w:tcW w:w="897" w:type="dxa"/>
            <w:tcBorders>
              <w:top w:val="single" w:sz="6" w:space="0" w:color="auto"/>
              <w:left w:val="single" w:sz="6" w:space="0" w:color="auto"/>
              <w:bottom w:val="single" w:sz="24" w:space="0" w:color="auto"/>
              <w:right w:val="single" w:sz="6" w:space="0" w:color="auto"/>
            </w:tcBorders>
            <w:vAlign w:val="center"/>
            <w:hideMark/>
          </w:tcPr>
          <w:p w14:paraId="4D9D773B" w14:textId="77777777" w:rsidR="00080910" w:rsidRPr="00945156" w:rsidRDefault="00080910" w:rsidP="00133518">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897" w:type="dxa"/>
            <w:tcBorders>
              <w:top w:val="single" w:sz="6" w:space="0" w:color="auto"/>
              <w:left w:val="single" w:sz="6" w:space="0" w:color="auto"/>
              <w:bottom w:val="single" w:sz="24" w:space="0" w:color="auto"/>
              <w:right w:val="single" w:sz="6" w:space="0" w:color="auto"/>
            </w:tcBorders>
            <w:vAlign w:val="center"/>
            <w:hideMark/>
          </w:tcPr>
          <w:p w14:paraId="2CF3E289" w14:textId="3C8037C9" w:rsidR="00080910" w:rsidRPr="00945156" w:rsidRDefault="00080910"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F. </w:t>
            </w:r>
            <w:r w:rsidR="00356EE1">
              <w:rPr>
                <w:rFonts w:ascii="Arial" w:hAnsi="Arial" w:cs="Arial"/>
                <w:b/>
                <w:bCs/>
                <w:color w:val="000000"/>
                <w:sz w:val="16"/>
                <w:szCs w:val="16"/>
              </w:rPr>
              <w:t>Spot Repair</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23465BEA" w14:textId="1DE8E8B2" w:rsidR="00080910" w:rsidRPr="00945156" w:rsidRDefault="00356EE1" w:rsidP="00133518">
            <w:pPr>
              <w:jc w:val="center"/>
              <w:rPr>
                <w:rFonts w:ascii="Arial" w:hAnsi="Arial" w:cs="Arial"/>
                <w:b/>
                <w:bCs/>
                <w:color w:val="000000"/>
                <w:sz w:val="16"/>
                <w:szCs w:val="16"/>
              </w:rPr>
            </w:pPr>
            <w:r>
              <w:rPr>
                <w:rFonts w:ascii="Arial" w:hAnsi="Arial" w:cs="Arial"/>
                <w:b/>
                <w:bCs/>
                <w:color w:val="000000"/>
                <w:sz w:val="16"/>
                <w:szCs w:val="16"/>
              </w:rPr>
              <w:t>G</w:t>
            </w:r>
            <w:r w:rsidR="00080910" w:rsidRPr="00945156">
              <w:rPr>
                <w:rFonts w:ascii="Arial" w:hAnsi="Arial" w:cs="Arial"/>
                <w:b/>
                <w:bCs/>
                <w:color w:val="000000"/>
                <w:sz w:val="16"/>
                <w:szCs w:val="16"/>
              </w:rPr>
              <w:t xml:space="preserve">. </w:t>
            </w:r>
            <w:r w:rsidR="00080910">
              <w:rPr>
                <w:rFonts w:ascii="Arial" w:hAnsi="Arial" w:cs="Arial"/>
                <w:b/>
                <w:bCs/>
                <w:color w:val="000000"/>
                <w:sz w:val="16"/>
                <w:szCs w:val="16"/>
              </w:rPr>
              <w:t>Surface Texturizing</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5D40F80C" w14:textId="0B33C3DE" w:rsidR="00080910" w:rsidRPr="00945156" w:rsidRDefault="00356EE1" w:rsidP="00133518">
            <w:pPr>
              <w:jc w:val="center"/>
              <w:rPr>
                <w:rFonts w:ascii="Arial" w:hAnsi="Arial" w:cs="Arial"/>
                <w:b/>
                <w:bCs/>
                <w:color w:val="000000"/>
                <w:sz w:val="16"/>
                <w:szCs w:val="16"/>
              </w:rPr>
            </w:pPr>
            <w:r>
              <w:rPr>
                <w:rFonts w:ascii="Arial" w:hAnsi="Arial" w:cs="Arial"/>
                <w:b/>
                <w:bCs/>
                <w:color w:val="000000"/>
                <w:sz w:val="16"/>
                <w:szCs w:val="16"/>
              </w:rPr>
              <w:t>H</w:t>
            </w:r>
            <w:r w:rsidR="00080910" w:rsidRPr="00945156">
              <w:rPr>
                <w:rFonts w:ascii="Arial" w:hAnsi="Arial" w:cs="Arial"/>
                <w:b/>
                <w:bCs/>
                <w:color w:val="000000"/>
                <w:sz w:val="16"/>
                <w:szCs w:val="16"/>
              </w:rPr>
              <w:t>. Major Rehab</w:t>
            </w:r>
            <w:r w:rsidR="00354BE0">
              <w:rPr>
                <w:rFonts w:ascii="Arial" w:hAnsi="Arial" w:cs="Arial"/>
                <w:b/>
                <w:bCs/>
                <w:color w:val="000000"/>
                <w:sz w:val="16"/>
                <w:szCs w:val="16"/>
              </w:rPr>
              <w:t>**</w:t>
            </w:r>
          </w:p>
        </w:tc>
        <w:tc>
          <w:tcPr>
            <w:tcW w:w="987" w:type="dxa"/>
            <w:tcBorders>
              <w:top w:val="single" w:sz="6" w:space="0" w:color="auto"/>
              <w:left w:val="single" w:sz="6" w:space="0" w:color="auto"/>
              <w:bottom w:val="single" w:sz="24" w:space="0" w:color="auto"/>
              <w:right w:val="single" w:sz="24" w:space="0" w:color="auto"/>
            </w:tcBorders>
            <w:vAlign w:val="center"/>
            <w:hideMark/>
          </w:tcPr>
          <w:p w14:paraId="2078CE9C" w14:textId="5BEDCEE6" w:rsidR="00080910" w:rsidRPr="00945156" w:rsidRDefault="00356EE1" w:rsidP="00133518">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r w:rsidRPr="00945156">
              <w:rPr>
                <w:rFonts w:ascii="Arial" w:hAnsi="Arial" w:cs="Arial"/>
                <w:b/>
                <w:bCs/>
                <w:color w:val="000000"/>
                <w:sz w:val="16"/>
                <w:szCs w:val="16"/>
              </w:rPr>
              <w:t>struction</w:t>
            </w:r>
          </w:p>
        </w:tc>
      </w:tr>
      <w:tr w:rsidR="00115674" w:rsidRPr="00945156" w14:paraId="1B9C2068" w14:textId="77777777" w:rsidTr="00052EEE">
        <w:trPr>
          <w:trHeight w:val="195"/>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7B7F8A41" w14:textId="77777777" w:rsidR="00356EE1" w:rsidRDefault="00356EE1" w:rsidP="00356EE1">
            <w:pPr>
              <w:jc w:val="center"/>
              <w:rPr>
                <w:rFonts w:ascii="Arial" w:hAnsi="Arial" w:cs="Arial"/>
                <w:color w:val="000000"/>
                <w:sz w:val="14"/>
                <w:szCs w:val="14"/>
              </w:rPr>
            </w:pPr>
            <w:r>
              <w:rPr>
                <w:rFonts w:ascii="Arial" w:hAnsi="Arial" w:cs="Arial"/>
                <w:color w:val="000000"/>
                <w:sz w:val="14"/>
                <w:szCs w:val="14"/>
              </w:rPr>
              <w:t>≥25</w:t>
            </w:r>
          </w:p>
          <w:p w14:paraId="36571FF9" w14:textId="7A54AFFD" w:rsidR="00080910" w:rsidRPr="00945156" w:rsidRDefault="00080910"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47726700" w14:textId="1DF06D88"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0AE65926"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41F6BAB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31666D0E"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17272C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EA9003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147A67B2" w14:textId="2BA6AE2F"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 xml:space="preserve"> </w:t>
            </w:r>
            <w:r w:rsidR="00080910"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36E8DB1A" w14:textId="77EB4C4E"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E-1</w:t>
            </w:r>
            <w:r w:rsidR="00080910"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E2A3A3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507BAD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noWrap/>
            <w:vAlign w:val="center"/>
            <w:hideMark/>
          </w:tcPr>
          <w:p w14:paraId="24980E7F" w14:textId="08CA94E3"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87" w:type="dxa"/>
            <w:tcBorders>
              <w:top w:val="single" w:sz="24" w:space="0" w:color="auto"/>
              <w:left w:val="single" w:sz="6" w:space="0" w:color="auto"/>
              <w:bottom w:val="single" w:sz="6" w:space="0" w:color="auto"/>
              <w:right w:val="single" w:sz="24" w:space="0" w:color="auto"/>
            </w:tcBorders>
            <w:noWrap/>
            <w:vAlign w:val="center"/>
            <w:hideMark/>
          </w:tcPr>
          <w:p w14:paraId="7870D4AE" w14:textId="4B218FAE"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p>
        </w:tc>
      </w:tr>
      <w:tr w:rsidR="00115674" w:rsidRPr="00945156" w14:paraId="177743F4"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F93FFBC"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BC6B3D9"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0EE82E5"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92056CC"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58AE8E26"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B9030EE"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5B1EE3C"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360D2A1F" w14:textId="371EA3EF"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215B530" w14:textId="3CF057DE"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5D4C8A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F2397AC"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237E80DF" w14:textId="379A66C0"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4722A741" w14:textId="640B868E"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10ACEB0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576AB3A"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493A3C4"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6EFE6BEB"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317F0EC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7266E49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05CA88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DBA596D"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6105735A" w14:textId="12EA1D2D"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29272BD9" w14:textId="51A23399"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EC9E9BD"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318E39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6CDEAE00" w14:textId="2730EE5A"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35C63A07" w14:textId="5377D6DD"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3F5B38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4C1F04B"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F2C4B48" w14:textId="77777777" w:rsidR="00080910" w:rsidRPr="00945156" w:rsidRDefault="00080910"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150E16C"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26E4C50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31675A6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5034E5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AE08F2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23DFE20C" w14:textId="377ABCA5"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 xml:space="preserve"> </w:t>
            </w:r>
            <w:r w:rsidR="00080910"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5EEF9FE7" w14:textId="681E6FC2"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9D64DF1"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D78D50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3F91CD34" w14:textId="7971287C"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577A254C" w14:textId="5F731000"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E57F996"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3F5BAA9"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5068CBC"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751C9A2" w14:textId="77777777" w:rsidR="00080910" w:rsidRPr="00945156" w:rsidRDefault="00080910"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47B134AD"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43EAF1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3D08BF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296E8B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42696CDF" w14:textId="2BBC88B3"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182850C" w14:textId="3D60A563"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736F59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279D3E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56C39B36" w14:textId="5B353E54"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29265357" w14:textId="69633D85"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19D99CF"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00EC62F"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1D5D8FB"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63F20234" w14:textId="77777777" w:rsidR="00080910" w:rsidRPr="00945156" w:rsidRDefault="00080910"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64B69BE"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26248A9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2E5CAA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49B3B1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72358D9B" w14:textId="5BC184A1"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B866760" w14:textId="1ABAC0B8"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E388F4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ADDD351"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4B007E33" w14:textId="5D5BB7E8"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6CF65812" w14:textId="1A093F43"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233996F"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62269FF" w14:textId="77777777" w:rsidR="00080910" w:rsidRPr="00945156" w:rsidRDefault="00080910"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014946A3" w14:textId="1AE8A514"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3279D6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1CD54A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D3460F4"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D7860E1"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E299BB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5D4683D4" w14:textId="6A11BC51"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 xml:space="preserve"> </w:t>
            </w:r>
            <w:r w:rsidR="00080910"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753C547F" w14:textId="639961C4"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6828F5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9C1B22D"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16DD63AF" w14:textId="76705FD8"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4645E373" w14:textId="08E2989E"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2543685"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091E4F5"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809563C"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93E145D" w14:textId="77777777" w:rsidR="00080910" w:rsidRPr="00945156" w:rsidRDefault="00080910"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4DA00216"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E7CD8B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692AC56"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3EA408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6CB93F7F" w14:textId="07EC5064"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19C5D28A" w14:textId="4DA7BF54"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52AC51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4D7A55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3FF0192F" w14:textId="38722D18"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7902FA96" w14:textId="12251045"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EBFA0F2"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3BC40B0"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80A9EDF"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6A7D9006" w14:textId="77777777" w:rsidR="00080910" w:rsidRPr="00945156" w:rsidRDefault="00080910"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6E0B2D2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3DD08F2E"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511B95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400327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669C1235" w14:textId="6A44B3E6"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C737072" w14:textId="6F9D4C6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3AD7C3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1820EC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257EFF15" w14:textId="5AB5FB99"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140C810E" w14:textId="23694A46"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C5F0C61"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88E39DB"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34E6D82" w14:textId="77777777" w:rsidR="00080910" w:rsidRPr="00945156" w:rsidRDefault="00080910"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2CC041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77C5EDD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7F41A11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3CD45A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4F4B80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7B43F6FF" w14:textId="19531D2C"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 xml:space="preserve"> </w:t>
            </w:r>
            <w:r w:rsidR="00080910"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79677F68" w14:textId="4939CA9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28FB2D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DCCB7E6"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21B7CB92" w14:textId="56D557A8"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230971CA" w14:textId="34EF3610"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1CEDF02"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56AAF58"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8D58F19"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3DF7A8B" w14:textId="77777777" w:rsidR="00080910" w:rsidRPr="00945156" w:rsidRDefault="00080910"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F6CCC6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BEAAE8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536A82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CDE50C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07CD2C46" w14:textId="279C62A3"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5282E54" w14:textId="49572336"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1862F7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3D8F2F4"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54ED4FFC" w14:textId="08F82F8D"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2F224C1E" w14:textId="50B923E0"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627D72C"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084E2DD7"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3A4149FA"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75BFD07D" w14:textId="77777777" w:rsidR="00080910" w:rsidRPr="00945156" w:rsidRDefault="00080910"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5AAE2EFD"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674D892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2494B1C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7751A1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6277261E" w14:textId="0A91BA78"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4</w:t>
            </w:r>
            <w:r w:rsidRPr="00945156">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0FFE429D" w14:textId="37B2CFC3"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E-1</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284E423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D4F5F9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491330B8" w14:textId="2E0A0C16"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H</w:t>
            </w:r>
            <w:r w:rsidR="00080910" w:rsidRPr="00945156">
              <w:rPr>
                <w:rFonts w:ascii="Arial" w:hAnsi="Arial" w:cs="Arial"/>
                <w:color w:val="000000"/>
                <w:sz w:val="14"/>
                <w:szCs w:val="14"/>
              </w:rPr>
              <w:t>-1</w:t>
            </w:r>
            <w:r w:rsidR="00080910">
              <w:rPr>
                <w:rFonts w:ascii="Arial" w:hAnsi="Arial" w:cs="Arial"/>
                <w:color w:val="000000"/>
                <w:sz w:val="14"/>
                <w:szCs w:val="14"/>
              </w:rPr>
              <w:t xml:space="preserve">, </w:t>
            </w:r>
            <w:r>
              <w:rPr>
                <w:rFonts w:ascii="Arial" w:hAnsi="Arial" w:cs="Arial"/>
                <w:color w:val="000000"/>
                <w:sz w:val="14"/>
                <w:szCs w:val="14"/>
              </w:rPr>
              <w:t>H</w:t>
            </w:r>
            <w:r w:rsidR="00080910">
              <w:rPr>
                <w:rFonts w:ascii="Arial" w:hAnsi="Arial" w:cs="Arial"/>
                <w:color w:val="000000"/>
                <w:sz w:val="14"/>
                <w:szCs w:val="14"/>
              </w:rPr>
              <w:t>-2</w:t>
            </w:r>
            <w:r>
              <w:rPr>
                <w:rFonts w:ascii="Arial" w:hAnsi="Arial" w:cs="Arial"/>
                <w:color w:val="000000"/>
                <w:sz w:val="14"/>
                <w:szCs w:val="14"/>
              </w:rPr>
              <w:t>, H</w:t>
            </w:r>
            <w:r w:rsidR="00080910">
              <w:rPr>
                <w:rFonts w:ascii="Arial" w:hAnsi="Arial" w:cs="Arial"/>
                <w:color w:val="000000"/>
                <w:sz w:val="14"/>
                <w:szCs w:val="14"/>
              </w:rPr>
              <w:t>-3</w:t>
            </w:r>
          </w:p>
        </w:tc>
        <w:tc>
          <w:tcPr>
            <w:tcW w:w="987" w:type="dxa"/>
            <w:tcBorders>
              <w:top w:val="single" w:sz="6" w:space="0" w:color="auto"/>
              <w:left w:val="single" w:sz="6" w:space="0" w:color="auto"/>
              <w:bottom w:val="single" w:sz="24" w:space="0" w:color="auto"/>
              <w:right w:val="single" w:sz="24" w:space="0" w:color="auto"/>
            </w:tcBorders>
            <w:noWrap/>
            <w:vAlign w:val="center"/>
            <w:hideMark/>
          </w:tcPr>
          <w:p w14:paraId="0040EF45" w14:textId="595624EA"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I</w:t>
            </w:r>
            <w:r w:rsidR="00080910" w:rsidRPr="00945156">
              <w:rPr>
                <w:rFonts w:ascii="Arial" w:hAnsi="Arial" w:cs="Arial"/>
                <w:color w:val="000000"/>
                <w:sz w:val="14"/>
                <w:szCs w:val="14"/>
              </w:rPr>
              <w:t xml:space="preserve">-1, </w:t>
            </w:r>
            <w:r>
              <w:rPr>
                <w:rFonts w:ascii="Arial" w:hAnsi="Arial" w:cs="Arial"/>
                <w:color w:val="000000"/>
                <w:sz w:val="14"/>
                <w:szCs w:val="14"/>
              </w:rPr>
              <w:t>1</w:t>
            </w:r>
            <w:r w:rsidR="00080910"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F8FE2EA"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50FF3398" w14:textId="58D2FF4C" w:rsidR="00356EE1" w:rsidRDefault="00356EE1" w:rsidP="00356EE1">
            <w:pPr>
              <w:jc w:val="center"/>
              <w:rPr>
                <w:rFonts w:ascii="Arial" w:hAnsi="Arial" w:cs="Arial"/>
                <w:color w:val="000000"/>
                <w:sz w:val="14"/>
                <w:szCs w:val="14"/>
              </w:rPr>
            </w:pPr>
            <w:r>
              <w:rPr>
                <w:rFonts w:ascii="Arial" w:hAnsi="Arial" w:cs="Arial"/>
                <w:color w:val="000000"/>
                <w:sz w:val="14"/>
                <w:szCs w:val="14"/>
              </w:rPr>
              <w:t>≥5</w:t>
            </w:r>
            <w:r w:rsidR="00080910">
              <w:rPr>
                <w:rFonts w:ascii="Arial" w:hAnsi="Arial" w:cs="Arial"/>
                <w:color w:val="000000"/>
                <w:sz w:val="14"/>
                <w:szCs w:val="14"/>
              </w:rPr>
              <w:t xml:space="preserve"> to </w:t>
            </w:r>
            <w:r>
              <w:rPr>
                <w:rFonts w:ascii="Arial" w:hAnsi="Arial" w:cs="Arial"/>
                <w:color w:val="000000"/>
                <w:sz w:val="14"/>
                <w:szCs w:val="14"/>
              </w:rPr>
              <w:t>&lt;25</w:t>
            </w:r>
          </w:p>
          <w:p w14:paraId="51769A29" w14:textId="50325599" w:rsidR="00080910" w:rsidRPr="00945156" w:rsidRDefault="00080910"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4E0503B1" w14:textId="360A9F0E"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316B6D4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014B02D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35B8129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1AD548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21910DD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54CCFDE5" w14:textId="5084B912"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356EE1">
              <w:rPr>
                <w:rFonts w:ascii="Arial" w:hAnsi="Arial" w:cs="Arial"/>
                <w:color w:val="000000"/>
                <w:sz w:val="14"/>
                <w:szCs w:val="14"/>
              </w:rPr>
              <w:t>4, D-6</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7351FA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2C0BD489" w14:textId="4F7906C6"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F-1</w:t>
            </w:r>
            <w:r w:rsidR="00080910"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CE54C3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3A96F2F" w14:textId="0EBCD157" w:rsidR="00080910" w:rsidRPr="00945156" w:rsidRDefault="00080910" w:rsidP="00133518">
            <w:pPr>
              <w:jc w:val="center"/>
              <w:rPr>
                <w:rFonts w:ascii="Arial" w:hAnsi="Arial" w:cs="Arial"/>
                <w:color w:val="000000"/>
                <w:sz w:val="14"/>
                <w:szCs w:val="14"/>
              </w:rPr>
            </w:pP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61B476C"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FE82985"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E00D50C"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0F9DD04"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CA0AA03"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AA6FA7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2E3D57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9800F9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0E2EEE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3CF39544" w14:textId="7CB7BC5C"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7B235E1" w14:textId="01BA6AA8"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E-2</w:t>
            </w:r>
            <w:r w:rsidR="00080910"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AC9F352" w14:textId="679A6E32"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08870E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D60E94C" w14:textId="2FC219BF" w:rsidR="00080910" w:rsidRPr="00945156" w:rsidRDefault="00080910"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9E2E14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223F5AE"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88DA1EB"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C897C9A"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17DFDAF"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7979DEF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536B9301"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0F36F2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5FBB9D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5515D11C" w14:textId="4AAEB6A9"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sidRPr="00945156">
              <w:rPr>
                <w:rFonts w:ascii="Arial" w:hAnsi="Arial" w:cs="Arial"/>
                <w:color w:val="000000"/>
                <w:sz w:val="14"/>
                <w:szCs w:val="14"/>
              </w:rPr>
              <w:t>3</w:t>
            </w:r>
            <w:r w:rsidR="00356EE1">
              <w:rPr>
                <w:rFonts w:ascii="Arial" w:hAnsi="Arial" w:cs="Arial"/>
                <w:color w:val="000000"/>
                <w:sz w:val="14"/>
                <w:szCs w:val="14"/>
              </w:rPr>
              <w:t>,</w:t>
            </w:r>
            <w:r>
              <w:rPr>
                <w:rFonts w:ascii="Arial" w:hAnsi="Arial" w:cs="Arial"/>
                <w:color w:val="000000"/>
                <w:sz w:val="14"/>
                <w:szCs w:val="14"/>
              </w:rPr>
              <w:t xml:space="preserve"> D-</w:t>
            </w:r>
            <w:r w:rsidR="00356EE1">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4104152F" w14:textId="48401011"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4AD8922" w14:textId="5CB542D3"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072CE1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F5A3CE5" w14:textId="2BA23C06" w:rsidR="00080910" w:rsidRPr="00945156" w:rsidRDefault="00080910"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73DF21E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0080E6E"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894E38F"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2EACC81" w14:textId="77777777" w:rsidR="00080910" w:rsidRPr="00945156" w:rsidRDefault="00080910"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4B4256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1E0B2D7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2DDC1AA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FF74C2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D30C1E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528B2650" w14:textId="09E588BA"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356EE1">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F49A6D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0792C03B" w14:textId="7301A551"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3E5526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F971163" w14:textId="45BAF32E" w:rsidR="00080910" w:rsidRPr="00945156" w:rsidRDefault="00080910"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182BFE1"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2BDA8E8"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01E56D1"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6F58D5B"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53CB899"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5828593"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1B4B108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9C5C06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272A2C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2DAAB91" w14:textId="300FFA9D"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9F4B145" w14:textId="48F0E023"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B416480" w14:textId="5BD37794"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6B98ACC"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70E772B" w14:textId="700E16C6" w:rsidR="00080910" w:rsidRPr="00945156" w:rsidRDefault="00080910"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0FE9C44"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D323D44"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1059BB5"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F3336E9"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ACE5F6A"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A2F260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DD276B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E212FB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A301BCE"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62A77AA3" w14:textId="380C9DCF"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sidRPr="00945156">
              <w:rPr>
                <w:rFonts w:ascii="Arial" w:hAnsi="Arial" w:cs="Arial"/>
                <w:color w:val="000000"/>
                <w:sz w:val="14"/>
                <w:szCs w:val="14"/>
              </w:rPr>
              <w:t>3</w:t>
            </w:r>
            <w:r w:rsidR="00356EE1">
              <w:rPr>
                <w:rFonts w:ascii="Arial" w:hAnsi="Arial" w:cs="Arial"/>
                <w:color w:val="000000"/>
                <w:sz w:val="14"/>
                <w:szCs w:val="14"/>
              </w:rPr>
              <w:t>,</w:t>
            </w:r>
            <w:r>
              <w:rPr>
                <w:rFonts w:ascii="Arial" w:hAnsi="Arial" w:cs="Arial"/>
                <w:color w:val="000000"/>
                <w:sz w:val="14"/>
                <w:szCs w:val="14"/>
              </w:rPr>
              <w:t xml:space="preserve"> D-</w:t>
            </w:r>
            <w:r w:rsidR="00356EE1">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4E18A006" w14:textId="31A773BD"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21BFD3BC" w14:textId="000FECD6"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72A86B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57E4BBC" w14:textId="570EE617" w:rsidR="00080910" w:rsidRPr="00945156" w:rsidRDefault="00080910"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292C227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9E0E5A7"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B6528FB" w14:textId="77777777" w:rsidR="00080910" w:rsidRPr="00945156" w:rsidRDefault="00080910"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62E1DF67" w14:textId="50275D91"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E44516E"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6DF4A8B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5DF9B126"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F0DE70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364EAC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318FE26F" w14:textId="113D6E9A"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356EE1">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7EE85C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148E1741" w14:textId="59B128D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A1EDFD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D7F3DE2" w14:textId="7CC8C523" w:rsidR="00080910" w:rsidRPr="00945156" w:rsidRDefault="00080910"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575F91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20AF56F"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3D727C2"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01D337E"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B4D1F8C"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8C00F3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B152E4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69E91D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C4E0321"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17DAE5FA" w14:textId="3D3FBC96"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3B56B42" w14:textId="3B041B96"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21E088BD" w14:textId="27A3115A"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DEA724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62E1F46" w14:textId="51329D7C" w:rsidR="00080910" w:rsidRPr="00945156" w:rsidRDefault="00080910"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2729D5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87F4BD1"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9769392"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507FF43"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3ED88229"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13062A0D"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E87EF5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FF4D1E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E25CF9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2B9A3FCE" w14:textId="1E27DD8F"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sidRPr="00945156">
              <w:rPr>
                <w:rFonts w:ascii="Arial" w:hAnsi="Arial" w:cs="Arial"/>
                <w:color w:val="000000"/>
                <w:sz w:val="14"/>
                <w:szCs w:val="14"/>
              </w:rPr>
              <w:t>3</w:t>
            </w:r>
            <w:r w:rsidR="00356EE1">
              <w:rPr>
                <w:rFonts w:ascii="Arial" w:hAnsi="Arial" w:cs="Arial"/>
                <w:color w:val="000000"/>
                <w:sz w:val="14"/>
                <w:szCs w:val="14"/>
              </w:rPr>
              <w:t>,</w:t>
            </w:r>
            <w:r>
              <w:rPr>
                <w:rFonts w:ascii="Arial" w:hAnsi="Arial" w:cs="Arial"/>
                <w:color w:val="000000"/>
                <w:sz w:val="14"/>
                <w:szCs w:val="14"/>
              </w:rPr>
              <w:t xml:space="preserve"> D-</w:t>
            </w:r>
            <w:r w:rsidR="00356EE1">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78E9B26" w14:textId="137B2399"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14E2EE6D" w14:textId="76117188"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0E19B7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A163C8F" w14:textId="7A6B6F11" w:rsidR="00080910" w:rsidRPr="00945156" w:rsidRDefault="00080910"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521E1E5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31C84E7"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68C8B0E"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8BF9B24" w14:textId="77777777" w:rsidR="00080910" w:rsidRPr="00945156" w:rsidRDefault="00080910"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39AF5BB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175E58B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97D56A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871B155"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CAD0F54"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5631D052" w14:textId="0690E141"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356EE1">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011CC94"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55E22E18" w14:textId="4B2B66A0"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10F30E0"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ED2D945" w14:textId="7F1E3AAC" w:rsidR="00080910" w:rsidRPr="00945156" w:rsidRDefault="00080910"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9E5E204"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396E5E8"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8235668"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EB68802"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B8C7F5B"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7FE9C9A"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DCA91E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F4CB346"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C86422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5A55F3D" w14:textId="45BDE44D"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356EE1">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443650D" w14:textId="1A761930"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8887EE9" w14:textId="3FB0FB7D"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7798CA8"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D15E4F8" w14:textId="20EC35B7" w:rsidR="00080910" w:rsidRPr="00945156" w:rsidRDefault="00080910"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BFDD311"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B042B1C"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6EFEA7A1" w14:textId="77777777" w:rsidR="00080910" w:rsidRPr="00945156" w:rsidRDefault="00080910"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3A71CE17" w14:textId="77777777" w:rsidR="00080910" w:rsidRPr="00945156" w:rsidRDefault="00080910"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3AFC12E9" w14:textId="77777777" w:rsidR="00080910" w:rsidRPr="00945156" w:rsidRDefault="00080910"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736E4437"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683BEE6F"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E370D4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105981E"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4EA96E45" w14:textId="6A7C0CFC"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sidRPr="00945156">
              <w:rPr>
                <w:rFonts w:ascii="Arial" w:hAnsi="Arial" w:cs="Arial"/>
                <w:color w:val="000000"/>
                <w:sz w:val="14"/>
                <w:szCs w:val="14"/>
              </w:rPr>
              <w:t>3</w:t>
            </w:r>
            <w:r w:rsidR="00356EE1">
              <w:rPr>
                <w:rFonts w:ascii="Arial" w:hAnsi="Arial" w:cs="Arial"/>
                <w:color w:val="000000"/>
                <w:sz w:val="14"/>
                <w:szCs w:val="14"/>
              </w:rPr>
              <w:t>,</w:t>
            </w:r>
            <w:r>
              <w:rPr>
                <w:rFonts w:ascii="Arial" w:hAnsi="Arial" w:cs="Arial"/>
                <w:color w:val="000000"/>
                <w:sz w:val="14"/>
                <w:szCs w:val="14"/>
              </w:rPr>
              <w:t xml:space="preserve"> D-</w:t>
            </w:r>
            <w:r w:rsidR="00356EE1">
              <w:rPr>
                <w:rFonts w:ascii="Arial" w:hAnsi="Arial" w:cs="Arial"/>
                <w:color w:val="000000"/>
                <w:sz w:val="14"/>
                <w:szCs w:val="14"/>
              </w:rPr>
              <w:t>4, D-6</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54F82FD2" w14:textId="1101816F"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504F8007" w14:textId="01CF277D"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4EF663C"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3F31CF88" w14:textId="340B012E" w:rsidR="00080910" w:rsidRPr="00945156" w:rsidRDefault="00080910"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74F3760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D6945DE"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032AA7AD" w14:textId="77777777" w:rsidR="00356EE1" w:rsidRDefault="00356EE1" w:rsidP="00356EE1">
            <w:pPr>
              <w:jc w:val="center"/>
              <w:rPr>
                <w:rFonts w:ascii="Arial" w:hAnsi="Arial" w:cs="Arial"/>
                <w:color w:val="000000"/>
                <w:sz w:val="14"/>
                <w:szCs w:val="14"/>
              </w:rPr>
            </w:pPr>
            <w:r>
              <w:rPr>
                <w:rFonts w:ascii="Arial" w:hAnsi="Arial" w:cs="Arial"/>
                <w:color w:val="000000"/>
                <w:sz w:val="14"/>
                <w:szCs w:val="14"/>
              </w:rPr>
              <w:t>&lt;5</w:t>
            </w:r>
          </w:p>
          <w:p w14:paraId="29F6A41F" w14:textId="1908773C" w:rsidR="00080910" w:rsidRPr="00945156" w:rsidRDefault="00080910"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7602EFA8" w14:textId="74D3079E"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69B0FB49"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45A51814"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vAlign w:val="center"/>
            <w:hideMark/>
          </w:tcPr>
          <w:p w14:paraId="69999B11" w14:textId="47DD29FC" w:rsidR="00080910" w:rsidRPr="00945156" w:rsidRDefault="00356EE1" w:rsidP="00133518">
            <w:pPr>
              <w:jc w:val="center"/>
              <w:rPr>
                <w:rFonts w:ascii="Arial" w:hAnsi="Arial" w:cs="Arial"/>
                <w:color w:val="000000"/>
                <w:sz w:val="14"/>
                <w:szCs w:val="14"/>
              </w:rPr>
            </w:pPr>
            <w:r>
              <w:rPr>
                <w:rFonts w:ascii="Arial" w:hAnsi="Arial" w:cs="Arial"/>
                <w:color w:val="000000"/>
                <w:sz w:val="14"/>
                <w:szCs w:val="14"/>
              </w:rPr>
              <w:t>A-1</w:t>
            </w:r>
          </w:p>
        </w:tc>
        <w:tc>
          <w:tcPr>
            <w:tcW w:w="1223"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4DED948" w14:textId="77777777" w:rsidR="00080910" w:rsidRPr="00945156" w:rsidRDefault="00080910" w:rsidP="00133518">
            <w:pPr>
              <w:jc w:val="center"/>
              <w:rPr>
                <w:rFonts w:ascii="Arial" w:hAnsi="Arial" w:cs="Arial"/>
                <w:color w:val="000000"/>
                <w:sz w:val="14"/>
                <w:szCs w:val="14"/>
              </w:rPr>
            </w:pPr>
          </w:p>
        </w:tc>
        <w:tc>
          <w:tcPr>
            <w:tcW w:w="1340" w:type="dxa"/>
            <w:tcBorders>
              <w:top w:val="single" w:sz="24" w:space="0" w:color="auto"/>
              <w:left w:val="single" w:sz="6" w:space="0" w:color="auto"/>
              <w:bottom w:val="single" w:sz="6" w:space="0" w:color="auto"/>
              <w:right w:val="single" w:sz="6" w:space="0" w:color="auto"/>
            </w:tcBorders>
            <w:noWrap/>
            <w:vAlign w:val="center"/>
            <w:hideMark/>
          </w:tcPr>
          <w:p w14:paraId="34426D88" w14:textId="2F6CCD20" w:rsidR="00080910" w:rsidRPr="00945156" w:rsidRDefault="00080910" w:rsidP="00133518">
            <w:pPr>
              <w:jc w:val="center"/>
              <w:rPr>
                <w:rFonts w:ascii="Arial" w:hAnsi="Arial" w:cs="Arial"/>
                <w:color w:val="000000"/>
                <w:sz w:val="14"/>
                <w:szCs w:val="14"/>
              </w:rPr>
            </w:pPr>
            <w:r>
              <w:rPr>
                <w:rFonts w:ascii="Arial" w:hAnsi="Arial" w:cs="Arial"/>
                <w:color w:val="000000"/>
                <w:sz w:val="14"/>
                <w:szCs w:val="14"/>
              </w:rPr>
              <w:t>C-</w:t>
            </w:r>
            <w:r w:rsidR="00356EE1">
              <w:rPr>
                <w:rFonts w:ascii="Arial" w:hAnsi="Arial" w:cs="Arial"/>
                <w:color w:val="000000"/>
                <w:sz w:val="14"/>
                <w:szCs w:val="14"/>
              </w:rPr>
              <w:t>1</w:t>
            </w:r>
            <w:r w:rsidR="00EC63A4">
              <w:rPr>
                <w:rFonts w:ascii="Arial" w:hAnsi="Arial" w:cs="Arial"/>
                <w:color w:val="000000"/>
                <w:sz w:val="14"/>
                <w:szCs w:val="14"/>
              </w:rPr>
              <w:t>, C-6</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7370D418" w14:textId="2065C2DA"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1 thru D-6</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A8586D1"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7F91E18E"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A86F86D"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6F5408B"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9B9F142" w14:textId="77777777" w:rsidR="00080910" w:rsidRPr="00945156" w:rsidRDefault="00080910"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3488E9C"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AAA4E22"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2844B31"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8454C4D"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058CF3F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vAlign w:val="center"/>
            <w:hideMark/>
          </w:tcPr>
          <w:p w14:paraId="0B788BAD" w14:textId="6CCC4ED4"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A-1</w:t>
            </w: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A9314C3"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noWrap/>
            <w:vAlign w:val="center"/>
            <w:hideMark/>
          </w:tcPr>
          <w:p w14:paraId="6790370F" w14:textId="7AF0D96B"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356EE1">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29D1976" w14:textId="626F70AE"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FE683A1" w14:textId="6842A19E"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E-2</w:t>
            </w:r>
            <w:r w:rsidRPr="00945156">
              <w:rPr>
                <w:rFonts w:ascii="Arial" w:hAnsi="Arial" w:cs="Arial"/>
                <w:color w:val="000000"/>
                <w:sz w:val="14"/>
                <w:szCs w:val="14"/>
              </w:rPr>
              <w:t> </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954A76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4FA80F30" w14:textId="04D1CEDE"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D5B714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816F1D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B75EA00"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193D7C7"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FC9D6B7"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0D3F1A34"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8DCE9B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vAlign w:val="center"/>
            <w:hideMark/>
          </w:tcPr>
          <w:p w14:paraId="5DFE4354" w14:textId="148EB06A"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A-1</w:t>
            </w: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7E69DC68"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E397B64"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3E3F7DAD" w14:textId="7FF9CAD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356EE1">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24C5213A" w14:textId="005A12D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9987D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2A16192A" w14:textId="2CE6F8FD"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CD032E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4A3DAF2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1BD15B8"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59ED2A0"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90308B0"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471032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2E91F5D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091CFEA"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4E2196D"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noWrap/>
            <w:vAlign w:val="center"/>
            <w:hideMark/>
          </w:tcPr>
          <w:p w14:paraId="50F64722" w14:textId="4C55AA30"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356EE1">
              <w:rPr>
                <w:rFonts w:ascii="Arial" w:hAnsi="Arial" w:cs="Arial"/>
                <w:color w:val="000000"/>
                <w:sz w:val="14"/>
                <w:szCs w:val="14"/>
              </w:rPr>
              <w:t>1</w:t>
            </w:r>
            <w:r w:rsidR="00EC63A4">
              <w:rPr>
                <w:rFonts w:ascii="Arial" w:hAnsi="Arial" w:cs="Arial"/>
                <w:color w:val="000000"/>
                <w:sz w:val="14"/>
                <w:szCs w:val="14"/>
              </w:rPr>
              <w:t>, C-6</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1313C9B5" w14:textId="2A1C465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356EE1">
              <w:rPr>
                <w:rFonts w:ascii="Arial" w:hAnsi="Arial" w:cs="Arial"/>
                <w:color w:val="000000"/>
                <w:sz w:val="14"/>
                <w:szCs w:val="14"/>
              </w:rPr>
              <w:t>1 thru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92DDCD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6F7F591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0389876C" w14:textId="19C46928"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G-2</w:t>
            </w:r>
            <w:r w:rsidR="002417C7"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E1CF96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8989C9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C1695FC"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DF6EFC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559D7D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2BA73FA"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60016F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C7EA13B"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0FC2C8E"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6545E813" w14:textId="1F02D151"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356EE1">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45E50C5A" w14:textId="20DB1C88"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F17A9C4" w14:textId="10E2536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9D8B2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9477A4F" w14:textId="4A24C33A"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62BF86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FE62B4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B9A333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984CCE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6B6549F"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5BD93E43"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38367CC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1D5D1850"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77A75E1"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008F0C9"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020A23C4" w14:textId="7F6267C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356EE1">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A0ADA63" w14:textId="2E30721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6D68ED0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6D5AB11C" w14:textId="7D332F3A"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B49719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5B976F6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8722743"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5AC7D0F"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05467062" w14:textId="4FE29D0A"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A52217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3BDA9F1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D16B6BC"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B6D21A9"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24B148A8" w14:textId="516112FF"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356EE1">
              <w:rPr>
                <w:rFonts w:ascii="Arial" w:hAnsi="Arial" w:cs="Arial"/>
                <w:color w:val="000000"/>
                <w:sz w:val="14"/>
                <w:szCs w:val="14"/>
              </w:rPr>
              <w:t>1</w:t>
            </w:r>
            <w:r w:rsidR="00EC63A4">
              <w:rPr>
                <w:rFonts w:ascii="Arial" w:hAnsi="Arial" w:cs="Arial"/>
                <w:color w:val="000000"/>
                <w:sz w:val="14"/>
                <w:szCs w:val="14"/>
              </w:rPr>
              <w:t>, C-6</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403D1D0A" w14:textId="3E24824E"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D-1</w:t>
            </w:r>
            <w:r w:rsidR="002417C7">
              <w:rPr>
                <w:rFonts w:ascii="Arial" w:hAnsi="Arial" w:cs="Arial"/>
                <w:color w:val="000000"/>
                <w:sz w:val="14"/>
                <w:szCs w:val="14"/>
              </w:rPr>
              <w:t xml:space="preserve">, </w:t>
            </w:r>
            <w:r w:rsidR="002417C7" w:rsidRPr="00945156">
              <w:rPr>
                <w:rFonts w:ascii="Arial" w:hAnsi="Arial" w:cs="Arial"/>
                <w:color w:val="000000"/>
                <w:sz w:val="14"/>
                <w:szCs w:val="14"/>
              </w:rPr>
              <w:t>D-3</w:t>
            </w:r>
            <w:r>
              <w:rPr>
                <w:rFonts w:ascii="Arial" w:hAnsi="Arial" w:cs="Arial"/>
                <w:color w:val="000000"/>
                <w:sz w:val="14"/>
                <w:szCs w:val="14"/>
              </w:rPr>
              <w:t xml:space="preserve"> D-4, D-5,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38FD17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3F638AFC" w14:textId="21667C7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8D7CD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9FB11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FEBE9B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31FE003"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E591313"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A3DA2A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4995F04E"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1830C20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190F471"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0FE61BA"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9F7EBC5" w14:textId="19A7C441"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356EE1">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471CBE2E" w14:textId="6A46E12A"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4B8CDD8" w14:textId="3C38FBC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0BD96DC" w14:textId="71209E6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74514305" w14:textId="5420A3E4"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C85137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849D29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9DC0501"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8E1BD0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71DFC54"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3465F83C"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6F0E7D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22FB1F57"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6EE063A"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471ACB2"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57FB0965" w14:textId="033C371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356EE1">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4A454A3" w14:textId="36DD83A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F4FCF1A" w14:textId="6B11470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73C8E2C5" w14:textId="381A88AF"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CB0A6F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20020DE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6C079B2"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8B89FA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DD27F0C"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4F60C8F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4F0ADB9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E96EF3E"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F6510FD"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5349904D" w14:textId="02ADF2B8"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356EE1">
              <w:rPr>
                <w:rFonts w:ascii="Arial" w:hAnsi="Arial" w:cs="Arial"/>
                <w:color w:val="000000"/>
                <w:sz w:val="14"/>
                <w:szCs w:val="14"/>
              </w:rPr>
              <w:t>1</w:t>
            </w:r>
            <w:r w:rsidR="00EC63A4">
              <w:rPr>
                <w:rFonts w:ascii="Arial" w:hAnsi="Arial" w:cs="Arial"/>
                <w:color w:val="000000"/>
                <w:sz w:val="14"/>
                <w:szCs w:val="14"/>
              </w:rPr>
              <w:t>, C-6</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4831C45F" w14:textId="5DB9F893"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D-1</w:t>
            </w:r>
            <w:r w:rsidR="002417C7">
              <w:rPr>
                <w:rFonts w:ascii="Arial" w:hAnsi="Arial" w:cs="Arial"/>
                <w:color w:val="000000"/>
                <w:sz w:val="14"/>
                <w:szCs w:val="14"/>
              </w:rPr>
              <w:t xml:space="preserve">, </w:t>
            </w:r>
            <w:r w:rsidR="002417C7" w:rsidRPr="00945156">
              <w:rPr>
                <w:rFonts w:ascii="Arial" w:hAnsi="Arial" w:cs="Arial"/>
                <w:color w:val="000000"/>
                <w:sz w:val="14"/>
                <w:szCs w:val="14"/>
              </w:rPr>
              <w:t>D-3</w:t>
            </w:r>
            <w:r>
              <w:rPr>
                <w:rFonts w:ascii="Arial" w:hAnsi="Arial" w:cs="Arial"/>
                <w:color w:val="000000"/>
                <w:sz w:val="14"/>
                <w:szCs w:val="14"/>
              </w:rPr>
              <w:t>, D-4, D-5,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84747A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2194B506" w14:textId="323FC2F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60F17B79" w14:textId="4281F93E"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G-2</w:t>
            </w:r>
            <w:r w:rsidR="002417C7"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B1AB80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B13EEE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360BB63"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109657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086BB9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4BD6264E"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188518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5ABBEFF"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8CAFD4C"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1E644373" w14:textId="0F439133"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356EE1">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077C498E" w14:textId="034AE1DC"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61E7798" w14:textId="6AC756D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19DEE61A" w14:textId="7C5C40F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72E2BCB" w14:textId="2E26048E"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152D50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1C23B1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077DBE1"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4101B85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7A0A4A68"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77D55F54"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4FB71AE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3E907786"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47461477"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668BE954"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20831C07" w14:textId="038989D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356EE1">
              <w:rPr>
                <w:rFonts w:ascii="Arial" w:hAnsi="Arial" w:cs="Arial"/>
                <w:color w:val="000000"/>
                <w:sz w:val="14"/>
                <w:szCs w:val="14"/>
              </w:rPr>
              <w:t>, D-6</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60D6EA38" w14:textId="7596FDE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E-2</w:t>
            </w:r>
            <w:r w:rsidR="00356EE1"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2FE45098" w14:textId="3C97238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356EE1">
              <w:rPr>
                <w:rFonts w:ascii="Arial" w:hAnsi="Arial" w:cs="Arial"/>
                <w:color w:val="000000"/>
                <w:sz w:val="14"/>
                <w:szCs w:val="14"/>
              </w:rPr>
              <w:t>F-1</w:t>
            </w:r>
            <w:r w:rsidR="00356EE1"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64F4A06C" w14:textId="4E78BC50" w:rsidR="002417C7" w:rsidRPr="00945156" w:rsidRDefault="00356EE1"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7BB3AD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4CCD0E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2417C7" w:rsidRPr="00945156" w14:paraId="646EDEA9" w14:textId="77777777" w:rsidTr="00052EEE">
        <w:trPr>
          <w:trHeight w:val="255"/>
        </w:trPr>
        <w:tc>
          <w:tcPr>
            <w:tcW w:w="12889" w:type="dxa"/>
            <w:gridSpan w:val="13"/>
            <w:tcBorders>
              <w:top w:val="single" w:sz="24" w:space="0" w:color="auto"/>
              <w:left w:val="nil"/>
              <w:bottom w:val="nil"/>
              <w:right w:val="nil"/>
            </w:tcBorders>
            <w:noWrap/>
            <w:vAlign w:val="bottom"/>
            <w:hideMark/>
          </w:tcPr>
          <w:p w14:paraId="513B2107" w14:textId="45BBD806" w:rsidR="002417C7" w:rsidRPr="007E1D5E" w:rsidRDefault="002417C7" w:rsidP="00133518">
            <w:r w:rsidRPr="00945156">
              <w:rPr>
                <w:rFonts w:ascii="Arial" w:hAnsi="Arial" w:cs="Arial"/>
                <w:color w:val="000000"/>
                <w:sz w:val="16"/>
                <w:szCs w:val="16"/>
              </w:rPr>
              <w:t xml:space="preserve">Note: See </w:t>
            </w:r>
            <w:hyperlink w:anchor="_Table_C._List_1" w:history="1">
              <w:r w:rsidRPr="00EE5EE0">
                <w:rPr>
                  <w:rStyle w:val="Hyperlink"/>
                  <w:rFonts w:ascii="Arial" w:hAnsi="Arial" w:cs="Arial"/>
                  <w:sz w:val="16"/>
                  <w:szCs w:val="16"/>
                </w:rPr>
                <w:t xml:space="preserve">Table </w:t>
              </w:r>
              <w:r>
                <w:rPr>
                  <w:rStyle w:val="Hyperlink"/>
                  <w:rFonts w:ascii="Arial" w:hAnsi="Arial" w:cs="Arial"/>
                  <w:sz w:val="16"/>
                  <w:szCs w:val="16"/>
                </w:rPr>
                <w:t>C</w:t>
              </w:r>
            </w:hyperlink>
            <w:r w:rsidRPr="00945156">
              <w:rPr>
                <w:rFonts w:ascii="Arial" w:hAnsi="Arial" w:cs="Arial"/>
                <w:color w:val="000000"/>
                <w:sz w:val="16"/>
                <w:szCs w:val="16"/>
              </w:rPr>
              <w:t xml:space="preserve"> for Treatment Activities</w:t>
            </w:r>
            <w:r>
              <w:rPr>
                <w:rFonts w:ascii="Arial" w:hAnsi="Arial" w:cs="Arial"/>
                <w:color w:val="000000"/>
                <w:sz w:val="16"/>
                <w:szCs w:val="16"/>
              </w:rPr>
              <w:t>.  *</w:t>
            </w:r>
            <w:r w:rsidR="00356EE1">
              <w:rPr>
                <w:rFonts w:ascii="Arial" w:hAnsi="Arial" w:cs="Arial"/>
                <w:color w:val="000000"/>
                <w:sz w:val="16"/>
                <w:szCs w:val="16"/>
              </w:rPr>
              <w:t>H</w:t>
            </w:r>
            <w:r>
              <w:rPr>
                <w:rFonts w:ascii="Arial" w:hAnsi="Arial" w:cs="Arial"/>
                <w:color w:val="000000"/>
                <w:sz w:val="16"/>
                <w:szCs w:val="16"/>
              </w:rPr>
              <w:t xml:space="preserve">-2 and </w:t>
            </w:r>
            <w:r w:rsidR="00356EE1">
              <w:rPr>
                <w:rFonts w:ascii="Arial" w:hAnsi="Arial" w:cs="Arial"/>
                <w:color w:val="000000"/>
                <w:sz w:val="16"/>
                <w:szCs w:val="16"/>
              </w:rPr>
              <w:t>H</w:t>
            </w:r>
            <w:r>
              <w:rPr>
                <w:rFonts w:ascii="Arial" w:hAnsi="Arial" w:cs="Arial"/>
                <w:color w:val="000000"/>
                <w:sz w:val="16"/>
                <w:szCs w:val="16"/>
              </w:rPr>
              <w:t>-3 apply to composite pavements only.</w:t>
            </w:r>
            <w:r w:rsidR="00A24BAA">
              <w:rPr>
                <w:rFonts w:ascii="Arial" w:hAnsi="Arial" w:cs="Arial"/>
                <w:color w:val="000000"/>
                <w:sz w:val="16"/>
                <w:szCs w:val="16"/>
              </w:rPr>
              <w:t xml:space="preserve"> </w:t>
            </w:r>
            <w:r w:rsidR="00871AE3">
              <w:rPr>
                <w:rFonts w:ascii="Arial" w:hAnsi="Arial" w:cs="Arial"/>
                <w:color w:val="000000"/>
                <w:sz w:val="16"/>
                <w:szCs w:val="16"/>
              </w:rPr>
              <w:t>**</w:t>
            </w:r>
            <w:r w:rsidR="00356EE1">
              <w:rPr>
                <w:rFonts w:ascii="Arial" w:hAnsi="Arial" w:cs="Arial"/>
                <w:color w:val="000000"/>
                <w:sz w:val="16"/>
                <w:szCs w:val="16"/>
              </w:rPr>
              <w:t xml:space="preserve"> </w:t>
            </w:r>
            <w:r w:rsidR="00871AE3">
              <w:rPr>
                <w:rFonts w:ascii="Arial" w:hAnsi="Arial" w:cs="Arial"/>
                <w:color w:val="000000"/>
                <w:sz w:val="16"/>
                <w:szCs w:val="16"/>
              </w:rPr>
              <w:t>D-</w:t>
            </w:r>
            <w:r w:rsidR="00356EE1">
              <w:rPr>
                <w:rFonts w:ascii="Arial" w:hAnsi="Arial" w:cs="Arial"/>
                <w:color w:val="000000"/>
                <w:sz w:val="16"/>
                <w:szCs w:val="16"/>
              </w:rPr>
              <w:t>4,</w:t>
            </w:r>
            <w:r w:rsidR="00871AE3">
              <w:rPr>
                <w:rFonts w:ascii="Arial" w:hAnsi="Arial" w:cs="Arial"/>
                <w:color w:val="000000"/>
                <w:sz w:val="16"/>
                <w:szCs w:val="16"/>
              </w:rPr>
              <w:t xml:space="preserve"> D-</w:t>
            </w:r>
            <w:r w:rsidR="00356EE1">
              <w:rPr>
                <w:rFonts w:ascii="Arial" w:hAnsi="Arial" w:cs="Arial"/>
                <w:color w:val="000000"/>
                <w:sz w:val="16"/>
                <w:szCs w:val="16"/>
              </w:rPr>
              <w:t>6,</w:t>
            </w:r>
            <w:r w:rsidR="00871AE3">
              <w:rPr>
                <w:rFonts w:ascii="Arial" w:hAnsi="Arial" w:cs="Arial"/>
                <w:color w:val="000000"/>
                <w:sz w:val="16"/>
                <w:szCs w:val="16"/>
              </w:rPr>
              <w:t xml:space="preserve"> and </w:t>
            </w:r>
            <w:r w:rsidR="00356EE1">
              <w:rPr>
                <w:rFonts w:ascii="Arial" w:hAnsi="Arial" w:cs="Arial"/>
                <w:color w:val="000000"/>
                <w:sz w:val="16"/>
                <w:szCs w:val="16"/>
              </w:rPr>
              <w:t>Major Rehab</w:t>
            </w:r>
            <w:r w:rsidR="00871AE3">
              <w:rPr>
                <w:rFonts w:ascii="Arial" w:hAnsi="Arial" w:cs="Arial"/>
                <w:color w:val="000000"/>
                <w:sz w:val="16"/>
                <w:szCs w:val="16"/>
              </w:rPr>
              <w:t xml:space="preserve"> do not apply to pavements with predominant Curb &amp; Gutter.</w:t>
            </w:r>
            <w:r w:rsidR="007E1D5E">
              <w:rPr>
                <w:rFonts w:ascii="Arial" w:hAnsi="Arial" w:cs="Arial"/>
                <w:color w:val="000000"/>
                <w:sz w:val="16"/>
                <w:szCs w:val="16"/>
              </w:rPr>
              <w:t xml:space="preserve">  </w:t>
            </w:r>
            <w:r w:rsidR="007E1D5E">
              <w:rPr>
                <w:rFonts w:ascii="Arial" w:eastAsia="Arial" w:hAnsi="Arial" w:cs="Arial"/>
                <w:sz w:val="16"/>
              </w:rPr>
              <w:t>Click to go</w:t>
            </w:r>
            <w:r w:rsidR="007E1D5E" w:rsidRPr="00982DB5">
              <w:rPr>
                <w:rFonts w:ascii="Arial" w:eastAsia="Arial" w:hAnsi="Arial" w:cs="Arial"/>
                <w:sz w:val="16"/>
                <w:szCs w:val="16"/>
              </w:rPr>
              <w:t xml:space="preserve"> to</w:t>
            </w:r>
            <w:r w:rsidR="007E1D5E" w:rsidRPr="00982DB5">
              <w:rPr>
                <w:rFonts w:ascii="Arial" w:hAnsi="Arial" w:cs="Arial"/>
                <w:bCs/>
                <w:sz w:val="16"/>
                <w:szCs w:val="16"/>
              </w:rPr>
              <w:t xml:space="preserve"> </w:t>
            </w:r>
            <w:hyperlink w:anchor="_Initial_Treatment_Identification" w:history="1">
              <w:r w:rsidR="007E1D5E" w:rsidRPr="007E1D5E">
                <w:rPr>
                  <w:rStyle w:val="Hyperlink"/>
                  <w:rFonts w:ascii="Arial" w:hAnsi="Arial" w:cs="Arial"/>
                  <w:bCs/>
                  <w:sz w:val="16"/>
                  <w:szCs w:val="16"/>
                </w:rPr>
                <w:t>Initial Treatment Identification – Pavement Preservation Guide</w:t>
              </w:r>
            </w:hyperlink>
            <w:r w:rsidR="00E7268C">
              <w:rPr>
                <w:rStyle w:val="Hyperlink"/>
                <w:rFonts w:ascii="Arial" w:hAnsi="Arial" w:cs="Arial"/>
                <w:bCs/>
                <w:sz w:val="16"/>
                <w:szCs w:val="16"/>
              </w:rPr>
              <w:t>.</w:t>
            </w:r>
          </w:p>
        </w:tc>
      </w:tr>
      <w:tr w:rsidR="002417C7" w:rsidRPr="00945156" w14:paraId="1FFA7FBE" w14:textId="77777777" w:rsidTr="00052EEE">
        <w:trPr>
          <w:trHeight w:val="735"/>
        </w:trPr>
        <w:tc>
          <w:tcPr>
            <w:tcW w:w="2726" w:type="dxa"/>
            <w:gridSpan w:val="4"/>
            <w:tcBorders>
              <w:top w:val="single" w:sz="24" w:space="0" w:color="auto"/>
              <w:left w:val="single" w:sz="24" w:space="0" w:color="auto"/>
              <w:bottom w:val="single" w:sz="6" w:space="0" w:color="auto"/>
              <w:right w:val="single" w:sz="6" w:space="0" w:color="auto"/>
            </w:tcBorders>
            <w:noWrap/>
            <w:vAlign w:val="center"/>
            <w:hideMark/>
          </w:tcPr>
          <w:p w14:paraId="0C60E06D" w14:textId="77777777" w:rsidR="002417C7" w:rsidRPr="00945156" w:rsidRDefault="002417C7" w:rsidP="00133518">
            <w:pPr>
              <w:jc w:val="center"/>
              <w:rPr>
                <w:rFonts w:ascii="Bell MT" w:hAnsi="Bell MT" w:cs="Arial"/>
                <w:b/>
                <w:bCs/>
                <w:color w:val="000000"/>
                <w:sz w:val="40"/>
                <w:szCs w:val="40"/>
              </w:rPr>
            </w:pPr>
            <w:r w:rsidRPr="00945156">
              <w:rPr>
                <w:rFonts w:ascii="Bell MT" w:hAnsi="Bell MT" w:cs="Arial"/>
                <w:b/>
                <w:bCs/>
                <w:color w:val="000000"/>
                <w:sz w:val="40"/>
                <w:szCs w:val="40"/>
              </w:rPr>
              <w:lastRenderedPageBreak/>
              <w:t>Table I</w:t>
            </w:r>
            <w:r>
              <w:rPr>
                <w:rFonts w:ascii="Bell MT" w:hAnsi="Bell MT" w:cs="Arial"/>
                <w:b/>
                <w:bCs/>
                <w:color w:val="000000"/>
                <w:sz w:val="40"/>
                <w:szCs w:val="40"/>
              </w:rPr>
              <w:t>II</w:t>
            </w:r>
          </w:p>
        </w:tc>
        <w:tc>
          <w:tcPr>
            <w:tcW w:w="10163" w:type="dxa"/>
            <w:gridSpan w:val="9"/>
            <w:tcBorders>
              <w:top w:val="single" w:sz="24" w:space="0" w:color="auto"/>
              <w:left w:val="single" w:sz="6" w:space="0" w:color="auto"/>
              <w:bottom w:val="single" w:sz="6" w:space="0" w:color="auto"/>
              <w:right w:val="single" w:sz="24" w:space="0" w:color="auto"/>
            </w:tcBorders>
            <w:vAlign w:val="center"/>
            <w:hideMark/>
          </w:tcPr>
          <w:p w14:paraId="7B8E5FB4" w14:textId="77777777" w:rsidR="002417C7" w:rsidRPr="00945156" w:rsidRDefault="002417C7" w:rsidP="00133518">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 xml:space="preserve">ADT: 0 </w:t>
            </w:r>
            <w:r>
              <w:rPr>
                <w:rFonts w:ascii="Arial" w:hAnsi="Arial" w:cs="Arial"/>
                <w:b/>
                <w:bCs/>
                <w:color w:val="000000"/>
                <w:sz w:val="18"/>
                <w:szCs w:val="18"/>
              </w:rPr>
              <w:t>to ≤</w:t>
            </w:r>
            <w:r w:rsidRPr="00945156">
              <w:rPr>
                <w:rFonts w:ascii="Arial" w:hAnsi="Arial" w:cs="Arial"/>
                <w:b/>
                <w:bCs/>
                <w:color w:val="000000"/>
                <w:sz w:val="18"/>
                <w:szCs w:val="18"/>
              </w:rPr>
              <w:t xml:space="preserve"> 4,000</w:t>
            </w:r>
            <w:r w:rsidRPr="00945156">
              <w:rPr>
                <w:rFonts w:ascii="Arial" w:hAnsi="Arial" w:cs="Arial"/>
                <w:b/>
                <w:bCs/>
                <w:color w:val="000000"/>
                <w:sz w:val="18"/>
                <w:szCs w:val="18"/>
              </w:rPr>
              <w:br/>
              <w:t xml:space="preserve">IRI: </w:t>
            </w:r>
            <w:r>
              <w:rPr>
                <w:rFonts w:ascii="Arial" w:hAnsi="Arial" w:cs="Arial"/>
                <w:b/>
                <w:bCs/>
                <w:color w:val="000000"/>
                <w:sz w:val="18"/>
                <w:szCs w:val="18"/>
              </w:rPr>
              <w:t>&gt;</w:t>
            </w:r>
            <w:r w:rsidRPr="00945156">
              <w:rPr>
                <w:rFonts w:ascii="Arial" w:hAnsi="Arial" w:cs="Arial"/>
                <w:b/>
                <w:bCs/>
                <w:color w:val="000000"/>
                <w:sz w:val="18"/>
                <w:szCs w:val="18"/>
              </w:rPr>
              <w:t xml:space="preserve"> 1</w:t>
            </w:r>
            <w:r>
              <w:rPr>
                <w:rFonts w:ascii="Arial" w:hAnsi="Arial" w:cs="Arial"/>
                <w:b/>
                <w:bCs/>
                <w:color w:val="000000"/>
                <w:sz w:val="18"/>
                <w:szCs w:val="18"/>
              </w:rPr>
              <w:t>7</w:t>
            </w:r>
            <w:r w:rsidRPr="00945156">
              <w:rPr>
                <w:rFonts w:ascii="Arial" w:hAnsi="Arial" w:cs="Arial"/>
                <w:b/>
                <w:bCs/>
                <w:color w:val="000000"/>
                <w:sz w:val="18"/>
                <w:szCs w:val="18"/>
              </w:rPr>
              <w:t>0</w:t>
            </w:r>
          </w:p>
        </w:tc>
      </w:tr>
      <w:tr w:rsidR="002417C7" w:rsidRPr="00945156" w14:paraId="2A89C1CE" w14:textId="77777777" w:rsidTr="00052EEE">
        <w:trPr>
          <w:trHeight w:val="465"/>
        </w:trPr>
        <w:tc>
          <w:tcPr>
            <w:tcW w:w="621" w:type="dxa"/>
            <w:tcBorders>
              <w:top w:val="single" w:sz="6" w:space="0" w:color="auto"/>
              <w:left w:val="single" w:sz="24" w:space="0" w:color="auto"/>
              <w:bottom w:val="single" w:sz="24" w:space="0" w:color="auto"/>
              <w:right w:val="single" w:sz="6" w:space="0" w:color="auto"/>
            </w:tcBorders>
            <w:vAlign w:val="center"/>
            <w:hideMark/>
          </w:tcPr>
          <w:p w14:paraId="68035F88" w14:textId="6837D439"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604" w:type="dxa"/>
            <w:tcBorders>
              <w:top w:val="single" w:sz="6" w:space="0" w:color="auto"/>
              <w:left w:val="single" w:sz="6" w:space="0" w:color="auto"/>
              <w:bottom w:val="single" w:sz="24" w:space="0" w:color="auto"/>
              <w:right w:val="single" w:sz="6" w:space="0" w:color="auto"/>
            </w:tcBorders>
            <w:vAlign w:val="center"/>
            <w:hideMark/>
          </w:tcPr>
          <w:p w14:paraId="6474D77F" w14:textId="40D579C8"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712" w:type="dxa"/>
            <w:tcBorders>
              <w:top w:val="single" w:sz="6" w:space="0" w:color="auto"/>
              <w:left w:val="single" w:sz="6" w:space="0" w:color="auto"/>
              <w:bottom w:val="single" w:sz="24" w:space="0" w:color="auto"/>
              <w:right w:val="single" w:sz="6" w:space="0" w:color="auto"/>
            </w:tcBorders>
            <w:vAlign w:val="center"/>
            <w:hideMark/>
          </w:tcPr>
          <w:p w14:paraId="717BFCF9" w14:textId="77777777" w:rsidR="002417C7" w:rsidRPr="00945156" w:rsidRDefault="002417C7" w:rsidP="00133518">
            <w:pPr>
              <w:jc w:val="center"/>
              <w:rPr>
                <w:rFonts w:ascii="Arial" w:hAnsi="Arial" w:cs="Arial"/>
                <w:b/>
                <w:bCs/>
                <w:color w:val="000000"/>
                <w:sz w:val="16"/>
                <w:szCs w:val="16"/>
              </w:rPr>
            </w:pPr>
            <w:r>
              <w:rPr>
                <w:rFonts w:ascii="Arial" w:hAnsi="Arial" w:cs="Arial"/>
                <w:b/>
                <w:bCs/>
                <w:color w:val="000000"/>
                <w:sz w:val="16"/>
                <w:szCs w:val="16"/>
              </w:rPr>
              <w:t>Skid</w:t>
            </w:r>
          </w:p>
        </w:tc>
        <w:tc>
          <w:tcPr>
            <w:tcW w:w="789" w:type="dxa"/>
            <w:tcBorders>
              <w:top w:val="single" w:sz="6" w:space="0" w:color="auto"/>
              <w:left w:val="single" w:sz="6" w:space="0" w:color="auto"/>
              <w:bottom w:val="single" w:sz="24" w:space="0" w:color="auto"/>
              <w:right w:val="single" w:sz="6" w:space="0" w:color="auto"/>
            </w:tcBorders>
            <w:vAlign w:val="center"/>
            <w:hideMark/>
          </w:tcPr>
          <w:p w14:paraId="3CA4D47E"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61" w:type="dxa"/>
            <w:tcBorders>
              <w:top w:val="single" w:sz="6" w:space="0" w:color="auto"/>
              <w:left w:val="single" w:sz="6" w:space="0" w:color="auto"/>
              <w:bottom w:val="single" w:sz="24" w:space="0" w:color="auto"/>
              <w:right w:val="single" w:sz="6" w:space="0" w:color="auto"/>
            </w:tcBorders>
            <w:vAlign w:val="center"/>
            <w:hideMark/>
          </w:tcPr>
          <w:p w14:paraId="1A78BF51"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23" w:type="dxa"/>
            <w:tcBorders>
              <w:top w:val="single" w:sz="6" w:space="0" w:color="auto"/>
              <w:left w:val="single" w:sz="6" w:space="0" w:color="auto"/>
              <w:bottom w:val="single" w:sz="24" w:space="0" w:color="auto"/>
              <w:right w:val="single" w:sz="6" w:space="0" w:color="auto"/>
            </w:tcBorders>
            <w:vAlign w:val="center"/>
            <w:hideMark/>
          </w:tcPr>
          <w:p w14:paraId="25503C3A"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340" w:type="dxa"/>
            <w:tcBorders>
              <w:top w:val="single" w:sz="6" w:space="0" w:color="auto"/>
              <w:left w:val="single" w:sz="6" w:space="0" w:color="auto"/>
              <w:bottom w:val="single" w:sz="24" w:space="0" w:color="auto"/>
              <w:right w:val="single" w:sz="6" w:space="0" w:color="auto"/>
            </w:tcBorders>
            <w:vAlign w:val="center"/>
            <w:hideMark/>
          </w:tcPr>
          <w:p w14:paraId="12234095"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04" w:type="dxa"/>
            <w:tcBorders>
              <w:top w:val="single" w:sz="6" w:space="0" w:color="auto"/>
              <w:left w:val="single" w:sz="6" w:space="0" w:color="auto"/>
              <w:bottom w:val="single" w:sz="24" w:space="0" w:color="auto"/>
              <w:right w:val="single" w:sz="6" w:space="0" w:color="auto"/>
            </w:tcBorders>
            <w:vAlign w:val="center"/>
            <w:hideMark/>
          </w:tcPr>
          <w:p w14:paraId="6D7160DA" w14:textId="58ADB6C9"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sidR="00A2289E">
              <w:rPr>
                <w:rFonts w:ascii="Arial" w:hAnsi="Arial" w:cs="Arial"/>
                <w:b/>
                <w:bCs/>
                <w:color w:val="000000"/>
                <w:sz w:val="16"/>
                <w:szCs w:val="16"/>
              </w:rPr>
              <w:t>Asphalt</w:t>
            </w:r>
            <w:r w:rsidRPr="00945156">
              <w:rPr>
                <w:rFonts w:ascii="Arial" w:hAnsi="Arial" w:cs="Arial"/>
                <w:b/>
                <w:bCs/>
                <w:color w:val="000000"/>
                <w:sz w:val="16"/>
                <w:szCs w:val="16"/>
              </w:rPr>
              <w:t xml:space="preserve"> Overlay</w:t>
            </w:r>
            <w:r w:rsidR="00A24BAA">
              <w:rPr>
                <w:rFonts w:ascii="Arial" w:hAnsi="Arial" w:cs="Arial"/>
                <w:b/>
                <w:bCs/>
                <w:color w:val="000000"/>
                <w:sz w:val="16"/>
                <w:szCs w:val="16"/>
              </w:rPr>
              <w:t>**</w:t>
            </w:r>
          </w:p>
        </w:tc>
        <w:tc>
          <w:tcPr>
            <w:tcW w:w="897" w:type="dxa"/>
            <w:tcBorders>
              <w:top w:val="single" w:sz="6" w:space="0" w:color="auto"/>
              <w:left w:val="single" w:sz="6" w:space="0" w:color="auto"/>
              <w:bottom w:val="single" w:sz="24" w:space="0" w:color="auto"/>
              <w:right w:val="single" w:sz="6" w:space="0" w:color="auto"/>
            </w:tcBorders>
            <w:vAlign w:val="center"/>
            <w:hideMark/>
          </w:tcPr>
          <w:p w14:paraId="319D8B66"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897" w:type="dxa"/>
            <w:tcBorders>
              <w:top w:val="single" w:sz="6" w:space="0" w:color="auto"/>
              <w:left w:val="single" w:sz="6" w:space="0" w:color="auto"/>
              <w:bottom w:val="single" w:sz="24" w:space="0" w:color="auto"/>
              <w:right w:val="single" w:sz="6" w:space="0" w:color="auto"/>
            </w:tcBorders>
            <w:vAlign w:val="center"/>
            <w:hideMark/>
          </w:tcPr>
          <w:p w14:paraId="03F999CE" w14:textId="1B4A21A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F. </w:t>
            </w:r>
            <w:r w:rsidR="00A2289E">
              <w:rPr>
                <w:rFonts w:ascii="Arial" w:hAnsi="Arial" w:cs="Arial"/>
                <w:b/>
                <w:bCs/>
                <w:color w:val="000000"/>
                <w:sz w:val="16"/>
                <w:szCs w:val="16"/>
              </w:rPr>
              <w:t>Spot Repair</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198E2DD5" w14:textId="05F9B4FA"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G</w:t>
            </w:r>
            <w:r w:rsidR="002417C7" w:rsidRPr="00945156">
              <w:rPr>
                <w:rFonts w:ascii="Arial" w:hAnsi="Arial" w:cs="Arial"/>
                <w:b/>
                <w:bCs/>
                <w:color w:val="000000"/>
                <w:sz w:val="16"/>
                <w:szCs w:val="16"/>
              </w:rPr>
              <w:t xml:space="preserve">. </w:t>
            </w:r>
            <w:r w:rsidR="002417C7">
              <w:rPr>
                <w:rFonts w:ascii="Arial" w:hAnsi="Arial" w:cs="Arial"/>
                <w:b/>
                <w:bCs/>
                <w:color w:val="000000"/>
                <w:sz w:val="16"/>
                <w:szCs w:val="16"/>
              </w:rPr>
              <w:t>Surface Texturizing</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7E810E7B" w14:textId="57A07BDD"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H</w:t>
            </w:r>
            <w:r w:rsidR="002417C7" w:rsidRPr="00945156">
              <w:rPr>
                <w:rFonts w:ascii="Arial" w:hAnsi="Arial" w:cs="Arial"/>
                <w:b/>
                <w:bCs/>
                <w:color w:val="000000"/>
                <w:sz w:val="16"/>
                <w:szCs w:val="16"/>
              </w:rPr>
              <w:t>. Major Rehab</w:t>
            </w:r>
            <w:r w:rsidR="00354BE0">
              <w:rPr>
                <w:rFonts w:ascii="Arial" w:hAnsi="Arial" w:cs="Arial"/>
                <w:b/>
                <w:bCs/>
                <w:color w:val="000000"/>
                <w:sz w:val="16"/>
                <w:szCs w:val="16"/>
              </w:rPr>
              <w:t>**</w:t>
            </w:r>
          </w:p>
        </w:tc>
        <w:tc>
          <w:tcPr>
            <w:tcW w:w="987" w:type="dxa"/>
            <w:tcBorders>
              <w:top w:val="single" w:sz="6" w:space="0" w:color="auto"/>
              <w:left w:val="single" w:sz="6" w:space="0" w:color="auto"/>
              <w:bottom w:val="single" w:sz="24" w:space="0" w:color="auto"/>
              <w:right w:val="single" w:sz="24" w:space="0" w:color="auto"/>
            </w:tcBorders>
            <w:vAlign w:val="center"/>
            <w:hideMark/>
          </w:tcPr>
          <w:p w14:paraId="3815772D" w14:textId="42BCAB18"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r w:rsidRPr="00945156">
              <w:rPr>
                <w:rFonts w:ascii="Arial" w:hAnsi="Arial" w:cs="Arial"/>
                <w:b/>
                <w:bCs/>
                <w:color w:val="000000"/>
                <w:sz w:val="16"/>
                <w:szCs w:val="16"/>
              </w:rPr>
              <w:t>struction</w:t>
            </w:r>
          </w:p>
        </w:tc>
      </w:tr>
      <w:tr w:rsidR="00115674" w:rsidRPr="00945156" w14:paraId="3F509D58" w14:textId="77777777" w:rsidTr="00052EEE">
        <w:trPr>
          <w:trHeight w:val="195"/>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34469576"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≥25</w:t>
            </w:r>
          </w:p>
          <w:p w14:paraId="01DCC81E" w14:textId="28CA5135"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0DF5D6EE" w14:textId="749A19F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2B432C8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4B0EF24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17718E7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A72808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5B9C87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134B1AE0" w14:textId="65AA07AB"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D-4</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4352C0F7" w14:textId="4BA566E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E-1</w:t>
            </w:r>
            <w:r w:rsidR="002417C7"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8C1A96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88CE74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noWrap/>
            <w:vAlign w:val="center"/>
            <w:hideMark/>
          </w:tcPr>
          <w:p w14:paraId="7091693B" w14:textId="453B8FF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24" w:space="0" w:color="auto"/>
              <w:left w:val="single" w:sz="6" w:space="0" w:color="auto"/>
              <w:bottom w:val="single" w:sz="6" w:space="0" w:color="auto"/>
              <w:right w:val="single" w:sz="24" w:space="0" w:color="auto"/>
            </w:tcBorders>
            <w:noWrap/>
            <w:vAlign w:val="center"/>
            <w:hideMark/>
          </w:tcPr>
          <w:p w14:paraId="157EDF7E" w14:textId="5A58447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p>
        </w:tc>
      </w:tr>
      <w:tr w:rsidR="00115674" w:rsidRPr="00945156" w14:paraId="1A255D03"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2B1182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EF777B1"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6B782A3"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91B900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2171ADE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128F10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AB2596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671D8EED" w14:textId="329AE14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400FC40" w14:textId="1433FBA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4DA218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F442E4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5AF25AB" w14:textId="652F054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7B44D17B" w14:textId="5327EAE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72B848B1"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66E035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5833D34"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76CFE5DB"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0B1E6F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3F6547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C14398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EF0662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578CE713" w14:textId="3D6B790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389A11D" w14:textId="162053C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1F6ADE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F794A2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7B1DD96F" w14:textId="3B193D4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432B646C" w14:textId="0A075A6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751935D"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2C996C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AA925AF"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36176D9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3BD2EFA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263F9D7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18813D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C6D77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5E95ACD2" w14:textId="093A0AA6"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D-4</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2F13E73B" w14:textId="2B5FFF8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99A8E5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953532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7CA9FE2B" w14:textId="1C2F0D7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2088B341" w14:textId="0379E75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E332657"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F8F2CF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2BC6222"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00D95DB"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43AD4C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5002283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DCEAAB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C78004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2B0714D" w14:textId="3C0B2C8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5F75D07" w14:textId="6F2BB3A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DB8CF6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5F87D0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78E23A21" w14:textId="1D461C6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19DCFF19" w14:textId="3E8B59A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8235093"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B52C3A8"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128B4A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1A78CD1"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33D1E41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1628797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9C775C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3FF61E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575C0E12" w14:textId="7EE3B87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194ADFF" w14:textId="374BFB1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FE3C0D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F6AC5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5E17CA63" w14:textId="2B2651F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51BC194C" w14:textId="7545588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EC8D58F"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DD6FAAF"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7B5BD8E6" w14:textId="6218940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D9CDAC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581DB6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71CC14A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D422B8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E8BDB0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465EED0B" w14:textId="45DCC8CB"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D-4</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42B893BD" w14:textId="03C2979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E08A43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C906A5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7B4C19FD" w14:textId="03FD79C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318DFA51" w14:textId="4463052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5AF6E55"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9B5AA82"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95B3C14"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3C1CB8F6"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4F08C3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B3FBB1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6F992D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F83E78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1255E536" w14:textId="729C696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044700D1" w14:textId="4447573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2F70E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AEA42D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812A4D9" w14:textId="4DC533D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1E4AC68A" w14:textId="57909E4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1628CE99"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6287052"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869D187"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0E981CC9"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7C94FE7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7AF41FC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27521B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29C2BE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1C4CE10A" w14:textId="6215311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4C61F5E1" w14:textId="713A074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52289E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910987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0CB4EBC3" w14:textId="55DE377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13C5610C" w14:textId="35CB02C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4DA650D"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68A70C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814D6FB"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2885BD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437F5E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01E2BFD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2E5A7A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F5D1B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6205C38A" w14:textId="65C8C843"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D-4</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122B80FE" w14:textId="3BA19A4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A004D6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8A6BDB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5FC9DA85" w14:textId="3AD5FE6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5DD0F881" w14:textId="351417E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C205344"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96364B0"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51A79EC"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3C41F3C"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5EF2C1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37B72C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1EE2E6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976180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4284A7C0" w14:textId="7244C57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624371B" w14:textId="079AD46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662F62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D8A0D0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3421F393" w14:textId="27F2ECE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158A0CF8" w14:textId="7351405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D75ACE5"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2F275B5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13E86B1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5660C0DF"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58D4065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59046E4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A0793D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2FBFE7E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7030CE0D" w14:textId="6FEF499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1B5DC4F5" w14:textId="2FD2781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759A4C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45131B7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0912896B" w14:textId="64700B1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24" w:space="0" w:color="auto"/>
              <w:right w:val="single" w:sz="24" w:space="0" w:color="auto"/>
            </w:tcBorders>
            <w:noWrap/>
            <w:vAlign w:val="center"/>
            <w:hideMark/>
          </w:tcPr>
          <w:p w14:paraId="272E7CC7" w14:textId="0C9480E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C9D1A23"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0BAD58A0" w14:textId="382102D1" w:rsidR="00A2289E" w:rsidRDefault="00A2289E" w:rsidP="00A2289E">
            <w:pPr>
              <w:jc w:val="center"/>
              <w:rPr>
                <w:rFonts w:ascii="Arial" w:hAnsi="Arial" w:cs="Arial"/>
                <w:color w:val="000000"/>
                <w:sz w:val="14"/>
                <w:szCs w:val="14"/>
              </w:rPr>
            </w:pPr>
            <w:r>
              <w:rPr>
                <w:rFonts w:ascii="Arial" w:hAnsi="Arial" w:cs="Arial"/>
                <w:color w:val="000000"/>
                <w:sz w:val="14"/>
                <w:szCs w:val="14"/>
              </w:rPr>
              <w:t>≥5</w:t>
            </w:r>
            <w:r w:rsidR="002417C7">
              <w:rPr>
                <w:rFonts w:ascii="Arial" w:hAnsi="Arial" w:cs="Arial"/>
                <w:color w:val="000000"/>
                <w:sz w:val="14"/>
                <w:szCs w:val="14"/>
              </w:rPr>
              <w:t xml:space="preserve"> to </w:t>
            </w:r>
            <w:r>
              <w:rPr>
                <w:rFonts w:ascii="Arial" w:hAnsi="Arial" w:cs="Arial"/>
                <w:color w:val="000000"/>
                <w:sz w:val="14"/>
                <w:szCs w:val="14"/>
              </w:rPr>
              <w:t>&lt;25</w:t>
            </w:r>
          </w:p>
          <w:p w14:paraId="6676956C" w14:textId="7702219D"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6E4F2DF8" w14:textId="27D07B8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6EA365D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0D871F4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13C6F05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1FEC00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51A7E0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54619B13" w14:textId="042078E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Pr>
                <w:rFonts w:ascii="Arial" w:hAnsi="Arial" w:cs="Arial"/>
                <w:color w:val="000000"/>
                <w:sz w:val="14"/>
                <w:szCs w:val="14"/>
              </w:rPr>
              <w:t>, D-4</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F86FB2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385DB314" w14:textId="06D8177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DABCAA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28B2278" w14:textId="6CCB4E52" w:rsidR="002417C7" w:rsidRPr="00945156" w:rsidRDefault="002417C7" w:rsidP="00133518">
            <w:pPr>
              <w:jc w:val="center"/>
              <w:rPr>
                <w:rFonts w:ascii="Arial" w:hAnsi="Arial" w:cs="Arial"/>
                <w:color w:val="000000"/>
                <w:sz w:val="14"/>
                <w:szCs w:val="14"/>
              </w:rPr>
            </w:pP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EB6245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5CEEDBE"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200865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92F428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517027D"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EC7550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01571F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1C1DFB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5AFE77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184F9700" w14:textId="4E888B2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0609B83" w14:textId="02BA76B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53AD97D" w14:textId="4667F74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DB675A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BCBD743" w14:textId="674F88F9"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60E188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EAC58B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E838CE8"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7C175ED"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3D5D02D"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7CA0285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27384AD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59C5E5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ADC24F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7A821C9F" w14:textId="7146939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6C90EF41" w14:textId="2436B59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F37753F" w14:textId="61E0AAC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D99A34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A193613" w14:textId="3B981D15"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43C76F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F205D5F"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4D52C4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11106CB"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353E99E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3DA1F13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08B0298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93598E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8388C1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3C645ACD" w14:textId="55A08EC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0FC46A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192E9EBA" w14:textId="6498DD1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C8C126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4A9A752" w14:textId="0B91AA68"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B84C25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7567048"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7AAD037"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F02AB7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3479CEA0"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FF89F6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007ECA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B0E083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45E58D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282D353" w14:textId="6E4309E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0FF1D8DE" w14:textId="145FB46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C197B96" w14:textId="3697F40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8A7198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D8A7F46" w14:textId="1CDFF6FB"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5415B4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54D4B23"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A1E3F5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56FD301"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7DFE9943"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B4A9F9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8DA490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930D9E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224418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43F2538C" w14:textId="5712ABA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427BFF99" w14:textId="21EDCDF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2A0963FB" w14:textId="3B03B8B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54D4E0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1B74513" w14:textId="0250603E"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2EE1BE4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F989BA6"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148510A"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6E599F82" w14:textId="7F5D24C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F4924E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34189FE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2FBA7A5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FF4424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89EB1F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7B1E68AF" w14:textId="335955E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8A2E98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7CE4AAF0" w14:textId="2BB8661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B7EB86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775A4D4" w14:textId="0541C7A8"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7414FA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91BEEF3"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C97DFC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970E981"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BBAB847"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53C616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2871453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C7953F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597877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5134E4C7" w14:textId="47951CB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5398C91" w14:textId="578CB19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BD2948E" w14:textId="4B8666D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899EB6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3E94DEC" w14:textId="3E7CA560"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85F3FB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5BD4596"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FAAC53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55C4F6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1600C40"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7CC2AC3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5354D5C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89AF90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C4F8BE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42B71687" w14:textId="4EE1337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4E80B65" w14:textId="4E51516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509C6B4" w14:textId="20ACA0D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318DD4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BECD5BD" w14:textId="3080ED32"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7D0864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C3016F0"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92370E0"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FADEBA3"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3E3590C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27FFDD7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DE0CAE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3D5704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E41955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750ABE89" w14:textId="5D18662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83C73B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02314879" w14:textId="129213F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7B5F48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A724C63" w14:textId="0C1337CA"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DE95A0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281CD9F"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BECBED7"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4622D26"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56AEBFC"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01EC12F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589F6CB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71A4EB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749E5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78F8E2E2" w14:textId="5850098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F24F7ED" w14:textId="7C390D0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8483ACE" w14:textId="33B668D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604C67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03F27C3" w14:textId="1189CB39"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1E53DD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25976CC"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78BA444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1CDA007B"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72513A6F"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313BA6A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5875A8C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34D92FD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B0D18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1071FF0F" w14:textId="6E45FB0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00528F09" w14:textId="2BD64ED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7A4602AA" w14:textId="579A59E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6AE12F0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5BD58D09" w14:textId="0DBB6980"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2A90715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D6B1BB0"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5777D2AD"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&lt;5</w:t>
            </w:r>
          </w:p>
          <w:p w14:paraId="3D2F0F35" w14:textId="2D72AF83"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51672658" w14:textId="23C3EF4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7D36D0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3AE55EA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C6DDE4E" w14:textId="77777777" w:rsidR="002417C7" w:rsidRPr="00945156" w:rsidRDefault="002417C7" w:rsidP="00133518">
            <w:pPr>
              <w:jc w:val="center"/>
              <w:rPr>
                <w:rFonts w:ascii="Arial" w:hAnsi="Arial" w:cs="Arial"/>
                <w:color w:val="000000"/>
                <w:sz w:val="14"/>
                <w:szCs w:val="14"/>
              </w:rPr>
            </w:pPr>
          </w:p>
        </w:tc>
        <w:tc>
          <w:tcPr>
            <w:tcW w:w="1223"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DF60670" w14:textId="77777777" w:rsidR="002417C7" w:rsidRPr="00945156" w:rsidRDefault="002417C7" w:rsidP="00133518">
            <w:pPr>
              <w:jc w:val="center"/>
              <w:rPr>
                <w:rFonts w:ascii="Arial" w:hAnsi="Arial" w:cs="Arial"/>
                <w:color w:val="000000"/>
                <w:sz w:val="14"/>
                <w:szCs w:val="14"/>
              </w:rPr>
            </w:pPr>
          </w:p>
        </w:tc>
        <w:tc>
          <w:tcPr>
            <w:tcW w:w="1340"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261E80F" w14:textId="77777777" w:rsidR="002417C7" w:rsidRPr="00945156" w:rsidRDefault="002417C7" w:rsidP="00133518">
            <w:pPr>
              <w:jc w:val="center"/>
              <w:rPr>
                <w:rFonts w:ascii="Arial" w:hAnsi="Arial" w:cs="Arial"/>
                <w:color w:val="000000"/>
                <w:sz w:val="14"/>
                <w:szCs w:val="14"/>
              </w:rPr>
            </w:pP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5110342E" w14:textId="2EBE996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Pr>
                <w:rFonts w:ascii="Arial" w:hAnsi="Arial" w:cs="Arial"/>
                <w:color w:val="000000"/>
                <w:sz w:val="14"/>
                <w:szCs w:val="14"/>
              </w:rPr>
              <w:t>, D-4</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5AEB36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4A258FCC" w14:textId="03EE8B69"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E0A580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DE0EDD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91172B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4EE208B"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112322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21A44A8"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44C88FA3"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D3B394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412550E"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E55CD42"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CB02848"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5D061AAF" w14:textId="611104B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E3AA52F" w14:textId="170DA23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r w:rsidRPr="00945156">
              <w:rPr>
                <w:rFonts w:ascii="Arial" w:hAnsi="Arial" w:cs="Arial"/>
                <w:color w:val="000000"/>
                <w:sz w:val="14"/>
                <w:szCs w:val="14"/>
              </w:rPr>
              <w:t> </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ADFCE59" w14:textId="0114F379"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36FBF0BE" w14:textId="64EF1F6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A4F7CA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66D94B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7EECD5B"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E6350F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325A663"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166D06A6"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6FA4CA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1FEFB8B7"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A8E18A0"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8538B4A"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48137591" w14:textId="44945F0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3</w:t>
            </w:r>
            <w:r w:rsidR="002417C7" w:rsidRPr="00945156">
              <w:rPr>
                <w:rFonts w:ascii="Arial" w:hAnsi="Arial" w:cs="Arial"/>
                <w:color w:val="000000"/>
                <w:sz w:val="14"/>
                <w:szCs w:val="14"/>
              </w:rPr>
              <w:t>, 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2D9213CB" w14:textId="5684F76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80E1D99" w14:textId="46144A94"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30926208" w14:textId="0B0D5FC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AC792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554CA1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13CB621"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F491E9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3272427"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1FA2C6D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42B2AA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B560B3D"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EFA1BDF"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C0C0564" w14:textId="77777777" w:rsidR="002417C7" w:rsidRPr="00945156" w:rsidRDefault="002417C7" w:rsidP="00133518">
            <w:pPr>
              <w:jc w:val="center"/>
              <w:rPr>
                <w:rFonts w:ascii="Arial" w:hAnsi="Arial" w:cs="Arial"/>
                <w:color w:val="000000"/>
                <w:sz w:val="14"/>
                <w:szCs w:val="14"/>
              </w:rPr>
            </w:pP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64379CD3" w14:textId="1B1F90B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488402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3A1177BA" w14:textId="126BB23E"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4B2ADB75" w14:textId="25004E6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631FCE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6BF3AB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07D02F6"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123F18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AF64E8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762F02CE"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048B856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789C843"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BD4983D"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5E15D90"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51CF2B76" w14:textId="17CD3BB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13C33905" w14:textId="7F743A1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36F1E8D" w14:textId="28E66233"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8F3E7BC" w14:textId="37786A9E"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00DC8F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BE3E2B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CDD7D74"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6E75C9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4D8537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3A07D08E"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8D8B1E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0C2CB37F"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29EECFCD"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9A6BBF2"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1C850FE7" w14:textId="219EFD6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7BFD45B" w14:textId="7222AC1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5426CD1" w14:textId="372FE623"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70556BE2" w14:textId="6B6C0F4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818B4C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06DB79D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548EE7A"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82290E6"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711DA583" w14:textId="2DAD91D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19638A4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1ABB963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97F6599"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7696458"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13B3B91" w14:textId="77777777" w:rsidR="002417C7" w:rsidRPr="00945156" w:rsidRDefault="002417C7" w:rsidP="00133518">
            <w:pPr>
              <w:jc w:val="center"/>
              <w:rPr>
                <w:rFonts w:ascii="Arial" w:hAnsi="Arial" w:cs="Arial"/>
                <w:color w:val="000000"/>
                <w:sz w:val="14"/>
                <w:szCs w:val="14"/>
              </w:rPr>
            </w:pP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1868FAFA" w14:textId="76C0581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E70FF5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20019BFB" w14:textId="080255A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8C9B60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D5A616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F575AF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FF23CDA"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9F17BC3"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025BF9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33338581"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A957F8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44B2E52"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33CE16C"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1A0B9B7"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5E014DE9" w14:textId="4BFF6D2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316D8D4" w14:textId="157928F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E894084" w14:textId="64249AD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027CD967" w14:textId="210B371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AAD08E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B3B60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1093F28"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B15356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7AF579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CC0653B"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0BF8661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53718281"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4A87C42"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0EB3D150"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23719BAB" w14:textId="464CBFC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586DAC09" w14:textId="34F082D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26DC8F7" w14:textId="09D8544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48C34A3A" w14:textId="0966E48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7036A2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290BB41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431F552"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AC8C91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3D70585"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AFB7F7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6D55718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1F274C9"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D7703FB"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9E0A088" w14:textId="77777777" w:rsidR="002417C7" w:rsidRPr="00945156" w:rsidRDefault="002417C7" w:rsidP="00133518">
            <w:pPr>
              <w:jc w:val="center"/>
              <w:rPr>
                <w:rFonts w:ascii="Arial" w:hAnsi="Arial" w:cs="Arial"/>
                <w:color w:val="000000"/>
                <w:sz w:val="14"/>
                <w:szCs w:val="14"/>
              </w:rPr>
            </w:pP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697B64E9" w14:textId="4B59ECB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DDB20E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1A89103D" w14:textId="61488DD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1740A5FE" w14:textId="53DA912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62CACB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AEB694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8006F23"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B9D3DA8"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A531AF6"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13E53C4"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F205E8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7D7DA42"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EDCCEB2"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7F26FC2"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AB6514D" w14:textId="030058B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2F59B923" w14:textId="4735DE8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2020361B" w14:textId="78A6CDE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0EC85ABD" w14:textId="3F59525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74DCF9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F219FE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9734E13"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13B43BC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04650AC6"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335AEF20"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4294640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51CD8235"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54091128"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7AE40691"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18DCDD1E" w14:textId="60B9450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3</w:t>
            </w:r>
            <w:r w:rsidR="002417C7" w:rsidRPr="00945156">
              <w:rPr>
                <w:rFonts w:ascii="Arial" w:hAnsi="Arial" w:cs="Arial"/>
                <w:color w:val="000000"/>
                <w:sz w:val="14"/>
                <w:szCs w:val="14"/>
              </w:rPr>
              <w:t>,</w:t>
            </w:r>
            <w:r w:rsidR="002417C7">
              <w:rPr>
                <w:rFonts w:ascii="Arial" w:hAnsi="Arial" w:cs="Arial"/>
                <w:color w:val="000000"/>
                <w:sz w:val="14"/>
                <w:szCs w:val="14"/>
              </w:rPr>
              <w:t xml:space="preserve"> </w:t>
            </w:r>
            <w:r w:rsidR="002417C7" w:rsidRPr="00945156">
              <w:rPr>
                <w:rFonts w:ascii="Arial" w:hAnsi="Arial" w:cs="Arial"/>
                <w:color w:val="000000"/>
                <w:sz w:val="14"/>
                <w:szCs w:val="14"/>
              </w:rPr>
              <w:t>D-4</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6C1B85DD" w14:textId="46797F1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76EB5170" w14:textId="3E0D123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3CA03418" w14:textId="3E99F17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68FB40A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9ED23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2417C7" w:rsidRPr="00945156" w14:paraId="6743DAB2" w14:textId="77777777" w:rsidTr="00052EEE">
        <w:trPr>
          <w:trHeight w:val="255"/>
        </w:trPr>
        <w:tc>
          <w:tcPr>
            <w:tcW w:w="12889" w:type="dxa"/>
            <w:gridSpan w:val="13"/>
            <w:tcBorders>
              <w:top w:val="single" w:sz="24" w:space="0" w:color="auto"/>
              <w:left w:val="nil"/>
              <w:bottom w:val="nil"/>
              <w:right w:val="nil"/>
            </w:tcBorders>
            <w:noWrap/>
            <w:vAlign w:val="bottom"/>
            <w:hideMark/>
          </w:tcPr>
          <w:p w14:paraId="07872930" w14:textId="129F4D20" w:rsidR="002417C7" w:rsidRPr="00945156" w:rsidRDefault="002417C7" w:rsidP="00133518">
            <w:pPr>
              <w:rPr>
                <w:rFonts w:ascii="Arial" w:hAnsi="Arial" w:cs="Arial"/>
                <w:color w:val="000000"/>
                <w:sz w:val="16"/>
                <w:szCs w:val="16"/>
              </w:rPr>
            </w:pPr>
            <w:r w:rsidRPr="00945156">
              <w:rPr>
                <w:rFonts w:ascii="Arial" w:hAnsi="Arial" w:cs="Arial"/>
                <w:color w:val="000000"/>
                <w:sz w:val="16"/>
                <w:szCs w:val="16"/>
              </w:rPr>
              <w:t xml:space="preserve">Note: See </w:t>
            </w:r>
            <w:hyperlink w:anchor="_Table_C._List_1" w:history="1">
              <w:r w:rsidRPr="00EE5EE0">
                <w:rPr>
                  <w:rStyle w:val="Hyperlink"/>
                  <w:rFonts w:ascii="Arial" w:hAnsi="Arial" w:cs="Arial"/>
                  <w:sz w:val="16"/>
                  <w:szCs w:val="16"/>
                </w:rPr>
                <w:t xml:space="preserve">Table </w:t>
              </w:r>
              <w:r>
                <w:rPr>
                  <w:rStyle w:val="Hyperlink"/>
                  <w:rFonts w:ascii="Arial" w:hAnsi="Arial" w:cs="Arial"/>
                  <w:sz w:val="16"/>
                  <w:szCs w:val="16"/>
                </w:rPr>
                <w:t>C</w:t>
              </w:r>
            </w:hyperlink>
            <w:r w:rsidRPr="00945156">
              <w:rPr>
                <w:rFonts w:ascii="Arial" w:hAnsi="Arial" w:cs="Arial"/>
                <w:color w:val="000000"/>
                <w:sz w:val="16"/>
                <w:szCs w:val="16"/>
              </w:rPr>
              <w:t xml:space="preserve"> for Treatment Activities</w:t>
            </w:r>
            <w:r>
              <w:rPr>
                <w:rFonts w:ascii="Arial" w:hAnsi="Arial" w:cs="Arial"/>
                <w:color w:val="000000"/>
                <w:sz w:val="16"/>
                <w:szCs w:val="16"/>
              </w:rPr>
              <w:t>.  *</w:t>
            </w:r>
            <w:r w:rsidR="00A2289E">
              <w:rPr>
                <w:rFonts w:ascii="Arial" w:hAnsi="Arial" w:cs="Arial"/>
                <w:color w:val="000000"/>
                <w:sz w:val="16"/>
                <w:szCs w:val="16"/>
              </w:rPr>
              <w:t>H</w:t>
            </w:r>
            <w:r>
              <w:rPr>
                <w:rFonts w:ascii="Arial" w:hAnsi="Arial" w:cs="Arial"/>
                <w:color w:val="000000"/>
                <w:sz w:val="16"/>
                <w:szCs w:val="16"/>
              </w:rPr>
              <w:t xml:space="preserve">-2 and </w:t>
            </w:r>
            <w:r w:rsidR="00A2289E">
              <w:rPr>
                <w:rFonts w:ascii="Arial" w:hAnsi="Arial" w:cs="Arial"/>
                <w:color w:val="000000"/>
                <w:sz w:val="16"/>
                <w:szCs w:val="16"/>
              </w:rPr>
              <w:t>H</w:t>
            </w:r>
            <w:r>
              <w:rPr>
                <w:rFonts w:ascii="Arial" w:hAnsi="Arial" w:cs="Arial"/>
                <w:color w:val="000000"/>
                <w:sz w:val="16"/>
                <w:szCs w:val="16"/>
              </w:rPr>
              <w:t>-3 apply to composite pavements only.</w:t>
            </w:r>
            <w:r w:rsidR="00A24BAA">
              <w:rPr>
                <w:rFonts w:ascii="Arial" w:hAnsi="Arial" w:cs="Arial"/>
                <w:color w:val="000000"/>
                <w:sz w:val="16"/>
                <w:szCs w:val="16"/>
              </w:rPr>
              <w:t xml:space="preserve">  </w:t>
            </w:r>
            <w:r w:rsidR="00871AE3">
              <w:rPr>
                <w:rFonts w:ascii="Arial" w:hAnsi="Arial" w:cs="Arial"/>
                <w:color w:val="000000"/>
                <w:sz w:val="16"/>
                <w:szCs w:val="16"/>
              </w:rPr>
              <w:t>**</w:t>
            </w:r>
            <w:r w:rsidR="00A2289E">
              <w:rPr>
                <w:rFonts w:ascii="Arial" w:hAnsi="Arial" w:cs="Arial"/>
                <w:color w:val="000000"/>
                <w:sz w:val="16"/>
                <w:szCs w:val="16"/>
              </w:rPr>
              <w:t xml:space="preserve"> </w:t>
            </w:r>
            <w:r w:rsidR="00871AE3">
              <w:rPr>
                <w:rFonts w:ascii="Arial" w:hAnsi="Arial" w:cs="Arial"/>
                <w:color w:val="000000"/>
                <w:sz w:val="16"/>
                <w:szCs w:val="16"/>
              </w:rPr>
              <w:t>D-</w:t>
            </w:r>
            <w:r w:rsidR="00A2289E">
              <w:rPr>
                <w:rFonts w:ascii="Arial" w:hAnsi="Arial" w:cs="Arial"/>
                <w:color w:val="000000"/>
                <w:sz w:val="16"/>
                <w:szCs w:val="16"/>
              </w:rPr>
              <w:t>4,</w:t>
            </w:r>
            <w:r w:rsidR="00871AE3">
              <w:rPr>
                <w:rFonts w:ascii="Arial" w:hAnsi="Arial" w:cs="Arial"/>
                <w:color w:val="000000"/>
                <w:sz w:val="16"/>
                <w:szCs w:val="16"/>
              </w:rPr>
              <w:t xml:space="preserve"> D-</w:t>
            </w:r>
            <w:r w:rsidR="00A2289E">
              <w:rPr>
                <w:rFonts w:ascii="Arial" w:hAnsi="Arial" w:cs="Arial"/>
                <w:color w:val="000000"/>
                <w:sz w:val="16"/>
                <w:szCs w:val="16"/>
              </w:rPr>
              <w:t>6,</w:t>
            </w:r>
            <w:r w:rsidR="00871AE3">
              <w:rPr>
                <w:rFonts w:ascii="Arial" w:hAnsi="Arial" w:cs="Arial"/>
                <w:color w:val="000000"/>
                <w:sz w:val="16"/>
                <w:szCs w:val="16"/>
              </w:rPr>
              <w:t xml:space="preserve"> and </w:t>
            </w:r>
            <w:r w:rsidR="00A2289E">
              <w:rPr>
                <w:rFonts w:ascii="Arial" w:hAnsi="Arial" w:cs="Arial"/>
                <w:color w:val="000000"/>
                <w:sz w:val="16"/>
                <w:szCs w:val="16"/>
              </w:rPr>
              <w:t>Major Rehab</w:t>
            </w:r>
            <w:r w:rsidR="00871AE3">
              <w:rPr>
                <w:rFonts w:ascii="Arial" w:hAnsi="Arial" w:cs="Arial"/>
                <w:color w:val="000000"/>
                <w:sz w:val="16"/>
                <w:szCs w:val="16"/>
              </w:rPr>
              <w:t xml:space="preserve"> do not apply to pavements with predominant Curb &amp; Gutter.</w:t>
            </w:r>
            <w:r w:rsidR="007E1D5E">
              <w:rPr>
                <w:rFonts w:ascii="Arial" w:hAnsi="Arial" w:cs="Arial"/>
                <w:color w:val="000000"/>
                <w:sz w:val="16"/>
                <w:szCs w:val="16"/>
              </w:rPr>
              <w:t xml:space="preserve">  </w:t>
            </w:r>
            <w:r w:rsidR="007E1D5E">
              <w:rPr>
                <w:rFonts w:ascii="Arial" w:eastAsia="Arial" w:hAnsi="Arial" w:cs="Arial"/>
                <w:sz w:val="16"/>
              </w:rPr>
              <w:t>Click to go</w:t>
            </w:r>
            <w:r w:rsidR="007E1D5E" w:rsidRPr="00982DB5">
              <w:rPr>
                <w:rFonts w:ascii="Arial" w:eastAsia="Arial" w:hAnsi="Arial" w:cs="Arial"/>
                <w:sz w:val="16"/>
                <w:szCs w:val="16"/>
              </w:rPr>
              <w:t xml:space="preserve"> to</w:t>
            </w:r>
            <w:r w:rsidR="007E1D5E" w:rsidRPr="00982DB5">
              <w:rPr>
                <w:rFonts w:ascii="Arial" w:hAnsi="Arial" w:cs="Arial"/>
                <w:bCs/>
                <w:sz w:val="16"/>
                <w:szCs w:val="16"/>
              </w:rPr>
              <w:t xml:space="preserve"> </w:t>
            </w:r>
            <w:hyperlink w:anchor="_Initial_Treatment_Identification" w:history="1">
              <w:r w:rsidR="007E1D5E" w:rsidRPr="007E1D5E">
                <w:rPr>
                  <w:rStyle w:val="Hyperlink"/>
                  <w:rFonts w:ascii="Arial" w:hAnsi="Arial" w:cs="Arial"/>
                  <w:bCs/>
                  <w:sz w:val="16"/>
                  <w:szCs w:val="16"/>
                </w:rPr>
                <w:t>Initial Treatment Identification – Pavement Preservation Guide</w:t>
              </w:r>
            </w:hyperlink>
            <w:r w:rsidR="00E7268C">
              <w:rPr>
                <w:rStyle w:val="Hyperlink"/>
                <w:rFonts w:ascii="Arial" w:hAnsi="Arial" w:cs="Arial"/>
                <w:bCs/>
                <w:sz w:val="16"/>
                <w:szCs w:val="16"/>
              </w:rPr>
              <w:t>.</w:t>
            </w:r>
          </w:p>
        </w:tc>
      </w:tr>
      <w:tr w:rsidR="002417C7" w:rsidRPr="00945156" w14:paraId="16E32A98" w14:textId="77777777" w:rsidTr="00052EEE">
        <w:trPr>
          <w:trHeight w:val="735"/>
        </w:trPr>
        <w:tc>
          <w:tcPr>
            <w:tcW w:w="2726" w:type="dxa"/>
            <w:gridSpan w:val="4"/>
            <w:tcBorders>
              <w:top w:val="single" w:sz="24" w:space="0" w:color="auto"/>
              <w:left w:val="single" w:sz="24" w:space="0" w:color="auto"/>
              <w:bottom w:val="single" w:sz="6" w:space="0" w:color="auto"/>
              <w:right w:val="single" w:sz="6" w:space="0" w:color="auto"/>
            </w:tcBorders>
            <w:noWrap/>
            <w:vAlign w:val="center"/>
            <w:hideMark/>
          </w:tcPr>
          <w:p w14:paraId="3129CAB6" w14:textId="77777777" w:rsidR="002417C7" w:rsidRPr="00945156" w:rsidRDefault="002417C7" w:rsidP="00133518">
            <w:pPr>
              <w:jc w:val="center"/>
              <w:rPr>
                <w:rFonts w:ascii="Bell MT" w:hAnsi="Bell MT" w:cs="Arial"/>
                <w:b/>
                <w:bCs/>
                <w:color w:val="000000"/>
                <w:sz w:val="40"/>
                <w:szCs w:val="40"/>
              </w:rPr>
            </w:pPr>
            <w:r w:rsidRPr="00945156">
              <w:rPr>
                <w:rFonts w:ascii="Bell MT" w:hAnsi="Bell MT" w:cs="Arial"/>
                <w:b/>
                <w:bCs/>
                <w:color w:val="000000"/>
                <w:sz w:val="40"/>
                <w:szCs w:val="40"/>
              </w:rPr>
              <w:lastRenderedPageBreak/>
              <w:t>Table I</w:t>
            </w:r>
            <w:r>
              <w:rPr>
                <w:rFonts w:ascii="Bell MT" w:hAnsi="Bell MT" w:cs="Arial"/>
                <w:b/>
                <w:bCs/>
                <w:color w:val="000000"/>
                <w:sz w:val="40"/>
                <w:szCs w:val="40"/>
              </w:rPr>
              <w:t>V</w:t>
            </w:r>
          </w:p>
        </w:tc>
        <w:tc>
          <w:tcPr>
            <w:tcW w:w="10163" w:type="dxa"/>
            <w:gridSpan w:val="9"/>
            <w:tcBorders>
              <w:top w:val="single" w:sz="24" w:space="0" w:color="auto"/>
              <w:left w:val="single" w:sz="6" w:space="0" w:color="auto"/>
              <w:bottom w:val="single" w:sz="6" w:space="0" w:color="auto"/>
              <w:right w:val="single" w:sz="24" w:space="0" w:color="auto"/>
            </w:tcBorders>
            <w:vAlign w:val="center"/>
            <w:hideMark/>
          </w:tcPr>
          <w:p w14:paraId="2B527F1C" w14:textId="30F7E8B6" w:rsidR="002417C7" w:rsidRPr="00945156" w:rsidRDefault="002417C7" w:rsidP="00133518">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ADT: 4,000</w:t>
            </w:r>
            <w:r>
              <w:rPr>
                <w:rFonts w:ascii="Arial" w:hAnsi="Arial" w:cs="Arial"/>
                <w:b/>
                <w:bCs/>
                <w:color w:val="000000"/>
                <w:sz w:val="18"/>
                <w:szCs w:val="18"/>
              </w:rPr>
              <w:t xml:space="preserve"> to ≤ 25,000 </w:t>
            </w:r>
            <w:r w:rsidRPr="00945156">
              <w:rPr>
                <w:rFonts w:ascii="Arial" w:hAnsi="Arial" w:cs="Arial"/>
                <w:b/>
                <w:bCs/>
                <w:color w:val="000000"/>
                <w:sz w:val="18"/>
                <w:szCs w:val="18"/>
              </w:rPr>
              <w:br/>
              <w:t xml:space="preserve">IRI: 0 </w:t>
            </w:r>
            <w:r>
              <w:rPr>
                <w:rFonts w:ascii="Arial" w:hAnsi="Arial" w:cs="Arial"/>
                <w:b/>
                <w:bCs/>
                <w:color w:val="000000"/>
                <w:sz w:val="18"/>
                <w:szCs w:val="18"/>
              </w:rPr>
              <w:t>to ≤</w:t>
            </w:r>
            <w:r w:rsidRPr="00945156">
              <w:rPr>
                <w:rFonts w:ascii="Arial" w:hAnsi="Arial" w:cs="Arial"/>
                <w:b/>
                <w:bCs/>
                <w:color w:val="000000"/>
                <w:sz w:val="18"/>
                <w:szCs w:val="18"/>
              </w:rPr>
              <w:t xml:space="preserve"> 1</w:t>
            </w:r>
            <w:r w:rsidR="001E70D2">
              <w:rPr>
                <w:rFonts w:ascii="Arial" w:hAnsi="Arial" w:cs="Arial"/>
                <w:b/>
                <w:bCs/>
                <w:color w:val="000000"/>
                <w:sz w:val="18"/>
                <w:szCs w:val="18"/>
              </w:rPr>
              <w:t>2</w:t>
            </w:r>
            <w:r w:rsidRPr="00945156">
              <w:rPr>
                <w:rFonts w:ascii="Arial" w:hAnsi="Arial" w:cs="Arial"/>
                <w:b/>
                <w:bCs/>
                <w:color w:val="000000"/>
                <w:sz w:val="18"/>
                <w:szCs w:val="18"/>
              </w:rPr>
              <w:t>0</w:t>
            </w:r>
          </w:p>
        </w:tc>
      </w:tr>
      <w:tr w:rsidR="002417C7" w:rsidRPr="00945156" w14:paraId="55BDFDE6" w14:textId="77777777" w:rsidTr="00052EEE">
        <w:trPr>
          <w:trHeight w:val="465"/>
        </w:trPr>
        <w:tc>
          <w:tcPr>
            <w:tcW w:w="621" w:type="dxa"/>
            <w:tcBorders>
              <w:top w:val="single" w:sz="6" w:space="0" w:color="auto"/>
              <w:left w:val="single" w:sz="24" w:space="0" w:color="auto"/>
              <w:bottom w:val="single" w:sz="24" w:space="0" w:color="auto"/>
              <w:right w:val="single" w:sz="6" w:space="0" w:color="auto"/>
            </w:tcBorders>
            <w:vAlign w:val="center"/>
            <w:hideMark/>
          </w:tcPr>
          <w:p w14:paraId="23E5BF65" w14:textId="045E84B1"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604" w:type="dxa"/>
            <w:tcBorders>
              <w:top w:val="single" w:sz="6" w:space="0" w:color="auto"/>
              <w:left w:val="single" w:sz="6" w:space="0" w:color="auto"/>
              <w:bottom w:val="single" w:sz="24" w:space="0" w:color="auto"/>
              <w:right w:val="single" w:sz="6" w:space="0" w:color="auto"/>
            </w:tcBorders>
            <w:vAlign w:val="center"/>
            <w:hideMark/>
          </w:tcPr>
          <w:p w14:paraId="3FEC45AE" w14:textId="39153964"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712" w:type="dxa"/>
            <w:tcBorders>
              <w:top w:val="single" w:sz="6" w:space="0" w:color="auto"/>
              <w:left w:val="single" w:sz="6" w:space="0" w:color="auto"/>
              <w:bottom w:val="single" w:sz="24" w:space="0" w:color="auto"/>
              <w:right w:val="single" w:sz="6" w:space="0" w:color="auto"/>
            </w:tcBorders>
            <w:vAlign w:val="center"/>
            <w:hideMark/>
          </w:tcPr>
          <w:p w14:paraId="663A02B2" w14:textId="77777777" w:rsidR="002417C7" w:rsidRPr="00945156" w:rsidRDefault="002417C7" w:rsidP="00133518">
            <w:pPr>
              <w:jc w:val="center"/>
              <w:rPr>
                <w:rFonts w:ascii="Arial" w:hAnsi="Arial" w:cs="Arial"/>
                <w:b/>
                <w:bCs/>
                <w:color w:val="000000"/>
                <w:sz w:val="16"/>
                <w:szCs w:val="16"/>
              </w:rPr>
            </w:pPr>
            <w:r>
              <w:rPr>
                <w:rFonts w:ascii="Arial" w:hAnsi="Arial" w:cs="Arial"/>
                <w:b/>
                <w:bCs/>
                <w:color w:val="000000"/>
                <w:sz w:val="16"/>
                <w:szCs w:val="16"/>
              </w:rPr>
              <w:t>Skid</w:t>
            </w:r>
          </w:p>
        </w:tc>
        <w:tc>
          <w:tcPr>
            <w:tcW w:w="789" w:type="dxa"/>
            <w:tcBorders>
              <w:top w:val="single" w:sz="6" w:space="0" w:color="auto"/>
              <w:left w:val="single" w:sz="6" w:space="0" w:color="auto"/>
              <w:bottom w:val="single" w:sz="24" w:space="0" w:color="auto"/>
              <w:right w:val="single" w:sz="6" w:space="0" w:color="auto"/>
            </w:tcBorders>
            <w:vAlign w:val="center"/>
            <w:hideMark/>
          </w:tcPr>
          <w:p w14:paraId="5A864260"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61" w:type="dxa"/>
            <w:tcBorders>
              <w:top w:val="single" w:sz="6" w:space="0" w:color="auto"/>
              <w:left w:val="single" w:sz="6" w:space="0" w:color="auto"/>
              <w:bottom w:val="single" w:sz="24" w:space="0" w:color="auto"/>
              <w:right w:val="single" w:sz="6" w:space="0" w:color="auto"/>
            </w:tcBorders>
            <w:vAlign w:val="center"/>
            <w:hideMark/>
          </w:tcPr>
          <w:p w14:paraId="6BAD434D"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23" w:type="dxa"/>
            <w:tcBorders>
              <w:top w:val="single" w:sz="6" w:space="0" w:color="auto"/>
              <w:left w:val="single" w:sz="6" w:space="0" w:color="auto"/>
              <w:bottom w:val="single" w:sz="24" w:space="0" w:color="auto"/>
              <w:right w:val="single" w:sz="6" w:space="0" w:color="auto"/>
            </w:tcBorders>
            <w:vAlign w:val="center"/>
            <w:hideMark/>
          </w:tcPr>
          <w:p w14:paraId="70FBC66C"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340" w:type="dxa"/>
            <w:tcBorders>
              <w:top w:val="single" w:sz="6" w:space="0" w:color="auto"/>
              <w:left w:val="single" w:sz="6" w:space="0" w:color="auto"/>
              <w:bottom w:val="single" w:sz="24" w:space="0" w:color="auto"/>
              <w:right w:val="single" w:sz="6" w:space="0" w:color="auto"/>
            </w:tcBorders>
            <w:vAlign w:val="center"/>
            <w:hideMark/>
          </w:tcPr>
          <w:p w14:paraId="05F81B58"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04" w:type="dxa"/>
            <w:tcBorders>
              <w:top w:val="single" w:sz="6" w:space="0" w:color="auto"/>
              <w:left w:val="single" w:sz="6" w:space="0" w:color="auto"/>
              <w:bottom w:val="single" w:sz="24" w:space="0" w:color="auto"/>
              <w:right w:val="single" w:sz="6" w:space="0" w:color="auto"/>
            </w:tcBorders>
            <w:vAlign w:val="center"/>
            <w:hideMark/>
          </w:tcPr>
          <w:p w14:paraId="1A3DA70F" w14:textId="7E4788EA"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sidR="00A2289E">
              <w:rPr>
                <w:rFonts w:ascii="Arial" w:hAnsi="Arial" w:cs="Arial"/>
                <w:b/>
                <w:bCs/>
                <w:color w:val="000000"/>
                <w:sz w:val="16"/>
                <w:szCs w:val="16"/>
              </w:rPr>
              <w:t>Asphalt</w:t>
            </w:r>
            <w:r w:rsidRPr="00945156">
              <w:rPr>
                <w:rFonts w:ascii="Arial" w:hAnsi="Arial" w:cs="Arial"/>
                <w:b/>
                <w:bCs/>
                <w:color w:val="000000"/>
                <w:sz w:val="16"/>
                <w:szCs w:val="16"/>
              </w:rPr>
              <w:t xml:space="preserve"> Overlay</w:t>
            </w:r>
            <w:r w:rsidR="00A24BAA">
              <w:rPr>
                <w:rFonts w:ascii="Arial" w:hAnsi="Arial" w:cs="Arial"/>
                <w:b/>
                <w:bCs/>
                <w:color w:val="000000"/>
                <w:sz w:val="16"/>
                <w:szCs w:val="16"/>
              </w:rPr>
              <w:t>**</w:t>
            </w:r>
          </w:p>
        </w:tc>
        <w:tc>
          <w:tcPr>
            <w:tcW w:w="897" w:type="dxa"/>
            <w:tcBorders>
              <w:top w:val="single" w:sz="6" w:space="0" w:color="auto"/>
              <w:left w:val="single" w:sz="6" w:space="0" w:color="auto"/>
              <w:bottom w:val="single" w:sz="24" w:space="0" w:color="auto"/>
              <w:right w:val="single" w:sz="6" w:space="0" w:color="auto"/>
            </w:tcBorders>
            <w:vAlign w:val="center"/>
            <w:hideMark/>
          </w:tcPr>
          <w:p w14:paraId="4A3EA4BE"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897" w:type="dxa"/>
            <w:tcBorders>
              <w:top w:val="single" w:sz="6" w:space="0" w:color="auto"/>
              <w:left w:val="single" w:sz="6" w:space="0" w:color="auto"/>
              <w:bottom w:val="single" w:sz="24" w:space="0" w:color="auto"/>
              <w:right w:val="single" w:sz="6" w:space="0" w:color="auto"/>
            </w:tcBorders>
            <w:vAlign w:val="center"/>
            <w:hideMark/>
          </w:tcPr>
          <w:p w14:paraId="6042F300" w14:textId="195C862D"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F. </w:t>
            </w:r>
            <w:r w:rsidR="00A2289E">
              <w:rPr>
                <w:rFonts w:ascii="Arial" w:hAnsi="Arial" w:cs="Arial"/>
                <w:b/>
                <w:bCs/>
                <w:color w:val="000000"/>
                <w:sz w:val="16"/>
                <w:szCs w:val="16"/>
              </w:rPr>
              <w:t>Spot Repair</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03712903" w14:textId="0D9427EB"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G</w:t>
            </w:r>
            <w:r w:rsidR="002417C7" w:rsidRPr="00945156">
              <w:rPr>
                <w:rFonts w:ascii="Arial" w:hAnsi="Arial" w:cs="Arial"/>
                <w:b/>
                <w:bCs/>
                <w:color w:val="000000"/>
                <w:sz w:val="16"/>
                <w:szCs w:val="16"/>
              </w:rPr>
              <w:t xml:space="preserve">. </w:t>
            </w:r>
            <w:r w:rsidR="002417C7">
              <w:rPr>
                <w:rFonts w:ascii="Arial" w:hAnsi="Arial" w:cs="Arial"/>
                <w:b/>
                <w:bCs/>
                <w:color w:val="000000"/>
                <w:sz w:val="16"/>
                <w:szCs w:val="16"/>
              </w:rPr>
              <w:t>Surface Texturizing</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273EFBAF" w14:textId="07CC255C"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H</w:t>
            </w:r>
            <w:r w:rsidR="002417C7" w:rsidRPr="00945156">
              <w:rPr>
                <w:rFonts w:ascii="Arial" w:hAnsi="Arial" w:cs="Arial"/>
                <w:b/>
                <w:bCs/>
                <w:color w:val="000000"/>
                <w:sz w:val="16"/>
                <w:szCs w:val="16"/>
              </w:rPr>
              <w:t>. Major Rehab</w:t>
            </w:r>
            <w:r w:rsidR="00354BE0">
              <w:rPr>
                <w:rFonts w:ascii="Arial" w:hAnsi="Arial" w:cs="Arial"/>
                <w:b/>
                <w:bCs/>
                <w:color w:val="000000"/>
                <w:sz w:val="16"/>
                <w:szCs w:val="16"/>
              </w:rPr>
              <w:t>**</w:t>
            </w:r>
          </w:p>
        </w:tc>
        <w:tc>
          <w:tcPr>
            <w:tcW w:w="987" w:type="dxa"/>
            <w:tcBorders>
              <w:top w:val="single" w:sz="6" w:space="0" w:color="auto"/>
              <w:left w:val="single" w:sz="6" w:space="0" w:color="auto"/>
              <w:bottom w:val="single" w:sz="24" w:space="0" w:color="auto"/>
              <w:right w:val="single" w:sz="24" w:space="0" w:color="auto"/>
            </w:tcBorders>
            <w:vAlign w:val="center"/>
            <w:hideMark/>
          </w:tcPr>
          <w:p w14:paraId="364A26C4" w14:textId="3DC1FCBC"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r w:rsidRPr="00945156">
              <w:rPr>
                <w:rFonts w:ascii="Arial" w:hAnsi="Arial" w:cs="Arial"/>
                <w:b/>
                <w:bCs/>
                <w:color w:val="000000"/>
                <w:sz w:val="16"/>
                <w:szCs w:val="16"/>
              </w:rPr>
              <w:t>struction</w:t>
            </w:r>
          </w:p>
        </w:tc>
      </w:tr>
      <w:tr w:rsidR="00115674" w:rsidRPr="00945156" w14:paraId="636118B3" w14:textId="77777777" w:rsidTr="00052EEE">
        <w:trPr>
          <w:trHeight w:val="195"/>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5CC1E097"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≥25</w:t>
            </w:r>
          </w:p>
          <w:p w14:paraId="74C25271" w14:textId="46CB0AD0"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5DE1BCD9" w14:textId="766A993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3816BE2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5B89B88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4D79157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93A65A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05B951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247239EA" w14:textId="7285A48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24" w:space="0" w:color="auto"/>
              <w:left w:val="single" w:sz="6" w:space="0" w:color="auto"/>
              <w:bottom w:val="single" w:sz="6" w:space="0" w:color="auto"/>
              <w:right w:val="single" w:sz="6" w:space="0" w:color="auto"/>
            </w:tcBorders>
            <w:shd w:val="clear" w:color="auto" w:fill="FFFFFF" w:themeFill="background1"/>
            <w:noWrap/>
            <w:vAlign w:val="center"/>
            <w:hideMark/>
          </w:tcPr>
          <w:p w14:paraId="4D249B33" w14:textId="5250D93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E-1</w:t>
            </w:r>
            <w:r w:rsidR="002417C7"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062E18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C729E0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noWrap/>
            <w:vAlign w:val="center"/>
            <w:hideMark/>
          </w:tcPr>
          <w:p w14:paraId="14257645" w14:textId="579BA23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24" w:space="0" w:color="auto"/>
              <w:left w:val="single" w:sz="6" w:space="0" w:color="auto"/>
              <w:bottom w:val="single" w:sz="6" w:space="0" w:color="auto"/>
              <w:right w:val="single" w:sz="24" w:space="0" w:color="auto"/>
            </w:tcBorders>
            <w:noWrap/>
            <w:vAlign w:val="center"/>
            <w:hideMark/>
          </w:tcPr>
          <w:p w14:paraId="7C36F4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J-1, J-2</w:t>
            </w:r>
          </w:p>
        </w:tc>
      </w:tr>
      <w:tr w:rsidR="00115674" w:rsidRPr="00945156" w14:paraId="574AC66E"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EFD6AD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AF95FF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4BE3BC6E"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AC0B43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DCF275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F24B0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DA49E7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0F60D6D6" w14:textId="3E1DE82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111E96C7" w14:textId="10ED84D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D8B0B4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A3BE14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263F509E" w14:textId="114D21A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66048AB9" w14:textId="4E22B13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p>
        </w:tc>
      </w:tr>
      <w:tr w:rsidR="00115674" w:rsidRPr="00945156" w14:paraId="25D1C574"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AAB410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6EA85E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E20D3E1"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3C6D1F1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414F036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F429A4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924718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56250211" w14:textId="791DA38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64CD29D4" w14:textId="766D296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DCA9A2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089D3B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528B063D" w14:textId="1294030E"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3A7B434D" w14:textId="3DCFEA9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5745677"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B90BCD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AAA86A8"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AFCDE8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1F1D8D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6190E1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A3F767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FB02D0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24BBA302" w14:textId="6C6851D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4D69522D" w14:textId="140710D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C82690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203315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1F88B89D" w14:textId="6179A9A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5B1F28FD" w14:textId="7AFF789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95DA0B2"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B25E3E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7A5ECF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3818359"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A98B43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F46756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D11C41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D9C3C2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7DBCC543" w14:textId="574174B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DE88969" w14:textId="125E10D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CEC548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174125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CF07623" w14:textId="465F9C2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4FF0F115" w14:textId="65D3F66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3379A1A"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7EAC65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4C81D93"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5C2350B0"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1DB6A4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989B0D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251E9A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B7E1C7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3017B94F" w14:textId="2886ECB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192CD3B5" w14:textId="5E86903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7C28F9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E0B364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7F2CF709" w14:textId="76D9637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7B0E008A" w14:textId="4C06E36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2AA9F4B"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71FCDE8"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4A2B1DCA" w14:textId="3378A6E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322A66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1357677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B29C96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D20479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A67372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74BBE86C" w14:textId="36A837B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67D070D7" w14:textId="518EAF6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285E0D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50E7D4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37E9E8D6" w14:textId="6AC3281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239628DE" w14:textId="758F438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BEBADFB"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6ADE77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896D88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DFD10A7"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1074A23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57F359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C381BD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F90676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11DC075B" w14:textId="6B99ABD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112EA3A" w14:textId="3DDC735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DB0877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848C1C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2A3E02CC" w14:textId="140EF8D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27FE255A" w14:textId="0091634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78F0CEBA"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B7E708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CB04FBA"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52EF5422"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27B73B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15132BB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B81DFF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0797BD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2F91C087" w14:textId="16E1D0C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0593BC76" w14:textId="534B84D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FB19D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C04B3F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4B78D1E9" w14:textId="3A0E0D8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7519C6E9" w14:textId="158D3ED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1C12684"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937BFF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ACC2D16"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5EA945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13497E1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0576D97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B81DBB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FD7A0E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0E447D16" w14:textId="66B091A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747F6D43" w14:textId="00F7BBC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78F8CF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920A4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3449D2AA" w14:textId="7E1C0E4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0F238C11" w14:textId="1471720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BBBD59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9EF749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258882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96BAB44"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2960F8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1DF2F0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A1CBA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B21E9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6F036762" w14:textId="0281F06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70A2146F" w14:textId="78B7DD2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4F6CDA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B3C45B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324BC40B" w14:textId="22B1F84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1FAC9AD0" w14:textId="247C05F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67B4DBA"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2FFE966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54DD4B0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48953D2A"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20584F5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76E9C48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1265BA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37969DB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282C2D20" w14:textId="26337E1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41CBEECE" w14:textId="086FF10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479527E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4029C02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1CBDB18C" w14:textId="1DF716D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24" w:space="0" w:color="auto"/>
              <w:right w:val="single" w:sz="24" w:space="0" w:color="auto"/>
            </w:tcBorders>
            <w:noWrap/>
            <w:vAlign w:val="center"/>
            <w:hideMark/>
          </w:tcPr>
          <w:p w14:paraId="34511ABB" w14:textId="17F5A90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3F5A400"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19BCF94D" w14:textId="466353F4" w:rsidR="00A2289E" w:rsidRDefault="00A2289E" w:rsidP="00A2289E">
            <w:pPr>
              <w:jc w:val="center"/>
              <w:rPr>
                <w:rFonts w:ascii="Arial" w:hAnsi="Arial" w:cs="Arial"/>
                <w:color w:val="000000"/>
                <w:sz w:val="14"/>
                <w:szCs w:val="14"/>
              </w:rPr>
            </w:pPr>
            <w:r>
              <w:rPr>
                <w:rFonts w:ascii="Arial" w:hAnsi="Arial" w:cs="Arial"/>
                <w:color w:val="000000"/>
                <w:sz w:val="14"/>
                <w:szCs w:val="14"/>
              </w:rPr>
              <w:t>≥5</w:t>
            </w:r>
            <w:r w:rsidR="002417C7">
              <w:rPr>
                <w:rFonts w:ascii="Arial" w:hAnsi="Arial" w:cs="Arial"/>
                <w:color w:val="000000"/>
                <w:sz w:val="14"/>
                <w:szCs w:val="14"/>
              </w:rPr>
              <w:t xml:space="preserve"> to </w:t>
            </w:r>
            <w:r>
              <w:rPr>
                <w:rFonts w:ascii="Arial" w:hAnsi="Arial" w:cs="Arial"/>
                <w:color w:val="000000"/>
                <w:sz w:val="14"/>
                <w:szCs w:val="14"/>
              </w:rPr>
              <w:t>&lt;25</w:t>
            </w:r>
          </w:p>
          <w:p w14:paraId="6361B195" w14:textId="57FDA2C0"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35E6993D" w14:textId="3859807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6A91998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6EBB4D6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2295F45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6DCC5C3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3FB82C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72D5C903" w14:textId="5CA2DBA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E8D706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auto" w:fill="FFFFFF" w:themeFill="background1"/>
            <w:noWrap/>
            <w:vAlign w:val="center"/>
            <w:hideMark/>
          </w:tcPr>
          <w:p w14:paraId="631ED4A5" w14:textId="4BD47C6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0D0AFF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0FC1B8E" w14:textId="6ED08D5F" w:rsidR="002417C7" w:rsidRPr="00945156" w:rsidRDefault="002417C7" w:rsidP="00133518">
            <w:pPr>
              <w:jc w:val="center"/>
              <w:rPr>
                <w:rFonts w:ascii="Arial" w:hAnsi="Arial" w:cs="Arial"/>
                <w:color w:val="000000"/>
                <w:sz w:val="14"/>
                <w:szCs w:val="14"/>
              </w:rPr>
            </w:pP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2B9FB9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3721CE5"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1A16D3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8E8A3D1"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FE1368E"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DF6D72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1A9C14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86871C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9E2710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F1621A9" w14:textId="51CC663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7F161241" w14:textId="6B44F66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0CC73ADB" w14:textId="4FAE92C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229A51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2B06DA1" w14:textId="2979B9ED"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56A8B6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58C640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BCB656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4FE86C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0384352B"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01F855B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2EFC1B1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8A7957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01D3CA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2CADF299" w14:textId="09EEE4B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28409626" w14:textId="5D1C911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50CCFCFB" w14:textId="2BF7F27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312067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58F08E7" w14:textId="2CC939CA"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1B55618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38E92D8"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5E6E39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5B52F41"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2E2BAE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7F2A595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6B3060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CFBDC4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53EEC3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29F97C43" w14:textId="3EBAD72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320CE3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7C94C0F7" w14:textId="3C20495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1BBB68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955F0A5" w14:textId="20DC7B56"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0FDCC2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88EB66B"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FA440A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B5170B8"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E5E1275"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49F6D8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1DED3F2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19BF44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6F774C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1E48C5F9" w14:textId="4574645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68DFB1B4" w14:textId="76C7D32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68B134D5" w14:textId="6AFCE60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144C58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65B2A21" w14:textId="1D3B20A0"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26C1C8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536A1EF"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5F8DEC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786F26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F0D194D"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490834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770A032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626E0E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C8DF42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5CDB480A" w14:textId="064657D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63678E5C" w14:textId="3499700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16CD3A63" w14:textId="7D6AE4E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A45AF1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E5A2DD7" w14:textId="53A49378"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249D64F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2ABB18B"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BEF17A1"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7E6A521A" w14:textId="62D85E0E"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4FDCAEB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6028C69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757ED6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33B014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9ADB6F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08522E2E" w14:textId="219D2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3C2508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60977519" w14:textId="5C5A6B0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D74332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DDBF8D2" w14:textId="24FFB4AF"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AE5885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AAC4041"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FC6EFB8"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DE757F7"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7F26446A"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A1BA4B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118B1DC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101592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BC5A6B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7899EF94" w14:textId="00C356C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48901F1" w14:textId="1DFD509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571C5A15" w14:textId="1A09014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5B8C82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CE41314" w14:textId="60E3A790"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4BCD10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F4F1E61"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D29CC5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791E1F4"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2962349"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14D4729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353D31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7A38DA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87DEA7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0198331F" w14:textId="2EFD719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46EDCA9C" w14:textId="54B76D3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2B828BCE" w14:textId="1BE53D4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A3A279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40CB553" w14:textId="4BFAB033"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6950E3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5DD4B20"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94D7D9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CD85B48"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2332A6E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693AE72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3C1C1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B3081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EF5977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0EC0DB25" w14:textId="6B467D4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7A3DA4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03F9CCB5" w14:textId="1B43985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12EF95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2208AA6" w14:textId="0A40E417"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573C87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1D7DC81"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597EDA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0860AFF"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4160A9DC"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46132D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FE92F3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FC600A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A145AD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9EEB9B6" w14:textId="767AEAF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6574466" w14:textId="176CE52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1CE7C942" w14:textId="479FDDB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320B86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94F0F94" w14:textId="64960BA8"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915512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2652176"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2132FA5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3BBA74EF"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7B24B76F"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4A9E098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2BE018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4F0EF61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C02A11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5BEB1B64" w14:textId="51F865A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6586A6F7" w14:textId="6E21FC3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79C03130" w14:textId="28D6B63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D2BE80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78709261" w14:textId="4161AB76"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11AC848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BBAED8F"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5018E772"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&lt;5</w:t>
            </w:r>
          </w:p>
          <w:p w14:paraId="1CC16D5B" w14:textId="05184883"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438D0C75" w14:textId="0FA28E2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1523BA8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16B76E3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vAlign w:val="center"/>
            <w:hideMark/>
          </w:tcPr>
          <w:p w14:paraId="160CDF8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A-1</w:t>
            </w:r>
          </w:p>
        </w:tc>
        <w:tc>
          <w:tcPr>
            <w:tcW w:w="1223" w:type="dxa"/>
            <w:tcBorders>
              <w:top w:val="single" w:sz="24" w:space="0" w:color="auto"/>
              <w:left w:val="single" w:sz="6" w:space="0" w:color="auto"/>
              <w:bottom w:val="single" w:sz="6" w:space="0" w:color="auto"/>
              <w:right w:val="single" w:sz="6" w:space="0" w:color="auto"/>
            </w:tcBorders>
            <w:noWrap/>
            <w:vAlign w:val="center"/>
            <w:hideMark/>
          </w:tcPr>
          <w:p w14:paraId="06E8B8F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B-1, B-2</w:t>
            </w:r>
          </w:p>
        </w:tc>
        <w:tc>
          <w:tcPr>
            <w:tcW w:w="1340" w:type="dxa"/>
            <w:tcBorders>
              <w:top w:val="single" w:sz="24" w:space="0" w:color="auto"/>
              <w:left w:val="single" w:sz="6" w:space="0" w:color="auto"/>
              <w:bottom w:val="single" w:sz="6" w:space="0" w:color="auto"/>
              <w:right w:val="single" w:sz="6" w:space="0" w:color="auto"/>
            </w:tcBorders>
            <w:noWrap/>
            <w:vAlign w:val="center"/>
            <w:hideMark/>
          </w:tcPr>
          <w:p w14:paraId="290D34B9" w14:textId="6A34295C"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C-1,</w:t>
            </w:r>
            <w:r w:rsidRPr="00945156">
              <w:rPr>
                <w:rFonts w:ascii="Arial" w:hAnsi="Arial" w:cs="Arial"/>
                <w:color w:val="000000"/>
                <w:sz w:val="14"/>
                <w:szCs w:val="14"/>
              </w:rPr>
              <w:t xml:space="preserve"> C-</w:t>
            </w:r>
            <w:r w:rsidR="00A2289E">
              <w:rPr>
                <w:rFonts w:ascii="Arial" w:hAnsi="Arial" w:cs="Arial"/>
                <w:color w:val="000000"/>
                <w:sz w:val="14"/>
                <w:szCs w:val="14"/>
              </w:rPr>
              <w:t>3, C-4</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7AAC783E" w14:textId="6709632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thru D-6</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58DD6F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auto" w:fill="FFFFFF" w:themeFill="background1"/>
            <w:noWrap/>
            <w:vAlign w:val="center"/>
            <w:hideMark/>
          </w:tcPr>
          <w:p w14:paraId="6D7C7F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C3BB1D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9219D5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99D89C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A8187C0"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D385A1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5E6229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78C8DD34"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4CDB0D8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vAlign w:val="center"/>
            <w:hideMark/>
          </w:tcPr>
          <w:p w14:paraId="0AA1B9D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A-1</w:t>
            </w:r>
          </w:p>
        </w:tc>
        <w:tc>
          <w:tcPr>
            <w:tcW w:w="1223" w:type="dxa"/>
            <w:tcBorders>
              <w:top w:val="single" w:sz="6" w:space="0" w:color="auto"/>
              <w:left w:val="single" w:sz="6" w:space="0" w:color="auto"/>
              <w:bottom w:val="single" w:sz="6" w:space="0" w:color="auto"/>
              <w:right w:val="single" w:sz="6" w:space="0" w:color="auto"/>
            </w:tcBorders>
            <w:noWrap/>
            <w:vAlign w:val="center"/>
            <w:hideMark/>
          </w:tcPr>
          <w:p w14:paraId="7963853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B-1, B-2</w:t>
            </w:r>
          </w:p>
        </w:tc>
        <w:tc>
          <w:tcPr>
            <w:tcW w:w="1340" w:type="dxa"/>
            <w:tcBorders>
              <w:top w:val="single" w:sz="6" w:space="0" w:color="auto"/>
              <w:left w:val="single" w:sz="6" w:space="0" w:color="auto"/>
              <w:bottom w:val="single" w:sz="6" w:space="0" w:color="auto"/>
              <w:right w:val="single" w:sz="6" w:space="0" w:color="auto"/>
            </w:tcBorders>
            <w:noWrap/>
            <w:vAlign w:val="center"/>
            <w:hideMark/>
          </w:tcPr>
          <w:p w14:paraId="79FA381D" w14:textId="6E2E10B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C-</w:t>
            </w:r>
            <w:r w:rsidR="00A2289E">
              <w:rPr>
                <w:rFonts w:ascii="Arial" w:hAnsi="Arial" w:cs="Arial"/>
                <w:color w:val="000000"/>
                <w:sz w:val="14"/>
                <w:szCs w:val="14"/>
              </w:rPr>
              <w:t>1, C-3, C-4</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0F47A61A" w14:textId="6154C83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ABBE6C5" w14:textId="0C90D81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r w:rsidRPr="00945156">
              <w:rPr>
                <w:rFonts w:ascii="Arial" w:hAnsi="Arial" w:cs="Arial"/>
                <w:color w:val="000000"/>
                <w:sz w:val="14"/>
                <w:szCs w:val="14"/>
              </w:rPr>
              <w:t> </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2590FDA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46604464" w14:textId="7843D06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62C7DC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3E31AA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279F6E6"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641B4D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1C402D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7ACA375"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507745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vAlign w:val="center"/>
            <w:hideMark/>
          </w:tcPr>
          <w:p w14:paraId="2A06968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A-1</w:t>
            </w:r>
          </w:p>
        </w:tc>
        <w:tc>
          <w:tcPr>
            <w:tcW w:w="1223" w:type="dxa"/>
            <w:tcBorders>
              <w:top w:val="single" w:sz="6" w:space="0" w:color="auto"/>
              <w:left w:val="single" w:sz="6" w:space="0" w:color="auto"/>
              <w:bottom w:val="single" w:sz="12" w:space="0" w:color="auto"/>
              <w:right w:val="single" w:sz="6" w:space="0" w:color="auto"/>
            </w:tcBorders>
            <w:noWrap/>
            <w:vAlign w:val="center"/>
            <w:hideMark/>
          </w:tcPr>
          <w:p w14:paraId="59C994F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B-1, B-2</w:t>
            </w:r>
          </w:p>
        </w:tc>
        <w:tc>
          <w:tcPr>
            <w:tcW w:w="1340"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25653627" w14:textId="2DD2D2F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C-4</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36DB4F42" w14:textId="5C9F324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167C6FB2" w14:textId="05754ED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3ED5B58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27A2399D" w14:textId="6258711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58904A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4483E1C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225B239"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C019A5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48ACBB5"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2BB598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70BA677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0265C" w14:textId="75F721AB"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E6C611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1ED504F3" w14:textId="24D3A4AB"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C-1, C-3,</w:t>
            </w:r>
            <w:r w:rsidRPr="00945156">
              <w:rPr>
                <w:rFonts w:ascii="Arial" w:hAnsi="Arial" w:cs="Arial"/>
                <w:color w:val="000000"/>
                <w:sz w:val="14"/>
                <w:szCs w:val="14"/>
              </w:rPr>
              <w:t xml:space="preserve"> C-</w:t>
            </w:r>
            <w:r w:rsidR="00A2289E">
              <w:rPr>
                <w:rFonts w:ascii="Arial" w:hAnsi="Arial" w:cs="Arial"/>
                <w:color w:val="000000"/>
                <w:sz w:val="14"/>
                <w:szCs w:val="14"/>
              </w:rPr>
              <w:t>4</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6D2B993E" w14:textId="3205C33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thru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CA2DDD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4F25D7A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79CDF062" w14:textId="221E43F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G-2</w:t>
            </w:r>
            <w:r w:rsidR="002417C7"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C8BE8F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E7463C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918E5DC"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B330D1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08B44FD"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9E278E0"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043F07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6D86FC" w14:textId="7E22E6D2"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9E0456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0BD2F0FC" w14:textId="1BFE030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C-</w:t>
            </w:r>
            <w:r w:rsidR="00A2289E">
              <w:rPr>
                <w:rFonts w:ascii="Arial" w:hAnsi="Arial" w:cs="Arial"/>
                <w:color w:val="000000"/>
                <w:sz w:val="14"/>
                <w:szCs w:val="14"/>
              </w:rPr>
              <w:t>1, C-3, C-4</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3673BD5A" w14:textId="0D80E7B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1133FC51" w14:textId="254566B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1263620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09B38B25" w14:textId="7AC7A77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7EDC88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833DFA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7F49921"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B3705F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8ED5EF3"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75607846"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10F31A2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593E31D6" w14:textId="587084B4"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20AD46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34826DD2" w14:textId="0ACA57E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C-4</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0ABBF04D" w14:textId="6F9FCC9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66FE79BC" w14:textId="4CDA9AC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4B91113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174F393D" w14:textId="6079EAC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553981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02FEE71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ECCF158"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DA341CF"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0B20833A" w14:textId="3F0F861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956F4E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17FD270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5CF999A" w14:textId="5198193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8448328" w14:textId="530C2C4B"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noWrap/>
            <w:vAlign w:val="center"/>
            <w:hideMark/>
          </w:tcPr>
          <w:p w14:paraId="27688A0C" w14:textId="2A6DFA49"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C-1</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7084B324" w14:textId="5827808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D-1</w:t>
            </w:r>
            <w:r w:rsidR="002417C7">
              <w:rPr>
                <w:rFonts w:ascii="Arial" w:hAnsi="Arial" w:cs="Arial"/>
                <w:color w:val="000000"/>
                <w:sz w:val="14"/>
                <w:szCs w:val="14"/>
              </w:rPr>
              <w:t xml:space="preserve">, </w:t>
            </w:r>
            <w:r w:rsidR="002417C7" w:rsidRPr="00945156">
              <w:rPr>
                <w:rFonts w:ascii="Arial" w:hAnsi="Arial" w:cs="Arial"/>
                <w:color w:val="000000"/>
                <w:sz w:val="14"/>
                <w:szCs w:val="14"/>
              </w:rPr>
              <w:t>D-3</w:t>
            </w:r>
            <w:r>
              <w:rPr>
                <w:rFonts w:ascii="Arial" w:hAnsi="Arial" w:cs="Arial"/>
                <w:color w:val="000000"/>
                <w:sz w:val="14"/>
                <w:szCs w:val="14"/>
              </w:rPr>
              <w:t xml:space="preserve"> D-4, D-5,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DD9628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07A628B8" w14:textId="02B4E82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C74D37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8E2488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C059FB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D300439"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75389D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ADC0B3F"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6A83952"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EABB29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EE2BDC" w14:textId="7E7BD712"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B155FFB" w14:textId="6FF6C7AB"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noWrap/>
            <w:vAlign w:val="center"/>
            <w:hideMark/>
          </w:tcPr>
          <w:p w14:paraId="1E0FD77C" w14:textId="6956EE5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60CA6578" w14:textId="0566198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FA399FD" w14:textId="38EE420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5257603E" w14:textId="27672B2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7D14027C" w14:textId="47019BB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3B058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F474BB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2216883"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61EAB4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19E12A4"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083E18D7"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14B9BD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5CA74A1F" w14:textId="23C0038B"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8D36320" w14:textId="18549E3A"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08E90A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784F2755" w14:textId="0146C96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0FA4E696" w14:textId="212D530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442ECD80" w14:textId="62D6DB1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528E8C81" w14:textId="13AA107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1B1050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3F19F6E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6942B68"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6B341B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5EC879C"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2E1B30C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642A481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51C4404" w14:textId="7E46BC6F"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86A26F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noWrap/>
            <w:vAlign w:val="center"/>
            <w:hideMark/>
          </w:tcPr>
          <w:p w14:paraId="4B66BA6F" w14:textId="210B2B1E"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C-1</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3F0B1E33" w14:textId="4481E38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D-1</w:t>
            </w:r>
            <w:r w:rsidR="002417C7">
              <w:rPr>
                <w:rFonts w:ascii="Arial" w:hAnsi="Arial" w:cs="Arial"/>
                <w:color w:val="000000"/>
                <w:sz w:val="14"/>
                <w:szCs w:val="14"/>
              </w:rPr>
              <w:t xml:space="preserve">, </w:t>
            </w:r>
            <w:r w:rsidR="002417C7" w:rsidRPr="00945156">
              <w:rPr>
                <w:rFonts w:ascii="Arial" w:hAnsi="Arial" w:cs="Arial"/>
                <w:color w:val="000000"/>
                <w:sz w:val="14"/>
                <w:szCs w:val="14"/>
              </w:rPr>
              <w:t>D-3</w:t>
            </w:r>
            <w:r>
              <w:rPr>
                <w:rFonts w:ascii="Arial" w:hAnsi="Arial" w:cs="Arial"/>
                <w:color w:val="000000"/>
                <w:sz w:val="14"/>
                <w:szCs w:val="14"/>
              </w:rPr>
              <w:t xml:space="preserve"> D-4, D-5,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892574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112A3275" w14:textId="05F4291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1ADE5DD1" w14:textId="4601C24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G-2</w:t>
            </w:r>
            <w:r w:rsidR="002417C7"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FC1CDF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906D7D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9DD6482"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D51DA6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8343593"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5F81D00"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6A7D3F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1F04135" w14:textId="4C85EACA"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902689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noWrap/>
            <w:vAlign w:val="center"/>
            <w:hideMark/>
          </w:tcPr>
          <w:p w14:paraId="4C74517C" w14:textId="488D238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566E4F4" w14:textId="3428A3B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776A357C" w14:textId="161D92E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092D5E0" w14:textId="07995F3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5C23C7B8" w14:textId="6999755E"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3B1B36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33CAD9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DF0314B"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7D65AE7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40E2B98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54F4A080"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47BE1F4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63C292ED" w14:textId="3F388A3D"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3A8B676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10B14C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71287313" w14:textId="771C1FF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37D391DE" w14:textId="0405E6E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4A8FD621" w14:textId="717876F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0B1679B9" w14:textId="0D0471A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848577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A5159D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2417C7" w:rsidRPr="00945156" w14:paraId="3F33E151" w14:textId="77777777" w:rsidTr="00052EEE">
        <w:trPr>
          <w:trHeight w:val="255"/>
        </w:trPr>
        <w:tc>
          <w:tcPr>
            <w:tcW w:w="12889" w:type="dxa"/>
            <w:gridSpan w:val="13"/>
            <w:tcBorders>
              <w:top w:val="single" w:sz="24" w:space="0" w:color="auto"/>
              <w:left w:val="nil"/>
              <w:bottom w:val="nil"/>
              <w:right w:val="nil"/>
            </w:tcBorders>
            <w:noWrap/>
            <w:vAlign w:val="bottom"/>
            <w:hideMark/>
          </w:tcPr>
          <w:p w14:paraId="32A0002F" w14:textId="3160C1C2" w:rsidR="002417C7" w:rsidRPr="00945156" w:rsidRDefault="002417C7" w:rsidP="00133518">
            <w:pPr>
              <w:rPr>
                <w:rFonts w:ascii="Arial" w:hAnsi="Arial" w:cs="Arial"/>
                <w:color w:val="000000"/>
                <w:sz w:val="16"/>
                <w:szCs w:val="16"/>
              </w:rPr>
            </w:pPr>
            <w:r w:rsidRPr="00945156">
              <w:rPr>
                <w:rFonts w:ascii="Arial" w:hAnsi="Arial" w:cs="Arial"/>
                <w:color w:val="000000"/>
                <w:sz w:val="16"/>
                <w:szCs w:val="16"/>
              </w:rPr>
              <w:t xml:space="preserve">Note: See </w:t>
            </w:r>
            <w:hyperlink w:anchor="_Table_C._List_1" w:history="1">
              <w:r w:rsidRPr="00EE5EE0">
                <w:rPr>
                  <w:rStyle w:val="Hyperlink"/>
                  <w:rFonts w:ascii="Arial" w:hAnsi="Arial" w:cs="Arial"/>
                  <w:sz w:val="16"/>
                  <w:szCs w:val="16"/>
                </w:rPr>
                <w:t xml:space="preserve">Table </w:t>
              </w:r>
              <w:r>
                <w:rPr>
                  <w:rStyle w:val="Hyperlink"/>
                  <w:rFonts w:ascii="Arial" w:hAnsi="Arial" w:cs="Arial"/>
                  <w:sz w:val="16"/>
                  <w:szCs w:val="16"/>
                </w:rPr>
                <w:t>C</w:t>
              </w:r>
            </w:hyperlink>
            <w:r w:rsidRPr="00945156">
              <w:rPr>
                <w:rFonts w:ascii="Arial" w:hAnsi="Arial" w:cs="Arial"/>
                <w:color w:val="000000"/>
                <w:sz w:val="16"/>
                <w:szCs w:val="16"/>
              </w:rPr>
              <w:t xml:space="preserve"> for Treatment Activities</w:t>
            </w:r>
            <w:r>
              <w:rPr>
                <w:rFonts w:ascii="Arial" w:hAnsi="Arial" w:cs="Arial"/>
                <w:color w:val="000000"/>
                <w:sz w:val="16"/>
                <w:szCs w:val="16"/>
              </w:rPr>
              <w:t>.  *</w:t>
            </w:r>
            <w:r w:rsidR="00A2289E">
              <w:rPr>
                <w:rFonts w:ascii="Arial" w:hAnsi="Arial" w:cs="Arial"/>
                <w:color w:val="000000"/>
                <w:sz w:val="16"/>
                <w:szCs w:val="16"/>
              </w:rPr>
              <w:t>H</w:t>
            </w:r>
            <w:r>
              <w:rPr>
                <w:rFonts w:ascii="Arial" w:hAnsi="Arial" w:cs="Arial"/>
                <w:color w:val="000000"/>
                <w:sz w:val="16"/>
                <w:szCs w:val="16"/>
              </w:rPr>
              <w:t xml:space="preserve">-2 and </w:t>
            </w:r>
            <w:r w:rsidR="00A2289E">
              <w:rPr>
                <w:rFonts w:ascii="Arial" w:hAnsi="Arial" w:cs="Arial"/>
                <w:color w:val="000000"/>
                <w:sz w:val="16"/>
                <w:szCs w:val="16"/>
              </w:rPr>
              <w:t>H</w:t>
            </w:r>
            <w:r>
              <w:rPr>
                <w:rFonts w:ascii="Arial" w:hAnsi="Arial" w:cs="Arial"/>
                <w:color w:val="000000"/>
                <w:sz w:val="16"/>
                <w:szCs w:val="16"/>
              </w:rPr>
              <w:t>-3 apply to composite pavements only.</w:t>
            </w:r>
            <w:r w:rsidR="00A24BAA">
              <w:rPr>
                <w:rFonts w:ascii="Arial" w:hAnsi="Arial" w:cs="Arial"/>
                <w:color w:val="000000"/>
                <w:sz w:val="16"/>
                <w:szCs w:val="16"/>
              </w:rPr>
              <w:t xml:space="preserve">  </w:t>
            </w:r>
            <w:r w:rsidR="00871AE3">
              <w:rPr>
                <w:rFonts w:ascii="Arial" w:hAnsi="Arial" w:cs="Arial"/>
                <w:color w:val="000000"/>
                <w:sz w:val="16"/>
                <w:szCs w:val="16"/>
              </w:rPr>
              <w:t>**</w:t>
            </w:r>
            <w:r w:rsidR="00A2289E">
              <w:rPr>
                <w:rFonts w:ascii="Arial" w:hAnsi="Arial" w:cs="Arial"/>
                <w:color w:val="000000"/>
                <w:sz w:val="16"/>
                <w:szCs w:val="16"/>
              </w:rPr>
              <w:t xml:space="preserve"> </w:t>
            </w:r>
            <w:r w:rsidR="00871AE3">
              <w:rPr>
                <w:rFonts w:ascii="Arial" w:hAnsi="Arial" w:cs="Arial"/>
                <w:color w:val="000000"/>
                <w:sz w:val="16"/>
                <w:szCs w:val="16"/>
              </w:rPr>
              <w:t>D-</w:t>
            </w:r>
            <w:r w:rsidR="00A2289E">
              <w:rPr>
                <w:rFonts w:ascii="Arial" w:hAnsi="Arial" w:cs="Arial"/>
                <w:color w:val="000000"/>
                <w:sz w:val="16"/>
                <w:szCs w:val="16"/>
              </w:rPr>
              <w:t>4,</w:t>
            </w:r>
            <w:r w:rsidR="00871AE3">
              <w:rPr>
                <w:rFonts w:ascii="Arial" w:hAnsi="Arial" w:cs="Arial"/>
                <w:color w:val="000000"/>
                <w:sz w:val="16"/>
                <w:szCs w:val="16"/>
              </w:rPr>
              <w:t xml:space="preserve"> D-</w:t>
            </w:r>
            <w:r w:rsidR="00A2289E">
              <w:rPr>
                <w:rFonts w:ascii="Arial" w:hAnsi="Arial" w:cs="Arial"/>
                <w:color w:val="000000"/>
                <w:sz w:val="16"/>
                <w:szCs w:val="16"/>
              </w:rPr>
              <w:t>6,</w:t>
            </w:r>
            <w:r w:rsidR="00871AE3">
              <w:rPr>
                <w:rFonts w:ascii="Arial" w:hAnsi="Arial" w:cs="Arial"/>
                <w:color w:val="000000"/>
                <w:sz w:val="16"/>
                <w:szCs w:val="16"/>
              </w:rPr>
              <w:t xml:space="preserve"> and </w:t>
            </w:r>
            <w:r w:rsidR="00A2289E">
              <w:rPr>
                <w:rFonts w:ascii="Arial" w:hAnsi="Arial" w:cs="Arial"/>
                <w:color w:val="000000"/>
                <w:sz w:val="16"/>
                <w:szCs w:val="16"/>
              </w:rPr>
              <w:t>Major Rehab</w:t>
            </w:r>
            <w:r w:rsidR="00871AE3">
              <w:rPr>
                <w:rFonts w:ascii="Arial" w:hAnsi="Arial" w:cs="Arial"/>
                <w:color w:val="000000"/>
                <w:sz w:val="16"/>
                <w:szCs w:val="16"/>
              </w:rPr>
              <w:t xml:space="preserve"> do not apply to pavements with predominant Curb &amp; Gutter.</w:t>
            </w:r>
            <w:r w:rsidR="007E1D5E">
              <w:rPr>
                <w:rFonts w:ascii="Arial" w:hAnsi="Arial" w:cs="Arial"/>
                <w:color w:val="000000"/>
                <w:sz w:val="16"/>
                <w:szCs w:val="16"/>
              </w:rPr>
              <w:t xml:space="preserve">  </w:t>
            </w:r>
            <w:r w:rsidR="007E1D5E">
              <w:rPr>
                <w:rFonts w:ascii="Arial" w:eastAsia="Arial" w:hAnsi="Arial" w:cs="Arial"/>
                <w:sz w:val="16"/>
              </w:rPr>
              <w:t>Click to go</w:t>
            </w:r>
            <w:r w:rsidR="007E1D5E" w:rsidRPr="00982DB5">
              <w:rPr>
                <w:rFonts w:ascii="Arial" w:eastAsia="Arial" w:hAnsi="Arial" w:cs="Arial"/>
                <w:sz w:val="16"/>
                <w:szCs w:val="16"/>
              </w:rPr>
              <w:t xml:space="preserve"> to</w:t>
            </w:r>
            <w:r w:rsidR="007E1D5E" w:rsidRPr="00982DB5">
              <w:rPr>
                <w:rFonts w:ascii="Arial" w:hAnsi="Arial" w:cs="Arial"/>
                <w:bCs/>
                <w:sz w:val="16"/>
                <w:szCs w:val="16"/>
              </w:rPr>
              <w:t xml:space="preserve"> </w:t>
            </w:r>
            <w:hyperlink w:anchor="_Initial_Treatment_Identification" w:history="1">
              <w:r w:rsidR="007E1D5E" w:rsidRPr="007E1D5E">
                <w:rPr>
                  <w:rStyle w:val="Hyperlink"/>
                  <w:rFonts w:ascii="Arial" w:hAnsi="Arial" w:cs="Arial"/>
                  <w:bCs/>
                  <w:sz w:val="16"/>
                  <w:szCs w:val="16"/>
                </w:rPr>
                <w:t>Initial Treatment Identification – Pavement Preservation Guide</w:t>
              </w:r>
            </w:hyperlink>
            <w:r w:rsidR="00E7268C">
              <w:rPr>
                <w:rStyle w:val="Hyperlink"/>
                <w:rFonts w:ascii="Arial" w:hAnsi="Arial" w:cs="Arial"/>
                <w:bCs/>
                <w:sz w:val="16"/>
                <w:szCs w:val="16"/>
              </w:rPr>
              <w:t>.</w:t>
            </w:r>
          </w:p>
        </w:tc>
      </w:tr>
      <w:tr w:rsidR="002417C7" w:rsidRPr="00945156" w14:paraId="23967A71" w14:textId="77777777" w:rsidTr="00052EEE">
        <w:trPr>
          <w:trHeight w:val="735"/>
        </w:trPr>
        <w:tc>
          <w:tcPr>
            <w:tcW w:w="2726" w:type="dxa"/>
            <w:gridSpan w:val="4"/>
            <w:tcBorders>
              <w:top w:val="single" w:sz="24" w:space="0" w:color="auto"/>
              <w:left w:val="single" w:sz="24" w:space="0" w:color="auto"/>
              <w:bottom w:val="single" w:sz="6" w:space="0" w:color="auto"/>
              <w:right w:val="single" w:sz="6" w:space="0" w:color="auto"/>
            </w:tcBorders>
            <w:noWrap/>
            <w:vAlign w:val="center"/>
            <w:hideMark/>
          </w:tcPr>
          <w:p w14:paraId="4457BCE3" w14:textId="77777777" w:rsidR="002417C7" w:rsidRPr="00945156" w:rsidRDefault="002417C7" w:rsidP="00133518">
            <w:pPr>
              <w:jc w:val="center"/>
              <w:rPr>
                <w:rFonts w:ascii="Bell MT" w:hAnsi="Bell MT" w:cs="Arial"/>
                <w:b/>
                <w:bCs/>
                <w:color w:val="000000"/>
                <w:sz w:val="40"/>
                <w:szCs w:val="40"/>
              </w:rPr>
            </w:pPr>
            <w:r w:rsidRPr="00945156">
              <w:rPr>
                <w:rFonts w:ascii="Bell MT" w:hAnsi="Bell MT" w:cs="Arial"/>
                <w:b/>
                <w:bCs/>
                <w:color w:val="000000"/>
                <w:sz w:val="40"/>
                <w:szCs w:val="40"/>
              </w:rPr>
              <w:lastRenderedPageBreak/>
              <w:t xml:space="preserve">Table </w:t>
            </w:r>
            <w:r>
              <w:rPr>
                <w:rFonts w:ascii="Bell MT" w:hAnsi="Bell MT" w:cs="Arial"/>
                <w:b/>
                <w:bCs/>
                <w:color w:val="000000"/>
                <w:sz w:val="40"/>
                <w:szCs w:val="40"/>
              </w:rPr>
              <w:t>V</w:t>
            </w:r>
          </w:p>
        </w:tc>
        <w:tc>
          <w:tcPr>
            <w:tcW w:w="10163" w:type="dxa"/>
            <w:gridSpan w:val="9"/>
            <w:tcBorders>
              <w:top w:val="single" w:sz="24" w:space="0" w:color="auto"/>
              <w:left w:val="single" w:sz="6" w:space="0" w:color="auto"/>
              <w:bottom w:val="single" w:sz="6" w:space="0" w:color="auto"/>
              <w:right w:val="single" w:sz="24" w:space="0" w:color="auto"/>
            </w:tcBorders>
            <w:vAlign w:val="center"/>
            <w:hideMark/>
          </w:tcPr>
          <w:p w14:paraId="74F62FD8" w14:textId="7BDF0F9B" w:rsidR="002417C7" w:rsidRPr="00945156" w:rsidRDefault="002417C7" w:rsidP="00133518">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ADT: 4,000</w:t>
            </w:r>
            <w:r>
              <w:rPr>
                <w:rFonts w:ascii="Arial" w:hAnsi="Arial" w:cs="Arial"/>
                <w:b/>
                <w:bCs/>
                <w:color w:val="000000"/>
                <w:sz w:val="18"/>
                <w:szCs w:val="18"/>
              </w:rPr>
              <w:t xml:space="preserve"> to ≤ 25,000</w:t>
            </w:r>
            <w:r w:rsidRPr="00945156">
              <w:rPr>
                <w:rFonts w:ascii="Arial" w:hAnsi="Arial" w:cs="Arial"/>
                <w:b/>
                <w:bCs/>
                <w:color w:val="000000"/>
                <w:sz w:val="18"/>
                <w:szCs w:val="18"/>
              </w:rPr>
              <w:br/>
              <w:t xml:space="preserve">IRI: </w:t>
            </w:r>
            <w:r>
              <w:rPr>
                <w:rFonts w:ascii="Arial" w:hAnsi="Arial" w:cs="Arial"/>
                <w:b/>
                <w:bCs/>
                <w:color w:val="000000"/>
                <w:sz w:val="18"/>
                <w:szCs w:val="18"/>
              </w:rPr>
              <w:t>1</w:t>
            </w:r>
            <w:r w:rsidR="001E70D2">
              <w:rPr>
                <w:rFonts w:ascii="Arial" w:hAnsi="Arial" w:cs="Arial"/>
                <w:b/>
                <w:bCs/>
                <w:color w:val="000000"/>
                <w:sz w:val="18"/>
                <w:szCs w:val="18"/>
              </w:rPr>
              <w:t>2</w:t>
            </w:r>
            <w:r>
              <w:rPr>
                <w:rFonts w:ascii="Arial" w:hAnsi="Arial" w:cs="Arial"/>
                <w:b/>
                <w:bCs/>
                <w:color w:val="000000"/>
                <w:sz w:val="18"/>
                <w:szCs w:val="18"/>
              </w:rPr>
              <w:t>1</w:t>
            </w:r>
            <w:r w:rsidRPr="00945156">
              <w:rPr>
                <w:rFonts w:ascii="Arial" w:hAnsi="Arial" w:cs="Arial"/>
                <w:b/>
                <w:bCs/>
                <w:color w:val="000000"/>
                <w:sz w:val="18"/>
                <w:szCs w:val="18"/>
              </w:rPr>
              <w:t xml:space="preserve"> </w:t>
            </w:r>
            <w:r>
              <w:rPr>
                <w:rFonts w:ascii="Arial" w:hAnsi="Arial" w:cs="Arial"/>
                <w:b/>
                <w:bCs/>
                <w:color w:val="000000"/>
                <w:sz w:val="18"/>
                <w:szCs w:val="18"/>
              </w:rPr>
              <w:t>to ≤</w:t>
            </w:r>
            <w:r w:rsidRPr="00945156">
              <w:rPr>
                <w:rFonts w:ascii="Arial" w:hAnsi="Arial" w:cs="Arial"/>
                <w:b/>
                <w:bCs/>
                <w:color w:val="000000"/>
                <w:sz w:val="18"/>
                <w:szCs w:val="18"/>
              </w:rPr>
              <w:t xml:space="preserve"> 1</w:t>
            </w:r>
            <w:r>
              <w:rPr>
                <w:rFonts w:ascii="Arial" w:hAnsi="Arial" w:cs="Arial"/>
                <w:b/>
                <w:bCs/>
                <w:color w:val="000000"/>
                <w:sz w:val="18"/>
                <w:szCs w:val="18"/>
              </w:rPr>
              <w:t>7</w:t>
            </w:r>
            <w:r w:rsidRPr="00945156">
              <w:rPr>
                <w:rFonts w:ascii="Arial" w:hAnsi="Arial" w:cs="Arial"/>
                <w:b/>
                <w:bCs/>
                <w:color w:val="000000"/>
                <w:sz w:val="18"/>
                <w:szCs w:val="18"/>
              </w:rPr>
              <w:t>0</w:t>
            </w:r>
          </w:p>
        </w:tc>
      </w:tr>
      <w:tr w:rsidR="002417C7" w:rsidRPr="00945156" w14:paraId="4352870D" w14:textId="77777777" w:rsidTr="00052EEE">
        <w:trPr>
          <w:trHeight w:val="465"/>
        </w:trPr>
        <w:tc>
          <w:tcPr>
            <w:tcW w:w="621" w:type="dxa"/>
            <w:tcBorders>
              <w:top w:val="single" w:sz="6" w:space="0" w:color="auto"/>
              <w:left w:val="single" w:sz="24" w:space="0" w:color="auto"/>
              <w:bottom w:val="single" w:sz="24" w:space="0" w:color="auto"/>
              <w:right w:val="single" w:sz="6" w:space="0" w:color="auto"/>
            </w:tcBorders>
            <w:vAlign w:val="center"/>
            <w:hideMark/>
          </w:tcPr>
          <w:p w14:paraId="5EE3F606" w14:textId="67F60FF2"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604" w:type="dxa"/>
            <w:tcBorders>
              <w:top w:val="single" w:sz="6" w:space="0" w:color="auto"/>
              <w:left w:val="single" w:sz="6" w:space="0" w:color="auto"/>
              <w:bottom w:val="single" w:sz="24" w:space="0" w:color="auto"/>
              <w:right w:val="single" w:sz="6" w:space="0" w:color="auto"/>
            </w:tcBorders>
            <w:vAlign w:val="center"/>
            <w:hideMark/>
          </w:tcPr>
          <w:p w14:paraId="6A622E20" w14:textId="65CE9EA6"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712" w:type="dxa"/>
            <w:tcBorders>
              <w:top w:val="single" w:sz="6" w:space="0" w:color="auto"/>
              <w:left w:val="single" w:sz="6" w:space="0" w:color="auto"/>
              <w:bottom w:val="single" w:sz="24" w:space="0" w:color="auto"/>
              <w:right w:val="single" w:sz="6" w:space="0" w:color="auto"/>
            </w:tcBorders>
            <w:vAlign w:val="center"/>
            <w:hideMark/>
          </w:tcPr>
          <w:p w14:paraId="53907BAF" w14:textId="77777777" w:rsidR="002417C7" w:rsidRPr="00945156" w:rsidRDefault="002417C7" w:rsidP="00133518">
            <w:pPr>
              <w:jc w:val="center"/>
              <w:rPr>
                <w:rFonts w:ascii="Arial" w:hAnsi="Arial" w:cs="Arial"/>
                <w:b/>
                <w:bCs/>
                <w:color w:val="000000"/>
                <w:sz w:val="16"/>
                <w:szCs w:val="16"/>
              </w:rPr>
            </w:pPr>
            <w:r>
              <w:rPr>
                <w:rFonts w:ascii="Arial" w:hAnsi="Arial" w:cs="Arial"/>
                <w:b/>
                <w:bCs/>
                <w:color w:val="000000"/>
                <w:sz w:val="16"/>
                <w:szCs w:val="16"/>
              </w:rPr>
              <w:t>Skid</w:t>
            </w:r>
          </w:p>
        </w:tc>
        <w:tc>
          <w:tcPr>
            <w:tcW w:w="789" w:type="dxa"/>
            <w:tcBorders>
              <w:top w:val="single" w:sz="6" w:space="0" w:color="auto"/>
              <w:left w:val="single" w:sz="6" w:space="0" w:color="auto"/>
              <w:bottom w:val="single" w:sz="24" w:space="0" w:color="auto"/>
              <w:right w:val="single" w:sz="6" w:space="0" w:color="auto"/>
            </w:tcBorders>
            <w:vAlign w:val="center"/>
            <w:hideMark/>
          </w:tcPr>
          <w:p w14:paraId="68E5BE4A"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61" w:type="dxa"/>
            <w:tcBorders>
              <w:top w:val="single" w:sz="6" w:space="0" w:color="auto"/>
              <w:left w:val="single" w:sz="6" w:space="0" w:color="auto"/>
              <w:bottom w:val="single" w:sz="24" w:space="0" w:color="auto"/>
              <w:right w:val="single" w:sz="6" w:space="0" w:color="auto"/>
            </w:tcBorders>
            <w:vAlign w:val="center"/>
            <w:hideMark/>
          </w:tcPr>
          <w:p w14:paraId="50C2154B"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23" w:type="dxa"/>
            <w:tcBorders>
              <w:top w:val="single" w:sz="6" w:space="0" w:color="auto"/>
              <w:left w:val="single" w:sz="6" w:space="0" w:color="auto"/>
              <w:bottom w:val="single" w:sz="24" w:space="0" w:color="auto"/>
              <w:right w:val="single" w:sz="6" w:space="0" w:color="auto"/>
            </w:tcBorders>
            <w:vAlign w:val="center"/>
            <w:hideMark/>
          </w:tcPr>
          <w:p w14:paraId="40B7B41D"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340" w:type="dxa"/>
            <w:tcBorders>
              <w:top w:val="single" w:sz="6" w:space="0" w:color="auto"/>
              <w:left w:val="single" w:sz="6" w:space="0" w:color="auto"/>
              <w:bottom w:val="single" w:sz="24" w:space="0" w:color="auto"/>
              <w:right w:val="single" w:sz="6" w:space="0" w:color="auto"/>
            </w:tcBorders>
            <w:vAlign w:val="center"/>
            <w:hideMark/>
          </w:tcPr>
          <w:p w14:paraId="62859C84"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04" w:type="dxa"/>
            <w:tcBorders>
              <w:top w:val="single" w:sz="6" w:space="0" w:color="auto"/>
              <w:left w:val="single" w:sz="6" w:space="0" w:color="auto"/>
              <w:bottom w:val="single" w:sz="24" w:space="0" w:color="auto"/>
              <w:right w:val="single" w:sz="6" w:space="0" w:color="auto"/>
            </w:tcBorders>
            <w:vAlign w:val="center"/>
            <w:hideMark/>
          </w:tcPr>
          <w:p w14:paraId="3AD267F1" w14:textId="42A945D5"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sidR="00A2289E">
              <w:rPr>
                <w:rFonts w:ascii="Arial" w:hAnsi="Arial" w:cs="Arial"/>
                <w:b/>
                <w:bCs/>
                <w:color w:val="000000"/>
                <w:sz w:val="16"/>
                <w:szCs w:val="16"/>
              </w:rPr>
              <w:t>Asphalt</w:t>
            </w:r>
            <w:r w:rsidRPr="00945156">
              <w:rPr>
                <w:rFonts w:ascii="Arial" w:hAnsi="Arial" w:cs="Arial"/>
                <w:b/>
                <w:bCs/>
                <w:color w:val="000000"/>
                <w:sz w:val="16"/>
                <w:szCs w:val="16"/>
              </w:rPr>
              <w:t xml:space="preserve"> Overlay</w:t>
            </w:r>
            <w:r w:rsidR="00A24BAA">
              <w:rPr>
                <w:rFonts w:ascii="Arial" w:hAnsi="Arial" w:cs="Arial"/>
                <w:b/>
                <w:bCs/>
                <w:color w:val="000000"/>
                <w:sz w:val="16"/>
                <w:szCs w:val="16"/>
              </w:rPr>
              <w:t>**</w:t>
            </w:r>
          </w:p>
        </w:tc>
        <w:tc>
          <w:tcPr>
            <w:tcW w:w="897" w:type="dxa"/>
            <w:tcBorders>
              <w:top w:val="single" w:sz="6" w:space="0" w:color="auto"/>
              <w:left w:val="single" w:sz="6" w:space="0" w:color="auto"/>
              <w:bottom w:val="single" w:sz="24" w:space="0" w:color="auto"/>
              <w:right w:val="single" w:sz="6" w:space="0" w:color="auto"/>
            </w:tcBorders>
            <w:vAlign w:val="center"/>
            <w:hideMark/>
          </w:tcPr>
          <w:p w14:paraId="34EA6949"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897" w:type="dxa"/>
            <w:tcBorders>
              <w:top w:val="single" w:sz="6" w:space="0" w:color="auto"/>
              <w:left w:val="single" w:sz="6" w:space="0" w:color="auto"/>
              <w:bottom w:val="single" w:sz="24" w:space="0" w:color="auto"/>
              <w:right w:val="single" w:sz="6" w:space="0" w:color="auto"/>
            </w:tcBorders>
            <w:vAlign w:val="center"/>
            <w:hideMark/>
          </w:tcPr>
          <w:p w14:paraId="1FD5DC1B" w14:textId="72E8DC0F"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F. </w:t>
            </w:r>
            <w:r w:rsidR="00A2289E">
              <w:rPr>
                <w:rFonts w:ascii="Arial" w:hAnsi="Arial" w:cs="Arial"/>
                <w:b/>
                <w:bCs/>
                <w:color w:val="000000"/>
                <w:sz w:val="16"/>
                <w:szCs w:val="16"/>
              </w:rPr>
              <w:t>Spot Repair</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6A69AF54" w14:textId="6A4F29ED"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G</w:t>
            </w:r>
            <w:r w:rsidR="002417C7" w:rsidRPr="00945156">
              <w:rPr>
                <w:rFonts w:ascii="Arial" w:hAnsi="Arial" w:cs="Arial"/>
                <w:b/>
                <w:bCs/>
                <w:color w:val="000000"/>
                <w:sz w:val="16"/>
                <w:szCs w:val="16"/>
              </w:rPr>
              <w:t xml:space="preserve">. </w:t>
            </w:r>
            <w:r w:rsidR="002417C7">
              <w:rPr>
                <w:rFonts w:ascii="Arial" w:hAnsi="Arial" w:cs="Arial"/>
                <w:b/>
                <w:bCs/>
                <w:color w:val="000000"/>
                <w:sz w:val="16"/>
                <w:szCs w:val="16"/>
              </w:rPr>
              <w:t>Surface Texturizing</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73781A34" w14:textId="7A085A50"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H</w:t>
            </w:r>
            <w:r w:rsidR="002417C7" w:rsidRPr="00945156">
              <w:rPr>
                <w:rFonts w:ascii="Arial" w:hAnsi="Arial" w:cs="Arial"/>
                <w:b/>
                <w:bCs/>
                <w:color w:val="000000"/>
                <w:sz w:val="16"/>
                <w:szCs w:val="16"/>
              </w:rPr>
              <w:t>. Major Rehab</w:t>
            </w:r>
            <w:r w:rsidR="00354BE0">
              <w:rPr>
                <w:rFonts w:ascii="Arial" w:hAnsi="Arial" w:cs="Arial"/>
                <w:b/>
                <w:bCs/>
                <w:color w:val="000000"/>
                <w:sz w:val="16"/>
                <w:szCs w:val="16"/>
              </w:rPr>
              <w:t>**</w:t>
            </w:r>
          </w:p>
        </w:tc>
        <w:tc>
          <w:tcPr>
            <w:tcW w:w="987" w:type="dxa"/>
            <w:tcBorders>
              <w:top w:val="single" w:sz="6" w:space="0" w:color="auto"/>
              <w:left w:val="single" w:sz="6" w:space="0" w:color="auto"/>
              <w:bottom w:val="single" w:sz="24" w:space="0" w:color="auto"/>
              <w:right w:val="single" w:sz="24" w:space="0" w:color="auto"/>
            </w:tcBorders>
            <w:vAlign w:val="center"/>
            <w:hideMark/>
          </w:tcPr>
          <w:p w14:paraId="61924449" w14:textId="2D7D9A83"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r w:rsidRPr="00945156">
              <w:rPr>
                <w:rFonts w:ascii="Arial" w:hAnsi="Arial" w:cs="Arial"/>
                <w:b/>
                <w:bCs/>
                <w:color w:val="000000"/>
                <w:sz w:val="16"/>
                <w:szCs w:val="16"/>
              </w:rPr>
              <w:t>struction</w:t>
            </w:r>
          </w:p>
        </w:tc>
      </w:tr>
      <w:tr w:rsidR="00115674" w:rsidRPr="00945156" w14:paraId="7FBDCA44" w14:textId="77777777" w:rsidTr="00052EEE">
        <w:trPr>
          <w:trHeight w:val="195"/>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6F1F2DD4"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≥25</w:t>
            </w:r>
          </w:p>
          <w:p w14:paraId="5013D217" w14:textId="1D79894B"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236FAA6D" w14:textId="5A94D38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0DE9EAE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61E6129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5264D15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0BF312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1CD4A0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7B9DFCD4" w14:textId="1A84586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24" w:space="0" w:color="auto"/>
              <w:left w:val="single" w:sz="6" w:space="0" w:color="auto"/>
              <w:bottom w:val="single" w:sz="6" w:space="0" w:color="auto"/>
              <w:right w:val="single" w:sz="6" w:space="0" w:color="auto"/>
            </w:tcBorders>
            <w:shd w:val="clear" w:color="auto" w:fill="FFFFFF" w:themeFill="background1"/>
            <w:noWrap/>
            <w:vAlign w:val="center"/>
            <w:hideMark/>
          </w:tcPr>
          <w:p w14:paraId="76F95A35" w14:textId="0021D25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E-1</w:t>
            </w:r>
            <w:r w:rsidR="002417C7"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70693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2582CA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noWrap/>
            <w:vAlign w:val="center"/>
            <w:hideMark/>
          </w:tcPr>
          <w:p w14:paraId="7BB673C9" w14:textId="5D2D00E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p>
        </w:tc>
        <w:tc>
          <w:tcPr>
            <w:tcW w:w="987" w:type="dxa"/>
            <w:tcBorders>
              <w:top w:val="single" w:sz="24" w:space="0" w:color="auto"/>
              <w:left w:val="single" w:sz="6" w:space="0" w:color="auto"/>
              <w:bottom w:val="single" w:sz="6" w:space="0" w:color="auto"/>
              <w:right w:val="single" w:sz="24" w:space="0" w:color="auto"/>
            </w:tcBorders>
            <w:noWrap/>
            <w:vAlign w:val="center"/>
            <w:hideMark/>
          </w:tcPr>
          <w:p w14:paraId="2184D3CB" w14:textId="7A36120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p>
        </w:tc>
      </w:tr>
      <w:tr w:rsidR="00115674" w:rsidRPr="00945156" w14:paraId="73B4AE4E"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F05836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18E9ABA"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6D28DA9"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6691802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6EE7C2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61F085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F90CA3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50A9EE61" w14:textId="5C16040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222ACFA3" w14:textId="761402D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F6C763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F00A35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36879F71" w14:textId="2D52371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0BFC9389" w14:textId="4CD505B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793F3C2"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58FE7B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CBA0BD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7863EF6B"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CE4D94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2713B8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D04D09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CC29C4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40F11EF6" w14:textId="5D7F888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7D3DA9CA" w14:textId="7F435AB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1A7B63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A059A4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23FC1772" w14:textId="148A976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191C23BE" w14:textId="1A8E412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5F5C1F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1FB3B1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E176EA7"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33FCA91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7EF0194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5C06493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833215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C92CB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06860C19" w14:textId="5E66ADC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5F8ACD48" w14:textId="4DDC50D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AF237D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954460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610EA8F2" w14:textId="2BC91A3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0A742D2D" w14:textId="617FA05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C38E7C1"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01FA19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886C472"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52B11CC"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0056846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1222D7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DADB4A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BF7472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08719E34" w14:textId="1F5BEE7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09CEEE43" w14:textId="64860CE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2972AB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C4FDA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7E747C33" w14:textId="692B57D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55CD9E25" w14:textId="3CB0D03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0470C8E"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E1FA9A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FBD7EDB"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03B88110"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83BEC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DF4571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1BE9CF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898C11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573477E1" w14:textId="06241FD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12E7DB7E" w14:textId="74EC312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3DC21B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F05C15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6AD632D7" w14:textId="3D96E0D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366949F5" w14:textId="28B0403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64D8BE5"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0B9612D"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22D1E107" w14:textId="7FA0F0E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68B29E0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2766A17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274CD09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8EABE1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08C648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54F8A05F" w14:textId="5C46D25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612D51EC" w14:textId="5539262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2ACBCC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7D2E34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5066E5FA" w14:textId="24EC7BE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16917BF8" w14:textId="3541A4D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1E61085"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7FCAFE0"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3F3FC7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22A38A2"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8CB3D9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1805F60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7BBB81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793275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35A4480" w14:textId="3DA57F8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5902A5EF" w14:textId="7A3D104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5A4ADF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9B1FAE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2BF234AC" w14:textId="152E91D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05DB8766" w14:textId="5344883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873BAD9"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214AE90"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E798188"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66B3997"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1A8D38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36AD82D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981BD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14B50C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0167165A" w14:textId="0B7DDC0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6AD11A50" w14:textId="333DD93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72EB61E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B18B80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0E5808C2" w14:textId="7263DDA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6254C0C2" w14:textId="1A125BF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F7F994F"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AD41802"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5A9E442"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11A6A88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419BC99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0906B9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F7C1DE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793FA8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72FF4EE1" w14:textId="4D5E03B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47820A45" w14:textId="12478EB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2D0CEB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F96E73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5B304327" w14:textId="0E8B790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658D0ED9" w14:textId="523BE27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EF8AB1D"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D295CE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6DE688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D5CF5FC"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1255907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79365B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CB10F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FBD65E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7FFAD7D5" w14:textId="5344D89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5536F7D2" w14:textId="3A08C37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8CE0D6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3E5FC2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3906E059" w14:textId="2FA48ED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57D9860E" w14:textId="0C7D003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48B87DB"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34C9642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2D152116"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1EA323CF"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73A1755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142087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3F02648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9D8212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537BD9C3" w14:textId="3399BAE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515DE176" w14:textId="54BAE27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199F3A9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C9895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54AEB12B" w14:textId="1FE089B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24" w:space="0" w:color="auto"/>
              <w:right w:val="single" w:sz="24" w:space="0" w:color="auto"/>
            </w:tcBorders>
            <w:noWrap/>
            <w:vAlign w:val="center"/>
            <w:hideMark/>
          </w:tcPr>
          <w:p w14:paraId="4CCFA220" w14:textId="60D7D49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EC91D0B"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7A47EE26" w14:textId="530301B7" w:rsidR="00A2289E" w:rsidRDefault="00A2289E" w:rsidP="00A2289E">
            <w:pPr>
              <w:jc w:val="center"/>
              <w:rPr>
                <w:rFonts w:ascii="Arial" w:hAnsi="Arial" w:cs="Arial"/>
                <w:color w:val="000000"/>
                <w:sz w:val="14"/>
                <w:szCs w:val="14"/>
              </w:rPr>
            </w:pPr>
            <w:r>
              <w:rPr>
                <w:rFonts w:ascii="Arial" w:hAnsi="Arial" w:cs="Arial"/>
                <w:color w:val="000000"/>
                <w:sz w:val="14"/>
                <w:szCs w:val="14"/>
              </w:rPr>
              <w:t>≥5</w:t>
            </w:r>
            <w:r w:rsidR="002417C7">
              <w:rPr>
                <w:rFonts w:ascii="Arial" w:hAnsi="Arial" w:cs="Arial"/>
                <w:color w:val="000000"/>
                <w:sz w:val="14"/>
                <w:szCs w:val="14"/>
              </w:rPr>
              <w:t xml:space="preserve"> to </w:t>
            </w:r>
            <w:r>
              <w:rPr>
                <w:rFonts w:ascii="Arial" w:hAnsi="Arial" w:cs="Arial"/>
                <w:color w:val="000000"/>
                <w:sz w:val="14"/>
                <w:szCs w:val="14"/>
              </w:rPr>
              <w:t>&lt;25</w:t>
            </w:r>
          </w:p>
          <w:p w14:paraId="07E7BB6C" w14:textId="16207F02"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600DD00F" w14:textId="77B532D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0CF3C7A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7F3E792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1ABB9F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2AEA3C5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718C24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0BE2B368" w14:textId="7D6D188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3094F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auto" w:fill="FFFFFF" w:themeFill="background1"/>
            <w:noWrap/>
            <w:vAlign w:val="center"/>
            <w:hideMark/>
          </w:tcPr>
          <w:p w14:paraId="673C06F1" w14:textId="523B1F6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4E327C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97A3ADD" w14:textId="5D5307ED" w:rsidR="002417C7" w:rsidRPr="00945156" w:rsidRDefault="002417C7" w:rsidP="00133518">
            <w:pPr>
              <w:jc w:val="center"/>
              <w:rPr>
                <w:rFonts w:ascii="Arial" w:hAnsi="Arial" w:cs="Arial"/>
                <w:color w:val="000000"/>
                <w:sz w:val="14"/>
                <w:szCs w:val="14"/>
              </w:rPr>
            </w:pP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130F8E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403B9B1"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46BFD27"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DDB6B0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35A6C02B"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927016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86E50D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B213D2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534A9B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60606896" w14:textId="5563E5F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6D9933C8" w14:textId="0E455C1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29647213" w14:textId="15EA253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D79047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6AD2098" w14:textId="74791608"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AC85F7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D6B2867"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DF7843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B97B4FA"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6606BED9"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BD4777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10F86BB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548667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59035D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686EDCBC" w14:textId="167F43C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001711C3" w14:textId="060136C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101103D0" w14:textId="779E338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7CC0F3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A709181" w14:textId="2B56D0D4"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7B8AF87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2EC8A57"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2F9C75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36233B8"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966FA2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E96871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FCAA6D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C70A77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8D5034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1EEC8BF9" w14:textId="3C9611B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3C2919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0A594327" w14:textId="4258F61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D71E04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4B4A9C1" w14:textId="64322B89"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1E114E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B0D3291"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783CE9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69996C2"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D394C6B"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4A358AB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316C92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C30762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A316F7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58EFD88" w14:textId="73BD1E5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79A10C31" w14:textId="217B9C8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325DA013" w14:textId="1E30D85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CD2BE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BE3779D" w14:textId="39425F01"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0709B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A9DF6D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459A856"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E9BC5E7"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690426E0"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F54583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41C9CF1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61B52C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144059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79987083" w14:textId="6014F97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682143EE" w14:textId="1E659F7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5F37E27E" w14:textId="3BA407B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DF8DE3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F724AD5" w14:textId="1FB2277D"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EADBFA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073F1F4"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9140833"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508B61CC" w14:textId="2556CB9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E339DB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6D36175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F2A8F1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EBF620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F1FB09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7DC707E4" w14:textId="0DCCE46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786B11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65446B30" w14:textId="48A02AE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CD0F4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736C644" w14:textId="08640683"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B60ED1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E7DD51C"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B1607B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733BF4C"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73E6DB8"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6104250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70C662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1B91C9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58A04D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3AE8E3AE" w14:textId="005A8C1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137364CD" w14:textId="7B65B3D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CEED71A" w14:textId="07B0C07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1BED6F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14A79E3" w14:textId="2CBBE554"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132A20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9A13F8F"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C65576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6D80302"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37F83ADE"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8F73A0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4F790CA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1E7702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6C59FC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769007AF" w14:textId="7522020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0E83B5B8" w14:textId="65149CA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6DDF121B" w14:textId="62CA1BE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1C693D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A2266A9" w14:textId="34B48F99"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74C94D2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5AE6315"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A1036E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B18041B"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336249C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CB4A26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8C6CD6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DC240D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03EEEF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49637385" w14:textId="0DF5BE5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75388B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2AB08E54" w14:textId="602F274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250E8A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4FB55F3" w14:textId="27930C2F"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91CEC9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3FAE263"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E1BF5D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1B42C4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781459F7"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FCC4A5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1B4C2AC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412830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538FF0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569D8451" w14:textId="4F4729F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73E9F529" w14:textId="5D2E9EF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716F08A6" w14:textId="609584C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BABB1B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4CE1C4B" w14:textId="78228A40"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220160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720893C"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2ACBDED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6A31712A"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05CF50E5"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7D5F259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4632589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47C816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77E08C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09231CB3" w14:textId="1A9FE4B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2310BC2C" w14:textId="14902DD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540F9FDA" w14:textId="7A3C21E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6744D0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66BCEA46" w14:textId="03155629"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787477B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78B05E4"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6FEE1BC5"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&lt;5</w:t>
            </w:r>
          </w:p>
          <w:p w14:paraId="263D84A9" w14:textId="14B4DB81"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21171446" w14:textId="7955B35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0D7182D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56B561E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auto" w:fill="FFFFFF" w:themeFill="background1"/>
            <w:vAlign w:val="center"/>
            <w:hideMark/>
          </w:tcPr>
          <w:p w14:paraId="07798EB2" w14:textId="184E718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A-1</w:t>
            </w:r>
          </w:p>
        </w:tc>
        <w:tc>
          <w:tcPr>
            <w:tcW w:w="1223"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D6409D8" w14:textId="77777777" w:rsidR="002417C7" w:rsidRPr="00945156" w:rsidRDefault="002417C7" w:rsidP="00133518">
            <w:pPr>
              <w:jc w:val="center"/>
              <w:rPr>
                <w:rFonts w:ascii="Arial" w:hAnsi="Arial" w:cs="Arial"/>
                <w:color w:val="000000"/>
                <w:sz w:val="14"/>
                <w:szCs w:val="14"/>
              </w:rPr>
            </w:pPr>
          </w:p>
        </w:tc>
        <w:tc>
          <w:tcPr>
            <w:tcW w:w="1340" w:type="dxa"/>
            <w:tcBorders>
              <w:top w:val="single" w:sz="24" w:space="0" w:color="auto"/>
              <w:left w:val="single" w:sz="6" w:space="0" w:color="auto"/>
              <w:bottom w:val="single" w:sz="6" w:space="0" w:color="auto"/>
              <w:right w:val="single" w:sz="6" w:space="0" w:color="auto"/>
            </w:tcBorders>
            <w:noWrap/>
            <w:vAlign w:val="center"/>
            <w:hideMark/>
          </w:tcPr>
          <w:p w14:paraId="61DA92BC" w14:textId="67CEC5E8"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193C2C63" w14:textId="3547542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thru D-6</w:t>
            </w:r>
          </w:p>
        </w:tc>
        <w:tc>
          <w:tcPr>
            <w:tcW w:w="89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47F8FA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auto" w:fill="FFFFFF" w:themeFill="background1"/>
            <w:noWrap/>
            <w:vAlign w:val="center"/>
            <w:hideMark/>
          </w:tcPr>
          <w:p w14:paraId="1CB6002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D3000B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598BA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F33212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B7B35CB"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B6DF54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467DC4B"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F7AFCDF"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C439F6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946E239" w14:textId="617C634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A-1</w:t>
            </w: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F617A5A"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noWrap/>
            <w:vAlign w:val="center"/>
            <w:hideMark/>
          </w:tcPr>
          <w:p w14:paraId="199F99C7" w14:textId="0C7381BC"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1ADB1AEC" w14:textId="5E487E1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62A488FA" w14:textId="1E1A53C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r w:rsidRPr="00945156">
              <w:rPr>
                <w:rFonts w:ascii="Arial" w:hAnsi="Arial" w:cs="Arial"/>
                <w:color w:val="000000"/>
                <w:sz w:val="14"/>
                <w:szCs w:val="14"/>
              </w:rPr>
              <w:t> </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5D27D65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5C5649DA" w14:textId="4644CA8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55C1B4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98EEF3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ABD6145"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0CB846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AA39DEB"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1EDF7D1"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6148F6A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FFFFFF" w:themeFill="background1"/>
            <w:vAlign w:val="center"/>
            <w:hideMark/>
          </w:tcPr>
          <w:p w14:paraId="472B2375" w14:textId="2FB5AE7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A-1</w:t>
            </w: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CFC2195"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4FA1486A"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7963EAF0" w14:textId="581BB1C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0938F0A0" w14:textId="67EF676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6873F24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43228AEC" w14:textId="39810E3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F38669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51C557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DC5AB6E"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E4956C0"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E91F6EB"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10BA4FE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697B25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4A1D5FA"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F9AA2E7"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noWrap/>
            <w:vAlign w:val="center"/>
            <w:hideMark/>
          </w:tcPr>
          <w:p w14:paraId="0A682B8C" w14:textId="270B40C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595B531A" w14:textId="03B4371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thru D-6</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F9003F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72F49C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2D370DE5" w14:textId="33B2742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G-2</w:t>
            </w:r>
            <w:r w:rsidR="002417C7"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41CD36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0E6B54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25E71C0"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34E62B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12EED5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052EB2F"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8152AB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F156522"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2D5A657"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95B1B0A" w14:textId="601ECD3D"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47293AC1" w14:textId="2389D24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13BFDC14" w14:textId="79544E3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26A963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0E10FF71" w14:textId="18B48B8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D244E8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4E50E3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1933F9E"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C3EA793"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AAF5731"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13B0D3C3"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01B894F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21379941"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CFF1E11"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2315FA6"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0B2F2552" w14:textId="6159A93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2AB76F3E" w14:textId="346BE90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5A3356B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7E91B4D7" w14:textId="47BE51E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6D3959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E1DA01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959A559"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8FC38CA"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4F1B4D30" w14:textId="5FB0F8C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656D0B6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235C6D2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BD4441D"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945E94D"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5A13DD80" w14:textId="2345BC72"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47256FFC" w14:textId="455B317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D-1</w:t>
            </w:r>
            <w:r w:rsidR="002417C7">
              <w:rPr>
                <w:rFonts w:ascii="Arial" w:hAnsi="Arial" w:cs="Arial"/>
                <w:color w:val="000000"/>
                <w:sz w:val="14"/>
                <w:szCs w:val="14"/>
              </w:rPr>
              <w:t xml:space="preserve">, </w:t>
            </w:r>
            <w:r w:rsidR="002417C7" w:rsidRPr="00945156">
              <w:rPr>
                <w:rFonts w:ascii="Arial" w:hAnsi="Arial" w:cs="Arial"/>
                <w:color w:val="000000"/>
                <w:sz w:val="14"/>
                <w:szCs w:val="14"/>
              </w:rPr>
              <w:t>D-3</w:t>
            </w:r>
            <w:r>
              <w:rPr>
                <w:rFonts w:ascii="Arial" w:hAnsi="Arial" w:cs="Arial"/>
                <w:color w:val="000000"/>
                <w:sz w:val="14"/>
                <w:szCs w:val="14"/>
              </w:rPr>
              <w:t xml:space="preserve"> D-4, D-5, D-6</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245F3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5096D277" w14:textId="5E83EC4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514ED3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EDDE4A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199839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3CABED0"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F292658"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8B0BDBB"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F6B9EE1"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EBADF7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21B2414"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6440348"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2A3ED034" w14:textId="56846F3A"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46C615DC" w14:textId="4F278ED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384170E3" w14:textId="3B9EF07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419497BF" w14:textId="5B7B1D4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7C8E47B6" w14:textId="31ABE03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961FC5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F1A6CB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B8D62C0"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4073330"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3439B91"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33B3EF6E"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18F51C1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0E426822"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24A19D6C"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720ED22"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75361454" w14:textId="29C6214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36B6D8B2" w14:textId="48D27A9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auto" w:fill="FFFFFF" w:themeFill="background1"/>
            <w:noWrap/>
            <w:vAlign w:val="center"/>
            <w:hideMark/>
          </w:tcPr>
          <w:p w14:paraId="1FA3FA02" w14:textId="4DB61A5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70BAF44B" w14:textId="30F8A06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F3ACBB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1DA6300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385738C"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A1209E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113F9C8"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66622CF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F64129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D2A054C"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019F14C"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2E4AF5C2" w14:textId="4D2F4F70"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0CC2E4C7" w14:textId="2B074D5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D-1</w:t>
            </w:r>
            <w:r w:rsidR="002417C7">
              <w:rPr>
                <w:rFonts w:ascii="Arial" w:hAnsi="Arial" w:cs="Arial"/>
                <w:color w:val="000000"/>
                <w:sz w:val="14"/>
                <w:szCs w:val="14"/>
              </w:rPr>
              <w:t xml:space="preserve">, </w:t>
            </w:r>
            <w:r w:rsidR="002417C7" w:rsidRPr="00945156">
              <w:rPr>
                <w:rFonts w:ascii="Arial" w:hAnsi="Arial" w:cs="Arial"/>
                <w:color w:val="000000"/>
                <w:sz w:val="14"/>
                <w:szCs w:val="14"/>
              </w:rPr>
              <w:t>D-3</w:t>
            </w:r>
            <w:r>
              <w:rPr>
                <w:rFonts w:ascii="Arial" w:hAnsi="Arial" w:cs="Arial"/>
                <w:color w:val="000000"/>
                <w:sz w:val="14"/>
                <w:szCs w:val="14"/>
              </w:rPr>
              <w:t xml:space="preserve"> D-4, D-5, D-6</w:t>
            </w:r>
          </w:p>
        </w:tc>
        <w:tc>
          <w:tcPr>
            <w:tcW w:w="89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BCF5CD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auto" w:fill="FFFFFF" w:themeFill="background1"/>
            <w:noWrap/>
            <w:vAlign w:val="center"/>
            <w:hideMark/>
          </w:tcPr>
          <w:p w14:paraId="4D2986EF" w14:textId="21CFF0D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4D2A6F11" w14:textId="522F9BC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G-2</w:t>
            </w:r>
            <w:r w:rsidR="002417C7"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FF3BCC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49D59A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304A8B9"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1AEA2E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3ABE748"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4D4A8EB"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D61318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4B73443"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35CA4D0"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242B9B6D" w14:textId="077948CB"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1</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37F67299" w14:textId="2212743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2417C7"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049734CC" w14:textId="3900481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auto" w:fill="FFFFFF" w:themeFill="background1"/>
            <w:noWrap/>
            <w:vAlign w:val="center"/>
            <w:hideMark/>
          </w:tcPr>
          <w:p w14:paraId="37D12816" w14:textId="5ADA14A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6DFBB3C0" w14:textId="52EA392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C2BABD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26BF78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B35B76E"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44C9AC8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07EBAEE7"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77A185D1"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0A97A21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7631BC8B"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6D1B142F"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42E23A4C"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7BE34CBF" w14:textId="7E9EBFB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5A04451B" w14:textId="775B1E3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auto" w:fill="FFFFFF" w:themeFill="background1"/>
            <w:noWrap/>
            <w:vAlign w:val="center"/>
            <w:hideMark/>
          </w:tcPr>
          <w:p w14:paraId="70DBF140" w14:textId="7DA265C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40C3194A" w14:textId="2B2CCA2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7ADFB3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88BEDF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2417C7" w:rsidRPr="00945156" w14:paraId="455EA213" w14:textId="77777777" w:rsidTr="00052EEE">
        <w:trPr>
          <w:trHeight w:val="255"/>
        </w:trPr>
        <w:tc>
          <w:tcPr>
            <w:tcW w:w="12889" w:type="dxa"/>
            <w:gridSpan w:val="13"/>
            <w:tcBorders>
              <w:top w:val="single" w:sz="24" w:space="0" w:color="auto"/>
              <w:left w:val="nil"/>
              <w:bottom w:val="nil"/>
              <w:right w:val="nil"/>
            </w:tcBorders>
            <w:noWrap/>
            <w:vAlign w:val="bottom"/>
            <w:hideMark/>
          </w:tcPr>
          <w:p w14:paraId="56CB03D3" w14:textId="17C075E9" w:rsidR="002417C7" w:rsidRPr="00945156" w:rsidRDefault="002417C7" w:rsidP="00133518">
            <w:pPr>
              <w:rPr>
                <w:rFonts w:ascii="Arial" w:hAnsi="Arial" w:cs="Arial"/>
                <w:color w:val="000000"/>
                <w:sz w:val="16"/>
                <w:szCs w:val="16"/>
              </w:rPr>
            </w:pPr>
            <w:r w:rsidRPr="00945156">
              <w:rPr>
                <w:rFonts w:ascii="Arial" w:hAnsi="Arial" w:cs="Arial"/>
                <w:color w:val="000000"/>
                <w:sz w:val="16"/>
                <w:szCs w:val="16"/>
              </w:rPr>
              <w:t xml:space="preserve">Note: See </w:t>
            </w:r>
            <w:hyperlink w:anchor="_Table_C._List_1" w:history="1">
              <w:r w:rsidRPr="00EE5EE0">
                <w:rPr>
                  <w:rStyle w:val="Hyperlink"/>
                  <w:rFonts w:ascii="Arial" w:hAnsi="Arial" w:cs="Arial"/>
                  <w:sz w:val="16"/>
                  <w:szCs w:val="16"/>
                </w:rPr>
                <w:t xml:space="preserve">Table </w:t>
              </w:r>
              <w:r>
                <w:rPr>
                  <w:rStyle w:val="Hyperlink"/>
                  <w:rFonts w:ascii="Arial" w:hAnsi="Arial" w:cs="Arial"/>
                  <w:sz w:val="16"/>
                  <w:szCs w:val="16"/>
                </w:rPr>
                <w:t>C</w:t>
              </w:r>
            </w:hyperlink>
            <w:r w:rsidRPr="00945156">
              <w:rPr>
                <w:rFonts w:ascii="Arial" w:hAnsi="Arial" w:cs="Arial"/>
                <w:color w:val="000000"/>
                <w:sz w:val="16"/>
                <w:szCs w:val="16"/>
              </w:rPr>
              <w:t xml:space="preserve"> for Treatment Activities</w:t>
            </w:r>
            <w:r w:rsidR="00A2289E">
              <w:rPr>
                <w:rFonts w:ascii="Arial" w:hAnsi="Arial" w:cs="Arial"/>
                <w:color w:val="000000"/>
                <w:sz w:val="16"/>
                <w:szCs w:val="16"/>
              </w:rPr>
              <w:t>*H</w:t>
            </w:r>
            <w:r>
              <w:rPr>
                <w:rFonts w:ascii="Arial" w:hAnsi="Arial" w:cs="Arial"/>
                <w:color w:val="000000"/>
                <w:sz w:val="16"/>
                <w:szCs w:val="16"/>
              </w:rPr>
              <w:t xml:space="preserve">-2 and </w:t>
            </w:r>
            <w:r w:rsidR="00A2289E">
              <w:rPr>
                <w:rFonts w:ascii="Arial" w:hAnsi="Arial" w:cs="Arial"/>
                <w:color w:val="000000"/>
                <w:sz w:val="16"/>
                <w:szCs w:val="16"/>
              </w:rPr>
              <w:t>H</w:t>
            </w:r>
            <w:r>
              <w:rPr>
                <w:rFonts w:ascii="Arial" w:hAnsi="Arial" w:cs="Arial"/>
                <w:color w:val="000000"/>
                <w:sz w:val="16"/>
                <w:szCs w:val="16"/>
              </w:rPr>
              <w:t>-3 apply to composite pavements only.</w:t>
            </w:r>
            <w:r w:rsidR="00A24BAA">
              <w:rPr>
                <w:rFonts w:ascii="Arial" w:hAnsi="Arial" w:cs="Arial"/>
                <w:color w:val="000000"/>
                <w:sz w:val="16"/>
                <w:szCs w:val="16"/>
              </w:rPr>
              <w:t xml:space="preserve">  </w:t>
            </w:r>
            <w:r w:rsidR="00871AE3">
              <w:rPr>
                <w:rFonts w:ascii="Arial" w:hAnsi="Arial" w:cs="Arial"/>
                <w:color w:val="000000"/>
                <w:sz w:val="16"/>
                <w:szCs w:val="16"/>
              </w:rPr>
              <w:t>**</w:t>
            </w:r>
            <w:r w:rsidR="00A2289E">
              <w:rPr>
                <w:rFonts w:ascii="Arial" w:hAnsi="Arial" w:cs="Arial"/>
                <w:color w:val="000000"/>
                <w:sz w:val="16"/>
                <w:szCs w:val="16"/>
              </w:rPr>
              <w:t xml:space="preserve"> </w:t>
            </w:r>
            <w:r w:rsidR="00871AE3">
              <w:rPr>
                <w:rFonts w:ascii="Arial" w:hAnsi="Arial" w:cs="Arial"/>
                <w:color w:val="000000"/>
                <w:sz w:val="16"/>
                <w:szCs w:val="16"/>
              </w:rPr>
              <w:t>D-</w:t>
            </w:r>
            <w:r w:rsidR="00A2289E">
              <w:rPr>
                <w:rFonts w:ascii="Arial" w:hAnsi="Arial" w:cs="Arial"/>
                <w:color w:val="000000"/>
                <w:sz w:val="16"/>
                <w:szCs w:val="16"/>
              </w:rPr>
              <w:t>4,</w:t>
            </w:r>
            <w:r w:rsidR="00871AE3">
              <w:rPr>
                <w:rFonts w:ascii="Arial" w:hAnsi="Arial" w:cs="Arial"/>
                <w:color w:val="000000"/>
                <w:sz w:val="16"/>
                <w:szCs w:val="16"/>
              </w:rPr>
              <w:t xml:space="preserve"> D-</w:t>
            </w:r>
            <w:r w:rsidR="00A2289E">
              <w:rPr>
                <w:rFonts w:ascii="Arial" w:hAnsi="Arial" w:cs="Arial"/>
                <w:color w:val="000000"/>
                <w:sz w:val="16"/>
                <w:szCs w:val="16"/>
              </w:rPr>
              <w:t>6,</w:t>
            </w:r>
            <w:r w:rsidR="00871AE3">
              <w:rPr>
                <w:rFonts w:ascii="Arial" w:hAnsi="Arial" w:cs="Arial"/>
                <w:color w:val="000000"/>
                <w:sz w:val="16"/>
                <w:szCs w:val="16"/>
              </w:rPr>
              <w:t xml:space="preserve"> and </w:t>
            </w:r>
            <w:r w:rsidR="00A2289E">
              <w:rPr>
                <w:rFonts w:ascii="Arial" w:hAnsi="Arial" w:cs="Arial"/>
                <w:color w:val="000000"/>
                <w:sz w:val="16"/>
                <w:szCs w:val="16"/>
              </w:rPr>
              <w:t>Major Rehab</w:t>
            </w:r>
            <w:r w:rsidR="00871AE3">
              <w:rPr>
                <w:rFonts w:ascii="Arial" w:hAnsi="Arial" w:cs="Arial"/>
                <w:color w:val="000000"/>
                <w:sz w:val="16"/>
                <w:szCs w:val="16"/>
              </w:rPr>
              <w:t xml:space="preserve"> do not apply to pavements with predominant Curb &amp; Gutter.</w:t>
            </w:r>
            <w:r w:rsidR="007E1D5E">
              <w:rPr>
                <w:rFonts w:ascii="Arial" w:hAnsi="Arial" w:cs="Arial"/>
                <w:color w:val="000000"/>
                <w:sz w:val="16"/>
                <w:szCs w:val="16"/>
              </w:rPr>
              <w:t xml:space="preserve">  </w:t>
            </w:r>
            <w:r w:rsidR="007E1D5E">
              <w:rPr>
                <w:rFonts w:ascii="Arial" w:eastAsia="Arial" w:hAnsi="Arial" w:cs="Arial"/>
                <w:sz w:val="16"/>
              </w:rPr>
              <w:t>Click to go</w:t>
            </w:r>
            <w:r w:rsidR="007E1D5E" w:rsidRPr="00982DB5">
              <w:rPr>
                <w:rFonts w:ascii="Arial" w:eastAsia="Arial" w:hAnsi="Arial" w:cs="Arial"/>
                <w:sz w:val="16"/>
                <w:szCs w:val="16"/>
              </w:rPr>
              <w:t xml:space="preserve"> to</w:t>
            </w:r>
            <w:r w:rsidR="007E1D5E" w:rsidRPr="00982DB5">
              <w:rPr>
                <w:rFonts w:ascii="Arial" w:hAnsi="Arial" w:cs="Arial"/>
                <w:bCs/>
                <w:sz w:val="16"/>
                <w:szCs w:val="16"/>
              </w:rPr>
              <w:t xml:space="preserve"> </w:t>
            </w:r>
            <w:hyperlink w:anchor="_Initial_Treatment_Identification" w:history="1">
              <w:r w:rsidR="007E1D5E" w:rsidRPr="007E1D5E">
                <w:rPr>
                  <w:rStyle w:val="Hyperlink"/>
                  <w:rFonts w:ascii="Arial" w:hAnsi="Arial" w:cs="Arial"/>
                  <w:bCs/>
                  <w:sz w:val="16"/>
                  <w:szCs w:val="16"/>
                </w:rPr>
                <w:t>Initial Treatment Identification – Pavement Preservation Guide</w:t>
              </w:r>
            </w:hyperlink>
            <w:r w:rsidR="00E7268C">
              <w:rPr>
                <w:rStyle w:val="Hyperlink"/>
                <w:rFonts w:ascii="Arial" w:hAnsi="Arial" w:cs="Arial"/>
                <w:bCs/>
                <w:sz w:val="16"/>
                <w:szCs w:val="16"/>
              </w:rPr>
              <w:t>.</w:t>
            </w:r>
          </w:p>
        </w:tc>
      </w:tr>
      <w:tr w:rsidR="002417C7" w:rsidRPr="00945156" w14:paraId="6FE82B58" w14:textId="77777777" w:rsidTr="00052EEE">
        <w:trPr>
          <w:trHeight w:val="735"/>
        </w:trPr>
        <w:tc>
          <w:tcPr>
            <w:tcW w:w="2726" w:type="dxa"/>
            <w:gridSpan w:val="4"/>
            <w:tcBorders>
              <w:top w:val="single" w:sz="24" w:space="0" w:color="auto"/>
              <w:left w:val="single" w:sz="24" w:space="0" w:color="auto"/>
              <w:bottom w:val="single" w:sz="6" w:space="0" w:color="auto"/>
              <w:right w:val="single" w:sz="6" w:space="0" w:color="auto"/>
            </w:tcBorders>
            <w:noWrap/>
            <w:vAlign w:val="center"/>
            <w:hideMark/>
          </w:tcPr>
          <w:p w14:paraId="5A7C865F" w14:textId="77777777" w:rsidR="002417C7" w:rsidRPr="00945156" w:rsidRDefault="002417C7" w:rsidP="00133518">
            <w:pPr>
              <w:jc w:val="center"/>
              <w:rPr>
                <w:rFonts w:ascii="Bell MT" w:hAnsi="Bell MT" w:cs="Arial"/>
                <w:b/>
                <w:bCs/>
                <w:color w:val="000000"/>
                <w:sz w:val="40"/>
                <w:szCs w:val="40"/>
              </w:rPr>
            </w:pPr>
            <w:r w:rsidRPr="00945156">
              <w:rPr>
                <w:rFonts w:ascii="Bell MT" w:hAnsi="Bell MT" w:cs="Arial"/>
                <w:b/>
                <w:bCs/>
                <w:color w:val="000000"/>
                <w:sz w:val="40"/>
                <w:szCs w:val="40"/>
              </w:rPr>
              <w:lastRenderedPageBreak/>
              <w:t xml:space="preserve">Table </w:t>
            </w:r>
            <w:r>
              <w:rPr>
                <w:rFonts w:ascii="Bell MT" w:hAnsi="Bell MT" w:cs="Arial"/>
                <w:b/>
                <w:bCs/>
                <w:color w:val="000000"/>
                <w:sz w:val="40"/>
                <w:szCs w:val="40"/>
              </w:rPr>
              <w:t>V</w:t>
            </w:r>
            <w:r w:rsidRPr="00945156">
              <w:rPr>
                <w:rFonts w:ascii="Bell MT" w:hAnsi="Bell MT" w:cs="Arial"/>
                <w:b/>
                <w:bCs/>
                <w:color w:val="000000"/>
                <w:sz w:val="40"/>
                <w:szCs w:val="40"/>
              </w:rPr>
              <w:t>I</w:t>
            </w:r>
          </w:p>
        </w:tc>
        <w:tc>
          <w:tcPr>
            <w:tcW w:w="10163" w:type="dxa"/>
            <w:gridSpan w:val="9"/>
            <w:tcBorders>
              <w:top w:val="single" w:sz="24" w:space="0" w:color="auto"/>
              <w:left w:val="single" w:sz="6" w:space="0" w:color="auto"/>
              <w:bottom w:val="single" w:sz="6" w:space="0" w:color="auto"/>
              <w:right w:val="single" w:sz="24" w:space="0" w:color="auto"/>
            </w:tcBorders>
            <w:vAlign w:val="center"/>
            <w:hideMark/>
          </w:tcPr>
          <w:p w14:paraId="763BD1AF" w14:textId="77777777" w:rsidR="002417C7" w:rsidRPr="00945156" w:rsidRDefault="002417C7" w:rsidP="00133518">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ADT: 4,000</w:t>
            </w:r>
            <w:r>
              <w:rPr>
                <w:rFonts w:ascii="Arial" w:hAnsi="Arial" w:cs="Arial"/>
                <w:b/>
                <w:bCs/>
                <w:color w:val="000000"/>
                <w:sz w:val="18"/>
                <w:szCs w:val="18"/>
              </w:rPr>
              <w:t xml:space="preserve"> to ≤ 25,000</w:t>
            </w:r>
            <w:r w:rsidRPr="00945156">
              <w:rPr>
                <w:rFonts w:ascii="Arial" w:hAnsi="Arial" w:cs="Arial"/>
                <w:b/>
                <w:bCs/>
                <w:color w:val="000000"/>
                <w:sz w:val="18"/>
                <w:szCs w:val="18"/>
              </w:rPr>
              <w:br/>
              <w:t xml:space="preserve">IRI: </w:t>
            </w:r>
            <w:r>
              <w:rPr>
                <w:rFonts w:ascii="Arial" w:hAnsi="Arial" w:cs="Arial"/>
                <w:b/>
                <w:bCs/>
                <w:color w:val="000000"/>
                <w:sz w:val="18"/>
                <w:szCs w:val="18"/>
              </w:rPr>
              <w:t>&gt;</w:t>
            </w:r>
            <w:r w:rsidRPr="00945156">
              <w:rPr>
                <w:rFonts w:ascii="Arial" w:hAnsi="Arial" w:cs="Arial"/>
                <w:b/>
                <w:bCs/>
                <w:color w:val="000000"/>
                <w:sz w:val="18"/>
                <w:szCs w:val="18"/>
              </w:rPr>
              <w:t xml:space="preserve"> 1</w:t>
            </w:r>
            <w:r>
              <w:rPr>
                <w:rFonts w:ascii="Arial" w:hAnsi="Arial" w:cs="Arial"/>
                <w:b/>
                <w:bCs/>
                <w:color w:val="000000"/>
                <w:sz w:val="18"/>
                <w:szCs w:val="18"/>
              </w:rPr>
              <w:t>7</w:t>
            </w:r>
            <w:r w:rsidRPr="00945156">
              <w:rPr>
                <w:rFonts w:ascii="Arial" w:hAnsi="Arial" w:cs="Arial"/>
                <w:b/>
                <w:bCs/>
                <w:color w:val="000000"/>
                <w:sz w:val="18"/>
                <w:szCs w:val="18"/>
              </w:rPr>
              <w:t>0</w:t>
            </w:r>
          </w:p>
        </w:tc>
      </w:tr>
      <w:tr w:rsidR="002417C7" w:rsidRPr="00945156" w14:paraId="1665ED26" w14:textId="77777777" w:rsidTr="00052EEE">
        <w:trPr>
          <w:trHeight w:val="465"/>
        </w:trPr>
        <w:tc>
          <w:tcPr>
            <w:tcW w:w="621" w:type="dxa"/>
            <w:tcBorders>
              <w:top w:val="single" w:sz="6" w:space="0" w:color="auto"/>
              <w:left w:val="single" w:sz="24" w:space="0" w:color="auto"/>
              <w:bottom w:val="single" w:sz="24" w:space="0" w:color="auto"/>
              <w:right w:val="single" w:sz="6" w:space="0" w:color="auto"/>
            </w:tcBorders>
            <w:vAlign w:val="center"/>
            <w:hideMark/>
          </w:tcPr>
          <w:p w14:paraId="38D3CA14" w14:textId="4D782830"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604" w:type="dxa"/>
            <w:tcBorders>
              <w:top w:val="single" w:sz="6" w:space="0" w:color="auto"/>
              <w:left w:val="single" w:sz="6" w:space="0" w:color="auto"/>
              <w:bottom w:val="single" w:sz="24" w:space="0" w:color="auto"/>
              <w:right w:val="single" w:sz="6" w:space="0" w:color="auto"/>
            </w:tcBorders>
            <w:vAlign w:val="center"/>
            <w:hideMark/>
          </w:tcPr>
          <w:p w14:paraId="2FFC2587" w14:textId="15AA8A4A"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712" w:type="dxa"/>
            <w:tcBorders>
              <w:top w:val="single" w:sz="6" w:space="0" w:color="auto"/>
              <w:left w:val="single" w:sz="6" w:space="0" w:color="auto"/>
              <w:bottom w:val="single" w:sz="24" w:space="0" w:color="auto"/>
              <w:right w:val="single" w:sz="6" w:space="0" w:color="auto"/>
            </w:tcBorders>
            <w:vAlign w:val="center"/>
            <w:hideMark/>
          </w:tcPr>
          <w:p w14:paraId="773871B9" w14:textId="77777777" w:rsidR="002417C7" w:rsidRPr="00945156" w:rsidRDefault="002417C7" w:rsidP="00133518">
            <w:pPr>
              <w:jc w:val="center"/>
              <w:rPr>
                <w:rFonts w:ascii="Arial" w:hAnsi="Arial" w:cs="Arial"/>
                <w:b/>
                <w:bCs/>
                <w:color w:val="000000"/>
                <w:sz w:val="16"/>
                <w:szCs w:val="16"/>
              </w:rPr>
            </w:pPr>
            <w:r>
              <w:rPr>
                <w:rFonts w:ascii="Arial" w:hAnsi="Arial" w:cs="Arial"/>
                <w:b/>
                <w:bCs/>
                <w:color w:val="000000"/>
                <w:sz w:val="16"/>
                <w:szCs w:val="16"/>
              </w:rPr>
              <w:t>Skid</w:t>
            </w:r>
          </w:p>
        </w:tc>
        <w:tc>
          <w:tcPr>
            <w:tcW w:w="789" w:type="dxa"/>
            <w:tcBorders>
              <w:top w:val="single" w:sz="6" w:space="0" w:color="auto"/>
              <w:left w:val="single" w:sz="6" w:space="0" w:color="auto"/>
              <w:bottom w:val="single" w:sz="24" w:space="0" w:color="auto"/>
              <w:right w:val="single" w:sz="6" w:space="0" w:color="auto"/>
            </w:tcBorders>
            <w:vAlign w:val="center"/>
            <w:hideMark/>
          </w:tcPr>
          <w:p w14:paraId="4B6FC390"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61" w:type="dxa"/>
            <w:tcBorders>
              <w:top w:val="single" w:sz="6" w:space="0" w:color="auto"/>
              <w:left w:val="single" w:sz="6" w:space="0" w:color="auto"/>
              <w:bottom w:val="single" w:sz="24" w:space="0" w:color="auto"/>
              <w:right w:val="single" w:sz="6" w:space="0" w:color="auto"/>
            </w:tcBorders>
            <w:vAlign w:val="center"/>
            <w:hideMark/>
          </w:tcPr>
          <w:p w14:paraId="19AE40CF"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23" w:type="dxa"/>
            <w:tcBorders>
              <w:top w:val="single" w:sz="6" w:space="0" w:color="auto"/>
              <w:left w:val="single" w:sz="6" w:space="0" w:color="auto"/>
              <w:bottom w:val="single" w:sz="24" w:space="0" w:color="auto"/>
              <w:right w:val="single" w:sz="6" w:space="0" w:color="auto"/>
            </w:tcBorders>
            <w:vAlign w:val="center"/>
            <w:hideMark/>
          </w:tcPr>
          <w:p w14:paraId="4CF90257"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340" w:type="dxa"/>
            <w:tcBorders>
              <w:top w:val="single" w:sz="6" w:space="0" w:color="auto"/>
              <w:left w:val="single" w:sz="6" w:space="0" w:color="auto"/>
              <w:bottom w:val="single" w:sz="24" w:space="0" w:color="auto"/>
              <w:right w:val="single" w:sz="6" w:space="0" w:color="auto"/>
            </w:tcBorders>
            <w:vAlign w:val="center"/>
            <w:hideMark/>
          </w:tcPr>
          <w:p w14:paraId="07DBA5D7"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04" w:type="dxa"/>
            <w:tcBorders>
              <w:top w:val="single" w:sz="6" w:space="0" w:color="auto"/>
              <w:left w:val="single" w:sz="6" w:space="0" w:color="auto"/>
              <w:bottom w:val="single" w:sz="24" w:space="0" w:color="auto"/>
              <w:right w:val="single" w:sz="6" w:space="0" w:color="auto"/>
            </w:tcBorders>
            <w:vAlign w:val="center"/>
            <w:hideMark/>
          </w:tcPr>
          <w:p w14:paraId="1075E19B" w14:textId="4A87EBFC"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sidR="00A2289E">
              <w:rPr>
                <w:rFonts w:ascii="Arial" w:hAnsi="Arial" w:cs="Arial"/>
                <w:b/>
                <w:bCs/>
                <w:color w:val="000000"/>
                <w:sz w:val="16"/>
                <w:szCs w:val="16"/>
              </w:rPr>
              <w:t>Asphalt</w:t>
            </w:r>
            <w:r w:rsidRPr="00945156">
              <w:rPr>
                <w:rFonts w:ascii="Arial" w:hAnsi="Arial" w:cs="Arial"/>
                <w:b/>
                <w:bCs/>
                <w:color w:val="000000"/>
                <w:sz w:val="16"/>
                <w:szCs w:val="16"/>
              </w:rPr>
              <w:t xml:space="preserve"> Overlay</w:t>
            </w:r>
            <w:r w:rsidR="00A24BAA">
              <w:rPr>
                <w:rFonts w:ascii="Arial" w:hAnsi="Arial" w:cs="Arial"/>
                <w:b/>
                <w:bCs/>
                <w:color w:val="000000"/>
                <w:sz w:val="16"/>
                <w:szCs w:val="16"/>
              </w:rPr>
              <w:t>**</w:t>
            </w:r>
          </w:p>
        </w:tc>
        <w:tc>
          <w:tcPr>
            <w:tcW w:w="897" w:type="dxa"/>
            <w:tcBorders>
              <w:top w:val="single" w:sz="6" w:space="0" w:color="auto"/>
              <w:left w:val="single" w:sz="6" w:space="0" w:color="auto"/>
              <w:bottom w:val="single" w:sz="24" w:space="0" w:color="auto"/>
              <w:right w:val="single" w:sz="6" w:space="0" w:color="auto"/>
            </w:tcBorders>
            <w:vAlign w:val="center"/>
            <w:hideMark/>
          </w:tcPr>
          <w:p w14:paraId="155CA924"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897" w:type="dxa"/>
            <w:tcBorders>
              <w:top w:val="single" w:sz="6" w:space="0" w:color="auto"/>
              <w:left w:val="single" w:sz="6" w:space="0" w:color="auto"/>
              <w:bottom w:val="single" w:sz="24" w:space="0" w:color="auto"/>
              <w:right w:val="single" w:sz="6" w:space="0" w:color="auto"/>
            </w:tcBorders>
            <w:vAlign w:val="center"/>
            <w:hideMark/>
          </w:tcPr>
          <w:p w14:paraId="1ED1758A" w14:textId="5B74F7BD"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F. </w:t>
            </w:r>
            <w:r w:rsidR="00A2289E">
              <w:rPr>
                <w:rFonts w:ascii="Arial" w:hAnsi="Arial" w:cs="Arial"/>
                <w:b/>
                <w:bCs/>
                <w:color w:val="000000"/>
                <w:sz w:val="16"/>
                <w:szCs w:val="16"/>
              </w:rPr>
              <w:t>Spot Repair</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6496F018" w14:textId="3150FBA8"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G</w:t>
            </w:r>
            <w:r w:rsidR="002417C7" w:rsidRPr="00945156">
              <w:rPr>
                <w:rFonts w:ascii="Arial" w:hAnsi="Arial" w:cs="Arial"/>
                <w:b/>
                <w:bCs/>
                <w:color w:val="000000"/>
                <w:sz w:val="16"/>
                <w:szCs w:val="16"/>
              </w:rPr>
              <w:t xml:space="preserve">. </w:t>
            </w:r>
            <w:r w:rsidR="002417C7">
              <w:rPr>
                <w:rFonts w:ascii="Arial" w:hAnsi="Arial" w:cs="Arial"/>
                <w:b/>
                <w:bCs/>
                <w:color w:val="000000"/>
                <w:sz w:val="16"/>
                <w:szCs w:val="16"/>
              </w:rPr>
              <w:t>Surface Texturizing</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0D85B512" w14:textId="0AD32863"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H</w:t>
            </w:r>
            <w:r w:rsidR="002417C7" w:rsidRPr="00945156">
              <w:rPr>
                <w:rFonts w:ascii="Arial" w:hAnsi="Arial" w:cs="Arial"/>
                <w:b/>
                <w:bCs/>
                <w:color w:val="000000"/>
                <w:sz w:val="16"/>
                <w:szCs w:val="16"/>
              </w:rPr>
              <w:t>. Major Rehab</w:t>
            </w:r>
            <w:r w:rsidR="00354BE0">
              <w:rPr>
                <w:rFonts w:ascii="Arial" w:hAnsi="Arial" w:cs="Arial"/>
                <w:b/>
                <w:bCs/>
                <w:color w:val="000000"/>
                <w:sz w:val="16"/>
                <w:szCs w:val="16"/>
              </w:rPr>
              <w:t>**</w:t>
            </w:r>
          </w:p>
        </w:tc>
        <w:tc>
          <w:tcPr>
            <w:tcW w:w="987" w:type="dxa"/>
            <w:tcBorders>
              <w:top w:val="single" w:sz="6" w:space="0" w:color="auto"/>
              <w:left w:val="single" w:sz="6" w:space="0" w:color="auto"/>
              <w:bottom w:val="single" w:sz="24" w:space="0" w:color="auto"/>
              <w:right w:val="single" w:sz="24" w:space="0" w:color="auto"/>
            </w:tcBorders>
            <w:vAlign w:val="center"/>
            <w:hideMark/>
          </w:tcPr>
          <w:p w14:paraId="5D8019AD" w14:textId="61C114F6"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r w:rsidRPr="00945156">
              <w:rPr>
                <w:rFonts w:ascii="Arial" w:hAnsi="Arial" w:cs="Arial"/>
                <w:b/>
                <w:bCs/>
                <w:color w:val="000000"/>
                <w:sz w:val="16"/>
                <w:szCs w:val="16"/>
              </w:rPr>
              <w:t>struction</w:t>
            </w:r>
          </w:p>
        </w:tc>
      </w:tr>
      <w:tr w:rsidR="00115674" w:rsidRPr="00945156" w14:paraId="0B3FCA33" w14:textId="77777777" w:rsidTr="00052EEE">
        <w:trPr>
          <w:trHeight w:val="195"/>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26D7883E"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≥25</w:t>
            </w:r>
          </w:p>
          <w:p w14:paraId="5F47827A" w14:textId="17881C76"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55655A96" w14:textId="5BB8945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2C51054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3B447E5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4DB07C2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697606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85AE5E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52339501" w14:textId="7C7C5F38"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D-4</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1FE83463" w14:textId="4F485E2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E-1</w:t>
            </w:r>
            <w:r w:rsidR="002417C7"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2A2E787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3CFE6B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noWrap/>
            <w:vAlign w:val="center"/>
            <w:hideMark/>
          </w:tcPr>
          <w:p w14:paraId="69D2B586" w14:textId="0C893A1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24" w:space="0" w:color="auto"/>
              <w:left w:val="single" w:sz="6" w:space="0" w:color="auto"/>
              <w:bottom w:val="single" w:sz="6" w:space="0" w:color="auto"/>
              <w:right w:val="single" w:sz="24" w:space="0" w:color="auto"/>
            </w:tcBorders>
            <w:noWrap/>
            <w:vAlign w:val="center"/>
            <w:hideMark/>
          </w:tcPr>
          <w:p w14:paraId="538AB49D" w14:textId="1EB47B3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p>
        </w:tc>
      </w:tr>
      <w:tr w:rsidR="00115674" w:rsidRPr="00945156" w14:paraId="54846478"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93CADD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7E6DEFD"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F055260"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A35E4C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09646B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0248D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545695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2E650F3" w14:textId="3837FBA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8BC3A2B" w14:textId="5DFD664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810895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D72BDD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5E95053" w14:textId="793FD77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32BB3F9E" w14:textId="2C8352B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01DB08B"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60F21C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D90263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5E15D72D"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06ECCE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45AAFBA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B862C4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55EB45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4D38EE5B" w14:textId="45083EB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1C1CEC02" w14:textId="6C3E6A0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C96BF2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E2F038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4CA6D770" w14:textId="2AD9F71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37A3C086" w14:textId="1A3A8C9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546725E"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E0A927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6A2EF58"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13C501A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07DE03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6B2F409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ECE676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F61C63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04FEFA9D" w14:textId="57DAD03C"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D-4</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44E11474" w14:textId="7C27A37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9DA818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EA8EF2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51EB07A7" w14:textId="6A0A7F7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409167C3" w14:textId="4A8567C1"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51DA5F4"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A9E416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4403B0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F245161"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F52E30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9DCA03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FFB56E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8422F4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3E1D1375" w14:textId="622DB8E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C8046B8" w14:textId="578064C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025EB2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9BBA0D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E175318" w14:textId="45264E3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7FDB8F84" w14:textId="41E9C04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A81552D"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D7443C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059F838"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6947A26"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91EDCB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4007562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4816DB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45BB56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6D4A8CF9" w14:textId="32F6B37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600F2FE1" w14:textId="0D64891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1ACBBA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AA7EB9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37066F67" w14:textId="4FB0DAB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0CEC90F2" w14:textId="27F7B94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240B578"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EAD8133"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61428A45" w14:textId="34DBECE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0BF65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9B67F1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936FD4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D9EADA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B7805D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36847806" w14:textId="6094242C"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D-4</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12FD4823" w14:textId="773E46E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9C524E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B25A8F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2ED070B6" w14:textId="789CBC1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0D80D38E" w14:textId="2B967B2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87A2ECD"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77E8FF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D66BD1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9720A6E"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1706F25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08B6E9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01E43D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41C5BC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6EFAB99F" w14:textId="14960DC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23AFFDA7" w14:textId="4015E1F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1A2B0E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96A7C5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53011CF" w14:textId="0B80548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7027F8A1" w14:textId="566BA8A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F93DD4E"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262411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E690326"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7DAAAE2E"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17E911B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358C49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F7A900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BF5093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026FF35B" w14:textId="7B324AF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1BD79226" w14:textId="46626DE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80E761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DD59A1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268430C1" w14:textId="4F70E1D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384F26E4" w14:textId="41357BAE"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A48A10A"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69DE96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310F09D"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BEB6DC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71E06F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A2517E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C13712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0E8DCC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6069AE0E" w14:textId="31E2DF45"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D-4</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51473609" w14:textId="5B1F6B5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3F0E72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BE00AD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1D0C03B7" w14:textId="3589EAC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70F74CC2" w14:textId="60284F5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74C650D2"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F56F27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5A1C143"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97FF9FD"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DA61FC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91EBA7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AE51E0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2BE03D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4EA5BD92" w14:textId="7470A77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76676E9" w14:textId="208913D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0ECB69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4249E0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BD086EF" w14:textId="5110934E"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29D53E5D" w14:textId="2ADE10A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9667839"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77177CB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5B18CFE6"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61EC8CC9"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4AE1D9E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557064E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3DCD04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92F417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04EFF809" w14:textId="2D9E8F0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D-4</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050B1769" w14:textId="37AADD3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E-1</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58DDC1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E40C94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1677673E" w14:textId="158C89B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24" w:space="0" w:color="auto"/>
              <w:right w:val="single" w:sz="24" w:space="0" w:color="auto"/>
            </w:tcBorders>
            <w:noWrap/>
            <w:vAlign w:val="center"/>
            <w:hideMark/>
          </w:tcPr>
          <w:p w14:paraId="7DC06819" w14:textId="60A7C6B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79C90BF"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02B3C844" w14:textId="1F7F2E67" w:rsidR="00A2289E" w:rsidRDefault="00A2289E" w:rsidP="00A2289E">
            <w:pPr>
              <w:jc w:val="center"/>
              <w:rPr>
                <w:rFonts w:ascii="Arial" w:hAnsi="Arial" w:cs="Arial"/>
                <w:color w:val="000000"/>
                <w:sz w:val="14"/>
                <w:szCs w:val="14"/>
              </w:rPr>
            </w:pPr>
            <w:r>
              <w:rPr>
                <w:rFonts w:ascii="Arial" w:hAnsi="Arial" w:cs="Arial"/>
                <w:color w:val="000000"/>
                <w:sz w:val="14"/>
                <w:szCs w:val="14"/>
              </w:rPr>
              <w:t>≥5</w:t>
            </w:r>
            <w:r w:rsidR="002417C7">
              <w:rPr>
                <w:rFonts w:ascii="Arial" w:hAnsi="Arial" w:cs="Arial"/>
                <w:color w:val="000000"/>
                <w:sz w:val="14"/>
                <w:szCs w:val="14"/>
              </w:rPr>
              <w:t xml:space="preserve"> to </w:t>
            </w:r>
            <w:r>
              <w:rPr>
                <w:rFonts w:ascii="Arial" w:hAnsi="Arial" w:cs="Arial"/>
                <w:color w:val="000000"/>
                <w:sz w:val="14"/>
                <w:szCs w:val="14"/>
              </w:rPr>
              <w:t>&lt;25</w:t>
            </w:r>
          </w:p>
          <w:p w14:paraId="4B1F0756" w14:textId="15C87DE6"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006945EA" w14:textId="4792915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61ABC30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1566A78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1E36048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9581C5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6442F32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777784BF" w14:textId="5CDE4D3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Pr>
                <w:rFonts w:ascii="Arial" w:hAnsi="Arial" w:cs="Arial"/>
                <w:color w:val="000000"/>
                <w:sz w:val="14"/>
                <w:szCs w:val="14"/>
              </w:rPr>
              <w:t>, D-4</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F2C823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298BF79C" w14:textId="3FEEC4B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9A6D2A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FECD067" w14:textId="5745CB17" w:rsidR="002417C7" w:rsidRPr="00945156" w:rsidRDefault="002417C7" w:rsidP="00133518">
            <w:pPr>
              <w:jc w:val="center"/>
              <w:rPr>
                <w:rFonts w:ascii="Arial" w:hAnsi="Arial" w:cs="Arial"/>
                <w:color w:val="000000"/>
                <w:sz w:val="14"/>
                <w:szCs w:val="14"/>
              </w:rPr>
            </w:pP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B03B0A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83ACDFE"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C69AAF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CD03BF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B9A4196"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07D2E7D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1140B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91C418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C0990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65F9B03A" w14:textId="2B8D187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6EA9B94" w14:textId="1A2A502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15F55EE" w14:textId="6451C6C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1706B2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0CB428E" w14:textId="5EF017F2"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0C532C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330F9AC"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2FD7C37"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19315E2"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2BB5904"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852C71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AACB8F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F4190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151B9D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27528B07" w14:textId="3BD377C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24AC47F0" w14:textId="5159D37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050851A" w14:textId="7E11A29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C0EF1C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45EA6D4" w14:textId="3AA6F778"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4E32F01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51348B2"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8E6FD1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0896C99"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2317F75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69794CB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6D81604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7573C1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8A81B8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34353BEC" w14:textId="327078D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948AED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746758D8" w14:textId="4072C2F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BC85D4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0AECADB" w14:textId="1FD84CBC"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CA8DC2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406A45B"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FD89DC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42A596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77B38F8A"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E968EE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0F511C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4B8D62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1FCEA4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5EB4FB56" w14:textId="48049B7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01B0602" w14:textId="54B55A8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07C25D90" w14:textId="4C5F3AF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68C00D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408A29B" w14:textId="73CD15E5"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A52C2C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0208E0D"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DDC1803"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F922CF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5D2EB26"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793E34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F83DA4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05A102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A2A050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090FB01E" w14:textId="1DCDE11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9E428D2" w14:textId="51C046F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0FEC36E" w14:textId="586EF84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89BFCD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233FD8EB" w14:textId="7E40DC3C"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371644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0B0730A"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BF63A2D"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4022A5B1" w14:textId="5BF480E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C3B4CD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A00CB1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6B7D425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F6815B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717152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6B927D89" w14:textId="4E013FA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DE6D5D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4BA6C105" w14:textId="513D63F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747B8E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58D58D2" w14:textId="20F3FCE7"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A95678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5DC327B"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C3A22C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D55AFA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B3F3391"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2A9FC1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E39FED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1F14B5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0E3A03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78661DB" w14:textId="4B3A00D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964DC68" w14:textId="6AED833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D68776B" w14:textId="34CF5DC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BBA247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F155525" w14:textId="0B3EE032"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07078E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87B4016"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B89617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06BEDD7"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37901704"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DCFB9F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151EE7F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DB5CC6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26EF41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1597E9EF" w14:textId="062B987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7FF630CA" w14:textId="140B2BE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22BAB3B7" w14:textId="0BA1243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F8D308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68C4620" w14:textId="5184A67B"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1E6AF66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AB6BF48"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B5632B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4E50641"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12DA8A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FACF67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097862F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A78690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86120B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31309553" w14:textId="68F39EB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FDD554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591CC973" w14:textId="7129140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069200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BFDE7C3" w14:textId="651BB641"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6B0E10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2124820"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FD52E42"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05C729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35A5ECAB"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9752AB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5EF4C37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EFA7D6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AAA7AF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193D2556" w14:textId="732BC02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9CE1D85" w14:textId="0BC033F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34F69E2" w14:textId="6797522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89DD28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9A24D33" w14:textId="70780251"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278744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448206D"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6265B63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730D07F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55F88033"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395B182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76BA015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8D1F51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34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9B3694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42DA123F" w14:textId="46FDCF6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42FACBBC" w14:textId="0848F0C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2A66C4C3" w14:textId="714AB56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4397420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1CCD1AE7" w14:textId="120A13CF"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38DDC4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043DB971" w14:textId="77777777" w:rsidTr="00052EEE">
        <w:trPr>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5A1EDEFA"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&lt;5</w:t>
            </w:r>
          </w:p>
          <w:p w14:paraId="0E10DBE1" w14:textId="419E3B1C"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37CFF7F8" w14:textId="6E4E7E3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4068A58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09A3345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51BB097" w14:textId="77777777" w:rsidR="002417C7" w:rsidRPr="00945156" w:rsidRDefault="002417C7" w:rsidP="00133518">
            <w:pPr>
              <w:jc w:val="center"/>
              <w:rPr>
                <w:rFonts w:ascii="Arial" w:hAnsi="Arial" w:cs="Arial"/>
                <w:color w:val="000000"/>
                <w:sz w:val="14"/>
                <w:szCs w:val="14"/>
              </w:rPr>
            </w:pPr>
          </w:p>
        </w:tc>
        <w:tc>
          <w:tcPr>
            <w:tcW w:w="1223"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2527988" w14:textId="77777777" w:rsidR="002417C7" w:rsidRPr="00945156" w:rsidRDefault="002417C7" w:rsidP="00133518">
            <w:pPr>
              <w:jc w:val="center"/>
              <w:rPr>
                <w:rFonts w:ascii="Arial" w:hAnsi="Arial" w:cs="Arial"/>
                <w:color w:val="000000"/>
                <w:sz w:val="14"/>
                <w:szCs w:val="14"/>
              </w:rPr>
            </w:pPr>
          </w:p>
        </w:tc>
        <w:tc>
          <w:tcPr>
            <w:tcW w:w="1340"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10D26BB" w14:textId="77777777" w:rsidR="002417C7" w:rsidRPr="00945156" w:rsidRDefault="002417C7" w:rsidP="00133518">
            <w:pPr>
              <w:jc w:val="center"/>
              <w:rPr>
                <w:rFonts w:ascii="Arial" w:hAnsi="Arial" w:cs="Arial"/>
                <w:color w:val="000000"/>
                <w:sz w:val="14"/>
                <w:szCs w:val="14"/>
              </w:rPr>
            </w:pPr>
          </w:p>
        </w:tc>
        <w:tc>
          <w:tcPr>
            <w:tcW w:w="1704" w:type="dxa"/>
            <w:tcBorders>
              <w:top w:val="single" w:sz="24" w:space="0" w:color="auto"/>
              <w:left w:val="single" w:sz="6" w:space="0" w:color="auto"/>
              <w:bottom w:val="single" w:sz="6" w:space="0" w:color="auto"/>
              <w:right w:val="single" w:sz="6" w:space="0" w:color="auto"/>
            </w:tcBorders>
            <w:noWrap/>
            <w:vAlign w:val="center"/>
            <w:hideMark/>
          </w:tcPr>
          <w:p w14:paraId="0093A2FD" w14:textId="544D8E3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Pr>
                <w:rFonts w:ascii="Arial" w:hAnsi="Arial" w:cs="Arial"/>
                <w:color w:val="000000"/>
                <w:sz w:val="14"/>
                <w:szCs w:val="14"/>
              </w:rPr>
              <w:t>, D-4</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AE0693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4E319B14" w14:textId="0D07427A"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60173EB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6CE7E6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AD4E40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BA01199"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4EFFDB1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8862182"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CC04B9F"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821F2F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972F6A0"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A6C2C7F"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2F3CBD7"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3DDFF0CA" w14:textId="3E55229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3254E9F" w14:textId="656E6A0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r w:rsidRPr="00945156">
              <w:rPr>
                <w:rFonts w:ascii="Arial" w:hAnsi="Arial" w:cs="Arial"/>
                <w:color w:val="000000"/>
                <w:sz w:val="14"/>
                <w:szCs w:val="14"/>
              </w:rPr>
              <w:t> </w:t>
            </w:r>
            <w:r w:rsidR="002417C7"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946106A" w14:textId="57E5C569"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6FF08680" w14:textId="631D533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964CE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B43304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0B9F217"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6CFF372"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2BB4697"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658FD117"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9554F1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38C77614"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7099F80"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2738E138"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4C24F484" w14:textId="770F87E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40C53742" w14:textId="2AA26C8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68E5A781" w14:textId="34292924"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4D57F979" w14:textId="29DD97F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30A693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0173C0D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F4F9E34"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8892B1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1478C71"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0E3988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365F45D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00717EF"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B2DEE10"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C12A52C" w14:textId="77777777" w:rsidR="002417C7" w:rsidRPr="00945156" w:rsidRDefault="002417C7" w:rsidP="00133518">
            <w:pPr>
              <w:jc w:val="center"/>
              <w:rPr>
                <w:rFonts w:ascii="Arial" w:hAnsi="Arial" w:cs="Arial"/>
                <w:color w:val="000000"/>
                <w:sz w:val="14"/>
                <w:szCs w:val="14"/>
              </w:rPr>
            </w:pP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1257436E" w14:textId="351B99B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8C2A0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1D949B5B" w14:textId="52DECFB2"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918BCC3" w14:textId="7EE43FF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50E625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3DFE48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3D1875C"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C753EC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8F73FE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305A4274"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11B419F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554A039"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A938AD7"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94235AA"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2C11B99D" w14:textId="1577D68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F0A835E" w14:textId="56E13E8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115E83FE" w14:textId="1A27ECAD"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71FA6EC1" w14:textId="316ED2F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F77C6E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115FE8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641205A"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842AED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13B10FA"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20725C1"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7403C4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66551721"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96534B0"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AA32CC3"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10F9131A" w14:textId="03A0FFB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E5E9341" w14:textId="5E2A6A9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4D43F10A" w14:textId="1C47B24B" w:rsidR="002417C7" w:rsidRPr="00945156" w:rsidRDefault="00A2289E" w:rsidP="00133518">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4282F0F6" w14:textId="527FC89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462EF8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528BBF9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7B0D936"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B82EE25"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08F6C5EE" w14:textId="2791EA6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7E13EFA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DDEFD9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EB27A38"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0078851"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C055A54" w14:textId="77777777" w:rsidR="002417C7" w:rsidRPr="00945156" w:rsidRDefault="002417C7" w:rsidP="00133518">
            <w:pPr>
              <w:jc w:val="center"/>
              <w:rPr>
                <w:rFonts w:ascii="Arial" w:hAnsi="Arial" w:cs="Arial"/>
                <w:color w:val="000000"/>
                <w:sz w:val="14"/>
                <w:szCs w:val="14"/>
              </w:rPr>
            </w:pP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64670641" w14:textId="23DB767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F67DF3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2EEB9853" w14:textId="1721D4A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F3F835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29E7C9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51F955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0847CFB"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689C5DC"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5E78493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479D709D"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DF6024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1C1AC43"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DFA8425"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EAC584E"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64C49282" w14:textId="355BD04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4356DE6" w14:textId="0F71460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0C6073D" w14:textId="0797CF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7810A492" w14:textId="1E51031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186672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C30359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4A054C9" w14:textId="77777777" w:rsidTr="00052EEE">
        <w:trPr>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5BB799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4341F2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3E9BBC5D"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7796012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50B7B01A"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1EBBB6D"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B82003E"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12" w:space="0" w:color="auto"/>
              <w:right w:val="single" w:sz="6" w:space="0" w:color="auto"/>
            </w:tcBorders>
            <w:noWrap/>
            <w:vAlign w:val="center"/>
            <w:hideMark/>
          </w:tcPr>
          <w:p w14:paraId="0550147B" w14:textId="24F13D8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6C2E70DF" w14:textId="4805A9C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4CAD1213" w14:textId="1C50304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269B2E82" w14:textId="55D28DF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A53EF4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710EECD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4CD5E6B"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5E17FD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6F2D06B"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C328D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0A66D3C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5D63CDA" w14:textId="77777777" w:rsidR="002417C7" w:rsidRPr="00945156" w:rsidRDefault="002417C7"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6E93157" w14:textId="77777777" w:rsidR="002417C7" w:rsidRPr="00945156" w:rsidRDefault="002417C7" w:rsidP="00133518">
            <w:pPr>
              <w:jc w:val="center"/>
              <w:rPr>
                <w:rFonts w:ascii="Arial" w:hAnsi="Arial" w:cs="Arial"/>
                <w:color w:val="000000"/>
                <w:sz w:val="14"/>
                <w:szCs w:val="14"/>
              </w:rPr>
            </w:pPr>
          </w:p>
        </w:tc>
        <w:tc>
          <w:tcPr>
            <w:tcW w:w="134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B16AEA5" w14:textId="77777777" w:rsidR="002417C7" w:rsidRPr="00945156" w:rsidRDefault="002417C7" w:rsidP="00133518">
            <w:pPr>
              <w:jc w:val="center"/>
              <w:rPr>
                <w:rFonts w:ascii="Arial" w:hAnsi="Arial" w:cs="Arial"/>
                <w:color w:val="000000"/>
                <w:sz w:val="14"/>
                <w:szCs w:val="14"/>
              </w:rPr>
            </w:pPr>
          </w:p>
        </w:tc>
        <w:tc>
          <w:tcPr>
            <w:tcW w:w="1704" w:type="dxa"/>
            <w:tcBorders>
              <w:top w:val="single" w:sz="12" w:space="0" w:color="auto"/>
              <w:left w:val="single" w:sz="6" w:space="0" w:color="auto"/>
              <w:bottom w:val="single" w:sz="6" w:space="0" w:color="auto"/>
              <w:right w:val="single" w:sz="6" w:space="0" w:color="auto"/>
            </w:tcBorders>
            <w:noWrap/>
            <w:vAlign w:val="center"/>
            <w:hideMark/>
          </w:tcPr>
          <w:p w14:paraId="1036DA31" w14:textId="099DAE8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Pr>
                <w:rFonts w:ascii="Arial" w:hAnsi="Arial" w:cs="Arial"/>
                <w:color w:val="000000"/>
                <w:sz w:val="14"/>
                <w:szCs w:val="14"/>
              </w:rPr>
              <w:t>, D-4</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35D530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4E4638F6" w14:textId="3E71AA4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70408E9" w14:textId="013D2A7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0D6C0C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9AEDFD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A786BE5" w14:textId="77777777" w:rsidTr="00052EEE">
        <w:trPr>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5AC14B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5A2EB1A"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621F047"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6F0BB79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8F4053"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5A37E9B"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C3CBA9B"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6" w:space="0" w:color="auto"/>
              <w:right w:val="single" w:sz="6" w:space="0" w:color="auto"/>
            </w:tcBorders>
            <w:noWrap/>
            <w:vAlign w:val="center"/>
            <w:hideMark/>
          </w:tcPr>
          <w:p w14:paraId="10CF8BED" w14:textId="2291E9C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D-3</w:t>
            </w:r>
            <w:r w:rsidRPr="00945156">
              <w:rPr>
                <w:rFonts w:ascii="Arial" w:hAnsi="Arial" w:cs="Arial"/>
                <w:color w:val="000000"/>
                <w:sz w:val="14"/>
                <w:szCs w:val="14"/>
              </w:rPr>
              <w:t>, D-4</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0537BEBF" w14:textId="24F94AF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69D48FA" w14:textId="0ABDA47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B058360" w14:textId="52C217A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D8DCA9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3A134E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1E99FFA"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58D01D70"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4306251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5DC976D6"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14E0D24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0FEF9BCD" w14:textId="77777777" w:rsidR="002417C7" w:rsidRPr="00945156" w:rsidRDefault="002417C7"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7638CF2D" w14:textId="77777777" w:rsidR="002417C7" w:rsidRPr="00945156" w:rsidRDefault="002417C7" w:rsidP="00133518">
            <w:pPr>
              <w:jc w:val="center"/>
              <w:rPr>
                <w:rFonts w:ascii="Arial" w:hAnsi="Arial" w:cs="Arial"/>
                <w:color w:val="000000"/>
                <w:sz w:val="14"/>
                <w:szCs w:val="14"/>
              </w:rPr>
            </w:pPr>
          </w:p>
        </w:tc>
        <w:tc>
          <w:tcPr>
            <w:tcW w:w="1340"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7C70EB07" w14:textId="77777777" w:rsidR="002417C7" w:rsidRPr="00945156" w:rsidRDefault="002417C7" w:rsidP="00133518">
            <w:pPr>
              <w:jc w:val="center"/>
              <w:rPr>
                <w:rFonts w:ascii="Arial" w:hAnsi="Arial" w:cs="Arial"/>
                <w:color w:val="000000"/>
                <w:sz w:val="14"/>
                <w:szCs w:val="14"/>
              </w:rPr>
            </w:pPr>
          </w:p>
        </w:tc>
        <w:tc>
          <w:tcPr>
            <w:tcW w:w="1704" w:type="dxa"/>
            <w:tcBorders>
              <w:top w:val="single" w:sz="6" w:space="0" w:color="auto"/>
              <w:left w:val="single" w:sz="6" w:space="0" w:color="auto"/>
              <w:bottom w:val="single" w:sz="24" w:space="0" w:color="auto"/>
              <w:right w:val="single" w:sz="6" w:space="0" w:color="auto"/>
            </w:tcBorders>
            <w:noWrap/>
            <w:vAlign w:val="center"/>
            <w:hideMark/>
          </w:tcPr>
          <w:p w14:paraId="12F56B26" w14:textId="7B12A5B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6C1C512A" w14:textId="5CF8A00C"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E-2</w:t>
            </w:r>
            <w:r w:rsidR="00A2289E" w:rsidRPr="00945156">
              <w:rPr>
                <w:rFonts w:ascii="Arial" w:hAnsi="Arial" w:cs="Arial"/>
                <w:color w:val="000000"/>
                <w:sz w:val="14"/>
                <w:szCs w:val="14"/>
              </w:rPr>
              <w:t> </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1562B996" w14:textId="4920E75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077676C1" w14:textId="156C549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2417C7" w:rsidRPr="00945156">
              <w:rPr>
                <w:rFonts w:ascii="Arial" w:hAnsi="Arial" w:cs="Arial"/>
                <w:color w:val="000000"/>
                <w:sz w:val="14"/>
                <w:szCs w:val="14"/>
              </w:rPr>
              <w:t>-1</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66B6739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07E8CB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bl>
    <w:p w14:paraId="21B75C57" w14:textId="77777777" w:rsidR="00052EEE" w:rsidRDefault="00052EEE" w:rsidP="00052EEE">
      <w:pPr>
        <w:rPr>
          <w:rStyle w:val="Hyperlink"/>
          <w:rFonts w:ascii="Arial" w:hAnsi="Arial" w:cs="Arial"/>
          <w:bCs/>
          <w:sz w:val="16"/>
          <w:szCs w:val="16"/>
        </w:rPr>
      </w:pPr>
      <w:r w:rsidRPr="00945156">
        <w:rPr>
          <w:rFonts w:ascii="Arial" w:hAnsi="Arial" w:cs="Arial"/>
          <w:color w:val="000000"/>
          <w:sz w:val="16"/>
          <w:szCs w:val="16"/>
        </w:rPr>
        <w:t xml:space="preserve">Note: See </w:t>
      </w:r>
      <w:hyperlink w:anchor="_Table_C._List_1" w:history="1">
        <w:r w:rsidRPr="00EE5EE0">
          <w:rPr>
            <w:rStyle w:val="Hyperlink"/>
            <w:rFonts w:ascii="Arial" w:hAnsi="Arial" w:cs="Arial"/>
            <w:sz w:val="16"/>
            <w:szCs w:val="16"/>
          </w:rPr>
          <w:t xml:space="preserve">Table </w:t>
        </w:r>
        <w:r>
          <w:rPr>
            <w:rStyle w:val="Hyperlink"/>
            <w:rFonts w:ascii="Arial" w:hAnsi="Arial" w:cs="Arial"/>
            <w:sz w:val="16"/>
            <w:szCs w:val="16"/>
          </w:rPr>
          <w:t>C</w:t>
        </w:r>
      </w:hyperlink>
      <w:r w:rsidRPr="00945156">
        <w:rPr>
          <w:rFonts w:ascii="Arial" w:hAnsi="Arial" w:cs="Arial"/>
          <w:color w:val="000000"/>
          <w:sz w:val="16"/>
          <w:szCs w:val="16"/>
        </w:rPr>
        <w:t xml:space="preserve"> for Treatment Activities</w:t>
      </w:r>
      <w:r>
        <w:rPr>
          <w:rFonts w:ascii="Arial" w:hAnsi="Arial" w:cs="Arial"/>
          <w:color w:val="000000"/>
          <w:sz w:val="16"/>
          <w:szCs w:val="16"/>
        </w:rPr>
        <w:t xml:space="preserve">.  *H-2 and H-3 apply to composite pavements only.  ** D-4, D-6, and Major Rehab do not apply to pavements with predominant Curb &amp; Gutter.  </w:t>
      </w: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Initial_Treatment_Identification" w:history="1">
        <w:r w:rsidRPr="007E1D5E">
          <w:rPr>
            <w:rStyle w:val="Hyperlink"/>
            <w:rFonts w:ascii="Arial" w:hAnsi="Arial" w:cs="Arial"/>
            <w:bCs/>
            <w:sz w:val="16"/>
            <w:szCs w:val="16"/>
          </w:rPr>
          <w:t>Initial Treatment Identification – Pavement Preservation Guide</w:t>
        </w:r>
      </w:hyperlink>
      <w:r>
        <w:rPr>
          <w:rStyle w:val="Hyperlink"/>
          <w:rFonts w:ascii="Arial" w:hAnsi="Arial" w:cs="Arial"/>
          <w:bCs/>
          <w:sz w:val="16"/>
          <w:szCs w:val="16"/>
        </w:rPr>
        <w:t>.</w:t>
      </w:r>
    </w:p>
    <w:p w14:paraId="5C8D730A" w14:textId="77777777" w:rsidR="00052EEE" w:rsidRDefault="00052EEE"/>
    <w:tbl>
      <w:tblPr>
        <w:tblpPr w:leftFromText="180" w:rightFromText="180" w:vertAnchor="text" w:tblpX="97" w:tblpY="1"/>
        <w:tblOverlap w:val="never"/>
        <w:tblW w:w="12930" w:type="dxa"/>
        <w:tblLayout w:type="fixed"/>
        <w:tblLook w:val="04A0" w:firstRow="1" w:lastRow="0" w:firstColumn="1" w:lastColumn="0" w:noHBand="0" w:noVBand="1"/>
      </w:tblPr>
      <w:tblGrid>
        <w:gridCol w:w="621"/>
        <w:gridCol w:w="604"/>
        <w:gridCol w:w="712"/>
        <w:gridCol w:w="789"/>
        <w:gridCol w:w="961"/>
        <w:gridCol w:w="1223"/>
        <w:gridCol w:w="1291"/>
        <w:gridCol w:w="1753"/>
        <w:gridCol w:w="897"/>
        <w:gridCol w:w="897"/>
        <w:gridCol w:w="1077"/>
        <w:gridCol w:w="1077"/>
        <w:gridCol w:w="987"/>
        <w:gridCol w:w="41"/>
      </w:tblGrid>
      <w:tr w:rsidR="002417C7" w:rsidRPr="00945156" w14:paraId="16241F34" w14:textId="77777777" w:rsidTr="00052EEE">
        <w:trPr>
          <w:gridAfter w:val="1"/>
          <w:wAfter w:w="41" w:type="dxa"/>
          <w:trHeight w:val="735"/>
        </w:trPr>
        <w:tc>
          <w:tcPr>
            <w:tcW w:w="2726" w:type="dxa"/>
            <w:gridSpan w:val="4"/>
            <w:tcBorders>
              <w:top w:val="single" w:sz="24" w:space="0" w:color="auto"/>
              <w:left w:val="single" w:sz="24" w:space="0" w:color="auto"/>
              <w:bottom w:val="single" w:sz="6" w:space="0" w:color="auto"/>
              <w:right w:val="single" w:sz="6" w:space="0" w:color="auto"/>
            </w:tcBorders>
            <w:noWrap/>
            <w:vAlign w:val="center"/>
            <w:hideMark/>
          </w:tcPr>
          <w:p w14:paraId="10C3975B" w14:textId="77777777" w:rsidR="002417C7" w:rsidRPr="00945156" w:rsidRDefault="002417C7" w:rsidP="00133518">
            <w:pPr>
              <w:jc w:val="center"/>
              <w:rPr>
                <w:rFonts w:ascii="Bell MT" w:hAnsi="Bell MT" w:cs="Arial"/>
                <w:b/>
                <w:bCs/>
                <w:color w:val="000000"/>
                <w:sz w:val="40"/>
                <w:szCs w:val="40"/>
              </w:rPr>
            </w:pPr>
            <w:r w:rsidRPr="00945156">
              <w:rPr>
                <w:rFonts w:ascii="Bell MT" w:hAnsi="Bell MT" w:cs="Arial"/>
                <w:b/>
                <w:bCs/>
                <w:color w:val="000000"/>
                <w:sz w:val="40"/>
                <w:szCs w:val="40"/>
              </w:rPr>
              <w:lastRenderedPageBreak/>
              <w:t xml:space="preserve">Table </w:t>
            </w:r>
            <w:r>
              <w:rPr>
                <w:rFonts w:ascii="Bell MT" w:hAnsi="Bell MT" w:cs="Arial"/>
                <w:b/>
                <w:bCs/>
                <w:color w:val="000000"/>
                <w:sz w:val="40"/>
                <w:szCs w:val="40"/>
              </w:rPr>
              <w:t>VII</w:t>
            </w:r>
          </w:p>
        </w:tc>
        <w:tc>
          <w:tcPr>
            <w:tcW w:w="10163" w:type="dxa"/>
            <w:gridSpan w:val="9"/>
            <w:tcBorders>
              <w:top w:val="single" w:sz="24" w:space="0" w:color="auto"/>
              <w:left w:val="single" w:sz="6" w:space="0" w:color="auto"/>
              <w:bottom w:val="single" w:sz="6" w:space="0" w:color="auto"/>
              <w:right w:val="single" w:sz="24" w:space="0" w:color="auto"/>
            </w:tcBorders>
            <w:vAlign w:val="center"/>
            <w:hideMark/>
          </w:tcPr>
          <w:p w14:paraId="3A9235BB" w14:textId="7A34FFA9" w:rsidR="002417C7" w:rsidRPr="00945156" w:rsidRDefault="002417C7" w:rsidP="00133518">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 xml:space="preserve">ADT: </w:t>
            </w:r>
            <w:r>
              <w:rPr>
                <w:rFonts w:ascii="Arial" w:hAnsi="Arial" w:cs="Arial"/>
                <w:b/>
                <w:bCs/>
                <w:color w:val="000000"/>
                <w:sz w:val="18"/>
                <w:szCs w:val="18"/>
              </w:rPr>
              <w:t xml:space="preserve">&gt; 25,000 </w:t>
            </w:r>
            <w:r w:rsidRPr="00945156">
              <w:rPr>
                <w:rFonts w:ascii="Arial" w:hAnsi="Arial" w:cs="Arial"/>
                <w:b/>
                <w:bCs/>
                <w:color w:val="000000"/>
                <w:sz w:val="18"/>
                <w:szCs w:val="18"/>
              </w:rPr>
              <w:br/>
              <w:t xml:space="preserve">IRI: 0 </w:t>
            </w:r>
            <w:r>
              <w:rPr>
                <w:rFonts w:ascii="Arial" w:hAnsi="Arial" w:cs="Arial"/>
                <w:b/>
                <w:bCs/>
                <w:color w:val="000000"/>
                <w:sz w:val="18"/>
                <w:szCs w:val="18"/>
              </w:rPr>
              <w:t>to ≤</w:t>
            </w:r>
            <w:r w:rsidRPr="00945156">
              <w:rPr>
                <w:rFonts w:ascii="Arial" w:hAnsi="Arial" w:cs="Arial"/>
                <w:b/>
                <w:bCs/>
                <w:color w:val="000000"/>
                <w:sz w:val="18"/>
                <w:szCs w:val="18"/>
              </w:rPr>
              <w:t xml:space="preserve"> 1</w:t>
            </w:r>
            <w:r w:rsidR="001E70D2">
              <w:rPr>
                <w:rFonts w:ascii="Arial" w:hAnsi="Arial" w:cs="Arial"/>
                <w:b/>
                <w:bCs/>
                <w:color w:val="000000"/>
                <w:sz w:val="18"/>
                <w:szCs w:val="18"/>
              </w:rPr>
              <w:t>2</w:t>
            </w:r>
            <w:r w:rsidRPr="00945156">
              <w:rPr>
                <w:rFonts w:ascii="Arial" w:hAnsi="Arial" w:cs="Arial"/>
                <w:b/>
                <w:bCs/>
                <w:color w:val="000000"/>
                <w:sz w:val="18"/>
                <w:szCs w:val="18"/>
              </w:rPr>
              <w:t>0</w:t>
            </w:r>
          </w:p>
        </w:tc>
      </w:tr>
      <w:tr w:rsidR="002417C7" w:rsidRPr="00945156" w14:paraId="55E32C54" w14:textId="77777777" w:rsidTr="00052EEE">
        <w:trPr>
          <w:gridAfter w:val="1"/>
          <w:wAfter w:w="41" w:type="dxa"/>
          <w:trHeight w:val="465"/>
        </w:trPr>
        <w:tc>
          <w:tcPr>
            <w:tcW w:w="621" w:type="dxa"/>
            <w:tcBorders>
              <w:top w:val="single" w:sz="6" w:space="0" w:color="auto"/>
              <w:left w:val="single" w:sz="24" w:space="0" w:color="auto"/>
              <w:bottom w:val="single" w:sz="24" w:space="0" w:color="auto"/>
              <w:right w:val="single" w:sz="6" w:space="0" w:color="auto"/>
            </w:tcBorders>
            <w:vAlign w:val="center"/>
            <w:hideMark/>
          </w:tcPr>
          <w:p w14:paraId="02CDC052" w14:textId="5A07B1DD"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604" w:type="dxa"/>
            <w:tcBorders>
              <w:top w:val="single" w:sz="6" w:space="0" w:color="auto"/>
              <w:left w:val="single" w:sz="6" w:space="0" w:color="auto"/>
              <w:bottom w:val="single" w:sz="24" w:space="0" w:color="auto"/>
              <w:right w:val="single" w:sz="6" w:space="0" w:color="auto"/>
            </w:tcBorders>
            <w:vAlign w:val="center"/>
            <w:hideMark/>
          </w:tcPr>
          <w:p w14:paraId="2A57C6A2" w14:textId="743F511C" w:rsidR="002417C7" w:rsidRPr="00945156" w:rsidRDefault="00A2289E" w:rsidP="00133518">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712" w:type="dxa"/>
            <w:tcBorders>
              <w:top w:val="single" w:sz="6" w:space="0" w:color="auto"/>
              <w:left w:val="single" w:sz="6" w:space="0" w:color="auto"/>
              <w:bottom w:val="single" w:sz="24" w:space="0" w:color="auto"/>
              <w:right w:val="single" w:sz="6" w:space="0" w:color="auto"/>
            </w:tcBorders>
            <w:vAlign w:val="center"/>
            <w:hideMark/>
          </w:tcPr>
          <w:p w14:paraId="046BFB37" w14:textId="77777777" w:rsidR="002417C7" w:rsidRPr="00945156" w:rsidRDefault="002417C7" w:rsidP="00133518">
            <w:pPr>
              <w:jc w:val="center"/>
              <w:rPr>
                <w:rFonts w:ascii="Arial" w:hAnsi="Arial" w:cs="Arial"/>
                <w:b/>
                <w:bCs/>
                <w:color w:val="000000"/>
                <w:sz w:val="16"/>
                <w:szCs w:val="16"/>
              </w:rPr>
            </w:pPr>
            <w:r>
              <w:rPr>
                <w:rFonts w:ascii="Arial" w:hAnsi="Arial" w:cs="Arial"/>
                <w:b/>
                <w:bCs/>
                <w:color w:val="000000"/>
                <w:sz w:val="16"/>
                <w:szCs w:val="16"/>
              </w:rPr>
              <w:t>Skid</w:t>
            </w:r>
          </w:p>
        </w:tc>
        <w:tc>
          <w:tcPr>
            <w:tcW w:w="789" w:type="dxa"/>
            <w:tcBorders>
              <w:top w:val="single" w:sz="6" w:space="0" w:color="auto"/>
              <w:left w:val="single" w:sz="6" w:space="0" w:color="auto"/>
              <w:bottom w:val="single" w:sz="24" w:space="0" w:color="auto"/>
              <w:right w:val="single" w:sz="6" w:space="0" w:color="auto"/>
            </w:tcBorders>
            <w:vAlign w:val="center"/>
            <w:hideMark/>
          </w:tcPr>
          <w:p w14:paraId="3D91269A"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61" w:type="dxa"/>
            <w:tcBorders>
              <w:top w:val="single" w:sz="6" w:space="0" w:color="auto"/>
              <w:left w:val="single" w:sz="6" w:space="0" w:color="auto"/>
              <w:bottom w:val="single" w:sz="24" w:space="0" w:color="auto"/>
              <w:right w:val="single" w:sz="6" w:space="0" w:color="auto"/>
            </w:tcBorders>
            <w:vAlign w:val="center"/>
            <w:hideMark/>
          </w:tcPr>
          <w:p w14:paraId="0482AF93"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23" w:type="dxa"/>
            <w:tcBorders>
              <w:top w:val="single" w:sz="6" w:space="0" w:color="auto"/>
              <w:left w:val="single" w:sz="6" w:space="0" w:color="auto"/>
              <w:bottom w:val="single" w:sz="24" w:space="0" w:color="auto"/>
              <w:right w:val="single" w:sz="6" w:space="0" w:color="auto"/>
            </w:tcBorders>
            <w:vAlign w:val="center"/>
            <w:hideMark/>
          </w:tcPr>
          <w:p w14:paraId="249654C6"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291" w:type="dxa"/>
            <w:tcBorders>
              <w:top w:val="single" w:sz="6" w:space="0" w:color="auto"/>
              <w:left w:val="single" w:sz="6" w:space="0" w:color="auto"/>
              <w:bottom w:val="single" w:sz="24" w:space="0" w:color="auto"/>
              <w:right w:val="single" w:sz="6" w:space="0" w:color="auto"/>
            </w:tcBorders>
            <w:vAlign w:val="center"/>
            <w:hideMark/>
          </w:tcPr>
          <w:p w14:paraId="363EF683"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53" w:type="dxa"/>
            <w:tcBorders>
              <w:top w:val="single" w:sz="6" w:space="0" w:color="auto"/>
              <w:left w:val="single" w:sz="6" w:space="0" w:color="auto"/>
              <w:bottom w:val="single" w:sz="24" w:space="0" w:color="auto"/>
              <w:right w:val="single" w:sz="6" w:space="0" w:color="auto"/>
            </w:tcBorders>
            <w:vAlign w:val="center"/>
            <w:hideMark/>
          </w:tcPr>
          <w:p w14:paraId="2883DD7A" w14:textId="3C17999B"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sidR="00A2289E">
              <w:rPr>
                <w:rFonts w:ascii="Arial" w:hAnsi="Arial" w:cs="Arial"/>
                <w:b/>
                <w:bCs/>
                <w:color w:val="000000"/>
                <w:sz w:val="16"/>
                <w:szCs w:val="16"/>
              </w:rPr>
              <w:t>Asphalt</w:t>
            </w:r>
            <w:r w:rsidRPr="00945156">
              <w:rPr>
                <w:rFonts w:ascii="Arial" w:hAnsi="Arial" w:cs="Arial"/>
                <w:b/>
                <w:bCs/>
                <w:color w:val="000000"/>
                <w:sz w:val="16"/>
                <w:szCs w:val="16"/>
              </w:rPr>
              <w:t xml:space="preserve"> Overlay</w:t>
            </w:r>
            <w:r w:rsidR="00A24BAA">
              <w:rPr>
                <w:rFonts w:ascii="Arial" w:hAnsi="Arial" w:cs="Arial"/>
                <w:b/>
                <w:bCs/>
                <w:color w:val="000000"/>
                <w:sz w:val="16"/>
                <w:szCs w:val="16"/>
              </w:rPr>
              <w:t>**</w:t>
            </w:r>
          </w:p>
        </w:tc>
        <w:tc>
          <w:tcPr>
            <w:tcW w:w="897" w:type="dxa"/>
            <w:tcBorders>
              <w:top w:val="single" w:sz="6" w:space="0" w:color="auto"/>
              <w:left w:val="single" w:sz="6" w:space="0" w:color="auto"/>
              <w:bottom w:val="single" w:sz="24" w:space="0" w:color="auto"/>
              <w:right w:val="single" w:sz="6" w:space="0" w:color="auto"/>
            </w:tcBorders>
            <w:vAlign w:val="center"/>
            <w:hideMark/>
          </w:tcPr>
          <w:p w14:paraId="65D45BA6" w14:textId="77777777"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897" w:type="dxa"/>
            <w:tcBorders>
              <w:top w:val="single" w:sz="6" w:space="0" w:color="auto"/>
              <w:left w:val="single" w:sz="6" w:space="0" w:color="auto"/>
              <w:bottom w:val="single" w:sz="24" w:space="0" w:color="auto"/>
              <w:right w:val="single" w:sz="6" w:space="0" w:color="auto"/>
            </w:tcBorders>
            <w:vAlign w:val="center"/>
            <w:hideMark/>
          </w:tcPr>
          <w:p w14:paraId="1ECCD057" w14:textId="4570D02B" w:rsidR="002417C7" w:rsidRPr="00945156" w:rsidRDefault="002417C7" w:rsidP="00133518">
            <w:pPr>
              <w:jc w:val="center"/>
              <w:rPr>
                <w:rFonts w:ascii="Arial" w:hAnsi="Arial" w:cs="Arial"/>
                <w:b/>
                <w:bCs/>
                <w:color w:val="000000"/>
                <w:sz w:val="16"/>
                <w:szCs w:val="16"/>
              </w:rPr>
            </w:pPr>
            <w:r w:rsidRPr="00945156">
              <w:rPr>
                <w:rFonts w:ascii="Arial" w:hAnsi="Arial" w:cs="Arial"/>
                <w:b/>
                <w:bCs/>
                <w:color w:val="000000"/>
                <w:sz w:val="16"/>
                <w:szCs w:val="16"/>
              </w:rPr>
              <w:t xml:space="preserve">F. </w:t>
            </w:r>
            <w:r w:rsidR="008D7723">
              <w:rPr>
                <w:rFonts w:ascii="Arial" w:hAnsi="Arial" w:cs="Arial"/>
                <w:b/>
                <w:bCs/>
                <w:color w:val="000000"/>
                <w:sz w:val="16"/>
                <w:szCs w:val="16"/>
              </w:rPr>
              <w:t>Spot Repair</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326155B3" w14:textId="706CA1A7"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G</w:t>
            </w:r>
            <w:r w:rsidR="002417C7" w:rsidRPr="00945156">
              <w:rPr>
                <w:rFonts w:ascii="Arial" w:hAnsi="Arial" w:cs="Arial"/>
                <w:b/>
                <w:bCs/>
                <w:color w:val="000000"/>
                <w:sz w:val="16"/>
                <w:szCs w:val="16"/>
              </w:rPr>
              <w:t xml:space="preserve">. </w:t>
            </w:r>
            <w:r w:rsidR="002417C7">
              <w:rPr>
                <w:rFonts w:ascii="Arial" w:hAnsi="Arial" w:cs="Arial"/>
                <w:b/>
                <w:bCs/>
                <w:color w:val="000000"/>
                <w:sz w:val="16"/>
                <w:szCs w:val="16"/>
              </w:rPr>
              <w:t>Surface Texturizing</w:t>
            </w:r>
          </w:p>
        </w:tc>
        <w:tc>
          <w:tcPr>
            <w:tcW w:w="1077" w:type="dxa"/>
            <w:tcBorders>
              <w:top w:val="single" w:sz="6" w:space="0" w:color="auto"/>
              <w:left w:val="single" w:sz="6" w:space="0" w:color="auto"/>
              <w:bottom w:val="single" w:sz="24" w:space="0" w:color="auto"/>
              <w:right w:val="single" w:sz="6" w:space="0" w:color="auto"/>
            </w:tcBorders>
            <w:vAlign w:val="center"/>
            <w:hideMark/>
          </w:tcPr>
          <w:p w14:paraId="5B21816D" w14:textId="1282756A"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H</w:t>
            </w:r>
            <w:r w:rsidR="002417C7" w:rsidRPr="00945156">
              <w:rPr>
                <w:rFonts w:ascii="Arial" w:hAnsi="Arial" w:cs="Arial"/>
                <w:b/>
                <w:bCs/>
                <w:color w:val="000000"/>
                <w:sz w:val="16"/>
                <w:szCs w:val="16"/>
              </w:rPr>
              <w:t>. Major Rehab</w:t>
            </w:r>
            <w:r w:rsidR="00354BE0">
              <w:rPr>
                <w:rFonts w:ascii="Arial" w:hAnsi="Arial" w:cs="Arial"/>
                <w:b/>
                <w:bCs/>
                <w:color w:val="000000"/>
                <w:sz w:val="16"/>
                <w:szCs w:val="16"/>
              </w:rPr>
              <w:t>**</w:t>
            </w:r>
          </w:p>
        </w:tc>
        <w:tc>
          <w:tcPr>
            <w:tcW w:w="987" w:type="dxa"/>
            <w:tcBorders>
              <w:top w:val="single" w:sz="6" w:space="0" w:color="auto"/>
              <w:left w:val="single" w:sz="6" w:space="0" w:color="auto"/>
              <w:bottom w:val="single" w:sz="24" w:space="0" w:color="auto"/>
              <w:right w:val="single" w:sz="24" w:space="0" w:color="auto"/>
            </w:tcBorders>
            <w:vAlign w:val="center"/>
            <w:hideMark/>
          </w:tcPr>
          <w:p w14:paraId="2F6F24CA" w14:textId="31DF0CCB" w:rsidR="002417C7" w:rsidRPr="00945156" w:rsidRDefault="00A2289E" w:rsidP="00133518">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r w:rsidRPr="00945156">
              <w:rPr>
                <w:rFonts w:ascii="Arial" w:hAnsi="Arial" w:cs="Arial"/>
                <w:b/>
                <w:bCs/>
                <w:color w:val="000000"/>
                <w:sz w:val="16"/>
                <w:szCs w:val="16"/>
              </w:rPr>
              <w:t>struction</w:t>
            </w:r>
          </w:p>
        </w:tc>
      </w:tr>
      <w:tr w:rsidR="00115674" w:rsidRPr="00945156" w14:paraId="5BB11283" w14:textId="77777777" w:rsidTr="00052EEE">
        <w:trPr>
          <w:gridAfter w:val="1"/>
          <w:wAfter w:w="41" w:type="dxa"/>
          <w:trHeight w:val="195"/>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5567532B"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≥25</w:t>
            </w:r>
          </w:p>
          <w:p w14:paraId="07286F48" w14:textId="2E91639B"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3541CBB0" w14:textId="1AA6F2F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382FF10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223FA94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7F4E316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5C94A9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63FD33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24" w:space="0" w:color="auto"/>
              <w:left w:val="single" w:sz="6" w:space="0" w:color="auto"/>
              <w:bottom w:val="single" w:sz="6" w:space="0" w:color="auto"/>
              <w:right w:val="single" w:sz="6" w:space="0" w:color="auto"/>
            </w:tcBorders>
            <w:noWrap/>
            <w:vAlign w:val="center"/>
            <w:hideMark/>
          </w:tcPr>
          <w:p w14:paraId="19975DD2" w14:textId="11C30C4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w:t>
            </w:r>
            <w:r w:rsidR="002417C7" w:rsidRPr="00945156">
              <w:rPr>
                <w:rFonts w:ascii="Arial" w:hAnsi="Arial" w:cs="Arial"/>
                <w:color w:val="000000"/>
                <w:sz w:val="14"/>
                <w:szCs w:val="14"/>
              </w:rPr>
              <w:t>D-</w:t>
            </w:r>
            <w:r>
              <w:rPr>
                <w:rFonts w:ascii="Arial" w:hAnsi="Arial" w:cs="Arial"/>
                <w:color w:val="000000"/>
                <w:sz w:val="14"/>
                <w:szCs w:val="14"/>
              </w:rPr>
              <w:t>4, D-6</w:t>
            </w: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5EF6FD88"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46925B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0D9D3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noWrap/>
            <w:vAlign w:val="center"/>
            <w:hideMark/>
          </w:tcPr>
          <w:p w14:paraId="0FA5CB28" w14:textId="2B2EF1DA"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24" w:space="0" w:color="auto"/>
              <w:left w:val="single" w:sz="6" w:space="0" w:color="auto"/>
              <w:bottom w:val="single" w:sz="6" w:space="0" w:color="auto"/>
              <w:right w:val="single" w:sz="24" w:space="0" w:color="auto"/>
            </w:tcBorders>
            <w:noWrap/>
            <w:vAlign w:val="center"/>
            <w:hideMark/>
          </w:tcPr>
          <w:p w14:paraId="666F6CE2" w14:textId="16FEDB6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p>
        </w:tc>
      </w:tr>
      <w:tr w:rsidR="00115674" w:rsidRPr="00945156" w14:paraId="03B86071"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320017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DE4C57C"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7C791A08"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4CE8AC0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151B690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798C9A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B7D91B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3B4B14B5" w14:textId="48BE9FC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A6642B0"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019391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2B041C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6ED87D5B" w14:textId="61FE9EF4"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024DF4E3" w14:textId="2180F7C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A383CB7"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3587677"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3C5928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4D9337C2"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23CEEAD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5413FA0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D6B695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CB4C1B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7D78492B" w14:textId="25C9FAE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A9BDF99"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8DDB67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CAEC54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27D430C2" w14:textId="67E01DD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125F39C7" w14:textId="5EA7BB2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6F1396E0"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A7E25E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47FE3B5"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594F6EB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7576C1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FDBD4F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F85598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9C75A9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6FEA490F" w14:textId="63C3142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0A01C34E"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0AE4EB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A0FACD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0666511C" w14:textId="6DB0CEF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1E424311" w14:textId="6CE4F19E"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BB93461"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D8FF5F3"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6DB5EBD"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58CE7557"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03786E0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E222A8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FC6866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E1E5BC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2DB3DD00" w14:textId="3A663F3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8321E91"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5CB8B2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CA60EE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1997063F" w14:textId="65F3F68B"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51D74D31" w14:textId="2D1425B8"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E6B48FD"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1B1B567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2CFE16E"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7C07EB29"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6D5788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567EEFA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EBD7EA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6B0154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4C2DD588" w14:textId="58A14D0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1565A2D8"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724E32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D2C23B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016312C1" w14:textId="7C29931C"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50D31F79" w14:textId="5A89F74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4175DE18"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4DBE3A9"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02B98465" w14:textId="0CAF2129"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2218BA6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29B5007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FDF419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2E4742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148F9C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07A1FEB7" w14:textId="3597ECC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6CB55C4A"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4A26A5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5D71F6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08DD171A" w14:textId="4F89356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r w:rsidRPr="00945156" w:rsidDel="00112B8C">
              <w:rPr>
                <w:rFonts w:ascii="Arial" w:hAnsi="Arial" w:cs="Arial"/>
                <w:color w:val="000000"/>
                <w:sz w:val="14"/>
                <w:szCs w:val="14"/>
              </w:rPr>
              <w:t xml:space="preserve"> </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24CC0202" w14:textId="54A93EB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5F164655"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1D6109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C484554"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B988FBE"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16CF38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26C9973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EBA6B3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0AF5E0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12B78FA9" w14:textId="1ECF2E1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270EFAC5"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4B7302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2BE56A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5B0F1763" w14:textId="3550E87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6D011F2F" w14:textId="5E604B7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F1C8694"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495193F"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6F67515"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07F66F63"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141BEAC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E09B40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54C0FB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203A88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11656D6F" w14:textId="56A86E2E"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7B23F0E5"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CDD7C8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7FEF9E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1BC69306" w14:textId="6F839490"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12" w:space="0" w:color="auto"/>
              <w:right w:val="single" w:sz="24" w:space="0" w:color="auto"/>
            </w:tcBorders>
            <w:noWrap/>
            <w:vAlign w:val="center"/>
            <w:hideMark/>
          </w:tcPr>
          <w:p w14:paraId="2C03212D" w14:textId="376F4F5F"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04BE268E"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4639D54"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C9776E3"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29B88E0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282C5DE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91C5BB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FF63BD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461825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2BD20D09" w14:textId="4444D26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344AEC69"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95C3F5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2F6426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5C5EF8F5" w14:textId="73C5B2D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12" w:space="0" w:color="auto"/>
              <w:left w:val="single" w:sz="6" w:space="0" w:color="auto"/>
              <w:bottom w:val="single" w:sz="6" w:space="0" w:color="auto"/>
              <w:right w:val="single" w:sz="24" w:space="0" w:color="auto"/>
            </w:tcBorders>
            <w:noWrap/>
            <w:vAlign w:val="center"/>
            <w:hideMark/>
          </w:tcPr>
          <w:p w14:paraId="4281B309" w14:textId="3AB4A4C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213F7E71"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0DD9D79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930E364"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63907939"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3887705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EECFA3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447F68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7CA98F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325B7E2C" w14:textId="3FAA747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B041F3E"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82F95B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4907C8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360727F5" w14:textId="613B540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6" w:space="0" w:color="auto"/>
              <w:right w:val="single" w:sz="24" w:space="0" w:color="auto"/>
            </w:tcBorders>
            <w:noWrap/>
            <w:vAlign w:val="center"/>
            <w:hideMark/>
          </w:tcPr>
          <w:p w14:paraId="4B94A9B6" w14:textId="44098BD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098F3E9" w14:textId="77777777" w:rsidTr="00052EEE">
        <w:trPr>
          <w:gridAfter w:val="1"/>
          <w:wAfter w:w="41" w:type="dxa"/>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1BE267E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57B9D5C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0F49FABF" w14:textId="77777777" w:rsidR="002417C7" w:rsidRPr="00945156" w:rsidRDefault="002417C7" w:rsidP="00133518">
            <w:pPr>
              <w:jc w:val="cente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24253C9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43933AF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249C6B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6359EC3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24" w:space="0" w:color="auto"/>
              <w:right w:val="single" w:sz="6" w:space="0" w:color="auto"/>
            </w:tcBorders>
            <w:noWrap/>
            <w:vAlign w:val="center"/>
            <w:hideMark/>
          </w:tcPr>
          <w:p w14:paraId="0BC7021A" w14:textId="59A60964"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4</w:t>
            </w:r>
            <w:r w:rsidRPr="00945156">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6CA851F2"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E-1</w:t>
            </w:r>
          </w:p>
        </w:tc>
        <w:tc>
          <w:tcPr>
            <w:tcW w:w="89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05C9B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4BB683A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33E60772" w14:textId="07B2D6A7"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H</w:t>
            </w:r>
            <w:r w:rsidR="002417C7" w:rsidRPr="00945156">
              <w:rPr>
                <w:rFonts w:ascii="Arial" w:hAnsi="Arial" w:cs="Arial"/>
                <w:color w:val="000000"/>
                <w:sz w:val="14"/>
                <w:szCs w:val="14"/>
              </w:rPr>
              <w:t>-1</w:t>
            </w:r>
            <w:r w:rsidR="002417C7">
              <w:rPr>
                <w:rFonts w:ascii="Arial" w:hAnsi="Arial" w:cs="Arial"/>
                <w:color w:val="000000"/>
                <w:sz w:val="14"/>
                <w:szCs w:val="14"/>
              </w:rPr>
              <w:t xml:space="preserve">, </w:t>
            </w:r>
            <w:r>
              <w:rPr>
                <w:rFonts w:ascii="Arial" w:hAnsi="Arial" w:cs="Arial"/>
                <w:color w:val="000000"/>
                <w:sz w:val="14"/>
                <w:szCs w:val="14"/>
              </w:rPr>
              <w:t>H</w:t>
            </w:r>
            <w:r w:rsidR="002417C7">
              <w:rPr>
                <w:rFonts w:ascii="Arial" w:hAnsi="Arial" w:cs="Arial"/>
                <w:color w:val="000000"/>
                <w:sz w:val="14"/>
                <w:szCs w:val="14"/>
              </w:rPr>
              <w:t>-2</w:t>
            </w:r>
            <w:r>
              <w:rPr>
                <w:rFonts w:ascii="Arial" w:hAnsi="Arial" w:cs="Arial"/>
                <w:color w:val="000000"/>
                <w:sz w:val="14"/>
                <w:szCs w:val="14"/>
              </w:rPr>
              <w:t>, H</w:t>
            </w:r>
            <w:r w:rsidR="002417C7">
              <w:rPr>
                <w:rFonts w:ascii="Arial" w:hAnsi="Arial" w:cs="Arial"/>
                <w:color w:val="000000"/>
                <w:sz w:val="14"/>
                <w:szCs w:val="14"/>
              </w:rPr>
              <w:t>-3</w:t>
            </w:r>
          </w:p>
        </w:tc>
        <w:tc>
          <w:tcPr>
            <w:tcW w:w="987" w:type="dxa"/>
            <w:tcBorders>
              <w:top w:val="single" w:sz="6" w:space="0" w:color="auto"/>
              <w:left w:val="single" w:sz="6" w:space="0" w:color="auto"/>
              <w:bottom w:val="single" w:sz="24" w:space="0" w:color="auto"/>
              <w:right w:val="single" w:sz="24" w:space="0" w:color="auto"/>
            </w:tcBorders>
            <w:noWrap/>
            <w:vAlign w:val="center"/>
            <w:hideMark/>
          </w:tcPr>
          <w:p w14:paraId="1AB86F77" w14:textId="4DCE007E"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I</w:t>
            </w:r>
            <w:r w:rsidR="002417C7" w:rsidRPr="00945156">
              <w:rPr>
                <w:rFonts w:ascii="Arial" w:hAnsi="Arial" w:cs="Arial"/>
                <w:color w:val="000000"/>
                <w:sz w:val="14"/>
                <w:szCs w:val="14"/>
              </w:rPr>
              <w:t xml:space="preserve">-1, </w:t>
            </w:r>
            <w:r>
              <w:rPr>
                <w:rFonts w:ascii="Arial" w:hAnsi="Arial" w:cs="Arial"/>
                <w:color w:val="000000"/>
                <w:sz w:val="14"/>
                <w:szCs w:val="14"/>
              </w:rPr>
              <w:t>1</w:t>
            </w:r>
            <w:r w:rsidR="002417C7"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115674" w:rsidRPr="00945156" w14:paraId="3BBF5303" w14:textId="77777777" w:rsidTr="00052EEE">
        <w:trPr>
          <w:gridAfter w:val="1"/>
          <w:wAfter w:w="41" w:type="dxa"/>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1C1A5B67" w14:textId="72F5CCB1" w:rsidR="00A2289E" w:rsidRDefault="00A2289E" w:rsidP="00A2289E">
            <w:pPr>
              <w:jc w:val="center"/>
              <w:rPr>
                <w:rFonts w:ascii="Arial" w:hAnsi="Arial" w:cs="Arial"/>
                <w:color w:val="000000"/>
                <w:sz w:val="14"/>
                <w:szCs w:val="14"/>
              </w:rPr>
            </w:pPr>
            <w:r>
              <w:rPr>
                <w:rFonts w:ascii="Arial" w:hAnsi="Arial" w:cs="Arial"/>
                <w:color w:val="000000"/>
                <w:sz w:val="14"/>
                <w:szCs w:val="14"/>
              </w:rPr>
              <w:t>≥5</w:t>
            </w:r>
            <w:r w:rsidR="002417C7">
              <w:rPr>
                <w:rFonts w:ascii="Arial" w:hAnsi="Arial" w:cs="Arial"/>
                <w:color w:val="000000"/>
                <w:sz w:val="14"/>
                <w:szCs w:val="14"/>
              </w:rPr>
              <w:t xml:space="preserve"> to </w:t>
            </w:r>
            <w:r>
              <w:rPr>
                <w:rFonts w:ascii="Arial" w:hAnsi="Arial" w:cs="Arial"/>
                <w:color w:val="000000"/>
                <w:sz w:val="14"/>
                <w:szCs w:val="14"/>
              </w:rPr>
              <w:t>&lt;25</w:t>
            </w:r>
          </w:p>
          <w:p w14:paraId="76D1F6A7" w14:textId="4621135D" w:rsidR="002417C7" w:rsidRPr="00945156" w:rsidRDefault="002417C7"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6FF049AB" w14:textId="7DF0BBA3"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70471FA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73953CB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3F47924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7C448A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023D66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24" w:space="0" w:color="auto"/>
              <w:left w:val="single" w:sz="6" w:space="0" w:color="auto"/>
              <w:bottom w:val="single" w:sz="6" w:space="0" w:color="auto"/>
              <w:right w:val="single" w:sz="6" w:space="0" w:color="auto"/>
            </w:tcBorders>
            <w:noWrap/>
            <w:vAlign w:val="center"/>
            <w:hideMark/>
          </w:tcPr>
          <w:p w14:paraId="79E42B6A" w14:textId="175B48C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1627C18" w14:textId="77777777" w:rsidR="002417C7" w:rsidRPr="00945156" w:rsidRDefault="002417C7" w:rsidP="00133518">
            <w:pPr>
              <w:jc w:val="center"/>
              <w:rPr>
                <w:rFonts w:ascii="Arial" w:hAnsi="Arial" w:cs="Arial"/>
                <w:color w:val="000000"/>
                <w:sz w:val="14"/>
                <w:szCs w:val="14"/>
              </w:rPr>
            </w:pP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7A3F6CDF" w14:textId="2A10802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6E40A42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0E5E01B" w14:textId="24042881" w:rsidR="002417C7" w:rsidRPr="00945156" w:rsidRDefault="002417C7" w:rsidP="00133518">
            <w:pPr>
              <w:jc w:val="center"/>
              <w:rPr>
                <w:rFonts w:ascii="Arial" w:hAnsi="Arial" w:cs="Arial"/>
                <w:color w:val="000000"/>
                <w:sz w:val="14"/>
                <w:szCs w:val="14"/>
              </w:rPr>
            </w:pP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DD33C5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B9AF5A5"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5E07FC5"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0926EB4"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CADA378"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7C64EF4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73CADC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DE497D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5A120E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517891BD" w14:textId="4E929C6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197BEC9C" w14:textId="433B064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230D432" w14:textId="4A6BE872"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6494C7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5085ECF" w14:textId="6986F674"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D29E74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B5DB558"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2CEAD2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DD4C44C"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567B745F"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92C356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1009A8E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DA182C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82201F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6BB2A1D1" w14:textId="4796993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EF6D280"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1DF650D8" w14:textId="2F5D058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D8827D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B6E285F" w14:textId="77806D6D"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0C0F8B3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6A873E1"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502D96B"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95BBFA7"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0FD4451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D6B012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6D1937A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B78B16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03A64A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3B344956" w14:textId="14F2F36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FEE4CF2" w14:textId="77777777" w:rsidR="002417C7" w:rsidRPr="00945156" w:rsidRDefault="002417C7" w:rsidP="00133518">
            <w:pPr>
              <w:jc w:val="center"/>
              <w:rPr>
                <w:rFonts w:ascii="Arial" w:hAnsi="Arial" w:cs="Arial"/>
                <w:color w:val="000000"/>
                <w:sz w:val="14"/>
                <w:szCs w:val="14"/>
              </w:rPr>
            </w:pP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540ABE8C" w14:textId="2386FEB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B3CEA8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AFD5B6A" w14:textId="476F5841"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4A8B15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99403C7"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77262B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A4105FB"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1B8F3452"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FD6E1D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51A3BE5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1C9EE6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ACB438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32EB4E2B" w14:textId="1599A02A"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08228837" w14:textId="724E9F02"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2FD04920" w14:textId="4D3705F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4920B5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1CAFE92" w14:textId="41A229F9"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39516A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04E9FC5"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E61B8CA"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05FB12E0"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0C0FC7A9"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46B5F4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3633328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526826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165214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6FB975CE" w14:textId="5A05B3B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8E94CB5"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693092BE" w14:textId="4BC3A41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77A7EC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015F8160" w14:textId="27CB3B89"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47F2FFD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E5E39EE"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3542FBD" w14:textId="77777777" w:rsidR="002417C7" w:rsidRPr="00945156" w:rsidRDefault="002417C7"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7FB86A6E" w14:textId="33755FC6"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60D7F91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587AEBCC"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7EB4DD2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B951E8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2C0D02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59FF0B90" w14:textId="38E8094B"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86B7C83" w14:textId="77777777" w:rsidR="002417C7" w:rsidRPr="00945156" w:rsidRDefault="002417C7" w:rsidP="00133518">
            <w:pPr>
              <w:jc w:val="center"/>
              <w:rPr>
                <w:rFonts w:ascii="Arial" w:hAnsi="Arial" w:cs="Arial"/>
                <w:color w:val="000000"/>
                <w:sz w:val="14"/>
                <w:szCs w:val="14"/>
              </w:rPr>
            </w:pP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3E948854" w14:textId="00CFA7C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33ED71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CCE0EED" w14:textId="38B95E55"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81F932F"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9599FAD"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FE140B8"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3F7CA3D7"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2BA65682"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2751862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D955B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5D46D0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167802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1AAB62FC" w14:textId="3A64C5C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C010DBA" w14:textId="3CBC4F95"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0F786A8C" w14:textId="1F45DB80"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99C256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65377CC" w14:textId="470480DE"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1B279A5D"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673B786"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E4F8B09"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C95B448"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06320A19"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8BA0FB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24F8AC0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2EC614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15BFD3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710DF188" w14:textId="29863491"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EF7E46B"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4702BA02" w14:textId="25F181A5"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EA6B019"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BBE92F6" w14:textId="1C9B6B08"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0918C615"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8D17E4C"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0544361"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BA9C6D0" w14:textId="77777777" w:rsidR="002417C7" w:rsidRPr="00945156" w:rsidRDefault="002417C7"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6B3D0D06"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20299BF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77500A4B"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4A7E3B8"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7D7E91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411578EF" w14:textId="1165C8E8"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w:t>
            </w:r>
            <w:r w:rsidR="00A2289E">
              <w:rPr>
                <w:rFonts w:ascii="Arial" w:hAnsi="Arial" w:cs="Arial"/>
                <w:color w:val="000000"/>
                <w:sz w:val="14"/>
                <w:szCs w:val="14"/>
              </w:rPr>
              <w:t>4,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FCD4C67" w14:textId="77777777" w:rsidR="002417C7" w:rsidRPr="00945156" w:rsidRDefault="002417C7" w:rsidP="00133518">
            <w:pPr>
              <w:jc w:val="center"/>
              <w:rPr>
                <w:rFonts w:ascii="Arial" w:hAnsi="Arial" w:cs="Arial"/>
                <w:color w:val="000000"/>
                <w:sz w:val="14"/>
                <w:szCs w:val="14"/>
              </w:rPr>
            </w:pP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31F8F49E" w14:textId="5DAA466D"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6CD2C2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8231347" w14:textId="08D92C33" w:rsidR="002417C7" w:rsidRPr="00945156" w:rsidRDefault="002417C7" w:rsidP="00133518">
            <w:pPr>
              <w:jc w:val="center"/>
              <w:rPr>
                <w:rFonts w:ascii="Arial" w:hAnsi="Arial" w:cs="Arial"/>
                <w:color w:val="000000"/>
                <w:sz w:val="14"/>
                <w:szCs w:val="14"/>
              </w:rPr>
            </w:pP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4A77F74"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8CA535F"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7E71EDE"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898351D"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23A8D27"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1B45CF2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0282D8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066C320"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1584F8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33EF0080" w14:textId="0E8151AF"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w:t>
            </w:r>
            <w:r w:rsidR="00A2289E">
              <w:rPr>
                <w:rFonts w:ascii="Arial" w:hAnsi="Arial" w:cs="Arial"/>
                <w:color w:val="000000"/>
                <w:sz w:val="14"/>
                <w:szCs w:val="14"/>
              </w:rPr>
              <w:t>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72F30148" w14:textId="479FDA5D" w:rsidR="002417C7"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6F8510F4" w14:textId="5A88F926"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EE84CC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0D5B2E1" w14:textId="1227600C"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13C13A3"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2657B141" w14:textId="77777777" w:rsidTr="00052EEE">
        <w:trPr>
          <w:gridAfter w:val="1"/>
          <w:wAfter w:w="41" w:type="dxa"/>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74ED206D" w14:textId="77777777" w:rsidR="002417C7" w:rsidRPr="00945156" w:rsidRDefault="002417C7" w:rsidP="00133518">
            <w:pPr>
              <w:rPr>
                <w:rFonts w:ascii="Arial" w:hAnsi="Arial" w:cs="Arial"/>
                <w:color w:val="000000"/>
                <w:sz w:val="14"/>
                <w:szCs w:val="14"/>
              </w:rPr>
            </w:pPr>
          </w:p>
        </w:tc>
        <w:tc>
          <w:tcPr>
            <w:tcW w:w="604" w:type="dxa"/>
            <w:vMerge/>
            <w:tcBorders>
              <w:top w:val="single" w:sz="6" w:space="0" w:color="auto"/>
              <w:left w:val="single" w:sz="6" w:space="0" w:color="auto"/>
              <w:bottom w:val="single" w:sz="24" w:space="0" w:color="auto"/>
              <w:right w:val="single" w:sz="6" w:space="0" w:color="auto"/>
            </w:tcBorders>
            <w:vAlign w:val="center"/>
            <w:hideMark/>
          </w:tcPr>
          <w:p w14:paraId="4801E949" w14:textId="77777777" w:rsidR="002417C7" w:rsidRPr="00945156" w:rsidRDefault="002417C7" w:rsidP="00133518">
            <w:pPr>
              <w:rPr>
                <w:rFonts w:ascii="Arial" w:hAnsi="Arial" w:cs="Arial"/>
                <w:color w:val="000000"/>
                <w:sz w:val="14"/>
                <w:szCs w:val="14"/>
              </w:rPr>
            </w:pPr>
          </w:p>
        </w:tc>
        <w:tc>
          <w:tcPr>
            <w:tcW w:w="712" w:type="dxa"/>
            <w:vMerge/>
            <w:tcBorders>
              <w:top w:val="single" w:sz="6" w:space="0" w:color="auto"/>
              <w:left w:val="single" w:sz="6" w:space="0" w:color="auto"/>
              <w:bottom w:val="single" w:sz="24" w:space="0" w:color="auto"/>
              <w:right w:val="single" w:sz="6" w:space="0" w:color="auto"/>
            </w:tcBorders>
            <w:vAlign w:val="center"/>
            <w:hideMark/>
          </w:tcPr>
          <w:p w14:paraId="0C5F80BF" w14:textId="77777777" w:rsidR="002417C7" w:rsidRPr="00945156" w:rsidRDefault="002417C7" w:rsidP="00133518">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46DAD017"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536DDEB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23"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3906F771"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291"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5B4F6A6A"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753" w:type="dxa"/>
            <w:tcBorders>
              <w:top w:val="single" w:sz="6" w:space="0" w:color="auto"/>
              <w:left w:val="single" w:sz="6" w:space="0" w:color="auto"/>
              <w:bottom w:val="single" w:sz="24" w:space="0" w:color="auto"/>
              <w:right w:val="single" w:sz="6" w:space="0" w:color="auto"/>
            </w:tcBorders>
            <w:noWrap/>
            <w:vAlign w:val="center"/>
            <w:hideMark/>
          </w:tcPr>
          <w:p w14:paraId="10B23F79" w14:textId="4BDC3613"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D-</w:t>
            </w:r>
            <w:r w:rsidR="00A2289E" w:rsidRPr="00945156">
              <w:rPr>
                <w:rFonts w:ascii="Arial" w:hAnsi="Arial" w:cs="Arial"/>
                <w:color w:val="000000"/>
                <w:sz w:val="14"/>
                <w:szCs w:val="14"/>
              </w:rPr>
              <w:t>3</w:t>
            </w:r>
            <w:r w:rsidR="00A2289E">
              <w:rPr>
                <w:rFonts w:ascii="Arial" w:hAnsi="Arial" w:cs="Arial"/>
                <w:color w:val="000000"/>
                <w:sz w:val="14"/>
                <w:szCs w:val="14"/>
              </w:rPr>
              <w:t>,</w:t>
            </w:r>
            <w:r>
              <w:rPr>
                <w:rFonts w:ascii="Arial" w:hAnsi="Arial" w:cs="Arial"/>
                <w:color w:val="000000"/>
                <w:sz w:val="14"/>
                <w:szCs w:val="14"/>
              </w:rPr>
              <w:t xml:space="preserve"> D-</w:t>
            </w:r>
            <w:r w:rsidR="00A2289E">
              <w:rPr>
                <w:rFonts w:ascii="Arial" w:hAnsi="Arial" w:cs="Arial"/>
                <w:color w:val="000000"/>
                <w:sz w:val="14"/>
                <w:szCs w:val="14"/>
              </w:rPr>
              <w:t>4, D-6</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2139CC11" w14:textId="77777777" w:rsidR="002417C7" w:rsidRPr="00945156" w:rsidRDefault="002417C7"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41566A1D" w14:textId="1778CF09"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2B31AE62"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2BFBA2E5" w14:textId="5A135BD4" w:rsidR="002417C7" w:rsidRPr="00945156" w:rsidRDefault="002417C7" w:rsidP="00133518">
            <w:pPr>
              <w:jc w:val="center"/>
              <w:rPr>
                <w:rFonts w:ascii="Arial" w:hAnsi="Arial" w:cs="Arial"/>
                <w:color w:val="000000"/>
                <w:sz w:val="14"/>
                <w:szCs w:val="14"/>
              </w:rPr>
            </w:pPr>
          </w:p>
        </w:tc>
        <w:tc>
          <w:tcPr>
            <w:tcW w:w="987"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6FA4F4FE" w14:textId="77777777" w:rsidR="002417C7" w:rsidRPr="00945156" w:rsidRDefault="002417C7"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771ABAF" w14:textId="77777777" w:rsidTr="00052EEE">
        <w:trPr>
          <w:gridAfter w:val="1"/>
          <w:wAfter w:w="41" w:type="dxa"/>
          <w:trHeight w:val="180"/>
        </w:trPr>
        <w:tc>
          <w:tcPr>
            <w:tcW w:w="621" w:type="dxa"/>
            <w:vMerge w:val="restart"/>
            <w:tcBorders>
              <w:top w:val="single" w:sz="24" w:space="0" w:color="auto"/>
              <w:left w:val="single" w:sz="24" w:space="0" w:color="auto"/>
              <w:bottom w:val="single" w:sz="6" w:space="0" w:color="auto"/>
              <w:right w:val="single" w:sz="6" w:space="0" w:color="auto"/>
            </w:tcBorders>
            <w:noWrap/>
            <w:vAlign w:val="center"/>
            <w:hideMark/>
          </w:tcPr>
          <w:p w14:paraId="10AB5926"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&lt;5</w:t>
            </w:r>
          </w:p>
          <w:p w14:paraId="0D37E38E" w14:textId="06126FE0" w:rsidR="007E4519" w:rsidRPr="00945156" w:rsidRDefault="007E4519" w:rsidP="00133518">
            <w:pPr>
              <w:jc w:val="center"/>
              <w:rPr>
                <w:rFonts w:ascii="Arial" w:hAnsi="Arial" w:cs="Arial"/>
                <w:color w:val="000000"/>
                <w:sz w:val="14"/>
                <w:szCs w:val="14"/>
              </w:rPr>
            </w:pPr>
          </w:p>
        </w:tc>
        <w:tc>
          <w:tcPr>
            <w:tcW w:w="604" w:type="dxa"/>
            <w:vMerge w:val="restart"/>
            <w:tcBorders>
              <w:top w:val="single" w:sz="24" w:space="0" w:color="auto"/>
              <w:left w:val="single" w:sz="6" w:space="0" w:color="auto"/>
              <w:bottom w:val="single" w:sz="6" w:space="0" w:color="auto"/>
              <w:right w:val="single" w:sz="6" w:space="0" w:color="auto"/>
            </w:tcBorders>
            <w:vAlign w:val="center"/>
            <w:hideMark/>
          </w:tcPr>
          <w:p w14:paraId="3421895E" w14:textId="0C5A9D53"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≤10</w:t>
            </w:r>
          </w:p>
        </w:tc>
        <w:tc>
          <w:tcPr>
            <w:tcW w:w="712" w:type="dxa"/>
            <w:vMerge w:val="restart"/>
            <w:tcBorders>
              <w:top w:val="single" w:sz="24" w:space="0" w:color="auto"/>
              <w:left w:val="single" w:sz="6" w:space="0" w:color="auto"/>
              <w:bottom w:val="single" w:sz="6" w:space="0" w:color="auto"/>
              <w:right w:val="single" w:sz="6" w:space="0" w:color="auto"/>
            </w:tcBorders>
            <w:noWrap/>
            <w:vAlign w:val="center"/>
            <w:hideMark/>
          </w:tcPr>
          <w:p w14:paraId="059F9945"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24" w:space="0" w:color="auto"/>
              <w:left w:val="single" w:sz="6" w:space="0" w:color="auto"/>
              <w:bottom w:val="single" w:sz="6" w:space="0" w:color="auto"/>
              <w:right w:val="single" w:sz="6" w:space="0" w:color="auto"/>
            </w:tcBorders>
            <w:noWrap/>
            <w:vAlign w:val="center"/>
            <w:hideMark/>
          </w:tcPr>
          <w:p w14:paraId="56C78F6E"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24" w:space="0" w:color="auto"/>
              <w:left w:val="single" w:sz="6" w:space="0" w:color="auto"/>
              <w:bottom w:val="single" w:sz="6" w:space="0" w:color="auto"/>
              <w:right w:val="single" w:sz="6" w:space="0" w:color="auto"/>
            </w:tcBorders>
            <w:vAlign w:val="center"/>
            <w:hideMark/>
          </w:tcPr>
          <w:p w14:paraId="40D664F9"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A-1</w:t>
            </w:r>
          </w:p>
        </w:tc>
        <w:tc>
          <w:tcPr>
            <w:tcW w:w="1223"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BEC8184" w14:textId="77777777" w:rsidR="007E4519" w:rsidRPr="00945156" w:rsidRDefault="007E4519" w:rsidP="00133518">
            <w:pPr>
              <w:jc w:val="center"/>
              <w:rPr>
                <w:rFonts w:ascii="Arial" w:hAnsi="Arial" w:cs="Arial"/>
                <w:color w:val="000000"/>
                <w:sz w:val="14"/>
                <w:szCs w:val="14"/>
              </w:rPr>
            </w:pPr>
          </w:p>
        </w:tc>
        <w:tc>
          <w:tcPr>
            <w:tcW w:w="1291" w:type="dxa"/>
            <w:tcBorders>
              <w:top w:val="single" w:sz="24" w:space="0" w:color="auto"/>
              <w:left w:val="single" w:sz="6" w:space="0" w:color="auto"/>
              <w:bottom w:val="single" w:sz="6" w:space="0" w:color="auto"/>
              <w:right w:val="single" w:sz="6" w:space="0" w:color="auto"/>
            </w:tcBorders>
            <w:noWrap/>
            <w:vAlign w:val="center"/>
            <w:hideMark/>
          </w:tcPr>
          <w:p w14:paraId="3B3195B9" w14:textId="0B522E6E" w:rsidR="007E4519" w:rsidRPr="00945156" w:rsidRDefault="007E4519"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3</w:t>
            </w:r>
          </w:p>
        </w:tc>
        <w:tc>
          <w:tcPr>
            <w:tcW w:w="1753" w:type="dxa"/>
            <w:tcBorders>
              <w:top w:val="single" w:sz="24" w:space="0" w:color="auto"/>
              <w:left w:val="single" w:sz="6" w:space="0" w:color="auto"/>
              <w:bottom w:val="single" w:sz="6" w:space="0" w:color="auto"/>
              <w:right w:val="single" w:sz="6" w:space="0" w:color="auto"/>
            </w:tcBorders>
            <w:noWrap/>
            <w:vAlign w:val="center"/>
            <w:hideMark/>
          </w:tcPr>
          <w:p w14:paraId="78499BEB" w14:textId="2C0561A9"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thru D-6</w:t>
            </w:r>
          </w:p>
        </w:tc>
        <w:tc>
          <w:tcPr>
            <w:tcW w:w="89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AEF6BAD" w14:textId="77777777" w:rsidR="007E4519" w:rsidRPr="00945156" w:rsidRDefault="007E4519" w:rsidP="00133518">
            <w:pPr>
              <w:jc w:val="center"/>
              <w:rPr>
                <w:rFonts w:ascii="Arial" w:hAnsi="Arial" w:cs="Arial"/>
                <w:color w:val="000000"/>
                <w:sz w:val="14"/>
                <w:szCs w:val="14"/>
              </w:rPr>
            </w:pPr>
          </w:p>
        </w:tc>
        <w:tc>
          <w:tcPr>
            <w:tcW w:w="897" w:type="dxa"/>
            <w:tcBorders>
              <w:top w:val="single" w:sz="24" w:space="0" w:color="auto"/>
              <w:left w:val="single" w:sz="6" w:space="0" w:color="auto"/>
              <w:bottom w:val="single" w:sz="6" w:space="0" w:color="auto"/>
              <w:right w:val="single" w:sz="6" w:space="0" w:color="auto"/>
            </w:tcBorders>
            <w:noWrap/>
            <w:vAlign w:val="center"/>
            <w:hideMark/>
          </w:tcPr>
          <w:p w14:paraId="0E029581"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42E3E8C"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D223BAD"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5584C3E"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3061B662"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ED42526" w14:textId="77777777" w:rsidR="007E4519" w:rsidRPr="00945156" w:rsidRDefault="007E4519"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BA21512" w14:textId="77777777" w:rsidR="007E4519" w:rsidRPr="00945156" w:rsidRDefault="007E4519"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040F2D88" w14:textId="77777777" w:rsidR="007E4519" w:rsidRPr="00945156" w:rsidRDefault="007E4519"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555273A7"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vAlign w:val="center"/>
            <w:hideMark/>
          </w:tcPr>
          <w:p w14:paraId="572B9ED0"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A-1</w:t>
            </w: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F7886E7" w14:textId="77777777" w:rsidR="007E4519" w:rsidRPr="00945156" w:rsidRDefault="007E4519" w:rsidP="00133518">
            <w:pPr>
              <w:jc w:val="center"/>
              <w:rPr>
                <w:rFonts w:ascii="Arial" w:hAnsi="Arial" w:cs="Arial"/>
                <w:color w:val="000000"/>
                <w:sz w:val="14"/>
                <w:szCs w:val="14"/>
              </w:rPr>
            </w:pPr>
          </w:p>
        </w:tc>
        <w:tc>
          <w:tcPr>
            <w:tcW w:w="1291" w:type="dxa"/>
            <w:tcBorders>
              <w:top w:val="single" w:sz="6" w:space="0" w:color="auto"/>
              <w:left w:val="single" w:sz="6" w:space="0" w:color="auto"/>
              <w:bottom w:val="single" w:sz="6" w:space="0" w:color="auto"/>
              <w:right w:val="single" w:sz="6" w:space="0" w:color="auto"/>
            </w:tcBorders>
            <w:noWrap/>
            <w:vAlign w:val="center"/>
            <w:hideMark/>
          </w:tcPr>
          <w:p w14:paraId="0DDC10A1" w14:textId="658067AF" w:rsidR="007E4519" w:rsidRPr="00945156" w:rsidRDefault="007E4519"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3</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4E76B99E" w14:textId="3F0CE642"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7E4519"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3BBBC707" w14:textId="6CEA5601"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2DCF2F36"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0052F207" w14:textId="0A1695DF"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7E4519"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91BADFE"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5EEACA4"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5B5B3E2"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2F9E9BA2" w14:textId="77777777" w:rsidR="007E4519" w:rsidRPr="00945156" w:rsidRDefault="007E4519"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2C5541D" w14:textId="77777777" w:rsidR="007E4519" w:rsidRPr="00945156" w:rsidRDefault="007E4519"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1738DA91" w14:textId="77777777" w:rsidR="007E4519" w:rsidRPr="00945156" w:rsidRDefault="007E4519"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7B25B43B"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vAlign w:val="center"/>
            <w:hideMark/>
          </w:tcPr>
          <w:p w14:paraId="7080272E"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A-1</w:t>
            </w: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7F6BF157" w14:textId="77777777" w:rsidR="007E4519" w:rsidRPr="00945156" w:rsidRDefault="007E4519" w:rsidP="00133518">
            <w:pPr>
              <w:jc w:val="center"/>
              <w:rPr>
                <w:rFonts w:ascii="Arial" w:hAnsi="Arial" w:cs="Arial"/>
                <w:color w:val="000000"/>
                <w:sz w:val="14"/>
                <w:szCs w:val="14"/>
              </w:rPr>
            </w:pPr>
          </w:p>
        </w:tc>
        <w:tc>
          <w:tcPr>
            <w:tcW w:w="1291"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B168A84" w14:textId="77777777" w:rsidR="007E4519" w:rsidRPr="00945156" w:rsidRDefault="007E4519" w:rsidP="00133518">
            <w:pPr>
              <w:jc w:val="center"/>
              <w:rPr>
                <w:rFonts w:ascii="Arial" w:hAnsi="Arial" w:cs="Arial"/>
                <w:color w:val="000000"/>
                <w:sz w:val="14"/>
                <w:szCs w:val="14"/>
              </w:rPr>
            </w:pP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5ACCEA27" w14:textId="1F8031B4"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23FD248" w14:textId="77777777" w:rsidR="007E4519" w:rsidRPr="00945156" w:rsidRDefault="007E4519"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6572CE26"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005B7847" w14:textId="13FF87E2"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7E4519"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021F88F"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42496BB4"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3EFE4DE"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6C29042" w14:textId="77777777" w:rsidR="007E4519" w:rsidRPr="00945156" w:rsidRDefault="007E4519"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212525CB" w14:textId="77777777" w:rsidR="007E4519" w:rsidRPr="00945156" w:rsidRDefault="007E4519" w:rsidP="00133518">
            <w:pPr>
              <w:rPr>
                <w:rFonts w:ascii="Arial" w:hAnsi="Arial" w:cs="Arial"/>
                <w:color w:val="000000"/>
                <w:sz w:val="14"/>
                <w:szCs w:val="14"/>
              </w:rPr>
            </w:pP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2927B34A"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7315EFDA"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B9F7376" w14:textId="4D0C9323" w:rsidR="007E4519" w:rsidRPr="00945156" w:rsidRDefault="007E4519"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F1D33AF" w14:textId="77777777" w:rsidR="007E4519" w:rsidRPr="00945156" w:rsidRDefault="007E4519" w:rsidP="00133518">
            <w:pPr>
              <w:jc w:val="center"/>
              <w:rPr>
                <w:rFonts w:ascii="Arial" w:hAnsi="Arial" w:cs="Arial"/>
                <w:color w:val="000000"/>
                <w:sz w:val="14"/>
                <w:szCs w:val="14"/>
              </w:rPr>
            </w:pPr>
          </w:p>
        </w:tc>
        <w:tc>
          <w:tcPr>
            <w:tcW w:w="1291" w:type="dxa"/>
            <w:tcBorders>
              <w:top w:val="single" w:sz="12" w:space="0" w:color="auto"/>
              <w:left w:val="single" w:sz="6" w:space="0" w:color="auto"/>
              <w:bottom w:val="single" w:sz="6" w:space="0" w:color="auto"/>
              <w:right w:val="single" w:sz="6" w:space="0" w:color="auto"/>
            </w:tcBorders>
            <w:noWrap/>
            <w:vAlign w:val="center"/>
            <w:hideMark/>
          </w:tcPr>
          <w:p w14:paraId="3E5494CB" w14:textId="76757BBB" w:rsidR="007E4519" w:rsidRPr="00945156" w:rsidRDefault="007E4519" w:rsidP="00133518">
            <w:pPr>
              <w:jc w:val="center"/>
              <w:rPr>
                <w:rFonts w:ascii="Arial" w:hAnsi="Arial" w:cs="Arial"/>
                <w:color w:val="000000"/>
                <w:sz w:val="14"/>
                <w:szCs w:val="14"/>
              </w:rPr>
            </w:pPr>
            <w:r>
              <w:rPr>
                <w:rFonts w:ascii="Arial" w:hAnsi="Arial" w:cs="Arial"/>
                <w:color w:val="000000"/>
                <w:sz w:val="14"/>
                <w:szCs w:val="14"/>
              </w:rPr>
              <w:t>C-3</w:t>
            </w: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4DDD0FE1" w14:textId="102C7105"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D-</w:t>
            </w:r>
            <w:r w:rsidR="00A2289E">
              <w:rPr>
                <w:rFonts w:ascii="Arial" w:hAnsi="Arial" w:cs="Arial"/>
                <w:color w:val="000000"/>
                <w:sz w:val="14"/>
                <w:szCs w:val="14"/>
              </w:rPr>
              <w:t>1 thru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4B7064D" w14:textId="77777777" w:rsidR="007E4519" w:rsidRPr="00945156" w:rsidRDefault="007E4519" w:rsidP="00133518">
            <w:pPr>
              <w:jc w:val="center"/>
              <w:rPr>
                <w:rFonts w:ascii="Arial" w:hAnsi="Arial" w:cs="Arial"/>
                <w:color w:val="000000"/>
                <w:sz w:val="14"/>
                <w:szCs w:val="14"/>
              </w:rPr>
            </w:pP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6C799076"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0EA7EC91" w14:textId="13F88EE8"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 G-2</w:t>
            </w:r>
            <w:r w:rsidR="007E4519"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B2B2727"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189F104"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0A3BBC4"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52BFE40" w14:textId="77777777" w:rsidR="007E4519" w:rsidRPr="00945156" w:rsidRDefault="007E4519"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63C5C2C7" w14:textId="77777777" w:rsidR="007E4519" w:rsidRPr="00945156" w:rsidRDefault="007E4519"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34CE2ADA" w14:textId="77777777" w:rsidR="007E4519" w:rsidRPr="00945156" w:rsidRDefault="007E4519"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644ECFE0"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E89A6AE" w14:textId="418F15B3" w:rsidR="007E4519" w:rsidRPr="00945156" w:rsidRDefault="007E4519"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1CC470A" w14:textId="77777777" w:rsidR="007E4519" w:rsidRPr="00945156" w:rsidRDefault="007E4519" w:rsidP="00133518">
            <w:pPr>
              <w:jc w:val="center"/>
              <w:rPr>
                <w:rFonts w:ascii="Arial" w:hAnsi="Arial" w:cs="Arial"/>
                <w:color w:val="000000"/>
                <w:sz w:val="14"/>
                <w:szCs w:val="14"/>
              </w:rPr>
            </w:pPr>
          </w:p>
        </w:tc>
        <w:tc>
          <w:tcPr>
            <w:tcW w:w="1291" w:type="dxa"/>
            <w:tcBorders>
              <w:top w:val="single" w:sz="6" w:space="0" w:color="auto"/>
              <w:left w:val="single" w:sz="6" w:space="0" w:color="auto"/>
              <w:bottom w:val="single" w:sz="6" w:space="0" w:color="auto"/>
              <w:right w:val="single" w:sz="6" w:space="0" w:color="auto"/>
            </w:tcBorders>
            <w:noWrap/>
            <w:vAlign w:val="center"/>
            <w:hideMark/>
          </w:tcPr>
          <w:p w14:paraId="54CE1EB4" w14:textId="29404F71" w:rsidR="007E4519" w:rsidRPr="00945156" w:rsidRDefault="007E4519" w:rsidP="00133518">
            <w:pPr>
              <w:jc w:val="center"/>
              <w:rPr>
                <w:rFonts w:ascii="Arial" w:hAnsi="Arial" w:cs="Arial"/>
                <w:color w:val="000000"/>
                <w:sz w:val="14"/>
                <w:szCs w:val="14"/>
              </w:rPr>
            </w:pPr>
            <w:r>
              <w:rPr>
                <w:rFonts w:ascii="Arial" w:hAnsi="Arial" w:cs="Arial"/>
                <w:color w:val="000000"/>
                <w:sz w:val="14"/>
                <w:szCs w:val="14"/>
              </w:rPr>
              <w:t>C-</w:t>
            </w:r>
            <w:r w:rsidR="00A2289E">
              <w:rPr>
                <w:rFonts w:ascii="Arial" w:hAnsi="Arial" w:cs="Arial"/>
                <w:color w:val="000000"/>
                <w:sz w:val="14"/>
                <w:szCs w:val="14"/>
              </w:rPr>
              <w:t>3</w:t>
            </w: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027CB197" w14:textId="77EFA295"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7E4519"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04B5AB4D" w14:textId="3F3D2C89"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48795A5A"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728C1410" w14:textId="23346C9B"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7E4519"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2EA9184"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BDD3769"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61DB36F2"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54675273" w14:textId="77777777" w:rsidR="007E4519" w:rsidRPr="00945156" w:rsidRDefault="007E4519"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1AD2F68C" w14:textId="77777777" w:rsidR="007E4519" w:rsidRPr="00945156" w:rsidRDefault="007E4519"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A491A80" w14:textId="77777777" w:rsidR="007E4519" w:rsidRPr="00945156" w:rsidRDefault="007E4519"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518A5878"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4370E7BC" w14:textId="2D3745E2" w:rsidR="007E4519" w:rsidRPr="00945156" w:rsidRDefault="007E4519"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D76DF9A" w14:textId="77777777" w:rsidR="007E4519" w:rsidRPr="00945156" w:rsidRDefault="007E4519" w:rsidP="00133518">
            <w:pPr>
              <w:jc w:val="center"/>
              <w:rPr>
                <w:rFonts w:ascii="Arial" w:hAnsi="Arial" w:cs="Arial"/>
                <w:color w:val="000000"/>
                <w:sz w:val="14"/>
                <w:szCs w:val="14"/>
              </w:rPr>
            </w:pPr>
          </w:p>
        </w:tc>
        <w:tc>
          <w:tcPr>
            <w:tcW w:w="1291"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46CFBA6" w14:textId="77777777" w:rsidR="007E4519" w:rsidRPr="00945156" w:rsidRDefault="007E4519" w:rsidP="00133518">
            <w:pPr>
              <w:jc w:val="center"/>
              <w:rPr>
                <w:rFonts w:ascii="Arial" w:hAnsi="Arial" w:cs="Arial"/>
                <w:color w:val="000000"/>
                <w:sz w:val="14"/>
                <w:szCs w:val="14"/>
              </w:rPr>
            </w:pP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53FEEDF0" w14:textId="3C80C532"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75FAF9D5" w14:textId="77777777" w:rsidR="007E4519" w:rsidRPr="00945156" w:rsidRDefault="007E4519"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384F64EE"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F-1</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58DFBE60" w14:textId="3319DDB1"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7E4519"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A974065"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378E1C2A"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1D8405CC"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1D7CAE4" w14:textId="77777777" w:rsidR="007E4519" w:rsidRPr="00945156" w:rsidRDefault="007E4519" w:rsidP="00133518">
            <w:pPr>
              <w:rPr>
                <w:rFonts w:ascii="Arial" w:hAnsi="Arial" w:cs="Arial"/>
                <w:color w:val="000000"/>
                <w:sz w:val="14"/>
                <w:szCs w:val="14"/>
              </w:rPr>
            </w:pPr>
          </w:p>
        </w:tc>
        <w:tc>
          <w:tcPr>
            <w:tcW w:w="604" w:type="dxa"/>
            <w:vMerge w:val="restart"/>
            <w:tcBorders>
              <w:top w:val="single" w:sz="6" w:space="0" w:color="auto"/>
              <w:left w:val="single" w:sz="6" w:space="0" w:color="auto"/>
              <w:bottom w:val="single" w:sz="6" w:space="0" w:color="auto"/>
              <w:right w:val="single" w:sz="6" w:space="0" w:color="auto"/>
            </w:tcBorders>
            <w:vAlign w:val="center"/>
            <w:hideMark/>
          </w:tcPr>
          <w:p w14:paraId="3E8F52A9" w14:textId="6768C62B"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&gt;10</w:t>
            </w:r>
          </w:p>
        </w:tc>
        <w:tc>
          <w:tcPr>
            <w:tcW w:w="712" w:type="dxa"/>
            <w:vMerge w:val="restart"/>
            <w:tcBorders>
              <w:top w:val="single" w:sz="12" w:space="0" w:color="auto"/>
              <w:left w:val="single" w:sz="6" w:space="0" w:color="auto"/>
              <w:bottom w:val="single" w:sz="6" w:space="0" w:color="auto"/>
              <w:right w:val="single" w:sz="6" w:space="0" w:color="auto"/>
            </w:tcBorders>
            <w:noWrap/>
            <w:vAlign w:val="center"/>
            <w:hideMark/>
          </w:tcPr>
          <w:p w14:paraId="1B630253"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&gt;40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405CF754"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9892ECD" w14:textId="39874201" w:rsidR="007E4519" w:rsidRPr="00945156" w:rsidRDefault="007E4519"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ED54DC8" w14:textId="77777777" w:rsidR="007E4519" w:rsidRPr="00945156" w:rsidRDefault="007E4519" w:rsidP="00133518">
            <w:pPr>
              <w:jc w:val="center"/>
              <w:rPr>
                <w:rFonts w:ascii="Arial" w:hAnsi="Arial" w:cs="Arial"/>
                <w:color w:val="000000"/>
                <w:sz w:val="14"/>
                <w:szCs w:val="14"/>
              </w:rPr>
            </w:pPr>
          </w:p>
        </w:tc>
        <w:tc>
          <w:tcPr>
            <w:tcW w:w="1291"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815CD4B" w14:textId="14FBFDCD" w:rsidR="007E4519" w:rsidRPr="00945156" w:rsidRDefault="007E4519" w:rsidP="00133518">
            <w:pPr>
              <w:jc w:val="center"/>
              <w:rPr>
                <w:rFonts w:ascii="Arial" w:hAnsi="Arial" w:cs="Arial"/>
                <w:color w:val="000000"/>
                <w:sz w:val="14"/>
                <w:szCs w:val="14"/>
              </w:rPr>
            </w:pP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077195B5" w14:textId="2244685B"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D-1</w:t>
            </w:r>
            <w:r w:rsidR="007E4519">
              <w:rPr>
                <w:rFonts w:ascii="Arial" w:hAnsi="Arial" w:cs="Arial"/>
                <w:color w:val="000000"/>
                <w:sz w:val="14"/>
                <w:szCs w:val="14"/>
              </w:rPr>
              <w:t xml:space="preserve">, </w:t>
            </w:r>
            <w:r w:rsidR="007E4519" w:rsidRPr="00945156">
              <w:rPr>
                <w:rFonts w:ascii="Arial" w:hAnsi="Arial" w:cs="Arial"/>
                <w:color w:val="000000"/>
                <w:sz w:val="14"/>
                <w:szCs w:val="14"/>
              </w:rPr>
              <w:t>D-3</w:t>
            </w:r>
            <w:r>
              <w:rPr>
                <w:rFonts w:ascii="Arial" w:hAnsi="Arial" w:cs="Arial"/>
                <w:color w:val="000000"/>
                <w:sz w:val="14"/>
                <w:szCs w:val="14"/>
              </w:rPr>
              <w:t xml:space="preserve"> D-4, D-5,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B8903F7" w14:textId="77777777" w:rsidR="007E4519" w:rsidRPr="00945156" w:rsidRDefault="007E4519" w:rsidP="00133518">
            <w:pPr>
              <w:jc w:val="center"/>
              <w:rPr>
                <w:rFonts w:ascii="Arial" w:hAnsi="Arial" w:cs="Arial"/>
                <w:color w:val="000000"/>
                <w:sz w:val="14"/>
                <w:szCs w:val="14"/>
              </w:rPr>
            </w:pP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4269F1F2" w14:textId="245DBF61"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573BB3C"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3E2E355"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62381B81"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5329042F"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CDF2618" w14:textId="77777777" w:rsidR="007E4519" w:rsidRPr="00945156" w:rsidRDefault="007E4519"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47C54F65" w14:textId="77777777" w:rsidR="007E4519" w:rsidRPr="00945156" w:rsidRDefault="007E4519" w:rsidP="00133518">
            <w:pPr>
              <w:rPr>
                <w:rFonts w:ascii="Arial" w:hAnsi="Arial" w:cs="Arial"/>
                <w:color w:val="000000"/>
                <w:sz w:val="14"/>
                <w:szCs w:val="14"/>
              </w:rPr>
            </w:pPr>
          </w:p>
        </w:tc>
        <w:tc>
          <w:tcPr>
            <w:tcW w:w="712" w:type="dxa"/>
            <w:vMerge/>
            <w:tcBorders>
              <w:top w:val="single" w:sz="6" w:space="0" w:color="auto"/>
              <w:left w:val="single" w:sz="6" w:space="0" w:color="auto"/>
              <w:bottom w:val="single" w:sz="6" w:space="0" w:color="auto"/>
              <w:right w:val="single" w:sz="6" w:space="0" w:color="auto"/>
            </w:tcBorders>
            <w:vAlign w:val="center"/>
            <w:hideMark/>
          </w:tcPr>
          <w:p w14:paraId="7783A616" w14:textId="77777777" w:rsidR="007E4519" w:rsidRPr="00945156" w:rsidRDefault="007E4519" w:rsidP="00133518">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hideMark/>
          </w:tcPr>
          <w:p w14:paraId="10879660"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½" to 1"</w:t>
            </w: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A0A86F" w14:textId="35643E74" w:rsidR="007E4519" w:rsidRPr="00945156" w:rsidRDefault="007E4519"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A6A6FB4" w14:textId="77777777" w:rsidR="007E4519" w:rsidRPr="00945156" w:rsidRDefault="007E4519" w:rsidP="00133518">
            <w:pPr>
              <w:jc w:val="center"/>
              <w:rPr>
                <w:rFonts w:ascii="Arial" w:hAnsi="Arial" w:cs="Arial"/>
                <w:color w:val="000000"/>
                <w:sz w:val="14"/>
                <w:szCs w:val="14"/>
              </w:rPr>
            </w:pPr>
          </w:p>
        </w:tc>
        <w:tc>
          <w:tcPr>
            <w:tcW w:w="1291"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04C543C" w14:textId="61BCC859" w:rsidR="007E4519" w:rsidRPr="00945156" w:rsidRDefault="007E4519" w:rsidP="00133518">
            <w:pPr>
              <w:jc w:val="center"/>
              <w:rPr>
                <w:rFonts w:ascii="Arial" w:hAnsi="Arial" w:cs="Arial"/>
                <w:color w:val="000000"/>
                <w:sz w:val="14"/>
                <w:szCs w:val="14"/>
              </w:rPr>
            </w:pP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6B4867C6" w14:textId="48A92691"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 xml:space="preserve">D-1, </w:t>
            </w:r>
            <w:r w:rsidR="007E4519"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3C1F8EF" w14:textId="1C396F08"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5377D924" w14:textId="62653E0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37D21EA2" w14:textId="225EE0DD"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7E4519"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2EDFD8D"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F24D5C0"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7E468057" w14:textId="77777777" w:rsidTr="00052EEE">
        <w:trPr>
          <w:gridAfter w:val="1"/>
          <w:wAfter w:w="41" w:type="dxa"/>
          <w:trHeight w:val="195"/>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67926C51" w14:textId="77777777" w:rsidR="007E4519" w:rsidRPr="00945156" w:rsidRDefault="007E4519"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752592E" w14:textId="77777777" w:rsidR="007E4519" w:rsidRPr="00945156" w:rsidRDefault="007E4519" w:rsidP="00133518">
            <w:pPr>
              <w:rPr>
                <w:rFonts w:ascii="Arial" w:hAnsi="Arial" w:cs="Arial"/>
                <w:color w:val="000000"/>
                <w:sz w:val="14"/>
                <w:szCs w:val="14"/>
              </w:rPr>
            </w:pPr>
          </w:p>
        </w:tc>
        <w:tc>
          <w:tcPr>
            <w:tcW w:w="712" w:type="dxa"/>
            <w:vMerge/>
            <w:tcBorders>
              <w:top w:val="single" w:sz="6" w:space="0" w:color="auto"/>
              <w:left w:val="single" w:sz="6" w:space="0" w:color="auto"/>
              <w:bottom w:val="single" w:sz="12" w:space="0" w:color="auto"/>
              <w:right w:val="single" w:sz="6" w:space="0" w:color="auto"/>
            </w:tcBorders>
            <w:vAlign w:val="center"/>
            <w:hideMark/>
          </w:tcPr>
          <w:p w14:paraId="2D344049" w14:textId="77777777" w:rsidR="007E4519" w:rsidRPr="00945156" w:rsidRDefault="007E4519" w:rsidP="00133518">
            <w:pPr>
              <w:rPr>
                <w:rFonts w:ascii="Arial" w:hAnsi="Arial" w:cs="Arial"/>
                <w:color w:val="000000"/>
                <w:sz w:val="14"/>
                <w:szCs w:val="14"/>
              </w:rPr>
            </w:pPr>
          </w:p>
        </w:tc>
        <w:tc>
          <w:tcPr>
            <w:tcW w:w="789" w:type="dxa"/>
            <w:tcBorders>
              <w:top w:val="single" w:sz="6" w:space="0" w:color="auto"/>
              <w:left w:val="single" w:sz="6" w:space="0" w:color="auto"/>
              <w:bottom w:val="single" w:sz="12" w:space="0" w:color="auto"/>
              <w:right w:val="single" w:sz="6" w:space="0" w:color="auto"/>
            </w:tcBorders>
            <w:noWrap/>
            <w:vAlign w:val="center"/>
            <w:hideMark/>
          </w:tcPr>
          <w:p w14:paraId="4892ECB0"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478EF04E" w14:textId="2CE552A8" w:rsidR="007E4519" w:rsidRPr="00945156" w:rsidRDefault="007E4519" w:rsidP="00133518">
            <w:pPr>
              <w:jc w:val="center"/>
              <w:rPr>
                <w:rFonts w:ascii="Arial" w:hAnsi="Arial" w:cs="Arial"/>
                <w:color w:val="000000"/>
                <w:sz w:val="14"/>
                <w:szCs w:val="14"/>
              </w:rPr>
            </w:pPr>
          </w:p>
        </w:tc>
        <w:tc>
          <w:tcPr>
            <w:tcW w:w="1223"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1A5CE68" w14:textId="77777777" w:rsidR="007E4519" w:rsidRPr="00945156" w:rsidRDefault="007E4519" w:rsidP="00133518">
            <w:pPr>
              <w:jc w:val="center"/>
              <w:rPr>
                <w:rFonts w:ascii="Arial" w:hAnsi="Arial" w:cs="Arial"/>
                <w:color w:val="000000"/>
                <w:sz w:val="14"/>
                <w:szCs w:val="14"/>
              </w:rPr>
            </w:pPr>
          </w:p>
        </w:tc>
        <w:tc>
          <w:tcPr>
            <w:tcW w:w="1291"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0EC3F1A" w14:textId="77777777" w:rsidR="007E4519" w:rsidRPr="00945156" w:rsidRDefault="007E4519" w:rsidP="00133518">
            <w:pPr>
              <w:jc w:val="center"/>
              <w:rPr>
                <w:rFonts w:ascii="Arial" w:hAnsi="Arial" w:cs="Arial"/>
                <w:color w:val="000000"/>
                <w:sz w:val="14"/>
                <w:szCs w:val="14"/>
              </w:rPr>
            </w:pPr>
          </w:p>
        </w:tc>
        <w:tc>
          <w:tcPr>
            <w:tcW w:w="1753" w:type="dxa"/>
            <w:tcBorders>
              <w:top w:val="single" w:sz="6" w:space="0" w:color="auto"/>
              <w:left w:val="single" w:sz="6" w:space="0" w:color="auto"/>
              <w:bottom w:val="single" w:sz="12" w:space="0" w:color="auto"/>
              <w:right w:val="single" w:sz="6" w:space="0" w:color="auto"/>
            </w:tcBorders>
            <w:noWrap/>
            <w:vAlign w:val="center"/>
            <w:hideMark/>
          </w:tcPr>
          <w:p w14:paraId="623DA1AF" w14:textId="74A0BEBC"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D-3, D-4</w:t>
            </w:r>
            <w:r w:rsidR="00A2289E">
              <w:rPr>
                <w:rFonts w:ascii="Arial" w:hAnsi="Arial" w:cs="Arial"/>
                <w:color w:val="000000"/>
                <w:sz w:val="14"/>
                <w:szCs w:val="14"/>
              </w:rPr>
              <w:t>, D-6</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71709D39" w14:textId="77777777" w:rsidR="007E4519" w:rsidRPr="00945156" w:rsidRDefault="007E4519" w:rsidP="00133518">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12" w:space="0" w:color="auto"/>
              <w:right w:val="single" w:sz="6" w:space="0" w:color="auto"/>
            </w:tcBorders>
            <w:noWrap/>
            <w:vAlign w:val="center"/>
            <w:hideMark/>
          </w:tcPr>
          <w:p w14:paraId="084C8E12" w14:textId="073D571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6" w:space="0" w:color="auto"/>
              <w:left w:val="single" w:sz="6" w:space="0" w:color="auto"/>
              <w:bottom w:val="single" w:sz="12" w:space="0" w:color="auto"/>
              <w:right w:val="single" w:sz="6" w:space="0" w:color="auto"/>
            </w:tcBorders>
            <w:noWrap/>
            <w:vAlign w:val="center"/>
            <w:hideMark/>
          </w:tcPr>
          <w:p w14:paraId="7BF2ED7A" w14:textId="55C22BFB"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G</w:t>
            </w:r>
            <w:r w:rsidR="007E4519" w:rsidRPr="00945156">
              <w:rPr>
                <w:rFonts w:ascii="Arial" w:hAnsi="Arial" w:cs="Arial"/>
                <w:color w:val="000000"/>
                <w:sz w:val="14"/>
                <w:szCs w:val="14"/>
              </w:rPr>
              <w:t>-1</w:t>
            </w:r>
          </w:p>
        </w:tc>
        <w:tc>
          <w:tcPr>
            <w:tcW w:w="107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18D5037"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154B213B"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F34601F" w14:textId="77777777"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71B67460" w14:textId="77777777" w:rsidR="007E4519" w:rsidRPr="00945156" w:rsidRDefault="007E4519" w:rsidP="00133518">
            <w:pPr>
              <w:rPr>
                <w:rFonts w:ascii="Arial" w:hAnsi="Arial" w:cs="Arial"/>
                <w:color w:val="000000"/>
                <w:sz w:val="14"/>
                <w:szCs w:val="14"/>
              </w:rPr>
            </w:pPr>
          </w:p>
        </w:tc>
        <w:tc>
          <w:tcPr>
            <w:tcW w:w="604" w:type="dxa"/>
            <w:vMerge/>
            <w:tcBorders>
              <w:top w:val="single" w:sz="6" w:space="0" w:color="auto"/>
              <w:left w:val="single" w:sz="6" w:space="0" w:color="auto"/>
              <w:bottom w:val="single" w:sz="6" w:space="0" w:color="auto"/>
              <w:right w:val="single" w:sz="6" w:space="0" w:color="auto"/>
            </w:tcBorders>
            <w:vAlign w:val="center"/>
            <w:hideMark/>
          </w:tcPr>
          <w:p w14:paraId="7F9B80EE" w14:textId="77777777" w:rsidR="007E4519" w:rsidRPr="00945156" w:rsidRDefault="007E4519" w:rsidP="00133518">
            <w:pPr>
              <w:rPr>
                <w:rFonts w:ascii="Arial" w:hAnsi="Arial" w:cs="Arial"/>
                <w:color w:val="000000"/>
                <w:sz w:val="14"/>
                <w:szCs w:val="14"/>
              </w:rPr>
            </w:pPr>
          </w:p>
        </w:tc>
        <w:tc>
          <w:tcPr>
            <w:tcW w:w="712" w:type="dxa"/>
            <w:tcBorders>
              <w:top w:val="single" w:sz="12" w:space="0" w:color="auto"/>
              <w:left w:val="single" w:sz="6" w:space="0" w:color="auto"/>
              <w:bottom w:val="single" w:sz="6" w:space="0" w:color="auto"/>
              <w:right w:val="single" w:sz="6" w:space="0" w:color="auto"/>
            </w:tcBorders>
            <w:noWrap/>
            <w:vAlign w:val="center"/>
            <w:hideMark/>
          </w:tcPr>
          <w:p w14:paraId="0BAE269F"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40</w:t>
            </w:r>
          </w:p>
        </w:tc>
        <w:tc>
          <w:tcPr>
            <w:tcW w:w="789" w:type="dxa"/>
            <w:tcBorders>
              <w:top w:val="single" w:sz="12" w:space="0" w:color="auto"/>
              <w:left w:val="single" w:sz="6" w:space="0" w:color="auto"/>
              <w:bottom w:val="single" w:sz="6" w:space="0" w:color="auto"/>
              <w:right w:val="single" w:sz="6" w:space="0" w:color="auto"/>
            </w:tcBorders>
            <w:noWrap/>
            <w:vAlign w:val="center"/>
            <w:hideMark/>
          </w:tcPr>
          <w:p w14:paraId="330C547D"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&lt; ½"</w:t>
            </w:r>
          </w:p>
        </w:tc>
        <w:tc>
          <w:tcPr>
            <w:tcW w:w="961"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B12181F" w14:textId="151E156D" w:rsidR="007E4519" w:rsidRPr="00945156" w:rsidRDefault="007E4519" w:rsidP="00133518">
            <w:pPr>
              <w:jc w:val="center"/>
              <w:rPr>
                <w:rFonts w:ascii="Arial" w:hAnsi="Arial" w:cs="Arial"/>
                <w:color w:val="000000"/>
                <w:sz w:val="14"/>
                <w:szCs w:val="14"/>
              </w:rPr>
            </w:pPr>
          </w:p>
        </w:tc>
        <w:tc>
          <w:tcPr>
            <w:tcW w:w="1223"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0345FDE" w14:textId="77777777" w:rsidR="007E4519" w:rsidRPr="00945156" w:rsidRDefault="007E4519" w:rsidP="00133518">
            <w:pPr>
              <w:jc w:val="center"/>
              <w:rPr>
                <w:rFonts w:ascii="Arial" w:hAnsi="Arial" w:cs="Arial"/>
                <w:color w:val="000000"/>
                <w:sz w:val="14"/>
                <w:szCs w:val="14"/>
              </w:rPr>
            </w:pPr>
          </w:p>
        </w:tc>
        <w:tc>
          <w:tcPr>
            <w:tcW w:w="1291"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44E6BD6" w14:textId="3E28B6E3" w:rsidR="007E4519" w:rsidRPr="00945156" w:rsidRDefault="007E4519" w:rsidP="00133518">
            <w:pPr>
              <w:jc w:val="center"/>
              <w:rPr>
                <w:rFonts w:ascii="Arial" w:hAnsi="Arial" w:cs="Arial"/>
                <w:color w:val="000000"/>
                <w:sz w:val="14"/>
                <w:szCs w:val="14"/>
              </w:rPr>
            </w:pPr>
          </w:p>
        </w:tc>
        <w:tc>
          <w:tcPr>
            <w:tcW w:w="1753" w:type="dxa"/>
            <w:tcBorders>
              <w:top w:val="single" w:sz="12" w:space="0" w:color="auto"/>
              <w:left w:val="single" w:sz="6" w:space="0" w:color="auto"/>
              <w:bottom w:val="single" w:sz="6" w:space="0" w:color="auto"/>
              <w:right w:val="single" w:sz="6" w:space="0" w:color="auto"/>
            </w:tcBorders>
            <w:noWrap/>
            <w:vAlign w:val="center"/>
            <w:hideMark/>
          </w:tcPr>
          <w:p w14:paraId="7F8BE6AD" w14:textId="3AFCF676"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D-1</w:t>
            </w:r>
            <w:r w:rsidR="007E4519">
              <w:rPr>
                <w:rFonts w:ascii="Arial" w:hAnsi="Arial" w:cs="Arial"/>
                <w:color w:val="000000"/>
                <w:sz w:val="14"/>
                <w:szCs w:val="14"/>
              </w:rPr>
              <w:t xml:space="preserve">, </w:t>
            </w:r>
            <w:r w:rsidR="007E4519" w:rsidRPr="00945156">
              <w:rPr>
                <w:rFonts w:ascii="Arial" w:hAnsi="Arial" w:cs="Arial"/>
                <w:color w:val="000000"/>
                <w:sz w:val="14"/>
                <w:szCs w:val="14"/>
              </w:rPr>
              <w:t>D-3</w:t>
            </w:r>
            <w:r>
              <w:rPr>
                <w:rFonts w:ascii="Arial" w:hAnsi="Arial" w:cs="Arial"/>
                <w:color w:val="000000"/>
                <w:sz w:val="14"/>
                <w:szCs w:val="14"/>
              </w:rPr>
              <w:t xml:space="preserve"> D-4, D-5, D-6</w:t>
            </w:r>
          </w:p>
        </w:tc>
        <w:tc>
          <w:tcPr>
            <w:tcW w:w="89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51D85B1" w14:textId="77777777" w:rsidR="007E4519" w:rsidRPr="00945156" w:rsidRDefault="007E4519" w:rsidP="00133518">
            <w:pPr>
              <w:jc w:val="center"/>
              <w:rPr>
                <w:rFonts w:ascii="Arial" w:hAnsi="Arial" w:cs="Arial"/>
                <w:color w:val="000000"/>
                <w:sz w:val="14"/>
                <w:szCs w:val="14"/>
              </w:rPr>
            </w:pPr>
          </w:p>
        </w:tc>
        <w:tc>
          <w:tcPr>
            <w:tcW w:w="897" w:type="dxa"/>
            <w:tcBorders>
              <w:top w:val="single" w:sz="12" w:space="0" w:color="auto"/>
              <w:left w:val="single" w:sz="6" w:space="0" w:color="auto"/>
              <w:bottom w:val="single" w:sz="6" w:space="0" w:color="auto"/>
              <w:right w:val="single" w:sz="6" w:space="0" w:color="auto"/>
            </w:tcBorders>
            <w:noWrap/>
            <w:vAlign w:val="center"/>
            <w:hideMark/>
          </w:tcPr>
          <w:p w14:paraId="489EA11B" w14:textId="39BF01AE"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r w:rsidR="00A2289E">
              <w:rPr>
                <w:rFonts w:ascii="Arial" w:hAnsi="Arial" w:cs="Arial"/>
                <w:color w:val="000000"/>
                <w:sz w:val="14"/>
                <w:szCs w:val="14"/>
              </w:rPr>
              <w:t>F-1</w:t>
            </w:r>
            <w:r w:rsidR="00A2289E"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noWrap/>
            <w:vAlign w:val="center"/>
            <w:hideMark/>
          </w:tcPr>
          <w:p w14:paraId="08975F6E" w14:textId="1587D819" w:rsidR="007E4519" w:rsidRPr="00945156" w:rsidRDefault="00A2289E" w:rsidP="00133518">
            <w:pPr>
              <w:jc w:val="center"/>
              <w:rPr>
                <w:rFonts w:ascii="Arial" w:hAnsi="Arial" w:cs="Arial"/>
                <w:color w:val="000000"/>
                <w:sz w:val="14"/>
                <w:szCs w:val="14"/>
              </w:rPr>
            </w:pPr>
            <w:r>
              <w:rPr>
                <w:rFonts w:ascii="Arial" w:hAnsi="Arial" w:cs="Arial"/>
                <w:color w:val="000000"/>
                <w:sz w:val="14"/>
                <w:szCs w:val="14"/>
              </w:rPr>
              <w:t>G-2</w:t>
            </w:r>
            <w:r w:rsidR="007E4519" w:rsidRPr="00945156">
              <w:rPr>
                <w:rFonts w:ascii="Arial" w:hAnsi="Arial" w:cs="Arial"/>
                <w:color w:val="000000"/>
                <w:sz w:val="14"/>
                <w:szCs w:val="14"/>
              </w:rPr>
              <w:t> </w:t>
            </w:r>
          </w:p>
        </w:tc>
        <w:tc>
          <w:tcPr>
            <w:tcW w:w="107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234B18A"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A8BC5EA" w14:textId="77777777" w:rsidR="007E4519" w:rsidRPr="00945156" w:rsidRDefault="007E4519" w:rsidP="00133518">
            <w:pPr>
              <w:jc w:val="center"/>
              <w:rPr>
                <w:rFonts w:ascii="Arial" w:hAnsi="Arial" w:cs="Arial"/>
                <w:color w:val="000000"/>
                <w:sz w:val="14"/>
                <w:szCs w:val="14"/>
              </w:rPr>
            </w:pPr>
            <w:r w:rsidRPr="00945156">
              <w:rPr>
                <w:rFonts w:ascii="Arial" w:hAnsi="Arial" w:cs="Arial"/>
                <w:color w:val="000000"/>
                <w:sz w:val="14"/>
                <w:szCs w:val="14"/>
              </w:rPr>
              <w:t> </w:t>
            </w:r>
          </w:p>
        </w:tc>
      </w:tr>
      <w:tr w:rsidR="00115674" w:rsidRPr="00945156" w14:paraId="4EFDB0C7" w14:textId="3D21A08B" w:rsidTr="00052EEE">
        <w:trPr>
          <w:gridAfter w:val="1"/>
          <w:wAfter w:w="41" w:type="dxa"/>
          <w:trHeight w:val="180"/>
        </w:trPr>
        <w:tc>
          <w:tcPr>
            <w:tcW w:w="621" w:type="dxa"/>
            <w:vMerge/>
            <w:tcBorders>
              <w:top w:val="single" w:sz="6" w:space="0" w:color="auto"/>
              <w:left w:val="single" w:sz="24" w:space="0" w:color="auto"/>
              <w:bottom w:val="single" w:sz="6" w:space="0" w:color="auto"/>
              <w:right w:val="single" w:sz="6" w:space="0" w:color="auto"/>
            </w:tcBorders>
            <w:vAlign w:val="center"/>
            <w:hideMark/>
          </w:tcPr>
          <w:p w14:paraId="33730CCE" w14:textId="77777777" w:rsidR="00A2289E" w:rsidRPr="00945156" w:rsidRDefault="00A2289E" w:rsidP="00A2289E">
            <w:pPr>
              <w:rPr>
                <w:rFonts w:ascii="Arial" w:hAnsi="Arial" w:cs="Arial"/>
                <w:color w:val="000000"/>
                <w:sz w:val="14"/>
                <w:szCs w:val="14"/>
              </w:rPr>
            </w:pPr>
          </w:p>
        </w:tc>
        <w:tc>
          <w:tcPr>
            <w:tcW w:w="604" w:type="dxa"/>
            <w:tcBorders>
              <w:top w:val="single" w:sz="6" w:space="0" w:color="auto"/>
              <w:left w:val="single" w:sz="6" w:space="0" w:color="auto"/>
              <w:bottom w:val="single" w:sz="6" w:space="0" w:color="auto"/>
              <w:right w:val="single" w:sz="6" w:space="0" w:color="auto"/>
            </w:tcBorders>
            <w:vAlign w:val="center"/>
            <w:hideMark/>
          </w:tcPr>
          <w:p w14:paraId="5FBEF92D" w14:textId="77777777" w:rsidR="00A2289E" w:rsidRPr="00945156" w:rsidRDefault="00A2289E" w:rsidP="00A2289E">
            <w:pPr>
              <w:rPr>
                <w:rFonts w:ascii="Arial" w:hAnsi="Arial" w:cs="Arial"/>
                <w:color w:val="000000"/>
                <w:sz w:val="14"/>
                <w:szCs w:val="14"/>
              </w:rPr>
            </w:pPr>
          </w:p>
        </w:tc>
        <w:tc>
          <w:tcPr>
            <w:tcW w:w="712" w:type="dxa"/>
            <w:tcBorders>
              <w:top w:val="single" w:sz="6" w:space="0" w:color="auto"/>
              <w:left w:val="single" w:sz="6" w:space="0" w:color="auto"/>
              <w:bottom w:val="single" w:sz="6" w:space="0" w:color="auto"/>
              <w:right w:val="single" w:sz="6" w:space="0" w:color="auto"/>
            </w:tcBorders>
            <w:vAlign w:val="center"/>
            <w:hideMark/>
          </w:tcPr>
          <w:p w14:paraId="3C6A11FC" w14:textId="77777777" w:rsidR="00A2289E" w:rsidRPr="00945156" w:rsidRDefault="00A2289E" w:rsidP="00A2289E">
            <w:pPr>
              <w:rPr>
                <w:rFonts w:ascii="Arial" w:hAnsi="Arial" w:cs="Arial"/>
                <w:color w:val="000000"/>
                <w:sz w:val="14"/>
                <w:szCs w:val="14"/>
              </w:rPr>
            </w:pPr>
          </w:p>
        </w:tc>
        <w:tc>
          <w:tcPr>
            <w:tcW w:w="789" w:type="dxa"/>
            <w:tcBorders>
              <w:top w:val="single" w:sz="6" w:space="0" w:color="auto"/>
              <w:left w:val="single" w:sz="6" w:space="0" w:color="auto"/>
              <w:bottom w:val="single" w:sz="6" w:space="0" w:color="auto"/>
              <w:right w:val="single" w:sz="6" w:space="0" w:color="auto"/>
            </w:tcBorders>
            <w:noWrap/>
            <w:vAlign w:val="center"/>
          </w:tcPr>
          <w:p w14:paraId="101D4C1D" w14:textId="183BE766" w:rsidR="007E4519" w:rsidRPr="00735AF3" w:rsidRDefault="007E4519" w:rsidP="00735AF3">
            <w:pPr>
              <w:jc w:val="center"/>
              <w:rPr>
                <w:rFonts w:ascii="Arial" w:hAnsi="Arial"/>
                <w:color w:val="000000"/>
                <w:sz w:val="16"/>
              </w:rPr>
            </w:pPr>
          </w:p>
        </w:tc>
        <w:tc>
          <w:tcPr>
            <w:tcW w:w="961"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93FD090" w14:textId="77777777" w:rsidR="00A2289E" w:rsidRPr="00945156" w:rsidRDefault="00A2289E" w:rsidP="00A2289E">
            <w:pPr>
              <w:jc w:val="center"/>
              <w:rPr>
                <w:rFonts w:ascii="Arial" w:hAnsi="Arial" w:cs="Arial"/>
                <w:color w:val="000000"/>
                <w:sz w:val="14"/>
                <w:szCs w:val="14"/>
              </w:rPr>
            </w:pPr>
          </w:p>
        </w:tc>
        <w:tc>
          <w:tcPr>
            <w:tcW w:w="1223"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0310A84" w14:textId="77777777" w:rsidR="00A2289E" w:rsidRPr="00945156" w:rsidRDefault="00A2289E" w:rsidP="00A2289E">
            <w:pPr>
              <w:jc w:val="center"/>
              <w:rPr>
                <w:rFonts w:ascii="Arial" w:hAnsi="Arial" w:cs="Arial"/>
                <w:color w:val="000000"/>
                <w:sz w:val="14"/>
                <w:szCs w:val="14"/>
              </w:rPr>
            </w:pPr>
          </w:p>
        </w:tc>
        <w:tc>
          <w:tcPr>
            <w:tcW w:w="1291"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46D3A81" w14:textId="77777777" w:rsidR="00A2289E" w:rsidRPr="00945156" w:rsidRDefault="00A2289E" w:rsidP="00A2289E">
            <w:pPr>
              <w:jc w:val="center"/>
              <w:rPr>
                <w:rFonts w:ascii="Arial" w:hAnsi="Arial" w:cs="Arial"/>
                <w:color w:val="000000"/>
                <w:sz w:val="14"/>
                <w:szCs w:val="14"/>
              </w:rPr>
            </w:pPr>
          </w:p>
        </w:tc>
        <w:tc>
          <w:tcPr>
            <w:tcW w:w="1753" w:type="dxa"/>
            <w:tcBorders>
              <w:top w:val="single" w:sz="6" w:space="0" w:color="auto"/>
              <w:left w:val="single" w:sz="6" w:space="0" w:color="auto"/>
              <w:bottom w:val="single" w:sz="6" w:space="0" w:color="auto"/>
              <w:right w:val="single" w:sz="6" w:space="0" w:color="auto"/>
            </w:tcBorders>
            <w:noWrap/>
            <w:vAlign w:val="center"/>
            <w:hideMark/>
          </w:tcPr>
          <w:p w14:paraId="6D6A2474"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 xml:space="preserve">D-1, </w:t>
            </w:r>
            <w:r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1C055BD2"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6" w:space="0" w:color="auto"/>
              <w:right w:val="single" w:sz="6" w:space="0" w:color="auto"/>
            </w:tcBorders>
            <w:noWrap/>
            <w:vAlign w:val="center"/>
            <w:hideMark/>
          </w:tcPr>
          <w:p w14:paraId="14A04D80" w14:textId="77777777" w:rsidR="00A2289E" w:rsidRPr="00945156" w:rsidRDefault="00A2289E" w:rsidP="00A2289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6" w:space="0" w:color="auto"/>
              <w:right w:val="single" w:sz="6" w:space="0" w:color="auto"/>
            </w:tcBorders>
            <w:noWrap/>
            <w:vAlign w:val="center"/>
            <w:hideMark/>
          </w:tcPr>
          <w:p w14:paraId="64C9E28B" w14:textId="77777777" w:rsidR="00A2289E" w:rsidRDefault="00A2289E" w:rsidP="00A2289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7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004CD6E" w14:textId="77777777" w:rsidR="00A2289E" w:rsidRPr="00945156" w:rsidRDefault="00A2289E" w:rsidP="00A2289E">
            <w:pPr>
              <w:jc w:val="center"/>
              <w:rPr>
                <w:rFonts w:ascii="Arial" w:hAnsi="Arial" w:cs="Arial"/>
                <w:color w:val="000000"/>
                <w:sz w:val="14"/>
                <w:szCs w:val="14"/>
              </w:rPr>
            </w:pPr>
            <w:r w:rsidRPr="00945156">
              <w:rPr>
                <w:rFonts w:ascii="Arial" w:hAnsi="Arial" w:cs="Arial"/>
                <w:color w:val="000000"/>
                <w:sz w:val="14"/>
                <w:szCs w:val="14"/>
              </w:rPr>
              <w:t> </w:t>
            </w:r>
          </w:p>
        </w:tc>
        <w:tc>
          <w:tcPr>
            <w:tcW w:w="987"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349D41F" w14:textId="77777777" w:rsidR="00A2289E" w:rsidRPr="00945156" w:rsidRDefault="00A2289E" w:rsidP="00A2289E">
            <w:pPr>
              <w:jc w:val="center"/>
              <w:rPr>
                <w:rFonts w:ascii="Arial" w:hAnsi="Arial" w:cs="Arial"/>
                <w:color w:val="000000"/>
                <w:sz w:val="14"/>
                <w:szCs w:val="14"/>
              </w:rPr>
            </w:pPr>
            <w:r w:rsidRPr="00945156">
              <w:rPr>
                <w:rFonts w:ascii="Arial" w:hAnsi="Arial" w:cs="Arial"/>
                <w:color w:val="000000"/>
                <w:sz w:val="14"/>
                <w:szCs w:val="14"/>
              </w:rPr>
              <w:t> </w:t>
            </w:r>
          </w:p>
        </w:tc>
      </w:tr>
      <w:tr w:rsidR="00A2289E" w:rsidRPr="00945156" w14:paraId="1766C482" w14:textId="77777777" w:rsidTr="00052EEE">
        <w:trPr>
          <w:trHeight w:val="195"/>
        </w:trPr>
        <w:tc>
          <w:tcPr>
            <w:tcW w:w="621" w:type="dxa"/>
            <w:vMerge/>
            <w:tcBorders>
              <w:top w:val="single" w:sz="6" w:space="0" w:color="auto"/>
              <w:left w:val="single" w:sz="24" w:space="0" w:color="auto"/>
              <w:bottom w:val="single" w:sz="24" w:space="0" w:color="auto"/>
              <w:right w:val="single" w:sz="6" w:space="0" w:color="auto"/>
            </w:tcBorders>
            <w:vAlign w:val="center"/>
            <w:hideMark/>
          </w:tcPr>
          <w:p w14:paraId="29EF9C8F" w14:textId="77777777" w:rsidR="00A2289E" w:rsidRPr="00945156" w:rsidRDefault="00A2289E" w:rsidP="00A2289E">
            <w:pPr>
              <w:rPr>
                <w:rFonts w:ascii="Arial" w:hAnsi="Arial" w:cs="Arial"/>
                <w:color w:val="000000"/>
                <w:sz w:val="14"/>
                <w:szCs w:val="14"/>
              </w:rPr>
            </w:pPr>
          </w:p>
        </w:tc>
        <w:tc>
          <w:tcPr>
            <w:tcW w:w="604" w:type="dxa"/>
            <w:tcBorders>
              <w:top w:val="single" w:sz="6" w:space="0" w:color="auto"/>
              <w:left w:val="single" w:sz="6" w:space="0" w:color="auto"/>
              <w:bottom w:val="single" w:sz="24" w:space="0" w:color="auto"/>
              <w:right w:val="single" w:sz="6" w:space="0" w:color="auto"/>
            </w:tcBorders>
            <w:vAlign w:val="center"/>
            <w:hideMark/>
          </w:tcPr>
          <w:p w14:paraId="6855F642" w14:textId="77777777" w:rsidR="00A2289E" w:rsidRPr="00945156" w:rsidRDefault="00A2289E" w:rsidP="00A2289E">
            <w:pPr>
              <w:rPr>
                <w:rFonts w:ascii="Arial" w:hAnsi="Arial" w:cs="Arial"/>
                <w:color w:val="000000"/>
                <w:sz w:val="14"/>
                <w:szCs w:val="14"/>
              </w:rPr>
            </w:pPr>
          </w:p>
        </w:tc>
        <w:tc>
          <w:tcPr>
            <w:tcW w:w="712" w:type="dxa"/>
            <w:tcBorders>
              <w:top w:val="single" w:sz="6" w:space="0" w:color="auto"/>
              <w:left w:val="single" w:sz="6" w:space="0" w:color="auto"/>
              <w:bottom w:val="single" w:sz="24" w:space="0" w:color="auto"/>
              <w:right w:val="single" w:sz="6" w:space="0" w:color="auto"/>
            </w:tcBorders>
            <w:vAlign w:val="center"/>
            <w:hideMark/>
          </w:tcPr>
          <w:p w14:paraId="44D539C9" w14:textId="77777777" w:rsidR="00A2289E" w:rsidRPr="00945156" w:rsidRDefault="00A2289E" w:rsidP="00A2289E">
            <w:pPr>
              <w:rPr>
                <w:rFonts w:ascii="Arial" w:hAnsi="Arial" w:cs="Arial"/>
                <w:color w:val="000000"/>
                <w:sz w:val="14"/>
                <w:szCs w:val="14"/>
              </w:rPr>
            </w:pPr>
          </w:p>
        </w:tc>
        <w:tc>
          <w:tcPr>
            <w:tcW w:w="789" w:type="dxa"/>
            <w:tcBorders>
              <w:top w:val="single" w:sz="6" w:space="0" w:color="auto"/>
              <w:left w:val="single" w:sz="6" w:space="0" w:color="auto"/>
              <w:bottom w:val="single" w:sz="24" w:space="0" w:color="auto"/>
              <w:right w:val="single" w:sz="6" w:space="0" w:color="auto"/>
            </w:tcBorders>
            <w:noWrap/>
            <w:vAlign w:val="center"/>
            <w:hideMark/>
          </w:tcPr>
          <w:p w14:paraId="4316BEDE" w14:textId="77777777" w:rsidR="00A2289E" w:rsidRPr="00945156" w:rsidRDefault="00A2289E" w:rsidP="00A2289E">
            <w:pPr>
              <w:jc w:val="center"/>
              <w:rPr>
                <w:rFonts w:ascii="Arial" w:hAnsi="Arial" w:cs="Arial"/>
                <w:color w:val="000000"/>
                <w:sz w:val="14"/>
                <w:szCs w:val="14"/>
              </w:rPr>
            </w:pPr>
            <w:r w:rsidRPr="00945156">
              <w:rPr>
                <w:rFonts w:ascii="Arial" w:hAnsi="Arial" w:cs="Arial"/>
                <w:color w:val="000000"/>
                <w:sz w:val="14"/>
                <w:szCs w:val="14"/>
              </w:rPr>
              <w:t>&gt;1"</w:t>
            </w:r>
          </w:p>
        </w:tc>
        <w:tc>
          <w:tcPr>
            <w:tcW w:w="961"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5AA5253C" w14:textId="77777777" w:rsidR="00A2289E" w:rsidRPr="00945156" w:rsidRDefault="00A2289E" w:rsidP="00A2289E">
            <w:pPr>
              <w:jc w:val="center"/>
              <w:rPr>
                <w:rFonts w:ascii="Arial" w:hAnsi="Arial" w:cs="Arial"/>
                <w:color w:val="000000"/>
                <w:sz w:val="14"/>
                <w:szCs w:val="14"/>
              </w:rPr>
            </w:pPr>
          </w:p>
        </w:tc>
        <w:tc>
          <w:tcPr>
            <w:tcW w:w="1223"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0C925FCB" w14:textId="77777777" w:rsidR="00A2289E" w:rsidRPr="00945156" w:rsidRDefault="00A2289E" w:rsidP="00A2289E">
            <w:pPr>
              <w:jc w:val="center"/>
              <w:rPr>
                <w:rFonts w:ascii="Arial" w:hAnsi="Arial" w:cs="Arial"/>
                <w:color w:val="000000"/>
                <w:sz w:val="14"/>
                <w:szCs w:val="14"/>
              </w:rPr>
            </w:pPr>
          </w:p>
        </w:tc>
        <w:tc>
          <w:tcPr>
            <w:tcW w:w="1291"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66719EEC" w14:textId="77777777" w:rsidR="00A2289E" w:rsidRPr="00945156" w:rsidRDefault="00A2289E" w:rsidP="00A2289E">
            <w:pPr>
              <w:jc w:val="center"/>
              <w:rPr>
                <w:rFonts w:ascii="Arial" w:hAnsi="Arial" w:cs="Arial"/>
                <w:color w:val="000000"/>
                <w:sz w:val="14"/>
                <w:szCs w:val="14"/>
              </w:rPr>
            </w:pPr>
          </w:p>
        </w:tc>
        <w:tc>
          <w:tcPr>
            <w:tcW w:w="1753" w:type="dxa"/>
            <w:tcBorders>
              <w:top w:val="single" w:sz="6" w:space="0" w:color="auto"/>
              <w:left w:val="single" w:sz="6" w:space="0" w:color="auto"/>
              <w:bottom w:val="single" w:sz="24" w:space="0" w:color="auto"/>
              <w:right w:val="single" w:sz="6" w:space="0" w:color="auto"/>
            </w:tcBorders>
            <w:noWrap/>
            <w:vAlign w:val="center"/>
            <w:hideMark/>
          </w:tcPr>
          <w:p w14:paraId="2FEABC12" w14:textId="77777777" w:rsidR="00A2289E" w:rsidRPr="00945156" w:rsidRDefault="00A2289E" w:rsidP="00A2289E">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D-6</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5B3DCD70" w14:textId="77777777" w:rsidR="00A2289E" w:rsidRPr="00945156" w:rsidRDefault="00A2289E" w:rsidP="00A2289E">
            <w:pPr>
              <w:jc w:val="center"/>
              <w:rPr>
                <w:rFonts w:ascii="Arial" w:hAnsi="Arial" w:cs="Arial"/>
                <w:color w:val="000000"/>
                <w:sz w:val="14"/>
                <w:szCs w:val="14"/>
              </w:rPr>
            </w:pPr>
            <w:r>
              <w:rPr>
                <w:rFonts w:ascii="Arial" w:hAnsi="Arial" w:cs="Arial"/>
                <w:color w:val="000000"/>
                <w:sz w:val="14"/>
                <w:szCs w:val="14"/>
              </w:rPr>
              <w:t>E-2</w:t>
            </w:r>
          </w:p>
        </w:tc>
        <w:tc>
          <w:tcPr>
            <w:tcW w:w="897" w:type="dxa"/>
            <w:tcBorders>
              <w:top w:val="single" w:sz="6" w:space="0" w:color="auto"/>
              <w:left w:val="single" w:sz="6" w:space="0" w:color="auto"/>
              <w:bottom w:val="single" w:sz="24" w:space="0" w:color="auto"/>
              <w:right w:val="single" w:sz="6" w:space="0" w:color="auto"/>
            </w:tcBorders>
            <w:noWrap/>
            <w:vAlign w:val="center"/>
            <w:hideMark/>
          </w:tcPr>
          <w:p w14:paraId="6CFF25CA" w14:textId="77777777" w:rsidR="00A2289E" w:rsidRPr="00945156" w:rsidRDefault="00A2289E" w:rsidP="00A2289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77" w:type="dxa"/>
            <w:tcBorders>
              <w:top w:val="single" w:sz="6" w:space="0" w:color="auto"/>
              <w:left w:val="single" w:sz="6" w:space="0" w:color="auto"/>
              <w:bottom w:val="single" w:sz="24" w:space="0" w:color="auto"/>
              <w:right w:val="single" w:sz="6" w:space="0" w:color="auto"/>
            </w:tcBorders>
            <w:noWrap/>
            <w:vAlign w:val="center"/>
            <w:hideMark/>
          </w:tcPr>
          <w:p w14:paraId="1359AA00" w14:textId="77777777" w:rsidR="00A2289E" w:rsidRPr="00945156" w:rsidRDefault="00A2289E" w:rsidP="00A2289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7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1DB7FF7" w14:textId="77777777" w:rsidR="00A2289E" w:rsidRPr="00945156" w:rsidRDefault="00A2289E" w:rsidP="00A2289E">
            <w:pPr>
              <w:jc w:val="center"/>
              <w:rPr>
                <w:rFonts w:ascii="Arial" w:hAnsi="Arial" w:cs="Arial"/>
                <w:color w:val="000000"/>
                <w:sz w:val="14"/>
                <w:szCs w:val="14"/>
              </w:rPr>
            </w:pPr>
            <w:r w:rsidRPr="00945156">
              <w:rPr>
                <w:rFonts w:ascii="Arial" w:hAnsi="Arial" w:cs="Arial"/>
                <w:color w:val="000000"/>
                <w:sz w:val="14"/>
                <w:szCs w:val="14"/>
              </w:rPr>
              <w:t> </w:t>
            </w:r>
          </w:p>
        </w:tc>
        <w:tc>
          <w:tcPr>
            <w:tcW w:w="1028" w:type="dxa"/>
            <w:gridSpan w:val="2"/>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CC908E4" w14:textId="77777777" w:rsidR="00A2289E" w:rsidRPr="00945156" w:rsidRDefault="00A2289E" w:rsidP="00A2289E">
            <w:pPr>
              <w:jc w:val="center"/>
              <w:rPr>
                <w:rFonts w:ascii="Arial" w:hAnsi="Arial" w:cs="Arial"/>
                <w:color w:val="000000"/>
                <w:sz w:val="14"/>
                <w:szCs w:val="14"/>
              </w:rPr>
            </w:pPr>
            <w:r w:rsidRPr="00945156">
              <w:rPr>
                <w:rFonts w:ascii="Arial" w:hAnsi="Arial" w:cs="Arial"/>
                <w:color w:val="000000"/>
                <w:sz w:val="14"/>
                <w:szCs w:val="14"/>
              </w:rPr>
              <w:t> </w:t>
            </w:r>
          </w:p>
        </w:tc>
      </w:tr>
    </w:tbl>
    <w:p w14:paraId="3985E8BE" w14:textId="77777777" w:rsidR="00170481" w:rsidRDefault="007E4519">
      <w:pPr>
        <w:framePr w:hSpace="180" w:wrap="around" w:vAnchor="text" w:hAnchor="text" w:x="97" w:y="1"/>
        <w:suppressOverlap/>
        <w:rPr>
          <w:rStyle w:val="Hyperlink"/>
          <w:rFonts w:ascii="Arial" w:hAnsi="Arial" w:cs="Arial"/>
          <w:bCs/>
          <w:sz w:val="16"/>
          <w:szCs w:val="16"/>
        </w:rPr>
      </w:pPr>
      <w:r w:rsidRPr="00945156">
        <w:rPr>
          <w:rFonts w:ascii="Arial" w:hAnsi="Arial" w:cs="Arial"/>
          <w:color w:val="000000"/>
          <w:sz w:val="16"/>
          <w:szCs w:val="16"/>
        </w:rPr>
        <w:t xml:space="preserve">Note: See </w:t>
      </w:r>
      <w:hyperlink w:anchor="_Table_C._List_1" w:history="1">
        <w:r w:rsidRPr="00EE5EE0">
          <w:rPr>
            <w:rStyle w:val="Hyperlink"/>
            <w:rFonts w:ascii="Arial" w:hAnsi="Arial" w:cs="Arial"/>
            <w:sz w:val="16"/>
            <w:szCs w:val="16"/>
          </w:rPr>
          <w:t xml:space="preserve">Table </w:t>
        </w:r>
        <w:r>
          <w:rPr>
            <w:rStyle w:val="Hyperlink"/>
            <w:rFonts w:ascii="Arial" w:hAnsi="Arial" w:cs="Arial"/>
            <w:sz w:val="16"/>
            <w:szCs w:val="16"/>
          </w:rPr>
          <w:t>C</w:t>
        </w:r>
      </w:hyperlink>
      <w:r w:rsidRPr="00945156">
        <w:rPr>
          <w:rFonts w:ascii="Arial" w:hAnsi="Arial" w:cs="Arial"/>
          <w:color w:val="000000"/>
          <w:sz w:val="16"/>
          <w:szCs w:val="16"/>
        </w:rPr>
        <w:t xml:space="preserve"> for Treatment Activities</w:t>
      </w:r>
      <w:r>
        <w:rPr>
          <w:rFonts w:ascii="Arial" w:hAnsi="Arial" w:cs="Arial"/>
          <w:color w:val="000000"/>
          <w:sz w:val="16"/>
          <w:szCs w:val="16"/>
        </w:rPr>
        <w:t>.  *</w:t>
      </w:r>
      <w:r w:rsidR="00A2289E">
        <w:rPr>
          <w:rFonts w:ascii="Arial" w:hAnsi="Arial" w:cs="Arial"/>
          <w:color w:val="000000"/>
          <w:sz w:val="16"/>
          <w:szCs w:val="16"/>
        </w:rPr>
        <w:t>H-2 and H-3 apply to composite pavements only.  ** D-4, D-6, and Major Rehab</w:t>
      </w:r>
      <w:r w:rsidR="00A2289E" w:rsidDel="00BC7B5D">
        <w:rPr>
          <w:rFonts w:ascii="Arial" w:hAnsi="Arial" w:cs="Arial"/>
          <w:color w:val="000000"/>
          <w:sz w:val="16"/>
          <w:szCs w:val="16"/>
        </w:rPr>
        <w:t xml:space="preserve"> </w:t>
      </w:r>
      <w:r w:rsidR="00A2289E">
        <w:rPr>
          <w:rFonts w:ascii="Arial" w:hAnsi="Arial" w:cs="Arial"/>
          <w:color w:val="000000"/>
          <w:sz w:val="16"/>
          <w:szCs w:val="16"/>
        </w:rPr>
        <w:t>do not apply to pavements with predominant Curb &amp; Gutter.</w:t>
      </w:r>
      <w:r w:rsidR="00170481">
        <w:rPr>
          <w:rFonts w:ascii="Arial" w:hAnsi="Arial" w:cs="Arial"/>
          <w:color w:val="000000"/>
          <w:sz w:val="16"/>
          <w:szCs w:val="16"/>
        </w:rPr>
        <w:t xml:space="preserve">  </w:t>
      </w:r>
      <w:r w:rsidR="00170481">
        <w:rPr>
          <w:rFonts w:ascii="Arial" w:eastAsia="Arial" w:hAnsi="Arial" w:cs="Arial"/>
          <w:sz w:val="16"/>
        </w:rPr>
        <w:t>Click to go</w:t>
      </w:r>
      <w:r w:rsidR="00170481" w:rsidRPr="00982DB5">
        <w:rPr>
          <w:rFonts w:ascii="Arial" w:eastAsia="Arial" w:hAnsi="Arial" w:cs="Arial"/>
          <w:sz w:val="16"/>
          <w:szCs w:val="16"/>
        </w:rPr>
        <w:t xml:space="preserve"> to</w:t>
      </w:r>
      <w:r w:rsidR="00170481" w:rsidRPr="00982DB5">
        <w:rPr>
          <w:rFonts w:ascii="Arial" w:hAnsi="Arial" w:cs="Arial"/>
          <w:bCs/>
          <w:sz w:val="16"/>
          <w:szCs w:val="16"/>
        </w:rPr>
        <w:t xml:space="preserve"> </w:t>
      </w:r>
      <w:hyperlink w:anchor="_Initial_Treatment_Identification" w:history="1">
        <w:r w:rsidR="00170481" w:rsidRPr="007E1D5E">
          <w:rPr>
            <w:rStyle w:val="Hyperlink"/>
            <w:rFonts w:ascii="Arial" w:hAnsi="Arial" w:cs="Arial"/>
            <w:bCs/>
            <w:sz w:val="16"/>
            <w:szCs w:val="16"/>
          </w:rPr>
          <w:t>Initial Treatment Identification – Pavement Preservation Guide</w:t>
        </w:r>
      </w:hyperlink>
    </w:p>
    <w:p w14:paraId="61C58799" w14:textId="35C90024" w:rsidR="00556365" w:rsidRDefault="00556365"/>
    <w:tbl>
      <w:tblPr>
        <w:tblpPr w:leftFromText="180" w:rightFromText="180" w:vertAnchor="text" w:horzAnchor="margin" w:tblpY="193"/>
        <w:tblOverlap w:val="never"/>
        <w:tblW w:w="12930" w:type="dxa"/>
        <w:tblLayout w:type="fixed"/>
        <w:tblLook w:val="04A0" w:firstRow="1" w:lastRow="0" w:firstColumn="1" w:lastColumn="0" w:noHBand="0" w:noVBand="1"/>
      </w:tblPr>
      <w:tblGrid>
        <w:gridCol w:w="624"/>
        <w:gridCol w:w="606"/>
        <w:gridCol w:w="714"/>
        <w:gridCol w:w="791"/>
        <w:gridCol w:w="964"/>
        <w:gridCol w:w="1227"/>
        <w:gridCol w:w="1295"/>
        <w:gridCol w:w="1759"/>
        <w:gridCol w:w="900"/>
        <w:gridCol w:w="900"/>
        <w:gridCol w:w="1080"/>
        <w:gridCol w:w="1080"/>
        <w:gridCol w:w="990"/>
      </w:tblGrid>
      <w:tr w:rsidR="00052EEE" w:rsidRPr="00945156" w14:paraId="47257084" w14:textId="77777777" w:rsidTr="00052EEE">
        <w:trPr>
          <w:trHeight w:val="735"/>
        </w:trPr>
        <w:tc>
          <w:tcPr>
            <w:tcW w:w="2735" w:type="dxa"/>
            <w:gridSpan w:val="4"/>
            <w:tcBorders>
              <w:top w:val="single" w:sz="24" w:space="0" w:color="auto"/>
              <w:left w:val="single" w:sz="24" w:space="0" w:color="auto"/>
              <w:bottom w:val="single" w:sz="6" w:space="0" w:color="auto"/>
              <w:right w:val="single" w:sz="6" w:space="0" w:color="auto"/>
            </w:tcBorders>
            <w:noWrap/>
            <w:vAlign w:val="center"/>
            <w:hideMark/>
          </w:tcPr>
          <w:p w14:paraId="1105EA49" w14:textId="77777777" w:rsidR="00052EEE" w:rsidRPr="00945156" w:rsidRDefault="00052EEE" w:rsidP="00052EEE">
            <w:pPr>
              <w:jc w:val="center"/>
              <w:rPr>
                <w:rFonts w:ascii="Bell MT" w:hAnsi="Bell MT" w:cs="Arial"/>
                <w:b/>
                <w:bCs/>
                <w:color w:val="000000"/>
                <w:sz w:val="40"/>
                <w:szCs w:val="40"/>
              </w:rPr>
            </w:pPr>
            <w:r w:rsidRPr="00945156">
              <w:rPr>
                <w:rFonts w:ascii="Bell MT" w:hAnsi="Bell MT" w:cs="Arial"/>
                <w:b/>
                <w:bCs/>
                <w:color w:val="000000"/>
                <w:sz w:val="40"/>
                <w:szCs w:val="40"/>
              </w:rPr>
              <w:lastRenderedPageBreak/>
              <w:t xml:space="preserve">Table </w:t>
            </w:r>
            <w:r>
              <w:rPr>
                <w:rFonts w:ascii="Bell MT" w:hAnsi="Bell MT" w:cs="Arial"/>
                <w:b/>
                <w:bCs/>
                <w:color w:val="000000"/>
                <w:sz w:val="40"/>
                <w:szCs w:val="40"/>
              </w:rPr>
              <w:t>VIII</w:t>
            </w:r>
          </w:p>
        </w:tc>
        <w:tc>
          <w:tcPr>
            <w:tcW w:w="10195" w:type="dxa"/>
            <w:gridSpan w:val="9"/>
            <w:tcBorders>
              <w:top w:val="single" w:sz="24" w:space="0" w:color="auto"/>
              <w:left w:val="single" w:sz="6" w:space="0" w:color="auto"/>
              <w:bottom w:val="single" w:sz="6" w:space="0" w:color="auto"/>
              <w:right w:val="single" w:sz="24" w:space="0" w:color="auto"/>
            </w:tcBorders>
            <w:vAlign w:val="center"/>
            <w:hideMark/>
          </w:tcPr>
          <w:p w14:paraId="2AF9AB18" w14:textId="7B3314EB" w:rsidR="00052EEE" w:rsidRPr="00945156" w:rsidRDefault="00052EEE" w:rsidP="00052EEE">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 xml:space="preserve">ADT: </w:t>
            </w:r>
            <w:r>
              <w:rPr>
                <w:rFonts w:ascii="Arial" w:hAnsi="Arial" w:cs="Arial"/>
                <w:b/>
                <w:bCs/>
                <w:color w:val="000000"/>
                <w:sz w:val="18"/>
                <w:szCs w:val="18"/>
              </w:rPr>
              <w:t>&gt; 25</w:t>
            </w:r>
            <w:r w:rsidRPr="00945156">
              <w:rPr>
                <w:rFonts w:ascii="Arial" w:hAnsi="Arial" w:cs="Arial"/>
                <w:b/>
                <w:bCs/>
                <w:color w:val="000000"/>
                <w:sz w:val="18"/>
                <w:szCs w:val="18"/>
              </w:rPr>
              <w:t>,000</w:t>
            </w:r>
            <w:r w:rsidRPr="00945156">
              <w:rPr>
                <w:rFonts w:ascii="Arial" w:hAnsi="Arial" w:cs="Arial"/>
                <w:b/>
                <w:bCs/>
                <w:color w:val="000000"/>
                <w:sz w:val="18"/>
                <w:szCs w:val="18"/>
              </w:rPr>
              <w:br/>
              <w:t xml:space="preserve">IRI: </w:t>
            </w:r>
            <w:r>
              <w:rPr>
                <w:rFonts w:ascii="Arial" w:hAnsi="Arial" w:cs="Arial"/>
                <w:b/>
                <w:bCs/>
                <w:color w:val="000000"/>
                <w:sz w:val="18"/>
                <w:szCs w:val="18"/>
              </w:rPr>
              <w:t>1</w:t>
            </w:r>
            <w:r w:rsidR="001E70D2">
              <w:rPr>
                <w:rFonts w:ascii="Arial" w:hAnsi="Arial" w:cs="Arial"/>
                <w:b/>
                <w:bCs/>
                <w:color w:val="000000"/>
                <w:sz w:val="18"/>
                <w:szCs w:val="18"/>
              </w:rPr>
              <w:t>2</w:t>
            </w:r>
            <w:r>
              <w:rPr>
                <w:rFonts w:ascii="Arial" w:hAnsi="Arial" w:cs="Arial"/>
                <w:b/>
                <w:bCs/>
                <w:color w:val="000000"/>
                <w:sz w:val="18"/>
                <w:szCs w:val="18"/>
              </w:rPr>
              <w:t>1</w:t>
            </w:r>
            <w:r w:rsidRPr="00945156">
              <w:rPr>
                <w:rFonts w:ascii="Arial" w:hAnsi="Arial" w:cs="Arial"/>
                <w:b/>
                <w:bCs/>
                <w:color w:val="000000"/>
                <w:sz w:val="18"/>
                <w:szCs w:val="18"/>
              </w:rPr>
              <w:t xml:space="preserve"> </w:t>
            </w:r>
            <w:r>
              <w:rPr>
                <w:rFonts w:ascii="Arial" w:hAnsi="Arial" w:cs="Arial"/>
                <w:b/>
                <w:bCs/>
                <w:color w:val="000000"/>
                <w:sz w:val="18"/>
                <w:szCs w:val="18"/>
              </w:rPr>
              <w:t>to ≤</w:t>
            </w:r>
            <w:r w:rsidRPr="00945156">
              <w:rPr>
                <w:rFonts w:ascii="Arial" w:hAnsi="Arial" w:cs="Arial"/>
                <w:b/>
                <w:bCs/>
                <w:color w:val="000000"/>
                <w:sz w:val="18"/>
                <w:szCs w:val="18"/>
              </w:rPr>
              <w:t xml:space="preserve"> 1</w:t>
            </w:r>
            <w:r>
              <w:rPr>
                <w:rFonts w:ascii="Arial" w:hAnsi="Arial" w:cs="Arial"/>
                <w:b/>
                <w:bCs/>
                <w:color w:val="000000"/>
                <w:sz w:val="18"/>
                <w:szCs w:val="18"/>
              </w:rPr>
              <w:t>7</w:t>
            </w:r>
            <w:r w:rsidRPr="00945156">
              <w:rPr>
                <w:rFonts w:ascii="Arial" w:hAnsi="Arial" w:cs="Arial"/>
                <w:b/>
                <w:bCs/>
                <w:color w:val="000000"/>
                <w:sz w:val="18"/>
                <w:szCs w:val="18"/>
              </w:rPr>
              <w:t>0</w:t>
            </w:r>
          </w:p>
        </w:tc>
      </w:tr>
      <w:tr w:rsidR="00052EEE" w:rsidRPr="00945156" w14:paraId="390FAD70" w14:textId="77777777" w:rsidTr="00052EEE">
        <w:trPr>
          <w:trHeight w:val="465"/>
        </w:trPr>
        <w:tc>
          <w:tcPr>
            <w:tcW w:w="624" w:type="dxa"/>
            <w:tcBorders>
              <w:top w:val="single" w:sz="6" w:space="0" w:color="auto"/>
              <w:left w:val="single" w:sz="24" w:space="0" w:color="auto"/>
              <w:bottom w:val="single" w:sz="24" w:space="0" w:color="auto"/>
              <w:right w:val="single" w:sz="6" w:space="0" w:color="auto"/>
            </w:tcBorders>
            <w:vAlign w:val="center"/>
            <w:hideMark/>
          </w:tcPr>
          <w:p w14:paraId="025A45A8" w14:textId="77777777"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606" w:type="dxa"/>
            <w:tcBorders>
              <w:top w:val="single" w:sz="6" w:space="0" w:color="auto"/>
              <w:left w:val="single" w:sz="6" w:space="0" w:color="auto"/>
              <w:bottom w:val="single" w:sz="24" w:space="0" w:color="auto"/>
              <w:right w:val="single" w:sz="6" w:space="0" w:color="auto"/>
            </w:tcBorders>
            <w:vAlign w:val="center"/>
            <w:hideMark/>
          </w:tcPr>
          <w:p w14:paraId="5C2EFF5E" w14:textId="77777777"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714" w:type="dxa"/>
            <w:tcBorders>
              <w:top w:val="single" w:sz="6" w:space="0" w:color="auto"/>
              <w:left w:val="single" w:sz="6" w:space="0" w:color="auto"/>
              <w:bottom w:val="single" w:sz="24" w:space="0" w:color="auto"/>
              <w:right w:val="single" w:sz="6" w:space="0" w:color="auto"/>
            </w:tcBorders>
            <w:vAlign w:val="center"/>
            <w:hideMark/>
          </w:tcPr>
          <w:p w14:paraId="1207A1FB" w14:textId="77777777" w:rsidR="00052EEE" w:rsidRPr="00945156" w:rsidRDefault="00052EEE" w:rsidP="00052EEE">
            <w:pPr>
              <w:jc w:val="center"/>
              <w:rPr>
                <w:rFonts w:ascii="Arial" w:hAnsi="Arial" w:cs="Arial"/>
                <w:b/>
                <w:bCs/>
                <w:color w:val="000000"/>
                <w:sz w:val="16"/>
                <w:szCs w:val="16"/>
              </w:rPr>
            </w:pPr>
            <w:r>
              <w:rPr>
                <w:rFonts w:ascii="Arial" w:hAnsi="Arial" w:cs="Arial"/>
                <w:b/>
                <w:bCs/>
                <w:color w:val="000000"/>
                <w:sz w:val="16"/>
                <w:szCs w:val="16"/>
              </w:rPr>
              <w:t>Skid</w:t>
            </w:r>
          </w:p>
        </w:tc>
        <w:tc>
          <w:tcPr>
            <w:tcW w:w="791" w:type="dxa"/>
            <w:tcBorders>
              <w:top w:val="single" w:sz="6" w:space="0" w:color="auto"/>
              <w:left w:val="single" w:sz="6" w:space="0" w:color="auto"/>
              <w:bottom w:val="single" w:sz="24" w:space="0" w:color="auto"/>
              <w:right w:val="single" w:sz="6" w:space="0" w:color="auto"/>
            </w:tcBorders>
            <w:vAlign w:val="center"/>
            <w:hideMark/>
          </w:tcPr>
          <w:p w14:paraId="49DDC2B8" w14:textId="77777777"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64" w:type="dxa"/>
            <w:tcBorders>
              <w:top w:val="single" w:sz="6" w:space="0" w:color="auto"/>
              <w:left w:val="single" w:sz="6" w:space="0" w:color="auto"/>
              <w:bottom w:val="single" w:sz="24" w:space="0" w:color="auto"/>
              <w:right w:val="single" w:sz="6" w:space="0" w:color="auto"/>
            </w:tcBorders>
            <w:vAlign w:val="center"/>
            <w:hideMark/>
          </w:tcPr>
          <w:p w14:paraId="5B83F0F2" w14:textId="77777777"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27" w:type="dxa"/>
            <w:tcBorders>
              <w:top w:val="single" w:sz="6" w:space="0" w:color="auto"/>
              <w:left w:val="single" w:sz="6" w:space="0" w:color="auto"/>
              <w:bottom w:val="single" w:sz="24" w:space="0" w:color="auto"/>
              <w:right w:val="single" w:sz="6" w:space="0" w:color="auto"/>
            </w:tcBorders>
            <w:vAlign w:val="center"/>
            <w:hideMark/>
          </w:tcPr>
          <w:p w14:paraId="6FBF6787" w14:textId="77777777"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295" w:type="dxa"/>
            <w:tcBorders>
              <w:top w:val="single" w:sz="6" w:space="0" w:color="auto"/>
              <w:left w:val="single" w:sz="6" w:space="0" w:color="auto"/>
              <w:bottom w:val="single" w:sz="24" w:space="0" w:color="auto"/>
              <w:right w:val="single" w:sz="6" w:space="0" w:color="auto"/>
            </w:tcBorders>
            <w:vAlign w:val="center"/>
            <w:hideMark/>
          </w:tcPr>
          <w:p w14:paraId="1CF38A4D" w14:textId="77777777"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59" w:type="dxa"/>
            <w:tcBorders>
              <w:top w:val="single" w:sz="6" w:space="0" w:color="auto"/>
              <w:left w:val="single" w:sz="6" w:space="0" w:color="auto"/>
              <w:bottom w:val="single" w:sz="24" w:space="0" w:color="auto"/>
              <w:right w:val="single" w:sz="6" w:space="0" w:color="auto"/>
            </w:tcBorders>
            <w:vAlign w:val="center"/>
            <w:hideMark/>
          </w:tcPr>
          <w:p w14:paraId="460D60F2" w14:textId="77777777"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Pr>
                <w:rFonts w:ascii="Arial" w:hAnsi="Arial" w:cs="Arial"/>
                <w:b/>
                <w:bCs/>
                <w:color w:val="000000"/>
                <w:sz w:val="16"/>
                <w:szCs w:val="16"/>
              </w:rPr>
              <w:t>Asphalt</w:t>
            </w:r>
            <w:r w:rsidRPr="00945156">
              <w:rPr>
                <w:rFonts w:ascii="Arial" w:hAnsi="Arial" w:cs="Arial"/>
                <w:b/>
                <w:bCs/>
                <w:color w:val="000000"/>
                <w:sz w:val="16"/>
                <w:szCs w:val="16"/>
              </w:rPr>
              <w:t xml:space="preserve"> Overlay</w:t>
            </w:r>
            <w:r>
              <w:rPr>
                <w:rFonts w:ascii="Arial" w:hAnsi="Arial" w:cs="Arial"/>
                <w:b/>
                <w:bCs/>
                <w:color w:val="000000"/>
                <w:sz w:val="16"/>
                <w:szCs w:val="16"/>
              </w:rPr>
              <w:t>**</w:t>
            </w:r>
          </w:p>
        </w:tc>
        <w:tc>
          <w:tcPr>
            <w:tcW w:w="900" w:type="dxa"/>
            <w:tcBorders>
              <w:top w:val="single" w:sz="6" w:space="0" w:color="auto"/>
              <w:left w:val="single" w:sz="6" w:space="0" w:color="auto"/>
              <w:bottom w:val="single" w:sz="24" w:space="0" w:color="auto"/>
              <w:right w:val="single" w:sz="6" w:space="0" w:color="auto"/>
            </w:tcBorders>
            <w:vAlign w:val="center"/>
            <w:hideMark/>
          </w:tcPr>
          <w:p w14:paraId="0A4D0DDE" w14:textId="77777777"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900" w:type="dxa"/>
            <w:tcBorders>
              <w:top w:val="single" w:sz="6" w:space="0" w:color="auto"/>
              <w:left w:val="single" w:sz="6" w:space="0" w:color="auto"/>
              <w:bottom w:val="single" w:sz="24" w:space="0" w:color="auto"/>
              <w:right w:val="single" w:sz="6" w:space="0" w:color="auto"/>
            </w:tcBorders>
            <w:vAlign w:val="center"/>
            <w:hideMark/>
          </w:tcPr>
          <w:p w14:paraId="4919AAFB" w14:textId="4EEC5244" w:rsidR="00052EEE" w:rsidRPr="00945156" w:rsidRDefault="00052EEE" w:rsidP="00052EEE">
            <w:pPr>
              <w:jc w:val="center"/>
              <w:rPr>
                <w:rFonts w:ascii="Arial" w:hAnsi="Arial" w:cs="Arial"/>
                <w:b/>
                <w:bCs/>
                <w:color w:val="000000"/>
                <w:sz w:val="16"/>
                <w:szCs w:val="16"/>
              </w:rPr>
            </w:pPr>
            <w:r w:rsidRPr="00945156">
              <w:rPr>
                <w:rFonts w:ascii="Arial" w:hAnsi="Arial" w:cs="Arial"/>
                <w:b/>
                <w:bCs/>
                <w:color w:val="000000"/>
                <w:sz w:val="16"/>
                <w:szCs w:val="16"/>
              </w:rPr>
              <w:t>F.</w:t>
            </w:r>
            <w:r w:rsidR="008D7723">
              <w:rPr>
                <w:rFonts w:ascii="Arial" w:hAnsi="Arial" w:cs="Arial"/>
                <w:b/>
                <w:bCs/>
                <w:color w:val="000000"/>
                <w:sz w:val="16"/>
                <w:szCs w:val="16"/>
              </w:rPr>
              <w:t xml:space="preserve"> Spot Repair</w:t>
            </w:r>
          </w:p>
        </w:tc>
        <w:tc>
          <w:tcPr>
            <w:tcW w:w="1080" w:type="dxa"/>
            <w:tcBorders>
              <w:top w:val="single" w:sz="6" w:space="0" w:color="auto"/>
              <w:left w:val="single" w:sz="6" w:space="0" w:color="auto"/>
              <w:bottom w:val="single" w:sz="24" w:space="0" w:color="auto"/>
              <w:right w:val="single" w:sz="6" w:space="0" w:color="auto"/>
            </w:tcBorders>
            <w:vAlign w:val="center"/>
            <w:hideMark/>
          </w:tcPr>
          <w:p w14:paraId="78C134E6" w14:textId="77777777" w:rsidR="00052EEE" w:rsidRPr="00945156" w:rsidRDefault="00052EEE" w:rsidP="00052EEE">
            <w:pPr>
              <w:jc w:val="center"/>
              <w:rPr>
                <w:rFonts w:ascii="Arial" w:hAnsi="Arial" w:cs="Arial"/>
                <w:b/>
                <w:bCs/>
                <w:color w:val="000000"/>
                <w:sz w:val="16"/>
                <w:szCs w:val="16"/>
              </w:rPr>
            </w:pPr>
            <w:r>
              <w:rPr>
                <w:rFonts w:ascii="Arial" w:hAnsi="Arial" w:cs="Arial"/>
                <w:b/>
                <w:bCs/>
                <w:color w:val="000000"/>
                <w:sz w:val="16"/>
                <w:szCs w:val="16"/>
              </w:rPr>
              <w:t>G</w:t>
            </w:r>
            <w:r w:rsidRPr="00945156">
              <w:rPr>
                <w:rFonts w:ascii="Arial" w:hAnsi="Arial" w:cs="Arial"/>
                <w:b/>
                <w:bCs/>
                <w:color w:val="000000"/>
                <w:sz w:val="16"/>
                <w:szCs w:val="16"/>
              </w:rPr>
              <w:t xml:space="preserve">. </w:t>
            </w:r>
            <w:r>
              <w:rPr>
                <w:rFonts w:ascii="Arial" w:hAnsi="Arial" w:cs="Arial"/>
                <w:b/>
                <w:bCs/>
                <w:color w:val="000000"/>
                <w:sz w:val="16"/>
                <w:szCs w:val="16"/>
              </w:rPr>
              <w:t>Surface Texturizing</w:t>
            </w:r>
          </w:p>
        </w:tc>
        <w:tc>
          <w:tcPr>
            <w:tcW w:w="1080" w:type="dxa"/>
            <w:tcBorders>
              <w:top w:val="single" w:sz="6" w:space="0" w:color="auto"/>
              <w:left w:val="single" w:sz="6" w:space="0" w:color="auto"/>
              <w:bottom w:val="single" w:sz="24" w:space="0" w:color="auto"/>
              <w:right w:val="single" w:sz="6" w:space="0" w:color="auto"/>
            </w:tcBorders>
            <w:vAlign w:val="center"/>
            <w:hideMark/>
          </w:tcPr>
          <w:p w14:paraId="271753F7" w14:textId="77777777" w:rsidR="00052EEE" w:rsidRPr="00945156" w:rsidRDefault="00052EEE" w:rsidP="00052EEE">
            <w:pPr>
              <w:jc w:val="center"/>
              <w:rPr>
                <w:rFonts w:ascii="Arial" w:hAnsi="Arial" w:cs="Arial"/>
                <w:b/>
                <w:bCs/>
                <w:color w:val="000000"/>
                <w:sz w:val="16"/>
                <w:szCs w:val="16"/>
              </w:rPr>
            </w:pPr>
            <w:r>
              <w:rPr>
                <w:rFonts w:ascii="Arial" w:hAnsi="Arial" w:cs="Arial"/>
                <w:b/>
                <w:bCs/>
                <w:color w:val="000000"/>
                <w:sz w:val="16"/>
                <w:szCs w:val="16"/>
              </w:rPr>
              <w:t>H</w:t>
            </w:r>
            <w:r w:rsidRPr="00945156">
              <w:rPr>
                <w:rFonts w:ascii="Arial" w:hAnsi="Arial" w:cs="Arial"/>
                <w:b/>
                <w:bCs/>
                <w:color w:val="000000"/>
                <w:sz w:val="16"/>
                <w:szCs w:val="16"/>
              </w:rPr>
              <w:t>. Major Rehab</w:t>
            </w:r>
            <w:r>
              <w:rPr>
                <w:rFonts w:ascii="Arial" w:hAnsi="Arial" w:cs="Arial"/>
                <w:b/>
                <w:bCs/>
                <w:color w:val="000000"/>
                <w:sz w:val="16"/>
                <w:szCs w:val="16"/>
              </w:rPr>
              <w:t>**</w:t>
            </w:r>
          </w:p>
        </w:tc>
        <w:tc>
          <w:tcPr>
            <w:tcW w:w="990" w:type="dxa"/>
            <w:tcBorders>
              <w:top w:val="single" w:sz="6" w:space="0" w:color="auto"/>
              <w:left w:val="single" w:sz="6" w:space="0" w:color="auto"/>
              <w:bottom w:val="single" w:sz="24" w:space="0" w:color="auto"/>
              <w:right w:val="single" w:sz="24" w:space="0" w:color="auto"/>
            </w:tcBorders>
            <w:vAlign w:val="center"/>
            <w:hideMark/>
          </w:tcPr>
          <w:p w14:paraId="44FD00AC" w14:textId="77777777" w:rsidR="00052EEE" w:rsidRPr="00945156" w:rsidRDefault="00052EEE" w:rsidP="00052EEE">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r w:rsidRPr="00945156">
              <w:rPr>
                <w:rFonts w:ascii="Arial" w:hAnsi="Arial" w:cs="Arial"/>
                <w:b/>
                <w:bCs/>
                <w:color w:val="000000"/>
                <w:sz w:val="16"/>
                <w:szCs w:val="16"/>
              </w:rPr>
              <w:t>struction</w:t>
            </w:r>
          </w:p>
        </w:tc>
      </w:tr>
      <w:tr w:rsidR="00052EEE" w:rsidRPr="00945156" w14:paraId="34AD0F44" w14:textId="77777777" w:rsidTr="00052EEE">
        <w:trPr>
          <w:trHeight w:val="195"/>
        </w:trPr>
        <w:tc>
          <w:tcPr>
            <w:tcW w:w="624" w:type="dxa"/>
            <w:vMerge w:val="restart"/>
            <w:tcBorders>
              <w:top w:val="single" w:sz="24" w:space="0" w:color="auto"/>
              <w:left w:val="single" w:sz="24" w:space="0" w:color="auto"/>
              <w:bottom w:val="single" w:sz="6" w:space="0" w:color="auto"/>
              <w:right w:val="single" w:sz="6" w:space="0" w:color="auto"/>
            </w:tcBorders>
            <w:noWrap/>
            <w:vAlign w:val="center"/>
            <w:hideMark/>
          </w:tcPr>
          <w:p w14:paraId="297D6B32" w14:textId="77777777" w:rsidR="00052EEE" w:rsidRDefault="00052EEE" w:rsidP="00052EEE">
            <w:pPr>
              <w:jc w:val="center"/>
              <w:rPr>
                <w:rFonts w:ascii="Arial" w:hAnsi="Arial" w:cs="Arial"/>
                <w:color w:val="000000"/>
                <w:sz w:val="14"/>
                <w:szCs w:val="14"/>
              </w:rPr>
            </w:pPr>
            <w:r>
              <w:rPr>
                <w:rFonts w:ascii="Arial" w:hAnsi="Arial" w:cs="Arial"/>
                <w:color w:val="000000"/>
                <w:sz w:val="14"/>
                <w:szCs w:val="14"/>
              </w:rPr>
              <w:t>≥25</w:t>
            </w:r>
          </w:p>
          <w:p w14:paraId="4B8617E8" w14:textId="77777777" w:rsidR="00052EEE" w:rsidRPr="00945156" w:rsidRDefault="00052EEE" w:rsidP="00052EEE">
            <w:pPr>
              <w:jc w:val="center"/>
              <w:rPr>
                <w:rFonts w:ascii="Arial" w:hAnsi="Arial" w:cs="Arial"/>
                <w:color w:val="000000"/>
                <w:sz w:val="14"/>
                <w:szCs w:val="14"/>
              </w:rPr>
            </w:pPr>
          </w:p>
        </w:tc>
        <w:tc>
          <w:tcPr>
            <w:tcW w:w="606" w:type="dxa"/>
            <w:vMerge w:val="restart"/>
            <w:tcBorders>
              <w:top w:val="single" w:sz="24" w:space="0" w:color="auto"/>
              <w:left w:val="single" w:sz="6" w:space="0" w:color="auto"/>
              <w:bottom w:val="single" w:sz="6" w:space="0" w:color="auto"/>
              <w:right w:val="single" w:sz="6" w:space="0" w:color="auto"/>
            </w:tcBorders>
            <w:vAlign w:val="center"/>
            <w:hideMark/>
          </w:tcPr>
          <w:p w14:paraId="725008B4"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≤10</w:t>
            </w:r>
          </w:p>
        </w:tc>
        <w:tc>
          <w:tcPr>
            <w:tcW w:w="714" w:type="dxa"/>
            <w:vMerge w:val="restart"/>
            <w:tcBorders>
              <w:top w:val="single" w:sz="24" w:space="0" w:color="auto"/>
              <w:left w:val="single" w:sz="6" w:space="0" w:color="auto"/>
              <w:bottom w:val="single" w:sz="6" w:space="0" w:color="auto"/>
              <w:right w:val="single" w:sz="6" w:space="0" w:color="auto"/>
            </w:tcBorders>
            <w:noWrap/>
            <w:vAlign w:val="center"/>
            <w:hideMark/>
          </w:tcPr>
          <w:p w14:paraId="036AD10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24" w:space="0" w:color="auto"/>
              <w:left w:val="single" w:sz="6" w:space="0" w:color="auto"/>
              <w:bottom w:val="single" w:sz="6" w:space="0" w:color="auto"/>
              <w:right w:val="single" w:sz="6" w:space="0" w:color="auto"/>
            </w:tcBorders>
            <w:noWrap/>
            <w:vAlign w:val="center"/>
            <w:hideMark/>
          </w:tcPr>
          <w:p w14:paraId="33E2129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02F13B2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B75FA8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81957A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24" w:space="0" w:color="auto"/>
              <w:left w:val="single" w:sz="6" w:space="0" w:color="auto"/>
              <w:bottom w:val="single" w:sz="6" w:space="0" w:color="auto"/>
              <w:right w:val="single" w:sz="6" w:space="0" w:color="auto"/>
            </w:tcBorders>
            <w:noWrap/>
            <w:vAlign w:val="center"/>
            <w:hideMark/>
          </w:tcPr>
          <w:p w14:paraId="7F447236"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 xml:space="preserve"> D-4, D-6</w:t>
            </w: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7FDE8C02"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7AE157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C79A5D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noWrap/>
            <w:vAlign w:val="center"/>
            <w:hideMark/>
          </w:tcPr>
          <w:p w14:paraId="31DBBA0A"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w:t>
            </w:r>
            <w:r w:rsidRPr="00945156" w:rsidDel="00112B8C">
              <w:rPr>
                <w:rFonts w:ascii="Arial" w:hAnsi="Arial" w:cs="Arial"/>
                <w:color w:val="000000"/>
                <w:sz w:val="14"/>
                <w:szCs w:val="14"/>
              </w:rPr>
              <w:t xml:space="preserve"> </w:t>
            </w:r>
          </w:p>
        </w:tc>
        <w:tc>
          <w:tcPr>
            <w:tcW w:w="990" w:type="dxa"/>
            <w:tcBorders>
              <w:top w:val="single" w:sz="24" w:space="0" w:color="auto"/>
              <w:left w:val="single" w:sz="6" w:space="0" w:color="auto"/>
              <w:bottom w:val="single" w:sz="6" w:space="0" w:color="auto"/>
              <w:right w:val="single" w:sz="24" w:space="0" w:color="auto"/>
            </w:tcBorders>
            <w:noWrap/>
            <w:vAlign w:val="center"/>
            <w:hideMark/>
          </w:tcPr>
          <w:p w14:paraId="557CED6B"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p>
        </w:tc>
      </w:tr>
      <w:tr w:rsidR="00052EEE" w:rsidRPr="00945156" w14:paraId="4D05C8E3"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6E2F8508"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300F823D"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5E041B3A"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5E955B5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22DDAED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D8A05B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30AF90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76FF70EE"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09C44EF"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60D630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A9C29E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2401600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w:t>
            </w:r>
            <w:r w:rsidRPr="00945156" w:rsidDel="00112B8C">
              <w:rPr>
                <w:rFonts w:ascii="Arial" w:hAnsi="Arial" w:cs="Arial"/>
                <w:color w:val="000000"/>
                <w:sz w:val="14"/>
                <w:szCs w:val="14"/>
              </w:rPr>
              <w:t xml:space="preserve"> </w:t>
            </w:r>
          </w:p>
        </w:tc>
        <w:tc>
          <w:tcPr>
            <w:tcW w:w="990" w:type="dxa"/>
            <w:tcBorders>
              <w:top w:val="single" w:sz="6" w:space="0" w:color="auto"/>
              <w:left w:val="single" w:sz="6" w:space="0" w:color="auto"/>
              <w:bottom w:val="single" w:sz="6" w:space="0" w:color="auto"/>
              <w:right w:val="single" w:sz="24" w:space="0" w:color="auto"/>
            </w:tcBorders>
            <w:noWrap/>
            <w:vAlign w:val="center"/>
            <w:hideMark/>
          </w:tcPr>
          <w:p w14:paraId="63CD10AE"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0590D797"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1F898F5"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910EFCE"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49CC94F7"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487BAD7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4BBB3B2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8D8F71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68D43B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546AB890"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1D374F4C"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DE9C80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CACE32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4F934B2C"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w:t>
            </w:r>
            <w:r w:rsidRPr="00945156" w:rsidDel="00112B8C">
              <w:rPr>
                <w:rFonts w:ascii="Arial" w:hAnsi="Arial" w:cs="Arial"/>
                <w:color w:val="000000"/>
                <w:sz w:val="14"/>
                <w:szCs w:val="14"/>
              </w:rPr>
              <w:t xml:space="preserve"> </w:t>
            </w:r>
          </w:p>
        </w:tc>
        <w:tc>
          <w:tcPr>
            <w:tcW w:w="990" w:type="dxa"/>
            <w:tcBorders>
              <w:top w:val="single" w:sz="6" w:space="0" w:color="auto"/>
              <w:left w:val="single" w:sz="6" w:space="0" w:color="auto"/>
              <w:bottom w:val="single" w:sz="12" w:space="0" w:color="auto"/>
              <w:right w:val="single" w:sz="24" w:space="0" w:color="auto"/>
            </w:tcBorders>
            <w:noWrap/>
            <w:vAlign w:val="center"/>
            <w:hideMark/>
          </w:tcPr>
          <w:p w14:paraId="60B7C86D"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03D3BE15"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0AB751A"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CB83797" w14:textId="77777777" w:rsidR="00052EEE" w:rsidRPr="00945156" w:rsidRDefault="00052EEE" w:rsidP="00052EEE">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7239913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2583F00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519BED5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5EC462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44BCDB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5B208C66"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0AB6FC80"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9016D0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6BF832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6C181795"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 xml:space="preserve"> H-1</w:t>
            </w:r>
            <w:r w:rsidDel="00112B8C">
              <w:rPr>
                <w:rFonts w:ascii="Arial" w:hAnsi="Arial" w:cs="Arial"/>
                <w:color w:val="000000"/>
                <w:sz w:val="14"/>
                <w:szCs w:val="14"/>
              </w:rPr>
              <w:t xml:space="preserve"> </w:t>
            </w:r>
          </w:p>
        </w:tc>
        <w:tc>
          <w:tcPr>
            <w:tcW w:w="990" w:type="dxa"/>
            <w:tcBorders>
              <w:top w:val="single" w:sz="12" w:space="0" w:color="auto"/>
              <w:left w:val="single" w:sz="6" w:space="0" w:color="auto"/>
              <w:bottom w:val="single" w:sz="6" w:space="0" w:color="auto"/>
              <w:right w:val="single" w:sz="24" w:space="0" w:color="auto"/>
            </w:tcBorders>
            <w:noWrap/>
            <w:vAlign w:val="center"/>
            <w:hideMark/>
          </w:tcPr>
          <w:p w14:paraId="734D9ED8"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62736AF4"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6D2FD79C"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5F6F6D69"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50C54B28" w14:textId="77777777" w:rsidR="00052EEE" w:rsidRPr="00945156" w:rsidRDefault="00052EEE" w:rsidP="00052EEE">
            <w:pPr>
              <w:jc w:val="cente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3BE11A9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5C6039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885D2C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0F3612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33E3C920"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4A798EE"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CA2C72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BBF74E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3AF4388D"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w:t>
            </w:r>
            <w:r w:rsidRPr="00945156" w:rsidDel="00112B8C">
              <w:rPr>
                <w:rFonts w:ascii="Arial" w:hAnsi="Arial" w:cs="Arial"/>
                <w:color w:val="000000"/>
                <w:sz w:val="14"/>
                <w:szCs w:val="14"/>
              </w:rPr>
              <w:t xml:space="preserve"> </w:t>
            </w:r>
          </w:p>
        </w:tc>
        <w:tc>
          <w:tcPr>
            <w:tcW w:w="990" w:type="dxa"/>
            <w:tcBorders>
              <w:top w:val="single" w:sz="6" w:space="0" w:color="auto"/>
              <w:left w:val="single" w:sz="6" w:space="0" w:color="auto"/>
              <w:bottom w:val="single" w:sz="6" w:space="0" w:color="auto"/>
              <w:right w:val="single" w:sz="24" w:space="0" w:color="auto"/>
            </w:tcBorders>
            <w:noWrap/>
            <w:vAlign w:val="center"/>
            <w:hideMark/>
          </w:tcPr>
          <w:p w14:paraId="462A5E60"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2F4C8735"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0DB09EE"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E18A987"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432C977B" w14:textId="77777777" w:rsidR="00052EEE" w:rsidRPr="00945156" w:rsidRDefault="00052EEE" w:rsidP="00052EEE">
            <w:pPr>
              <w:jc w:val="cente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20BC1D3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BBA283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FA5A04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0024C4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23346DF9"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2D6BB5CF"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82AA39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6D18B3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1FD70797"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w:t>
            </w:r>
            <w:r w:rsidRPr="00945156" w:rsidDel="00112B8C">
              <w:rPr>
                <w:rFonts w:ascii="Arial" w:hAnsi="Arial" w:cs="Arial"/>
                <w:color w:val="000000"/>
                <w:sz w:val="14"/>
                <w:szCs w:val="14"/>
              </w:rPr>
              <w:t xml:space="preserve"> </w:t>
            </w:r>
          </w:p>
        </w:tc>
        <w:tc>
          <w:tcPr>
            <w:tcW w:w="990" w:type="dxa"/>
            <w:tcBorders>
              <w:top w:val="single" w:sz="6" w:space="0" w:color="auto"/>
              <w:left w:val="single" w:sz="6" w:space="0" w:color="auto"/>
              <w:bottom w:val="single" w:sz="12" w:space="0" w:color="auto"/>
              <w:right w:val="single" w:sz="24" w:space="0" w:color="auto"/>
            </w:tcBorders>
            <w:noWrap/>
            <w:vAlign w:val="center"/>
            <w:hideMark/>
          </w:tcPr>
          <w:p w14:paraId="174AE554"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4BA909EE"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5EBBEDE" w14:textId="77777777" w:rsidR="00052EEE" w:rsidRPr="00945156" w:rsidRDefault="00052EEE" w:rsidP="00052EEE">
            <w:pPr>
              <w:rPr>
                <w:rFonts w:ascii="Arial" w:hAnsi="Arial" w:cs="Arial"/>
                <w:color w:val="000000"/>
                <w:sz w:val="14"/>
                <w:szCs w:val="14"/>
              </w:rPr>
            </w:pPr>
          </w:p>
        </w:tc>
        <w:tc>
          <w:tcPr>
            <w:tcW w:w="606" w:type="dxa"/>
            <w:vMerge w:val="restart"/>
            <w:tcBorders>
              <w:top w:val="single" w:sz="6" w:space="0" w:color="auto"/>
              <w:left w:val="single" w:sz="6" w:space="0" w:color="auto"/>
              <w:bottom w:val="single" w:sz="6" w:space="0" w:color="auto"/>
              <w:right w:val="single" w:sz="6" w:space="0" w:color="auto"/>
            </w:tcBorders>
            <w:vAlign w:val="center"/>
            <w:hideMark/>
          </w:tcPr>
          <w:p w14:paraId="6006107B"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&gt;10</w:t>
            </w: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63B3239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6A6A0B3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013CF3E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A65C43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D25C0B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3C5ECAB7"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1B93A04E"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979914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7C7FCF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6E400F81"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 H-2, H-3</w:t>
            </w:r>
            <w:r w:rsidRPr="00945156" w:rsidDel="00112B8C">
              <w:rPr>
                <w:rFonts w:ascii="Arial" w:hAnsi="Arial" w:cs="Arial"/>
                <w:color w:val="000000"/>
                <w:sz w:val="14"/>
                <w:szCs w:val="14"/>
              </w:rPr>
              <w:t xml:space="preserve"> </w:t>
            </w:r>
          </w:p>
        </w:tc>
        <w:tc>
          <w:tcPr>
            <w:tcW w:w="990" w:type="dxa"/>
            <w:tcBorders>
              <w:top w:val="single" w:sz="12" w:space="0" w:color="auto"/>
              <w:left w:val="single" w:sz="6" w:space="0" w:color="auto"/>
              <w:bottom w:val="single" w:sz="6" w:space="0" w:color="auto"/>
              <w:right w:val="single" w:sz="24" w:space="0" w:color="auto"/>
            </w:tcBorders>
            <w:noWrap/>
            <w:vAlign w:val="center"/>
            <w:hideMark/>
          </w:tcPr>
          <w:p w14:paraId="2A9FB32A"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376D48B8"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EEEC7BA"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1971035D"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1F9AC3A1" w14:textId="77777777" w:rsidR="00052EEE" w:rsidRPr="00945156" w:rsidRDefault="00052EEE" w:rsidP="00052EEE">
            <w:pPr>
              <w:jc w:val="cente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0F4FBDD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132F6D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B33604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D007D8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36DC4FD7"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CEFB83F"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37C0F7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96A4C7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5E04D50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 H-2, H-3</w:t>
            </w:r>
          </w:p>
        </w:tc>
        <w:tc>
          <w:tcPr>
            <w:tcW w:w="990" w:type="dxa"/>
            <w:tcBorders>
              <w:top w:val="single" w:sz="6" w:space="0" w:color="auto"/>
              <w:left w:val="single" w:sz="6" w:space="0" w:color="auto"/>
              <w:bottom w:val="single" w:sz="6" w:space="0" w:color="auto"/>
              <w:right w:val="single" w:sz="24" w:space="0" w:color="auto"/>
            </w:tcBorders>
            <w:noWrap/>
            <w:vAlign w:val="center"/>
            <w:hideMark/>
          </w:tcPr>
          <w:p w14:paraId="7A6CB51E"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62031FF2"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68B8864"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1FC6474"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2AA6A75C" w14:textId="77777777" w:rsidR="00052EEE" w:rsidRPr="00945156" w:rsidRDefault="00052EEE" w:rsidP="00052EEE">
            <w:pPr>
              <w:jc w:val="cente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566F398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3FDF5D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0CCE2C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F2452B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7F871F2F"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7DC437F2"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BA3321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EC50A2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18232867"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 H-2, H-3</w:t>
            </w:r>
          </w:p>
        </w:tc>
        <w:tc>
          <w:tcPr>
            <w:tcW w:w="990" w:type="dxa"/>
            <w:tcBorders>
              <w:top w:val="single" w:sz="6" w:space="0" w:color="auto"/>
              <w:left w:val="single" w:sz="6" w:space="0" w:color="auto"/>
              <w:bottom w:val="single" w:sz="12" w:space="0" w:color="auto"/>
              <w:right w:val="single" w:sz="24" w:space="0" w:color="auto"/>
            </w:tcBorders>
            <w:noWrap/>
            <w:vAlign w:val="center"/>
            <w:hideMark/>
          </w:tcPr>
          <w:p w14:paraId="17D1ADBE"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7CEED289"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CED8385"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2EDB61C7" w14:textId="77777777" w:rsidR="00052EEE" w:rsidRPr="00945156" w:rsidRDefault="00052EEE" w:rsidP="00052EEE">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3142EEA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6FCB457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64344E7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5B3885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38272A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0E748274"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26BD483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6879EE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BE6C2C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3ECA359D"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 H-2, H-3</w:t>
            </w:r>
          </w:p>
        </w:tc>
        <w:tc>
          <w:tcPr>
            <w:tcW w:w="990" w:type="dxa"/>
            <w:tcBorders>
              <w:top w:val="single" w:sz="12" w:space="0" w:color="auto"/>
              <w:left w:val="single" w:sz="6" w:space="0" w:color="auto"/>
              <w:bottom w:val="single" w:sz="6" w:space="0" w:color="auto"/>
              <w:right w:val="single" w:sz="24" w:space="0" w:color="auto"/>
            </w:tcBorders>
            <w:noWrap/>
            <w:vAlign w:val="center"/>
            <w:hideMark/>
          </w:tcPr>
          <w:p w14:paraId="6E779728"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16E2359C"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10FDF75"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8FC77EE"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589192A4" w14:textId="77777777" w:rsidR="00052EEE" w:rsidRPr="00945156" w:rsidRDefault="00052EEE" w:rsidP="00052EEE">
            <w:pPr>
              <w:jc w:val="cente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63B38BB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A04127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946674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CF40FA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6A08D70D"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02EEADB"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2F4CB4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427E04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58D3CA1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 H-2, H-3</w:t>
            </w:r>
          </w:p>
        </w:tc>
        <w:tc>
          <w:tcPr>
            <w:tcW w:w="990" w:type="dxa"/>
            <w:tcBorders>
              <w:top w:val="single" w:sz="6" w:space="0" w:color="auto"/>
              <w:left w:val="single" w:sz="6" w:space="0" w:color="auto"/>
              <w:bottom w:val="single" w:sz="6" w:space="0" w:color="auto"/>
              <w:right w:val="single" w:sz="24" w:space="0" w:color="auto"/>
            </w:tcBorders>
            <w:noWrap/>
            <w:vAlign w:val="center"/>
            <w:hideMark/>
          </w:tcPr>
          <w:p w14:paraId="4FFC2347"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5BFD7B47" w14:textId="77777777" w:rsidTr="00052EEE">
        <w:trPr>
          <w:trHeight w:val="195"/>
        </w:trPr>
        <w:tc>
          <w:tcPr>
            <w:tcW w:w="624" w:type="dxa"/>
            <w:vMerge/>
            <w:tcBorders>
              <w:top w:val="single" w:sz="6" w:space="0" w:color="auto"/>
              <w:left w:val="single" w:sz="24" w:space="0" w:color="auto"/>
              <w:bottom w:val="single" w:sz="24" w:space="0" w:color="auto"/>
              <w:right w:val="single" w:sz="6" w:space="0" w:color="auto"/>
            </w:tcBorders>
            <w:vAlign w:val="center"/>
            <w:hideMark/>
          </w:tcPr>
          <w:p w14:paraId="7F2F5AD7"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24" w:space="0" w:color="auto"/>
              <w:right w:val="single" w:sz="6" w:space="0" w:color="auto"/>
            </w:tcBorders>
            <w:vAlign w:val="center"/>
            <w:hideMark/>
          </w:tcPr>
          <w:p w14:paraId="56BCDAA6"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24" w:space="0" w:color="auto"/>
              <w:right w:val="single" w:sz="6" w:space="0" w:color="auto"/>
            </w:tcBorders>
            <w:vAlign w:val="center"/>
            <w:hideMark/>
          </w:tcPr>
          <w:p w14:paraId="261CE58D" w14:textId="77777777" w:rsidR="00052EEE" w:rsidRPr="00945156" w:rsidRDefault="00052EEE" w:rsidP="00052EEE">
            <w:pPr>
              <w:jc w:val="center"/>
              <w:rPr>
                <w:rFonts w:ascii="Arial" w:hAnsi="Arial" w:cs="Arial"/>
                <w:color w:val="000000"/>
                <w:sz w:val="14"/>
                <w:szCs w:val="14"/>
              </w:rPr>
            </w:pPr>
          </w:p>
        </w:tc>
        <w:tc>
          <w:tcPr>
            <w:tcW w:w="791" w:type="dxa"/>
            <w:tcBorders>
              <w:top w:val="single" w:sz="6" w:space="0" w:color="auto"/>
              <w:left w:val="single" w:sz="6" w:space="0" w:color="auto"/>
              <w:bottom w:val="single" w:sz="24" w:space="0" w:color="auto"/>
              <w:right w:val="single" w:sz="6" w:space="0" w:color="auto"/>
            </w:tcBorders>
            <w:noWrap/>
            <w:vAlign w:val="center"/>
            <w:hideMark/>
          </w:tcPr>
          <w:p w14:paraId="3D9F247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1D47E08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697E2E7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28C9F36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24" w:space="0" w:color="auto"/>
              <w:right w:val="single" w:sz="6" w:space="0" w:color="auto"/>
            </w:tcBorders>
            <w:noWrap/>
            <w:vAlign w:val="center"/>
            <w:hideMark/>
          </w:tcPr>
          <w:p w14:paraId="668CBF7D"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D-4, D-6</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409B1A44"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94B863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168817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noWrap/>
            <w:vAlign w:val="center"/>
            <w:hideMark/>
          </w:tcPr>
          <w:p w14:paraId="213C50E9"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H-1, H-2, H-3</w:t>
            </w:r>
          </w:p>
        </w:tc>
        <w:tc>
          <w:tcPr>
            <w:tcW w:w="990" w:type="dxa"/>
            <w:tcBorders>
              <w:top w:val="single" w:sz="6" w:space="0" w:color="auto"/>
              <w:left w:val="single" w:sz="6" w:space="0" w:color="auto"/>
              <w:bottom w:val="single" w:sz="24" w:space="0" w:color="auto"/>
              <w:right w:val="single" w:sz="24" w:space="0" w:color="auto"/>
            </w:tcBorders>
            <w:noWrap/>
            <w:vAlign w:val="center"/>
            <w:hideMark/>
          </w:tcPr>
          <w:p w14:paraId="21F8AC7A"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I-1, 1-2</w:t>
            </w:r>
            <w:r w:rsidRPr="00945156" w:rsidDel="008A0904">
              <w:rPr>
                <w:rFonts w:ascii="Arial" w:hAnsi="Arial" w:cs="Arial"/>
                <w:color w:val="000000"/>
                <w:sz w:val="14"/>
                <w:szCs w:val="14"/>
              </w:rPr>
              <w:t xml:space="preserve"> </w:t>
            </w:r>
          </w:p>
        </w:tc>
      </w:tr>
      <w:tr w:rsidR="00052EEE" w:rsidRPr="00945156" w14:paraId="1BAB18C9" w14:textId="77777777" w:rsidTr="00052EEE">
        <w:trPr>
          <w:trHeight w:val="180"/>
        </w:trPr>
        <w:tc>
          <w:tcPr>
            <w:tcW w:w="624" w:type="dxa"/>
            <w:vMerge w:val="restart"/>
            <w:tcBorders>
              <w:top w:val="single" w:sz="24" w:space="0" w:color="auto"/>
              <w:left w:val="single" w:sz="24" w:space="0" w:color="auto"/>
              <w:bottom w:val="single" w:sz="6" w:space="0" w:color="auto"/>
              <w:right w:val="single" w:sz="6" w:space="0" w:color="auto"/>
            </w:tcBorders>
            <w:noWrap/>
            <w:vAlign w:val="center"/>
            <w:hideMark/>
          </w:tcPr>
          <w:p w14:paraId="266F48C5" w14:textId="77777777" w:rsidR="00052EEE" w:rsidRDefault="00052EEE" w:rsidP="00052EEE">
            <w:pPr>
              <w:jc w:val="center"/>
              <w:rPr>
                <w:rFonts w:ascii="Arial" w:hAnsi="Arial" w:cs="Arial"/>
                <w:color w:val="000000"/>
                <w:sz w:val="14"/>
                <w:szCs w:val="14"/>
              </w:rPr>
            </w:pPr>
            <w:r>
              <w:rPr>
                <w:rFonts w:ascii="Arial" w:hAnsi="Arial" w:cs="Arial"/>
                <w:color w:val="000000"/>
                <w:sz w:val="14"/>
                <w:szCs w:val="14"/>
              </w:rPr>
              <w:t>≥5 to &lt;25</w:t>
            </w:r>
          </w:p>
          <w:p w14:paraId="16477400" w14:textId="77777777" w:rsidR="00052EEE" w:rsidRPr="00945156" w:rsidRDefault="00052EEE" w:rsidP="00052EEE">
            <w:pPr>
              <w:jc w:val="center"/>
              <w:rPr>
                <w:rFonts w:ascii="Arial" w:hAnsi="Arial" w:cs="Arial"/>
                <w:color w:val="000000"/>
                <w:sz w:val="14"/>
                <w:szCs w:val="14"/>
              </w:rPr>
            </w:pPr>
          </w:p>
        </w:tc>
        <w:tc>
          <w:tcPr>
            <w:tcW w:w="606" w:type="dxa"/>
            <w:vMerge w:val="restart"/>
            <w:tcBorders>
              <w:top w:val="single" w:sz="24" w:space="0" w:color="auto"/>
              <w:left w:val="single" w:sz="6" w:space="0" w:color="auto"/>
              <w:bottom w:val="single" w:sz="6" w:space="0" w:color="auto"/>
              <w:right w:val="single" w:sz="6" w:space="0" w:color="auto"/>
            </w:tcBorders>
            <w:vAlign w:val="center"/>
            <w:hideMark/>
          </w:tcPr>
          <w:p w14:paraId="4E39F3F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≤10</w:t>
            </w:r>
          </w:p>
        </w:tc>
        <w:tc>
          <w:tcPr>
            <w:tcW w:w="714" w:type="dxa"/>
            <w:vMerge w:val="restart"/>
            <w:tcBorders>
              <w:top w:val="single" w:sz="24" w:space="0" w:color="auto"/>
              <w:left w:val="single" w:sz="6" w:space="0" w:color="auto"/>
              <w:bottom w:val="single" w:sz="6" w:space="0" w:color="auto"/>
              <w:right w:val="single" w:sz="6" w:space="0" w:color="auto"/>
            </w:tcBorders>
            <w:noWrap/>
            <w:vAlign w:val="center"/>
            <w:hideMark/>
          </w:tcPr>
          <w:p w14:paraId="205083D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24" w:space="0" w:color="auto"/>
              <w:left w:val="single" w:sz="6" w:space="0" w:color="auto"/>
              <w:bottom w:val="single" w:sz="6" w:space="0" w:color="auto"/>
              <w:right w:val="single" w:sz="6" w:space="0" w:color="auto"/>
            </w:tcBorders>
            <w:noWrap/>
            <w:vAlign w:val="center"/>
            <w:hideMark/>
          </w:tcPr>
          <w:p w14:paraId="4BDEFC1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447ACE0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63EFF8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29DD596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24" w:space="0" w:color="auto"/>
              <w:left w:val="single" w:sz="6" w:space="0" w:color="auto"/>
              <w:bottom w:val="single" w:sz="6" w:space="0" w:color="auto"/>
              <w:right w:val="single" w:sz="6" w:space="0" w:color="auto"/>
            </w:tcBorders>
            <w:noWrap/>
            <w:vAlign w:val="center"/>
            <w:hideMark/>
          </w:tcPr>
          <w:p w14:paraId="2BBB6DD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0722F31" w14:textId="77777777" w:rsidR="00052EEE" w:rsidRPr="00945156" w:rsidRDefault="00052EEE" w:rsidP="00052EEE">
            <w:pPr>
              <w:jc w:val="center"/>
              <w:rPr>
                <w:rFonts w:ascii="Arial" w:hAnsi="Arial" w:cs="Arial"/>
                <w:color w:val="000000"/>
                <w:sz w:val="14"/>
                <w:szCs w:val="14"/>
              </w:rPr>
            </w:pP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4789535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7A4E7FE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08D9836" w14:textId="77777777" w:rsidR="00052EEE" w:rsidRPr="00945156" w:rsidRDefault="00052EEE" w:rsidP="00052EEE">
            <w:pPr>
              <w:jc w:val="center"/>
              <w:rPr>
                <w:rFonts w:ascii="Arial" w:hAnsi="Arial" w:cs="Arial"/>
                <w:color w:val="000000"/>
                <w:sz w:val="14"/>
                <w:szCs w:val="14"/>
              </w:rPr>
            </w:pPr>
          </w:p>
        </w:tc>
        <w:tc>
          <w:tcPr>
            <w:tcW w:w="990"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3151A9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5337449B"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DE29464"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48636ABD"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2902A728"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65D382D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7E4F861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BD7F03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627D33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30DDA46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1F95764"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159A6BD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028397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231C867" w14:textId="77777777" w:rsidR="00052EEE" w:rsidRPr="00945156" w:rsidRDefault="00052EEE" w:rsidP="00052EEE">
            <w:pPr>
              <w:jc w:val="center"/>
              <w:rPr>
                <w:rFonts w:ascii="Arial" w:hAnsi="Arial" w:cs="Arial"/>
                <w:color w:val="000000"/>
                <w:sz w:val="14"/>
                <w:szCs w:val="14"/>
              </w:rPr>
            </w:pPr>
          </w:p>
        </w:tc>
        <w:tc>
          <w:tcPr>
            <w:tcW w:w="990"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AE1CB0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3B627E52"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A4FD676"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33E332C7"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2E1FC1D4"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135BAB1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3EBEAF3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454135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875D17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7AF156D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179D27B6"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03092E3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23D9C5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0A37239" w14:textId="77777777" w:rsidR="00052EEE" w:rsidRPr="00945156" w:rsidRDefault="00052EEE" w:rsidP="00052EEE">
            <w:pPr>
              <w:jc w:val="center"/>
              <w:rPr>
                <w:rFonts w:ascii="Arial" w:hAnsi="Arial" w:cs="Arial"/>
                <w:color w:val="000000"/>
                <w:sz w:val="14"/>
                <w:szCs w:val="14"/>
              </w:rPr>
            </w:pPr>
          </w:p>
        </w:tc>
        <w:tc>
          <w:tcPr>
            <w:tcW w:w="990"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7961E38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54130E38"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4C94E655"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7551CDB" w14:textId="77777777" w:rsidR="00052EEE" w:rsidRPr="00945156" w:rsidRDefault="00052EEE" w:rsidP="00052EEE">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6740A61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3630CAD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08E1CDE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9A4FB2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944A22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490E4DF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4D30B93" w14:textId="77777777" w:rsidR="00052EEE" w:rsidRPr="00945156" w:rsidRDefault="00052EEE" w:rsidP="00052EEE">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6F6FDB5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13FA49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19A80BC" w14:textId="77777777" w:rsidR="00052EEE" w:rsidRPr="00945156" w:rsidRDefault="00052EEE" w:rsidP="00052EEE">
            <w:pPr>
              <w:jc w:val="center"/>
              <w:rPr>
                <w:rFonts w:ascii="Arial" w:hAnsi="Arial" w:cs="Arial"/>
                <w:color w:val="000000"/>
                <w:sz w:val="14"/>
                <w:szCs w:val="14"/>
              </w:rPr>
            </w:pPr>
          </w:p>
        </w:tc>
        <w:tc>
          <w:tcPr>
            <w:tcW w:w="990"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F498F8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2D60DB71"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A1569AF"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22845BA2"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ABC0F79"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2BAA629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294CED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1D0BAD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F9DB48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0023B61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50DBE1C"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2B4340F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E212C0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9A428D8" w14:textId="77777777" w:rsidR="00052EEE" w:rsidRPr="00945156" w:rsidRDefault="00052EEE" w:rsidP="00052EEE">
            <w:pPr>
              <w:jc w:val="center"/>
              <w:rPr>
                <w:rFonts w:ascii="Arial" w:hAnsi="Arial" w:cs="Arial"/>
                <w:color w:val="000000"/>
                <w:sz w:val="14"/>
                <w:szCs w:val="14"/>
              </w:rPr>
            </w:pPr>
          </w:p>
        </w:tc>
        <w:tc>
          <w:tcPr>
            <w:tcW w:w="990"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9BFC7C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68B43BA1"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7CF3AF7"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416096B"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3C743918"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51BF24C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2CF30F6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3A2E13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AA621E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726F02C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27CAECDB"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2EED4F9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1126ED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B3380BB" w14:textId="77777777" w:rsidR="00052EEE" w:rsidRPr="00945156" w:rsidRDefault="00052EEE" w:rsidP="00052EEE">
            <w:pPr>
              <w:jc w:val="center"/>
              <w:rPr>
                <w:rFonts w:ascii="Arial" w:hAnsi="Arial" w:cs="Arial"/>
                <w:color w:val="000000"/>
                <w:sz w:val="14"/>
                <w:szCs w:val="14"/>
              </w:rPr>
            </w:pPr>
          </w:p>
        </w:tc>
        <w:tc>
          <w:tcPr>
            <w:tcW w:w="990"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21DE501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4EC42052"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65607A2F" w14:textId="77777777" w:rsidR="00052EEE" w:rsidRPr="00945156" w:rsidRDefault="00052EEE" w:rsidP="00052EEE">
            <w:pPr>
              <w:rPr>
                <w:rFonts w:ascii="Arial" w:hAnsi="Arial" w:cs="Arial"/>
                <w:color w:val="000000"/>
                <w:sz w:val="14"/>
                <w:szCs w:val="14"/>
              </w:rPr>
            </w:pPr>
          </w:p>
        </w:tc>
        <w:tc>
          <w:tcPr>
            <w:tcW w:w="606" w:type="dxa"/>
            <w:vMerge w:val="restart"/>
            <w:tcBorders>
              <w:top w:val="single" w:sz="6" w:space="0" w:color="auto"/>
              <w:left w:val="single" w:sz="6" w:space="0" w:color="auto"/>
              <w:bottom w:val="single" w:sz="6" w:space="0" w:color="auto"/>
              <w:right w:val="single" w:sz="6" w:space="0" w:color="auto"/>
            </w:tcBorders>
            <w:vAlign w:val="center"/>
            <w:hideMark/>
          </w:tcPr>
          <w:p w14:paraId="413C5017"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&gt;10</w:t>
            </w: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41D9553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49A767D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3648624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1EFF5B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DB2743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0220B90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C65DAC4" w14:textId="77777777" w:rsidR="00052EEE" w:rsidRPr="00945156" w:rsidRDefault="00052EEE" w:rsidP="00052EEE">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2A8659A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F2A8BA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E3D392D" w14:textId="77777777" w:rsidR="00052EEE" w:rsidRPr="00945156" w:rsidRDefault="00052EEE" w:rsidP="00052EEE">
            <w:pPr>
              <w:jc w:val="center"/>
              <w:rPr>
                <w:rFonts w:ascii="Arial" w:hAnsi="Arial" w:cs="Arial"/>
                <w:color w:val="000000"/>
                <w:sz w:val="14"/>
                <w:szCs w:val="14"/>
              </w:rPr>
            </w:pPr>
          </w:p>
        </w:tc>
        <w:tc>
          <w:tcPr>
            <w:tcW w:w="990"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DC7383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10EA7713"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5518C62D"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327784C4"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2E2D1391"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12547CA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E3E66A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AF62FE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197783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0AEBE00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15FD29CF"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2C399A7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8E72D1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7B94969" w14:textId="77777777" w:rsidR="00052EEE" w:rsidRPr="00945156" w:rsidRDefault="00052EEE" w:rsidP="00052EEE">
            <w:pPr>
              <w:jc w:val="center"/>
              <w:rPr>
                <w:rFonts w:ascii="Arial" w:hAnsi="Arial" w:cs="Arial"/>
                <w:color w:val="000000"/>
                <w:sz w:val="14"/>
                <w:szCs w:val="14"/>
              </w:rPr>
            </w:pPr>
          </w:p>
        </w:tc>
        <w:tc>
          <w:tcPr>
            <w:tcW w:w="990"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A41FF4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2E2033DC"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DE6BD31"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7F4B77F"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323073E8"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07DB4CE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322B1B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5083A8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7BA3BB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0E91B0D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06396439"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62C6A2D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9610A0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ACADA82" w14:textId="77777777" w:rsidR="00052EEE" w:rsidRPr="00945156" w:rsidRDefault="00052EEE" w:rsidP="00052EEE">
            <w:pPr>
              <w:jc w:val="center"/>
              <w:rPr>
                <w:rFonts w:ascii="Arial" w:hAnsi="Arial" w:cs="Arial"/>
                <w:color w:val="000000"/>
                <w:sz w:val="14"/>
                <w:szCs w:val="14"/>
              </w:rPr>
            </w:pPr>
          </w:p>
        </w:tc>
        <w:tc>
          <w:tcPr>
            <w:tcW w:w="990"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732D5B9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3BF91C3E"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4723DCA"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4DB93112" w14:textId="77777777" w:rsidR="00052EEE" w:rsidRPr="00945156" w:rsidRDefault="00052EEE" w:rsidP="00052EEE">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549C4C5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0B29866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53165E0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C233F3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F3CEBB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2F2A761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B00F7D9" w14:textId="77777777" w:rsidR="00052EEE" w:rsidRPr="00945156" w:rsidRDefault="00052EEE" w:rsidP="00052EEE">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3F30E8B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25DA19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D0D9651" w14:textId="77777777" w:rsidR="00052EEE" w:rsidRPr="00945156" w:rsidRDefault="00052EEE" w:rsidP="00052EEE">
            <w:pPr>
              <w:jc w:val="center"/>
              <w:rPr>
                <w:rFonts w:ascii="Arial" w:hAnsi="Arial" w:cs="Arial"/>
                <w:color w:val="000000"/>
                <w:sz w:val="14"/>
                <w:szCs w:val="14"/>
              </w:rPr>
            </w:pPr>
          </w:p>
        </w:tc>
        <w:tc>
          <w:tcPr>
            <w:tcW w:w="990"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D4C878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5801C2DD"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5EBD3F34"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1D2E8F13"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1E3395EF"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3C0BB6F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2877AE2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25FCD8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05C8DF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79BEC8A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27243737"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366EF9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F02D0B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A0EF524" w14:textId="77777777" w:rsidR="00052EEE" w:rsidRPr="00945156" w:rsidRDefault="00052EEE" w:rsidP="00052EEE">
            <w:pPr>
              <w:jc w:val="center"/>
              <w:rPr>
                <w:rFonts w:ascii="Arial" w:hAnsi="Arial" w:cs="Arial"/>
                <w:color w:val="000000"/>
                <w:sz w:val="14"/>
                <w:szCs w:val="14"/>
              </w:rPr>
            </w:pPr>
          </w:p>
        </w:tc>
        <w:tc>
          <w:tcPr>
            <w:tcW w:w="990"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ADF6A6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179B414F" w14:textId="77777777" w:rsidTr="00052EEE">
        <w:trPr>
          <w:trHeight w:val="195"/>
        </w:trPr>
        <w:tc>
          <w:tcPr>
            <w:tcW w:w="624" w:type="dxa"/>
            <w:vMerge/>
            <w:tcBorders>
              <w:top w:val="single" w:sz="6" w:space="0" w:color="auto"/>
              <w:left w:val="single" w:sz="24" w:space="0" w:color="auto"/>
              <w:bottom w:val="single" w:sz="24" w:space="0" w:color="auto"/>
              <w:right w:val="single" w:sz="6" w:space="0" w:color="auto"/>
            </w:tcBorders>
            <w:vAlign w:val="center"/>
            <w:hideMark/>
          </w:tcPr>
          <w:p w14:paraId="569D8322"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24" w:space="0" w:color="auto"/>
              <w:right w:val="single" w:sz="6" w:space="0" w:color="auto"/>
            </w:tcBorders>
            <w:vAlign w:val="center"/>
            <w:hideMark/>
          </w:tcPr>
          <w:p w14:paraId="73BC89F0"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24" w:space="0" w:color="auto"/>
              <w:right w:val="single" w:sz="6" w:space="0" w:color="auto"/>
            </w:tcBorders>
            <w:vAlign w:val="center"/>
            <w:hideMark/>
          </w:tcPr>
          <w:p w14:paraId="2304AD2E"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24" w:space="0" w:color="auto"/>
              <w:right w:val="single" w:sz="6" w:space="0" w:color="auto"/>
            </w:tcBorders>
            <w:noWrap/>
            <w:vAlign w:val="center"/>
            <w:hideMark/>
          </w:tcPr>
          <w:p w14:paraId="0574944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6468539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27"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15B706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295"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7BF3906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759" w:type="dxa"/>
            <w:tcBorders>
              <w:top w:val="single" w:sz="6" w:space="0" w:color="auto"/>
              <w:left w:val="single" w:sz="6" w:space="0" w:color="auto"/>
              <w:bottom w:val="single" w:sz="24" w:space="0" w:color="auto"/>
              <w:right w:val="single" w:sz="6" w:space="0" w:color="auto"/>
            </w:tcBorders>
            <w:noWrap/>
            <w:vAlign w:val="center"/>
            <w:hideMark/>
          </w:tcPr>
          <w:p w14:paraId="49F8BF9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w:t>
            </w:r>
            <w:r>
              <w:rPr>
                <w:rFonts w:ascii="Arial" w:hAnsi="Arial" w:cs="Arial"/>
                <w:color w:val="000000"/>
                <w:sz w:val="14"/>
                <w:szCs w:val="14"/>
              </w:rPr>
              <w:t>, D-4, D-6</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66DA4EBB"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600B3E1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2A59D03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5296DD33" w14:textId="77777777" w:rsidR="00052EEE" w:rsidRPr="00945156" w:rsidRDefault="00052EEE" w:rsidP="00052EEE">
            <w:pPr>
              <w:jc w:val="center"/>
              <w:rPr>
                <w:rFonts w:ascii="Arial" w:hAnsi="Arial" w:cs="Arial"/>
                <w:color w:val="000000"/>
                <w:sz w:val="14"/>
                <w:szCs w:val="14"/>
              </w:rPr>
            </w:pPr>
          </w:p>
        </w:tc>
        <w:tc>
          <w:tcPr>
            <w:tcW w:w="990"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00B0BEF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19D36A8C" w14:textId="77777777" w:rsidTr="00052EEE">
        <w:trPr>
          <w:trHeight w:val="180"/>
        </w:trPr>
        <w:tc>
          <w:tcPr>
            <w:tcW w:w="624" w:type="dxa"/>
            <w:vMerge w:val="restart"/>
            <w:tcBorders>
              <w:top w:val="single" w:sz="24" w:space="0" w:color="auto"/>
              <w:left w:val="single" w:sz="24" w:space="0" w:color="auto"/>
              <w:bottom w:val="single" w:sz="6" w:space="0" w:color="auto"/>
              <w:right w:val="single" w:sz="6" w:space="0" w:color="auto"/>
            </w:tcBorders>
            <w:noWrap/>
            <w:vAlign w:val="center"/>
            <w:hideMark/>
          </w:tcPr>
          <w:p w14:paraId="3A2527ED" w14:textId="77777777" w:rsidR="00052EEE" w:rsidRDefault="00052EEE" w:rsidP="00052EEE">
            <w:pPr>
              <w:jc w:val="center"/>
              <w:rPr>
                <w:rFonts w:ascii="Arial" w:hAnsi="Arial" w:cs="Arial"/>
                <w:color w:val="000000"/>
                <w:sz w:val="14"/>
                <w:szCs w:val="14"/>
              </w:rPr>
            </w:pPr>
            <w:r>
              <w:rPr>
                <w:rFonts w:ascii="Arial" w:hAnsi="Arial" w:cs="Arial"/>
                <w:color w:val="000000"/>
                <w:sz w:val="14"/>
                <w:szCs w:val="14"/>
              </w:rPr>
              <w:t>&lt;5</w:t>
            </w:r>
          </w:p>
          <w:p w14:paraId="3E79853A" w14:textId="77777777" w:rsidR="00052EEE" w:rsidRPr="00945156" w:rsidRDefault="00052EEE" w:rsidP="00052EEE">
            <w:pPr>
              <w:jc w:val="center"/>
              <w:rPr>
                <w:rFonts w:ascii="Arial" w:hAnsi="Arial" w:cs="Arial"/>
                <w:color w:val="000000"/>
                <w:sz w:val="14"/>
                <w:szCs w:val="14"/>
              </w:rPr>
            </w:pPr>
          </w:p>
        </w:tc>
        <w:tc>
          <w:tcPr>
            <w:tcW w:w="606" w:type="dxa"/>
            <w:vMerge w:val="restart"/>
            <w:tcBorders>
              <w:top w:val="single" w:sz="24" w:space="0" w:color="auto"/>
              <w:left w:val="single" w:sz="6" w:space="0" w:color="auto"/>
              <w:bottom w:val="single" w:sz="6" w:space="0" w:color="auto"/>
              <w:right w:val="single" w:sz="6" w:space="0" w:color="auto"/>
            </w:tcBorders>
            <w:vAlign w:val="center"/>
            <w:hideMark/>
          </w:tcPr>
          <w:p w14:paraId="56F8E739"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≤10</w:t>
            </w:r>
          </w:p>
        </w:tc>
        <w:tc>
          <w:tcPr>
            <w:tcW w:w="714" w:type="dxa"/>
            <w:vMerge w:val="restart"/>
            <w:tcBorders>
              <w:top w:val="single" w:sz="24" w:space="0" w:color="auto"/>
              <w:left w:val="single" w:sz="6" w:space="0" w:color="auto"/>
              <w:bottom w:val="single" w:sz="6" w:space="0" w:color="auto"/>
              <w:right w:val="single" w:sz="6" w:space="0" w:color="auto"/>
            </w:tcBorders>
            <w:noWrap/>
            <w:vAlign w:val="center"/>
            <w:hideMark/>
          </w:tcPr>
          <w:p w14:paraId="25CB57C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24" w:space="0" w:color="auto"/>
              <w:left w:val="single" w:sz="6" w:space="0" w:color="auto"/>
              <w:bottom w:val="single" w:sz="6" w:space="0" w:color="auto"/>
              <w:right w:val="single" w:sz="6" w:space="0" w:color="auto"/>
            </w:tcBorders>
            <w:noWrap/>
            <w:vAlign w:val="center"/>
            <w:hideMark/>
          </w:tcPr>
          <w:p w14:paraId="04F3B14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24" w:space="0" w:color="auto"/>
              <w:left w:val="single" w:sz="6" w:space="0" w:color="auto"/>
              <w:bottom w:val="single" w:sz="6" w:space="0" w:color="auto"/>
              <w:right w:val="single" w:sz="6" w:space="0" w:color="auto"/>
            </w:tcBorders>
            <w:vAlign w:val="center"/>
            <w:hideMark/>
          </w:tcPr>
          <w:p w14:paraId="13E5DDC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A-1</w:t>
            </w:r>
          </w:p>
        </w:tc>
        <w:tc>
          <w:tcPr>
            <w:tcW w:w="1227"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4799FA3" w14:textId="77777777" w:rsidR="00052EEE" w:rsidRPr="00945156" w:rsidRDefault="00052EEE" w:rsidP="00052EEE">
            <w:pPr>
              <w:jc w:val="center"/>
              <w:rPr>
                <w:rFonts w:ascii="Arial" w:hAnsi="Arial" w:cs="Arial"/>
                <w:color w:val="000000"/>
                <w:sz w:val="14"/>
                <w:szCs w:val="14"/>
              </w:rPr>
            </w:pPr>
          </w:p>
        </w:tc>
        <w:tc>
          <w:tcPr>
            <w:tcW w:w="1295"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8EE1E95" w14:textId="77777777" w:rsidR="00052EEE" w:rsidRPr="00945156" w:rsidRDefault="00052EEE" w:rsidP="00052EEE">
            <w:pPr>
              <w:jc w:val="center"/>
              <w:rPr>
                <w:rFonts w:ascii="Arial" w:hAnsi="Arial" w:cs="Arial"/>
                <w:color w:val="000000"/>
                <w:sz w:val="14"/>
                <w:szCs w:val="14"/>
              </w:rPr>
            </w:pPr>
          </w:p>
        </w:tc>
        <w:tc>
          <w:tcPr>
            <w:tcW w:w="1759" w:type="dxa"/>
            <w:tcBorders>
              <w:top w:val="single" w:sz="24" w:space="0" w:color="auto"/>
              <w:left w:val="single" w:sz="6" w:space="0" w:color="auto"/>
              <w:bottom w:val="single" w:sz="6" w:space="0" w:color="auto"/>
              <w:right w:val="single" w:sz="6" w:space="0" w:color="auto"/>
            </w:tcBorders>
            <w:noWrap/>
            <w:vAlign w:val="center"/>
            <w:hideMark/>
          </w:tcPr>
          <w:p w14:paraId="62182965"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D-1 thru D-6</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3F8FDDA" w14:textId="77777777" w:rsidR="00052EEE" w:rsidRPr="00945156" w:rsidRDefault="00052EEE" w:rsidP="00052EEE">
            <w:pPr>
              <w:jc w:val="center"/>
              <w:rPr>
                <w:rFonts w:ascii="Arial" w:hAnsi="Arial" w:cs="Arial"/>
                <w:color w:val="000000"/>
                <w:sz w:val="14"/>
                <w:szCs w:val="14"/>
              </w:rPr>
            </w:pP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122F7F3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432F635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C024FE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FC0283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0E7D6B4C"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5EAB48E9"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C18FA7E"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154EAA8A"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05F11FDE"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vAlign w:val="center"/>
            <w:hideMark/>
          </w:tcPr>
          <w:p w14:paraId="0E602FD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A-1</w:t>
            </w:r>
          </w:p>
        </w:tc>
        <w:tc>
          <w:tcPr>
            <w:tcW w:w="122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B16FFD4" w14:textId="77777777" w:rsidR="00052EEE" w:rsidRPr="00945156" w:rsidRDefault="00052EEE" w:rsidP="00052EEE">
            <w:pPr>
              <w:jc w:val="center"/>
              <w:rPr>
                <w:rFonts w:ascii="Arial" w:hAnsi="Arial" w:cs="Arial"/>
                <w:color w:val="000000"/>
                <w:sz w:val="14"/>
                <w:szCs w:val="14"/>
              </w:rPr>
            </w:pPr>
          </w:p>
        </w:tc>
        <w:tc>
          <w:tcPr>
            <w:tcW w:w="1295"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C612382" w14:textId="77777777" w:rsidR="00052EEE" w:rsidRPr="00945156" w:rsidRDefault="00052EEE" w:rsidP="00052EEE">
            <w:pPr>
              <w:jc w:val="center"/>
              <w:rPr>
                <w:rFonts w:ascii="Arial" w:hAnsi="Arial" w:cs="Arial"/>
                <w:color w:val="000000"/>
                <w:sz w:val="14"/>
                <w:szCs w:val="14"/>
              </w:rPr>
            </w:pP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159C149C"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 xml:space="preserve">D-1, </w:t>
            </w:r>
            <w:r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1FCF6B1B"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34CBAC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61A5770C"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3D4E7C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9CD27D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4F5FEEA0"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C8A0B70"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56E5B6CE"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45A2E510"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153A63B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vAlign w:val="center"/>
            <w:hideMark/>
          </w:tcPr>
          <w:p w14:paraId="7C0F3EB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A-1</w:t>
            </w:r>
          </w:p>
        </w:tc>
        <w:tc>
          <w:tcPr>
            <w:tcW w:w="122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FE5BBE8" w14:textId="77777777" w:rsidR="00052EEE" w:rsidRPr="00945156" w:rsidRDefault="00052EEE" w:rsidP="00052EEE">
            <w:pPr>
              <w:jc w:val="center"/>
              <w:rPr>
                <w:rFonts w:ascii="Arial" w:hAnsi="Arial" w:cs="Arial"/>
                <w:color w:val="000000"/>
                <w:sz w:val="14"/>
                <w:szCs w:val="14"/>
              </w:rPr>
            </w:pPr>
          </w:p>
        </w:tc>
        <w:tc>
          <w:tcPr>
            <w:tcW w:w="1295"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B66B3C8" w14:textId="77777777" w:rsidR="00052EEE" w:rsidRPr="00945156" w:rsidRDefault="00052EEE" w:rsidP="00052EEE">
            <w:pPr>
              <w:jc w:val="center"/>
              <w:rPr>
                <w:rFonts w:ascii="Arial" w:hAnsi="Arial" w:cs="Arial"/>
                <w:color w:val="000000"/>
                <w:sz w:val="14"/>
                <w:szCs w:val="14"/>
              </w:rPr>
            </w:pP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0E0BED4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7A9A8CAA"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161347B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7CB368AF"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9C3F1A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3D1AFCC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1284C0DB"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E5260E5"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295BF2D5" w14:textId="77777777" w:rsidR="00052EEE" w:rsidRPr="00945156" w:rsidRDefault="00052EEE" w:rsidP="00052EEE">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477F8D5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035E837A"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BE68143" w14:textId="77777777" w:rsidR="00052EEE" w:rsidRPr="00945156" w:rsidRDefault="00052EEE" w:rsidP="00052EEE">
            <w:pPr>
              <w:jc w:val="center"/>
              <w:rPr>
                <w:rFonts w:ascii="Arial" w:hAnsi="Arial" w:cs="Arial"/>
                <w:color w:val="000000"/>
                <w:sz w:val="14"/>
                <w:szCs w:val="14"/>
              </w:rPr>
            </w:pPr>
          </w:p>
        </w:tc>
        <w:tc>
          <w:tcPr>
            <w:tcW w:w="122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4F9CC0B" w14:textId="77777777" w:rsidR="00052EEE" w:rsidRPr="00945156" w:rsidRDefault="00052EEE" w:rsidP="00052EEE">
            <w:pPr>
              <w:jc w:val="center"/>
              <w:rPr>
                <w:rFonts w:ascii="Arial" w:hAnsi="Arial" w:cs="Arial"/>
                <w:color w:val="000000"/>
                <w:sz w:val="14"/>
                <w:szCs w:val="14"/>
              </w:rPr>
            </w:pPr>
          </w:p>
        </w:tc>
        <w:tc>
          <w:tcPr>
            <w:tcW w:w="1295"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E15A0A1" w14:textId="77777777" w:rsidR="00052EEE" w:rsidRPr="00945156" w:rsidRDefault="00052EEE" w:rsidP="00052EEE">
            <w:pPr>
              <w:jc w:val="center"/>
              <w:rPr>
                <w:rFonts w:ascii="Arial" w:hAnsi="Arial" w:cs="Arial"/>
                <w:color w:val="000000"/>
                <w:sz w:val="14"/>
                <w:szCs w:val="14"/>
              </w:rPr>
            </w:pP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4EC02A2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D-1 thru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D1D5F0D" w14:textId="77777777" w:rsidR="00052EEE" w:rsidRPr="00945156" w:rsidRDefault="00052EEE" w:rsidP="00052EEE">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2AD4438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2C2E4DCF"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G-2</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76BBC8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B2CD8C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3CDEB365"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9E74962"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8F6F472"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050C639A"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4755C88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0FB1573" w14:textId="77777777" w:rsidR="00052EEE" w:rsidRPr="00945156" w:rsidRDefault="00052EEE" w:rsidP="00052EEE">
            <w:pPr>
              <w:jc w:val="center"/>
              <w:rPr>
                <w:rFonts w:ascii="Arial" w:hAnsi="Arial" w:cs="Arial"/>
                <w:color w:val="000000"/>
                <w:sz w:val="14"/>
                <w:szCs w:val="14"/>
              </w:rPr>
            </w:pPr>
          </w:p>
        </w:tc>
        <w:tc>
          <w:tcPr>
            <w:tcW w:w="122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B72A2E8" w14:textId="77777777" w:rsidR="00052EEE" w:rsidRPr="00945156" w:rsidRDefault="00052EEE" w:rsidP="00052EEE">
            <w:pPr>
              <w:jc w:val="center"/>
              <w:rPr>
                <w:rFonts w:ascii="Arial" w:hAnsi="Arial" w:cs="Arial"/>
                <w:color w:val="000000"/>
                <w:sz w:val="14"/>
                <w:szCs w:val="14"/>
              </w:rPr>
            </w:pPr>
          </w:p>
        </w:tc>
        <w:tc>
          <w:tcPr>
            <w:tcW w:w="1295"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7E09F14" w14:textId="77777777" w:rsidR="00052EEE" w:rsidRPr="00945156" w:rsidRDefault="00052EEE" w:rsidP="00052EEE">
            <w:pPr>
              <w:jc w:val="center"/>
              <w:rPr>
                <w:rFonts w:ascii="Arial" w:hAnsi="Arial" w:cs="Arial"/>
                <w:color w:val="000000"/>
                <w:sz w:val="14"/>
                <w:szCs w:val="14"/>
              </w:rPr>
            </w:pP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7F43CBC1"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 xml:space="preserve">D-1, </w:t>
            </w:r>
            <w:r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66ECB74D"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2240FF7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3295EAD9"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C5F668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2ECAE1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6ABA4D1E"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4694EEC6"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5A990DE6"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3CB726F1"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595DC51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7D5EDF84" w14:textId="77777777" w:rsidR="00052EEE" w:rsidRPr="00945156" w:rsidRDefault="00052EEE" w:rsidP="00052EEE">
            <w:pPr>
              <w:jc w:val="center"/>
              <w:rPr>
                <w:rFonts w:ascii="Arial" w:hAnsi="Arial" w:cs="Arial"/>
                <w:color w:val="000000"/>
                <w:sz w:val="14"/>
                <w:szCs w:val="14"/>
              </w:rPr>
            </w:pPr>
          </w:p>
        </w:tc>
        <w:tc>
          <w:tcPr>
            <w:tcW w:w="122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BB1B4D4" w14:textId="77777777" w:rsidR="00052EEE" w:rsidRPr="00945156" w:rsidRDefault="00052EEE" w:rsidP="00052EEE">
            <w:pPr>
              <w:jc w:val="center"/>
              <w:rPr>
                <w:rFonts w:ascii="Arial" w:hAnsi="Arial" w:cs="Arial"/>
                <w:color w:val="000000"/>
                <w:sz w:val="14"/>
                <w:szCs w:val="14"/>
              </w:rPr>
            </w:pPr>
          </w:p>
        </w:tc>
        <w:tc>
          <w:tcPr>
            <w:tcW w:w="1295"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2B72F5D2" w14:textId="77777777" w:rsidR="00052EEE" w:rsidRPr="00945156" w:rsidRDefault="00052EEE" w:rsidP="00052EEE">
            <w:pPr>
              <w:jc w:val="center"/>
              <w:rPr>
                <w:rFonts w:ascii="Arial" w:hAnsi="Arial" w:cs="Arial"/>
                <w:color w:val="000000"/>
                <w:sz w:val="14"/>
                <w:szCs w:val="14"/>
              </w:rPr>
            </w:pP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744D33B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50C680D9"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6A49DEAB"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F-1</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2EF03E28"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18D5DE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3758F4F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63D8F8B3"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82D6A3E" w14:textId="77777777" w:rsidR="00052EEE" w:rsidRPr="00945156" w:rsidRDefault="00052EEE" w:rsidP="00052EEE">
            <w:pPr>
              <w:rPr>
                <w:rFonts w:ascii="Arial" w:hAnsi="Arial" w:cs="Arial"/>
                <w:color w:val="000000"/>
                <w:sz w:val="14"/>
                <w:szCs w:val="14"/>
              </w:rPr>
            </w:pPr>
          </w:p>
        </w:tc>
        <w:tc>
          <w:tcPr>
            <w:tcW w:w="606" w:type="dxa"/>
            <w:vMerge w:val="restart"/>
            <w:tcBorders>
              <w:top w:val="single" w:sz="6" w:space="0" w:color="auto"/>
              <w:left w:val="single" w:sz="6" w:space="0" w:color="auto"/>
              <w:bottom w:val="single" w:sz="6" w:space="0" w:color="auto"/>
              <w:right w:val="single" w:sz="6" w:space="0" w:color="auto"/>
            </w:tcBorders>
            <w:vAlign w:val="center"/>
            <w:hideMark/>
          </w:tcPr>
          <w:p w14:paraId="5151870B"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&gt;10</w:t>
            </w: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3FB6858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582CEE98"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ECA2EA9" w14:textId="77777777" w:rsidR="00052EEE" w:rsidRPr="00945156" w:rsidRDefault="00052EEE" w:rsidP="00052EEE">
            <w:pPr>
              <w:jc w:val="center"/>
              <w:rPr>
                <w:rFonts w:ascii="Arial" w:hAnsi="Arial" w:cs="Arial"/>
                <w:color w:val="000000"/>
                <w:sz w:val="14"/>
                <w:szCs w:val="14"/>
              </w:rPr>
            </w:pPr>
          </w:p>
        </w:tc>
        <w:tc>
          <w:tcPr>
            <w:tcW w:w="122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D6CE362" w14:textId="77777777" w:rsidR="00052EEE" w:rsidRPr="00945156" w:rsidRDefault="00052EEE" w:rsidP="00052EEE">
            <w:pPr>
              <w:jc w:val="center"/>
              <w:rPr>
                <w:rFonts w:ascii="Arial" w:hAnsi="Arial" w:cs="Arial"/>
                <w:color w:val="000000"/>
                <w:sz w:val="14"/>
                <w:szCs w:val="14"/>
              </w:rPr>
            </w:pPr>
          </w:p>
        </w:tc>
        <w:tc>
          <w:tcPr>
            <w:tcW w:w="1295"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55C0637" w14:textId="77777777" w:rsidR="00052EEE" w:rsidRPr="00945156" w:rsidRDefault="00052EEE" w:rsidP="00052EEE">
            <w:pPr>
              <w:jc w:val="center"/>
              <w:rPr>
                <w:rFonts w:ascii="Arial" w:hAnsi="Arial" w:cs="Arial"/>
                <w:color w:val="000000"/>
                <w:sz w:val="14"/>
                <w:szCs w:val="14"/>
              </w:rPr>
            </w:pP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066716C5"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 xml:space="preserve">D-1, </w:t>
            </w:r>
            <w:r w:rsidRPr="00945156">
              <w:rPr>
                <w:rFonts w:ascii="Arial" w:hAnsi="Arial" w:cs="Arial"/>
                <w:color w:val="000000"/>
                <w:sz w:val="14"/>
                <w:szCs w:val="14"/>
              </w:rPr>
              <w:t>D-3</w:t>
            </w:r>
            <w:r>
              <w:rPr>
                <w:rFonts w:ascii="Arial" w:hAnsi="Arial" w:cs="Arial"/>
                <w:color w:val="000000"/>
                <w:sz w:val="14"/>
                <w:szCs w:val="14"/>
              </w:rPr>
              <w:t xml:space="preserve"> D-4, D-5,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BE12C2E" w14:textId="77777777" w:rsidR="00052EEE" w:rsidRPr="00945156" w:rsidRDefault="00052EEE" w:rsidP="00052EEE">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4868A56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19EE95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86B796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E1DAF40"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0F512A40"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15C9CBB0"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7997DE8C"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5241A93A"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3C06066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E2FE885" w14:textId="77777777" w:rsidR="00052EEE" w:rsidRPr="00945156" w:rsidRDefault="00052EEE" w:rsidP="00052EEE">
            <w:pPr>
              <w:jc w:val="center"/>
              <w:rPr>
                <w:rFonts w:ascii="Arial" w:hAnsi="Arial" w:cs="Arial"/>
                <w:color w:val="000000"/>
                <w:sz w:val="14"/>
                <w:szCs w:val="14"/>
              </w:rPr>
            </w:pPr>
          </w:p>
        </w:tc>
        <w:tc>
          <w:tcPr>
            <w:tcW w:w="122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EF80704" w14:textId="77777777" w:rsidR="00052EEE" w:rsidRPr="00945156" w:rsidRDefault="00052EEE" w:rsidP="00052EEE">
            <w:pPr>
              <w:jc w:val="center"/>
              <w:rPr>
                <w:rFonts w:ascii="Arial" w:hAnsi="Arial" w:cs="Arial"/>
                <w:color w:val="000000"/>
                <w:sz w:val="14"/>
                <w:szCs w:val="14"/>
              </w:rPr>
            </w:pPr>
          </w:p>
        </w:tc>
        <w:tc>
          <w:tcPr>
            <w:tcW w:w="1295"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C31EFFB" w14:textId="77777777" w:rsidR="00052EEE" w:rsidRPr="00945156" w:rsidRDefault="00052EEE" w:rsidP="00052EEE">
            <w:pPr>
              <w:jc w:val="center"/>
              <w:rPr>
                <w:rFonts w:ascii="Arial" w:hAnsi="Arial" w:cs="Arial"/>
                <w:color w:val="000000"/>
                <w:sz w:val="14"/>
                <w:szCs w:val="14"/>
              </w:rPr>
            </w:pP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12D04D9F"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 xml:space="preserve">D-1, </w:t>
            </w:r>
            <w:r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5C3E93A4"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67B2F45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5754677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C11894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7CD701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74AC8147" w14:textId="77777777" w:rsidTr="00052EEE">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37CE8635"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8FF787F"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4BBE606D"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6186099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6E2AD772" w14:textId="77777777" w:rsidR="00052EEE" w:rsidRPr="00945156" w:rsidRDefault="00052EEE" w:rsidP="00052EEE">
            <w:pPr>
              <w:jc w:val="center"/>
              <w:rPr>
                <w:rFonts w:ascii="Arial" w:hAnsi="Arial" w:cs="Arial"/>
                <w:color w:val="000000"/>
                <w:sz w:val="14"/>
                <w:szCs w:val="14"/>
              </w:rPr>
            </w:pPr>
          </w:p>
        </w:tc>
        <w:tc>
          <w:tcPr>
            <w:tcW w:w="1227"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7C981856" w14:textId="77777777" w:rsidR="00052EEE" w:rsidRPr="00945156" w:rsidRDefault="00052EEE" w:rsidP="00052EEE">
            <w:pPr>
              <w:jc w:val="center"/>
              <w:rPr>
                <w:rFonts w:ascii="Arial" w:hAnsi="Arial" w:cs="Arial"/>
                <w:color w:val="000000"/>
                <w:sz w:val="14"/>
                <w:szCs w:val="14"/>
              </w:rPr>
            </w:pPr>
          </w:p>
        </w:tc>
        <w:tc>
          <w:tcPr>
            <w:tcW w:w="1295"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71EA990B" w14:textId="77777777" w:rsidR="00052EEE" w:rsidRPr="00945156" w:rsidRDefault="00052EEE" w:rsidP="00052EEE">
            <w:pPr>
              <w:jc w:val="center"/>
              <w:rPr>
                <w:rFonts w:ascii="Arial" w:hAnsi="Arial" w:cs="Arial"/>
                <w:color w:val="000000"/>
                <w:sz w:val="14"/>
                <w:szCs w:val="14"/>
              </w:rPr>
            </w:pPr>
          </w:p>
        </w:tc>
        <w:tc>
          <w:tcPr>
            <w:tcW w:w="1759" w:type="dxa"/>
            <w:tcBorders>
              <w:top w:val="single" w:sz="6" w:space="0" w:color="auto"/>
              <w:left w:val="single" w:sz="6" w:space="0" w:color="auto"/>
              <w:bottom w:val="single" w:sz="12" w:space="0" w:color="auto"/>
              <w:right w:val="single" w:sz="6" w:space="0" w:color="auto"/>
            </w:tcBorders>
            <w:noWrap/>
            <w:vAlign w:val="center"/>
            <w:hideMark/>
          </w:tcPr>
          <w:p w14:paraId="4FFE3A4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670F66D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54E8981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7A1FE30D"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456601C"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70B1EBB5"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1E0CBAF2"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18E86AD2"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2756AEAA" w14:textId="77777777" w:rsidR="00052EEE" w:rsidRPr="00945156" w:rsidRDefault="00052EEE" w:rsidP="00052EEE">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4377885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5BB5A67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BF82DC" w14:textId="77777777" w:rsidR="00052EEE" w:rsidRPr="00945156" w:rsidRDefault="00052EEE" w:rsidP="00052EEE">
            <w:pPr>
              <w:jc w:val="center"/>
              <w:rPr>
                <w:rFonts w:ascii="Arial" w:hAnsi="Arial" w:cs="Arial"/>
                <w:color w:val="000000"/>
                <w:sz w:val="14"/>
                <w:szCs w:val="14"/>
              </w:rPr>
            </w:pPr>
          </w:p>
        </w:tc>
        <w:tc>
          <w:tcPr>
            <w:tcW w:w="1227"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80C2024" w14:textId="77777777" w:rsidR="00052EEE" w:rsidRPr="00945156" w:rsidRDefault="00052EEE" w:rsidP="00052EEE">
            <w:pPr>
              <w:jc w:val="center"/>
              <w:rPr>
                <w:rFonts w:ascii="Arial" w:hAnsi="Arial" w:cs="Arial"/>
                <w:color w:val="000000"/>
                <w:sz w:val="14"/>
                <w:szCs w:val="14"/>
              </w:rPr>
            </w:pPr>
          </w:p>
        </w:tc>
        <w:tc>
          <w:tcPr>
            <w:tcW w:w="1295"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439E656" w14:textId="77777777" w:rsidR="00052EEE" w:rsidRPr="00945156" w:rsidRDefault="00052EEE" w:rsidP="00052EEE">
            <w:pPr>
              <w:jc w:val="center"/>
              <w:rPr>
                <w:rFonts w:ascii="Arial" w:hAnsi="Arial" w:cs="Arial"/>
                <w:color w:val="000000"/>
                <w:sz w:val="14"/>
                <w:szCs w:val="14"/>
              </w:rPr>
            </w:pPr>
          </w:p>
        </w:tc>
        <w:tc>
          <w:tcPr>
            <w:tcW w:w="1759" w:type="dxa"/>
            <w:tcBorders>
              <w:top w:val="single" w:sz="12" w:space="0" w:color="auto"/>
              <w:left w:val="single" w:sz="6" w:space="0" w:color="auto"/>
              <w:bottom w:val="single" w:sz="6" w:space="0" w:color="auto"/>
              <w:right w:val="single" w:sz="6" w:space="0" w:color="auto"/>
            </w:tcBorders>
            <w:noWrap/>
            <w:vAlign w:val="center"/>
            <w:hideMark/>
          </w:tcPr>
          <w:p w14:paraId="2C46423E"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 xml:space="preserve">D-1, </w:t>
            </w:r>
            <w:r w:rsidRPr="00945156">
              <w:rPr>
                <w:rFonts w:ascii="Arial" w:hAnsi="Arial" w:cs="Arial"/>
                <w:color w:val="000000"/>
                <w:sz w:val="14"/>
                <w:szCs w:val="14"/>
              </w:rPr>
              <w:t>D-3</w:t>
            </w:r>
            <w:r>
              <w:rPr>
                <w:rFonts w:ascii="Arial" w:hAnsi="Arial" w:cs="Arial"/>
                <w:color w:val="000000"/>
                <w:sz w:val="14"/>
                <w:szCs w:val="14"/>
              </w:rPr>
              <w:t xml:space="preserve"> D-4, D-5, D-6</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E680590" w14:textId="77777777" w:rsidR="00052EEE" w:rsidRPr="00945156" w:rsidRDefault="00052EEE" w:rsidP="00052EEE">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17AA3244"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77572315"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G-2</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4E9C84D"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7B60C8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0E630962" w14:textId="77777777" w:rsidTr="00052EEE">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696C8617"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36118B2"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3EFD0D33"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0CF041A3"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812B119" w14:textId="77777777" w:rsidR="00052EEE" w:rsidRPr="00945156" w:rsidRDefault="00052EEE" w:rsidP="00052EEE">
            <w:pPr>
              <w:jc w:val="center"/>
              <w:rPr>
                <w:rFonts w:ascii="Arial" w:hAnsi="Arial" w:cs="Arial"/>
                <w:color w:val="000000"/>
                <w:sz w:val="14"/>
                <w:szCs w:val="14"/>
              </w:rPr>
            </w:pPr>
          </w:p>
        </w:tc>
        <w:tc>
          <w:tcPr>
            <w:tcW w:w="1227"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02116B4" w14:textId="77777777" w:rsidR="00052EEE" w:rsidRPr="00945156" w:rsidRDefault="00052EEE" w:rsidP="00052EEE">
            <w:pPr>
              <w:jc w:val="center"/>
              <w:rPr>
                <w:rFonts w:ascii="Arial" w:hAnsi="Arial" w:cs="Arial"/>
                <w:color w:val="000000"/>
                <w:sz w:val="14"/>
                <w:szCs w:val="14"/>
              </w:rPr>
            </w:pPr>
          </w:p>
        </w:tc>
        <w:tc>
          <w:tcPr>
            <w:tcW w:w="1295"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070AC5E" w14:textId="77777777" w:rsidR="00052EEE" w:rsidRPr="00945156" w:rsidRDefault="00052EEE" w:rsidP="00052EEE">
            <w:pPr>
              <w:jc w:val="center"/>
              <w:rPr>
                <w:rFonts w:ascii="Arial" w:hAnsi="Arial" w:cs="Arial"/>
                <w:color w:val="000000"/>
                <w:sz w:val="14"/>
                <w:szCs w:val="14"/>
              </w:rPr>
            </w:pPr>
          </w:p>
        </w:tc>
        <w:tc>
          <w:tcPr>
            <w:tcW w:w="1759" w:type="dxa"/>
            <w:tcBorders>
              <w:top w:val="single" w:sz="6" w:space="0" w:color="auto"/>
              <w:left w:val="single" w:sz="6" w:space="0" w:color="auto"/>
              <w:bottom w:val="single" w:sz="6" w:space="0" w:color="auto"/>
              <w:right w:val="single" w:sz="6" w:space="0" w:color="auto"/>
            </w:tcBorders>
            <w:noWrap/>
            <w:vAlign w:val="center"/>
            <w:hideMark/>
          </w:tcPr>
          <w:p w14:paraId="4D9155BC"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 xml:space="preserve">D-1, </w:t>
            </w:r>
            <w:r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5B92EF5C"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2EF5753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199E7BD3"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0011402"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469801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r w:rsidR="00052EEE" w:rsidRPr="00945156" w14:paraId="0BA5A86D" w14:textId="77777777" w:rsidTr="00052EEE">
        <w:trPr>
          <w:trHeight w:val="195"/>
        </w:trPr>
        <w:tc>
          <w:tcPr>
            <w:tcW w:w="624" w:type="dxa"/>
            <w:vMerge/>
            <w:tcBorders>
              <w:top w:val="single" w:sz="6" w:space="0" w:color="auto"/>
              <w:left w:val="single" w:sz="24" w:space="0" w:color="auto"/>
              <w:bottom w:val="single" w:sz="24" w:space="0" w:color="auto"/>
              <w:right w:val="single" w:sz="6" w:space="0" w:color="auto"/>
            </w:tcBorders>
            <w:vAlign w:val="center"/>
            <w:hideMark/>
          </w:tcPr>
          <w:p w14:paraId="086BBC29" w14:textId="77777777" w:rsidR="00052EEE" w:rsidRPr="00945156" w:rsidRDefault="00052EEE" w:rsidP="00052EEE">
            <w:pPr>
              <w:rPr>
                <w:rFonts w:ascii="Arial" w:hAnsi="Arial" w:cs="Arial"/>
                <w:color w:val="000000"/>
                <w:sz w:val="14"/>
                <w:szCs w:val="14"/>
              </w:rPr>
            </w:pPr>
          </w:p>
        </w:tc>
        <w:tc>
          <w:tcPr>
            <w:tcW w:w="606" w:type="dxa"/>
            <w:vMerge/>
            <w:tcBorders>
              <w:top w:val="single" w:sz="6" w:space="0" w:color="auto"/>
              <w:left w:val="single" w:sz="6" w:space="0" w:color="auto"/>
              <w:bottom w:val="single" w:sz="24" w:space="0" w:color="auto"/>
              <w:right w:val="single" w:sz="6" w:space="0" w:color="auto"/>
            </w:tcBorders>
            <w:vAlign w:val="center"/>
            <w:hideMark/>
          </w:tcPr>
          <w:p w14:paraId="281E3648" w14:textId="77777777" w:rsidR="00052EEE" w:rsidRPr="00945156" w:rsidRDefault="00052EEE" w:rsidP="00052EEE">
            <w:pPr>
              <w:rPr>
                <w:rFonts w:ascii="Arial" w:hAnsi="Arial" w:cs="Arial"/>
                <w:color w:val="000000"/>
                <w:sz w:val="14"/>
                <w:szCs w:val="14"/>
              </w:rPr>
            </w:pPr>
          </w:p>
        </w:tc>
        <w:tc>
          <w:tcPr>
            <w:tcW w:w="714" w:type="dxa"/>
            <w:vMerge/>
            <w:tcBorders>
              <w:top w:val="single" w:sz="6" w:space="0" w:color="auto"/>
              <w:left w:val="single" w:sz="6" w:space="0" w:color="auto"/>
              <w:bottom w:val="single" w:sz="24" w:space="0" w:color="auto"/>
              <w:right w:val="single" w:sz="6" w:space="0" w:color="auto"/>
            </w:tcBorders>
            <w:vAlign w:val="center"/>
            <w:hideMark/>
          </w:tcPr>
          <w:p w14:paraId="2A152347" w14:textId="77777777" w:rsidR="00052EEE" w:rsidRPr="00945156" w:rsidRDefault="00052EEE" w:rsidP="00052EEE">
            <w:pPr>
              <w:rPr>
                <w:rFonts w:ascii="Arial" w:hAnsi="Arial" w:cs="Arial"/>
                <w:color w:val="000000"/>
                <w:sz w:val="14"/>
                <w:szCs w:val="14"/>
              </w:rPr>
            </w:pPr>
          </w:p>
        </w:tc>
        <w:tc>
          <w:tcPr>
            <w:tcW w:w="791" w:type="dxa"/>
            <w:tcBorders>
              <w:top w:val="single" w:sz="6" w:space="0" w:color="auto"/>
              <w:left w:val="single" w:sz="6" w:space="0" w:color="auto"/>
              <w:bottom w:val="single" w:sz="24" w:space="0" w:color="auto"/>
              <w:right w:val="single" w:sz="6" w:space="0" w:color="auto"/>
            </w:tcBorders>
            <w:noWrap/>
            <w:vAlign w:val="center"/>
            <w:hideMark/>
          </w:tcPr>
          <w:p w14:paraId="07F71A56"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2DBA09EB" w14:textId="77777777" w:rsidR="00052EEE" w:rsidRPr="00945156" w:rsidRDefault="00052EEE" w:rsidP="00052EEE">
            <w:pPr>
              <w:jc w:val="center"/>
              <w:rPr>
                <w:rFonts w:ascii="Arial" w:hAnsi="Arial" w:cs="Arial"/>
                <w:color w:val="000000"/>
                <w:sz w:val="14"/>
                <w:szCs w:val="14"/>
              </w:rPr>
            </w:pPr>
          </w:p>
        </w:tc>
        <w:tc>
          <w:tcPr>
            <w:tcW w:w="1227"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551B4A72" w14:textId="77777777" w:rsidR="00052EEE" w:rsidRPr="00945156" w:rsidRDefault="00052EEE" w:rsidP="00052EEE">
            <w:pPr>
              <w:jc w:val="center"/>
              <w:rPr>
                <w:rFonts w:ascii="Arial" w:hAnsi="Arial" w:cs="Arial"/>
                <w:color w:val="000000"/>
                <w:sz w:val="14"/>
                <w:szCs w:val="14"/>
              </w:rPr>
            </w:pPr>
          </w:p>
        </w:tc>
        <w:tc>
          <w:tcPr>
            <w:tcW w:w="1295"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1303DB99" w14:textId="77777777" w:rsidR="00052EEE" w:rsidRPr="00945156" w:rsidRDefault="00052EEE" w:rsidP="00052EEE">
            <w:pPr>
              <w:jc w:val="center"/>
              <w:rPr>
                <w:rFonts w:ascii="Arial" w:hAnsi="Arial" w:cs="Arial"/>
                <w:color w:val="000000"/>
                <w:sz w:val="14"/>
                <w:szCs w:val="14"/>
              </w:rPr>
            </w:pPr>
          </w:p>
        </w:tc>
        <w:tc>
          <w:tcPr>
            <w:tcW w:w="1759" w:type="dxa"/>
            <w:tcBorders>
              <w:top w:val="single" w:sz="6" w:space="0" w:color="auto"/>
              <w:left w:val="single" w:sz="6" w:space="0" w:color="auto"/>
              <w:bottom w:val="single" w:sz="24" w:space="0" w:color="auto"/>
              <w:right w:val="single" w:sz="6" w:space="0" w:color="auto"/>
            </w:tcBorders>
            <w:noWrap/>
            <w:vAlign w:val="center"/>
            <w:hideMark/>
          </w:tcPr>
          <w:p w14:paraId="160C2A71"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D-3, D-4</w:t>
            </w:r>
            <w:r>
              <w:rPr>
                <w:rFonts w:ascii="Arial" w:hAnsi="Arial" w:cs="Arial"/>
                <w:color w:val="000000"/>
                <w:sz w:val="14"/>
                <w:szCs w:val="14"/>
              </w:rPr>
              <w:t>, D-6</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6BC4EAD1"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7C7155D9"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noWrap/>
            <w:vAlign w:val="center"/>
            <w:hideMark/>
          </w:tcPr>
          <w:p w14:paraId="22F764D6" w14:textId="77777777" w:rsidR="00052EEE" w:rsidRPr="00945156" w:rsidRDefault="00052EEE" w:rsidP="00052EEE">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7E43B17"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c>
          <w:tcPr>
            <w:tcW w:w="990"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59BB908F" w14:textId="77777777" w:rsidR="00052EEE" w:rsidRPr="00945156" w:rsidRDefault="00052EEE" w:rsidP="00052EEE">
            <w:pPr>
              <w:jc w:val="center"/>
              <w:rPr>
                <w:rFonts w:ascii="Arial" w:hAnsi="Arial" w:cs="Arial"/>
                <w:color w:val="000000"/>
                <w:sz w:val="14"/>
                <w:szCs w:val="14"/>
              </w:rPr>
            </w:pPr>
            <w:r w:rsidRPr="00945156">
              <w:rPr>
                <w:rFonts w:ascii="Arial" w:hAnsi="Arial" w:cs="Arial"/>
                <w:color w:val="000000"/>
                <w:sz w:val="14"/>
                <w:szCs w:val="14"/>
              </w:rPr>
              <w:t> </w:t>
            </w:r>
          </w:p>
        </w:tc>
      </w:tr>
    </w:tbl>
    <w:p w14:paraId="5EE6DE27" w14:textId="77777777" w:rsidR="00052EEE" w:rsidRDefault="00052EEE" w:rsidP="00052EEE">
      <w:pPr>
        <w:rPr>
          <w:rFonts w:ascii="Arial" w:hAnsi="Arial" w:cs="Arial"/>
          <w:color w:val="000000"/>
          <w:sz w:val="16"/>
          <w:szCs w:val="16"/>
        </w:rPr>
      </w:pPr>
    </w:p>
    <w:p w14:paraId="40557721" w14:textId="707F4E2C" w:rsidR="00052EEE" w:rsidRDefault="00052EEE" w:rsidP="00052EEE">
      <w:pPr>
        <w:rPr>
          <w:rStyle w:val="Hyperlink"/>
          <w:rFonts w:ascii="Arial" w:hAnsi="Arial" w:cs="Arial"/>
          <w:bCs/>
          <w:sz w:val="16"/>
          <w:szCs w:val="16"/>
        </w:rPr>
      </w:pPr>
      <w:r w:rsidRPr="00945156">
        <w:rPr>
          <w:rFonts w:ascii="Arial" w:hAnsi="Arial" w:cs="Arial"/>
          <w:color w:val="000000"/>
          <w:sz w:val="16"/>
          <w:szCs w:val="16"/>
        </w:rPr>
        <w:t xml:space="preserve">Note: See </w:t>
      </w:r>
      <w:hyperlink w:anchor="_Table_C._List_1" w:history="1">
        <w:r w:rsidRPr="00EE5EE0">
          <w:rPr>
            <w:rStyle w:val="Hyperlink"/>
            <w:rFonts w:ascii="Arial" w:hAnsi="Arial" w:cs="Arial"/>
            <w:sz w:val="16"/>
            <w:szCs w:val="16"/>
          </w:rPr>
          <w:t xml:space="preserve">Table </w:t>
        </w:r>
        <w:r>
          <w:rPr>
            <w:rStyle w:val="Hyperlink"/>
            <w:rFonts w:ascii="Arial" w:hAnsi="Arial" w:cs="Arial"/>
            <w:sz w:val="16"/>
            <w:szCs w:val="16"/>
          </w:rPr>
          <w:t>C</w:t>
        </w:r>
      </w:hyperlink>
      <w:r w:rsidRPr="00945156">
        <w:rPr>
          <w:rFonts w:ascii="Arial" w:hAnsi="Arial" w:cs="Arial"/>
          <w:color w:val="000000"/>
          <w:sz w:val="16"/>
          <w:szCs w:val="16"/>
        </w:rPr>
        <w:t xml:space="preserve"> for Treatment Activities</w:t>
      </w:r>
      <w:r>
        <w:rPr>
          <w:rFonts w:ascii="Arial" w:hAnsi="Arial" w:cs="Arial"/>
          <w:color w:val="000000"/>
          <w:sz w:val="16"/>
          <w:szCs w:val="16"/>
        </w:rPr>
        <w:t>.  *H-2 and H-3 apply to composite pavements only.  ** D-4, D-6, and Major Rehab</w:t>
      </w:r>
      <w:r w:rsidDel="00BC7B5D">
        <w:rPr>
          <w:rFonts w:ascii="Arial" w:hAnsi="Arial" w:cs="Arial"/>
          <w:color w:val="000000"/>
          <w:sz w:val="16"/>
          <w:szCs w:val="16"/>
        </w:rPr>
        <w:t xml:space="preserve"> </w:t>
      </w:r>
      <w:r>
        <w:rPr>
          <w:rFonts w:ascii="Arial" w:hAnsi="Arial" w:cs="Arial"/>
          <w:color w:val="000000"/>
          <w:sz w:val="16"/>
          <w:szCs w:val="16"/>
        </w:rPr>
        <w:t xml:space="preserve">do not apply to pavements with predominant Curb &amp; Gutter.  </w:t>
      </w: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Initial_Treatment_Identification" w:history="1">
        <w:r w:rsidRPr="007E1D5E">
          <w:rPr>
            <w:rStyle w:val="Hyperlink"/>
            <w:rFonts w:ascii="Arial" w:hAnsi="Arial" w:cs="Arial"/>
            <w:bCs/>
            <w:sz w:val="16"/>
            <w:szCs w:val="16"/>
          </w:rPr>
          <w:t>Initial Treatment Identification – Pavement Preservation Guide</w:t>
        </w:r>
      </w:hyperlink>
    </w:p>
    <w:tbl>
      <w:tblPr>
        <w:tblpPr w:leftFromText="180" w:rightFromText="180" w:vertAnchor="text" w:tblpX="97" w:tblpY="-122"/>
        <w:tblOverlap w:val="never"/>
        <w:tblW w:w="12971" w:type="dxa"/>
        <w:tblLayout w:type="fixed"/>
        <w:tblLook w:val="04A0" w:firstRow="1" w:lastRow="0" w:firstColumn="1" w:lastColumn="0" w:noHBand="0" w:noVBand="1"/>
      </w:tblPr>
      <w:tblGrid>
        <w:gridCol w:w="624"/>
        <w:gridCol w:w="606"/>
        <w:gridCol w:w="714"/>
        <w:gridCol w:w="791"/>
        <w:gridCol w:w="964"/>
        <w:gridCol w:w="1221"/>
        <w:gridCol w:w="1318"/>
        <w:gridCol w:w="1742"/>
        <w:gridCol w:w="900"/>
        <w:gridCol w:w="900"/>
        <w:gridCol w:w="1080"/>
        <w:gridCol w:w="1080"/>
        <w:gridCol w:w="1031"/>
      </w:tblGrid>
      <w:tr w:rsidR="008D7723" w:rsidRPr="00945156" w14:paraId="11E69832" w14:textId="77777777" w:rsidTr="008D7723">
        <w:trPr>
          <w:trHeight w:val="735"/>
        </w:trPr>
        <w:tc>
          <w:tcPr>
            <w:tcW w:w="2735" w:type="dxa"/>
            <w:gridSpan w:val="4"/>
            <w:tcBorders>
              <w:top w:val="single" w:sz="24" w:space="0" w:color="auto"/>
              <w:left w:val="single" w:sz="24" w:space="0" w:color="auto"/>
              <w:bottom w:val="single" w:sz="6" w:space="0" w:color="auto"/>
              <w:right w:val="single" w:sz="6" w:space="0" w:color="auto"/>
            </w:tcBorders>
            <w:noWrap/>
            <w:vAlign w:val="center"/>
            <w:hideMark/>
          </w:tcPr>
          <w:p w14:paraId="3077195E" w14:textId="77777777" w:rsidR="008D7723" w:rsidRPr="00945156" w:rsidRDefault="008D7723" w:rsidP="008D7723">
            <w:pPr>
              <w:jc w:val="center"/>
              <w:rPr>
                <w:rFonts w:ascii="Bell MT" w:hAnsi="Bell MT" w:cs="Arial"/>
                <w:b/>
                <w:bCs/>
                <w:color w:val="000000"/>
                <w:sz w:val="40"/>
                <w:szCs w:val="40"/>
              </w:rPr>
            </w:pPr>
            <w:r w:rsidRPr="00945156">
              <w:rPr>
                <w:rFonts w:ascii="Bell MT" w:hAnsi="Bell MT" w:cs="Arial"/>
                <w:b/>
                <w:bCs/>
                <w:color w:val="000000"/>
                <w:sz w:val="40"/>
                <w:szCs w:val="40"/>
              </w:rPr>
              <w:lastRenderedPageBreak/>
              <w:t>Table I</w:t>
            </w:r>
            <w:r>
              <w:rPr>
                <w:rFonts w:ascii="Bell MT" w:hAnsi="Bell MT" w:cs="Arial"/>
                <w:b/>
                <w:bCs/>
                <w:color w:val="000000"/>
                <w:sz w:val="40"/>
                <w:szCs w:val="40"/>
              </w:rPr>
              <w:t>X</w:t>
            </w:r>
          </w:p>
        </w:tc>
        <w:tc>
          <w:tcPr>
            <w:tcW w:w="10236" w:type="dxa"/>
            <w:gridSpan w:val="9"/>
            <w:tcBorders>
              <w:top w:val="single" w:sz="24" w:space="0" w:color="auto"/>
              <w:left w:val="single" w:sz="6" w:space="0" w:color="auto"/>
              <w:bottom w:val="single" w:sz="6" w:space="0" w:color="auto"/>
              <w:right w:val="single" w:sz="24" w:space="0" w:color="auto"/>
            </w:tcBorders>
            <w:vAlign w:val="center"/>
            <w:hideMark/>
          </w:tcPr>
          <w:p w14:paraId="6414ED75" w14:textId="77777777" w:rsidR="008D7723" w:rsidRPr="00945156" w:rsidRDefault="008D7723" w:rsidP="008D7723">
            <w:pPr>
              <w:jc w:val="center"/>
              <w:rPr>
                <w:rFonts w:ascii="Arial" w:hAnsi="Arial" w:cs="Arial"/>
                <w:b/>
                <w:bCs/>
                <w:color w:val="000000"/>
                <w:sz w:val="18"/>
                <w:szCs w:val="18"/>
              </w:rPr>
            </w:pPr>
            <w:r w:rsidRPr="00945156">
              <w:rPr>
                <w:rFonts w:ascii="Arial" w:hAnsi="Arial" w:cs="Arial"/>
                <w:b/>
                <w:bCs/>
                <w:color w:val="000000"/>
                <w:sz w:val="18"/>
                <w:szCs w:val="18"/>
              </w:rPr>
              <w:t xml:space="preserve">Pavement Type: </w:t>
            </w:r>
            <w:r>
              <w:rPr>
                <w:rFonts w:ascii="Arial" w:hAnsi="Arial" w:cs="Arial"/>
                <w:b/>
                <w:bCs/>
                <w:color w:val="000000"/>
                <w:sz w:val="18"/>
                <w:szCs w:val="18"/>
              </w:rPr>
              <w:t>Asphalt</w:t>
            </w:r>
            <w:r w:rsidRPr="00945156">
              <w:rPr>
                <w:rFonts w:ascii="Arial" w:hAnsi="Arial" w:cs="Arial"/>
                <w:b/>
                <w:bCs/>
                <w:color w:val="000000"/>
                <w:sz w:val="18"/>
                <w:szCs w:val="18"/>
              </w:rPr>
              <w:t xml:space="preserve"> Surface</w:t>
            </w:r>
            <w:r w:rsidRPr="00945156">
              <w:rPr>
                <w:rFonts w:ascii="Arial" w:hAnsi="Arial" w:cs="Arial"/>
                <w:b/>
                <w:bCs/>
                <w:color w:val="000000"/>
                <w:sz w:val="18"/>
                <w:szCs w:val="18"/>
              </w:rPr>
              <w:br/>
              <w:t xml:space="preserve">ADT: </w:t>
            </w:r>
            <w:r>
              <w:rPr>
                <w:rFonts w:ascii="Arial" w:hAnsi="Arial" w:cs="Arial"/>
                <w:b/>
                <w:bCs/>
                <w:color w:val="000000"/>
                <w:sz w:val="18"/>
                <w:szCs w:val="18"/>
              </w:rPr>
              <w:t>&gt; 25</w:t>
            </w:r>
            <w:r w:rsidRPr="00945156">
              <w:rPr>
                <w:rFonts w:ascii="Arial" w:hAnsi="Arial" w:cs="Arial"/>
                <w:b/>
                <w:bCs/>
                <w:color w:val="000000"/>
                <w:sz w:val="18"/>
                <w:szCs w:val="18"/>
              </w:rPr>
              <w:t>,000</w:t>
            </w:r>
            <w:r w:rsidRPr="00945156">
              <w:rPr>
                <w:rFonts w:ascii="Arial" w:hAnsi="Arial" w:cs="Arial"/>
                <w:b/>
                <w:bCs/>
                <w:color w:val="000000"/>
                <w:sz w:val="18"/>
                <w:szCs w:val="18"/>
              </w:rPr>
              <w:br/>
              <w:t xml:space="preserve">IRI: </w:t>
            </w:r>
            <w:r>
              <w:rPr>
                <w:rFonts w:ascii="Arial" w:hAnsi="Arial" w:cs="Arial"/>
                <w:b/>
                <w:bCs/>
                <w:color w:val="000000"/>
                <w:sz w:val="18"/>
                <w:szCs w:val="18"/>
              </w:rPr>
              <w:t>&gt;</w:t>
            </w:r>
            <w:r w:rsidRPr="00945156">
              <w:rPr>
                <w:rFonts w:ascii="Arial" w:hAnsi="Arial" w:cs="Arial"/>
                <w:b/>
                <w:bCs/>
                <w:color w:val="000000"/>
                <w:sz w:val="18"/>
                <w:szCs w:val="18"/>
              </w:rPr>
              <w:t xml:space="preserve"> 1</w:t>
            </w:r>
            <w:r>
              <w:rPr>
                <w:rFonts w:ascii="Arial" w:hAnsi="Arial" w:cs="Arial"/>
                <w:b/>
                <w:bCs/>
                <w:color w:val="000000"/>
                <w:sz w:val="18"/>
                <w:szCs w:val="18"/>
              </w:rPr>
              <w:t>7</w:t>
            </w:r>
            <w:r w:rsidRPr="00945156">
              <w:rPr>
                <w:rFonts w:ascii="Arial" w:hAnsi="Arial" w:cs="Arial"/>
                <w:b/>
                <w:bCs/>
                <w:color w:val="000000"/>
                <w:sz w:val="18"/>
                <w:szCs w:val="18"/>
              </w:rPr>
              <w:t>0</w:t>
            </w:r>
          </w:p>
        </w:tc>
      </w:tr>
      <w:tr w:rsidR="008D7723" w:rsidRPr="00945156" w14:paraId="20803D8E" w14:textId="77777777" w:rsidTr="008D7723">
        <w:trPr>
          <w:trHeight w:val="465"/>
        </w:trPr>
        <w:tc>
          <w:tcPr>
            <w:tcW w:w="624" w:type="dxa"/>
            <w:tcBorders>
              <w:top w:val="single" w:sz="6" w:space="0" w:color="auto"/>
              <w:left w:val="single" w:sz="24" w:space="0" w:color="auto"/>
              <w:bottom w:val="single" w:sz="24" w:space="0" w:color="auto"/>
              <w:right w:val="single" w:sz="6" w:space="0" w:color="auto"/>
            </w:tcBorders>
            <w:vAlign w:val="center"/>
            <w:hideMark/>
          </w:tcPr>
          <w:p w14:paraId="56695ED9"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SC</w:t>
            </w:r>
            <w:r>
              <w:rPr>
                <w:rFonts w:ascii="Arial" w:hAnsi="Arial" w:cs="Arial"/>
                <w:b/>
                <w:bCs/>
                <w:color w:val="000000"/>
                <w:sz w:val="16"/>
                <w:szCs w:val="16"/>
              </w:rPr>
              <w:t>D</w:t>
            </w:r>
          </w:p>
        </w:tc>
        <w:tc>
          <w:tcPr>
            <w:tcW w:w="606" w:type="dxa"/>
            <w:tcBorders>
              <w:top w:val="single" w:sz="6" w:space="0" w:color="auto"/>
              <w:left w:val="single" w:sz="6" w:space="0" w:color="auto"/>
              <w:bottom w:val="single" w:sz="24" w:space="0" w:color="auto"/>
              <w:right w:val="single" w:sz="6" w:space="0" w:color="auto"/>
            </w:tcBorders>
            <w:vAlign w:val="center"/>
            <w:hideMark/>
          </w:tcPr>
          <w:p w14:paraId="23689CE0"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FC</w:t>
            </w:r>
            <w:r>
              <w:rPr>
                <w:rFonts w:ascii="Arial" w:hAnsi="Arial" w:cs="Arial"/>
                <w:b/>
                <w:bCs/>
                <w:color w:val="000000"/>
                <w:sz w:val="16"/>
                <w:szCs w:val="16"/>
              </w:rPr>
              <w:t>D</w:t>
            </w:r>
          </w:p>
        </w:tc>
        <w:tc>
          <w:tcPr>
            <w:tcW w:w="714" w:type="dxa"/>
            <w:tcBorders>
              <w:top w:val="single" w:sz="6" w:space="0" w:color="auto"/>
              <w:left w:val="single" w:sz="6" w:space="0" w:color="auto"/>
              <w:bottom w:val="single" w:sz="24" w:space="0" w:color="auto"/>
              <w:right w:val="single" w:sz="6" w:space="0" w:color="auto"/>
            </w:tcBorders>
            <w:vAlign w:val="center"/>
            <w:hideMark/>
          </w:tcPr>
          <w:p w14:paraId="7F570261" w14:textId="77777777" w:rsidR="008D7723" w:rsidRPr="00945156" w:rsidRDefault="008D7723" w:rsidP="008D7723">
            <w:pPr>
              <w:jc w:val="center"/>
              <w:rPr>
                <w:rFonts w:ascii="Arial" w:hAnsi="Arial" w:cs="Arial"/>
                <w:b/>
                <w:bCs/>
                <w:color w:val="000000"/>
                <w:sz w:val="16"/>
                <w:szCs w:val="16"/>
              </w:rPr>
            </w:pPr>
            <w:r>
              <w:rPr>
                <w:rFonts w:ascii="Arial" w:hAnsi="Arial" w:cs="Arial"/>
                <w:b/>
                <w:bCs/>
                <w:color w:val="000000"/>
                <w:sz w:val="16"/>
                <w:szCs w:val="16"/>
              </w:rPr>
              <w:t>Skid</w:t>
            </w:r>
          </w:p>
        </w:tc>
        <w:tc>
          <w:tcPr>
            <w:tcW w:w="791" w:type="dxa"/>
            <w:tcBorders>
              <w:top w:val="single" w:sz="6" w:space="0" w:color="auto"/>
              <w:left w:val="single" w:sz="6" w:space="0" w:color="auto"/>
              <w:bottom w:val="single" w:sz="24" w:space="0" w:color="auto"/>
              <w:right w:val="single" w:sz="6" w:space="0" w:color="auto"/>
            </w:tcBorders>
            <w:vAlign w:val="center"/>
            <w:hideMark/>
          </w:tcPr>
          <w:p w14:paraId="48034E9B"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Rutting (in.)</w:t>
            </w:r>
          </w:p>
        </w:tc>
        <w:tc>
          <w:tcPr>
            <w:tcW w:w="964" w:type="dxa"/>
            <w:tcBorders>
              <w:top w:val="single" w:sz="6" w:space="0" w:color="auto"/>
              <w:left w:val="single" w:sz="6" w:space="0" w:color="auto"/>
              <w:bottom w:val="single" w:sz="24" w:space="0" w:color="auto"/>
              <w:right w:val="single" w:sz="6" w:space="0" w:color="auto"/>
            </w:tcBorders>
            <w:vAlign w:val="center"/>
            <w:hideMark/>
          </w:tcPr>
          <w:p w14:paraId="41EB6474"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A. Crack/ Joint Seal</w:t>
            </w:r>
          </w:p>
        </w:tc>
        <w:tc>
          <w:tcPr>
            <w:tcW w:w="1221" w:type="dxa"/>
            <w:tcBorders>
              <w:top w:val="single" w:sz="6" w:space="0" w:color="auto"/>
              <w:left w:val="single" w:sz="6" w:space="0" w:color="auto"/>
              <w:bottom w:val="single" w:sz="24" w:space="0" w:color="auto"/>
              <w:right w:val="single" w:sz="6" w:space="0" w:color="auto"/>
            </w:tcBorders>
            <w:vAlign w:val="center"/>
            <w:hideMark/>
          </w:tcPr>
          <w:p w14:paraId="7E798F4D"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B. Asphalt Rejuvenator</w:t>
            </w:r>
          </w:p>
        </w:tc>
        <w:tc>
          <w:tcPr>
            <w:tcW w:w="1318" w:type="dxa"/>
            <w:tcBorders>
              <w:top w:val="single" w:sz="6" w:space="0" w:color="auto"/>
              <w:left w:val="single" w:sz="6" w:space="0" w:color="auto"/>
              <w:bottom w:val="single" w:sz="24" w:space="0" w:color="auto"/>
              <w:right w:val="single" w:sz="6" w:space="0" w:color="auto"/>
            </w:tcBorders>
            <w:vAlign w:val="center"/>
            <w:hideMark/>
          </w:tcPr>
          <w:p w14:paraId="187B8306"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C. Aggregate Seals</w:t>
            </w:r>
          </w:p>
        </w:tc>
        <w:tc>
          <w:tcPr>
            <w:tcW w:w="1742" w:type="dxa"/>
            <w:tcBorders>
              <w:top w:val="single" w:sz="6" w:space="0" w:color="auto"/>
              <w:left w:val="single" w:sz="6" w:space="0" w:color="auto"/>
              <w:bottom w:val="single" w:sz="24" w:space="0" w:color="auto"/>
              <w:right w:val="single" w:sz="6" w:space="0" w:color="auto"/>
            </w:tcBorders>
            <w:vAlign w:val="center"/>
            <w:hideMark/>
          </w:tcPr>
          <w:p w14:paraId="555E2F02"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 xml:space="preserve">D. </w:t>
            </w:r>
            <w:r>
              <w:rPr>
                <w:rFonts w:ascii="Arial" w:hAnsi="Arial" w:cs="Arial"/>
                <w:b/>
                <w:bCs/>
                <w:color w:val="000000"/>
                <w:sz w:val="16"/>
                <w:szCs w:val="16"/>
              </w:rPr>
              <w:t>Asphalt</w:t>
            </w:r>
            <w:r w:rsidRPr="00945156">
              <w:rPr>
                <w:rFonts w:ascii="Arial" w:hAnsi="Arial" w:cs="Arial"/>
                <w:b/>
                <w:bCs/>
                <w:color w:val="000000"/>
                <w:sz w:val="16"/>
                <w:szCs w:val="16"/>
              </w:rPr>
              <w:t xml:space="preserve"> Overlay</w:t>
            </w:r>
            <w:r>
              <w:rPr>
                <w:rFonts w:ascii="Arial" w:hAnsi="Arial" w:cs="Arial"/>
                <w:b/>
                <w:bCs/>
                <w:color w:val="000000"/>
                <w:sz w:val="16"/>
                <w:szCs w:val="16"/>
              </w:rPr>
              <w:t>**</w:t>
            </w:r>
          </w:p>
        </w:tc>
        <w:tc>
          <w:tcPr>
            <w:tcW w:w="900" w:type="dxa"/>
            <w:tcBorders>
              <w:top w:val="single" w:sz="6" w:space="0" w:color="auto"/>
              <w:left w:val="single" w:sz="6" w:space="0" w:color="auto"/>
              <w:bottom w:val="single" w:sz="24" w:space="0" w:color="auto"/>
              <w:right w:val="single" w:sz="6" w:space="0" w:color="auto"/>
            </w:tcBorders>
            <w:vAlign w:val="center"/>
            <w:hideMark/>
          </w:tcPr>
          <w:p w14:paraId="193E318D"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E. PCC Overlay</w:t>
            </w:r>
          </w:p>
        </w:tc>
        <w:tc>
          <w:tcPr>
            <w:tcW w:w="900" w:type="dxa"/>
            <w:tcBorders>
              <w:top w:val="single" w:sz="6" w:space="0" w:color="auto"/>
              <w:left w:val="single" w:sz="6" w:space="0" w:color="auto"/>
              <w:bottom w:val="single" w:sz="24" w:space="0" w:color="auto"/>
              <w:right w:val="single" w:sz="6" w:space="0" w:color="auto"/>
            </w:tcBorders>
            <w:vAlign w:val="center"/>
            <w:hideMark/>
          </w:tcPr>
          <w:p w14:paraId="01FFAF31" w14:textId="77777777" w:rsidR="008D7723" w:rsidRPr="00945156" w:rsidRDefault="008D7723" w:rsidP="008D7723">
            <w:pPr>
              <w:jc w:val="center"/>
              <w:rPr>
                <w:rFonts w:ascii="Arial" w:hAnsi="Arial" w:cs="Arial"/>
                <w:b/>
                <w:bCs/>
                <w:color w:val="000000"/>
                <w:sz w:val="16"/>
                <w:szCs w:val="16"/>
              </w:rPr>
            </w:pPr>
            <w:r w:rsidRPr="00945156">
              <w:rPr>
                <w:rFonts w:ascii="Arial" w:hAnsi="Arial" w:cs="Arial"/>
                <w:b/>
                <w:bCs/>
                <w:color w:val="000000"/>
                <w:sz w:val="16"/>
                <w:szCs w:val="16"/>
              </w:rPr>
              <w:t xml:space="preserve">F. </w:t>
            </w:r>
            <w:r>
              <w:rPr>
                <w:rFonts w:ascii="Arial" w:hAnsi="Arial" w:cs="Arial"/>
                <w:b/>
                <w:bCs/>
                <w:color w:val="000000"/>
                <w:sz w:val="16"/>
                <w:szCs w:val="16"/>
              </w:rPr>
              <w:t>Spot Repair</w:t>
            </w:r>
          </w:p>
        </w:tc>
        <w:tc>
          <w:tcPr>
            <w:tcW w:w="1080" w:type="dxa"/>
            <w:tcBorders>
              <w:top w:val="single" w:sz="6" w:space="0" w:color="auto"/>
              <w:left w:val="single" w:sz="6" w:space="0" w:color="auto"/>
              <w:bottom w:val="single" w:sz="24" w:space="0" w:color="auto"/>
              <w:right w:val="single" w:sz="6" w:space="0" w:color="auto"/>
            </w:tcBorders>
            <w:vAlign w:val="center"/>
            <w:hideMark/>
          </w:tcPr>
          <w:p w14:paraId="48F08A6C" w14:textId="77777777" w:rsidR="008D7723" w:rsidRPr="00945156" w:rsidRDefault="008D7723" w:rsidP="008D7723">
            <w:pPr>
              <w:jc w:val="center"/>
              <w:rPr>
                <w:rFonts w:ascii="Arial" w:hAnsi="Arial" w:cs="Arial"/>
                <w:b/>
                <w:bCs/>
                <w:color w:val="000000"/>
                <w:sz w:val="16"/>
                <w:szCs w:val="16"/>
              </w:rPr>
            </w:pPr>
            <w:r>
              <w:rPr>
                <w:rFonts w:ascii="Arial" w:hAnsi="Arial" w:cs="Arial"/>
                <w:b/>
                <w:bCs/>
                <w:color w:val="000000"/>
                <w:sz w:val="16"/>
                <w:szCs w:val="16"/>
              </w:rPr>
              <w:t>G</w:t>
            </w:r>
            <w:r w:rsidRPr="00945156">
              <w:rPr>
                <w:rFonts w:ascii="Arial" w:hAnsi="Arial" w:cs="Arial"/>
                <w:b/>
                <w:bCs/>
                <w:color w:val="000000"/>
                <w:sz w:val="16"/>
                <w:szCs w:val="16"/>
              </w:rPr>
              <w:t xml:space="preserve">. </w:t>
            </w:r>
            <w:r>
              <w:rPr>
                <w:rFonts w:ascii="Arial" w:hAnsi="Arial" w:cs="Arial"/>
                <w:b/>
                <w:bCs/>
                <w:color w:val="000000"/>
                <w:sz w:val="16"/>
                <w:szCs w:val="16"/>
              </w:rPr>
              <w:t>Surface Texturizing</w:t>
            </w:r>
          </w:p>
        </w:tc>
        <w:tc>
          <w:tcPr>
            <w:tcW w:w="1080" w:type="dxa"/>
            <w:tcBorders>
              <w:top w:val="single" w:sz="6" w:space="0" w:color="auto"/>
              <w:left w:val="single" w:sz="6" w:space="0" w:color="auto"/>
              <w:bottom w:val="single" w:sz="24" w:space="0" w:color="auto"/>
              <w:right w:val="single" w:sz="6" w:space="0" w:color="auto"/>
            </w:tcBorders>
            <w:vAlign w:val="center"/>
            <w:hideMark/>
          </w:tcPr>
          <w:p w14:paraId="4EFB1DBD" w14:textId="77777777" w:rsidR="008D7723" w:rsidRPr="00945156" w:rsidRDefault="008D7723" w:rsidP="008D7723">
            <w:pPr>
              <w:jc w:val="center"/>
              <w:rPr>
                <w:rFonts w:ascii="Arial" w:hAnsi="Arial" w:cs="Arial"/>
                <w:b/>
                <w:bCs/>
                <w:color w:val="000000"/>
                <w:sz w:val="16"/>
                <w:szCs w:val="16"/>
              </w:rPr>
            </w:pPr>
            <w:r>
              <w:rPr>
                <w:rFonts w:ascii="Arial" w:hAnsi="Arial" w:cs="Arial"/>
                <w:b/>
                <w:bCs/>
                <w:color w:val="000000"/>
                <w:sz w:val="16"/>
                <w:szCs w:val="16"/>
              </w:rPr>
              <w:t>H</w:t>
            </w:r>
            <w:r w:rsidRPr="00945156">
              <w:rPr>
                <w:rFonts w:ascii="Arial" w:hAnsi="Arial" w:cs="Arial"/>
                <w:b/>
                <w:bCs/>
                <w:color w:val="000000"/>
                <w:sz w:val="16"/>
                <w:szCs w:val="16"/>
              </w:rPr>
              <w:t>. Major Rehab</w:t>
            </w:r>
            <w:r>
              <w:rPr>
                <w:rFonts w:ascii="Arial" w:hAnsi="Arial" w:cs="Arial"/>
                <w:b/>
                <w:bCs/>
                <w:color w:val="000000"/>
                <w:sz w:val="16"/>
                <w:szCs w:val="16"/>
              </w:rPr>
              <w:t>**</w:t>
            </w:r>
          </w:p>
        </w:tc>
        <w:tc>
          <w:tcPr>
            <w:tcW w:w="1031" w:type="dxa"/>
            <w:tcBorders>
              <w:top w:val="single" w:sz="6" w:space="0" w:color="auto"/>
              <w:left w:val="single" w:sz="6" w:space="0" w:color="auto"/>
              <w:bottom w:val="single" w:sz="24" w:space="0" w:color="auto"/>
              <w:right w:val="single" w:sz="24" w:space="0" w:color="auto"/>
            </w:tcBorders>
            <w:vAlign w:val="center"/>
            <w:hideMark/>
          </w:tcPr>
          <w:p w14:paraId="12B0B79A" w14:textId="77777777" w:rsidR="008D7723" w:rsidRPr="00945156" w:rsidRDefault="008D7723" w:rsidP="008D7723">
            <w:pPr>
              <w:jc w:val="center"/>
              <w:rPr>
                <w:rFonts w:ascii="Arial" w:hAnsi="Arial" w:cs="Arial"/>
                <w:b/>
                <w:bCs/>
                <w:color w:val="000000"/>
                <w:sz w:val="16"/>
                <w:szCs w:val="16"/>
              </w:rPr>
            </w:pPr>
            <w:r>
              <w:rPr>
                <w:rFonts w:ascii="Arial" w:hAnsi="Arial" w:cs="Arial"/>
                <w:b/>
                <w:bCs/>
                <w:color w:val="000000"/>
                <w:sz w:val="16"/>
                <w:szCs w:val="16"/>
              </w:rPr>
              <w:t>I</w:t>
            </w:r>
            <w:r w:rsidRPr="00945156">
              <w:rPr>
                <w:rFonts w:ascii="Arial" w:hAnsi="Arial" w:cs="Arial"/>
                <w:b/>
                <w:bCs/>
                <w:color w:val="000000"/>
                <w:sz w:val="16"/>
                <w:szCs w:val="16"/>
              </w:rPr>
              <w:t>. Recon</w:t>
            </w:r>
            <w:r>
              <w:rPr>
                <w:rFonts w:ascii="Arial" w:hAnsi="Arial" w:cs="Arial"/>
                <w:b/>
                <w:bCs/>
                <w:color w:val="000000"/>
                <w:sz w:val="16"/>
                <w:szCs w:val="16"/>
              </w:rPr>
              <w:t>-</w:t>
            </w:r>
            <w:r w:rsidRPr="00945156">
              <w:rPr>
                <w:rFonts w:ascii="Arial" w:hAnsi="Arial" w:cs="Arial"/>
                <w:b/>
                <w:bCs/>
                <w:color w:val="000000"/>
                <w:sz w:val="16"/>
                <w:szCs w:val="16"/>
              </w:rPr>
              <w:t>struction</w:t>
            </w:r>
          </w:p>
        </w:tc>
      </w:tr>
      <w:tr w:rsidR="008D7723" w:rsidRPr="00945156" w14:paraId="01C1AC6C" w14:textId="77777777" w:rsidTr="008D7723">
        <w:trPr>
          <w:trHeight w:val="195"/>
        </w:trPr>
        <w:tc>
          <w:tcPr>
            <w:tcW w:w="624" w:type="dxa"/>
            <w:vMerge w:val="restart"/>
            <w:tcBorders>
              <w:top w:val="single" w:sz="24" w:space="0" w:color="auto"/>
              <w:left w:val="single" w:sz="24" w:space="0" w:color="auto"/>
              <w:bottom w:val="single" w:sz="6" w:space="0" w:color="auto"/>
              <w:right w:val="single" w:sz="6" w:space="0" w:color="auto"/>
            </w:tcBorders>
            <w:noWrap/>
            <w:vAlign w:val="center"/>
            <w:hideMark/>
          </w:tcPr>
          <w:p w14:paraId="72C6234F" w14:textId="77777777" w:rsidR="008D7723" w:rsidRDefault="008D7723" w:rsidP="008D7723">
            <w:pPr>
              <w:jc w:val="center"/>
              <w:rPr>
                <w:rFonts w:ascii="Arial" w:hAnsi="Arial" w:cs="Arial"/>
                <w:color w:val="000000"/>
                <w:sz w:val="14"/>
                <w:szCs w:val="14"/>
              </w:rPr>
            </w:pPr>
            <w:r>
              <w:rPr>
                <w:rFonts w:ascii="Arial" w:hAnsi="Arial" w:cs="Arial"/>
                <w:color w:val="000000"/>
                <w:sz w:val="14"/>
                <w:szCs w:val="14"/>
              </w:rPr>
              <w:t>≥25</w:t>
            </w:r>
          </w:p>
          <w:p w14:paraId="36458CC7" w14:textId="77777777" w:rsidR="008D7723" w:rsidRPr="00945156" w:rsidRDefault="008D7723" w:rsidP="008D7723">
            <w:pPr>
              <w:jc w:val="center"/>
              <w:rPr>
                <w:rFonts w:ascii="Arial" w:hAnsi="Arial" w:cs="Arial"/>
                <w:color w:val="000000"/>
                <w:sz w:val="14"/>
                <w:szCs w:val="14"/>
              </w:rPr>
            </w:pPr>
          </w:p>
        </w:tc>
        <w:tc>
          <w:tcPr>
            <w:tcW w:w="606" w:type="dxa"/>
            <w:vMerge w:val="restart"/>
            <w:tcBorders>
              <w:top w:val="single" w:sz="24" w:space="0" w:color="auto"/>
              <w:left w:val="single" w:sz="6" w:space="0" w:color="auto"/>
              <w:bottom w:val="single" w:sz="6" w:space="0" w:color="auto"/>
              <w:right w:val="single" w:sz="6" w:space="0" w:color="auto"/>
            </w:tcBorders>
            <w:vAlign w:val="center"/>
            <w:hideMark/>
          </w:tcPr>
          <w:p w14:paraId="25368A88"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≤10</w:t>
            </w:r>
          </w:p>
        </w:tc>
        <w:tc>
          <w:tcPr>
            <w:tcW w:w="714" w:type="dxa"/>
            <w:vMerge w:val="restart"/>
            <w:tcBorders>
              <w:top w:val="single" w:sz="24" w:space="0" w:color="auto"/>
              <w:left w:val="single" w:sz="6" w:space="0" w:color="auto"/>
              <w:bottom w:val="single" w:sz="6" w:space="0" w:color="auto"/>
              <w:right w:val="single" w:sz="6" w:space="0" w:color="auto"/>
            </w:tcBorders>
            <w:noWrap/>
            <w:vAlign w:val="center"/>
            <w:hideMark/>
          </w:tcPr>
          <w:p w14:paraId="386D4DE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24" w:space="0" w:color="auto"/>
              <w:left w:val="single" w:sz="6" w:space="0" w:color="auto"/>
              <w:bottom w:val="single" w:sz="6" w:space="0" w:color="auto"/>
              <w:right w:val="single" w:sz="6" w:space="0" w:color="auto"/>
            </w:tcBorders>
            <w:noWrap/>
            <w:vAlign w:val="center"/>
            <w:hideMark/>
          </w:tcPr>
          <w:p w14:paraId="5451C61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60287AC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BFA0C4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2B5517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24" w:space="0" w:color="auto"/>
              <w:left w:val="single" w:sz="6" w:space="0" w:color="auto"/>
              <w:bottom w:val="single" w:sz="6" w:space="0" w:color="auto"/>
              <w:right w:val="single" w:sz="6" w:space="0" w:color="auto"/>
            </w:tcBorders>
            <w:noWrap/>
            <w:vAlign w:val="center"/>
            <w:hideMark/>
          </w:tcPr>
          <w:p w14:paraId="5103F882"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 xml:space="preserve"> D-4</w:t>
            </w: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206173BD"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5A1CB5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3B028C7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noWrap/>
            <w:vAlign w:val="center"/>
            <w:hideMark/>
          </w:tcPr>
          <w:p w14:paraId="6BD486FA"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1031" w:type="dxa"/>
            <w:tcBorders>
              <w:top w:val="single" w:sz="24" w:space="0" w:color="auto"/>
              <w:left w:val="single" w:sz="6" w:space="0" w:color="auto"/>
              <w:bottom w:val="single" w:sz="6" w:space="0" w:color="auto"/>
              <w:right w:val="single" w:sz="24" w:space="0" w:color="auto"/>
            </w:tcBorders>
            <w:noWrap/>
            <w:vAlign w:val="center"/>
            <w:hideMark/>
          </w:tcPr>
          <w:p w14:paraId="534B106B"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p>
        </w:tc>
      </w:tr>
      <w:tr w:rsidR="008D7723" w:rsidRPr="00945156" w14:paraId="73D4ECB0"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E004CA6"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C897CF5"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718BAF1F"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16CA3CA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6785F7B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97DC70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94A432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00FFB5B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6CEB194D"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236876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0F6278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0E584CF4"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1031" w:type="dxa"/>
            <w:tcBorders>
              <w:top w:val="single" w:sz="6" w:space="0" w:color="auto"/>
              <w:left w:val="single" w:sz="6" w:space="0" w:color="auto"/>
              <w:bottom w:val="single" w:sz="6" w:space="0" w:color="auto"/>
              <w:right w:val="single" w:sz="24" w:space="0" w:color="auto"/>
            </w:tcBorders>
            <w:noWrap/>
            <w:vAlign w:val="center"/>
            <w:hideMark/>
          </w:tcPr>
          <w:p w14:paraId="6C8CE25D"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0E070587"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4A891326"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7B07259"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171F7622"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2D03B9D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2FE200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A1EECE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F74382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689A60B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057E448D"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8187B6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E44439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5BE1D1C5"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1031" w:type="dxa"/>
            <w:tcBorders>
              <w:top w:val="single" w:sz="6" w:space="0" w:color="auto"/>
              <w:left w:val="single" w:sz="6" w:space="0" w:color="auto"/>
              <w:bottom w:val="single" w:sz="12" w:space="0" w:color="auto"/>
              <w:right w:val="single" w:sz="24" w:space="0" w:color="auto"/>
            </w:tcBorders>
            <w:noWrap/>
            <w:vAlign w:val="center"/>
            <w:hideMark/>
          </w:tcPr>
          <w:p w14:paraId="01394B36"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34DEBBC1"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3E6BB448"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44F001E3" w14:textId="77777777" w:rsidR="008D7723" w:rsidRPr="00945156" w:rsidRDefault="008D7723" w:rsidP="008D7723">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46854DD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0306F11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3C5ADE1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507B63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3E5FE8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79622A66"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D-4</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46019572"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5CF232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683BEB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7737895A"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1031" w:type="dxa"/>
            <w:tcBorders>
              <w:top w:val="single" w:sz="12" w:space="0" w:color="auto"/>
              <w:left w:val="single" w:sz="6" w:space="0" w:color="auto"/>
              <w:bottom w:val="single" w:sz="6" w:space="0" w:color="auto"/>
              <w:right w:val="single" w:sz="24" w:space="0" w:color="auto"/>
            </w:tcBorders>
            <w:noWrap/>
            <w:vAlign w:val="center"/>
            <w:hideMark/>
          </w:tcPr>
          <w:p w14:paraId="289D47F8"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708890AD"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5FD5999A"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20729585"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6DECA5C" w14:textId="77777777" w:rsidR="008D7723" w:rsidRPr="00945156" w:rsidRDefault="008D7723" w:rsidP="008D7723">
            <w:pPr>
              <w:jc w:val="cente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0C060A5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5EC8243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3F22460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0E5FBB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31F5C47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C7FCDAC"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E02064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EB837A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7C3CA5CF"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1031" w:type="dxa"/>
            <w:tcBorders>
              <w:top w:val="single" w:sz="6" w:space="0" w:color="auto"/>
              <w:left w:val="single" w:sz="6" w:space="0" w:color="auto"/>
              <w:bottom w:val="single" w:sz="6" w:space="0" w:color="auto"/>
              <w:right w:val="single" w:sz="24" w:space="0" w:color="auto"/>
            </w:tcBorders>
            <w:noWrap/>
            <w:vAlign w:val="center"/>
            <w:hideMark/>
          </w:tcPr>
          <w:p w14:paraId="3DB1FECB"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19CD91BE"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4223425F"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5DB6045C"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2AD23310" w14:textId="77777777" w:rsidR="008D7723" w:rsidRPr="00945156" w:rsidRDefault="008D7723" w:rsidP="008D7723">
            <w:pPr>
              <w:jc w:val="cente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5CFDA70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09FDBCE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645432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A2D5F4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09ADA85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661F3717"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56915D5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1B7F48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292DCCC5"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sidRPr="00945156" w:rsidDel="00112B8C">
              <w:rPr>
                <w:rFonts w:ascii="Arial" w:hAnsi="Arial" w:cs="Arial"/>
                <w:color w:val="000000"/>
                <w:sz w:val="14"/>
                <w:szCs w:val="14"/>
              </w:rPr>
              <w:t xml:space="preserve"> </w:t>
            </w:r>
          </w:p>
        </w:tc>
        <w:tc>
          <w:tcPr>
            <w:tcW w:w="1031" w:type="dxa"/>
            <w:tcBorders>
              <w:top w:val="single" w:sz="6" w:space="0" w:color="auto"/>
              <w:left w:val="single" w:sz="6" w:space="0" w:color="auto"/>
              <w:bottom w:val="single" w:sz="12" w:space="0" w:color="auto"/>
              <w:right w:val="single" w:sz="24" w:space="0" w:color="auto"/>
            </w:tcBorders>
            <w:noWrap/>
            <w:vAlign w:val="center"/>
            <w:hideMark/>
          </w:tcPr>
          <w:p w14:paraId="5D156B98"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258347A5"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E5CF299" w14:textId="77777777" w:rsidR="008D7723" w:rsidRPr="00945156" w:rsidRDefault="008D7723" w:rsidP="008D7723">
            <w:pPr>
              <w:rPr>
                <w:rFonts w:ascii="Arial" w:hAnsi="Arial" w:cs="Arial"/>
                <w:color w:val="000000"/>
                <w:sz w:val="14"/>
                <w:szCs w:val="14"/>
              </w:rPr>
            </w:pPr>
          </w:p>
        </w:tc>
        <w:tc>
          <w:tcPr>
            <w:tcW w:w="606" w:type="dxa"/>
            <w:vMerge w:val="restart"/>
            <w:tcBorders>
              <w:top w:val="single" w:sz="6" w:space="0" w:color="auto"/>
              <w:left w:val="single" w:sz="6" w:space="0" w:color="auto"/>
              <w:bottom w:val="single" w:sz="6" w:space="0" w:color="auto"/>
              <w:right w:val="single" w:sz="6" w:space="0" w:color="auto"/>
            </w:tcBorders>
            <w:vAlign w:val="center"/>
            <w:hideMark/>
          </w:tcPr>
          <w:p w14:paraId="4ED3C9D9"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&gt;10</w:t>
            </w: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2DF363D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6D494EE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30649EB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F292E7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9E770B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0EDC7AF2"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D-4</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3B65548E"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39699FB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421A21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395478C4"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Pr>
                <w:rFonts w:ascii="Arial" w:hAnsi="Arial" w:cs="Arial"/>
                <w:color w:val="000000"/>
                <w:sz w:val="14"/>
                <w:szCs w:val="14"/>
              </w:rPr>
              <w:t>, H-2, H-3</w:t>
            </w:r>
            <w:r w:rsidRPr="00945156" w:rsidDel="00112B8C">
              <w:rPr>
                <w:rFonts w:ascii="Arial" w:hAnsi="Arial" w:cs="Arial"/>
                <w:color w:val="000000"/>
                <w:sz w:val="14"/>
                <w:szCs w:val="14"/>
              </w:rPr>
              <w:t xml:space="preserve"> </w:t>
            </w:r>
          </w:p>
        </w:tc>
        <w:tc>
          <w:tcPr>
            <w:tcW w:w="1031" w:type="dxa"/>
            <w:tcBorders>
              <w:top w:val="single" w:sz="12" w:space="0" w:color="auto"/>
              <w:left w:val="single" w:sz="6" w:space="0" w:color="auto"/>
              <w:bottom w:val="single" w:sz="6" w:space="0" w:color="auto"/>
              <w:right w:val="single" w:sz="24" w:space="0" w:color="auto"/>
            </w:tcBorders>
            <w:noWrap/>
            <w:vAlign w:val="center"/>
            <w:hideMark/>
          </w:tcPr>
          <w:p w14:paraId="78A9CF51"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5D4E0216"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38604A1A"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1079405"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7AC67614" w14:textId="77777777" w:rsidR="008D7723" w:rsidRPr="00945156" w:rsidRDefault="008D7723" w:rsidP="008D7723">
            <w:pPr>
              <w:jc w:val="cente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2AACDD8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44BBF62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9DE71F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5C79F2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36313D1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1A023FE1"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359530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4D25D5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5550A0F"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Pr>
                <w:rFonts w:ascii="Arial" w:hAnsi="Arial" w:cs="Arial"/>
                <w:color w:val="000000"/>
                <w:sz w:val="14"/>
                <w:szCs w:val="14"/>
              </w:rPr>
              <w:t>, H-2, H-3</w:t>
            </w:r>
            <w:r w:rsidRPr="00945156" w:rsidDel="00112B8C">
              <w:rPr>
                <w:rFonts w:ascii="Arial" w:hAnsi="Arial" w:cs="Arial"/>
                <w:color w:val="000000"/>
                <w:sz w:val="14"/>
                <w:szCs w:val="14"/>
              </w:rPr>
              <w:t xml:space="preserve"> </w:t>
            </w:r>
          </w:p>
        </w:tc>
        <w:tc>
          <w:tcPr>
            <w:tcW w:w="1031" w:type="dxa"/>
            <w:tcBorders>
              <w:top w:val="single" w:sz="6" w:space="0" w:color="auto"/>
              <w:left w:val="single" w:sz="6" w:space="0" w:color="auto"/>
              <w:bottom w:val="single" w:sz="6" w:space="0" w:color="auto"/>
              <w:right w:val="single" w:sz="24" w:space="0" w:color="auto"/>
            </w:tcBorders>
            <w:noWrap/>
            <w:vAlign w:val="center"/>
            <w:hideMark/>
          </w:tcPr>
          <w:p w14:paraId="6A6FC7B9"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6BF073F7"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14B2E5D4"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2E27B5B5"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4472A35D" w14:textId="77777777" w:rsidR="008D7723" w:rsidRPr="00945156" w:rsidRDefault="008D7723" w:rsidP="008D7723">
            <w:pPr>
              <w:jc w:val="cente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7CF212F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6DCF0C1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3B1081C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34FE05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2A5E987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0A0CCB4F"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7E03C4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075AB4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1D381504"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Pr>
                <w:rFonts w:ascii="Arial" w:hAnsi="Arial" w:cs="Arial"/>
                <w:color w:val="000000"/>
                <w:sz w:val="14"/>
                <w:szCs w:val="14"/>
              </w:rPr>
              <w:t>, H-2, H-3</w:t>
            </w:r>
            <w:r w:rsidRPr="00945156" w:rsidDel="00112B8C">
              <w:rPr>
                <w:rFonts w:ascii="Arial" w:hAnsi="Arial" w:cs="Arial"/>
                <w:color w:val="000000"/>
                <w:sz w:val="14"/>
                <w:szCs w:val="14"/>
              </w:rPr>
              <w:t xml:space="preserve"> </w:t>
            </w:r>
          </w:p>
        </w:tc>
        <w:tc>
          <w:tcPr>
            <w:tcW w:w="1031" w:type="dxa"/>
            <w:tcBorders>
              <w:top w:val="single" w:sz="6" w:space="0" w:color="auto"/>
              <w:left w:val="single" w:sz="6" w:space="0" w:color="auto"/>
              <w:bottom w:val="single" w:sz="12" w:space="0" w:color="auto"/>
              <w:right w:val="single" w:sz="24" w:space="0" w:color="auto"/>
            </w:tcBorders>
            <w:noWrap/>
            <w:vAlign w:val="center"/>
            <w:hideMark/>
          </w:tcPr>
          <w:p w14:paraId="0B8AEE9B"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40A3BB48"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29DCBC3"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7A9EA338" w14:textId="77777777" w:rsidR="008D7723" w:rsidRPr="00945156" w:rsidRDefault="008D7723" w:rsidP="008D7723">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32E8A21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219E475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50245E7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E484D4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6CA4F8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2A5AA020"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D-4</w:t>
            </w: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71BDC589"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85017C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3ACDC4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noWrap/>
            <w:vAlign w:val="center"/>
            <w:hideMark/>
          </w:tcPr>
          <w:p w14:paraId="298B3F00"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Pr>
                <w:rFonts w:ascii="Arial" w:hAnsi="Arial" w:cs="Arial"/>
                <w:color w:val="000000"/>
                <w:sz w:val="14"/>
                <w:szCs w:val="14"/>
              </w:rPr>
              <w:t>, H-2, H-3</w:t>
            </w:r>
            <w:r w:rsidRPr="00945156" w:rsidDel="00112B8C">
              <w:rPr>
                <w:rFonts w:ascii="Arial" w:hAnsi="Arial" w:cs="Arial"/>
                <w:color w:val="000000"/>
                <w:sz w:val="14"/>
                <w:szCs w:val="14"/>
              </w:rPr>
              <w:t xml:space="preserve"> </w:t>
            </w:r>
          </w:p>
        </w:tc>
        <w:tc>
          <w:tcPr>
            <w:tcW w:w="1031" w:type="dxa"/>
            <w:tcBorders>
              <w:top w:val="single" w:sz="12" w:space="0" w:color="auto"/>
              <w:left w:val="single" w:sz="6" w:space="0" w:color="auto"/>
              <w:bottom w:val="single" w:sz="6" w:space="0" w:color="auto"/>
              <w:right w:val="single" w:sz="24" w:space="0" w:color="auto"/>
            </w:tcBorders>
            <w:noWrap/>
            <w:vAlign w:val="center"/>
            <w:hideMark/>
          </w:tcPr>
          <w:p w14:paraId="5DFCA71C"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0CEFF64F"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64549863"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1C670900"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37D10238" w14:textId="77777777" w:rsidR="008D7723" w:rsidRPr="00945156" w:rsidRDefault="008D7723" w:rsidP="008D7723">
            <w:pPr>
              <w:jc w:val="cente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684EE12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5217C7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0B0205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FD59E4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21258FC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xml:space="preserve">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90A003D"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FB8056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61B4AAD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6B0BEE0C"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Pr>
                <w:rFonts w:ascii="Arial" w:hAnsi="Arial" w:cs="Arial"/>
                <w:color w:val="000000"/>
                <w:sz w:val="14"/>
                <w:szCs w:val="14"/>
              </w:rPr>
              <w:t>, H-2, H-3</w:t>
            </w:r>
            <w:r w:rsidRPr="00945156" w:rsidDel="00112B8C">
              <w:rPr>
                <w:rFonts w:ascii="Arial" w:hAnsi="Arial" w:cs="Arial"/>
                <w:color w:val="000000"/>
                <w:sz w:val="14"/>
                <w:szCs w:val="14"/>
              </w:rPr>
              <w:t xml:space="preserve"> </w:t>
            </w:r>
          </w:p>
        </w:tc>
        <w:tc>
          <w:tcPr>
            <w:tcW w:w="1031" w:type="dxa"/>
            <w:tcBorders>
              <w:top w:val="single" w:sz="6" w:space="0" w:color="auto"/>
              <w:left w:val="single" w:sz="6" w:space="0" w:color="auto"/>
              <w:bottom w:val="single" w:sz="6" w:space="0" w:color="auto"/>
              <w:right w:val="single" w:sz="24" w:space="0" w:color="auto"/>
            </w:tcBorders>
            <w:noWrap/>
            <w:vAlign w:val="center"/>
            <w:hideMark/>
          </w:tcPr>
          <w:p w14:paraId="43B835AD"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58BC7AFA" w14:textId="77777777" w:rsidTr="008D7723">
        <w:trPr>
          <w:trHeight w:val="195"/>
        </w:trPr>
        <w:tc>
          <w:tcPr>
            <w:tcW w:w="624" w:type="dxa"/>
            <w:vMerge/>
            <w:tcBorders>
              <w:top w:val="single" w:sz="6" w:space="0" w:color="auto"/>
              <w:left w:val="single" w:sz="24" w:space="0" w:color="auto"/>
              <w:bottom w:val="single" w:sz="24" w:space="0" w:color="auto"/>
              <w:right w:val="single" w:sz="6" w:space="0" w:color="auto"/>
            </w:tcBorders>
            <w:vAlign w:val="center"/>
            <w:hideMark/>
          </w:tcPr>
          <w:p w14:paraId="6CC8DA9C"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24" w:space="0" w:color="auto"/>
              <w:right w:val="single" w:sz="6" w:space="0" w:color="auto"/>
            </w:tcBorders>
            <w:vAlign w:val="center"/>
            <w:hideMark/>
          </w:tcPr>
          <w:p w14:paraId="70778F6D"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24" w:space="0" w:color="auto"/>
              <w:right w:val="single" w:sz="6" w:space="0" w:color="auto"/>
            </w:tcBorders>
            <w:vAlign w:val="center"/>
            <w:hideMark/>
          </w:tcPr>
          <w:p w14:paraId="35C63312" w14:textId="77777777" w:rsidR="008D7723" w:rsidRPr="00945156" w:rsidRDefault="008D7723" w:rsidP="008D7723">
            <w:pPr>
              <w:jc w:val="center"/>
              <w:rPr>
                <w:rFonts w:ascii="Arial" w:hAnsi="Arial" w:cs="Arial"/>
                <w:color w:val="000000"/>
                <w:sz w:val="14"/>
                <w:szCs w:val="14"/>
              </w:rPr>
            </w:pPr>
          </w:p>
        </w:tc>
        <w:tc>
          <w:tcPr>
            <w:tcW w:w="791" w:type="dxa"/>
            <w:tcBorders>
              <w:top w:val="single" w:sz="6" w:space="0" w:color="auto"/>
              <w:left w:val="single" w:sz="6" w:space="0" w:color="auto"/>
              <w:bottom w:val="single" w:sz="24" w:space="0" w:color="auto"/>
              <w:right w:val="single" w:sz="6" w:space="0" w:color="auto"/>
            </w:tcBorders>
            <w:noWrap/>
            <w:vAlign w:val="center"/>
            <w:hideMark/>
          </w:tcPr>
          <w:p w14:paraId="0FA217B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5874FA6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1AB75EB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7B8904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24" w:space="0" w:color="auto"/>
              <w:right w:val="single" w:sz="6" w:space="0" w:color="auto"/>
            </w:tcBorders>
            <w:noWrap/>
            <w:vAlign w:val="center"/>
            <w:hideMark/>
          </w:tcPr>
          <w:p w14:paraId="4E82F34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D-4</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10BC4A62"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E-1</w:t>
            </w:r>
          </w:p>
        </w:tc>
        <w:tc>
          <w:tcPr>
            <w:tcW w:w="90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227E45A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6143E0E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noWrap/>
            <w:vAlign w:val="center"/>
            <w:hideMark/>
          </w:tcPr>
          <w:p w14:paraId="0417DCB5"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H</w:t>
            </w:r>
            <w:r w:rsidRPr="00945156">
              <w:rPr>
                <w:rFonts w:ascii="Arial" w:hAnsi="Arial" w:cs="Arial"/>
                <w:color w:val="000000"/>
                <w:sz w:val="14"/>
                <w:szCs w:val="14"/>
              </w:rPr>
              <w:t>-1</w:t>
            </w:r>
            <w:r>
              <w:rPr>
                <w:rFonts w:ascii="Arial" w:hAnsi="Arial" w:cs="Arial"/>
                <w:color w:val="000000"/>
                <w:sz w:val="14"/>
                <w:szCs w:val="14"/>
              </w:rPr>
              <w:t>, H-2, H-3</w:t>
            </w:r>
            <w:r w:rsidRPr="00945156" w:rsidDel="00112B8C">
              <w:rPr>
                <w:rFonts w:ascii="Arial" w:hAnsi="Arial" w:cs="Arial"/>
                <w:color w:val="000000"/>
                <w:sz w:val="14"/>
                <w:szCs w:val="14"/>
              </w:rPr>
              <w:t xml:space="preserve"> </w:t>
            </w:r>
          </w:p>
        </w:tc>
        <w:tc>
          <w:tcPr>
            <w:tcW w:w="1031" w:type="dxa"/>
            <w:tcBorders>
              <w:top w:val="single" w:sz="6" w:space="0" w:color="auto"/>
              <w:left w:val="single" w:sz="6" w:space="0" w:color="auto"/>
              <w:bottom w:val="single" w:sz="24" w:space="0" w:color="auto"/>
              <w:right w:val="single" w:sz="24" w:space="0" w:color="auto"/>
            </w:tcBorders>
            <w:noWrap/>
            <w:vAlign w:val="center"/>
            <w:hideMark/>
          </w:tcPr>
          <w:p w14:paraId="227AB69D"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I</w:t>
            </w:r>
            <w:r w:rsidRPr="00945156">
              <w:rPr>
                <w:rFonts w:ascii="Arial" w:hAnsi="Arial" w:cs="Arial"/>
                <w:color w:val="000000"/>
                <w:sz w:val="14"/>
                <w:szCs w:val="14"/>
              </w:rPr>
              <w:t xml:space="preserve">-1, </w:t>
            </w:r>
            <w:r>
              <w:rPr>
                <w:rFonts w:ascii="Arial" w:hAnsi="Arial" w:cs="Arial"/>
                <w:color w:val="000000"/>
                <w:sz w:val="14"/>
                <w:szCs w:val="14"/>
              </w:rPr>
              <w:t>1</w:t>
            </w:r>
            <w:r w:rsidRPr="00945156">
              <w:rPr>
                <w:rFonts w:ascii="Arial" w:hAnsi="Arial" w:cs="Arial"/>
                <w:color w:val="000000"/>
                <w:sz w:val="14"/>
                <w:szCs w:val="14"/>
              </w:rPr>
              <w:t>-2</w:t>
            </w:r>
            <w:r w:rsidRPr="00945156" w:rsidDel="008A0904">
              <w:rPr>
                <w:rFonts w:ascii="Arial" w:hAnsi="Arial" w:cs="Arial"/>
                <w:color w:val="000000"/>
                <w:sz w:val="14"/>
                <w:szCs w:val="14"/>
              </w:rPr>
              <w:t xml:space="preserve"> </w:t>
            </w:r>
          </w:p>
        </w:tc>
      </w:tr>
      <w:tr w:rsidR="008D7723" w:rsidRPr="00945156" w14:paraId="02A8EDFA" w14:textId="77777777" w:rsidTr="008D7723">
        <w:trPr>
          <w:trHeight w:val="180"/>
        </w:trPr>
        <w:tc>
          <w:tcPr>
            <w:tcW w:w="624" w:type="dxa"/>
            <w:vMerge w:val="restart"/>
            <w:tcBorders>
              <w:top w:val="single" w:sz="24" w:space="0" w:color="auto"/>
              <w:left w:val="single" w:sz="24" w:space="0" w:color="auto"/>
              <w:bottom w:val="single" w:sz="6" w:space="0" w:color="auto"/>
              <w:right w:val="single" w:sz="6" w:space="0" w:color="auto"/>
            </w:tcBorders>
            <w:noWrap/>
            <w:vAlign w:val="center"/>
            <w:hideMark/>
          </w:tcPr>
          <w:p w14:paraId="51C6AFC5" w14:textId="77777777" w:rsidR="008D7723" w:rsidRDefault="008D7723" w:rsidP="008D7723">
            <w:pPr>
              <w:jc w:val="center"/>
              <w:rPr>
                <w:rFonts w:ascii="Arial" w:hAnsi="Arial" w:cs="Arial"/>
                <w:color w:val="000000"/>
                <w:sz w:val="14"/>
                <w:szCs w:val="14"/>
              </w:rPr>
            </w:pPr>
            <w:r>
              <w:rPr>
                <w:rFonts w:ascii="Arial" w:hAnsi="Arial" w:cs="Arial"/>
                <w:color w:val="000000"/>
                <w:sz w:val="14"/>
                <w:szCs w:val="14"/>
              </w:rPr>
              <w:t>≥5 to &lt;25</w:t>
            </w:r>
          </w:p>
          <w:p w14:paraId="4E52086F" w14:textId="77777777" w:rsidR="008D7723" w:rsidRPr="00945156" w:rsidRDefault="008D7723" w:rsidP="008D7723">
            <w:pPr>
              <w:jc w:val="center"/>
              <w:rPr>
                <w:rFonts w:ascii="Arial" w:hAnsi="Arial" w:cs="Arial"/>
                <w:color w:val="000000"/>
                <w:sz w:val="14"/>
                <w:szCs w:val="14"/>
              </w:rPr>
            </w:pPr>
          </w:p>
        </w:tc>
        <w:tc>
          <w:tcPr>
            <w:tcW w:w="606" w:type="dxa"/>
            <w:vMerge w:val="restart"/>
            <w:tcBorders>
              <w:top w:val="single" w:sz="24" w:space="0" w:color="auto"/>
              <w:left w:val="single" w:sz="6" w:space="0" w:color="auto"/>
              <w:bottom w:val="single" w:sz="6" w:space="0" w:color="auto"/>
              <w:right w:val="single" w:sz="6" w:space="0" w:color="auto"/>
            </w:tcBorders>
            <w:vAlign w:val="center"/>
            <w:hideMark/>
          </w:tcPr>
          <w:p w14:paraId="3C1A6B6F"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≤10</w:t>
            </w:r>
          </w:p>
        </w:tc>
        <w:tc>
          <w:tcPr>
            <w:tcW w:w="714" w:type="dxa"/>
            <w:vMerge w:val="restart"/>
            <w:tcBorders>
              <w:top w:val="single" w:sz="24" w:space="0" w:color="auto"/>
              <w:left w:val="single" w:sz="6" w:space="0" w:color="auto"/>
              <w:bottom w:val="single" w:sz="6" w:space="0" w:color="auto"/>
              <w:right w:val="single" w:sz="6" w:space="0" w:color="auto"/>
            </w:tcBorders>
            <w:noWrap/>
            <w:vAlign w:val="center"/>
            <w:hideMark/>
          </w:tcPr>
          <w:p w14:paraId="5C98446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24" w:space="0" w:color="auto"/>
              <w:left w:val="single" w:sz="6" w:space="0" w:color="auto"/>
              <w:bottom w:val="single" w:sz="6" w:space="0" w:color="auto"/>
              <w:right w:val="single" w:sz="6" w:space="0" w:color="auto"/>
            </w:tcBorders>
            <w:noWrap/>
            <w:vAlign w:val="center"/>
            <w:hideMark/>
          </w:tcPr>
          <w:p w14:paraId="5884533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24" w:space="0" w:color="auto"/>
              <w:left w:val="single" w:sz="6" w:space="0" w:color="auto"/>
              <w:bottom w:val="single" w:sz="6" w:space="0" w:color="auto"/>
              <w:right w:val="single" w:sz="6" w:space="0" w:color="auto"/>
            </w:tcBorders>
            <w:shd w:val="clear" w:color="000000" w:fill="D8D8D8"/>
            <w:vAlign w:val="center"/>
            <w:hideMark/>
          </w:tcPr>
          <w:p w14:paraId="677A641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D5E95C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0A4E1D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24" w:space="0" w:color="auto"/>
              <w:left w:val="single" w:sz="6" w:space="0" w:color="auto"/>
              <w:bottom w:val="single" w:sz="6" w:space="0" w:color="auto"/>
              <w:right w:val="single" w:sz="6" w:space="0" w:color="auto"/>
            </w:tcBorders>
            <w:noWrap/>
            <w:vAlign w:val="center"/>
            <w:hideMark/>
          </w:tcPr>
          <w:p w14:paraId="2077BF5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 D-4</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2CF3E065" w14:textId="77777777" w:rsidR="008D7723" w:rsidRPr="00945156" w:rsidRDefault="008D7723" w:rsidP="008D7723">
            <w:pPr>
              <w:jc w:val="center"/>
              <w:rPr>
                <w:rFonts w:ascii="Arial" w:hAnsi="Arial" w:cs="Arial"/>
                <w:color w:val="000000"/>
                <w:sz w:val="14"/>
                <w:szCs w:val="14"/>
              </w:rPr>
            </w:pP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22F4453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1010A74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9EEF7A8" w14:textId="77777777" w:rsidR="008D7723" w:rsidRPr="00945156" w:rsidRDefault="008D7723" w:rsidP="008D7723">
            <w:pPr>
              <w:jc w:val="center"/>
              <w:rPr>
                <w:rFonts w:ascii="Arial" w:hAnsi="Arial" w:cs="Arial"/>
                <w:color w:val="000000"/>
                <w:sz w:val="14"/>
                <w:szCs w:val="14"/>
              </w:rPr>
            </w:pPr>
          </w:p>
        </w:tc>
        <w:tc>
          <w:tcPr>
            <w:tcW w:w="1031"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F9FDB3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15FC774A"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5BE3702"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D51217F"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7C7EC07A"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25AB032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2CA3D7B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49843D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06EF18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3B33EBB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51E7472A"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0A2009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51FD244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7668572" w14:textId="77777777" w:rsidR="008D7723" w:rsidRPr="00945156" w:rsidRDefault="008D7723" w:rsidP="008D7723">
            <w:pPr>
              <w:jc w:val="center"/>
              <w:rPr>
                <w:rFonts w:ascii="Arial" w:hAnsi="Arial" w:cs="Arial"/>
                <w:color w:val="000000"/>
                <w:sz w:val="14"/>
                <w:szCs w:val="14"/>
              </w:rPr>
            </w:pPr>
          </w:p>
        </w:tc>
        <w:tc>
          <w:tcPr>
            <w:tcW w:w="1031"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31A60B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42AD0456"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11791792"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D89ECAA"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5F49318A"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15FE57A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5976217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3EEFD7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27DB3C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4B66264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28D6E428"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56FBAA1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0FBA4E1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79519DBE" w14:textId="77777777" w:rsidR="008D7723" w:rsidRPr="00945156" w:rsidRDefault="008D7723" w:rsidP="008D7723">
            <w:pPr>
              <w:jc w:val="center"/>
              <w:rPr>
                <w:rFonts w:ascii="Arial" w:hAnsi="Arial" w:cs="Arial"/>
                <w:color w:val="000000"/>
                <w:sz w:val="14"/>
                <w:szCs w:val="14"/>
              </w:rPr>
            </w:pPr>
          </w:p>
        </w:tc>
        <w:tc>
          <w:tcPr>
            <w:tcW w:w="1031"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4B1D6B5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41EC8CCF"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28C3582"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57ED5CAB" w14:textId="77777777" w:rsidR="008D7723" w:rsidRPr="00945156" w:rsidRDefault="008D7723" w:rsidP="008D7723">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4808FEE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1C282BF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4C2BEEE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C79395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19A5AA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7994CFD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 D-4</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CF78CFB" w14:textId="77777777" w:rsidR="008D7723" w:rsidRPr="00945156" w:rsidRDefault="008D7723" w:rsidP="008D7723">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1FE8537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ED71E1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DA9A5EF" w14:textId="77777777" w:rsidR="008D7723" w:rsidRPr="00945156" w:rsidRDefault="008D7723" w:rsidP="008D7723">
            <w:pPr>
              <w:jc w:val="center"/>
              <w:rPr>
                <w:rFonts w:ascii="Arial" w:hAnsi="Arial" w:cs="Arial"/>
                <w:color w:val="000000"/>
                <w:sz w:val="14"/>
                <w:szCs w:val="14"/>
              </w:rPr>
            </w:pPr>
          </w:p>
        </w:tc>
        <w:tc>
          <w:tcPr>
            <w:tcW w:w="1031"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04F6BE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3398EAD1"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AE2CB00"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599284C2"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4FBE46F"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2E776DF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36C3397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A80205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0654D2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694C7BF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63DC865"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B3D8D9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36E2EA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500911D" w14:textId="77777777" w:rsidR="008D7723" w:rsidRPr="00945156" w:rsidRDefault="008D7723" w:rsidP="008D7723">
            <w:pPr>
              <w:jc w:val="center"/>
              <w:rPr>
                <w:rFonts w:ascii="Arial" w:hAnsi="Arial" w:cs="Arial"/>
                <w:color w:val="000000"/>
                <w:sz w:val="14"/>
                <w:szCs w:val="14"/>
              </w:rPr>
            </w:pPr>
          </w:p>
        </w:tc>
        <w:tc>
          <w:tcPr>
            <w:tcW w:w="1031"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1CBD43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7137CD9A"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C752D9E"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663CA23"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3D4E5BFC"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022BA00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5EA6D8F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1DEBDA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91E571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3BFF88E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55351D87"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71BAA2A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1FFFB08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2F22D679" w14:textId="77777777" w:rsidR="008D7723" w:rsidRPr="00945156" w:rsidRDefault="008D7723" w:rsidP="008D7723">
            <w:pPr>
              <w:jc w:val="center"/>
              <w:rPr>
                <w:rFonts w:ascii="Arial" w:hAnsi="Arial" w:cs="Arial"/>
                <w:color w:val="000000"/>
                <w:sz w:val="14"/>
                <w:szCs w:val="14"/>
              </w:rPr>
            </w:pPr>
          </w:p>
        </w:tc>
        <w:tc>
          <w:tcPr>
            <w:tcW w:w="1031"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68AADB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0B97429A"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4D771A7" w14:textId="77777777" w:rsidR="008D7723" w:rsidRPr="00945156" w:rsidRDefault="008D7723" w:rsidP="008D7723">
            <w:pPr>
              <w:rPr>
                <w:rFonts w:ascii="Arial" w:hAnsi="Arial" w:cs="Arial"/>
                <w:color w:val="000000"/>
                <w:sz w:val="14"/>
                <w:szCs w:val="14"/>
              </w:rPr>
            </w:pPr>
          </w:p>
        </w:tc>
        <w:tc>
          <w:tcPr>
            <w:tcW w:w="606" w:type="dxa"/>
            <w:vMerge w:val="restart"/>
            <w:tcBorders>
              <w:top w:val="single" w:sz="6" w:space="0" w:color="auto"/>
              <w:left w:val="single" w:sz="6" w:space="0" w:color="auto"/>
              <w:bottom w:val="single" w:sz="6" w:space="0" w:color="auto"/>
              <w:right w:val="single" w:sz="6" w:space="0" w:color="auto"/>
            </w:tcBorders>
            <w:vAlign w:val="center"/>
            <w:hideMark/>
          </w:tcPr>
          <w:p w14:paraId="582FCBF0"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&gt;10</w:t>
            </w: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3CAF9FD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3893B2E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1544144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FCB9E8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18D384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51B494E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 D-4</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7C0E957" w14:textId="77777777" w:rsidR="008D7723" w:rsidRPr="00945156" w:rsidRDefault="008D7723" w:rsidP="008D7723">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5EC4616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2ED9B27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0A05758" w14:textId="77777777" w:rsidR="008D7723" w:rsidRPr="00945156" w:rsidRDefault="008D7723" w:rsidP="008D7723">
            <w:pPr>
              <w:jc w:val="center"/>
              <w:rPr>
                <w:rFonts w:ascii="Arial" w:hAnsi="Arial" w:cs="Arial"/>
                <w:color w:val="000000"/>
                <w:sz w:val="14"/>
                <w:szCs w:val="14"/>
              </w:rPr>
            </w:pPr>
          </w:p>
        </w:tc>
        <w:tc>
          <w:tcPr>
            <w:tcW w:w="1031"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243BC2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482CF5B4"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44E2B429"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482654CC"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018FF007"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09F7EED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791C39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E081F0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89C0C9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359C4E2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86E2E31"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5EEDE5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77D4E04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CAD3633" w14:textId="77777777" w:rsidR="008D7723" w:rsidRPr="00945156" w:rsidRDefault="008D7723" w:rsidP="008D7723">
            <w:pPr>
              <w:jc w:val="center"/>
              <w:rPr>
                <w:rFonts w:ascii="Arial" w:hAnsi="Arial" w:cs="Arial"/>
                <w:color w:val="000000"/>
                <w:sz w:val="14"/>
                <w:szCs w:val="14"/>
              </w:rPr>
            </w:pPr>
          </w:p>
        </w:tc>
        <w:tc>
          <w:tcPr>
            <w:tcW w:w="1031"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5C0508B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41EFFBB4"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FDAD952"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09D02451"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110DDEEB"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5C2D864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000000" w:fill="D8D8D8"/>
            <w:vAlign w:val="center"/>
            <w:hideMark/>
          </w:tcPr>
          <w:p w14:paraId="598558B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6BAA29A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A0D6B3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6FD83FE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56187009"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028EF18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40D3620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0863F4DF" w14:textId="77777777" w:rsidR="008D7723" w:rsidRPr="00945156" w:rsidRDefault="008D7723" w:rsidP="008D7723">
            <w:pPr>
              <w:jc w:val="center"/>
              <w:rPr>
                <w:rFonts w:ascii="Arial" w:hAnsi="Arial" w:cs="Arial"/>
                <w:color w:val="000000"/>
                <w:sz w:val="14"/>
                <w:szCs w:val="14"/>
              </w:rPr>
            </w:pPr>
          </w:p>
        </w:tc>
        <w:tc>
          <w:tcPr>
            <w:tcW w:w="1031"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7DB5C91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09E3B8D4"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2E97F08C"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15F401A1" w14:textId="77777777" w:rsidR="008D7723" w:rsidRPr="00945156" w:rsidRDefault="008D7723" w:rsidP="008D7723">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4CEF3E0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112A6EE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000000" w:fill="D8D8D8"/>
            <w:vAlign w:val="center"/>
            <w:hideMark/>
          </w:tcPr>
          <w:p w14:paraId="23ED52C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28DABB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0010B8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7325276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 D-4</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73651B3D" w14:textId="77777777" w:rsidR="008D7723" w:rsidRPr="00945156" w:rsidRDefault="008D7723" w:rsidP="008D7723">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08D2F35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FCF088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48729C3" w14:textId="77777777" w:rsidR="008D7723" w:rsidRPr="00945156" w:rsidRDefault="008D7723" w:rsidP="008D7723">
            <w:pPr>
              <w:jc w:val="center"/>
              <w:rPr>
                <w:rFonts w:ascii="Arial" w:hAnsi="Arial" w:cs="Arial"/>
                <w:color w:val="000000"/>
                <w:sz w:val="14"/>
                <w:szCs w:val="14"/>
              </w:rPr>
            </w:pPr>
          </w:p>
        </w:tc>
        <w:tc>
          <w:tcPr>
            <w:tcW w:w="1031"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05A0E4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65CC2462"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036657A"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41DF9F3C"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3AEC9731"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2171053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000000" w:fill="D8D8D8"/>
            <w:vAlign w:val="center"/>
            <w:hideMark/>
          </w:tcPr>
          <w:p w14:paraId="07E22E0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B0D9A7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23EB96B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2002530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14393919"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725034F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A0CF37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DE539A8" w14:textId="77777777" w:rsidR="008D7723" w:rsidRPr="00945156" w:rsidRDefault="008D7723" w:rsidP="008D7723">
            <w:pPr>
              <w:jc w:val="center"/>
              <w:rPr>
                <w:rFonts w:ascii="Arial" w:hAnsi="Arial" w:cs="Arial"/>
                <w:color w:val="000000"/>
                <w:sz w:val="14"/>
                <w:szCs w:val="14"/>
              </w:rPr>
            </w:pPr>
          </w:p>
        </w:tc>
        <w:tc>
          <w:tcPr>
            <w:tcW w:w="1031"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4DE1AD8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11A4A9FF" w14:textId="77777777" w:rsidTr="008D7723">
        <w:trPr>
          <w:trHeight w:val="195"/>
        </w:trPr>
        <w:tc>
          <w:tcPr>
            <w:tcW w:w="624" w:type="dxa"/>
            <w:vMerge/>
            <w:tcBorders>
              <w:top w:val="single" w:sz="6" w:space="0" w:color="auto"/>
              <w:left w:val="single" w:sz="24" w:space="0" w:color="auto"/>
              <w:bottom w:val="single" w:sz="24" w:space="0" w:color="auto"/>
              <w:right w:val="single" w:sz="6" w:space="0" w:color="auto"/>
            </w:tcBorders>
            <w:vAlign w:val="center"/>
            <w:hideMark/>
          </w:tcPr>
          <w:p w14:paraId="639CB0D8"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24" w:space="0" w:color="auto"/>
              <w:right w:val="single" w:sz="6" w:space="0" w:color="auto"/>
            </w:tcBorders>
            <w:vAlign w:val="center"/>
            <w:hideMark/>
          </w:tcPr>
          <w:p w14:paraId="0D39483B"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24" w:space="0" w:color="auto"/>
              <w:right w:val="single" w:sz="6" w:space="0" w:color="auto"/>
            </w:tcBorders>
            <w:vAlign w:val="center"/>
            <w:hideMark/>
          </w:tcPr>
          <w:p w14:paraId="6994B947"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24" w:space="0" w:color="auto"/>
              <w:right w:val="single" w:sz="6" w:space="0" w:color="auto"/>
            </w:tcBorders>
            <w:noWrap/>
            <w:vAlign w:val="center"/>
            <w:hideMark/>
          </w:tcPr>
          <w:p w14:paraId="0994BB5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24" w:space="0" w:color="auto"/>
              <w:right w:val="single" w:sz="6" w:space="0" w:color="auto"/>
            </w:tcBorders>
            <w:shd w:val="clear" w:color="000000" w:fill="D8D8D8"/>
            <w:vAlign w:val="center"/>
            <w:hideMark/>
          </w:tcPr>
          <w:p w14:paraId="29E3338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221"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C3C636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318"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03BDA04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742" w:type="dxa"/>
            <w:tcBorders>
              <w:top w:val="single" w:sz="6" w:space="0" w:color="auto"/>
              <w:left w:val="single" w:sz="6" w:space="0" w:color="auto"/>
              <w:bottom w:val="single" w:sz="24" w:space="0" w:color="auto"/>
              <w:right w:val="single" w:sz="6" w:space="0" w:color="auto"/>
            </w:tcBorders>
            <w:noWrap/>
            <w:vAlign w:val="center"/>
            <w:hideMark/>
          </w:tcPr>
          <w:p w14:paraId="1CBAE9C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49A69E21"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180D2BF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4C5D2DC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2DB1ECDB" w14:textId="77777777" w:rsidR="008D7723" w:rsidRPr="00945156" w:rsidRDefault="008D7723" w:rsidP="008D7723">
            <w:pPr>
              <w:jc w:val="center"/>
              <w:rPr>
                <w:rFonts w:ascii="Arial" w:hAnsi="Arial" w:cs="Arial"/>
                <w:color w:val="000000"/>
                <w:sz w:val="14"/>
                <w:szCs w:val="14"/>
              </w:rPr>
            </w:pPr>
          </w:p>
        </w:tc>
        <w:tc>
          <w:tcPr>
            <w:tcW w:w="1031"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1DD864E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5995197A" w14:textId="77777777" w:rsidTr="008D7723">
        <w:trPr>
          <w:trHeight w:val="180"/>
        </w:trPr>
        <w:tc>
          <w:tcPr>
            <w:tcW w:w="624" w:type="dxa"/>
            <w:vMerge w:val="restart"/>
            <w:tcBorders>
              <w:top w:val="single" w:sz="24" w:space="0" w:color="auto"/>
              <w:left w:val="single" w:sz="24" w:space="0" w:color="auto"/>
              <w:bottom w:val="single" w:sz="6" w:space="0" w:color="auto"/>
              <w:right w:val="single" w:sz="6" w:space="0" w:color="auto"/>
            </w:tcBorders>
            <w:noWrap/>
            <w:vAlign w:val="center"/>
            <w:hideMark/>
          </w:tcPr>
          <w:p w14:paraId="751A6391" w14:textId="77777777" w:rsidR="008D7723" w:rsidRDefault="008D7723" w:rsidP="008D7723">
            <w:pPr>
              <w:jc w:val="center"/>
              <w:rPr>
                <w:rFonts w:ascii="Arial" w:hAnsi="Arial" w:cs="Arial"/>
                <w:color w:val="000000"/>
                <w:sz w:val="14"/>
                <w:szCs w:val="14"/>
              </w:rPr>
            </w:pPr>
            <w:r>
              <w:rPr>
                <w:rFonts w:ascii="Arial" w:hAnsi="Arial" w:cs="Arial"/>
                <w:color w:val="000000"/>
                <w:sz w:val="14"/>
                <w:szCs w:val="14"/>
              </w:rPr>
              <w:t>&lt;5</w:t>
            </w:r>
          </w:p>
          <w:p w14:paraId="106A99E7" w14:textId="77777777" w:rsidR="008D7723" w:rsidRPr="00945156" w:rsidRDefault="008D7723" w:rsidP="008D7723">
            <w:pPr>
              <w:jc w:val="center"/>
              <w:rPr>
                <w:rFonts w:ascii="Arial" w:hAnsi="Arial" w:cs="Arial"/>
                <w:color w:val="000000"/>
                <w:sz w:val="14"/>
                <w:szCs w:val="14"/>
              </w:rPr>
            </w:pPr>
          </w:p>
        </w:tc>
        <w:tc>
          <w:tcPr>
            <w:tcW w:w="606" w:type="dxa"/>
            <w:vMerge w:val="restart"/>
            <w:tcBorders>
              <w:top w:val="single" w:sz="24" w:space="0" w:color="auto"/>
              <w:left w:val="single" w:sz="6" w:space="0" w:color="auto"/>
              <w:bottom w:val="single" w:sz="6" w:space="0" w:color="auto"/>
              <w:right w:val="single" w:sz="6" w:space="0" w:color="auto"/>
            </w:tcBorders>
            <w:vAlign w:val="center"/>
            <w:hideMark/>
          </w:tcPr>
          <w:p w14:paraId="649EFFDE"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≤10</w:t>
            </w:r>
          </w:p>
        </w:tc>
        <w:tc>
          <w:tcPr>
            <w:tcW w:w="714" w:type="dxa"/>
            <w:vMerge w:val="restart"/>
            <w:tcBorders>
              <w:top w:val="single" w:sz="24" w:space="0" w:color="auto"/>
              <w:left w:val="single" w:sz="6" w:space="0" w:color="auto"/>
              <w:bottom w:val="single" w:sz="6" w:space="0" w:color="auto"/>
              <w:right w:val="single" w:sz="6" w:space="0" w:color="auto"/>
            </w:tcBorders>
            <w:noWrap/>
            <w:vAlign w:val="center"/>
            <w:hideMark/>
          </w:tcPr>
          <w:p w14:paraId="42CAD66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24" w:space="0" w:color="auto"/>
              <w:left w:val="single" w:sz="6" w:space="0" w:color="auto"/>
              <w:bottom w:val="single" w:sz="6" w:space="0" w:color="auto"/>
              <w:right w:val="single" w:sz="6" w:space="0" w:color="auto"/>
            </w:tcBorders>
            <w:noWrap/>
            <w:vAlign w:val="center"/>
            <w:hideMark/>
          </w:tcPr>
          <w:p w14:paraId="7A8FA5F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24"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3E02883" w14:textId="77777777" w:rsidR="008D7723" w:rsidRPr="00945156" w:rsidRDefault="008D7723" w:rsidP="008D7723">
            <w:pPr>
              <w:jc w:val="center"/>
              <w:rPr>
                <w:rFonts w:ascii="Arial" w:hAnsi="Arial" w:cs="Arial"/>
                <w:color w:val="000000"/>
                <w:sz w:val="14"/>
                <w:szCs w:val="14"/>
              </w:rPr>
            </w:pPr>
          </w:p>
        </w:tc>
        <w:tc>
          <w:tcPr>
            <w:tcW w:w="1221"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97F139C" w14:textId="77777777" w:rsidR="008D7723" w:rsidRPr="00945156" w:rsidRDefault="008D7723" w:rsidP="008D7723">
            <w:pPr>
              <w:jc w:val="center"/>
              <w:rPr>
                <w:rFonts w:ascii="Arial" w:hAnsi="Arial" w:cs="Arial"/>
                <w:color w:val="000000"/>
                <w:sz w:val="14"/>
                <w:szCs w:val="14"/>
              </w:rPr>
            </w:pPr>
          </w:p>
        </w:tc>
        <w:tc>
          <w:tcPr>
            <w:tcW w:w="1318" w:type="dxa"/>
            <w:tcBorders>
              <w:top w:val="single" w:sz="24"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B2048C7" w14:textId="77777777" w:rsidR="008D7723" w:rsidRPr="00945156" w:rsidRDefault="008D7723" w:rsidP="008D7723">
            <w:pPr>
              <w:jc w:val="center"/>
              <w:rPr>
                <w:rFonts w:ascii="Arial" w:hAnsi="Arial" w:cs="Arial"/>
                <w:color w:val="000000"/>
                <w:sz w:val="14"/>
                <w:szCs w:val="14"/>
              </w:rPr>
            </w:pPr>
          </w:p>
        </w:tc>
        <w:tc>
          <w:tcPr>
            <w:tcW w:w="1742" w:type="dxa"/>
            <w:tcBorders>
              <w:top w:val="single" w:sz="24" w:space="0" w:color="auto"/>
              <w:left w:val="single" w:sz="6" w:space="0" w:color="auto"/>
              <w:bottom w:val="single" w:sz="6" w:space="0" w:color="auto"/>
              <w:right w:val="single" w:sz="6" w:space="0" w:color="auto"/>
            </w:tcBorders>
            <w:noWrap/>
            <w:vAlign w:val="center"/>
            <w:hideMark/>
          </w:tcPr>
          <w:p w14:paraId="4094AC9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1, D-3, D-4</w:t>
            </w:r>
          </w:p>
        </w:tc>
        <w:tc>
          <w:tcPr>
            <w:tcW w:w="90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22AD324F" w14:textId="77777777" w:rsidR="008D7723" w:rsidRPr="00945156" w:rsidRDefault="008D7723" w:rsidP="008D7723">
            <w:pPr>
              <w:jc w:val="center"/>
              <w:rPr>
                <w:rFonts w:ascii="Arial" w:hAnsi="Arial" w:cs="Arial"/>
                <w:color w:val="000000"/>
                <w:sz w:val="14"/>
                <w:szCs w:val="14"/>
              </w:rPr>
            </w:pPr>
          </w:p>
        </w:tc>
        <w:tc>
          <w:tcPr>
            <w:tcW w:w="900" w:type="dxa"/>
            <w:tcBorders>
              <w:top w:val="single" w:sz="24" w:space="0" w:color="auto"/>
              <w:left w:val="single" w:sz="6" w:space="0" w:color="auto"/>
              <w:bottom w:val="single" w:sz="6" w:space="0" w:color="auto"/>
              <w:right w:val="single" w:sz="6" w:space="0" w:color="auto"/>
            </w:tcBorders>
            <w:noWrap/>
            <w:vAlign w:val="center"/>
            <w:hideMark/>
          </w:tcPr>
          <w:p w14:paraId="696FCF4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0170853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24" w:space="0" w:color="auto"/>
              <w:left w:val="single" w:sz="6" w:space="0" w:color="auto"/>
              <w:bottom w:val="single" w:sz="6" w:space="0" w:color="auto"/>
              <w:right w:val="single" w:sz="6" w:space="0" w:color="auto"/>
            </w:tcBorders>
            <w:shd w:val="clear" w:color="000000" w:fill="D8D8D8"/>
            <w:noWrap/>
            <w:vAlign w:val="center"/>
            <w:hideMark/>
          </w:tcPr>
          <w:p w14:paraId="54B2F9A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24"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711F51E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31FDCF87"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47FF3729"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24F3F191"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3D872111"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040C576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881D62B" w14:textId="77777777" w:rsidR="008D7723" w:rsidRPr="00945156" w:rsidRDefault="008D7723" w:rsidP="008D7723">
            <w:pPr>
              <w:jc w:val="center"/>
              <w:rPr>
                <w:rFonts w:ascii="Arial" w:hAnsi="Arial" w:cs="Arial"/>
                <w:color w:val="000000"/>
                <w:sz w:val="14"/>
                <w:szCs w:val="14"/>
              </w:rPr>
            </w:pPr>
          </w:p>
        </w:tc>
        <w:tc>
          <w:tcPr>
            <w:tcW w:w="1221"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80221F6" w14:textId="77777777" w:rsidR="008D7723" w:rsidRPr="00945156" w:rsidRDefault="008D7723" w:rsidP="008D7723">
            <w:pPr>
              <w:jc w:val="center"/>
              <w:rPr>
                <w:rFonts w:ascii="Arial" w:hAnsi="Arial" w:cs="Arial"/>
                <w:color w:val="000000"/>
                <w:sz w:val="14"/>
                <w:szCs w:val="14"/>
              </w:rPr>
            </w:pPr>
          </w:p>
        </w:tc>
        <w:tc>
          <w:tcPr>
            <w:tcW w:w="1318"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64DDBB3F" w14:textId="77777777" w:rsidR="008D7723" w:rsidRPr="00945156" w:rsidRDefault="008D7723" w:rsidP="008D7723">
            <w:pPr>
              <w:jc w:val="center"/>
              <w:rPr>
                <w:rFonts w:ascii="Arial" w:hAnsi="Arial" w:cs="Arial"/>
                <w:color w:val="000000"/>
                <w:sz w:val="14"/>
                <w:szCs w:val="14"/>
              </w:rPr>
            </w:pP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29655AC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1, D-3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0580D36"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CFF9BB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3504D5A7"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1585474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50C3FF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34707DF6"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10F32C0"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F1ADF3E"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74F33226"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30D7D9E9"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63CF8E18" w14:textId="77777777" w:rsidR="008D7723" w:rsidRPr="00945156" w:rsidRDefault="008D7723" w:rsidP="008D7723">
            <w:pPr>
              <w:jc w:val="center"/>
              <w:rPr>
                <w:rFonts w:ascii="Arial" w:hAnsi="Arial" w:cs="Arial"/>
                <w:color w:val="000000"/>
                <w:sz w:val="14"/>
                <w:szCs w:val="14"/>
              </w:rPr>
            </w:pPr>
          </w:p>
        </w:tc>
        <w:tc>
          <w:tcPr>
            <w:tcW w:w="1221"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2C8B0F61" w14:textId="77777777" w:rsidR="008D7723" w:rsidRPr="00945156" w:rsidRDefault="008D7723" w:rsidP="008D7723">
            <w:pPr>
              <w:jc w:val="center"/>
              <w:rPr>
                <w:rFonts w:ascii="Arial" w:hAnsi="Arial" w:cs="Arial"/>
                <w:color w:val="000000"/>
                <w:sz w:val="14"/>
                <w:szCs w:val="14"/>
              </w:rPr>
            </w:pPr>
          </w:p>
        </w:tc>
        <w:tc>
          <w:tcPr>
            <w:tcW w:w="1318"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DD9BBDA" w14:textId="77777777" w:rsidR="008D7723" w:rsidRPr="00945156" w:rsidRDefault="008D7723" w:rsidP="008D7723">
            <w:pPr>
              <w:jc w:val="center"/>
              <w:rPr>
                <w:rFonts w:ascii="Arial" w:hAnsi="Arial" w:cs="Arial"/>
                <w:color w:val="000000"/>
                <w:sz w:val="14"/>
                <w:szCs w:val="14"/>
              </w:rPr>
            </w:pP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55087C3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4191A0D8"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0AD4630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10E7ADE1"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23065C4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460E7A2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48EEEF98"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5A9D19C3"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57F22E0C" w14:textId="77777777" w:rsidR="008D7723" w:rsidRPr="00945156" w:rsidRDefault="008D7723" w:rsidP="008D7723">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00DD64E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4874533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1A8933C" w14:textId="77777777" w:rsidR="008D7723" w:rsidRPr="00945156" w:rsidRDefault="008D7723" w:rsidP="008D7723">
            <w:pPr>
              <w:jc w:val="center"/>
              <w:rPr>
                <w:rFonts w:ascii="Arial" w:hAnsi="Arial" w:cs="Arial"/>
                <w:color w:val="000000"/>
                <w:sz w:val="14"/>
                <w:szCs w:val="14"/>
              </w:rPr>
            </w:pPr>
          </w:p>
        </w:tc>
        <w:tc>
          <w:tcPr>
            <w:tcW w:w="1221"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B254395" w14:textId="77777777" w:rsidR="008D7723" w:rsidRPr="00945156" w:rsidRDefault="008D7723" w:rsidP="008D7723">
            <w:pPr>
              <w:jc w:val="center"/>
              <w:rPr>
                <w:rFonts w:ascii="Arial" w:hAnsi="Arial" w:cs="Arial"/>
                <w:color w:val="000000"/>
                <w:sz w:val="14"/>
                <w:szCs w:val="14"/>
              </w:rPr>
            </w:pPr>
          </w:p>
        </w:tc>
        <w:tc>
          <w:tcPr>
            <w:tcW w:w="1318"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F9E7C5A" w14:textId="77777777" w:rsidR="008D7723" w:rsidRPr="00945156" w:rsidRDefault="008D7723" w:rsidP="008D7723">
            <w:pPr>
              <w:jc w:val="center"/>
              <w:rPr>
                <w:rFonts w:ascii="Arial" w:hAnsi="Arial" w:cs="Arial"/>
                <w:color w:val="000000"/>
                <w:sz w:val="14"/>
                <w:szCs w:val="14"/>
              </w:rPr>
            </w:pP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0E155EA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1, D-3, D-4</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4DC7A2A" w14:textId="77777777" w:rsidR="008D7723" w:rsidRPr="00945156" w:rsidRDefault="008D7723" w:rsidP="008D7723">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79478D1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8FDE5B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4F63205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8DD32B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1AF22274"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116A69A5"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3A63A719"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1C0E40DA"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69DAABB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4FA27A8" w14:textId="77777777" w:rsidR="008D7723" w:rsidRPr="00945156" w:rsidRDefault="008D7723" w:rsidP="008D7723">
            <w:pPr>
              <w:jc w:val="center"/>
              <w:rPr>
                <w:rFonts w:ascii="Arial" w:hAnsi="Arial" w:cs="Arial"/>
                <w:color w:val="000000"/>
                <w:sz w:val="14"/>
                <w:szCs w:val="14"/>
              </w:rPr>
            </w:pPr>
          </w:p>
        </w:tc>
        <w:tc>
          <w:tcPr>
            <w:tcW w:w="1221"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0BD016E6" w14:textId="77777777" w:rsidR="008D7723" w:rsidRPr="00945156" w:rsidRDefault="008D7723" w:rsidP="008D7723">
            <w:pPr>
              <w:jc w:val="center"/>
              <w:rPr>
                <w:rFonts w:ascii="Arial" w:hAnsi="Arial" w:cs="Arial"/>
                <w:color w:val="000000"/>
                <w:sz w:val="14"/>
                <w:szCs w:val="14"/>
              </w:rPr>
            </w:pPr>
          </w:p>
        </w:tc>
        <w:tc>
          <w:tcPr>
            <w:tcW w:w="1318"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90B383E" w14:textId="77777777" w:rsidR="008D7723" w:rsidRPr="00945156" w:rsidRDefault="008D7723" w:rsidP="008D7723">
            <w:pPr>
              <w:jc w:val="center"/>
              <w:rPr>
                <w:rFonts w:ascii="Arial" w:hAnsi="Arial" w:cs="Arial"/>
                <w:color w:val="000000"/>
                <w:sz w:val="14"/>
                <w:szCs w:val="14"/>
              </w:rPr>
            </w:pP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4E796F53"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1, D-3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23B0A3F6"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A8EE1E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667DCE22"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359DF6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9DCE962"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2118C503"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56208B6A"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39914217"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14A14B5E"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0AD514E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2B901E97" w14:textId="77777777" w:rsidR="008D7723" w:rsidRPr="00945156" w:rsidRDefault="008D7723" w:rsidP="008D7723">
            <w:pPr>
              <w:jc w:val="center"/>
              <w:rPr>
                <w:rFonts w:ascii="Arial" w:hAnsi="Arial" w:cs="Arial"/>
                <w:color w:val="000000"/>
                <w:sz w:val="14"/>
                <w:szCs w:val="14"/>
              </w:rPr>
            </w:pPr>
          </w:p>
        </w:tc>
        <w:tc>
          <w:tcPr>
            <w:tcW w:w="1221"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52F24891" w14:textId="77777777" w:rsidR="008D7723" w:rsidRPr="00945156" w:rsidRDefault="008D7723" w:rsidP="008D7723">
            <w:pPr>
              <w:jc w:val="center"/>
              <w:rPr>
                <w:rFonts w:ascii="Arial" w:hAnsi="Arial" w:cs="Arial"/>
                <w:color w:val="000000"/>
                <w:sz w:val="14"/>
                <w:szCs w:val="14"/>
              </w:rPr>
            </w:pPr>
          </w:p>
        </w:tc>
        <w:tc>
          <w:tcPr>
            <w:tcW w:w="1318"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33D6C7FB" w14:textId="77777777" w:rsidR="008D7723" w:rsidRPr="00945156" w:rsidRDefault="008D7723" w:rsidP="008D7723">
            <w:pPr>
              <w:jc w:val="center"/>
              <w:rPr>
                <w:rFonts w:ascii="Arial" w:hAnsi="Arial" w:cs="Arial"/>
                <w:color w:val="000000"/>
                <w:sz w:val="14"/>
                <w:szCs w:val="14"/>
              </w:rPr>
            </w:pP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51C2B1D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352D4DC9"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260DF93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011E09ED"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86F67E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64F188C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2C2CB205"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4E4AB697" w14:textId="77777777" w:rsidR="008D7723" w:rsidRPr="00945156" w:rsidRDefault="008D7723" w:rsidP="008D7723">
            <w:pPr>
              <w:rPr>
                <w:rFonts w:ascii="Arial" w:hAnsi="Arial" w:cs="Arial"/>
                <w:color w:val="000000"/>
                <w:sz w:val="14"/>
                <w:szCs w:val="14"/>
              </w:rPr>
            </w:pPr>
          </w:p>
        </w:tc>
        <w:tc>
          <w:tcPr>
            <w:tcW w:w="606" w:type="dxa"/>
            <w:vMerge w:val="restart"/>
            <w:tcBorders>
              <w:top w:val="single" w:sz="6" w:space="0" w:color="auto"/>
              <w:left w:val="single" w:sz="6" w:space="0" w:color="auto"/>
              <w:bottom w:val="single" w:sz="6" w:space="0" w:color="auto"/>
              <w:right w:val="single" w:sz="6" w:space="0" w:color="auto"/>
            </w:tcBorders>
            <w:vAlign w:val="center"/>
            <w:hideMark/>
          </w:tcPr>
          <w:p w14:paraId="234BA908"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&gt;10</w:t>
            </w: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28A05A2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2AAF06C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7A49348" w14:textId="77777777" w:rsidR="008D7723" w:rsidRPr="00945156" w:rsidRDefault="008D7723" w:rsidP="008D7723">
            <w:pPr>
              <w:jc w:val="center"/>
              <w:rPr>
                <w:rFonts w:ascii="Arial" w:hAnsi="Arial" w:cs="Arial"/>
                <w:color w:val="000000"/>
                <w:sz w:val="14"/>
                <w:szCs w:val="14"/>
              </w:rPr>
            </w:pPr>
          </w:p>
        </w:tc>
        <w:tc>
          <w:tcPr>
            <w:tcW w:w="1221"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1FB2FC76" w14:textId="77777777" w:rsidR="008D7723" w:rsidRPr="00945156" w:rsidRDefault="008D7723" w:rsidP="008D7723">
            <w:pPr>
              <w:jc w:val="center"/>
              <w:rPr>
                <w:rFonts w:ascii="Arial" w:hAnsi="Arial" w:cs="Arial"/>
                <w:color w:val="000000"/>
                <w:sz w:val="14"/>
                <w:szCs w:val="14"/>
              </w:rPr>
            </w:pPr>
          </w:p>
        </w:tc>
        <w:tc>
          <w:tcPr>
            <w:tcW w:w="1318"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08C0366" w14:textId="77777777" w:rsidR="008D7723" w:rsidRPr="00945156" w:rsidRDefault="008D7723" w:rsidP="008D7723">
            <w:pPr>
              <w:jc w:val="center"/>
              <w:rPr>
                <w:rFonts w:ascii="Arial" w:hAnsi="Arial" w:cs="Arial"/>
                <w:color w:val="000000"/>
                <w:sz w:val="14"/>
                <w:szCs w:val="14"/>
              </w:rPr>
            </w:pP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066B334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1, D-3, D-4</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99BE33E" w14:textId="77777777" w:rsidR="008D7723" w:rsidRPr="00945156" w:rsidRDefault="008D7723" w:rsidP="008D7723">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4C69AC4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0D03B33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61FFAD2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28A3BA3E"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66B0182D"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49B626F5"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C01673C"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0CE247A9"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5FE3D05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1BDAC45" w14:textId="77777777" w:rsidR="008D7723" w:rsidRPr="00945156" w:rsidRDefault="008D7723" w:rsidP="008D7723">
            <w:pPr>
              <w:jc w:val="center"/>
              <w:rPr>
                <w:rFonts w:ascii="Arial" w:hAnsi="Arial" w:cs="Arial"/>
                <w:color w:val="000000"/>
                <w:sz w:val="14"/>
                <w:szCs w:val="14"/>
              </w:rPr>
            </w:pPr>
          </w:p>
        </w:tc>
        <w:tc>
          <w:tcPr>
            <w:tcW w:w="1221"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486B227" w14:textId="77777777" w:rsidR="008D7723" w:rsidRPr="00945156" w:rsidRDefault="008D7723" w:rsidP="008D7723">
            <w:pPr>
              <w:jc w:val="center"/>
              <w:rPr>
                <w:rFonts w:ascii="Arial" w:hAnsi="Arial" w:cs="Arial"/>
                <w:color w:val="000000"/>
                <w:sz w:val="14"/>
                <w:szCs w:val="14"/>
              </w:rPr>
            </w:pPr>
          </w:p>
        </w:tc>
        <w:tc>
          <w:tcPr>
            <w:tcW w:w="1318"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E6D48E6" w14:textId="77777777" w:rsidR="008D7723" w:rsidRPr="00945156" w:rsidRDefault="008D7723" w:rsidP="008D7723">
            <w:pPr>
              <w:jc w:val="center"/>
              <w:rPr>
                <w:rFonts w:ascii="Arial" w:hAnsi="Arial" w:cs="Arial"/>
                <w:color w:val="000000"/>
                <w:sz w:val="14"/>
                <w:szCs w:val="14"/>
              </w:rPr>
            </w:pP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21928B61"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1, D-3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0DF9CA54"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2D3B3E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EAAB33C"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05AAF5B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0AA13D0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78AF70F9" w14:textId="77777777" w:rsidTr="008D7723">
        <w:trPr>
          <w:trHeight w:val="195"/>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0C9C6B3D"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67CAC46C"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12" w:space="0" w:color="auto"/>
              <w:right w:val="single" w:sz="6" w:space="0" w:color="auto"/>
            </w:tcBorders>
            <w:vAlign w:val="center"/>
            <w:hideMark/>
          </w:tcPr>
          <w:p w14:paraId="68DE4517"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12" w:space="0" w:color="auto"/>
              <w:right w:val="single" w:sz="6" w:space="0" w:color="auto"/>
            </w:tcBorders>
            <w:noWrap/>
            <w:vAlign w:val="center"/>
            <w:hideMark/>
          </w:tcPr>
          <w:p w14:paraId="320D65B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center"/>
            <w:hideMark/>
          </w:tcPr>
          <w:p w14:paraId="4704CA18" w14:textId="77777777" w:rsidR="008D7723" w:rsidRPr="00945156" w:rsidRDefault="008D7723" w:rsidP="008D7723">
            <w:pPr>
              <w:jc w:val="center"/>
              <w:rPr>
                <w:rFonts w:ascii="Arial" w:hAnsi="Arial" w:cs="Arial"/>
                <w:color w:val="000000"/>
                <w:sz w:val="14"/>
                <w:szCs w:val="14"/>
              </w:rPr>
            </w:pPr>
          </w:p>
        </w:tc>
        <w:tc>
          <w:tcPr>
            <w:tcW w:w="1221"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1DC9CAAB" w14:textId="77777777" w:rsidR="008D7723" w:rsidRPr="00945156" w:rsidRDefault="008D7723" w:rsidP="008D7723">
            <w:pPr>
              <w:jc w:val="center"/>
              <w:rPr>
                <w:rFonts w:ascii="Arial" w:hAnsi="Arial" w:cs="Arial"/>
                <w:color w:val="000000"/>
                <w:sz w:val="14"/>
                <w:szCs w:val="14"/>
              </w:rPr>
            </w:pPr>
          </w:p>
        </w:tc>
        <w:tc>
          <w:tcPr>
            <w:tcW w:w="1318" w:type="dxa"/>
            <w:tcBorders>
              <w:top w:val="single" w:sz="6" w:space="0" w:color="auto"/>
              <w:left w:val="single" w:sz="6" w:space="0" w:color="auto"/>
              <w:bottom w:val="single" w:sz="12" w:space="0" w:color="auto"/>
              <w:right w:val="single" w:sz="6" w:space="0" w:color="auto"/>
            </w:tcBorders>
            <w:shd w:val="clear" w:color="auto" w:fill="D9D9D9" w:themeFill="background1" w:themeFillShade="D9"/>
            <w:noWrap/>
            <w:vAlign w:val="center"/>
            <w:hideMark/>
          </w:tcPr>
          <w:p w14:paraId="6170D4B1" w14:textId="77777777" w:rsidR="008D7723" w:rsidRPr="00945156" w:rsidRDefault="008D7723" w:rsidP="008D7723">
            <w:pPr>
              <w:jc w:val="center"/>
              <w:rPr>
                <w:rFonts w:ascii="Arial" w:hAnsi="Arial" w:cs="Arial"/>
                <w:color w:val="000000"/>
                <w:sz w:val="14"/>
                <w:szCs w:val="14"/>
              </w:rPr>
            </w:pPr>
          </w:p>
        </w:tc>
        <w:tc>
          <w:tcPr>
            <w:tcW w:w="1742" w:type="dxa"/>
            <w:tcBorders>
              <w:top w:val="single" w:sz="6" w:space="0" w:color="auto"/>
              <w:left w:val="single" w:sz="6" w:space="0" w:color="auto"/>
              <w:bottom w:val="single" w:sz="12" w:space="0" w:color="auto"/>
              <w:right w:val="single" w:sz="6" w:space="0" w:color="auto"/>
            </w:tcBorders>
            <w:noWrap/>
            <w:vAlign w:val="center"/>
            <w:hideMark/>
          </w:tcPr>
          <w:p w14:paraId="409C6A9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4BB1BFA1"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12" w:space="0" w:color="auto"/>
              <w:right w:val="single" w:sz="6" w:space="0" w:color="auto"/>
            </w:tcBorders>
            <w:noWrap/>
            <w:vAlign w:val="center"/>
            <w:hideMark/>
          </w:tcPr>
          <w:p w14:paraId="7D1153B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12" w:space="0" w:color="auto"/>
              <w:right w:val="single" w:sz="6" w:space="0" w:color="auto"/>
            </w:tcBorders>
            <w:noWrap/>
            <w:vAlign w:val="center"/>
            <w:hideMark/>
          </w:tcPr>
          <w:p w14:paraId="1CC641BE"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12" w:space="0" w:color="auto"/>
              <w:right w:val="single" w:sz="6" w:space="0" w:color="auto"/>
            </w:tcBorders>
            <w:shd w:val="clear" w:color="000000" w:fill="D8D8D8"/>
            <w:noWrap/>
            <w:vAlign w:val="center"/>
            <w:hideMark/>
          </w:tcPr>
          <w:p w14:paraId="7CD4E5F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6" w:space="0" w:color="auto"/>
              <w:left w:val="single" w:sz="6" w:space="0" w:color="auto"/>
              <w:bottom w:val="single" w:sz="12" w:space="0" w:color="auto"/>
              <w:right w:val="single" w:sz="24" w:space="0" w:color="auto"/>
            </w:tcBorders>
            <w:shd w:val="clear" w:color="auto" w:fill="D9D9D9" w:themeFill="background1" w:themeFillShade="D9"/>
            <w:noWrap/>
            <w:vAlign w:val="center"/>
            <w:hideMark/>
          </w:tcPr>
          <w:p w14:paraId="0E87540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7A8E2D04"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7D8DF7E4"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4A6BD459" w14:textId="77777777" w:rsidR="008D7723" w:rsidRPr="00945156" w:rsidRDefault="008D7723" w:rsidP="008D7723">
            <w:pPr>
              <w:rPr>
                <w:rFonts w:ascii="Arial" w:hAnsi="Arial" w:cs="Arial"/>
                <w:color w:val="000000"/>
                <w:sz w:val="14"/>
                <w:szCs w:val="14"/>
              </w:rPr>
            </w:pPr>
          </w:p>
        </w:tc>
        <w:tc>
          <w:tcPr>
            <w:tcW w:w="714" w:type="dxa"/>
            <w:vMerge w:val="restart"/>
            <w:tcBorders>
              <w:top w:val="single" w:sz="12" w:space="0" w:color="auto"/>
              <w:left w:val="single" w:sz="6" w:space="0" w:color="auto"/>
              <w:bottom w:val="single" w:sz="6" w:space="0" w:color="auto"/>
              <w:right w:val="single" w:sz="6" w:space="0" w:color="auto"/>
            </w:tcBorders>
            <w:noWrap/>
            <w:vAlign w:val="center"/>
            <w:hideMark/>
          </w:tcPr>
          <w:p w14:paraId="25BE312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40</w:t>
            </w:r>
          </w:p>
        </w:tc>
        <w:tc>
          <w:tcPr>
            <w:tcW w:w="791" w:type="dxa"/>
            <w:tcBorders>
              <w:top w:val="single" w:sz="12" w:space="0" w:color="auto"/>
              <w:left w:val="single" w:sz="6" w:space="0" w:color="auto"/>
              <w:bottom w:val="single" w:sz="6" w:space="0" w:color="auto"/>
              <w:right w:val="single" w:sz="6" w:space="0" w:color="auto"/>
            </w:tcBorders>
            <w:noWrap/>
            <w:vAlign w:val="center"/>
            <w:hideMark/>
          </w:tcPr>
          <w:p w14:paraId="0C7152D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&lt; ½"</w:t>
            </w:r>
          </w:p>
        </w:tc>
        <w:tc>
          <w:tcPr>
            <w:tcW w:w="964" w:type="dxa"/>
            <w:tcBorders>
              <w:top w:val="single" w:sz="12"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28373CB" w14:textId="77777777" w:rsidR="008D7723" w:rsidRPr="00945156" w:rsidRDefault="008D7723" w:rsidP="008D7723">
            <w:pPr>
              <w:jc w:val="center"/>
              <w:rPr>
                <w:rFonts w:ascii="Arial" w:hAnsi="Arial" w:cs="Arial"/>
                <w:color w:val="000000"/>
                <w:sz w:val="14"/>
                <w:szCs w:val="14"/>
              </w:rPr>
            </w:pPr>
          </w:p>
        </w:tc>
        <w:tc>
          <w:tcPr>
            <w:tcW w:w="1221"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37FE185A" w14:textId="77777777" w:rsidR="008D7723" w:rsidRPr="00945156" w:rsidRDefault="008D7723" w:rsidP="008D7723">
            <w:pPr>
              <w:jc w:val="center"/>
              <w:rPr>
                <w:rFonts w:ascii="Arial" w:hAnsi="Arial" w:cs="Arial"/>
                <w:color w:val="000000"/>
                <w:sz w:val="14"/>
                <w:szCs w:val="14"/>
              </w:rPr>
            </w:pPr>
          </w:p>
        </w:tc>
        <w:tc>
          <w:tcPr>
            <w:tcW w:w="1318"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29F8F3DD" w14:textId="77777777" w:rsidR="008D7723" w:rsidRPr="00945156" w:rsidRDefault="008D7723" w:rsidP="008D7723">
            <w:pPr>
              <w:jc w:val="center"/>
              <w:rPr>
                <w:rFonts w:ascii="Arial" w:hAnsi="Arial" w:cs="Arial"/>
                <w:color w:val="000000"/>
                <w:sz w:val="14"/>
                <w:szCs w:val="14"/>
              </w:rPr>
            </w:pPr>
          </w:p>
        </w:tc>
        <w:tc>
          <w:tcPr>
            <w:tcW w:w="1742" w:type="dxa"/>
            <w:tcBorders>
              <w:top w:val="single" w:sz="12" w:space="0" w:color="auto"/>
              <w:left w:val="single" w:sz="6" w:space="0" w:color="auto"/>
              <w:bottom w:val="single" w:sz="6" w:space="0" w:color="auto"/>
              <w:right w:val="single" w:sz="6" w:space="0" w:color="auto"/>
            </w:tcBorders>
            <w:noWrap/>
            <w:vAlign w:val="center"/>
            <w:hideMark/>
          </w:tcPr>
          <w:p w14:paraId="4EB01D7B"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1, D-3, D-4</w:t>
            </w:r>
          </w:p>
        </w:tc>
        <w:tc>
          <w:tcPr>
            <w:tcW w:w="90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5567DA5D" w14:textId="77777777" w:rsidR="008D7723" w:rsidRPr="00945156" w:rsidRDefault="008D7723" w:rsidP="008D7723">
            <w:pPr>
              <w:jc w:val="center"/>
              <w:rPr>
                <w:rFonts w:ascii="Arial" w:hAnsi="Arial" w:cs="Arial"/>
                <w:color w:val="000000"/>
                <w:sz w:val="14"/>
                <w:szCs w:val="14"/>
              </w:rPr>
            </w:pPr>
          </w:p>
        </w:tc>
        <w:tc>
          <w:tcPr>
            <w:tcW w:w="900" w:type="dxa"/>
            <w:tcBorders>
              <w:top w:val="single" w:sz="12" w:space="0" w:color="auto"/>
              <w:left w:val="single" w:sz="6" w:space="0" w:color="auto"/>
              <w:bottom w:val="single" w:sz="6" w:space="0" w:color="auto"/>
              <w:right w:val="single" w:sz="6" w:space="0" w:color="auto"/>
            </w:tcBorders>
            <w:noWrap/>
            <w:vAlign w:val="center"/>
            <w:hideMark/>
          </w:tcPr>
          <w:p w14:paraId="0C31041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4F76CC2F"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80" w:type="dxa"/>
            <w:tcBorders>
              <w:top w:val="single" w:sz="12" w:space="0" w:color="auto"/>
              <w:left w:val="single" w:sz="6" w:space="0" w:color="auto"/>
              <w:bottom w:val="single" w:sz="6" w:space="0" w:color="auto"/>
              <w:right w:val="single" w:sz="6" w:space="0" w:color="auto"/>
            </w:tcBorders>
            <w:shd w:val="clear" w:color="000000" w:fill="D8D8D8"/>
            <w:noWrap/>
            <w:vAlign w:val="center"/>
            <w:hideMark/>
          </w:tcPr>
          <w:p w14:paraId="1B83FB25"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12"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1468CA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3BDA105E" w14:textId="77777777" w:rsidTr="008D7723">
        <w:trPr>
          <w:trHeight w:val="180"/>
        </w:trPr>
        <w:tc>
          <w:tcPr>
            <w:tcW w:w="624" w:type="dxa"/>
            <w:vMerge/>
            <w:tcBorders>
              <w:top w:val="single" w:sz="6" w:space="0" w:color="auto"/>
              <w:left w:val="single" w:sz="24" w:space="0" w:color="auto"/>
              <w:bottom w:val="single" w:sz="6" w:space="0" w:color="auto"/>
              <w:right w:val="single" w:sz="6" w:space="0" w:color="auto"/>
            </w:tcBorders>
            <w:vAlign w:val="center"/>
            <w:hideMark/>
          </w:tcPr>
          <w:p w14:paraId="3B61F08F"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6" w:space="0" w:color="auto"/>
              <w:right w:val="single" w:sz="6" w:space="0" w:color="auto"/>
            </w:tcBorders>
            <w:vAlign w:val="center"/>
            <w:hideMark/>
          </w:tcPr>
          <w:p w14:paraId="37566C66"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098965B7"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6" w:space="0" w:color="auto"/>
              <w:right w:val="single" w:sz="6" w:space="0" w:color="auto"/>
            </w:tcBorders>
            <w:noWrap/>
            <w:vAlign w:val="center"/>
            <w:hideMark/>
          </w:tcPr>
          <w:p w14:paraId="770FDD17"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½" to 1"</w:t>
            </w:r>
          </w:p>
        </w:tc>
        <w:tc>
          <w:tcPr>
            <w:tcW w:w="964"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6A1C3BA" w14:textId="77777777" w:rsidR="008D7723" w:rsidRPr="00945156" w:rsidRDefault="008D7723" w:rsidP="008D7723">
            <w:pPr>
              <w:jc w:val="center"/>
              <w:rPr>
                <w:rFonts w:ascii="Arial" w:hAnsi="Arial" w:cs="Arial"/>
                <w:color w:val="000000"/>
                <w:sz w:val="14"/>
                <w:szCs w:val="14"/>
              </w:rPr>
            </w:pPr>
          </w:p>
        </w:tc>
        <w:tc>
          <w:tcPr>
            <w:tcW w:w="1221"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76DE8086" w14:textId="77777777" w:rsidR="008D7723" w:rsidRPr="00945156" w:rsidRDefault="008D7723" w:rsidP="008D7723">
            <w:pPr>
              <w:jc w:val="center"/>
              <w:rPr>
                <w:rFonts w:ascii="Arial" w:hAnsi="Arial" w:cs="Arial"/>
                <w:color w:val="000000"/>
                <w:sz w:val="14"/>
                <w:szCs w:val="14"/>
              </w:rPr>
            </w:pPr>
          </w:p>
        </w:tc>
        <w:tc>
          <w:tcPr>
            <w:tcW w:w="1318" w:type="dxa"/>
            <w:tcBorders>
              <w:top w:val="single" w:sz="6" w:space="0" w:color="auto"/>
              <w:left w:val="single" w:sz="6" w:space="0" w:color="auto"/>
              <w:bottom w:val="single" w:sz="6" w:space="0" w:color="auto"/>
              <w:right w:val="single" w:sz="6" w:space="0" w:color="auto"/>
            </w:tcBorders>
            <w:shd w:val="clear" w:color="auto" w:fill="D9D9D9" w:themeFill="background1" w:themeFillShade="D9"/>
            <w:noWrap/>
            <w:vAlign w:val="center"/>
            <w:hideMark/>
          </w:tcPr>
          <w:p w14:paraId="50F5793C" w14:textId="77777777" w:rsidR="008D7723" w:rsidRPr="00945156" w:rsidRDefault="008D7723" w:rsidP="008D7723">
            <w:pPr>
              <w:jc w:val="center"/>
              <w:rPr>
                <w:rFonts w:ascii="Arial" w:hAnsi="Arial" w:cs="Arial"/>
                <w:color w:val="000000"/>
                <w:sz w:val="14"/>
                <w:szCs w:val="14"/>
              </w:rPr>
            </w:pPr>
          </w:p>
        </w:tc>
        <w:tc>
          <w:tcPr>
            <w:tcW w:w="1742" w:type="dxa"/>
            <w:tcBorders>
              <w:top w:val="single" w:sz="6" w:space="0" w:color="auto"/>
              <w:left w:val="single" w:sz="6" w:space="0" w:color="auto"/>
              <w:bottom w:val="single" w:sz="6" w:space="0" w:color="auto"/>
              <w:right w:val="single" w:sz="6" w:space="0" w:color="auto"/>
            </w:tcBorders>
            <w:noWrap/>
            <w:vAlign w:val="center"/>
            <w:hideMark/>
          </w:tcPr>
          <w:p w14:paraId="7438C3A4"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1, D-3</w:t>
            </w:r>
            <w:r w:rsidRPr="00945156">
              <w:rPr>
                <w:rFonts w:ascii="Arial" w:hAnsi="Arial" w:cs="Arial"/>
                <w:color w:val="000000"/>
                <w:sz w:val="14"/>
                <w:szCs w:val="14"/>
              </w:rPr>
              <w:t>, D-4</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40B66A68"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6" w:space="0" w:color="auto"/>
              <w:right w:val="single" w:sz="6" w:space="0" w:color="auto"/>
            </w:tcBorders>
            <w:noWrap/>
            <w:vAlign w:val="center"/>
            <w:hideMark/>
          </w:tcPr>
          <w:p w14:paraId="311CED20"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3DC1BA32"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6" w:space="0" w:color="auto"/>
              <w:right w:val="single" w:sz="6" w:space="0" w:color="auto"/>
            </w:tcBorders>
            <w:shd w:val="clear" w:color="000000" w:fill="D8D8D8"/>
            <w:noWrap/>
            <w:vAlign w:val="center"/>
            <w:hideMark/>
          </w:tcPr>
          <w:p w14:paraId="4C10D44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6" w:space="0" w:color="auto"/>
              <w:left w:val="single" w:sz="6" w:space="0" w:color="auto"/>
              <w:bottom w:val="single" w:sz="6" w:space="0" w:color="auto"/>
              <w:right w:val="single" w:sz="24" w:space="0" w:color="auto"/>
            </w:tcBorders>
            <w:shd w:val="clear" w:color="auto" w:fill="D9D9D9" w:themeFill="background1" w:themeFillShade="D9"/>
            <w:noWrap/>
            <w:vAlign w:val="center"/>
            <w:hideMark/>
          </w:tcPr>
          <w:p w14:paraId="3CAC5F8A"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6FCE30F2" w14:textId="77777777" w:rsidTr="008D7723">
        <w:trPr>
          <w:trHeight w:val="195"/>
        </w:trPr>
        <w:tc>
          <w:tcPr>
            <w:tcW w:w="624" w:type="dxa"/>
            <w:vMerge/>
            <w:tcBorders>
              <w:top w:val="single" w:sz="6" w:space="0" w:color="auto"/>
              <w:left w:val="single" w:sz="24" w:space="0" w:color="auto"/>
              <w:bottom w:val="single" w:sz="24" w:space="0" w:color="auto"/>
              <w:right w:val="single" w:sz="6" w:space="0" w:color="auto"/>
            </w:tcBorders>
            <w:vAlign w:val="center"/>
            <w:hideMark/>
          </w:tcPr>
          <w:p w14:paraId="37B2BAD1" w14:textId="77777777" w:rsidR="008D7723" w:rsidRPr="00945156" w:rsidRDefault="008D7723" w:rsidP="008D7723">
            <w:pPr>
              <w:rPr>
                <w:rFonts w:ascii="Arial" w:hAnsi="Arial" w:cs="Arial"/>
                <w:color w:val="000000"/>
                <w:sz w:val="14"/>
                <w:szCs w:val="14"/>
              </w:rPr>
            </w:pPr>
          </w:p>
        </w:tc>
        <w:tc>
          <w:tcPr>
            <w:tcW w:w="606" w:type="dxa"/>
            <w:vMerge/>
            <w:tcBorders>
              <w:top w:val="single" w:sz="6" w:space="0" w:color="auto"/>
              <w:left w:val="single" w:sz="6" w:space="0" w:color="auto"/>
              <w:bottom w:val="single" w:sz="24" w:space="0" w:color="auto"/>
              <w:right w:val="single" w:sz="6" w:space="0" w:color="auto"/>
            </w:tcBorders>
            <w:vAlign w:val="center"/>
            <w:hideMark/>
          </w:tcPr>
          <w:p w14:paraId="5EB5C781" w14:textId="77777777" w:rsidR="008D7723" w:rsidRPr="00945156" w:rsidRDefault="008D7723" w:rsidP="008D7723">
            <w:pPr>
              <w:rPr>
                <w:rFonts w:ascii="Arial" w:hAnsi="Arial" w:cs="Arial"/>
                <w:color w:val="000000"/>
                <w:sz w:val="14"/>
                <w:szCs w:val="14"/>
              </w:rPr>
            </w:pPr>
          </w:p>
        </w:tc>
        <w:tc>
          <w:tcPr>
            <w:tcW w:w="714" w:type="dxa"/>
            <w:vMerge/>
            <w:tcBorders>
              <w:top w:val="single" w:sz="6" w:space="0" w:color="auto"/>
              <w:left w:val="single" w:sz="6" w:space="0" w:color="auto"/>
              <w:bottom w:val="single" w:sz="24" w:space="0" w:color="auto"/>
              <w:right w:val="single" w:sz="6" w:space="0" w:color="auto"/>
            </w:tcBorders>
            <w:vAlign w:val="center"/>
            <w:hideMark/>
          </w:tcPr>
          <w:p w14:paraId="7EB3890F" w14:textId="77777777" w:rsidR="008D7723" w:rsidRPr="00945156" w:rsidRDefault="008D7723" w:rsidP="008D7723">
            <w:pPr>
              <w:rPr>
                <w:rFonts w:ascii="Arial" w:hAnsi="Arial" w:cs="Arial"/>
                <w:color w:val="000000"/>
                <w:sz w:val="14"/>
                <w:szCs w:val="14"/>
              </w:rPr>
            </w:pPr>
          </w:p>
        </w:tc>
        <w:tc>
          <w:tcPr>
            <w:tcW w:w="791" w:type="dxa"/>
            <w:tcBorders>
              <w:top w:val="single" w:sz="6" w:space="0" w:color="auto"/>
              <w:left w:val="single" w:sz="6" w:space="0" w:color="auto"/>
              <w:bottom w:val="single" w:sz="24" w:space="0" w:color="auto"/>
              <w:right w:val="single" w:sz="6" w:space="0" w:color="auto"/>
            </w:tcBorders>
            <w:noWrap/>
            <w:vAlign w:val="center"/>
            <w:hideMark/>
          </w:tcPr>
          <w:p w14:paraId="489E058D"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&gt;1"</w:t>
            </w:r>
          </w:p>
        </w:tc>
        <w:tc>
          <w:tcPr>
            <w:tcW w:w="964" w:type="dxa"/>
            <w:tcBorders>
              <w:top w:val="single" w:sz="6" w:space="0" w:color="auto"/>
              <w:left w:val="single" w:sz="6" w:space="0" w:color="auto"/>
              <w:bottom w:val="single" w:sz="24" w:space="0" w:color="auto"/>
              <w:right w:val="single" w:sz="6" w:space="0" w:color="auto"/>
            </w:tcBorders>
            <w:shd w:val="clear" w:color="auto" w:fill="D9D9D9" w:themeFill="background1" w:themeFillShade="D9"/>
            <w:vAlign w:val="center"/>
            <w:hideMark/>
          </w:tcPr>
          <w:p w14:paraId="7147CADC" w14:textId="77777777" w:rsidR="008D7723" w:rsidRPr="00945156" w:rsidRDefault="008D7723" w:rsidP="008D7723">
            <w:pPr>
              <w:jc w:val="center"/>
              <w:rPr>
                <w:rFonts w:ascii="Arial" w:hAnsi="Arial" w:cs="Arial"/>
                <w:color w:val="000000"/>
                <w:sz w:val="14"/>
                <w:szCs w:val="14"/>
              </w:rPr>
            </w:pPr>
          </w:p>
        </w:tc>
        <w:tc>
          <w:tcPr>
            <w:tcW w:w="1221"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6A3E558D" w14:textId="77777777" w:rsidR="008D7723" w:rsidRPr="00945156" w:rsidRDefault="008D7723" w:rsidP="008D7723">
            <w:pPr>
              <w:jc w:val="center"/>
              <w:rPr>
                <w:rFonts w:ascii="Arial" w:hAnsi="Arial" w:cs="Arial"/>
                <w:color w:val="000000"/>
                <w:sz w:val="14"/>
                <w:szCs w:val="14"/>
              </w:rPr>
            </w:pPr>
          </w:p>
        </w:tc>
        <w:tc>
          <w:tcPr>
            <w:tcW w:w="1318" w:type="dxa"/>
            <w:tcBorders>
              <w:top w:val="single" w:sz="6" w:space="0" w:color="auto"/>
              <w:left w:val="single" w:sz="6" w:space="0" w:color="auto"/>
              <w:bottom w:val="single" w:sz="24" w:space="0" w:color="auto"/>
              <w:right w:val="single" w:sz="6" w:space="0" w:color="auto"/>
            </w:tcBorders>
            <w:shd w:val="clear" w:color="auto" w:fill="D9D9D9" w:themeFill="background1" w:themeFillShade="D9"/>
            <w:noWrap/>
            <w:vAlign w:val="center"/>
            <w:hideMark/>
          </w:tcPr>
          <w:p w14:paraId="7464F755" w14:textId="77777777" w:rsidR="008D7723" w:rsidRPr="00945156" w:rsidRDefault="008D7723" w:rsidP="008D7723">
            <w:pPr>
              <w:jc w:val="center"/>
              <w:rPr>
                <w:rFonts w:ascii="Arial" w:hAnsi="Arial" w:cs="Arial"/>
                <w:color w:val="000000"/>
                <w:sz w:val="14"/>
                <w:szCs w:val="14"/>
              </w:rPr>
            </w:pPr>
          </w:p>
        </w:tc>
        <w:tc>
          <w:tcPr>
            <w:tcW w:w="1742" w:type="dxa"/>
            <w:tcBorders>
              <w:top w:val="single" w:sz="6" w:space="0" w:color="auto"/>
              <w:left w:val="single" w:sz="6" w:space="0" w:color="auto"/>
              <w:bottom w:val="single" w:sz="24" w:space="0" w:color="auto"/>
              <w:right w:val="single" w:sz="6" w:space="0" w:color="auto"/>
            </w:tcBorders>
            <w:noWrap/>
            <w:vAlign w:val="center"/>
            <w:hideMark/>
          </w:tcPr>
          <w:p w14:paraId="6071746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D-</w:t>
            </w:r>
            <w:r>
              <w:rPr>
                <w:rFonts w:ascii="Arial" w:hAnsi="Arial" w:cs="Arial"/>
                <w:color w:val="000000"/>
                <w:sz w:val="14"/>
                <w:szCs w:val="14"/>
              </w:rPr>
              <w:t>3</w:t>
            </w:r>
            <w:r w:rsidRPr="00945156">
              <w:rPr>
                <w:rFonts w:ascii="Arial" w:hAnsi="Arial" w:cs="Arial"/>
                <w:color w:val="000000"/>
                <w:sz w:val="14"/>
                <w:szCs w:val="14"/>
              </w:rPr>
              <w:t>,</w:t>
            </w:r>
            <w:r>
              <w:rPr>
                <w:rFonts w:ascii="Arial" w:hAnsi="Arial" w:cs="Arial"/>
                <w:color w:val="000000"/>
                <w:sz w:val="14"/>
                <w:szCs w:val="14"/>
              </w:rPr>
              <w:t xml:space="preserve"> </w:t>
            </w:r>
            <w:r w:rsidRPr="00945156">
              <w:rPr>
                <w:rFonts w:ascii="Arial" w:hAnsi="Arial" w:cs="Arial"/>
                <w:color w:val="000000"/>
                <w:sz w:val="14"/>
                <w:szCs w:val="14"/>
              </w:rPr>
              <w:t>D-4</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7B8BB5C9"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E-2</w:t>
            </w:r>
          </w:p>
        </w:tc>
        <w:tc>
          <w:tcPr>
            <w:tcW w:w="900" w:type="dxa"/>
            <w:tcBorders>
              <w:top w:val="single" w:sz="6" w:space="0" w:color="auto"/>
              <w:left w:val="single" w:sz="6" w:space="0" w:color="auto"/>
              <w:bottom w:val="single" w:sz="24" w:space="0" w:color="auto"/>
              <w:right w:val="single" w:sz="6" w:space="0" w:color="auto"/>
            </w:tcBorders>
            <w:noWrap/>
            <w:vAlign w:val="center"/>
            <w:hideMark/>
          </w:tcPr>
          <w:p w14:paraId="39C9D176"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r>
              <w:rPr>
                <w:rFonts w:ascii="Arial" w:hAnsi="Arial" w:cs="Arial"/>
                <w:color w:val="000000"/>
                <w:sz w:val="14"/>
                <w:szCs w:val="14"/>
              </w:rPr>
              <w:t>F-1</w:t>
            </w:r>
            <w:r w:rsidRPr="00945156">
              <w:rPr>
                <w:rFonts w:ascii="Arial" w:hAnsi="Arial" w:cs="Arial"/>
                <w:color w:val="000000"/>
                <w:sz w:val="14"/>
                <w:szCs w:val="14"/>
              </w:rPr>
              <w:t> </w:t>
            </w:r>
          </w:p>
        </w:tc>
        <w:tc>
          <w:tcPr>
            <w:tcW w:w="1080" w:type="dxa"/>
            <w:tcBorders>
              <w:top w:val="single" w:sz="6" w:space="0" w:color="auto"/>
              <w:left w:val="single" w:sz="6" w:space="0" w:color="auto"/>
              <w:bottom w:val="single" w:sz="24" w:space="0" w:color="auto"/>
              <w:right w:val="single" w:sz="6" w:space="0" w:color="auto"/>
            </w:tcBorders>
            <w:noWrap/>
            <w:vAlign w:val="center"/>
            <w:hideMark/>
          </w:tcPr>
          <w:p w14:paraId="0E757602" w14:textId="77777777" w:rsidR="008D7723" w:rsidRPr="00945156" w:rsidRDefault="008D7723" w:rsidP="008D7723">
            <w:pPr>
              <w:jc w:val="center"/>
              <w:rPr>
                <w:rFonts w:ascii="Arial" w:hAnsi="Arial" w:cs="Arial"/>
                <w:color w:val="000000"/>
                <w:sz w:val="14"/>
                <w:szCs w:val="14"/>
              </w:rPr>
            </w:pPr>
            <w:r>
              <w:rPr>
                <w:rFonts w:ascii="Arial" w:hAnsi="Arial" w:cs="Arial"/>
                <w:color w:val="000000"/>
                <w:sz w:val="14"/>
                <w:szCs w:val="14"/>
              </w:rPr>
              <w:t>G</w:t>
            </w:r>
            <w:r w:rsidRPr="00945156">
              <w:rPr>
                <w:rFonts w:ascii="Arial" w:hAnsi="Arial" w:cs="Arial"/>
                <w:color w:val="000000"/>
                <w:sz w:val="14"/>
                <w:szCs w:val="14"/>
              </w:rPr>
              <w:t>-1</w:t>
            </w:r>
          </w:p>
        </w:tc>
        <w:tc>
          <w:tcPr>
            <w:tcW w:w="1080" w:type="dxa"/>
            <w:tcBorders>
              <w:top w:val="single" w:sz="6" w:space="0" w:color="auto"/>
              <w:left w:val="single" w:sz="6" w:space="0" w:color="auto"/>
              <w:bottom w:val="single" w:sz="24" w:space="0" w:color="auto"/>
              <w:right w:val="single" w:sz="6" w:space="0" w:color="auto"/>
            </w:tcBorders>
            <w:shd w:val="clear" w:color="000000" w:fill="D8D8D8"/>
            <w:noWrap/>
            <w:vAlign w:val="center"/>
            <w:hideMark/>
          </w:tcPr>
          <w:p w14:paraId="4B3CF1E8"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c>
          <w:tcPr>
            <w:tcW w:w="1031" w:type="dxa"/>
            <w:tcBorders>
              <w:top w:val="single" w:sz="6" w:space="0" w:color="auto"/>
              <w:left w:val="single" w:sz="6" w:space="0" w:color="auto"/>
              <w:bottom w:val="single" w:sz="24" w:space="0" w:color="auto"/>
              <w:right w:val="single" w:sz="24" w:space="0" w:color="auto"/>
            </w:tcBorders>
            <w:shd w:val="clear" w:color="auto" w:fill="D9D9D9" w:themeFill="background1" w:themeFillShade="D9"/>
            <w:noWrap/>
            <w:vAlign w:val="center"/>
            <w:hideMark/>
          </w:tcPr>
          <w:p w14:paraId="7C19408C" w14:textId="77777777" w:rsidR="008D7723" w:rsidRPr="00945156" w:rsidRDefault="008D7723" w:rsidP="008D7723">
            <w:pPr>
              <w:jc w:val="center"/>
              <w:rPr>
                <w:rFonts w:ascii="Arial" w:hAnsi="Arial" w:cs="Arial"/>
                <w:color w:val="000000"/>
                <w:sz w:val="14"/>
                <w:szCs w:val="14"/>
              </w:rPr>
            </w:pPr>
            <w:r w:rsidRPr="00945156">
              <w:rPr>
                <w:rFonts w:ascii="Arial" w:hAnsi="Arial" w:cs="Arial"/>
                <w:color w:val="000000"/>
                <w:sz w:val="14"/>
                <w:szCs w:val="14"/>
              </w:rPr>
              <w:t> </w:t>
            </w:r>
          </w:p>
        </w:tc>
      </w:tr>
      <w:tr w:rsidR="008D7723" w:rsidRPr="00945156" w14:paraId="544D7769" w14:textId="77777777" w:rsidTr="008D7723">
        <w:trPr>
          <w:trHeight w:val="255"/>
        </w:trPr>
        <w:tc>
          <w:tcPr>
            <w:tcW w:w="12971" w:type="dxa"/>
            <w:gridSpan w:val="13"/>
            <w:tcBorders>
              <w:top w:val="single" w:sz="24" w:space="0" w:color="auto"/>
              <w:left w:val="nil"/>
              <w:bottom w:val="nil"/>
              <w:right w:val="nil"/>
            </w:tcBorders>
            <w:noWrap/>
            <w:vAlign w:val="bottom"/>
            <w:hideMark/>
          </w:tcPr>
          <w:p w14:paraId="543897F1" w14:textId="77777777" w:rsidR="008D7723" w:rsidRPr="00B3418E" w:rsidRDefault="008D7723" w:rsidP="008D7723">
            <w:pPr>
              <w:rPr>
                <w:rStyle w:val="Hyperlink"/>
                <w:rFonts w:ascii="Arial" w:hAnsi="Arial"/>
                <w:sz w:val="18"/>
              </w:rPr>
            </w:pPr>
            <w:r w:rsidRPr="00B3418E">
              <w:rPr>
                <w:rFonts w:ascii="Arial" w:hAnsi="Arial"/>
                <w:color w:val="000000"/>
                <w:sz w:val="18"/>
              </w:rPr>
              <w:t xml:space="preserve">Note: See </w:t>
            </w:r>
            <w:hyperlink w:anchor="_Table_C._List_1" w:history="1">
              <w:r w:rsidRPr="00B3418E">
                <w:rPr>
                  <w:rStyle w:val="Hyperlink"/>
                  <w:rFonts w:ascii="Arial" w:hAnsi="Arial"/>
                  <w:sz w:val="18"/>
                </w:rPr>
                <w:t>Table C</w:t>
              </w:r>
            </w:hyperlink>
            <w:r w:rsidRPr="00B3418E">
              <w:rPr>
                <w:rFonts w:ascii="Arial" w:hAnsi="Arial"/>
                <w:color w:val="000000"/>
                <w:sz w:val="18"/>
              </w:rPr>
              <w:t xml:space="preserve"> for Treatment Activities.  *</w:t>
            </w:r>
            <w:r>
              <w:rPr>
                <w:rFonts w:ascii="Arial" w:hAnsi="Arial" w:cs="Arial"/>
                <w:color w:val="000000"/>
                <w:sz w:val="16"/>
                <w:szCs w:val="16"/>
              </w:rPr>
              <w:t>H</w:t>
            </w:r>
            <w:r w:rsidRPr="00B3418E">
              <w:rPr>
                <w:rFonts w:ascii="Arial" w:hAnsi="Arial"/>
                <w:color w:val="000000"/>
                <w:sz w:val="18"/>
              </w:rPr>
              <w:t xml:space="preserve">-2 and </w:t>
            </w:r>
            <w:r>
              <w:rPr>
                <w:rFonts w:ascii="Arial" w:hAnsi="Arial" w:cs="Arial"/>
                <w:color w:val="000000"/>
                <w:sz w:val="16"/>
                <w:szCs w:val="16"/>
              </w:rPr>
              <w:t>H</w:t>
            </w:r>
            <w:r w:rsidRPr="00B3418E">
              <w:rPr>
                <w:rFonts w:ascii="Arial" w:hAnsi="Arial"/>
                <w:color w:val="000000"/>
                <w:sz w:val="18"/>
              </w:rPr>
              <w:t>-3 apply to composite pavements only.  **</w:t>
            </w:r>
            <w:r>
              <w:rPr>
                <w:rFonts w:ascii="Arial" w:hAnsi="Arial" w:cs="Arial"/>
                <w:color w:val="000000"/>
                <w:sz w:val="16"/>
                <w:szCs w:val="16"/>
              </w:rPr>
              <w:t xml:space="preserve"> </w:t>
            </w:r>
            <w:r w:rsidRPr="00B3418E">
              <w:rPr>
                <w:rFonts w:ascii="Arial" w:hAnsi="Arial"/>
                <w:color w:val="000000"/>
                <w:sz w:val="18"/>
              </w:rPr>
              <w:t>D-</w:t>
            </w:r>
            <w:r>
              <w:rPr>
                <w:rFonts w:ascii="Arial" w:hAnsi="Arial" w:cs="Arial"/>
                <w:color w:val="000000"/>
                <w:sz w:val="16"/>
                <w:szCs w:val="16"/>
              </w:rPr>
              <w:t>4,</w:t>
            </w:r>
            <w:r w:rsidRPr="00B3418E">
              <w:rPr>
                <w:rFonts w:ascii="Arial" w:hAnsi="Arial"/>
                <w:color w:val="000000"/>
                <w:sz w:val="18"/>
              </w:rPr>
              <w:t xml:space="preserve"> D-</w:t>
            </w:r>
            <w:r>
              <w:rPr>
                <w:rFonts w:ascii="Arial" w:hAnsi="Arial" w:cs="Arial"/>
                <w:color w:val="000000"/>
                <w:sz w:val="16"/>
                <w:szCs w:val="16"/>
              </w:rPr>
              <w:t>6,</w:t>
            </w:r>
            <w:r w:rsidRPr="00B3418E">
              <w:rPr>
                <w:rFonts w:ascii="Arial" w:hAnsi="Arial"/>
                <w:color w:val="000000"/>
                <w:sz w:val="18"/>
              </w:rPr>
              <w:t xml:space="preserve"> and </w:t>
            </w:r>
            <w:r>
              <w:rPr>
                <w:rFonts w:ascii="Arial" w:hAnsi="Arial" w:cs="Arial"/>
                <w:color w:val="000000"/>
                <w:sz w:val="16"/>
                <w:szCs w:val="16"/>
              </w:rPr>
              <w:t>Major Rehab</w:t>
            </w:r>
            <w:r w:rsidRPr="00B3418E">
              <w:rPr>
                <w:rFonts w:ascii="Arial" w:hAnsi="Arial"/>
                <w:color w:val="000000"/>
                <w:sz w:val="18"/>
              </w:rPr>
              <w:t xml:space="preserve"> do not apply to pavements with predominant Curb &amp; Gutter.  </w:t>
            </w:r>
            <w:r w:rsidRPr="00B3418E">
              <w:rPr>
                <w:rFonts w:ascii="Arial" w:eastAsia="Arial" w:hAnsi="Arial"/>
                <w:sz w:val="18"/>
              </w:rPr>
              <w:t>Click to go to</w:t>
            </w:r>
            <w:r w:rsidRPr="00B3418E">
              <w:rPr>
                <w:rFonts w:ascii="Arial" w:hAnsi="Arial"/>
                <w:sz w:val="18"/>
              </w:rPr>
              <w:t xml:space="preserve"> </w:t>
            </w:r>
            <w:hyperlink w:anchor="_Initial_Treatment_Identification" w:history="1">
              <w:r w:rsidRPr="00B3418E">
                <w:rPr>
                  <w:rStyle w:val="Hyperlink"/>
                  <w:rFonts w:ascii="Arial" w:hAnsi="Arial"/>
                  <w:sz w:val="18"/>
                </w:rPr>
                <w:t>Initial Treatment Identification – Pavement Preservation Guide</w:t>
              </w:r>
            </w:hyperlink>
            <w:r w:rsidRPr="00E7268C">
              <w:rPr>
                <w:rStyle w:val="Hyperlink"/>
                <w:rFonts w:ascii="Arial" w:hAnsi="Arial" w:cs="Arial"/>
                <w:bCs/>
                <w:sz w:val="18"/>
                <w:szCs w:val="18"/>
              </w:rPr>
              <w:t>.</w:t>
            </w:r>
          </w:p>
          <w:p w14:paraId="1A29E546" w14:textId="77777777" w:rsidR="008D7723" w:rsidRPr="00945156" w:rsidRDefault="008D7723" w:rsidP="008D7723">
            <w:pPr>
              <w:rPr>
                <w:rFonts w:ascii="Arial" w:hAnsi="Arial" w:cs="Arial"/>
                <w:color w:val="000000"/>
                <w:sz w:val="16"/>
                <w:szCs w:val="16"/>
              </w:rPr>
            </w:pPr>
          </w:p>
        </w:tc>
      </w:tr>
    </w:tbl>
    <w:p w14:paraId="480DAE40" w14:textId="77777777" w:rsidR="0009228E" w:rsidRDefault="0009228E" w:rsidP="0009228E">
      <w:pPr>
        <w:pStyle w:val="Heading4"/>
        <w:ind w:left="0" w:firstLine="0"/>
      </w:pPr>
      <w:bookmarkStart w:id="56" w:name="_Treatment_Matrix_–"/>
      <w:bookmarkEnd w:id="56"/>
      <w:r>
        <w:rPr>
          <w:rFonts w:cs="Arial"/>
          <w:highlight w:val="yellow"/>
        </w:rPr>
        <w:br w:type="page"/>
      </w:r>
      <w:r>
        <w:lastRenderedPageBreak/>
        <w:t>Treatment Matrix – Concrete Surface</w:t>
      </w:r>
    </w:p>
    <w:p w14:paraId="4FE29FE5" w14:textId="68460AAF" w:rsidR="0009228E" w:rsidRDefault="0009228E" w:rsidP="0009228E">
      <w:pPr>
        <w:rPr>
          <w:rStyle w:val="Hyperlink"/>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Initial_Treatment_Identification" w:history="1">
        <w:r w:rsidRPr="007E1D5E">
          <w:rPr>
            <w:rStyle w:val="Hyperlink"/>
            <w:rFonts w:ascii="Arial" w:hAnsi="Arial" w:cs="Arial"/>
            <w:bCs/>
            <w:sz w:val="16"/>
            <w:szCs w:val="16"/>
          </w:rPr>
          <w:t>Initial Treatment Identification – Pavement Preservation Guide</w:t>
        </w:r>
      </w:hyperlink>
    </w:p>
    <w:p w14:paraId="441CFB71" w14:textId="48F3FBB6" w:rsidR="00080910" w:rsidRDefault="00080910" w:rsidP="0009228E">
      <w:pPr>
        <w:rPr>
          <w:rFonts w:ascii="Arial" w:hAnsi="Arial" w:cs="Arial"/>
          <w:sz w:val="22"/>
          <w:highlight w:val="yellow"/>
        </w:rPr>
      </w:pPr>
    </w:p>
    <w:tbl>
      <w:tblPr>
        <w:tblW w:w="11530"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407"/>
        <w:gridCol w:w="1140"/>
        <w:gridCol w:w="1062"/>
        <w:gridCol w:w="1230"/>
        <w:gridCol w:w="1056"/>
        <w:gridCol w:w="1332"/>
        <w:gridCol w:w="1560"/>
        <w:gridCol w:w="1743"/>
      </w:tblGrid>
      <w:tr w:rsidR="00B3418E" w:rsidRPr="0009228E" w14:paraId="2713ACF8" w14:textId="77777777" w:rsidTr="00B3418E">
        <w:trPr>
          <w:trHeight w:val="675"/>
        </w:trPr>
        <w:tc>
          <w:tcPr>
            <w:tcW w:w="2407" w:type="dxa"/>
            <w:noWrap/>
            <w:vAlign w:val="center"/>
            <w:hideMark/>
          </w:tcPr>
          <w:p w14:paraId="1A018165" w14:textId="77777777" w:rsidR="00B3418E" w:rsidRPr="0009228E" w:rsidRDefault="00B3418E" w:rsidP="00B3418E">
            <w:pPr>
              <w:jc w:val="center"/>
              <w:rPr>
                <w:rFonts w:ascii="Bell MT" w:hAnsi="Bell MT"/>
                <w:b/>
                <w:bCs/>
                <w:color w:val="000000"/>
                <w:sz w:val="40"/>
                <w:szCs w:val="40"/>
              </w:rPr>
            </w:pPr>
            <w:bookmarkStart w:id="57" w:name="TableX"/>
            <w:r w:rsidRPr="0009228E">
              <w:rPr>
                <w:rFonts w:ascii="Bell MT" w:hAnsi="Bell MT"/>
                <w:b/>
                <w:bCs/>
                <w:color w:val="000000"/>
                <w:sz w:val="40"/>
                <w:szCs w:val="40"/>
              </w:rPr>
              <w:t>Table X</w:t>
            </w:r>
            <w:bookmarkEnd w:id="57"/>
          </w:p>
        </w:tc>
        <w:tc>
          <w:tcPr>
            <w:tcW w:w="9123" w:type="dxa"/>
            <w:gridSpan w:val="7"/>
            <w:vAlign w:val="center"/>
            <w:hideMark/>
          </w:tcPr>
          <w:p w14:paraId="46CDBC88" w14:textId="77777777" w:rsidR="00B3418E" w:rsidRPr="0009228E" w:rsidRDefault="00B3418E" w:rsidP="00B3418E">
            <w:pPr>
              <w:jc w:val="center"/>
              <w:rPr>
                <w:rFonts w:ascii="Arial" w:hAnsi="Arial" w:cs="Arial"/>
                <w:b/>
                <w:bCs/>
                <w:color w:val="000000"/>
                <w:sz w:val="18"/>
                <w:szCs w:val="18"/>
              </w:rPr>
            </w:pPr>
            <w:r w:rsidRPr="0009228E">
              <w:rPr>
                <w:rFonts w:ascii="Arial" w:hAnsi="Arial" w:cs="Arial"/>
                <w:b/>
                <w:bCs/>
                <w:color w:val="000000"/>
                <w:sz w:val="18"/>
                <w:szCs w:val="18"/>
              </w:rPr>
              <w:t>Pavement Type: Concrete Pavement</w:t>
            </w:r>
          </w:p>
          <w:p w14:paraId="5DC69A20" w14:textId="77777777" w:rsidR="00B3418E" w:rsidRPr="0009228E" w:rsidRDefault="00B3418E" w:rsidP="00B3418E">
            <w:pPr>
              <w:jc w:val="center"/>
              <w:rPr>
                <w:rFonts w:ascii="Arial" w:hAnsi="Arial" w:cs="Arial"/>
                <w:b/>
                <w:bCs/>
                <w:color w:val="000000"/>
                <w:sz w:val="18"/>
                <w:szCs w:val="18"/>
              </w:rPr>
            </w:pPr>
            <w:r w:rsidRPr="0009228E">
              <w:rPr>
                <w:rFonts w:ascii="Arial" w:hAnsi="Arial" w:cs="Arial"/>
                <w:b/>
                <w:bCs/>
                <w:color w:val="000000"/>
                <w:sz w:val="18"/>
                <w:szCs w:val="18"/>
              </w:rPr>
              <w:t> </w:t>
            </w:r>
          </w:p>
        </w:tc>
      </w:tr>
      <w:tr w:rsidR="00B3418E" w:rsidRPr="0009228E" w14:paraId="7ACB7121" w14:textId="77777777" w:rsidTr="00B3418E">
        <w:trPr>
          <w:trHeight w:val="465"/>
        </w:trPr>
        <w:tc>
          <w:tcPr>
            <w:tcW w:w="2407" w:type="dxa"/>
            <w:vAlign w:val="center"/>
            <w:hideMark/>
          </w:tcPr>
          <w:p w14:paraId="38DF7CC9"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 </w:t>
            </w:r>
          </w:p>
        </w:tc>
        <w:tc>
          <w:tcPr>
            <w:tcW w:w="1140" w:type="dxa"/>
            <w:vAlign w:val="center"/>
            <w:hideMark/>
          </w:tcPr>
          <w:p w14:paraId="70C30AED"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A. Crack/ Joint Seal</w:t>
            </w:r>
          </w:p>
        </w:tc>
        <w:tc>
          <w:tcPr>
            <w:tcW w:w="1062" w:type="dxa"/>
            <w:vAlign w:val="center"/>
            <w:hideMark/>
          </w:tcPr>
          <w:p w14:paraId="0587131F"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 xml:space="preserve">D. </w:t>
            </w:r>
            <w:r>
              <w:rPr>
                <w:rFonts w:ascii="Arial" w:hAnsi="Arial" w:cs="Arial"/>
                <w:b/>
                <w:bCs/>
                <w:color w:val="000000"/>
                <w:sz w:val="16"/>
                <w:szCs w:val="16"/>
              </w:rPr>
              <w:t>Asphalt</w:t>
            </w:r>
            <w:r w:rsidRPr="0009228E">
              <w:rPr>
                <w:rFonts w:ascii="Arial" w:hAnsi="Arial" w:cs="Arial"/>
                <w:b/>
                <w:bCs/>
                <w:color w:val="000000"/>
                <w:sz w:val="16"/>
                <w:szCs w:val="16"/>
              </w:rPr>
              <w:t xml:space="preserve"> Overlay</w:t>
            </w:r>
          </w:p>
        </w:tc>
        <w:tc>
          <w:tcPr>
            <w:tcW w:w="1230" w:type="dxa"/>
            <w:vAlign w:val="center"/>
            <w:hideMark/>
          </w:tcPr>
          <w:p w14:paraId="29F54AD4"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E. PCC Overlay</w:t>
            </w:r>
          </w:p>
        </w:tc>
        <w:tc>
          <w:tcPr>
            <w:tcW w:w="1056" w:type="dxa"/>
            <w:vAlign w:val="center"/>
            <w:hideMark/>
          </w:tcPr>
          <w:p w14:paraId="42447431"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 xml:space="preserve">F. </w:t>
            </w:r>
            <w:r>
              <w:rPr>
                <w:rFonts w:ascii="Arial" w:hAnsi="Arial" w:cs="Arial"/>
                <w:b/>
                <w:bCs/>
                <w:color w:val="000000"/>
                <w:sz w:val="16"/>
                <w:szCs w:val="16"/>
              </w:rPr>
              <w:t>Spot Repair</w:t>
            </w:r>
          </w:p>
        </w:tc>
        <w:tc>
          <w:tcPr>
            <w:tcW w:w="1332" w:type="dxa"/>
            <w:vAlign w:val="center"/>
            <w:hideMark/>
          </w:tcPr>
          <w:p w14:paraId="572A5916" w14:textId="77777777" w:rsidR="00B3418E" w:rsidRPr="0009228E" w:rsidRDefault="00B3418E" w:rsidP="00B3418E">
            <w:pPr>
              <w:jc w:val="center"/>
              <w:rPr>
                <w:rFonts w:ascii="Arial" w:hAnsi="Arial" w:cs="Arial"/>
                <w:b/>
                <w:bCs/>
                <w:color w:val="000000"/>
                <w:sz w:val="16"/>
                <w:szCs w:val="16"/>
              </w:rPr>
            </w:pPr>
            <w:r>
              <w:rPr>
                <w:rFonts w:ascii="Arial" w:hAnsi="Arial" w:cs="Arial"/>
                <w:b/>
                <w:bCs/>
                <w:color w:val="000000"/>
                <w:sz w:val="16"/>
                <w:szCs w:val="16"/>
              </w:rPr>
              <w:t>G</w:t>
            </w:r>
            <w:r w:rsidRPr="0009228E">
              <w:rPr>
                <w:rFonts w:ascii="Arial" w:hAnsi="Arial" w:cs="Arial"/>
                <w:b/>
                <w:bCs/>
                <w:color w:val="000000"/>
                <w:sz w:val="16"/>
                <w:szCs w:val="16"/>
              </w:rPr>
              <w:t>. Surface Texturizing</w:t>
            </w:r>
          </w:p>
        </w:tc>
        <w:tc>
          <w:tcPr>
            <w:tcW w:w="1560" w:type="dxa"/>
            <w:vAlign w:val="center"/>
            <w:hideMark/>
          </w:tcPr>
          <w:p w14:paraId="0EA8804E" w14:textId="77777777" w:rsidR="00B3418E" w:rsidRPr="0009228E" w:rsidRDefault="00B3418E" w:rsidP="00B3418E">
            <w:pPr>
              <w:jc w:val="center"/>
              <w:rPr>
                <w:rFonts w:ascii="Arial" w:hAnsi="Arial" w:cs="Arial"/>
                <w:b/>
                <w:bCs/>
                <w:color w:val="000000"/>
                <w:sz w:val="16"/>
                <w:szCs w:val="16"/>
              </w:rPr>
            </w:pPr>
            <w:r>
              <w:rPr>
                <w:rFonts w:ascii="Arial" w:hAnsi="Arial" w:cs="Arial"/>
                <w:b/>
                <w:bCs/>
                <w:color w:val="000000"/>
                <w:sz w:val="16"/>
                <w:szCs w:val="16"/>
              </w:rPr>
              <w:t>H</w:t>
            </w:r>
            <w:r w:rsidRPr="0009228E">
              <w:rPr>
                <w:rFonts w:ascii="Arial" w:hAnsi="Arial" w:cs="Arial"/>
                <w:b/>
                <w:bCs/>
                <w:color w:val="000000"/>
                <w:sz w:val="16"/>
                <w:szCs w:val="16"/>
              </w:rPr>
              <w:t>. Major Rehab</w:t>
            </w:r>
          </w:p>
        </w:tc>
        <w:tc>
          <w:tcPr>
            <w:tcW w:w="1743" w:type="dxa"/>
            <w:vAlign w:val="center"/>
          </w:tcPr>
          <w:p w14:paraId="714EE59B" w14:textId="77777777" w:rsidR="00B3418E" w:rsidRPr="0009228E" w:rsidRDefault="00B3418E" w:rsidP="00B3418E">
            <w:pPr>
              <w:jc w:val="center"/>
              <w:rPr>
                <w:rFonts w:ascii="Arial" w:hAnsi="Arial" w:cs="Arial"/>
                <w:b/>
                <w:bCs/>
                <w:color w:val="000000"/>
                <w:sz w:val="16"/>
                <w:szCs w:val="16"/>
              </w:rPr>
            </w:pPr>
            <w:r>
              <w:rPr>
                <w:rFonts w:ascii="Arial" w:hAnsi="Arial" w:cs="Arial"/>
                <w:b/>
                <w:bCs/>
                <w:color w:val="000000"/>
                <w:sz w:val="16"/>
                <w:szCs w:val="16"/>
              </w:rPr>
              <w:t>I</w:t>
            </w:r>
            <w:r w:rsidRPr="0009228E">
              <w:rPr>
                <w:rFonts w:ascii="Arial" w:hAnsi="Arial" w:cs="Arial"/>
                <w:b/>
                <w:bCs/>
                <w:color w:val="000000"/>
                <w:sz w:val="16"/>
                <w:szCs w:val="16"/>
              </w:rPr>
              <w:t>. Reconstruction</w:t>
            </w:r>
          </w:p>
        </w:tc>
      </w:tr>
      <w:tr w:rsidR="00B3418E" w:rsidRPr="0009228E" w14:paraId="47394219" w14:textId="77777777" w:rsidTr="00B3418E">
        <w:trPr>
          <w:trHeight w:val="930"/>
        </w:trPr>
        <w:tc>
          <w:tcPr>
            <w:tcW w:w="2407" w:type="dxa"/>
            <w:vAlign w:val="center"/>
            <w:hideMark/>
          </w:tcPr>
          <w:p w14:paraId="69BFE8B6"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Blow ups, Corner Breaks, Divided Slab, D-Cracking, Patches &amp; Punchouts</w:t>
            </w:r>
          </w:p>
        </w:tc>
        <w:tc>
          <w:tcPr>
            <w:tcW w:w="1140" w:type="dxa"/>
            <w:shd w:val="clear" w:color="auto" w:fill="D9D9D9" w:themeFill="background1" w:themeFillShade="D9"/>
            <w:vAlign w:val="center"/>
            <w:hideMark/>
          </w:tcPr>
          <w:p w14:paraId="024F7359"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062" w:type="dxa"/>
            <w:shd w:val="clear" w:color="auto" w:fill="FFFFFF" w:themeFill="background1"/>
            <w:vAlign w:val="center"/>
            <w:hideMark/>
          </w:tcPr>
          <w:p w14:paraId="3D08E005"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D-</w:t>
            </w:r>
            <w:r>
              <w:rPr>
                <w:rFonts w:ascii="Arial" w:hAnsi="Arial" w:cs="Arial"/>
                <w:color w:val="000000"/>
                <w:sz w:val="14"/>
                <w:szCs w:val="14"/>
              </w:rPr>
              <w:t>6</w:t>
            </w:r>
          </w:p>
        </w:tc>
        <w:tc>
          <w:tcPr>
            <w:tcW w:w="1230" w:type="dxa"/>
            <w:shd w:val="clear" w:color="auto" w:fill="FFFFFF" w:themeFill="background1"/>
            <w:vAlign w:val="center"/>
            <w:hideMark/>
          </w:tcPr>
          <w:p w14:paraId="1886EC9F"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E-1</w:t>
            </w:r>
          </w:p>
        </w:tc>
        <w:tc>
          <w:tcPr>
            <w:tcW w:w="1056" w:type="dxa"/>
            <w:shd w:val="clear" w:color="auto" w:fill="FFFFFF" w:themeFill="background1"/>
            <w:vAlign w:val="center"/>
            <w:hideMark/>
          </w:tcPr>
          <w:p w14:paraId="0B306136"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F-</w:t>
            </w:r>
            <w:r>
              <w:rPr>
                <w:rFonts w:ascii="Arial" w:hAnsi="Arial" w:cs="Arial"/>
                <w:color w:val="000000"/>
                <w:sz w:val="14"/>
                <w:szCs w:val="14"/>
              </w:rPr>
              <w:t>2</w:t>
            </w:r>
          </w:p>
        </w:tc>
        <w:tc>
          <w:tcPr>
            <w:tcW w:w="1332" w:type="dxa"/>
            <w:shd w:val="clear" w:color="auto" w:fill="D9D9D9" w:themeFill="background1" w:themeFillShade="D9"/>
            <w:vAlign w:val="center"/>
            <w:hideMark/>
          </w:tcPr>
          <w:p w14:paraId="5A0E191A"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560" w:type="dxa"/>
            <w:shd w:val="clear" w:color="auto" w:fill="FFFFFF" w:themeFill="background1"/>
            <w:vAlign w:val="center"/>
            <w:hideMark/>
          </w:tcPr>
          <w:p w14:paraId="69E5D508" w14:textId="77777777" w:rsidR="00B3418E" w:rsidRPr="0009228E" w:rsidRDefault="00B3418E" w:rsidP="00B3418E">
            <w:pPr>
              <w:jc w:val="center"/>
              <w:rPr>
                <w:rFonts w:ascii="Arial" w:hAnsi="Arial" w:cs="Arial"/>
                <w:color w:val="000000"/>
                <w:sz w:val="14"/>
                <w:szCs w:val="14"/>
              </w:rPr>
            </w:pPr>
            <w:r>
              <w:rPr>
                <w:rFonts w:ascii="Arial" w:hAnsi="Arial" w:cs="Arial"/>
                <w:color w:val="000000"/>
                <w:sz w:val="14"/>
                <w:szCs w:val="14"/>
              </w:rPr>
              <w:t>H</w:t>
            </w:r>
            <w:r w:rsidRPr="0009228E">
              <w:rPr>
                <w:rFonts w:ascii="Arial" w:hAnsi="Arial" w:cs="Arial"/>
                <w:color w:val="000000"/>
                <w:sz w:val="14"/>
                <w:szCs w:val="14"/>
              </w:rPr>
              <w:t xml:space="preserve">-2, </w:t>
            </w:r>
            <w:r>
              <w:rPr>
                <w:rFonts w:ascii="Arial" w:hAnsi="Arial" w:cs="Arial"/>
                <w:color w:val="000000"/>
                <w:sz w:val="14"/>
                <w:szCs w:val="14"/>
              </w:rPr>
              <w:t>H</w:t>
            </w:r>
            <w:r w:rsidRPr="0009228E">
              <w:rPr>
                <w:rFonts w:ascii="Arial" w:hAnsi="Arial" w:cs="Arial"/>
                <w:color w:val="000000"/>
                <w:sz w:val="14"/>
                <w:szCs w:val="14"/>
              </w:rPr>
              <w:t>-3</w:t>
            </w:r>
          </w:p>
        </w:tc>
        <w:tc>
          <w:tcPr>
            <w:tcW w:w="1743" w:type="dxa"/>
            <w:shd w:val="clear" w:color="auto" w:fill="FFFFFF" w:themeFill="background1"/>
            <w:vAlign w:val="center"/>
          </w:tcPr>
          <w:p w14:paraId="312A84E6" w14:textId="77777777" w:rsidR="00B3418E" w:rsidRPr="0009228E" w:rsidRDefault="00B3418E" w:rsidP="00B3418E">
            <w:pPr>
              <w:jc w:val="center"/>
              <w:rPr>
                <w:rFonts w:ascii="Arial" w:hAnsi="Arial" w:cs="Arial"/>
                <w:color w:val="000000"/>
                <w:sz w:val="14"/>
                <w:szCs w:val="14"/>
              </w:rPr>
            </w:pPr>
            <w:r>
              <w:rPr>
                <w:rFonts w:ascii="Arial" w:hAnsi="Arial" w:cs="Arial"/>
                <w:color w:val="000000"/>
                <w:sz w:val="14"/>
                <w:szCs w:val="14"/>
              </w:rPr>
              <w:t>I</w:t>
            </w:r>
            <w:r w:rsidRPr="0009228E">
              <w:rPr>
                <w:rFonts w:ascii="Arial" w:hAnsi="Arial" w:cs="Arial"/>
                <w:color w:val="000000"/>
                <w:sz w:val="14"/>
                <w:szCs w:val="14"/>
              </w:rPr>
              <w:t>-1</w:t>
            </w:r>
          </w:p>
        </w:tc>
      </w:tr>
      <w:tr w:rsidR="00B3418E" w:rsidRPr="0009228E" w14:paraId="4BADCA3A" w14:textId="77777777" w:rsidTr="00B3418E">
        <w:trPr>
          <w:trHeight w:val="705"/>
        </w:trPr>
        <w:tc>
          <w:tcPr>
            <w:tcW w:w="2407" w:type="dxa"/>
            <w:vAlign w:val="center"/>
            <w:hideMark/>
          </w:tcPr>
          <w:p w14:paraId="7AA98B0D"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Faulting</w:t>
            </w:r>
          </w:p>
        </w:tc>
        <w:tc>
          <w:tcPr>
            <w:tcW w:w="1140" w:type="dxa"/>
            <w:shd w:val="clear" w:color="auto" w:fill="D9D9D9" w:themeFill="background1" w:themeFillShade="D9"/>
            <w:vAlign w:val="center"/>
            <w:hideMark/>
          </w:tcPr>
          <w:p w14:paraId="554866FC"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062" w:type="dxa"/>
            <w:shd w:val="clear" w:color="auto" w:fill="FFFFFF" w:themeFill="background1"/>
            <w:vAlign w:val="center"/>
            <w:hideMark/>
          </w:tcPr>
          <w:p w14:paraId="55A3B5BA"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D-</w:t>
            </w:r>
            <w:r>
              <w:rPr>
                <w:rFonts w:ascii="Arial" w:hAnsi="Arial" w:cs="Arial"/>
                <w:color w:val="000000"/>
                <w:sz w:val="14"/>
                <w:szCs w:val="14"/>
              </w:rPr>
              <w:t>6</w:t>
            </w:r>
          </w:p>
        </w:tc>
        <w:tc>
          <w:tcPr>
            <w:tcW w:w="1230" w:type="dxa"/>
            <w:shd w:val="clear" w:color="auto" w:fill="FFFFFF" w:themeFill="background1"/>
            <w:vAlign w:val="center"/>
            <w:hideMark/>
          </w:tcPr>
          <w:p w14:paraId="047F74CB"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E-1, E-2</w:t>
            </w:r>
          </w:p>
        </w:tc>
        <w:tc>
          <w:tcPr>
            <w:tcW w:w="1056" w:type="dxa"/>
            <w:shd w:val="clear" w:color="auto" w:fill="FFFFFF" w:themeFill="background1"/>
            <w:vAlign w:val="center"/>
            <w:hideMark/>
          </w:tcPr>
          <w:p w14:paraId="28B04984"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r>
              <w:rPr>
                <w:rFonts w:ascii="Arial" w:hAnsi="Arial" w:cs="Arial"/>
                <w:color w:val="000000"/>
                <w:sz w:val="14"/>
                <w:szCs w:val="14"/>
              </w:rPr>
              <w:t>F-5, F-6</w:t>
            </w:r>
          </w:p>
        </w:tc>
        <w:tc>
          <w:tcPr>
            <w:tcW w:w="1332" w:type="dxa"/>
            <w:shd w:val="clear" w:color="auto" w:fill="FFFFFF" w:themeFill="background1"/>
            <w:vAlign w:val="center"/>
            <w:hideMark/>
          </w:tcPr>
          <w:p w14:paraId="0E012885" w14:textId="77777777" w:rsidR="00B3418E" w:rsidRPr="0009228E" w:rsidRDefault="00B3418E" w:rsidP="00B3418E">
            <w:pPr>
              <w:jc w:val="center"/>
              <w:rPr>
                <w:rFonts w:ascii="Arial" w:hAnsi="Arial" w:cs="Arial"/>
                <w:color w:val="000000"/>
                <w:sz w:val="14"/>
                <w:szCs w:val="14"/>
              </w:rPr>
            </w:pPr>
            <w:r>
              <w:rPr>
                <w:rFonts w:ascii="Arial" w:hAnsi="Arial" w:cs="Arial"/>
                <w:color w:val="000000"/>
                <w:sz w:val="14"/>
                <w:szCs w:val="14"/>
              </w:rPr>
              <w:t>G-1</w:t>
            </w:r>
          </w:p>
        </w:tc>
        <w:tc>
          <w:tcPr>
            <w:tcW w:w="1560" w:type="dxa"/>
            <w:shd w:val="clear" w:color="auto" w:fill="D9D9D9" w:themeFill="background1" w:themeFillShade="D9"/>
            <w:vAlign w:val="center"/>
            <w:hideMark/>
          </w:tcPr>
          <w:p w14:paraId="5D7C2871"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743" w:type="dxa"/>
            <w:shd w:val="clear" w:color="auto" w:fill="D9D9D9" w:themeFill="background1" w:themeFillShade="D9"/>
            <w:vAlign w:val="center"/>
          </w:tcPr>
          <w:p w14:paraId="7F2864BE"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r>
      <w:tr w:rsidR="00B3418E" w:rsidRPr="0009228E" w14:paraId="5565C08F" w14:textId="77777777" w:rsidTr="00B3418E">
        <w:trPr>
          <w:trHeight w:val="705"/>
        </w:trPr>
        <w:tc>
          <w:tcPr>
            <w:tcW w:w="2407" w:type="dxa"/>
            <w:vAlign w:val="center"/>
            <w:hideMark/>
          </w:tcPr>
          <w:p w14:paraId="653400FD"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Joint Seal Failure</w:t>
            </w:r>
          </w:p>
        </w:tc>
        <w:tc>
          <w:tcPr>
            <w:tcW w:w="1140" w:type="dxa"/>
            <w:shd w:val="clear" w:color="auto" w:fill="FFFFFF" w:themeFill="background1"/>
            <w:vAlign w:val="center"/>
            <w:hideMark/>
          </w:tcPr>
          <w:p w14:paraId="1716D5A9"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A-3</w:t>
            </w:r>
          </w:p>
        </w:tc>
        <w:tc>
          <w:tcPr>
            <w:tcW w:w="1062" w:type="dxa"/>
            <w:shd w:val="clear" w:color="auto" w:fill="D9D9D9" w:themeFill="background1" w:themeFillShade="D9"/>
            <w:vAlign w:val="center"/>
            <w:hideMark/>
          </w:tcPr>
          <w:p w14:paraId="620F6F83"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230" w:type="dxa"/>
            <w:shd w:val="clear" w:color="auto" w:fill="D9D9D9" w:themeFill="background1" w:themeFillShade="D9"/>
            <w:vAlign w:val="center"/>
            <w:hideMark/>
          </w:tcPr>
          <w:p w14:paraId="0535DA7F"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056" w:type="dxa"/>
            <w:shd w:val="clear" w:color="auto" w:fill="D9D9D9" w:themeFill="background1" w:themeFillShade="D9"/>
            <w:vAlign w:val="center"/>
            <w:hideMark/>
          </w:tcPr>
          <w:p w14:paraId="7E0BEECF"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332" w:type="dxa"/>
            <w:shd w:val="clear" w:color="auto" w:fill="D9D9D9" w:themeFill="background1" w:themeFillShade="D9"/>
            <w:vAlign w:val="center"/>
            <w:hideMark/>
          </w:tcPr>
          <w:p w14:paraId="2AD56FA4"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560" w:type="dxa"/>
            <w:shd w:val="clear" w:color="auto" w:fill="D9D9D9" w:themeFill="background1" w:themeFillShade="D9"/>
            <w:vAlign w:val="center"/>
            <w:hideMark/>
          </w:tcPr>
          <w:p w14:paraId="5928A48B"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743" w:type="dxa"/>
            <w:shd w:val="clear" w:color="auto" w:fill="D9D9D9" w:themeFill="background1" w:themeFillShade="D9"/>
            <w:vAlign w:val="center"/>
          </w:tcPr>
          <w:p w14:paraId="073D4AA8"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r>
      <w:tr w:rsidR="00B3418E" w:rsidRPr="0009228E" w14:paraId="67DB3F9A" w14:textId="77777777" w:rsidTr="00B3418E">
        <w:trPr>
          <w:trHeight w:val="330"/>
        </w:trPr>
        <w:tc>
          <w:tcPr>
            <w:tcW w:w="2407" w:type="dxa"/>
            <w:vAlign w:val="center"/>
            <w:hideMark/>
          </w:tcPr>
          <w:p w14:paraId="3B990A43"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Longitudinal Cracks</w:t>
            </w:r>
          </w:p>
        </w:tc>
        <w:tc>
          <w:tcPr>
            <w:tcW w:w="1140" w:type="dxa"/>
            <w:shd w:val="clear" w:color="auto" w:fill="FFFFFF" w:themeFill="background1"/>
            <w:vAlign w:val="center"/>
            <w:hideMark/>
          </w:tcPr>
          <w:p w14:paraId="792B7DC9"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A-2</w:t>
            </w:r>
          </w:p>
        </w:tc>
        <w:tc>
          <w:tcPr>
            <w:tcW w:w="1062" w:type="dxa"/>
            <w:shd w:val="clear" w:color="auto" w:fill="FFFFFF" w:themeFill="background1"/>
            <w:vAlign w:val="center"/>
            <w:hideMark/>
          </w:tcPr>
          <w:p w14:paraId="148572DF"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D-</w:t>
            </w:r>
            <w:r>
              <w:rPr>
                <w:rFonts w:ascii="Arial" w:hAnsi="Arial" w:cs="Arial"/>
                <w:color w:val="000000"/>
                <w:sz w:val="14"/>
                <w:szCs w:val="14"/>
              </w:rPr>
              <w:t>6</w:t>
            </w:r>
          </w:p>
        </w:tc>
        <w:tc>
          <w:tcPr>
            <w:tcW w:w="1230" w:type="dxa"/>
            <w:shd w:val="clear" w:color="auto" w:fill="FFFFFF" w:themeFill="background1"/>
            <w:vAlign w:val="center"/>
            <w:hideMark/>
          </w:tcPr>
          <w:p w14:paraId="5E948963"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E-2</w:t>
            </w:r>
          </w:p>
        </w:tc>
        <w:tc>
          <w:tcPr>
            <w:tcW w:w="1056" w:type="dxa"/>
            <w:shd w:val="clear" w:color="auto" w:fill="FFFFFF" w:themeFill="background1"/>
            <w:vAlign w:val="center"/>
            <w:hideMark/>
          </w:tcPr>
          <w:p w14:paraId="03677389"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r>
              <w:rPr>
                <w:rFonts w:ascii="Arial" w:hAnsi="Arial" w:cs="Arial"/>
                <w:color w:val="000000"/>
                <w:sz w:val="14"/>
                <w:szCs w:val="14"/>
              </w:rPr>
              <w:t>F-4</w:t>
            </w:r>
          </w:p>
        </w:tc>
        <w:tc>
          <w:tcPr>
            <w:tcW w:w="1332" w:type="dxa"/>
            <w:shd w:val="clear" w:color="auto" w:fill="D9D9D9" w:themeFill="background1" w:themeFillShade="D9"/>
            <w:vAlign w:val="center"/>
            <w:hideMark/>
          </w:tcPr>
          <w:p w14:paraId="32C7F6B5"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560" w:type="dxa"/>
            <w:shd w:val="clear" w:color="auto" w:fill="D9D9D9" w:themeFill="background1" w:themeFillShade="D9"/>
            <w:vAlign w:val="center"/>
            <w:hideMark/>
          </w:tcPr>
          <w:p w14:paraId="3C50507A"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743" w:type="dxa"/>
            <w:shd w:val="clear" w:color="auto" w:fill="D9D9D9" w:themeFill="background1" w:themeFillShade="D9"/>
            <w:vAlign w:val="center"/>
          </w:tcPr>
          <w:p w14:paraId="702C202D"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r>
      <w:tr w:rsidR="00B3418E" w:rsidRPr="0009228E" w14:paraId="36DBF68F" w14:textId="77777777" w:rsidTr="00B3418E">
        <w:trPr>
          <w:trHeight w:val="705"/>
        </w:trPr>
        <w:tc>
          <w:tcPr>
            <w:tcW w:w="2407" w:type="dxa"/>
            <w:vAlign w:val="center"/>
            <w:hideMark/>
          </w:tcPr>
          <w:p w14:paraId="6123EE74"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Polishing, Popouts, Scaling &amp; Shrinkage cracks</w:t>
            </w:r>
          </w:p>
        </w:tc>
        <w:tc>
          <w:tcPr>
            <w:tcW w:w="1140" w:type="dxa"/>
            <w:shd w:val="clear" w:color="auto" w:fill="D9D9D9" w:themeFill="background1" w:themeFillShade="D9"/>
            <w:vAlign w:val="center"/>
            <w:hideMark/>
          </w:tcPr>
          <w:p w14:paraId="3A7FCD7B"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062" w:type="dxa"/>
            <w:shd w:val="clear" w:color="auto" w:fill="D9D9D9" w:themeFill="background1" w:themeFillShade="D9"/>
            <w:vAlign w:val="center"/>
            <w:hideMark/>
          </w:tcPr>
          <w:p w14:paraId="53FAAC64"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230" w:type="dxa"/>
            <w:shd w:val="clear" w:color="auto" w:fill="D9D9D9" w:themeFill="background1" w:themeFillShade="D9"/>
            <w:vAlign w:val="center"/>
            <w:hideMark/>
          </w:tcPr>
          <w:p w14:paraId="52B467D2"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056" w:type="dxa"/>
            <w:shd w:val="clear" w:color="auto" w:fill="D9D9D9" w:themeFill="background1" w:themeFillShade="D9"/>
            <w:vAlign w:val="center"/>
            <w:hideMark/>
          </w:tcPr>
          <w:p w14:paraId="6DFFC7EA"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332" w:type="dxa"/>
            <w:shd w:val="clear" w:color="auto" w:fill="FFFFFF" w:themeFill="background1"/>
            <w:vAlign w:val="center"/>
            <w:hideMark/>
          </w:tcPr>
          <w:p w14:paraId="08A55A0A" w14:textId="77777777" w:rsidR="00B3418E" w:rsidRPr="0009228E" w:rsidRDefault="00B3418E" w:rsidP="00B3418E">
            <w:pPr>
              <w:jc w:val="center"/>
              <w:rPr>
                <w:rFonts w:ascii="Arial" w:hAnsi="Arial" w:cs="Arial"/>
                <w:color w:val="000000"/>
                <w:sz w:val="14"/>
                <w:szCs w:val="14"/>
              </w:rPr>
            </w:pPr>
            <w:r>
              <w:rPr>
                <w:rFonts w:ascii="Arial" w:hAnsi="Arial" w:cs="Arial"/>
                <w:color w:val="000000"/>
                <w:sz w:val="14"/>
                <w:szCs w:val="14"/>
              </w:rPr>
              <w:t>G-1</w:t>
            </w:r>
            <w:r w:rsidRPr="0009228E">
              <w:rPr>
                <w:rFonts w:ascii="Arial" w:hAnsi="Arial" w:cs="Arial"/>
                <w:color w:val="000000"/>
                <w:sz w:val="14"/>
                <w:szCs w:val="14"/>
              </w:rPr>
              <w:t xml:space="preserve">, </w:t>
            </w:r>
            <w:r>
              <w:rPr>
                <w:rFonts w:ascii="Arial" w:hAnsi="Arial" w:cs="Arial"/>
                <w:color w:val="000000"/>
                <w:sz w:val="14"/>
                <w:szCs w:val="14"/>
              </w:rPr>
              <w:t>G-2</w:t>
            </w:r>
          </w:p>
        </w:tc>
        <w:tc>
          <w:tcPr>
            <w:tcW w:w="1560" w:type="dxa"/>
            <w:shd w:val="clear" w:color="auto" w:fill="D9D9D9" w:themeFill="background1" w:themeFillShade="D9"/>
            <w:vAlign w:val="center"/>
            <w:hideMark/>
          </w:tcPr>
          <w:p w14:paraId="4A7BF930"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743" w:type="dxa"/>
            <w:shd w:val="clear" w:color="auto" w:fill="D9D9D9" w:themeFill="background1" w:themeFillShade="D9"/>
            <w:vAlign w:val="center"/>
          </w:tcPr>
          <w:p w14:paraId="11139230"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r>
      <w:tr w:rsidR="00B3418E" w:rsidRPr="0009228E" w14:paraId="6B1F3CF1" w14:textId="77777777" w:rsidTr="00B3418E">
        <w:trPr>
          <w:trHeight w:val="330"/>
        </w:trPr>
        <w:tc>
          <w:tcPr>
            <w:tcW w:w="2407" w:type="dxa"/>
            <w:vAlign w:val="center"/>
            <w:hideMark/>
          </w:tcPr>
          <w:p w14:paraId="2F8E8B7D"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Pumping</w:t>
            </w:r>
          </w:p>
        </w:tc>
        <w:tc>
          <w:tcPr>
            <w:tcW w:w="1140" w:type="dxa"/>
            <w:shd w:val="clear" w:color="auto" w:fill="D9D9D9" w:themeFill="background1" w:themeFillShade="D9"/>
            <w:vAlign w:val="center"/>
            <w:hideMark/>
          </w:tcPr>
          <w:p w14:paraId="0A8A1574"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062" w:type="dxa"/>
            <w:shd w:val="clear" w:color="auto" w:fill="D9D9D9" w:themeFill="background1" w:themeFillShade="D9"/>
            <w:vAlign w:val="center"/>
            <w:hideMark/>
          </w:tcPr>
          <w:p w14:paraId="6E65AADA"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230" w:type="dxa"/>
            <w:shd w:val="clear" w:color="auto" w:fill="D9D9D9" w:themeFill="background1" w:themeFillShade="D9"/>
            <w:vAlign w:val="center"/>
            <w:hideMark/>
          </w:tcPr>
          <w:p w14:paraId="4D585160"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056" w:type="dxa"/>
            <w:shd w:val="clear" w:color="auto" w:fill="FFFFFF" w:themeFill="background1"/>
            <w:vAlign w:val="center"/>
            <w:hideMark/>
          </w:tcPr>
          <w:p w14:paraId="5036A42B" w14:textId="77777777" w:rsidR="00B3418E" w:rsidRPr="0009228E" w:rsidRDefault="00B3418E" w:rsidP="00B3418E">
            <w:pPr>
              <w:jc w:val="center"/>
              <w:rPr>
                <w:rFonts w:ascii="Arial" w:hAnsi="Arial" w:cs="Arial"/>
                <w:color w:val="000000"/>
                <w:sz w:val="14"/>
                <w:szCs w:val="14"/>
              </w:rPr>
            </w:pPr>
            <w:r>
              <w:rPr>
                <w:rFonts w:ascii="Arial" w:hAnsi="Arial" w:cs="Arial"/>
                <w:color w:val="000000"/>
                <w:sz w:val="14"/>
                <w:szCs w:val="14"/>
              </w:rPr>
              <w:t>F-6</w:t>
            </w:r>
          </w:p>
        </w:tc>
        <w:tc>
          <w:tcPr>
            <w:tcW w:w="1332" w:type="dxa"/>
            <w:shd w:val="clear" w:color="auto" w:fill="D9D9D9" w:themeFill="background1" w:themeFillShade="D9"/>
            <w:vAlign w:val="center"/>
            <w:hideMark/>
          </w:tcPr>
          <w:p w14:paraId="5B44ECB9"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560" w:type="dxa"/>
            <w:shd w:val="clear" w:color="auto" w:fill="FFFFFF" w:themeFill="background1"/>
            <w:vAlign w:val="center"/>
            <w:hideMark/>
          </w:tcPr>
          <w:p w14:paraId="7E3A4CA5" w14:textId="77777777" w:rsidR="00B3418E" w:rsidRPr="0009228E" w:rsidRDefault="00B3418E" w:rsidP="00B3418E">
            <w:pPr>
              <w:jc w:val="center"/>
              <w:rPr>
                <w:rFonts w:ascii="Arial" w:hAnsi="Arial" w:cs="Arial"/>
                <w:color w:val="000000"/>
                <w:sz w:val="14"/>
                <w:szCs w:val="14"/>
              </w:rPr>
            </w:pPr>
            <w:r>
              <w:rPr>
                <w:rFonts w:ascii="Arial" w:hAnsi="Arial" w:cs="Arial"/>
                <w:color w:val="000000"/>
                <w:sz w:val="14"/>
                <w:szCs w:val="14"/>
              </w:rPr>
              <w:t>H</w:t>
            </w:r>
            <w:r w:rsidRPr="0009228E">
              <w:rPr>
                <w:rFonts w:ascii="Arial" w:hAnsi="Arial" w:cs="Arial"/>
                <w:color w:val="000000"/>
                <w:sz w:val="14"/>
                <w:szCs w:val="14"/>
              </w:rPr>
              <w:t xml:space="preserve">-2, </w:t>
            </w:r>
            <w:r>
              <w:rPr>
                <w:rFonts w:ascii="Arial" w:hAnsi="Arial" w:cs="Arial"/>
                <w:color w:val="000000"/>
                <w:sz w:val="14"/>
                <w:szCs w:val="14"/>
              </w:rPr>
              <w:t>H</w:t>
            </w:r>
            <w:r w:rsidRPr="0009228E">
              <w:rPr>
                <w:rFonts w:ascii="Arial" w:hAnsi="Arial" w:cs="Arial"/>
                <w:color w:val="000000"/>
                <w:sz w:val="14"/>
                <w:szCs w:val="14"/>
              </w:rPr>
              <w:t>-3</w:t>
            </w:r>
          </w:p>
        </w:tc>
        <w:tc>
          <w:tcPr>
            <w:tcW w:w="1743" w:type="dxa"/>
            <w:shd w:val="clear" w:color="auto" w:fill="FFFFFF" w:themeFill="background1"/>
            <w:vAlign w:val="center"/>
          </w:tcPr>
          <w:p w14:paraId="1D9B552C" w14:textId="77777777" w:rsidR="00B3418E" w:rsidRPr="0009228E" w:rsidRDefault="00B3418E" w:rsidP="00B3418E">
            <w:pPr>
              <w:jc w:val="center"/>
              <w:rPr>
                <w:rFonts w:ascii="Arial" w:hAnsi="Arial" w:cs="Arial"/>
                <w:color w:val="000000"/>
                <w:sz w:val="14"/>
                <w:szCs w:val="14"/>
              </w:rPr>
            </w:pPr>
            <w:r>
              <w:rPr>
                <w:rFonts w:ascii="Arial" w:hAnsi="Arial" w:cs="Arial"/>
                <w:color w:val="000000"/>
                <w:sz w:val="14"/>
                <w:szCs w:val="14"/>
              </w:rPr>
              <w:t>I</w:t>
            </w:r>
            <w:r w:rsidRPr="0009228E">
              <w:rPr>
                <w:rFonts w:ascii="Arial" w:hAnsi="Arial" w:cs="Arial"/>
                <w:color w:val="000000"/>
                <w:sz w:val="14"/>
                <w:szCs w:val="14"/>
              </w:rPr>
              <w:t>-1</w:t>
            </w:r>
          </w:p>
        </w:tc>
      </w:tr>
      <w:tr w:rsidR="00B3418E" w:rsidRPr="0009228E" w14:paraId="6D522CCD" w14:textId="77777777" w:rsidTr="00B3418E">
        <w:trPr>
          <w:trHeight w:val="330"/>
        </w:trPr>
        <w:tc>
          <w:tcPr>
            <w:tcW w:w="2407" w:type="dxa"/>
            <w:vAlign w:val="center"/>
            <w:hideMark/>
          </w:tcPr>
          <w:p w14:paraId="2871E017"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Spalls</w:t>
            </w:r>
          </w:p>
        </w:tc>
        <w:tc>
          <w:tcPr>
            <w:tcW w:w="1140" w:type="dxa"/>
            <w:shd w:val="clear" w:color="auto" w:fill="D9D9D9" w:themeFill="background1" w:themeFillShade="D9"/>
            <w:vAlign w:val="center"/>
            <w:hideMark/>
          </w:tcPr>
          <w:p w14:paraId="33AE939E"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062" w:type="dxa"/>
            <w:shd w:val="clear" w:color="auto" w:fill="FFFFFF" w:themeFill="background1"/>
            <w:vAlign w:val="center"/>
            <w:hideMark/>
          </w:tcPr>
          <w:p w14:paraId="4B61F641"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D-</w:t>
            </w:r>
            <w:r>
              <w:rPr>
                <w:rFonts w:ascii="Arial" w:hAnsi="Arial" w:cs="Arial"/>
                <w:color w:val="000000"/>
                <w:sz w:val="14"/>
                <w:szCs w:val="14"/>
              </w:rPr>
              <w:t>6</w:t>
            </w:r>
          </w:p>
        </w:tc>
        <w:tc>
          <w:tcPr>
            <w:tcW w:w="1230" w:type="dxa"/>
            <w:shd w:val="clear" w:color="auto" w:fill="FFFFFF" w:themeFill="background1"/>
            <w:vAlign w:val="center"/>
            <w:hideMark/>
          </w:tcPr>
          <w:p w14:paraId="0830FDFF"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E-2</w:t>
            </w:r>
          </w:p>
        </w:tc>
        <w:tc>
          <w:tcPr>
            <w:tcW w:w="1056" w:type="dxa"/>
            <w:shd w:val="clear" w:color="auto" w:fill="FFFFFF" w:themeFill="background1"/>
            <w:vAlign w:val="center"/>
            <w:hideMark/>
          </w:tcPr>
          <w:p w14:paraId="5A8CE611"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F-</w:t>
            </w:r>
            <w:r>
              <w:rPr>
                <w:rFonts w:ascii="Arial" w:hAnsi="Arial" w:cs="Arial"/>
                <w:color w:val="000000"/>
                <w:sz w:val="14"/>
                <w:szCs w:val="14"/>
              </w:rPr>
              <w:t>3</w:t>
            </w:r>
          </w:p>
        </w:tc>
        <w:tc>
          <w:tcPr>
            <w:tcW w:w="1332" w:type="dxa"/>
            <w:shd w:val="clear" w:color="auto" w:fill="D9D9D9" w:themeFill="background1" w:themeFillShade="D9"/>
            <w:vAlign w:val="center"/>
            <w:hideMark/>
          </w:tcPr>
          <w:p w14:paraId="6A63107C"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560" w:type="dxa"/>
            <w:shd w:val="clear" w:color="auto" w:fill="D9D9D9" w:themeFill="background1" w:themeFillShade="D9"/>
            <w:vAlign w:val="center"/>
            <w:hideMark/>
          </w:tcPr>
          <w:p w14:paraId="757C5DFA"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743" w:type="dxa"/>
            <w:shd w:val="clear" w:color="auto" w:fill="D9D9D9" w:themeFill="background1" w:themeFillShade="D9"/>
            <w:vAlign w:val="center"/>
          </w:tcPr>
          <w:p w14:paraId="3F2E4678"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r>
      <w:tr w:rsidR="00B3418E" w:rsidRPr="0009228E" w14:paraId="4A12B20B" w14:textId="77777777" w:rsidTr="00B3418E">
        <w:trPr>
          <w:trHeight w:val="330"/>
        </w:trPr>
        <w:tc>
          <w:tcPr>
            <w:tcW w:w="2407" w:type="dxa"/>
            <w:vAlign w:val="center"/>
            <w:hideMark/>
          </w:tcPr>
          <w:p w14:paraId="048DB20E" w14:textId="77777777" w:rsidR="00B3418E" w:rsidRPr="0009228E" w:rsidRDefault="00B3418E" w:rsidP="00B3418E">
            <w:pPr>
              <w:jc w:val="center"/>
              <w:rPr>
                <w:rFonts w:ascii="Arial" w:hAnsi="Arial" w:cs="Arial"/>
                <w:b/>
                <w:bCs/>
                <w:color w:val="000000"/>
                <w:sz w:val="16"/>
                <w:szCs w:val="16"/>
              </w:rPr>
            </w:pPr>
            <w:r w:rsidRPr="0009228E">
              <w:rPr>
                <w:rFonts w:ascii="Arial" w:hAnsi="Arial" w:cs="Arial"/>
                <w:b/>
                <w:bCs/>
                <w:color w:val="000000"/>
                <w:sz w:val="16"/>
                <w:szCs w:val="16"/>
              </w:rPr>
              <w:t>Transverse Cracks</w:t>
            </w:r>
          </w:p>
        </w:tc>
        <w:tc>
          <w:tcPr>
            <w:tcW w:w="1140" w:type="dxa"/>
            <w:shd w:val="clear" w:color="auto" w:fill="FFFFFF" w:themeFill="background1"/>
            <w:vAlign w:val="center"/>
            <w:hideMark/>
          </w:tcPr>
          <w:p w14:paraId="4AF4870C"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A-2</w:t>
            </w:r>
          </w:p>
        </w:tc>
        <w:tc>
          <w:tcPr>
            <w:tcW w:w="1062" w:type="dxa"/>
            <w:shd w:val="clear" w:color="auto" w:fill="FFFFFF" w:themeFill="background1"/>
            <w:vAlign w:val="center"/>
            <w:hideMark/>
          </w:tcPr>
          <w:p w14:paraId="21EDA789"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D-</w:t>
            </w:r>
            <w:r>
              <w:rPr>
                <w:rFonts w:ascii="Arial" w:hAnsi="Arial" w:cs="Arial"/>
                <w:color w:val="000000"/>
                <w:sz w:val="14"/>
                <w:szCs w:val="14"/>
              </w:rPr>
              <w:t>6</w:t>
            </w:r>
          </w:p>
        </w:tc>
        <w:tc>
          <w:tcPr>
            <w:tcW w:w="1230" w:type="dxa"/>
            <w:shd w:val="clear" w:color="auto" w:fill="FFFFFF" w:themeFill="background1"/>
            <w:vAlign w:val="center"/>
            <w:hideMark/>
          </w:tcPr>
          <w:p w14:paraId="3540F3E2"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E-2</w:t>
            </w:r>
          </w:p>
        </w:tc>
        <w:tc>
          <w:tcPr>
            <w:tcW w:w="1056" w:type="dxa"/>
            <w:shd w:val="clear" w:color="auto" w:fill="FFFFFF" w:themeFill="background1"/>
            <w:vAlign w:val="center"/>
            <w:hideMark/>
          </w:tcPr>
          <w:p w14:paraId="17D8F906" w14:textId="77777777" w:rsidR="00B3418E" w:rsidRPr="0009228E" w:rsidRDefault="00B3418E" w:rsidP="00B3418E">
            <w:pPr>
              <w:jc w:val="center"/>
              <w:rPr>
                <w:rFonts w:ascii="Arial" w:hAnsi="Arial" w:cs="Arial"/>
                <w:color w:val="000000"/>
                <w:sz w:val="14"/>
                <w:szCs w:val="14"/>
              </w:rPr>
            </w:pPr>
            <w:r>
              <w:rPr>
                <w:rFonts w:ascii="Arial" w:hAnsi="Arial" w:cs="Arial"/>
                <w:color w:val="000000"/>
                <w:sz w:val="14"/>
                <w:szCs w:val="14"/>
              </w:rPr>
              <w:t>F-5</w:t>
            </w:r>
            <w:r w:rsidRPr="0009228E">
              <w:rPr>
                <w:rFonts w:ascii="Arial" w:hAnsi="Arial" w:cs="Arial"/>
                <w:color w:val="000000"/>
                <w:sz w:val="14"/>
                <w:szCs w:val="14"/>
              </w:rPr>
              <w:t> </w:t>
            </w:r>
          </w:p>
        </w:tc>
        <w:tc>
          <w:tcPr>
            <w:tcW w:w="1332" w:type="dxa"/>
            <w:shd w:val="clear" w:color="auto" w:fill="D9D9D9" w:themeFill="background1" w:themeFillShade="D9"/>
            <w:vAlign w:val="center"/>
            <w:hideMark/>
          </w:tcPr>
          <w:p w14:paraId="79D61F70"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560" w:type="dxa"/>
            <w:shd w:val="clear" w:color="auto" w:fill="D9D9D9" w:themeFill="background1" w:themeFillShade="D9"/>
            <w:vAlign w:val="center"/>
            <w:hideMark/>
          </w:tcPr>
          <w:p w14:paraId="2680F7BC"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c>
          <w:tcPr>
            <w:tcW w:w="1743" w:type="dxa"/>
            <w:shd w:val="clear" w:color="auto" w:fill="D9D9D9" w:themeFill="background1" w:themeFillShade="D9"/>
            <w:vAlign w:val="center"/>
          </w:tcPr>
          <w:p w14:paraId="3CACBE70" w14:textId="77777777" w:rsidR="00B3418E" w:rsidRPr="0009228E" w:rsidRDefault="00B3418E" w:rsidP="00B3418E">
            <w:pPr>
              <w:jc w:val="center"/>
              <w:rPr>
                <w:rFonts w:ascii="Arial" w:hAnsi="Arial" w:cs="Arial"/>
                <w:color w:val="000000"/>
                <w:sz w:val="14"/>
                <w:szCs w:val="14"/>
              </w:rPr>
            </w:pPr>
            <w:r w:rsidRPr="0009228E">
              <w:rPr>
                <w:rFonts w:ascii="Arial" w:hAnsi="Arial" w:cs="Arial"/>
                <w:color w:val="000000"/>
                <w:sz w:val="14"/>
                <w:szCs w:val="14"/>
              </w:rPr>
              <w:t> </w:t>
            </w:r>
          </w:p>
        </w:tc>
      </w:tr>
    </w:tbl>
    <w:p w14:paraId="530C4D62" w14:textId="77777777" w:rsidR="00B3418E" w:rsidRDefault="00B3418E" w:rsidP="0009228E">
      <w:pPr>
        <w:rPr>
          <w:rFonts w:ascii="Arial" w:hAnsi="Arial" w:cs="Arial"/>
          <w:sz w:val="22"/>
          <w:highlight w:val="yellow"/>
        </w:rPr>
      </w:pPr>
    </w:p>
    <w:p w14:paraId="13C1B2D0" w14:textId="77777777" w:rsidR="00B3418E" w:rsidRDefault="00B3418E" w:rsidP="0009228E">
      <w:pPr>
        <w:rPr>
          <w:rFonts w:ascii="Arial" w:hAnsi="Arial" w:cs="Arial"/>
          <w:sz w:val="22"/>
          <w:highlight w:val="yellow"/>
        </w:rPr>
      </w:pPr>
    </w:p>
    <w:p w14:paraId="549E9D50" w14:textId="2F87AC38" w:rsidR="0009228E" w:rsidRPr="00B3418E" w:rsidRDefault="009164FC" w:rsidP="00B3418E">
      <w:pPr>
        <w:pStyle w:val="ListParagraph"/>
        <w:numPr>
          <w:ilvl w:val="0"/>
          <w:numId w:val="30"/>
        </w:numPr>
        <w:ind w:left="540"/>
        <w:rPr>
          <w:rFonts w:ascii="Arial" w:hAnsi="Arial"/>
          <w:color w:val="000000"/>
          <w:sz w:val="18"/>
        </w:rPr>
      </w:pPr>
      <w:r w:rsidRPr="009164FC">
        <w:rPr>
          <w:rFonts w:ascii="Arial" w:hAnsi="Arial" w:cs="Arial"/>
          <w:sz w:val="18"/>
          <w:szCs w:val="18"/>
        </w:rPr>
        <w:t>Notes:</w:t>
      </w:r>
      <w:r w:rsidR="0009228E" w:rsidRPr="00B3418E">
        <w:rPr>
          <w:rFonts w:ascii="Arial" w:hAnsi="Arial"/>
          <w:color w:val="000000"/>
          <w:sz w:val="18"/>
        </w:rPr>
        <w:t xml:space="preserve">See </w:t>
      </w:r>
      <w:hyperlink w:anchor="_Table_C._List_1" w:history="1">
        <w:r w:rsidR="0009228E" w:rsidRPr="00B3418E">
          <w:rPr>
            <w:rStyle w:val="Hyperlink"/>
            <w:rFonts w:ascii="Arial" w:hAnsi="Arial"/>
            <w:sz w:val="18"/>
          </w:rPr>
          <w:t>Table C</w:t>
        </w:r>
      </w:hyperlink>
      <w:r w:rsidR="0009228E" w:rsidRPr="00B3418E">
        <w:rPr>
          <w:rFonts w:ascii="Arial" w:hAnsi="Arial"/>
          <w:color w:val="000000"/>
          <w:sz w:val="18"/>
        </w:rPr>
        <w:t xml:space="preserve"> for Treatment Activities.</w:t>
      </w:r>
    </w:p>
    <w:p w14:paraId="6405F7BA" w14:textId="02E6BA09" w:rsidR="0009228E" w:rsidRPr="00B3418E" w:rsidRDefault="0009228E" w:rsidP="00B3418E">
      <w:pPr>
        <w:pStyle w:val="ListParagraph"/>
        <w:numPr>
          <w:ilvl w:val="0"/>
          <w:numId w:val="30"/>
        </w:numPr>
        <w:ind w:left="540"/>
        <w:rPr>
          <w:rFonts w:ascii="Arial" w:hAnsi="Arial"/>
          <w:color w:val="000000"/>
          <w:sz w:val="18"/>
        </w:rPr>
      </w:pPr>
      <w:r w:rsidRPr="00B3418E">
        <w:rPr>
          <w:rFonts w:ascii="Arial" w:hAnsi="Arial"/>
          <w:color w:val="000000"/>
          <w:sz w:val="18"/>
        </w:rPr>
        <w:t xml:space="preserve">Refer to the Concrete Distress Paver Manual of the U.S. Army Corps of Engineers for definitions of </w:t>
      </w:r>
      <w:r w:rsidR="00517FBD" w:rsidRPr="005E0B43">
        <w:rPr>
          <w:rFonts w:ascii="Arial" w:hAnsi="Arial" w:cs="Arial"/>
          <w:color w:val="000000"/>
          <w:sz w:val="20"/>
          <w:szCs w:val="20"/>
        </w:rPr>
        <w:t>distresses</w:t>
      </w:r>
      <w:r w:rsidRPr="00B3418E">
        <w:rPr>
          <w:rFonts w:ascii="Arial" w:hAnsi="Arial"/>
          <w:color w:val="000000"/>
          <w:sz w:val="18"/>
        </w:rPr>
        <w:t>.</w:t>
      </w:r>
    </w:p>
    <w:p w14:paraId="53FD8977" w14:textId="0F2C01B5" w:rsidR="0009228E" w:rsidRPr="00B3418E" w:rsidRDefault="0009228E" w:rsidP="00B3418E">
      <w:pPr>
        <w:pStyle w:val="ListParagraph"/>
        <w:numPr>
          <w:ilvl w:val="0"/>
          <w:numId w:val="30"/>
        </w:numPr>
        <w:ind w:left="540"/>
        <w:rPr>
          <w:rFonts w:ascii="Arial" w:hAnsi="Arial"/>
          <w:color w:val="000000"/>
          <w:sz w:val="18"/>
        </w:rPr>
      </w:pPr>
      <w:r w:rsidRPr="00B3418E">
        <w:rPr>
          <w:rFonts w:ascii="Arial" w:hAnsi="Arial"/>
          <w:color w:val="000000"/>
          <w:sz w:val="18"/>
        </w:rPr>
        <w:t xml:space="preserve">If functional </w:t>
      </w:r>
      <w:r w:rsidR="00517FBD" w:rsidRPr="005E0B43">
        <w:rPr>
          <w:rFonts w:ascii="Arial" w:hAnsi="Arial" w:cs="Arial"/>
          <w:color w:val="000000"/>
          <w:sz w:val="20"/>
          <w:szCs w:val="20"/>
        </w:rPr>
        <w:t>distresses</w:t>
      </w:r>
      <w:r w:rsidRPr="00B3418E">
        <w:rPr>
          <w:rFonts w:ascii="Arial" w:hAnsi="Arial"/>
          <w:color w:val="000000"/>
          <w:sz w:val="18"/>
        </w:rPr>
        <w:t xml:space="preserve"> (scaling, popouts, shrinkage cracks, etc.) </w:t>
      </w:r>
      <w:r w:rsidR="00517FBD" w:rsidRPr="005E0B43">
        <w:rPr>
          <w:rFonts w:ascii="Arial" w:hAnsi="Arial" w:cs="Arial"/>
          <w:color w:val="000000"/>
          <w:sz w:val="20"/>
          <w:szCs w:val="20"/>
        </w:rPr>
        <w:t>are</w:t>
      </w:r>
      <w:r w:rsidR="00E7268C" w:rsidRPr="00B3418E">
        <w:rPr>
          <w:rFonts w:ascii="Arial" w:hAnsi="Arial"/>
          <w:color w:val="000000"/>
          <w:sz w:val="18"/>
        </w:rPr>
        <w:t xml:space="preserve"> </w:t>
      </w:r>
      <w:r w:rsidRPr="00B3418E">
        <w:rPr>
          <w:rFonts w:ascii="Arial" w:hAnsi="Arial"/>
          <w:color w:val="000000"/>
          <w:sz w:val="18"/>
        </w:rPr>
        <w:t>present, consider Grind (</w:t>
      </w:r>
      <w:r w:rsidR="00517FBD">
        <w:rPr>
          <w:rFonts w:ascii="Arial" w:hAnsi="Arial" w:cs="Arial"/>
          <w:color w:val="000000"/>
          <w:sz w:val="20"/>
          <w:szCs w:val="20"/>
        </w:rPr>
        <w:t>G-1</w:t>
      </w:r>
      <w:r w:rsidRPr="00B3418E">
        <w:rPr>
          <w:rFonts w:ascii="Arial" w:hAnsi="Arial"/>
          <w:color w:val="000000"/>
          <w:sz w:val="18"/>
        </w:rPr>
        <w:t>) or Surface Abrasion (</w:t>
      </w:r>
      <w:r w:rsidR="00517FBD">
        <w:rPr>
          <w:rFonts w:ascii="Arial" w:hAnsi="Arial" w:cs="Arial"/>
          <w:color w:val="000000"/>
          <w:sz w:val="20"/>
          <w:szCs w:val="20"/>
        </w:rPr>
        <w:t>G-2</w:t>
      </w:r>
      <w:r w:rsidRPr="00B3418E">
        <w:rPr>
          <w:rFonts w:ascii="Arial" w:hAnsi="Arial"/>
          <w:color w:val="000000"/>
          <w:sz w:val="18"/>
        </w:rPr>
        <w:t>).</w:t>
      </w:r>
    </w:p>
    <w:p w14:paraId="408F6D7A" w14:textId="06AD7EAC" w:rsidR="00C946EE" w:rsidRPr="00B3418E" w:rsidRDefault="0009228E" w:rsidP="00B3418E">
      <w:pPr>
        <w:pStyle w:val="ListParagraph"/>
        <w:numPr>
          <w:ilvl w:val="0"/>
          <w:numId w:val="30"/>
        </w:numPr>
        <w:ind w:left="540"/>
        <w:rPr>
          <w:rFonts w:ascii="Arial" w:hAnsi="Arial"/>
          <w:sz w:val="18"/>
        </w:rPr>
      </w:pPr>
      <w:r w:rsidRPr="00B3418E">
        <w:rPr>
          <w:rFonts w:ascii="Arial" w:hAnsi="Arial"/>
          <w:color w:val="000000"/>
          <w:sz w:val="18"/>
        </w:rPr>
        <w:t>If shallow durability problems such as "D" cracking, and Alkali Silica Reactivity (ASR) are present, consider Grind (</w:t>
      </w:r>
      <w:r w:rsidR="00517FBD">
        <w:rPr>
          <w:rFonts w:ascii="Arial" w:hAnsi="Arial" w:cs="Arial"/>
          <w:color w:val="000000"/>
          <w:sz w:val="20"/>
          <w:szCs w:val="20"/>
        </w:rPr>
        <w:t>G-1</w:t>
      </w:r>
      <w:r w:rsidRPr="00B3418E">
        <w:rPr>
          <w:rFonts w:ascii="Arial" w:hAnsi="Arial"/>
          <w:color w:val="000000"/>
          <w:sz w:val="18"/>
        </w:rPr>
        <w:t>) and Overlay (D-</w:t>
      </w:r>
      <w:r w:rsidR="00517FBD">
        <w:rPr>
          <w:rFonts w:ascii="Arial" w:hAnsi="Arial" w:cs="Arial"/>
          <w:color w:val="000000"/>
          <w:sz w:val="20"/>
          <w:szCs w:val="20"/>
        </w:rPr>
        <w:t>6</w:t>
      </w:r>
      <w:r w:rsidRPr="00B3418E">
        <w:rPr>
          <w:rFonts w:ascii="Arial" w:hAnsi="Arial"/>
          <w:color w:val="000000"/>
          <w:sz w:val="18"/>
        </w:rPr>
        <w:t>, E-2). It should be noted that this strategy does not address the systemic problems associated with "D" cracking and ASR, and are only temporary solutions to the durability problems. Coordinate with PAGD to determine a permanent solution.</w:t>
      </w:r>
    </w:p>
    <w:p w14:paraId="5967B397" w14:textId="77777777" w:rsidR="00C946EE" w:rsidRPr="00B3418E" w:rsidRDefault="00C946EE" w:rsidP="00B3418E">
      <w:pPr>
        <w:pStyle w:val="ListParagraph"/>
        <w:numPr>
          <w:ilvl w:val="0"/>
          <w:numId w:val="30"/>
        </w:numPr>
        <w:ind w:left="540"/>
        <w:rPr>
          <w:rFonts w:ascii="Arial" w:hAnsi="Arial"/>
          <w:sz w:val="18"/>
        </w:rPr>
      </w:pPr>
      <w:r w:rsidRPr="00B3418E">
        <w:rPr>
          <w:rFonts w:ascii="Arial" w:hAnsi="Arial"/>
          <w:sz w:val="18"/>
        </w:rPr>
        <w:t>Consider Saw and Seal (A-4) for overlays if joint deterioration exists.</w:t>
      </w:r>
    </w:p>
    <w:p w14:paraId="7A6192A0" w14:textId="48E130E6" w:rsidR="00C946EE" w:rsidRPr="00B3418E" w:rsidRDefault="00C946EE" w:rsidP="00B3418E">
      <w:pPr>
        <w:pStyle w:val="ListParagraph"/>
        <w:numPr>
          <w:ilvl w:val="0"/>
          <w:numId w:val="30"/>
        </w:numPr>
        <w:ind w:left="540"/>
        <w:rPr>
          <w:rFonts w:ascii="Arial" w:hAnsi="Arial"/>
          <w:sz w:val="18"/>
        </w:rPr>
      </w:pPr>
      <w:r w:rsidRPr="00B3418E">
        <w:rPr>
          <w:rFonts w:ascii="Arial" w:hAnsi="Arial"/>
          <w:sz w:val="18"/>
        </w:rPr>
        <w:t>Coordinate with the Highway Hydraulics Division and PAGD to consider Drainage Improvements, as necessary, in addition to the preservation treatments</w:t>
      </w:r>
    </w:p>
    <w:p w14:paraId="0C42FE1D" w14:textId="77777777" w:rsidR="00C946EE" w:rsidRPr="00262810" w:rsidRDefault="00C946EE" w:rsidP="00557A8B">
      <w:pPr>
        <w:pStyle w:val="ListParagraph"/>
        <w:numPr>
          <w:ilvl w:val="0"/>
          <w:numId w:val="30"/>
        </w:numPr>
        <w:ind w:left="742" w:hanging="720"/>
        <w:rPr>
          <w:rFonts w:ascii="Arial" w:hAnsi="Arial" w:cs="Arial"/>
          <w:sz w:val="20"/>
          <w:szCs w:val="20"/>
        </w:rPr>
        <w:sectPr w:rsidR="00C946EE" w:rsidRPr="00262810" w:rsidSect="00871AE3">
          <w:pgSz w:w="15840" w:h="12240" w:orient="landscape"/>
          <w:pgMar w:top="1354" w:right="1498" w:bottom="1260" w:left="1440" w:header="360" w:footer="360" w:gutter="0"/>
          <w:pgNumType w:chapStyle="1"/>
          <w:cols w:space="720"/>
          <w:docGrid w:linePitch="360"/>
        </w:sectPr>
      </w:pPr>
    </w:p>
    <w:p w14:paraId="011B46ED" w14:textId="6FC58DE0" w:rsidR="00080910" w:rsidRPr="00C65C09" w:rsidRDefault="00080910" w:rsidP="000122F4">
      <w:pPr>
        <w:pStyle w:val="Heading5"/>
        <w:tabs>
          <w:tab w:val="clear" w:pos="1080"/>
          <w:tab w:val="left" w:pos="1620"/>
        </w:tabs>
        <w:ind w:left="1620" w:hanging="1620"/>
      </w:pPr>
      <w:bookmarkStart w:id="58" w:name="_Supplemental_Treatment_Information"/>
      <w:bookmarkStart w:id="59" w:name="_Routine_Maintenance_for"/>
      <w:bookmarkEnd w:id="58"/>
      <w:bookmarkEnd w:id="59"/>
      <w:r w:rsidRPr="00C65C09">
        <w:lastRenderedPageBreak/>
        <w:t xml:space="preserve">Routine Maintenance for PCC Pavement with Sealed Joints, </w:t>
      </w:r>
      <w:r w:rsidR="000122F4">
        <w:t>r</w:t>
      </w:r>
      <w:r w:rsidRPr="00C65C09">
        <w:t xml:space="preserve">egardless of </w:t>
      </w:r>
      <w:r w:rsidR="000122F4">
        <w:t>c</w:t>
      </w:r>
      <w:r w:rsidRPr="00C65C09">
        <w:t>ondition</w:t>
      </w:r>
    </w:p>
    <w:p w14:paraId="0E7CA1E8" w14:textId="77777777" w:rsidR="00080910" w:rsidRDefault="00080910" w:rsidP="00BE3F24">
      <w:pPr>
        <w:rPr>
          <w:rFonts w:ascii="Arial" w:hAnsi="Arial" w:cs="Arial"/>
          <w:sz w:val="22"/>
          <w:szCs w:val="22"/>
        </w:rPr>
      </w:pPr>
    </w:p>
    <w:p w14:paraId="5E5BF069" w14:textId="77777777" w:rsidR="00080910" w:rsidRPr="00C65C09" w:rsidRDefault="00080910" w:rsidP="00BE3F24">
      <w:pPr>
        <w:rPr>
          <w:rFonts w:ascii="Arial" w:hAnsi="Arial" w:cs="Arial"/>
          <w:sz w:val="22"/>
          <w:szCs w:val="22"/>
        </w:rPr>
      </w:pPr>
      <w:r w:rsidRPr="00C65C09">
        <w:rPr>
          <w:rFonts w:ascii="Arial" w:hAnsi="Arial" w:cs="Arial"/>
          <w:sz w:val="22"/>
          <w:szCs w:val="22"/>
        </w:rPr>
        <w:t xml:space="preserve">Drainage outlets should be inspected every 2 years and maintained as needed. </w:t>
      </w:r>
    </w:p>
    <w:p w14:paraId="0822DB28" w14:textId="77777777" w:rsidR="00080910" w:rsidRPr="00C65C09" w:rsidRDefault="00080910" w:rsidP="00BE3F24">
      <w:pPr>
        <w:rPr>
          <w:rFonts w:ascii="Arial" w:hAnsi="Arial" w:cs="Arial"/>
          <w:b/>
          <w:sz w:val="22"/>
          <w:szCs w:val="22"/>
        </w:rPr>
      </w:pPr>
    </w:p>
    <w:p w14:paraId="3C3E31A6" w14:textId="77777777" w:rsidR="00080910" w:rsidRPr="00C65C09" w:rsidRDefault="00080910" w:rsidP="00BE3F24">
      <w:pPr>
        <w:rPr>
          <w:rFonts w:ascii="Arial" w:hAnsi="Arial" w:cs="Arial"/>
          <w:sz w:val="22"/>
          <w:szCs w:val="22"/>
        </w:rPr>
      </w:pPr>
      <w:r w:rsidRPr="00C65C09">
        <w:rPr>
          <w:rFonts w:ascii="Arial" w:hAnsi="Arial" w:cs="Arial"/>
          <w:b/>
          <w:sz w:val="22"/>
          <w:szCs w:val="22"/>
        </w:rPr>
        <w:t xml:space="preserve">Years 10-12: </w:t>
      </w:r>
      <w:r w:rsidRPr="00C65C09">
        <w:rPr>
          <w:rFonts w:ascii="Arial" w:hAnsi="Arial" w:cs="Arial"/>
          <w:sz w:val="22"/>
          <w:szCs w:val="22"/>
        </w:rPr>
        <w:t>Reseal joints.</w:t>
      </w:r>
    </w:p>
    <w:p w14:paraId="390375E9" w14:textId="77777777" w:rsidR="00080910" w:rsidRDefault="00080910" w:rsidP="00BE3F24">
      <w:pPr>
        <w:autoSpaceDE w:val="0"/>
        <w:autoSpaceDN w:val="0"/>
        <w:adjustRightInd w:val="0"/>
        <w:rPr>
          <w:rFonts w:ascii="Arial" w:hAnsi="Arial" w:cs="Arial"/>
          <w:b/>
          <w:sz w:val="22"/>
          <w:szCs w:val="22"/>
        </w:rPr>
      </w:pPr>
    </w:p>
    <w:p w14:paraId="54CF45DB" w14:textId="77777777" w:rsidR="00080910" w:rsidRPr="00C65C09" w:rsidRDefault="00080910" w:rsidP="00BE3F24">
      <w:pPr>
        <w:autoSpaceDE w:val="0"/>
        <w:autoSpaceDN w:val="0"/>
        <w:adjustRightInd w:val="0"/>
        <w:rPr>
          <w:rFonts w:ascii="Arial" w:hAnsi="Arial" w:cs="Arial"/>
          <w:sz w:val="22"/>
          <w:szCs w:val="22"/>
        </w:rPr>
      </w:pPr>
      <w:r w:rsidRPr="00C65C09">
        <w:rPr>
          <w:rFonts w:ascii="Arial" w:hAnsi="Arial" w:cs="Arial"/>
          <w:b/>
          <w:sz w:val="22"/>
          <w:szCs w:val="22"/>
        </w:rPr>
        <w:t>Year 20</w:t>
      </w:r>
      <w:r w:rsidRPr="00C65C09">
        <w:rPr>
          <w:rFonts w:ascii="Arial" w:hAnsi="Arial" w:cs="Arial"/>
          <w:sz w:val="22"/>
          <w:szCs w:val="22"/>
        </w:rPr>
        <w:t xml:space="preserve">: Reseal joints. </w:t>
      </w:r>
    </w:p>
    <w:p w14:paraId="2EB7D713" w14:textId="77777777" w:rsidR="00080910" w:rsidRPr="00C65C09" w:rsidRDefault="00080910" w:rsidP="00BE3F24">
      <w:pPr>
        <w:autoSpaceDE w:val="0"/>
        <w:autoSpaceDN w:val="0"/>
        <w:adjustRightInd w:val="0"/>
        <w:rPr>
          <w:rFonts w:ascii="Arial" w:hAnsi="Arial" w:cs="Arial"/>
          <w:sz w:val="22"/>
          <w:szCs w:val="22"/>
        </w:rPr>
      </w:pPr>
    </w:p>
    <w:p w14:paraId="5DC2B8AF" w14:textId="77777777" w:rsidR="00080910" w:rsidRPr="00C65C09" w:rsidRDefault="00080910" w:rsidP="000122F4">
      <w:pPr>
        <w:autoSpaceDE w:val="0"/>
        <w:autoSpaceDN w:val="0"/>
        <w:adjustRightInd w:val="0"/>
        <w:jc w:val="both"/>
        <w:rPr>
          <w:rFonts w:ascii="Arial" w:hAnsi="Arial" w:cs="Arial"/>
          <w:sz w:val="22"/>
          <w:szCs w:val="22"/>
        </w:rPr>
      </w:pPr>
      <w:r w:rsidRPr="00C65C09">
        <w:rPr>
          <w:rFonts w:ascii="Arial" w:hAnsi="Arial" w:cs="Arial"/>
          <w:b/>
          <w:sz w:val="22"/>
          <w:szCs w:val="22"/>
        </w:rPr>
        <w:t>Year 25</w:t>
      </w:r>
      <w:r w:rsidRPr="00C65C09">
        <w:rPr>
          <w:rFonts w:ascii="Arial" w:hAnsi="Arial" w:cs="Arial"/>
          <w:sz w:val="22"/>
          <w:szCs w:val="22"/>
        </w:rPr>
        <w:t xml:space="preserve">: If no treatments (aside from joint resealing) have yet been scheduled as a result of network-level condition assessments, this should be the time to make a project-level assessment as per Table X to determine treatment needs.   </w:t>
      </w:r>
    </w:p>
    <w:p w14:paraId="1234080A" w14:textId="77777777" w:rsidR="00080910" w:rsidRPr="00C65C09" w:rsidRDefault="00080910" w:rsidP="00BE3F24">
      <w:pPr>
        <w:autoSpaceDE w:val="0"/>
        <w:autoSpaceDN w:val="0"/>
        <w:adjustRightInd w:val="0"/>
        <w:rPr>
          <w:rFonts w:ascii="Arial" w:hAnsi="Arial" w:cs="Arial"/>
          <w:sz w:val="22"/>
          <w:szCs w:val="22"/>
        </w:rPr>
      </w:pPr>
    </w:p>
    <w:p w14:paraId="712521C6" w14:textId="77777777" w:rsidR="00080910" w:rsidRPr="00C65C09" w:rsidRDefault="00080910" w:rsidP="000122F4">
      <w:pPr>
        <w:autoSpaceDE w:val="0"/>
        <w:autoSpaceDN w:val="0"/>
        <w:adjustRightInd w:val="0"/>
        <w:jc w:val="both"/>
        <w:rPr>
          <w:rFonts w:ascii="Arial" w:hAnsi="Arial" w:cs="Arial"/>
          <w:sz w:val="22"/>
          <w:szCs w:val="22"/>
        </w:rPr>
      </w:pPr>
      <w:r w:rsidRPr="00C65C09">
        <w:rPr>
          <w:rFonts w:ascii="Arial" w:hAnsi="Arial" w:cs="Arial"/>
          <w:b/>
          <w:sz w:val="22"/>
          <w:szCs w:val="22"/>
        </w:rPr>
        <w:t xml:space="preserve">Year 25 and beyond:  </w:t>
      </w:r>
      <w:r w:rsidRPr="00C65C09">
        <w:rPr>
          <w:rFonts w:ascii="Arial" w:hAnsi="Arial" w:cs="Arial"/>
          <w:sz w:val="22"/>
          <w:szCs w:val="22"/>
        </w:rPr>
        <w:t xml:space="preserve">For the years of 25 and beyond, it is suggested that a project-level assessment be made as per Table X to determine treatment needs every 5 years. </w:t>
      </w:r>
    </w:p>
    <w:p w14:paraId="388DA756" w14:textId="77777777" w:rsidR="00080910" w:rsidRPr="00C65C09" w:rsidRDefault="00080910" w:rsidP="00BE3F24">
      <w:pPr>
        <w:autoSpaceDE w:val="0"/>
        <w:autoSpaceDN w:val="0"/>
        <w:adjustRightInd w:val="0"/>
        <w:rPr>
          <w:rFonts w:ascii="Arial" w:hAnsi="Arial" w:cs="Arial"/>
          <w:sz w:val="22"/>
          <w:szCs w:val="22"/>
        </w:rPr>
      </w:pPr>
    </w:p>
    <w:p w14:paraId="2D595234" w14:textId="25B04346" w:rsidR="00080910" w:rsidRPr="00C65C09" w:rsidRDefault="00080910" w:rsidP="000122F4">
      <w:pPr>
        <w:pStyle w:val="Heading5"/>
        <w:tabs>
          <w:tab w:val="clear" w:pos="1080"/>
          <w:tab w:val="left" w:pos="1620"/>
        </w:tabs>
        <w:ind w:left="1620" w:hanging="1620"/>
      </w:pPr>
      <w:r w:rsidRPr="00C65C09">
        <w:t xml:space="preserve">Routine Maintenance for PCC Pavement with Unsealed Joints, </w:t>
      </w:r>
      <w:r w:rsidR="000122F4">
        <w:t>r</w:t>
      </w:r>
      <w:r w:rsidRPr="00C65C09">
        <w:t xml:space="preserve">egardless of </w:t>
      </w:r>
      <w:r w:rsidR="000122F4">
        <w:t>c</w:t>
      </w:r>
      <w:r w:rsidRPr="00C65C09">
        <w:t>ondition</w:t>
      </w:r>
    </w:p>
    <w:p w14:paraId="56B36510" w14:textId="77777777" w:rsidR="00080910" w:rsidRPr="00C65C09" w:rsidRDefault="00080910" w:rsidP="00BE3F24">
      <w:pPr>
        <w:autoSpaceDE w:val="0"/>
        <w:autoSpaceDN w:val="0"/>
        <w:adjustRightInd w:val="0"/>
        <w:rPr>
          <w:rFonts w:ascii="Arial" w:hAnsi="Arial" w:cs="Arial"/>
          <w:sz w:val="22"/>
          <w:szCs w:val="22"/>
        </w:rPr>
      </w:pPr>
    </w:p>
    <w:p w14:paraId="3B38FE4A" w14:textId="1E35174E" w:rsidR="00080910" w:rsidRPr="00C65C09" w:rsidRDefault="00080910" w:rsidP="000122F4">
      <w:pPr>
        <w:autoSpaceDE w:val="0"/>
        <w:autoSpaceDN w:val="0"/>
        <w:adjustRightInd w:val="0"/>
        <w:jc w:val="both"/>
        <w:rPr>
          <w:rFonts w:ascii="Arial" w:hAnsi="Arial" w:cs="Arial"/>
          <w:sz w:val="22"/>
          <w:szCs w:val="22"/>
        </w:rPr>
      </w:pPr>
      <w:r w:rsidRPr="00C65C09">
        <w:rPr>
          <w:rFonts w:ascii="Arial" w:hAnsi="Arial" w:cs="Arial"/>
          <w:sz w:val="22"/>
          <w:szCs w:val="22"/>
        </w:rPr>
        <w:t>The current design for concrete pavements in the State of Maryland specifies the following: Joints shall be single 1/8</w:t>
      </w:r>
      <w:r w:rsidR="00F44753">
        <w:rPr>
          <w:rFonts w:ascii="Arial" w:hAnsi="Arial" w:cs="Arial"/>
          <w:sz w:val="22"/>
          <w:szCs w:val="22"/>
        </w:rPr>
        <w:t>"</w:t>
      </w:r>
      <w:r w:rsidRPr="00C65C09">
        <w:rPr>
          <w:rFonts w:ascii="Arial" w:hAnsi="Arial" w:cs="Arial"/>
          <w:sz w:val="22"/>
          <w:szCs w:val="22"/>
        </w:rPr>
        <w:t xml:space="preserve"> saw-cut to a depth of 2</w:t>
      </w:r>
      <w:r w:rsidR="00F44753">
        <w:rPr>
          <w:rFonts w:ascii="Arial" w:hAnsi="Arial" w:cs="Arial"/>
          <w:sz w:val="22"/>
          <w:szCs w:val="22"/>
        </w:rPr>
        <w:t>"</w:t>
      </w:r>
      <w:r w:rsidRPr="00C65C09">
        <w:rPr>
          <w:rFonts w:ascii="Arial" w:hAnsi="Arial" w:cs="Arial"/>
          <w:sz w:val="22"/>
          <w:szCs w:val="22"/>
        </w:rPr>
        <w:t xml:space="preserve"> as per Section 520 of the Specifications and shall not be sealed.  Unsealed joints require increased frequency of drainage outlet inspection and maintenance.  Unsealed joints allow for the possibility of more water to enter the system; therefore, proper drainage must be maintained or base materials may become soft and erode, creating structural issues. A yearly inspection should be conducted without fail.  Plugged drains should be cleared.  If joint spalling develops due to the unsealed condition</w:t>
      </w:r>
      <w:r>
        <w:rPr>
          <w:rFonts w:ascii="Arial" w:hAnsi="Arial" w:cs="Arial"/>
          <w:sz w:val="22"/>
          <w:szCs w:val="22"/>
        </w:rPr>
        <w:t>,</w:t>
      </w:r>
      <w:r w:rsidRPr="00C65C09">
        <w:rPr>
          <w:rFonts w:ascii="Arial" w:hAnsi="Arial" w:cs="Arial"/>
          <w:sz w:val="22"/>
          <w:szCs w:val="22"/>
        </w:rPr>
        <w:t xml:space="preserve"> provisions to seal the joints should be made as per Table X.  The following maintenance schedule is recommended for all pavements with no joint seal.</w:t>
      </w:r>
    </w:p>
    <w:p w14:paraId="148030CE" w14:textId="77777777" w:rsidR="00080910" w:rsidRPr="00C65C09" w:rsidRDefault="00080910" w:rsidP="00BE3F24">
      <w:pPr>
        <w:autoSpaceDE w:val="0"/>
        <w:autoSpaceDN w:val="0"/>
        <w:adjustRightInd w:val="0"/>
        <w:rPr>
          <w:rFonts w:ascii="Arial" w:hAnsi="Arial" w:cs="Arial"/>
          <w:sz w:val="22"/>
          <w:szCs w:val="22"/>
        </w:rPr>
      </w:pPr>
    </w:p>
    <w:p w14:paraId="14DD1319" w14:textId="77777777" w:rsidR="00080910" w:rsidRPr="00C65C09" w:rsidRDefault="00080910" w:rsidP="000122F4">
      <w:pPr>
        <w:autoSpaceDE w:val="0"/>
        <w:autoSpaceDN w:val="0"/>
        <w:adjustRightInd w:val="0"/>
        <w:jc w:val="both"/>
        <w:rPr>
          <w:rFonts w:ascii="Arial" w:hAnsi="Arial" w:cs="Arial"/>
          <w:sz w:val="22"/>
          <w:szCs w:val="22"/>
        </w:rPr>
      </w:pPr>
      <w:r w:rsidRPr="00C65C09">
        <w:rPr>
          <w:rFonts w:ascii="Arial" w:hAnsi="Arial" w:cs="Arial"/>
          <w:sz w:val="22"/>
          <w:szCs w:val="22"/>
        </w:rPr>
        <w:t xml:space="preserve">Drainage outlets should be inspected every year and maintained as needed. </w:t>
      </w:r>
    </w:p>
    <w:p w14:paraId="00326BC5" w14:textId="77777777" w:rsidR="00080910" w:rsidRPr="00C65C09" w:rsidRDefault="00080910" w:rsidP="000122F4">
      <w:pPr>
        <w:autoSpaceDE w:val="0"/>
        <w:autoSpaceDN w:val="0"/>
        <w:adjustRightInd w:val="0"/>
        <w:jc w:val="both"/>
        <w:rPr>
          <w:rFonts w:ascii="Arial" w:hAnsi="Arial" w:cs="Arial"/>
          <w:sz w:val="22"/>
          <w:szCs w:val="22"/>
        </w:rPr>
      </w:pPr>
    </w:p>
    <w:p w14:paraId="295D1532" w14:textId="77777777" w:rsidR="00080910" w:rsidRPr="00C65C09" w:rsidRDefault="00080910" w:rsidP="000122F4">
      <w:pPr>
        <w:autoSpaceDE w:val="0"/>
        <w:autoSpaceDN w:val="0"/>
        <w:adjustRightInd w:val="0"/>
        <w:jc w:val="both"/>
        <w:rPr>
          <w:rFonts w:ascii="Arial" w:hAnsi="Arial" w:cs="Arial"/>
          <w:sz w:val="22"/>
          <w:szCs w:val="22"/>
        </w:rPr>
      </w:pPr>
      <w:r w:rsidRPr="00C65C09">
        <w:rPr>
          <w:rFonts w:ascii="Arial" w:hAnsi="Arial" w:cs="Arial"/>
          <w:b/>
          <w:sz w:val="22"/>
          <w:szCs w:val="22"/>
        </w:rPr>
        <w:t>Year 25</w:t>
      </w:r>
      <w:r w:rsidRPr="00C65C09">
        <w:rPr>
          <w:rFonts w:ascii="Arial" w:hAnsi="Arial" w:cs="Arial"/>
          <w:sz w:val="22"/>
          <w:szCs w:val="22"/>
        </w:rPr>
        <w:t xml:space="preserve">: If no treatments have yet been scheduled as a result of network-level condition assessments, this should be the time to make a project-level assessment as per Table X to determine treatment needs.   </w:t>
      </w:r>
    </w:p>
    <w:p w14:paraId="7302F495" w14:textId="77777777" w:rsidR="00080910" w:rsidRPr="00C65C09" w:rsidRDefault="00080910" w:rsidP="000122F4">
      <w:pPr>
        <w:autoSpaceDE w:val="0"/>
        <w:autoSpaceDN w:val="0"/>
        <w:adjustRightInd w:val="0"/>
        <w:jc w:val="both"/>
        <w:rPr>
          <w:rFonts w:ascii="Arial" w:hAnsi="Arial" w:cs="Arial"/>
          <w:sz w:val="22"/>
          <w:szCs w:val="22"/>
        </w:rPr>
      </w:pPr>
    </w:p>
    <w:p w14:paraId="536DE30D" w14:textId="77777777" w:rsidR="00080910" w:rsidRDefault="00080910" w:rsidP="000122F4">
      <w:pPr>
        <w:jc w:val="both"/>
        <w:rPr>
          <w:rFonts w:ascii="Arial" w:hAnsi="Arial" w:cs="Arial"/>
          <w:sz w:val="22"/>
          <w:szCs w:val="22"/>
        </w:rPr>
      </w:pPr>
      <w:r w:rsidRPr="00C65C09">
        <w:rPr>
          <w:rFonts w:ascii="Arial" w:hAnsi="Arial" w:cs="Arial"/>
          <w:b/>
          <w:sz w:val="22"/>
          <w:szCs w:val="22"/>
        </w:rPr>
        <w:t xml:space="preserve">Year 25 and beyond:  </w:t>
      </w:r>
      <w:r w:rsidRPr="00C65C09">
        <w:rPr>
          <w:rFonts w:ascii="Arial" w:hAnsi="Arial" w:cs="Arial"/>
          <w:sz w:val="22"/>
          <w:szCs w:val="22"/>
        </w:rPr>
        <w:t>For the years of 25 and beyond, it is suggested that a project-level assessment be made as per Table X to determine treatment needs every 5 years.</w:t>
      </w:r>
    </w:p>
    <w:p w14:paraId="39AC4B5B" w14:textId="77777777" w:rsidR="00BD1379" w:rsidRDefault="00BD1379" w:rsidP="00BE3F24">
      <w:pPr>
        <w:rPr>
          <w:rFonts w:ascii="Arial" w:hAnsi="Arial" w:cs="Arial"/>
          <w:sz w:val="22"/>
          <w:szCs w:val="22"/>
        </w:rPr>
      </w:pPr>
    </w:p>
    <w:p w14:paraId="21D3AF89" w14:textId="77777777" w:rsidR="00067070" w:rsidRDefault="00067070">
      <w:pPr>
        <w:rPr>
          <w:rFonts w:ascii="Arial" w:hAnsi="Arial"/>
          <w:b/>
          <w:i/>
          <w:sz w:val="24"/>
        </w:rPr>
      </w:pPr>
      <w:r>
        <w:br w:type="page"/>
      </w:r>
    </w:p>
    <w:p w14:paraId="5101ED91" w14:textId="77777777" w:rsidR="00067070" w:rsidRDefault="00067070" w:rsidP="00067070">
      <w:pPr>
        <w:pStyle w:val="Heading4"/>
        <w:ind w:left="0" w:firstLine="0"/>
      </w:pPr>
      <w:bookmarkStart w:id="60" w:name="_Table_C._List_1"/>
      <w:bookmarkEnd w:id="60"/>
      <w:r w:rsidRPr="00B57296">
        <w:lastRenderedPageBreak/>
        <w:t xml:space="preserve">Table </w:t>
      </w:r>
      <w:r>
        <w:t>C</w:t>
      </w:r>
      <w:r w:rsidRPr="00B57296">
        <w:t>. List of Treatment Options</w:t>
      </w:r>
    </w:p>
    <w:p w14:paraId="4DF0E167" w14:textId="5BF3F8C8" w:rsidR="00F44753" w:rsidRDefault="007E1D5E" w:rsidP="007E1D5E">
      <w:pPr>
        <w:rPr>
          <w:rStyle w:val="Hyperlink"/>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Initial_Treatment_Identification" w:history="1">
        <w:r w:rsidRPr="007E1D5E">
          <w:rPr>
            <w:rStyle w:val="Hyperlink"/>
            <w:rFonts w:ascii="Arial" w:hAnsi="Arial" w:cs="Arial"/>
            <w:bCs/>
            <w:sz w:val="16"/>
            <w:szCs w:val="16"/>
          </w:rPr>
          <w:t>Initial Treatment Identification – Pavement Preservation Guide</w:t>
        </w:r>
      </w:hyperlink>
      <w:r w:rsidR="00DD61F7">
        <w:rPr>
          <w:rFonts w:ascii="Arial" w:hAnsi="Arial" w:cs="Arial"/>
          <w:bCs/>
          <w:sz w:val="16"/>
          <w:szCs w:val="16"/>
        </w:rPr>
        <w:t xml:space="preserve">.  </w:t>
      </w:r>
      <w:r w:rsidR="00DD61F7">
        <w:rPr>
          <w:rFonts w:ascii="Arial" w:eastAsia="Arial" w:hAnsi="Arial" w:cs="Arial"/>
          <w:sz w:val="16"/>
        </w:rPr>
        <w:t>Click to go</w:t>
      </w:r>
      <w:r w:rsidR="00DD61F7" w:rsidRPr="00982DB5">
        <w:rPr>
          <w:rFonts w:ascii="Arial" w:eastAsia="Arial" w:hAnsi="Arial" w:cs="Arial"/>
          <w:sz w:val="16"/>
          <w:szCs w:val="16"/>
        </w:rPr>
        <w:t xml:space="preserve"> to</w:t>
      </w:r>
      <w:r w:rsidR="00DD61F7" w:rsidRPr="00982DB5">
        <w:rPr>
          <w:rFonts w:ascii="Arial" w:hAnsi="Arial" w:cs="Arial"/>
          <w:bCs/>
          <w:sz w:val="16"/>
          <w:szCs w:val="16"/>
        </w:rPr>
        <w:t xml:space="preserve"> </w:t>
      </w:r>
      <w:hyperlink w:anchor="_Supplemental_Treatment_Information_1" w:history="1">
        <w:r w:rsidR="00DD61F7" w:rsidRPr="00DD61F7">
          <w:rPr>
            <w:rStyle w:val="Hyperlink"/>
            <w:rFonts w:ascii="Arial" w:hAnsi="Arial" w:cs="Arial"/>
            <w:bCs/>
            <w:sz w:val="16"/>
            <w:szCs w:val="16"/>
          </w:rPr>
          <w:t>Supplemental Treatment Information</w:t>
        </w:r>
      </w:hyperlink>
      <w:r w:rsidR="002904DA">
        <w:rPr>
          <w:rStyle w:val="Hyperlink"/>
          <w:rFonts w:ascii="Arial" w:hAnsi="Arial" w:cs="Arial"/>
          <w:bCs/>
          <w:sz w:val="16"/>
          <w:szCs w:val="16"/>
        </w:rPr>
        <w:t xml:space="preserve"> </w:t>
      </w:r>
      <w:r w:rsidR="003E1207">
        <w:rPr>
          <w:rFonts w:ascii="Arial" w:eastAsia="Arial" w:hAnsi="Arial" w:cs="Arial"/>
          <w:sz w:val="16"/>
        </w:rPr>
        <w:t>Click to go</w:t>
      </w:r>
      <w:r w:rsidR="003E1207" w:rsidRPr="00982DB5">
        <w:rPr>
          <w:rFonts w:ascii="Arial" w:eastAsia="Arial" w:hAnsi="Arial" w:cs="Arial"/>
          <w:sz w:val="16"/>
          <w:szCs w:val="16"/>
        </w:rPr>
        <w:t xml:space="preserve"> to</w:t>
      </w:r>
      <w:r w:rsidR="003E1207" w:rsidRPr="00982DB5">
        <w:rPr>
          <w:rFonts w:ascii="Arial" w:hAnsi="Arial" w:cs="Arial"/>
          <w:bCs/>
          <w:sz w:val="16"/>
          <w:szCs w:val="16"/>
        </w:rPr>
        <w:t xml:space="preserve"> </w:t>
      </w:r>
      <w:hyperlink w:anchor="_Discussion/Selection_Alternative_wi_1" w:history="1">
        <w:r w:rsidR="003E1207" w:rsidRPr="003E1207">
          <w:rPr>
            <w:rStyle w:val="Hyperlink"/>
            <w:rFonts w:ascii="Arial" w:hAnsi="Arial" w:cs="Arial"/>
            <w:bCs/>
            <w:sz w:val="16"/>
            <w:szCs w:val="16"/>
          </w:rPr>
          <w:t>Discussion/Selection Alternative with Project Owner</w:t>
        </w:r>
      </w:hyperlink>
    </w:p>
    <w:tbl>
      <w:tblPr>
        <w:tblW w:w="8730" w:type="dxa"/>
        <w:tblInd w:w="-5" w:type="dxa"/>
        <w:tblLayout w:type="fixed"/>
        <w:tblLook w:val="04A0" w:firstRow="1" w:lastRow="0" w:firstColumn="1" w:lastColumn="0" w:noHBand="0" w:noVBand="1"/>
      </w:tblPr>
      <w:tblGrid>
        <w:gridCol w:w="1429"/>
        <w:gridCol w:w="1174"/>
        <w:gridCol w:w="3004"/>
        <w:gridCol w:w="1606"/>
        <w:gridCol w:w="1517"/>
      </w:tblGrid>
      <w:tr w:rsidR="002904DA" w:rsidRPr="002904DA" w14:paraId="100A8847" w14:textId="77777777" w:rsidTr="0009226D">
        <w:trPr>
          <w:trHeight w:val="276"/>
        </w:trPr>
        <w:tc>
          <w:tcPr>
            <w:tcW w:w="1429" w:type="dxa"/>
            <w:tcBorders>
              <w:top w:val="single" w:sz="4" w:space="0" w:color="auto"/>
              <w:left w:val="single" w:sz="4" w:space="0" w:color="auto"/>
              <w:bottom w:val="single" w:sz="4" w:space="0" w:color="auto"/>
              <w:right w:val="single" w:sz="4" w:space="0" w:color="auto"/>
            </w:tcBorders>
            <w:shd w:val="pct15" w:color="auto" w:fill="auto"/>
            <w:vAlign w:val="center"/>
            <w:hideMark/>
          </w:tcPr>
          <w:p w14:paraId="28DF6F97" w14:textId="77777777" w:rsidR="00337ACF" w:rsidRPr="002904DA" w:rsidRDefault="00337ACF" w:rsidP="00483837">
            <w:pPr>
              <w:jc w:val="center"/>
              <w:rPr>
                <w:rFonts w:ascii="Arial" w:hAnsi="Arial"/>
                <w:b/>
                <w:sz w:val="18"/>
              </w:rPr>
            </w:pPr>
            <w:r w:rsidRPr="002904DA">
              <w:rPr>
                <w:rFonts w:ascii="Arial" w:hAnsi="Arial"/>
                <w:b/>
                <w:sz w:val="18"/>
              </w:rPr>
              <w:t>Group</w:t>
            </w:r>
          </w:p>
        </w:tc>
        <w:tc>
          <w:tcPr>
            <w:tcW w:w="1174" w:type="dxa"/>
            <w:tcBorders>
              <w:top w:val="single" w:sz="4" w:space="0" w:color="auto"/>
              <w:left w:val="nil"/>
              <w:bottom w:val="single" w:sz="4" w:space="0" w:color="auto"/>
              <w:right w:val="single" w:sz="4" w:space="0" w:color="auto"/>
            </w:tcBorders>
            <w:shd w:val="pct15" w:color="auto" w:fill="auto"/>
            <w:vAlign w:val="center"/>
            <w:hideMark/>
          </w:tcPr>
          <w:p w14:paraId="1EC8B186" w14:textId="77777777" w:rsidR="00337ACF" w:rsidRPr="002904DA" w:rsidRDefault="00337ACF" w:rsidP="00483837">
            <w:pPr>
              <w:jc w:val="center"/>
              <w:rPr>
                <w:rFonts w:ascii="Arial" w:hAnsi="Arial"/>
                <w:b/>
                <w:sz w:val="18"/>
              </w:rPr>
            </w:pPr>
            <w:r w:rsidRPr="002904DA">
              <w:rPr>
                <w:rFonts w:ascii="Arial" w:hAnsi="Arial"/>
                <w:b/>
                <w:sz w:val="18"/>
              </w:rPr>
              <w:t>Number</w:t>
            </w:r>
          </w:p>
        </w:tc>
        <w:tc>
          <w:tcPr>
            <w:tcW w:w="3004" w:type="dxa"/>
            <w:tcBorders>
              <w:top w:val="single" w:sz="4" w:space="0" w:color="auto"/>
              <w:left w:val="nil"/>
              <w:bottom w:val="single" w:sz="4" w:space="0" w:color="auto"/>
              <w:right w:val="single" w:sz="4" w:space="0" w:color="auto"/>
            </w:tcBorders>
            <w:shd w:val="pct15" w:color="auto" w:fill="auto"/>
            <w:noWrap/>
            <w:vAlign w:val="center"/>
            <w:hideMark/>
          </w:tcPr>
          <w:p w14:paraId="144F27F7" w14:textId="77777777" w:rsidR="00337ACF" w:rsidRPr="002904DA" w:rsidRDefault="00337ACF" w:rsidP="00483837">
            <w:pPr>
              <w:jc w:val="center"/>
              <w:rPr>
                <w:rFonts w:ascii="Arial" w:hAnsi="Arial"/>
                <w:b/>
                <w:sz w:val="18"/>
              </w:rPr>
            </w:pPr>
            <w:r w:rsidRPr="002904DA">
              <w:rPr>
                <w:rFonts w:ascii="Arial" w:hAnsi="Arial"/>
                <w:b/>
                <w:sz w:val="18"/>
              </w:rPr>
              <w:t>Treatment</w:t>
            </w:r>
          </w:p>
        </w:tc>
        <w:tc>
          <w:tcPr>
            <w:tcW w:w="1606" w:type="dxa"/>
            <w:tcBorders>
              <w:top w:val="single" w:sz="4" w:space="0" w:color="auto"/>
              <w:left w:val="nil"/>
              <w:bottom w:val="single" w:sz="4" w:space="0" w:color="auto"/>
              <w:right w:val="single" w:sz="4" w:space="0" w:color="auto"/>
            </w:tcBorders>
            <w:shd w:val="pct15" w:color="auto" w:fill="auto"/>
            <w:vAlign w:val="center"/>
          </w:tcPr>
          <w:p w14:paraId="3BBCF0BE" w14:textId="77777777" w:rsidR="00337ACF" w:rsidRPr="002904DA" w:rsidRDefault="00337ACF" w:rsidP="00483837">
            <w:pPr>
              <w:jc w:val="center"/>
              <w:rPr>
                <w:rFonts w:ascii="Arial" w:hAnsi="Arial"/>
                <w:b/>
                <w:sz w:val="18"/>
              </w:rPr>
            </w:pPr>
            <w:r w:rsidRPr="002904DA">
              <w:rPr>
                <w:rFonts w:ascii="Arial" w:hAnsi="Arial"/>
                <w:b/>
                <w:sz w:val="18"/>
              </w:rPr>
              <w:t>Spec Status</w:t>
            </w:r>
          </w:p>
        </w:tc>
        <w:tc>
          <w:tcPr>
            <w:tcW w:w="1517" w:type="dxa"/>
            <w:tcBorders>
              <w:top w:val="single" w:sz="4" w:space="0" w:color="auto"/>
              <w:left w:val="single" w:sz="4" w:space="0" w:color="auto"/>
              <w:bottom w:val="single" w:sz="4" w:space="0" w:color="auto"/>
              <w:right w:val="single" w:sz="4" w:space="0" w:color="auto"/>
            </w:tcBorders>
            <w:shd w:val="pct15" w:color="auto" w:fill="auto"/>
            <w:vAlign w:val="center"/>
            <w:hideMark/>
          </w:tcPr>
          <w:p w14:paraId="5A6C83D6" w14:textId="77777777" w:rsidR="00337ACF" w:rsidRPr="002904DA" w:rsidRDefault="00337ACF" w:rsidP="00483837">
            <w:pPr>
              <w:jc w:val="center"/>
              <w:rPr>
                <w:rFonts w:ascii="Arial" w:hAnsi="Arial"/>
                <w:b/>
                <w:sz w:val="18"/>
              </w:rPr>
            </w:pPr>
            <w:r w:rsidRPr="002904DA">
              <w:rPr>
                <w:rFonts w:ascii="Arial" w:hAnsi="Arial"/>
                <w:b/>
                <w:sz w:val="18"/>
              </w:rPr>
              <w:t>Contract</w:t>
            </w:r>
            <w:r w:rsidR="003E1207" w:rsidRPr="002904DA">
              <w:rPr>
                <w:rFonts w:ascii="Arial" w:hAnsi="Arial"/>
                <w:b/>
                <w:sz w:val="18"/>
              </w:rPr>
              <w:t xml:space="preserve"> Type</w:t>
            </w:r>
          </w:p>
        </w:tc>
      </w:tr>
      <w:tr w:rsidR="002904DA" w:rsidRPr="002904DA" w14:paraId="67D134BD" w14:textId="77777777" w:rsidTr="0009226D">
        <w:trPr>
          <w:trHeight w:val="255"/>
        </w:trPr>
        <w:tc>
          <w:tcPr>
            <w:tcW w:w="1429" w:type="dxa"/>
            <w:vMerge w:val="restart"/>
            <w:tcBorders>
              <w:top w:val="nil"/>
              <w:left w:val="single" w:sz="4" w:space="0" w:color="auto"/>
              <w:bottom w:val="single" w:sz="4" w:space="0" w:color="000000"/>
              <w:right w:val="single" w:sz="4" w:space="0" w:color="auto"/>
            </w:tcBorders>
            <w:vAlign w:val="center"/>
            <w:hideMark/>
          </w:tcPr>
          <w:p w14:paraId="7F1AD5F8" w14:textId="77777777" w:rsidR="00337ACF" w:rsidRPr="002904DA" w:rsidRDefault="00337ACF" w:rsidP="00483837">
            <w:pPr>
              <w:jc w:val="center"/>
              <w:rPr>
                <w:rFonts w:ascii="Arial" w:hAnsi="Arial"/>
                <w:sz w:val="18"/>
              </w:rPr>
            </w:pPr>
            <w:r w:rsidRPr="002904DA">
              <w:rPr>
                <w:rFonts w:ascii="Arial" w:hAnsi="Arial"/>
                <w:sz w:val="18"/>
              </w:rPr>
              <w:t>A. Crack/Joint Seals</w:t>
            </w:r>
          </w:p>
        </w:tc>
        <w:tc>
          <w:tcPr>
            <w:tcW w:w="1174" w:type="dxa"/>
            <w:tcBorders>
              <w:top w:val="nil"/>
              <w:left w:val="nil"/>
              <w:bottom w:val="single" w:sz="4" w:space="0" w:color="auto"/>
              <w:right w:val="single" w:sz="4" w:space="0" w:color="auto"/>
            </w:tcBorders>
            <w:vAlign w:val="center"/>
            <w:hideMark/>
          </w:tcPr>
          <w:p w14:paraId="438F848D" w14:textId="77777777" w:rsidR="00337ACF" w:rsidRPr="002904DA" w:rsidRDefault="00337ACF" w:rsidP="00483837">
            <w:pPr>
              <w:jc w:val="center"/>
              <w:rPr>
                <w:rFonts w:ascii="Arial" w:hAnsi="Arial"/>
                <w:sz w:val="18"/>
              </w:rPr>
            </w:pPr>
            <w:hyperlink w:anchor="_SUPPLEMENTAL_INFORMATION_FOR" w:history="1">
              <w:r w:rsidRPr="002904DA">
                <w:rPr>
                  <w:rStyle w:val="Hyperlink"/>
                  <w:rFonts w:ascii="Arial" w:hAnsi="Arial"/>
                  <w:color w:val="auto"/>
                  <w:sz w:val="18"/>
                </w:rPr>
                <w:t>A-1</w:t>
              </w:r>
            </w:hyperlink>
          </w:p>
        </w:tc>
        <w:tc>
          <w:tcPr>
            <w:tcW w:w="3004" w:type="dxa"/>
            <w:tcBorders>
              <w:top w:val="nil"/>
              <w:left w:val="nil"/>
              <w:bottom w:val="single" w:sz="4" w:space="0" w:color="auto"/>
              <w:right w:val="single" w:sz="4" w:space="0" w:color="auto"/>
            </w:tcBorders>
            <w:noWrap/>
            <w:vAlign w:val="center"/>
            <w:hideMark/>
          </w:tcPr>
          <w:p w14:paraId="73DCFFFE" w14:textId="0F413FC6" w:rsidR="00337ACF" w:rsidRPr="002904DA" w:rsidRDefault="00337ACF" w:rsidP="00483837">
            <w:pPr>
              <w:jc w:val="center"/>
              <w:rPr>
                <w:rFonts w:ascii="Arial" w:hAnsi="Arial"/>
                <w:sz w:val="18"/>
              </w:rPr>
            </w:pPr>
            <w:r w:rsidRPr="002904DA">
              <w:rPr>
                <w:rFonts w:ascii="Arial" w:hAnsi="Arial"/>
                <w:sz w:val="18"/>
              </w:rPr>
              <w:t>Crack Seal</w:t>
            </w:r>
            <w:r w:rsidR="00476E70">
              <w:rPr>
                <w:rFonts w:ascii="Arial" w:hAnsi="Arial"/>
                <w:sz w:val="18"/>
              </w:rPr>
              <w:t xml:space="preserve"> and Mastic </w:t>
            </w:r>
            <w:r w:rsidRPr="002904DA">
              <w:rPr>
                <w:rFonts w:ascii="Arial" w:hAnsi="Arial"/>
                <w:sz w:val="18"/>
              </w:rPr>
              <w:t>(Asphalt)</w:t>
            </w:r>
          </w:p>
        </w:tc>
        <w:tc>
          <w:tcPr>
            <w:tcW w:w="1606" w:type="dxa"/>
            <w:tcBorders>
              <w:top w:val="single" w:sz="4" w:space="0" w:color="auto"/>
              <w:left w:val="nil"/>
              <w:bottom w:val="single" w:sz="4" w:space="0" w:color="auto"/>
              <w:right w:val="single" w:sz="4" w:space="0" w:color="auto"/>
            </w:tcBorders>
            <w:vAlign w:val="center"/>
          </w:tcPr>
          <w:p w14:paraId="0055AD43" w14:textId="64C127BD" w:rsidR="00337ACF" w:rsidRPr="002904DA" w:rsidRDefault="00261C23" w:rsidP="00483837">
            <w:pPr>
              <w:jc w:val="center"/>
              <w:rPr>
                <w:rFonts w:ascii="Arial" w:hAnsi="Arial"/>
                <w:sz w:val="18"/>
              </w:rPr>
            </w:pPr>
            <w:r w:rsidRPr="002904DA">
              <w:rPr>
                <w:rFonts w:ascii="Arial" w:hAnsi="Arial"/>
                <w:sz w:val="18"/>
              </w:rPr>
              <w:t>Internet</w:t>
            </w:r>
          </w:p>
        </w:tc>
        <w:tc>
          <w:tcPr>
            <w:tcW w:w="1517" w:type="dxa"/>
            <w:vMerge w:val="restart"/>
            <w:tcBorders>
              <w:top w:val="nil"/>
              <w:left w:val="single" w:sz="4" w:space="0" w:color="auto"/>
              <w:right w:val="single" w:sz="4" w:space="0" w:color="auto"/>
            </w:tcBorders>
            <w:vAlign w:val="center"/>
            <w:hideMark/>
          </w:tcPr>
          <w:p w14:paraId="71E48BB9" w14:textId="77777777" w:rsidR="00337ACF" w:rsidRPr="002904DA" w:rsidRDefault="00337ACF" w:rsidP="00483837">
            <w:pPr>
              <w:jc w:val="center"/>
              <w:rPr>
                <w:rFonts w:ascii="Arial" w:hAnsi="Arial"/>
                <w:sz w:val="18"/>
              </w:rPr>
            </w:pPr>
            <w:r w:rsidRPr="002904DA">
              <w:rPr>
                <w:rFonts w:ascii="Arial" w:hAnsi="Arial"/>
                <w:sz w:val="18"/>
              </w:rPr>
              <w:t>Crack and Joint Seals</w:t>
            </w:r>
          </w:p>
        </w:tc>
      </w:tr>
      <w:tr w:rsidR="002904DA" w:rsidRPr="002904DA" w14:paraId="055D40F9"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5FE11A8A" w14:textId="77777777" w:rsidR="006F2F76" w:rsidRPr="002904DA" w:rsidRDefault="006F2F76"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59C3FED7" w14:textId="77777777" w:rsidR="006F2F76" w:rsidRPr="002904DA" w:rsidRDefault="006F2F76" w:rsidP="00483837">
            <w:pPr>
              <w:jc w:val="center"/>
              <w:rPr>
                <w:rFonts w:ascii="Arial" w:hAnsi="Arial"/>
                <w:sz w:val="18"/>
              </w:rPr>
            </w:pPr>
            <w:hyperlink w:anchor="_SUPPLEMENTAL_INFORMATION_FOR_1" w:history="1">
              <w:r w:rsidRPr="002904DA">
                <w:rPr>
                  <w:rStyle w:val="Hyperlink"/>
                  <w:rFonts w:ascii="Arial" w:hAnsi="Arial"/>
                  <w:color w:val="auto"/>
                  <w:sz w:val="18"/>
                </w:rPr>
                <w:t>A-2</w:t>
              </w:r>
            </w:hyperlink>
          </w:p>
        </w:tc>
        <w:tc>
          <w:tcPr>
            <w:tcW w:w="3004" w:type="dxa"/>
            <w:tcBorders>
              <w:top w:val="nil"/>
              <w:left w:val="nil"/>
              <w:bottom w:val="single" w:sz="4" w:space="0" w:color="auto"/>
              <w:right w:val="single" w:sz="4" w:space="0" w:color="auto"/>
            </w:tcBorders>
            <w:noWrap/>
            <w:vAlign w:val="center"/>
            <w:hideMark/>
          </w:tcPr>
          <w:p w14:paraId="4F146EB9" w14:textId="77777777" w:rsidR="006F2F76" w:rsidRPr="002904DA" w:rsidRDefault="006F2F76" w:rsidP="00483837">
            <w:pPr>
              <w:jc w:val="center"/>
              <w:rPr>
                <w:rFonts w:ascii="Arial" w:hAnsi="Arial"/>
                <w:sz w:val="18"/>
              </w:rPr>
            </w:pPr>
            <w:r w:rsidRPr="002904DA">
              <w:rPr>
                <w:rFonts w:ascii="Arial" w:hAnsi="Arial"/>
                <w:sz w:val="18"/>
              </w:rPr>
              <w:t>Crack Seal (PCC Surface)</w:t>
            </w:r>
          </w:p>
        </w:tc>
        <w:tc>
          <w:tcPr>
            <w:tcW w:w="1606" w:type="dxa"/>
            <w:tcBorders>
              <w:top w:val="single" w:sz="4" w:space="0" w:color="auto"/>
              <w:left w:val="nil"/>
              <w:bottom w:val="single" w:sz="4" w:space="0" w:color="auto"/>
              <w:right w:val="single" w:sz="4" w:space="0" w:color="auto"/>
            </w:tcBorders>
            <w:vAlign w:val="center"/>
          </w:tcPr>
          <w:p w14:paraId="5DE88945" w14:textId="77777777" w:rsidR="006F2F76" w:rsidRPr="002904DA" w:rsidRDefault="006F2F76" w:rsidP="00483837">
            <w:pPr>
              <w:jc w:val="center"/>
              <w:rPr>
                <w:rFonts w:ascii="Arial" w:hAnsi="Arial"/>
                <w:sz w:val="18"/>
              </w:rPr>
            </w:pPr>
            <w:r w:rsidRPr="002904DA">
              <w:rPr>
                <w:rFonts w:ascii="Arial" w:hAnsi="Arial"/>
                <w:sz w:val="18"/>
              </w:rPr>
              <w:t>Needs Work</w:t>
            </w:r>
          </w:p>
        </w:tc>
        <w:tc>
          <w:tcPr>
            <w:tcW w:w="1517" w:type="dxa"/>
            <w:vMerge/>
            <w:tcBorders>
              <w:left w:val="single" w:sz="4" w:space="0" w:color="auto"/>
              <w:right w:val="single" w:sz="4" w:space="0" w:color="auto"/>
            </w:tcBorders>
            <w:vAlign w:val="center"/>
            <w:hideMark/>
          </w:tcPr>
          <w:p w14:paraId="3CE702A5" w14:textId="77777777" w:rsidR="006F2F76" w:rsidRPr="002904DA" w:rsidRDefault="006F2F76" w:rsidP="00483837">
            <w:pPr>
              <w:jc w:val="center"/>
              <w:rPr>
                <w:rFonts w:ascii="Arial" w:hAnsi="Arial"/>
                <w:sz w:val="18"/>
              </w:rPr>
            </w:pPr>
          </w:p>
        </w:tc>
      </w:tr>
      <w:tr w:rsidR="002904DA" w:rsidRPr="002904DA" w14:paraId="132DC671"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65923971" w14:textId="77777777" w:rsidR="006F2F76" w:rsidRPr="002904DA" w:rsidRDefault="006F2F76"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35B28B9A" w14:textId="77777777" w:rsidR="006F2F76" w:rsidRPr="002904DA" w:rsidRDefault="006F2F76" w:rsidP="00483837">
            <w:pPr>
              <w:jc w:val="center"/>
              <w:rPr>
                <w:rFonts w:ascii="Arial" w:hAnsi="Arial"/>
                <w:sz w:val="18"/>
              </w:rPr>
            </w:pPr>
            <w:hyperlink w:anchor="_SUPPLEMENTAL_INFORMATION_FOR_1" w:history="1">
              <w:r w:rsidRPr="002904DA">
                <w:rPr>
                  <w:rStyle w:val="Hyperlink"/>
                  <w:rFonts w:ascii="Arial" w:hAnsi="Arial"/>
                  <w:color w:val="auto"/>
                  <w:sz w:val="18"/>
                </w:rPr>
                <w:t>A-3</w:t>
              </w:r>
            </w:hyperlink>
          </w:p>
        </w:tc>
        <w:tc>
          <w:tcPr>
            <w:tcW w:w="3004" w:type="dxa"/>
            <w:tcBorders>
              <w:top w:val="nil"/>
              <w:left w:val="nil"/>
              <w:bottom w:val="single" w:sz="4" w:space="0" w:color="auto"/>
              <w:right w:val="single" w:sz="4" w:space="0" w:color="auto"/>
            </w:tcBorders>
            <w:noWrap/>
            <w:vAlign w:val="center"/>
            <w:hideMark/>
          </w:tcPr>
          <w:p w14:paraId="1DA26DD6" w14:textId="77777777" w:rsidR="006F2F76" w:rsidRPr="002904DA" w:rsidRDefault="006F2F76" w:rsidP="00483837">
            <w:pPr>
              <w:jc w:val="center"/>
              <w:rPr>
                <w:rFonts w:ascii="Arial" w:hAnsi="Arial"/>
                <w:sz w:val="18"/>
              </w:rPr>
            </w:pPr>
            <w:r w:rsidRPr="002904DA">
              <w:rPr>
                <w:rFonts w:ascii="Arial" w:hAnsi="Arial"/>
                <w:sz w:val="18"/>
              </w:rPr>
              <w:t>Joint Sealing (and Resealing)</w:t>
            </w:r>
          </w:p>
        </w:tc>
        <w:tc>
          <w:tcPr>
            <w:tcW w:w="1606" w:type="dxa"/>
            <w:tcBorders>
              <w:top w:val="single" w:sz="4" w:space="0" w:color="auto"/>
              <w:left w:val="nil"/>
              <w:bottom w:val="single" w:sz="4" w:space="0" w:color="auto"/>
              <w:right w:val="single" w:sz="4" w:space="0" w:color="auto"/>
            </w:tcBorders>
            <w:vAlign w:val="center"/>
          </w:tcPr>
          <w:p w14:paraId="7B5C6AE1" w14:textId="77777777" w:rsidR="006F2F76" w:rsidRPr="002904DA" w:rsidRDefault="006F2F76" w:rsidP="00483837">
            <w:pPr>
              <w:jc w:val="center"/>
              <w:rPr>
                <w:rFonts w:ascii="Arial" w:hAnsi="Arial"/>
                <w:sz w:val="18"/>
              </w:rPr>
            </w:pPr>
            <w:r w:rsidRPr="002904DA">
              <w:rPr>
                <w:rFonts w:ascii="Arial" w:hAnsi="Arial"/>
                <w:sz w:val="18"/>
              </w:rPr>
              <w:t>Needs Work</w:t>
            </w:r>
          </w:p>
        </w:tc>
        <w:tc>
          <w:tcPr>
            <w:tcW w:w="1517" w:type="dxa"/>
            <w:vMerge/>
            <w:tcBorders>
              <w:left w:val="single" w:sz="4" w:space="0" w:color="auto"/>
              <w:right w:val="single" w:sz="4" w:space="0" w:color="auto"/>
            </w:tcBorders>
            <w:vAlign w:val="center"/>
            <w:hideMark/>
          </w:tcPr>
          <w:p w14:paraId="237D2629" w14:textId="77777777" w:rsidR="006F2F76" w:rsidRPr="002904DA" w:rsidRDefault="006F2F76" w:rsidP="00483837">
            <w:pPr>
              <w:jc w:val="center"/>
              <w:rPr>
                <w:rFonts w:ascii="Arial" w:hAnsi="Arial"/>
                <w:sz w:val="18"/>
              </w:rPr>
            </w:pPr>
          </w:p>
        </w:tc>
      </w:tr>
      <w:tr w:rsidR="002904DA" w:rsidRPr="002904DA" w14:paraId="0C849981"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5E22A4D5" w14:textId="77777777" w:rsidR="006F2F76" w:rsidRPr="002904DA" w:rsidRDefault="006F2F76"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721A59AA" w14:textId="77777777" w:rsidR="006F2F76" w:rsidRPr="002904DA" w:rsidRDefault="006F2F76" w:rsidP="00483837">
            <w:pPr>
              <w:jc w:val="center"/>
              <w:rPr>
                <w:rFonts w:ascii="Arial" w:hAnsi="Arial"/>
                <w:sz w:val="18"/>
              </w:rPr>
            </w:pPr>
            <w:hyperlink w:anchor="_SUPPLEMENTAL_INFORMATION_FOR_2" w:history="1">
              <w:r w:rsidRPr="002904DA">
                <w:rPr>
                  <w:rStyle w:val="Hyperlink"/>
                  <w:rFonts w:ascii="Arial" w:hAnsi="Arial"/>
                  <w:color w:val="auto"/>
                  <w:sz w:val="18"/>
                </w:rPr>
                <w:t>A-4</w:t>
              </w:r>
            </w:hyperlink>
          </w:p>
        </w:tc>
        <w:tc>
          <w:tcPr>
            <w:tcW w:w="3004" w:type="dxa"/>
            <w:tcBorders>
              <w:top w:val="nil"/>
              <w:left w:val="nil"/>
              <w:bottom w:val="single" w:sz="4" w:space="0" w:color="auto"/>
              <w:right w:val="single" w:sz="4" w:space="0" w:color="auto"/>
            </w:tcBorders>
            <w:noWrap/>
            <w:vAlign w:val="center"/>
            <w:hideMark/>
          </w:tcPr>
          <w:p w14:paraId="77EECA3D" w14:textId="77777777" w:rsidR="006F2F76" w:rsidRPr="002904DA" w:rsidRDefault="006F2F76" w:rsidP="00483837">
            <w:pPr>
              <w:jc w:val="center"/>
              <w:rPr>
                <w:rFonts w:ascii="Arial" w:hAnsi="Arial"/>
                <w:sz w:val="18"/>
              </w:rPr>
            </w:pPr>
            <w:r w:rsidRPr="002904DA">
              <w:rPr>
                <w:rFonts w:ascii="Arial" w:hAnsi="Arial"/>
                <w:sz w:val="18"/>
              </w:rPr>
              <w:t>Saw and Seal</w:t>
            </w:r>
          </w:p>
        </w:tc>
        <w:tc>
          <w:tcPr>
            <w:tcW w:w="1606" w:type="dxa"/>
            <w:tcBorders>
              <w:top w:val="single" w:sz="4" w:space="0" w:color="auto"/>
              <w:left w:val="nil"/>
              <w:bottom w:val="single" w:sz="4" w:space="0" w:color="auto"/>
              <w:right w:val="single" w:sz="4" w:space="0" w:color="auto"/>
            </w:tcBorders>
            <w:vAlign w:val="center"/>
          </w:tcPr>
          <w:p w14:paraId="1ED16D30" w14:textId="77777777" w:rsidR="006F2F76" w:rsidRPr="002904DA" w:rsidRDefault="00047083" w:rsidP="00483837">
            <w:pPr>
              <w:jc w:val="center"/>
              <w:rPr>
                <w:rFonts w:ascii="Arial" w:hAnsi="Arial"/>
                <w:sz w:val="18"/>
              </w:rPr>
            </w:pPr>
            <w:r w:rsidRPr="002904DA">
              <w:rPr>
                <w:rFonts w:ascii="Arial" w:hAnsi="Arial"/>
                <w:sz w:val="18"/>
              </w:rPr>
              <w:t>None</w:t>
            </w:r>
          </w:p>
        </w:tc>
        <w:tc>
          <w:tcPr>
            <w:tcW w:w="1517" w:type="dxa"/>
            <w:vMerge/>
            <w:tcBorders>
              <w:left w:val="single" w:sz="4" w:space="0" w:color="auto"/>
              <w:bottom w:val="single" w:sz="4" w:space="0" w:color="auto"/>
              <w:right w:val="single" w:sz="4" w:space="0" w:color="auto"/>
            </w:tcBorders>
            <w:vAlign w:val="center"/>
            <w:hideMark/>
          </w:tcPr>
          <w:p w14:paraId="63569AFC" w14:textId="77777777" w:rsidR="006F2F76" w:rsidRPr="002904DA" w:rsidRDefault="006F2F76" w:rsidP="00483837">
            <w:pPr>
              <w:jc w:val="center"/>
              <w:rPr>
                <w:rFonts w:ascii="Arial" w:hAnsi="Arial"/>
                <w:sz w:val="18"/>
              </w:rPr>
            </w:pPr>
          </w:p>
        </w:tc>
      </w:tr>
      <w:tr w:rsidR="002904DA" w:rsidRPr="002904DA" w14:paraId="63A5CDC3" w14:textId="77777777" w:rsidTr="0009226D">
        <w:trPr>
          <w:trHeight w:val="330"/>
        </w:trPr>
        <w:tc>
          <w:tcPr>
            <w:tcW w:w="1429" w:type="dxa"/>
            <w:vMerge w:val="restart"/>
            <w:tcBorders>
              <w:top w:val="nil"/>
              <w:left w:val="single" w:sz="4" w:space="0" w:color="auto"/>
              <w:bottom w:val="single" w:sz="4" w:space="0" w:color="000000"/>
              <w:right w:val="single" w:sz="4" w:space="0" w:color="auto"/>
            </w:tcBorders>
            <w:shd w:val="clear" w:color="000000" w:fill="D8D8D8"/>
            <w:vAlign w:val="center"/>
            <w:hideMark/>
          </w:tcPr>
          <w:p w14:paraId="5601A92D" w14:textId="77777777" w:rsidR="009B5D2A" w:rsidRPr="002904DA" w:rsidRDefault="009B5D2A" w:rsidP="00483837">
            <w:pPr>
              <w:jc w:val="center"/>
              <w:rPr>
                <w:rFonts w:ascii="Arial" w:hAnsi="Arial"/>
                <w:sz w:val="18"/>
              </w:rPr>
            </w:pPr>
            <w:r w:rsidRPr="002904DA">
              <w:rPr>
                <w:rFonts w:ascii="Arial" w:hAnsi="Arial"/>
                <w:sz w:val="18"/>
              </w:rPr>
              <w:t>B. Asphalt Sealers / Rejuvenators</w:t>
            </w:r>
          </w:p>
        </w:tc>
        <w:tc>
          <w:tcPr>
            <w:tcW w:w="1174" w:type="dxa"/>
            <w:tcBorders>
              <w:top w:val="nil"/>
              <w:left w:val="nil"/>
              <w:bottom w:val="single" w:sz="4" w:space="0" w:color="auto"/>
              <w:right w:val="single" w:sz="4" w:space="0" w:color="auto"/>
            </w:tcBorders>
            <w:shd w:val="clear" w:color="000000" w:fill="D8D8D8"/>
            <w:vAlign w:val="center"/>
            <w:hideMark/>
          </w:tcPr>
          <w:p w14:paraId="18C40FD9" w14:textId="77777777" w:rsidR="009B5D2A" w:rsidRPr="002904DA" w:rsidRDefault="009B5D2A" w:rsidP="00483837">
            <w:pPr>
              <w:jc w:val="center"/>
              <w:rPr>
                <w:rFonts w:ascii="Arial" w:hAnsi="Arial"/>
                <w:sz w:val="18"/>
              </w:rPr>
            </w:pPr>
            <w:hyperlink w:anchor="_SUPPLEMENTAL_INFORMATION_FOR_3" w:history="1">
              <w:r w:rsidRPr="002904DA">
                <w:rPr>
                  <w:rStyle w:val="Hyperlink"/>
                  <w:rFonts w:ascii="Arial" w:hAnsi="Arial"/>
                  <w:color w:val="auto"/>
                  <w:sz w:val="18"/>
                </w:rPr>
                <w:t>B-1</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34A0ABE9" w14:textId="77777777" w:rsidR="009B5D2A" w:rsidRPr="002904DA" w:rsidRDefault="009B5D2A" w:rsidP="00483837">
            <w:pPr>
              <w:jc w:val="center"/>
              <w:rPr>
                <w:rFonts w:ascii="Arial" w:hAnsi="Arial"/>
                <w:sz w:val="18"/>
              </w:rPr>
            </w:pPr>
            <w:r w:rsidRPr="002904DA">
              <w:rPr>
                <w:rFonts w:ascii="Arial" w:hAnsi="Arial"/>
                <w:sz w:val="18"/>
              </w:rPr>
              <w:t>Fog Seal</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12EFC657" w14:textId="77777777" w:rsidR="009B5D2A" w:rsidRPr="002904DA" w:rsidRDefault="009B5D2A" w:rsidP="00483837">
            <w:pPr>
              <w:jc w:val="center"/>
              <w:rPr>
                <w:rFonts w:ascii="Arial" w:hAnsi="Arial"/>
                <w:sz w:val="18"/>
              </w:rPr>
            </w:pPr>
            <w:r w:rsidRPr="002904DA">
              <w:rPr>
                <w:rFonts w:ascii="Arial" w:hAnsi="Arial"/>
                <w:sz w:val="18"/>
              </w:rPr>
              <w:t>Pilot Phase</w:t>
            </w:r>
          </w:p>
        </w:tc>
        <w:tc>
          <w:tcPr>
            <w:tcW w:w="1517" w:type="dxa"/>
            <w:vMerge w:val="restart"/>
            <w:tcBorders>
              <w:top w:val="nil"/>
              <w:left w:val="single" w:sz="4" w:space="0" w:color="auto"/>
              <w:right w:val="single" w:sz="4" w:space="0" w:color="auto"/>
            </w:tcBorders>
            <w:shd w:val="clear" w:color="000000" w:fill="D8D8D8"/>
            <w:vAlign w:val="center"/>
            <w:hideMark/>
          </w:tcPr>
          <w:p w14:paraId="1398B008" w14:textId="77777777" w:rsidR="009B5D2A" w:rsidRPr="002904DA" w:rsidRDefault="009B5D2A" w:rsidP="00483837">
            <w:pPr>
              <w:jc w:val="center"/>
              <w:rPr>
                <w:rFonts w:ascii="Arial" w:hAnsi="Arial"/>
                <w:sz w:val="18"/>
              </w:rPr>
            </w:pPr>
            <w:r w:rsidRPr="002904DA">
              <w:rPr>
                <w:rFonts w:ascii="Arial" w:hAnsi="Arial"/>
                <w:sz w:val="18"/>
              </w:rPr>
              <w:t>Asphalt Emulsion Seals</w:t>
            </w:r>
          </w:p>
        </w:tc>
      </w:tr>
      <w:tr w:rsidR="002904DA" w:rsidRPr="002904DA" w14:paraId="5A64E675" w14:textId="77777777" w:rsidTr="0009226D">
        <w:trPr>
          <w:trHeight w:val="357"/>
        </w:trPr>
        <w:tc>
          <w:tcPr>
            <w:tcW w:w="1429" w:type="dxa"/>
            <w:vMerge/>
            <w:tcBorders>
              <w:top w:val="nil"/>
              <w:left w:val="single" w:sz="4" w:space="0" w:color="auto"/>
              <w:bottom w:val="single" w:sz="4" w:space="0" w:color="000000"/>
              <w:right w:val="single" w:sz="4" w:space="0" w:color="auto"/>
            </w:tcBorders>
            <w:vAlign w:val="center"/>
            <w:hideMark/>
          </w:tcPr>
          <w:p w14:paraId="6AD3AE25" w14:textId="77777777" w:rsidR="009B5D2A" w:rsidRPr="002904DA" w:rsidRDefault="009B5D2A" w:rsidP="00483837">
            <w:pPr>
              <w:rPr>
                <w:rFonts w:ascii="Arial" w:hAnsi="Arial"/>
                <w:sz w:val="18"/>
              </w:rPr>
            </w:pPr>
          </w:p>
        </w:tc>
        <w:tc>
          <w:tcPr>
            <w:tcW w:w="1174" w:type="dxa"/>
            <w:tcBorders>
              <w:top w:val="nil"/>
              <w:left w:val="nil"/>
              <w:bottom w:val="single" w:sz="4" w:space="0" w:color="auto"/>
              <w:right w:val="single" w:sz="4" w:space="0" w:color="auto"/>
            </w:tcBorders>
            <w:shd w:val="clear" w:color="000000" w:fill="D8D8D8"/>
            <w:vAlign w:val="center"/>
            <w:hideMark/>
          </w:tcPr>
          <w:p w14:paraId="55CCA864" w14:textId="77777777" w:rsidR="009B5D2A" w:rsidRPr="002904DA" w:rsidRDefault="009B5D2A" w:rsidP="00483837">
            <w:pPr>
              <w:jc w:val="center"/>
              <w:rPr>
                <w:rFonts w:ascii="Arial" w:hAnsi="Arial"/>
                <w:sz w:val="18"/>
              </w:rPr>
            </w:pPr>
            <w:hyperlink w:anchor="_SUPPLEMENTAL_INFORMATION_FOR_3" w:history="1">
              <w:r w:rsidRPr="002904DA">
                <w:rPr>
                  <w:rStyle w:val="Hyperlink"/>
                  <w:rFonts w:ascii="Arial" w:hAnsi="Arial"/>
                  <w:color w:val="auto"/>
                  <w:sz w:val="18"/>
                </w:rPr>
                <w:t>B-2</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2764F459" w14:textId="77777777" w:rsidR="009B5D2A" w:rsidRPr="002904DA" w:rsidRDefault="009B5D2A" w:rsidP="00483837">
            <w:pPr>
              <w:jc w:val="center"/>
              <w:rPr>
                <w:rFonts w:ascii="Arial" w:hAnsi="Arial"/>
                <w:sz w:val="18"/>
              </w:rPr>
            </w:pPr>
            <w:r w:rsidRPr="002904DA">
              <w:rPr>
                <w:rFonts w:ascii="Arial" w:hAnsi="Arial"/>
                <w:sz w:val="18"/>
              </w:rPr>
              <w:t>Rejuvenators</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66FEC303" w14:textId="77777777" w:rsidR="009B5D2A" w:rsidRPr="002904DA" w:rsidRDefault="009B5D2A" w:rsidP="00483837">
            <w:pPr>
              <w:jc w:val="center"/>
              <w:rPr>
                <w:rFonts w:ascii="Arial" w:hAnsi="Arial"/>
                <w:sz w:val="18"/>
              </w:rPr>
            </w:pPr>
            <w:r w:rsidRPr="002904DA">
              <w:rPr>
                <w:rFonts w:ascii="Arial" w:hAnsi="Arial"/>
                <w:sz w:val="18"/>
              </w:rPr>
              <w:t>Pilot Phase</w:t>
            </w:r>
          </w:p>
        </w:tc>
        <w:tc>
          <w:tcPr>
            <w:tcW w:w="1517" w:type="dxa"/>
            <w:vMerge/>
            <w:tcBorders>
              <w:left w:val="single" w:sz="4" w:space="0" w:color="auto"/>
              <w:bottom w:val="single" w:sz="4" w:space="0" w:color="auto"/>
              <w:right w:val="single" w:sz="4" w:space="0" w:color="auto"/>
            </w:tcBorders>
            <w:shd w:val="clear" w:color="000000" w:fill="D8D8D8"/>
            <w:vAlign w:val="center"/>
            <w:hideMark/>
          </w:tcPr>
          <w:p w14:paraId="568C2B45" w14:textId="77777777" w:rsidR="009B5D2A" w:rsidRPr="002904DA" w:rsidRDefault="009B5D2A" w:rsidP="00483837">
            <w:pPr>
              <w:jc w:val="center"/>
              <w:rPr>
                <w:rFonts w:ascii="Arial" w:hAnsi="Arial"/>
                <w:sz w:val="18"/>
              </w:rPr>
            </w:pPr>
          </w:p>
        </w:tc>
      </w:tr>
      <w:tr w:rsidR="002904DA" w:rsidRPr="002904DA" w14:paraId="0A24249E" w14:textId="77777777" w:rsidTr="0009226D">
        <w:trPr>
          <w:trHeight w:val="255"/>
        </w:trPr>
        <w:tc>
          <w:tcPr>
            <w:tcW w:w="1429" w:type="dxa"/>
            <w:vMerge w:val="restart"/>
            <w:tcBorders>
              <w:top w:val="nil"/>
              <w:left w:val="single" w:sz="4" w:space="0" w:color="auto"/>
              <w:bottom w:val="single" w:sz="4" w:space="0" w:color="000000"/>
              <w:right w:val="single" w:sz="4" w:space="0" w:color="auto"/>
            </w:tcBorders>
            <w:vAlign w:val="center"/>
            <w:hideMark/>
          </w:tcPr>
          <w:p w14:paraId="6BEA0206" w14:textId="77777777" w:rsidR="002904DA" w:rsidRPr="002904DA" w:rsidRDefault="002904DA" w:rsidP="00483837">
            <w:pPr>
              <w:jc w:val="center"/>
              <w:rPr>
                <w:rFonts w:ascii="Arial" w:hAnsi="Arial"/>
                <w:sz w:val="18"/>
              </w:rPr>
            </w:pPr>
            <w:r w:rsidRPr="002904DA">
              <w:rPr>
                <w:rFonts w:ascii="Arial" w:hAnsi="Arial"/>
                <w:sz w:val="18"/>
              </w:rPr>
              <w:t>C. Aggregate Seals</w:t>
            </w:r>
          </w:p>
        </w:tc>
        <w:tc>
          <w:tcPr>
            <w:tcW w:w="1174" w:type="dxa"/>
            <w:tcBorders>
              <w:top w:val="nil"/>
              <w:left w:val="nil"/>
              <w:bottom w:val="single" w:sz="4" w:space="0" w:color="auto"/>
              <w:right w:val="single" w:sz="4" w:space="0" w:color="auto"/>
            </w:tcBorders>
            <w:vAlign w:val="center"/>
            <w:hideMark/>
          </w:tcPr>
          <w:p w14:paraId="0B5C9320" w14:textId="77777777" w:rsidR="002904DA" w:rsidRPr="002904DA" w:rsidRDefault="002904DA" w:rsidP="00483837">
            <w:pPr>
              <w:jc w:val="center"/>
              <w:rPr>
                <w:rFonts w:ascii="Arial" w:hAnsi="Arial"/>
                <w:sz w:val="18"/>
              </w:rPr>
            </w:pPr>
            <w:hyperlink w:anchor="_SUPPLEMENTAL_INFORMATION_FOR_4" w:history="1">
              <w:r w:rsidRPr="002904DA">
                <w:rPr>
                  <w:rStyle w:val="Hyperlink"/>
                  <w:rFonts w:ascii="Arial" w:hAnsi="Arial"/>
                  <w:color w:val="auto"/>
                  <w:sz w:val="18"/>
                </w:rPr>
                <w:t>C-1</w:t>
              </w:r>
            </w:hyperlink>
          </w:p>
        </w:tc>
        <w:tc>
          <w:tcPr>
            <w:tcW w:w="3004" w:type="dxa"/>
            <w:tcBorders>
              <w:top w:val="nil"/>
              <w:left w:val="nil"/>
              <w:bottom w:val="single" w:sz="4" w:space="0" w:color="auto"/>
              <w:right w:val="single" w:sz="4" w:space="0" w:color="auto"/>
            </w:tcBorders>
            <w:noWrap/>
            <w:vAlign w:val="center"/>
            <w:hideMark/>
          </w:tcPr>
          <w:p w14:paraId="7984D850" w14:textId="77777777" w:rsidR="002904DA" w:rsidRPr="002904DA" w:rsidRDefault="002904DA" w:rsidP="00483837">
            <w:pPr>
              <w:jc w:val="center"/>
              <w:rPr>
                <w:rFonts w:ascii="Arial" w:hAnsi="Arial"/>
                <w:sz w:val="18"/>
              </w:rPr>
            </w:pPr>
            <w:r w:rsidRPr="002904DA">
              <w:rPr>
                <w:rFonts w:ascii="Arial" w:hAnsi="Arial"/>
                <w:sz w:val="18"/>
              </w:rPr>
              <w:t>Cape Seal</w:t>
            </w:r>
          </w:p>
        </w:tc>
        <w:tc>
          <w:tcPr>
            <w:tcW w:w="1606" w:type="dxa"/>
            <w:tcBorders>
              <w:top w:val="single" w:sz="4" w:space="0" w:color="auto"/>
              <w:left w:val="nil"/>
              <w:bottom w:val="single" w:sz="4" w:space="0" w:color="auto"/>
              <w:right w:val="single" w:sz="4" w:space="0" w:color="auto"/>
            </w:tcBorders>
            <w:vAlign w:val="center"/>
          </w:tcPr>
          <w:p w14:paraId="786B5CE9" w14:textId="11FFE8AB" w:rsidR="002904DA" w:rsidRPr="002904DA" w:rsidRDefault="008214FB" w:rsidP="00483837">
            <w:pPr>
              <w:jc w:val="center"/>
              <w:rPr>
                <w:rFonts w:ascii="Arial" w:hAnsi="Arial"/>
                <w:sz w:val="18"/>
              </w:rPr>
            </w:pPr>
            <w:r>
              <w:rPr>
                <w:rFonts w:ascii="Arial" w:hAnsi="Arial"/>
                <w:sz w:val="18"/>
              </w:rPr>
              <w:t>Pilot Phase</w:t>
            </w:r>
          </w:p>
        </w:tc>
        <w:tc>
          <w:tcPr>
            <w:tcW w:w="1517" w:type="dxa"/>
            <w:vMerge w:val="restart"/>
            <w:tcBorders>
              <w:top w:val="single" w:sz="4" w:space="0" w:color="auto"/>
              <w:left w:val="single" w:sz="4" w:space="0" w:color="auto"/>
              <w:right w:val="single" w:sz="4" w:space="0" w:color="auto"/>
            </w:tcBorders>
            <w:vAlign w:val="center"/>
            <w:hideMark/>
          </w:tcPr>
          <w:p w14:paraId="49D84D8E" w14:textId="77777777" w:rsidR="002904DA" w:rsidRPr="002904DA" w:rsidRDefault="002904DA" w:rsidP="00483837">
            <w:pPr>
              <w:jc w:val="center"/>
              <w:rPr>
                <w:rFonts w:ascii="Arial" w:hAnsi="Arial"/>
                <w:sz w:val="18"/>
              </w:rPr>
            </w:pPr>
            <w:r w:rsidRPr="002904DA">
              <w:rPr>
                <w:rFonts w:ascii="Arial" w:hAnsi="Arial"/>
                <w:sz w:val="18"/>
              </w:rPr>
              <w:t>Asphalt Emulsion Seals</w:t>
            </w:r>
          </w:p>
        </w:tc>
      </w:tr>
      <w:tr w:rsidR="002904DA" w:rsidRPr="002904DA" w14:paraId="787941E5"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279D87AF" w14:textId="77777777" w:rsidR="002904DA" w:rsidRPr="002904DA" w:rsidRDefault="002904DA"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616B0696" w14:textId="77777777" w:rsidR="002904DA" w:rsidRPr="002904DA" w:rsidRDefault="002904DA" w:rsidP="00483837">
            <w:pPr>
              <w:jc w:val="center"/>
              <w:rPr>
                <w:rFonts w:ascii="Arial" w:hAnsi="Arial"/>
                <w:sz w:val="18"/>
              </w:rPr>
            </w:pPr>
            <w:hyperlink w:anchor="_SUPPLEMENTAL_INFORMATION_FOR_4" w:history="1">
              <w:r w:rsidRPr="002904DA">
                <w:rPr>
                  <w:rStyle w:val="Hyperlink"/>
                  <w:rFonts w:ascii="Arial" w:hAnsi="Arial"/>
                  <w:color w:val="auto"/>
                  <w:sz w:val="18"/>
                </w:rPr>
                <w:t>C-2</w:t>
              </w:r>
            </w:hyperlink>
          </w:p>
        </w:tc>
        <w:tc>
          <w:tcPr>
            <w:tcW w:w="3004" w:type="dxa"/>
            <w:tcBorders>
              <w:top w:val="nil"/>
              <w:left w:val="nil"/>
              <w:bottom w:val="single" w:sz="4" w:space="0" w:color="auto"/>
              <w:right w:val="single" w:sz="4" w:space="0" w:color="auto"/>
            </w:tcBorders>
            <w:noWrap/>
            <w:vAlign w:val="center"/>
            <w:hideMark/>
          </w:tcPr>
          <w:p w14:paraId="61E8834E" w14:textId="116A439B" w:rsidR="002904DA" w:rsidRPr="002904DA" w:rsidRDefault="002904DA" w:rsidP="00483837">
            <w:pPr>
              <w:jc w:val="center"/>
              <w:rPr>
                <w:rFonts w:ascii="Arial" w:hAnsi="Arial"/>
                <w:sz w:val="18"/>
              </w:rPr>
            </w:pPr>
            <w:r w:rsidRPr="002904DA">
              <w:rPr>
                <w:rFonts w:ascii="Arial" w:hAnsi="Arial"/>
                <w:sz w:val="18"/>
              </w:rPr>
              <w:t>Chip Seal</w:t>
            </w:r>
          </w:p>
        </w:tc>
        <w:tc>
          <w:tcPr>
            <w:tcW w:w="1606" w:type="dxa"/>
            <w:tcBorders>
              <w:top w:val="single" w:sz="4" w:space="0" w:color="auto"/>
              <w:left w:val="nil"/>
              <w:bottom w:val="single" w:sz="4" w:space="0" w:color="auto"/>
              <w:right w:val="single" w:sz="4" w:space="0" w:color="auto"/>
            </w:tcBorders>
            <w:vAlign w:val="center"/>
          </w:tcPr>
          <w:p w14:paraId="300226DF" w14:textId="69A2930F" w:rsidR="002904DA" w:rsidRPr="002904DA" w:rsidRDefault="00476E70" w:rsidP="00483837">
            <w:pPr>
              <w:jc w:val="center"/>
              <w:rPr>
                <w:rFonts w:ascii="Arial" w:hAnsi="Arial"/>
                <w:sz w:val="18"/>
              </w:rPr>
            </w:pPr>
            <w:r>
              <w:rPr>
                <w:rFonts w:ascii="Arial" w:hAnsi="Arial"/>
                <w:sz w:val="18"/>
              </w:rPr>
              <w:t>Pilot Phase</w:t>
            </w:r>
          </w:p>
        </w:tc>
        <w:tc>
          <w:tcPr>
            <w:tcW w:w="1517" w:type="dxa"/>
            <w:vMerge/>
            <w:tcBorders>
              <w:left w:val="single" w:sz="4" w:space="0" w:color="auto"/>
              <w:right w:val="single" w:sz="4" w:space="0" w:color="auto"/>
            </w:tcBorders>
            <w:vAlign w:val="center"/>
            <w:hideMark/>
          </w:tcPr>
          <w:p w14:paraId="5D9A0330" w14:textId="77777777" w:rsidR="002904DA" w:rsidRPr="002904DA" w:rsidRDefault="002904DA" w:rsidP="00483837">
            <w:pPr>
              <w:jc w:val="center"/>
              <w:rPr>
                <w:rFonts w:ascii="Arial" w:hAnsi="Arial"/>
                <w:sz w:val="18"/>
              </w:rPr>
            </w:pPr>
          </w:p>
        </w:tc>
      </w:tr>
      <w:tr w:rsidR="002904DA" w:rsidRPr="002904DA" w14:paraId="2298D25D"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5EE1D8E3" w14:textId="77777777" w:rsidR="002904DA" w:rsidRPr="002904DA" w:rsidRDefault="002904DA"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194A6F7C" w14:textId="77777777" w:rsidR="002904DA" w:rsidRPr="002904DA" w:rsidRDefault="002904DA" w:rsidP="00483837">
            <w:pPr>
              <w:jc w:val="center"/>
              <w:rPr>
                <w:rFonts w:ascii="Arial" w:hAnsi="Arial"/>
                <w:sz w:val="18"/>
              </w:rPr>
            </w:pPr>
            <w:hyperlink w:anchor="_SUPPLEMENTAL_INFORMATION_FOR_5" w:history="1">
              <w:r w:rsidRPr="002904DA">
                <w:rPr>
                  <w:rStyle w:val="Hyperlink"/>
                  <w:rFonts w:ascii="Arial" w:hAnsi="Arial"/>
                  <w:color w:val="auto"/>
                  <w:sz w:val="18"/>
                </w:rPr>
                <w:t>C-3</w:t>
              </w:r>
            </w:hyperlink>
          </w:p>
        </w:tc>
        <w:tc>
          <w:tcPr>
            <w:tcW w:w="3004" w:type="dxa"/>
            <w:tcBorders>
              <w:top w:val="nil"/>
              <w:left w:val="nil"/>
              <w:bottom w:val="single" w:sz="4" w:space="0" w:color="auto"/>
              <w:right w:val="single" w:sz="4" w:space="0" w:color="auto"/>
            </w:tcBorders>
            <w:noWrap/>
            <w:vAlign w:val="center"/>
            <w:hideMark/>
          </w:tcPr>
          <w:p w14:paraId="57A3948E" w14:textId="523CBFA1" w:rsidR="002904DA" w:rsidRPr="002904DA" w:rsidRDefault="002904DA" w:rsidP="00483837">
            <w:pPr>
              <w:jc w:val="center"/>
              <w:rPr>
                <w:rFonts w:ascii="Arial" w:hAnsi="Arial"/>
                <w:sz w:val="18"/>
              </w:rPr>
            </w:pPr>
            <w:r w:rsidRPr="002904DA">
              <w:rPr>
                <w:rFonts w:ascii="Arial" w:hAnsi="Arial"/>
                <w:sz w:val="18"/>
              </w:rPr>
              <w:t>Micro</w:t>
            </w:r>
            <w:r w:rsidR="00476E70">
              <w:rPr>
                <w:rFonts w:ascii="Arial" w:hAnsi="Arial"/>
                <w:sz w:val="18"/>
              </w:rPr>
              <w:t xml:space="preserve"> </w:t>
            </w:r>
            <w:r w:rsidRPr="002904DA">
              <w:rPr>
                <w:rFonts w:ascii="Arial" w:hAnsi="Arial"/>
                <w:sz w:val="18"/>
              </w:rPr>
              <w:t>surfacing</w:t>
            </w:r>
          </w:p>
        </w:tc>
        <w:tc>
          <w:tcPr>
            <w:tcW w:w="1606" w:type="dxa"/>
            <w:tcBorders>
              <w:top w:val="single" w:sz="4" w:space="0" w:color="auto"/>
              <w:left w:val="nil"/>
              <w:bottom w:val="single" w:sz="4" w:space="0" w:color="auto"/>
              <w:right w:val="single" w:sz="4" w:space="0" w:color="auto"/>
            </w:tcBorders>
            <w:vAlign w:val="center"/>
          </w:tcPr>
          <w:p w14:paraId="3986E161" w14:textId="5C6058BC" w:rsidR="002904DA" w:rsidRPr="002904DA" w:rsidRDefault="002904DA" w:rsidP="00483837">
            <w:pPr>
              <w:jc w:val="center"/>
              <w:rPr>
                <w:rFonts w:ascii="Arial" w:hAnsi="Arial"/>
                <w:sz w:val="18"/>
              </w:rPr>
            </w:pPr>
            <w:r w:rsidRPr="002904DA">
              <w:rPr>
                <w:rFonts w:ascii="Arial" w:hAnsi="Arial" w:cs="Arial"/>
              </w:rPr>
              <w:t>Internet</w:t>
            </w:r>
          </w:p>
        </w:tc>
        <w:tc>
          <w:tcPr>
            <w:tcW w:w="1517" w:type="dxa"/>
            <w:vMerge/>
            <w:tcBorders>
              <w:left w:val="single" w:sz="4" w:space="0" w:color="auto"/>
              <w:right w:val="single" w:sz="4" w:space="0" w:color="auto"/>
            </w:tcBorders>
            <w:vAlign w:val="center"/>
            <w:hideMark/>
          </w:tcPr>
          <w:p w14:paraId="06811F42" w14:textId="5EC7A570" w:rsidR="002904DA" w:rsidRPr="002904DA" w:rsidRDefault="002904DA" w:rsidP="00483837">
            <w:pPr>
              <w:jc w:val="center"/>
              <w:rPr>
                <w:rFonts w:ascii="Arial" w:hAnsi="Arial"/>
                <w:sz w:val="18"/>
              </w:rPr>
            </w:pPr>
          </w:p>
        </w:tc>
      </w:tr>
      <w:tr w:rsidR="002904DA" w:rsidRPr="002904DA" w14:paraId="3FC18D0B"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5BCAF3C7" w14:textId="77777777" w:rsidR="002904DA" w:rsidRPr="002904DA" w:rsidRDefault="002904DA"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13F709C3" w14:textId="77777777" w:rsidR="002904DA" w:rsidRPr="002904DA" w:rsidRDefault="002904DA" w:rsidP="00483837">
            <w:pPr>
              <w:jc w:val="center"/>
              <w:rPr>
                <w:rFonts w:ascii="Arial" w:hAnsi="Arial"/>
                <w:sz w:val="18"/>
              </w:rPr>
            </w:pPr>
            <w:hyperlink w:anchor="_SUPPLEMENTAL_INFORMATION_FOR_5" w:history="1">
              <w:r w:rsidRPr="002904DA">
                <w:rPr>
                  <w:rStyle w:val="Hyperlink"/>
                  <w:rFonts w:ascii="Arial" w:hAnsi="Arial"/>
                  <w:color w:val="auto"/>
                  <w:sz w:val="18"/>
                </w:rPr>
                <w:t>C-4</w:t>
              </w:r>
            </w:hyperlink>
          </w:p>
        </w:tc>
        <w:tc>
          <w:tcPr>
            <w:tcW w:w="3004" w:type="dxa"/>
            <w:tcBorders>
              <w:top w:val="nil"/>
              <w:left w:val="nil"/>
              <w:bottom w:val="single" w:sz="4" w:space="0" w:color="auto"/>
              <w:right w:val="single" w:sz="4" w:space="0" w:color="auto"/>
            </w:tcBorders>
            <w:noWrap/>
            <w:vAlign w:val="center"/>
            <w:hideMark/>
          </w:tcPr>
          <w:p w14:paraId="073E49F9" w14:textId="77777777" w:rsidR="002904DA" w:rsidRPr="002904DA" w:rsidRDefault="002904DA" w:rsidP="00483837">
            <w:pPr>
              <w:jc w:val="center"/>
              <w:rPr>
                <w:rFonts w:ascii="Arial" w:hAnsi="Arial"/>
                <w:sz w:val="18"/>
              </w:rPr>
            </w:pPr>
            <w:r w:rsidRPr="002904DA">
              <w:rPr>
                <w:rFonts w:ascii="Arial" w:hAnsi="Arial"/>
                <w:sz w:val="18"/>
              </w:rPr>
              <w:t>Sand Seal</w:t>
            </w:r>
          </w:p>
        </w:tc>
        <w:tc>
          <w:tcPr>
            <w:tcW w:w="1606" w:type="dxa"/>
            <w:tcBorders>
              <w:top w:val="single" w:sz="4" w:space="0" w:color="auto"/>
              <w:left w:val="nil"/>
              <w:bottom w:val="single" w:sz="4" w:space="0" w:color="auto"/>
              <w:right w:val="single" w:sz="4" w:space="0" w:color="auto"/>
            </w:tcBorders>
            <w:vAlign w:val="center"/>
          </w:tcPr>
          <w:p w14:paraId="7BA8778C" w14:textId="77777777" w:rsidR="002904DA" w:rsidRPr="002904DA" w:rsidRDefault="002904DA" w:rsidP="00483837">
            <w:pPr>
              <w:jc w:val="center"/>
              <w:rPr>
                <w:rFonts w:ascii="Arial" w:hAnsi="Arial"/>
                <w:sz w:val="18"/>
              </w:rPr>
            </w:pPr>
            <w:r w:rsidRPr="002904DA">
              <w:rPr>
                <w:rFonts w:ascii="Arial" w:hAnsi="Arial"/>
                <w:sz w:val="18"/>
              </w:rPr>
              <w:t>None</w:t>
            </w:r>
          </w:p>
        </w:tc>
        <w:tc>
          <w:tcPr>
            <w:tcW w:w="1517" w:type="dxa"/>
            <w:vMerge/>
            <w:tcBorders>
              <w:left w:val="single" w:sz="4" w:space="0" w:color="auto"/>
              <w:right w:val="single" w:sz="4" w:space="0" w:color="auto"/>
            </w:tcBorders>
            <w:vAlign w:val="center"/>
            <w:hideMark/>
          </w:tcPr>
          <w:p w14:paraId="08FF2881" w14:textId="2C22982C" w:rsidR="002904DA" w:rsidRPr="002904DA" w:rsidRDefault="002904DA" w:rsidP="00483837">
            <w:pPr>
              <w:jc w:val="center"/>
              <w:rPr>
                <w:rFonts w:ascii="Arial" w:hAnsi="Arial"/>
                <w:sz w:val="18"/>
              </w:rPr>
            </w:pPr>
          </w:p>
        </w:tc>
      </w:tr>
      <w:tr w:rsidR="002904DA" w:rsidRPr="002904DA" w14:paraId="57EF1A26"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7F4CB0F7" w14:textId="77777777" w:rsidR="002904DA" w:rsidRPr="002904DA" w:rsidRDefault="002904DA"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3C2DE8FE" w14:textId="77777777" w:rsidR="002904DA" w:rsidRPr="00B13F44" w:rsidRDefault="002904DA" w:rsidP="00483837">
            <w:pPr>
              <w:jc w:val="center"/>
              <w:rPr>
                <w:rStyle w:val="Hyperlink"/>
                <w:rFonts w:ascii="Arial" w:hAnsi="Arial" w:cs="Arial"/>
                <w:color w:val="BFBFBF" w:themeColor="background1" w:themeShade="BF"/>
                <w:sz w:val="18"/>
                <w:szCs w:val="18"/>
                <w:u w:val="none"/>
              </w:rPr>
            </w:pPr>
            <w:hyperlink w:anchor="_SUPPLEMENTAL_INFORMATION_FOR_6" w:history="1">
              <w:r w:rsidRPr="00E16F07">
                <w:rPr>
                  <w:rStyle w:val="Hyperlink"/>
                  <w:rFonts w:ascii="Arial" w:hAnsi="Arial" w:cs="Arial"/>
                  <w:color w:val="auto"/>
                  <w:sz w:val="18"/>
                  <w:szCs w:val="18"/>
                  <w:u w:val="none"/>
                </w:rPr>
                <w:t>C-5</w:t>
              </w:r>
            </w:hyperlink>
          </w:p>
        </w:tc>
        <w:tc>
          <w:tcPr>
            <w:tcW w:w="3004" w:type="dxa"/>
            <w:tcBorders>
              <w:top w:val="nil"/>
              <w:left w:val="nil"/>
              <w:bottom w:val="single" w:sz="4" w:space="0" w:color="auto"/>
              <w:right w:val="single" w:sz="4" w:space="0" w:color="auto"/>
            </w:tcBorders>
            <w:noWrap/>
            <w:vAlign w:val="center"/>
            <w:hideMark/>
          </w:tcPr>
          <w:p w14:paraId="48503C74" w14:textId="77777777" w:rsidR="002904DA" w:rsidRPr="00E16F07" w:rsidRDefault="002904DA" w:rsidP="00483837">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Sandwich Seal</w:t>
            </w:r>
          </w:p>
        </w:tc>
        <w:tc>
          <w:tcPr>
            <w:tcW w:w="1606" w:type="dxa"/>
            <w:tcBorders>
              <w:top w:val="single" w:sz="4" w:space="0" w:color="auto"/>
              <w:left w:val="nil"/>
              <w:bottom w:val="single" w:sz="4" w:space="0" w:color="auto"/>
              <w:right w:val="single" w:sz="4" w:space="0" w:color="auto"/>
            </w:tcBorders>
            <w:vAlign w:val="center"/>
          </w:tcPr>
          <w:p w14:paraId="492C025C" w14:textId="77777777" w:rsidR="002904DA" w:rsidRPr="00E16F07" w:rsidRDefault="002904DA" w:rsidP="00483837">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None</w:t>
            </w:r>
          </w:p>
        </w:tc>
        <w:tc>
          <w:tcPr>
            <w:tcW w:w="1517" w:type="dxa"/>
            <w:vMerge/>
            <w:tcBorders>
              <w:left w:val="single" w:sz="4" w:space="0" w:color="auto"/>
              <w:right w:val="single" w:sz="4" w:space="0" w:color="auto"/>
            </w:tcBorders>
            <w:vAlign w:val="center"/>
            <w:hideMark/>
          </w:tcPr>
          <w:p w14:paraId="3863638E" w14:textId="77777777" w:rsidR="002904DA" w:rsidRPr="002904DA" w:rsidRDefault="002904DA" w:rsidP="00483837">
            <w:pPr>
              <w:jc w:val="center"/>
              <w:rPr>
                <w:rFonts w:ascii="Arial" w:hAnsi="Arial"/>
                <w:sz w:val="18"/>
              </w:rPr>
            </w:pPr>
          </w:p>
        </w:tc>
      </w:tr>
      <w:tr w:rsidR="002904DA" w:rsidRPr="002904DA" w14:paraId="21833E72"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0ACAFC4C" w14:textId="77777777" w:rsidR="002904DA" w:rsidRPr="002904DA" w:rsidRDefault="002904DA"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283DB6F1" w14:textId="77777777" w:rsidR="002904DA" w:rsidRPr="000D75AB" w:rsidRDefault="002904DA" w:rsidP="00483837">
            <w:pPr>
              <w:jc w:val="center"/>
              <w:rPr>
                <w:rStyle w:val="Hyperlink"/>
                <w:rFonts w:ascii="Arial" w:hAnsi="Arial" w:cs="Arial"/>
                <w:color w:val="auto"/>
                <w:sz w:val="18"/>
                <w:szCs w:val="18"/>
              </w:rPr>
            </w:pPr>
            <w:hyperlink w:anchor="_SUPPLEMENTAL_INFORMATION_FOR_6" w:history="1">
              <w:r w:rsidRPr="000D75AB">
                <w:rPr>
                  <w:rStyle w:val="Hyperlink"/>
                  <w:rFonts w:ascii="Arial" w:hAnsi="Arial" w:cs="Arial"/>
                  <w:color w:val="auto"/>
                  <w:sz w:val="18"/>
                  <w:szCs w:val="18"/>
                </w:rPr>
                <w:t>C-6</w:t>
              </w:r>
            </w:hyperlink>
          </w:p>
        </w:tc>
        <w:tc>
          <w:tcPr>
            <w:tcW w:w="3004" w:type="dxa"/>
            <w:tcBorders>
              <w:top w:val="nil"/>
              <w:left w:val="nil"/>
              <w:bottom w:val="single" w:sz="4" w:space="0" w:color="auto"/>
              <w:right w:val="single" w:sz="4" w:space="0" w:color="auto"/>
            </w:tcBorders>
            <w:noWrap/>
            <w:vAlign w:val="center"/>
            <w:hideMark/>
          </w:tcPr>
          <w:p w14:paraId="62A01264" w14:textId="77777777" w:rsidR="002904DA" w:rsidRPr="000D75AB" w:rsidRDefault="002904DA" w:rsidP="00483837">
            <w:pPr>
              <w:jc w:val="center"/>
              <w:rPr>
                <w:rStyle w:val="Hyperlink"/>
                <w:rFonts w:ascii="Arial" w:hAnsi="Arial" w:cs="Arial"/>
                <w:color w:val="auto"/>
                <w:sz w:val="18"/>
                <w:szCs w:val="18"/>
                <w:u w:val="none"/>
              </w:rPr>
            </w:pPr>
            <w:r w:rsidRPr="000D75AB">
              <w:rPr>
                <w:rStyle w:val="Hyperlink"/>
                <w:rFonts w:ascii="Arial" w:hAnsi="Arial" w:cs="Arial"/>
                <w:color w:val="auto"/>
                <w:sz w:val="18"/>
                <w:szCs w:val="18"/>
                <w:u w:val="none"/>
              </w:rPr>
              <w:t>Scrub Seal</w:t>
            </w:r>
          </w:p>
        </w:tc>
        <w:tc>
          <w:tcPr>
            <w:tcW w:w="1606" w:type="dxa"/>
            <w:tcBorders>
              <w:top w:val="single" w:sz="4" w:space="0" w:color="auto"/>
              <w:left w:val="nil"/>
              <w:bottom w:val="single" w:sz="4" w:space="0" w:color="auto"/>
              <w:right w:val="single" w:sz="4" w:space="0" w:color="auto"/>
            </w:tcBorders>
            <w:vAlign w:val="center"/>
          </w:tcPr>
          <w:p w14:paraId="31EE742D" w14:textId="6E62FF0F" w:rsidR="002904DA" w:rsidRPr="000D75AB" w:rsidRDefault="000D75AB" w:rsidP="00483837">
            <w:pPr>
              <w:jc w:val="center"/>
              <w:rPr>
                <w:rStyle w:val="Hyperlink"/>
                <w:rFonts w:ascii="Arial" w:hAnsi="Arial" w:cs="Arial"/>
                <w:color w:val="auto"/>
                <w:sz w:val="18"/>
                <w:szCs w:val="18"/>
                <w:u w:val="none"/>
              </w:rPr>
            </w:pPr>
            <w:r w:rsidRPr="002904DA">
              <w:rPr>
                <w:rFonts w:ascii="Arial" w:hAnsi="Arial"/>
                <w:sz w:val="18"/>
              </w:rPr>
              <w:t>Needs Work</w:t>
            </w:r>
          </w:p>
        </w:tc>
        <w:tc>
          <w:tcPr>
            <w:tcW w:w="1517" w:type="dxa"/>
            <w:vMerge/>
            <w:tcBorders>
              <w:left w:val="single" w:sz="4" w:space="0" w:color="auto"/>
              <w:right w:val="single" w:sz="4" w:space="0" w:color="auto"/>
            </w:tcBorders>
            <w:vAlign w:val="center"/>
            <w:hideMark/>
          </w:tcPr>
          <w:p w14:paraId="23EBA0C4" w14:textId="77777777" w:rsidR="002904DA" w:rsidRPr="002904DA" w:rsidRDefault="002904DA" w:rsidP="00483837">
            <w:pPr>
              <w:jc w:val="center"/>
              <w:rPr>
                <w:rFonts w:ascii="Arial" w:hAnsi="Arial"/>
                <w:sz w:val="18"/>
              </w:rPr>
            </w:pPr>
          </w:p>
        </w:tc>
      </w:tr>
      <w:tr w:rsidR="002904DA" w:rsidRPr="002904DA" w14:paraId="02F0337E"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42FF5A94" w14:textId="77777777" w:rsidR="002904DA" w:rsidRPr="002904DA" w:rsidRDefault="002904DA"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5942BE53" w14:textId="77777777" w:rsidR="002904DA" w:rsidRPr="00B13F44" w:rsidRDefault="002904DA" w:rsidP="00483837">
            <w:pPr>
              <w:jc w:val="center"/>
              <w:rPr>
                <w:rStyle w:val="Hyperlink"/>
                <w:rFonts w:ascii="Arial" w:hAnsi="Arial" w:cs="Arial"/>
                <w:color w:val="BFBFBF" w:themeColor="background1" w:themeShade="BF"/>
                <w:sz w:val="18"/>
                <w:szCs w:val="18"/>
                <w:u w:val="none"/>
              </w:rPr>
            </w:pPr>
            <w:hyperlink w:anchor="_SUPPLEMENTAL_INFORMATION_FOR_7" w:history="1">
              <w:r w:rsidRPr="00E16F07">
                <w:rPr>
                  <w:rStyle w:val="Hyperlink"/>
                  <w:rFonts w:ascii="Arial" w:hAnsi="Arial" w:cs="Arial"/>
                  <w:color w:val="auto"/>
                  <w:sz w:val="18"/>
                  <w:szCs w:val="18"/>
                  <w:u w:val="none"/>
                </w:rPr>
                <w:t>C-7</w:t>
              </w:r>
            </w:hyperlink>
          </w:p>
        </w:tc>
        <w:tc>
          <w:tcPr>
            <w:tcW w:w="3004" w:type="dxa"/>
            <w:tcBorders>
              <w:top w:val="nil"/>
              <w:left w:val="nil"/>
              <w:bottom w:val="single" w:sz="4" w:space="0" w:color="auto"/>
              <w:right w:val="single" w:sz="4" w:space="0" w:color="auto"/>
            </w:tcBorders>
            <w:noWrap/>
            <w:vAlign w:val="center"/>
            <w:hideMark/>
          </w:tcPr>
          <w:p w14:paraId="708C58D5" w14:textId="77777777" w:rsidR="002904DA" w:rsidRPr="00E16F07" w:rsidRDefault="002904DA" w:rsidP="00483837">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Slurry Seal</w:t>
            </w:r>
          </w:p>
        </w:tc>
        <w:tc>
          <w:tcPr>
            <w:tcW w:w="1606" w:type="dxa"/>
            <w:tcBorders>
              <w:top w:val="single" w:sz="4" w:space="0" w:color="auto"/>
              <w:left w:val="nil"/>
              <w:bottom w:val="single" w:sz="4" w:space="0" w:color="auto"/>
              <w:right w:val="single" w:sz="4" w:space="0" w:color="auto"/>
            </w:tcBorders>
            <w:vAlign w:val="center"/>
          </w:tcPr>
          <w:p w14:paraId="5338C5AF" w14:textId="77777777" w:rsidR="002904DA" w:rsidRPr="00E16F07" w:rsidRDefault="002904DA" w:rsidP="00483837">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Internet</w:t>
            </w:r>
          </w:p>
        </w:tc>
        <w:tc>
          <w:tcPr>
            <w:tcW w:w="1517" w:type="dxa"/>
            <w:vMerge/>
            <w:tcBorders>
              <w:left w:val="single" w:sz="4" w:space="0" w:color="auto"/>
              <w:bottom w:val="single" w:sz="4" w:space="0" w:color="auto"/>
              <w:right w:val="single" w:sz="4" w:space="0" w:color="auto"/>
            </w:tcBorders>
            <w:vAlign w:val="center"/>
            <w:hideMark/>
          </w:tcPr>
          <w:p w14:paraId="4404B067" w14:textId="77777777" w:rsidR="002904DA" w:rsidRPr="002904DA" w:rsidRDefault="002904DA" w:rsidP="00483837">
            <w:pPr>
              <w:jc w:val="center"/>
              <w:rPr>
                <w:rFonts w:ascii="Arial" w:hAnsi="Arial"/>
                <w:sz w:val="18"/>
              </w:rPr>
            </w:pPr>
          </w:p>
        </w:tc>
      </w:tr>
      <w:tr w:rsidR="002904DA" w:rsidRPr="002904DA" w14:paraId="6A5EA20B" w14:textId="77777777" w:rsidTr="0009226D">
        <w:trPr>
          <w:trHeight w:val="255"/>
        </w:trPr>
        <w:tc>
          <w:tcPr>
            <w:tcW w:w="1429" w:type="dxa"/>
            <w:vMerge/>
            <w:tcBorders>
              <w:top w:val="nil"/>
              <w:left w:val="single" w:sz="4" w:space="0" w:color="auto"/>
              <w:bottom w:val="single" w:sz="4" w:space="0" w:color="000000"/>
              <w:right w:val="single" w:sz="4" w:space="0" w:color="auto"/>
            </w:tcBorders>
            <w:vAlign w:val="center"/>
            <w:hideMark/>
          </w:tcPr>
          <w:p w14:paraId="53F4149B" w14:textId="77777777" w:rsidR="009B5D2A" w:rsidRPr="002904DA" w:rsidRDefault="009B5D2A" w:rsidP="00483837">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55C7621D" w14:textId="77777777" w:rsidR="009B5D2A" w:rsidRPr="00B13F44" w:rsidRDefault="009B5D2A" w:rsidP="00483837">
            <w:pPr>
              <w:jc w:val="center"/>
              <w:rPr>
                <w:rStyle w:val="Hyperlink"/>
                <w:rFonts w:ascii="Arial" w:hAnsi="Arial" w:cs="Arial"/>
                <w:color w:val="BFBFBF" w:themeColor="background1" w:themeShade="BF"/>
                <w:sz w:val="18"/>
                <w:szCs w:val="18"/>
                <w:u w:val="none"/>
              </w:rPr>
            </w:pPr>
            <w:hyperlink w:anchor="_SUPPLEMENTAL_INFORMATION_FOR_7" w:history="1">
              <w:r w:rsidRPr="00E16F07">
                <w:rPr>
                  <w:rStyle w:val="Hyperlink"/>
                  <w:rFonts w:ascii="Arial" w:hAnsi="Arial" w:cs="Arial"/>
                  <w:color w:val="auto"/>
                  <w:sz w:val="18"/>
                  <w:szCs w:val="18"/>
                  <w:u w:val="none"/>
                </w:rPr>
                <w:t>C-8</w:t>
              </w:r>
            </w:hyperlink>
          </w:p>
        </w:tc>
        <w:tc>
          <w:tcPr>
            <w:tcW w:w="3004" w:type="dxa"/>
            <w:tcBorders>
              <w:top w:val="nil"/>
              <w:left w:val="nil"/>
              <w:bottom w:val="single" w:sz="4" w:space="0" w:color="auto"/>
              <w:right w:val="single" w:sz="4" w:space="0" w:color="auto"/>
            </w:tcBorders>
            <w:noWrap/>
            <w:vAlign w:val="center"/>
            <w:hideMark/>
          </w:tcPr>
          <w:p w14:paraId="5D0BE147" w14:textId="54097060" w:rsidR="009B5D2A" w:rsidRPr="00E16F07" w:rsidRDefault="009B5D2A" w:rsidP="00483837">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High Friction Surface</w:t>
            </w:r>
            <w:r w:rsidR="00A81F58" w:rsidRPr="00E16F07">
              <w:rPr>
                <w:rStyle w:val="Hyperlink"/>
                <w:rFonts w:ascii="Arial" w:hAnsi="Arial" w:cs="Arial"/>
                <w:color w:val="auto"/>
                <w:sz w:val="18"/>
                <w:szCs w:val="18"/>
                <w:u w:val="none"/>
              </w:rPr>
              <w:t xml:space="preserve"> </w:t>
            </w:r>
          </w:p>
        </w:tc>
        <w:tc>
          <w:tcPr>
            <w:tcW w:w="1606" w:type="dxa"/>
            <w:tcBorders>
              <w:top w:val="single" w:sz="4" w:space="0" w:color="auto"/>
              <w:left w:val="nil"/>
              <w:bottom w:val="single" w:sz="4" w:space="0" w:color="auto"/>
              <w:right w:val="single" w:sz="4" w:space="0" w:color="auto"/>
            </w:tcBorders>
            <w:vAlign w:val="center"/>
          </w:tcPr>
          <w:p w14:paraId="2BCE4C77" w14:textId="2F7C6B8F" w:rsidR="009B5D2A" w:rsidRPr="00E16F07" w:rsidRDefault="00FE4639" w:rsidP="00483837">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Pilot Phase</w:t>
            </w:r>
          </w:p>
        </w:tc>
        <w:tc>
          <w:tcPr>
            <w:tcW w:w="1517" w:type="dxa"/>
            <w:tcBorders>
              <w:top w:val="single" w:sz="4" w:space="0" w:color="auto"/>
              <w:left w:val="single" w:sz="4" w:space="0" w:color="auto"/>
              <w:bottom w:val="single" w:sz="4" w:space="0" w:color="auto"/>
              <w:right w:val="single" w:sz="4" w:space="0" w:color="auto"/>
            </w:tcBorders>
            <w:vAlign w:val="center"/>
            <w:hideMark/>
          </w:tcPr>
          <w:p w14:paraId="24584BBF" w14:textId="422C5537" w:rsidR="009B5D2A" w:rsidRPr="002904DA" w:rsidRDefault="009B5D2A" w:rsidP="00483837">
            <w:pPr>
              <w:jc w:val="center"/>
              <w:rPr>
                <w:rFonts w:ascii="Arial" w:hAnsi="Arial"/>
                <w:sz w:val="18"/>
              </w:rPr>
            </w:pPr>
            <w:r w:rsidRPr="002904DA">
              <w:rPr>
                <w:rFonts w:ascii="Arial" w:hAnsi="Arial"/>
                <w:sz w:val="18"/>
              </w:rPr>
              <w:t>High Friction Surf</w:t>
            </w:r>
          </w:p>
        </w:tc>
      </w:tr>
      <w:tr w:rsidR="002904DA" w:rsidRPr="002904DA" w14:paraId="22E5F858" w14:textId="77777777" w:rsidTr="0009226D">
        <w:trPr>
          <w:trHeight w:val="255"/>
        </w:trPr>
        <w:tc>
          <w:tcPr>
            <w:tcW w:w="1429" w:type="dxa"/>
            <w:vMerge w:val="restart"/>
            <w:tcBorders>
              <w:top w:val="nil"/>
              <w:left w:val="single" w:sz="4" w:space="0" w:color="auto"/>
              <w:bottom w:val="nil"/>
              <w:right w:val="single" w:sz="4" w:space="0" w:color="auto"/>
            </w:tcBorders>
            <w:shd w:val="clear" w:color="000000" w:fill="D8D8D8"/>
            <w:vAlign w:val="center"/>
            <w:hideMark/>
          </w:tcPr>
          <w:p w14:paraId="4B7B8106" w14:textId="3341A100" w:rsidR="009B5D2A" w:rsidRPr="002904DA" w:rsidRDefault="009B5D2A" w:rsidP="00483837">
            <w:pPr>
              <w:jc w:val="center"/>
              <w:rPr>
                <w:rFonts w:ascii="Arial" w:hAnsi="Arial"/>
                <w:sz w:val="18"/>
              </w:rPr>
            </w:pPr>
            <w:r w:rsidRPr="002904DA">
              <w:rPr>
                <w:rFonts w:ascii="Arial" w:hAnsi="Arial"/>
                <w:sz w:val="18"/>
              </w:rPr>
              <w:t xml:space="preserve">D. </w:t>
            </w:r>
            <w:r w:rsidR="006625C0" w:rsidRPr="002904DA">
              <w:rPr>
                <w:rFonts w:ascii="Arial" w:hAnsi="Arial" w:cs="Arial"/>
              </w:rPr>
              <w:t>Asphalt</w:t>
            </w:r>
            <w:r w:rsidRPr="002904DA">
              <w:rPr>
                <w:rFonts w:ascii="Arial" w:hAnsi="Arial"/>
                <w:sz w:val="18"/>
              </w:rPr>
              <w:t xml:space="preserve"> Overlay</w:t>
            </w:r>
          </w:p>
        </w:tc>
        <w:tc>
          <w:tcPr>
            <w:tcW w:w="1174" w:type="dxa"/>
            <w:tcBorders>
              <w:top w:val="nil"/>
              <w:left w:val="nil"/>
              <w:bottom w:val="single" w:sz="4" w:space="0" w:color="auto"/>
              <w:right w:val="single" w:sz="4" w:space="0" w:color="auto"/>
            </w:tcBorders>
            <w:shd w:val="clear" w:color="000000" w:fill="D8D8D8"/>
            <w:vAlign w:val="center"/>
            <w:hideMark/>
          </w:tcPr>
          <w:p w14:paraId="5C1194C6" w14:textId="77777777" w:rsidR="009B5D2A" w:rsidRPr="002904DA" w:rsidRDefault="009B5D2A" w:rsidP="00483837">
            <w:pPr>
              <w:jc w:val="center"/>
              <w:rPr>
                <w:rFonts w:ascii="Arial" w:hAnsi="Arial"/>
                <w:sz w:val="18"/>
              </w:rPr>
            </w:pPr>
            <w:hyperlink w:anchor="_SUPPLEMENTAL_INFORMATION_FOR_8" w:history="1">
              <w:r w:rsidRPr="002904DA">
                <w:rPr>
                  <w:rStyle w:val="Hyperlink"/>
                  <w:rFonts w:ascii="Arial" w:hAnsi="Arial"/>
                  <w:color w:val="auto"/>
                  <w:sz w:val="18"/>
                </w:rPr>
                <w:t>D-1</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298568B7" w14:textId="0D48ADB3" w:rsidR="009B5D2A" w:rsidRPr="002904DA" w:rsidRDefault="00BA403F" w:rsidP="00483837">
            <w:pPr>
              <w:jc w:val="center"/>
              <w:rPr>
                <w:rFonts w:ascii="Arial" w:hAnsi="Arial" w:cs="Arial"/>
                <w:sz w:val="18"/>
                <w:szCs w:val="18"/>
              </w:rPr>
            </w:pPr>
            <w:r w:rsidRPr="002904DA">
              <w:rPr>
                <w:rFonts w:ascii="Arial" w:hAnsi="Arial" w:cs="Arial"/>
              </w:rPr>
              <w:t>Mill &amp; UTBWC</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7E0F06D3" w14:textId="77777777" w:rsidR="009B5D2A" w:rsidRPr="002904DA" w:rsidRDefault="009B5D2A" w:rsidP="00483837">
            <w:pPr>
              <w:jc w:val="center"/>
              <w:rPr>
                <w:rFonts w:ascii="Arial" w:hAnsi="Arial"/>
                <w:sz w:val="18"/>
              </w:rPr>
            </w:pPr>
            <w:r w:rsidRPr="002904DA">
              <w:rPr>
                <w:rFonts w:ascii="Arial" w:hAnsi="Arial"/>
                <w:sz w:val="18"/>
              </w:rPr>
              <w:t>Pilot Phase</w:t>
            </w:r>
          </w:p>
        </w:tc>
        <w:tc>
          <w:tcPr>
            <w:tcW w:w="1517" w:type="dxa"/>
            <w:vMerge w:val="restart"/>
            <w:tcBorders>
              <w:top w:val="nil"/>
              <w:left w:val="single" w:sz="4" w:space="0" w:color="auto"/>
              <w:right w:val="single" w:sz="4" w:space="0" w:color="auto"/>
            </w:tcBorders>
            <w:shd w:val="clear" w:color="000000" w:fill="D8D8D8"/>
            <w:noWrap/>
            <w:vAlign w:val="center"/>
            <w:hideMark/>
          </w:tcPr>
          <w:p w14:paraId="2185BE65" w14:textId="383C56BD" w:rsidR="009B5D2A" w:rsidRPr="002904DA" w:rsidRDefault="00BA403F" w:rsidP="00483837">
            <w:pPr>
              <w:jc w:val="center"/>
              <w:rPr>
                <w:rFonts w:ascii="Arial" w:hAnsi="Arial"/>
                <w:sz w:val="18"/>
              </w:rPr>
            </w:pPr>
            <w:r w:rsidRPr="002904DA">
              <w:rPr>
                <w:rFonts w:ascii="Arial" w:hAnsi="Arial" w:cs="Arial"/>
              </w:rPr>
              <w:t>Mill</w:t>
            </w:r>
            <w:r w:rsidR="009B5D2A" w:rsidRPr="002904DA">
              <w:rPr>
                <w:rFonts w:ascii="Arial" w:hAnsi="Arial"/>
                <w:sz w:val="18"/>
              </w:rPr>
              <w:t>, Patch</w:t>
            </w:r>
            <w:r w:rsidR="00F44753" w:rsidRPr="002904DA">
              <w:rPr>
                <w:rFonts w:ascii="Arial" w:hAnsi="Arial" w:cs="Arial"/>
                <w:sz w:val="18"/>
                <w:szCs w:val="18"/>
              </w:rPr>
              <w:t>,</w:t>
            </w:r>
            <w:r w:rsidR="009B5D2A" w:rsidRPr="002904DA">
              <w:rPr>
                <w:rFonts w:ascii="Arial" w:hAnsi="Arial"/>
                <w:sz w:val="18"/>
              </w:rPr>
              <w:t xml:space="preserve"> and Resurface</w:t>
            </w:r>
          </w:p>
        </w:tc>
      </w:tr>
      <w:tr w:rsidR="002904DA" w:rsidRPr="002904DA" w14:paraId="4E71977E" w14:textId="77777777" w:rsidTr="0009226D">
        <w:trPr>
          <w:trHeight w:val="255"/>
        </w:trPr>
        <w:tc>
          <w:tcPr>
            <w:tcW w:w="1429" w:type="dxa"/>
            <w:vMerge/>
            <w:tcBorders>
              <w:left w:val="single" w:sz="4" w:space="0" w:color="auto"/>
              <w:right w:val="single" w:sz="4" w:space="0" w:color="auto"/>
            </w:tcBorders>
            <w:shd w:val="clear" w:color="000000" w:fill="D8D8D8"/>
            <w:vAlign w:val="center"/>
            <w:hideMark/>
          </w:tcPr>
          <w:p w14:paraId="79B872FF" w14:textId="77777777" w:rsidR="00BA403F" w:rsidRPr="002904DA" w:rsidRDefault="00BA403F" w:rsidP="00A81F58">
            <w:pPr>
              <w:rPr>
                <w:rFonts w:ascii="Arial" w:hAnsi="Arial" w:cs="Arial"/>
              </w:rPr>
            </w:pPr>
          </w:p>
        </w:tc>
        <w:tc>
          <w:tcPr>
            <w:tcW w:w="1174" w:type="dxa"/>
            <w:tcBorders>
              <w:top w:val="nil"/>
              <w:left w:val="nil"/>
              <w:bottom w:val="single" w:sz="4" w:space="0" w:color="auto"/>
              <w:right w:val="single" w:sz="4" w:space="0" w:color="auto"/>
            </w:tcBorders>
            <w:shd w:val="clear" w:color="000000" w:fill="D8D8D8"/>
            <w:vAlign w:val="bottom"/>
            <w:hideMark/>
          </w:tcPr>
          <w:p w14:paraId="3420AA5B" w14:textId="77777777" w:rsidR="00BA403F" w:rsidRPr="002904DA" w:rsidRDefault="00BA403F" w:rsidP="00A81F58">
            <w:pPr>
              <w:jc w:val="center"/>
              <w:rPr>
                <w:rFonts w:ascii="Arial" w:hAnsi="Arial" w:cs="Arial"/>
              </w:rPr>
            </w:pPr>
            <w:hyperlink w:anchor="_SUPPLEMENTAL_INFORMATION_FOR_8" w:history="1">
              <w:r w:rsidRPr="002904DA">
                <w:rPr>
                  <w:rStyle w:val="Hyperlink"/>
                  <w:rFonts w:ascii="Arial" w:hAnsi="Arial" w:cs="Arial"/>
                  <w:color w:val="auto"/>
                </w:rPr>
                <w:t>D-2</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64343980" w14:textId="77777777" w:rsidR="00BA403F" w:rsidRPr="002904DA" w:rsidRDefault="00BA403F" w:rsidP="00A81F58">
            <w:pPr>
              <w:jc w:val="center"/>
              <w:rPr>
                <w:rFonts w:ascii="Arial" w:hAnsi="Arial" w:cs="Arial"/>
                <w:sz w:val="18"/>
                <w:szCs w:val="18"/>
              </w:rPr>
            </w:pPr>
            <w:r w:rsidRPr="002904DA">
              <w:rPr>
                <w:rFonts w:ascii="Arial" w:hAnsi="Arial" w:cs="Arial"/>
                <w:sz w:val="18"/>
                <w:szCs w:val="18"/>
              </w:rPr>
              <w:t>Ultra-Thin Bonded Wearing Course</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428ED88A" w14:textId="77777777" w:rsidR="00BA403F" w:rsidRPr="002904DA" w:rsidRDefault="00BA403F" w:rsidP="00A81F58">
            <w:pPr>
              <w:jc w:val="center"/>
              <w:rPr>
                <w:rFonts w:ascii="Arial" w:hAnsi="Arial" w:cs="Arial"/>
              </w:rPr>
            </w:pPr>
            <w:r w:rsidRPr="002904DA">
              <w:rPr>
                <w:rFonts w:ascii="Arial" w:hAnsi="Arial" w:cs="Arial"/>
              </w:rPr>
              <w:t>Pilot Phase</w:t>
            </w:r>
          </w:p>
        </w:tc>
        <w:tc>
          <w:tcPr>
            <w:tcW w:w="1517" w:type="dxa"/>
            <w:vMerge/>
            <w:tcBorders>
              <w:left w:val="single" w:sz="4" w:space="0" w:color="auto"/>
              <w:right w:val="single" w:sz="4" w:space="0" w:color="auto"/>
            </w:tcBorders>
            <w:shd w:val="clear" w:color="000000" w:fill="D8D8D8"/>
            <w:noWrap/>
            <w:vAlign w:val="center"/>
            <w:hideMark/>
          </w:tcPr>
          <w:p w14:paraId="7D15F554" w14:textId="77777777" w:rsidR="00BA403F" w:rsidRPr="002904DA" w:rsidRDefault="00BA403F" w:rsidP="00A81F58">
            <w:pPr>
              <w:jc w:val="center"/>
              <w:rPr>
                <w:rFonts w:ascii="Arial" w:hAnsi="Arial" w:cs="Arial"/>
              </w:rPr>
            </w:pPr>
          </w:p>
        </w:tc>
      </w:tr>
      <w:tr w:rsidR="002904DA" w:rsidRPr="002904DA" w14:paraId="4ABB5AF7" w14:textId="77777777" w:rsidTr="0009226D">
        <w:trPr>
          <w:trHeight w:val="255"/>
        </w:trPr>
        <w:tc>
          <w:tcPr>
            <w:tcW w:w="1429" w:type="dxa"/>
            <w:vMerge/>
            <w:tcBorders>
              <w:top w:val="nil"/>
              <w:left w:val="single" w:sz="4" w:space="0" w:color="auto"/>
              <w:bottom w:val="nil"/>
              <w:right w:val="single" w:sz="4" w:space="0" w:color="auto"/>
            </w:tcBorders>
            <w:vAlign w:val="center"/>
            <w:hideMark/>
          </w:tcPr>
          <w:p w14:paraId="6B74FEAA" w14:textId="77777777" w:rsidR="009B5D2A" w:rsidRPr="002904DA" w:rsidRDefault="009B5D2A" w:rsidP="00483837">
            <w:pPr>
              <w:rPr>
                <w:rFonts w:ascii="Arial" w:hAnsi="Arial"/>
                <w:sz w:val="18"/>
              </w:rPr>
            </w:pPr>
          </w:p>
        </w:tc>
        <w:tc>
          <w:tcPr>
            <w:tcW w:w="1174" w:type="dxa"/>
            <w:tcBorders>
              <w:top w:val="nil"/>
              <w:left w:val="nil"/>
              <w:bottom w:val="single" w:sz="4" w:space="0" w:color="auto"/>
              <w:right w:val="single" w:sz="4" w:space="0" w:color="auto"/>
            </w:tcBorders>
            <w:shd w:val="clear" w:color="000000" w:fill="D8D8D8"/>
            <w:vAlign w:val="center"/>
            <w:hideMark/>
          </w:tcPr>
          <w:p w14:paraId="025AB087" w14:textId="5757673F" w:rsidR="009B5D2A" w:rsidRPr="002904DA" w:rsidRDefault="00BA403F" w:rsidP="00483837">
            <w:pPr>
              <w:jc w:val="center"/>
              <w:rPr>
                <w:rFonts w:ascii="Arial" w:hAnsi="Arial"/>
                <w:sz w:val="18"/>
              </w:rPr>
            </w:pPr>
            <w:hyperlink w:anchor="_SUPPLEMENTAL_INFORMATION_FOR_8" w:history="1">
              <w:r w:rsidRPr="002904DA">
                <w:rPr>
                  <w:rStyle w:val="Hyperlink"/>
                  <w:rFonts w:ascii="Arial" w:hAnsi="Arial" w:cs="Arial"/>
                  <w:color w:val="auto"/>
                </w:rPr>
                <w:t>D-3</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6C32ECC1" w14:textId="4F20C3A9" w:rsidR="009B5D2A" w:rsidRPr="002904DA" w:rsidRDefault="00BA403F" w:rsidP="00483837">
            <w:pPr>
              <w:jc w:val="center"/>
              <w:rPr>
                <w:rFonts w:ascii="Arial" w:hAnsi="Arial"/>
                <w:sz w:val="18"/>
              </w:rPr>
            </w:pPr>
            <w:r w:rsidRPr="002904DA">
              <w:rPr>
                <w:rFonts w:ascii="Arial" w:hAnsi="Arial" w:cs="Arial"/>
              </w:rPr>
              <w:t>Mill</w:t>
            </w:r>
            <w:r w:rsidR="009B5D2A" w:rsidRPr="002904DA">
              <w:rPr>
                <w:rFonts w:ascii="Arial" w:hAnsi="Arial"/>
                <w:sz w:val="18"/>
              </w:rPr>
              <w:t xml:space="preserve"> &amp; Overlay</w:t>
            </w:r>
            <w:r w:rsidRPr="002904DA">
              <w:rPr>
                <w:rFonts w:ascii="Arial" w:hAnsi="Arial" w:cs="Arial"/>
              </w:rPr>
              <w:t xml:space="preserve"> ≤ 1.5”</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78B18D6A" w14:textId="0B86DF7A" w:rsidR="009B5D2A" w:rsidRPr="002904DA" w:rsidRDefault="00476E70" w:rsidP="00483837">
            <w:pPr>
              <w:jc w:val="center"/>
              <w:rPr>
                <w:rFonts w:ascii="Arial" w:hAnsi="Arial"/>
                <w:sz w:val="18"/>
              </w:rPr>
            </w:pPr>
            <w:r>
              <w:rPr>
                <w:rFonts w:ascii="Arial" w:hAnsi="Arial"/>
                <w:sz w:val="18"/>
              </w:rPr>
              <w:t>Internet</w:t>
            </w:r>
          </w:p>
        </w:tc>
        <w:tc>
          <w:tcPr>
            <w:tcW w:w="1517" w:type="dxa"/>
            <w:vMerge/>
            <w:tcBorders>
              <w:left w:val="single" w:sz="4" w:space="0" w:color="auto"/>
              <w:right w:val="single" w:sz="4" w:space="0" w:color="auto"/>
            </w:tcBorders>
            <w:shd w:val="clear" w:color="000000" w:fill="D8D8D8"/>
            <w:noWrap/>
            <w:vAlign w:val="center"/>
            <w:hideMark/>
          </w:tcPr>
          <w:p w14:paraId="4E8B229A" w14:textId="77777777" w:rsidR="009B5D2A" w:rsidRPr="002904DA" w:rsidRDefault="009B5D2A" w:rsidP="00483837">
            <w:pPr>
              <w:jc w:val="center"/>
              <w:rPr>
                <w:rFonts w:ascii="Arial" w:hAnsi="Arial"/>
                <w:sz w:val="18"/>
              </w:rPr>
            </w:pPr>
          </w:p>
        </w:tc>
      </w:tr>
      <w:tr w:rsidR="00476E70" w:rsidRPr="002904DA" w14:paraId="2EA0624A" w14:textId="77777777" w:rsidTr="0009226D">
        <w:trPr>
          <w:trHeight w:val="255"/>
        </w:trPr>
        <w:tc>
          <w:tcPr>
            <w:tcW w:w="1429" w:type="dxa"/>
            <w:vMerge/>
            <w:tcBorders>
              <w:top w:val="nil"/>
              <w:left w:val="single" w:sz="4" w:space="0" w:color="auto"/>
              <w:bottom w:val="nil"/>
              <w:right w:val="single" w:sz="4" w:space="0" w:color="auto"/>
            </w:tcBorders>
            <w:vAlign w:val="center"/>
            <w:hideMark/>
          </w:tcPr>
          <w:p w14:paraId="109D9A96"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000000" w:fill="D8D8D8"/>
            <w:vAlign w:val="center"/>
            <w:hideMark/>
          </w:tcPr>
          <w:p w14:paraId="094032B4" w14:textId="36FF1A30" w:rsidR="00476E70" w:rsidRPr="002904DA" w:rsidRDefault="00476E70" w:rsidP="00476E70">
            <w:pPr>
              <w:jc w:val="center"/>
              <w:rPr>
                <w:rFonts w:ascii="Arial" w:hAnsi="Arial"/>
                <w:sz w:val="18"/>
              </w:rPr>
            </w:pPr>
            <w:hyperlink w:anchor="_SUPPLEMENTAL_INFORMATION_FOR_8" w:history="1">
              <w:r w:rsidRPr="002904DA">
                <w:rPr>
                  <w:rStyle w:val="Hyperlink"/>
                  <w:rFonts w:ascii="Arial" w:hAnsi="Arial" w:cs="Arial"/>
                  <w:color w:val="auto"/>
                </w:rPr>
                <w:t>D-4</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7EE5DE6E" w14:textId="2822B929" w:rsidR="00476E70" w:rsidRPr="002904DA" w:rsidRDefault="00476E70" w:rsidP="00476E70">
            <w:pPr>
              <w:jc w:val="center"/>
              <w:rPr>
                <w:rFonts w:ascii="Arial" w:hAnsi="Arial"/>
                <w:sz w:val="18"/>
              </w:rPr>
            </w:pPr>
            <w:r w:rsidRPr="002904DA">
              <w:rPr>
                <w:rFonts w:ascii="Arial" w:hAnsi="Arial" w:cs="Arial"/>
              </w:rPr>
              <w:t xml:space="preserve">Mill &amp; </w:t>
            </w:r>
            <w:r w:rsidRPr="002904DA">
              <w:rPr>
                <w:rFonts w:ascii="Arial" w:hAnsi="Arial"/>
                <w:sz w:val="18"/>
              </w:rPr>
              <w:t>Overlay</w:t>
            </w:r>
            <w:r w:rsidRPr="002904DA">
              <w:rPr>
                <w:rFonts w:ascii="Arial" w:hAnsi="Arial" w:cs="Arial"/>
              </w:rPr>
              <w:t xml:space="preserve"> &gt; 1.5”</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53932742" w14:textId="5136547F" w:rsidR="00476E70" w:rsidRPr="002904DA" w:rsidRDefault="00476E70" w:rsidP="00476E70">
            <w:pPr>
              <w:jc w:val="center"/>
              <w:rPr>
                <w:rFonts w:ascii="Arial" w:hAnsi="Arial"/>
                <w:sz w:val="18"/>
              </w:rPr>
            </w:pPr>
            <w:r>
              <w:rPr>
                <w:rFonts w:ascii="Arial" w:hAnsi="Arial"/>
                <w:sz w:val="18"/>
              </w:rPr>
              <w:t>Internet</w:t>
            </w:r>
          </w:p>
        </w:tc>
        <w:tc>
          <w:tcPr>
            <w:tcW w:w="1517" w:type="dxa"/>
            <w:vMerge/>
            <w:tcBorders>
              <w:left w:val="single" w:sz="4" w:space="0" w:color="auto"/>
              <w:right w:val="single" w:sz="4" w:space="0" w:color="auto"/>
            </w:tcBorders>
            <w:shd w:val="clear" w:color="000000" w:fill="D8D8D8"/>
            <w:noWrap/>
            <w:vAlign w:val="center"/>
            <w:hideMark/>
          </w:tcPr>
          <w:p w14:paraId="4F55EE36" w14:textId="77777777" w:rsidR="00476E70" w:rsidRPr="002904DA" w:rsidRDefault="00476E70" w:rsidP="00476E70">
            <w:pPr>
              <w:jc w:val="center"/>
              <w:rPr>
                <w:rFonts w:ascii="Arial" w:hAnsi="Arial"/>
                <w:sz w:val="18"/>
              </w:rPr>
            </w:pPr>
          </w:p>
        </w:tc>
      </w:tr>
      <w:tr w:rsidR="00476E70" w:rsidRPr="002904DA" w14:paraId="5CC327C1" w14:textId="77777777" w:rsidTr="0009226D">
        <w:trPr>
          <w:trHeight w:val="255"/>
        </w:trPr>
        <w:tc>
          <w:tcPr>
            <w:tcW w:w="1429" w:type="dxa"/>
            <w:vMerge/>
            <w:tcBorders>
              <w:top w:val="nil"/>
              <w:left w:val="single" w:sz="4" w:space="0" w:color="auto"/>
              <w:bottom w:val="nil"/>
              <w:right w:val="single" w:sz="4" w:space="0" w:color="auto"/>
            </w:tcBorders>
            <w:vAlign w:val="center"/>
            <w:hideMark/>
          </w:tcPr>
          <w:p w14:paraId="59E76E19"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000000" w:fill="D8D8D8"/>
            <w:vAlign w:val="center"/>
            <w:hideMark/>
          </w:tcPr>
          <w:p w14:paraId="1E779E49" w14:textId="739C7D93" w:rsidR="00476E70" w:rsidRPr="002904DA" w:rsidRDefault="00476E70" w:rsidP="00476E70">
            <w:pPr>
              <w:jc w:val="center"/>
              <w:rPr>
                <w:rFonts w:ascii="Arial" w:hAnsi="Arial"/>
                <w:sz w:val="18"/>
              </w:rPr>
            </w:pPr>
            <w:hyperlink w:anchor="_SUPPLEMENTAL_INFORMATION_FOR_8" w:history="1">
              <w:r w:rsidRPr="002904DA">
                <w:rPr>
                  <w:rStyle w:val="Hyperlink"/>
                  <w:rFonts w:ascii="Arial" w:hAnsi="Arial" w:cs="Arial"/>
                  <w:color w:val="auto"/>
                </w:rPr>
                <w:t>D-5</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6E000AE4" w14:textId="558A5DF2" w:rsidR="00476E70" w:rsidRPr="002904DA" w:rsidRDefault="00476E70" w:rsidP="00476E70">
            <w:pPr>
              <w:jc w:val="center"/>
              <w:rPr>
                <w:rFonts w:ascii="Arial" w:hAnsi="Arial"/>
                <w:sz w:val="18"/>
              </w:rPr>
            </w:pPr>
            <w:r w:rsidRPr="002904DA">
              <w:rPr>
                <w:rFonts w:ascii="Arial" w:hAnsi="Arial"/>
                <w:sz w:val="18"/>
              </w:rPr>
              <w:t>Overlay</w:t>
            </w:r>
            <w:r w:rsidRPr="002904DA">
              <w:rPr>
                <w:rFonts w:ascii="Arial" w:hAnsi="Arial" w:cs="Arial"/>
              </w:rPr>
              <w:t xml:space="preserve"> ≤ 1.5”</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12AECBC2" w14:textId="66D749F6" w:rsidR="00476E70" w:rsidRPr="002904DA" w:rsidRDefault="00476E70" w:rsidP="00476E70">
            <w:pPr>
              <w:jc w:val="center"/>
              <w:rPr>
                <w:rFonts w:ascii="Arial" w:hAnsi="Arial"/>
                <w:sz w:val="18"/>
              </w:rPr>
            </w:pPr>
            <w:r>
              <w:rPr>
                <w:rFonts w:ascii="Arial" w:hAnsi="Arial"/>
                <w:sz w:val="18"/>
              </w:rPr>
              <w:t>Internet</w:t>
            </w:r>
          </w:p>
        </w:tc>
        <w:tc>
          <w:tcPr>
            <w:tcW w:w="1517" w:type="dxa"/>
            <w:vMerge/>
            <w:tcBorders>
              <w:left w:val="single" w:sz="4" w:space="0" w:color="auto"/>
              <w:bottom w:val="single" w:sz="4" w:space="0" w:color="auto"/>
              <w:right w:val="single" w:sz="4" w:space="0" w:color="auto"/>
            </w:tcBorders>
            <w:shd w:val="clear" w:color="000000" w:fill="D8D8D8"/>
            <w:noWrap/>
            <w:vAlign w:val="center"/>
            <w:hideMark/>
          </w:tcPr>
          <w:p w14:paraId="56CB9FED" w14:textId="77777777" w:rsidR="00476E70" w:rsidRPr="002904DA" w:rsidRDefault="00476E70" w:rsidP="00476E70">
            <w:pPr>
              <w:jc w:val="center"/>
              <w:rPr>
                <w:rFonts w:ascii="Arial" w:hAnsi="Arial"/>
                <w:sz w:val="18"/>
              </w:rPr>
            </w:pPr>
          </w:p>
        </w:tc>
      </w:tr>
      <w:tr w:rsidR="00476E70" w:rsidRPr="002904DA" w14:paraId="5A66810B" w14:textId="77777777" w:rsidTr="0009226D">
        <w:trPr>
          <w:trHeight w:val="255"/>
        </w:trPr>
        <w:tc>
          <w:tcPr>
            <w:tcW w:w="1429" w:type="dxa"/>
            <w:vMerge/>
            <w:tcBorders>
              <w:left w:val="single" w:sz="4" w:space="0" w:color="auto"/>
              <w:right w:val="single" w:sz="4" w:space="0" w:color="auto"/>
            </w:tcBorders>
            <w:shd w:val="clear" w:color="000000" w:fill="D8D8D8"/>
            <w:vAlign w:val="center"/>
          </w:tcPr>
          <w:p w14:paraId="3F28C467" w14:textId="77777777" w:rsidR="00476E70" w:rsidRPr="002904DA" w:rsidRDefault="00476E70" w:rsidP="00476E70">
            <w:pPr>
              <w:rPr>
                <w:rFonts w:ascii="Arial" w:hAnsi="Arial" w:cs="Arial"/>
              </w:rPr>
            </w:pPr>
          </w:p>
        </w:tc>
        <w:tc>
          <w:tcPr>
            <w:tcW w:w="1174" w:type="dxa"/>
            <w:tcBorders>
              <w:top w:val="nil"/>
              <w:left w:val="nil"/>
              <w:bottom w:val="single" w:sz="4" w:space="0" w:color="auto"/>
              <w:right w:val="single" w:sz="4" w:space="0" w:color="auto"/>
            </w:tcBorders>
            <w:shd w:val="clear" w:color="000000" w:fill="D8D8D8"/>
            <w:vAlign w:val="bottom"/>
          </w:tcPr>
          <w:p w14:paraId="1A037C23" w14:textId="77777777" w:rsidR="00476E70" w:rsidRPr="002904DA" w:rsidRDefault="00476E70" w:rsidP="00476E70">
            <w:pPr>
              <w:jc w:val="center"/>
              <w:rPr>
                <w:rFonts w:ascii="Arial" w:hAnsi="Arial" w:cs="Arial"/>
              </w:rPr>
            </w:pPr>
            <w:hyperlink w:anchor="_SUPPLEMENTAL_INFORMATION_FOR_8" w:history="1">
              <w:r w:rsidRPr="002904DA">
                <w:rPr>
                  <w:rStyle w:val="Hyperlink"/>
                  <w:rFonts w:ascii="Arial" w:hAnsi="Arial" w:cs="Arial"/>
                  <w:color w:val="auto"/>
                </w:rPr>
                <w:t>D-6</w:t>
              </w:r>
            </w:hyperlink>
          </w:p>
        </w:tc>
        <w:tc>
          <w:tcPr>
            <w:tcW w:w="3004" w:type="dxa"/>
            <w:tcBorders>
              <w:top w:val="nil"/>
              <w:left w:val="nil"/>
              <w:bottom w:val="single" w:sz="4" w:space="0" w:color="auto"/>
              <w:right w:val="single" w:sz="4" w:space="0" w:color="auto"/>
            </w:tcBorders>
            <w:shd w:val="clear" w:color="000000" w:fill="D8D8D8"/>
            <w:noWrap/>
            <w:vAlign w:val="center"/>
          </w:tcPr>
          <w:p w14:paraId="12BE0097" w14:textId="77777777" w:rsidR="00476E70" w:rsidRPr="002904DA" w:rsidRDefault="00476E70" w:rsidP="00476E70">
            <w:pPr>
              <w:jc w:val="center"/>
              <w:rPr>
                <w:rFonts w:ascii="Arial" w:hAnsi="Arial" w:cs="Arial"/>
              </w:rPr>
            </w:pPr>
            <w:r w:rsidRPr="002904DA">
              <w:rPr>
                <w:rFonts w:ascii="Arial" w:hAnsi="Arial" w:cs="Arial"/>
              </w:rPr>
              <w:t>Overlay &gt; 1.5”</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1E296B56" w14:textId="1BD47924" w:rsidR="00476E70" w:rsidRPr="002904DA" w:rsidRDefault="00476E70" w:rsidP="00476E70">
            <w:pPr>
              <w:jc w:val="center"/>
              <w:rPr>
                <w:rFonts w:ascii="Arial" w:hAnsi="Arial" w:cs="Arial"/>
              </w:rPr>
            </w:pPr>
            <w:r>
              <w:rPr>
                <w:rFonts w:ascii="Arial" w:hAnsi="Arial"/>
                <w:sz w:val="18"/>
              </w:rPr>
              <w:t>Internet</w:t>
            </w:r>
          </w:p>
        </w:tc>
        <w:tc>
          <w:tcPr>
            <w:tcW w:w="1517" w:type="dxa"/>
            <w:vMerge/>
            <w:tcBorders>
              <w:left w:val="single" w:sz="4" w:space="0" w:color="auto"/>
              <w:bottom w:val="single" w:sz="4" w:space="0" w:color="auto"/>
              <w:right w:val="single" w:sz="4" w:space="0" w:color="auto"/>
            </w:tcBorders>
            <w:shd w:val="clear" w:color="000000" w:fill="D8D8D8"/>
            <w:noWrap/>
            <w:vAlign w:val="center"/>
          </w:tcPr>
          <w:p w14:paraId="36078AD9" w14:textId="77777777" w:rsidR="00476E70" w:rsidRPr="002904DA" w:rsidRDefault="00476E70" w:rsidP="00476E70">
            <w:pPr>
              <w:jc w:val="center"/>
              <w:rPr>
                <w:rFonts w:ascii="Arial" w:hAnsi="Arial" w:cs="Arial"/>
              </w:rPr>
            </w:pPr>
          </w:p>
        </w:tc>
      </w:tr>
      <w:tr w:rsidR="00476E70" w:rsidRPr="002904DA" w14:paraId="62B48DBD" w14:textId="77777777" w:rsidTr="0009226D">
        <w:trPr>
          <w:trHeight w:val="255"/>
        </w:trPr>
        <w:tc>
          <w:tcPr>
            <w:tcW w:w="1429" w:type="dxa"/>
            <w:vMerge/>
            <w:tcBorders>
              <w:top w:val="nil"/>
              <w:left w:val="single" w:sz="4" w:space="0" w:color="auto"/>
              <w:bottom w:val="nil"/>
              <w:right w:val="single" w:sz="4" w:space="0" w:color="auto"/>
            </w:tcBorders>
            <w:vAlign w:val="center"/>
            <w:hideMark/>
          </w:tcPr>
          <w:p w14:paraId="45D8FD17"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000000" w:fill="D8D8D8"/>
            <w:vAlign w:val="center"/>
            <w:hideMark/>
          </w:tcPr>
          <w:p w14:paraId="30723D5D" w14:textId="3842FC55" w:rsidR="00476E70" w:rsidRPr="00B13F44" w:rsidRDefault="00476E70" w:rsidP="00476E70">
            <w:pPr>
              <w:jc w:val="center"/>
              <w:rPr>
                <w:rStyle w:val="Hyperlink"/>
                <w:rFonts w:ascii="Arial" w:hAnsi="Arial" w:cs="Arial"/>
                <w:color w:val="BFBFBF" w:themeColor="background1" w:themeShade="BF"/>
                <w:sz w:val="18"/>
                <w:szCs w:val="18"/>
                <w:u w:val="none"/>
              </w:rPr>
            </w:pPr>
            <w:hyperlink w:anchor="_SUPPLEMENTAL_INFORMATION_FOR_9" w:history="1">
              <w:r w:rsidRPr="006B087A">
                <w:rPr>
                  <w:rStyle w:val="Hyperlink"/>
                  <w:rFonts w:ascii="Arial" w:hAnsi="Arial" w:cs="Arial"/>
                  <w:color w:val="auto"/>
                  <w:sz w:val="18"/>
                  <w:szCs w:val="18"/>
                  <w:u w:val="none"/>
                </w:rPr>
                <w:t>D-7</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29A8E2BE" w14:textId="0102A161" w:rsidR="00476E70" w:rsidRPr="006B087A" w:rsidRDefault="00476E70" w:rsidP="00476E70">
            <w:pPr>
              <w:jc w:val="center"/>
              <w:rPr>
                <w:rStyle w:val="Hyperlink"/>
                <w:rFonts w:ascii="Arial" w:hAnsi="Arial" w:cs="Arial"/>
                <w:color w:val="auto"/>
                <w:sz w:val="18"/>
                <w:szCs w:val="18"/>
                <w:u w:val="none"/>
              </w:rPr>
            </w:pPr>
            <w:r w:rsidRPr="006B087A">
              <w:rPr>
                <w:rStyle w:val="Hyperlink"/>
                <w:rFonts w:ascii="Arial" w:hAnsi="Arial" w:cs="Arial"/>
                <w:color w:val="auto"/>
                <w:sz w:val="18"/>
                <w:szCs w:val="18"/>
                <w:u w:val="none"/>
              </w:rPr>
              <w:t>Hot- In-Place HMA Recycling (HIR)</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4F0F5137" w14:textId="77777777" w:rsidR="00476E70" w:rsidRPr="006B087A" w:rsidRDefault="00476E70" w:rsidP="00476E70">
            <w:pPr>
              <w:jc w:val="center"/>
              <w:rPr>
                <w:rStyle w:val="Hyperlink"/>
                <w:rFonts w:ascii="Arial" w:hAnsi="Arial" w:cs="Arial"/>
                <w:color w:val="auto"/>
                <w:sz w:val="18"/>
                <w:szCs w:val="18"/>
                <w:u w:val="none"/>
              </w:rPr>
            </w:pPr>
            <w:r w:rsidRPr="006B087A">
              <w:rPr>
                <w:rStyle w:val="Hyperlink"/>
                <w:rFonts w:ascii="Arial" w:hAnsi="Arial" w:cs="Arial"/>
                <w:color w:val="auto"/>
                <w:sz w:val="18"/>
                <w:szCs w:val="18"/>
                <w:u w:val="none"/>
              </w:rPr>
              <w:t>None</w:t>
            </w:r>
          </w:p>
        </w:tc>
        <w:tc>
          <w:tcPr>
            <w:tcW w:w="1517" w:type="dxa"/>
            <w:tcBorders>
              <w:top w:val="nil"/>
              <w:left w:val="single" w:sz="4" w:space="0" w:color="auto"/>
              <w:bottom w:val="single" w:sz="4" w:space="0" w:color="auto"/>
              <w:right w:val="single" w:sz="4" w:space="0" w:color="auto"/>
            </w:tcBorders>
            <w:shd w:val="clear" w:color="000000" w:fill="D8D8D8"/>
            <w:noWrap/>
            <w:vAlign w:val="center"/>
            <w:hideMark/>
          </w:tcPr>
          <w:p w14:paraId="19AB7BAE" w14:textId="7EACE425" w:rsidR="00476E70" w:rsidRPr="006B087A" w:rsidRDefault="00476E70" w:rsidP="00476E70">
            <w:pPr>
              <w:jc w:val="center"/>
              <w:rPr>
                <w:rStyle w:val="Hyperlink"/>
                <w:rFonts w:ascii="Arial" w:hAnsi="Arial" w:cs="Arial"/>
                <w:color w:val="auto"/>
                <w:sz w:val="18"/>
                <w:szCs w:val="18"/>
                <w:u w:val="none"/>
              </w:rPr>
            </w:pPr>
            <w:r w:rsidRPr="006B087A">
              <w:rPr>
                <w:rStyle w:val="Hyperlink"/>
                <w:rFonts w:ascii="Arial" w:hAnsi="Arial" w:cs="Arial"/>
                <w:color w:val="auto"/>
                <w:sz w:val="18"/>
                <w:szCs w:val="18"/>
                <w:u w:val="none"/>
              </w:rPr>
              <w:t>Hot In-Place Recycling</w:t>
            </w:r>
          </w:p>
        </w:tc>
      </w:tr>
      <w:tr w:rsidR="00476E70" w:rsidRPr="002904DA" w14:paraId="28867804" w14:textId="77777777" w:rsidTr="0009226D">
        <w:trPr>
          <w:trHeight w:val="255"/>
        </w:trPr>
        <w:tc>
          <w:tcPr>
            <w:tcW w:w="1429" w:type="dxa"/>
            <w:vMerge w:val="restart"/>
            <w:tcBorders>
              <w:top w:val="single" w:sz="4" w:space="0" w:color="auto"/>
              <w:left w:val="single" w:sz="4" w:space="0" w:color="auto"/>
              <w:bottom w:val="single" w:sz="4" w:space="0" w:color="000000"/>
              <w:right w:val="single" w:sz="4" w:space="0" w:color="auto"/>
            </w:tcBorders>
            <w:vAlign w:val="center"/>
            <w:hideMark/>
          </w:tcPr>
          <w:p w14:paraId="43AE6919" w14:textId="77777777" w:rsidR="00476E70" w:rsidRPr="002904DA" w:rsidRDefault="00476E70" w:rsidP="00476E70">
            <w:pPr>
              <w:jc w:val="center"/>
              <w:rPr>
                <w:rFonts w:ascii="Arial" w:hAnsi="Arial"/>
                <w:sz w:val="18"/>
              </w:rPr>
            </w:pPr>
            <w:r w:rsidRPr="002904DA">
              <w:rPr>
                <w:rFonts w:ascii="Arial" w:hAnsi="Arial"/>
                <w:sz w:val="18"/>
              </w:rPr>
              <w:t>E. PCC Overlay</w:t>
            </w:r>
          </w:p>
        </w:tc>
        <w:tc>
          <w:tcPr>
            <w:tcW w:w="1174" w:type="dxa"/>
            <w:tcBorders>
              <w:top w:val="nil"/>
              <w:left w:val="nil"/>
              <w:bottom w:val="single" w:sz="4" w:space="0" w:color="auto"/>
              <w:right w:val="single" w:sz="4" w:space="0" w:color="auto"/>
            </w:tcBorders>
            <w:vAlign w:val="center"/>
            <w:hideMark/>
          </w:tcPr>
          <w:p w14:paraId="1502AAF8" w14:textId="77777777" w:rsidR="00476E70" w:rsidRPr="002904DA" w:rsidRDefault="00476E70" w:rsidP="00476E70">
            <w:pPr>
              <w:jc w:val="center"/>
              <w:rPr>
                <w:rFonts w:ascii="Arial" w:hAnsi="Arial"/>
                <w:sz w:val="18"/>
              </w:rPr>
            </w:pPr>
            <w:hyperlink w:anchor="_SUPPLEMENTAL_INFORMATION_FOR_12" w:history="1">
              <w:r w:rsidRPr="002904DA">
                <w:rPr>
                  <w:rStyle w:val="Hyperlink"/>
                  <w:rFonts w:ascii="Arial" w:hAnsi="Arial"/>
                  <w:color w:val="auto"/>
                  <w:sz w:val="18"/>
                </w:rPr>
                <w:t>E-1</w:t>
              </w:r>
            </w:hyperlink>
          </w:p>
        </w:tc>
        <w:tc>
          <w:tcPr>
            <w:tcW w:w="3004" w:type="dxa"/>
            <w:tcBorders>
              <w:top w:val="nil"/>
              <w:left w:val="nil"/>
              <w:bottom w:val="single" w:sz="4" w:space="0" w:color="auto"/>
              <w:right w:val="single" w:sz="4" w:space="0" w:color="auto"/>
            </w:tcBorders>
            <w:noWrap/>
            <w:vAlign w:val="center"/>
            <w:hideMark/>
          </w:tcPr>
          <w:p w14:paraId="22659921" w14:textId="7CD72689" w:rsidR="00476E70" w:rsidRPr="002904DA" w:rsidRDefault="00476E70" w:rsidP="00476E70">
            <w:pPr>
              <w:jc w:val="center"/>
              <w:rPr>
                <w:rFonts w:ascii="Arial" w:hAnsi="Arial"/>
                <w:sz w:val="18"/>
              </w:rPr>
            </w:pPr>
            <w:r w:rsidRPr="002904DA">
              <w:rPr>
                <w:rFonts w:ascii="Arial" w:hAnsi="Arial"/>
                <w:sz w:val="18"/>
              </w:rPr>
              <w:t xml:space="preserve">PCC Overlay </w:t>
            </w:r>
            <w:r w:rsidRPr="002904DA">
              <w:rPr>
                <w:rFonts w:ascii="Arial" w:hAnsi="Arial" w:cs="Arial"/>
                <w:sz w:val="18"/>
                <w:szCs w:val="18"/>
              </w:rPr>
              <w:t>–</w:t>
            </w:r>
            <w:r w:rsidRPr="002904DA">
              <w:rPr>
                <w:rFonts w:ascii="Arial" w:hAnsi="Arial"/>
                <w:sz w:val="18"/>
              </w:rPr>
              <w:t xml:space="preserve"> Unbonded</w:t>
            </w:r>
          </w:p>
        </w:tc>
        <w:tc>
          <w:tcPr>
            <w:tcW w:w="1606" w:type="dxa"/>
            <w:tcBorders>
              <w:top w:val="single" w:sz="4" w:space="0" w:color="auto"/>
              <w:left w:val="nil"/>
              <w:bottom w:val="single" w:sz="4" w:space="0" w:color="auto"/>
              <w:right w:val="single" w:sz="4" w:space="0" w:color="auto"/>
            </w:tcBorders>
            <w:vAlign w:val="center"/>
          </w:tcPr>
          <w:p w14:paraId="2EB040D6" w14:textId="77777777" w:rsidR="00476E70" w:rsidRPr="002904DA" w:rsidRDefault="00476E70" w:rsidP="00476E70">
            <w:pPr>
              <w:jc w:val="center"/>
              <w:rPr>
                <w:rFonts w:ascii="Arial" w:hAnsi="Arial"/>
                <w:sz w:val="18"/>
              </w:rPr>
            </w:pPr>
            <w:r w:rsidRPr="002904DA">
              <w:rPr>
                <w:rFonts w:ascii="Arial" w:hAnsi="Arial"/>
                <w:sz w:val="18"/>
              </w:rPr>
              <w:t>Needs Work</w:t>
            </w:r>
          </w:p>
        </w:tc>
        <w:tc>
          <w:tcPr>
            <w:tcW w:w="1517" w:type="dxa"/>
            <w:vMerge w:val="restart"/>
            <w:tcBorders>
              <w:top w:val="nil"/>
              <w:left w:val="single" w:sz="4" w:space="0" w:color="auto"/>
              <w:right w:val="single" w:sz="4" w:space="0" w:color="auto"/>
            </w:tcBorders>
            <w:vAlign w:val="center"/>
            <w:hideMark/>
          </w:tcPr>
          <w:p w14:paraId="3AB40DE9" w14:textId="77777777" w:rsidR="00476E70" w:rsidRPr="002904DA" w:rsidRDefault="00476E70" w:rsidP="00476E70">
            <w:pPr>
              <w:jc w:val="center"/>
              <w:rPr>
                <w:rFonts w:ascii="Arial" w:hAnsi="Arial"/>
                <w:sz w:val="18"/>
              </w:rPr>
            </w:pPr>
            <w:r w:rsidRPr="002904DA">
              <w:rPr>
                <w:rFonts w:ascii="Arial" w:hAnsi="Arial"/>
                <w:sz w:val="18"/>
              </w:rPr>
              <w:t>PCC Resurfacing</w:t>
            </w:r>
          </w:p>
        </w:tc>
      </w:tr>
      <w:tr w:rsidR="00476E70" w:rsidRPr="002904DA" w14:paraId="4F70FDE5" w14:textId="77777777" w:rsidTr="0009226D">
        <w:trPr>
          <w:trHeight w:val="255"/>
        </w:trPr>
        <w:tc>
          <w:tcPr>
            <w:tcW w:w="1429" w:type="dxa"/>
            <w:vMerge/>
            <w:tcBorders>
              <w:top w:val="single" w:sz="4" w:space="0" w:color="auto"/>
              <w:left w:val="single" w:sz="4" w:space="0" w:color="auto"/>
              <w:bottom w:val="single" w:sz="4" w:space="0" w:color="000000"/>
              <w:right w:val="single" w:sz="4" w:space="0" w:color="auto"/>
            </w:tcBorders>
            <w:vAlign w:val="center"/>
            <w:hideMark/>
          </w:tcPr>
          <w:p w14:paraId="49B6F929"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0B816D38" w14:textId="77777777" w:rsidR="00476E70" w:rsidRPr="002904DA" w:rsidRDefault="00476E70" w:rsidP="00476E70">
            <w:pPr>
              <w:jc w:val="center"/>
              <w:rPr>
                <w:rFonts w:ascii="Arial" w:hAnsi="Arial"/>
                <w:sz w:val="18"/>
              </w:rPr>
            </w:pPr>
            <w:hyperlink w:anchor="_SUPPLEMENTAL_INFORMATION_FOR_13" w:history="1">
              <w:r w:rsidRPr="002904DA">
                <w:rPr>
                  <w:rStyle w:val="Hyperlink"/>
                  <w:rFonts w:ascii="Arial" w:hAnsi="Arial"/>
                  <w:color w:val="auto"/>
                  <w:sz w:val="18"/>
                </w:rPr>
                <w:t>E-2</w:t>
              </w:r>
            </w:hyperlink>
          </w:p>
        </w:tc>
        <w:tc>
          <w:tcPr>
            <w:tcW w:w="3004" w:type="dxa"/>
            <w:tcBorders>
              <w:top w:val="nil"/>
              <w:left w:val="nil"/>
              <w:bottom w:val="single" w:sz="4" w:space="0" w:color="auto"/>
              <w:right w:val="single" w:sz="4" w:space="0" w:color="auto"/>
            </w:tcBorders>
            <w:noWrap/>
            <w:vAlign w:val="center"/>
            <w:hideMark/>
          </w:tcPr>
          <w:p w14:paraId="7F47B037" w14:textId="64EE57EB" w:rsidR="00476E70" w:rsidRPr="002904DA" w:rsidRDefault="00476E70" w:rsidP="00476E70">
            <w:pPr>
              <w:jc w:val="center"/>
              <w:rPr>
                <w:rFonts w:ascii="Arial" w:hAnsi="Arial"/>
                <w:sz w:val="18"/>
              </w:rPr>
            </w:pPr>
            <w:r w:rsidRPr="002904DA">
              <w:rPr>
                <w:rFonts w:ascii="Arial" w:hAnsi="Arial"/>
                <w:sz w:val="18"/>
              </w:rPr>
              <w:t xml:space="preserve">PCC Overlay </w:t>
            </w:r>
            <w:r w:rsidRPr="002904DA">
              <w:rPr>
                <w:rFonts w:ascii="Arial" w:hAnsi="Arial" w:cs="Arial"/>
                <w:sz w:val="18"/>
                <w:szCs w:val="18"/>
              </w:rPr>
              <w:t>–</w:t>
            </w:r>
            <w:r w:rsidRPr="002904DA">
              <w:rPr>
                <w:rFonts w:ascii="Arial" w:hAnsi="Arial"/>
                <w:sz w:val="18"/>
              </w:rPr>
              <w:t xml:space="preserve"> Bonded</w:t>
            </w:r>
          </w:p>
        </w:tc>
        <w:tc>
          <w:tcPr>
            <w:tcW w:w="1606" w:type="dxa"/>
            <w:tcBorders>
              <w:top w:val="single" w:sz="4" w:space="0" w:color="auto"/>
              <w:left w:val="nil"/>
              <w:bottom w:val="single" w:sz="4" w:space="0" w:color="auto"/>
              <w:right w:val="single" w:sz="4" w:space="0" w:color="auto"/>
            </w:tcBorders>
            <w:vAlign w:val="center"/>
          </w:tcPr>
          <w:p w14:paraId="7C403AFE" w14:textId="77777777" w:rsidR="00476E70" w:rsidRPr="002904DA" w:rsidRDefault="00476E70" w:rsidP="00476E70">
            <w:pPr>
              <w:jc w:val="center"/>
              <w:rPr>
                <w:rFonts w:ascii="Arial" w:hAnsi="Arial"/>
                <w:sz w:val="18"/>
              </w:rPr>
            </w:pPr>
            <w:r w:rsidRPr="002904DA">
              <w:rPr>
                <w:rFonts w:ascii="Arial" w:hAnsi="Arial"/>
                <w:sz w:val="18"/>
              </w:rPr>
              <w:t>Needs Work</w:t>
            </w:r>
          </w:p>
        </w:tc>
        <w:tc>
          <w:tcPr>
            <w:tcW w:w="1517" w:type="dxa"/>
            <w:vMerge/>
            <w:tcBorders>
              <w:left w:val="single" w:sz="4" w:space="0" w:color="auto"/>
              <w:bottom w:val="single" w:sz="4" w:space="0" w:color="auto"/>
              <w:right w:val="single" w:sz="4" w:space="0" w:color="auto"/>
            </w:tcBorders>
            <w:vAlign w:val="center"/>
            <w:hideMark/>
          </w:tcPr>
          <w:p w14:paraId="47241CC8" w14:textId="77777777" w:rsidR="00476E70" w:rsidRPr="002904DA" w:rsidRDefault="00476E70" w:rsidP="00476E70">
            <w:pPr>
              <w:jc w:val="center"/>
              <w:rPr>
                <w:rFonts w:ascii="Arial" w:hAnsi="Arial"/>
                <w:sz w:val="18"/>
              </w:rPr>
            </w:pPr>
          </w:p>
        </w:tc>
      </w:tr>
      <w:tr w:rsidR="00476E70" w:rsidRPr="002904DA" w14:paraId="4FF81169" w14:textId="77777777" w:rsidTr="0009226D">
        <w:trPr>
          <w:trHeight w:val="255"/>
        </w:trPr>
        <w:tc>
          <w:tcPr>
            <w:tcW w:w="1429" w:type="dxa"/>
            <w:vMerge w:val="restart"/>
            <w:tcBorders>
              <w:top w:val="nil"/>
              <w:left w:val="single" w:sz="4" w:space="0" w:color="auto"/>
              <w:right w:val="single" w:sz="4" w:space="0" w:color="auto"/>
            </w:tcBorders>
            <w:shd w:val="clear" w:color="000000" w:fill="D8D8D8"/>
            <w:vAlign w:val="center"/>
            <w:hideMark/>
          </w:tcPr>
          <w:p w14:paraId="3CC920D8" w14:textId="26AFBFD8" w:rsidR="00476E70" w:rsidRPr="002904DA" w:rsidRDefault="00476E70" w:rsidP="00476E70">
            <w:pPr>
              <w:jc w:val="center"/>
              <w:rPr>
                <w:rFonts w:ascii="Arial" w:hAnsi="Arial"/>
                <w:sz w:val="18"/>
              </w:rPr>
            </w:pPr>
            <w:r w:rsidRPr="002904DA">
              <w:rPr>
                <w:rFonts w:ascii="Arial" w:hAnsi="Arial"/>
                <w:sz w:val="18"/>
              </w:rPr>
              <w:t xml:space="preserve">F. </w:t>
            </w:r>
            <w:r w:rsidRPr="002904DA">
              <w:rPr>
                <w:rFonts w:ascii="Arial" w:hAnsi="Arial" w:cs="Arial"/>
              </w:rPr>
              <w:t>Spot Repair</w:t>
            </w:r>
          </w:p>
        </w:tc>
        <w:tc>
          <w:tcPr>
            <w:tcW w:w="1174" w:type="dxa"/>
            <w:tcBorders>
              <w:top w:val="nil"/>
              <w:left w:val="nil"/>
              <w:bottom w:val="single" w:sz="4" w:space="0" w:color="auto"/>
              <w:right w:val="single" w:sz="4" w:space="0" w:color="auto"/>
            </w:tcBorders>
            <w:shd w:val="clear" w:color="000000" w:fill="D8D8D8"/>
            <w:vAlign w:val="center"/>
            <w:hideMark/>
          </w:tcPr>
          <w:p w14:paraId="0AFDD278" w14:textId="77777777" w:rsidR="00476E70" w:rsidRPr="002904DA" w:rsidRDefault="00476E70" w:rsidP="00476E70">
            <w:pPr>
              <w:jc w:val="center"/>
              <w:rPr>
                <w:rFonts w:ascii="Arial" w:hAnsi="Arial"/>
                <w:sz w:val="18"/>
              </w:rPr>
            </w:pPr>
            <w:hyperlink w:anchor="_SUPPLEMENTAL_INFORMATION_FOR_14" w:history="1">
              <w:r w:rsidRPr="002904DA">
                <w:rPr>
                  <w:rStyle w:val="Hyperlink"/>
                  <w:rFonts w:ascii="Arial" w:hAnsi="Arial"/>
                  <w:color w:val="auto"/>
                  <w:sz w:val="18"/>
                </w:rPr>
                <w:t>F-1</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467FEA75" w14:textId="3F5F8368" w:rsidR="00476E70" w:rsidRPr="002904DA" w:rsidRDefault="00476E70" w:rsidP="00476E70">
            <w:pPr>
              <w:jc w:val="center"/>
              <w:rPr>
                <w:rFonts w:ascii="Arial" w:hAnsi="Arial"/>
                <w:sz w:val="18"/>
              </w:rPr>
            </w:pPr>
            <w:r w:rsidRPr="002904DA">
              <w:rPr>
                <w:rFonts w:ascii="Arial" w:hAnsi="Arial" w:cs="Arial"/>
              </w:rPr>
              <w:t>Asphalt</w:t>
            </w:r>
            <w:r w:rsidRPr="002904DA">
              <w:rPr>
                <w:rFonts w:ascii="Arial" w:hAnsi="Arial"/>
                <w:sz w:val="18"/>
              </w:rPr>
              <w:t xml:space="preserve"> Patch</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3452726E" w14:textId="7D6A854B" w:rsidR="00476E70" w:rsidRPr="002904DA" w:rsidRDefault="00476E70" w:rsidP="00476E70">
            <w:pPr>
              <w:jc w:val="center"/>
              <w:rPr>
                <w:rFonts w:ascii="Arial" w:hAnsi="Arial"/>
                <w:sz w:val="18"/>
              </w:rPr>
            </w:pPr>
            <w:r>
              <w:rPr>
                <w:rFonts w:ascii="Arial" w:hAnsi="Arial"/>
                <w:sz w:val="18"/>
              </w:rPr>
              <w:t>Internet</w:t>
            </w:r>
          </w:p>
        </w:tc>
        <w:tc>
          <w:tcPr>
            <w:tcW w:w="1517" w:type="dxa"/>
            <w:tcBorders>
              <w:top w:val="nil"/>
              <w:left w:val="single" w:sz="4" w:space="0" w:color="auto"/>
              <w:bottom w:val="single" w:sz="4" w:space="0" w:color="auto"/>
              <w:right w:val="single" w:sz="4" w:space="0" w:color="auto"/>
            </w:tcBorders>
            <w:shd w:val="clear" w:color="000000" w:fill="D8D8D8"/>
            <w:vAlign w:val="center"/>
            <w:hideMark/>
          </w:tcPr>
          <w:p w14:paraId="59FCBD53" w14:textId="4E4100A0" w:rsidR="00476E70" w:rsidRPr="002904DA" w:rsidRDefault="00476E70" w:rsidP="00476E70">
            <w:pPr>
              <w:jc w:val="center"/>
              <w:rPr>
                <w:rFonts w:ascii="Arial" w:hAnsi="Arial"/>
                <w:sz w:val="18"/>
              </w:rPr>
            </w:pPr>
            <w:r w:rsidRPr="002904DA">
              <w:rPr>
                <w:rFonts w:ascii="Arial" w:hAnsi="Arial"/>
                <w:sz w:val="18"/>
              </w:rPr>
              <w:t>Patch</w:t>
            </w:r>
            <w:r w:rsidRPr="002904DA">
              <w:rPr>
                <w:rFonts w:ascii="Arial" w:hAnsi="Arial" w:cs="Arial"/>
                <w:sz w:val="18"/>
                <w:szCs w:val="18"/>
              </w:rPr>
              <w:t>, and Resurface</w:t>
            </w:r>
          </w:p>
        </w:tc>
      </w:tr>
      <w:tr w:rsidR="00476E70" w:rsidRPr="002904DA" w14:paraId="4CA331F6" w14:textId="77777777" w:rsidTr="0009226D">
        <w:trPr>
          <w:trHeight w:val="255"/>
        </w:trPr>
        <w:tc>
          <w:tcPr>
            <w:tcW w:w="1429" w:type="dxa"/>
            <w:vMerge/>
            <w:tcBorders>
              <w:left w:val="single" w:sz="4" w:space="0" w:color="auto"/>
              <w:right w:val="single" w:sz="4" w:space="0" w:color="auto"/>
            </w:tcBorders>
            <w:vAlign w:val="center"/>
            <w:hideMark/>
          </w:tcPr>
          <w:p w14:paraId="7AC0D770"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000000" w:fill="D8D8D8"/>
            <w:vAlign w:val="center"/>
            <w:hideMark/>
          </w:tcPr>
          <w:p w14:paraId="5315CBE9" w14:textId="2EC1DDC8" w:rsidR="00476E70" w:rsidRPr="002904DA" w:rsidRDefault="00476E70" w:rsidP="00476E70">
            <w:pPr>
              <w:jc w:val="center"/>
              <w:rPr>
                <w:rFonts w:ascii="Arial" w:hAnsi="Arial"/>
                <w:sz w:val="18"/>
              </w:rPr>
            </w:pPr>
            <w:hyperlink w:anchor="_SUPPLEMENTAL_INFORMATION_FOR_14" w:history="1">
              <w:r w:rsidRPr="002904DA">
                <w:rPr>
                  <w:rStyle w:val="Hyperlink"/>
                  <w:rFonts w:ascii="Arial" w:hAnsi="Arial" w:cs="Arial"/>
                  <w:color w:val="auto"/>
                </w:rPr>
                <w:t>F-2</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063C9CF7" w14:textId="0BD2847D" w:rsidR="00476E70" w:rsidRPr="002904DA" w:rsidRDefault="00476E70" w:rsidP="00476E70">
            <w:pPr>
              <w:jc w:val="center"/>
              <w:rPr>
                <w:rFonts w:ascii="Arial" w:hAnsi="Arial"/>
                <w:sz w:val="18"/>
              </w:rPr>
            </w:pPr>
            <w:r w:rsidRPr="002904DA">
              <w:rPr>
                <w:rFonts w:ascii="Arial" w:hAnsi="Arial" w:cs="Arial"/>
              </w:rPr>
              <w:t>PCC</w:t>
            </w:r>
            <w:r w:rsidRPr="002904DA">
              <w:rPr>
                <w:rFonts w:ascii="Arial" w:hAnsi="Arial"/>
                <w:sz w:val="18"/>
              </w:rPr>
              <w:t xml:space="preserve"> Patch </w:t>
            </w:r>
            <w:r w:rsidRPr="002904DA">
              <w:rPr>
                <w:rFonts w:ascii="Arial" w:hAnsi="Arial" w:cs="Arial"/>
              </w:rPr>
              <w:t>with Diamond Grinding</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5E5E51BF" w14:textId="5C0CB849" w:rsidR="00476E70" w:rsidRPr="002904DA" w:rsidRDefault="00476E70" w:rsidP="00476E70">
            <w:pPr>
              <w:jc w:val="center"/>
              <w:rPr>
                <w:rFonts w:ascii="Arial" w:hAnsi="Arial"/>
                <w:sz w:val="18"/>
              </w:rPr>
            </w:pPr>
            <w:r>
              <w:rPr>
                <w:rFonts w:ascii="Arial" w:hAnsi="Arial"/>
                <w:sz w:val="18"/>
              </w:rPr>
              <w:t>Internet</w:t>
            </w:r>
          </w:p>
        </w:tc>
        <w:tc>
          <w:tcPr>
            <w:tcW w:w="1517" w:type="dxa"/>
            <w:vMerge w:val="restart"/>
            <w:tcBorders>
              <w:top w:val="nil"/>
              <w:left w:val="single" w:sz="4" w:space="0" w:color="auto"/>
              <w:right w:val="single" w:sz="4" w:space="0" w:color="auto"/>
            </w:tcBorders>
            <w:shd w:val="clear" w:color="000000" w:fill="D8D8D8"/>
            <w:vAlign w:val="center"/>
            <w:hideMark/>
          </w:tcPr>
          <w:p w14:paraId="6372F80F" w14:textId="77777777" w:rsidR="00476E70" w:rsidRPr="002904DA" w:rsidRDefault="00476E70" w:rsidP="00476E70">
            <w:pPr>
              <w:jc w:val="center"/>
              <w:rPr>
                <w:rFonts w:ascii="Arial" w:hAnsi="Arial"/>
                <w:sz w:val="18"/>
              </w:rPr>
            </w:pPr>
            <w:r w:rsidRPr="002904DA">
              <w:rPr>
                <w:rFonts w:ascii="Arial" w:hAnsi="Arial"/>
                <w:sz w:val="18"/>
              </w:rPr>
              <w:t>Concrete Pavement Restoration</w:t>
            </w:r>
          </w:p>
        </w:tc>
      </w:tr>
      <w:tr w:rsidR="00476E70" w:rsidRPr="002904DA" w14:paraId="26FBB9DD" w14:textId="77777777" w:rsidTr="0009226D">
        <w:trPr>
          <w:trHeight w:val="255"/>
        </w:trPr>
        <w:tc>
          <w:tcPr>
            <w:tcW w:w="1429" w:type="dxa"/>
            <w:vMerge/>
            <w:tcBorders>
              <w:left w:val="single" w:sz="4" w:space="0" w:color="auto"/>
              <w:right w:val="single" w:sz="4" w:space="0" w:color="auto"/>
            </w:tcBorders>
            <w:vAlign w:val="center"/>
            <w:hideMark/>
          </w:tcPr>
          <w:p w14:paraId="2BC09464"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000000" w:fill="D8D8D8"/>
            <w:vAlign w:val="center"/>
            <w:hideMark/>
          </w:tcPr>
          <w:p w14:paraId="16099AFF" w14:textId="263161FD" w:rsidR="00476E70" w:rsidRPr="002904DA" w:rsidRDefault="00476E70" w:rsidP="00476E70">
            <w:pPr>
              <w:jc w:val="center"/>
              <w:rPr>
                <w:rFonts w:ascii="Arial" w:hAnsi="Arial"/>
                <w:sz w:val="18"/>
              </w:rPr>
            </w:pPr>
            <w:hyperlink w:anchor="_SUPPLEMENTAL_INFORMATION_FOR_14" w:history="1">
              <w:r w:rsidRPr="002904DA">
                <w:rPr>
                  <w:rStyle w:val="Hyperlink"/>
                  <w:rFonts w:ascii="Arial" w:hAnsi="Arial" w:cs="Arial"/>
                  <w:color w:val="auto"/>
                </w:rPr>
                <w:t>F-3</w:t>
              </w:r>
            </w:hyperlink>
          </w:p>
        </w:tc>
        <w:tc>
          <w:tcPr>
            <w:tcW w:w="3004" w:type="dxa"/>
            <w:tcBorders>
              <w:top w:val="nil"/>
              <w:left w:val="nil"/>
              <w:bottom w:val="single" w:sz="4" w:space="0" w:color="auto"/>
              <w:right w:val="single" w:sz="4" w:space="0" w:color="auto"/>
            </w:tcBorders>
            <w:shd w:val="clear" w:color="000000" w:fill="D8D8D8"/>
            <w:noWrap/>
            <w:vAlign w:val="center"/>
            <w:hideMark/>
          </w:tcPr>
          <w:p w14:paraId="098BD3E0" w14:textId="27EABF9A" w:rsidR="00476E70" w:rsidRPr="002904DA" w:rsidRDefault="00476E70" w:rsidP="00476E70">
            <w:pPr>
              <w:jc w:val="center"/>
              <w:rPr>
                <w:rFonts w:ascii="Arial" w:hAnsi="Arial"/>
                <w:sz w:val="18"/>
              </w:rPr>
            </w:pPr>
            <w:r w:rsidRPr="002904DA">
              <w:rPr>
                <w:rFonts w:ascii="Arial" w:hAnsi="Arial" w:cs="Arial"/>
              </w:rPr>
              <w:t>PCC</w:t>
            </w:r>
            <w:r w:rsidRPr="002904DA">
              <w:rPr>
                <w:rFonts w:ascii="Arial" w:hAnsi="Arial"/>
                <w:sz w:val="18"/>
              </w:rPr>
              <w:t xml:space="preserve"> Patch </w:t>
            </w:r>
            <w:r w:rsidRPr="002904DA">
              <w:rPr>
                <w:rFonts w:ascii="Arial" w:hAnsi="Arial" w:cs="Arial"/>
              </w:rPr>
              <w:t>with no Diamond Grinding</w:t>
            </w:r>
          </w:p>
        </w:tc>
        <w:tc>
          <w:tcPr>
            <w:tcW w:w="1606" w:type="dxa"/>
            <w:tcBorders>
              <w:top w:val="single" w:sz="4" w:space="0" w:color="auto"/>
              <w:left w:val="nil"/>
              <w:bottom w:val="single" w:sz="4" w:space="0" w:color="auto"/>
              <w:right w:val="single" w:sz="4" w:space="0" w:color="auto"/>
            </w:tcBorders>
            <w:shd w:val="clear" w:color="000000" w:fill="D8D8D8"/>
            <w:vAlign w:val="center"/>
          </w:tcPr>
          <w:p w14:paraId="544BE46F" w14:textId="3BC2CBEC" w:rsidR="00476E70" w:rsidRPr="002904DA" w:rsidRDefault="00476E70" w:rsidP="00476E70">
            <w:pPr>
              <w:jc w:val="center"/>
              <w:rPr>
                <w:rFonts w:ascii="Arial" w:hAnsi="Arial"/>
                <w:sz w:val="18"/>
              </w:rPr>
            </w:pPr>
            <w:r>
              <w:rPr>
                <w:rFonts w:ascii="Arial" w:hAnsi="Arial"/>
                <w:sz w:val="18"/>
              </w:rPr>
              <w:t>Internet</w:t>
            </w:r>
          </w:p>
        </w:tc>
        <w:tc>
          <w:tcPr>
            <w:tcW w:w="1517" w:type="dxa"/>
            <w:vMerge/>
            <w:tcBorders>
              <w:left w:val="single" w:sz="4" w:space="0" w:color="auto"/>
              <w:right w:val="single" w:sz="4" w:space="0" w:color="auto"/>
            </w:tcBorders>
            <w:shd w:val="clear" w:color="000000" w:fill="D8D8D8"/>
            <w:vAlign w:val="center"/>
            <w:hideMark/>
          </w:tcPr>
          <w:p w14:paraId="7E8748AB" w14:textId="77777777" w:rsidR="00476E70" w:rsidRPr="002904DA" w:rsidRDefault="00476E70" w:rsidP="00476E70">
            <w:pPr>
              <w:jc w:val="center"/>
              <w:rPr>
                <w:rFonts w:ascii="Arial" w:hAnsi="Arial"/>
                <w:sz w:val="18"/>
              </w:rPr>
            </w:pPr>
          </w:p>
        </w:tc>
      </w:tr>
      <w:tr w:rsidR="00476E70" w:rsidRPr="002904DA" w14:paraId="0A73B05B" w14:textId="77777777" w:rsidTr="0009226D">
        <w:trPr>
          <w:trHeight w:val="255"/>
        </w:trPr>
        <w:tc>
          <w:tcPr>
            <w:tcW w:w="1429" w:type="dxa"/>
            <w:vMerge/>
            <w:tcBorders>
              <w:left w:val="single" w:sz="4" w:space="0" w:color="auto"/>
              <w:right w:val="single" w:sz="4" w:space="0" w:color="auto"/>
            </w:tcBorders>
            <w:vAlign w:val="center"/>
            <w:hideMark/>
          </w:tcPr>
          <w:p w14:paraId="221622F0" w14:textId="73C54697" w:rsidR="00476E70" w:rsidRPr="002904DA" w:rsidRDefault="00476E70" w:rsidP="00476E70">
            <w:pPr>
              <w:jc w:val="center"/>
              <w:rPr>
                <w:rFonts w:ascii="Arial" w:hAnsi="Arial"/>
                <w:sz w:val="18"/>
              </w:rPr>
            </w:pPr>
          </w:p>
        </w:tc>
        <w:tc>
          <w:tcPr>
            <w:tcW w:w="1174" w:type="dxa"/>
            <w:tcBorders>
              <w:top w:val="nil"/>
              <w:left w:val="nil"/>
              <w:bottom w:val="single" w:sz="4" w:space="0" w:color="auto"/>
              <w:right w:val="single" w:sz="4" w:space="0" w:color="auto"/>
            </w:tcBorders>
            <w:shd w:val="clear" w:color="auto" w:fill="D9D9D9" w:themeFill="background1" w:themeFillShade="D9"/>
            <w:vAlign w:val="center"/>
            <w:hideMark/>
          </w:tcPr>
          <w:p w14:paraId="464707E3" w14:textId="72321247" w:rsidR="00476E70" w:rsidRPr="002904DA" w:rsidRDefault="00476E70" w:rsidP="00476E70">
            <w:pPr>
              <w:jc w:val="center"/>
              <w:rPr>
                <w:rFonts w:ascii="Arial" w:hAnsi="Arial"/>
                <w:sz w:val="18"/>
              </w:rPr>
            </w:pPr>
            <w:hyperlink w:anchor="_SUPPLEMENTAL_INFORMATION_FOR_16" w:history="1">
              <w:r w:rsidRPr="002904DA">
                <w:rPr>
                  <w:rStyle w:val="Hyperlink"/>
                  <w:rFonts w:ascii="Arial" w:hAnsi="Arial" w:cs="Arial"/>
                  <w:color w:val="auto"/>
                </w:rPr>
                <w:t>F-4</w:t>
              </w:r>
            </w:hyperlink>
          </w:p>
        </w:tc>
        <w:tc>
          <w:tcPr>
            <w:tcW w:w="3004" w:type="dxa"/>
            <w:tcBorders>
              <w:top w:val="nil"/>
              <w:left w:val="nil"/>
              <w:bottom w:val="single" w:sz="4" w:space="0" w:color="auto"/>
              <w:right w:val="single" w:sz="4" w:space="0" w:color="auto"/>
            </w:tcBorders>
            <w:shd w:val="clear" w:color="auto" w:fill="D9D9D9" w:themeFill="background1" w:themeFillShade="D9"/>
            <w:noWrap/>
            <w:vAlign w:val="center"/>
            <w:hideMark/>
          </w:tcPr>
          <w:p w14:paraId="2E0659DF" w14:textId="77777777" w:rsidR="00476E70" w:rsidRPr="002904DA" w:rsidRDefault="00476E70" w:rsidP="00476E70">
            <w:pPr>
              <w:jc w:val="center"/>
              <w:rPr>
                <w:rFonts w:ascii="Arial" w:hAnsi="Arial"/>
                <w:sz w:val="18"/>
              </w:rPr>
            </w:pPr>
            <w:r w:rsidRPr="002904DA">
              <w:rPr>
                <w:rFonts w:ascii="Arial" w:hAnsi="Arial"/>
                <w:sz w:val="18"/>
              </w:rPr>
              <w:t>Cross-Stitching</w:t>
            </w:r>
          </w:p>
        </w:tc>
        <w:tc>
          <w:tcPr>
            <w:tcW w:w="160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44B281A6" w14:textId="77777777" w:rsidR="00476E70" w:rsidRPr="002904DA" w:rsidRDefault="00476E70" w:rsidP="00476E70">
            <w:pPr>
              <w:jc w:val="center"/>
              <w:rPr>
                <w:rFonts w:ascii="Arial" w:hAnsi="Arial"/>
                <w:sz w:val="18"/>
              </w:rPr>
            </w:pPr>
            <w:r w:rsidRPr="002904DA">
              <w:rPr>
                <w:rFonts w:ascii="Arial" w:hAnsi="Arial"/>
                <w:sz w:val="18"/>
              </w:rPr>
              <w:t>None</w:t>
            </w:r>
          </w:p>
        </w:tc>
        <w:tc>
          <w:tcPr>
            <w:tcW w:w="1517" w:type="dxa"/>
            <w:vMerge/>
            <w:tcBorders>
              <w:left w:val="single" w:sz="4" w:space="0" w:color="auto"/>
              <w:right w:val="single" w:sz="4" w:space="0" w:color="auto"/>
            </w:tcBorders>
            <w:vAlign w:val="center"/>
            <w:hideMark/>
          </w:tcPr>
          <w:p w14:paraId="0F249BA5" w14:textId="05F41EB7" w:rsidR="00476E70" w:rsidRPr="002904DA" w:rsidRDefault="00476E70" w:rsidP="00476E70">
            <w:pPr>
              <w:jc w:val="center"/>
              <w:rPr>
                <w:rFonts w:ascii="Arial" w:hAnsi="Arial"/>
                <w:sz w:val="18"/>
              </w:rPr>
            </w:pPr>
          </w:p>
        </w:tc>
      </w:tr>
      <w:tr w:rsidR="00476E70" w:rsidRPr="002904DA" w14:paraId="79C185D3" w14:textId="77777777" w:rsidTr="0009226D">
        <w:trPr>
          <w:trHeight w:val="255"/>
        </w:trPr>
        <w:tc>
          <w:tcPr>
            <w:tcW w:w="1429" w:type="dxa"/>
            <w:vMerge/>
            <w:tcBorders>
              <w:left w:val="single" w:sz="4" w:space="0" w:color="auto"/>
              <w:right w:val="single" w:sz="4" w:space="0" w:color="auto"/>
            </w:tcBorders>
            <w:vAlign w:val="center"/>
            <w:hideMark/>
          </w:tcPr>
          <w:p w14:paraId="13415B5E"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auto" w:fill="D9D9D9" w:themeFill="background1" w:themeFillShade="D9"/>
            <w:vAlign w:val="center"/>
            <w:hideMark/>
          </w:tcPr>
          <w:p w14:paraId="4D5AE37D" w14:textId="014AFBC5" w:rsidR="00476E70" w:rsidRPr="002904DA" w:rsidRDefault="00476E70" w:rsidP="00476E70">
            <w:pPr>
              <w:jc w:val="center"/>
              <w:rPr>
                <w:rFonts w:ascii="Arial" w:hAnsi="Arial"/>
                <w:sz w:val="18"/>
              </w:rPr>
            </w:pPr>
            <w:hyperlink w:anchor="_SUPPLEMENTAL_INFORMATION_FOR_16" w:history="1">
              <w:r w:rsidRPr="002904DA">
                <w:rPr>
                  <w:rStyle w:val="Hyperlink"/>
                  <w:rFonts w:ascii="Arial" w:hAnsi="Arial" w:cs="Arial"/>
                  <w:color w:val="auto"/>
                </w:rPr>
                <w:t>F-5</w:t>
              </w:r>
            </w:hyperlink>
          </w:p>
        </w:tc>
        <w:tc>
          <w:tcPr>
            <w:tcW w:w="3004" w:type="dxa"/>
            <w:tcBorders>
              <w:top w:val="nil"/>
              <w:left w:val="nil"/>
              <w:bottom w:val="single" w:sz="4" w:space="0" w:color="auto"/>
              <w:right w:val="single" w:sz="4" w:space="0" w:color="auto"/>
            </w:tcBorders>
            <w:shd w:val="clear" w:color="auto" w:fill="D9D9D9" w:themeFill="background1" w:themeFillShade="D9"/>
            <w:noWrap/>
            <w:vAlign w:val="center"/>
            <w:hideMark/>
          </w:tcPr>
          <w:p w14:paraId="32D6110C" w14:textId="77777777" w:rsidR="00476E70" w:rsidRPr="002904DA" w:rsidRDefault="00476E70" w:rsidP="00476E70">
            <w:pPr>
              <w:jc w:val="center"/>
              <w:rPr>
                <w:rFonts w:ascii="Arial" w:hAnsi="Arial"/>
                <w:sz w:val="18"/>
              </w:rPr>
            </w:pPr>
            <w:r w:rsidRPr="002904DA">
              <w:rPr>
                <w:rFonts w:ascii="Arial" w:hAnsi="Arial"/>
                <w:sz w:val="18"/>
              </w:rPr>
              <w:t>Dowel Bar Retrofit</w:t>
            </w:r>
          </w:p>
        </w:tc>
        <w:tc>
          <w:tcPr>
            <w:tcW w:w="160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5958BCA5" w14:textId="419080F1" w:rsidR="00476E70" w:rsidRPr="002904DA" w:rsidRDefault="00476E70" w:rsidP="00476E70">
            <w:pPr>
              <w:jc w:val="center"/>
              <w:rPr>
                <w:rFonts w:ascii="Arial" w:hAnsi="Arial"/>
                <w:sz w:val="18"/>
              </w:rPr>
            </w:pPr>
            <w:r>
              <w:rPr>
                <w:rFonts w:ascii="Arial" w:hAnsi="Arial"/>
                <w:sz w:val="18"/>
              </w:rPr>
              <w:t>Internet</w:t>
            </w:r>
          </w:p>
        </w:tc>
        <w:tc>
          <w:tcPr>
            <w:tcW w:w="1517" w:type="dxa"/>
            <w:vMerge/>
            <w:tcBorders>
              <w:left w:val="single" w:sz="4" w:space="0" w:color="auto"/>
              <w:right w:val="single" w:sz="4" w:space="0" w:color="auto"/>
            </w:tcBorders>
            <w:vAlign w:val="center"/>
            <w:hideMark/>
          </w:tcPr>
          <w:p w14:paraId="3C49E420" w14:textId="77777777" w:rsidR="00476E70" w:rsidRPr="002904DA" w:rsidRDefault="00476E70" w:rsidP="00476E70">
            <w:pPr>
              <w:jc w:val="center"/>
              <w:rPr>
                <w:rFonts w:ascii="Arial" w:hAnsi="Arial"/>
                <w:sz w:val="18"/>
              </w:rPr>
            </w:pPr>
          </w:p>
        </w:tc>
      </w:tr>
      <w:tr w:rsidR="00476E70" w:rsidRPr="002904DA" w14:paraId="0C3C45B9" w14:textId="77777777" w:rsidTr="0009226D">
        <w:trPr>
          <w:trHeight w:val="255"/>
        </w:trPr>
        <w:tc>
          <w:tcPr>
            <w:tcW w:w="1429" w:type="dxa"/>
            <w:vMerge/>
            <w:tcBorders>
              <w:left w:val="single" w:sz="4" w:space="0" w:color="auto"/>
              <w:bottom w:val="single" w:sz="4" w:space="0" w:color="auto"/>
              <w:right w:val="single" w:sz="4" w:space="0" w:color="auto"/>
            </w:tcBorders>
            <w:vAlign w:val="center"/>
            <w:hideMark/>
          </w:tcPr>
          <w:p w14:paraId="1037E691"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auto" w:fill="D9D9D9" w:themeFill="background1" w:themeFillShade="D9"/>
            <w:vAlign w:val="center"/>
            <w:hideMark/>
          </w:tcPr>
          <w:p w14:paraId="4B950657" w14:textId="34A96B44" w:rsidR="00476E70" w:rsidRPr="002904DA" w:rsidRDefault="00476E70" w:rsidP="00476E70">
            <w:pPr>
              <w:jc w:val="center"/>
              <w:rPr>
                <w:rFonts w:ascii="Arial" w:hAnsi="Arial"/>
                <w:sz w:val="18"/>
              </w:rPr>
            </w:pPr>
            <w:hyperlink w:anchor="_SUPPLEMENTAL_INFORMATION_FOR_17" w:history="1">
              <w:r w:rsidRPr="002904DA">
                <w:rPr>
                  <w:rStyle w:val="Hyperlink"/>
                  <w:rFonts w:ascii="Arial" w:hAnsi="Arial" w:cs="Arial"/>
                  <w:color w:val="auto"/>
                </w:rPr>
                <w:t>F-6</w:t>
              </w:r>
            </w:hyperlink>
          </w:p>
        </w:tc>
        <w:tc>
          <w:tcPr>
            <w:tcW w:w="3004" w:type="dxa"/>
            <w:tcBorders>
              <w:top w:val="nil"/>
              <w:left w:val="nil"/>
              <w:bottom w:val="single" w:sz="4" w:space="0" w:color="auto"/>
              <w:right w:val="single" w:sz="4" w:space="0" w:color="auto"/>
            </w:tcBorders>
            <w:shd w:val="clear" w:color="auto" w:fill="D9D9D9" w:themeFill="background1" w:themeFillShade="D9"/>
            <w:noWrap/>
            <w:vAlign w:val="center"/>
            <w:hideMark/>
          </w:tcPr>
          <w:p w14:paraId="2F212441" w14:textId="77777777" w:rsidR="00476E70" w:rsidRPr="002904DA" w:rsidRDefault="00476E70" w:rsidP="00476E70">
            <w:pPr>
              <w:jc w:val="center"/>
              <w:rPr>
                <w:rFonts w:ascii="Arial" w:hAnsi="Arial"/>
                <w:sz w:val="18"/>
              </w:rPr>
            </w:pPr>
            <w:r w:rsidRPr="002904DA">
              <w:rPr>
                <w:rFonts w:ascii="Arial" w:hAnsi="Arial"/>
                <w:sz w:val="18"/>
              </w:rPr>
              <w:t>Undersealing/Slab Stabilization</w:t>
            </w:r>
          </w:p>
        </w:tc>
        <w:tc>
          <w:tcPr>
            <w:tcW w:w="160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57893A1" w14:textId="77777777" w:rsidR="00476E70" w:rsidRPr="002904DA" w:rsidRDefault="00476E70" w:rsidP="00476E70">
            <w:pPr>
              <w:jc w:val="center"/>
              <w:rPr>
                <w:rFonts w:ascii="Arial" w:hAnsi="Arial"/>
                <w:sz w:val="18"/>
              </w:rPr>
            </w:pPr>
            <w:r w:rsidRPr="002904DA">
              <w:rPr>
                <w:rFonts w:ascii="Arial" w:hAnsi="Arial"/>
                <w:sz w:val="18"/>
              </w:rPr>
              <w:t>None</w:t>
            </w:r>
          </w:p>
        </w:tc>
        <w:tc>
          <w:tcPr>
            <w:tcW w:w="1517" w:type="dxa"/>
            <w:vMerge/>
            <w:tcBorders>
              <w:left w:val="single" w:sz="4" w:space="0" w:color="auto"/>
              <w:bottom w:val="single" w:sz="4" w:space="0" w:color="auto"/>
              <w:right w:val="single" w:sz="4" w:space="0" w:color="auto"/>
            </w:tcBorders>
            <w:vAlign w:val="center"/>
            <w:hideMark/>
          </w:tcPr>
          <w:p w14:paraId="1DC43BF1" w14:textId="77777777" w:rsidR="00476E70" w:rsidRPr="002904DA" w:rsidRDefault="00476E70" w:rsidP="00476E70">
            <w:pPr>
              <w:jc w:val="center"/>
              <w:rPr>
                <w:rFonts w:ascii="Arial" w:hAnsi="Arial"/>
                <w:sz w:val="18"/>
              </w:rPr>
            </w:pPr>
          </w:p>
        </w:tc>
      </w:tr>
      <w:tr w:rsidR="00476E70" w:rsidRPr="002904DA" w14:paraId="36D354F2" w14:textId="77777777" w:rsidTr="0009226D">
        <w:trPr>
          <w:trHeight w:val="255"/>
        </w:trPr>
        <w:tc>
          <w:tcPr>
            <w:tcW w:w="1429" w:type="dxa"/>
            <w:vMerge w:val="restart"/>
            <w:tcBorders>
              <w:top w:val="single" w:sz="4" w:space="0" w:color="auto"/>
              <w:left w:val="single" w:sz="4" w:space="0" w:color="auto"/>
              <w:bottom w:val="single" w:sz="4" w:space="0" w:color="auto"/>
              <w:right w:val="single" w:sz="4" w:space="0" w:color="auto"/>
            </w:tcBorders>
            <w:vAlign w:val="center"/>
            <w:hideMark/>
          </w:tcPr>
          <w:p w14:paraId="7F4B9462" w14:textId="6284DA1B" w:rsidR="00476E70" w:rsidRPr="002904DA" w:rsidRDefault="00476E70" w:rsidP="00476E70">
            <w:pPr>
              <w:jc w:val="center"/>
              <w:rPr>
                <w:rFonts w:ascii="Arial" w:hAnsi="Arial"/>
                <w:sz w:val="18"/>
              </w:rPr>
            </w:pPr>
            <w:r w:rsidRPr="002904DA">
              <w:rPr>
                <w:rFonts w:ascii="Arial" w:hAnsi="Arial" w:cs="Arial"/>
              </w:rPr>
              <w:t>G</w:t>
            </w:r>
            <w:r w:rsidRPr="002904DA">
              <w:rPr>
                <w:rFonts w:ascii="Arial" w:hAnsi="Arial"/>
                <w:sz w:val="18"/>
              </w:rPr>
              <w:t>. Surface Texturizing</w:t>
            </w:r>
          </w:p>
        </w:tc>
        <w:tc>
          <w:tcPr>
            <w:tcW w:w="1174" w:type="dxa"/>
            <w:tcBorders>
              <w:top w:val="nil"/>
              <w:left w:val="nil"/>
              <w:bottom w:val="single" w:sz="4" w:space="0" w:color="auto"/>
              <w:right w:val="single" w:sz="4" w:space="0" w:color="auto"/>
            </w:tcBorders>
            <w:vAlign w:val="center"/>
            <w:hideMark/>
          </w:tcPr>
          <w:p w14:paraId="11886D10" w14:textId="1DB03150" w:rsidR="00476E70" w:rsidRPr="002904DA" w:rsidRDefault="00476E70" w:rsidP="00476E70">
            <w:pPr>
              <w:jc w:val="center"/>
              <w:rPr>
                <w:rFonts w:ascii="Arial" w:hAnsi="Arial"/>
                <w:sz w:val="18"/>
              </w:rPr>
            </w:pPr>
            <w:hyperlink w:anchor="_SUPPLEMENTAL_INFORMATION_FOR_18" w:history="1">
              <w:r w:rsidRPr="002904DA">
                <w:rPr>
                  <w:rStyle w:val="Hyperlink"/>
                  <w:rFonts w:ascii="Arial" w:hAnsi="Arial" w:cs="Arial"/>
                  <w:color w:val="auto"/>
                </w:rPr>
                <w:t>G</w:t>
              </w:r>
              <w:r w:rsidRPr="002904DA">
                <w:rPr>
                  <w:rStyle w:val="Hyperlink"/>
                  <w:rFonts w:ascii="Arial" w:hAnsi="Arial"/>
                  <w:color w:val="auto"/>
                  <w:sz w:val="18"/>
                </w:rPr>
                <w:t>-1</w:t>
              </w:r>
            </w:hyperlink>
          </w:p>
        </w:tc>
        <w:tc>
          <w:tcPr>
            <w:tcW w:w="3004" w:type="dxa"/>
            <w:tcBorders>
              <w:top w:val="nil"/>
              <w:left w:val="nil"/>
              <w:bottom w:val="single" w:sz="4" w:space="0" w:color="auto"/>
              <w:right w:val="single" w:sz="4" w:space="0" w:color="auto"/>
            </w:tcBorders>
            <w:noWrap/>
            <w:vAlign w:val="center"/>
            <w:hideMark/>
          </w:tcPr>
          <w:p w14:paraId="39CCC339" w14:textId="0B6090A6" w:rsidR="00476E70" w:rsidRPr="002904DA" w:rsidRDefault="00476E70" w:rsidP="00476E70">
            <w:pPr>
              <w:jc w:val="center"/>
              <w:rPr>
                <w:rFonts w:ascii="Arial" w:hAnsi="Arial"/>
                <w:sz w:val="18"/>
              </w:rPr>
            </w:pPr>
            <w:r w:rsidRPr="002904DA">
              <w:rPr>
                <w:rFonts w:ascii="Arial" w:hAnsi="Arial"/>
                <w:sz w:val="18"/>
              </w:rPr>
              <w:t>Diamond Grinding</w:t>
            </w:r>
          </w:p>
        </w:tc>
        <w:tc>
          <w:tcPr>
            <w:tcW w:w="1606" w:type="dxa"/>
            <w:tcBorders>
              <w:top w:val="single" w:sz="4" w:space="0" w:color="auto"/>
              <w:left w:val="nil"/>
              <w:bottom w:val="single" w:sz="4" w:space="0" w:color="auto"/>
              <w:right w:val="single" w:sz="4" w:space="0" w:color="auto"/>
            </w:tcBorders>
            <w:vAlign w:val="center"/>
          </w:tcPr>
          <w:p w14:paraId="7F6A3553" w14:textId="18BDCC18" w:rsidR="00476E70" w:rsidRPr="002904DA" w:rsidRDefault="00476E70" w:rsidP="00476E70">
            <w:pPr>
              <w:jc w:val="center"/>
              <w:rPr>
                <w:rFonts w:ascii="Arial" w:hAnsi="Arial"/>
                <w:sz w:val="18"/>
              </w:rPr>
            </w:pPr>
            <w:r w:rsidRPr="002904DA">
              <w:rPr>
                <w:rFonts w:ascii="Arial" w:hAnsi="Arial" w:cs="Arial"/>
              </w:rPr>
              <w:t>Internet</w:t>
            </w:r>
          </w:p>
        </w:tc>
        <w:tc>
          <w:tcPr>
            <w:tcW w:w="1517" w:type="dxa"/>
            <w:vMerge w:val="restart"/>
            <w:tcBorders>
              <w:top w:val="single" w:sz="4" w:space="0" w:color="auto"/>
              <w:left w:val="single" w:sz="4" w:space="0" w:color="auto"/>
              <w:bottom w:val="single" w:sz="4" w:space="0" w:color="auto"/>
              <w:right w:val="single" w:sz="4" w:space="0" w:color="auto"/>
            </w:tcBorders>
            <w:noWrap/>
            <w:vAlign w:val="center"/>
            <w:hideMark/>
          </w:tcPr>
          <w:p w14:paraId="288CA644" w14:textId="1299E7D4" w:rsidR="00476E70" w:rsidRPr="002904DA" w:rsidRDefault="00476E70" w:rsidP="00476E70">
            <w:pPr>
              <w:jc w:val="center"/>
              <w:rPr>
                <w:rFonts w:ascii="Arial" w:hAnsi="Arial"/>
                <w:sz w:val="18"/>
              </w:rPr>
            </w:pPr>
            <w:r w:rsidRPr="002904DA">
              <w:rPr>
                <w:rFonts w:ascii="Arial" w:hAnsi="Arial" w:cs="Arial"/>
              </w:rPr>
              <w:t>Mill</w:t>
            </w:r>
            <w:r w:rsidRPr="002904DA">
              <w:rPr>
                <w:rFonts w:ascii="Arial" w:hAnsi="Arial"/>
                <w:sz w:val="18"/>
              </w:rPr>
              <w:t>, Patch</w:t>
            </w:r>
            <w:r w:rsidRPr="002904DA">
              <w:rPr>
                <w:rFonts w:ascii="Arial" w:hAnsi="Arial" w:cs="Arial"/>
                <w:sz w:val="18"/>
                <w:szCs w:val="18"/>
              </w:rPr>
              <w:t>,</w:t>
            </w:r>
            <w:r w:rsidRPr="002904DA">
              <w:rPr>
                <w:rFonts w:ascii="Arial" w:hAnsi="Arial"/>
                <w:sz w:val="18"/>
              </w:rPr>
              <w:t xml:space="preserve"> and Resurface</w:t>
            </w:r>
          </w:p>
        </w:tc>
      </w:tr>
      <w:tr w:rsidR="00476E70" w:rsidRPr="002904DA" w14:paraId="6EBA9667" w14:textId="77777777" w:rsidTr="0009226D">
        <w:trPr>
          <w:trHeight w:val="255"/>
        </w:trPr>
        <w:tc>
          <w:tcPr>
            <w:tcW w:w="1429" w:type="dxa"/>
            <w:vMerge/>
            <w:tcBorders>
              <w:top w:val="single" w:sz="4" w:space="0" w:color="auto"/>
              <w:left w:val="single" w:sz="4" w:space="0" w:color="auto"/>
              <w:bottom w:val="single" w:sz="4" w:space="0" w:color="auto"/>
              <w:right w:val="single" w:sz="4" w:space="0" w:color="auto"/>
            </w:tcBorders>
            <w:vAlign w:val="center"/>
            <w:hideMark/>
          </w:tcPr>
          <w:p w14:paraId="646EA460"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03A4D643" w14:textId="355F7A58" w:rsidR="00476E70" w:rsidRPr="002904DA" w:rsidRDefault="00476E70" w:rsidP="00476E70">
            <w:pPr>
              <w:jc w:val="center"/>
              <w:rPr>
                <w:rFonts w:ascii="Arial" w:hAnsi="Arial"/>
                <w:sz w:val="18"/>
              </w:rPr>
            </w:pPr>
            <w:hyperlink w:anchor="_SUPPLEMENTAL_INFORMATION_FOR_18" w:history="1">
              <w:r w:rsidRPr="002904DA">
                <w:rPr>
                  <w:rStyle w:val="Hyperlink"/>
                  <w:rFonts w:ascii="Arial" w:hAnsi="Arial" w:cs="Arial"/>
                  <w:color w:val="auto"/>
                </w:rPr>
                <w:t>G</w:t>
              </w:r>
              <w:r w:rsidRPr="002904DA">
                <w:rPr>
                  <w:rStyle w:val="Hyperlink"/>
                  <w:rFonts w:ascii="Arial" w:hAnsi="Arial"/>
                  <w:color w:val="auto"/>
                  <w:sz w:val="18"/>
                </w:rPr>
                <w:t>-2</w:t>
              </w:r>
            </w:hyperlink>
          </w:p>
        </w:tc>
        <w:tc>
          <w:tcPr>
            <w:tcW w:w="3004" w:type="dxa"/>
            <w:tcBorders>
              <w:top w:val="nil"/>
              <w:left w:val="nil"/>
              <w:bottom w:val="single" w:sz="4" w:space="0" w:color="auto"/>
              <w:right w:val="single" w:sz="4" w:space="0" w:color="auto"/>
            </w:tcBorders>
            <w:noWrap/>
            <w:vAlign w:val="center"/>
            <w:hideMark/>
          </w:tcPr>
          <w:p w14:paraId="65BC8495" w14:textId="2AE56301" w:rsidR="00476E70" w:rsidRPr="002904DA" w:rsidRDefault="00476E70" w:rsidP="00476E70">
            <w:pPr>
              <w:jc w:val="center"/>
              <w:rPr>
                <w:rFonts w:ascii="Arial" w:hAnsi="Arial"/>
                <w:sz w:val="18"/>
              </w:rPr>
            </w:pPr>
            <w:r w:rsidRPr="002904DA">
              <w:rPr>
                <w:rFonts w:ascii="Arial" w:hAnsi="Arial" w:cs="Arial"/>
                <w:sz w:val="18"/>
                <w:szCs w:val="18"/>
              </w:rPr>
              <w:t>Surface Abrasion</w:t>
            </w:r>
          </w:p>
        </w:tc>
        <w:tc>
          <w:tcPr>
            <w:tcW w:w="1606" w:type="dxa"/>
            <w:tcBorders>
              <w:top w:val="single" w:sz="4" w:space="0" w:color="auto"/>
              <w:left w:val="nil"/>
              <w:bottom w:val="single" w:sz="4" w:space="0" w:color="auto"/>
              <w:right w:val="single" w:sz="4" w:space="0" w:color="auto"/>
            </w:tcBorders>
            <w:vAlign w:val="center"/>
          </w:tcPr>
          <w:p w14:paraId="0C372378" w14:textId="444B8138" w:rsidR="00476E70" w:rsidRPr="002904DA" w:rsidRDefault="00476E70" w:rsidP="00476E70">
            <w:pPr>
              <w:jc w:val="center"/>
              <w:rPr>
                <w:rFonts w:ascii="Arial" w:hAnsi="Arial"/>
                <w:sz w:val="18"/>
              </w:rPr>
            </w:pPr>
            <w:r w:rsidRPr="002904DA">
              <w:rPr>
                <w:rFonts w:ascii="Arial" w:hAnsi="Arial" w:cs="Arial"/>
              </w:rPr>
              <w:t>Internet</w:t>
            </w:r>
          </w:p>
        </w:tc>
        <w:tc>
          <w:tcPr>
            <w:tcW w:w="1517" w:type="dxa"/>
            <w:vMerge/>
            <w:tcBorders>
              <w:top w:val="single" w:sz="4" w:space="0" w:color="auto"/>
              <w:left w:val="single" w:sz="4" w:space="0" w:color="auto"/>
              <w:bottom w:val="single" w:sz="4" w:space="0" w:color="auto"/>
              <w:right w:val="single" w:sz="4" w:space="0" w:color="auto"/>
            </w:tcBorders>
            <w:noWrap/>
            <w:vAlign w:val="center"/>
            <w:hideMark/>
          </w:tcPr>
          <w:p w14:paraId="3A58762E" w14:textId="77777777" w:rsidR="00476E70" w:rsidRPr="002904DA" w:rsidRDefault="00476E70" w:rsidP="00476E70">
            <w:pPr>
              <w:jc w:val="center"/>
              <w:rPr>
                <w:rFonts w:ascii="Arial" w:hAnsi="Arial"/>
                <w:sz w:val="18"/>
              </w:rPr>
            </w:pPr>
          </w:p>
        </w:tc>
      </w:tr>
      <w:tr w:rsidR="00476E70" w:rsidRPr="002904DA" w14:paraId="5FDA5559" w14:textId="77777777" w:rsidTr="0009226D">
        <w:trPr>
          <w:trHeight w:val="255"/>
        </w:trPr>
        <w:tc>
          <w:tcPr>
            <w:tcW w:w="1429" w:type="dxa"/>
            <w:vMerge/>
            <w:tcBorders>
              <w:top w:val="single" w:sz="4" w:space="0" w:color="auto"/>
              <w:left w:val="single" w:sz="4" w:space="0" w:color="auto"/>
              <w:bottom w:val="single" w:sz="4" w:space="0" w:color="auto"/>
              <w:right w:val="single" w:sz="4" w:space="0" w:color="auto"/>
            </w:tcBorders>
            <w:vAlign w:val="center"/>
            <w:hideMark/>
          </w:tcPr>
          <w:p w14:paraId="0728E981"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4792A58C" w14:textId="05271E2A" w:rsidR="00476E70" w:rsidRPr="002904DA" w:rsidRDefault="00476E70" w:rsidP="00476E70">
            <w:pPr>
              <w:jc w:val="center"/>
              <w:rPr>
                <w:rFonts w:ascii="Arial" w:hAnsi="Arial"/>
                <w:sz w:val="18"/>
              </w:rPr>
            </w:pPr>
            <w:hyperlink w:anchor="_SUPPLEMENTAL_INFORMATION_FOR_19" w:history="1">
              <w:r w:rsidRPr="002904DA">
                <w:rPr>
                  <w:rStyle w:val="Hyperlink"/>
                  <w:rFonts w:ascii="Arial" w:hAnsi="Arial" w:cs="Arial"/>
                  <w:color w:val="auto"/>
                </w:rPr>
                <w:t>G</w:t>
              </w:r>
              <w:r w:rsidRPr="002904DA">
                <w:rPr>
                  <w:rStyle w:val="Hyperlink"/>
                  <w:rFonts w:ascii="Arial" w:hAnsi="Arial"/>
                  <w:color w:val="auto"/>
                  <w:sz w:val="18"/>
                </w:rPr>
                <w:t>-3</w:t>
              </w:r>
            </w:hyperlink>
          </w:p>
        </w:tc>
        <w:tc>
          <w:tcPr>
            <w:tcW w:w="3004" w:type="dxa"/>
            <w:tcBorders>
              <w:top w:val="nil"/>
              <w:left w:val="nil"/>
              <w:bottom w:val="single" w:sz="4" w:space="0" w:color="auto"/>
              <w:right w:val="single" w:sz="4" w:space="0" w:color="auto"/>
            </w:tcBorders>
            <w:noWrap/>
            <w:vAlign w:val="center"/>
            <w:hideMark/>
          </w:tcPr>
          <w:p w14:paraId="5FE5C1BA" w14:textId="77777777" w:rsidR="00476E70" w:rsidRPr="00E16F07" w:rsidRDefault="00476E70" w:rsidP="00476E70">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Surface Carbide Grinding</w:t>
            </w:r>
          </w:p>
        </w:tc>
        <w:tc>
          <w:tcPr>
            <w:tcW w:w="1606" w:type="dxa"/>
            <w:tcBorders>
              <w:top w:val="single" w:sz="4" w:space="0" w:color="auto"/>
              <w:left w:val="nil"/>
              <w:bottom w:val="single" w:sz="4" w:space="0" w:color="auto"/>
              <w:right w:val="single" w:sz="4" w:space="0" w:color="auto"/>
            </w:tcBorders>
            <w:vAlign w:val="center"/>
          </w:tcPr>
          <w:p w14:paraId="0C45DC8F" w14:textId="77777777" w:rsidR="00476E70" w:rsidRPr="00E16F07" w:rsidRDefault="00476E70" w:rsidP="00476E70">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Needs Work</w:t>
            </w:r>
          </w:p>
        </w:tc>
        <w:tc>
          <w:tcPr>
            <w:tcW w:w="1517" w:type="dxa"/>
            <w:vMerge/>
            <w:tcBorders>
              <w:top w:val="single" w:sz="4" w:space="0" w:color="auto"/>
              <w:left w:val="single" w:sz="4" w:space="0" w:color="auto"/>
              <w:bottom w:val="single" w:sz="4" w:space="0" w:color="auto"/>
              <w:right w:val="single" w:sz="4" w:space="0" w:color="auto"/>
            </w:tcBorders>
            <w:noWrap/>
            <w:vAlign w:val="center"/>
            <w:hideMark/>
          </w:tcPr>
          <w:p w14:paraId="6F2B0136" w14:textId="77777777" w:rsidR="00476E70" w:rsidRPr="002904DA" w:rsidRDefault="00476E70" w:rsidP="00476E70">
            <w:pPr>
              <w:jc w:val="center"/>
              <w:rPr>
                <w:rFonts w:ascii="Arial" w:hAnsi="Arial"/>
                <w:sz w:val="18"/>
              </w:rPr>
            </w:pPr>
          </w:p>
        </w:tc>
      </w:tr>
      <w:tr w:rsidR="00476E70" w:rsidRPr="002904DA" w14:paraId="6A8812C9" w14:textId="77777777" w:rsidTr="0009226D">
        <w:trPr>
          <w:trHeight w:val="255"/>
        </w:trPr>
        <w:tc>
          <w:tcPr>
            <w:tcW w:w="1429" w:type="dxa"/>
            <w:vMerge/>
            <w:tcBorders>
              <w:top w:val="single" w:sz="4" w:space="0" w:color="auto"/>
              <w:left w:val="single" w:sz="4" w:space="0" w:color="auto"/>
              <w:bottom w:val="single" w:sz="4" w:space="0" w:color="auto"/>
              <w:right w:val="single" w:sz="4" w:space="0" w:color="auto"/>
            </w:tcBorders>
            <w:vAlign w:val="center"/>
            <w:hideMark/>
          </w:tcPr>
          <w:p w14:paraId="5609245A"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vAlign w:val="center"/>
            <w:hideMark/>
          </w:tcPr>
          <w:p w14:paraId="37C4758D" w14:textId="48BCD8E5" w:rsidR="00476E70" w:rsidRPr="002904DA" w:rsidRDefault="00476E70" w:rsidP="00476E70">
            <w:pPr>
              <w:jc w:val="center"/>
              <w:rPr>
                <w:rFonts w:ascii="Arial" w:hAnsi="Arial"/>
                <w:sz w:val="18"/>
              </w:rPr>
            </w:pPr>
            <w:hyperlink w:anchor="_SUPPLEMENTAL_INFORMATION_FOR_19" w:history="1">
              <w:r w:rsidRPr="002904DA">
                <w:rPr>
                  <w:rStyle w:val="Hyperlink"/>
                  <w:rFonts w:ascii="Arial" w:hAnsi="Arial" w:cs="Arial"/>
                  <w:color w:val="auto"/>
                </w:rPr>
                <w:t>G</w:t>
              </w:r>
              <w:r w:rsidRPr="002904DA">
                <w:rPr>
                  <w:rStyle w:val="Hyperlink"/>
                  <w:rFonts w:ascii="Arial" w:hAnsi="Arial"/>
                  <w:color w:val="auto"/>
                  <w:sz w:val="18"/>
                </w:rPr>
                <w:t>-4</w:t>
              </w:r>
            </w:hyperlink>
          </w:p>
        </w:tc>
        <w:tc>
          <w:tcPr>
            <w:tcW w:w="3004" w:type="dxa"/>
            <w:tcBorders>
              <w:top w:val="nil"/>
              <w:left w:val="nil"/>
              <w:bottom w:val="single" w:sz="4" w:space="0" w:color="auto"/>
              <w:right w:val="single" w:sz="4" w:space="0" w:color="auto"/>
            </w:tcBorders>
            <w:noWrap/>
            <w:vAlign w:val="center"/>
            <w:hideMark/>
          </w:tcPr>
          <w:p w14:paraId="06DE686F" w14:textId="77777777" w:rsidR="00476E70" w:rsidRPr="00E16F07" w:rsidRDefault="00476E70" w:rsidP="00476E70">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Diamond Grooving</w:t>
            </w:r>
          </w:p>
        </w:tc>
        <w:tc>
          <w:tcPr>
            <w:tcW w:w="1606" w:type="dxa"/>
            <w:tcBorders>
              <w:top w:val="single" w:sz="4" w:space="0" w:color="auto"/>
              <w:left w:val="nil"/>
              <w:bottom w:val="single" w:sz="4" w:space="0" w:color="auto"/>
              <w:right w:val="single" w:sz="4" w:space="0" w:color="auto"/>
            </w:tcBorders>
            <w:vAlign w:val="center"/>
          </w:tcPr>
          <w:p w14:paraId="1D59255F" w14:textId="77777777" w:rsidR="00476E70" w:rsidRPr="00E16F07" w:rsidRDefault="00476E70" w:rsidP="00476E70">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None</w:t>
            </w:r>
          </w:p>
        </w:tc>
        <w:tc>
          <w:tcPr>
            <w:tcW w:w="1517" w:type="dxa"/>
            <w:vMerge/>
            <w:tcBorders>
              <w:top w:val="single" w:sz="4" w:space="0" w:color="auto"/>
              <w:left w:val="single" w:sz="4" w:space="0" w:color="auto"/>
              <w:bottom w:val="single" w:sz="4" w:space="0" w:color="auto"/>
              <w:right w:val="single" w:sz="4" w:space="0" w:color="auto"/>
            </w:tcBorders>
            <w:noWrap/>
            <w:vAlign w:val="center"/>
            <w:hideMark/>
          </w:tcPr>
          <w:p w14:paraId="7FFB6614" w14:textId="77777777" w:rsidR="00476E70" w:rsidRPr="002904DA" w:rsidRDefault="00476E70" w:rsidP="00476E70">
            <w:pPr>
              <w:jc w:val="center"/>
              <w:rPr>
                <w:rFonts w:ascii="Arial" w:hAnsi="Arial"/>
                <w:sz w:val="18"/>
              </w:rPr>
            </w:pPr>
          </w:p>
        </w:tc>
      </w:tr>
      <w:tr w:rsidR="00476E70" w:rsidRPr="002904DA" w14:paraId="643477E4" w14:textId="77777777" w:rsidTr="0009226D">
        <w:trPr>
          <w:trHeight w:val="255"/>
        </w:trPr>
        <w:tc>
          <w:tcPr>
            <w:tcW w:w="142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5FB51F" w14:textId="00CDC3E3" w:rsidR="00476E70" w:rsidRPr="002904DA" w:rsidRDefault="00476E70" w:rsidP="00476E70">
            <w:pPr>
              <w:jc w:val="center"/>
              <w:rPr>
                <w:rFonts w:ascii="Arial" w:hAnsi="Arial"/>
                <w:sz w:val="18"/>
              </w:rPr>
            </w:pPr>
            <w:r w:rsidRPr="002904DA">
              <w:rPr>
                <w:rFonts w:ascii="Arial" w:hAnsi="Arial" w:cs="Arial"/>
              </w:rPr>
              <w:t>H</w:t>
            </w:r>
            <w:r w:rsidRPr="002904DA">
              <w:rPr>
                <w:rFonts w:ascii="Arial" w:hAnsi="Arial"/>
                <w:sz w:val="18"/>
              </w:rPr>
              <w:t>. Major (Heavy) Rehabilitation</w:t>
            </w:r>
          </w:p>
        </w:tc>
        <w:tc>
          <w:tcPr>
            <w:tcW w:w="1174" w:type="dxa"/>
            <w:tcBorders>
              <w:top w:val="nil"/>
              <w:left w:val="nil"/>
              <w:bottom w:val="single" w:sz="4" w:space="0" w:color="auto"/>
              <w:right w:val="single" w:sz="4" w:space="0" w:color="auto"/>
            </w:tcBorders>
            <w:shd w:val="clear" w:color="auto" w:fill="D9D9D9" w:themeFill="background1" w:themeFillShade="D9"/>
            <w:vAlign w:val="center"/>
            <w:hideMark/>
          </w:tcPr>
          <w:p w14:paraId="3DB449D8" w14:textId="70E07BD5" w:rsidR="00476E70" w:rsidRPr="002904DA" w:rsidRDefault="00476E70" w:rsidP="00476E70">
            <w:pPr>
              <w:jc w:val="center"/>
              <w:rPr>
                <w:rFonts w:ascii="Arial" w:hAnsi="Arial"/>
                <w:sz w:val="18"/>
              </w:rPr>
            </w:pPr>
            <w:hyperlink w:anchor="_SUPPLEMENTAL_INFORMATION_FOR_21" w:history="1">
              <w:r w:rsidRPr="002904DA">
                <w:rPr>
                  <w:rStyle w:val="Hyperlink"/>
                  <w:rFonts w:ascii="Arial" w:hAnsi="Arial" w:cs="Arial"/>
                  <w:color w:val="auto"/>
                </w:rPr>
                <w:t>H</w:t>
              </w:r>
              <w:r w:rsidRPr="002904DA">
                <w:rPr>
                  <w:rStyle w:val="Hyperlink"/>
                  <w:rFonts w:ascii="Arial" w:hAnsi="Arial"/>
                  <w:color w:val="auto"/>
                  <w:sz w:val="18"/>
                </w:rPr>
                <w:t>-1</w:t>
              </w:r>
            </w:hyperlink>
          </w:p>
        </w:tc>
        <w:tc>
          <w:tcPr>
            <w:tcW w:w="3004" w:type="dxa"/>
            <w:tcBorders>
              <w:top w:val="nil"/>
              <w:left w:val="nil"/>
              <w:bottom w:val="single" w:sz="4" w:space="0" w:color="auto"/>
              <w:right w:val="single" w:sz="4" w:space="0" w:color="auto"/>
            </w:tcBorders>
            <w:shd w:val="clear" w:color="auto" w:fill="D9D9D9" w:themeFill="background1" w:themeFillShade="D9"/>
            <w:noWrap/>
            <w:vAlign w:val="center"/>
            <w:hideMark/>
          </w:tcPr>
          <w:p w14:paraId="4881A64E" w14:textId="42584697" w:rsidR="00476E70" w:rsidRPr="002904DA" w:rsidRDefault="00476E70" w:rsidP="00476E70">
            <w:pPr>
              <w:jc w:val="center"/>
              <w:rPr>
                <w:rFonts w:ascii="Arial" w:hAnsi="Arial"/>
                <w:sz w:val="18"/>
              </w:rPr>
            </w:pPr>
            <w:r w:rsidRPr="002904DA">
              <w:rPr>
                <w:rFonts w:ascii="Arial" w:hAnsi="Arial"/>
                <w:sz w:val="18"/>
              </w:rPr>
              <w:t>Cold</w:t>
            </w:r>
            <w:r w:rsidRPr="002904DA">
              <w:rPr>
                <w:rFonts w:ascii="Arial" w:hAnsi="Arial" w:cs="Arial"/>
                <w:sz w:val="18"/>
                <w:szCs w:val="18"/>
              </w:rPr>
              <w:t xml:space="preserve"> </w:t>
            </w:r>
            <w:r w:rsidRPr="002904DA">
              <w:rPr>
                <w:rFonts w:ascii="Arial" w:hAnsi="Arial"/>
                <w:sz w:val="18"/>
              </w:rPr>
              <w:t xml:space="preserve">In-Place </w:t>
            </w:r>
            <w:r w:rsidRPr="002904DA">
              <w:rPr>
                <w:rFonts w:ascii="Arial" w:hAnsi="Arial" w:cs="Arial"/>
              </w:rPr>
              <w:t>Asphalt</w:t>
            </w:r>
            <w:r w:rsidRPr="002904DA">
              <w:rPr>
                <w:rFonts w:ascii="Arial" w:hAnsi="Arial"/>
                <w:sz w:val="18"/>
              </w:rPr>
              <w:t xml:space="preserve"> Recycling (CIR)</w:t>
            </w:r>
          </w:p>
        </w:tc>
        <w:tc>
          <w:tcPr>
            <w:tcW w:w="160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0D5D913" w14:textId="77777777" w:rsidR="00476E70" w:rsidRPr="002904DA" w:rsidRDefault="00476E70" w:rsidP="00476E70">
            <w:pPr>
              <w:jc w:val="center"/>
              <w:rPr>
                <w:rFonts w:ascii="Arial" w:hAnsi="Arial"/>
                <w:sz w:val="18"/>
              </w:rPr>
            </w:pPr>
            <w:r w:rsidRPr="002904DA">
              <w:rPr>
                <w:rFonts w:ascii="Arial" w:hAnsi="Arial"/>
                <w:sz w:val="18"/>
              </w:rPr>
              <w:t>Pilot Phase</w:t>
            </w:r>
          </w:p>
        </w:tc>
        <w:tc>
          <w:tcPr>
            <w:tcW w:w="15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F58678" w14:textId="4F98F6A1" w:rsidR="00476E70" w:rsidRPr="002904DA" w:rsidRDefault="00476E70" w:rsidP="00476E70">
            <w:pPr>
              <w:jc w:val="center"/>
              <w:rPr>
                <w:rFonts w:ascii="Arial" w:hAnsi="Arial"/>
                <w:sz w:val="18"/>
              </w:rPr>
            </w:pPr>
            <w:r w:rsidRPr="002904DA">
              <w:rPr>
                <w:rFonts w:ascii="Arial" w:hAnsi="Arial"/>
                <w:sz w:val="18"/>
              </w:rPr>
              <w:t>Cold</w:t>
            </w:r>
            <w:r w:rsidRPr="002904DA">
              <w:rPr>
                <w:rFonts w:ascii="Arial" w:hAnsi="Arial" w:cs="Arial"/>
                <w:sz w:val="18"/>
                <w:szCs w:val="18"/>
              </w:rPr>
              <w:t xml:space="preserve"> </w:t>
            </w:r>
            <w:r w:rsidRPr="002904DA">
              <w:rPr>
                <w:rFonts w:ascii="Arial" w:hAnsi="Arial"/>
                <w:sz w:val="18"/>
              </w:rPr>
              <w:t>In-Place Recycling</w:t>
            </w:r>
          </w:p>
        </w:tc>
      </w:tr>
      <w:tr w:rsidR="00476E70" w:rsidRPr="002904DA" w14:paraId="51ED764C" w14:textId="77777777" w:rsidTr="0009226D">
        <w:trPr>
          <w:trHeight w:val="255"/>
        </w:trPr>
        <w:tc>
          <w:tcPr>
            <w:tcW w:w="142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BE85EE9"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auto" w:fill="D9D9D9" w:themeFill="background1" w:themeFillShade="D9"/>
            <w:vAlign w:val="center"/>
            <w:hideMark/>
          </w:tcPr>
          <w:p w14:paraId="2C8DFEDE" w14:textId="3A3A6E48" w:rsidR="00476E70" w:rsidRPr="002904DA" w:rsidRDefault="00476E70" w:rsidP="00476E70">
            <w:pPr>
              <w:jc w:val="center"/>
              <w:rPr>
                <w:rFonts w:ascii="Arial" w:hAnsi="Arial"/>
                <w:sz w:val="18"/>
              </w:rPr>
            </w:pPr>
            <w:hyperlink w:anchor="_SUPPLEMENTAL_INFORMATION_FOR_22" w:history="1">
              <w:r w:rsidRPr="002904DA">
                <w:rPr>
                  <w:rStyle w:val="Hyperlink"/>
                  <w:rFonts w:ascii="Arial" w:hAnsi="Arial" w:cs="Arial"/>
                  <w:color w:val="auto"/>
                </w:rPr>
                <w:t>H</w:t>
              </w:r>
              <w:r w:rsidRPr="002904DA">
                <w:rPr>
                  <w:rStyle w:val="Hyperlink"/>
                  <w:rFonts w:ascii="Arial" w:hAnsi="Arial"/>
                  <w:color w:val="auto"/>
                  <w:sz w:val="18"/>
                </w:rPr>
                <w:t>-2</w:t>
              </w:r>
            </w:hyperlink>
          </w:p>
        </w:tc>
        <w:tc>
          <w:tcPr>
            <w:tcW w:w="3004" w:type="dxa"/>
            <w:tcBorders>
              <w:top w:val="nil"/>
              <w:left w:val="nil"/>
              <w:bottom w:val="single" w:sz="4" w:space="0" w:color="auto"/>
              <w:right w:val="single" w:sz="4" w:space="0" w:color="auto"/>
            </w:tcBorders>
            <w:shd w:val="clear" w:color="auto" w:fill="D9D9D9" w:themeFill="background1" w:themeFillShade="D9"/>
            <w:noWrap/>
            <w:vAlign w:val="center"/>
            <w:hideMark/>
          </w:tcPr>
          <w:p w14:paraId="5E77458A" w14:textId="6EA59A4B" w:rsidR="00476E70" w:rsidRPr="002904DA" w:rsidRDefault="00476E70" w:rsidP="00476E70">
            <w:pPr>
              <w:jc w:val="center"/>
              <w:rPr>
                <w:rFonts w:ascii="Arial" w:hAnsi="Arial"/>
                <w:sz w:val="18"/>
              </w:rPr>
            </w:pPr>
            <w:r w:rsidRPr="002904DA">
              <w:rPr>
                <w:rFonts w:ascii="Arial" w:hAnsi="Arial"/>
                <w:sz w:val="18"/>
              </w:rPr>
              <w:t xml:space="preserve">Break/Crack &amp; Seat and </w:t>
            </w:r>
            <w:r w:rsidRPr="002904DA">
              <w:rPr>
                <w:rFonts w:ascii="Arial" w:hAnsi="Arial" w:cs="Arial"/>
              </w:rPr>
              <w:t>Asphalt</w:t>
            </w:r>
            <w:r w:rsidRPr="002904DA">
              <w:rPr>
                <w:rFonts w:ascii="Arial" w:hAnsi="Arial"/>
                <w:sz w:val="18"/>
              </w:rPr>
              <w:t xml:space="preserve"> Overlay</w:t>
            </w:r>
          </w:p>
        </w:tc>
        <w:tc>
          <w:tcPr>
            <w:tcW w:w="160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0B3B67F" w14:textId="77777777" w:rsidR="00476E70" w:rsidRPr="002904DA" w:rsidRDefault="00476E70" w:rsidP="00476E70">
            <w:pPr>
              <w:jc w:val="center"/>
              <w:rPr>
                <w:rFonts w:ascii="Arial" w:hAnsi="Arial"/>
                <w:sz w:val="18"/>
              </w:rPr>
            </w:pPr>
            <w:r w:rsidRPr="002904DA">
              <w:rPr>
                <w:rFonts w:ascii="Arial" w:hAnsi="Arial"/>
                <w:sz w:val="18"/>
              </w:rPr>
              <w:t>None</w:t>
            </w:r>
          </w:p>
        </w:tc>
        <w:tc>
          <w:tcPr>
            <w:tcW w:w="1517" w:type="dxa"/>
            <w:vMerge w:val="restart"/>
            <w:tcBorders>
              <w:top w:val="nil"/>
              <w:left w:val="single" w:sz="4" w:space="0" w:color="auto"/>
              <w:right w:val="single" w:sz="4" w:space="0" w:color="auto"/>
            </w:tcBorders>
            <w:shd w:val="clear" w:color="auto" w:fill="D9D9D9" w:themeFill="background1" w:themeFillShade="D9"/>
            <w:vAlign w:val="center"/>
            <w:hideMark/>
          </w:tcPr>
          <w:p w14:paraId="296CE72D" w14:textId="77777777" w:rsidR="00476E70" w:rsidRPr="002904DA" w:rsidRDefault="00476E70" w:rsidP="00476E70">
            <w:pPr>
              <w:jc w:val="center"/>
              <w:rPr>
                <w:rFonts w:ascii="Arial" w:hAnsi="Arial"/>
                <w:sz w:val="18"/>
              </w:rPr>
            </w:pPr>
            <w:r w:rsidRPr="002904DA">
              <w:rPr>
                <w:rFonts w:ascii="Arial" w:hAnsi="Arial"/>
                <w:sz w:val="18"/>
              </w:rPr>
              <w:t>Single Advertised</w:t>
            </w:r>
          </w:p>
        </w:tc>
      </w:tr>
      <w:tr w:rsidR="00476E70" w:rsidRPr="002904DA" w14:paraId="5C9ABD5D" w14:textId="77777777" w:rsidTr="0009226D">
        <w:trPr>
          <w:trHeight w:val="255"/>
        </w:trPr>
        <w:tc>
          <w:tcPr>
            <w:tcW w:w="142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E0305B" w14:textId="77777777" w:rsidR="00476E70" w:rsidRPr="002904DA" w:rsidRDefault="00476E70" w:rsidP="00476E70">
            <w:pPr>
              <w:rPr>
                <w:rFonts w:ascii="Arial" w:hAnsi="Arial"/>
                <w:sz w:val="18"/>
              </w:rPr>
            </w:pPr>
          </w:p>
        </w:tc>
        <w:tc>
          <w:tcPr>
            <w:tcW w:w="1174" w:type="dxa"/>
            <w:tcBorders>
              <w:top w:val="nil"/>
              <w:left w:val="nil"/>
              <w:bottom w:val="single" w:sz="4" w:space="0" w:color="auto"/>
              <w:right w:val="single" w:sz="4" w:space="0" w:color="auto"/>
            </w:tcBorders>
            <w:shd w:val="clear" w:color="auto" w:fill="D9D9D9" w:themeFill="background1" w:themeFillShade="D9"/>
            <w:vAlign w:val="center"/>
            <w:hideMark/>
          </w:tcPr>
          <w:p w14:paraId="3CABD85E" w14:textId="621D1CCA" w:rsidR="00476E70" w:rsidRPr="002904DA" w:rsidRDefault="00476E70" w:rsidP="00476E70">
            <w:pPr>
              <w:jc w:val="center"/>
              <w:rPr>
                <w:rFonts w:ascii="Arial" w:hAnsi="Arial"/>
                <w:sz w:val="18"/>
              </w:rPr>
            </w:pPr>
            <w:hyperlink w:anchor="_SUPPLEMENTAL_INFORMATION_FOR_22" w:history="1">
              <w:r w:rsidRPr="002904DA">
                <w:rPr>
                  <w:rStyle w:val="Hyperlink"/>
                  <w:rFonts w:ascii="Arial" w:hAnsi="Arial" w:cs="Arial"/>
                  <w:color w:val="auto"/>
                </w:rPr>
                <w:t>H</w:t>
              </w:r>
              <w:r w:rsidRPr="002904DA">
                <w:rPr>
                  <w:rStyle w:val="Hyperlink"/>
                  <w:rFonts w:ascii="Arial" w:hAnsi="Arial"/>
                  <w:color w:val="auto"/>
                  <w:sz w:val="18"/>
                </w:rPr>
                <w:t>-3</w:t>
              </w:r>
            </w:hyperlink>
          </w:p>
        </w:tc>
        <w:tc>
          <w:tcPr>
            <w:tcW w:w="3004" w:type="dxa"/>
            <w:tcBorders>
              <w:top w:val="nil"/>
              <w:left w:val="nil"/>
              <w:bottom w:val="single" w:sz="4" w:space="0" w:color="auto"/>
              <w:right w:val="single" w:sz="4" w:space="0" w:color="auto"/>
            </w:tcBorders>
            <w:shd w:val="clear" w:color="auto" w:fill="D9D9D9" w:themeFill="background1" w:themeFillShade="D9"/>
            <w:noWrap/>
            <w:vAlign w:val="center"/>
            <w:hideMark/>
          </w:tcPr>
          <w:p w14:paraId="279868AA" w14:textId="7C46761B" w:rsidR="00476E70" w:rsidRPr="002904DA" w:rsidRDefault="00476E70" w:rsidP="00476E70">
            <w:pPr>
              <w:jc w:val="center"/>
              <w:rPr>
                <w:rFonts w:ascii="Arial" w:hAnsi="Arial"/>
                <w:sz w:val="18"/>
              </w:rPr>
            </w:pPr>
            <w:r w:rsidRPr="002904DA">
              <w:rPr>
                <w:rFonts w:ascii="Arial" w:hAnsi="Arial" w:cs="Arial"/>
                <w:sz w:val="18"/>
                <w:szCs w:val="18"/>
              </w:rPr>
              <w:t>Rubblization</w:t>
            </w:r>
            <w:r w:rsidRPr="002904DA">
              <w:rPr>
                <w:rFonts w:ascii="Arial" w:hAnsi="Arial"/>
                <w:sz w:val="18"/>
              </w:rPr>
              <w:t xml:space="preserve"> and </w:t>
            </w:r>
            <w:r w:rsidRPr="002904DA">
              <w:rPr>
                <w:rFonts w:ascii="Arial" w:hAnsi="Arial" w:cs="Arial"/>
              </w:rPr>
              <w:t>Asphalt OL</w:t>
            </w:r>
          </w:p>
        </w:tc>
        <w:tc>
          <w:tcPr>
            <w:tcW w:w="160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1CF4056C" w14:textId="77777777" w:rsidR="00476E70" w:rsidRPr="002904DA" w:rsidRDefault="00476E70" w:rsidP="00476E70">
            <w:pPr>
              <w:jc w:val="center"/>
              <w:rPr>
                <w:rFonts w:ascii="Arial" w:hAnsi="Arial"/>
                <w:sz w:val="18"/>
              </w:rPr>
            </w:pPr>
            <w:r w:rsidRPr="002904DA">
              <w:rPr>
                <w:rFonts w:ascii="Arial" w:hAnsi="Arial"/>
                <w:sz w:val="18"/>
              </w:rPr>
              <w:t>Needs Work</w:t>
            </w:r>
          </w:p>
        </w:tc>
        <w:tc>
          <w:tcPr>
            <w:tcW w:w="1517" w:type="dxa"/>
            <w:vMerge/>
            <w:tcBorders>
              <w:left w:val="single" w:sz="4" w:space="0" w:color="auto"/>
              <w:bottom w:val="single" w:sz="4" w:space="0" w:color="auto"/>
              <w:right w:val="single" w:sz="4" w:space="0" w:color="auto"/>
            </w:tcBorders>
            <w:shd w:val="clear" w:color="auto" w:fill="D9D9D9" w:themeFill="background1" w:themeFillShade="D9"/>
            <w:vAlign w:val="center"/>
            <w:hideMark/>
          </w:tcPr>
          <w:p w14:paraId="5880B488" w14:textId="77777777" w:rsidR="00476E70" w:rsidRPr="002904DA" w:rsidRDefault="00476E70" w:rsidP="00476E70">
            <w:pPr>
              <w:jc w:val="center"/>
              <w:rPr>
                <w:rFonts w:ascii="Arial" w:hAnsi="Arial"/>
                <w:sz w:val="18"/>
              </w:rPr>
            </w:pPr>
          </w:p>
        </w:tc>
      </w:tr>
      <w:tr w:rsidR="00476E70" w:rsidRPr="002904DA" w14:paraId="0EA0837E" w14:textId="77777777" w:rsidTr="0009226D">
        <w:trPr>
          <w:trHeight w:val="255"/>
        </w:trPr>
        <w:tc>
          <w:tcPr>
            <w:tcW w:w="1429" w:type="dxa"/>
            <w:vMerge w:val="restart"/>
            <w:tcBorders>
              <w:top w:val="single" w:sz="4" w:space="0" w:color="auto"/>
              <w:left w:val="single" w:sz="4" w:space="0" w:color="auto"/>
              <w:bottom w:val="nil"/>
              <w:right w:val="single" w:sz="4" w:space="0" w:color="auto"/>
            </w:tcBorders>
            <w:vAlign w:val="center"/>
            <w:hideMark/>
          </w:tcPr>
          <w:p w14:paraId="375F9192" w14:textId="362DF181" w:rsidR="00476E70" w:rsidRPr="002904DA" w:rsidRDefault="00476E70" w:rsidP="00476E70">
            <w:pPr>
              <w:jc w:val="center"/>
              <w:rPr>
                <w:rFonts w:ascii="Arial" w:hAnsi="Arial"/>
                <w:sz w:val="18"/>
              </w:rPr>
            </w:pPr>
            <w:r w:rsidRPr="002904DA">
              <w:rPr>
                <w:rFonts w:ascii="Arial" w:hAnsi="Arial" w:cs="Arial"/>
              </w:rPr>
              <w:t>I</w:t>
            </w:r>
            <w:r w:rsidRPr="002904DA">
              <w:rPr>
                <w:rFonts w:ascii="Arial" w:hAnsi="Arial"/>
                <w:sz w:val="18"/>
              </w:rPr>
              <w:t>. Reconstruction</w:t>
            </w:r>
          </w:p>
        </w:tc>
        <w:tc>
          <w:tcPr>
            <w:tcW w:w="1174" w:type="dxa"/>
            <w:tcBorders>
              <w:top w:val="nil"/>
              <w:left w:val="nil"/>
              <w:bottom w:val="single" w:sz="4" w:space="0" w:color="auto"/>
              <w:right w:val="single" w:sz="4" w:space="0" w:color="auto"/>
            </w:tcBorders>
            <w:vAlign w:val="center"/>
            <w:hideMark/>
          </w:tcPr>
          <w:p w14:paraId="68606062" w14:textId="1B96B9E8" w:rsidR="00476E70" w:rsidRPr="002904DA" w:rsidRDefault="00476E70" w:rsidP="00476E70">
            <w:pPr>
              <w:jc w:val="center"/>
              <w:rPr>
                <w:rFonts w:ascii="Arial" w:hAnsi="Arial"/>
                <w:sz w:val="18"/>
              </w:rPr>
            </w:pPr>
            <w:hyperlink w:anchor="_SUPPLEMENTAL_INFORMATION_FOR_23" w:history="1">
              <w:r w:rsidRPr="002904DA">
                <w:rPr>
                  <w:rStyle w:val="Hyperlink"/>
                  <w:rFonts w:ascii="Arial" w:hAnsi="Arial" w:cs="Arial"/>
                  <w:color w:val="auto"/>
                </w:rPr>
                <w:t>I</w:t>
              </w:r>
              <w:r w:rsidRPr="002904DA">
                <w:rPr>
                  <w:rStyle w:val="Hyperlink"/>
                  <w:rFonts w:ascii="Arial" w:hAnsi="Arial"/>
                  <w:color w:val="auto"/>
                  <w:sz w:val="18"/>
                </w:rPr>
                <w:t>-1</w:t>
              </w:r>
            </w:hyperlink>
          </w:p>
        </w:tc>
        <w:tc>
          <w:tcPr>
            <w:tcW w:w="3004" w:type="dxa"/>
            <w:tcBorders>
              <w:top w:val="nil"/>
              <w:left w:val="nil"/>
              <w:bottom w:val="single" w:sz="4" w:space="0" w:color="auto"/>
              <w:right w:val="single" w:sz="4" w:space="0" w:color="auto"/>
            </w:tcBorders>
            <w:noWrap/>
            <w:vAlign w:val="center"/>
            <w:hideMark/>
          </w:tcPr>
          <w:p w14:paraId="545E8157" w14:textId="77777777" w:rsidR="00476E70" w:rsidRPr="002904DA" w:rsidRDefault="00476E70" w:rsidP="00476E70">
            <w:pPr>
              <w:jc w:val="center"/>
              <w:rPr>
                <w:rFonts w:ascii="Arial" w:hAnsi="Arial"/>
                <w:sz w:val="18"/>
              </w:rPr>
            </w:pPr>
            <w:r w:rsidRPr="002904DA">
              <w:rPr>
                <w:rFonts w:ascii="Arial" w:hAnsi="Arial"/>
                <w:sz w:val="18"/>
              </w:rPr>
              <w:t>Reconstruction</w:t>
            </w:r>
          </w:p>
        </w:tc>
        <w:tc>
          <w:tcPr>
            <w:tcW w:w="1606" w:type="dxa"/>
            <w:tcBorders>
              <w:top w:val="single" w:sz="4" w:space="0" w:color="auto"/>
              <w:left w:val="nil"/>
              <w:bottom w:val="single" w:sz="4" w:space="0" w:color="auto"/>
              <w:right w:val="single" w:sz="4" w:space="0" w:color="auto"/>
            </w:tcBorders>
            <w:vAlign w:val="center"/>
          </w:tcPr>
          <w:p w14:paraId="4894DC78" w14:textId="457F15C5" w:rsidR="00476E70" w:rsidRPr="002904DA" w:rsidRDefault="00476E70" w:rsidP="00476E70">
            <w:pPr>
              <w:jc w:val="center"/>
              <w:rPr>
                <w:rFonts w:ascii="Arial" w:hAnsi="Arial"/>
                <w:sz w:val="18"/>
              </w:rPr>
            </w:pPr>
            <w:r w:rsidRPr="002904DA">
              <w:rPr>
                <w:rFonts w:ascii="Arial" w:hAnsi="Arial" w:cs="Arial"/>
              </w:rPr>
              <w:t>Internet</w:t>
            </w:r>
          </w:p>
        </w:tc>
        <w:tc>
          <w:tcPr>
            <w:tcW w:w="1517" w:type="dxa"/>
            <w:vMerge w:val="restart"/>
            <w:tcBorders>
              <w:top w:val="nil"/>
              <w:left w:val="single" w:sz="4" w:space="0" w:color="auto"/>
              <w:right w:val="single" w:sz="4" w:space="0" w:color="auto"/>
            </w:tcBorders>
            <w:vAlign w:val="center"/>
            <w:hideMark/>
          </w:tcPr>
          <w:p w14:paraId="11DAB6B9" w14:textId="77777777" w:rsidR="00476E70" w:rsidRPr="002904DA" w:rsidRDefault="00476E70" w:rsidP="00476E70">
            <w:pPr>
              <w:jc w:val="center"/>
              <w:rPr>
                <w:rFonts w:ascii="Arial" w:hAnsi="Arial"/>
                <w:sz w:val="18"/>
              </w:rPr>
            </w:pPr>
            <w:r w:rsidRPr="002904DA">
              <w:rPr>
                <w:rFonts w:ascii="Arial" w:hAnsi="Arial"/>
                <w:sz w:val="18"/>
              </w:rPr>
              <w:t>Single Advertised</w:t>
            </w:r>
          </w:p>
        </w:tc>
      </w:tr>
      <w:tr w:rsidR="00476E70" w:rsidRPr="002904DA" w14:paraId="6351B481" w14:textId="77777777" w:rsidTr="0009226D">
        <w:trPr>
          <w:trHeight w:val="255"/>
        </w:trPr>
        <w:tc>
          <w:tcPr>
            <w:tcW w:w="1429" w:type="dxa"/>
            <w:vMerge/>
            <w:tcBorders>
              <w:top w:val="nil"/>
              <w:left w:val="single" w:sz="4" w:space="0" w:color="auto"/>
              <w:bottom w:val="single" w:sz="4" w:space="0" w:color="auto"/>
              <w:right w:val="single" w:sz="4" w:space="0" w:color="auto"/>
            </w:tcBorders>
            <w:vAlign w:val="center"/>
            <w:hideMark/>
          </w:tcPr>
          <w:p w14:paraId="3EE139A9" w14:textId="77777777" w:rsidR="00476E70" w:rsidRPr="002904DA" w:rsidRDefault="00476E70" w:rsidP="00476E70">
            <w:pPr>
              <w:rPr>
                <w:rFonts w:ascii="Arial" w:hAnsi="Arial" w:cs="Arial"/>
              </w:rPr>
            </w:pPr>
          </w:p>
        </w:tc>
        <w:tc>
          <w:tcPr>
            <w:tcW w:w="1174" w:type="dxa"/>
            <w:tcBorders>
              <w:top w:val="nil"/>
              <w:left w:val="nil"/>
              <w:bottom w:val="single" w:sz="4" w:space="0" w:color="auto"/>
              <w:right w:val="single" w:sz="4" w:space="0" w:color="auto"/>
            </w:tcBorders>
            <w:vAlign w:val="center"/>
            <w:hideMark/>
          </w:tcPr>
          <w:p w14:paraId="616DEDC5" w14:textId="0066BD2C" w:rsidR="00476E70" w:rsidRPr="002904DA" w:rsidRDefault="00476E70" w:rsidP="00476E70">
            <w:pPr>
              <w:jc w:val="center"/>
              <w:rPr>
                <w:rFonts w:ascii="Arial" w:hAnsi="Arial"/>
                <w:sz w:val="18"/>
              </w:rPr>
            </w:pPr>
            <w:hyperlink w:anchor="_SUPPLEMENTAL_INFORMATION_FOR_23" w:history="1">
              <w:r w:rsidRPr="002904DA">
                <w:rPr>
                  <w:rStyle w:val="Hyperlink"/>
                  <w:rFonts w:ascii="Arial" w:hAnsi="Arial" w:cs="Arial"/>
                  <w:color w:val="auto"/>
                </w:rPr>
                <w:t>I</w:t>
              </w:r>
              <w:r w:rsidRPr="002904DA">
                <w:rPr>
                  <w:rStyle w:val="Hyperlink"/>
                  <w:rFonts w:ascii="Arial" w:hAnsi="Arial"/>
                  <w:color w:val="auto"/>
                  <w:sz w:val="18"/>
                </w:rPr>
                <w:t>-2</w:t>
              </w:r>
            </w:hyperlink>
          </w:p>
        </w:tc>
        <w:tc>
          <w:tcPr>
            <w:tcW w:w="3004" w:type="dxa"/>
            <w:tcBorders>
              <w:top w:val="nil"/>
              <w:left w:val="nil"/>
              <w:bottom w:val="single" w:sz="4" w:space="0" w:color="auto"/>
              <w:right w:val="single" w:sz="4" w:space="0" w:color="auto"/>
            </w:tcBorders>
            <w:noWrap/>
            <w:vAlign w:val="center"/>
            <w:hideMark/>
          </w:tcPr>
          <w:p w14:paraId="5147958D" w14:textId="77777777" w:rsidR="00476E70" w:rsidRPr="002904DA" w:rsidRDefault="00476E70" w:rsidP="00476E70">
            <w:pPr>
              <w:jc w:val="center"/>
              <w:rPr>
                <w:rFonts w:ascii="Arial" w:hAnsi="Arial"/>
                <w:sz w:val="18"/>
              </w:rPr>
            </w:pPr>
            <w:r w:rsidRPr="002904DA">
              <w:rPr>
                <w:rFonts w:ascii="Arial" w:hAnsi="Arial"/>
                <w:sz w:val="18"/>
              </w:rPr>
              <w:t>Full-Depth Reclamation (FDR)</w:t>
            </w:r>
          </w:p>
        </w:tc>
        <w:tc>
          <w:tcPr>
            <w:tcW w:w="1606" w:type="dxa"/>
            <w:tcBorders>
              <w:top w:val="single" w:sz="4" w:space="0" w:color="auto"/>
              <w:left w:val="nil"/>
              <w:bottom w:val="single" w:sz="4" w:space="0" w:color="auto"/>
              <w:right w:val="single" w:sz="4" w:space="0" w:color="auto"/>
            </w:tcBorders>
            <w:vAlign w:val="center"/>
          </w:tcPr>
          <w:p w14:paraId="42412D25" w14:textId="2DE97AC4" w:rsidR="00476E70" w:rsidRPr="002904DA" w:rsidRDefault="00476E70" w:rsidP="00476E70">
            <w:pPr>
              <w:jc w:val="center"/>
              <w:rPr>
                <w:rFonts w:ascii="Arial" w:hAnsi="Arial"/>
                <w:sz w:val="18"/>
              </w:rPr>
            </w:pPr>
            <w:r w:rsidRPr="002904DA">
              <w:rPr>
                <w:rFonts w:ascii="Arial" w:hAnsi="Arial"/>
                <w:sz w:val="18"/>
              </w:rPr>
              <w:t>Pilot Phase</w:t>
            </w:r>
          </w:p>
        </w:tc>
        <w:tc>
          <w:tcPr>
            <w:tcW w:w="1517" w:type="dxa"/>
            <w:vMerge/>
            <w:tcBorders>
              <w:left w:val="single" w:sz="4" w:space="0" w:color="auto"/>
              <w:bottom w:val="single" w:sz="4" w:space="0" w:color="auto"/>
              <w:right w:val="single" w:sz="4" w:space="0" w:color="auto"/>
            </w:tcBorders>
            <w:vAlign w:val="center"/>
            <w:hideMark/>
          </w:tcPr>
          <w:p w14:paraId="596DC5FF" w14:textId="77777777" w:rsidR="00476E70" w:rsidRPr="002904DA" w:rsidRDefault="00476E70" w:rsidP="00476E70">
            <w:pPr>
              <w:jc w:val="center"/>
              <w:rPr>
                <w:rFonts w:ascii="Arial" w:hAnsi="Arial" w:cs="Arial"/>
              </w:rPr>
            </w:pPr>
          </w:p>
        </w:tc>
      </w:tr>
    </w:tbl>
    <w:p w14:paraId="5086B625" w14:textId="77777777" w:rsidR="00735AF3" w:rsidRPr="009852F8" w:rsidRDefault="00067070" w:rsidP="009852F8">
      <w:pPr>
        <w:pStyle w:val="BodyText"/>
        <w:ind w:left="270"/>
        <w:rPr>
          <w:sz w:val="18"/>
        </w:rPr>
        <w:sectPr w:rsidR="00735AF3" w:rsidRPr="009852F8" w:rsidSect="000122F4">
          <w:headerReference w:type="default" r:id="rId60"/>
          <w:footerReference w:type="default" r:id="rId61"/>
          <w:pgSz w:w="12240" w:h="15840" w:code="1"/>
          <w:pgMar w:top="1440" w:right="1800" w:bottom="1440" w:left="1800" w:header="720" w:footer="720" w:gutter="0"/>
          <w:pgNumType w:chapStyle="1"/>
          <w:cols w:space="720"/>
          <w:docGrid w:linePitch="360"/>
        </w:sectPr>
      </w:pPr>
      <w:r w:rsidRPr="009852F8">
        <w:rPr>
          <w:sz w:val="18"/>
        </w:rPr>
        <w:t>Note: See</w:t>
      </w:r>
      <w:r w:rsidR="000D468F" w:rsidRPr="009852F8">
        <w:rPr>
          <w:sz w:val="18"/>
        </w:rPr>
        <w:t xml:space="preserve"> the </w:t>
      </w:r>
      <w:hyperlink w:anchor="_Glossary_1" w:history="1">
        <w:r w:rsidR="000D468F" w:rsidRPr="009852F8">
          <w:rPr>
            <w:rStyle w:val="Hyperlink"/>
            <w:sz w:val="18"/>
          </w:rPr>
          <w:t>Glossary</w:t>
        </w:r>
      </w:hyperlink>
      <w:r w:rsidR="000D468F" w:rsidRPr="009852F8">
        <w:rPr>
          <w:sz w:val="18"/>
        </w:rPr>
        <w:t xml:space="preserve"> </w:t>
      </w:r>
      <w:r w:rsidRPr="009852F8">
        <w:rPr>
          <w:sz w:val="18"/>
        </w:rPr>
        <w:t>for definitions.</w:t>
      </w:r>
    </w:p>
    <w:p w14:paraId="2232467D" w14:textId="4552A517" w:rsidR="0029316F" w:rsidRDefault="0029316F" w:rsidP="00AC736F">
      <w:pPr>
        <w:pStyle w:val="Heading4"/>
      </w:pPr>
      <w:r>
        <w:lastRenderedPageBreak/>
        <w:t>ADA Triggers</w:t>
      </w:r>
    </w:p>
    <w:p w14:paraId="7DC6E905" w14:textId="77777777" w:rsidR="0029316F" w:rsidRDefault="0029316F" w:rsidP="0029316F"/>
    <w:tbl>
      <w:tblPr>
        <w:tblW w:w="8375" w:type="dxa"/>
        <w:tblInd w:w="103" w:type="dxa"/>
        <w:tblLayout w:type="fixed"/>
        <w:tblLook w:val="04A0" w:firstRow="1" w:lastRow="0" w:firstColumn="1" w:lastColumn="0" w:noHBand="0" w:noVBand="1"/>
      </w:tblPr>
      <w:tblGrid>
        <w:gridCol w:w="2255"/>
        <w:gridCol w:w="4320"/>
        <w:gridCol w:w="1800"/>
      </w:tblGrid>
      <w:tr w:rsidR="0029316F" w:rsidRPr="002B35A7" w14:paraId="5A3642F3"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shd w:val="pct15" w:color="auto" w:fill="auto"/>
            <w:vAlign w:val="center"/>
            <w:hideMark/>
          </w:tcPr>
          <w:p w14:paraId="52E66D2F" w14:textId="77777777" w:rsidR="0029316F" w:rsidRPr="002B35A7" w:rsidRDefault="0029316F" w:rsidP="00182974">
            <w:pPr>
              <w:jc w:val="center"/>
              <w:rPr>
                <w:rFonts w:ascii="Arial" w:hAnsi="Arial" w:cs="Arial"/>
                <w:b/>
                <w:bCs/>
                <w:color w:val="000000"/>
              </w:rPr>
            </w:pPr>
            <w:r w:rsidRPr="002B35A7">
              <w:rPr>
                <w:rFonts w:ascii="Arial" w:hAnsi="Arial" w:cs="Arial"/>
                <w:b/>
                <w:bCs/>
                <w:color w:val="000000"/>
              </w:rPr>
              <w:t>Treatment Number</w:t>
            </w:r>
          </w:p>
        </w:tc>
        <w:tc>
          <w:tcPr>
            <w:tcW w:w="4320" w:type="dxa"/>
            <w:tcBorders>
              <w:top w:val="single" w:sz="4" w:space="0" w:color="auto"/>
              <w:left w:val="nil"/>
              <w:bottom w:val="single" w:sz="4" w:space="0" w:color="auto"/>
              <w:right w:val="single" w:sz="4" w:space="0" w:color="auto"/>
            </w:tcBorders>
            <w:shd w:val="pct15" w:color="auto" w:fill="auto"/>
            <w:noWrap/>
            <w:vAlign w:val="center"/>
            <w:hideMark/>
          </w:tcPr>
          <w:p w14:paraId="6CF79464" w14:textId="77777777" w:rsidR="0029316F" w:rsidRPr="002B35A7" w:rsidRDefault="0029316F" w:rsidP="00182974">
            <w:pPr>
              <w:jc w:val="center"/>
              <w:rPr>
                <w:rFonts w:ascii="Arial" w:hAnsi="Arial" w:cs="Arial"/>
                <w:b/>
                <w:bCs/>
                <w:color w:val="000000"/>
              </w:rPr>
            </w:pPr>
            <w:r w:rsidRPr="002B35A7">
              <w:rPr>
                <w:rFonts w:ascii="Arial" w:hAnsi="Arial" w:cs="Arial"/>
                <w:b/>
                <w:bCs/>
                <w:color w:val="000000"/>
              </w:rPr>
              <w:t>Treatment</w:t>
            </w:r>
          </w:p>
        </w:tc>
        <w:tc>
          <w:tcPr>
            <w:tcW w:w="1800" w:type="dxa"/>
            <w:tcBorders>
              <w:top w:val="single" w:sz="4" w:space="0" w:color="auto"/>
              <w:left w:val="nil"/>
              <w:bottom w:val="single" w:sz="4" w:space="0" w:color="auto"/>
              <w:right w:val="single" w:sz="4" w:space="0" w:color="auto"/>
            </w:tcBorders>
            <w:shd w:val="pct15" w:color="auto" w:fill="auto"/>
            <w:vAlign w:val="center"/>
          </w:tcPr>
          <w:p w14:paraId="7104A4E1" w14:textId="77777777" w:rsidR="0029316F" w:rsidRPr="002B35A7" w:rsidRDefault="0029316F" w:rsidP="00182974">
            <w:pPr>
              <w:jc w:val="center"/>
              <w:rPr>
                <w:rFonts w:ascii="Arial" w:hAnsi="Arial" w:cs="Arial"/>
                <w:b/>
                <w:bCs/>
                <w:color w:val="000000"/>
              </w:rPr>
            </w:pPr>
            <w:r>
              <w:rPr>
                <w:rFonts w:ascii="Arial" w:hAnsi="Arial" w:cs="Arial"/>
                <w:b/>
                <w:bCs/>
                <w:color w:val="000000"/>
              </w:rPr>
              <w:t>ADA Trigger*</w:t>
            </w:r>
          </w:p>
        </w:tc>
      </w:tr>
      <w:tr w:rsidR="0029316F" w:rsidRPr="002B35A7" w14:paraId="15C36132"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6EB33DD0" w14:textId="38A010EB" w:rsidR="0029316F" w:rsidRPr="002B35A7" w:rsidRDefault="0029316F" w:rsidP="00182974">
            <w:pPr>
              <w:jc w:val="center"/>
              <w:rPr>
                <w:rFonts w:ascii="Arial" w:hAnsi="Arial" w:cs="Arial"/>
                <w:color w:val="000000"/>
              </w:rPr>
            </w:pPr>
            <w:r w:rsidRPr="002B35A7">
              <w:rPr>
                <w:rFonts w:ascii="Arial" w:hAnsi="Arial" w:cs="Arial"/>
                <w:color w:val="000000"/>
              </w:rPr>
              <w:t>A</w:t>
            </w:r>
          </w:p>
        </w:tc>
        <w:tc>
          <w:tcPr>
            <w:tcW w:w="4320" w:type="dxa"/>
            <w:tcBorders>
              <w:top w:val="nil"/>
              <w:left w:val="nil"/>
              <w:bottom w:val="single" w:sz="4" w:space="0" w:color="auto"/>
              <w:right w:val="single" w:sz="4" w:space="0" w:color="auto"/>
            </w:tcBorders>
            <w:noWrap/>
            <w:vAlign w:val="center"/>
            <w:hideMark/>
          </w:tcPr>
          <w:p w14:paraId="6D575716" w14:textId="2E79B2B5" w:rsidR="0029316F" w:rsidRPr="002B35A7" w:rsidRDefault="0029316F" w:rsidP="00182974">
            <w:pPr>
              <w:jc w:val="center"/>
              <w:rPr>
                <w:rFonts w:ascii="Arial" w:hAnsi="Arial" w:cs="Arial"/>
                <w:color w:val="000000"/>
              </w:rPr>
            </w:pPr>
            <w:r w:rsidRPr="002B35A7">
              <w:rPr>
                <w:rFonts w:ascii="Arial" w:hAnsi="Arial" w:cs="Arial"/>
                <w:color w:val="000000"/>
              </w:rPr>
              <w:t xml:space="preserve">Crack </w:t>
            </w:r>
            <w:r w:rsidR="00584D9E">
              <w:rPr>
                <w:rFonts w:ascii="Arial" w:hAnsi="Arial" w:cs="Arial"/>
                <w:color w:val="000000"/>
              </w:rPr>
              <w:t>and Joint</w:t>
            </w:r>
            <w:r w:rsidRPr="002B35A7">
              <w:rPr>
                <w:rFonts w:ascii="Arial" w:hAnsi="Arial" w:cs="Arial"/>
                <w:color w:val="000000"/>
              </w:rPr>
              <w:t xml:space="preserve"> Fill</w:t>
            </w:r>
            <w:r>
              <w:rPr>
                <w:rFonts w:ascii="Arial" w:hAnsi="Arial" w:cs="Arial"/>
                <w:color w:val="000000"/>
              </w:rPr>
              <w:t xml:space="preserve"> &amp; Seal </w:t>
            </w:r>
          </w:p>
        </w:tc>
        <w:tc>
          <w:tcPr>
            <w:tcW w:w="1800" w:type="dxa"/>
            <w:tcBorders>
              <w:top w:val="single" w:sz="4" w:space="0" w:color="auto"/>
              <w:left w:val="nil"/>
              <w:bottom w:val="single" w:sz="4" w:space="0" w:color="auto"/>
              <w:right w:val="single" w:sz="4" w:space="0" w:color="auto"/>
            </w:tcBorders>
            <w:vAlign w:val="center"/>
          </w:tcPr>
          <w:p w14:paraId="4AB4D104"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57AEB66A"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4EE3D8A2" w14:textId="4A19866E" w:rsidR="0029316F" w:rsidRPr="002B35A7" w:rsidRDefault="0029316F" w:rsidP="00182974">
            <w:pPr>
              <w:jc w:val="center"/>
              <w:rPr>
                <w:rFonts w:ascii="Arial" w:hAnsi="Arial" w:cs="Arial"/>
                <w:color w:val="000000"/>
              </w:rPr>
            </w:pPr>
            <w:r w:rsidRPr="002B35A7">
              <w:rPr>
                <w:rFonts w:ascii="Arial" w:hAnsi="Arial" w:cs="Arial"/>
                <w:color w:val="000000"/>
              </w:rPr>
              <w:t>B</w:t>
            </w:r>
          </w:p>
        </w:tc>
        <w:tc>
          <w:tcPr>
            <w:tcW w:w="4320" w:type="dxa"/>
            <w:tcBorders>
              <w:top w:val="nil"/>
              <w:left w:val="nil"/>
              <w:bottom w:val="single" w:sz="4" w:space="0" w:color="auto"/>
              <w:right w:val="single" w:sz="4" w:space="0" w:color="auto"/>
            </w:tcBorders>
            <w:shd w:val="clear" w:color="000000" w:fill="D8D8D8"/>
            <w:noWrap/>
            <w:vAlign w:val="center"/>
            <w:hideMark/>
          </w:tcPr>
          <w:p w14:paraId="15FAA296" w14:textId="4E8C621B" w:rsidR="0029316F" w:rsidRPr="002B35A7" w:rsidRDefault="00584D9E" w:rsidP="00182974">
            <w:pPr>
              <w:jc w:val="center"/>
              <w:rPr>
                <w:rFonts w:ascii="Arial" w:hAnsi="Arial" w:cs="Arial"/>
                <w:color w:val="000000"/>
              </w:rPr>
            </w:pPr>
            <w:r>
              <w:rPr>
                <w:rFonts w:ascii="Arial" w:hAnsi="Arial" w:cs="Arial"/>
                <w:color w:val="000000"/>
              </w:rPr>
              <w:t xml:space="preserve"> &amp; </w:t>
            </w:r>
            <w:r w:rsidR="0029316F" w:rsidRPr="002B35A7">
              <w:rPr>
                <w:rFonts w:ascii="Arial" w:hAnsi="Arial" w:cs="Arial"/>
                <w:color w:val="000000"/>
              </w:rPr>
              <w:t>Rejuvenators</w:t>
            </w:r>
          </w:p>
        </w:tc>
        <w:tc>
          <w:tcPr>
            <w:tcW w:w="1800" w:type="dxa"/>
            <w:tcBorders>
              <w:top w:val="single" w:sz="4" w:space="0" w:color="auto"/>
              <w:left w:val="nil"/>
              <w:bottom w:val="single" w:sz="4" w:space="0" w:color="auto"/>
              <w:right w:val="single" w:sz="4" w:space="0" w:color="auto"/>
            </w:tcBorders>
            <w:shd w:val="clear" w:color="000000" w:fill="D8D8D8"/>
            <w:vAlign w:val="center"/>
          </w:tcPr>
          <w:p w14:paraId="4B3BFEE7"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4403D5EB"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6498D9D2" w14:textId="77777777" w:rsidR="0029316F" w:rsidRPr="002B35A7" w:rsidRDefault="0029316F" w:rsidP="00182974">
            <w:pPr>
              <w:jc w:val="center"/>
              <w:rPr>
                <w:rFonts w:ascii="Arial" w:hAnsi="Arial" w:cs="Arial"/>
                <w:color w:val="000000"/>
              </w:rPr>
            </w:pPr>
            <w:r w:rsidRPr="002B35A7">
              <w:rPr>
                <w:rFonts w:ascii="Arial" w:hAnsi="Arial" w:cs="Arial"/>
                <w:color w:val="000000"/>
              </w:rPr>
              <w:t>C-1</w:t>
            </w:r>
          </w:p>
        </w:tc>
        <w:tc>
          <w:tcPr>
            <w:tcW w:w="4320" w:type="dxa"/>
            <w:tcBorders>
              <w:top w:val="nil"/>
              <w:left w:val="nil"/>
              <w:bottom w:val="single" w:sz="4" w:space="0" w:color="auto"/>
              <w:right w:val="single" w:sz="4" w:space="0" w:color="auto"/>
            </w:tcBorders>
            <w:noWrap/>
            <w:vAlign w:val="center"/>
            <w:hideMark/>
          </w:tcPr>
          <w:p w14:paraId="56E93AE8" w14:textId="77777777" w:rsidR="0029316F" w:rsidRPr="002B35A7" w:rsidRDefault="0029316F" w:rsidP="00182974">
            <w:pPr>
              <w:jc w:val="center"/>
              <w:rPr>
                <w:rFonts w:ascii="Arial" w:hAnsi="Arial" w:cs="Arial"/>
                <w:color w:val="000000"/>
              </w:rPr>
            </w:pPr>
            <w:r w:rsidRPr="002B35A7">
              <w:rPr>
                <w:rFonts w:ascii="Arial" w:hAnsi="Arial" w:cs="Arial"/>
                <w:color w:val="000000"/>
              </w:rPr>
              <w:t>Cape Seal</w:t>
            </w:r>
          </w:p>
        </w:tc>
        <w:tc>
          <w:tcPr>
            <w:tcW w:w="1800" w:type="dxa"/>
            <w:tcBorders>
              <w:top w:val="single" w:sz="4" w:space="0" w:color="auto"/>
              <w:left w:val="nil"/>
              <w:bottom w:val="single" w:sz="4" w:space="0" w:color="auto"/>
              <w:right w:val="single" w:sz="4" w:space="0" w:color="auto"/>
            </w:tcBorders>
            <w:vAlign w:val="center"/>
          </w:tcPr>
          <w:p w14:paraId="4C85CC85" w14:textId="77777777" w:rsidR="0029316F" w:rsidRPr="002B35A7" w:rsidRDefault="0029316F" w:rsidP="00182974">
            <w:pPr>
              <w:jc w:val="center"/>
              <w:rPr>
                <w:rFonts w:ascii="Arial" w:hAnsi="Arial" w:cs="Arial"/>
                <w:color w:val="000000"/>
              </w:rPr>
            </w:pPr>
            <w:r>
              <w:rPr>
                <w:rFonts w:ascii="Arial" w:hAnsi="Arial" w:cs="Arial"/>
                <w:color w:val="000000"/>
              </w:rPr>
              <w:t>Yes</w:t>
            </w:r>
          </w:p>
        </w:tc>
      </w:tr>
      <w:tr w:rsidR="0029316F" w:rsidRPr="002B35A7" w14:paraId="25EDD33F"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62327CC6" w14:textId="77777777" w:rsidR="0029316F" w:rsidRPr="002B35A7" w:rsidRDefault="0029316F" w:rsidP="00182974">
            <w:pPr>
              <w:jc w:val="center"/>
              <w:rPr>
                <w:rFonts w:ascii="Arial" w:hAnsi="Arial" w:cs="Arial"/>
                <w:color w:val="000000"/>
              </w:rPr>
            </w:pPr>
            <w:r w:rsidRPr="002B35A7">
              <w:rPr>
                <w:rFonts w:ascii="Arial" w:hAnsi="Arial" w:cs="Arial"/>
                <w:color w:val="000000"/>
              </w:rPr>
              <w:t>C-2</w:t>
            </w:r>
          </w:p>
        </w:tc>
        <w:tc>
          <w:tcPr>
            <w:tcW w:w="4320" w:type="dxa"/>
            <w:tcBorders>
              <w:top w:val="nil"/>
              <w:left w:val="nil"/>
              <w:bottom w:val="single" w:sz="4" w:space="0" w:color="auto"/>
              <w:right w:val="single" w:sz="4" w:space="0" w:color="auto"/>
            </w:tcBorders>
            <w:noWrap/>
            <w:vAlign w:val="center"/>
            <w:hideMark/>
          </w:tcPr>
          <w:p w14:paraId="45E9A10E" w14:textId="77777777" w:rsidR="0029316F" w:rsidRPr="002B35A7" w:rsidRDefault="0029316F" w:rsidP="00182974">
            <w:pPr>
              <w:jc w:val="center"/>
              <w:rPr>
                <w:rFonts w:ascii="Arial" w:hAnsi="Arial" w:cs="Arial"/>
                <w:color w:val="000000"/>
              </w:rPr>
            </w:pPr>
            <w:r w:rsidRPr="002B35A7">
              <w:rPr>
                <w:rFonts w:ascii="Arial" w:hAnsi="Arial" w:cs="Arial"/>
                <w:color w:val="000000"/>
              </w:rPr>
              <w:t>Chip Seal (Modified)</w:t>
            </w:r>
          </w:p>
        </w:tc>
        <w:tc>
          <w:tcPr>
            <w:tcW w:w="1800" w:type="dxa"/>
            <w:tcBorders>
              <w:top w:val="single" w:sz="4" w:space="0" w:color="auto"/>
              <w:left w:val="nil"/>
              <w:bottom w:val="single" w:sz="4" w:space="0" w:color="auto"/>
              <w:right w:val="single" w:sz="4" w:space="0" w:color="auto"/>
            </w:tcBorders>
            <w:vAlign w:val="center"/>
          </w:tcPr>
          <w:p w14:paraId="2ED469DB"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11F473FF"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2FCDE5D0" w14:textId="77777777" w:rsidR="0029316F" w:rsidRPr="002B35A7" w:rsidRDefault="0029316F" w:rsidP="00182974">
            <w:pPr>
              <w:jc w:val="center"/>
              <w:rPr>
                <w:rFonts w:ascii="Arial" w:hAnsi="Arial" w:cs="Arial"/>
                <w:color w:val="000000"/>
              </w:rPr>
            </w:pPr>
            <w:r w:rsidRPr="002B35A7">
              <w:rPr>
                <w:rFonts w:ascii="Arial" w:hAnsi="Arial" w:cs="Arial"/>
                <w:color w:val="000000"/>
              </w:rPr>
              <w:t>C-3</w:t>
            </w:r>
          </w:p>
        </w:tc>
        <w:tc>
          <w:tcPr>
            <w:tcW w:w="4320" w:type="dxa"/>
            <w:tcBorders>
              <w:top w:val="nil"/>
              <w:left w:val="nil"/>
              <w:bottom w:val="single" w:sz="4" w:space="0" w:color="auto"/>
              <w:right w:val="single" w:sz="4" w:space="0" w:color="auto"/>
            </w:tcBorders>
            <w:noWrap/>
            <w:vAlign w:val="center"/>
            <w:hideMark/>
          </w:tcPr>
          <w:p w14:paraId="08F632CF" w14:textId="7A9C808B" w:rsidR="0029316F" w:rsidRPr="002B35A7" w:rsidRDefault="0029316F" w:rsidP="00182974">
            <w:pPr>
              <w:jc w:val="center"/>
              <w:rPr>
                <w:rFonts w:ascii="Arial" w:hAnsi="Arial" w:cs="Arial"/>
                <w:color w:val="000000"/>
              </w:rPr>
            </w:pPr>
            <w:r w:rsidRPr="002B35A7">
              <w:rPr>
                <w:rFonts w:ascii="Arial" w:hAnsi="Arial" w:cs="Arial"/>
                <w:color w:val="000000"/>
              </w:rPr>
              <w:t>Micro</w:t>
            </w:r>
            <w:r>
              <w:rPr>
                <w:rFonts w:ascii="Arial" w:hAnsi="Arial" w:cs="Arial"/>
                <w:color w:val="000000"/>
              </w:rPr>
              <w:t>-</w:t>
            </w:r>
            <w:r w:rsidRPr="002B35A7">
              <w:rPr>
                <w:rFonts w:ascii="Arial" w:hAnsi="Arial" w:cs="Arial"/>
                <w:color w:val="000000"/>
              </w:rPr>
              <w:t>surfacing</w:t>
            </w:r>
          </w:p>
        </w:tc>
        <w:tc>
          <w:tcPr>
            <w:tcW w:w="1800" w:type="dxa"/>
            <w:tcBorders>
              <w:top w:val="single" w:sz="4" w:space="0" w:color="auto"/>
              <w:left w:val="nil"/>
              <w:bottom w:val="single" w:sz="4" w:space="0" w:color="auto"/>
              <w:right w:val="single" w:sz="4" w:space="0" w:color="auto"/>
            </w:tcBorders>
            <w:vAlign w:val="center"/>
          </w:tcPr>
          <w:p w14:paraId="6807E54C" w14:textId="4B194B0C" w:rsidR="0029316F" w:rsidRPr="002B35A7" w:rsidRDefault="00584D9E" w:rsidP="00182974">
            <w:pPr>
              <w:jc w:val="center"/>
              <w:rPr>
                <w:rFonts w:ascii="Arial" w:hAnsi="Arial" w:cs="Arial"/>
                <w:color w:val="000000"/>
              </w:rPr>
            </w:pPr>
            <w:r>
              <w:rPr>
                <w:rFonts w:ascii="Arial" w:hAnsi="Arial" w:cs="Arial"/>
                <w:color w:val="000000"/>
              </w:rPr>
              <w:t>Yes</w:t>
            </w:r>
          </w:p>
        </w:tc>
      </w:tr>
      <w:tr w:rsidR="0029316F" w:rsidRPr="002B35A7" w14:paraId="5BB1010A"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6A12B9E0" w14:textId="77777777" w:rsidR="0029316F" w:rsidRPr="002B35A7" w:rsidRDefault="0029316F" w:rsidP="00182974">
            <w:pPr>
              <w:jc w:val="center"/>
              <w:rPr>
                <w:rFonts w:ascii="Arial" w:hAnsi="Arial" w:cs="Arial"/>
                <w:color w:val="000000"/>
              </w:rPr>
            </w:pPr>
            <w:r w:rsidRPr="002B35A7">
              <w:rPr>
                <w:rFonts w:ascii="Arial" w:hAnsi="Arial" w:cs="Arial"/>
                <w:color w:val="000000"/>
              </w:rPr>
              <w:t>C-4</w:t>
            </w:r>
          </w:p>
        </w:tc>
        <w:tc>
          <w:tcPr>
            <w:tcW w:w="4320" w:type="dxa"/>
            <w:tcBorders>
              <w:top w:val="nil"/>
              <w:left w:val="nil"/>
              <w:bottom w:val="single" w:sz="4" w:space="0" w:color="auto"/>
              <w:right w:val="single" w:sz="4" w:space="0" w:color="auto"/>
            </w:tcBorders>
            <w:noWrap/>
            <w:vAlign w:val="center"/>
            <w:hideMark/>
          </w:tcPr>
          <w:p w14:paraId="6B71C813" w14:textId="77777777" w:rsidR="0029316F" w:rsidRPr="002B35A7" w:rsidRDefault="0029316F" w:rsidP="00182974">
            <w:pPr>
              <w:jc w:val="center"/>
              <w:rPr>
                <w:rFonts w:ascii="Arial" w:hAnsi="Arial" w:cs="Arial"/>
                <w:color w:val="000000"/>
              </w:rPr>
            </w:pPr>
            <w:r w:rsidRPr="002B35A7">
              <w:rPr>
                <w:rFonts w:ascii="Arial" w:hAnsi="Arial" w:cs="Arial"/>
                <w:color w:val="000000"/>
              </w:rPr>
              <w:t>Sand Seal</w:t>
            </w:r>
          </w:p>
        </w:tc>
        <w:tc>
          <w:tcPr>
            <w:tcW w:w="1800" w:type="dxa"/>
            <w:tcBorders>
              <w:top w:val="single" w:sz="4" w:space="0" w:color="auto"/>
              <w:left w:val="nil"/>
              <w:bottom w:val="single" w:sz="4" w:space="0" w:color="auto"/>
              <w:right w:val="single" w:sz="4" w:space="0" w:color="auto"/>
            </w:tcBorders>
            <w:vAlign w:val="center"/>
          </w:tcPr>
          <w:p w14:paraId="07156ADB"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610C5E86"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3081C04A" w14:textId="77777777" w:rsidR="0029316F" w:rsidRPr="002B35A7" w:rsidRDefault="0029316F" w:rsidP="00182974">
            <w:pPr>
              <w:jc w:val="center"/>
              <w:rPr>
                <w:rFonts w:ascii="Arial" w:hAnsi="Arial" w:cs="Arial"/>
                <w:color w:val="000000"/>
              </w:rPr>
            </w:pPr>
            <w:r w:rsidRPr="002B35A7">
              <w:rPr>
                <w:rFonts w:ascii="Arial" w:hAnsi="Arial" w:cs="Arial"/>
                <w:color w:val="000000"/>
              </w:rPr>
              <w:t>C-5</w:t>
            </w:r>
          </w:p>
        </w:tc>
        <w:tc>
          <w:tcPr>
            <w:tcW w:w="4320" w:type="dxa"/>
            <w:tcBorders>
              <w:top w:val="nil"/>
              <w:left w:val="nil"/>
              <w:bottom w:val="single" w:sz="4" w:space="0" w:color="auto"/>
              <w:right w:val="single" w:sz="4" w:space="0" w:color="auto"/>
            </w:tcBorders>
            <w:noWrap/>
            <w:vAlign w:val="center"/>
            <w:hideMark/>
          </w:tcPr>
          <w:p w14:paraId="7CBAA0AF" w14:textId="77777777" w:rsidR="0029316F" w:rsidRPr="00E16F07" w:rsidRDefault="0029316F" w:rsidP="00182974">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Sandwich Seal</w:t>
            </w:r>
          </w:p>
        </w:tc>
        <w:tc>
          <w:tcPr>
            <w:tcW w:w="1800" w:type="dxa"/>
            <w:tcBorders>
              <w:top w:val="single" w:sz="4" w:space="0" w:color="auto"/>
              <w:left w:val="nil"/>
              <w:bottom w:val="single" w:sz="4" w:space="0" w:color="auto"/>
              <w:right w:val="single" w:sz="4" w:space="0" w:color="auto"/>
            </w:tcBorders>
            <w:vAlign w:val="center"/>
          </w:tcPr>
          <w:p w14:paraId="1EB3568F"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6268F942"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32932BD3" w14:textId="77777777" w:rsidR="0029316F" w:rsidRPr="002B35A7" w:rsidRDefault="0029316F" w:rsidP="00182974">
            <w:pPr>
              <w:jc w:val="center"/>
              <w:rPr>
                <w:rFonts w:ascii="Arial" w:hAnsi="Arial" w:cs="Arial"/>
                <w:color w:val="000000"/>
              </w:rPr>
            </w:pPr>
            <w:r w:rsidRPr="002B35A7">
              <w:rPr>
                <w:rFonts w:ascii="Arial" w:hAnsi="Arial" w:cs="Arial"/>
                <w:color w:val="000000"/>
              </w:rPr>
              <w:t>C-6</w:t>
            </w:r>
          </w:p>
        </w:tc>
        <w:tc>
          <w:tcPr>
            <w:tcW w:w="4320" w:type="dxa"/>
            <w:tcBorders>
              <w:top w:val="nil"/>
              <w:left w:val="nil"/>
              <w:bottom w:val="single" w:sz="4" w:space="0" w:color="auto"/>
              <w:right w:val="single" w:sz="4" w:space="0" w:color="auto"/>
            </w:tcBorders>
            <w:noWrap/>
            <w:vAlign w:val="center"/>
            <w:hideMark/>
          </w:tcPr>
          <w:p w14:paraId="5304FBC4" w14:textId="77777777" w:rsidR="0029316F" w:rsidRPr="00B13F44" w:rsidRDefault="0029316F" w:rsidP="00182974">
            <w:pPr>
              <w:jc w:val="center"/>
              <w:rPr>
                <w:rStyle w:val="Hyperlink"/>
                <w:rFonts w:ascii="Arial" w:hAnsi="Arial" w:cs="Arial"/>
                <w:color w:val="BFBFBF" w:themeColor="background1" w:themeShade="BF"/>
                <w:sz w:val="18"/>
                <w:szCs w:val="18"/>
                <w:u w:val="none"/>
              </w:rPr>
            </w:pPr>
            <w:r w:rsidRPr="000D75AB">
              <w:rPr>
                <w:rStyle w:val="Hyperlink"/>
                <w:rFonts w:ascii="Arial" w:hAnsi="Arial" w:cs="Arial"/>
                <w:color w:val="auto"/>
                <w:sz w:val="18"/>
                <w:szCs w:val="18"/>
                <w:u w:val="none"/>
              </w:rPr>
              <w:t>Scrub Seal</w:t>
            </w:r>
          </w:p>
        </w:tc>
        <w:tc>
          <w:tcPr>
            <w:tcW w:w="1800" w:type="dxa"/>
            <w:tcBorders>
              <w:top w:val="single" w:sz="4" w:space="0" w:color="auto"/>
              <w:left w:val="nil"/>
              <w:bottom w:val="single" w:sz="4" w:space="0" w:color="auto"/>
              <w:right w:val="single" w:sz="4" w:space="0" w:color="auto"/>
            </w:tcBorders>
            <w:vAlign w:val="center"/>
          </w:tcPr>
          <w:p w14:paraId="013B7E4D"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0AFC036B"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702F3609" w14:textId="77777777" w:rsidR="0029316F" w:rsidRPr="002B35A7" w:rsidRDefault="0029316F" w:rsidP="00182974">
            <w:pPr>
              <w:jc w:val="center"/>
              <w:rPr>
                <w:rFonts w:ascii="Arial" w:hAnsi="Arial" w:cs="Arial"/>
                <w:color w:val="000000"/>
              </w:rPr>
            </w:pPr>
            <w:r w:rsidRPr="002B35A7">
              <w:rPr>
                <w:rFonts w:ascii="Arial" w:hAnsi="Arial" w:cs="Arial"/>
                <w:color w:val="000000"/>
              </w:rPr>
              <w:t>C-7</w:t>
            </w:r>
          </w:p>
        </w:tc>
        <w:tc>
          <w:tcPr>
            <w:tcW w:w="4320" w:type="dxa"/>
            <w:tcBorders>
              <w:top w:val="nil"/>
              <w:left w:val="nil"/>
              <w:bottom w:val="single" w:sz="4" w:space="0" w:color="auto"/>
              <w:right w:val="single" w:sz="4" w:space="0" w:color="auto"/>
            </w:tcBorders>
            <w:noWrap/>
            <w:vAlign w:val="center"/>
            <w:hideMark/>
          </w:tcPr>
          <w:p w14:paraId="5E38F380" w14:textId="77777777" w:rsidR="0029316F" w:rsidRPr="00E16F07" w:rsidRDefault="0029316F" w:rsidP="00182974">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Slurry Seal</w:t>
            </w:r>
          </w:p>
        </w:tc>
        <w:tc>
          <w:tcPr>
            <w:tcW w:w="1800" w:type="dxa"/>
            <w:tcBorders>
              <w:top w:val="single" w:sz="4" w:space="0" w:color="auto"/>
              <w:left w:val="nil"/>
              <w:bottom w:val="single" w:sz="4" w:space="0" w:color="auto"/>
              <w:right w:val="single" w:sz="4" w:space="0" w:color="auto"/>
            </w:tcBorders>
            <w:vAlign w:val="center"/>
          </w:tcPr>
          <w:p w14:paraId="49E255A2"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3BD34C31"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011BD201" w14:textId="77777777" w:rsidR="0029316F" w:rsidRPr="002B35A7" w:rsidRDefault="0029316F" w:rsidP="00182974">
            <w:pPr>
              <w:jc w:val="center"/>
              <w:rPr>
                <w:rFonts w:ascii="Arial" w:hAnsi="Arial" w:cs="Arial"/>
                <w:color w:val="000000"/>
              </w:rPr>
            </w:pPr>
            <w:r w:rsidRPr="002B35A7">
              <w:rPr>
                <w:rFonts w:ascii="Arial" w:hAnsi="Arial" w:cs="Arial"/>
                <w:color w:val="000000"/>
              </w:rPr>
              <w:t>C-8</w:t>
            </w:r>
          </w:p>
        </w:tc>
        <w:tc>
          <w:tcPr>
            <w:tcW w:w="4320" w:type="dxa"/>
            <w:tcBorders>
              <w:top w:val="nil"/>
              <w:left w:val="nil"/>
              <w:bottom w:val="single" w:sz="4" w:space="0" w:color="auto"/>
              <w:right w:val="single" w:sz="4" w:space="0" w:color="auto"/>
            </w:tcBorders>
            <w:noWrap/>
            <w:vAlign w:val="center"/>
            <w:hideMark/>
          </w:tcPr>
          <w:p w14:paraId="23541155" w14:textId="60FC536C" w:rsidR="0029316F" w:rsidRPr="00E16F07" w:rsidRDefault="0029316F" w:rsidP="00182974">
            <w:pPr>
              <w:jc w:val="center"/>
              <w:rPr>
                <w:rStyle w:val="Hyperlink"/>
                <w:rFonts w:ascii="Arial" w:hAnsi="Arial" w:cs="Arial"/>
                <w:color w:val="auto"/>
                <w:sz w:val="18"/>
                <w:szCs w:val="18"/>
                <w:u w:val="none"/>
              </w:rPr>
            </w:pPr>
            <w:r w:rsidRPr="00E16F07">
              <w:rPr>
                <w:rStyle w:val="Hyperlink"/>
                <w:rFonts w:ascii="Arial" w:hAnsi="Arial" w:cs="Arial"/>
                <w:color w:val="auto"/>
                <w:sz w:val="18"/>
                <w:szCs w:val="18"/>
                <w:u w:val="none"/>
              </w:rPr>
              <w:t>High Friction Surface</w:t>
            </w:r>
            <w:r w:rsidR="00584D9E" w:rsidRPr="00E16F07">
              <w:rPr>
                <w:rStyle w:val="Hyperlink"/>
                <w:rFonts w:ascii="Arial" w:hAnsi="Arial" w:cs="Arial"/>
                <w:color w:val="auto"/>
                <w:sz w:val="18"/>
                <w:szCs w:val="18"/>
                <w:u w:val="none"/>
              </w:rPr>
              <w:t xml:space="preserve"> </w:t>
            </w:r>
          </w:p>
        </w:tc>
        <w:tc>
          <w:tcPr>
            <w:tcW w:w="1800" w:type="dxa"/>
            <w:tcBorders>
              <w:top w:val="single" w:sz="4" w:space="0" w:color="auto"/>
              <w:left w:val="nil"/>
              <w:bottom w:val="single" w:sz="4" w:space="0" w:color="auto"/>
              <w:right w:val="single" w:sz="4" w:space="0" w:color="auto"/>
            </w:tcBorders>
            <w:vAlign w:val="center"/>
          </w:tcPr>
          <w:p w14:paraId="6B29C0B8" w14:textId="32B380EA" w:rsidR="0029316F" w:rsidRPr="002B35A7" w:rsidRDefault="00584D9E" w:rsidP="00182974">
            <w:pPr>
              <w:jc w:val="center"/>
              <w:rPr>
                <w:rFonts w:ascii="Arial" w:hAnsi="Arial" w:cs="Arial"/>
                <w:color w:val="000000"/>
              </w:rPr>
            </w:pPr>
            <w:r>
              <w:rPr>
                <w:rFonts w:ascii="Arial" w:hAnsi="Arial" w:cs="Arial"/>
                <w:color w:val="000000"/>
              </w:rPr>
              <w:t>No**</w:t>
            </w:r>
          </w:p>
        </w:tc>
      </w:tr>
      <w:tr w:rsidR="0029316F" w:rsidRPr="002B35A7" w14:paraId="68EE1D55"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341EC0E7" w14:textId="2B6561B5" w:rsidR="0029316F" w:rsidRPr="002B35A7" w:rsidRDefault="0029316F" w:rsidP="00182974">
            <w:pPr>
              <w:jc w:val="center"/>
              <w:rPr>
                <w:rFonts w:ascii="Arial" w:hAnsi="Arial" w:cs="Arial"/>
                <w:color w:val="000000"/>
              </w:rPr>
            </w:pPr>
            <w:r w:rsidRPr="002B35A7">
              <w:rPr>
                <w:rFonts w:ascii="Arial" w:hAnsi="Arial" w:cs="Arial"/>
                <w:color w:val="000000"/>
              </w:rPr>
              <w:t>D</w:t>
            </w:r>
          </w:p>
        </w:tc>
        <w:tc>
          <w:tcPr>
            <w:tcW w:w="4320" w:type="dxa"/>
            <w:tcBorders>
              <w:top w:val="nil"/>
              <w:left w:val="nil"/>
              <w:bottom w:val="single" w:sz="4" w:space="0" w:color="auto"/>
              <w:right w:val="single" w:sz="4" w:space="0" w:color="auto"/>
            </w:tcBorders>
            <w:shd w:val="clear" w:color="000000" w:fill="D8D8D8"/>
            <w:noWrap/>
            <w:vAlign w:val="center"/>
            <w:hideMark/>
          </w:tcPr>
          <w:p w14:paraId="1ADB343D" w14:textId="6B622848" w:rsidR="0029316F" w:rsidRPr="002B35A7" w:rsidRDefault="00584D9E" w:rsidP="00182974">
            <w:pPr>
              <w:jc w:val="center"/>
              <w:rPr>
                <w:rFonts w:ascii="Arial" w:hAnsi="Arial" w:cs="Arial"/>
                <w:color w:val="000000"/>
              </w:rPr>
            </w:pPr>
            <w:r>
              <w:rPr>
                <w:rFonts w:ascii="Arial" w:hAnsi="Arial" w:cs="Arial"/>
                <w:color w:val="000000"/>
              </w:rPr>
              <w:t xml:space="preserve">Asphalt </w:t>
            </w:r>
            <w:r w:rsidR="0029316F" w:rsidRPr="002B35A7">
              <w:rPr>
                <w:rFonts w:ascii="Arial" w:hAnsi="Arial" w:cs="Arial"/>
                <w:color w:val="000000"/>
              </w:rPr>
              <w:t>Overlay</w:t>
            </w:r>
            <w:r>
              <w:rPr>
                <w:rFonts w:ascii="Arial" w:hAnsi="Arial" w:cs="Arial"/>
                <w:color w:val="000000"/>
              </w:rPr>
              <w:t>s</w:t>
            </w:r>
          </w:p>
        </w:tc>
        <w:tc>
          <w:tcPr>
            <w:tcW w:w="1800" w:type="dxa"/>
            <w:tcBorders>
              <w:top w:val="single" w:sz="4" w:space="0" w:color="auto"/>
              <w:left w:val="nil"/>
              <w:bottom w:val="single" w:sz="4" w:space="0" w:color="auto"/>
              <w:right w:val="single" w:sz="4" w:space="0" w:color="auto"/>
            </w:tcBorders>
            <w:shd w:val="clear" w:color="000000" w:fill="D8D8D8"/>
            <w:vAlign w:val="center"/>
          </w:tcPr>
          <w:p w14:paraId="666FC53A" w14:textId="77777777" w:rsidR="0029316F" w:rsidRPr="002B35A7" w:rsidRDefault="0029316F" w:rsidP="00182974">
            <w:pPr>
              <w:jc w:val="center"/>
              <w:rPr>
                <w:rFonts w:ascii="Arial" w:hAnsi="Arial" w:cs="Arial"/>
                <w:color w:val="000000"/>
              </w:rPr>
            </w:pPr>
            <w:r>
              <w:rPr>
                <w:rFonts w:ascii="Arial" w:hAnsi="Arial" w:cs="Arial"/>
                <w:color w:val="000000"/>
              </w:rPr>
              <w:t>Yes</w:t>
            </w:r>
          </w:p>
        </w:tc>
      </w:tr>
      <w:tr w:rsidR="0029316F" w:rsidRPr="002B35A7" w14:paraId="3254872B"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53B8B851" w14:textId="2FB02F98" w:rsidR="0029316F" w:rsidRPr="002B35A7" w:rsidRDefault="0029316F" w:rsidP="00182974">
            <w:pPr>
              <w:jc w:val="center"/>
              <w:rPr>
                <w:rFonts w:ascii="Arial" w:hAnsi="Arial" w:cs="Arial"/>
                <w:color w:val="000000"/>
              </w:rPr>
            </w:pPr>
            <w:r w:rsidRPr="002B35A7">
              <w:rPr>
                <w:rFonts w:ascii="Arial" w:hAnsi="Arial" w:cs="Arial"/>
                <w:color w:val="000000"/>
              </w:rPr>
              <w:t>E</w:t>
            </w:r>
          </w:p>
        </w:tc>
        <w:tc>
          <w:tcPr>
            <w:tcW w:w="4320" w:type="dxa"/>
            <w:tcBorders>
              <w:top w:val="nil"/>
              <w:left w:val="nil"/>
              <w:bottom w:val="single" w:sz="4" w:space="0" w:color="auto"/>
              <w:right w:val="single" w:sz="4" w:space="0" w:color="auto"/>
            </w:tcBorders>
            <w:noWrap/>
            <w:vAlign w:val="center"/>
            <w:hideMark/>
          </w:tcPr>
          <w:p w14:paraId="7083DDA7" w14:textId="702E9AFB" w:rsidR="0029316F" w:rsidRPr="002B35A7" w:rsidRDefault="00584D9E" w:rsidP="00182974">
            <w:pPr>
              <w:jc w:val="center"/>
              <w:rPr>
                <w:rFonts w:ascii="Arial" w:hAnsi="Arial" w:cs="Arial"/>
                <w:color w:val="000000"/>
              </w:rPr>
            </w:pPr>
            <w:r>
              <w:rPr>
                <w:rFonts w:ascii="Arial" w:hAnsi="Arial" w:cs="Arial"/>
                <w:color w:val="000000"/>
              </w:rPr>
              <w:t>Concrete</w:t>
            </w:r>
            <w:r w:rsidR="0029316F" w:rsidRPr="002B35A7">
              <w:rPr>
                <w:rFonts w:ascii="Arial" w:hAnsi="Arial" w:cs="Arial"/>
                <w:color w:val="000000"/>
              </w:rPr>
              <w:t xml:space="preserve"> Overlay</w:t>
            </w:r>
            <w:r>
              <w:rPr>
                <w:rFonts w:ascii="Arial" w:hAnsi="Arial" w:cs="Arial"/>
                <w:color w:val="000000"/>
              </w:rPr>
              <w:t>s</w:t>
            </w:r>
            <w:r w:rsidR="0029316F" w:rsidRPr="002B35A7">
              <w:rPr>
                <w:rFonts w:ascii="Arial" w:hAnsi="Arial" w:cs="Arial"/>
                <w:color w:val="000000"/>
              </w:rPr>
              <w:t>PCC Overlay</w:t>
            </w:r>
            <w:r w:rsidR="00182974">
              <w:rPr>
                <w:rFonts w:ascii="Arial" w:hAnsi="Arial" w:cs="Arial"/>
                <w:color w:val="000000"/>
              </w:rPr>
              <w:t xml:space="preserve"> – </w:t>
            </w:r>
            <w:r w:rsidR="0029316F" w:rsidRPr="002B35A7">
              <w:rPr>
                <w:rFonts w:ascii="Arial" w:hAnsi="Arial" w:cs="Arial"/>
                <w:color w:val="000000"/>
              </w:rPr>
              <w:t>Unbonded</w:t>
            </w:r>
          </w:p>
        </w:tc>
        <w:tc>
          <w:tcPr>
            <w:tcW w:w="1800" w:type="dxa"/>
            <w:tcBorders>
              <w:top w:val="single" w:sz="4" w:space="0" w:color="auto"/>
              <w:left w:val="nil"/>
              <w:bottom w:val="single" w:sz="4" w:space="0" w:color="auto"/>
              <w:right w:val="single" w:sz="4" w:space="0" w:color="auto"/>
            </w:tcBorders>
            <w:vAlign w:val="center"/>
          </w:tcPr>
          <w:p w14:paraId="0DDB54E5" w14:textId="77777777" w:rsidR="0029316F" w:rsidRPr="002B35A7" w:rsidRDefault="0029316F" w:rsidP="00182974">
            <w:pPr>
              <w:jc w:val="center"/>
              <w:rPr>
                <w:rFonts w:ascii="Arial" w:hAnsi="Arial" w:cs="Arial"/>
                <w:color w:val="000000"/>
              </w:rPr>
            </w:pPr>
            <w:r>
              <w:rPr>
                <w:rFonts w:ascii="Arial" w:hAnsi="Arial" w:cs="Arial"/>
                <w:color w:val="000000"/>
              </w:rPr>
              <w:t>Yes</w:t>
            </w:r>
          </w:p>
        </w:tc>
      </w:tr>
      <w:tr w:rsidR="0029316F" w:rsidRPr="002B35A7" w14:paraId="08BD264A"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1F821EF3" w14:textId="77777777" w:rsidR="0029316F" w:rsidRPr="002B35A7" w:rsidRDefault="0029316F" w:rsidP="00182974">
            <w:pPr>
              <w:jc w:val="center"/>
              <w:rPr>
                <w:rFonts w:ascii="Arial" w:hAnsi="Arial" w:cs="Arial"/>
                <w:color w:val="000000"/>
              </w:rPr>
            </w:pPr>
            <w:r w:rsidRPr="002B35A7">
              <w:rPr>
                <w:rFonts w:ascii="Arial" w:hAnsi="Arial" w:cs="Arial"/>
                <w:color w:val="000000"/>
              </w:rPr>
              <w:t>F-1</w:t>
            </w:r>
          </w:p>
        </w:tc>
        <w:tc>
          <w:tcPr>
            <w:tcW w:w="4320" w:type="dxa"/>
            <w:tcBorders>
              <w:top w:val="nil"/>
              <w:left w:val="nil"/>
              <w:bottom w:val="single" w:sz="4" w:space="0" w:color="auto"/>
              <w:right w:val="single" w:sz="4" w:space="0" w:color="auto"/>
            </w:tcBorders>
            <w:shd w:val="clear" w:color="000000" w:fill="D8D8D8"/>
            <w:noWrap/>
            <w:vAlign w:val="center"/>
            <w:hideMark/>
          </w:tcPr>
          <w:p w14:paraId="5DEA07F3" w14:textId="77777777" w:rsidR="0029316F" w:rsidRPr="002B35A7" w:rsidRDefault="0029316F" w:rsidP="00182974">
            <w:pPr>
              <w:jc w:val="center"/>
              <w:rPr>
                <w:rFonts w:ascii="Arial" w:hAnsi="Arial" w:cs="Arial"/>
                <w:color w:val="000000"/>
              </w:rPr>
            </w:pPr>
            <w:r w:rsidRPr="002B35A7">
              <w:rPr>
                <w:rFonts w:ascii="Arial" w:hAnsi="Arial" w:cs="Arial"/>
                <w:color w:val="000000"/>
              </w:rPr>
              <w:t>HMA Patch</w:t>
            </w:r>
          </w:p>
        </w:tc>
        <w:tc>
          <w:tcPr>
            <w:tcW w:w="1800" w:type="dxa"/>
            <w:tcBorders>
              <w:top w:val="single" w:sz="4" w:space="0" w:color="auto"/>
              <w:left w:val="nil"/>
              <w:bottom w:val="single" w:sz="4" w:space="0" w:color="auto"/>
              <w:right w:val="single" w:sz="4" w:space="0" w:color="auto"/>
            </w:tcBorders>
            <w:shd w:val="clear" w:color="000000" w:fill="D8D8D8"/>
            <w:vAlign w:val="center"/>
          </w:tcPr>
          <w:p w14:paraId="763FCD8A"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29D58EF3"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5B72A1CC" w14:textId="77777777" w:rsidR="0029316F" w:rsidRPr="002B35A7" w:rsidRDefault="0029316F" w:rsidP="00182974">
            <w:pPr>
              <w:jc w:val="center"/>
              <w:rPr>
                <w:rFonts w:ascii="Arial" w:hAnsi="Arial" w:cs="Arial"/>
                <w:color w:val="000000"/>
              </w:rPr>
            </w:pPr>
            <w:r w:rsidRPr="002B35A7">
              <w:rPr>
                <w:rFonts w:ascii="Arial" w:hAnsi="Arial" w:cs="Arial"/>
                <w:color w:val="000000"/>
              </w:rPr>
              <w:t>F-2</w:t>
            </w:r>
          </w:p>
        </w:tc>
        <w:tc>
          <w:tcPr>
            <w:tcW w:w="4320" w:type="dxa"/>
            <w:tcBorders>
              <w:top w:val="nil"/>
              <w:left w:val="nil"/>
              <w:bottom w:val="single" w:sz="4" w:space="0" w:color="auto"/>
              <w:right w:val="single" w:sz="4" w:space="0" w:color="auto"/>
            </w:tcBorders>
            <w:shd w:val="clear" w:color="000000" w:fill="D8D8D8"/>
            <w:noWrap/>
            <w:vAlign w:val="center"/>
            <w:hideMark/>
          </w:tcPr>
          <w:p w14:paraId="57B602CC" w14:textId="77777777" w:rsidR="0029316F" w:rsidRPr="002B35A7" w:rsidRDefault="0029316F" w:rsidP="00182974">
            <w:pPr>
              <w:jc w:val="center"/>
              <w:rPr>
                <w:rFonts w:ascii="Arial" w:hAnsi="Arial" w:cs="Arial"/>
                <w:color w:val="000000"/>
              </w:rPr>
            </w:pPr>
            <w:r w:rsidRPr="002B35A7">
              <w:rPr>
                <w:rFonts w:ascii="Arial" w:hAnsi="Arial" w:cs="Arial"/>
                <w:color w:val="000000"/>
              </w:rPr>
              <w:t>Partial-Depth Patch (Spall Repair) (Rigid Pavements)</w:t>
            </w:r>
          </w:p>
        </w:tc>
        <w:tc>
          <w:tcPr>
            <w:tcW w:w="1800" w:type="dxa"/>
            <w:tcBorders>
              <w:top w:val="single" w:sz="4" w:space="0" w:color="auto"/>
              <w:left w:val="nil"/>
              <w:bottom w:val="single" w:sz="4" w:space="0" w:color="auto"/>
              <w:right w:val="single" w:sz="4" w:space="0" w:color="auto"/>
            </w:tcBorders>
            <w:shd w:val="clear" w:color="000000" w:fill="D8D8D8"/>
            <w:vAlign w:val="center"/>
          </w:tcPr>
          <w:p w14:paraId="7C963754"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19AAD923"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00D9B674" w14:textId="77777777" w:rsidR="0029316F" w:rsidRPr="002B35A7" w:rsidRDefault="0029316F" w:rsidP="00182974">
            <w:pPr>
              <w:jc w:val="center"/>
              <w:rPr>
                <w:rFonts w:ascii="Arial" w:hAnsi="Arial" w:cs="Arial"/>
                <w:color w:val="000000"/>
              </w:rPr>
            </w:pPr>
            <w:r w:rsidRPr="002B35A7">
              <w:rPr>
                <w:rFonts w:ascii="Arial" w:hAnsi="Arial" w:cs="Arial"/>
                <w:color w:val="000000"/>
              </w:rPr>
              <w:t>F-3</w:t>
            </w:r>
          </w:p>
        </w:tc>
        <w:tc>
          <w:tcPr>
            <w:tcW w:w="4320" w:type="dxa"/>
            <w:tcBorders>
              <w:top w:val="nil"/>
              <w:left w:val="nil"/>
              <w:bottom w:val="single" w:sz="4" w:space="0" w:color="auto"/>
              <w:right w:val="single" w:sz="4" w:space="0" w:color="auto"/>
            </w:tcBorders>
            <w:shd w:val="clear" w:color="000000" w:fill="D8D8D8"/>
            <w:noWrap/>
            <w:vAlign w:val="center"/>
            <w:hideMark/>
          </w:tcPr>
          <w:p w14:paraId="3B394021" w14:textId="77777777" w:rsidR="0029316F" w:rsidRPr="002B35A7" w:rsidRDefault="0029316F" w:rsidP="00182974">
            <w:pPr>
              <w:jc w:val="center"/>
              <w:rPr>
                <w:rFonts w:ascii="Arial" w:hAnsi="Arial" w:cs="Arial"/>
                <w:color w:val="000000"/>
              </w:rPr>
            </w:pPr>
            <w:r w:rsidRPr="002B35A7">
              <w:rPr>
                <w:rFonts w:ascii="Arial" w:hAnsi="Arial" w:cs="Arial"/>
                <w:color w:val="000000"/>
              </w:rPr>
              <w:t>Full-Depth Patch (Rigid Pavements)</w:t>
            </w:r>
          </w:p>
        </w:tc>
        <w:tc>
          <w:tcPr>
            <w:tcW w:w="1800" w:type="dxa"/>
            <w:tcBorders>
              <w:top w:val="single" w:sz="4" w:space="0" w:color="auto"/>
              <w:left w:val="nil"/>
              <w:bottom w:val="single" w:sz="4" w:space="0" w:color="auto"/>
              <w:right w:val="single" w:sz="4" w:space="0" w:color="auto"/>
            </w:tcBorders>
            <w:shd w:val="clear" w:color="000000" w:fill="D8D8D8"/>
            <w:vAlign w:val="center"/>
          </w:tcPr>
          <w:p w14:paraId="1E5E107A"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681983EC"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4A58CBC3" w14:textId="151EA12E" w:rsidR="0029316F" w:rsidRPr="002B35A7" w:rsidRDefault="00584D9E" w:rsidP="00182974">
            <w:pPr>
              <w:jc w:val="center"/>
              <w:rPr>
                <w:rFonts w:ascii="Arial" w:hAnsi="Arial" w:cs="Arial"/>
                <w:color w:val="000000"/>
              </w:rPr>
            </w:pPr>
            <w:r>
              <w:rPr>
                <w:rFonts w:ascii="Arial" w:hAnsi="Arial" w:cs="Arial"/>
                <w:color w:val="000000"/>
              </w:rPr>
              <w:t>F</w:t>
            </w:r>
            <w:r w:rsidR="0029316F" w:rsidRPr="002B35A7">
              <w:rPr>
                <w:rFonts w:ascii="Arial" w:hAnsi="Arial" w:cs="Arial"/>
                <w:color w:val="000000"/>
              </w:rPr>
              <w:t>-</w:t>
            </w:r>
            <w:r>
              <w:rPr>
                <w:rFonts w:ascii="Arial" w:hAnsi="Arial" w:cs="Arial"/>
                <w:color w:val="000000"/>
              </w:rPr>
              <w:t>4</w:t>
            </w:r>
          </w:p>
        </w:tc>
        <w:tc>
          <w:tcPr>
            <w:tcW w:w="4320" w:type="dxa"/>
            <w:tcBorders>
              <w:top w:val="nil"/>
              <w:left w:val="nil"/>
              <w:bottom w:val="single" w:sz="4" w:space="0" w:color="auto"/>
              <w:right w:val="single" w:sz="4" w:space="0" w:color="auto"/>
            </w:tcBorders>
            <w:noWrap/>
            <w:vAlign w:val="center"/>
            <w:hideMark/>
          </w:tcPr>
          <w:p w14:paraId="4B8DCC95" w14:textId="77777777" w:rsidR="0029316F" w:rsidRPr="002B35A7" w:rsidRDefault="0029316F" w:rsidP="00182974">
            <w:pPr>
              <w:jc w:val="center"/>
              <w:rPr>
                <w:rFonts w:ascii="Arial" w:hAnsi="Arial" w:cs="Arial"/>
                <w:color w:val="000000"/>
              </w:rPr>
            </w:pPr>
            <w:r w:rsidRPr="002B35A7">
              <w:rPr>
                <w:rFonts w:ascii="Arial" w:hAnsi="Arial" w:cs="Arial"/>
                <w:color w:val="000000"/>
              </w:rPr>
              <w:t>Cross-Stitching</w:t>
            </w:r>
          </w:p>
        </w:tc>
        <w:tc>
          <w:tcPr>
            <w:tcW w:w="180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19EE5AAE"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2CECD7E3"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35E6F636" w14:textId="531A15B6" w:rsidR="0029316F" w:rsidRPr="002B35A7" w:rsidRDefault="00584D9E" w:rsidP="00182974">
            <w:pPr>
              <w:jc w:val="center"/>
              <w:rPr>
                <w:rFonts w:ascii="Arial" w:hAnsi="Arial" w:cs="Arial"/>
                <w:color w:val="000000"/>
              </w:rPr>
            </w:pPr>
            <w:r>
              <w:rPr>
                <w:rFonts w:ascii="Arial" w:hAnsi="Arial" w:cs="Arial"/>
                <w:color w:val="000000"/>
              </w:rPr>
              <w:t>F</w:t>
            </w:r>
            <w:r w:rsidR="0029316F" w:rsidRPr="002B35A7">
              <w:rPr>
                <w:rFonts w:ascii="Arial" w:hAnsi="Arial" w:cs="Arial"/>
                <w:color w:val="000000"/>
              </w:rPr>
              <w:t>-</w:t>
            </w:r>
            <w:r>
              <w:rPr>
                <w:rFonts w:ascii="Arial" w:hAnsi="Arial" w:cs="Arial"/>
                <w:color w:val="000000"/>
              </w:rPr>
              <w:t>5</w:t>
            </w:r>
          </w:p>
        </w:tc>
        <w:tc>
          <w:tcPr>
            <w:tcW w:w="4320" w:type="dxa"/>
            <w:tcBorders>
              <w:top w:val="nil"/>
              <w:left w:val="nil"/>
              <w:bottom w:val="single" w:sz="4" w:space="0" w:color="auto"/>
              <w:right w:val="single" w:sz="4" w:space="0" w:color="auto"/>
            </w:tcBorders>
            <w:noWrap/>
            <w:vAlign w:val="center"/>
            <w:hideMark/>
          </w:tcPr>
          <w:p w14:paraId="78804AA8" w14:textId="77777777" w:rsidR="0029316F" w:rsidRPr="002B35A7" w:rsidRDefault="0029316F" w:rsidP="00182974">
            <w:pPr>
              <w:jc w:val="center"/>
              <w:rPr>
                <w:rFonts w:ascii="Arial" w:hAnsi="Arial" w:cs="Arial"/>
                <w:color w:val="000000"/>
              </w:rPr>
            </w:pPr>
            <w:r w:rsidRPr="002B35A7">
              <w:rPr>
                <w:rFonts w:ascii="Arial" w:hAnsi="Arial" w:cs="Arial"/>
                <w:color w:val="000000"/>
              </w:rPr>
              <w:t>Dowel Bar Retrofit</w:t>
            </w:r>
          </w:p>
        </w:tc>
        <w:tc>
          <w:tcPr>
            <w:tcW w:w="180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6CBD1573"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0010CFCE"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1522E3BA" w14:textId="2ABFC335" w:rsidR="0029316F" w:rsidRPr="002B35A7" w:rsidRDefault="00584D9E" w:rsidP="00182974">
            <w:pPr>
              <w:jc w:val="center"/>
              <w:rPr>
                <w:rFonts w:ascii="Arial" w:hAnsi="Arial" w:cs="Arial"/>
                <w:color w:val="000000"/>
              </w:rPr>
            </w:pPr>
            <w:r>
              <w:rPr>
                <w:rFonts w:ascii="Arial" w:hAnsi="Arial" w:cs="Arial"/>
                <w:color w:val="000000"/>
              </w:rPr>
              <w:t>F</w:t>
            </w:r>
            <w:r w:rsidR="0029316F" w:rsidRPr="002B35A7">
              <w:rPr>
                <w:rFonts w:ascii="Arial" w:hAnsi="Arial" w:cs="Arial"/>
                <w:color w:val="000000"/>
              </w:rPr>
              <w:t>-</w:t>
            </w:r>
            <w:r>
              <w:rPr>
                <w:rFonts w:ascii="Arial" w:hAnsi="Arial" w:cs="Arial"/>
                <w:color w:val="000000"/>
              </w:rPr>
              <w:t>6</w:t>
            </w:r>
          </w:p>
        </w:tc>
        <w:tc>
          <w:tcPr>
            <w:tcW w:w="4320" w:type="dxa"/>
            <w:tcBorders>
              <w:top w:val="nil"/>
              <w:left w:val="nil"/>
              <w:bottom w:val="single" w:sz="4" w:space="0" w:color="auto"/>
              <w:right w:val="single" w:sz="4" w:space="0" w:color="auto"/>
            </w:tcBorders>
            <w:noWrap/>
            <w:vAlign w:val="center"/>
            <w:hideMark/>
          </w:tcPr>
          <w:p w14:paraId="76871C40" w14:textId="77777777" w:rsidR="0029316F" w:rsidRPr="002B35A7" w:rsidRDefault="0029316F" w:rsidP="00182974">
            <w:pPr>
              <w:jc w:val="center"/>
              <w:rPr>
                <w:rFonts w:ascii="Arial" w:hAnsi="Arial" w:cs="Arial"/>
                <w:color w:val="000000"/>
              </w:rPr>
            </w:pPr>
            <w:r w:rsidRPr="002B35A7">
              <w:rPr>
                <w:rFonts w:ascii="Arial" w:hAnsi="Arial" w:cs="Arial"/>
                <w:color w:val="000000"/>
              </w:rPr>
              <w:t>Undersealing/Slab Stabilization</w:t>
            </w:r>
          </w:p>
        </w:tc>
        <w:tc>
          <w:tcPr>
            <w:tcW w:w="180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853C09B"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59FDB44C"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4562C3C5" w14:textId="19B084CC" w:rsidR="0029316F" w:rsidRPr="002B35A7" w:rsidRDefault="00586F59" w:rsidP="00182974">
            <w:pPr>
              <w:jc w:val="center"/>
              <w:rPr>
                <w:rFonts w:ascii="Arial" w:hAnsi="Arial" w:cs="Arial"/>
                <w:color w:val="000000"/>
              </w:rPr>
            </w:pPr>
            <w:r>
              <w:rPr>
                <w:rFonts w:ascii="Arial" w:hAnsi="Arial" w:cs="Arial"/>
                <w:color w:val="000000"/>
              </w:rPr>
              <w:t>G</w:t>
            </w:r>
          </w:p>
        </w:tc>
        <w:tc>
          <w:tcPr>
            <w:tcW w:w="4320" w:type="dxa"/>
            <w:tcBorders>
              <w:top w:val="nil"/>
              <w:left w:val="nil"/>
              <w:bottom w:val="single" w:sz="4" w:space="0" w:color="auto"/>
              <w:right w:val="single" w:sz="4" w:space="0" w:color="auto"/>
            </w:tcBorders>
            <w:shd w:val="clear" w:color="000000" w:fill="D8D8D8"/>
            <w:noWrap/>
            <w:vAlign w:val="center"/>
            <w:hideMark/>
          </w:tcPr>
          <w:p w14:paraId="78FD2638" w14:textId="23E356F6" w:rsidR="0029316F" w:rsidRPr="002B35A7" w:rsidRDefault="0029316F" w:rsidP="00182974">
            <w:pPr>
              <w:jc w:val="center"/>
              <w:rPr>
                <w:rFonts w:ascii="Arial" w:hAnsi="Arial" w:cs="Arial"/>
                <w:color w:val="000000"/>
              </w:rPr>
            </w:pPr>
            <w:r w:rsidRPr="002B35A7">
              <w:rPr>
                <w:rFonts w:ascii="Arial" w:hAnsi="Arial" w:cs="Arial"/>
                <w:color w:val="000000"/>
              </w:rPr>
              <w:t xml:space="preserve">Surface </w:t>
            </w:r>
            <w:r w:rsidR="00586F59">
              <w:rPr>
                <w:rFonts w:ascii="Arial" w:hAnsi="Arial" w:cs="Arial"/>
                <w:color w:val="000000"/>
              </w:rPr>
              <w:t>Texturizing</w:t>
            </w:r>
          </w:p>
        </w:tc>
        <w:tc>
          <w:tcPr>
            <w:tcW w:w="1800" w:type="dxa"/>
            <w:tcBorders>
              <w:top w:val="single" w:sz="4" w:space="0" w:color="auto"/>
              <w:left w:val="nil"/>
              <w:bottom w:val="single" w:sz="4" w:space="0" w:color="auto"/>
              <w:right w:val="single" w:sz="4" w:space="0" w:color="auto"/>
            </w:tcBorders>
            <w:shd w:val="clear" w:color="000000" w:fill="D8D8D8"/>
            <w:vAlign w:val="center"/>
          </w:tcPr>
          <w:p w14:paraId="22B02164" w14:textId="77777777" w:rsidR="0029316F" w:rsidRPr="002B35A7" w:rsidRDefault="0029316F" w:rsidP="00182974">
            <w:pPr>
              <w:jc w:val="center"/>
              <w:rPr>
                <w:rFonts w:ascii="Arial" w:hAnsi="Arial" w:cs="Arial"/>
                <w:color w:val="000000"/>
              </w:rPr>
            </w:pPr>
            <w:r>
              <w:rPr>
                <w:rFonts w:ascii="Arial" w:hAnsi="Arial" w:cs="Arial"/>
                <w:color w:val="000000"/>
              </w:rPr>
              <w:t>No</w:t>
            </w:r>
          </w:p>
        </w:tc>
      </w:tr>
      <w:tr w:rsidR="0029316F" w:rsidRPr="002B35A7" w14:paraId="0E93A355"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vAlign w:val="center"/>
            <w:hideMark/>
          </w:tcPr>
          <w:p w14:paraId="7C6D78BC" w14:textId="638BCE77" w:rsidR="0029316F" w:rsidRPr="002B35A7" w:rsidRDefault="00586F59" w:rsidP="00182974">
            <w:pPr>
              <w:jc w:val="center"/>
              <w:rPr>
                <w:rFonts w:ascii="Arial" w:hAnsi="Arial" w:cs="Arial"/>
                <w:color w:val="000000"/>
              </w:rPr>
            </w:pPr>
            <w:r>
              <w:rPr>
                <w:rFonts w:ascii="Arial" w:hAnsi="Arial" w:cs="Arial"/>
                <w:color w:val="000000"/>
              </w:rPr>
              <w:t>H</w:t>
            </w:r>
          </w:p>
        </w:tc>
        <w:tc>
          <w:tcPr>
            <w:tcW w:w="4320" w:type="dxa"/>
            <w:tcBorders>
              <w:top w:val="nil"/>
              <w:left w:val="nil"/>
              <w:bottom w:val="single" w:sz="4" w:space="0" w:color="auto"/>
              <w:right w:val="single" w:sz="4" w:space="0" w:color="auto"/>
            </w:tcBorders>
            <w:noWrap/>
            <w:vAlign w:val="center"/>
            <w:hideMark/>
          </w:tcPr>
          <w:p w14:paraId="0EBDC746" w14:textId="35676F2F" w:rsidR="0029316F" w:rsidRPr="002B35A7" w:rsidRDefault="00586F59" w:rsidP="00182974">
            <w:pPr>
              <w:jc w:val="center"/>
              <w:rPr>
                <w:rFonts w:ascii="Arial" w:hAnsi="Arial" w:cs="Arial"/>
                <w:color w:val="000000"/>
              </w:rPr>
            </w:pPr>
            <w:r>
              <w:rPr>
                <w:rFonts w:ascii="Arial" w:hAnsi="Arial" w:cs="Arial"/>
                <w:color w:val="000000"/>
              </w:rPr>
              <w:t>Major Rehabilitation</w:t>
            </w:r>
            <w:r w:rsidR="0029316F" w:rsidRPr="002B35A7">
              <w:rPr>
                <w:rFonts w:ascii="Arial" w:hAnsi="Arial" w:cs="Arial"/>
                <w:color w:val="000000"/>
              </w:rPr>
              <w:t>Cold</w:t>
            </w:r>
            <w:r w:rsidR="00510A55">
              <w:rPr>
                <w:rFonts w:ascii="Arial" w:hAnsi="Arial" w:cs="Arial"/>
                <w:color w:val="000000"/>
              </w:rPr>
              <w:t xml:space="preserve"> </w:t>
            </w:r>
            <w:r w:rsidR="0029316F" w:rsidRPr="002B35A7">
              <w:rPr>
                <w:rFonts w:ascii="Arial" w:hAnsi="Arial" w:cs="Arial"/>
                <w:color w:val="000000"/>
              </w:rPr>
              <w:t>In</w:t>
            </w:r>
            <w:r w:rsidR="0029316F">
              <w:rPr>
                <w:rFonts w:ascii="Arial" w:hAnsi="Arial" w:cs="Arial"/>
                <w:color w:val="000000"/>
              </w:rPr>
              <w:t>-</w:t>
            </w:r>
            <w:r w:rsidR="0029316F" w:rsidRPr="002B35A7">
              <w:rPr>
                <w:rFonts w:ascii="Arial" w:hAnsi="Arial" w:cs="Arial"/>
                <w:color w:val="000000"/>
              </w:rPr>
              <w:t>Place HMA Recycling (CIR)</w:t>
            </w:r>
          </w:p>
        </w:tc>
        <w:tc>
          <w:tcPr>
            <w:tcW w:w="180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1928F64" w14:textId="77777777" w:rsidR="0029316F" w:rsidRPr="002B35A7" w:rsidRDefault="0029316F" w:rsidP="00182974">
            <w:pPr>
              <w:jc w:val="center"/>
              <w:rPr>
                <w:rFonts w:ascii="Arial" w:hAnsi="Arial" w:cs="Arial"/>
                <w:color w:val="000000"/>
              </w:rPr>
            </w:pPr>
            <w:r>
              <w:rPr>
                <w:rFonts w:ascii="Arial" w:hAnsi="Arial" w:cs="Arial"/>
                <w:color w:val="000000"/>
              </w:rPr>
              <w:t>Yes</w:t>
            </w:r>
          </w:p>
        </w:tc>
      </w:tr>
      <w:tr w:rsidR="0029316F" w:rsidRPr="002B35A7" w14:paraId="7C071C18" w14:textId="77777777" w:rsidTr="0009226D">
        <w:trPr>
          <w:trHeight w:val="259"/>
        </w:trPr>
        <w:tc>
          <w:tcPr>
            <w:tcW w:w="2255"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673BBA96" w14:textId="057CA6CB" w:rsidR="0029316F" w:rsidRPr="002B35A7" w:rsidRDefault="0029316F" w:rsidP="00182974">
            <w:pPr>
              <w:jc w:val="center"/>
              <w:rPr>
                <w:rFonts w:ascii="Arial" w:hAnsi="Arial" w:cs="Arial"/>
                <w:color w:val="000000"/>
              </w:rPr>
            </w:pPr>
            <w:r w:rsidRPr="002B35A7">
              <w:rPr>
                <w:rFonts w:ascii="Arial" w:hAnsi="Arial" w:cs="Arial"/>
                <w:color w:val="000000"/>
              </w:rPr>
              <w:t>I</w:t>
            </w:r>
          </w:p>
        </w:tc>
        <w:tc>
          <w:tcPr>
            <w:tcW w:w="4320" w:type="dxa"/>
            <w:tcBorders>
              <w:top w:val="nil"/>
              <w:left w:val="nil"/>
              <w:bottom w:val="single" w:sz="4" w:space="0" w:color="auto"/>
              <w:right w:val="single" w:sz="4" w:space="0" w:color="auto"/>
            </w:tcBorders>
            <w:shd w:val="clear" w:color="000000" w:fill="D8D8D8"/>
            <w:noWrap/>
            <w:vAlign w:val="center"/>
            <w:hideMark/>
          </w:tcPr>
          <w:p w14:paraId="79720A5E" w14:textId="77777777" w:rsidR="0029316F" w:rsidRPr="002B35A7" w:rsidRDefault="0029316F" w:rsidP="00182974">
            <w:pPr>
              <w:jc w:val="center"/>
              <w:rPr>
                <w:rFonts w:ascii="Arial" w:hAnsi="Arial" w:cs="Arial"/>
                <w:color w:val="000000"/>
              </w:rPr>
            </w:pPr>
            <w:r w:rsidRPr="002B35A7">
              <w:rPr>
                <w:rFonts w:ascii="Arial" w:hAnsi="Arial" w:cs="Arial"/>
                <w:color w:val="000000"/>
              </w:rPr>
              <w:t>Reconstruction</w:t>
            </w:r>
          </w:p>
        </w:tc>
        <w:tc>
          <w:tcPr>
            <w:tcW w:w="1800" w:type="dxa"/>
            <w:tcBorders>
              <w:top w:val="single" w:sz="4" w:space="0" w:color="auto"/>
              <w:left w:val="nil"/>
              <w:bottom w:val="single" w:sz="4" w:space="0" w:color="auto"/>
              <w:right w:val="single" w:sz="4" w:space="0" w:color="auto"/>
            </w:tcBorders>
            <w:shd w:val="clear" w:color="000000" w:fill="D8D8D8"/>
            <w:vAlign w:val="center"/>
          </w:tcPr>
          <w:p w14:paraId="2704BE59" w14:textId="77777777" w:rsidR="0029316F" w:rsidRPr="002B35A7" w:rsidRDefault="0029316F" w:rsidP="00182974">
            <w:pPr>
              <w:jc w:val="center"/>
              <w:rPr>
                <w:rFonts w:ascii="Arial" w:hAnsi="Arial" w:cs="Arial"/>
                <w:color w:val="000000"/>
              </w:rPr>
            </w:pPr>
            <w:r>
              <w:rPr>
                <w:rFonts w:ascii="Arial" w:hAnsi="Arial" w:cs="Arial"/>
                <w:color w:val="000000"/>
              </w:rPr>
              <w:t>Yes</w:t>
            </w:r>
          </w:p>
        </w:tc>
      </w:tr>
    </w:tbl>
    <w:p w14:paraId="154F18B5" w14:textId="09D06FBA" w:rsidR="0029316F" w:rsidRPr="00976EFA" w:rsidRDefault="0029316F" w:rsidP="00976EFA">
      <w:pPr>
        <w:pStyle w:val="BodyText"/>
        <w:tabs>
          <w:tab w:val="left" w:pos="540"/>
        </w:tabs>
        <w:spacing w:after="0"/>
        <w:ind w:left="540" w:right="270" w:hanging="270"/>
        <w:rPr>
          <w:sz w:val="18"/>
        </w:rPr>
      </w:pPr>
      <w:r w:rsidRPr="00976EFA">
        <w:rPr>
          <w:sz w:val="18"/>
        </w:rPr>
        <w:t xml:space="preserve">*If a treatment is an ADA trigger, then it is considered an alteration that triggers ADA work such as adding curb ramps.  </w:t>
      </w:r>
    </w:p>
    <w:p w14:paraId="16738B88" w14:textId="0D0B74CF" w:rsidR="0029316F" w:rsidRPr="00976EFA" w:rsidRDefault="0029316F" w:rsidP="00976EFA">
      <w:pPr>
        <w:pStyle w:val="BodyText"/>
        <w:tabs>
          <w:tab w:val="left" w:pos="540"/>
        </w:tabs>
        <w:spacing w:after="0"/>
        <w:ind w:left="540" w:right="270" w:hanging="270"/>
        <w:rPr>
          <w:sz w:val="18"/>
        </w:rPr>
      </w:pPr>
      <w:r w:rsidRPr="00976EFA">
        <w:rPr>
          <w:sz w:val="18"/>
        </w:rPr>
        <w:t>**High Friction Surface treatments are for spot locations.  ADA alterations may be triggered if HFS is placed for longer stretches.</w:t>
      </w:r>
    </w:p>
    <w:p w14:paraId="69BCA796" w14:textId="0B8CE033" w:rsidR="0029316F" w:rsidRPr="00976EFA" w:rsidRDefault="0029316F" w:rsidP="00976EFA">
      <w:pPr>
        <w:pStyle w:val="BodyText"/>
        <w:tabs>
          <w:tab w:val="left" w:pos="540"/>
        </w:tabs>
        <w:spacing w:after="0"/>
        <w:ind w:left="540" w:right="270" w:hanging="270"/>
        <w:rPr>
          <w:b/>
          <w:kern w:val="32"/>
          <w:sz w:val="18"/>
          <w:u w:val="single"/>
        </w:rPr>
      </w:pPr>
      <w:r w:rsidRPr="00976EFA">
        <w:rPr>
          <w:sz w:val="18"/>
        </w:rPr>
        <w:t>***Full-Depth patches should be an alteration if they span curb to curb.</w:t>
      </w:r>
    </w:p>
    <w:p w14:paraId="057614C4" w14:textId="77777777" w:rsidR="0029316F" w:rsidRDefault="0029316F"/>
    <w:p w14:paraId="19111458" w14:textId="35EE6C83" w:rsidR="00AC736F" w:rsidRDefault="00AC736F" w:rsidP="00AC736F">
      <w:pPr>
        <w:pStyle w:val="Heading4"/>
      </w:pPr>
      <w:r>
        <w:t>Discussion with Customers</w:t>
      </w:r>
    </w:p>
    <w:p w14:paraId="3F463A40" w14:textId="77777777" w:rsidR="00A54DE5" w:rsidRDefault="00BD1379" w:rsidP="00BD1379">
      <w:pPr>
        <w:pStyle w:val="BodyText"/>
        <w:jc w:val="both"/>
        <w:rPr>
          <w:rFonts w:cs="Arial"/>
        </w:rPr>
      </w:pPr>
      <w:r>
        <w:rPr>
          <w:rFonts w:cs="Arial"/>
        </w:rPr>
        <w:t>Multiple Treatment Options may be selected</w:t>
      </w:r>
      <w:r w:rsidR="00AC736F">
        <w:rPr>
          <w:rFonts w:cs="Arial"/>
        </w:rPr>
        <w:t xml:space="preserve"> from the matrices</w:t>
      </w:r>
      <w:r>
        <w:rPr>
          <w:rFonts w:cs="Arial"/>
        </w:rPr>
        <w:t xml:space="preserve">, depending on project-specific conditions. The final Treatment Option(s) </w:t>
      </w:r>
      <w:r w:rsidR="00A54DE5">
        <w:rPr>
          <w:rFonts w:cs="Arial"/>
        </w:rPr>
        <w:t xml:space="preserve">to be considered for full analysis </w:t>
      </w:r>
      <w:r>
        <w:rPr>
          <w:rFonts w:cs="Arial"/>
        </w:rPr>
        <w:t xml:space="preserve">should be determined </w:t>
      </w:r>
      <w:r w:rsidR="00A54DE5">
        <w:rPr>
          <w:rFonts w:cs="Arial"/>
        </w:rPr>
        <w:t>through discussion between the pavement engineer and the project manager.</w:t>
      </w:r>
    </w:p>
    <w:p w14:paraId="043591A1" w14:textId="77777777" w:rsidR="00A54DE5" w:rsidRDefault="00A54DE5" w:rsidP="00BD1379">
      <w:pPr>
        <w:pStyle w:val="BodyText"/>
        <w:jc w:val="both"/>
        <w:rPr>
          <w:rFonts w:cs="Arial"/>
        </w:rPr>
      </w:pPr>
      <w:r>
        <w:rPr>
          <w:rFonts w:cs="Arial"/>
        </w:rPr>
        <w:t>The pavement engineer should present the list of possible treatments, and find out which, if any, of the treatments should not be considered further.</w:t>
      </w:r>
    </w:p>
    <w:p w14:paraId="162081F1" w14:textId="16C59D48" w:rsidR="00BD1379" w:rsidRDefault="00A54DE5" w:rsidP="00BD1379">
      <w:pPr>
        <w:pStyle w:val="BodyText"/>
        <w:jc w:val="both"/>
        <w:rPr>
          <w:rFonts w:cs="Arial"/>
        </w:rPr>
      </w:pPr>
      <w:r>
        <w:rPr>
          <w:rFonts w:cs="Arial"/>
        </w:rPr>
        <w:t xml:space="preserve">Those that are considered further will undergo design as per </w:t>
      </w:r>
      <w:hyperlink w:anchor="_Pavement_Preservation,_Rehabilitati" w:history="1">
        <w:r w:rsidRPr="00A54DE5">
          <w:rPr>
            <w:rStyle w:val="Hyperlink"/>
            <w:rFonts w:cs="Arial"/>
          </w:rPr>
          <w:t>Pavement Preservation, Rehabilitation &amp; Design</w:t>
        </w:r>
      </w:hyperlink>
      <w:r>
        <w:rPr>
          <w:rFonts w:cs="Arial"/>
        </w:rPr>
        <w:t>.</w:t>
      </w:r>
      <w:r w:rsidR="00BD1379" w:rsidRPr="00886DE4">
        <w:rPr>
          <w:rFonts w:cs="Arial"/>
        </w:rPr>
        <w:t xml:space="preserve"> </w:t>
      </w:r>
    </w:p>
    <w:p w14:paraId="7825B3B8" w14:textId="77777777" w:rsidR="00BD1379" w:rsidRPr="00C65C09" w:rsidRDefault="00BD1379" w:rsidP="00BE3F24">
      <w:pPr>
        <w:rPr>
          <w:rFonts w:ascii="Arial" w:hAnsi="Arial" w:cs="Arial"/>
          <w:b/>
          <w:bCs/>
          <w:kern w:val="32"/>
          <w:sz w:val="22"/>
          <w:szCs w:val="22"/>
          <w:u w:val="single"/>
        </w:rPr>
      </w:pPr>
    </w:p>
    <w:p w14:paraId="596C8A63" w14:textId="77777777" w:rsidR="0042403B" w:rsidRDefault="0042403B" w:rsidP="00BE3F24">
      <w:pPr>
        <w:pStyle w:val="Heading2"/>
        <w:ind w:left="0" w:firstLine="0"/>
        <w:sectPr w:rsidR="0042403B">
          <w:footerReference w:type="default" r:id="rId62"/>
          <w:pgSz w:w="12240" w:h="15840" w:code="1"/>
          <w:pgMar w:top="1440" w:right="1800" w:bottom="1440" w:left="1800" w:header="432" w:footer="720" w:gutter="0"/>
          <w:pgNumType w:chapStyle="1"/>
          <w:cols w:space="720"/>
        </w:sectPr>
      </w:pPr>
    </w:p>
    <w:p w14:paraId="3405CB36" w14:textId="486E0DCF" w:rsidR="0042403B" w:rsidRDefault="0042403B" w:rsidP="00976EFA">
      <w:pPr>
        <w:pStyle w:val="Heading2"/>
        <w:spacing w:before="120"/>
        <w:ind w:left="0" w:firstLine="0"/>
      </w:pPr>
      <w:bookmarkStart w:id="61" w:name="_Supplemental_Treatment_Information_1"/>
      <w:bookmarkStart w:id="62" w:name="_Toc479160076"/>
      <w:bookmarkStart w:id="63" w:name="_Toc514057967"/>
      <w:bookmarkStart w:id="64" w:name="_Toc194932361"/>
      <w:bookmarkEnd w:id="61"/>
      <w:r w:rsidRPr="00306EAE">
        <w:lastRenderedPageBreak/>
        <w:t>Supplemental Treatment Information</w:t>
      </w:r>
      <w:bookmarkEnd w:id="62"/>
      <w:bookmarkEnd w:id="63"/>
      <w:bookmarkEnd w:id="64"/>
    </w:p>
    <w:p w14:paraId="5D51A8E3" w14:textId="77777777" w:rsidR="002D6703" w:rsidRDefault="002D3A2A"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esign_Input_Policies_1" w:history="1">
        <w:r w:rsidRPr="002D3A2A">
          <w:rPr>
            <w:rStyle w:val="Hyperlink"/>
            <w:rFonts w:ascii="Arial" w:hAnsi="Arial" w:cs="Arial"/>
            <w:bCs/>
            <w:sz w:val="16"/>
            <w:szCs w:val="16"/>
          </w:rPr>
          <w:t>Design Input Policies</w:t>
        </w:r>
      </w:hyperlink>
      <w:r w:rsidR="00707989">
        <w:rPr>
          <w:rFonts w:ascii="Arial" w:hAnsi="Arial" w:cs="Arial"/>
          <w:bCs/>
          <w:sz w:val="16"/>
          <w:szCs w:val="16"/>
        </w:rPr>
        <w:t xml:space="preserve">  </w:t>
      </w:r>
      <w:r w:rsidR="002D6703">
        <w:rPr>
          <w:rFonts w:ascii="Arial" w:eastAsia="Arial" w:hAnsi="Arial" w:cs="Arial"/>
          <w:sz w:val="16"/>
        </w:rPr>
        <w:t>Click to go</w:t>
      </w:r>
      <w:r w:rsidR="002D6703" w:rsidRPr="00982DB5">
        <w:rPr>
          <w:rFonts w:ascii="Arial" w:eastAsia="Arial" w:hAnsi="Arial" w:cs="Arial"/>
          <w:sz w:val="16"/>
          <w:szCs w:val="16"/>
        </w:rPr>
        <w:t xml:space="preserve"> to</w:t>
      </w:r>
      <w:r w:rsidR="002D6703" w:rsidRPr="00982DB5">
        <w:rPr>
          <w:rFonts w:ascii="Arial" w:hAnsi="Arial" w:cs="Arial"/>
          <w:bCs/>
          <w:sz w:val="16"/>
          <w:szCs w:val="16"/>
        </w:rPr>
        <w:t xml:space="preserve"> </w:t>
      </w:r>
      <w:hyperlink w:anchor="_Pre-Rehabilitation_Effect_on" w:history="1">
        <w:r w:rsidR="002D6703" w:rsidRPr="002D6703">
          <w:rPr>
            <w:rStyle w:val="Hyperlink"/>
            <w:rFonts w:ascii="Arial" w:hAnsi="Arial" w:cs="Arial"/>
            <w:bCs/>
            <w:sz w:val="16"/>
            <w:szCs w:val="16"/>
          </w:rPr>
          <w:t>Pre-Rehabilitation Effect on RSL Calculations</w:t>
        </w:r>
      </w:hyperlink>
    </w:p>
    <w:p w14:paraId="56182B71" w14:textId="77777777" w:rsidR="00E80DD7" w:rsidRDefault="003C5A72" w:rsidP="00707989">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Preservation_&amp;" w:history="1">
        <w:r w:rsidRPr="003C5A72">
          <w:rPr>
            <w:rStyle w:val="Hyperlink"/>
            <w:rFonts w:ascii="Arial" w:hAnsi="Arial" w:cs="Arial"/>
            <w:bCs/>
            <w:sz w:val="16"/>
            <w:szCs w:val="16"/>
          </w:rPr>
          <w:t>Pavement Preservation &amp; Rehabilitation Design</w:t>
        </w:r>
      </w:hyperlink>
      <w:r w:rsidR="00707989">
        <w:rPr>
          <w:rFonts w:ascii="Arial" w:hAnsi="Arial" w:cs="Arial"/>
          <w:bCs/>
          <w:sz w:val="16"/>
          <w:szCs w:val="16"/>
        </w:rPr>
        <w:t xml:space="preserve">  </w:t>
      </w:r>
    </w:p>
    <w:p w14:paraId="20C8F73D" w14:textId="78478063" w:rsidR="00707989" w:rsidRPr="00976EFA" w:rsidRDefault="00707989" w:rsidP="00707989">
      <w:pPr>
        <w:rPr>
          <w:rStyle w:val="Hyperlink"/>
          <w:rFonts w:ascii="Arial" w:hAnsi="Arial"/>
          <w:sz w:val="16"/>
        </w:rPr>
      </w:pPr>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6A155D35" w14:textId="77777777" w:rsidR="00E80DD7" w:rsidRPr="008F604D" w:rsidRDefault="00E80DD7" w:rsidP="00707989"/>
    <w:tbl>
      <w:tblPr>
        <w:tblW w:w="9167" w:type="dxa"/>
        <w:tblInd w:w="98" w:type="dxa"/>
        <w:tblLayout w:type="fixed"/>
        <w:tblLook w:val="04A0" w:firstRow="1" w:lastRow="0" w:firstColumn="1" w:lastColumn="0" w:noHBand="0" w:noVBand="1"/>
      </w:tblPr>
      <w:tblGrid>
        <w:gridCol w:w="1040"/>
        <w:gridCol w:w="1557"/>
        <w:gridCol w:w="2970"/>
        <w:gridCol w:w="360"/>
        <w:gridCol w:w="3240"/>
      </w:tblGrid>
      <w:tr w:rsidR="0042403B" w:rsidRPr="008B546B" w14:paraId="01C58413" w14:textId="77777777" w:rsidTr="00976EFA">
        <w:trPr>
          <w:trHeight w:val="710"/>
        </w:trPr>
        <w:tc>
          <w:tcPr>
            <w:tcW w:w="2597"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58C1B2C7"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t>Table B.1</w:t>
            </w:r>
          </w:p>
          <w:p w14:paraId="19F47169" w14:textId="77777777" w:rsidR="002417C7" w:rsidRDefault="002417C7" w:rsidP="00BE3F24">
            <w:pPr>
              <w:jc w:val="center"/>
              <w:rPr>
                <w:rFonts w:ascii="Bell MT" w:hAnsi="Bell MT" w:cs="Calibri"/>
                <w:b/>
                <w:bCs/>
                <w:color w:val="000000"/>
                <w:sz w:val="28"/>
                <w:szCs w:val="28"/>
              </w:rPr>
            </w:pPr>
          </w:p>
          <w:p w14:paraId="51AF78F3" w14:textId="77777777" w:rsidR="002417C7" w:rsidRPr="002417C7" w:rsidRDefault="002417C7" w:rsidP="00BE3F24">
            <w:pPr>
              <w:jc w:val="center"/>
              <w:rPr>
                <w:rFonts w:ascii="Arial" w:hAnsi="Arial" w:cs="Arial"/>
                <w:b/>
                <w:bCs/>
                <w:color w:val="000000"/>
                <w:sz w:val="22"/>
                <w:szCs w:val="22"/>
              </w:rPr>
            </w:pPr>
            <w:hyperlink w:anchor="_Table_C._List_1" w:history="1">
              <w:r w:rsidRPr="002417C7">
                <w:rPr>
                  <w:rStyle w:val="Hyperlink"/>
                  <w:rFonts w:ascii="Arial" w:hAnsi="Arial" w:cs="Arial"/>
                  <w:b/>
                  <w:bCs/>
                  <w:sz w:val="22"/>
                  <w:szCs w:val="22"/>
                </w:rPr>
                <w:t>Return to Table C</w:t>
              </w:r>
            </w:hyperlink>
          </w:p>
        </w:tc>
        <w:tc>
          <w:tcPr>
            <w:tcW w:w="6570" w:type="dxa"/>
            <w:gridSpan w:val="3"/>
            <w:tcBorders>
              <w:top w:val="single" w:sz="4" w:space="0" w:color="auto"/>
              <w:left w:val="single" w:sz="8" w:space="0" w:color="auto"/>
              <w:bottom w:val="single" w:sz="8" w:space="0" w:color="auto"/>
              <w:right w:val="single" w:sz="4" w:space="0" w:color="auto"/>
            </w:tcBorders>
            <w:vAlign w:val="bottom"/>
            <w:hideMark/>
          </w:tcPr>
          <w:p w14:paraId="53BFD7C5" w14:textId="77777777" w:rsidR="0042403B" w:rsidRPr="008B546B" w:rsidRDefault="0042403B" w:rsidP="00976EFA">
            <w:pPr>
              <w:pStyle w:val="Heading3"/>
              <w:ind w:left="1169" w:hanging="1169"/>
              <w:rPr>
                <w:rFonts w:cs="Arial"/>
                <w:b w:val="0"/>
                <w:bCs/>
                <w:color w:val="000000"/>
                <w:sz w:val="22"/>
                <w:szCs w:val="22"/>
              </w:rPr>
            </w:pPr>
            <w:bookmarkStart w:id="65" w:name="_SUPPLEMENTAL_INFORMATION_FOR"/>
            <w:bookmarkEnd w:id="65"/>
            <w:r w:rsidRPr="008B546B">
              <w:t>SUPPLEMENTAL INFORMATION FOR TREATMENT A-1</w:t>
            </w:r>
            <w:r w:rsidRPr="008B546B">
              <w:rPr>
                <w:rFonts w:cs="Arial"/>
                <w:bCs/>
                <w:color w:val="000000"/>
                <w:sz w:val="22"/>
                <w:szCs w:val="22"/>
              </w:rPr>
              <w:t> </w:t>
            </w:r>
          </w:p>
        </w:tc>
      </w:tr>
      <w:tr w:rsidR="0042403B" w:rsidRPr="008B546B" w14:paraId="3D917E94" w14:textId="77777777" w:rsidTr="00976EFA">
        <w:trPr>
          <w:trHeight w:val="317"/>
        </w:trPr>
        <w:tc>
          <w:tcPr>
            <w:tcW w:w="2597" w:type="dxa"/>
            <w:gridSpan w:val="2"/>
            <w:vMerge/>
            <w:tcBorders>
              <w:top w:val="single" w:sz="8" w:space="0" w:color="auto"/>
              <w:left w:val="single" w:sz="4" w:space="0" w:color="auto"/>
              <w:bottom w:val="single" w:sz="4" w:space="0" w:color="auto"/>
              <w:right w:val="single" w:sz="4" w:space="0" w:color="auto"/>
            </w:tcBorders>
            <w:vAlign w:val="center"/>
            <w:hideMark/>
          </w:tcPr>
          <w:p w14:paraId="116888C6" w14:textId="77777777" w:rsidR="0042403B" w:rsidRPr="008B546B" w:rsidRDefault="0042403B" w:rsidP="00BE3F24">
            <w:pPr>
              <w:rPr>
                <w:rFonts w:ascii="Bell MT" w:hAnsi="Bell MT" w:cs="Calibri"/>
                <w:b/>
                <w:bCs/>
                <w:color w:val="000000"/>
                <w:sz w:val="28"/>
                <w:szCs w:val="28"/>
              </w:rPr>
            </w:pPr>
          </w:p>
        </w:tc>
        <w:tc>
          <w:tcPr>
            <w:tcW w:w="3330" w:type="dxa"/>
            <w:gridSpan w:val="2"/>
            <w:vMerge w:val="restart"/>
            <w:tcBorders>
              <w:top w:val="nil"/>
              <w:left w:val="single" w:sz="4" w:space="0" w:color="auto"/>
              <w:bottom w:val="single" w:sz="4" w:space="0" w:color="auto"/>
              <w:right w:val="single" w:sz="4" w:space="0" w:color="auto"/>
            </w:tcBorders>
            <w:vAlign w:val="center"/>
            <w:hideMark/>
          </w:tcPr>
          <w:p w14:paraId="7253CC6D" w14:textId="48E9FE9B" w:rsidR="0042403B" w:rsidRPr="00302D2D" w:rsidRDefault="000D2B44" w:rsidP="00BE3F24">
            <w:pPr>
              <w:jc w:val="center"/>
              <w:rPr>
                <w:rStyle w:val="Hyperlink"/>
                <w:rFonts w:ascii="Arial" w:hAnsi="Arial" w:cs="Arial"/>
                <w:b/>
                <w:bCs/>
                <w:sz w:val="22"/>
                <w:szCs w:val="22"/>
              </w:rPr>
            </w:pPr>
            <w:r>
              <w:rPr>
                <w:rFonts w:ascii="Arial" w:hAnsi="Arial" w:cs="Arial"/>
                <w:b/>
                <w:bCs/>
                <w:color w:val="000000"/>
                <w:sz w:val="22"/>
                <w:szCs w:val="22"/>
              </w:rPr>
              <w:fldChar w:fldCharType="begin"/>
            </w:r>
            <w:r w:rsidR="00314138">
              <w:rPr>
                <w:rFonts w:ascii="Arial" w:hAnsi="Arial" w:cs="Arial"/>
                <w:b/>
                <w:bCs/>
                <w:color w:val="000000"/>
                <w:sz w:val="22"/>
                <w:szCs w:val="22"/>
              </w:rPr>
              <w:instrText>HYPERLINK  \l "A1a_Crack_Seal"</w:instrText>
            </w:r>
            <w:r>
              <w:rPr>
                <w:rFonts w:ascii="Arial" w:hAnsi="Arial" w:cs="Arial"/>
                <w:b/>
                <w:bCs/>
                <w:color w:val="000000"/>
                <w:sz w:val="22"/>
                <w:szCs w:val="22"/>
              </w:rPr>
            </w:r>
            <w:r>
              <w:rPr>
                <w:rFonts w:ascii="Arial" w:hAnsi="Arial" w:cs="Arial"/>
                <w:b/>
                <w:bCs/>
                <w:color w:val="000000"/>
                <w:sz w:val="22"/>
                <w:szCs w:val="22"/>
              </w:rPr>
              <w:fldChar w:fldCharType="separate"/>
            </w:r>
            <w:r w:rsidR="0042403B" w:rsidRPr="00302D2D">
              <w:rPr>
                <w:rStyle w:val="Hyperlink"/>
                <w:rFonts w:ascii="Arial" w:hAnsi="Arial" w:cs="Arial"/>
                <w:b/>
                <w:bCs/>
                <w:sz w:val="22"/>
                <w:szCs w:val="22"/>
              </w:rPr>
              <w:t>A-</w:t>
            </w:r>
            <w:proofErr w:type="spellStart"/>
            <w:r w:rsidR="0042403B" w:rsidRPr="00302D2D">
              <w:rPr>
                <w:rStyle w:val="Hyperlink"/>
                <w:rFonts w:ascii="Arial" w:hAnsi="Arial" w:cs="Arial"/>
                <w:b/>
                <w:bCs/>
                <w:sz w:val="22"/>
                <w:szCs w:val="22"/>
              </w:rPr>
              <w:t>1a</w:t>
            </w:r>
            <w:proofErr w:type="spellEnd"/>
            <w:r w:rsidR="0042403B" w:rsidRPr="00302D2D">
              <w:rPr>
                <w:rStyle w:val="Hyperlink"/>
                <w:rFonts w:ascii="Arial" w:hAnsi="Arial" w:cs="Arial"/>
                <w:b/>
                <w:bCs/>
                <w:sz w:val="22"/>
                <w:szCs w:val="22"/>
              </w:rPr>
              <w:t xml:space="preserve">. Crack </w:t>
            </w:r>
            <w:r w:rsidR="00016910">
              <w:rPr>
                <w:rStyle w:val="Hyperlink"/>
                <w:rFonts w:ascii="Arial" w:hAnsi="Arial" w:cs="Arial"/>
                <w:b/>
                <w:bCs/>
                <w:sz w:val="22"/>
                <w:szCs w:val="22"/>
              </w:rPr>
              <w:t>Seal</w:t>
            </w:r>
            <w:r w:rsidR="0042403B" w:rsidRPr="00302D2D">
              <w:rPr>
                <w:rStyle w:val="Hyperlink"/>
                <w:rFonts w:ascii="Arial" w:hAnsi="Arial" w:cs="Arial"/>
                <w:b/>
                <w:bCs/>
                <w:sz w:val="22"/>
                <w:szCs w:val="22"/>
              </w:rPr>
              <w:t xml:space="preserve"> </w:t>
            </w:r>
          </w:p>
          <w:p w14:paraId="13D660CB" w14:textId="77777777" w:rsidR="0042403B" w:rsidRPr="008B546B" w:rsidRDefault="0042403B" w:rsidP="00BE3F24">
            <w:pPr>
              <w:jc w:val="center"/>
              <w:rPr>
                <w:rFonts w:ascii="Arial" w:hAnsi="Arial" w:cs="Arial"/>
                <w:b/>
                <w:bCs/>
                <w:color w:val="000000"/>
                <w:sz w:val="22"/>
                <w:szCs w:val="22"/>
              </w:rPr>
            </w:pPr>
            <w:r w:rsidRPr="00302D2D">
              <w:rPr>
                <w:rStyle w:val="Hyperlink"/>
                <w:rFonts w:ascii="Arial" w:hAnsi="Arial" w:cs="Arial"/>
                <w:b/>
                <w:bCs/>
                <w:sz w:val="22"/>
                <w:szCs w:val="22"/>
              </w:rPr>
              <w:t>(Asphalt Surface)</w:t>
            </w:r>
            <w:r w:rsidR="000D2B44">
              <w:rPr>
                <w:rFonts w:ascii="Arial" w:hAnsi="Arial" w:cs="Arial"/>
                <w:b/>
                <w:bCs/>
                <w:color w:val="000000"/>
                <w:sz w:val="22"/>
                <w:szCs w:val="22"/>
              </w:rPr>
              <w:fldChar w:fldCharType="end"/>
            </w:r>
          </w:p>
        </w:tc>
        <w:tc>
          <w:tcPr>
            <w:tcW w:w="3240" w:type="dxa"/>
            <w:vMerge w:val="restart"/>
            <w:tcBorders>
              <w:top w:val="nil"/>
              <w:left w:val="nil"/>
              <w:bottom w:val="single" w:sz="4" w:space="0" w:color="000000"/>
              <w:right w:val="single" w:sz="4" w:space="0" w:color="auto"/>
            </w:tcBorders>
            <w:vAlign w:val="center"/>
            <w:hideMark/>
          </w:tcPr>
          <w:p w14:paraId="5BBB5AA6" w14:textId="4ECD674E" w:rsidR="0042403B" w:rsidRPr="008B546B" w:rsidRDefault="0042403B" w:rsidP="00016910">
            <w:pPr>
              <w:jc w:val="center"/>
              <w:rPr>
                <w:rFonts w:ascii="Arial" w:hAnsi="Arial" w:cs="Arial"/>
                <w:b/>
                <w:bCs/>
                <w:color w:val="000000"/>
                <w:sz w:val="22"/>
                <w:szCs w:val="22"/>
              </w:rPr>
            </w:pPr>
            <w:hyperlink w:anchor="A1b_Mastic" w:history="1">
              <w:r w:rsidRPr="00302D2D">
                <w:rPr>
                  <w:rStyle w:val="Hyperlink"/>
                  <w:rFonts w:ascii="Arial" w:hAnsi="Arial" w:cs="Arial"/>
                  <w:b/>
                  <w:bCs/>
                  <w:sz w:val="22"/>
                  <w:szCs w:val="22"/>
                </w:rPr>
                <w:t xml:space="preserve">A-1b. </w:t>
              </w:r>
              <w:r w:rsidR="00016910">
                <w:rPr>
                  <w:rStyle w:val="Hyperlink"/>
                  <w:rFonts w:ascii="Arial" w:hAnsi="Arial" w:cs="Arial"/>
                  <w:b/>
                  <w:bCs/>
                  <w:sz w:val="22"/>
                  <w:szCs w:val="22"/>
                </w:rPr>
                <w:t>Mastic</w:t>
              </w:r>
            </w:hyperlink>
          </w:p>
        </w:tc>
      </w:tr>
      <w:tr w:rsidR="0042403B" w:rsidRPr="008B546B" w14:paraId="543F70AD" w14:textId="77777777" w:rsidTr="00976EFA">
        <w:trPr>
          <w:trHeight w:val="317"/>
        </w:trPr>
        <w:tc>
          <w:tcPr>
            <w:tcW w:w="2597" w:type="dxa"/>
            <w:gridSpan w:val="2"/>
            <w:vMerge/>
            <w:tcBorders>
              <w:top w:val="single" w:sz="8" w:space="0" w:color="auto"/>
              <w:left w:val="single" w:sz="4" w:space="0" w:color="auto"/>
              <w:bottom w:val="single" w:sz="4" w:space="0" w:color="auto"/>
              <w:right w:val="single" w:sz="4" w:space="0" w:color="auto"/>
            </w:tcBorders>
            <w:vAlign w:val="center"/>
            <w:hideMark/>
          </w:tcPr>
          <w:p w14:paraId="11B1B94D" w14:textId="77777777" w:rsidR="0042403B" w:rsidRPr="008B546B" w:rsidRDefault="0042403B" w:rsidP="00BE3F24">
            <w:pPr>
              <w:rPr>
                <w:rFonts w:ascii="Bell MT" w:hAnsi="Bell MT" w:cs="Calibri"/>
                <w:b/>
                <w:bCs/>
                <w:color w:val="000000"/>
                <w:sz w:val="28"/>
                <w:szCs w:val="28"/>
              </w:rPr>
            </w:pPr>
          </w:p>
        </w:tc>
        <w:tc>
          <w:tcPr>
            <w:tcW w:w="3330" w:type="dxa"/>
            <w:gridSpan w:val="2"/>
            <w:vMerge/>
            <w:tcBorders>
              <w:top w:val="nil"/>
              <w:left w:val="single" w:sz="4" w:space="0" w:color="auto"/>
              <w:bottom w:val="single" w:sz="4" w:space="0" w:color="auto"/>
              <w:right w:val="single" w:sz="4" w:space="0" w:color="auto"/>
            </w:tcBorders>
            <w:vAlign w:val="center"/>
            <w:hideMark/>
          </w:tcPr>
          <w:p w14:paraId="6A1E8807" w14:textId="77777777" w:rsidR="0042403B" w:rsidRPr="008B546B" w:rsidRDefault="0042403B" w:rsidP="00BE3F24">
            <w:pPr>
              <w:rPr>
                <w:rFonts w:ascii="Arial" w:hAnsi="Arial" w:cs="Arial"/>
                <w:b/>
                <w:bCs/>
                <w:color w:val="000000"/>
                <w:sz w:val="22"/>
                <w:szCs w:val="22"/>
              </w:rPr>
            </w:pPr>
          </w:p>
        </w:tc>
        <w:tc>
          <w:tcPr>
            <w:tcW w:w="3240" w:type="dxa"/>
            <w:vMerge/>
            <w:tcBorders>
              <w:top w:val="nil"/>
              <w:left w:val="nil"/>
              <w:bottom w:val="single" w:sz="4" w:space="0" w:color="000000"/>
              <w:right w:val="single" w:sz="4" w:space="0" w:color="auto"/>
            </w:tcBorders>
            <w:vAlign w:val="center"/>
            <w:hideMark/>
          </w:tcPr>
          <w:p w14:paraId="30555234" w14:textId="77777777" w:rsidR="0042403B" w:rsidRPr="008B546B" w:rsidRDefault="0042403B" w:rsidP="00BE3F24">
            <w:pPr>
              <w:rPr>
                <w:rFonts w:ascii="Arial" w:hAnsi="Arial" w:cs="Arial"/>
                <w:b/>
                <w:bCs/>
                <w:color w:val="000000"/>
                <w:sz w:val="22"/>
                <w:szCs w:val="22"/>
              </w:rPr>
            </w:pPr>
          </w:p>
        </w:tc>
      </w:tr>
      <w:tr w:rsidR="0042403B" w:rsidRPr="008B546B" w14:paraId="09E397B2" w14:textId="77777777" w:rsidTr="00976EFA">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20D28A3F"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57" w:type="dxa"/>
            <w:tcBorders>
              <w:top w:val="nil"/>
              <w:left w:val="nil"/>
              <w:bottom w:val="single" w:sz="4" w:space="0" w:color="auto"/>
              <w:right w:val="single" w:sz="4" w:space="0" w:color="auto"/>
            </w:tcBorders>
            <w:vAlign w:val="center"/>
            <w:hideMark/>
          </w:tcPr>
          <w:p w14:paraId="480E4DDB"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3330" w:type="dxa"/>
            <w:gridSpan w:val="2"/>
            <w:tcBorders>
              <w:top w:val="nil"/>
              <w:left w:val="nil"/>
              <w:bottom w:val="single" w:sz="4" w:space="0" w:color="auto"/>
              <w:right w:val="single" w:sz="4" w:space="0" w:color="auto"/>
            </w:tcBorders>
            <w:vAlign w:val="center"/>
            <w:hideMark/>
          </w:tcPr>
          <w:p w14:paraId="67CDA286"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 </w:t>
            </w:r>
          </w:p>
        </w:tc>
        <w:tc>
          <w:tcPr>
            <w:tcW w:w="3240" w:type="dxa"/>
            <w:tcBorders>
              <w:top w:val="nil"/>
              <w:left w:val="nil"/>
              <w:bottom w:val="single" w:sz="4" w:space="0" w:color="auto"/>
              <w:right w:val="single" w:sz="4" w:space="0" w:color="auto"/>
            </w:tcBorders>
            <w:vAlign w:val="bottom"/>
            <w:hideMark/>
          </w:tcPr>
          <w:p w14:paraId="56E0D1F5"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 </w:t>
            </w:r>
          </w:p>
        </w:tc>
      </w:tr>
      <w:tr w:rsidR="0042403B" w:rsidRPr="008B546B" w14:paraId="648F147A"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B3F4C85" w14:textId="77777777" w:rsidR="0042403B" w:rsidRPr="008B546B" w:rsidRDefault="0042403B" w:rsidP="00BE3F24">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466787BF" w14:textId="362F95C5"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3330" w:type="dxa"/>
            <w:gridSpan w:val="2"/>
            <w:tcBorders>
              <w:top w:val="nil"/>
              <w:left w:val="nil"/>
              <w:bottom w:val="single" w:sz="4" w:space="0" w:color="auto"/>
              <w:right w:val="single" w:sz="4" w:space="0" w:color="auto"/>
            </w:tcBorders>
            <w:vAlign w:val="center"/>
            <w:hideMark/>
          </w:tcPr>
          <w:p w14:paraId="0CCF86ED"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1077F217"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65F83D65"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60116808" w14:textId="77777777" w:rsidR="0042403B" w:rsidRPr="008B546B" w:rsidRDefault="0042403B" w:rsidP="00BE3F24">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16D0E156" w14:textId="5A916C66"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3330" w:type="dxa"/>
            <w:gridSpan w:val="2"/>
            <w:tcBorders>
              <w:top w:val="nil"/>
              <w:left w:val="nil"/>
              <w:bottom w:val="single" w:sz="4" w:space="0" w:color="auto"/>
              <w:right w:val="single" w:sz="4" w:space="0" w:color="auto"/>
            </w:tcBorders>
            <w:vAlign w:val="center"/>
            <w:hideMark/>
          </w:tcPr>
          <w:p w14:paraId="66615F54"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 </w:t>
            </w:r>
          </w:p>
        </w:tc>
        <w:tc>
          <w:tcPr>
            <w:tcW w:w="3240" w:type="dxa"/>
            <w:tcBorders>
              <w:top w:val="nil"/>
              <w:left w:val="nil"/>
              <w:bottom w:val="single" w:sz="4" w:space="0" w:color="auto"/>
              <w:right w:val="single" w:sz="4" w:space="0" w:color="auto"/>
            </w:tcBorders>
            <w:vAlign w:val="bottom"/>
            <w:hideMark/>
          </w:tcPr>
          <w:p w14:paraId="40931778"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 </w:t>
            </w:r>
          </w:p>
        </w:tc>
      </w:tr>
      <w:tr w:rsidR="0042403B" w:rsidRPr="008B546B" w14:paraId="6BCF3A3B"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F582D9F" w14:textId="77777777" w:rsidR="0042403B" w:rsidRPr="008B546B" w:rsidRDefault="0042403B" w:rsidP="00BE3F24">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74DB161C"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3330" w:type="dxa"/>
            <w:gridSpan w:val="2"/>
            <w:tcBorders>
              <w:top w:val="nil"/>
              <w:left w:val="nil"/>
              <w:bottom w:val="single" w:sz="4" w:space="0" w:color="auto"/>
              <w:right w:val="single" w:sz="4" w:space="0" w:color="auto"/>
            </w:tcBorders>
            <w:vAlign w:val="center"/>
            <w:hideMark/>
          </w:tcPr>
          <w:p w14:paraId="13EC1900"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 </w:t>
            </w:r>
          </w:p>
        </w:tc>
        <w:tc>
          <w:tcPr>
            <w:tcW w:w="3240" w:type="dxa"/>
            <w:tcBorders>
              <w:top w:val="nil"/>
              <w:left w:val="nil"/>
              <w:bottom w:val="single" w:sz="4" w:space="0" w:color="auto"/>
              <w:right w:val="single" w:sz="4" w:space="0" w:color="auto"/>
            </w:tcBorders>
            <w:vAlign w:val="bottom"/>
            <w:hideMark/>
          </w:tcPr>
          <w:p w14:paraId="6387CCF8"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 </w:t>
            </w:r>
          </w:p>
        </w:tc>
      </w:tr>
      <w:tr w:rsidR="0042403B" w:rsidRPr="008B546B" w14:paraId="728415A1"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7F9D81B" w14:textId="77777777" w:rsidR="0042403B" w:rsidRPr="008B546B" w:rsidRDefault="0042403B" w:rsidP="00BE3F24">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16E4423A"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3330" w:type="dxa"/>
            <w:gridSpan w:val="2"/>
            <w:tcBorders>
              <w:top w:val="nil"/>
              <w:left w:val="nil"/>
              <w:bottom w:val="single" w:sz="4" w:space="0" w:color="auto"/>
              <w:right w:val="single" w:sz="4" w:space="0" w:color="auto"/>
            </w:tcBorders>
            <w:vAlign w:val="center"/>
            <w:hideMark/>
          </w:tcPr>
          <w:p w14:paraId="4DCD6A4F"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 </w:t>
            </w:r>
          </w:p>
        </w:tc>
        <w:tc>
          <w:tcPr>
            <w:tcW w:w="3240" w:type="dxa"/>
            <w:tcBorders>
              <w:top w:val="nil"/>
              <w:left w:val="nil"/>
              <w:bottom w:val="single" w:sz="4" w:space="0" w:color="auto"/>
              <w:right w:val="single" w:sz="4" w:space="0" w:color="auto"/>
            </w:tcBorders>
            <w:vAlign w:val="bottom"/>
            <w:hideMark/>
          </w:tcPr>
          <w:p w14:paraId="5C743E3A"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 </w:t>
            </w:r>
          </w:p>
        </w:tc>
      </w:tr>
      <w:tr w:rsidR="0042403B" w:rsidRPr="008B546B" w14:paraId="59DF8018"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03EA42B" w14:textId="77777777" w:rsidR="0042403B" w:rsidRPr="008B546B" w:rsidRDefault="0042403B" w:rsidP="00BE3F24">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0E2CE801"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3330" w:type="dxa"/>
            <w:gridSpan w:val="2"/>
            <w:tcBorders>
              <w:top w:val="nil"/>
              <w:left w:val="nil"/>
              <w:bottom w:val="single" w:sz="4" w:space="0" w:color="auto"/>
              <w:right w:val="single" w:sz="4" w:space="0" w:color="auto"/>
            </w:tcBorders>
            <w:vAlign w:val="center"/>
            <w:hideMark/>
          </w:tcPr>
          <w:p w14:paraId="6BCD34CB"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3A6F460F"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016910" w:rsidRPr="008B546B" w14:paraId="7132A4A2" w14:textId="77777777" w:rsidTr="00016910">
        <w:trPr>
          <w:trHeight w:val="1727"/>
        </w:trPr>
        <w:tc>
          <w:tcPr>
            <w:tcW w:w="2597" w:type="dxa"/>
            <w:gridSpan w:val="2"/>
            <w:tcBorders>
              <w:top w:val="single" w:sz="4" w:space="0" w:color="auto"/>
              <w:left w:val="single" w:sz="4" w:space="0" w:color="auto"/>
              <w:bottom w:val="single" w:sz="4" w:space="0" w:color="auto"/>
              <w:right w:val="single" w:sz="4" w:space="0" w:color="auto"/>
            </w:tcBorders>
            <w:vAlign w:val="center"/>
            <w:hideMark/>
          </w:tcPr>
          <w:p w14:paraId="6E41FFF8" w14:textId="17F869FC"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3330" w:type="dxa"/>
            <w:gridSpan w:val="2"/>
            <w:tcBorders>
              <w:top w:val="nil"/>
              <w:left w:val="nil"/>
              <w:bottom w:val="single" w:sz="4" w:space="0" w:color="auto"/>
              <w:right w:val="single" w:sz="4" w:space="0" w:color="auto"/>
            </w:tcBorders>
          </w:tcPr>
          <w:p w14:paraId="7505B278" w14:textId="1B88526B" w:rsidR="00016910" w:rsidRPr="008B546B" w:rsidRDefault="00016910" w:rsidP="00016910">
            <w:pPr>
              <w:rPr>
                <w:rFonts w:ascii="Arial" w:hAnsi="Arial" w:cs="Arial"/>
                <w:color w:val="000000"/>
                <w:sz w:val="16"/>
                <w:szCs w:val="16"/>
              </w:rPr>
            </w:pPr>
            <w:r w:rsidRPr="008B546B">
              <w:rPr>
                <w:rFonts w:ascii="Arial" w:hAnsi="Arial" w:cs="Arial"/>
                <w:color w:val="000000"/>
                <w:sz w:val="16"/>
                <w:szCs w:val="16"/>
              </w:rPr>
              <w:t xml:space="preserve">1. Slows/Reduces </w:t>
            </w:r>
            <w:r>
              <w:rPr>
                <w:rFonts w:ascii="Arial" w:hAnsi="Arial" w:cs="Arial"/>
                <w:color w:val="000000"/>
                <w:sz w:val="16"/>
                <w:szCs w:val="16"/>
              </w:rPr>
              <w:t>m</w:t>
            </w:r>
            <w:r w:rsidRPr="008B546B">
              <w:rPr>
                <w:rFonts w:ascii="Arial" w:hAnsi="Arial" w:cs="Arial"/>
                <w:color w:val="000000"/>
                <w:sz w:val="16"/>
                <w:szCs w:val="16"/>
              </w:rPr>
              <w:t>oisture damage</w:t>
            </w:r>
            <w:r>
              <w:rPr>
                <w:rFonts w:ascii="Arial" w:hAnsi="Arial" w:cs="Arial"/>
                <w:color w:val="000000"/>
                <w:sz w:val="16"/>
                <w:szCs w:val="16"/>
              </w:rPr>
              <w:t>, cracking, and rutting.</w:t>
            </w:r>
            <w:r>
              <w:rPr>
                <w:rFonts w:ascii="Arial" w:hAnsi="Arial" w:cs="Arial"/>
                <w:color w:val="000000"/>
                <w:sz w:val="16"/>
                <w:szCs w:val="16"/>
              </w:rPr>
              <w:br/>
              <w:t>2</w:t>
            </w:r>
            <w:r w:rsidRPr="008B546B">
              <w:rPr>
                <w:rFonts w:ascii="Arial" w:hAnsi="Arial" w:cs="Arial"/>
                <w:color w:val="000000"/>
                <w:sz w:val="16"/>
                <w:szCs w:val="16"/>
              </w:rPr>
              <w:t>. Performs well in all climatic conditions</w:t>
            </w:r>
            <w:r>
              <w:rPr>
                <w:rFonts w:ascii="Arial" w:hAnsi="Arial" w:cs="Arial"/>
                <w:color w:val="000000"/>
                <w:sz w:val="16"/>
                <w:szCs w:val="16"/>
              </w:rPr>
              <w:t>.</w:t>
            </w:r>
            <w:r w:rsidRPr="008B546B">
              <w:rPr>
                <w:rFonts w:ascii="Arial" w:hAnsi="Arial" w:cs="Arial"/>
                <w:color w:val="000000"/>
                <w:sz w:val="16"/>
                <w:szCs w:val="16"/>
              </w:rPr>
              <w:br/>
            </w:r>
            <w:r>
              <w:rPr>
                <w:rFonts w:ascii="Arial" w:hAnsi="Arial" w:cs="Arial"/>
                <w:color w:val="000000"/>
                <w:sz w:val="16"/>
                <w:szCs w:val="16"/>
              </w:rPr>
              <w:t>3</w:t>
            </w:r>
            <w:r w:rsidRPr="008B546B">
              <w:rPr>
                <w:rFonts w:ascii="Arial" w:hAnsi="Arial" w:cs="Arial"/>
                <w:color w:val="000000"/>
                <w:sz w:val="16"/>
                <w:szCs w:val="16"/>
              </w:rPr>
              <w:t>. Performance is not significantly affected by varying ADT or truck levels</w:t>
            </w:r>
            <w:r>
              <w:rPr>
                <w:rFonts w:ascii="Arial" w:hAnsi="Arial" w:cs="Arial"/>
                <w:color w:val="000000"/>
                <w:sz w:val="16"/>
                <w:szCs w:val="16"/>
              </w:rPr>
              <w:t>.</w:t>
            </w:r>
            <w:r w:rsidRPr="008B546B">
              <w:rPr>
                <w:rFonts w:ascii="Arial" w:hAnsi="Arial" w:cs="Arial"/>
                <w:color w:val="000000"/>
                <w:sz w:val="16"/>
                <w:szCs w:val="16"/>
              </w:rPr>
              <w:br/>
            </w:r>
            <w:r>
              <w:rPr>
                <w:rFonts w:ascii="Arial" w:hAnsi="Arial" w:cs="Arial"/>
                <w:color w:val="000000"/>
                <w:sz w:val="16"/>
                <w:szCs w:val="16"/>
              </w:rPr>
              <w:t>4</w:t>
            </w:r>
            <w:r w:rsidRPr="008B546B">
              <w:rPr>
                <w:rFonts w:ascii="Arial" w:hAnsi="Arial" w:cs="Arial"/>
                <w:color w:val="000000"/>
                <w:sz w:val="16"/>
                <w:szCs w:val="16"/>
              </w:rPr>
              <w:t>. Prevents incompressibles from entering crack joints</w:t>
            </w:r>
            <w:r>
              <w:rPr>
                <w:rFonts w:ascii="Arial" w:hAnsi="Arial" w:cs="Arial"/>
                <w:color w:val="000000"/>
                <w:sz w:val="16"/>
                <w:szCs w:val="16"/>
              </w:rPr>
              <w:t>.</w:t>
            </w:r>
          </w:p>
        </w:tc>
        <w:tc>
          <w:tcPr>
            <w:tcW w:w="3240" w:type="dxa"/>
            <w:tcBorders>
              <w:top w:val="nil"/>
              <w:left w:val="nil"/>
              <w:bottom w:val="single" w:sz="4" w:space="0" w:color="auto"/>
              <w:right w:val="single" w:sz="4" w:space="0" w:color="auto"/>
            </w:tcBorders>
          </w:tcPr>
          <w:p w14:paraId="42605D0E" w14:textId="77777777" w:rsidR="00016910" w:rsidRDefault="00016910" w:rsidP="00016910">
            <w:pPr>
              <w:rPr>
                <w:rFonts w:ascii="Arial" w:hAnsi="Arial" w:cs="Arial"/>
                <w:color w:val="000000"/>
                <w:sz w:val="16"/>
                <w:szCs w:val="16"/>
              </w:rPr>
            </w:pPr>
            <w:r w:rsidRPr="008B546B">
              <w:rPr>
                <w:rFonts w:ascii="Arial" w:hAnsi="Arial" w:cs="Arial"/>
                <w:color w:val="000000"/>
                <w:sz w:val="16"/>
                <w:szCs w:val="16"/>
              </w:rPr>
              <w:t xml:space="preserve">1. Slows/Reduces </w:t>
            </w:r>
            <w:r>
              <w:rPr>
                <w:rFonts w:ascii="Arial" w:hAnsi="Arial" w:cs="Arial"/>
                <w:color w:val="000000"/>
                <w:sz w:val="16"/>
                <w:szCs w:val="16"/>
              </w:rPr>
              <w:t>m</w:t>
            </w:r>
            <w:r w:rsidRPr="008B546B">
              <w:rPr>
                <w:rFonts w:ascii="Arial" w:hAnsi="Arial" w:cs="Arial"/>
                <w:color w:val="000000"/>
                <w:sz w:val="16"/>
                <w:szCs w:val="16"/>
              </w:rPr>
              <w:t>oisture damage</w:t>
            </w:r>
            <w:r>
              <w:rPr>
                <w:rFonts w:ascii="Arial" w:hAnsi="Arial" w:cs="Arial"/>
                <w:color w:val="000000"/>
                <w:sz w:val="16"/>
                <w:szCs w:val="16"/>
              </w:rPr>
              <w:t>, cracking, and rutting.</w:t>
            </w:r>
            <w:r>
              <w:rPr>
                <w:rFonts w:ascii="Arial" w:hAnsi="Arial" w:cs="Arial"/>
                <w:color w:val="000000"/>
                <w:sz w:val="16"/>
                <w:szCs w:val="16"/>
              </w:rPr>
              <w:br/>
              <w:t>2</w:t>
            </w:r>
            <w:r w:rsidRPr="008B546B">
              <w:rPr>
                <w:rFonts w:ascii="Arial" w:hAnsi="Arial" w:cs="Arial"/>
                <w:color w:val="000000"/>
                <w:sz w:val="16"/>
                <w:szCs w:val="16"/>
              </w:rPr>
              <w:t>. Performs well in all climatic conditions</w:t>
            </w:r>
            <w:r>
              <w:rPr>
                <w:rFonts w:ascii="Arial" w:hAnsi="Arial" w:cs="Arial"/>
                <w:color w:val="000000"/>
                <w:sz w:val="16"/>
                <w:szCs w:val="16"/>
              </w:rPr>
              <w:t>.</w:t>
            </w:r>
            <w:r w:rsidRPr="008B546B">
              <w:rPr>
                <w:rFonts w:ascii="Arial" w:hAnsi="Arial" w:cs="Arial"/>
                <w:color w:val="000000"/>
                <w:sz w:val="16"/>
                <w:szCs w:val="16"/>
              </w:rPr>
              <w:br/>
            </w:r>
            <w:r>
              <w:rPr>
                <w:rFonts w:ascii="Arial" w:hAnsi="Arial" w:cs="Arial"/>
                <w:color w:val="000000"/>
                <w:sz w:val="16"/>
                <w:szCs w:val="16"/>
              </w:rPr>
              <w:t>3</w:t>
            </w:r>
            <w:r w:rsidRPr="008B546B">
              <w:rPr>
                <w:rFonts w:ascii="Arial" w:hAnsi="Arial" w:cs="Arial"/>
                <w:color w:val="000000"/>
                <w:sz w:val="16"/>
                <w:szCs w:val="16"/>
              </w:rPr>
              <w:t>. Performance is not significantly affected by varying ADT or truck levels</w:t>
            </w:r>
            <w:r>
              <w:rPr>
                <w:rFonts w:ascii="Arial" w:hAnsi="Arial" w:cs="Arial"/>
                <w:color w:val="000000"/>
                <w:sz w:val="16"/>
                <w:szCs w:val="16"/>
              </w:rPr>
              <w:t>.</w:t>
            </w:r>
            <w:r w:rsidRPr="008B546B">
              <w:rPr>
                <w:rFonts w:ascii="Arial" w:hAnsi="Arial" w:cs="Arial"/>
                <w:color w:val="000000"/>
                <w:sz w:val="16"/>
                <w:szCs w:val="16"/>
              </w:rPr>
              <w:br/>
            </w:r>
            <w:r>
              <w:rPr>
                <w:rFonts w:ascii="Arial" w:hAnsi="Arial" w:cs="Arial"/>
                <w:color w:val="000000"/>
                <w:sz w:val="16"/>
                <w:szCs w:val="16"/>
              </w:rPr>
              <w:t>4</w:t>
            </w:r>
            <w:r w:rsidRPr="008B546B">
              <w:rPr>
                <w:rFonts w:ascii="Arial" w:hAnsi="Arial" w:cs="Arial"/>
                <w:color w:val="000000"/>
                <w:sz w:val="16"/>
                <w:szCs w:val="16"/>
              </w:rPr>
              <w:t>. Prevents incompressibles from entering crack joints</w:t>
            </w:r>
            <w:r>
              <w:rPr>
                <w:rFonts w:ascii="Arial" w:hAnsi="Arial" w:cs="Arial"/>
                <w:color w:val="000000"/>
                <w:sz w:val="16"/>
                <w:szCs w:val="16"/>
              </w:rPr>
              <w:t>.</w:t>
            </w:r>
          </w:p>
          <w:p w14:paraId="769C9CA7" w14:textId="3624727D" w:rsidR="00016910" w:rsidRPr="008B546B" w:rsidRDefault="00016910" w:rsidP="00016910">
            <w:pPr>
              <w:rPr>
                <w:rFonts w:ascii="Arial" w:hAnsi="Arial" w:cs="Arial"/>
                <w:color w:val="000000"/>
                <w:sz w:val="16"/>
                <w:szCs w:val="16"/>
              </w:rPr>
            </w:pPr>
            <w:r>
              <w:rPr>
                <w:rFonts w:ascii="Arial" w:hAnsi="Arial" w:cs="Arial"/>
                <w:color w:val="000000"/>
                <w:sz w:val="16"/>
                <w:szCs w:val="16"/>
              </w:rPr>
              <w:t>5. Could be a cost-effective alternative to patching.</w:t>
            </w:r>
          </w:p>
        </w:tc>
      </w:tr>
      <w:tr w:rsidR="00016910" w:rsidRPr="008B546B" w14:paraId="2A42F1BE" w14:textId="77777777" w:rsidTr="00016910">
        <w:trPr>
          <w:trHeight w:val="1025"/>
        </w:trPr>
        <w:tc>
          <w:tcPr>
            <w:tcW w:w="2597" w:type="dxa"/>
            <w:gridSpan w:val="2"/>
            <w:tcBorders>
              <w:top w:val="single" w:sz="4" w:space="0" w:color="auto"/>
              <w:left w:val="single" w:sz="4" w:space="0" w:color="auto"/>
              <w:bottom w:val="single" w:sz="4" w:space="0" w:color="auto"/>
              <w:right w:val="single" w:sz="4" w:space="0" w:color="auto"/>
            </w:tcBorders>
            <w:vAlign w:val="center"/>
            <w:hideMark/>
          </w:tcPr>
          <w:p w14:paraId="3EE2BF55" w14:textId="5FA46464"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3330" w:type="dxa"/>
            <w:gridSpan w:val="2"/>
            <w:tcBorders>
              <w:top w:val="nil"/>
              <w:left w:val="nil"/>
              <w:bottom w:val="single" w:sz="4" w:space="0" w:color="auto"/>
              <w:right w:val="single" w:sz="4" w:space="0" w:color="auto"/>
            </w:tcBorders>
          </w:tcPr>
          <w:p w14:paraId="1BD2E9B0" w14:textId="3F61EA19" w:rsidR="00016910" w:rsidRPr="008B546B" w:rsidRDefault="00016910" w:rsidP="00016910">
            <w:pPr>
              <w:rPr>
                <w:rFonts w:ascii="Arial" w:hAnsi="Arial" w:cs="Arial"/>
                <w:sz w:val="16"/>
                <w:szCs w:val="16"/>
              </w:rPr>
            </w:pPr>
            <w:r w:rsidRPr="008B546B">
              <w:rPr>
                <w:rFonts w:ascii="Arial" w:hAnsi="Arial" w:cs="Arial"/>
                <w:sz w:val="16"/>
                <w:szCs w:val="16"/>
              </w:rPr>
              <w:t>1. May reduce friction if used extensively in wheel paths</w:t>
            </w:r>
            <w:r>
              <w:rPr>
                <w:rFonts w:ascii="Arial" w:hAnsi="Arial" w:cs="Arial"/>
                <w:sz w:val="16"/>
                <w:szCs w:val="16"/>
              </w:rPr>
              <w:t>.</w:t>
            </w:r>
            <w:r w:rsidRPr="008B546B">
              <w:rPr>
                <w:rFonts w:ascii="Arial" w:hAnsi="Arial" w:cs="Arial"/>
                <w:sz w:val="16"/>
                <w:szCs w:val="16"/>
              </w:rPr>
              <w:br/>
            </w:r>
            <w:r>
              <w:rPr>
                <w:rFonts w:ascii="Arial" w:hAnsi="Arial" w:cs="Arial"/>
                <w:sz w:val="16"/>
                <w:szCs w:val="16"/>
              </w:rPr>
              <w:t>2</w:t>
            </w:r>
            <w:r w:rsidRPr="008B546B">
              <w:rPr>
                <w:rFonts w:ascii="Arial" w:hAnsi="Arial" w:cs="Arial"/>
                <w:sz w:val="16"/>
                <w:szCs w:val="16"/>
              </w:rPr>
              <w:t>. Damages the aesthetic look of the pavement</w:t>
            </w:r>
            <w:r>
              <w:rPr>
                <w:rFonts w:ascii="Arial" w:hAnsi="Arial" w:cs="Arial"/>
                <w:sz w:val="16"/>
                <w:szCs w:val="16"/>
              </w:rPr>
              <w:t>.</w:t>
            </w:r>
            <w:r w:rsidRPr="008B546B">
              <w:rPr>
                <w:rFonts w:ascii="Arial" w:hAnsi="Arial" w:cs="Arial"/>
                <w:sz w:val="16"/>
                <w:szCs w:val="16"/>
              </w:rPr>
              <w:br/>
            </w:r>
            <w:r>
              <w:rPr>
                <w:rFonts w:ascii="Arial" w:hAnsi="Arial" w:cs="Arial"/>
                <w:sz w:val="16"/>
                <w:szCs w:val="16"/>
              </w:rPr>
              <w:t>3</w:t>
            </w:r>
            <w:r w:rsidRPr="008B546B">
              <w:rPr>
                <w:rFonts w:ascii="Arial" w:hAnsi="Arial" w:cs="Arial"/>
                <w:sz w:val="16"/>
                <w:szCs w:val="16"/>
              </w:rPr>
              <w:t>. Adds no structural benefit</w:t>
            </w:r>
            <w:r>
              <w:rPr>
                <w:rFonts w:ascii="Arial" w:hAnsi="Arial" w:cs="Arial"/>
                <w:sz w:val="16"/>
                <w:szCs w:val="16"/>
              </w:rPr>
              <w:t>.</w:t>
            </w:r>
          </w:p>
        </w:tc>
        <w:tc>
          <w:tcPr>
            <w:tcW w:w="3240" w:type="dxa"/>
            <w:tcBorders>
              <w:top w:val="nil"/>
              <w:left w:val="nil"/>
              <w:bottom w:val="single" w:sz="4" w:space="0" w:color="auto"/>
              <w:right w:val="single" w:sz="4" w:space="0" w:color="auto"/>
            </w:tcBorders>
          </w:tcPr>
          <w:p w14:paraId="055BB532" w14:textId="64A27BBA" w:rsidR="00016910" w:rsidRPr="008B546B" w:rsidRDefault="00016910" w:rsidP="00016910">
            <w:pPr>
              <w:rPr>
                <w:rFonts w:ascii="Arial" w:hAnsi="Arial" w:cs="Arial"/>
                <w:sz w:val="16"/>
                <w:szCs w:val="16"/>
              </w:rPr>
            </w:pPr>
            <w:r w:rsidRPr="008B546B">
              <w:rPr>
                <w:rFonts w:ascii="Arial" w:hAnsi="Arial" w:cs="Arial"/>
                <w:sz w:val="16"/>
                <w:szCs w:val="16"/>
              </w:rPr>
              <w:t>1. May reduce friction if used extensively in wheel paths</w:t>
            </w:r>
            <w:r>
              <w:rPr>
                <w:rFonts w:ascii="Arial" w:hAnsi="Arial" w:cs="Arial"/>
                <w:sz w:val="16"/>
                <w:szCs w:val="16"/>
              </w:rPr>
              <w:t>.</w:t>
            </w:r>
            <w:r w:rsidRPr="008B546B">
              <w:rPr>
                <w:rFonts w:ascii="Arial" w:hAnsi="Arial" w:cs="Arial"/>
                <w:sz w:val="16"/>
                <w:szCs w:val="16"/>
              </w:rPr>
              <w:br/>
            </w:r>
            <w:r>
              <w:rPr>
                <w:rFonts w:ascii="Arial" w:hAnsi="Arial" w:cs="Arial"/>
                <w:sz w:val="16"/>
                <w:szCs w:val="16"/>
              </w:rPr>
              <w:t>2</w:t>
            </w:r>
            <w:r w:rsidRPr="008B546B">
              <w:rPr>
                <w:rFonts w:ascii="Arial" w:hAnsi="Arial" w:cs="Arial"/>
                <w:sz w:val="16"/>
                <w:szCs w:val="16"/>
              </w:rPr>
              <w:t>. Damages the aesthetic look of the pavement</w:t>
            </w:r>
            <w:r>
              <w:rPr>
                <w:rFonts w:ascii="Arial" w:hAnsi="Arial" w:cs="Arial"/>
                <w:sz w:val="16"/>
                <w:szCs w:val="16"/>
              </w:rPr>
              <w:t>.</w:t>
            </w:r>
            <w:r w:rsidRPr="008B546B">
              <w:rPr>
                <w:rFonts w:ascii="Arial" w:hAnsi="Arial" w:cs="Arial"/>
                <w:sz w:val="16"/>
                <w:szCs w:val="16"/>
              </w:rPr>
              <w:br/>
            </w:r>
            <w:r>
              <w:rPr>
                <w:rFonts w:ascii="Arial" w:hAnsi="Arial" w:cs="Arial"/>
                <w:sz w:val="16"/>
                <w:szCs w:val="16"/>
              </w:rPr>
              <w:t>3</w:t>
            </w:r>
            <w:r w:rsidRPr="008B546B">
              <w:rPr>
                <w:rFonts w:ascii="Arial" w:hAnsi="Arial" w:cs="Arial"/>
                <w:sz w:val="16"/>
                <w:szCs w:val="16"/>
              </w:rPr>
              <w:t>. Adds no structural benefit</w:t>
            </w:r>
            <w:r>
              <w:rPr>
                <w:rFonts w:ascii="Arial" w:hAnsi="Arial" w:cs="Arial"/>
                <w:sz w:val="16"/>
                <w:szCs w:val="16"/>
              </w:rPr>
              <w:t>.</w:t>
            </w:r>
          </w:p>
        </w:tc>
      </w:tr>
      <w:tr w:rsidR="00016910" w:rsidRPr="008B546B" w14:paraId="5233FAF5" w14:textId="77777777" w:rsidTr="00016910">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6540D0CD" w14:textId="77777777"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Cost Clarification</w:t>
            </w:r>
          </w:p>
        </w:tc>
        <w:tc>
          <w:tcPr>
            <w:tcW w:w="1557" w:type="dxa"/>
            <w:tcBorders>
              <w:top w:val="nil"/>
              <w:left w:val="nil"/>
              <w:bottom w:val="single" w:sz="4" w:space="0" w:color="auto"/>
              <w:right w:val="single" w:sz="4" w:space="0" w:color="auto"/>
            </w:tcBorders>
            <w:vAlign w:val="center"/>
            <w:hideMark/>
          </w:tcPr>
          <w:p w14:paraId="02972CF5" w14:textId="77777777" w:rsidR="00016910" w:rsidRPr="008B546B" w:rsidRDefault="00016910" w:rsidP="00016910">
            <w:pPr>
              <w:jc w:val="center"/>
              <w:rPr>
                <w:rFonts w:ascii="Arial" w:hAnsi="Arial" w:cs="Arial"/>
                <w:b/>
                <w:bCs/>
                <w:sz w:val="18"/>
                <w:szCs w:val="18"/>
              </w:rPr>
            </w:pPr>
            <w:r w:rsidRPr="008B546B">
              <w:rPr>
                <w:rFonts w:ascii="Arial" w:hAnsi="Arial" w:cs="Arial"/>
                <w:b/>
                <w:bCs/>
                <w:sz w:val="18"/>
                <w:szCs w:val="18"/>
              </w:rPr>
              <w:t>Small Quantity Cost</w:t>
            </w:r>
          </w:p>
        </w:tc>
        <w:tc>
          <w:tcPr>
            <w:tcW w:w="3330" w:type="dxa"/>
            <w:gridSpan w:val="2"/>
            <w:tcBorders>
              <w:top w:val="nil"/>
              <w:left w:val="nil"/>
              <w:bottom w:val="single" w:sz="4" w:space="0" w:color="auto"/>
              <w:right w:val="single" w:sz="4" w:space="0" w:color="auto"/>
            </w:tcBorders>
            <w:vAlign w:val="center"/>
          </w:tcPr>
          <w:p w14:paraId="7CA4565E" w14:textId="2DD510D6" w:rsidR="00016910" w:rsidRPr="008B546B" w:rsidRDefault="00016910" w:rsidP="00016910">
            <w:pPr>
              <w:rPr>
                <w:rFonts w:ascii="Arial" w:hAnsi="Arial" w:cs="Arial"/>
                <w:color w:val="000000"/>
                <w:sz w:val="16"/>
                <w:szCs w:val="16"/>
              </w:rPr>
            </w:pPr>
            <w:r w:rsidRPr="008B546B">
              <w:rPr>
                <w:rFonts w:ascii="Arial" w:hAnsi="Arial" w:cs="Arial"/>
                <w:sz w:val="16"/>
                <w:szCs w:val="16"/>
              </w:rPr>
              <w:t>&gt; $0.60</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sidRPr="008B546B">
              <w:rPr>
                <w:rFonts w:ascii="Arial" w:hAnsi="Arial" w:cs="Arial"/>
                <w:sz w:val="16"/>
                <w:szCs w:val="16"/>
              </w:rPr>
              <w:t xml:space="preserve">$1.00 per linear </w:t>
            </w:r>
            <w:r w:rsidRPr="008B546B">
              <w:rPr>
                <w:rFonts w:ascii="Arial" w:hAnsi="Arial" w:cs="Arial"/>
                <w:color w:val="000000"/>
                <w:sz w:val="16"/>
                <w:szCs w:val="16"/>
              </w:rPr>
              <w:t>f</w:t>
            </w:r>
            <w:r>
              <w:rPr>
                <w:rFonts w:ascii="Arial" w:hAnsi="Arial" w:cs="Arial"/>
                <w:color w:val="000000"/>
                <w:sz w:val="16"/>
                <w:szCs w:val="16"/>
              </w:rPr>
              <w:t>oo</w:t>
            </w:r>
            <w:r w:rsidRPr="008B546B">
              <w:rPr>
                <w:rFonts w:ascii="Arial" w:hAnsi="Arial" w:cs="Arial"/>
                <w:color w:val="000000"/>
                <w:sz w:val="16"/>
                <w:szCs w:val="16"/>
              </w:rPr>
              <w:t>t</w:t>
            </w:r>
            <w:r w:rsidRPr="008B546B" w:rsidDel="009554E1">
              <w:rPr>
                <w:rFonts w:ascii="Arial" w:hAnsi="Arial" w:cs="Arial"/>
                <w:sz w:val="16"/>
                <w:szCs w:val="16"/>
              </w:rPr>
              <w:t xml:space="preserve"> </w:t>
            </w:r>
            <w:r w:rsidRPr="008B546B">
              <w:rPr>
                <w:rFonts w:ascii="Arial" w:hAnsi="Arial" w:cs="Arial"/>
                <w:sz w:val="16"/>
                <w:szCs w:val="16"/>
              </w:rPr>
              <w:t>per NHI</w:t>
            </w:r>
          </w:p>
        </w:tc>
        <w:tc>
          <w:tcPr>
            <w:tcW w:w="3240" w:type="dxa"/>
            <w:tcBorders>
              <w:top w:val="nil"/>
              <w:left w:val="nil"/>
              <w:bottom w:val="single" w:sz="4" w:space="0" w:color="auto"/>
              <w:right w:val="single" w:sz="4" w:space="0" w:color="auto"/>
            </w:tcBorders>
            <w:vAlign w:val="center"/>
          </w:tcPr>
          <w:p w14:paraId="47924A2A" w14:textId="3BC8D852" w:rsidR="00016910" w:rsidRPr="008B546B" w:rsidRDefault="00016910" w:rsidP="00016910">
            <w:pPr>
              <w:rPr>
                <w:rFonts w:ascii="Arial" w:hAnsi="Arial" w:cs="Arial"/>
                <w:sz w:val="16"/>
                <w:szCs w:val="16"/>
              </w:rPr>
            </w:pPr>
            <w:r>
              <w:rPr>
                <w:rFonts w:ascii="Arial" w:hAnsi="Arial" w:cs="Arial"/>
                <w:sz w:val="16"/>
                <w:szCs w:val="16"/>
              </w:rPr>
              <w:t>&gt;$20 per pound</w:t>
            </w:r>
          </w:p>
        </w:tc>
      </w:tr>
      <w:tr w:rsidR="00016910" w:rsidRPr="008B546B" w14:paraId="08048C4F" w14:textId="77777777" w:rsidTr="00016910">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F2F70B5"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4A039237" w14:textId="77777777" w:rsidR="00016910" w:rsidRPr="008B546B" w:rsidRDefault="00016910" w:rsidP="00016910">
            <w:pPr>
              <w:jc w:val="center"/>
              <w:rPr>
                <w:rFonts w:ascii="Arial" w:hAnsi="Arial" w:cs="Arial"/>
                <w:b/>
                <w:bCs/>
                <w:sz w:val="18"/>
                <w:szCs w:val="18"/>
              </w:rPr>
            </w:pPr>
            <w:r w:rsidRPr="008B546B">
              <w:rPr>
                <w:rFonts w:ascii="Arial" w:hAnsi="Arial" w:cs="Arial"/>
                <w:b/>
                <w:bCs/>
                <w:sz w:val="18"/>
                <w:szCs w:val="18"/>
              </w:rPr>
              <w:t>Medium Quantity Cost</w:t>
            </w:r>
          </w:p>
        </w:tc>
        <w:tc>
          <w:tcPr>
            <w:tcW w:w="3330" w:type="dxa"/>
            <w:gridSpan w:val="2"/>
            <w:tcBorders>
              <w:top w:val="nil"/>
              <w:left w:val="nil"/>
              <w:bottom w:val="single" w:sz="4" w:space="0" w:color="auto"/>
              <w:right w:val="single" w:sz="4" w:space="0" w:color="auto"/>
            </w:tcBorders>
            <w:vAlign w:val="center"/>
          </w:tcPr>
          <w:p w14:paraId="060D263E" w14:textId="61F3A0E8" w:rsidR="00016910" w:rsidRPr="008B546B" w:rsidRDefault="00016910" w:rsidP="00016910">
            <w:pPr>
              <w:rPr>
                <w:rFonts w:ascii="Arial" w:hAnsi="Arial" w:cs="Arial"/>
                <w:color w:val="000000"/>
                <w:sz w:val="16"/>
                <w:szCs w:val="16"/>
              </w:rPr>
            </w:pPr>
            <w:r w:rsidRPr="008B546B">
              <w:rPr>
                <w:rFonts w:ascii="Arial" w:hAnsi="Arial" w:cs="Arial"/>
                <w:sz w:val="16"/>
                <w:szCs w:val="16"/>
              </w:rPr>
              <w:t>$0.60</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sidRPr="008B546B">
              <w:rPr>
                <w:rFonts w:ascii="Arial" w:hAnsi="Arial" w:cs="Arial"/>
                <w:sz w:val="16"/>
                <w:szCs w:val="16"/>
              </w:rPr>
              <w:t xml:space="preserve">$1.00 per linear </w:t>
            </w:r>
            <w:r w:rsidRPr="008B546B">
              <w:rPr>
                <w:rFonts w:ascii="Arial" w:hAnsi="Arial" w:cs="Arial"/>
                <w:color w:val="000000"/>
                <w:sz w:val="16"/>
                <w:szCs w:val="16"/>
              </w:rPr>
              <w:t>f</w:t>
            </w:r>
            <w:r>
              <w:rPr>
                <w:rFonts w:ascii="Arial" w:hAnsi="Arial" w:cs="Arial"/>
                <w:color w:val="000000"/>
                <w:sz w:val="16"/>
                <w:szCs w:val="16"/>
              </w:rPr>
              <w:t>oo</w:t>
            </w:r>
            <w:r w:rsidRPr="008B546B">
              <w:rPr>
                <w:rFonts w:ascii="Arial" w:hAnsi="Arial" w:cs="Arial"/>
                <w:color w:val="000000"/>
                <w:sz w:val="16"/>
                <w:szCs w:val="16"/>
              </w:rPr>
              <w:t>t</w:t>
            </w:r>
            <w:r w:rsidRPr="008B546B" w:rsidDel="009554E1">
              <w:rPr>
                <w:rFonts w:ascii="Arial" w:hAnsi="Arial" w:cs="Arial"/>
                <w:sz w:val="16"/>
                <w:szCs w:val="16"/>
              </w:rPr>
              <w:t xml:space="preserve"> </w:t>
            </w:r>
            <w:r w:rsidRPr="008B546B">
              <w:rPr>
                <w:rFonts w:ascii="Arial" w:hAnsi="Arial" w:cs="Arial"/>
                <w:sz w:val="16"/>
                <w:szCs w:val="16"/>
              </w:rPr>
              <w:t>t per NHI</w:t>
            </w:r>
          </w:p>
        </w:tc>
        <w:tc>
          <w:tcPr>
            <w:tcW w:w="3240" w:type="dxa"/>
            <w:tcBorders>
              <w:top w:val="nil"/>
              <w:left w:val="nil"/>
              <w:bottom w:val="single" w:sz="4" w:space="0" w:color="auto"/>
              <w:right w:val="single" w:sz="4" w:space="0" w:color="auto"/>
            </w:tcBorders>
            <w:vAlign w:val="center"/>
          </w:tcPr>
          <w:p w14:paraId="4180DF55" w14:textId="60C5BD2C" w:rsidR="00016910" w:rsidRPr="008B546B" w:rsidRDefault="00016910" w:rsidP="00016910">
            <w:pPr>
              <w:rPr>
                <w:rFonts w:ascii="Arial" w:hAnsi="Arial" w:cs="Arial"/>
                <w:sz w:val="16"/>
                <w:szCs w:val="16"/>
              </w:rPr>
            </w:pPr>
            <w:r>
              <w:rPr>
                <w:rFonts w:ascii="Arial" w:hAnsi="Arial" w:cs="Arial"/>
                <w:sz w:val="16"/>
                <w:szCs w:val="16"/>
              </w:rPr>
              <w:t>$10 to $20 per pound</w:t>
            </w:r>
          </w:p>
        </w:tc>
      </w:tr>
      <w:tr w:rsidR="00016910" w:rsidRPr="008B546B" w14:paraId="3E109C19" w14:textId="77777777" w:rsidTr="00016910">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18770AB"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33FA0BEA" w14:textId="77777777" w:rsidR="00016910" w:rsidRPr="008B546B" w:rsidRDefault="00016910" w:rsidP="00016910">
            <w:pPr>
              <w:jc w:val="center"/>
              <w:rPr>
                <w:rFonts w:ascii="Arial" w:hAnsi="Arial" w:cs="Arial"/>
                <w:b/>
                <w:bCs/>
                <w:sz w:val="18"/>
                <w:szCs w:val="18"/>
              </w:rPr>
            </w:pPr>
            <w:r w:rsidRPr="008B546B">
              <w:rPr>
                <w:rFonts w:ascii="Arial" w:hAnsi="Arial" w:cs="Arial"/>
                <w:b/>
                <w:bCs/>
                <w:sz w:val="18"/>
                <w:szCs w:val="18"/>
              </w:rPr>
              <w:t>High Quantity Cost</w:t>
            </w:r>
          </w:p>
        </w:tc>
        <w:tc>
          <w:tcPr>
            <w:tcW w:w="3330" w:type="dxa"/>
            <w:gridSpan w:val="2"/>
            <w:tcBorders>
              <w:top w:val="nil"/>
              <w:left w:val="nil"/>
              <w:bottom w:val="single" w:sz="4" w:space="0" w:color="auto"/>
              <w:right w:val="single" w:sz="4" w:space="0" w:color="auto"/>
            </w:tcBorders>
            <w:vAlign w:val="center"/>
          </w:tcPr>
          <w:p w14:paraId="1AA7E7E7" w14:textId="5A70C2D7" w:rsidR="00016910" w:rsidRPr="008B546B" w:rsidRDefault="00016910" w:rsidP="00016910">
            <w:pPr>
              <w:rPr>
                <w:rFonts w:ascii="Arial" w:hAnsi="Arial" w:cs="Arial"/>
                <w:color w:val="000000"/>
                <w:sz w:val="16"/>
                <w:szCs w:val="16"/>
              </w:rPr>
            </w:pPr>
            <w:r w:rsidRPr="008B546B">
              <w:rPr>
                <w:rFonts w:ascii="Arial" w:hAnsi="Arial" w:cs="Arial"/>
                <w:sz w:val="16"/>
                <w:szCs w:val="16"/>
              </w:rPr>
              <w:t>$0.60</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sidRPr="008B546B">
              <w:rPr>
                <w:rFonts w:ascii="Arial" w:hAnsi="Arial" w:cs="Arial"/>
                <w:sz w:val="16"/>
                <w:szCs w:val="16"/>
              </w:rPr>
              <w:t xml:space="preserve">$1.00 per linear </w:t>
            </w:r>
            <w:r w:rsidRPr="008B546B">
              <w:rPr>
                <w:rFonts w:ascii="Arial" w:hAnsi="Arial" w:cs="Arial"/>
                <w:color w:val="000000"/>
                <w:sz w:val="16"/>
                <w:szCs w:val="16"/>
              </w:rPr>
              <w:t>f</w:t>
            </w:r>
            <w:r>
              <w:rPr>
                <w:rFonts w:ascii="Arial" w:hAnsi="Arial" w:cs="Arial"/>
                <w:color w:val="000000"/>
                <w:sz w:val="16"/>
                <w:szCs w:val="16"/>
              </w:rPr>
              <w:t>oo</w:t>
            </w:r>
            <w:r w:rsidRPr="008B546B">
              <w:rPr>
                <w:rFonts w:ascii="Arial" w:hAnsi="Arial" w:cs="Arial"/>
                <w:color w:val="000000"/>
                <w:sz w:val="16"/>
                <w:szCs w:val="16"/>
              </w:rPr>
              <w:t>t</w:t>
            </w:r>
            <w:r w:rsidRPr="008B546B">
              <w:rPr>
                <w:rFonts w:ascii="Arial" w:hAnsi="Arial" w:cs="Arial"/>
                <w:sz w:val="16"/>
                <w:szCs w:val="16"/>
              </w:rPr>
              <w:t xml:space="preserve"> per NHI</w:t>
            </w:r>
          </w:p>
        </w:tc>
        <w:tc>
          <w:tcPr>
            <w:tcW w:w="3240" w:type="dxa"/>
            <w:tcBorders>
              <w:top w:val="nil"/>
              <w:left w:val="nil"/>
              <w:bottom w:val="single" w:sz="4" w:space="0" w:color="auto"/>
              <w:right w:val="single" w:sz="4" w:space="0" w:color="auto"/>
            </w:tcBorders>
            <w:vAlign w:val="center"/>
          </w:tcPr>
          <w:p w14:paraId="36783EDE" w14:textId="5E171F21" w:rsidR="00016910" w:rsidRPr="008B546B" w:rsidRDefault="00016910" w:rsidP="00016910">
            <w:pPr>
              <w:rPr>
                <w:rFonts w:ascii="Arial" w:hAnsi="Arial" w:cs="Arial"/>
                <w:sz w:val="16"/>
                <w:szCs w:val="16"/>
              </w:rPr>
            </w:pPr>
            <w:r>
              <w:rPr>
                <w:rFonts w:ascii="Arial" w:hAnsi="Arial" w:cs="Arial"/>
                <w:sz w:val="16"/>
                <w:szCs w:val="16"/>
              </w:rPr>
              <w:t>$5 per pound</w:t>
            </w:r>
          </w:p>
        </w:tc>
      </w:tr>
      <w:tr w:rsidR="00016910" w:rsidRPr="008B546B" w14:paraId="68C8C334" w14:textId="77777777" w:rsidTr="00016910">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1E412F92"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45CAA844" w14:textId="77777777" w:rsidR="00016910" w:rsidRPr="008B546B" w:rsidRDefault="00016910" w:rsidP="00016910">
            <w:pPr>
              <w:jc w:val="center"/>
              <w:rPr>
                <w:rFonts w:ascii="Arial" w:hAnsi="Arial" w:cs="Arial"/>
                <w:b/>
                <w:bCs/>
                <w:sz w:val="18"/>
                <w:szCs w:val="18"/>
              </w:rPr>
            </w:pPr>
            <w:r w:rsidRPr="008B546B">
              <w:rPr>
                <w:rFonts w:ascii="Arial" w:hAnsi="Arial" w:cs="Arial"/>
                <w:b/>
                <w:bCs/>
                <w:sz w:val="18"/>
                <w:szCs w:val="18"/>
              </w:rPr>
              <w:t>Items Included</w:t>
            </w:r>
          </w:p>
        </w:tc>
        <w:tc>
          <w:tcPr>
            <w:tcW w:w="3330" w:type="dxa"/>
            <w:gridSpan w:val="2"/>
            <w:tcBorders>
              <w:top w:val="nil"/>
              <w:left w:val="nil"/>
              <w:bottom w:val="single" w:sz="4" w:space="0" w:color="auto"/>
              <w:right w:val="single" w:sz="4" w:space="0" w:color="auto"/>
            </w:tcBorders>
            <w:vAlign w:val="center"/>
          </w:tcPr>
          <w:p w14:paraId="0AA60356" w14:textId="32EF94CA" w:rsidR="00016910" w:rsidRPr="008B546B" w:rsidRDefault="00016910" w:rsidP="00016910">
            <w:pPr>
              <w:rPr>
                <w:rFonts w:ascii="Arial" w:hAnsi="Arial" w:cs="Arial"/>
                <w:sz w:val="16"/>
                <w:szCs w:val="16"/>
              </w:rPr>
            </w:pPr>
            <w:r w:rsidRPr="008B546B">
              <w:rPr>
                <w:rFonts w:ascii="Arial" w:hAnsi="Arial" w:cs="Arial"/>
                <w:sz w:val="16"/>
                <w:szCs w:val="16"/>
              </w:rPr>
              <w:t>Crack preparation procedures, high-quality thermoplastic sealant materials</w:t>
            </w:r>
          </w:p>
        </w:tc>
        <w:tc>
          <w:tcPr>
            <w:tcW w:w="3240" w:type="dxa"/>
            <w:tcBorders>
              <w:top w:val="nil"/>
              <w:left w:val="nil"/>
              <w:bottom w:val="single" w:sz="4" w:space="0" w:color="auto"/>
              <w:right w:val="single" w:sz="4" w:space="0" w:color="auto"/>
            </w:tcBorders>
            <w:vAlign w:val="center"/>
          </w:tcPr>
          <w:p w14:paraId="1DDAAA6C" w14:textId="13F222A8" w:rsidR="00016910" w:rsidRPr="008B546B" w:rsidRDefault="00016910" w:rsidP="00016910">
            <w:pPr>
              <w:rPr>
                <w:rFonts w:ascii="Arial" w:hAnsi="Arial" w:cs="Arial"/>
                <w:sz w:val="16"/>
                <w:szCs w:val="16"/>
              </w:rPr>
            </w:pPr>
            <w:r w:rsidRPr="008B546B">
              <w:rPr>
                <w:rFonts w:ascii="Arial" w:hAnsi="Arial" w:cs="Arial"/>
                <w:sz w:val="16"/>
                <w:szCs w:val="16"/>
              </w:rPr>
              <w:t>Crack preparation procedures, high-quality thermoplastic sealant materials</w:t>
            </w:r>
          </w:p>
        </w:tc>
      </w:tr>
      <w:tr w:rsidR="00016910" w:rsidRPr="008B546B" w14:paraId="7C5A83EB" w14:textId="77777777" w:rsidTr="00016910">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8F59726"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00B49747" w14:textId="77777777" w:rsidR="00016910" w:rsidRPr="008B546B" w:rsidRDefault="00016910" w:rsidP="00016910">
            <w:pPr>
              <w:jc w:val="center"/>
              <w:rPr>
                <w:rFonts w:ascii="Arial" w:hAnsi="Arial" w:cs="Arial"/>
                <w:b/>
                <w:bCs/>
                <w:sz w:val="18"/>
                <w:szCs w:val="18"/>
              </w:rPr>
            </w:pPr>
            <w:r w:rsidRPr="008B546B">
              <w:rPr>
                <w:rFonts w:ascii="Arial" w:hAnsi="Arial" w:cs="Arial"/>
                <w:b/>
                <w:bCs/>
                <w:sz w:val="18"/>
                <w:szCs w:val="18"/>
              </w:rPr>
              <w:t>Items Excluded</w:t>
            </w:r>
          </w:p>
        </w:tc>
        <w:tc>
          <w:tcPr>
            <w:tcW w:w="3330" w:type="dxa"/>
            <w:gridSpan w:val="2"/>
            <w:tcBorders>
              <w:top w:val="nil"/>
              <w:left w:val="nil"/>
              <w:bottom w:val="single" w:sz="4" w:space="0" w:color="auto"/>
              <w:right w:val="single" w:sz="4" w:space="0" w:color="auto"/>
            </w:tcBorders>
            <w:vAlign w:val="center"/>
          </w:tcPr>
          <w:p w14:paraId="2B1C25AF" w14:textId="100B80A2" w:rsidR="00016910" w:rsidRPr="008B546B" w:rsidRDefault="00016910" w:rsidP="00016910">
            <w:pPr>
              <w:rPr>
                <w:rFonts w:ascii="Arial" w:hAnsi="Arial" w:cs="Arial"/>
                <w:sz w:val="16"/>
                <w:szCs w:val="16"/>
              </w:rPr>
            </w:pPr>
          </w:p>
        </w:tc>
        <w:tc>
          <w:tcPr>
            <w:tcW w:w="3240" w:type="dxa"/>
            <w:tcBorders>
              <w:top w:val="nil"/>
              <w:left w:val="nil"/>
              <w:bottom w:val="single" w:sz="4" w:space="0" w:color="auto"/>
              <w:right w:val="single" w:sz="4" w:space="0" w:color="auto"/>
            </w:tcBorders>
            <w:vAlign w:val="center"/>
          </w:tcPr>
          <w:p w14:paraId="71DE6877" w14:textId="3B302FC0" w:rsidR="00016910" w:rsidRPr="008B546B" w:rsidRDefault="00016910" w:rsidP="00016910">
            <w:pPr>
              <w:rPr>
                <w:rFonts w:ascii="Arial" w:hAnsi="Arial" w:cs="Arial"/>
                <w:sz w:val="16"/>
                <w:szCs w:val="16"/>
              </w:rPr>
            </w:pPr>
          </w:p>
        </w:tc>
      </w:tr>
      <w:tr w:rsidR="00016910" w:rsidRPr="008B546B" w14:paraId="4B50EC5F" w14:textId="77777777" w:rsidTr="00016910">
        <w:trPr>
          <w:trHeight w:val="445"/>
        </w:trPr>
        <w:tc>
          <w:tcPr>
            <w:tcW w:w="2597" w:type="dxa"/>
            <w:gridSpan w:val="2"/>
            <w:tcBorders>
              <w:top w:val="single" w:sz="4" w:space="0" w:color="auto"/>
              <w:left w:val="single" w:sz="4" w:space="0" w:color="auto"/>
              <w:bottom w:val="single" w:sz="4" w:space="0" w:color="auto"/>
              <w:right w:val="single" w:sz="4" w:space="0" w:color="auto"/>
            </w:tcBorders>
            <w:vAlign w:val="center"/>
            <w:hideMark/>
          </w:tcPr>
          <w:p w14:paraId="3783B925" w14:textId="77777777"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3330" w:type="dxa"/>
            <w:gridSpan w:val="2"/>
            <w:tcBorders>
              <w:top w:val="nil"/>
              <w:left w:val="nil"/>
              <w:bottom w:val="nil"/>
              <w:right w:val="single" w:sz="4" w:space="0" w:color="auto"/>
            </w:tcBorders>
            <w:vAlign w:val="center"/>
          </w:tcPr>
          <w:p w14:paraId="53629423" w14:textId="5590E9CA" w:rsidR="00016910" w:rsidRPr="008B546B" w:rsidRDefault="00016910" w:rsidP="00016910">
            <w:pPr>
              <w:rPr>
                <w:rFonts w:ascii="Arial" w:hAnsi="Arial" w:cs="Arial"/>
                <w:color w:val="000000"/>
                <w:sz w:val="16"/>
                <w:szCs w:val="16"/>
              </w:rPr>
            </w:pPr>
            <w:r w:rsidRPr="008B546B">
              <w:rPr>
                <w:rFonts w:ascii="Arial" w:hAnsi="Arial" w:cs="Arial"/>
                <w:color w:val="000000"/>
                <w:sz w:val="16"/>
                <w:szCs w:val="16"/>
              </w:rPr>
              <w:t>2-10 years</w:t>
            </w:r>
          </w:p>
        </w:tc>
        <w:tc>
          <w:tcPr>
            <w:tcW w:w="3240" w:type="dxa"/>
            <w:tcBorders>
              <w:top w:val="nil"/>
              <w:left w:val="nil"/>
              <w:bottom w:val="single" w:sz="4" w:space="0" w:color="auto"/>
              <w:right w:val="single" w:sz="4" w:space="0" w:color="auto"/>
            </w:tcBorders>
            <w:vAlign w:val="center"/>
          </w:tcPr>
          <w:p w14:paraId="07D9D870" w14:textId="0EC18943" w:rsidR="00016910" w:rsidRPr="008B546B" w:rsidRDefault="00016910" w:rsidP="00016910">
            <w:pPr>
              <w:rPr>
                <w:rFonts w:ascii="Arial" w:hAnsi="Arial" w:cs="Arial"/>
                <w:color w:val="000000"/>
                <w:sz w:val="16"/>
                <w:szCs w:val="16"/>
              </w:rPr>
            </w:pPr>
            <w:r w:rsidRPr="008B546B">
              <w:rPr>
                <w:rFonts w:ascii="Arial" w:hAnsi="Arial" w:cs="Arial"/>
                <w:color w:val="000000"/>
                <w:sz w:val="16"/>
                <w:szCs w:val="16"/>
              </w:rPr>
              <w:t>2-10 years</w:t>
            </w:r>
          </w:p>
        </w:tc>
      </w:tr>
      <w:tr w:rsidR="00016910" w:rsidRPr="008B546B" w14:paraId="0893EC90" w14:textId="77777777" w:rsidTr="00016910">
        <w:trPr>
          <w:trHeight w:val="2240"/>
        </w:trPr>
        <w:tc>
          <w:tcPr>
            <w:tcW w:w="2597" w:type="dxa"/>
            <w:gridSpan w:val="2"/>
            <w:tcBorders>
              <w:top w:val="single" w:sz="4" w:space="0" w:color="auto"/>
              <w:left w:val="single" w:sz="4" w:space="0" w:color="auto"/>
              <w:bottom w:val="single" w:sz="4" w:space="0" w:color="auto"/>
              <w:right w:val="single" w:sz="4" w:space="0" w:color="auto"/>
            </w:tcBorders>
            <w:vAlign w:val="center"/>
            <w:hideMark/>
          </w:tcPr>
          <w:p w14:paraId="7A88CE60" w14:textId="24220473"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MOT Considerations /</w:t>
            </w:r>
            <w:r w:rsidRPr="008B546B">
              <w:rPr>
                <w:rFonts w:ascii="Arial" w:hAnsi="Arial" w:cs="Arial"/>
                <w:b/>
                <w:bCs/>
                <w:sz w:val="22"/>
                <w:szCs w:val="22"/>
              </w:rPr>
              <w:br/>
              <w:t xml:space="preserve">Cure </w:t>
            </w:r>
            <w:r>
              <w:rPr>
                <w:rFonts w:ascii="Arial" w:hAnsi="Arial" w:cs="Arial"/>
                <w:b/>
                <w:bCs/>
                <w:sz w:val="22"/>
                <w:szCs w:val="22"/>
              </w:rPr>
              <w:t>T</w:t>
            </w:r>
            <w:r w:rsidRPr="008B546B">
              <w:rPr>
                <w:rFonts w:ascii="Arial" w:hAnsi="Arial" w:cs="Arial"/>
                <w:b/>
                <w:bCs/>
                <w:sz w:val="22"/>
                <w:szCs w:val="22"/>
              </w:rPr>
              <w:t>ime</w:t>
            </w:r>
          </w:p>
        </w:tc>
        <w:tc>
          <w:tcPr>
            <w:tcW w:w="3330" w:type="dxa"/>
            <w:gridSpan w:val="2"/>
            <w:tcBorders>
              <w:top w:val="single" w:sz="4" w:space="0" w:color="auto"/>
              <w:left w:val="nil"/>
              <w:bottom w:val="single" w:sz="4" w:space="0" w:color="auto"/>
              <w:right w:val="single" w:sz="4" w:space="0" w:color="auto"/>
            </w:tcBorders>
          </w:tcPr>
          <w:p w14:paraId="6D623F38" w14:textId="56145B2D" w:rsidR="00016910" w:rsidRPr="008B546B" w:rsidRDefault="00016910" w:rsidP="00016910">
            <w:pPr>
              <w:rPr>
                <w:rFonts w:ascii="Arial" w:hAnsi="Arial" w:cs="Arial"/>
                <w:color w:val="000000"/>
                <w:sz w:val="16"/>
                <w:szCs w:val="16"/>
              </w:rPr>
            </w:pPr>
            <w:r w:rsidRPr="008B546B">
              <w:rPr>
                <w:rFonts w:ascii="Arial" w:hAnsi="Arial" w:cs="Arial"/>
                <w:color w:val="000000"/>
                <w:sz w:val="16"/>
                <w:szCs w:val="16"/>
              </w:rPr>
              <w:t>1. Traffic passing over a hot applied sealed crack is usually not an issue. However, traffic control during the application of the treatment should be in effect long enough to allow for adequate curing of the product and prevent tracking.</w:t>
            </w:r>
            <w:r w:rsidRPr="008B546B">
              <w:rPr>
                <w:rFonts w:ascii="Arial" w:hAnsi="Arial" w:cs="Arial"/>
                <w:color w:val="000000"/>
                <w:sz w:val="16"/>
                <w:szCs w:val="16"/>
              </w:rPr>
              <w:br/>
              <w:t>2. Hot applied rubber modified sealants, especially asphalt rubber, have excellent adhesion and do not require the application of a thin sand coating prior to</w:t>
            </w:r>
            <w:r>
              <w:rPr>
                <w:rFonts w:ascii="Arial" w:hAnsi="Arial" w:cs="Arial"/>
                <w:color w:val="000000"/>
                <w:sz w:val="16"/>
                <w:szCs w:val="16"/>
              </w:rPr>
              <w:t xml:space="preserve"> </w:t>
            </w:r>
            <w:r w:rsidRPr="008B546B">
              <w:rPr>
                <w:rFonts w:ascii="Arial" w:hAnsi="Arial" w:cs="Arial"/>
                <w:color w:val="000000"/>
                <w:sz w:val="16"/>
                <w:szCs w:val="16"/>
              </w:rPr>
              <w:t xml:space="preserve">trafficking. Emulsions must be </w:t>
            </w:r>
            <w:r>
              <w:rPr>
                <w:rFonts w:ascii="Arial" w:hAnsi="Arial" w:cs="Arial"/>
                <w:color w:val="000000"/>
                <w:sz w:val="16"/>
                <w:szCs w:val="16"/>
              </w:rPr>
              <w:t>detacked</w:t>
            </w:r>
            <w:r w:rsidRPr="008B546B">
              <w:rPr>
                <w:rFonts w:ascii="Arial" w:hAnsi="Arial" w:cs="Arial"/>
                <w:color w:val="000000"/>
                <w:sz w:val="16"/>
                <w:szCs w:val="16"/>
              </w:rPr>
              <w:t xml:space="preserve"> prior to being trafficked.</w:t>
            </w:r>
          </w:p>
        </w:tc>
        <w:tc>
          <w:tcPr>
            <w:tcW w:w="3240" w:type="dxa"/>
            <w:tcBorders>
              <w:top w:val="nil"/>
              <w:left w:val="nil"/>
              <w:bottom w:val="single" w:sz="4" w:space="0" w:color="auto"/>
              <w:right w:val="single" w:sz="4" w:space="0" w:color="auto"/>
            </w:tcBorders>
          </w:tcPr>
          <w:p w14:paraId="6D203B68" w14:textId="6B2F8C6A" w:rsidR="00016910" w:rsidRPr="008B546B" w:rsidRDefault="009C75C9" w:rsidP="00016910">
            <w:pPr>
              <w:rPr>
                <w:rFonts w:ascii="Arial" w:hAnsi="Arial" w:cs="Arial"/>
                <w:color w:val="000000"/>
                <w:sz w:val="16"/>
                <w:szCs w:val="16"/>
              </w:rPr>
            </w:pPr>
            <w:r>
              <w:rPr>
                <w:rFonts w:ascii="Arial" w:hAnsi="Arial" w:cs="Arial"/>
                <w:color w:val="000000"/>
                <w:sz w:val="16"/>
                <w:szCs w:val="16"/>
              </w:rPr>
              <w:t>Can be opened in 15-30 mionutes.</w:t>
            </w:r>
          </w:p>
        </w:tc>
      </w:tr>
      <w:tr w:rsidR="00016910" w:rsidRPr="008B546B" w14:paraId="35BD462C" w14:textId="77777777" w:rsidTr="00976EFA">
        <w:trPr>
          <w:trHeight w:val="315"/>
        </w:trPr>
        <w:tc>
          <w:tcPr>
            <w:tcW w:w="2597"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DE6F375" w14:textId="77777777" w:rsidR="00016910" w:rsidRDefault="00016910" w:rsidP="00016910">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2</w:t>
            </w:r>
          </w:p>
          <w:p w14:paraId="10168A40" w14:textId="77777777" w:rsidR="00016910" w:rsidRDefault="00016910" w:rsidP="00016910">
            <w:pPr>
              <w:jc w:val="center"/>
              <w:rPr>
                <w:rFonts w:ascii="Bell MT" w:hAnsi="Bell MT" w:cs="Calibri"/>
                <w:b/>
                <w:bCs/>
                <w:color w:val="000000"/>
                <w:sz w:val="28"/>
                <w:szCs w:val="28"/>
              </w:rPr>
            </w:pPr>
          </w:p>
          <w:p w14:paraId="4BC27C4F" w14:textId="77777777" w:rsidR="00016910" w:rsidRPr="008B546B" w:rsidRDefault="00016910" w:rsidP="00016910">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570" w:type="dxa"/>
            <w:gridSpan w:val="3"/>
            <w:tcBorders>
              <w:top w:val="single" w:sz="4" w:space="0" w:color="auto"/>
              <w:left w:val="single" w:sz="8" w:space="0" w:color="auto"/>
              <w:bottom w:val="single" w:sz="8" w:space="0" w:color="auto"/>
              <w:right w:val="single" w:sz="4" w:space="0" w:color="auto"/>
            </w:tcBorders>
            <w:vAlign w:val="bottom"/>
            <w:hideMark/>
          </w:tcPr>
          <w:p w14:paraId="7F27D257" w14:textId="77777777" w:rsidR="00016910" w:rsidRPr="008B546B" w:rsidRDefault="00016910" w:rsidP="00016910">
            <w:pPr>
              <w:pStyle w:val="Heading3"/>
              <w:ind w:left="1349" w:hanging="1349"/>
            </w:pPr>
            <w:bookmarkStart w:id="66" w:name="_SUPPLEMENTAL_INFORMATION_FOR_1"/>
            <w:bookmarkEnd w:id="66"/>
            <w:r w:rsidRPr="008B546B">
              <w:t>SUPPLEMENTAL INFORMATION FOR TREATMENT</w:t>
            </w:r>
            <w:r>
              <w:t>S A-2, A-3</w:t>
            </w:r>
            <w:r w:rsidRPr="008B546B">
              <w:t> </w:t>
            </w:r>
          </w:p>
        </w:tc>
      </w:tr>
      <w:tr w:rsidR="00016910" w:rsidRPr="008B546B" w14:paraId="73DF7825" w14:textId="77777777" w:rsidTr="00976EFA">
        <w:trPr>
          <w:trHeight w:val="317"/>
        </w:trPr>
        <w:tc>
          <w:tcPr>
            <w:tcW w:w="2597" w:type="dxa"/>
            <w:gridSpan w:val="2"/>
            <w:vMerge/>
            <w:tcBorders>
              <w:top w:val="single" w:sz="8" w:space="0" w:color="auto"/>
              <w:left w:val="single" w:sz="4" w:space="0" w:color="auto"/>
              <w:bottom w:val="single" w:sz="4" w:space="0" w:color="auto"/>
              <w:right w:val="single" w:sz="4" w:space="0" w:color="auto"/>
            </w:tcBorders>
            <w:vAlign w:val="center"/>
            <w:hideMark/>
          </w:tcPr>
          <w:p w14:paraId="3939D57C" w14:textId="77777777" w:rsidR="00016910" w:rsidRPr="008B546B" w:rsidRDefault="00016910" w:rsidP="00016910">
            <w:pPr>
              <w:rPr>
                <w:rFonts w:ascii="Bell MT" w:hAnsi="Bell MT" w:cs="Calibri"/>
                <w:b/>
                <w:bCs/>
                <w:color w:val="000000"/>
                <w:sz w:val="28"/>
                <w:szCs w:val="28"/>
              </w:rPr>
            </w:pPr>
          </w:p>
        </w:tc>
        <w:tc>
          <w:tcPr>
            <w:tcW w:w="2970" w:type="dxa"/>
            <w:vMerge w:val="restart"/>
            <w:tcBorders>
              <w:top w:val="nil"/>
              <w:left w:val="single" w:sz="4" w:space="0" w:color="auto"/>
              <w:bottom w:val="single" w:sz="4" w:space="0" w:color="auto"/>
              <w:right w:val="single" w:sz="4" w:space="0" w:color="auto"/>
            </w:tcBorders>
            <w:vAlign w:val="center"/>
            <w:hideMark/>
          </w:tcPr>
          <w:p w14:paraId="7ABFC52B" w14:textId="1EC301F8" w:rsidR="00016910" w:rsidRPr="00302D2D" w:rsidRDefault="00016910" w:rsidP="00016910">
            <w:pPr>
              <w:jc w:val="center"/>
              <w:rPr>
                <w:rStyle w:val="Hyperlink"/>
                <w:rFonts w:ascii="Arial" w:hAnsi="Arial" w:cs="Arial"/>
                <w:b/>
                <w:bCs/>
                <w:sz w:val="22"/>
                <w:szCs w:val="22"/>
              </w:rPr>
            </w:pPr>
            <w:r>
              <w:rPr>
                <w:rFonts w:ascii="Arial" w:hAnsi="Arial" w:cs="Arial"/>
                <w:b/>
                <w:bCs/>
                <w:color w:val="000000"/>
                <w:sz w:val="22"/>
                <w:szCs w:val="22"/>
              </w:rPr>
              <w:fldChar w:fldCharType="begin"/>
            </w:r>
            <w:r w:rsidR="00314138">
              <w:rPr>
                <w:rFonts w:ascii="Arial" w:hAnsi="Arial" w:cs="Arial"/>
                <w:b/>
                <w:bCs/>
                <w:color w:val="000000"/>
                <w:sz w:val="22"/>
                <w:szCs w:val="22"/>
              </w:rPr>
              <w:instrText>HYPERLINK  \l "A2_Crack_Seal_PCC"</w:instrText>
            </w:r>
            <w:r>
              <w:rPr>
                <w:rFonts w:ascii="Arial" w:hAnsi="Arial" w:cs="Arial"/>
                <w:b/>
                <w:bCs/>
                <w:color w:val="000000"/>
                <w:sz w:val="22"/>
                <w:szCs w:val="22"/>
              </w:rPr>
            </w:r>
            <w:r>
              <w:rPr>
                <w:rFonts w:ascii="Arial" w:hAnsi="Arial" w:cs="Arial"/>
                <w:b/>
                <w:bCs/>
                <w:color w:val="000000"/>
                <w:sz w:val="22"/>
                <w:szCs w:val="22"/>
              </w:rPr>
              <w:fldChar w:fldCharType="separate"/>
            </w:r>
            <w:r w:rsidRPr="00302D2D">
              <w:rPr>
                <w:rStyle w:val="Hyperlink"/>
                <w:rFonts w:ascii="Arial" w:hAnsi="Arial" w:cs="Arial"/>
                <w:b/>
                <w:bCs/>
                <w:sz w:val="22"/>
                <w:szCs w:val="22"/>
              </w:rPr>
              <w:t xml:space="preserve">A-2. Crack Seal </w:t>
            </w:r>
          </w:p>
          <w:p w14:paraId="29FBFBA2" w14:textId="77777777" w:rsidR="00016910" w:rsidRDefault="00016910" w:rsidP="00016910">
            <w:pPr>
              <w:jc w:val="center"/>
              <w:rPr>
                <w:rFonts w:ascii="Arial" w:hAnsi="Arial" w:cs="Arial"/>
                <w:b/>
                <w:bCs/>
                <w:color w:val="000000"/>
                <w:sz w:val="22"/>
                <w:szCs w:val="22"/>
              </w:rPr>
            </w:pPr>
            <w:r w:rsidRPr="00302D2D">
              <w:rPr>
                <w:rStyle w:val="Hyperlink"/>
                <w:rFonts w:ascii="Arial" w:hAnsi="Arial" w:cs="Arial"/>
                <w:b/>
                <w:bCs/>
                <w:sz w:val="22"/>
                <w:szCs w:val="22"/>
              </w:rPr>
              <w:t>(Concrete Surface)</w:t>
            </w:r>
            <w:r>
              <w:rPr>
                <w:rFonts w:ascii="Arial" w:hAnsi="Arial" w:cs="Arial"/>
                <w:b/>
                <w:bCs/>
                <w:color w:val="000000"/>
                <w:sz w:val="22"/>
                <w:szCs w:val="22"/>
              </w:rPr>
              <w:fldChar w:fldCharType="end"/>
            </w:r>
          </w:p>
        </w:tc>
        <w:tc>
          <w:tcPr>
            <w:tcW w:w="3600" w:type="dxa"/>
            <w:gridSpan w:val="2"/>
            <w:vMerge w:val="restart"/>
            <w:tcBorders>
              <w:top w:val="nil"/>
              <w:left w:val="nil"/>
              <w:bottom w:val="single" w:sz="4" w:space="0" w:color="000000"/>
              <w:right w:val="single" w:sz="4" w:space="0" w:color="auto"/>
            </w:tcBorders>
            <w:vAlign w:val="center"/>
            <w:hideMark/>
          </w:tcPr>
          <w:p w14:paraId="42F136D1" w14:textId="227D0C42" w:rsidR="00016910" w:rsidRPr="00302D2D" w:rsidRDefault="00016910" w:rsidP="00016910">
            <w:pPr>
              <w:jc w:val="center"/>
              <w:rPr>
                <w:rStyle w:val="Hyperlink"/>
                <w:rFonts w:ascii="Arial" w:hAnsi="Arial" w:cs="Arial"/>
                <w:b/>
                <w:bCs/>
                <w:sz w:val="22"/>
                <w:szCs w:val="22"/>
              </w:rPr>
            </w:pPr>
            <w:r>
              <w:rPr>
                <w:rFonts w:ascii="Arial" w:hAnsi="Arial" w:cs="Arial"/>
                <w:b/>
                <w:bCs/>
                <w:color w:val="000000"/>
                <w:sz w:val="22"/>
                <w:szCs w:val="22"/>
              </w:rPr>
              <w:fldChar w:fldCharType="begin"/>
            </w:r>
            <w:r w:rsidR="00314138">
              <w:rPr>
                <w:rFonts w:ascii="Arial" w:hAnsi="Arial" w:cs="Arial"/>
                <w:b/>
                <w:bCs/>
                <w:color w:val="000000"/>
                <w:sz w:val="22"/>
                <w:szCs w:val="22"/>
              </w:rPr>
              <w:instrText>HYPERLINK  \l "A3_Joint_Seal"</w:instrText>
            </w:r>
            <w:r>
              <w:rPr>
                <w:rFonts w:ascii="Arial" w:hAnsi="Arial" w:cs="Arial"/>
                <w:b/>
                <w:bCs/>
                <w:color w:val="000000"/>
                <w:sz w:val="22"/>
                <w:szCs w:val="22"/>
              </w:rPr>
            </w:r>
            <w:r>
              <w:rPr>
                <w:rFonts w:ascii="Arial" w:hAnsi="Arial" w:cs="Arial"/>
                <w:b/>
                <w:bCs/>
                <w:color w:val="000000"/>
                <w:sz w:val="22"/>
                <w:szCs w:val="22"/>
              </w:rPr>
              <w:fldChar w:fldCharType="separate"/>
            </w:r>
            <w:r w:rsidRPr="00302D2D">
              <w:rPr>
                <w:rStyle w:val="Hyperlink"/>
                <w:rFonts w:ascii="Arial" w:hAnsi="Arial" w:cs="Arial"/>
                <w:b/>
                <w:bCs/>
                <w:sz w:val="22"/>
                <w:szCs w:val="22"/>
              </w:rPr>
              <w:t xml:space="preserve">A-3. Joint Sealing </w:t>
            </w:r>
          </w:p>
          <w:p w14:paraId="3AD0B5E9" w14:textId="77777777" w:rsidR="00016910" w:rsidRDefault="00016910" w:rsidP="00016910">
            <w:pPr>
              <w:jc w:val="center"/>
              <w:rPr>
                <w:rFonts w:ascii="Arial" w:hAnsi="Arial" w:cs="Arial"/>
                <w:b/>
                <w:bCs/>
                <w:color w:val="000000"/>
                <w:sz w:val="22"/>
                <w:szCs w:val="22"/>
              </w:rPr>
            </w:pPr>
            <w:r w:rsidRPr="00302D2D">
              <w:rPr>
                <w:rStyle w:val="Hyperlink"/>
                <w:rFonts w:ascii="Arial" w:hAnsi="Arial" w:cs="Arial"/>
                <w:b/>
                <w:bCs/>
                <w:sz w:val="22"/>
                <w:szCs w:val="22"/>
              </w:rPr>
              <w:t>(and Resealing)</w:t>
            </w:r>
            <w:r>
              <w:rPr>
                <w:rFonts w:ascii="Arial" w:hAnsi="Arial" w:cs="Arial"/>
                <w:b/>
                <w:bCs/>
                <w:color w:val="000000"/>
                <w:sz w:val="22"/>
                <w:szCs w:val="22"/>
              </w:rPr>
              <w:fldChar w:fldCharType="end"/>
            </w:r>
          </w:p>
        </w:tc>
      </w:tr>
      <w:tr w:rsidR="00016910" w:rsidRPr="008B546B" w14:paraId="1A2F6D41" w14:textId="77777777" w:rsidTr="00976EFA">
        <w:trPr>
          <w:trHeight w:val="317"/>
        </w:trPr>
        <w:tc>
          <w:tcPr>
            <w:tcW w:w="2597" w:type="dxa"/>
            <w:gridSpan w:val="2"/>
            <w:vMerge/>
            <w:tcBorders>
              <w:top w:val="single" w:sz="8" w:space="0" w:color="auto"/>
              <w:left w:val="single" w:sz="4" w:space="0" w:color="auto"/>
              <w:bottom w:val="single" w:sz="4" w:space="0" w:color="auto"/>
              <w:right w:val="single" w:sz="4" w:space="0" w:color="auto"/>
            </w:tcBorders>
            <w:vAlign w:val="center"/>
            <w:hideMark/>
          </w:tcPr>
          <w:p w14:paraId="5F110EBD" w14:textId="77777777" w:rsidR="00016910" w:rsidRPr="008B546B" w:rsidRDefault="00016910" w:rsidP="00016910">
            <w:pPr>
              <w:rPr>
                <w:rFonts w:ascii="Bell MT" w:hAnsi="Bell MT" w:cs="Calibri"/>
                <w:b/>
                <w:bCs/>
                <w:color w:val="000000"/>
                <w:sz w:val="28"/>
                <w:szCs w:val="28"/>
              </w:rPr>
            </w:pPr>
          </w:p>
        </w:tc>
        <w:tc>
          <w:tcPr>
            <w:tcW w:w="2970" w:type="dxa"/>
            <w:vMerge/>
            <w:tcBorders>
              <w:top w:val="nil"/>
              <w:left w:val="single" w:sz="4" w:space="0" w:color="auto"/>
              <w:bottom w:val="single" w:sz="4" w:space="0" w:color="auto"/>
              <w:right w:val="single" w:sz="4" w:space="0" w:color="auto"/>
            </w:tcBorders>
            <w:vAlign w:val="center"/>
            <w:hideMark/>
          </w:tcPr>
          <w:p w14:paraId="2C6F46B2" w14:textId="77777777" w:rsidR="00016910" w:rsidRPr="008B546B" w:rsidRDefault="00016910" w:rsidP="00016910">
            <w:pPr>
              <w:rPr>
                <w:rFonts w:ascii="Arial" w:hAnsi="Arial" w:cs="Arial"/>
                <w:b/>
                <w:bCs/>
                <w:color w:val="000000"/>
                <w:sz w:val="22"/>
                <w:szCs w:val="22"/>
              </w:rPr>
            </w:pPr>
          </w:p>
        </w:tc>
        <w:tc>
          <w:tcPr>
            <w:tcW w:w="3600" w:type="dxa"/>
            <w:gridSpan w:val="2"/>
            <w:vMerge/>
            <w:tcBorders>
              <w:top w:val="nil"/>
              <w:left w:val="nil"/>
              <w:bottom w:val="single" w:sz="4" w:space="0" w:color="000000"/>
              <w:right w:val="single" w:sz="4" w:space="0" w:color="auto"/>
            </w:tcBorders>
            <w:vAlign w:val="center"/>
            <w:hideMark/>
          </w:tcPr>
          <w:p w14:paraId="43F7F2EE" w14:textId="77777777" w:rsidR="00016910" w:rsidRPr="008B546B" w:rsidRDefault="00016910" w:rsidP="00016910">
            <w:pPr>
              <w:rPr>
                <w:rFonts w:ascii="Arial" w:hAnsi="Arial" w:cs="Arial"/>
                <w:b/>
                <w:bCs/>
                <w:color w:val="000000"/>
                <w:sz w:val="22"/>
                <w:szCs w:val="22"/>
              </w:rPr>
            </w:pPr>
          </w:p>
        </w:tc>
      </w:tr>
      <w:tr w:rsidR="00016910" w:rsidRPr="008B546B" w14:paraId="0003F59B" w14:textId="77777777" w:rsidTr="00976EFA">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287F1375" w14:textId="77777777"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57" w:type="dxa"/>
            <w:tcBorders>
              <w:top w:val="nil"/>
              <w:left w:val="nil"/>
              <w:bottom w:val="single" w:sz="4" w:space="0" w:color="auto"/>
              <w:right w:val="single" w:sz="4" w:space="0" w:color="auto"/>
            </w:tcBorders>
            <w:vAlign w:val="center"/>
            <w:hideMark/>
          </w:tcPr>
          <w:p w14:paraId="2E1A35DD" w14:textId="77777777" w:rsidR="00016910" w:rsidRPr="008B546B" w:rsidRDefault="00016910" w:rsidP="00016910">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970" w:type="dxa"/>
            <w:tcBorders>
              <w:top w:val="nil"/>
              <w:left w:val="nil"/>
              <w:bottom w:val="single" w:sz="4" w:space="0" w:color="auto"/>
              <w:right w:val="single" w:sz="4" w:space="0" w:color="auto"/>
            </w:tcBorders>
            <w:vAlign w:val="bottom"/>
            <w:hideMark/>
          </w:tcPr>
          <w:p w14:paraId="3E912844" w14:textId="77777777" w:rsidR="00016910" w:rsidRDefault="00016910" w:rsidP="00016910">
            <w:pPr>
              <w:jc w:val="center"/>
              <w:rPr>
                <w:rFonts w:ascii="Arial" w:hAnsi="Arial" w:cs="Arial"/>
                <w:b/>
                <w:bCs/>
                <w:color w:val="000000"/>
                <w:sz w:val="16"/>
                <w:szCs w:val="16"/>
              </w:rPr>
            </w:pPr>
            <w:r>
              <w:rPr>
                <w:rFonts w:ascii="Arial" w:hAnsi="Arial" w:cs="Arial"/>
                <w:b/>
                <w:bCs/>
                <w:color w:val="000000"/>
                <w:sz w:val="16"/>
                <w:szCs w:val="16"/>
              </w:rPr>
              <w:t> </w:t>
            </w:r>
          </w:p>
        </w:tc>
        <w:tc>
          <w:tcPr>
            <w:tcW w:w="3600" w:type="dxa"/>
            <w:gridSpan w:val="2"/>
            <w:tcBorders>
              <w:top w:val="nil"/>
              <w:left w:val="nil"/>
              <w:bottom w:val="single" w:sz="4" w:space="0" w:color="auto"/>
              <w:right w:val="single" w:sz="4" w:space="0" w:color="auto"/>
            </w:tcBorders>
            <w:vAlign w:val="bottom"/>
            <w:hideMark/>
          </w:tcPr>
          <w:p w14:paraId="61C28F65" w14:textId="77777777" w:rsidR="00016910" w:rsidRPr="008B546B" w:rsidRDefault="00016910" w:rsidP="00016910">
            <w:pPr>
              <w:jc w:val="center"/>
              <w:rPr>
                <w:rFonts w:ascii="Arial" w:hAnsi="Arial" w:cs="Arial"/>
                <w:b/>
                <w:bCs/>
                <w:color w:val="000000"/>
                <w:sz w:val="16"/>
                <w:szCs w:val="16"/>
              </w:rPr>
            </w:pPr>
            <w:r w:rsidRPr="008B546B">
              <w:rPr>
                <w:rFonts w:ascii="Arial" w:hAnsi="Arial" w:cs="Arial"/>
                <w:b/>
                <w:bCs/>
                <w:color w:val="000000"/>
                <w:sz w:val="16"/>
                <w:szCs w:val="16"/>
              </w:rPr>
              <w:t> </w:t>
            </w:r>
          </w:p>
        </w:tc>
      </w:tr>
      <w:tr w:rsidR="00016910" w:rsidRPr="008B546B" w14:paraId="7D731232"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2F1DB9B"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038287CE" w14:textId="4F420389" w:rsidR="00016910" w:rsidRPr="008B546B" w:rsidRDefault="00016910" w:rsidP="00016910">
            <w:pPr>
              <w:jc w:val="center"/>
              <w:rPr>
                <w:rFonts w:ascii="Arial" w:hAnsi="Arial" w:cs="Arial"/>
                <w:b/>
                <w:bCs/>
                <w:color w:val="000000"/>
                <w:sz w:val="18"/>
                <w:szCs w:val="18"/>
              </w:rPr>
            </w:pPr>
            <w:r w:rsidRPr="008B546B">
              <w:rPr>
                <w:rFonts w:ascii="Arial" w:hAnsi="Arial" w:cs="Arial"/>
                <w:b/>
                <w:bCs/>
                <w:color w:val="000000"/>
                <w:sz w:val="18"/>
                <w:szCs w:val="18"/>
              </w:rPr>
              <w:t>FC</w:t>
            </w:r>
            <w:r>
              <w:rPr>
                <w:rFonts w:ascii="Arial" w:hAnsi="Arial" w:cs="Arial"/>
                <w:b/>
                <w:bCs/>
                <w:color w:val="000000"/>
                <w:sz w:val="18"/>
                <w:szCs w:val="18"/>
              </w:rPr>
              <w:t>D</w:t>
            </w:r>
          </w:p>
        </w:tc>
        <w:tc>
          <w:tcPr>
            <w:tcW w:w="2970" w:type="dxa"/>
            <w:tcBorders>
              <w:top w:val="nil"/>
              <w:left w:val="nil"/>
              <w:bottom w:val="single" w:sz="4" w:space="0" w:color="auto"/>
              <w:right w:val="single" w:sz="4" w:space="0" w:color="auto"/>
            </w:tcBorders>
            <w:vAlign w:val="center"/>
            <w:hideMark/>
          </w:tcPr>
          <w:p w14:paraId="41A09781" w14:textId="77777777" w:rsidR="00016910" w:rsidRDefault="00016910" w:rsidP="00016910">
            <w:pPr>
              <w:jc w:val="center"/>
              <w:rPr>
                <w:rFonts w:ascii="Arial" w:hAnsi="Arial" w:cs="Arial"/>
                <w:b/>
                <w:bCs/>
                <w:color w:val="000000"/>
                <w:sz w:val="16"/>
                <w:szCs w:val="16"/>
              </w:rPr>
            </w:pPr>
            <w:r>
              <w:rPr>
                <w:rFonts w:ascii="Arial" w:hAnsi="Arial" w:cs="Arial"/>
                <w:b/>
                <w:bCs/>
                <w:color w:val="000000"/>
                <w:sz w:val="16"/>
                <w:szCs w:val="16"/>
              </w:rPr>
              <w:t>Yes</w:t>
            </w:r>
          </w:p>
        </w:tc>
        <w:tc>
          <w:tcPr>
            <w:tcW w:w="3600" w:type="dxa"/>
            <w:gridSpan w:val="2"/>
            <w:tcBorders>
              <w:top w:val="nil"/>
              <w:left w:val="nil"/>
              <w:bottom w:val="single" w:sz="4" w:space="0" w:color="auto"/>
              <w:right w:val="single" w:sz="4" w:space="0" w:color="auto"/>
            </w:tcBorders>
            <w:vAlign w:val="center"/>
            <w:hideMark/>
          </w:tcPr>
          <w:p w14:paraId="48E111C2" w14:textId="77777777" w:rsidR="00016910" w:rsidRPr="008B546B" w:rsidRDefault="00016910" w:rsidP="00016910">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016910" w:rsidRPr="008B546B" w14:paraId="72E95D15"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28DF662"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5B31EEEF" w14:textId="328E7BFB" w:rsidR="00016910" w:rsidRPr="008B546B" w:rsidRDefault="00016910" w:rsidP="00016910">
            <w:pPr>
              <w:jc w:val="center"/>
              <w:rPr>
                <w:rFonts w:ascii="Arial" w:hAnsi="Arial" w:cs="Arial"/>
                <w:b/>
                <w:bCs/>
                <w:color w:val="000000"/>
                <w:sz w:val="18"/>
                <w:szCs w:val="18"/>
              </w:rPr>
            </w:pPr>
            <w:r w:rsidRPr="008B546B">
              <w:rPr>
                <w:rFonts w:ascii="Arial" w:hAnsi="Arial" w:cs="Arial"/>
                <w:b/>
                <w:bCs/>
                <w:color w:val="000000"/>
                <w:sz w:val="18"/>
                <w:szCs w:val="18"/>
              </w:rPr>
              <w:t>SC</w:t>
            </w:r>
            <w:r>
              <w:rPr>
                <w:rFonts w:ascii="Arial" w:hAnsi="Arial" w:cs="Arial"/>
                <w:b/>
                <w:bCs/>
                <w:color w:val="000000"/>
                <w:sz w:val="18"/>
                <w:szCs w:val="18"/>
              </w:rPr>
              <w:t>D</w:t>
            </w:r>
          </w:p>
        </w:tc>
        <w:tc>
          <w:tcPr>
            <w:tcW w:w="2970" w:type="dxa"/>
            <w:tcBorders>
              <w:top w:val="nil"/>
              <w:left w:val="nil"/>
              <w:bottom w:val="single" w:sz="4" w:space="0" w:color="auto"/>
              <w:right w:val="single" w:sz="4" w:space="0" w:color="auto"/>
            </w:tcBorders>
            <w:vAlign w:val="bottom"/>
            <w:hideMark/>
          </w:tcPr>
          <w:p w14:paraId="25A81ECB" w14:textId="77777777" w:rsidR="00016910" w:rsidRDefault="00016910" w:rsidP="00016910">
            <w:pPr>
              <w:jc w:val="center"/>
              <w:rPr>
                <w:rFonts w:ascii="Arial" w:hAnsi="Arial" w:cs="Arial"/>
                <w:b/>
                <w:bCs/>
                <w:color w:val="000000"/>
                <w:sz w:val="16"/>
                <w:szCs w:val="16"/>
              </w:rPr>
            </w:pPr>
            <w:r>
              <w:rPr>
                <w:rFonts w:ascii="Arial" w:hAnsi="Arial" w:cs="Arial"/>
                <w:b/>
                <w:bCs/>
                <w:color w:val="000000"/>
                <w:sz w:val="16"/>
                <w:szCs w:val="16"/>
              </w:rPr>
              <w:t> </w:t>
            </w:r>
          </w:p>
        </w:tc>
        <w:tc>
          <w:tcPr>
            <w:tcW w:w="3600" w:type="dxa"/>
            <w:gridSpan w:val="2"/>
            <w:tcBorders>
              <w:top w:val="nil"/>
              <w:left w:val="nil"/>
              <w:bottom w:val="single" w:sz="4" w:space="0" w:color="auto"/>
              <w:right w:val="single" w:sz="4" w:space="0" w:color="auto"/>
            </w:tcBorders>
            <w:vAlign w:val="bottom"/>
            <w:hideMark/>
          </w:tcPr>
          <w:p w14:paraId="3DB20EAA" w14:textId="77777777" w:rsidR="00016910" w:rsidRPr="008B546B" w:rsidRDefault="00016910" w:rsidP="00016910">
            <w:pPr>
              <w:jc w:val="center"/>
              <w:rPr>
                <w:rFonts w:ascii="Arial" w:hAnsi="Arial" w:cs="Arial"/>
                <w:b/>
                <w:bCs/>
                <w:color w:val="000000"/>
                <w:sz w:val="16"/>
                <w:szCs w:val="16"/>
              </w:rPr>
            </w:pPr>
            <w:r w:rsidRPr="008B546B">
              <w:rPr>
                <w:rFonts w:ascii="Arial" w:hAnsi="Arial" w:cs="Arial"/>
                <w:b/>
                <w:bCs/>
                <w:color w:val="000000"/>
                <w:sz w:val="16"/>
                <w:szCs w:val="16"/>
              </w:rPr>
              <w:t> </w:t>
            </w:r>
          </w:p>
        </w:tc>
      </w:tr>
      <w:tr w:rsidR="00016910" w:rsidRPr="008B546B" w14:paraId="7EDA2883"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DA4D9D9"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38465756" w14:textId="77777777" w:rsidR="00016910" w:rsidRPr="008B546B" w:rsidRDefault="00016910" w:rsidP="00016910">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970" w:type="dxa"/>
            <w:tcBorders>
              <w:top w:val="nil"/>
              <w:left w:val="nil"/>
              <w:bottom w:val="single" w:sz="4" w:space="0" w:color="auto"/>
              <w:right w:val="single" w:sz="4" w:space="0" w:color="auto"/>
            </w:tcBorders>
            <w:vAlign w:val="bottom"/>
            <w:hideMark/>
          </w:tcPr>
          <w:p w14:paraId="7D9161AB" w14:textId="77777777" w:rsidR="00016910" w:rsidRDefault="00016910" w:rsidP="00016910">
            <w:pPr>
              <w:jc w:val="center"/>
              <w:rPr>
                <w:rFonts w:ascii="Arial" w:hAnsi="Arial" w:cs="Arial"/>
                <w:b/>
                <w:bCs/>
                <w:color w:val="000000"/>
                <w:sz w:val="16"/>
                <w:szCs w:val="16"/>
              </w:rPr>
            </w:pPr>
            <w:r>
              <w:rPr>
                <w:rFonts w:ascii="Arial" w:hAnsi="Arial" w:cs="Arial"/>
                <w:b/>
                <w:bCs/>
                <w:color w:val="000000"/>
                <w:sz w:val="16"/>
                <w:szCs w:val="16"/>
              </w:rPr>
              <w:t> </w:t>
            </w:r>
          </w:p>
        </w:tc>
        <w:tc>
          <w:tcPr>
            <w:tcW w:w="3600" w:type="dxa"/>
            <w:gridSpan w:val="2"/>
            <w:tcBorders>
              <w:top w:val="nil"/>
              <w:left w:val="nil"/>
              <w:bottom w:val="single" w:sz="4" w:space="0" w:color="auto"/>
              <w:right w:val="single" w:sz="4" w:space="0" w:color="auto"/>
            </w:tcBorders>
            <w:vAlign w:val="bottom"/>
            <w:hideMark/>
          </w:tcPr>
          <w:p w14:paraId="4D5CDEBF" w14:textId="77777777" w:rsidR="00016910" w:rsidRPr="008B546B" w:rsidRDefault="00016910" w:rsidP="00016910">
            <w:pPr>
              <w:jc w:val="center"/>
              <w:rPr>
                <w:rFonts w:ascii="Arial" w:hAnsi="Arial" w:cs="Arial"/>
                <w:b/>
                <w:bCs/>
                <w:color w:val="000000"/>
                <w:sz w:val="16"/>
                <w:szCs w:val="16"/>
              </w:rPr>
            </w:pPr>
            <w:r w:rsidRPr="008B546B">
              <w:rPr>
                <w:rFonts w:ascii="Arial" w:hAnsi="Arial" w:cs="Arial"/>
                <w:b/>
                <w:bCs/>
                <w:color w:val="000000"/>
                <w:sz w:val="16"/>
                <w:szCs w:val="16"/>
              </w:rPr>
              <w:t> </w:t>
            </w:r>
          </w:p>
        </w:tc>
      </w:tr>
      <w:tr w:rsidR="00016910" w:rsidRPr="008B546B" w14:paraId="07C67E82"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25135B5"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50862E01" w14:textId="77777777" w:rsidR="00016910" w:rsidRPr="008B546B" w:rsidRDefault="00016910" w:rsidP="00016910">
            <w:pPr>
              <w:jc w:val="center"/>
              <w:rPr>
                <w:rFonts w:ascii="Arial" w:hAnsi="Arial" w:cs="Arial"/>
                <w:b/>
                <w:bCs/>
                <w:color w:val="000000"/>
                <w:sz w:val="18"/>
                <w:szCs w:val="18"/>
              </w:rPr>
            </w:pPr>
            <w:r>
              <w:rPr>
                <w:rFonts w:ascii="Arial" w:hAnsi="Arial" w:cs="Arial"/>
                <w:b/>
                <w:bCs/>
                <w:color w:val="000000"/>
                <w:sz w:val="18"/>
                <w:szCs w:val="18"/>
              </w:rPr>
              <w:t>Skid</w:t>
            </w:r>
          </w:p>
        </w:tc>
        <w:tc>
          <w:tcPr>
            <w:tcW w:w="2970" w:type="dxa"/>
            <w:tcBorders>
              <w:top w:val="nil"/>
              <w:left w:val="nil"/>
              <w:bottom w:val="single" w:sz="4" w:space="0" w:color="auto"/>
              <w:right w:val="single" w:sz="4" w:space="0" w:color="auto"/>
            </w:tcBorders>
            <w:vAlign w:val="bottom"/>
            <w:hideMark/>
          </w:tcPr>
          <w:p w14:paraId="469FC09E" w14:textId="77777777" w:rsidR="00016910" w:rsidRDefault="00016910" w:rsidP="00016910">
            <w:pPr>
              <w:jc w:val="center"/>
              <w:rPr>
                <w:rFonts w:ascii="Arial" w:hAnsi="Arial" w:cs="Arial"/>
                <w:b/>
                <w:bCs/>
                <w:color w:val="000000"/>
                <w:sz w:val="16"/>
                <w:szCs w:val="16"/>
              </w:rPr>
            </w:pPr>
            <w:r>
              <w:rPr>
                <w:rFonts w:ascii="Arial" w:hAnsi="Arial" w:cs="Arial"/>
                <w:b/>
                <w:bCs/>
                <w:color w:val="000000"/>
                <w:sz w:val="16"/>
                <w:szCs w:val="16"/>
              </w:rPr>
              <w:t> </w:t>
            </w:r>
          </w:p>
        </w:tc>
        <w:tc>
          <w:tcPr>
            <w:tcW w:w="3600" w:type="dxa"/>
            <w:gridSpan w:val="2"/>
            <w:tcBorders>
              <w:top w:val="nil"/>
              <w:left w:val="nil"/>
              <w:bottom w:val="single" w:sz="4" w:space="0" w:color="auto"/>
              <w:right w:val="single" w:sz="4" w:space="0" w:color="auto"/>
            </w:tcBorders>
            <w:vAlign w:val="bottom"/>
            <w:hideMark/>
          </w:tcPr>
          <w:p w14:paraId="79AD4895" w14:textId="77777777" w:rsidR="00016910" w:rsidRPr="008B546B" w:rsidRDefault="00016910" w:rsidP="00016910">
            <w:pPr>
              <w:jc w:val="center"/>
              <w:rPr>
                <w:rFonts w:ascii="Arial" w:hAnsi="Arial" w:cs="Arial"/>
                <w:b/>
                <w:bCs/>
                <w:color w:val="000000"/>
                <w:sz w:val="16"/>
                <w:szCs w:val="16"/>
              </w:rPr>
            </w:pPr>
            <w:r w:rsidRPr="008B546B">
              <w:rPr>
                <w:rFonts w:ascii="Arial" w:hAnsi="Arial" w:cs="Arial"/>
                <w:b/>
                <w:bCs/>
                <w:color w:val="000000"/>
                <w:sz w:val="16"/>
                <w:szCs w:val="16"/>
              </w:rPr>
              <w:t> </w:t>
            </w:r>
          </w:p>
        </w:tc>
      </w:tr>
      <w:tr w:rsidR="00016910" w:rsidRPr="008B546B" w14:paraId="1DC70FFC"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64EFF6CC"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64DBEB70" w14:textId="77777777" w:rsidR="00016910" w:rsidRPr="008B546B" w:rsidRDefault="00016910" w:rsidP="00016910">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970" w:type="dxa"/>
            <w:tcBorders>
              <w:top w:val="nil"/>
              <w:left w:val="nil"/>
              <w:bottom w:val="single" w:sz="4" w:space="0" w:color="auto"/>
              <w:right w:val="single" w:sz="4" w:space="0" w:color="auto"/>
            </w:tcBorders>
            <w:vAlign w:val="center"/>
            <w:hideMark/>
          </w:tcPr>
          <w:p w14:paraId="63E42723" w14:textId="77777777" w:rsidR="00016910" w:rsidRDefault="00016910" w:rsidP="00016910">
            <w:pPr>
              <w:jc w:val="center"/>
              <w:rPr>
                <w:rFonts w:ascii="Arial" w:hAnsi="Arial" w:cs="Arial"/>
                <w:b/>
                <w:bCs/>
                <w:color w:val="000000"/>
                <w:sz w:val="16"/>
                <w:szCs w:val="16"/>
              </w:rPr>
            </w:pPr>
            <w:r>
              <w:rPr>
                <w:rFonts w:ascii="Arial" w:hAnsi="Arial" w:cs="Arial"/>
                <w:b/>
                <w:bCs/>
                <w:color w:val="000000"/>
                <w:sz w:val="16"/>
                <w:szCs w:val="16"/>
              </w:rPr>
              <w:t>Yes</w:t>
            </w:r>
          </w:p>
        </w:tc>
        <w:tc>
          <w:tcPr>
            <w:tcW w:w="3600" w:type="dxa"/>
            <w:gridSpan w:val="2"/>
            <w:tcBorders>
              <w:top w:val="nil"/>
              <w:left w:val="nil"/>
              <w:bottom w:val="single" w:sz="4" w:space="0" w:color="auto"/>
              <w:right w:val="single" w:sz="4" w:space="0" w:color="auto"/>
            </w:tcBorders>
            <w:vAlign w:val="center"/>
            <w:hideMark/>
          </w:tcPr>
          <w:p w14:paraId="42BE68CB" w14:textId="77777777" w:rsidR="00016910" w:rsidRPr="008B546B" w:rsidRDefault="00016910" w:rsidP="00016910">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016910" w:rsidRPr="008B546B" w14:paraId="682B8BD6" w14:textId="77777777" w:rsidTr="00976EFA">
        <w:trPr>
          <w:trHeight w:val="940"/>
        </w:trPr>
        <w:tc>
          <w:tcPr>
            <w:tcW w:w="2597" w:type="dxa"/>
            <w:gridSpan w:val="2"/>
            <w:tcBorders>
              <w:top w:val="single" w:sz="4" w:space="0" w:color="auto"/>
              <w:left w:val="single" w:sz="4" w:space="0" w:color="auto"/>
              <w:bottom w:val="single" w:sz="4" w:space="0" w:color="auto"/>
              <w:right w:val="single" w:sz="4" w:space="0" w:color="auto"/>
            </w:tcBorders>
            <w:vAlign w:val="center"/>
            <w:hideMark/>
          </w:tcPr>
          <w:p w14:paraId="78BD0106" w14:textId="1F372487"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2970" w:type="dxa"/>
            <w:tcBorders>
              <w:top w:val="nil"/>
              <w:left w:val="nil"/>
              <w:bottom w:val="single" w:sz="4" w:space="0" w:color="auto"/>
              <w:right w:val="single" w:sz="4" w:space="0" w:color="auto"/>
            </w:tcBorders>
            <w:hideMark/>
          </w:tcPr>
          <w:p w14:paraId="05DD3227" w14:textId="4C516DBB" w:rsidR="00016910" w:rsidRDefault="00016910" w:rsidP="00016910">
            <w:pPr>
              <w:rPr>
                <w:rFonts w:ascii="Arial" w:hAnsi="Arial" w:cs="Arial"/>
                <w:color w:val="000000"/>
                <w:sz w:val="16"/>
                <w:szCs w:val="16"/>
              </w:rPr>
            </w:pPr>
            <w:r>
              <w:rPr>
                <w:rFonts w:ascii="Arial" w:hAnsi="Arial" w:cs="Arial"/>
                <w:color w:val="000000"/>
                <w:sz w:val="16"/>
                <w:szCs w:val="16"/>
              </w:rPr>
              <w:t>1. Reduces or delays moisture damage, further crack deterioration and roughness.</w:t>
            </w:r>
            <w:r>
              <w:rPr>
                <w:rFonts w:ascii="Arial" w:hAnsi="Arial" w:cs="Arial"/>
                <w:color w:val="000000"/>
                <w:sz w:val="16"/>
                <w:szCs w:val="16"/>
              </w:rPr>
              <w:br/>
              <w:t>2. Performance is not significantly affected by varying ADT or truck levels.</w:t>
            </w:r>
          </w:p>
        </w:tc>
        <w:tc>
          <w:tcPr>
            <w:tcW w:w="3600" w:type="dxa"/>
            <w:gridSpan w:val="2"/>
            <w:tcBorders>
              <w:top w:val="nil"/>
              <w:left w:val="nil"/>
              <w:bottom w:val="single" w:sz="4" w:space="0" w:color="auto"/>
              <w:right w:val="single" w:sz="4" w:space="0" w:color="auto"/>
            </w:tcBorders>
            <w:hideMark/>
          </w:tcPr>
          <w:p w14:paraId="11D9B619" w14:textId="77777777" w:rsidR="00016910" w:rsidRDefault="00016910" w:rsidP="00016910">
            <w:pPr>
              <w:rPr>
                <w:rFonts w:ascii="Arial" w:hAnsi="Arial" w:cs="Arial"/>
                <w:sz w:val="16"/>
                <w:szCs w:val="16"/>
              </w:rPr>
            </w:pPr>
            <w:r>
              <w:rPr>
                <w:rFonts w:ascii="Arial" w:hAnsi="Arial" w:cs="Arial"/>
                <w:sz w:val="16"/>
                <w:szCs w:val="16"/>
              </w:rPr>
              <w:t>1. Helps keep moisture and incompressibles out of the joints resulting in less cracking, pumping, spalling and faulting.</w:t>
            </w:r>
          </w:p>
        </w:tc>
      </w:tr>
      <w:tr w:rsidR="00016910" w:rsidRPr="008B546B" w14:paraId="0CC39BFC" w14:textId="77777777" w:rsidTr="00976EFA">
        <w:trPr>
          <w:trHeight w:val="1066"/>
        </w:trPr>
        <w:tc>
          <w:tcPr>
            <w:tcW w:w="2597" w:type="dxa"/>
            <w:gridSpan w:val="2"/>
            <w:tcBorders>
              <w:top w:val="single" w:sz="4" w:space="0" w:color="auto"/>
              <w:left w:val="single" w:sz="4" w:space="0" w:color="auto"/>
              <w:bottom w:val="single" w:sz="4" w:space="0" w:color="auto"/>
              <w:right w:val="single" w:sz="4" w:space="0" w:color="auto"/>
            </w:tcBorders>
            <w:vAlign w:val="center"/>
            <w:hideMark/>
          </w:tcPr>
          <w:p w14:paraId="69A077C4" w14:textId="21810871"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2970" w:type="dxa"/>
            <w:tcBorders>
              <w:top w:val="nil"/>
              <w:left w:val="nil"/>
              <w:bottom w:val="single" w:sz="4" w:space="0" w:color="auto"/>
              <w:right w:val="single" w:sz="4" w:space="0" w:color="auto"/>
            </w:tcBorders>
            <w:hideMark/>
          </w:tcPr>
          <w:p w14:paraId="4C1F910A" w14:textId="2809E7F7" w:rsidR="00016910" w:rsidRDefault="00016910" w:rsidP="00016910">
            <w:pPr>
              <w:rPr>
                <w:rFonts w:ascii="Arial" w:hAnsi="Arial" w:cs="Arial"/>
                <w:sz w:val="16"/>
                <w:szCs w:val="16"/>
              </w:rPr>
            </w:pPr>
            <w:r>
              <w:rPr>
                <w:rFonts w:ascii="Arial" w:hAnsi="Arial" w:cs="Arial"/>
                <w:sz w:val="16"/>
                <w:szCs w:val="16"/>
              </w:rPr>
              <w:t>1. Roughness may increase as a result of the sealing process.</w:t>
            </w:r>
            <w:r>
              <w:rPr>
                <w:rFonts w:ascii="Arial" w:hAnsi="Arial" w:cs="Arial"/>
                <w:sz w:val="16"/>
                <w:szCs w:val="16"/>
              </w:rPr>
              <w:br/>
              <w:t>2. Transverse cracking should not be sealed in CRCP.</w:t>
            </w:r>
          </w:p>
        </w:tc>
        <w:tc>
          <w:tcPr>
            <w:tcW w:w="3600" w:type="dxa"/>
            <w:gridSpan w:val="2"/>
            <w:tcBorders>
              <w:top w:val="nil"/>
              <w:left w:val="nil"/>
              <w:bottom w:val="single" w:sz="4" w:space="0" w:color="auto"/>
              <w:right w:val="single" w:sz="4" w:space="0" w:color="auto"/>
            </w:tcBorders>
            <w:hideMark/>
          </w:tcPr>
          <w:p w14:paraId="720C099E" w14:textId="77777777" w:rsidR="00016910" w:rsidRPr="00F45F80" w:rsidRDefault="00016910" w:rsidP="00016910">
            <w:pPr>
              <w:rPr>
                <w:rFonts w:ascii="Arial" w:hAnsi="Arial" w:cs="Arial"/>
                <w:strike/>
                <w:sz w:val="16"/>
                <w:szCs w:val="16"/>
              </w:rPr>
            </w:pPr>
            <w:r>
              <w:rPr>
                <w:rFonts w:ascii="Arial" w:hAnsi="Arial" w:cs="Arial"/>
                <w:sz w:val="16"/>
                <w:szCs w:val="16"/>
              </w:rPr>
              <w:t xml:space="preserve">1. </w:t>
            </w:r>
            <w:r w:rsidRPr="00F45F80">
              <w:rPr>
                <w:rFonts w:ascii="Arial" w:hAnsi="Arial" w:cs="Arial"/>
                <w:sz w:val="16"/>
                <w:szCs w:val="16"/>
              </w:rPr>
              <w:t xml:space="preserve">Before joints can be sealed, joints must be cleaned to remove incompressible materials such as saw-cut </w:t>
            </w:r>
            <w:r w:rsidRPr="0004126A">
              <w:rPr>
                <w:rFonts w:ascii="Arial" w:hAnsi="Arial" w:cs="Arial"/>
                <w:sz w:val="16"/>
                <w:szCs w:val="16"/>
              </w:rPr>
              <w:t>swarf</w:t>
            </w:r>
            <w:r w:rsidRPr="00F45F80">
              <w:rPr>
                <w:rFonts w:ascii="Arial" w:hAnsi="Arial" w:cs="Arial"/>
                <w:sz w:val="16"/>
                <w:szCs w:val="16"/>
              </w:rPr>
              <w:t>, soil, sand, or gravel. Cleaning can be accomplished by water or air blasting.</w:t>
            </w:r>
            <w:r w:rsidRPr="00F45F80">
              <w:rPr>
                <w:rFonts w:ascii="Arial" w:hAnsi="Arial" w:cs="Arial"/>
                <w:sz w:val="16"/>
                <w:szCs w:val="16"/>
              </w:rPr>
              <w:br/>
              <w:t>2. Performance is mostly dependent on preparation.</w:t>
            </w:r>
          </w:p>
          <w:p w14:paraId="52D9DC32" w14:textId="77777777" w:rsidR="00016910" w:rsidRPr="00F45F80" w:rsidRDefault="00016910" w:rsidP="00016910">
            <w:pPr>
              <w:rPr>
                <w:rFonts w:ascii="Arial" w:hAnsi="Arial" w:cs="Arial"/>
                <w:sz w:val="16"/>
                <w:szCs w:val="16"/>
              </w:rPr>
            </w:pPr>
            <w:r w:rsidRPr="00F45F80">
              <w:rPr>
                <w:rFonts w:ascii="Arial" w:hAnsi="Arial" w:cs="Arial"/>
                <w:sz w:val="16"/>
                <w:szCs w:val="16"/>
              </w:rPr>
              <w:t>3. Poured joint sealants do not adhere to the pavement when the joint face is not clean, the shape is not correct, or the face is too moist when the sealant is placed.</w:t>
            </w:r>
          </w:p>
          <w:p w14:paraId="0AE1564A" w14:textId="77777777" w:rsidR="00016910" w:rsidRPr="00F45F80" w:rsidRDefault="00016910" w:rsidP="00016910">
            <w:pPr>
              <w:spacing w:line="276" w:lineRule="auto"/>
              <w:rPr>
                <w:rFonts w:ascii="Arial" w:hAnsi="Arial" w:cs="Arial"/>
                <w:sz w:val="16"/>
                <w:szCs w:val="16"/>
              </w:rPr>
            </w:pPr>
            <w:r w:rsidRPr="00F45F80">
              <w:rPr>
                <w:rFonts w:ascii="Arial" w:hAnsi="Arial" w:cs="Arial"/>
                <w:sz w:val="16"/>
                <w:szCs w:val="16"/>
              </w:rPr>
              <w:t>4. Hot-poured liquid sealant does not adhere because of overheating or under heating.</w:t>
            </w:r>
          </w:p>
          <w:p w14:paraId="01B80C7C" w14:textId="77777777" w:rsidR="00016910" w:rsidRDefault="00016910" w:rsidP="00016910">
            <w:pPr>
              <w:rPr>
                <w:rFonts w:ascii="Arial" w:hAnsi="Arial" w:cs="Arial"/>
                <w:sz w:val="16"/>
                <w:szCs w:val="16"/>
              </w:rPr>
            </w:pPr>
            <w:r w:rsidRPr="00F45F80">
              <w:rPr>
                <w:rFonts w:ascii="Arial" w:hAnsi="Arial" w:cs="Arial"/>
                <w:sz w:val="16"/>
                <w:szCs w:val="16"/>
              </w:rPr>
              <w:t>5. Backer rod may trap moisture if installed improperly or not maintained.</w:t>
            </w:r>
          </w:p>
        </w:tc>
      </w:tr>
      <w:tr w:rsidR="00016910" w:rsidRPr="008B546B" w14:paraId="71981E3D" w14:textId="77777777" w:rsidTr="00976EFA">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4743C919" w14:textId="77777777"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Cost Clarification</w:t>
            </w:r>
          </w:p>
        </w:tc>
        <w:tc>
          <w:tcPr>
            <w:tcW w:w="1557" w:type="dxa"/>
            <w:tcBorders>
              <w:top w:val="nil"/>
              <w:left w:val="nil"/>
              <w:bottom w:val="single" w:sz="4" w:space="0" w:color="auto"/>
              <w:right w:val="single" w:sz="4" w:space="0" w:color="auto"/>
            </w:tcBorders>
            <w:vAlign w:val="center"/>
            <w:hideMark/>
          </w:tcPr>
          <w:p w14:paraId="0E86978C" w14:textId="77777777" w:rsidR="00016910" w:rsidRDefault="00016910" w:rsidP="00016910">
            <w:pPr>
              <w:jc w:val="center"/>
              <w:rPr>
                <w:rFonts w:ascii="Arial" w:hAnsi="Arial" w:cs="Arial"/>
                <w:b/>
                <w:bCs/>
                <w:sz w:val="18"/>
                <w:szCs w:val="18"/>
              </w:rPr>
            </w:pPr>
            <w:r>
              <w:rPr>
                <w:rFonts w:ascii="Arial" w:hAnsi="Arial" w:cs="Arial"/>
                <w:b/>
                <w:bCs/>
                <w:sz w:val="18"/>
                <w:szCs w:val="18"/>
              </w:rPr>
              <w:t>Small Quantity Cost</w:t>
            </w:r>
          </w:p>
        </w:tc>
        <w:tc>
          <w:tcPr>
            <w:tcW w:w="2970" w:type="dxa"/>
            <w:tcBorders>
              <w:top w:val="single" w:sz="4" w:space="0" w:color="auto"/>
              <w:left w:val="nil"/>
              <w:bottom w:val="single" w:sz="4" w:space="0" w:color="auto"/>
              <w:right w:val="single" w:sz="4" w:space="0" w:color="auto"/>
            </w:tcBorders>
            <w:vAlign w:val="center"/>
            <w:hideMark/>
          </w:tcPr>
          <w:p w14:paraId="5C708763" w14:textId="64F165A9" w:rsidR="00016910" w:rsidRDefault="00016910" w:rsidP="00016910">
            <w:pPr>
              <w:rPr>
                <w:rFonts w:ascii="Arial" w:hAnsi="Arial" w:cs="Arial"/>
                <w:color w:val="000000"/>
                <w:sz w:val="16"/>
                <w:szCs w:val="16"/>
              </w:rPr>
            </w:pPr>
            <w:r>
              <w:rPr>
                <w:rFonts w:ascii="Arial" w:hAnsi="Arial" w:cs="Arial"/>
                <w:color w:val="000000"/>
                <w:sz w:val="16"/>
                <w:szCs w:val="16"/>
              </w:rPr>
              <w:t>$1.50 – $2.00 / LF for hot-pour rubberized materials</w:t>
            </w:r>
          </w:p>
        </w:tc>
        <w:tc>
          <w:tcPr>
            <w:tcW w:w="3600" w:type="dxa"/>
            <w:gridSpan w:val="2"/>
            <w:tcBorders>
              <w:top w:val="single" w:sz="4" w:space="0" w:color="auto"/>
              <w:left w:val="nil"/>
              <w:bottom w:val="single" w:sz="4" w:space="0" w:color="auto"/>
              <w:right w:val="single" w:sz="4" w:space="0" w:color="auto"/>
            </w:tcBorders>
            <w:vAlign w:val="center"/>
            <w:hideMark/>
          </w:tcPr>
          <w:p w14:paraId="6406BD46" w14:textId="72999BBD" w:rsidR="00016910" w:rsidRDefault="00016910" w:rsidP="00016910">
            <w:pPr>
              <w:rPr>
                <w:rFonts w:ascii="Arial" w:hAnsi="Arial" w:cs="Arial"/>
                <w:sz w:val="16"/>
                <w:szCs w:val="16"/>
              </w:rPr>
            </w:pPr>
            <w:r>
              <w:rPr>
                <w:rFonts w:ascii="Arial" w:hAnsi="Arial" w:cs="Arial"/>
                <w:sz w:val="16"/>
                <w:szCs w:val="16"/>
              </w:rPr>
              <w:t>$1.00</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Pr>
                <w:rFonts w:ascii="Arial" w:hAnsi="Arial" w:cs="Arial"/>
                <w:sz w:val="16"/>
                <w:szCs w:val="16"/>
              </w:rPr>
              <w:t>$1.50 / LF for poured asphalt sealant, $2.00</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Pr>
                <w:rFonts w:ascii="Arial" w:hAnsi="Arial" w:cs="Arial"/>
                <w:sz w:val="16"/>
                <w:szCs w:val="16"/>
              </w:rPr>
              <w:t>$2.50 / LF for silicone sealant</w:t>
            </w:r>
          </w:p>
        </w:tc>
      </w:tr>
      <w:tr w:rsidR="00016910" w:rsidRPr="008B546B" w14:paraId="6FD475C1"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3CCF501"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18E02878" w14:textId="77777777" w:rsidR="00016910" w:rsidRDefault="00016910" w:rsidP="00016910">
            <w:pPr>
              <w:jc w:val="center"/>
              <w:rPr>
                <w:rFonts w:ascii="Arial" w:hAnsi="Arial" w:cs="Arial"/>
                <w:b/>
                <w:bCs/>
                <w:sz w:val="18"/>
                <w:szCs w:val="18"/>
              </w:rPr>
            </w:pPr>
            <w:r>
              <w:rPr>
                <w:rFonts w:ascii="Arial" w:hAnsi="Arial" w:cs="Arial"/>
                <w:b/>
                <w:bCs/>
                <w:sz w:val="18"/>
                <w:szCs w:val="18"/>
              </w:rPr>
              <w:t>Medium Quantity Cost</w:t>
            </w:r>
          </w:p>
        </w:tc>
        <w:tc>
          <w:tcPr>
            <w:tcW w:w="2970" w:type="dxa"/>
            <w:tcBorders>
              <w:top w:val="single" w:sz="4" w:space="0" w:color="auto"/>
              <w:left w:val="nil"/>
              <w:bottom w:val="single" w:sz="4" w:space="0" w:color="auto"/>
              <w:right w:val="single" w:sz="4" w:space="0" w:color="auto"/>
            </w:tcBorders>
            <w:vAlign w:val="center"/>
            <w:hideMark/>
          </w:tcPr>
          <w:p w14:paraId="6A7D35DE" w14:textId="22A5AA30" w:rsidR="00016910" w:rsidRDefault="00016910" w:rsidP="00016910">
            <w:pPr>
              <w:rPr>
                <w:rFonts w:ascii="Arial" w:hAnsi="Arial" w:cs="Arial"/>
                <w:color w:val="000000"/>
                <w:sz w:val="16"/>
                <w:szCs w:val="16"/>
              </w:rPr>
            </w:pPr>
            <w:r>
              <w:rPr>
                <w:rFonts w:ascii="Arial" w:hAnsi="Arial" w:cs="Arial"/>
                <w:color w:val="000000"/>
                <w:sz w:val="16"/>
                <w:szCs w:val="16"/>
              </w:rPr>
              <w:t>$0.75 – $1.25 / LF for hot-pour rubberized materials</w:t>
            </w:r>
          </w:p>
        </w:tc>
        <w:tc>
          <w:tcPr>
            <w:tcW w:w="3600" w:type="dxa"/>
            <w:gridSpan w:val="2"/>
            <w:tcBorders>
              <w:top w:val="single" w:sz="4" w:space="0" w:color="auto"/>
              <w:left w:val="nil"/>
              <w:bottom w:val="single" w:sz="4" w:space="0" w:color="auto"/>
              <w:right w:val="single" w:sz="4" w:space="0" w:color="auto"/>
            </w:tcBorders>
            <w:vAlign w:val="center"/>
            <w:hideMark/>
          </w:tcPr>
          <w:p w14:paraId="60888147" w14:textId="44AF3172" w:rsidR="00016910" w:rsidRDefault="00016910" w:rsidP="00016910">
            <w:pPr>
              <w:rPr>
                <w:rFonts w:ascii="Arial" w:hAnsi="Arial" w:cs="Arial"/>
                <w:sz w:val="16"/>
                <w:szCs w:val="16"/>
              </w:rPr>
            </w:pPr>
            <w:r>
              <w:rPr>
                <w:rFonts w:ascii="Arial" w:hAnsi="Arial" w:cs="Arial"/>
                <w:sz w:val="16"/>
                <w:szCs w:val="16"/>
              </w:rPr>
              <w:t>$0.75</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Pr>
                <w:rFonts w:ascii="Arial" w:hAnsi="Arial" w:cs="Arial"/>
                <w:sz w:val="16"/>
                <w:szCs w:val="16"/>
              </w:rPr>
              <w:t>$1.25 / LF for poured asphalt sealant, $2.00</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Pr>
                <w:rFonts w:ascii="Arial" w:hAnsi="Arial" w:cs="Arial"/>
                <w:sz w:val="16"/>
                <w:szCs w:val="16"/>
              </w:rPr>
              <w:t>$2.25 / LF for silicone sealant</w:t>
            </w:r>
          </w:p>
        </w:tc>
      </w:tr>
      <w:tr w:rsidR="00016910" w:rsidRPr="008B546B" w14:paraId="7439711C"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44B65BB5"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22E90C7E" w14:textId="77777777" w:rsidR="00016910" w:rsidRDefault="00016910" w:rsidP="00016910">
            <w:pPr>
              <w:jc w:val="center"/>
              <w:rPr>
                <w:rFonts w:ascii="Arial" w:hAnsi="Arial" w:cs="Arial"/>
                <w:b/>
                <w:bCs/>
                <w:sz w:val="18"/>
                <w:szCs w:val="18"/>
              </w:rPr>
            </w:pPr>
            <w:r>
              <w:rPr>
                <w:rFonts w:ascii="Arial" w:hAnsi="Arial" w:cs="Arial"/>
                <w:b/>
                <w:bCs/>
                <w:sz w:val="18"/>
                <w:szCs w:val="18"/>
              </w:rPr>
              <w:t>High Quantity Cost</w:t>
            </w:r>
          </w:p>
        </w:tc>
        <w:tc>
          <w:tcPr>
            <w:tcW w:w="2970" w:type="dxa"/>
            <w:tcBorders>
              <w:top w:val="single" w:sz="4" w:space="0" w:color="auto"/>
              <w:left w:val="nil"/>
              <w:bottom w:val="single" w:sz="4" w:space="0" w:color="auto"/>
              <w:right w:val="single" w:sz="4" w:space="0" w:color="auto"/>
            </w:tcBorders>
            <w:vAlign w:val="center"/>
            <w:hideMark/>
          </w:tcPr>
          <w:p w14:paraId="6190FA2A" w14:textId="389E2D22" w:rsidR="00016910" w:rsidRDefault="00016910" w:rsidP="00016910">
            <w:pPr>
              <w:rPr>
                <w:rFonts w:ascii="Arial" w:hAnsi="Arial" w:cs="Arial"/>
                <w:color w:val="000000"/>
                <w:sz w:val="16"/>
                <w:szCs w:val="16"/>
              </w:rPr>
            </w:pPr>
            <w:r>
              <w:rPr>
                <w:rFonts w:ascii="Arial" w:hAnsi="Arial" w:cs="Arial"/>
                <w:color w:val="000000"/>
                <w:sz w:val="16"/>
                <w:szCs w:val="16"/>
              </w:rPr>
              <w:t>$0.75 – $1.25 / LF for hot-pour rubberized materials</w:t>
            </w:r>
          </w:p>
        </w:tc>
        <w:tc>
          <w:tcPr>
            <w:tcW w:w="3600" w:type="dxa"/>
            <w:gridSpan w:val="2"/>
            <w:tcBorders>
              <w:top w:val="single" w:sz="4" w:space="0" w:color="auto"/>
              <w:left w:val="nil"/>
              <w:bottom w:val="single" w:sz="4" w:space="0" w:color="auto"/>
              <w:right w:val="single" w:sz="4" w:space="0" w:color="auto"/>
            </w:tcBorders>
            <w:vAlign w:val="center"/>
            <w:hideMark/>
          </w:tcPr>
          <w:p w14:paraId="11DA0689" w14:textId="69200DD7" w:rsidR="00016910" w:rsidRDefault="00016910" w:rsidP="00016910">
            <w:pPr>
              <w:rPr>
                <w:rFonts w:ascii="Arial" w:hAnsi="Arial" w:cs="Arial"/>
                <w:sz w:val="16"/>
                <w:szCs w:val="16"/>
              </w:rPr>
            </w:pPr>
            <w:r>
              <w:rPr>
                <w:rFonts w:ascii="Arial" w:hAnsi="Arial" w:cs="Arial"/>
                <w:sz w:val="16"/>
                <w:szCs w:val="16"/>
              </w:rPr>
              <w:t>$0.75</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Pr>
                <w:rFonts w:ascii="Arial" w:hAnsi="Arial" w:cs="Arial"/>
                <w:sz w:val="16"/>
                <w:szCs w:val="16"/>
              </w:rPr>
              <w:t>$1.25 / LF for poured asphalt sealant, $1</w:t>
            </w:r>
            <w:r w:rsidRPr="00976EFA">
              <w:rPr>
                <w:rFonts w:ascii="Arial" w:hAnsi="Arial"/>
                <w:color w:val="000000"/>
                <w:sz w:val="16"/>
              </w:rPr>
              <w:t xml:space="preserve"> </w:t>
            </w:r>
            <w:r>
              <w:rPr>
                <w:rFonts w:ascii="Arial" w:hAnsi="Arial" w:cs="Arial"/>
                <w:color w:val="000000"/>
                <w:sz w:val="16"/>
                <w:szCs w:val="16"/>
              </w:rPr>
              <w:t>–</w:t>
            </w:r>
            <w:r w:rsidRPr="00976EFA">
              <w:rPr>
                <w:rFonts w:ascii="Arial" w:hAnsi="Arial"/>
                <w:color w:val="000000"/>
                <w:sz w:val="16"/>
              </w:rPr>
              <w:t xml:space="preserve"> </w:t>
            </w:r>
            <w:r>
              <w:rPr>
                <w:rFonts w:ascii="Arial" w:hAnsi="Arial" w:cs="Arial"/>
                <w:sz w:val="16"/>
                <w:szCs w:val="16"/>
              </w:rPr>
              <w:t>$2 / LF for silicone sealant</w:t>
            </w:r>
          </w:p>
        </w:tc>
      </w:tr>
      <w:tr w:rsidR="00016910" w:rsidRPr="008B546B" w14:paraId="5CE22973" w14:textId="77777777" w:rsidTr="00976EFA">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AB539FA"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757E20EE" w14:textId="77777777" w:rsidR="00016910" w:rsidRDefault="00016910" w:rsidP="00016910">
            <w:pPr>
              <w:jc w:val="center"/>
              <w:rPr>
                <w:rFonts w:ascii="Arial" w:hAnsi="Arial" w:cs="Arial"/>
                <w:b/>
                <w:bCs/>
                <w:sz w:val="18"/>
                <w:szCs w:val="18"/>
              </w:rPr>
            </w:pPr>
            <w:r>
              <w:rPr>
                <w:rFonts w:ascii="Arial" w:hAnsi="Arial" w:cs="Arial"/>
                <w:b/>
                <w:bCs/>
                <w:sz w:val="18"/>
                <w:szCs w:val="18"/>
              </w:rPr>
              <w:t>Items Included</w:t>
            </w:r>
          </w:p>
        </w:tc>
        <w:tc>
          <w:tcPr>
            <w:tcW w:w="2970" w:type="dxa"/>
            <w:tcBorders>
              <w:top w:val="nil"/>
              <w:left w:val="nil"/>
              <w:bottom w:val="single" w:sz="4" w:space="0" w:color="auto"/>
              <w:right w:val="single" w:sz="4" w:space="0" w:color="auto"/>
            </w:tcBorders>
            <w:vAlign w:val="center"/>
            <w:hideMark/>
          </w:tcPr>
          <w:p w14:paraId="02C246FF" w14:textId="0DBFE818" w:rsidR="00016910" w:rsidRDefault="00016910" w:rsidP="00016910">
            <w:pPr>
              <w:rPr>
                <w:rFonts w:ascii="Arial" w:hAnsi="Arial" w:cs="Arial"/>
                <w:sz w:val="16"/>
                <w:szCs w:val="16"/>
              </w:rPr>
            </w:pPr>
            <w:r>
              <w:rPr>
                <w:rFonts w:ascii="Arial" w:hAnsi="Arial" w:cs="Arial"/>
                <w:sz w:val="16"/>
                <w:szCs w:val="16"/>
              </w:rPr>
              <w:t>Crack refacing, cleaning, backer rod installation, and application of sealant</w:t>
            </w:r>
          </w:p>
        </w:tc>
        <w:tc>
          <w:tcPr>
            <w:tcW w:w="3600" w:type="dxa"/>
            <w:gridSpan w:val="2"/>
            <w:tcBorders>
              <w:top w:val="nil"/>
              <w:left w:val="nil"/>
              <w:bottom w:val="single" w:sz="4" w:space="0" w:color="auto"/>
              <w:right w:val="single" w:sz="4" w:space="0" w:color="auto"/>
            </w:tcBorders>
            <w:vAlign w:val="center"/>
            <w:hideMark/>
          </w:tcPr>
          <w:p w14:paraId="722A53EA" w14:textId="1637A548" w:rsidR="00016910" w:rsidRDefault="00016910" w:rsidP="00016910">
            <w:pPr>
              <w:rPr>
                <w:rFonts w:ascii="Arial" w:hAnsi="Arial" w:cs="Arial"/>
                <w:sz w:val="16"/>
                <w:szCs w:val="16"/>
              </w:rPr>
            </w:pPr>
            <w:r>
              <w:rPr>
                <w:rFonts w:ascii="Arial" w:hAnsi="Arial" w:cs="Arial"/>
                <w:sz w:val="16"/>
                <w:szCs w:val="16"/>
              </w:rPr>
              <w:t>Routing, sealant removal, joint refacing, reservoir cleaning, backer rod installation, and sealant installation</w:t>
            </w:r>
          </w:p>
        </w:tc>
      </w:tr>
      <w:tr w:rsidR="00016910" w:rsidRPr="008B546B" w14:paraId="299A27F3" w14:textId="77777777" w:rsidTr="00976EFA">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B5D11D8" w14:textId="77777777" w:rsidR="00016910" w:rsidRPr="008B546B" w:rsidRDefault="00016910" w:rsidP="00016910">
            <w:pPr>
              <w:rPr>
                <w:rFonts w:ascii="Arial" w:hAnsi="Arial" w:cs="Arial"/>
                <w:b/>
                <w:bCs/>
                <w:sz w:val="22"/>
                <w:szCs w:val="22"/>
              </w:rPr>
            </w:pPr>
          </w:p>
        </w:tc>
        <w:tc>
          <w:tcPr>
            <w:tcW w:w="1557" w:type="dxa"/>
            <w:tcBorders>
              <w:top w:val="nil"/>
              <w:left w:val="nil"/>
              <w:bottom w:val="single" w:sz="4" w:space="0" w:color="auto"/>
              <w:right w:val="single" w:sz="4" w:space="0" w:color="auto"/>
            </w:tcBorders>
            <w:vAlign w:val="center"/>
            <w:hideMark/>
          </w:tcPr>
          <w:p w14:paraId="6C8268FA" w14:textId="77777777" w:rsidR="00016910" w:rsidRDefault="00016910" w:rsidP="00016910">
            <w:pPr>
              <w:jc w:val="center"/>
              <w:rPr>
                <w:rFonts w:ascii="Arial" w:hAnsi="Arial" w:cs="Arial"/>
                <w:b/>
                <w:bCs/>
                <w:sz w:val="18"/>
                <w:szCs w:val="18"/>
              </w:rPr>
            </w:pPr>
            <w:r>
              <w:rPr>
                <w:rFonts w:ascii="Arial" w:hAnsi="Arial" w:cs="Arial"/>
                <w:b/>
                <w:bCs/>
                <w:sz w:val="18"/>
                <w:szCs w:val="18"/>
              </w:rPr>
              <w:t>Items Excluded</w:t>
            </w:r>
          </w:p>
        </w:tc>
        <w:tc>
          <w:tcPr>
            <w:tcW w:w="2970" w:type="dxa"/>
            <w:tcBorders>
              <w:top w:val="nil"/>
              <w:left w:val="nil"/>
              <w:bottom w:val="single" w:sz="4" w:space="0" w:color="auto"/>
              <w:right w:val="single" w:sz="4" w:space="0" w:color="auto"/>
            </w:tcBorders>
            <w:vAlign w:val="center"/>
            <w:hideMark/>
          </w:tcPr>
          <w:p w14:paraId="62023308" w14:textId="77777777" w:rsidR="00016910" w:rsidRDefault="00016910" w:rsidP="00016910">
            <w:pPr>
              <w:rPr>
                <w:rFonts w:ascii="Arial" w:hAnsi="Arial" w:cs="Arial"/>
                <w:sz w:val="16"/>
                <w:szCs w:val="16"/>
              </w:rPr>
            </w:pPr>
          </w:p>
        </w:tc>
        <w:tc>
          <w:tcPr>
            <w:tcW w:w="3600" w:type="dxa"/>
            <w:gridSpan w:val="2"/>
            <w:tcBorders>
              <w:top w:val="nil"/>
              <w:left w:val="nil"/>
              <w:bottom w:val="single" w:sz="4" w:space="0" w:color="auto"/>
              <w:right w:val="single" w:sz="4" w:space="0" w:color="auto"/>
            </w:tcBorders>
            <w:vAlign w:val="center"/>
            <w:hideMark/>
          </w:tcPr>
          <w:p w14:paraId="096CAF9F" w14:textId="77777777" w:rsidR="00016910" w:rsidRPr="008B546B" w:rsidRDefault="00016910" w:rsidP="00016910">
            <w:pPr>
              <w:rPr>
                <w:rFonts w:ascii="Arial" w:hAnsi="Arial" w:cs="Arial"/>
                <w:sz w:val="16"/>
                <w:szCs w:val="16"/>
              </w:rPr>
            </w:pPr>
            <w:r w:rsidRPr="008B546B">
              <w:rPr>
                <w:rFonts w:ascii="Arial" w:hAnsi="Arial" w:cs="Arial"/>
                <w:sz w:val="16"/>
                <w:szCs w:val="16"/>
              </w:rPr>
              <w:t>Marking Removal</w:t>
            </w:r>
          </w:p>
        </w:tc>
      </w:tr>
      <w:tr w:rsidR="00016910" w:rsidRPr="008B546B" w14:paraId="72CC3A06" w14:textId="77777777" w:rsidTr="00976EFA">
        <w:trPr>
          <w:trHeight w:val="445"/>
        </w:trPr>
        <w:tc>
          <w:tcPr>
            <w:tcW w:w="2597" w:type="dxa"/>
            <w:gridSpan w:val="2"/>
            <w:tcBorders>
              <w:top w:val="single" w:sz="4" w:space="0" w:color="auto"/>
              <w:left w:val="single" w:sz="4" w:space="0" w:color="auto"/>
              <w:bottom w:val="single" w:sz="4" w:space="0" w:color="auto"/>
              <w:right w:val="single" w:sz="4" w:space="0" w:color="auto"/>
            </w:tcBorders>
            <w:vAlign w:val="center"/>
            <w:hideMark/>
          </w:tcPr>
          <w:p w14:paraId="19FB702B" w14:textId="77777777"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970" w:type="dxa"/>
            <w:tcBorders>
              <w:top w:val="nil"/>
              <w:left w:val="nil"/>
              <w:bottom w:val="nil"/>
              <w:right w:val="single" w:sz="4" w:space="0" w:color="auto"/>
            </w:tcBorders>
            <w:vAlign w:val="center"/>
            <w:hideMark/>
          </w:tcPr>
          <w:p w14:paraId="5E0AE1C2" w14:textId="77777777" w:rsidR="00016910" w:rsidRDefault="00016910" w:rsidP="00016910">
            <w:pPr>
              <w:rPr>
                <w:rFonts w:ascii="Arial" w:hAnsi="Arial" w:cs="Arial"/>
                <w:color w:val="000000"/>
                <w:sz w:val="16"/>
                <w:szCs w:val="16"/>
              </w:rPr>
            </w:pPr>
            <w:r>
              <w:rPr>
                <w:rFonts w:ascii="Arial" w:hAnsi="Arial" w:cs="Arial"/>
                <w:color w:val="000000"/>
                <w:sz w:val="16"/>
                <w:szCs w:val="16"/>
              </w:rPr>
              <w:t>2-10 years</w:t>
            </w:r>
          </w:p>
        </w:tc>
        <w:tc>
          <w:tcPr>
            <w:tcW w:w="3600" w:type="dxa"/>
            <w:gridSpan w:val="2"/>
            <w:tcBorders>
              <w:top w:val="nil"/>
              <w:left w:val="nil"/>
              <w:bottom w:val="single" w:sz="4" w:space="0" w:color="auto"/>
              <w:right w:val="single" w:sz="4" w:space="0" w:color="auto"/>
            </w:tcBorders>
            <w:vAlign w:val="center"/>
            <w:hideMark/>
          </w:tcPr>
          <w:p w14:paraId="6283BBE5" w14:textId="77777777" w:rsidR="00016910" w:rsidRDefault="00016910" w:rsidP="00016910">
            <w:pPr>
              <w:rPr>
                <w:rFonts w:ascii="Arial" w:hAnsi="Arial" w:cs="Arial"/>
                <w:color w:val="000000"/>
                <w:sz w:val="16"/>
                <w:szCs w:val="16"/>
              </w:rPr>
            </w:pPr>
            <w:r>
              <w:rPr>
                <w:rFonts w:ascii="Arial" w:hAnsi="Arial" w:cs="Arial"/>
                <w:color w:val="000000"/>
                <w:sz w:val="16"/>
                <w:szCs w:val="16"/>
              </w:rPr>
              <w:t>6-8 years for hot-poured asphalt sealant, approximately 8 years for silicone sealant, 3-5 years for asphalt rubber sealant.</w:t>
            </w:r>
          </w:p>
        </w:tc>
      </w:tr>
      <w:tr w:rsidR="00016910" w:rsidRPr="008B546B" w14:paraId="78FC6BAD" w14:textId="77777777" w:rsidTr="00976EFA">
        <w:trPr>
          <w:trHeight w:val="2186"/>
        </w:trPr>
        <w:tc>
          <w:tcPr>
            <w:tcW w:w="2597" w:type="dxa"/>
            <w:gridSpan w:val="2"/>
            <w:tcBorders>
              <w:top w:val="single" w:sz="4" w:space="0" w:color="auto"/>
              <w:left w:val="single" w:sz="4" w:space="0" w:color="auto"/>
              <w:bottom w:val="single" w:sz="4" w:space="0" w:color="auto"/>
              <w:right w:val="single" w:sz="4" w:space="0" w:color="auto"/>
            </w:tcBorders>
            <w:vAlign w:val="center"/>
            <w:hideMark/>
          </w:tcPr>
          <w:p w14:paraId="1FDADF5C" w14:textId="11E52135" w:rsidR="00016910" w:rsidRPr="008B546B" w:rsidRDefault="00016910" w:rsidP="00016910">
            <w:pPr>
              <w:jc w:val="center"/>
              <w:rPr>
                <w:rFonts w:ascii="Arial" w:hAnsi="Arial" w:cs="Arial"/>
                <w:b/>
                <w:bCs/>
                <w:sz w:val="22"/>
                <w:szCs w:val="22"/>
              </w:rPr>
            </w:pPr>
            <w:r w:rsidRPr="008B546B">
              <w:rPr>
                <w:rFonts w:ascii="Arial" w:hAnsi="Arial" w:cs="Arial"/>
                <w:b/>
                <w:bCs/>
                <w:sz w:val="22"/>
                <w:szCs w:val="22"/>
              </w:rPr>
              <w:t>MOT Considerations /</w:t>
            </w:r>
            <w:r w:rsidRPr="008B546B">
              <w:rPr>
                <w:rFonts w:ascii="Arial" w:hAnsi="Arial" w:cs="Arial"/>
                <w:b/>
                <w:bCs/>
                <w:sz w:val="22"/>
                <w:szCs w:val="22"/>
              </w:rPr>
              <w:br/>
              <w:t xml:space="preserve">Cure </w:t>
            </w:r>
            <w:r>
              <w:rPr>
                <w:rFonts w:ascii="Arial" w:hAnsi="Arial" w:cs="Arial"/>
                <w:b/>
                <w:bCs/>
                <w:sz w:val="22"/>
                <w:szCs w:val="22"/>
              </w:rPr>
              <w:t>T</w:t>
            </w:r>
            <w:r w:rsidRPr="008B546B">
              <w:rPr>
                <w:rFonts w:ascii="Arial" w:hAnsi="Arial" w:cs="Arial"/>
                <w:b/>
                <w:bCs/>
                <w:sz w:val="22"/>
                <w:szCs w:val="22"/>
              </w:rPr>
              <w:t>ime</w:t>
            </w:r>
          </w:p>
        </w:tc>
        <w:tc>
          <w:tcPr>
            <w:tcW w:w="2970" w:type="dxa"/>
            <w:tcBorders>
              <w:top w:val="single" w:sz="4" w:space="0" w:color="auto"/>
              <w:left w:val="nil"/>
              <w:bottom w:val="single" w:sz="4" w:space="0" w:color="auto"/>
              <w:right w:val="single" w:sz="4" w:space="0" w:color="auto"/>
            </w:tcBorders>
            <w:hideMark/>
          </w:tcPr>
          <w:p w14:paraId="2AB7848B" w14:textId="1E379EE2" w:rsidR="00016910" w:rsidRDefault="00016910" w:rsidP="00016910">
            <w:pPr>
              <w:rPr>
                <w:rFonts w:ascii="Arial" w:hAnsi="Arial" w:cs="Arial"/>
                <w:color w:val="000000"/>
                <w:sz w:val="16"/>
                <w:szCs w:val="16"/>
              </w:rPr>
            </w:pPr>
            <w:r>
              <w:rPr>
                <w:rFonts w:ascii="Arial" w:hAnsi="Arial" w:cs="Arial"/>
                <w:color w:val="000000"/>
                <w:sz w:val="16"/>
                <w:szCs w:val="16"/>
              </w:rPr>
              <w:t>1. Traffic control during the application of the treatment should be in effect long enough to allow for adequate curing of the product and prevent tracking.</w:t>
            </w:r>
            <w:r>
              <w:rPr>
                <w:rFonts w:ascii="Arial" w:hAnsi="Arial" w:cs="Arial"/>
                <w:color w:val="000000"/>
                <w:sz w:val="16"/>
                <w:szCs w:val="16"/>
              </w:rPr>
              <w:br/>
              <w:t>2. Hot applied rubber modified sealants, especially asphalt rubber, have excellent adhesion and do not require the application of a thin sand coating prior to trafficking. Emulsions must be sand coated prior to being trafficked.</w:t>
            </w:r>
          </w:p>
        </w:tc>
        <w:tc>
          <w:tcPr>
            <w:tcW w:w="3600" w:type="dxa"/>
            <w:gridSpan w:val="2"/>
            <w:tcBorders>
              <w:top w:val="nil"/>
              <w:left w:val="nil"/>
              <w:bottom w:val="single" w:sz="4" w:space="0" w:color="auto"/>
              <w:right w:val="single" w:sz="4" w:space="0" w:color="auto"/>
            </w:tcBorders>
            <w:hideMark/>
          </w:tcPr>
          <w:p w14:paraId="5D64A435" w14:textId="14FADFDB" w:rsidR="00016910" w:rsidRDefault="00016910" w:rsidP="00016910">
            <w:pPr>
              <w:rPr>
                <w:rFonts w:ascii="Arial" w:hAnsi="Arial" w:cs="Arial"/>
                <w:color w:val="000000"/>
                <w:sz w:val="16"/>
                <w:szCs w:val="16"/>
              </w:rPr>
            </w:pPr>
            <w:r>
              <w:rPr>
                <w:rFonts w:ascii="Arial" w:hAnsi="Arial" w:cs="Arial"/>
                <w:color w:val="000000"/>
                <w:sz w:val="16"/>
                <w:szCs w:val="16"/>
              </w:rPr>
              <w:t>1. Traffic passing over a hot applied sealed or filled joint is usually not an issue. However, traffic control during the application of the treatment should be in effect long enough to allow for adequate curing of the product and prevent tracking.</w:t>
            </w:r>
            <w:r>
              <w:rPr>
                <w:rFonts w:ascii="Arial" w:hAnsi="Arial" w:cs="Arial"/>
                <w:color w:val="000000"/>
                <w:sz w:val="16"/>
                <w:szCs w:val="16"/>
              </w:rPr>
              <w:br/>
              <w:t>2. Hot applied rubber modified sealants, especially asphalt rubber, have excellent adhesion and do not require the application of a thin sand coating prior to trafficking. Emulsions must be sand coated prior to being trafficked.</w:t>
            </w:r>
          </w:p>
        </w:tc>
      </w:tr>
    </w:tbl>
    <w:p w14:paraId="06BBD7AB" w14:textId="77777777" w:rsidR="0042403B" w:rsidRDefault="0042403B" w:rsidP="00BE3F24"/>
    <w:tbl>
      <w:tblPr>
        <w:tblW w:w="8627" w:type="dxa"/>
        <w:tblInd w:w="98" w:type="dxa"/>
        <w:tblLook w:val="04A0" w:firstRow="1" w:lastRow="0" w:firstColumn="1" w:lastColumn="0" w:noHBand="0" w:noVBand="1"/>
      </w:tblPr>
      <w:tblGrid>
        <w:gridCol w:w="1040"/>
        <w:gridCol w:w="1540"/>
        <w:gridCol w:w="6047"/>
      </w:tblGrid>
      <w:tr w:rsidR="0042403B" w:rsidRPr="008B546B" w14:paraId="40A06E0F" w14:textId="77777777" w:rsidTr="00976EFA">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6F4D6C7F"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3</w:t>
            </w:r>
          </w:p>
          <w:p w14:paraId="084838E1" w14:textId="77777777" w:rsidR="002417C7" w:rsidRDefault="002417C7" w:rsidP="00BE3F24">
            <w:pPr>
              <w:jc w:val="center"/>
              <w:rPr>
                <w:rFonts w:ascii="Bell MT" w:hAnsi="Bell MT" w:cs="Calibri"/>
                <w:b/>
                <w:bCs/>
                <w:color w:val="000000"/>
                <w:sz w:val="28"/>
                <w:szCs w:val="28"/>
              </w:rPr>
            </w:pPr>
          </w:p>
          <w:p w14:paraId="55BAC337"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tcBorders>
              <w:top w:val="single" w:sz="4" w:space="0" w:color="auto"/>
              <w:left w:val="single" w:sz="8" w:space="0" w:color="auto"/>
              <w:bottom w:val="single" w:sz="8" w:space="0" w:color="auto"/>
              <w:right w:val="single" w:sz="4" w:space="0" w:color="auto"/>
            </w:tcBorders>
            <w:vAlign w:val="bottom"/>
            <w:hideMark/>
          </w:tcPr>
          <w:p w14:paraId="78DFE6A6" w14:textId="77777777" w:rsidR="0042403B" w:rsidRPr="008B546B" w:rsidRDefault="0042403B" w:rsidP="00976EFA">
            <w:pPr>
              <w:pStyle w:val="Heading3"/>
              <w:ind w:left="1349" w:hanging="1349"/>
            </w:pPr>
            <w:bookmarkStart w:id="67" w:name="_SUPPLEMENTAL_INFORMATION_FOR_2"/>
            <w:bookmarkEnd w:id="67"/>
            <w:r w:rsidRPr="008B546B">
              <w:t>SUPPLEMENTAL INFORMATION FOR TREATMENT</w:t>
            </w:r>
            <w:r>
              <w:t xml:space="preserve"> A-4</w:t>
            </w:r>
          </w:p>
        </w:tc>
      </w:tr>
      <w:tr w:rsidR="0042403B" w:rsidRPr="008B546B" w14:paraId="77477CCF"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65AB03BF" w14:textId="77777777" w:rsidR="0042403B" w:rsidRPr="008B546B" w:rsidRDefault="0042403B" w:rsidP="00BE3F24">
            <w:pPr>
              <w:rPr>
                <w:rFonts w:ascii="Bell MT" w:hAnsi="Bell MT" w:cs="Calibri"/>
                <w:b/>
                <w:bCs/>
                <w:color w:val="000000"/>
                <w:sz w:val="28"/>
                <w:szCs w:val="28"/>
              </w:rPr>
            </w:pPr>
          </w:p>
        </w:tc>
        <w:tc>
          <w:tcPr>
            <w:tcW w:w="6047" w:type="dxa"/>
            <w:vMerge w:val="restart"/>
            <w:tcBorders>
              <w:top w:val="nil"/>
              <w:left w:val="single" w:sz="4" w:space="0" w:color="auto"/>
              <w:bottom w:val="single" w:sz="4" w:space="0" w:color="auto"/>
              <w:right w:val="single" w:sz="4" w:space="0" w:color="auto"/>
            </w:tcBorders>
            <w:vAlign w:val="center"/>
            <w:hideMark/>
          </w:tcPr>
          <w:p w14:paraId="6CBBAF78" w14:textId="5ED00607" w:rsidR="0042403B" w:rsidRDefault="0042403B" w:rsidP="00BE3F24">
            <w:pPr>
              <w:jc w:val="center"/>
              <w:rPr>
                <w:rFonts w:ascii="Arial" w:hAnsi="Arial" w:cs="Arial"/>
                <w:b/>
                <w:bCs/>
                <w:sz w:val="22"/>
                <w:szCs w:val="22"/>
              </w:rPr>
            </w:pPr>
            <w:hyperlink w:anchor="A4_Saw_Seal" w:history="1">
              <w:r w:rsidRPr="00302D2D">
                <w:rPr>
                  <w:rStyle w:val="Hyperlink"/>
                  <w:rFonts w:ascii="Arial" w:hAnsi="Arial" w:cs="Arial"/>
                  <w:b/>
                  <w:bCs/>
                  <w:sz w:val="22"/>
                  <w:szCs w:val="22"/>
                </w:rPr>
                <w:t>A-4. Saw and Seal</w:t>
              </w:r>
            </w:hyperlink>
          </w:p>
        </w:tc>
      </w:tr>
      <w:tr w:rsidR="0042403B" w:rsidRPr="008B546B" w14:paraId="2B047EAF"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0C8C18E6" w14:textId="77777777" w:rsidR="0042403B" w:rsidRPr="008B546B" w:rsidRDefault="0042403B" w:rsidP="00BE3F24">
            <w:pPr>
              <w:rPr>
                <w:rFonts w:ascii="Bell MT" w:hAnsi="Bell MT" w:cs="Calibri"/>
                <w:b/>
                <w:bCs/>
                <w:color w:val="000000"/>
                <w:sz w:val="28"/>
                <w:szCs w:val="28"/>
              </w:rPr>
            </w:pPr>
          </w:p>
        </w:tc>
        <w:tc>
          <w:tcPr>
            <w:tcW w:w="6047" w:type="dxa"/>
            <w:vMerge/>
            <w:tcBorders>
              <w:top w:val="nil"/>
              <w:left w:val="single" w:sz="4" w:space="0" w:color="auto"/>
              <w:bottom w:val="single" w:sz="4" w:space="0" w:color="auto"/>
              <w:right w:val="single" w:sz="4" w:space="0" w:color="auto"/>
            </w:tcBorders>
            <w:vAlign w:val="center"/>
            <w:hideMark/>
          </w:tcPr>
          <w:p w14:paraId="75A3E13B" w14:textId="77777777" w:rsidR="0042403B" w:rsidRPr="008B546B" w:rsidRDefault="0042403B" w:rsidP="00BE3F24">
            <w:pPr>
              <w:rPr>
                <w:rFonts w:ascii="Arial" w:hAnsi="Arial" w:cs="Arial"/>
                <w:b/>
                <w:bCs/>
                <w:color w:val="000000"/>
                <w:sz w:val="22"/>
                <w:szCs w:val="22"/>
              </w:rPr>
            </w:pPr>
          </w:p>
        </w:tc>
      </w:tr>
      <w:tr w:rsidR="0042403B" w:rsidRPr="008B546B" w14:paraId="35415E10" w14:textId="77777777" w:rsidTr="00976EFA">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667CC8ED"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5C3525A1"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6047" w:type="dxa"/>
            <w:tcBorders>
              <w:top w:val="nil"/>
              <w:left w:val="nil"/>
              <w:bottom w:val="single" w:sz="4" w:space="0" w:color="auto"/>
              <w:right w:val="single" w:sz="4" w:space="0" w:color="auto"/>
            </w:tcBorders>
            <w:vAlign w:val="bottom"/>
            <w:hideMark/>
          </w:tcPr>
          <w:p w14:paraId="7DF18327"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 </w:t>
            </w:r>
          </w:p>
        </w:tc>
      </w:tr>
      <w:tr w:rsidR="0042403B" w:rsidRPr="008B546B" w14:paraId="76CD1E04"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7C25F0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6C594B8" w14:textId="0F0019CD"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6047" w:type="dxa"/>
            <w:tcBorders>
              <w:top w:val="nil"/>
              <w:left w:val="nil"/>
              <w:bottom w:val="single" w:sz="4" w:space="0" w:color="auto"/>
              <w:right w:val="single" w:sz="4" w:space="0" w:color="auto"/>
            </w:tcBorders>
            <w:vAlign w:val="center"/>
            <w:hideMark/>
          </w:tcPr>
          <w:p w14:paraId="44E7419E"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4DA405C3"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6057491"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A55B4EC" w14:textId="11EA8C7E"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6047" w:type="dxa"/>
            <w:tcBorders>
              <w:top w:val="nil"/>
              <w:left w:val="nil"/>
              <w:bottom w:val="single" w:sz="4" w:space="0" w:color="auto"/>
              <w:right w:val="single" w:sz="4" w:space="0" w:color="auto"/>
            </w:tcBorders>
            <w:vAlign w:val="bottom"/>
            <w:hideMark/>
          </w:tcPr>
          <w:p w14:paraId="150A77D6"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 </w:t>
            </w:r>
          </w:p>
        </w:tc>
      </w:tr>
      <w:tr w:rsidR="0042403B" w:rsidRPr="008B546B" w14:paraId="4CCD45B9"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87DEC7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1E4ACC1"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6047" w:type="dxa"/>
            <w:tcBorders>
              <w:top w:val="nil"/>
              <w:left w:val="nil"/>
              <w:bottom w:val="single" w:sz="4" w:space="0" w:color="auto"/>
              <w:right w:val="single" w:sz="4" w:space="0" w:color="auto"/>
            </w:tcBorders>
            <w:vAlign w:val="bottom"/>
            <w:hideMark/>
          </w:tcPr>
          <w:p w14:paraId="3CC42BB3"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 </w:t>
            </w:r>
          </w:p>
        </w:tc>
      </w:tr>
      <w:tr w:rsidR="0042403B" w:rsidRPr="008B546B" w14:paraId="7D3A82AB"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9F8B6ED"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58E9171"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6047" w:type="dxa"/>
            <w:tcBorders>
              <w:top w:val="nil"/>
              <w:left w:val="nil"/>
              <w:bottom w:val="single" w:sz="4" w:space="0" w:color="auto"/>
              <w:right w:val="single" w:sz="4" w:space="0" w:color="auto"/>
            </w:tcBorders>
            <w:vAlign w:val="bottom"/>
            <w:hideMark/>
          </w:tcPr>
          <w:p w14:paraId="596E72E4"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 </w:t>
            </w:r>
          </w:p>
        </w:tc>
      </w:tr>
      <w:tr w:rsidR="0042403B" w:rsidRPr="008B546B" w14:paraId="6A767EB7"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8B3E543"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86F2105"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6047" w:type="dxa"/>
            <w:tcBorders>
              <w:top w:val="nil"/>
              <w:left w:val="nil"/>
              <w:bottom w:val="single" w:sz="4" w:space="0" w:color="auto"/>
              <w:right w:val="single" w:sz="4" w:space="0" w:color="auto"/>
            </w:tcBorders>
            <w:vAlign w:val="center"/>
            <w:hideMark/>
          </w:tcPr>
          <w:p w14:paraId="1A5282F4"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7221A3CE" w14:textId="77777777" w:rsidTr="00976EFA">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EE81589" w14:textId="6E1C6808"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6047" w:type="dxa"/>
            <w:tcBorders>
              <w:top w:val="nil"/>
              <w:left w:val="nil"/>
              <w:bottom w:val="single" w:sz="4" w:space="0" w:color="auto"/>
              <w:right w:val="single" w:sz="4" w:space="0" w:color="auto"/>
            </w:tcBorders>
            <w:hideMark/>
          </w:tcPr>
          <w:p w14:paraId="088F078F" w14:textId="77777777" w:rsidR="0042403B" w:rsidRDefault="0042403B" w:rsidP="00AE6FB1">
            <w:pPr>
              <w:rPr>
                <w:rFonts w:ascii="Arial" w:hAnsi="Arial" w:cs="Arial"/>
                <w:color w:val="000000"/>
                <w:sz w:val="16"/>
                <w:szCs w:val="16"/>
              </w:rPr>
            </w:pPr>
            <w:r>
              <w:rPr>
                <w:rFonts w:ascii="Arial" w:hAnsi="Arial" w:cs="Arial"/>
                <w:color w:val="000000"/>
                <w:sz w:val="16"/>
                <w:szCs w:val="16"/>
              </w:rPr>
              <w:t xml:space="preserve">1. </w:t>
            </w:r>
            <w:r w:rsidR="00AE6FB1">
              <w:rPr>
                <w:rFonts w:ascii="Arial" w:hAnsi="Arial" w:cs="Arial"/>
                <w:color w:val="000000"/>
                <w:sz w:val="16"/>
                <w:szCs w:val="16"/>
              </w:rPr>
              <w:t>Reduces</w:t>
            </w:r>
            <w:r>
              <w:rPr>
                <w:rFonts w:ascii="Arial" w:hAnsi="Arial" w:cs="Arial"/>
                <w:color w:val="000000"/>
                <w:sz w:val="16"/>
                <w:szCs w:val="16"/>
              </w:rPr>
              <w:t xml:space="preserve"> joint reflective cracking and spalling.</w:t>
            </w:r>
            <w:r>
              <w:rPr>
                <w:rFonts w:ascii="Arial" w:hAnsi="Arial" w:cs="Arial"/>
                <w:color w:val="000000"/>
                <w:sz w:val="16"/>
                <w:szCs w:val="16"/>
              </w:rPr>
              <w:br/>
              <w:t>2. Provides maintainable joints.</w:t>
            </w:r>
            <w:r>
              <w:rPr>
                <w:rFonts w:ascii="Arial" w:hAnsi="Arial" w:cs="Arial"/>
                <w:color w:val="000000"/>
                <w:sz w:val="16"/>
                <w:szCs w:val="16"/>
              </w:rPr>
              <w:br/>
              <w:t>3. Relatively inexpensive compared to other joint reflective crack mitigation techniques such as Reflective Crack Relief Interlayer (RCRI).</w:t>
            </w:r>
          </w:p>
        </w:tc>
      </w:tr>
      <w:tr w:rsidR="0042403B" w:rsidRPr="008B546B" w14:paraId="1E1C9A49" w14:textId="77777777" w:rsidTr="00976EFA">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0F961225" w14:textId="52CFE5D4"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6047" w:type="dxa"/>
            <w:tcBorders>
              <w:top w:val="nil"/>
              <w:left w:val="nil"/>
              <w:bottom w:val="single" w:sz="4" w:space="0" w:color="auto"/>
              <w:right w:val="single" w:sz="4" w:space="0" w:color="auto"/>
            </w:tcBorders>
            <w:hideMark/>
          </w:tcPr>
          <w:p w14:paraId="0B42D61C" w14:textId="4C284076" w:rsidR="0042403B" w:rsidRDefault="0042403B" w:rsidP="00BE3F24">
            <w:pPr>
              <w:rPr>
                <w:rFonts w:ascii="Arial" w:hAnsi="Arial" w:cs="Arial"/>
                <w:sz w:val="16"/>
                <w:szCs w:val="16"/>
              </w:rPr>
            </w:pPr>
            <w:r>
              <w:rPr>
                <w:rFonts w:ascii="Arial" w:hAnsi="Arial" w:cs="Arial"/>
                <w:sz w:val="16"/>
                <w:szCs w:val="16"/>
              </w:rPr>
              <w:t>1. It is crucial to saw-cut at the location of the PCC joints to achieve the desired performance.</w:t>
            </w:r>
            <w:r>
              <w:rPr>
                <w:rFonts w:ascii="Arial" w:hAnsi="Arial" w:cs="Arial"/>
                <w:sz w:val="16"/>
                <w:szCs w:val="16"/>
              </w:rPr>
              <w:br/>
              <w:t>2. It is difficult to identify the location of joints after the placement of the asphalt overlay</w:t>
            </w:r>
            <w:r w:rsidR="00B172B7">
              <w:rPr>
                <w:rFonts w:ascii="Arial" w:hAnsi="Arial" w:cs="Arial"/>
                <w:sz w:val="16"/>
                <w:szCs w:val="16"/>
              </w:rPr>
              <w:t>.</w:t>
            </w:r>
          </w:p>
        </w:tc>
      </w:tr>
      <w:tr w:rsidR="0042403B" w:rsidRPr="008B546B" w14:paraId="56C48A19" w14:textId="77777777" w:rsidTr="00976EFA">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4A579924"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1D9AE3E1"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6047" w:type="dxa"/>
            <w:vMerge w:val="restart"/>
            <w:tcBorders>
              <w:top w:val="nil"/>
              <w:left w:val="nil"/>
              <w:right w:val="single" w:sz="4" w:space="0" w:color="auto"/>
            </w:tcBorders>
            <w:vAlign w:val="center"/>
            <w:hideMark/>
          </w:tcPr>
          <w:p w14:paraId="5A24F47F" w14:textId="0CB0D7A7" w:rsidR="0042403B" w:rsidRDefault="0042403B" w:rsidP="00BE3F24">
            <w:pPr>
              <w:rPr>
                <w:rFonts w:ascii="Arial" w:hAnsi="Arial" w:cs="Arial"/>
                <w:color w:val="000000"/>
                <w:sz w:val="16"/>
                <w:szCs w:val="16"/>
              </w:rPr>
            </w:pPr>
            <w:r>
              <w:rPr>
                <w:rFonts w:ascii="Arial" w:hAnsi="Arial" w:cs="Arial"/>
                <w:color w:val="000000"/>
                <w:sz w:val="16"/>
                <w:szCs w:val="16"/>
              </w:rPr>
              <w:t>$1.25</w:t>
            </w:r>
            <w:r w:rsidR="00915EA9">
              <w:rPr>
                <w:rFonts w:ascii="Arial" w:hAnsi="Arial" w:cs="Arial"/>
                <w:color w:val="000000"/>
                <w:sz w:val="16"/>
                <w:szCs w:val="16"/>
              </w:rPr>
              <w:t xml:space="preserve"> – </w:t>
            </w:r>
            <w:r>
              <w:rPr>
                <w:rFonts w:ascii="Arial" w:hAnsi="Arial" w:cs="Arial"/>
                <w:color w:val="000000"/>
                <w:sz w:val="16"/>
                <w:szCs w:val="16"/>
              </w:rPr>
              <w:t>$1.50 / LF</w:t>
            </w:r>
          </w:p>
        </w:tc>
      </w:tr>
      <w:tr w:rsidR="0042403B" w:rsidRPr="008B546B" w14:paraId="217B8B19"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4CF2B261"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5B21027"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6047" w:type="dxa"/>
            <w:vMerge/>
            <w:tcBorders>
              <w:left w:val="nil"/>
              <w:right w:val="single" w:sz="4" w:space="0" w:color="auto"/>
            </w:tcBorders>
            <w:vAlign w:val="center"/>
            <w:hideMark/>
          </w:tcPr>
          <w:p w14:paraId="6B2264A2" w14:textId="77777777" w:rsidR="0042403B" w:rsidRDefault="0042403B" w:rsidP="00BE3F24">
            <w:pPr>
              <w:rPr>
                <w:rFonts w:ascii="Arial" w:hAnsi="Arial" w:cs="Arial"/>
                <w:color w:val="000000"/>
                <w:sz w:val="16"/>
                <w:szCs w:val="16"/>
              </w:rPr>
            </w:pPr>
          </w:p>
        </w:tc>
      </w:tr>
      <w:tr w:rsidR="0042403B" w:rsidRPr="008B546B" w14:paraId="6D25F5EF"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1B93F575"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63C45E6"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6047" w:type="dxa"/>
            <w:vMerge/>
            <w:tcBorders>
              <w:left w:val="nil"/>
              <w:bottom w:val="single" w:sz="4" w:space="0" w:color="auto"/>
              <w:right w:val="single" w:sz="4" w:space="0" w:color="auto"/>
            </w:tcBorders>
            <w:vAlign w:val="center"/>
            <w:hideMark/>
          </w:tcPr>
          <w:p w14:paraId="21524B78" w14:textId="77777777" w:rsidR="0042403B" w:rsidRDefault="0042403B" w:rsidP="00BE3F24">
            <w:pPr>
              <w:rPr>
                <w:rFonts w:ascii="Arial" w:hAnsi="Arial" w:cs="Arial"/>
                <w:color w:val="000000"/>
                <w:sz w:val="16"/>
                <w:szCs w:val="16"/>
              </w:rPr>
            </w:pPr>
          </w:p>
        </w:tc>
      </w:tr>
      <w:tr w:rsidR="0042403B" w:rsidRPr="008B546B" w14:paraId="2093A908" w14:textId="77777777" w:rsidTr="00976EFA">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458CCA1"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DAF319A"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6047" w:type="dxa"/>
            <w:tcBorders>
              <w:top w:val="nil"/>
              <w:left w:val="nil"/>
              <w:bottom w:val="single" w:sz="4" w:space="0" w:color="auto"/>
              <w:right w:val="single" w:sz="4" w:space="0" w:color="auto"/>
            </w:tcBorders>
            <w:vAlign w:val="center"/>
            <w:hideMark/>
          </w:tcPr>
          <w:p w14:paraId="050EB71E" w14:textId="77777777" w:rsidR="0042403B" w:rsidRDefault="0042403B" w:rsidP="00BE3F24">
            <w:pPr>
              <w:rPr>
                <w:rFonts w:ascii="Arial" w:hAnsi="Arial" w:cs="Arial"/>
                <w:sz w:val="16"/>
                <w:szCs w:val="16"/>
              </w:rPr>
            </w:pPr>
            <w:r>
              <w:rPr>
                <w:rFonts w:ascii="Arial" w:hAnsi="Arial" w:cs="Arial"/>
                <w:sz w:val="16"/>
                <w:szCs w:val="16"/>
              </w:rPr>
              <w:t xml:space="preserve">Saw and Seal, Joint Filling, and all preparation work. </w:t>
            </w:r>
          </w:p>
        </w:tc>
      </w:tr>
      <w:tr w:rsidR="0042403B" w:rsidRPr="008B546B" w14:paraId="7F35AEAB" w14:textId="77777777" w:rsidTr="00976EFA">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BC8550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F738F97"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6047" w:type="dxa"/>
            <w:tcBorders>
              <w:top w:val="nil"/>
              <w:left w:val="nil"/>
              <w:bottom w:val="single" w:sz="4" w:space="0" w:color="auto"/>
              <w:right w:val="single" w:sz="4" w:space="0" w:color="auto"/>
            </w:tcBorders>
            <w:vAlign w:val="center"/>
            <w:hideMark/>
          </w:tcPr>
          <w:p w14:paraId="7F5872B6" w14:textId="77777777" w:rsidR="0042403B" w:rsidRDefault="0042403B" w:rsidP="00BE3F24">
            <w:pPr>
              <w:rPr>
                <w:rFonts w:ascii="Arial" w:hAnsi="Arial" w:cs="Arial"/>
                <w:sz w:val="16"/>
                <w:szCs w:val="16"/>
              </w:rPr>
            </w:pPr>
            <w:r>
              <w:rPr>
                <w:rFonts w:ascii="Arial" w:hAnsi="Arial" w:cs="Arial"/>
                <w:sz w:val="16"/>
                <w:szCs w:val="16"/>
              </w:rPr>
              <w:t>HMA Overlay Cost</w:t>
            </w:r>
          </w:p>
        </w:tc>
      </w:tr>
      <w:tr w:rsidR="0042403B" w:rsidRPr="008B546B" w14:paraId="154A2281" w14:textId="77777777" w:rsidTr="00976EFA">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97ACE61"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6047" w:type="dxa"/>
            <w:tcBorders>
              <w:top w:val="nil"/>
              <w:left w:val="nil"/>
              <w:bottom w:val="nil"/>
              <w:right w:val="single" w:sz="4" w:space="0" w:color="auto"/>
            </w:tcBorders>
            <w:vAlign w:val="center"/>
            <w:hideMark/>
          </w:tcPr>
          <w:p w14:paraId="074C4D9D" w14:textId="77777777" w:rsidR="0042403B" w:rsidRDefault="0042403B" w:rsidP="00BE3F24">
            <w:pPr>
              <w:rPr>
                <w:rFonts w:ascii="Arial" w:hAnsi="Arial" w:cs="Arial"/>
                <w:color w:val="000000"/>
                <w:sz w:val="16"/>
                <w:szCs w:val="16"/>
              </w:rPr>
            </w:pPr>
            <w:r>
              <w:rPr>
                <w:rFonts w:ascii="Arial" w:hAnsi="Arial" w:cs="Arial"/>
                <w:color w:val="000000"/>
                <w:sz w:val="16"/>
                <w:szCs w:val="16"/>
              </w:rPr>
              <w:t xml:space="preserve">Depends on the thickness of the overlay placed. </w:t>
            </w:r>
          </w:p>
        </w:tc>
      </w:tr>
      <w:tr w:rsidR="0042403B" w:rsidRPr="008B546B" w14:paraId="75E318E2" w14:textId="77777777" w:rsidTr="00976EFA">
        <w:trPr>
          <w:trHeight w:val="271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81A779E" w14:textId="7E1C7373" w:rsidR="0042403B" w:rsidRPr="008B546B" w:rsidRDefault="0042403B" w:rsidP="00C270F8">
            <w:pPr>
              <w:jc w:val="center"/>
              <w:rPr>
                <w:rFonts w:ascii="Arial" w:hAnsi="Arial" w:cs="Arial"/>
                <w:b/>
                <w:bCs/>
                <w:sz w:val="22"/>
                <w:szCs w:val="22"/>
              </w:rPr>
            </w:pPr>
            <w:r w:rsidRPr="008B546B">
              <w:rPr>
                <w:rFonts w:ascii="Arial" w:hAnsi="Arial" w:cs="Arial"/>
                <w:b/>
                <w:bCs/>
                <w:sz w:val="22"/>
                <w:szCs w:val="22"/>
              </w:rPr>
              <w:t>MOT Considerations /</w:t>
            </w:r>
            <w:r w:rsidRPr="008B546B">
              <w:rPr>
                <w:rFonts w:ascii="Arial" w:hAnsi="Arial" w:cs="Arial"/>
                <w:b/>
                <w:bCs/>
                <w:sz w:val="22"/>
                <w:szCs w:val="22"/>
              </w:rPr>
              <w:br/>
              <w:t xml:space="preserve">Cure </w:t>
            </w:r>
            <w:r w:rsidR="00C270F8">
              <w:rPr>
                <w:rFonts w:ascii="Arial" w:hAnsi="Arial" w:cs="Arial"/>
                <w:b/>
                <w:bCs/>
                <w:sz w:val="22"/>
                <w:szCs w:val="22"/>
              </w:rPr>
              <w:t>T</w:t>
            </w:r>
            <w:r w:rsidRPr="008B546B">
              <w:rPr>
                <w:rFonts w:ascii="Arial" w:hAnsi="Arial" w:cs="Arial"/>
                <w:b/>
                <w:bCs/>
                <w:sz w:val="22"/>
                <w:szCs w:val="22"/>
              </w:rPr>
              <w:t>ime</w:t>
            </w:r>
          </w:p>
        </w:tc>
        <w:tc>
          <w:tcPr>
            <w:tcW w:w="6047" w:type="dxa"/>
            <w:tcBorders>
              <w:top w:val="single" w:sz="4" w:space="0" w:color="auto"/>
              <w:left w:val="nil"/>
              <w:bottom w:val="single" w:sz="4" w:space="0" w:color="auto"/>
              <w:right w:val="single" w:sz="4" w:space="0" w:color="auto"/>
            </w:tcBorders>
            <w:hideMark/>
          </w:tcPr>
          <w:p w14:paraId="0A6BD08D" w14:textId="77777777" w:rsidR="0042403B" w:rsidRDefault="0042403B" w:rsidP="00BE3F24">
            <w:pPr>
              <w:rPr>
                <w:rFonts w:ascii="Arial" w:hAnsi="Arial" w:cs="Arial"/>
                <w:color w:val="000000"/>
                <w:sz w:val="16"/>
                <w:szCs w:val="16"/>
              </w:rPr>
            </w:pPr>
          </w:p>
          <w:p w14:paraId="652C7721" w14:textId="77777777" w:rsidR="0042403B" w:rsidRDefault="0042403B" w:rsidP="00BE3F24">
            <w:pPr>
              <w:rPr>
                <w:rFonts w:ascii="Arial" w:hAnsi="Arial" w:cs="Arial"/>
                <w:color w:val="000000"/>
                <w:sz w:val="16"/>
                <w:szCs w:val="16"/>
              </w:rPr>
            </w:pPr>
            <w:r>
              <w:rPr>
                <w:rFonts w:ascii="Arial" w:hAnsi="Arial" w:cs="Arial"/>
                <w:color w:val="000000"/>
                <w:sz w:val="16"/>
                <w:szCs w:val="16"/>
              </w:rPr>
              <w:t>See "A-1. Crack Filling" and "A-3. Joint Sealing (and Resealing)" for cure times</w:t>
            </w:r>
          </w:p>
        </w:tc>
      </w:tr>
    </w:tbl>
    <w:p w14:paraId="243E8586" w14:textId="77777777" w:rsidR="0042403B" w:rsidRDefault="0042403B" w:rsidP="00BE3F24">
      <w:pPr>
        <w:rPr>
          <w:rFonts w:ascii="Arial" w:hAnsi="Arial" w:cs="Arial"/>
          <w:b/>
          <w:bCs/>
          <w:kern w:val="32"/>
          <w:sz w:val="28"/>
          <w:szCs w:val="32"/>
          <w:u w:val="single"/>
        </w:rPr>
      </w:pPr>
    </w:p>
    <w:p w14:paraId="0D951D0E"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627" w:type="dxa"/>
        <w:tblInd w:w="98" w:type="dxa"/>
        <w:tblLayout w:type="fixed"/>
        <w:tblLook w:val="04A0" w:firstRow="1" w:lastRow="0" w:firstColumn="1" w:lastColumn="0" w:noHBand="0" w:noVBand="1"/>
      </w:tblPr>
      <w:tblGrid>
        <w:gridCol w:w="1040"/>
        <w:gridCol w:w="1540"/>
        <w:gridCol w:w="2987"/>
        <w:gridCol w:w="3060"/>
      </w:tblGrid>
      <w:tr w:rsidR="0042403B" w:rsidRPr="008B546B" w14:paraId="64D3362B" w14:textId="77777777" w:rsidTr="00976EFA">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C885E7B"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4</w:t>
            </w:r>
          </w:p>
          <w:p w14:paraId="069D5799" w14:textId="77777777" w:rsidR="002417C7" w:rsidRDefault="002417C7" w:rsidP="00BE3F24">
            <w:pPr>
              <w:jc w:val="center"/>
              <w:rPr>
                <w:rFonts w:ascii="Bell MT" w:hAnsi="Bell MT" w:cs="Calibri"/>
                <w:b/>
                <w:bCs/>
                <w:color w:val="000000"/>
                <w:sz w:val="28"/>
                <w:szCs w:val="28"/>
              </w:rPr>
            </w:pPr>
          </w:p>
          <w:p w14:paraId="5D3643EC"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05D8AF8C" w14:textId="77777777" w:rsidR="0042403B" w:rsidRPr="008B546B" w:rsidRDefault="0042403B" w:rsidP="00976EFA">
            <w:pPr>
              <w:pStyle w:val="Heading3"/>
              <w:ind w:left="1349" w:hanging="1349"/>
            </w:pPr>
            <w:bookmarkStart w:id="68" w:name="_SUPPLEMENTAL_INFORMATION_FOR_3"/>
            <w:bookmarkEnd w:id="68"/>
            <w:r w:rsidRPr="008B546B">
              <w:t>SUPPLEMENTAL INFORMATION FOR TREATMENT</w:t>
            </w:r>
            <w:r>
              <w:t>S B-1, B-2</w:t>
            </w:r>
            <w:r w:rsidRPr="008B546B">
              <w:t> </w:t>
            </w:r>
          </w:p>
        </w:tc>
      </w:tr>
      <w:tr w:rsidR="0042403B" w:rsidRPr="008B546B" w14:paraId="7A38E5ED"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15D20530" w14:textId="77777777" w:rsidR="0042403B" w:rsidRPr="008B546B" w:rsidRDefault="0042403B" w:rsidP="00BE3F24">
            <w:pPr>
              <w:rPr>
                <w:rFonts w:ascii="Bell MT" w:hAnsi="Bell MT" w:cs="Calibri"/>
                <w:b/>
                <w:bCs/>
                <w:color w:val="000000"/>
                <w:sz w:val="28"/>
                <w:szCs w:val="28"/>
              </w:rPr>
            </w:pPr>
          </w:p>
        </w:tc>
        <w:tc>
          <w:tcPr>
            <w:tcW w:w="2987" w:type="dxa"/>
            <w:vMerge w:val="restart"/>
            <w:tcBorders>
              <w:top w:val="nil"/>
              <w:left w:val="single" w:sz="4" w:space="0" w:color="auto"/>
              <w:bottom w:val="single" w:sz="4" w:space="0" w:color="auto"/>
              <w:right w:val="single" w:sz="4" w:space="0" w:color="auto"/>
            </w:tcBorders>
            <w:vAlign w:val="center"/>
            <w:hideMark/>
          </w:tcPr>
          <w:p w14:paraId="351DB5B0" w14:textId="0B39AFC8" w:rsidR="0042403B" w:rsidRDefault="0042403B" w:rsidP="00BE3F24">
            <w:pPr>
              <w:jc w:val="center"/>
              <w:rPr>
                <w:rFonts w:ascii="Arial" w:hAnsi="Arial" w:cs="Arial"/>
                <w:b/>
                <w:bCs/>
                <w:color w:val="000000"/>
                <w:sz w:val="22"/>
                <w:szCs w:val="22"/>
              </w:rPr>
            </w:pPr>
            <w:hyperlink w:anchor="B1_Fog_Seal" w:history="1">
              <w:r w:rsidRPr="001845B7">
                <w:rPr>
                  <w:rStyle w:val="Hyperlink"/>
                  <w:rFonts w:ascii="Arial" w:hAnsi="Arial" w:cs="Arial"/>
                  <w:b/>
                  <w:bCs/>
                  <w:sz w:val="22"/>
                  <w:szCs w:val="22"/>
                </w:rPr>
                <w:t xml:space="preserve">B-1. </w:t>
              </w:r>
              <w:r w:rsidR="00B87D6C" w:rsidRPr="001845B7">
                <w:rPr>
                  <w:rStyle w:val="Hyperlink"/>
                  <w:rFonts w:ascii="Arial" w:hAnsi="Arial" w:cs="Arial"/>
                  <w:b/>
                  <w:bCs/>
                  <w:sz w:val="22"/>
                  <w:szCs w:val="22"/>
                </w:rPr>
                <w:t>Fog Seal</w:t>
              </w:r>
            </w:hyperlink>
          </w:p>
        </w:tc>
        <w:tc>
          <w:tcPr>
            <w:tcW w:w="3060" w:type="dxa"/>
            <w:vMerge w:val="restart"/>
            <w:tcBorders>
              <w:top w:val="nil"/>
              <w:left w:val="nil"/>
              <w:bottom w:val="single" w:sz="4" w:space="0" w:color="000000"/>
              <w:right w:val="single" w:sz="4" w:space="0" w:color="auto"/>
            </w:tcBorders>
            <w:vAlign w:val="center"/>
            <w:hideMark/>
          </w:tcPr>
          <w:p w14:paraId="4FD00411" w14:textId="391847C9" w:rsidR="0042403B" w:rsidRDefault="0042403B" w:rsidP="00BE3F24">
            <w:pPr>
              <w:jc w:val="center"/>
              <w:rPr>
                <w:rFonts w:ascii="Arial" w:hAnsi="Arial" w:cs="Arial"/>
                <w:b/>
                <w:bCs/>
                <w:color w:val="000000"/>
                <w:sz w:val="22"/>
                <w:szCs w:val="22"/>
              </w:rPr>
            </w:pPr>
            <w:hyperlink w:anchor="B2_Rejuvenator" w:history="1">
              <w:r w:rsidRPr="001845B7">
                <w:rPr>
                  <w:rStyle w:val="Hyperlink"/>
                  <w:rFonts w:ascii="Arial" w:hAnsi="Arial" w:cs="Arial"/>
                  <w:b/>
                  <w:bCs/>
                  <w:sz w:val="22"/>
                  <w:szCs w:val="22"/>
                </w:rPr>
                <w:t>B-2. Rejuvenators</w:t>
              </w:r>
            </w:hyperlink>
          </w:p>
        </w:tc>
      </w:tr>
      <w:tr w:rsidR="0042403B" w:rsidRPr="008B546B" w14:paraId="7724F565"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73D9A88F" w14:textId="77777777" w:rsidR="0042403B" w:rsidRPr="008B546B" w:rsidRDefault="0042403B" w:rsidP="00BE3F24">
            <w:pPr>
              <w:rPr>
                <w:rFonts w:ascii="Bell MT" w:hAnsi="Bell MT" w:cs="Calibri"/>
                <w:b/>
                <w:bCs/>
                <w:color w:val="000000"/>
                <w:sz w:val="28"/>
                <w:szCs w:val="28"/>
              </w:rPr>
            </w:pPr>
          </w:p>
        </w:tc>
        <w:tc>
          <w:tcPr>
            <w:tcW w:w="2987" w:type="dxa"/>
            <w:vMerge/>
            <w:tcBorders>
              <w:top w:val="nil"/>
              <w:left w:val="single" w:sz="4" w:space="0" w:color="auto"/>
              <w:bottom w:val="single" w:sz="4" w:space="0" w:color="auto"/>
              <w:right w:val="single" w:sz="4" w:space="0" w:color="auto"/>
            </w:tcBorders>
            <w:vAlign w:val="center"/>
            <w:hideMark/>
          </w:tcPr>
          <w:p w14:paraId="002472B6" w14:textId="77777777" w:rsidR="0042403B" w:rsidRPr="008B546B" w:rsidRDefault="0042403B" w:rsidP="00BE3F24">
            <w:pPr>
              <w:rPr>
                <w:rFonts w:ascii="Arial" w:hAnsi="Arial" w:cs="Arial"/>
                <w:b/>
                <w:bCs/>
                <w:color w:val="000000"/>
                <w:sz w:val="22"/>
                <w:szCs w:val="22"/>
              </w:rPr>
            </w:pPr>
          </w:p>
        </w:tc>
        <w:tc>
          <w:tcPr>
            <w:tcW w:w="3060" w:type="dxa"/>
            <w:vMerge/>
            <w:tcBorders>
              <w:top w:val="nil"/>
              <w:left w:val="nil"/>
              <w:bottom w:val="single" w:sz="4" w:space="0" w:color="000000"/>
              <w:right w:val="single" w:sz="4" w:space="0" w:color="auto"/>
            </w:tcBorders>
            <w:vAlign w:val="center"/>
            <w:hideMark/>
          </w:tcPr>
          <w:p w14:paraId="11514DDE" w14:textId="77777777" w:rsidR="0042403B" w:rsidRPr="008B546B" w:rsidRDefault="0042403B" w:rsidP="00BE3F24">
            <w:pPr>
              <w:rPr>
                <w:rFonts w:ascii="Arial" w:hAnsi="Arial" w:cs="Arial"/>
                <w:b/>
                <w:bCs/>
                <w:color w:val="000000"/>
                <w:sz w:val="22"/>
                <w:szCs w:val="22"/>
              </w:rPr>
            </w:pPr>
          </w:p>
        </w:tc>
      </w:tr>
      <w:tr w:rsidR="0042403B" w:rsidRPr="008B546B" w14:paraId="45F3FA5A" w14:textId="77777777" w:rsidTr="00976EFA">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5FE7114B"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3E8F41FD"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987" w:type="dxa"/>
            <w:tcBorders>
              <w:top w:val="nil"/>
              <w:left w:val="nil"/>
              <w:bottom w:val="single" w:sz="4" w:space="0" w:color="auto"/>
              <w:right w:val="single" w:sz="4" w:space="0" w:color="auto"/>
            </w:tcBorders>
            <w:vAlign w:val="center"/>
            <w:hideMark/>
          </w:tcPr>
          <w:p w14:paraId="18E3554A" w14:textId="77777777"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644BAB35" w14:textId="77777777" w:rsidR="0042403B" w:rsidRPr="008B546B" w:rsidRDefault="0042403B" w:rsidP="00BE3F24">
            <w:pPr>
              <w:jc w:val="center"/>
              <w:rPr>
                <w:rFonts w:ascii="Arial" w:hAnsi="Arial" w:cs="Arial"/>
                <w:b/>
                <w:bCs/>
                <w:color w:val="000000"/>
                <w:sz w:val="16"/>
                <w:szCs w:val="16"/>
              </w:rPr>
            </w:pPr>
          </w:p>
        </w:tc>
      </w:tr>
      <w:tr w:rsidR="0042403B" w:rsidRPr="008B546B" w14:paraId="5316E3CA"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BD8305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FC2D3FD" w14:textId="2485F80B"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987" w:type="dxa"/>
            <w:tcBorders>
              <w:top w:val="nil"/>
              <w:left w:val="nil"/>
              <w:bottom w:val="single" w:sz="4" w:space="0" w:color="auto"/>
              <w:right w:val="single" w:sz="4" w:space="0" w:color="auto"/>
            </w:tcBorders>
            <w:vAlign w:val="center"/>
            <w:hideMark/>
          </w:tcPr>
          <w:p w14:paraId="204B8A12"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060" w:type="dxa"/>
            <w:tcBorders>
              <w:top w:val="nil"/>
              <w:left w:val="nil"/>
              <w:bottom w:val="single" w:sz="4" w:space="0" w:color="auto"/>
              <w:right w:val="single" w:sz="4" w:space="0" w:color="auto"/>
            </w:tcBorders>
            <w:vAlign w:val="center"/>
            <w:hideMark/>
          </w:tcPr>
          <w:p w14:paraId="0CFCA371"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70BE492A"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02DB000"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3C5ADE4" w14:textId="42897BD0"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987" w:type="dxa"/>
            <w:tcBorders>
              <w:top w:val="nil"/>
              <w:left w:val="nil"/>
              <w:bottom w:val="single" w:sz="4" w:space="0" w:color="auto"/>
              <w:right w:val="single" w:sz="4" w:space="0" w:color="auto"/>
            </w:tcBorders>
            <w:vAlign w:val="center"/>
            <w:hideMark/>
          </w:tcPr>
          <w:p w14:paraId="31ACDF04" w14:textId="77777777"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4FF47877" w14:textId="77777777" w:rsidR="0042403B" w:rsidRPr="008B546B" w:rsidRDefault="0042403B" w:rsidP="00BE3F24">
            <w:pPr>
              <w:jc w:val="center"/>
              <w:rPr>
                <w:rFonts w:ascii="Arial" w:hAnsi="Arial" w:cs="Arial"/>
                <w:b/>
                <w:bCs/>
                <w:color w:val="000000"/>
                <w:sz w:val="16"/>
                <w:szCs w:val="16"/>
              </w:rPr>
            </w:pPr>
          </w:p>
        </w:tc>
      </w:tr>
      <w:tr w:rsidR="0042403B" w:rsidRPr="008B546B" w14:paraId="4BB8EA87"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F09CB97"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5D43918"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987" w:type="dxa"/>
            <w:tcBorders>
              <w:top w:val="nil"/>
              <w:left w:val="nil"/>
              <w:bottom w:val="single" w:sz="4" w:space="0" w:color="auto"/>
              <w:right w:val="single" w:sz="4" w:space="0" w:color="auto"/>
            </w:tcBorders>
            <w:vAlign w:val="center"/>
            <w:hideMark/>
          </w:tcPr>
          <w:p w14:paraId="799F345E" w14:textId="77777777"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6BA8F481" w14:textId="77777777" w:rsidR="0042403B" w:rsidRPr="008B546B" w:rsidRDefault="0042403B" w:rsidP="00BE3F24">
            <w:pPr>
              <w:jc w:val="center"/>
              <w:rPr>
                <w:rFonts w:ascii="Arial" w:hAnsi="Arial" w:cs="Arial"/>
                <w:b/>
                <w:bCs/>
                <w:color w:val="000000"/>
                <w:sz w:val="16"/>
                <w:szCs w:val="16"/>
              </w:rPr>
            </w:pPr>
          </w:p>
        </w:tc>
      </w:tr>
      <w:tr w:rsidR="0042403B" w:rsidRPr="008B546B" w14:paraId="12360923"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00A2C0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147494D"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987" w:type="dxa"/>
            <w:tcBorders>
              <w:top w:val="nil"/>
              <w:left w:val="nil"/>
              <w:bottom w:val="single" w:sz="4" w:space="0" w:color="auto"/>
              <w:right w:val="single" w:sz="4" w:space="0" w:color="auto"/>
            </w:tcBorders>
            <w:vAlign w:val="center"/>
            <w:hideMark/>
          </w:tcPr>
          <w:p w14:paraId="56D4037C" w14:textId="77777777"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1E969746" w14:textId="77777777" w:rsidR="0042403B" w:rsidRPr="008B546B" w:rsidRDefault="0042403B" w:rsidP="00BE3F24">
            <w:pPr>
              <w:jc w:val="center"/>
              <w:rPr>
                <w:rFonts w:ascii="Arial" w:hAnsi="Arial" w:cs="Arial"/>
                <w:b/>
                <w:bCs/>
                <w:color w:val="000000"/>
                <w:sz w:val="16"/>
                <w:szCs w:val="16"/>
              </w:rPr>
            </w:pPr>
          </w:p>
        </w:tc>
      </w:tr>
      <w:tr w:rsidR="0042403B" w:rsidRPr="008B546B" w14:paraId="730BC63F"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E0939BD"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2F8E014"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987" w:type="dxa"/>
            <w:tcBorders>
              <w:top w:val="nil"/>
              <w:left w:val="nil"/>
              <w:bottom w:val="single" w:sz="4" w:space="0" w:color="auto"/>
              <w:right w:val="single" w:sz="4" w:space="0" w:color="auto"/>
            </w:tcBorders>
            <w:vAlign w:val="center"/>
            <w:hideMark/>
          </w:tcPr>
          <w:p w14:paraId="20B91FA2"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060" w:type="dxa"/>
            <w:tcBorders>
              <w:top w:val="nil"/>
              <w:left w:val="nil"/>
              <w:bottom w:val="single" w:sz="4" w:space="0" w:color="auto"/>
              <w:right w:val="single" w:sz="4" w:space="0" w:color="auto"/>
            </w:tcBorders>
            <w:vAlign w:val="center"/>
            <w:hideMark/>
          </w:tcPr>
          <w:p w14:paraId="78FF3E73"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375E143F" w14:textId="77777777" w:rsidTr="00976EFA">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5C1647C" w14:textId="2F5FAEC9"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2987" w:type="dxa"/>
            <w:tcBorders>
              <w:top w:val="nil"/>
              <w:left w:val="nil"/>
              <w:bottom w:val="single" w:sz="4" w:space="0" w:color="auto"/>
              <w:right w:val="single" w:sz="4" w:space="0" w:color="auto"/>
            </w:tcBorders>
            <w:hideMark/>
          </w:tcPr>
          <w:p w14:paraId="0738BDCB" w14:textId="5247C8A1" w:rsidR="0042403B" w:rsidRPr="00B64256" w:rsidRDefault="0042403B" w:rsidP="00BE3F24">
            <w:pPr>
              <w:rPr>
                <w:rFonts w:ascii="Arial" w:hAnsi="Arial" w:cs="Arial"/>
                <w:color w:val="000000"/>
                <w:sz w:val="16"/>
                <w:szCs w:val="16"/>
              </w:rPr>
            </w:pPr>
            <w:r w:rsidRPr="00B64256">
              <w:rPr>
                <w:rFonts w:ascii="Arial" w:hAnsi="Arial" w:cs="Arial"/>
                <w:color w:val="000000"/>
                <w:sz w:val="16"/>
                <w:szCs w:val="16"/>
              </w:rPr>
              <w:t>1. Performs well in all climatic conditions</w:t>
            </w:r>
            <w:r w:rsidR="00B172B7">
              <w:rPr>
                <w:rFonts w:ascii="Arial" w:hAnsi="Arial" w:cs="Arial"/>
                <w:color w:val="000000"/>
                <w:sz w:val="16"/>
                <w:szCs w:val="16"/>
              </w:rPr>
              <w:t>.</w:t>
            </w:r>
            <w:r w:rsidRPr="00B64256">
              <w:rPr>
                <w:rFonts w:ascii="Arial" w:hAnsi="Arial" w:cs="Arial"/>
                <w:color w:val="000000"/>
                <w:sz w:val="16"/>
                <w:szCs w:val="16"/>
              </w:rPr>
              <w:br/>
              <w:t>2. Inexpensive treatment</w:t>
            </w:r>
            <w:r w:rsidR="00B172B7">
              <w:rPr>
                <w:rFonts w:ascii="Arial" w:hAnsi="Arial" w:cs="Arial"/>
                <w:color w:val="000000"/>
                <w:sz w:val="16"/>
                <w:szCs w:val="16"/>
              </w:rPr>
              <w:t>.</w:t>
            </w:r>
            <w:r w:rsidRPr="00B64256">
              <w:rPr>
                <w:rFonts w:ascii="Arial" w:hAnsi="Arial" w:cs="Arial"/>
                <w:color w:val="000000"/>
                <w:sz w:val="16"/>
                <w:szCs w:val="16"/>
              </w:rPr>
              <w:br/>
              <w:t>3. Improves sealing or waterproofing</w:t>
            </w:r>
            <w:r w:rsidR="00B172B7">
              <w:rPr>
                <w:rFonts w:ascii="Arial" w:hAnsi="Arial" w:cs="Arial"/>
                <w:color w:val="000000"/>
                <w:sz w:val="16"/>
                <w:szCs w:val="16"/>
              </w:rPr>
              <w:t>.</w:t>
            </w:r>
            <w:r w:rsidRPr="00B64256">
              <w:rPr>
                <w:rFonts w:ascii="Arial" w:hAnsi="Arial" w:cs="Arial"/>
                <w:color w:val="000000"/>
                <w:sz w:val="16"/>
                <w:szCs w:val="16"/>
              </w:rPr>
              <w:br/>
              <w:t>4. Facilitates aggregate retention in chip seal applications or weathered/raveled pavements</w:t>
            </w:r>
            <w:r w:rsidR="00B172B7">
              <w:rPr>
                <w:rFonts w:ascii="Arial" w:hAnsi="Arial" w:cs="Arial"/>
                <w:color w:val="000000"/>
                <w:sz w:val="16"/>
                <w:szCs w:val="16"/>
              </w:rPr>
              <w:t>.</w:t>
            </w:r>
          </w:p>
        </w:tc>
        <w:tc>
          <w:tcPr>
            <w:tcW w:w="3060" w:type="dxa"/>
            <w:tcBorders>
              <w:top w:val="nil"/>
              <w:left w:val="nil"/>
              <w:bottom w:val="single" w:sz="4" w:space="0" w:color="auto"/>
              <w:right w:val="single" w:sz="4" w:space="0" w:color="auto"/>
            </w:tcBorders>
            <w:hideMark/>
          </w:tcPr>
          <w:p w14:paraId="26D5D8EF" w14:textId="25B8509A" w:rsidR="0042403B" w:rsidRDefault="0042403B" w:rsidP="00BE3F24">
            <w:pPr>
              <w:rPr>
                <w:rFonts w:ascii="Arial" w:hAnsi="Arial" w:cs="Arial"/>
                <w:sz w:val="16"/>
                <w:szCs w:val="16"/>
              </w:rPr>
            </w:pPr>
            <w:r w:rsidRPr="00B64256">
              <w:rPr>
                <w:rFonts w:ascii="Arial" w:hAnsi="Arial" w:cs="Arial"/>
                <w:sz w:val="16"/>
                <w:szCs w:val="16"/>
              </w:rPr>
              <w:t>1. Slows/reduces raveling and roughness and may slow rate of thermal cracking</w:t>
            </w:r>
            <w:r w:rsidR="00B172B7">
              <w:rPr>
                <w:rFonts w:ascii="Arial" w:hAnsi="Arial" w:cs="Arial"/>
                <w:sz w:val="16"/>
                <w:szCs w:val="16"/>
              </w:rPr>
              <w:t>.</w:t>
            </w:r>
            <w:r w:rsidRPr="00B64256">
              <w:rPr>
                <w:rFonts w:ascii="Arial" w:hAnsi="Arial" w:cs="Arial"/>
                <w:sz w:val="16"/>
                <w:szCs w:val="16"/>
              </w:rPr>
              <w:br/>
              <w:t>2. Used in some surface recycling process</w:t>
            </w:r>
            <w:r w:rsidR="00B172B7">
              <w:rPr>
                <w:rFonts w:ascii="Arial" w:hAnsi="Arial" w:cs="Arial"/>
                <w:sz w:val="16"/>
                <w:szCs w:val="16"/>
              </w:rPr>
              <w:t>.</w:t>
            </w:r>
            <w:r w:rsidRPr="00B64256">
              <w:rPr>
                <w:rFonts w:ascii="Arial" w:hAnsi="Arial" w:cs="Arial"/>
                <w:sz w:val="16"/>
                <w:szCs w:val="16"/>
              </w:rPr>
              <w:br/>
              <w:t>3. Improves flexibility of asphalt binder</w:t>
            </w:r>
            <w:r w:rsidR="00B172B7">
              <w:rPr>
                <w:rFonts w:ascii="Arial" w:hAnsi="Arial" w:cs="Arial"/>
                <w:sz w:val="16"/>
                <w:szCs w:val="16"/>
              </w:rPr>
              <w:t>.</w:t>
            </w:r>
          </w:p>
          <w:p w14:paraId="74F00789" w14:textId="66A584C9" w:rsidR="0042403B" w:rsidRPr="00B64256" w:rsidRDefault="0042403B" w:rsidP="00BE3F24">
            <w:pPr>
              <w:rPr>
                <w:rFonts w:ascii="Arial" w:hAnsi="Arial" w:cs="Arial"/>
                <w:sz w:val="16"/>
                <w:szCs w:val="16"/>
              </w:rPr>
            </w:pPr>
            <w:r>
              <w:rPr>
                <w:rFonts w:ascii="Arial" w:hAnsi="Arial" w:cs="Arial"/>
                <w:sz w:val="16"/>
                <w:szCs w:val="16"/>
              </w:rPr>
              <w:t>4. Good for treating existing rumble strips</w:t>
            </w:r>
            <w:r w:rsidR="00B172B7">
              <w:rPr>
                <w:rFonts w:ascii="Arial" w:hAnsi="Arial" w:cs="Arial"/>
                <w:sz w:val="16"/>
                <w:szCs w:val="16"/>
              </w:rPr>
              <w:t>.</w:t>
            </w:r>
          </w:p>
        </w:tc>
      </w:tr>
      <w:tr w:rsidR="0042403B" w:rsidRPr="008B546B" w14:paraId="52124841" w14:textId="77777777" w:rsidTr="00976EFA">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F3B89EF" w14:textId="04C10ECB"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2987" w:type="dxa"/>
            <w:tcBorders>
              <w:top w:val="nil"/>
              <w:left w:val="nil"/>
              <w:bottom w:val="single" w:sz="4" w:space="0" w:color="auto"/>
              <w:right w:val="single" w:sz="4" w:space="0" w:color="auto"/>
            </w:tcBorders>
            <w:hideMark/>
          </w:tcPr>
          <w:p w14:paraId="1A274F86" w14:textId="1585BA68" w:rsidR="0042403B" w:rsidRPr="00B64256" w:rsidRDefault="0042403B" w:rsidP="00C270F8">
            <w:pPr>
              <w:rPr>
                <w:rFonts w:ascii="Arial" w:hAnsi="Arial" w:cs="Arial"/>
                <w:sz w:val="16"/>
                <w:szCs w:val="16"/>
              </w:rPr>
            </w:pPr>
            <w:r w:rsidRPr="00B64256">
              <w:rPr>
                <w:rFonts w:ascii="Arial" w:hAnsi="Arial" w:cs="Arial"/>
                <w:sz w:val="16"/>
                <w:szCs w:val="16"/>
              </w:rPr>
              <w:t xml:space="preserve">1. Increased ADT or truck levels can increase surface wear, </w:t>
            </w:r>
            <w:r w:rsidR="00A4584E" w:rsidRPr="00B64256">
              <w:rPr>
                <w:rFonts w:ascii="Arial" w:hAnsi="Arial" w:cs="Arial"/>
                <w:sz w:val="16"/>
                <w:szCs w:val="16"/>
              </w:rPr>
              <w:t>particularly</w:t>
            </w:r>
            <w:r w:rsidRPr="00B64256">
              <w:rPr>
                <w:rFonts w:ascii="Arial" w:hAnsi="Arial" w:cs="Arial"/>
                <w:sz w:val="16"/>
                <w:szCs w:val="16"/>
              </w:rPr>
              <w:t xml:space="preserve"> when studded tires are used.</w:t>
            </w:r>
            <w:r w:rsidRPr="00B64256">
              <w:rPr>
                <w:rFonts w:ascii="Arial" w:hAnsi="Arial" w:cs="Arial"/>
                <w:sz w:val="16"/>
                <w:szCs w:val="16"/>
              </w:rPr>
              <w:br/>
              <w:t>2. Typically,</w:t>
            </w:r>
            <w:r>
              <w:rPr>
                <w:rFonts w:ascii="Arial" w:hAnsi="Arial" w:cs="Arial"/>
                <w:sz w:val="16"/>
                <w:szCs w:val="16"/>
              </w:rPr>
              <w:t xml:space="preserve"> </w:t>
            </w:r>
            <w:r w:rsidRPr="00B64256">
              <w:rPr>
                <w:rFonts w:ascii="Arial" w:hAnsi="Arial" w:cs="Arial"/>
                <w:sz w:val="16"/>
                <w:szCs w:val="16"/>
              </w:rPr>
              <w:t>a slow setting emulsion is used which requires time to "break</w:t>
            </w:r>
            <w:r w:rsidR="00C270F8">
              <w:rPr>
                <w:rFonts w:ascii="Arial" w:hAnsi="Arial" w:cs="Arial"/>
                <w:sz w:val="16"/>
                <w:szCs w:val="16"/>
              </w:rPr>
              <w:t>.</w:t>
            </w:r>
            <w:r w:rsidRPr="00B64256">
              <w:rPr>
                <w:rFonts w:ascii="Arial" w:hAnsi="Arial" w:cs="Arial"/>
                <w:sz w:val="16"/>
                <w:szCs w:val="16"/>
              </w:rPr>
              <w:t>"</w:t>
            </w:r>
            <w:r w:rsidR="00C270F8">
              <w:rPr>
                <w:rFonts w:ascii="Arial" w:hAnsi="Arial" w:cs="Arial"/>
                <w:sz w:val="16"/>
                <w:szCs w:val="16"/>
              </w:rPr>
              <w:t xml:space="preserve"> </w:t>
            </w:r>
            <w:r w:rsidRPr="00B64256">
              <w:rPr>
                <w:rFonts w:ascii="Arial" w:hAnsi="Arial" w:cs="Arial"/>
                <w:sz w:val="16"/>
                <w:szCs w:val="16"/>
              </w:rPr>
              <w:t xml:space="preserve"> Hence, the pavement is sometimes closed for several hours for curing before being re-opened to traffic.</w:t>
            </w:r>
            <w:r w:rsidRPr="00B64256">
              <w:rPr>
                <w:rFonts w:ascii="Arial" w:hAnsi="Arial" w:cs="Arial"/>
                <w:sz w:val="16"/>
                <w:szCs w:val="16"/>
              </w:rPr>
              <w:br/>
              <w:t>3. Can have a negative impact on friction and stripping</w:t>
            </w:r>
            <w:r w:rsidR="00C270F8">
              <w:rPr>
                <w:rFonts w:ascii="Arial" w:hAnsi="Arial" w:cs="Arial"/>
                <w:sz w:val="16"/>
                <w:szCs w:val="16"/>
              </w:rPr>
              <w:t>.</w:t>
            </w:r>
          </w:p>
        </w:tc>
        <w:tc>
          <w:tcPr>
            <w:tcW w:w="3060" w:type="dxa"/>
            <w:tcBorders>
              <w:top w:val="nil"/>
              <w:left w:val="nil"/>
              <w:bottom w:val="single" w:sz="4" w:space="0" w:color="auto"/>
              <w:right w:val="single" w:sz="4" w:space="0" w:color="auto"/>
            </w:tcBorders>
            <w:hideMark/>
          </w:tcPr>
          <w:p w14:paraId="712275E8" w14:textId="76E412B2" w:rsidR="0042403B" w:rsidRPr="00B64256" w:rsidRDefault="0042403B" w:rsidP="00BE3F24">
            <w:pPr>
              <w:rPr>
                <w:rFonts w:ascii="Arial" w:hAnsi="Arial" w:cs="Arial"/>
                <w:sz w:val="16"/>
                <w:szCs w:val="16"/>
              </w:rPr>
            </w:pPr>
            <w:r w:rsidRPr="00B64256">
              <w:rPr>
                <w:rFonts w:ascii="Arial" w:hAnsi="Arial" w:cs="Arial"/>
                <w:sz w:val="16"/>
                <w:szCs w:val="16"/>
              </w:rPr>
              <w:t>1. Allow time for adequate surface friction to be restored.</w:t>
            </w:r>
            <w:r w:rsidRPr="00B64256">
              <w:rPr>
                <w:rFonts w:ascii="Arial" w:hAnsi="Arial" w:cs="Arial"/>
                <w:sz w:val="16"/>
                <w:szCs w:val="16"/>
              </w:rPr>
              <w:br/>
              <w:t>2. May not be appropriate for rubberized asphalt concrete or polymer modified mixes.</w:t>
            </w:r>
            <w:r w:rsidRPr="00B64256">
              <w:rPr>
                <w:rFonts w:ascii="Arial" w:hAnsi="Arial" w:cs="Arial"/>
                <w:sz w:val="16"/>
                <w:szCs w:val="16"/>
              </w:rPr>
              <w:br/>
              <w:t>3. Not appropriate for pavements with inadequate friction</w:t>
            </w:r>
            <w:r w:rsidR="00B172B7">
              <w:rPr>
                <w:rFonts w:ascii="Arial" w:hAnsi="Arial" w:cs="Arial"/>
                <w:sz w:val="16"/>
                <w:szCs w:val="16"/>
              </w:rPr>
              <w:t>.</w:t>
            </w:r>
          </w:p>
        </w:tc>
      </w:tr>
      <w:tr w:rsidR="0042403B" w:rsidRPr="008B546B" w14:paraId="705FE435" w14:textId="77777777" w:rsidTr="00976EFA">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226AD2F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772AF52F"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2987" w:type="dxa"/>
            <w:tcBorders>
              <w:top w:val="nil"/>
              <w:left w:val="nil"/>
              <w:bottom w:val="single" w:sz="4" w:space="0" w:color="auto"/>
              <w:right w:val="single" w:sz="4" w:space="0" w:color="auto"/>
            </w:tcBorders>
            <w:vAlign w:val="center"/>
            <w:hideMark/>
          </w:tcPr>
          <w:p w14:paraId="460D0E86" w14:textId="464CEF30" w:rsidR="0042403B" w:rsidRDefault="0042403B" w:rsidP="00BE3F24">
            <w:pPr>
              <w:rPr>
                <w:rFonts w:ascii="Arial" w:hAnsi="Arial" w:cs="Arial"/>
                <w:color w:val="000000"/>
                <w:sz w:val="16"/>
                <w:szCs w:val="16"/>
              </w:rPr>
            </w:pPr>
            <w:r>
              <w:rPr>
                <w:rFonts w:ascii="Arial" w:hAnsi="Arial" w:cs="Arial"/>
                <w:color w:val="000000"/>
                <w:sz w:val="16"/>
                <w:szCs w:val="16"/>
              </w:rPr>
              <w:t>$0.06</w:t>
            </w:r>
            <w:r w:rsidR="00915EA9">
              <w:rPr>
                <w:rFonts w:ascii="Arial" w:hAnsi="Arial" w:cs="Arial"/>
                <w:color w:val="000000"/>
                <w:sz w:val="16"/>
                <w:szCs w:val="16"/>
              </w:rPr>
              <w:t xml:space="preserve"> – </w:t>
            </w:r>
            <w:r>
              <w:rPr>
                <w:rFonts w:ascii="Arial" w:hAnsi="Arial" w:cs="Arial"/>
                <w:color w:val="000000"/>
                <w:sz w:val="16"/>
                <w:szCs w:val="16"/>
              </w:rPr>
              <w:t>$0.36 / SY</w:t>
            </w:r>
          </w:p>
        </w:tc>
        <w:tc>
          <w:tcPr>
            <w:tcW w:w="3060" w:type="dxa"/>
            <w:tcBorders>
              <w:top w:val="nil"/>
              <w:left w:val="nil"/>
              <w:bottom w:val="single" w:sz="4" w:space="0" w:color="auto"/>
              <w:right w:val="single" w:sz="4" w:space="0" w:color="auto"/>
            </w:tcBorders>
            <w:vAlign w:val="center"/>
            <w:hideMark/>
          </w:tcPr>
          <w:p w14:paraId="7DF30DA8" w14:textId="1080E240" w:rsidR="0042403B" w:rsidRDefault="0042403B" w:rsidP="00BE3F24">
            <w:pPr>
              <w:rPr>
                <w:rFonts w:ascii="Arial" w:hAnsi="Arial" w:cs="Arial"/>
                <w:sz w:val="16"/>
                <w:szCs w:val="16"/>
              </w:rPr>
            </w:pPr>
            <w:r>
              <w:rPr>
                <w:rFonts w:ascii="Arial" w:hAnsi="Arial" w:cs="Arial"/>
                <w:sz w:val="16"/>
                <w:szCs w:val="16"/>
              </w:rPr>
              <w:t>$0.15</w:t>
            </w:r>
            <w:r w:rsidR="00915EA9" w:rsidRPr="00976EFA">
              <w:rPr>
                <w:rFonts w:ascii="Arial" w:hAnsi="Arial"/>
                <w:color w:val="000000"/>
                <w:sz w:val="16"/>
              </w:rPr>
              <w:t xml:space="preserve"> </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$0.65 / SY</w:t>
            </w:r>
          </w:p>
        </w:tc>
      </w:tr>
      <w:tr w:rsidR="0042403B" w:rsidRPr="008B546B" w14:paraId="6C836C47"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9C2C0F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F717303"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2987" w:type="dxa"/>
            <w:tcBorders>
              <w:top w:val="nil"/>
              <w:left w:val="nil"/>
              <w:bottom w:val="single" w:sz="4" w:space="0" w:color="auto"/>
              <w:right w:val="single" w:sz="4" w:space="0" w:color="auto"/>
            </w:tcBorders>
            <w:vAlign w:val="center"/>
            <w:hideMark/>
          </w:tcPr>
          <w:p w14:paraId="2E56052B" w14:textId="3B74749C" w:rsidR="0042403B" w:rsidRDefault="0042403B" w:rsidP="00BE3F24">
            <w:pPr>
              <w:rPr>
                <w:rFonts w:ascii="Arial" w:hAnsi="Arial" w:cs="Arial"/>
                <w:color w:val="000000"/>
                <w:sz w:val="16"/>
                <w:szCs w:val="16"/>
              </w:rPr>
            </w:pPr>
            <w:r>
              <w:rPr>
                <w:rFonts w:ascii="Arial" w:hAnsi="Arial" w:cs="Arial"/>
                <w:color w:val="000000"/>
                <w:sz w:val="16"/>
                <w:szCs w:val="16"/>
              </w:rPr>
              <w:t>$0.06</w:t>
            </w:r>
            <w:r w:rsidR="00915EA9">
              <w:rPr>
                <w:rFonts w:ascii="Arial" w:hAnsi="Arial" w:cs="Arial"/>
                <w:color w:val="000000"/>
                <w:sz w:val="16"/>
                <w:szCs w:val="16"/>
              </w:rPr>
              <w:t xml:space="preserve"> – </w:t>
            </w:r>
            <w:r>
              <w:rPr>
                <w:rFonts w:ascii="Arial" w:hAnsi="Arial" w:cs="Arial"/>
                <w:color w:val="000000"/>
                <w:sz w:val="16"/>
                <w:szCs w:val="16"/>
              </w:rPr>
              <w:t>$0.36 / SY</w:t>
            </w:r>
          </w:p>
        </w:tc>
        <w:tc>
          <w:tcPr>
            <w:tcW w:w="3060" w:type="dxa"/>
            <w:tcBorders>
              <w:top w:val="nil"/>
              <w:left w:val="nil"/>
              <w:bottom w:val="single" w:sz="4" w:space="0" w:color="auto"/>
              <w:right w:val="single" w:sz="4" w:space="0" w:color="auto"/>
            </w:tcBorders>
            <w:vAlign w:val="center"/>
            <w:hideMark/>
          </w:tcPr>
          <w:p w14:paraId="35111C9C" w14:textId="7DAA69D2" w:rsidR="0042403B" w:rsidRDefault="0042403B" w:rsidP="00BE3F24">
            <w:pPr>
              <w:rPr>
                <w:rFonts w:ascii="Arial" w:hAnsi="Arial" w:cs="Arial"/>
                <w:sz w:val="16"/>
                <w:szCs w:val="16"/>
              </w:rPr>
            </w:pPr>
            <w:r>
              <w:rPr>
                <w:rFonts w:ascii="Arial" w:hAnsi="Arial" w:cs="Arial"/>
                <w:sz w:val="16"/>
                <w:szCs w:val="16"/>
              </w:rPr>
              <w:t>$0.15</w:t>
            </w:r>
            <w:r w:rsidR="00915EA9" w:rsidRPr="00976EFA">
              <w:rPr>
                <w:rFonts w:ascii="Arial" w:hAnsi="Arial"/>
                <w:color w:val="000000"/>
                <w:sz w:val="16"/>
              </w:rPr>
              <w:t xml:space="preserve"> </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$0.65 / SY</w:t>
            </w:r>
          </w:p>
        </w:tc>
      </w:tr>
      <w:tr w:rsidR="0042403B" w:rsidRPr="008B546B" w14:paraId="0C628049"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8DDD74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1999A63"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2987" w:type="dxa"/>
            <w:tcBorders>
              <w:top w:val="nil"/>
              <w:left w:val="nil"/>
              <w:bottom w:val="single" w:sz="4" w:space="0" w:color="auto"/>
              <w:right w:val="single" w:sz="4" w:space="0" w:color="auto"/>
            </w:tcBorders>
            <w:vAlign w:val="center"/>
            <w:hideMark/>
          </w:tcPr>
          <w:p w14:paraId="3CC493A5" w14:textId="0DAAA5BD" w:rsidR="0042403B" w:rsidRDefault="0042403B" w:rsidP="00BE3F24">
            <w:pPr>
              <w:rPr>
                <w:rFonts w:ascii="Arial" w:hAnsi="Arial" w:cs="Arial"/>
                <w:color w:val="000000"/>
                <w:sz w:val="16"/>
                <w:szCs w:val="16"/>
              </w:rPr>
            </w:pPr>
            <w:r>
              <w:rPr>
                <w:rFonts w:ascii="Arial" w:hAnsi="Arial" w:cs="Arial"/>
                <w:color w:val="000000"/>
                <w:sz w:val="16"/>
                <w:szCs w:val="16"/>
              </w:rPr>
              <w:t>$0.06</w:t>
            </w:r>
            <w:r w:rsidR="00915EA9">
              <w:rPr>
                <w:rFonts w:ascii="Arial" w:hAnsi="Arial" w:cs="Arial"/>
                <w:color w:val="000000"/>
                <w:sz w:val="16"/>
                <w:szCs w:val="16"/>
              </w:rPr>
              <w:t xml:space="preserve"> – </w:t>
            </w:r>
            <w:r>
              <w:rPr>
                <w:rFonts w:ascii="Arial" w:hAnsi="Arial" w:cs="Arial"/>
                <w:color w:val="000000"/>
                <w:sz w:val="16"/>
                <w:szCs w:val="16"/>
              </w:rPr>
              <w:t>$0.36 / SY</w:t>
            </w:r>
          </w:p>
        </w:tc>
        <w:tc>
          <w:tcPr>
            <w:tcW w:w="3060" w:type="dxa"/>
            <w:tcBorders>
              <w:top w:val="nil"/>
              <w:left w:val="nil"/>
              <w:bottom w:val="single" w:sz="4" w:space="0" w:color="auto"/>
              <w:right w:val="single" w:sz="4" w:space="0" w:color="auto"/>
            </w:tcBorders>
            <w:vAlign w:val="center"/>
            <w:hideMark/>
          </w:tcPr>
          <w:p w14:paraId="5C60E5F3" w14:textId="66A4EE4B" w:rsidR="0042403B" w:rsidRDefault="0042403B" w:rsidP="00BE3F24">
            <w:pPr>
              <w:rPr>
                <w:rFonts w:ascii="Arial" w:hAnsi="Arial" w:cs="Arial"/>
                <w:sz w:val="16"/>
                <w:szCs w:val="16"/>
              </w:rPr>
            </w:pPr>
            <w:r>
              <w:rPr>
                <w:rFonts w:ascii="Arial" w:hAnsi="Arial" w:cs="Arial"/>
                <w:sz w:val="16"/>
                <w:szCs w:val="16"/>
              </w:rPr>
              <w:t>$0.15</w:t>
            </w:r>
            <w:r w:rsidR="00915EA9" w:rsidRPr="00976EFA">
              <w:rPr>
                <w:rFonts w:ascii="Arial" w:hAnsi="Arial"/>
                <w:color w:val="000000"/>
                <w:sz w:val="16"/>
              </w:rPr>
              <w:t xml:space="preserve"> </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$0.65 / SY</w:t>
            </w:r>
          </w:p>
        </w:tc>
      </w:tr>
      <w:tr w:rsidR="0042403B" w:rsidRPr="008B546B" w14:paraId="7E6D5AD6" w14:textId="77777777" w:rsidTr="00976EFA">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9E01E4D"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5F74923"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2987" w:type="dxa"/>
            <w:tcBorders>
              <w:top w:val="nil"/>
              <w:left w:val="nil"/>
              <w:bottom w:val="single" w:sz="4" w:space="0" w:color="auto"/>
              <w:right w:val="single" w:sz="4" w:space="0" w:color="auto"/>
            </w:tcBorders>
            <w:vAlign w:val="center"/>
            <w:hideMark/>
          </w:tcPr>
          <w:p w14:paraId="5ABDA366" w14:textId="60569AA5" w:rsidR="0042403B" w:rsidRDefault="0042403B" w:rsidP="00BE3F24">
            <w:pPr>
              <w:rPr>
                <w:rFonts w:ascii="Arial" w:hAnsi="Arial" w:cs="Arial"/>
                <w:sz w:val="16"/>
                <w:szCs w:val="16"/>
              </w:rPr>
            </w:pPr>
            <w:r>
              <w:rPr>
                <w:rFonts w:ascii="Arial" w:hAnsi="Arial" w:cs="Arial"/>
                <w:sz w:val="16"/>
                <w:szCs w:val="16"/>
              </w:rPr>
              <w:t xml:space="preserve">See </w:t>
            </w:r>
            <w:r w:rsidR="00853539">
              <w:rPr>
                <w:rFonts w:ascii="Arial" w:hAnsi="Arial" w:cs="Arial"/>
                <w:sz w:val="16"/>
                <w:szCs w:val="16"/>
              </w:rPr>
              <w:t>Definition</w:t>
            </w:r>
          </w:p>
        </w:tc>
        <w:tc>
          <w:tcPr>
            <w:tcW w:w="3060" w:type="dxa"/>
            <w:tcBorders>
              <w:top w:val="nil"/>
              <w:left w:val="nil"/>
              <w:bottom w:val="single" w:sz="4" w:space="0" w:color="auto"/>
              <w:right w:val="single" w:sz="4" w:space="0" w:color="auto"/>
            </w:tcBorders>
            <w:vAlign w:val="center"/>
            <w:hideMark/>
          </w:tcPr>
          <w:p w14:paraId="3832582C" w14:textId="77777777" w:rsidR="0042403B" w:rsidRDefault="0042403B" w:rsidP="00BE3F24">
            <w:pPr>
              <w:rPr>
                <w:rFonts w:ascii="Arial" w:hAnsi="Arial" w:cs="Arial"/>
                <w:sz w:val="16"/>
                <w:szCs w:val="16"/>
              </w:rPr>
            </w:pPr>
            <w:r>
              <w:rPr>
                <w:rFonts w:ascii="Arial" w:hAnsi="Arial" w:cs="Arial"/>
                <w:sz w:val="16"/>
                <w:szCs w:val="16"/>
              </w:rPr>
              <w:t>See Definition</w:t>
            </w:r>
          </w:p>
        </w:tc>
      </w:tr>
      <w:tr w:rsidR="0042403B" w:rsidRPr="008B546B" w14:paraId="397C3C76" w14:textId="77777777" w:rsidTr="00976EFA">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4442AF30"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D47B08F"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2987" w:type="dxa"/>
            <w:tcBorders>
              <w:top w:val="nil"/>
              <w:left w:val="nil"/>
              <w:bottom w:val="single" w:sz="4" w:space="0" w:color="auto"/>
              <w:right w:val="single" w:sz="4" w:space="0" w:color="auto"/>
            </w:tcBorders>
            <w:vAlign w:val="center"/>
            <w:hideMark/>
          </w:tcPr>
          <w:p w14:paraId="524D3BE9" w14:textId="77777777" w:rsidR="0042403B" w:rsidRDefault="0042403B" w:rsidP="00BE3F24">
            <w:pPr>
              <w:rPr>
                <w:rFonts w:ascii="Arial" w:hAnsi="Arial" w:cs="Arial"/>
                <w:sz w:val="16"/>
                <w:szCs w:val="16"/>
              </w:rPr>
            </w:pPr>
            <w:r>
              <w:rPr>
                <w:rFonts w:ascii="Arial" w:hAnsi="Arial" w:cs="Arial"/>
                <w:sz w:val="16"/>
                <w:szCs w:val="16"/>
              </w:rPr>
              <w:t>Marking Removal</w:t>
            </w:r>
          </w:p>
        </w:tc>
        <w:tc>
          <w:tcPr>
            <w:tcW w:w="3060" w:type="dxa"/>
            <w:tcBorders>
              <w:top w:val="nil"/>
              <w:left w:val="nil"/>
              <w:bottom w:val="single" w:sz="4" w:space="0" w:color="auto"/>
              <w:right w:val="single" w:sz="4" w:space="0" w:color="auto"/>
            </w:tcBorders>
            <w:vAlign w:val="center"/>
            <w:hideMark/>
          </w:tcPr>
          <w:p w14:paraId="78002AF0" w14:textId="77777777" w:rsidR="0042403B" w:rsidRDefault="0042403B" w:rsidP="00BE3F24">
            <w:pPr>
              <w:rPr>
                <w:rFonts w:ascii="Arial" w:hAnsi="Arial" w:cs="Arial"/>
                <w:sz w:val="16"/>
                <w:szCs w:val="16"/>
              </w:rPr>
            </w:pPr>
            <w:r>
              <w:rPr>
                <w:rFonts w:ascii="Arial" w:hAnsi="Arial" w:cs="Arial"/>
                <w:sz w:val="16"/>
                <w:szCs w:val="16"/>
              </w:rPr>
              <w:t>Marking Removal</w:t>
            </w:r>
          </w:p>
        </w:tc>
      </w:tr>
      <w:tr w:rsidR="0042403B" w:rsidRPr="008B546B" w14:paraId="581EA335" w14:textId="77777777" w:rsidTr="00976EFA">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E285DB2"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987" w:type="dxa"/>
            <w:tcBorders>
              <w:top w:val="nil"/>
              <w:left w:val="nil"/>
              <w:bottom w:val="nil"/>
              <w:right w:val="single" w:sz="4" w:space="0" w:color="auto"/>
            </w:tcBorders>
            <w:vAlign w:val="center"/>
            <w:hideMark/>
          </w:tcPr>
          <w:p w14:paraId="1D9F65E9" w14:textId="77777777" w:rsidR="0042403B" w:rsidRDefault="0042403B" w:rsidP="00BE3F24">
            <w:pPr>
              <w:rPr>
                <w:rFonts w:ascii="Arial" w:hAnsi="Arial" w:cs="Arial"/>
                <w:color w:val="000000"/>
                <w:sz w:val="16"/>
                <w:szCs w:val="16"/>
              </w:rPr>
            </w:pPr>
            <w:r>
              <w:rPr>
                <w:rFonts w:ascii="Arial" w:hAnsi="Arial" w:cs="Arial"/>
                <w:color w:val="000000"/>
                <w:sz w:val="16"/>
                <w:szCs w:val="16"/>
              </w:rPr>
              <w:t>1-4 years</w:t>
            </w:r>
          </w:p>
        </w:tc>
        <w:tc>
          <w:tcPr>
            <w:tcW w:w="3060" w:type="dxa"/>
            <w:tcBorders>
              <w:top w:val="nil"/>
              <w:left w:val="nil"/>
              <w:bottom w:val="single" w:sz="4" w:space="0" w:color="auto"/>
              <w:right w:val="single" w:sz="4" w:space="0" w:color="auto"/>
            </w:tcBorders>
            <w:vAlign w:val="center"/>
            <w:hideMark/>
          </w:tcPr>
          <w:p w14:paraId="07155305" w14:textId="77777777" w:rsidR="0042403B" w:rsidRDefault="0042403B" w:rsidP="00BE3F24">
            <w:pPr>
              <w:rPr>
                <w:rFonts w:ascii="Arial" w:hAnsi="Arial" w:cs="Arial"/>
                <w:color w:val="000000"/>
                <w:sz w:val="16"/>
                <w:szCs w:val="16"/>
              </w:rPr>
            </w:pPr>
            <w:r>
              <w:rPr>
                <w:rFonts w:ascii="Arial" w:hAnsi="Arial" w:cs="Arial"/>
                <w:color w:val="000000"/>
                <w:sz w:val="16"/>
                <w:szCs w:val="16"/>
              </w:rPr>
              <w:t>3-5 years</w:t>
            </w:r>
          </w:p>
        </w:tc>
      </w:tr>
      <w:tr w:rsidR="0042403B" w:rsidRPr="008B546B" w14:paraId="6D088FE9" w14:textId="77777777" w:rsidTr="00976EFA">
        <w:trPr>
          <w:trHeight w:val="164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A681188" w14:textId="09256F5C"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MOT Considerations /</w:t>
            </w:r>
            <w:r w:rsidRPr="008B546B">
              <w:rPr>
                <w:rFonts w:ascii="Arial" w:hAnsi="Arial" w:cs="Arial"/>
                <w:b/>
                <w:bCs/>
                <w:sz w:val="22"/>
                <w:szCs w:val="22"/>
              </w:rPr>
              <w:br/>
              <w:t xml:space="preserve">Cure </w:t>
            </w:r>
            <w:r w:rsidR="00C270F8">
              <w:rPr>
                <w:rFonts w:ascii="Arial" w:hAnsi="Arial" w:cs="Arial"/>
                <w:b/>
                <w:bCs/>
                <w:sz w:val="22"/>
                <w:szCs w:val="22"/>
              </w:rPr>
              <w:t>T</w:t>
            </w:r>
            <w:r w:rsidRPr="008B546B">
              <w:rPr>
                <w:rFonts w:ascii="Arial" w:hAnsi="Arial" w:cs="Arial"/>
                <w:b/>
                <w:bCs/>
                <w:sz w:val="22"/>
                <w:szCs w:val="22"/>
              </w:rPr>
              <w:t>ime</w:t>
            </w:r>
          </w:p>
        </w:tc>
        <w:tc>
          <w:tcPr>
            <w:tcW w:w="2987" w:type="dxa"/>
            <w:tcBorders>
              <w:top w:val="single" w:sz="4" w:space="0" w:color="auto"/>
              <w:left w:val="nil"/>
              <w:bottom w:val="single" w:sz="4" w:space="0" w:color="auto"/>
              <w:right w:val="single" w:sz="4" w:space="0" w:color="auto"/>
            </w:tcBorders>
            <w:hideMark/>
          </w:tcPr>
          <w:p w14:paraId="757549BF" w14:textId="77777777" w:rsidR="0042403B" w:rsidRDefault="0042403B" w:rsidP="00BE3F24">
            <w:pPr>
              <w:rPr>
                <w:rFonts w:ascii="Arial" w:hAnsi="Arial" w:cs="Arial"/>
                <w:color w:val="000000"/>
                <w:sz w:val="16"/>
                <w:szCs w:val="16"/>
              </w:rPr>
            </w:pPr>
            <w:r>
              <w:rPr>
                <w:rFonts w:ascii="Arial" w:hAnsi="Arial" w:cs="Arial"/>
                <w:color w:val="000000"/>
                <w:sz w:val="16"/>
                <w:szCs w:val="16"/>
              </w:rPr>
              <w:t>At least two hours and until acceptable skid test values are achieved.</w:t>
            </w:r>
          </w:p>
        </w:tc>
        <w:tc>
          <w:tcPr>
            <w:tcW w:w="3060" w:type="dxa"/>
            <w:tcBorders>
              <w:top w:val="nil"/>
              <w:left w:val="nil"/>
              <w:bottom w:val="single" w:sz="4" w:space="0" w:color="auto"/>
              <w:right w:val="single" w:sz="4" w:space="0" w:color="auto"/>
            </w:tcBorders>
            <w:hideMark/>
          </w:tcPr>
          <w:p w14:paraId="2F9B1F32" w14:textId="77777777" w:rsidR="0042403B" w:rsidRDefault="0042403B" w:rsidP="00BE3F24">
            <w:pPr>
              <w:rPr>
                <w:rFonts w:ascii="Arial" w:hAnsi="Arial" w:cs="Arial"/>
                <w:color w:val="000000"/>
                <w:sz w:val="16"/>
                <w:szCs w:val="16"/>
              </w:rPr>
            </w:pPr>
            <w:r>
              <w:rPr>
                <w:rFonts w:ascii="Arial" w:hAnsi="Arial" w:cs="Arial"/>
                <w:color w:val="000000"/>
                <w:sz w:val="16"/>
                <w:szCs w:val="16"/>
              </w:rPr>
              <w:t>At least two hours and until acceptable skid test values are achieved.</w:t>
            </w:r>
          </w:p>
        </w:tc>
      </w:tr>
    </w:tbl>
    <w:p w14:paraId="7C85DA2C" w14:textId="77777777" w:rsidR="0042403B" w:rsidRDefault="0042403B" w:rsidP="00BE3F24">
      <w:pPr>
        <w:rPr>
          <w:rFonts w:ascii="Arial" w:hAnsi="Arial" w:cs="Arial"/>
          <w:b/>
          <w:bCs/>
          <w:kern w:val="32"/>
          <w:sz w:val="28"/>
          <w:szCs w:val="32"/>
          <w:u w:val="single"/>
        </w:rPr>
      </w:pPr>
    </w:p>
    <w:p w14:paraId="360FC5FE"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537" w:type="dxa"/>
        <w:tblInd w:w="98" w:type="dxa"/>
        <w:tblLayout w:type="fixed"/>
        <w:tblLook w:val="04A0" w:firstRow="1" w:lastRow="0" w:firstColumn="1" w:lastColumn="0" w:noHBand="0" w:noVBand="1"/>
      </w:tblPr>
      <w:tblGrid>
        <w:gridCol w:w="1040"/>
        <w:gridCol w:w="1540"/>
        <w:gridCol w:w="2987"/>
        <w:gridCol w:w="2970"/>
      </w:tblGrid>
      <w:tr w:rsidR="0042403B" w:rsidRPr="008B546B" w14:paraId="4F57980D" w14:textId="77777777" w:rsidTr="00976EFA">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162B6C6E"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5</w:t>
            </w:r>
          </w:p>
          <w:p w14:paraId="1AEB728F" w14:textId="77777777" w:rsidR="002417C7" w:rsidRDefault="002417C7" w:rsidP="00BE3F24">
            <w:pPr>
              <w:jc w:val="center"/>
              <w:rPr>
                <w:rFonts w:ascii="Bell MT" w:hAnsi="Bell MT" w:cs="Calibri"/>
                <w:b/>
                <w:bCs/>
                <w:color w:val="000000"/>
                <w:sz w:val="28"/>
                <w:szCs w:val="28"/>
              </w:rPr>
            </w:pPr>
          </w:p>
          <w:p w14:paraId="55968D13"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5957" w:type="dxa"/>
            <w:gridSpan w:val="2"/>
            <w:tcBorders>
              <w:top w:val="single" w:sz="4" w:space="0" w:color="auto"/>
              <w:left w:val="single" w:sz="8" w:space="0" w:color="auto"/>
              <w:bottom w:val="single" w:sz="8" w:space="0" w:color="auto"/>
              <w:right w:val="single" w:sz="4" w:space="0" w:color="auto"/>
            </w:tcBorders>
            <w:vAlign w:val="bottom"/>
            <w:hideMark/>
          </w:tcPr>
          <w:p w14:paraId="0BAEE36E" w14:textId="77777777" w:rsidR="0042403B" w:rsidRPr="008B546B" w:rsidRDefault="0042403B" w:rsidP="00976EFA">
            <w:pPr>
              <w:pStyle w:val="Heading3"/>
              <w:ind w:left="1349" w:hanging="1349"/>
            </w:pPr>
            <w:bookmarkStart w:id="69" w:name="_SUPPLEMENTAL_INFORMATION_FOR_4"/>
            <w:bookmarkEnd w:id="69"/>
            <w:r w:rsidRPr="008B546B">
              <w:t>SUPPLEMENTAL INFORMATION FOR TREATMENT</w:t>
            </w:r>
            <w:r>
              <w:t>S C-1, C-2</w:t>
            </w:r>
            <w:r w:rsidRPr="008B546B">
              <w:t> </w:t>
            </w:r>
          </w:p>
        </w:tc>
      </w:tr>
      <w:tr w:rsidR="0042403B" w:rsidRPr="008B546B" w14:paraId="383B9929"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6E710130" w14:textId="77777777" w:rsidR="0042403B" w:rsidRPr="008B546B" w:rsidRDefault="0042403B" w:rsidP="00BE3F24">
            <w:pPr>
              <w:rPr>
                <w:rFonts w:ascii="Bell MT" w:hAnsi="Bell MT" w:cs="Calibri"/>
                <w:b/>
                <w:bCs/>
                <w:color w:val="000000"/>
                <w:sz w:val="28"/>
                <w:szCs w:val="28"/>
              </w:rPr>
            </w:pPr>
          </w:p>
        </w:tc>
        <w:tc>
          <w:tcPr>
            <w:tcW w:w="2987" w:type="dxa"/>
            <w:vMerge w:val="restart"/>
            <w:tcBorders>
              <w:top w:val="nil"/>
              <w:left w:val="single" w:sz="4" w:space="0" w:color="auto"/>
              <w:bottom w:val="single" w:sz="4" w:space="0" w:color="auto"/>
              <w:right w:val="single" w:sz="4" w:space="0" w:color="auto"/>
            </w:tcBorders>
            <w:vAlign w:val="center"/>
            <w:hideMark/>
          </w:tcPr>
          <w:p w14:paraId="00477FCF" w14:textId="796CA248" w:rsidR="0042403B" w:rsidRPr="00872EE2" w:rsidRDefault="0042403B" w:rsidP="00BE3F24">
            <w:pPr>
              <w:jc w:val="center"/>
              <w:rPr>
                <w:rFonts w:ascii="Arial" w:hAnsi="Arial" w:cs="Arial"/>
                <w:b/>
                <w:bCs/>
                <w:sz w:val="22"/>
                <w:szCs w:val="22"/>
              </w:rPr>
            </w:pPr>
            <w:hyperlink w:anchor="C1_Cape_Seal" w:history="1">
              <w:r w:rsidRPr="001845B7">
                <w:rPr>
                  <w:rStyle w:val="Hyperlink"/>
                  <w:rFonts w:ascii="Arial" w:hAnsi="Arial" w:cs="Arial"/>
                  <w:b/>
                  <w:bCs/>
                  <w:sz w:val="22"/>
                  <w:szCs w:val="22"/>
                </w:rPr>
                <w:t>C-1. Cape Seal</w:t>
              </w:r>
            </w:hyperlink>
          </w:p>
        </w:tc>
        <w:tc>
          <w:tcPr>
            <w:tcW w:w="2970" w:type="dxa"/>
            <w:vMerge w:val="restart"/>
            <w:tcBorders>
              <w:top w:val="nil"/>
              <w:left w:val="nil"/>
              <w:bottom w:val="single" w:sz="4" w:space="0" w:color="000000"/>
              <w:right w:val="single" w:sz="4" w:space="0" w:color="auto"/>
            </w:tcBorders>
            <w:vAlign w:val="center"/>
            <w:hideMark/>
          </w:tcPr>
          <w:p w14:paraId="51FED4EE" w14:textId="606D7CC4" w:rsidR="0042403B" w:rsidRPr="00872EE2" w:rsidRDefault="0042403B" w:rsidP="00BE3F24">
            <w:pPr>
              <w:jc w:val="center"/>
              <w:rPr>
                <w:rFonts w:ascii="Arial" w:hAnsi="Arial" w:cs="Arial"/>
                <w:b/>
                <w:bCs/>
                <w:sz w:val="22"/>
                <w:szCs w:val="22"/>
              </w:rPr>
            </w:pPr>
            <w:hyperlink w:anchor="C2B_Modified_Chip" w:history="1">
              <w:r w:rsidRPr="001845B7">
                <w:rPr>
                  <w:rStyle w:val="Hyperlink"/>
                  <w:rFonts w:ascii="Arial" w:hAnsi="Arial" w:cs="Arial"/>
                  <w:b/>
                  <w:bCs/>
                  <w:sz w:val="22"/>
                  <w:szCs w:val="22"/>
                </w:rPr>
                <w:t>C-2. Chip Seal (Modified)</w:t>
              </w:r>
            </w:hyperlink>
          </w:p>
        </w:tc>
      </w:tr>
      <w:tr w:rsidR="0042403B" w:rsidRPr="008B546B" w14:paraId="317F0184"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616F94EE" w14:textId="77777777" w:rsidR="0042403B" w:rsidRPr="008B546B" w:rsidRDefault="0042403B" w:rsidP="00BE3F24">
            <w:pPr>
              <w:rPr>
                <w:rFonts w:ascii="Bell MT" w:hAnsi="Bell MT" w:cs="Calibri"/>
                <w:b/>
                <w:bCs/>
                <w:color w:val="000000"/>
                <w:sz w:val="28"/>
                <w:szCs w:val="28"/>
              </w:rPr>
            </w:pPr>
          </w:p>
        </w:tc>
        <w:tc>
          <w:tcPr>
            <w:tcW w:w="2987" w:type="dxa"/>
            <w:vMerge/>
            <w:tcBorders>
              <w:top w:val="nil"/>
              <w:left w:val="single" w:sz="4" w:space="0" w:color="auto"/>
              <w:bottom w:val="single" w:sz="4" w:space="0" w:color="auto"/>
              <w:right w:val="single" w:sz="4" w:space="0" w:color="auto"/>
            </w:tcBorders>
            <w:vAlign w:val="center"/>
            <w:hideMark/>
          </w:tcPr>
          <w:p w14:paraId="10B162E7" w14:textId="77777777" w:rsidR="0042403B" w:rsidRPr="008B546B" w:rsidRDefault="0042403B" w:rsidP="00BE3F24">
            <w:pPr>
              <w:rPr>
                <w:rFonts w:ascii="Arial" w:hAnsi="Arial" w:cs="Arial"/>
                <w:b/>
                <w:bCs/>
                <w:color w:val="000000"/>
                <w:sz w:val="22"/>
                <w:szCs w:val="22"/>
              </w:rPr>
            </w:pPr>
          </w:p>
        </w:tc>
        <w:tc>
          <w:tcPr>
            <w:tcW w:w="2970" w:type="dxa"/>
            <w:vMerge/>
            <w:tcBorders>
              <w:top w:val="nil"/>
              <w:left w:val="nil"/>
              <w:bottom w:val="single" w:sz="4" w:space="0" w:color="000000"/>
              <w:right w:val="single" w:sz="4" w:space="0" w:color="auto"/>
            </w:tcBorders>
            <w:vAlign w:val="center"/>
            <w:hideMark/>
          </w:tcPr>
          <w:p w14:paraId="002BF5BD" w14:textId="77777777" w:rsidR="0042403B" w:rsidRPr="008B546B" w:rsidRDefault="0042403B" w:rsidP="00BE3F24">
            <w:pPr>
              <w:rPr>
                <w:rFonts w:ascii="Arial" w:hAnsi="Arial" w:cs="Arial"/>
                <w:b/>
                <w:bCs/>
                <w:color w:val="000000"/>
                <w:sz w:val="22"/>
                <w:szCs w:val="22"/>
              </w:rPr>
            </w:pPr>
          </w:p>
        </w:tc>
      </w:tr>
      <w:tr w:rsidR="0042403B" w:rsidRPr="008B546B" w14:paraId="55D0A523" w14:textId="77777777" w:rsidTr="00976EFA">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706A0516"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2E5206F1"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987" w:type="dxa"/>
            <w:tcBorders>
              <w:top w:val="nil"/>
              <w:left w:val="nil"/>
              <w:bottom w:val="single" w:sz="4" w:space="0" w:color="auto"/>
              <w:right w:val="single" w:sz="4" w:space="0" w:color="auto"/>
            </w:tcBorders>
            <w:vAlign w:val="center"/>
            <w:hideMark/>
          </w:tcPr>
          <w:p w14:paraId="1BE11F66"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970" w:type="dxa"/>
            <w:tcBorders>
              <w:top w:val="nil"/>
              <w:left w:val="nil"/>
              <w:bottom w:val="single" w:sz="4" w:space="0" w:color="auto"/>
              <w:right w:val="single" w:sz="4" w:space="0" w:color="auto"/>
            </w:tcBorders>
            <w:vAlign w:val="center"/>
            <w:hideMark/>
          </w:tcPr>
          <w:p w14:paraId="267E4959" w14:textId="77777777" w:rsidR="0042403B" w:rsidRPr="008B546B" w:rsidRDefault="0042403B" w:rsidP="00BE3F24">
            <w:pPr>
              <w:jc w:val="center"/>
              <w:rPr>
                <w:rFonts w:ascii="Arial" w:hAnsi="Arial" w:cs="Arial"/>
                <w:b/>
                <w:bCs/>
                <w:color w:val="000000"/>
                <w:sz w:val="16"/>
                <w:szCs w:val="16"/>
              </w:rPr>
            </w:pPr>
          </w:p>
        </w:tc>
      </w:tr>
      <w:tr w:rsidR="0042403B" w:rsidRPr="008B546B" w14:paraId="5F0C10C2"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05C0655"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56BC3D2" w14:textId="7C2DE1E1"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987" w:type="dxa"/>
            <w:tcBorders>
              <w:top w:val="nil"/>
              <w:left w:val="nil"/>
              <w:bottom w:val="single" w:sz="4" w:space="0" w:color="auto"/>
              <w:right w:val="single" w:sz="4" w:space="0" w:color="auto"/>
            </w:tcBorders>
            <w:vAlign w:val="center"/>
            <w:hideMark/>
          </w:tcPr>
          <w:p w14:paraId="32441A12"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970" w:type="dxa"/>
            <w:tcBorders>
              <w:top w:val="nil"/>
              <w:left w:val="nil"/>
              <w:bottom w:val="single" w:sz="4" w:space="0" w:color="auto"/>
              <w:right w:val="single" w:sz="4" w:space="0" w:color="auto"/>
            </w:tcBorders>
            <w:vAlign w:val="center"/>
            <w:hideMark/>
          </w:tcPr>
          <w:p w14:paraId="79A8E2A7"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48F6CA80"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6CEBD87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EDD1079" w14:textId="073F5D31"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987" w:type="dxa"/>
            <w:tcBorders>
              <w:top w:val="nil"/>
              <w:left w:val="nil"/>
              <w:bottom w:val="single" w:sz="4" w:space="0" w:color="auto"/>
              <w:right w:val="single" w:sz="4" w:space="0" w:color="auto"/>
            </w:tcBorders>
            <w:vAlign w:val="center"/>
            <w:hideMark/>
          </w:tcPr>
          <w:p w14:paraId="71CDBC82" w14:textId="77777777"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7CC5BD29" w14:textId="77777777" w:rsidR="0042403B" w:rsidRPr="008B546B" w:rsidRDefault="0042403B" w:rsidP="00BE3F24">
            <w:pPr>
              <w:jc w:val="center"/>
              <w:rPr>
                <w:rFonts w:ascii="Arial" w:hAnsi="Arial" w:cs="Arial"/>
                <w:b/>
                <w:bCs/>
                <w:color w:val="000000"/>
                <w:sz w:val="16"/>
                <w:szCs w:val="16"/>
              </w:rPr>
            </w:pPr>
          </w:p>
        </w:tc>
      </w:tr>
      <w:tr w:rsidR="0042403B" w:rsidRPr="008B546B" w14:paraId="0AA56A03"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EC36D0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A3AD89F"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987" w:type="dxa"/>
            <w:tcBorders>
              <w:top w:val="nil"/>
              <w:left w:val="nil"/>
              <w:bottom w:val="single" w:sz="4" w:space="0" w:color="auto"/>
              <w:right w:val="single" w:sz="4" w:space="0" w:color="auto"/>
            </w:tcBorders>
            <w:vAlign w:val="center"/>
            <w:hideMark/>
          </w:tcPr>
          <w:p w14:paraId="6E952A3E" w14:textId="77777777"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6B828E99" w14:textId="77777777" w:rsidR="0042403B" w:rsidRPr="008B546B" w:rsidRDefault="0042403B" w:rsidP="00BE3F24">
            <w:pPr>
              <w:jc w:val="center"/>
              <w:rPr>
                <w:rFonts w:ascii="Arial" w:hAnsi="Arial" w:cs="Arial"/>
                <w:b/>
                <w:bCs/>
                <w:color w:val="000000"/>
                <w:sz w:val="16"/>
                <w:szCs w:val="16"/>
              </w:rPr>
            </w:pPr>
          </w:p>
        </w:tc>
      </w:tr>
      <w:tr w:rsidR="0042403B" w:rsidRPr="008B546B" w14:paraId="1E366183"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6E0B44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570002B"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987" w:type="dxa"/>
            <w:tcBorders>
              <w:top w:val="nil"/>
              <w:left w:val="nil"/>
              <w:bottom w:val="single" w:sz="4" w:space="0" w:color="auto"/>
              <w:right w:val="single" w:sz="4" w:space="0" w:color="auto"/>
            </w:tcBorders>
            <w:vAlign w:val="center"/>
            <w:hideMark/>
          </w:tcPr>
          <w:p w14:paraId="64C37AAA"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970" w:type="dxa"/>
            <w:tcBorders>
              <w:top w:val="nil"/>
              <w:left w:val="nil"/>
              <w:bottom w:val="single" w:sz="4" w:space="0" w:color="auto"/>
              <w:right w:val="single" w:sz="4" w:space="0" w:color="auto"/>
            </w:tcBorders>
            <w:vAlign w:val="center"/>
            <w:hideMark/>
          </w:tcPr>
          <w:p w14:paraId="3A45AE24"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36E715CC"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747AE8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3FFB6B5"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987" w:type="dxa"/>
            <w:tcBorders>
              <w:top w:val="nil"/>
              <w:left w:val="nil"/>
              <w:bottom w:val="single" w:sz="4" w:space="0" w:color="auto"/>
              <w:right w:val="single" w:sz="4" w:space="0" w:color="auto"/>
            </w:tcBorders>
            <w:vAlign w:val="center"/>
            <w:hideMark/>
          </w:tcPr>
          <w:p w14:paraId="0410F7AD"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970" w:type="dxa"/>
            <w:tcBorders>
              <w:top w:val="nil"/>
              <w:left w:val="nil"/>
              <w:bottom w:val="single" w:sz="4" w:space="0" w:color="auto"/>
              <w:right w:val="single" w:sz="4" w:space="0" w:color="auto"/>
            </w:tcBorders>
            <w:vAlign w:val="center"/>
            <w:hideMark/>
          </w:tcPr>
          <w:p w14:paraId="19FA6AFC"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061A144B" w14:textId="77777777" w:rsidTr="00976EFA">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A3BFB30" w14:textId="24E6DC5F"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2987" w:type="dxa"/>
            <w:tcBorders>
              <w:top w:val="nil"/>
              <w:left w:val="nil"/>
              <w:bottom w:val="single" w:sz="4" w:space="0" w:color="auto"/>
              <w:right w:val="single" w:sz="4" w:space="0" w:color="auto"/>
            </w:tcBorders>
            <w:hideMark/>
          </w:tcPr>
          <w:p w14:paraId="4A205699" w14:textId="448DD22A" w:rsidR="0042403B" w:rsidRDefault="0042403B" w:rsidP="00BE3F24">
            <w:pPr>
              <w:rPr>
                <w:rFonts w:ascii="Arial" w:hAnsi="Arial" w:cs="Arial"/>
                <w:sz w:val="16"/>
                <w:szCs w:val="16"/>
              </w:rPr>
            </w:pPr>
            <w:r>
              <w:rPr>
                <w:rFonts w:ascii="Arial" w:hAnsi="Arial" w:cs="Arial"/>
                <w:sz w:val="16"/>
                <w:szCs w:val="16"/>
              </w:rPr>
              <w:t>1. Low cost</w:t>
            </w:r>
            <w:r w:rsidR="00B172B7">
              <w:rPr>
                <w:rFonts w:ascii="Arial" w:hAnsi="Arial" w:cs="Arial"/>
                <w:sz w:val="16"/>
                <w:szCs w:val="16"/>
              </w:rPr>
              <w:t>.</w:t>
            </w:r>
            <w:r>
              <w:rPr>
                <w:rFonts w:ascii="Arial" w:hAnsi="Arial" w:cs="Arial"/>
                <w:sz w:val="16"/>
                <w:szCs w:val="16"/>
              </w:rPr>
              <w:br/>
              <w:t>2. Flexibility of Chip Seal</w:t>
            </w:r>
            <w:r w:rsidR="00B172B7">
              <w:rPr>
                <w:rFonts w:ascii="Arial" w:hAnsi="Arial" w:cs="Arial"/>
                <w:sz w:val="16"/>
                <w:szCs w:val="16"/>
              </w:rPr>
              <w:t>.</w:t>
            </w:r>
            <w:r>
              <w:rPr>
                <w:rFonts w:ascii="Arial" w:hAnsi="Arial" w:cs="Arial"/>
                <w:sz w:val="16"/>
                <w:szCs w:val="16"/>
              </w:rPr>
              <w:br/>
              <w:t>3. Smoothness of Slurry Seal</w:t>
            </w:r>
            <w:r w:rsidR="00B172B7">
              <w:rPr>
                <w:rFonts w:ascii="Arial" w:hAnsi="Arial" w:cs="Arial"/>
                <w:sz w:val="16"/>
                <w:szCs w:val="16"/>
              </w:rPr>
              <w:t>.</w:t>
            </w:r>
          </w:p>
        </w:tc>
        <w:tc>
          <w:tcPr>
            <w:tcW w:w="2970" w:type="dxa"/>
            <w:tcBorders>
              <w:top w:val="nil"/>
              <w:left w:val="nil"/>
              <w:bottom w:val="single" w:sz="4" w:space="0" w:color="auto"/>
              <w:right w:val="single" w:sz="4" w:space="0" w:color="auto"/>
            </w:tcBorders>
            <w:hideMark/>
          </w:tcPr>
          <w:p w14:paraId="5399C452" w14:textId="77777777" w:rsidR="0042403B" w:rsidRDefault="0042403B" w:rsidP="00BE3F24">
            <w:pPr>
              <w:rPr>
                <w:rFonts w:ascii="Arial" w:hAnsi="Arial" w:cs="Arial"/>
                <w:sz w:val="16"/>
                <w:szCs w:val="16"/>
              </w:rPr>
            </w:pPr>
            <w:r>
              <w:rPr>
                <w:rFonts w:ascii="Arial" w:hAnsi="Arial" w:cs="Arial"/>
                <w:sz w:val="16"/>
                <w:szCs w:val="16"/>
              </w:rPr>
              <w:t>1. Low cost</w:t>
            </w:r>
            <w:r w:rsidR="00B172B7">
              <w:rPr>
                <w:rFonts w:ascii="Arial" w:hAnsi="Arial" w:cs="Arial"/>
                <w:sz w:val="16"/>
                <w:szCs w:val="16"/>
              </w:rPr>
              <w:t>.</w:t>
            </w:r>
            <w:r>
              <w:rPr>
                <w:rFonts w:ascii="Arial" w:hAnsi="Arial" w:cs="Arial"/>
                <w:sz w:val="16"/>
                <w:szCs w:val="16"/>
              </w:rPr>
              <w:br/>
              <w:t>2. Reduced overspray</w:t>
            </w:r>
            <w:r w:rsidR="00B172B7">
              <w:rPr>
                <w:rFonts w:ascii="Arial" w:hAnsi="Arial" w:cs="Arial"/>
                <w:sz w:val="16"/>
                <w:szCs w:val="16"/>
              </w:rPr>
              <w:t>.</w:t>
            </w:r>
            <w:r>
              <w:rPr>
                <w:rFonts w:ascii="Arial" w:hAnsi="Arial" w:cs="Arial"/>
                <w:sz w:val="16"/>
                <w:szCs w:val="16"/>
              </w:rPr>
              <w:br/>
              <w:t>3. Improves friction</w:t>
            </w:r>
          </w:p>
          <w:p w14:paraId="55A71694" w14:textId="4D0D6DA8" w:rsidR="0042403B" w:rsidRDefault="00F12460" w:rsidP="00BE3F24">
            <w:pPr>
              <w:rPr>
                <w:rFonts w:ascii="Arial" w:hAnsi="Arial" w:cs="Arial"/>
                <w:sz w:val="16"/>
                <w:szCs w:val="16"/>
              </w:rPr>
            </w:pPr>
            <w:r>
              <w:rPr>
                <w:rFonts w:ascii="Arial" w:hAnsi="Arial" w:cs="Arial"/>
                <w:sz w:val="16"/>
                <w:szCs w:val="16"/>
              </w:rPr>
              <w:t>4. Slows cracking</w:t>
            </w:r>
            <w:r w:rsidR="00B172B7">
              <w:rPr>
                <w:rFonts w:ascii="Arial" w:hAnsi="Arial" w:cs="Arial"/>
                <w:sz w:val="16"/>
                <w:szCs w:val="16"/>
              </w:rPr>
              <w:t>.</w:t>
            </w:r>
          </w:p>
        </w:tc>
      </w:tr>
      <w:tr w:rsidR="0042403B" w:rsidRPr="008B546B" w14:paraId="2FD92391" w14:textId="77777777" w:rsidTr="00976EFA">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318943A2" w14:textId="47A0EB7F"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2987" w:type="dxa"/>
            <w:tcBorders>
              <w:top w:val="nil"/>
              <w:left w:val="nil"/>
              <w:bottom w:val="single" w:sz="4" w:space="0" w:color="auto"/>
              <w:right w:val="single" w:sz="4" w:space="0" w:color="auto"/>
            </w:tcBorders>
            <w:hideMark/>
          </w:tcPr>
          <w:p w14:paraId="79F47524" w14:textId="77777777" w:rsidR="0042403B" w:rsidRDefault="0042403B" w:rsidP="00BE3F24">
            <w:pPr>
              <w:rPr>
                <w:rFonts w:ascii="Arial" w:hAnsi="Arial" w:cs="Arial"/>
                <w:sz w:val="16"/>
                <w:szCs w:val="16"/>
              </w:rPr>
            </w:pPr>
            <w:r>
              <w:rPr>
                <w:rFonts w:ascii="Arial" w:hAnsi="Arial" w:cs="Arial"/>
                <w:sz w:val="16"/>
                <w:szCs w:val="16"/>
              </w:rPr>
              <w:t>1. Cannot be opened to traffic until several hours after the operations are complete.</w:t>
            </w:r>
          </w:p>
        </w:tc>
        <w:tc>
          <w:tcPr>
            <w:tcW w:w="2970" w:type="dxa"/>
            <w:tcBorders>
              <w:top w:val="nil"/>
              <w:left w:val="nil"/>
              <w:bottom w:val="single" w:sz="4" w:space="0" w:color="auto"/>
              <w:right w:val="single" w:sz="4" w:space="0" w:color="auto"/>
            </w:tcBorders>
            <w:hideMark/>
          </w:tcPr>
          <w:p w14:paraId="323ED75F" w14:textId="3594BF2B" w:rsidR="0042403B" w:rsidRDefault="0042403B" w:rsidP="00BE3F24">
            <w:pPr>
              <w:rPr>
                <w:rFonts w:ascii="Arial" w:hAnsi="Arial" w:cs="Arial"/>
                <w:sz w:val="16"/>
                <w:szCs w:val="16"/>
              </w:rPr>
            </w:pPr>
            <w:r>
              <w:rPr>
                <w:rFonts w:ascii="Arial" w:hAnsi="Arial" w:cs="Arial"/>
                <w:sz w:val="16"/>
                <w:szCs w:val="16"/>
              </w:rPr>
              <w:t>1. Cannot be opened to traffic several hours after the operations are complete.</w:t>
            </w:r>
            <w:r>
              <w:rPr>
                <w:rFonts w:ascii="Arial" w:hAnsi="Arial" w:cs="Arial"/>
                <w:sz w:val="16"/>
                <w:szCs w:val="16"/>
              </w:rPr>
              <w:br/>
              <w:t>2. Aggregate chips cracking windshields</w:t>
            </w:r>
            <w:r w:rsidR="00B172B7">
              <w:rPr>
                <w:rFonts w:ascii="Arial" w:hAnsi="Arial" w:cs="Arial"/>
                <w:sz w:val="16"/>
                <w:szCs w:val="16"/>
              </w:rPr>
              <w:t>.</w:t>
            </w:r>
            <w:r>
              <w:rPr>
                <w:rFonts w:ascii="Arial" w:hAnsi="Arial" w:cs="Arial"/>
                <w:sz w:val="16"/>
                <w:szCs w:val="16"/>
              </w:rPr>
              <w:br/>
              <w:t>3. Potential snow plow problems</w:t>
            </w:r>
            <w:r w:rsidR="00B172B7">
              <w:rPr>
                <w:rFonts w:ascii="Arial" w:hAnsi="Arial" w:cs="Arial"/>
                <w:sz w:val="16"/>
                <w:szCs w:val="16"/>
              </w:rPr>
              <w:t>.</w:t>
            </w:r>
            <w:r>
              <w:rPr>
                <w:rFonts w:ascii="Arial" w:hAnsi="Arial" w:cs="Arial"/>
                <w:sz w:val="16"/>
                <w:szCs w:val="16"/>
              </w:rPr>
              <w:br/>
              <w:t>4. Not bicycle compatible</w:t>
            </w:r>
            <w:r w:rsidR="00B172B7">
              <w:rPr>
                <w:rFonts w:ascii="Arial" w:hAnsi="Arial" w:cs="Arial"/>
                <w:sz w:val="16"/>
                <w:szCs w:val="16"/>
              </w:rPr>
              <w:t>.</w:t>
            </w:r>
          </w:p>
        </w:tc>
      </w:tr>
      <w:tr w:rsidR="0042403B" w:rsidRPr="008B546B" w14:paraId="0558A69E" w14:textId="77777777" w:rsidTr="00976EFA">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3836332A"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1255A2A9"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2987" w:type="dxa"/>
            <w:vMerge w:val="restart"/>
            <w:tcBorders>
              <w:top w:val="nil"/>
              <w:left w:val="nil"/>
              <w:right w:val="single" w:sz="4" w:space="0" w:color="auto"/>
            </w:tcBorders>
            <w:vAlign w:val="center"/>
            <w:hideMark/>
          </w:tcPr>
          <w:p w14:paraId="7A4DDD0C" w14:textId="77777777" w:rsidR="0042403B" w:rsidRDefault="0042403B" w:rsidP="00BE3F24">
            <w:pPr>
              <w:rPr>
                <w:rFonts w:ascii="Arial" w:hAnsi="Arial" w:cs="Arial"/>
                <w:sz w:val="16"/>
                <w:szCs w:val="16"/>
              </w:rPr>
            </w:pPr>
            <w:r>
              <w:rPr>
                <w:rFonts w:ascii="Arial" w:hAnsi="Arial" w:cs="Arial"/>
                <w:sz w:val="16"/>
                <w:szCs w:val="16"/>
              </w:rPr>
              <w:t>Approx. $5 / SY</w:t>
            </w:r>
          </w:p>
        </w:tc>
        <w:tc>
          <w:tcPr>
            <w:tcW w:w="2970" w:type="dxa"/>
            <w:vMerge w:val="restart"/>
            <w:tcBorders>
              <w:top w:val="nil"/>
              <w:left w:val="nil"/>
              <w:right w:val="single" w:sz="4" w:space="0" w:color="auto"/>
            </w:tcBorders>
            <w:vAlign w:val="center"/>
            <w:hideMark/>
          </w:tcPr>
          <w:p w14:paraId="18260348" w14:textId="133DAEE4" w:rsidR="0042403B" w:rsidRDefault="0042403B" w:rsidP="00915EA9">
            <w:pPr>
              <w:rPr>
                <w:rFonts w:ascii="Arial" w:hAnsi="Arial" w:cs="Arial"/>
                <w:sz w:val="16"/>
                <w:szCs w:val="16"/>
              </w:rPr>
            </w:pPr>
            <w:r>
              <w:rPr>
                <w:rFonts w:ascii="Arial" w:hAnsi="Arial" w:cs="Arial"/>
                <w:sz w:val="16"/>
                <w:szCs w:val="16"/>
              </w:rPr>
              <w:t>Single Chip Seal: $0.80</w:t>
            </w:r>
            <w:r w:rsidR="00915EA9" w:rsidRPr="00976EFA">
              <w:rPr>
                <w:rFonts w:ascii="Arial" w:hAnsi="Arial"/>
                <w:color w:val="000000"/>
                <w:sz w:val="16"/>
              </w:rPr>
              <w:t xml:space="preserve"> </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$1.75 / SY</w:t>
            </w:r>
            <w:r>
              <w:rPr>
                <w:rFonts w:ascii="Arial" w:hAnsi="Arial" w:cs="Arial"/>
                <w:sz w:val="16"/>
                <w:szCs w:val="16"/>
              </w:rPr>
              <w:br/>
              <w:t>Double Chip Seal: $1.20</w:t>
            </w:r>
            <w:r w:rsidR="00915EA9" w:rsidRPr="00976EFA">
              <w:rPr>
                <w:rFonts w:ascii="Arial" w:hAnsi="Arial"/>
                <w:color w:val="000000"/>
                <w:sz w:val="16"/>
              </w:rPr>
              <w:t xml:space="preserve"> </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$2.50 / SY</w:t>
            </w:r>
          </w:p>
        </w:tc>
      </w:tr>
      <w:tr w:rsidR="0042403B" w:rsidRPr="008B546B" w14:paraId="657F4086"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4FCBD7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EFE1FD4"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2987" w:type="dxa"/>
            <w:vMerge/>
            <w:tcBorders>
              <w:left w:val="nil"/>
              <w:right w:val="single" w:sz="4" w:space="0" w:color="auto"/>
            </w:tcBorders>
            <w:vAlign w:val="center"/>
            <w:hideMark/>
          </w:tcPr>
          <w:p w14:paraId="5617E36D" w14:textId="77777777" w:rsidR="0042403B" w:rsidRDefault="0042403B" w:rsidP="00BE3F24">
            <w:pPr>
              <w:rPr>
                <w:rFonts w:ascii="Arial" w:hAnsi="Arial" w:cs="Arial"/>
                <w:sz w:val="16"/>
                <w:szCs w:val="16"/>
              </w:rPr>
            </w:pPr>
          </w:p>
        </w:tc>
        <w:tc>
          <w:tcPr>
            <w:tcW w:w="2970" w:type="dxa"/>
            <w:vMerge/>
            <w:tcBorders>
              <w:left w:val="nil"/>
              <w:right w:val="single" w:sz="4" w:space="0" w:color="auto"/>
            </w:tcBorders>
            <w:vAlign w:val="center"/>
            <w:hideMark/>
          </w:tcPr>
          <w:p w14:paraId="6D7CBD83" w14:textId="77777777" w:rsidR="0042403B" w:rsidRDefault="0042403B" w:rsidP="00BE3F24">
            <w:pPr>
              <w:rPr>
                <w:rFonts w:ascii="Arial" w:hAnsi="Arial" w:cs="Arial"/>
                <w:sz w:val="16"/>
                <w:szCs w:val="16"/>
              </w:rPr>
            </w:pPr>
          </w:p>
        </w:tc>
      </w:tr>
      <w:tr w:rsidR="0042403B" w:rsidRPr="008B546B" w14:paraId="7EA3277E"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DDB514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1CA39FB"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2987" w:type="dxa"/>
            <w:vMerge/>
            <w:tcBorders>
              <w:left w:val="nil"/>
              <w:bottom w:val="single" w:sz="4" w:space="0" w:color="auto"/>
              <w:right w:val="single" w:sz="4" w:space="0" w:color="auto"/>
            </w:tcBorders>
            <w:vAlign w:val="center"/>
            <w:hideMark/>
          </w:tcPr>
          <w:p w14:paraId="061F3192" w14:textId="77777777" w:rsidR="0042403B" w:rsidRDefault="0042403B" w:rsidP="00BE3F24">
            <w:pPr>
              <w:rPr>
                <w:rFonts w:ascii="Arial" w:hAnsi="Arial" w:cs="Arial"/>
                <w:sz w:val="16"/>
                <w:szCs w:val="16"/>
              </w:rPr>
            </w:pPr>
          </w:p>
        </w:tc>
        <w:tc>
          <w:tcPr>
            <w:tcW w:w="2970" w:type="dxa"/>
            <w:vMerge/>
            <w:tcBorders>
              <w:left w:val="nil"/>
              <w:bottom w:val="single" w:sz="4" w:space="0" w:color="auto"/>
              <w:right w:val="single" w:sz="4" w:space="0" w:color="auto"/>
            </w:tcBorders>
            <w:vAlign w:val="center"/>
            <w:hideMark/>
          </w:tcPr>
          <w:p w14:paraId="75BD6A47" w14:textId="77777777" w:rsidR="0042403B" w:rsidRDefault="0042403B" w:rsidP="00BE3F24">
            <w:pPr>
              <w:rPr>
                <w:rFonts w:ascii="Arial" w:hAnsi="Arial" w:cs="Arial"/>
                <w:sz w:val="16"/>
                <w:szCs w:val="16"/>
              </w:rPr>
            </w:pPr>
          </w:p>
        </w:tc>
      </w:tr>
      <w:tr w:rsidR="0042403B" w:rsidRPr="008B546B" w14:paraId="2E89C7C8" w14:textId="77777777" w:rsidTr="00976EFA">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42EF6C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8BECAD9"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2987" w:type="dxa"/>
            <w:tcBorders>
              <w:top w:val="nil"/>
              <w:left w:val="nil"/>
              <w:bottom w:val="single" w:sz="4" w:space="0" w:color="auto"/>
              <w:right w:val="single" w:sz="4" w:space="0" w:color="auto"/>
            </w:tcBorders>
            <w:vAlign w:val="center"/>
            <w:hideMark/>
          </w:tcPr>
          <w:p w14:paraId="3A78BF66" w14:textId="77777777" w:rsidR="0042403B" w:rsidRDefault="0042403B" w:rsidP="00047083">
            <w:pPr>
              <w:rPr>
                <w:rFonts w:ascii="Arial" w:hAnsi="Arial" w:cs="Arial"/>
                <w:sz w:val="16"/>
                <w:szCs w:val="16"/>
              </w:rPr>
            </w:pPr>
            <w:r>
              <w:rPr>
                <w:rFonts w:ascii="Arial" w:hAnsi="Arial" w:cs="Arial"/>
                <w:sz w:val="16"/>
                <w:szCs w:val="16"/>
              </w:rPr>
              <w:t>Chip Seal, Micro-surfacing</w:t>
            </w:r>
            <w:r w:rsidR="00047083">
              <w:rPr>
                <w:rFonts w:ascii="Arial" w:hAnsi="Arial" w:cs="Arial"/>
                <w:sz w:val="16"/>
                <w:szCs w:val="16"/>
              </w:rPr>
              <w:t>.  Uses both specs.</w:t>
            </w:r>
          </w:p>
        </w:tc>
        <w:tc>
          <w:tcPr>
            <w:tcW w:w="2970" w:type="dxa"/>
            <w:tcBorders>
              <w:top w:val="nil"/>
              <w:left w:val="nil"/>
              <w:bottom w:val="single" w:sz="4" w:space="0" w:color="auto"/>
              <w:right w:val="single" w:sz="4" w:space="0" w:color="auto"/>
            </w:tcBorders>
            <w:vAlign w:val="center"/>
            <w:hideMark/>
          </w:tcPr>
          <w:p w14:paraId="45537A5B" w14:textId="77777777" w:rsidR="0042403B" w:rsidRDefault="0042403B" w:rsidP="00BE3F24">
            <w:pPr>
              <w:rPr>
                <w:rFonts w:ascii="Arial" w:hAnsi="Arial" w:cs="Arial"/>
                <w:sz w:val="16"/>
                <w:szCs w:val="16"/>
              </w:rPr>
            </w:pPr>
            <w:r>
              <w:rPr>
                <w:rFonts w:ascii="Arial" w:hAnsi="Arial" w:cs="Arial"/>
                <w:sz w:val="16"/>
                <w:szCs w:val="16"/>
              </w:rPr>
              <w:t>See Definition</w:t>
            </w:r>
          </w:p>
        </w:tc>
      </w:tr>
      <w:tr w:rsidR="0042403B" w:rsidRPr="008B546B" w14:paraId="2BCF67C1" w14:textId="77777777" w:rsidTr="00976EFA">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6C20B8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D4081DA"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2987" w:type="dxa"/>
            <w:tcBorders>
              <w:top w:val="nil"/>
              <w:left w:val="nil"/>
              <w:bottom w:val="single" w:sz="4" w:space="0" w:color="auto"/>
              <w:right w:val="single" w:sz="4" w:space="0" w:color="auto"/>
            </w:tcBorders>
            <w:vAlign w:val="center"/>
            <w:hideMark/>
          </w:tcPr>
          <w:p w14:paraId="7EC232FA" w14:textId="77777777" w:rsidR="0042403B" w:rsidRDefault="0042403B" w:rsidP="00BE3F24">
            <w:pPr>
              <w:rPr>
                <w:rFonts w:ascii="Arial" w:hAnsi="Arial" w:cs="Arial"/>
                <w:sz w:val="16"/>
                <w:szCs w:val="16"/>
              </w:rPr>
            </w:pPr>
            <w:r>
              <w:rPr>
                <w:rFonts w:ascii="Arial" w:hAnsi="Arial" w:cs="Arial"/>
                <w:sz w:val="16"/>
                <w:szCs w:val="16"/>
              </w:rPr>
              <w:t>Marking Removal</w:t>
            </w:r>
          </w:p>
        </w:tc>
        <w:tc>
          <w:tcPr>
            <w:tcW w:w="2970" w:type="dxa"/>
            <w:tcBorders>
              <w:top w:val="nil"/>
              <w:left w:val="nil"/>
              <w:bottom w:val="single" w:sz="4" w:space="0" w:color="auto"/>
              <w:right w:val="single" w:sz="4" w:space="0" w:color="auto"/>
            </w:tcBorders>
            <w:vAlign w:val="center"/>
            <w:hideMark/>
          </w:tcPr>
          <w:p w14:paraId="7B2A9628" w14:textId="77777777" w:rsidR="0042403B" w:rsidRDefault="0042403B" w:rsidP="00BE3F24">
            <w:pPr>
              <w:rPr>
                <w:rFonts w:ascii="Arial" w:hAnsi="Arial" w:cs="Arial"/>
                <w:sz w:val="16"/>
                <w:szCs w:val="16"/>
              </w:rPr>
            </w:pPr>
            <w:r>
              <w:rPr>
                <w:rFonts w:ascii="Arial" w:hAnsi="Arial" w:cs="Arial"/>
                <w:sz w:val="16"/>
                <w:szCs w:val="16"/>
              </w:rPr>
              <w:t>Marking Removal</w:t>
            </w:r>
          </w:p>
        </w:tc>
      </w:tr>
      <w:tr w:rsidR="0042403B" w:rsidRPr="008B546B" w14:paraId="38C98911" w14:textId="77777777" w:rsidTr="00976EFA">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ECC2E41"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987" w:type="dxa"/>
            <w:tcBorders>
              <w:top w:val="nil"/>
              <w:left w:val="nil"/>
              <w:bottom w:val="nil"/>
              <w:right w:val="single" w:sz="4" w:space="0" w:color="auto"/>
            </w:tcBorders>
            <w:vAlign w:val="center"/>
            <w:hideMark/>
          </w:tcPr>
          <w:p w14:paraId="0A1756F9" w14:textId="77777777" w:rsidR="0042403B" w:rsidRDefault="0042403B" w:rsidP="00BE3F24">
            <w:pPr>
              <w:rPr>
                <w:rFonts w:ascii="Arial" w:hAnsi="Arial" w:cs="Arial"/>
                <w:color w:val="000000"/>
                <w:sz w:val="16"/>
                <w:szCs w:val="16"/>
              </w:rPr>
            </w:pPr>
            <w:r>
              <w:rPr>
                <w:rFonts w:ascii="Arial" w:hAnsi="Arial" w:cs="Arial"/>
                <w:color w:val="000000"/>
                <w:sz w:val="16"/>
                <w:szCs w:val="16"/>
              </w:rPr>
              <w:t>2-5 years</w:t>
            </w:r>
          </w:p>
        </w:tc>
        <w:tc>
          <w:tcPr>
            <w:tcW w:w="2970" w:type="dxa"/>
            <w:tcBorders>
              <w:top w:val="nil"/>
              <w:left w:val="nil"/>
              <w:bottom w:val="single" w:sz="4" w:space="0" w:color="auto"/>
              <w:right w:val="single" w:sz="4" w:space="0" w:color="auto"/>
            </w:tcBorders>
            <w:vAlign w:val="center"/>
            <w:hideMark/>
          </w:tcPr>
          <w:p w14:paraId="3C703C63" w14:textId="77777777" w:rsidR="0042403B" w:rsidRDefault="0042403B" w:rsidP="00BE3F24">
            <w:pPr>
              <w:rPr>
                <w:rFonts w:ascii="Arial" w:hAnsi="Arial" w:cs="Arial"/>
                <w:color w:val="000000"/>
                <w:sz w:val="16"/>
                <w:szCs w:val="16"/>
              </w:rPr>
            </w:pPr>
            <w:r>
              <w:rPr>
                <w:rFonts w:ascii="Arial" w:hAnsi="Arial" w:cs="Arial"/>
                <w:color w:val="000000"/>
                <w:sz w:val="16"/>
                <w:szCs w:val="16"/>
              </w:rPr>
              <w:t>4-6 years for Single, 5-7 years for Double</w:t>
            </w:r>
          </w:p>
        </w:tc>
      </w:tr>
      <w:tr w:rsidR="0042403B" w:rsidRPr="008B546B" w14:paraId="53972C30" w14:textId="77777777" w:rsidTr="00976EFA">
        <w:trPr>
          <w:trHeight w:val="1412"/>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69C289E" w14:textId="6558D8A1"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MOT Considerations /</w:t>
            </w:r>
            <w:r w:rsidRPr="008B546B">
              <w:rPr>
                <w:rFonts w:ascii="Arial" w:hAnsi="Arial" w:cs="Arial"/>
                <w:b/>
                <w:bCs/>
                <w:sz w:val="22"/>
                <w:szCs w:val="22"/>
              </w:rPr>
              <w:br/>
              <w:t xml:space="preserve">Cure </w:t>
            </w:r>
            <w:r w:rsidR="00C270F8">
              <w:rPr>
                <w:rFonts w:ascii="Arial" w:hAnsi="Arial" w:cs="Arial"/>
                <w:b/>
                <w:bCs/>
                <w:sz w:val="22"/>
                <w:szCs w:val="22"/>
              </w:rPr>
              <w:t>T</w:t>
            </w:r>
            <w:r w:rsidRPr="008B546B">
              <w:rPr>
                <w:rFonts w:ascii="Arial" w:hAnsi="Arial" w:cs="Arial"/>
                <w:b/>
                <w:bCs/>
                <w:sz w:val="22"/>
                <w:szCs w:val="22"/>
              </w:rPr>
              <w:t>ime</w:t>
            </w:r>
          </w:p>
        </w:tc>
        <w:tc>
          <w:tcPr>
            <w:tcW w:w="2987" w:type="dxa"/>
            <w:tcBorders>
              <w:top w:val="single" w:sz="4" w:space="0" w:color="auto"/>
              <w:left w:val="nil"/>
              <w:bottom w:val="single" w:sz="4" w:space="0" w:color="auto"/>
              <w:right w:val="single" w:sz="4" w:space="0" w:color="auto"/>
            </w:tcBorders>
            <w:hideMark/>
          </w:tcPr>
          <w:p w14:paraId="4FCF0E43" w14:textId="5851A1A8" w:rsidR="0042403B" w:rsidRDefault="0042403B" w:rsidP="00BE3F24">
            <w:pPr>
              <w:rPr>
                <w:rFonts w:ascii="Arial" w:hAnsi="Arial" w:cs="Arial"/>
                <w:color w:val="000000"/>
                <w:sz w:val="16"/>
                <w:szCs w:val="16"/>
              </w:rPr>
            </w:pPr>
            <w:r>
              <w:rPr>
                <w:rFonts w:ascii="Arial" w:hAnsi="Arial" w:cs="Arial"/>
                <w:color w:val="000000"/>
                <w:sz w:val="16"/>
                <w:szCs w:val="16"/>
              </w:rPr>
              <w:t>Cure time contingent on placement of chip seal followed by slurry seal/micro-surfacing. Refer to chip seal, slurry seal</w:t>
            </w:r>
            <w:r w:rsidR="00C270F8">
              <w:rPr>
                <w:rFonts w:ascii="Arial" w:hAnsi="Arial" w:cs="Arial"/>
                <w:color w:val="000000"/>
                <w:sz w:val="16"/>
                <w:szCs w:val="16"/>
              </w:rPr>
              <w:t>,</w:t>
            </w:r>
            <w:r>
              <w:rPr>
                <w:rFonts w:ascii="Arial" w:hAnsi="Arial" w:cs="Arial"/>
                <w:color w:val="000000"/>
                <w:sz w:val="16"/>
                <w:szCs w:val="16"/>
              </w:rPr>
              <w:t xml:space="preserve"> and micro-surfacing for individual cure times.</w:t>
            </w:r>
          </w:p>
        </w:tc>
        <w:tc>
          <w:tcPr>
            <w:tcW w:w="2970" w:type="dxa"/>
            <w:tcBorders>
              <w:top w:val="nil"/>
              <w:left w:val="nil"/>
              <w:bottom w:val="single" w:sz="4" w:space="0" w:color="auto"/>
              <w:right w:val="single" w:sz="4" w:space="0" w:color="auto"/>
            </w:tcBorders>
            <w:hideMark/>
          </w:tcPr>
          <w:p w14:paraId="55630A83" w14:textId="26769BBB" w:rsidR="0042403B" w:rsidRDefault="0042403B" w:rsidP="00BE3F24">
            <w:pPr>
              <w:rPr>
                <w:rFonts w:ascii="Arial" w:hAnsi="Arial" w:cs="Arial"/>
                <w:color w:val="000000"/>
                <w:sz w:val="16"/>
                <w:szCs w:val="16"/>
              </w:rPr>
            </w:pPr>
            <w:r>
              <w:rPr>
                <w:rFonts w:ascii="Arial" w:hAnsi="Arial" w:cs="Arial"/>
                <w:color w:val="000000"/>
                <w:sz w:val="16"/>
                <w:szCs w:val="16"/>
              </w:rPr>
              <w:t>Cure time generally varies from 1 to 4 hours before sweeping to dislodge loose aggregate</w:t>
            </w:r>
            <w:r w:rsidR="00B172B7">
              <w:rPr>
                <w:rFonts w:ascii="Arial" w:hAnsi="Arial" w:cs="Arial"/>
                <w:color w:val="000000"/>
                <w:sz w:val="16"/>
                <w:szCs w:val="16"/>
              </w:rPr>
              <w:t>.</w:t>
            </w:r>
          </w:p>
        </w:tc>
      </w:tr>
    </w:tbl>
    <w:p w14:paraId="69871D27" w14:textId="77777777" w:rsidR="0042403B" w:rsidRDefault="0042403B" w:rsidP="00BE3F24">
      <w:pPr>
        <w:rPr>
          <w:rFonts w:ascii="Arial" w:hAnsi="Arial" w:cs="Arial"/>
          <w:b/>
          <w:bCs/>
          <w:kern w:val="32"/>
          <w:sz w:val="28"/>
          <w:szCs w:val="32"/>
          <w:u w:val="single"/>
        </w:rPr>
      </w:pPr>
    </w:p>
    <w:p w14:paraId="7F765AB3"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537" w:type="dxa"/>
        <w:tblInd w:w="98" w:type="dxa"/>
        <w:tblLayout w:type="fixed"/>
        <w:tblLook w:val="04A0" w:firstRow="1" w:lastRow="0" w:firstColumn="1" w:lastColumn="0" w:noHBand="0" w:noVBand="1"/>
      </w:tblPr>
      <w:tblGrid>
        <w:gridCol w:w="1040"/>
        <w:gridCol w:w="1540"/>
        <w:gridCol w:w="3077"/>
        <w:gridCol w:w="2880"/>
      </w:tblGrid>
      <w:tr w:rsidR="0042403B" w:rsidRPr="008B546B" w14:paraId="6110353E" w14:textId="77777777" w:rsidTr="00976EFA">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A8276B1"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6</w:t>
            </w:r>
          </w:p>
          <w:p w14:paraId="7A105344" w14:textId="77777777" w:rsidR="002417C7" w:rsidRDefault="002417C7" w:rsidP="00BE3F24">
            <w:pPr>
              <w:jc w:val="center"/>
              <w:rPr>
                <w:rFonts w:ascii="Bell MT" w:hAnsi="Bell MT" w:cs="Calibri"/>
                <w:b/>
                <w:bCs/>
                <w:color w:val="000000"/>
                <w:sz w:val="28"/>
                <w:szCs w:val="28"/>
              </w:rPr>
            </w:pPr>
          </w:p>
          <w:p w14:paraId="5F57585A"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5957" w:type="dxa"/>
            <w:gridSpan w:val="2"/>
            <w:tcBorders>
              <w:top w:val="single" w:sz="4" w:space="0" w:color="auto"/>
              <w:left w:val="single" w:sz="8" w:space="0" w:color="auto"/>
              <w:bottom w:val="single" w:sz="8" w:space="0" w:color="auto"/>
              <w:right w:val="single" w:sz="4" w:space="0" w:color="auto"/>
            </w:tcBorders>
            <w:vAlign w:val="bottom"/>
            <w:hideMark/>
          </w:tcPr>
          <w:p w14:paraId="34E57041" w14:textId="77777777" w:rsidR="0042403B" w:rsidRPr="008B546B" w:rsidRDefault="0042403B" w:rsidP="00976EFA">
            <w:pPr>
              <w:pStyle w:val="Heading3"/>
              <w:ind w:left="1529" w:hanging="1529"/>
            </w:pPr>
            <w:bookmarkStart w:id="70" w:name="_SUPPLEMENTAL_INFORMATION_FOR_5"/>
            <w:bookmarkEnd w:id="70"/>
            <w:r w:rsidRPr="008B546B">
              <w:t>SUPPLEMENTAL INFORMATION FOR TREATMENT</w:t>
            </w:r>
            <w:r>
              <w:t>S C-3, C-4</w:t>
            </w:r>
            <w:r w:rsidRPr="008B546B">
              <w:t> </w:t>
            </w:r>
          </w:p>
        </w:tc>
      </w:tr>
      <w:tr w:rsidR="0042403B" w:rsidRPr="008B546B" w14:paraId="2931E1D0"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45D77E3D" w14:textId="77777777" w:rsidR="0042403B" w:rsidRPr="008B546B" w:rsidRDefault="0042403B" w:rsidP="00BE3F24">
            <w:pPr>
              <w:rPr>
                <w:rFonts w:ascii="Bell MT" w:hAnsi="Bell MT" w:cs="Calibri"/>
                <w:b/>
                <w:bCs/>
                <w:color w:val="000000"/>
                <w:sz w:val="28"/>
                <w:szCs w:val="28"/>
              </w:rPr>
            </w:pPr>
          </w:p>
        </w:tc>
        <w:tc>
          <w:tcPr>
            <w:tcW w:w="3077" w:type="dxa"/>
            <w:vMerge w:val="restart"/>
            <w:tcBorders>
              <w:top w:val="nil"/>
              <w:left w:val="single" w:sz="4" w:space="0" w:color="auto"/>
              <w:bottom w:val="single" w:sz="4" w:space="0" w:color="auto"/>
              <w:right w:val="single" w:sz="4" w:space="0" w:color="auto"/>
            </w:tcBorders>
            <w:vAlign w:val="center"/>
            <w:hideMark/>
          </w:tcPr>
          <w:p w14:paraId="7712C785" w14:textId="17567606" w:rsidR="0042403B" w:rsidRPr="00DB6962" w:rsidRDefault="0042403B" w:rsidP="00BE3F24">
            <w:pPr>
              <w:jc w:val="center"/>
              <w:rPr>
                <w:rFonts w:ascii="Arial" w:hAnsi="Arial" w:cs="Arial"/>
                <w:b/>
                <w:bCs/>
                <w:sz w:val="22"/>
                <w:szCs w:val="22"/>
              </w:rPr>
            </w:pPr>
            <w:hyperlink w:anchor="C3_Micro_Surface" w:history="1">
              <w:r w:rsidRPr="001845B7">
                <w:rPr>
                  <w:rStyle w:val="Hyperlink"/>
                  <w:rFonts w:ascii="Arial" w:hAnsi="Arial" w:cs="Arial"/>
                  <w:b/>
                  <w:bCs/>
                  <w:sz w:val="22"/>
                  <w:szCs w:val="22"/>
                </w:rPr>
                <w:t>C-3</w:t>
              </w:r>
              <w:r w:rsidR="00BA403F" w:rsidRPr="001845B7">
                <w:rPr>
                  <w:rStyle w:val="Hyperlink"/>
                  <w:rFonts w:ascii="Arial" w:hAnsi="Arial" w:cs="Arial"/>
                  <w:b/>
                  <w:bCs/>
                  <w:sz w:val="22"/>
                  <w:szCs w:val="22"/>
                </w:rPr>
                <w:t xml:space="preserve"> Micro-surfacing</w:t>
              </w:r>
            </w:hyperlink>
          </w:p>
        </w:tc>
        <w:tc>
          <w:tcPr>
            <w:tcW w:w="2880" w:type="dxa"/>
            <w:vMerge w:val="restart"/>
            <w:tcBorders>
              <w:top w:val="nil"/>
              <w:left w:val="nil"/>
              <w:bottom w:val="single" w:sz="4" w:space="0" w:color="000000"/>
              <w:right w:val="single" w:sz="4" w:space="0" w:color="auto"/>
            </w:tcBorders>
            <w:vAlign w:val="center"/>
            <w:hideMark/>
          </w:tcPr>
          <w:p w14:paraId="267D1F98" w14:textId="59D20D1A" w:rsidR="0042403B" w:rsidRPr="00CD6397" w:rsidRDefault="0042403B" w:rsidP="00BE3F24">
            <w:pPr>
              <w:jc w:val="center"/>
              <w:rPr>
                <w:rFonts w:ascii="Arial" w:hAnsi="Arial" w:cs="Arial"/>
                <w:b/>
                <w:bCs/>
                <w:sz w:val="22"/>
                <w:szCs w:val="22"/>
              </w:rPr>
            </w:pPr>
            <w:hyperlink w:anchor="C4_Sand_Seal" w:history="1">
              <w:r w:rsidRPr="001845B7">
                <w:rPr>
                  <w:rStyle w:val="Hyperlink"/>
                  <w:rFonts w:ascii="Arial" w:hAnsi="Arial" w:cs="Arial"/>
                  <w:b/>
                  <w:bCs/>
                  <w:sz w:val="22"/>
                  <w:szCs w:val="22"/>
                </w:rPr>
                <w:t>C-4.</w:t>
              </w:r>
              <w:r w:rsidR="00853539">
                <w:rPr>
                  <w:rStyle w:val="Hyperlink"/>
                  <w:rFonts w:ascii="Arial" w:hAnsi="Arial" w:cs="Arial"/>
                  <w:b/>
                  <w:bCs/>
                  <w:sz w:val="22"/>
                  <w:szCs w:val="22"/>
                </w:rPr>
                <w:t xml:space="preserve"> </w:t>
              </w:r>
              <w:r w:rsidRPr="001845B7">
                <w:rPr>
                  <w:rStyle w:val="Hyperlink"/>
                  <w:rFonts w:ascii="Arial" w:hAnsi="Arial" w:cs="Arial"/>
                  <w:b/>
                  <w:bCs/>
                  <w:sz w:val="22"/>
                  <w:szCs w:val="22"/>
                </w:rPr>
                <w:t>Sand Seal</w:t>
              </w:r>
            </w:hyperlink>
          </w:p>
        </w:tc>
      </w:tr>
      <w:tr w:rsidR="0042403B" w:rsidRPr="008B546B" w14:paraId="7F5B2ABE"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79B0A8FF" w14:textId="77777777" w:rsidR="0042403B" w:rsidRPr="008B546B" w:rsidRDefault="0042403B" w:rsidP="00BE3F24">
            <w:pPr>
              <w:rPr>
                <w:rFonts w:ascii="Bell MT" w:hAnsi="Bell MT" w:cs="Calibri"/>
                <w:b/>
                <w:bCs/>
                <w:color w:val="000000"/>
                <w:sz w:val="28"/>
                <w:szCs w:val="28"/>
              </w:rPr>
            </w:pPr>
          </w:p>
        </w:tc>
        <w:tc>
          <w:tcPr>
            <w:tcW w:w="3077" w:type="dxa"/>
            <w:vMerge/>
            <w:tcBorders>
              <w:top w:val="nil"/>
              <w:left w:val="single" w:sz="4" w:space="0" w:color="auto"/>
              <w:bottom w:val="single" w:sz="4" w:space="0" w:color="auto"/>
              <w:right w:val="single" w:sz="4" w:space="0" w:color="auto"/>
            </w:tcBorders>
            <w:vAlign w:val="center"/>
            <w:hideMark/>
          </w:tcPr>
          <w:p w14:paraId="095046EF" w14:textId="77777777" w:rsidR="0042403B" w:rsidRPr="008B546B" w:rsidRDefault="0042403B" w:rsidP="00BE3F24">
            <w:pPr>
              <w:rPr>
                <w:rFonts w:ascii="Arial" w:hAnsi="Arial" w:cs="Arial"/>
                <w:b/>
                <w:bCs/>
                <w:color w:val="000000"/>
                <w:sz w:val="22"/>
                <w:szCs w:val="22"/>
              </w:rPr>
            </w:pPr>
          </w:p>
        </w:tc>
        <w:tc>
          <w:tcPr>
            <w:tcW w:w="2880" w:type="dxa"/>
            <w:vMerge/>
            <w:tcBorders>
              <w:top w:val="nil"/>
              <w:left w:val="nil"/>
              <w:bottom w:val="single" w:sz="4" w:space="0" w:color="000000"/>
              <w:right w:val="single" w:sz="4" w:space="0" w:color="auto"/>
            </w:tcBorders>
            <w:vAlign w:val="center"/>
            <w:hideMark/>
          </w:tcPr>
          <w:p w14:paraId="67BE01E2" w14:textId="77777777" w:rsidR="0042403B" w:rsidRPr="008B546B" w:rsidRDefault="0042403B" w:rsidP="00BE3F24">
            <w:pPr>
              <w:rPr>
                <w:rFonts w:ascii="Arial" w:hAnsi="Arial" w:cs="Arial"/>
                <w:b/>
                <w:bCs/>
                <w:color w:val="000000"/>
                <w:sz w:val="22"/>
                <w:szCs w:val="22"/>
              </w:rPr>
            </w:pPr>
          </w:p>
        </w:tc>
      </w:tr>
      <w:tr w:rsidR="0042403B" w:rsidRPr="008B546B" w14:paraId="6467B218" w14:textId="77777777" w:rsidTr="00976EFA">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6783AD96"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41A7495B"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3077" w:type="dxa"/>
            <w:tcBorders>
              <w:top w:val="nil"/>
              <w:left w:val="nil"/>
              <w:bottom w:val="single" w:sz="4" w:space="0" w:color="auto"/>
              <w:right w:val="single" w:sz="4" w:space="0" w:color="auto"/>
            </w:tcBorders>
            <w:vAlign w:val="center"/>
            <w:hideMark/>
          </w:tcPr>
          <w:p w14:paraId="49B5F72F"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64D898B8" w14:textId="77777777" w:rsidR="0042403B" w:rsidRPr="008B546B" w:rsidRDefault="0042403B" w:rsidP="00BE3F24">
            <w:pPr>
              <w:jc w:val="center"/>
              <w:rPr>
                <w:rFonts w:ascii="Arial" w:hAnsi="Arial" w:cs="Arial"/>
                <w:b/>
                <w:bCs/>
                <w:color w:val="000000"/>
                <w:sz w:val="16"/>
                <w:szCs w:val="16"/>
              </w:rPr>
            </w:pPr>
          </w:p>
        </w:tc>
      </w:tr>
      <w:tr w:rsidR="0042403B" w:rsidRPr="008B546B" w14:paraId="6BB2B744"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9282818"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49717B5" w14:textId="497E73ED"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3077" w:type="dxa"/>
            <w:tcBorders>
              <w:top w:val="nil"/>
              <w:left w:val="nil"/>
              <w:bottom w:val="single" w:sz="4" w:space="0" w:color="auto"/>
              <w:right w:val="single" w:sz="4" w:space="0" w:color="auto"/>
            </w:tcBorders>
            <w:vAlign w:val="center"/>
            <w:hideMark/>
          </w:tcPr>
          <w:p w14:paraId="03753F51"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440AC19F"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364CEF75"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22DA8F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CB899FF" w14:textId="13321F3F"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3077" w:type="dxa"/>
            <w:tcBorders>
              <w:top w:val="nil"/>
              <w:left w:val="nil"/>
              <w:bottom w:val="single" w:sz="4" w:space="0" w:color="auto"/>
              <w:right w:val="single" w:sz="4" w:space="0" w:color="auto"/>
            </w:tcBorders>
            <w:vAlign w:val="center"/>
            <w:hideMark/>
          </w:tcPr>
          <w:p w14:paraId="00F8AC4C"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5EF69F5F" w14:textId="77777777" w:rsidR="0042403B" w:rsidRPr="008B546B" w:rsidRDefault="0042403B" w:rsidP="00BE3F24">
            <w:pPr>
              <w:jc w:val="center"/>
              <w:rPr>
                <w:rFonts w:ascii="Arial" w:hAnsi="Arial" w:cs="Arial"/>
                <w:b/>
                <w:bCs/>
                <w:color w:val="000000"/>
                <w:sz w:val="16"/>
                <w:szCs w:val="16"/>
              </w:rPr>
            </w:pPr>
          </w:p>
        </w:tc>
      </w:tr>
      <w:tr w:rsidR="0042403B" w:rsidRPr="008B546B" w14:paraId="0B431630"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08B28A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5A4787F"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3077" w:type="dxa"/>
            <w:tcBorders>
              <w:top w:val="nil"/>
              <w:left w:val="nil"/>
              <w:bottom w:val="single" w:sz="4" w:space="0" w:color="auto"/>
              <w:right w:val="single" w:sz="4" w:space="0" w:color="auto"/>
            </w:tcBorders>
            <w:vAlign w:val="center"/>
            <w:hideMark/>
          </w:tcPr>
          <w:p w14:paraId="01AF7F73"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44B9140D" w14:textId="77777777" w:rsidR="0042403B" w:rsidRPr="008B546B" w:rsidRDefault="0042403B" w:rsidP="00BE3F24">
            <w:pPr>
              <w:jc w:val="center"/>
              <w:rPr>
                <w:rFonts w:ascii="Arial" w:hAnsi="Arial" w:cs="Arial"/>
                <w:b/>
                <w:bCs/>
                <w:color w:val="000000"/>
                <w:sz w:val="16"/>
                <w:szCs w:val="16"/>
              </w:rPr>
            </w:pPr>
          </w:p>
        </w:tc>
      </w:tr>
      <w:tr w:rsidR="0042403B" w:rsidRPr="008B546B" w14:paraId="0553EA96"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7B6E34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E3A5C09"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3077" w:type="dxa"/>
            <w:tcBorders>
              <w:top w:val="nil"/>
              <w:left w:val="nil"/>
              <w:bottom w:val="single" w:sz="4" w:space="0" w:color="auto"/>
              <w:right w:val="single" w:sz="4" w:space="0" w:color="auto"/>
            </w:tcBorders>
            <w:vAlign w:val="center"/>
            <w:hideMark/>
          </w:tcPr>
          <w:p w14:paraId="0FE98A0F"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880" w:type="dxa"/>
            <w:tcBorders>
              <w:top w:val="nil"/>
              <w:left w:val="nil"/>
              <w:bottom w:val="single" w:sz="4" w:space="0" w:color="auto"/>
              <w:right w:val="single" w:sz="4" w:space="0" w:color="auto"/>
            </w:tcBorders>
            <w:vAlign w:val="center"/>
            <w:hideMark/>
          </w:tcPr>
          <w:p w14:paraId="0D620B30"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428BE33E"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F5B2E2B"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80711DE"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3077" w:type="dxa"/>
            <w:tcBorders>
              <w:top w:val="nil"/>
              <w:left w:val="nil"/>
              <w:bottom w:val="single" w:sz="4" w:space="0" w:color="auto"/>
              <w:right w:val="single" w:sz="4" w:space="0" w:color="auto"/>
            </w:tcBorders>
            <w:vAlign w:val="center"/>
            <w:hideMark/>
          </w:tcPr>
          <w:p w14:paraId="7245615D" w14:textId="3AAFDF8F" w:rsidR="0042403B" w:rsidRDefault="001F0E95"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880" w:type="dxa"/>
            <w:tcBorders>
              <w:top w:val="nil"/>
              <w:left w:val="nil"/>
              <w:bottom w:val="single" w:sz="4" w:space="0" w:color="auto"/>
              <w:right w:val="single" w:sz="4" w:space="0" w:color="auto"/>
            </w:tcBorders>
            <w:vAlign w:val="center"/>
            <w:hideMark/>
          </w:tcPr>
          <w:p w14:paraId="6AB52651"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66CAD34A" w14:textId="77777777" w:rsidTr="00976EFA">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0B9997FF" w14:textId="3DC18A0F"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BA403F" w:rsidRPr="008B546B">
              <w:rPr>
                <w:rFonts w:ascii="Arial" w:hAnsi="Arial" w:cs="Arial"/>
                <w:b/>
                <w:bCs/>
                <w:sz w:val="22"/>
                <w:szCs w:val="22"/>
              </w:rPr>
              <w:t xml:space="preserve"> </w:t>
            </w:r>
            <w:r w:rsidRPr="008B546B">
              <w:rPr>
                <w:rFonts w:ascii="Arial" w:hAnsi="Arial" w:cs="Arial"/>
                <w:b/>
                <w:bCs/>
                <w:sz w:val="22"/>
                <w:szCs w:val="22"/>
              </w:rPr>
              <w:t>Advantages</w:t>
            </w:r>
          </w:p>
        </w:tc>
        <w:tc>
          <w:tcPr>
            <w:tcW w:w="3077" w:type="dxa"/>
            <w:tcBorders>
              <w:top w:val="nil"/>
              <w:left w:val="nil"/>
              <w:bottom w:val="single" w:sz="4" w:space="0" w:color="auto"/>
              <w:right w:val="single" w:sz="4" w:space="0" w:color="auto"/>
            </w:tcBorders>
            <w:hideMark/>
          </w:tcPr>
          <w:p w14:paraId="1E68B647" w14:textId="3325DB2A" w:rsidR="0042403B" w:rsidRPr="00976EFA" w:rsidRDefault="0042403B" w:rsidP="00BE3F24">
            <w:pPr>
              <w:rPr>
                <w:rFonts w:ascii="Arial" w:hAnsi="Arial"/>
                <w:color w:val="000000"/>
                <w:sz w:val="16"/>
              </w:rPr>
            </w:pPr>
            <w:r>
              <w:rPr>
                <w:rFonts w:ascii="Arial" w:hAnsi="Arial" w:cs="Arial"/>
                <w:sz w:val="16"/>
                <w:szCs w:val="16"/>
              </w:rPr>
              <w:br/>
            </w:r>
            <w:r>
              <w:rPr>
                <w:rFonts w:ascii="Arial" w:hAnsi="Arial" w:cs="Arial"/>
                <w:color w:val="000000"/>
                <w:sz w:val="16"/>
                <w:szCs w:val="16"/>
              </w:rPr>
              <w:t>1. Prevents/delays oxidation of the pavement surface.</w:t>
            </w:r>
            <w:r>
              <w:rPr>
                <w:rFonts w:ascii="Arial" w:hAnsi="Arial" w:cs="Arial"/>
                <w:color w:val="000000"/>
                <w:sz w:val="16"/>
                <w:szCs w:val="16"/>
              </w:rPr>
              <w:br/>
              <w:t>2. Seals the pavement surface (including temporary sealing low severity fatigue cracking</w:t>
            </w:r>
            <w:r w:rsidR="00BA403F">
              <w:rPr>
                <w:rFonts w:ascii="Arial" w:hAnsi="Arial" w:cs="Arial"/>
                <w:color w:val="000000"/>
                <w:sz w:val="16"/>
                <w:szCs w:val="16"/>
              </w:rPr>
              <w:t>)</w:t>
            </w:r>
            <w:r w:rsidR="00BA403F">
              <w:rPr>
                <w:rFonts w:ascii="Arial" w:hAnsi="Arial" w:cs="Arial"/>
                <w:color w:val="000000"/>
                <w:sz w:val="16"/>
                <w:szCs w:val="16"/>
              </w:rPr>
              <w:br/>
              <w:t>3. Successful on both low- and high- volume roadways.</w:t>
            </w:r>
          </w:p>
        </w:tc>
        <w:tc>
          <w:tcPr>
            <w:tcW w:w="2880" w:type="dxa"/>
            <w:tcBorders>
              <w:top w:val="nil"/>
              <w:left w:val="nil"/>
              <w:bottom w:val="single" w:sz="4" w:space="0" w:color="auto"/>
              <w:right w:val="single" w:sz="4" w:space="0" w:color="auto"/>
            </w:tcBorders>
            <w:hideMark/>
          </w:tcPr>
          <w:p w14:paraId="322594D1" w14:textId="2AF79B5C" w:rsidR="0042403B" w:rsidRDefault="0042403B" w:rsidP="00BE3F24">
            <w:pPr>
              <w:rPr>
                <w:rFonts w:ascii="Arial" w:hAnsi="Arial" w:cs="Arial"/>
                <w:color w:val="000000"/>
                <w:sz w:val="16"/>
                <w:szCs w:val="16"/>
              </w:rPr>
            </w:pPr>
            <w:r>
              <w:rPr>
                <w:rFonts w:ascii="Arial" w:hAnsi="Arial" w:cs="Arial"/>
                <w:color w:val="000000"/>
                <w:sz w:val="16"/>
                <w:szCs w:val="16"/>
              </w:rPr>
              <w:t>1. Prevents/delays oxidation of the pavement surface.</w:t>
            </w:r>
            <w:r>
              <w:rPr>
                <w:rFonts w:ascii="Arial" w:hAnsi="Arial" w:cs="Arial"/>
                <w:color w:val="000000"/>
                <w:sz w:val="16"/>
                <w:szCs w:val="16"/>
              </w:rPr>
              <w:br/>
              <w:t>2. Seals the pavement surface (including temporary sealing low severity fatigue cracking</w:t>
            </w:r>
            <w:r w:rsidR="00BA403F">
              <w:rPr>
                <w:rFonts w:ascii="Arial" w:hAnsi="Arial" w:cs="Arial"/>
                <w:color w:val="000000"/>
                <w:sz w:val="16"/>
                <w:szCs w:val="16"/>
              </w:rPr>
              <w:t>)</w:t>
            </w:r>
            <w:r>
              <w:rPr>
                <w:rFonts w:ascii="Arial" w:hAnsi="Arial" w:cs="Arial"/>
                <w:color w:val="000000"/>
                <w:sz w:val="16"/>
                <w:szCs w:val="16"/>
              </w:rPr>
              <w:t>)</w:t>
            </w:r>
            <w:r w:rsidR="00C270F8">
              <w:rPr>
                <w:rFonts w:ascii="Arial" w:hAnsi="Arial" w:cs="Arial"/>
                <w:color w:val="000000"/>
                <w:sz w:val="16"/>
                <w:szCs w:val="16"/>
              </w:rPr>
              <w:t>.</w:t>
            </w:r>
            <w:r>
              <w:rPr>
                <w:rFonts w:ascii="Arial" w:hAnsi="Arial" w:cs="Arial"/>
                <w:color w:val="000000"/>
                <w:sz w:val="16"/>
                <w:szCs w:val="16"/>
              </w:rPr>
              <w:br/>
              <w:t>3. Successful on both low- and high- volume roadways.</w:t>
            </w:r>
            <w:r>
              <w:rPr>
                <w:rFonts w:ascii="Arial" w:hAnsi="Arial" w:cs="Arial"/>
                <w:color w:val="000000"/>
                <w:sz w:val="16"/>
                <w:szCs w:val="16"/>
              </w:rPr>
              <w:br/>
              <w:t>4. Corrects poor friction.</w:t>
            </w:r>
            <w:r>
              <w:rPr>
                <w:rFonts w:ascii="Arial" w:hAnsi="Arial" w:cs="Arial"/>
                <w:color w:val="000000"/>
                <w:sz w:val="16"/>
                <w:szCs w:val="16"/>
              </w:rPr>
              <w:br/>
              <w:t>5. Slows/reduces severity of moisture damage, cracking, raveling and possibly roughness and rutting.</w:t>
            </w:r>
          </w:p>
        </w:tc>
      </w:tr>
      <w:tr w:rsidR="0042403B" w:rsidRPr="008B546B" w14:paraId="163A397F" w14:textId="77777777" w:rsidTr="00976EFA">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0E18B506" w14:textId="780FD2DD"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BA403F" w:rsidRPr="008B546B">
              <w:rPr>
                <w:rFonts w:ascii="Arial" w:hAnsi="Arial" w:cs="Arial"/>
                <w:b/>
                <w:bCs/>
                <w:sz w:val="22"/>
                <w:szCs w:val="22"/>
              </w:rPr>
              <w:t xml:space="preserve"> </w:t>
            </w:r>
            <w:r w:rsidRPr="008B546B">
              <w:rPr>
                <w:rFonts w:ascii="Arial" w:hAnsi="Arial" w:cs="Arial"/>
                <w:b/>
                <w:bCs/>
                <w:sz w:val="22"/>
                <w:szCs w:val="22"/>
              </w:rPr>
              <w:t>Disadvantages</w:t>
            </w:r>
          </w:p>
        </w:tc>
        <w:tc>
          <w:tcPr>
            <w:tcW w:w="3077" w:type="dxa"/>
            <w:tcBorders>
              <w:top w:val="nil"/>
              <w:left w:val="nil"/>
              <w:bottom w:val="single" w:sz="4" w:space="0" w:color="auto"/>
              <w:right w:val="single" w:sz="4" w:space="0" w:color="auto"/>
            </w:tcBorders>
            <w:hideMark/>
          </w:tcPr>
          <w:p w14:paraId="64E5534F" w14:textId="007E2F01" w:rsidR="0042403B" w:rsidRPr="00976EFA" w:rsidRDefault="0042403B" w:rsidP="00BE3F24">
            <w:pPr>
              <w:rPr>
                <w:rFonts w:ascii="Arial" w:hAnsi="Arial"/>
                <w:color w:val="000000"/>
                <w:sz w:val="16"/>
              </w:rPr>
            </w:pPr>
            <w:r>
              <w:rPr>
                <w:rFonts w:ascii="Arial" w:hAnsi="Arial" w:cs="Arial"/>
                <w:color w:val="000000"/>
                <w:sz w:val="16"/>
                <w:szCs w:val="16"/>
              </w:rPr>
              <w:t>1. Can accelerate the development of stripping.</w:t>
            </w:r>
            <w:r>
              <w:rPr>
                <w:rFonts w:ascii="Arial" w:hAnsi="Arial" w:cs="Arial"/>
                <w:color w:val="000000"/>
                <w:sz w:val="16"/>
                <w:szCs w:val="16"/>
              </w:rPr>
              <w:br/>
              <w:t>2. It will not prevent working cracks from penetrating through the pavement surface.</w:t>
            </w:r>
            <w:r>
              <w:rPr>
                <w:rFonts w:ascii="Arial" w:hAnsi="Arial" w:cs="Arial"/>
                <w:color w:val="000000"/>
                <w:sz w:val="16"/>
                <w:szCs w:val="16"/>
              </w:rPr>
              <w:br/>
              <w:t>3. Placement in cool weather may lead to early raveling.</w:t>
            </w:r>
            <w:r>
              <w:rPr>
                <w:rFonts w:ascii="Arial" w:hAnsi="Arial" w:cs="Arial"/>
                <w:color w:val="000000"/>
                <w:sz w:val="16"/>
                <w:szCs w:val="16"/>
              </w:rPr>
              <w:br/>
              <w:t>4. Requires special equipment for placement.</w:t>
            </w:r>
            <w:r>
              <w:rPr>
                <w:rFonts w:ascii="Arial" w:hAnsi="Arial" w:cs="Arial"/>
                <w:color w:val="000000"/>
                <w:sz w:val="16"/>
                <w:szCs w:val="16"/>
              </w:rPr>
              <w:br/>
              <w:t>5. Must be placed on structurally sound pavements.  Crack sealing and patching are highly recommended.</w:t>
            </w:r>
          </w:p>
        </w:tc>
        <w:tc>
          <w:tcPr>
            <w:tcW w:w="2880" w:type="dxa"/>
            <w:tcBorders>
              <w:top w:val="nil"/>
              <w:left w:val="nil"/>
              <w:bottom w:val="single" w:sz="4" w:space="0" w:color="auto"/>
              <w:right w:val="single" w:sz="4" w:space="0" w:color="auto"/>
            </w:tcBorders>
            <w:hideMark/>
          </w:tcPr>
          <w:p w14:paraId="4CB9FD60" w14:textId="71F2EA5D" w:rsidR="0042403B" w:rsidRDefault="0042403B" w:rsidP="00BE3F24">
            <w:pPr>
              <w:rPr>
                <w:rFonts w:ascii="Arial" w:hAnsi="Arial" w:cs="Arial"/>
                <w:color w:val="000000"/>
                <w:sz w:val="16"/>
                <w:szCs w:val="16"/>
              </w:rPr>
            </w:pPr>
            <w:r>
              <w:rPr>
                <w:rFonts w:ascii="Arial" w:hAnsi="Arial" w:cs="Arial"/>
                <w:color w:val="000000"/>
                <w:sz w:val="16"/>
                <w:szCs w:val="16"/>
              </w:rPr>
              <w:t>1. Negatively affects stripping.</w:t>
            </w:r>
            <w:r>
              <w:rPr>
                <w:rFonts w:ascii="Arial" w:hAnsi="Arial" w:cs="Arial"/>
                <w:color w:val="000000"/>
                <w:sz w:val="16"/>
                <w:szCs w:val="16"/>
              </w:rPr>
              <w:br/>
              <w:t>2. Limited to lower volume traffic conditions with a low percentage of trucks, and roadway grades flatter than 8%.</w:t>
            </w:r>
            <w:r>
              <w:rPr>
                <w:rFonts w:ascii="Arial" w:hAnsi="Arial" w:cs="Arial"/>
                <w:color w:val="000000"/>
                <w:sz w:val="16"/>
                <w:szCs w:val="16"/>
              </w:rPr>
              <w:br/>
              <w:t xml:space="preserve">3. Should be constructed when surface is dry and the temperature is at least 50 </w:t>
            </w:r>
            <w:r w:rsidR="00BA403F">
              <w:rPr>
                <w:rFonts w:ascii="Arial" w:hAnsi="Arial" w:cs="Arial"/>
                <w:color w:val="000000"/>
                <w:sz w:val="16"/>
                <w:szCs w:val="16"/>
              </w:rPr>
              <w:t>deg</w:t>
            </w:r>
            <w:r>
              <w:rPr>
                <w:rFonts w:ascii="Arial" w:hAnsi="Arial" w:cs="Arial"/>
                <w:color w:val="000000"/>
                <w:sz w:val="16"/>
                <w:szCs w:val="16"/>
              </w:rPr>
              <w:t>deg</w:t>
            </w:r>
            <w:r w:rsidR="00CB2615">
              <w:rPr>
                <w:rFonts w:ascii="Arial" w:hAnsi="Arial" w:cs="Arial"/>
                <w:color w:val="000000"/>
                <w:sz w:val="16"/>
                <w:szCs w:val="16"/>
              </w:rPr>
              <w:t>rees</w:t>
            </w:r>
            <w:r>
              <w:rPr>
                <w:rFonts w:ascii="Arial" w:hAnsi="Arial" w:cs="Arial"/>
                <w:color w:val="000000"/>
                <w:sz w:val="16"/>
                <w:szCs w:val="16"/>
              </w:rPr>
              <w:t xml:space="preserve"> F</w:t>
            </w:r>
            <w:r w:rsidR="00CB2615">
              <w:rPr>
                <w:rFonts w:ascii="Arial" w:hAnsi="Arial" w:cs="Arial"/>
                <w:color w:val="000000"/>
                <w:sz w:val="16"/>
                <w:szCs w:val="16"/>
              </w:rPr>
              <w:t xml:space="preserve">. </w:t>
            </w:r>
            <w:r>
              <w:rPr>
                <w:rFonts w:ascii="Arial" w:hAnsi="Arial" w:cs="Arial"/>
                <w:color w:val="000000"/>
                <w:sz w:val="16"/>
                <w:szCs w:val="16"/>
              </w:rPr>
              <w:br/>
              <w:t>4. To ensure good bond, existing pavement must be clean and dry.</w:t>
            </w:r>
          </w:p>
        </w:tc>
      </w:tr>
      <w:tr w:rsidR="0042403B" w:rsidRPr="008B546B" w14:paraId="67BA42B9" w14:textId="77777777" w:rsidTr="00976EFA">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52BC8D02"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267A77B2"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3077" w:type="dxa"/>
            <w:vMerge w:val="restart"/>
            <w:tcBorders>
              <w:top w:val="nil"/>
              <w:left w:val="nil"/>
              <w:right w:val="single" w:sz="4" w:space="0" w:color="auto"/>
            </w:tcBorders>
            <w:vAlign w:val="center"/>
            <w:hideMark/>
          </w:tcPr>
          <w:p w14:paraId="434EA5B4" w14:textId="35409446" w:rsidR="0042403B" w:rsidRPr="00976EFA" w:rsidRDefault="00976EFA" w:rsidP="00BE3F24">
            <w:pPr>
              <w:rPr>
                <w:rFonts w:ascii="Arial" w:hAnsi="Arial" w:cs="Arial"/>
                <w:sz w:val="16"/>
                <w:szCs w:val="16"/>
              </w:rPr>
            </w:pPr>
            <w:r>
              <w:rPr>
                <w:rFonts w:ascii="Arial" w:hAnsi="Arial" w:cs="Arial"/>
                <w:color w:val="000000"/>
                <w:sz w:val="16"/>
                <w:szCs w:val="16"/>
              </w:rPr>
              <w:t>R</w:t>
            </w:r>
            <w:r w:rsidR="00C9741F">
              <w:rPr>
                <w:rFonts w:ascii="Arial" w:hAnsi="Arial" w:cs="Arial"/>
                <w:color w:val="000000"/>
                <w:sz w:val="16"/>
                <w:szCs w:val="16"/>
              </w:rPr>
              <w:t>e</w:t>
            </w:r>
            <w:r w:rsidR="00C9741F" w:rsidRPr="00C9741F">
              <w:rPr>
                <w:rFonts w:ascii="Arial" w:hAnsi="Arial" w:cs="Arial"/>
                <w:color w:val="000000"/>
                <w:sz w:val="16"/>
                <w:szCs w:val="16"/>
              </w:rPr>
              <w:t xml:space="preserve">fer to </w:t>
            </w:r>
            <w:r w:rsidR="00C9741F">
              <w:rPr>
                <w:rFonts w:ascii="Arial" w:hAnsi="Arial" w:cs="Arial"/>
                <w:color w:val="000000"/>
                <w:sz w:val="16"/>
                <w:szCs w:val="16"/>
              </w:rPr>
              <w:t>the</w:t>
            </w:r>
            <w:r w:rsidR="00C9741F" w:rsidRPr="00C9741F">
              <w:rPr>
                <w:rFonts w:ascii="Arial" w:hAnsi="Arial" w:cs="Arial"/>
                <w:color w:val="000000"/>
                <w:sz w:val="16"/>
                <w:szCs w:val="16"/>
              </w:rPr>
              <w:t xml:space="preserve"> </w:t>
            </w:r>
            <w:hyperlink r:id="rId63" w:history="1">
              <w:r w:rsidR="00C9741F" w:rsidRPr="00C9741F">
                <w:rPr>
                  <w:rStyle w:val="Hyperlink"/>
                  <w:rFonts w:ascii="Arial" w:hAnsi="Arial" w:cs="Arial"/>
                  <w:sz w:val="16"/>
                  <w:szCs w:val="16"/>
                </w:rPr>
                <w:t>Unit Price</w:t>
              </w:r>
            </w:hyperlink>
            <w:r w:rsidR="00C9741F" w:rsidRPr="00C9741F">
              <w:rPr>
                <w:rFonts w:ascii="Arial" w:hAnsi="Arial" w:cs="Arial"/>
                <w:sz w:val="16"/>
                <w:szCs w:val="16"/>
              </w:rPr>
              <w:t xml:space="preserve"> table located on the OMT network </w:t>
            </w:r>
            <w:r w:rsidR="00C9741F">
              <w:rPr>
                <w:rFonts w:ascii="Arial" w:hAnsi="Arial" w:cs="Arial"/>
                <w:sz w:val="16"/>
                <w:szCs w:val="16"/>
              </w:rPr>
              <w:t>for</w:t>
            </w:r>
            <w:r w:rsidR="00C9741F" w:rsidRPr="00C9741F">
              <w:rPr>
                <w:rFonts w:ascii="Arial" w:hAnsi="Arial" w:cs="Arial"/>
                <w:sz w:val="16"/>
                <w:szCs w:val="16"/>
              </w:rPr>
              <w:t xml:space="preserve"> the latest average unit prices</w:t>
            </w:r>
            <w:r w:rsidR="00C9741F">
              <w:rPr>
                <w:rFonts w:ascii="Arial" w:hAnsi="Arial" w:cs="Arial"/>
                <w:sz w:val="16"/>
                <w:szCs w:val="16"/>
              </w:rPr>
              <w:t>.</w:t>
            </w:r>
          </w:p>
        </w:tc>
        <w:tc>
          <w:tcPr>
            <w:tcW w:w="2880" w:type="dxa"/>
            <w:tcBorders>
              <w:top w:val="nil"/>
              <w:left w:val="nil"/>
              <w:bottom w:val="single" w:sz="4" w:space="0" w:color="auto"/>
              <w:right w:val="single" w:sz="4" w:space="0" w:color="auto"/>
            </w:tcBorders>
            <w:vAlign w:val="center"/>
            <w:hideMark/>
          </w:tcPr>
          <w:p w14:paraId="3B37D384" w14:textId="56B7F6D4" w:rsidR="0042403B" w:rsidRDefault="0042403B" w:rsidP="00BE3F24">
            <w:pPr>
              <w:rPr>
                <w:rFonts w:ascii="Arial" w:hAnsi="Arial" w:cs="Arial"/>
                <w:sz w:val="16"/>
                <w:szCs w:val="16"/>
              </w:rPr>
            </w:pPr>
            <w:r>
              <w:rPr>
                <w:rFonts w:ascii="Arial" w:hAnsi="Arial" w:cs="Arial"/>
                <w:sz w:val="16"/>
                <w:szCs w:val="16"/>
              </w:rPr>
              <w:t>$0.33</w:t>
            </w:r>
            <w:r w:rsidR="00915EA9" w:rsidRPr="00976EFA">
              <w:rPr>
                <w:rFonts w:ascii="Arial" w:hAnsi="Arial"/>
                <w:color w:val="000000"/>
                <w:sz w:val="16"/>
              </w:rPr>
              <w:t xml:space="preserve"> </w:t>
            </w:r>
            <w:r w:rsidR="00577032">
              <w:rPr>
                <w:rFonts w:ascii="Arial" w:hAnsi="Arial" w:cs="Arial"/>
                <w:sz w:val="16"/>
                <w:szCs w:val="16"/>
              </w:rPr>
              <w:t>to</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$0.66/SY</w:t>
            </w:r>
          </w:p>
        </w:tc>
      </w:tr>
      <w:tr w:rsidR="0042403B" w:rsidRPr="008B546B" w14:paraId="4EE54184"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F9E8FE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103121E"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3077" w:type="dxa"/>
            <w:vMerge/>
            <w:tcBorders>
              <w:left w:val="nil"/>
              <w:right w:val="single" w:sz="4" w:space="0" w:color="auto"/>
            </w:tcBorders>
            <w:vAlign w:val="center"/>
            <w:hideMark/>
          </w:tcPr>
          <w:p w14:paraId="5DDADF24" w14:textId="77777777" w:rsidR="0042403B" w:rsidRDefault="0042403B" w:rsidP="00BE3F24">
            <w:pPr>
              <w:rPr>
                <w:rFonts w:ascii="Arial" w:hAnsi="Arial" w:cs="Arial"/>
                <w:sz w:val="16"/>
                <w:szCs w:val="16"/>
              </w:rPr>
            </w:pPr>
          </w:p>
        </w:tc>
        <w:tc>
          <w:tcPr>
            <w:tcW w:w="2880" w:type="dxa"/>
            <w:tcBorders>
              <w:top w:val="nil"/>
              <w:left w:val="nil"/>
              <w:bottom w:val="single" w:sz="4" w:space="0" w:color="auto"/>
              <w:right w:val="single" w:sz="4" w:space="0" w:color="auto"/>
            </w:tcBorders>
            <w:vAlign w:val="center"/>
            <w:hideMark/>
          </w:tcPr>
          <w:p w14:paraId="30AF448A" w14:textId="6A84FF2D" w:rsidR="0042403B" w:rsidRDefault="0042403B" w:rsidP="00BE3F24">
            <w:pPr>
              <w:rPr>
                <w:rFonts w:ascii="Arial" w:hAnsi="Arial" w:cs="Arial"/>
                <w:sz w:val="16"/>
                <w:szCs w:val="16"/>
              </w:rPr>
            </w:pPr>
            <w:r>
              <w:rPr>
                <w:rFonts w:ascii="Arial" w:hAnsi="Arial" w:cs="Arial"/>
                <w:sz w:val="16"/>
                <w:szCs w:val="16"/>
              </w:rPr>
              <w:t>$0.33</w:t>
            </w:r>
            <w:r w:rsidR="00915EA9" w:rsidRPr="00976EFA">
              <w:rPr>
                <w:rFonts w:ascii="Arial" w:hAnsi="Arial"/>
                <w:color w:val="000000"/>
                <w:sz w:val="16"/>
              </w:rPr>
              <w:t xml:space="preserve"> </w:t>
            </w:r>
            <w:r w:rsidR="00577032">
              <w:rPr>
                <w:rFonts w:ascii="Arial" w:hAnsi="Arial" w:cs="Arial"/>
                <w:sz w:val="16"/>
                <w:szCs w:val="16"/>
              </w:rPr>
              <w:t>to</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$0.66/SY</w:t>
            </w:r>
          </w:p>
        </w:tc>
      </w:tr>
      <w:tr w:rsidR="0042403B" w:rsidRPr="008B546B" w14:paraId="296CB919"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4C0F478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139144A"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3077" w:type="dxa"/>
            <w:vMerge/>
            <w:tcBorders>
              <w:left w:val="nil"/>
              <w:bottom w:val="single" w:sz="4" w:space="0" w:color="auto"/>
              <w:right w:val="single" w:sz="4" w:space="0" w:color="auto"/>
            </w:tcBorders>
            <w:vAlign w:val="center"/>
            <w:hideMark/>
          </w:tcPr>
          <w:p w14:paraId="05CC1E79" w14:textId="77777777" w:rsidR="0042403B" w:rsidRDefault="0042403B" w:rsidP="00BE3F24">
            <w:pPr>
              <w:rPr>
                <w:rFonts w:ascii="Arial" w:hAnsi="Arial" w:cs="Arial"/>
                <w:sz w:val="16"/>
                <w:szCs w:val="16"/>
              </w:rPr>
            </w:pPr>
          </w:p>
        </w:tc>
        <w:tc>
          <w:tcPr>
            <w:tcW w:w="2880" w:type="dxa"/>
            <w:tcBorders>
              <w:top w:val="nil"/>
              <w:left w:val="nil"/>
              <w:bottom w:val="single" w:sz="4" w:space="0" w:color="auto"/>
              <w:right w:val="single" w:sz="4" w:space="0" w:color="auto"/>
            </w:tcBorders>
            <w:vAlign w:val="center"/>
            <w:hideMark/>
          </w:tcPr>
          <w:p w14:paraId="02B9B54B" w14:textId="0B3E4B3A" w:rsidR="0042403B" w:rsidRDefault="0042403B" w:rsidP="00BE3F24">
            <w:pPr>
              <w:rPr>
                <w:rFonts w:ascii="Arial" w:hAnsi="Arial" w:cs="Arial"/>
                <w:sz w:val="16"/>
                <w:szCs w:val="16"/>
              </w:rPr>
            </w:pPr>
            <w:r>
              <w:rPr>
                <w:rFonts w:ascii="Arial" w:hAnsi="Arial" w:cs="Arial"/>
                <w:sz w:val="16"/>
                <w:szCs w:val="16"/>
              </w:rPr>
              <w:t>$0.33</w:t>
            </w:r>
            <w:r w:rsidR="00915EA9" w:rsidRPr="00976EFA">
              <w:rPr>
                <w:rFonts w:ascii="Arial" w:hAnsi="Arial"/>
                <w:color w:val="000000"/>
                <w:sz w:val="16"/>
              </w:rPr>
              <w:t xml:space="preserve"> </w:t>
            </w:r>
            <w:r w:rsidR="00577032">
              <w:rPr>
                <w:rFonts w:ascii="Arial" w:hAnsi="Arial" w:cs="Arial"/>
                <w:sz w:val="16"/>
                <w:szCs w:val="16"/>
              </w:rPr>
              <w:t>to</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$0.66/SY</w:t>
            </w:r>
          </w:p>
        </w:tc>
      </w:tr>
      <w:tr w:rsidR="0042403B" w:rsidRPr="008B546B" w14:paraId="31C9A6A4" w14:textId="77777777" w:rsidTr="00976EFA">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4B05CD2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89C1AC0"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3077" w:type="dxa"/>
            <w:tcBorders>
              <w:top w:val="nil"/>
              <w:left w:val="nil"/>
              <w:bottom w:val="single" w:sz="4" w:space="0" w:color="auto"/>
              <w:right w:val="single" w:sz="4" w:space="0" w:color="auto"/>
            </w:tcBorders>
            <w:vAlign w:val="center"/>
            <w:hideMark/>
          </w:tcPr>
          <w:p w14:paraId="57BAF976" w14:textId="09850E89" w:rsidR="0042403B" w:rsidRPr="00976EFA" w:rsidRDefault="00577032" w:rsidP="00BE3F24">
            <w:pPr>
              <w:rPr>
                <w:rFonts w:ascii="Arial" w:hAnsi="Arial"/>
                <w:color w:val="000000"/>
                <w:sz w:val="16"/>
              </w:rPr>
            </w:pPr>
            <w:r>
              <w:rPr>
                <w:rFonts w:ascii="Arial" w:hAnsi="Arial" w:cs="Arial"/>
                <w:color w:val="000000"/>
                <w:sz w:val="16"/>
                <w:szCs w:val="16"/>
              </w:rPr>
              <w:t>See Definition</w:t>
            </w:r>
          </w:p>
        </w:tc>
        <w:tc>
          <w:tcPr>
            <w:tcW w:w="2880" w:type="dxa"/>
            <w:tcBorders>
              <w:top w:val="nil"/>
              <w:left w:val="nil"/>
              <w:bottom w:val="single" w:sz="4" w:space="0" w:color="auto"/>
              <w:right w:val="single" w:sz="4" w:space="0" w:color="auto"/>
            </w:tcBorders>
            <w:vAlign w:val="center"/>
            <w:hideMark/>
          </w:tcPr>
          <w:p w14:paraId="3B01092C" w14:textId="77777777" w:rsidR="0042403B" w:rsidRDefault="0042403B" w:rsidP="00BE3F24">
            <w:pPr>
              <w:rPr>
                <w:rFonts w:ascii="Arial" w:hAnsi="Arial" w:cs="Arial"/>
                <w:sz w:val="16"/>
                <w:szCs w:val="16"/>
              </w:rPr>
            </w:pPr>
            <w:r>
              <w:rPr>
                <w:rFonts w:ascii="Arial" w:hAnsi="Arial" w:cs="Arial"/>
                <w:sz w:val="16"/>
                <w:szCs w:val="16"/>
              </w:rPr>
              <w:t>See Description</w:t>
            </w:r>
          </w:p>
        </w:tc>
      </w:tr>
      <w:tr w:rsidR="0042403B" w:rsidRPr="008B546B" w14:paraId="577EB68D" w14:textId="77777777" w:rsidTr="00976EFA">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00AAA43"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4328728"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3077" w:type="dxa"/>
            <w:tcBorders>
              <w:top w:val="nil"/>
              <w:left w:val="nil"/>
              <w:bottom w:val="single" w:sz="4" w:space="0" w:color="auto"/>
              <w:right w:val="single" w:sz="4" w:space="0" w:color="auto"/>
            </w:tcBorders>
            <w:vAlign w:val="center"/>
            <w:hideMark/>
          </w:tcPr>
          <w:p w14:paraId="3177F9ED" w14:textId="508B4DB9" w:rsidR="0042403B" w:rsidRPr="00976EFA" w:rsidRDefault="0042403B" w:rsidP="00BE3F24">
            <w:pPr>
              <w:rPr>
                <w:rFonts w:ascii="Arial" w:hAnsi="Arial"/>
                <w:color w:val="000000"/>
                <w:sz w:val="16"/>
              </w:rPr>
            </w:pPr>
            <w:r w:rsidRPr="00976EFA">
              <w:rPr>
                <w:rFonts w:ascii="Arial" w:hAnsi="Arial"/>
                <w:color w:val="000000"/>
                <w:sz w:val="16"/>
              </w:rPr>
              <w:t>Marking Removal</w:t>
            </w:r>
          </w:p>
        </w:tc>
        <w:tc>
          <w:tcPr>
            <w:tcW w:w="2880" w:type="dxa"/>
            <w:tcBorders>
              <w:top w:val="nil"/>
              <w:left w:val="nil"/>
              <w:bottom w:val="single" w:sz="4" w:space="0" w:color="auto"/>
              <w:right w:val="single" w:sz="4" w:space="0" w:color="auto"/>
            </w:tcBorders>
            <w:vAlign w:val="center"/>
            <w:hideMark/>
          </w:tcPr>
          <w:p w14:paraId="62BBBE41" w14:textId="77777777" w:rsidR="0042403B" w:rsidRDefault="0042403B" w:rsidP="00BE3F24">
            <w:pPr>
              <w:rPr>
                <w:rFonts w:ascii="Arial" w:hAnsi="Arial" w:cs="Arial"/>
                <w:sz w:val="16"/>
                <w:szCs w:val="16"/>
              </w:rPr>
            </w:pPr>
            <w:r>
              <w:rPr>
                <w:rFonts w:ascii="Arial" w:hAnsi="Arial" w:cs="Arial"/>
                <w:sz w:val="16"/>
                <w:szCs w:val="16"/>
              </w:rPr>
              <w:t>Marking Removal</w:t>
            </w:r>
          </w:p>
        </w:tc>
      </w:tr>
      <w:tr w:rsidR="0042403B" w:rsidRPr="008B546B" w14:paraId="75065B03" w14:textId="77777777" w:rsidTr="00976EFA">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332E317D"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3077" w:type="dxa"/>
            <w:tcBorders>
              <w:top w:val="nil"/>
              <w:left w:val="nil"/>
              <w:bottom w:val="nil"/>
              <w:right w:val="single" w:sz="4" w:space="0" w:color="auto"/>
            </w:tcBorders>
            <w:vAlign w:val="center"/>
            <w:hideMark/>
          </w:tcPr>
          <w:p w14:paraId="0E2D6254" w14:textId="0846697B" w:rsidR="0042403B" w:rsidRDefault="00577032" w:rsidP="00BE3F24">
            <w:pPr>
              <w:rPr>
                <w:rFonts w:ascii="Arial" w:hAnsi="Arial" w:cs="Arial"/>
                <w:color w:val="000000"/>
                <w:sz w:val="16"/>
                <w:szCs w:val="16"/>
              </w:rPr>
            </w:pPr>
            <w:r>
              <w:rPr>
                <w:rFonts w:ascii="Arial" w:hAnsi="Arial" w:cs="Arial"/>
                <w:color w:val="000000"/>
                <w:sz w:val="16"/>
                <w:szCs w:val="16"/>
              </w:rPr>
              <w:t>4-</w:t>
            </w:r>
            <w:r w:rsidR="0042403B">
              <w:rPr>
                <w:rFonts w:ascii="Arial" w:hAnsi="Arial" w:cs="Arial"/>
                <w:color w:val="000000"/>
                <w:sz w:val="16"/>
                <w:szCs w:val="16"/>
              </w:rPr>
              <w:t>10 years</w:t>
            </w:r>
          </w:p>
        </w:tc>
        <w:tc>
          <w:tcPr>
            <w:tcW w:w="2880" w:type="dxa"/>
            <w:tcBorders>
              <w:top w:val="nil"/>
              <w:left w:val="nil"/>
              <w:bottom w:val="single" w:sz="4" w:space="0" w:color="auto"/>
              <w:right w:val="single" w:sz="4" w:space="0" w:color="auto"/>
            </w:tcBorders>
            <w:vAlign w:val="center"/>
            <w:hideMark/>
          </w:tcPr>
          <w:p w14:paraId="7E21E2CA" w14:textId="77777777" w:rsidR="0042403B" w:rsidRDefault="0042403B" w:rsidP="00BE3F24">
            <w:pPr>
              <w:rPr>
                <w:rFonts w:ascii="Arial" w:hAnsi="Arial" w:cs="Arial"/>
                <w:color w:val="000000"/>
                <w:sz w:val="16"/>
                <w:szCs w:val="16"/>
              </w:rPr>
            </w:pPr>
            <w:r>
              <w:rPr>
                <w:rFonts w:ascii="Arial" w:hAnsi="Arial" w:cs="Arial"/>
                <w:color w:val="000000"/>
                <w:sz w:val="16"/>
                <w:szCs w:val="16"/>
              </w:rPr>
              <w:t>3-4 years</w:t>
            </w:r>
          </w:p>
        </w:tc>
      </w:tr>
      <w:tr w:rsidR="0042403B" w:rsidRPr="008B546B" w14:paraId="69496AF2" w14:textId="77777777" w:rsidTr="00976EFA">
        <w:trPr>
          <w:trHeight w:val="1358"/>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0FDE7735" w14:textId="679A71C9" w:rsidR="0042403B" w:rsidRPr="008B546B" w:rsidRDefault="0042403B" w:rsidP="00C270F8">
            <w:pPr>
              <w:jc w:val="center"/>
              <w:rPr>
                <w:rFonts w:ascii="Arial" w:hAnsi="Arial" w:cs="Arial"/>
                <w:b/>
                <w:bCs/>
                <w:sz w:val="22"/>
                <w:szCs w:val="22"/>
              </w:rPr>
            </w:pPr>
            <w:r w:rsidRPr="008B546B">
              <w:rPr>
                <w:rFonts w:ascii="Arial" w:hAnsi="Arial" w:cs="Arial"/>
                <w:b/>
                <w:bCs/>
                <w:sz w:val="22"/>
                <w:szCs w:val="22"/>
              </w:rPr>
              <w:t>MOT Considerations /</w:t>
            </w:r>
            <w:r w:rsidRPr="008B546B">
              <w:rPr>
                <w:rFonts w:ascii="Arial" w:hAnsi="Arial" w:cs="Arial"/>
                <w:b/>
                <w:bCs/>
                <w:sz w:val="22"/>
                <w:szCs w:val="22"/>
              </w:rPr>
              <w:br/>
            </w:r>
            <w:r w:rsidR="00577032" w:rsidRPr="008B546B">
              <w:rPr>
                <w:rFonts w:ascii="Arial" w:hAnsi="Arial" w:cs="Arial"/>
                <w:b/>
                <w:bCs/>
                <w:sz w:val="22"/>
                <w:szCs w:val="22"/>
              </w:rPr>
              <w:t xml:space="preserve"> </w:t>
            </w:r>
            <w:r w:rsidRPr="008B546B">
              <w:rPr>
                <w:rFonts w:ascii="Arial" w:hAnsi="Arial" w:cs="Arial"/>
                <w:b/>
                <w:bCs/>
                <w:sz w:val="22"/>
                <w:szCs w:val="22"/>
              </w:rPr>
              <w:t xml:space="preserve">Cure </w:t>
            </w:r>
            <w:r w:rsidR="00577032" w:rsidRPr="008B546B">
              <w:rPr>
                <w:rFonts w:ascii="Arial" w:hAnsi="Arial" w:cs="Arial"/>
                <w:b/>
                <w:bCs/>
                <w:sz w:val="22"/>
                <w:szCs w:val="22"/>
              </w:rPr>
              <w:t>time</w:t>
            </w:r>
          </w:p>
        </w:tc>
        <w:tc>
          <w:tcPr>
            <w:tcW w:w="3077" w:type="dxa"/>
            <w:tcBorders>
              <w:top w:val="single" w:sz="4" w:space="0" w:color="auto"/>
              <w:left w:val="nil"/>
              <w:bottom w:val="single" w:sz="4" w:space="0" w:color="auto"/>
              <w:right w:val="single" w:sz="4" w:space="0" w:color="auto"/>
            </w:tcBorders>
            <w:hideMark/>
          </w:tcPr>
          <w:p w14:paraId="648FDC22" w14:textId="620F8930" w:rsidR="0042403B" w:rsidRPr="00976EFA" w:rsidRDefault="0042403B" w:rsidP="00BE3F24">
            <w:pPr>
              <w:rPr>
                <w:rFonts w:ascii="Arial" w:hAnsi="Arial"/>
                <w:color w:val="000000"/>
                <w:sz w:val="16"/>
              </w:rPr>
            </w:pPr>
            <w:r w:rsidRPr="00976EFA">
              <w:rPr>
                <w:rFonts w:ascii="Arial" w:hAnsi="Arial"/>
                <w:color w:val="000000"/>
                <w:sz w:val="16"/>
              </w:rPr>
              <w:t xml:space="preserve">Cure time </w:t>
            </w:r>
            <w:r w:rsidR="00577032">
              <w:rPr>
                <w:rFonts w:ascii="Arial" w:hAnsi="Arial" w:cs="Arial"/>
                <w:color w:val="000000"/>
                <w:sz w:val="16"/>
                <w:szCs w:val="16"/>
              </w:rPr>
              <w:t>depends on emulsion properties,</w:t>
            </w:r>
            <w:r w:rsidRPr="00976EFA">
              <w:rPr>
                <w:rFonts w:ascii="Arial" w:hAnsi="Arial"/>
                <w:color w:val="000000"/>
                <w:sz w:val="16"/>
              </w:rPr>
              <w:t xml:space="preserve"> generally </w:t>
            </w:r>
            <w:r w:rsidR="00577032">
              <w:rPr>
                <w:rFonts w:ascii="Arial" w:hAnsi="Arial" w:cs="Arial"/>
                <w:color w:val="000000"/>
                <w:sz w:val="16"/>
                <w:szCs w:val="16"/>
              </w:rPr>
              <w:t>a few hours.  One</w:t>
            </w:r>
            <w:r w:rsidRPr="00976EFA">
              <w:rPr>
                <w:rFonts w:ascii="Arial" w:hAnsi="Arial"/>
                <w:color w:val="000000"/>
                <w:sz w:val="16"/>
              </w:rPr>
              <w:t xml:space="preserve"> hour </w:t>
            </w:r>
            <w:r w:rsidR="00577032">
              <w:rPr>
                <w:rFonts w:ascii="Arial" w:hAnsi="Arial" w:cs="Arial"/>
                <w:color w:val="000000"/>
                <w:sz w:val="16"/>
                <w:szCs w:val="16"/>
              </w:rPr>
              <w:t>as per MD Standard Specifications</w:t>
            </w:r>
          </w:p>
        </w:tc>
        <w:tc>
          <w:tcPr>
            <w:tcW w:w="2880" w:type="dxa"/>
            <w:tcBorders>
              <w:top w:val="nil"/>
              <w:left w:val="nil"/>
              <w:bottom w:val="single" w:sz="4" w:space="0" w:color="auto"/>
              <w:right w:val="single" w:sz="4" w:space="0" w:color="auto"/>
            </w:tcBorders>
            <w:hideMark/>
          </w:tcPr>
          <w:p w14:paraId="7DFCE0CF" w14:textId="127579AA" w:rsidR="0042403B" w:rsidRDefault="0042403B" w:rsidP="00C270F8">
            <w:pPr>
              <w:rPr>
                <w:rFonts w:ascii="Arial" w:hAnsi="Arial" w:cs="Arial"/>
                <w:color w:val="000000"/>
                <w:sz w:val="16"/>
                <w:szCs w:val="16"/>
              </w:rPr>
            </w:pPr>
            <w:r>
              <w:rPr>
                <w:rFonts w:ascii="Arial" w:hAnsi="Arial" w:cs="Arial"/>
                <w:color w:val="000000"/>
                <w:sz w:val="16"/>
                <w:szCs w:val="16"/>
              </w:rPr>
              <w:t>Controlled traffic may be</w:t>
            </w:r>
            <w:r w:rsidR="00577032">
              <w:rPr>
                <w:rFonts w:ascii="Arial" w:hAnsi="Arial" w:cs="Arial"/>
                <w:color w:val="000000"/>
                <w:sz w:val="16"/>
                <w:szCs w:val="16"/>
              </w:rPr>
              <w:br/>
            </w:r>
            <w:r w:rsidR="00C270F8">
              <w:rPr>
                <w:rFonts w:ascii="Arial" w:hAnsi="Arial" w:cs="Arial"/>
                <w:color w:val="000000"/>
                <w:sz w:val="16"/>
                <w:szCs w:val="16"/>
              </w:rPr>
              <w:t xml:space="preserve"> </w:t>
            </w:r>
            <w:r>
              <w:rPr>
                <w:rFonts w:ascii="Arial" w:hAnsi="Arial" w:cs="Arial"/>
                <w:color w:val="000000"/>
                <w:sz w:val="16"/>
                <w:szCs w:val="16"/>
              </w:rPr>
              <w:t>permitted as soon as the final layer is applied and rolled, and sufficiently cooled to withstand traffic without damage. A recommended maximum speed of 30 km/h, (20 mph), should be maintained for a period of two (2) hours.</w:t>
            </w:r>
          </w:p>
        </w:tc>
      </w:tr>
    </w:tbl>
    <w:p w14:paraId="4098A898" w14:textId="77777777" w:rsidR="0042403B" w:rsidRDefault="0042403B" w:rsidP="00BE3F24">
      <w:pPr>
        <w:rPr>
          <w:rFonts w:ascii="Arial" w:hAnsi="Arial" w:cs="Arial"/>
          <w:b/>
          <w:bCs/>
          <w:kern w:val="32"/>
          <w:sz w:val="28"/>
          <w:szCs w:val="32"/>
          <w:u w:val="single"/>
        </w:rPr>
      </w:pPr>
    </w:p>
    <w:p w14:paraId="3B88B186"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627" w:type="dxa"/>
        <w:tblInd w:w="98" w:type="dxa"/>
        <w:tblLayout w:type="fixed"/>
        <w:tblLook w:val="04A0" w:firstRow="1" w:lastRow="0" w:firstColumn="1" w:lastColumn="0" w:noHBand="0" w:noVBand="1"/>
      </w:tblPr>
      <w:tblGrid>
        <w:gridCol w:w="1040"/>
        <w:gridCol w:w="1540"/>
        <w:gridCol w:w="2807"/>
        <w:gridCol w:w="3240"/>
      </w:tblGrid>
      <w:tr w:rsidR="0042403B" w:rsidRPr="008B546B" w14:paraId="035D0453" w14:textId="77777777" w:rsidTr="00976EFA">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060F4783"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7</w:t>
            </w:r>
          </w:p>
          <w:p w14:paraId="13371A4D" w14:textId="77777777" w:rsidR="002417C7" w:rsidRDefault="002417C7" w:rsidP="00BE3F24">
            <w:pPr>
              <w:jc w:val="center"/>
              <w:rPr>
                <w:rFonts w:ascii="Bell MT" w:hAnsi="Bell MT" w:cs="Calibri"/>
                <w:b/>
                <w:bCs/>
                <w:color w:val="000000"/>
                <w:sz w:val="28"/>
                <w:szCs w:val="28"/>
              </w:rPr>
            </w:pPr>
          </w:p>
          <w:p w14:paraId="43F8A7CE"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354A6DA4" w14:textId="77777777" w:rsidR="0042403B" w:rsidRPr="008B546B" w:rsidRDefault="0042403B" w:rsidP="00976EFA">
            <w:pPr>
              <w:pStyle w:val="Heading3"/>
              <w:ind w:left="1529" w:hanging="1529"/>
            </w:pPr>
            <w:bookmarkStart w:id="71" w:name="_SUPPLEMENTAL_INFORMATION_FOR_6"/>
            <w:bookmarkEnd w:id="71"/>
            <w:r w:rsidRPr="008B546B">
              <w:t>SUPPLEMENTAL INFORMATION FOR TREATMENT</w:t>
            </w:r>
            <w:r>
              <w:t>S C-5, C-6</w:t>
            </w:r>
            <w:r w:rsidRPr="008B546B">
              <w:t> </w:t>
            </w:r>
          </w:p>
        </w:tc>
      </w:tr>
      <w:tr w:rsidR="0042403B" w:rsidRPr="008B546B" w14:paraId="1E240AB9"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227B8C2B" w14:textId="77777777" w:rsidR="0042403B" w:rsidRPr="008B546B" w:rsidRDefault="0042403B" w:rsidP="00BE3F24">
            <w:pPr>
              <w:rPr>
                <w:rFonts w:ascii="Bell MT" w:hAnsi="Bell MT" w:cs="Calibri"/>
                <w:b/>
                <w:bCs/>
                <w:color w:val="000000"/>
                <w:sz w:val="28"/>
                <w:szCs w:val="28"/>
              </w:rPr>
            </w:pPr>
          </w:p>
        </w:tc>
        <w:tc>
          <w:tcPr>
            <w:tcW w:w="2807" w:type="dxa"/>
            <w:vMerge w:val="restart"/>
            <w:tcBorders>
              <w:top w:val="nil"/>
              <w:left w:val="single" w:sz="4" w:space="0" w:color="auto"/>
              <w:bottom w:val="single" w:sz="4" w:space="0" w:color="auto"/>
              <w:right w:val="single" w:sz="4" w:space="0" w:color="auto"/>
            </w:tcBorders>
            <w:vAlign w:val="center"/>
            <w:hideMark/>
          </w:tcPr>
          <w:p w14:paraId="78BD00F2" w14:textId="79619CEB" w:rsidR="0042403B" w:rsidRDefault="0042403B" w:rsidP="00BE3F24">
            <w:pPr>
              <w:jc w:val="center"/>
              <w:rPr>
                <w:rFonts w:ascii="Arial" w:hAnsi="Arial" w:cs="Arial"/>
                <w:b/>
                <w:bCs/>
                <w:sz w:val="22"/>
                <w:szCs w:val="22"/>
              </w:rPr>
            </w:pPr>
            <w:hyperlink w:anchor="C5_Sandwich_Seal" w:history="1">
              <w:r w:rsidRPr="001845B7">
                <w:rPr>
                  <w:rStyle w:val="Hyperlink"/>
                  <w:rFonts w:ascii="Arial" w:hAnsi="Arial" w:cs="Arial"/>
                  <w:b/>
                  <w:bCs/>
                  <w:sz w:val="22"/>
                  <w:szCs w:val="22"/>
                </w:rPr>
                <w:t>C-5.</w:t>
              </w:r>
              <w:r w:rsidR="00853539">
                <w:rPr>
                  <w:rStyle w:val="Hyperlink"/>
                  <w:rFonts w:ascii="Arial" w:hAnsi="Arial" w:cs="Arial"/>
                  <w:b/>
                  <w:bCs/>
                  <w:sz w:val="22"/>
                  <w:szCs w:val="22"/>
                </w:rPr>
                <w:t xml:space="preserve"> </w:t>
              </w:r>
              <w:r w:rsidRPr="001845B7">
                <w:rPr>
                  <w:rStyle w:val="Hyperlink"/>
                  <w:rFonts w:ascii="Arial" w:hAnsi="Arial" w:cs="Arial"/>
                  <w:b/>
                  <w:bCs/>
                  <w:sz w:val="22"/>
                  <w:szCs w:val="22"/>
                </w:rPr>
                <w:t>Sandwich Seal</w:t>
              </w:r>
            </w:hyperlink>
          </w:p>
        </w:tc>
        <w:tc>
          <w:tcPr>
            <w:tcW w:w="3240" w:type="dxa"/>
            <w:vMerge w:val="restart"/>
            <w:tcBorders>
              <w:top w:val="nil"/>
              <w:left w:val="nil"/>
              <w:bottom w:val="single" w:sz="4" w:space="0" w:color="000000"/>
              <w:right w:val="single" w:sz="4" w:space="0" w:color="auto"/>
            </w:tcBorders>
            <w:vAlign w:val="center"/>
            <w:hideMark/>
          </w:tcPr>
          <w:p w14:paraId="05DA2E04" w14:textId="44F3BAA6" w:rsidR="0042403B" w:rsidRDefault="0042403B" w:rsidP="00BE3F24">
            <w:pPr>
              <w:jc w:val="center"/>
              <w:rPr>
                <w:rFonts w:ascii="Arial" w:hAnsi="Arial" w:cs="Arial"/>
                <w:b/>
                <w:bCs/>
                <w:sz w:val="22"/>
                <w:szCs w:val="22"/>
              </w:rPr>
            </w:pPr>
            <w:hyperlink w:anchor="C6_Scrub_Seal" w:history="1">
              <w:r w:rsidRPr="001845B7">
                <w:rPr>
                  <w:rStyle w:val="Hyperlink"/>
                  <w:rFonts w:ascii="Arial" w:hAnsi="Arial" w:cs="Arial"/>
                  <w:b/>
                  <w:bCs/>
                  <w:sz w:val="22"/>
                  <w:szCs w:val="22"/>
                </w:rPr>
                <w:t>C-6.</w:t>
              </w:r>
              <w:r w:rsidR="00853539">
                <w:rPr>
                  <w:rStyle w:val="Hyperlink"/>
                  <w:rFonts w:ascii="Arial" w:hAnsi="Arial" w:cs="Arial"/>
                  <w:b/>
                  <w:bCs/>
                  <w:sz w:val="22"/>
                  <w:szCs w:val="22"/>
                </w:rPr>
                <w:t xml:space="preserve"> </w:t>
              </w:r>
              <w:r w:rsidRPr="001845B7">
                <w:rPr>
                  <w:rStyle w:val="Hyperlink"/>
                  <w:rFonts w:ascii="Arial" w:hAnsi="Arial" w:cs="Arial"/>
                  <w:b/>
                  <w:bCs/>
                  <w:sz w:val="22"/>
                  <w:szCs w:val="22"/>
                </w:rPr>
                <w:t>Scrub Seal</w:t>
              </w:r>
            </w:hyperlink>
          </w:p>
        </w:tc>
      </w:tr>
      <w:tr w:rsidR="0042403B" w:rsidRPr="008B546B" w14:paraId="0EFFF362"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67BC28AE" w14:textId="77777777" w:rsidR="0042403B" w:rsidRPr="008B546B" w:rsidRDefault="0042403B" w:rsidP="00BE3F24">
            <w:pPr>
              <w:rPr>
                <w:rFonts w:ascii="Bell MT" w:hAnsi="Bell MT" w:cs="Calibri"/>
                <w:b/>
                <w:bCs/>
                <w:color w:val="000000"/>
                <w:sz w:val="28"/>
                <w:szCs w:val="28"/>
              </w:rPr>
            </w:pPr>
          </w:p>
        </w:tc>
        <w:tc>
          <w:tcPr>
            <w:tcW w:w="2807" w:type="dxa"/>
            <w:vMerge/>
            <w:tcBorders>
              <w:top w:val="nil"/>
              <w:left w:val="single" w:sz="4" w:space="0" w:color="auto"/>
              <w:bottom w:val="single" w:sz="4" w:space="0" w:color="auto"/>
              <w:right w:val="single" w:sz="4" w:space="0" w:color="auto"/>
            </w:tcBorders>
            <w:vAlign w:val="center"/>
            <w:hideMark/>
          </w:tcPr>
          <w:p w14:paraId="3871945F" w14:textId="77777777" w:rsidR="0042403B" w:rsidRPr="008B546B" w:rsidRDefault="0042403B" w:rsidP="00BE3F24">
            <w:pPr>
              <w:rPr>
                <w:rFonts w:ascii="Arial" w:hAnsi="Arial" w:cs="Arial"/>
                <w:b/>
                <w:bCs/>
                <w:color w:val="000000"/>
                <w:sz w:val="22"/>
                <w:szCs w:val="22"/>
              </w:rPr>
            </w:pPr>
          </w:p>
        </w:tc>
        <w:tc>
          <w:tcPr>
            <w:tcW w:w="3240" w:type="dxa"/>
            <w:vMerge/>
            <w:tcBorders>
              <w:top w:val="nil"/>
              <w:left w:val="nil"/>
              <w:bottom w:val="single" w:sz="4" w:space="0" w:color="000000"/>
              <w:right w:val="single" w:sz="4" w:space="0" w:color="auto"/>
            </w:tcBorders>
            <w:vAlign w:val="center"/>
            <w:hideMark/>
          </w:tcPr>
          <w:p w14:paraId="7855CF55" w14:textId="77777777" w:rsidR="0042403B" w:rsidRPr="008B546B" w:rsidRDefault="0042403B" w:rsidP="00BE3F24">
            <w:pPr>
              <w:rPr>
                <w:rFonts w:ascii="Arial" w:hAnsi="Arial" w:cs="Arial"/>
                <w:b/>
                <w:bCs/>
                <w:color w:val="000000"/>
                <w:sz w:val="22"/>
                <w:szCs w:val="22"/>
              </w:rPr>
            </w:pPr>
          </w:p>
        </w:tc>
      </w:tr>
      <w:tr w:rsidR="0042403B" w:rsidRPr="008B546B" w14:paraId="3016FBB3" w14:textId="77777777" w:rsidTr="00976EFA">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0C28A1B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0DCFA16D"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807" w:type="dxa"/>
            <w:tcBorders>
              <w:top w:val="nil"/>
              <w:left w:val="nil"/>
              <w:bottom w:val="single" w:sz="4" w:space="0" w:color="auto"/>
              <w:right w:val="single" w:sz="4" w:space="0" w:color="auto"/>
            </w:tcBorders>
            <w:vAlign w:val="center"/>
            <w:hideMark/>
          </w:tcPr>
          <w:p w14:paraId="717086D2" w14:textId="77777777" w:rsidR="0042403B" w:rsidRDefault="0042403B" w:rsidP="00BE3F24">
            <w:pPr>
              <w:jc w:val="center"/>
              <w:rPr>
                <w:rFonts w:ascii="Arial" w:hAnsi="Arial" w:cs="Arial"/>
                <w:b/>
                <w:bCs/>
                <w:color w:val="000000"/>
                <w:sz w:val="16"/>
                <w:szCs w:val="16"/>
              </w:rPr>
            </w:pPr>
          </w:p>
        </w:tc>
        <w:tc>
          <w:tcPr>
            <w:tcW w:w="3240" w:type="dxa"/>
            <w:tcBorders>
              <w:top w:val="nil"/>
              <w:left w:val="nil"/>
              <w:bottom w:val="single" w:sz="4" w:space="0" w:color="auto"/>
              <w:right w:val="single" w:sz="4" w:space="0" w:color="auto"/>
            </w:tcBorders>
            <w:vAlign w:val="center"/>
            <w:hideMark/>
          </w:tcPr>
          <w:p w14:paraId="04F11749" w14:textId="77777777" w:rsidR="0042403B" w:rsidRPr="008B546B" w:rsidRDefault="0042403B" w:rsidP="00BE3F24">
            <w:pPr>
              <w:jc w:val="center"/>
              <w:rPr>
                <w:rFonts w:ascii="Arial" w:hAnsi="Arial" w:cs="Arial"/>
                <w:b/>
                <w:bCs/>
                <w:color w:val="000000"/>
                <w:sz w:val="16"/>
                <w:szCs w:val="16"/>
              </w:rPr>
            </w:pPr>
          </w:p>
        </w:tc>
      </w:tr>
      <w:tr w:rsidR="0042403B" w:rsidRPr="008B546B" w14:paraId="52EE3516"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CC2D3F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94BD2E6" w14:textId="090ED48D"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807" w:type="dxa"/>
            <w:tcBorders>
              <w:top w:val="nil"/>
              <w:left w:val="nil"/>
              <w:bottom w:val="single" w:sz="4" w:space="0" w:color="auto"/>
              <w:right w:val="single" w:sz="4" w:space="0" w:color="auto"/>
            </w:tcBorders>
            <w:vAlign w:val="center"/>
            <w:hideMark/>
          </w:tcPr>
          <w:p w14:paraId="4CE6A5BC"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4770F184"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28C24F15"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777688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AF2E813" w14:textId="18FCDE19"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807" w:type="dxa"/>
            <w:tcBorders>
              <w:top w:val="nil"/>
              <w:left w:val="nil"/>
              <w:bottom w:val="single" w:sz="4" w:space="0" w:color="auto"/>
              <w:right w:val="single" w:sz="4" w:space="0" w:color="auto"/>
            </w:tcBorders>
            <w:vAlign w:val="center"/>
            <w:hideMark/>
          </w:tcPr>
          <w:p w14:paraId="33BE0E99" w14:textId="77777777" w:rsidR="0042403B" w:rsidRDefault="0042403B" w:rsidP="00BE3F24">
            <w:pPr>
              <w:jc w:val="center"/>
              <w:rPr>
                <w:rFonts w:ascii="Arial" w:hAnsi="Arial" w:cs="Arial"/>
                <w:b/>
                <w:bCs/>
                <w:color w:val="000000"/>
                <w:sz w:val="16"/>
                <w:szCs w:val="16"/>
              </w:rPr>
            </w:pPr>
          </w:p>
        </w:tc>
        <w:tc>
          <w:tcPr>
            <w:tcW w:w="3240" w:type="dxa"/>
            <w:tcBorders>
              <w:top w:val="nil"/>
              <w:left w:val="nil"/>
              <w:bottom w:val="single" w:sz="4" w:space="0" w:color="auto"/>
              <w:right w:val="single" w:sz="4" w:space="0" w:color="auto"/>
            </w:tcBorders>
            <w:vAlign w:val="center"/>
            <w:hideMark/>
          </w:tcPr>
          <w:p w14:paraId="1D42DA6D" w14:textId="77777777" w:rsidR="0042403B" w:rsidRPr="008B546B" w:rsidRDefault="0042403B" w:rsidP="00BE3F24">
            <w:pPr>
              <w:jc w:val="center"/>
              <w:rPr>
                <w:rFonts w:ascii="Arial" w:hAnsi="Arial" w:cs="Arial"/>
                <w:b/>
                <w:bCs/>
                <w:color w:val="000000"/>
                <w:sz w:val="16"/>
                <w:szCs w:val="16"/>
              </w:rPr>
            </w:pPr>
          </w:p>
        </w:tc>
      </w:tr>
      <w:tr w:rsidR="0042403B" w:rsidRPr="008B546B" w14:paraId="3920619D"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160970B"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18F669A"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807" w:type="dxa"/>
            <w:tcBorders>
              <w:top w:val="nil"/>
              <w:left w:val="nil"/>
              <w:bottom w:val="single" w:sz="4" w:space="0" w:color="auto"/>
              <w:right w:val="single" w:sz="4" w:space="0" w:color="auto"/>
            </w:tcBorders>
            <w:vAlign w:val="center"/>
            <w:hideMark/>
          </w:tcPr>
          <w:p w14:paraId="655FE11C" w14:textId="77777777" w:rsidR="0042403B" w:rsidRDefault="0042403B" w:rsidP="00BE3F24">
            <w:pPr>
              <w:jc w:val="center"/>
              <w:rPr>
                <w:rFonts w:ascii="Arial" w:hAnsi="Arial" w:cs="Arial"/>
                <w:b/>
                <w:bCs/>
                <w:color w:val="000000"/>
                <w:sz w:val="16"/>
                <w:szCs w:val="16"/>
              </w:rPr>
            </w:pPr>
          </w:p>
        </w:tc>
        <w:tc>
          <w:tcPr>
            <w:tcW w:w="3240" w:type="dxa"/>
            <w:tcBorders>
              <w:top w:val="nil"/>
              <w:left w:val="nil"/>
              <w:bottom w:val="single" w:sz="4" w:space="0" w:color="auto"/>
              <w:right w:val="single" w:sz="4" w:space="0" w:color="auto"/>
            </w:tcBorders>
            <w:vAlign w:val="center"/>
            <w:hideMark/>
          </w:tcPr>
          <w:p w14:paraId="2A4BCDBC" w14:textId="77777777" w:rsidR="0042403B" w:rsidRPr="008B546B" w:rsidRDefault="0042403B" w:rsidP="00BE3F24">
            <w:pPr>
              <w:jc w:val="center"/>
              <w:rPr>
                <w:rFonts w:ascii="Arial" w:hAnsi="Arial" w:cs="Arial"/>
                <w:b/>
                <w:bCs/>
                <w:color w:val="000000"/>
                <w:sz w:val="16"/>
                <w:szCs w:val="16"/>
              </w:rPr>
            </w:pPr>
          </w:p>
        </w:tc>
      </w:tr>
      <w:tr w:rsidR="0042403B" w:rsidRPr="008B546B" w14:paraId="7D3C2302"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A4DA658"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FF33D6E"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807" w:type="dxa"/>
            <w:tcBorders>
              <w:top w:val="nil"/>
              <w:left w:val="nil"/>
              <w:bottom w:val="single" w:sz="4" w:space="0" w:color="auto"/>
              <w:right w:val="single" w:sz="4" w:space="0" w:color="auto"/>
            </w:tcBorders>
            <w:vAlign w:val="center"/>
            <w:hideMark/>
          </w:tcPr>
          <w:p w14:paraId="31889F65"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6157B809"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49DC7D49"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717F998"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DCEE50E"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807" w:type="dxa"/>
            <w:tcBorders>
              <w:top w:val="nil"/>
              <w:left w:val="nil"/>
              <w:bottom w:val="single" w:sz="4" w:space="0" w:color="auto"/>
              <w:right w:val="single" w:sz="4" w:space="0" w:color="auto"/>
            </w:tcBorders>
            <w:vAlign w:val="center"/>
            <w:hideMark/>
          </w:tcPr>
          <w:p w14:paraId="453623B3"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49046D28"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002FD9EF" w14:textId="77777777" w:rsidTr="00976EFA">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ABF269F" w14:textId="37E11363"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2807" w:type="dxa"/>
            <w:tcBorders>
              <w:top w:val="nil"/>
              <w:left w:val="nil"/>
              <w:bottom w:val="single" w:sz="4" w:space="0" w:color="auto"/>
              <w:right w:val="single" w:sz="4" w:space="0" w:color="auto"/>
            </w:tcBorders>
            <w:hideMark/>
          </w:tcPr>
          <w:p w14:paraId="02397815" w14:textId="2F4116DF" w:rsidR="0042403B" w:rsidRDefault="0042403B" w:rsidP="00BE3F24">
            <w:pPr>
              <w:rPr>
                <w:rFonts w:ascii="Arial" w:hAnsi="Arial" w:cs="Arial"/>
                <w:color w:val="000000"/>
                <w:sz w:val="16"/>
                <w:szCs w:val="16"/>
              </w:rPr>
            </w:pPr>
            <w:r>
              <w:rPr>
                <w:rFonts w:ascii="Arial" w:hAnsi="Arial" w:cs="Arial"/>
                <w:color w:val="000000"/>
                <w:sz w:val="16"/>
                <w:szCs w:val="16"/>
              </w:rPr>
              <w:t>1. Unlike the double chip seal, only one application of emulsion is required.</w:t>
            </w:r>
            <w:r>
              <w:rPr>
                <w:rFonts w:ascii="Arial" w:hAnsi="Arial" w:cs="Arial"/>
                <w:color w:val="000000"/>
                <w:sz w:val="16"/>
                <w:szCs w:val="16"/>
              </w:rPr>
              <w:br/>
              <w:t>2. Same service life as the double chip seal</w:t>
            </w:r>
            <w:r w:rsidR="00C270F8">
              <w:rPr>
                <w:rFonts w:ascii="Arial" w:hAnsi="Arial" w:cs="Arial"/>
                <w:color w:val="000000"/>
                <w:sz w:val="16"/>
                <w:szCs w:val="16"/>
              </w:rPr>
              <w:t>.</w:t>
            </w:r>
            <w:r>
              <w:rPr>
                <w:rFonts w:ascii="Arial" w:hAnsi="Arial" w:cs="Arial"/>
                <w:color w:val="000000"/>
                <w:sz w:val="16"/>
                <w:szCs w:val="16"/>
              </w:rPr>
              <w:br/>
              <w:t>3. Provides a smoother surface than chip seal</w:t>
            </w:r>
            <w:r w:rsidR="00B172B7">
              <w:rPr>
                <w:rFonts w:ascii="Arial" w:hAnsi="Arial" w:cs="Arial"/>
                <w:color w:val="000000"/>
                <w:sz w:val="16"/>
                <w:szCs w:val="16"/>
              </w:rPr>
              <w:t>.</w:t>
            </w:r>
          </w:p>
        </w:tc>
        <w:tc>
          <w:tcPr>
            <w:tcW w:w="3240" w:type="dxa"/>
            <w:tcBorders>
              <w:top w:val="nil"/>
              <w:left w:val="nil"/>
              <w:bottom w:val="single" w:sz="4" w:space="0" w:color="auto"/>
              <w:right w:val="single" w:sz="4" w:space="0" w:color="auto"/>
            </w:tcBorders>
            <w:hideMark/>
          </w:tcPr>
          <w:p w14:paraId="71C07AB1" w14:textId="77777777" w:rsidR="0042403B" w:rsidRDefault="0042403B" w:rsidP="00BE3F24">
            <w:pPr>
              <w:rPr>
                <w:rFonts w:ascii="Arial" w:hAnsi="Arial" w:cs="Arial"/>
                <w:color w:val="000000"/>
                <w:sz w:val="16"/>
                <w:szCs w:val="16"/>
              </w:rPr>
            </w:pPr>
            <w:r>
              <w:rPr>
                <w:rFonts w:ascii="Arial" w:hAnsi="Arial" w:cs="Arial"/>
                <w:color w:val="000000"/>
                <w:sz w:val="16"/>
                <w:szCs w:val="16"/>
              </w:rPr>
              <w:t>1. Prevents/delays moisture damage.</w:t>
            </w:r>
            <w:r>
              <w:rPr>
                <w:rFonts w:ascii="Arial" w:hAnsi="Arial" w:cs="Arial"/>
                <w:color w:val="000000"/>
                <w:sz w:val="16"/>
                <w:szCs w:val="16"/>
              </w:rPr>
              <w:br/>
              <w:t>2. Rejuvenates hardened/oxidized asphalt.</w:t>
            </w:r>
            <w:r>
              <w:rPr>
                <w:rFonts w:ascii="Arial" w:hAnsi="Arial" w:cs="Arial"/>
                <w:color w:val="000000"/>
                <w:sz w:val="16"/>
                <w:szCs w:val="16"/>
              </w:rPr>
              <w:br/>
              <w:t>3. Improves poor friction.</w:t>
            </w:r>
            <w:r>
              <w:rPr>
                <w:rFonts w:ascii="Arial" w:hAnsi="Arial" w:cs="Arial"/>
                <w:color w:val="000000"/>
                <w:sz w:val="16"/>
                <w:szCs w:val="16"/>
              </w:rPr>
              <w:br/>
              <w:t xml:space="preserve">4. Reduces the severity of cracking, raveling and possibly roughness and rutting. </w:t>
            </w:r>
          </w:p>
        </w:tc>
      </w:tr>
      <w:tr w:rsidR="0042403B" w:rsidRPr="008B546B" w14:paraId="680858A5" w14:textId="77777777" w:rsidTr="00976EFA">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6C85328" w14:textId="50B1A08B"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2807" w:type="dxa"/>
            <w:tcBorders>
              <w:top w:val="nil"/>
              <w:left w:val="nil"/>
              <w:bottom w:val="single" w:sz="4" w:space="0" w:color="auto"/>
              <w:right w:val="single" w:sz="4" w:space="0" w:color="auto"/>
            </w:tcBorders>
            <w:hideMark/>
          </w:tcPr>
          <w:p w14:paraId="0E2AFB41" w14:textId="77777777" w:rsidR="0042403B" w:rsidRDefault="0042403B" w:rsidP="00BE3F24">
            <w:pPr>
              <w:rPr>
                <w:rFonts w:ascii="Arial" w:hAnsi="Arial" w:cs="Arial"/>
                <w:sz w:val="16"/>
                <w:szCs w:val="16"/>
              </w:rPr>
            </w:pPr>
            <w:r>
              <w:rPr>
                <w:rFonts w:ascii="Arial" w:hAnsi="Arial" w:cs="Arial"/>
                <w:sz w:val="16"/>
                <w:szCs w:val="16"/>
              </w:rPr>
              <w:t>1. Clean aggregate required.</w:t>
            </w:r>
            <w:r>
              <w:rPr>
                <w:rFonts w:ascii="Arial" w:hAnsi="Arial" w:cs="Arial"/>
                <w:sz w:val="16"/>
                <w:szCs w:val="16"/>
              </w:rPr>
              <w:br/>
              <w:t>2. Aggregate chips may crack windshields.</w:t>
            </w:r>
            <w:r>
              <w:rPr>
                <w:rFonts w:ascii="Arial" w:hAnsi="Arial" w:cs="Arial"/>
                <w:sz w:val="16"/>
                <w:szCs w:val="16"/>
              </w:rPr>
              <w:br/>
              <w:t>3. Must be placed on structurally sound pavements.</w:t>
            </w:r>
          </w:p>
        </w:tc>
        <w:tc>
          <w:tcPr>
            <w:tcW w:w="3240" w:type="dxa"/>
            <w:tcBorders>
              <w:top w:val="nil"/>
              <w:left w:val="nil"/>
              <w:bottom w:val="single" w:sz="4" w:space="0" w:color="auto"/>
              <w:right w:val="single" w:sz="4" w:space="0" w:color="auto"/>
            </w:tcBorders>
            <w:hideMark/>
          </w:tcPr>
          <w:p w14:paraId="21F5A6AF" w14:textId="4968DDB2" w:rsidR="0042403B" w:rsidRDefault="0042403B" w:rsidP="00C270F8">
            <w:pPr>
              <w:rPr>
                <w:rFonts w:ascii="Arial" w:hAnsi="Arial" w:cs="Arial"/>
                <w:color w:val="000000"/>
                <w:sz w:val="16"/>
                <w:szCs w:val="16"/>
              </w:rPr>
            </w:pPr>
            <w:r>
              <w:rPr>
                <w:rFonts w:ascii="Arial" w:hAnsi="Arial" w:cs="Arial"/>
                <w:color w:val="000000"/>
                <w:sz w:val="16"/>
                <w:szCs w:val="16"/>
              </w:rPr>
              <w:t>1. Can accelerate the development of stripping.</w:t>
            </w:r>
            <w:r>
              <w:rPr>
                <w:rFonts w:ascii="Arial" w:hAnsi="Arial" w:cs="Arial"/>
                <w:color w:val="000000"/>
                <w:sz w:val="16"/>
                <w:szCs w:val="16"/>
              </w:rPr>
              <w:br/>
              <w:t>2. Limited to lower volume traffic conditions (AADT &lt; 1,500) with a low percentage of trucks, and roadway grades flatter than 8%.</w:t>
            </w:r>
            <w:r>
              <w:rPr>
                <w:rFonts w:ascii="Arial" w:hAnsi="Arial" w:cs="Arial"/>
                <w:color w:val="000000"/>
                <w:sz w:val="16"/>
                <w:szCs w:val="16"/>
              </w:rPr>
              <w:br/>
              <w:t>3. May be susceptible to snow plow damage.</w:t>
            </w:r>
            <w:r>
              <w:rPr>
                <w:rFonts w:ascii="Arial" w:hAnsi="Arial" w:cs="Arial"/>
                <w:color w:val="000000"/>
                <w:sz w:val="16"/>
                <w:szCs w:val="16"/>
              </w:rPr>
              <w:br/>
              <w:t>4. Must be placed on a clean dry surface at a temperature of at least 50 deg</w:t>
            </w:r>
            <w:r w:rsidR="00CB2615">
              <w:rPr>
                <w:rFonts w:ascii="Arial" w:hAnsi="Arial" w:cs="Arial"/>
                <w:color w:val="000000"/>
                <w:sz w:val="16"/>
                <w:szCs w:val="16"/>
              </w:rPr>
              <w:t>rees</w:t>
            </w:r>
            <w:r>
              <w:rPr>
                <w:rFonts w:ascii="Arial" w:hAnsi="Arial" w:cs="Arial"/>
                <w:color w:val="000000"/>
                <w:sz w:val="16"/>
                <w:szCs w:val="16"/>
              </w:rPr>
              <w:t xml:space="preserve"> F</w:t>
            </w:r>
            <w:r w:rsidR="00C270F8">
              <w:rPr>
                <w:rFonts w:ascii="Arial" w:hAnsi="Arial" w:cs="Arial"/>
                <w:color w:val="000000"/>
                <w:sz w:val="16"/>
                <w:szCs w:val="16"/>
              </w:rPr>
              <w:t>.</w:t>
            </w:r>
            <w:r w:rsidR="00CB2615">
              <w:rPr>
                <w:rFonts w:ascii="Arial" w:hAnsi="Arial" w:cs="Arial"/>
                <w:color w:val="000000"/>
                <w:sz w:val="16"/>
                <w:szCs w:val="16"/>
              </w:rPr>
              <w:t xml:space="preserve"> </w:t>
            </w:r>
            <w:r>
              <w:rPr>
                <w:rFonts w:ascii="Arial" w:hAnsi="Arial" w:cs="Arial"/>
                <w:color w:val="000000"/>
                <w:sz w:val="16"/>
                <w:szCs w:val="16"/>
              </w:rPr>
              <w:br/>
              <w:t>5. Must be placed on structurally sound pavements.</w:t>
            </w:r>
          </w:p>
        </w:tc>
      </w:tr>
      <w:tr w:rsidR="0042403B" w:rsidRPr="008B546B" w14:paraId="5DF76815" w14:textId="77777777" w:rsidTr="00976EFA">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233DA05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0E3BE5E5"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2807" w:type="dxa"/>
            <w:vMerge w:val="restart"/>
            <w:tcBorders>
              <w:top w:val="nil"/>
              <w:left w:val="nil"/>
              <w:right w:val="single" w:sz="4" w:space="0" w:color="auto"/>
            </w:tcBorders>
            <w:vAlign w:val="center"/>
            <w:hideMark/>
          </w:tcPr>
          <w:p w14:paraId="2AEF4AF3" w14:textId="570DD067" w:rsidR="0042403B" w:rsidRDefault="0042403B" w:rsidP="00BE3F24">
            <w:pPr>
              <w:rPr>
                <w:rFonts w:ascii="Arial" w:hAnsi="Arial" w:cs="Arial"/>
                <w:sz w:val="16"/>
                <w:szCs w:val="16"/>
              </w:rPr>
            </w:pPr>
            <w:r>
              <w:rPr>
                <w:rFonts w:ascii="Arial" w:hAnsi="Arial" w:cs="Arial"/>
                <w:sz w:val="16"/>
                <w:szCs w:val="16"/>
              </w:rPr>
              <w:t>$1</w:t>
            </w:r>
            <w:r w:rsidR="00915EA9" w:rsidRPr="00976EFA">
              <w:rPr>
                <w:rFonts w:ascii="Arial" w:hAnsi="Arial"/>
                <w:color w:val="000000"/>
                <w:sz w:val="16"/>
              </w:rPr>
              <w:t xml:space="preserve"> </w:t>
            </w:r>
            <w:r w:rsidR="00915EA9">
              <w:rPr>
                <w:rFonts w:ascii="Arial" w:hAnsi="Arial" w:cs="Arial"/>
                <w:color w:val="000000"/>
                <w:sz w:val="16"/>
                <w:szCs w:val="16"/>
              </w:rPr>
              <w:t>–</w:t>
            </w:r>
            <w:r w:rsidR="00915EA9" w:rsidRPr="00976EFA">
              <w:rPr>
                <w:rFonts w:ascii="Arial" w:hAnsi="Arial"/>
                <w:color w:val="000000"/>
                <w:sz w:val="16"/>
              </w:rPr>
              <w:t xml:space="preserve"> </w:t>
            </w:r>
            <w:r>
              <w:rPr>
                <w:rFonts w:ascii="Arial" w:hAnsi="Arial" w:cs="Arial"/>
                <w:sz w:val="16"/>
                <w:szCs w:val="16"/>
              </w:rPr>
              <w:t>$2 / SY</w:t>
            </w:r>
          </w:p>
        </w:tc>
        <w:tc>
          <w:tcPr>
            <w:tcW w:w="3240" w:type="dxa"/>
            <w:tcBorders>
              <w:top w:val="nil"/>
              <w:left w:val="nil"/>
              <w:bottom w:val="single" w:sz="4" w:space="0" w:color="auto"/>
              <w:right w:val="single" w:sz="4" w:space="0" w:color="auto"/>
            </w:tcBorders>
            <w:vAlign w:val="center"/>
            <w:hideMark/>
          </w:tcPr>
          <w:p w14:paraId="391B0E11" w14:textId="4800D7FC" w:rsidR="0042403B" w:rsidRDefault="0042403B" w:rsidP="00BE3F24">
            <w:pPr>
              <w:rPr>
                <w:rFonts w:ascii="Arial" w:hAnsi="Arial" w:cs="Arial"/>
                <w:color w:val="000000"/>
                <w:sz w:val="16"/>
                <w:szCs w:val="16"/>
              </w:rPr>
            </w:pPr>
            <w:r>
              <w:rPr>
                <w:rFonts w:ascii="Arial" w:hAnsi="Arial" w:cs="Arial"/>
                <w:color w:val="000000"/>
                <w:sz w:val="16"/>
                <w:szCs w:val="16"/>
              </w:rPr>
              <w:t>$0.50</w:t>
            </w:r>
            <w:r w:rsidR="00915EA9">
              <w:rPr>
                <w:rFonts w:ascii="Arial" w:hAnsi="Arial" w:cs="Arial"/>
                <w:color w:val="000000"/>
                <w:sz w:val="16"/>
                <w:szCs w:val="16"/>
              </w:rPr>
              <w:t xml:space="preserve"> – </w:t>
            </w:r>
            <w:r>
              <w:rPr>
                <w:rFonts w:ascii="Arial" w:hAnsi="Arial" w:cs="Arial"/>
                <w:color w:val="000000"/>
                <w:sz w:val="16"/>
                <w:szCs w:val="16"/>
              </w:rPr>
              <w:t>$2.15 /SY</w:t>
            </w:r>
          </w:p>
        </w:tc>
      </w:tr>
      <w:tr w:rsidR="0042403B" w:rsidRPr="008B546B" w14:paraId="1D4999A3"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760D98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985D919"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2807" w:type="dxa"/>
            <w:vMerge/>
            <w:tcBorders>
              <w:left w:val="nil"/>
              <w:right w:val="single" w:sz="4" w:space="0" w:color="auto"/>
            </w:tcBorders>
            <w:vAlign w:val="center"/>
            <w:hideMark/>
          </w:tcPr>
          <w:p w14:paraId="7EE671D0" w14:textId="77777777" w:rsidR="0042403B" w:rsidRDefault="0042403B" w:rsidP="00BE3F24">
            <w:pPr>
              <w:rPr>
                <w:rFonts w:ascii="Arial" w:hAnsi="Arial" w:cs="Arial"/>
                <w:sz w:val="16"/>
                <w:szCs w:val="16"/>
              </w:rPr>
            </w:pPr>
          </w:p>
        </w:tc>
        <w:tc>
          <w:tcPr>
            <w:tcW w:w="3240" w:type="dxa"/>
            <w:tcBorders>
              <w:top w:val="nil"/>
              <w:left w:val="nil"/>
              <w:bottom w:val="single" w:sz="4" w:space="0" w:color="auto"/>
              <w:right w:val="single" w:sz="4" w:space="0" w:color="auto"/>
            </w:tcBorders>
            <w:vAlign w:val="center"/>
            <w:hideMark/>
          </w:tcPr>
          <w:p w14:paraId="69A941AE" w14:textId="636AACD8" w:rsidR="0042403B" w:rsidRDefault="0042403B" w:rsidP="00BE3F24">
            <w:pPr>
              <w:rPr>
                <w:rFonts w:ascii="Arial" w:hAnsi="Arial" w:cs="Arial"/>
                <w:color w:val="000000"/>
                <w:sz w:val="16"/>
                <w:szCs w:val="16"/>
              </w:rPr>
            </w:pPr>
            <w:r>
              <w:rPr>
                <w:rFonts w:ascii="Arial" w:hAnsi="Arial" w:cs="Arial"/>
                <w:color w:val="000000"/>
                <w:sz w:val="16"/>
                <w:szCs w:val="16"/>
              </w:rPr>
              <w:t>$0.50</w:t>
            </w:r>
            <w:r w:rsidR="00915EA9">
              <w:rPr>
                <w:rFonts w:ascii="Arial" w:hAnsi="Arial" w:cs="Arial"/>
                <w:color w:val="000000"/>
                <w:sz w:val="16"/>
                <w:szCs w:val="16"/>
              </w:rPr>
              <w:t xml:space="preserve"> – </w:t>
            </w:r>
            <w:r>
              <w:rPr>
                <w:rFonts w:ascii="Arial" w:hAnsi="Arial" w:cs="Arial"/>
                <w:color w:val="000000"/>
                <w:sz w:val="16"/>
                <w:szCs w:val="16"/>
              </w:rPr>
              <w:t>$2.15 /SY</w:t>
            </w:r>
          </w:p>
        </w:tc>
      </w:tr>
      <w:tr w:rsidR="0042403B" w:rsidRPr="008B546B" w14:paraId="70BEABA7"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B97CB7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9669356"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2807" w:type="dxa"/>
            <w:vMerge/>
            <w:tcBorders>
              <w:left w:val="nil"/>
              <w:bottom w:val="single" w:sz="4" w:space="0" w:color="auto"/>
              <w:right w:val="single" w:sz="4" w:space="0" w:color="auto"/>
            </w:tcBorders>
            <w:vAlign w:val="center"/>
            <w:hideMark/>
          </w:tcPr>
          <w:p w14:paraId="6F2F4007" w14:textId="77777777" w:rsidR="0042403B" w:rsidRDefault="0042403B" w:rsidP="00BE3F24">
            <w:pPr>
              <w:rPr>
                <w:rFonts w:ascii="Arial" w:hAnsi="Arial" w:cs="Arial"/>
                <w:sz w:val="16"/>
                <w:szCs w:val="16"/>
              </w:rPr>
            </w:pPr>
          </w:p>
        </w:tc>
        <w:tc>
          <w:tcPr>
            <w:tcW w:w="3240" w:type="dxa"/>
            <w:tcBorders>
              <w:top w:val="nil"/>
              <w:left w:val="nil"/>
              <w:bottom w:val="single" w:sz="4" w:space="0" w:color="auto"/>
              <w:right w:val="single" w:sz="4" w:space="0" w:color="auto"/>
            </w:tcBorders>
            <w:vAlign w:val="center"/>
            <w:hideMark/>
          </w:tcPr>
          <w:p w14:paraId="02B83B11" w14:textId="0E75D38E" w:rsidR="0042403B" w:rsidRDefault="0042403B" w:rsidP="00BE3F24">
            <w:pPr>
              <w:rPr>
                <w:rFonts w:ascii="Arial" w:hAnsi="Arial" w:cs="Arial"/>
                <w:color w:val="000000"/>
                <w:sz w:val="16"/>
                <w:szCs w:val="16"/>
              </w:rPr>
            </w:pPr>
            <w:r>
              <w:rPr>
                <w:rFonts w:ascii="Arial" w:hAnsi="Arial" w:cs="Arial"/>
                <w:color w:val="000000"/>
                <w:sz w:val="16"/>
                <w:szCs w:val="16"/>
              </w:rPr>
              <w:t>$0.50</w:t>
            </w:r>
            <w:r w:rsidR="00915EA9">
              <w:rPr>
                <w:rFonts w:ascii="Arial" w:hAnsi="Arial" w:cs="Arial"/>
                <w:color w:val="000000"/>
                <w:sz w:val="16"/>
                <w:szCs w:val="16"/>
              </w:rPr>
              <w:t xml:space="preserve"> – </w:t>
            </w:r>
            <w:r>
              <w:rPr>
                <w:rFonts w:ascii="Arial" w:hAnsi="Arial" w:cs="Arial"/>
                <w:color w:val="000000"/>
                <w:sz w:val="16"/>
                <w:szCs w:val="16"/>
              </w:rPr>
              <w:t>$2.15 /SY</w:t>
            </w:r>
          </w:p>
        </w:tc>
      </w:tr>
      <w:tr w:rsidR="0042403B" w:rsidRPr="008B546B" w14:paraId="0A7E53CF" w14:textId="77777777" w:rsidTr="00976EFA">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DCC138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9158471"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2807" w:type="dxa"/>
            <w:tcBorders>
              <w:top w:val="nil"/>
              <w:left w:val="nil"/>
              <w:bottom w:val="single" w:sz="4" w:space="0" w:color="auto"/>
              <w:right w:val="single" w:sz="4" w:space="0" w:color="auto"/>
            </w:tcBorders>
            <w:vAlign w:val="center"/>
            <w:hideMark/>
          </w:tcPr>
          <w:p w14:paraId="4986ECEB" w14:textId="77777777" w:rsidR="0042403B" w:rsidRDefault="0042403B" w:rsidP="00BE3F24">
            <w:pPr>
              <w:rPr>
                <w:rFonts w:ascii="Arial" w:hAnsi="Arial" w:cs="Arial"/>
                <w:sz w:val="16"/>
                <w:szCs w:val="16"/>
              </w:rPr>
            </w:pPr>
            <w:r>
              <w:rPr>
                <w:rFonts w:ascii="Arial" w:hAnsi="Arial" w:cs="Arial"/>
                <w:sz w:val="16"/>
                <w:szCs w:val="16"/>
              </w:rPr>
              <w:t>See Definition</w:t>
            </w:r>
          </w:p>
        </w:tc>
        <w:tc>
          <w:tcPr>
            <w:tcW w:w="3240" w:type="dxa"/>
            <w:tcBorders>
              <w:top w:val="nil"/>
              <w:left w:val="nil"/>
              <w:bottom w:val="single" w:sz="4" w:space="0" w:color="auto"/>
              <w:right w:val="single" w:sz="4" w:space="0" w:color="auto"/>
            </w:tcBorders>
            <w:vAlign w:val="center"/>
            <w:hideMark/>
          </w:tcPr>
          <w:p w14:paraId="583BD59A" w14:textId="77777777" w:rsidR="0042403B" w:rsidRDefault="0042403B" w:rsidP="00BE3F24">
            <w:pPr>
              <w:rPr>
                <w:rFonts w:ascii="Arial" w:hAnsi="Arial" w:cs="Arial"/>
                <w:sz w:val="16"/>
                <w:szCs w:val="16"/>
              </w:rPr>
            </w:pPr>
            <w:r>
              <w:rPr>
                <w:rFonts w:ascii="Arial" w:hAnsi="Arial" w:cs="Arial"/>
                <w:sz w:val="16"/>
                <w:szCs w:val="16"/>
              </w:rPr>
              <w:t>Unknown</w:t>
            </w:r>
          </w:p>
        </w:tc>
      </w:tr>
      <w:tr w:rsidR="0042403B" w:rsidRPr="008B546B" w14:paraId="5E8803F7" w14:textId="77777777" w:rsidTr="00976EFA">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B61DE07"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48F845D"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2807" w:type="dxa"/>
            <w:tcBorders>
              <w:top w:val="nil"/>
              <w:left w:val="nil"/>
              <w:bottom w:val="single" w:sz="4" w:space="0" w:color="auto"/>
              <w:right w:val="single" w:sz="4" w:space="0" w:color="auto"/>
            </w:tcBorders>
            <w:vAlign w:val="center"/>
            <w:hideMark/>
          </w:tcPr>
          <w:p w14:paraId="70D5CB1C" w14:textId="77777777" w:rsidR="0042403B" w:rsidRDefault="0042403B" w:rsidP="00BE3F24">
            <w:pPr>
              <w:rPr>
                <w:rFonts w:ascii="Arial" w:hAnsi="Arial" w:cs="Arial"/>
                <w:sz w:val="16"/>
                <w:szCs w:val="16"/>
              </w:rPr>
            </w:pPr>
            <w:r>
              <w:rPr>
                <w:rFonts w:ascii="Arial" w:hAnsi="Arial" w:cs="Arial"/>
                <w:sz w:val="16"/>
                <w:szCs w:val="16"/>
              </w:rPr>
              <w:t>Marking Removal</w:t>
            </w:r>
          </w:p>
        </w:tc>
        <w:tc>
          <w:tcPr>
            <w:tcW w:w="3240" w:type="dxa"/>
            <w:tcBorders>
              <w:top w:val="nil"/>
              <w:left w:val="nil"/>
              <w:bottom w:val="single" w:sz="4" w:space="0" w:color="auto"/>
              <w:right w:val="single" w:sz="4" w:space="0" w:color="auto"/>
            </w:tcBorders>
            <w:vAlign w:val="center"/>
            <w:hideMark/>
          </w:tcPr>
          <w:p w14:paraId="54DDDD84" w14:textId="77777777" w:rsidR="0042403B" w:rsidRDefault="0042403B" w:rsidP="00BE3F24">
            <w:pPr>
              <w:rPr>
                <w:rFonts w:ascii="Arial" w:hAnsi="Arial" w:cs="Arial"/>
                <w:sz w:val="16"/>
                <w:szCs w:val="16"/>
              </w:rPr>
            </w:pPr>
            <w:r>
              <w:rPr>
                <w:rFonts w:ascii="Arial" w:hAnsi="Arial" w:cs="Arial"/>
                <w:sz w:val="16"/>
                <w:szCs w:val="16"/>
              </w:rPr>
              <w:t>Unknown</w:t>
            </w:r>
          </w:p>
        </w:tc>
      </w:tr>
      <w:tr w:rsidR="0042403B" w:rsidRPr="008B546B" w14:paraId="76BD5768" w14:textId="77777777" w:rsidTr="00976EFA">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30D13F7"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807" w:type="dxa"/>
            <w:tcBorders>
              <w:top w:val="nil"/>
              <w:left w:val="nil"/>
              <w:bottom w:val="nil"/>
              <w:right w:val="single" w:sz="4" w:space="0" w:color="auto"/>
            </w:tcBorders>
            <w:vAlign w:val="center"/>
            <w:hideMark/>
          </w:tcPr>
          <w:p w14:paraId="47C3C086" w14:textId="77777777" w:rsidR="0042403B" w:rsidRDefault="0042403B" w:rsidP="00BE3F24">
            <w:pPr>
              <w:rPr>
                <w:rFonts w:ascii="Arial" w:hAnsi="Arial" w:cs="Arial"/>
                <w:color w:val="000000"/>
                <w:sz w:val="16"/>
                <w:szCs w:val="16"/>
              </w:rPr>
            </w:pPr>
            <w:r>
              <w:rPr>
                <w:rFonts w:ascii="Arial" w:hAnsi="Arial" w:cs="Arial"/>
                <w:color w:val="000000"/>
                <w:sz w:val="16"/>
                <w:szCs w:val="16"/>
              </w:rPr>
              <w:t>5-7 years</w:t>
            </w:r>
          </w:p>
        </w:tc>
        <w:tc>
          <w:tcPr>
            <w:tcW w:w="3240" w:type="dxa"/>
            <w:tcBorders>
              <w:top w:val="nil"/>
              <w:left w:val="nil"/>
              <w:bottom w:val="single" w:sz="4" w:space="0" w:color="auto"/>
              <w:right w:val="single" w:sz="4" w:space="0" w:color="auto"/>
            </w:tcBorders>
            <w:vAlign w:val="center"/>
            <w:hideMark/>
          </w:tcPr>
          <w:p w14:paraId="3BBDADB2" w14:textId="77777777" w:rsidR="0042403B" w:rsidRDefault="0042403B" w:rsidP="00BE3F24">
            <w:pPr>
              <w:rPr>
                <w:rFonts w:ascii="Arial" w:hAnsi="Arial" w:cs="Arial"/>
                <w:color w:val="000000"/>
                <w:sz w:val="16"/>
                <w:szCs w:val="16"/>
              </w:rPr>
            </w:pPr>
            <w:r>
              <w:rPr>
                <w:rFonts w:ascii="Arial" w:hAnsi="Arial" w:cs="Arial"/>
                <w:color w:val="000000"/>
                <w:sz w:val="16"/>
                <w:szCs w:val="16"/>
              </w:rPr>
              <w:t>2-6 years</w:t>
            </w:r>
          </w:p>
        </w:tc>
      </w:tr>
      <w:tr w:rsidR="0042403B" w:rsidRPr="008B546B" w14:paraId="1BAE25F2" w14:textId="77777777" w:rsidTr="00976EFA">
        <w:trPr>
          <w:trHeight w:val="1538"/>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8CF3780" w14:textId="4900EE4F" w:rsidR="0042403B" w:rsidRPr="008B546B" w:rsidRDefault="0042403B" w:rsidP="00C270F8">
            <w:pPr>
              <w:jc w:val="center"/>
              <w:rPr>
                <w:rFonts w:ascii="Arial" w:hAnsi="Arial" w:cs="Arial"/>
                <w:b/>
                <w:bCs/>
                <w:sz w:val="22"/>
                <w:szCs w:val="22"/>
              </w:rPr>
            </w:pPr>
            <w:r w:rsidRPr="008B546B">
              <w:rPr>
                <w:rFonts w:ascii="Arial" w:hAnsi="Arial" w:cs="Arial"/>
                <w:b/>
                <w:bCs/>
                <w:sz w:val="22"/>
                <w:szCs w:val="22"/>
              </w:rPr>
              <w:t>MOT Considerations /</w:t>
            </w:r>
            <w:r w:rsidRPr="008B546B">
              <w:rPr>
                <w:rFonts w:ascii="Arial" w:hAnsi="Arial" w:cs="Arial"/>
                <w:b/>
                <w:bCs/>
                <w:sz w:val="22"/>
                <w:szCs w:val="22"/>
              </w:rPr>
              <w:br/>
              <w:t xml:space="preserve">Cure </w:t>
            </w:r>
            <w:r w:rsidR="00C270F8">
              <w:rPr>
                <w:rFonts w:ascii="Arial" w:hAnsi="Arial" w:cs="Arial"/>
                <w:b/>
                <w:bCs/>
                <w:sz w:val="22"/>
                <w:szCs w:val="22"/>
              </w:rPr>
              <w:t>T</w:t>
            </w:r>
            <w:r w:rsidRPr="008B546B">
              <w:rPr>
                <w:rFonts w:ascii="Arial" w:hAnsi="Arial" w:cs="Arial"/>
                <w:b/>
                <w:bCs/>
                <w:sz w:val="22"/>
                <w:szCs w:val="22"/>
              </w:rPr>
              <w:t>ime</w:t>
            </w:r>
          </w:p>
        </w:tc>
        <w:tc>
          <w:tcPr>
            <w:tcW w:w="2807" w:type="dxa"/>
            <w:tcBorders>
              <w:top w:val="single" w:sz="4" w:space="0" w:color="auto"/>
              <w:left w:val="nil"/>
              <w:bottom w:val="single" w:sz="4" w:space="0" w:color="auto"/>
              <w:right w:val="single" w:sz="4" w:space="0" w:color="auto"/>
            </w:tcBorders>
            <w:hideMark/>
          </w:tcPr>
          <w:p w14:paraId="20911A1F" w14:textId="6F173CDB" w:rsidR="0042403B" w:rsidRDefault="0042403B" w:rsidP="00BE3F24">
            <w:pPr>
              <w:rPr>
                <w:rFonts w:ascii="Arial" w:hAnsi="Arial" w:cs="Arial"/>
                <w:color w:val="000000"/>
                <w:sz w:val="16"/>
                <w:szCs w:val="16"/>
              </w:rPr>
            </w:pPr>
            <w:r>
              <w:rPr>
                <w:rFonts w:ascii="Arial" w:hAnsi="Arial" w:cs="Arial"/>
                <w:color w:val="000000"/>
                <w:sz w:val="16"/>
                <w:szCs w:val="16"/>
              </w:rPr>
              <w:t>Cure time generally varies from 1 to 4 hours before sweeping to dislodge loose aggregate</w:t>
            </w:r>
            <w:r w:rsidR="00B172B7">
              <w:rPr>
                <w:rFonts w:ascii="Arial" w:hAnsi="Arial" w:cs="Arial"/>
                <w:color w:val="000000"/>
                <w:sz w:val="16"/>
                <w:szCs w:val="16"/>
              </w:rPr>
              <w:t>.</w:t>
            </w:r>
          </w:p>
        </w:tc>
        <w:tc>
          <w:tcPr>
            <w:tcW w:w="3240" w:type="dxa"/>
            <w:tcBorders>
              <w:top w:val="nil"/>
              <w:left w:val="nil"/>
              <w:bottom w:val="single" w:sz="4" w:space="0" w:color="auto"/>
              <w:right w:val="single" w:sz="4" w:space="0" w:color="auto"/>
            </w:tcBorders>
            <w:hideMark/>
          </w:tcPr>
          <w:p w14:paraId="79A3CAF6" w14:textId="43C31DB2" w:rsidR="0042403B" w:rsidRDefault="0042403B" w:rsidP="00C270F8">
            <w:pPr>
              <w:rPr>
                <w:rFonts w:ascii="Arial" w:hAnsi="Arial" w:cs="Arial"/>
                <w:color w:val="000000"/>
                <w:sz w:val="16"/>
                <w:szCs w:val="16"/>
              </w:rPr>
            </w:pPr>
            <w:r>
              <w:rPr>
                <w:rFonts w:ascii="Arial" w:hAnsi="Arial" w:cs="Arial"/>
                <w:color w:val="000000"/>
                <w:sz w:val="16"/>
                <w:szCs w:val="16"/>
              </w:rPr>
              <w:t>Controlled traffic may be</w:t>
            </w:r>
            <w:r w:rsidR="00C270F8">
              <w:rPr>
                <w:rFonts w:ascii="Arial" w:hAnsi="Arial" w:cs="Arial"/>
                <w:color w:val="000000"/>
                <w:sz w:val="16"/>
                <w:szCs w:val="16"/>
              </w:rPr>
              <w:t xml:space="preserve"> </w:t>
            </w:r>
            <w:r>
              <w:rPr>
                <w:rFonts w:ascii="Arial" w:hAnsi="Arial" w:cs="Arial"/>
                <w:color w:val="000000"/>
                <w:sz w:val="16"/>
                <w:szCs w:val="16"/>
              </w:rPr>
              <w:t xml:space="preserve">permitted as soon as the final layer is applied and rolled, and sufficiently cooled to withstand traffic without damage. </w:t>
            </w:r>
          </w:p>
        </w:tc>
      </w:tr>
    </w:tbl>
    <w:p w14:paraId="02F28205" w14:textId="77777777" w:rsidR="0042403B" w:rsidRDefault="0042403B" w:rsidP="00BE3F24">
      <w:pPr>
        <w:rPr>
          <w:rFonts w:ascii="Arial" w:hAnsi="Arial" w:cs="Arial"/>
          <w:b/>
          <w:bCs/>
          <w:kern w:val="32"/>
          <w:sz w:val="28"/>
          <w:szCs w:val="32"/>
          <w:u w:val="single"/>
        </w:rPr>
      </w:pPr>
    </w:p>
    <w:p w14:paraId="3467619D" w14:textId="77777777" w:rsidR="0007677E" w:rsidRDefault="0007677E" w:rsidP="00BE3F24">
      <w:pPr>
        <w:rPr>
          <w:rFonts w:ascii="Arial" w:hAnsi="Arial" w:cs="Arial"/>
          <w:b/>
          <w:bCs/>
          <w:kern w:val="32"/>
          <w:sz w:val="28"/>
          <w:szCs w:val="32"/>
          <w:u w:val="single"/>
        </w:rPr>
      </w:pPr>
    </w:p>
    <w:p w14:paraId="7D188A64" w14:textId="77777777" w:rsidR="0007677E" w:rsidRDefault="0007677E" w:rsidP="00BE3F24">
      <w:pPr>
        <w:rPr>
          <w:rFonts w:ascii="Arial" w:hAnsi="Arial" w:cs="Arial"/>
          <w:b/>
          <w:bCs/>
          <w:kern w:val="32"/>
          <w:sz w:val="28"/>
          <w:szCs w:val="32"/>
          <w:u w:val="single"/>
        </w:rPr>
      </w:pPr>
    </w:p>
    <w:p w14:paraId="31820DAC" w14:textId="77777777" w:rsidR="0007677E" w:rsidRDefault="0007677E" w:rsidP="00BE3F24">
      <w:pPr>
        <w:rPr>
          <w:rFonts w:ascii="Arial" w:hAnsi="Arial" w:cs="Arial"/>
          <w:b/>
          <w:bCs/>
          <w:kern w:val="32"/>
          <w:sz w:val="28"/>
          <w:szCs w:val="32"/>
          <w:u w:val="single"/>
        </w:rPr>
      </w:pPr>
    </w:p>
    <w:tbl>
      <w:tblPr>
        <w:tblW w:w="8627" w:type="dxa"/>
        <w:tblInd w:w="98" w:type="dxa"/>
        <w:tblLayout w:type="fixed"/>
        <w:tblLook w:val="04A0" w:firstRow="1" w:lastRow="0" w:firstColumn="1" w:lastColumn="0" w:noHBand="0" w:noVBand="1"/>
      </w:tblPr>
      <w:tblGrid>
        <w:gridCol w:w="1040"/>
        <w:gridCol w:w="1540"/>
        <w:gridCol w:w="2987"/>
        <w:gridCol w:w="3060"/>
      </w:tblGrid>
      <w:tr w:rsidR="0042403B" w:rsidRPr="008B546B" w14:paraId="6B766804" w14:textId="77777777" w:rsidTr="00976EFA">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C72A9C6" w14:textId="77777777" w:rsidR="0042403B" w:rsidRDefault="0042403B" w:rsidP="00BE3F24">
            <w:pPr>
              <w:jc w:val="center"/>
              <w:rPr>
                <w:rFonts w:ascii="Bell MT" w:hAnsi="Bell MT" w:cs="Calibri"/>
                <w:b/>
                <w:bCs/>
                <w:color w:val="000000"/>
                <w:sz w:val="28"/>
                <w:szCs w:val="28"/>
              </w:rPr>
            </w:pPr>
            <w:r>
              <w:rPr>
                <w:rFonts w:ascii="Arial" w:hAnsi="Arial" w:cs="Arial"/>
                <w:b/>
                <w:bCs/>
                <w:kern w:val="32"/>
                <w:sz w:val="28"/>
                <w:szCs w:val="32"/>
                <w:u w:val="single"/>
              </w:rPr>
              <w:lastRenderedPageBreak/>
              <w:br w:type="page"/>
            </w:r>
            <w:r w:rsidRPr="008B546B">
              <w:rPr>
                <w:rFonts w:ascii="Bell MT" w:hAnsi="Bell MT" w:cs="Calibri"/>
                <w:b/>
                <w:bCs/>
                <w:color w:val="000000"/>
                <w:sz w:val="28"/>
                <w:szCs w:val="28"/>
              </w:rPr>
              <w:t>Table B.</w:t>
            </w:r>
            <w:r>
              <w:rPr>
                <w:rFonts w:ascii="Bell MT" w:hAnsi="Bell MT" w:cs="Calibri"/>
                <w:b/>
                <w:bCs/>
                <w:color w:val="000000"/>
                <w:sz w:val="28"/>
                <w:szCs w:val="28"/>
              </w:rPr>
              <w:t>8</w:t>
            </w:r>
          </w:p>
          <w:p w14:paraId="45E7CE00" w14:textId="77777777" w:rsidR="002417C7" w:rsidRDefault="002417C7" w:rsidP="00BE3F24">
            <w:pPr>
              <w:jc w:val="center"/>
              <w:rPr>
                <w:rFonts w:ascii="Bell MT" w:hAnsi="Bell MT" w:cs="Calibri"/>
                <w:b/>
                <w:bCs/>
                <w:color w:val="000000"/>
                <w:sz w:val="28"/>
                <w:szCs w:val="28"/>
              </w:rPr>
            </w:pPr>
          </w:p>
          <w:p w14:paraId="68D6A1E6"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0D0DF4D6" w14:textId="77777777" w:rsidR="0042403B" w:rsidRPr="008B546B" w:rsidRDefault="0042403B" w:rsidP="00976EFA">
            <w:pPr>
              <w:pStyle w:val="Heading3"/>
              <w:ind w:left="1439" w:hanging="1439"/>
            </w:pPr>
            <w:bookmarkStart w:id="72" w:name="_SUPPLEMENTAL_INFORMATION_FOR_7"/>
            <w:bookmarkEnd w:id="72"/>
            <w:r w:rsidRPr="008B546B">
              <w:t>SUPPLEMENTAL INFORMATION FOR TREATMENT</w:t>
            </w:r>
            <w:r>
              <w:t>S C-7, C-8</w:t>
            </w:r>
            <w:r w:rsidRPr="008B546B">
              <w:t> </w:t>
            </w:r>
          </w:p>
        </w:tc>
      </w:tr>
      <w:tr w:rsidR="0042403B" w:rsidRPr="008B546B" w14:paraId="75D51B4A"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38815D16" w14:textId="77777777" w:rsidR="0042403B" w:rsidRPr="008B546B" w:rsidRDefault="0042403B" w:rsidP="00BE3F24">
            <w:pPr>
              <w:rPr>
                <w:rFonts w:ascii="Bell MT" w:hAnsi="Bell MT" w:cs="Calibri"/>
                <w:b/>
                <w:bCs/>
                <w:color w:val="000000"/>
                <w:sz w:val="28"/>
                <w:szCs w:val="28"/>
              </w:rPr>
            </w:pPr>
          </w:p>
        </w:tc>
        <w:tc>
          <w:tcPr>
            <w:tcW w:w="2987" w:type="dxa"/>
            <w:vMerge w:val="restart"/>
            <w:tcBorders>
              <w:top w:val="nil"/>
              <w:left w:val="single" w:sz="4" w:space="0" w:color="auto"/>
              <w:bottom w:val="single" w:sz="4" w:space="0" w:color="auto"/>
              <w:right w:val="single" w:sz="4" w:space="0" w:color="auto"/>
            </w:tcBorders>
            <w:vAlign w:val="center"/>
            <w:hideMark/>
          </w:tcPr>
          <w:p w14:paraId="55DCE3BE" w14:textId="336B353F" w:rsidR="0042403B" w:rsidRDefault="0042403B" w:rsidP="00BE3F24">
            <w:pPr>
              <w:jc w:val="center"/>
              <w:rPr>
                <w:rFonts w:ascii="Arial" w:hAnsi="Arial" w:cs="Arial"/>
                <w:b/>
                <w:bCs/>
                <w:sz w:val="22"/>
                <w:szCs w:val="22"/>
              </w:rPr>
            </w:pPr>
            <w:hyperlink w:anchor="C7_Slurry_Seal" w:history="1">
              <w:r w:rsidRPr="001845B7">
                <w:rPr>
                  <w:rStyle w:val="Hyperlink"/>
                  <w:rFonts w:ascii="Arial" w:hAnsi="Arial" w:cs="Arial"/>
                  <w:b/>
                  <w:bCs/>
                  <w:sz w:val="22"/>
                  <w:szCs w:val="22"/>
                </w:rPr>
                <w:t>C-7. Slurry Seal</w:t>
              </w:r>
            </w:hyperlink>
          </w:p>
        </w:tc>
        <w:tc>
          <w:tcPr>
            <w:tcW w:w="3060" w:type="dxa"/>
            <w:vMerge w:val="restart"/>
            <w:tcBorders>
              <w:top w:val="nil"/>
              <w:left w:val="nil"/>
              <w:bottom w:val="single" w:sz="4" w:space="0" w:color="000000"/>
              <w:right w:val="single" w:sz="4" w:space="0" w:color="auto"/>
            </w:tcBorders>
            <w:vAlign w:val="center"/>
            <w:hideMark/>
          </w:tcPr>
          <w:p w14:paraId="1619C632" w14:textId="60D477D4" w:rsidR="0042403B" w:rsidRDefault="00BA403F" w:rsidP="00BE3F24">
            <w:pPr>
              <w:jc w:val="center"/>
              <w:rPr>
                <w:rFonts w:ascii="Arial" w:hAnsi="Arial" w:cs="Arial"/>
                <w:b/>
                <w:bCs/>
                <w:sz w:val="22"/>
                <w:szCs w:val="22"/>
              </w:rPr>
            </w:pPr>
            <w:hyperlink w:anchor="C8_HFST" w:history="1">
              <w:r w:rsidRPr="001845B7">
                <w:rPr>
                  <w:rStyle w:val="Hyperlink"/>
                  <w:rFonts w:ascii="Arial" w:hAnsi="Arial" w:cs="Arial"/>
                  <w:b/>
                  <w:bCs/>
                  <w:sz w:val="22"/>
                  <w:szCs w:val="22"/>
                </w:rPr>
                <w:t>C-</w:t>
              </w:r>
              <w:r>
                <w:rPr>
                  <w:rStyle w:val="Hyperlink"/>
                  <w:rFonts w:ascii="Arial" w:hAnsi="Arial" w:cs="Arial"/>
                  <w:b/>
                  <w:bCs/>
                  <w:sz w:val="22"/>
                  <w:szCs w:val="22"/>
                </w:rPr>
                <w:t>8</w:t>
              </w:r>
              <w:r w:rsidRPr="001845B7">
                <w:rPr>
                  <w:rStyle w:val="Hyperlink"/>
                  <w:rFonts w:ascii="Arial" w:hAnsi="Arial" w:cs="Arial"/>
                  <w:b/>
                  <w:bCs/>
                  <w:sz w:val="22"/>
                  <w:szCs w:val="22"/>
                </w:rPr>
                <w:t>. High Friction Surface</w:t>
              </w:r>
            </w:hyperlink>
          </w:p>
        </w:tc>
      </w:tr>
      <w:tr w:rsidR="0042403B" w:rsidRPr="008B546B" w14:paraId="391D5430" w14:textId="77777777" w:rsidTr="00976EF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0B84EFC1" w14:textId="77777777" w:rsidR="0042403B" w:rsidRPr="008B546B" w:rsidRDefault="0042403B" w:rsidP="00BE3F24">
            <w:pPr>
              <w:rPr>
                <w:rFonts w:ascii="Bell MT" w:hAnsi="Bell MT" w:cs="Calibri"/>
                <w:b/>
                <w:bCs/>
                <w:color w:val="000000"/>
                <w:sz w:val="28"/>
                <w:szCs w:val="28"/>
              </w:rPr>
            </w:pPr>
          </w:p>
        </w:tc>
        <w:tc>
          <w:tcPr>
            <w:tcW w:w="2987" w:type="dxa"/>
            <w:vMerge/>
            <w:tcBorders>
              <w:top w:val="nil"/>
              <w:left w:val="single" w:sz="4" w:space="0" w:color="auto"/>
              <w:bottom w:val="single" w:sz="4" w:space="0" w:color="auto"/>
              <w:right w:val="single" w:sz="4" w:space="0" w:color="auto"/>
            </w:tcBorders>
            <w:vAlign w:val="center"/>
            <w:hideMark/>
          </w:tcPr>
          <w:p w14:paraId="05EE7AFC" w14:textId="77777777" w:rsidR="0042403B" w:rsidRPr="008B546B" w:rsidRDefault="0042403B" w:rsidP="00BE3F24">
            <w:pPr>
              <w:rPr>
                <w:rFonts w:ascii="Arial" w:hAnsi="Arial" w:cs="Arial"/>
                <w:b/>
                <w:bCs/>
                <w:color w:val="000000"/>
                <w:sz w:val="22"/>
                <w:szCs w:val="22"/>
              </w:rPr>
            </w:pPr>
          </w:p>
        </w:tc>
        <w:tc>
          <w:tcPr>
            <w:tcW w:w="3060" w:type="dxa"/>
            <w:vMerge/>
            <w:tcBorders>
              <w:top w:val="nil"/>
              <w:left w:val="nil"/>
              <w:bottom w:val="single" w:sz="4" w:space="0" w:color="000000"/>
              <w:right w:val="single" w:sz="4" w:space="0" w:color="auto"/>
            </w:tcBorders>
            <w:vAlign w:val="center"/>
            <w:hideMark/>
          </w:tcPr>
          <w:p w14:paraId="28F0CE0B" w14:textId="77777777" w:rsidR="0042403B" w:rsidRPr="008B546B" w:rsidRDefault="0042403B" w:rsidP="00BE3F24">
            <w:pPr>
              <w:rPr>
                <w:rFonts w:ascii="Arial" w:hAnsi="Arial" w:cs="Arial"/>
                <w:b/>
                <w:bCs/>
                <w:color w:val="000000"/>
                <w:sz w:val="22"/>
                <w:szCs w:val="22"/>
              </w:rPr>
            </w:pPr>
          </w:p>
        </w:tc>
      </w:tr>
      <w:tr w:rsidR="0042403B" w:rsidRPr="008B546B" w14:paraId="3D37D42E" w14:textId="77777777" w:rsidTr="00976EFA">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35338743"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14D8D64E"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987" w:type="dxa"/>
            <w:tcBorders>
              <w:top w:val="nil"/>
              <w:left w:val="nil"/>
              <w:bottom w:val="single" w:sz="4" w:space="0" w:color="auto"/>
              <w:right w:val="single" w:sz="4" w:space="0" w:color="auto"/>
            </w:tcBorders>
            <w:vAlign w:val="center"/>
            <w:hideMark/>
          </w:tcPr>
          <w:p w14:paraId="5DA23451" w14:textId="77777777"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32BDFA4B" w14:textId="77777777" w:rsidR="0042403B" w:rsidRPr="008B546B" w:rsidRDefault="0042403B" w:rsidP="00BE3F24">
            <w:pPr>
              <w:jc w:val="center"/>
              <w:rPr>
                <w:rFonts w:ascii="Arial" w:hAnsi="Arial" w:cs="Arial"/>
                <w:b/>
                <w:bCs/>
                <w:color w:val="000000"/>
                <w:sz w:val="16"/>
                <w:szCs w:val="16"/>
              </w:rPr>
            </w:pPr>
          </w:p>
        </w:tc>
      </w:tr>
      <w:tr w:rsidR="0042403B" w:rsidRPr="008B546B" w14:paraId="34CBFB7A"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1D3C6C0"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47C65A7" w14:textId="3C02E221" w:rsidR="0042403B" w:rsidRPr="008B546B" w:rsidRDefault="00BA403F"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987" w:type="dxa"/>
            <w:tcBorders>
              <w:top w:val="nil"/>
              <w:left w:val="nil"/>
              <w:bottom w:val="single" w:sz="4" w:space="0" w:color="auto"/>
              <w:right w:val="single" w:sz="4" w:space="0" w:color="auto"/>
            </w:tcBorders>
            <w:vAlign w:val="center"/>
            <w:hideMark/>
          </w:tcPr>
          <w:p w14:paraId="43549075" w14:textId="55A9D45E"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1E36BBB6" w14:textId="6F4505D1" w:rsidR="0042403B" w:rsidRPr="008B546B" w:rsidRDefault="0042403B" w:rsidP="00BE3F24">
            <w:pPr>
              <w:jc w:val="center"/>
              <w:rPr>
                <w:rFonts w:ascii="Arial" w:hAnsi="Arial" w:cs="Arial"/>
                <w:b/>
                <w:bCs/>
                <w:color w:val="000000"/>
                <w:sz w:val="16"/>
                <w:szCs w:val="16"/>
              </w:rPr>
            </w:pPr>
          </w:p>
        </w:tc>
      </w:tr>
      <w:tr w:rsidR="0042403B" w:rsidRPr="008B546B" w14:paraId="70EBC625"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07B404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35EA0AA" w14:textId="45FD23CD" w:rsidR="0042403B" w:rsidRPr="008B546B" w:rsidRDefault="00BA403F"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987" w:type="dxa"/>
            <w:tcBorders>
              <w:top w:val="nil"/>
              <w:left w:val="nil"/>
              <w:bottom w:val="single" w:sz="4" w:space="0" w:color="auto"/>
              <w:right w:val="single" w:sz="4" w:space="0" w:color="auto"/>
            </w:tcBorders>
            <w:vAlign w:val="center"/>
            <w:hideMark/>
          </w:tcPr>
          <w:p w14:paraId="404679AB" w14:textId="77777777"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6AB65BC7" w14:textId="77777777" w:rsidR="0042403B" w:rsidRPr="008B546B" w:rsidRDefault="0042403B" w:rsidP="00BE3F24">
            <w:pPr>
              <w:jc w:val="center"/>
              <w:rPr>
                <w:rFonts w:ascii="Arial" w:hAnsi="Arial" w:cs="Arial"/>
                <w:b/>
                <w:bCs/>
                <w:color w:val="000000"/>
                <w:sz w:val="16"/>
                <w:szCs w:val="16"/>
              </w:rPr>
            </w:pPr>
          </w:p>
        </w:tc>
      </w:tr>
      <w:tr w:rsidR="0042403B" w:rsidRPr="008B546B" w14:paraId="6E25E701"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01D660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2DF6293"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987" w:type="dxa"/>
            <w:tcBorders>
              <w:top w:val="nil"/>
              <w:left w:val="nil"/>
              <w:bottom w:val="single" w:sz="4" w:space="0" w:color="auto"/>
              <w:right w:val="single" w:sz="4" w:space="0" w:color="auto"/>
            </w:tcBorders>
            <w:vAlign w:val="center"/>
            <w:hideMark/>
          </w:tcPr>
          <w:p w14:paraId="6ED560F0" w14:textId="77777777"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0AF4D898" w14:textId="1B535980" w:rsidR="0042403B" w:rsidRPr="008B546B" w:rsidRDefault="0042403B" w:rsidP="00BE3F24">
            <w:pPr>
              <w:jc w:val="center"/>
              <w:rPr>
                <w:rFonts w:ascii="Arial" w:hAnsi="Arial" w:cs="Arial"/>
                <w:b/>
                <w:bCs/>
                <w:color w:val="000000"/>
                <w:sz w:val="16"/>
                <w:szCs w:val="16"/>
              </w:rPr>
            </w:pPr>
          </w:p>
        </w:tc>
      </w:tr>
      <w:tr w:rsidR="0042403B" w:rsidRPr="008B546B" w14:paraId="43FC36CC"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F1BFC83"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FB2FDD7"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987" w:type="dxa"/>
            <w:tcBorders>
              <w:top w:val="nil"/>
              <w:left w:val="nil"/>
              <w:bottom w:val="single" w:sz="4" w:space="0" w:color="auto"/>
              <w:right w:val="single" w:sz="4" w:space="0" w:color="auto"/>
            </w:tcBorders>
            <w:vAlign w:val="center"/>
            <w:hideMark/>
          </w:tcPr>
          <w:p w14:paraId="00C0E931"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060" w:type="dxa"/>
            <w:tcBorders>
              <w:top w:val="nil"/>
              <w:left w:val="nil"/>
              <w:bottom w:val="single" w:sz="4" w:space="0" w:color="auto"/>
              <w:right w:val="single" w:sz="4" w:space="0" w:color="auto"/>
            </w:tcBorders>
            <w:vAlign w:val="center"/>
            <w:hideMark/>
          </w:tcPr>
          <w:p w14:paraId="03BEA63D"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06C1493B" w14:textId="77777777" w:rsidTr="00976EFA">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DCEFDC5"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8EA37FF"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987" w:type="dxa"/>
            <w:tcBorders>
              <w:top w:val="nil"/>
              <w:left w:val="nil"/>
              <w:bottom w:val="single" w:sz="4" w:space="0" w:color="auto"/>
              <w:right w:val="single" w:sz="4" w:space="0" w:color="auto"/>
            </w:tcBorders>
            <w:vAlign w:val="center"/>
            <w:hideMark/>
          </w:tcPr>
          <w:p w14:paraId="5C730BC6" w14:textId="679D37CC" w:rsidR="0042403B" w:rsidRDefault="0042403B" w:rsidP="00BE3F24">
            <w:pPr>
              <w:jc w:val="center"/>
              <w:rPr>
                <w:rFonts w:ascii="Arial" w:hAnsi="Arial" w:cs="Arial"/>
                <w:b/>
                <w:bCs/>
                <w:color w:val="000000"/>
                <w:sz w:val="16"/>
                <w:szCs w:val="16"/>
              </w:rPr>
            </w:pPr>
          </w:p>
        </w:tc>
        <w:tc>
          <w:tcPr>
            <w:tcW w:w="3060" w:type="dxa"/>
            <w:tcBorders>
              <w:top w:val="nil"/>
              <w:left w:val="nil"/>
              <w:bottom w:val="single" w:sz="4" w:space="0" w:color="auto"/>
              <w:right w:val="single" w:sz="4" w:space="0" w:color="auto"/>
            </w:tcBorders>
            <w:vAlign w:val="center"/>
            <w:hideMark/>
          </w:tcPr>
          <w:p w14:paraId="4497987A" w14:textId="15728513" w:rsidR="0042403B" w:rsidRPr="008B546B" w:rsidRDefault="0042403B" w:rsidP="00BE3F24">
            <w:pPr>
              <w:jc w:val="center"/>
              <w:rPr>
                <w:rFonts w:ascii="Arial" w:hAnsi="Arial" w:cs="Arial"/>
                <w:b/>
                <w:bCs/>
                <w:color w:val="000000"/>
                <w:sz w:val="16"/>
                <w:szCs w:val="16"/>
              </w:rPr>
            </w:pPr>
          </w:p>
        </w:tc>
      </w:tr>
      <w:tr w:rsidR="0042403B" w:rsidRPr="008B546B" w14:paraId="471747C7" w14:textId="77777777" w:rsidTr="00976EFA">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02305CB" w14:textId="53542088"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BA403F" w:rsidRPr="008B546B">
              <w:rPr>
                <w:rFonts w:ascii="Arial" w:hAnsi="Arial" w:cs="Arial"/>
                <w:b/>
                <w:bCs/>
                <w:sz w:val="22"/>
                <w:szCs w:val="22"/>
              </w:rPr>
              <w:t xml:space="preserve"> </w:t>
            </w:r>
            <w:r w:rsidRPr="008B546B">
              <w:rPr>
                <w:rFonts w:ascii="Arial" w:hAnsi="Arial" w:cs="Arial"/>
                <w:b/>
                <w:bCs/>
                <w:sz w:val="22"/>
                <w:szCs w:val="22"/>
              </w:rPr>
              <w:t>Advantages</w:t>
            </w:r>
          </w:p>
        </w:tc>
        <w:tc>
          <w:tcPr>
            <w:tcW w:w="2987" w:type="dxa"/>
            <w:tcBorders>
              <w:top w:val="nil"/>
              <w:left w:val="nil"/>
              <w:bottom w:val="single" w:sz="4" w:space="0" w:color="auto"/>
              <w:right w:val="single" w:sz="4" w:space="0" w:color="auto"/>
            </w:tcBorders>
            <w:hideMark/>
          </w:tcPr>
          <w:p w14:paraId="1AA220C7" w14:textId="77777777" w:rsidR="0042403B" w:rsidRDefault="0042403B" w:rsidP="00BE3F24">
            <w:pPr>
              <w:rPr>
                <w:rFonts w:ascii="Arial" w:hAnsi="Arial" w:cs="Arial"/>
                <w:color w:val="000000"/>
                <w:sz w:val="16"/>
                <w:szCs w:val="16"/>
              </w:rPr>
            </w:pPr>
            <w:r>
              <w:rPr>
                <w:rFonts w:ascii="Arial" w:hAnsi="Arial" w:cs="Arial"/>
                <w:color w:val="000000"/>
                <w:sz w:val="16"/>
                <w:szCs w:val="16"/>
              </w:rPr>
              <w:t>1. Prevents/delays oxidation of the pavement surface.</w:t>
            </w:r>
            <w:r>
              <w:rPr>
                <w:rFonts w:ascii="Arial" w:hAnsi="Arial" w:cs="Arial"/>
                <w:color w:val="000000"/>
                <w:sz w:val="16"/>
                <w:szCs w:val="16"/>
              </w:rPr>
              <w:br/>
              <w:t>2. Seals the pavement surface.</w:t>
            </w:r>
            <w:r>
              <w:rPr>
                <w:rFonts w:ascii="Arial" w:hAnsi="Arial" w:cs="Arial"/>
                <w:color w:val="000000"/>
                <w:sz w:val="16"/>
                <w:szCs w:val="16"/>
              </w:rPr>
              <w:br/>
              <w:t>3. Temporarily seals small cracks and surface imperfections, waterproof the surface, and protects the pavement structure of both asphalt and concrete pavements.</w:t>
            </w:r>
            <w:r>
              <w:rPr>
                <w:rFonts w:ascii="Arial" w:hAnsi="Arial" w:cs="Arial"/>
                <w:color w:val="000000"/>
                <w:sz w:val="16"/>
                <w:szCs w:val="16"/>
              </w:rPr>
              <w:br/>
              <w:t>4. Should be used on projects with sound and well drained bases, surfaces, and shoulders.</w:t>
            </w:r>
          </w:p>
        </w:tc>
        <w:tc>
          <w:tcPr>
            <w:tcW w:w="3060" w:type="dxa"/>
            <w:tcBorders>
              <w:top w:val="nil"/>
              <w:left w:val="nil"/>
              <w:bottom w:val="single" w:sz="4" w:space="0" w:color="auto"/>
              <w:right w:val="single" w:sz="4" w:space="0" w:color="auto"/>
            </w:tcBorders>
            <w:hideMark/>
          </w:tcPr>
          <w:p w14:paraId="58D03893" w14:textId="511700B7" w:rsidR="0042403B" w:rsidRPr="00976EFA" w:rsidRDefault="0042403B" w:rsidP="00BE3F24">
            <w:pPr>
              <w:rPr>
                <w:rFonts w:ascii="Arial" w:hAnsi="Arial"/>
                <w:sz w:val="16"/>
              </w:rPr>
            </w:pPr>
            <w:r>
              <w:rPr>
                <w:rFonts w:ascii="Arial" w:hAnsi="Arial" w:cs="Arial"/>
                <w:sz w:val="16"/>
                <w:szCs w:val="16"/>
              </w:rPr>
              <w:t xml:space="preserve">1. Results in extremely high skid numbers. </w:t>
            </w:r>
            <w:r>
              <w:rPr>
                <w:rFonts w:ascii="Arial" w:hAnsi="Arial" w:cs="Arial"/>
                <w:sz w:val="16"/>
                <w:szCs w:val="16"/>
              </w:rPr>
              <w:br/>
              <w:t>2. Compatible with closed sections because it is extremely thin (about 1/4</w:t>
            </w:r>
            <w:r w:rsidR="00BA403F">
              <w:rPr>
                <w:rFonts w:ascii="Arial" w:hAnsi="Arial" w:cs="Arial"/>
                <w:sz w:val="16"/>
                <w:szCs w:val="16"/>
              </w:rPr>
              <w:t>")</w:t>
            </w:r>
            <w:r w:rsidR="00BA403F">
              <w:rPr>
                <w:rFonts w:ascii="Arial" w:hAnsi="Arial" w:cs="Arial"/>
                <w:sz w:val="16"/>
                <w:szCs w:val="16"/>
              </w:rPr>
              <w:br/>
              <w:t>3.</w:t>
            </w:r>
            <w:r>
              <w:rPr>
                <w:rFonts w:ascii="Arial" w:hAnsi="Arial" w:cs="Arial"/>
                <w:sz w:val="16"/>
                <w:szCs w:val="16"/>
              </w:rPr>
              <w:t xml:space="preserve"> Available in several colors for traffic calming purposes. </w:t>
            </w:r>
            <w:r>
              <w:rPr>
                <w:rFonts w:ascii="Arial" w:hAnsi="Arial" w:cs="Arial"/>
                <w:sz w:val="16"/>
                <w:szCs w:val="16"/>
              </w:rPr>
              <w:br/>
              <w:t>4. Can be applied to asphalt or concrete surfaces.</w:t>
            </w:r>
          </w:p>
        </w:tc>
      </w:tr>
      <w:tr w:rsidR="0042403B" w:rsidRPr="008B546B" w14:paraId="3F882F54" w14:textId="77777777" w:rsidTr="00976EFA">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329781B" w14:textId="5B05B8A9"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BA403F" w:rsidRPr="008B546B">
              <w:rPr>
                <w:rFonts w:ascii="Arial" w:hAnsi="Arial" w:cs="Arial"/>
                <w:b/>
                <w:bCs/>
                <w:sz w:val="22"/>
                <w:szCs w:val="22"/>
              </w:rPr>
              <w:t xml:space="preserve"> </w:t>
            </w:r>
            <w:r w:rsidRPr="008B546B">
              <w:rPr>
                <w:rFonts w:ascii="Arial" w:hAnsi="Arial" w:cs="Arial"/>
                <w:b/>
                <w:bCs/>
                <w:sz w:val="22"/>
                <w:szCs w:val="22"/>
              </w:rPr>
              <w:t>Disadvantages</w:t>
            </w:r>
          </w:p>
        </w:tc>
        <w:tc>
          <w:tcPr>
            <w:tcW w:w="2987" w:type="dxa"/>
            <w:tcBorders>
              <w:top w:val="nil"/>
              <w:left w:val="nil"/>
              <w:bottom w:val="single" w:sz="4" w:space="0" w:color="auto"/>
              <w:right w:val="single" w:sz="4" w:space="0" w:color="auto"/>
            </w:tcBorders>
            <w:hideMark/>
          </w:tcPr>
          <w:p w14:paraId="48F18358" w14:textId="364737B7" w:rsidR="0042403B" w:rsidRPr="007A37C4" w:rsidRDefault="0042403B" w:rsidP="00BE3F24">
            <w:pPr>
              <w:rPr>
                <w:rFonts w:ascii="Arial" w:hAnsi="Arial" w:cs="Arial"/>
                <w:sz w:val="16"/>
                <w:szCs w:val="16"/>
              </w:rPr>
            </w:pPr>
            <w:r w:rsidRPr="007A37C4">
              <w:rPr>
                <w:rFonts w:ascii="Arial" w:hAnsi="Arial" w:cs="Arial"/>
                <w:sz w:val="16"/>
                <w:szCs w:val="16"/>
              </w:rPr>
              <w:t>1.</w:t>
            </w:r>
            <w:r>
              <w:rPr>
                <w:rFonts w:ascii="Arial" w:hAnsi="Arial" w:cs="Arial"/>
                <w:sz w:val="16"/>
                <w:szCs w:val="16"/>
              </w:rPr>
              <w:t xml:space="preserve"> </w:t>
            </w:r>
            <w:r w:rsidRPr="007A37C4">
              <w:rPr>
                <w:rFonts w:ascii="Arial" w:hAnsi="Arial" w:cs="Arial"/>
                <w:sz w:val="16"/>
                <w:szCs w:val="16"/>
              </w:rPr>
              <w:t>Can accelerate the development of stripping.</w:t>
            </w:r>
            <w:r w:rsidRPr="007A37C4">
              <w:rPr>
                <w:rFonts w:ascii="Arial" w:hAnsi="Arial" w:cs="Arial"/>
                <w:sz w:val="16"/>
                <w:szCs w:val="16"/>
              </w:rPr>
              <w:br/>
              <w:t>2. Performance in terms of surface wear is affected by increasing ADT and truck levels.</w:t>
            </w:r>
            <w:r w:rsidRPr="007A37C4">
              <w:rPr>
                <w:rFonts w:ascii="Arial" w:hAnsi="Arial" w:cs="Arial"/>
                <w:sz w:val="16"/>
                <w:szCs w:val="16"/>
              </w:rPr>
              <w:br/>
              <w:t>3. Potential to add splash/spray and ponding (if there are surface irregularities)</w:t>
            </w:r>
            <w:r w:rsidR="00C270F8">
              <w:rPr>
                <w:rFonts w:ascii="Arial" w:hAnsi="Arial" w:cs="Arial"/>
                <w:sz w:val="16"/>
                <w:szCs w:val="16"/>
              </w:rPr>
              <w:t>.</w:t>
            </w:r>
            <w:r w:rsidRPr="007A37C4">
              <w:rPr>
                <w:rFonts w:ascii="Arial" w:hAnsi="Arial" w:cs="Arial"/>
                <w:sz w:val="16"/>
                <w:szCs w:val="16"/>
              </w:rPr>
              <w:br/>
              <w:t>4. Must be placed on structurally sound pavements.</w:t>
            </w:r>
          </w:p>
          <w:p w14:paraId="74489125" w14:textId="77777777" w:rsidR="0042403B" w:rsidRPr="007A37C4" w:rsidRDefault="0042403B" w:rsidP="00BE3F24"/>
        </w:tc>
        <w:tc>
          <w:tcPr>
            <w:tcW w:w="3060" w:type="dxa"/>
            <w:tcBorders>
              <w:top w:val="nil"/>
              <w:left w:val="nil"/>
              <w:bottom w:val="single" w:sz="4" w:space="0" w:color="auto"/>
              <w:right w:val="single" w:sz="4" w:space="0" w:color="auto"/>
            </w:tcBorders>
            <w:hideMark/>
          </w:tcPr>
          <w:p w14:paraId="1EF531E7" w14:textId="03DDDF22" w:rsidR="0042403B" w:rsidRPr="00976EFA" w:rsidRDefault="0042403B" w:rsidP="00BE3F24">
            <w:pPr>
              <w:rPr>
                <w:rFonts w:ascii="Arial" w:hAnsi="Arial"/>
                <w:sz w:val="16"/>
              </w:rPr>
            </w:pPr>
            <w:r>
              <w:rPr>
                <w:rFonts w:ascii="Arial" w:hAnsi="Arial" w:cs="Arial"/>
                <w:sz w:val="16"/>
                <w:szCs w:val="16"/>
              </w:rPr>
              <w:t xml:space="preserve">1. Cures about an hour after epoxy is poured, so aggregate needs to be placed immediately, to facilitate appropriate bond. </w:t>
            </w:r>
            <w:r>
              <w:rPr>
                <w:rFonts w:ascii="Arial" w:hAnsi="Arial" w:cs="Arial"/>
                <w:sz w:val="16"/>
                <w:szCs w:val="16"/>
              </w:rPr>
              <w:br/>
              <w:t xml:space="preserve">2. Expensive, because it is an emerging technology. Costs may come down with increased usage. </w:t>
            </w:r>
            <w:r>
              <w:rPr>
                <w:rFonts w:ascii="Arial" w:hAnsi="Arial" w:cs="Arial"/>
                <w:sz w:val="16"/>
                <w:szCs w:val="16"/>
              </w:rPr>
              <w:br/>
              <w:t>3. Some colors will wear in the wheel paths.</w:t>
            </w:r>
          </w:p>
        </w:tc>
      </w:tr>
      <w:tr w:rsidR="00C9741F" w:rsidRPr="008B546B" w14:paraId="5C9F555D" w14:textId="77777777" w:rsidTr="00976EFA">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668C7D22" w14:textId="77777777" w:rsidR="00C9741F" w:rsidRPr="008B546B" w:rsidRDefault="00C9741F"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36A97677" w14:textId="77777777" w:rsidR="00C9741F" w:rsidRDefault="00C9741F" w:rsidP="00BE3F24">
            <w:pPr>
              <w:jc w:val="center"/>
              <w:rPr>
                <w:rFonts w:ascii="Arial" w:hAnsi="Arial" w:cs="Arial"/>
                <w:b/>
                <w:bCs/>
                <w:sz w:val="18"/>
                <w:szCs w:val="18"/>
              </w:rPr>
            </w:pPr>
            <w:r>
              <w:rPr>
                <w:rFonts w:ascii="Arial" w:hAnsi="Arial" w:cs="Arial"/>
                <w:b/>
                <w:bCs/>
                <w:sz w:val="18"/>
                <w:szCs w:val="18"/>
              </w:rPr>
              <w:t>Small Quantity Cost</w:t>
            </w:r>
          </w:p>
        </w:tc>
        <w:tc>
          <w:tcPr>
            <w:tcW w:w="2987" w:type="dxa"/>
            <w:tcBorders>
              <w:top w:val="nil"/>
              <w:left w:val="nil"/>
              <w:bottom w:val="single" w:sz="4" w:space="0" w:color="auto"/>
              <w:right w:val="single" w:sz="4" w:space="0" w:color="auto"/>
            </w:tcBorders>
            <w:vAlign w:val="center"/>
            <w:hideMark/>
          </w:tcPr>
          <w:p w14:paraId="1E328967" w14:textId="3EE3A3A0" w:rsidR="00C9741F" w:rsidRPr="00976EFA" w:rsidRDefault="00C9741F" w:rsidP="00BE3F24">
            <w:pPr>
              <w:rPr>
                <w:rFonts w:ascii="Arial" w:hAnsi="Arial"/>
                <w:sz w:val="16"/>
              </w:rPr>
            </w:pPr>
            <w:r w:rsidRPr="00976EFA">
              <w:rPr>
                <w:rFonts w:ascii="Arial" w:hAnsi="Arial"/>
                <w:sz w:val="16"/>
              </w:rPr>
              <w:t>$</w:t>
            </w:r>
            <w:r w:rsidR="00BA403F">
              <w:rPr>
                <w:rFonts w:ascii="Arial" w:hAnsi="Arial" w:cs="Arial"/>
                <w:sz w:val="16"/>
                <w:szCs w:val="16"/>
              </w:rPr>
              <w:t>25 - $40</w:t>
            </w:r>
            <w:r w:rsidR="00976EFA">
              <w:rPr>
                <w:rFonts w:ascii="Arial" w:hAnsi="Arial" w:cs="Arial"/>
                <w:sz w:val="16"/>
                <w:szCs w:val="16"/>
              </w:rPr>
              <w:t xml:space="preserve"> /</w:t>
            </w:r>
            <w:r w:rsidR="00BA403F">
              <w:rPr>
                <w:rFonts w:ascii="Arial" w:hAnsi="Arial" w:cs="Arial"/>
                <w:sz w:val="16"/>
                <w:szCs w:val="16"/>
              </w:rPr>
              <w:t xml:space="preserve"> </w:t>
            </w:r>
            <w:r w:rsidRPr="00976EFA">
              <w:rPr>
                <w:rFonts w:ascii="Arial" w:hAnsi="Arial"/>
                <w:sz w:val="16"/>
              </w:rPr>
              <w:t>SY</w:t>
            </w:r>
          </w:p>
        </w:tc>
        <w:tc>
          <w:tcPr>
            <w:tcW w:w="3060" w:type="dxa"/>
            <w:vMerge w:val="restart"/>
            <w:tcBorders>
              <w:top w:val="nil"/>
              <w:left w:val="nil"/>
              <w:right w:val="single" w:sz="4" w:space="0" w:color="auto"/>
            </w:tcBorders>
            <w:vAlign w:val="center"/>
            <w:hideMark/>
          </w:tcPr>
          <w:p w14:paraId="13CDE38D" w14:textId="30499B5F" w:rsidR="00C9741F" w:rsidRDefault="00577032" w:rsidP="00C9741F">
            <w:pPr>
              <w:rPr>
                <w:rFonts w:ascii="Arial" w:hAnsi="Arial" w:cs="Arial"/>
                <w:color w:val="000000"/>
                <w:sz w:val="16"/>
                <w:szCs w:val="16"/>
              </w:rPr>
            </w:pPr>
            <w:r>
              <w:rPr>
                <w:rFonts w:ascii="Arial" w:hAnsi="Arial" w:cs="Arial"/>
                <w:color w:val="000000"/>
                <w:sz w:val="16"/>
                <w:szCs w:val="16"/>
              </w:rPr>
              <w:t>$25-$40 / SY</w:t>
            </w:r>
          </w:p>
        </w:tc>
      </w:tr>
      <w:tr w:rsidR="00C9741F" w:rsidRPr="008B546B" w14:paraId="7A9E34A6"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79AB304" w14:textId="77777777" w:rsidR="00C9741F" w:rsidRPr="008B546B" w:rsidRDefault="00C9741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4D27F50" w14:textId="77777777" w:rsidR="00C9741F" w:rsidRDefault="00C9741F" w:rsidP="00BE3F24">
            <w:pPr>
              <w:jc w:val="center"/>
              <w:rPr>
                <w:rFonts w:ascii="Arial" w:hAnsi="Arial" w:cs="Arial"/>
                <w:b/>
                <w:bCs/>
                <w:sz w:val="18"/>
                <w:szCs w:val="18"/>
              </w:rPr>
            </w:pPr>
            <w:r>
              <w:rPr>
                <w:rFonts w:ascii="Arial" w:hAnsi="Arial" w:cs="Arial"/>
                <w:b/>
                <w:bCs/>
                <w:sz w:val="18"/>
                <w:szCs w:val="18"/>
              </w:rPr>
              <w:t>Medium Quantity Cost</w:t>
            </w:r>
          </w:p>
        </w:tc>
        <w:tc>
          <w:tcPr>
            <w:tcW w:w="2987" w:type="dxa"/>
            <w:tcBorders>
              <w:top w:val="nil"/>
              <w:left w:val="nil"/>
              <w:bottom w:val="single" w:sz="4" w:space="0" w:color="auto"/>
              <w:right w:val="single" w:sz="4" w:space="0" w:color="auto"/>
            </w:tcBorders>
            <w:vAlign w:val="center"/>
          </w:tcPr>
          <w:p w14:paraId="0A6AF842" w14:textId="215E58B2" w:rsidR="00C9741F" w:rsidRPr="00976EFA" w:rsidRDefault="00C9741F" w:rsidP="00BE3F24">
            <w:pPr>
              <w:rPr>
                <w:rFonts w:ascii="Arial" w:hAnsi="Arial"/>
                <w:sz w:val="16"/>
              </w:rPr>
            </w:pPr>
          </w:p>
        </w:tc>
        <w:tc>
          <w:tcPr>
            <w:tcW w:w="3060" w:type="dxa"/>
            <w:vMerge/>
            <w:tcBorders>
              <w:left w:val="nil"/>
              <w:right w:val="single" w:sz="4" w:space="0" w:color="auto"/>
            </w:tcBorders>
            <w:vAlign w:val="center"/>
            <w:hideMark/>
          </w:tcPr>
          <w:p w14:paraId="44C2A76F" w14:textId="77777777" w:rsidR="00C9741F" w:rsidRDefault="00C9741F" w:rsidP="00BE3F24">
            <w:pPr>
              <w:rPr>
                <w:rFonts w:ascii="Arial" w:hAnsi="Arial" w:cs="Arial"/>
                <w:color w:val="000000"/>
                <w:sz w:val="16"/>
                <w:szCs w:val="16"/>
              </w:rPr>
            </w:pPr>
          </w:p>
        </w:tc>
      </w:tr>
      <w:tr w:rsidR="00C9741F" w:rsidRPr="008B546B" w14:paraId="3D9A7A32" w14:textId="77777777" w:rsidTr="00976EFA">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256B0A7" w14:textId="77777777" w:rsidR="00C9741F" w:rsidRPr="008B546B" w:rsidRDefault="00C9741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2C3C351" w14:textId="77777777" w:rsidR="00C9741F" w:rsidRDefault="00C9741F" w:rsidP="00BE3F24">
            <w:pPr>
              <w:jc w:val="center"/>
              <w:rPr>
                <w:rFonts w:ascii="Arial" w:hAnsi="Arial" w:cs="Arial"/>
                <w:b/>
                <w:bCs/>
                <w:sz w:val="18"/>
                <w:szCs w:val="18"/>
              </w:rPr>
            </w:pPr>
            <w:r>
              <w:rPr>
                <w:rFonts w:ascii="Arial" w:hAnsi="Arial" w:cs="Arial"/>
                <w:b/>
                <w:bCs/>
                <w:sz w:val="18"/>
                <w:szCs w:val="18"/>
              </w:rPr>
              <w:t>High Quantity Cost</w:t>
            </w:r>
          </w:p>
        </w:tc>
        <w:tc>
          <w:tcPr>
            <w:tcW w:w="2987" w:type="dxa"/>
            <w:tcBorders>
              <w:top w:val="nil"/>
              <w:left w:val="nil"/>
              <w:bottom w:val="single" w:sz="4" w:space="0" w:color="auto"/>
              <w:right w:val="single" w:sz="4" w:space="0" w:color="auto"/>
            </w:tcBorders>
            <w:vAlign w:val="center"/>
          </w:tcPr>
          <w:p w14:paraId="5B28F3A9" w14:textId="44E9A562" w:rsidR="00C9741F" w:rsidRPr="00976EFA" w:rsidRDefault="00C9741F" w:rsidP="00BE3F24">
            <w:pPr>
              <w:rPr>
                <w:rFonts w:ascii="Arial" w:hAnsi="Arial"/>
                <w:sz w:val="16"/>
              </w:rPr>
            </w:pPr>
          </w:p>
        </w:tc>
        <w:tc>
          <w:tcPr>
            <w:tcW w:w="3060" w:type="dxa"/>
            <w:vMerge/>
            <w:tcBorders>
              <w:left w:val="nil"/>
              <w:bottom w:val="single" w:sz="4" w:space="0" w:color="auto"/>
              <w:right w:val="single" w:sz="4" w:space="0" w:color="auto"/>
            </w:tcBorders>
            <w:vAlign w:val="center"/>
            <w:hideMark/>
          </w:tcPr>
          <w:p w14:paraId="4D187056" w14:textId="77777777" w:rsidR="00C9741F" w:rsidRDefault="00C9741F" w:rsidP="00BE3F24">
            <w:pPr>
              <w:rPr>
                <w:rFonts w:ascii="Arial" w:hAnsi="Arial" w:cs="Arial"/>
                <w:color w:val="000000"/>
                <w:sz w:val="16"/>
                <w:szCs w:val="16"/>
              </w:rPr>
            </w:pPr>
          </w:p>
        </w:tc>
      </w:tr>
      <w:tr w:rsidR="0042403B" w:rsidRPr="008B546B" w14:paraId="449C1A13" w14:textId="77777777" w:rsidTr="00976EFA">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A4E99AB"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46A163A"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2987" w:type="dxa"/>
            <w:tcBorders>
              <w:top w:val="nil"/>
              <w:left w:val="nil"/>
              <w:bottom w:val="single" w:sz="4" w:space="0" w:color="auto"/>
              <w:right w:val="single" w:sz="4" w:space="0" w:color="auto"/>
            </w:tcBorders>
            <w:vAlign w:val="center"/>
            <w:hideMark/>
          </w:tcPr>
          <w:p w14:paraId="54E3987E" w14:textId="5B8810B6" w:rsidR="0042403B" w:rsidRDefault="00BA403F" w:rsidP="00BE3F24">
            <w:pPr>
              <w:rPr>
                <w:rFonts w:ascii="Arial" w:hAnsi="Arial" w:cs="Arial"/>
                <w:sz w:val="16"/>
                <w:szCs w:val="16"/>
              </w:rPr>
            </w:pPr>
            <w:r>
              <w:rPr>
                <w:rFonts w:ascii="Arial" w:hAnsi="Arial" w:cs="Arial"/>
                <w:sz w:val="16"/>
                <w:szCs w:val="16"/>
              </w:rPr>
              <w:t>Epoxy, aggregate and placement</w:t>
            </w:r>
          </w:p>
        </w:tc>
        <w:tc>
          <w:tcPr>
            <w:tcW w:w="3060" w:type="dxa"/>
            <w:tcBorders>
              <w:top w:val="nil"/>
              <w:left w:val="nil"/>
              <w:bottom w:val="single" w:sz="4" w:space="0" w:color="auto"/>
              <w:right w:val="single" w:sz="4" w:space="0" w:color="auto"/>
            </w:tcBorders>
            <w:vAlign w:val="center"/>
            <w:hideMark/>
          </w:tcPr>
          <w:p w14:paraId="3A5E096B" w14:textId="2D35276E" w:rsidR="0042403B" w:rsidRDefault="00577032" w:rsidP="00BE3F24">
            <w:pPr>
              <w:rPr>
                <w:rFonts w:ascii="Arial" w:hAnsi="Arial" w:cs="Arial"/>
                <w:color w:val="000000"/>
                <w:sz w:val="16"/>
                <w:szCs w:val="16"/>
              </w:rPr>
            </w:pPr>
            <w:r>
              <w:rPr>
                <w:rFonts w:ascii="Arial" w:hAnsi="Arial" w:cs="Arial"/>
                <w:color w:val="000000"/>
                <w:sz w:val="16"/>
                <w:szCs w:val="16"/>
              </w:rPr>
              <w:t>Epoxy, aggregate and placement</w:t>
            </w:r>
          </w:p>
        </w:tc>
      </w:tr>
      <w:tr w:rsidR="0042403B" w:rsidRPr="008B546B" w14:paraId="4A16CF86" w14:textId="77777777" w:rsidTr="00976EFA">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3A11A5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67BD0AC"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2987" w:type="dxa"/>
            <w:tcBorders>
              <w:top w:val="nil"/>
              <w:left w:val="nil"/>
              <w:bottom w:val="single" w:sz="4" w:space="0" w:color="auto"/>
              <w:right w:val="single" w:sz="4" w:space="0" w:color="auto"/>
            </w:tcBorders>
            <w:vAlign w:val="center"/>
            <w:hideMark/>
          </w:tcPr>
          <w:p w14:paraId="17012D41" w14:textId="769E5284" w:rsidR="0042403B" w:rsidRPr="00976EFA" w:rsidRDefault="00BA403F" w:rsidP="00BE3F24">
            <w:pPr>
              <w:rPr>
                <w:rFonts w:ascii="Arial" w:hAnsi="Arial"/>
                <w:sz w:val="16"/>
              </w:rPr>
            </w:pPr>
            <w:r>
              <w:rPr>
                <w:rFonts w:ascii="Arial" w:hAnsi="Arial" w:cs="Arial"/>
                <w:sz w:val="16"/>
                <w:szCs w:val="16"/>
              </w:rPr>
              <w:t xml:space="preserve">MOT, </w:t>
            </w:r>
            <w:r w:rsidR="0042403B" w:rsidRPr="00976EFA">
              <w:rPr>
                <w:rFonts w:ascii="Arial" w:hAnsi="Arial"/>
                <w:sz w:val="16"/>
              </w:rPr>
              <w:t>Marking Removal</w:t>
            </w:r>
          </w:p>
        </w:tc>
        <w:tc>
          <w:tcPr>
            <w:tcW w:w="3060" w:type="dxa"/>
            <w:tcBorders>
              <w:top w:val="nil"/>
              <w:left w:val="nil"/>
              <w:bottom w:val="single" w:sz="4" w:space="0" w:color="auto"/>
              <w:right w:val="single" w:sz="4" w:space="0" w:color="auto"/>
            </w:tcBorders>
            <w:vAlign w:val="center"/>
            <w:hideMark/>
          </w:tcPr>
          <w:p w14:paraId="2331D721" w14:textId="32D08BA3" w:rsidR="0042403B" w:rsidRDefault="00577032" w:rsidP="00BE3F24">
            <w:pPr>
              <w:rPr>
                <w:rFonts w:ascii="Arial" w:hAnsi="Arial" w:cs="Arial"/>
                <w:color w:val="000000"/>
                <w:sz w:val="16"/>
                <w:szCs w:val="16"/>
              </w:rPr>
            </w:pPr>
            <w:r>
              <w:rPr>
                <w:rFonts w:ascii="Arial" w:hAnsi="Arial" w:cs="Arial"/>
                <w:color w:val="000000"/>
                <w:sz w:val="16"/>
                <w:szCs w:val="16"/>
              </w:rPr>
              <w:t xml:space="preserve">MOT, </w:t>
            </w:r>
            <w:r w:rsidR="0042403B">
              <w:rPr>
                <w:rFonts w:ascii="Arial" w:hAnsi="Arial" w:cs="Arial"/>
                <w:color w:val="000000"/>
                <w:sz w:val="16"/>
                <w:szCs w:val="16"/>
              </w:rPr>
              <w:t>Marking Removal</w:t>
            </w:r>
          </w:p>
        </w:tc>
      </w:tr>
      <w:tr w:rsidR="0042403B" w:rsidRPr="008B546B" w14:paraId="6B006A04" w14:textId="77777777" w:rsidTr="00976EFA">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8242CE8"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987" w:type="dxa"/>
            <w:tcBorders>
              <w:top w:val="nil"/>
              <w:left w:val="nil"/>
              <w:bottom w:val="nil"/>
              <w:right w:val="single" w:sz="4" w:space="0" w:color="auto"/>
            </w:tcBorders>
            <w:vAlign w:val="center"/>
            <w:hideMark/>
          </w:tcPr>
          <w:p w14:paraId="4EDBA955" w14:textId="77777777" w:rsidR="0042403B" w:rsidRDefault="0042403B" w:rsidP="00BE3F24">
            <w:pPr>
              <w:rPr>
                <w:rFonts w:ascii="Arial" w:hAnsi="Arial" w:cs="Arial"/>
                <w:color w:val="000000"/>
                <w:sz w:val="16"/>
                <w:szCs w:val="16"/>
              </w:rPr>
            </w:pPr>
            <w:r>
              <w:rPr>
                <w:rFonts w:ascii="Arial" w:hAnsi="Arial" w:cs="Arial"/>
                <w:color w:val="000000"/>
                <w:sz w:val="16"/>
                <w:szCs w:val="16"/>
              </w:rPr>
              <w:t>3-6 years</w:t>
            </w:r>
          </w:p>
        </w:tc>
        <w:tc>
          <w:tcPr>
            <w:tcW w:w="3060" w:type="dxa"/>
            <w:tcBorders>
              <w:top w:val="nil"/>
              <w:left w:val="nil"/>
              <w:bottom w:val="single" w:sz="4" w:space="0" w:color="auto"/>
              <w:right w:val="single" w:sz="4" w:space="0" w:color="auto"/>
            </w:tcBorders>
            <w:vAlign w:val="center"/>
            <w:hideMark/>
          </w:tcPr>
          <w:p w14:paraId="5BFBEEAE" w14:textId="6B3665F9" w:rsidR="0042403B" w:rsidRDefault="00BA403F" w:rsidP="00BE3F24">
            <w:pPr>
              <w:rPr>
                <w:rFonts w:ascii="Arial" w:hAnsi="Arial" w:cs="Arial"/>
                <w:color w:val="000000"/>
                <w:sz w:val="16"/>
                <w:szCs w:val="16"/>
              </w:rPr>
            </w:pPr>
            <w:r>
              <w:rPr>
                <w:rFonts w:ascii="Arial" w:hAnsi="Arial" w:cs="Arial"/>
                <w:color w:val="000000"/>
                <w:sz w:val="16"/>
                <w:szCs w:val="16"/>
              </w:rPr>
              <w:t xml:space="preserve">Anticipated to be </w:t>
            </w:r>
            <w:r w:rsidR="0042403B">
              <w:rPr>
                <w:rFonts w:ascii="Arial" w:hAnsi="Arial" w:cs="Arial"/>
                <w:color w:val="000000"/>
                <w:sz w:val="16"/>
                <w:szCs w:val="16"/>
              </w:rPr>
              <w:t>10</w:t>
            </w:r>
            <w:r>
              <w:rPr>
                <w:rFonts w:ascii="Arial" w:hAnsi="Arial" w:cs="Arial"/>
                <w:color w:val="000000"/>
                <w:sz w:val="16"/>
                <w:szCs w:val="16"/>
              </w:rPr>
              <w:t>-15</w:t>
            </w:r>
            <w:r w:rsidR="0042403B">
              <w:rPr>
                <w:rFonts w:ascii="Arial" w:hAnsi="Arial" w:cs="Arial"/>
                <w:color w:val="000000"/>
                <w:sz w:val="16"/>
                <w:szCs w:val="16"/>
              </w:rPr>
              <w:t xml:space="preserve"> years</w:t>
            </w:r>
          </w:p>
        </w:tc>
      </w:tr>
      <w:tr w:rsidR="0042403B" w:rsidRPr="008B546B" w14:paraId="1A540E85" w14:textId="77777777" w:rsidTr="00976EFA">
        <w:trPr>
          <w:trHeight w:val="1448"/>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09F00F5F" w14:textId="5FC08840"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MOT Considerations /</w:t>
            </w:r>
            <w:r w:rsidRPr="008B546B">
              <w:rPr>
                <w:rFonts w:ascii="Arial" w:hAnsi="Arial" w:cs="Arial"/>
                <w:b/>
                <w:bCs/>
                <w:sz w:val="22"/>
                <w:szCs w:val="22"/>
              </w:rPr>
              <w:br/>
            </w:r>
            <w:r w:rsidR="00BA403F" w:rsidRPr="008B546B">
              <w:rPr>
                <w:rFonts w:ascii="Arial" w:hAnsi="Arial" w:cs="Arial"/>
                <w:b/>
                <w:bCs/>
                <w:sz w:val="22"/>
                <w:szCs w:val="22"/>
              </w:rPr>
              <w:t xml:space="preserve"> </w:t>
            </w:r>
            <w:r w:rsidRPr="008B546B">
              <w:rPr>
                <w:rFonts w:ascii="Arial" w:hAnsi="Arial" w:cs="Arial"/>
                <w:b/>
                <w:bCs/>
                <w:sz w:val="22"/>
                <w:szCs w:val="22"/>
              </w:rPr>
              <w:t xml:space="preserve">Cure </w:t>
            </w:r>
            <w:r w:rsidR="00BA403F" w:rsidRPr="008B546B">
              <w:rPr>
                <w:rFonts w:ascii="Arial" w:hAnsi="Arial" w:cs="Arial"/>
                <w:b/>
                <w:bCs/>
                <w:sz w:val="22"/>
                <w:szCs w:val="22"/>
              </w:rPr>
              <w:t>time</w:t>
            </w:r>
            <w:r w:rsidR="00C270F8">
              <w:rPr>
                <w:rFonts w:ascii="Arial" w:hAnsi="Arial" w:cs="Arial"/>
                <w:b/>
                <w:bCs/>
                <w:sz w:val="22"/>
                <w:szCs w:val="22"/>
              </w:rPr>
              <w:t>T</w:t>
            </w:r>
            <w:r w:rsidRPr="008B546B">
              <w:rPr>
                <w:rFonts w:ascii="Arial" w:hAnsi="Arial" w:cs="Arial"/>
                <w:b/>
                <w:bCs/>
                <w:sz w:val="22"/>
                <w:szCs w:val="22"/>
              </w:rPr>
              <w:t>ime</w:t>
            </w:r>
          </w:p>
        </w:tc>
        <w:tc>
          <w:tcPr>
            <w:tcW w:w="2987" w:type="dxa"/>
            <w:tcBorders>
              <w:top w:val="single" w:sz="4" w:space="0" w:color="auto"/>
              <w:left w:val="nil"/>
              <w:bottom w:val="single" w:sz="4" w:space="0" w:color="auto"/>
              <w:right w:val="single" w:sz="4" w:space="0" w:color="auto"/>
            </w:tcBorders>
            <w:hideMark/>
          </w:tcPr>
          <w:p w14:paraId="598A62FC" w14:textId="77777777" w:rsidR="0042403B" w:rsidRDefault="0042403B" w:rsidP="00BE3F24">
            <w:pPr>
              <w:rPr>
                <w:rFonts w:ascii="Arial" w:hAnsi="Arial" w:cs="Arial"/>
                <w:color w:val="000000"/>
                <w:sz w:val="16"/>
                <w:szCs w:val="16"/>
              </w:rPr>
            </w:pPr>
            <w:r>
              <w:rPr>
                <w:rFonts w:ascii="Arial" w:hAnsi="Arial" w:cs="Arial"/>
                <w:color w:val="000000"/>
                <w:sz w:val="16"/>
                <w:szCs w:val="16"/>
              </w:rPr>
              <w:t>Cure time depends on emulsion properties, generally a few hours.  Two hours as per MD Standard Specifications.  Require warm temperatures and direct sunlight to break and cure effectively.</w:t>
            </w:r>
          </w:p>
        </w:tc>
        <w:tc>
          <w:tcPr>
            <w:tcW w:w="3060" w:type="dxa"/>
            <w:tcBorders>
              <w:top w:val="nil"/>
              <w:left w:val="nil"/>
              <w:bottom w:val="single" w:sz="4" w:space="0" w:color="auto"/>
              <w:right w:val="single" w:sz="4" w:space="0" w:color="auto"/>
            </w:tcBorders>
            <w:hideMark/>
          </w:tcPr>
          <w:p w14:paraId="2D045595" w14:textId="08D8C2F7" w:rsidR="0042403B" w:rsidRPr="00976EFA" w:rsidRDefault="0042403B" w:rsidP="00BE3F24">
            <w:pPr>
              <w:rPr>
                <w:rFonts w:ascii="Arial" w:hAnsi="Arial"/>
                <w:sz w:val="16"/>
              </w:rPr>
            </w:pPr>
            <w:r w:rsidRPr="00976EFA">
              <w:rPr>
                <w:rFonts w:ascii="Arial" w:hAnsi="Arial"/>
                <w:sz w:val="16"/>
              </w:rPr>
              <w:t xml:space="preserve">Cure time </w:t>
            </w:r>
            <w:r w:rsidR="00BA403F">
              <w:rPr>
                <w:rFonts w:ascii="Arial" w:hAnsi="Arial" w:cs="Arial"/>
                <w:sz w:val="16"/>
                <w:szCs w:val="16"/>
              </w:rPr>
              <w:t>is</w:t>
            </w:r>
            <w:r w:rsidRPr="00976EFA">
              <w:rPr>
                <w:rFonts w:ascii="Arial" w:hAnsi="Arial"/>
                <w:sz w:val="16"/>
              </w:rPr>
              <w:t xml:space="preserve"> generally </w:t>
            </w:r>
            <w:r w:rsidR="00BA403F">
              <w:rPr>
                <w:rFonts w:ascii="Arial" w:hAnsi="Arial" w:cs="Arial"/>
                <w:sz w:val="16"/>
                <w:szCs w:val="16"/>
              </w:rPr>
              <w:t>1</w:t>
            </w:r>
            <w:r w:rsidRPr="00976EFA">
              <w:rPr>
                <w:rFonts w:ascii="Arial" w:hAnsi="Arial"/>
                <w:sz w:val="16"/>
              </w:rPr>
              <w:t xml:space="preserve"> hour </w:t>
            </w:r>
            <w:r w:rsidR="00BA403F">
              <w:rPr>
                <w:rFonts w:ascii="Arial" w:hAnsi="Arial" w:cs="Arial"/>
                <w:sz w:val="16"/>
                <w:szCs w:val="16"/>
              </w:rPr>
              <w:t>after placement</w:t>
            </w:r>
            <w:r w:rsidR="00C270F8" w:rsidRPr="00976EFA">
              <w:rPr>
                <w:rFonts w:ascii="Arial" w:hAnsi="Arial"/>
                <w:color w:val="000000"/>
                <w:sz w:val="16"/>
              </w:rPr>
              <w:t>.</w:t>
            </w:r>
          </w:p>
        </w:tc>
      </w:tr>
    </w:tbl>
    <w:p w14:paraId="25BDD28B" w14:textId="77777777" w:rsidR="0042403B" w:rsidRDefault="0042403B" w:rsidP="00BE3F24">
      <w:pPr>
        <w:rPr>
          <w:rFonts w:ascii="Arial" w:hAnsi="Arial" w:cs="Arial"/>
          <w:b/>
          <w:bCs/>
          <w:kern w:val="32"/>
          <w:sz w:val="28"/>
          <w:szCs w:val="32"/>
          <w:u w:val="single"/>
        </w:rPr>
      </w:pPr>
    </w:p>
    <w:p w14:paraId="7E42EA3F"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717" w:type="dxa"/>
        <w:tblInd w:w="98" w:type="dxa"/>
        <w:tblLayout w:type="fixed"/>
        <w:tblLook w:val="04A0" w:firstRow="1" w:lastRow="0" w:firstColumn="1" w:lastColumn="0" w:noHBand="0" w:noVBand="1"/>
      </w:tblPr>
      <w:tblGrid>
        <w:gridCol w:w="1040"/>
        <w:gridCol w:w="1540"/>
        <w:gridCol w:w="2897"/>
        <w:gridCol w:w="3240"/>
      </w:tblGrid>
      <w:tr w:rsidR="0042403B" w:rsidRPr="008B546B" w14:paraId="6BAE829D" w14:textId="77777777" w:rsidTr="000933C0">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6821653A"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9</w:t>
            </w:r>
          </w:p>
          <w:p w14:paraId="6435431A" w14:textId="77777777" w:rsidR="002417C7" w:rsidRDefault="002417C7" w:rsidP="00BE3F24">
            <w:pPr>
              <w:jc w:val="center"/>
              <w:rPr>
                <w:rFonts w:ascii="Bell MT" w:hAnsi="Bell MT" w:cs="Calibri"/>
                <w:b/>
                <w:bCs/>
                <w:color w:val="000000"/>
                <w:sz w:val="28"/>
                <w:szCs w:val="28"/>
              </w:rPr>
            </w:pPr>
          </w:p>
          <w:p w14:paraId="6A5C1EE6"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137" w:type="dxa"/>
            <w:gridSpan w:val="2"/>
            <w:tcBorders>
              <w:top w:val="single" w:sz="4" w:space="0" w:color="auto"/>
              <w:left w:val="single" w:sz="8" w:space="0" w:color="auto"/>
              <w:bottom w:val="single" w:sz="8" w:space="0" w:color="auto"/>
              <w:right w:val="single" w:sz="4" w:space="0" w:color="auto"/>
            </w:tcBorders>
            <w:vAlign w:val="bottom"/>
            <w:hideMark/>
          </w:tcPr>
          <w:p w14:paraId="6B1A5151" w14:textId="0F4BA437" w:rsidR="0042403B" w:rsidRPr="008B546B" w:rsidRDefault="0042403B" w:rsidP="000933C0">
            <w:pPr>
              <w:pStyle w:val="Heading3"/>
              <w:ind w:left="1439" w:hanging="1439"/>
            </w:pPr>
            <w:bookmarkStart w:id="73" w:name="_SUPPLEMENTAL_INFORMATION_FOR_8"/>
            <w:bookmarkEnd w:id="73"/>
            <w:r w:rsidRPr="008B546B">
              <w:t>SUPPLEMENTAL INFORMATION FOR TREATMENT</w:t>
            </w:r>
            <w:r>
              <w:t>S D-1</w:t>
            </w:r>
            <w:r w:rsidR="006A17CA">
              <w:t xml:space="preserve"> through</w:t>
            </w:r>
            <w:r>
              <w:t xml:space="preserve"> D-</w:t>
            </w:r>
            <w:r w:rsidR="006A17CA">
              <w:t>6</w:t>
            </w:r>
          </w:p>
        </w:tc>
      </w:tr>
      <w:tr w:rsidR="0042403B" w:rsidRPr="008B546B" w14:paraId="59724107" w14:textId="77777777" w:rsidTr="000933C0">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20D5BA59" w14:textId="77777777" w:rsidR="0042403B" w:rsidRPr="008B546B" w:rsidRDefault="0042403B" w:rsidP="00BE3F24">
            <w:pPr>
              <w:rPr>
                <w:rFonts w:ascii="Bell MT" w:hAnsi="Bell MT" w:cs="Calibri"/>
                <w:b/>
                <w:bCs/>
                <w:color w:val="000000"/>
                <w:sz w:val="28"/>
                <w:szCs w:val="28"/>
              </w:rPr>
            </w:pPr>
          </w:p>
        </w:tc>
        <w:tc>
          <w:tcPr>
            <w:tcW w:w="2897" w:type="dxa"/>
            <w:vMerge w:val="restart"/>
            <w:tcBorders>
              <w:top w:val="nil"/>
              <w:left w:val="single" w:sz="4" w:space="0" w:color="auto"/>
              <w:bottom w:val="single" w:sz="4" w:space="0" w:color="auto"/>
              <w:right w:val="single" w:sz="4" w:space="0" w:color="auto"/>
            </w:tcBorders>
            <w:vAlign w:val="center"/>
            <w:hideMark/>
          </w:tcPr>
          <w:p w14:paraId="425A9ECE" w14:textId="79497C55" w:rsidR="0042403B" w:rsidRDefault="0042403B" w:rsidP="00BE3F24">
            <w:pPr>
              <w:jc w:val="center"/>
              <w:rPr>
                <w:rFonts w:ascii="Arial" w:hAnsi="Arial" w:cs="Arial"/>
                <w:b/>
                <w:bCs/>
                <w:sz w:val="22"/>
                <w:szCs w:val="22"/>
              </w:rPr>
            </w:pPr>
            <w:hyperlink w:anchor="D1_and_D2_UTBWC" w:history="1">
              <w:r w:rsidRPr="00C61B7D">
                <w:rPr>
                  <w:rStyle w:val="Hyperlink"/>
                  <w:rFonts w:ascii="Arial" w:hAnsi="Arial" w:cs="Arial"/>
                  <w:b/>
                  <w:bCs/>
                  <w:sz w:val="22"/>
                  <w:szCs w:val="22"/>
                </w:rPr>
                <w:t>D-</w:t>
              </w:r>
              <w:r w:rsidR="00BC273A" w:rsidRPr="00C61B7D">
                <w:rPr>
                  <w:rStyle w:val="Hyperlink"/>
                  <w:rFonts w:ascii="Arial" w:hAnsi="Arial" w:cs="Arial"/>
                  <w:b/>
                  <w:bCs/>
                  <w:sz w:val="22"/>
                  <w:szCs w:val="22"/>
                </w:rPr>
                <w:t>1</w:t>
              </w:r>
              <w:r w:rsidR="006A17CA">
                <w:rPr>
                  <w:rStyle w:val="Hyperlink"/>
                  <w:rFonts w:ascii="Arial" w:hAnsi="Arial" w:cs="Arial"/>
                  <w:b/>
                  <w:bCs/>
                  <w:sz w:val="22"/>
                  <w:szCs w:val="22"/>
                </w:rPr>
                <w:t xml:space="preserve"> (Include Mill) and D-2</w:t>
              </w:r>
              <w:r w:rsidRPr="00C61B7D">
                <w:rPr>
                  <w:rStyle w:val="Hyperlink"/>
                  <w:rFonts w:ascii="Arial" w:hAnsi="Arial" w:cs="Arial"/>
                  <w:b/>
                  <w:bCs/>
                  <w:sz w:val="22"/>
                  <w:szCs w:val="22"/>
                </w:rPr>
                <w:t xml:space="preserve"> Ultra-Thin Bonded Wearing Course</w:t>
              </w:r>
            </w:hyperlink>
          </w:p>
        </w:tc>
        <w:tc>
          <w:tcPr>
            <w:tcW w:w="3240" w:type="dxa"/>
            <w:vMerge w:val="restart"/>
            <w:tcBorders>
              <w:top w:val="nil"/>
              <w:left w:val="nil"/>
              <w:bottom w:val="single" w:sz="4" w:space="0" w:color="000000"/>
              <w:right w:val="single" w:sz="4" w:space="0" w:color="auto"/>
            </w:tcBorders>
            <w:vAlign w:val="center"/>
            <w:hideMark/>
          </w:tcPr>
          <w:p w14:paraId="571BB744" w14:textId="76660D04" w:rsidR="006A17CA" w:rsidRDefault="006A17CA" w:rsidP="006A17CA">
            <w:pPr>
              <w:jc w:val="center"/>
              <w:rPr>
                <w:rFonts w:ascii="Arial" w:hAnsi="Arial" w:cs="Arial"/>
                <w:b/>
                <w:bCs/>
                <w:sz w:val="22"/>
                <w:szCs w:val="22"/>
              </w:rPr>
            </w:pPr>
            <w:hyperlink w:anchor="D3_and_D4_Mill_and_OL" w:history="1">
              <w:r w:rsidRPr="00C61B7D">
                <w:rPr>
                  <w:rStyle w:val="Hyperlink"/>
                  <w:rFonts w:ascii="Arial" w:hAnsi="Arial" w:cs="Arial"/>
                  <w:b/>
                  <w:bCs/>
                  <w:sz w:val="22"/>
                  <w:szCs w:val="22"/>
                </w:rPr>
                <w:t>D-</w:t>
              </w:r>
              <w:r>
                <w:rPr>
                  <w:rStyle w:val="Hyperlink"/>
                  <w:rFonts w:ascii="Arial" w:hAnsi="Arial" w:cs="Arial"/>
                  <w:b/>
                  <w:bCs/>
                  <w:sz w:val="22"/>
                  <w:szCs w:val="22"/>
                </w:rPr>
                <w:t>3 &amp; D4</w:t>
              </w:r>
              <w:r w:rsidRPr="00C61B7D">
                <w:rPr>
                  <w:rStyle w:val="Hyperlink"/>
                  <w:rFonts w:ascii="Arial" w:hAnsi="Arial" w:cs="Arial"/>
                  <w:b/>
                  <w:bCs/>
                  <w:sz w:val="22"/>
                  <w:szCs w:val="22"/>
                </w:rPr>
                <w:t xml:space="preserve"> </w:t>
              </w:r>
              <w:r>
                <w:rPr>
                  <w:rStyle w:val="Hyperlink"/>
                  <w:rFonts w:ascii="Arial" w:hAnsi="Arial" w:cs="Arial"/>
                  <w:b/>
                  <w:bCs/>
                  <w:sz w:val="22"/>
                  <w:szCs w:val="22"/>
                </w:rPr>
                <w:t>(Include Mill)</w:t>
              </w:r>
              <w:r w:rsidRPr="00C61B7D">
                <w:rPr>
                  <w:rStyle w:val="Hyperlink"/>
                  <w:rFonts w:ascii="Arial" w:hAnsi="Arial" w:cs="Arial"/>
                  <w:b/>
                  <w:bCs/>
                  <w:sz w:val="22"/>
                  <w:szCs w:val="22"/>
                </w:rPr>
                <w:t xml:space="preserve"> and </w:t>
              </w:r>
              <w:r>
                <w:rPr>
                  <w:rStyle w:val="Hyperlink"/>
                  <w:rFonts w:ascii="Arial" w:hAnsi="Arial" w:cs="Arial"/>
                  <w:b/>
                  <w:bCs/>
                  <w:sz w:val="22"/>
                  <w:szCs w:val="22"/>
                </w:rPr>
                <w:t xml:space="preserve">D-5 &amp; D-6 </w:t>
              </w:r>
              <w:r w:rsidRPr="00C61B7D">
                <w:rPr>
                  <w:rStyle w:val="Hyperlink"/>
                  <w:rFonts w:ascii="Arial" w:hAnsi="Arial" w:cs="Arial"/>
                  <w:b/>
                  <w:bCs/>
                  <w:sz w:val="22"/>
                  <w:szCs w:val="22"/>
                </w:rPr>
                <w:t>HMA Overlay</w:t>
              </w:r>
            </w:hyperlink>
          </w:p>
          <w:p w14:paraId="298B20B3" w14:textId="453C7C90" w:rsidR="0042403B" w:rsidRDefault="0042403B" w:rsidP="00BE3F24">
            <w:pPr>
              <w:jc w:val="center"/>
              <w:rPr>
                <w:rFonts w:ascii="Arial" w:hAnsi="Arial" w:cs="Arial"/>
                <w:b/>
                <w:bCs/>
                <w:sz w:val="22"/>
                <w:szCs w:val="22"/>
              </w:rPr>
            </w:pPr>
          </w:p>
        </w:tc>
      </w:tr>
      <w:tr w:rsidR="0042403B" w:rsidRPr="008B546B" w14:paraId="670D75A3" w14:textId="77777777" w:rsidTr="000933C0">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0F3586C2" w14:textId="77777777" w:rsidR="0042403B" w:rsidRPr="008B546B" w:rsidRDefault="0042403B" w:rsidP="00BE3F24">
            <w:pPr>
              <w:rPr>
                <w:rFonts w:ascii="Bell MT" w:hAnsi="Bell MT" w:cs="Calibri"/>
                <w:b/>
                <w:bCs/>
                <w:color w:val="000000"/>
                <w:sz w:val="28"/>
                <w:szCs w:val="28"/>
              </w:rPr>
            </w:pPr>
          </w:p>
        </w:tc>
        <w:tc>
          <w:tcPr>
            <w:tcW w:w="2897" w:type="dxa"/>
            <w:vMerge/>
            <w:tcBorders>
              <w:top w:val="nil"/>
              <w:left w:val="single" w:sz="4" w:space="0" w:color="auto"/>
              <w:bottom w:val="single" w:sz="4" w:space="0" w:color="auto"/>
              <w:right w:val="single" w:sz="4" w:space="0" w:color="auto"/>
            </w:tcBorders>
            <w:vAlign w:val="center"/>
            <w:hideMark/>
          </w:tcPr>
          <w:p w14:paraId="137F7275" w14:textId="77777777" w:rsidR="0042403B" w:rsidRPr="008B546B" w:rsidRDefault="0042403B" w:rsidP="00BE3F24">
            <w:pPr>
              <w:rPr>
                <w:rFonts w:ascii="Arial" w:hAnsi="Arial" w:cs="Arial"/>
                <w:b/>
                <w:bCs/>
                <w:color w:val="000000"/>
                <w:sz w:val="22"/>
                <w:szCs w:val="22"/>
              </w:rPr>
            </w:pPr>
          </w:p>
        </w:tc>
        <w:tc>
          <w:tcPr>
            <w:tcW w:w="3240" w:type="dxa"/>
            <w:vMerge/>
            <w:tcBorders>
              <w:top w:val="nil"/>
              <w:left w:val="nil"/>
              <w:bottom w:val="single" w:sz="4" w:space="0" w:color="000000"/>
              <w:right w:val="single" w:sz="4" w:space="0" w:color="auto"/>
            </w:tcBorders>
            <w:vAlign w:val="center"/>
            <w:hideMark/>
          </w:tcPr>
          <w:p w14:paraId="1B56ABE7" w14:textId="77777777" w:rsidR="0042403B" w:rsidRPr="008B546B" w:rsidRDefault="0042403B" w:rsidP="00BE3F24">
            <w:pPr>
              <w:rPr>
                <w:rFonts w:ascii="Arial" w:hAnsi="Arial" w:cs="Arial"/>
                <w:b/>
                <w:bCs/>
                <w:color w:val="000000"/>
                <w:sz w:val="22"/>
                <w:szCs w:val="22"/>
              </w:rPr>
            </w:pPr>
          </w:p>
        </w:tc>
      </w:tr>
      <w:tr w:rsidR="0042403B" w:rsidRPr="008B546B" w14:paraId="78F379F5" w14:textId="77777777" w:rsidTr="000933C0">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0A66DB5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26F85186"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897" w:type="dxa"/>
            <w:tcBorders>
              <w:top w:val="nil"/>
              <w:left w:val="nil"/>
              <w:bottom w:val="single" w:sz="4" w:space="0" w:color="auto"/>
              <w:right w:val="single" w:sz="4" w:space="0" w:color="auto"/>
            </w:tcBorders>
            <w:vAlign w:val="center"/>
            <w:hideMark/>
          </w:tcPr>
          <w:p w14:paraId="1F5C43C5"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31A097FC"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0D24E9E6" w14:textId="77777777" w:rsidTr="000933C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F9A9CE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982D962" w14:textId="3C837462" w:rsidR="0042403B" w:rsidRPr="008B546B" w:rsidRDefault="006A17CA"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897" w:type="dxa"/>
            <w:tcBorders>
              <w:top w:val="nil"/>
              <w:left w:val="nil"/>
              <w:bottom w:val="single" w:sz="4" w:space="0" w:color="auto"/>
              <w:right w:val="single" w:sz="4" w:space="0" w:color="auto"/>
            </w:tcBorders>
            <w:vAlign w:val="center"/>
            <w:hideMark/>
          </w:tcPr>
          <w:p w14:paraId="0BDA61AA"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53E18129"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2320D75F" w14:textId="77777777" w:rsidTr="000933C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C2DD48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53F0CD1" w14:textId="1A14A5CD" w:rsidR="0042403B" w:rsidRPr="008B546B" w:rsidRDefault="006A17CA"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897" w:type="dxa"/>
            <w:tcBorders>
              <w:top w:val="nil"/>
              <w:left w:val="nil"/>
              <w:bottom w:val="single" w:sz="4" w:space="0" w:color="auto"/>
              <w:right w:val="single" w:sz="4" w:space="0" w:color="auto"/>
            </w:tcBorders>
            <w:vAlign w:val="center"/>
            <w:hideMark/>
          </w:tcPr>
          <w:p w14:paraId="3EDB9C98" w14:textId="77777777" w:rsidR="0042403B" w:rsidRDefault="0042403B" w:rsidP="00BE3F24">
            <w:pPr>
              <w:jc w:val="center"/>
              <w:rPr>
                <w:rFonts w:ascii="Arial" w:hAnsi="Arial" w:cs="Arial"/>
                <w:b/>
                <w:bCs/>
                <w:color w:val="000000"/>
                <w:sz w:val="16"/>
                <w:szCs w:val="16"/>
              </w:rPr>
            </w:pPr>
          </w:p>
        </w:tc>
        <w:tc>
          <w:tcPr>
            <w:tcW w:w="3240" w:type="dxa"/>
            <w:tcBorders>
              <w:top w:val="nil"/>
              <w:left w:val="nil"/>
              <w:bottom w:val="single" w:sz="4" w:space="0" w:color="auto"/>
              <w:right w:val="single" w:sz="4" w:space="0" w:color="auto"/>
            </w:tcBorders>
            <w:vAlign w:val="center"/>
            <w:hideMark/>
          </w:tcPr>
          <w:p w14:paraId="0A1357ED" w14:textId="3A0F8021" w:rsidR="0042403B" w:rsidRDefault="006A17CA" w:rsidP="00BE3F24">
            <w:pPr>
              <w:jc w:val="center"/>
              <w:rPr>
                <w:rFonts w:ascii="Arial" w:hAnsi="Arial" w:cs="Arial"/>
                <w:b/>
                <w:bCs/>
                <w:color w:val="000000"/>
                <w:sz w:val="16"/>
                <w:szCs w:val="16"/>
              </w:rPr>
            </w:pPr>
            <w:r>
              <w:rPr>
                <w:rFonts w:ascii="Arial" w:hAnsi="Arial" w:cs="Arial"/>
                <w:b/>
                <w:bCs/>
                <w:color w:val="000000"/>
                <w:sz w:val="16"/>
                <w:szCs w:val="16"/>
              </w:rPr>
              <w:t>No /Yes (D-6)</w:t>
            </w:r>
          </w:p>
        </w:tc>
      </w:tr>
      <w:tr w:rsidR="0042403B" w:rsidRPr="008B546B" w14:paraId="09DD952F" w14:textId="77777777" w:rsidTr="000933C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DF31AC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257E24C"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897" w:type="dxa"/>
            <w:tcBorders>
              <w:top w:val="nil"/>
              <w:left w:val="nil"/>
              <w:bottom w:val="single" w:sz="4" w:space="0" w:color="auto"/>
              <w:right w:val="single" w:sz="4" w:space="0" w:color="auto"/>
            </w:tcBorders>
            <w:vAlign w:val="center"/>
            <w:hideMark/>
          </w:tcPr>
          <w:p w14:paraId="70913D72" w14:textId="7FB35304" w:rsidR="0042403B" w:rsidRDefault="006A17CA" w:rsidP="00BE3F24">
            <w:pPr>
              <w:jc w:val="center"/>
              <w:rPr>
                <w:rFonts w:ascii="Arial" w:hAnsi="Arial" w:cs="Arial"/>
                <w:b/>
                <w:bCs/>
                <w:color w:val="000000"/>
                <w:sz w:val="16"/>
                <w:szCs w:val="16"/>
              </w:rPr>
            </w:pPr>
            <w:r>
              <w:rPr>
                <w:rFonts w:ascii="Arial" w:hAnsi="Arial" w:cs="Arial"/>
                <w:b/>
                <w:bCs/>
                <w:color w:val="000000"/>
                <w:sz w:val="16"/>
                <w:szCs w:val="16"/>
              </w:rPr>
              <w:t>Yes (milling) /No (no milling)</w:t>
            </w:r>
          </w:p>
        </w:tc>
        <w:tc>
          <w:tcPr>
            <w:tcW w:w="3240" w:type="dxa"/>
            <w:tcBorders>
              <w:top w:val="nil"/>
              <w:left w:val="nil"/>
              <w:bottom w:val="single" w:sz="4" w:space="0" w:color="auto"/>
              <w:right w:val="single" w:sz="4" w:space="0" w:color="auto"/>
            </w:tcBorders>
            <w:vAlign w:val="center"/>
            <w:hideMark/>
          </w:tcPr>
          <w:p w14:paraId="0EEF3554" w14:textId="1D84C946" w:rsidR="0042403B" w:rsidRDefault="006A17CA" w:rsidP="00BE3F24">
            <w:pPr>
              <w:jc w:val="center"/>
              <w:rPr>
                <w:rFonts w:ascii="Arial" w:hAnsi="Arial" w:cs="Arial"/>
                <w:b/>
                <w:bCs/>
                <w:color w:val="000000"/>
                <w:sz w:val="16"/>
                <w:szCs w:val="16"/>
              </w:rPr>
            </w:pPr>
            <w:r>
              <w:rPr>
                <w:rFonts w:ascii="Arial" w:hAnsi="Arial" w:cs="Arial"/>
                <w:b/>
                <w:bCs/>
                <w:color w:val="000000"/>
                <w:sz w:val="16"/>
                <w:szCs w:val="16"/>
              </w:rPr>
              <w:t>Yes (milling) /No (no milling)</w:t>
            </w:r>
          </w:p>
        </w:tc>
      </w:tr>
      <w:tr w:rsidR="0042403B" w:rsidRPr="008B546B" w14:paraId="1E7FB56E" w14:textId="77777777" w:rsidTr="000933C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4B0F25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34E756F"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897" w:type="dxa"/>
            <w:tcBorders>
              <w:top w:val="nil"/>
              <w:left w:val="nil"/>
              <w:bottom w:val="single" w:sz="4" w:space="0" w:color="auto"/>
              <w:right w:val="single" w:sz="4" w:space="0" w:color="auto"/>
            </w:tcBorders>
            <w:vAlign w:val="center"/>
            <w:hideMark/>
          </w:tcPr>
          <w:p w14:paraId="53FBFE23"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05516441"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1F87AFDB" w14:textId="77777777" w:rsidTr="000933C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460100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454D3C9"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897" w:type="dxa"/>
            <w:tcBorders>
              <w:top w:val="nil"/>
              <w:left w:val="nil"/>
              <w:bottom w:val="single" w:sz="4" w:space="0" w:color="auto"/>
              <w:right w:val="single" w:sz="4" w:space="0" w:color="auto"/>
            </w:tcBorders>
            <w:vAlign w:val="center"/>
            <w:hideMark/>
          </w:tcPr>
          <w:p w14:paraId="154D92AD" w14:textId="0A2A4FFC" w:rsidR="0042403B" w:rsidRDefault="006A17CA"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5C00A35B" w14:textId="144B29F3" w:rsidR="0042403B" w:rsidRDefault="00D558FD"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1152498C" w14:textId="77777777" w:rsidTr="000933C0">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33721736" w14:textId="229519FC"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D558FD" w:rsidRPr="008B546B">
              <w:rPr>
                <w:rFonts w:ascii="Arial" w:hAnsi="Arial" w:cs="Arial"/>
                <w:b/>
                <w:bCs/>
                <w:sz w:val="22"/>
                <w:szCs w:val="22"/>
              </w:rPr>
              <w:t xml:space="preserve"> </w:t>
            </w:r>
            <w:r w:rsidRPr="008B546B">
              <w:rPr>
                <w:rFonts w:ascii="Arial" w:hAnsi="Arial" w:cs="Arial"/>
                <w:b/>
                <w:bCs/>
                <w:sz w:val="22"/>
                <w:szCs w:val="22"/>
              </w:rPr>
              <w:t>Advantages</w:t>
            </w:r>
          </w:p>
        </w:tc>
        <w:tc>
          <w:tcPr>
            <w:tcW w:w="2897" w:type="dxa"/>
            <w:tcBorders>
              <w:top w:val="nil"/>
              <w:left w:val="nil"/>
              <w:bottom w:val="single" w:sz="4" w:space="0" w:color="auto"/>
              <w:right w:val="single" w:sz="4" w:space="0" w:color="auto"/>
            </w:tcBorders>
            <w:hideMark/>
          </w:tcPr>
          <w:p w14:paraId="3AF1445D" w14:textId="22371866" w:rsidR="0042403B" w:rsidRDefault="0042403B" w:rsidP="00BE3F24">
            <w:pPr>
              <w:rPr>
                <w:rFonts w:ascii="Arial" w:hAnsi="Arial" w:cs="Arial"/>
                <w:color w:val="000000"/>
                <w:sz w:val="16"/>
                <w:szCs w:val="16"/>
              </w:rPr>
            </w:pPr>
            <w:r>
              <w:rPr>
                <w:rFonts w:ascii="Arial" w:hAnsi="Arial" w:cs="Arial"/>
                <w:color w:val="000000"/>
                <w:sz w:val="16"/>
                <w:szCs w:val="16"/>
              </w:rPr>
              <w:t xml:space="preserve">1. </w:t>
            </w:r>
            <w:r w:rsidR="00D558FD">
              <w:rPr>
                <w:rFonts w:ascii="Arial" w:hAnsi="Arial" w:cs="Arial"/>
                <w:color w:val="000000"/>
                <w:sz w:val="16"/>
                <w:szCs w:val="16"/>
              </w:rPr>
              <w:t>An excellent</w:t>
            </w:r>
            <w:r>
              <w:rPr>
                <w:rFonts w:ascii="Arial" w:hAnsi="Arial" w:cs="Arial"/>
                <w:color w:val="000000"/>
                <w:sz w:val="16"/>
                <w:szCs w:val="16"/>
              </w:rPr>
              <w:t xml:space="preserve"> bond due to the heavy tack coat.</w:t>
            </w:r>
            <w:r>
              <w:rPr>
                <w:rFonts w:ascii="Arial" w:hAnsi="Arial" w:cs="Arial"/>
                <w:color w:val="000000"/>
                <w:sz w:val="16"/>
                <w:szCs w:val="16"/>
              </w:rPr>
              <w:br/>
              <w:t>2.  Can be used on projects where there are grade restrictions</w:t>
            </w:r>
            <w:r w:rsidR="00915EA9">
              <w:rPr>
                <w:rFonts w:ascii="Arial" w:hAnsi="Arial" w:cs="Arial"/>
                <w:color w:val="000000"/>
                <w:sz w:val="16"/>
                <w:szCs w:val="16"/>
              </w:rPr>
              <w:t>.</w:t>
            </w:r>
            <w:r>
              <w:rPr>
                <w:rFonts w:ascii="Arial" w:hAnsi="Arial" w:cs="Arial"/>
                <w:color w:val="000000"/>
                <w:sz w:val="16"/>
                <w:szCs w:val="16"/>
              </w:rPr>
              <w:br/>
              <w:t>3. Eliminates the need for utility adjustment.</w:t>
            </w:r>
            <w:r>
              <w:rPr>
                <w:rFonts w:ascii="Arial" w:hAnsi="Arial" w:cs="Arial"/>
                <w:color w:val="000000"/>
                <w:sz w:val="16"/>
                <w:szCs w:val="16"/>
              </w:rPr>
              <w:br/>
              <w:t>4. Minimal traffic disruption, requires a single lane closure.</w:t>
            </w:r>
            <w:r>
              <w:rPr>
                <w:rFonts w:ascii="Arial" w:hAnsi="Arial" w:cs="Arial"/>
                <w:color w:val="000000"/>
                <w:sz w:val="16"/>
                <w:szCs w:val="16"/>
              </w:rPr>
              <w:br/>
              <w:t xml:space="preserve">5. Noise </w:t>
            </w:r>
            <w:r w:rsidR="00D558FD">
              <w:rPr>
                <w:rFonts w:ascii="Arial" w:hAnsi="Arial" w:cs="Arial"/>
                <w:color w:val="000000"/>
                <w:sz w:val="16"/>
                <w:szCs w:val="16"/>
              </w:rPr>
              <w:t>Reduction</w:t>
            </w:r>
            <w:r>
              <w:rPr>
                <w:rFonts w:ascii="Arial" w:hAnsi="Arial" w:cs="Arial"/>
                <w:color w:val="000000"/>
                <w:sz w:val="16"/>
                <w:szCs w:val="16"/>
              </w:rPr>
              <w:t>.</w:t>
            </w:r>
            <w:r>
              <w:rPr>
                <w:rFonts w:ascii="Arial" w:hAnsi="Arial" w:cs="Arial"/>
                <w:color w:val="000000"/>
                <w:sz w:val="16"/>
                <w:szCs w:val="16"/>
              </w:rPr>
              <w:br/>
              <w:t>6. Increases driver visibility due to reduction in splash/spray.</w:t>
            </w:r>
            <w:r>
              <w:rPr>
                <w:rFonts w:ascii="Arial" w:hAnsi="Arial" w:cs="Arial"/>
                <w:color w:val="000000"/>
                <w:sz w:val="16"/>
                <w:szCs w:val="16"/>
              </w:rPr>
              <w:br/>
              <w:t xml:space="preserve">7. Less </w:t>
            </w:r>
            <w:r w:rsidR="00D558FD">
              <w:rPr>
                <w:rFonts w:ascii="Arial" w:hAnsi="Arial" w:cs="Arial"/>
                <w:color w:val="000000"/>
                <w:sz w:val="16"/>
                <w:szCs w:val="16"/>
              </w:rPr>
              <w:t>Fumes</w:t>
            </w:r>
          </w:p>
        </w:tc>
        <w:tc>
          <w:tcPr>
            <w:tcW w:w="3240" w:type="dxa"/>
            <w:tcBorders>
              <w:top w:val="nil"/>
              <w:left w:val="nil"/>
              <w:bottom w:val="single" w:sz="4" w:space="0" w:color="auto"/>
              <w:right w:val="single" w:sz="4" w:space="0" w:color="auto"/>
            </w:tcBorders>
            <w:hideMark/>
          </w:tcPr>
          <w:p w14:paraId="54D88424" w14:textId="57AE4797" w:rsidR="0042403B" w:rsidRDefault="00D558FD" w:rsidP="00BE3F24">
            <w:pPr>
              <w:rPr>
                <w:rFonts w:ascii="Arial" w:hAnsi="Arial" w:cs="Arial"/>
                <w:color w:val="000000"/>
                <w:sz w:val="16"/>
                <w:szCs w:val="16"/>
              </w:rPr>
            </w:pPr>
            <w:r>
              <w:rPr>
                <w:rFonts w:ascii="Arial" w:hAnsi="Arial" w:cs="Arial"/>
                <w:color w:val="000000"/>
                <w:sz w:val="16"/>
                <w:szCs w:val="16"/>
              </w:rPr>
              <w:t>1. Moderately improves everything, unless pavement is failed</w:t>
            </w:r>
            <w:r>
              <w:rPr>
                <w:rFonts w:ascii="Arial" w:hAnsi="Arial" w:cs="Arial"/>
                <w:color w:val="000000"/>
                <w:sz w:val="16"/>
                <w:szCs w:val="16"/>
              </w:rPr>
              <w:br/>
              <w:t>2. Plenty of contractor experience and availability.</w:t>
            </w:r>
            <w:r>
              <w:rPr>
                <w:rFonts w:ascii="Arial" w:hAnsi="Arial" w:cs="Arial"/>
                <w:color w:val="000000"/>
                <w:sz w:val="16"/>
                <w:szCs w:val="16"/>
              </w:rPr>
              <w:br/>
              <w:t>4. Subgrade is not disturbed, resulting in no E&amp;S or other SWM requirements</w:t>
            </w:r>
            <w:r w:rsidR="0042403B">
              <w:rPr>
                <w:rFonts w:ascii="Arial" w:hAnsi="Arial" w:cs="Arial"/>
                <w:color w:val="000000"/>
                <w:sz w:val="16"/>
                <w:szCs w:val="16"/>
              </w:rPr>
              <w:t>.</w:t>
            </w:r>
            <w:r w:rsidR="0042403B">
              <w:rPr>
                <w:rFonts w:ascii="Arial" w:hAnsi="Arial" w:cs="Arial"/>
                <w:color w:val="000000"/>
                <w:sz w:val="16"/>
                <w:szCs w:val="16"/>
              </w:rPr>
              <w:br/>
              <w:t>5. Restores functional and structural service lives.</w:t>
            </w:r>
            <w:r w:rsidR="0042403B">
              <w:rPr>
                <w:rFonts w:ascii="Arial" w:hAnsi="Arial" w:cs="Arial"/>
                <w:color w:val="000000"/>
                <w:sz w:val="16"/>
                <w:szCs w:val="16"/>
              </w:rPr>
              <w:br/>
            </w:r>
          </w:p>
        </w:tc>
      </w:tr>
      <w:tr w:rsidR="0042403B" w:rsidRPr="008B546B" w14:paraId="038A7EFE" w14:textId="77777777" w:rsidTr="006A4B9E">
        <w:trPr>
          <w:trHeight w:val="125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1CDC4BFD" w14:textId="6402CCF9"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D558FD" w:rsidRPr="008B546B">
              <w:rPr>
                <w:rFonts w:ascii="Arial" w:hAnsi="Arial" w:cs="Arial"/>
                <w:b/>
                <w:bCs/>
                <w:sz w:val="22"/>
                <w:szCs w:val="22"/>
              </w:rPr>
              <w:t xml:space="preserve"> </w:t>
            </w:r>
            <w:r w:rsidRPr="008B546B">
              <w:rPr>
                <w:rFonts w:ascii="Arial" w:hAnsi="Arial" w:cs="Arial"/>
                <w:b/>
                <w:bCs/>
                <w:sz w:val="22"/>
                <w:szCs w:val="22"/>
              </w:rPr>
              <w:t>Disadvantages</w:t>
            </w:r>
          </w:p>
        </w:tc>
        <w:tc>
          <w:tcPr>
            <w:tcW w:w="2897" w:type="dxa"/>
            <w:tcBorders>
              <w:top w:val="nil"/>
              <w:left w:val="nil"/>
              <w:bottom w:val="single" w:sz="4" w:space="0" w:color="auto"/>
              <w:right w:val="single" w:sz="4" w:space="0" w:color="auto"/>
            </w:tcBorders>
            <w:hideMark/>
          </w:tcPr>
          <w:p w14:paraId="3CAB9D21" w14:textId="5DFB1989" w:rsidR="00D558FD" w:rsidRPr="006A17CA" w:rsidRDefault="002728BF" w:rsidP="00D558FD">
            <w:pPr>
              <w:rPr>
                <w:rFonts w:ascii="Arial" w:hAnsi="Arial" w:cs="Arial"/>
                <w:color w:val="000000"/>
                <w:sz w:val="16"/>
                <w:szCs w:val="16"/>
              </w:rPr>
            </w:pPr>
            <w:r>
              <w:rPr>
                <w:rFonts w:ascii="Arial" w:hAnsi="Arial" w:cs="Arial"/>
                <w:color w:val="000000"/>
                <w:sz w:val="16"/>
                <w:szCs w:val="16"/>
              </w:rPr>
              <w:t>1</w:t>
            </w:r>
            <w:r w:rsidR="0042403B">
              <w:rPr>
                <w:rFonts w:ascii="Arial" w:hAnsi="Arial" w:cs="Arial"/>
                <w:color w:val="000000"/>
                <w:sz w:val="16"/>
                <w:szCs w:val="16"/>
              </w:rPr>
              <w:t>. Handwork is necessary sometimes.</w:t>
            </w:r>
            <w:r w:rsidR="0042403B">
              <w:rPr>
                <w:rFonts w:ascii="Arial" w:hAnsi="Arial" w:cs="Arial"/>
                <w:color w:val="000000"/>
                <w:sz w:val="16"/>
                <w:szCs w:val="16"/>
              </w:rPr>
              <w:br/>
            </w:r>
            <w:r>
              <w:rPr>
                <w:rFonts w:ascii="Arial" w:hAnsi="Arial" w:cs="Arial"/>
                <w:color w:val="000000"/>
                <w:sz w:val="16"/>
                <w:szCs w:val="16"/>
              </w:rPr>
              <w:t>2</w:t>
            </w:r>
            <w:r w:rsidR="0042403B">
              <w:rPr>
                <w:rFonts w:ascii="Arial" w:hAnsi="Arial" w:cs="Arial"/>
                <w:color w:val="000000"/>
                <w:sz w:val="16"/>
                <w:szCs w:val="16"/>
              </w:rPr>
              <w:t xml:space="preserve">. Must be placed at temperatures above 50 </w:t>
            </w:r>
            <w:r w:rsidR="00D558FD" w:rsidRPr="006A17CA">
              <w:rPr>
                <w:rFonts w:ascii="Arial" w:hAnsi="Arial" w:cs="Arial"/>
                <w:color w:val="000000"/>
                <w:sz w:val="16"/>
                <w:szCs w:val="16"/>
              </w:rPr>
              <w:t>deg</w:t>
            </w:r>
            <w:r w:rsidR="0042403B">
              <w:rPr>
                <w:rFonts w:ascii="Arial" w:hAnsi="Arial" w:cs="Arial"/>
                <w:color w:val="000000"/>
                <w:sz w:val="16"/>
                <w:szCs w:val="16"/>
              </w:rPr>
              <w:t xml:space="preserve"> F</w:t>
            </w:r>
          </w:p>
          <w:p w14:paraId="4A5BF15E" w14:textId="1EB7E04B" w:rsidR="0042403B" w:rsidRPr="000933C0" w:rsidRDefault="00D558FD" w:rsidP="002728BF">
            <w:r w:rsidRPr="006A17CA">
              <w:rPr>
                <w:rFonts w:ascii="Arial" w:hAnsi="Arial" w:cs="Arial"/>
                <w:color w:val="000000"/>
                <w:sz w:val="16"/>
                <w:szCs w:val="16"/>
              </w:rPr>
              <w:t>3. Requires a spray paver.</w:t>
            </w:r>
            <w:r w:rsidR="00915EA9">
              <w:rPr>
                <w:rFonts w:ascii="Arial" w:hAnsi="Arial" w:cs="Arial"/>
                <w:color w:val="000000"/>
                <w:sz w:val="16"/>
                <w:szCs w:val="16"/>
              </w:rPr>
              <w:t>.</w:t>
            </w:r>
            <w:r w:rsidR="00CB2615">
              <w:rPr>
                <w:rFonts w:ascii="Arial" w:hAnsi="Arial" w:cs="Arial"/>
                <w:color w:val="000000"/>
                <w:sz w:val="16"/>
                <w:szCs w:val="16"/>
              </w:rPr>
              <w:t xml:space="preserve"> </w:t>
            </w:r>
          </w:p>
        </w:tc>
        <w:tc>
          <w:tcPr>
            <w:tcW w:w="3240" w:type="dxa"/>
            <w:tcBorders>
              <w:top w:val="nil"/>
              <w:left w:val="nil"/>
              <w:bottom w:val="single" w:sz="4" w:space="0" w:color="auto"/>
              <w:right w:val="single" w:sz="4" w:space="0" w:color="auto"/>
            </w:tcBorders>
            <w:hideMark/>
          </w:tcPr>
          <w:p w14:paraId="44476F6D" w14:textId="77A9705B" w:rsidR="0042403B" w:rsidRPr="000933C0" w:rsidRDefault="0042403B" w:rsidP="00915EA9">
            <w:pPr>
              <w:spacing w:after="240"/>
              <w:rPr>
                <w:rFonts w:ascii="Arial" w:hAnsi="Arial"/>
                <w:color w:val="000000"/>
                <w:sz w:val="16"/>
              </w:rPr>
            </w:pPr>
            <w:r>
              <w:rPr>
                <w:rFonts w:ascii="Arial" w:hAnsi="Arial" w:cs="Arial"/>
                <w:sz w:val="16"/>
                <w:szCs w:val="16"/>
              </w:rPr>
              <w:br/>
            </w:r>
            <w:r w:rsidR="00D558FD">
              <w:rPr>
                <w:rFonts w:ascii="Arial" w:hAnsi="Arial" w:cs="Arial"/>
                <w:color w:val="000000"/>
                <w:sz w:val="16"/>
                <w:szCs w:val="16"/>
              </w:rPr>
              <w:t>1.  May be more expensive than a preventive or a reactive maintenance technique.</w:t>
            </w:r>
          </w:p>
        </w:tc>
      </w:tr>
      <w:tr w:rsidR="0042403B" w:rsidRPr="008B546B" w14:paraId="60675AE3" w14:textId="77777777" w:rsidTr="000933C0">
        <w:trPr>
          <w:trHeight w:val="377"/>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73369A4E"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10CA9FD8"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2897" w:type="dxa"/>
            <w:vMerge w:val="restart"/>
            <w:tcBorders>
              <w:top w:val="nil"/>
              <w:left w:val="nil"/>
              <w:right w:val="single" w:sz="4" w:space="0" w:color="auto"/>
            </w:tcBorders>
            <w:vAlign w:val="center"/>
            <w:hideMark/>
          </w:tcPr>
          <w:p w14:paraId="4862DE89" w14:textId="6161F2C3" w:rsidR="0042403B" w:rsidRDefault="0042403B" w:rsidP="00BE3F24">
            <w:pPr>
              <w:rPr>
                <w:rFonts w:ascii="Arial" w:hAnsi="Arial" w:cs="Arial"/>
                <w:color w:val="000000"/>
                <w:sz w:val="16"/>
                <w:szCs w:val="16"/>
              </w:rPr>
            </w:pPr>
            <w:r>
              <w:rPr>
                <w:rFonts w:ascii="Arial" w:hAnsi="Arial" w:cs="Arial"/>
                <w:color w:val="000000"/>
                <w:sz w:val="16"/>
                <w:szCs w:val="16"/>
              </w:rPr>
              <w:t>$9</w:t>
            </w:r>
            <w:r w:rsidR="00915EA9">
              <w:rPr>
                <w:rFonts w:ascii="Arial" w:hAnsi="Arial" w:cs="Arial"/>
                <w:color w:val="000000"/>
                <w:sz w:val="16"/>
                <w:szCs w:val="16"/>
              </w:rPr>
              <w:t xml:space="preserve"> </w:t>
            </w:r>
            <w:r w:rsidR="00D558FD">
              <w:rPr>
                <w:rFonts w:ascii="Arial" w:hAnsi="Arial" w:cs="Arial"/>
                <w:color w:val="000000"/>
                <w:sz w:val="16"/>
                <w:szCs w:val="16"/>
              </w:rPr>
              <w:t>-</w:t>
            </w:r>
            <w:r w:rsidR="00915EA9">
              <w:rPr>
                <w:rFonts w:ascii="Arial" w:hAnsi="Arial" w:cs="Arial"/>
                <w:color w:val="000000"/>
                <w:sz w:val="16"/>
                <w:szCs w:val="16"/>
              </w:rPr>
              <w:t xml:space="preserve">– </w:t>
            </w:r>
            <w:r>
              <w:rPr>
                <w:rFonts w:ascii="Arial" w:hAnsi="Arial" w:cs="Arial"/>
                <w:color w:val="000000"/>
                <w:sz w:val="16"/>
                <w:szCs w:val="16"/>
              </w:rPr>
              <w:t>$14 /</w:t>
            </w:r>
            <w:r w:rsidR="00D558FD">
              <w:rPr>
                <w:rFonts w:ascii="Arial" w:hAnsi="Arial" w:cs="Arial"/>
                <w:color w:val="000000"/>
                <w:sz w:val="16"/>
                <w:szCs w:val="16"/>
              </w:rPr>
              <w:t xml:space="preserve"> </w:t>
            </w:r>
            <w:r>
              <w:rPr>
                <w:rFonts w:ascii="Arial" w:hAnsi="Arial" w:cs="Arial"/>
                <w:color w:val="000000"/>
                <w:sz w:val="16"/>
                <w:szCs w:val="16"/>
              </w:rPr>
              <w:t>SY</w:t>
            </w:r>
          </w:p>
        </w:tc>
        <w:tc>
          <w:tcPr>
            <w:tcW w:w="3240" w:type="dxa"/>
            <w:vMerge w:val="restart"/>
            <w:tcBorders>
              <w:top w:val="nil"/>
              <w:left w:val="nil"/>
              <w:right w:val="single" w:sz="4" w:space="0" w:color="auto"/>
            </w:tcBorders>
            <w:vAlign w:val="center"/>
            <w:hideMark/>
          </w:tcPr>
          <w:p w14:paraId="14000909" w14:textId="3A483A29" w:rsidR="0042403B" w:rsidRPr="000933C0" w:rsidRDefault="00D558FD" w:rsidP="00BE3F24">
            <w:pPr>
              <w:rPr>
                <w:rFonts w:ascii="Arial" w:hAnsi="Arial"/>
                <w:color w:val="000000"/>
                <w:sz w:val="16"/>
              </w:rPr>
            </w:pPr>
            <w:r>
              <w:rPr>
                <w:rFonts w:ascii="Arial" w:hAnsi="Arial" w:cs="Arial"/>
                <w:color w:val="000000"/>
                <w:sz w:val="16"/>
                <w:szCs w:val="16"/>
              </w:rPr>
              <w:t>Re</w:t>
            </w:r>
            <w:r w:rsidRPr="00C9741F">
              <w:rPr>
                <w:rFonts w:ascii="Arial" w:hAnsi="Arial" w:cs="Arial"/>
                <w:color w:val="000000"/>
                <w:sz w:val="16"/>
                <w:szCs w:val="16"/>
              </w:rPr>
              <w:t xml:space="preserve">fer to </w:t>
            </w:r>
            <w:r>
              <w:rPr>
                <w:rFonts w:ascii="Arial" w:hAnsi="Arial" w:cs="Arial"/>
                <w:color w:val="000000"/>
                <w:sz w:val="16"/>
                <w:szCs w:val="16"/>
              </w:rPr>
              <w:t>the</w:t>
            </w:r>
            <w:r w:rsidRPr="00C9741F">
              <w:rPr>
                <w:rFonts w:ascii="Arial" w:hAnsi="Arial" w:cs="Arial"/>
                <w:color w:val="000000"/>
                <w:sz w:val="16"/>
                <w:szCs w:val="16"/>
              </w:rPr>
              <w:t xml:space="preserve"> </w:t>
            </w:r>
            <w:hyperlink r:id="rId64" w:history="1">
              <w:r w:rsidRPr="00C9741F">
                <w:rPr>
                  <w:rStyle w:val="Hyperlink"/>
                  <w:rFonts w:ascii="Arial" w:hAnsi="Arial" w:cs="Arial"/>
                  <w:sz w:val="16"/>
                  <w:szCs w:val="16"/>
                </w:rPr>
                <w:t>Unit Price</w:t>
              </w:r>
            </w:hyperlink>
            <w:r w:rsidRPr="00C9741F">
              <w:rPr>
                <w:rFonts w:ascii="Arial" w:hAnsi="Arial" w:cs="Arial"/>
                <w:sz w:val="16"/>
                <w:szCs w:val="16"/>
              </w:rPr>
              <w:t xml:space="preserve"> table located on the OMT network </w:t>
            </w:r>
            <w:r>
              <w:rPr>
                <w:rFonts w:ascii="Arial" w:hAnsi="Arial" w:cs="Arial"/>
                <w:sz w:val="16"/>
                <w:szCs w:val="16"/>
              </w:rPr>
              <w:t>for</w:t>
            </w:r>
            <w:r w:rsidRPr="00C9741F">
              <w:rPr>
                <w:rFonts w:ascii="Arial" w:hAnsi="Arial" w:cs="Arial"/>
                <w:sz w:val="16"/>
                <w:szCs w:val="16"/>
              </w:rPr>
              <w:t xml:space="preserve"> the latest average unit prices</w:t>
            </w:r>
            <w:r>
              <w:rPr>
                <w:rFonts w:ascii="Arial" w:hAnsi="Arial" w:cs="Arial"/>
                <w:sz w:val="16"/>
                <w:szCs w:val="16"/>
              </w:rPr>
              <w:t>.</w:t>
            </w:r>
          </w:p>
        </w:tc>
      </w:tr>
      <w:tr w:rsidR="0042403B" w:rsidRPr="008B546B" w14:paraId="7ADF334D" w14:textId="77777777" w:rsidTr="000933C0">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8168E47"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45D3581"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2897" w:type="dxa"/>
            <w:vMerge/>
            <w:tcBorders>
              <w:left w:val="nil"/>
              <w:right w:val="single" w:sz="4" w:space="0" w:color="auto"/>
            </w:tcBorders>
            <w:vAlign w:val="center"/>
            <w:hideMark/>
          </w:tcPr>
          <w:p w14:paraId="56DA4524" w14:textId="77777777" w:rsidR="0042403B" w:rsidRDefault="0042403B" w:rsidP="00BE3F24">
            <w:pPr>
              <w:rPr>
                <w:rFonts w:ascii="Arial" w:hAnsi="Arial" w:cs="Arial"/>
                <w:color w:val="000000"/>
                <w:sz w:val="16"/>
                <w:szCs w:val="16"/>
              </w:rPr>
            </w:pPr>
          </w:p>
        </w:tc>
        <w:tc>
          <w:tcPr>
            <w:tcW w:w="3240" w:type="dxa"/>
            <w:vMerge/>
            <w:tcBorders>
              <w:left w:val="nil"/>
              <w:right w:val="single" w:sz="4" w:space="0" w:color="auto"/>
            </w:tcBorders>
            <w:vAlign w:val="center"/>
            <w:hideMark/>
          </w:tcPr>
          <w:p w14:paraId="0E9B6786" w14:textId="77777777" w:rsidR="0042403B" w:rsidRDefault="0042403B" w:rsidP="00BE3F24">
            <w:pPr>
              <w:rPr>
                <w:rFonts w:ascii="Arial" w:hAnsi="Arial" w:cs="Arial"/>
                <w:sz w:val="16"/>
                <w:szCs w:val="16"/>
              </w:rPr>
            </w:pPr>
          </w:p>
        </w:tc>
      </w:tr>
      <w:tr w:rsidR="0042403B" w:rsidRPr="008B546B" w14:paraId="058C36DA" w14:textId="77777777" w:rsidTr="000933C0">
        <w:trPr>
          <w:trHeight w:val="377"/>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FC016F1"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73D130F"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2897" w:type="dxa"/>
            <w:vMerge/>
            <w:tcBorders>
              <w:left w:val="nil"/>
              <w:bottom w:val="single" w:sz="4" w:space="0" w:color="auto"/>
              <w:right w:val="single" w:sz="4" w:space="0" w:color="auto"/>
            </w:tcBorders>
            <w:vAlign w:val="center"/>
            <w:hideMark/>
          </w:tcPr>
          <w:p w14:paraId="2D111BCA" w14:textId="77777777" w:rsidR="0042403B" w:rsidRDefault="0042403B" w:rsidP="00BE3F24">
            <w:pPr>
              <w:rPr>
                <w:rFonts w:ascii="Arial" w:hAnsi="Arial" w:cs="Arial"/>
                <w:color w:val="000000"/>
                <w:sz w:val="16"/>
                <w:szCs w:val="16"/>
              </w:rPr>
            </w:pPr>
          </w:p>
        </w:tc>
        <w:tc>
          <w:tcPr>
            <w:tcW w:w="3240" w:type="dxa"/>
            <w:vMerge/>
            <w:tcBorders>
              <w:left w:val="nil"/>
              <w:bottom w:val="single" w:sz="4" w:space="0" w:color="auto"/>
              <w:right w:val="single" w:sz="4" w:space="0" w:color="auto"/>
            </w:tcBorders>
            <w:vAlign w:val="center"/>
            <w:hideMark/>
          </w:tcPr>
          <w:p w14:paraId="0463D919" w14:textId="77777777" w:rsidR="0042403B" w:rsidRDefault="0042403B" w:rsidP="00BE3F24">
            <w:pPr>
              <w:rPr>
                <w:rFonts w:ascii="Arial" w:hAnsi="Arial" w:cs="Arial"/>
                <w:sz w:val="16"/>
                <w:szCs w:val="16"/>
              </w:rPr>
            </w:pPr>
          </w:p>
        </w:tc>
      </w:tr>
      <w:tr w:rsidR="0042403B" w:rsidRPr="008B546B" w14:paraId="4271C409" w14:textId="77777777" w:rsidTr="000933C0">
        <w:trPr>
          <w:trHeight w:val="539"/>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F210775"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1281188"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2897" w:type="dxa"/>
            <w:tcBorders>
              <w:top w:val="nil"/>
              <w:left w:val="nil"/>
              <w:bottom w:val="single" w:sz="4" w:space="0" w:color="auto"/>
              <w:right w:val="single" w:sz="4" w:space="0" w:color="auto"/>
            </w:tcBorders>
            <w:vAlign w:val="center"/>
            <w:hideMark/>
          </w:tcPr>
          <w:p w14:paraId="59357C53" w14:textId="77777777" w:rsidR="0042403B" w:rsidRDefault="0042403B" w:rsidP="00BE3F24">
            <w:pPr>
              <w:rPr>
                <w:rFonts w:ascii="Arial" w:hAnsi="Arial" w:cs="Arial"/>
                <w:color w:val="000000"/>
                <w:sz w:val="16"/>
                <w:szCs w:val="16"/>
              </w:rPr>
            </w:pPr>
            <w:r>
              <w:rPr>
                <w:rFonts w:ascii="Arial" w:hAnsi="Arial" w:cs="Arial"/>
                <w:color w:val="000000"/>
                <w:sz w:val="16"/>
                <w:szCs w:val="16"/>
              </w:rPr>
              <w:t>Cost is for one-pass only.</w:t>
            </w:r>
          </w:p>
        </w:tc>
        <w:tc>
          <w:tcPr>
            <w:tcW w:w="3240" w:type="dxa"/>
            <w:tcBorders>
              <w:top w:val="nil"/>
              <w:left w:val="nil"/>
              <w:bottom w:val="single" w:sz="4" w:space="0" w:color="auto"/>
              <w:right w:val="single" w:sz="4" w:space="0" w:color="auto"/>
            </w:tcBorders>
            <w:vAlign w:val="center"/>
            <w:hideMark/>
          </w:tcPr>
          <w:p w14:paraId="73EF67E5" w14:textId="7FEC0E55" w:rsidR="0042403B" w:rsidRDefault="002728BF" w:rsidP="00BE3F24">
            <w:pPr>
              <w:rPr>
                <w:rFonts w:ascii="Arial" w:hAnsi="Arial" w:cs="Arial"/>
                <w:sz w:val="16"/>
                <w:szCs w:val="16"/>
              </w:rPr>
            </w:pPr>
            <w:r>
              <w:rPr>
                <w:rFonts w:ascii="Arial" w:hAnsi="Arial" w:cs="Arial"/>
                <w:sz w:val="16"/>
                <w:szCs w:val="16"/>
              </w:rPr>
              <w:t>Material costs, including hauling and equipment</w:t>
            </w:r>
          </w:p>
        </w:tc>
      </w:tr>
      <w:tr w:rsidR="0042403B" w:rsidRPr="008B546B" w14:paraId="7809EA34" w14:textId="77777777" w:rsidTr="000933C0">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17A7340"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1A419E4"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2897" w:type="dxa"/>
            <w:tcBorders>
              <w:top w:val="nil"/>
              <w:left w:val="nil"/>
              <w:bottom w:val="single" w:sz="4" w:space="0" w:color="auto"/>
              <w:right w:val="single" w:sz="4" w:space="0" w:color="auto"/>
            </w:tcBorders>
            <w:vAlign w:val="center"/>
            <w:hideMark/>
          </w:tcPr>
          <w:p w14:paraId="3F823025" w14:textId="77777777" w:rsidR="0042403B" w:rsidRDefault="0042403B" w:rsidP="00BE3F24">
            <w:pPr>
              <w:rPr>
                <w:rFonts w:ascii="Arial" w:hAnsi="Arial" w:cs="Arial"/>
                <w:color w:val="000000"/>
                <w:sz w:val="16"/>
                <w:szCs w:val="16"/>
              </w:rPr>
            </w:pPr>
            <w:r>
              <w:rPr>
                <w:rFonts w:ascii="Arial" w:hAnsi="Arial" w:cs="Arial"/>
                <w:color w:val="000000"/>
                <w:sz w:val="16"/>
                <w:szCs w:val="16"/>
              </w:rPr>
              <w:t>Multiple Passes</w:t>
            </w:r>
          </w:p>
        </w:tc>
        <w:tc>
          <w:tcPr>
            <w:tcW w:w="3240" w:type="dxa"/>
            <w:tcBorders>
              <w:top w:val="nil"/>
              <w:left w:val="nil"/>
              <w:bottom w:val="single" w:sz="4" w:space="0" w:color="auto"/>
              <w:right w:val="single" w:sz="4" w:space="0" w:color="auto"/>
            </w:tcBorders>
            <w:vAlign w:val="center"/>
            <w:hideMark/>
          </w:tcPr>
          <w:p w14:paraId="007DE013" w14:textId="46FEF1BB" w:rsidR="0042403B" w:rsidRDefault="002728BF" w:rsidP="00BE3F24">
            <w:pPr>
              <w:rPr>
                <w:rFonts w:ascii="Arial" w:hAnsi="Arial" w:cs="Arial"/>
                <w:sz w:val="16"/>
                <w:szCs w:val="16"/>
              </w:rPr>
            </w:pPr>
            <w:r>
              <w:rPr>
                <w:rFonts w:ascii="Arial" w:hAnsi="Arial" w:cs="Arial"/>
                <w:sz w:val="16"/>
                <w:szCs w:val="16"/>
              </w:rPr>
              <w:t>Unknown</w:t>
            </w:r>
          </w:p>
        </w:tc>
      </w:tr>
      <w:tr w:rsidR="0042403B" w:rsidRPr="008B546B" w14:paraId="214A6F62" w14:textId="77777777" w:rsidTr="000933C0">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F6ABAAA"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897" w:type="dxa"/>
            <w:tcBorders>
              <w:top w:val="single" w:sz="4" w:space="0" w:color="auto"/>
              <w:left w:val="nil"/>
              <w:bottom w:val="single" w:sz="4" w:space="0" w:color="auto"/>
              <w:right w:val="single" w:sz="4" w:space="0" w:color="auto"/>
            </w:tcBorders>
            <w:vAlign w:val="center"/>
            <w:hideMark/>
          </w:tcPr>
          <w:p w14:paraId="08F80313" w14:textId="5A77965B" w:rsidR="00D558FD" w:rsidRDefault="00D558FD" w:rsidP="00D558FD">
            <w:pPr>
              <w:rPr>
                <w:rFonts w:ascii="Arial" w:hAnsi="Arial" w:cs="Arial"/>
                <w:color w:val="000000"/>
                <w:sz w:val="16"/>
                <w:szCs w:val="16"/>
              </w:rPr>
            </w:pPr>
            <w:r>
              <w:rPr>
                <w:rFonts w:ascii="Arial" w:hAnsi="Arial" w:cs="Arial"/>
                <w:color w:val="000000"/>
                <w:sz w:val="16"/>
                <w:szCs w:val="16"/>
              </w:rPr>
              <w:t>8-15</w:t>
            </w:r>
            <w:r w:rsidR="0042403B">
              <w:rPr>
                <w:rFonts w:ascii="Arial" w:hAnsi="Arial" w:cs="Arial"/>
                <w:color w:val="000000"/>
                <w:sz w:val="16"/>
                <w:szCs w:val="16"/>
              </w:rPr>
              <w:t xml:space="preserve"> years</w:t>
            </w:r>
          </w:p>
          <w:p w14:paraId="71161791" w14:textId="12816478" w:rsidR="0042403B" w:rsidRDefault="0042403B" w:rsidP="0007677E">
            <w:pPr>
              <w:rPr>
                <w:rFonts w:ascii="Arial" w:hAnsi="Arial" w:cs="Arial"/>
                <w:color w:val="000000"/>
                <w:sz w:val="16"/>
                <w:szCs w:val="16"/>
              </w:rPr>
            </w:pPr>
          </w:p>
        </w:tc>
        <w:tc>
          <w:tcPr>
            <w:tcW w:w="3240" w:type="dxa"/>
            <w:tcBorders>
              <w:top w:val="nil"/>
              <w:left w:val="nil"/>
              <w:bottom w:val="single" w:sz="4" w:space="0" w:color="auto"/>
              <w:right w:val="single" w:sz="4" w:space="0" w:color="auto"/>
            </w:tcBorders>
            <w:vAlign w:val="center"/>
            <w:hideMark/>
          </w:tcPr>
          <w:p w14:paraId="5EB00205" w14:textId="38CFFA4D" w:rsidR="0042403B" w:rsidRDefault="00D558FD" w:rsidP="0007677E">
            <w:pPr>
              <w:rPr>
                <w:rFonts w:ascii="Arial" w:hAnsi="Arial" w:cs="Arial"/>
                <w:color w:val="000000"/>
                <w:sz w:val="16"/>
                <w:szCs w:val="16"/>
              </w:rPr>
            </w:pPr>
            <w:r>
              <w:rPr>
                <w:rFonts w:ascii="Arial" w:hAnsi="Arial" w:cs="Arial"/>
                <w:color w:val="000000"/>
                <w:sz w:val="16"/>
                <w:szCs w:val="16"/>
              </w:rPr>
              <w:t>8-20</w:t>
            </w:r>
            <w:r w:rsidR="0042403B">
              <w:rPr>
                <w:rFonts w:ascii="Arial" w:hAnsi="Arial" w:cs="Arial"/>
                <w:color w:val="000000"/>
                <w:sz w:val="16"/>
                <w:szCs w:val="16"/>
              </w:rPr>
              <w:t xml:space="preserve"> years</w:t>
            </w:r>
          </w:p>
        </w:tc>
      </w:tr>
    </w:tbl>
    <w:p w14:paraId="1F414002" w14:textId="77777777" w:rsidR="00BC273A" w:rsidRDefault="00BC273A"/>
    <w:p w14:paraId="25415AF4" w14:textId="77777777" w:rsidR="00BC273A" w:rsidRDefault="00BC273A">
      <w:r>
        <w:br w:type="page"/>
      </w:r>
    </w:p>
    <w:p w14:paraId="574B0E64" w14:textId="77777777" w:rsidR="00BC273A" w:rsidRDefault="00BC273A"/>
    <w:tbl>
      <w:tblPr>
        <w:tblW w:w="9370" w:type="dxa"/>
        <w:tblInd w:w="98" w:type="dxa"/>
        <w:tblLook w:val="04A0" w:firstRow="1" w:lastRow="0" w:firstColumn="1" w:lastColumn="0" w:noHBand="0" w:noVBand="1"/>
      </w:tblPr>
      <w:tblGrid>
        <w:gridCol w:w="1040"/>
        <w:gridCol w:w="1540"/>
        <w:gridCol w:w="3460"/>
        <w:gridCol w:w="67"/>
        <w:gridCol w:w="3263"/>
      </w:tblGrid>
      <w:tr w:rsidR="00BC273A" w:rsidRPr="008B546B" w14:paraId="3099CE3A" w14:textId="77777777" w:rsidTr="00E32042">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57404AA" w14:textId="77777777" w:rsidR="00BC273A" w:rsidRDefault="00BC273A" w:rsidP="00BC273A">
            <w:pPr>
              <w:jc w:val="center"/>
              <w:rPr>
                <w:rFonts w:ascii="Bell MT" w:hAnsi="Bell MT" w:cs="Calibri"/>
                <w:b/>
                <w:bCs/>
                <w:color w:val="000000"/>
                <w:sz w:val="28"/>
                <w:szCs w:val="28"/>
              </w:rPr>
            </w:pPr>
            <w:r w:rsidRPr="008B546B">
              <w:rPr>
                <w:rFonts w:ascii="Bell MT" w:hAnsi="Bell MT" w:cs="Calibri"/>
                <w:b/>
                <w:bCs/>
                <w:color w:val="000000"/>
                <w:sz w:val="28"/>
                <w:szCs w:val="28"/>
              </w:rPr>
              <w:t>Table B.</w:t>
            </w:r>
            <w:r>
              <w:rPr>
                <w:rFonts w:ascii="Bell MT" w:hAnsi="Bell MT" w:cs="Calibri"/>
                <w:b/>
                <w:bCs/>
                <w:color w:val="000000"/>
                <w:sz w:val="28"/>
                <w:szCs w:val="28"/>
              </w:rPr>
              <w:t>10</w:t>
            </w:r>
          </w:p>
          <w:p w14:paraId="7EE3F500" w14:textId="77777777" w:rsidR="00BC273A" w:rsidRDefault="00BC273A" w:rsidP="00BC273A">
            <w:pPr>
              <w:jc w:val="center"/>
              <w:rPr>
                <w:rFonts w:ascii="Bell MT" w:hAnsi="Bell MT" w:cs="Calibri"/>
                <w:b/>
                <w:bCs/>
                <w:color w:val="000000"/>
                <w:sz w:val="28"/>
                <w:szCs w:val="28"/>
              </w:rPr>
            </w:pPr>
          </w:p>
          <w:p w14:paraId="0A3AFBF6" w14:textId="77777777" w:rsidR="00BC273A" w:rsidRPr="008B546B" w:rsidRDefault="00BC273A" w:rsidP="00BC273A">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790" w:type="dxa"/>
            <w:gridSpan w:val="3"/>
            <w:tcBorders>
              <w:top w:val="single" w:sz="4" w:space="0" w:color="auto"/>
              <w:left w:val="single" w:sz="8" w:space="0" w:color="auto"/>
              <w:bottom w:val="single" w:sz="8" w:space="0" w:color="auto"/>
              <w:right w:val="single" w:sz="4" w:space="0" w:color="auto"/>
            </w:tcBorders>
            <w:vAlign w:val="bottom"/>
            <w:hideMark/>
          </w:tcPr>
          <w:p w14:paraId="13E0C2B1" w14:textId="77777777" w:rsidR="00BC273A" w:rsidRPr="008B546B" w:rsidRDefault="00BC273A" w:rsidP="00BC273A">
            <w:pPr>
              <w:pStyle w:val="Heading3"/>
              <w:ind w:left="0" w:firstLine="0"/>
            </w:pPr>
            <w:r w:rsidRPr="008B546B">
              <w:t>SUPPLEMENTAL INFORMATION FOR TREATMENT</w:t>
            </w:r>
            <w:r>
              <w:t>S D-</w:t>
            </w:r>
            <w:r w:rsidR="006A17CA">
              <w:t>2a</w:t>
            </w:r>
            <w:r>
              <w:t>, D-</w:t>
            </w:r>
            <w:r w:rsidR="006A17CA">
              <w:t>2b</w:t>
            </w:r>
          </w:p>
        </w:tc>
      </w:tr>
      <w:tr w:rsidR="00BC273A" w:rsidRPr="008B546B" w14:paraId="4D4E1E6B" w14:textId="77777777" w:rsidTr="00BC273A">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17895D51" w14:textId="77777777" w:rsidR="00BC273A" w:rsidRPr="008B546B" w:rsidRDefault="00BC273A" w:rsidP="00BC273A">
            <w:pPr>
              <w:rPr>
                <w:rFonts w:ascii="Bell MT" w:hAnsi="Bell MT" w:cs="Calibri"/>
                <w:b/>
                <w:bCs/>
                <w:color w:val="000000"/>
                <w:sz w:val="28"/>
                <w:szCs w:val="28"/>
              </w:rPr>
            </w:pPr>
          </w:p>
        </w:tc>
        <w:tc>
          <w:tcPr>
            <w:tcW w:w="3460" w:type="dxa"/>
            <w:tcBorders>
              <w:top w:val="nil"/>
              <w:left w:val="single" w:sz="4" w:space="0" w:color="auto"/>
              <w:bottom w:val="single" w:sz="4" w:space="0" w:color="auto"/>
              <w:right w:val="single" w:sz="4" w:space="0" w:color="auto"/>
            </w:tcBorders>
            <w:vAlign w:val="center"/>
          </w:tcPr>
          <w:p w14:paraId="0BCDA287" w14:textId="44C496D5" w:rsidR="00BC273A" w:rsidRDefault="00BC273A" w:rsidP="00BC273A">
            <w:pPr>
              <w:jc w:val="center"/>
              <w:rPr>
                <w:rFonts w:ascii="Arial" w:hAnsi="Arial" w:cs="Arial"/>
                <w:b/>
                <w:bCs/>
                <w:sz w:val="22"/>
                <w:szCs w:val="22"/>
              </w:rPr>
            </w:pPr>
            <w:hyperlink w:anchor="D2A_OGFC" w:history="1">
              <w:r w:rsidRPr="00C61B7D">
                <w:rPr>
                  <w:rStyle w:val="Hyperlink"/>
                  <w:rFonts w:ascii="Arial" w:hAnsi="Arial" w:cs="Arial"/>
                  <w:b/>
                  <w:bCs/>
                  <w:sz w:val="22"/>
                  <w:szCs w:val="22"/>
                </w:rPr>
                <w:t>D-</w:t>
              </w:r>
              <w:r>
                <w:rPr>
                  <w:rStyle w:val="Hyperlink"/>
                  <w:rFonts w:ascii="Arial" w:hAnsi="Arial" w:cs="Arial"/>
                  <w:b/>
                  <w:bCs/>
                  <w:sz w:val="22"/>
                  <w:szCs w:val="22"/>
                </w:rPr>
                <w:t>2</w:t>
              </w:r>
              <w:r w:rsidR="006A17CA">
                <w:rPr>
                  <w:rStyle w:val="Hyperlink"/>
                  <w:rFonts w:ascii="Arial" w:hAnsi="Arial" w:cs="Arial"/>
                  <w:b/>
                  <w:bCs/>
                  <w:sz w:val="22"/>
                  <w:szCs w:val="22"/>
                </w:rPr>
                <w:t>a</w:t>
              </w:r>
              <w:r w:rsidRPr="00C61B7D">
                <w:rPr>
                  <w:rStyle w:val="Hyperlink"/>
                  <w:rFonts w:ascii="Arial" w:hAnsi="Arial" w:cs="Arial"/>
                  <w:b/>
                  <w:bCs/>
                  <w:sz w:val="22"/>
                  <w:szCs w:val="22"/>
                </w:rPr>
                <w:t>. Open Graded Friction Course (OGFC)</w:t>
              </w:r>
            </w:hyperlink>
          </w:p>
        </w:tc>
        <w:tc>
          <w:tcPr>
            <w:tcW w:w="3330" w:type="dxa"/>
            <w:gridSpan w:val="2"/>
            <w:tcBorders>
              <w:top w:val="nil"/>
              <w:left w:val="nil"/>
              <w:bottom w:val="single" w:sz="4" w:space="0" w:color="000000"/>
              <w:right w:val="single" w:sz="4" w:space="0" w:color="auto"/>
            </w:tcBorders>
            <w:vAlign w:val="center"/>
            <w:hideMark/>
          </w:tcPr>
          <w:p w14:paraId="6AE0CE10" w14:textId="562D611F" w:rsidR="00BC273A" w:rsidRDefault="00BC273A" w:rsidP="00BC273A">
            <w:pPr>
              <w:jc w:val="center"/>
              <w:rPr>
                <w:rFonts w:ascii="Arial" w:hAnsi="Arial" w:cs="Arial"/>
                <w:b/>
                <w:bCs/>
                <w:sz w:val="22"/>
                <w:szCs w:val="22"/>
              </w:rPr>
            </w:pPr>
            <w:hyperlink w:anchor="D2B_HPTO" w:history="1">
              <w:r w:rsidRPr="00C61B7D">
                <w:rPr>
                  <w:rStyle w:val="Hyperlink"/>
                  <w:rFonts w:ascii="Arial" w:hAnsi="Arial" w:cs="Arial"/>
                  <w:b/>
                  <w:bCs/>
                  <w:sz w:val="22"/>
                  <w:szCs w:val="22"/>
                </w:rPr>
                <w:t>D-</w:t>
              </w:r>
              <w:r>
                <w:rPr>
                  <w:rStyle w:val="Hyperlink"/>
                  <w:rFonts w:ascii="Arial" w:hAnsi="Arial" w:cs="Arial"/>
                  <w:b/>
                  <w:bCs/>
                  <w:sz w:val="22"/>
                  <w:szCs w:val="22"/>
                </w:rPr>
                <w:t>2</w:t>
              </w:r>
              <w:r w:rsidR="006A17CA">
                <w:rPr>
                  <w:rStyle w:val="Hyperlink"/>
                  <w:rFonts w:ascii="Arial" w:hAnsi="Arial" w:cs="Arial"/>
                  <w:b/>
                  <w:bCs/>
                  <w:sz w:val="22"/>
                  <w:szCs w:val="22"/>
                </w:rPr>
                <w:t>b</w:t>
              </w:r>
              <w:r w:rsidRPr="00C61B7D">
                <w:rPr>
                  <w:rStyle w:val="Hyperlink"/>
                  <w:rFonts w:ascii="Arial" w:hAnsi="Arial" w:cs="Arial"/>
                  <w:b/>
                  <w:bCs/>
                  <w:sz w:val="22"/>
                  <w:szCs w:val="22"/>
                </w:rPr>
                <w:t xml:space="preserve">. HMA Overlay - Ultrathin (&lt;1.5") (High Performance Thin Overlay) </w:t>
              </w:r>
            </w:hyperlink>
          </w:p>
        </w:tc>
      </w:tr>
      <w:tr w:rsidR="0042403B" w:rsidRPr="008B546B" w14:paraId="7A0AA9F7" w14:textId="77777777" w:rsidTr="00403B05">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76F48786" w14:textId="77777777" w:rsidR="0042403B" w:rsidRPr="008B546B" w:rsidRDefault="0042403B" w:rsidP="00BE3F24">
            <w:pPr>
              <w:rPr>
                <w:rFonts w:ascii="Bell MT" w:hAnsi="Bell MT" w:cs="Calibri"/>
                <w:b/>
                <w:bCs/>
                <w:color w:val="000000"/>
                <w:sz w:val="28"/>
                <w:szCs w:val="28"/>
              </w:rPr>
            </w:pPr>
          </w:p>
        </w:tc>
        <w:tc>
          <w:tcPr>
            <w:tcW w:w="3527" w:type="dxa"/>
            <w:gridSpan w:val="2"/>
            <w:tcBorders>
              <w:top w:val="nil"/>
              <w:left w:val="single" w:sz="4" w:space="0" w:color="auto"/>
              <w:bottom w:val="single" w:sz="4" w:space="0" w:color="auto"/>
              <w:right w:val="single" w:sz="4" w:space="0" w:color="auto"/>
            </w:tcBorders>
            <w:vAlign w:val="center"/>
            <w:hideMark/>
          </w:tcPr>
          <w:p w14:paraId="1E001B3D" w14:textId="77777777" w:rsidR="0042403B" w:rsidRPr="008B546B" w:rsidRDefault="0042403B" w:rsidP="00BE3F24">
            <w:pPr>
              <w:rPr>
                <w:rFonts w:ascii="Arial" w:hAnsi="Arial" w:cs="Arial"/>
                <w:b/>
                <w:bCs/>
                <w:color w:val="000000"/>
                <w:sz w:val="22"/>
                <w:szCs w:val="22"/>
              </w:rPr>
            </w:pPr>
          </w:p>
        </w:tc>
        <w:tc>
          <w:tcPr>
            <w:tcW w:w="3263" w:type="dxa"/>
            <w:tcBorders>
              <w:top w:val="nil"/>
              <w:left w:val="nil"/>
              <w:bottom w:val="single" w:sz="4" w:space="0" w:color="000000"/>
              <w:right w:val="single" w:sz="4" w:space="0" w:color="auto"/>
            </w:tcBorders>
            <w:vAlign w:val="center"/>
            <w:hideMark/>
          </w:tcPr>
          <w:p w14:paraId="0521BADF" w14:textId="77777777" w:rsidR="0042403B" w:rsidRPr="008B546B" w:rsidRDefault="0042403B" w:rsidP="00BE3F24">
            <w:pPr>
              <w:rPr>
                <w:rFonts w:ascii="Arial" w:hAnsi="Arial" w:cs="Arial"/>
                <w:b/>
                <w:bCs/>
                <w:color w:val="000000"/>
                <w:sz w:val="22"/>
                <w:szCs w:val="22"/>
              </w:rPr>
            </w:pPr>
          </w:p>
        </w:tc>
      </w:tr>
      <w:tr w:rsidR="0042403B" w:rsidRPr="008B546B" w14:paraId="4D5EB812" w14:textId="77777777" w:rsidTr="00403B05">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06276856"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30DA6B9B"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3527" w:type="dxa"/>
            <w:gridSpan w:val="2"/>
            <w:tcBorders>
              <w:top w:val="nil"/>
              <w:left w:val="nil"/>
              <w:bottom w:val="single" w:sz="4" w:space="0" w:color="auto"/>
              <w:right w:val="single" w:sz="4" w:space="0" w:color="auto"/>
            </w:tcBorders>
            <w:vAlign w:val="center"/>
            <w:hideMark/>
          </w:tcPr>
          <w:p w14:paraId="465EF445"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63" w:type="dxa"/>
            <w:tcBorders>
              <w:top w:val="nil"/>
              <w:left w:val="nil"/>
              <w:bottom w:val="single" w:sz="4" w:space="0" w:color="auto"/>
              <w:right w:val="single" w:sz="4" w:space="0" w:color="auto"/>
            </w:tcBorders>
            <w:vAlign w:val="center"/>
            <w:hideMark/>
          </w:tcPr>
          <w:p w14:paraId="43CDE889"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7BADFB5E" w14:textId="77777777" w:rsidTr="00403B05">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5C85E6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2D9B942" w14:textId="1DC21C43" w:rsidR="0042403B" w:rsidRPr="008B546B" w:rsidRDefault="00BC273A"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3527" w:type="dxa"/>
            <w:gridSpan w:val="2"/>
            <w:tcBorders>
              <w:top w:val="nil"/>
              <w:left w:val="nil"/>
              <w:bottom w:val="single" w:sz="4" w:space="0" w:color="auto"/>
              <w:right w:val="single" w:sz="4" w:space="0" w:color="auto"/>
            </w:tcBorders>
            <w:vAlign w:val="center"/>
            <w:hideMark/>
          </w:tcPr>
          <w:p w14:paraId="65A4E2C7"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63" w:type="dxa"/>
            <w:tcBorders>
              <w:top w:val="nil"/>
              <w:left w:val="nil"/>
              <w:bottom w:val="single" w:sz="4" w:space="0" w:color="auto"/>
              <w:right w:val="single" w:sz="4" w:space="0" w:color="auto"/>
            </w:tcBorders>
            <w:vAlign w:val="center"/>
            <w:hideMark/>
          </w:tcPr>
          <w:p w14:paraId="019CE947"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35B4493C" w14:textId="77777777" w:rsidTr="00403B05">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C91364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9DCA4E6" w14:textId="3AC30A56" w:rsidR="0042403B" w:rsidRPr="008B546B" w:rsidRDefault="00BC273A"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3527" w:type="dxa"/>
            <w:gridSpan w:val="2"/>
            <w:tcBorders>
              <w:top w:val="nil"/>
              <w:left w:val="nil"/>
              <w:bottom w:val="single" w:sz="4" w:space="0" w:color="auto"/>
              <w:right w:val="single" w:sz="4" w:space="0" w:color="auto"/>
            </w:tcBorders>
            <w:vAlign w:val="center"/>
            <w:hideMark/>
          </w:tcPr>
          <w:p w14:paraId="30AEFA9A" w14:textId="77777777" w:rsidR="0042403B" w:rsidRDefault="0042403B" w:rsidP="00BE3F24">
            <w:pPr>
              <w:jc w:val="center"/>
              <w:rPr>
                <w:rFonts w:ascii="Arial" w:hAnsi="Arial" w:cs="Arial"/>
                <w:b/>
                <w:bCs/>
                <w:color w:val="000000"/>
                <w:sz w:val="16"/>
                <w:szCs w:val="16"/>
              </w:rPr>
            </w:pPr>
          </w:p>
        </w:tc>
        <w:tc>
          <w:tcPr>
            <w:tcW w:w="3263" w:type="dxa"/>
            <w:tcBorders>
              <w:top w:val="nil"/>
              <w:left w:val="nil"/>
              <w:bottom w:val="single" w:sz="4" w:space="0" w:color="auto"/>
              <w:right w:val="single" w:sz="4" w:space="0" w:color="auto"/>
            </w:tcBorders>
            <w:vAlign w:val="center"/>
            <w:hideMark/>
          </w:tcPr>
          <w:p w14:paraId="43D0A0C4" w14:textId="77777777" w:rsidR="0042403B" w:rsidRPr="008B546B" w:rsidRDefault="0042403B" w:rsidP="00BE3F24">
            <w:pPr>
              <w:jc w:val="center"/>
              <w:rPr>
                <w:rFonts w:ascii="Arial" w:hAnsi="Arial" w:cs="Arial"/>
                <w:b/>
                <w:bCs/>
                <w:color w:val="000000"/>
                <w:sz w:val="16"/>
                <w:szCs w:val="16"/>
              </w:rPr>
            </w:pPr>
          </w:p>
        </w:tc>
      </w:tr>
      <w:tr w:rsidR="0042403B" w:rsidRPr="008B546B" w14:paraId="2AE752EE" w14:textId="77777777" w:rsidTr="00403B05">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606A47F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8574E94"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3527" w:type="dxa"/>
            <w:gridSpan w:val="2"/>
            <w:tcBorders>
              <w:top w:val="nil"/>
              <w:left w:val="nil"/>
              <w:bottom w:val="single" w:sz="4" w:space="0" w:color="auto"/>
              <w:right w:val="single" w:sz="4" w:space="0" w:color="auto"/>
            </w:tcBorders>
            <w:vAlign w:val="center"/>
            <w:hideMark/>
          </w:tcPr>
          <w:p w14:paraId="786E7607" w14:textId="67705078" w:rsidR="0042403B" w:rsidRDefault="0042403B" w:rsidP="00BE3F24">
            <w:pPr>
              <w:jc w:val="center"/>
              <w:rPr>
                <w:rFonts w:ascii="Arial" w:hAnsi="Arial" w:cs="Arial"/>
                <w:b/>
                <w:bCs/>
                <w:color w:val="000000"/>
                <w:sz w:val="16"/>
                <w:szCs w:val="16"/>
              </w:rPr>
            </w:pPr>
          </w:p>
        </w:tc>
        <w:tc>
          <w:tcPr>
            <w:tcW w:w="3263" w:type="dxa"/>
            <w:tcBorders>
              <w:top w:val="nil"/>
              <w:left w:val="nil"/>
              <w:bottom w:val="single" w:sz="4" w:space="0" w:color="auto"/>
              <w:right w:val="single" w:sz="4" w:space="0" w:color="auto"/>
            </w:tcBorders>
            <w:vAlign w:val="center"/>
            <w:hideMark/>
          </w:tcPr>
          <w:p w14:paraId="40B2EAD2"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0056E50E" w14:textId="77777777" w:rsidTr="00403B05">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76549B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3CA5988"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3527" w:type="dxa"/>
            <w:gridSpan w:val="2"/>
            <w:tcBorders>
              <w:top w:val="nil"/>
              <w:left w:val="nil"/>
              <w:bottom w:val="single" w:sz="4" w:space="0" w:color="auto"/>
              <w:right w:val="single" w:sz="4" w:space="0" w:color="auto"/>
            </w:tcBorders>
            <w:vAlign w:val="center"/>
            <w:hideMark/>
          </w:tcPr>
          <w:p w14:paraId="14D9A501" w14:textId="0823C797" w:rsidR="0042403B" w:rsidRDefault="00BC273A"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63" w:type="dxa"/>
            <w:tcBorders>
              <w:top w:val="nil"/>
              <w:left w:val="nil"/>
              <w:bottom w:val="single" w:sz="4" w:space="0" w:color="auto"/>
              <w:right w:val="single" w:sz="4" w:space="0" w:color="auto"/>
            </w:tcBorders>
            <w:vAlign w:val="center"/>
            <w:hideMark/>
          </w:tcPr>
          <w:p w14:paraId="7C9BCEBB" w14:textId="77777777" w:rsidR="0042403B" w:rsidRPr="008B546B" w:rsidRDefault="0042403B" w:rsidP="00BE3F24">
            <w:pPr>
              <w:jc w:val="center"/>
              <w:rPr>
                <w:rFonts w:ascii="Arial" w:hAnsi="Arial" w:cs="Arial"/>
                <w:b/>
                <w:bCs/>
                <w:color w:val="000000"/>
                <w:sz w:val="16"/>
                <w:szCs w:val="16"/>
              </w:rPr>
            </w:pPr>
          </w:p>
        </w:tc>
      </w:tr>
      <w:tr w:rsidR="0042403B" w:rsidRPr="008B546B" w14:paraId="63D3A904" w14:textId="77777777" w:rsidTr="00403B05">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09E0D2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A6B3415"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3527" w:type="dxa"/>
            <w:gridSpan w:val="2"/>
            <w:tcBorders>
              <w:top w:val="nil"/>
              <w:left w:val="nil"/>
              <w:bottom w:val="single" w:sz="4" w:space="0" w:color="auto"/>
              <w:right w:val="single" w:sz="4" w:space="0" w:color="auto"/>
            </w:tcBorders>
            <w:vAlign w:val="center"/>
            <w:hideMark/>
          </w:tcPr>
          <w:p w14:paraId="2DBA0A95" w14:textId="5FAC9B49" w:rsidR="0042403B" w:rsidRDefault="00BC273A"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63" w:type="dxa"/>
            <w:tcBorders>
              <w:top w:val="nil"/>
              <w:left w:val="nil"/>
              <w:bottom w:val="single" w:sz="4" w:space="0" w:color="auto"/>
              <w:right w:val="single" w:sz="4" w:space="0" w:color="auto"/>
            </w:tcBorders>
            <w:vAlign w:val="center"/>
            <w:hideMark/>
          </w:tcPr>
          <w:p w14:paraId="5534C0C2" w14:textId="77777777" w:rsidR="0042403B" w:rsidRPr="008B546B" w:rsidRDefault="0042403B" w:rsidP="00BE3F24">
            <w:pPr>
              <w:jc w:val="center"/>
              <w:rPr>
                <w:rFonts w:ascii="Arial" w:hAnsi="Arial" w:cs="Arial"/>
                <w:b/>
                <w:bCs/>
                <w:color w:val="000000"/>
                <w:sz w:val="16"/>
                <w:szCs w:val="16"/>
              </w:rPr>
            </w:pPr>
          </w:p>
        </w:tc>
      </w:tr>
      <w:tr w:rsidR="0042403B" w:rsidRPr="008B546B" w14:paraId="71738F97" w14:textId="77777777" w:rsidTr="00403B05">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A07F6CA" w14:textId="7BCE1888"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BC273A" w:rsidRPr="008B546B">
              <w:rPr>
                <w:rFonts w:ascii="Arial" w:hAnsi="Arial" w:cs="Arial"/>
                <w:b/>
                <w:bCs/>
                <w:sz w:val="22"/>
                <w:szCs w:val="22"/>
              </w:rPr>
              <w:t xml:space="preserve"> </w:t>
            </w:r>
            <w:r w:rsidRPr="008B546B">
              <w:rPr>
                <w:rFonts w:ascii="Arial" w:hAnsi="Arial" w:cs="Arial"/>
                <w:b/>
                <w:bCs/>
                <w:sz w:val="22"/>
                <w:szCs w:val="22"/>
              </w:rPr>
              <w:t>Advantages</w:t>
            </w:r>
          </w:p>
        </w:tc>
        <w:tc>
          <w:tcPr>
            <w:tcW w:w="3527" w:type="dxa"/>
            <w:gridSpan w:val="2"/>
            <w:tcBorders>
              <w:top w:val="nil"/>
              <w:left w:val="nil"/>
              <w:bottom w:val="single" w:sz="4" w:space="0" w:color="auto"/>
              <w:right w:val="single" w:sz="4" w:space="0" w:color="auto"/>
            </w:tcBorders>
            <w:hideMark/>
          </w:tcPr>
          <w:p w14:paraId="2E937249" w14:textId="21EF54E4" w:rsidR="0042403B" w:rsidRDefault="00BC273A" w:rsidP="000933C0">
            <w:pPr>
              <w:spacing w:after="240"/>
              <w:rPr>
                <w:rFonts w:ascii="Arial" w:hAnsi="Arial" w:cs="Arial"/>
                <w:color w:val="000000"/>
                <w:sz w:val="16"/>
                <w:szCs w:val="16"/>
              </w:rPr>
            </w:pPr>
            <w:r>
              <w:rPr>
                <w:rFonts w:ascii="Arial" w:hAnsi="Arial" w:cs="Arial"/>
                <w:color w:val="000000"/>
                <w:sz w:val="16"/>
                <w:szCs w:val="16"/>
              </w:rPr>
              <w:t>1. Reduces splash and spray</w:t>
            </w:r>
            <w:r>
              <w:rPr>
                <w:rFonts w:ascii="Arial" w:hAnsi="Arial" w:cs="Arial"/>
                <w:color w:val="000000"/>
                <w:sz w:val="16"/>
                <w:szCs w:val="16"/>
              </w:rPr>
              <w:br/>
              <w:t>2. Increases skid resistance</w:t>
            </w:r>
            <w:r>
              <w:rPr>
                <w:rFonts w:ascii="Arial" w:hAnsi="Arial" w:cs="Arial"/>
                <w:color w:val="000000"/>
                <w:sz w:val="16"/>
                <w:szCs w:val="16"/>
              </w:rPr>
              <w:br/>
              <w:t>3. Reduce tire noise</w:t>
            </w:r>
          </w:p>
        </w:tc>
        <w:tc>
          <w:tcPr>
            <w:tcW w:w="3263" w:type="dxa"/>
            <w:tcBorders>
              <w:top w:val="nil"/>
              <w:left w:val="nil"/>
              <w:bottom w:val="single" w:sz="4" w:space="0" w:color="auto"/>
              <w:right w:val="single" w:sz="4" w:space="0" w:color="auto"/>
            </w:tcBorders>
            <w:hideMark/>
          </w:tcPr>
          <w:p w14:paraId="69941842" w14:textId="77777777" w:rsidR="0042403B" w:rsidRDefault="0042403B" w:rsidP="00BE3F24">
            <w:pPr>
              <w:rPr>
                <w:rFonts w:ascii="Arial" w:hAnsi="Arial" w:cs="Arial"/>
                <w:color w:val="000000"/>
                <w:sz w:val="16"/>
                <w:szCs w:val="16"/>
              </w:rPr>
            </w:pPr>
            <w:r>
              <w:rPr>
                <w:rFonts w:ascii="Arial" w:hAnsi="Arial" w:cs="Arial"/>
                <w:color w:val="000000"/>
                <w:sz w:val="16"/>
                <w:szCs w:val="16"/>
              </w:rPr>
              <w:t>1. Longer lasting than typical ultrathin asphalt mixes.</w:t>
            </w:r>
            <w:r>
              <w:rPr>
                <w:rFonts w:ascii="Arial" w:hAnsi="Arial" w:cs="Arial"/>
                <w:color w:val="000000"/>
                <w:sz w:val="16"/>
                <w:szCs w:val="16"/>
              </w:rPr>
              <w:br/>
              <w:t xml:space="preserve">2. Higher asphalt content results in better crack resistance. </w:t>
            </w:r>
            <w:r>
              <w:rPr>
                <w:rFonts w:ascii="Arial" w:hAnsi="Arial" w:cs="Arial"/>
                <w:color w:val="000000"/>
                <w:sz w:val="16"/>
                <w:szCs w:val="16"/>
              </w:rPr>
              <w:br/>
              <w:t xml:space="preserve">3. More appropriate for projects with joint reflective cracking. </w:t>
            </w:r>
          </w:p>
        </w:tc>
      </w:tr>
      <w:tr w:rsidR="0042403B" w:rsidRPr="008B546B" w14:paraId="334FAFEA" w14:textId="77777777" w:rsidTr="00403B05">
        <w:trPr>
          <w:trHeight w:val="4013"/>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7958781B" w14:textId="2DFCD563"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BC273A" w:rsidRPr="008B546B">
              <w:rPr>
                <w:rFonts w:ascii="Arial" w:hAnsi="Arial" w:cs="Arial"/>
                <w:b/>
                <w:bCs/>
                <w:sz w:val="22"/>
                <w:szCs w:val="22"/>
              </w:rPr>
              <w:t xml:space="preserve"> </w:t>
            </w:r>
            <w:r w:rsidRPr="008B546B">
              <w:rPr>
                <w:rFonts w:ascii="Arial" w:hAnsi="Arial" w:cs="Arial"/>
                <w:b/>
                <w:bCs/>
                <w:sz w:val="22"/>
                <w:szCs w:val="22"/>
              </w:rPr>
              <w:t>Disadvantages</w:t>
            </w:r>
          </w:p>
        </w:tc>
        <w:tc>
          <w:tcPr>
            <w:tcW w:w="3527" w:type="dxa"/>
            <w:gridSpan w:val="2"/>
            <w:tcBorders>
              <w:top w:val="nil"/>
              <w:left w:val="nil"/>
              <w:bottom w:val="single" w:sz="4" w:space="0" w:color="auto"/>
              <w:right w:val="single" w:sz="4" w:space="0" w:color="auto"/>
            </w:tcBorders>
            <w:hideMark/>
          </w:tcPr>
          <w:p w14:paraId="5204A582" w14:textId="3E0EBD46" w:rsidR="0042403B" w:rsidRPr="000933C0" w:rsidRDefault="0042403B" w:rsidP="000933C0">
            <w:pPr>
              <w:spacing w:after="240"/>
              <w:rPr>
                <w:rFonts w:ascii="Arial" w:hAnsi="Arial"/>
                <w:sz w:val="16"/>
              </w:rPr>
            </w:pPr>
            <w:r>
              <w:rPr>
                <w:rFonts w:ascii="Arial" w:hAnsi="Arial" w:cs="Arial"/>
                <w:sz w:val="16"/>
                <w:szCs w:val="16"/>
              </w:rPr>
              <w:t>1. Need a wedge/level or grade adjustments before placement of OGFC.</w:t>
            </w:r>
            <w:r>
              <w:rPr>
                <w:rFonts w:ascii="Arial" w:hAnsi="Arial" w:cs="Arial"/>
                <w:sz w:val="16"/>
                <w:szCs w:val="16"/>
              </w:rPr>
              <w:br/>
              <w:t>2. Cannot be used on unstable pavements, which includes pavements with substantial cracking, bleeding, rutting</w:t>
            </w:r>
            <w:r w:rsidR="00BC273A">
              <w:rPr>
                <w:rFonts w:ascii="Arial" w:hAnsi="Arial" w:cs="Arial"/>
                <w:sz w:val="16"/>
                <w:szCs w:val="16"/>
              </w:rPr>
              <w:t xml:space="preserve"> and depressions.</w:t>
            </w:r>
            <w:r w:rsidR="00BC273A">
              <w:rPr>
                <w:rFonts w:ascii="Arial" w:hAnsi="Arial" w:cs="Arial"/>
                <w:sz w:val="16"/>
                <w:szCs w:val="16"/>
              </w:rPr>
              <w:br/>
              <w:t>3. Do not use in snow or icy areas where tire chains, studded tires or snow plows will affect the aggregate and binder which will result in stripping of the aggregate, contribute to pavement deterioration.</w:t>
            </w:r>
            <w:r w:rsidR="00BC273A">
              <w:rPr>
                <w:rFonts w:ascii="Arial" w:hAnsi="Arial" w:cs="Arial"/>
                <w:sz w:val="16"/>
                <w:szCs w:val="16"/>
              </w:rPr>
              <w:br/>
              <w:t>4. Fails Rapidly</w:t>
            </w:r>
            <w:r>
              <w:rPr>
                <w:rFonts w:ascii="Arial" w:hAnsi="Arial" w:cs="Arial"/>
                <w:sz w:val="16"/>
                <w:szCs w:val="16"/>
              </w:rPr>
              <w:t xml:space="preserve"> once failure is eminent. </w:t>
            </w:r>
            <w:r>
              <w:rPr>
                <w:rFonts w:ascii="Arial" w:hAnsi="Arial" w:cs="Arial"/>
                <w:sz w:val="16"/>
                <w:szCs w:val="16"/>
              </w:rPr>
              <w:br/>
              <w:t>5. Should not be used in areas where there are severe turning movements.</w:t>
            </w:r>
            <w:r>
              <w:rPr>
                <w:rFonts w:ascii="Arial" w:hAnsi="Arial" w:cs="Arial"/>
                <w:sz w:val="16"/>
                <w:szCs w:val="16"/>
              </w:rPr>
              <w:br/>
              <w:t>6. Should not be placed adjacent to curb and gutter because of the bath tub effect</w:t>
            </w:r>
            <w:r w:rsidR="00BC273A">
              <w:rPr>
                <w:rFonts w:ascii="Arial" w:hAnsi="Arial" w:cs="Arial"/>
                <w:sz w:val="16"/>
                <w:szCs w:val="16"/>
              </w:rPr>
              <w:br/>
              <w:t>7. Do not use in muddy areas</w:t>
            </w:r>
            <w:r w:rsidR="00BC273A">
              <w:rPr>
                <w:rFonts w:ascii="Arial" w:hAnsi="Arial" w:cs="Arial"/>
                <w:sz w:val="16"/>
                <w:szCs w:val="16"/>
              </w:rPr>
              <w:br/>
              <w:t>8.</w:t>
            </w:r>
            <w:r>
              <w:rPr>
                <w:rFonts w:ascii="Arial" w:hAnsi="Arial" w:cs="Arial"/>
                <w:sz w:val="16"/>
                <w:szCs w:val="16"/>
              </w:rPr>
              <w:t xml:space="preserve"> Should NOT be used in fuel or oil spill areas.</w:t>
            </w:r>
            <w:r>
              <w:rPr>
                <w:rFonts w:ascii="Arial" w:hAnsi="Arial" w:cs="Arial"/>
                <w:sz w:val="16"/>
                <w:szCs w:val="16"/>
              </w:rPr>
              <w:br/>
              <w:t>9. Resulting surface drainage impacts must be considered</w:t>
            </w:r>
            <w:r w:rsidR="00BC273A">
              <w:rPr>
                <w:rFonts w:ascii="Arial" w:hAnsi="Arial" w:cs="Arial"/>
                <w:sz w:val="16"/>
                <w:szCs w:val="16"/>
              </w:rPr>
              <w:br/>
              <w:t>10.</w:t>
            </w:r>
            <w:r>
              <w:rPr>
                <w:rFonts w:ascii="Arial" w:hAnsi="Arial" w:cs="Arial"/>
                <w:sz w:val="16"/>
                <w:szCs w:val="16"/>
              </w:rPr>
              <w:t xml:space="preserve"> To maintain permeability, regular cleaning should be done. </w:t>
            </w:r>
          </w:p>
        </w:tc>
        <w:tc>
          <w:tcPr>
            <w:tcW w:w="3263" w:type="dxa"/>
            <w:tcBorders>
              <w:top w:val="nil"/>
              <w:left w:val="nil"/>
              <w:bottom w:val="single" w:sz="4" w:space="0" w:color="auto"/>
              <w:right w:val="single" w:sz="4" w:space="0" w:color="auto"/>
            </w:tcBorders>
            <w:hideMark/>
          </w:tcPr>
          <w:p w14:paraId="174E5641" w14:textId="073B2CE1" w:rsidR="0042403B" w:rsidRDefault="0042403B" w:rsidP="00BE3F24">
            <w:pPr>
              <w:rPr>
                <w:rFonts w:ascii="Arial" w:hAnsi="Arial" w:cs="Arial"/>
                <w:sz w:val="16"/>
                <w:szCs w:val="16"/>
              </w:rPr>
            </w:pPr>
            <w:r>
              <w:rPr>
                <w:rFonts w:ascii="Arial" w:hAnsi="Arial" w:cs="Arial"/>
                <w:sz w:val="16"/>
                <w:szCs w:val="16"/>
              </w:rPr>
              <w:t>1. Higher</w:t>
            </w:r>
            <w:r w:rsidR="00915EA9">
              <w:rPr>
                <w:rFonts w:ascii="Arial" w:hAnsi="Arial" w:cs="Arial"/>
                <w:sz w:val="16"/>
                <w:szCs w:val="16"/>
              </w:rPr>
              <w:t xml:space="preserve"> </w:t>
            </w:r>
            <w:r w:rsidR="00BC273A">
              <w:rPr>
                <w:rFonts w:ascii="Arial" w:hAnsi="Arial" w:cs="Arial"/>
                <w:sz w:val="16"/>
                <w:szCs w:val="16"/>
              </w:rPr>
              <w:t>Asphalt Content</w:t>
            </w:r>
            <w:r>
              <w:rPr>
                <w:rFonts w:ascii="Arial" w:hAnsi="Arial" w:cs="Arial"/>
                <w:sz w:val="16"/>
                <w:szCs w:val="16"/>
              </w:rPr>
              <w:t xml:space="preserve"> results in higher costs.</w:t>
            </w:r>
          </w:p>
        </w:tc>
      </w:tr>
      <w:tr w:rsidR="0042403B" w:rsidRPr="008B546B" w14:paraId="57BCD144" w14:textId="77777777" w:rsidTr="00403B05">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131C759C"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45D88DBB"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3527" w:type="dxa"/>
            <w:gridSpan w:val="2"/>
            <w:vMerge w:val="restart"/>
            <w:tcBorders>
              <w:top w:val="nil"/>
              <w:left w:val="nil"/>
              <w:right w:val="single" w:sz="4" w:space="0" w:color="auto"/>
            </w:tcBorders>
            <w:vAlign w:val="center"/>
            <w:hideMark/>
          </w:tcPr>
          <w:p w14:paraId="1FC21148" w14:textId="192C83E1" w:rsidR="0042403B" w:rsidRPr="000933C0" w:rsidRDefault="0042403B" w:rsidP="00915EA9">
            <w:pPr>
              <w:rPr>
                <w:rFonts w:ascii="Arial" w:hAnsi="Arial"/>
                <w:sz w:val="16"/>
              </w:rPr>
            </w:pPr>
            <w:r w:rsidRPr="000933C0">
              <w:rPr>
                <w:rFonts w:ascii="Arial" w:hAnsi="Arial"/>
                <w:sz w:val="16"/>
              </w:rPr>
              <w:t>$</w:t>
            </w:r>
            <w:r w:rsidR="00BC273A">
              <w:rPr>
                <w:rFonts w:ascii="Arial" w:hAnsi="Arial" w:cs="Arial"/>
                <w:sz w:val="16"/>
                <w:szCs w:val="16"/>
              </w:rPr>
              <w:t xml:space="preserve">20 / </w:t>
            </w:r>
            <w:r w:rsidR="00915EA9" w:rsidRPr="000933C0">
              <w:rPr>
                <w:rFonts w:ascii="Arial" w:hAnsi="Arial"/>
                <w:color w:val="000000"/>
                <w:sz w:val="16"/>
              </w:rPr>
              <w:t>SY</w:t>
            </w:r>
          </w:p>
        </w:tc>
        <w:tc>
          <w:tcPr>
            <w:tcW w:w="3263" w:type="dxa"/>
            <w:vMerge w:val="restart"/>
            <w:tcBorders>
              <w:top w:val="nil"/>
              <w:left w:val="nil"/>
              <w:right w:val="single" w:sz="4" w:space="0" w:color="auto"/>
            </w:tcBorders>
            <w:vAlign w:val="center"/>
            <w:hideMark/>
          </w:tcPr>
          <w:p w14:paraId="731DC288" w14:textId="77777777" w:rsidR="0042403B" w:rsidRDefault="0042403B" w:rsidP="00BE3F24">
            <w:pPr>
              <w:rPr>
                <w:rFonts w:ascii="Arial" w:hAnsi="Arial" w:cs="Arial"/>
                <w:color w:val="000000"/>
                <w:sz w:val="16"/>
                <w:szCs w:val="16"/>
              </w:rPr>
            </w:pPr>
            <w:r>
              <w:rPr>
                <w:rFonts w:ascii="Arial" w:hAnsi="Arial" w:cs="Arial"/>
                <w:color w:val="000000"/>
                <w:sz w:val="16"/>
                <w:szCs w:val="16"/>
              </w:rPr>
              <w:t xml:space="preserve">Anticipated to be similar to Gap-Graded SMA prices. </w:t>
            </w:r>
          </w:p>
        </w:tc>
      </w:tr>
      <w:tr w:rsidR="0042403B" w:rsidRPr="008B546B" w14:paraId="2B751301" w14:textId="77777777" w:rsidTr="00403B05">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1B51345"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AB0F152"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3527" w:type="dxa"/>
            <w:gridSpan w:val="2"/>
            <w:vMerge/>
            <w:tcBorders>
              <w:left w:val="nil"/>
              <w:right w:val="single" w:sz="4" w:space="0" w:color="auto"/>
            </w:tcBorders>
            <w:vAlign w:val="center"/>
            <w:hideMark/>
          </w:tcPr>
          <w:p w14:paraId="11269390" w14:textId="77777777" w:rsidR="0042403B" w:rsidRDefault="0042403B" w:rsidP="00BE3F24">
            <w:pPr>
              <w:rPr>
                <w:rFonts w:ascii="Arial" w:hAnsi="Arial" w:cs="Arial"/>
                <w:color w:val="000000"/>
                <w:sz w:val="16"/>
                <w:szCs w:val="16"/>
              </w:rPr>
            </w:pPr>
          </w:p>
        </w:tc>
        <w:tc>
          <w:tcPr>
            <w:tcW w:w="3263" w:type="dxa"/>
            <w:vMerge/>
            <w:tcBorders>
              <w:left w:val="nil"/>
              <w:right w:val="single" w:sz="4" w:space="0" w:color="auto"/>
            </w:tcBorders>
            <w:vAlign w:val="center"/>
            <w:hideMark/>
          </w:tcPr>
          <w:p w14:paraId="0FF7AB58" w14:textId="77777777" w:rsidR="0042403B" w:rsidRDefault="0042403B" w:rsidP="00BE3F24">
            <w:pPr>
              <w:rPr>
                <w:rFonts w:ascii="Arial" w:hAnsi="Arial" w:cs="Arial"/>
                <w:color w:val="000000"/>
                <w:sz w:val="16"/>
                <w:szCs w:val="16"/>
              </w:rPr>
            </w:pPr>
          </w:p>
        </w:tc>
      </w:tr>
      <w:tr w:rsidR="0042403B" w:rsidRPr="008B546B" w14:paraId="223EB2DF" w14:textId="77777777" w:rsidTr="00403B05">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4566E481"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7590C39"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3527" w:type="dxa"/>
            <w:gridSpan w:val="2"/>
            <w:vMerge/>
            <w:tcBorders>
              <w:left w:val="nil"/>
              <w:bottom w:val="single" w:sz="4" w:space="0" w:color="auto"/>
              <w:right w:val="single" w:sz="4" w:space="0" w:color="auto"/>
            </w:tcBorders>
            <w:vAlign w:val="center"/>
            <w:hideMark/>
          </w:tcPr>
          <w:p w14:paraId="4E3694A3" w14:textId="77777777" w:rsidR="0042403B" w:rsidRDefault="0042403B" w:rsidP="00BE3F24">
            <w:pPr>
              <w:rPr>
                <w:rFonts w:ascii="Arial" w:hAnsi="Arial" w:cs="Arial"/>
                <w:color w:val="000000"/>
                <w:sz w:val="16"/>
                <w:szCs w:val="16"/>
              </w:rPr>
            </w:pPr>
          </w:p>
        </w:tc>
        <w:tc>
          <w:tcPr>
            <w:tcW w:w="3263" w:type="dxa"/>
            <w:vMerge/>
            <w:tcBorders>
              <w:left w:val="nil"/>
              <w:bottom w:val="single" w:sz="4" w:space="0" w:color="auto"/>
              <w:right w:val="single" w:sz="4" w:space="0" w:color="auto"/>
            </w:tcBorders>
            <w:vAlign w:val="center"/>
            <w:hideMark/>
          </w:tcPr>
          <w:p w14:paraId="1EF11852" w14:textId="77777777" w:rsidR="0042403B" w:rsidRDefault="0042403B" w:rsidP="00BE3F24">
            <w:pPr>
              <w:rPr>
                <w:rFonts w:ascii="Arial" w:hAnsi="Arial" w:cs="Arial"/>
                <w:color w:val="000000"/>
                <w:sz w:val="16"/>
                <w:szCs w:val="16"/>
              </w:rPr>
            </w:pPr>
          </w:p>
        </w:tc>
      </w:tr>
      <w:tr w:rsidR="0042403B" w:rsidRPr="008B546B" w14:paraId="09F757F5" w14:textId="77777777" w:rsidTr="00403B05">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A60C783"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DD2D6C3"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3527" w:type="dxa"/>
            <w:gridSpan w:val="2"/>
            <w:tcBorders>
              <w:top w:val="nil"/>
              <w:left w:val="nil"/>
              <w:bottom w:val="single" w:sz="4" w:space="0" w:color="auto"/>
              <w:right w:val="single" w:sz="4" w:space="0" w:color="auto"/>
            </w:tcBorders>
            <w:vAlign w:val="center"/>
            <w:hideMark/>
          </w:tcPr>
          <w:p w14:paraId="2C85DF71" w14:textId="77777777" w:rsidR="0042403B" w:rsidRDefault="0042403B" w:rsidP="00BE3F24">
            <w:pPr>
              <w:rPr>
                <w:rFonts w:ascii="Arial" w:hAnsi="Arial" w:cs="Arial"/>
                <w:sz w:val="16"/>
                <w:szCs w:val="16"/>
              </w:rPr>
            </w:pPr>
            <w:r>
              <w:rPr>
                <w:rFonts w:ascii="Arial" w:hAnsi="Arial" w:cs="Arial"/>
                <w:sz w:val="16"/>
                <w:szCs w:val="16"/>
              </w:rPr>
              <w:t>See Definition</w:t>
            </w:r>
          </w:p>
        </w:tc>
        <w:tc>
          <w:tcPr>
            <w:tcW w:w="3263" w:type="dxa"/>
            <w:tcBorders>
              <w:top w:val="nil"/>
              <w:left w:val="nil"/>
              <w:bottom w:val="single" w:sz="4" w:space="0" w:color="auto"/>
              <w:right w:val="single" w:sz="4" w:space="0" w:color="auto"/>
            </w:tcBorders>
            <w:vAlign w:val="center"/>
            <w:hideMark/>
          </w:tcPr>
          <w:p w14:paraId="26D9BB68" w14:textId="77777777" w:rsidR="0042403B" w:rsidRDefault="0042403B" w:rsidP="00BE3F24">
            <w:pPr>
              <w:rPr>
                <w:rFonts w:ascii="Arial" w:hAnsi="Arial" w:cs="Arial"/>
                <w:sz w:val="16"/>
                <w:szCs w:val="16"/>
              </w:rPr>
            </w:pPr>
            <w:r>
              <w:rPr>
                <w:rFonts w:ascii="Arial" w:hAnsi="Arial" w:cs="Arial"/>
                <w:sz w:val="16"/>
                <w:szCs w:val="16"/>
              </w:rPr>
              <w:t>Unknown</w:t>
            </w:r>
          </w:p>
        </w:tc>
      </w:tr>
      <w:tr w:rsidR="0042403B" w:rsidRPr="008B546B" w14:paraId="44600F88" w14:textId="77777777" w:rsidTr="00403B05">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0F5F6F1"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70F6A72"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3527" w:type="dxa"/>
            <w:gridSpan w:val="2"/>
            <w:tcBorders>
              <w:top w:val="nil"/>
              <w:left w:val="nil"/>
              <w:bottom w:val="single" w:sz="4" w:space="0" w:color="auto"/>
              <w:right w:val="single" w:sz="4" w:space="0" w:color="auto"/>
            </w:tcBorders>
            <w:vAlign w:val="center"/>
            <w:hideMark/>
          </w:tcPr>
          <w:p w14:paraId="15736AAA" w14:textId="77777777" w:rsidR="0042403B" w:rsidRDefault="0042403B" w:rsidP="00BE3F24">
            <w:pPr>
              <w:rPr>
                <w:rFonts w:ascii="Arial" w:hAnsi="Arial" w:cs="Arial"/>
                <w:sz w:val="16"/>
                <w:szCs w:val="16"/>
              </w:rPr>
            </w:pPr>
            <w:r>
              <w:rPr>
                <w:rFonts w:ascii="Arial" w:hAnsi="Arial" w:cs="Arial"/>
                <w:sz w:val="16"/>
                <w:szCs w:val="16"/>
              </w:rPr>
              <w:t>Marking Removal</w:t>
            </w:r>
          </w:p>
        </w:tc>
        <w:tc>
          <w:tcPr>
            <w:tcW w:w="3263" w:type="dxa"/>
            <w:tcBorders>
              <w:top w:val="nil"/>
              <w:left w:val="nil"/>
              <w:bottom w:val="single" w:sz="4" w:space="0" w:color="auto"/>
              <w:right w:val="single" w:sz="4" w:space="0" w:color="auto"/>
            </w:tcBorders>
            <w:vAlign w:val="center"/>
            <w:hideMark/>
          </w:tcPr>
          <w:p w14:paraId="07CFA7AB" w14:textId="77777777" w:rsidR="0042403B" w:rsidRDefault="0042403B" w:rsidP="00BE3F24">
            <w:pPr>
              <w:rPr>
                <w:rFonts w:ascii="Arial" w:hAnsi="Arial" w:cs="Arial"/>
                <w:color w:val="000000"/>
                <w:sz w:val="16"/>
                <w:szCs w:val="16"/>
              </w:rPr>
            </w:pPr>
            <w:r>
              <w:rPr>
                <w:rFonts w:ascii="Arial" w:hAnsi="Arial" w:cs="Arial"/>
                <w:color w:val="000000"/>
                <w:sz w:val="16"/>
                <w:szCs w:val="16"/>
              </w:rPr>
              <w:t>Marking Removal</w:t>
            </w:r>
          </w:p>
        </w:tc>
      </w:tr>
      <w:tr w:rsidR="0042403B" w:rsidRPr="008B546B" w14:paraId="63C0DA00" w14:textId="77777777" w:rsidTr="00403B05">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3440A807"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3527" w:type="dxa"/>
            <w:gridSpan w:val="2"/>
            <w:tcBorders>
              <w:top w:val="single" w:sz="4" w:space="0" w:color="auto"/>
              <w:left w:val="nil"/>
              <w:bottom w:val="single" w:sz="4" w:space="0" w:color="auto"/>
              <w:right w:val="single" w:sz="4" w:space="0" w:color="auto"/>
            </w:tcBorders>
            <w:vAlign w:val="center"/>
            <w:hideMark/>
          </w:tcPr>
          <w:p w14:paraId="438D916C" w14:textId="5BCC1A0A" w:rsidR="00BC273A" w:rsidRDefault="00BC273A" w:rsidP="00BC273A">
            <w:pPr>
              <w:rPr>
                <w:rFonts w:ascii="Arial" w:hAnsi="Arial" w:cs="Arial"/>
                <w:color w:val="000000"/>
                <w:sz w:val="16"/>
                <w:szCs w:val="16"/>
              </w:rPr>
            </w:pPr>
            <w:r>
              <w:rPr>
                <w:rFonts w:ascii="Arial" w:hAnsi="Arial" w:cs="Arial"/>
                <w:color w:val="000000"/>
                <w:sz w:val="16"/>
                <w:szCs w:val="16"/>
              </w:rPr>
              <w:t>4-6</w:t>
            </w:r>
            <w:r w:rsidR="0042403B">
              <w:rPr>
                <w:rFonts w:ascii="Arial" w:hAnsi="Arial" w:cs="Arial"/>
                <w:color w:val="000000"/>
                <w:sz w:val="16"/>
                <w:szCs w:val="16"/>
              </w:rPr>
              <w:t xml:space="preserve"> years</w:t>
            </w:r>
          </w:p>
          <w:p w14:paraId="2F7AE34B" w14:textId="1E0F1461" w:rsidR="0042403B" w:rsidRDefault="0042403B" w:rsidP="00BE3F24">
            <w:pPr>
              <w:rPr>
                <w:rFonts w:ascii="Arial" w:hAnsi="Arial" w:cs="Arial"/>
                <w:color w:val="000000"/>
                <w:sz w:val="16"/>
                <w:szCs w:val="16"/>
              </w:rPr>
            </w:pPr>
          </w:p>
        </w:tc>
        <w:tc>
          <w:tcPr>
            <w:tcW w:w="3263" w:type="dxa"/>
            <w:tcBorders>
              <w:top w:val="nil"/>
              <w:left w:val="nil"/>
              <w:bottom w:val="single" w:sz="4" w:space="0" w:color="auto"/>
              <w:right w:val="single" w:sz="4" w:space="0" w:color="auto"/>
            </w:tcBorders>
            <w:vAlign w:val="center"/>
            <w:hideMark/>
          </w:tcPr>
          <w:p w14:paraId="186E8A6B" w14:textId="77777777" w:rsidR="0042403B" w:rsidRDefault="0042403B" w:rsidP="00BE3F24">
            <w:pPr>
              <w:rPr>
                <w:rFonts w:ascii="Arial" w:hAnsi="Arial" w:cs="Arial"/>
                <w:color w:val="000000"/>
                <w:sz w:val="16"/>
                <w:szCs w:val="16"/>
              </w:rPr>
            </w:pPr>
            <w:r>
              <w:rPr>
                <w:rFonts w:ascii="Arial" w:hAnsi="Arial" w:cs="Arial"/>
                <w:color w:val="000000"/>
                <w:sz w:val="16"/>
                <w:szCs w:val="16"/>
              </w:rPr>
              <w:t>8-15 years</w:t>
            </w:r>
          </w:p>
        </w:tc>
      </w:tr>
    </w:tbl>
    <w:p w14:paraId="31DDD818" w14:textId="0E016206" w:rsidR="0042403B" w:rsidRDefault="0042403B" w:rsidP="00BE3F24">
      <w:pPr>
        <w:rPr>
          <w:rFonts w:ascii="Arial" w:hAnsi="Arial" w:cs="Arial"/>
          <w:b/>
          <w:bCs/>
          <w:kern w:val="32"/>
          <w:sz w:val="28"/>
          <w:szCs w:val="32"/>
          <w:u w:val="single"/>
        </w:rPr>
      </w:pPr>
    </w:p>
    <w:tbl>
      <w:tblPr>
        <w:tblW w:w="8627" w:type="dxa"/>
        <w:tblInd w:w="98" w:type="dxa"/>
        <w:tblLayout w:type="fixed"/>
        <w:tblLook w:val="04A0" w:firstRow="1" w:lastRow="0" w:firstColumn="1" w:lastColumn="0" w:noHBand="0" w:noVBand="1"/>
      </w:tblPr>
      <w:tblGrid>
        <w:gridCol w:w="1040"/>
        <w:gridCol w:w="1540"/>
        <w:gridCol w:w="3077"/>
        <w:gridCol w:w="2970"/>
      </w:tblGrid>
      <w:tr w:rsidR="0042403B" w:rsidRPr="008B546B" w14:paraId="7FF66B67" w14:textId="77777777" w:rsidTr="00CA140F">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6B7EFA8"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11</w:t>
            </w:r>
          </w:p>
          <w:p w14:paraId="7971B8D3" w14:textId="77777777" w:rsidR="002417C7" w:rsidRDefault="002417C7" w:rsidP="00BE3F24">
            <w:pPr>
              <w:jc w:val="center"/>
              <w:rPr>
                <w:rFonts w:ascii="Bell MT" w:hAnsi="Bell MT" w:cs="Calibri"/>
                <w:b/>
                <w:bCs/>
                <w:color w:val="000000"/>
                <w:sz w:val="28"/>
                <w:szCs w:val="28"/>
              </w:rPr>
            </w:pPr>
          </w:p>
          <w:p w14:paraId="1ACC6AB8"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2F26D642" w14:textId="1C0520CF" w:rsidR="0042403B" w:rsidRPr="008B546B" w:rsidRDefault="0042403B" w:rsidP="00CA140F">
            <w:pPr>
              <w:pStyle w:val="Heading3"/>
              <w:ind w:left="1439" w:hanging="1439"/>
            </w:pPr>
            <w:bookmarkStart w:id="74" w:name="_SUPPLEMENTAL_INFORMATION_FOR_9"/>
            <w:bookmarkEnd w:id="74"/>
            <w:r w:rsidRPr="008B546B">
              <w:t>SUPPLEMENTAL INFORMATION FOR TREATMENT</w:t>
            </w:r>
            <w:r>
              <w:t xml:space="preserve"> D-</w:t>
            </w:r>
            <w:r w:rsidR="00D558FD">
              <w:t>7 and</w:t>
            </w:r>
            <w:r>
              <w:t xml:space="preserve"> D-</w:t>
            </w:r>
            <w:r w:rsidR="00D558FD">
              <w:t>8</w:t>
            </w:r>
          </w:p>
        </w:tc>
      </w:tr>
      <w:tr w:rsidR="0042403B" w:rsidRPr="008B546B" w14:paraId="0AF74513" w14:textId="77777777" w:rsidTr="00CA140F">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2B834EEC" w14:textId="77777777" w:rsidR="0042403B" w:rsidRPr="008B546B" w:rsidRDefault="0042403B" w:rsidP="00BE3F24">
            <w:pPr>
              <w:rPr>
                <w:rFonts w:ascii="Bell MT" w:hAnsi="Bell MT" w:cs="Calibri"/>
                <w:b/>
                <w:bCs/>
                <w:color w:val="000000"/>
                <w:sz w:val="28"/>
                <w:szCs w:val="28"/>
              </w:rPr>
            </w:pPr>
          </w:p>
        </w:tc>
        <w:tc>
          <w:tcPr>
            <w:tcW w:w="3077" w:type="dxa"/>
            <w:vMerge w:val="restart"/>
            <w:tcBorders>
              <w:top w:val="nil"/>
              <w:left w:val="single" w:sz="4" w:space="0" w:color="auto"/>
              <w:bottom w:val="single" w:sz="4" w:space="0" w:color="auto"/>
              <w:right w:val="single" w:sz="4" w:space="0" w:color="auto"/>
            </w:tcBorders>
            <w:vAlign w:val="center"/>
            <w:hideMark/>
          </w:tcPr>
          <w:p w14:paraId="6DB63225" w14:textId="182A0B2F" w:rsidR="0042403B" w:rsidRDefault="00D558FD" w:rsidP="0007677E">
            <w:pPr>
              <w:jc w:val="center"/>
              <w:rPr>
                <w:rFonts w:ascii="Arial" w:hAnsi="Arial" w:cs="Arial"/>
                <w:b/>
                <w:bCs/>
                <w:sz w:val="22"/>
                <w:szCs w:val="22"/>
              </w:rPr>
            </w:pPr>
            <w:hyperlink w:anchor="D7_HIR" w:history="1">
              <w:r w:rsidRPr="00C61B7D">
                <w:rPr>
                  <w:rStyle w:val="Hyperlink"/>
                  <w:rFonts w:ascii="Arial" w:hAnsi="Arial" w:cs="Arial"/>
                  <w:b/>
                  <w:bCs/>
                  <w:sz w:val="22"/>
                  <w:szCs w:val="22"/>
                </w:rPr>
                <w:t>D-</w:t>
              </w:r>
              <w:r>
                <w:rPr>
                  <w:rStyle w:val="Hyperlink"/>
                  <w:rFonts w:ascii="Arial" w:hAnsi="Arial" w:cs="Arial"/>
                  <w:b/>
                  <w:bCs/>
                  <w:sz w:val="22"/>
                  <w:szCs w:val="22"/>
                </w:rPr>
                <w:t>7</w:t>
              </w:r>
              <w:r w:rsidRPr="00C61B7D">
                <w:rPr>
                  <w:rStyle w:val="Hyperlink"/>
                  <w:rFonts w:ascii="Arial" w:hAnsi="Arial" w:cs="Arial"/>
                  <w:b/>
                  <w:bCs/>
                  <w:sz w:val="22"/>
                  <w:szCs w:val="22"/>
                </w:rPr>
                <w:t>. Hot In-Place Recycling (HIR)</w:t>
              </w:r>
            </w:hyperlink>
          </w:p>
        </w:tc>
        <w:tc>
          <w:tcPr>
            <w:tcW w:w="2970" w:type="dxa"/>
            <w:vMerge w:val="restart"/>
            <w:tcBorders>
              <w:top w:val="nil"/>
              <w:left w:val="nil"/>
              <w:bottom w:val="single" w:sz="4" w:space="0" w:color="000000"/>
              <w:right w:val="single" w:sz="4" w:space="0" w:color="auto"/>
            </w:tcBorders>
            <w:vAlign w:val="center"/>
            <w:hideMark/>
          </w:tcPr>
          <w:p w14:paraId="5658E190" w14:textId="0DD9C2E8" w:rsidR="00171EC1" w:rsidRPr="00C61B7D" w:rsidRDefault="00171EC1" w:rsidP="00171EC1">
            <w:pPr>
              <w:jc w:val="center"/>
              <w:rPr>
                <w:rStyle w:val="Hyperlink"/>
                <w:rFonts w:ascii="Arial" w:hAnsi="Arial" w:cs="Arial"/>
                <w:b/>
                <w:bCs/>
                <w:sz w:val="22"/>
                <w:szCs w:val="22"/>
              </w:rPr>
            </w:pPr>
            <w:r>
              <w:rPr>
                <w:rFonts w:ascii="Arial" w:hAnsi="Arial" w:cs="Arial"/>
                <w:b/>
                <w:bCs/>
                <w:sz w:val="22"/>
                <w:szCs w:val="22"/>
              </w:rPr>
              <w:fldChar w:fldCharType="begin"/>
            </w:r>
            <w:r w:rsidR="00314138">
              <w:rPr>
                <w:rFonts w:ascii="Arial" w:hAnsi="Arial" w:cs="Arial"/>
                <w:b/>
                <w:bCs/>
                <w:sz w:val="22"/>
                <w:szCs w:val="22"/>
              </w:rPr>
              <w:instrText>HYPERLINK  \l "D8_Deep_Mill_Thick_OL"</w:instrText>
            </w:r>
            <w:r>
              <w:rPr>
                <w:rFonts w:ascii="Arial" w:hAnsi="Arial" w:cs="Arial"/>
                <w:b/>
                <w:bCs/>
                <w:sz w:val="22"/>
                <w:szCs w:val="22"/>
              </w:rPr>
            </w:r>
            <w:r>
              <w:rPr>
                <w:rFonts w:ascii="Arial" w:hAnsi="Arial" w:cs="Arial"/>
                <w:b/>
                <w:bCs/>
                <w:sz w:val="22"/>
                <w:szCs w:val="22"/>
              </w:rPr>
              <w:fldChar w:fldCharType="separate"/>
            </w:r>
            <w:r w:rsidRPr="00C61B7D">
              <w:rPr>
                <w:rStyle w:val="Hyperlink"/>
                <w:rFonts w:ascii="Arial" w:hAnsi="Arial" w:cs="Arial"/>
                <w:b/>
                <w:bCs/>
                <w:sz w:val="22"/>
                <w:szCs w:val="22"/>
              </w:rPr>
              <w:t>D-</w:t>
            </w:r>
            <w:r>
              <w:rPr>
                <w:rStyle w:val="Hyperlink"/>
                <w:rFonts w:ascii="Arial" w:hAnsi="Arial" w:cs="Arial"/>
                <w:b/>
                <w:bCs/>
                <w:sz w:val="22"/>
                <w:szCs w:val="22"/>
              </w:rPr>
              <w:t>8</w:t>
            </w:r>
            <w:r w:rsidRPr="00C61B7D">
              <w:rPr>
                <w:rStyle w:val="Hyperlink"/>
                <w:rFonts w:ascii="Arial" w:hAnsi="Arial" w:cs="Arial"/>
                <w:b/>
                <w:bCs/>
                <w:sz w:val="22"/>
                <w:szCs w:val="22"/>
              </w:rPr>
              <w:t xml:space="preserve">. Deep </w:t>
            </w:r>
            <w:r w:rsidR="00661663">
              <w:rPr>
                <w:rStyle w:val="Hyperlink"/>
                <w:rFonts w:ascii="Arial" w:hAnsi="Arial" w:cs="Arial"/>
                <w:b/>
                <w:bCs/>
                <w:sz w:val="22"/>
                <w:szCs w:val="22"/>
              </w:rPr>
              <w:t>Mill</w:t>
            </w:r>
            <w:r w:rsidRPr="00C61B7D">
              <w:rPr>
                <w:rStyle w:val="Hyperlink"/>
                <w:rFonts w:ascii="Arial" w:hAnsi="Arial" w:cs="Arial"/>
                <w:b/>
                <w:bCs/>
                <w:sz w:val="22"/>
                <w:szCs w:val="22"/>
              </w:rPr>
              <w:t xml:space="preserve"> and </w:t>
            </w:r>
          </w:p>
          <w:p w14:paraId="24592543" w14:textId="20D36CF4" w:rsidR="0042403B" w:rsidRDefault="00171EC1" w:rsidP="00BE3F24">
            <w:pPr>
              <w:jc w:val="center"/>
              <w:rPr>
                <w:rFonts w:ascii="Arial" w:hAnsi="Arial" w:cs="Arial"/>
                <w:b/>
                <w:bCs/>
                <w:sz w:val="22"/>
                <w:szCs w:val="22"/>
              </w:rPr>
            </w:pPr>
            <w:r w:rsidRPr="00C61B7D">
              <w:rPr>
                <w:rStyle w:val="Hyperlink"/>
                <w:rFonts w:ascii="Arial" w:hAnsi="Arial" w:cs="Arial"/>
                <w:b/>
                <w:bCs/>
                <w:sz w:val="22"/>
                <w:szCs w:val="22"/>
              </w:rPr>
              <w:t>Thick Overlay</w:t>
            </w:r>
            <w:r>
              <w:rPr>
                <w:rFonts w:ascii="Arial" w:hAnsi="Arial" w:cs="Arial"/>
                <w:b/>
                <w:bCs/>
                <w:sz w:val="22"/>
                <w:szCs w:val="22"/>
              </w:rPr>
              <w:fldChar w:fldCharType="end"/>
            </w:r>
          </w:p>
        </w:tc>
      </w:tr>
      <w:tr w:rsidR="0042403B" w:rsidRPr="008B546B" w14:paraId="07B5A92C" w14:textId="77777777" w:rsidTr="00CA140F">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4B21AA31" w14:textId="77777777" w:rsidR="0042403B" w:rsidRPr="008B546B" w:rsidRDefault="0042403B" w:rsidP="00BE3F24">
            <w:pPr>
              <w:rPr>
                <w:rFonts w:ascii="Bell MT" w:hAnsi="Bell MT" w:cs="Calibri"/>
                <w:b/>
                <w:bCs/>
                <w:color w:val="000000"/>
                <w:sz w:val="28"/>
                <w:szCs w:val="28"/>
              </w:rPr>
            </w:pPr>
          </w:p>
        </w:tc>
        <w:tc>
          <w:tcPr>
            <w:tcW w:w="3077" w:type="dxa"/>
            <w:vMerge/>
            <w:tcBorders>
              <w:top w:val="nil"/>
              <w:left w:val="single" w:sz="4" w:space="0" w:color="auto"/>
              <w:bottom w:val="single" w:sz="4" w:space="0" w:color="auto"/>
              <w:right w:val="single" w:sz="4" w:space="0" w:color="auto"/>
            </w:tcBorders>
            <w:vAlign w:val="center"/>
            <w:hideMark/>
          </w:tcPr>
          <w:p w14:paraId="658AEDCB" w14:textId="77777777" w:rsidR="0042403B" w:rsidRPr="008B546B" w:rsidRDefault="0042403B" w:rsidP="00BE3F24">
            <w:pPr>
              <w:rPr>
                <w:rFonts w:ascii="Arial" w:hAnsi="Arial" w:cs="Arial"/>
                <w:b/>
                <w:bCs/>
                <w:color w:val="000000"/>
                <w:sz w:val="22"/>
                <w:szCs w:val="22"/>
              </w:rPr>
            </w:pPr>
          </w:p>
        </w:tc>
        <w:tc>
          <w:tcPr>
            <w:tcW w:w="2970" w:type="dxa"/>
            <w:vMerge/>
            <w:tcBorders>
              <w:top w:val="nil"/>
              <w:left w:val="nil"/>
              <w:bottom w:val="single" w:sz="4" w:space="0" w:color="000000"/>
              <w:right w:val="single" w:sz="4" w:space="0" w:color="auto"/>
            </w:tcBorders>
            <w:vAlign w:val="center"/>
            <w:hideMark/>
          </w:tcPr>
          <w:p w14:paraId="1DD17657" w14:textId="77777777" w:rsidR="0042403B" w:rsidRPr="008B546B" w:rsidRDefault="0042403B" w:rsidP="00BE3F24">
            <w:pPr>
              <w:rPr>
                <w:rFonts w:ascii="Arial" w:hAnsi="Arial" w:cs="Arial"/>
                <w:b/>
                <w:bCs/>
                <w:color w:val="000000"/>
                <w:sz w:val="22"/>
                <w:szCs w:val="22"/>
              </w:rPr>
            </w:pPr>
          </w:p>
        </w:tc>
      </w:tr>
      <w:tr w:rsidR="0042403B" w:rsidRPr="008B546B" w14:paraId="46BF15DB" w14:textId="77777777" w:rsidTr="00CA140F">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5F27ADFC"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104A94CF"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3077" w:type="dxa"/>
            <w:tcBorders>
              <w:top w:val="nil"/>
              <w:left w:val="nil"/>
              <w:bottom w:val="single" w:sz="4" w:space="0" w:color="auto"/>
              <w:right w:val="single" w:sz="4" w:space="0" w:color="auto"/>
            </w:tcBorders>
            <w:vAlign w:val="center"/>
            <w:hideMark/>
          </w:tcPr>
          <w:p w14:paraId="183B9122" w14:textId="6A07819D"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403B8737" w14:textId="77777777" w:rsidR="0042403B" w:rsidRDefault="0042403B" w:rsidP="00BE3F24">
            <w:pPr>
              <w:jc w:val="center"/>
            </w:pPr>
            <w:r w:rsidRPr="00BA6A01">
              <w:rPr>
                <w:rFonts w:ascii="Arial" w:hAnsi="Arial" w:cs="Arial"/>
                <w:b/>
                <w:bCs/>
                <w:color w:val="000000"/>
                <w:sz w:val="16"/>
                <w:szCs w:val="16"/>
              </w:rPr>
              <w:t>Yes</w:t>
            </w:r>
          </w:p>
        </w:tc>
      </w:tr>
      <w:tr w:rsidR="0042403B" w:rsidRPr="008B546B" w14:paraId="4982329B" w14:textId="77777777" w:rsidTr="00CA140F">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BB65A5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DB45EAD" w14:textId="3D044DFC" w:rsidR="0042403B" w:rsidRPr="008B546B" w:rsidRDefault="00171EC1"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3077" w:type="dxa"/>
            <w:tcBorders>
              <w:top w:val="nil"/>
              <w:left w:val="nil"/>
              <w:bottom w:val="single" w:sz="4" w:space="0" w:color="auto"/>
              <w:right w:val="single" w:sz="4" w:space="0" w:color="auto"/>
            </w:tcBorders>
            <w:vAlign w:val="center"/>
            <w:hideMark/>
          </w:tcPr>
          <w:p w14:paraId="5BA0C69F" w14:textId="6930903D"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41F0AF4F" w14:textId="77777777" w:rsidR="0042403B" w:rsidRDefault="0042403B" w:rsidP="00BE3F24">
            <w:pPr>
              <w:jc w:val="center"/>
            </w:pPr>
            <w:r w:rsidRPr="00BA6A01">
              <w:rPr>
                <w:rFonts w:ascii="Arial" w:hAnsi="Arial" w:cs="Arial"/>
                <w:b/>
                <w:bCs/>
                <w:color w:val="000000"/>
                <w:sz w:val="16"/>
                <w:szCs w:val="16"/>
              </w:rPr>
              <w:t>Yes</w:t>
            </w:r>
          </w:p>
        </w:tc>
      </w:tr>
      <w:tr w:rsidR="0042403B" w:rsidRPr="008B546B" w14:paraId="1C1882A7" w14:textId="77777777" w:rsidTr="00CA140F">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2DC340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4C4FAEF" w14:textId="071A703F" w:rsidR="0042403B" w:rsidRPr="008B546B" w:rsidRDefault="00171EC1"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3077" w:type="dxa"/>
            <w:tcBorders>
              <w:top w:val="nil"/>
              <w:left w:val="nil"/>
              <w:bottom w:val="single" w:sz="4" w:space="0" w:color="auto"/>
              <w:right w:val="single" w:sz="4" w:space="0" w:color="auto"/>
            </w:tcBorders>
            <w:vAlign w:val="center"/>
            <w:hideMark/>
          </w:tcPr>
          <w:p w14:paraId="43DB8F78" w14:textId="77777777"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591BD71E" w14:textId="77777777" w:rsidR="0042403B" w:rsidRDefault="0042403B" w:rsidP="00BE3F24">
            <w:pPr>
              <w:jc w:val="center"/>
            </w:pPr>
            <w:r w:rsidRPr="00BA6A01">
              <w:rPr>
                <w:rFonts w:ascii="Arial" w:hAnsi="Arial" w:cs="Arial"/>
                <w:b/>
                <w:bCs/>
                <w:color w:val="000000"/>
                <w:sz w:val="16"/>
                <w:szCs w:val="16"/>
              </w:rPr>
              <w:t>Yes</w:t>
            </w:r>
          </w:p>
        </w:tc>
      </w:tr>
      <w:tr w:rsidR="0042403B" w:rsidRPr="008B546B" w14:paraId="43F1E95C" w14:textId="77777777" w:rsidTr="00CA140F">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358F198"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6394583"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3077" w:type="dxa"/>
            <w:tcBorders>
              <w:top w:val="nil"/>
              <w:left w:val="nil"/>
              <w:bottom w:val="single" w:sz="4" w:space="0" w:color="auto"/>
              <w:right w:val="single" w:sz="4" w:space="0" w:color="auto"/>
            </w:tcBorders>
            <w:vAlign w:val="center"/>
            <w:hideMark/>
          </w:tcPr>
          <w:p w14:paraId="4E2C7EA4"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970" w:type="dxa"/>
            <w:tcBorders>
              <w:top w:val="nil"/>
              <w:left w:val="nil"/>
              <w:bottom w:val="single" w:sz="4" w:space="0" w:color="auto"/>
              <w:right w:val="single" w:sz="4" w:space="0" w:color="auto"/>
            </w:tcBorders>
            <w:vAlign w:val="center"/>
            <w:hideMark/>
          </w:tcPr>
          <w:p w14:paraId="1C03416E" w14:textId="77777777" w:rsidR="0042403B" w:rsidRDefault="0042403B" w:rsidP="00BE3F24">
            <w:pPr>
              <w:jc w:val="center"/>
            </w:pPr>
            <w:r w:rsidRPr="00BA6A01">
              <w:rPr>
                <w:rFonts w:ascii="Arial" w:hAnsi="Arial" w:cs="Arial"/>
                <w:b/>
                <w:bCs/>
                <w:color w:val="000000"/>
                <w:sz w:val="16"/>
                <w:szCs w:val="16"/>
              </w:rPr>
              <w:t>Yes</w:t>
            </w:r>
          </w:p>
        </w:tc>
      </w:tr>
      <w:tr w:rsidR="0042403B" w:rsidRPr="008B546B" w14:paraId="64A95A94" w14:textId="77777777" w:rsidTr="00CA140F">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2924471"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0586A9C"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3077" w:type="dxa"/>
            <w:tcBorders>
              <w:top w:val="nil"/>
              <w:left w:val="nil"/>
              <w:bottom w:val="single" w:sz="4" w:space="0" w:color="auto"/>
              <w:right w:val="single" w:sz="4" w:space="0" w:color="auto"/>
            </w:tcBorders>
            <w:vAlign w:val="center"/>
            <w:hideMark/>
          </w:tcPr>
          <w:p w14:paraId="4AFEA80E"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970" w:type="dxa"/>
            <w:tcBorders>
              <w:top w:val="nil"/>
              <w:left w:val="nil"/>
              <w:bottom w:val="single" w:sz="4" w:space="0" w:color="auto"/>
              <w:right w:val="single" w:sz="4" w:space="0" w:color="auto"/>
            </w:tcBorders>
            <w:vAlign w:val="center"/>
            <w:hideMark/>
          </w:tcPr>
          <w:p w14:paraId="26820292" w14:textId="77777777" w:rsidR="0042403B" w:rsidRDefault="0042403B" w:rsidP="00BE3F24">
            <w:pPr>
              <w:jc w:val="center"/>
            </w:pPr>
            <w:r w:rsidRPr="00BA6A01">
              <w:rPr>
                <w:rFonts w:ascii="Arial" w:hAnsi="Arial" w:cs="Arial"/>
                <w:b/>
                <w:bCs/>
                <w:color w:val="000000"/>
                <w:sz w:val="16"/>
                <w:szCs w:val="16"/>
              </w:rPr>
              <w:t>Yes</w:t>
            </w:r>
          </w:p>
        </w:tc>
      </w:tr>
      <w:tr w:rsidR="0042403B" w:rsidRPr="008B546B" w14:paraId="4DCAA925" w14:textId="77777777" w:rsidTr="00CA140F">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004BAC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07F3EE9"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3077" w:type="dxa"/>
            <w:tcBorders>
              <w:top w:val="nil"/>
              <w:left w:val="nil"/>
              <w:bottom w:val="single" w:sz="4" w:space="0" w:color="auto"/>
              <w:right w:val="single" w:sz="4" w:space="0" w:color="auto"/>
            </w:tcBorders>
            <w:vAlign w:val="center"/>
            <w:hideMark/>
          </w:tcPr>
          <w:p w14:paraId="0C9D54D4" w14:textId="77777777"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0ACBF6E0" w14:textId="2E193A55" w:rsidR="0042403B" w:rsidRDefault="00171EC1" w:rsidP="00BE3F24">
            <w:pPr>
              <w:jc w:val="center"/>
            </w:pPr>
            <w:r w:rsidRPr="00BA6A01">
              <w:rPr>
                <w:rFonts w:ascii="Arial" w:hAnsi="Arial" w:cs="Arial"/>
                <w:b/>
                <w:bCs/>
                <w:color w:val="000000"/>
                <w:sz w:val="16"/>
                <w:szCs w:val="16"/>
              </w:rPr>
              <w:t>Yes</w:t>
            </w:r>
          </w:p>
        </w:tc>
      </w:tr>
      <w:tr w:rsidR="0042403B" w:rsidRPr="008B546B" w14:paraId="0F52839E" w14:textId="77777777" w:rsidTr="00CA140F">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72C7CC00" w14:textId="18DF8F8B"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171EC1" w:rsidRPr="008B546B">
              <w:rPr>
                <w:rFonts w:ascii="Arial" w:hAnsi="Arial" w:cs="Arial"/>
                <w:b/>
                <w:bCs/>
                <w:sz w:val="22"/>
                <w:szCs w:val="22"/>
              </w:rPr>
              <w:t xml:space="preserve"> </w:t>
            </w:r>
            <w:r w:rsidRPr="008B546B">
              <w:rPr>
                <w:rFonts w:ascii="Arial" w:hAnsi="Arial" w:cs="Arial"/>
                <w:b/>
                <w:bCs/>
                <w:sz w:val="22"/>
                <w:szCs w:val="22"/>
              </w:rPr>
              <w:t>Advantages</w:t>
            </w:r>
          </w:p>
        </w:tc>
        <w:tc>
          <w:tcPr>
            <w:tcW w:w="3077" w:type="dxa"/>
            <w:tcBorders>
              <w:top w:val="nil"/>
              <w:left w:val="nil"/>
              <w:bottom w:val="single" w:sz="4" w:space="0" w:color="auto"/>
              <w:right w:val="single" w:sz="4" w:space="0" w:color="auto"/>
            </w:tcBorders>
            <w:hideMark/>
          </w:tcPr>
          <w:p w14:paraId="75EA1ADA" w14:textId="5BCED155" w:rsidR="0042403B" w:rsidRDefault="00171EC1" w:rsidP="00915EA9">
            <w:pPr>
              <w:rPr>
                <w:rFonts w:ascii="Arial" w:hAnsi="Arial" w:cs="Arial"/>
                <w:color w:val="000000"/>
                <w:sz w:val="16"/>
                <w:szCs w:val="16"/>
              </w:rPr>
            </w:pPr>
            <w:r>
              <w:rPr>
                <w:rFonts w:ascii="Arial" w:hAnsi="Arial" w:cs="Arial"/>
                <w:color w:val="000000"/>
                <w:sz w:val="16"/>
                <w:szCs w:val="16"/>
              </w:rPr>
              <w:t>1. Can be done on-site</w:t>
            </w:r>
            <w:r>
              <w:rPr>
                <w:rFonts w:ascii="Arial" w:hAnsi="Arial" w:cs="Arial"/>
                <w:color w:val="000000"/>
                <w:sz w:val="16"/>
                <w:szCs w:val="16"/>
              </w:rPr>
              <w:br/>
              <w:t>2. Reduced Material Costs</w:t>
            </w:r>
            <w:r>
              <w:rPr>
                <w:rFonts w:ascii="Arial" w:hAnsi="Arial" w:cs="Arial"/>
                <w:color w:val="000000"/>
                <w:sz w:val="16"/>
                <w:szCs w:val="16"/>
              </w:rPr>
              <w:br/>
              <w:t>3. Less Waste</w:t>
            </w:r>
          </w:p>
        </w:tc>
        <w:tc>
          <w:tcPr>
            <w:tcW w:w="2970" w:type="dxa"/>
            <w:tcBorders>
              <w:top w:val="nil"/>
              <w:left w:val="nil"/>
              <w:bottom w:val="single" w:sz="4" w:space="0" w:color="auto"/>
              <w:right w:val="single" w:sz="4" w:space="0" w:color="auto"/>
            </w:tcBorders>
            <w:hideMark/>
          </w:tcPr>
          <w:p w14:paraId="31150AF7" w14:textId="77777777" w:rsidR="0042403B" w:rsidRDefault="0042403B" w:rsidP="00BE3F24">
            <w:pPr>
              <w:rPr>
                <w:rFonts w:ascii="Arial" w:hAnsi="Arial" w:cs="Arial"/>
                <w:color w:val="000000"/>
                <w:sz w:val="16"/>
                <w:szCs w:val="16"/>
              </w:rPr>
            </w:pPr>
            <w:r>
              <w:rPr>
                <w:rFonts w:ascii="Arial" w:hAnsi="Arial" w:cs="Arial"/>
                <w:color w:val="000000"/>
                <w:sz w:val="16"/>
                <w:szCs w:val="16"/>
              </w:rPr>
              <w:t>1. Subgrade is not disturbed, resulting in no E&amp;S or other SWM requirements.</w:t>
            </w:r>
            <w:r>
              <w:rPr>
                <w:rFonts w:ascii="Arial" w:hAnsi="Arial" w:cs="Arial"/>
                <w:color w:val="000000"/>
                <w:sz w:val="16"/>
                <w:szCs w:val="16"/>
              </w:rPr>
              <w:br/>
              <w:t>2. Allows for a lower profile grade when required, while maintaining adequate pavement structure.</w:t>
            </w:r>
            <w:r>
              <w:rPr>
                <w:rFonts w:ascii="Arial" w:hAnsi="Arial" w:cs="Arial"/>
                <w:color w:val="000000"/>
                <w:sz w:val="16"/>
                <w:szCs w:val="16"/>
              </w:rPr>
              <w:br/>
              <w:t>3. Cheaper than reconstruction.</w:t>
            </w:r>
          </w:p>
        </w:tc>
      </w:tr>
      <w:tr w:rsidR="0042403B" w:rsidRPr="008B546B" w14:paraId="253280B1" w14:textId="77777777" w:rsidTr="00CA140F">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B900EBA" w14:textId="2D55665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3077" w:type="dxa"/>
            <w:tcBorders>
              <w:top w:val="nil"/>
              <w:left w:val="nil"/>
              <w:bottom w:val="single" w:sz="4" w:space="0" w:color="auto"/>
              <w:right w:val="single" w:sz="4" w:space="0" w:color="auto"/>
            </w:tcBorders>
            <w:hideMark/>
          </w:tcPr>
          <w:p w14:paraId="69DA0310" w14:textId="77777777" w:rsidR="00171EC1" w:rsidRPr="00A60906" w:rsidRDefault="00171EC1" w:rsidP="00171EC1">
            <w:pPr>
              <w:rPr>
                <w:rFonts w:ascii="Arial" w:hAnsi="Arial" w:cs="Arial"/>
                <w:sz w:val="16"/>
                <w:szCs w:val="16"/>
              </w:rPr>
            </w:pPr>
            <w:r w:rsidRPr="00A60906">
              <w:rPr>
                <w:rFonts w:ascii="Arial" w:hAnsi="Arial" w:cs="Arial"/>
                <w:sz w:val="16"/>
                <w:szCs w:val="16"/>
              </w:rPr>
              <w:t>1.</w:t>
            </w:r>
            <w:r>
              <w:rPr>
                <w:rFonts w:ascii="Arial" w:hAnsi="Arial" w:cs="Arial"/>
                <w:sz w:val="16"/>
                <w:szCs w:val="16"/>
              </w:rPr>
              <w:t xml:space="preserve">  </w:t>
            </w:r>
            <w:r w:rsidRPr="00A60906">
              <w:rPr>
                <w:rFonts w:ascii="Arial" w:hAnsi="Arial" w:cs="Arial"/>
                <w:sz w:val="16"/>
                <w:szCs w:val="16"/>
              </w:rPr>
              <w:t>Not recommended for heavily oxidized material</w:t>
            </w:r>
            <w:r w:rsidRPr="00A60906">
              <w:rPr>
                <w:rFonts w:ascii="Arial" w:hAnsi="Arial" w:cs="Arial"/>
                <w:sz w:val="16"/>
                <w:szCs w:val="16"/>
              </w:rPr>
              <w:br/>
              <w:t>2.  Requires good surface materials</w:t>
            </w:r>
            <w:r w:rsidRPr="00A60906">
              <w:rPr>
                <w:rFonts w:ascii="Arial" w:hAnsi="Arial" w:cs="Arial"/>
                <w:sz w:val="16"/>
                <w:szCs w:val="16"/>
              </w:rPr>
              <w:br/>
              <w:t>3. Limited to 3" in depth</w:t>
            </w:r>
            <w:r w:rsidRPr="00A60906">
              <w:rPr>
                <w:rFonts w:ascii="Arial" w:hAnsi="Arial" w:cs="Arial"/>
                <w:sz w:val="16"/>
                <w:szCs w:val="16"/>
              </w:rPr>
              <w:br/>
              <w:t>4. Requires Specialized Equipment</w:t>
            </w:r>
          </w:p>
          <w:p w14:paraId="1091D69B" w14:textId="5D3DFBBE" w:rsidR="0042403B" w:rsidRPr="004B3A21" w:rsidRDefault="00171EC1" w:rsidP="004B3A21">
            <w:pPr>
              <w:spacing w:after="240"/>
            </w:pPr>
            <w:r w:rsidRPr="00A60906">
              <w:rPr>
                <w:rFonts w:ascii="Arial" w:hAnsi="Arial" w:cs="Arial"/>
                <w:sz w:val="16"/>
                <w:szCs w:val="16"/>
              </w:rPr>
              <w:t>5. Crack sealant should be removed to reduce risk of fires or blue smoke</w:t>
            </w:r>
          </w:p>
        </w:tc>
        <w:tc>
          <w:tcPr>
            <w:tcW w:w="2970" w:type="dxa"/>
            <w:tcBorders>
              <w:top w:val="nil"/>
              <w:left w:val="nil"/>
              <w:bottom w:val="single" w:sz="4" w:space="0" w:color="auto"/>
              <w:right w:val="single" w:sz="4" w:space="0" w:color="auto"/>
            </w:tcBorders>
            <w:hideMark/>
          </w:tcPr>
          <w:p w14:paraId="45E2B47A" w14:textId="2DEF9C2A" w:rsidR="0042403B" w:rsidRDefault="0042403B" w:rsidP="00BE3F24">
            <w:pPr>
              <w:rPr>
                <w:rFonts w:ascii="Arial" w:hAnsi="Arial" w:cs="Arial"/>
                <w:color w:val="000000"/>
                <w:sz w:val="16"/>
                <w:szCs w:val="16"/>
              </w:rPr>
            </w:pPr>
            <w:r>
              <w:rPr>
                <w:rFonts w:ascii="Arial" w:hAnsi="Arial" w:cs="Arial"/>
                <w:color w:val="000000"/>
                <w:sz w:val="16"/>
                <w:szCs w:val="16"/>
              </w:rPr>
              <w:t>1. Less aggregate base available for drainage.</w:t>
            </w:r>
            <w:r>
              <w:rPr>
                <w:rFonts w:ascii="Arial" w:hAnsi="Arial" w:cs="Arial"/>
                <w:color w:val="000000"/>
                <w:sz w:val="16"/>
                <w:szCs w:val="16"/>
              </w:rPr>
              <w:br/>
              <w:t xml:space="preserve">2. Existing "Top of Subgrade" elevation can be difficult to define if variable </w:t>
            </w:r>
            <w:r w:rsidR="00171EC1">
              <w:rPr>
                <w:rFonts w:ascii="Arial" w:hAnsi="Arial" w:cs="Arial"/>
                <w:color w:val="000000"/>
                <w:sz w:val="16"/>
                <w:szCs w:val="16"/>
              </w:rPr>
              <w:t>subbase</w:t>
            </w:r>
            <w:r>
              <w:rPr>
                <w:rFonts w:ascii="Arial" w:hAnsi="Arial" w:cs="Arial"/>
                <w:color w:val="000000"/>
                <w:sz w:val="16"/>
                <w:szCs w:val="16"/>
              </w:rPr>
              <w:t xml:space="preserve"> and bound pavement thicknesses exist.</w:t>
            </w:r>
          </w:p>
        </w:tc>
      </w:tr>
      <w:tr w:rsidR="002728BF" w:rsidRPr="008B546B" w14:paraId="5B5D30CA" w14:textId="77777777" w:rsidTr="00CA140F">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1D7FCE02" w14:textId="77777777" w:rsidR="002728BF" w:rsidRPr="008B546B" w:rsidRDefault="002728BF"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4B0EF60C" w14:textId="77777777" w:rsidR="002728BF" w:rsidRDefault="002728BF" w:rsidP="00BE3F24">
            <w:pPr>
              <w:jc w:val="center"/>
              <w:rPr>
                <w:rFonts w:ascii="Arial" w:hAnsi="Arial" w:cs="Arial"/>
                <w:b/>
                <w:bCs/>
                <w:sz w:val="18"/>
                <w:szCs w:val="18"/>
              </w:rPr>
            </w:pPr>
            <w:r>
              <w:rPr>
                <w:rFonts w:ascii="Arial" w:hAnsi="Arial" w:cs="Arial"/>
                <w:b/>
                <w:bCs/>
                <w:sz w:val="18"/>
                <w:szCs w:val="18"/>
              </w:rPr>
              <w:t>Small Quantity Cost</w:t>
            </w:r>
          </w:p>
        </w:tc>
        <w:tc>
          <w:tcPr>
            <w:tcW w:w="3077" w:type="dxa"/>
            <w:vMerge w:val="restart"/>
            <w:tcBorders>
              <w:top w:val="nil"/>
              <w:left w:val="nil"/>
              <w:right w:val="single" w:sz="4" w:space="0" w:color="auto"/>
            </w:tcBorders>
            <w:vAlign w:val="center"/>
            <w:hideMark/>
          </w:tcPr>
          <w:p w14:paraId="1802039A" w14:textId="77777777" w:rsidR="002728BF" w:rsidRDefault="002728BF" w:rsidP="009647DE">
            <w:pPr>
              <w:rPr>
                <w:rFonts w:ascii="Arial" w:hAnsi="Arial" w:cs="Arial"/>
                <w:color w:val="000000"/>
                <w:sz w:val="16"/>
                <w:szCs w:val="16"/>
              </w:rPr>
            </w:pPr>
            <w:r>
              <w:rPr>
                <w:rFonts w:ascii="Arial" w:hAnsi="Arial" w:cs="Arial"/>
                <w:color w:val="000000"/>
                <w:sz w:val="16"/>
                <w:szCs w:val="16"/>
              </w:rPr>
              <w:t>Re</w:t>
            </w:r>
            <w:r w:rsidRPr="00C9741F">
              <w:rPr>
                <w:rFonts w:ascii="Arial" w:hAnsi="Arial" w:cs="Arial"/>
                <w:color w:val="000000"/>
                <w:sz w:val="16"/>
                <w:szCs w:val="16"/>
              </w:rPr>
              <w:t xml:space="preserve">fer to </w:t>
            </w:r>
            <w:r>
              <w:rPr>
                <w:rFonts w:ascii="Arial" w:hAnsi="Arial" w:cs="Arial"/>
                <w:color w:val="000000"/>
                <w:sz w:val="16"/>
                <w:szCs w:val="16"/>
              </w:rPr>
              <w:t>the</w:t>
            </w:r>
            <w:r w:rsidRPr="00C9741F">
              <w:rPr>
                <w:rFonts w:ascii="Arial" w:hAnsi="Arial" w:cs="Arial"/>
                <w:color w:val="000000"/>
                <w:sz w:val="16"/>
                <w:szCs w:val="16"/>
              </w:rPr>
              <w:t xml:space="preserve"> </w:t>
            </w:r>
            <w:hyperlink r:id="rId65" w:history="1">
              <w:r w:rsidRPr="00C9741F">
                <w:rPr>
                  <w:rStyle w:val="Hyperlink"/>
                  <w:rFonts w:ascii="Arial" w:hAnsi="Arial" w:cs="Arial"/>
                  <w:sz w:val="16"/>
                  <w:szCs w:val="16"/>
                </w:rPr>
                <w:t>Unit Price</w:t>
              </w:r>
            </w:hyperlink>
            <w:r w:rsidRPr="00C9741F">
              <w:rPr>
                <w:rFonts w:ascii="Arial" w:hAnsi="Arial" w:cs="Arial"/>
                <w:sz w:val="16"/>
                <w:szCs w:val="16"/>
              </w:rPr>
              <w:t xml:space="preserve"> table located on the OMT network </w:t>
            </w:r>
            <w:r>
              <w:rPr>
                <w:rFonts w:ascii="Arial" w:hAnsi="Arial" w:cs="Arial"/>
                <w:sz w:val="16"/>
                <w:szCs w:val="16"/>
              </w:rPr>
              <w:t>for</w:t>
            </w:r>
            <w:r w:rsidRPr="00C9741F">
              <w:rPr>
                <w:rFonts w:ascii="Arial" w:hAnsi="Arial" w:cs="Arial"/>
                <w:sz w:val="16"/>
                <w:szCs w:val="16"/>
              </w:rPr>
              <w:t xml:space="preserve"> the latest average unit prices</w:t>
            </w:r>
            <w:r>
              <w:rPr>
                <w:rFonts w:ascii="Arial" w:hAnsi="Arial" w:cs="Arial"/>
                <w:sz w:val="16"/>
                <w:szCs w:val="16"/>
              </w:rPr>
              <w:t>.</w:t>
            </w:r>
          </w:p>
        </w:tc>
        <w:tc>
          <w:tcPr>
            <w:tcW w:w="2970" w:type="dxa"/>
            <w:vMerge w:val="restart"/>
            <w:tcBorders>
              <w:top w:val="nil"/>
              <w:left w:val="nil"/>
              <w:right w:val="single" w:sz="4" w:space="0" w:color="auto"/>
            </w:tcBorders>
            <w:vAlign w:val="center"/>
            <w:hideMark/>
          </w:tcPr>
          <w:p w14:paraId="2050EB3C" w14:textId="77777777" w:rsidR="002728BF" w:rsidRDefault="002728BF" w:rsidP="009647DE">
            <w:pPr>
              <w:rPr>
                <w:rFonts w:ascii="Arial" w:hAnsi="Arial" w:cs="Arial"/>
                <w:color w:val="000000"/>
                <w:sz w:val="16"/>
                <w:szCs w:val="16"/>
              </w:rPr>
            </w:pPr>
            <w:r>
              <w:rPr>
                <w:rFonts w:ascii="Arial" w:hAnsi="Arial" w:cs="Arial"/>
                <w:color w:val="000000"/>
                <w:sz w:val="16"/>
                <w:szCs w:val="16"/>
              </w:rPr>
              <w:t>Re</w:t>
            </w:r>
            <w:r w:rsidRPr="00C9741F">
              <w:rPr>
                <w:rFonts w:ascii="Arial" w:hAnsi="Arial" w:cs="Arial"/>
                <w:color w:val="000000"/>
                <w:sz w:val="16"/>
                <w:szCs w:val="16"/>
              </w:rPr>
              <w:t xml:space="preserve">fer to </w:t>
            </w:r>
            <w:r>
              <w:rPr>
                <w:rFonts w:ascii="Arial" w:hAnsi="Arial" w:cs="Arial"/>
                <w:color w:val="000000"/>
                <w:sz w:val="16"/>
                <w:szCs w:val="16"/>
              </w:rPr>
              <w:t>the</w:t>
            </w:r>
            <w:r w:rsidRPr="00C9741F">
              <w:rPr>
                <w:rFonts w:ascii="Arial" w:hAnsi="Arial" w:cs="Arial"/>
                <w:color w:val="000000"/>
                <w:sz w:val="16"/>
                <w:szCs w:val="16"/>
              </w:rPr>
              <w:t xml:space="preserve"> </w:t>
            </w:r>
            <w:hyperlink r:id="rId66" w:history="1">
              <w:r w:rsidRPr="00C9741F">
                <w:rPr>
                  <w:rStyle w:val="Hyperlink"/>
                  <w:rFonts w:ascii="Arial" w:hAnsi="Arial" w:cs="Arial"/>
                  <w:sz w:val="16"/>
                  <w:szCs w:val="16"/>
                </w:rPr>
                <w:t>Unit Price</w:t>
              </w:r>
            </w:hyperlink>
            <w:r w:rsidRPr="00C9741F">
              <w:rPr>
                <w:rFonts w:ascii="Arial" w:hAnsi="Arial" w:cs="Arial"/>
                <w:sz w:val="16"/>
                <w:szCs w:val="16"/>
              </w:rPr>
              <w:t xml:space="preserve"> table located on the OMT network </w:t>
            </w:r>
            <w:r>
              <w:rPr>
                <w:rFonts w:ascii="Arial" w:hAnsi="Arial" w:cs="Arial"/>
                <w:sz w:val="16"/>
                <w:szCs w:val="16"/>
              </w:rPr>
              <w:t>for</w:t>
            </w:r>
            <w:r w:rsidRPr="00C9741F">
              <w:rPr>
                <w:rFonts w:ascii="Arial" w:hAnsi="Arial" w:cs="Arial"/>
                <w:sz w:val="16"/>
                <w:szCs w:val="16"/>
              </w:rPr>
              <w:t xml:space="preserve"> the latest average unit prices</w:t>
            </w:r>
            <w:r>
              <w:rPr>
                <w:rFonts w:ascii="Arial" w:hAnsi="Arial" w:cs="Arial"/>
                <w:sz w:val="16"/>
                <w:szCs w:val="16"/>
              </w:rPr>
              <w:t>.</w:t>
            </w:r>
          </w:p>
        </w:tc>
      </w:tr>
      <w:tr w:rsidR="002728BF" w:rsidRPr="008B546B" w14:paraId="5D68DB34" w14:textId="77777777" w:rsidTr="00CA140F">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125A6FA"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C838662" w14:textId="77777777" w:rsidR="002728BF" w:rsidRDefault="002728BF" w:rsidP="00BE3F24">
            <w:pPr>
              <w:jc w:val="center"/>
              <w:rPr>
                <w:rFonts w:ascii="Arial" w:hAnsi="Arial" w:cs="Arial"/>
                <w:b/>
                <w:bCs/>
                <w:sz w:val="18"/>
                <w:szCs w:val="18"/>
              </w:rPr>
            </w:pPr>
            <w:r>
              <w:rPr>
                <w:rFonts w:ascii="Arial" w:hAnsi="Arial" w:cs="Arial"/>
                <w:b/>
                <w:bCs/>
                <w:sz w:val="18"/>
                <w:szCs w:val="18"/>
              </w:rPr>
              <w:t>Medium Quantity Cost</w:t>
            </w:r>
          </w:p>
        </w:tc>
        <w:tc>
          <w:tcPr>
            <w:tcW w:w="3077" w:type="dxa"/>
            <w:vMerge/>
            <w:tcBorders>
              <w:left w:val="nil"/>
              <w:right w:val="single" w:sz="4" w:space="0" w:color="auto"/>
            </w:tcBorders>
            <w:vAlign w:val="center"/>
            <w:hideMark/>
          </w:tcPr>
          <w:p w14:paraId="1CC734F8" w14:textId="77777777" w:rsidR="002728BF" w:rsidRDefault="002728BF" w:rsidP="00BE3F24">
            <w:pPr>
              <w:rPr>
                <w:rFonts w:ascii="Arial" w:hAnsi="Arial" w:cs="Arial"/>
                <w:color w:val="000000"/>
                <w:sz w:val="16"/>
                <w:szCs w:val="16"/>
              </w:rPr>
            </w:pPr>
          </w:p>
        </w:tc>
        <w:tc>
          <w:tcPr>
            <w:tcW w:w="2970" w:type="dxa"/>
            <w:vMerge/>
            <w:tcBorders>
              <w:left w:val="nil"/>
              <w:right w:val="single" w:sz="4" w:space="0" w:color="auto"/>
            </w:tcBorders>
            <w:vAlign w:val="center"/>
            <w:hideMark/>
          </w:tcPr>
          <w:p w14:paraId="2147DFFE" w14:textId="77777777" w:rsidR="002728BF" w:rsidRDefault="002728BF" w:rsidP="00BE3F24">
            <w:pPr>
              <w:rPr>
                <w:rFonts w:ascii="Arial" w:hAnsi="Arial" w:cs="Arial"/>
                <w:color w:val="000000"/>
                <w:sz w:val="16"/>
                <w:szCs w:val="16"/>
              </w:rPr>
            </w:pPr>
          </w:p>
        </w:tc>
      </w:tr>
      <w:tr w:rsidR="002728BF" w:rsidRPr="008B546B" w14:paraId="54DE4E36" w14:textId="77777777" w:rsidTr="00CA140F">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1AAE421E"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A2B45C7" w14:textId="77777777" w:rsidR="002728BF" w:rsidRDefault="002728BF" w:rsidP="00BE3F24">
            <w:pPr>
              <w:jc w:val="center"/>
              <w:rPr>
                <w:rFonts w:ascii="Arial" w:hAnsi="Arial" w:cs="Arial"/>
                <w:b/>
                <w:bCs/>
                <w:sz w:val="18"/>
                <w:szCs w:val="18"/>
              </w:rPr>
            </w:pPr>
            <w:r>
              <w:rPr>
                <w:rFonts w:ascii="Arial" w:hAnsi="Arial" w:cs="Arial"/>
                <w:b/>
                <w:bCs/>
                <w:sz w:val="18"/>
                <w:szCs w:val="18"/>
              </w:rPr>
              <w:t>High Quantity Cost</w:t>
            </w:r>
          </w:p>
        </w:tc>
        <w:tc>
          <w:tcPr>
            <w:tcW w:w="3077" w:type="dxa"/>
            <w:vMerge/>
            <w:tcBorders>
              <w:left w:val="nil"/>
              <w:bottom w:val="single" w:sz="4" w:space="0" w:color="auto"/>
              <w:right w:val="single" w:sz="4" w:space="0" w:color="auto"/>
            </w:tcBorders>
            <w:vAlign w:val="center"/>
            <w:hideMark/>
          </w:tcPr>
          <w:p w14:paraId="5920A4B4" w14:textId="77777777" w:rsidR="002728BF" w:rsidRDefault="002728BF" w:rsidP="00BE3F24">
            <w:pPr>
              <w:rPr>
                <w:rFonts w:ascii="Arial" w:hAnsi="Arial" w:cs="Arial"/>
                <w:color w:val="000000"/>
                <w:sz w:val="16"/>
                <w:szCs w:val="16"/>
              </w:rPr>
            </w:pPr>
          </w:p>
        </w:tc>
        <w:tc>
          <w:tcPr>
            <w:tcW w:w="2970" w:type="dxa"/>
            <w:vMerge/>
            <w:tcBorders>
              <w:left w:val="nil"/>
              <w:bottom w:val="single" w:sz="4" w:space="0" w:color="auto"/>
              <w:right w:val="single" w:sz="4" w:space="0" w:color="auto"/>
            </w:tcBorders>
            <w:vAlign w:val="center"/>
            <w:hideMark/>
          </w:tcPr>
          <w:p w14:paraId="545B7D2F" w14:textId="77777777" w:rsidR="002728BF" w:rsidRDefault="002728BF" w:rsidP="00BE3F24">
            <w:pPr>
              <w:rPr>
                <w:rFonts w:ascii="Arial" w:hAnsi="Arial" w:cs="Arial"/>
                <w:color w:val="000000"/>
                <w:sz w:val="16"/>
                <w:szCs w:val="16"/>
              </w:rPr>
            </w:pPr>
          </w:p>
        </w:tc>
      </w:tr>
      <w:tr w:rsidR="002728BF" w:rsidRPr="008B546B" w14:paraId="1F4D6428" w14:textId="77777777" w:rsidTr="00CA140F">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F6B5B29"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495232B" w14:textId="77777777" w:rsidR="002728BF" w:rsidRDefault="002728BF" w:rsidP="00BE3F24">
            <w:pPr>
              <w:jc w:val="center"/>
              <w:rPr>
                <w:rFonts w:ascii="Arial" w:hAnsi="Arial" w:cs="Arial"/>
                <w:b/>
                <w:bCs/>
                <w:sz w:val="18"/>
                <w:szCs w:val="18"/>
              </w:rPr>
            </w:pPr>
            <w:r>
              <w:rPr>
                <w:rFonts w:ascii="Arial" w:hAnsi="Arial" w:cs="Arial"/>
                <w:b/>
                <w:bCs/>
                <w:sz w:val="18"/>
                <w:szCs w:val="18"/>
              </w:rPr>
              <w:t>Items Included</w:t>
            </w:r>
          </w:p>
        </w:tc>
        <w:tc>
          <w:tcPr>
            <w:tcW w:w="3077" w:type="dxa"/>
            <w:tcBorders>
              <w:top w:val="nil"/>
              <w:left w:val="nil"/>
              <w:bottom w:val="single" w:sz="4" w:space="0" w:color="auto"/>
              <w:right w:val="single" w:sz="4" w:space="0" w:color="auto"/>
            </w:tcBorders>
            <w:vAlign w:val="center"/>
            <w:hideMark/>
          </w:tcPr>
          <w:p w14:paraId="6872D20E" w14:textId="3CCF8645" w:rsidR="002728BF" w:rsidRPr="004B3A21" w:rsidRDefault="0042403B" w:rsidP="00BE3F24">
            <w:pPr>
              <w:rPr>
                <w:rFonts w:ascii="Arial" w:hAnsi="Arial"/>
                <w:color w:val="000000"/>
                <w:sz w:val="16"/>
              </w:rPr>
            </w:pPr>
            <w:r>
              <w:rPr>
                <w:rFonts w:ascii="Arial" w:hAnsi="Arial" w:cs="Arial"/>
                <w:color w:val="000000"/>
                <w:sz w:val="16"/>
                <w:szCs w:val="16"/>
              </w:rPr>
              <w:t>See Definition</w:t>
            </w:r>
          </w:p>
        </w:tc>
        <w:tc>
          <w:tcPr>
            <w:tcW w:w="2970" w:type="dxa"/>
            <w:tcBorders>
              <w:top w:val="nil"/>
              <w:left w:val="nil"/>
              <w:bottom w:val="single" w:sz="4" w:space="0" w:color="auto"/>
              <w:right w:val="single" w:sz="4" w:space="0" w:color="auto"/>
            </w:tcBorders>
            <w:vAlign w:val="center"/>
            <w:hideMark/>
          </w:tcPr>
          <w:p w14:paraId="17F14E16" w14:textId="5C46BF90" w:rsidR="002728BF" w:rsidRDefault="002728BF" w:rsidP="00BE3F24">
            <w:pPr>
              <w:rPr>
                <w:rFonts w:ascii="Arial" w:hAnsi="Arial" w:cs="Arial"/>
                <w:sz w:val="16"/>
                <w:szCs w:val="16"/>
              </w:rPr>
            </w:pPr>
            <w:r>
              <w:rPr>
                <w:rFonts w:ascii="Arial" w:hAnsi="Arial" w:cs="Arial"/>
                <w:sz w:val="16"/>
                <w:szCs w:val="16"/>
              </w:rPr>
              <w:t xml:space="preserve">Materials and </w:t>
            </w:r>
            <w:r w:rsidR="00171EC1">
              <w:rPr>
                <w:rFonts w:ascii="Arial" w:hAnsi="Arial" w:cs="Arial"/>
                <w:sz w:val="16"/>
                <w:szCs w:val="16"/>
              </w:rPr>
              <w:t>Construciton</w:t>
            </w:r>
          </w:p>
        </w:tc>
      </w:tr>
      <w:tr w:rsidR="002728BF" w:rsidRPr="008B546B" w14:paraId="0ED9D8A8" w14:textId="77777777" w:rsidTr="00CA140F">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70814EA"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C1752AB" w14:textId="77777777" w:rsidR="002728BF" w:rsidRDefault="002728BF" w:rsidP="00BE3F24">
            <w:pPr>
              <w:jc w:val="center"/>
              <w:rPr>
                <w:rFonts w:ascii="Arial" w:hAnsi="Arial" w:cs="Arial"/>
                <w:b/>
                <w:bCs/>
                <w:sz w:val="18"/>
                <w:szCs w:val="18"/>
              </w:rPr>
            </w:pPr>
            <w:r>
              <w:rPr>
                <w:rFonts w:ascii="Arial" w:hAnsi="Arial" w:cs="Arial"/>
                <w:b/>
                <w:bCs/>
                <w:sz w:val="18"/>
                <w:szCs w:val="18"/>
              </w:rPr>
              <w:t>Items Excluded</w:t>
            </w:r>
          </w:p>
        </w:tc>
        <w:tc>
          <w:tcPr>
            <w:tcW w:w="3077" w:type="dxa"/>
            <w:tcBorders>
              <w:top w:val="nil"/>
              <w:left w:val="nil"/>
              <w:bottom w:val="single" w:sz="4" w:space="0" w:color="auto"/>
              <w:right w:val="single" w:sz="4" w:space="0" w:color="auto"/>
            </w:tcBorders>
            <w:vAlign w:val="center"/>
            <w:hideMark/>
          </w:tcPr>
          <w:p w14:paraId="75CB0EC2" w14:textId="31746C9D" w:rsidR="002728BF" w:rsidRPr="004B3A21" w:rsidRDefault="0042403B" w:rsidP="00BE3F24">
            <w:pPr>
              <w:rPr>
                <w:rFonts w:ascii="Arial" w:hAnsi="Arial"/>
                <w:color w:val="000000"/>
                <w:sz w:val="16"/>
              </w:rPr>
            </w:pPr>
            <w:r w:rsidRPr="004B3A21">
              <w:rPr>
                <w:rFonts w:ascii="Arial" w:hAnsi="Arial"/>
                <w:color w:val="000000"/>
                <w:sz w:val="16"/>
              </w:rPr>
              <w:t>Marking Removal</w:t>
            </w:r>
          </w:p>
        </w:tc>
        <w:tc>
          <w:tcPr>
            <w:tcW w:w="2970" w:type="dxa"/>
            <w:tcBorders>
              <w:top w:val="nil"/>
              <w:left w:val="nil"/>
              <w:bottom w:val="single" w:sz="4" w:space="0" w:color="auto"/>
              <w:right w:val="single" w:sz="4" w:space="0" w:color="auto"/>
            </w:tcBorders>
            <w:vAlign w:val="center"/>
            <w:hideMark/>
          </w:tcPr>
          <w:p w14:paraId="0A0221DD" w14:textId="77777777" w:rsidR="002728BF" w:rsidRDefault="002728BF" w:rsidP="00BE3F24">
            <w:pPr>
              <w:rPr>
                <w:rFonts w:ascii="Arial" w:hAnsi="Arial" w:cs="Arial"/>
                <w:sz w:val="16"/>
                <w:szCs w:val="16"/>
              </w:rPr>
            </w:pPr>
            <w:r>
              <w:rPr>
                <w:rFonts w:ascii="Arial" w:hAnsi="Arial" w:cs="Arial"/>
                <w:sz w:val="16"/>
                <w:szCs w:val="16"/>
              </w:rPr>
              <w:t>MOT, Markings, Barriers</w:t>
            </w:r>
          </w:p>
        </w:tc>
      </w:tr>
      <w:tr w:rsidR="002728BF" w:rsidRPr="008B546B" w14:paraId="4F259D9B" w14:textId="77777777" w:rsidTr="00CA140F">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6594F71" w14:textId="77777777" w:rsidR="002728BF" w:rsidRPr="008B546B" w:rsidRDefault="002728BF"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3077" w:type="dxa"/>
            <w:tcBorders>
              <w:top w:val="single" w:sz="4" w:space="0" w:color="auto"/>
              <w:left w:val="nil"/>
              <w:bottom w:val="single" w:sz="4" w:space="0" w:color="auto"/>
              <w:right w:val="single" w:sz="4" w:space="0" w:color="auto"/>
            </w:tcBorders>
            <w:vAlign w:val="center"/>
            <w:hideMark/>
          </w:tcPr>
          <w:p w14:paraId="6B13FF69" w14:textId="212FDC05" w:rsidR="00171EC1" w:rsidRDefault="00171EC1" w:rsidP="00171EC1">
            <w:pPr>
              <w:rPr>
                <w:rFonts w:ascii="Arial" w:hAnsi="Arial" w:cs="Arial"/>
                <w:color w:val="000000"/>
                <w:sz w:val="16"/>
                <w:szCs w:val="16"/>
              </w:rPr>
            </w:pPr>
            <w:r>
              <w:rPr>
                <w:rFonts w:ascii="Arial" w:hAnsi="Arial" w:cs="Arial"/>
                <w:color w:val="000000"/>
                <w:sz w:val="16"/>
                <w:szCs w:val="16"/>
              </w:rPr>
              <w:t>4-15</w:t>
            </w:r>
            <w:r w:rsidR="002728BF">
              <w:rPr>
                <w:rFonts w:ascii="Arial" w:hAnsi="Arial" w:cs="Arial"/>
                <w:color w:val="000000"/>
                <w:sz w:val="16"/>
                <w:szCs w:val="16"/>
              </w:rPr>
              <w:t xml:space="preserve"> years</w:t>
            </w:r>
          </w:p>
          <w:p w14:paraId="3B49748C" w14:textId="5AF7AF7C" w:rsidR="002728BF" w:rsidRDefault="002728BF" w:rsidP="00BE3F24">
            <w:pPr>
              <w:rPr>
                <w:rFonts w:ascii="Arial" w:hAnsi="Arial" w:cs="Arial"/>
                <w:color w:val="000000"/>
                <w:sz w:val="16"/>
                <w:szCs w:val="16"/>
              </w:rPr>
            </w:pPr>
          </w:p>
        </w:tc>
        <w:tc>
          <w:tcPr>
            <w:tcW w:w="2970" w:type="dxa"/>
            <w:tcBorders>
              <w:top w:val="nil"/>
              <w:left w:val="nil"/>
              <w:bottom w:val="single" w:sz="4" w:space="0" w:color="auto"/>
              <w:right w:val="single" w:sz="4" w:space="0" w:color="auto"/>
            </w:tcBorders>
            <w:vAlign w:val="center"/>
            <w:hideMark/>
          </w:tcPr>
          <w:p w14:paraId="0C08F82D" w14:textId="77777777" w:rsidR="002728BF" w:rsidRDefault="002728BF" w:rsidP="00BE3F24">
            <w:pPr>
              <w:rPr>
                <w:rFonts w:ascii="Arial" w:hAnsi="Arial" w:cs="Arial"/>
                <w:color w:val="000000"/>
                <w:sz w:val="16"/>
                <w:szCs w:val="16"/>
              </w:rPr>
            </w:pPr>
            <w:r>
              <w:rPr>
                <w:rFonts w:ascii="Arial" w:hAnsi="Arial" w:cs="Arial"/>
                <w:color w:val="000000"/>
                <w:sz w:val="16"/>
                <w:szCs w:val="16"/>
              </w:rPr>
              <w:t>8-25 years</w:t>
            </w:r>
          </w:p>
        </w:tc>
      </w:tr>
    </w:tbl>
    <w:p w14:paraId="711C132E" w14:textId="77777777" w:rsidR="0042403B" w:rsidRDefault="0042403B" w:rsidP="00BE3F24">
      <w:pPr>
        <w:rPr>
          <w:rFonts w:ascii="Arial" w:hAnsi="Arial" w:cs="Arial"/>
          <w:b/>
          <w:bCs/>
          <w:kern w:val="32"/>
          <w:sz w:val="28"/>
          <w:szCs w:val="32"/>
          <w:u w:val="single"/>
        </w:rPr>
      </w:pPr>
    </w:p>
    <w:p w14:paraId="5D18BDAD"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p w14:paraId="793A5767" w14:textId="77777777" w:rsidR="0042403B" w:rsidRDefault="0042403B" w:rsidP="00BE3F24">
      <w:pPr>
        <w:rPr>
          <w:rFonts w:ascii="Arial" w:hAnsi="Arial" w:cs="Arial"/>
          <w:b/>
          <w:bCs/>
          <w:kern w:val="32"/>
          <w:sz w:val="28"/>
          <w:szCs w:val="32"/>
          <w:u w:val="single"/>
        </w:rPr>
      </w:pPr>
    </w:p>
    <w:tbl>
      <w:tblPr>
        <w:tblW w:w="8627" w:type="dxa"/>
        <w:tblInd w:w="98" w:type="dxa"/>
        <w:tblLayout w:type="fixed"/>
        <w:tblLook w:val="04A0" w:firstRow="1" w:lastRow="0" w:firstColumn="1" w:lastColumn="0" w:noHBand="0" w:noVBand="1"/>
      </w:tblPr>
      <w:tblGrid>
        <w:gridCol w:w="1040"/>
        <w:gridCol w:w="1540"/>
        <w:gridCol w:w="2897"/>
        <w:gridCol w:w="3150"/>
      </w:tblGrid>
      <w:tr w:rsidR="0042403B" w:rsidRPr="008B546B" w14:paraId="10D7C3C9" w14:textId="77777777" w:rsidTr="004B3A21">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19317A54" w14:textId="7777777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t>Table B.</w:t>
            </w:r>
            <w:r>
              <w:rPr>
                <w:rFonts w:ascii="Bell MT" w:hAnsi="Bell MT" w:cs="Calibri"/>
                <w:b/>
                <w:bCs/>
                <w:color w:val="000000"/>
                <w:sz w:val="28"/>
                <w:szCs w:val="28"/>
              </w:rPr>
              <w:t>12</w:t>
            </w:r>
          </w:p>
          <w:p w14:paraId="1A2EB23F" w14:textId="77777777" w:rsidR="002417C7" w:rsidRDefault="002417C7" w:rsidP="00BE3F24">
            <w:pPr>
              <w:jc w:val="center"/>
              <w:rPr>
                <w:rFonts w:ascii="Bell MT" w:hAnsi="Bell MT" w:cs="Calibri"/>
                <w:b/>
                <w:bCs/>
                <w:color w:val="000000"/>
                <w:sz w:val="28"/>
                <w:szCs w:val="28"/>
              </w:rPr>
            </w:pPr>
          </w:p>
          <w:p w14:paraId="0C78EA8A"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15CA66D5" w14:textId="76C489A3" w:rsidR="0042403B" w:rsidRPr="008B546B" w:rsidRDefault="0042403B" w:rsidP="004B3A21">
            <w:pPr>
              <w:pStyle w:val="Heading3"/>
              <w:ind w:left="1349" w:hanging="1349"/>
            </w:pPr>
            <w:bookmarkStart w:id="75" w:name="_SUPPLEMENTAL_INFORMATION_FOR_10"/>
            <w:bookmarkEnd w:id="75"/>
            <w:r w:rsidRPr="008B546B">
              <w:t>SUPPLEMENTAL INFORMATION FOR TREATMENT</w:t>
            </w:r>
            <w:r>
              <w:t>S E-1a, E-1b</w:t>
            </w:r>
          </w:p>
        </w:tc>
      </w:tr>
      <w:tr w:rsidR="0042403B" w:rsidRPr="008B546B" w14:paraId="7A0DC91E" w14:textId="77777777" w:rsidTr="004B3A21">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407EB7A8" w14:textId="77777777" w:rsidR="0042403B" w:rsidRPr="008B546B" w:rsidRDefault="0042403B" w:rsidP="00BE3F24">
            <w:pPr>
              <w:rPr>
                <w:rFonts w:ascii="Bell MT" w:hAnsi="Bell MT" w:cs="Calibri"/>
                <w:b/>
                <w:bCs/>
                <w:color w:val="000000"/>
                <w:sz w:val="28"/>
                <w:szCs w:val="28"/>
              </w:rPr>
            </w:pPr>
          </w:p>
        </w:tc>
        <w:tc>
          <w:tcPr>
            <w:tcW w:w="2897" w:type="dxa"/>
            <w:vMerge w:val="restart"/>
            <w:tcBorders>
              <w:top w:val="nil"/>
              <w:left w:val="single" w:sz="4" w:space="0" w:color="auto"/>
              <w:bottom w:val="single" w:sz="4" w:space="0" w:color="auto"/>
              <w:right w:val="single" w:sz="4" w:space="0" w:color="auto"/>
            </w:tcBorders>
            <w:vAlign w:val="center"/>
            <w:hideMark/>
          </w:tcPr>
          <w:p w14:paraId="5858865D" w14:textId="0AF14425" w:rsidR="0042403B" w:rsidRDefault="0042403B" w:rsidP="00BE3F24">
            <w:pPr>
              <w:jc w:val="center"/>
              <w:rPr>
                <w:rFonts w:ascii="Arial" w:hAnsi="Arial" w:cs="Arial"/>
                <w:b/>
                <w:bCs/>
                <w:sz w:val="22"/>
                <w:szCs w:val="22"/>
              </w:rPr>
            </w:pPr>
            <w:hyperlink w:anchor="E1A_UnbondedPCC_over_HMA" w:history="1">
              <w:r w:rsidRPr="00FF48E5">
                <w:rPr>
                  <w:rStyle w:val="Hyperlink"/>
                  <w:rFonts w:ascii="Arial" w:hAnsi="Arial" w:cs="Arial"/>
                  <w:b/>
                  <w:bCs/>
                  <w:sz w:val="22"/>
                  <w:szCs w:val="22"/>
                </w:rPr>
                <w:t>E-1a. PCC Overlay – Unbonded (</w:t>
              </w:r>
              <w:r w:rsidR="00171EC1">
                <w:rPr>
                  <w:rStyle w:val="Hyperlink"/>
                  <w:rFonts w:ascii="Arial" w:hAnsi="Arial" w:cs="Arial"/>
                  <w:b/>
                  <w:bCs/>
                  <w:sz w:val="22"/>
                  <w:szCs w:val="22"/>
                </w:rPr>
                <w:t>Asphalt</w:t>
              </w:r>
              <w:r w:rsidRPr="00FF48E5">
                <w:rPr>
                  <w:rStyle w:val="Hyperlink"/>
                  <w:rFonts w:ascii="Arial" w:hAnsi="Arial" w:cs="Arial"/>
                  <w:b/>
                  <w:bCs/>
                  <w:sz w:val="22"/>
                  <w:szCs w:val="22"/>
                </w:rPr>
                <w:t xml:space="preserve"> Surface)</w:t>
              </w:r>
            </w:hyperlink>
          </w:p>
        </w:tc>
        <w:tc>
          <w:tcPr>
            <w:tcW w:w="3150" w:type="dxa"/>
            <w:vMerge w:val="restart"/>
            <w:tcBorders>
              <w:top w:val="nil"/>
              <w:left w:val="nil"/>
              <w:bottom w:val="single" w:sz="4" w:space="0" w:color="000000"/>
              <w:right w:val="single" w:sz="4" w:space="0" w:color="auto"/>
            </w:tcBorders>
            <w:vAlign w:val="center"/>
            <w:hideMark/>
          </w:tcPr>
          <w:p w14:paraId="2415F968" w14:textId="21AB2976" w:rsidR="0042403B" w:rsidRDefault="0042403B" w:rsidP="00BE3F24">
            <w:pPr>
              <w:jc w:val="center"/>
              <w:rPr>
                <w:rFonts w:ascii="Arial" w:hAnsi="Arial" w:cs="Arial"/>
                <w:b/>
                <w:bCs/>
                <w:sz w:val="22"/>
                <w:szCs w:val="22"/>
              </w:rPr>
            </w:pPr>
            <w:hyperlink w:anchor="E1B_UnbondedPCC_over_PCC" w:history="1">
              <w:r w:rsidRPr="00FF48E5">
                <w:rPr>
                  <w:rStyle w:val="Hyperlink"/>
                  <w:rFonts w:ascii="Arial" w:hAnsi="Arial" w:cs="Arial"/>
                  <w:b/>
                  <w:bCs/>
                  <w:sz w:val="22"/>
                  <w:szCs w:val="22"/>
                </w:rPr>
                <w:t>E-1b. PCC Overlay – Unbonded (PCC Surface)</w:t>
              </w:r>
            </w:hyperlink>
          </w:p>
        </w:tc>
      </w:tr>
      <w:tr w:rsidR="0042403B" w:rsidRPr="008B546B" w14:paraId="15BC76DA" w14:textId="77777777" w:rsidTr="004B3A21">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7DE988E5" w14:textId="77777777" w:rsidR="0042403B" w:rsidRPr="008B546B" w:rsidRDefault="0042403B" w:rsidP="00BE3F24">
            <w:pPr>
              <w:rPr>
                <w:rFonts w:ascii="Bell MT" w:hAnsi="Bell MT" w:cs="Calibri"/>
                <w:b/>
                <w:bCs/>
                <w:color w:val="000000"/>
                <w:sz w:val="28"/>
                <w:szCs w:val="28"/>
              </w:rPr>
            </w:pPr>
          </w:p>
        </w:tc>
        <w:tc>
          <w:tcPr>
            <w:tcW w:w="2897" w:type="dxa"/>
            <w:vMerge/>
            <w:tcBorders>
              <w:top w:val="nil"/>
              <w:left w:val="single" w:sz="4" w:space="0" w:color="auto"/>
              <w:bottom w:val="single" w:sz="4" w:space="0" w:color="auto"/>
              <w:right w:val="single" w:sz="4" w:space="0" w:color="auto"/>
            </w:tcBorders>
            <w:vAlign w:val="center"/>
            <w:hideMark/>
          </w:tcPr>
          <w:p w14:paraId="0335A2EB" w14:textId="77777777" w:rsidR="0042403B" w:rsidRPr="008B546B" w:rsidRDefault="0042403B" w:rsidP="00BE3F24">
            <w:pPr>
              <w:rPr>
                <w:rFonts w:ascii="Arial" w:hAnsi="Arial" w:cs="Arial"/>
                <w:b/>
                <w:bCs/>
                <w:color w:val="000000"/>
                <w:sz w:val="22"/>
                <w:szCs w:val="22"/>
              </w:rPr>
            </w:pPr>
          </w:p>
        </w:tc>
        <w:tc>
          <w:tcPr>
            <w:tcW w:w="3150" w:type="dxa"/>
            <w:vMerge/>
            <w:tcBorders>
              <w:top w:val="nil"/>
              <w:left w:val="nil"/>
              <w:bottom w:val="single" w:sz="4" w:space="0" w:color="000000"/>
              <w:right w:val="single" w:sz="4" w:space="0" w:color="auto"/>
            </w:tcBorders>
            <w:vAlign w:val="center"/>
            <w:hideMark/>
          </w:tcPr>
          <w:p w14:paraId="3BB7D03D" w14:textId="77777777" w:rsidR="0042403B" w:rsidRPr="008B546B" w:rsidRDefault="0042403B" w:rsidP="00BE3F24">
            <w:pPr>
              <w:rPr>
                <w:rFonts w:ascii="Arial" w:hAnsi="Arial" w:cs="Arial"/>
                <w:b/>
                <w:bCs/>
                <w:color w:val="000000"/>
                <w:sz w:val="22"/>
                <w:szCs w:val="22"/>
              </w:rPr>
            </w:pPr>
          </w:p>
        </w:tc>
      </w:tr>
      <w:tr w:rsidR="0042403B" w:rsidRPr="008B546B" w14:paraId="76F038F4" w14:textId="77777777" w:rsidTr="004B3A21">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7A2846A2"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762AB2F4"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897" w:type="dxa"/>
            <w:tcBorders>
              <w:top w:val="nil"/>
              <w:left w:val="nil"/>
              <w:bottom w:val="single" w:sz="4" w:space="0" w:color="auto"/>
              <w:right w:val="single" w:sz="4" w:space="0" w:color="auto"/>
            </w:tcBorders>
            <w:vAlign w:val="center"/>
            <w:hideMark/>
          </w:tcPr>
          <w:p w14:paraId="5F202F74"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150" w:type="dxa"/>
            <w:tcBorders>
              <w:top w:val="nil"/>
              <w:left w:val="nil"/>
              <w:bottom w:val="single" w:sz="4" w:space="0" w:color="auto"/>
              <w:right w:val="single" w:sz="4" w:space="0" w:color="auto"/>
            </w:tcBorders>
            <w:vAlign w:val="center"/>
            <w:hideMark/>
          </w:tcPr>
          <w:p w14:paraId="70C955DF"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065825CD"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8C5ED0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C2370F9" w14:textId="45A9FF7D"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897" w:type="dxa"/>
            <w:tcBorders>
              <w:top w:val="nil"/>
              <w:left w:val="nil"/>
              <w:bottom w:val="single" w:sz="4" w:space="0" w:color="auto"/>
              <w:right w:val="single" w:sz="4" w:space="0" w:color="auto"/>
            </w:tcBorders>
            <w:vAlign w:val="center"/>
            <w:hideMark/>
          </w:tcPr>
          <w:p w14:paraId="56B1E04A"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150" w:type="dxa"/>
            <w:tcBorders>
              <w:top w:val="nil"/>
              <w:left w:val="nil"/>
              <w:bottom w:val="single" w:sz="4" w:space="0" w:color="auto"/>
              <w:right w:val="single" w:sz="4" w:space="0" w:color="auto"/>
            </w:tcBorders>
            <w:vAlign w:val="center"/>
            <w:hideMark/>
          </w:tcPr>
          <w:p w14:paraId="00F65CF0" w14:textId="77777777" w:rsidR="0042403B" w:rsidRPr="008B546B" w:rsidRDefault="0042403B" w:rsidP="00BE3F24">
            <w:pPr>
              <w:jc w:val="center"/>
              <w:rPr>
                <w:rFonts w:ascii="Arial" w:hAnsi="Arial" w:cs="Arial"/>
                <w:b/>
                <w:bCs/>
                <w:color w:val="000000"/>
                <w:sz w:val="16"/>
                <w:szCs w:val="16"/>
              </w:rPr>
            </w:pPr>
            <w:r w:rsidRPr="008B546B">
              <w:rPr>
                <w:rFonts w:ascii="Arial" w:hAnsi="Arial" w:cs="Arial"/>
                <w:b/>
                <w:bCs/>
                <w:color w:val="000000"/>
                <w:sz w:val="16"/>
                <w:szCs w:val="16"/>
              </w:rPr>
              <w:t>Yes</w:t>
            </w:r>
          </w:p>
        </w:tc>
      </w:tr>
      <w:tr w:rsidR="0042403B" w:rsidRPr="008B546B" w14:paraId="02945096"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EAEEF4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81F73C4" w14:textId="6F339745"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897" w:type="dxa"/>
            <w:tcBorders>
              <w:top w:val="nil"/>
              <w:left w:val="nil"/>
              <w:bottom w:val="single" w:sz="4" w:space="0" w:color="auto"/>
              <w:right w:val="single" w:sz="4" w:space="0" w:color="auto"/>
            </w:tcBorders>
            <w:vAlign w:val="center"/>
            <w:hideMark/>
          </w:tcPr>
          <w:p w14:paraId="09A8D423"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150" w:type="dxa"/>
            <w:tcBorders>
              <w:top w:val="nil"/>
              <w:left w:val="nil"/>
              <w:bottom w:val="single" w:sz="4" w:space="0" w:color="auto"/>
              <w:right w:val="single" w:sz="4" w:space="0" w:color="auto"/>
            </w:tcBorders>
            <w:vAlign w:val="center"/>
            <w:hideMark/>
          </w:tcPr>
          <w:p w14:paraId="2CDF0374"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00DFBACF"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EE43CF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504C672"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897" w:type="dxa"/>
            <w:tcBorders>
              <w:top w:val="nil"/>
              <w:left w:val="nil"/>
              <w:bottom w:val="single" w:sz="4" w:space="0" w:color="auto"/>
              <w:right w:val="single" w:sz="4" w:space="0" w:color="auto"/>
            </w:tcBorders>
            <w:vAlign w:val="center"/>
            <w:hideMark/>
          </w:tcPr>
          <w:p w14:paraId="033E0305" w14:textId="3DAB31D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150" w:type="dxa"/>
            <w:tcBorders>
              <w:top w:val="nil"/>
              <w:left w:val="nil"/>
              <w:bottom w:val="single" w:sz="4" w:space="0" w:color="auto"/>
              <w:right w:val="single" w:sz="4" w:space="0" w:color="auto"/>
            </w:tcBorders>
            <w:vAlign w:val="center"/>
            <w:hideMark/>
          </w:tcPr>
          <w:p w14:paraId="7D06971A"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17C19885"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20E531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A95920A"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897" w:type="dxa"/>
            <w:tcBorders>
              <w:top w:val="nil"/>
              <w:left w:val="nil"/>
              <w:bottom w:val="single" w:sz="4" w:space="0" w:color="auto"/>
              <w:right w:val="single" w:sz="4" w:space="0" w:color="auto"/>
            </w:tcBorders>
            <w:vAlign w:val="center"/>
            <w:hideMark/>
          </w:tcPr>
          <w:p w14:paraId="771046F5"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150" w:type="dxa"/>
            <w:tcBorders>
              <w:top w:val="nil"/>
              <w:left w:val="nil"/>
              <w:bottom w:val="single" w:sz="4" w:space="0" w:color="auto"/>
              <w:right w:val="single" w:sz="4" w:space="0" w:color="auto"/>
            </w:tcBorders>
            <w:vAlign w:val="center"/>
            <w:hideMark/>
          </w:tcPr>
          <w:p w14:paraId="467F2BD6"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0C27B370"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904EFB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D6E4C86"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897" w:type="dxa"/>
            <w:tcBorders>
              <w:top w:val="nil"/>
              <w:left w:val="nil"/>
              <w:bottom w:val="single" w:sz="4" w:space="0" w:color="auto"/>
              <w:right w:val="single" w:sz="4" w:space="0" w:color="auto"/>
            </w:tcBorders>
            <w:vAlign w:val="center"/>
            <w:hideMark/>
          </w:tcPr>
          <w:p w14:paraId="1B7A9E4D" w14:textId="77777777" w:rsidR="0042403B" w:rsidRDefault="0042403B" w:rsidP="00BE3F24">
            <w:pPr>
              <w:jc w:val="center"/>
              <w:rPr>
                <w:rFonts w:ascii="Arial" w:hAnsi="Arial" w:cs="Arial"/>
                <w:b/>
                <w:bCs/>
                <w:color w:val="000000"/>
                <w:sz w:val="16"/>
                <w:szCs w:val="16"/>
              </w:rPr>
            </w:pPr>
          </w:p>
        </w:tc>
        <w:tc>
          <w:tcPr>
            <w:tcW w:w="3150" w:type="dxa"/>
            <w:tcBorders>
              <w:top w:val="nil"/>
              <w:left w:val="nil"/>
              <w:bottom w:val="single" w:sz="4" w:space="0" w:color="auto"/>
              <w:right w:val="single" w:sz="4" w:space="0" w:color="auto"/>
            </w:tcBorders>
            <w:vAlign w:val="center"/>
            <w:hideMark/>
          </w:tcPr>
          <w:p w14:paraId="4A17BFD9" w14:textId="77777777" w:rsidR="0042403B" w:rsidRPr="008B546B" w:rsidRDefault="0042403B" w:rsidP="00BE3F24">
            <w:pPr>
              <w:jc w:val="center"/>
              <w:rPr>
                <w:rFonts w:ascii="Arial" w:hAnsi="Arial" w:cs="Arial"/>
                <w:b/>
                <w:bCs/>
                <w:color w:val="000000"/>
                <w:sz w:val="16"/>
                <w:szCs w:val="16"/>
              </w:rPr>
            </w:pPr>
          </w:p>
        </w:tc>
      </w:tr>
      <w:tr w:rsidR="0042403B" w:rsidRPr="008B546B" w14:paraId="4A54CD20" w14:textId="77777777" w:rsidTr="004B3A21">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A1B8DBA" w14:textId="293F1473"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2897" w:type="dxa"/>
            <w:tcBorders>
              <w:top w:val="nil"/>
              <w:left w:val="nil"/>
              <w:bottom w:val="single" w:sz="4" w:space="0" w:color="auto"/>
              <w:right w:val="single" w:sz="4" w:space="0" w:color="auto"/>
            </w:tcBorders>
            <w:hideMark/>
          </w:tcPr>
          <w:p w14:paraId="6366E903" w14:textId="33125A0F" w:rsidR="0042403B" w:rsidRPr="00D430FA" w:rsidRDefault="0042403B" w:rsidP="00BE3F24">
            <w:pPr>
              <w:rPr>
                <w:rFonts w:ascii="Arial" w:hAnsi="Arial" w:cs="Arial"/>
                <w:color w:val="000000"/>
                <w:sz w:val="16"/>
                <w:szCs w:val="16"/>
              </w:rPr>
            </w:pPr>
            <w:r>
              <w:rPr>
                <w:rFonts w:ascii="Arial" w:hAnsi="Arial" w:cs="Arial"/>
                <w:color w:val="000000"/>
                <w:sz w:val="16"/>
                <w:szCs w:val="16"/>
              </w:rPr>
              <w:t>1. Reduces urban heat island effect by increasing the pavement surface albedo</w:t>
            </w:r>
            <w:r>
              <w:rPr>
                <w:rFonts w:ascii="Arial" w:hAnsi="Arial" w:cs="Arial"/>
                <w:color w:val="000000"/>
                <w:sz w:val="16"/>
                <w:szCs w:val="16"/>
              </w:rPr>
              <w:br/>
              <w:t xml:space="preserve">2. No excavation or removal required. </w:t>
            </w:r>
            <w:r>
              <w:rPr>
                <w:rFonts w:ascii="Arial" w:hAnsi="Arial" w:cs="Arial"/>
                <w:color w:val="000000"/>
                <w:sz w:val="16"/>
                <w:szCs w:val="16"/>
              </w:rPr>
              <w:br/>
              <w:t>3. Equivalent to a new pavement.</w:t>
            </w:r>
            <w:r>
              <w:rPr>
                <w:rFonts w:ascii="Arial" w:hAnsi="Arial" w:cs="Arial"/>
                <w:color w:val="000000"/>
                <w:sz w:val="16"/>
                <w:szCs w:val="16"/>
              </w:rPr>
              <w:br/>
              <w:t>4. Improves surface friction, noise and rideability.</w:t>
            </w:r>
            <w:r>
              <w:rPr>
                <w:rFonts w:ascii="Arial" w:hAnsi="Arial" w:cs="Arial"/>
                <w:color w:val="000000"/>
                <w:sz w:val="16"/>
                <w:szCs w:val="16"/>
              </w:rPr>
              <w:br/>
              <w:t>5. Increases load-carrying capacity</w:t>
            </w:r>
          </w:p>
        </w:tc>
        <w:tc>
          <w:tcPr>
            <w:tcW w:w="3150" w:type="dxa"/>
            <w:tcBorders>
              <w:top w:val="nil"/>
              <w:left w:val="nil"/>
              <w:bottom w:val="single" w:sz="4" w:space="0" w:color="auto"/>
              <w:right w:val="single" w:sz="4" w:space="0" w:color="auto"/>
            </w:tcBorders>
            <w:hideMark/>
          </w:tcPr>
          <w:p w14:paraId="7E0614B1" w14:textId="758CD0F0" w:rsidR="0042403B" w:rsidRDefault="0042403B" w:rsidP="00BE3F24">
            <w:pPr>
              <w:rPr>
                <w:rFonts w:ascii="Arial" w:hAnsi="Arial" w:cs="Arial"/>
                <w:color w:val="000000"/>
                <w:sz w:val="16"/>
                <w:szCs w:val="16"/>
              </w:rPr>
            </w:pPr>
            <w:r>
              <w:rPr>
                <w:rFonts w:ascii="Arial" w:hAnsi="Arial" w:cs="Arial"/>
                <w:color w:val="000000"/>
                <w:sz w:val="16"/>
                <w:szCs w:val="16"/>
              </w:rPr>
              <w:t>1. A shorter joint spacing will reduce the curling and warping stresses.</w:t>
            </w:r>
            <w:r>
              <w:rPr>
                <w:rFonts w:ascii="Arial" w:hAnsi="Arial" w:cs="Arial"/>
                <w:color w:val="000000"/>
                <w:sz w:val="16"/>
                <w:szCs w:val="16"/>
              </w:rPr>
              <w:br/>
              <w:t xml:space="preserve">2. It is not crucial to match or mismatch overlay joints with the underlying joints. </w:t>
            </w:r>
            <w:r>
              <w:rPr>
                <w:rFonts w:ascii="Arial" w:hAnsi="Arial" w:cs="Arial"/>
                <w:color w:val="000000"/>
                <w:sz w:val="16"/>
                <w:szCs w:val="16"/>
              </w:rPr>
              <w:br/>
              <w:t xml:space="preserve">3. No excavation or removal required. </w:t>
            </w:r>
            <w:r>
              <w:rPr>
                <w:rFonts w:ascii="Arial" w:hAnsi="Arial" w:cs="Arial"/>
                <w:color w:val="000000"/>
                <w:sz w:val="16"/>
                <w:szCs w:val="16"/>
              </w:rPr>
              <w:br/>
              <w:t>4. Equivalent to a new pavement.</w:t>
            </w:r>
            <w:r>
              <w:rPr>
                <w:rFonts w:ascii="Arial" w:hAnsi="Arial" w:cs="Arial"/>
                <w:color w:val="000000"/>
                <w:sz w:val="16"/>
                <w:szCs w:val="16"/>
              </w:rPr>
              <w:br/>
              <w:t>5. Improves surface friction, noise and rideability.</w:t>
            </w:r>
          </w:p>
        </w:tc>
      </w:tr>
      <w:tr w:rsidR="0042403B" w:rsidRPr="008B546B" w14:paraId="043D9B6A" w14:textId="77777777" w:rsidTr="004B3A21">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324E2429" w14:textId="3E30092A"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 xml:space="preserve"> Disadvantages</w:t>
            </w:r>
          </w:p>
        </w:tc>
        <w:tc>
          <w:tcPr>
            <w:tcW w:w="2897" w:type="dxa"/>
            <w:tcBorders>
              <w:top w:val="nil"/>
              <w:left w:val="nil"/>
              <w:bottom w:val="single" w:sz="4" w:space="0" w:color="auto"/>
              <w:right w:val="single" w:sz="4" w:space="0" w:color="auto"/>
            </w:tcBorders>
            <w:hideMark/>
          </w:tcPr>
          <w:p w14:paraId="7ACE0312" w14:textId="46E13330" w:rsidR="0042403B" w:rsidRDefault="0042403B" w:rsidP="004B3A21">
            <w:pPr>
              <w:rPr>
                <w:rFonts w:ascii="Arial" w:hAnsi="Arial" w:cs="Arial"/>
                <w:color w:val="000000"/>
                <w:sz w:val="16"/>
                <w:szCs w:val="16"/>
              </w:rPr>
            </w:pPr>
            <w:r>
              <w:rPr>
                <w:rFonts w:ascii="Arial" w:hAnsi="Arial" w:cs="Arial"/>
                <w:color w:val="000000"/>
                <w:sz w:val="16"/>
                <w:szCs w:val="16"/>
              </w:rPr>
              <w:t xml:space="preserve">1. Milling of existing asphalt may be required to eliminate surface distortions of 2" or more. </w:t>
            </w:r>
            <w:r>
              <w:rPr>
                <w:rFonts w:ascii="Arial" w:hAnsi="Arial" w:cs="Arial"/>
                <w:color w:val="000000"/>
                <w:sz w:val="16"/>
                <w:szCs w:val="16"/>
              </w:rPr>
              <w:br/>
              <w:t>2. If less than 6" of asphalt remains after milling,  6" or greater unbonded overlay (or a thinner bonded overlay) should be considered.</w:t>
            </w:r>
            <w:r>
              <w:rPr>
                <w:rFonts w:ascii="Arial" w:hAnsi="Arial" w:cs="Arial"/>
                <w:color w:val="000000"/>
                <w:sz w:val="16"/>
                <w:szCs w:val="16"/>
              </w:rPr>
              <w:br/>
              <w:t>3. Full-depth repairs should be considered to restore structural integrity in isolated areas</w:t>
            </w:r>
            <w:r>
              <w:rPr>
                <w:rFonts w:ascii="Arial" w:hAnsi="Arial" w:cs="Arial"/>
                <w:color w:val="000000"/>
                <w:sz w:val="16"/>
                <w:szCs w:val="16"/>
              </w:rPr>
              <w:br/>
              <w:t>4. Has a typically short joint sawing window.</w:t>
            </w:r>
            <w:r>
              <w:rPr>
                <w:rFonts w:ascii="Arial" w:hAnsi="Arial" w:cs="Arial"/>
                <w:color w:val="000000"/>
                <w:sz w:val="16"/>
                <w:szCs w:val="16"/>
              </w:rPr>
              <w:br/>
              <w:t xml:space="preserve">5. If the surface temperature of existing asphalt is greater than 120 deg F,  surface watering must be performed prior to the placement of overlay, to help reduce the temperature and minimize the chance of early-age cracking. </w:t>
            </w:r>
            <w:r>
              <w:rPr>
                <w:rFonts w:ascii="Arial" w:hAnsi="Arial" w:cs="Arial"/>
                <w:color w:val="000000"/>
                <w:sz w:val="16"/>
                <w:szCs w:val="16"/>
              </w:rPr>
              <w:br/>
              <w:t>6. May increase profile grade.</w:t>
            </w:r>
          </w:p>
        </w:tc>
        <w:tc>
          <w:tcPr>
            <w:tcW w:w="3150" w:type="dxa"/>
            <w:tcBorders>
              <w:top w:val="nil"/>
              <w:left w:val="nil"/>
              <w:bottom w:val="single" w:sz="4" w:space="0" w:color="auto"/>
              <w:right w:val="single" w:sz="4" w:space="0" w:color="auto"/>
            </w:tcBorders>
            <w:hideMark/>
          </w:tcPr>
          <w:p w14:paraId="4C58C2FF" w14:textId="48759D37" w:rsidR="0042403B" w:rsidRDefault="0042403B" w:rsidP="004B3A21">
            <w:pPr>
              <w:rPr>
                <w:rFonts w:ascii="Arial" w:hAnsi="Arial" w:cs="Arial"/>
                <w:color w:val="000000"/>
                <w:sz w:val="16"/>
                <w:szCs w:val="16"/>
              </w:rPr>
            </w:pPr>
            <w:r>
              <w:rPr>
                <w:rFonts w:ascii="Arial" w:hAnsi="Arial" w:cs="Arial"/>
                <w:color w:val="000000"/>
                <w:sz w:val="16"/>
                <w:szCs w:val="16"/>
              </w:rPr>
              <w:t>1. Faulting of more than 0.38" in the existing concrete pavement can be a concern.</w:t>
            </w:r>
            <w:r>
              <w:rPr>
                <w:rFonts w:ascii="Arial" w:hAnsi="Arial" w:cs="Arial"/>
                <w:color w:val="000000"/>
                <w:sz w:val="16"/>
                <w:szCs w:val="16"/>
              </w:rPr>
              <w:br/>
              <w:t>2. Full-depth repairs should be considered to restore structural integrity in isolated areas.</w:t>
            </w:r>
            <w:r>
              <w:rPr>
                <w:rFonts w:ascii="Arial" w:hAnsi="Arial" w:cs="Arial"/>
                <w:color w:val="000000"/>
                <w:sz w:val="16"/>
                <w:szCs w:val="16"/>
              </w:rPr>
              <w:br/>
              <w:t>3. Has a typically short joint sawing window.</w:t>
            </w:r>
            <w:r>
              <w:rPr>
                <w:rFonts w:ascii="Arial" w:hAnsi="Arial" w:cs="Arial"/>
                <w:color w:val="000000"/>
                <w:sz w:val="16"/>
                <w:szCs w:val="16"/>
              </w:rPr>
              <w:br/>
              <w:t>4. Concrete patches may require a bond breaker.</w:t>
            </w:r>
          </w:p>
        </w:tc>
      </w:tr>
      <w:tr w:rsidR="002728BF" w:rsidRPr="008B546B" w14:paraId="7F39D0CD" w14:textId="77777777" w:rsidTr="0007677E">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4A7FDEC4" w14:textId="77777777" w:rsidR="002728BF" w:rsidRPr="008B546B" w:rsidRDefault="002728BF"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2691D3F4" w14:textId="77777777" w:rsidR="002728BF" w:rsidRDefault="002728BF" w:rsidP="00BE3F24">
            <w:pPr>
              <w:jc w:val="center"/>
              <w:rPr>
                <w:rFonts w:ascii="Arial" w:hAnsi="Arial" w:cs="Arial"/>
                <w:b/>
                <w:bCs/>
                <w:sz w:val="18"/>
                <w:szCs w:val="18"/>
              </w:rPr>
            </w:pPr>
            <w:r>
              <w:rPr>
                <w:rFonts w:ascii="Arial" w:hAnsi="Arial" w:cs="Arial"/>
                <w:b/>
                <w:bCs/>
                <w:sz w:val="18"/>
                <w:szCs w:val="18"/>
              </w:rPr>
              <w:t>Small Quantity Cost</w:t>
            </w:r>
          </w:p>
        </w:tc>
        <w:tc>
          <w:tcPr>
            <w:tcW w:w="2897" w:type="dxa"/>
            <w:vMerge w:val="restart"/>
            <w:tcBorders>
              <w:top w:val="nil"/>
              <w:left w:val="nil"/>
              <w:right w:val="single" w:sz="4" w:space="0" w:color="auto"/>
            </w:tcBorders>
            <w:vAlign w:val="center"/>
            <w:hideMark/>
          </w:tcPr>
          <w:p w14:paraId="437D0DCF" w14:textId="77777777" w:rsidR="002728BF" w:rsidRDefault="002728BF" w:rsidP="009647DE">
            <w:pPr>
              <w:rPr>
                <w:rFonts w:ascii="Arial" w:hAnsi="Arial" w:cs="Arial"/>
                <w:color w:val="000000"/>
                <w:sz w:val="16"/>
                <w:szCs w:val="16"/>
              </w:rPr>
            </w:pPr>
            <w:r>
              <w:rPr>
                <w:rFonts w:ascii="Arial" w:hAnsi="Arial" w:cs="Arial"/>
                <w:color w:val="000000"/>
                <w:sz w:val="16"/>
                <w:szCs w:val="16"/>
              </w:rPr>
              <w:t>Re</w:t>
            </w:r>
            <w:r w:rsidRPr="00C9741F">
              <w:rPr>
                <w:rFonts w:ascii="Arial" w:hAnsi="Arial" w:cs="Arial"/>
                <w:color w:val="000000"/>
                <w:sz w:val="16"/>
                <w:szCs w:val="16"/>
              </w:rPr>
              <w:t xml:space="preserve">fer to </w:t>
            </w:r>
            <w:r>
              <w:rPr>
                <w:rFonts w:ascii="Arial" w:hAnsi="Arial" w:cs="Arial"/>
                <w:color w:val="000000"/>
                <w:sz w:val="16"/>
                <w:szCs w:val="16"/>
              </w:rPr>
              <w:t>the</w:t>
            </w:r>
            <w:r w:rsidRPr="00C9741F">
              <w:rPr>
                <w:rFonts w:ascii="Arial" w:hAnsi="Arial" w:cs="Arial"/>
                <w:color w:val="000000"/>
                <w:sz w:val="16"/>
                <w:szCs w:val="16"/>
              </w:rPr>
              <w:t xml:space="preserve"> </w:t>
            </w:r>
            <w:hyperlink r:id="rId67" w:history="1">
              <w:r w:rsidRPr="00C9741F">
                <w:rPr>
                  <w:rStyle w:val="Hyperlink"/>
                  <w:rFonts w:ascii="Arial" w:hAnsi="Arial" w:cs="Arial"/>
                  <w:sz w:val="16"/>
                  <w:szCs w:val="16"/>
                </w:rPr>
                <w:t>Unit Price</w:t>
              </w:r>
            </w:hyperlink>
            <w:r w:rsidRPr="00C9741F">
              <w:rPr>
                <w:rFonts w:ascii="Arial" w:hAnsi="Arial" w:cs="Arial"/>
                <w:sz w:val="16"/>
                <w:szCs w:val="16"/>
              </w:rPr>
              <w:t xml:space="preserve"> table located on the OMT network </w:t>
            </w:r>
            <w:r>
              <w:rPr>
                <w:rFonts w:ascii="Arial" w:hAnsi="Arial" w:cs="Arial"/>
                <w:sz w:val="16"/>
                <w:szCs w:val="16"/>
              </w:rPr>
              <w:t>for</w:t>
            </w:r>
            <w:r w:rsidRPr="00C9741F">
              <w:rPr>
                <w:rFonts w:ascii="Arial" w:hAnsi="Arial" w:cs="Arial"/>
                <w:sz w:val="16"/>
                <w:szCs w:val="16"/>
              </w:rPr>
              <w:t xml:space="preserve"> the latest average unit prices</w:t>
            </w:r>
            <w:r>
              <w:rPr>
                <w:rFonts w:ascii="Arial" w:hAnsi="Arial" w:cs="Arial"/>
                <w:sz w:val="16"/>
                <w:szCs w:val="16"/>
              </w:rPr>
              <w:t>.</w:t>
            </w:r>
          </w:p>
        </w:tc>
        <w:tc>
          <w:tcPr>
            <w:tcW w:w="3150" w:type="dxa"/>
            <w:vMerge w:val="restart"/>
            <w:tcBorders>
              <w:top w:val="nil"/>
              <w:left w:val="nil"/>
              <w:right w:val="single" w:sz="4" w:space="0" w:color="auto"/>
            </w:tcBorders>
            <w:vAlign w:val="center"/>
            <w:hideMark/>
          </w:tcPr>
          <w:p w14:paraId="2F8793B2" w14:textId="77777777" w:rsidR="002728BF" w:rsidRDefault="002728BF" w:rsidP="009647DE">
            <w:pPr>
              <w:rPr>
                <w:rFonts w:ascii="Arial" w:hAnsi="Arial" w:cs="Arial"/>
                <w:color w:val="000000"/>
                <w:sz w:val="16"/>
                <w:szCs w:val="16"/>
              </w:rPr>
            </w:pPr>
            <w:r>
              <w:rPr>
                <w:rFonts w:ascii="Arial" w:hAnsi="Arial" w:cs="Arial"/>
                <w:color w:val="000000"/>
                <w:sz w:val="16"/>
                <w:szCs w:val="16"/>
              </w:rPr>
              <w:t>Re</w:t>
            </w:r>
            <w:r w:rsidRPr="00C9741F">
              <w:rPr>
                <w:rFonts w:ascii="Arial" w:hAnsi="Arial" w:cs="Arial"/>
                <w:color w:val="000000"/>
                <w:sz w:val="16"/>
                <w:szCs w:val="16"/>
              </w:rPr>
              <w:t xml:space="preserve">fer to </w:t>
            </w:r>
            <w:r>
              <w:rPr>
                <w:rFonts w:ascii="Arial" w:hAnsi="Arial" w:cs="Arial"/>
                <w:color w:val="000000"/>
                <w:sz w:val="16"/>
                <w:szCs w:val="16"/>
              </w:rPr>
              <w:t>the</w:t>
            </w:r>
            <w:r w:rsidRPr="00C9741F">
              <w:rPr>
                <w:rFonts w:ascii="Arial" w:hAnsi="Arial" w:cs="Arial"/>
                <w:color w:val="000000"/>
                <w:sz w:val="16"/>
                <w:szCs w:val="16"/>
              </w:rPr>
              <w:t xml:space="preserve"> </w:t>
            </w:r>
            <w:hyperlink r:id="rId68" w:history="1">
              <w:r w:rsidRPr="00C9741F">
                <w:rPr>
                  <w:rStyle w:val="Hyperlink"/>
                  <w:rFonts w:ascii="Arial" w:hAnsi="Arial" w:cs="Arial"/>
                  <w:sz w:val="16"/>
                  <w:szCs w:val="16"/>
                </w:rPr>
                <w:t>Unit Price</w:t>
              </w:r>
            </w:hyperlink>
            <w:r w:rsidRPr="00C9741F">
              <w:rPr>
                <w:rFonts w:ascii="Arial" w:hAnsi="Arial" w:cs="Arial"/>
                <w:sz w:val="16"/>
                <w:szCs w:val="16"/>
              </w:rPr>
              <w:t xml:space="preserve"> table located on the OMT network </w:t>
            </w:r>
            <w:r>
              <w:rPr>
                <w:rFonts w:ascii="Arial" w:hAnsi="Arial" w:cs="Arial"/>
                <w:sz w:val="16"/>
                <w:szCs w:val="16"/>
              </w:rPr>
              <w:t>for</w:t>
            </w:r>
            <w:r w:rsidRPr="00C9741F">
              <w:rPr>
                <w:rFonts w:ascii="Arial" w:hAnsi="Arial" w:cs="Arial"/>
                <w:sz w:val="16"/>
                <w:szCs w:val="16"/>
              </w:rPr>
              <w:t xml:space="preserve"> the latest average unit prices</w:t>
            </w:r>
            <w:r>
              <w:rPr>
                <w:rFonts w:ascii="Arial" w:hAnsi="Arial" w:cs="Arial"/>
                <w:sz w:val="16"/>
                <w:szCs w:val="16"/>
              </w:rPr>
              <w:t>.</w:t>
            </w:r>
          </w:p>
        </w:tc>
      </w:tr>
      <w:tr w:rsidR="002728BF" w:rsidRPr="008B546B" w14:paraId="1163C88B" w14:textId="77777777" w:rsidTr="0007677E">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80C5111"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B8ED81C" w14:textId="77777777" w:rsidR="002728BF" w:rsidRDefault="002728BF" w:rsidP="00BE3F24">
            <w:pPr>
              <w:jc w:val="center"/>
              <w:rPr>
                <w:rFonts w:ascii="Arial" w:hAnsi="Arial" w:cs="Arial"/>
                <w:b/>
                <w:bCs/>
                <w:sz w:val="18"/>
                <w:szCs w:val="18"/>
              </w:rPr>
            </w:pPr>
            <w:r>
              <w:rPr>
                <w:rFonts w:ascii="Arial" w:hAnsi="Arial" w:cs="Arial"/>
                <w:b/>
                <w:bCs/>
                <w:sz w:val="18"/>
                <w:szCs w:val="18"/>
              </w:rPr>
              <w:t>Medium Quantity Cost</w:t>
            </w:r>
          </w:p>
        </w:tc>
        <w:tc>
          <w:tcPr>
            <w:tcW w:w="2897" w:type="dxa"/>
            <w:vMerge/>
            <w:tcBorders>
              <w:left w:val="nil"/>
              <w:right w:val="single" w:sz="4" w:space="0" w:color="auto"/>
            </w:tcBorders>
            <w:vAlign w:val="center"/>
            <w:hideMark/>
          </w:tcPr>
          <w:p w14:paraId="72058954" w14:textId="77777777" w:rsidR="002728BF" w:rsidRDefault="002728BF" w:rsidP="00BE3F24">
            <w:pPr>
              <w:rPr>
                <w:rFonts w:ascii="Arial" w:hAnsi="Arial" w:cs="Arial"/>
                <w:color w:val="000000"/>
                <w:sz w:val="16"/>
                <w:szCs w:val="16"/>
              </w:rPr>
            </w:pPr>
          </w:p>
        </w:tc>
        <w:tc>
          <w:tcPr>
            <w:tcW w:w="3150" w:type="dxa"/>
            <w:vMerge/>
            <w:tcBorders>
              <w:left w:val="nil"/>
              <w:right w:val="single" w:sz="4" w:space="0" w:color="auto"/>
            </w:tcBorders>
            <w:vAlign w:val="center"/>
            <w:hideMark/>
          </w:tcPr>
          <w:p w14:paraId="59724F94" w14:textId="77777777" w:rsidR="002728BF" w:rsidRDefault="002728BF" w:rsidP="00BE3F24">
            <w:pPr>
              <w:rPr>
                <w:rFonts w:ascii="Arial" w:hAnsi="Arial" w:cs="Arial"/>
                <w:color w:val="000000"/>
                <w:sz w:val="16"/>
                <w:szCs w:val="16"/>
              </w:rPr>
            </w:pPr>
          </w:p>
        </w:tc>
      </w:tr>
      <w:tr w:rsidR="002728BF" w:rsidRPr="008B546B" w14:paraId="7E65E6D6" w14:textId="77777777" w:rsidTr="0007677E">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C1145ED"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DB46F3C" w14:textId="77777777" w:rsidR="002728BF" w:rsidRDefault="002728BF" w:rsidP="00BE3F24">
            <w:pPr>
              <w:jc w:val="center"/>
              <w:rPr>
                <w:rFonts w:ascii="Arial" w:hAnsi="Arial" w:cs="Arial"/>
                <w:b/>
                <w:bCs/>
                <w:sz w:val="18"/>
                <w:szCs w:val="18"/>
              </w:rPr>
            </w:pPr>
            <w:r>
              <w:rPr>
                <w:rFonts w:ascii="Arial" w:hAnsi="Arial" w:cs="Arial"/>
                <w:b/>
                <w:bCs/>
                <w:sz w:val="18"/>
                <w:szCs w:val="18"/>
              </w:rPr>
              <w:t>High Quantity Cost</w:t>
            </w:r>
          </w:p>
        </w:tc>
        <w:tc>
          <w:tcPr>
            <w:tcW w:w="2897" w:type="dxa"/>
            <w:vMerge/>
            <w:tcBorders>
              <w:left w:val="nil"/>
              <w:bottom w:val="single" w:sz="4" w:space="0" w:color="auto"/>
              <w:right w:val="single" w:sz="4" w:space="0" w:color="auto"/>
            </w:tcBorders>
            <w:vAlign w:val="center"/>
            <w:hideMark/>
          </w:tcPr>
          <w:p w14:paraId="0E1C3E58" w14:textId="77777777" w:rsidR="002728BF" w:rsidRDefault="002728BF" w:rsidP="00BE3F24">
            <w:pPr>
              <w:rPr>
                <w:rFonts w:ascii="Arial" w:hAnsi="Arial" w:cs="Arial"/>
                <w:color w:val="000000"/>
                <w:sz w:val="16"/>
                <w:szCs w:val="16"/>
              </w:rPr>
            </w:pPr>
          </w:p>
        </w:tc>
        <w:tc>
          <w:tcPr>
            <w:tcW w:w="3150" w:type="dxa"/>
            <w:vMerge/>
            <w:tcBorders>
              <w:left w:val="nil"/>
              <w:bottom w:val="single" w:sz="4" w:space="0" w:color="auto"/>
              <w:right w:val="single" w:sz="4" w:space="0" w:color="auto"/>
            </w:tcBorders>
            <w:vAlign w:val="center"/>
            <w:hideMark/>
          </w:tcPr>
          <w:p w14:paraId="6C907F05" w14:textId="77777777" w:rsidR="002728BF" w:rsidRDefault="002728BF" w:rsidP="00BE3F24">
            <w:pPr>
              <w:rPr>
                <w:rFonts w:ascii="Arial" w:hAnsi="Arial" w:cs="Arial"/>
                <w:color w:val="000000"/>
                <w:sz w:val="16"/>
                <w:szCs w:val="16"/>
              </w:rPr>
            </w:pPr>
          </w:p>
        </w:tc>
      </w:tr>
      <w:tr w:rsidR="002728BF" w:rsidRPr="008B546B" w14:paraId="43BA1FCE" w14:textId="77777777" w:rsidTr="0007677E">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655A20B"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E36550A" w14:textId="77777777" w:rsidR="002728BF" w:rsidRDefault="002728BF" w:rsidP="00BE3F24">
            <w:pPr>
              <w:jc w:val="center"/>
              <w:rPr>
                <w:rFonts w:ascii="Arial" w:hAnsi="Arial" w:cs="Arial"/>
                <w:b/>
                <w:bCs/>
                <w:sz w:val="18"/>
                <w:szCs w:val="18"/>
              </w:rPr>
            </w:pPr>
            <w:r>
              <w:rPr>
                <w:rFonts w:ascii="Arial" w:hAnsi="Arial" w:cs="Arial"/>
                <w:b/>
                <w:bCs/>
                <w:sz w:val="18"/>
                <w:szCs w:val="18"/>
              </w:rPr>
              <w:t>Items Included</w:t>
            </w:r>
          </w:p>
        </w:tc>
        <w:tc>
          <w:tcPr>
            <w:tcW w:w="2897" w:type="dxa"/>
            <w:tcBorders>
              <w:top w:val="nil"/>
              <w:left w:val="nil"/>
              <w:bottom w:val="single" w:sz="4" w:space="0" w:color="auto"/>
              <w:right w:val="single" w:sz="4" w:space="0" w:color="auto"/>
            </w:tcBorders>
            <w:vAlign w:val="center"/>
            <w:hideMark/>
          </w:tcPr>
          <w:p w14:paraId="456940B1" w14:textId="6DCE2401" w:rsidR="002728BF" w:rsidRDefault="004B3A21" w:rsidP="00BE3F24">
            <w:pPr>
              <w:rPr>
                <w:rFonts w:ascii="Arial" w:hAnsi="Arial" w:cs="Arial"/>
                <w:sz w:val="16"/>
                <w:szCs w:val="16"/>
              </w:rPr>
            </w:pPr>
            <w:r w:rsidRPr="00F45F80">
              <w:rPr>
                <w:rFonts w:ascii="Arial" w:hAnsi="Arial" w:cs="Arial"/>
                <w:sz w:val="16"/>
                <w:szCs w:val="16"/>
              </w:rPr>
              <w:t>All items included with conventional PCC paving</w:t>
            </w:r>
          </w:p>
        </w:tc>
        <w:tc>
          <w:tcPr>
            <w:tcW w:w="3150" w:type="dxa"/>
            <w:tcBorders>
              <w:top w:val="nil"/>
              <w:left w:val="nil"/>
              <w:bottom w:val="single" w:sz="4" w:space="0" w:color="auto"/>
              <w:right w:val="single" w:sz="4" w:space="0" w:color="auto"/>
            </w:tcBorders>
            <w:vAlign w:val="center"/>
            <w:hideMark/>
          </w:tcPr>
          <w:p w14:paraId="71E39AE4" w14:textId="18482B95" w:rsidR="002728BF" w:rsidRDefault="004B3A21" w:rsidP="00BE3F24">
            <w:pPr>
              <w:rPr>
                <w:rFonts w:ascii="Arial" w:hAnsi="Arial" w:cs="Arial"/>
                <w:sz w:val="16"/>
                <w:szCs w:val="16"/>
              </w:rPr>
            </w:pPr>
            <w:r w:rsidRPr="00F45F80">
              <w:rPr>
                <w:rFonts w:ascii="Arial" w:hAnsi="Arial" w:cs="Arial"/>
                <w:sz w:val="16"/>
                <w:szCs w:val="16"/>
              </w:rPr>
              <w:t>All items included with conventional PCC paving</w:t>
            </w:r>
          </w:p>
        </w:tc>
      </w:tr>
      <w:tr w:rsidR="002728BF" w:rsidRPr="008B546B" w14:paraId="783260F2" w14:textId="77777777" w:rsidTr="0007677E">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662E8CB"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B898E1C" w14:textId="77777777" w:rsidR="002728BF" w:rsidRDefault="002728BF" w:rsidP="00BE3F24">
            <w:pPr>
              <w:jc w:val="center"/>
              <w:rPr>
                <w:rFonts w:ascii="Arial" w:hAnsi="Arial" w:cs="Arial"/>
                <w:b/>
                <w:bCs/>
                <w:sz w:val="18"/>
                <w:szCs w:val="18"/>
              </w:rPr>
            </w:pPr>
            <w:r>
              <w:rPr>
                <w:rFonts w:ascii="Arial" w:hAnsi="Arial" w:cs="Arial"/>
                <w:b/>
                <w:bCs/>
                <w:sz w:val="18"/>
                <w:szCs w:val="18"/>
              </w:rPr>
              <w:t>Items Excluded</w:t>
            </w:r>
          </w:p>
        </w:tc>
        <w:tc>
          <w:tcPr>
            <w:tcW w:w="2897" w:type="dxa"/>
            <w:tcBorders>
              <w:top w:val="nil"/>
              <w:left w:val="nil"/>
              <w:bottom w:val="single" w:sz="4" w:space="0" w:color="auto"/>
              <w:right w:val="single" w:sz="4" w:space="0" w:color="auto"/>
            </w:tcBorders>
            <w:vAlign w:val="center"/>
            <w:hideMark/>
          </w:tcPr>
          <w:p w14:paraId="571DA442" w14:textId="2240CFEA" w:rsidR="002728BF" w:rsidRDefault="004B3A21" w:rsidP="00BE3F24">
            <w:pPr>
              <w:rPr>
                <w:rFonts w:ascii="Arial" w:hAnsi="Arial" w:cs="Arial"/>
                <w:sz w:val="16"/>
                <w:szCs w:val="16"/>
              </w:rPr>
            </w:pPr>
            <w:r w:rsidRPr="004B3A21">
              <w:rPr>
                <w:rFonts w:ascii="Arial" w:hAnsi="Arial" w:cs="Arial"/>
                <w:sz w:val="16"/>
                <w:szCs w:val="16"/>
              </w:rPr>
              <w:t>MOT, Bond Breaker</w:t>
            </w:r>
          </w:p>
        </w:tc>
        <w:tc>
          <w:tcPr>
            <w:tcW w:w="3150" w:type="dxa"/>
            <w:tcBorders>
              <w:top w:val="nil"/>
              <w:left w:val="nil"/>
              <w:bottom w:val="single" w:sz="4" w:space="0" w:color="auto"/>
              <w:right w:val="single" w:sz="4" w:space="0" w:color="auto"/>
            </w:tcBorders>
            <w:vAlign w:val="center"/>
            <w:hideMark/>
          </w:tcPr>
          <w:p w14:paraId="27335AE2" w14:textId="2B74FD1B" w:rsidR="002728BF" w:rsidRDefault="004B3A21" w:rsidP="00BE3F24">
            <w:pPr>
              <w:rPr>
                <w:rFonts w:ascii="Arial" w:hAnsi="Arial" w:cs="Arial"/>
                <w:sz w:val="16"/>
                <w:szCs w:val="16"/>
              </w:rPr>
            </w:pPr>
            <w:r w:rsidRPr="004B3A21">
              <w:rPr>
                <w:rFonts w:ascii="Arial" w:hAnsi="Arial" w:cs="Arial"/>
                <w:sz w:val="16"/>
                <w:szCs w:val="16"/>
              </w:rPr>
              <w:t>MOT, Bond Breaker</w:t>
            </w:r>
          </w:p>
        </w:tc>
      </w:tr>
      <w:tr w:rsidR="002728BF" w:rsidRPr="008B546B" w14:paraId="19E4A31B" w14:textId="77777777" w:rsidTr="0007677E">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3FBE23BE" w14:textId="77777777" w:rsidR="002728BF" w:rsidRPr="008B546B" w:rsidRDefault="002728BF"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897" w:type="dxa"/>
            <w:tcBorders>
              <w:top w:val="single" w:sz="4" w:space="0" w:color="auto"/>
              <w:left w:val="nil"/>
              <w:bottom w:val="single" w:sz="4" w:space="0" w:color="auto"/>
              <w:right w:val="single" w:sz="4" w:space="0" w:color="auto"/>
            </w:tcBorders>
            <w:vAlign w:val="center"/>
            <w:hideMark/>
          </w:tcPr>
          <w:p w14:paraId="7C6E055D" w14:textId="576A9F11" w:rsidR="002728BF" w:rsidRDefault="004B3A21" w:rsidP="00BE3F24">
            <w:pPr>
              <w:rPr>
                <w:rFonts w:ascii="Arial" w:hAnsi="Arial" w:cs="Arial"/>
                <w:color w:val="000000"/>
                <w:sz w:val="16"/>
                <w:szCs w:val="16"/>
              </w:rPr>
            </w:pPr>
            <w:r>
              <w:rPr>
                <w:rFonts w:ascii="Arial" w:hAnsi="Arial" w:cs="Arial"/>
                <w:color w:val="000000"/>
                <w:sz w:val="16"/>
                <w:szCs w:val="16"/>
              </w:rPr>
              <w:t>15-30+</w:t>
            </w:r>
            <w:r w:rsidR="002728BF">
              <w:rPr>
                <w:rFonts w:ascii="Arial" w:hAnsi="Arial" w:cs="Arial"/>
                <w:color w:val="000000"/>
                <w:sz w:val="16"/>
                <w:szCs w:val="16"/>
              </w:rPr>
              <w:t xml:space="preserve"> years</w:t>
            </w:r>
          </w:p>
        </w:tc>
        <w:tc>
          <w:tcPr>
            <w:tcW w:w="3150" w:type="dxa"/>
            <w:tcBorders>
              <w:top w:val="nil"/>
              <w:left w:val="nil"/>
              <w:bottom w:val="single" w:sz="4" w:space="0" w:color="auto"/>
              <w:right w:val="single" w:sz="4" w:space="0" w:color="auto"/>
            </w:tcBorders>
            <w:vAlign w:val="center"/>
            <w:hideMark/>
          </w:tcPr>
          <w:p w14:paraId="23D0BCB8" w14:textId="60AA632C" w:rsidR="002728BF" w:rsidRDefault="004B3A21" w:rsidP="00BE3F24">
            <w:pPr>
              <w:rPr>
                <w:rFonts w:ascii="Arial" w:hAnsi="Arial" w:cs="Arial"/>
                <w:color w:val="000000"/>
                <w:sz w:val="16"/>
                <w:szCs w:val="16"/>
              </w:rPr>
            </w:pPr>
            <w:r>
              <w:rPr>
                <w:rFonts w:ascii="Arial" w:hAnsi="Arial" w:cs="Arial"/>
                <w:color w:val="000000"/>
                <w:sz w:val="16"/>
                <w:szCs w:val="16"/>
              </w:rPr>
              <w:t>15-30+ years</w:t>
            </w:r>
          </w:p>
        </w:tc>
      </w:tr>
    </w:tbl>
    <w:p w14:paraId="311BB140"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p w14:paraId="752ED59E" w14:textId="1D9E8153" w:rsidR="0042403B" w:rsidRDefault="0042403B" w:rsidP="00BE3F24">
      <w:pPr>
        <w:rPr>
          <w:rFonts w:ascii="Arial" w:hAnsi="Arial" w:cs="Arial"/>
          <w:b/>
          <w:bCs/>
          <w:kern w:val="32"/>
          <w:sz w:val="28"/>
          <w:szCs w:val="32"/>
          <w:u w:val="single"/>
        </w:rPr>
      </w:pPr>
    </w:p>
    <w:tbl>
      <w:tblPr>
        <w:tblW w:w="8537" w:type="dxa"/>
        <w:tblInd w:w="98" w:type="dxa"/>
        <w:tblLook w:val="04A0" w:firstRow="1" w:lastRow="0" w:firstColumn="1" w:lastColumn="0" w:noHBand="0" w:noVBand="1"/>
      </w:tblPr>
      <w:tblGrid>
        <w:gridCol w:w="1040"/>
        <w:gridCol w:w="1540"/>
        <w:gridCol w:w="5957"/>
      </w:tblGrid>
      <w:tr w:rsidR="0042403B" w:rsidRPr="008B546B" w14:paraId="6FFAFA45" w14:textId="77777777" w:rsidTr="004B3A21">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0C609A8" w14:textId="23BCB84A"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t>Table B.</w:t>
            </w:r>
            <w:r>
              <w:rPr>
                <w:rFonts w:ascii="Bell MT" w:hAnsi="Bell MT" w:cs="Calibri"/>
                <w:b/>
                <w:bCs/>
                <w:color w:val="000000"/>
                <w:sz w:val="28"/>
                <w:szCs w:val="28"/>
              </w:rPr>
              <w:t>1</w:t>
            </w:r>
            <w:r w:rsidR="00171EC1">
              <w:rPr>
                <w:rFonts w:ascii="Bell MT" w:hAnsi="Bell MT" w:cs="Calibri"/>
                <w:b/>
                <w:bCs/>
                <w:color w:val="000000"/>
                <w:sz w:val="28"/>
                <w:szCs w:val="28"/>
              </w:rPr>
              <w:t>3</w:t>
            </w:r>
          </w:p>
          <w:p w14:paraId="686D443A" w14:textId="77777777" w:rsidR="002417C7" w:rsidRDefault="002417C7" w:rsidP="00BE3F24">
            <w:pPr>
              <w:jc w:val="center"/>
              <w:rPr>
                <w:rFonts w:ascii="Bell MT" w:hAnsi="Bell MT" w:cs="Calibri"/>
                <w:b/>
                <w:bCs/>
                <w:color w:val="000000"/>
                <w:sz w:val="28"/>
                <w:szCs w:val="28"/>
              </w:rPr>
            </w:pPr>
          </w:p>
          <w:p w14:paraId="42DF48E0"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5957" w:type="dxa"/>
            <w:tcBorders>
              <w:top w:val="single" w:sz="4" w:space="0" w:color="auto"/>
              <w:left w:val="single" w:sz="8" w:space="0" w:color="auto"/>
              <w:bottom w:val="single" w:sz="8" w:space="0" w:color="auto"/>
              <w:right w:val="single" w:sz="4" w:space="0" w:color="auto"/>
            </w:tcBorders>
            <w:vAlign w:val="bottom"/>
            <w:hideMark/>
          </w:tcPr>
          <w:p w14:paraId="0AFB911F" w14:textId="77777777" w:rsidR="0042403B" w:rsidRPr="008B546B" w:rsidRDefault="0042403B" w:rsidP="004B3A21">
            <w:pPr>
              <w:pStyle w:val="Heading3"/>
              <w:ind w:left="1349" w:hanging="1349"/>
            </w:pPr>
            <w:bookmarkStart w:id="76" w:name="_SUPPLEMENTAL_INFORMATION_FOR_13"/>
            <w:bookmarkEnd w:id="76"/>
            <w:r w:rsidRPr="008B546B">
              <w:t>SUPPLEMENTAL INFORMATION FOR TREATMENT</w:t>
            </w:r>
            <w:r>
              <w:t xml:space="preserve"> E-2</w:t>
            </w:r>
          </w:p>
        </w:tc>
      </w:tr>
      <w:tr w:rsidR="0042403B" w:rsidRPr="008B546B" w14:paraId="40BDF124" w14:textId="77777777" w:rsidTr="004B3A21">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0A60291F" w14:textId="77777777" w:rsidR="0042403B" w:rsidRPr="008B546B" w:rsidRDefault="0042403B" w:rsidP="00BE3F24">
            <w:pPr>
              <w:rPr>
                <w:rFonts w:ascii="Bell MT" w:hAnsi="Bell MT" w:cs="Calibri"/>
                <w:b/>
                <w:bCs/>
                <w:color w:val="000000"/>
                <w:sz w:val="28"/>
                <w:szCs w:val="28"/>
              </w:rPr>
            </w:pPr>
          </w:p>
        </w:tc>
        <w:tc>
          <w:tcPr>
            <w:tcW w:w="5957" w:type="dxa"/>
            <w:vMerge w:val="restart"/>
            <w:tcBorders>
              <w:top w:val="nil"/>
              <w:left w:val="single" w:sz="4" w:space="0" w:color="auto"/>
              <w:bottom w:val="single" w:sz="4" w:space="0" w:color="auto"/>
              <w:right w:val="single" w:sz="4" w:space="0" w:color="auto"/>
            </w:tcBorders>
            <w:vAlign w:val="center"/>
            <w:hideMark/>
          </w:tcPr>
          <w:p w14:paraId="26164E13" w14:textId="675425D5" w:rsidR="0042403B" w:rsidRDefault="0042403B" w:rsidP="00BE3F24">
            <w:pPr>
              <w:jc w:val="center"/>
              <w:rPr>
                <w:rFonts w:ascii="Arial" w:hAnsi="Arial" w:cs="Arial"/>
                <w:b/>
                <w:bCs/>
                <w:sz w:val="22"/>
                <w:szCs w:val="22"/>
              </w:rPr>
            </w:pPr>
            <w:hyperlink w:anchor="E2_BondedPCC_OL" w:history="1">
              <w:r w:rsidRPr="00FF48E5">
                <w:rPr>
                  <w:rStyle w:val="Hyperlink"/>
                  <w:rFonts w:ascii="Arial" w:hAnsi="Arial" w:cs="Arial"/>
                  <w:b/>
                  <w:bCs/>
                  <w:sz w:val="22"/>
                  <w:szCs w:val="22"/>
                </w:rPr>
                <w:t>E-2. PCC Overlay – Bonded</w:t>
              </w:r>
            </w:hyperlink>
          </w:p>
        </w:tc>
      </w:tr>
      <w:tr w:rsidR="0042403B" w:rsidRPr="008B546B" w14:paraId="1E6B2771" w14:textId="77777777" w:rsidTr="004B3A21">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51D8BB6F" w14:textId="77777777" w:rsidR="0042403B" w:rsidRPr="008B546B" w:rsidRDefault="0042403B" w:rsidP="00BE3F24">
            <w:pPr>
              <w:rPr>
                <w:rFonts w:ascii="Bell MT" w:hAnsi="Bell MT" w:cs="Calibri"/>
                <w:b/>
                <w:bCs/>
                <w:color w:val="000000"/>
                <w:sz w:val="28"/>
                <w:szCs w:val="28"/>
              </w:rPr>
            </w:pPr>
          </w:p>
        </w:tc>
        <w:tc>
          <w:tcPr>
            <w:tcW w:w="5957" w:type="dxa"/>
            <w:vMerge/>
            <w:tcBorders>
              <w:top w:val="nil"/>
              <w:left w:val="single" w:sz="4" w:space="0" w:color="auto"/>
              <w:bottom w:val="single" w:sz="4" w:space="0" w:color="auto"/>
              <w:right w:val="single" w:sz="4" w:space="0" w:color="auto"/>
            </w:tcBorders>
            <w:vAlign w:val="center"/>
            <w:hideMark/>
          </w:tcPr>
          <w:p w14:paraId="029B6480" w14:textId="77777777" w:rsidR="0042403B" w:rsidRPr="008B546B" w:rsidRDefault="0042403B" w:rsidP="00BE3F24">
            <w:pPr>
              <w:rPr>
                <w:rFonts w:ascii="Arial" w:hAnsi="Arial" w:cs="Arial"/>
                <w:b/>
                <w:bCs/>
                <w:color w:val="000000"/>
                <w:sz w:val="22"/>
                <w:szCs w:val="22"/>
              </w:rPr>
            </w:pPr>
          </w:p>
        </w:tc>
      </w:tr>
      <w:tr w:rsidR="0042403B" w:rsidRPr="008B546B" w14:paraId="7D60BCB8" w14:textId="77777777" w:rsidTr="004B3A21">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0FD4E296"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75055860"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5957" w:type="dxa"/>
            <w:tcBorders>
              <w:top w:val="nil"/>
              <w:left w:val="nil"/>
              <w:bottom w:val="single" w:sz="4" w:space="0" w:color="auto"/>
              <w:right w:val="single" w:sz="4" w:space="0" w:color="auto"/>
            </w:tcBorders>
            <w:vAlign w:val="center"/>
            <w:hideMark/>
          </w:tcPr>
          <w:p w14:paraId="691C4A71"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3909DFAA"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334DFB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E777FDF" w14:textId="19F6BB76"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5957" w:type="dxa"/>
            <w:tcBorders>
              <w:top w:val="nil"/>
              <w:left w:val="nil"/>
              <w:bottom w:val="single" w:sz="4" w:space="0" w:color="auto"/>
              <w:right w:val="single" w:sz="4" w:space="0" w:color="auto"/>
            </w:tcBorders>
            <w:vAlign w:val="center"/>
            <w:hideMark/>
          </w:tcPr>
          <w:p w14:paraId="69714250"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768A87FA"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AD6461D"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94C99B5" w14:textId="298269C5"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5957" w:type="dxa"/>
            <w:tcBorders>
              <w:top w:val="nil"/>
              <w:left w:val="nil"/>
              <w:bottom w:val="single" w:sz="4" w:space="0" w:color="auto"/>
              <w:right w:val="single" w:sz="4" w:space="0" w:color="auto"/>
            </w:tcBorders>
            <w:vAlign w:val="center"/>
            <w:hideMark/>
          </w:tcPr>
          <w:p w14:paraId="2AB1800F"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5C8C4DC3"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B8F7B6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A7EFD50"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5957" w:type="dxa"/>
            <w:tcBorders>
              <w:top w:val="nil"/>
              <w:left w:val="nil"/>
              <w:bottom w:val="single" w:sz="4" w:space="0" w:color="auto"/>
              <w:right w:val="single" w:sz="4" w:space="0" w:color="auto"/>
            </w:tcBorders>
            <w:vAlign w:val="center"/>
            <w:hideMark/>
          </w:tcPr>
          <w:p w14:paraId="44C88B14"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2C8700F9"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D902755"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E419429"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5957" w:type="dxa"/>
            <w:tcBorders>
              <w:top w:val="nil"/>
              <w:left w:val="nil"/>
              <w:bottom w:val="single" w:sz="4" w:space="0" w:color="auto"/>
              <w:right w:val="single" w:sz="4" w:space="0" w:color="auto"/>
            </w:tcBorders>
            <w:vAlign w:val="center"/>
            <w:hideMark/>
          </w:tcPr>
          <w:p w14:paraId="64DDD025"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5E35C40A" w14:textId="77777777" w:rsidTr="004B3A21">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23D08A7"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A81D15A"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5957" w:type="dxa"/>
            <w:tcBorders>
              <w:top w:val="nil"/>
              <w:left w:val="nil"/>
              <w:bottom w:val="single" w:sz="4" w:space="0" w:color="auto"/>
              <w:right w:val="single" w:sz="4" w:space="0" w:color="auto"/>
            </w:tcBorders>
            <w:vAlign w:val="center"/>
            <w:hideMark/>
          </w:tcPr>
          <w:p w14:paraId="314925A4" w14:textId="77777777" w:rsidR="0042403B" w:rsidRDefault="0042403B" w:rsidP="00BE3F24">
            <w:pPr>
              <w:jc w:val="center"/>
              <w:rPr>
                <w:rFonts w:ascii="Arial" w:hAnsi="Arial" w:cs="Arial"/>
                <w:b/>
                <w:bCs/>
                <w:color w:val="000000"/>
                <w:sz w:val="16"/>
                <w:szCs w:val="16"/>
              </w:rPr>
            </w:pPr>
          </w:p>
        </w:tc>
      </w:tr>
      <w:tr w:rsidR="0042403B" w:rsidRPr="008B546B" w14:paraId="1040E452" w14:textId="77777777" w:rsidTr="004B3A21">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FAEAE11" w14:textId="0B20847C"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5957" w:type="dxa"/>
            <w:tcBorders>
              <w:top w:val="nil"/>
              <w:left w:val="nil"/>
              <w:bottom w:val="single" w:sz="4" w:space="0" w:color="auto"/>
              <w:right w:val="single" w:sz="4" w:space="0" w:color="auto"/>
            </w:tcBorders>
            <w:hideMark/>
          </w:tcPr>
          <w:p w14:paraId="7B58945E" w14:textId="79873B52" w:rsidR="0042403B" w:rsidRPr="00F45F80" w:rsidRDefault="0042403B" w:rsidP="00B172B7">
            <w:pPr>
              <w:rPr>
                <w:rFonts w:ascii="Arial" w:hAnsi="Arial" w:cs="Arial"/>
                <w:sz w:val="16"/>
                <w:szCs w:val="16"/>
              </w:rPr>
            </w:pPr>
            <w:r w:rsidRPr="00F45F80">
              <w:rPr>
                <w:rFonts w:ascii="Arial" w:hAnsi="Arial" w:cs="Arial"/>
                <w:sz w:val="16"/>
                <w:szCs w:val="16"/>
              </w:rPr>
              <w:t>1. Addresses surface-related distress.</w:t>
            </w:r>
            <w:r w:rsidRPr="00F45F80">
              <w:rPr>
                <w:rFonts w:ascii="Arial" w:hAnsi="Arial" w:cs="Arial"/>
                <w:sz w:val="16"/>
                <w:szCs w:val="16"/>
              </w:rPr>
              <w:br/>
              <w:t>2. Effective in areas where there are restrictions on vertical clearance, flood zones</w:t>
            </w:r>
            <w:r w:rsidR="00B172B7">
              <w:rPr>
                <w:rFonts w:ascii="Arial" w:hAnsi="Arial" w:cs="Arial"/>
                <w:sz w:val="16"/>
                <w:szCs w:val="16"/>
              </w:rPr>
              <w:t>,</w:t>
            </w:r>
            <w:r w:rsidRPr="00F45F80">
              <w:rPr>
                <w:rFonts w:ascii="Arial" w:hAnsi="Arial" w:cs="Arial"/>
                <w:sz w:val="16"/>
                <w:szCs w:val="16"/>
              </w:rPr>
              <w:t xml:space="preserve"> and grades.</w:t>
            </w:r>
            <w:r w:rsidRPr="00F45F80">
              <w:rPr>
                <w:rFonts w:ascii="Arial" w:hAnsi="Arial" w:cs="Arial"/>
                <w:sz w:val="16"/>
                <w:szCs w:val="16"/>
              </w:rPr>
              <w:br/>
              <w:t>3. Increases load-carrying capacity.</w:t>
            </w:r>
          </w:p>
        </w:tc>
      </w:tr>
      <w:tr w:rsidR="0042403B" w:rsidRPr="008B546B" w14:paraId="56F0AC53" w14:textId="77777777" w:rsidTr="004B3A21">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483CF2B" w14:textId="6E21B15F"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 xml:space="preserve"> Disadvantages</w:t>
            </w:r>
          </w:p>
        </w:tc>
        <w:tc>
          <w:tcPr>
            <w:tcW w:w="5957" w:type="dxa"/>
            <w:tcBorders>
              <w:top w:val="nil"/>
              <w:left w:val="nil"/>
              <w:bottom w:val="single" w:sz="4" w:space="0" w:color="auto"/>
              <w:right w:val="single" w:sz="4" w:space="0" w:color="auto"/>
            </w:tcBorders>
            <w:hideMark/>
          </w:tcPr>
          <w:p w14:paraId="6FAF72FE" w14:textId="77777777" w:rsidR="0042403B" w:rsidRPr="00F45F80" w:rsidRDefault="0042403B" w:rsidP="00BE3F24">
            <w:pPr>
              <w:rPr>
                <w:rFonts w:ascii="Arial" w:hAnsi="Arial" w:cs="Arial"/>
                <w:sz w:val="16"/>
                <w:szCs w:val="16"/>
              </w:rPr>
            </w:pPr>
            <w:r w:rsidRPr="00F45F80">
              <w:rPr>
                <w:rFonts w:ascii="Arial" w:hAnsi="Arial" w:cs="Arial"/>
                <w:sz w:val="16"/>
                <w:szCs w:val="16"/>
              </w:rPr>
              <w:t>1. Application of curing compound or other curing methods must be timely and thorough, especially at the edges.</w:t>
            </w:r>
            <w:r w:rsidRPr="00F45F80">
              <w:rPr>
                <w:rFonts w:ascii="Arial" w:hAnsi="Arial" w:cs="Arial"/>
                <w:sz w:val="16"/>
                <w:szCs w:val="16"/>
              </w:rPr>
              <w:br/>
              <w:t>2. Caution should be used with conventional AASHTO design procedures</w:t>
            </w:r>
            <w:r>
              <w:rPr>
                <w:rFonts w:ascii="Arial" w:hAnsi="Arial" w:cs="Arial"/>
                <w:sz w:val="16"/>
                <w:szCs w:val="16"/>
              </w:rPr>
              <w:t>.</w:t>
            </w:r>
            <w:r w:rsidRPr="00F45F80">
              <w:rPr>
                <w:rFonts w:ascii="Arial" w:hAnsi="Arial" w:cs="Arial"/>
                <w:strike/>
                <w:sz w:val="16"/>
                <w:szCs w:val="16"/>
              </w:rPr>
              <w:br/>
            </w:r>
            <w:r w:rsidRPr="00F45F80">
              <w:rPr>
                <w:rFonts w:ascii="Arial" w:hAnsi="Arial" w:cs="Arial"/>
                <w:sz w:val="16"/>
                <w:szCs w:val="16"/>
              </w:rPr>
              <w:t>3. Working cracks should be repaired prior to performing this activity, or matched in the overlay.</w:t>
            </w:r>
            <w:r w:rsidRPr="00F45F80">
              <w:rPr>
                <w:rFonts w:ascii="Arial" w:hAnsi="Arial" w:cs="Arial"/>
                <w:sz w:val="16"/>
                <w:szCs w:val="16"/>
              </w:rPr>
              <w:br/>
              <w:t>4. Must be applied to pavements in good structural condition.</w:t>
            </w:r>
          </w:p>
          <w:p w14:paraId="38DB7A54" w14:textId="00517DC2" w:rsidR="0042403B" w:rsidRPr="00F45F80" w:rsidRDefault="0042403B" w:rsidP="00B172B7">
            <w:pPr>
              <w:rPr>
                <w:rFonts w:ascii="Arial" w:hAnsi="Arial" w:cs="Arial"/>
                <w:sz w:val="16"/>
                <w:szCs w:val="16"/>
              </w:rPr>
            </w:pPr>
            <w:r w:rsidRPr="00F45F80">
              <w:rPr>
                <w:rFonts w:ascii="Arial" w:hAnsi="Arial" w:cs="Arial"/>
                <w:sz w:val="16"/>
                <w:szCs w:val="16"/>
              </w:rPr>
              <w:t xml:space="preserve">5. Transverse joints must be cut full depth plus </w:t>
            </w:r>
            <w:r w:rsidR="00B172B7" w:rsidRPr="00F45F80">
              <w:rPr>
                <w:rFonts w:ascii="Arial" w:hAnsi="Arial" w:cs="Arial"/>
                <w:sz w:val="16"/>
                <w:szCs w:val="16"/>
              </w:rPr>
              <w:t>½</w:t>
            </w:r>
            <w:r w:rsidR="00B172B7">
              <w:rPr>
                <w:rFonts w:ascii="Arial" w:hAnsi="Arial" w:cs="Arial"/>
                <w:sz w:val="16"/>
                <w:szCs w:val="16"/>
              </w:rPr>
              <w:t>"</w:t>
            </w:r>
            <w:r w:rsidR="00B172B7" w:rsidRPr="00F45F80">
              <w:rPr>
                <w:rFonts w:ascii="Arial" w:hAnsi="Arial" w:cs="Arial"/>
                <w:sz w:val="16"/>
                <w:szCs w:val="16"/>
              </w:rPr>
              <w:t>.</w:t>
            </w:r>
          </w:p>
        </w:tc>
      </w:tr>
      <w:tr w:rsidR="0042403B" w:rsidRPr="008B546B" w14:paraId="5D3E41A8" w14:textId="77777777" w:rsidTr="004B3A21">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6A0FD4C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7C61B977"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5957" w:type="dxa"/>
            <w:vMerge w:val="restart"/>
            <w:tcBorders>
              <w:top w:val="nil"/>
              <w:left w:val="nil"/>
              <w:right w:val="single" w:sz="4" w:space="0" w:color="auto"/>
            </w:tcBorders>
            <w:vAlign w:val="center"/>
            <w:hideMark/>
          </w:tcPr>
          <w:p w14:paraId="4C1503C4" w14:textId="515230AD" w:rsidR="0042403B" w:rsidRPr="00F45F80" w:rsidRDefault="0042403B" w:rsidP="00B172B7">
            <w:pPr>
              <w:rPr>
                <w:rFonts w:ascii="Arial" w:hAnsi="Arial" w:cs="Arial"/>
                <w:sz w:val="16"/>
                <w:szCs w:val="16"/>
              </w:rPr>
            </w:pPr>
            <w:r w:rsidRPr="00F45F80">
              <w:rPr>
                <w:rFonts w:ascii="Arial" w:hAnsi="Arial" w:cs="Arial"/>
                <w:sz w:val="16"/>
                <w:szCs w:val="16"/>
              </w:rPr>
              <w:t>$20</w:t>
            </w:r>
            <w:r w:rsidR="00B172B7">
              <w:rPr>
                <w:rFonts w:ascii="Arial" w:hAnsi="Arial" w:cs="Arial"/>
                <w:color w:val="000000"/>
                <w:sz w:val="16"/>
                <w:szCs w:val="16"/>
              </w:rPr>
              <w:t xml:space="preserve"> – </w:t>
            </w:r>
            <w:r w:rsidRPr="00F45F80">
              <w:rPr>
                <w:rFonts w:ascii="Arial" w:hAnsi="Arial" w:cs="Arial"/>
                <w:sz w:val="16"/>
                <w:szCs w:val="16"/>
              </w:rPr>
              <w:t>$40</w:t>
            </w:r>
            <w:r w:rsidR="00B172B7">
              <w:rPr>
                <w:rFonts w:ascii="Arial" w:hAnsi="Arial" w:cs="Arial"/>
                <w:sz w:val="16"/>
                <w:szCs w:val="16"/>
              </w:rPr>
              <w:t xml:space="preserve"> /</w:t>
            </w:r>
            <w:r w:rsidRPr="00F45F80">
              <w:rPr>
                <w:rFonts w:ascii="Arial" w:hAnsi="Arial" w:cs="Arial"/>
                <w:sz w:val="16"/>
                <w:szCs w:val="16"/>
              </w:rPr>
              <w:t>SY depending on volume and thickness</w:t>
            </w:r>
          </w:p>
        </w:tc>
      </w:tr>
      <w:tr w:rsidR="0042403B" w:rsidRPr="008B546B" w14:paraId="68A68DD4" w14:textId="77777777" w:rsidTr="004B3A21">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869A080"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73F1981"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5957" w:type="dxa"/>
            <w:vMerge/>
            <w:tcBorders>
              <w:left w:val="nil"/>
              <w:right w:val="single" w:sz="4" w:space="0" w:color="auto"/>
            </w:tcBorders>
            <w:vAlign w:val="center"/>
            <w:hideMark/>
          </w:tcPr>
          <w:p w14:paraId="5AC23CE2" w14:textId="77777777" w:rsidR="0042403B" w:rsidRDefault="0042403B" w:rsidP="00BE3F24">
            <w:pPr>
              <w:rPr>
                <w:rFonts w:ascii="Arial" w:hAnsi="Arial" w:cs="Arial"/>
                <w:color w:val="000000"/>
                <w:sz w:val="16"/>
                <w:szCs w:val="16"/>
              </w:rPr>
            </w:pPr>
          </w:p>
        </w:tc>
      </w:tr>
      <w:tr w:rsidR="0042403B" w:rsidRPr="008B546B" w14:paraId="08EB0A2A" w14:textId="77777777" w:rsidTr="004B3A21">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89BF527"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218ABA9"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5957" w:type="dxa"/>
            <w:vMerge/>
            <w:tcBorders>
              <w:left w:val="nil"/>
              <w:bottom w:val="single" w:sz="4" w:space="0" w:color="auto"/>
              <w:right w:val="single" w:sz="4" w:space="0" w:color="auto"/>
            </w:tcBorders>
            <w:vAlign w:val="center"/>
            <w:hideMark/>
          </w:tcPr>
          <w:p w14:paraId="377E7213" w14:textId="77777777" w:rsidR="0042403B" w:rsidRDefault="0042403B" w:rsidP="00BE3F24">
            <w:pPr>
              <w:rPr>
                <w:rFonts w:ascii="Arial" w:hAnsi="Arial" w:cs="Arial"/>
                <w:color w:val="000000"/>
                <w:sz w:val="16"/>
                <w:szCs w:val="16"/>
              </w:rPr>
            </w:pPr>
          </w:p>
        </w:tc>
      </w:tr>
      <w:tr w:rsidR="0042403B" w:rsidRPr="008B546B" w14:paraId="5BC6944D" w14:textId="77777777" w:rsidTr="004B3A21">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BF196C5"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E31CF2B"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5957" w:type="dxa"/>
            <w:tcBorders>
              <w:top w:val="nil"/>
              <w:left w:val="nil"/>
              <w:bottom w:val="single" w:sz="4" w:space="0" w:color="auto"/>
              <w:right w:val="single" w:sz="4" w:space="0" w:color="auto"/>
            </w:tcBorders>
            <w:vAlign w:val="center"/>
            <w:hideMark/>
          </w:tcPr>
          <w:p w14:paraId="17E58907" w14:textId="77777777" w:rsidR="0042403B" w:rsidRPr="00F45F80" w:rsidRDefault="0042403B" w:rsidP="00BE3F24">
            <w:pPr>
              <w:rPr>
                <w:rFonts w:ascii="Arial" w:hAnsi="Arial" w:cs="Arial"/>
                <w:sz w:val="16"/>
                <w:szCs w:val="16"/>
              </w:rPr>
            </w:pPr>
            <w:r w:rsidRPr="00F45F80">
              <w:rPr>
                <w:rFonts w:ascii="Arial" w:hAnsi="Arial" w:cs="Arial"/>
                <w:sz w:val="16"/>
                <w:szCs w:val="16"/>
              </w:rPr>
              <w:t>Surface preparation, concrete placement, jointing, texturing and curing</w:t>
            </w:r>
          </w:p>
        </w:tc>
      </w:tr>
      <w:tr w:rsidR="0042403B" w:rsidRPr="008B546B" w14:paraId="503A69ED" w14:textId="77777777" w:rsidTr="004B3A21">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C34481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CBF107F"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5957" w:type="dxa"/>
            <w:tcBorders>
              <w:top w:val="nil"/>
              <w:left w:val="nil"/>
              <w:bottom w:val="single" w:sz="4" w:space="0" w:color="auto"/>
              <w:right w:val="single" w:sz="4" w:space="0" w:color="auto"/>
            </w:tcBorders>
            <w:vAlign w:val="center"/>
            <w:hideMark/>
          </w:tcPr>
          <w:p w14:paraId="38E8A623" w14:textId="77777777" w:rsidR="0042403B" w:rsidRPr="00F45F80" w:rsidRDefault="0042403B" w:rsidP="00BE3F24">
            <w:pPr>
              <w:rPr>
                <w:rFonts w:ascii="Arial" w:hAnsi="Arial" w:cs="Arial"/>
                <w:sz w:val="16"/>
                <w:szCs w:val="16"/>
              </w:rPr>
            </w:pPr>
            <w:r w:rsidRPr="00F45F80">
              <w:rPr>
                <w:rFonts w:ascii="Arial" w:hAnsi="Arial" w:cs="Arial"/>
                <w:sz w:val="16"/>
                <w:szCs w:val="16"/>
              </w:rPr>
              <w:t>MOT</w:t>
            </w:r>
          </w:p>
        </w:tc>
      </w:tr>
      <w:tr w:rsidR="0042403B" w:rsidRPr="008B546B" w14:paraId="4AE445A6" w14:textId="77777777" w:rsidTr="004B3A21">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BFE817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5957" w:type="dxa"/>
            <w:tcBorders>
              <w:top w:val="single" w:sz="4" w:space="0" w:color="auto"/>
              <w:left w:val="nil"/>
              <w:bottom w:val="single" w:sz="4" w:space="0" w:color="auto"/>
              <w:right w:val="single" w:sz="4" w:space="0" w:color="auto"/>
            </w:tcBorders>
            <w:vAlign w:val="center"/>
            <w:hideMark/>
          </w:tcPr>
          <w:p w14:paraId="1DB88573" w14:textId="77777777" w:rsidR="0042403B" w:rsidRDefault="0042403B" w:rsidP="00BE3F24">
            <w:pPr>
              <w:rPr>
                <w:rFonts w:ascii="Arial" w:hAnsi="Arial" w:cs="Arial"/>
                <w:color w:val="000000"/>
                <w:sz w:val="16"/>
                <w:szCs w:val="16"/>
              </w:rPr>
            </w:pPr>
            <w:r w:rsidRPr="00F45F80">
              <w:rPr>
                <w:rFonts w:ascii="Arial" w:hAnsi="Arial" w:cs="Arial"/>
                <w:sz w:val="16"/>
                <w:szCs w:val="16"/>
              </w:rPr>
              <w:t>15-30+ years</w:t>
            </w:r>
          </w:p>
        </w:tc>
      </w:tr>
    </w:tbl>
    <w:p w14:paraId="3250C5FA" w14:textId="77777777" w:rsidR="0042403B" w:rsidRDefault="0042403B" w:rsidP="00BE3F24">
      <w:pPr>
        <w:rPr>
          <w:rFonts w:ascii="Arial" w:hAnsi="Arial" w:cs="Arial"/>
          <w:b/>
          <w:bCs/>
          <w:kern w:val="32"/>
          <w:sz w:val="28"/>
          <w:szCs w:val="32"/>
          <w:u w:val="single"/>
        </w:rPr>
      </w:pPr>
    </w:p>
    <w:p w14:paraId="5FC7C509"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627" w:type="dxa"/>
        <w:tblInd w:w="98" w:type="dxa"/>
        <w:tblLook w:val="04A0" w:firstRow="1" w:lastRow="0" w:firstColumn="1" w:lastColumn="0" w:noHBand="0" w:noVBand="1"/>
      </w:tblPr>
      <w:tblGrid>
        <w:gridCol w:w="1040"/>
        <w:gridCol w:w="1540"/>
        <w:gridCol w:w="3727"/>
        <w:gridCol w:w="2320"/>
      </w:tblGrid>
      <w:tr w:rsidR="0042403B" w:rsidRPr="008B546B" w14:paraId="14662434" w14:textId="77777777" w:rsidTr="002F3C7B">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0DDED379" w14:textId="59223557"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sidR="00171EC1">
              <w:rPr>
                <w:rFonts w:ascii="Bell MT" w:hAnsi="Bell MT" w:cs="Calibri"/>
                <w:b/>
                <w:bCs/>
                <w:color w:val="000000"/>
                <w:sz w:val="28"/>
                <w:szCs w:val="28"/>
              </w:rPr>
              <w:t>1</w:t>
            </w:r>
            <w:r w:rsidR="00496C1D">
              <w:rPr>
                <w:rFonts w:ascii="Bell MT" w:hAnsi="Bell MT" w:cs="Calibri"/>
                <w:b/>
                <w:bCs/>
                <w:color w:val="000000"/>
                <w:sz w:val="28"/>
                <w:szCs w:val="28"/>
              </w:rPr>
              <w:t>4</w:t>
            </w:r>
          </w:p>
          <w:p w14:paraId="38637D55" w14:textId="77777777" w:rsidR="002417C7" w:rsidRDefault="002417C7" w:rsidP="00BE3F24">
            <w:pPr>
              <w:jc w:val="center"/>
              <w:rPr>
                <w:rFonts w:ascii="Bell MT" w:hAnsi="Bell MT" w:cs="Calibri"/>
                <w:b/>
                <w:bCs/>
                <w:color w:val="000000"/>
                <w:sz w:val="28"/>
                <w:szCs w:val="28"/>
              </w:rPr>
            </w:pPr>
          </w:p>
          <w:p w14:paraId="5BCBFE71"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3BED29B7" w14:textId="3AC0A113" w:rsidR="0042403B" w:rsidRPr="008B546B" w:rsidRDefault="0042403B" w:rsidP="002F3C7B">
            <w:pPr>
              <w:pStyle w:val="Heading3"/>
              <w:ind w:left="1349" w:hanging="1349"/>
            </w:pPr>
            <w:bookmarkStart w:id="77" w:name="_SUPPLEMENTAL_INFORMATION_FOR_14"/>
            <w:bookmarkEnd w:id="77"/>
            <w:r w:rsidRPr="008B546B">
              <w:t>SUPPLEMENTAL INFORMATION FOR TREATMENT</w:t>
            </w:r>
            <w:r>
              <w:t xml:space="preserve"> F-1</w:t>
            </w:r>
            <w:r w:rsidR="00E32C27" w:rsidRPr="00496C1D">
              <w:t xml:space="preserve"> through</w:t>
            </w:r>
            <w:r w:rsidR="00171EC1" w:rsidRPr="00496C1D">
              <w:t xml:space="preserve"> F-</w:t>
            </w:r>
            <w:r w:rsidR="00E32C27" w:rsidRPr="00496C1D">
              <w:t>3</w:t>
            </w:r>
          </w:p>
        </w:tc>
      </w:tr>
      <w:tr w:rsidR="0042403B" w:rsidRPr="008B546B" w14:paraId="614860F0" w14:textId="27746668" w:rsidTr="002F3C7B">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2D87A6C0" w14:textId="77777777" w:rsidR="0042403B" w:rsidRPr="008B546B" w:rsidRDefault="0042403B" w:rsidP="00BE3F24">
            <w:pPr>
              <w:rPr>
                <w:rFonts w:ascii="Bell MT" w:hAnsi="Bell MT" w:cs="Calibri"/>
                <w:b/>
                <w:bCs/>
                <w:color w:val="000000"/>
                <w:sz w:val="28"/>
                <w:szCs w:val="28"/>
              </w:rPr>
            </w:pPr>
          </w:p>
        </w:tc>
        <w:tc>
          <w:tcPr>
            <w:tcW w:w="6047" w:type="dxa"/>
            <w:tcBorders>
              <w:top w:val="nil"/>
              <w:left w:val="single" w:sz="4" w:space="0" w:color="auto"/>
              <w:bottom w:val="single" w:sz="4" w:space="0" w:color="auto"/>
              <w:right w:val="single" w:sz="4" w:space="0" w:color="auto"/>
            </w:tcBorders>
            <w:vAlign w:val="center"/>
            <w:hideMark/>
          </w:tcPr>
          <w:p w14:paraId="4814CEA5" w14:textId="418CFE53" w:rsidR="0042403B" w:rsidRDefault="0042403B" w:rsidP="00BE3F24">
            <w:pPr>
              <w:jc w:val="center"/>
              <w:rPr>
                <w:rFonts w:ascii="Arial" w:hAnsi="Arial" w:cs="Arial"/>
                <w:b/>
                <w:bCs/>
                <w:sz w:val="22"/>
                <w:szCs w:val="22"/>
              </w:rPr>
            </w:pPr>
            <w:hyperlink w:anchor="F1_HMA_Patch" w:history="1">
              <w:r w:rsidRPr="00FF48E5">
                <w:rPr>
                  <w:rStyle w:val="Hyperlink"/>
                  <w:rFonts w:ascii="Arial" w:hAnsi="Arial" w:cs="Arial"/>
                  <w:b/>
                  <w:bCs/>
                  <w:sz w:val="22"/>
                  <w:szCs w:val="22"/>
                </w:rPr>
                <w:t xml:space="preserve">F-1. </w:t>
              </w:r>
              <w:r w:rsidR="00171EC1">
                <w:rPr>
                  <w:rStyle w:val="Hyperlink"/>
                  <w:rFonts w:ascii="Arial" w:hAnsi="Arial" w:cs="Arial"/>
                  <w:b/>
                  <w:bCs/>
                  <w:sz w:val="22"/>
                  <w:szCs w:val="22"/>
                </w:rPr>
                <w:t>Asphalt</w:t>
              </w:r>
              <w:r w:rsidRPr="00FF48E5">
                <w:rPr>
                  <w:rStyle w:val="Hyperlink"/>
                  <w:rFonts w:ascii="Arial" w:hAnsi="Arial" w:cs="Arial"/>
                  <w:b/>
                  <w:bCs/>
                  <w:sz w:val="22"/>
                  <w:szCs w:val="22"/>
                </w:rPr>
                <w:t xml:space="preserve"> Patch</w:t>
              </w:r>
            </w:hyperlink>
          </w:p>
        </w:tc>
        <w:tc>
          <w:tcPr>
            <w:tcW w:w="3325" w:type="dxa"/>
            <w:tcBorders>
              <w:top w:val="nil"/>
              <w:left w:val="single" w:sz="4" w:space="0" w:color="auto"/>
              <w:bottom w:val="single" w:sz="4" w:space="0" w:color="auto"/>
              <w:right w:val="single" w:sz="4" w:space="0" w:color="auto"/>
            </w:tcBorders>
          </w:tcPr>
          <w:p w14:paraId="021E8B07" w14:textId="78A0B178" w:rsidR="00115674" w:rsidRDefault="00171EC1" w:rsidP="00BE3F24">
            <w:pPr>
              <w:jc w:val="center"/>
            </w:pPr>
            <w:hyperlink w:anchor="F2_PCC_Patch_Diamond_Grind" w:history="1">
              <w:r w:rsidRPr="00FF48E5">
                <w:rPr>
                  <w:rStyle w:val="Hyperlink"/>
                  <w:rFonts w:ascii="Arial" w:hAnsi="Arial" w:cs="Arial"/>
                  <w:b/>
                  <w:bCs/>
                  <w:sz w:val="22"/>
                  <w:szCs w:val="22"/>
                </w:rPr>
                <w:t>F-2</w:t>
              </w:r>
              <w:r w:rsidR="00DE011F">
                <w:rPr>
                  <w:rStyle w:val="Hyperlink"/>
                  <w:rFonts w:ascii="Arial" w:hAnsi="Arial" w:cs="Arial"/>
                  <w:b/>
                  <w:bCs/>
                  <w:sz w:val="22"/>
                  <w:szCs w:val="22"/>
                </w:rPr>
                <w:t xml:space="preserve"> (with Diamond Grinding) and F-3</w:t>
              </w:r>
              <w:r w:rsidRPr="00FF48E5">
                <w:rPr>
                  <w:rStyle w:val="Hyperlink"/>
                  <w:rFonts w:ascii="Arial" w:hAnsi="Arial" w:cs="Arial"/>
                  <w:b/>
                  <w:bCs/>
                  <w:sz w:val="22"/>
                  <w:szCs w:val="22"/>
                </w:rPr>
                <w:t xml:space="preserve"> PCC Patch </w:t>
              </w:r>
            </w:hyperlink>
          </w:p>
        </w:tc>
      </w:tr>
      <w:tr w:rsidR="0042403B" w:rsidRPr="008B546B" w14:paraId="004BDDE4" w14:textId="1BB2CDAE" w:rsidTr="002F3C7B">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7DDEDD6F"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69E1EC33"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6047" w:type="dxa"/>
            <w:tcBorders>
              <w:top w:val="nil"/>
              <w:left w:val="nil"/>
              <w:bottom w:val="single" w:sz="4" w:space="0" w:color="auto"/>
              <w:right w:val="single" w:sz="4" w:space="0" w:color="auto"/>
            </w:tcBorders>
            <w:vAlign w:val="center"/>
            <w:hideMark/>
          </w:tcPr>
          <w:p w14:paraId="1B2F4A8E" w14:textId="77777777" w:rsidR="0042403B" w:rsidRDefault="0042403B" w:rsidP="00BE3F24">
            <w:pPr>
              <w:jc w:val="center"/>
              <w:rPr>
                <w:rFonts w:ascii="Arial" w:hAnsi="Arial" w:cs="Arial"/>
                <w:b/>
                <w:bCs/>
                <w:color w:val="000000"/>
                <w:sz w:val="16"/>
                <w:szCs w:val="16"/>
              </w:rPr>
            </w:pPr>
          </w:p>
        </w:tc>
        <w:tc>
          <w:tcPr>
            <w:tcW w:w="3325" w:type="dxa"/>
            <w:tcBorders>
              <w:top w:val="nil"/>
              <w:left w:val="nil"/>
              <w:bottom w:val="single" w:sz="4" w:space="0" w:color="auto"/>
              <w:right w:val="single" w:sz="4" w:space="0" w:color="auto"/>
            </w:tcBorders>
          </w:tcPr>
          <w:p w14:paraId="33878861" w14:textId="77777777" w:rsidR="00DE011F" w:rsidRDefault="00DE011F" w:rsidP="00BE3F24">
            <w:pPr>
              <w:jc w:val="center"/>
              <w:rPr>
                <w:rFonts w:ascii="Arial" w:hAnsi="Arial" w:cs="Arial"/>
                <w:b/>
                <w:bCs/>
                <w:color w:val="000000"/>
                <w:sz w:val="16"/>
                <w:szCs w:val="16"/>
              </w:rPr>
            </w:pPr>
            <w:r>
              <w:rPr>
                <w:rFonts w:ascii="Arial" w:hAnsi="Arial" w:cs="Arial"/>
                <w:b/>
                <w:bCs/>
                <w:color w:val="000000"/>
                <w:sz w:val="16"/>
                <w:szCs w:val="16"/>
              </w:rPr>
              <w:t>F-2 Yes</w:t>
            </w:r>
          </w:p>
        </w:tc>
      </w:tr>
      <w:tr w:rsidR="0042403B" w:rsidRPr="008B546B" w14:paraId="594660FD" w14:textId="09AC3F0F"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98C1F0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F907B3D" w14:textId="378A5E07" w:rsidR="0042403B" w:rsidRPr="008B546B" w:rsidRDefault="00171EC1"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6047" w:type="dxa"/>
            <w:tcBorders>
              <w:top w:val="nil"/>
              <w:left w:val="nil"/>
              <w:bottom w:val="single" w:sz="4" w:space="0" w:color="auto"/>
              <w:right w:val="single" w:sz="4" w:space="0" w:color="auto"/>
            </w:tcBorders>
            <w:vAlign w:val="center"/>
            <w:hideMark/>
          </w:tcPr>
          <w:p w14:paraId="34D48D88" w14:textId="77777777" w:rsidR="0042403B" w:rsidRDefault="0042403B" w:rsidP="00BE3F24">
            <w:pPr>
              <w:jc w:val="center"/>
              <w:rPr>
                <w:rFonts w:ascii="Arial" w:hAnsi="Arial" w:cs="Arial"/>
                <w:b/>
                <w:bCs/>
                <w:color w:val="000000"/>
                <w:sz w:val="16"/>
                <w:szCs w:val="16"/>
              </w:rPr>
            </w:pPr>
          </w:p>
        </w:tc>
        <w:tc>
          <w:tcPr>
            <w:tcW w:w="3325" w:type="dxa"/>
            <w:tcBorders>
              <w:top w:val="single" w:sz="4" w:space="0" w:color="auto"/>
              <w:left w:val="nil"/>
              <w:bottom w:val="single" w:sz="4" w:space="0" w:color="auto"/>
              <w:right w:val="single" w:sz="4" w:space="0" w:color="auto"/>
            </w:tcBorders>
          </w:tcPr>
          <w:p w14:paraId="29A58B07" w14:textId="77777777" w:rsidR="00171EC1" w:rsidRDefault="00171EC1" w:rsidP="00BE3F24">
            <w:pPr>
              <w:jc w:val="center"/>
              <w:rPr>
                <w:rFonts w:ascii="Arial" w:hAnsi="Arial" w:cs="Arial"/>
                <w:b/>
                <w:bCs/>
                <w:color w:val="000000"/>
                <w:sz w:val="16"/>
                <w:szCs w:val="16"/>
              </w:rPr>
            </w:pPr>
          </w:p>
        </w:tc>
      </w:tr>
      <w:tr w:rsidR="0042403B" w:rsidRPr="008B546B" w14:paraId="4386594D" w14:textId="7F524CB8"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C03A7CB"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3490770" w14:textId="524613F3" w:rsidR="0042403B" w:rsidRPr="008B546B" w:rsidRDefault="00171EC1"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6047" w:type="dxa"/>
            <w:tcBorders>
              <w:top w:val="nil"/>
              <w:left w:val="nil"/>
              <w:bottom w:val="single" w:sz="4" w:space="0" w:color="auto"/>
              <w:right w:val="single" w:sz="4" w:space="0" w:color="auto"/>
            </w:tcBorders>
            <w:vAlign w:val="center"/>
            <w:hideMark/>
          </w:tcPr>
          <w:p w14:paraId="13AF34B9"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325" w:type="dxa"/>
            <w:tcBorders>
              <w:top w:val="nil"/>
              <w:left w:val="nil"/>
              <w:bottom w:val="single" w:sz="4" w:space="0" w:color="auto"/>
              <w:right w:val="single" w:sz="4" w:space="0" w:color="auto"/>
            </w:tcBorders>
          </w:tcPr>
          <w:p w14:paraId="53882312" w14:textId="77777777" w:rsidR="00171EC1" w:rsidRDefault="00171EC1"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1B135602" w14:textId="355037F4"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41CAC60"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B0DAAB4"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6047" w:type="dxa"/>
            <w:tcBorders>
              <w:top w:val="nil"/>
              <w:left w:val="nil"/>
              <w:bottom w:val="single" w:sz="4" w:space="0" w:color="auto"/>
              <w:right w:val="single" w:sz="4" w:space="0" w:color="auto"/>
            </w:tcBorders>
            <w:vAlign w:val="center"/>
            <w:hideMark/>
          </w:tcPr>
          <w:p w14:paraId="465A8E56" w14:textId="77777777" w:rsidR="0042403B" w:rsidRDefault="0042403B" w:rsidP="00BE3F24">
            <w:pPr>
              <w:jc w:val="center"/>
              <w:rPr>
                <w:rFonts w:ascii="Arial" w:hAnsi="Arial" w:cs="Arial"/>
                <w:b/>
                <w:bCs/>
                <w:color w:val="000000"/>
                <w:sz w:val="16"/>
                <w:szCs w:val="16"/>
              </w:rPr>
            </w:pPr>
          </w:p>
        </w:tc>
        <w:tc>
          <w:tcPr>
            <w:tcW w:w="3325" w:type="dxa"/>
            <w:tcBorders>
              <w:top w:val="nil"/>
              <w:left w:val="nil"/>
              <w:bottom w:val="single" w:sz="4" w:space="0" w:color="auto"/>
              <w:right w:val="single" w:sz="4" w:space="0" w:color="auto"/>
            </w:tcBorders>
          </w:tcPr>
          <w:p w14:paraId="7FC73C97" w14:textId="77777777" w:rsidR="00171EC1" w:rsidRDefault="00171EC1" w:rsidP="00BE3F24">
            <w:pPr>
              <w:jc w:val="center"/>
              <w:rPr>
                <w:rFonts w:ascii="Arial" w:hAnsi="Arial" w:cs="Arial"/>
                <w:b/>
                <w:bCs/>
                <w:color w:val="000000"/>
                <w:sz w:val="16"/>
                <w:szCs w:val="16"/>
              </w:rPr>
            </w:pPr>
          </w:p>
        </w:tc>
      </w:tr>
      <w:tr w:rsidR="0042403B" w:rsidRPr="008B546B" w14:paraId="6929653B" w14:textId="5C765B39"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FD7394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EBC6B1A"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6047" w:type="dxa"/>
            <w:tcBorders>
              <w:top w:val="nil"/>
              <w:left w:val="nil"/>
              <w:bottom w:val="single" w:sz="4" w:space="0" w:color="auto"/>
              <w:right w:val="single" w:sz="4" w:space="0" w:color="auto"/>
            </w:tcBorders>
            <w:vAlign w:val="center"/>
            <w:hideMark/>
          </w:tcPr>
          <w:p w14:paraId="6D657AEA" w14:textId="77777777" w:rsidR="0042403B" w:rsidRDefault="0042403B" w:rsidP="00BE3F24">
            <w:pPr>
              <w:jc w:val="center"/>
              <w:rPr>
                <w:rFonts w:ascii="Arial" w:hAnsi="Arial" w:cs="Arial"/>
                <w:b/>
                <w:bCs/>
                <w:color w:val="000000"/>
                <w:sz w:val="16"/>
                <w:szCs w:val="16"/>
              </w:rPr>
            </w:pPr>
          </w:p>
        </w:tc>
        <w:tc>
          <w:tcPr>
            <w:tcW w:w="3325" w:type="dxa"/>
            <w:tcBorders>
              <w:top w:val="nil"/>
              <w:left w:val="nil"/>
              <w:bottom w:val="single" w:sz="4" w:space="0" w:color="auto"/>
              <w:right w:val="single" w:sz="4" w:space="0" w:color="auto"/>
            </w:tcBorders>
          </w:tcPr>
          <w:p w14:paraId="6BC3A8FB" w14:textId="77777777" w:rsidR="00DE011F" w:rsidRDefault="00DE011F" w:rsidP="00BE3F24">
            <w:pPr>
              <w:jc w:val="center"/>
              <w:rPr>
                <w:rFonts w:ascii="Arial" w:hAnsi="Arial" w:cs="Arial"/>
                <w:b/>
                <w:bCs/>
                <w:color w:val="000000"/>
                <w:sz w:val="16"/>
                <w:szCs w:val="16"/>
              </w:rPr>
            </w:pPr>
            <w:r>
              <w:rPr>
                <w:rFonts w:ascii="Arial" w:hAnsi="Arial" w:cs="Arial"/>
                <w:b/>
                <w:bCs/>
                <w:color w:val="000000"/>
                <w:sz w:val="16"/>
                <w:szCs w:val="16"/>
              </w:rPr>
              <w:t>F-2 Yes</w:t>
            </w:r>
          </w:p>
        </w:tc>
      </w:tr>
      <w:tr w:rsidR="0042403B" w:rsidRPr="008B546B" w14:paraId="6D5E1EE4" w14:textId="6DF2DAFE"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41D7CF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A4F3B10"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6047" w:type="dxa"/>
            <w:tcBorders>
              <w:top w:val="nil"/>
              <w:left w:val="nil"/>
              <w:bottom w:val="single" w:sz="4" w:space="0" w:color="auto"/>
              <w:right w:val="single" w:sz="4" w:space="0" w:color="auto"/>
            </w:tcBorders>
            <w:vAlign w:val="center"/>
            <w:hideMark/>
          </w:tcPr>
          <w:p w14:paraId="3C99A510" w14:textId="77777777" w:rsidR="0042403B" w:rsidRDefault="0042403B" w:rsidP="00BE3F24">
            <w:pPr>
              <w:jc w:val="center"/>
              <w:rPr>
                <w:rFonts w:ascii="Arial" w:hAnsi="Arial" w:cs="Arial"/>
                <w:b/>
                <w:bCs/>
                <w:color w:val="000000"/>
                <w:sz w:val="16"/>
                <w:szCs w:val="16"/>
              </w:rPr>
            </w:pPr>
          </w:p>
        </w:tc>
        <w:tc>
          <w:tcPr>
            <w:tcW w:w="3325" w:type="dxa"/>
            <w:tcBorders>
              <w:top w:val="nil"/>
              <w:left w:val="nil"/>
              <w:bottom w:val="single" w:sz="4" w:space="0" w:color="auto"/>
              <w:right w:val="single" w:sz="4" w:space="0" w:color="auto"/>
            </w:tcBorders>
          </w:tcPr>
          <w:p w14:paraId="65616876" w14:textId="77777777" w:rsidR="00171EC1" w:rsidRDefault="00171EC1" w:rsidP="00BE3F24">
            <w:pPr>
              <w:jc w:val="center"/>
              <w:rPr>
                <w:rFonts w:ascii="Arial" w:hAnsi="Arial" w:cs="Arial"/>
                <w:b/>
                <w:bCs/>
                <w:color w:val="000000"/>
                <w:sz w:val="16"/>
                <w:szCs w:val="16"/>
              </w:rPr>
            </w:pPr>
          </w:p>
        </w:tc>
      </w:tr>
      <w:tr w:rsidR="0042403B" w:rsidRPr="008B546B" w14:paraId="6F0846AD" w14:textId="69FDF299" w:rsidTr="002F3C7B">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ED406FD" w14:textId="56184F2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DE011F" w:rsidRPr="008B546B">
              <w:rPr>
                <w:rFonts w:ascii="Arial" w:hAnsi="Arial" w:cs="Arial"/>
                <w:b/>
                <w:bCs/>
                <w:sz w:val="22"/>
                <w:szCs w:val="22"/>
              </w:rPr>
              <w:t xml:space="preserve"> </w:t>
            </w:r>
            <w:r w:rsidRPr="008B546B">
              <w:rPr>
                <w:rFonts w:ascii="Arial" w:hAnsi="Arial" w:cs="Arial"/>
                <w:b/>
                <w:bCs/>
                <w:sz w:val="22"/>
                <w:szCs w:val="22"/>
              </w:rPr>
              <w:t>Advantages</w:t>
            </w:r>
          </w:p>
        </w:tc>
        <w:tc>
          <w:tcPr>
            <w:tcW w:w="6047" w:type="dxa"/>
            <w:tcBorders>
              <w:top w:val="nil"/>
              <w:left w:val="nil"/>
              <w:bottom w:val="single" w:sz="4" w:space="0" w:color="auto"/>
              <w:right w:val="single" w:sz="4" w:space="0" w:color="auto"/>
            </w:tcBorders>
            <w:hideMark/>
          </w:tcPr>
          <w:p w14:paraId="371D02FC" w14:textId="77777777" w:rsidR="0042403B" w:rsidRDefault="0042403B" w:rsidP="00BE3F24">
            <w:pPr>
              <w:rPr>
                <w:rFonts w:ascii="Arial" w:hAnsi="Arial" w:cs="Arial"/>
                <w:color w:val="000000"/>
                <w:sz w:val="16"/>
                <w:szCs w:val="16"/>
              </w:rPr>
            </w:pPr>
            <w:r>
              <w:rPr>
                <w:rFonts w:ascii="Arial" w:hAnsi="Arial" w:cs="Arial"/>
                <w:color w:val="000000"/>
                <w:sz w:val="16"/>
                <w:szCs w:val="16"/>
              </w:rPr>
              <w:t>1. Common knowledge.</w:t>
            </w:r>
            <w:r>
              <w:rPr>
                <w:rFonts w:ascii="Arial" w:hAnsi="Arial" w:cs="Arial"/>
                <w:color w:val="000000"/>
                <w:sz w:val="16"/>
                <w:szCs w:val="16"/>
              </w:rPr>
              <w:br/>
              <w:t>2. No specialized equipment or contractors are required.</w:t>
            </w:r>
            <w:r>
              <w:rPr>
                <w:rFonts w:ascii="Arial" w:hAnsi="Arial" w:cs="Arial"/>
                <w:color w:val="000000"/>
                <w:sz w:val="16"/>
                <w:szCs w:val="16"/>
              </w:rPr>
              <w:br/>
              <w:t>3. Readily available.</w:t>
            </w:r>
          </w:p>
        </w:tc>
        <w:tc>
          <w:tcPr>
            <w:tcW w:w="3325" w:type="dxa"/>
            <w:tcBorders>
              <w:top w:val="nil"/>
              <w:left w:val="nil"/>
              <w:bottom w:val="single" w:sz="4" w:space="0" w:color="auto"/>
              <w:right w:val="single" w:sz="4" w:space="0" w:color="auto"/>
            </w:tcBorders>
          </w:tcPr>
          <w:p w14:paraId="77F0207F" w14:textId="77777777" w:rsidR="00DE011F" w:rsidRPr="00F45F80" w:rsidRDefault="00DE011F" w:rsidP="00DE011F">
            <w:pPr>
              <w:rPr>
                <w:rFonts w:ascii="Arial" w:hAnsi="Arial" w:cs="Arial"/>
                <w:sz w:val="16"/>
                <w:szCs w:val="16"/>
              </w:rPr>
            </w:pPr>
            <w:r w:rsidRPr="00F45F80">
              <w:rPr>
                <w:rFonts w:ascii="Arial" w:hAnsi="Arial" w:cs="Arial"/>
                <w:sz w:val="16"/>
                <w:szCs w:val="16"/>
              </w:rPr>
              <w:t>1. Longer service life compared to asphalt patch</w:t>
            </w:r>
            <w:r w:rsidRPr="00F45F80">
              <w:rPr>
                <w:rFonts w:ascii="Arial" w:hAnsi="Arial" w:cs="Arial"/>
                <w:sz w:val="16"/>
                <w:szCs w:val="16"/>
              </w:rPr>
              <w:br/>
              <w:t>2. Effective in correcting most slab distresses.</w:t>
            </w:r>
          </w:p>
          <w:p w14:paraId="521BA4BE" w14:textId="77777777" w:rsidR="00DE011F" w:rsidRPr="00F45F80" w:rsidRDefault="00DE011F" w:rsidP="00DE011F">
            <w:pPr>
              <w:rPr>
                <w:rFonts w:ascii="Arial" w:hAnsi="Arial" w:cs="Arial"/>
                <w:sz w:val="16"/>
                <w:szCs w:val="16"/>
              </w:rPr>
            </w:pPr>
            <w:r w:rsidRPr="00F45F80">
              <w:rPr>
                <w:rFonts w:ascii="Arial" w:hAnsi="Arial" w:cs="Arial"/>
                <w:sz w:val="16"/>
                <w:szCs w:val="16"/>
              </w:rPr>
              <w:t>3. Can be cost-effective compared to minimum size full-depth repair for individual spalls.</w:t>
            </w:r>
          </w:p>
        </w:tc>
      </w:tr>
      <w:tr w:rsidR="0042403B" w:rsidRPr="008B546B" w14:paraId="50BE4B30" w14:textId="4380BD04" w:rsidTr="002F3C7B">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B8C3F7A" w14:textId="0A87D8D4"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DE011F" w:rsidRPr="008B546B">
              <w:rPr>
                <w:rFonts w:ascii="Arial" w:hAnsi="Arial" w:cs="Arial"/>
                <w:b/>
                <w:bCs/>
                <w:sz w:val="22"/>
                <w:szCs w:val="22"/>
              </w:rPr>
              <w:t xml:space="preserve"> </w:t>
            </w:r>
            <w:r w:rsidRPr="008B546B">
              <w:rPr>
                <w:rFonts w:ascii="Arial" w:hAnsi="Arial" w:cs="Arial"/>
                <w:b/>
                <w:bCs/>
                <w:sz w:val="22"/>
                <w:szCs w:val="22"/>
              </w:rPr>
              <w:t>Disadvantages</w:t>
            </w:r>
          </w:p>
        </w:tc>
        <w:tc>
          <w:tcPr>
            <w:tcW w:w="6047" w:type="dxa"/>
            <w:tcBorders>
              <w:top w:val="nil"/>
              <w:left w:val="nil"/>
              <w:bottom w:val="single" w:sz="4" w:space="0" w:color="auto"/>
              <w:right w:val="single" w:sz="4" w:space="0" w:color="auto"/>
            </w:tcBorders>
            <w:hideMark/>
          </w:tcPr>
          <w:p w14:paraId="3E6C0310" w14:textId="77777777" w:rsidR="0042403B" w:rsidRDefault="0042403B" w:rsidP="00BE3F24">
            <w:pPr>
              <w:rPr>
                <w:rFonts w:ascii="Arial" w:hAnsi="Arial" w:cs="Arial"/>
                <w:sz w:val="16"/>
                <w:szCs w:val="16"/>
              </w:rPr>
            </w:pPr>
            <w:r>
              <w:rPr>
                <w:rFonts w:ascii="Arial" w:hAnsi="Arial" w:cs="Arial"/>
                <w:sz w:val="16"/>
                <w:szCs w:val="16"/>
              </w:rPr>
              <w:t>1. MOT can be an issue.</w:t>
            </w:r>
          </w:p>
        </w:tc>
        <w:tc>
          <w:tcPr>
            <w:tcW w:w="3325" w:type="dxa"/>
            <w:tcBorders>
              <w:top w:val="nil"/>
              <w:left w:val="nil"/>
              <w:bottom w:val="single" w:sz="4" w:space="0" w:color="auto"/>
              <w:right w:val="single" w:sz="4" w:space="0" w:color="auto"/>
            </w:tcBorders>
          </w:tcPr>
          <w:p w14:paraId="6D27AD37" w14:textId="77777777" w:rsidR="00DE011F" w:rsidRDefault="00DE011F" w:rsidP="00DE011F">
            <w:pPr>
              <w:rPr>
                <w:rFonts w:ascii="Arial" w:hAnsi="Arial" w:cs="Arial"/>
                <w:sz w:val="16"/>
                <w:szCs w:val="16"/>
              </w:rPr>
            </w:pPr>
            <w:r w:rsidRPr="00F45F80">
              <w:rPr>
                <w:rFonts w:ascii="Arial" w:hAnsi="Arial" w:cs="Arial"/>
                <w:sz w:val="16"/>
                <w:szCs w:val="16"/>
              </w:rPr>
              <w:t>1. Expensive</w:t>
            </w:r>
            <w:r w:rsidRPr="00F45F80">
              <w:rPr>
                <w:rFonts w:ascii="Arial" w:hAnsi="Arial" w:cs="Arial"/>
                <w:sz w:val="16"/>
                <w:szCs w:val="16"/>
              </w:rPr>
              <w:br/>
              <w:t>2. Curing time required</w:t>
            </w:r>
            <w:r w:rsidRPr="00F45F80">
              <w:rPr>
                <w:rFonts w:ascii="Arial" w:hAnsi="Arial" w:cs="Arial"/>
                <w:sz w:val="16"/>
                <w:szCs w:val="16"/>
              </w:rPr>
              <w:br/>
              <w:t>3. MOT can be an issue.</w:t>
            </w:r>
          </w:p>
          <w:p w14:paraId="262CFD69" w14:textId="77777777" w:rsidR="00DE011F" w:rsidRPr="00F45F80" w:rsidRDefault="00DE011F" w:rsidP="00DE011F">
            <w:pPr>
              <w:rPr>
                <w:rFonts w:ascii="Arial" w:hAnsi="Arial" w:cs="Arial"/>
                <w:sz w:val="16"/>
                <w:szCs w:val="16"/>
              </w:rPr>
            </w:pPr>
            <w:r>
              <w:rPr>
                <w:rFonts w:ascii="Arial" w:hAnsi="Arial" w:cs="Arial"/>
                <w:sz w:val="16"/>
                <w:szCs w:val="16"/>
              </w:rPr>
              <w:t>4. Temperature restrictions.</w:t>
            </w:r>
          </w:p>
        </w:tc>
      </w:tr>
      <w:tr w:rsidR="002728BF" w:rsidRPr="008B546B" w14:paraId="7AD58694" w14:textId="0A2FCA79" w:rsidTr="002F3C7B">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2F574A21" w14:textId="77777777" w:rsidR="002728BF" w:rsidRPr="008B546B" w:rsidRDefault="002728BF"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42C397B9" w14:textId="77777777" w:rsidR="002728BF" w:rsidRDefault="002728BF" w:rsidP="00BE3F24">
            <w:pPr>
              <w:jc w:val="center"/>
              <w:rPr>
                <w:rFonts w:ascii="Arial" w:hAnsi="Arial" w:cs="Arial"/>
                <w:b/>
                <w:bCs/>
                <w:sz w:val="18"/>
                <w:szCs w:val="18"/>
              </w:rPr>
            </w:pPr>
            <w:r>
              <w:rPr>
                <w:rFonts w:ascii="Arial" w:hAnsi="Arial" w:cs="Arial"/>
                <w:b/>
                <w:bCs/>
                <w:sz w:val="18"/>
                <w:szCs w:val="18"/>
              </w:rPr>
              <w:t>Small Quantity Cost</w:t>
            </w:r>
          </w:p>
        </w:tc>
        <w:tc>
          <w:tcPr>
            <w:tcW w:w="6047" w:type="dxa"/>
            <w:vMerge w:val="restart"/>
            <w:tcBorders>
              <w:top w:val="nil"/>
              <w:left w:val="nil"/>
              <w:right w:val="single" w:sz="4" w:space="0" w:color="auto"/>
            </w:tcBorders>
            <w:vAlign w:val="center"/>
            <w:hideMark/>
          </w:tcPr>
          <w:p w14:paraId="64A075D6" w14:textId="77777777" w:rsidR="002728BF" w:rsidRDefault="002728BF" w:rsidP="009647DE">
            <w:pPr>
              <w:rPr>
                <w:rFonts w:ascii="Arial" w:hAnsi="Arial" w:cs="Arial"/>
                <w:color w:val="000000"/>
                <w:sz w:val="16"/>
                <w:szCs w:val="16"/>
              </w:rPr>
            </w:pPr>
            <w:r>
              <w:rPr>
                <w:rFonts w:ascii="Arial" w:hAnsi="Arial" w:cs="Arial"/>
                <w:color w:val="000000"/>
                <w:sz w:val="16"/>
                <w:szCs w:val="16"/>
              </w:rPr>
              <w:t>Re</w:t>
            </w:r>
            <w:r w:rsidRPr="00C9741F">
              <w:rPr>
                <w:rFonts w:ascii="Arial" w:hAnsi="Arial" w:cs="Arial"/>
                <w:color w:val="000000"/>
                <w:sz w:val="16"/>
                <w:szCs w:val="16"/>
              </w:rPr>
              <w:t xml:space="preserve">fer to </w:t>
            </w:r>
            <w:r>
              <w:rPr>
                <w:rFonts w:ascii="Arial" w:hAnsi="Arial" w:cs="Arial"/>
                <w:color w:val="000000"/>
                <w:sz w:val="16"/>
                <w:szCs w:val="16"/>
              </w:rPr>
              <w:t>the</w:t>
            </w:r>
            <w:r w:rsidRPr="00C9741F">
              <w:rPr>
                <w:rFonts w:ascii="Arial" w:hAnsi="Arial" w:cs="Arial"/>
                <w:color w:val="000000"/>
                <w:sz w:val="16"/>
                <w:szCs w:val="16"/>
              </w:rPr>
              <w:t xml:space="preserve"> </w:t>
            </w:r>
            <w:hyperlink r:id="rId69" w:history="1">
              <w:r w:rsidRPr="00C9741F">
                <w:rPr>
                  <w:rStyle w:val="Hyperlink"/>
                  <w:rFonts w:ascii="Arial" w:hAnsi="Arial" w:cs="Arial"/>
                  <w:sz w:val="16"/>
                  <w:szCs w:val="16"/>
                </w:rPr>
                <w:t>Unit Price</w:t>
              </w:r>
            </w:hyperlink>
            <w:r w:rsidRPr="00C9741F">
              <w:rPr>
                <w:rFonts w:ascii="Arial" w:hAnsi="Arial" w:cs="Arial"/>
                <w:sz w:val="16"/>
                <w:szCs w:val="16"/>
              </w:rPr>
              <w:t xml:space="preserve"> table located on the OMT network </w:t>
            </w:r>
            <w:r>
              <w:rPr>
                <w:rFonts w:ascii="Arial" w:hAnsi="Arial" w:cs="Arial"/>
                <w:sz w:val="16"/>
                <w:szCs w:val="16"/>
              </w:rPr>
              <w:t>for</w:t>
            </w:r>
            <w:r w:rsidRPr="00C9741F">
              <w:rPr>
                <w:rFonts w:ascii="Arial" w:hAnsi="Arial" w:cs="Arial"/>
                <w:sz w:val="16"/>
                <w:szCs w:val="16"/>
              </w:rPr>
              <w:t xml:space="preserve"> the latest average unit prices</w:t>
            </w:r>
            <w:r>
              <w:rPr>
                <w:rFonts w:ascii="Arial" w:hAnsi="Arial" w:cs="Arial"/>
                <w:sz w:val="16"/>
                <w:szCs w:val="16"/>
              </w:rPr>
              <w:t>.</w:t>
            </w:r>
          </w:p>
        </w:tc>
        <w:tc>
          <w:tcPr>
            <w:tcW w:w="3325" w:type="dxa"/>
            <w:vMerge w:val="restart"/>
            <w:tcBorders>
              <w:top w:val="nil"/>
              <w:left w:val="nil"/>
              <w:right w:val="single" w:sz="4" w:space="0" w:color="auto"/>
            </w:tcBorders>
          </w:tcPr>
          <w:p w14:paraId="4049DF12" w14:textId="77777777" w:rsidR="00DE011F" w:rsidRDefault="00DE011F" w:rsidP="00DE011F">
            <w:pPr>
              <w:rPr>
                <w:rFonts w:ascii="Arial" w:hAnsi="Arial" w:cs="Arial"/>
                <w:color w:val="000000"/>
                <w:sz w:val="16"/>
                <w:szCs w:val="16"/>
              </w:rPr>
            </w:pPr>
            <w:r>
              <w:rPr>
                <w:rFonts w:ascii="Arial" w:hAnsi="Arial" w:cs="Arial"/>
                <w:color w:val="000000"/>
                <w:sz w:val="16"/>
                <w:szCs w:val="16"/>
              </w:rPr>
              <w:t>Re</w:t>
            </w:r>
            <w:r w:rsidRPr="00C9741F">
              <w:rPr>
                <w:rFonts w:ascii="Arial" w:hAnsi="Arial" w:cs="Arial"/>
                <w:color w:val="000000"/>
                <w:sz w:val="16"/>
                <w:szCs w:val="16"/>
              </w:rPr>
              <w:t xml:space="preserve">fer to </w:t>
            </w:r>
            <w:r>
              <w:rPr>
                <w:rFonts w:ascii="Arial" w:hAnsi="Arial" w:cs="Arial"/>
                <w:color w:val="000000"/>
                <w:sz w:val="16"/>
                <w:szCs w:val="16"/>
              </w:rPr>
              <w:t>the</w:t>
            </w:r>
            <w:r w:rsidRPr="00C9741F">
              <w:rPr>
                <w:rFonts w:ascii="Arial" w:hAnsi="Arial" w:cs="Arial"/>
                <w:color w:val="000000"/>
                <w:sz w:val="16"/>
                <w:szCs w:val="16"/>
              </w:rPr>
              <w:t xml:space="preserve"> </w:t>
            </w:r>
            <w:hyperlink r:id="rId70" w:history="1">
              <w:r w:rsidRPr="00C9741F">
                <w:rPr>
                  <w:rStyle w:val="Hyperlink"/>
                  <w:rFonts w:ascii="Arial" w:hAnsi="Arial" w:cs="Arial"/>
                  <w:sz w:val="16"/>
                  <w:szCs w:val="16"/>
                </w:rPr>
                <w:t>Unit Price</w:t>
              </w:r>
            </w:hyperlink>
            <w:r w:rsidRPr="00C9741F">
              <w:rPr>
                <w:rFonts w:ascii="Arial" w:hAnsi="Arial" w:cs="Arial"/>
                <w:sz w:val="16"/>
                <w:szCs w:val="16"/>
              </w:rPr>
              <w:t xml:space="preserve"> table located on the OMT network </w:t>
            </w:r>
            <w:r>
              <w:rPr>
                <w:rFonts w:ascii="Arial" w:hAnsi="Arial" w:cs="Arial"/>
                <w:sz w:val="16"/>
                <w:szCs w:val="16"/>
              </w:rPr>
              <w:t>for</w:t>
            </w:r>
            <w:r w:rsidRPr="00C9741F">
              <w:rPr>
                <w:rFonts w:ascii="Arial" w:hAnsi="Arial" w:cs="Arial"/>
                <w:sz w:val="16"/>
                <w:szCs w:val="16"/>
              </w:rPr>
              <w:t xml:space="preserve"> the latest average unit prices</w:t>
            </w:r>
            <w:r>
              <w:rPr>
                <w:rFonts w:ascii="Arial" w:hAnsi="Arial" w:cs="Arial"/>
                <w:sz w:val="16"/>
                <w:szCs w:val="16"/>
              </w:rPr>
              <w:t>.</w:t>
            </w:r>
          </w:p>
        </w:tc>
      </w:tr>
      <w:tr w:rsidR="002728BF" w:rsidRPr="008B546B" w14:paraId="06AF1E26" w14:textId="304BDE98" w:rsidTr="002F3C7B">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C98D4EC"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E2D56FF" w14:textId="77777777" w:rsidR="002728BF" w:rsidRDefault="002728BF" w:rsidP="00BE3F24">
            <w:pPr>
              <w:jc w:val="center"/>
              <w:rPr>
                <w:rFonts w:ascii="Arial" w:hAnsi="Arial" w:cs="Arial"/>
                <w:b/>
                <w:bCs/>
                <w:sz w:val="18"/>
                <w:szCs w:val="18"/>
              </w:rPr>
            </w:pPr>
            <w:r>
              <w:rPr>
                <w:rFonts w:ascii="Arial" w:hAnsi="Arial" w:cs="Arial"/>
                <w:b/>
                <w:bCs/>
                <w:sz w:val="18"/>
                <w:szCs w:val="18"/>
              </w:rPr>
              <w:t>Medium Quantity Cost</w:t>
            </w:r>
          </w:p>
        </w:tc>
        <w:tc>
          <w:tcPr>
            <w:tcW w:w="6047" w:type="dxa"/>
            <w:vMerge/>
            <w:tcBorders>
              <w:left w:val="nil"/>
              <w:right w:val="single" w:sz="4" w:space="0" w:color="auto"/>
            </w:tcBorders>
            <w:vAlign w:val="center"/>
            <w:hideMark/>
          </w:tcPr>
          <w:p w14:paraId="6C6F58D0" w14:textId="77777777" w:rsidR="002728BF" w:rsidRDefault="002728BF" w:rsidP="00BE3F24">
            <w:pPr>
              <w:rPr>
                <w:rFonts w:ascii="Arial" w:hAnsi="Arial" w:cs="Arial"/>
                <w:color w:val="000000"/>
                <w:sz w:val="16"/>
                <w:szCs w:val="16"/>
              </w:rPr>
            </w:pPr>
          </w:p>
        </w:tc>
        <w:tc>
          <w:tcPr>
            <w:tcW w:w="3325" w:type="dxa"/>
            <w:vMerge/>
            <w:tcBorders>
              <w:left w:val="nil"/>
              <w:right w:val="single" w:sz="4" w:space="0" w:color="auto"/>
            </w:tcBorders>
          </w:tcPr>
          <w:p w14:paraId="091547A1" w14:textId="77777777" w:rsidR="00DE011F" w:rsidRDefault="00DE011F" w:rsidP="00DE011F">
            <w:pPr>
              <w:rPr>
                <w:rFonts w:ascii="Arial" w:hAnsi="Arial" w:cs="Arial"/>
                <w:color w:val="000000"/>
                <w:sz w:val="16"/>
                <w:szCs w:val="16"/>
              </w:rPr>
            </w:pPr>
          </w:p>
        </w:tc>
      </w:tr>
      <w:tr w:rsidR="002728BF" w:rsidRPr="008B546B" w14:paraId="5615450A" w14:textId="0D967A82" w:rsidTr="002F3C7B">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7245194" w14:textId="77777777" w:rsidR="002728BF" w:rsidRPr="008B546B" w:rsidRDefault="002728BF"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75A4FF8" w14:textId="77777777" w:rsidR="002728BF" w:rsidRDefault="002728BF" w:rsidP="00BE3F24">
            <w:pPr>
              <w:jc w:val="center"/>
              <w:rPr>
                <w:rFonts w:ascii="Arial" w:hAnsi="Arial" w:cs="Arial"/>
                <w:b/>
                <w:bCs/>
                <w:sz w:val="18"/>
                <w:szCs w:val="18"/>
              </w:rPr>
            </w:pPr>
            <w:r>
              <w:rPr>
                <w:rFonts w:ascii="Arial" w:hAnsi="Arial" w:cs="Arial"/>
                <w:b/>
                <w:bCs/>
                <w:sz w:val="18"/>
                <w:szCs w:val="18"/>
              </w:rPr>
              <w:t>High Quantity Cost</w:t>
            </w:r>
          </w:p>
        </w:tc>
        <w:tc>
          <w:tcPr>
            <w:tcW w:w="6047" w:type="dxa"/>
            <w:vMerge/>
            <w:tcBorders>
              <w:left w:val="nil"/>
              <w:bottom w:val="single" w:sz="4" w:space="0" w:color="auto"/>
              <w:right w:val="single" w:sz="4" w:space="0" w:color="auto"/>
            </w:tcBorders>
            <w:vAlign w:val="center"/>
            <w:hideMark/>
          </w:tcPr>
          <w:p w14:paraId="7EBA8F38" w14:textId="77777777" w:rsidR="002728BF" w:rsidRDefault="002728BF" w:rsidP="00BE3F24">
            <w:pPr>
              <w:rPr>
                <w:rFonts w:ascii="Arial" w:hAnsi="Arial" w:cs="Arial"/>
                <w:color w:val="000000"/>
                <w:sz w:val="16"/>
                <w:szCs w:val="16"/>
              </w:rPr>
            </w:pPr>
          </w:p>
        </w:tc>
        <w:tc>
          <w:tcPr>
            <w:tcW w:w="3325" w:type="dxa"/>
            <w:vMerge/>
            <w:tcBorders>
              <w:left w:val="nil"/>
              <w:bottom w:val="single" w:sz="4" w:space="0" w:color="auto"/>
              <w:right w:val="single" w:sz="4" w:space="0" w:color="auto"/>
            </w:tcBorders>
          </w:tcPr>
          <w:p w14:paraId="5FD294C1" w14:textId="77777777" w:rsidR="00DE011F" w:rsidRDefault="00DE011F" w:rsidP="00DE011F">
            <w:pPr>
              <w:rPr>
                <w:rFonts w:ascii="Arial" w:hAnsi="Arial" w:cs="Arial"/>
                <w:color w:val="000000"/>
                <w:sz w:val="16"/>
                <w:szCs w:val="16"/>
              </w:rPr>
            </w:pPr>
          </w:p>
        </w:tc>
      </w:tr>
      <w:tr w:rsidR="0042403B" w:rsidRPr="008B546B" w14:paraId="704A4FDA" w14:textId="05841168" w:rsidTr="002F3C7B">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906677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5BC7ACD"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6047" w:type="dxa"/>
            <w:tcBorders>
              <w:top w:val="nil"/>
              <w:left w:val="nil"/>
              <w:bottom w:val="single" w:sz="4" w:space="0" w:color="auto"/>
              <w:right w:val="single" w:sz="4" w:space="0" w:color="auto"/>
            </w:tcBorders>
            <w:vAlign w:val="center"/>
            <w:hideMark/>
          </w:tcPr>
          <w:p w14:paraId="3ABFEF40" w14:textId="77777777" w:rsidR="0042403B" w:rsidRDefault="0042403B" w:rsidP="00BE3F24">
            <w:pPr>
              <w:rPr>
                <w:rFonts w:ascii="Arial" w:hAnsi="Arial" w:cs="Arial"/>
                <w:sz w:val="16"/>
                <w:szCs w:val="16"/>
              </w:rPr>
            </w:pPr>
            <w:r>
              <w:rPr>
                <w:rFonts w:ascii="Arial" w:hAnsi="Arial" w:cs="Arial"/>
                <w:sz w:val="16"/>
                <w:szCs w:val="16"/>
              </w:rPr>
              <w:t>Material, Placement and Hauling, Removal of existing material.</w:t>
            </w:r>
          </w:p>
        </w:tc>
        <w:tc>
          <w:tcPr>
            <w:tcW w:w="3325" w:type="dxa"/>
            <w:tcBorders>
              <w:top w:val="nil"/>
              <w:left w:val="nil"/>
              <w:bottom w:val="single" w:sz="4" w:space="0" w:color="auto"/>
              <w:right w:val="single" w:sz="4" w:space="0" w:color="auto"/>
            </w:tcBorders>
          </w:tcPr>
          <w:p w14:paraId="464B4BC2" w14:textId="77777777" w:rsidR="00DE011F" w:rsidRPr="00F45F80" w:rsidRDefault="00DE011F" w:rsidP="00DE011F">
            <w:pPr>
              <w:rPr>
                <w:rFonts w:ascii="Arial" w:hAnsi="Arial" w:cs="Arial"/>
                <w:sz w:val="16"/>
                <w:szCs w:val="16"/>
              </w:rPr>
            </w:pPr>
            <w:r w:rsidRPr="00F45F80">
              <w:rPr>
                <w:rFonts w:ascii="Arial" w:hAnsi="Arial" w:cs="Arial"/>
                <w:sz w:val="16"/>
                <w:szCs w:val="16"/>
              </w:rPr>
              <w:t>Removal, preparing the repair boundaries, material, curing, finishing, texturizing.</w:t>
            </w:r>
          </w:p>
        </w:tc>
      </w:tr>
      <w:tr w:rsidR="0042403B" w:rsidRPr="008B546B" w14:paraId="63A8852B" w14:textId="53BFCD1A" w:rsidTr="002F3C7B">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DE643B8"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5C0EED8"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6047" w:type="dxa"/>
            <w:tcBorders>
              <w:top w:val="nil"/>
              <w:left w:val="nil"/>
              <w:bottom w:val="single" w:sz="4" w:space="0" w:color="auto"/>
              <w:right w:val="single" w:sz="4" w:space="0" w:color="auto"/>
            </w:tcBorders>
            <w:vAlign w:val="center"/>
            <w:hideMark/>
          </w:tcPr>
          <w:p w14:paraId="459797D4" w14:textId="77777777" w:rsidR="0042403B" w:rsidRDefault="0042403B" w:rsidP="00BE3F24">
            <w:pPr>
              <w:rPr>
                <w:rFonts w:ascii="Arial" w:hAnsi="Arial" w:cs="Arial"/>
                <w:sz w:val="16"/>
                <w:szCs w:val="16"/>
              </w:rPr>
            </w:pPr>
            <w:r>
              <w:rPr>
                <w:rFonts w:ascii="Arial" w:hAnsi="Arial" w:cs="Arial"/>
                <w:sz w:val="16"/>
                <w:szCs w:val="16"/>
              </w:rPr>
              <w:t>MOT Costs</w:t>
            </w:r>
          </w:p>
        </w:tc>
        <w:tc>
          <w:tcPr>
            <w:tcW w:w="3325" w:type="dxa"/>
            <w:tcBorders>
              <w:top w:val="nil"/>
              <w:left w:val="nil"/>
              <w:bottom w:val="single" w:sz="4" w:space="0" w:color="auto"/>
              <w:right w:val="single" w:sz="4" w:space="0" w:color="auto"/>
            </w:tcBorders>
          </w:tcPr>
          <w:p w14:paraId="77FEBC4C" w14:textId="35310293" w:rsidR="00DE011F" w:rsidRPr="00F45F80" w:rsidRDefault="00DE011F" w:rsidP="00DE011F">
            <w:pPr>
              <w:rPr>
                <w:rFonts w:ascii="Arial" w:hAnsi="Arial" w:cs="Arial"/>
                <w:sz w:val="16"/>
                <w:szCs w:val="16"/>
              </w:rPr>
            </w:pPr>
          </w:p>
        </w:tc>
      </w:tr>
      <w:tr w:rsidR="0042403B" w:rsidRPr="008B546B" w14:paraId="0D2F0380" w14:textId="601A5E6F" w:rsidTr="002F3C7B">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309A4B4"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6047" w:type="dxa"/>
            <w:tcBorders>
              <w:top w:val="single" w:sz="4" w:space="0" w:color="auto"/>
              <w:left w:val="nil"/>
              <w:bottom w:val="single" w:sz="4" w:space="0" w:color="auto"/>
              <w:right w:val="single" w:sz="4" w:space="0" w:color="auto"/>
            </w:tcBorders>
            <w:vAlign w:val="center"/>
            <w:hideMark/>
          </w:tcPr>
          <w:p w14:paraId="34005E50" w14:textId="77777777" w:rsidR="0042403B" w:rsidRDefault="0042403B" w:rsidP="00BE3F24">
            <w:pPr>
              <w:rPr>
                <w:rFonts w:ascii="Arial" w:hAnsi="Arial" w:cs="Arial"/>
                <w:color w:val="000000"/>
                <w:sz w:val="16"/>
                <w:szCs w:val="16"/>
              </w:rPr>
            </w:pPr>
            <w:r>
              <w:rPr>
                <w:rFonts w:ascii="Arial" w:hAnsi="Arial" w:cs="Arial"/>
                <w:color w:val="000000"/>
                <w:sz w:val="16"/>
                <w:szCs w:val="16"/>
              </w:rPr>
              <w:t>2-8 years</w:t>
            </w:r>
          </w:p>
        </w:tc>
        <w:tc>
          <w:tcPr>
            <w:tcW w:w="3325" w:type="dxa"/>
            <w:tcBorders>
              <w:top w:val="single" w:sz="4" w:space="0" w:color="auto"/>
              <w:left w:val="nil"/>
              <w:bottom w:val="single" w:sz="4" w:space="0" w:color="auto"/>
              <w:right w:val="single" w:sz="4" w:space="0" w:color="auto"/>
            </w:tcBorders>
          </w:tcPr>
          <w:p w14:paraId="769F5099" w14:textId="77777777" w:rsidR="00DE011F" w:rsidRPr="00F45F80" w:rsidRDefault="00DE011F" w:rsidP="00BE3F24">
            <w:pPr>
              <w:rPr>
                <w:rFonts w:ascii="Arial" w:hAnsi="Arial" w:cs="Arial"/>
                <w:sz w:val="16"/>
                <w:szCs w:val="16"/>
              </w:rPr>
            </w:pPr>
            <w:r w:rsidRPr="00F45F80">
              <w:rPr>
                <w:rFonts w:ascii="Arial" w:hAnsi="Arial" w:cs="Arial"/>
                <w:sz w:val="16"/>
                <w:szCs w:val="16"/>
              </w:rPr>
              <w:t>5-15 years</w:t>
            </w:r>
          </w:p>
        </w:tc>
      </w:tr>
    </w:tbl>
    <w:p w14:paraId="5FA5F035"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p w14:paraId="657E5D94" w14:textId="77777777" w:rsidR="0042403B" w:rsidRDefault="0042403B" w:rsidP="00BE3F24">
      <w:pPr>
        <w:rPr>
          <w:rFonts w:ascii="Arial" w:hAnsi="Arial" w:cs="Arial"/>
          <w:b/>
          <w:bCs/>
          <w:kern w:val="32"/>
          <w:sz w:val="28"/>
          <w:szCs w:val="32"/>
          <w:u w:val="single"/>
        </w:rPr>
      </w:pPr>
    </w:p>
    <w:tbl>
      <w:tblPr>
        <w:tblW w:w="8627" w:type="dxa"/>
        <w:tblInd w:w="98" w:type="dxa"/>
        <w:tblLayout w:type="fixed"/>
        <w:tblLook w:val="04A0" w:firstRow="1" w:lastRow="0" w:firstColumn="1" w:lastColumn="0" w:noHBand="0" w:noVBand="1"/>
      </w:tblPr>
      <w:tblGrid>
        <w:gridCol w:w="1040"/>
        <w:gridCol w:w="1540"/>
        <w:gridCol w:w="3077"/>
        <w:gridCol w:w="2970"/>
      </w:tblGrid>
      <w:tr w:rsidR="0042403B" w:rsidRPr="008B546B" w14:paraId="6A0A7865" w14:textId="77777777" w:rsidTr="002F3C7B">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BFD0F9F" w14:textId="65783036"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t>Table B.</w:t>
            </w:r>
            <w:r>
              <w:rPr>
                <w:rFonts w:ascii="Bell MT" w:hAnsi="Bell MT" w:cs="Calibri"/>
                <w:b/>
                <w:bCs/>
                <w:color w:val="000000"/>
                <w:sz w:val="28"/>
                <w:szCs w:val="28"/>
              </w:rPr>
              <w:t>1</w:t>
            </w:r>
            <w:r w:rsidR="00496C1D">
              <w:rPr>
                <w:rFonts w:ascii="Bell MT" w:hAnsi="Bell MT" w:cs="Calibri"/>
                <w:b/>
                <w:bCs/>
                <w:color w:val="000000"/>
                <w:sz w:val="28"/>
                <w:szCs w:val="28"/>
              </w:rPr>
              <w:t>5</w:t>
            </w:r>
          </w:p>
          <w:p w14:paraId="364D35F5" w14:textId="77777777" w:rsidR="002417C7" w:rsidRDefault="002417C7" w:rsidP="00BE3F24">
            <w:pPr>
              <w:jc w:val="center"/>
              <w:rPr>
                <w:rFonts w:ascii="Bell MT" w:hAnsi="Bell MT" w:cs="Calibri"/>
                <w:b/>
                <w:bCs/>
                <w:color w:val="000000"/>
                <w:sz w:val="28"/>
                <w:szCs w:val="28"/>
              </w:rPr>
            </w:pPr>
          </w:p>
          <w:p w14:paraId="4B1BC0C2"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02BEBAA2" w14:textId="4519ADFE" w:rsidR="0042403B" w:rsidRPr="008B546B" w:rsidRDefault="0042403B" w:rsidP="002F3C7B">
            <w:pPr>
              <w:pStyle w:val="Heading3"/>
              <w:ind w:left="1349" w:hanging="1349"/>
            </w:pPr>
            <w:bookmarkStart w:id="78" w:name="_SUPPLEMENTAL_INFORMATION_FOR_15"/>
            <w:bookmarkEnd w:id="78"/>
            <w:r w:rsidRPr="008B546B">
              <w:t>SUPPLEMENTAL INFORMATION FOR TREATMENT</w:t>
            </w:r>
            <w:r>
              <w:t>S F-</w:t>
            </w:r>
            <w:r w:rsidR="00496C1D">
              <w:t>4</w:t>
            </w:r>
            <w:r>
              <w:t>, F-</w:t>
            </w:r>
            <w:r w:rsidR="00496C1D">
              <w:t>5</w:t>
            </w:r>
            <w:r w:rsidRPr="008B546B">
              <w:t> </w:t>
            </w:r>
          </w:p>
        </w:tc>
      </w:tr>
      <w:tr w:rsidR="0042403B" w:rsidRPr="008B546B" w14:paraId="6137DF8E" w14:textId="77777777" w:rsidTr="002F3C7B">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2EB9A698" w14:textId="77777777" w:rsidR="0042403B" w:rsidRPr="008B546B" w:rsidRDefault="0042403B" w:rsidP="00BE3F24">
            <w:pPr>
              <w:rPr>
                <w:rFonts w:ascii="Bell MT" w:hAnsi="Bell MT" w:cs="Calibri"/>
                <w:b/>
                <w:bCs/>
                <w:color w:val="000000"/>
                <w:sz w:val="28"/>
                <w:szCs w:val="28"/>
              </w:rPr>
            </w:pPr>
          </w:p>
        </w:tc>
        <w:tc>
          <w:tcPr>
            <w:tcW w:w="3077" w:type="dxa"/>
            <w:vMerge w:val="restart"/>
            <w:tcBorders>
              <w:top w:val="nil"/>
              <w:left w:val="single" w:sz="4" w:space="0" w:color="auto"/>
              <w:bottom w:val="single" w:sz="4" w:space="0" w:color="auto"/>
              <w:right w:val="single" w:sz="4" w:space="0" w:color="auto"/>
            </w:tcBorders>
            <w:vAlign w:val="center"/>
            <w:hideMark/>
          </w:tcPr>
          <w:p w14:paraId="2338CEEA" w14:textId="232E205C" w:rsidR="0042403B" w:rsidRDefault="00496C1D" w:rsidP="00BE3F24">
            <w:pPr>
              <w:jc w:val="center"/>
              <w:rPr>
                <w:rFonts w:ascii="Arial" w:hAnsi="Arial" w:cs="Arial"/>
                <w:b/>
                <w:bCs/>
                <w:sz w:val="22"/>
                <w:szCs w:val="22"/>
              </w:rPr>
            </w:pPr>
            <w:hyperlink w:anchor="F4_Cross_Stitch" w:history="1">
              <w:r>
                <w:rPr>
                  <w:rStyle w:val="Hyperlink"/>
                  <w:rFonts w:ascii="Arial" w:hAnsi="Arial" w:cs="Arial"/>
                  <w:b/>
                  <w:bCs/>
                  <w:sz w:val="22"/>
                  <w:szCs w:val="22"/>
                </w:rPr>
                <w:t>F-4</w:t>
              </w:r>
              <w:r w:rsidR="0042403B" w:rsidRPr="00FF48E5">
                <w:rPr>
                  <w:rStyle w:val="Hyperlink"/>
                  <w:rFonts w:ascii="Arial" w:hAnsi="Arial" w:cs="Arial"/>
                  <w:b/>
                  <w:bCs/>
                  <w:sz w:val="22"/>
                  <w:szCs w:val="22"/>
                </w:rPr>
                <w:t>. Cross-Stitching</w:t>
              </w:r>
            </w:hyperlink>
          </w:p>
        </w:tc>
        <w:tc>
          <w:tcPr>
            <w:tcW w:w="2970" w:type="dxa"/>
            <w:vMerge w:val="restart"/>
            <w:tcBorders>
              <w:top w:val="nil"/>
              <w:left w:val="nil"/>
              <w:bottom w:val="single" w:sz="4" w:space="0" w:color="000000"/>
              <w:right w:val="single" w:sz="4" w:space="0" w:color="auto"/>
            </w:tcBorders>
            <w:vAlign w:val="center"/>
            <w:hideMark/>
          </w:tcPr>
          <w:p w14:paraId="5566BB9A" w14:textId="56775DB1" w:rsidR="0042403B" w:rsidRDefault="00496C1D" w:rsidP="00BE3F24">
            <w:pPr>
              <w:jc w:val="center"/>
              <w:rPr>
                <w:rFonts w:ascii="Arial" w:hAnsi="Arial" w:cs="Arial"/>
                <w:b/>
                <w:bCs/>
                <w:sz w:val="22"/>
                <w:szCs w:val="22"/>
              </w:rPr>
            </w:pPr>
            <w:hyperlink w:anchor="F5_DBR" w:history="1">
              <w:r>
                <w:rPr>
                  <w:rStyle w:val="Hyperlink"/>
                  <w:rFonts w:ascii="Arial" w:hAnsi="Arial" w:cs="Arial"/>
                  <w:b/>
                  <w:bCs/>
                  <w:sz w:val="22"/>
                  <w:szCs w:val="22"/>
                </w:rPr>
                <w:t>F-5</w:t>
              </w:r>
              <w:r w:rsidR="0042403B" w:rsidRPr="00FF48E5">
                <w:rPr>
                  <w:rStyle w:val="Hyperlink"/>
                  <w:rFonts w:ascii="Arial" w:hAnsi="Arial" w:cs="Arial"/>
                  <w:b/>
                  <w:bCs/>
                  <w:sz w:val="22"/>
                  <w:szCs w:val="22"/>
                </w:rPr>
                <w:t>. Dowel Bar Retrofit</w:t>
              </w:r>
            </w:hyperlink>
          </w:p>
        </w:tc>
      </w:tr>
      <w:tr w:rsidR="0042403B" w:rsidRPr="008B546B" w14:paraId="3D5545B2" w14:textId="77777777" w:rsidTr="002F3C7B">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1C618BA3" w14:textId="77777777" w:rsidR="0042403B" w:rsidRPr="008B546B" w:rsidRDefault="0042403B" w:rsidP="00BE3F24">
            <w:pPr>
              <w:rPr>
                <w:rFonts w:ascii="Bell MT" w:hAnsi="Bell MT" w:cs="Calibri"/>
                <w:b/>
                <w:bCs/>
                <w:color w:val="000000"/>
                <w:sz w:val="28"/>
                <w:szCs w:val="28"/>
              </w:rPr>
            </w:pPr>
          </w:p>
        </w:tc>
        <w:tc>
          <w:tcPr>
            <w:tcW w:w="3077" w:type="dxa"/>
            <w:vMerge/>
            <w:tcBorders>
              <w:top w:val="nil"/>
              <w:left w:val="single" w:sz="4" w:space="0" w:color="auto"/>
              <w:bottom w:val="single" w:sz="4" w:space="0" w:color="auto"/>
              <w:right w:val="single" w:sz="4" w:space="0" w:color="auto"/>
            </w:tcBorders>
            <w:vAlign w:val="center"/>
            <w:hideMark/>
          </w:tcPr>
          <w:p w14:paraId="6536AC20" w14:textId="77777777" w:rsidR="0042403B" w:rsidRPr="008B546B" w:rsidRDefault="0042403B" w:rsidP="00BE3F24">
            <w:pPr>
              <w:rPr>
                <w:rFonts w:ascii="Arial" w:hAnsi="Arial" w:cs="Arial"/>
                <w:b/>
                <w:bCs/>
                <w:color w:val="000000"/>
                <w:sz w:val="22"/>
                <w:szCs w:val="22"/>
              </w:rPr>
            </w:pPr>
          </w:p>
        </w:tc>
        <w:tc>
          <w:tcPr>
            <w:tcW w:w="2970" w:type="dxa"/>
            <w:vMerge/>
            <w:tcBorders>
              <w:top w:val="nil"/>
              <w:left w:val="nil"/>
              <w:bottom w:val="single" w:sz="4" w:space="0" w:color="000000"/>
              <w:right w:val="single" w:sz="4" w:space="0" w:color="auto"/>
            </w:tcBorders>
            <w:vAlign w:val="center"/>
            <w:hideMark/>
          </w:tcPr>
          <w:p w14:paraId="7D764580" w14:textId="77777777" w:rsidR="0042403B" w:rsidRPr="008B546B" w:rsidRDefault="0042403B" w:rsidP="00BE3F24">
            <w:pPr>
              <w:rPr>
                <w:rFonts w:ascii="Arial" w:hAnsi="Arial" w:cs="Arial"/>
                <w:b/>
                <w:bCs/>
                <w:color w:val="000000"/>
                <w:sz w:val="22"/>
                <w:szCs w:val="22"/>
              </w:rPr>
            </w:pPr>
          </w:p>
        </w:tc>
      </w:tr>
      <w:tr w:rsidR="0042403B" w:rsidRPr="008B546B" w14:paraId="6700BE66" w14:textId="77777777" w:rsidTr="002F3C7B">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0B5FA3CB"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6F1B6C53"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3077" w:type="dxa"/>
            <w:tcBorders>
              <w:top w:val="nil"/>
              <w:left w:val="nil"/>
              <w:bottom w:val="single" w:sz="4" w:space="0" w:color="auto"/>
              <w:right w:val="single" w:sz="4" w:space="0" w:color="auto"/>
            </w:tcBorders>
            <w:vAlign w:val="center"/>
            <w:hideMark/>
          </w:tcPr>
          <w:p w14:paraId="0A17943B" w14:textId="77777777"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459E5A73"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4DEEA4C9"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29539FB"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1DE0D60" w14:textId="34D3AD6B"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3077" w:type="dxa"/>
            <w:tcBorders>
              <w:top w:val="nil"/>
              <w:left w:val="nil"/>
              <w:bottom w:val="single" w:sz="4" w:space="0" w:color="auto"/>
              <w:right w:val="single" w:sz="4" w:space="0" w:color="auto"/>
            </w:tcBorders>
            <w:vAlign w:val="center"/>
            <w:hideMark/>
          </w:tcPr>
          <w:p w14:paraId="4EB408BF"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970" w:type="dxa"/>
            <w:tcBorders>
              <w:top w:val="nil"/>
              <w:left w:val="nil"/>
              <w:bottom w:val="single" w:sz="4" w:space="0" w:color="auto"/>
              <w:right w:val="single" w:sz="4" w:space="0" w:color="auto"/>
            </w:tcBorders>
            <w:vAlign w:val="center"/>
            <w:hideMark/>
          </w:tcPr>
          <w:p w14:paraId="6BC05E4D" w14:textId="77777777" w:rsidR="0042403B" w:rsidRPr="008B546B" w:rsidRDefault="0042403B" w:rsidP="00BE3F24">
            <w:pPr>
              <w:jc w:val="center"/>
              <w:rPr>
                <w:rFonts w:ascii="Arial" w:hAnsi="Arial" w:cs="Arial"/>
                <w:b/>
                <w:bCs/>
                <w:color w:val="000000"/>
                <w:sz w:val="16"/>
                <w:szCs w:val="16"/>
              </w:rPr>
            </w:pPr>
          </w:p>
        </w:tc>
      </w:tr>
      <w:tr w:rsidR="0042403B" w:rsidRPr="008B546B" w14:paraId="02353842"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73493C0"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71519B3" w14:textId="37B0A8AE"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3077" w:type="dxa"/>
            <w:tcBorders>
              <w:top w:val="nil"/>
              <w:left w:val="nil"/>
              <w:bottom w:val="single" w:sz="4" w:space="0" w:color="auto"/>
              <w:right w:val="single" w:sz="4" w:space="0" w:color="auto"/>
            </w:tcBorders>
            <w:vAlign w:val="center"/>
            <w:hideMark/>
          </w:tcPr>
          <w:p w14:paraId="1F879F8D"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970" w:type="dxa"/>
            <w:tcBorders>
              <w:top w:val="nil"/>
              <w:left w:val="nil"/>
              <w:bottom w:val="single" w:sz="4" w:space="0" w:color="auto"/>
              <w:right w:val="single" w:sz="4" w:space="0" w:color="auto"/>
            </w:tcBorders>
            <w:vAlign w:val="center"/>
            <w:hideMark/>
          </w:tcPr>
          <w:p w14:paraId="3100AE8E" w14:textId="77777777" w:rsidR="0042403B" w:rsidRPr="008B546B" w:rsidRDefault="0042403B" w:rsidP="00BE3F24">
            <w:pPr>
              <w:jc w:val="center"/>
              <w:rPr>
                <w:rFonts w:ascii="Arial" w:hAnsi="Arial" w:cs="Arial"/>
                <w:b/>
                <w:bCs/>
                <w:color w:val="000000"/>
                <w:sz w:val="16"/>
                <w:szCs w:val="16"/>
              </w:rPr>
            </w:pPr>
          </w:p>
        </w:tc>
      </w:tr>
      <w:tr w:rsidR="0042403B" w:rsidRPr="008B546B" w14:paraId="464C3445"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EBBF81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C2897F2"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3077" w:type="dxa"/>
            <w:tcBorders>
              <w:top w:val="nil"/>
              <w:left w:val="nil"/>
              <w:bottom w:val="single" w:sz="4" w:space="0" w:color="auto"/>
              <w:right w:val="single" w:sz="4" w:space="0" w:color="auto"/>
            </w:tcBorders>
            <w:vAlign w:val="center"/>
            <w:hideMark/>
          </w:tcPr>
          <w:p w14:paraId="5C59DB61" w14:textId="77777777"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7E42087A" w14:textId="77777777" w:rsidR="0042403B" w:rsidRPr="008B546B" w:rsidRDefault="0042403B" w:rsidP="00BE3F24">
            <w:pPr>
              <w:jc w:val="center"/>
              <w:rPr>
                <w:rFonts w:ascii="Arial" w:hAnsi="Arial" w:cs="Arial"/>
                <w:b/>
                <w:bCs/>
                <w:color w:val="000000"/>
                <w:sz w:val="16"/>
                <w:szCs w:val="16"/>
              </w:rPr>
            </w:pPr>
          </w:p>
        </w:tc>
      </w:tr>
      <w:tr w:rsidR="0042403B" w:rsidRPr="008B546B" w14:paraId="113531C1"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47E0FF5"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337227E"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3077" w:type="dxa"/>
            <w:tcBorders>
              <w:top w:val="nil"/>
              <w:left w:val="nil"/>
              <w:bottom w:val="single" w:sz="4" w:space="0" w:color="auto"/>
              <w:right w:val="single" w:sz="4" w:space="0" w:color="auto"/>
            </w:tcBorders>
            <w:vAlign w:val="center"/>
            <w:hideMark/>
          </w:tcPr>
          <w:p w14:paraId="1532F240" w14:textId="77777777"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5E8436BF" w14:textId="77777777" w:rsidR="0042403B" w:rsidRPr="008B546B" w:rsidRDefault="0042403B" w:rsidP="00BE3F24">
            <w:pPr>
              <w:jc w:val="center"/>
              <w:rPr>
                <w:rFonts w:ascii="Arial" w:hAnsi="Arial" w:cs="Arial"/>
                <w:b/>
                <w:bCs/>
                <w:color w:val="000000"/>
                <w:sz w:val="16"/>
                <w:szCs w:val="16"/>
              </w:rPr>
            </w:pPr>
          </w:p>
        </w:tc>
      </w:tr>
      <w:tr w:rsidR="0042403B" w:rsidRPr="008B546B" w14:paraId="696B5252"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0C26FF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E4E08B4"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3077" w:type="dxa"/>
            <w:tcBorders>
              <w:top w:val="nil"/>
              <w:left w:val="nil"/>
              <w:bottom w:val="single" w:sz="4" w:space="0" w:color="auto"/>
              <w:right w:val="single" w:sz="4" w:space="0" w:color="auto"/>
            </w:tcBorders>
            <w:vAlign w:val="center"/>
            <w:hideMark/>
          </w:tcPr>
          <w:p w14:paraId="12B0E784" w14:textId="77777777" w:rsidR="0042403B" w:rsidRDefault="0042403B" w:rsidP="00BE3F24">
            <w:pPr>
              <w:jc w:val="center"/>
              <w:rPr>
                <w:rFonts w:ascii="Arial" w:hAnsi="Arial" w:cs="Arial"/>
                <w:b/>
                <w:bCs/>
                <w:color w:val="000000"/>
                <w:sz w:val="16"/>
                <w:szCs w:val="16"/>
              </w:rPr>
            </w:pPr>
          </w:p>
        </w:tc>
        <w:tc>
          <w:tcPr>
            <w:tcW w:w="2970" w:type="dxa"/>
            <w:tcBorders>
              <w:top w:val="nil"/>
              <w:left w:val="nil"/>
              <w:bottom w:val="single" w:sz="4" w:space="0" w:color="auto"/>
              <w:right w:val="single" w:sz="4" w:space="0" w:color="auto"/>
            </w:tcBorders>
            <w:vAlign w:val="center"/>
            <w:hideMark/>
          </w:tcPr>
          <w:p w14:paraId="27AE6BD3" w14:textId="77777777" w:rsidR="0042403B" w:rsidRPr="008B546B" w:rsidRDefault="0042403B" w:rsidP="00BE3F24">
            <w:pPr>
              <w:jc w:val="center"/>
              <w:rPr>
                <w:rFonts w:ascii="Arial" w:hAnsi="Arial" w:cs="Arial"/>
                <w:b/>
                <w:bCs/>
                <w:color w:val="000000"/>
                <w:sz w:val="16"/>
                <w:szCs w:val="16"/>
              </w:rPr>
            </w:pPr>
          </w:p>
        </w:tc>
      </w:tr>
      <w:tr w:rsidR="0042403B" w:rsidRPr="008B546B" w14:paraId="1690621B" w14:textId="77777777" w:rsidTr="002F3C7B">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541F75E" w14:textId="0F43E7A4"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3077" w:type="dxa"/>
            <w:tcBorders>
              <w:top w:val="nil"/>
              <w:left w:val="nil"/>
              <w:bottom w:val="single" w:sz="4" w:space="0" w:color="auto"/>
              <w:right w:val="single" w:sz="4" w:space="0" w:color="auto"/>
            </w:tcBorders>
            <w:hideMark/>
          </w:tcPr>
          <w:p w14:paraId="5EBBBA59" w14:textId="3B1A3C8B" w:rsidR="0042403B" w:rsidRPr="00F45F80" w:rsidRDefault="0042403B" w:rsidP="00BE3F24">
            <w:pPr>
              <w:spacing w:after="240"/>
              <w:rPr>
                <w:rFonts w:ascii="Arial" w:hAnsi="Arial" w:cs="Arial"/>
                <w:sz w:val="16"/>
                <w:szCs w:val="16"/>
              </w:rPr>
            </w:pPr>
            <w:r w:rsidRPr="00F45F80">
              <w:rPr>
                <w:rFonts w:ascii="Arial" w:hAnsi="Arial" w:cs="Arial"/>
                <w:sz w:val="16"/>
                <w:szCs w:val="16"/>
              </w:rPr>
              <w:t>1. Strengthening and tying longitudinal cracks in slabs to prevent slab migration and to maintain aggregate interlock.</w:t>
            </w:r>
            <w:r w:rsidRPr="00F45F80">
              <w:rPr>
                <w:rFonts w:ascii="Arial" w:hAnsi="Arial" w:cs="Arial"/>
                <w:sz w:val="16"/>
                <w:szCs w:val="16"/>
              </w:rPr>
              <w:br/>
              <w:t>2. Mitigating the issue of tie</w:t>
            </w:r>
            <w:r>
              <w:rPr>
                <w:rFonts w:ascii="Arial" w:hAnsi="Arial" w:cs="Arial"/>
                <w:sz w:val="16"/>
                <w:szCs w:val="16"/>
              </w:rPr>
              <w:t>-</w:t>
            </w:r>
            <w:r w:rsidRPr="00F45F80">
              <w:rPr>
                <w:rFonts w:ascii="Arial" w:hAnsi="Arial" w:cs="Arial"/>
                <w:sz w:val="16"/>
                <w:szCs w:val="16"/>
              </w:rPr>
              <w:t>bars being omitted from longitudinal contraction joints (due to construction error)</w:t>
            </w:r>
            <w:r w:rsidR="00B172B7">
              <w:rPr>
                <w:rFonts w:ascii="Arial" w:hAnsi="Arial" w:cs="Arial"/>
                <w:sz w:val="16"/>
                <w:szCs w:val="16"/>
              </w:rPr>
              <w:t>.</w:t>
            </w:r>
            <w:r w:rsidRPr="00F45F80">
              <w:rPr>
                <w:rFonts w:ascii="Arial" w:hAnsi="Arial" w:cs="Arial"/>
                <w:sz w:val="16"/>
                <w:szCs w:val="16"/>
              </w:rPr>
              <w:br/>
              <w:t>3. Tying roadway lanes or shoulders that are separating or causing maintenance problems.</w:t>
            </w:r>
            <w:r w:rsidRPr="00F45F80">
              <w:rPr>
                <w:rFonts w:ascii="Arial" w:hAnsi="Arial" w:cs="Arial"/>
                <w:sz w:val="16"/>
                <w:szCs w:val="16"/>
              </w:rPr>
              <w:br/>
              <w:t>4. Tying centerline longitudinal joints that are starting to fault.</w:t>
            </w:r>
          </w:p>
        </w:tc>
        <w:tc>
          <w:tcPr>
            <w:tcW w:w="2970" w:type="dxa"/>
            <w:tcBorders>
              <w:top w:val="nil"/>
              <w:left w:val="nil"/>
              <w:bottom w:val="single" w:sz="4" w:space="0" w:color="auto"/>
              <w:right w:val="single" w:sz="4" w:space="0" w:color="auto"/>
            </w:tcBorders>
            <w:hideMark/>
          </w:tcPr>
          <w:p w14:paraId="62E8C312" w14:textId="75F1AC04" w:rsidR="0042403B" w:rsidRPr="00F45F80" w:rsidRDefault="0042403B" w:rsidP="00BE3F24">
            <w:pPr>
              <w:rPr>
                <w:rFonts w:ascii="Arial" w:hAnsi="Arial" w:cs="Arial"/>
                <w:sz w:val="16"/>
                <w:szCs w:val="16"/>
              </w:rPr>
            </w:pPr>
            <w:r w:rsidRPr="00F45F80">
              <w:rPr>
                <w:rFonts w:ascii="Arial" w:hAnsi="Arial" w:cs="Arial"/>
                <w:sz w:val="16"/>
                <w:szCs w:val="16"/>
              </w:rPr>
              <w:t>1. Can be used in all climatic regions</w:t>
            </w:r>
            <w:r w:rsidR="00B172B7">
              <w:rPr>
                <w:rFonts w:ascii="Arial" w:hAnsi="Arial" w:cs="Arial"/>
                <w:sz w:val="16"/>
                <w:szCs w:val="16"/>
              </w:rPr>
              <w:t>.</w:t>
            </w:r>
            <w:r w:rsidRPr="00F45F80">
              <w:rPr>
                <w:rFonts w:ascii="Arial" w:hAnsi="Arial" w:cs="Arial"/>
                <w:sz w:val="16"/>
                <w:szCs w:val="16"/>
              </w:rPr>
              <w:br/>
              <w:t>2. Relatively low life-cycle cost.</w:t>
            </w:r>
          </w:p>
        </w:tc>
      </w:tr>
      <w:tr w:rsidR="0042403B" w:rsidRPr="008B546B" w14:paraId="68232A9D" w14:textId="77777777" w:rsidTr="002F3C7B">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3C10741C" w14:textId="789182A6"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3077" w:type="dxa"/>
            <w:tcBorders>
              <w:top w:val="nil"/>
              <w:left w:val="nil"/>
              <w:bottom w:val="single" w:sz="4" w:space="0" w:color="auto"/>
              <w:right w:val="single" w:sz="4" w:space="0" w:color="auto"/>
            </w:tcBorders>
            <w:hideMark/>
          </w:tcPr>
          <w:p w14:paraId="5E4328E4" w14:textId="77777777" w:rsidR="0042403B" w:rsidRPr="00F45F80" w:rsidRDefault="0042403B" w:rsidP="00BE3F24">
            <w:pPr>
              <w:rPr>
                <w:rFonts w:ascii="Arial" w:hAnsi="Arial" w:cs="Arial"/>
                <w:sz w:val="16"/>
                <w:szCs w:val="16"/>
              </w:rPr>
            </w:pPr>
            <w:r w:rsidRPr="00F45F80">
              <w:rPr>
                <w:rFonts w:ascii="Arial" w:hAnsi="Arial" w:cs="Arial"/>
                <w:sz w:val="16"/>
                <w:szCs w:val="16"/>
              </w:rPr>
              <w:t>1. Potential damage to concrete during drilling.  Care must be taken.</w:t>
            </w:r>
          </w:p>
        </w:tc>
        <w:tc>
          <w:tcPr>
            <w:tcW w:w="2970" w:type="dxa"/>
            <w:tcBorders>
              <w:top w:val="nil"/>
              <w:left w:val="nil"/>
              <w:bottom w:val="single" w:sz="4" w:space="0" w:color="auto"/>
              <w:right w:val="single" w:sz="4" w:space="0" w:color="auto"/>
            </w:tcBorders>
            <w:hideMark/>
          </w:tcPr>
          <w:p w14:paraId="5184A10C" w14:textId="014E1890" w:rsidR="0042403B" w:rsidRPr="00F45F80" w:rsidRDefault="0042403B" w:rsidP="00B172B7">
            <w:pPr>
              <w:rPr>
                <w:rFonts w:ascii="Arial" w:hAnsi="Arial" w:cs="Arial"/>
                <w:sz w:val="16"/>
                <w:szCs w:val="16"/>
              </w:rPr>
            </w:pPr>
            <w:r w:rsidRPr="00F45F80">
              <w:rPr>
                <w:rFonts w:ascii="Arial" w:hAnsi="Arial" w:cs="Arial"/>
                <w:sz w:val="16"/>
                <w:szCs w:val="16"/>
              </w:rPr>
              <w:t xml:space="preserve">1. Labor </w:t>
            </w:r>
            <w:r w:rsidR="00B172B7">
              <w:rPr>
                <w:rFonts w:ascii="Arial" w:hAnsi="Arial" w:cs="Arial"/>
                <w:sz w:val="16"/>
                <w:szCs w:val="16"/>
              </w:rPr>
              <w:t>i</w:t>
            </w:r>
            <w:r w:rsidRPr="00F45F80">
              <w:rPr>
                <w:rFonts w:ascii="Arial" w:hAnsi="Arial" w:cs="Arial"/>
                <w:sz w:val="16"/>
                <w:szCs w:val="16"/>
              </w:rPr>
              <w:t>ntensive</w:t>
            </w:r>
            <w:r w:rsidR="00B172B7">
              <w:rPr>
                <w:rFonts w:ascii="Arial" w:hAnsi="Arial" w:cs="Arial"/>
                <w:sz w:val="16"/>
                <w:szCs w:val="16"/>
              </w:rPr>
              <w:t>.</w:t>
            </w:r>
            <w:r w:rsidRPr="00F45F80">
              <w:rPr>
                <w:rFonts w:ascii="Arial" w:hAnsi="Arial" w:cs="Arial"/>
                <w:sz w:val="16"/>
                <w:szCs w:val="16"/>
              </w:rPr>
              <w:br/>
              <w:t>2. Usually requires Diamond Grinding for smooth surface.</w:t>
            </w:r>
            <w:r w:rsidR="00A260FA">
              <w:rPr>
                <w:rFonts w:ascii="Arial" w:hAnsi="Arial" w:cs="Arial"/>
                <w:sz w:val="16"/>
                <w:szCs w:val="16"/>
              </w:rPr>
              <w:t xml:space="preserve">  If not grinding continuously, grind from mid-slab to mid-slab.</w:t>
            </w:r>
          </w:p>
        </w:tc>
      </w:tr>
      <w:tr w:rsidR="0042403B" w:rsidRPr="008B546B" w14:paraId="72F5BEE6" w14:textId="77777777" w:rsidTr="002F3C7B">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2826C066"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71AFCA17"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3077" w:type="dxa"/>
            <w:vMerge w:val="restart"/>
            <w:tcBorders>
              <w:top w:val="nil"/>
              <w:left w:val="nil"/>
              <w:right w:val="single" w:sz="4" w:space="0" w:color="auto"/>
            </w:tcBorders>
            <w:vAlign w:val="center"/>
            <w:hideMark/>
          </w:tcPr>
          <w:p w14:paraId="7FE8C7AB" w14:textId="2C110256" w:rsidR="0042403B" w:rsidRPr="00F45F80" w:rsidRDefault="0042403B" w:rsidP="00BE3F24">
            <w:pPr>
              <w:rPr>
                <w:rFonts w:ascii="Arial" w:hAnsi="Arial" w:cs="Arial"/>
                <w:sz w:val="16"/>
                <w:szCs w:val="16"/>
              </w:rPr>
            </w:pPr>
            <w:r w:rsidRPr="00F45F80">
              <w:rPr>
                <w:rFonts w:ascii="Arial" w:hAnsi="Arial" w:cs="Arial"/>
                <w:sz w:val="16"/>
                <w:szCs w:val="16"/>
              </w:rPr>
              <w:t>$11</w:t>
            </w:r>
            <w:r w:rsidR="006021E1" w:rsidRPr="002F3C7B">
              <w:rPr>
                <w:rFonts w:ascii="Arial" w:hAnsi="Arial"/>
                <w:color w:val="000000"/>
                <w:sz w:val="16"/>
              </w:rPr>
              <w:t xml:space="preserve"> </w:t>
            </w:r>
            <w:r w:rsidR="006021E1">
              <w:rPr>
                <w:rFonts w:ascii="Arial" w:hAnsi="Arial" w:cs="Arial"/>
                <w:color w:val="000000"/>
                <w:sz w:val="16"/>
                <w:szCs w:val="16"/>
              </w:rPr>
              <w:t>–</w:t>
            </w:r>
            <w:r w:rsidR="006021E1" w:rsidRPr="002F3C7B">
              <w:rPr>
                <w:rFonts w:ascii="Arial" w:hAnsi="Arial"/>
                <w:color w:val="000000"/>
                <w:sz w:val="16"/>
              </w:rPr>
              <w:t xml:space="preserve"> </w:t>
            </w:r>
            <w:r w:rsidRPr="00F45F80">
              <w:rPr>
                <w:rFonts w:ascii="Arial" w:hAnsi="Arial" w:cs="Arial"/>
                <w:sz w:val="16"/>
                <w:szCs w:val="16"/>
              </w:rPr>
              <w:t>$17 / bar</w:t>
            </w:r>
          </w:p>
        </w:tc>
        <w:tc>
          <w:tcPr>
            <w:tcW w:w="2970" w:type="dxa"/>
            <w:tcBorders>
              <w:top w:val="nil"/>
              <w:left w:val="nil"/>
              <w:bottom w:val="single" w:sz="4" w:space="0" w:color="auto"/>
              <w:right w:val="single" w:sz="4" w:space="0" w:color="auto"/>
            </w:tcBorders>
            <w:vAlign w:val="center"/>
            <w:hideMark/>
          </w:tcPr>
          <w:p w14:paraId="2040D9F1" w14:textId="239375A9" w:rsidR="0042403B" w:rsidRPr="00F45F80" w:rsidRDefault="0042403B" w:rsidP="00BE3F24">
            <w:pPr>
              <w:rPr>
                <w:rFonts w:ascii="Arial" w:hAnsi="Arial" w:cs="Arial"/>
                <w:sz w:val="16"/>
                <w:szCs w:val="16"/>
              </w:rPr>
            </w:pPr>
            <w:r w:rsidRPr="00F45F80">
              <w:rPr>
                <w:rFonts w:ascii="Arial" w:hAnsi="Arial" w:cs="Arial"/>
                <w:sz w:val="16"/>
                <w:szCs w:val="16"/>
              </w:rPr>
              <w:t>$50 per dowel</w:t>
            </w:r>
          </w:p>
        </w:tc>
      </w:tr>
      <w:tr w:rsidR="0042403B" w:rsidRPr="008B546B" w14:paraId="3BB2F2A5" w14:textId="77777777" w:rsidTr="002F3C7B">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8A98147"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9D16737"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3077" w:type="dxa"/>
            <w:vMerge/>
            <w:tcBorders>
              <w:left w:val="nil"/>
              <w:right w:val="single" w:sz="4" w:space="0" w:color="auto"/>
            </w:tcBorders>
            <w:vAlign w:val="center"/>
            <w:hideMark/>
          </w:tcPr>
          <w:p w14:paraId="7171B4CB" w14:textId="77777777" w:rsidR="0042403B" w:rsidRPr="00F45F80" w:rsidRDefault="0042403B" w:rsidP="00BE3F24">
            <w:pPr>
              <w:rPr>
                <w:rFonts w:ascii="Arial" w:hAnsi="Arial" w:cs="Arial"/>
                <w:sz w:val="16"/>
                <w:szCs w:val="16"/>
              </w:rPr>
            </w:pPr>
          </w:p>
        </w:tc>
        <w:tc>
          <w:tcPr>
            <w:tcW w:w="2970" w:type="dxa"/>
            <w:tcBorders>
              <w:top w:val="nil"/>
              <w:left w:val="nil"/>
              <w:bottom w:val="single" w:sz="4" w:space="0" w:color="auto"/>
              <w:right w:val="single" w:sz="4" w:space="0" w:color="auto"/>
            </w:tcBorders>
            <w:vAlign w:val="center"/>
            <w:hideMark/>
          </w:tcPr>
          <w:p w14:paraId="3231CDDA" w14:textId="6B15A042" w:rsidR="0042403B" w:rsidRPr="00F45F80" w:rsidRDefault="0042403B" w:rsidP="006021E1">
            <w:pPr>
              <w:rPr>
                <w:rFonts w:ascii="Arial" w:hAnsi="Arial" w:cs="Arial"/>
                <w:sz w:val="16"/>
                <w:szCs w:val="16"/>
              </w:rPr>
            </w:pPr>
            <w:r w:rsidRPr="00F45F80">
              <w:rPr>
                <w:rFonts w:ascii="Arial" w:hAnsi="Arial" w:cs="Arial"/>
                <w:sz w:val="16"/>
                <w:szCs w:val="16"/>
              </w:rPr>
              <w:t>$35 per dowel</w:t>
            </w:r>
          </w:p>
        </w:tc>
      </w:tr>
      <w:tr w:rsidR="0042403B" w:rsidRPr="008B546B" w14:paraId="0B060590" w14:textId="77777777" w:rsidTr="002F3C7B">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B13849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6D2C790"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3077" w:type="dxa"/>
            <w:vMerge/>
            <w:tcBorders>
              <w:left w:val="nil"/>
              <w:bottom w:val="single" w:sz="4" w:space="0" w:color="auto"/>
              <w:right w:val="single" w:sz="4" w:space="0" w:color="auto"/>
            </w:tcBorders>
            <w:vAlign w:val="center"/>
            <w:hideMark/>
          </w:tcPr>
          <w:p w14:paraId="2F3E9AF5" w14:textId="77777777" w:rsidR="0042403B" w:rsidRPr="00F45F80" w:rsidRDefault="0042403B" w:rsidP="00BE3F24">
            <w:pPr>
              <w:rPr>
                <w:rFonts w:ascii="Arial" w:hAnsi="Arial" w:cs="Arial"/>
                <w:sz w:val="16"/>
                <w:szCs w:val="16"/>
              </w:rPr>
            </w:pPr>
          </w:p>
        </w:tc>
        <w:tc>
          <w:tcPr>
            <w:tcW w:w="2970" w:type="dxa"/>
            <w:tcBorders>
              <w:top w:val="nil"/>
              <w:left w:val="nil"/>
              <w:bottom w:val="single" w:sz="4" w:space="0" w:color="auto"/>
              <w:right w:val="single" w:sz="4" w:space="0" w:color="auto"/>
            </w:tcBorders>
            <w:vAlign w:val="center"/>
            <w:hideMark/>
          </w:tcPr>
          <w:p w14:paraId="0FCB72F6" w14:textId="37B1ED97" w:rsidR="0042403B" w:rsidRPr="00F45F80" w:rsidRDefault="0042403B" w:rsidP="006021E1">
            <w:pPr>
              <w:rPr>
                <w:rFonts w:ascii="Arial" w:hAnsi="Arial" w:cs="Arial"/>
                <w:sz w:val="16"/>
                <w:szCs w:val="16"/>
              </w:rPr>
            </w:pPr>
            <w:r w:rsidRPr="00F45F80">
              <w:rPr>
                <w:rFonts w:ascii="Arial" w:hAnsi="Arial" w:cs="Arial"/>
                <w:sz w:val="16"/>
                <w:szCs w:val="16"/>
              </w:rPr>
              <w:t>$25 per dowel</w:t>
            </w:r>
          </w:p>
        </w:tc>
      </w:tr>
      <w:tr w:rsidR="0042403B" w:rsidRPr="008B546B" w14:paraId="3FC2FAE2" w14:textId="77777777" w:rsidTr="002F3C7B">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1100FA7"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0351ED5"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3077" w:type="dxa"/>
            <w:tcBorders>
              <w:top w:val="nil"/>
              <w:left w:val="nil"/>
              <w:bottom w:val="single" w:sz="4" w:space="0" w:color="auto"/>
              <w:right w:val="single" w:sz="4" w:space="0" w:color="auto"/>
            </w:tcBorders>
            <w:vAlign w:val="center"/>
            <w:hideMark/>
          </w:tcPr>
          <w:p w14:paraId="70ECAED0" w14:textId="77777777" w:rsidR="0042403B" w:rsidRPr="00F45F80" w:rsidRDefault="0042403B" w:rsidP="00BE3F24">
            <w:pPr>
              <w:rPr>
                <w:rFonts w:ascii="Arial" w:hAnsi="Arial" w:cs="Arial"/>
                <w:sz w:val="16"/>
                <w:szCs w:val="16"/>
              </w:rPr>
            </w:pPr>
            <w:r w:rsidRPr="00F45F80">
              <w:rPr>
                <w:rFonts w:ascii="Arial" w:hAnsi="Arial" w:cs="Arial"/>
                <w:sz w:val="16"/>
                <w:szCs w:val="16"/>
              </w:rPr>
              <w:t>Drilling of holes, epoxy grout insertion, bar insertion,</w:t>
            </w:r>
            <w:r>
              <w:rPr>
                <w:rFonts w:ascii="Arial" w:hAnsi="Arial" w:cs="Arial"/>
                <w:sz w:val="16"/>
                <w:szCs w:val="16"/>
              </w:rPr>
              <w:t xml:space="preserve"> </w:t>
            </w:r>
            <w:r w:rsidRPr="00F45F80">
              <w:rPr>
                <w:rFonts w:ascii="Arial" w:hAnsi="Arial" w:cs="Arial"/>
                <w:sz w:val="16"/>
                <w:szCs w:val="16"/>
              </w:rPr>
              <w:t>final grouting and crack sealing if called for.</w:t>
            </w:r>
          </w:p>
        </w:tc>
        <w:tc>
          <w:tcPr>
            <w:tcW w:w="2970" w:type="dxa"/>
            <w:tcBorders>
              <w:top w:val="nil"/>
              <w:left w:val="nil"/>
              <w:bottom w:val="single" w:sz="4" w:space="0" w:color="auto"/>
              <w:right w:val="single" w:sz="4" w:space="0" w:color="auto"/>
            </w:tcBorders>
            <w:vAlign w:val="center"/>
            <w:hideMark/>
          </w:tcPr>
          <w:p w14:paraId="42FB5A46" w14:textId="77777777" w:rsidR="0042403B" w:rsidRPr="00F45F80" w:rsidRDefault="0042403B" w:rsidP="00BE3F24">
            <w:pPr>
              <w:rPr>
                <w:rFonts w:ascii="Arial" w:hAnsi="Arial" w:cs="Arial"/>
                <w:sz w:val="16"/>
                <w:szCs w:val="16"/>
              </w:rPr>
            </w:pPr>
            <w:r w:rsidRPr="00F45F80">
              <w:rPr>
                <w:rFonts w:ascii="Arial" w:hAnsi="Arial" w:cs="Arial"/>
                <w:sz w:val="16"/>
                <w:szCs w:val="16"/>
              </w:rPr>
              <w:t xml:space="preserve">Slot creation and material removal, sand blasting and cleaning, caulking the joint crack, dowel bar placement, repair material placement, and may include diamond grinding and joint sealing. </w:t>
            </w:r>
          </w:p>
        </w:tc>
      </w:tr>
      <w:tr w:rsidR="0042403B" w:rsidRPr="008B546B" w14:paraId="24EE07D9" w14:textId="77777777" w:rsidTr="002F3C7B">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61F869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27A5A0A"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3077" w:type="dxa"/>
            <w:tcBorders>
              <w:top w:val="nil"/>
              <w:left w:val="nil"/>
              <w:bottom w:val="single" w:sz="4" w:space="0" w:color="auto"/>
              <w:right w:val="single" w:sz="4" w:space="0" w:color="auto"/>
            </w:tcBorders>
            <w:vAlign w:val="center"/>
            <w:hideMark/>
          </w:tcPr>
          <w:p w14:paraId="5ADD2B04" w14:textId="77777777" w:rsidR="0042403B" w:rsidRPr="00F45F80" w:rsidRDefault="0042403B" w:rsidP="00BE3F24">
            <w:pPr>
              <w:rPr>
                <w:rFonts w:ascii="Arial" w:hAnsi="Arial" w:cs="Arial"/>
                <w:sz w:val="16"/>
                <w:szCs w:val="16"/>
              </w:rPr>
            </w:pPr>
            <w:r w:rsidRPr="00F45F80">
              <w:rPr>
                <w:rFonts w:ascii="Arial" w:hAnsi="Arial" w:cs="Arial"/>
                <w:sz w:val="16"/>
                <w:szCs w:val="16"/>
              </w:rPr>
              <w:t>MOT</w:t>
            </w:r>
          </w:p>
        </w:tc>
        <w:tc>
          <w:tcPr>
            <w:tcW w:w="2970" w:type="dxa"/>
            <w:tcBorders>
              <w:top w:val="nil"/>
              <w:left w:val="nil"/>
              <w:bottom w:val="single" w:sz="4" w:space="0" w:color="auto"/>
              <w:right w:val="single" w:sz="4" w:space="0" w:color="auto"/>
            </w:tcBorders>
            <w:vAlign w:val="center"/>
            <w:hideMark/>
          </w:tcPr>
          <w:p w14:paraId="71C81C2E" w14:textId="77777777" w:rsidR="0042403B" w:rsidRPr="00F45F80" w:rsidRDefault="0042403B" w:rsidP="00BE3F24">
            <w:pPr>
              <w:rPr>
                <w:rFonts w:ascii="Arial" w:hAnsi="Arial" w:cs="Arial"/>
                <w:sz w:val="16"/>
                <w:szCs w:val="16"/>
              </w:rPr>
            </w:pPr>
            <w:r w:rsidRPr="00F45F80">
              <w:rPr>
                <w:rFonts w:ascii="Arial" w:hAnsi="Arial" w:cs="Arial"/>
                <w:sz w:val="16"/>
                <w:szCs w:val="16"/>
              </w:rPr>
              <w:t>MOT</w:t>
            </w:r>
          </w:p>
        </w:tc>
      </w:tr>
      <w:tr w:rsidR="0042403B" w:rsidRPr="008B546B" w14:paraId="7651187E" w14:textId="77777777" w:rsidTr="002F3C7B">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AAFE27A"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3077" w:type="dxa"/>
            <w:tcBorders>
              <w:top w:val="single" w:sz="4" w:space="0" w:color="auto"/>
              <w:left w:val="nil"/>
              <w:bottom w:val="single" w:sz="4" w:space="0" w:color="auto"/>
              <w:right w:val="single" w:sz="4" w:space="0" w:color="auto"/>
            </w:tcBorders>
            <w:vAlign w:val="center"/>
            <w:hideMark/>
          </w:tcPr>
          <w:p w14:paraId="28904993" w14:textId="77777777" w:rsidR="0042403B" w:rsidRPr="00F45F80" w:rsidRDefault="0042403B" w:rsidP="00BE3F24">
            <w:pPr>
              <w:rPr>
                <w:rFonts w:ascii="Arial" w:hAnsi="Arial" w:cs="Arial"/>
                <w:sz w:val="16"/>
                <w:szCs w:val="16"/>
              </w:rPr>
            </w:pPr>
            <w:r w:rsidRPr="00F45F80">
              <w:rPr>
                <w:rFonts w:ascii="Arial" w:hAnsi="Arial" w:cs="Arial"/>
                <w:sz w:val="16"/>
                <w:szCs w:val="16"/>
              </w:rPr>
              <w:t>10-15 years</w:t>
            </w:r>
          </w:p>
        </w:tc>
        <w:tc>
          <w:tcPr>
            <w:tcW w:w="2970" w:type="dxa"/>
            <w:tcBorders>
              <w:top w:val="nil"/>
              <w:left w:val="nil"/>
              <w:bottom w:val="single" w:sz="4" w:space="0" w:color="auto"/>
              <w:right w:val="single" w:sz="4" w:space="0" w:color="auto"/>
            </w:tcBorders>
            <w:vAlign w:val="center"/>
            <w:hideMark/>
          </w:tcPr>
          <w:p w14:paraId="42634B6B" w14:textId="77777777" w:rsidR="0042403B" w:rsidRPr="00F45F80" w:rsidRDefault="0042403B" w:rsidP="00BE3F24">
            <w:pPr>
              <w:rPr>
                <w:rFonts w:ascii="Arial" w:hAnsi="Arial" w:cs="Arial"/>
                <w:sz w:val="16"/>
                <w:szCs w:val="16"/>
              </w:rPr>
            </w:pPr>
            <w:r w:rsidRPr="00F45F80">
              <w:rPr>
                <w:rFonts w:ascii="Arial" w:hAnsi="Arial" w:cs="Arial"/>
                <w:sz w:val="16"/>
                <w:szCs w:val="16"/>
              </w:rPr>
              <w:t xml:space="preserve">9-10 years (depending on the type of bar being used). However, 7-33 years of pavement life extension have been observed. </w:t>
            </w:r>
          </w:p>
        </w:tc>
      </w:tr>
    </w:tbl>
    <w:p w14:paraId="202584B3" w14:textId="77777777" w:rsidR="0042403B" w:rsidRDefault="0042403B" w:rsidP="00BE3F24">
      <w:pPr>
        <w:rPr>
          <w:rFonts w:ascii="Arial" w:hAnsi="Arial" w:cs="Arial"/>
          <w:b/>
          <w:bCs/>
          <w:kern w:val="32"/>
          <w:sz w:val="28"/>
          <w:szCs w:val="32"/>
          <w:u w:val="single"/>
        </w:rPr>
      </w:pPr>
    </w:p>
    <w:p w14:paraId="5A60824B"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627" w:type="dxa"/>
        <w:tblInd w:w="98" w:type="dxa"/>
        <w:tblLook w:val="04A0" w:firstRow="1" w:lastRow="0" w:firstColumn="1" w:lastColumn="0" w:noHBand="0" w:noVBand="1"/>
      </w:tblPr>
      <w:tblGrid>
        <w:gridCol w:w="1040"/>
        <w:gridCol w:w="1540"/>
        <w:gridCol w:w="6047"/>
      </w:tblGrid>
      <w:tr w:rsidR="0042403B" w:rsidRPr="008B546B" w14:paraId="50DD48B3" w14:textId="77777777" w:rsidTr="002F3C7B">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43736B16" w14:textId="3FF4816A"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1</w:t>
            </w:r>
            <w:r w:rsidR="001A113C">
              <w:rPr>
                <w:rFonts w:ascii="Bell MT" w:hAnsi="Bell MT" w:cs="Calibri"/>
                <w:b/>
                <w:bCs/>
                <w:color w:val="000000"/>
                <w:sz w:val="28"/>
                <w:szCs w:val="28"/>
              </w:rPr>
              <w:t>6</w:t>
            </w:r>
          </w:p>
          <w:p w14:paraId="3DDFFDCA" w14:textId="77777777" w:rsidR="002417C7" w:rsidRDefault="002417C7" w:rsidP="00BE3F24">
            <w:pPr>
              <w:jc w:val="center"/>
              <w:rPr>
                <w:rFonts w:ascii="Bell MT" w:hAnsi="Bell MT" w:cs="Calibri"/>
                <w:b/>
                <w:bCs/>
                <w:color w:val="000000"/>
                <w:sz w:val="28"/>
                <w:szCs w:val="28"/>
              </w:rPr>
            </w:pPr>
          </w:p>
          <w:p w14:paraId="5517FD35"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tcBorders>
              <w:top w:val="single" w:sz="4" w:space="0" w:color="auto"/>
              <w:left w:val="single" w:sz="8" w:space="0" w:color="auto"/>
              <w:bottom w:val="single" w:sz="8" w:space="0" w:color="auto"/>
              <w:right w:val="single" w:sz="4" w:space="0" w:color="auto"/>
            </w:tcBorders>
            <w:vAlign w:val="bottom"/>
            <w:hideMark/>
          </w:tcPr>
          <w:p w14:paraId="1459B765" w14:textId="221584E5" w:rsidR="0042403B" w:rsidRPr="008B546B" w:rsidRDefault="0042403B" w:rsidP="002F3C7B">
            <w:pPr>
              <w:pStyle w:val="Heading3"/>
              <w:ind w:left="1349" w:hanging="1349"/>
            </w:pPr>
            <w:bookmarkStart w:id="79" w:name="_SUPPLEMENTAL_INFORMATION_FOR_17"/>
            <w:bookmarkEnd w:id="79"/>
            <w:r w:rsidRPr="008B546B">
              <w:t>SUPPLEMENTAL INFORMATION FOR TREATMENT</w:t>
            </w:r>
            <w:r>
              <w:t xml:space="preserve"> </w:t>
            </w:r>
            <w:r w:rsidR="001A113C">
              <w:t>F-6</w:t>
            </w:r>
          </w:p>
        </w:tc>
      </w:tr>
      <w:tr w:rsidR="0042403B" w:rsidRPr="008B546B" w14:paraId="47AB0287" w14:textId="77777777" w:rsidTr="002F3C7B">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543ADEE8" w14:textId="77777777" w:rsidR="0042403B" w:rsidRPr="008B546B" w:rsidRDefault="0042403B" w:rsidP="00BE3F24">
            <w:pPr>
              <w:rPr>
                <w:rFonts w:ascii="Bell MT" w:hAnsi="Bell MT" w:cs="Calibri"/>
                <w:b/>
                <w:bCs/>
                <w:color w:val="000000"/>
                <w:sz w:val="28"/>
                <w:szCs w:val="28"/>
              </w:rPr>
            </w:pPr>
          </w:p>
        </w:tc>
        <w:tc>
          <w:tcPr>
            <w:tcW w:w="6047" w:type="dxa"/>
            <w:vMerge w:val="restart"/>
            <w:tcBorders>
              <w:top w:val="nil"/>
              <w:left w:val="single" w:sz="4" w:space="0" w:color="auto"/>
              <w:bottom w:val="single" w:sz="4" w:space="0" w:color="auto"/>
              <w:right w:val="single" w:sz="4" w:space="0" w:color="auto"/>
            </w:tcBorders>
            <w:vAlign w:val="center"/>
            <w:hideMark/>
          </w:tcPr>
          <w:p w14:paraId="718648FD" w14:textId="50218364" w:rsidR="0042403B" w:rsidRDefault="001A113C" w:rsidP="00BE3F24">
            <w:pPr>
              <w:jc w:val="center"/>
              <w:rPr>
                <w:rFonts w:ascii="Arial" w:hAnsi="Arial" w:cs="Arial"/>
                <w:b/>
                <w:bCs/>
                <w:sz w:val="22"/>
                <w:szCs w:val="22"/>
              </w:rPr>
            </w:pPr>
            <w:hyperlink w:anchor="F6_Underseal" w:history="1">
              <w:r>
                <w:rPr>
                  <w:rStyle w:val="Hyperlink"/>
                  <w:rFonts w:ascii="Arial" w:hAnsi="Arial" w:cs="Arial"/>
                  <w:b/>
                  <w:bCs/>
                  <w:sz w:val="22"/>
                  <w:szCs w:val="22"/>
                </w:rPr>
                <w:t>F-6</w:t>
              </w:r>
              <w:r w:rsidR="0042403B" w:rsidRPr="00FF48E5">
                <w:rPr>
                  <w:rStyle w:val="Hyperlink"/>
                  <w:rFonts w:ascii="Arial" w:hAnsi="Arial" w:cs="Arial"/>
                  <w:b/>
                  <w:bCs/>
                  <w:sz w:val="22"/>
                  <w:szCs w:val="22"/>
                </w:rPr>
                <w:t>. Undersealing / Slab Stabilization</w:t>
              </w:r>
            </w:hyperlink>
          </w:p>
        </w:tc>
      </w:tr>
      <w:tr w:rsidR="0042403B" w:rsidRPr="008B546B" w14:paraId="6CD77DE1" w14:textId="77777777" w:rsidTr="002F3C7B">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068CCF2F" w14:textId="77777777" w:rsidR="0042403B" w:rsidRPr="008B546B" w:rsidRDefault="0042403B" w:rsidP="00BE3F24">
            <w:pPr>
              <w:rPr>
                <w:rFonts w:ascii="Bell MT" w:hAnsi="Bell MT" w:cs="Calibri"/>
                <w:b/>
                <w:bCs/>
                <w:color w:val="000000"/>
                <w:sz w:val="28"/>
                <w:szCs w:val="28"/>
              </w:rPr>
            </w:pPr>
          </w:p>
        </w:tc>
        <w:tc>
          <w:tcPr>
            <w:tcW w:w="6047" w:type="dxa"/>
            <w:vMerge/>
            <w:tcBorders>
              <w:top w:val="nil"/>
              <w:left w:val="single" w:sz="4" w:space="0" w:color="auto"/>
              <w:bottom w:val="single" w:sz="4" w:space="0" w:color="auto"/>
              <w:right w:val="single" w:sz="4" w:space="0" w:color="auto"/>
            </w:tcBorders>
            <w:vAlign w:val="center"/>
            <w:hideMark/>
          </w:tcPr>
          <w:p w14:paraId="62F50541" w14:textId="77777777" w:rsidR="0042403B" w:rsidRPr="008B546B" w:rsidRDefault="0042403B" w:rsidP="00BE3F24">
            <w:pPr>
              <w:rPr>
                <w:rFonts w:ascii="Arial" w:hAnsi="Arial" w:cs="Arial"/>
                <w:b/>
                <w:bCs/>
                <w:color w:val="000000"/>
                <w:sz w:val="22"/>
                <w:szCs w:val="22"/>
              </w:rPr>
            </w:pPr>
          </w:p>
        </w:tc>
      </w:tr>
      <w:tr w:rsidR="0042403B" w:rsidRPr="008B546B" w14:paraId="3767DCEF" w14:textId="77777777" w:rsidTr="002F3C7B">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220516D4"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384980AF"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6047" w:type="dxa"/>
            <w:tcBorders>
              <w:top w:val="nil"/>
              <w:left w:val="nil"/>
              <w:bottom w:val="single" w:sz="4" w:space="0" w:color="auto"/>
              <w:right w:val="single" w:sz="4" w:space="0" w:color="auto"/>
            </w:tcBorders>
            <w:vAlign w:val="center"/>
            <w:hideMark/>
          </w:tcPr>
          <w:p w14:paraId="76DA7FDB"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390E5FC3"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69397B7"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730079F" w14:textId="1850BC9B"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6047" w:type="dxa"/>
            <w:tcBorders>
              <w:top w:val="nil"/>
              <w:left w:val="nil"/>
              <w:bottom w:val="single" w:sz="4" w:space="0" w:color="auto"/>
              <w:right w:val="single" w:sz="4" w:space="0" w:color="auto"/>
            </w:tcBorders>
            <w:vAlign w:val="center"/>
            <w:hideMark/>
          </w:tcPr>
          <w:p w14:paraId="58A124D2" w14:textId="77777777" w:rsidR="0042403B" w:rsidRDefault="0042403B" w:rsidP="00BE3F24">
            <w:pPr>
              <w:jc w:val="center"/>
              <w:rPr>
                <w:rFonts w:ascii="Arial" w:hAnsi="Arial" w:cs="Arial"/>
                <w:b/>
                <w:bCs/>
                <w:color w:val="000000"/>
                <w:sz w:val="16"/>
                <w:szCs w:val="16"/>
              </w:rPr>
            </w:pPr>
          </w:p>
        </w:tc>
      </w:tr>
      <w:tr w:rsidR="0042403B" w:rsidRPr="008B546B" w14:paraId="3965745A"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77C7CA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DC6F113" w14:textId="6C603AFB"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6047" w:type="dxa"/>
            <w:tcBorders>
              <w:top w:val="nil"/>
              <w:left w:val="nil"/>
              <w:bottom w:val="single" w:sz="4" w:space="0" w:color="auto"/>
              <w:right w:val="single" w:sz="4" w:space="0" w:color="auto"/>
            </w:tcBorders>
            <w:vAlign w:val="center"/>
            <w:hideMark/>
          </w:tcPr>
          <w:p w14:paraId="541B6102" w14:textId="77777777" w:rsidR="0042403B" w:rsidRDefault="0042403B" w:rsidP="00BE3F24">
            <w:pPr>
              <w:jc w:val="center"/>
              <w:rPr>
                <w:rFonts w:ascii="Arial" w:hAnsi="Arial" w:cs="Arial"/>
                <w:b/>
                <w:bCs/>
                <w:color w:val="000000"/>
                <w:sz w:val="16"/>
                <w:szCs w:val="16"/>
              </w:rPr>
            </w:pPr>
          </w:p>
        </w:tc>
      </w:tr>
      <w:tr w:rsidR="0042403B" w:rsidRPr="008B546B" w14:paraId="668661BB"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42D666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CBD6E3B"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6047" w:type="dxa"/>
            <w:tcBorders>
              <w:top w:val="nil"/>
              <w:left w:val="nil"/>
              <w:bottom w:val="single" w:sz="4" w:space="0" w:color="auto"/>
              <w:right w:val="single" w:sz="4" w:space="0" w:color="auto"/>
            </w:tcBorders>
            <w:vAlign w:val="center"/>
            <w:hideMark/>
          </w:tcPr>
          <w:p w14:paraId="6A3AA2D9" w14:textId="77777777" w:rsidR="0042403B" w:rsidRDefault="0042403B" w:rsidP="00BE3F24">
            <w:pPr>
              <w:jc w:val="center"/>
              <w:rPr>
                <w:rFonts w:ascii="Arial" w:hAnsi="Arial" w:cs="Arial"/>
                <w:b/>
                <w:bCs/>
                <w:color w:val="000000"/>
                <w:sz w:val="16"/>
                <w:szCs w:val="16"/>
              </w:rPr>
            </w:pPr>
          </w:p>
        </w:tc>
      </w:tr>
      <w:tr w:rsidR="0042403B" w:rsidRPr="008B546B" w14:paraId="1082CD55"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C60294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01CB402"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6047" w:type="dxa"/>
            <w:tcBorders>
              <w:top w:val="nil"/>
              <w:left w:val="nil"/>
              <w:bottom w:val="single" w:sz="4" w:space="0" w:color="auto"/>
              <w:right w:val="single" w:sz="4" w:space="0" w:color="auto"/>
            </w:tcBorders>
            <w:vAlign w:val="center"/>
            <w:hideMark/>
          </w:tcPr>
          <w:p w14:paraId="08326614" w14:textId="77777777" w:rsidR="0042403B" w:rsidRDefault="0042403B" w:rsidP="00BE3F24">
            <w:pPr>
              <w:jc w:val="center"/>
              <w:rPr>
                <w:rFonts w:ascii="Arial" w:hAnsi="Arial" w:cs="Arial"/>
                <w:b/>
                <w:bCs/>
                <w:color w:val="000000"/>
                <w:sz w:val="16"/>
                <w:szCs w:val="16"/>
              </w:rPr>
            </w:pPr>
          </w:p>
        </w:tc>
      </w:tr>
      <w:tr w:rsidR="0042403B" w:rsidRPr="008B546B" w14:paraId="56ED71CE" w14:textId="77777777" w:rsidTr="002F3C7B">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50BF4F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6C1A5B0"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6047" w:type="dxa"/>
            <w:tcBorders>
              <w:top w:val="nil"/>
              <w:left w:val="nil"/>
              <w:bottom w:val="single" w:sz="4" w:space="0" w:color="auto"/>
              <w:right w:val="single" w:sz="4" w:space="0" w:color="auto"/>
            </w:tcBorders>
            <w:vAlign w:val="center"/>
            <w:hideMark/>
          </w:tcPr>
          <w:p w14:paraId="3DFE1160" w14:textId="77777777" w:rsidR="0042403B" w:rsidRDefault="0042403B" w:rsidP="00BE3F24">
            <w:pPr>
              <w:jc w:val="center"/>
              <w:rPr>
                <w:rFonts w:ascii="Arial" w:hAnsi="Arial" w:cs="Arial"/>
                <w:b/>
                <w:bCs/>
                <w:color w:val="000000"/>
                <w:sz w:val="16"/>
                <w:szCs w:val="16"/>
              </w:rPr>
            </w:pPr>
          </w:p>
        </w:tc>
      </w:tr>
      <w:tr w:rsidR="0042403B" w:rsidRPr="008B546B" w14:paraId="1D6E1A27" w14:textId="77777777" w:rsidTr="002F3C7B">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E33D52F" w14:textId="42C3A39F"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6047" w:type="dxa"/>
            <w:tcBorders>
              <w:top w:val="nil"/>
              <w:left w:val="nil"/>
              <w:bottom w:val="single" w:sz="4" w:space="0" w:color="auto"/>
              <w:right w:val="single" w:sz="4" w:space="0" w:color="auto"/>
            </w:tcBorders>
            <w:hideMark/>
          </w:tcPr>
          <w:p w14:paraId="558654C0" w14:textId="77777777" w:rsidR="0042403B" w:rsidRPr="00F45F80" w:rsidRDefault="0042403B" w:rsidP="00BE3F24">
            <w:pPr>
              <w:rPr>
                <w:rFonts w:ascii="Arial" w:hAnsi="Arial" w:cs="Arial"/>
                <w:sz w:val="16"/>
                <w:szCs w:val="16"/>
              </w:rPr>
            </w:pPr>
            <w:r w:rsidRPr="00F45F80">
              <w:rPr>
                <w:rFonts w:ascii="Arial" w:hAnsi="Arial" w:cs="Arial"/>
                <w:sz w:val="16"/>
                <w:szCs w:val="16"/>
              </w:rPr>
              <w:t>See Definition</w:t>
            </w:r>
          </w:p>
        </w:tc>
      </w:tr>
      <w:tr w:rsidR="0042403B" w:rsidRPr="008B546B" w14:paraId="3F076C00" w14:textId="77777777" w:rsidTr="002F3C7B">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23EDF9D3" w14:textId="6668EF1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6047" w:type="dxa"/>
            <w:tcBorders>
              <w:top w:val="nil"/>
              <w:left w:val="nil"/>
              <w:bottom w:val="single" w:sz="4" w:space="0" w:color="auto"/>
              <w:right w:val="single" w:sz="4" w:space="0" w:color="auto"/>
            </w:tcBorders>
            <w:hideMark/>
          </w:tcPr>
          <w:p w14:paraId="7B95DB35" w14:textId="77777777" w:rsidR="0042403B" w:rsidRPr="00F45F80" w:rsidRDefault="0042403B" w:rsidP="00BE3F24">
            <w:pPr>
              <w:rPr>
                <w:rFonts w:ascii="Arial" w:hAnsi="Arial" w:cs="Arial"/>
                <w:sz w:val="16"/>
                <w:szCs w:val="16"/>
              </w:rPr>
            </w:pPr>
            <w:r w:rsidRPr="00F45F80">
              <w:rPr>
                <w:rFonts w:ascii="Arial" w:hAnsi="Arial" w:cs="Arial"/>
                <w:sz w:val="16"/>
                <w:szCs w:val="16"/>
              </w:rPr>
              <w:t>1. Overfilling voids may lead to worse problems than leaving them unfilled. Slab lift must be closely monitored to avoid damaging the slabs.</w:t>
            </w:r>
          </w:p>
        </w:tc>
      </w:tr>
      <w:tr w:rsidR="0042403B" w:rsidRPr="008B546B" w14:paraId="34623F52" w14:textId="77777777" w:rsidTr="002F3C7B">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1AC71DA2"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63C89D53"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6047" w:type="dxa"/>
            <w:vMerge w:val="restart"/>
            <w:tcBorders>
              <w:top w:val="nil"/>
              <w:left w:val="nil"/>
              <w:right w:val="single" w:sz="4" w:space="0" w:color="auto"/>
            </w:tcBorders>
            <w:vAlign w:val="center"/>
            <w:hideMark/>
          </w:tcPr>
          <w:p w14:paraId="22487250" w14:textId="6026AE15" w:rsidR="0042403B" w:rsidRPr="00F45F80" w:rsidRDefault="0042403B" w:rsidP="00BE3F24">
            <w:pPr>
              <w:rPr>
                <w:rFonts w:ascii="Arial" w:hAnsi="Arial" w:cs="Arial"/>
                <w:sz w:val="16"/>
                <w:szCs w:val="16"/>
              </w:rPr>
            </w:pPr>
            <w:r w:rsidRPr="00F45F80">
              <w:rPr>
                <w:rFonts w:ascii="Arial" w:hAnsi="Arial" w:cs="Arial"/>
                <w:sz w:val="16"/>
                <w:szCs w:val="16"/>
              </w:rPr>
              <w:t>Cement Fly-Ash Grout Undersealing: $0.90</w:t>
            </w:r>
            <w:r w:rsidR="006021E1" w:rsidRPr="002F3C7B">
              <w:rPr>
                <w:rFonts w:ascii="Arial" w:hAnsi="Arial"/>
                <w:color w:val="000000"/>
                <w:sz w:val="16"/>
              </w:rPr>
              <w:t xml:space="preserve"> </w:t>
            </w:r>
            <w:r w:rsidR="006021E1">
              <w:rPr>
                <w:rFonts w:ascii="Arial" w:hAnsi="Arial" w:cs="Arial"/>
                <w:color w:val="000000"/>
                <w:sz w:val="16"/>
                <w:szCs w:val="16"/>
              </w:rPr>
              <w:t>–</w:t>
            </w:r>
            <w:r w:rsidR="006021E1" w:rsidRPr="002F3C7B">
              <w:rPr>
                <w:rFonts w:ascii="Arial" w:hAnsi="Arial"/>
                <w:color w:val="000000"/>
                <w:sz w:val="16"/>
              </w:rPr>
              <w:t xml:space="preserve"> </w:t>
            </w:r>
            <w:r w:rsidRPr="00F45F80">
              <w:rPr>
                <w:rFonts w:ascii="Arial" w:hAnsi="Arial" w:cs="Arial"/>
                <w:sz w:val="16"/>
                <w:szCs w:val="16"/>
              </w:rPr>
              <w:t>$1 /SY</w:t>
            </w:r>
            <w:r w:rsidRPr="00F45F80">
              <w:rPr>
                <w:rFonts w:ascii="Arial" w:hAnsi="Arial" w:cs="Arial"/>
                <w:sz w:val="16"/>
                <w:szCs w:val="16"/>
              </w:rPr>
              <w:br/>
              <w:t>Asphalt Undersealing: $0.45</w:t>
            </w:r>
            <w:r w:rsidR="006021E1" w:rsidRPr="002F3C7B">
              <w:rPr>
                <w:rFonts w:ascii="Arial" w:hAnsi="Arial"/>
                <w:color w:val="000000"/>
                <w:sz w:val="16"/>
              </w:rPr>
              <w:t xml:space="preserve"> </w:t>
            </w:r>
            <w:r w:rsidR="006021E1">
              <w:rPr>
                <w:rFonts w:ascii="Arial" w:hAnsi="Arial" w:cs="Arial"/>
                <w:color w:val="000000"/>
                <w:sz w:val="16"/>
                <w:szCs w:val="16"/>
              </w:rPr>
              <w:t>– $</w:t>
            </w:r>
            <w:r w:rsidRPr="00F45F80">
              <w:rPr>
                <w:rFonts w:ascii="Arial" w:hAnsi="Arial" w:cs="Arial"/>
                <w:sz w:val="16"/>
                <w:szCs w:val="16"/>
              </w:rPr>
              <w:t>0.50 /SY</w:t>
            </w:r>
          </w:p>
          <w:p w14:paraId="505635E3" w14:textId="77777777" w:rsidR="0042403B" w:rsidRPr="00F45F80" w:rsidRDefault="0042403B" w:rsidP="00BE3F24">
            <w:pPr>
              <w:rPr>
                <w:rFonts w:ascii="Arial" w:hAnsi="Arial" w:cs="Arial"/>
                <w:sz w:val="16"/>
                <w:szCs w:val="16"/>
              </w:rPr>
            </w:pPr>
          </w:p>
          <w:p w14:paraId="165E229B" w14:textId="77777777" w:rsidR="0042403B" w:rsidRPr="00F45F80" w:rsidRDefault="0042403B" w:rsidP="00BE3F24">
            <w:pPr>
              <w:rPr>
                <w:rFonts w:ascii="Arial" w:hAnsi="Arial" w:cs="Arial"/>
                <w:sz w:val="16"/>
                <w:szCs w:val="16"/>
              </w:rPr>
            </w:pPr>
            <w:r w:rsidRPr="00F45F80">
              <w:rPr>
                <w:rFonts w:ascii="Arial" w:hAnsi="Arial" w:cs="Arial"/>
                <w:sz w:val="16"/>
                <w:szCs w:val="16"/>
              </w:rPr>
              <w:t>Comment: This is usually bid by the ton.  Costs vary widely.  These numbers are low.</w:t>
            </w:r>
          </w:p>
        </w:tc>
      </w:tr>
      <w:tr w:rsidR="0042403B" w:rsidRPr="008B546B" w14:paraId="3813B81A" w14:textId="77777777" w:rsidTr="002F3C7B">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823EA4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4E0910B"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6047" w:type="dxa"/>
            <w:vMerge/>
            <w:tcBorders>
              <w:left w:val="nil"/>
              <w:right w:val="single" w:sz="4" w:space="0" w:color="auto"/>
            </w:tcBorders>
            <w:vAlign w:val="center"/>
            <w:hideMark/>
          </w:tcPr>
          <w:p w14:paraId="4629439D" w14:textId="77777777" w:rsidR="0042403B" w:rsidRDefault="0042403B" w:rsidP="00BE3F24">
            <w:pPr>
              <w:rPr>
                <w:rFonts w:ascii="Arial" w:hAnsi="Arial" w:cs="Arial"/>
                <w:color w:val="000000"/>
                <w:sz w:val="16"/>
                <w:szCs w:val="16"/>
              </w:rPr>
            </w:pPr>
          </w:p>
        </w:tc>
      </w:tr>
      <w:tr w:rsidR="0042403B" w:rsidRPr="008B546B" w14:paraId="574B12AE" w14:textId="77777777" w:rsidTr="002F3C7B">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78A7DA8"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703896C"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6047" w:type="dxa"/>
            <w:vMerge/>
            <w:tcBorders>
              <w:left w:val="nil"/>
              <w:bottom w:val="single" w:sz="4" w:space="0" w:color="auto"/>
              <w:right w:val="single" w:sz="4" w:space="0" w:color="auto"/>
            </w:tcBorders>
            <w:vAlign w:val="center"/>
            <w:hideMark/>
          </w:tcPr>
          <w:p w14:paraId="6DBBC395" w14:textId="77777777" w:rsidR="0042403B" w:rsidRDefault="0042403B" w:rsidP="00BE3F24">
            <w:pPr>
              <w:rPr>
                <w:rFonts w:ascii="Arial" w:hAnsi="Arial" w:cs="Arial"/>
                <w:color w:val="000000"/>
                <w:sz w:val="16"/>
                <w:szCs w:val="16"/>
              </w:rPr>
            </w:pPr>
          </w:p>
        </w:tc>
      </w:tr>
      <w:tr w:rsidR="0042403B" w:rsidRPr="008B546B" w14:paraId="322B79D7" w14:textId="77777777" w:rsidTr="002F3C7B">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618783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3C9FD54"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6047" w:type="dxa"/>
            <w:tcBorders>
              <w:top w:val="nil"/>
              <w:left w:val="nil"/>
              <w:bottom w:val="single" w:sz="4" w:space="0" w:color="auto"/>
              <w:right w:val="single" w:sz="4" w:space="0" w:color="auto"/>
            </w:tcBorders>
            <w:vAlign w:val="center"/>
            <w:hideMark/>
          </w:tcPr>
          <w:p w14:paraId="17083D7C" w14:textId="46F1467A" w:rsidR="0042403B" w:rsidRPr="00F45F80" w:rsidRDefault="0042403B" w:rsidP="00BE3F24">
            <w:pPr>
              <w:rPr>
                <w:rFonts w:ascii="Arial" w:hAnsi="Arial" w:cs="Arial"/>
                <w:sz w:val="16"/>
                <w:szCs w:val="16"/>
              </w:rPr>
            </w:pPr>
            <w:r w:rsidRPr="00F45F80">
              <w:rPr>
                <w:rFonts w:ascii="Arial" w:hAnsi="Arial" w:cs="Arial"/>
                <w:sz w:val="16"/>
                <w:szCs w:val="16"/>
              </w:rPr>
              <w:t>1. Cost depends on the material used, the extent and size of the voids</w:t>
            </w:r>
            <w:r w:rsidR="006021E1">
              <w:rPr>
                <w:rFonts w:ascii="Arial" w:hAnsi="Arial" w:cs="Arial"/>
                <w:sz w:val="16"/>
                <w:szCs w:val="16"/>
              </w:rPr>
              <w:t>,</w:t>
            </w:r>
            <w:r w:rsidRPr="00F45F80">
              <w:rPr>
                <w:rFonts w:ascii="Arial" w:hAnsi="Arial" w:cs="Arial"/>
                <w:sz w:val="16"/>
                <w:szCs w:val="16"/>
              </w:rPr>
              <w:t xml:space="preserve"> and the size of the project.</w:t>
            </w:r>
            <w:r w:rsidRPr="00F45F80">
              <w:rPr>
                <w:rFonts w:ascii="Arial" w:hAnsi="Arial" w:cs="Arial"/>
                <w:sz w:val="16"/>
                <w:szCs w:val="16"/>
              </w:rPr>
              <w:br/>
              <w:t xml:space="preserve">2. Drilling </w:t>
            </w:r>
            <w:r w:rsidR="006021E1">
              <w:rPr>
                <w:rFonts w:ascii="Arial" w:hAnsi="Arial" w:cs="Arial"/>
                <w:sz w:val="16"/>
                <w:szCs w:val="16"/>
              </w:rPr>
              <w:t>i</w:t>
            </w:r>
            <w:r w:rsidRPr="00F45F80">
              <w:rPr>
                <w:rFonts w:ascii="Arial" w:hAnsi="Arial" w:cs="Arial"/>
                <w:sz w:val="16"/>
                <w:szCs w:val="16"/>
              </w:rPr>
              <w:t>njection holes, injection of material</w:t>
            </w:r>
            <w:r w:rsidR="006021E1">
              <w:rPr>
                <w:rFonts w:ascii="Arial" w:hAnsi="Arial" w:cs="Arial"/>
                <w:sz w:val="16"/>
                <w:szCs w:val="16"/>
              </w:rPr>
              <w:t>,</w:t>
            </w:r>
            <w:r w:rsidRPr="00F45F80">
              <w:rPr>
                <w:rFonts w:ascii="Arial" w:hAnsi="Arial" w:cs="Arial"/>
                <w:sz w:val="16"/>
                <w:szCs w:val="16"/>
              </w:rPr>
              <w:t xml:space="preserve"> and plugging holes.</w:t>
            </w:r>
          </w:p>
        </w:tc>
      </w:tr>
      <w:tr w:rsidR="0042403B" w:rsidRPr="008B546B" w14:paraId="4A60588B" w14:textId="77777777" w:rsidTr="002F3C7B">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48EE04F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E4286F2"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6047" w:type="dxa"/>
            <w:tcBorders>
              <w:top w:val="nil"/>
              <w:left w:val="nil"/>
              <w:bottom w:val="single" w:sz="4" w:space="0" w:color="auto"/>
              <w:right w:val="single" w:sz="4" w:space="0" w:color="auto"/>
            </w:tcBorders>
            <w:vAlign w:val="center"/>
            <w:hideMark/>
          </w:tcPr>
          <w:p w14:paraId="0387B161" w14:textId="7D0C72E5" w:rsidR="006021E1" w:rsidRDefault="006021E1" w:rsidP="002F3C7B">
            <w:pPr>
              <w:rPr>
                <w:rFonts w:ascii="Arial" w:hAnsi="Arial" w:cs="Arial"/>
                <w:sz w:val="16"/>
                <w:szCs w:val="16"/>
              </w:rPr>
            </w:pPr>
            <w:r w:rsidRPr="006021E1">
              <w:rPr>
                <w:rFonts w:ascii="Arial" w:hAnsi="Arial" w:cs="Arial"/>
                <w:sz w:val="16"/>
                <w:szCs w:val="16"/>
              </w:rPr>
              <w:t>1.</w:t>
            </w:r>
            <w:r>
              <w:rPr>
                <w:rFonts w:ascii="Arial" w:hAnsi="Arial" w:cs="Arial"/>
                <w:sz w:val="16"/>
                <w:szCs w:val="16"/>
              </w:rPr>
              <w:t xml:space="preserve"> </w:t>
            </w:r>
            <w:r w:rsidRPr="006021E1">
              <w:rPr>
                <w:rFonts w:ascii="Arial" w:hAnsi="Arial" w:cs="Arial"/>
                <w:sz w:val="16"/>
                <w:szCs w:val="16"/>
              </w:rPr>
              <w:t>FWD</w:t>
            </w:r>
            <w:r>
              <w:rPr>
                <w:rFonts w:ascii="Arial" w:hAnsi="Arial" w:cs="Arial"/>
                <w:sz w:val="16"/>
                <w:szCs w:val="16"/>
              </w:rPr>
              <w:t xml:space="preserve"> testing to detect voids.</w:t>
            </w:r>
          </w:p>
          <w:p w14:paraId="73F64920" w14:textId="7E6D32E2" w:rsidR="001A15B9" w:rsidRPr="002F3C7B" w:rsidRDefault="006021E1" w:rsidP="002F3C7B">
            <w:r>
              <w:rPr>
                <w:rFonts w:ascii="Arial" w:hAnsi="Arial" w:cs="Arial"/>
                <w:sz w:val="16"/>
                <w:szCs w:val="16"/>
              </w:rPr>
              <w:t>2. MOT.</w:t>
            </w:r>
          </w:p>
        </w:tc>
      </w:tr>
      <w:tr w:rsidR="0042403B" w:rsidRPr="008B546B" w14:paraId="4831888F" w14:textId="77777777" w:rsidTr="002F3C7B">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D31B984" w14:textId="6C9596C8"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6047" w:type="dxa"/>
            <w:tcBorders>
              <w:top w:val="single" w:sz="4" w:space="0" w:color="auto"/>
              <w:left w:val="nil"/>
              <w:bottom w:val="single" w:sz="4" w:space="0" w:color="auto"/>
              <w:right w:val="single" w:sz="4" w:space="0" w:color="auto"/>
            </w:tcBorders>
            <w:vAlign w:val="center"/>
            <w:hideMark/>
          </w:tcPr>
          <w:p w14:paraId="27A6E1CF" w14:textId="77777777" w:rsidR="0042403B" w:rsidRDefault="0042403B" w:rsidP="00BE3F24">
            <w:pPr>
              <w:rPr>
                <w:rFonts w:ascii="Arial" w:hAnsi="Arial" w:cs="Arial"/>
                <w:color w:val="000000"/>
                <w:sz w:val="16"/>
                <w:szCs w:val="16"/>
              </w:rPr>
            </w:pPr>
            <w:r w:rsidRPr="00F45F80">
              <w:rPr>
                <w:rFonts w:ascii="Arial" w:hAnsi="Arial" w:cs="Arial"/>
                <w:sz w:val="16"/>
                <w:szCs w:val="16"/>
              </w:rPr>
              <w:t>Extremely variable performance</w:t>
            </w:r>
          </w:p>
        </w:tc>
      </w:tr>
    </w:tbl>
    <w:p w14:paraId="2F509EEE"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627" w:type="dxa"/>
        <w:tblInd w:w="98" w:type="dxa"/>
        <w:tblLayout w:type="fixed"/>
        <w:tblLook w:val="04A0" w:firstRow="1" w:lastRow="0" w:firstColumn="1" w:lastColumn="0" w:noHBand="0" w:noVBand="1"/>
      </w:tblPr>
      <w:tblGrid>
        <w:gridCol w:w="1040"/>
        <w:gridCol w:w="1540"/>
        <w:gridCol w:w="2807"/>
        <w:gridCol w:w="3240"/>
      </w:tblGrid>
      <w:tr w:rsidR="0042403B" w:rsidRPr="008B546B" w14:paraId="0F923D11" w14:textId="77777777" w:rsidTr="006A4B9E">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42EDE727" w14:textId="375EA4DD"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sidR="00A57651">
              <w:rPr>
                <w:rFonts w:ascii="Bell MT" w:hAnsi="Bell MT" w:cs="Calibri"/>
                <w:b/>
                <w:bCs/>
                <w:color w:val="000000"/>
                <w:sz w:val="28"/>
                <w:szCs w:val="28"/>
              </w:rPr>
              <w:t>17</w:t>
            </w:r>
          </w:p>
          <w:p w14:paraId="3BC9A314" w14:textId="77777777" w:rsidR="002417C7" w:rsidRDefault="002417C7" w:rsidP="00BE3F24">
            <w:pPr>
              <w:jc w:val="center"/>
              <w:rPr>
                <w:rFonts w:ascii="Bell MT" w:hAnsi="Bell MT" w:cs="Calibri"/>
                <w:b/>
                <w:bCs/>
                <w:color w:val="000000"/>
                <w:sz w:val="28"/>
                <w:szCs w:val="28"/>
              </w:rPr>
            </w:pPr>
          </w:p>
          <w:p w14:paraId="4181FCEC"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32D0CE97" w14:textId="7EE0FCDC" w:rsidR="0042403B" w:rsidRPr="008B546B" w:rsidRDefault="0042403B" w:rsidP="006A4B9E">
            <w:pPr>
              <w:pStyle w:val="Heading3"/>
              <w:ind w:left="1349" w:hanging="1349"/>
            </w:pPr>
            <w:bookmarkStart w:id="80" w:name="_SUPPLEMENTAL_INFORMATION_FOR_18"/>
            <w:bookmarkEnd w:id="80"/>
            <w:r w:rsidRPr="008B546B">
              <w:t>SUPPLEMENTAL INFORMATION FOR TREATMENT</w:t>
            </w:r>
            <w:r>
              <w:t xml:space="preserve">S </w:t>
            </w:r>
            <w:r w:rsidR="00A57651">
              <w:t>G</w:t>
            </w:r>
            <w:r>
              <w:t xml:space="preserve">-1, </w:t>
            </w:r>
            <w:r w:rsidR="00A57651">
              <w:t>G</w:t>
            </w:r>
            <w:r>
              <w:t>-2</w:t>
            </w:r>
            <w:r w:rsidRPr="008B546B">
              <w:t> </w:t>
            </w:r>
          </w:p>
        </w:tc>
      </w:tr>
      <w:tr w:rsidR="0042403B" w:rsidRPr="008B546B" w14:paraId="1BAD5259" w14:textId="77777777" w:rsidTr="006A4B9E">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783D7037" w14:textId="77777777" w:rsidR="0042403B" w:rsidRPr="008B546B" w:rsidRDefault="0042403B" w:rsidP="00BE3F24">
            <w:pPr>
              <w:rPr>
                <w:rFonts w:ascii="Bell MT" w:hAnsi="Bell MT" w:cs="Calibri"/>
                <w:b/>
                <w:bCs/>
                <w:color w:val="000000"/>
                <w:sz w:val="28"/>
                <w:szCs w:val="28"/>
              </w:rPr>
            </w:pPr>
          </w:p>
        </w:tc>
        <w:tc>
          <w:tcPr>
            <w:tcW w:w="2807" w:type="dxa"/>
            <w:vMerge w:val="restart"/>
            <w:tcBorders>
              <w:top w:val="nil"/>
              <w:left w:val="single" w:sz="4" w:space="0" w:color="auto"/>
              <w:bottom w:val="single" w:sz="4" w:space="0" w:color="auto"/>
              <w:right w:val="single" w:sz="4" w:space="0" w:color="auto"/>
            </w:tcBorders>
            <w:vAlign w:val="center"/>
            <w:hideMark/>
          </w:tcPr>
          <w:p w14:paraId="6806F347" w14:textId="120D61C3" w:rsidR="0042403B" w:rsidRDefault="00A57651" w:rsidP="00BE3F24">
            <w:pPr>
              <w:jc w:val="center"/>
              <w:rPr>
                <w:rFonts w:ascii="Arial" w:hAnsi="Arial" w:cs="Arial"/>
                <w:b/>
                <w:bCs/>
                <w:sz w:val="22"/>
                <w:szCs w:val="22"/>
              </w:rPr>
            </w:pPr>
            <w:hyperlink w:anchor="G1_Diamond_Grind" w:history="1">
              <w:r>
                <w:rPr>
                  <w:rStyle w:val="Hyperlink"/>
                  <w:rFonts w:ascii="Arial" w:hAnsi="Arial" w:cs="Arial"/>
                  <w:b/>
                  <w:bCs/>
                  <w:sz w:val="22"/>
                  <w:szCs w:val="22"/>
                </w:rPr>
                <w:t>G</w:t>
              </w:r>
              <w:r w:rsidR="0042403B" w:rsidRPr="00917730">
                <w:rPr>
                  <w:rStyle w:val="Hyperlink"/>
                  <w:rFonts w:ascii="Arial" w:hAnsi="Arial" w:cs="Arial"/>
                  <w:b/>
                  <w:bCs/>
                  <w:sz w:val="22"/>
                  <w:szCs w:val="22"/>
                </w:rPr>
                <w:t>-1. Diamond Grinding</w:t>
              </w:r>
            </w:hyperlink>
          </w:p>
        </w:tc>
        <w:tc>
          <w:tcPr>
            <w:tcW w:w="3240" w:type="dxa"/>
            <w:vMerge w:val="restart"/>
            <w:tcBorders>
              <w:top w:val="nil"/>
              <w:left w:val="nil"/>
              <w:bottom w:val="single" w:sz="4" w:space="0" w:color="000000"/>
              <w:right w:val="single" w:sz="4" w:space="0" w:color="auto"/>
            </w:tcBorders>
            <w:vAlign w:val="center"/>
            <w:hideMark/>
          </w:tcPr>
          <w:p w14:paraId="0BE64337" w14:textId="49900C7B" w:rsidR="0042403B" w:rsidRDefault="00A57651" w:rsidP="00BE3F24">
            <w:pPr>
              <w:jc w:val="center"/>
              <w:rPr>
                <w:rFonts w:ascii="Arial" w:hAnsi="Arial" w:cs="Arial"/>
                <w:b/>
                <w:bCs/>
                <w:sz w:val="22"/>
                <w:szCs w:val="22"/>
              </w:rPr>
            </w:pPr>
            <w:hyperlink w:anchor="G2_Surface_Abrasion" w:history="1">
              <w:r>
                <w:rPr>
                  <w:rStyle w:val="Hyperlink"/>
                  <w:rFonts w:ascii="Arial" w:hAnsi="Arial" w:cs="Arial"/>
                  <w:b/>
                  <w:bCs/>
                  <w:sz w:val="22"/>
                  <w:szCs w:val="22"/>
                </w:rPr>
                <w:t>G-2</w:t>
              </w:r>
              <w:r w:rsidRPr="00917730">
                <w:rPr>
                  <w:rStyle w:val="Hyperlink"/>
                  <w:rFonts w:ascii="Arial" w:hAnsi="Arial" w:cs="Arial"/>
                  <w:b/>
                  <w:bCs/>
                  <w:sz w:val="22"/>
                  <w:szCs w:val="22"/>
                </w:rPr>
                <w:t>. Surface Abrasion</w:t>
              </w:r>
            </w:hyperlink>
          </w:p>
        </w:tc>
      </w:tr>
      <w:tr w:rsidR="0042403B" w:rsidRPr="008B546B" w14:paraId="1D0295ED" w14:textId="77777777" w:rsidTr="006A4B9E">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633CF11A" w14:textId="77777777" w:rsidR="0042403B" w:rsidRPr="008B546B" w:rsidRDefault="0042403B" w:rsidP="00BE3F24">
            <w:pPr>
              <w:rPr>
                <w:rFonts w:ascii="Bell MT" w:hAnsi="Bell MT" w:cs="Calibri"/>
                <w:b/>
                <w:bCs/>
                <w:color w:val="000000"/>
                <w:sz w:val="28"/>
                <w:szCs w:val="28"/>
              </w:rPr>
            </w:pPr>
          </w:p>
        </w:tc>
        <w:tc>
          <w:tcPr>
            <w:tcW w:w="2807" w:type="dxa"/>
            <w:vMerge/>
            <w:tcBorders>
              <w:top w:val="nil"/>
              <w:left w:val="single" w:sz="4" w:space="0" w:color="auto"/>
              <w:bottom w:val="single" w:sz="4" w:space="0" w:color="auto"/>
              <w:right w:val="single" w:sz="4" w:space="0" w:color="auto"/>
            </w:tcBorders>
            <w:vAlign w:val="center"/>
            <w:hideMark/>
          </w:tcPr>
          <w:p w14:paraId="33FA6B4E" w14:textId="77777777" w:rsidR="0042403B" w:rsidRPr="008B546B" w:rsidRDefault="0042403B" w:rsidP="00BE3F24">
            <w:pPr>
              <w:rPr>
                <w:rFonts w:ascii="Arial" w:hAnsi="Arial" w:cs="Arial"/>
                <w:b/>
                <w:bCs/>
                <w:color w:val="000000"/>
                <w:sz w:val="22"/>
                <w:szCs w:val="22"/>
              </w:rPr>
            </w:pPr>
          </w:p>
        </w:tc>
        <w:tc>
          <w:tcPr>
            <w:tcW w:w="3240" w:type="dxa"/>
            <w:vMerge/>
            <w:tcBorders>
              <w:top w:val="nil"/>
              <w:left w:val="nil"/>
              <w:bottom w:val="single" w:sz="4" w:space="0" w:color="000000"/>
              <w:right w:val="single" w:sz="4" w:space="0" w:color="auto"/>
            </w:tcBorders>
            <w:vAlign w:val="center"/>
            <w:hideMark/>
          </w:tcPr>
          <w:p w14:paraId="28F368A7" w14:textId="77777777" w:rsidR="0042403B" w:rsidRPr="008B546B" w:rsidRDefault="0042403B" w:rsidP="00BE3F24">
            <w:pPr>
              <w:rPr>
                <w:rFonts w:ascii="Arial" w:hAnsi="Arial" w:cs="Arial"/>
                <w:b/>
                <w:bCs/>
                <w:color w:val="000000"/>
                <w:sz w:val="22"/>
                <w:szCs w:val="22"/>
              </w:rPr>
            </w:pPr>
          </w:p>
        </w:tc>
      </w:tr>
      <w:tr w:rsidR="0042403B" w:rsidRPr="008B546B" w14:paraId="13DCB391" w14:textId="77777777" w:rsidTr="006A4B9E">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073E74FA"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021A4010"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807" w:type="dxa"/>
            <w:tcBorders>
              <w:top w:val="nil"/>
              <w:left w:val="nil"/>
              <w:bottom w:val="single" w:sz="4" w:space="0" w:color="auto"/>
              <w:right w:val="single" w:sz="4" w:space="0" w:color="auto"/>
            </w:tcBorders>
            <w:vAlign w:val="center"/>
            <w:hideMark/>
          </w:tcPr>
          <w:p w14:paraId="441863DA"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76BB8B52" w14:textId="27132324" w:rsidR="0042403B" w:rsidRPr="008B546B" w:rsidRDefault="0042403B" w:rsidP="00BE3F24">
            <w:pPr>
              <w:jc w:val="center"/>
              <w:rPr>
                <w:rFonts w:ascii="Arial" w:hAnsi="Arial" w:cs="Arial"/>
                <w:b/>
                <w:bCs/>
                <w:color w:val="000000"/>
                <w:sz w:val="16"/>
                <w:szCs w:val="16"/>
              </w:rPr>
            </w:pPr>
          </w:p>
        </w:tc>
      </w:tr>
      <w:tr w:rsidR="0042403B" w:rsidRPr="008B546B" w14:paraId="2362A848"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4E16F03"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76C7572" w14:textId="2437ED61"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807" w:type="dxa"/>
            <w:tcBorders>
              <w:top w:val="nil"/>
              <w:left w:val="nil"/>
              <w:bottom w:val="single" w:sz="4" w:space="0" w:color="auto"/>
              <w:right w:val="single" w:sz="4" w:space="0" w:color="auto"/>
            </w:tcBorders>
            <w:vAlign w:val="center"/>
            <w:hideMark/>
          </w:tcPr>
          <w:p w14:paraId="06E26877" w14:textId="77777777" w:rsidR="0042403B" w:rsidRDefault="0042403B" w:rsidP="00BE3F24">
            <w:pPr>
              <w:jc w:val="center"/>
              <w:rPr>
                <w:rFonts w:ascii="Arial" w:hAnsi="Arial" w:cs="Arial"/>
                <w:b/>
                <w:bCs/>
                <w:color w:val="000000"/>
                <w:sz w:val="16"/>
                <w:szCs w:val="16"/>
              </w:rPr>
            </w:pPr>
          </w:p>
        </w:tc>
        <w:tc>
          <w:tcPr>
            <w:tcW w:w="3240" w:type="dxa"/>
            <w:tcBorders>
              <w:top w:val="nil"/>
              <w:left w:val="nil"/>
              <w:bottom w:val="single" w:sz="4" w:space="0" w:color="auto"/>
              <w:right w:val="single" w:sz="4" w:space="0" w:color="auto"/>
            </w:tcBorders>
            <w:vAlign w:val="center"/>
            <w:hideMark/>
          </w:tcPr>
          <w:p w14:paraId="36CE4CBC" w14:textId="77777777" w:rsidR="0042403B" w:rsidRPr="008B546B" w:rsidRDefault="0042403B" w:rsidP="00BE3F24">
            <w:pPr>
              <w:jc w:val="center"/>
              <w:rPr>
                <w:rFonts w:ascii="Arial" w:hAnsi="Arial" w:cs="Arial"/>
                <w:b/>
                <w:bCs/>
                <w:color w:val="000000"/>
                <w:sz w:val="16"/>
                <w:szCs w:val="16"/>
              </w:rPr>
            </w:pPr>
          </w:p>
        </w:tc>
      </w:tr>
      <w:tr w:rsidR="0042403B" w:rsidRPr="008B546B" w14:paraId="564931CF"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ADE9FC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9A49C63" w14:textId="109A58CA"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807" w:type="dxa"/>
            <w:tcBorders>
              <w:top w:val="nil"/>
              <w:left w:val="nil"/>
              <w:bottom w:val="single" w:sz="4" w:space="0" w:color="auto"/>
              <w:right w:val="single" w:sz="4" w:space="0" w:color="auto"/>
            </w:tcBorders>
            <w:vAlign w:val="center"/>
            <w:hideMark/>
          </w:tcPr>
          <w:p w14:paraId="6B106EE9" w14:textId="77777777" w:rsidR="0042403B" w:rsidRDefault="0042403B" w:rsidP="00BE3F24">
            <w:pPr>
              <w:jc w:val="center"/>
              <w:rPr>
                <w:rFonts w:ascii="Arial" w:hAnsi="Arial" w:cs="Arial"/>
                <w:b/>
                <w:bCs/>
                <w:color w:val="000000"/>
                <w:sz w:val="16"/>
                <w:szCs w:val="16"/>
              </w:rPr>
            </w:pPr>
          </w:p>
        </w:tc>
        <w:tc>
          <w:tcPr>
            <w:tcW w:w="3240" w:type="dxa"/>
            <w:tcBorders>
              <w:top w:val="nil"/>
              <w:left w:val="nil"/>
              <w:bottom w:val="single" w:sz="4" w:space="0" w:color="auto"/>
              <w:right w:val="single" w:sz="4" w:space="0" w:color="auto"/>
            </w:tcBorders>
            <w:vAlign w:val="center"/>
            <w:hideMark/>
          </w:tcPr>
          <w:p w14:paraId="707BBE87" w14:textId="77777777" w:rsidR="0042403B" w:rsidRPr="008B546B" w:rsidRDefault="0042403B" w:rsidP="00BE3F24">
            <w:pPr>
              <w:jc w:val="center"/>
              <w:rPr>
                <w:rFonts w:ascii="Arial" w:hAnsi="Arial" w:cs="Arial"/>
                <w:b/>
                <w:bCs/>
                <w:color w:val="000000"/>
                <w:sz w:val="16"/>
                <w:szCs w:val="16"/>
              </w:rPr>
            </w:pPr>
          </w:p>
        </w:tc>
      </w:tr>
      <w:tr w:rsidR="0042403B" w:rsidRPr="008B546B" w14:paraId="2740A0F9"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108BA4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6DEF4BB"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807" w:type="dxa"/>
            <w:tcBorders>
              <w:top w:val="nil"/>
              <w:left w:val="nil"/>
              <w:bottom w:val="single" w:sz="4" w:space="0" w:color="auto"/>
              <w:right w:val="single" w:sz="4" w:space="0" w:color="auto"/>
            </w:tcBorders>
            <w:vAlign w:val="center"/>
            <w:hideMark/>
          </w:tcPr>
          <w:p w14:paraId="425F99F4"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68A1EE52" w14:textId="77777777" w:rsidR="0042403B" w:rsidRDefault="0042403B" w:rsidP="00BE3F24">
            <w:pPr>
              <w:jc w:val="center"/>
              <w:rPr>
                <w:rFonts w:ascii="Arial" w:hAnsi="Arial" w:cs="Arial"/>
                <w:b/>
                <w:bCs/>
                <w:color w:val="000000"/>
                <w:sz w:val="16"/>
                <w:szCs w:val="16"/>
              </w:rPr>
            </w:pPr>
          </w:p>
        </w:tc>
      </w:tr>
      <w:tr w:rsidR="0042403B" w:rsidRPr="008B546B" w14:paraId="16D671C8"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56C3A7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40C9291"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807" w:type="dxa"/>
            <w:tcBorders>
              <w:top w:val="nil"/>
              <w:left w:val="nil"/>
              <w:bottom w:val="single" w:sz="4" w:space="0" w:color="auto"/>
              <w:right w:val="single" w:sz="4" w:space="0" w:color="auto"/>
            </w:tcBorders>
            <w:vAlign w:val="center"/>
            <w:hideMark/>
          </w:tcPr>
          <w:p w14:paraId="015FB7B2"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3240" w:type="dxa"/>
            <w:tcBorders>
              <w:top w:val="nil"/>
              <w:left w:val="nil"/>
              <w:bottom w:val="single" w:sz="4" w:space="0" w:color="auto"/>
              <w:right w:val="single" w:sz="4" w:space="0" w:color="auto"/>
            </w:tcBorders>
            <w:vAlign w:val="center"/>
            <w:hideMark/>
          </w:tcPr>
          <w:p w14:paraId="5016D42C"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596697DA"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3BD7C3C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F7E4CA8"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807" w:type="dxa"/>
            <w:tcBorders>
              <w:top w:val="nil"/>
              <w:left w:val="nil"/>
              <w:bottom w:val="single" w:sz="4" w:space="0" w:color="auto"/>
              <w:right w:val="single" w:sz="4" w:space="0" w:color="auto"/>
            </w:tcBorders>
            <w:vAlign w:val="center"/>
            <w:hideMark/>
          </w:tcPr>
          <w:p w14:paraId="0B4FBF0C" w14:textId="77777777" w:rsidR="0042403B" w:rsidRDefault="0042403B" w:rsidP="00BE3F24">
            <w:pPr>
              <w:jc w:val="center"/>
              <w:rPr>
                <w:rFonts w:ascii="Arial" w:hAnsi="Arial" w:cs="Arial"/>
                <w:b/>
                <w:bCs/>
                <w:color w:val="000000"/>
                <w:sz w:val="16"/>
                <w:szCs w:val="16"/>
              </w:rPr>
            </w:pPr>
          </w:p>
        </w:tc>
        <w:tc>
          <w:tcPr>
            <w:tcW w:w="3240" w:type="dxa"/>
            <w:tcBorders>
              <w:top w:val="nil"/>
              <w:left w:val="nil"/>
              <w:bottom w:val="single" w:sz="4" w:space="0" w:color="auto"/>
              <w:right w:val="single" w:sz="4" w:space="0" w:color="auto"/>
            </w:tcBorders>
            <w:vAlign w:val="center"/>
            <w:hideMark/>
          </w:tcPr>
          <w:p w14:paraId="0D60E60F" w14:textId="77777777" w:rsidR="0042403B" w:rsidRPr="008B546B" w:rsidRDefault="0042403B" w:rsidP="00BE3F24">
            <w:pPr>
              <w:jc w:val="center"/>
              <w:rPr>
                <w:rFonts w:ascii="Arial" w:hAnsi="Arial" w:cs="Arial"/>
                <w:b/>
                <w:bCs/>
                <w:color w:val="000000"/>
                <w:sz w:val="16"/>
                <w:szCs w:val="16"/>
              </w:rPr>
            </w:pPr>
          </w:p>
        </w:tc>
      </w:tr>
      <w:tr w:rsidR="0042403B" w:rsidRPr="008B546B" w14:paraId="13445A1A" w14:textId="77777777" w:rsidTr="006A4B9E">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FDC6E32" w14:textId="6A07A8D2"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r>
            <w:r w:rsidR="00A57651" w:rsidRPr="008B546B">
              <w:rPr>
                <w:rFonts w:ascii="Arial" w:hAnsi="Arial" w:cs="Arial"/>
                <w:b/>
                <w:bCs/>
                <w:sz w:val="22"/>
                <w:szCs w:val="22"/>
              </w:rPr>
              <w:t xml:space="preserve"> </w:t>
            </w:r>
            <w:r w:rsidRPr="008B546B">
              <w:rPr>
                <w:rFonts w:ascii="Arial" w:hAnsi="Arial" w:cs="Arial"/>
                <w:b/>
                <w:bCs/>
                <w:sz w:val="22"/>
                <w:szCs w:val="22"/>
              </w:rPr>
              <w:t>Advantages</w:t>
            </w:r>
          </w:p>
        </w:tc>
        <w:tc>
          <w:tcPr>
            <w:tcW w:w="2807" w:type="dxa"/>
            <w:tcBorders>
              <w:top w:val="nil"/>
              <w:left w:val="nil"/>
              <w:bottom w:val="single" w:sz="4" w:space="0" w:color="auto"/>
              <w:right w:val="single" w:sz="4" w:space="0" w:color="auto"/>
            </w:tcBorders>
            <w:hideMark/>
          </w:tcPr>
          <w:p w14:paraId="567C527F" w14:textId="531993D5" w:rsidR="0042403B" w:rsidRPr="00310702" w:rsidRDefault="00A57651" w:rsidP="00BE3F24">
            <w:pPr>
              <w:rPr>
                <w:rFonts w:ascii="Arial" w:hAnsi="Arial" w:cs="Arial"/>
                <w:color w:val="000000"/>
                <w:sz w:val="16"/>
                <w:szCs w:val="16"/>
              </w:rPr>
            </w:pPr>
            <w:r w:rsidRPr="00310702">
              <w:rPr>
                <w:rFonts w:ascii="Arial" w:hAnsi="Arial" w:cs="Arial"/>
                <w:color w:val="000000"/>
                <w:sz w:val="16"/>
                <w:szCs w:val="16"/>
              </w:rPr>
              <w:t>1. Reduces noise</w:t>
            </w:r>
            <w:r>
              <w:rPr>
                <w:rFonts w:ascii="Arial" w:hAnsi="Arial" w:cs="Arial"/>
                <w:color w:val="000000"/>
                <w:sz w:val="16"/>
                <w:szCs w:val="16"/>
              </w:rPr>
              <w:t xml:space="preserve"> on PCC.</w:t>
            </w:r>
            <w:r w:rsidRPr="00310702">
              <w:rPr>
                <w:rFonts w:ascii="Arial" w:hAnsi="Arial" w:cs="Arial"/>
                <w:color w:val="000000"/>
                <w:sz w:val="16"/>
                <w:szCs w:val="16"/>
              </w:rPr>
              <w:br/>
              <w:t>2. Improves friction</w:t>
            </w:r>
            <w:r w:rsidRPr="00310702">
              <w:rPr>
                <w:rFonts w:ascii="Arial" w:hAnsi="Arial" w:cs="Arial"/>
                <w:color w:val="000000"/>
                <w:sz w:val="16"/>
                <w:szCs w:val="16"/>
              </w:rPr>
              <w:br/>
              <w:t>3. Cost effective</w:t>
            </w:r>
            <w:r w:rsidRPr="00310702">
              <w:rPr>
                <w:rFonts w:ascii="Arial" w:hAnsi="Arial" w:cs="Arial"/>
                <w:color w:val="000000"/>
                <w:sz w:val="16"/>
                <w:szCs w:val="16"/>
              </w:rPr>
              <w:br/>
              <w:t>4.</w:t>
            </w:r>
            <w:r w:rsidR="0042403B" w:rsidRPr="00310702">
              <w:rPr>
                <w:rFonts w:ascii="Arial" w:hAnsi="Arial" w:cs="Arial"/>
                <w:color w:val="000000"/>
                <w:sz w:val="16"/>
                <w:szCs w:val="16"/>
              </w:rPr>
              <w:t>1. Improves friction</w:t>
            </w:r>
            <w:r w:rsidR="006021E1">
              <w:rPr>
                <w:rFonts w:ascii="Arial" w:hAnsi="Arial" w:cs="Arial"/>
                <w:color w:val="000000"/>
                <w:sz w:val="16"/>
                <w:szCs w:val="16"/>
              </w:rPr>
              <w:t>.</w:t>
            </w:r>
            <w:r w:rsidR="0042403B" w:rsidRPr="00310702">
              <w:rPr>
                <w:rFonts w:ascii="Arial" w:hAnsi="Arial" w:cs="Arial"/>
                <w:color w:val="000000"/>
                <w:sz w:val="16"/>
                <w:szCs w:val="16"/>
              </w:rPr>
              <w:t xml:space="preserve"> Eliminates the need for taper which is required with overlay alternatives.</w:t>
            </w:r>
            <w:r w:rsidR="0042403B" w:rsidRPr="00310702">
              <w:rPr>
                <w:rFonts w:ascii="Arial" w:hAnsi="Arial" w:cs="Arial"/>
                <w:color w:val="000000"/>
                <w:sz w:val="16"/>
                <w:szCs w:val="16"/>
              </w:rPr>
              <w:br/>
              <w:t>5. Removal of permanent slab warping at joints.</w:t>
            </w:r>
            <w:r w:rsidR="0042403B" w:rsidRPr="00310702">
              <w:rPr>
                <w:rFonts w:ascii="Arial" w:hAnsi="Arial" w:cs="Arial"/>
                <w:color w:val="000000"/>
                <w:sz w:val="16"/>
                <w:szCs w:val="16"/>
              </w:rPr>
              <w:br/>
              <w:t>6. Improvement of transverse slope to improve surface drainage.</w:t>
            </w:r>
          </w:p>
        </w:tc>
        <w:tc>
          <w:tcPr>
            <w:tcW w:w="3240" w:type="dxa"/>
            <w:tcBorders>
              <w:top w:val="nil"/>
              <w:left w:val="nil"/>
              <w:bottom w:val="single" w:sz="4" w:space="0" w:color="auto"/>
              <w:right w:val="single" w:sz="4" w:space="0" w:color="auto"/>
            </w:tcBorders>
            <w:hideMark/>
          </w:tcPr>
          <w:p w14:paraId="17493822" w14:textId="49849F12" w:rsidR="00A57651" w:rsidRPr="005A38A1" w:rsidRDefault="00A57651" w:rsidP="00A57651">
            <w:pPr>
              <w:rPr>
                <w:rFonts w:ascii="Arial" w:hAnsi="Arial" w:cs="Arial"/>
                <w:color w:val="000000"/>
                <w:sz w:val="16"/>
                <w:szCs w:val="16"/>
              </w:rPr>
            </w:pPr>
            <w:r w:rsidRPr="005A38A1">
              <w:rPr>
                <w:rFonts w:ascii="Arial" w:hAnsi="Arial" w:cs="Arial"/>
                <w:color w:val="000000"/>
                <w:sz w:val="16"/>
                <w:szCs w:val="16"/>
              </w:rPr>
              <w:t>1.</w:t>
            </w:r>
            <w:r>
              <w:rPr>
                <w:rFonts w:ascii="Arial" w:hAnsi="Arial" w:cs="Arial"/>
                <w:color w:val="000000"/>
                <w:sz w:val="16"/>
                <w:szCs w:val="16"/>
              </w:rPr>
              <w:t xml:space="preserve"> </w:t>
            </w:r>
            <w:r w:rsidRPr="005A38A1">
              <w:rPr>
                <w:rFonts w:ascii="Arial" w:hAnsi="Arial" w:cs="Arial"/>
                <w:color w:val="000000"/>
                <w:sz w:val="16"/>
                <w:szCs w:val="16"/>
              </w:rPr>
              <w:t>Significantly improves skid resistance</w:t>
            </w:r>
          </w:p>
          <w:p w14:paraId="6EFB3D73" w14:textId="77777777" w:rsidR="00A57651" w:rsidRPr="005A38A1" w:rsidRDefault="00A57651" w:rsidP="00A57651">
            <w:pPr>
              <w:rPr>
                <w:rFonts w:ascii="Arial" w:hAnsi="Arial" w:cs="Arial"/>
                <w:color w:val="000000"/>
                <w:sz w:val="16"/>
                <w:szCs w:val="16"/>
              </w:rPr>
            </w:pPr>
            <w:r w:rsidRPr="005A38A1">
              <w:rPr>
                <w:rFonts w:ascii="Arial" w:hAnsi="Arial" w:cs="Arial"/>
                <w:color w:val="000000"/>
                <w:sz w:val="16"/>
                <w:szCs w:val="16"/>
              </w:rPr>
              <w:t>2. Can open to traffic immediately after treatment</w:t>
            </w:r>
          </w:p>
          <w:p w14:paraId="37716175" w14:textId="77777777" w:rsidR="00A57651" w:rsidRPr="005A38A1" w:rsidRDefault="00A57651" w:rsidP="00A57651">
            <w:pPr>
              <w:rPr>
                <w:rFonts w:ascii="Arial" w:hAnsi="Arial" w:cs="Arial"/>
                <w:color w:val="000000"/>
                <w:sz w:val="16"/>
                <w:szCs w:val="16"/>
              </w:rPr>
            </w:pPr>
            <w:r w:rsidRPr="005A38A1">
              <w:rPr>
                <w:rFonts w:ascii="Arial" w:hAnsi="Arial" w:cs="Arial"/>
                <w:color w:val="000000"/>
                <w:sz w:val="16"/>
                <w:szCs w:val="16"/>
              </w:rPr>
              <w:t>3. No new materials required</w:t>
            </w:r>
          </w:p>
          <w:p w14:paraId="13B4A8F0" w14:textId="77777777" w:rsidR="00A57651" w:rsidRPr="005A38A1" w:rsidRDefault="00A57651" w:rsidP="00A57651">
            <w:pPr>
              <w:rPr>
                <w:rFonts w:ascii="Arial" w:hAnsi="Arial" w:cs="Arial"/>
                <w:color w:val="000000"/>
                <w:sz w:val="16"/>
                <w:szCs w:val="16"/>
              </w:rPr>
            </w:pPr>
            <w:r w:rsidRPr="005A38A1">
              <w:rPr>
                <w:rFonts w:ascii="Arial" w:hAnsi="Arial" w:cs="Arial"/>
                <w:color w:val="000000"/>
                <w:sz w:val="16"/>
                <w:szCs w:val="16"/>
              </w:rPr>
              <w:t>4. “Green" - less energy</w:t>
            </w:r>
            <w:r w:rsidRPr="005A38A1">
              <w:rPr>
                <w:rFonts w:ascii="Arial" w:hAnsi="Arial" w:cs="Arial"/>
                <w:color w:val="000000"/>
                <w:sz w:val="16"/>
                <w:szCs w:val="16"/>
              </w:rPr>
              <w:br/>
            </w:r>
          </w:p>
          <w:p w14:paraId="7A75C646" w14:textId="26DDC56F" w:rsidR="0042403B" w:rsidRPr="00310702" w:rsidRDefault="0042403B" w:rsidP="006A4B9E">
            <w:pPr>
              <w:rPr>
                <w:rFonts w:ascii="Arial" w:hAnsi="Arial" w:cs="Arial"/>
                <w:color w:val="000000"/>
                <w:sz w:val="16"/>
                <w:szCs w:val="16"/>
              </w:rPr>
            </w:pPr>
          </w:p>
        </w:tc>
      </w:tr>
      <w:tr w:rsidR="006A4B9E" w:rsidRPr="008B546B" w14:paraId="4C05CFD0" w14:textId="77777777" w:rsidTr="006A4B9E">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04155DC" w14:textId="14C1B417" w:rsidR="006A4B9E" w:rsidRPr="008B546B" w:rsidRDefault="006A4B9E" w:rsidP="006A4B9E">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 xml:space="preserve"> Disadvantages</w:t>
            </w:r>
          </w:p>
        </w:tc>
        <w:tc>
          <w:tcPr>
            <w:tcW w:w="2807" w:type="dxa"/>
            <w:tcBorders>
              <w:top w:val="nil"/>
              <w:left w:val="nil"/>
              <w:bottom w:val="single" w:sz="4" w:space="0" w:color="auto"/>
              <w:right w:val="single" w:sz="4" w:space="0" w:color="auto"/>
            </w:tcBorders>
            <w:hideMark/>
          </w:tcPr>
          <w:p w14:paraId="2587BE87" w14:textId="27175294" w:rsidR="006A4B9E" w:rsidRPr="00310702" w:rsidRDefault="006A4B9E" w:rsidP="006A4B9E">
            <w:pPr>
              <w:rPr>
                <w:rFonts w:ascii="Arial" w:hAnsi="Arial" w:cs="Arial"/>
                <w:color w:val="000000"/>
                <w:sz w:val="16"/>
                <w:szCs w:val="16"/>
              </w:rPr>
            </w:pPr>
            <w:r w:rsidRPr="00310702">
              <w:rPr>
                <w:rFonts w:ascii="Arial" w:hAnsi="Arial" w:cs="Arial"/>
                <w:color w:val="000000"/>
                <w:sz w:val="16"/>
                <w:szCs w:val="16"/>
              </w:rPr>
              <w:t>1. Increases noise</w:t>
            </w:r>
            <w:r>
              <w:rPr>
                <w:rFonts w:ascii="Arial" w:hAnsi="Arial" w:cs="Arial"/>
                <w:color w:val="000000"/>
                <w:sz w:val="16"/>
                <w:szCs w:val="16"/>
              </w:rPr>
              <w:t xml:space="preserve"> on asphalt</w:t>
            </w:r>
            <w:r w:rsidRPr="00310702">
              <w:rPr>
                <w:rFonts w:ascii="Arial" w:hAnsi="Arial" w:cs="Arial"/>
                <w:color w:val="000000"/>
                <w:sz w:val="16"/>
                <w:szCs w:val="16"/>
              </w:rPr>
              <w:t>.</w:t>
            </w:r>
            <w:r w:rsidRPr="00310702">
              <w:rPr>
                <w:rFonts w:ascii="Arial" w:hAnsi="Arial" w:cs="Arial"/>
                <w:color w:val="000000"/>
                <w:sz w:val="16"/>
                <w:szCs w:val="16"/>
              </w:rPr>
              <w:br/>
              <w:t>2. Faulting of the pavement joints will mostly reoccur if the load transfer is deficient.</w:t>
            </w:r>
            <w:r w:rsidRPr="00310702">
              <w:rPr>
                <w:rFonts w:ascii="Arial" w:hAnsi="Arial" w:cs="Arial"/>
                <w:color w:val="000000"/>
                <w:sz w:val="16"/>
                <w:szCs w:val="16"/>
              </w:rPr>
              <w:br/>
              <w:t>3. Reduces pavement thickness which could affect fatigue performance.</w:t>
            </w:r>
            <w:r w:rsidRPr="00310702">
              <w:rPr>
                <w:rFonts w:ascii="Arial" w:hAnsi="Arial" w:cs="Arial"/>
                <w:color w:val="000000"/>
                <w:sz w:val="16"/>
                <w:szCs w:val="16"/>
              </w:rPr>
              <w:br/>
              <w:t>4. Not recommended for pavement thickness less than 9", because of insufficient structural capacity to support heavy vehicle loadings.</w:t>
            </w:r>
            <w:r w:rsidRPr="00310702">
              <w:rPr>
                <w:rFonts w:ascii="Arial" w:hAnsi="Arial" w:cs="Arial"/>
                <w:color w:val="000000"/>
                <w:sz w:val="16"/>
                <w:szCs w:val="16"/>
              </w:rPr>
              <w:br/>
              <w:t>5. Not to be used for "D" cracking, reactive aggregate, freeze-thaw damage.</w:t>
            </w:r>
          </w:p>
        </w:tc>
        <w:tc>
          <w:tcPr>
            <w:tcW w:w="3240" w:type="dxa"/>
            <w:tcBorders>
              <w:top w:val="nil"/>
              <w:left w:val="nil"/>
              <w:bottom w:val="single" w:sz="4" w:space="0" w:color="auto"/>
              <w:right w:val="single" w:sz="4" w:space="0" w:color="auto"/>
            </w:tcBorders>
            <w:hideMark/>
          </w:tcPr>
          <w:p w14:paraId="0A527CC7" w14:textId="5C7F5C96" w:rsidR="006A4B9E" w:rsidRPr="00046E9D" w:rsidRDefault="006A4B9E" w:rsidP="006A4B9E">
            <w:r w:rsidRPr="00046E9D">
              <w:rPr>
                <w:rFonts w:ascii="Arial" w:hAnsi="Arial" w:cs="Arial"/>
                <w:color w:val="000000"/>
                <w:sz w:val="16"/>
                <w:szCs w:val="16"/>
              </w:rPr>
              <w:t>1.</w:t>
            </w:r>
            <w:r>
              <w:rPr>
                <w:rFonts w:ascii="Arial" w:hAnsi="Arial" w:cs="Arial"/>
                <w:color w:val="000000"/>
                <w:sz w:val="16"/>
                <w:szCs w:val="16"/>
              </w:rPr>
              <w:t xml:space="preserve"> </w:t>
            </w:r>
            <w:r w:rsidRPr="00046E9D">
              <w:rPr>
                <w:rFonts w:ascii="Arial" w:hAnsi="Arial" w:cs="Arial"/>
                <w:color w:val="000000"/>
                <w:sz w:val="16"/>
                <w:szCs w:val="16"/>
              </w:rPr>
              <w:t>Requires specialized equipment</w:t>
            </w:r>
            <w:r w:rsidRPr="00046E9D">
              <w:rPr>
                <w:rFonts w:ascii="Arial" w:hAnsi="Arial" w:cs="Arial"/>
                <w:color w:val="000000"/>
                <w:sz w:val="16"/>
                <w:szCs w:val="16"/>
              </w:rPr>
              <w:br/>
            </w:r>
          </w:p>
          <w:p w14:paraId="63A50035" w14:textId="24EC00A7" w:rsidR="006A4B9E" w:rsidRPr="006A4B9E" w:rsidRDefault="006A4B9E" w:rsidP="006A4B9E">
            <w:pPr>
              <w:rPr>
                <w:rFonts w:ascii="Arial" w:hAnsi="Arial"/>
                <w:color w:val="000000"/>
                <w:sz w:val="16"/>
              </w:rPr>
            </w:pPr>
          </w:p>
        </w:tc>
      </w:tr>
      <w:tr w:rsidR="006A4B9E" w:rsidRPr="008B546B" w14:paraId="735BF132" w14:textId="77777777" w:rsidTr="006A4B9E">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1602413F" w14:textId="77777777" w:rsidR="006A4B9E" w:rsidRPr="008B546B" w:rsidRDefault="006A4B9E" w:rsidP="006A4B9E">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6F8DC9D4" w14:textId="77777777" w:rsidR="006A4B9E" w:rsidRDefault="006A4B9E" w:rsidP="006A4B9E">
            <w:pPr>
              <w:jc w:val="center"/>
              <w:rPr>
                <w:rFonts w:ascii="Arial" w:hAnsi="Arial" w:cs="Arial"/>
                <w:b/>
                <w:bCs/>
                <w:sz w:val="18"/>
                <w:szCs w:val="18"/>
              </w:rPr>
            </w:pPr>
            <w:r>
              <w:rPr>
                <w:rFonts w:ascii="Arial" w:hAnsi="Arial" w:cs="Arial"/>
                <w:b/>
                <w:bCs/>
                <w:sz w:val="18"/>
                <w:szCs w:val="18"/>
              </w:rPr>
              <w:t>Small Quantity Cost</w:t>
            </w:r>
          </w:p>
        </w:tc>
        <w:tc>
          <w:tcPr>
            <w:tcW w:w="2807" w:type="dxa"/>
            <w:vMerge w:val="restart"/>
            <w:tcBorders>
              <w:top w:val="nil"/>
              <w:left w:val="nil"/>
              <w:right w:val="single" w:sz="4" w:space="0" w:color="auto"/>
            </w:tcBorders>
            <w:vAlign w:val="center"/>
            <w:hideMark/>
          </w:tcPr>
          <w:p w14:paraId="2D84AFD8" w14:textId="77777777" w:rsidR="006A4B9E" w:rsidRDefault="006A4B9E" w:rsidP="006A4B9E">
            <w:pPr>
              <w:rPr>
                <w:rFonts w:ascii="Arial" w:hAnsi="Arial" w:cs="Arial"/>
                <w:color w:val="000000"/>
                <w:sz w:val="16"/>
                <w:szCs w:val="16"/>
              </w:rPr>
            </w:pPr>
            <w:r>
              <w:rPr>
                <w:rFonts w:ascii="Arial" w:hAnsi="Arial" w:cs="Arial"/>
                <w:color w:val="000000"/>
                <w:sz w:val="16"/>
                <w:szCs w:val="16"/>
              </w:rPr>
              <w:t>Re</w:t>
            </w:r>
            <w:r w:rsidRPr="00C9741F">
              <w:rPr>
                <w:rFonts w:ascii="Arial" w:hAnsi="Arial" w:cs="Arial"/>
                <w:color w:val="000000"/>
                <w:sz w:val="16"/>
                <w:szCs w:val="16"/>
              </w:rPr>
              <w:t xml:space="preserve">fer to </w:t>
            </w:r>
            <w:r>
              <w:rPr>
                <w:rFonts w:ascii="Arial" w:hAnsi="Arial" w:cs="Arial"/>
                <w:color w:val="000000"/>
                <w:sz w:val="16"/>
                <w:szCs w:val="16"/>
              </w:rPr>
              <w:t>the</w:t>
            </w:r>
            <w:r w:rsidRPr="00C9741F">
              <w:rPr>
                <w:rFonts w:ascii="Arial" w:hAnsi="Arial" w:cs="Arial"/>
                <w:color w:val="000000"/>
                <w:sz w:val="16"/>
                <w:szCs w:val="16"/>
              </w:rPr>
              <w:t xml:space="preserve"> </w:t>
            </w:r>
            <w:hyperlink r:id="rId71" w:history="1">
              <w:r w:rsidRPr="00C9741F">
                <w:rPr>
                  <w:rStyle w:val="Hyperlink"/>
                  <w:rFonts w:ascii="Arial" w:hAnsi="Arial" w:cs="Arial"/>
                  <w:sz w:val="16"/>
                  <w:szCs w:val="16"/>
                </w:rPr>
                <w:t>Unit Price</w:t>
              </w:r>
            </w:hyperlink>
            <w:r w:rsidRPr="00C9741F">
              <w:rPr>
                <w:rFonts w:ascii="Arial" w:hAnsi="Arial" w:cs="Arial"/>
                <w:sz w:val="16"/>
                <w:szCs w:val="16"/>
              </w:rPr>
              <w:t xml:space="preserve"> table located on the OMT network </w:t>
            </w:r>
            <w:r>
              <w:rPr>
                <w:rFonts w:ascii="Arial" w:hAnsi="Arial" w:cs="Arial"/>
                <w:sz w:val="16"/>
                <w:szCs w:val="16"/>
              </w:rPr>
              <w:t>for</w:t>
            </w:r>
            <w:r w:rsidRPr="00C9741F">
              <w:rPr>
                <w:rFonts w:ascii="Arial" w:hAnsi="Arial" w:cs="Arial"/>
                <w:sz w:val="16"/>
                <w:szCs w:val="16"/>
              </w:rPr>
              <w:t xml:space="preserve"> the latest average unit prices</w:t>
            </w:r>
            <w:r>
              <w:rPr>
                <w:rFonts w:ascii="Arial" w:hAnsi="Arial" w:cs="Arial"/>
                <w:sz w:val="16"/>
                <w:szCs w:val="16"/>
              </w:rPr>
              <w:t>.</w:t>
            </w:r>
          </w:p>
        </w:tc>
        <w:tc>
          <w:tcPr>
            <w:tcW w:w="3240" w:type="dxa"/>
            <w:vMerge w:val="restart"/>
            <w:tcBorders>
              <w:top w:val="nil"/>
              <w:left w:val="nil"/>
              <w:right w:val="single" w:sz="4" w:space="0" w:color="auto"/>
            </w:tcBorders>
            <w:vAlign w:val="center"/>
            <w:hideMark/>
          </w:tcPr>
          <w:p w14:paraId="19898D93" w14:textId="4E3678FC" w:rsidR="006A4B9E" w:rsidRDefault="006A4B9E" w:rsidP="006A4B9E">
            <w:pPr>
              <w:rPr>
                <w:rFonts w:ascii="Arial" w:hAnsi="Arial" w:cs="Arial"/>
                <w:color w:val="000000"/>
                <w:sz w:val="16"/>
                <w:szCs w:val="16"/>
              </w:rPr>
            </w:pPr>
            <w:r>
              <w:rPr>
                <w:rFonts w:ascii="Arial" w:hAnsi="Arial" w:cs="Arial"/>
                <w:color w:val="000000"/>
                <w:sz w:val="16"/>
                <w:szCs w:val="16"/>
              </w:rPr>
              <w:t>$</w:t>
            </w:r>
            <w:r w:rsidR="00C01E14">
              <w:rPr>
                <w:rFonts w:ascii="Arial" w:hAnsi="Arial" w:cs="Arial"/>
                <w:color w:val="000000"/>
                <w:sz w:val="16"/>
                <w:szCs w:val="16"/>
              </w:rPr>
              <w:t>5</w:t>
            </w:r>
            <w:r>
              <w:rPr>
                <w:rFonts w:ascii="Arial" w:hAnsi="Arial" w:cs="Arial"/>
                <w:color w:val="000000"/>
                <w:sz w:val="16"/>
                <w:szCs w:val="16"/>
              </w:rPr>
              <w:t xml:space="preserve"> / SY</w:t>
            </w:r>
          </w:p>
          <w:p w14:paraId="565AC59D" w14:textId="0DA7D370" w:rsidR="006A4B9E" w:rsidRDefault="006A4B9E" w:rsidP="006A4B9E">
            <w:pPr>
              <w:rPr>
                <w:rFonts w:ascii="Arial" w:hAnsi="Arial" w:cs="Arial"/>
                <w:color w:val="000000"/>
                <w:sz w:val="16"/>
                <w:szCs w:val="16"/>
              </w:rPr>
            </w:pPr>
          </w:p>
        </w:tc>
      </w:tr>
      <w:tr w:rsidR="006A4B9E" w:rsidRPr="008B546B" w14:paraId="6D0F576C" w14:textId="77777777" w:rsidTr="006A4B9E">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9411136" w14:textId="77777777" w:rsidR="006A4B9E" w:rsidRPr="008B546B" w:rsidRDefault="006A4B9E" w:rsidP="006A4B9E">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03E1CCF" w14:textId="77777777" w:rsidR="006A4B9E" w:rsidRDefault="006A4B9E" w:rsidP="006A4B9E">
            <w:pPr>
              <w:jc w:val="center"/>
              <w:rPr>
                <w:rFonts w:ascii="Arial" w:hAnsi="Arial" w:cs="Arial"/>
                <w:b/>
                <w:bCs/>
                <w:sz w:val="18"/>
                <w:szCs w:val="18"/>
              </w:rPr>
            </w:pPr>
            <w:r>
              <w:rPr>
                <w:rFonts w:ascii="Arial" w:hAnsi="Arial" w:cs="Arial"/>
                <w:b/>
                <w:bCs/>
                <w:sz w:val="18"/>
                <w:szCs w:val="18"/>
              </w:rPr>
              <w:t>Medium Quantity Cost</w:t>
            </w:r>
          </w:p>
        </w:tc>
        <w:tc>
          <w:tcPr>
            <w:tcW w:w="2807" w:type="dxa"/>
            <w:vMerge/>
            <w:tcBorders>
              <w:left w:val="nil"/>
              <w:right w:val="single" w:sz="4" w:space="0" w:color="auto"/>
            </w:tcBorders>
            <w:vAlign w:val="center"/>
            <w:hideMark/>
          </w:tcPr>
          <w:p w14:paraId="29E40306" w14:textId="77777777" w:rsidR="006A4B9E" w:rsidRPr="00310702" w:rsidRDefault="006A4B9E" w:rsidP="006A4B9E">
            <w:pPr>
              <w:rPr>
                <w:rFonts w:ascii="Arial" w:hAnsi="Arial" w:cs="Arial"/>
                <w:sz w:val="16"/>
                <w:szCs w:val="16"/>
              </w:rPr>
            </w:pPr>
          </w:p>
        </w:tc>
        <w:tc>
          <w:tcPr>
            <w:tcW w:w="3240" w:type="dxa"/>
            <w:vMerge/>
            <w:tcBorders>
              <w:left w:val="nil"/>
              <w:right w:val="single" w:sz="4" w:space="0" w:color="auto"/>
            </w:tcBorders>
            <w:vAlign w:val="center"/>
            <w:hideMark/>
          </w:tcPr>
          <w:p w14:paraId="2B54BE25" w14:textId="77777777" w:rsidR="006A4B9E" w:rsidRPr="00310702" w:rsidRDefault="006A4B9E" w:rsidP="006A4B9E">
            <w:pPr>
              <w:rPr>
                <w:rFonts w:ascii="Arial" w:hAnsi="Arial" w:cs="Arial"/>
                <w:sz w:val="16"/>
                <w:szCs w:val="16"/>
              </w:rPr>
            </w:pPr>
          </w:p>
        </w:tc>
      </w:tr>
      <w:tr w:rsidR="006A4B9E" w:rsidRPr="008B546B" w14:paraId="6D8570D7" w14:textId="77777777" w:rsidTr="006A4B9E">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099BD1B" w14:textId="77777777" w:rsidR="006A4B9E" w:rsidRPr="008B546B" w:rsidRDefault="006A4B9E" w:rsidP="006A4B9E">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4F85375" w14:textId="77777777" w:rsidR="006A4B9E" w:rsidRDefault="006A4B9E" w:rsidP="006A4B9E">
            <w:pPr>
              <w:jc w:val="center"/>
              <w:rPr>
                <w:rFonts w:ascii="Arial" w:hAnsi="Arial" w:cs="Arial"/>
                <w:b/>
                <w:bCs/>
                <w:sz w:val="18"/>
                <w:szCs w:val="18"/>
              </w:rPr>
            </w:pPr>
            <w:r>
              <w:rPr>
                <w:rFonts w:ascii="Arial" w:hAnsi="Arial" w:cs="Arial"/>
                <w:b/>
                <w:bCs/>
                <w:sz w:val="18"/>
                <w:szCs w:val="18"/>
              </w:rPr>
              <w:t>High Quantity Cost</w:t>
            </w:r>
          </w:p>
        </w:tc>
        <w:tc>
          <w:tcPr>
            <w:tcW w:w="2807" w:type="dxa"/>
            <w:vMerge/>
            <w:tcBorders>
              <w:left w:val="nil"/>
              <w:bottom w:val="single" w:sz="4" w:space="0" w:color="auto"/>
              <w:right w:val="single" w:sz="4" w:space="0" w:color="auto"/>
            </w:tcBorders>
            <w:vAlign w:val="center"/>
            <w:hideMark/>
          </w:tcPr>
          <w:p w14:paraId="65A66E25" w14:textId="77777777" w:rsidR="006A4B9E" w:rsidRPr="00310702" w:rsidRDefault="006A4B9E" w:rsidP="006A4B9E">
            <w:pPr>
              <w:rPr>
                <w:rFonts w:ascii="Arial" w:hAnsi="Arial" w:cs="Arial"/>
                <w:sz w:val="16"/>
                <w:szCs w:val="16"/>
              </w:rPr>
            </w:pPr>
          </w:p>
        </w:tc>
        <w:tc>
          <w:tcPr>
            <w:tcW w:w="3240" w:type="dxa"/>
            <w:vMerge/>
            <w:tcBorders>
              <w:left w:val="nil"/>
              <w:bottom w:val="single" w:sz="4" w:space="0" w:color="auto"/>
              <w:right w:val="single" w:sz="4" w:space="0" w:color="auto"/>
            </w:tcBorders>
            <w:vAlign w:val="center"/>
            <w:hideMark/>
          </w:tcPr>
          <w:p w14:paraId="3CDC6117" w14:textId="77777777" w:rsidR="006A4B9E" w:rsidRPr="00310702" w:rsidRDefault="006A4B9E" w:rsidP="006A4B9E">
            <w:pPr>
              <w:rPr>
                <w:rFonts w:ascii="Arial" w:hAnsi="Arial" w:cs="Arial"/>
                <w:sz w:val="16"/>
                <w:szCs w:val="16"/>
              </w:rPr>
            </w:pPr>
          </w:p>
        </w:tc>
      </w:tr>
      <w:tr w:rsidR="006A4B9E" w:rsidRPr="008B546B" w14:paraId="5E320FE7" w14:textId="77777777" w:rsidTr="006A4B9E">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346DEDE" w14:textId="77777777" w:rsidR="006A4B9E" w:rsidRPr="008B546B" w:rsidRDefault="006A4B9E" w:rsidP="006A4B9E">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0E0C0BE" w14:textId="77777777" w:rsidR="006A4B9E" w:rsidRDefault="006A4B9E" w:rsidP="006A4B9E">
            <w:pPr>
              <w:jc w:val="center"/>
              <w:rPr>
                <w:rFonts w:ascii="Arial" w:hAnsi="Arial" w:cs="Arial"/>
                <w:b/>
                <w:bCs/>
                <w:sz w:val="18"/>
                <w:szCs w:val="18"/>
              </w:rPr>
            </w:pPr>
            <w:r>
              <w:rPr>
                <w:rFonts w:ascii="Arial" w:hAnsi="Arial" w:cs="Arial"/>
                <w:b/>
                <w:bCs/>
                <w:sz w:val="18"/>
                <w:szCs w:val="18"/>
              </w:rPr>
              <w:t>Items Included</w:t>
            </w:r>
          </w:p>
        </w:tc>
        <w:tc>
          <w:tcPr>
            <w:tcW w:w="2807" w:type="dxa"/>
            <w:tcBorders>
              <w:top w:val="nil"/>
              <w:left w:val="nil"/>
              <w:bottom w:val="single" w:sz="4" w:space="0" w:color="auto"/>
              <w:right w:val="single" w:sz="4" w:space="0" w:color="auto"/>
            </w:tcBorders>
            <w:vAlign w:val="center"/>
            <w:hideMark/>
          </w:tcPr>
          <w:p w14:paraId="094F078D" w14:textId="7A671992" w:rsidR="006A4B9E" w:rsidRPr="00310702" w:rsidRDefault="006A4B9E" w:rsidP="006A4B9E">
            <w:pPr>
              <w:rPr>
                <w:rFonts w:ascii="Arial" w:hAnsi="Arial" w:cs="Arial"/>
                <w:sz w:val="16"/>
                <w:szCs w:val="16"/>
              </w:rPr>
            </w:pPr>
            <w:r w:rsidRPr="00310702">
              <w:rPr>
                <w:rFonts w:ascii="Arial" w:hAnsi="Arial" w:cs="Arial"/>
                <w:sz w:val="16"/>
                <w:szCs w:val="16"/>
              </w:rPr>
              <w:t>All labor, equipment and materials necessary to complete the work, including hauling and disposal of grinding residue.</w:t>
            </w:r>
          </w:p>
        </w:tc>
        <w:tc>
          <w:tcPr>
            <w:tcW w:w="3240" w:type="dxa"/>
            <w:tcBorders>
              <w:top w:val="nil"/>
              <w:left w:val="nil"/>
              <w:bottom w:val="single" w:sz="4" w:space="0" w:color="auto"/>
              <w:right w:val="single" w:sz="4" w:space="0" w:color="auto"/>
            </w:tcBorders>
            <w:vAlign w:val="center"/>
            <w:hideMark/>
          </w:tcPr>
          <w:p w14:paraId="37E16D7C" w14:textId="40437D59" w:rsidR="006A4B9E" w:rsidRPr="006A4B9E" w:rsidRDefault="006A4B9E" w:rsidP="006A4B9E">
            <w:pPr>
              <w:rPr>
                <w:rFonts w:ascii="Arial" w:hAnsi="Arial"/>
                <w:sz w:val="16"/>
              </w:rPr>
            </w:pPr>
          </w:p>
        </w:tc>
      </w:tr>
      <w:tr w:rsidR="006A4B9E" w:rsidRPr="008B546B" w14:paraId="117FED26" w14:textId="77777777" w:rsidTr="006A4B9E">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4198F34D" w14:textId="77777777" w:rsidR="006A4B9E" w:rsidRPr="008B546B" w:rsidRDefault="006A4B9E" w:rsidP="006A4B9E">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3BA9768" w14:textId="77777777" w:rsidR="006A4B9E" w:rsidRDefault="006A4B9E" w:rsidP="006A4B9E">
            <w:pPr>
              <w:jc w:val="center"/>
              <w:rPr>
                <w:rFonts w:ascii="Arial" w:hAnsi="Arial" w:cs="Arial"/>
                <w:b/>
                <w:bCs/>
                <w:sz w:val="18"/>
                <w:szCs w:val="18"/>
              </w:rPr>
            </w:pPr>
            <w:r>
              <w:rPr>
                <w:rFonts w:ascii="Arial" w:hAnsi="Arial" w:cs="Arial"/>
                <w:b/>
                <w:bCs/>
                <w:sz w:val="18"/>
                <w:szCs w:val="18"/>
              </w:rPr>
              <w:t>Items Excluded</w:t>
            </w:r>
          </w:p>
        </w:tc>
        <w:tc>
          <w:tcPr>
            <w:tcW w:w="2807" w:type="dxa"/>
            <w:tcBorders>
              <w:top w:val="nil"/>
              <w:left w:val="nil"/>
              <w:bottom w:val="single" w:sz="4" w:space="0" w:color="auto"/>
              <w:right w:val="single" w:sz="4" w:space="0" w:color="auto"/>
            </w:tcBorders>
            <w:vAlign w:val="center"/>
            <w:hideMark/>
          </w:tcPr>
          <w:p w14:paraId="484F40BB" w14:textId="782C9738" w:rsidR="006A4B9E" w:rsidRPr="00310702" w:rsidRDefault="006A4B9E" w:rsidP="006A4B9E">
            <w:pPr>
              <w:rPr>
                <w:rFonts w:ascii="Arial" w:hAnsi="Arial" w:cs="Arial"/>
                <w:sz w:val="16"/>
                <w:szCs w:val="16"/>
              </w:rPr>
            </w:pPr>
            <w:r>
              <w:rPr>
                <w:rFonts w:ascii="Arial" w:hAnsi="Arial" w:cs="Arial"/>
                <w:sz w:val="16"/>
                <w:szCs w:val="16"/>
              </w:rPr>
              <w:t>MOT</w:t>
            </w:r>
          </w:p>
        </w:tc>
        <w:tc>
          <w:tcPr>
            <w:tcW w:w="3240" w:type="dxa"/>
            <w:tcBorders>
              <w:top w:val="nil"/>
              <w:left w:val="nil"/>
              <w:bottom w:val="single" w:sz="4" w:space="0" w:color="auto"/>
              <w:right w:val="single" w:sz="4" w:space="0" w:color="auto"/>
            </w:tcBorders>
            <w:vAlign w:val="center"/>
            <w:hideMark/>
          </w:tcPr>
          <w:p w14:paraId="23731882" w14:textId="61B24204" w:rsidR="006A4B9E" w:rsidRPr="006A4B9E" w:rsidRDefault="006A4B9E" w:rsidP="006A4B9E">
            <w:pPr>
              <w:rPr>
                <w:rFonts w:ascii="Arial" w:hAnsi="Arial"/>
                <w:sz w:val="16"/>
              </w:rPr>
            </w:pPr>
            <w:r>
              <w:rPr>
                <w:rFonts w:ascii="Arial" w:hAnsi="Arial" w:cs="Arial"/>
                <w:color w:val="000000"/>
                <w:sz w:val="16"/>
                <w:szCs w:val="16"/>
              </w:rPr>
              <w:t>Unknown</w:t>
            </w:r>
          </w:p>
        </w:tc>
      </w:tr>
      <w:tr w:rsidR="006A4B9E" w:rsidRPr="008B546B" w14:paraId="2A1D4D42" w14:textId="77777777" w:rsidTr="006A4B9E">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73B98DF0" w14:textId="77777777" w:rsidR="006A4B9E" w:rsidRPr="008B546B" w:rsidRDefault="006A4B9E" w:rsidP="006A4B9E">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807" w:type="dxa"/>
            <w:tcBorders>
              <w:top w:val="single" w:sz="4" w:space="0" w:color="auto"/>
              <w:left w:val="nil"/>
              <w:bottom w:val="single" w:sz="4" w:space="0" w:color="auto"/>
              <w:right w:val="single" w:sz="4" w:space="0" w:color="auto"/>
            </w:tcBorders>
            <w:vAlign w:val="center"/>
            <w:hideMark/>
          </w:tcPr>
          <w:p w14:paraId="308726CD" w14:textId="4B4BF1B3" w:rsidR="006A4B9E" w:rsidRPr="00310702" w:rsidRDefault="006A4B9E" w:rsidP="006A4B9E">
            <w:pPr>
              <w:rPr>
                <w:rFonts w:ascii="Arial" w:hAnsi="Arial" w:cs="Arial"/>
                <w:sz w:val="16"/>
                <w:szCs w:val="16"/>
              </w:rPr>
            </w:pPr>
            <w:r w:rsidRPr="00310702">
              <w:rPr>
                <w:rFonts w:ascii="Arial" w:hAnsi="Arial" w:cs="Arial"/>
                <w:sz w:val="16"/>
                <w:szCs w:val="16"/>
              </w:rPr>
              <w:t>2-5 years</w:t>
            </w:r>
            <w:r>
              <w:rPr>
                <w:rFonts w:ascii="Arial" w:hAnsi="Arial" w:cs="Arial"/>
                <w:sz w:val="16"/>
                <w:szCs w:val="16"/>
              </w:rPr>
              <w:t xml:space="preserve"> (asphalt); 10-20 years (PCC_</w:t>
            </w:r>
          </w:p>
        </w:tc>
        <w:tc>
          <w:tcPr>
            <w:tcW w:w="3240" w:type="dxa"/>
            <w:tcBorders>
              <w:top w:val="nil"/>
              <w:left w:val="nil"/>
              <w:bottom w:val="single" w:sz="4" w:space="0" w:color="auto"/>
              <w:right w:val="single" w:sz="4" w:space="0" w:color="auto"/>
            </w:tcBorders>
            <w:vAlign w:val="center"/>
            <w:hideMark/>
          </w:tcPr>
          <w:p w14:paraId="589063A2" w14:textId="0E9B8B44" w:rsidR="006A4B9E" w:rsidRDefault="006A4B9E" w:rsidP="006A4B9E">
            <w:pPr>
              <w:rPr>
                <w:rFonts w:ascii="Arial" w:hAnsi="Arial" w:cs="Arial"/>
                <w:color w:val="000000"/>
                <w:sz w:val="16"/>
                <w:szCs w:val="16"/>
              </w:rPr>
            </w:pPr>
            <w:r>
              <w:rPr>
                <w:rFonts w:ascii="Arial" w:hAnsi="Arial" w:cs="Arial"/>
                <w:color w:val="000000"/>
                <w:sz w:val="16"/>
                <w:szCs w:val="16"/>
              </w:rPr>
              <w:t>3-5</w:t>
            </w:r>
            <w:r w:rsidRPr="006A4B9E">
              <w:rPr>
                <w:rFonts w:ascii="Arial" w:hAnsi="Arial"/>
                <w:sz w:val="16"/>
              </w:rPr>
              <w:t xml:space="preserve"> years</w:t>
            </w:r>
          </w:p>
          <w:p w14:paraId="4BE84EA1" w14:textId="3B842BC8" w:rsidR="006A4B9E" w:rsidRPr="00310702" w:rsidRDefault="006A4B9E" w:rsidP="006A4B9E">
            <w:pPr>
              <w:rPr>
                <w:rFonts w:ascii="Arial" w:hAnsi="Arial" w:cs="Arial"/>
                <w:sz w:val="16"/>
                <w:szCs w:val="16"/>
              </w:rPr>
            </w:pPr>
          </w:p>
        </w:tc>
      </w:tr>
    </w:tbl>
    <w:p w14:paraId="41299D7D"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627" w:type="dxa"/>
        <w:tblInd w:w="98" w:type="dxa"/>
        <w:tblLayout w:type="fixed"/>
        <w:tblLook w:val="04A0" w:firstRow="1" w:lastRow="0" w:firstColumn="1" w:lastColumn="0" w:noHBand="0" w:noVBand="1"/>
      </w:tblPr>
      <w:tblGrid>
        <w:gridCol w:w="1040"/>
        <w:gridCol w:w="1540"/>
        <w:gridCol w:w="3167"/>
        <w:gridCol w:w="2880"/>
      </w:tblGrid>
      <w:tr w:rsidR="0042403B" w:rsidRPr="008B546B" w14:paraId="7D8BC401" w14:textId="77777777" w:rsidTr="006A4B9E">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48BAD4F" w14:textId="003A7431"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sidR="00A57651">
              <w:rPr>
                <w:rFonts w:ascii="Bell MT" w:hAnsi="Bell MT" w:cs="Calibri"/>
                <w:b/>
                <w:bCs/>
                <w:color w:val="000000"/>
                <w:sz w:val="28"/>
                <w:szCs w:val="28"/>
              </w:rPr>
              <w:t>18</w:t>
            </w:r>
          </w:p>
          <w:p w14:paraId="2D8494EE" w14:textId="77777777" w:rsidR="002417C7" w:rsidRDefault="002417C7" w:rsidP="00BE3F24">
            <w:pPr>
              <w:jc w:val="center"/>
              <w:rPr>
                <w:rFonts w:ascii="Bell MT" w:hAnsi="Bell MT" w:cs="Calibri"/>
                <w:b/>
                <w:bCs/>
                <w:color w:val="000000"/>
                <w:sz w:val="28"/>
                <w:szCs w:val="28"/>
              </w:rPr>
            </w:pPr>
          </w:p>
          <w:p w14:paraId="52523139"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36372B7A" w14:textId="4CA7472C" w:rsidR="0042403B" w:rsidRPr="008B546B" w:rsidRDefault="0042403B" w:rsidP="006A4B9E">
            <w:pPr>
              <w:pStyle w:val="Heading3"/>
              <w:ind w:left="1349" w:hanging="1349"/>
            </w:pPr>
            <w:bookmarkStart w:id="81" w:name="_SUPPLEMENTAL_INFORMATION_FOR_19"/>
            <w:bookmarkEnd w:id="81"/>
            <w:r w:rsidRPr="008B546B">
              <w:t>SUPPLEMENTAL INFORMATION FOR TREATMENT</w:t>
            </w:r>
            <w:r>
              <w:t xml:space="preserve">S </w:t>
            </w:r>
            <w:r w:rsidR="00A57651">
              <w:t>G</w:t>
            </w:r>
            <w:r>
              <w:t xml:space="preserve">-3, </w:t>
            </w:r>
            <w:r w:rsidR="00A57651">
              <w:t>G</w:t>
            </w:r>
            <w:r>
              <w:t>-4</w:t>
            </w:r>
            <w:r w:rsidRPr="008B546B">
              <w:t> </w:t>
            </w:r>
          </w:p>
        </w:tc>
      </w:tr>
      <w:tr w:rsidR="0042403B" w:rsidRPr="008B546B" w14:paraId="67A75810" w14:textId="77777777" w:rsidTr="006A4B9E">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75EB4EA6" w14:textId="77777777" w:rsidR="0042403B" w:rsidRPr="008B546B" w:rsidRDefault="0042403B" w:rsidP="00BE3F24">
            <w:pPr>
              <w:rPr>
                <w:rFonts w:ascii="Bell MT" w:hAnsi="Bell MT" w:cs="Calibri"/>
                <w:b/>
                <w:bCs/>
                <w:color w:val="000000"/>
                <w:sz w:val="28"/>
                <w:szCs w:val="28"/>
              </w:rPr>
            </w:pPr>
          </w:p>
        </w:tc>
        <w:tc>
          <w:tcPr>
            <w:tcW w:w="3167" w:type="dxa"/>
            <w:vMerge w:val="restart"/>
            <w:tcBorders>
              <w:top w:val="nil"/>
              <w:left w:val="single" w:sz="4" w:space="0" w:color="auto"/>
              <w:bottom w:val="single" w:sz="4" w:space="0" w:color="auto"/>
              <w:right w:val="single" w:sz="4" w:space="0" w:color="auto"/>
            </w:tcBorders>
            <w:vAlign w:val="center"/>
            <w:hideMark/>
          </w:tcPr>
          <w:p w14:paraId="5F3532E9" w14:textId="250A87E6" w:rsidR="0042403B" w:rsidRDefault="00A57651" w:rsidP="00BE3F24">
            <w:pPr>
              <w:jc w:val="center"/>
              <w:rPr>
                <w:rFonts w:ascii="Arial" w:hAnsi="Arial" w:cs="Arial"/>
                <w:b/>
                <w:bCs/>
                <w:sz w:val="22"/>
                <w:szCs w:val="22"/>
              </w:rPr>
            </w:pPr>
            <w:hyperlink w:anchor="G3_Surface_Carbide_Grind" w:history="1">
              <w:r>
                <w:rPr>
                  <w:rStyle w:val="Hyperlink"/>
                  <w:rFonts w:ascii="Arial" w:hAnsi="Arial" w:cs="Arial"/>
                  <w:b/>
                  <w:bCs/>
                  <w:sz w:val="22"/>
                  <w:szCs w:val="22"/>
                </w:rPr>
                <w:t>G</w:t>
              </w:r>
              <w:r w:rsidR="0042403B" w:rsidRPr="00917730">
                <w:rPr>
                  <w:rStyle w:val="Hyperlink"/>
                  <w:rFonts w:ascii="Arial" w:hAnsi="Arial" w:cs="Arial"/>
                  <w:b/>
                  <w:bCs/>
                  <w:sz w:val="22"/>
                  <w:szCs w:val="22"/>
                </w:rPr>
                <w:t>-3. Surface Carbide Grinding</w:t>
              </w:r>
            </w:hyperlink>
          </w:p>
        </w:tc>
        <w:tc>
          <w:tcPr>
            <w:tcW w:w="2880" w:type="dxa"/>
            <w:vMerge w:val="restart"/>
            <w:tcBorders>
              <w:top w:val="nil"/>
              <w:left w:val="nil"/>
              <w:bottom w:val="single" w:sz="4" w:space="0" w:color="000000"/>
              <w:right w:val="single" w:sz="4" w:space="0" w:color="auto"/>
            </w:tcBorders>
            <w:vAlign w:val="center"/>
            <w:hideMark/>
          </w:tcPr>
          <w:p w14:paraId="16EEF12F" w14:textId="702CA214" w:rsidR="0042403B" w:rsidRDefault="00A57651" w:rsidP="00BE3F24">
            <w:pPr>
              <w:jc w:val="center"/>
              <w:rPr>
                <w:rFonts w:ascii="Arial" w:hAnsi="Arial" w:cs="Arial"/>
                <w:b/>
                <w:bCs/>
                <w:sz w:val="22"/>
                <w:szCs w:val="22"/>
              </w:rPr>
            </w:pPr>
            <w:hyperlink w:anchor="G4_Diamond_Groove" w:history="1">
              <w:r>
                <w:rPr>
                  <w:rStyle w:val="Hyperlink"/>
                  <w:rFonts w:ascii="Arial" w:hAnsi="Arial" w:cs="Arial"/>
                  <w:b/>
                  <w:bCs/>
                  <w:sz w:val="22"/>
                  <w:szCs w:val="22"/>
                </w:rPr>
                <w:t>G</w:t>
              </w:r>
              <w:r w:rsidR="0042403B" w:rsidRPr="00917730">
                <w:rPr>
                  <w:rStyle w:val="Hyperlink"/>
                  <w:rFonts w:ascii="Arial" w:hAnsi="Arial" w:cs="Arial"/>
                  <w:b/>
                  <w:bCs/>
                  <w:sz w:val="22"/>
                  <w:szCs w:val="22"/>
                </w:rPr>
                <w:t>-4. Diamond Grooving</w:t>
              </w:r>
            </w:hyperlink>
          </w:p>
        </w:tc>
      </w:tr>
      <w:tr w:rsidR="0042403B" w:rsidRPr="008B546B" w14:paraId="525B366F" w14:textId="77777777" w:rsidTr="006A4B9E">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19EA3C4D" w14:textId="77777777" w:rsidR="0042403B" w:rsidRPr="008B546B" w:rsidRDefault="0042403B" w:rsidP="00BE3F24">
            <w:pPr>
              <w:rPr>
                <w:rFonts w:ascii="Bell MT" w:hAnsi="Bell MT" w:cs="Calibri"/>
                <w:b/>
                <w:bCs/>
                <w:color w:val="000000"/>
                <w:sz w:val="28"/>
                <w:szCs w:val="28"/>
              </w:rPr>
            </w:pPr>
          </w:p>
        </w:tc>
        <w:tc>
          <w:tcPr>
            <w:tcW w:w="3167" w:type="dxa"/>
            <w:vMerge/>
            <w:tcBorders>
              <w:top w:val="nil"/>
              <w:left w:val="single" w:sz="4" w:space="0" w:color="auto"/>
              <w:bottom w:val="single" w:sz="4" w:space="0" w:color="auto"/>
              <w:right w:val="single" w:sz="4" w:space="0" w:color="auto"/>
            </w:tcBorders>
            <w:vAlign w:val="center"/>
            <w:hideMark/>
          </w:tcPr>
          <w:p w14:paraId="4A180B52" w14:textId="77777777" w:rsidR="0042403B" w:rsidRPr="008B546B" w:rsidRDefault="0042403B" w:rsidP="00BE3F24">
            <w:pPr>
              <w:rPr>
                <w:rFonts w:ascii="Arial" w:hAnsi="Arial" w:cs="Arial"/>
                <w:b/>
                <w:bCs/>
                <w:color w:val="000000"/>
                <w:sz w:val="22"/>
                <w:szCs w:val="22"/>
              </w:rPr>
            </w:pPr>
          </w:p>
        </w:tc>
        <w:tc>
          <w:tcPr>
            <w:tcW w:w="2880" w:type="dxa"/>
            <w:vMerge/>
            <w:tcBorders>
              <w:top w:val="nil"/>
              <w:left w:val="nil"/>
              <w:bottom w:val="single" w:sz="4" w:space="0" w:color="000000"/>
              <w:right w:val="single" w:sz="4" w:space="0" w:color="auto"/>
            </w:tcBorders>
            <w:vAlign w:val="center"/>
            <w:hideMark/>
          </w:tcPr>
          <w:p w14:paraId="17772F38" w14:textId="77777777" w:rsidR="0042403B" w:rsidRPr="008B546B" w:rsidRDefault="0042403B" w:rsidP="00BE3F24">
            <w:pPr>
              <w:rPr>
                <w:rFonts w:ascii="Arial" w:hAnsi="Arial" w:cs="Arial"/>
                <w:b/>
                <w:bCs/>
                <w:color w:val="000000"/>
                <w:sz w:val="22"/>
                <w:szCs w:val="22"/>
              </w:rPr>
            </w:pPr>
          </w:p>
        </w:tc>
      </w:tr>
      <w:tr w:rsidR="0042403B" w:rsidRPr="008B546B" w14:paraId="51DB53EB" w14:textId="77777777" w:rsidTr="006A4B9E">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104417EB"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1F5652D0"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3167" w:type="dxa"/>
            <w:tcBorders>
              <w:top w:val="nil"/>
              <w:left w:val="nil"/>
              <w:bottom w:val="single" w:sz="4" w:space="0" w:color="auto"/>
              <w:right w:val="single" w:sz="4" w:space="0" w:color="auto"/>
            </w:tcBorders>
            <w:vAlign w:val="center"/>
            <w:hideMark/>
          </w:tcPr>
          <w:p w14:paraId="4DB3B121"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019F2857" w14:textId="77777777" w:rsidR="0042403B" w:rsidRPr="008B546B" w:rsidRDefault="0042403B" w:rsidP="00BE3F24">
            <w:pPr>
              <w:jc w:val="center"/>
              <w:rPr>
                <w:rFonts w:ascii="Arial" w:hAnsi="Arial" w:cs="Arial"/>
                <w:b/>
                <w:bCs/>
                <w:color w:val="000000"/>
                <w:sz w:val="16"/>
                <w:szCs w:val="16"/>
              </w:rPr>
            </w:pPr>
          </w:p>
        </w:tc>
      </w:tr>
      <w:tr w:rsidR="0042403B" w:rsidRPr="008B546B" w14:paraId="6D1003F1"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662F2EB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B1F3D2E" w14:textId="73004D5B"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3167" w:type="dxa"/>
            <w:tcBorders>
              <w:top w:val="nil"/>
              <w:left w:val="nil"/>
              <w:bottom w:val="single" w:sz="4" w:space="0" w:color="auto"/>
              <w:right w:val="single" w:sz="4" w:space="0" w:color="auto"/>
            </w:tcBorders>
            <w:vAlign w:val="center"/>
            <w:hideMark/>
          </w:tcPr>
          <w:p w14:paraId="387AD15F"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5ABF042C" w14:textId="77777777" w:rsidR="0042403B" w:rsidRPr="008B546B" w:rsidRDefault="0042403B" w:rsidP="00BE3F24">
            <w:pPr>
              <w:jc w:val="center"/>
              <w:rPr>
                <w:rFonts w:ascii="Arial" w:hAnsi="Arial" w:cs="Arial"/>
                <w:b/>
                <w:bCs/>
                <w:color w:val="000000"/>
                <w:sz w:val="16"/>
                <w:szCs w:val="16"/>
              </w:rPr>
            </w:pPr>
          </w:p>
        </w:tc>
      </w:tr>
      <w:tr w:rsidR="0042403B" w:rsidRPr="008B546B" w14:paraId="7ADF7D79"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A742D5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5FC0E96" w14:textId="6DA4A1CE"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3167" w:type="dxa"/>
            <w:tcBorders>
              <w:top w:val="nil"/>
              <w:left w:val="nil"/>
              <w:bottom w:val="single" w:sz="4" w:space="0" w:color="auto"/>
              <w:right w:val="single" w:sz="4" w:space="0" w:color="auto"/>
            </w:tcBorders>
            <w:vAlign w:val="center"/>
            <w:hideMark/>
          </w:tcPr>
          <w:p w14:paraId="61C8823B"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64390772" w14:textId="77777777" w:rsidR="0042403B" w:rsidRPr="008B546B" w:rsidRDefault="0042403B" w:rsidP="00BE3F24">
            <w:pPr>
              <w:jc w:val="center"/>
              <w:rPr>
                <w:rFonts w:ascii="Arial" w:hAnsi="Arial" w:cs="Arial"/>
                <w:b/>
                <w:bCs/>
                <w:color w:val="000000"/>
                <w:sz w:val="16"/>
                <w:szCs w:val="16"/>
              </w:rPr>
            </w:pPr>
          </w:p>
        </w:tc>
      </w:tr>
      <w:tr w:rsidR="0042403B" w:rsidRPr="008B546B" w14:paraId="6FF5D640"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6ADD7BB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DE05048"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3167" w:type="dxa"/>
            <w:tcBorders>
              <w:top w:val="nil"/>
              <w:left w:val="nil"/>
              <w:bottom w:val="single" w:sz="4" w:space="0" w:color="auto"/>
              <w:right w:val="single" w:sz="4" w:space="0" w:color="auto"/>
            </w:tcBorders>
            <w:vAlign w:val="center"/>
            <w:hideMark/>
          </w:tcPr>
          <w:p w14:paraId="3174BF89"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66E4BB64" w14:textId="77777777" w:rsidR="0042403B" w:rsidRPr="008B546B" w:rsidRDefault="0042403B" w:rsidP="00BE3F24">
            <w:pPr>
              <w:jc w:val="center"/>
              <w:rPr>
                <w:rFonts w:ascii="Arial" w:hAnsi="Arial" w:cs="Arial"/>
                <w:b/>
                <w:bCs/>
                <w:color w:val="000000"/>
                <w:sz w:val="16"/>
                <w:szCs w:val="16"/>
              </w:rPr>
            </w:pPr>
          </w:p>
        </w:tc>
      </w:tr>
      <w:tr w:rsidR="0042403B" w:rsidRPr="008B546B" w14:paraId="709548F6"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52936C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92869DB"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3167" w:type="dxa"/>
            <w:tcBorders>
              <w:top w:val="nil"/>
              <w:left w:val="nil"/>
              <w:bottom w:val="single" w:sz="4" w:space="0" w:color="auto"/>
              <w:right w:val="single" w:sz="4" w:space="0" w:color="auto"/>
            </w:tcBorders>
            <w:vAlign w:val="center"/>
            <w:hideMark/>
          </w:tcPr>
          <w:p w14:paraId="7E71DB69"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c>
          <w:tcPr>
            <w:tcW w:w="2880" w:type="dxa"/>
            <w:tcBorders>
              <w:top w:val="nil"/>
              <w:left w:val="nil"/>
              <w:bottom w:val="single" w:sz="4" w:space="0" w:color="auto"/>
              <w:right w:val="single" w:sz="4" w:space="0" w:color="auto"/>
            </w:tcBorders>
            <w:vAlign w:val="center"/>
            <w:hideMark/>
          </w:tcPr>
          <w:p w14:paraId="70FB37B7" w14:textId="77777777" w:rsidR="0042403B" w:rsidRPr="008B546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4DE975F2" w14:textId="77777777" w:rsidTr="006A4B9E">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A1CEB5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27D710D"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3167" w:type="dxa"/>
            <w:tcBorders>
              <w:top w:val="nil"/>
              <w:left w:val="nil"/>
              <w:bottom w:val="single" w:sz="4" w:space="0" w:color="auto"/>
              <w:right w:val="single" w:sz="4" w:space="0" w:color="auto"/>
            </w:tcBorders>
            <w:vAlign w:val="center"/>
            <w:hideMark/>
          </w:tcPr>
          <w:p w14:paraId="1166D0A6" w14:textId="77777777" w:rsidR="0042403B" w:rsidRDefault="0042403B" w:rsidP="00BE3F24">
            <w:pPr>
              <w:jc w:val="center"/>
              <w:rPr>
                <w:rFonts w:ascii="Arial" w:hAnsi="Arial" w:cs="Arial"/>
                <w:b/>
                <w:bCs/>
                <w:color w:val="000000"/>
                <w:sz w:val="16"/>
                <w:szCs w:val="16"/>
              </w:rPr>
            </w:pPr>
          </w:p>
        </w:tc>
        <w:tc>
          <w:tcPr>
            <w:tcW w:w="2880" w:type="dxa"/>
            <w:tcBorders>
              <w:top w:val="nil"/>
              <w:left w:val="nil"/>
              <w:bottom w:val="single" w:sz="4" w:space="0" w:color="auto"/>
              <w:right w:val="single" w:sz="4" w:space="0" w:color="auto"/>
            </w:tcBorders>
            <w:vAlign w:val="center"/>
            <w:hideMark/>
          </w:tcPr>
          <w:p w14:paraId="305F2A60" w14:textId="77777777" w:rsidR="0042403B" w:rsidRPr="008B546B" w:rsidRDefault="0042403B" w:rsidP="00BE3F24">
            <w:pPr>
              <w:jc w:val="center"/>
              <w:rPr>
                <w:rFonts w:ascii="Arial" w:hAnsi="Arial" w:cs="Arial"/>
                <w:b/>
                <w:bCs/>
                <w:color w:val="000000"/>
                <w:sz w:val="16"/>
                <w:szCs w:val="16"/>
              </w:rPr>
            </w:pPr>
          </w:p>
        </w:tc>
      </w:tr>
      <w:tr w:rsidR="0042403B" w:rsidRPr="008B546B" w14:paraId="00CDF4EF" w14:textId="77777777" w:rsidTr="006A4B9E">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105EB349" w14:textId="5FE03E84"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3167" w:type="dxa"/>
            <w:tcBorders>
              <w:top w:val="nil"/>
              <w:left w:val="nil"/>
              <w:bottom w:val="single" w:sz="4" w:space="0" w:color="auto"/>
              <w:right w:val="single" w:sz="4" w:space="0" w:color="auto"/>
            </w:tcBorders>
            <w:hideMark/>
          </w:tcPr>
          <w:p w14:paraId="1C10C05A" w14:textId="38CB3056" w:rsidR="0042403B" w:rsidRPr="00F45F80" w:rsidRDefault="0042403B" w:rsidP="006021E1">
            <w:pPr>
              <w:rPr>
                <w:rFonts w:ascii="Arial" w:hAnsi="Arial" w:cs="Arial"/>
                <w:sz w:val="16"/>
                <w:szCs w:val="16"/>
              </w:rPr>
            </w:pPr>
            <w:r w:rsidRPr="00F45F80">
              <w:rPr>
                <w:rFonts w:ascii="Arial" w:hAnsi="Arial" w:cs="Arial"/>
                <w:sz w:val="16"/>
                <w:szCs w:val="16"/>
              </w:rPr>
              <w:t xml:space="preserve">1. Remove surface </w:t>
            </w:r>
            <w:r w:rsidR="006021E1" w:rsidRPr="00F45F80">
              <w:rPr>
                <w:rFonts w:ascii="Arial" w:hAnsi="Arial" w:cs="Arial"/>
                <w:sz w:val="16"/>
                <w:szCs w:val="16"/>
              </w:rPr>
              <w:t>distress</w:t>
            </w:r>
            <w:r w:rsidR="006021E1">
              <w:rPr>
                <w:rFonts w:ascii="Arial" w:hAnsi="Arial" w:cs="Arial"/>
                <w:sz w:val="16"/>
                <w:szCs w:val="16"/>
              </w:rPr>
              <w:t>.</w:t>
            </w:r>
            <w:r w:rsidRPr="00F45F80">
              <w:rPr>
                <w:rFonts w:ascii="Arial" w:hAnsi="Arial" w:cs="Arial"/>
                <w:sz w:val="16"/>
                <w:szCs w:val="16"/>
              </w:rPr>
              <w:br/>
              <w:t>2. Facilitates better bonding of the new overlay with the existing overlay.</w:t>
            </w:r>
            <w:r w:rsidRPr="00F45F80">
              <w:rPr>
                <w:rFonts w:ascii="Arial" w:hAnsi="Arial" w:cs="Arial"/>
                <w:sz w:val="16"/>
                <w:szCs w:val="16"/>
              </w:rPr>
              <w:br/>
              <w:t>3. This technique can be used independently to improve friction.</w:t>
            </w:r>
            <w:r w:rsidRPr="00F45F80">
              <w:rPr>
                <w:rFonts w:ascii="Arial" w:hAnsi="Arial" w:cs="Arial"/>
                <w:sz w:val="16"/>
                <w:szCs w:val="16"/>
              </w:rPr>
              <w:br/>
              <w:t>4. PCI (post-grinding) can be significantly higher.</w:t>
            </w:r>
          </w:p>
        </w:tc>
        <w:tc>
          <w:tcPr>
            <w:tcW w:w="2880" w:type="dxa"/>
            <w:tcBorders>
              <w:top w:val="nil"/>
              <w:left w:val="nil"/>
              <w:bottom w:val="single" w:sz="4" w:space="0" w:color="auto"/>
              <w:right w:val="single" w:sz="4" w:space="0" w:color="auto"/>
            </w:tcBorders>
            <w:hideMark/>
          </w:tcPr>
          <w:p w14:paraId="49B00573" w14:textId="77777777" w:rsidR="0042403B" w:rsidRPr="00F45F80" w:rsidRDefault="0042403B" w:rsidP="00BE3F24">
            <w:pPr>
              <w:spacing w:after="240"/>
              <w:rPr>
                <w:rFonts w:ascii="Arial" w:hAnsi="Arial" w:cs="Arial"/>
                <w:sz w:val="16"/>
                <w:szCs w:val="16"/>
              </w:rPr>
            </w:pPr>
            <w:r w:rsidRPr="00F45F80">
              <w:rPr>
                <w:rFonts w:ascii="Arial" w:hAnsi="Arial" w:cs="Arial"/>
                <w:sz w:val="16"/>
                <w:szCs w:val="16"/>
              </w:rPr>
              <w:t>1. Provides surface with excellent braking traction, therefore reducing wet weather accidents.</w:t>
            </w:r>
            <w:r w:rsidRPr="00F45F80">
              <w:rPr>
                <w:rFonts w:ascii="Arial" w:hAnsi="Arial" w:cs="Arial"/>
                <w:sz w:val="16"/>
                <w:szCs w:val="16"/>
              </w:rPr>
              <w:br/>
            </w:r>
            <w:r w:rsidRPr="00F45F80">
              <w:rPr>
                <w:rFonts w:ascii="Arial" w:hAnsi="Arial" w:cs="Arial"/>
                <w:strike/>
                <w:sz w:val="16"/>
                <w:szCs w:val="16"/>
              </w:rPr>
              <w:t xml:space="preserve"> </w:t>
            </w:r>
          </w:p>
        </w:tc>
      </w:tr>
      <w:tr w:rsidR="0042403B" w:rsidRPr="008B546B" w14:paraId="06B28341" w14:textId="77777777" w:rsidTr="006A4B9E">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783A145E" w14:textId="660A19AC"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3167" w:type="dxa"/>
            <w:tcBorders>
              <w:top w:val="nil"/>
              <w:left w:val="nil"/>
              <w:bottom w:val="single" w:sz="4" w:space="0" w:color="auto"/>
              <w:right w:val="single" w:sz="4" w:space="0" w:color="auto"/>
            </w:tcBorders>
            <w:hideMark/>
          </w:tcPr>
          <w:p w14:paraId="672C460B" w14:textId="0EB3BA87" w:rsidR="0042403B" w:rsidRPr="00F45F80" w:rsidRDefault="0042403B" w:rsidP="00BE3F24">
            <w:pPr>
              <w:rPr>
                <w:rFonts w:ascii="Arial" w:hAnsi="Arial" w:cs="Arial"/>
                <w:sz w:val="16"/>
                <w:szCs w:val="16"/>
              </w:rPr>
            </w:pPr>
            <w:r w:rsidRPr="00F45F80">
              <w:rPr>
                <w:rFonts w:ascii="Arial" w:hAnsi="Arial" w:cs="Arial"/>
                <w:sz w:val="16"/>
                <w:szCs w:val="16"/>
              </w:rPr>
              <w:t>1. Reduced structural capacity reduces design life, overlay needs to be placed ASAP.</w:t>
            </w:r>
            <w:r w:rsidRPr="00F45F80">
              <w:rPr>
                <w:rFonts w:ascii="Arial" w:hAnsi="Arial" w:cs="Arial"/>
                <w:sz w:val="16"/>
                <w:szCs w:val="16"/>
              </w:rPr>
              <w:br/>
              <w:t>2. Rough ride and loose debris if open to traffic, overlay needs to be placed ASAP.</w:t>
            </w:r>
            <w:r w:rsidRPr="00F45F80">
              <w:rPr>
                <w:rFonts w:ascii="Arial" w:hAnsi="Arial" w:cs="Arial"/>
                <w:sz w:val="16"/>
                <w:szCs w:val="16"/>
              </w:rPr>
              <w:br/>
              <w:t>3. Costlier compared to just overlay or wedge/level</w:t>
            </w:r>
            <w:r w:rsidR="006021E1">
              <w:rPr>
                <w:rFonts w:ascii="Arial" w:hAnsi="Arial" w:cs="Arial"/>
                <w:sz w:val="16"/>
                <w:szCs w:val="16"/>
              </w:rPr>
              <w:t>.</w:t>
            </w:r>
          </w:p>
        </w:tc>
        <w:tc>
          <w:tcPr>
            <w:tcW w:w="2880" w:type="dxa"/>
            <w:tcBorders>
              <w:top w:val="nil"/>
              <w:left w:val="nil"/>
              <w:bottom w:val="single" w:sz="4" w:space="0" w:color="auto"/>
              <w:right w:val="single" w:sz="4" w:space="0" w:color="auto"/>
            </w:tcBorders>
            <w:hideMark/>
          </w:tcPr>
          <w:p w14:paraId="28880EF5" w14:textId="2C87D1CC" w:rsidR="0042403B" w:rsidRPr="00F45F80" w:rsidRDefault="0042403B" w:rsidP="00BE3F24">
            <w:pPr>
              <w:rPr>
                <w:rFonts w:ascii="Arial" w:hAnsi="Arial" w:cs="Arial"/>
                <w:sz w:val="16"/>
                <w:szCs w:val="16"/>
              </w:rPr>
            </w:pPr>
            <w:r w:rsidRPr="00F45F80">
              <w:rPr>
                <w:rFonts w:ascii="Arial" w:hAnsi="Arial" w:cs="Arial"/>
                <w:sz w:val="16"/>
                <w:szCs w:val="16"/>
              </w:rPr>
              <w:t xml:space="preserve">1. Limitation of </w:t>
            </w:r>
            <w:r w:rsidR="006021E1">
              <w:rPr>
                <w:rFonts w:ascii="Arial" w:hAnsi="Arial" w:cs="Arial"/>
                <w:sz w:val="16"/>
                <w:szCs w:val="16"/>
              </w:rPr>
              <w:t>l</w:t>
            </w:r>
            <w:r w:rsidRPr="00F45F80">
              <w:rPr>
                <w:rFonts w:ascii="Arial" w:hAnsi="Arial" w:cs="Arial"/>
                <w:sz w:val="16"/>
                <w:szCs w:val="16"/>
              </w:rPr>
              <w:t>ongitudinal grooving is the "</w:t>
            </w:r>
            <w:r>
              <w:rPr>
                <w:rFonts w:ascii="Arial" w:hAnsi="Arial" w:cs="Arial"/>
                <w:sz w:val="16"/>
                <w:szCs w:val="16"/>
              </w:rPr>
              <w:t>wiggle</w:t>
            </w:r>
            <w:r w:rsidRPr="00F45F80">
              <w:rPr>
                <w:rFonts w:ascii="Arial" w:hAnsi="Arial" w:cs="Arial"/>
                <w:sz w:val="16"/>
                <w:szCs w:val="16"/>
              </w:rPr>
              <w:t>" (small lateral movement) that small vehicles and motorcycles may encounter. This may be mitigated by limiting the groove spacing to 3/4" and using 0.125" wide grooves.</w:t>
            </w:r>
          </w:p>
        </w:tc>
      </w:tr>
      <w:tr w:rsidR="0042403B" w:rsidRPr="008B546B" w14:paraId="2C58E66A" w14:textId="77777777" w:rsidTr="006A4B9E">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09621B93"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13C88A68"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3167" w:type="dxa"/>
            <w:tcBorders>
              <w:top w:val="nil"/>
              <w:left w:val="nil"/>
              <w:bottom w:val="single" w:sz="4" w:space="0" w:color="auto"/>
              <w:right w:val="single" w:sz="4" w:space="0" w:color="auto"/>
            </w:tcBorders>
            <w:vAlign w:val="center"/>
            <w:hideMark/>
          </w:tcPr>
          <w:p w14:paraId="0F726D82" w14:textId="718851AD" w:rsidR="0042403B" w:rsidRPr="00F45F80" w:rsidRDefault="0042403B" w:rsidP="00BE3F24">
            <w:pPr>
              <w:rPr>
                <w:rFonts w:ascii="Arial" w:hAnsi="Arial" w:cs="Arial"/>
                <w:sz w:val="16"/>
                <w:szCs w:val="16"/>
              </w:rPr>
            </w:pPr>
            <w:r w:rsidRPr="00F45F80">
              <w:rPr>
                <w:rFonts w:ascii="Arial" w:hAnsi="Arial" w:cs="Arial"/>
                <w:sz w:val="16"/>
                <w:szCs w:val="16"/>
              </w:rPr>
              <w:t>$5.7 /SY</w:t>
            </w:r>
          </w:p>
        </w:tc>
        <w:tc>
          <w:tcPr>
            <w:tcW w:w="2880" w:type="dxa"/>
            <w:vMerge w:val="restart"/>
            <w:tcBorders>
              <w:top w:val="nil"/>
              <w:left w:val="nil"/>
              <w:right w:val="single" w:sz="4" w:space="0" w:color="auto"/>
            </w:tcBorders>
            <w:vAlign w:val="center"/>
            <w:hideMark/>
          </w:tcPr>
          <w:p w14:paraId="33DFD0C5" w14:textId="772CAB58" w:rsidR="0042403B" w:rsidRPr="00F45F80" w:rsidRDefault="0042403B" w:rsidP="00BE3F24">
            <w:pPr>
              <w:rPr>
                <w:rFonts w:ascii="Arial" w:hAnsi="Arial" w:cs="Arial"/>
                <w:sz w:val="16"/>
                <w:szCs w:val="16"/>
              </w:rPr>
            </w:pPr>
            <w:r w:rsidRPr="00F45F80">
              <w:rPr>
                <w:rFonts w:ascii="Arial" w:hAnsi="Arial" w:cs="Arial"/>
                <w:sz w:val="16"/>
                <w:szCs w:val="16"/>
              </w:rPr>
              <w:t>$1.25</w:t>
            </w:r>
            <w:r w:rsidR="006021E1" w:rsidRPr="006A4B9E">
              <w:rPr>
                <w:rFonts w:ascii="Arial" w:hAnsi="Arial"/>
                <w:color w:val="000000"/>
                <w:sz w:val="16"/>
              </w:rPr>
              <w:t xml:space="preserve"> </w:t>
            </w:r>
            <w:r w:rsidR="006021E1">
              <w:rPr>
                <w:rFonts w:ascii="Arial" w:hAnsi="Arial" w:cs="Arial"/>
                <w:color w:val="000000"/>
                <w:sz w:val="16"/>
                <w:szCs w:val="16"/>
              </w:rPr>
              <w:t>–</w:t>
            </w:r>
            <w:r w:rsidR="006021E1" w:rsidRPr="006A4B9E">
              <w:rPr>
                <w:rFonts w:ascii="Arial" w:hAnsi="Arial"/>
                <w:color w:val="000000"/>
                <w:sz w:val="16"/>
              </w:rPr>
              <w:t xml:space="preserve"> </w:t>
            </w:r>
            <w:r w:rsidRPr="00F45F80">
              <w:rPr>
                <w:rFonts w:ascii="Arial" w:hAnsi="Arial" w:cs="Arial"/>
                <w:sz w:val="16"/>
                <w:szCs w:val="16"/>
              </w:rPr>
              <w:t>$3 /SY in 1998</w:t>
            </w:r>
          </w:p>
        </w:tc>
      </w:tr>
      <w:tr w:rsidR="0042403B" w:rsidRPr="008B546B" w14:paraId="6C429B83" w14:textId="77777777" w:rsidTr="006A4B9E">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98C49F8"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5FEAAA7"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3167" w:type="dxa"/>
            <w:tcBorders>
              <w:top w:val="nil"/>
              <w:left w:val="nil"/>
              <w:bottom w:val="single" w:sz="4" w:space="0" w:color="auto"/>
              <w:right w:val="single" w:sz="4" w:space="0" w:color="auto"/>
            </w:tcBorders>
            <w:vAlign w:val="center"/>
            <w:hideMark/>
          </w:tcPr>
          <w:p w14:paraId="55E5904C" w14:textId="07B64C8D" w:rsidR="0042403B" w:rsidRPr="00F45F80" w:rsidRDefault="0042403B" w:rsidP="00BE3F24">
            <w:pPr>
              <w:rPr>
                <w:rFonts w:ascii="Arial" w:hAnsi="Arial" w:cs="Arial"/>
                <w:sz w:val="16"/>
                <w:szCs w:val="16"/>
              </w:rPr>
            </w:pPr>
            <w:r w:rsidRPr="00F45F80">
              <w:rPr>
                <w:rFonts w:ascii="Arial" w:hAnsi="Arial" w:cs="Arial"/>
                <w:sz w:val="16"/>
                <w:szCs w:val="16"/>
              </w:rPr>
              <w:t>$2.4 /SY</w:t>
            </w:r>
          </w:p>
        </w:tc>
        <w:tc>
          <w:tcPr>
            <w:tcW w:w="2880" w:type="dxa"/>
            <w:vMerge/>
            <w:tcBorders>
              <w:left w:val="nil"/>
              <w:right w:val="single" w:sz="4" w:space="0" w:color="auto"/>
            </w:tcBorders>
            <w:vAlign w:val="center"/>
            <w:hideMark/>
          </w:tcPr>
          <w:p w14:paraId="62DDA653" w14:textId="77777777" w:rsidR="0042403B" w:rsidRPr="00F45F80" w:rsidRDefault="0042403B" w:rsidP="00BE3F24">
            <w:pPr>
              <w:rPr>
                <w:rFonts w:ascii="Arial" w:hAnsi="Arial" w:cs="Arial"/>
                <w:sz w:val="16"/>
                <w:szCs w:val="16"/>
              </w:rPr>
            </w:pPr>
          </w:p>
        </w:tc>
      </w:tr>
      <w:tr w:rsidR="0042403B" w:rsidRPr="008B546B" w14:paraId="1957CBF6" w14:textId="77777777" w:rsidTr="006A4B9E">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254D6D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1BC3DA3E"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3167" w:type="dxa"/>
            <w:tcBorders>
              <w:top w:val="nil"/>
              <w:left w:val="nil"/>
              <w:bottom w:val="single" w:sz="4" w:space="0" w:color="auto"/>
              <w:right w:val="single" w:sz="4" w:space="0" w:color="auto"/>
            </w:tcBorders>
            <w:vAlign w:val="center"/>
            <w:hideMark/>
          </w:tcPr>
          <w:p w14:paraId="43983CF6" w14:textId="77A3812E" w:rsidR="0042403B" w:rsidRPr="00F45F80" w:rsidRDefault="0042403B" w:rsidP="00BE3F24">
            <w:pPr>
              <w:rPr>
                <w:rFonts w:ascii="Arial" w:hAnsi="Arial" w:cs="Arial"/>
                <w:sz w:val="16"/>
                <w:szCs w:val="16"/>
              </w:rPr>
            </w:pPr>
            <w:r w:rsidRPr="00F45F80">
              <w:rPr>
                <w:rFonts w:ascii="Arial" w:hAnsi="Arial" w:cs="Arial"/>
                <w:sz w:val="16"/>
                <w:szCs w:val="16"/>
              </w:rPr>
              <w:t>$1.5 /SY</w:t>
            </w:r>
          </w:p>
        </w:tc>
        <w:tc>
          <w:tcPr>
            <w:tcW w:w="2880" w:type="dxa"/>
            <w:vMerge/>
            <w:tcBorders>
              <w:left w:val="nil"/>
              <w:bottom w:val="single" w:sz="4" w:space="0" w:color="auto"/>
              <w:right w:val="single" w:sz="4" w:space="0" w:color="auto"/>
            </w:tcBorders>
            <w:vAlign w:val="center"/>
            <w:hideMark/>
          </w:tcPr>
          <w:p w14:paraId="42678B4C" w14:textId="77777777" w:rsidR="0042403B" w:rsidRPr="00F45F80" w:rsidRDefault="0042403B" w:rsidP="00BE3F24">
            <w:pPr>
              <w:rPr>
                <w:rFonts w:ascii="Arial" w:hAnsi="Arial" w:cs="Arial"/>
                <w:sz w:val="16"/>
                <w:szCs w:val="16"/>
              </w:rPr>
            </w:pPr>
          </w:p>
        </w:tc>
      </w:tr>
      <w:tr w:rsidR="0042403B" w:rsidRPr="008B546B" w14:paraId="15D3F91B" w14:textId="77777777" w:rsidTr="006A4B9E">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8385EAD"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595098A"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3167" w:type="dxa"/>
            <w:tcBorders>
              <w:top w:val="nil"/>
              <w:left w:val="nil"/>
              <w:bottom w:val="single" w:sz="4" w:space="0" w:color="auto"/>
              <w:right w:val="single" w:sz="4" w:space="0" w:color="auto"/>
            </w:tcBorders>
            <w:vAlign w:val="center"/>
            <w:hideMark/>
          </w:tcPr>
          <w:p w14:paraId="419B9BD2" w14:textId="77777777" w:rsidR="0042403B" w:rsidRPr="00F45F80" w:rsidRDefault="0042403B" w:rsidP="00BE3F24">
            <w:pPr>
              <w:rPr>
                <w:rFonts w:ascii="Arial" w:hAnsi="Arial" w:cs="Arial"/>
                <w:sz w:val="16"/>
                <w:szCs w:val="16"/>
              </w:rPr>
            </w:pPr>
            <w:r w:rsidRPr="00F45F80">
              <w:rPr>
                <w:rFonts w:ascii="Arial" w:hAnsi="Arial" w:cs="Arial"/>
                <w:sz w:val="16"/>
                <w:szCs w:val="16"/>
              </w:rPr>
              <w:t>See Definition</w:t>
            </w:r>
          </w:p>
        </w:tc>
        <w:tc>
          <w:tcPr>
            <w:tcW w:w="2880" w:type="dxa"/>
            <w:tcBorders>
              <w:top w:val="nil"/>
              <w:left w:val="nil"/>
              <w:bottom w:val="single" w:sz="4" w:space="0" w:color="auto"/>
              <w:right w:val="single" w:sz="4" w:space="0" w:color="auto"/>
            </w:tcBorders>
            <w:vAlign w:val="center"/>
            <w:hideMark/>
          </w:tcPr>
          <w:p w14:paraId="09B592F8" w14:textId="77777777" w:rsidR="0042403B" w:rsidRPr="00F45F80" w:rsidRDefault="0042403B" w:rsidP="00BE3F24">
            <w:pPr>
              <w:rPr>
                <w:rFonts w:ascii="Arial" w:hAnsi="Arial" w:cs="Arial"/>
                <w:sz w:val="16"/>
                <w:szCs w:val="16"/>
              </w:rPr>
            </w:pPr>
            <w:r w:rsidRPr="00F45F80">
              <w:rPr>
                <w:rFonts w:ascii="Arial" w:hAnsi="Arial" w:cs="Arial"/>
                <w:sz w:val="16"/>
                <w:szCs w:val="16"/>
              </w:rPr>
              <w:t>Unknown</w:t>
            </w:r>
          </w:p>
        </w:tc>
      </w:tr>
      <w:tr w:rsidR="0042403B" w:rsidRPr="008B546B" w14:paraId="5758DFBD" w14:textId="77777777" w:rsidTr="006A4B9E">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0083F7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776F2EC"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3167" w:type="dxa"/>
            <w:tcBorders>
              <w:top w:val="nil"/>
              <w:left w:val="nil"/>
              <w:bottom w:val="single" w:sz="4" w:space="0" w:color="auto"/>
              <w:right w:val="single" w:sz="4" w:space="0" w:color="auto"/>
            </w:tcBorders>
            <w:vAlign w:val="center"/>
            <w:hideMark/>
          </w:tcPr>
          <w:p w14:paraId="095220E7" w14:textId="77777777" w:rsidR="0042403B" w:rsidRPr="00F45F80" w:rsidRDefault="0042403B" w:rsidP="00BE3F24">
            <w:pPr>
              <w:rPr>
                <w:rFonts w:ascii="Arial" w:hAnsi="Arial" w:cs="Arial"/>
                <w:sz w:val="16"/>
                <w:szCs w:val="16"/>
              </w:rPr>
            </w:pPr>
            <w:r w:rsidRPr="00F45F80">
              <w:rPr>
                <w:rFonts w:ascii="Arial" w:hAnsi="Arial" w:cs="Arial"/>
                <w:sz w:val="16"/>
                <w:szCs w:val="16"/>
              </w:rPr>
              <w:t>See Definition</w:t>
            </w:r>
          </w:p>
        </w:tc>
        <w:tc>
          <w:tcPr>
            <w:tcW w:w="2880" w:type="dxa"/>
            <w:tcBorders>
              <w:top w:val="nil"/>
              <w:left w:val="nil"/>
              <w:bottom w:val="single" w:sz="4" w:space="0" w:color="auto"/>
              <w:right w:val="single" w:sz="4" w:space="0" w:color="auto"/>
            </w:tcBorders>
            <w:vAlign w:val="center"/>
            <w:hideMark/>
          </w:tcPr>
          <w:p w14:paraId="2EC504E0" w14:textId="77777777" w:rsidR="0042403B" w:rsidRPr="00F45F80" w:rsidRDefault="0042403B" w:rsidP="00BE3F24">
            <w:pPr>
              <w:rPr>
                <w:rFonts w:ascii="Arial" w:hAnsi="Arial" w:cs="Arial"/>
                <w:sz w:val="16"/>
                <w:szCs w:val="16"/>
              </w:rPr>
            </w:pPr>
            <w:r w:rsidRPr="00F45F80">
              <w:rPr>
                <w:rFonts w:ascii="Arial" w:hAnsi="Arial" w:cs="Arial"/>
                <w:sz w:val="16"/>
                <w:szCs w:val="16"/>
              </w:rPr>
              <w:t>Unknown</w:t>
            </w:r>
          </w:p>
        </w:tc>
      </w:tr>
      <w:tr w:rsidR="0042403B" w:rsidRPr="008B546B" w14:paraId="0A778F30" w14:textId="77777777" w:rsidTr="006A4B9E">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078C31C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3167" w:type="dxa"/>
            <w:tcBorders>
              <w:top w:val="single" w:sz="4" w:space="0" w:color="auto"/>
              <w:left w:val="nil"/>
              <w:bottom w:val="single" w:sz="4" w:space="0" w:color="auto"/>
              <w:right w:val="single" w:sz="4" w:space="0" w:color="auto"/>
            </w:tcBorders>
            <w:vAlign w:val="center"/>
            <w:hideMark/>
          </w:tcPr>
          <w:p w14:paraId="285D4F4B" w14:textId="77777777" w:rsidR="0042403B" w:rsidRPr="00F45F80" w:rsidRDefault="0042403B" w:rsidP="00BE3F24">
            <w:pPr>
              <w:rPr>
                <w:rFonts w:ascii="Arial" w:hAnsi="Arial" w:cs="Arial"/>
                <w:sz w:val="16"/>
                <w:szCs w:val="16"/>
              </w:rPr>
            </w:pPr>
            <w:r w:rsidRPr="00F45F80">
              <w:rPr>
                <w:rFonts w:ascii="Arial" w:hAnsi="Arial" w:cs="Arial"/>
                <w:sz w:val="16"/>
                <w:szCs w:val="16"/>
              </w:rPr>
              <w:t>N/A</w:t>
            </w:r>
          </w:p>
        </w:tc>
        <w:tc>
          <w:tcPr>
            <w:tcW w:w="2880" w:type="dxa"/>
            <w:tcBorders>
              <w:top w:val="nil"/>
              <w:left w:val="nil"/>
              <w:bottom w:val="single" w:sz="4" w:space="0" w:color="auto"/>
              <w:right w:val="single" w:sz="4" w:space="0" w:color="auto"/>
            </w:tcBorders>
            <w:vAlign w:val="center"/>
            <w:hideMark/>
          </w:tcPr>
          <w:p w14:paraId="1EB7C119" w14:textId="77777777" w:rsidR="0042403B" w:rsidRPr="00F45F80" w:rsidRDefault="0042403B" w:rsidP="00BE3F24">
            <w:pPr>
              <w:rPr>
                <w:rFonts w:ascii="Arial" w:hAnsi="Arial" w:cs="Arial"/>
                <w:sz w:val="16"/>
                <w:szCs w:val="16"/>
              </w:rPr>
            </w:pPr>
            <w:r w:rsidRPr="00F45F80">
              <w:rPr>
                <w:rFonts w:ascii="Arial" w:hAnsi="Arial" w:cs="Arial"/>
                <w:sz w:val="16"/>
                <w:szCs w:val="16"/>
              </w:rPr>
              <w:t xml:space="preserve">Information on performance is not readily available; however, treatment lives are expected to be greater than the </w:t>
            </w:r>
            <w:r>
              <w:rPr>
                <w:rFonts w:ascii="Arial" w:hAnsi="Arial" w:cs="Arial"/>
                <w:sz w:val="16"/>
                <w:szCs w:val="16"/>
              </w:rPr>
              <w:t>10</w:t>
            </w:r>
            <w:r w:rsidRPr="00F45F80">
              <w:rPr>
                <w:rFonts w:ascii="Arial" w:hAnsi="Arial" w:cs="Arial"/>
                <w:sz w:val="16"/>
                <w:szCs w:val="16"/>
              </w:rPr>
              <w:t>-</w:t>
            </w:r>
            <w:r>
              <w:rPr>
                <w:rFonts w:ascii="Arial" w:hAnsi="Arial" w:cs="Arial"/>
                <w:sz w:val="16"/>
                <w:szCs w:val="16"/>
              </w:rPr>
              <w:t>20</w:t>
            </w:r>
            <w:r w:rsidRPr="00F45F80">
              <w:rPr>
                <w:rFonts w:ascii="Arial" w:hAnsi="Arial" w:cs="Arial"/>
                <w:sz w:val="16"/>
                <w:szCs w:val="16"/>
              </w:rPr>
              <w:t xml:space="preserve"> years noted for diamond grinding. </w:t>
            </w:r>
          </w:p>
        </w:tc>
      </w:tr>
    </w:tbl>
    <w:p w14:paraId="27BCD345" w14:textId="77777777" w:rsidR="0042403B" w:rsidRDefault="0042403B" w:rsidP="00BE3F24">
      <w:pPr>
        <w:rPr>
          <w:rFonts w:ascii="Arial" w:hAnsi="Arial" w:cs="Arial"/>
          <w:b/>
          <w:bCs/>
          <w:kern w:val="32"/>
          <w:sz w:val="28"/>
          <w:szCs w:val="32"/>
          <w:u w:val="single"/>
        </w:rPr>
      </w:pPr>
    </w:p>
    <w:p w14:paraId="1201C5B3"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p w14:paraId="6E25EFD3" w14:textId="77777777" w:rsidR="0042403B" w:rsidRDefault="0042403B" w:rsidP="00BE3F24">
      <w:pPr>
        <w:rPr>
          <w:rFonts w:ascii="Arial" w:hAnsi="Arial" w:cs="Arial"/>
          <w:b/>
          <w:bCs/>
          <w:kern w:val="32"/>
          <w:sz w:val="28"/>
          <w:szCs w:val="32"/>
          <w:u w:val="single"/>
        </w:rPr>
      </w:pPr>
    </w:p>
    <w:p w14:paraId="0EB0C112" w14:textId="292E8D39" w:rsidR="0042403B" w:rsidRDefault="0042403B" w:rsidP="00BE3F24">
      <w:pPr>
        <w:rPr>
          <w:rFonts w:ascii="Arial" w:hAnsi="Arial" w:cs="Arial"/>
          <w:b/>
          <w:bCs/>
          <w:kern w:val="32"/>
          <w:sz w:val="28"/>
          <w:szCs w:val="32"/>
          <w:u w:val="single"/>
        </w:rPr>
      </w:pPr>
    </w:p>
    <w:tbl>
      <w:tblPr>
        <w:tblW w:w="8627" w:type="dxa"/>
        <w:tblInd w:w="98" w:type="dxa"/>
        <w:tblLook w:val="04A0" w:firstRow="1" w:lastRow="0" w:firstColumn="1" w:lastColumn="0" w:noHBand="0" w:noVBand="1"/>
      </w:tblPr>
      <w:tblGrid>
        <w:gridCol w:w="1040"/>
        <w:gridCol w:w="1540"/>
        <w:gridCol w:w="6047"/>
      </w:tblGrid>
      <w:tr w:rsidR="0042403B" w:rsidRPr="008B546B" w14:paraId="1A7267D0" w14:textId="77777777" w:rsidTr="007630A0">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DEB9167" w14:textId="79455696"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t>Table B.</w:t>
            </w:r>
            <w:r w:rsidR="00CC2CD2">
              <w:rPr>
                <w:rFonts w:ascii="Bell MT" w:hAnsi="Bell MT" w:cs="Calibri"/>
                <w:b/>
                <w:bCs/>
                <w:color w:val="000000"/>
                <w:sz w:val="28"/>
                <w:szCs w:val="28"/>
              </w:rPr>
              <w:t>19</w:t>
            </w:r>
          </w:p>
          <w:p w14:paraId="4135E94B" w14:textId="77777777" w:rsidR="002417C7" w:rsidRDefault="002417C7" w:rsidP="00BE3F24">
            <w:pPr>
              <w:jc w:val="center"/>
              <w:rPr>
                <w:rFonts w:ascii="Bell MT" w:hAnsi="Bell MT" w:cs="Calibri"/>
                <w:b/>
                <w:bCs/>
                <w:color w:val="000000"/>
                <w:sz w:val="28"/>
                <w:szCs w:val="28"/>
              </w:rPr>
            </w:pPr>
          </w:p>
          <w:p w14:paraId="4C43CA05"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tcBorders>
              <w:top w:val="single" w:sz="4" w:space="0" w:color="auto"/>
              <w:left w:val="single" w:sz="8" w:space="0" w:color="auto"/>
              <w:bottom w:val="single" w:sz="8" w:space="0" w:color="auto"/>
              <w:right w:val="single" w:sz="4" w:space="0" w:color="auto"/>
            </w:tcBorders>
            <w:vAlign w:val="bottom"/>
            <w:hideMark/>
          </w:tcPr>
          <w:p w14:paraId="5FAA119C" w14:textId="7A3B610F" w:rsidR="0042403B" w:rsidRPr="008B546B" w:rsidRDefault="0042403B" w:rsidP="006021E1">
            <w:pPr>
              <w:pStyle w:val="Heading3"/>
              <w:ind w:left="1349" w:hanging="1349"/>
            </w:pPr>
            <w:bookmarkStart w:id="82" w:name="_SUPPLEMENTAL_INFORMATION_FOR_21"/>
            <w:bookmarkEnd w:id="82"/>
            <w:r w:rsidRPr="008B546B">
              <w:t>SUPPLEMENTAL INFORMATION FOR TREATMENT</w:t>
            </w:r>
            <w:r>
              <w:t xml:space="preserve"> </w:t>
            </w:r>
            <w:r w:rsidR="00CC2CD2">
              <w:t>H</w:t>
            </w:r>
            <w:r>
              <w:t>-1</w:t>
            </w:r>
          </w:p>
        </w:tc>
      </w:tr>
      <w:tr w:rsidR="0042403B" w:rsidRPr="008B546B" w14:paraId="3D71D9F8" w14:textId="77777777" w:rsidTr="007630A0">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32055DBF" w14:textId="77777777" w:rsidR="0042403B" w:rsidRPr="008B546B" w:rsidRDefault="0042403B" w:rsidP="00BE3F24">
            <w:pPr>
              <w:rPr>
                <w:rFonts w:ascii="Bell MT" w:hAnsi="Bell MT" w:cs="Calibri"/>
                <w:b/>
                <w:bCs/>
                <w:color w:val="000000"/>
                <w:sz w:val="28"/>
                <w:szCs w:val="28"/>
              </w:rPr>
            </w:pPr>
          </w:p>
        </w:tc>
        <w:tc>
          <w:tcPr>
            <w:tcW w:w="6047" w:type="dxa"/>
            <w:vMerge w:val="restart"/>
            <w:tcBorders>
              <w:top w:val="nil"/>
              <w:left w:val="single" w:sz="4" w:space="0" w:color="auto"/>
              <w:bottom w:val="single" w:sz="4" w:space="0" w:color="auto"/>
              <w:right w:val="single" w:sz="4" w:space="0" w:color="auto"/>
            </w:tcBorders>
            <w:vAlign w:val="center"/>
            <w:hideMark/>
          </w:tcPr>
          <w:p w14:paraId="12EA314C" w14:textId="6B1D6550" w:rsidR="0042403B" w:rsidRDefault="00692603" w:rsidP="00BE3F24">
            <w:pPr>
              <w:jc w:val="center"/>
              <w:rPr>
                <w:rFonts w:ascii="Arial" w:hAnsi="Arial" w:cs="Arial"/>
                <w:b/>
                <w:bCs/>
                <w:sz w:val="22"/>
                <w:szCs w:val="22"/>
              </w:rPr>
            </w:pPr>
            <w:hyperlink w:anchor="H1_CIR" w:history="1">
              <w:r>
                <w:rPr>
                  <w:rStyle w:val="Hyperlink"/>
                  <w:rFonts w:ascii="Arial" w:hAnsi="Arial" w:cs="Arial"/>
                  <w:b/>
                  <w:bCs/>
                  <w:sz w:val="22"/>
                  <w:szCs w:val="22"/>
                </w:rPr>
                <w:t>H-1. Cold in-Place Asphalt Recycling</w:t>
              </w:r>
            </w:hyperlink>
          </w:p>
        </w:tc>
      </w:tr>
      <w:tr w:rsidR="0042403B" w:rsidRPr="008B546B" w14:paraId="4C7B94A8" w14:textId="77777777" w:rsidTr="007630A0">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53C3E31F" w14:textId="77777777" w:rsidR="0042403B" w:rsidRPr="008B546B" w:rsidRDefault="0042403B" w:rsidP="00BE3F24">
            <w:pPr>
              <w:rPr>
                <w:rFonts w:ascii="Bell MT" w:hAnsi="Bell MT" w:cs="Calibri"/>
                <w:b/>
                <w:bCs/>
                <w:color w:val="000000"/>
                <w:sz w:val="28"/>
                <w:szCs w:val="28"/>
              </w:rPr>
            </w:pPr>
          </w:p>
        </w:tc>
        <w:tc>
          <w:tcPr>
            <w:tcW w:w="6047" w:type="dxa"/>
            <w:vMerge/>
            <w:tcBorders>
              <w:top w:val="nil"/>
              <w:left w:val="single" w:sz="4" w:space="0" w:color="auto"/>
              <w:bottom w:val="single" w:sz="4" w:space="0" w:color="auto"/>
              <w:right w:val="single" w:sz="4" w:space="0" w:color="auto"/>
            </w:tcBorders>
            <w:vAlign w:val="center"/>
            <w:hideMark/>
          </w:tcPr>
          <w:p w14:paraId="1CED08E9" w14:textId="77777777" w:rsidR="0042403B" w:rsidRPr="008B546B" w:rsidRDefault="0042403B" w:rsidP="00BE3F24">
            <w:pPr>
              <w:rPr>
                <w:rFonts w:ascii="Arial" w:hAnsi="Arial" w:cs="Arial"/>
                <w:b/>
                <w:bCs/>
                <w:color w:val="000000"/>
                <w:sz w:val="22"/>
                <w:szCs w:val="22"/>
              </w:rPr>
            </w:pPr>
          </w:p>
        </w:tc>
      </w:tr>
      <w:tr w:rsidR="0042403B" w:rsidRPr="008B546B" w14:paraId="05667C98" w14:textId="77777777" w:rsidTr="007630A0">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3C02CBD8"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5252FD00"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6047" w:type="dxa"/>
            <w:tcBorders>
              <w:top w:val="nil"/>
              <w:left w:val="nil"/>
              <w:bottom w:val="single" w:sz="4" w:space="0" w:color="auto"/>
              <w:right w:val="single" w:sz="4" w:space="0" w:color="auto"/>
            </w:tcBorders>
            <w:vAlign w:val="center"/>
            <w:hideMark/>
          </w:tcPr>
          <w:p w14:paraId="54C0D98B"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19116AB4" w14:textId="77777777" w:rsidTr="007630A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7C6978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8B0EF3D"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FCI</w:t>
            </w:r>
          </w:p>
        </w:tc>
        <w:tc>
          <w:tcPr>
            <w:tcW w:w="6047" w:type="dxa"/>
            <w:tcBorders>
              <w:top w:val="nil"/>
              <w:left w:val="nil"/>
              <w:bottom w:val="single" w:sz="4" w:space="0" w:color="auto"/>
              <w:right w:val="single" w:sz="4" w:space="0" w:color="auto"/>
            </w:tcBorders>
            <w:vAlign w:val="center"/>
            <w:hideMark/>
          </w:tcPr>
          <w:p w14:paraId="26D6CA08"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549123DB" w14:textId="77777777" w:rsidTr="007630A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C372E0B"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BEE2DBD"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SCI</w:t>
            </w:r>
          </w:p>
        </w:tc>
        <w:tc>
          <w:tcPr>
            <w:tcW w:w="6047" w:type="dxa"/>
            <w:tcBorders>
              <w:top w:val="nil"/>
              <w:left w:val="nil"/>
              <w:bottom w:val="single" w:sz="4" w:space="0" w:color="auto"/>
              <w:right w:val="single" w:sz="4" w:space="0" w:color="auto"/>
            </w:tcBorders>
            <w:vAlign w:val="center"/>
            <w:hideMark/>
          </w:tcPr>
          <w:p w14:paraId="7B5DB261"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75CF187A" w14:textId="77777777" w:rsidTr="007630A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F1962B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BEC3435"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6047" w:type="dxa"/>
            <w:tcBorders>
              <w:top w:val="nil"/>
              <w:left w:val="nil"/>
              <w:bottom w:val="single" w:sz="4" w:space="0" w:color="auto"/>
              <w:right w:val="single" w:sz="4" w:space="0" w:color="auto"/>
            </w:tcBorders>
            <w:vAlign w:val="center"/>
            <w:hideMark/>
          </w:tcPr>
          <w:p w14:paraId="5F9BC485"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384244D6" w14:textId="77777777" w:rsidTr="007630A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24EAEB5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3526AF3"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6047" w:type="dxa"/>
            <w:tcBorders>
              <w:top w:val="nil"/>
              <w:left w:val="nil"/>
              <w:bottom w:val="single" w:sz="4" w:space="0" w:color="auto"/>
              <w:right w:val="single" w:sz="4" w:space="0" w:color="auto"/>
            </w:tcBorders>
            <w:vAlign w:val="center"/>
            <w:hideMark/>
          </w:tcPr>
          <w:p w14:paraId="6BDDD506" w14:textId="77777777" w:rsidR="0042403B" w:rsidRDefault="0042403B" w:rsidP="00BE3F24">
            <w:pPr>
              <w:jc w:val="center"/>
              <w:rPr>
                <w:rFonts w:ascii="Arial" w:hAnsi="Arial" w:cs="Arial"/>
                <w:b/>
                <w:bCs/>
                <w:color w:val="000000"/>
                <w:sz w:val="16"/>
                <w:szCs w:val="16"/>
              </w:rPr>
            </w:pPr>
            <w:r>
              <w:rPr>
                <w:rFonts w:ascii="Arial" w:hAnsi="Arial" w:cs="Arial"/>
                <w:b/>
                <w:bCs/>
                <w:color w:val="000000"/>
                <w:sz w:val="16"/>
                <w:szCs w:val="16"/>
              </w:rPr>
              <w:t>Yes</w:t>
            </w:r>
          </w:p>
        </w:tc>
      </w:tr>
      <w:tr w:rsidR="0042403B" w:rsidRPr="008B546B" w14:paraId="2858B970" w14:textId="77777777" w:rsidTr="007630A0">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615790B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758C267"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6047" w:type="dxa"/>
            <w:tcBorders>
              <w:top w:val="nil"/>
              <w:left w:val="nil"/>
              <w:bottom w:val="single" w:sz="4" w:space="0" w:color="auto"/>
              <w:right w:val="single" w:sz="4" w:space="0" w:color="auto"/>
            </w:tcBorders>
            <w:vAlign w:val="center"/>
            <w:hideMark/>
          </w:tcPr>
          <w:p w14:paraId="2326F383" w14:textId="77777777" w:rsidR="0042403B" w:rsidRDefault="0042403B" w:rsidP="00BE3F24">
            <w:pPr>
              <w:jc w:val="center"/>
              <w:rPr>
                <w:rFonts w:ascii="Arial" w:hAnsi="Arial" w:cs="Arial"/>
                <w:b/>
                <w:bCs/>
                <w:color w:val="000000"/>
                <w:sz w:val="16"/>
                <w:szCs w:val="16"/>
              </w:rPr>
            </w:pPr>
          </w:p>
        </w:tc>
      </w:tr>
      <w:tr w:rsidR="0042403B" w:rsidRPr="008B546B" w14:paraId="00633819" w14:textId="77777777" w:rsidTr="007630A0">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6ECED726" w14:textId="0FFA94FD"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6047" w:type="dxa"/>
            <w:tcBorders>
              <w:top w:val="nil"/>
              <w:left w:val="nil"/>
              <w:bottom w:val="single" w:sz="4" w:space="0" w:color="auto"/>
              <w:right w:val="single" w:sz="4" w:space="0" w:color="auto"/>
            </w:tcBorders>
            <w:hideMark/>
          </w:tcPr>
          <w:p w14:paraId="1020C85D" w14:textId="768FA77B" w:rsidR="0042403B" w:rsidRDefault="0042403B" w:rsidP="00BE3F24">
            <w:pPr>
              <w:rPr>
                <w:rFonts w:ascii="Arial" w:hAnsi="Arial" w:cs="Arial"/>
                <w:color w:val="000000"/>
                <w:sz w:val="16"/>
                <w:szCs w:val="16"/>
              </w:rPr>
            </w:pPr>
            <w:r>
              <w:rPr>
                <w:rFonts w:ascii="Arial" w:hAnsi="Arial" w:cs="Arial"/>
                <w:color w:val="000000"/>
                <w:sz w:val="16"/>
                <w:szCs w:val="16"/>
              </w:rPr>
              <w:t>1. Can be done on-site</w:t>
            </w:r>
            <w:r w:rsidR="006021E1">
              <w:rPr>
                <w:rFonts w:ascii="Arial" w:hAnsi="Arial" w:cs="Arial"/>
                <w:color w:val="000000"/>
                <w:sz w:val="16"/>
                <w:szCs w:val="16"/>
              </w:rPr>
              <w:t>.</w:t>
            </w:r>
            <w:r>
              <w:rPr>
                <w:rFonts w:ascii="Arial" w:hAnsi="Arial" w:cs="Arial"/>
                <w:color w:val="000000"/>
                <w:sz w:val="16"/>
                <w:szCs w:val="16"/>
              </w:rPr>
              <w:br/>
              <w:t>2. Reduced material costs</w:t>
            </w:r>
            <w:r w:rsidR="006021E1">
              <w:rPr>
                <w:rFonts w:ascii="Arial" w:hAnsi="Arial" w:cs="Arial"/>
                <w:color w:val="000000"/>
                <w:sz w:val="16"/>
                <w:szCs w:val="16"/>
              </w:rPr>
              <w:t>.</w:t>
            </w:r>
            <w:r>
              <w:rPr>
                <w:rFonts w:ascii="Arial" w:hAnsi="Arial" w:cs="Arial"/>
                <w:color w:val="000000"/>
                <w:sz w:val="16"/>
                <w:szCs w:val="16"/>
              </w:rPr>
              <w:br/>
              <w:t>3. Less waste</w:t>
            </w:r>
            <w:r w:rsidR="006021E1">
              <w:rPr>
                <w:rFonts w:ascii="Arial" w:hAnsi="Arial" w:cs="Arial"/>
                <w:color w:val="000000"/>
                <w:sz w:val="16"/>
                <w:szCs w:val="16"/>
              </w:rPr>
              <w:t>.</w:t>
            </w:r>
            <w:r>
              <w:rPr>
                <w:rFonts w:ascii="Arial" w:hAnsi="Arial" w:cs="Arial"/>
                <w:color w:val="000000"/>
                <w:sz w:val="16"/>
                <w:szCs w:val="16"/>
              </w:rPr>
              <w:br/>
              <w:t>4. Excavation and placement concurrent</w:t>
            </w:r>
            <w:r w:rsidR="006021E1">
              <w:rPr>
                <w:rFonts w:ascii="Arial" w:hAnsi="Arial" w:cs="Arial"/>
                <w:color w:val="000000"/>
                <w:sz w:val="16"/>
                <w:szCs w:val="16"/>
              </w:rPr>
              <w:t>.</w:t>
            </w:r>
            <w:r>
              <w:rPr>
                <w:rFonts w:ascii="Arial" w:hAnsi="Arial" w:cs="Arial"/>
                <w:color w:val="000000"/>
                <w:sz w:val="16"/>
                <w:szCs w:val="16"/>
              </w:rPr>
              <w:br/>
              <w:t>5. "Green"</w:t>
            </w:r>
            <w:r w:rsidR="00EC46AC">
              <w:rPr>
                <w:rFonts w:ascii="Arial" w:hAnsi="Arial" w:cs="Arial"/>
                <w:color w:val="000000"/>
                <w:sz w:val="16"/>
                <w:szCs w:val="16"/>
              </w:rPr>
              <w:t xml:space="preserve"> – l</w:t>
            </w:r>
            <w:r>
              <w:rPr>
                <w:rFonts w:ascii="Arial" w:hAnsi="Arial" w:cs="Arial"/>
                <w:color w:val="000000"/>
                <w:sz w:val="16"/>
                <w:szCs w:val="16"/>
              </w:rPr>
              <w:t>ess energy (ambient placement)</w:t>
            </w:r>
            <w:r w:rsidR="006021E1">
              <w:rPr>
                <w:rFonts w:ascii="Arial" w:hAnsi="Arial" w:cs="Arial"/>
                <w:color w:val="000000"/>
                <w:sz w:val="16"/>
                <w:szCs w:val="16"/>
              </w:rPr>
              <w:t>.</w:t>
            </w:r>
            <w:r>
              <w:rPr>
                <w:rFonts w:ascii="Arial" w:hAnsi="Arial" w:cs="Arial"/>
                <w:color w:val="000000"/>
                <w:sz w:val="16"/>
                <w:szCs w:val="16"/>
              </w:rPr>
              <w:br/>
              <w:t>6. "Green"</w:t>
            </w:r>
            <w:r w:rsidR="00EC46AC">
              <w:rPr>
                <w:rFonts w:ascii="Arial" w:hAnsi="Arial" w:cs="Arial"/>
                <w:color w:val="000000"/>
                <w:sz w:val="16"/>
                <w:szCs w:val="16"/>
              </w:rPr>
              <w:t xml:space="preserve"> – </w:t>
            </w:r>
            <w:r>
              <w:rPr>
                <w:rFonts w:ascii="Arial" w:hAnsi="Arial" w:cs="Arial"/>
                <w:color w:val="000000"/>
                <w:sz w:val="16"/>
                <w:szCs w:val="16"/>
              </w:rPr>
              <w:t>uses all recycled material</w:t>
            </w:r>
            <w:r w:rsidR="006021E1">
              <w:rPr>
                <w:rFonts w:ascii="Arial" w:hAnsi="Arial" w:cs="Arial"/>
                <w:color w:val="000000"/>
                <w:sz w:val="16"/>
                <w:szCs w:val="16"/>
              </w:rPr>
              <w:t>.</w:t>
            </w:r>
            <w:r>
              <w:rPr>
                <w:rFonts w:ascii="Arial" w:hAnsi="Arial" w:cs="Arial"/>
                <w:color w:val="000000"/>
                <w:sz w:val="16"/>
                <w:szCs w:val="16"/>
              </w:rPr>
              <w:br/>
              <w:t>7. No "Cure" time if using Foamed Asphalt.</w:t>
            </w:r>
          </w:p>
          <w:p w14:paraId="54B35F7E" w14:textId="77777777" w:rsidR="0042403B" w:rsidRDefault="0042403B" w:rsidP="00BE3F24">
            <w:pPr>
              <w:rPr>
                <w:rFonts w:ascii="Arial" w:hAnsi="Arial" w:cs="Arial"/>
                <w:color w:val="000000"/>
                <w:sz w:val="16"/>
                <w:szCs w:val="16"/>
              </w:rPr>
            </w:pPr>
          </w:p>
        </w:tc>
      </w:tr>
      <w:tr w:rsidR="0042403B" w:rsidRPr="008B546B" w14:paraId="7B2A4DF0" w14:textId="77777777" w:rsidTr="007630A0">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796BC9F5" w14:textId="00190104"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6047" w:type="dxa"/>
            <w:tcBorders>
              <w:top w:val="nil"/>
              <w:left w:val="nil"/>
              <w:bottom w:val="single" w:sz="4" w:space="0" w:color="auto"/>
              <w:right w:val="single" w:sz="4" w:space="0" w:color="auto"/>
            </w:tcBorders>
            <w:hideMark/>
          </w:tcPr>
          <w:p w14:paraId="372FA2A8" w14:textId="5A489626" w:rsidR="0042403B" w:rsidRPr="00046E9D" w:rsidRDefault="0042403B" w:rsidP="00BE3F24">
            <w:pPr>
              <w:rPr>
                <w:rFonts w:ascii="Arial" w:hAnsi="Arial" w:cs="Arial"/>
                <w:color w:val="000000"/>
                <w:sz w:val="16"/>
                <w:szCs w:val="16"/>
              </w:rPr>
            </w:pPr>
            <w:r w:rsidRPr="00046E9D">
              <w:rPr>
                <w:rFonts w:ascii="Arial" w:hAnsi="Arial" w:cs="Arial"/>
                <w:color w:val="000000"/>
                <w:sz w:val="16"/>
                <w:szCs w:val="16"/>
              </w:rPr>
              <w:t>1.</w:t>
            </w:r>
            <w:r>
              <w:rPr>
                <w:rFonts w:ascii="Arial" w:hAnsi="Arial" w:cs="Arial"/>
                <w:color w:val="000000"/>
                <w:sz w:val="16"/>
                <w:szCs w:val="16"/>
              </w:rPr>
              <w:t xml:space="preserve"> </w:t>
            </w:r>
            <w:r w:rsidRPr="00046E9D">
              <w:rPr>
                <w:rFonts w:ascii="Arial" w:hAnsi="Arial" w:cs="Arial"/>
                <w:color w:val="000000"/>
                <w:sz w:val="16"/>
                <w:szCs w:val="16"/>
              </w:rPr>
              <w:t>Requires specialized equipment</w:t>
            </w:r>
            <w:r w:rsidR="006021E1">
              <w:rPr>
                <w:rFonts w:ascii="Arial" w:hAnsi="Arial" w:cs="Arial"/>
                <w:color w:val="000000"/>
                <w:sz w:val="16"/>
                <w:szCs w:val="16"/>
              </w:rPr>
              <w:t>.</w:t>
            </w:r>
            <w:r w:rsidRPr="00046E9D">
              <w:rPr>
                <w:rFonts w:ascii="Arial" w:hAnsi="Arial" w:cs="Arial"/>
                <w:color w:val="000000"/>
                <w:sz w:val="16"/>
                <w:szCs w:val="16"/>
              </w:rPr>
              <w:br/>
              <w:t>2. Lengthy cure time during construction if using emulsified asphalt</w:t>
            </w:r>
            <w:r w:rsidR="006021E1">
              <w:rPr>
                <w:rFonts w:ascii="Arial" w:hAnsi="Arial" w:cs="Arial"/>
                <w:color w:val="000000"/>
                <w:sz w:val="16"/>
                <w:szCs w:val="16"/>
              </w:rPr>
              <w:t xml:space="preserve"> – </w:t>
            </w:r>
            <w:r w:rsidRPr="00046E9D">
              <w:rPr>
                <w:rFonts w:ascii="Arial" w:hAnsi="Arial" w:cs="Arial"/>
                <w:color w:val="000000"/>
                <w:sz w:val="16"/>
                <w:szCs w:val="16"/>
              </w:rPr>
              <w:t>MOT problem</w:t>
            </w:r>
            <w:r w:rsidR="006021E1">
              <w:rPr>
                <w:rFonts w:ascii="Arial" w:hAnsi="Arial" w:cs="Arial"/>
                <w:color w:val="000000"/>
                <w:sz w:val="16"/>
                <w:szCs w:val="16"/>
              </w:rPr>
              <w:t>.</w:t>
            </w:r>
            <w:r w:rsidRPr="00046E9D">
              <w:rPr>
                <w:rFonts w:ascii="Arial" w:hAnsi="Arial" w:cs="Arial"/>
                <w:color w:val="000000"/>
                <w:sz w:val="16"/>
                <w:szCs w:val="16"/>
              </w:rPr>
              <w:br/>
              <w:t>3. Requires resurfacing</w:t>
            </w:r>
            <w:r w:rsidR="006021E1">
              <w:rPr>
                <w:rFonts w:ascii="Arial" w:hAnsi="Arial" w:cs="Arial"/>
                <w:color w:val="000000"/>
                <w:sz w:val="16"/>
                <w:szCs w:val="16"/>
              </w:rPr>
              <w:t>.</w:t>
            </w:r>
          </w:p>
          <w:p w14:paraId="397FE96A" w14:textId="09F1990E" w:rsidR="0042403B" w:rsidRPr="00046E9D" w:rsidRDefault="0042403B" w:rsidP="00BE3F24">
            <w:r w:rsidRPr="00046E9D">
              <w:rPr>
                <w:rFonts w:ascii="Arial" w:hAnsi="Arial" w:cs="Arial"/>
                <w:color w:val="000000"/>
                <w:sz w:val="16"/>
                <w:szCs w:val="16"/>
              </w:rPr>
              <w:t>4. Requires 10-14 days cure before placing an HMA overlay</w:t>
            </w:r>
            <w:r w:rsidR="006021E1">
              <w:rPr>
                <w:rFonts w:ascii="Arial" w:hAnsi="Arial" w:cs="Arial"/>
                <w:color w:val="000000"/>
                <w:sz w:val="16"/>
                <w:szCs w:val="16"/>
              </w:rPr>
              <w:t>.</w:t>
            </w:r>
          </w:p>
        </w:tc>
      </w:tr>
      <w:tr w:rsidR="0042403B" w:rsidRPr="008B546B" w14:paraId="24451CAE" w14:textId="77777777" w:rsidTr="007630A0">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20FCE68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21238F26"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6047" w:type="dxa"/>
            <w:tcBorders>
              <w:top w:val="nil"/>
              <w:left w:val="nil"/>
              <w:bottom w:val="single" w:sz="4" w:space="0" w:color="auto"/>
              <w:right w:val="single" w:sz="4" w:space="0" w:color="auto"/>
            </w:tcBorders>
            <w:vAlign w:val="center"/>
            <w:hideMark/>
          </w:tcPr>
          <w:p w14:paraId="6C3765B1" w14:textId="2DB50347" w:rsidR="0042403B" w:rsidRDefault="0042403B" w:rsidP="00BE3F24">
            <w:pPr>
              <w:rPr>
                <w:rFonts w:ascii="Arial" w:hAnsi="Arial" w:cs="Arial"/>
                <w:color w:val="000000"/>
                <w:sz w:val="16"/>
                <w:szCs w:val="16"/>
              </w:rPr>
            </w:pPr>
            <w:r>
              <w:rPr>
                <w:rFonts w:ascii="Arial" w:hAnsi="Arial" w:cs="Arial"/>
                <w:color w:val="000000"/>
                <w:sz w:val="16"/>
                <w:szCs w:val="16"/>
              </w:rPr>
              <w:t>$4 /SY</w:t>
            </w:r>
          </w:p>
        </w:tc>
      </w:tr>
      <w:tr w:rsidR="0042403B" w:rsidRPr="008B546B" w14:paraId="1D2AA81E" w14:textId="77777777" w:rsidTr="007630A0">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A6A0FE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1F1292D"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6047" w:type="dxa"/>
            <w:tcBorders>
              <w:top w:val="nil"/>
              <w:left w:val="nil"/>
              <w:bottom w:val="single" w:sz="4" w:space="0" w:color="auto"/>
              <w:right w:val="single" w:sz="4" w:space="0" w:color="auto"/>
            </w:tcBorders>
            <w:vAlign w:val="center"/>
            <w:hideMark/>
          </w:tcPr>
          <w:p w14:paraId="3BC55A6C" w14:textId="144B893F" w:rsidR="0042403B" w:rsidRDefault="0042403B" w:rsidP="00BE3F24">
            <w:pPr>
              <w:rPr>
                <w:rFonts w:ascii="Arial" w:hAnsi="Arial" w:cs="Arial"/>
                <w:color w:val="000000"/>
                <w:sz w:val="16"/>
                <w:szCs w:val="16"/>
              </w:rPr>
            </w:pPr>
            <w:r>
              <w:rPr>
                <w:rFonts w:ascii="Arial" w:hAnsi="Arial" w:cs="Arial"/>
                <w:color w:val="000000"/>
                <w:sz w:val="16"/>
                <w:szCs w:val="16"/>
              </w:rPr>
              <w:t>$3 /SY</w:t>
            </w:r>
          </w:p>
        </w:tc>
      </w:tr>
      <w:tr w:rsidR="0042403B" w:rsidRPr="008B546B" w14:paraId="4866D5DA" w14:textId="77777777" w:rsidTr="007630A0">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08805A4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F14CF74"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6047" w:type="dxa"/>
            <w:tcBorders>
              <w:top w:val="nil"/>
              <w:left w:val="nil"/>
              <w:bottom w:val="single" w:sz="4" w:space="0" w:color="auto"/>
              <w:right w:val="single" w:sz="4" w:space="0" w:color="auto"/>
            </w:tcBorders>
            <w:vAlign w:val="center"/>
            <w:hideMark/>
          </w:tcPr>
          <w:p w14:paraId="1C6777AC" w14:textId="30DCF02F" w:rsidR="0042403B" w:rsidRDefault="0042403B" w:rsidP="00BE3F24">
            <w:pPr>
              <w:rPr>
                <w:rFonts w:ascii="Arial" w:hAnsi="Arial" w:cs="Arial"/>
                <w:color w:val="000000"/>
                <w:sz w:val="16"/>
                <w:szCs w:val="16"/>
              </w:rPr>
            </w:pPr>
            <w:r>
              <w:rPr>
                <w:rFonts w:ascii="Arial" w:hAnsi="Arial" w:cs="Arial"/>
                <w:color w:val="000000"/>
                <w:sz w:val="16"/>
                <w:szCs w:val="16"/>
              </w:rPr>
              <w:t>$1.7</w:t>
            </w:r>
            <w:r w:rsidR="00182974">
              <w:rPr>
                <w:rFonts w:ascii="Arial" w:hAnsi="Arial" w:cs="Arial"/>
                <w:color w:val="000000"/>
                <w:sz w:val="16"/>
                <w:szCs w:val="16"/>
              </w:rPr>
              <w:t>0</w:t>
            </w:r>
            <w:r>
              <w:rPr>
                <w:rFonts w:ascii="Arial" w:hAnsi="Arial" w:cs="Arial"/>
                <w:color w:val="000000"/>
                <w:sz w:val="16"/>
                <w:szCs w:val="16"/>
              </w:rPr>
              <w:t xml:space="preserve"> /SY</w:t>
            </w:r>
          </w:p>
        </w:tc>
      </w:tr>
      <w:tr w:rsidR="0042403B" w:rsidRPr="008B546B" w14:paraId="168E589A" w14:textId="77777777" w:rsidTr="00CC2CD2">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C26FA4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E5BD605"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6047" w:type="dxa"/>
            <w:tcBorders>
              <w:top w:val="nil"/>
              <w:left w:val="nil"/>
              <w:bottom w:val="single" w:sz="4" w:space="0" w:color="auto"/>
              <w:right w:val="single" w:sz="4" w:space="0" w:color="auto"/>
            </w:tcBorders>
            <w:vAlign w:val="center"/>
            <w:hideMark/>
          </w:tcPr>
          <w:p w14:paraId="542E7D6B" w14:textId="77777777" w:rsidR="0042403B" w:rsidRDefault="0042403B" w:rsidP="00BE3F24">
            <w:pPr>
              <w:rPr>
                <w:rFonts w:ascii="Arial" w:hAnsi="Arial" w:cs="Arial"/>
                <w:color w:val="000000"/>
                <w:sz w:val="16"/>
                <w:szCs w:val="16"/>
              </w:rPr>
            </w:pPr>
            <w:r>
              <w:rPr>
                <w:rFonts w:ascii="Arial" w:hAnsi="Arial" w:cs="Arial"/>
                <w:color w:val="000000"/>
                <w:sz w:val="16"/>
                <w:szCs w:val="16"/>
              </w:rPr>
              <w:t>See Definition</w:t>
            </w:r>
          </w:p>
        </w:tc>
      </w:tr>
      <w:tr w:rsidR="0042403B" w:rsidRPr="008B546B" w14:paraId="20C9EBA0" w14:textId="77777777" w:rsidTr="00CC2CD2">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DE9C08B"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B8C81F8"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6047" w:type="dxa"/>
            <w:tcBorders>
              <w:top w:val="nil"/>
              <w:left w:val="nil"/>
              <w:bottom w:val="single" w:sz="4" w:space="0" w:color="auto"/>
              <w:right w:val="single" w:sz="4" w:space="0" w:color="auto"/>
            </w:tcBorders>
            <w:vAlign w:val="center"/>
            <w:hideMark/>
          </w:tcPr>
          <w:p w14:paraId="1862C91C" w14:textId="77777777" w:rsidR="0042403B" w:rsidRDefault="0042403B" w:rsidP="00BE3F24">
            <w:pPr>
              <w:rPr>
                <w:rFonts w:ascii="Arial" w:hAnsi="Arial" w:cs="Arial"/>
                <w:color w:val="000000"/>
                <w:sz w:val="16"/>
                <w:szCs w:val="16"/>
              </w:rPr>
            </w:pPr>
            <w:r>
              <w:rPr>
                <w:rFonts w:ascii="Arial" w:hAnsi="Arial" w:cs="Arial"/>
                <w:color w:val="000000"/>
                <w:sz w:val="16"/>
                <w:szCs w:val="16"/>
              </w:rPr>
              <w:t>HMA Surface</w:t>
            </w:r>
          </w:p>
        </w:tc>
      </w:tr>
      <w:tr w:rsidR="0042403B" w:rsidRPr="008B546B" w14:paraId="308659C3" w14:textId="77777777" w:rsidTr="00CC2CD2">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7D61124B"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6047" w:type="dxa"/>
            <w:tcBorders>
              <w:top w:val="single" w:sz="4" w:space="0" w:color="auto"/>
              <w:left w:val="nil"/>
              <w:bottom w:val="single" w:sz="4" w:space="0" w:color="auto"/>
              <w:right w:val="single" w:sz="4" w:space="0" w:color="auto"/>
            </w:tcBorders>
            <w:vAlign w:val="center"/>
            <w:hideMark/>
          </w:tcPr>
          <w:p w14:paraId="132293A2" w14:textId="60DE6912" w:rsidR="0042403B" w:rsidRDefault="0042403B" w:rsidP="006021E1">
            <w:pPr>
              <w:rPr>
                <w:rFonts w:ascii="Arial" w:hAnsi="Arial" w:cs="Arial"/>
                <w:color w:val="000000"/>
                <w:sz w:val="16"/>
                <w:szCs w:val="16"/>
              </w:rPr>
            </w:pPr>
            <w:r>
              <w:rPr>
                <w:rFonts w:ascii="Arial" w:hAnsi="Arial" w:cs="Arial"/>
                <w:color w:val="000000"/>
                <w:sz w:val="16"/>
                <w:szCs w:val="16"/>
              </w:rPr>
              <w:t>15-25 years</w:t>
            </w:r>
          </w:p>
        </w:tc>
      </w:tr>
    </w:tbl>
    <w:p w14:paraId="2D2E5240"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627" w:type="dxa"/>
        <w:tblInd w:w="98" w:type="dxa"/>
        <w:tblLayout w:type="fixed"/>
        <w:tblLook w:val="04A0" w:firstRow="1" w:lastRow="0" w:firstColumn="1" w:lastColumn="0" w:noHBand="0" w:noVBand="1"/>
      </w:tblPr>
      <w:tblGrid>
        <w:gridCol w:w="1040"/>
        <w:gridCol w:w="1540"/>
        <w:gridCol w:w="2920"/>
        <w:gridCol w:w="3127"/>
      </w:tblGrid>
      <w:tr w:rsidR="0042403B" w:rsidRPr="008B546B" w14:paraId="097AF9DA" w14:textId="77777777" w:rsidTr="00CC2CD2">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651634DE" w14:textId="4F71B2CD"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2</w:t>
            </w:r>
            <w:r w:rsidR="0087216E">
              <w:rPr>
                <w:rFonts w:ascii="Bell MT" w:hAnsi="Bell MT" w:cs="Calibri"/>
                <w:b/>
                <w:bCs/>
                <w:color w:val="000000"/>
                <w:sz w:val="28"/>
                <w:szCs w:val="28"/>
              </w:rPr>
              <w:t>0</w:t>
            </w:r>
          </w:p>
          <w:p w14:paraId="1FF71DC3" w14:textId="77777777" w:rsidR="002417C7" w:rsidRDefault="002417C7" w:rsidP="00BE3F24">
            <w:pPr>
              <w:jc w:val="center"/>
              <w:rPr>
                <w:rFonts w:ascii="Bell MT" w:hAnsi="Bell MT" w:cs="Calibri"/>
                <w:b/>
                <w:bCs/>
                <w:color w:val="000000"/>
                <w:sz w:val="28"/>
                <w:szCs w:val="28"/>
              </w:rPr>
            </w:pPr>
          </w:p>
          <w:p w14:paraId="663D9801"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63FD5A38" w14:textId="11A64AF6" w:rsidR="0042403B" w:rsidRPr="008B546B" w:rsidRDefault="0042403B" w:rsidP="00CC2CD2">
            <w:pPr>
              <w:pStyle w:val="Heading3"/>
              <w:ind w:left="1349" w:hanging="1349"/>
            </w:pPr>
            <w:bookmarkStart w:id="83" w:name="_SUPPLEMENTAL_INFORMATION_FOR_22"/>
            <w:bookmarkEnd w:id="83"/>
            <w:r w:rsidRPr="008B546B">
              <w:t>SUPPLEMENTAL INFORMATION FOR TREATMENT</w:t>
            </w:r>
            <w:r>
              <w:t xml:space="preserve">S </w:t>
            </w:r>
            <w:r w:rsidR="0087216E">
              <w:t>H</w:t>
            </w:r>
            <w:r>
              <w:t xml:space="preserve">-2, </w:t>
            </w:r>
            <w:r w:rsidR="0087216E">
              <w:t>H</w:t>
            </w:r>
            <w:r>
              <w:t>-3</w:t>
            </w:r>
            <w:r w:rsidRPr="008B546B">
              <w:t> </w:t>
            </w:r>
          </w:p>
        </w:tc>
      </w:tr>
      <w:tr w:rsidR="0042403B" w:rsidRPr="008B546B" w14:paraId="30C1D4AC" w14:textId="77777777" w:rsidTr="00CC2CD2">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4DCFDC10" w14:textId="77777777" w:rsidR="0042403B" w:rsidRPr="008B546B" w:rsidRDefault="0042403B" w:rsidP="00BE3F24">
            <w:pPr>
              <w:rPr>
                <w:rFonts w:ascii="Bell MT" w:hAnsi="Bell MT" w:cs="Calibri"/>
                <w:b/>
                <w:bCs/>
                <w:color w:val="000000"/>
                <w:sz w:val="28"/>
                <w:szCs w:val="28"/>
              </w:rPr>
            </w:pPr>
          </w:p>
        </w:tc>
        <w:tc>
          <w:tcPr>
            <w:tcW w:w="2920" w:type="dxa"/>
            <w:vMerge w:val="restart"/>
            <w:tcBorders>
              <w:top w:val="nil"/>
              <w:left w:val="single" w:sz="4" w:space="0" w:color="auto"/>
              <w:bottom w:val="single" w:sz="4" w:space="0" w:color="auto"/>
              <w:right w:val="single" w:sz="4" w:space="0" w:color="auto"/>
            </w:tcBorders>
            <w:vAlign w:val="center"/>
            <w:hideMark/>
          </w:tcPr>
          <w:p w14:paraId="3A3A30AC" w14:textId="367C51A9" w:rsidR="0042403B" w:rsidRDefault="0087216E" w:rsidP="00BE3F24">
            <w:pPr>
              <w:jc w:val="center"/>
              <w:rPr>
                <w:rFonts w:ascii="Arial" w:hAnsi="Arial" w:cs="Arial"/>
                <w:b/>
                <w:bCs/>
                <w:sz w:val="22"/>
                <w:szCs w:val="22"/>
              </w:rPr>
            </w:pPr>
            <w:hyperlink w:anchor="H2_Break_Crack_Seat" w:history="1">
              <w:r>
                <w:rPr>
                  <w:rStyle w:val="Hyperlink"/>
                  <w:rFonts w:ascii="Arial" w:hAnsi="Arial" w:cs="Arial"/>
                  <w:b/>
                  <w:bCs/>
                  <w:sz w:val="22"/>
                  <w:szCs w:val="22"/>
                </w:rPr>
                <w:t>H</w:t>
              </w:r>
              <w:r w:rsidR="0042403B" w:rsidRPr="00636CA9">
                <w:rPr>
                  <w:rStyle w:val="Hyperlink"/>
                  <w:rFonts w:ascii="Arial" w:hAnsi="Arial" w:cs="Arial"/>
                  <w:b/>
                  <w:bCs/>
                  <w:sz w:val="22"/>
                  <w:szCs w:val="22"/>
                </w:rPr>
                <w:t>-2. Break/Crack &amp; Seat and HMA Overlay</w:t>
              </w:r>
            </w:hyperlink>
          </w:p>
        </w:tc>
        <w:tc>
          <w:tcPr>
            <w:tcW w:w="3127" w:type="dxa"/>
            <w:vMerge w:val="restart"/>
            <w:tcBorders>
              <w:top w:val="nil"/>
              <w:left w:val="nil"/>
              <w:bottom w:val="single" w:sz="4" w:space="0" w:color="000000"/>
              <w:right w:val="single" w:sz="4" w:space="0" w:color="auto"/>
            </w:tcBorders>
            <w:vAlign w:val="center"/>
            <w:hideMark/>
          </w:tcPr>
          <w:p w14:paraId="656A0EAC" w14:textId="7539C0FA" w:rsidR="0042403B" w:rsidRDefault="0087216E" w:rsidP="00BE3F24">
            <w:pPr>
              <w:jc w:val="center"/>
              <w:rPr>
                <w:rFonts w:ascii="Arial" w:hAnsi="Arial" w:cs="Arial"/>
                <w:b/>
                <w:bCs/>
                <w:sz w:val="22"/>
                <w:szCs w:val="22"/>
              </w:rPr>
            </w:pPr>
            <w:hyperlink w:anchor="H3_Rubblize" w:history="1">
              <w:r>
                <w:rPr>
                  <w:rStyle w:val="Hyperlink"/>
                  <w:rFonts w:ascii="Arial" w:hAnsi="Arial" w:cs="Arial"/>
                  <w:b/>
                  <w:bCs/>
                  <w:sz w:val="22"/>
                  <w:szCs w:val="22"/>
                </w:rPr>
                <w:t>H</w:t>
              </w:r>
              <w:r w:rsidR="0042403B" w:rsidRPr="00636CA9">
                <w:rPr>
                  <w:rStyle w:val="Hyperlink"/>
                  <w:rFonts w:ascii="Arial" w:hAnsi="Arial" w:cs="Arial"/>
                  <w:b/>
                  <w:bCs/>
                  <w:sz w:val="22"/>
                  <w:szCs w:val="22"/>
                </w:rPr>
                <w:t>-3. Rubblization and HMA Overlay</w:t>
              </w:r>
            </w:hyperlink>
          </w:p>
        </w:tc>
      </w:tr>
      <w:tr w:rsidR="0042403B" w:rsidRPr="008B546B" w14:paraId="172A45E8" w14:textId="77777777" w:rsidTr="00CC2CD2">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17088B73" w14:textId="77777777" w:rsidR="0042403B" w:rsidRPr="008B546B" w:rsidRDefault="0042403B" w:rsidP="00BE3F24">
            <w:pPr>
              <w:rPr>
                <w:rFonts w:ascii="Bell MT" w:hAnsi="Bell MT" w:cs="Calibri"/>
                <w:b/>
                <w:bCs/>
                <w:color w:val="000000"/>
                <w:sz w:val="28"/>
                <w:szCs w:val="28"/>
              </w:rPr>
            </w:pPr>
          </w:p>
        </w:tc>
        <w:tc>
          <w:tcPr>
            <w:tcW w:w="2920" w:type="dxa"/>
            <w:vMerge/>
            <w:tcBorders>
              <w:top w:val="nil"/>
              <w:left w:val="single" w:sz="4" w:space="0" w:color="auto"/>
              <w:bottom w:val="single" w:sz="4" w:space="0" w:color="auto"/>
              <w:right w:val="single" w:sz="4" w:space="0" w:color="auto"/>
            </w:tcBorders>
            <w:vAlign w:val="center"/>
            <w:hideMark/>
          </w:tcPr>
          <w:p w14:paraId="3DDA80C3" w14:textId="77777777" w:rsidR="0042403B" w:rsidRPr="008B546B" w:rsidRDefault="0042403B" w:rsidP="00BE3F24">
            <w:pPr>
              <w:rPr>
                <w:rFonts w:ascii="Arial" w:hAnsi="Arial" w:cs="Arial"/>
                <w:b/>
                <w:bCs/>
                <w:color w:val="000000"/>
                <w:sz w:val="22"/>
                <w:szCs w:val="22"/>
              </w:rPr>
            </w:pPr>
          </w:p>
        </w:tc>
        <w:tc>
          <w:tcPr>
            <w:tcW w:w="3127" w:type="dxa"/>
            <w:vMerge/>
            <w:tcBorders>
              <w:top w:val="nil"/>
              <w:left w:val="nil"/>
              <w:bottom w:val="single" w:sz="4" w:space="0" w:color="000000"/>
              <w:right w:val="single" w:sz="4" w:space="0" w:color="auto"/>
            </w:tcBorders>
            <w:vAlign w:val="center"/>
            <w:hideMark/>
          </w:tcPr>
          <w:p w14:paraId="028A8559" w14:textId="77777777" w:rsidR="0042403B" w:rsidRPr="008B546B" w:rsidRDefault="0042403B" w:rsidP="00BE3F24">
            <w:pPr>
              <w:rPr>
                <w:rFonts w:ascii="Arial" w:hAnsi="Arial" w:cs="Arial"/>
                <w:b/>
                <w:bCs/>
                <w:color w:val="000000"/>
                <w:sz w:val="22"/>
                <w:szCs w:val="22"/>
              </w:rPr>
            </w:pPr>
          </w:p>
        </w:tc>
      </w:tr>
      <w:tr w:rsidR="0042403B" w:rsidRPr="008B546B" w14:paraId="3F054DFE" w14:textId="77777777" w:rsidTr="00CC2CD2">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4BC88CF4"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67D45BE8"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920" w:type="dxa"/>
            <w:tcBorders>
              <w:top w:val="nil"/>
              <w:left w:val="nil"/>
              <w:bottom w:val="single" w:sz="4" w:space="0" w:color="auto"/>
              <w:right w:val="single" w:sz="4" w:space="0" w:color="auto"/>
            </w:tcBorders>
            <w:vAlign w:val="center"/>
            <w:hideMark/>
          </w:tcPr>
          <w:p w14:paraId="58D6C95E" w14:textId="77777777" w:rsidR="0042403B" w:rsidRDefault="0042403B" w:rsidP="00BE3F24">
            <w:pPr>
              <w:jc w:val="center"/>
            </w:pPr>
            <w:r w:rsidRPr="00644164">
              <w:rPr>
                <w:rFonts w:ascii="Arial" w:hAnsi="Arial" w:cs="Arial"/>
                <w:b/>
                <w:bCs/>
                <w:color w:val="000000"/>
                <w:sz w:val="16"/>
                <w:szCs w:val="16"/>
              </w:rPr>
              <w:t>Yes</w:t>
            </w:r>
          </w:p>
        </w:tc>
        <w:tc>
          <w:tcPr>
            <w:tcW w:w="3127" w:type="dxa"/>
            <w:tcBorders>
              <w:top w:val="nil"/>
              <w:left w:val="nil"/>
              <w:bottom w:val="single" w:sz="4" w:space="0" w:color="auto"/>
              <w:right w:val="single" w:sz="4" w:space="0" w:color="auto"/>
            </w:tcBorders>
            <w:vAlign w:val="center"/>
            <w:hideMark/>
          </w:tcPr>
          <w:p w14:paraId="42F7FF2E" w14:textId="77777777" w:rsidR="0042403B" w:rsidRDefault="0042403B" w:rsidP="00BE3F24">
            <w:pPr>
              <w:jc w:val="center"/>
            </w:pPr>
            <w:r w:rsidRPr="00644164">
              <w:rPr>
                <w:rFonts w:ascii="Arial" w:hAnsi="Arial" w:cs="Arial"/>
                <w:b/>
                <w:bCs/>
                <w:color w:val="000000"/>
                <w:sz w:val="16"/>
                <w:szCs w:val="16"/>
              </w:rPr>
              <w:t>Yes</w:t>
            </w:r>
          </w:p>
        </w:tc>
      </w:tr>
      <w:tr w:rsidR="0042403B" w:rsidRPr="008B546B" w14:paraId="738E9A1B"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98DF1A6"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57C481E" w14:textId="63FB6DA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920" w:type="dxa"/>
            <w:tcBorders>
              <w:top w:val="nil"/>
              <w:left w:val="nil"/>
              <w:bottom w:val="single" w:sz="4" w:space="0" w:color="auto"/>
              <w:right w:val="single" w:sz="4" w:space="0" w:color="auto"/>
            </w:tcBorders>
            <w:vAlign w:val="center"/>
            <w:hideMark/>
          </w:tcPr>
          <w:p w14:paraId="6BE7866E" w14:textId="77777777" w:rsidR="0042403B" w:rsidRDefault="0042403B" w:rsidP="00BE3F24">
            <w:pPr>
              <w:jc w:val="center"/>
            </w:pPr>
            <w:r w:rsidRPr="00644164">
              <w:rPr>
                <w:rFonts w:ascii="Arial" w:hAnsi="Arial" w:cs="Arial"/>
                <w:b/>
                <w:bCs/>
                <w:color w:val="000000"/>
                <w:sz w:val="16"/>
                <w:szCs w:val="16"/>
              </w:rPr>
              <w:t>Yes</w:t>
            </w:r>
          </w:p>
        </w:tc>
        <w:tc>
          <w:tcPr>
            <w:tcW w:w="3127" w:type="dxa"/>
            <w:tcBorders>
              <w:top w:val="nil"/>
              <w:left w:val="nil"/>
              <w:bottom w:val="single" w:sz="4" w:space="0" w:color="auto"/>
              <w:right w:val="single" w:sz="4" w:space="0" w:color="auto"/>
            </w:tcBorders>
            <w:vAlign w:val="center"/>
            <w:hideMark/>
          </w:tcPr>
          <w:p w14:paraId="2C1D1A81" w14:textId="77777777" w:rsidR="0042403B" w:rsidRDefault="0042403B" w:rsidP="00BE3F24">
            <w:pPr>
              <w:jc w:val="center"/>
            </w:pPr>
            <w:r w:rsidRPr="00644164">
              <w:rPr>
                <w:rFonts w:ascii="Arial" w:hAnsi="Arial" w:cs="Arial"/>
                <w:b/>
                <w:bCs/>
                <w:color w:val="000000"/>
                <w:sz w:val="16"/>
                <w:szCs w:val="16"/>
              </w:rPr>
              <w:t>Yes</w:t>
            </w:r>
          </w:p>
        </w:tc>
      </w:tr>
      <w:tr w:rsidR="0042403B" w:rsidRPr="008B546B" w14:paraId="28348C49"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0BAF672"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F8D37F9" w14:textId="3FAA7EE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920" w:type="dxa"/>
            <w:tcBorders>
              <w:top w:val="nil"/>
              <w:left w:val="nil"/>
              <w:bottom w:val="single" w:sz="4" w:space="0" w:color="auto"/>
              <w:right w:val="single" w:sz="4" w:space="0" w:color="auto"/>
            </w:tcBorders>
            <w:vAlign w:val="center"/>
            <w:hideMark/>
          </w:tcPr>
          <w:p w14:paraId="47A92D03" w14:textId="77777777" w:rsidR="0042403B" w:rsidRDefault="0042403B" w:rsidP="00BE3F24">
            <w:pPr>
              <w:jc w:val="center"/>
            </w:pPr>
            <w:r w:rsidRPr="00644164">
              <w:rPr>
                <w:rFonts w:ascii="Arial" w:hAnsi="Arial" w:cs="Arial"/>
                <w:b/>
                <w:bCs/>
                <w:color w:val="000000"/>
                <w:sz w:val="16"/>
                <w:szCs w:val="16"/>
              </w:rPr>
              <w:t>Yes</w:t>
            </w:r>
          </w:p>
        </w:tc>
        <w:tc>
          <w:tcPr>
            <w:tcW w:w="3127" w:type="dxa"/>
            <w:tcBorders>
              <w:top w:val="nil"/>
              <w:left w:val="nil"/>
              <w:bottom w:val="single" w:sz="4" w:space="0" w:color="auto"/>
              <w:right w:val="single" w:sz="4" w:space="0" w:color="auto"/>
            </w:tcBorders>
            <w:vAlign w:val="center"/>
            <w:hideMark/>
          </w:tcPr>
          <w:p w14:paraId="4030B8F6" w14:textId="77777777" w:rsidR="0042403B" w:rsidRDefault="0042403B" w:rsidP="00BE3F24">
            <w:pPr>
              <w:jc w:val="center"/>
            </w:pPr>
            <w:r w:rsidRPr="00644164">
              <w:rPr>
                <w:rFonts w:ascii="Arial" w:hAnsi="Arial" w:cs="Arial"/>
                <w:b/>
                <w:bCs/>
                <w:color w:val="000000"/>
                <w:sz w:val="16"/>
                <w:szCs w:val="16"/>
              </w:rPr>
              <w:t>Yes</w:t>
            </w:r>
          </w:p>
        </w:tc>
      </w:tr>
      <w:tr w:rsidR="0042403B" w:rsidRPr="008B546B" w14:paraId="7613BC04"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2F69AF9"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9A3FCC0"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920" w:type="dxa"/>
            <w:tcBorders>
              <w:top w:val="nil"/>
              <w:left w:val="nil"/>
              <w:bottom w:val="single" w:sz="4" w:space="0" w:color="auto"/>
              <w:right w:val="single" w:sz="4" w:space="0" w:color="auto"/>
            </w:tcBorders>
            <w:vAlign w:val="center"/>
            <w:hideMark/>
          </w:tcPr>
          <w:p w14:paraId="332437BB" w14:textId="77777777" w:rsidR="0042403B" w:rsidRDefault="0042403B" w:rsidP="00BE3F24">
            <w:pPr>
              <w:jc w:val="center"/>
            </w:pPr>
          </w:p>
        </w:tc>
        <w:tc>
          <w:tcPr>
            <w:tcW w:w="3127" w:type="dxa"/>
            <w:tcBorders>
              <w:top w:val="nil"/>
              <w:left w:val="nil"/>
              <w:bottom w:val="single" w:sz="4" w:space="0" w:color="auto"/>
              <w:right w:val="single" w:sz="4" w:space="0" w:color="auto"/>
            </w:tcBorders>
            <w:vAlign w:val="center"/>
            <w:hideMark/>
          </w:tcPr>
          <w:p w14:paraId="0F7AD395" w14:textId="77777777" w:rsidR="0042403B" w:rsidRDefault="0042403B" w:rsidP="00BE3F24">
            <w:pPr>
              <w:jc w:val="center"/>
            </w:pPr>
          </w:p>
        </w:tc>
      </w:tr>
      <w:tr w:rsidR="0042403B" w:rsidRPr="008B546B" w14:paraId="3B3ED0B8"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6E20CAD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B121E13"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920" w:type="dxa"/>
            <w:tcBorders>
              <w:top w:val="nil"/>
              <w:left w:val="nil"/>
              <w:bottom w:val="single" w:sz="4" w:space="0" w:color="auto"/>
              <w:right w:val="single" w:sz="4" w:space="0" w:color="auto"/>
            </w:tcBorders>
            <w:vAlign w:val="center"/>
            <w:hideMark/>
          </w:tcPr>
          <w:p w14:paraId="0118B0DF" w14:textId="77777777" w:rsidR="0042403B" w:rsidRDefault="0042403B" w:rsidP="00BE3F24">
            <w:pPr>
              <w:jc w:val="center"/>
            </w:pPr>
          </w:p>
        </w:tc>
        <w:tc>
          <w:tcPr>
            <w:tcW w:w="3127" w:type="dxa"/>
            <w:tcBorders>
              <w:top w:val="nil"/>
              <w:left w:val="nil"/>
              <w:bottom w:val="single" w:sz="4" w:space="0" w:color="auto"/>
              <w:right w:val="single" w:sz="4" w:space="0" w:color="auto"/>
            </w:tcBorders>
            <w:vAlign w:val="center"/>
            <w:hideMark/>
          </w:tcPr>
          <w:p w14:paraId="2B461921" w14:textId="77777777" w:rsidR="0042403B" w:rsidRDefault="0042403B" w:rsidP="00BE3F24">
            <w:pPr>
              <w:jc w:val="center"/>
            </w:pPr>
          </w:p>
        </w:tc>
      </w:tr>
      <w:tr w:rsidR="0042403B" w:rsidRPr="008B546B" w14:paraId="5187B769"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3D9FDFE"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0CF1E506"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920" w:type="dxa"/>
            <w:tcBorders>
              <w:top w:val="nil"/>
              <w:left w:val="nil"/>
              <w:bottom w:val="single" w:sz="4" w:space="0" w:color="auto"/>
              <w:right w:val="single" w:sz="4" w:space="0" w:color="auto"/>
            </w:tcBorders>
            <w:vAlign w:val="center"/>
            <w:hideMark/>
          </w:tcPr>
          <w:p w14:paraId="36EBD273" w14:textId="77777777" w:rsidR="0042403B" w:rsidRDefault="0042403B" w:rsidP="00BE3F24">
            <w:pPr>
              <w:jc w:val="center"/>
            </w:pPr>
          </w:p>
        </w:tc>
        <w:tc>
          <w:tcPr>
            <w:tcW w:w="3127" w:type="dxa"/>
            <w:tcBorders>
              <w:top w:val="nil"/>
              <w:left w:val="nil"/>
              <w:bottom w:val="single" w:sz="4" w:space="0" w:color="auto"/>
              <w:right w:val="single" w:sz="4" w:space="0" w:color="auto"/>
            </w:tcBorders>
            <w:vAlign w:val="center"/>
            <w:hideMark/>
          </w:tcPr>
          <w:p w14:paraId="0FF55342" w14:textId="77777777" w:rsidR="0042403B" w:rsidRDefault="0042403B" w:rsidP="00BE3F24">
            <w:pPr>
              <w:jc w:val="center"/>
            </w:pPr>
          </w:p>
        </w:tc>
      </w:tr>
      <w:tr w:rsidR="0042403B" w:rsidRPr="008B546B" w14:paraId="473862DD" w14:textId="77777777" w:rsidTr="00CC2CD2">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E9405F8" w14:textId="0AD3389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2920" w:type="dxa"/>
            <w:tcBorders>
              <w:top w:val="nil"/>
              <w:left w:val="nil"/>
              <w:bottom w:val="single" w:sz="4" w:space="0" w:color="auto"/>
              <w:right w:val="single" w:sz="4" w:space="0" w:color="auto"/>
            </w:tcBorders>
            <w:hideMark/>
          </w:tcPr>
          <w:p w14:paraId="6FB5D83A" w14:textId="77777777" w:rsidR="0042403B" w:rsidRDefault="0042403B" w:rsidP="00BE3F24">
            <w:pPr>
              <w:rPr>
                <w:rFonts w:ascii="Arial" w:hAnsi="Arial" w:cs="Arial"/>
                <w:color w:val="000000"/>
                <w:sz w:val="16"/>
                <w:szCs w:val="16"/>
              </w:rPr>
            </w:pPr>
            <w:r>
              <w:rPr>
                <w:rFonts w:ascii="Arial" w:hAnsi="Arial" w:cs="Arial"/>
                <w:color w:val="000000"/>
                <w:sz w:val="16"/>
                <w:szCs w:val="16"/>
              </w:rPr>
              <w:t>1. Significant (12-15 years) achieved.</w:t>
            </w:r>
            <w:r>
              <w:rPr>
                <w:rFonts w:ascii="Arial" w:hAnsi="Arial" w:cs="Arial"/>
                <w:color w:val="000000"/>
                <w:sz w:val="16"/>
                <w:szCs w:val="16"/>
              </w:rPr>
              <w:br/>
              <w:t xml:space="preserve">2. Limits the potential for reflective cracking while maintaining the majority of the structural capacity of the rigid pavement. </w:t>
            </w:r>
          </w:p>
        </w:tc>
        <w:tc>
          <w:tcPr>
            <w:tcW w:w="3127" w:type="dxa"/>
            <w:tcBorders>
              <w:top w:val="nil"/>
              <w:left w:val="nil"/>
              <w:bottom w:val="single" w:sz="4" w:space="0" w:color="auto"/>
              <w:right w:val="single" w:sz="4" w:space="0" w:color="auto"/>
            </w:tcBorders>
            <w:hideMark/>
          </w:tcPr>
          <w:p w14:paraId="2E3520CF" w14:textId="642EB612" w:rsidR="0042403B" w:rsidRDefault="0042403B" w:rsidP="006021E1">
            <w:pPr>
              <w:rPr>
                <w:rFonts w:ascii="Arial" w:hAnsi="Arial" w:cs="Arial"/>
                <w:color w:val="000000"/>
                <w:sz w:val="16"/>
                <w:szCs w:val="16"/>
              </w:rPr>
            </w:pPr>
            <w:r>
              <w:rPr>
                <w:rFonts w:ascii="Arial" w:hAnsi="Arial" w:cs="Arial"/>
                <w:color w:val="000000"/>
                <w:sz w:val="16"/>
                <w:szCs w:val="16"/>
              </w:rPr>
              <w:t xml:space="preserve">1. No excavation </w:t>
            </w:r>
            <w:r w:rsidR="006021E1">
              <w:rPr>
                <w:rFonts w:ascii="Arial" w:hAnsi="Arial" w:cs="Arial"/>
                <w:color w:val="000000"/>
                <w:sz w:val="16"/>
                <w:szCs w:val="16"/>
              </w:rPr>
              <w:t>c</w:t>
            </w:r>
            <w:r>
              <w:rPr>
                <w:rFonts w:ascii="Arial" w:hAnsi="Arial" w:cs="Arial"/>
                <w:color w:val="000000"/>
                <w:sz w:val="16"/>
                <w:szCs w:val="16"/>
              </w:rPr>
              <w:t>ost</w:t>
            </w:r>
            <w:r w:rsidR="006021E1">
              <w:rPr>
                <w:rFonts w:ascii="Arial" w:hAnsi="Arial" w:cs="Arial"/>
                <w:color w:val="000000"/>
                <w:sz w:val="16"/>
                <w:szCs w:val="16"/>
              </w:rPr>
              <w:t>.</w:t>
            </w:r>
            <w:r>
              <w:rPr>
                <w:rFonts w:ascii="Arial" w:hAnsi="Arial" w:cs="Arial"/>
                <w:color w:val="000000"/>
                <w:sz w:val="16"/>
                <w:szCs w:val="16"/>
              </w:rPr>
              <w:br/>
              <w:t>2. Recycling the existing PCC.</w:t>
            </w:r>
            <w:r>
              <w:rPr>
                <w:rFonts w:ascii="Arial" w:hAnsi="Arial" w:cs="Arial"/>
                <w:color w:val="000000"/>
                <w:sz w:val="16"/>
                <w:szCs w:val="16"/>
              </w:rPr>
              <w:br/>
              <w:t>3. Cost-effective alternative.</w:t>
            </w:r>
            <w:r>
              <w:rPr>
                <w:rFonts w:ascii="Arial" w:hAnsi="Arial" w:cs="Arial"/>
                <w:color w:val="000000"/>
                <w:sz w:val="16"/>
                <w:szCs w:val="16"/>
              </w:rPr>
              <w:br/>
              <w:t>4. Reduces potential for Joint Reflective Cracking.</w:t>
            </w:r>
          </w:p>
        </w:tc>
      </w:tr>
      <w:tr w:rsidR="0042403B" w:rsidRPr="008B546B" w14:paraId="1A94B91F" w14:textId="77777777" w:rsidTr="00CC2CD2">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935A4EE" w14:textId="6F0BB9BC"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2920" w:type="dxa"/>
            <w:tcBorders>
              <w:top w:val="nil"/>
              <w:left w:val="nil"/>
              <w:bottom w:val="single" w:sz="4" w:space="0" w:color="auto"/>
              <w:right w:val="single" w:sz="4" w:space="0" w:color="auto"/>
            </w:tcBorders>
            <w:hideMark/>
          </w:tcPr>
          <w:p w14:paraId="7A0526D5" w14:textId="77777777" w:rsidR="0042403B" w:rsidRDefault="0042403B" w:rsidP="00BE3F24">
            <w:pPr>
              <w:rPr>
                <w:rFonts w:ascii="Arial" w:hAnsi="Arial" w:cs="Arial"/>
                <w:color w:val="000000"/>
                <w:sz w:val="16"/>
                <w:szCs w:val="16"/>
              </w:rPr>
            </w:pPr>
            <w:r>
              <w:rPr>
                <w:rFonts w:ascii="Arial" w:hAnsi="Arial" w:cs="Arial"/>
                <w:color w:val="000000"/>
                <w:sz w:val="16"/>
                <w:szCs w:val="16"/>
              </w:rPr>
              <w:t>1. Removal of any pre-existing AC overlay is required.</w:t>
            </w:r>
            <w:r>
              <w:rPr>
                <w:rFonts w:ascii="Arial" w:hAnsi="Arial" w:cs="Arial"/>
                <w:color w:val="000000"/>
                <w:sz w:val="16"/>
                <w:szCs w:val="16"/>
              </w:rPr>
              <w:br/>
              <w:t>2. May result in grade increase.</w:t>
            </w:r>
          </w:p>
        </w:tc>
        <w:tc>
          <w:tcPr>
            <w:tcW w:w="3127" w:type="dxa"/>
            <w:tcBorders>
              <w:top w:val="nil"/>
              <w:left w:val="nil"/>
              <w:bottom w:val="single" w:sz="4" w:space="0" w:color="auto"/>
              <w:right w:val="single" w:sz="4" w:space="0" w:color="auto"/>
            </w:tcBorders>
            <w:hideMark/>
          </w:tcPr>
          <w:p w14:paraId="32AFBA8E" w14:textId="338572E9" w:rsidR="0042403B" w:rsidRDefault="0042403B">
            <w:pPr>
              <w:rPr>
                <w:rFonts w:ascii="Arial" w:hAnsi="Arial" w:cs="Arial"/>
                <w:color w:val="000000"/>
                <w:sz w:val="16"/>
                <w:szCs w:val="16"/>
              </w:rPr>
            </w:pPr>
            <w:r>
              <w:rPr>
                <w:rFonts w:ascii="Arial" w:hAnsi="Arial" w:cs="Arial"/>
                <w:color w:val="000000"/>
                <w:sz w:val="16"/>
                <w:szCs w:val="16"/>
              </w:rPr>
              <w:t>1. Results in grade increase</w:t>
            </w:r>
            <w:r w:rsidR="006021E1">
              <w:rPr>
                <w:rFonts w:ascii="Arial" w:hAnsi="Arial" w:cs="Arial"/>
                <w:color w:val="000000"/>
                <w:sz w:val="16"/>
                <w:szCs w:val="16"/>
              </w:rPr>
              <w:t>.</w:t>
            </w:r>
            <w:r>
              <w:rPr>
                <w:rFonts w:ascii="Arial" w:hAnsi="Arial" w:cs="Arial"/>
                <w:color w:val="000000"/>
                <w:sz w:val="16"/>
                <w:szCs w:val="16"/>
              </w:rPr>
              <w:br/>
              <w:t xml:space="preserve">2. Environmental </w:t>
            </w:r>
            <w:r w:rsidR="006021E1">
              <w:rPr>
                <w:rFonts w:ascii="Arial" w:hAnsi="Arial" w:cs="Arial"/>
                <w:color w:val="000000"/>
                <w:sz w:val="16"/>
                <w:szCs w:val="16"/>
              </w:rPr>
              <w:t>issues (dust and no</w:t>
            </w:r>
            <w:r>
              <w:rPr>
                <w:rFonts w:ascii="Arial" w:hAnsi="Arial" w:cs="Arial"/>
                <w:color w:val="000000"/>
                <w:sz w:val="16"/>
                <w:szCs w:val="16"/>
              </w:rPr>
              <w:t>ise)</w:t>
            </w:r>
            <w:r w:rsidR="006021E1">
              <w:rPr>
                <w:rFonts w:ascii="Arial" w:hAnsi="Arial" w:cs="Arial"/>
                <w:color w:val="000000"/>
                <w:sz w:val="16"/>
                <w:szCs w:val="16"/>
              </w:rPr>
              <w:t>.</w:t>
            </w:r>
            <w:r>
              <w:rPr>
                <w:rFonts w:ascii="Arial" w:hAnsi="Arial" w:cs="Arial"/>
                <w:color w:val="000000"/>
                <w:sz w:val="16"/>
                <w:szCs w:val="16"/>
              </w:rPr>
              <w:br/>
              <w:t>3. A minimum subgrade strength of 7,500 psi is required.</w:t>
            </w:r>
            <w:r>
              <w:rPr>
                <w:rFonts w:ascii="Arial" w:hAnsi="Arial" w:cs="Arial"/>
                <w:color w:val="000000"/>
                <w:sz w:val="16"/>
                <w:szCs w:val="16"/>
              </w:rPr>
              <w:br/>
              <w:t>4. Need to perform subgrade strength tests like GPR.</w:t>
            </w:r>
          </w:p>
        </w:tc>
      </w:tr>
      <w:tr w:rsidR="0042403B" w:rsidRPr="008B546B" w14:paraId="4C3BF9CE" w14:textId="77777777" w:rsidTr="00CC2CD2">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568EA471"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39475626"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2920" w:type="dxa"/>
            <w:vMerge w:val="restart"/>
            <w:tcBorders>
              <w:top w:val="nil"/>
              <w:left w:val="nil"/>
              <w:right w:val="single" w:sz="4" w:space="0" w:color="auto"/>
            </w:tcBorders>
            <w:vAlign w:val="center"/>
            <w:hideMark/>
          </w:tcPr>
          <w:p w14:paraId="00C0B425" w14:textId="77777777" w:rsidR="0042403B" w:rsidRDefault="0042403B" w:rsidP="00BE3F24">
            <w:pPr>
              <w:rPr>
                <w:rFonts w:ascii="Arial" w:hAnsi="Arial" w:cs="Arial"/>
                <w:color w:val="000000"/>
                <w:sz w:val="16"/>
                <w:szCs w:val="16"/>
              </w:rPr>
            </w:pPr>
            <w:r>
              <w:rPr>
                <w:rFonts w:ascii="Arial" w:hAnsi="Arial" w:cs="Arial"/>
                <w:color w:val="000000"/>
                <w:sz w:val="16"/>
                <w:szCs w:val="16"/>
              </w:rPr>
              <w:t>No information</w:t>
            </w:r>
          </w:p>
        </w:tc>
        <w:tc>
          <w:tcPr>
            <w:tcW w:w="3127" w:type="dxa"/>
            <w:vMerge w:val="restart"/>
            <w:tcBorders>
              <w:top w:val="nil"/>
              <w:left w:val="nil"/>
              <w:right w:val="single" w:sz="4" w:space="0" w:color="auto"/>
            </w:tcBorders>
            <w:vAlign w:val="center"/>
            <w:hideMark/>
          </w:tcPr>
          <w:p w14:paraId="7BCB95BA" w14:textId="219636E1" w:rsidR="0042403B" w:rsidRDefault="0042403B" w:rsidP="006021E1">
            <w:pPr>
              <w:rPr>
                <w:rFonts w:ascii="Arial" w:hAnsi="Arial" w:cs="Arial"/>
                <w:color w:val="000000"/>
                <w:sz w:val="16"/>
                <w:szCs w:val="16"/>
              </w:rPr>
            </w:pPr>
            <w:r>
              <w:rPr>
                <w:rFonts w:ascii="Arial" w:hAnsi="Arial" w:cs="Arial"/>
                <w:color w:val="000000"/>
                <w:sz w:val="16"/>
                <w:szCs w:val="16"/>
              </w:rPr>
              <w:t>$ 4.50 per SY (2001) (See MD 404 CO323)</w:t>
            </w:r>
          </w:p>
        </w:tc>
      </w:tr>
      <w:tr w:rsidR="0042403B" w:rsidRPr="008B546B" w14:paraId="7DA954D5" w14:textId="77777777" w:rsidTr="00CC2CD2">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33EB352B"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1638A96"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2920" w:type="dxa"/>
            <w:vMerge/>
            <w:tcBorders>
              <w:left w:val="nil"/>
              <w:right w:val="single" w:sz="4" w:space="0" w:color="auto"/>
            </w:tcBorders>
            <w:vAlign w:val="center"/>
            <w:hideMark/>
          </w:tcPr>
          <w:p w14:paraId="42C87FC6" w14:textId="77777777" w:rsidR="0042403B" w:rsidRPr="00310702" w:rsidRDefault="0042403B" w:rsidP="00BE3F24">
            <w:pPr>
              <w:rPr>
                <w:rFonts w:ascii="Arial" w:hAnsi="Arial" w:cs="Arial"/>
                <w:sz w:val="16"/>
                <w:szCs w:val="16"/>
              </w:rPr>
            </w:pPr>
          </w:p>
        </w:tc>
        <w:tc>
          <w:tcPr>
            <w:tcW w:w="3127" w:type="dxa"/>
            <w:vMerge/>
            <w:tcBorders>
              <w:left w:val="nil"/>
              <w:right w:val="single" w:sz="4" w:space="0" w:color="auto"/>
            </w:tcBorders>
            <w:vAlign w:val="center"/>
            <w:hideMark/>
          </w:tcPr>
          <w:p w14:paraId="20DA9C42" w14:textId="77777777" w:rsidR="0042403B" w:rsidRPr="00310702" w:rsidRDefault="0042403B" w:rsidP="00BE3F24">
            <w:pPr>
              <w:rPr>
                <w:rFonts w:ascii="Arial" w:hAnsi="Arial" w:cs="Arial"/>
                <w:sz w:val="16"/>
                <w:szCs w:val="16"/>
              </w:rPr>
            </w:pPr>
          </w:p>
        </w:tc>
      </w:tr>
      <w:tr w:rsidR="0042403B" w:rsidRPr="008B546B" w14:paraId="70BB99D5" w14:textId="77777777" w:rsidTr="00CC2CD2">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4286CC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DE31DBB"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2920" w:type="dxa"/>
            <w:vMerge/>
            <w:tcBorders>
              <w:left w:val="nil"/>
              <w:bottom w:val="single" w:sz="4" w:space="0" w:color="auto"/>
              <w:right w:val="single" w:sz="4" w:space="0" w:color="auto"/>
            </w:tcBorders>
            <w:vAlign w:val="center"/>
            <w:hideMark/>
          </w:tcPr>
          <w:p w14:paraId="0CF89BA7" w14:textId="77777777" w:rsidR="0042403B" w:rsidRPr="00310702" w:rsidRDefault="0042403B" w:rsidP="00BE3F24">
            <w:pPr>
              <w:rPr>
                <w:rFonts w:ascii="Arial" w:hAnsi="Arial" w:cs="Arial"/>
                <w:sz w:val="16"/>
                <w:szCs w:val="16"/>
              </w:rPr>
            </w:pPr>
          </w:p>
        </w:tc>
        <w:tc>
          <w:tcPr>
            <w:tcW w:w="3127" w:type="dxa"/>
            <w:vMerge/>
            <w:tcBorders>
              <w:left w:val="nil"/>
              <w:bottom w:val="single" w:sz="4" w:space="0" w:color="auto"/>
              <w:right w:val="single" w:sz="4" w:space="0" w:color="auto"/>
            </w:tcBorders>
            <w:vAlign w:val="center"/>
            <w:hideMark/>
          </w:tcPr>
          <w:p w14:paraId="38780DF1" w14:textId="77777777" w:rsidR="0042403B" w:rsidRPr="00310702" w:rsidRDefault="0042403B" w:rsidP="00BE3F24">
            <w:pPr>
              <w:rPr>
                <w:rFonts w:ascii="Arial" w:hAnsi="Arial" w:cs="Arial"/>
                <w:sz w:val="16"/>
                <w:szCs w:val="16"/>
              </w:rPr>
            </w:pPr>
          </w:p>
        </w:tc>
      </w:tr>
      <w:tr w:rsidR="0042403B" w:rsidRPr="008B546B" w14:paraId="3BAF56F3" w14:textId="77777777" w:rsidTr="00CC2CD2">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80984ED"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03D5E60"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2920" w:type="dxa"/>
            <w:tcBorders>
              <w:top w:val="nil"/>
              <w:left w:val="nil"/>
              <w:bottom w:val="single" w:sz="4" w:space="0" w:color="auto"/>
              <w:right w:val="single" w:sz="4" w:space="0" w:color="auto"/>
            </w:tcBorders>
            <w:vAlign w:val="center"/>
            <w:hideMark/>
          </w:tcPr>
          <w:p w14:paraId="5D5A6064" w14:textId="77777777" w:rsidR="0042403B" w:rsidRDefault="0042403B" w:rsidP="00BE3F24">
            <w:pPr>
              <w:rPr>
                <w:rFonts w:ascii="Arial" w:hAnsi="Arial" w:cs="Arial"/>
                <w:sz w:val="16"/>
                <w:szCs w:val="16"/>
              </w:rPr>
            </w:pPr>
            <w:r>
              <w:rPr>
                <w:rFonts w:ascii="Arial" w:hAnsi="Arial" w:cs="Arial"/>
                <w:sz w:val="16"/>
                <w:szCs w:val="16"/>
              </w:rPr>
              <w:t>Break and Seat</w:t>
            </w:r>
          </w:p>
        </w:tc>
        <w:tc>
          <w:tcPr>
            <w:tcW w:w="3127" w:type="dxa"/>
            <w:tcBorders>
              <w:top w:val="nil"/>
              <w:left w:val="nil"/>
              <w:bottom w:val="single" w:sz="4" w:space="0" w:color="auto"/>
              <w:right w:val="single" w:sz="4" w:space="0" w:color="auto"/>
            </w:tcBorders>
            <w:vAlign w:val="center"/>
            <w:hideMark/>
          </w:tcPr>
          <w:p w14:paraId="6F30BC29" w14:textId="64041ABB" w:rsidR="0042403B" w:rsidRDefault="0042403B" w:rsidP="00BE3F24">
            <w:pPr>
              <w:rPr>
                <w:rFonts w:ascii="Arial" w:hAnsi="Arial" w:cs="Arial"/>
                <w:color w:val="000000"/>
                <w:sz w:val="16"/>
                <w:szCs w:val="16"/>
              </w:rPr>
            </w:pPr>
            <w:r>
              <w:rPr>
                <w:rFonts w:ascii="Arial" w:hAnsi="Arial" w:cs="Arial"/>
                <w:color w:val="000000"/>
                <w:sz w:val="16"/>
                <w:szCs w:val="16"/>
              </w:rPr>
              <w:t>PCC Rubblization including HMA removal prior to rubblization</w:t>
            </w:r>
          </w:p>
        </w:tc>
      </w:tr>
      <w:tr w:rsidR="0042403B" w:rsidRPr="008B546B" w14:paraId="07AC7D8B" w14:textId="77777777" w:rsidTr="00CC2CD2">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50A76B0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41C23267"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2920" w:type="dxa"/>
            <w:tcBorders>
              <w:top w:val="nil"/>
              <w:left w:val="nil"/>
              <w:bottom w:val="single" w:sz="4" w:space="0" w:color="auto"/>
              <w:right w:val="single" w:sz="4" w:space="0" w:color="auto"/>
            </w:tcBorders>
            <w:vAlign w:val="center"/>
            <w:hideMark/>
          </w:tcPr>
          <w:p w14:paraId="5214761A" w14:textId="77777777" w:rsidR="0042403B" w:rsidRDefault="0042403B" w:rsidP="00BE3F24">
            <w:pPr>
              <w:rPr>
                <w:rFonts w:ascii="Arial" w:hAnsi="Arial" w:cs="Arial"/>
                <w:sz w:val="16"/>
                <w:szCs w:val="16"/>
              </w:rPr>
            </w:pPr>
            <w:r>
              <w:rPr>
                <w:rFonts w:ascii="Arial" w:hAnsi="Arial" w:cs="Arial"/>
                <w:sz w:val="16"/>
                <w:szCs w:val="16"/>
              </w:rPr>
              <w:t>HMA Overlay</w:t>
            </w:r>
          </w:p>
        </w:tc>
        <w:tc>
          <w:tcPr>
            <w:tcW w:w="3127" w:type="dxa"/>
            <w:tcBorders>
              <w:top w:val="nil"/>
              <w:left w:val="nil"/>
              <w:bottom w:val="single" w:sz="4" w:space="0" w:color="auto"/>
              <w:right w:val="single" w:sz="4" w:space="0" w:color="auto"/>
            </w:tcBorders>
            <w:vAlign w:val="center"/>
            <w:hideMark/>
          </w:tcPr>
          <w:p w14:paraId="7603B7BB" w14:textId="77777777" w:rsidR="0042403B" w:rsidRDefault="0042403B" w:rsidP="00BE3F24">
            <w:pPr>
              <w:rPr>
                <w:rFonts w:ascii="Arial" w:hAnsi="Arial" w:cs="Arial"/>
                <w:color w:val="000000"/>
                <w:sz w:val="16"/>
                <w:szCs w:val="16"/>
              </w:rPr>
            </w:pPr>
            <w:r>
              <w:rPr>
                <w:rFonts w:ascii="Arial" w:hAnsi="Arial" w:cs="Arial"/>
                <w:color w:val="000000"/>
                <w:sz w:val="16"/>
                <w:szCs w:val="16"/>
              </w:rPr>
              <w:t>See Definition</w:t>
            </w:r>
          </w:p>
        </w:tc>
      </w:tr>
      <w:tr w:rsidR="0042403B" w:rsidRPr="008B546B" w14:paraId="0F287F82" w14:textId="77777777" w:rsidTr="00CC2CD2">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7F58F3AA"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920" w:type="dxa"/>
            <w:tcBorders>
              <w:top w:val="single" w:sz="4" w:space="0" w:color="auto"/>
              <w:left w:val="nil"/>
              <w:bottom w:val="single" w:sz="4" w:space="0" w:color="auto"/>
              <w:right w:val="single" w:sz="4" w:space="0" w:color="auto"/>
            </w:tcBorders>
            <w:vAlign w:val="center"/>
            <w:hideMark/>
          </w:tcPr>
          <w:p w14:paraId="1288CD7A" w14:textId="77777777" w:rsidR="0042403B" w:rsidRDefault="0042403B" w:rsidP="00BE3F24">
            <w:pPr>
              <w:rPr>
                <w:rFonts w:ascii="Arial" w:hAnsi="Arial" w:cs="Arial"/>
                <w:color w:val="000000"/>
                <w:sz w:val="16"/>
                <w:szCs w:val="16"/>
              </w:rPr>
            </w:pPr>
            <w:r>
              <w:rPr>
                <w:rFonts w:ascii="Arial" w:hAnsi="Arial" w:cs="Arial"/>
                <w:color w:val="000000"/>
                <w:sz w:val="16"/>
                <w:szCs w:val="16"/>
              </w:rPr>
              <w:t>15-25 years</w:t>
            </w:r>
          </w:p>
        </w:tc>
        <w:tc>
          <w:tcPr>
            <w:tcW w:w="3127" w:type="dxa"/>
            <w:tcBorders>
              <w:top w:val="nil"/>
              <w:left w:val="nil"/>
              <w:bottom w:val="single" w:sz="4" w:space="0" w:color="auto"/>
              <w:right w:val="single" w:sz="4" w:space="0" w:color="auto"/>
            </w:tcBorders>
            <w:vAlign w:val="center"/>
            <w:hideMark/>
          </w:tcPr>
          <w:p w14:paraId="253F7998" w14:textId="77777777" w:rsidR="0042403B" w:rsidRDefault="0042403B" w:rsidP="00BE3F24">
            <w:pPr>
              <w:rPr>
                <w:rFonts w:ascii="Arial" w:hAnsi="Arial" w:cs="Arial"/>
                <w:color w:val="000000"/>
                <w:sz w:val="16"/>
                <w:szCs w:val="16"/>
              </w:rPr>
            </w:pPr>
            <w:r>
              <w:rPr>
                <w:rFonts w:ascii="Arial" w:hAnsi="Arial" w:cs="Arial"/>
                <w:color w:val="000000"/>
                <w:sz w:val="16"/>
                <w:szCs w:val="16"/>
              </w:rPr>
              <w:t>15-25 years</w:t>
            </w:r>
          </w:p>
        </w:tc>
      </w:tr>
    </w:tbl>
    <w:p w14:paraId="1FB0560D" w14:textId="77777777" w:rsidR="0042403B" w:rsidRDefault="0042403B" w:rsidP="00BE3F24">
      <w:pPr>
        <w:rPr>
          <w:rFonts w:ascii="Arial" w:hAnsi="Arial" w:cs="Arial"/>
          <w:b/>
          <w:bCs/>
          <w:kern w:val="32"/>
          <w:sz w:val="28"/>
          <w:szCs w:val="32"/>
          <w:u w:val="single"/>
        </w:rPr>
      </w:pPr>
    </w:p>
    <w:p w14:paraId="4AE1F090" w14:textId="77777777" w:rsidR="0042403B" w:rsidRDefault="0042403B" w:rsidP="00BE3F24">
      <w:pPr>
        <w:rPr>
          <w:rFonts w:ascii="Arial" w:hAnsi="Arial" w:cs="Arial"/>
          <w:b/>
          <w:bCs/>
          <w:kern w:val="32"/>
          <w:sz w:val="28"/>
          <w:szCs w:val="32"/>
          <w:u w:val="single"/>
        </w:rPr>
      </w:pPr>
      <w:r>
        <w:rPr>
          <w:rFonts w:ascii="Arial" w:hAnsi="Arial" w:cs="Arial"/>
          <w:b/>
          <w:bCs/>
          <w:kern w:val="32"/>
          <w:sz w:val="28"/>
          <w:szCs w:val="32"/>
          <w:u w:val="single"/>
        </w:rPr>
        <w:br w:type="page"/>
      </w:r>
    </w:p>
    <w:tbl>
      <w:tblPr>
        <w:tblW w:w="8627" w:type="dxa"/>
        <w:tblInd w:w="98" w:type="dxa"/>
        <w:tblLayout w:type="fixed"/>
        <w:tblLook w:val="04A0" w:firstRow="1" w:lastRow="0" w:firstColumn="1" w:lastColumn="0" w:noHBand="0" w:noVBand="1"/>
      </w:tblPr>
      <w:tblGrid>
        <w:gridCol w:w="1040"/>
        <w:gridCol w:w="1540"/>
        <w:gridCol w:w="2920"/>
        <w:gridCol w:w="3127"/>
      </w:tblGrid>
      <w:tr w:rsidR="0042403B" w:rsidRPr="008B546B" w14:paraId="4BA4CBC8" w14:textId="77777777" w:rsidTr="00CC2CD2">
        <w:trPr>
          <w:trHeight w:val="315"/>
        </w:trPr>
        <w:tc>
          <w:tcPr>
            <w:tcW w:w="2580" w:type="dxa"/>
            <w:gridSpan w:val="2"/>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58D694DC" w14:textId="0C825F43" w:rsidR="0042403B" w:rsidRDefault="0042403B" w:rsidP="00BE3F24">
            <w:pPr>
              <w:jc w:val="center"/>
              <w:rPr>
                <w:rFonts w:ascii="Bell MT" w:hAnsi="Bell MT" w:cs="Calibri"/>
                <w:b/>
                <w:bCs/>
                <w:color w:val="000000"/>
                <w:sz w:val="28"/>
                <w:szCs w:val="28"/>
              </w:rPr>
            </w:pPr>
            <w:r w:rsidRPr="008B546B">
              <w:rPr>
                <w:rFonts w:ascii="Bell MT" w:hAnsi="Bell MT" w:cs="Calibri"/>
                <w:b/>
                <w:bCs/>
                <w:color w:val="000000"/>
                <w:sz w:val="28"/>
                <w:szCs w:val="28"/>
              </w:rPr>
              <w:lastRenderedPageBreak/>
              <w:t>Table B.</w:t>
            </w:r>
            <w:r>
              <w:rPr>
                <w:rFonts w:ascii="Bell MT" w:hAnsi="Bell MT" w:cs="Calibri"/>
                <w:b/>
                <w:bCs/>
                <w:color w:val="000000"/>
                <w:sz w:val="28"/>
                <w:szCs w:val="28"/>
              </w:rPr>
              <w:t>2</w:t>
            </w:r>
            <w:r w:rsidR="0087216E">
              <w:rPr>
                <w:rFonts w:ascii="Bell MT" w:hAnsi="Bell MT" w:cs="Calibri"/>
                <w:b/>
                <w:bCs/>
                <w:color w:val="000000"/>
                <w:sz w:val="28"/>
                <w:szCs w:val="28"/>
              </w:rPr>
              <w:t>1</w:t>
            </w:r>
          </w:p>
          <w:p w14:paraId="3B199FE0" w14:textId="77777777" w:rsidR="002417C7" w:rsidRDefault="002417C7" w:rsidP="00BE3F24">
            <w:pPr>
              <w:jc w:val="center"/>
              <w:rPr>
                <w:rFonts w:ascii="Bell MT" w:hAnsi="Bell MT" w:cs="Calibri"/>
                <w:b/>
                <w:bCs/>
                <w:color w:val="000000"/>
                <w:sz w:val="28"/>
                <w:szCs w:val="28"/>
              </w:rPr>
            </w:pPr>
          </w:p>
          <w:p w14:paraId="61173A0D" w14:textId="77777777" w:rsidR="002417C7" w:rsidRPr="008B546B" w:rsidRDefault="002417C7" w:rsidP="00BE3F24">
            <w:pPr>
              <w:jc w:val="center"/>
              <w:rPr>
                <w:rFonts w:ascii="Bell MT" w:hAnsi="Bell MT" w:cs="Calibri"/>
                <w:b/>
                <w:bCs/>
                <w:color w:val="000000"/>
                <w:sz w:val="28"/>
                <w:szCs w:val="28"/>
              </w:rPr>
            </w:pPr>
            <w:hyperlink w:anchor="_Table_C._List_1" w:history="1">
              <w:r w:rsidRPr="002417C7">
                <w:rPr>
                  <w:rStyle w:val="Hyperlink"/>
                  <w:rFonts w:ascii="Arial" w:hAnsi="Arial" w:cs="Arial"/>
                  <w:b/>
                  <w:bCs/>
                  <w:sz w:val="22"/>
                  <w:szCs w:val="22"/>
                </w:rPr>
                <w:t>Return to Table C</w:t>
              </w:r>
            </w:hyperlink>
          </w:p>
        </w:tc>
        <w:tc>
          <w:tcPr>
            <w:tcW w:w="6047" w:type="dxa"/>
            <w:gridSpan w:val="2"/>
            <w:tcBorders>
              <w:top w:val="single" w:sz="4" w:space="0" w:color="auto"/>
              <w:left w:val="single" w:sz="8" w:space="0" w:color="auto"/>
              <w:bottom w:val="single" w:sz="8" w:space="0" w:color="auto"/>
              <w:right w:val="single" w:sz="4" w:space="0" w:color="auto"/>
            </w:tcBorders>
            <w:vAlign w:val="bottom"/>
            <w:hideMark/>
          </w:tcPr>
          <w:p w14:paraId="531AF138" w14:textId="48C263A7" w:rsidR="0042403B" w:rsidRPr="008B546B" w:rsidRDefault="0042403B" w:rsidP="00CC2CD2">
            <w:pPr>
              <w:pStyle w:val="Heading3"/>
              <w:ind w:left="1349" w:hanging="1349"/>
            </w:pPr>
            <w:bookmarkStart w:id="84" w:name="_SUPPLEMENTAL_INFORMATION_FOR_23"/>
            <w:bookmarkEnd w:id="84"/>
            <w:r w:rsidRPr="008B546B">
              <w:t>SUPPLEMENTAL INFORMATION FOR TREATMENT</w:t>
            </w:r>
            <w:r>
              <w:t xml:space="preserve">S </w:t>
            </w:r>
            <w:r w:rsidR="0087216E">
              <w:t>I</w:t>
            </w:r>
            <w:r>
              <w:t xml:space="preserve">-1, </w:t>
            </w:r>
            <w:r w:rsidR="0087216E">
              <w:t>I</w:t>
            </w:r>
            <w:r>
              <w:t>-2</w:t>
            </w:r>
            <w:r w:rsidRPr="008B546B">
              <w:t> </w:t>
            </w:r>
          </w:p>
        </w:tc>
      </w:tr>
      <w:tr w:rsidR="0042403B" w:rsidRPr="008B546B" w14:paraId="4A04D405" w14:textId="77777777" w:rsidTr="00CC2CD2">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0C2A9AB7" w14:textId="77777777" w:rsidR="0042403B" w:rsidRPr="008B546B" w:rsidRDefault="0042403B" w:rsidP="00BE3F24">
            <w:pPr>
              <w:rPr>
                <w:rFonts w:ascii="Bell MT" w:hAnsi="Bell MT" w:cs="Calibri"/>
                <w:b/>
                <w:bCs/>
                <w:color w:val="000000"/>
                <w:sz w:val="28"/>
                <w:szCs w:val="28"/>
              </w:rPr>
            </w:pPr>
          </w:p>
        </w:tc>
        <w:tc>
          <w:tcPr>
            <w:tcW w:w="2920" w:type="dxa"/>
            <w:vMerge w:val="restart"/>
            <w:tcBorders>
              <w:top w:val="nil"/>
              <w:left w:val="single" w:sz="4" w:space="0" w:color="auto"/>
              <w:bottom w:val="single" w:sz="4" w:space="0" w:color="auto"/>
              <w:right w:val="single" w:sz="4" w:space="0" w:color="auto"/>
            </w:tcBorders>
            <w:vAlign w:val="center"/>
            <w:hideMark/>
          </w:tcPr>
          <w:p w14:paraId="597E16E6" w14:textId="3CEA3A94" w:rsidR="0042403B" w:rsidRDefault="0087216E" w:rsidP="00BE3F24">
            <w:pPr>
              <w:jc w:val="center"/>
              <w:rPr>
                <w:rFonts w:ascii="Arial" w:hAnsi="Arial" w:cs="Arial"/>
                <w:b/>
                <w:bCs/>
                <w:sz w:val="22"/>
                <w:szCs w:val="22"/>
              </w:rPr>
            </w:pPr>
            <w:hyperlink w:anchor="I1_Reconstruct" w:history="1">
              <w:r>
                <w:rPr>
                  <w:rStyle w:val="Hyperlink"/>
                  <w:rFonts w:ascii="Arial" w:hAnsi="Arial" w:cs="Arial"/>
                  <w:b/>
                  <w:bCs/>
                  <w:sz w:val="22"/>
                  <w:szCs w:val="22"/>
                </w:rPr>
                <w:t>I</w:t>
              </w:r>
              <w:r w:rsidR="0042403B" w:rsidRPr="00C61B7D">
                <w:rPr>
                  <w:rStyle w:val="Hyperlink"/>
                  <w:rFonts w:ascii="Arial" w:hAnsi="Arial" w:cs="Arial"/>
                  <w:b/>
                  <w:bCs/>
                  <w:sz w:val="22"/>
                  <w:szCs w:val="22"/>
                </w:rPr>
                <w:t>-1. Reconstruction</w:t>
              </w:r>
            </w:hyperlink>
          </w:p>
        </w:tc>
        <w:tc>
          <w:tcPr>
            <w:tcW w:w="3127" w:type="dxa"/>
            <w:vMerge w:val="restart"/>
            <w:tcBorders>
              <w:top w:val="nil"/>
              <w:left w:val="nil"/>
              <w:bottom w:val="single" w:sz="4" w:space="0" w:color="000000"/>
              <w:right w:val="single" w:sz="4" w:space="0" w:color="auto"/>
            </w:tcBorders>
            <w:vAlign w:val="center"/>
            <w:hideMark/>
          </w:tcPr>
          <w:p w14:paraId="55416D24" w14:textId="25D737F7" w:rsidR="0042403B" w:rsidRDefault="0087216E" w:rsidP="00BE3F24">
            <w:pPr>
              <w:jc w:val="center"/>
              <w:rPr>
                <w:rFonts w:ascii="Arial" w:hAnsi="Arial" w:cs="Arial"/>
                <w:b/>
                <w:bCs/>
                <w:sz w:val="22"/>
                <w:szCs w:val="22"/>
              </w:rPr>
            </w:pPr>
            <w:hyperlink w:anchor="I2_FDR" w:history="1">
              <w:r>
                <w:rPr>
                  <w:rStyle w:val="Hyperlink"/>
                  <w:rFonts w:ascii="Arial" w:hAnsi="Arial" w:cs="Arial"/>
                  <w:b/>
                  <w:bCs/>
                  <w:sz w:val="22"/>
                  <w:szCs w:val="22"/>
                </w:rPr>
                <w:t>I</w:t>
              </w:r>
              <w:r w:rsidR="0042403B" w:rsidRPr="00C61B7D">
                <w:rPr>
                  <w:rStyle w:val="Hyperlink"/>
                  <w:rFonts w:ascii="Arial" w:hAnsi="Arial" w:cs="Arial"/>
                  <w:b/>
                  <w:bCs/>
                  <w:sz w:val="22"/>
                  <w:szCs w:val="22"/>
                </w:rPr>
                <w:t>-2. Full-Depth Reclamation (FDR)</w:t>
              </w:r>
            </w:hyperlink>
          </w:p>
        </w:tc>
      </w:tr>
      <w:tr w:rsidR="0042403B" w:rsidRPr="008B546B" w14:paraId="235C635E" w14:textId="77777777" w:rsidTr="00CC2CD2">
        <w:trPr>
          <w:trHeight w:val="317"/>
        </w:trPr>
        <w:tc>
          <w:tcPr>
            <w:tcW w:w="2580" w:type="dxa"/>
            <w:gridSpan w:val="2"/>
            <w:vMerge/>
            <w:tcBorders>
              <w:top w:val="single" w:sz="8" w:space="0" w:color="auto"/>
              <w:left w:val="single" w:sz="4" w:space="0" w:color="auto"/>
              <w:bottom w:val="single" w:sz="4" w:space="0" w:color="auto"/>
              <w:right w:val="single" w:sz="4" w:space="0" w:color="auto"/>
            </w:tcBorders>
            <w:vAlign w:val="center"/>
            <w:hideMark/>
          </w:tcPr>
          <w:p w14:paraId="3646AAC5" w14:textId="77777777" w:rsidR="0042403B" w:rsidRPr="008B546B" w:rsidRDefault="0042403B" w:rsidP="00BE3F24">
            <w:pPr>
              <w:rPr>
                <w:rFonts w:ascii="Bell MT" w:hAnsi="Bell MT" w:cs="Calibri"/>
                <w:b/>
                <w:bCs/>
                <w:color w:val="000000"/>
                <w:sz w:val="28"/>
                <w:szCs w:val="28"/>
              </w:rPr>
            </w:pPr>
          </w:p>
        </w:tc>
        <w:tc>
          <w:tcPr>
            <w:tcW w:w="2920" w:type="dxa"/>
            <w:vMerge/>
            <w:tcBorders>
              <w:top w:val="nil"/>
              <w:left w:val="single" w:sz="4" w:space="0" w:color="auto"/>
              <w:bottom w:val="single" w:sz="4" w:space="0" w:color="auto"/>
              <w:right w:val="single" w:sz="4" w:space="0" w:color="auto"/>
            </w:tcBorders>
            <w:vAlign w:val="center"/>
            <w:hideMark/>
          </w:tcPr>
          <w:p w14:paraId="50121112" w14:textId="77777777" w:rsidR="0042403B" w:rsidRPr="008B546B" w:rsidRDefault="0042403B" w:rsidP="00BE3F24">
            <w:pPr>
              <w:rPr>
                <w:rFonts w:ascii="Arial" w:hAnsi="Arial" w:cs="Arial"/>
                <w:b/>
                <w:bCs/>
                <w:color w:val="000000"/>
                <w:sz w:val="22"/>
                <w:szCs w:val="22"/>
              </w:rPr>
            </w:pPr>
          </w:p>
        </w:tc>
        <w:tc>
          <w:tcPr>
            <w:tcW w:w="3127" w:type="dxa"/>
            <w:vMerge/>
            <w:tcBorders>
              <w:top w:val="nil"/>
              <w:left w:val="nil"/>
              <w:bottom w:val="single" w:sz="4" w:space="0" w:color="000000"/>
              <w:right w:val="single" w:sz="4" w:space="0" w:color="auto"/>
            </w:tcBorders>
            <w:vAlign w:val="center"/>
            <w:hideMark/>
          </w:tcPr>
          <w:p w14:paraId="6025C0A5" w14:textId="77777777" w:rsidR="0042403B" w:rsidRPr="008B546B" w:rsidRDefault="0042403B" w:rsidP="00BE3F24">
            <w:pPr>
              <w:rPr>
                <w:rFonts w:ascii="Arial" w:hAnsi="Arial" w:cs="Arial"/>
                <w:b/>
                <w:bCs/>
                <w:color w:val="000000"/>
                <w:sz w:val="22"/>
                <w:szCs w:val="22"/>
              </w:rPr>
            </w:pPr>
          </w:p>
        </w:tc>
      </w:tr>
      <w:tr w:rsidR="0042403B" w:rsidRPr="008B546B" w14:paraId="7462C1B3" w14:textId="77777777" w:rsidTr="00CC2CD2">
        <w:trPr>
          <w:trHeight w:val="300"/>
        </w:trPr>
        <w:tc>
          <w:tcPr>
            <w:tcW w:w="1040" w:type="dxa"/>
            <w:vMerge w:val="restart"/>
            <w:tcBorders>
              <w:top w:val="single" w:sz="4" w:space="0" w:color="auto"/>
              <w:left w:val="single" w:sz="4" w:space="0" w:color="auto"/>
              <w:bottom w:val="single" w:sz="4" w:space="0" w:color="000000"/>
              <w:right w:val="single" w:sz="4" w:space="0" w:color="000000"/>
            </w:tcBorders>
            <w:textDirection w:val="btLr"/>
            <w:vAlign w:val="center"/>
            <w:hideMark/>
          </w:tcPr>
          <w:p w14:paraId="2A5CD66E"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This treatment is intended to improve:</w:t>
            </w:r>
          </w:p>
        </w:tc>
        <w:tc>
          <w:tcPr>
            <w:tcW w:w="1540" w:type="dxa"/>
            <w:tcBorders>
              <w:top w:val="nil"/>
              <w:left w:val="nil"/>
              <w:bottom w:val="single" w:sz="4" w:space="0" w:color="auto"/>
              <w:right w:val="single" w:sz="4" w:space="0" w:color="auto"/>
            </w:tcBorders>
            <w:vAlign w:val="center"/>
            <w:hideMark/>
          </w:tcPr>
          <w:p w14:paraId="469B062A"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IRI</w:t>
            </w:r>
          </w:p>
        </w:tc>
        <w:tc>
          <w:tcPr>
            <w:tcW w:w="2920" w:type="dxa"/>
            <w:tcBorders>
              <w:top w:val="nil"/>
              <w:left w:val="nil"/>
              <w:bottom w:val="single" w:sz="4" w:space="0" w:color="auto"/>
              <w:right w:val="single" w:sz="4" w:space="0" w:color="auto"/>
            </w:tcBorders>
            <w:vAlign w:val="center"/>
            <w:hideMark/>
          </w:tcPr>
          <w:p w14:paraId="444848AF" w14:textId="77777777" w:rsidR="0042403B" w:rsidRDefault="0042403B" w:rsidP="00BE3F24">
            <w:pPr>
              <w:jc w:val="center"/>
            </w:pPr>
            <w:r w:rsidRPr="00644164">
              <w:rPr>
                <w:rFonts w:ascii="Arial" w:hAnsi="Arial" w:cs="Arial"/>
                <w:b/>
                <w:bCs/>
                <w:color w:val="000000"/>
                <w:sz w:val="16"/>
                <w:szCs w:val="16"/>
              </w:rPr>
              <w:t>Yes</w:t>
            </w:r>
          </w:p>
        </w:tc>
        <w:tc>
          <w:tcPr>
            <w:tcW w:w="3127" w:type="dxa"/>
            <w:tcBorders>
              <w:top w:val="nil"/>
              <w:left w:val="nil"/>
              <w:bottom w:val="single" w:sz="4" w:space="0" w:color="auto"/>
              <w:right w:val="single" w:sz="4" w:space="0" w:color="auto"/>
            </w:tcBorders>
            <w:vAlign w:val="center"/>
            <w:hideMark/>
          </w:tcPr>
          <w:p w14:paraId="241929BB" w14:textId="77777777" w:rsidR="0042403B" w:rsidRDefault="0042403B" w:rsidP="00BE3F24">
            <w:pPr>
              <w:jc w:val="center"/>
            </w:pPr>
            <w:r w:rsidRPr="00644164">
              <w:rPr>
                <w:rFonts w:ascii="Arial" w:hAnsi="Arial" w:cs="Arial"/>
                <w:b/>
                <w:bCs/>
                <w:color w:val="000000"/>
                <w:sz w:val="16"/>
                <w:szCs w:val="16"/>
              </w:rPr>
              <w:t>Yes</w:t>
            </w:r>
          </w:p>
        </w:tc>
      </w:tr>
      <w:tr w:rsidR="0042403B" w:rsidRPr="008B546B" w14:paraId="14CD215A"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0BADD6E8"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71A44E5" w14:textId="6A41E8AE"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FC</w:t>
            </w:r>
            <w:r w:rsidR="00ED1883">
              <w:rPr>
                <w:rFonts w:ascii="Arial" w:hAnsi="Arial" w:cs="Arial"/>
                <w:b/>
                <w:bCs/>
                <w:color w:val="000000"/>
                <w:sz w:val="18"/>
                <w:szCs w:val="18"/>
              </w:rPr>
              <w:t>D</w:t>
            </w:r>
          </w:p>
        </w:tc>
        <w:tc>
          <w:tcPr>
            <w:tcW w:w="2920" w:type="dxa"/>
            <w:tcBorders>
              <w:top w:val="nil"/>
              <w:left w:val="nil"/>
              <w:bottom w:val="single" w:sz="4" w:space="0" w:color="auto"/>
              <w:right w:val="single" w:sz="4" w:space="0" w:color="auto"/>
            </w:tcBorders>
            <w:vAlign w:val="center"/>
            <w:hideMark/>
          </w:tcPr>
          <w:p w14:paraId="35D1CB07" w14:textId="77777777" w:rsidR="0042403B" w:rsidRDefault="0042403B" w:rsidP="00BE3F24">
            <w:pPr>
              <w:jc w:val="center"/>
            </w:pPr>
            <w:r w:rsidRPr="00644164">
              <w:rPr>
                <w:rFonts w:ascii="Arial" w:hAnsi="Arial" w:cs="Arial"/>
                <w:b/>
                <w:bCs/>
                <w:color w:val="000000"/>
                <w:sz w:val="16"/>
                <w:szCs w:val="16"/>
              </w:rPr>
              <w:t>Yes</w:t>
            </w:r>
          </w:p>
        </w:tc>
        <w:tc>
          <w:tcPr>
            <w:tcW w:w="3127" w:type="dxa"/>
            <w:tcBorders>
              <w:top w:val="nil"/>
              <w:left w:val="nil"/>
              <w:bottom w:val="single" w:sz="4" w:space="0" w:color="auto"/>
              <w:right w:val="single" w:sz="4" w:space="0" w:color="auto"/>
            </w:tcBorders>
            <w:vAlign w:val="center"/>
            <w:hideMark/>
          </w:tcPr>
          <w:p w14:paraId="4C668A1C" w14:textId="77777777" w:rsidR="0042403B" w:rsidRDefault="0042403B" w:rsidP="00BE3F24">
            <w:pPr>
              <w:jc w:val="center"/>
            </w:pPr>
            <w:r w:rsidRPr="00644164">
              <w:rPr>
                <w:rFonts w:ascii="Arial" w:hAnsi="Arial" w:cs="Arial"/>
                <w:b/>
                <w:bCs/>
                <w:color w:val="000000"/>
                <w:sz w:val="16"/>
                <w:szCs w:val="16"/>
              </w:rPr>
              <w:t>Yes</w:t>
            </w:r>
          </w:p>
        </w:tc>
      </w:tr>
      <w:tr w:rsidR="0042403B" w:rsidRPr="008B546B" w14:paraId="0AA196BF"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1C85309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3CA6FCB5" w14:textId="7D8849A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SC</w:t>
            </w:r>
            <w:r w:rsidR="00ED1883">
              <w:rPr>
                <w:rFonts w:ascii="Arial" w:hAnsi="Arial" w:cs="Arial"/>
                <w:b/>
                <w:bCs/>
                <w:color w:val="000000"/>
                <w:sz w:val="18"/>
                <w:szCs w:val="18"/>
              </w:rPr>
              <w:t>D</w:t>
            </w:r>
          </w:p>
        </w:tc>
        <w:tc>
          <w:tcPr>
            <w:tcW w:w="2920" w:type="dxa"/>
            <w:tcBorders>
              <w:top w:val="nil"/>
              <w:left w:val="nil"/>
              <w:bottom w:val="single" w:sz="4" w:space="0" w:color="auto"/>
              <w:right w:val="single" w:sz="4" w:space="0" w:color="auto"/>
            </w:tcBorders>
            <w:vAlign w:val="center"/>
            <w:hideMark/>
          </w:tcPr>
          <w:p w14:paraId="6D398764" w14:textId="77777777" w:rsidR="0042403B" w:rsidRDefault="0042403B" w:rsidP="00BE3F24">
            <w:pPr>
              <w:jc w:val="center"/>
            </w:pPr>
            <w:r w:rsidRPr="00644164">
              <w:rPr>
                <w:rFonts w:ascii="Arial" w:hAnsi="Arial" w:cs="Arial"/>
                <w:b/>
                <w:bCs/>
                <w:color w:val="000000"/>
                <w:sz w:val="16"/>
                <w:szCs w:val="16"/>
              </w:rPr>
              <w:t>Yes</w:t>
            </w:r>
          </w:p>
        </w:tc>
        <w:tc>
          <w:tcPr>
            <w:tcW w:w="3127" w:type="dxa"/>
            <w:tcBorders>
              <w:top w:val="nil"/>
              <w:left w:val="nil"/>
              <w:bottom w:val="single" w:sz="4" w:space="0" w:color="auto"/>
              <w:right w:val="single" w:sz="4" w:space="0" w:color="auto"/>
            </w:tcBorders>
            <w:vAlign w:val="center"/>
            <w:hideMark/>
          </w:tcPr>
          <w:p w14:paraId="530BE6C9" w14:textId="77777777" w:rsidR="0042403B" w:rsidRDefault="0042403B" w:rsidP="00BE3F24">
            <w:pPr>
              <w:jc w:val="center"/>
            </w:pPr>
            <w:r w:rsidRPr="00644164">
              <w:rPr>
                <w:rFonts w:ascii="Arial" w:hAnsi="Arial" w:cs="Arial"/>
                <w:b/>
                <w:bCs/>
                <w:color w:val="000000"/>
                <w:sz w:val="16"/>
                <w:szCs w:val="16"/>
              </w:rPr>
              <w:t>Yes</w:t>
            </w:r>
          </w:p>
        </w:tc>
      </w:tr>
      <w:tr w:rsidR="0042403B" w:rsidRPr="008B546B" w14:paraId="3C6D30BC"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7420DC2C"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BAB8C6E"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Rut</w:t>
            </w:r>
          </w:p>
        </w:tc>
        <w:tc>
          <w:tcPr>
            <w:tcW w:w="2920" w:type="dxa"/>
            <w:tcBorders>
              <w:top w:val="nil"/>
              <w:left w:val="nil"/>
              <w:bottom w:val="single" w:sz="4" w:space="0" w:color="auto"/>
              <w:right w:val="single" w:sz="4" w:space="0" w:color="auto"/>
            </w:tcBorders>
            <w:vAlign w:val="center"/>
            <w:hideMark/>
          </w:tcPr>
          <w:p w14:paraId="6F3728F5" w14:textId="77777777" w:rsidR="0042403B" w:rsidRDefault="0042403B" w:rsidP="00BE3F24">
            <w:pPr>
              <w:jc w:val="center"/>
            </w:pPr>
            <w:r w:rsidRPr="00644164">
              <w:rPr>
                <w:rFonts w:ascii="Arial" w:hAnsi="Arial" w:cs="Arial"/>
                <w:b/>
                <w:bCs/>
                <w:color w:val="000000"/>
                <w:sz w:val="16"/>
                <w:szCs w:val="16"/>
              </w:rPr>
              <w:t>Yes</w:t>
            </w:r>
          </w:p>
        </w:tc>
        <w:tc>
          <w:tcPr>
            <w:tcW w:w="3127" w:type="dxa"/>
            <w:tcBorders>
              <w:top w:val="nil"/>
              <w:left w:val="nil"/>
              <w:bottom w:val="single" w:sz="4" w:space="0" w:color="auto"/>
              <w:right w:val="single" w:sz="4" w:space="0" w:color="auto"/>
            </w:tcBorders>
            <w:vAlign w:val="center"/>
            <w:hideMark/>
          </w:tcPr>
          <w:p w14:paraId="322B2668" w14:textId="77777777" w:rsidR="0042403B" w:rsidRDefault="0042403B" w:rsidP="00BE3F24">
            <w:pPr>
              <w:jc w:val="center"/>
            </w:pPr>
            <w:r w:rsidRPr="00644164">
              <w:rPr>
                <w:rFonts w:ascii="Arial" w:hAnsi="Arial" w:cs="Arial"/>
                <w:b/>
                <w:bCs/>
                <w:color w:val="000000"/>
                <w:sz w:val="16"/>
                <w:szCs w:val="16"/>
              </w:rPr>
              <w:t>Yes</w:t>
            </w:r>
          </w:p>
        </w:tc>
      </w:tr>
      <w:tr w:rsidR="0042403B" w:rsidRPr="008B546B" w14:paraId="241BD14C"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43F364AD"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B6A2C84" w14:textId="77777777" w:rsidR="0042403B" w:rsidRPr="008B546B" w:rsidRDefault="0042403B" w:rsidP="00BE3F24">
            <w:pPr>
              <w:jc w:val="center"/>
              <w:rPr>
                <w:rFonts w:ascii="Arial" w:hAnsi="Arial" w:cs="Arial"/>
                <w:b/>
                <w:bCs/>
                <w:color w:val="000000"/>
                <w:sz w:val="18"/>
                <w:szCs w:val="18"/>
              </w:rPr>
            </w:pPr>
            <w:r>
              <w:rPr>
                <w:rFonts w:ascii="Arial" w:hAnsi="Arial" w:cs="Arial"/>
                <w:b/>
                <w:bCs/>
                <w:color w:val="000000"/>
                <w:sz w:val="18"/>
                <w:szCs w:val="18"/>
              </w:rPr>
              <w:t>Skid</w:t>
            </w:r>
          </w:p>
        </w:tc>
        <w:tc>
          <w:tcPr>
            <w:tcW w:w="2920" w:type="dxa"/>
            <w:tcBorders>
              <w:top w:val="nil"/>
              <w:left w:val="nil"/>
              <w:bottom w:val="single" w:sz="4" w:space="0" w:color="auto"/>
              <w:right w:val="single" w:sz="4" w:space="0" w:color="auto"/>
            </w:tcBorders>
            <w:vAlign w:val="center"/>
            <w:hideMark/>
          </w:tcPr>
          <w:p w14:paraId="633AC4D4" w14:textId="77777777" w:rsidR="0042403B" w:rsidRDefault="0042403B" w:rsidP="00BE3F24">
            <w:pPr>
              <w:jc w:val="center"/>
            </w:pPr>
          </w:p>
        </w:tc>
        <w:tc>
          <w:tcPr>
            <w:tcW w:w="3127" w:type="dxa"/>
            <w:tcBorders>
              <w:top w:val="nil"/>
              <w:left w:val="nil"/>
              <w:bottom w:val="single" w:sz="4" w:space="0" w:color="auto"/>
              <w:right w:val="single" w:sz="4" w:space="0" w:color="auto"/>
            </w:tcBorders>
            <w:vAlign w:val="center"/>
            <w:hideMark/>
          </w:tcPr>
          <w:p w14:paraId="609DE30A" w14:textId="77777777" w:rsidR="0042403B" w:rsidRDefault="0042403B" w:rsidP="00BE3F24">
            <w:pPr>
              <w:jc w:val="center"/>
            </w:pPr>
          </w:p>
        </w:tc>
      </w:tr>
      <w:tr w:rsidR="0042403B" w:rsidRPr="008B546B" w14:paraId="3FD7B0FF" w14:textId="77777777" w:rsidTr="00CC2CD2">
        <w:trPr>
          <w:trHeight w:val="300"/>
        </w:trPr>
        <w:tc>
          <w:tcPr>
            <w:tcW w:w="1040" w:type="dxa"/>
            <w:vMerge/>
            <w:tcBorders>
              <w:top w:val="single" w:sz="4" w:space="0" w:color="auto"/>
              <w:left w:val="single" w:sz="4" w:space="0" w:color="auto"/>
              <w:bottom w:val="single" w:sz="4" w:space="0" w:color="000000"/>
              <w:right w:val="single" w:sz="4" w:space="0" w:color="000000"/>
            </w:tcBorders>
            <w:vAlign w:val="center"/>
            <w:hideMark/>
          </w:tcPr>
          <w:p w14:paraId="5A392234"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5CE21DAC" w14:textId="77777777" w:rsidR="0042403B" w:rsidRPr="008B546B" w:rsidRDefault="0042403B" w:rsidP="00BE3F24">
            <w:pPr>
              <w:jc w:val="center"/>
              <w:rPr>
                <w:rFonts w:ascii="Arial" w:hAnsi="Arial" w:cs="Arial"/>
                <w:b/>
                <w:bCs/>
                <w:color w:val="000000"/>
                <w:sz w:val="18"/>
                <w:szCs w:val="18"/>
              </w:rPr>
            </w:pPr>
            <w:r w:rsidRPr="008B546B">
              <w:rPr>
                <w:rFonts w:ascii="Arial" w:hAnsi="Arial" w:cs="Arial"/>
                <w:b/>
                <w:bCs/>
                <w:color w:val="000000"/>
                <w:sz w:val="18"/>
                <w:szCs w:val="18"/>
              </w:rPr>
              <w:t>Aging</w:t>
            </w:r>
          </w:p>
        </w:tc>
        <w:tc>
          <w:tcPr>
            <w:tcW w:w="2920" w:type="dxa"/>
            <w:tcBorders>
              <w:top w:val="nil"/>
              <w:left w:val="nil"/>
              <w:bottom w:val="single" w:sz="4" w:space="0" w:color="auto"/>
              <w:right w:val="single" w:sz="4" w:space="0" w:color="auto"/>
            </w:tcBorders>
            <w:vAlign w:val="center"/>
            <w:hideMark/>
          </w:tcPr>
          <w:p w14:paraId="69994831" w14:textId="77777777" w:rsidR="0042403B" w:rsidRDefault="0042403B" w:rsidP="00BE3F24">
            <w:pPr>
              <w:jc w:val="center"/>
            </w:pPr>
          </w:p>
        </w:tc>
        <w:tc>
          <w:tcPr>
            <w:tcW w:w="3127" w:type="dxa"/>
            <w:tcBorders>
              <w:top w:val="nil"/>
              <w:left w:val="nil"/>
              <w:bottom w:val="single" w:sz="4" w:space="0" w:color="auto"/>
              <w:right w:val="single" w:sz="4" w:space="0" w:color="auto"/>
            </w:tcBorders>
            <w:vAlign w:val="center"/>
            <w:hideMark/>
          </w:tcPr>
          <w:p w14:paraId="3873718B" w14:textId="77777777" w:rsidR="0042403B" w:rsidRDefault="0042403B" w:rsidP="00BE3F24">
            <w:pPr>
              <w:jc w:val="center"/>
            </w:pPr>
          </w:p>
        </w:tc>
      </w:tr>
      <w:tr w:rsidR="0042403B" w:rsidRPr="008B546B" w14:paraId="1EDFC0FD" w14:textId="77777777" w:rsidTr="00CC2CD2">
        <w:trPr>
          <w:trHeight w:val="1120"/>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50ADF5C3" w14:textId="707E81D4"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Advantages</w:t>
            </w:r>
          </w:p>
        </w:tc>
        <w:tc>
          <w:tcPr>
            <w:tcW w:w="2920" w:type="dxa"/>
            <w:tcBorders>
              <w:top w:val="nil"/>
              <w:left w:val="nil"/>
              <w:bottom w:val="single" w:sz="4" w:space="0" w:color="auto"/>
              <w:right w:val="single" w:sz="4" w:space="0" w:color="auto"/>
            </w:tcBorders>
            <w:hideMark/>
          </w:tcPr>
          <w:p w14:paraId="3CBA0C7C" w14:textId="4288B1FC" w:rsidR="0042403B" w:rsidRDefault="0042403B" w:rsidP="00BE3F24">
            <w:pPr>
              <w:rPr>
                <w:rFonts w:ascii="Arial" w:hAnsi="Arial" w:cs="Arial"/>
                <w:color w:val="000000"/>
                <w:sz w:val="16"/>
                <w:szCs w:val="16"/>
              </w:rPr>
            </w:pPr>
            <w:r>
              <w:rPr>
                <w:rFonts w:ascii="Arial" w:hAnsi="Arial" w:cs="Arial"/>
                <w:color w:val="000000"/>
                <w:sz w:val="16"/>
                <w:szCs w:val="16"/>
              </w:rPr>
              <w:t>1. Significant structural improvement achieved.</w:t>
            </w:r>
            <w:r>
              <w:rPr>
                <w:rFonts w:ascii="Arial" w:hAnsi="Arial" w:cs="Arial"/>
                <w:color w:val="000000"/>
                <w:sz w:val="16"/>
                <w:szCs w:val="16"/>
              </w:rPr>
              <w:br/>
              <w:t>2. Reduces potential to rut.</w:t>
            </w:r>
            <w:r>
              <w:rPr>
                <w:rFonts w:ascii="Arial" w:hAnsi="Arial" w:cs="Arial"/>
                <w:color w:val="000000"/>
                <w:sz w:val="16"/>
                <w:szCs w:val="16"/>
              </w:rPr>
              <w:br/>
              <w:t>3. Relatively lower maintenance requirements.</w:t>
            </w:r>
            <w:r>
              <w:rPr>
                <w:rFonts w:ascii="Arial" w:hAnsi="Arial" w:cs="Arial"/>
                <w:color w:val="000000"/>
                <w:sz w:val="16"/>
                <w:szCs w:val="16"/>
              </w:rPr>
              <w:br/>
              <w:t>4. Our most durable pavement option</w:t>
            </w:r>
            <w:r w:rsidR="00EC46AC">
              <w:rPr>
                <w:rFonts w:ascii="Arial" w:hAnsi="Arial" w:cs="Arial"/>
                <w:color w:val="000000"/>
                <w:sz w:val="16"/>
                <w:szCs w:val="16"/>
              </w:rPr>
              <w:t>.</w:t>
            </w:r>
            <w:r>
              <w:rPr>
                <w:rFonts w:ascii="Arial" w:hAnsi="Arial" w:cs="Arial"/>
                <w:color w:val="000000"/>
                <w:sz w:val="16"/>
                <w:szCs w:val="16"/>
              </w:rPr>
              <w:br/>
              <w:t>5. Longer design life</w:t>
            </w:r>
            <w:r w:rsidR="00EC46AC">
              <w:rPr>
                <w:rFonts w:ascii="Arial" w:hAnsi="Arial" w:cs="Arial"/>
                <w:color w:val="000000"/>
                <w:sz w:val="16"/>
                <w:szCs w:val="16"/>
              </w:rPr>
              <w:t>.</w:t>
            </w:r>
          </w:p>
        </w:tc>
        <w:tc>
          <w:tcPr>
            <w:tcW w:w="3127" w:type="dxa"/>
            <w:tcBorders>
              <w:top w:val="nil"/>
              <w:left w:val="nil"/>
              <w:bottom w:val="single" w:sz="4" w:space="0" w:color="auto"/>
              <w:right w:val="single" w:sz="4" w:space="0" w:color="auto"/>
            </w:tcBorders>
            <w:hideMark/>
          </w:tcPr>
          <w:p w14:paraId="487DD84C" w14:textId="4DB2C15A" w:rsidR="0042403B" w:rsidRDefault="0042403B" w:rsidP="00BE3F24">
            <w:pPr>
              <w:rPr>
                <w:rFonts w:ascii="Arial" w:hAnsi="Arial" w:cs="Arial"/>
                <w:color w:val="000000"/>
                <w:sz w:val="16"/>
                <w:szCs w:val="16"/>
              </w:rPr>
            </w:pPr>
            <w:r>
              <w:rPr>
                <w:rFonts w:ascii="Arial" w:hAnsi="Arial" w:cs="Arial"/>
                <w:color w:val="000000"/>
                <w:sz w:val="16"/>
                <w:szCs w:val="16"/>
              </w:rPr>
              <w:t>1. Conservation of non-renewable resources</w:t>
            </w:r>
            <w:r w:rsidR="00EC46AC">
              <w:rPr>
                <w:rFonts w:ascii="Arial" w:hAnsi="Arial" w:cs="Arial"/>
                <w:color w:val="000000"/>
                <w:sz w:val="16"/>
                <w:szCs w:val="16"/>
              </w:rPr>
              <w:t>.</w:t>
            </w:r>
            <w:r>
              <w:rPr>
                <w:rFonts w:ascii="Arial" w:hAnsi="Arial" w:cs="Arial"/>
                <w:color w:val="000000"/>
                <w:sz w:val="16"/>
                <w:szCs w:val="16"/>
              </w:rPr>
              <w:br/>
              <w:t>2. Energy conservation compared to other reconstruction methods</w:t>
            </w:r>
            <w:r w:rsidR="00EC46AC">
              <w:rPr>
                <w:rFonts w:ascii="Arial" w:hAnsi="Arial" w:cs="Arial"/>
                <w:color w:val="000000"/>
                <w:sz w:val="16"/>
                <w:szCs w:val="16"/>
              </w:rPr>
              <w:t>.</w:t>
            </w:r>
            <w:r>
              <w:rPr>
                <w:rFonts w:ascii="Arial" w:hAnsi="Arial" w:cs="Arial"/>
                <w:color w:val="000000"/>
                <w:sz w:val="16"/>
                <w:szCs w:val="16"/>
              </w:rPr>
              <w:br/>
              <w:t>3. Few pieces of equipment are required</w:t>
            </w:r>
            <w:r w:rsidR="00EC46AC">
              <w:rPr>
                <w:rFonts w:ascii="Arial" w:hAnsi="Arial" w:cs="Arial"/>
                <w:color w:val="000000"/>
                <w:sz w:val="16"/>
                <w:szCs w:val="16"/>
              </w:rPr>
              <w:t>.</w:t>
            </w:r>
            <w:r>
              <w:rPr>
                <w:rFonts w:ascii="Arial" w:hAnsi="Arial" w:cs="Arial"/>
                <w:color w:val="000000"/>
                <w:sz w:val="16"/>
                <w:szCs w:val="16"/>
              </w:rPr>
              <w:br/>
              <w:t>4. Elimination of bumps, dips, rutting, potholes, patches</w:t>
            </w:r>
            <w:r w:rsidR="00CB3707">
              <w:rPr>
                <w:rFonts w:ascii="Arial" w:hAnsi="Arial" w:cs="Arial"/>
                <w:color w:val="000000"/>
                <w:sz w:val="16"/>
                <w:szCs w:val="16"/>
              </w:rPr>
              <w:t>,</w:t>
            </w:r>
            <w:r>
              <w:rPr>
                <w:rFonts w:ascii="Arial" w:hAnsi="Arial" w:cs="Arial"/>
                <w:color w:val="000000"/>
                <w:sz w:val="16"/>
                <w:szCs w:val="16"/>
              </w:rPr>
              <w:t xml:space="preserve"> and cracks</w:t>
            </w:r>
            <w:r w:rsidR="00EC46AC">
              <w:rPr>
                <w:rFonts w:ascii="Arial" w:hAnsi="Arial" w:cs="Arial"/>
                <w:color w:val="000000"/>
                <w:sz w:val="16"/>
                <w:szCs w:val="16"/>
              </w:rPr>
              <w:t>.</w:t>
            </w:r>
            <w:r>
              <w:rPr>
                <w:rFonts w:ascii="Arial" w:hAnsi="Arial" w:cs="Arial"/>
                <w:color w:val="000000"/>
                <w:sz w:val="16"/>
                <w:szCs w:val="16"/>
              </w:rPr>
              <w:br/>
              <w:t>5. Subgrade deficiencies can be corrected by stabilization.</w:t>
            </w:r>
          </w:p>
        </w:tc>
      </w:tr>
      <w:tr w:rsidR="0042403B" w:rsidRPr="008B546B" w14:paraId="039A456A" w14:textId="77777777" w:rsidTr="00CC2CD2">
        <w:trPr>
          <w:trHeight w:val="1066"/>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08FB7A89" w14:textId="40478D17" w:rsidR="0042403B" w:rsidRPr="008B546B" w:rsidRDefault="0042403B" w:rsidP="00141DBF">
            <w:pPr>
              <w:jc w:val="center"/>
              <w:rPr>
                <w:rFonts w:ascii="Arial" w:hAnsi="Arial" w:cs="Arial"/>
                <w:b/>
                <w:bCs/>
                <w:sz w:val="22"/>
                <w:szCs w:val="22"/>
              </w:rPr>
            </w:pPr>
            <w:r w:rsidRPr="008B546B">
              <w:rPr>
                <w:rFonts w:ascii="Arial" w:hAnsi="Arial" w:cs="Arial"/>
                <w:b/>
                <w:bCs/>
                <w:sz w:val="22"/>
                <w:szCs w:val="22"/>
              </w:rPr>
              <w:t>Treatment</w:t>
            </w:r>
            <w:r w:rsidRPr="008B546B">
              <w:rPr>
                <w:rFonts w:ascii="Arial" w:hAnsi="Arial" w:cs="Arial"/>
                <w:b/>
                <w:bCs/>
                <w:sz w:val="22"/>
                <w:szCs w:val="22"/>
              </w:rPr>
              <w:br/>
              <w:t>Disadvantages</w:t>
            </w:r>
          </w:p>
        </w:tc>
        <w:tc>
          <w:tcPr>
            <w:tcW w:w="2920" w:type="dxa"/>
            <w:tcBorders>
              <w:top w:val="nil"/>
              <w:left w:val="nil"/>
              <w:bottom w:val="single" w:sz="4" w:space="0" w:color="auto"/>
              <w:right w:val="single" w:sz="4" w:space="0" w:color="auto"/>
            </w:tcBorders>
            <w:hideMark/>
          </w:tcPr>
          <w:p w14:paraId="32989E54" w14:textId="7FEFD323" w:rsidR="0042403B" w:rsidRDefault="0042403B" w:rsidP="00BE3F24">
            <w:pPr>
              <w:rPr>
                <w:rFonts w:ascii="Arial" w:hAnsi="Arial" w:cs="Arial"/>
                <w:color w:val="000000"/>
                <w:sz w:val="16"/>
                <w:szCs w:val="16"/>
              </w:rPr>
            </w:pPr>
            <w:r>
              <w:rPr>
                <w:rFonts w:ascii="Arial" w:hAnsi="Arial" w:cs="Arial"/>
                <w:color w:val="000000"/>
                <w:sz w:val="16"/>
                <w:szCs w:val="16"/>
              </w:rPr>
              <w:t>1. Noise</w:t>
            </w:r>
            <w:r w:rsidR="00EC46AC">
              <w:rPr>
                <w:rFonts w:ascii="Arial" w:hAnsi="Arial" w:cs="Arial"/>
                <w:color w:val="000000"/>
                <w:sz w:val="16"/>
                <w:szCs w:val="16"/>
              </w:rPr>
              <w:t>.</w:t>
            </w:r>
            <w:r>
              <w:rPr>
                <w:rFonts w:ascii="Arial" w:hAnsi="Arial" w:cs="Arial"/>
                <w:color w:val="000000"/>
                <w:sz w:val="16"/>
                <w:szCs w:val="16"/>
              </w:rPr>
              <w:br/>
              <w:t>2. Expensive future rehab</w:t>
            </w:r>
            <w:r w:rsidR="00EC46AC">
              <w:rPr>
                <w:rFonts w:ascii="Arial" w:hAnsi="Arial" w:cs="Arial"/>
                <w:color w:val="000000"/>
                <w:sz w:val="16"/>
                <w:szCs w:val="16"/>
              </w:rPr>
              <w:t>.</w:t>
            </w:r>
            <w:r>
              <w:rPr>
                <w:rFonts w:ascii="Arial" w:hAnsi="Arial" w:cs="Arial"/>
                <w:color w:val="000000"/>
                <w:sz w:val="16"/>
                <w:szCs w:val="16"/>
              </w:rPr>
              <w:br/>
              <w:t>3. MOT</w:t>
            </w:r>
            <w:r w:rsidR="00EC46AC">
              <w:rPr>
                <w:rFonts w:ascii="Arial" w:hAnsi="Arial" w:cs="Arial"/>
                <w:color w:val="000000"/>
                <w:sz w:val="16"/>
                <w:szCs w:val="16"/>
              </w:rPr>
              <w:t>.</w:t>
            </w:r>
          </w:p>
        </w:tc>
        <w:tc>
          <w:tcPr>
            <w:tcW w:w="3127" w:type="dxa"/>
            <w:tcBorders>
              <w:top w:val="nil"/>
              <w:left w:val="nil"/>
              <w:bottom w:val="single" w:sz="4" w:space="0" w:color="auto"/>
              <w:right w:val="single" w:sz="4" w:space="0" w:color="auto"/>
            </w:tcBorders>
            <w:hideMark/>
          </w:tcPr>
          <w:p w14:paraId="23FEDE13" w14:textId="77777777" w:rsidR="0042403B" w:rsidRDefault="0042403B" w:rsidP="00BE3F24">
            <w:pPr>
              <w:rPr>
                <w:rFonts w:ascii="Arial" w:hAnsi="Arial" w:cs="Arial"/>
                <w:color w:val="000000"/>
                <w:sz w:val="16"/>
                <w:szCs w:val="16"/>
              </w:rPr>
            </w:pPr>
            <w:r>
              <w:rPr>
                <w:rFonts w:ascii="Arial" w:hAnsi="Arial" w:cs="Arial"/>
                <w:color w:val="000000"/>
                <w:sz w:val="16"/>
                <w:szCs w:val="16"/>
              </w:rPr>
              <w:t>1. Project may result in variable conditions if existing HMA and Base thickness vary significantly.</w:t>
            </w:r>
            <w:r>
              <w:rPr>
                <w:rFonts w:ascii="Arial" w:hAnsi="Arial" w:cs="Arial"/>
                <w:color w:val="000000"/>
                <w:sz w:val="16"/>
                <w:szCs w:val="16"/>
              </w:rPr>
              <w:br/>
              <w:t>2. MOT will be required for both stabilization and overlay. MOT is significantly higher if emulsion is used as a stabilization agent (1-2 weeks), and up to 1-2 days if foamed asphalt is used as a stabilization agent.</w:t>
            </w:r>
          </w:p>
        </w:tc>
      </w:tr>
      <w:tr w:rsidR="0042403B" w:rsidRPr="008B546B" w14:paraId="2480370B" w14:textId="77777777" w:rsidTr="00CC2CD2">
        <w:trPr>
          <w:trHeight w:val="480"/>
        </w:trPr>
        <w:tc>
          <w:tcPr>
            <w:tcW w:w="104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5065A410"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Cost Clarification</w:t>
            </w:r>
          </w:p>
        </w:tc>
        <w:tc>
          <w:tcPr>
            <w:tcW w:w="1540" w:type="dxa"/>
            <w:tcBorders>
              <w:top w:val="nil"/>
              <w:left w:val="nil"/>
              <w:bottom w:val="single" w:sz="4" w:space="0" w:color="auto"/>
              <w:right w:val="single" w:sz="4" w:space="0" w:color="auto"/>
            </w:tcBorders>
            <w:vAlign w:val="center"/>
            <w:hideMark/>
          </w:tcPr>
          <w:p w14:paraId="6653C843" w14:textId="77777777" w:rsidR="0042403B" w:rsidRDefault="0042403B" w:rsidP="00BE3F24">
            <w:pPr>
              <w:jc w:val="center"/>
              <w:rPr>
                <w:rFonts w:ascii="Arial" w:hAnsi="Arial" w:cs="Arial"/>
                <w:b/>
                <w:bCs/>
                <w:sz w:val="18"/>
                <w:szCs w:val="18"/>
              </w:rPr>
            </w:pPr>
            <w:r>
              <w:rPr>
                <w:rFonts w:ascii="Arial" w:hAnsi="Arial" w:cs="Arial"/>
                <w:b/>
                <w:bCs/>
                <w:sz w:val="18"/>
                <w:szCs w:val="18"/>
              </w:rPr>
              <w:t>Small Quantity Cost</w:t>
            </w:r>
          </w:p>
        </w:tc>
        <w:tc>
          <w:tcPr>
            <w:tcW w:w="2920" w:type="dxa"/>
            <w:vMerge w:val="restart"/>
            <w:tcBorders>
              <w:top w:val="nil"/>
              <w:left w:val="nil"/>
              <w:right w:val="single" w:sz="4" w:space="0" w:color="auto"/>
            </w:tcBorders>
            <w:vAlign w:val="center"/>
            <w:hideMark/>
          </w:tcPr>
          <w:p w14:paraId="37369300" w14:textId="13FC7490" w:rsidR="0042403B" w:rsidRDefault="0042403B" w:rsidP="00BE3F24">
            <w:pPr>
              <w:rPr>
                <w:rFonts w:ascii="Arial" w:hAnsi="Arial" w:cs="Arial"/>
                <w:color w:val="000000"/>
                <w:sz w:val="16"/>
                <w:szCs w:val="16"/>
              </w:rPr>
            </w:pPr>
            <w:r>
              <w:rPr>
                <w:rFonts w:ascii="Arial" w:hAnsi="Arial" w:cs="Arial"/>
                <w:color w:val="000000"/>
                <w:sz w:val="16"/>
                <w:szCs w:val="16"/>
              </w:rPr>
              <w:t>$70 /SY</w:t>
            </w:r>
          </w:p>
        </w:tc>
        <w:tc>
          <w:tcPr>
            <w:tcW w:w="3127" w:type="dxa"/>
            <w:vMerge w:val="restart"/>
            <w:tcBorders>
              <w:top w:val="nil"/>
              <w:left w:val="nil"/>
              <w:right w:val="single" w:sz="4" w:space="0" w:color="auto"/>
            </w:tcBorders>
            <w:vAlign w:val="center"/>
            <w:hideMark/>
          </w:tcPr>
          <w:p w14:paraId="43B2269D" w14:textId="1AB007D7" w:rsidR="0042403B" w:rsidRDefault="0042403B" w:rsidP="00EC46AC">
            <w:pPr>
              <w:rPr>
                <w:rFonts w:ascii="Arial" w:hAnsi="Arial" w:cs="Arial"/>
                <w:color w:val="000000"/>
                <w:sz w:val="16"/>
                <w:szCs w:val="16"/>
              </w:rPr>
            </w:pPr>
            <w:r>
              <w:rPr>
                <w:rFonts w:ascii="Arial" w:hAnsi="Arial" w:cs="Arial"/>
                <w:color w:val="000000"/>
                <w:sz w:val="16"/>
                <w:szCs w:val="16"/>
              </w:rPr>
              <w:t>$3.50</w:t>
            </w:r>
            <w:r w:rsidR="00EC46AC">
              <w:rPr>
                <w:rFonts w:ascii="Arial" w:hAnsi="Arial" w:cs="Arial"/>
                <w:color w:val="000000"/>
                <w:sz w:val="16"/>
                <w:szCs w:val="16"/>
              </w:rPr>
              <w:t xml:space="preserve"> </w:t>
            </w:r>
            <w:r>
              <w:rPr>
                <w:rFonts w:ascii="Arial" w:hAnsi="Arial" w:cs="Arial"/>
                <w:color w:val="000000"/>
                <w:sz w:val="16"/>
                <w:szCs w:val="16"/>
              </w:rPr>
              <w:t>to 4.50 per SY</w:t>
            </w:r>
          </w:p>
        </w:tc>
      </w:tr>
      <w:tr w:rsidR="0042403B" w:rsidRPr="008B546B" w14:paraId="5A41370D" w14:textId="77777777" w:rsidTr="00CC2CD2">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65CC6AF3"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6E2FD0D4" w14:textId="77777777" w:rsidR="0042403B" w:rsidRDefault="0042403B" w:rsidP="00BE3F24">
            <w:pPr>
              <w:jc w:val="center"/>
              <w:rPr>
                <w:rFonts w:ascii="Arial" w:hAnsi="Arial" w:cs="Arial"/>
                <w:b/>
                <w:bCs/>
                <w:sz w:val="18"/>
                <w:szCs w:val="18"/>
              </w:rPr>
            </w:pPr>
            <w:r>
              <w:rPr>
                <w:rFonts w:ascii="Arial" w:hAnsi="Arial" w:cs="Arial"/>
                <w:b/>
                <w:bCs/>
                <w:sz w:val="18"/>
                <w:szCs w:val="18"/>
              </w:rPr>
              <w:t>Medium Quantity Cost</w:t>
            </w:r>
          </w:p>
        </w:tc>
        <w:tc>
          <w:tcPr>
            <w:tcW w:w="2920" w:type="dxa"/>
            <w:vMerge/>
            <w:tcBorders>
              <w:left w:val="nil"/>
              <w:right w:val="single" w:sz="4" w:space="0" w:color="auto"/>
            </w:tcBorders>
            <w:vAlign w:val="center"/>
            <w:hideMark/>
          </w:tcPr>
          <w:p w14:paraId="3B6B4C14" w14:textId="77777777" w:rsidR="0042403B" w:rsidRPr="00310702" w:rsidRDefault="0042403B" w:rsidP="00BE3F24">
            <w:pPr>
              <w:rPr>
                <w:rFonts w:ascii="Arial" w:hAnsi="Arial" w:cs="Arial"/>
                <w:sz w:val="16"/>
                <w:szCs w:val="16"/>
              </w:rPr>
            </w:pPr>
          </w:p>
        </w:tc>
        <w:tc>
          <w:tcPr>
            <w:tcW w:w="3127" w:type="dxa"/>
            <w:vMerge/>
            <w:tcBorders>
              <w:left w:val="nil"/>
              <w:right w:val="single" w:sz="4" w:space="0" w:color="auto"/>
            </w:tcBorders>
            <w:vAlign w:val="center"/>
            <w:hideMark/>
          </w:tcPr>
          <w:p w14:paraId="1E5266DF" w14:textId="77777777" w:rsidR="0042403B" w:rsidRPr="00310702" w:rsidRDefault="0042403B" w:rsidP="00BE3F24">
            <w:pPr>
              <w:rPr>
                <w:rFonts w:ascii="Arial" w:hAnsi="Arial" w:cs="Arial"/>
                <w:sz w:val="16"/>
                <w:szCs w:val="16"/>
              </w:rPr>
            </w:pPr>
          </w:p>
        </w:tc>
      </w:tr>
      <w:tr w:rsidR="0042403B" w:rsidRPr="008B546B" w14:paraId="22A6CA8A" w14:textId="77777777" w:rsidTr="00CC2CD2">
        <w:trPr>
          <w:trHeight w:val="48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12E9D6D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FE4169A" w14:textId="77777777" w:rsidR="0042403B" w:rsidRDefault="0042403B" w:rsidP="00BE3F24">
            <w:pPr>
              <w:jc w:val="center"/>
              <w:rPr>
                <w:rFonts w:ascii="Arial" w:hAnsi="Arial" w:cs="Arial"/>
                <w:b/>
                <w:bCs/>
                <w:sz w:val="18"/>
                <w:szCs w:val="18"/>
              </w:rPr>
            </w:pPr>
            <w:r>
              <w:rPr>
                <w:rFonts w:ascii="Arial" w:hAnsi="Arial" w:cs="Arial"/>
                <w:b/>
                <w:bCs/>
                <w:sz w:val="18"/>
                <w:szCs w:val="18"/>
              </w:rPr>
              <w:t>High Quantity Cost</w:t>
            </w:r>
          </w:p>
        </w:tc>
        <w:tc>
          <w:tcPr>
            <w:tcW w:w="2920" w:type="dxa"/>
            <w:vMerge/>
            <w:tcBorders>
              <w:left w:val="nil"/>
              <w:bottom w:val="single" w:sz="4" w:space="0" w:color="auto"/>
              <w:right w:val="single" w:sz="4" w:space="0" w:color="auto"/>
            </w:tcBorders>
            <w:vAlign w:val="center"/>
            <w:hideMark/>
          </w:tcPr>
          <w:p w14:paraId="5C43EEA1" w14:textId="77777777" w:rsidR="0042403B" w:rsidRPr="00310702" w:rsidRDefault="0042403B" w:rsidP="00BE3F24">
            <w:pPr>
              <w:rPr>
                <w:rFonts w:ascii="Arial" w:hAnsi="Arial" w:cs="Arial"/>
                <w:sz w:val="16"/>
                <w:szCs w:val="16"/>
              </w:rPr>
            </w:pPr>
          </w:p>
        </w:tc>
        <w:tc>
          <w:tcPr>
            <w:tcW w:w="3127" w:type="dxa"/>
            <w:vMerge/>
            <w:tcBorders>
              <w:left w:val="nil"/>
              <w:bottom w:val="single" w:sz="4" w:space="0" w:color="auto"/>
              <w:right w:val="single" w:sz="4" w:space="0" w:color="auto"/>
            </w:tcBorders>
            <w:vAlign w:val="center"/>
            <w:hideMark/>
          </w:tcPr>
          <w:p w14:paraId="35268AC7" w14:textId="77777777" w:rsidR="0042403B" w:rsidRPr="00310702" w:rsidRDefault="0042403B" w:rsidP="00BE3F24">
            <w:pPr>
              <w:rPr>
                <w:rFonts w:ascii="Arial" w:hAnsi="Arial" w:cs="Arial"/>
                <w:sz w:val="16"/>
                <w:szCs w:val="16"/>
              </w:rPr>
            </w:pPr>
          </w:p>
        </w:tc>
      </w:tr>
      <w:tr w:rsidR="0042403B" w:rsidRPr="008B546B" w14:paraId="096280BD" w14:textId="77777777" w:rsidTr="00CC2CD2">
        <w:trPr>
          <w:trHeight w:val="675"/>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73B4C63A"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7925A4D0" w14:textId="77777777" w:rsidR="0042403B" w:rsidRDefault="0042403B" w:rsidP="00BE3F24">
            <w:pPr>
              <w:jc w:val="center"/>
              <w:rPr>
                <w:rFonts w:ascii="Arial" w:hAnsi="Arial" w:cs="Arial"/>
                <w:b/>
                <w:bCs/>
                <w:sz w:val="18"/>
                <w:szCs w:val="18"/>
              </w:rPr>
            </w:pPr>
            <w:r>
              <w:rPr>
                <w:rFonts w:ascii="Arial" w:hAnsi="Arial" w:cs="Arial"/>
                <w:b/>
                <w:bCs/>
                <w:sz w:val="18"/>
                <w:szCs w:val="18"/>
              </w:rPr>
              <w:t>Items Included</w:t>
            </w:r>
          </w:p>
        </w:tc>
        <w:tc>
          <w:tcPr>
            <w:tcW w:w="2920" w:type="dxa"/>
            <w:tcBorders>
              <w:top w:val="nil"/>
              <w:left w:val="nil"/>
              <w:bottom w:val="single" w:sz="4" w:space="0" w:color="auto"/>
              <w:right w:val="single" w:sz="4" w:space="0" w:color="auto"/>
            </w:tcBorders>
            <w:vAlign w:val="center"/>
            <w:hideMark/>
          </w:tcPr>
          <w:p w14:paraId="3430C89B" w14:textId="77777777" w:rsidR="0042403B" w:rsidRDefault="0042403B" w:rsidP="00BE3F24">
            <w:pPr>
              <w:rPr>
                <w:rFonts w:ascii="Arial" w:hAnsi="Arial" w:cs="Arial"/>
                <w:sz w:val="16"/>
                <w:szCs w:val="16"/>
              </w:rPr>
            </w:pPr>
            <w:r>
              <w:rPr>
                <w:rFonts w:ascii="Arial" w:hAnsi="Arial" w:cs="Arial"/>
                <w:sz w:val="16"/>
                <w:szCs w:val="16"/>
              </w:rPr>
              <w:t>Unknown</w:t>
            </w:r>
          </w:p>
        </w:tc>
        <w:tc>
          <w:tcPr>
            <w:tcW w:w="3127" w:type="dxa"/>
            <w:tcBorders>
              <w:top w:val="nil"/>
              <w:left w:val="nil"/>
              <w:bottom w:val="single" w:sz="4" w:space="0" w:color="auto"/>
              <w:right w:val="single" w:sz="4" w:space="0" w:color="auto"/>
            </w:tcBorders>
            <w:vAlign w:val="center"/>
            <w:hideMark/>
          </w:tcPr>
          <w:p w14:paraId="4E8CC4B0" w14:textId="77777777" w:rsidR="0042403B" w:rsidRDefault="0042403B" w:rsidP="00BE3F24">
            <w:pPr>
              <w:rPr>
                <w:rFonts w:ascii="Arial" w:hAnsi="Arial" w:cs="Arial"/>
                <w:sz w:val="16"/>
                <w:szCs w:val="16"/>
              </w:rPr>
            </w:pPr>
            <w:r>
              <w:rPr>
                <w:rFonts w:ascii="Arial" w:hAnsi="Arial" w:cs="Arial"/>
                <w:sz w:val="16"/>
                <w:szCs w:val="16"/>
              </w:rPr>
              <w:t>Excavation and mixing, placement of all materials</w:t>
            </w:r>
          </w:p>
        </w:tc>
      </w:tr>
      <w:tr w:rsidR="0042403B" w:rsidRPr="008B546B" w14:paraId="076BD992" w14:textId="77777777" w:rsidTr="00CC2CD2">
        <w:trPr>
          <w:trHeight w:val="300"/>
        </w:trPr>
        <w:tc>
          <w:tcPr>
            <w:tcW w:w="1040" w:type="dxa"/>
            <w:vMerge/>
            <w:tcBorders>
              <w:top w:val="single" w:sz="4" w:space="0" w:color="auto"/>
              <w:left w:val="single" w:sz="4" w:space="0" w:color="auto"/>
              <w:bottom w:val="single" w:sz="4" w:space="0" w:color="auto"/>
              <w:right w:val="single" w:sz="4" w:space="0" w:color="auto"/>
            </w:tcBorders>
            <w:vAlign w:val="center"/>
            <w:hideMark/>
          </w:tcPr>
          <w:p w14:paraId="22F17C3F" w14:textId="77777777" w:rsidR="0042403B" w:rsidRPr="008B546B" w:rsidRDefault="0042403B" w:rsidP="00BE3F24">
            <w:pPr>
              <w:rPr>
                <w:rFonts w:ascii="Arial" w:hAnsi="Arial" w:cs="Arial"/>
                <w:b/>
                <w:bCs/>
                <w:sz w:val="22"/>
                <w:szCs w:val="22"/>
              </w:rPr>
            </w:pPr>
          </w:p>
        </w:tc>
        <w:tc>
          <w:tcPr>
            <w:tcW w:w="1540" w:type="dxa"/>
            <w:tcBorders>
              <w:top w:val="nil"/>
              <w:left w:val="nil"/>
              <w:bottom w:val="single" w:sz="4" w:space="0" w:color="auto"/>
              <w:right w:val="single" w:sz="4" w:space="0" w:color="auto"/>
            </w:tcBorders>
            <w:vAlign w:val="center"/>
            <w:hideMark/>
          </w:tcPr>
          <w:p w14:paraId="25384F76" w14:textId="77777777" w:rsidR="0042403B" w:rsidRDefault="0042403B" w:rsidP="00BE3F24">
            <w:pPr>
              <w:jc w:val="center"/>
              <w:rPr>
                <w:rFonts w:ascii="Arial" w:hAnsi="Arial" w:cs="Arial"/>
                <w:b/>
                <w:bCs/>
                <w:sz w:val="18"/>
                <w:szCs w:val="18"/>
              </w:rPr>
            </w:pPr>
            <w:r>
              <w:rPr>
                <w:rFonts w:ascii="Arial" w:hAnsi="Arial" w:cs="Arial"/>
                <w:b/>
                <w:bCs/>
                <w:sz w:val="18"/>
                <w:szCs w:val="18"/>
              </w:rPr>
              <w:t>Items Excluded</w:t>
            </w:r>
          </w:p>
        </w:tc>
        <w:tc>
          <w:tcPr>
            <w:tcW w:w="2920" w:type="dxa"/>
            <w:tcBorders>
              <w:top w:val="nil"/>
              <w:left w:val="nil"/>
              <w:bottom w:val="single" w:sz="4" w:space="0" w:color="auto"/>
              <w:right w:val="single" w:sz="4" w:space="0" w:color="auto"/>
            </w:tcBorders>
            <w:vAlign w:val="center"/>
            <w:hideMark/>
          </w:tcPr>
          <w:p w14:paraId="7C4D1BC9" w14:textId="77777777" w:rsidR="0042403B" w:rsidRDefault="0042403B" w:rsidP="00BE3F24">
            <w:pPr>
              <w:rPr>
                <w:rFonts w:ascii="Arial" w:hAnsi="Arial" w:cs="Arial"/>
                <w:sz w:val="16"/>
                <w:szCs w:val="16"/>
              </w:rPr>
            </w:pPr>
            <w:r>
              <w:rPr>
                <w:rFonts w:ascii="Arial" w:hAnsi="Arial" w:cs="Arial"/>
                <w:sz w:val="16"/>
                <w:szCs w:val="16"/>
              </w:rPr>
              <w:t>Unknown</w:t>
            </w:r>
          </w:p>
        </w:tc>
        <w:tc>
          <w:tcPr>
            <w:tcW w:w="3127" w:type="dxa"/>
            <w:tcBorders>
              <w:top w:val="nil"/>
              <w:left w:val="nil"/>
              <w:bottom w:val="single" w:sz="4" w:space="0" w:color="auto"/>
              <w:right w:val="single" w:sz="4" w:space="0" w:color="auto"/>
            </w:tcBorders>
            <w:vAlign w:val="center"/>
            <w:hideMark/>
          </w:tcPr>
          <w:p w14:paraId="352FD785" w14:textId="77777777" w:rsidR="0042403B" w:rsidRDefault="0042403B" w:rsidP="00BE3F24">
            <w:pPr>
              <w:rPr>
                <w:rFonts w:ascii="Arial" w:hAnsi="Arial" w:cs="Arial"/>
                <w:sz w:val="16"/>
                <w:szCs w:val="16"/>
              </w:rPr>
            </w:pPr>
            <w:r>
              <w:rPr>
                <w:rFonts w:ascii="Arial" w:hAnsi="Arial" w:cs="Arial"/>
                <w:sz w:val="16"/>
                <w:szCs w:val="16"/>
              </w:rPr>
              <w:t>MOT, Markings and Resurfacing</w:t>
            </w:r>
          </w:p>
        </w:tc>
      </w:tr>
      <w:tr w:rsidR="0042403B" w:rsidRPr="008B546B" w14:paraId="511D2D03" w14:textId="77777777" w:rsidTr="00CC2CD2">
        <w:trPr>
          <w:trHeight w:val="445"/>
        </w:trPr>
        <w:tc>
          <w:tcPr>
            <w:tcW w:w="2580" w:type="dxa"/>
            <w:gridSpan w:val="2"/>
            <w:tcBorders>
              <w:top w:val="single" w:sz="4" w:space="0" w:color="auto"/>
              <w:left w:val="single" w:sz="4" w:space="0" w:color="auto"/>
              <w:bottom w:val="single" w:sz="4" w:space="0" w:color="auto"/>
              <w:right w:val="single" w:sz="4" w:space="0" w:color="auto"/>
            </w:tcBorders>
            <w:vAlign w:val="center"/>
            <w:hideMark/>
          </w:tcPr>
          <w:p w14:paraId="4F8657C2" w14:textId="77777777" w:rsidR="0042403B" w:rsidRPr="008B546B" w:rsidRDefault="0042403B" w:rsidP="00BE3F24">
            <w:pPr>
              <w:jc w:val="center"/>
              <w:rPr>
                <w:rFonts w:ascii="Arial" w:hAnsi="Arial" w:cs="Arial"/>
                <w:b/>
                <w:bCs/>
                <w:sz w:val="22"/>
                <w:szCs w:val="22"/>
              </w:rPr>
            </w:pPr>
            <w:r w:rsidRPr="008B546B">
              <w:rPr>
                <w:rFonts w:ascii="Arial" w:hAnsi="Arial" w:cs="Arial"/>
                <w:b/>
                <w:bCs/>
                <w:sz w:val="22"/>
                <w:szCs w:val="22"/>
              </w:rPr>
              <w:t>Typical Life</w:t>
            </w:r>
            <w:r>
              <w:rPr>
                <w:rFonts w:ascii="Arial" w:hAnsi="Arial" w:cs="Arial"/>
                <w:b/>
                <w:bCs/>
                <w:sz w:val="22"/>
                <w:szCs w:val="22"/>
              </w:rPr>
              <w:t xml:space="preserve"> Extension</w:t>
            </w:r>
          </w:p>
        </w:tc>
        <w:tc>
          <w:tcPr>
            <w:tcW w:w="2920" w:type="dxa"/>
            <w:tcBorders>
              <w:top w:val="single" w:sz="4" w:space="0" w:color="auto"/>
              <w:left w:val="nil"/>
              <w:bottom w:val="single" w:sz="4" w:space="0" w:color="auto"/>
              <w:right w:val="single" w:sz="4" w:space="0" w:color="auto"/>
            </w:tcBorders>
            <w:vAlign w:val="center"/>
            <w:hideMark/>
          </w:tcPr>
          <w:p w14:paraId="6FE17D46" w14:textId="77777777" w:rsidR="0042403B" w:rsidRDefault="0042403B" w:rsidP="00BE3F24">
            <w:pPr>
              <w:rPr>
                <w:rFonts w:ascii="Arial" w:hAnsi="Arial" w:cs="Arial"/>
                <w:color w:val="000000"/>
                <w:sz w:val="16"/>
                <w:szCs w:val="16"/>
              </w:rPr>
            </w:pPr>
            <w:r>
              <w:rPr>
                <w:rFonts w:ascii="Arial" w:hAnsi="Arial" w:cs="Arial"/>
                <w:color w:val="000000"/>
                <w:sz w:val="16"/>
                <w:szCs w:val="16"/>
              </w:rPr>
              <w:t>25 years</w:t>
            </w:r>
          </w:p>
        </w:tc>
        <w:tc>
          <w:tcPr>
            <w:tcW w:w="3127" w:type="dxa"/>
            <w:tcBorders>
              <w:top w:val="nil"/>
              <w:left w:val="nil"/>
              <w:bottom w:val="single" w:sz="4" w:space="0" w:color="auto"/>
              <w:right w:val="single" w:sz="4" w:space="0" w:color="auto"/>
            </w:tcBorders>
            <w:vAlign w:val="center"/>
            <w:hideMark/>
          </w:tcPr>
          <w:p w14:paraId="00622B20" w14:textId="6E299393" w:rsidR="0042403B" w:rsidRDefault="0042403B" w:rsidP="00EC46AC">
            <w:pPr>
              <w:rPr>
                <w:rFonts w:ascii="Arial" w:hAnsi="Arial" w:cs="Arial"/>
                <w:color w:val="000000"/>
                <w:sz w:val="16"/>
                <w:szCs w:val="16"/>
              </w:rPr>
            </w:pPr>
            <w:r>
              <w:rPr>
                <w:rFonts w:ascii="Arial" w:hAnsi="Arial" w:cs="Arial"/>
                <w:color w:val="000000"/>
                <w:sz w:val="16"/>
                <w:szCs w:val="16"/>
              </w:rPr>
              <w:t>12-20 year</w:t>
            </w:r>
            <w:r w:rsidR="00EC46AC">
              <w:rPr>
                <w:rFonts w:ascii="Arial" w:hAnsi="Arial" w:cs="Arial"/>
                <w:color w:val="000000"/>
                <w:sz w:val="16"/>
                <w:szCs w:val="16"/>
              </w:rPr>
              <w:t>s</w:t>
            </w:r>
          </w:p>
        </w:tc>
      </w:tr>
    </w:tbl>
    <w:p w14:paraId="6754A361" w14:textId="77777777" w:rsidR="0042403B" w:rsidRDefault="0042403B" w:rsidP="00BE3F24">
      <w:pPr>
        <w:rPr>
          <w:rFonts w:ascii="Arial" w:hAnsi="Arial" w:cs="Arial"/>
          <w:b/>
          <w:bCs/>
          <w:kern w:val="32"/>
          <w:sz w:val="28"/>
          <w:szCs w:val="32"/>
          <w:u w:val="single"/>
        </w:rPr>
      </w:pPr>
    </w:p>
    <w:p w14:paraId="350CBFEB" w14:textId="77777777" w:rsidR="000828BF" w:rsidRDefault="000828BF" w:rsidP="00BE3F24">
      <w:pPr>
        <w:rPr>
          <w:rFonts w:ascii="Arial" w:hAnsi="Arial" w:cs="Arial"/>
          <w:b/>
          <w:bCs/>
          <w:kern w:val="32"/>
          <w:sz w:val="28"/>
          <w:szCs w:val="32"/>
          <w:u w:val="single"/>
        </w:rPr>
      </w:pPr>
    </w:p>
    <w:p w14:paraId="452B61A1" w14:textId="77777777" w:rsidR="000828BF" w:rsidRDefault="000828BF" w:rsidP="000828BF">
      <w:pPr>
        <w:pStyle w:val="Heading2"/>
        <w:ind w:left="0" w:firstLine="0"/>
        <w:sectPr w:rsidR="000828BF" w:rsidSect="00782FE3">
          <w:headerReference w:type="default" r:id="rId72"/>
          <w:footerReference w:type="default" r:id="rId73"/>
          <w:pgSz w:w="12240" w:h="15840" w:code="1"/>
          <w:pgMar w:top="1440" w:right="1800" w:bottom="1440" w:left="1800" w:header="720" w:footer="720" w:gutter="0"/>
          <w:pgNumType w:chapStyle="1"/>
          <w:cols w:space="720"/>
          <w:docGrid w:linePitch="272"/>
        </w:sectPr>
      </w:pPr>
    </w:p>
    <w:p w14:paraId="2C4D2D5D" w14:textId="6E7732B0" w:rsidR="000828BF" w:rsidRDefault="000828BF" w:rsidP="00CC2CD2">
      <w:pPr>
        <w:pStyle w:val="Heading2"/>
        <w:ind w:left="720" w:hanging="720"/>
      </w:pPr>
      <w:bookmarkStart w:id="85" w:name="_Discussion/Selection_Alternative_wi_1"/>
      <w:bookmarkStart w:id="86" w:name="_Toc479160077"/>
      <w:bookmarkStart w:id="87" w:name="_Toc514057968"/>
      <w:bookmarkStart w:id="88" w:name="_Toc194932362"/>
      <w:bookmarkEnd w:id="85"/>
      <w:r>
        <w:lastRenderedPageBreak/>
        <w:t>Discussion/Selection Alternative with Project Owner</w:t>
      </w:r>
      <w:bookmarkEnd w:id="86"/>
      <w:bookmarkEnd w:id="87"/>
      <w:bookmarkEnd w:id="88"/>
    </w:p>
    <w:p w14:paraId="27D21464" w14:textId="77777777" w:rsidR="003E40B5" w:rsidRPr="008F604D" w:rsidRDefault="003E40B5"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maining_Service_Life" w:history="1">
        <w:r w:rsidRPr="003E40B5">
          <w:rPr>
            <w:rStyle w:val="Hyperlink"/>
            <w:rFonts w:ascii="Arial" w:hAnsi="Arial" w:cs="Arial"/>
            <w:bCs/>
            <w:sz w:val="16"/>
            <w:szCs w:val="16"/>
          </w:rPr>
          <w:t>Remaining Service Life Analysis</w:t>
        </w:r>
      </w:hyperlink>
    </w:p>
    <w:p w14:paraId="4164FE5E" w14:textId="77777777" w:rsidR="000828BF" w:rsidRDefault="000828BF" w:rsidP="000828BF">
      <w:pPr>
        <w:pStyle w:val="Heading3"/>
        <w:ind w:left="0" w:firstLine="0"/>
      </w:pPr>
      <w:r>
        <w:t>Purpose</w:t>
      </w:r>
    </w:p>
    <w:p w14:paraId="5A7F4546" w14:textId="77777777" w:rsidR="000828BF" w:rsidRPr="00666831" w:rsidRDefault="000828BF" w:rsidP="000828BF">
      <w:pPr>
        <w:pStyle w:val="BodyText"/>
        <w:jc w:val="both"/>
      </w:pPr>
      <w:r w:rsidRPr="00666831">
        <w:t>With the introduction of the Pavement Preservation Guide, the number of potential repair strategies expanded significantly.  However, for these repair strategies to be used, it is important that the PAGD Engineer communicates early and often with the project manager.  This is necessary to:</w:t>
      </w:r>
    </w:p>
    <w:p w14:paraId="5F916233" w14:textId="77777777" w:rsidR="000828BF" w:rsidRPr="00666831" w:rsidRDefault="000828BF" w:rsidP="00CC2CD2">
      <w:pPr>
        <w:pStyle w:val="ListNumber"/>
        <w:numPr>
          <w:ilvl w:val="0"/>
          <w:numId w:val="33"/>
        </w:numPr>
        <w:tabs>
          <w:tab w:val="clear" w:pos="1872"/>
        </w:tabs>
        <w:spacing w:before="0"/>
        <w:ind w:left="720" w:hanging="720"/>
        <w:jc w:val="both"/>
      </w:pPr>
      <w:r w:rsidRPr="00666831">
        <w:t>Ensure there are no constructability issues for any given repair strategy</w:t>
      </w:r>
    </w:p>
    <w:p w14:paraId="67711B36" w14:textId="77777777" w:rsidR="000828BF" w:rsidRPr="00666831" w:rsidRDefault="000828BF" w:rsidP="00CC2CD2">
      <w:pPr>
        <w:pStyle w:val="ListNumber"/>
        <w:numPr>
          <w:ilvl w:val="0"/>
          <w:numId w:val="33"/>
        </w:numPr>
        <w:tabs>
          <w:tab w:val="clear" w:pos="1872"/>
        </w:tabs>
        <w:spacing w:before="0"/>
        <w:ind w:left="720" w:hanging="720"/>
        <w:jc w:val="both"/>
      </w:pPr>
      <w:r w:rsidRPr="00666831">
        <w:t>Ensure that all appropriate items and specifications are provided in the contract documents</w:t>
      </w:r>
    </w:p>
    <w:p w14:paraId="792DDAE7" w14:textId="77777777" w:rsidR="000828BF" w:rsidRPr="00666831" w:rsidRDefault="000828BF" w:rsidP="00CC2CD2">
      <w:pPr>
        <w:pStyle w:val="ListNumber"/>
        <w:numPr>
          <w:ilvl w:val="0"/>
          <w:numId w:val="33"/>
        </w:numPr>
        <w:tabs>
          <w:tab w:val="clear" w:pos="1872"/>
        </w:tabs>
        <w:spacing w:before="0"/>
        <w:ind w:left="720" w:hanging="720"/>
        <w:jc w:val="both"/>
      </w:pPr>
      <w:r w:rsidRPr="00666831">
        <w:t>Ensure that the PAGD engineer requests/collects the appropriate testing data</w:t>
      </w:r>
    </w:p>
    <w:p w14:paraId="6F33CC85" w14:textId="2DA8D020" w:rsidR="000828BF" w:rsidRPr="00666831" w:rsidRDefault="000828BF" w:rsidP="00CC2CD2">
      <w:pPr>
        <w:pStyle w:val="ListNumber"/>
        <w:numPr>
          <w:ilvl w:val="0"/>
          <w:numId w:val="33"/>
        </w:numPr>
        <w:tabs>
          <w:tab w:val="clear" w:pos="1872"/>
        </w:tabs>
        <w:spacing w:before="0"/>
        <w:ind w:left="720" w:hanging="720"/>
        <w:jc w:val="both"/>
      </w:pPr>
      <w:r w:rsidRPr="00666831">
        <w:t>Ensure that the customer/project manager accepts the repair strategy</w:t>
      </w:r>
    </w:p>
    <w:p w14:paraId="313A0D38" w14:textId="77777777" w:rsidR="000828BF" w:rsidRPr="00E3644D" w:rsidRDefault="000828BF" w:rsidP="000828BF">
      <w:pPr>
        <w:pStyle w:val="Heading3"/>
        <w:ind w:left="0" w:firstLine="0"/>
      </w:pPr>
      <w:r w:rsidRPr="00E3644D">
        <w:t>Resource Requirements</w:t>
      </w:r>
    </w:p>
    <w:p w14:paraId="1B19DD69" w14:textId="40453025" w:rsidR="000828BF" w:rsidRDefault="000828BF" w:rsidP="009D77CB">
      <w:pPr>
        <w:pStyle w:val="BodyText"/>
        <w:spacing w:after="0"/>
        <w:jc w:val="both"/>
      </w:pPr>
      <w:r w:rsidRPr="00E3644D">
        <w:t>The communication with the requesting office is typically done by the PAGD Engineer in the office. The communication requires the following staffing needs for a typical project:</w:t>
      </w:r>
    </w:p>
    <w:p w14:paraId="56B68A01" w14:textId="77777777" w:rsidR="009D77CB" w:rsidRPr="00E3644D" w:rsidRDefault="009D77CB" w:rsidP="00CC2CD2">
      <w:pPr>
        <w:pStyle w:val="BodyText"/>
        <w:spacing w:after="0"/>
        <w:jc w:val="both"/>
      </w:pPr>
    </w:p>
    <w:tbl>
      <w:tblPr>
        <w:tblW w:w="8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02"/>
        <w:gridCol w:w="2286"/>
        <w:gridCol w:w="1926"/>
        <w:gridCol w:w="1584"/>
      </w:tblGrid>
      <w:tr w:rsidR="000828BF" w:rsidRPr="00E3644D" w14:paraId="65BB26B3" w14:textId="77777777" w:rsidTr="006C1CC1">
        <w:trPr>
          <w:trHeight w:val="288"/>
          <w:jc w:val="center"/>
        </w:trPr>
        <w:tc>
          <w:tcPr>
            <w:tcW w:w="2602" w:type="dxa"/>
            <w:shd w:val="pct15" w:color="auto" w:fill="FFFFFF"/>
            <w:vAlign w:val="center"/>
          </w:tcPr>
          <w:p w14:paraId="4A4FC43C" w14:textId="77777777" w:rsidR="000828BF" w:rsidRPr="00E3644D" w:rsidRDefault="000828BF" w:rsidP="00CC2CD2">
            <w:pPr>
              <w:jc w:val="center"/>
              <w:rPr>
                <w:rFonts w:ascii="Arial" w:hAnsi="Arial"/>
                <w:b/>
              </w:rPr>
            </w:pPr>
            <w:r w:rsidRPr="00E3644D">
              <w:rPr>
                <w:rFonts w:ascii="Arial" w:hAnsi="Arial"/>
                <w:b/>
              </w:rPr>
              <w:t>Position</w:t>
            </w:r>
          </w:p>
        </w:tc>
        <w:tc>
          <w:tcPr>
            <w:tcW w:w="2286" w:type="dxa"/>
            <w:shd w:val="pct15" w:color="auto" w:fill="FFFFFF"/>
            <w:vAlign w:val="center"/>
          </w:tcPr>
          <w:p w14:paraId="71280963" w14:textId="77777777" w:rsidR="000828BF" w:rsidRPr="00E3644D" w:rsidRDefault="000828BF" w:rsidP="00CC2CD2">
            <w:pPr>
              <w:jc w:val="center"/>
              <w:rPr>
                <w:rFonts w:ascii="Arial" w:hAnsi="Arial"/>
                <w:b/>
              </w:rPr>
            </w:pPr>
            <w:r w:rsidRPr="00E3644D">
              <w:rPr>
                <w:rFonts w:ascii="Arial" w:hAnsi="Arial"/>
                <w:b/>
              </w:rPr>
              <w:t>Function</w:t>
            </w:r>
          </w:p>
        </w:tc>
        <w:tc>
          <w:tcPr>
            <w:tcW w:w="1926" w:type="dxa"/>
            <w:shd w:val="pct15" w:color="auto" w:fill="FFFFFF"/>
            <w:vAlign w:val="center"/>
          </w:tcPr>
          <w:p w14:paraId="27FD01C5" w14:textId="77777777" w:rsidR="000828BF" w:rsidRPr="00E3644D" w:rsidRDefault="000828BF" w:rsidP="00CC2CD2">
            <w:pPr>
              <w:jc w:val="center"/>
              <w:rPr>
                <w:rFonts w:ascii="Arial" w:hAnsi="Arial"/>
                <w:b/>
              </w:rPr>
            </w:pPr>
            <w:r w:rsidRPr="00E3644D">
              <w:rPr>
                <w:rFonts w:ascii="Arial" w:hAnsi="Arial"/>
                <w:b/>
              </w:rPr>
              <w:t>Resources</w:t>
            </w:r>
          </w:p>
        </w:tc>
        <w:tc>
          <w:tcPr>
            <w:tcW w:w="1584" w:type="dxa"/>
            <w:shd w:val="pct15" w:color="auto" w:fill="FFFFFF"/>
            <w:vAlign w:val="center"/>
          </w:tcPr>
          <w:p w14:paraId="30399E23" w14:textId="77777777" w:rsidR="000828BF" w:rsidRPr="00E3644D" w:rsidRDefault="000828BF" w:rsidP="00CC2CD2">
            <w:pPr>
              <w:jc w:val="center"/>
              <w:rPr>
                <w:rFonts w:ascii="Arial" w:hAnsi="Arial"/>
                <w:b/>
              </w:rPr>
            </w:pPr>
            <w:r w:rsidRPr="00E3644D">
              <w:rPr>
                <w:rFonts w:ascii="Arial" w:hAnsi="Arial"/>
                <w:b/>
              </w:rPr>
              <w:t>Effort Level</w:t>
            </w:r>
          </w:p>
          <w:p w14:paraId="2D7467B4" w14:textId="77777777" w:rsidR="000828BF" w:rsidRPr="00E3644D" w:rsidRDefault="000828BF" w:rsidP="00CC2CD2">
            <w:pPr>
              <w:jc w:val="center"/>
              <w:rPr>
                <w:rFonts w:ascii="Arial" w:hAnsi="Arial"/>
                <w:b/>
              </w:rPr>
            </w:pPr>
            <w:r w:rsidRPr="00E3644D">
              <w:rPr>
                <w:rFonts w:ascii="Arial" w:hAnsi="Arial"/>
                <w:b/>
              </w:rPr>
              <w:t>(man-hours)</w:t>
            </w:r>
          </w:p>
        </w:tc>
      </w:tr>
      <w:tr w:rsidR="000828BF" w:rsidRPr="00E3644D" w14:paraId="0713D502" w14:textId="77777777" w:rsidTr="006C1CC1">
        <w:trPr>
          <w:trHeight w:val="288"/>
          <w:jc w:val="center"/>
        </w:trPr>
        <w:tc>
          <w:tcPr>
            <w:tcW w:w="2602" w:type="dxa"/>
            <w:vAlign w:val="center"/>
          </w:tcPr>
          <w:p w14:paraId="57C897B6" w14:textId="77777777" w:rsidR="000828BF" w:rsidRPr="00E3644D" w:rsidRDefault="000828BF" w:rsidP="009D77CB">
            <w:pPr>
              <w:jc w:val="center"/>
              <w:rPr>
                <w:rFonts w:ascii="Arial" w:hAnsi="Arial"/>
                <w:sz w:val="18"/>
              </w:rPr>
            </w:pPr>
            <w:r w:rsidRPr="00E3644D">
              <w:rPr>
                <w:rFonts w:ascii="Arial" w:hAnsi="Arial"/>
                <w:sz w:val="18"/>
              </w:rPr>
              <w:t>PAGD Engineer</w:t>
            </w:r>
          </w:p>
        </w:tc>
        <w:tc>
          <w:tcPr>
            <w:tcW w:w="2286" w:type="dxa"/>
            <w:vAlign w:val="center"/>
          </w:tcPr>
          <w:p w14:paraId="45711688" w14:textId="77777777" w:rsidR="000828BF" w:rsidRPr="00E3644D" w:rsidRDefault="000828BF" w:rsidP="009D77CB">
            <w:pPr>
              <w:jc w:val="center"/>
              <w:rPr>
                <w:rFonts w:ascii="Arial" w:hAnsi="Arial"/>
                <w:sz w:val="18"/>
              </w:rPr>
            </w:pPr>
            <w:r>
              <w:rPr>
                <w:rFonts w:ascii="Arial" w:hAnsi="Arial"/>
                <w:sz w:val="18"/>
              </w:rPr>
              <w:t>Identify alternatives</w:t>
            </w:r>
          </w:p>
        </w:tc>
        <w:tc>
          <w:tcPr>
            <w:tcW w:w="1926" w:type="dxa"/>
            <w:vAlign w:val="center"/>
          </w:tcPr>
          <w:p w14:paraId="1E7A2B16" w14:textId="77777777" w:rsidR="000828BF" w:rsidRPr="00E3644D" w:rsidRDefault="000828BF" w:rsidP="009D77CB">
            <w:pPr>
              <w:jc w:val="center"/>
              <w:rPr>
                <w:rFonts w:ascii="Arial" w:hAnsi="Arial"/>
                <w:sz w:val="18"/>
              </w:rPr>
            </w:pPr>
            <w:r w:rsidRPr="00E3644D">
              <w:rPr>
                <w:rFonts w:ascii="Arial" w:hAnsi="Arial"/>
                <w:sz w:val="18"/>
              </w:rPr>
              <w:t>1</w:t>
            </w:r>
          </w:p>
        </w:tc>
        <w:tc>
          <w:tcPr>
            <w:tcW w:w="1584" w:type="dxa"/>
            <w:vAlign w:val="center"/>
          </w:tcPr>
          <w:p w14:paraId="4FD3B000" w14:textId="77777777" w:rsidR="000828BF" w:rsidRPr="00E3644D" w:rsidRDefault="000828BF" w:rsidP="009D77CB">
            <w:pPr>
              <w:jc w:val="center"/>
              <w:rPr>
                <w:rFonts w:ascii="Arial" w:hAnsi="Arial"/>
                <w:sz w:val="18"/>
              </w:rPr>
            </w:pPr>
            <w:r w:rsidRPr="00E3644D">
              <w:rPr>
                <w:rFonts w:ascii="Arial" w:hAnsi="Arial"/>
                <w:sz w:val="18"/>
              </w:rPr>
              <w:t>1*</w:t>
            </w:r>
          </w:p>
        </w:tc>
      </w:tr>
      <w:tr w:rsidR="000828BF" w:rsidRPr="00E3644D" w14:paraId="5D9185FA" w14:textId="77777777" w:rsidTr="006C1CC1">
        <w:trPr>
          <w:trHeight w:val="288"/>
          <w:jc w:val="center"/>
        </w:trPr>
        <w:tc>
          <w:tcPr>
            <w:tcW w:w="2602" w:type="dxa"/>
            <w:shd w:val="clear" w:color="auto" w:fill="FFFFFF"/>
            <w:vAlign w:val="center"/>
          </w:tcPr>
          <w:p w14:paraId="1EDF5B83" w14:textId="77777777" w:rsidR="000828BF" w:rsidRPr="00E3644D" w:rsidRDefault="000828BF" w:rsidP="009D77CB">
            <w:pPr>
              <w:jc w:val="center"/>
              <w:rPr>
                <w:rFonts w:ascii="Arial" w:hAnsi="Arial"/>
                <w:sz w:val="18"/>
              </w:rPr>
            </w:pPr>
            <w:r w:rsidRPr="00E3644D">
              <w:rPr>
                <w:rFonts w:ascii="Arial" w:hAnsi="Arial"/>
                <w:sz w:val="18"/>
              </w:rPr>
              <w:t>PAGD Engineer</w:t>
            </w:r>
            <w:r>
              <w:rPr>
                <w:rFonts w:ascii="Arial" w:hAnsi="Arial"/>
                <w:sz w:val="18"/>
              </w:rPr>
              <w:t>/TL</w:t>
            </w:r>
          </w:p>
        </w:tc>
        <w:tc>
          <w:tcPr>
            <w:tcW w:w="2286" w:type="dxa"/>
            <w:shd w:val="clear" w:color="auto" w:fill="FFFFFF"/>
            <w:vAlign w:val="center"/>
          </w:tcPr>
          <w:p w14:paraId="79C66363" w14:textId="77777777" w:rsidR="000828BF" w:rsidRPr="00E3644D" w:rsidRDefault="000828BF" w:rsidP="009D77CB">
            <w:pPr>
              <w:jc w:val="center"/>
              <w:rPr>
                <w:rFonts w:ascii="Arial" w:hAnsi="Arial"/>
                <w:sz w:val="18"/>
              </w:rPr>
            </w:pPr>
            <w:r w:rsidRPr="00E3644D">
              <w:rPr>
                <w:rFonts w:ascii="Arial" w:hAnsi="Arial"/>
                <w:sz w:val="18"/>
              </w:rPr>
              <w:t>Phone/E-mail Notification</w:t>
            </w:r>
          </w:p>
        </w:tc>
        <w:tc>
          <w:tcPr>
            <w:tcW w:w="1926" w:type="dxa"/>
            <w:shd w:val="clear" w:color="auto" w:fill="FFFFFF"/>
            <w:vAlign w:val="center"/>
          </w:tcPr>
          <w:p w14:paraId="4ADFD303" w14:textId="77777777" w:rsidR="000828BF" w:rsidRPr="00E3644D" w:rsidRDefault="000828BF" w:rsidP="009D77CB">
            <w:pPr>
              <w:jc w:val="center"/>
              <w:rPr>
                <w:rFonts w:ascii="Arial" w:hAnsi="Arial"/>
                <w:sz w:val="18"/>
              </w:rPr>
            </w:pPr>
            <w:r w:rsidRPr="00E3644D">
              <w:rPr>
                <w:rFonts w:ascii="Arial" w:hAnsi="Arial"/>
                <w:sz w:val="18"/>
              </w:rPr>
              <w:t>1</w:t>
            </w:r>
          </w:p>
        </w:tc>
        <w:tc>
          <w:tcPr>
            <w:tcW w:w="1584" w:type="dxa"/>
            <w:shd w:val="clear" w:color="auto" w:fill="FFFFFF"/>
            <w:vAlign w:val="center"/>
          </w:tcPr>
          <w:p w14:paraId="07AEF249" w14:textId="77777777" w:rsidR="000828BF" w:rsidRPr="00E3644D" w:rsidRDefault="000828BF" w:rsidP="009D77CB">
            <w:pPr>
              <w:jc w:val="center"/>
              <w:rPr>
                <w:rFonts w:ascii="Arial" w:hAnsi="Arial"/>
                <w:sz w:val="18"/>
              </w:rPr>
            </w:pPr>
            <w:r w:rsidRPr="00E3644D">
              <w:rPr>
                <w:rFonts w:ascii="Arial" w:hAnsi="Arial"/>
                <w:sz w:val="18"/>
              </w:rPr>
              <w:t>1*</w:t>
            </w:r>
          </w:p>
        </w:tc>
      </w:tr>
    </w:tbl>
    <w:p w14:paraId="32CDAF26" w14:textId="77777777" w:rsidR="000828BF" w:rsidRPr="00E3644D" w:rsidRDefault="000828BF" w:rsidP="000828BF">
      <w:pPr>
        <w:jc w:val="both"/>
        <w:rPr>
          <w:rFonts w:ascii="Arial" w:hAnsi="Arial"/>
          <w:sz w:val="18"/>
          <w:szCs w:val="18"/>
        </w:rPr>
      </w:pPr>
      <w:r w:rsidRPr="00E3644D">
        <w:rPr>
          <w:rFonts w:ascii="Arial" w:hAnsi="Arial"/>
          <w:sz w:val="18"/>
          <w:szCs w:val="18"/>
        </w:rPr>
        <w:t xml:space="preserve">      * The time required would vary depending on the size and complexity of a project.</w:t>
      </w:r>
    </w:p>
    <w:p w14:paraId="17C50ACA" w14:textId="77777777" w:rsidR="000828BF" w:rsidRPr="00E3644D" w:rsidRDefault="000828BF" w:rsidP="000828BF">
      <w:pPr>
        <w:pStyle w:val="Heading3"/>
        <w:ind w:left="0" w:firstLine="0"/>
      </w:pPr>
      <w:r w:rsidRPr="00E3644D">
        <w:t>Procedure</w:t>
      </w:r>
    </w:p>
    <w:p w14:paraId="7D3BB3E2" w14:textId="4C190668" w:rsidR="000828BF" w:rsidRPr="00EB4E9A" w:rsidRDefault="000828BF" w:rsidP="000828BF">
      <w:pPr>
        <w:pStyle w:val="BodyText"/>
        <w:spacing w:after="0"/>
        <w:jc w:val="both"/>
      </w:pPr>
      <w:r w:rsidRPr="00EB4E9A">
        <w:t xml:space="preserve">The PAGD Engineer should fill out </w:t>
      </w:r>
      <w:hyperlink r:id="rId74" w:history="1">
        <w:r w:rsidR="0046520D" w:rsidRPr="0046520D">
          <w:rPr>
            <w:rStyle w:val="Hyperlink"/>
          </w:rPr>
          <w:t>PD-02</w:t>
        </w:r>
      </w:hyperlink>
      <w:r w:rsidR="0046520D">
        <w:t xml:space="preserve"> </w:t>
      </w:r>
      <w:r w:rsidRPr="00EB4E9A">
        <w:t>to identify the various alternatives that could be viable for the project.  This should be done using the following steps:</w:t>
      </w:r>
    </w:p>
    <w:p w14:paraId="7670D065" w14:textId="3954D116" w:rsidR="000828BF" w:rsidRPr="00EB4E9A" w:rsidRDefault="000828BF" w:rsidP="00CC2CD2">
      <w:pPr>
        <w:pStyle w:val="ListNumber"/>
        <w:numPr>
          <w:ilvl w:val="0"/>
          <w:numId w:val="18"/>
        </w:numPr>
        <w:spacing w:before="240"/>
        <w:ind w:left="1080" w:hanging="1080"/>
        <w:jc w:val="both"/>
      </w:pPr>
      <w:r w:rsidRPr="00EB4E9A">
        <w:t>Input the project’s ADT, IRI, SC</w:t>
      </w:r>
      <w:r w:rsidR="00ED1883">
        <w:t>D</w:t>
      </w:r>
      <w:r w:rsidRPr="00EB4E9A">
        <w:t>, FC</w:t>
      </w:r>
      <w:r w:rsidR="00ED1883">
        <w:t>D</w:t>
      </w:r>
      <w:r w:rsidRPr="00EB4E9A">
        <w:t xml:space="preserve">, SN and rut data collected from pavement management data, as per the </w:t>
      </w:r>
      <w:hyperlink w:anchor="_Records_Review" w:history="1">
        <w:r w:rsidRPr="00EB4E9A">
          <w:rPr>
            <w:rStyle w:val="Hyperlink"/>
          </w:rPr>
          <w:t>Records Review</w:t>
        </w:r>
      </w:hyperlink>
      <w:r w:rsidRPr="00EB4E9A">
        <w:t xml:space="preserve"> section.</w:t>
      </w:r>
    </w:p>
    <w:p w14:paraId="60F7B717" w14:textId="77777777" w:rsidR="000828BF" w:rsidRDefault="000828BF" w:rsidP="00557A8B">
      <w:pPr>
        <w:pStyle w:val="ListNumber"/>
        <w:numPr>
          <w:ilvl w:val="0"/>
          <w:numId w:val="18"/>
        </w:numPr>
        <w:ind w:left="1080" w:hanging="1080"/>
        <w:jc w:val="both"/>
      </w:pPr>
      <w:r>
        <w:t xml:space="preserve">Using the information acquired in Step 1, identify the specific treatments that can be investigated further, as per the </w:t>
      </w:r>
      <w:hyperlink w:anchor="_Initial_Treatment_Identification" w:history="1">
        <w:r w:rsidRPr="00EB4E9A">
          <w:rPr>
            <w:rStyle w:val="Hyperlink"/>
          </w:rPr>
          <w:t>Initial Treatment Identification – Pavement Preservation Guide</w:t>
        </w:r>
      </w:hyperlink>
      <w:r>
        <w:t xml:space="preserve"> section, and input into the form.</w:t>
      </w:r>
    </w:p>
    <w:p w14:paraId="1A37C5B3" w14:textId="77777777" w:rsidR="000828BF" w:rsidRDefault="000828BF" w:rsidP="00557A8B">
      <w:pPr>
        <w:pStyle w:val="ListNumber"/>
        <w:numPr>
          <w:ilvl w:val="0"/>
          <w:numId w:val="18"/>
        </w:numPr>
        <w:ind w:left="1080" w:hanging="1080"/>
        <w:jc w:val="both"/>
      </w:pPr>
      <w:r>
        <w:t>Discuss each identified treatment with the PM, and note whether each one should be pursued further for investigation.</w:t>
      </w:r>
    </w:p>
    <w:p w14:paraId="68A81D6C" w14:textId="77777777" w:rsidR="000828BF" w:rsidRDefault="000828BF" w:rsidP="00557A8B">
      <w:pPr>
        <w:pStyle w:val="ListNumber"/>
        <w:numPr>
          <w:ilvl w:val="0"/>
          <w:numId w:val="18"/>
        </w:numPr>
        <w:ind w:left="1080" w:hanging="1080"/>
        <w:jc w:val="both"/>
      </w:pPr>
      <w:r>
        <w:t>Include the Form in the project folder.</w:t>
      </w:r>
    </w:p>
    <w:p w14:paraId="147D9752" w14:textId="77777777" w:rsidR="008D462E" w:rsidRDefault="008D462E" w:rsidP="00557A8B">
      <w:pPr>
        <w:pStyle w:val="ListNumber"/>
        <w:numPr>
          <w:ilvl w:val="0"/>
          <w:numId w:val="18"/>
        </w:numPr>
        <w:ind w:left="1080" w:hanging="1080"/>
        <w:jc w:val="both"/>
      </w:pPr>
      <w:r>
        <w:t xml:space="preserve">For each treatment alternative that is identified for further investigation, request the appropriate testing as per </w:t>
      </w:r>
      <w:hyperlink w:anchor="_Testing_&amp;_Data" w:history="1">
        <w:r w:rsidRPr="008D462E">
          <w:rPr>
            <w:rStyle w:val="Hyperlink"/>
          </w:rPr>
          <w:t>Testing &amp; Data Collection</w:t>
        </w:r>
      </w:hyperlink>
      <w:r>
        <w:t xml:space="preserve"> and perform the necessary analysis and design as per </w:t>
      </w:r>
      <w:hyperlink w:anchor="_Remaining_Service_Life" w:history="1">
        <w:r w:rsidRPr="008D462E">
          <w:rPr>
            <w:rStyle w:val="Hyperlink"/>
          </w:rPr>
          <w:t>Remaining Service Life Analysis</w:t>
        </w:r>
      </w:hyperlink>
      <w:r>
        <w:t>.</w:t>
      </w:r>
    </w:p>
    <w:p w14:paraId="3122EB86" w14:textId="77777777" w:rsidR="008D462E" w:rsidRDefault="005A0C18" w:rsidP="00557A8B">
      <w:pPr>
        <w:pStyle w:val="ListNumber"/>
        <w:numPr>
          <w:ilvl w:val="0"/>
          <w:numId w:val="18"/>
        </w:numPr>
        <w:ind w:left="1080" w:hanging="1080"/>
        <w:jc w:val="both"/>
      </w:pPr>
      <w:r>
        <w:t>Discuss the remaining alternatives with the PM, including the benefit/cost ratios for each, and determine which alternative shall be the final choice.</w:t>
      </w:r>
    </w:p>
    <w:p w14:paraId="23B23924" w14:textId="77777777" w:rsidR="005A0C18" w:rsidRPr="00E3644D" w:rsidRDefault="005A0C18" w:rsidP="00557A8B">
      <w:pPr>
        <w:pStyle w:val="ListNumber"/>
        <w:numPr>
          <w:ilvl w:val="0"/>
          <w:numId w:val="18"/>
        </w:numPr>
        <w:ind w:left="1080" w:hanging="1080"/>
        <w:jc w:val="both"/>
      </w:pPr>
      <w:r>
        <w:t xml:space="preserve">Develop the pavement recommendation report(s) as per </w:t>
      </w:r>
      <w:hyperlink w:anchor="_Deliverables_and_Report" w:history="1">
        <w:r w:rsidRPr="005A0C18">
          <w:rPr>
            <w:rStyle w:val="Hyperlink"/>
          </w:rPr>
          <w:t>Deliverables and Report</w:t>
        </w:r>
      </w:hyperlink>
      <w:r>
        <w:t xml:space="preserve"> to ensure that the proper specifications and items are included in the contract documents.  If the contract has already been advertised, work with the </w:t>
      </w:r>
      <w:r>
        <w:lastRenderedPageBreak/>
        <w:t>PM to either add the appropriate specs and items, or defer the project to a different contract.</w:t>
      </w:r>
    </w:p>
    <w:p w14:paraId="0746DC2B" w14:textId="77777777" w:rsidR="000828BF" w:rsidRPr="005A0C18" w:rsidRDefault="000828BF" w:rsidP="000828BF"/>
    <w:p w14:paraId="4479190A" w14:textId="39C60410" w:rsidR="000828BF" w:rsidRDefault="000828BF" w:rsidP="000828BF">
      <w:pPr>
        <w:pStyle w:val="BodyText"/>
        <w:jc w:val="both"/>
        <w:rPr>
          <w:rFonts w:cs="Arial"/>
        </w:rPr>
      </w:pPr>
      <w:r w:rsidRPr="005A0C18">
        <w:rPr>
          <w:rFonts w:cs="Arial"/>
        </w:rPr>
        <w:t xml:space="preserve">Once the final Treatment Options are established, it will be necessary to develop contracts or use existing contracts for project implementation.  Since it is not practical or desirable to have a contract for each treatment, </w:t>
      </w:r>
      <w:hyperlink w:anchor="_Table_C._List_1" w:history="1">
        <w:r w:rsidRPr="005A0C18">
          <w:rPr>
            <w:rStyle w:val="Hyperlink"/>
            <w:rFonts w:cs="Arial"/>
          </w:rPr>
          <w:t>Table C</w:t>
        </w:r>
      </w:hyperlink>
      <w:r w:rsidRPr="005A0C18">
        <w:rPr>
          <w:rFonts w:cs="Arial"/>
        </w:rPr>
        <w:t xml:space="preserve"> offers suggested grouping of treatments into various compatible Areawide contracts.  There are some treatments, due to their more extensive scope of work, such as Heavy (Major) Rehabilitation and Reconstruction that are not compatible with Areawide contracts and would likely require Single Advertised contracts.</w:t>
      </w:r>
      <w:r>
        <w:rPr>
          <w:rFonts w:cs="Arial"/>
        </w:rPr>
        <w:t xml:space="preserve"> </w:t>
      </w:r>
    </w:p>
    <w:p w14:paraId="74C2700B" w14:textId="77777777" w:rsidR="000828BF" w:rsidRDefault="000828BF" w:rsidP="00BE3F24">
      <w:pPr>
        <w:rPr>
          <w:rFonts w:ascii="Arial" w:hAnsi="Arial" w:cs="Arial"/>
          <w:b/>
          <w:bCs/>
          <w:kern w:val="32"/>
          <w:sz w:val="28"/>
          <w:szCs w:val="32"/>
          <w:u w:val="single"/>
        </w:rPr>
        <w:sectPr w:rsidR="000828BF" w:rsidSect="009D77CB">
          <w:headerReference w:type="default" r:id="rId75"/>
          <w:footerReference w:type="default" r:id="rId76"/>
          <w:pgSz w:w="12240" w:h="15840" w:code="1"/>
          <w:pgMar w:top="1440" w:right="1800" w:bottom="1440" w:left="1800" w:header="720" w:footer="720" w:gutter="0"/>
          <w:pgNumType w:chapStyle="1"/>
          <w:cols w:space="720"/>
          <w:docGrid w:linePitch="272"/>
        </w:sectPr>
      </w:pPr>
    </w:p>
    <w:p w14:paraId="625146E9" w14:textId="7CB177A9" w:rsidR="0010714A" w:rsidRDefault="0010714A" w:rsidP="00BE3F24">
      <w:pPr>
        <w:pStyle w:val="Heading1"/>
        <w:ind w:left="0" w:firstLine="0"/>
      </w:pPr>
      <w:bookmarkStart w:id="89" w:name="_Testing_&amp;_Data"/>
      <w:bookmarkStart w:id="90" w:name="_Toc479160078"/>
      <w:bookmarkStart w:id="91" w:name="_Toc514057969"/>
      <w:bookmarkStart w:id="92" w:name="_Toc194932363"/>
      <w:bookmarkEnd w:id="89"/>
      <w:r>
        <w:lastRenderedPageBreak/>
        <w:t>Testing &amp; Data Collection</w:t>
      </w:r>
      <w:bookmarkEnd w:id="90"/>
      <w:bookmarkEnd w:id="91"/>
      <w:bookmarkEnd w:id="92"/>
    </w:p>
    <w:p w14:paraId="631A4EA8" w14:textId="77777777" w:rsidR="003E1207" w:rsidRDefault="003E1207" w:rsidP="003E1207">
      <w:pPr>
        <w:rPr>
          <w:rFonts w:ascii="Arial" w:hAnsi="Arial" w:cs="Arial"/>
          <w:bCs/>
          <w:sz w:val="16"/>
          <w:szCs w:val="16"/>
        </w:rPr>
      </w:pPr>
      <w:bookmarkStart w:id="93" w:name="_Required_Pavement_Testing"/>
      <w:bookmarkEnd w:id="9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iscussion/Selection_Alternative_wi_1" w:history="1">
        <w:r w:rsidRPr="003E1207">
          <w:rPr>
            <w:rStyle w:val="Hyperlink"/>
            <w:rFonts w:ascii="Arial" w:hAnsi="Arial" w:cs="Arial"/>
            <w:bCs/>
            <w:sz w:val="16"/>
            <w:szCs w:val="16"/>
          </w:rPr>
          <w:t>Discussion/Selection Alternative with Project Owner</w:t>
        </w:r>
      </w:hyperlink>
    </w:p>
    <w:p w14:paraId="03486019"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0A9B4320" w14:textId="77777777" w:rsidR="003C5A72" w:rsidRDefault="003C5A72" w:rsidP="003C5A7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Preservation_&amp;" w:history="1">
        <w:r w:rsidRPr="003C5A72">
          <w:rPr>
            <w:rStyle w:val="Hyperlink"/>
            <w:rFonts w:ascii="Arial" w:hAnsi="Arial" w:cs="Arial"/>
            <w:bCs/>
            <w:sz w:val="16"/>
            <w:szCs w:val="16"/>
          </w:rPr>
          <w:t>Pavement Preservation &amp; Rehabilitation Design</w:t>
        </w:r>
      </w:hyperlink>
    </w:p>
    <w:p w14:paraId="016AE445" w14:textId="77777777" w:rsidR="00761AF2" w:rsidRDefault="00761AF2" w:rsidP="00761AF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anagement_Review_&amp;" w:history="1">
        <w:r w:rsidRPr="00761AF2">
          <w:rPr>
            <w:rStyle w:val="Hyperlink"/>
            <w:rFonts w:ascii="Arial" w:hAnsi="Arial" w:cs="Arial"/>
            <w:bCs/>
            <w:sz w:val="16"/>
            <w:szCs w:val="16"/>
          </w:rPr>
          <w:t>Management Review &amp; QA</w:t>
        </w:r>
      </w:hyperlink>
    </w:p>
    <w:p w14:paraId="7CC3D3AA" w14:textId="77777777" w:rsidR="001F32D3" w:rsidRDefault="001F32D3" w:rsidP="001F32D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2" w:history="1">
        <w:r w:rsidRPr="001F32D3">
          <w:rPr>
            <w:rStyle w:val="Hyperlink"/>
            <w:rFonts w:ascii="Arial" w:hAnsi="Arial" w:cs="Arial"/>
            <w:bCs/>
            <w:sz w:val="16"/>
            <w:szCs w:val="16"/>
          </w:rPr>
          <w:t>New Pavement Design Using AASHTO 1993</w:t>
        </w:r>
      </w:hyperlink>
    </w:p>
    <w:p w14:paraId="7F9C22EF" w14:textId="77777777" w:rsidR="00707989" w:rsidRPr="008F604D"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23F52B2E" w14:textId="1CCB4A5C" w:rsidR="00865C9F" w:rsidRDefault="00865C9F" w:rsidP="003E1207">
      <w:pPr>
        <w:pStyle w:val="Heading2"/>
        <w:ind w:hanging="1026"/>
      </w:pPr>
      <w:bookmarkStart w:id="94" w:name="_Required_Pavement_Testing_1"/>
      <w:bookmarkStart w:id="95" w:name="_Toc479160079"/>
      <w:bookmarkStart w:id="96" w:name="_Toc514057970"/>
      <w:bookmarkStart w:id="97" w:name="_Toc194932364"/>
      <w:bookmarkEnd w:id="94"/>
      <w:r w:rsidRPr="0028248F">
        <w:t>Required Pavement Testing</w:t>
      </w:r>
      <w:r>
        <w:t xml:space="preserve"> </w:t>
      </w:r>
      <w:r w:rsidR="005F2AE2">
        <w:t>Guidelines</w:t>
      </w:r>
      <w:bookmarkEnd w:id="95"/>
      <w:bookmarkEnd w:id="96"/>
      <w:bookmarkEnd w:id="97"/>
    </w:p>
    <w:p w14:paraId="0F863D09" w14:textId="77777777" w:rsidR="005F2AE2" w:rsidRDefault="005F2AE2" w:rsidP="005F2AE2">
      <w:pPr>
        <w:pStyle w:val="Heading3"/>
        <w:ind w:left="0" w:firstLine="0"/>
      </w:pPr>
      <w:r>
        <w:t>Purpose</w:t>
      </w:r>
    </w:p>
    <w:p w14:paraId="2BE03406" w14:textId="7A8DF06F" w:rsidR="00865C9F" w:rsidRPr="00865C9F" w:rsidRDefault="00865C9F" w:rsidP="005F2AE2">
      <w:pPr>
        <w:jc w:val="both"/>
        <w:rPr>
          <w:rFonts w:ascii="Arial" w:hAnsi="Arial" w:cs="Arial"/>
          <w:sz w:val="22"/>
          <w:szCs w:val="22"/>
        </w:rPr>
      </w:pPr>
      <w:r w:rsidRPr="00865C9F">
        <w:rPr>
          <w:rFonts w:ascii="Arial" w:hAnsi="Arial" w:cs="Arial"/>
          <w:sz w:val="22"/>
          <w:szCs w:val="22"/>
        </w:rPr>
        <w:t xml:space="preserve">As a general rule, all projects require some level of pavement testing (Site Visit, Core Testing, FWD Testing, Visual Pavement Condition Assessment, Patching Survey and Traffic Survey) in order to determine existing pavement conditions for use in analysis and design.  The level or extent of testing required will depend on many factors including project scope and project features, </w:t>
      </w:r>
      <w:r w:rsidR="0045641D">
        <w:rPr>
          <w:rFonts w:ascii="Arial" w:hAnsi="Arial" w:cs="Arial"/>
          <w:sz w:val="22"/>
          <w:szCs w:val="22"/>
        </w:rPr>
        <w:t xml:space="preserve">roadway functional class, </w:t>
      </w:r>
      <w:r w:rsidRPr="00865C9F">
        <w:rPr>
          <w:rFonts w:ascii="Arial" w:hAnsi="Arial" w:cs="Arial"/>
          <w:sz w:val="22"/>
          <w:szCs w:val="22"/>
        </w:rPr>
        <w:t xml:space="preserve">level of existing testing information available and risk if testing is not performed.  </w:t>
      </w:r>
    </w:p>
    <w:p w14:paraId="53389508" w14:textId="77777777" w:rsidR="005F2AE2" w:rsidRDefault="005F2AE2" w:rsidP="005F2AE2">
      <w:pPr>
        <w:jc w:val="both"/>
        <w:rPr>
          <w:rFonts w:ascii="Arial" w:hAnsi="Arial" w:cs="Arial"/>
          <w:sz w:val="22"/>
          <w:szCs w:val="22"/>
        </w:rPr>
      </w:pPr>
    </w:p>
    <w:p w14:paraId="3CBA3F5B" w14:textId="77777777" w:rsidR="00865C9F" w:rsidRDefault="00865C9F" w:rsidP="005F2AE2">
      <w:pPr>
        <w:jc w:val="both"/>
        <w:rPr>
          <w:rFonts w:ascii="Arial" w:hAnsi="Arial" w:cs="Arial"/>
          <w:sz w:val="22"/>
          <w:szCs w:val="22"/>
        </w:rPr>
      </w:pPr>
      <w:r w:rsidRPr="00865C9F">
        <w:rPr>
          <w:rFonts w:ascii="Arial" w:hAnsi="Arial" w:cs="Arial"/>
          <w:sz w:val="22"/>
          <w:szCs w:val="22"/>
        </w:rPr>
        <w:t xml:space="preserve">Under no circumstances should testing be eliminated without approval of </w:t>
      </w:r>
      <w:r w:rsidR="005F2AE2">
        <w:rPr>
          <w:rFonts w:ascii="Arial" w:hAnsi="Arial" w:cs="Arial"/>
          <w:sz w:val="22"/>
          <w:szCs w:val="22"/>
        </w:rPr>
        <w:t xml:space="preserve">a </w:t>
      </w:r>
      <w:r w:rsidRPr="00865C9F">
        <w:rPr>
          <w:rFonts w:ascii="Arial" w:hAnsi="Arial" w:cs="Arial"/>
          <w:sz w:val="22"/>
          <w:szCs w:val="22"/>
        </w:rPr>
        <w:t xml:space="preserve">PAGD Team Leader.  If there is sufficient existing testing available and approval has been obtained from the PAGD Team Leader to eliminate testing, the project will be considered as having met the requirements for required testing.  </w:t>
      </w:r>
    </w:p>
    <w:p w14:paraId="501D4BAB" w14:textId="77777777" w:rsidR="005F2AE2" w:rsidRPr="00865C9F" w:rsidRDefault="005F2AE2" w:rsidP="005F2AE2">
      <w:pPr>
        <w:jc w:val="both"/>
        <w:rPr>
          <w:rFonts w:ascii="Arial" w:hAnsi="Arial" w:cs="Arial"/>
          <w:sz w:val="22"/>
          <w:szCs w:val="22"/>
        </w:rPr>
      </w:pPr>
    </w:p>
    <w:p w14:paraId="0EECAF26" w14:textId="77777777" w:rsidR="00865C9F" w:rsidRPr="00865C9F" w:rsidRDefault="00865C9F" w:rsidP="005F2AE2">
      <w:pPr>
        <w:jc w:val="both"/>
        <w:rPr>
          <w:rFonts w:ascii="Arial" w:hAnsi="Arial" w:cs="Arial"/>
          <w:sz w:val="22"/>
          <w:szCs w:val="22"/>
        </w:rPr>
      </w:pPr>
      <w:r w:rsidRPr="00865C9F">
        <w:rPr>
          <w:rFonts w:ascii="Arial" w:hAnsi="Arial" w:cs="Arial"/>
          <w:sz w:val="22"/>
          <w:szCs w:val="22"/>
        </w:rPr>
        <w:t>There are various valid reasons other than the previously noted conditions when testing may have to be eliminated or reduced, such as the following:</w:t>
      </w:r>
    </w:p>
    <w:p w14:paraId="2907F7FC" w14:textId="70446355" w:rsidR="001A15B9" w:rsidRDefault="009F0DA9" w:rsidP="00172E64">
      <w:pPr>
        <w:pStyle w:val="ListParagraph"/>
        <w:numPr>
          <w:ilvl w:val="0"/>
          <w:numId w:val="84"/>
        </w:numPr>
        <w:spacing w:before="120"/>
        <w:ind w:left="720" w:hanging="720"/>
        <w:jc w:val="both"/>
        <w:rPr>
          <w:rFonts w:ascii="Arial" w:hAnsi="Arial" w:cs="Arial"/>
          <w:sz w:val="22"/>
          <w:szCs w:val="22"/>
        </w:rPr>
      </w:pPr>
      <w:r>
        <w:rPr>
          <w:rFonts w:ascii="Arial" w:hAnsi="Arial" w:cs="Arial"/>
          <w:sz w:val="22"/>
          <w:szCs w:val="22"/>
        </w:rPr>
        <w:t>S</w:t>
      </w:r>
      <w:r w:rsidR="00865C9F" w:rsidRPr="00865C9F">
        <w:rPr>
          <w:rFonts w:ascii="Arial" w:hAnsi="Arial" w:cs="Arial"/>
          <w:sz w:val="22"/>
          <w:szCs w:val="22"/>
        </w:rPr>
        <w:t>afety/logistic reasons such as elimination of testing on beltways, ramps, etc.</w:t>
      </w:r>
    </w:p>
    <w:p w14:paraId="31C13459" w14:textId="0AA3B91B" w:rsidR="001A15B9" w:rsidRDefault="009F0DA9" w:rsidP="00172E64">
      <w:pPr>
        <w:pStyle w:val="ListParagraph"/>
        <w:numPr>
          <w:ilvl w:val="0"/>
          <w:numId w:val="84"/>
        </w:numPr>
        <w:ind w:left="720" w:hanging="720"/>
        <w:jc w:val="both"/>
        <w:rPr>
          <w:rFonts w:ascii="Arial" w:hAnsi="Arial" w:cs="Arial"/>
          <w:sz w:val="22"/>
          <w:szCs w:val="22"/>
        </w:rPr>
      </w:pPr>
      <w:r>
        <w:rPr>
          <w:rFonts w:ascii="Arial" w:hAnsi="Arial" w:cs="Arial"/>
          <w:sz w:val="22"/>
          <w:szCs w:val="22"/>
        </w:rPr>
        <w:t>S</w:t>
      </w:r>
      <w:r w:rsidR="00865C9F" w:rsidRPr="00865C9F">
        <w:rPr>
          <w:rFonts w:ascii="Arial" w:hAnsi="Arial" w:cs="Arial"/>
          <w:sz w:val="22"/>
          <w:szCs w:val="22"/>
        </w:rPr>
        <w:t>hort testing lead time due to project schedule</w:t>
      </w:r>
    </w:p>
    <w:p w14:paraId="5C01FDD7" w14:textId="4600F2C9" w:rsidR="001A15B9" w:rsidRDefault="009F0DA9" w:rsidP="00172E64">
      <w:pPr>
        <w:pStyle w:val="ListParagraph"/>
        <w:numPr>
          <w:ilvl w:val="0"/>
          <w:numId w:val="84"/>
        </w:numPr>
        <w:ind w:left="720" w:hanging="720"/>
        <w:jc w:val="both"/>
        <w:rPr>
          <w:rFonts w:ascii="Arial" w:hAnsi="Arial" w:cs="Arial"/>
          <w:sz w:val="22"/>
          <w:szCs w:val="22"/>
        </w:rPr>
      </w:pPr>
      <w:r>
        <w:rPr>
          <w:rFonts w:ascii="Arial" w:hAnsi="Arial" w:cs="Arial"/>
          <w:sz w:val="22"/>
          <w:szCs w:val="22"/>
        </w:rPr>
        <w:t>L</w:t>
      </w:r>
      <w:r w:rsidR="00865C9F" w:rsidRPr="00865C9F">
        <w:rPr>
          <w:rFonts w:ascii="Arial" w:hAnsi="Arial" w:cs="Arial"/>
          <w:sz w:val="22"/>
          <w:szCs w:val="22"/>
        </w:rPr>
        <w:t>arge volume of testing requests</w:t>
      </w:r>
    </w:p>
    <w:p w14:paraId="53741432" w14:textId="2D6EE8C8" w:rsidR="001A15B9" w:rsidRDefault="009F0DA9" w:rsidP="00172E64">
      <w:pPr>
        <w:pStyle w:val="ListParagraph"/>
        <w:numPr>
          <w:ilvl w:val="0"/>
          <w:numId w:val="84"/>
        </w:numPr>
        <w:ind w:left="720" w:hanging="720"/>
        <w:jc w:val="both"/>
        <w:rPr>
          <w:rFonts w:ascii="Arial" w:hAnsi="Arial" w:cs="Arial"/>
          <w:sz w:val="22"/>
          <w:szCs w:val="22"/>
        </w:rPr>
      </w:pPr>
      <w:r>
        <w:rPr>
          <w:rFonts w:ascii="Arial" w:hAnsi="Arial" w:cs="Arial"/>
          <w:sz w:val="22"/>
          <w:szCs w:val="22"/>
        </w:rPr>
        <w:t>W</w:t>
      </w:r>
      <w:r w:rsidR="00865C9F" w:rsidRPr="00865C9F">
        <w:rPr>
          <w:rFonts w:ascii="Arial" w:hAnsi="Arial" w:cs="Arial"/>
          <w:sz w:val="22"/>
          <w:szCs w:val="22"/>
        </w:rPr>
        <w:t xml:space="preserve">eather – time of year </w:t>
      </w:r>
    </w:p>
    <w:p w14:paraId="27379C01" w14:textId="12E4F961" w:rsidR="001A15B9" w:rsidRDefault="009F0DA9" w:rsidP="00172E64">
      <w:pPr>
        <w:pStyle w:val="ListParagraph"/>
        <w:numPr>
          <w:ilvl w:val="0"/>
          <w:numId w:val="84"/>
        </w:numPr>
        <w:ind w:left="720" w:hanging="720"/>
        <w:jc w:val="both"/>
        <w:rPr>
          <w:rFonts w:ascii="Arial" w:hAnsi="Arial" w:cs="Arial"/>
          <w:sz w:val="22"/>
          <w:szCs w:val="22"/>
        </w:rPr>
      </w:pPr>
      <w:r>
        <w:rPr>
          <w:rFonts w:ascii="Arial" w:hAnsi="Arial" w:cs="Arial"/>
          <w:sz w:val="22"/>
          <w:szCs w:val="22"/>
        </w:rPr>
        <w:t>U</w:t>
      </w:r>
      <w:r w:rsidR="00865C9F" w:rsidRPr="00865C9F">
        <w:rPr>
          <w:rFonts w:ascii="Arial" w:hAnsi="Arial" w:cs="Arial"/>
          <w:sz w:val="22"/>
          <w:szCs w:val="22"/>
        </w:rPr>
        <w:t>navailability of field testing personnel and/or equipment</w:t>
      </w:r>
    </w:p>
    <w:p w14:paraId="1B68A40A" w14:textId="62A858F9" w:rsidR="00865C9F" w:rsidRPr="00865C9F" w:rsidRDefault="00865C9F" w:rsidP="00D93588">
      <w:pPr>
        <w:spacing w:before="240"/>
        <w:jc w:val="both"/>
        <w:rPr>
          <w:rFonts w:ascii="Arial" w:hAnsi="Arial" w:cs="Arial"/>
          <w:sz w:val="22"/>
          <w:szCs w:val="22"/>
        </w:rPr>
      </w:pPr>
      <w:r w:rsidRPr="00865C9F">
        <w:rPr>
          <w:rFonts w:ascii="Arial" w:hAnsi="Arial" w:cs="Arial"/>
          <w:sz w:val="22"/>
          <w:szCs w:val="22"/>
        </w:rPr>
        <w:t xml:space="preserve">If testing is eliminated due </w:t>
      </w:r>
      <w:r w:rsidR="009F0DA9" w:rsidRPr="00865C9F">
        <w:rPr>
          <w:rFonts w:ascii="Arial" w:hAnsi="Arial" w:cs="Arial"/>
          <w:sz w:val="22"/>
          <w:szCs w:val="22"/>
        </w:rPr>
        <w:t xml:space="preserve">strictly </w:t>
      </w:r>
      <w:r w:rsidRPr="00865C9F">
        <w:rPr>
          <w:rFonts w:ascii="Arial" w:hAnsi="Arial" w:cs="Arial"/>
          <w:sz w:val="22"/>
          <w:szCs w:val="22"/>
        </w:rPr>
        <w:t xml:space="preserve">to these reasons, the project will be considered as not having met the requirements of field testing.  The reason for eliminating testing should be noted in the comments of the Field Info section of the </w:t>
      </w:r>
      <w:hyperlink r:id="rId77" w:history="1">
        <w:r w:rsidRPr="005F2AE2">
          <w:rPr>
            <w:rStyle w:val="Hyperlink"/>
            <w:rFonts w:ascii="Arial" w:hAnsi="Arial" w:cs="Arial"/>
            <w:sz w:val="22"/>
            <w:szCs w:val="22"/>
          </w:rPr>
          <w:t>DesignProjects.</w:t>
        </w:r>
        <w:r w:rsidR="00BE5E6F">
          <w:rPr>
            <w:rStyle w:val="Hyperlink"/>
            <w:rFonts w:ascii="Arial" w:hAnsi="Arial" w:cs="Arial"/>
            <w:sz w:val="22"/>
            <w:szCs w:val="22"/>
          </w:rPr>
          <w:t>accd</w:t>
        </w:r>
        <w:r w:rsidRPr="005F2AE2">
          <w:rPr>
            <w:rStyle w:val="Hyperlink"/>
            <w:rFonts w:ascii="Arial" w:hAnsi="Arial" w:cs="Arial"/>
            <w:sz w:val="22"/>
            <w:szCs w:val="22"/>
          </w:rPr>
          <w:t>b</w:t>
        </w:r>
      </w:hyperlink>
      <w:r w:rsidRPr="00865C9F">
        <w:rPr>
          <w:rFonts w:ascii="Arial" w:hAnsi="Arial" w:cs="Arial"/>
          <w:sz w:val="22"/>
          <w:szCs w:val="22"/>
        </w:rPr>
        <w:t xml:space="preserve"> along with a Status of Cancelled. </w:t>
      </w:r>
    </w:p>
    <w:p w14:paraId="1869C6A9" w14:textId="77777777" w:rsidR="00621D7F" w:rsidRDefault="00621D7F" w:rsidP="00621D7F">
      <w:pPr>
        <w:pStyle w:val="Heading3"/>
        <w:ind w:left="0" w:firstLine="0"/>
        <w:jc w:val="both"/>
      </w:pPr>
      <w:r>
        <w:t>Procedure</w:t>
      </w:r>
    </w:p>
    <w:p w14:paraId="2CF70F9F" w14:textId="77777777" w:rsidR="00865C9F" w:rsidRDefault="00865C9F" w:rsidP="005F2AE2">
      <w:pPr>
        <w:jc w:val="both"/>
        <w:rPr>
          <w:rFonts w:ascii="Arial" w:hAnsi="Arial" w:cs="Arial"/>
          <w:sz w:val="22"/>
          <w:szCs w:val="22"/>
        </w:rPr>
      </w:pPr>
      <w:r w:rsidRPr="00865C9F">
        <w:rPr>
          <w:rFonts w:ascii="Arial" w:hAnsi="Arial" w:cs="Arial"/>
          <w:sz w:val="22"/>
          <w:szCs w:val="22"/>
        </w:rPr>
        <w:t xml:space="preserve">The following outlines when testing may be limited/reduced or even eliminated:  </w:t>
      </w:r>
    </w:p>
    <w:p w14:paraId="1D1F1284" w14:textId="77777777" w:rsidR="00621D7F" w:rsidRPr="00865C9F" w:rsidRDefault="00621D7F" w:rsidP="005F2AE2">
      <w:pPr>
        <w:jc w:val="both"/>
        <w:rPr>
          <w:rFonts w:ascii="Arial" w:hAnsi="Arial" w:cs="Arial"/>
          <w:sz w:val="22"/>
          <w:szCs w:val="22"/>
        </w:rPr>
      </w:pPr>
    </w:p>
    <w:p w14:paraId="4C161DEE" w14:textId="4A447E88" w:rsidR="001A15B9" w:rsidRDefault="00865C9F" w:rsidP="00172E64">
      <w:pPr>
        <w:pStyle w:val="ListParagraph"/>
        <w:numPr>
          <w:ilvl w:val="0"/>
          <w:numId w:val="93"/>
        </w:numPr>
        <w:tabs>
          <w:tab w:val="clear" w:pos="1152"/>
          <w:tab w:val="num" w:pos="1080"/>
        </w:tabs>
        <w:ind w:left="1080" w:hanging="1080"/>
        <w:jc w:val="both"/>
        <w:rPr>
          <w:rFonts w:ascii="Arial" w:hAnsi="Arial" w:cs="Arial"/>
          <w:sz w:val="22"/>
          <w:szCs w:val="22"/>
        </w:rPr>
      </w:pPr>
      <w:r w:rsidRPr="00621D7F">
        <w:rPr>
          <w:rFonts w:ascii="Arial" w:hAnsi="Arial" w:cs="Arial"/>
          <w:sz w:val="22"/>
          <w:szCs w:val="22"/>
        </w:rPr>
        <w:t>If the purpose of the project is not specifically to improve the pavement (i.e.</w:t>
      </w:r>
      <w:r w:rsidR="009F0DA9">
        <w:rPr>
          <w:rFonts w:ascii="Arial" w:hAnsi="Arial" w:cs="Arial"/>
          <w:sz w:val="22"/>
          <w:szCs w:val="22"/>
        </w:rPr>
        <w:t>,</w:t>
      </w:r>
      <w:r w:rsidRPr="00621D7F">
        <w:rPr>
          <w:rFonts w:ascii="Arial" w:hAnsi="Arial" w:cs="Arial"/>
          <w:sz w:val="22"/>
          <w:szCs w:val="22"/>
        </w:rPr>
        <w:t xml:space="preserve"> when pavement scope is for tie-ins only,</w:t>
      </w:r>
      <w:r w:rsidR="0045641D">
        <w:rPr>
          <w:rFonts w:ascii="Arial" w:hAnsi="Arial" w:cs="Arial"/>
          <w:sz w:val="22"/>
          <w:szCs w:val="22"/>
        </w:rPr>
        <w:t xml:space="preserve"> </w:t>
      </w:r>
      <w:r w:rsidRPr="00621D7F">
        <w:rPr>
          <w:rFonts w:ascii="Arial" w:hAnsi="Arial" w:cs="Arial"/>
          <w:sz w:val="22"/>
          <w:szCs w:val="22"/>
        </w:rPr>
        <w:t>raising grade for floodplain, profile or site distance issues, etc.) consideration may be given to reduce/eliminate some testing (Core Testing, FWD Testing, Visual Pavement Condition Assessment</w:t>
      </w:r>
      <w:r w:rsidR="009F0DA9">
        <w:rPr>
          <w:rFonts w:ascii="Arial" w:hAnsi="Arial" w:cs="Arial"/>
          <w:sz w:val="22"/>
          <w:szCs w:val="22"/>
        </w:rPr>
        <w:t>,</w:t>
      </w:r>
      <w:r w:rsidRPr="00621D7F">
        <w:rPr>
          <w:rFonts w:ascii="Arial" w:hAnsi="Arial" w:cs="Arial"/>
          <w:sz w:val="22"/>
          <w:szCs w:val="22"/>
        </w:rPr>
        <w:t xml:space="preserve"> and Traffic Survey).  </w:t>
      </w:r>
    </w:p>
    <w:p w14:paraId="07871459" w14:textId="7C7F33DF" w:rsidR="00896EC4" w:rsidRPr="00621D7F" w:rsidRDefault="00896EC4" w:rsidP="00896EC4">
      <w:pPr>
        <w:pStyle w:val="ListParagraph"/>
        <w:ind w:left="360"/>
        <w:jc w:val="both"/>
        <w:rPr>
          <w:rFonts w:ascii="Arial" w:hAnsi="Arial" w:cs="Arial"/>
          <w:sz w:val="22"/>
          <w:szCs w:val="22"/>
        </w:rPr>
      </w:pPr>
    </w:p>
    <w:p w14:paraId="6424487C" w14:textId="77777777" w:rsidR="001A15B9" w:rsidRDefault="00865C9F" w:rsidP="00172E64">
      <w:pPr>
        <w:pStyle w:val="ListParagraph"/>
        <w:numPr>
          <w:ilvl w:val="0"/>
          <w:numId w:val="93"/>
        </w:numPr>
        <w:tabs>
          <w:tab w:val="clear" w:pos="1152"/>
          <w:tab w:val="num" w:pos="1080"/>
        </w:tabs>
        <w:ind w:left="1080" w:hanging="1080"/>
        <w:jc w:val="both"/>
        <w:rPr>
          <w:rFonts w:ascii="Arial" w:hAnsi="Arial" w:cs="Arial"/>
          <w:sz w:val="22"/>
          <w:szCs w:val="22"/>
        </w:rPr>
      </w:pPr>
      <w:r w:rsidRPr="00621D7F">
        <w:rPr>
          <w:rFonts w:ascii="Arial" w:hAnsi="Arial" w:cs="Arial"/>
          <w:sz w:val="22"/>
          <w:szCs w:val="22"/>
        </w:rPr>
        <w:t xml:space="preserve">If the scope of the project is a </w:t>
      </w:r>
      <w:r w:rsidR="00477E15">
        <w:rPr>
          <w:rFonts w:ascii="Arial" w:hAnsi="Arial" w:cs="Arial"/>
          <w:sz w:val="22"/>
          <w:szCs w:val="22"/>
        </w:rPr>
        <w:t>preventive maintenance</w:t>
      </w:r>
      <w:r w:rsidRPr="00621D7F">
        <w:rPr>
          <w:rFonts w:ascii="Arial" w:hAnsi="Arial" w:cs="Arial"/>
          <w:sz w:val="22"/>
          <w:szCs w:val="22"/>
        </w:rPr>
        <w:t xml:space="preserve"> treatment (asphalt or aggregate seal as defined in</w:t>
      </w:r>
      <w:r w:rsidR="00477E15">
        <w:rPr>
          <w:rFonts w:ascii="Arial" w:hAnsi="Arial" w:cs="Arial"/>
          <w:sz w:val="22"/>
          <w:szCs w:val="22"/>
        </w:rPr>
        <w:t xml:space="preserve"> </w:t>
      </w:r>
      <w:hyperlink w:anchor="_Initial_Treatment_Identification" w:history="1">
        <w:r w:rsidR="00477E15" w:rsidRPr="00477E15">
          <w:rPr>
            <w:rStyle w:val="Hyperlink"/>
            <w:rFonts w:ascii="Arial" w:hAnsi="Arial" w:cs="Arial"/>
            <w:sz w:val="22"/>
            <w:szCs w:val="22"/>
          </w:rPr>
          <w:t>Initial Treatment Identification – Pavement Preservation Guide</w:t>
        </w:r>
      </w:hyperlink>
      <w:r w:rsidRPr="00621D7F">
        <w:rPr>
          <w:rFonts w:ascii="Arial" w:hAnsi="Arial" w:cs="Arial"/>
          <w:sz w:val="22"/>
          <w:szCs w:val="22"/>
        </w:rPr>
        <w:t xml:space="preserve">) consideration may be given to reduce/eliminate some </w:t>
      </w:r>
      <w:r w:rsidRPr="00621D7F">
        <w:rPr>
          <w:rFonts w:ascii="Arial" w:hAnsi="Arial" w:cs="Arial"/>
          <w:sz w:val="22"/>
          <w:szCs w:val="22"/>
        </w:rPr>
        <w:lastRenderedPageBreak/>
        <w:t>testing (Core Testing, FWD Testing, Visual Pavement Condition Assessment, and Traffic Survey).</w:t>
      </w:r>
    </w:p>
    <w:p w14:paraId="46B1192A" w14:textId="77777777" w:rsidR="00896EC4" w:rsidRPr="00621D7F" w:rsidRDefault="00896EC4" w:rsidP="00D839EF">
      <w:pPr>
        <w:pStyle w:val="ListParagraph"/>
        <w:ind w:left="360"/>
        <w:jc w:val="both"/>
        <w:rPr>
          <w:rFonts w:ascii="Arial" w:hAnsi="Arial" w:cs="Arial"/>
          <w:sz w:val="22"/>
          <w:szCs w:val="22"/>
        </w:rPr>
      </w:pPr>
    </w:p>
    <w:p w14:paraId="131F3A40" w14:textId="5584128C" w:rsidR="001A15B9" w:rsidRDefault="00865C9F" w:rsidP="00172E64">
      <w:pPr>
        <w:pStyle w:val="ListParagraph"/>
        <w:numPr>
          <w:ilvl w:val="0"/>
          <w:numId w:val="93"/>
        </w:numPr>
        <w:tabs>
          <w:tab w:val="clear" w:pos="1152"/>
          <w:tab w:val="num" w:pos="1080"/>
        </w:tabs>
        <w:ind w:left="1080" w:hanging="1080"/>
        <w:jc w:val="both"/>
        <w:rPr>
          <w:rFonts w:ascii="Arial" w:hAnsi="Arial" w:cs="Arial"/>
          <w:sz w:val="22"/>
          <w:szCs w:val="22"/>
        </w:rPr>
      </w:pPr>
      <w:r w:rsidRPr="00865C9F">
        <w:rPr>
          <w:rFonts w:ascii="Arial" w:hAnsi="Arial" w:cs="Arial"/>
          <w:sz w:val="22"/>
          <w:szCs w:val="22"/>
        </w:rPr>
        <w:t xml:space="preserve">A </w:t>
      </w:r>
      <w:r w:rsidRPr="00621D7F">
        <w:rPr>
          <w:rFonts w:ascii="Arial" w:hAnsi="Arial" w:cs="Arial"/>
          <w:sz w:val="22"/>
          <w:szCs w:val="22"/>
        </w:rPr>
        <w:t>Site Visit</w:t>
      </w:r>
      <w:r w:rsidRPr="00865C9F">
        <w:rPr>
          <w:rFonts w:ascii="Arial" w:hAnsi="Arial" w:cs="Arial"/>
          <w:sz w:val="22"/>
          <w:szCs w:val="22"/>
        </w:rPr>
        <w:t xml:space="preserve"> should be performed for all projects at a minimum</w:t>
      </w:r>
      <w:r w:rsidR="009F0DA9">
        <w:rPr>
          <w:rFonts w:ascii="Arial" w:hAnsi="Arial" w:cs="Arial"/>
          <w:sz w:val="22"/>
          <w:szCs w:val="22"/>
        </w:rPr>
        <w:t>,</w:t>
      </w:r>
      <w:r w:rsidRPr="00865C9F">
        <w:rPr>
          <w:rFonts w:ascii="Arial" w:hAnsi="Arial" w:cs="Arial"/>
          <w:sz w:val="22"/>
          <w:szCs w:val="22"/>
        </w:rPr>
        <w:t xml:space="preserve"> regardless of project purpose or scope if we are providing any recommendations/comments.  </w:t>
      </w:r>
      <w:r w:rsidR="006C001D">
        <w:rPr>
          <w:rFonts w:ascii="Arial" w:hAnsi="Arial" w:cs="Arial"/>
          <w:sz w:val="22"/>
          <w:szCs w:val="22"/>
        </w:rPr>
        <w:t>F</w:t>
      </w:r>
      <w:r w:rsidRPr="00865C9F">
        <w:rPr>
          <w:rFonts w:ascii="Arial" w:hAnsi="Arial" w:cs="Arial"/>
          <w:sz w:val="22"/>
          <w:szCs w:val="22"/>
        </w:rPr>
        <w:t>orm PD-0</w:t>
      </w:r>
      <w:r w:rsidR="006C001D">
        <w:rPr>
          <w:rFonts w:ascii="Arial" w:hAnsi="Arial" w:cs="Arial"/>
          <w:sz w:val="22"/>
          <w:szCs w:val="22"/>
        </w:rPr>
        <w:t>1</w:t>
      </w:r>
      <w:r w:rsidRPr="00865C9F">
        <w:rPr>
          <w:rFonts w:ascii="Arial" w:hAnsi="Arial" w:cs="Arial"/>
          <w:sz w:val="22"/>
          <w:szCs w:val="22"/>
        </w:rPr>
        <w:t xml:space="preserve"> should be completed during the visit to document the site conditions. </w:t>
      </w:r>
    </w:p>
    <w:p w14:paraId="300A627F" w14:textId="77777777" w:rsidR="00896EC4" w:rsidRPr="00865C9F" w:rsidRDefault="00896EC4" w:rsidP="00896EC4">
      <w:pPr>
        <w:pStyle w:val="ListParagraph"/>
        <w:ind w:left="360"/>
        <w:jc w:val="both"/>
        <w:rPr>
          <w:rFonts w:ascii="Arial" w:hAnsi="Arial" w:cs="Arial"/>
          <w:sz w:val="22"/>
          <w:szCs w:val="22"/>
        </w:rPr>
      </w:pPr>
    </w:p>
    <w:p w14:paraId="19717349" w14:textId="05EA7FC1" w:rsidR="001A15B9" w:rsidRDefault="00865C9F" w:rsidP="00172E64">
      <w:pPr>
        <w:pStyle w:val="ListParagraph"/>
        <w:numPr>
          <w:ilvl w:val="0"/>
          <w:numId w:val="93"/>
        </w:numPr>
        <w:tabs>
          <w:tab w:val="clear" w:pos="1152"/>
          <w:tab w:val="num" w:pos="1080"/>
        </w:tabs>
        <w:ind w:left="1080" w:hanging="1080"/>
        <w:jc w:val="both"/>
        <w:rPr>
          <w:rFonts w:ascii="Arial" w:hAnsi="Arial" w:cs="Arial"/>
          <w:sz w:val="22"/>
          <w:szCs w:val="22"/>
        </w:rPr>
      </w:pPr>
      <w:r w:rsidRPr="00621D7F">
        <w:rPr>
          <w:rFonts w:ascii="Arial" w:hAnsi="Arial" w:cs="Arial"/>
          <w:b/>
          <w:sz w:val="22"/>
          <w:szCs w:val="22"/>
          <w:u w:val="single"/>
        </w:rPr>
        <w:t>Core Testing</w:t>
      </w:r>
      <w:r w:rsidRPr="00621D7F">
        <w:rPr>
          <w:rFonts w:ascii="Arial" w:hAnsi="Arial" w:cs="Arial"/>
          <w:sz w:val="22"/>
          <w:szCs w:val="22"/>
        </w:rPr>
        <w:t xml:space="preserve"> may be considered for elimination or reduction if </w:t>
      </w:r>
      <w:r w:rsidR="00020391">
        <w:rPr>
          <w:rFonts w:ascii="Arial" w:hAnsi="Arial" w:cs="Arial"/>
          <w:sz w:val="22"/>
          <w:szCs w:val="22"/>
        </w:rPr>
        <w:t>one</w:t>
      </w:r>
      <w:r w:rsidRPr="00621D7F">
        <w:rPr>
          <w:rFonts w:ascii="Arial" w:hAnsi="Arial" w:cs="Arial"/>
          <w:sz w:val="22"/>
          <w:szCs w:val="22"/>
        </w:rPr>
        <w:t xml:space="preserve"> of the following conditions are met:</w:t>
      </w:r>
    </w:p>
    <w:p w14:paraId="3060867F" w14:textId="77777777" w:rsidR="00621D7F" w:rsidRPr="00621D7F" w:rsidRDefault="00621D7F" w:rsidP="00621D7F">
      <w:pPr>
        <w:pStyle w:val="ListParagraph"/>
        <w:ind w:left="360"/>
        <w:jc w:val="both"/>
        <w:rPr>
          <w:rFonts w:ascii="Arial" w:hAnsi="Arial" w:cs="Arial"/>
          <w:sz w:val="22"/>
          <w:szCs w:val="22"/>
        </w:rPr>
      </w:pPr>
    </w:p>
    <w:p w14:paraId="02147ADA" w14:textId="77777777" w:rsidR="001A15B9" w:rsidRDefault="00865C9F" w:rsidP="00172E64">
      <w:pPr>
        <w:pStyle w:val="ListParagraph"/>
        <w:numPr>
          <w:ilvl w:val="1"/>
          <w:numId w:val="85"/>
        </w:numPr>
        <w:ind w:left="1440"/>
        <w:jc w:val="both"/>
        <w:rPr>
          <w:rFonts w:ascii="Arial" w:hAnsi="Arial" w:cs="Arial"/>
          <w:sz w:val="22"/>
          <w:szCs w:val="22"/>
        </w:rPr>
      </w:pPr>
      <w:r w:rsidRPr="00621D7F">
        <w:rPr>
          <w:rFonts w:ascii="Arial" w:hAnsi="Arial" w:cs="Arial"/>
          <w:sz w:val="22"/>
          <w:szCs w:val="22"/>
        </w:rPr>
        <w:t xml:space="preserve">If existing coring (or roadway boring) information is available within the current project limits; or if existing coring (or roadway boring) information is available directly adjacent to the current project limits when construction history or as-built plans indicate pavement structure is consistent for both the adjacent and current project </w:t>
      </w:r>
    </w:p>
    <w:p w14:paraId="3E8FC59C" w14:textId="77777777" w:rsidR="009F0DA9" w:rsidRDefault="009F0DA9" w:rsidP="00621D7F">
      <w:pPr>
        <w:pStyle w:val="ListParagraph"/>
        <w:ind w:left="360"/>
        <w:jc w:val="center"/>
        <w:rPr>
          <w:rFonts w:ascii="Arial" w:hAnsi="Arial" w:cs="Arial"/>
          <w:sz w:val="22"/>
          <w:szCs w:val="22"/>
        </w:rPr>
      </w:pPr>
    </w:p>
    <w:p w14:paraId="66B99FF6" w14:textId="77777777" w:rsidR="00865C9F" w:rsidRDefault="00865C9F" w:rsidP="00621D7F">
      <w:pPr>
        <w:pStyle w:val="ListParagraph"/>
        <w:ind w:left="360"/>
        <w:jc w:val="center"/>
        <w:rPr>
          <w:rFonts w:ascii="Arial" w:hAnsi="Arial" w:cs="Arial"/>
          <w:sz w:val="22"/>
          <w:szCs w:val="22"/>
        </w:rPr>
      </w:pPr>
      <w:r w:rsidRPr="00621D7F">
        <w:rPr>
          <w:rFonts w:ascii="Arial" w:hAnsi="Arial" w:cs="Arial"/>
          <w:sz w:val="22"/>
          <w:szCs w:val="22"/>
        </w:rPr>
        <w:t>AND</w:t>
      </w:r>
    </w:p>
    <w:p w14:paraId="7A3A84FF" w14:textId="77777777" w:rsidR="00621D7F" w:rsidRPr="00621D7F" w:rsidRDefault="00621D7F" w:rsidP="00621D7F">
      <w:pPr>
        <w:pStyle w:val="ListParagraph"/>
        <w:ind w:left="360"/>
        <w:jc w:val="center"/>
        <w:rPr>
          <w:rFonts w:ascii="Arial" w:hAnsi="Arial" w:cs="Arial"/>
          <w:sz w:val="22"/>
          <w:szCs w:val="22"/>
        </w:rPr>
      </w:pPr>
    </w:p>
    <w:p w14:paraId="320D194F" w14:textId="07AC5DAF" w:rsidR="00865C9F" w:rsidRDefault="00865C9F" w:rsidP="00D839EF">
      <w:pPr>
        <w:pStyle w:val="ListParagraph"/>
        <w:ind w:left="1440"/>
        <w:jc w:val="both"/>
        <w:rPr>
          <w:rFonts w:ascii="Arial" w:hAnsi="Arial" w:cs="Arial"/>
          <w:sz w:val="22"/>
          <w:szCs w:val="22"/>
        </w:rPr>
      </w:pPr>
      <w:r w:rsidRPr="00621D7F">
        <w:rPr>
          <w:rFonts w:ascii="Arial" w:hAnsi="Arial" w:cs="Arial"/>
          <w:sz w:val="22"/>
          <w:szCs w:val="22"/>
        </w:rPr>
        <w:t xml:space="preserve">If </w:t>
      </w:r>
      <w:r w:rsidRPr="00621D7F">
        <w:rPr>
          <w:rStyle w:val="Strong"/>
          <w:rFonts w:ascii="Arial" w:hAnsi="Arial" w:cs="Arial"/>
          <w:sz w:val="22"/>
          <w:szCs w:val="22"/>
          <w:u w:val="single"/>
        </w:rPr>
        <w:t>no rehabilitation was done</w:t>
      </w:r>
      <w:r w:rsidRPr="00621D7F">
        <w:rPr>
          <w:rFonts w:ascii="Arial" w:hAnsi="Arial" w:cs="Arial"/>
          <w:sz w:val="22"/>
          <w:szCs w:val="22"/>
        </w:rPr>
        <w:t xml:space="preserve"> </w:t>
      </w:r>
      <w:r w:rsidR="00020391">
        <w:rPr>
          <w:rFonts w:ascii="Arial" w:hAnsi="Arial" w:cs="Arial"/>
          <w:sz w:val="22"/>
          <w:szCs w:val="22"/>
        </w:rPr>
        <w:t xml:space="preserve">and there is no evidence of delamination </w:t>
      </w:r>
      <w:r w:rsidRPr="00621D7F">
        <w:rPr>
          <w:rFonts w:ascii="Arial" w:hAnsi="Arial" w:cs="Arial"/>
          <w:sz w:val="22"/>
          <w:szCs w:val="22"/>
        </w:rPr>
        <w:t xml:space="preserve">AFTER the cores were taken.  If </w:t>
      </w:r>
      <w:r w:rsidRPr="00621D7F">
        <w:rPr>
          <w:rStyle w:val="Strong"/>
          <w:rFonts w:ascii="Arial" w:hAnsi="Arial" w:cs="Arial"/>
          <w:sz w:val="22"/>
          <w:szCs w:val="22"/>
        </w:rPr>
        <w:t xml:space="preserve">rehabilitation was performed </w:t>
      </w:r>
      <w:r w:rsidRPr="00621D7F">
        <w:rPr>
          <w:rFonts w:ascii="Arial" w:hAnsi="Arial" w:cs="Arial"/>
          <w:sz w:val="22"/>
          <w:szCs w:val="22"/>
        </w:rPr>
        <w:t>after the cores were taken, then coring will be required as the pavement cross-section has changed and it will be necessary to discover potential separation between the last rehab layer and the layers underneath.</w:t>
      </w:r>
    </w:p>
    <w:p w14:paraId="3B90AA1D" w14:textId="77777777" w:rsidR="00621D7F" w:rsidRPr="00621D7F" w:rsidRDefault="00621D7F" w:rsidP="00621D7F">
      <w:pPr>
        <w:pStyle w:val="ListParagraph"/>
        <w:tabs>
          <w:tab w:val="left" w:pos="990"/>
          <w:tab w:val="left" w:pos="1080"/>
        </w:tabs>
        <w:ind w:left="990"/>
        <w:jc w:val="both"/>
        <w:rPr>
          <w:rFonts w:ascii="Arial" w:hAnsi="Arial" w:cs="Arial"/>
          <w:sz w:val="22"/>
          <w:szCs w:val="22"/>
        </w:rPr>
      </w:pPr>
    </w:p>
    <w:p w14:paraId="37DB0024" w14:textId="622F1ED3" w:rsidR="001A15B9" w:rsidRDefault="00865C9F" w:rsidP="00172E64">
      <w:pPr>
        <w:pStyle w:val="ListParagraph"/>
        <w:numPr>
          <w:ilvl w:val="1"/>
          <w:numId w:val="85"/>
        </w:numPr>
        <w:ind w:left="1440"/>
        <w:jc w:val="both"/>
        <w:rPr>
          <w:rFonts w:ascii="Arial" w:hAnsi="Arial" w:cs="Arial"/>
          <w:sz w:val="22"/>
          <w:szCs w:val="22"/>
        </w:rPr>
      </w:pPr>
      <w:r w:rsidRPr="00621D7F">
        <w:rPr>
          <w:rFonts w:ascii="Arial" w:hAnsi="Arial" w:cs="Arial"/>
          <w:sz w:val="22"/>
          <w:szCs w:val="22"/>
        </w:rPr>
        <w:t xml:space="preserve">If estimated </w:t>
      </w:r>
      <w:r w:rsidR="00A91AD7">
        <w:rPr>
          <w:rFonts w:ascii="Arial" w:hAnsi="Arial" w:cs="Arial"/>
          <w:sz w:val="22"/>
          <w:szCs w:val="22"/>
        </w:rPr>
        <w:t xml:space="preserve">pavement condition </w:t>
      </w:r>
      <w:r w:rsidRPr="00621D7F">
        <w:rPr>
          <w:rFonts w:ascii="Arial" w:hAnsi="Arial" w:cs="Arial"/>
          <w:sz w:val="22"/>
          <w:szCs w:val="22"/>
        </w:rPr>
        <w:t>(from</w:t>
      </w:r>
      <w:r w:rsidR="0046520D">
        <w:rPr>
          <w:rFonts w:ascii="Arial" w:hAnsi="Arial" w:cs="Arial"/>
          <w:sz w:val="22"/>
          <w:szCs w:val="22"/>
        </w:rPr>
        <w:t xml:space="preserve"> </w:t>
      </w:r>
      <w:hyperlink r:id="rId78" w:history="1">
        <w:r w:rsidR="0046520D" w:rsidRPr="0046520D">
          <w:rPr>
            <w:rStyle w:val="Hyperlink"/>
            <w:rFonts w:ascii="Arial" w:hAnsi="Arial" w:cs="Arial"/>
            <w:sz w:val="22"/>
            <w:szCs w:val="22"/>
          </w:rPr>
          <w:t>PD-01 Condition Summary</w:t>
        </w:r>
      </w:hyperlink>
      <w:r w:rsidRPr="00621D7F">
        <w:rPr>
          <w:rFonts w:ascii="Arial" w:hAnsi="Arial" w:cs="Arial"/>
          <w:sz w:val="22"/>
          <w:szCs w:val="22"/>
        </w:rPr>
        <w:t xml:space="preserve">) is </w:t>
      </w:r>
      <w:r w:rsidR="00A91AD7">
        <w:rPr>
          <w:rFonts w:ascii="Arial" w:hAnsi="Arial" w:cs="Arial"/>
          <w:sz w:val="22"/>
          <w:szCs w:val="22"/>
        </w:rPr>
        <w:t>good or better</w:t>
      </w:r>
      <w:r w:rsidRPr="00621D7F">
        <w:rPr>
          <w:rFonts w:ascii="Arial" w:hAnsi="Arial" w:cs="Arial"/>
          <w:sz w:val="22"/>
          <w:szCs w:val="22"/>
        </w:rPr>
        <w:t>.</w:t>
      </w:r>
    </w:p>
    <w:p w14:paraId="67A1243E" w14:textId="77777777" w:rsidR="00621D7F" w:rsidRPr="00621D7F" w:rsidRDefault="00621D7F" w:rsidP="00621D7F">
      <w:pPr>
        <w:pStyle w:val="ListParagraph"/>
        <w:tabs>
          <w:tab w:val="left" w:pos="990"/>
          <w:tab w:val="left" w:pos="1080"/>
        </w:tabs>
        <w:ind w:left="1080"/>
        <w:jc w:val="both"/>
        <w:rPr>
          <w:rFonts w:ascii="Arial" w:hAnsi="Arial" w:cs="Arial"/>
          <w:sz w:val="22"/>
          <w:szCs w:val="22"/>
        </w:rPr>
      </w:pPr>
    </w:p>
    <w:p w14:paraId="2BF83D16" w14:textId="44BE63BD" w:rsidR="001A15B9" w:rsidRDefault="00865C9F" w:rsidP="00172E64">
      <w:pPr>
        <w:pStyle w:val="ListParagraph"/>
        <w:numPr>
          <w:ilvl w:val="1"/>
          <w:numId w:val="85"/>
        </w:numPr>
        <w:tabs>
          <w:tab w:val="left" w:pos="1440"/>
        </w:tabs>
        <w:ind w:left="1440"/>
        <w:jc w:val="both"/>
        <w:rPr>
          <w:rFonts w:ascii="Arial" w:hAnsi="Arial" w:cs="Arial"/>
          <w:sz w:val="22"/>
          <w:szCs w:val="22"/>
        </w:rPr>
      </w:pPr>
      <w:r w:rsidRPr="00621D7F">
        <w:rPr>
          <w:rFonts w:ascii="Arial" w:hAnsi="Arial" w:cs="Arial"/>
          <w:sz w:val="22"/>
          <w:szCs w:val="22"/>
        </w:rPr>
        <w:t>If GPR and RADAN Analysis</w:t>
      </w:r>
      <w:r w:rsidR="008D3381">
        <w:rPr>
          <w:rFonts w:ascii="Arial" w:hAnsi="Arial" w:cs="Arial"/>
          <w:sz w:val="22"/>
          <w:szCs w:val="22"/>
        </w:rPr>
        <w:t xml:space="preserve"> for pavement </w:t>
      </w:r>
      <w:r w:rsidR="00305342">
        <w:rPr>
          <w:rFonts w:ascii="Arial" w:hAnsi="Arial" w:cs="Arial"/>
          <w:sz w:val="22"/>
          <w:szCs w:val="22"/>
        </w:rPr>
        <w:t>thickness</w:t>
      </w:r>
      <w:r w:rsidRPr="00621D7F">
        <w:rPr>
          <w:rFonts w:ascii="Arial" w:hAnsi="Arial" w:cs="Arial"/>
          <w:sz w:val="22"/>
          <w:szCs w:val="22"/>
        </w:rPr>
        <w:t xml:space="preserve"> is performed.</w:t>
      </w:r>
    </w:p>
    <w:p w14:paraId="7852B826" w14:textId="77777777" w:rsidR="00020391" w:rsidRPr="00020391" w:rsidRDefault="00020391" w:rsidP="00020391">
      <w:pPr>
        <w:pStyle w:val="ListParagraph"/>
        <w:rPr>
          <w:rFonts w:ascii="Arial" w:hAnsi="Arial" w:cs="Arial"/>
          <w:sz w:val="22"/>
          <w:szCs w:val="22"/>
        </w:rPr>
      </w:pPr>
    </w:p>
    <w:p w14:paraId="57051064" w14:textId="59C7EF33" w:rsidR="00020391" w:rsidRDefault="00020391" w:rsidP="00172E64">
      <w:pPr>
        <w:pStyle w:val="ListParagraph"/>
        <w:numPr>
          <w:ilvl w:val="1"/>
          <w:numId w:val="85"/>
        </w:numPr>
        <w:tabs>
          <w:tab w:val="left" w:pos="1440"/>
        </w:tabs>
        <w:ind w:left="1440"/>
        <w:jc w:val="both"/>
        <w:rPr>
          <w:rFonts w:ascii="Arial" w:hAnsi="Arial" w:cs="Arial"/>
          <w:sz w:val="22"/>
          <w:szCs w:val="22"/>
        </w:rPr>
      </w:pPr>
      <w:r>
        <w:rPr>
          <w:rFonts w:ascii="Arial" w:hAnsi="Arial" w:cs="Arial"/>
          <w:sz w:val="22"/>
          <w:szCs w:val="22"/>
        </w:rPr>
        <w:t>If the considered treatments are Preventive Maintenance.</w:t>
      </w:r>
    </w:p>
    <w:p w14:paraId="6D4C314F" w14:textId="77777777" w:rsidR="00621D7F" w:rsidRPr="00621D7F" w:rsidRDefault="00621D7F" w:rsidP="00621D7F">
      <w:pPr>
        <w:pStyle w:val="ListParagraph"/>
        <w:tabs>
          <w:tab w:val="left" w:pos="990"/>
          <w:tab w:val="left" w:pos="1080"/>
        </w:tabs>
        <w:ind w:left="1080"/>
        <w:jc w:val="both"/>
        <w:rPr>
          <w:rFonts w:ascii="Arial" w:hAnsi="Arial" w:cs="Arial"/>
          <w:sz w:val="22"/>
          <w:szCs w:val="22"/>
        </w:rPr>
      </w:pPr>
    </w:p>
    <w:p w14:paraId="1F0C8602" w14:textId="3513E707" w:rsidR="00A6709A" w:rsidRDefault="00A6709A" w:rsidP="00172E64">
      <w:pPr>
        <w:pStyle w:val="ListParagraph"/>
        <w:numPr>
          <w:ilvl w:val="0"/>
          <w:numId w:val="93"/>
        </w:numPr>
        <w:tabs>
          <w:tab w:val="clear" w:pos="1152"/>
          <w:tab w:val="num" w:pos="1080"/>
        </w:tabs>
        <w:ind w:left="1080" w:hanging="1080"/>
        <w:jc w:val="both"/>
        <w:rPr>
          <w:rFonts w:ascii="Arial" w:hAnsi="Arial" w:cs="Arial"/>
          <w:sz w:val="22"/>
          <w:szCs w:val="22"/>
        </w:rPr>
      </w:pPr>
      <w:r>
        <w:rPr>
          <w:rFonts w:ascii="Arial" w:hAnsi="Arial" w:cs="Arial"/>
          <w:sz w:val="22"/>
          <w:szCs w:val="22"/>
        </w:rPr>
        <w:t xml:space="preserve">GPR testing </w:t>
      </w:r>
      <w:r w:rsidR="008D3381">
        <w:rPr>
          <w:rFonts w:ascii="Arial" w:hAnsi="Arial" w:cs="Arial"/>
          <w:sz w:val="22"/>
          <w:szCs w:val="22"/>
        </w:rPr>
        <w:t xml:space="preserve">for pavement </w:t>
      </w:r>
      <w:r w:rsidR="00367CE8">
        <w:rPr>
          <w:rFonts w:ascii="Arial" w:hAnsi="Arial" w:cs="Arial"/>
          <w:sz w:val="22"/>
          <w:szCs w:val="22"/>
        </w:rPr>
        <w:t>thickness</w:t>
      </w:r>
      <w:r w:rsidR="008D3381" w:rsidRPr="00621D7F">
        <w:rPr>
          <w:rFonts w:ascii="Arial" w:hAnsi="Arial" w:cs="Arial"/>
          <w:sz w:val="22"/>
          <w:szCs w:val="22"/>
        </w:rPr>
        <w:t xml:space="preserve"> </w:t>
      </w:r>
      <w:r>
        <w:rPr>
          <w:rFonts w:ascii="Arial" w:hAnsi="Arial" w:cs="Arial"/>
          <w:sz w:val="22"/>
          <w:szCs w:val="22"/>
        </w:rPr>
        <w:t xml:space="preserve">is required for concrete overlay projects where </w:t>
      </w:r>
      <w:r w:rsidR="00661663">
        <w:rPr>
          <w:rFonts w:ascii="Arial" w:hAnsi="Arial" w:cs="Arial"/>
          <w:sz w:val="22"/>
          <w:szCs w:val="22"/>
        </w:rPr>
        <w:t>mill</w:t>
      </w:r>
      <w:r>
        <w:rPr>
          <w:rFonts w:ascii="Arial" w:hAnsi="Arial" w:cs="Arial"/>
          <w:sz w:val="22"/>
          <w:szCs w:val="22"/>
        </w:rPr>
        <w:t xml:space="preserve"> will be performed</w:t>
      </w:r>
      <w:r w:rsidR="00CB3707">
        <w:rPr>
          <w:rFonts w:ascii="Arial" w:hAnsi="Arial" w:cs="Arial"/>
          <w:sz w:val="22"/>
          <w:szCs w:val="22"/>
        </w:rPr>
        <w:t>.</w:t>
      </w:r>
    </w:p>
    <w:p w14:paraId="3E7DBA31" w14:textId="77777777" w:rsidR="00A6709A" w:rsidRPr="00A6709A" w:rsidRDefault="00A6709A" w:rsidP="00A6709A">
      <w:pPr>
        <w:pStyle w:val="ListParagraph"/>
        <w:ind w:left="1152"/>
        <w:jc w:val="both"/>
        <w:rPr>
          <w:rFonts w:ascii="Arial" w:hAnsi="Arial" w:cs="Arial"/>
          <w:sz w:val="22"/>
          <w:szCs w:val="22"/>
        </w:rPr>
      </w:pPr>
    </w:p>
    <w:p w14:paraId="785CBDDE" w14:textId="77777777" w:rsidR="001A15B9" w:rsidRDefault="00865C9F" w:rsidP="00172E64">
      <w:pPr>
        <w:pStyle w:val="ListParagraph"/>
        <w:numPr>
          <w:ilvl w:val="0"/>
          <w:numId w:val="93"/>
        </w:numPr>
        <w:tabs>
          <w:tab w:val="clear" w:pos="1152"/>
          <w:tab w:val="num" w:pos="1080"/>
        </w:tabs>
        <w:ind w:left="1080" w:hanging="1080"/>
        <w:jc w:val="both"/>
        <w:rPr>
          <w:rFonts w:ascii="Arial" w:hAnsi="Arial" w:cs="Arial"/>
          <w:sz w:val="22"/>
          <w:szCs w:val="22"/>
        </w:rPr>
      </w:pPr>
      <w:r w:rsidRPr="00621D7F">
        <w:rPr>
          <w:rFonts w:ascii="Arial" w:hAnsi="Arial" w:cs="Arial"/>
          <w:b/>
          <w:sz w:val="22"/>
          <w:szCs w:val="22"/>
          <w:u w:val="single"/>
        </w:rPr>
        <w:t>FWD Testing</w:t>
      </w:r>
      <w:r w:rsidRPr="00621D7F">
        <w:rPr>
          <w:rFonts w:ascii="Arial" w:hAnsi="Arial" w:cs="Arial"/>
          <w:sz w:val="22"/>
          <w:szCs w:val="22"/>
        </w:rPr>
        <w:t xml:space="preserve"> may be considered for elimination or reduction if one or all of the following conditions are met:</w:t>
      </w:r>
    </w:p>
    <w:p w14:paraId="18ECE636" w14:textId="77777777" w:rsidR="00A91AD7" w:rsidRPr="00621D7F" w:rsidRDefault="00A91AD7" w:rsidP="00A91AD7">
      <w:pPr>
        <w:pStyle w:val="ListParagraph"/>
        <w:ind w:left="360"/>
        <w:jc w:val="both"/>
        <w:rPr>
          <w:rFonts w:ascii="Arial" w:hAnsi="Arial" w:cs="Arial"/>
          <w:sz w:val="22"/>
          <w:szCs w:val="22"/>
        </w:rPr>
      </w:pPr>
    </w:p>
    <w:p w14:paraId="53486322" w14:textId="215097FD" w:rsidR="001A15B9" w:rsidRDefault="00477E15" w:rsidP="00172E64">
      <w:pPr>
        <w:pStyle w:val="ListParagraph"/>
        <w:numPr>
          <w:ilvl w:val="1"/>
          <w:numId w:val="93"/>
        </w:numPr>
        <w:tabs>
          <w:tab w:val="clear" w:pos="720"/>
          <w:tab w:val="num" w:pos="1440"/>
        </w:tabs>
        <w:ind w:left="1440"/>
        <w:jc w:val="both"/>
        <w:rPr>
          <w:rFonts w:ascii="Arial" w:hAnsi="Arial" w:cs="Arial"/>
          <w:sz w:val="22"/>
          <w:szCs w:val="22"/>
        </w:rPr>
      </w:pPr>
      <w:r>
        <w:rPr>
          <w:rFonts w:ascii="Arial" w:hAnsi="Arial" w:cs="Arial"/>
          <w:sz w:val="22"/>
          <w:szCs w:val="22"/>
        </w:rPr>
        <w:t xml:space="preserve">If </w:t>
      </w:r>
      <w:r w:rsidR="004D53AD">
        <w:rPr>
          <w:rFonts w:ascii="Arial" w:hAnsi="Arial" w:cs="Arial"/>
          <w:sz w:val="22"/>
          <w:szCs w:val="22"/>
        </w:rPr>
        <w:t>structural distresses are non-existent or minor; i.e.</w:t>
      </w:r>
      <w:r w:rsidR="009F0DA9">
        <w:rPr>
          <w:rFonts w:ascii="Arial" w:hAnsi="Arial" w:cs="Arial"/>
          <w:sz w:val="22"/>
          <w:szCs w:val="22"/>
        </w:rPr>
        <w:t>,</w:t>
      </w:r>
      <w:r w:rsidR="004D53AD">
        <w:rPr>
          <w:rFonts w:ascii="Arial" w:hAnsi="Arial" w:cs="Arial"/>
          <w:sz w:val="22"/>
          <w:szCs w:val="22"/>
        </w:rPr>
        <w:t xml:space="preserve"> the fix will be for functional reasons.</w:t>
      </w:r>
    </w:p>
    <w:p w14:paraId="1B0FEE10" w14:textId="77777777" w:rsidR="00477E15" w:rsidRDefault="00477E15" w:rsidP="00D839EF">
      <w:pPr>
        <w:pStyle w:val="ListParagraph"/>
        <w:tabs>
          <w:tab w:val="num" w:pos="1440"/>
        </w:tabs>
        <w:ind w:left="1440" w:hanging="360"/>
        <w:jc w:val="both"/>
        <w:rPr>
          <w:rFonts w:ascii="Arial" w:hAnsi="Arial" w:cs="Arial"/>
          <w:sz w:val="22"/>
          <w:szCs w:val="22"/>
        </w:rPr>
      </w:pPr>
    </w:p>
    <w:p w14:paraId="4D2CA611" w14:textId="77777777" w:rsidR="001A15B9" w:rsidRDefault="00865C9F" w:rsidP="00172E64">
      <w:pPr>
        <w:pStyle w:val="ListParagraph"/>
        <w:numPr>
          <w:ilvl w:val="1"/>
          <w:numId w:val="93"/>
        </w:numPr>
        <w:tabs>
          <w:tab w:val="clear" w:pos="720"/>
          <w:tab w:val="num" w:pos="1440"/>
        </w:tabs>
        <w:ind w:left="1440"/>
        <w:jc w:val="both"/>
        <w:rPr>
          <w:rFonts w:ascii="Arial" w:hAnsi="Arial" w:cs="Arial"/>
          <w:sz w:val="22"/>
          <w:szCs w:val="22"/>
        </w:rPr>
      </w:pPr>
      <w:r w:rsidRPr="00621D7F">
        <w:rPr>
          <w:rFonts w:ascii="Arial" w:hAnsi="Arial" w:cs="Arial"/>
          <w:sz w:val="22"/>
          <w:szCs w:val="22"/>
        </w:rPr>
        <w:t>If FWD testing information is available within the current project limits; or if existing FWD testing information is available directly adjacent to the current project limits when construction history or as-built plans indicate pavement structure is consistent for both the adjacent and current project.</w:t>
      </w:r>
    </w:p>
    <w:p w14:paraId="44EBB43D" w14:textId="77777777" w:rsidR="00A91AD7" w:rsidRPr="00621D7F" w:rsidRDefault="00A91AD7" w:rsidP="00D839EF">
      <w:pPr>
        <w:pStyle w:val="ListParagraph"/>
        <w:tabs>
          <w:tab w:val="num" w:pos="1440"/>
        </w:tabs>
        <w:ind w:left="1440" w:hanging="360"/>
        <w:jc w:val="both"/>
        <w:rPr>
          <w:rFonts w:ascii="Arial" w:hAnsi="Arial" w:cs="Arial"/>
          <w:sz w:val="22"/>
          <w:szCs w:val="22"/>
        </w:rPr>
      </w:pPr>
    </w:p>
    <w:p w14:paraId="216E6EBD" w14:textId="1437BD7B" w:rsidR="00865C9F" w:rsidRDefault="009F0DA9" w:rsidP="00D839EF">
      <w:pPr>
        <w:pStyle w:val="ListParagraph"/>
        <w:tabs>
          <w:tab w:val="left" w:pos="1080"/>
          <w:tab w:val="num" w:pos="1440"/>
        </w:tabs>
        <w:ind w:left="1440" w:hanging="360"/>
        <w:jc w:val="both"/>
        <w:rPr>
          <w:rFonts w:ascii="Arial" w:hAnsi="Arial" w:cs="Arial"/>
          <w:sz w:val="22"/>
          <w:szCs w:val="22"/>
        </w:rPr>
      </w:pPr>
      <w:r>
        <w:rPr>
          <w:rFonts w:ascii="Arial" w:hAnsi="Arial" w:cs="Arial"/>
          <w:sz w:val="22"/>
          <w:szCs w:val="22"/>
        </w:rPr>
        <w:tab/>
      </w:r>
      <w:r w:rsidR="00865C9F" w:rsidRPr="00621D7F">
        <w:rPr>
          <w:rFonts w:ascii="Arial" w:hAnsi="Arial" w:cs="Arial"/>
          <w:sz w:val="22"/>
          <w:szCs w:val="22"/>
        </w:rPr>
        <w:t xml:space="preserve">If </w:t>
      </w:r>
      <w:r w:rsidR="00865C9F" w:rsidRPr="00621D7F">
        <w:rPr>
          <w:rStyle w:val="Strong"/>
          <w:rFonts w:ascii="Arial" w:hAnsi="Arial" w:cs="Arial"/>
          <w:sz w:val="22"/>
          <w:szCs w:val="22"/>
          <w:u w:val="single"/>
        </w:rPr>
        <w:t>no rehabilitation was performed</w:t>
      </w:r>
      <w:r w:rsidR="00865C9F" w:rsidRPr="00621D7F">
        <w:rPr>
          <w:rFonts w:ascii="Arial" w:hAnsi="Arial" w:cs="Arial"/>
          <w:sz w:val="22"/>
          <w:szCs w:val="22"/>
        </w:rPr>
        <w:t xml:space="preserve"> AFTER the FWD was performed, the pavement cross-section has not changed, and therefore available FWD information is still valid.</w:t>
      </w:r>
    </w:p>
    <w:p w14:paraId="249B15B0" w14:textId="77777777" w:rsidR="00A91AD7" w:rsidRPr="00621D7F" w:rsidRDefault="00A91AD7" w:rsidP="00D839EF">
      <w:pPr>
        <w:pStyle w:val="ListParagraph"/>
        <w:tabs>
          <w:tab w:val="left" w:pos="1080"/>
          <w:tab w:val="num" w:pos="1440"/>
        </w:tabs>
        <w:ind w:left="1440" w:hanging="360"/>
        <w:jc w:val="both"/>
        <w:rPr>
          <w:rFonts w:ascii="Arial" w:hAnsi="Arial" w:cs="Arial"/>
          <w:sz w:val="22"/>
          <w:szCs w:val="22"/>
        </w:rPr>
      </w:pPr>
    </w:p>
    <w:p w14:paraId="6C9BD049" w14:textId="396CCDBF" w:rsidR="00865C9F" w:rsidRDefault="009F0DA9" w:rsidP="00D839EF">
      <w:pPr>
        <w:pStyle w:val="ListParagraph"/>
        <w:tabs>
          <w:tab w:val="left" w:pos="1080"/>
          <w:tab w:val="num" w:pos="1440"/>
          <w:tab w:val="left" w:pos="1710"/>
        </w:tabs>
        <w:ind w:left="1440" w:hanging="360"/>
        <w:jc w:val="both"/>
        <w:rPr>
          <w:rFonts w:ascii="Arial" w:hAnsi="Arial" w:cs="Arial"/>
          <w:color w:val="000000" w:themeColor="text1"/>
          <w:sz w:val="22"/>
          <w:szCs w:val="22"/>
        </w:rPr>
      </w:pPr>
      <w:r>
        <w:rPr>
          <w:rFonts w:ascii="Arial" w:hAnsi="Arial" w:cs="Arial"/>
          <w:sz w:val="22"/>
          <w:szCs w:val="22"/>
        </w:rPr>
        <w:lastRenderedPageBreak/>
        <w:tab/>
      </w:r>
      <w:r w:rsidR="00865C9F" w:rsidRPr="00621D7F">
        <w:rPr>
          <w:rFonts w:ascii="Arial" w:hAnsi="Arial" w:cs="Arial"/>
          <w:sz w:val="22"/>
          <w:szCs w:val="22"/>
        </w:rPr>
        <w:t xml:space="preserve">If </w:t>
      </w:r>
      <w:r w:rsidR="00865C9F" w:rsidRPr="00621D7F">
        <w:rPr>
          <w:rStyle w:val="Strong"/>
          <w:rFonts w:ascii="Arial" w:hAnsi="Arial" w:cs="Arial"/>
          <w:sz w:val="22"/>
          <w:szCs w:val="22"/>
          <w:u w:val="single"/>
        </w:rPr>
        <w:t>rehabilitation was performed</w:t>
      </w:r>
      <w:r w:rsidR="00865C9F" w:rsidRPr="00621D7F">
        <w:rPr>
          <w:rFonts w:ascii="Arial" w:hAnsi="Arial" w:cs="Arial"/>
          <w:sz w:val="22"/>
          <w:szCs w:val="22"/>
        </w:rPr>
        <w:t xml:space="preserve"> AFTER the FWD was performed, the design engineer shall use the pavement cross-section AT THE TIME OF FWD TESTING when performing </w:t>
      </w:r>
      <w:r w:rsidR="00865C9F" w:rsidRPr="00621D7F">
        <w:rPr>
          <w:rFonts w:ascii="Arial" w:hAnsi="Arial" w:cs="Arial"/>
          <w:color w:val="000000" w:themeColor="text1"/>
          <w:sz w:val="22"/>
          <w:szCs w:val="22"/>
        </w:rPr>
        <w:t>analysis only if the existing pavement does</w:t>
      </w:r>
      <w:r w:rsidR="008962E0">
        <w:rPr>
          <w:rFonts w:ascii="Arial" w:hAnsi="Arial" w:cs="Arial"/>
          <w:color w:val="000000" w:themeColor="text1"/>
          <w:sz w:val="22"/>
          <w:szCs w:val="22"/>
        </w:rPr>
        <w:t xml:space="preserve"> </w:t>
      </w:r>
      <w:r w:rsidR="00865C9F" w:rsidRPr="00621D7F">
        <w:rPr>
          <w:rFonts w:ascii="Arial" w:hAnsi="Arial" w:cs="Arial"/>
          <w:color w:val="000000" w:themeColor="text1"/>
          <w:sz w:val="22"/>
          <w:szCs w:val="22"/>
        </w:rPr>
        <w:t>n</w:t>
      </w:r>
      <w:r w:rsidR="008962E0">
        <w:rPr>
          <w:rFonts w:ascii="Arial" w:hAnsi="Arial" w:cs="Arial"/>
          <w:color w:val="000000" w:themeColor="text1"/>
          <w:sz w:val="22"/>
          <w:szCs w:val="22"/>
        </w:rPr>
        <w:t>o</w:t>
      </w:r>
      <w:r w:rsidR="00865C9F" w:rsidRPr="00621D7F">
        <w:rPr>
          <w:rFonts w:ascii="Arial" w:hAnsi="Arial" w:cs="Arial"/>
          <w:color w:val="000000" w:themeColor="text1"/>
          <w:sz w:val="22"/>
          <w:szCs w:val="22"/>
        </w:rPr>
        <w:t>t exhibit any structural distresses caused by poor subgrade condition (depression, subgrade rutting).</w:t>
      </w:r>
    </w:p>
    <w:p w14:paraId="30926812" w14:textId="77777777" w:rsidR="008962E0" w:rsidRPr="00621D7F" w:rsidRDefault="008962E0" w:rsidP="00D839EF">
      <w:pPr>
        <w:pStyle w:val="ListParagraph"/>
        <w:tabs>
          <w:tab w:val="left" w:pos="1440"/>
          <w:tab w:val="left" w:pos="1710"/>
        </w:tabs>
        <w:ind w:left="1440"/>
        <w:jc w:val="both"/>
        <w:rPr>
          <w:rFonts w:ascii="Arial" w:hAnsi="Arial" w:cs="Arial"/>
          <w:sz w:val="22"/>
          <w:szCs w:val="22"/>
        </w:rPr>
      </w:pPr>
    </w:p>
    <w:p w14:paraId="7BAF5593" w14:textId="67AE73AC" w:rsidR="001A15B9" w:rsidRDefault="008962E0" w:rsidP="00172E64">
      <w:pPr>
        <w:pStyle w:val="ListParagraph"/>
        <w:numPr>
          <w:ilvl w:val="1"/>
          <w:numId w:val="93"/>
        </w:numPr>
        <w:tabs>
          <w:tab w:val="clear" w:pos="720"/>
          <w:tab w:val="left" w:pos="1440"/>
          <w:tab w:val="left" w:pos="1710"/>
        </w:tabs>
        <w:ind w:left="1440"/>
        <w:jc w:val="both"/>
        <w:rPr>
          <w:rFonts w:ascii="Arial" w:hAnsi="Arial" w:cs="Arial"/>
          <w:sz w:val="22"/>
          <w:szCs w:val="22"/>
        </w:rPr>
      </w:pPr>
      <w:r w:rsidRPr="00621D7F">
        <w:rPr>
          <w:rFonts w:ascii="Arial" w:hAnsi="Arial" w:cs="Arial"/>
          <w:sz w:val="22"/>
          <w:szCs w:val="22"/>
        </w:rPr>
        <w:t xml:space="preserve">If estimated </w:t>
      </w:r>
      <w:r>
        <w:rPr>
          <w:rFonts w:ascii="Arial" w:hAnsi="Arial" w:cs="Arial"/>
          <w:sz w:val="22"/>
          <w:szCs w:val="22"/>
        </w:rPr>
        <w:t xml:space="preserve">pavement condition </w:t>
      </w:r>
      <w:r w:rsidRPr="00621D7F">
        <w:rPr>
          <w:rFonts w:ascii="Arial" w:hAnsi="Arial" w:cs="Arial"/>
          <w:sz w:val="22"/>
          <w:szCs w:val="22"/>
        </w:rPr>
        <w:t xml:space="preserve">(from </w:t>
      </w:r>
      <w:hyperlink r:id="rId79" w:history="1">
        <w:r w:rsidR="001A107C" w:rsidRPr="0046520D">
          <w:rPr>
            <w:rStyle w:val="Hyperlink"/>
            <w:rFonts w:ascii="Arial" w:hAnsi="Arial" w:cs="Arial"/>
            <w:sz w:val="22"/>
            <w:szCs w:val="22"/>
          </w:rPr>
          <w:t>PD-01 Condition Summary</w:t>
        </w:r>
      </w:hyperlink>
      <w:r w:rsidRPr="00621D7F">
        <w:rPr>
          <w:rFonts w:ascii="Arial" w:hAnsi="Arial" w:cs="Arial"/>
          <w:sz w:val="22"/>
          <w:szCs w:val="22"/>
        </w:rPr>
        <w:t xml:space="preserve">) is </w:t>
      </w:r>
      <w:r>
        <w:rPr>
          <w:rFonts w:ascii="Arial" w:hAnsi="Arial" w:cs="Arial"/>
          <w:sz w:val="22"/>
          <w:szCs w:val="22"/>
        </w:rPr>
        <w:t>good or better</w:t>
      </w:r>
      <w:r w:rsidR="00865C9F" w:rsidRPr="00621D7F">
        <w:rPr>
          <w:rFonts w:ascii="Arial" w:hAnsi="Arial" w:cs="Arial"/>
          <w:sz w:val="22"/>
          <w:szCs w:val="22"/>
        </w:rPr>
        <w:t>.</w:t>
      </w:r>
    </w:p>
    <w:p w14:paraId="1072DCD8" w14:textId="77777777" w:rsidR="004D53AD" w:rsidRDefault="004D53AD" w:rsidP="00D839EF">
      <w:pPr>
        <w:pStyle w:val="ListParagraph"/>
        <w:tabs>
          <w:tab w:val="left" w:pos="1440"/>
          <w:tab w:val="left" w:pos="1710"/>
        </w:tabs>
        <w:ind w:left="1440" w:hanging="360"/>
        <w:jc w:val="both"/>
        <w:rPr>
          <w:rFonts w:ascii="Arial" w:hAnsi="Arial" w:cs="Arial"/>
          <w:sz w:val="22"/>
          <w:szCs w:val="22"/>
        </w:rPr>
      </w:pPr>
    </w:p>
    <w:p w14:paraId="218F0870" w14:textId="2A9869DF" w:rsidR="004D53AD" w:rsidRDefault="004D53AD" w:rsidP="00172E64">
      <w:pPr>
        <w:pStyle w:val="ListParagraph"/>
        <w:numPr>
          <w:ilvl w:val="1"/>
          <w:numId w:val="93"/>
        </w:numPr>
        <w:tabs>
          <w:tab w:val="clear" w:pos="720"/>
          <w:tab w:val="left" w:pos="1440"/>
          <w:tab w:val="left" w:pos="1710"/>
        </w:tabs>
        <w:ind w:left="1440"/>
        <w:jc w:val="both"/>
        <w:rPr>
          <w:rFonts w:ascii="Arial" w:hAnsi="Arial" w:cs="Arial"/>
          <w:sz w:val="22"/>
          <w:szCs w:val="22"/>
        </w:rPr>
      </w:pPr>
      <w:r>
        <w:rPr>
          <w:rFonts w:ascii="Arial" w:hAnsi="Arial" w:cs="Arial"/>
          <w:sz w:val="22"/>
          <w:szCs w:val="22"/>
        </w:rPr>
        <w:t>If the considered treatments are Preventive Maintenance.</w:t>
      </w:r>
    </w:p>
    <w:p w14:paraId="270D0454" w14:textId="77777777" w:rsidR="00020391" w:rsidRPr="00020391" w:rsidRDefault="00020391" w:rsidP="00020391">
      <w:pPr>
        <w:pStyle w:val="ListParagraph"/>
        <w:rPr>
          <w:rFonts w:ascii="Arial" w:hAnsi="Arial" w:cs="Arial"/>
          <w:sz w:val="22"/>
          <w:szCs w:val="22"/>
        </w:rPr>
      </w:pPr>
    </w:p>
    <w:p w14:paraId="3422686E" w14:textId="6C1FAEB5" w:rsidR="00020391" w:rsidRDefault="00020391" w:rsidP="00172E64">
      <w:pPr>
        <w:pStyle w:val="ListParagraph"/>
        <w:numPr>
          <w:ilvl w:val="1"/>
          <w:numId w:val="93"/>
        </w:numPr>
        <w:tabs>
          <w:tab w:val="clear" w:pos="720"/>
          <w:tab w:val="left" w:pos="1440"/>
          <w:tab w:val="left" w:pos="1710"/>
        </w:tabs>
        <w:ind w:left="1440"/>
        <w:jc w:val="both"/>
        <w:rPr>
          <w:rFonts w:ascii="Arial" w:hAnsi="Arial" w:cs="Arial"/>
          <w:sz w:val="22"/>
          <w:szCs w:val="22"/>
        </w:rPr>
      </w:pPr>
      <w:r>
        <w:rPr>
          <w:rFonts w:ascii="Arial" w:hAnsi="Arial" w:cs="Arial"/>
          <w:sz w:val="22"/>
          <w:szCs w:val="22"/>
        </w:rPr>
        <w:t>If the pavement structure is composite.  The engineer may still request FWD testing at his/her discretion if joint information is needed.</w:t>
      </w:r>
    </w:p>
    <w:p w14:paraId="07436C7C" w14:textId="77777777" w:rsidR="00865C9F" w:rsidRPr="00865C9F" w:rsidRDefault="00865C9F" w:rsidP="005F2AE2">
      <w:pPr>
        <w:ind w:left="720"/>
        <w:jc w:val="both"/>
        <w:rPr>
          <w:rFonts w:ascii="Arial" w:hAnsi="Arial" w:cs="Arial"/>
          <w:sz w:val="22"/>
          <w:szCs w:val="22"/>
        </w:rPr>
      </w:pPr>
    </w:p>
    <w:p w14:paraId="40A58293" w14:textId="2BE386D9" w:rsidR="001A15B9" w:rsidRDefault="00865C9F" w:rsidP="00172E64">
      <w:pPr>
        <w:pStyle w:val="ListParagraph"/>
        <w:numPr>
          <w:ilvl w:val="0"/>
          <w:numId w:val="93"/>
        </w:numPr>
        <w:tabs>
          <w:tab w:val="clear" w:pos="1152"/>
          <w:tab w:val="num" w:pos="1080"/>
        </w:tabs>
        <w:ind w:left="1080" w:hanging="1080"/>
        <w:jc w:val="both"/>
        <w:rPr>
          <w:rFonts w:ascii="Arial" w:hAnsi="Arial" w:cs="Arial"/>
          <w:sz w:val="22"/>
          <w:szCs w:val="22"/>
        </w:rPr>
      </w:pPr>
      <w:r w:rsidRPr="00621D7F">
        <w:rPr>
          <w:rFonts w:ascii="Arial" w:hAnsi="Arial" w:cs="Arial"/>
          <w:sz w:val="22"/>
          <w:szCs w:val="22"/>
        </w:rPr>
        <w:t xml:space="preserve">A </w:t>
      </w:r>
      <w:r w:rsidRPr="00621D7F">
        <w:rPr>
          <w:rFonts w:ascii="Arial" w:hAnsi="Arial" w:cs="Arial"/>
          <w:b/>
          <w:sz w:val="22"/>
          <w:szCs w:val="22"/>
          <w:u w:val="single"/>
        </w:rPr>
        <w:t>Patching Survey</w:t>
      </w:r>
      <w:r w:rsidRPr="00621D7F">
        <w:rPr>
          <w:rFonts w:ascii="Arial" w:hAnsi="Arial" w:cs="Arial"/>
          <w:sz w:val="22"/>
          <w:szCs w:val="22"/>
        </w:rPr>
        <w:t xml:space="preserve"> may be considered for </w:t>
      </w:r>
      <w:r w:rsidR="00896EC4" w:rsidRPr="00896EC4">
        <w:rPr>
          <w:rFonts w:ascii="Arial" w:hAnsi="Arial" w:cs="Arial"/>
          <w:sz w:val="22"/>
          <w:szCs w:val="22"/>
        </w:rPr>
        <w:t xml:space="preserve">modification if the </w:t>
      </w:r>
      <w:r w:rsidR="00896EC4" w:rsidRPr="00621D7F">
        <w:rPr>
          <w:rFonts w:ascii="Arial" w:hAnsi="Arial" w:cs="Arial"/>
          <w:sz w:val="22"/>
          <w:szCs w:val="22"/>
        </w:rPr>
        <w:t xml:space="preserve">estimated </w:t>
      </w:r>
      <w:r w:rsidR="00896EC4">
        <w:rPr>
          <w:rFonts w:ascii="Arial" w:hAnsi="Arial" w:cs="Arial"/>
          <w:sz w:val="22"/>
          <w:szCs w:val="22"/>
        </w:rPr>
        <w:t xml:space="preserve">pavement condition </w:t>
      </w:r>
      <w:r w:rsidR="00896EC4" w:rsidRPr="00621D7F">
        <w:rPr>
          <w:rFonts w:ascii="Arial" w:hAnsi="Arial" w:cs="Arial"/>
          <w:sz w:val="22"/>
          <w:szCs w:val="22"/>
        </w:rPr>
        <w:t xml:space="preserve">(from </w:t>
      </w:r>
      <w:hyperlink r:id="rId80" w:history="1">
        <w:r w:rsidR="001A107C" w:rsidRPr="0046520D">
          <w:rPr>
            <w:rStyle w:val="Hyperlink"/>
            <w:rFonts w:ascii="Arial" w:hAnsi="Arial" w:cs="Arial"/>
            <w:sz w:val="22"/>
            <w:szCs w:val="22"/>
          </w:rPr>
          <w:t>PD-01 Condition Summary</w:t>
        </w:r>
      </w:hyperlink>
      <w:r w:rsidR="00896EC4" w:rsidRPr="00621D7F">
        <w:rPr>
          <w:rFonts w:ascii="Arial" w:hAnsi="Arial" w:cs="Arial"/>
          <w:sz w:val="22"/>
          <w:szCs w:val="22"/>
        </w:rPr>
        <w:t xml:space="preserve">) is </w:t>
      </w:r>
      <w:r w:rsidR="00896EC4">
        <w:rPr>
          <w:rFonts w:ascii="Arial" w:hAnsi="Arial" w:cs="Arial"/>
          <w:sz w:val="22"/>
          <w:szCs w:val="22"/>
        </w:rPr>
        <w:t>good or better</w:t>
      </w:r>
      <w:r w:rsidR="00896EC4" w:rsidRPr="00896EC4">
        <w:rPr>
          <w:rFonts w:ascii="Arial" w:hAnsi="Arial" w:cs="Arial"/>
          <w:sz w:val="22"/>
          <w:szCs w:val="22"/>
        </w:rPr>
        <w:t>.  A modified patch survey consists of obtaining the estimated patch quantities through use of a DMI.  A Patching Survey may still be needed in areas where PCI is not performed (i.e.</w:t>
      </w:r>
      <w:r w:rsidR="009F0DA9">
        <w:rPr>
          <w:rFonts w:ascii="Arial" w:hAnsi="Arial" w:cs="Arial"/>
          <w:sz w:val="22"/>
          <w:szCs w:val="22"/>
        </w:rPr>
        <w:t>,</w:t>
      </w:r>
      <w:r w:rsidR="00896EC4" w:rsidRPr="00896EC4">
        <w:rPr>
          <w:rFonts w:ascii="Arial" w:hAnsi="Arial" w:cs="Arial"/>
          <w:sz w:val="22"/>
          <w:szCs w:val="22"/>
        </w:rPr>
        <w:t xml:space="preserve"> shoulders).  </w:t>
      </w:r>
      <w:r w:rsidRPr="008C3926">
        <w:rPr>
          <w:rFonts w:ascii="Arial" w:hAnsi="Arial" w:cs="Arial"/>
          <w:sz w:val="22"/>
          <w:szCs w:val="22"/>
        </w:rPr>
        <w:t>If the scope of the project is strictly to reconstruct pavement, a patching survey will not be required.</w:t>
      </w:r>
    </w:p>
    <w:p w14:paraId="288F1DB7" w14:textId="77777777" w:rsidR="008C3926" w:rsidRPr="008C3926" w:rsidRDefault="008C3926" w:rsidP="008C3926">
      <w:pPr>
        <w:pStyle w:val="ListParagraph"/>
        <w:ind w:left="360"/>
        <w:jc w:val="both"/>
        <w:rPr>
          <w:rFonts w:ascii="Arial" w:hAnsi="Arial" w:cs="Arial"/>
          <w:sz w:val="22"/>
          <w:szCs w:val="22"/>
        </w:rPr>
      </w:pPr>
    </w:p>
    <w:p w14:paraId="1573C6EE" w14:textId="77777777" w:rsidR="001A15B9" w:rsidRDefault="00865C9F" w:rsidP="00172E64">
      <w:pPr>
        <w:pStyle w:val="ListParagraph"/>
        <w:numPr>
          <w:ilvl w:val="0"/>
          <w:numId w:val="93"/>
        </w:numPr>
        <w:tabs>
          <w:tab w:val="clear" w:pos="1152"/>
          <w:tab w:val="num" w:pos="1080"/>
        </w:tabs>
        <w:ind w:left="1080" w:hanging="1080"/>
        <w:jc w:val="both"/>
        <w:rPr>
          <w:rFonts w:ascii="Arial" w:hAnsi="Arial" w:cs="Arial"/>
          <w:sz w:val="22"/>
          <w:szCs w:val="22"/>
        </w:rPr>
      </w:pPr>
      <w:r w:rsidRPr="008C3926">
        <w:rPr>
          <w:rFonts w:ascii="Arial" w:hAnsi="Arial" w:cs="Arial"/>
          <w:sz w:val="22"/>
          <w:szCs w:val="22"/>
        </w:rPr>
        <w:t xml:space="preserve">A </w:t>
      </w:r>
      <w:r w:rsidRPr="008C3926">
        <w:rPr>
          <w:rFonts w:ascii="Arial" w:hAnsi="Arial" w:cs="Arial"/>
          <w:b/>
          <w:sz w:val="22"/>
          <w:szCs w:val="22"/>
          <w:u w:val="single"/>
        </w:rPr>
        <w:t>Traffic Survey</w:t>
      </w:r>
      <w:r w:rsidRPr="008C3926">
        <w:rPr>
          <w:rFonts w:ascii="Arial" w:hAnsi="Arial" w:cs="Arial"/>
          <w:sz w:val="22"/>
          <w:szCs w:val="22"/>
        </w:rPr>
        <w:t>, in general, should be requested from OPPE – Travel Forecasting and Analysis Division.  In addition, traffic for turning movements and ramps should be requested specifically, in addition to mainline traffic, depending on the scope of the project.  A traffic survey may be considered for elimination if all the following conditions are met:</w:t>
      </w:r>
    </w:p>
    <w:p w14:paraId="15A35CF3" w14:textId="77777777" w:rsidR="004D53AD" w:rsidRPr="004D53AD" w:rsidRDefault="004D53AD" w:rsidP="004D53AD">
      <w:pPr>
        <w:jc w:val="both"/>
        <w:rPr>
          <w:rFonts w:ascii="Arial" w:hAnsi="Arial" w:cs="Arial"/>
          <w:sz w:val="22"/>
          <w:szCs w:val="22"/>
        </w:rPr>
      </w:pPr>
    </w:p>
    <w:p w14:paraId="37318A81" w14:textId="77777777" w:rsidR="001A15B9" w:rsidRDefault="00865C9F" w:rsidP="00172E64">
      <w:pPr>
        <w:pStyle w:val="ListParagraph"/>
        <w:numPr>
          <w:ilvl w:val="1"/>
          <w:numId w:val="93"/>
        </w:numPr>
        <w:tabs>
          <w:tab w:val="clear" w:pos="720"/>
          <w:tab w:val="num" w:pos="1440"/>
        </w:tabs>
        <w:ind w:left="1440"/>
        <w:jc w:val="both"/>
        <w:rPr>
          <w:rFonts w:ascii="Arial" w:hAnsi="Arial" w:cs="Arial"/>
          <w:sz w:val="22"/>
          <w:szCs w:val="22"/>
        </w:rPr>
      </w:pPr>
      <w:r w:rsidRPr="00621D7F">
        <w:rPr>
          <w:rFonts w:ascii="Arial" w:hAnsi="Arial" w:cs="Arial"/>
          <w:sz w:val="22"/>
          <w:szCs w:val="22"/>
        </w:rPr>
        <w:t>If existing traffic data (from OPPE – Travel Forecasting and Analysis Division) is available within the current project limits; or if existing traffic data (from OPPE – Travel Forecasting and Analysis Division) is available directly adjacent to the current project limits when the Highway Location Reference (HLR) indicates traffic data is consistent for both the adjacent and current project.</w:t>
      </w:r>
    </w:p>
    <w:p w14:paraId="029B417F" w14:textId="77777777" w:rsidR="004D53AD" w:rsidRDefault="004D53AD" w:rsidP="00D839EF">
      <w:pPr>
        <w:pStyle w:val="ListParagraph"/>
        <w:tabs>
          <w:tab w:val="num" w:pos="1440"/>
        </w:tabs>
        <w:ind w:left="1440" w:hanging="360"/>
        <w:jc w:val="both"/>
        <w:rPr>
          <w:rFonts w:ascii="Arial" w:hAnsi="Arial" w:cs="Arial"/>
          <w:sz w:val="22"/>
          <w:szCs w:val="22"/>
        </w:rPr>
      </w:pPr>
    </w:p>
    <w:p w14:paraId="192C5551" w14:textId="77777777" w:rsidR="001A15B9" w:rsidRDefault="00865C9F" w:rsidP="00172E64">
      <w:pPr>
        <w:pStyle w:val="ListParagraph"/>
        <w:numPr>
          <w:ilvl w:val="1"/>
          <w:numId w:val="93"/>
        </w:numPr>
        <w:tabs>
          <w:tab w:val="clear" w:pos="720"/>
          <w:tab w:val="left" w:pos="1080"/>
          <w:tab w:val="num" w:pos="1440"/>
        </w:tabs>
        <w:ind w:left="1440"/>
        <w:jc w:val="both"/>
        <w:rPr>
          <w:rFonts w:ascii="Arial" w:hAnsi="Arial" w:cs="Arial"/>
          <w:sz w:val="22"/>
          <w:szCs w:val="22"/>
        </w:rPr>
      </w:pPr>
      <w:r w:rsidRPr="00621D7F">
        <w:rPr>
          <w:rFonts w:ascii="Arial" w:hAnsi="Arial" w:cs="Arial"/>
          <w:sz w:val="22"/>
          <w:szCs w:val="22"/>
        </w:rPr>
        <w:t>If existing traffic data (from OPPE – Travel Forecasting and Analysis Division) is no older than 5 years.</w:t>
      </w:r>
    </w:p>
    <w:p w14:paraId="54D1D666" w14:textId="77777777" w:rsidR="004D53AD" w:rsidRPr="004D53AD" w:rsidRDefault="004D53AD" w:rsidP="00D839EF">
      <w:pPr>
        <w:pStyle w:val="ListParagraph"/>
        <w:tabs>
          <w:tab w:val="num" w:pos="1440"/>
        </w:tabs>
        <w:ind w:left="1440" w:hanging="360"/>
        <w:rPr>
          <w:rFonts w:ascii="Arial" w:hAnsi="Arial" w:cs="Arial"/>
          <w:sz w:val="22"/>
          <w:szCs w:val="22"/>
        </w:rPr>
      </w:pPr>
    </w:p>
    <w:p w14:paraId="111AECF6" w14:textId="77777777" w:rsidR="001A15B9" w:rsidRDefault="00865C9F" w:rsidP="00172E64">
      <w:pPr>
        <w:pStyle w:val="ListParagraph"/>
        <w:numPr>
          <w:ilvl w:val="1"/>
          <w:numId w:val="93"/>
        </w:numPr>
        <w:tabs>
          <w:tab w:val="clear" w:pos="720"/>
          <w:tab w:val="left" w:pos="1080"/>
          <w:tab w:val="num" w:pos="1440"/>
        </w:tabs>
        <w:ind w:left="1440"/>
        <w:jc w:val="both"/>
        <w:rPr>
          <w:rFonts w:ascii="Arial" w:hAnsi="Arial" w:cs="Arial"/>
          <w:sz w:val="22"/>
          <w:szCs w:val="22"/>
        </w:rPr>
      </w:pPr>
      <w:r w:rsidRPr="00621D7F">
        <w:rPr>
          <w:rFonts w:ascii="Arial" w:hAnsi="Arial" w:cs="Arial"/>
          <w:sz w:val="22"/>
          <w:szCs w:val="22"/>
        </w:rPr>
        <w:t xml:space="preserve">If no major development (may require verification with Access Management Division) has occurred since existing traffic data (from OPPE – Travel Forecasting and Analysis Division) was collected.   </w:t>
      </w:r>
    </w:p>
    <w:p w14:paraId="51014E0B" w14:textId="77777777" w:rsidR="00865C9F" w:rsidRPr="00865C9F" w:rsidRDefault="00865C9F" w:rsidP="005F2AE2">
      <w:pPr>
        <w:ind w:firstLine="720"/>
        <w:jc w:val="both"/>
        <w:rPr>
          <w:rFonts w:ascii="Arial" w:hAnsi="Arial" w:cs="Arial"/>
          <w:sz w:val="22"/>
          <w:szCs w:val="22"/>
        </w:rPr>
      </w:pPr>
    </w:p>
    <w:p w14:paraId="3A1BCA12" w14:textId="77777777" w:rsidR="00865C9F" w:rsidRPr="00865C9F" w:rsidRDefault="00865C9F" w:rsidP="00865C9F"/>
    <w:p w14:paraId="5723F8B8" w14:textId="77777777" w:rsidR="00865C9F" w:rsidRDefault="00865C9F" w:rsidP="00BE3F24">
      <w:pPr>
        <w:pStyle w:val="Heading2"/>
        <w:ind w:left="0" w:firstLine="0"/>
        <w:sectPr w:rsidR="00865C9F" w:rsidSect="00D93588">
          <w:headerReference w:type="default" r:id="rId81"/>
          <w:footerReference w:type="default" r:id="rId82"/>
          <w:pgSz w:w="12240" w:h="15840"/>
          <w:pgMar w:top="1440" w:right="1800" w:bottom="1440" w:left="1800" w:header="720" w:footer="720" w:gutter="0"/>
          <w:paperSrc w:first="15" w:other="15"/>
          <w:pgNumType w:start="1" w:chapStyle="1"/>
          <w:cols w:space="720"/>
        </w:sectPr>
      </w:pPr>
    </w:p>
    <w:p w14:paraId="1A097F11" w14:textId="35B6CE41" w:rsidR="007E1D5E" w:rsidRDefault="002744D8" w:rsidP="00BE3F24">
      <w:pPr>
        <w:pStyle w:val="Heading2"/>
        <w:ind w:left="0" w:firstLine="0"/>
      </w:pPr>
      <w:bookmarkStart w:id="98" w:name="_Visual_Pavement_Condition"/>
      <w:bookmarkStart w:id="99" w:name="_Toc479160080"/>
      <w:bookmarkStart w:id="100" w:name="_Toc514057971"/>
      <w:bookmarkStart w:id="101" w:name="_Toc194932365"/>
      <w:bookmarkEnd w:id="98"/>
      <w:r>
        <w:lastRenderedPageBreak/>
        <w:t xml:space="preserve">Visual Pavement </w:t>
      </w:r>
      <w:r w:rsidR="00234467">
        <w:t>C</w:t>
      </w:r>
      <w:r w:rsidR="00595233">
        <w:t>ondition Assessment</w:t>
      </w:r>
      <w:bookmarkEnd w:id="99"/>
      <w:bookmarkEnd w:id="100"/>
      <w:bookmarkEnd w:id="101"/>
    </w:p>
    <w:p w14:paraId="795C68F1" w14:textId="77777777" w:rsidR="007E1D5E" w:rsidRDefault="007E1D5E" w:rsidP="007E1D5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Initial_Treatment_Identification" w:history="1">
        <w:r w:rsidRPr="007E1D5E">
          <w:rPr>
            <w:rStyle w:val="Hyperlink"/>
            <w:rFonts w:ascii="Arial" w:hAnsi="Arial" w:cs="Arial"/>
            <w:bCs/>
            <w:sz w:val="16"/>
            <w:szCs w:val="16"/>
          </w:rPr>
          <w:t>Initial Treatment Identification – Pavement Preservation Guide</w:t>
        </w:r>
      </w:hyperlink>
    </w:p>
    <w:p w14:paraId="6932E779" w14:textId="77777777" w:rsidR="002D6703" w:rsidRDefault="002D6703" w:rsidP="002D670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re-Rehabilitation_Effect_on" w:history="1">
        <w:r w:rsidRPr="002D6703">
          <w:rPr>
            <w:rStyle w:val="Hyperlink"/>
            <w:rFonts w:ascii="Arial" w:hAnsi="Arial" w:cs="Arial"/>
            <w:bCs/>
            <w:sz w:val="16"/>
            <w:szCs w:val="16"/>
          </w:rPr>
          <w:t>Pre-Rehabilitation Effect on RSL Calculations</w:t>
        </w:r>
      </w:hyperlink>
    </w:p>
    <w:p w14:paraId="60E70BF5" w14:textId="77777777" w:rsidR="00E838DF" w:rsidRPr="008F604D" w:rsidRDefault="00E838DF" w:rsidP="00E838DF">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commended_Material_Property_1" w:history="1">
        <w:r w:rsidRPr="00E838DF">
          <w:rPr>
            <w:rStyle w:val="Hyperlink"/>
            <w:rFonts w:ascii="Arial" w:hAnsi="Arial" w:cs="Arial"/>
            <w:bCs/>
            <w:sz w:val="16"/>
            <w:szCs w:val="16"/>
          </w:rPr>
          <w:t>Recommended Material Property Inputs for Existing HMA Layers</w:t>
        </w:r>
      </w:hyperlink>
    </w:p>
    <w:p w14:paraId="3A2588D1" w14:textId="77777777" w:rsidR="002744D8" w:rsidRDefault="002744D8" w:rsidP="00BE3F24">
      <w:pPr>
        <w:pStyle w:val="Heading3"/>
        <w:ind w:left="0" w:firstLine="0"/>
      </w:pPr>
      <w:r>
        <w:t>Purpose</w:t>
      </w:r>
    </w:p>
    <w:p w14:paraId="4CFE8228" w14:textId="77777777" w:rsidR="002744D8" w:rsidRDefault="002744D8" w:rsidP="00BE3F24">
      <w:pPr>
        <w:pStyle w:val="BodyText"/>
        <w:jc w:val="both"/>
      </w:pPr>
      <w:r>
        <w:t xml:space="preserve">Visual </w:t>
      </w:r>
      <w:r w:rsidR="00595233">
        <w:t>assessments</w:t>
      </w:r>
      <w:r>
        <w:t xml:space="preserve"> are conducted on </w:t>
      </w:r>
      <w:r w:rsidR="00FC1C87">
        <w:t xml:space="preserve">preservation and </w:t>
      </w:r>
      <w:r>
        <w:t>rehabilitation designs to:</w:t>
      </w:r>
    </w:p>
    <w:p w14:paraId="5AD41644" w14:textId="77777777" w:rsidR="002744D8" w:rsidRDefault="002744D8" w:rsidP="00EC46AC">
      <w:pPr>
        <w:pStyle w:val="ListBullet2"/>
        <w:numPr>
          <w:ilvl w:val="0"/>
          <w:numId w:val="6"/>
        </w:numPr>
        <w:tabs>
          <w:tab w:val="clear" w:pos="360"/>
          <w:tab w:val="num" w:pos="-792"/>
        </w:tabs>
        <w:ind w:left="0" w:firstLine="0"/>
        <w:jc w:val="both"/>
      </w:pPr>
      <w:r>
        <w:t>Establish an overall condition of the pavement</w:t>
      </w:r>
    </w:p>
    <w:p w14:paraId="15671176" w14:textId="77777777" w:rsidR="00FC1C87" w:rsidRDefault="00FC1C87" w:rsidP="00EC46AC">
      <w:pPr>
        <w:pStyle w:val="ListBullet2"/>
        <w:numPr>
          <w:ilvl w:val="0"/>
          <w:numId w:val="6"/>
        </w:numPr>
        <w:tabs>
          <w:tab w:val="clear" w:pos="360"/>
          <w:tab w:val="num" w:pos="-792"/>
        </w:tabs>
        <w:ind w:left="0" w:firstLine="0"/>
        <w:jc w:val="both"/>
      </w:pPr>
      <w:r>
        <w:t>Assess suitability of various pavement preservation treatments</w:t>
      </w:r>
    </w:p>
    <w:p w14:paraId="2E159EC8" w14:textId="77777777" w:rsidR="002744D8" w:rsidRDefault="005D57B2" w:rsidP="00EC46AC">
      <w:pPr>
        <w:pStyle w:val="ListBullet2"/>
        <w:numPr>
          <w:ilvl w:val="0"/>
          <w:numId w:val="6"/>
        </w:numPr>
        <w:tabs>
          <w:tab w:val="clear" w:pos="360"/>
          <w:tab w:val="num" w:pos="-792"/>
        </w:tabs>
        <w:ind w:left="0" w:firstLine="0"/>
        <w:jc w:val="both"/>
      </w:pPr>
      <w:r>
        <w:t>E</w:t>
      </w:r>
      <w:r w:rsidR="002744D8">
        <w:t>stimate of pre-overlay repair needs</w:t>
      </w:r>
    </w:p>
    <w:p w14:paraId="0E791A01" w14:textId="77777777" w:rsidR="002744D8" w:rsidRDefault="002744D8" w:rsidP="00EC46AC">
      <w:pPr>
        <w:pStyle w:val="ListBullet2"/>
        <w:numPr>
          <w:ilvl w:val="0"/>
          <w:numId w:val="6"/>
        </w:numPr>
        <w:tabs>
          <w:tab w:val="clear" w:pos="360"/>
          <w:tab w:val="num" w:pos="-792"/>
        </w:tabs>
        <w:ind w:left="0" w:firstLine="0"/>
        <w:jc w:val="both"/>
      </w:pPr>
      <w:r>
        <w:t>Identify predominant distress types</w:t>
      </w:r>
    </w:p>
    <w:p w14:paraId="56E74671" w14:textId="77777777" w:rsidR="002744D8" w:rsidRDefault="002744D8" w:rsidP="00BE3F24">
      <w:pPr>
        <w:pStyle w:val="Heading3"/>
        <w:ind w:left="0" w:firstLine="0"/>
        <w:jc w:val="both"/>
      </w:pPr>
      <w:r>
        <w:t>Resource Requirements</w:t>
      </w:r>
    </w:p>
    <w:p w14:paraId="01865218" w14:textId="77777777" w:rsidR="002744D8" w:rsidRDefault="002744D8" w:rsidP="00BE3F24">
      <w:pPr>
        <w:pStyle w:val="BodyText"/>
        <w:jc w:val="both"/>
      </w:pPr>
      <w:r>
        <w:t>The visual survey procedure documented below requires the following staffing needs for a typical job:</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160"/>
        <w:gridCol w:w="3235"/>
        <w:gridCol w:w="1350"/>
        <w:gridCol w:w="1800"/>
      </w:tblGrid>
      <w:tr w:rsidR="002744D8" w14:paraId="0ACD68BA" w14:textId="77777777" w:rsidTr="00E26CAB">
        <w:trPr>
          <w:trHeight w:val="288"/>
          <w:jc w:val="center"/>
        </w:trPr>
        <w:tc>
          <w:tcPr>
            <w:tcW w:w="2160" w:type="dxa"/>
            <w:shd w:val="pct20" w:color="auto" w:fill="FFFFFF"/>
            <w:vAlign w:val="center"/>
          </w:tcPr>
          <w:p w14:paraId="19080B8F" w14:textId="77777777" w:rsidR="002744D8" w:rsidRDefault="002744D8" w:rsidP="00D839EF">
            <w:pPr>
              <w:pStyle w:val="BodyText"/>
              <w:spacing w:after="0"/>
              <w:jc w:val="center"/>
              <w:rPr>
                <w:b/>
              </w:rPr>
            </w:pPr>
            <w:r>
              <w:rPr>
                <w:b/>
              </w:rPr>
              <w:t>Position</w:t>
            </w:r>
          </w:p>
        </w:tc>
        <w:tc>
          <w:tcPr>
            <w:tcW w:w="3235" w:type="dxa"/>
            <w:shd w:val="pct20" w:color="auto" w:fill="FFFFFF"/>
            <w:vAlign w:val="center"/>
          </w:tcPr>
          <w:p w14:paraId="64B02033" w14:textId="77777777" w:rsidR="002744D8" w:rsidRDefault="002744D8" w:rsidP="00D839EF">
            <w:pPr>
              <w:pStyle w:val="BodyText"/>
              <w:spacing w:after="0"/>
              <w:jc w:val="center"/>
              <w:rPr>
                <w:b/>
              </w:rPr>
            </w:pPr>
            <w:r>
              <w:rPr>
                <w:b/>
              </w:rPr>
              <w:t>Function</w:t>
            </w:r>
          </w:p>
        </w:tc>
        <w:tc>
          <w:tcPr>
            <w:tcW w:w="1350" w:type="dxa"/>
            <w:shd w:val="pct20" w:color="auto" w:fill="FFFFFF"/>
            <w:vAlign w:val="center"/>
          </w:tcPr>
          <w:p w14:paraId="53D03328" w14:textId="77777777" w:rsidR="002744D8" w:rsidRDefault="002744D8" w:rsidP="00D839EF">
            <w:pPr>
              <w:pStyle w:val="BodyText"/>
              <w:spacing w:after="0"/>
              <w:jc w:val="center"/>
              <w:rPr>
                <w:b/>
              </w:rPr>
            </w:pPr>
            <w:r>
              <w:rPr>
                <w:b/>
              </w:rPr>
              <w:t>Resources</w:t>
            </w:r>
          </w:p>
        </w:tc>
        <w:tc>
          <w:tcPr>
            <w:tcW w:w="1800" w:type="dxa"/>
            <w:shd w:val="pct20" w:color="auto" w:fill="FFFFFF"/>
            <w:vAlign w:val="center"/>
          </w:tcPr>
          <w:p w14:paraId="754779F8" w14:textId="77777777" w:rsidR="002744D8" w:rsidRDefault="002744D8" w:rsidP="00D839EF">
            <w:pPr>
              <w:pStyle w:val="BodyText"/>
              <w:spacing w:after="0"/>
              <w:jc w:val="center"/>
              <w:rPr>
                <w:b/>
              </w:rPr>
            </w:pPr>
            <w:r>
              <w:rPr>
                <w:b/>
              </w:rPr>
              <w:t>Effort Level</w:t>
            </w:r>
          </w:p>
          <w:p w14:paraId="521F0346" w14:textId="77777777" w:rsidR="002744D8" w:rsidRDefault="002744D8" w:rsidP="00D839EF">
            <w:pPr>
              <w:pStyle w:val="BodyText"/>
              <w:spacing w:after="0"/>
              <w:jc w:val="center"/>
              <w:rPr>
                <w:b/>
              </w:rPr>
            </w:pPr>
            <w:r>
              <w:rPr>
                <w:b/>
              </w:rPr>
              <w:t>(man-hours)</w:t>
            </w:r>
          </w:p>
        </w:tc>
      </w:tr>
      <w:tr w:rsidR="002744D8" w14:paraId="44DC5FCF" w14:textId="77777777" w:rsidTr="00E26CAB">
        <w:trPr>
          <w:trHeight w:val="288"/>
          <w:jc w:val="center"/>
        </w:trPr>
        <w:tc>
          <w:tcPr>
            <w:tcW w:w="2160" w:type="dxa"/>
            <w:vAlign w:val="center"/>
          </w:tcPr>
          <w:p w14:paraId="05376850" w14:textId="77777777" w:rsidR="002744D8" w:rsidRDefault="002744D8" w:rsidP="00D839EF">
            <w:pPr>
              <w:pStyle w:val="BodyText"/>
              <w:spacing w:after="0"/>
              <w:jc w:val="center"/>
              <w:rPr>
                <w:sz w:val="18"/>
              </w:rPr>
            </w:pPr>
            <w:r>
              <w:rPr>
                <w:sz w:val="18"/>
              </w:rPr>
              <w:t>Staff Engineer</w:t>
            </w:r>
          </w:p>
        </w:tc>
        <w:tc>
          <w:tcPr>
            <w:tcW w:w="3235" w:type="dxa"/>
            <w:vAlign w:val="center"/>
          </w:tcPr>
          <w:p w14:paraId="39A97624" w14:textId="77777777" w:rsidR="002744D8" w:rsidRDefault="00595233" w:rsidP="00D839EF">
            <w:pPr>
              <w:pStyle w:val="BodyText"/>
              <w:spacing w:after="0"/>
              <w:jc w:val="center"/>
              <w:rPr>
                <w:sz w:val="18"/>
              </w:rPr>
            </w:pPr>
            <w:r>
              <w:rPr>
                <w:sz w:val="18"/>
              </w:rPr>
              <w:t>Site Visit</w:t>
            </w:r>
          </w:p>
        </w:tc>
        <w:tc>
          <w:tcPr>
            <w:tcW w:w="1350" w:type="dxa"/>
            <w:vAlign w:val="center"/>
          </w:tcPr>
          <w:p w14:paraId="35261BF2" w14:textId="77777777" w:rsidR="002744D8" w:rsidRDefault="002744D8" w:rsidP="00D839EF">
            <w:pPr>
              <w:pStyle w:val="BodyText"/>
              <w:spacing w:after="0"/>
              <w:jc w:val="center"/>
              <w:rPr>
                <w:sz w:val="18"/>
              </w:rPr>
            </w:pPr>
            <w:r>
              <w:rPr>
                <w:sz w:val="18"/>
              </w:rPr>
              <w:t>1</w:t>
            </w:r>
          </w:p>
        </w:tc>
        <w:tc>
          <w:tcPr>
            <w:tcW w:w="1800" w:type="dxa"/>
            <w:vAlign w:val="center"/>
          </w:tcPr>
          <w:p w14:paraId="120AD6BA" w14:textId="77777777" w:rsidR="002744D8" w:rsidRDefault="00595233" w:rsidP="00D839EF">
            <w:pPr>
              <w:pStyle w:val="BodyText"/>
              <w:spacing w:after="0"/>
              <w:jc w:val="center"/>
              <w:rPr>
                <w:sz w:val="18"/>
              </w:rPr>
            </w:pPr>
            <w:r>
              <w:rPr>
                <w:sz w:val="18"/>
              </w:rPr>
              <w:t>8</w:t>
            </w:r>
          </w:p>
        </w:tc>
      </w:tr>
      <w:tr w:rsidR="002744D8" w14:paraId="41B149AF" w14:textId="77777777" w:rsidTr="00E26CAB">
        <w:trPr>
          <w:trHeight w:val="288"/>
          <w:jc w:val="center"/>
        </w:trPr>
        <w:tc>
          <w:tcPr>
            <w:tcW w:w="2160" w:type="dxa"/>
            <w:vAlign w:val="center"/>
          </w:tcPr>
          <w:p w14:paraId="5554518E" w14:textId="77777777" w:rsidR="002744D8" w:rsidRDefault="002744D8" w:rsidP="00D839EF">
            <w:pPr>
              <w:pStyle w:val="BodyText"/>
              <w:spacing w:after="0"/>
              <w:jc w:val="center"/>
              <w:rPr>
                <w:sz w:val="18"/>
              </w:rPr>
            </w:pPr>
            <w:r>
              <w:rPr>
                <w:sz w:val="18"/>
              </w:rPr>
              <w:t>Staff Engineer</w:t>
            </w:r>
          </w:p>
        </w:tc>
        <w:tc>
          <w:tcPr>
            <w:tcW w:w="3235" w:type="dxa"/>
            <w:vAlign w:val="center"/>
          </w:tcPr>
          <w:p w14:paraId="1EC987C2" w14:textId="77777777" w:rsidR="002744D8" w:rsidRDefault="00595233" w:rsidP="00D839EF">
            <w:pPr>
              <w:pStyle w:val="BodyText"/>
              <w:spacing w:after="0"/>
              <w:jc w:val="center"/>
              <w:rPr>
                <w:sz w:val="18"/>
              </w:rPr>
            </w:pPr>
            <w:r>
              <w:rPr>
                <w:sz w:val="18"/>
              </w:rPr>
              <w:t xml:space="preserve">Verify/Modify </w:t>
            </w:r>
            <w:r w:rsidRPr="00595233">
              <w:rPr>
                <w:sz w:val="18"/>
              </w:rPr>
              <w:t>IRI and Cracking to be used in RSL design</w:t>
            </w:r>
          </w:p>
        </w:tc>
        <w:tc>
          <w:tcPr>
            <w:tcW w:w="1350" w:type="dxa"/>
            <w:vAlign w:val="center"/>
          </w:tcPr>
          <w:p w14:paraId="3469E8C8" w14:textId="77777777" w:rsidR="002744D8" w:rsidRDefault="002744D8" w:rsidP="00D839EF">
            <w:pPr>
              <w:pStyle w:val="BodyText"/>
              <w:spacing w:after="0"/>
              <w:jc w:val="center"/>
              <w:rPr>
                <w:sz w:val="18"/>
              </w:rPr>
            </w:pPr>
            <w:r>
              <w:rPr>
                <w:sz w:val="18"/>
              </w:rPr>
              <w:t>1</w:t>
            </w:r>
          </w:p>
        </w:tc>
        <w:tc>
          <w:tcPr>
            <w:tcW w:w="1800" w:type="dxa"/>
            <w:vAlign w:val="center"/>
          </w:tcPr>
          <w:p w14:paraId="5E14092F" w14:textId="77777777" w:rsidR="002744D8" w:rsidRDefault="00595233" w:rsidP="00D839EF">
            <w:pPr>
              <w:pStyle w:val="BodyText"/>
              <w:spacing w:after="0"/>
              <w:jc w:val="center"/>
              <w:rPr>
                <w:sz w:val="18"/>
              </w:rPr>
            </w:pPr>
            <w:r>
              <w:rPr>
                <w:sz w:val="18"/>
              </w:rPr>
              <w:t>1</w:t>
            </w:r>
          </w:p>
        </w:tc>
      </w:tr>
    </w:tbl>
    <w:p w14:paraId="496490D8" w14:textId="77777777" w:rsidR="002744D8" w:rsidRDefault="002744D8" w:rsidP="00BE3F24">
      <w:pPr>
        <w:pStyle w:val="Heading3"/>
        <w:ind w:left="0" w:firstLine="0"/>
        <w:jc w:val="both"/>
      </w:pPr>
      <w:bookmarkStart w:id="102" w:name="_Procedure"/>
      <w:bookmarkEnd w:id="102"/>
      <w:r>
        <w:t>Procedure</w:t>
      </w:r>
    </w:p>
    <w:p w14:paraId="3215993E" w14:textId="4C3C6D65" w:rsidR="002744D8" w:rsidRDefault="002744D8" w:rsidP="00D839EF">
      <w:pPr>
        <w:pStyle w:val="BodyText"/>
        <w:spacing w:after="0"/>
        <w:jc w:val="both"/>
      </w:pPr>
      <w:r>
        <w:t xml:space="preserve">The procedure </w:t>
      </w:r>
      <w:r w:rsidRPr="00BA1669">
        <w:t>presented in the attached flowchart</w:t>
      </w:r>
      <w:r>
        <w:t xml:space="preserve"> and described </w:t>
      </w:r>
      <w:r w:rsidR="009F0DA9">
        <w:t xml:space="preserve">below </w:t>
      </w:r>
      <w:r>
        <w:t xml:space="preserve">should be followed to </w:t>
      </w:r>
      <w:r w:rsidR="00595233">
        <w:t>assess</w:t>
      </w:r>
      <w:r>
        <w:t xml:space="preserve"> pavement condition for </w:t>
      </w:r>
      <w:r w:rsidR="00595233">
        <w:t xml:space="preserve">preservation or </w:t>
      </w:r>
      <w:r>
        <w:t xml:space="preserve">rehabilitation designs.  The evaluation described below is conducted while </w:t>
      </w:r>
      <w:r w:rsidR="00595233">
        <w:t xml:space="preserve">driving or </w:t>
      </w:r>
      <w:r>
        <w:t>walking alongside the highway pavement.  Protective clothing must be worn (safety vest and hard hat) at all times when conducting the</w:t>
      </w:r>
      <w:r w:rsidR="005D57B2">
        <w:t xml:space="preserve"> assessment</w:t>
      </w:r>
      <w:r>
        <w:t>.  In addition, a survey vehicle equipped with a mounted flashing light should be parked behind the surveyor at all times.</w:t>
      </w:r>
    </w:p>
    <w:p w14:paraId="01A4B326" w14:textId="77777777" w:rsidR="002744D8" w:rsidRDefault="002744D8" w:rsidP="00D839EF">
      <w:pPr>
        <w:pStyle w:val="ListNumber"/>
        <w:numPr>
          <w:ilvl w:val="0"/>
          <w:numId w:val="1"/>
        </w:numPr>
        <w:tabs>
          <w:tab w:val="clear" w:pos="1872"/>
          <w:tab w:val="num" w:pos="288"/>
        </w:tabs>
        <w:spacing w:before="240"/>
        <w:ind w:left="1080" w:hanging="1080"/>
        <w:jc w:val="both"/>
      </w:pPr>
      <w:r>
        <w:t>Ride full length of job in each direction slowly in the travel lane</w:t>
      </w:r>
      <w:r w:rsidR="00595233">
        <w:t>s</w:t>
      </w:r>
      <w:r>
        <w:t xml:space="preserve"> to identify the information</w:t>
      </w:r>
      <w:r w:rsidR="005D57B2">
        <w:t xml:space="preserve"> requested in </w:t>
      </w:r>
      <w:hyperlink r:id="rId83" w:history="1">
        <w:r w:rsidR="001A107C" w:rsidRPr="0046520D">
          <w:rPr>
            <w:rStyle w:val="Hyperlink"/>
            <w:rFonts w:cs="Arial"/>
            <w:szCs w:val="22"/>
          </w:rPr>
          <w:t>PD-01 Condition Summary</w:t>
        </w:r>
      </w:hyperlink>
      <w:r w:rsidR="004C0978">
        <w:t>.</w:t>
      </w:r>
    </w:p>
    <w:p w14:paraId="26796131" w14:textId="77777777" w:rsidR="002744D8" w:rsidRDefault="002744D8" w:rsidP="004C4CA2">
      <w:pPr>
        <w:pStyle w:val="ListNumber"/>
        <w:numPr>
          <w:ilvl w:val="0"/>
          <w:numId w:val="1"/>
        </w:numPr>
        <w:tabs>
          <w:tab w:val="clear" w:pos="1872"/>
          <w:tab w:val="num" w:pos="288"/>
        </w:tabs>
        <w:ind w:left="1080" w:hanging="1080"/>
        <w:jc w:val="both"/>
      </w:pPr>
      <w:r>
        <w:t xml:space="preserve">Define evaluation sections to </w:t>
      </w:r>
      <w:r w:rsidR="00595233">
        <w:t>assess</w:t>
      </w:r>
      <w:r>
        <w:t xml:space="preserve"> based on:</w:t>
      </w:r>
    </w:p>
    <w:p w14:paraId="19926AF9" w14:textId="1F41FE81" w:rsidR="002744D8" w:rsidRDefault="00BF051A" w:rsidP="00172E64">
      <w:pPr>
        <w:pStyle w:val="ListBullet"/>
        <w:numPr>
          <w:ilvl w:val="0"/>
          <w:numId w:val="174"/>
        </w:numPr>
        <w:ind w:left="1440"/>
      </w:pPr>
      <w:r>
        <w:t>A</w:t>
      </w:r>
      <w:r w:rsidR="002744D8">
        <w:t>ny changes in pavement type</w:t>
      </w:r>
    </w:p>
    <w:p w14:paraId="211E8D17" w14:textId="41CD64AB" w:rsidR="002744D8" w:rsidRDefault="00BF051A" w:rsidP="00172E64">
      <w:pPr>
        <w:pStyle w:val="ListBullet"/>
        <w:numPr>
          <w:ilvl w:val="0"/>
          <w:numId w:val="174"/>
        </w:numPr>
        <w:ind w:left="1440"/>
      </w:pPr>
      <w:r>
        <w:t>C</w:t>
      </w:r>
      <w:r w:rsidR="002744D8">
        <w:t xml:space="preserve">onsiderable changes in pavement condition </w:t>
      </w:r>
      <w:r>
        <w:t xml:space="preserve">or </w:t>
      </w:r>
      <w:r w:rsidR="002744D8">
        <w:t>major changes in traffic level</w:t>
      </w:r>
    </w:p>
    <w:p w14:paraId="2C177726" w14:textId="7F9BCABC" w:rsidR="002744D8" w:rsidRDefault="00BF051A" w:rsidP="00172E64">
      <w:pPr>
        <w:pStyle w:val="ListBullet"/>
        <w:numPr>
          <w:ilvl w:val="0"/>
          <w:numId w:val="174"/>
        </w:numPr>
        <w:ind w:left="1440"/>
      </w:pPr>
      <w:r>
        <w:t>M</w:t>
      </w:r>
      <w:r w:rsidR="002744D8">
        <w:t>ajor changes in shoulder or drainage structures</w:t>
      </w:r>
    </w:p>
    <w:p w14:paraId="1B42A916" w14:textId="77777777" w:rsidR="002744D8" w:rsidRDefault="00595233" w:rsidP="004C4CA2">
      <w:pPr>
        <w:pStyle w:val="ListNumber"/>
        <w:numPr>
          <w:ilvl w:val="0"/>
          <w:numId w:val="1"/>
        </w:numPr>
        <w:tabs>
          <w:tab w:val="clear" w:pos="1872"/>
          <w:tab w:val="num" w:pos="288"/>
        </w:tabs>
        <w:ind w:left="1080" w:hanging="1080"/>
        <w:jc w:val="both"/>
      </w:pPr>
      <w:r>
        <w:t>Estimate</w:t>
      </w:r>
      <w:r w:rsidR="002744D8">
        <w:t xml:space="preserve"> pavement lane width.</w:t>
      </w:r>
    </w:p>
    <w:p w14:paraId="675D7CA1" w14:textId="16BD8D9A" w:rsidR="002744D8" w:rsidRDefault="00FB5C1F" w:rsidP="00A96E30">
      <w:pPr>
        <w:pStyle w:val="ListNumber"/>
        <w:numPr>
          <w:ilvl w:val="0"/>
          <w:numId w:val="1"/>
        </w:numPr>
        <w:tabs>
          <w:tab w:val="clear" w:pos="1872"/>
          <w:tab w:val="num" w:pos="1080"/>
        </w:tabs>
        <w:ind w:left="1080" w:hanging="1080"/>
        <w:jc w:val="both"/>
      </w:pPr>
      <w:r>
        <w:t xml:space="preserve">Using a DMI, tally the extent of longitudinal wheelpath cracking, to determine structural cracking.  Separately, tally the extent of longitudinal non-wheelpath cracking and transverse cracking to determine functional cracking.  </w:t>
      </w:r>
      <w:r w:rsidR="002744D8">
        <w:t xml:space="preserve">Record </w:t>
      </w:r>
      <w:r>
        <w:t>extents</w:t>
      </w:r>
      <w:r w:rsidR="002744D8">
        <w:t xml:space="preserve"> on</w:t>
      </w:r>
      <w:r w:rsidR="004C0978">
        <w:t xml:space="preserve"> </w:t>
      </w:r>
      <w:hyperlink r:id="rId84" w:history="1">
        <w:r w:rsidR="001A107C" w:rsidRPr="0046520D">
          <w:rPr>
            <w:rStyle w:val="Hyperlink"/>
            <w:rFonts w:cs="Arial"/>
            <w:szCs w:val="22"/>
          </w:rPr>
          <w:t>PD-01 Condition Summary</w:t>
        </w:r>
      </w:hyperlink>
      <w:r w:rsidR="002744D8">
        <w:t>.</w:t>
      </w:r>
    </w:p>
    <w:p w14:paraId="08832790" w14:textId="77777777" w:rsidR="002C51E9" w:rsidRPr="002C51E9" w:rsidRDefault="002C51E9" w:rsidP="002C51E9">
      <w:pPr>
        <w:pStyle w:val="ListNumber"/>
        <w:tabs>
          <w:tab w:val="clear" w:pos="720"/>
          <w:tab w:val="clear" w:pos="1872"/>
        </w:tabs>
        <w:ind w:left="1080" w:firstLine="0"/>
        <w:jc w:val="both"/>
        <w:rPr>
          <w:b/>
        </w:rPr>
      </w:pPr>
      <w:r w:rsidRPr="002C51E9">
        <w:rPr>
          <w:b/>
        </w:rPr>
        <w:t xml:space="preserve">Note: It is critical to roughly count all parallel cracks and off-shooting cracks to account for severity.  For example, medium severity alligator cracking may consist of 3 tightly spaced parallel cracks.  If this occurs over 100 feet of roadway, do not count this total as 100 feet; count it as </w:t>
      </w:r>
      <w:r w:rsidRPr="002C51E9">
        <w:rPr>
          <w:b/>
        </w:rPr>
        <w:lastRenderedPageBreak/>
        <w:t>300 feet.  If there are interconnecting cracks, adjust the 300-foot total upwards to account for those interconnecting cracks.</w:t>
      </w:r>
    </w:p>
    <w:p w14:paraId="2A916CDF" w14:textId="1780B55F" w:rsidR="002744D8" w:rsidRDefault="002744D8" w:rsidP="004C4CA2">
      <w:pPr>
        <w:pStyle w:val="ListNumber"/>
        <w:numPr>
          <w:ilvl w:val="0"/>
          <w:numId w:val="1"/>
        </w:numPr>
        <w:tabs>
          <w:tab w:val="clear" w:pos="1872"/>
          <w:tab w:val="num" w:pos="1080"/>
        </w:tabs>
        <w:ind w:left="1080" w:hanging="1080"/>
        <w:jc w:val="both"/>
      </w:pPr>
      <w:r>
        <w:t xml:space="preserve">Determine the </w:t>
      </w:r>
      <w:r w:rsidR="00FB5C1F">
        <w:t>S</w:t>
      </w:r>
      <w:r>
        <w:t>C</w:t>
      </w:r>
      <w:r w:rsidR="009200BD">
        <w:t>D</w:t>
      </w:r>
      <w:r>
        <w:t xml:space="preserve"> </w:t>
      </w:r>
      <w:r w:rsidR="00FB5C1F">
        <w:t>and FC</w:t>
      </w:r>
      <w:r w:rsidR="009200BD">
        <w:t>D</w:t>
      </w:r>
      <w:r>
        <w:t xml:space="preserve"> value</w:t>
      </w:r>
      <w:r w:rsidR="00FB5C1F">
        <w:t>s</w:t>
      </w:r>
      <w:r>
        <w:t xml:space="preserve"> for each </w:t>
      </w:r>
      <w:r w:rsidR="00FB5C1F">
        <w:t>section</w:t>
      </w:r>
      <w:r>
        <w:t xml:space="preserve"> using the </w:t>
      </w:r>
      <w:r w:rsidR="00464E6E">
        <w:t>following equations</w:t>
      </w:r>
      <w:r w:rsidR="002C51E9">
        <w:t xml:space="preserve">.  Refer to </w:t>
      </w:r>
      <w:hyperlink r:id="rId85" w:history="1">
        <w:r w:rsidR="001A107C" w:rsidRPr="0046520D">
          <w:rPr>
            <w:rStyle w:val="Hyperlink"/>
            <w:rFonts w:cs="Arial"/>
            <w:szCs w:val="22"/>
          </w:rPr>
          <w:t>PD-01 Condition Summary</w:t>
        </w:r>
      </w:hyperlink>
      <w:r w:rsidR="00464E6E">
        <w:t>:</w:t>
      </w:r>
    </w:p>
    <w:p w14:paraId="670A5B83" w14:textId="77777777" w:rsidR="009200BD" w:rsidRDefault="009200BD" w:rsidP="004C4CA2">
      <w:pPr>
        <w:pStyle w:val="ListParagraph"/>
        <w:spacing w:line="360" w:lineRule="auto"/>
        <w:ind w:left="2160" w:hanging="1080"/>
        <w:rPr>
          <w:rFonts w:ascii="Arial" w:eastAsiaTheme="minorEastAsia" w:hAnsi="Arial" w:cs="Arial"/>
          <w:sz w:val="22"/>
          <w:szCs w:val="22"/>
        </w:rPr>
      </w:pPr>
    </w:p>
    <w:p w14:paraId="0A3DEC5B" w14:textId="70EF800F" w:rsidR="00955147" w:rsidRPr="00955147" w:rsidRDefault="00955147" w:rsidP="00D839EF">
      <w:pPr>
        <w:pStyle w:val="ListParagraph"/>
        <w:spacing w:line="360" w:lineRule="auto"/>
        <w:ind w:left="2160" w:hanging="1080"/>
        <w:rPr>
          <w:rFonts w:ascii="Arial" w:hAnsi="Arial" w:cs="Arial"/>
          <w:sz w:val="22"/>
          <w:szCs w:val="22"/>
        </w:rPr>
      </w:pPr>
      <w:r w:rsidRPr="00955147">
        <w:rPr>
          <w:rFonts w:ascii="Arial" w:hAnsi="Arial" w:cs="Arial"/>
          <w:sz w:val="22"/>
          <w:szCs w:val="22"/>
        </w:rPr>
        <w:t>SCD</w:t>
      </w:r>
      <w:r w:rsidRPr="00955147">
        <w:rPr>
          <w:rFonts w:ascii="Arial" w:eastAsiaTheme="minorEastAsia" w:hAnsi="Arial" w:cs="Arial"/>
          <w:sz w:val="22"/>
          <w:szCs w:val="22"/>
        </w:rPr>
        <w:t xml:space="preserve">: </w:t>
      </w:r>
      <w:r w:rsidRPr="00955147">
        <w:rPr>
          <w:rFonts w:ascii="Arial" w:hAnsi="Arial" w:cs="Arial"/>
          <w:sz w:val="22"/>
          <w:szCs w:val="22"/>
        </w:rPr>
        <w:t>Structural cracking density = structural cracking length /</w:t>
      </w:r>
      <w:r w:rsidR="001D366A">
        <w:rPr>
          <w:rFonts w:ascii="Arial" w:hAnsi="Arial" w:cs="Arial"/>
          <w:sz w:val="22"/>
          <w:szCs w:val="22"/>
        </w:rPr>
        <w:t xml:space="preserve"> </w:t>
      </w:r>
      <w:r w:rsidRPr="00955147">
        <w:rPr>
          <w:rFonts w:ascii="Arial" w:hAnsi="Arial" w:cs="Arial"/>
          <w:sz w:val="22"/>
          <w:szCs w:val="22"/>
        </w:rPr>
        <w:t xml:space="preserve">sample area </w:t>
      </w:r>
      <w:r w:rsidR="002C51E9">
        <w:rPr>
          <w:rFonts w:ascii="Arial" w:hAnsi="Arial" w:cs="Arial"/>
          <w:sz w:val="22"/>
          <w:szCs w:val="22"/>
        </w:rPr>
        <w:t xml:space="preserve">*100 </w:t>
      </w:r>
      <w:r w:rsidRPr="00955147">
        <w:rPr>
          <w:rFonts w:ascii="Arial" w:hAnsi="Arial" w:cs="Arial"/>
          <w:sz w:val="22"/>
          <w:szCs w:val="22"/>
        </w:rPr>
        <w:t>(unit: feet / square feet), and</w:t>
      </w:r>
    </w:p>
    <w:p w14:paraId="04A111DD" w14:textId="09A38184" w:rsidR="00955147" w:rsidRDefault="00955147" w:rsidP="00D839EF">
      <w:pPr>
        <w:spacing w:line="360" w:lineRule="auto"/>
        <w:ind w:left="2160" w:hanging="1080"/>
        <w:rPr>
          <w:rFonts w:ascii="Arial" w:hAnsi="Arial" w:cs="Arial"/>
          <w:sz w:val="22"/>
          <w:szCs w:val="22"/>
        </w:rPr>
      </w:pPr>
      <w:r w:rsidRPr="00955147">
        <w:rPr>
          <w:rFonts w:ascii="Arial" w:hAnsi="Arial" w:cs="Arial"/>
          <w:sz w:val="22"/>
          <w:szCs w:val="22"/>
        </w:rPr>
        <w:t>FCD:  Functional cracking density = functional cracking length / sample area</w:t>
      </w:r>
      <w:r w:rsidR="002C51E9">
        <w:rPr>
          <w:rFonts w:ascii="Arial" w:hAnsi="Arial" w:cs="Arial"/>
          <w:sz w:val="22"/>
          <w:szCs w:val="22"/>
        </w:rPr>
        <w:t xml:space="preserve"> *100</w:t>
      </w:r>
      <w:r w:rsidRPr="00955147">
        <w:rPr>
          <w:rFonts w:ascii="Arial" w:hAnsi="Arial" w:cs="Arial"/>
          <w:sz w:val="22"/>
          <w:szCs w:val="22"/>
        </w:rPr>
        <w:t xml:space="preserve"> (unit: feet / square feet).</w:t>
      </w:r>
    </w:p>
    <w:p w14:paraId="469C5FAE" w14:textId="77777777" w:rsidR="00D13C0F" w:rsidRDefault="00D13C0F" w:rsidP="004C4CA2">
      <w:pPr>
        <w:spacing w:line="360" w:lineRule="auto"/>
        <w:ind w:left="2160" w:hanging="1080"/>
        <w:rPr>
          <w:rFonts w:ascii="Arial" w:hAnsi="Arial" w:cs="Arial"/>
          <w:sz w:val="22"/>
          <w:szCs w:val="22"/>
        </w:rPr>
      </w:pPr>
    </w:p>
    <w:p w14:paraId="780F663B" w14:textId="4B857881" w:rsidR="00A96E30" w:rsidRDefault="00A96E30" w:rsidP="00BF051A">
      <w:pPr>
        <w:pStyle w:val="CommentText"/>
        <w:jc w:val="both"/>
        <w:rPr>
          <w:rFonts w:ascii="Arial" w:hAnsi="Arial" w:cs="Arial"/>
          <w:sz w:val="22"/>
          <w:szCs w:val="22"/>
        </w:rPr>
      </w:pPr>
      <w:r w:rsidRPr="00A96E30">
        <w:rPr>
          <w:rFonts w:ascii="Arial" w:hAnsi="Arial" w:cs="Arial"/>
          <w:sz w:val="22"/>
          <w:szCs w:val="22"/>
        </w:rPr>
        <w:t>Note: When performing designs for rehabilitation of existing AC pavements, Darwin M-E requires the user to identify the condition of the existing pavement as “Excellent</w:t>
      </w:r>
      <w:r w:rsidR="00BF051A">
        <w:rPr>
          <w:rFonts w:ascii="Arial" w:hAnsi="Arial" w:cs="Arial"/>
          <w:sz w:val="22"/>
          <w:szCs w:val="22"/>
        </w:rPr>
        <w:t>,</w:t>
      </w:r>
      <w:r w:rsidRPr="00A96E30">
        <w:rPr>
          <w:rFonts w:ascii="Arial" w:hAnsi="Arial" w:cs="Arial"/>
          <w:sz w:val="22"/>
          <w:szCs w:val="22"/>
        </w:rPr>
        <w:t>” “Good</w:t>
      </w:r>
      <w:r w:rsidR="00BF051A">
        <w:rPr>
          <w:rFonts w:ascii="Arial" w:hAnsi="Arial" w:cs="Arial"/>
          <w:sz w:val="22"/>
          <w:szCs w:val="22"/>
        </w:rPr>
        <w:t>,</w:t>
      </w:r>
      <w:r w:rsidRPr="00A96E30">
        <w:rPr>
          <w:rFonts w:ascii="Arial" w:hAnsi="Arial" w:cs="Arial"/>
          <w:sz w:val="22"/>
          <w:szCs w:val="22"/>
        </w:rPr>
        <w:t>” “Fair</w:t>
      </w:r>
      <w:r w:rsidR="00BF051A">
        <w:rPr>
          <w:rFonts w:ascii="Arial" w:hAnsi="Arial" w:cs="Arial"/>
          <w:sz w:val="22"/>
          <w:szCs w:val="22"/>
        </w:rPr>
        <w:t>,</w:t>
      </w:r>
      <w:r w:rsidRPr="00A96E30">
        <w:rPr>
          <w:rFonts w:ascii="Arial" w:hAnsi="Arial" w:cs="Arial"/>
          <w:sz w:val="22"/>
          <w:szCs w:val="22"/>
        </w:rPr>
        <w:t>” “Poor</w:t>
      </w:r>
      <w:r w:rsidR="00BF051A">
        <w:rPr>
          <w:rFonts w:ascii="Arial" w:hAnsi="Arial" w:cs="Arial"/>
          <w:sz w:val="22"/>
          <w:szCs w:val="22"/>
        </w:rPr>
        <w:t>,</w:t>
      </w:r>
      <w:r w:rsidRPr="00A96E30">
        <w:rPr>
          <w:rFonts w:ascii="Arial" w:hAnsi="Arial" w:cs="Arial"/>
          <w:sz w:val="22"/>
          <w:szCs w:val="22"/>
        </w:rPr>
        <w:t>” “Very Poor</w:t>
      </w:r>
      <w:r w:rsidR="00BF051A">
        <w:rPr>
          <w:rFonts w:ascii="Arial" w:hAnsi="Arial" w:cs="Arial"/>
          <w:sz w:val="22"/>
          <w:szCs w:val="22"/>
        </w:rPr>
        <w:t>.</w:t>
      </w:r>
      <w:r w:rsidRPr="00A96E30">
        <w:rPr>
          <w:rFonts w:ascii="Arial" w:hAnsi="Arial" w:cs="Arial"/>
          <w:sz w:val="22"/>
          <w:szCs w:val="22"/>
        </w:rPr>
        <w:t xml:space="preserve">” </w:t>
      </w:r>
      <w:r>
        <w:rPr>
          <w:rFonts w:ascii="Arial" w:hAnsi="Arial" w:cs="Arial"/>
          <w:sz w:val="22"/>
          <w:szCs w:val="22"/>
        </w:rPr>
        <w:t>The</w:t>
      </w:r>
      <w:r w:rsidRPr="00A96E30">
        <w:rPr>
          <w:rFonts w:ascii="Arial" w:hAnsi="Arial" w:cs="Arial"/>
          <w:sz w:val="22"/>
          <w:szCs w:val="22"/>
        </w:rPr>
        <w:t xml:space="preserve"> designer </w:t>
      </w:r>
      <w:r>
        <w:rPr>
          <w:rFonts w:ascii="Arial" w:hAnsi="Arial" w:cs="Arial"/>
          <w:sz w:val="22"/>
          <w:szCs w:val="22"/>
        </w:rPr>
        <w:t>should</w:t>
      </w:r>
      <w:r w:rsidRPr="00A96E30">
        <w:rPr>
          <w:rFonts w:ascii="Arial" w:hAnsi="Arial" w:cs="Arial"/>
          <w:sz w:val="22"/>
          <w:szCs w:val="22"/>
        </w:rPr>
        <w:t xml:space="preserve"> “label” the pavement condition when completing the PD-0</w:t>
      </w:r>
      <w:r w:rsidR="0046520D">
        <w:rPr>
          <w:rFonts w:ascii="Arial" w:hAnsi="Arial" w:cs="Arial"/>
          <w:sz w:val="22"/>
          <w:szCs w:val="22"/>
        </w:rPr>
        <w:t>1</w:t>
      </w:r>
      <w:r w:rsidRPr="00A96E30">
        <w:rPr>
          <w:rFonts w:ascii="Arial" w:hAnsi="Arial" w:cs="Arial"/>
          <w:sz w:val="22"/>
          <w:szCs w:val="22"/>
        </w:rPr>
        <w:t xml:space="preserve"> form.</w:t>
      </w:r>
    </w:p>
    <w:p w14:paraId="6C57F07A" w14:textId="77777777" w:rsidR="002744D8" w:rsidRDefault="00CA3E3A" w:rsidP="00D839EF">
      <w:pPr>
        <w:pStyle w:val="ListNumber"/>
        <w:numPr>
          <w:ilvl w:val="0"/>
          <w:numId w:val="1"/>
        </w:numPr>
        <w:tabs>
          <w:tab w:val="clear" w:pos="1872"/>
          <w:tab w:val="num" w:pos="1080"/>
        </w:tabs>
        <w:spacing w:before="240"/>
        <w:ind w:left="1080" w:hanging="1080"/>
        <w:jc w:val="both"/>
      </w:pPr>
      <w:r>
        <w:t>Review all inputs on PD-0</w:t>
      </w:r>
      <w:r w:rsidR="0046520D">
        <w:t>1</w:t>
      </w:r>
      <w:r>
        <w:t>, and subsequent calculations to ensure correctness.</w:t>
      </w:r>
    </w:p>
    <w:p w14:paraId="04B1692B" w14:textId="77777777" w:rsidR="002744D8" w:rsidRDefault="002744D8" w:rsidP="00D839EF">
      <w:pPr>
        <w:pStyle w:val="ListNumber"/>
        <w:numPr>
          <w:ilvl w:val="0"/>
          <w:numId w:val="1"/>
        </w:numPr>
        <w:tabs>
          <w:tab w:val="clear" w:pos="1872"/>
          <w:tab w:val="num" w:pos="1080"/>
        </w:tabs>
        <w:ind w:left="1080" w:hanging="1080"/>
        <w:jc w:val="both"/>
      </w:pPr>
      <w:r>
        <w:t>Place all completed forms in project file.</w:t>
      </w:r>
    </w:p>
    <w:p w14:paraId="251C4FF1" w14:textId="77777777" w:rsidR="002744D8" w:rsidRDefault="002744D8" w:rsidP="006B2382">
      <w:pPr>
        <w:pStyle w:val="Heading3"/>
        <w:numPr>
          <w:ilvl w:val="0"/>
          <w:numId w:val="0"/>
        </w:numPr>
        <w:sectPr w:rsidR="002744D8" w:rsidSect="00D93588">
          <w:headerReference w:type="default" r:id="rId86"/>
          <w:footerReference w:type="default" r:id="rId87"/>
          <w:pgSz w:w="12240" w:h="15840"/>
          <w:pgMar w:top="1440" w:right="1800" w:bottom="1440" w:left="1800" w:header="720" w:footer="720" w:gutter="0"/>
          <w:paperSrc w:first="15" w:other="15"/>
          <w:pgNumType w:chapStyle="1"/>
          <w:cols w:space="720"/>
        </w:sectPr>
      </w:pPr>
    </w:p>
    <w:p w14:paraId="4A33A8AB" w14:textId="4B687525" w:rsidR="00265506" w:rsidRDefault="00265506" w:rsidP="00BE3F24">
      <w:pPr>
        <w:pStyle w:val="Heading2"/>
        <w:ind w:left="0" w:firstLine="0"/>
      </w:pPr>
      <w:bookmarkStart w:id="103" w:name="_Patching_Survey"/>
      <w:bookmarkStart w:id="104" w:name="_Toc479160081"/>
      <w:bookmarkStart w:id="105" w:name="_Toc514057972"/>
      <w:bookmarkStart w:id="106" w:name="_Toc194932366"/>
      <w:bookmarkEnd w:id="103"/>
      <w:r>
        <w:lastRenderedPageBreak/>
        <w:t>Patching Survey</w:t>
      </w:r>
      <w:bookmarkEnd w:id="104"/>
      <w:bookmarkEnd w:id="105"/>
      <w:bookmarkEnd w:id="106"/>
      <w:r>
        <w:t xml:space="preserve"> </w:t>
      </w:r>
    </w:p>
    <w:p w14:paraId="3ADA72FA" w14:textId="77777777" w:rsidR="00265506" w:rsidRDefault="00265506" w:rsidP="00BE3F24">
      <w:pPr>
        <w:pStyle w:val="Heading3"/>
        <w:ind w:left="0" w:firstLine="0"/>
        <w:jc w:val="both"/>
      </w:pPr>
      <w:r>
        <w:t>Purpose</w:t>
      </w:r>
    </w:p>
    <w:p w14:paraId="6979A5E7" w14:textId="77777777" w:rsidR="00265506" w:rsidRDefault="00265506" w:rsidP="00BE3F24">
      <w:pPr>
        <w:pStyle w:val="BodyText"/>
        <w:jc w:val="both"/>
      </w:pPr>
      <w:r>
        <w:t>Patching surveys are conducted on preservation and rehabilitation designs to:</w:t>
      </w:r>
    </w:p>
    <w:p w14:paraId="7ADE7AE3" w14:textId="77777777" w:rsidR="00265506" w:rsidRPr="00A42B5F" w:rsidRDefault="00265506" w:rsidP="00172E64">
      <w:pPr>
        <w:pStyle w:val="ListParagraph"/>
        <w:numPr>
          <w:ilvl w:val="0"/>
          <w:numId w:val="84"/>
        </w:numPr>
        <w:ind w:left="720" w:hanging="720"/>
        <w:jc w:val="both"/>
      </w:pPr>
      <w:r w:rsidRPr="00D839EF">
        <w:rPr>
          <w:rFonts w:ascii="Arial" w:hAnsi="Arial"/>
          <w:sz w:val="22"/>
        </w:rPr>
        <w:t>Identify types of patches</w:t>
      </w:r>
    </w:p>
    <w:p w14:paraId="441D4CDA" w14:textId="77777777" w:rsidR="00265506" w:rsidRPr="00A42B5F" w:rsidRDefault="00265506" w:rsidP="00172E64">
      <w:pPr>
        <w:pStyle w:val="ListParagraph"/>
        <w:numPr>
          <w:ilvl w:val="0"/>
          <w:numId w:val="84"/>
        </w:numPr>
        <w:ind w:left="720" w:hanging="720"/>
        <w:jc w:val="both"/>
      </w:pPr>
      <w:r w:rsidRPr="00D839EF">
        <w:rPr>
          <w:rFonts w:ascii="Arial" w:hAnsi="Arial"/>
          <w:sz w:val="22"/>
        </w:rPr>
        <w:t>Establish detailed quantity of patching</w:t>
      </w:r>
    </w:p>
    <w:p w14:paraId="331A20BC" w14:textId="77777777" w:rsidR="00265506" w:rsidRDefault="00265506" w:rsidP="00BE3F24">
      <w:pPr>
        <w:pStyle w:val="Heading3"/>
        <w:ind w:left="0" w:firstLine="0"/>
        <w:jc w:val="both"/>
      </w:pPr>
      <w:r>
        <w:t>Resource Requirements</w:t>
      </w:r>
    </w:p>
    <w:p w14:paraId="0C66A876" w14:textId="77777777" w:rsidR="00265506" w:rsidRDefault="00265506" w:rsidP="00BE3F24">
      <w:pPr>
        <w:pStyle w:val="BodyText"/>
        <w:jc w:val="both"/>
      </w:pPr>
      <w:r>
        <w:t>The patching survey procedure documented below requires the following staffing needs for a typical job:</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0"/>
        <w:gridCol w:w="2430"/>
        <w:gridCol w:w="1684"/>
        <w:gridCol w:w="1674"/>
      </w:tblGrid>
      <w:tr w:rsidR="00265506" w14:paraId="6487F686" w14:textId="77777777" w:rsidTr="00927B45">
        <w:trPr>
          <w:trHeight w:val="288"/>
          <w:jc w:val="center"/>
        </w:trPr>
        <w:tc>
          <w:tcPr>
            <w:tcW w:w="2700" w:type="dxa"/>
            <w:shd w:val="pct15" w:color="auto" w:fill="FFFFFF"/>
            <w:vAlign w:val="center"/>
          </w:tcPr>
          <w:p w14:paraId="59597A60" w14:textId="77777777" w:rsidR="00265506" w:rsidRDefault="00265506" w:rsidP="00D839EF">
            <w:pPr>
              <w:jc w:val="center"/>
              <w:rPr>
                <w:rFonts w:ascii="Arial" w:hAnsi="Arial"/>
                <w:b/>
              </w:rPr>
            </w:pPr>
            <w:r>
              <w:rPr>
                <w:rFonts w:ascii="Arial" w:hAnsi="Arial"/>
                <w:b/>
              </w:rPr>
              <w:t>Position</w:t>
            </w:r>
          </w:p>
        </w:tc>
        <w:tc>
          <w:tcPr>
            <w:tcW w:w="2430" w:type="dxa"/>
            <w:shd w:val="pct15" w:color="auto" w:fill="FFFFFF"/>
            <w:vAlign w:val="center"/>
          </w:tcPr>
          <w:p w14:paraId="58B8A7F7" w14:textId="77777777" w:rsidR="00265506" w:rsidRDefault="00265506" w:rsidP="00D839EF">
            <w:pPr>
              <w:jc w:val="center"/>
              <w:rPr>
                <w:rFonts w:ascii="Arial" w:hAnsi="Arial"/>
                <w:b/>
              </w:rPr>
            </w:pPr>
            <w:r>
              <w:rPr>
                <w:rFonts w:ascii="Arial" w:hAnsi="Arial"/>
                <w:b/>
              </w:rPr>
              <w:t>Function</w:t>
            </w:r>
          </w:p>
        </w:tc>
        <w:tc>
          <w:tcPr>
            <w:tcW w:w="1684" w:type="dxa"/>
            <w:shd w:val="pct15" w:color="auto" w:fill="FFFFFF"/>
            <w:vAlign w:val="center"/>
          </w:tcPr>
          <w:p w14:paraId="3F108892" w14:textId="77777777" w:rsidR="00265506" w:rsidRDefault="00265506" w:rsidP="00D839EF">
            <w:pPr>
              <w:jc w:val="center"/>
              <w:rPr>
                <w:rFonts w:ascii="Arial" w:hAnsi="Arial"/>
                <w:b/>
              </w:rPr>
            </w:pPr>
            <w:r>
              <w:rPr>
                <w:rFonts w:ascii="Arial" w:hAnsi="Arial"/>
                <w:b/>
              </w:rPr>
              <w:t>Resources</w:t>
            </w:r>
          </w:p>
        </w:tc>
        <w:tc>
          <w:tcPr>
            <w:tcW w:w="1674" w:type="dxa"/>
            <w:shd w:val="pct15" w:color="auto" w:fill="FFFFFF"/>
            <w:vAlign w:val="center"/>
          </w:tcPr>
          <w:p w14:paraId="78541AB5" w14:textId="77777777" w:rsidR="00265506" w:rsidRDefault="00265506" w:rsidP="00D839EF">
            <w:pPr>
              <w:jc w:val="center"/>
              <w:rPr>
                <w:rFonts w:ascii="Arial" w:hAnsi="Arial"/>
                <w:b/>
              </w:rPr>
            </w:pPr>
            <w:r>
              <w:rPr>
                <w:rFonts w:ascii="Arial" w:hAnsi="Arial"/>
                <w:b/>
              </w:rPr>
              <w:t>Effort Level</w:t>
            </w:r>
          </w:p>
          <w:p w14:paraId="4D919182" w14:textId="77777777" w:rsidR="00265506" w:rsidRDefault="00265506" w:rsidP="00D839EF">
            <w:pPr>
              <w:jc w:val="center"/>
              <w:rPr>
                <w:rFonts w:ascii="Arial" w:hAnsi="Arial"/>
                <w:b/>
              </w:rPr>
            </w:pPr>
            <w:r>
              <w:rPr>
                <w:rFonts w:ascii="Arial" w:hAnsi="Arial"/>
                <w:b/>
              </w:rPr>
              <w:t>(man-hours)</w:t>
            </w:r>
          </w:p>
        </w:tc>
      </w:tr>
      <w:tr w:rsidR="00265506" w14:paraId="7BD41B26" w14:textId="77777777" w:rsidTr="00927B45">
        <w:trPr>
          <w:trHeight w:val="288"/>
          <w:jc w:val="center"/>
        </w:trPr>
        <w:tc>
          <w:tcPr>
            <w:tcW w:w="2700" w:type="dxa"/>
            <w:vAlign w:val="center"/>
          </w:tcPr>
          <w:p w14:paraId="4F096BC3" w14:textId="77777777" w:rsidR="00265506" w:rsidRDefault="00265506" w:rsidP="00D839EF">
            <w:pPr>
              <w:jc w:val="center"/>
              <w:rPr>
                <w:rFonts w:ascii="Arial" w:hAnsi="Arial"/>
                <w:sz w:val="18"/>
              </w:rPr>
            </w:pPr>
            <w:r>
              <w:rPr>
                <w:rFonts w:ascii="Arial" w:hAnsi="Arial"/>
                <w:sz w:val="18"/>
              </w:rPr>
              <w:t>Staff Engineer</w:t>
            </w:r>
          </w:p>
        </w:tc>
        <w:tc>
          <w:tcPr>
            <w:tcW w:w="2430" w:type="dxa"/>
            <w:vAlign w:val="center"/>
          </w:tcPr>
          <w:p w14:paraId="3778060F" w14:textId="77777777" w:rsidR="00265506" w:rsidRDefault="00265506" w:rsidP="00D839EF">
            <w:pPr>
              <w:jc w:val="center"/>
              <w:rPr>
                <w:rFonts w:ascii="Arial" w:hAnsi="Arial"/>
                <w:sz w:val="18"/>
              </w:rPr>
            </w:pPr>
            <w:r>
              <w:rPr>
                <w:rFonts w:ascii="Arial" w:hAnsi="Arial"/>
                <w:sz w:val="18"/>
              </w:rPr>
              <w:t>Data Collection</w:t>
            </w:r>
          </w:p>
        </w:tc>
        <w:tc>
          <w:tcPr>
            <w:tcW w:w="1684" w:type="dxa"/>
            <w:vAlign w:val="center"/>
          </w:tcPr>
          <w:p w14:paraId="128D4EB6" w14:textId="77777777" w:rsidR="00265506" w:rsidRDefault="00265506" w:rsidP="00D839EF">
            <w:pPr>
              <w:jc w:val="center"/>
              <w:rPr>
                <w:rFonts w:ascii="Arial" w:hAnsi="Arial"/>
                <w:sz w:val="18"/>
              </w:rPr>
            </w:pPr>
            <w:r>
              <w:rPr>
                <w:rFonts w:ascii="Arial" w:hAnsi="Arial"/>
                <w:sz w:val="18"/>
              </w:rPr>
              <w:t>1</w:t>
            </w:r>
          </w:p>
        </w:tc>
        <w:tc>
          <w:tcPr>
            <w:tcW w:w="1674" w:type="dxa"/>
            <w:vAlign w:val="center"/>
          </w:tcPr>
          <w:p w14:paraId="521146C0" w14:textId="77777777" w:rsidR="00265506" w:rsidRDefault="00013CE4" w:rsidP="00D839EF">
            <w:pPr>
              <w:jc w:val="center"/>
              <w:rPr>
                <w:rFonts w:ascii="Arial" w:hAnsi="Arial"/>
                <w:sz w:val="18"/>
              </w:rPr>
            </w:pPr>
            <w:r>
              <w:rPr>
                <w:rFonts w:ascii="Arial" w:hAnsi="Arial"/>
                <w:sz w:val="18"/>
              </w:rPr>
              <w:t>8</w:t>
            </w:r>
          </w:p>
        </w:tc>
      </w:tr>
      <w:tr w:rsidR="00265506" w14:paraId="01E30C12" w14:textId="77777777" w:rsidTr="00927B45">
        <w:trPr>
          <w:trHeight w:val="288"/>
          <w:jc w:val="center"/>
        </w:trPr>
        <w:tc>
          <w:tcPr>
            <w:tcW w:w="2700" w:type="dxa"/>
            <w:vAlign w:val="center"/>
          </w:tcPr>
          <w:p w14:paraId="1322741F" w14:textId="77777777" w:rsidR="00265506" w:rsidRDefault="00265506" w:rsidP="00D839EF">
            <w:pPr>
              <w:jc w:val="center"/>
              <w:rPr>
                <w:rFonts w:ascii="Arial" w:hAnsi="Arial"/>
                <w:sz w:val="18"/>
              </w:rPr>
            </w:pPr>
            <w:r>
              <w:rPr>
                <w:rFonts w:ascii="Arial" w:hAnsi="Arial"/>
                <w:sz w:val="18"/>
              </w:rPr>
              <w:t>Staff Engineer</w:t>
            </w:r>
          </w:p>
        </w:tc>
        <w:tc>
          <w:tcPr>
            <w:tcW w:w="2430" w:type="dxa"/>
            <w:vAlign w:val="center"/>
          </w:tcPr>
          <w:p w14:paraId="2BCD91B8" w14:textId="77777777" w:rsidR="00265506" w:rsidRDefault="00265506" w:rsidP="00D839EF">
            <w:pPr>
              <w:jc w:val="center"/>
              <w:rPr>
                <w:rFonts w:ascii="Arial" w:hAnsi="Arial"/>
                <w:sz w:val="18"/>
              </w:rPr>
            </w:pPr>
            <w:r>
              <w:rPr>
                <w:rFonts w:ascii="Arial" w:hAnsi="Arial"/>
                <w:sz w:val="18"/>
              </w:rPr>
              <w:t>Data Entry/Processing</w:t>
            </w:r>
          </w:p>
        </w:tc>
        <w:tc>
          <w:tcPr>
            <w:tcW w:w="1684" w:type="dxa"/>
            <w:vAlign w:val="center"/>
          </w:tcPr>
          <w:p w14:paraId="085C0C20" w14:textId="77777777" w:rsidR="00265506" w:rsidRDefault="00265506" w:rsidP="00D839EF">
            <w:pPr>
              <w:jc w:val="center"/>
              <w:rPr>
                <w:rFonts w:ascii="Arial" w:hAnsi="Arial"/>
                <w:sz w:val="18"/>
              </w:rPr>
            </w:pPr>
            <w:r>
              <w:rPr>
                <w:rFonts w:ascii="Arial" w:hAnsi="Arial"/>
                <w:sz w:val="18"/>
              </w:rPr>
              <w:t>1</w:t>
            </w:r>
          </w:p>
        </w:tc>
        <w:tc>
          <w:tcPr>
            <w:tcW w:w="1674" w:type="dxa"/>
            <w:vAlign w:val="center"/>
          </w:tcPr>
          <w:p w14:paraId="4E49D7A7" w14:textId="77777777" w:rsidR="00265506" w:rsidRDefault="00265506" w:rsidP="00D839EF">
            <w:pPr>
              <w:jc w:val="center"/>
              <w:rPr>
                <w:rFonts w:ascii="Arial" w:hAnsi="Arial"/>
                <w:sz w:val="18"/>
              </w:rPr>
            </w:pPr>
            <w:r>
              <w:rPr>
                <w:rFonts w:ascii="Arial" w:hAnsi="Arial"/>
                <w:sz w:val="18"/>
              </w:rPr>
              <w:t>2</w:t>
            </w:r>
          </w:p>
        </w:tc>
      </w:tr>
      <w:tr w:rsidR="00265506" w14:paraId="6E8D6D00" w14:textId="77777777" w:rsidTr="00927B45">
        <w:trPr>
          <w:trHeight w:val="288"/>
          <w:jc w:val="center"/>
        </w:trPr>
        <w:tc>
          <w:tcPr>
            <w:tcW w:w="2700" w:type="dxa"/>
            <w:vAlign w:val="center"/>
          </w:tcPr>
          <w:p w14:paraId="7E52BF50" w14:textId="77777777" w:rsidR="00265506" w:rsidRDefault="00265506" w:rsidP="00D839EF">
            <w:pPr>
              <w:jc w:val="center"/>
              <w:rPr>
                <w:rFonts w:ascii="Arial" w:hAnsi="Arial"/>
                <w:sz w:val="18"/>
              </w:rPr>
            </w:pPr>
            <w:r>
              <w:rPr>
                <w:rFonts w:ascii="Arial" w:hAnsi="Arial"/>
                <w:sz w:val="18"/>
              </w:rPr>
              <w:t>Staff Engineer</w:t>
            </w:r>
          </w:p>
        </w:tc>
        <w:tc>
          <w:tcPr>
            <w:tcW w:w="2430" w:type="dxa"/>
            <w:vAlign w:val="center"/>
          </w:tcPr>
          <w:p w14:paraId="478269C8" w14:textId="77777777" w:rsidR="00265506" w:rsidRDefault="00265506" w:rsidP="00D839EF">
            <w:pPr>
              <w:jc w:val="center"/>
              <w:rPr>
                <w:rFonts w:ascii="Arial" w:hAnsi="Arial"/>
                <w:sz w:val="18"/>
              </w:rPr>
            </w:pPr>
            <w:r>
              <w:rPr>
                <w:rFonts w:ascii="Arial" w:hAnsi="Arial"/>
                <w:sz w:val="18"/>
              </w:rPr>
              <w:t>QC Field Work</w:t>
            </w:r>
          </w:p>
        </w:tc>
        <w:tc>
          <w:tcPr>
            <w:tcW w:w="1684" w:type="dxa"/>
            <w:vAlign w:val="center"/>
          </w:tcPr>
          <w:p w14:paraId="71210907" w14:textId="77777777" w:rsidR="00265506" w:rsidRDefault="00265506" w:rsidP="00D839EF">
            <w:pPr>
              <w:jc w:val="center"/>
              <w:rPr>
                <w:rFonts w:ascii="Arial" w:hAnsi="Arial"/>
                <w:sz w:val="18"/>
              </w:rPr>
            </w:pPr>
            <w:r>
              <w:rPr>
                <w:rFonts w:ascii="Arial" w:hAnsi="Arial"/>
                <w:sz w:val="18"/>
              </w:rPr>
              <w:t>1</w:t>
            </w:r>
          </w:p>
        </w:tc>
        <w:tc>
          <w:tcPr>
            <w:tcW w:w="1674" w:type="dxa"/>
            <w:vAlign w:val="center"/>
          </w:tcPr>
          <w:p w14:paraId="1B64368D" w14:textId="77777777" w:rsidR="00265506" w:rsidRDefault="00265506" w:rsidP="00D839EF">
            <w:pPr>
              <w:jc w:val="center"/>
              <w:rPr>
                <w:rFonts w:ascii="Arial" w:hAnsi="Arial"/>
                <w:sz w:val="18"/>
              </w:rPr>
            </w:pPr>
            <w:r>
              <w:rPr>
                <w:rFonts w:ascii="Arial" w:hAnsi="Arial"/>
                <w:sz w:val="18"/>
              </w:rPr>
              <w:t>2</w:t>
            </w:r>
          </w:p>
        </w:tc>
      </w:tr>
    </w:tbl>
    <w:p w14:paraId="429B9887" w14:textId="77777777" w:rsidR="00265506" w:rsidRDefault="00265506" w:rsidP="00BE3F24">
      <w:pPr>
        <w:pStyle w:val="Heading3"/>
        <w:ind w:left="0" w:firstLine="0"/>
        <w:jc w:val="both"/>
      </w:pPr>
      <w:r>
        <w:t>Procedure</w:t>
      </w:r>
    </w:p>
    <w:p w14:paraId="663752E0" w14:textId="7DC7DA4F" w:rsidR="00265506" w:rsidRDefault="00265506" w:rsidP="00BE3F24">
      <w:pPr>
        <w:pStyle w:val="BodyText"/>
        <w:jc w:val="both"/>
      </w:pPr>
      <w:r>
        <w:t xml:space="preserve">The procedure presented in </w:t>
      </w:r>
      <w:r w:rsidRPr="00BA1669">
        <w:t>the attached flowchart</w:t>
      </w:r>
      <w:r>
        <w:t xml:space="preserve"> and described </w:t>
      </w:r>
      <w:r w:rsidR="002D3A2F">
        <w:t>below</w:t>
      </w:r>
      <w:r>
        <w:t xml:space="preserve"> should be followed to identify patching locations.  Locations should be identified after the design</w:t>
      </w:r>
      <w:r w:rsidR="002B7F3B">
        <w:t>er</w:t>
      </w:r>
      <w:r>
        <w:t xml:space="preserve"> has selected the preferred design alternate.  The evaluation described below is conducted while walking slowly alongside the highway pavement. Protective clothing must be worn (safety vest and hard hat) at all times when conducting the survey.  In addition, a survey vehicle equipped with a mounted flashing light should be parked behind the surveyor at all times.</w:t>
      </w:r>
    </w:p>
    <w:p w14:paraId="7373416D" w14:textId="77777777" w:rsidR="00265506" w:rsidRDefault="00265506" w:rsidP="00D839EF">
      <w:pPr>
        <w:pStyle w:val="ListNumber"/>
        <w:numPr>
          <w:ilvl w:val="0"/>
          <w:numId w:val="2"/>
        </w:numPr>
        <w:tabs>
          <w:tab w:val="clear" w:pos="1872"/>
          <w:tab w:val="num" w:pos="1080"/>
        </w:tabs>
        <w:spacing w:before="240"/>
        <w:ind w:left="1080" w:hanging="1080"/>
        <w:jc w:val="both"/>
      </w:pPr>
      <w:r>
        <w:t xml:space="preserve">Review the </w:t>
      </w:r>
      <w:hyperlink w:anchor="_Patching_and_Joint_1" w:history="1">
        <w:r w:rsidRPr="00390ECA">
          <w:rPr>
            <w:rStyle w:val="Hyperlink"/>
          </w:rPr>
          <w:t>Patching Guidelines</w:t>
        </w:r>
      </w:hyperlink>
      <w:r>
        <w:t xml:space="preserve"> forms and review the rehabilitation strategy for the particular project to understand the specific criteria for patching.</w:t>
      </w:r>
    </w:p>
    <w:p w14:paraId="27A1DB93" w14:textId="77777777" w:rsidR="00265506" w:rsidRDefault="00265506" w:rsidP="00D839EF">
      <w:pPr>
        <w:pStyle w:val="ListNumber"/>
        <w:numPr>
          <w:ilvl w:val="0"/>
          <w:numId w:val="2"/>
        </w:numPr>
        <w:tabs>
          <w:tab w:val="clear" w:pos="1872"/>
          <w:tab w:val="num" w:pos="1080"/>
        </w:tabs>
        <w:ind w:left="1080" w:hanging="1080"/>
        <w:jc w:val="both"/>
      </w:pPr>
      <w:r>
        <w:t>The entire length of the job should be evaluated by walking slowly along the pavement.  Survey the entire pavement width, including the shoulders, ramps, and intersections to identify:</w:t>
      </w:r>
    </w:p>
    <w:p w14:paraId="22EF2E99" w14:textId="05378062" w:rsidR="00265506" w:rsidRDefault="002D3A2F" w:rsidP="00172E64">
      <w:pPr>
        <w:pStyle w:val="ListBullet"/>
        <w:numPr>
          <w:ilvl w:val="0"/>
          <w:numId w:val="175"/>
        </w:numPr>
        <w:ind w:left="1440"/>
      </w:pPr>
      <w:r>
        <w:t>P</w:t>
      </w:r>
      <w:r w:rsidR="00265506">
        <w:t>atching lane</w:t>
      </w:r>
    </w:p>
    <w:p w14:paraId="4CDB6CA3" w14:textId="3D44DFB5" w:rsidR="00265506" w:rsidRDefault="002D3A2F" w:rsidP="00172E64">
      <w:pPr>
        <w:pStyle w:val="ListBullet"/>
        <w:numPr>
          <w:ilvl w:val="0"/>
          <w:numId w:val="175"/>
        </w:numPr>
        <w:ind w:left="1440"/>
      </w:pPr>
      <w:r>
        <w:t>L</w:t>
      </w:r>
      <w:r w:rsidR="00265506">
        <w:t>ocation of patch within lane (All, IWP, OWP)</w:t>
      </w:r>
    </w:p>
    <w:p w14:paraId="18E386E1" w14:textId="3A1BFE7F" w:rsidR="00265506" w:rsidRDefault="002D3A2F" w:rsidP="00172E64">
      <w:pPr>
        <w:pStyle w:val="ListBullet"/>
        <w:numPr>
          <w:ilvl w:val="0"/>
          <w:numId w:val="175"/>
        </w:numPr>
        <w:ind w:left="1440"/>
      </w:pPr>
      <w:r>
        <w:t>B</w:t>
      </w:r>
      <w:r w:rsidR="00265506">
        <w:t>egin</w:t>
      </w:r>
      <w:r>
        <w:t>ning</w:t>
      </w:r>
      <w:r w:rsidR="00265506">
        <w:t xml:space="preserve"> and end</w:t>
      </w:r>
      <w:r>
        <w:t>ing</w:t>
      </w:r>
      <w:r w:rsidR="00265506">
        <w:t xml:space="preserve"> locations of patch</w:t>
      </w:r>
    </w:p>
    <w:p w14:paraId="6BBA1B29" w14:textId="5EFF31DD" w:rsidR="00265506" w:rsidRDefault="002D3A2F" w:rsidP="00172E64">
      <w:pPr>
        <w:pStyle w:val="ListBullet"/>
        <w:numPr>
          <w:ilvl w:val="0"/>
          <w:numId w:val="175"/>
        </w:numPr>
        <w:ind w:left="1440"/>
      </w:pPr>
      <w:r>
        <w:t>D</w:t>
      </w:r>
      <w:r w:rsidR="00265506">
        <w:t>istress type and severity patched</w:t>
      </w:r>
    </w:p>
    <w:p w14:paraId="5DB0E14A" w14:textId="5E831BBB" w:rsidR="00265506" w:rsidRDefault="002D3A2F" w:rsidP="00172E64">
      <w:pPr>
        <w:pStyle w:val="ListBullet"/>
        <w:numPr>
          <w:ilvl w:val="0"/>
          <w:numId w:val="175"/>
        </w:numPr>
        <w:ind w:left="1440"/>
      </w:pPr>
      <w:r>
        <w:t>P</w:t>
      </w:r>
      <w:r w:rsidR="00265506">
        <w:t>atch</w:t>
      </w:r>
      <w:r w:rsidR="002B7F3B">
        <w:t xml:space="preserve"> depth</w:t>
      </w:r>
      <w:r>
        <w:t>,</w:t>
      </w:r>
      <w:r w:rsidR="00265506">
        <w:t xml:space="preserve"> length</w:t>
      </w:r>
      <w:r>
        <w:t>,</w:t>
      </w:r>
      <w:r w:rsidR="00265506">
        <w:t xml:space="preserve"> and width or size</w:t>
      </w:r>
    </w:p>
    <w:p w14:paraId="65BFB536" w14:textId="77777777" w:rsidR="00265506" w:rsidRDefault="00265506" w:rsidP="00172E64">
      <w:pPr>
        <w:pStyle w:val="ListBullet"/>
        <w:numPr>
          <w:ilvl w:val="0"/>
          <w:numId w:val="175"/>
        </w:numPr>
        <w:ind w:left="1440"/>
      </w:pPr>
      <w:r>
        <w:t>Whether the patch should be full- or partial-depth</w:t>
      </w:r>
    </w:p>
    <w:p w14:paraId="0697D6F3" w14:textId="19DC78FE" w:rsidR="00265506" w:rsidRDefault="00265506" w:rsidP="00D839EF">
      <w:pPr>
        <w:pStyle w:val="ListNumber"/>
        <w:numPr>
          <w:ilvl w:val="0"/>
          <w:numId w:val="2"/>
        </w:numPr>
        <w:tabs>
          <w:tab w:val="clear" w:pos="1872"/>
          <w:tab w:val="num" w:pos="1080"/>
        </w:tabs>
        <w:ind w:left="1080" w:hanging="1080"/>
        <w:jc w:val="both"/>
      </w:pPr>
      <w:r>
        <w:t>Document the information recorded in Step 2 on the</w:t>
      </w:r>
      <w:r w:rsidR="0046520D">
        <w:t xml:space="preserve"> </w:t>
      </w:r>
      <w:hyperlink r:id="rId88" w:history="1">
        <w:r w:rsidR="0046520D" w:rsidRPr="0046520D">
          <w:rPr>
            <w:rStyle w:val="Hyperlink"/>
          </w:rPr>
          <w:t>PD-12 Pavement Patching Survey</w:t>
        </w:r>
      </w:hyperlink>
      <w:r w:rsidR="0046520D">
        <w:t>, e</w:t>
      </w:r>
      <w:r>
        <w:t>nter the patching locations and extents and print out the patching report to be included in the project files.  Sum total of patching areas for partial-depth and full-depth patching for entire project.</w:t>
      </w:r>
    </w:p>
    <w:p w14:paraId="0A1DE533" w14:textId="3A1A7440" w:rsidR="00265506" w:rsidRDefault="00265506" w:rsidP="00D839EF">
      <w:pPr>
        <w:pStyle w:val="ListNumber"/>
        <w:numPr>
          <w:ilvl w:val="0"/>
          <w:numId w:val="2"/>
        </w:numPr>
        <w:tabs>
          <w:tab w:val="clear" w:pos="1872"/>
          <w:tab w:val="num" w:pos="1080"/>
        </w:tabs>
        <w:ind w:left="1080" w:hanging="1080"/>
        <w:jc w:val="both"/>
      </w:pPr>
      <w:r>
        <w:t>Perform QA of patch quantities to ensure correctness of patch quantities, either through a windshield review or through use of Visidata</w:t>
      </w:r>
      <w:r w:rsidRPr="002D3A2F">
        <w:t>.  If</w:t>
      </w:r>
      <w:r>
        <w:t xml:space="preserve"> quantities appear to be erroneous, discuss with Design Engineer and correct as appropriate. </w:t>
      </w:r>
    </w:p>
    <w:p w14:paraId="37EE7C7E" w14:textId="77777777" w:rsidR="00265506" w:rsidRDefault="00265506" w:rsidP="00D839EF">
      <w:pPr>
        <w:pStyle w:val="ListNumber"/>
        <w:numPr>
          <w:ilvl w:val="0"/>
          <w:numId w:val="2"/>
        </w:numPr>
        <w:tabs>
          <w:tab w:val="clear" w:pos="1872"/>
          <w:tab w:val="num" w:pos="1080"/>
        </w:tabs>
        <w:ind w:left="1080" w:hanging="1080"/>
        <w:jc w:val="both"/>
      </w:pPr>
      <w:r>
        <w:t>Place all completed forms in project file.</w:t>
      </w:r>
      <w:r>
        <w:br w:type="page"/>
      </w:r>
    </w:p>
    <w:p w14:paraId="532AB2A2" w14:textId="77777777" w:rsidR="00265506" w:rsidRDefault="00265506" w:rsidP="00BE3F24">
      <w:pPr>
        <w:rPr>
          <w:rFonts w:ascii="Arial" w:hAnsi="Arial"/>
        </w:rPr>
        <w:sectPr w:rsidR="00265506" w:rsidSect="00782FE3">
          <w:headerReference w:type="default" r:id="rId89"/>
          <w:footerReference w:type="default" r:id="rId90"/>
          <w:pgSz w:w="12240" w:h="15840"/>
          <w:pgMar w:top="1440" w:right="1800" w:bottom="1440" w:left="1800" w:header="720" w:footer="720" w:gutter="0"/>
          <w:pgNumType w:chapStyle="1"/>
          <w:cols w:space="720"/>
          <w:docGrid w:linePitch="272"/>
        </w:sectPr>
      </w:pPr>
    </w:p>
    <w:p w14:paraId="2813C7EC" w14:textId="111E1C52" w:rsidR="00265506" w:rsidRDefault="00265506" w:rsidP="00BE3F24">
      <w:pPr>
        <w:pStyle w:val="Heading2"/>
        <w:ind w:left="0" w:firstLine="0"/>
      </w:pPr>
      <w:bookmarkStart w:id="107" w:name="_Falling_Weight_Deflectometer"/>
      <w:bookmarkStart w:id="108" w:name="_Toc479160082"/>
      <w:bookmarkStart w:id="109" w:name="_Toc514057973"/>
      <w:bookmarkStart w:id="110" w:name="_Toc194932367"/>
      <w:bookmarkEnd w:id="107"/>
      <w:r>
        <w:lastRenderedPageBreak/>
        <w:t>Falling Weight Deflectometer (FWD) Testing</w:t>
      </w:r>
      <w:bookmarkEnd w:id="108"/>
      <w:bookmarkEnd w:id="109"/>
      <w:bookmarkEnd w:id="110"/>
      <w:r>
        <w:t xml:space="preserve"> </w:t>
      </w:r>
    </w:p>
    <w:p w14:paraId="19E95EC3" w14:textId="77777777" w:rsidR="001F32D3" w:rsidRPr="008F604D" w:rsidRDefault="001F32D3" w:rsidP="001F32D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WD_Data_Analysis_1" w:history="1">
        <w:r w:rsidRPr="001F32D3">
          <w:rPr>
            <w:rStyle w:val="Hyperlink"/>
            <w:rFonts w:ascii="Arial" w:hAnsi="Arial" w:cs="Arial"/>
            <w:bCs/>
            <w:sz w:val="16"/>
            <w:szCs w:val="16"/>
          </w:rPr>
          <w:t>FWD Data Analysis Background</w:t>
        </w:r>
      </w:hyperlink>
    </w:p>
    <w:p w14:paraId="28E510E5" w14:textId="77777777" w:rsidR="00265506" w:rsidRDefault="00265506" w:rsidP="00BE3F24">
      <w:pPr>
        <w:pStyle w:val="Heading3"/>
        <w:ind w:left="0" w:firstLine="0"/>
        <w:jc w:val="both"/>
      </w:pPr>
      <w:r>
        <w:t>Purpose</w:t>
      </w:r>
    </w:p>
    <w:p w14:paraId="76C5E18D" w14:textId="77777777" w:rsidR="00265506" w:rsidRDefault="00265506" w:rsidP="00BE3F24">
      <w:pPr>
        <w:pStyle w:val="BodyText"/>
        <w:jc w:val="both"/>
      </w:pPr>
      <w:r>
        <w:t>FWD Testing is conducted to:</w:t>
      </w:r>
    </w:p>
    <w:p w14:paraId="206ADF8D" w14:textId="77777777" w:rsidR="00265506" w:rsidRPr="00A42B5F" w:rsidRDefault="00265506" w:rsidP="00172E64">
      <w:pPr>
        <w:pStyle w:val="ListParagraph"/>
        <w:numPr>
          <w:ilvl w:val="0"/>
          <w:numId w:val="84"/>
        </w:numPr>
        <w:ind w:left="720" w:hanging="720"/>
        <w:jc w:val="both"/>
      </w:pPr>
      <w:r w:rsidRPr="00D839EF">
        <w:rPr>
          <w:rFonts w:ascii="Arial" w:hAnsi="Arial"/>
          <w:sz w:val="22"/>
        </w:rPr>
        <w:t>Collect data to determine the soil and subgrade strength</w:t>
      </w:r>
    </w:p>
    <w:p w14:paraId="3F0EEB7B" w14:textId="77777777" w:rsidR="00265506" w:rsidRPr="00A42B5F" w:rsidRDefault="00265506" w:rsidP="00172E64">
      <w:pPr>
        <w:pStyle w:val="ListParagraph"/>
        <w:numPr>
          <w:ilvl w:val="0"/>
          <w:numId w:val="84"/>
        </w:numPr>
        <w:ind w:left="720" w:hanging="720"/>
        <w:jc w:val="both"/>
      </w:pPr>
      <w:r w:rsidRPr="00D839EF">
        <w:rPr>
          <w:rFonts w:ascii="Arial" w:hAnsi="Arial"/>
          <w:sz w:val="22"/>
        </w:rPr>
        <w:t xml:space="preserve">Collect data to estimate the structural capacity of the pavement structure and the material properties of the individual pavement layers </w:t>
      </w:r>
    </w:p>
    <w:p w14:paraId="3A6C9D8F" w14:textId="77777777" w:rsidR="00265506" w:rsidRPr="00A42B5F" w:rsidRDefault="00265506" w:rsidP="00172E64">
      <w:pPr>
        <w:pStyle w:val="ListParagraph"/>
        <w:numPr>
          <w:ilvl w:val="0"/>
          <w:numId w:val="84"/>
        </w:numPr>
        <w:ind w:left="720" w:hanging="720"/>
        <w:jc w:val="both"/>
      </w:pPr>
      <w:r w:rsidRPr="00D839EF">
        <w:rPr>
          <w:rFonts w:ascii="Arial" w:hAnsi="Arial"/>
          <w:sz w:val="22"/>
        </w:rPr>
        <w:t>Collect data to estimate the load transfer ability of joints</w:t>
      </w:r>
      <w:r w:rsidR="00807270" w:rsidRPr="00D839EF">
        <w:rPr>
          <w:rFonts w:ascii="Arial" w:hAnsi="Arial"/>
          <w:sz w:val="22"/>
        </w:rPr>
        <w:t xml:space="preserve"> </w:t>
      </w:r>
      <w:r w:rsidR="00C93B70" w:rsidRPr="00D839EF">
        <w:rPr>
          <w:rFonts w:ascii="Arial" w:hAnsi="Arial"/>
          <w:sz w:val="22"/>
        </w:rPr>
        <w:t>and void detection (corners)</w:t>
      </w:r>
      <w:r w:rsidRPr="00D839EF">
        <w:rPr>
          <w:rFonts w:ascii="Arial" w:hAnsi="Arial"/>
          <w:sz w:val="22"/>
        </w:rPr>
        <w:t xml:space="preserve"> in jointed rigid and composite pavements</w:t>
      </w:r>
    </w:p>
    <w:p w14:paraId="73E5428D" w14:textId="77777777" w:rsidR="00265506" w:rsidRDefault="00265506" w:rsidP="00172E64">
      <w:pPr>
        <w:pStyle w:val="ListParagraph"/>
        <w:numPr>
          <w:ilvl w:val="0"/>
          <w:numId w:val="84"/>
        </w:numPr>
        <w:ind w:left="720" w:hanging="720"/>
        <w:jc w:val="both"/>
      </w:pPr>
      <w:r w:rsidRPr="00D839EF">
        <w:rPr>
          <w:rFonts w:ascii="Arial" w:hAnsi="Arial"/>
          <w:sz w:val="22"/>
        </w:rPr>
        <w:t>Determine statistically different performing pavement sections and sub-section</w:t>
      </w:r>
      <w:r>
        <w:t>s</w:t>
      </w:r>
    </w:p>
    <w:p w14:paraId="01F98641" w14:textId="77777777" w:rsidR="00265506" w:rsidRDefault="00265506" w:rsidP="00BE3F24">
      <w:pPr>
        <w:pStyle w:val="Heading3"/>
        <w:ind w:left="0" w:firstLine="0"/>
        <w:jc w:val="both"/>
      </w:pPr>
      <w:r>
        <w:t>Resource Requirements</w:t>
      </w:r>
    </w:p>
    <w:p w14:paraId="5CA01905" w14:textId="77777777" w:rsidR="00265506" w:rsidRDefault="00265506" w:rsidP="00BE3F24">
      <w:pPr>
        <w:pStyle w:val="BodyText"/>
        <w:jc w:val="both"/>
      </w:pPr>
      <w:r>
        <w:t>The FWD testing procedure documented below requires the following staffing needs for a typical job:</w:t>
      </w:r>
    </w:p>
    <w:tbl>
      <w:tblPr>
        <w:tblW w:w="8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3060"/>
        <w:gridCol w:w="2520"/>
        <w:gridCol w:w="1345"/>
        <w:gridCol w:w="1530"/>
      </w:tblGrid>
      <w:tr w:rsidR="00115674" w14:paraId="4CFD3B43" w14:textId="77777777" w:rsidTr="001E3BE6">
        <w:trPr>
          <w:trHeight w:val="288"/>
          <w:jc w:val="center"/>
        </w:trPr>
        <w:tc>
          <w:tcPr>
            <w:tcW w:w="3060" w:type="dxa"/>
            <w:shd w:val="pct15" w:color="auto" w:fill="FFFFFF"/>
            <w:vAlign w:val="center"/>
          </w:tcPr>
          <w:p w14:paraId="04ECB182" w14:textId="77777777" w:rsidR="00265506" w:rsidRDefault="00265506" w:rsidP="00D839EF">
            <w:pPr>
              <w:jc w:val="center"/>
              <w:rPr>
                <w:rFonts w:ascii="Arial" w:hAnsi="Arial"/>
                <w:b/>
              </w:rPr>
            </w:pPr>
            <w:r>
              <w:rPr>
                <w:rFonts w:ascii="Arial" w:hAnsi="Arial"/>
                <w:b/>
              </w:rPr>
              <w:t>Position</w:t>
            </w:r>
          </w:p>
        </w:tc>
        <w:tc>
          <w:tcPr>
            <w:tcW w:w="2520" w:type="dxa"/>
            <w:shd w:val="pct15" w:color="auto" w:fill="FFFFFF"/>
            <w:vAlign w:val="center"/>
          </w:tcPr>
          <w:p w14:paraId="076286CC" w14:textId="77777777" w:rsidR="00265506" w:rsidRDefault="00265506" w:rsidP="00D839EF">
            <w:pPr>
              <w:jc w:val="center"/>
              <w:rPr>
                <w:rFonts w:ascii="Arial" w:hAnsi="Arial"/>
                <w:b/>
              </w:rPr>
            </w:pPr>
            <w:r>
              <w:rPr>
                <w:rFonts w:ascii="Arial" w:hAnsi="Arial"/>
                <w:b/>
              </w:rPr>
              <w:t>Function</w:t>
            </w:r>
          </w:p>
        </w:tc>
        <w:tc>
          <w:tcPr>
            <w:tcW w:w="1345" w:type="dxa"/>
            <w:shd w:val="pct15" w:color="auto" w:fill="FFFFFF"/>
            <w:vAlign w:val="center"/>
          </w:tcPr>
          <w:p w14:paraId="69D9E6EC" w14:textId="77777777" w:rsidR="00265506" w:rsidRDefault="00265506" w:rsidP="00D839EF">
            <w:pPr>
              <w:jc w:val="center"/>
              <w:rPr>
                <w:rFonts w:ascii="Arial" w:hAnsi="Arial"/>
                <w:b/>
              </w:rPr>
            </w:pPr>
            <w:r>
              <w:rPr>
                <w:rFonts w:ascii="Arial" w:hAnsi="Arial"/>
                <w:b/>
              </w:rPr>
              <w:t>Resources</w:t>
            </w:r>
          </w:p>
        </w:tc>
        <w:tc>
          <w:tcPr>
            <w:tcW w:w="1530" w:type="dxa"/>
            <w:shd w:val="pct15" w:color="auto" w:fill="FFFFFF"/>
            <w:vAlign w:val="center"/>
          </w:tcPr>
          <w:p w14:paraId="677CC905" w14:textId="77777777" w:rsidR="00265506" w:rsidRDefault="00265506" w:rsidP="00D839EF">
            <w:pPr>
              <w:jc w:val="center"/>
              <w:rPr>
                <w:rFonts w:ascii="Arial" w:hAnsi="Arial"/>
                <w:b/>
              </w:rPr>
            </w:pPr>
            <w:r>
              <w:rPr>
                <w:rFonts w:ascii="Arial" w:hAnsi="Arial"/>
                <w:b/>
              </w:rPr>
              <w:t>Effort Level</w:t>
            </w:r>
          </w:p>
          <w:p w14:paraId="3938A420" w14:textId="77777777" w:rsidR="00265506" w:rsidRDefault="00265506" w:rsidP="00D839EF">
            <w:pPr>
              <w:jc w:val="center"/>
              <w:rPr>
                <w:rFonts w:ascii="Arial" w:hAnsi="Arial"/>
                <w:b/>
              </w:rPr>
            </w:pPr>
            <w:r>
              <w:rPr>
                <w:rFonts w:ascii="Arial" w:hAnsi="Arial"/>
                <w:b/>
              </w:rPr>
              <w:t>(man-hours)</w:t>
            </w:r>
          </w:p>
        </w:tc>
      </w:tr>
      <w:tr w:rsidR="00265506" w14:paraId="2975D201" w14:textId="77777777" w:rsidTr="001E3BE6">
        <w:trPr>
          <w:trHeight w:val="288"/>
          <w:jc w:val="center"/>
        </w:trPr>
        <w:tc>
          <w:tcPr>
            <w:tcW w:w="3060" w:type="dxa"/>
            <w:vAlign w:val="center"/>
          </w:tcPr>
          <w:p w14:paraId="29D758CD" w14:textId="77777777" w:rsidR="00265506" w:rsidRDefault="00265506" w:rsidP="00D839EF">
            <w:pPr>
              <w:jc w:val="center"/>
              <w:rPr>
                <w:rFonts w:ascii="Arial" w:hAnsi="Arial"/>
                <w:sz w:val="18"/>
              </w:rPr>
            </w:pPr>
            <w:r>
              <w:rPr>
                <w:rFonts w:ascii="Arial" w:hAnsi="Arial"/>
                <w:sz w:val="18"/>
              </w:rPr>
              <w:t>Staff Engineer or Project Engineer</w:t>
            </w:r>
          </w:p>
        </w:tc>
        <w:tc>
          <w:tcPr>
            <w:tcW w:w="2520" w:type="dxa"/>
            <w:vAlign w:val="center"/>
          </w:tcPr>
          <w:p w14:paraId="457673AF" w14:textId="77777777" w:rsidR="00265506" w:rsidRDefault="00265506" w:rsidP="00D839EF">
            <w:pPr>
              <w:jc w:val="center"/>
              <w:rPr>
                <w:rFonts w:ascii="Arial" w:hAnsi="Arial"/>
                <w:sz w:val="18"/>
              </w:rPr>
            </w:pPr>
            <w:r>
              <w:rPr>
                <w:rFonts w:ascii="Arial" w:hAnsi="Arial"/>
                <w:sz w:val="18"/>
              </w:rPr>
              <w:t>Establish Project Features</w:t>
            </w:r>
          </w:p>
        </w:tc>
        <w:tc>
          <w:tcPr>
            <w:tcW w:w="1345" w:type="dxa"/>
            <w:vAlign w:val="center"/>
          </w:tcPr>
          <w:p w14:paraId="6C40D7CA" w14:textId="77777777" w:rsidR="00265506" w:rsidRDefault="00265506" w:rsidP="00D839EF">
            <w:pPr>
              <w:jc w:val="center"/>
              <w:rPr>
                <w:rFonts w:ascii="Arial" w:hAnsi="Arial"/>
                <w:sz w:val="18"/>
              </w:rPr>
            </w:pPr>
            <w:r>
              <w:rPr>
                <w:rFonts w:ascii="Arial" w:hAnsi="Arial"/>
                <w:sz w:val="18"/>
              </w:rPr>
              <w:t>1</w:t>
            </w:r>
          </w:p>
        </w:tc>
        <w:tc>
          <w:tcPr>
            <w:tcW w:w="1530" w:type="dxa"/>
            <w:vAlign w:val="center"/>
          </w:tcPr>
          <w:p w14:paraId="0EA34AB6" w14:textId="77777777" w:rsidR="00265506" w:rsidRDefault="00265506" w:rsidP="00D839EF">
            <w:pPr>
              <w:jc w:val="center"/>
              <w:rPr>
                <w:rFonts w:ascii="Arial" w:hAnsi="Arial"/>
                <w:sz w:val="18"/>
              </w:rPr>
            </w:pPr>
            <w:r>
              <w:rPr>
                <w:rFonts w:ascii="Arial" w:hAnsi="Arial"/>
                <w:sz w:val="18"/>
              </w:rPr>
              <w:t>1</w:t>
            </w:r>
          </w:p>
        </w:tc>
      </w:tr>
      <w:tr w:rsidR="00265506" w14:paraId="72EA6CB2" w14:textId="77777777" w:rsidTr="001E3BE6">
        <w:trPr>
          <w:trHeight w:val="288"/>
          <w:jc w:val="center"/>
        </w:trPr>
        <w:tc>
          <w:tcPr>
            <w:tcW w:w="3060" w:type="dxa"/>
            <w:vAlign w:val="center"/>
          </w:tcPr>
          <w:p w14:paraId="28063872" w14:textId="77777777" w:rsidR="00265506" w:rsidRDefault="00265506" w:rsidP="00D839EF">
            <w:pPr>
              <w:jc w:val="center"/>
              <w:rPr>
                <w:rFonts w:ascii="Arial" w:hAnsi="Arial"/>
                <w:sz w:val="18"/>
              </w:rPr>
            </w:pPr>
            <w:r>
              <w:rPr>
                <w:rFonts w:ascii="Arial" w:hAnsi="Arial"/>
                <w:sz w:val="18"/>
              </w:rPr>
              <w:t>Staff Engineer or Project Engineer</w:t>
            </w:r>
          </w:p>
        </w:tc>
        <w:tc>
          <w:tcPr>
            <w:tcW w:w="2520" w:type="dxa"/>
            <w:vAlign w:val="center"/>
          </w:tcPr>
          <w:p w14:paraId="11B03D37" w14:textId="77777777" w:rsidR="00265506" w:rsidRDefault="00265506" w:rsidP="00D839EF">
            <w:pPr>
              <w:jc w:val="center"/>
              <w:rPr>
                <w:rFonts w:ascii="Arial" w:hAnsi="Arial"/>
                <w:sz w:val="18"/>
              </w:rPr>
            </w:pPr>
            <w:r>
              <w:rPr>
                <w:rFonts w:ascii="Arial" w:hAnsi="Arial"/>
                <w:sz w:val="18"/>
              </w:rPr>
              <w:t>FWD Testing Set-Up</w:t>
            </w:r>
          </w:p>
        </w:tc>
        <w:tc>
          <w:tcPr>
            <w:tcW w:w="1345" w:type="dxa"/>
            <w:vAlign w:val="center"/>
          </w:tcPr>
          <w:p w14:paraId="31292B9E" w14:textId="77777777" w:rsidR="00265506" w:rsidRDefault="00265506" w:rsidP="00D839EF">
            <w:pPr>
              <w:jc w:val="center"/>
              <w:rPr>
                <w:rFonts w:ascii="Arial" w:hAnsi="Arial"/>
                <w:sz w:val="18"/>
              </w:rPr>
            </w:pPr>
            <w:r>
              <w:rPr>
                <w:rFonts w:ascii="Arial" w:hAnsi="Arial"/>
                <w:sz w:val="18"/>
              </w:rPr>
              <w:t>1</w:t>
            </w:r>
          </w:p>
        </w:tc>
        <w:tc>
          <w:tcPr>
            <w:tcW w:w="1530" w:type="dxa"/>
            <w:vAlign w:val="center"/>
          </w:tcPr>
          <w:p w14:paraId="137B0E90" w14:textId="77777777" w:rsidR="00265506" w:rsidRDefault="00265506" w:rsidP="00D839EF">
            <w:pPr>
              <w:jc w:val="center"/>
              <w:rPr>
                <w:rFonts w:ascii="Arial" w:hAnsi="Arial"/>
                <w:sz w:val="18"/>
              </w:rPr>
            </w:pPr>
            <w:r>
              <w:rPr>
                <w:rFonts w:ascii="Arial" w:hAnsi="Arial"/>
                <w:sz w:val="18"/>
              </w:rPr>
              <w:t>2</w:t>
            </w:r>
          </w:p>
        </w:tc>
      </w:tr>
      <w:tr w:rsidR="00265506" w14:paraId="314B7399" w14:textId="77777777" w:rsidTr="001E3BE6">
        <w:trPr>
          <w:trHeight w:val="288"/>
          <w:jc w:val="center"/>
        </w:trPr>
        <w:tc>
          <w:tcPr>
            <w:tcW w:w="3060" w:type="dxa"/>
            <w:vAlign w:val="center"/>
          </w:tcPr>
          <w:p w14:paraId="2658E652" w14:textId="23EA9C22" w:rsidR="00265506" w:rsidRDefault="00265506" w:rsidP="00D839EF">
            <w:pPr>
              <w:jc w:val="center"/>
              <w:rPr>
                <w:rFonts w:ascii="Arial" w:hAnsi="Arial"/>
                <w:sz w:val="18"/>
              </w:rPr>
            </w:pPr>
            <w:r>
              <w:rPr>
                <w:rFonts w:ascii="Arial" w:hAnsi="Arial"/>
                <w:sz w:val="18"/>
              </w:rPr>
              <w:t>Project Engineer/ FED</w:t>
            </w:r>
          </w:p>
        </w:tc>
        <w:tc>
          <w:tcPr>
            <w:tcW w:w="2520" w:type="dxa"/>
            <w:vAlign w:val="center"/>
          </w:tcPr>
          <w:p w14:paraId="3B88A2CB" w14:textId="77777777" w:rsidR="00265506" w:rsidRDefault="00265506" w:rsidP="00D839EF">
            <w:pPr>
              <w:jc w:val="center"/>
              <w:rPr>
                <w:rFonts w:ascii="Arial" w:hAnsi="Arial"/>
                <w:sz w:val="18"/>
              </w:rPr>
            </w:pPr>
            <w:r>
              <w:rPr>
                <w:rFonts w:ascii="Arial" w:hAnsi="Arial"/>
                <w:sz w:val="18"/>
              </w:rPr>
              <w:t xml:space="preserve">Testing Communication w/ </w:t>
            </w:r>
            <w:smartTag w:uri="urn:schemas-microsoft-com:office:smarttags" w:element="stockticker">
              <w:r>
                <w:rPr>
                  <w:rFonts w:ascii="Arial" w:hAnsi="Arial"/>
                  <w:sz w:val="18"/>
                </w:rPr>
                <w:t>FED</w:t>
              </w:r>
            </w:smartTag>
          </w:p>
        </w:tc>
        <w:tc>
          <w:tcPr>
            <w:tcW w:w="1345" w:type="dxa"/>
            <w:vAlign w:val="center"/>
          </w:tcPr>
          <w:p w14:paraId="03DA18C5" w14:textId="77777777" w:rsidR="00265506" w:rsidRDefault="00265506" w:rsidP="00D839EF">
            <w:pPr>
              <w:jc w:val="center"/>
              <w:rPr>
                <w:rFonts w:ascii="Arial" w:hAnsi="Arial"/>
                <w:sz w:val="18"/>
              </w:rPr>
            </w:pPr>
            <w:r>
              <w:rPr>
                <w:rFonts w:ascii="Arial" w:hAnsi="Arial"/>
                <w:sz w:val="18"/>
              </w:rPr>
              <w:t>2</w:t>
            </w:r>
          </w:p>
        </w:tc>
        <w:tc>
          <w:tcPr>
            <w:tcW w:w="1530" w:type="dxa"/>
            <w:vAlign w:val="center"/>
          </w:tcPr>
          <w:p w14:paraId="60F4FAEE" w14:textId="77777777" w:rsidR="00265506" w:rsidRDefault="00265506" w:rsidP="00D839EF">
            <w:pPr>
              <w:jc w:val="center"/>
              <w:rPr>
                <w:rFonts w:ascii="Arial" w:hAnsi="Arial"/>
                <w:sz w:val="18"/>
              </w:rPr>
            </w:pPr>
            <w:r>
              <w:rPr>
                <w:rFonts w:ascii="Arial" w:hAnsi="Arial"/>
                <w:sz w:val="18"/>
              </w:rPr>
              <w:t>1</w:t>
            </w:r>
          </w:p>
        </w:tc>
      </w:tr>
      <w:tr w:rsidR="00265506" w14:paraId="1D0476A8" w14:textId="77777777" w:rsidTr="001E3BE6">
        <w:trPr>
          <w:trHeight w:val="288"/>
          <w:jc w:val="center"/>
        </w:trPr>
        <w:tc>
          <w:tcPr>
            <w:tcW w:w="3060" w:type="dxa"/>
            <w:vAlign w:val="center"/>
          </w:tcPr>
          <w:p w14:paraId="369E8714" w14:textId="77777777" w:rsidR="00265506" w:rsidRDefault="00265506" w:rsidP="00D839EF">
            <w:pPr>
              <w:jc w:val="center"/>
              <w:rPr>
                <w:rFonts w:ascii="Arial" w:hAnsi="Arial"/>
                <w:sz w:val="18"/>
              </w:rPr>
            </w:pPr>
            <w:r>
              <w:rPr>
                <w:rFonts w:ascii="Arial" w:hAnsi="Arial"/>
                <w:sz w:val="18"/>
              </w:rPr>
              <w:t>Field Explorations Division (</w:t>
            </w:r>
            <w:smartTag w:uri="urn:schemas-microsoft-com:office:smarttags" w:element="stockticker">
              <w:r>
                <w:rPr>
                  <w:rFonts w:ascii="Arial" w:hAnsi="Arial"/>
                  <w:sz w:val="18"/>
                </w:rPr>
                <w:t>FED</w:t>
              </w:r>
            </w:smartTag>
            <w:r>
              <w:rPr>
                <w:rFonts w:ascii="Arial" w:hAnsi="Arial"/>
                <w:sz w:val="18"/>
              </w:rPr>
              <w:t>)</w:t>
            </w:r>
          </w:p>
        </w:tc>
        <w:tc>
          <w:tcPr>
            <w:tcW w:w="2520" w:type="dxa"/>
            <w:vAlign w:val="center"/>
          </w:tcPr>
          <w:p w14:paraId="7AB0E394" w14:textId="77777777" w:rsidR="00265506" w:rsidRDefault="00265506" w:rsidP="00D839EF">
            <w:pPr>
              <w:jc w:val="center"/>
              <w:rPr>
                <w:rFonts w:ascii="Arial" w:hAnsi="Arial"/>
                <w:sz w:val="18"/>
              </w:rPr>
            </w:pPr>
            <w:r>
              <w:rPr>
                <w:rFonts w:ascii="Arial" w:hAnsi="Arial"/>
                <w:sz w:val="18"/>
              </w:rPr>
              <w:t>FWD Testing</w:t>
            </w:r>
          </w:p>
        </w:tc>
        <w:tc>
          <w:tcPr>
            <w:tcW w:w="1345" w:type="dxa"/>
            <w:vAlign w:val="center"/>
          </w:tcPr>
          <w:p w14:paraId="6F179262" w14:textId="77777777" w:rsidR="00265506" w:rsidRDefault="00265506" w:rsidP="00D839EF">
            <w:pPr>
              <w:jc w:val="center"/>
              <w:rPr>
                <w:rFonts w:ascii="Arial" w:hAnsi="Arial"/>
                <w:sz w:val="18"/>
              </w:rPr>
            </w:pPr>
            <w:r>
              <w:rPr>
                <w:rFonts w:ascii="Arial" w:hAnsi="Arial"/>
                <w:sz w:val="18"/>
              </w:rPr>
              <w:t>1</w:t>
            </w:r>
          </w:p>
        </w:tc>
        <w:tc>
          <w:tcPr>
            <w:tcW w:w="1530" w:type="dxa"/>
            <w:vAlign w:val="center"/>
          </w:tcPr>
          <w:p w14:paraId="7657AFE9" w14:textId="77777777" w:rsidR="00265506" w:rsidRDefault="00265506" w:rsidP="00D839EF">
            <w:pPr>
              <w:jc w:val="center"/>
              <w:rPr>
                <w:rFonts w:ascii="Arial" w:hAnsi="Arial"/>
                <w:sz w:val="18"/>
              </w:rPr>
            </w:pPr>
            <w:r>
              <w:rPr>
                <w:rFonts w:ascii="Arial" w:hAnsi="Arial"/>
                <w:sz w:val="18"/>
              </w:rPr>
              <w:t>12*</w:t>
            </w:r>
          </w:p>
        </w:tc>
      </w:tr>
      <w:tr w:rsidR="00265506" w14:paraId="09B59341" w14:textId="77777777" w:rsidTr="001E3BE6">
        <w:trPr>
          <w:trHeight w:val="288"/>
          <w:jc w:val="center"/>
        </w:trPr>
        <w:tc>
          <w:tcPr>
            <w:tcW w:w="3060" w:type="dxa"/>
            <w:vAlign w:val="center"/>
          </w:tcPr>
          <w:p w14:paraId="4F48CBFE" w14:textId="77777777" w:rsidR="00265506" w:rsidRDefault="00265506" w:rsidP="00D839EF">
            <w:pPr>
              <w:jc w:val="center"/>
              <w:rPr>
                <w:rFonts w:ascii="Arial" w:hAnsi="Arial"/>
                <w:sz w:val="18"/>
              </w:rPr>
            </w:pPr>
            <w:r>
              <w:rPr>
                <w:rFonts w:ascii="Arial" w:hAnsi="Arial"/>
                <w:sz w:val="18"/>
              </w:rPr>
              <w:t>Staff Engineer or Project Engineer</w:t>
            </w:r>
          </w:p>
        </w:tc>
        <w:tc>
          <w:tcPr>
            <w:tcW w:w="2520" w:type="dxa"/>
            <w:vAlign w:val="center"/>
          </w:tcPr>
          <w:p w14:paraId="36C6BB9F" w14:textId="77777777" w:rsidR="00265506" w:rsidRDefault="00265506" w:rsidP="00D839EF">
            <w:pPr>
              <w:jc w:val="center"/>
              <w:rPr>
                <w:rFonts w:ascii="Arial" w:hAnsi="Arial"/>
                <w:sz w:val="18"/>
              </w:rPr>
            </w:pPr>
            <w:r>
              <w:rPr>
                <w:rFonts w:ascii="Arial" w:hAnsi="Arial"/>
                <w:sz w:val="18"/>
              </w:rPr>
              <w:t>QC FWD Data</w:t>
            </w:r>
          </w:p>
        </w:tc>
        <w:tc>
          <w:tcPr>
            <w:tcW w:w="1345" w:type="dxa"/>
            <w:vAlign w:val="center"/>
          </w:tcPr>
          <w:p w14:paraId="01188F45" w14:textId="77777777" w:rsidR="00265506" w:rsidRDefault="00265506" w:rsidP="00D839EF">
            <w:pPr>
              <w:jc w:val="center"/>
              <w:rPr>
                <w:rFonts w:ascii="Arial" w:hAnsi="Arial"/>
                <w:sz w:val="18"/>
              </w:rPr>
            </w:pPr>
            <w:r>
              <w:rPr>
                <w:rFonts w:ascii="Arial" w:hAnsi="Arial"/>
                <w:sz w:val="18"/>
              </w:rPr>
              <w:t>1</w:t>
            </w:r>
          </w:p>
        </w:tc>
        <w:tc>
          <w:tcPr>
            <w:tcW w:w="1530" w:type="dxa"/>
            <w:vAlign w:val="center"/>
          </w:tcPr>
          <w:p w14:paraId="263CE8A4" w14:textId="77777777" w:rsidR="00265506" w:rsidRDefault="00265506" w:rsidP="00D839EF">
            <w:pPr>
              <w:jc w:val="center"/>
              <w:rPr>
                <w:rFonts w:ascii="Arial" w:hAnsi="Arial"/>
                <w:sz w:val="18"/>
              </w:rPr>
            </w:pPr>
            <w:r>
              <w:rPr>
                <w:rFonts w:ascii="Arial" w:hAnsi="Arial"/>
                <w:sz w:val="18"/>
              </w:rPr>
              <w:t>2</w:t>
            </w:r>
          </w:p>
        </w:tc>
      </w:tr>
    </w:tbl>
    <w:p w14:paraId="15DEE205" w14:textId="7A36902E" w:rsidR="00265506" w:rsidRDefault="00265506" w:rsidP="00BE3F24">
      <w:pPr>
        <w:jc w:val="both"/>
        <w:rPr>
          <w:rFonts w:ascii="Arial" w:hAnsi="Arial"/>
          <w:sz w:val="16"/>
        </w:rPr>
      </w:pPr>
      <w:r>
        <w:rPr>
          <w:rFonts w:ascii="Arial" w:hAnsi="Arial"/>
          <w:sz w:val="16"/>
        </w:rPr>
        <w:t>* This value is dependent upon project size.  This is based on 1</w:t>
      </w:r>
      <w:r w:rsidR="002D3A2F">
        <w:rPr>
          <w:rFonts w:ascii="Arial" w:hAnsi="Arial"/>
          <w:sz w:val="16"/>
        </w:rPr>
        <w:t xml:space="preserve"> </w:t>
      </w:r>
      <w:r>
        <w:rPr>
          <w:rFonts w:ascii="Arial" w:hAnsi="Arial"/>
          <w:sz w:val="16"/>
        </w:rPr>
        <w:t>day of testing or 150 points/day.</w:t>
      </w:r>
    </w:p>
    <w:p w14:paraId="46F00072" w14:textId="0CD99DDE" w:rsidR="00265506" w:rsidRDefault="00265506" w:rsidP="00BE3F24">
      <w:pPr>
        <w:pStyle w:val="Heading3"/>
        <w:ind w:left="0" w:firstLine="0"/>
        <w:jc w:val="both"/>
      </w:pPr>
      <w:r>
        <w:t>Procedure</w:t>
      </w:r>
    </w:p>
    <w:p w14:paraId="004DEEEC" w14:textId="1A463C09" w:rsidR="00C93B70" w:rsidRDefault="00265506" w:rsidP="00BE3F24">
      <w:pPr>
        <w:pStyle w:val="BodyText"/>
        <w:jc w:val="both"/>
      </w:pPr>
      <w:r>
        <w:t xml:space="preserve">The procedure presented in </w:t>
      </w:r>
      <w:r w:rsidRPr="00BA1669">
        <w:t>the attached flowchart</w:t>
      </w:r>
      <w:r>
        <w:t xml:space="preserve"> and described </w:t>
      </w:r>
      <w:r w:rsidR="002D3A2F">
        <w:t xml:space="preserve">below </w:t>
      </w:r>
      <w:r>
        <w:t>should be followed to complete FWD Testing.  FWD testing shall be required on all projects requiring pavement</w:t>
      </w:r>
      <w:r w:rsidR="00C93B70">
        <w:t xml:space="preserve"> </w:t>
      </w:r>
      <w:r>
        <w:t xml:space="preserve">rehabilitation unless specified otherwise in this Pavement Design Guide or as directed by the Assistant Pavement and Geotechnical Division Chief or Division Chief. </w:t>
      </w:r>
    </w:p>
    <w:p w14:paraId="48D372E8" w14:textId="44C1E5F4" w:rsidR="00C93B70" w:rsidRDefault="00265506" w:rsidP="00BE3F24">
      <w:pPr>
        <w:pStyle w:val="BodyText"/>
        <w:jc w:val="both"/>
      </w:pPr>
      <w:r>
        <w:t xml:space="preserve">There are several assumptions that are made in the development of this process and the values used to establish FWD testing set-ups.  The most important item that pavement designers need to be aware of is that </w:t>
      </w:r>
      <w:r w:rsidR="00853539">
        <w:t>it</w:t>
      </w:r>
      <w:r>
        <w:t xml:space="preserve"> was assumed that the FWD equipment and operator could collect approximately 150 test points a day.  This is based on limited travel time, no constricting </w:t>
      </w:r>
      <w:smartTag w:uri="urn:schemas-microsoft-com:office:smarttags" w:element="stockticker">
        <w:r>
          <w:t>MOT</w:t>
        </w:r>
      </w:smartTag>
      <w:r>
        <w:t xml:space="preserve"> demands, and no equipment failures.  This is the testing schedule that should be used when estimating the testing time demands needed for a particular project.  Depending on the size and geometry of some projects, 150 points may be an excessive amount of data; i.e.</w:t>
      </w:r>
      <w:r w:rsidR="00D43E46">
        <w:t>,</w:t>
      </w:r>
      <w:r>
        <w:t xml:space="preserve"> a short turn lane project.  </w:t>
      </w:r>
    </w:p>
    <w:p w14:paraId="72EBF756" w14:textId="5D9FAB37" w:rsidR="00265506" w:rsidRDefault="00265506" w:rsidP="00BE3F24">
      <w:pPr>
        <w:pStyle w:val="BodyText"/>
        <w:jc w:val="both"/>
      </w:pPr>
      <w:r>
        <w:t>In addition, the testing demands of the FWD occasionally become heavy and the amount of testing for a particular project may need to be reduced in order to provide FWD data to all the projects in the state within a reasonable time.  In this case, communication between Field Explorations Division (</w:t>
      </w:r>
      <w:smartTag w:uri="urn:schemas-microsoft-com:office:smarttags" w:element="stockticker">
        <w:r>
          <w:t>FED</w:t>
        </w:r>
      </w:smartTag>
      <w:r>
        <w:t>) and the design engineer need</w:t>
      </w:r>
      <w:r w:rsidR="00D43E46">
        <w:t>s</w:t>
      </w:r>
      <w:r>
        <w:t xml:space="preserve"> to take place to ensure adequate data and time constraints are addressed for all interested parties.</w:t>
      </w:r>
    </w:p>
    <w:p w14:paraId="617C8A49" w14:textId="77777777" w:rsidR="00265506" w:rsidRDefault="00265506" w:rsidP="00D839EF">
      <w:pPr>
        <w:pStyle w:val="ListNumber"/>
        <w:numPr>
          <w:ilvl w:val="0"/>
          <w:numId w:val="10"/>
        </w:numPr>
        <w:tabs>
          <w:tab w:val="clear" w:pos="1872"/>
          <w:tab w:val="num" w:pos="1080"/>
        </w:tabs>
        <w:spacing w:before="240"/>
        <w:ind w:left="1080" w:hanging="1080"/>
        <w:jc w:val="both"/>
      </w:pPr>
      <w:r>
        <w:t xml:space="preserve">Determine the pavement type variations within the project limits.  A separate test set-up needs to be established for each pavement type within the project.  </w:t>
      </w:r>
      <w:r>
        <w:lastRenderedPageBreak/>
        <w:t>At this point, the records review and site visit should have provided sufficient information to determine the pavement type variation within a project.  Information collected in</w:t>
      </w:r>
      <w:r w:rsidR="000C7AE1">
        <w:t xml:space="preserve"> </w:t>
      </w:r>
      <w:hyperlink r:id="rId91" w:history="1">
        <w:r w:rsidR="001A107C" w:rsidRPr="0046520D">
          <w:rPr>
            <w:rStyle w:val="Hyperlink"/>
            <w:rFonts w:cs="Arial"/>
            <w:szCs w:val="22"/>
          </w:rPr>
          <w:t>PD-01 Condition Summary</w:t>
        </w:r>
      </w:hyperlink>
      <w:r>
        <w:t xml:space="preserve">, for each project section, will also provide additional refresher information about the pavement types. </w:t>
      </w:r>
    </w:p>
    <w:p w14:paraId="01D21007" w14:textId="51783432" w:rsidR="00265506" w:rsidRDefault="00265506" w:rsidP="00D839EF">
      <w:pPr>
        <w:pStyle w:val="ListNumber"/>
        <w:numPr>
          <w:ilvl w:val="0"/>
          <w:numId w:val="10"/>
        </w:numPr>
        <w:tabs>
          <w:tab w:val="clear" w:pos="1872"/>
          <w:tab w:val="left" w:pos="1080"/>
        </w:tabs>
        <w:ind w:left="1080" w:hanging="1080"/>
        <w:jc w:val="both"/>
      </w:pPr>
      <w:r>
        <w:t>Determine the project layout and attributes.  The project layout will influence the FWD test set-up and pattern of testing.  All state routes, intersections, turn lanes, ramps, service roads, and shoulders within the project limits should be identified and a decision made if FWD testing is required.  A well-defined scope is required to make decisions about testing requirements for various project attributes.  Discussion with the Assistant Pavement and Geotechnical Division Chief for Design may</w:t>
      </w:r>
      <w:r w:rsidR="00D43E46">
        <w:t xml:space="preserve"> </w:t>
      </w:r>
      <w:r>
        <w:t xml:space="preserve">be needed, if necessary. </w:t>
      </w:r>
    </w:p>
    <w:p w14:paraId="72BD9988" w14:textId="77777777" w:rsidR="00265506" w:rsidRDefault="00265506" w:rsidP="00D839EF">
      <w:pPr>
        <w:pStyle w:val="ListNumber"/>
        <w:numPr>
          <w:ilvl w:val="0"/>
          <w:numId w:val="10"/>
        </w:numPr>
        <w:tabs>
          <w:tab w:val="clear" w:pos="1872"/>
          <w:tab w:val="left" w:pos="1080"/>
        </w:tabs>
        <w:ind w:left="1080" w:hanging="1080"/>
        <w:jc w:val="both"/>
      </w:pPr>
      <w:r>
        <w:t xml:space="preserve">Determine the size (length and lanes) of each project attribute (mainline, shoulders, ramps, etc.) to receive FWD testing.  This will provide the time demands on the FWD for this particular project.  These demands are based on the assumptions stated above about the FWD test pace being approximately 150 test points per day. </w:t>
      </w:r>
    </w:p>
    <w:p w14:paraId="6EB7F110" w14:textId="0B774C7E" w:rsidR="00265506" w:rsidRDefault="00265506" w:rsidP="00D839EF">
      <w:pPr>
        <w:pStyle w:val="ListNumber"/>
        <w:numPr>
          <w:ilvl w:val="0"/>
          <w:numId w:val="10"/>
        </w:numPr>
        <w:tabs>
          <w:tab w:val="clear" w:pos="1872"/>
          <w:tab w:val="left" w:pos="1080"/>
        </w:tabs>
        <w:ind w:left="1080" w:hanging="1080"/>
        <w:jc w:val="both"/>
      </w:pPr>
      <w:r>
        <w:t>Determine the project geometry.  The project geometry will influence the FWD pattern of testing.  For example, numerous intersections, closely spaced intersections, and single lane ramps may limit the amount of testing that can be feasibly done because o</w:t>
      </w:r>
      <w:r w:rsidR="00D43E46">
        <w:t>f</w:t>
      </w:r>
      <w:r>
        <w:t xml:space="preserve"> the demands of the travelling public and </w:t>
      </w:r>
      <w:smartTag w:uri="urn:schemas-microsoft-com:office:smarttags" w:element="stockticker">
        <w:r>
          <w:t>MOT</w:t>
        </w:r>
      </w:smartTag>
      <w:r>
        <w:t xml:space="preserve">.  These </w:t>
      </w:r>
      <w:smartTag w:uri="urn:schemas-microsoft-com:office:smarttags" w:element="stockticker">
        <w:r>
          <w:t>MOT</w:t>
        </w:r>
      </w:smartTag>
      <w:r>
        <w:t xml:space="preserve"> concerns should be noted and discussed with </w:t>
      </w:r>
      <w:smartTag w:uri="urn:schemas-microsoft-com:office:smarttags" w:element="stockticker">
        <w:r>
          <w:t>FED</w:t>
        </w:r>
      </w:smartTag>
      <w:r>
        <w:t xml:space="preserve"> after the request is provided. </w:t>
      </w:r>
    </w:p>
    <w:p w14:paraId="21A7F0EB" w14:textId="7ABE2795" w:rsidR="00265506" w:rsidRDefault="00265506" w:rsidP="00D839EF">
      <w:pPr>
        <w:pStyle w:val="ListNumber"/>
        <w:numPr>
          <w:ilvl w:val="0"/>
          <w:numId w:val="10"/>
        </w:numPr>
        <w:tabs>
          <w:tab w:val="clear" w:pos="1872"/>
          <w:tab w:val="left" w:pos="1080"/>
        </w:tabs>
        <w:ind w:left="1080" w:hanging="1080"/>
        <w:jc w:val="both"/>
      </w:pPr>
      <w:r>
        <w:t>Determine FWD test sections.  Use the information gathered in Steps 1 through 4 above to determine FWD test sections.  Separate FWD test sections should be established for different pavement types and project attributes for a project.  Section lengths and project geometry will dictate FWD test set-up in a</w:t>
      </w:r>
      <w:r w:rsidR="00D43E46">
        <w:t>n</w:t>
      </w:r>
      <w:r>
        <w:t xml:space="preserve"> FWD test section.</w:t>
      </w:r>
    </w:p>
    <w:p w14:paraId="42D235D2" w14:textId="0CCA1C4F" w:rsidR="00265506" w:rsidRDefault="00265506" w:rsidP="00D839EF">
      <w:pPr>
        <w:pStyle w:val="ListNumber"/>
        <w:numPr>
          <w:ilvl w:val="0"/>
          <w:numId w:val="10"/>
        </w:numPr>
        <w:tabs>
          <w:tab w:val="clear" w:pos="1872"/>
          <w:tab w:val="left" w:pos="1080"/>
        </w:tabs>
        <w:ind w:left="1080" w:hanging="1080"/>
        <w:jc w:val="both"/>
      </w:pPr>
      <w:r>
        <w:t>Determine FWD test type for each section.  There are three basic types of FWD tests: basin, joint, corner.  Basin testing is used to evaluate the structural strength of the pavement structure and subgrade in flexible and rigid pavements.  The primary use of basin testing in composite pavements is to establish a</w:t>
      </w:r>
      <w:r w:rsidR="00D43E46">
        <w:t>n</w:t>
      </w:r>
      <w:r>
        <w:t xml:space="preserve"> HMA compression or bending factor.  Basin testing can also be used to produce a general estimate of the structural strength of the pavement structure and subgrade in composite pavements.  Specific structural characteristics of composite pavement are difficult to obtain with a great deal of confidence with the current backcalculation analysis methods available today.   </w:t>
      </w:r>
    </w:p>
    <w:p w14:paraId="156799F3" w14:textId="3AA8071C" w:rsidR="00265506" w:rsidRDefault="00265506" w:rsidP="00D839EF">
      <w:pPr>
        <w:pStyle w:val="ListNumber"/>
        <w:tabs>
          <w:tab w:val="clear" w:pos="720"/>
          <w:tab w:val="clear" w:pos="1872"/>
          <w:tab w:val="left" w:pos="1080"/>
        </w:tabs>
        <w:ind w:left="1080" w:firstLine="0"/>
        <w:jc w:val="both"/>
      </w:pPr>
      <w:r>
        <w:t>Basin testing can also be done on subgrade and base materials.  Basin testing on subgrade or unbound base materials should be completed with the larger load plate (radius of 9</w:t>
      </w:r>
      <w:r w:rsidR="00D43E46">
        <w:t>"</w:t>
      </w:r>
      <w:r>
        <w:t>, 230 mm) to prevent damage to the underlying layers.  All other testing should be done with the smaller load plate (radius of 6</w:t>
      </w:r>
      <w:r w:rsidR="00D43E46">
        <w:t>"</w:t>
      </w:r>
      <w:r>
        <w:t xml:space="preserve">, 150 mm).  </w:t>
      </w:r>
    </w:p>
    <w:p w14:paraId="4289BEE4" w14:textId="77777777" w:rsidR="00265506" w:rsidRDefault="00265506" w:rsidP="00D839EF">
      <w:pPr>
        <w:pStyle w:val="ListNumber"/>
        <w:tabs>
          <w:tab w:val="clear" w:pos="720"/>
          <w:tab w:val="clear" w:pos="1872"/>
          <w:tab w:val="left" w:pos="1080"/>
        </w:tabs>
        <w:ind w:left="1080" w:firstLine="0"/>
        <w:jc w:val="both"/>
      </w:pPr>
      <w:r>
        <w:t xml:space="preserve">Joint testing is used to assess the performance of existing joints to transfer loads across slabs in rigid and composite pavements.  In addition, joint testing can be used to determine the presence of voids under the slabs at the joints.  Corner testing is used to assess the performance of existing corners (most highly stressed area of the slab) to transfer loads across slab corners in rigid </w:t>
      </w:r>
      <w:r>
        <w:lastRenderedPageBreak/>
        <w:t>pavements.  In addition, corner testing can be used to determine the presence of voids under the corners of the slab.  Use the table below to determine the appropriate FWD test type for a given section.  Figures 2, 3, and 4 present the three FWD test types for the various pavement types.</w:t>
      </w:r>
    </w:p>
    <w:p w14:paraId="396D12D6" w14:textId="77777777" w:rsidR="00265506" w:rsidRDefault="00265506" w:rsidP="004C4CA2">
      <w:pPr>
        <w:pStyle w:val="ListNumber"/>
        <w:tabs>
          <w:tab w:val="clear" w:pos="720"/>
          <w:tab w:val="clear" w:pos="1872"/>
        </w:tabs>
        <w:ind w:left="1080" w:hanging="1080"/>
        <w:jc w:val="both"/>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805"/>
        <w:gridCol w:w="1227"/>
        <w:gridCol w:w="1942"/>
        <w:gridCol w:w="3034"/>
      </w:tblGrid>
      <w:tr w:rsidR="00265506" w14:paraId="19E8E61E" w14:textId="77777777" w:rsidTr="00682815">
        <w:trPr>
          <w:trHeight w:val="360"/>
          <w:jc w:val="right"/>
        </w:trPr>
        <w:tc>
          <w:tcPr>
            <w:tcW w:w="1805" w:type="dxa"/>
            <w:shd w:val="pct15" w:color="auto" w:fill="FFFFFF"/>
            <w:vAlign w:val="center"/>
          </w:tcPr>
          <w:p w14:paraId="287865B3" w14:textId="77777777" w:rsidR="00265506" w:rsidRDefault="00265506" w:rsidP="00D839EF">
            <w:pPr>
              <w:pStyle w:val="ListNumber"/>
              <w:tabs>
                <w:tab w:val="clear" w:pos="720"/>
                <w:tab w:val="clear" w:pos="1872"/>
              </w:tabs>
              <w:spacing w:before="0"/>
              <w:ind w:left="1080" w:hanging="1080"/>
              <w:jc w:val="center"/>
              <w:rPr>
                <w:b/>
                <w:sz w:val="20"/>
              </w:rPr>
            </w:pPr>
            <w:r>
              <w:rPr>
                <w:b/>
                <w:sz w:val="20"/>
              </w:rPr>
              <w:t>Pavement Type</w:t>
            </w:r>
          </w:p>
        </w:tc>
        <w:tc>
          <w:tcPr>
            <w:tcW w:w="1227" w:type="dxa"/>
            <w:shd w:val="pct15" w:color="auto" w:fill="FFFFFF"/>
            <w:vAlign w:val="center"/>
          </w:tcPr>
          <w:p w14:paraId="2DE24238" w14:textId="77777777" w:rsidR="00265506" w:rsidRDefault="00265506" w:rsidP="00D839EF">
            <w:pPr>
              <w:pStyle w:val="ListNumber"/>
              <w:tabs>
                <w:tab w:val="clear" w:pos="720"/>
                <w:tab w:val="clear" w:pos="1872"/>
              </w:tabs>
              <w:spacing w:before="0"/>
              <w:ind w:left="1080" w:hanging="1080"/>
              <w:jc w:val="center"/>
              <w:rPr>
                <w:b/>
                <w:sz w:val="20"/>
              </w:rPr>
            </w:pPr>
            <w:r>
              <w:rPr>
                <w:b/>
                <w:sz w:val="20"/>
              </w:rPr>
              <w:t>Test Type</w:t>
            </w:r>
          </w:p>
        </w:tc>
        <w:tc>
          <w:tcPr>
            <w:tcW w:w="1942" w:type="dxa"/>
            <w:shd w:val="pct15" w:color="auto" w:fill="FFFFFF"/>
            <w:vAlign w:val="center"/>
          </w:tcPr>
          <w:p w14:paraId="5C132F0A" w14:textId="77777777" w:rsidR="00265506" w:rsidRDefault="00265506" w:rsidP="00D839EF">
            <w:pPr>
              <w:pStyle w:val="ListNumber"/>
              <w:tabs>
                <w:tab w:val="clear" w:pos="720"/>
                <w:tab w:val="clear" w:pos="1872"/>
              </w:tabs>
              <w:spacing w:before="0"/>
              <w:ind w:left="1080" w:hanging="1080"/>
              <w:jc w:val="center"/>
              <w:rPr>
                <w:b/>
                <w:sz w:val="20"/>
              </w:rPr>
            </w:pPr>
            <w:r>
              <w:rPr>
                <w:b/>
                <w:sz w:val="20"/>
              </w:rPr>
              <w:t>Load Plate Type</w:t>
            </w:r>
          </w:p>
        </w:tc>
        <w:tc>
          <w:tcPr>
            <w:tcW w:w="3034" w:type="dxa"/>
            <w:shd w:val="pct15" w:color="auto" w:fill="FFFFFF"/>
            <w:vAlign w:val="center"/>
          </w:tcPr>
          <w:p w14:paraId="67008486" w14:textId="77777777" w:rsidR="00265506" w:rsidRDefault="00265506" w:rsidP="00D839EF">
            <w:pPr>
              <w:pStyle w:val="ListNumber"/>
              <w:tabs>
                <w:tab w:val="clear" w:pos="720"/>
                <w:tab w:val="clear" w:pos="1872"/>
              </w:tabs>
              <w:spacing w:before="0"/>
              <w:ind w:left="1080" w:hanging="1080"/>
              <w:jc w:val="center"/>
              <w:rPr>
                <w:b/>
                <w:sz w:val="20"/>
              </w:rPr>
            </w:pPr>
            <w:r>
              <w:rPr>
                <w:b/>
                <w:sz w:val="20"/>
              </w:rPr>
              <w:t>Test Point Location in Lane</w:t>
            </w:r>
          </w:p>
        </w:tc>
      </w:tr>
      <w:tr w:rsidR="00265506" w14:paraId="2EE1E1A5" w14:textId="77777777" w:rsidTr="00682815">
        <w:trPr>
          <w:trHeight w:val="360"/>
          <w:jc w:val="right"/>
        </w:trPr>
        <w:tc>
          <w:tcPr>
            <w:tcW w:w="1805" w:type="dxa"/>
            <w:vAlign w:val="center"/>
          </w:tcPr>
          <w:p w14:paraId="16D0D3C9" w14:textId="77777777" w:rsidR="00265506" w:rsidRDefault="00265506" w:rsidP="00D839EF">
            <w:pPr>
              <w:pStyle w:val="ListNumber"/>
              <w:tabs>
                <w:tab w:val="clear" w:pos="720"/>
                <w:tab w:val="clear" w:pos="1872"/>
              </w:tabs>
              <w:spacing w:before="0"/>
              <w:ind w:left="1080" w:hanging="1080"/>
              <w:jc w:val="center"/>
              <w:rPr>
                <w:sz w:val="20"/>
              </w:rPr>
            </w:pPr>
            <w:r>
              <w:rPr>
                <w:sz w:val="20"/>
              </w:rPr>
              <w:t>Flexible</w:t>
            </w:r>
          </w:p>
        </w:tc>
        <w:tc>
          <w:tcPr>
            <w:tcW w:w="1227" w:type="dxa"/>
            <w:vAlign w:val="center"/>
          </w:tcPr>
          <w:p w14:paraId="6459730D" w14:textId="77777777" w:rsidR="00265506" w:rsidRDefault="00265506" w:rsidP="00D839EF">
            <w:pPr>
              <w:pStyle w:val="ListNumber"/>
              <w:tabs>
                <w:tab w:val="clear" w:pos="720"/>
                <w:tab w:val="clear" w:pos="1872"/>
              </w:tabs>
              <w:spacing w:before="0"/>
              <w:ind w:left="1080" w:hanging="1080"/>
              <w:jc w:val="center"/>
              <w:rPr>
                <w:sz w:val="20"/>
              </w:rPr>
            </w:pPr>
            <w:r>
              <w:rPr>
                <w:sz w:val="20"/>
              </w:rPr>
              <w:t>Basin</w:t>
            </w:r>
          </w:p>
        </w:tc>
        <w:tc>
          <w:tcPr>
            <w:tcW w:w="1942" w:type="dxa"/>
            <w:vAlign w:val="center"/>
          </w:tcPr>
          <w:p w14:paraId="569F99EE" w14:textId="5B25906A" w:rsidR="00265506" w:rsidRDefault="00265506" w:rsidP="00D839EF">
            <w:pPr>
              <w:pStyle w:val="ListNumber"/>
              <w:tabs>
                <w:tab w:val="clear" w:pos="720"/>
                <w:tab w:val="clear" w:pos="1872"/>
              </w:tabs>
              <w:spacing w:before="0"/>
              <w:ind w:left="1080" w:hanging="1080"/>
              <w:jc w:val="center"/>
              <w:rPr>
                <w:sz w:val="20"/>
              </w:rPr>
            </w:pPr>
            <w:r>
              <w:rPr>
                <w:sz w:val="20"/>
              </w:rPr>
              <w:t>Small (6</w:t>
            </w:r>
            <w:r w:rsidR="00D43E46">
              <w:rPr>
                <w:sz w:val="20"/>
              </w:rPr>
              <w:t>"</w:t>
            </w:r>
            <w:r>
              <w:rPr>
                <w:sz w:val="20"/>
              </w:rPr>
              <w:t xml:space="preserve"> radius)</w:t>
            </w:r>
          </w:p>
        </w:tc>
        <w:tc>
          <w:tcPr>
            <w:tcW w:w="3034" w:type="dxa"/>
            <w:vAlign w:val="center"/>
          </w:tcPr>
          <w:p w14:paraId="43E121FE" w14:textId="77777777" w:rsidR="00265506" w:rsidRDefault="00265506" w:rsidP="00D839EF">
            <w:pPr>
              <w:pStyle w:val="ListNumber"/>
              <w:tabs>
                <w:tab w:val="clear" w:pos="720"/>
                <w:tab w:val="clear" w:pos="1872"/>
              </w:tabs>
              <w:spacing w:before="0"/>
              <w:ind w:left="1080" w:hanging="1080"/>
              <w:jc w:val="center"/>
              <w:rPr>
                <w:sz w:val="20"/>
              </w:rPr>
            </w:pPr>
            <w:r>
              <w:rPr>
                <w:sz w:val="20"/>
              </w:rPr>
              <w:t>Right Wheel Path</w:t>
            </w:r>
          </w:p>
        </w:tc>
      </w:tr>
      <w:tr w:rsidR="00265506" w14:paraId="77C8028D" w14:textId="77777777" w:rsidTr="00682815">
        <w:trPr>
          <w:trHeight w:val="360"/>
          <w:jc w:val="right"/>
        </w:trPr>
        <w:tc>
          <w:tcPr>
            <w:tcW w:w="1805" w:type="dxa"/>
            <w:vMerge w:val="restart"/>
            <w:vAlign w:val="center"/>
          </w:tcPr>
          <w:p w14:paraId="2A9A3EA6" w14:textId="77777777" w:rsidR="00265506" w:rsidRDefault="00265506" w:rsidP="00D839EF">
            <w:pPr>
              <w:pStyle w:val="ListNumber"/>
              <w:tabs>
                <w:tab w:val="clear" w:pos="720"/>
                <w:tab w:val="clear" w:pos="1872"/>
              </w:tabs>
              <w:spacing w:before="0"/>
              <w:ind w:left="1080" w:hanging="1080"/>
              <w:jc w:val="center"/>
              <w:rPr>
                <w:sz w:val="20"/>
              </w:rPr>
            </w:pPr>
            <w:r>
              <w:rPr>
                <w:sz w:val="20"/>
              </w:rPr>
              <w:t>Rigid</w:t>
            </w:r>
          </w:p>
        </w:tc>
        <w:tc>
          <w:tcPr>
            <w:tcW w:w="1227" w:type="dxa"/>
            <w:vAlign w:val="center"/>
          </w:tcPr>
          <w:p w14:paraId="7A62399F" w14:textId="77777777" w:rsidR="00265506" w:rsidRDefault="00265506" w:rsidP="00D839EF">
            <w:pPr>
              <w:pStyle w:val="ListNumber"/>
              <w:tabs>
                <w:tab w:val="clear" w:pos="720"/>
                <w:tab w:val="clear" w:pos="1872"/>
              </w:tabs>
              <w:spacing w:before="0"/>
              <w:ind w:left="1080" w:hanging="1080"/>
              <w:jc w:val="center"/>
              <w:rPr>
                <w:sz w:val="20"/>
              </w:rPr>
            </w:pPr>
            <w:r>
              <w:rPr>
                <w:sz w:val="20"/>
              </w:rPr>
              <w:t>Basin</w:t>
            </w:r>
          </w:p>
        </w:tc>
        <w:tc>
          <w:tcPr>
            <w:tcW w:w="1942" w:type="dxa"/>
            <w:vAlign w:val="center"/>
          </w:tcPr>
          <w:p w14:paraId="2549885E" w14:textId="4B222B24" w:rsidR="00265506" w:rsidRDefault="00265506" w:rsidP="00D839EF">
            <w:pPr>
              <w:pStyle w:val="ListNumber"/>
              <w:tabs>
                <w:tab w:val="clear" w:pos="720"/>
                <w:tab w:val="clear" w:pos="1872"/>
              </w:tabs>
              <w:spacing w:before="0"/>
              <w:ind w:left="1080" w:hanging="1080"/>
              <w:jc w:val="center"/>
              <w:rPr>
                <w:sz w:val="20"/>
              </w:rPr>
            </w:pPr>
            <w:r>
              <w:rPr>
                <w:sz w:val="20"/>
              </w:rPr>
              <w:t>Small (</w:t>
            </w:r>
            <w:r w:rsidR="00D43E46">
              <w:rPr>
                <w:sz w:val="20"/>
              </w:rPr>
              <w:t>6"</w:t>
            </w:r>
            <w:r>
              <w:rPr>
                <w:sz w:val="20"/>
              </w:rPr>
              <w:t xml:space="preserve"> radius)</w:t>
            </w:r>
          </w:p>
        </w:tc>
        <w:tc>
          <w:tcPr>
            <w:tcW w:w="3034" w:type="dxa"/>
            <w:vAlign w:val="center"/>
          </w:tcPr>
          <w:p w14:paraId="11013E84" w14:textId="77777777" w:rsidR="00265506" w:rsidRDefault="00265506" w:rsidP="00D839EF">
            <w:pPr>
              <w:pStyle w:val="ListNumber"/>
              <w:tabs>
                <w:tab w:val="clear" w:pos="720"/>
                <w:tab w:val="clear" w:pos="1872"/>
              </w:tabs>
              <w:spacing w:before="0"/>
              <w:ind w:left="1080" w:hanging="1080"/>
              <w:jc w:val="center"/>
              <w:rPr>
                <w:sz w:val="20"/>
              </w:rPr>
            </w:pPr>
            <w:r>
              <w:rPr>
                <w:sz w:val="20"/>
              </w:rPr>
              <w:t>Right Wheel Path / Mid slab</w:t>
            </w:r>
          </w:p>
        </w:tc>
      </w:tr>
      <w:tr w:rsidR="00265506" w14:paraId="4AA04BB7" w14:textId="77777777" w:rsidTr="00682815">
        <w:trPr>
          <w:trHeight w:val="360"/>
          <w:jc w:val="right"/>
        </w:trPr>
        <w:tc>
          <w:tcPr>
            <w:tcW w:w="1805" w:type="dxa"/>
            <w:vMerge/>
            <w:vAlign w:val="center"/>
          </w:tcPr>
          <w:p w14:paraId="4F16C8B1" w14:textId="77777777" w:rsidR="00265506" w:rsidRDefault="00265506" w:rsidP="00D839EF">
            <w:pPr>
              <w:pStyle w:val="ListNumber"/>
              <w:numPr>
                <w:ilvl w:val="0"/>
                <w:numId w:val="11"/>
              </w:numPr>
              <w:spacing w:before="0"/>
              <w:ind w:left="1080" w:hanging="1080"/>
              <w:jc w:val="center"/>
              <w:rPr>
                <w:sz w:val="20"/>
              </w:rPr>
            </w:pPr>
          </w:p>
        </w:tc>
        <w:tc>
          <w:tcPr>
            <w:tcW w:w="1227" w:type="dxa"/>
            <w:vAlign w:val="center"/>
          </w:tcPr>
          <w:p w14:paraId="381E16AD" w14:textId="77777777" w:rsidR="00265506" w:rsidRDefault="00265506" w:rsidP="00D839EF">
            <w:pPr>
              <w:pStyle w:val="ListNumber"/>
              <w:tabs>
                <w:tab w:val="clear" w:pos="720"/>
                <w:tab w:val="clear" w:pos="1872"/>
              </w:tabs>
              <w:spacing w:before="0"/>
              <w:ind w:left="1080" w:hanging="1080"/>
              <w:jc w:val="center"/>
              <w:rPr>
                <w:sz w:val="20"/>
              </w:rPr>
            </w:pPr>
            <w:r>
              <w:rPr>
                <w:sz w:val="20"/>
              </w:rPr>
              <w:t>Joint</w:t>
            </w:r>
          </w:p>
        </w:tc>
        <w:tc>
          <w:tcPr>
            <w:tcW w:w="1942" w:type="dxa"/>
            <w:vAlign w:val="center"/>
          </w:tcPr>
          <w:p w14:paraId="7558C5A8" w14:textId="78DDEED9" w:rsidR="00265506" w:rsidRDefault="00265506" w:rsidP="00D839EF">
            <w:pPr>
              <w:pStyle w:val="ListNumber"/>
              <w:tabs>
                <w:tab w:val="clear" w:pos="720"/>
                <w:tab w:val="clear" w:pos="1872"/>
              </w:tabs>
              <w:spacing w:before="0"/>
              <w:ind w:left="1080" w:hanging="1080"/>
              <w:jc w:val="center"/>
              <w:rPr>
                <w:sz w:val="20"/>
              </w:rPr>
            </w:pPr>
            <w:r>
              <w:rPr>
                <w:sz w:val="20"/>
              </w:rPr>
              <w:t>Small (</w:t>
            </w:r>
            <w:r w:rsidR="00D43E46">
              <w:rPr>
                <w:sz w:val="20"/>
              </w:rPr>
              <w:t>6"</w:t>
            </w:r>
            <w:r>
              <w:rPr>
                <w:sz w:val="20"/>
              </w:rPr>
              <w:t xml:space="preserve"> radius)</w:t>
            </w:r>
          </w:p>
        </w:tc>
        <w:tc>
          <w:tcPr>
            <w:tcW w:w="3034" w:type="dxa"/>
            <w:vAlign w:val="center"/>
          </w:tcPr>
          <w:p w14:paraId="69A3C3ED" w14:textId="77777777" w:rsidR="00265506" w:rsidRDefault="00265506" w:rsidP="00D839EF">
            <w:pPr>
              <w:pStyle w:val="ListNumber"/>
              <w:tabs>
                <w:tab w:val="clear" w:pos="720"/>
                <w:tab w:val="clear" w:pos="1872"/>
              </w:tabs>
              <w:spacing w:before="0"/>
              <w:ind w:left="1080" w:hanging="1080"/>
              <w:jc w:val="center"/>
              <w:rPr>
                <w:sz w:val="20"/>
              </w:rPr>
            </w:pPr>
            <w:r>
              <w:rPr>
                <w:sz w:val="20"/>
              </w:rPr>
              <w:t>Right Wheel Path / At joint</w:t>
            </w:r>
          </w:p>
        </w:tc>
      </w:tr>
      <w:tr w:rsidR="00265506" w14:paraId="028F230D" w14:textId="77777777" w:rsidTr="00682815">
        <w:trPr>
          <w:trHeight w:val="360"/>
          <w:jc w:val="right"/>
        </w:trPr>
        <w:tc>
          <w:tcPr>
            <w:tcW w:w="1805" w:type="dxa"/>
            <w:vMerge/>
            <w:vAlign w:val="center"/>
          </w:tcPr>
          <w:p w14:paraId="0285858C" w14:textId="77777777" w:rsidR="00265506" w:rsidRDefault="00265506" w:rsidP="00D839EF">
            <w:pPr>
              <w:pStyle w:val="ListNumber"/>
              <w:tabs>
                <w:tab w:val="clear" w:pos="720"/>
                <w:tab w:val="clear" w:pos="1872"/>
              </w:tabs>
              <w:spacing w:before="0"/>
              <w:ind w:left="1080" w:hanging="1080"/>
              <w:jc w:val="center"/>
              <w:rPr>
                <w:sz w:val="20"/>
              </w:rPr>
            </w:pPr>
          </w:p>
        </w:tc>
        <w:tc>
          <w:tcPr>
            <w:tcW w:w="1227" w:type="dxa"/>
            <w:vAlign w:val="center"/>
          </w:tcPr>
          <w:p w14:paraId="57610C12" w14:textId="77777777" w:rsidR="00265506" w:rsidRDefault="00265506" w:rsidP="00D839EF">
            <w:pPr>
              <w:pStyle w:val="ListNumber"/>
              <w:tabs>
                <w:tab w:val="clear" w:pos="720"/>
                <w:tab w:val="clear" w:pos="1872"/>
              </w:tabs>
              <w:spacing w:before="0"/>
              <w:ind w:left="1080" w:hanging="1080"/>
              <w:jc w:val="center"/>
              <w:rPr>
                <w:sz w:val="20"/>
              </w:rPr>
            </w:pPr>
            <w:r>
              <w:rPr>
                <w:sz w:val="20"/>
              </w:rPr>
              <w:t>Corner</w:t>
            </w:r>
          </w:p>
        </w:tc>
        <w:tc>
          <w:tcPr>
            <w:tcW w:w="1942" w:type="dxa"/>
            <w:vAlign w:val="center"/>
          </w:tcPr>
          <w:p w14:paraId="411901EE" w14:textId="7520F4D0" w:rsidR="00265506" w:rsidRDefault="00265506" w:rsidP="00D839EF">
            <w:pPr>
              <w:pStyle w:val="ListNumber"/>
              <w:tabs>
                <w:tab w:val="clear" w:pos="720"/>
                <w:tab w:val="clear" w:pos="1872"/>
              </w:tabs>
              <w:spacing w:before="0"/>
              <w:ind w:left="1080" w:hanging="1080"/>
              <w:jc w:val="center"/>
              <w:rPr>
                <w:sz w:val="20"/>
              </w:rPr>
            </w:pPr>
            <w:r>
              <w:rPr>
                <w:sz w:val="20"/>
              </w:rPr>
              <w:t>Small (</w:t>
            </w:r>
            <w:r w:rsidR="00D43E46">
              <w:rPr>
                <w:sz w:val="20"/>
              </w:rPr>
              <w:t>6"</w:t>
            </w:r>
            <w:r>
              <w:rPr>
                <w:sz w:val="20"/>
              </w:rPr>
              <w:t xml:space="preserve"> radius)</w:t>
            </w:r>
          </w:p>
        </w:tc>
        <w:tc>
          <w:tcPr>
            <w:tcW w:w="3034" w:type="dxa"/>
            <w:vAlign w:val="center"/>
          </w:tcPr>
          <w:p w14:paraId="776BEDCF" w14:textId="77777777" w:rsidR="00265506" w:rsidRDefault="00265506" w:rsidP="00D839EF">
            <w:pPr>
              <w:pStyle w:val="ListNumber"/>
              <w:tabs>
                <w:tab w:val="clear" w:pos="720"/>
                <w:tab w:val="clear" w:pos="1872"/>
              </w:tabs>
              <w:spacing w:before="0"/>
              <w:ind w:left="1080" w:hanging="1080"/>
              <w:jc w:val="center"/>
              <w:rPr>
                <w:sz w:val="20"/>
              </w:rPr>
            </w:pPr>
            <w:r>
              <w:rPr>
                <w:sz w:val="20"/>
              </w:rPr>
              <w:t>Corner of Slab / At joint</w:t>
            </w:r>
          </w:p>
        </w:tc>
      </w:tr>
      <w:tr w:rsidR="00265506" w14:paraId="1FF4AB0A" w14:textId="77777777" w:rsidTr="00682815">
        <w:trPr>
          <w:trHeight w:val="360"/>
          <w:jc w:val="right"/>
        </w:trPr>
        <w:tc>
          <w:tcPr>
            <w:tcW w:w="1805" w:type="dxa"/>
            <w:vMerge w:val="restart"/>
            <w:vAlign w:val="center"/>
          </w:tcPr>
          <w:p w14:paraId="688EFBD6" w14:textId="0C5CC4AE" w:rsidR="00265506" w:rsidRDefault="00265506" w:rsidP="00D839EF">
            <w:pPr>
              <w:pStyle w:val="ListNumber"/>
              <w:tabs>
                <w:tab w:val="clear" w:pos="720"/>
                <w:tab w:val="clear" w:pos="1872"/>
              </w:tabs>
              <w:spacing w:before="0"/>
              <w:ind w:left="1080" w:hanging="1080"/>
              <w:jc w:val="center"/>
              <w:rPr>
                <w:sz w:val="20"/>
              </w:rPr>
            </w:pPr>
            <w:r>
              <w:rPr>
                <w:sz w:val="20"/>
              </w:rPr>
              <w:t>Composite</w:t>
            </w:r>
          </w:p>
        </w:tc>
        <w:tc>
          <w:tcPr>
            <w:tcW w:w="1227" w:type="dxa"/>
            <w:vAlign w:val="center"/>
          </w:tcPr>
          <w:p w14:paraId="50603914" w14:textId="77777777" w:rsidR="00265506" w:rsidRDefault="00265506" w:rsidP="00D839EF">
            <w:pPr>
              <w:pStyle w:val="ListNumber"/>
              <w:tabs>
                <w:tab w:val="clear" w:pos="720"/>
                <w:tab w:val="clear" w:pos="1872"/>
              </w:tabs>
              <w:spacing w:before="0"/>
              <w:ind w:left="1080" w:hanging="1080"/>
              <w:jc w:val="center"/>
              <w:rPr>
                <w:sz w:val="20"/>
              </w:rPr>
            </w:pPr>
            <w:r>
              <w:rPr>
                <w:sz w:val="20"/>
              </w:rPr>
              <w:t>Basin</w:t>
            </w:r>
          </w:p>
        </w:tc>
        <w:tc>
          <w:tcPr>
            <w:tcW w:w="1942" w:type="dxa"/>
            <w:vAlign w:val="center"/>
          </w:tcPr>
          <w:p w14:paraId="167A832B" w14:textId="5DF1F717" w:rsidR="00265506" w:rsidRDefault="00265506" w:rsidP="00D839EF">
            <w:pPr>
              <w:pStyle w:val="ListNumber"/>
              <w:tabs>
                <w:tab w:val="clear" w:pos="720"/>
                <w:tab w:val="clear" w:pos="1872"/>
              </w:tabs>
              <w:spacing w:before="0"/>
              <w:ind w:left="1080" w:hanging="1080"/>
              <w:jc w:val="center"/>
              <w:rPr>
                <w:sz w:val="20"/>
              </w:rPr>
            </w:pPr>
            <w:r>
              <w:rPr>
                <w:sz w:val="20"/>
              </w:rPr>
              <w:t>Small (</w:t>
            </w:r>
            <w:r w:rsidR="00D43E46">
              <w:rPr>
                <w:sz w:val="20"/>
              </w:rPr>
              <w:t>6"</w:t>
            </w:r>
            <w:r>
              <w:rPr>
                <w:sz w:val="20"/>
              </w:rPr>
              <w:t xml:space="preserve"> radius)</w:t>
            </w:r>
          </w:p>
        </w:tc>
        <w:tc>
          <w:tcPr>
            <w:tcW w:w="3034" w:type="dxa"/>
            <w:vAlign w:val="center"/>
          </w:tcPr>
          <w:p w14:paraId="7506C65C" w14:textId="77777777" w:rsidR="00265506" w:rsidRDefault="00265506" w:rsidP="00D839EF">
            <w:pPr>
              <w:pStyle w:val="ListNumber"/>
              <w:tabs>
                <w:tab w:val="clear" w:pos="720"/>
                <w:tab w:val="clear" w:pos="1872"/>
              </w:tabs>
              <w:spacing w:before="0"/>
              <w:ind w:left="1080" w:hanging="1080"/>
              <w:jc w:val="center"/>
              <w:rPr>
                <w:sz w:val="20"/>
              </w:rPr>
            </w:pPr>
            <w:r>
              <w:rPr>
                <w:sz w:val="20"/>
              </w:rPr>
              <w:t>Right Wheel Path / Mid slab</w:t>
            </w:r>
          </w:p>
        </w:tc>
      </w:tr>
      <w:tr w:rsidR="00265506" w14:paraId="1C086338" w14:textId="77777777" w:rsidTr="00682815">
        <w:trPr>
          <w:trHeight w:val="360"/>
          <w:jc w:val="right"/>
        </w:trPr>
        <w:tc>
          <w:tcPr>
            <w:tcW w:w="1805" w:type="dxa"/>
            <w:vMerge/>
            <w:vAlign w:val="center"/>
          </w:tcPr>
          <w:p w14:paraId="08525C9A" w14:textId="77777777" w:rsidR="00265506" w:rsidRDefault="00265506" w:rsidP="00D839EF">
            <w:pPr>
              <w:pStyle w:val="ListNumber"/>
              <w:tabs>
                <w:tab w:val="clear" w:pos="720"/>
                <w:tab w:val="clear" w:pos="1872"/>
              </w:tabs>
              <w:spacing w:before="0"/>
              <w:ind w:left="1080" w:hanging="1080"/>
              <w:jc w:val="center"/>
              <w:rPr>
                <w:sz w:val="20"/>
              </w:rPr>
            </w:pPr>
          </w:p>
        </w:tc>
        <w:tc>
          <w:tcPr>
            <w:tcW w:w="1227" w:type="dxa"/>
            <w:vAlign w:val="center"/>
          </w:tcPr>
          <w:p w14:paraId="5AB73BBD" w14:textId="77777777" w:rsidR="00265506" w:rsidRDefault="00265506" w:rsidP="00D839EF">
            <w:pPr>
              <w:pStyle w:val="ListNumber"/>
              <w:tabs>
                <w:tab w:val="clear" w:pos="720"/>
                <w:tab w:val="clear" w:pos="1872"/>
              </w:tabs>
              <w:spacing w:before="0"/>
              <w:ind w:left="1080" w:hanging="1080"/>
              <w:jc w:val="center"/>
              <w:rPr>
                <w:sz w:val="20"/>
              </w:rPr>
            </w:pPr>
            <w:r>
              <w:rPr>
                <w:sz w:val="20"/>
              </w:rPr>
              <w:t>Joint</w:t>
            </w:r>
          </w:p>
        </w:tc>
        <w:tc>
          <w:tcPr>
            <w:tcW w:w="1942" w:type="dxa"/>
            <w:vAlign w:val="center"/>
          </w:tcPr>
          <w:p w14:paraId="427B998D" w14:textId="26A109D2" w:rsidR="00265506" w:rsidRDefault="00265506" w:rsidP="00D839EF">
            <w:pPr>
              <w:pStyle w:val="ListNumber"/>
              <w:tabs>
                <w:tab w:val="clear" w:pos="720"/>
                <w:tab w:val="clear" w:pos="1872"/>
              </w:tabs>
              <w:spacing w:before="0"/>
              <w:ind w:left="1080" w:hanging="1080"/>
              <w:jc w:val="center"/>
              <w:rPr>
                <w:sz w:val="20"/>
              </w:rPr>
            </w:pPr>
            <w:r>
              <w:rPr>
                <w:sz w:val="20"/>
              </w:rPr>
              <w:t>Small (</w:t>
            </w:r>
            <w:r w:rsidR="00D43E46">
              <w:rPr>
                <w:sz w:val="20"/>
              </w:rPr>
              <w:t>6"</w:t>
            </w:r>
            <w:r>
              <w:rPr>
                <w:sz w:val="20"/>
              </w:rPr>
              <w:t xml:space="preserve"> radius)</w:t>
            </w:r>
          </w:p>
        </w:tc>
        <w:tc>
          <w:tcPr>
            <w:tcW w:w="3034" w:type="dxa"/>
            <w:vAlign w:val="center"/>
          </w:tcPr>
          <w:p w14:paraId="1ABE9289" w14:textId="77777777" w:rsidR="00265506" w:rsidRDefault="00265506" w:rsidP="00D839EF">
            <w:pPr>
              <w:pStyle w:val="ListNumber"/>
              <w:tabs>
                <w:tab w:val="clear" w:pos="720"/>
                <w:tab w:val="clear" w:pos="1872"/>
              </w:tabs>
              <w:spacing w:before="0"/>
              <w:ind w:left="1080" w:hanging="1080"/>
              <w:jc w:val="center"/>
              <w:rPr>
                <w:sz w:val="20"/>
              </w:rPr>
            </w:pPr>
            <w:r>
              <w:rPr>
                <w:sz w:val="20"/>
              </w:rPr>
              <w:t>Right Wheel Path / At joint</w:t>
            </w:r>
          </w:p>
        </w:tc>
      </w:tr>
      <w:tr w:rsidR="00265506" w14:paraId="1378DEE8" w14:textId="77777777" w:rsidTr="00682815">
        <w:trPr>
          <w:trHeight w:val="360"/>
          <w:jc w:val="right"/>
        </w:trPr>
        <w:tc>
          <w:tcPr>
            <w:tcW w:w="1805" w:type="dxa"/>
            <w:vAlign w:val="center"/>
          </w:tcPr>
          <w:p w14:paraId="778F377D" w14:textId="0B027650" w:rsidR="00D43E46" w:rsidRDefault="00265506" w:rsidP="00CB3707">
            <w:pPr>
              <w:pStyle w:val="ListNumber"/>
              <w:tabs>
                <w:tab w:val="clear" w:pos="720"/>
                <w:tab w:val="clear" w:pos="1872"/>
              </w:tabs>
              <w:spacing w:before="0"/>
              <w:ind w:left="0" w:firstLine="0"/>
              <w:jc w:val="center"/>
              <w:rPr>
                <w:sz w:val="20"/>
              </w:rPr>
            </w:pPr>
            <w:r>
              <w:rPr>
                <w:sz w:val="20"/>
              </w:rPr>
              <w:t>Subgrade</w:t>
            </w:r>
            <w:r w:rsidR="00D43E46">
              <w:rPr>
                <w:sz w:val="20"/>
              </w:rPr>
              <w:t xml:space="preserve"> </w:t>
            </w:r>
            <w:r>
              <w:rPr>
                <w:sz w:val="20"/>
              </w:rPr>
              <w:t>/</w:t>
            </w:r>
          </w:p>
          <w:p w14:paraId="08D31FD5" w14:textId="63C7803B" w:rsidR="00265506" w:rsidRDefault="00265506" w:rsidP="00D839EF">
            <w:pPr>
              <w:pStyle w:val="ListNumber"/>
              <w:tabs>
                <w:tab w:val="clear" w:pos="720"/>
                <w:tab w:val="clear" w:pos="1872"/>
              </w:tabs>
              <w:spacing w:before="0"/>
              <w:ind w:left="0" w:firstLine="0"/>
              <w:jc w:val="center"/>
              <w:rPr>
                <w:sz w:val="20"/>
              </w:rPr>
            </w:pPr>
            <w:r>
              <w:rPr>
                <w:sz w:val="20"/>
              </w:rPr>
              <w:t>Unbound Base</w:t>
            </w:r>
          </w:p>
        </w:tc>
        <w:tc>
          <w:tcPr>
            <w:tcW w:w="1227" w:type="dxa"/>
            <w:vAlign w:val="center"/>
          </w:tcPr>
          <w:p w14:paraId="2678E29B" w14:textId="77777777" w:rsidR="00265506" w:rsidRDefault="00265506" w:rsidP="00D839EF">
            <w:pPr>
              <w:pStyle w:val="ListNumber"/>
              <w:tabs>
                <w:tab w:val="clear" w:pos="720"/>
                <w:tab w:val="clear" w:pos="1872"/>
              </w:tabs>
              <w:spacing w:before="0"/>
              <w:ind w:left="1080" w:hanging="1080"/>
              <w:jc w:val="center"/>
              <w:rPr>
                <w:sz w:val="20"/>
              </w:rPr>
            </w:pPr>
            <w:r>
              <w:rPr>
                <w:sz w:val="20"/>
              </w:rPr>
              <w:t>Basin</w:t>
            </w:r>
          </w:p>
        </w:tc>
        <w:tc>
          <w:tcPr>
            <w:tcW w:w="1942" w:type="dxa"/>
            <w:vAlign w:val="center"/>
          </w:tcPr>
          <w:p w14:paraId="069A1EF1" w14:textId="7881974D" w:rsidR="00265506" w:rsidRDefault="00265506" w:rsidP="00D839EF">
            <w:pPr>
              <w:pStyle w:val="ListNumber"/>
              <w:tabs>
                <w:tab w:val="clear" w:pos="720"/>
                <w:tab w:val="clear" w:pos="1872"/>
              </w:tabs>
              <w:spacing w:before="0"/>
              <w:ind w:left="1080" w:hanging="1080"/>
              <w:jc w:val="center"/>
              <w:rPr>
                <w:sz w:val="20"/>
              </w:rPr>
            </w:pPr>
            <w:r>
              <w:rPr>
                <w:sz w:val="20"/>
              </w:rPr>
              <w:t>Large (9</w:t>
            </w:r>
            <w:r w:rsidR="00D43E46">
              <w:rPr>
                <w:sz w:val="20"/>
              </w:rPr>
              <w:t>"</w:t>
            </w:r>
            <w:r>
              <w:rPr>
                <w:sz w:val="20"/>
              </w:rPr>
              <w:t xml:space="preserve"> radius)</w:t>
            </w:r>
          </w:p>
        </w:tc>
        <w:tc>
          <w:tcPr>
            <w:tcW w:w="3034" w:type="dxa"/>
            <w:vAlign w:val="center"/>
          </w:tcPr>
          <w:p w14:paraId="61A1B3BA" w14:textId="77777777" w:rsidR="00265506" w:rsidRDefault="00265506" w:rsidP="00D839EF">
            <w:pPr>
              <w:pStyle w:val="ListNumber"/>
              <w:tabs>
                <w:tab w:val="clear" w:pos="720"/>
                <w:tab w:val="clear" w:pos="1872"/>
              </w:tabs>
              <w:spacing w:before="0"/>
              <w:ind w:left="1080" w:hanging="1080"/>
              <w:jc w:val="center"/>
              <w:rPr>
                <w:sz w:val="20"/>
              </w:rPr>
            </w:pPr>
            <w:r>
              <w:rPr>
                <w:sz w:val="20"/>
              </w:rPr>
              <w:t>Right Wheel Path</w:t>
            </w:r>
          </w:p>
        </w:tc>
      </w:tr>
    </w:tbl>
    <w:p w14:paraId="1F0C392F" w14:textId="7E71936C" w:rsidR="00265506" w:rsidRDefault="00265506" w:rsidP="00BE3F24">
      <w:pPr>
        <w:pStyle w:val="ListNumber"/>
        <w:numPr>
          <w:ilvl w:val="12"/>
          <w:numId w:val="0"/>
        </w:numPr>
        <w:tabs>
          <w:tab w:val="clear" w:pos="1872"/>
        </w:tabs>
        <w:jc w:val="both"/>
      </w:pPr>
      <w:r>
        <w:rPr>
          <w:i/>
        </w:rPr>
        <w:br w:type="page"/>
      </w:r>
    </w:p>
    <w:p w14:paraId="32FA7DD1" w14:textId="20E51312" w:rsidR="00265506" w:rsidRDefault="004D64A3" w:rsidP="00BE3F24">
      <w:pPr>
        <w:pStyle w:val="ListNumber"/>
        <w:tabs>
          <w:tab w:val="clear" w:pos="720"/>
          <w:tab w:val="clear" w:pos="1872"/>
        </w:tabs>
        <w:ind w:left="0" w:firstLine="0"/>
        <w:jc w:val="both"/>
      </w:pPr>
      <w:r>
        <w:rPr>
          <w:noProof/>
        </w:rPr>
        <w:lastRenderedPageBreak/>
        <mc:AlternateContent>
          <mc:Choice Requires="wps">
            <w:drawing>
              <wp:anchor distT="0" distB="0" distL="114300" distR="114300" simplePos="0" relativeHeight="251543040" behindDoc="0" locked="0" layoutInCell="0" allowOverlap="1" wp14:anchorId="6C81CA3D" wp14:editId="318B2125">
                <wp:simplePos x="0" y="0"/>
                <wp:positionH relativeFrom="column">
                  <wp:posOffset>4127500</wp:posOffset>
                </wp:positionH>
                <wp:positionV relativeFrom="paragraph">
                  <wp:posOffset>3357245</wp:posOffset>
                </wp:positionV>
                <wp:extent cx="1993900" cy="96520"/>
                <wp:effectExtent l="12700" t="13970" r="12700" b="13335"/>
                <wp:wrapNone/>
                <wp:docPr id="3304" name="Freeform 242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3900" cy="96520"/>
                        </a:xfrm>
                        <a:custGeom>
                          <a:avLst/>
                          <a:gdLst>
                            <a:gd name="T0" fmla="*/ 0 w 3140"/>
                            <a:gd name="T1" fmla="*/ 80 h 152"/>
                            <a:gd name="T2" fmla="*/ 280 w 3140"/>
                            <a:gd name="T3" fmla="*/ 0 h 152"/>
                            <a:gd name="T4" fmla="*/ 660 w 3140"/>
                            <a:gd name="T5" fmla="*/ 80 h 152"/>
                            <a:gd name="T6" fmla="*/ 1340 w 3140"/>
                            <a:gd name="T7" fmla="*/ 100 h 152"/>
                            <a:gd name="T8" fmla="*/ 3140 w 3140"/>
                            <a:gd name="T9" fmla="*/ 120 h 152"/>
                          </a:gdLst>
                          <a:ahLst/>
                          <a:cxnLst>
                            <a:cxn ang="0">
                              <a:pos x="T0" y="T1"/>
                            </a:cxn>
                            <a:cxn ang="0">
                              <a:pos x="T2" y="T3"/>
                            </a:cxn>
                            <a:cxn ang="0">
                              <a:pos x="T4" y="T5"/>
                            </a:cxn>
                            <a:cxn ang="0">
                              <a:pos x="T6" y="T7"/>
                            </a:cxn>
                            <a:cxn ang="0">
                              <a:pos x="T8" y="T9"/>
                            </a:cxn>
                          </a:cxnLst>
                          <a:rect l="0" t="0" r="r" b="b"/>
                          <a:pathLst>
                            <a:path w="3140" h="152">
                              <a:moveTo>
                                <a:pt x="0" y="80"/>
                              </a:moveTo>
                              <a:cubicBezTo>
                                <a:pt x="92" y="49"/>
                                <a:pt x="188" y="31"/>
                                <a:pt x="280" y="0"/>
                              </a:cubicBezTo>
                              <a:cubicBezTo>
                                <a:pt x="427" y="16"/>
                                <a:pt x="523" y="34"/>
                                <a:pt x="660" y="80"/>
                              </a:cubicBezTo>
                              <a:cubicBezTo>
                                <a:pt x="875" y="152"/>
                                <a:pt x="1113" y="96"/>
                                <a:pt x="1340" y="100"/>
                              </a:cubicBezTo>
                              <a:cubicBezTo>
                                <a:pt x="2538" y="121"/>
                                <a:pt x="2482" y="120"/>
                                <a:pt x="3140" y="1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B61CE4" id="Freeform 2427" o:spid="_x0000_s1026" alt="falling weight deflectometer testing" style="position:absolute;margin-left:325pt;margin-top:264.35pt;width:157pt;height:7.6pt;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40,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" o:allowincell="f" path="m,80c92,49,188,31,280,,427,16,523,34,660,80v215,72,453,16,680,20c2538,121,2482,120,3140,120e" filled="f">
                <v:path arrowok="t" o:connecttype="custom" o:connectlocs="0,50800;177800,0;419100,50800;850900,63500;1993900,76200" o:connectangles="0,0,0,0,0"/>
              </v:shape>
            </w:pict>
          </mc:Fallback>
        </mc:AlternateContent>
      </w:r>
      <w:r>
        <w:rPr>
          <w:noProof/>
        </w:rPr>
        <mc:AlternateContent>
          <mc:Choice Requires="wps">
            <w:drawing>
              <wp:anchor distT="0" distB="0" distL="114300" distR="114300" simplePos="0" relativeHeight="251542016" behindDoc="0" locked="0" layoutInCell="0" allowOverlap="1" wp14:anchorId="72E3EDD9" wp14:editId="30FA2FC2">
                <wp:simplePos x="0" y="0"/>
                <wp:positionH relativeFrom="column">
                  <wp:posOffset>4114800</wp:posOffset>
                </wp:positionH>
                <wp:positionV relativeFrom="paragraph">
                  <wp:posOffset>424815</wp:posOffset>
                </wp:positionV>
                <wp:extent cx="1981200" cy="90805"/>
                <wp:effectExtent l="9525" t="15240" r="9525" b="8255"/>
                <wp:wrapNone/>
                <wp:docPr id="3303" name="Freeform 242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81200" cy="90805"/>
                        </a:xfrm>
                        <a:custGeom>
                          <a:avLst/>
                          <a:gdLst>
                            <a:gd name="T0" fmla="*/ 0 w 3100"/>
                            <a:gd name="T1" fmla="*/ 20 h 105"/>
                            <a:gd name="T2" fmla="*/ 460 w 3100"/>
                            <a:gd name="T3" fmla="*/ 80 h 105"/>
                            <a:gd name="T4" fmla="*/ 660 w 3100"/>
                            <a:gd name="T5" fmla="*/ 20 h 105"/>
                            <a:gd name="T6" fmla="*/ 720 w 3100"/>
                            <a:gd name="T7" fmla="*/ 0 h 105"/>
                            <a:gd name="T8" fmla="*/ 1000 w 3100"/>
                            <a:gd name="T9" fmla="*/ 60 h 105"/>
                            <a:gd name="T10" fmla="*/ 1320 w 3100"/>
                            <a:gd name="T11" fmla="*/ 40 h 105"/>
                            <a:gd name="T12" fmla="*/ 1440 w 3100"/>
                            <a:gd name="T13" fmla="*/ 0 h 105"/>
                            <a:gd name="T14" fmla="*/ 1780 w 3100"/>
                            <a:gd name="T15" fmla="*/ 60 h 105"/>
                            <a:gd name="T16" fmla="*/ 2360 w 3100"/>
                            <a:gd name="T17" fmla="*/ 40 h 105"/>
                            <a:gd name="T18" fmla="*/ 2420 w 3100"/>
                            <a:gd name="T19" fmla="*/ 20 h 105"/>
                            <a:gd name="T20" fmla="*/ 2680 w 3100"/>
                            <a:gd name="T21" fmla="*/ 60 h 105"/>
                            <a:gd name="T22" fmla="*/ 2840 w 3100"/>
                            <a:gd name="T23" fmla="*/ 100 h 105"/>
                            <a:gd name="T24" fmla="*/ 3100 w 3100"/>
                            <a:gd name="T25" fmla="*/ 8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100" h="105">
                              <a:moveTo>
                                <a:pt x="0" y="20"/>
                              </a:moveTo>
                              <a:cubicBezTo>
                                <a:pt x="394" y="64"/>
                                <a:pt x="242" y="36"/>
                                <a:pt x="460" y="80"/>
                              </a:cubicBezTo>
                              <a:cubicBezTo>
                                <a:pt x="581" y="50"/>
                                <a:pt x="514" y="69"/>
                                <a:pt x="660" y="20"/>
                              </a:cubicBezTo>
                              <a:cubicBezTo>
                                <a:pt x="680" y="13"/>
                                <a:pt x="720" y="0"/>
                                <a:pt x="720" y="0"/>
                              </a:cubicBezTo>
                              <a:cubicBezTo>
                                <a:pt x="919" y="50"/>
                                <a:pt x="826" y="31"/>
                                <a:pt x="1000" y="60"/>
                              </a:cubicBezTo>
                              <a:cubicBezTo>
                                <a:pt x="1107" y="53"/>
                                <a:pt x="1214" y="54"/>
                                <a:pt x="1320" y="40"/>
                              </a:cubicBezTo>
                              <a:cubicBezTo>
                                <a:pt x="1362" y="34"/>
                                <a:pt x="1440" y="0"/>
                                <a:pt x="1440" y="0"/>
                              </a:cubicBezTo>
                              <a:cubicBezTo>
                                <a:pt x="1565" y="31"/>
                                <a:pt x="1641" y="46"/>
                                <a:pt x="1780" y="60"/>
                              </a:cubicBezTo>
                              <a:cubicBezTo>
                                <a:pt x="1973" y="53"/>
                                <a:pt x="2167" y="52"/>
                                <a:pt x="2360" y="40"/>
                              </a:cubicBezTo>
                              <a:cubicBezTo>
                                <a:pt x="2381" y="39"/>
                                <a:pt x="2399" y="20"/>
                                <a:pt x="2420" y="20"/>
                              </a:cubicBezTo>
                              <a:cubicBezTo>
                                <a:pt x="2508" y="20"/>
                                <a:pt x="2593" y="50"/>
                                <a:pt x="2680" y="60"/>
                              </a:cubicBezTo>
                              <a:cubicBezTo>
                                <a:pt x="2733" y="73"/>
                                <a:pt x="2785" y="105"/>
                                <a:pt x="2840" y="100"/>
                              </a:cubicBezTo>
                              <a:cubicBezTo>
                                <a:pt x="3073" y="79"/>
                                <a:pt x="2986" y="80"/>
                                <a:pt x="3100" y="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F256A6" id="Freeform 2426" o:spid="_x0000_s1026" alt="falling weight deflectometer testing" style="position:absolute;margin-left:324pt;margin-top:33.45pt;width:156pt;height:7.15pt;z-index:2515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00,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" o:allowincell="f" path="m,20c394,64,242,36,460,80,581,50,514,69,660,20,680,13,720,,720,v199,50,106,31,280,60c1107,53,1214,54,1320,40,1362,34,1440,,1440,v125,31,201,46,340,60c1973,53,2167,52,2360,40v21,-1,39,-20,60,-20c2508,20,2593,50,2680,60v53,13,105,45,160,40c3073,79,2986,80,3100,80e" filled="f">
                <v:path arrowok="t" o:connecttype="custom" o:connectlocs="0,17296;293985,69185;421804,17296;460150,0;639097,51889;843608,34592;920299,0;1137592,51889;1508268,34592;1546614,17296;1712779,51889;1815035,86481;1981200,69185" o:connectangles="0,0,0,0,0,0,0,0,0,0,0,0,0"/>
              </v:shape>
            </w:pict>
          </mc:Fallback>
        </mc:AlternateContent>
      </w:r>
      <w:r>
        <w:rPr>
          <w:noProof/>
        </w:rPr>
        <mc:AlternateContent>
          <mc:Choice Requires="wps">
            <w:drawing>
              <wp:anchor distT="0" distB="0" distL="114300" distR="114300" simplePos="0" relativeHeight="251540992" behindDoc="0" locked="0" layoutInCell="0" allowOverlap="1" wp14:anchorId="05D9E3EC" wp14:editId="6CD5D535">
                <wp:simplePos x="0" y="0"/>
                <wp:positionH relativeFrom="column">
                  <wp:posOffset>4279265</wp:posOffset>
                </wp:positionH>
                <wp:positionV relativeFrom="paragraph">
                  <wp:posOffset>4227830</wp:posOffset>
                </wp:positionV>
                <wp:extent cx="182880" cy="182880"/>
                <wp:effectExtent l="12065" t="8255" r="5080" b="8890"/>
                <wp:wrapNone/>
                <wp:docPr id="3302" name="Oval 2425"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55C4D5D" id="Oval 2425" o:spid="_x0000_s1026" alt="falling weight deflectometer testing" style="position:absolute;margin-left:336.95pt;margin-top:332.9pt;width:14.4pt;height:14.4pt;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" o:allowincell="f"/>
            </w:pict>
          </mc:Fallback>
        </mc:AlternateContent>
      </w:r>
      <w:r>
        <w:rPr>
          <w:noProof/>
        </w:rPr>
        <mc:AlternateContent>
          <mc:Choice Requires="wps">
            <w:drawing>
              <wp:anchor distT="0" distB="0" distL="114300" distR="114300" simplePos="0" relativeHeight="251539968" behindDoc="0" locked="0" layoutInCell="0" allowOverlap="1" wp14:anchorId="6D400DDE" wp14:editId="4749AAD8">
                <wp:simplePos x="0" y="0"/>
                <wp:positionH relativeFrom="column">
                  <wp:posOffset>5567680</wp:posOffset>
                </wp:positionH>
                <wp:positionV relativeFrom="paragraph">
                  <wp:posOffset>6152515</wp:posOffset>
                </wp:positionV>
                <wp:extent cx="182880" cy="182880"/>
                <wp:effectExtent l="5080" t="8890" r="12065" b="8255"/>
                <wp:wrapNone/>
                <wp:docPr id="3301" name="Oval 242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9FA2604" id="Oval 2424" o:spid="_x0000_s1026" alt="falling weight deflectometer testing" style="position:absolute;margin-left:438.4pt;margin-top:484.45pt;width:14.4pt;height:14.4pt;z-index:2515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" o:allowincell="f"/>
            </w:pict>
          </mc:Fallback>
        </mc:AlternateContent>
      </w:r>
      <w:r>
        <w:rPr>
          <w:noProof/>
        </w:rPr>
        <mc:AlternateContent>
          <mc:Choice Requires="wps">
            <w:drawing>
              <wp:anchor distT="0" distB="0" distL="114300" distR="114300" simplePos="0" relativeHeight="251538944" behindDoc="0" locked="0" layoutInCell="0" allowOverlap="1" wp14:anchorId="1B67D7D9" wp14:editId="62CC9342">
                <wp:simplePos x="0" y="0"/>
                <wp:positionH relativeFrom="column">
                  <wp:posOffset>4290060</wp:posOffset>
                </wp:positionH>
                <wp:positionV relativeFrom="paragraph">
                  <wp:posOffset>990600</wp:posOffset>
                </wp:positionV>
                <wp:extent cx="182880" cy="182880"/>
                <wp:effectExtent l="13335" t="9525" r="13335" b="7620"/>
                <wp:wrapNone/>
                <wp:docPr id="3300" name="Oval 242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C2B0EB2" id="Oval 2423" o:spid="_x0000_s1026" alt="falling weight deflectometer testing" style="position:absolute;margin-left:337.8pt;margin-top:78pt;width:14.4pt;height:14.4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" o:allowincell="f"/>
            </w:pict>
          </mc:Fallback>
        </mc:AlternateContent>
      </w:r>
      <w:r>
        <w:rPr>
          <w:noProof/>
        </w:rPr>
        <mc:AlternateContent>
          <mc:Choice Requires="wps">
            <w:drawing>
              <wp:anchor distT="0" distB="0" distL="114300" distR="114300" simplePos="0" relativeHeight="251537920" behindDoc="0" locked="0" layoutInCell="0" allowOverlap="1" wp14:anchorId="47A2F4AC" wp14:editId="1B1BF22B">
                <wp:simplePos x="0" y="0"/>
                <wp:positionH relativeFrom="column">
                  <wp:posOffset>5753100</wp:posOffset>
                </wp:positionH>
                <wp:positionV relativeFrom="paragraph">
                  <wp:posOffset>2453640</wp:posOffset>
                </wp:positionV>
                <wp:extent cx="182880" cy="182880"/>
                <wp:effectExtent l="9525" t="5715" r="7620" b="11430"/>
                <wp:wrapNone/>
                <wp:docPr id="3299" name="Oval 242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642C15C" id="Oval 2422" o:spid="_x0000_s1026" alt="falling weight deflectometer testing" style="position:absolute;margin-left:453pt;margin-top:193.2pt;width:14.4pt;height:14.4pt;z-index:2515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" o:allowincell="f"/>
            </w:pict>
          </mc:Fallback>
        </mc:AlternateContent>
      </w:r>
      <w:r>
        <w:rPr>
          <w:noProof/>
        </w:rPr>
        <mc:AlternateContent>
          <mc:Choice Requires="wps">
            <w:drawing>
              <wp:anchor distT="0" distB="0" distL="114300" distR="114300" simplePos="0" relativeHeight="251536896" behindDoc="0" locked="0" layoutInCell="0" allowOverlap="1" wp14:anchorId="4F3B9BB3" wp14:editId="43DB6433">
                <wp:simplePos x="0" y="0"/>
                <wp:positionH relativeFrom="column">
                  <wp:posOffset>5519420</wp:posOffset>
                </wp:positionH>
                <wp:positionV relativeFrom="paragraph">
                  <wp:posOffset>3159760</wp:posOffset>
                </wp:positionV>
                <wp:extent cx="3810" cy="662940"/>
                <wp:effectExtent l="52070" t="16510" r="58420" b="6350"/>
                <wp:wrapNone/>
                <wp:docPr id="3298" name="Freeform 2421"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567DE26B" id="Freeform 2421" o:spid="_x0000_s1026" alt="falling weight deflectometer testing" style="position:absolute;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34.6pt,301pt,434.9pt,248.8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35872" behindDoc="0" locked="0" layoutInCell="0" allowOverlap="1" wp14:anchorId="3A04B22E" wp14:editId="570E8090">
                <wp:simplePos x="0" y="0"/>
                <wp:positionH relativeFrom="column">
                  <wp:posOffset>4551680</wp:posOffset>
                </wp:positionH>
                <wp:positionV relativeFrom="paragraph">
                  <wp:posOffset>3172460</wp:posOffset>
                </wp:positionV>
                <wp:extent cx="0" cy="731520"/>
                <wp:effectExtent l="55880" t="10160" r="58420" b="20320"/>
                <wp:wrapNone/>
                <wp:docPr id="3297" name="Line 242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0A01D4" id="Line 2420" o:spid="_x0000_s1026" alt="falling weight deflectometer testing" style="position:absolute;z-index:2515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8.4pt,249.8pt" to="358.4pt,30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" o:allowincell="f">
                <v:stroke endarrow="block"/>
              </v:line>
            </w:pict>
          </mc:Fallback>
        </mc:AlternateContent>
      </w:r>
      <w:r>
        <w:rPr>
          <w:noProof/>
        </w:rPr>
        <mc:AlternateContent>
          <mc:Choice Requires="wps">
            <w:drawing>
              <wp:anchor distT="0" distB="0" distL="114300" distR="114300" simplePos="0" relativeHeight="251534848" behindDoc="0" locked="0" layoutInCell="0" allowOverlap="1" wp14:anchorId="331FF4F2" wp14:editId="23241053">
                <wp:simplePos x="0" y="0"/>
                <wp:positionH relativeFrom="column">
                  <wp:posOffset>5113020</wp:posOffset>
                </wp:positionH>
                <wp:positionV relativeFrom="paragraph">
                  <wp:posOffset>-106680</wp:posOffset>
                </wp:positionV>
                <wp:extent cx="0" cy="6971030"/>
                <wp:effectExtent l="7620" t="7620" r="11430" b="12700"/>
                <wp:wrapNone/>
                <wp:docPr id="3296" name="Line 241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710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6FBE38" id="Line 2419" o:spid="_x0000_s1026" alt="falling weight deflectometer testing" style="position:absolute;z-index:25153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2.6pt,-8.4pt" to="402.6pt,5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" o:allowincell="f"/>
            </w:pict>
          </mc:Fallback>
        </mc:AlternateContent>
      </w:r>
      <w:r>
        <w:rPr>
          <w:noProof/>
        </w:rPr>
        <mc:AlternateContent>
          <mc:Choice Requires="wps">
            <w:drawing>
              <wp:anchor distT="0" distB="0" distL="114300" distR="114300" simplePos="0" relativeHeight="251533824" behindDoc="0" locked="0" layoutInCell="0" allowOverlap="1" wp14:anchorId="0DCED7AF" wp14:editId="5628F2B1">
                <wp:simplePos x="0" y="0"/>
                <wp:positionH relativeFrom="column">
                  <wp:posOffset>4096385</wp:posOffset>
                </wp:positionH>
                <wp:positionV relativeFrom="paragraph">
                  <wp:posOffset>-106680</wp:posOffset>
                </wp:positionV>
                <wp:extent cx="2011680" cy="6993255"/>
                <wp:effectExtent l="10160" t="7620" r="6985" b="9525"/>
                <wp:wrapNone/>
                <wp:docPr id="3295" name="Rectangle 2418"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1680" cy="69932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570C8F" id="Rectangle 2418" o:spid="_x0000_s1026" alt="falling weight deflectometer testing" style="position:absolute;margin-left:322.55pt;margin-top:-8.4pt;width:158.4pt;height:550.65pt;z-index:2515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" o:allowincell="f"/>
            </w:pict>
          </mc:Fallback>
        </mc:AlternateContent>
      </w:r>
      <w:r>
        <w:rPr>
          <w:noProof/>
        </w:rPr>
        <mc:AlternateContent>
          <mc:Choice Requires="wps">
            <w:drawing>
              <wp:anchor distT="0" distB="0" distL="114300" distR="114300" simplePos="0" relativeHeight="251532800" behindDoc="0" locked="0" layoutInCell="0" allowOverlap="1" wp14:anchorId="36E410FA" wp14:editId="42FC6FE2">
                <wp:simplePos x="0" y="0"/>
                <wp:positionH relativeFrom="column">
                  <wp:posOffset>1790700</wp:posOffset>
                </wp:positionH>
                <wp:positionV relativeFrom="paragraph">
                  <wp:posOffset>461645</wp:posOffset>
                </wp:positionV>
                <wp:extent cx="2006600" cy="0"/>
                <wp:effectExtent l="9525" t="13970" r="12700" b="5080"/>
                <wp:wrapNone/>
                <wp:docPr id="3294" name="Line 241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284557" id="Line 2417" o:spid="_x0000_s1026" alt="falling weight deflectometer testing" style="position:absolute;z-index:2515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36.35pt" to="299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" o:allowincell="f"/>
            </w:pict>
          </mc:Fallback>
        </mc:AlternateContent>
      </w:r>
      <w:r>
        <w:rPr>
          <w:noProof/>
        </w:rPr>
        <mc:AlternateContent>
          <mc:Choice Requires="wps">
            <w:drawing>
              <wp:anchor distT="0" distB="0" distL="114300" distR="114300" simplePos="0" relativeHeight="251531776" behindDoc="0" locked="0" layoutInCell="0" allowOverlap="1" wp14:anchorId="5E69F6D7" wp14:editId="31BE8E1F">
                <wp:simplePos x="0" y="0"/>
                <wp:positionH relativeFrom="column">
                  <wp:posOffset>1790700</wp:posOffset>
                </wp:positionH>
                <wp:positionV relativeFrom="paragraph">
                  <wp:posOffset>1833245</wp:posOffset>
                </wp:positionV>
                <wp:extent cx="2006600" cy="0"/>
                <wp:effectExtent l="9525" t="13970" r="12700" b="5080"/>
                <wp:wrapNone/>
                <wp:docPr id="3293" name="Line 241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3DA269" id="Line 2416" o:spid="_x0000_s1026" alt="falling weight deflectometer testing" style="position:absolute;z-index:2515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144.35pt" to="299pt,1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" o:allowincell="f"/>
            </w:pict>
          </mc:Fallback>
        </mc:AlternateContent>
      </w:r>
      <w:r>
        <w:rPr>
          <w:noProof/>
        </w:rPr>
        <mc:AlternateContent>
          <mc:Choice Requires="wps">
            <w:drawing>
              <wp:anchor distT="0" distB="0" distL="114300" distR="114300" simplePos="0" relativeHeight="251530752" behindDoc="0" locked="0" layoutInCell="0" allowOverlap="1" wp14:anchorId="11E35D35" wp14:editId="35553F2D">
                <wp:simplePos x="0" y="0"/>
                <wp:positionH relativeFrom="column">
                  <wp:posOffset>1790700</wp:posOffset>
                </wp:positionH>
                <wp:positionV relativeFrom="paragraph">
                  <wp:posOffset>3369945</wp:posOffset>
                </wp:positionV>
                <wp:extent cx="2006600" cy="0"/>
                <wp:effectExtent l="9525" t="7620" r="12700" b="11430"/>
                <wp:wrapNone/>
                <wp:docPr id="3292" name="Line 2415"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81F0C7" id="Line 2415" o:spid="_x0000_s1026" alt="falling weight deflectometer testing" style="position:absolute;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265.35pt" to="299pt,26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" o:allowincell="f"/>
            </w:pict>
          </mc:Fallback>
        </mc:AlternateContent>
      </w:r>
      <w:r>
        <w:rPr>
          <w:noProof/>
        </w:rPr>
        <mc:AlternateContent>
          <mc:Choice Requires="wps">
            <w:drawing>
              <wp:anchor distT="0" distB="0" distL="114300" distR="114300" simplePos="0" relativeHeight="251529728" behindDoc="0" locked="0" layoutInCell="0" allowOverlap="1" wp14:anchorId="4F410D2B" wp14:editId="26EC57E0">
                <wp:simplePos x="0" y="0"/>
                <wp:positionH relativeFrom="column">
                  <wp:posOffset>1790700</wp:posOffset>
                </wp:positionH>
                <wp:positionV relativeFrom="paragraph">
                  <wp:posOffset>5274945</wp:posOffset>
                </wp:positionV>
                <wp:extent cx="2006600" cy="0"/>
                <wp:effectExtent l="9525" t="7620" r="12700" b="11430"/>
                <wp:wrapNone/>
                <wp:docPr id="3291" name="Line 241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80CABE" id="Line 2414" o:spid="_x0000_s1026" alt="falling weight deflectometer testing" style="position:absolute;z-index:2515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415.35pt" to="299pt,4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" o:allowincell="f"/>
            </w:pict>
          </mc:Fallback>
        </mc:AlternateContent>
      </w:r>
      <w:r>
        <w:rPr>
          <w:noProof/>
        </w:rPr>
        <mc:AlternateContent>
          <mc:Choice Requires="wps">
            <w:drawing>
              <wp:anchor distT="0" distB="0" distL="114300" distR="114300" simplePos="0" relativeHeight="251524608" behindDoc="0" locked="0" layoutInCell="0" allowOverlap="1" wp14:anchorId="451F4FCF" wp14:editId="4FEAA854">
                <wp:simplePos x="0" y="0"/>
                <wp:positionH relativeFrom="column">
                  <wp:posOffset>3208020</wp:posOffset>
                </wp:positionH>
                <wp:positionV relativeFrom="paragraph">
                  <wp:posOffset>3172460</wp:posOffset>
                </wp:positionV>
                <wp:extent cx="3810" cy="662940"/>
                <wp:effectExtent l="55245" t="19685" r="55245" b="12700"/>
                <wp:wrapNone/>
                <wp:docPr id="3290" name="Freeform 240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5555679" id="Freeform 2409" o:spid="_x0000_s1026" alt="falling weight deflectometer testing" style="position:absolute;z-index:2515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52.6pt,302pt,252.9pt,249.8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23584" behindDoc="0" locked="0" layoutInCell="0" allowOverlap="1" wp14:anchorId="53C37B7D" wp14:editId="11C1EFC4">
                <wp:simplePos x="0" y="0"/>
                <wp:positionH relativeFrom="column">
                  <wp:posOffset>2240280</wp:posOffset>
                </wp:positionH>
                <wp:positionV relativeFrom="paragraph">
                  <wp:posOffset>3185160</wp:posOffset>
                </wp:positionV>
                <wp:extent cx="0" cy="731520"/>
                <wp:effectExtent l="59055" t="13335" r="55245" b="17145"/>
                <wp:wrapNone/>
                <wp:docPr id="3289" name="Line 2408"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A927DA" id="Line 2408" o:spid="_x0000_s1026" alt="falling weight deflectometer testing" style="position:absolute;z-index:25152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6.4pt,250.8pt" to="176.4pt,30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" o:allowincell="f">
                <v:stroke endarrow="block"/>
              </v:line>
            </w:pict>
          </mc:Fallback>
        </mc:AlternateContent>
      </w:r>
      <w:r>
        <w:rPr>
          <w:noProof/>
        </w:rPr>
        <mc:AlternateContent>
          <mc:Choice Requires="wps">
            <w:drawing>
              <wp:anchor distT="0" distB="0" distL="114300" distR="114300" simplePos="0" relativeHeight="251515392" behindDoc="0" locked="0" layoutInCell="0" allowOverlap="1" wp14:anchorId="0433F7AE" wp14:editId="276B9A8A">
                <wp:simplePos x="0" y="0"/>
                <wp:positionH relativeFrom="column">
                  <wp:posOffset>940435</wp:posOffset>
                </wp:positionH>
                <wp:positionV relativeFrom="paragraph">
                  <wp:posOffset>3237865</wp:posOffset>
                </wp:positionV>
                <wp:extent cx="3810" cy="662940"/>
                <wp:effectExtent l="54610" t="18415" r="55880" b="13970"/>
                <wp:wrapNone/>
                <wp:docPr id="3288" name="Freeform 240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15260E04" id="Freeform 2400" o:spid="_x0000_s1026" alt="falling weight deflectometer testing" style="position:absolute;z-index:2515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74.05pt,307.15pt,74.35pt,254.95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14368" behindDoc="0" locked="0" layoutInCell="0" allowOverlap="1" wp14:anchorId="2D13CB40" wp14:editId="39C360B3">
                <wp:simplePos x="0" y="0"/>
                <wp:positionH relativeFrom="column">
                  <wp:posOffset>74295</wp:posOffset>
                </wp:positionH>
                <wp:positionV relativeFrom="paragraph">
                  <wp:posOffset>3250565</wp:posOffset>
                </wp:positionV>
                <wp:extent cx="0" cy="731520"/>
                <wp:effectExtent l="55245" t="12065" r="59055" b="18415"/>
                <wp:wrapNone/>
                <wp:docPr id="3287" name="Line 239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FCF35F" id="Line 2399" o:spid="_x0000_s1026" alt="falling weight deflectometer testing" style="position:absolute;z-index:2515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5pt,255.95pt" to="5.85pt,3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" o:allowincell="f">
                <v:stroke endarrow="block"/>
              </v:line>
            </w:pict>
          </mc:Fallback>
        </mc:AlternateContent>
      </w:r>
      <w:r>
        <w:rPr>
          <w:noProof/>
        </w:rPr>
        <mc:AlternateContent>
          <mc:Choice Requires="wps">
            <w:drawing>
              <wp:anchor distT="0" distB="0" distL="114300" distR="114300" simplePos="0" relativeHeight="251528704" behindDoc="0" locked="0" layoutInCell="0" allowOverlap="1" wp14:anchorId="38C6694F" wp14:editId="1409F676">
                <wp:simplePos x="0" y="0"/>
                <wp:positionH relativeFrom="column">
                  <wp:posOffset>1967865</wp:posOffset>
                </wp:positionH>
                <wp:positionV relativeFrom="paragraph">
                  <wp:posOffset>4240530</wp:posOffset>
                </wp:positionV>
                <wp:extent cx="182880" cy="182880"/>
                <wp:effectExtent l="5715" t="11430" r="11430" b="5715"/>
                <wp:wrapNone/>
                <wp:docPr id="3286" name="Oval 241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81E97D5" id="Oval 2413" o:spid="_x0000_s1026" alt="falling weight deflectometer testing" style="position:absolute;margin-left:154.95pt;margin-top:333.9pt;width:14.4pt;height:14.4pt;z-index:2515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" o:allowincell="f"/>
            </w:pict>
          </mc:Fallback>
        </mc:AlternateContent>
      </w:r>
      <w:r>
        <w:rPr>
          <w:noProof/>
        </w:rPr>
        <mc:AlternateContent>
          <mc:Choice Requires="wps">
            <w:drawing>
              <wp:anchor distT="0" distB="0" distL="114300" distR="114300" simplePos="0" relativeHeight="251526656" behindDoc="0" locked="0" layoutInCell="0" allowOverlap="1" wp14:anchorId="04F6D041" wp14:editId="1A926573">
                <wp:simplePos x="0" y="0"/>
                <wp:positionH relativeFrom="column">
                  <wp:posOffset>1978660</wp:posOffset>
                </wp:positionH>
                <wp:positionV relativeFrom="paragraph">
                  <wp:posOffset>1003300</wp:posOffset>
                </wp:positionV>
                <wp:extent cx="182880" cy="182880"/>
                <wp:effectExtent l="6985" t="12700" r="10160" b="13970"/>
                <wp:wrapNone/>
                <wp:docPr id="3285" name="Oval 2411"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8C3F55B" id="Oval 2411" o:spid="_x0000_s1026" alt="falling weight deflectometer testing" style="position:absolute;margin-left:155.8pt;margin-top:79pt;width:14.4pt;height:14.4pt;z-index:2515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" o:allowincell="f"/>
            </w:pict>
          </mc:Fallback>
        </mc:AlternateContent>
      </w:r>
      <w:r>
        <w:rPr>
          <w:noProof/>
        </w:rPr>
        <mc:AlternateContent>
          <mc:Choice Requires="wps">
            <w:drawing>
              <wp:anchor distT="0" distB="0" distL="114300" distR="114300" simplePos="0" relativeHeight="251525632" behindDoc="0" locked="0" layoutInCell="0" allowOverlap="1" wp14:anchorId="15B55141" wp14:editId="363A0986">
                <wp:simplePos x="0" y="0"/>
                <wp:positionH relativeFrom="column">
                  <wp:posOffset>3441700</wp:posOffset>
                </wp:positionH>
                <wp:positionV relativeFrom="paragraph">
                  <wp:posOffset>2466340</wp:posOffset>
                </wp:positionV>
                <wp:extent cx="182880" cy="182880"/>
                <wp:effectExtent l="12700" t="8890" r="13970" b="8255"/>
                <wp:wrapNone/>
                <wp:docPr id="3284" name="Oval 241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54E0A8D" id="Oval 2410" o:spid="_x0000_s1026" alt="falling weight deflectometer testing" style="position:absolute;margin-left:271pt;margin-top:194.2pt;width:14.4pt;height:14.4pt;z-index:2515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" o:allowincell="f"/>
            </w:pict>
          </mc:Fallback>
        </mc:AlternateContent>
      </w:r>
      <w:r>
        <w:rPr>
          <w:noProof/>
        </w:rPr>
        <mc:AlternateContent>
          <mc:Choice Requires="wps">
            <w:drawing>
              <wp:anchor distT="0" distB="0" distL="114300" distR="114300" simplePos="0" relativeHeight="251522560" behindDoc="0" locked="0" layoutInCell="0" allowOverlap="1" wp14:anchorId="1D7A71CA" wp14:editId="7A795FD1">
                <wp:simplePos x="0" y="0"/>
                <wp:positionH relativeFrom="column">
                  <wp:posOffset>2801620</wp:posOffset>
                </wp:positionH>
                <wp:positionV relativeFrom="paragraph">
                  <wp:posOffset>-93980</wp:posOffset>
                </wp:positionV>
                <wp:extent cx="0" cy="6971030"/>
                <wp:effectExtent l="10795" t="10795" r="8255" b="9525"/>
                <wp:wrapNone/>
                <wp:docPr id="3283" name="Line 240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710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FD8A47" id="Line 2407" o:spid="_x0000_s1026" alt="falling weight deflectometer testing" style="position:absolute;z-index:25152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6pt,-7.4pt" to="220.6pt,5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" o:allowincell="f"/>
            </w:pict>
          </mc:Fallback>
        </mc:AlternateContent>
      </w:r>
      <w:r>
        <w:rPr>
          <w:noProof/>
        </w:rPr>
        <mc:AlternateContent>
          <mc:Choice Requires="wps">
            <w:drawing>
              <wp:anchor distT="0" distB="0" distL="114300" distR="114300" simplePos="0" relativeHeight="251521536" behindDoc="0" locked="0" layoutInCell="0" allowOverlap="1" wp14:anchorId="36A7BDE2" wp14:editId="3192BE16">
                <wp:simplePos x="0" y="0"/>
                <wp:positionH relativeFrom="column">
                  <wp:posOffset>1784985</wp:posOffset>
                </wp:positionH>
                <wp:positionV relativeFrom="paragraph">
                  <wp:posOffset>-93980</wp:posOffset>
                </wp:positionV>
                <wp:extent cx="2011680" cy="6993255"/>
                <wp:effectExtent l="13335" t="10795" r="13335" b="6350"/>
                <wp:wrapNone/>
                <wp:docPr id="3282" name="Rectangle 240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1680" cy="69932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257772" id="Rectangle 2406" o:spid="_x0000_s1026" alt="falling weight deflectometer testing" style="position:absolute;margin-left:140.55pt;margin-top:-7.4pt;width:158.4pt;height:550.65pt;z-index:25152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" o:allowincell="f"/>
            </w:pict>
          </mc:Fallback>
        </mc:AlternateContent>
      </w:r>
      <w:r>
        <w:rPr>
          <w:noProof/>
        </w:rPr>
        <mc:AlternateContent>
          <mc:Choice Requires="wps">
            <w:drawing>
              <wp:anchor distT="0" distB="0" distL="114300" distR="114300" simplePos="0" relativeHeight="251527680" behindDoc="0" locked="0" layoutInCell="0" allowOverlap="1" wp14:anchorId="2E5EC5EA" wp14:editId="55902F64">
                <wp:simplePos x="0" y="0"/>
                <wp:positionH relativeFrom="column">
                  <wp:posOffset>3256280</wp:posOffset>
                </wp:positionH>
                <wp:positionV relativeFrom="paragraph">
                  <wp:posOffset>6165215</wp:posOffset>
                </wp:positionV>
                <wp:extent cx="182880" cy="182880"/>
                <wp:effectExtent l="8255" t="12065" r="8890" b="5080"/>
                <wp:wrapNone/>
                <wp:docPr id="3281" name="Oval 241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45C8C3" id="Oval 2412" o:spid="_x0000_s1026" alt="falling weight deflectometer testing" style="position:absolute;margin-left:256.4pt;margin-top:485.45pt;width:14.4pt;height:14.4pt;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" o:allowincell="f"/>
            </w:pict>
          </mc:Fallback>
        </mc:AlternateContent>
      </w:r>
      <w:r>
        <w:rPr>
          <w:noProof/>
        </w:rPr>
        <mc:AlternateContent>
          <mc:Choice Requires="wps">
            <w:drawing>
              <wp:anchor distT="0" distB="0" distL="114300" distR="114300" simplePos="0" relativeHeight="251512320" behindDoc="0" locked="0" layoutInCell="0" allowOverlap="1" wp14:anchorId="6EE0F6E7" wp14:editId="4B821E43">
                <wp:simplePos x="0" y="0"/>
                <wp:positionH relativeFrom="column">
                  <wp:posOffset>-457200</wp:posOffset>
                </wp:positionH>
                <wp:positionV relativeFrom="paragraph">
                  <wp:posOffset>-104775</wp:posOffset>
                </wp:positionV>
                <wp:extent cx="2011680" cy="6993255"/>
                <wp:effectExtent l="9525" t="9525" r="7620" b="7620"/>
                <wp:wrapNone/>
                <wp:docPr id="3280" name="Rectangle 239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1680" cy="69932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56B974" id="Rectangle 2397" o:spid="_x0000_s1026" alt="falling weight deflectometer testing" style="position:absolute;margin-left:-36pt;margin-top:-8.25pt;width:158.4pt;height:550.65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" o:allowincell="f"/>
            </w:pict>
          </mc:Fallback>
        </mc:AlternateContent>
      </w:r>
      <w:r>
        <w:rPr>
          <w:noProof/>
        </w:rPr>
        <mc:AlternateContent>
          <mc:Choice Requires="wps">
            <w:drawing>
              <wp:anchor distT="0" distB="0" distL="114300" distR="114300" simplePos="0" relativeHeight="251519488" behindDoc="0" locked="0" layoutInCell="0" allowOverlap="1" wp14:anchorId="3B338175" wp14:editId="13FC3358">
                <wp:simplePos x="0" y="0"/>
                <wp:positionH relativeFrom="column">
                  <wp:posOffset>1014095</wp:posOffset>
                </wp:positionH>
                <wp:positionV relativeFrom="paragraph">
                  <wp:posOffset>6154420</wp:posOffset>
                </wp:positionV>
                <wp:extent cx="182880" cy="182880"/>
                <wp:effectExtent l="13970" t="10795" r="12700" b="6350"/>
                <wp:wrapNone/>
                <wp:docPr id="3279" name="Oval 240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F736186" id="Oval 2404" o:spid="_x0000_s1026" alt="falling weight deflectometer testing" style="position:absolute;margin-left:79.85pt;margin-top:484.6pt;width:14.4pt;height:14.4pt;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" o:allowincell="f"/>
            </w:pict>
          </mc:Fallback>
        </mc:AlternateContent>
      </w:r>
      <w:r>
        <w:rPr>
          <w:noProof/>
        </w:rPr>
        <mc:AlternateContent>
          <mc:Choice Requires="wps">
            <w:drawing>
              <wp:anchor distT="0" distB="0" distL="114300" distR="114300" simplePos="0" relativeHeight="251520512" behindDoc="0" locked="0" layoutInCell="0" allowOverlap="1" wp14:anchorId="37AD8C88" wp14:editId="39BA5668">
                <wp:simplePos x="0" y="0"/>
                <wp:positionH relativeFrom="column">
                  <wp:posOffset>-274320</wp:posOffset>
                </wp:positionH>
                <wp:positionV relativeFrom="paragraph">
                  <wp:posOffset>4229735</wp:posOffset>
                </wp:positionV>
                <wp:extent cx="182880" cy="182880"/>
                <wp:effectExtent l="11430" t="10160" r="5715" b="6985"/>
                <wp:wrapNone/>
                <wp:docPr id="3278" name="Oval 2405"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4B14F43" id="Oval 2405" o:spid="_x0000_s1026" alt="falling weight deflectometer testing" style="position:absolute;margin-left:-21.6pt;margin-top:333.05pt;width:14.4pt;height:14.4pt;z-index:25152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" o:allowincell="f"/>
            </w:pict>
          </mc:Fallback>
        </mc:AlternateContent>
      </w:r>
      <w:r>
        <w:rPr>
          <w:noProof/>
        </w:rPr>
        <mc:AlternateContent>
          <mc:Choice Requires="wps">
            <w:drawing>
              <wp:anchor distT="0" distB="0" distL="114300" distR="114300" simplePos="0" relativeHeight="251513344" behindDoc="0" locked="0" layoutInCell="0" allowOverlap="1" wp14:anchorId="2DE61BF4" wp14:editId="3C0C1AF1">
                <wp:simplePos x="0" y="0"/>
                <wp:positionH relativeFrom="column">
                  <wp:posOffset>559435</wp:posOffset>
                </wp:positionH>
                <wp:positionV relativeFrom="paragraph">
                  <wp:posOffset>-104775</wp:posOffset>
                </wp:positionV>
                <wp:extent cx="0" cy="6971030"/>
                <wp:effectExtent l="6985" t="9525" r="12065" b="10795"/>
                <wp:wrapNone/>
                <wp:docPr id="3277" name="Line 2398"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710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F8BED1" id="Line 2398" o:spid="_x0000_s1026" alt="falling weight deflectometer testing" style="position:absolute;z-index:25151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05pt,-8.25pt" to="44.05pt,5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" o:allowincell="f"/>
            </w:pict>
          </mc:Fallback>
        </mc:AlternateContent>
      </w:r>
      <w:r>
        <w:rPr>
          <w:noProof/>
        </w:rPr>
        <mc:AlternateContent>
          <mc:Choice Requires="wps">
            <w:drawing>
              <wp:anchor distT="0" distB="0" distL="114300" distR="114300" simplePos="0" relativeHeight="251518464" behindDoc="0" locked="0" layoutInCell="0" allowOverlap="1" wp14:anchorId="5DFF482E" wp14:editId="3BC34D2E">
                <wp:simplePos x="0" y="0"/>
                <wp:positionH relativeFrom="column">
                  <wp:posOffset>-263525</wp:posOffset>
                </wp:positionH>
                <wp:positionV relativeFrom="paragraph">
                  <wp:posOffset>992505</wp:posOffset>
                </wp:positionV>
                <wp:extent cx="182880" cy="182880"/>
                <wp:effectExtent l="12700" t="11430" r="13970" b="5715"/>
                <wp:wrapNone/>
                <wp:docPr id="3276" name="Oval 240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19BC642" id="Oval 2403" o:spid="_x0000_s1026" alt="falling weight deflectometer testing" style="position:absolute;margin-left:-20.75pt;margin-top:78.15pt;width:14.4pt;height:14.4pt;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" o:allowincell="f"/>
            </w:pict>
          </mc:Fallback>
        </mc:AlternateContent>
      </w:r>
      <w:r>
        <w:rPr>
          <w:noProof/>
        </w:rPr>
        <mc:AlternateContent>
          <mc:Choice Requires="wps">
            <w:drawing>
              <wp:anchor distT="0" distB="0" distL="114300" distR="114300" simplePos="0" relativeHeight="251517440" behindDoc="0" locked="0" layoutInCell="0" allowOverlap="1" wp14:anchorId="5E4A332F" wp14:editId="6F9583AD">
                <wp:simplePos x="0" y="0"/>
                <wp:positionH relativeFrom="column">
                  <wp:posOffset>1199515</wp:posOffset>
                </wp:positionH>
                <wp:positionV relativeFrom="paragraph">
                  <wp:posOffset>-196215</wp:posOffset>
                </wp:positionV>
                <wp:extent cx="182880" cy="182880"/>
                <wp:effectExtent l="8890" t="13335" r="8255" b="13335"/>
                <wp:wrapNone/>
                <wp:docPr id="3275" name="Oval 240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txbx>
                        <w:txbxContent>
                          <w:p w14:paraId="4DBA20CF" w14:textId="77777777" w:rsidR="009C1A5C" w:rsidRPr="002C3171" w:rsidRDefault="009C1A5C" w:rsidP="0026550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E4A332F" id="Oval 2402" o:spid="_x0000_s1026" alt="falling weight deflectometer testing" style="position:absolute;left:0;text-align:left;margin-left:94.45pt;margin-top:-15.45pt;width:14.4pt;height:14.4pt;z-index:25151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" o:allowincell="f">
                <v:textbox>
                  <w:txbxContent>
                    <w:p w14:paraId="4DBA20CF" w14:textId="77777777" w:rsidR="009C1A5C" w:rsidRPr="002C3171" w:rsidRDefault="009C1A5C" w:rsidP="00265506"/>
                  </w:txbxContent>
                </v:textbox>
              </v:oval>
            </w:pict>
          </mc:Fallback>
        </mc:AlternateContent>
      </w:r>
      <w:r>
        <w:rPr>
          <w:noProof/>
        </w:rPr>
        <mc:AlternateContent>
          <mc:Choice Requires="wps">
            <w:drawing>
              <wp:anchor distT="0" distB="0" distL="114300" distR="114300" simplePos="0" relativeHeight="251516416" behindDoc="0" locked="0" layoutInCell="0" allowOverlap="1" wp14:anchorId="45A019D9" wp14:editId="779EB95F">
                <wp:simplePos x="0" y="0"/>
                <wp:positionH relativeFrom="column">
                  <wp:posOffset>1199515</wp:posOffset>
                </wp:positionH>
                <wp:positionV relativeFrom="paragraph">
                  <wp:posOffset>2455545</wp:posOffset>
                </wp:positionV>
                <wp:extent cx="182880" cy="182880"/>
                <wp:effectExtent l="8890" t="7620" r="8255" b="9525"/>
                <wp:wrapNone/>
                <wp:docPr id="3274" name="Oval 2401"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4BF9711" id="Oval 2401" o:spid="_x0000_s1026" alt="falling weight deflectometer testing" style="position:absolute;margin-left:94.45pt;margin-top:193.35pt;width:14.4pt;height:14.4pt;z-index:25151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" o:allowincell="f"/>
            </w:pict>
          </mc:Fallback>
        </mc:AlternateContent>
      </w:r>
    </w:p>
    <w:p w14:paraId="4EB9882D" w14:textId="77777777" w:rsidR="00265506" w:rsidRDefault="00265506" w:rsidP="00BE3F24">
      <w:pPr>
        <w:pStyle w:val="ListNumber"/>
        <w:tabs>
          <w:tab w:val="clear" w:pos="720"/>
          <w:tab w:val="clear" w:pos="1872"/>
        </w:tabs>
        <w:ind w:left="0" w:firstLine="0"/>
        <w:jc w:val="both"/>
      </w:pPr>
    </w:p>
    <w:p w14:paraId="3EAA0A9A" w14:textId="77777777" w:rsidR="00265506" w:rsidRDefault="00265506" w:rsidP="00BE3F24">
      <w:pPr>
        <w:pStyle w:val="ListNumber"/>
        <w:tabs>
          <w:tab w:val="clear" w:pos="720"/>
          <w:tab w:val="clear" w:pos="1872"/>
        </w:tabs>
        <w:ind w:left="0" w:firstLine="0"/>
        <w:jc w:val="both"/>
      </w:pPr>
    </w:p>
    <w:p w14:paraId="1C659123" w14:textId="77777777" w:rsidR="00265506" w:rsidRDefault="00265506" w:rsidP="00BE3F24">
      <w:pPr>
        <w:pStyle w:val="ListNumber"/>
        <w:tabs>
          <w:tab w:val="clear" w:pos="720"/>
          <w:tab w:val="clear" w:pos="1872"/>
        </w:tabs>
        <w:ind w:left="0" w:firstLine="0"/>
        <w:jc w:val="both"/>
      </w:pPr>
    </w:p>
    <w:p w14:paraId="7F7DA15C" w14:textId="77777777" w:rsidR="00265506" w:rsidRDefault="00265506" w:rsidP="00BE3F24">
      <w:pPr>
        <w:pStyle w:val="ListNumber"/>
        <w:tabs>
          <w:tab w:val="clear" w:pos="720"/>
          <w:tab w:val="clear" w:pos="1872"/>
        </w:tabs>
        <w:ind w:left="0" w:firstLine="0"/>
        <w:jc w:val="both"/>
      </w:pPr>
    </w:p>
    <w:p w14:paraId="11A448BA" w14:textId="77777777" w:rsidR="00265506" w:rsidRDefault="00265506" w:rsidP="00BE3F24">
      <w:pPr>
        <w:pStyle w:val="ListNumber"/>
        <w:tabs>
          <w:tab w:val="clear" w:pos="720"/>
          <w:tab w:val="clear" w:pos="1872"/>
        </w:tabs>
        <w:ind w:left="0" w:firstLine="0"/>
        <w:jc w:val="both"/>
      </w:pPr>
    </w:p>
    <w:p w14:paraId="6686B640" w14:textId="77777777" w:rsidR="00265506" w:rsidRDefault="00265506" w:rsidP="00BE3F24">
      <w:pPr>
        <w:pStyle w:val="ListNumber"/>
        <w:tabs>
          <w:tab w:val="clear" w:pos="720"/>
          <w:tab w:val="clear" w:pos="1872"/>
        </w:tabs>
        <w:ind w:left="0" w:firstLine="0"/>
        <w:jc w:val="both"/>
      </w:pPr>
    </w:p>
    <w:p w14:paraId="590A954F" w14:textId="77777777" w:rsidR="00265506" w:rsidRDefault="00265506" w:rsidP="00BE3F24">
      <w:pPr>
        <w:pStyle w:val="ListNumber"/>
        <w:tabs>
          <w:tab w:val="clear" w:pos="720"/>
          <w:tab w:val="clear" w:pos="1872"/>
        </w:tabs>
        <w:ind w:left="0" w:firstLine="0"/>
        <w:jc w:val="both"/>
      </w:pPr>
    </w:p>
    <w:p w14:paraId="060ECC4C" w14:textId="77777777" w:rsidR="00265506" w:rsidRDefault="00265506" w:rsidP="00BE3F24">
      <w:pPr>
        <w:pStyle w:val="ListNumber"/>
        <w:tabs>
          <w:tab w:val="clear" w:pos="720"/>
          <w:tab w:val="clear" w:pos="1872"/>
        </w:tabs>
        <w:ind w:left="0" w:firstLine="0"/>
        <w:jc w:val="both"/>
      </w:pPr>
    </w:p>
    <w:p w14:paraId="00C035DD" w14:textId="77777777" w:rsidR="00265506" w:rsidRDefault="00265506" w:rsidP="00BE3F24">
      <w:pPr>
        <w:pStyle w:val="ListNumber"/>
        <w:tabs>
          <w:tab w:val="clear" w:pos="720"/>
          <w:tab w:val="clear" w:pos="1872"/>
        </w:tabs>
        <w:ind w:left="0" w:firstLine="0"/>
        <w:jc w:val="both"/>
      </w:pPr>
    </w:p>
    <w:p w14:paraId="68DEFFE0" w14:textId="77777777" w:rsidR="00265506" w:rsidRDefault="00265506" w:rsidP="00BE3F24">
      <w:pPr>
        <w:pStyle w:val="ListNumber"/>
        <w:tabs>
          <w:tab w:val="clear" w:pos="720"/>
          <w:tab w:val="clear" w:pos="1872"/>
        </w:tabs>
        <w:ind w:left="0" w:firstLine="0"/>
        <w:jc w:val="both"/>
      </w:pPr>
    </w:p>
    <w:p w14:paraId="4E0B351A" w14:textId="77777777" w:rsidR="00265506" w:rsidRDefault="00265506" w:rsidP="00BE3F24">
      <w:pPr>
        <w:pStyle w:val="ListNumber"/>
        <w:tabs>
          <w:tab w:val="clear" w:pos="720"/>
          <w:tab w:val="clear" w:pos="1872"/>
        </w:tabs>
        <w:ind w:left="0" w:firstLine="0"/>
        <w:jc w:val="both"/>
      </w:pPr>
    </w:p>
    <w:p w14:paraId="1F010E00" w14:textId="77777777" w:rsidR="00265506" w:rsidRDefault="00265506" w:rsidP="00BE3F24">
      <w:pPr>
        <w:pStyle w:val="ListNumber"/>
        <w:tabs>
          <w:tab w:val="clear" w:pos="720"/>
          <w:tab w:val="clear" w:pos="1872"/>
        </w:tabs>
        <w:ind w:left="0" w:firstLine="0"/>
        <w:jc w:val="both"/>
      </w:pPr>
    </w:p>
    <w:p w14:paraId="0682CA87" w14:textId="77777777" w:rsidR="00265506" w:rsidRDefault="00265506" w:rsidP="00BE3F24">
      <w:pPr>
        <w:pStyle w:val="ListNumber"/>
        <w:tabs>
          <w:tab w:val="clear" w:pos="720"/>
          <w:tab w:val="clear" w:pos="1872"/>
        </w:tabs>
        <w:ind w:left="0" w:firstLine="0"/>
        <w:jc w:val="both"/>
      </w:pPr>
    </w:p>
    <w:p w14:paraId="62A05D2E" w14:textId="77777777" w:rsidR="00265506" w:rsidRDefault="00265506" w:rsidP="00BE3F24">
      <w:pPr>
        <w:pStyle w:val="ListNumber"/>
        <w:tabs>
          <w:tab w:val="clear" w:pos="720"/>
          <w:tab w:val="clear" w:pos="1872"/>
        </w:tabs>
        <w:ind w:left="0" w:firstLine="0"/>
        <w:jc w:val="both"/>
      </w:pPr>
    </w:p>
    <w:p w14:paraId="3D239A22" w14:textId="77777777" w:rsidR="00265506" w:rsidRDefault="00265506" w:rsidP="00BE3F24">
      <w:pPr>
        <w:pStyle w:val="ListNumber"/>
        <w:tabs>
          <w:tab w:val="clear" w:pos="720"/>
          <w:tab w:val="clear" w:pos="1872"/>
        </w:tabs>
        <w:ind w:left="0" w:firstLine="0"/>
        <w:jc w:val="both"/>
      </w:pPr>
    </w:p>
    <w:p w14:paraId="19DCDDD3" w14:textId="77777777" w:rsidR="00265506" w:rsidRDefault="00265506" w:rsidP="00BE3F24">
      <w:pPr>
        <w:pStyle w:val="ListNumber"/>
        <w:tabs>
          <w:tab w:val="clear" w:pos="720"/>
          <w:tab w:val="clear" w:pos="1872"/>
        </w:tabs>
        <w:ind w:left="0" w:firstLine="0"/>
        <w:jc w:val="both"/>
      </w:pPr>
    </w:p>
    <w:p w14:paraId="4936A877" w14:textId="77777777" w:rsidR="00265506" w:rsidRDefault="00265506" w:rsidP="00BE3F24">
      <w:pPr>
        <w:pStyle w:val="ListNumber"/>
        <w:tabs>
          <w:tab w:val="clear" w:pos="720"/>
          <w:tab w:val="clear" w:pos="1872"/>
        </w:tabs>
        <w:ind w:left="0" w:firstLine="0"/>
        <w:jc w:val="both"/>
      </w:pPr>
    </w:p>
    <w:p w14:paraId="50E9BBA4" w14:textId="77777777" w:rsidR="00265506" w:rsidRDefault="00265506" w:rsidP="00BE3F24">
      <w:pPr>
        <w:pStyle w:val="ListNumber"/>
        <w:tabs>
          <w:tab w:val="clear" w:pos="720"/>
          <w:tab w:val="clear" w:pos="1872"/>
        </w:tabs>
        <w:ind w:left="0" w:firstLine="0"/>
        <w:jc w:val="both"/>
      </w:pPr>
    </w:p>
    <w:p w14:paraId="31D05753" w14:textId="77777777" w:rsidR="00265506" w:rsidRDefault="00265506" w:rsidP="00BE3F24">
      <w:pPr>
        <w:pStyle w:val="ListNumber"/>
        <w:tabs>
          <w:tab w:val="clear" w:pos="720"/>
          <w:tab w:val="clear" w:pos="1872"/>
        </w:tabs>
        <w:ind w:left="0" w:firstLine="0"/>
        <w:jc w:val="both"/>
      </w:pPr>
    </w:p>
    <w:p w14:paraId="20B2CF57" w14:textId="77777777" w:rsidR="00265506" w:rsidRDefault="00265506" w:rsidP="00BE3F24">
      <w:pPr>
        <w:pStyle w:val="ListNumber"/>
        <w:tabs>
          <w:tab w:val="clear" w:pos="720"/>
          <w:tab w:val="clear" w:pos="1872"/>
        </w:tabs>
        <w:ind w:left="0" w:firstLine="0"/>
        <w:jc w:val="both"/>
      </w:pPr>
    </w:p>
    <w:p w14:paraId="06C8FB53" w14:textId="77777777" w:rsidR="00265506" w:rsidRDefault="00265506" w:rsidP="00BE3F24">
      <w:pPr>
        <w:pStyle w:val="ListNumber"/>
        <w:tabs>
          <w:tab w:val="clear" w:pos="720"/>
          <w:tab w:val="clear" w:pos="1872"/>
        </w:tabs>
        <w:ind w:left="0" w:firstLine="0"/>
        <w:jc w:val="both"/>
      </w:pPr>
    </w:p>
    <w:p w14:paraId="675E53E6" w14:textId="77777777" w:rsidR="00265506" w:rsidRDefault="00265506" w:rsidP="00BE3F24">
      <w:pPr>
        <w:pStyle w:val="ListNumber"/>
        <w:tabs>
          <w:tab w:val="clear" w:pos="720"/>
          <w:tab w:val="clear" w:pos="1872"/>
        </w:tabs>
        <w:ind w:left="0" w:firstLine="0"/>
        <w:jc w:val="both"/>
      </w:pPr>
    </w:p>
    <w:p w14:paraId="28C599F7" w14:textId="77777777" w:rsidR="00265506" w:rsidRDefault="00265506" w:rsidP="00BE3F24">
      <w:pPr>
        <w:pStyle w:val="ListNumber"/>
        <w:tabs>
          <w:tab w:val="clear" w:pos="720"/>
          <w:tab w:val="clear" w:pos="1872"/>
        </w:tabs>
        <w:ind w:left="0" w:firstLine="0"/>
        <w:jc w:val="both"/>
      </w:pPr>
    </w:p>
    <w:p w14:paraId="3FB0526D" w14:textId="77777777" w:rsidR="00265506" w:rsidRDefault="00265506" w:rsidP="00BE3F24">
      <w:pPr>
        <w:pStyle w:val="ListNumber"/>
        <w:tabs>
          <w:tab w:val="clear" w:pos="720"/>
          <w:tab w:val="clear" w:pos="1872"/>
        </w:tabs>
        <w:ind w:left="0" w:firstLine="0"/>
        <w:jc w:val="both"/>
      </w:pPr>
    </w:p>
    <w:p w14:paraId="6A56F430" w14:textId="77777777" w:rsidR="00265506" w:rsidRDefault="00265506" w:rsidP="00BE3F24">
      <w:pPr>
        <w:pStyle w:val="ListNumber"/>
        <w:tabs>
          <w:tab w:val="clear" w:pos="720"/>
          <w:tab w:val="clear" w:pos="1872"/>
        </w:tabs>
        <w:ind w:left="0" w:firstLine="0"/>
        <w:jc w:val="both"/>
      </w:pPr>
    </w:p>
    <w:p w14:paraId="24E2D86A" w14:textId="77777777" w:rsidR="00265506" w:rsidRDefault="00265506" w:rsidP="00BE3F24">
      <w:pPr>
        <w:pStyle w:val="ListNumber"/>
        <w:tabs>
          <w:tab w:val="clear" w:pos="720"/>
          <w:tab w:val="clear" w:pos="1872"/>
        </w:tabs>
        <w:ind w:left="0" w:firstLine="0"/>
        <w:jc w:val="both"/>
      </w:pPr>
    </w:p>
    <w:p w14:paraId="2D952177" w14:textId="77777777" w:rsidR="00265506" w:rsidRDefault="00265506" w:rsidP="00BE3F24">
      <w:pPr>
        <w:pStyle w:val="ListNumber"/>
        <w:tabs>
          <w:tab w:val="clear" w:pos="720"/>
          <w:tab w:val="clear" w:pos="1872"/>
        </w:tabs>
        <w:ind w:left="0" w:firstLine="0"/>
        <w:jc w:val="both"/>
      </w:pPr>
    </w:p>
    <w:p w14:paraId="4D31AC98" w14:textId="77777777" w:rsidR="00265506" w:rsidRDefault="00265506" w:rsidP="00BE3F24">
      <w:pPr>
        <w:pStyle w:val="ListNumber"/>
        <w:tabs>
          <w:tab w:val="clear" w:pos="720"/>
          <w:tab w:val="clear" w:pos="1872"/>
        </w:tabs>
        <w:ind w:left="0" w:firstLine="0"/>
        <w:jc w:val="both"/>
      </w:pPr>
    </w:p>
    <w:p w14:paraId="05B71F4F" w14:textId="77777777" w:rsidR="00265506" w:rsidRDefault="00265506" w:rsidP="00BE3F24">
      <w:pPr>
        <w:pStyle w:val="ListNumber"/>
        <w:tabs>
          <w:tab w:val="clear" w:pos="720"/>
          <w:tab w:val="clear" w:pos="1872"/>
        </w:tabs>
        <w:ind w:left="0" w:firstLine="0"/>
        <w:jc w:val="both"/>
      </w:pPr>
      <w:r>
        <w:t xml:space="preserve">          Flexible                                               Rigid                                              Composite    </w:t>
      </w:r>
    </w:p>
    <w:p w14:paraId="5D38D63D" w14:textId="77777777" w:rsidR="00265506" w:rsidRDefault="00265506" w:rsidP="00BE3F24">
      <w:pPr>
        <w:jc w:val="both"/>
        <w:rPr>
          <w:rFonts w:ascii="Arial" w:hAnsi="Arial"/>
        </w:rPr>
      </w:pPr>
    </w:p>
    <w:p w14:paraId="687FD95E" w14:textId="27ECE1B3" w:rsidR="00265506" w:rsidRDefault="004D64A3" w:rsidP="00BE3F24">
      <w:pPr>
        <w:jc w:val="both"/>
        <w:rPr>
          <w:rFonts w:ascii="Arial" w:hAnsi="Arial"/>
          <w:sz w:val="18"/>
        </w:rPr>
      </w:pPr>
      <w:r>
        <w:rPr>
          <w:rFonts w:ascii="Arial" w:hAnsi="Arial"/>
          <w:noProof/>
        </w:rPr>
        <mc:AlternateContent>
          <mc:Choice Requires="wps">
            <w:drawing>
              <wp:anchor distT="0" distB="0" distL="114300" distR="114300" simplePos="0" relativeHeight="251569664" behindDoc="0" locked="0" layoutInCell="0" allowOverlap="1" wp14:anchorId="3A2EA5A0" wp14:editId="1C9A144D">
                <wp:simplePos x="0" y="0"/>
                <wp:positionH relativeFrom="column">
                  <wp:posOffset>-279400</wp:posOffset>
                </wp:positionH>
                <wp:positionV relativeFrom="paragraph">
                  <wp:posOffset>68580</wp:posOffset>
                </wp:positionV>
                <wp:extent cx="182880" cy="182880"/>
                <wp:effectExtent l="6350" t="13970" r="10795" b="12700"/>
                <wp:wrapNone/>
                <wp:docPr id="3273" name="Oval 245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FFF3A6B" id="Oval 2453" o:spid="_x0000_s1026" alt="falling weight deflectometer testing" style="position:absolute;margin-left:-22pt;margin-top:5.4pt;width:14.4pt;height:14.4pt;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" o:allowincell="f"/>
            </w:pict>
          </mc:Fallback>
        </mc:AlternateContent>
      </w:r>
    </w:p>
    <w:p w14:paraId="0BC2EAFB" w14:textId="77777777" w:rsidR="00265506" w:rsidRDefault="00265506" w:rsidP="00BE3F24">
      <w:pPr>
        <w:jc w:val="both"/>
        <w:rPr>
          <w:rFonts w:ascii="Arial" w:hAnsi="Arial"/>
          <w:sz w:val="18"/>
        </w:rPr>
      </w:pPr>
      <w:r>
        <w:rPr>
          <w:rFonts w:ascii="Arial" w:hAnsi="Arial"/>
          <w:sz w:val="18"/>
        </w:rPr>
        <w:t>- FWD load plate</w:t>
      </w:r>
    </w:p>
    <w:p w14:paraId="4FBD4E03" w14:textId="77777777" w:rsidR="00265506" w:rsidRDefault="00265506" w:rsidP="00BE3F24">
      <w:pPr>
        <w:jc w:val="both"/>
        <w:rPr>
          <w:rFonts w:ascii="Arial" w:hAnsi="Arial"/>
        </w:rPr>
      </w:pPr>
    </w:p>
    <w:p w14:paraId="2C66B716" w14:textId="1E9666AD" w:rsidR="00265506" w:rsidRPr="00D839EF" w:rsidRDefault="00265506" w:rsidP="00D839EF">
      <w:pPr>
        <w:jc w:val="center"/>
        <w:rPr>
          <w:rFonts w:ascii="Arial" w:hAnsi="Arial"/>
          <w:b/>
          <w:sz w:val="22"/>
        </w:rPr>
      </w:pPr>
      <w:r w:rsidRPr="00D839EF">
        <w:rPr>
          <w:rFonts w:ascii="Arial" w:hAnsi="Arial"/>
          <w:b/>
          <w:sz w:val="22"/>
        </w:rPr>
        <w:t>Figure 2</w:t>
      </w:r>
      <w:r w:rsidR="00D43E46" w:rsidRPr="00757B46">
        <w:rPr>
          <w:rFonts w:ascii="Arial" w:hAnsi="Arial"/>
          <w:b/>
          <w:sz w:val="22"/>
          <w:szCs w:val="22"/>
        </w:rPr>
        <w:t xml:space="preserve">: </w:t>
      </w:r>
      <w:r w:rsidRPr="00D839EF">
        <w:rPr>
          <w:rFonts w:ascii="Arial" w:hAnsi="Arial"/>
          <w:b/>
          <w:sz w:val="22"/>
        </w:rPr>
        <w:t xml:space="preserve"> FWD Basin Testing</w:t>
      </w:r>
    </w:p>
    <w:p w14:paraId="7B8A9357" w14:textId="77777777" w:rsidR="00265506" w:rsidRDefault="00265506" w:rsidP="00BE3F24">
      <w:pPr>
        <w:pStyle w:val="ListNumber"/>
        <w:tabs>
          <w:tab w:val="clear" w:pos="720"/>
          <w:tab w:val="clear" w:pos="1872"/>
        </w:tabs>
        <w:ind w:left="0" w:firstLine="0"/>
        <w:jc w:val="both"/>
      </w:pPr>
      <w:r>
        <w:br w:type="page"/>
      </w:r>
    </w:p>
    <w:p w14:paraId="0E437455" w14:textId="078E88BF" w:rsidR="00265506" w:rsidRDefault="004D64A3" w:rsidP="00BE3F24">
      <w:pPr>
        <w:pStyle w:val="ListNumber"/>
        <w:tabs>
          <w:tab w:val="clear" w:pos="720"/>
          <w:tab w:val="clear" w:pos="1872"/>
        </w:tabs>
        <w:ind w:left="0" w:firstLine="0"/>
        <w:jc w:val="both"/>
      </w:pPr>
      <w:r>
        <w:rPr>
          <w:noProof/>
        </w:rPr>
        <w:lastRenderedPageBreak/>
        <mc:AlternateContent>
          <mc:Choice Requires="wps">
            <w:drawing>
              <wp:anchor distT="0" distB="0" distL="114300" distR="114300" simplePos="0" relativeHeight="251548160" behindDoc="0" locked="0" layoutInCell="0" allowOverlap="1" wp14:anchorId="24A633D3" wp14:editId="300AEFAE">
                <wp:simplePos x="0" y="0"/>
                <wp:positionH relativeFrom="column">
                  <wp:posOffset>1772285</wp:posOffset>
                </wp:positionH>
                <wp:positionV relativeFrom="paragraph">
                  <wp:posOffset>-106680</wp:posOffset>
                </wp:positionV>
                <wp:extent cx="2024380" cy="6586855"/>
                <wp:effectExtent l="10160" t="7620" r="13335" b="6350"/>
                <wp:wrapNone/>
                <wp:docPr id="3272" name="Rectangle 243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4380" cy="65868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6C46FE" id="Rectangle 2432" o:spid="_x0000_s1026" alt="falling weight deflectometer testing" style="position:absolute;margin-left:139.55pt;margin-top:-8.4pt;width:159.4pt;height:518.65pt;z-index:2515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" o:allowincell="f"/>
            </w:pict>
          </mc:Fallback>
        </mc:AlternateContent>
      </w:r>
      <w:r>
        <w:rPr>
          <w:noProof/>
        </w:rPr>
        <mc:AlternateContent>
          <mc:Choice Requires="wps">
            <w:drawing>
              <wp:anchor distT="0" distB="0" distL="114300" distR="114300" simplePos="0" relativeHeight="251561472" behindDoc="0" locked="0" layoutInCell="0" allowOverlap="1" wp14:anchorId="16C449EB" wp14:editId="59FC74D1">
                <wp:simplePos x="0" y="0"/>
                <wp:positionH relativeFrom="column">
                  <wp:posOffset>5113020</wp:posOffset>
                </wp:positionH>
                <wp:positionV relativeFrom="paragraph">
                  <wp:posOffset>-106680</wp:posOffset>
                </wp:positionV>
                <wp:extent cx="0" cy="6577330"/>
                <wp:effectExtent l="7620" t="7620" r="11430" b="6350"/>
                <wp:wrapNone/>
                <wp:docPr id="3271" name="Line 2445"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773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6F1359" id="Line 2445" o:spid="_x0000_s1026" alt="falling weight deflectometer testing" style="position:absolute;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2.6pt,-8.4pt" to="402.6pt,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" o:allowincell="f"/>
            </w:pict>
          </mc:Fallback>
        </mc:AlternateContent>
      </w:r>
      <w:r>
        <w:rPr>
          <w:noProof/>
        </w:rPr>
        <mc:AlternateContent>
          <mc:Choice Requires="wps">
            <w:drawing>
              <wp:anchor distT="0" distB="0" distL="114300" distR="114300" simplePos="0" relativeHeight="251545088" behindDoc="0" locked="0" layoutInCell="0" allowOverlap="1" wp14:anchorId="5D97F85C" wp14:editId="21135A1B">
                <wp:simplePos x="0" y="0"/>
                <wp:positionH relativeFrom="column">
                  <wp:posOffset>559435</wp:posOffset>
                </wp:positionH>
                <wp:positionV relativeFrom="paragraph">
                  <wp:posOffset>-104775</wp:posOffset>
                </wp:positionV>
                <wp:extent cx="0" cy="6590030"/>
                <wp:effectExtent l="6985" t="9525" r="12065" b="10795"/>
                <wp:wrapNone/>
                <wp:docPr id="3270" name="Line 242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900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46A2D6" id="Line 2429" o:spid="_x0000_s1026" alt="falling weight deflectometer testing" style="position:absolute;z-index:25154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05pt,-8.25pt" to="44.05pt,5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" o:allowincell="f"/>
            </w:pict>
          </mc:Fallback>
        </mc:AlternateContent>
      </w:r>
      <w:r>
        <w:rPr>
          <w:noProof/>
        </w:rPr>
        <mc:AlternateContent>
          <mc:Choice Requires="wps">
            <w:drawing>
              <wp:anchor distT="0" distB="0" distL="114300" distR="114300" simplePos="0" relativeHeight="251549184" behindDoc="0" locked="0" layoutInCell="0" allowOverlap="1" wp14:anchorId="1F5716E5" wp14:editId="55D71BEC">
                <wp:simplePos x="0" y="0"/>
                <wp:positionH relativeFrom="column">
                  <wp:posOffset>2801620</wp:posOffset>
                </wp:positionH>
                <wp:positionV relativeFrom="paragraph">
                  <wp:posOffset>-93980</wp:posOffset>
                </wp:positionV>
                <wp:extent cx="0" cy="6564630"/>
                <wp:effectExtent l="10795" t="10795" r="8255" b="6350"/>
                <wp:wrapNone/>
                <wp:docPr id="3269" name="Line 243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646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9262D9" id="Line 2433" o:spid="_x0000_s1026" alt="falling weight deflectometer testing" style="position:absolute;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6pt,-7.4pt" to="220.6pt,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" o:allowincell="f"/>
            </w:pict>
          </mc:Fallback>
        </mc:AlternateContent>
      </w:r>
      <w:r>
        <w:rPr>
          <w:noProof/>
        </w:rPr>
        <mc:AlternateContent>
          <mc:Choice Requires="wps">
            <w:drawing>
              <wp:anchor distT="0" distB="0" distL="114300" distR="114300" simplePos="0" relativeHeight="251560448" behindDoc="0" locked="0" layoutInCell="0" allowOverlap="1" wp14:anchorId="496529C8" wp14:editId="7D8D081B">
                <wp:simplePos x="0" y="0"/>
                <wp:positionH relativeFrom="column">
                  <wp:posOffset>4096385</wp:posOffset>
                </wp:positionH>
                <wp:positionV relativeFrom="paragraph">
                  <wp:posOffset>-119380</wp:posOffset>
                </wp:positionV>
                <wp:extent cx="2011680" cy="6586855"/>
                <wp:effectExtent l="10160" t="13970" r="6985" b="9525"/>
                <wp:wrapNone/>
                <wp:docPr id="3268" name="Rectangle 244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1680" cy="65868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5873C1" id="Rectangle 2444" o:spid="_x0000_s1026" alt="falling weight deflectometer testing" style="position:absolute;margin-left:322.55pt;margin-top:-9.4pt;width:158.4pt;height:518.65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" o:allowincell="f"/>
            </w:pict>
          </mc:Fallback>
        </mc:AlternateContent>
      </w:r>
      <w:r>
        <w:rPr>
          <w:noProof/>
        </w:rPr>
        <mc:AlternateContent>
          <mc:Choice Requires="wps">
            <w:drawing>
              <wp:anchor distT="0" distB="0" distL="114300" distR="114300" simplePos="0" relativeHeight="251544064" behindDoc="0" locked="0" layoutInCell="0" allowOverlap="1" wp14:anchorId="3A0B2624" wp14:editId="58C2F53D">
                <wp:simplePos x="0" y="0"/>
                <wp:positionH relativeFrom="column">
                  <wp:posOffset>-457200</wp:posOffset>
                </wp:positionH>
                <wp:positionV relativeFrom="paragraph">
                  <wp:posOffset>-117475</wp:posOffset>
                </wp:positionV>
                <wp:extent cx="2049780" cy="6612255"/>
                <wp:effectExtent l="9525" t="6350" r="7620" b="10795"/>
                <wp:wrapNone/>
                <wp:docPr id="3267" name="Rectangle 24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9780" cy="6612255"/>
                        </a:xfrm>
                        <a:prstGeom prst="rect">
                          <a:avLst/>
                        </a:prstGeom>
                        <a:solidFill>
                          <a:srgbClr val="FFFFFF"/>
                        </a:solidFill>
                        <a:ln w="9525">
                          <a:solidFill>
                            <a:srgbClr val="000000"/>
                          </a:solidFill>
                          <a:miter lim="800000"/>
                          <a:headEnd/>
                          <a:tailEnd/>
                        </a:ln>
                      </wps:spPr>
                      <wps:txbx>
                        <w:txbxContent>
                          <w:p w14:paraId="505F5756" w14:textId="77777777" w:rsidR="009C1A5C" w:rsidRDefault="009C1A5C" w:rsidP="00265506"/>
                          <w:p w14:paraId="74A65562" w14:textId="77777777" w:rsidR="009C1A5C" w:rsidRDefault="009C1A5C" w:rsidP="00265506"/>
                          <w:p w14:paraId="2C2673F5" w14:textId="77777777" w:rsidR="009C1A5C" w:rsidRDefault="009C1A5C" w:rsidP="00265506"/>
                          <w:p w14:paraId="5A3B5272" w14:textId="77777777" w:rsidR="009C1A5C" w:rsidRDefault="009C1A5C" w:rsidP="00265506"/>
                          <w:p w14:paraId="30D6D474" w14:textId="77777777" w:rsidR="009C1A5C" w:rsidRDefault="009C1A5C" w:rsidP="00265506"/>
                          <w:p w14:paraId="3CA13557" w14:textId="77777777" w:rsidR="009C1A5C" w:rsidRDefault="009C1A5C" w:rsidP="00265506"/>
                          <w:p w14:paraId="0F882439" w14:textId="77777777" w:rsidR="009C1A5C" w:rsidRDefault="009C1A5C" w:rsidP="00265506"/>
                          <w:p w14:paraId="74E25B79" w14:textId="77777777" w:rsidR="009C1A5C" w:rsidRDefault="009C1A5C" w:rsidP="00265506"/>
                          <w:p w14:paraId="2ADC16B6" w14:textId="77777777" w:rsidR="009C1A5C" w:rsidRDefault="009C1A5C" w:rsidP="00265506"/>
                          <w:p w14:paraId="5860115E" w14:textId="77777777" w:rsidR="009C1A5C" w:rsidRDefault="009C1A5C" w:rsidP="00265506"/>
                          <w:p w14:paraId="78872766" w14:textId="77777777" w:rsidR="009C1A5C" w:rsidRDefault="009C1A5C" w:rsidP="00265506"/>
                          <w:p w14:paraId="73FF759A" w14:textId="77777777" w:rsidR="009C1A5C" w:rsidRDefault="009C1A5C" w:rsidP="00265506"/>
                          <w:p w14:paraId="2A4F9766" w14:textId="77777777" w:rsidR="009C1A5C" w:rsidRDefault="009C1A5C" w:rsidP="00265506"/>
                          <w:p w14:paraId="4A6FE0AC" w14:textId="77777777" w:rsidR="009C1A5C" w:rsidRDefault="009C1A5C" w:rsidP="00265506"/>
                          <w:p w14:paraId="410AFE4D" w14:textId="77777777" w:rsidR="009C1A5C" w:rsidRDefault="009C1A5C" w:rsidP="00265506"/>
                          <w:p w14:paraId="5DCAA551" w14:textId="77777777" w:rsidR="009C1A5C" w:rsidRDefault="009C1A5C" w:rsidP="00265506"/>
                          <w:p w14:paraId="4234E9FE" w14:textId="77777777" w:rsidR="009C1A5C" w:rsidRDefault="009C1A5C" w:rsidP="00265506"/>
                          <w:p w14:paraId="03019FC0" w14:textId="77777777" w:rsidR="009C1A5C" w:rsidRDefault="009C1A5C" w:rsidP="00265506"/>
                          <w:p w14:paraId="705A407E" w14:textId="77777777" w:rsidR="009C1A5C" w:rsidRDefault="009C1A5C" w:rsidP="00265506"/>
                          <w:p w14:paraId="5169275F" w14:textId="77777777" w:rsidR="009C1A5C" w:rsidRDefault="009C1A5C" w:rsidP="00265506"/>
                          <w:p w14:paraId="4A18532F" w14:textId="77777777" w:rsidR="009C1A5C" w:rsidRDefault="009C1A5C" w:rsidP="00265506"/>
                          <w:p w14:paraId="223C0C97" w14:textId="77777777" w:rsidR="009C1A5C" w:rsidRDefault="009C1A5C" w:rsidP="00265506"/>
                          <w:p w14:paraId="74BBC083" w14:textId="77777777" w:rsidR="009C1A5C" w:rsidRDefault="009C1A5C" w:rsidP="00265506"/>
                          <w:p w14:paraId="61D5629D" w14:textId="77777777" w:rsidR="009C1A5C" w:rsidRDefault="009C1A5C" w:rsidP="00265506"/>
                          <w:p w14:paraId="52351925" w14:textId="77777777" w:rsidR="009C1A5C" w:rsidRDefault="009C1A5C" w:rsidP="00265506"/>
                          <w:p w14:paraId="5A1280CC" w14:textId="77777777" w:rsidR="009C1A5C" w:rsidRDefault="009C1A5C" w:rsidP="00265506"/>
                          <w:p w14:paraId="12E40294" w14:textId="77777777" w:rsidR="009C1A5C" w:rsidRDefault="009C1A5C" w:rsidP="00265506"/>
                          <w:p w14:paraId="5043B3E4" w14:textId="77777777" w:rsidR="009C1A5C" w:rsidRDefault="009C1A5C" w:rsidP="00265506"/>
                          <w:p w14:paraId="505920A5" w14:textId="77777777" w:rsidR="009C1A5C" w:rsidRDefault="009C1A5C" w:rsidP="00265506"/>
                          <w:p w14:paraId="06464C96" w14:textId="77777777" w:rsidR="009C1A5C" w:rsidRDefault="009C1A5C" w:rsidP="00265506"/>
                          <w:p w14:paraId="51F4C685" w14:textId="77777777" w:rsidR="009C1A5C" w:rsidRDefault="009C1A5C" w:rsidP="00265506"/>
                          <w:p w14:paraId="3670C6B7" w14:textId="77777777" w:rsidR="009C1A5C" w:rsidRDefault="009C1A5C" w:rsidP="00265506"/>
                          <w:p w14:paraId="1F8431A0" w14:textId="77777777" w:rsidR="009C1A5C" w:rsidRDefault="009C1A5C" w:rsidP="00265506"/>
                          <w:p w14:paraId="2D70841E" w14:textId="77777777" w:rsidR="009C1A5C" w:rsidRDefault="009C1A5C" w:rsidP="00265506"/>
                          <w:p w14:paraId="50894731" w14:textId="77777777" w:rsidR="009C1A5C" w:rsidRDefault="009C1A5C" w:rsidP="00265506"/>
                          <w:p w14:paraId="3D7D09E7" w14:textId="77777777" w:rsidR="009C1A5C" w:rsidRDefault="009C1A5C" w:rsidP="00265506"/>
                          <w:p w14:paraId="00F1BA5D" w14:textId="77777777" w:rsidR="009C1A5C" w:rsidRDefault="009C1A5C" w:rsidP="00265506"/>
                          <w:p w14:paraId="54873449" w14:textId="77777777" w:rsidR="009C1A5C" w:rsidRDefault="009C1A5C" w:rsidP="00265506"/>
                          <w:p w14:paraId="61EDBEB1" w14:textId="77777777" w:rsidR="009C1A5C" w:rsidRDefault="009C1A5C" w:rsidP="00265506"/>
                          <w:p w14:paraId="78B9805D" w14:textId="77777777" w:rsidR="009C1A5C" w:rsidRDefault="009C1A5C" w:rsidP="00265506">
                            <w:pPr>
                              <w:jc w:val="center"/>
                            </w:pPr>
                            <w:r>
                              <w:t>No Joint Testing Applicable</w:t>
                            </w:r>
                          </w:p>
                          <w:p w14:paraId="7F7E577B" w14:textId="77777777" w:rsidR="009C1A5C" w:rsidRDefault="009C1A5C" w:rsidP="00265506"/>
                          <w:p w14:paraId="2CEF18E0" w14:textId="77777777" w:rsidR="009C1A5C" w:rsidRDefault="009C1A5C" w:rsidP="0026550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0B2624" id="Rectangle 2428" o:spid="_x0000_s1027" style="position:absolute;left:0;text-align:left;margin-left:-36pt;margin-top:-9.25pt;width:161.4pt;height:520.65pt;z-index:2515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" o:allowincell="f">
                <v:textbox>
                  <w:txbxContent>
                    <w:p w14:paraId="505F5756" w14:textId="77777777" w:rsidR="009C1A5C" w:rsidRDefault="009C1A5C" w:rsidP="00265506"/>
                    <w:p w14:paraId="74A65562" w14:textId="77777777" w:rsidR="009C1A5C" w:rsidRDefault="009C1A5C" w:rsidP="00265506"/>
                    <w:p w14:paraId="2C2673F5" w14:textId="77777777" w:rsidR="009C1A5C" w:rsidRDefault="009C1A5C" w:rsidP="00265506"/>
                    <w:p w14:paraId="5A3B5272" w14:textId="77777777" w:rsidR="009C1A5C" w:rsidRDefault="009C1A5C" w:rsidP="00265506"/>
                    <w:p w14:paraId="30D6D474" w14:textId="77777777" w:rsidR="009C1A5C" w:rsidRDefault="009C1A5C" w:rsidP="00265506"/>
                    <w:p w14:paraId="3CA13557" w14:textId="77777777" w:rsidR="009C1A5C" w:rsidRDefault="009C1A5C" w:rsidP="00265506"/>
                    <w:p w14:paraId="0F882439" w14:textId="77777777" w:rsidR="009C1A5C" w:rsidRDefault="009C1A5C" w:rsidP="00265506"/>
                    <w:p w14:paraId="74E25B79" w14:textId="77777777" w:rsidR="009C1A5C" w:rsidRDefault="009C1A5C" w:rsidP="00265506"/>
                    <w:p w14:paraId="2ADC16B6" w14:textId="77777777" w:rsidR="009C1A5C" w:rsidRDefault="009C1A5C" w:rsidP="00265506"/>
                    <w:p w14:paraId="5860115E" w14:textId="77777777" w:rsidR="009C1A5C" w:rsidRDefault="009C1A5C" w:rsidP="00265506"/>
                    <w:p w14:paraId="78872766" w14:textId="77777777" w:rsidR="009C1A5C" w:rsidRDefault="009C1A5C" w:rsidP="00265506"/>
                    <w:p w14:paraId="73FF759A" w14:textId="77777777" w:rsidR="009C1A5C" w:rsidRDefault="009C1A5C" w:rsidP="00265506"/>
                    <w:p w14:paraId="2A4F9766" w14:textId="77777777" w:rsidR="009C1A5C" w:rsidRDefault="009C1A5C" w:rsidP="00265506"/>
                    <w:p w14:paraId="4A6FE0AC" w14:textId="77777777" w:rsidR="009C1A5C" w:rsidRDefault="009C1A5C" w:rsidP="00265506"/>
                    <w:p w14:paraId="410AFE4D" w14:textId="77777777" w:rsidR="009C1A5C" w:rsidRDefault="009C1A5C" w:rsidP="00265506"/>
                    <w:p w14:paraId="5DCAA551" w14:textId="77777777" w:rsidR="009C1A5C" w:rsidRDefault="009C1A5C" w:rsidP="00265506"/>
                    <w:p w14:paraId="4234E9FE" w14:textId="77777777" w:rsidR="009C1A5C" w:rsidRDefault="009C1A5C" w:rsidP="00265506"/>
                    <w:p w14:paraId="03019FC0" w14:textId="77777777" w:rsidR="009C1A5C" w:rsidRDefault="009C1A5C" w:rsidP="00265506"/>
                    <w:p w14:paraId="705A407E" w14:textId="77777777" w:rsidR="009C1A5C" w:rsidRDefault="009C1A5C" w:rsidP="00265506"/>
                    <w:p w14:paraId="5169275F" w14:textId="77777777" w:rsidR="009C1A5C" w:rsidRDefault="009C1A5C" w:rsidP="00265506"/>
                    <w:p w14:paraId="4A18532F" w14:textId="77777777" w:rsidR="009C1A5C" w:rsidRDefault="009C1A5C" w:rsidP="00265506"/>
                    <w:p w14:paraId="223C0C97" w14:textId="77777777" w:rsidR="009C1A5C" w:rsidRDefault="009C1A5C" w:rsidP="00265506"/>
                    <w:p w14:paraId="74BBC083" w14:textId="77777777" w:rsidR="009C1A5C" w:rsidRDefault="009C1A5C" w:rsidP="00265506"/>
                    <w:p w14:paraId="61D5629D" w14:textId="77777777" w:rsidR="009C1A5C" w:rsidRDefault="009C1A5C" w:rsidP="00265506"/>
                    <w:p w14:paraId="52351925" w14:textId="77777777" w:rsidR="009C1A5C" w:rsidRDefault="009C1A5C" w:rsidP="00265506"/>
                    <w:p w14:paraId="5A1280CC" w14:textId="77777777" w:rsidR="009C1A5C" w:rsidRDefault="009C1A5C" w:rsidP="00265506"/>
                    <w:p w14:paraId="12E40294" w14:textId="77777777" w:rsidR="009C1A5C" w:rsidRDefault="009C1A5C" w:rsidP="00265506"/>
                    <w:p w14:paraId="5043B3E4" w14:textId="77777777" w:rsidR="009C1A5C" w:rsidRDefault="009C1A5C" w:rsidP="00265506"/>
                    <w:p w14:paraId="505920A5" w14:textId="77777777" w:rsidR="009C1A5C" w:rsidRDefault="009C1A5C" w:rsidP="00265506"/>
                    <w:p w14:paraId="06464C96" w14:textId="77777777" w:rsidR="009C1A5C" w:rsidRDefault="009C1A5C" w:rsidP="00265506"/>
                    <w:p w14:paraId="51F4C685" w14:textId="77777777" w:rsidR="009C1A5C" w:rsidRDefault="009C1A5C" w:rsidP="00265506"/>
                    <w:p w14:paraId="3670C6B7" w14:textId="77777777" w:rsidR="009C1A5C" w:rsidRDefault="009C1A5C" w:rsidP="00265506"/>
                    <w:p w14:paraId="1F8431A0" w14:textId="77777777" w:rsidR="009C1A5C" w:rsidRDefault="009C1A5C" w:rsidP="00265506"/>
                    <w:p w14:paraId="2D70841E" w14:textId="77777777" w:rsidR="009C1A5C" w:rsidRDefault="009C1A5C" w:rsidP="00265506"/>
                    <w:p w14:paraId="50894731" w14:textId="77777777" w:rsidR="009C1A5C" w:rsidRDefault="009C1A5C" w:rsidP="00265506"/>
                    <w:p w14:paraId="3D7D09E7" w14:textId="77777777" w:rsidR="009C1A5C" w:rsidRDefault="009C1A5C" w:rsidP="00265506"/>
                    <w:p w14:paraId="00F1BA5D" w14:textId="77777777" w:rsidR="009C1A5C" w:rsidRDefault="009C1A5C" w:rsidP="00265506"/>
                    <w:p w14:paraId="54873449" w14:textId="77777777" w:rsidR="009C1A5C" w:rsidRDefault="009C1A5C" w:rsidP="00265506"/>
                    <w:p w14:paraId="61EDBEB1" w14:textId="77777777" w:rsidR="009C1A5C" w:rsidRDefault="009C1A5C" w:rsidP="00265506"/>
                    <w:p w14:paraId="78B9805D" w14:textId="77777777" w:rsidR="009C1A5C" w:rsidRDefault="009C1A5C" w:rsidP="00265506">
                      <w:pPr>
                        <w:jc w:val="center"/>
                      </w:pPr>
                      <w:r>
                        <w:t>No Joint Testing Applicable</w:t>
                      </w:r>
                    </w:p>
                    <w:p w14:paraId="7F7E577B" w14:textId="77777777" w:rsidR="009C1A5C" w:rsidRDefault="009C1A5C" w:rsidP="00265506"/>
                    <w:p w14:paraId="2CEF18E0" w14:textId="77777777" w:rsidR="009C1A5C" w:rsidRDefault="009C1A5C" w:rsidP="00265506"/>
                  </w:txbxContent>
                </v:textbox>
              </v:rect>
            </w:pict>
          </mc:Fallback>
        </mc:AlternateContent>
      </w:r>
      <w:r>
        <w:rPr>
          <w:noProof/>
        </w:rPr>
        <mc:AlternateContent>
          <mc:Choice Requires="wps">
            <w:drawing>
              <wp:anchor distT="0" distB="0" distL="114300" distR="114300" simplePos="0" relativeHeight="251568640" behindDoc="0" locked="0" layoutInCell="0" allowOverlap="1" wp14:anchorId="4A470DE9" wp14:editId="21C9B2ED">
                <wp:simplePos x="0" y="0"/>
                <wp:positionH relativeFrom="column">
                  <wp:posOffset>4127500</wp:posOffset>
                </wp:positionH>
                <wp:positionV relativeFrom="paragraph">
                  <wp:posOffset>3357245</wp:posOffset>
                </wp:positionV>
                <wp:extent cx="1993900" cy="96520"/>
                <wp:effectExtent l="12700" t="13970" r="12700" b="13335"/>
                <wp:wrapNone/>
                <wp:docPr id="3266" name="Freeform 245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3900" cy="96520"/>
                        </a:xfrm>
                        <a:custGeom>
                          <a:avLst/>
                          <a:gdLst>
                            <a:gd name="T0" fmla="*/ 0 w 3140"/>
                            <a:gd name="T1" fmla="*/ 80 h 152"/>
                            <a:gd name="T2" fmla="*/ 280 w 3140"/>
                            <a:gd name="T3" fmla="*/ 0 h 152"/>
                            <a:gd name="T4" fmla="*/ 660 w 3140"/>
                            <a:gd name="T5" fmla="*/ 80 h 152"/>
                            <a:gd name="T6" fmla="*/ 1340 w 3140"/>
                            <a:gd name="T7" fmla="*/ 100 h 152"/>
                            <a:gd name="T8" fmla="*/ 3140 w 3140"/>
                            <a:gd name="T9" fmla="*/ 120 h 152"/>
                          </a:gdLst>
                          <a:ahLst/>
                          <a:cxnLst>
                            <a:cxn ang="0">
                              <a:pos x="T0" y="T1"/>
                            </a:cxn>
                            <a:cxn ang="0">
                              <a:pos x="T2" y="T3"/>
                            </a:cxn>
                            <a:cxn ang="0">
                              <a:pos x="T4" y="T5"/>
                            </a:cxn>
                            <a:cxn ang="0">
                              <a:pos x="T6" y="T7"/>
                            </a:cxn>
                            <a:cxn ang="0">
                              <a:pos x="T8" y="T9"/>
                            </a:cxn>
                          </a:cxnLst>
                          <a:rect l="0" t="0" r="r" b="b"/>
                          <a:pathLst>
                            <a:path w="3140" h="152">
                              <a:moveTo>
                                <a:pt x="0" y="80"/>
                              </a:moveTo>
                              <a:cubicBezTo>
                                <a:pt x="92" y="49"/>
                                <a:pt x="188" y="31"/>
                                <a:pt x="280" y="0"/>
                              </a:cubicBezTo>
                              <a:cubicBezTo>
                                <a:pt x="427" y="16"/>
                                <a:pt x="523" y="34"/>
                                <a:pt x="660" y="80"/>
                              </a:cubicBezTo>
                              <a:cubicBezTo>
                                <a:pt x="875" y="152"/>
                                <a:pt x="1113" y="96"/>
                                <a:pt x="1340" y="100"/>
                              </a:cubicBezTo>
                              <a:cubicBezTo>
                                <a:pt x="2538" y="121"/>
                                <a:pt x="2482" y="120"/>
                                <a:pt x="3140" y="1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668C12" id="Freeform 2452" o:spid="_x0000_s1026" alt="falling weight deflectometer testing" style="position:absolute;margin-left:325pt;margin-top:264.35pt;width:157pt;height:7.6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40,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" o:allowincell="f" path="m,80c92,49,188,31,280,,427,16,523,34,660,80v215,72,453,16,680,20c2538,121,2482,120,3140,120e" filled="f">
                <v:path arrowok="t" o:connecttype="custom" o:connectlocs="0,50800;177800,0;419100,50800;850900,63500;1993900,76200" o:connectangles="0,0,0,0,0"/>
              </v:shape>
            </w:pict>
          </mc:Fallback>
        </mc:AlternateContent>
      </w:r>
      <w:r>
        <w:rPr>
          <w:noProof/>
        </w:rPr>
        <mc:AlternateContent>
          <mc:Choice Requires="wps">
            <w:drawing>
              <wp:anchor distT="0" distB="0" distL="114300" distR="114300" simplePos="0" relativeHeight="251567616" behindDoc="0" locked="0" layoutInCell="0" allowOverlap="1" wp14:anchorId="0B92141F" wp14:editId="64BF51BB">
                <wp:simplePos x="0" y="0"/>
                <wp:positionH relativeFrom="column">
                  <wp:posOffset>4114800</wp:posOffset>
                </wp:positionH>
                <wp:positionV relativeFrom="paragraph">
                  <wp:posOffset>424815</wp:posOffset>
                </wp:positionV>
                <wp:extent cx="1981200" cy="90805"/>
                <wp:effectExtent l="9525" t="15240" r="9525" b="8255"/>
                <wp:wrapNone/>
                <wp:docPr id="3265" name="Freeform 2451"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81200" cy="90805"/>
                        </a:xfrm>
                        <a:custGeom>
                          <a:avLst/>
                          <a:gdLst>
                            <a:gd name="T0" fmla="*/ 0 w 3100"/>
                            <a:gd name="T1" fmla="*/ 20 h 105"/>
                            <a:gd name="T2" fmla="*/ 460 w 3100"/>
                            <a:gd name="T3" fmla="*/ 80 h 105"/>
                            <a:gd name="T4" fmla="*/ 660 w 3100"/>
                            <a:gd name="T5" fmla="*/ 20 h 105"/>
                            <a:gd name="T6" fmla="*/ 720 w 3100"/>
                            <a:gd name="T7" fmla="*/ 0 h 105"/>
                            <a:gd name="T8" fmla="*/ 1000 w 3100"/>
                            <a:gd name="T9" fmla="*/ 60 h 105"/>
                            <a:gd name="T10" fmla="*/ 1320 w 3100"/>
                            <a:gd name="T11" fmla="*/ 40 h 105"/>
                            <a:gd name="T12" fmla="*/ 1440 w 3100"/>
                            <a:gd name="T13" fmla="*/ 0 h 105"/>
                            <a:gd name="T14" fmla="*/ 1780 w 3100"/>
                            <a:gd name="T15" fmla="*/ 60 h 105"/>
                            <a:gd name="T16" fmla="*/ 2360 w 3100"/>
                            <a:gd name="T17" fmla="*/ 40 h 105"/>
                            <a:gd name="T18" fmla="*/ 2420 w 3100"/>
                            <a:gd name="T19" fmla="*/ 20 h 105"/>
                            <a:gd name="T20" fmla="*/ 2680 w 3100"/>
                            <a:gd name="T21" fmla="*/ 60 h 105"/>
                            <a:gd name="T22" fmla="*/ 2840 w 3100"/>
                            <a:gd name="T23" fmla="*/ 100 h 105"/>
                            <a:gd name="T24" fmla="*/ 3100 w 3100"/>
                            <a:gd name="T25" fmla="*/ 8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100" h="105">
                              <a:moveTo>
                                <a:pt x="0" y="20"/>
                              </a:moveTo>
                              <a:cubicBezTo>
                                <a:pt x="394" y="64"/>
                                <a:pt x="242" y="36"/>
                                <a:pt x="460" y="80"/>
                              </a:cubicBezTo>
                              <a:cubicBezTo>
                                <a:pt x="581" y="50"/>
                                <a:pt x="514" y="69"/>
                                <a:pt x="660" y="20"/>
                              </a:cubicBezTo>
                              <a:cubicBezTo>
                                <a:pt x="680" y="13"/>
                                <a:pt x="720" y="0"/>
                                <a:pt x="720" y="0"/>
                              </a:cubicBezTo>
                              <a:cubicBezTo>
                                <a:pt x="919" y="50"/>
                                <a:pt x="826" y="31"/>
                                <a:pt x="1000" y="60"/>
                              </a:cubicBezTo>
                              <a:cubicBezTo>
                                <a:pt x="1107" y="53"/>
                                <a:pt x="1214" y="54"/>
                                <a:pt x="1320" y="40"/>
                              </a:cubicBezTo>
                              <a:cubicBezTo>
                                <a:pt x="1362" y="34"/>
                                <a:pt x="1440" y="0"/>
                                <a:pt x="1440" y="0"/>
                              </a:cubicBezTo>
                              <a:cubicBezTo>
                                <a:pt x="1565" y="31"/>
                                <a:pt x="1641" y="46"/>
                                <a:pt x="1780" y="60"/>
                              </a:cubicBezTo>
                              <a:cubicBezTo>
                                <a:pt x="1973" y="53"/>
                                <a:pt x="2167" y="52"/>
                                <a:pt x="2360" y="40"/>
                              </a:cubicBezTo>
                              <a:cubicBezTo>
                                <a:pt x="2381" y="39"/>
                                <a:pt x="2399" y="20"/>
                                <a:pt x="2420" y="20"/>
                              </a:cubicBezTo>
                              <a:cubicBezTo>
                                <a:pt x="2508" y="20"/>
                                <a:pt x="2593" y="50"/>
                                <a:pt x="2680" y="60"/>
                              </a:cubicBezTo>
                              <a:cubicBezTo>
                                <a:pt x="2733" y="73"/>
                                <a:pt x="2785" y="105"/>
                                <a:pt x="2840" y="100"/>
                              </a:cubicBezTo>
                              <a:cubicBezTo>
                                <a:pt x="3073" y="79"/>
                                <a:pt x="2986" y="80"/>
                                <a:pt x="3100" y="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A0B995" id="Freeform 2451" o:spid="_x0000_s1026" alt="falling weight deflectometer testing" style="position:absolute;margin-left:324pt;margin-top:33.45pt;width:156pt;height:7.1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00,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" o:allowincell="f" path="m,20c394,64,242,36,460,80,581,50,514,69,660,20,680,13,720,,720,v199,50,106,31,280,60c1107,53,1214,54,1320,40,1362,34,1440,,1440,v125,31,201,46,340,60c1973,53,2167,52,2360,40v21,-1,39,-20,60,-20c2508,20,2593,50,2680,60v53,13,105,45,160,40c3073,79,2986,80,3100,80e" filled="f">
                <v:path arrowok="t" o:connecttype="custom" o:connectlocs="0,17296;293985,69185;421804,17296;460150,0;639097,51889;843608,34592;920299,0;1137592,51889;1508268,34592;1546614,17296;1712779,51889;1815035,86481;1981200,69185" o:connectangles="0,0,0,0,0,0,0,0,0,0,0,0,0"/>
              </v:shape>
            </w:pict>
          </mc:Fallback>
        </mc:AlternateContent>
      </w:r>
      <w:r>
        <w:rPr>
          <w:noProof/>
        </w:rPr>
        <mc:AlternateContent>
          <mc:Choice Requires="wps">
            <w:drawing>
              <wp:anchor distT="0" distB="0" distL="114300" distR="114300" simplePos="0" relativeHeight="251563520" behindDoc="0" locked="0" layoutInCell="0" allowOverlap="1" wp14:anchorId="5BEAE820" wp14:editId="56BE8473">
                <wp:simplePos x="0" y="0"/>
                <wp:positionH relativeFrom="column">
                  <wp:posOffset>5519420</wp:posOffset>
                </wp:positionH>
                <wp:positionV relativeFrom="paragraph">
                  <wp:posOffset>3159760</wp:posOffset>
                </wp:positionV>
                <wp:extent cx="3810" cy="662940"/>
                <wp:effectExtent l="52070" t="16510" r="58420" b="6350"/>
                <wp:wrapNone/>
                <wp:docPr id="3264" name="Freeform 244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6C312D40" id="Freeform 2447" o:spid="_x0000_s1026" alt="falling weight deflectometer testing" style="position:absolute;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34.6pt,301pt,434.9pt,248.8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62496" behindDoc="0" locked="0" layoutInCell="0" allowOverlap="1" wp14:anchorId="44190DB9" wp14:editId="2A4B2ECE">
                <wp:simplePos x="0" y="0"/>
                <wp:positionH relativeFrom="column">
                  <wp:posOffset>4551680</wp:posOffset>
                </wp:positionH>
                <wp:positionV relativeFrom="paragraph">
                  <wp:posOffset>3172460</wp:posOffset>
                </wp:positionV>
                <wp:extent cx="0" cy="731520"/>
                <wp:effectExtent l="55880" t="10160" r="58420" b="20320"/>
                <wp:wrapNone/>
                <wp:docPr id="3263" name="Line 244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0B0A23" id="Line 2446" o:spid="_x0000_s1026" alt="falling weight deflectometer testing" style="position:absolute;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8.4pt,249.8pt" to="358.4pt,30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" o:allowincell="f">
                <v:stroke endarrow="block"/>
              </v:line>
            </w:pict>
          </mc:Fallback>
        </mc:AlternateContent>
      </w:r>
      <w:r>
        <w:rPr>
          <w:noProof/>
        </w:rPr>
        <mc:AlternateContent>
          <mc:Choice Requires="wps">
            <w:drawing>
              <wp:anchor distT="0" distB="0" distL="114300" distR="114300" simplePos="0" relativeHeight="251559424" behindDoc="0" locked="0" layoutInCell="0" allowOverlap="1" wp14:anchorId="29A86599" wp14:editId="7EC8DADA">
                <wp:simplePos x="0" y="0"/>
                <wp:positionH relativeFrom="column">
                  <wp:posOffset>1790700</wp:posOffset>
                </wp:positionH>
                <wp:positionV relativeFrom="paragraph">
                  <wp:posOffset>461645</wp:posOffset>
                </wp:positionV>
                <wp:extent cx="2006600" cy="0"/>
                <wp:effectExtent l="9525" t="13970" r="12700" b="5080"/>
                <wp:wrapNone/>
                <wp:docPr id="3262" name="Line 244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65AF69" id="Line 2443" o:spid="_x0000_s1026" alt="falling weight deflectometer testing" style="position:absolute;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36.35pt" to="299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" o:allowincell="f"/>
            </w:pict>
          </mc:Fallback>
        </mc:AlternateContent>
      </w:r>
      <w:r>
        <w:rPr>
          <w:noProof/>
        </w:rPr>
        <mc:AlternateContent>
          <mc:Choice Requires="wps">
            <w:drawing>
              <wp:anchor distT="0" distB="0" distL="114300" distR="114300" simplePos="0" relativeHeight="251558400" behindDoc="0" locked="0" layoutInCell="0" allowOverlap="1" wp14:anchorId="298597E0" wp14:editId="3E2D330B">
                <wp:simplePos x="0" y="0"/>
                <wp:positionH relativeFrom="column">
                  <wp:posOffset>1790700</wp:posOffset>
                </wp:positionH>
                <wp:positionV relativeFrom="paragraph">
                  <wp:posOffset>1833245</wp:posOffset>
                </wp:positionV>
                <wp:extent cx="2006600" cy="0"/>
                <wp:effectExtent l="9525" t="13970" r="12700" b="5080"/>
                <wp:wrapNone/>
                <wp:docPr id="3261" name="Line 244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799835" id="Line 2442" o:spid="_x0000_s1026" alt="falling weight deflectometer testing" style="position:absolute;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144.35pt" to="299pt,1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" o:allowincell="f"/>
            </w:pict>
          </mc:Fallback>
        </mc:AlternateContent>
      </w:r>
      <w:r>
        <w:rPr>
          <w:noProof/>
        </w:rPr>
        <mc:AlternateContent>
          <mc:Choice Requires="wps">
            <w:drawing>
              <wp:anchor distT="0" distB="0" distL="114300" distR="114300" simplePos="0" relativeHeight="251557376" behindDoc="0" locked="0" layoutInCell="0" allowOverlap="1" wp14:anchorId="3D307755" wp14:editId="5432889E">
                <wp:simplePos x="0" y="0"/>
                <wp:positionH relativeFrom="column">
                  <wp:posOffset>1790700</wp:posOffset>
                </wp:positionH>
                <wp:positionV relativeFrom="paragraph">
                  <wp:posOffset>3369945</wp:posOffset>
                </wp:positionV>
                <wp:extent cx="2006600" cy="0"/>
                <wp:effectExtent l="9525" t="7620" r="12700" b="11430"/>
                <wp:wrapNone/>
                <wp:docPr id="3260" name="Line 2441"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6F143D" id="Line 2441" o:spid="_x0000_s1026" alt="falling weight deflectometer testing" style="position:absolute;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265.35pt" to="299pt,26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" o:allowincell="f"/>
            </w:pict>
          </mc:Fallback>
        </mc:AlternateContent>
      </w:r>
      <w:r>
        <w:rPr>
          <w:noProof/>
        </w:rPr>
        <mc:AlternateContent>
          <mc:Choice Requires="wps">
            <w:drawing>
              <wp:anchor distT="0" distB="0" distL="114300" distR="114300" simplePos="0" relativeHeight="251556352" behindDoc="0" locked="0" layoutInCell="0" allowOverlap="1" wp14:anchorId="5B0AD83D" wp14:editId="4967DB91">
                <wp:simplePos x="0" y="0"/>
                <wp:positionH relativeFrom="column">
                  <wp:posOffset>1790700</wp:posOffset>
                </wp:positionH>
                <wp:positionV relativeFrom="paragraph">
                  <wp:posOffset>5274945</wp:posOffset>
                </wp:positionV>
                <wp:extent cx="2006600" cy="0"/>
                <wp:effectExtent l="9525" t="7620" r="12700" b="11430"/>
                <wp:wrapNone/>
                <wp:docPr id="3259" name="Line 244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EC13C8" id="Line 2440" o:spid="_x0000_s1026" alt="falling weight deflectometer testing" style="position:absolute;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415.35pt" to="299pt,4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" o:allowincell="f"/>
            </w:pict>
          </mc:Fallback>
        </mc:AlternateContent>
      </w:r>
      <w:r>
        <w:rPr>
          <w:noProof/>
        </w:rPr>
        <mc:AlternateContent>
          <mc:Choice Requires="wps">
            <w:drawing>
              <wp:anchor distT="0" distB="0" distL="114300" distR="114300" simplePos="0" relativeHeight="251551232" behindDoc="0" locked="0" layoutInCell="0" allowOverlap="1" wp14:anchorId="5E06C9A6" wp14:editId="4F2136C2">
                <wp:simplePos x="0" y="0"/>
                <wp:positionH relativeFrom="column">
                  <wp:posOffset>3208020</wp:posOffset>
                </wp:positionH>
                <wp:positionV relativeFrom="paragraph">
                  <wp:posOffset>3172460</wp:posOffset>
                </wp:positionV>
                <wp:extent cx="3810" cy="662940"/>
                <wp:effectExtent l="55245" t="19685" r="55245" b="12700"/>
                <wp:wrapNone/>
                <wp:docPr id="3258" name="Freeform 2435"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72C0CA5D" id="Freeform 2435" o:spid="_x0000_s1026" alt="falling weight deflectometer testing" style="position:absolute;z-index:2515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52.6pt,302pt,252.9pt,249.8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50208" behindDoc="0" locked="0" layoutInCell="0" allowOverlap="1" wp14:anchorId="6071A536" wp14:editId="2532B5BC">
                <wp:simplePos x="0" y="0"/>
                <wp:positionH relativeFrom="column">
                  <wp:posOffset>2240280</wp:posOffset>
                </wp:positionH>
                <wp:positionV relativeFrom="paragraph">
                  <wp:posOffset>3185160</wp:posOffset>
                </wp:positionV>
                <wp:extent cx="0" cy="731520"/>
                <wp:effectExtent l="59055" t="13335" r="55245" b="17145"/>
                <wp:wrapNone/>
                <wp:docPr id="3257" name="Line 243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3EC77A" id="Line 2434" o:spid="_x0000_s1026" alt="falling weight deflectometer testing" style="position:absolute;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6.4pt,250.8pt" to="176.4pt,30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" o:allowincell="f">
                <v:stroke endarrow="block"/>
              </v:line>
            </w:pict>
          </mc:Fallback>
        </mc:AlternateContent>
      </w:r>
      <w:r>
        <w:rPr>
          <w:noProof/>
        </w:rPr>
        <mc:AlternateContent>
          <mc:Choice Requires="wps">
            <w:drawing>
              <wp:anchor distT="0" distB="0" distL="114300" distR="114300" simplePos="0" relativeHeight="251547136" behindDoc="0" locked="0" layoutInCell="0" allowOverlap="1" wp14:anchorId="4C40097F" wp14:editId="3B210B7F">
                <wp:simplePos x="0" y="0"/>
                <wp:positionH relativeFrom="column">
                  <wp:posOffset>940435</wp:posOffset>
                </wp:positionH>
                <wp:positionV relativeFrom="paragraph">
                  <wp:posOffset>3237865</wp:posOffset>
                </wp:positionV>
                <wp:extent cx="3810" cy="662940"/>
                <wp:effectExtent l="54610" t="18415" r="55880" b="13970"/>
                <wp:wrapNone/>
                <wp:docPr id="3256" name="Freeform 2431"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03D8311B" id="Freeform 2431" o:spid="_x0000_s1026" alt="falling weight deflectometer testing" style="position:absolute;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74.05pt,307.15pt,74.35pt,254.95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46112" behindDoc="0" locked="0" layoutInCell="0" allowOverlap="1" wp14:anchorId="103289CE" wp14:editId="37F2EBDB">
                <wp:simplePos x="0" y="0"/>
                <wp:positionH relativeFrom="column">
                  <wp:posOffset>74295</wp:posOffset>
                </wp:positionH>
                <wp:positionV relativeFrom="paragraph">
                  <wp:posOffset>3250565</wp:posOffset>
                </wp:positionV>
                <wp:extent cx="0" cy="731520"/>
                <wp:effectExtent l="55245" t="12065" r="59055" b="18415"/>
                <wp:wrapNone/>
                <wp:docPr id="3255" name="Line 243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77F784" id="Line 2430" o:spid="_x0000_s1026" alt="falling weight deflectometer testing" style="position:absolute;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5pt,255.95pt" to="5.85pt,3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" o:allowincell="f">
                <v:stroke endarrow="block"/>
              </v:line>
            </w:pict>
          </mc:Fallback>
        </mc:AlternateContent>
      </w:r>
    </w:p>
    <w:p w14:paraId="4CD2A0F1" w14:textId="5E00873A"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601408" behindDoc="0" locked="0" layoutInCell="0" allowOverlap="1" wp14:anchorId="3003C2E2" wp14:editId="5B0CCB36">
                <wp:simplePos x="0" y="0"/>
                <wp:positionH relativeFrom="column">
                  <wp:posOffset>3388360</wp:posOffset>
                </wp:positionH>
                <wp:positionV relativeFrom="paragraph">
                  <wp:posOffset>17145</wp:posOffset>
                </wp:positionV>
                <wp:extent cx="182880" cy="182880"/>
                <wp:effectExtent l="6985" t="6350" r="10160" b="10795"/>
                <wp:wrapNone/>
                <wp:docPr id="3254" name="Oval 248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94DF3C7" id="Oval 2484" o:spid="_x0000_s1026" alt="falling weight deflectometer testing" style="position:absolute;margin-left:266.8pt;margin-top:1.35pt;width:14.4pt;height:14.4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" o:allowincell="f"/>
            </w:pict>
          </mc:Fallback>
        </mc:AlternateContent>
      </w:r>
      <w:r>
        <w:rPr>
          <w:noProof/>
        </w:rPr>
        <mc:AlternateContent>
          <mc:Choice Requires="wps">
            <w:drawing>
              <wp:anchor distT="0" distB="0" distL="114300" distR="114300" simplePos="0" relativeHeight="251565568" behindDoc="0" locked="0" layoutInCell="0" allowOverlap="1" wp14:anchorId="1D75EAC8" wp14:editId="718CC89F">
                <wp:simplePos x="0" y="0"/>
                <wp:positionH relativeFrom="column">
                  <wp:posOffset>4290060</wp:posOffset>
                </wp:positionH>
                <wp:positionV relativeFrom="paragraph">
                  <wp:posOffset>4445</wp:posOffset>
                </wp:positionV>
                <wp:extent cx="182880" cy="182880"/>
                <wp:effectExtent l="13335" t="12700" r="13335" b="13970"/>
                <wp:wrapNone/>
                <wp:docPr id="3253" name="Oval 244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A57B3DF" id="Oval 2449" o:spid="_x0000_s1026" alt="falling weight deflectometer testing" style="position:absolute;margin-left:337.8pt;margin-top:.35pt;width:14.4pt;height:14.4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" o:allowincell="f"/>
            </w:pict>
          </mc:Fallback>
        </mc:AlternateContent>
      </w:r>
    </w:p>
    <w:p w14:paraId="47752301" w14:textId="36EC9CFC"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600384" behindDoc="0" locked="0" layoutInCell="0" allowOverlap="1" wp14:anchorId="183CB450" wp14:editId="3C5AD865">
                <wp:simplePos x="0" y="0"/>
                <wp:positionH relativeFrom="column">
                  <wp:posOffset>1978660</wp:posOffset>
                </wp:positionH>
                <wp:positionV relativeFrom="paragraph">
                  <wp:posOffset>-3810</wp:posOffset>
                </wp:positionV>
                <wp:extent cx="182880" cy="182880"/>
                <wp:effectExtent l="6985" t="12700" r="10160" b="13970"/>
                <wp:wrapNone/>
                <wp:docPr id="3252" name="Oval 248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819890A" id="Oval 2483" o:spid="_x0000_s1026" alt="falling weight deflectometer testing" style="position:absolute;margin-left:155.8pt;margin-top:-.3pt;width:14.4pt;height:14.4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" o:allowincell="f"/>
            </w:pict>
          </mc:Fallback>
        </mc:AlternateContent>
      </w:r>
      <w:r>
        <w:rPr>
          <w:noProof/>
        </w:rPr>
        <mc:AlternateContent>
          <mc:Choice Requires="wps">
            <w:drawing>
              <wp:anchor distT="0" distB="0" distL="114300" distR="114300" simplePos="0" relativeHeight="251570688" behindDoc="0" locked="0" layoutInCell="0" allowOverlap="1" wp14:anchorId="45AF16CD" wp14:editId="36D8CA17">
                <wp:simplePos x="0" y="0"/>
                <wp:positionH relativeFrom="column">
                  <wp:posOffset>5775960</wp:posOffset>
                </wp:positionH>
                <wp:positionV relativeFrom="paragraph">
                  <wp:posOffset>46990</wp:posOffset>
                </wp:positionV>
                <wp:extent cx="182880" cy="182880"/>
                <wp:effectExtent l="13335" t="6350" r="13335" b="10795"/>
                <wp:wrapNone/>
                <wp:docPr id="3251" name="Oval 245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6D2A5B0" id="Oval 2454" o:spid="_x0000_s1026" alt="falling weight deflectometer testing" style="position:absolute;margin-left:454.8pt;margin-top:3.7pt;width:14.4pt;height:14.4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" o:allowincell="f"/>
            </w:pict>
          </mc:Fallback>
        </mc:AlternateContent>
      </w:r>
    </w:p>
    <w:p w14:paraId="73CCB4F4" w14:textId="77777777" w:rsidR="00265506" w:rsidRDefault="00265506" w:rsidP="00BE3F24">
      <w:pPr>
        <w:pStyle w:val="ListNumber"/>
        <w:tabs>
          <w:tab w:val="clear" w:pos="720"/>
          <w:tab w:val="clear" w:pos="1872"/>
        </w:tabs>
        <w:ind w:left="0" w:firstLine="0"/>
        <w:jc w:val="both"/>
      </w:pPr>
    </w:p>
    <w:p w14:paraId="0F46DB72" w14:textId="77777777" w:rsidR="00265506" w:rsidRDefault="00265506" w:rsidP="00BE3F24">
      <w:pPr>
        <w:pStyle w:val="ListNumber"/>
        <w:tabs>
          <w:tab w:val="clear" w:pos="720"/>
          <w:tab w:val="clear" w:pos="1872"/>
        </w:tabs>
        <w:ind w:left="0" w:firstLine="0"/>
        <w:jc w:val="both"/>
      </w:pPr>
    </w:p>
    <w:p w14:paraId="2C5D5FFC" w14:textId="77777777" w:rsidR="00265506" w:rsidRDefault="00265506" w:rsidP="00BE3F24">
      <w:pPr>
        <w:pStyle w:val="ListNumber"/>
        <w:tabs>
          <w:tab w:val="clear" w:pos="720"/>
          <w:tab w:val="clear" w:pos="1872"/>
        </w:tabs>
        <w:ind w:left="0" w:firstLine="0"/>
        <w:jc w:val="both"/>
      </w:pPr>
    </w:p>
    <w:p w14:paraId="15380989" w14:textId="77777777" w:rsidR="00265506" w:rsidRDefault="00265506" w:rsidP="00BE3F24">
      <w:pPr>
        <w:pStyle w:val="ListNumber"/>
        <w:tabs>
          <w:tab w:val="clear" w:pos="720"/>
          <w:tab w:val="clear" w:pos="1872"/>
        </w:tabs>
        <w:ind w:left="0" w:firstLine="0"/>
        <w:jc w:val="both"/>
      </w:pPr>
    </w:p>
    <w:p w14:paraId="21D28F15" w14:textId="4297C376"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52256" behindDoc="0" locked="0" layoutInCell="0" allowOverlap="1" wp14:anchorId="53103899" wp14:editId="2D5BB474">
                <wp:simplePos x="0" y="0"/>
                <wp:positionH relativeFrom="column">
                  <wp:posOffset>3403600</wp:posOffset>
                </wp:positionH>
                <wp:positionV relativeFrom="paragraph">
                  <wp:posOffset>-4445</wp:posOffset>
                </wp:positionV>
                <wp:extent cx="182880" cy="182880"/>
                <wp:effectExtent l="12700" t="5715" r="13970" b="11430"/>
                <wp:wrapNone/>
                <wp:docPr id="3250" name="Oval 243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2F4D94A" id="Oval 2436" o:spid="_x0000_s1026" alt="falling weight deflectometer testing" style="position:absolute;margin-left:268pt;margin-top:-.35pt;width:14.4pt;height:14.4pt;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" o:allowincell="f"/>
            </w:pict>
          </mc:Fallback>
        </mc:AlternateContent>
      </w:r>
      <w:r>
        <w:rPr>
          <w:noProof/>
        </w:rPr>
        <mc:AlternateContent>
          <mc:Choice Requires="wps">
            <w:drawing>
              <wp:anchor distT="0" distB="0" distL="114300" distR="114300" simplePos="0" relativeHeight="251553280" behindDoc="0" locked="0" layoutInCell="0" allowOverlap="1" wp14:anchorId="4271E49C" wp14:editId="09CF4BAB">
                <wp:simplePos x="0" y="0"/>
                <wp:positionH relativeFrom="column">
                  <wp:posOffset>1953260</wp:posOffset>
                </wp:positionH>
                <wp:positionV relativeFrom="paragraph">
                  <wp:posOffset>183515</wp:posOffset>
                </wp:positionV>
                <wp:extent cx="182880" cy="182880"/>
                <wp:effectExtent l="10160" t="12700" r="6985" b="13970"/>
                <wp:wrapNone/>
                <wp:docPr id="3249" name="Oval 243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FE7B59B" id="Oval 2437" o:spid="_x0000_s1026" alt="falling weight deflectometer testing" style="position:absolute;margin-left:153.8pt;margin-top:14.45pt;width:14.4pt;height:14.4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" o:allowincell="f"/>
            </w:pict>
          </mc:Fallback>
        </mc:AlternateContent>
      </w:r>
    </w:p>
    <w:p w14:paraId="25C7E8F4" w14:textId="77777777" w:rsidR="00265506" w:rsidRDefault="00265506" w:rsidP="00BE3F24">
      <w:pPr>
        <w:pStyle w:val="ListNumber"/>
        <w:tabs>
          <w:tab w:val="clear" w:pos="720"/>
          <w:tab w:val="clear" w:pos="1872"/>
        </w:tabs>
        <w:ind w:left="0" w:firstLine="0"/>
        <w:jc w:val="both"/>
      </w:pPr>
    </w:p>
    <w:p w14:paraId="0140A7B2" w14:textId="77777777" w:rsidR="00265506" w:rsidRDefault="00265506" w:rsidP="00BE3F24">
      <w:pPr>
        <w:pStyle w:val="ListNumber"/>
        <w:tabs>
          <w:tab w:val="clear" w:pos="720"/>
          <w:tab w:val="clear" w:pos="1872"/>
        </w:tabs>
        <w:ind w:left="0" w:firstLine="0"/>
        <w:jc w:val="both"/>
      </w:pPr>
    </w:p>
    <w:p w14:paraId="286DFCFB" w14:textId="77777777" w:rsidR="00265506" w:rsidRDefault="00265506" w:rsidP="00BE3F24">
      <w:pPr>
        <w:pStyle w:val="ListNumber"/>
        <w:tabs>
          <w:tab w:val="clear" w:pos="720"/>
          <w:tab w:val="clear" w:pos="1872"/>
        </w:tabs>
        <w:ind w:left="0" w:firstLine="0"/>
        <w:jc w:val="both"/>
      </w:pPr>
    </w:p>
    <w:p w14:paraId="1E8EEE32" w14:textId="77777777" w:rsidR="00265506" w:rsidRDefault="00265506" w:rsidP="00BE3F24">
      <w:pPr>
        <w:pStyle w:val="ListNumber"/>
        <w:tabs>
          <w:tab w:val="clear" w:pos="720"/>
          <w:tab w:val="clear" w:pos="1872"/>
        </w:tabs>
        <w:ind w:left="0" w:firstLine="0"/>
        <w:jc w:val="both"/>
      </w:pPr>
    </w:p>
    <w:p w14:paraId="6C54BE4E" w14:textId="77777777" w:rsidR="00265506" w:rsidRDefault="00265506" w:rsidP="00BE3F24">
      <w:pPr>
        <w:pStyle w:val="ListNumber"/>
        <w:tabs>
          <w:tab w:val="clear" w:pos="720"/>
          <w:tab w:val="clear" w:pos="1872"/>
        </w:tabs>
        <w:ind w:left="0" w:firstLine="0"/>
        <w:jc w:val="both"/>
      </w:pPr>
    </w:p>
    <w:p w14:paraId="0A159922" w14:textId="332B6151"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602432" behindDoc="0" locked="0" layoutInCell="0" allowOverlap="1" wp14:anchorId="349A09C8" wp14:editId="5B8B68DD">
                <wp:simplePos x="0" y="0"/>
                <wp:positionH relativeFrom="column">
                  <wp:posOffset>3451860</wp:posOffset>
                </wp:positionH>
                <wp:positionV relativeFrom="paragraph">
                  <wp:posOffset>95885</wp:posOffset>
                </wp:positionV>
                <wp:extent cx="182880" cy="182880"/>
                <wp:effectExtent l="13335" t="12700" r="13335" b="13970"/>
                <wp:wrapNone/>
                <wp:docPr id="3248" name="Oval 2485"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89E3926" id="Oval 2485" o:spid="_x0000_s1026" alt="falling weight deflectometer testing" style="position:absolute;margin-left:271.8pt;margin-top:7.55pt;width:14.4pt;height:14.4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" o:allowincell="f"/>
            </w:pict>
          </mc:Fallback>
        </mc:AlternateContent>
      </w:r>
      <w:r>
        <w:rPr>
          <w:noProof/>
        </w:rPr>
        <mc:AlternateContent>
          <mc:Choice Requires="wps">
            <w:drawing>
              <wp:anchor distT="0" distB="0" distL="114300" distR="114300" simplePos="0" relativeHeight="251564544" behindDoc="0" locked="0" layoutInCell="0" allowOverlap="1" wp14:anchorId="0E179B5A" wp14:editId="35A87111">
                <wp:simplePos x="0" y="0"/>
                <wp:positionH relativeFrom="column">
                  <wp:posOffset>5829300</wp:posOffset>
                </wp:positionH>
                <wp:positionV relativeFrom="paragraph">
                  <wp:posOffset>161925</wp:posOffset>
                </wp:positionV>
                <wp:extent cx="182880" cy="182880"/>
                <wp:effectExtent l="9525" t="12065" r="7620" b="5080"/>
                <wp:wrapNone/>
                <wp:docPr id="3247" name="Oval 2448"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058E006" id="Oval 2448" o:spid="_x0000_s1026" alt="falling weight deflectometer testing" style="position:absolute;margin-left:459pt;margin-top:12.75pt;width:14.4pt;height:14.4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" o:allowincell="f"/>
            </w:pict>
          </mc:Fallback>
        </mc:AlternateContent>
      </w:r>
    </w:p>
    <w:p w14:paraId="79A060AD" w14:textId="3EC51F16"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603456" behindDoc="0" locked="0" layoutInCell="0" allowOverlap="1" wp14:anchorId="79AE8CA7" wp14:editId="05E72193">
                <wp:simplePos x="0" y="0"/>
                <wp:positionH relativeFrom="column">
                  <wp:posOffset>1953260</wp:posOffset>
                </wp:positionH>
                <wp:positionV relativeFrom="paragraph">
                  <wp:posOffset>62230</wp:posOffset>
                </wp:positionV>
                <wp:extent cx="182880" cy="182880"/>
                <wp:effectExtent l="10160" t="6350" r="6985" b="10795"/>
                <wp:wrapNone/>
                <wp:docPr id="3246" name="Oval 248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5313923" id="Oval 2486" o:spid="_x0000_s1026" alt="falling weight deflectometer testing" style="position:absolute;margin-left:153.8pt;margin-top:4.9pt;width:14.4pt;height:14.4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" o:allowincell="f"/>
            </w:pict>
          </mc:Fallback>
        </mc:AlternateContent>
      </w:r>
      <w:r>
        <w:rPr>
          <w:noProof/>
        </w:rPr>
        <mc:AlternateContent>
          <mc:Choice Requires="wps">
            <w:drawing>
              <wp:anchor distT="0" distB="0" distL="114300" distR="114300" simplePos="0" relativeHeight="251566592" behindDoc="0" locked="0" layoutInCell="0" allowOverlap="1" wp14:anchorId="78391788" wp14:editId="049CB4A3">
                <wp:simplePos x="0" y="0"/>
                <wp:positionH relativeFrom="column">
                  <wp:posOffset>4253865</wp:posOffset>
                </wp:positionH>
                <wp:positionV relativeFrom="paragraph">
                  <wp:posOffset>137160</wp:posOffset>
                </wp:positionV>
                <wp:extent cx="182880" cy="182880"/>
                <wp:effectExtent l="5715" t="5080" r="11430" b="12065"/>
                <wp:wrapNone/>
                <wp:docPr id="3245" name="Oval 245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672C33C" id="Oval 2450" o:spid="_x0000_s1026" alt="falling weight deflectometer testing" style="position:absolute;margin-left:334.95pt;margin-top:10.8pt;width:14.4pt;height:14.4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" o:allowincell="f"/>
            </w:pict>
          </mc:Fallback>
        </mc:AlternateContent>
      </w:r>
    </w:p>
    <w:p w14:paraId="18A9B6F3" w14:textId="77777777" w:rsidR="00265506" w:rsidRDefault="00265506" w:rsidP="00BE3F24">
      <w:pPr>
        <w:pStyle w:val="ListNumber"/>
        <w:tabs>
          <w:tab w:val="clear" w:pos="720"/>
          <w:tab w:val="clear" w:pos="1872"/>
        </w:tabs>
        <w:ind w:left="0" w:firstLine="0"/>
        <w:jc w:val="both"/>
      </w:pPr>
    </w:p>
    <w:p w14:paraId="41DC438C" w14:textId="77777777" w:rsidR="00265506" w:rsidRDefault="00265506" w:rsidP="00BE3F24">
      <w:pPr>
        <w:pStyle w:val="ListNumber"/>
        <w:tabs>
          <w:tab w:val="clear" w:pos="720"/>
          <w:tab w:val="clear" w:pos="1872"/>
        </w:tabs>
        <w:ind w:left="0" w:firstLine="0"/>
        <w:jc w:val="both"/>
      </w:pPr>
    </w:p>
    <w:p w14:paraId="3A181F56" w14:textId="77777777" w:rsidR="00265506" w:rsidRDefault="00265506" w:rsidP="00BE3F24">
      <w:pPr>
        <w:pStyle w:val="ListNumber"/>
        <w:tabs>
          <w:tab w:val="clear" w:pos="720"/>
          <w:tab w:val="clear" w:pos="1872"/>
        </w:tabs>
        <w:ind w:left="0" w:firstLine="0"/>
        <w:jc w:val="both"/>
      </w:pPr>
    </w:p>
    <w:p w14:paraId="4A76F90A" w14:textId="77777777" w:rsidR="00265506" w:rsidRDefault="00265506" w:rsidP="00BE3F24">
      <w:pPr>
        <w:pStyle w:val="ListNumber"/>
        <w:tabs>
          <w:tab w:val="clear" w:pos="720"/>
          <w:tab w:val="clear" w:pos="1872"/>
        </w:tabs>
        <w:ind w:left="0" w:firstLine="0"/>
        <w:jc w:val="both"/>
      </w:pPr>
    </w:p>
    <w:p w14:paraId="513CC375" w14:textId="77777777" w:rsidR="00265506" w:rsidRDefault="00265506" w:rsidP="00BE3F24">
      <w:pPr>
        <w:pStyle w:val="ListNumber"/>
        <w:tabs>
          <w:tab w:val="clear" w:pos="720"/>
          <w:tab w:val="clear" w:pos="1872"/>
        </w:tabs>
        <w:ind w:left="0" w:firstLine="0"/>
        <w:jc w:val="both"/>
      </w:pPr>
    </w:p>
    <w:p w14:paraId="23233CA4" w14:textId="77777777" w:rsidR="00265506" w:rsidRDefault="00265506" w:rsidP="00BE3F24">
      <w:pPr>
        <w:pStyle w:val="ListNumber"/>
        <w:tabs>
          <w:tab w:val="clear" w:pos="720"/>
          <w:tab w:val="clear" w:pos="1872"/>
        </w:tabs>
        <w:ind w:left="0" w:firstLine="0"/>
        <w:jc w:val="both"/>
      </w:pPr>
    </w:p>
    <w:p w14:paraId="19DA30F4" w14:textId="1B2DBD76"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54304" behindDoc="0" locked="0" layoutInCell="0" allowOverlap="1" wp14:anchorId="1D676AA2" wp14:editId="15A4D3BC">
                <wp:simplePos x="0" y="0"/>
                <wp:positionH relativeFrom="column">
                  <wp:posOffset>3421380</wp:posOffset>
                </wp:positionH>
                <wp:positionV relativeFrom="paragraph">
                  <wp:posOffset>111760</wp:posOffset>
                </wp:positionV>
                <wp:extent cx="182880" cy="182880"/>
                <wp:effectExtent l="11430" t="8890" r="5715" b="8255"/>
                <wp:wrapNone/>
                <wp:docPr id="3244" name="Oval 2438"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BAA7D4E" id="Oval 2438" o:spid="_x0000_s1026" alt="falling weight deflectometer testing" style="position:absolute;margin-left:269.4pt;margin-top:8.8pt;width:14.4pt;height:14.4pt;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" o:allowincell="f"/>
            </w:pict>
          </mc:Fallback>
        </mc:AlternateContent>
      </w:r>
    </w:p>
    <w:p w14:paraId="6294BE28" w14:textId="4AF3EF1B"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55328" behindDoc="0" locked="0" layoutInCell="0" allowOverlap="1" wp14:anchorId="7B350762" wp14:editId="27CC4EE5">
                <wp:simplePos x="0" y="0"/>
                <wp:positionH relativeFrom="column">
                  <wp:posOffset>2018665</wp:posOffset>
                </wp:positionH>
                <wp:positionV relativeFrom="paragraph">
                  <wp:posOffset>58420</wp:posOffset>
                </wp:positionV>
                <wp:extent cx="182880" cy="182880"/>
                <wp:effectExtent l="8890" t="11430" r="8255" b="5715"/>
                <wp:wrapNone/>
                <wp:docPr id="3243" name="Oval 243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C53166" id="Oval 2439" o:spid="_x0000_s1026" alt="falling weight deflectometer testing" style="position:absolute;margin-left:158.95pt;margin-top:4.6pt;width:14.4pt;height:14.4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" o:allowincell="f"/>
            </w:pict>
          </mc:Fallback>
        </mc:AlternateContent>
      </w:r>
    </w:p>
    <w:p w14:paraId="7F4FE33D" w14:textId="77777777" w:rsidR="00265506" w:rsidRDefault="00265506" w:rsidP="00BE3F24">
      <w:pPr>
        <w:pStyle w:val="ListNumber"/>
        <w:tabs>
          <w:tab w:val="clear" w:pos="720"/>
          <w:tab w:val="clear" w:pos="1872"/>
        </w:tabs>
        <w:ind w:left="0" w:firstLine="0"/>
        <w:jc w:val="both"/>
      </w:pPr>
    </w:p>
    <w:p w14:paraId="36CD8BC7" w14:textId="77777777" w:rsidR="00265506" w:rsidRDefault="00265506" w:rsidP="00BE3F24">
      <w:pPr>
        <w:pStyle w:val="ListNumber"/>
        <w:tabs>
          <w:tab w:val="clear" w:pos="720"/>
          <w:tab w:val="clear" w:pos="1872"/>
        </w:tabs>
        <w:ind w:left="0" w:firstLine="0"/>
        <w:jc w:val="both"/>
      </w:pPr>
    </w:p>
    <w:p w14:paraId="06782B6F" w14:textId="77777777" w:rsidR="00265506" w:rsidRDefault="00265506" w:rsidP="00BE3F24">
      <w:pPr>
        <w:pStyle w:val="ListNumber"/>
        <w:tabs>
          <w:tab w:val="clear" w:pos="720"/>
          <w:tab w:val="clear" w:pos="1872"/>
        </w:tabs>
        <w:ind w:left="0" w:firstLine="0"/>
        <w:jc w:val="both"/>
      </w:pPr>
    </w:p>
    <w:p w14:paraId="4B270881" w14:textId="77777777" w:rsidR="00265506" w:rsidRDefault="00265506" w:rsidP="00BE3F24">
      <w:pPr>
        <w:pStyle w:val="ListNumber"/>
        <w:tabs>
          <w:tab w:val="clear" w:pos="720"/>
          <w:tab w:val="clear" w:pos="1872"/>
        </w:tabs>
        <w:ind w:left="0" w:firstLine="0"/>
        <w:jc w:val="both"/>
      </w:pPr>
    </w:p>
    <w:p w14:paraId="337E2C22" w14:textId="77777777" w:rsidR="00265506" w:rsidRDefault="00265506" w:rsidP="00BE3F24">
      <w:pPr>
        <w:pStyle w:val="ListNumber"/>
        <w:tabs>
          <w:tab w:val="clear" w:pos="720"/>
          <w:tab w:val="clear" w:pos="1872"/>
        </w:tabs>
        <w:ind w:left="0" w:firstLine="0"/>
        <w:jc w:val="both"/>
      </w:pPr>
    </w:p>
    <w:p w14:paraId="0A6FE414" w14:textId="77777777" w:rsidR="00265506" w:rsidRDefault="00265506" w:rsidP="00BE3F24">
      <w:pPr>
        <w:pStyle w:val="ListNumber"/>
        <w:tabs>
          <w:tab w:val="clear" w:pos="720"/>
          <w:tab w:val="clear" w:pos="1872"/>
        </w:tabs>
        <w:ind w:left="0" w:firstLine="0"/>
        <w:jc w:val="both"/>
      </w:pPr>
      <w:r>
        <w:t xml:space="preserve">          Flexible                                               Rigid                                              Composite  </w:t>
      </w:r>
    </w:p>
    <w:p w14:paraId="018D90F0" w14:textId="77777777" w:rsidR="00265506" w:rsidRDefault="00265506" w:rsidP="00BE3F24">
      <w:pPr>
        <w:pStyle w:val="ListNumber"/>
        <w:tabs>
          <w:tab w:val="clear" w:pos="720"/>
          <w:tab w:val="clear" w:pos="1872"/>
        </w:tabs>
        <w:ind w:left="0" w:firstLine="0"/>
        <w:jc w:val="both"/>
      </w:pPr>
      <w:r>
        <w:t>No Joint Testing Applicable</w:t>
      </w:r>
    </w:p>
    <w:p w14:paraId="2EFDE71C" w14:textId="77777777" w:rsidR="00265506" w:rsidRDefault="00265506" w:rsidP="00BE3F24">
      <w:pPr>
        <w:jc w:val="both"/>
        <w:rPr>
          <w:rFonts w:ascii="Arial" w:hAnsi="Arial"/>
        </w:rPr>
      </w:pPr>
    </w:p>
    <w:p w14:paraId="5D97DF2F" w14:textId="595784CF" w:rsidR="00265506" w:rsidRDefault="004D64A3" w:rsidP="00BE3F24">
      <w:pPr>
        <w:jc w:val="both"/>
        <w:rPr>
          <w:rFonts w:ascii="Arial" w:hAnsi="Arial"/>
          <w:sz w:val="18"/>
        </w:rPr>
      </w:pPr>
      <w:r>
        <w:rPr>
          <w:rFonts w:ascii="Arial" w:hAnsi="Arial"/>
          <w:noProof/>
        </w:rPr>
        <mc:AlternateContent>
          <mc:Choice Requires="wps">
            <w:drawing>
              <wp:anchor distT="0" distB="0" distL="114300" distR="114300" simplePos="0" relativeHeight="251594240" behindDoc="0" locked="0" layoutInCell="0" allowOverlap="1" wp14:anchorId="284A4D51" wp14:editId="3DA11A7B">
                <wp:simplePos x="0" y="0"/>
                <wp:positionH relativeFrom="column">
                  <wp:posOffset>-241300</wp:posOffset>
                </wp:positionH>
                <wp:positionV relativeFrom="paragraph">
                  <wp:posOffset>43180</wp:posOffset>
                </wp:positionV>
                <wp:extent cx="182880" cy="182880"/>
                <wp:effectExtent l="6350" t="7620" r="10795" b="9525"/>
                <wp:wrapNone/>
                <wp:docPr id="3242" name="Oval 247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DC3B8A7" id="Oval 2477" o:spid="_x0000_s1026" alt="falling weight deflectometer testing" style="position:absolute;margin-left:-19pt;margin-top:3.4pt;width:14.4pt;height:14.4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" o:allowincell="f"/>
            </w:pict>
          </mc:Fallback>
        </mc:AlternateContent>
      </w:r>
    </w:p>
    <w:p w14:paraId="2659F464" w14:textId="77777777" w:rsidR="00265506" w:rsidRDefault="00265506" w:rsidP="00BE3F24">
      <w:pPr>
        <w:jc w:val="both"/>
        <w:rPr>
          <w:rFonts w:ascii="Arial" w:hAnsi="Arial"/>
          <w:sz w:val="18"/>
        </w:rPr>
      </w:pPr>
      <w:r>
        <w:rPr>
          <w:rFonts w:ascii="Arial" w:hAnsi="Arial"/>
          <w:sz w:val="18"/>
        </w:rPr>
        <w:t>- FWD load plate</w:t>
      </w:r>
    </w:p>
    <w:p w14:paraId="6401681C" w14:textId="77777777" w:rsidR="00265506" w:rsidRDefault="00265506" w:rsidP="00BE3F24">
      <w:pPr>
        <w:jc w:val="both"/>
        <w:rPr>
          <w:rFonts w:ascii="Arial" w:hAnsi="Arial"/>
        </w:rPr>
      </w:pPr>
    </w:p>
    <w:p w14:paraId="2503D476" w14:textId="5DB25BE3" w:rsidR="00265506" w:rsidRPr="00D839EF" w:rsidRDefault="00265506" w:rsidP="00D839EF">
      <w:pPr>
        <w:jc w:val="center"/>
        <w:rPr>
          <w:rFonts w:ascii="Arial" w:hAnsi="Arial"/>
          <w:b/>
          <w:sz w:val="22"/>
        </w:rPr>
      </w:pPr>
      <w:r w:rsidRPr="00D839EF">
        <w:rPr>
          <w:rFonts w:ascii="Arial" w:hAnsi="Arial"/>
          <w:b/>
          <w:sz w:val="22"/>
        </w:rPr>
        <w:t>Figure 3</w:t>
      </w:r>
      <w:r w:rsidR="00D43E46" w:rsidRPr="00757B46">
        <w:rPr>
          <w:rFonts w:ascii="Arial" w:hAnsi="Arial"/>
          <w:b/>
          <w:sz w:val="22"/>
          <w:szCs w:val="22"/>
        </w:rPr>
        <w:t xml:space="preserve">: </w:t>
      </w:r>
      <w:r w:rsidR="00D43E46" w:rsidRPr="00D839EF">
        <w:rPr>
          <w:rFonts w:ascii="Arial" w:hAnsi="Arial"/>
          <w:b/>
          <w:sz w:val="22"/>
        </w:rPr>
        <w:t xml:space="preserve"> </w:t>
      </w:r>
      <w:r w:rsidRPr="00D839EF">
        <w:rPr>
          <w:rFonts w:ascii="Arial" w:hAnsi="Arial"/>
          <w:b/>
          <w:sz w:val="22"/>
        </w:rPr>
        <w:t>Joint Testing</w:t>
      </w:r>
    </w:p>
    <w:p w14:paraId="1EFA87FD" w14:textId="77777777" w:rsidR="00265506" w:rsidRDefault="00265506" w:rsidP="00BE3F24">
      <w:pPr>
        <w:pStyle w:val="ListNumber"/>
        <w:tabs>
          <w:tab w:val="clear" w:pos="720"/>
          <w:tab w:val="clear" w:pos="1872"/>
        </w:tabs>
        <w:ind w:left="0" w:firstLine="0"/>
        <w:jc w:val="both"/>
      </w:pPr>
      <w:r>
        <w:rPr>
          <w:noProof/>
        </w:rPr>
        <w:br w:type="page"/>
      </w:r>
    </w:p>
    <w:p w14:paraId="0C3FB594" w14:textId="37CA9C75" w:rsidR="00265506" w:rsidRDefault="004D64A3" w:rsidP="00BE3F24">
      <w:pPr>
        <w:pStyle w:val="ListNumber"/>
        <w:tabs>
          <w:tab w:val="clear" w:pos="720"/>
          <w:tab w:val="clear" w:pos="1872"/>
        </w:tabs>
        <w:ind w:left="0" w:firstLine="0"/>
        <w:jc w:val="both"/>
      </w:pPr>
      <w:r>
        <w:rPr>
          <w:noProof/>
        </w:rPr>
        <w:lastRenderedPageBreak/>
        <mc:AlternateContent>
          <mc:Choice Requires="wps">
            <w:drawing>
              <wp:anchor distT="0" distB="0" distL="114300" distR="114300" simplePos="0" relativeHeight="251572736" behindDoc="0" locked="0" layoutInCell="0" allowOverlap="1" wp14:anchorId="164A9E83" wp14:editId="5553278A">
                <wp:simplePos x="0" y="0"/>
                <wp:positionH relativeFrom="column">
                  <wp:posOffset>559435</wp:posOffset>
                </wp:positionH>
                <wp:positionV relativeFrom="paragraph">
                  <wp:posOffset>-104775</wp:posOffset>
                </wp:positionV>
                <wp:extent cx="0" cy="6742430"/>
                <wp:effectExtent l="6985" t="9525" r="12065" b="10795"/>
                <wp:wrapNone/>
                <wp:docPr id="3241" name="Line 245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7424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A07694" id="Line 2456" o:spid="_x0000_s1026" alt="falling weight deflectometer testing" style="position:absolute;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05pt,-8.25pt" to="44.05pt,5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" o:allowincell="f"/>
            </w:pict>
          </mc:Fallback>
        </mc:AlternateContent>
      </w:r>
      <w:r>
        <w:rPr>
          <w:noProof/>
        </w:rPr>
        <mc:AlternateContent>
          <mc:Choice Requires="wps">
            <w:drawing>
              <wp:anchor distT="0" distB="0" distL="114300" distR="114300" simplePos="0" relativeHeight="251576832" behindDoc="0" locked="0" layoutInCell="0" allowOverlap="1" wp14:anchorId="3BC22BAF" wp14:editId="6BA14A93">
                <wp:simplePos x="0" y="0"/>
                <wp:positionH relativeFrom="column">
                  <wp:posOffset>2801620</wp:posOffset>
                </wp:positionH>
                <wp:positionV relativeFrom="paragraph">
                  <wp:posOffset>-93980</wp:posOffset>
                </wp:positionV>
                <wp:extent cx="0" cy="6742430"/>
                <wp:effectExtent l="10795" t="10795" r="8255" b="9525"/>
                <wp:wrapNone/>
                <wp:docPr id="3240" name="Line 246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7424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D3DDE8" id="Line 2460" o:spid="_x0000_s1026" alt="falling weight deflectometer testing" style="position:absolute;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6pt,-7.4pt" to="220.6pt,5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" o:allowincell="f"/>
            </w:pict>
          </mc:Fallback>
        </mc:AlternateContent>
      </w:r>
      <w:r>
        <w:rPr>
          <w:noProof/>
        </w:rPr>
        <mc:AlternateContent>
          <mc:Choice Requires="wps">
            <w:drawing>
              <wp:anchor distT="0" distB="0" distL="114300" distR="114300" simplePos="0" relativeHeight="251589120" behindDoc="0" locked="0" layoutInCell="0" allowOverlap="1" wp14:anchorId="1F72FCC2" wp14:editId="7377C4B6">
                <wp:simplePos x="0" y="0"/>
                <wp:positionH relativeFrom="column">
                  <wp:posOffset>5113020</wp:posOffset>
                </wp:positionH>
                <wp:positionV relativeFrom="paragraph">
                  <wp:posOffset>-106680</wp:posOffset>
                </wp:positionV>
                <wp:extent cx="0" cy="6767830"/>
                <wp:effectExtent l="7620" t="7620" r="11430" b="6350"/>
                <wp:wrapNone/>
                <wp:docPr id="3239" name="Line 247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7678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DCDF3E" id="Line 2472" o:spid="_x0000_s1026" alt="falling weight deflectometer testing" style="position:absolute;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2.6pt,-8.4pt" to="402.6pt,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" o:allowincell="f"/>
            </w:pict>
          </mc:Fallback>
        </mc:AlternateContent>
      </w:r>
      <w:r>
        <w:rPr>
          <w:noProof/>
        </w:rPr>
        <mc:AlternateContent>
          <mc:Choice Requires="wps">
            <w:drawing>
              <wp:anchor distT="0" distB="0" distL="114300" distR="114300" simplePos="0" relativeHeight="251588096" behindDoc="0" locked="0" layoutInCell="0" allowOverlap="1" wp14:anchorId="4A92F9E7" wp14:editId="0389DE4D">
                <wp:simplePos x="0" y="0"/>
                <wp:positionH relativeFrom="column">
                  <wp:posOffset>4096385</wp:posOffset>
                </wp:positionH>
                <wp:positionV relativeFrom="paragraph">
                  <wp:posOffset>-119380</wp:posOffset>
                </wp:positionV>
                <wp:extent cx="2011680" cy="6777355"/>
                <wp:effectExtent l="10160" t="13970" r="6985" b="9525"/>
                <wp:wrapNone/>
                <wp:docPr id="3238" name="Rectangle 2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1680" cy="6777355"/>
                        </a:xfrm>
                        <a:prstGeom prst="rect">
                          <a:avLst/>
                        </a:prstGeom>
                        <a:solidFill>
                          <a:srgbClr val="FFFFFF"/>
                        </a:solidFill>
                        <a:ln w="9525">
                          <a:solidFill>
                            <a:srgbClr val="000000"/>
                          </a:solidFill>
                          <a:miter lim="800000"/>
                          <a:headEnd/>
                          <a:tailEnd/>
                        </a:ln>
                      </wps:spPr>
                      <wps:txbx>
                        <w:txbxContent>
                          <w:p w14:paraId="0E32811C" w14:textId="77777777" w:rsidR="009C1A5C" w:rsidRDefault="009C1A5C" w:rsidP="00265506"/>
                          <w:p w14:paraId="428FD7A1" w14:textId="77777777" w:rsidR="009C1A5C" w:rsidRDefault="009C1A5C" w:rsidP="00265506"/>
                          <w:p w14:paraId="235007C4" w14:textId="77777777" w:rsidR="009C1A5C" w:rsidRDefault="009C1A5C" w:rsidP="00265506"/>
                          <w:p w14:paraId="5046C098" w14:textId="77777777" w:rsidR="009C1A5C" w:rsidRDefault="009C1A5C" w:rsidP="00265506"/>
                          <w:p w14:paraId="4557719E" w14:textId="77777777" w:rsidR="009C1A5C" w:rsidRDefault="009C1A5C" w:rsidP="00265506"/>
                          <w:p w14:paraId="46AE918A" w14:textId="77777777" w:rsidR="009C1A5C" w:rsidRDefault="009C1A5C" w:rsidP="00265506"/>
                          <w:p w14:paraId="32123E7D" w14:textId="77777777" w:rsidR="009C1A5C" w:rsidRDefault="009C1A5C" w:rsidP="00265506"/>
                          <w:p w14:paraId="00F415B5" w14:textId="77777777" w:rsidR="009C1A5C" w:rsidRDefault="009C1A5C" w:rsidP="00265506"/>
                          <w:p w14:paraId="2EF1817E" w14:textId="77777777" w:rsidR="009C1A5C" w:rsidRDefault="009C1A5C" w:rsidP="00265506"/>
                          <w:p w14:paraId="02019638" w14:textId="77777777" w:rsidR="009C1A5C" w:rsidRDefault="009C1A5C" w:rsidP="00265506"/>
                          <w:p w14:paraId="11ECA05A" w14:textId="77777777" w:rsidR="009C1A5C" w:rsidRDefault="009C1A5C" w:rsidP="00265506"/>
                          <w:p w14:paraId="3DD048CB" w14:textId="77777777" w:rsidR="009C1A5C" w:rsidRDefault="009C1A5C" w:rsidP="00265506"/>
                          <w:p w14:paraId="7A856D65" w14:textId="77777777" w:rsidR="009C1A5C" w:rsidRDefault="009C1A5C" w:rsidP="00265506"/>
                          <w:p w14:paraId="6BC2B586" w14:textId="77777777" w:rsidR="009C1A5C" w:rsidRDefault="009C1A5C" w:rsidP="00265506"/>
                          <w:p w14:paraId="27BABD02" w14:textId="77777777" w:rsidR="009C1A5C" w:rsidRDefault="009C1A5C" w:rsidP="00265506"/>
                          <w:p w14:paraId="41F1BBC9" w14:textId="77777777" w:rsidR="009C1A5C" w:rsidRDefault="009C1A5C" w:rsidP="00265506"/>
                          <w:p w14:paraId="71BDE17D" w14:textId="77777777" w:rsidR="009C1A5C" w:rsidRDefault="009C1A5C" w:rsidP="00265506"/>
                          <w:p w14:paraId="1C805F97" w14:textId="77777777" w:rsidR="009C1A5C" w:rsidRDefault="009C1A5C" w:rsidP="00265506"/>
                          <w:p w14:paraId="03DFDBFB" w14:textId="77777777" w:rsidR="009C1A5C" w:rsidRDefault="009C1A5C" w:rsidP="00265506"/>
                          <w:p w14:paraId="3E06E188" w14:textId="77777777" w:rsidR="009C1A5C" w:rsidRDefault="009C1A5C" w:rsidP="00265506"/>
                          <w:p w14:paraId="290704D6" w14:textId="77777777" w:rsidR="009C1A5C" w:rsidRDefault="009C1A5C" w:rsidP="00265506"/>
                          <w:p w14:paraId="0D5144D6" w14:textId="77777777" w:rsidR="009C1A5C" w:rsidRDefault="009C1A5C" w:rsidP="00265506"/>
                          <w:p w14:paraId="01CA76F9" w14:textId="77777777" w:rsidR="009C1A5C" w:rsidRDefault="009C1A5C" w:rsidP="00265506"/>
                          <w:p w14:paraId="4F42EEE5" w14:textId="77777777" w:rsidR="009C1A5C" w:rsidRDefault="009C1A5C" w:rsidP="00265506"/>
                          <w:p w14:paraId="55D3A920" w14:textId="77777777" w:rsidR="009C1A5C" w:rsidRDefault="009C1A5C" w:rsidP="00265506"/>
                          <w:p w14:paraId="340C0A9D" w14:textId="77777777" w:rsidR="009C1A5C" w:rsidRDefault="009C1A5C" w:rsidP="00265506"/>
                          <w:p w14:paraId="4D0008A5" w14:textId="77777777" w:rsidR="009C1A5C" w:rsidRDefault="009C1A5C" w:rsidP="00265506"/>
                          <w:p w14:paraId="15587317" w14:textId="77777777" w:rsidR="009C1A5C" w:rsidRDefault="009C1A5C" w:rsidP="00265506"/>
                          <w:p w14:paraId="7D440854" w14:textId="77777777" w:rsidR="009C1A5C" w:rsidRDefault="009C1A5C" w:rsidP="00265506"/>
                          <w:p w14:paraId="36006997" w14:textId="77777777" w:rsidR="009C1A5C" w:rsidRDefault="009C1A5C" w:rsidP="00265506"/>
                          <w:p w14:paraId="48DF8F0F" w14:textId="77777777" w:rsidR="009C1A5C" w:rsidRDefault="009C1A5C" w:rsidP="00265506"/>
                          <w:p w14:paraId="43801E0C" w14:textId="77777777" w:rsidR="009C1A5C" w:rsidRDefault="009C1A5C" w:rsidP="00265506"/>
                          <w:p w14:paraId="250D85E8" w14:textId="77777777" w:rsidR="009C1A5C" w:rsidRDefault="009C1A5C" w:rsidP="00265506"/>
                          <w:p w14:paraId="12D6DD11" w14:textId="77777777" w:rsidR="009C1A5C" w:rsidRDefault="009C1A5C" w:rsidP="00265506"/>
                          <w:p w14:paraId="57EB891A" w14:textId="77777777" w:rsidR="009C1A5C" w:rsidRDefault="009C1A5C" w:rsidP="00265506"/>
                          <w:p w14:paraId="01F77F91" w14:textId="77777777" w:rsidR="009C1A5C" w:rsidRDefault="009C1A5C" w:rsidP="00265506"/>
                          <w:p w14:paraId="0EE59E58" w14:textId="77777777" w:rsidR="009C1A5C" w:rsidRDefault="009C1A5C" w:rsidP="00265506"/>
                          <w:p w14:paraId="19F84015" w14:textId="77777777" w:rsidR="009C1A5C" w:rsidRDefault="009C1A5C" w:rsidP="00265506"/>
                          <w:p w14:paraId="63BF3341" w14:textId="77777777" w:rsidR="009C1A5C" w:rsidRDefault="009C1A5C" w:rsidP="00265506"/>
                          <w:p w14:paraId="391E2559" w14:textId="77777777" w:rsidR="009C1A5C" w:rsidRDefault="009C1A5C" w:rsidP="00265506">
                            <w:pPr>
                              <w:jc w:val="center"/>
                            </w:pPr>
                            <w:r>
                              <w:t>No Corner Testing Applicable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92F9E7" id="Rectangle 2471" o:spid="_x0000_s1028" style="position:absolute;left:0;text-align:left;margin-left:322.55pt;margin-top:-9.4pt;width:158.4pt;height:533.6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" o:allowincell="f">
                <v:textbox>
                  <w:txbxContent>
                    <w:p w14:paraId="0E32811C" w14:textId="77777777" w:rsidR="009C1A5C" w:rsidRDefault="009C1A5C" w:rsidP="00265506"/>
                    <w:p w14:paraId="428FD7A1" w14:textId="77777777" w:rsidR="009C1A5C" w:rsidRDefault="009C1A5C" w:rsidP="00265506"/>
                    <w:p w14:paraId="235007C4" w14:textId="77777777" w:rsidR="009C1A5C" w:rsidRDefault="009C1A5C" w:rsidP="00265506"/>
                    <w:p w14:paraId="5046C098" w14:textId="77777777" w:rsidR="009C1A5C" w:rsidRDefault="009C1A5C" w:rsidP="00265506"/>
                    <w:p w14:paraId="4557719E" w14:textId="77777777" w:rsidR="009C1A5C" w:rsidRDefault="009C1A5C" w:rsidP="00265506"/>
                    <w:p w14:paraId="46AE918A" w14:textId="77777777" w:rsidR="009C1A5C" w:rsidRDefault="009C1A5C" w:rsidP="00265506"/>
                    <w:p w14:paraId="32123E7D" w14:textId="77777777" w:rsidR="009C1A5C" w:rsidRDefault="009C1A5C" w:rsidP="00265506"/>
                    <w:p w14:paraId="00F415B5" w14:textId="77777777" w:rsidR="009C1A5C" w:rsidRDefault="009C1A5C" w:rsidP="00265506"/>
                    <w:p w14:paraId="2EF1817E" w14:textId="77777777" w:rsidR="009C1A5C" w:rsidRDefault="009C1A5C" w:rsidP="00265506"/>
                    <w:p w14:paraId="02019638" w14:textId="77777777" w:rsidR="009C1A5C" w:rsidRDefault="009C1A5C" w:rsidP="00265506"/>
                    <w:p w14:paraId="11ECA05A" w14:textId="77777777" w:rsidR="009C1A5C" w:rsidRDefault="009C1A5C" w:rsidP="00265506"/>
                    <w:p w14:paraId="3DD048CB" w14:textId="77777777" w:rsidR="009C1A5C" w:rsidRDefault="009C1A5C" w:rsidP="00265506"/>
                    <w:p w14:paraId="7A856D65" w14:textId="77777777" w:rsidR="009C1A5C" w:rsidRDefault="009C1A5C" w:rsidP="00265506"/>
                    <w:p w14:paraId="6BC2B586" w14:textId="77777777" w:rsidR="009C1A5C" w:rsidRDefault="009C1A5C" w:rsidP="00265506"/>
                    <w:p w14:paraId="27BABD02" w14:textId="77777777" w:rsidR="009C1A5C" w:rsidRDefault="009C1A5C" w:rsidP="00265506"/>
                    <w:p w14:paraId="41F1BBC9" w14:textId="77777777" w:rsidR="009C1A5C" w:rsidRDefault="009C1A5C" w:rsidP="00265506"/>
                    <w:p w14:paraId="71BDE17D" w14:textId="77777777" w:rsidR="009C1A5C" w:rsidRDefault="009C1A5C" w:rsidP="00265506"/>
                    <w:p w14:paraId="1C805F97" w14:textId="77777777" w:rsidR="009C1A5C" w:rsidRDefault="009C1A5C" w:rsidP="00265506"/>
                    <w:p w14:paraId="03DFDBFB" w14:textId="77777777" w:rsidR="009C1A5C" w:rsidRDefault="009C1A5C" w:rsidP="00265506"/>
                    <w:p w14:paraId="3E06E188" w14:textId="77777777" w:rsidR="009C1A5C" w:rsidRDefault="009C1A5C" w:rsidP="00265506"/>
                    <w:p w14:paraId="290704D6" w14:textId="77777777" w:rsidR="009C1A5C" w:rsidRDefault="009C1A5C" w:rsidP="00265506"/>
                    <w:p w14:paraId="0D5144D6" w14:textId="77777777" w:rsidR="009C1A5C" w:rsidRDefault="009C1A5C" w:rsidP="00265506"/>
                    <w:p w14:paraId="01CA76F9" w14:textId="77777777" w:rsidR="009C1A5C" w:rsidRDefault="009C1A5C" w:rsidP="00265506"/>
                    <w:p w14:paraId="4F42EEE5" w14:textId="77777777" w:rsidR="009C1A5C" w:rsidRDefault="009C1A5C" w:rsidP="00265506"/>
                    <w:p w14:paraId="55D3A920" w14:textId="77777777" w:rsidR="009C1A5C" w:rsidRDefault="009C1A5C" w:rsidP="00265506"/>
                    <w:p w14:paraId="340C0A9D" w14:textId="77777777" w:rsidR="009C1A5C" w:rsidRDefault="009C1A5C" w:rsidP="00265506"/>
                    <w:p w14:paraId="4D0008A5" w14:textId="77777777" w:rsidR="009C1A5C" w:rsidRDefault="009C1A5C" w:rsidP="00265506"/>
                    <w:p w14:paraId="15587317" w14:textId="77777777" w:rsidR="009C1A5C" w:rsidRDefault="009C1A5C" w:rsidP="00265506"/>
                    <w:p w14:paraId="7D440854" w14:textId="77777777" w:rsidR="009C1A5C" w:rsidRDefault="009C1A5C" w:rsidP="00265506"/>
                    <w:p w14:paraId="36006997" w14:textId="77777777" w:rsidR="009C1A5C" w:rsidRDefault="009C1A5C" w:rsidP="00265506"/>
                    <w:p w14:paraId="48DF8F0F" w14:textId="77777777" w:rsidR="009C1A5C" w:rsidRDefault="009C1A5C" w:rsidP="00265506"/>
                    <w:p w14:paraId="43801E0C" w14:textId="77777777" w:rsidR="009C1A5C" w:rsidRDefault="009C1A5C" w:rsidP="00265506"/>
                    <w:p w14:paraId="250D85E8" w14:textId="77777777" w:rsidR="009C1A5C" w:rsidRDefault="009C1A5C" w:rsidP="00265506"/>
                    <w:p w14:paraId="12D6DD11" w14:textId="77777777" w:rsidR="009C1A5C" w:rsidRDefault="009C1A5C" w:rsidP="00265506"/>
                    <w:p w14:paraId="57EB891A" w14:textId="77777777" w:rsidR="009C1A5C" w:rsidRDefault="009C1A5C" w:rsidP="00265506"/>
                    <w:p w14:paraId="01F77F91" w14:textId="77777777" w:rsidR="009C1A5C" w:rsidRDefault="009C1A5C" w:rsidP="00265506"/>
                    <w:p w14:paraId="0EE59E58" w14:textId="77777777" w:rsidR="009C1A5C" w:rsidRDefault="009C1A5C" w:rsidP="00265506"/>
                    <w:p w14:paraId="19F84015" w14:textId="77777777" w:rsidR="009C1A5C" w:rsidRDefault="009C1A5C" w:rsidP="00265506"/>
                    <w:p w14:paraId="63BF3341" w14:textId="77777777" w:rsidR="009C1A5C" w:rsidRDefault="009C1A5C" w:rsidP="00265506"/>
                    <w:p w14:paraId="391E2559" w14:textId="77777777" w:rsidR="009C1A5C" w:rsidRDefault="009C1A5C" w:rsidP="00265506">
                      <w:pPr>
                        <w:jc w:val="center"/>
                      </w:pPr>
                      <w:r>
                        <w:t>No Corner Testing Applicable</w:t>
                      </w:r>
                    </w:p>
                  </w:txbxContent>
                </v:textbox>
              </v:rect>
            </w:pict>
          </mc:Fallback>
        </mc:AlternateContent>
      </w:r>
      <w:r>
        <w:rPr>
          <w:noProof/>
        </w:rPr>
        <mc:AlternateContent>
          <mc:Choice Requires="wps">
            <w:drawing>
              <wp:anchor distT="0" distB="0" distL="114300" distR="114300" simplePos="0" relativeHeight="251575808" behindDoc="0" locked="0" layoutInCell="0" allowOverlap="1" wp14:anchorId="5B21D91B" wp14:editId="40F8AED9">
                <wp:simplePos x="0" y="0"/>
                <wp:positionH relativeFrom="column">
                  <wp:posOffset>1784985</wp:posOffset>
                </wp:positionH>
                <wp:positionV relativeFrom="paragraph">
                  <wp:posOffset>-106680</wp:posOffset>
                </wp:positionV>
                <wp:extent cx="2011680" cy="6764655"/>
                <wp:effectExtent l="13335" t="7620" r="13335" b="9525"/>
                <wp:wrapNone/>
                <wp:docPr id="3237" name="Rectangle 245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1680" cy="6764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DD8216" id="Rectangle 2459" o:spid="_x0000_s1026" alt="falling weight deflectometer testing" style="position:absolute;margin-left:140.55pt;margin-top:-8.4pt;width:158.4pt;height:532.65pt;z-index:2515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" o:allowincell="f"/>
            </w:pict>
          </mc:Fallback>
        </mc:AlternateContent>
      </w:r>
      <w:r>
        <w:rPr>
          <w:noProof/>
        </w:rPr>
        <mc:AlternateContent>
          <mc:Choice Requires="wps">
            <w:drawing>
              <wp:anchor distT="0" distB="0" distL="114300" distR="114300" simplePos="0" relativeHeight="251571712" behindDoc="0" locked="0" layoutInCell="0" allowOverlap="1" wp14:anchorId="6833F441" wp14:editId="2C2E48DE">
                <wp:simplePos x="0" y="0"/>
                <wp:positionH relativeFrom="column">
                  <wp:posOffset>-457200</wp:posOffset>
                </wp:positionH>
                <wp:positionV relativeFrom="paragraph">
                  <wp:posOffset>-104775</wp:posOffset>
                </wp:positionV>
                <wp:extent cx="2011680" cy="6751955"/>
                <wp:effectExtent l="9525" t="9525" r="7620" b="10795"/>
                <wp:wrapNone/>
                <wp:docPr id="3236" name="Rectangle 2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1680" cy="6751955"/>
                        </a:xfrm>
                        <a:prstGeom prst="rect">
                          <a:avLst/>
                        </a:prstGeom>
                        <a:solidFill>
                          <a:srgbClr val="FFFFFF"/>
                        </a:solidFill>
                        <a:ln w="9525">
                          <a:solidFill>
                            <a:srgbClr val="000000"/>
                          </a:solidFill>
                          <a:miter lim="800000"/>
                          <a:headEnd/>
                          <a:tailEnd/>
                        </a:ln>
                      </wps:spPr>
                      <wps:txbx>
                        <w:txbxContent>
                          <w:p w14:paraId="08D027E6" w14:textId="77777777" w:rsidR="009C1A5C" w:rsidRDefault="009C1A5C" w:rsidP="00265506"/>
                          <w:p w14:paraId="34974685" w14:textId="77777777" w:rsidR="009C1A5C" w:rsidRDefault="009C1A5C" w:rsidP="00265506"/>
                          <w:p w14:paraId="2A793D5A" w14:textId="77777777" w:rsidR="009C1A5C" w:rsidRDefault="009C1A5C" w:rsidP="00265506"/>
                          <w:p w14:paraId="083361CB" w14:textId="77777777" w:rsidR="009C1A5C" w:rsidRDefault="009C1A5C" w:rsidP="00265506"/>
                          <w:p w14:paraId="363B4FC9" w14:textId="77777777" w:rsidR="009C1A5C" w:rsidRDefault="009C1A5C" w:rsidP="00265506"/>
                          <w:p w14:paraId="1C709DD9" w14:textId="77777777" w:rsidR="009C1A5C" w:rsidRDefault="009C1A5C" w:rsidP="00265506"/>
                          <w:p w14:paraId="276460C8" w14:textId="77777777" w:rsidR="009C1A5C" w:rsidRDefault="009C1A5C" w:rsidP="00265506"/>
                          <w:p w14:paraId="50E18F0E" w14:textId="77777777" w:rsidR="009C1A5C" w:rsidRDefault="009C1A5C" w:rsidP="00265506"/>
                          <w:p w14:paraId="7839E0FA" w14:textId="77777777" w:rsidR="009C1A5C" w:rsidRDefault="009C1A5C" w:rsidP="00265506"/>
                          <w:p w14:paraId="5F78CF4E" w14:textId="77777777" w:rsidR="009C1A5C" w:rsidRDefault="009C1A5C" w:rsidP="00265506"/>
                          <w:p w14:paraId="38B5C02C" w14:textId="77777777" w:rsidR="009C1A5C" w:rsidRDefault="009C1A5C" w:rsidP="00265506"/>
                          <w:p w14:paraId="2F9A33D9" w14:textId="77777777" w:rsidR="009C1A5C" w:rsidRDefault="009C1A5C" w:rsidP="00265506"/>
                          <w:p w14:paraId="49C3D9D5" w14:textId="77777777" w:rsidR="009C1A5C" w:rsidRDefault="009C1A5C" w:rsidP="00265506"/>
                          <w:p w14:paraId="79889D96" w14:textId="77777777" w:rsidR="009C1A5C" w:rsidRDefault="009C1A5C" w:rsidP="00265506"/>
                          <w:p w14:paraId="09128233" w14:textId="77777777" w:rsidR="009C1A5C" w:rsidRDefault="009C1A5C" w:rsidP="00265506"/>
                          <w:p w14:paraId="26199800" w14:textId="77777777" w:rsidR="009C1A5C" w:rsidRDefault="009C1A5C" w:rsidP="00265506"/>
                          <w:p w14:paraId="3EE8F7B0" w14:textId="77777777" w:rsidR="009C1A5C" w:rsidRDefault="009C1A5C" w:rsidP="00265506"/>
                          <w:p w14:paraId="0A7303EA" w14:textId="77777777" w:rsidR="009C1A5C" w:rsidRDefault="009C1A5C" w:rsidP="00265506"/>
                          <w:p w14:paraId="7969EDD6" w14:textId="77777777" w:rsidR="009C1A5C" w:rsidRDefault="009C1A5C" w:rsidP="00265506"/>
                          <w:p w14:paraId="6FD63608" w14:textId="77777777" w:rsidR="009C1A5C" w:rsidRDefault="009C1A5C" w:rsidP="00265506"/>
                          <w:p w14:paraId="07E3C486" w14:textId="77777777" w:rsidR="009C1A5C" w:rsidRDefault="009C1A5C" w:rsidP="00265506"/>
                          <w:p w14:paraId="47F706A5" w14:textId="77777777" w:rsidR="009C1A5C" w:rsidRDefault="009C1A5C" w:rsidP="00265506"/>
                          <w:p w14:paraId="6AC6CA18" w14:textId="77777777" w:rsidR="009C1A5C" w:rsidRDefault="009C1A5C" w:rsidP="00265506"/>
                          <w:p w14:paraId="6743F8F9" w14:textId="77777777" w:rsidR="009C1A5C" w:rsidRDefault="009C1A5C" w:rsidP="00265506"/>
                          <w:p w14:paraId="35B344D8" w14:textId="77777777" w:rsidR="009C1A5C" w:rsidRDefault="009C1A5C" w:rsidP="00265506"/>
                          <w:p w14:paraId="3964EAE3" w14:textId="77777777" w:rsidR="009C1A5C" w:rsidRDefault="009C1A5C" w:rsidP="00265506"/>
                          <w:p w14:paraId="6F93C6D3" w14:textId="77777777" w:rsidR="009C1A5C" w:rsidRDefault="009C1A5C" w:rsidP="00265506"/>
                          <w:p w14:paraId="133F8DFB" w14:textId="77777777" w:rsidR="009C1A5C" w:rsidRDefault="009C1A5C" w:rsidP="00265506"/>
                          <w:p w14:paraId="08369D72" w14:textId="77777777" w:rsidR="009C1A5C" w:rsidRDefault="009C1A5C" w:rsidP="00265506"/>
                          <w:p w14:paraId="3242C7ED" w14:textId="77777777" w:rsidR="009C1A5C" w:rsidRDefault="009C1A5C" w:rsidP="00265506"/>
                          <w:p w14:paraId="46FC9AB3" w14:textId="77777777" w:rsidR="009C1A5C" w:rsidRDefault="009C1A5C" w:rsidP="00265506"/>
                          <w:p w14:paraId="63C7A96E" w14:textId="77777777" w:rsidR="009C1A5C" w:rsidRDefault="009C1A5C" w:rsidP="00265506"/>
                          <w:p w14:paraId="7DBBCA15" w14:textId="77777777" w:rsidR="009C1A5C" w:rsidRDefault="009C1A5C" w:rsidP="00265506"/>
                          <w:p w14:paraId="284481C4" w14:textId="77777777" w:rsidR="009C1A5C" w:rsidRDefault="009C1A5C" w:rsidP="00265506"/>
                          <w:p w14:paraId="6732F2AD" w14:textId="77777777" w:rsidR="009C1A5C" w:rsidRDefault="009C1A5C" w:rsidP="00265506"/>
                          <w:p w14:paraId="2894B2B6" w14:textId="77777777" w:rsidR="009C1A5C" w:rsidRDefault="009C1A5C" w:rsidP="00265506"/>
                          <w:p w14:paraId="6B98BE1D" w14:textId="77777777" w:rsidR="009C1A5C" w:rsidRDefault="009C1A5C" w:rsidP="00265506"/>
                          <w:p w14:paraId="5DC2621C" w14:textId="77777777" w:rsidR="009C1A5C" w:rsidRDefault="009C1A5C" w:rsidP="00265506"/>
                          <w:p w14:paraId="053AA484" w14:textId="77777777" w:rsidR="009C1A5C" w:rsidRDefault="009C1A5C" w:rsidP="00265506"/>
                          <w:p w14:paraId="35C61559" w14:textId="77777777" w:rsidR="009C1A5C" w:rsidRDefault="009C1A5C" w:rsidP="00265506">
                            <w:pPr>
                              <w:jc w:val="center"/>
                            </w:pPr>
                            <w:r>
                              <w:t>No Corner Testing Applicable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33F441" id="Rectangle 2455" o:spid="_x0000_s1029" style="position:absolute;left:0;text-align:left;margin-left:-36pt;margin-top:-8.25pt;width:158.4pt;height:531.65pt;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" o:allowincell="f">
                <v:textbox>
                  <w:txbxContent>
                    <w:p w14:paraId="08D027E6" w14:textId="77777777" w:rsidR="009C1A5C" w:rsidRDefault="009C1A5C" w:rsidP="00265506"/>
                    <w:p w14:paraId="34974685" w14:textId="77777777" w:rsidR="009C1A5C" w:rsidRDefault="009C1A5C" w:rsidP="00265506"/>
                    <w:p w14:paraId="2A793D5A" w14:textId="77777777" w:rsidR="009C1A5C" w:rsidRDefault="009C1A5C" w:rsidP="00265506"/>
                    <w:p w14:paraId="083361CB" w14:textId="77777777" w:rsidR="009C1A5C" w:rsidRDefault="009C1A5C" w:rsidP="00265506"/>
                    <w:p w14:paraId="363B4FC9" w14:textId="77777777" w:rsidR="009C1A5C" w:rsidRDefault="009C1A5C" w:rsidP="00265506"/>
                    <w:p w14:paraId="1C709DD9" w14:textId="77777777" w:rsidR="009C1A5C" w:rsidRDefault="009C1A5C" w:rsidP="00265506"/>
                    <w:p w14:paraId="276460C8" w14:textId="77777777" w:rsidR="009C1A5C" w:rsidRDefault="009C1A5C" w:rsidP="00265506"/>
                    <w:p w14:paraId="50E18F0E" w14:textId="77777777" w:rsidR="009C1A5C" w:rsidRDefault="009C1A5C" w:rsidP="00265506"/>
                    <w:p w14:paraId="7839E0FA" w14:textId="77777777" w:rsidR="009C1A5C" w:rsidRDefault="009C1A5C" w:rsidP="00265506"/>
                    <w:p w14:paraId="5F78CF4E" w14:textId="77777777" w:rsidR="009C1A5C" w:rsidRDefault="009C1A5C" w:rsidP="00265506"/>
                    <w:p w14:paraId="38B5C02C" w14:textId="77777777" w:rsidR="009C1A5C" w:rsidRDefault="009C1A5C" w:rsidP="00265506"/>
                    <w:p w14:paraId="2F9A33D9" w14:textId="77777777" w:rsidR="009C1A5C" w:rsidRDefault="009C1A5C" w:rsidP="00265506"/>
                    <w:p w14:paraId="49C3D9D5" w14:textId="77777777" w:rsidR="009C1A5C" w:rsidRDefault="009C1A5C" w:rsidP="00265506"/>
                    <w:p w14:paraId="79889D96" w14:textId="77777777" w:rsidR="009C1A5C" w:rsidRDefault="009C1A5C" w:rsidP="00265506"/>
                    <w:p w14:paraId="09128233" w14:textId="77777777" w:rsidR="009C1A5C" w:rsidRDefault="009C1A5C" w:rsidP="00265506"/>
                    <w:p w14:paraId="26199800" w14:textId="77777777" w:rsidR="009C1A5C" w:rsidRDefault="009C1A5C" w:rsidP="00265506"/>
                    <w:p w14:paraId="3EE8F7B0" w14:textId="77777777" w:rsidR="009C1A5C" w:rsidRDefault="009C1A5C" w:rsidP="00265506"/>
                    <w:p w14:paraId="0A7303EA" w14:textId="77777777" w:rsidR="009C1A5C" w:rsidRDefault="009C1A5C" w:rsidP="00265506"/>
                    <w:p w14:paraId="7969EDD6" w14:textId="77777777" w:rsidR="009C1A5C" w:rsidRDefault="009C1A5C" w:rsidP="00265506"/>
                    <w:p w14:paraId="6FD63608" w14:textId="77777777" w:rsidR="009C1A5C" w:rsidRDefault="009C1A5C" w:rsidP="00265506"/>
                    <w:p w14:paraId="07E3C486" w14:textId="77777777" w:rsidR="009C1A5C" w:rsidRDefault="009C1A5C" w:rsidP="00265506"/>
                    <w:p w14:paraId="47F706A5" w14:textId="77777777" w:rsidR="009C1A5C" w:rsidRDefault="009C1A5C" w:rsidP="00265506"/>
                    <w:p w14:paraId="6AC6CA18" w14:textId="77777777" w:rsidR="009C1A5C" w:rsidRDefault="009C1A5C" w:rsidP="00265506"/>
                    <w:p w14:paraId="6743F8F9" w14:textId="77777777" w:rsidR="009C1A5C" w:rsidRDefault="009C1A5C" w:rsidP="00265506"/>
                    <w:p w14:paraId="35B344D8" w14:textId="77777777" w:rsidR="009C1A5C" w:rsidRDefault="009C1A5C" w:rsidP="00265506"/>
                    <w:p w14:paraId="3964EAE3" w14:textId="77777777" w:rsidR="009C1A5C" w:rsidRDefault="009C1A5C" w:rsidP="00265506"/>
                    <w:p w14:paraId="6F93C6D3" w14:textId="77777777" w:rsidR="009C1A5C" w:rsidRDefault="009C1A5C" w:rsidP="00265506"/>
                    <w:p w14:paraId="133F8DFB" w14:textId="77777777" w:rsidR="009C1A5C" w:rsidRDefault="009C1A5C" w:rsidP="00265506"/>
                    <w:p w14:paraId="08369D72" w14:textId="77777777" w:rsidR="009C1A5C" w:rsidRDefault="009C1A5C" w:rsidP="00265506"/>
                    <w:p w14:paraId="3242C7ED" w14:textId="77777777" w:rsidR="009C1A5C" w:rsidRDefault="009C1A5C" w:rsidP="00265506"/>
                    <w:p w14:paraId="46FC9AB3" w14:textId="77777777" w:rsidR="009C1A5C" w:rsidRDefault="009C1A5C" w:rsidP="00265506"/>
                    <w:p w14:paraId="63C7A96E" w14:textId="77777777" w:rsidR="009C1A5C" w:rsidRDefault="009C1A5C" w:rsidP="00265506"/>
                    <w:p w14:paraId="7DBBCA15" w14:textId="77777777" w:rsidR="009C1A5C" w:rsidRDefault="009C1A5C" w:rsidP="00265506"/>
                    <w:p w14:paraId="284481C4" w14:textId="77777777" w:rsidR="009C1A5C" w:rsidRDefault="009C1A5C" w:rsidP="00265506"/>
                    <w:p w14:paraId="6732F2AD" w14:textId="77777777" w:rsidR="009C1A5C" w:rsidRDefault="009C1A5C" w:rsidP="00265506"/>
                    <w:p w14:paraId="2894B2B6" w14:textId="77777777" w:rsidR="009C1A5C" w:rsidRDefault="009C1A5C" w:rsidP="00265506"/>
                    <w:p w14:paraId="6B98BE1D" w14:textId="77777777" w:rsidR="009C1A5C" w:rsidRDefault="009C1A5C" w:rsidP="00265506"/>
                    <w:p w14:paraId="5DC2621C" w14:textId="77777777" w:rsidR="009C1A5C" w:rsidRDefault="009C1A5C" w:rsidP="00265506"/>
                    <w:p w14:paraId="053AA484" w14:textId="77777777" w:rsidR="009C1A5C" w:rsidRDefault="009C1A5C" w:rsidP="00265506"/>
                    <w:p w14:paraId="35C61559" w14:textId="77777777" w:rsidR="009C1A5C" w:rsidRDefault="009C1A5C" w:rsidP="00265506">
                      <w:pPr>
                        <w:jc w:val="center"/>
                      </w:pPr>
                      <w:r>
                        <w:t>No Corner Testing Applicable</w:t>
                      </w:r>
                    </w:p>
                  </w:txbxContent>
                </v:textbox>
              </v:rect>
            </w:pict>
          </mc:Fallback>
        </mc:AlternateContent>
      </w:r>
      <w:r>
        <w:rPr>
          <w:noProof/>
        </w:rPr>
        <mc:AlternateContent>
          <mc:Choice Requires="wps">
            <w:drawing>
              <wp:anchor distT="0" distB="0" distL="114300" distR="114300" simplePos="0" relativeHeight="251593216" behindDoc="0" locked="0" layoutInCell="0" allowOverlap="1" wp14:anchorId="06AE2BAB" wp14:editId="240FFEE0">
                <wp:simplePos x="0" y="0"/>
                <wp:positionH relativeFrom="column">
                  <wp:posOffset>4127500</wp:posOffset>
                </wp:positionH>
                <wp:positionV relativeFrom="paragraph">
                  <wp:posOffset>3357245</wp:posOffset>
                </wp:positionV>
                <wp:extent cx="1993900" cy="96520"/>
                <wp:effectExtent l="12700" t="13970" r="12700" b="13335"/>
                <wp:wrapNone/>
                <wp:docPr id="3235" name="Freeform 247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3900" cy="96520"/>
                        </a:xfrm>
                        <a:custGeom>
                          <a:avLst/>
                          <a:gdLst>
                            <a:gd name="T0" fmla="*/ 0 w 3140"/>
                            <a:gd name="T1" fmla="*/ 80 h 152"/>
                            <a:gd name="T2" fmla="*/ 280 w 3140"/>
                            <a:gd name="T3" fmla="*/ 0 h 152"/>
                            <a:gd name="T4" fmla="*/ 660 w 3140"/>
                            <a:gd name="T5" fmla="*/ 80 h 152"/>
                            <a:gd name="T6" fmla="*/ 1340 w 3140"/>
                            <a:gd name="T7" fmla="*/ 100 h 152"/>
                            <a:gd name="T8" fmla="*/ 3140 w 3140"/>
                            <a:gd name="T9" fmla="*/ 120 h 152"/>
                          </a:gdLst>
                          <a:ahLst/>
                          <a:cxnLst>
                            <a:cxn ang="0">
                              <a:pos x="T0" y="T1"/>
                            </a:cxn>
                            <a:cxn ang="0">
                              <a:pos x="T2" y="T3"/>
                            </a:cxn>
                            <a:cxn ang="0">
                              <a:pos x="T4" y="T5"/>
                            </a:cxn>
                            <a:cxn ang="0">
                              <a:pos x="T6" y="T7"/>
                            </a:cxn>
                            <a:cxn ang="0">
                              <a:pos x="T8" y="T9"/>
                            </a:cxn>
                          </a:cxnLst>
                          <a:rect l="0" t="0" r="r" b="b"/>
                          <a:pathLst>
                            <a:path w="3140" h="152">
                              <a:moveTo>
                                <a:pt x="0" y="80"/>
                              </a:moveTo>
                              <a:cubicBezTo>
                                <a:pt x="92" y="49"/>
                                <a:pt x="188" y="31"/>
                                <a:pt x="280" y="0"/>
                              </a:cubicBezTo>
                              <a:cubicBezTo>
                                <a:pt x="427" y="16"/>
                                <a:pt x="523" y="34"/>
                                <a:pt x="660" y="80"/>
                              </a:cubicBezTo>
                              <a:cubicBezTo>
                                <a:pt x="875" y="152"/>
                                <a:pt x="1113" y="96"/>
                                <a:pt x="1340" y="100"/>
                              </a:cubicBezTo>
                              <a:cubicBezTo>
                                <a:pt x="2538" y="121"/>
                                <a:pt x="2482" y="120"/>
                                <a:pt x="3140" y="1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0E71F2" id="Freeform 2476" o:spid="_x0000_s1026" alt="falling weight deflectometer testing" style="position:absolute;margin-left:325pt;margin-top:264.35pt;width:157pt;height:7.6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40,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" o:allowincell="f" path="m,80c92,49,188,31,280,,427,16,523,34,660,80v215,72,453,16,680,20c2538,121,2482,120,3140,120e" filled="f">
                <v:path arrowok="t" o:connecttype="custom" o:connectlocs="0,50800;177800,0;419100,50800;850900,63500;1993900,76200" o:connectangles="0,0,0,0,0"/>
              </v:shape>
            </w:pict>
          </mc:Fallback>
        </mc:AlternateContent>
      </w:r>
      <w:r>
        <w:rPr>
          <w:noProof/>
        </w:rPr>
        <mc:AlternateContent>
          <mc:Choice Requires="wps">
            <w:drawing>
              <wp:anchor distT="0" distB="0" distL="114300" distR="114300" simplePos="0" relativeHeight="251592192" behindDoc="0" locked="0" layoutInCell="0" allowOverlap="1" wp14:anchorId="107F192A" wp14:editId="7B8FEEB3">
                <wp:simplePos x="0" y="0"/>
                <wp:positionH relativeFrom="column">
                  <wp:posOffset>4114800</wp:posOffset>
                </wp:positionH>
                <wp:positionV relativeFrom="paragraph">
                  <wp:posOffset>424815</wp:posOffset>
                </wp:positionV>
                <wp:extent cx="1981200" cy="90805"/>
                <wp:effectExtent l="9525" t="15240" r="9525" b="8255"/>
                <wp:wrapNone/>
                <wp:docPr id="3233" name="Freeform 2475"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81200" cy="90805"/>
                        </a:xfrm>
                        <a:custGeom>
                          <a:avLst/>
                          <a:gdLst>
                            <a:gd name="T0" fmla="*/ 0 w 3100"/>
                            <a:gd name="T1" fmla="*/ 20 h 105"/>
                            <a:gd name="T2" fmla="*/ 460 w 3100"/>
                            <a:gd name="T3" fmla="*/ 80 h 105"/>
                            <a:gd name="T4" fmla="*/ 660 w 3100"/>
                            <a:gd name="T5" fmla="*/ 20 h 105"/>
                            <a:gd name="T6" fmla="*/ 720 w 3100"/>
                            <a:gd name="T7" fmla="*/ 0 h 105"/>
                            <a:gd name="T8" fmla="*/ 1000 w 3100"/>
                            <a:gd name="T9" fmla="*/ 60 h 105"/>
                            <a:gd name="T10" fmla="*/ 1320 w 3100"/>
                            <a:gd name="T11" fmla="*/ 40 h 105"/>
                            <a:gd name="T12" fmla="*/ 1440 w 3100"/>
                            <a:gd name="T13" fmla="*/ 0 h 105"/>
                            <a:gd name="T14" fmla="*/ 1780 w 3100"/>
                            <a:gd name="T15" fmla="*/ 60 h 105"/>
                            <a:gd name="T16" fmla="*/ 2360 w 3100"/>
                            <a:gd name="T17" fmla="*/ 40 h 105"/>
                            <a:gd name="T18" fmla="*/ 2420 w 3100"/>
                            <a:gd name="T19" fmla="*/ 20 h 105"/>
                            <a:gd name="T20" fmla="*/ 2680 w 3100"/>
                            <a:gd name="T21" fmla="*/ 60 h 105"/>
                            <a:gd name="T22" fmla="*/ 2840 w 3100"/>
                            <a:gd name="T23" fmla="*/ 100 h 105"/>
                            <a:gd name="T24" fmla="*/ 3100 w 3100"/>
                            <a:gd name="T25" fmla="*/ 8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100" h="105">
                              <a:moveTo>
                                <a:pt x="0" y="20"/>
                              </a:moveTo>
                              <a:cubicBezTo>
                                <a:pt x="394" y="64"/>
                                <a:pt x="242" y="36"/>
                                <a:pt x="460" y="80"/>
                              </a:cubicBezTo>
                              <a:cubicBezTo>
                                <a:pt x="581" y="50"/>
                                <a:pt x="514" y="69"/>
                                <a:pt x="660" y="20"/>
                              </a:cubicBezTo>
                              <a:cubicBezTo>
                                <a:pt x="680" y="13"/>
                                <a:pt x="720" y="0"/>
                                <a:pt x="720" y="0"/>
                              </a:cubicBezTo>
                              <a:cubicBezTo>
                                <a:pt x="919" y="50"/>
                                <a:pt x="826" y="31"/>
                                <a:pt x="1000" y="60"/>
                              </a:cubicBezTo>
                              <a:cubicBezTo>
                                <a:pt x="1107" y="53"/>
                                <a:pt x="1214" y="54"/>
                                <a:pt x="1320" y="40"/>
                              </a:cubicBezTo>
                              <a:cubicBezTo>
                                <a:pt x="1362" y="34"/>
                                <a:pt x="1440" y="0"/>
                                <a:pt x="1440" y="0"/>
                              </a:cubicBezTo>
                              <a:cubicBezTo>
                                <a:pt x="1565" y="31"/>
                                <a:pt x="1641" y="46"/>
                                <a:pt x="1780" y="60"/>
                              </a:cubicBezTo>
                              <a:cubicBezTo>
                                <a:pt x="1973" y="53"/>
                                <a:pt x="2167" y="52"/>
                                <a:pt x="2360" y="40"/>
                              </a:cubicBezTo>
                              <a:cubicBezTo>
                                <a:pt x="2381" y="39"/>
                                <a:pt x="2399" y="20"/>
                                <a:pt x="2420" y="20"/>
                              </a:cubicBezTo>
                              <a:cubicBezTo>
                                <a:pt x="2508" y="20"/>
                                <a:pt x="2593" y="50"/>
                                <a:pt x="2680" y="60"/>
                              </a:cubicBezTo>
                              <a:cubicBezTo>
                                <a:pt x="2733" y="73"/>
                                <a:pt x="2785" y="105"/>
                                <a:pt x="2840" y="100"/>
                              </a:cubicBezTo>
                              <a:cubicBezTo>
                                <a:pt x="3073" y="79"/>
                                <a:pt x="2986" y="80"/>
                                <a:pt x="3100" y="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BA8107" id="Freeform 2475" o:spid="_x0000_s1026" alt="falling weight deflectometer testing" style="position:absolute;margin-left:324pt;margin-top:33.45pt;width:156pt;height:7.15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00,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" o:allowincell="f" path="m,20c394,64,242,36,460,80,581,50,514,69,660,20,680,13,720,,720,v199,50,106,31,280,60c1107,53,1214,54,1320,40,1362,34,1440,,1440,v125,31,201,46,340,60c1973,53,2167,52,2360,40v21,-1,39,-20,60,-20c2508,20,2593,50,2680,60v53,13,105,45,160,40c3073,79,2986,80,3100,80e" filled="f">
                <v:path arrowok="t" o:connecttype="custom" o:connectlocs="0,17296;293985,69185;421804,17296;460150,0;639097,51889;843608,34592;920299,0;1137592,51889;1508268,34592;1546614,17296;1712779,51889;1815035,86481;1981200,69185" o:connectangles="0,0,0,0,0,0,0,0,0,0,0,0,0"/>
              </v:shape>
            </w:pict>
          </mc:Fallback>
        </mc:AlternateContent>
      </w:r>
      <w:r>
        <w:rPr>
          <w:noProof/>
        </w:rPr>
        <mc:AlternateContent>
          <mc:Choice Requires="wps">
            <w:drawing>
              <wp:anchor distT="0" distB="0" distL="114300" distR="114300" simplePos="0" relativeHeight="251591168" behindDoc="0" locked="0" layoutInCell="0" allowOverlap="1" wp14:anchorId="342AF7A6" wp14:editId="38106B5B">
                <wp:simplePos x="0" y="0"/>
                <wp:positionH relativeFrom="column">
                  <wp:posOffset>5519420</wp:posOffset>
                </wp:positionH>
                <wp:positionV relativeFrom="paragraph">
                  <wp:posOffset>3159760</wp:posOffset>
                </wp:positionV>
                <wp:extent cx="3810" cy="662940"/>
                <wp:effectExtent l="52070" t="16510" r="58420" b="6350"/>
                <wp:wrapNone/>
                <wp:docPr id="3232" name="Freeform 247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1B512100" id="Freeform 2474" o:spid="_x0000_s1026" alt="falling weight deflectometer testing" style="position:absolute;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34.6pt,301pt,434.9pt,248.8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90144" behindDoc="0" locked="0" layoutInCell="0" allowOverlap="1" wp14:anchorId="080CA308" wp14:editId="585917E9">
                <wp:simplePos x="0" y="0"/>
                <wp:positionH relativeFrom="column">
                  <wp:posOffset>4551680</wp:posOffset>
                </wp:positionH>
                <wp:positionV relativeFrom="paragraph">
                  <wp:posOffset>3172460</wp:posOffset>
                </wp:positionV>
                <wp:extent cx="0" cy="731520"/>
                <wp:effectExtent l="55880" t="10160" r="58420" b="20320"/>
                <wp:wrapNone/>
                <wp:docPr id="3231" name="Line 247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F18CEE" id="Line 2473" o:spid="_x0000_s1026" alt="falling weight deflectometer testing" style="position:absolute;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8.4pt,249.8pt" to="358.4pt,30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" o:allowincell="f">
                <v:stroke endarrow="block"/>
              </v:line>
            </w:pict>
          </mc:Fallback>
        </mc:AlternateContent>
      </w:r>
      <w:r>
        <w:rPr>
          <w:noProof/>
        </w:rPr>
        <mc:AlternateContent>
          <mc:Choice Requires="wps">
            <w:drawing>
              <wp:anchor distT="0" distB="0" distL="114300" distR="114300" simplePos="0" relativeHeight="251587072" behindDoc="0" locked="0" layoutInCell="0" allowOverlap="1" wp14:anchorId="42F6859E" wp14:editId="6142F56A">
                <wp:simplePos x="0" y="0"/>
                <wp:positionH relativeFrom="column">
                  <wp:posOffset>1790700</wp:posOffset>
                </wp:positionH>
                <wp:positionV relativeFrom="paragraph">
                  <wp:posOffset>461645</wp:posOffset>
                </wp:positionV>
                <wp:extent cx="2006600" cy="0"/>
                <wp:effectExtent l="9525" t="13970" r="12700" b="5080"/>
                <wp:wrapNone/>
                <wp:docPr id="3230" name="Line 247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EDFA18" id="Line 2470" o:spid="_x0000_s1026" alt="falling weight deflectometer testing" style="position:absolute;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36.35pt" to="299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" o:allowincell="f"/>
            </w:pict>
          </mc:Fallback>
        </mc:AlternateContent>
      </w:r>
      <w:r>
        <w:rPr>
          <w:noProof/>
        </w:rPr>
        <mc:AlternateContent>
          <mc:Choice Requires="wps">
            <w:drawing>
              <wp:anchor distT="0" distB="0" distL="114300" distR="114300" simplePos="0" relativeHeight="251586048" behindDoc="0" locked="0" layoutInCell="0" allowOverlap="1" wp14:anchorId="32D6A5D1" wp14:editId="509DC8BA">
                <wp:simplePos x="0" y="0"/>
                <wp:positionH relativeFrom="column">
                  <wp:posOffset>1790700</wp:posOffset>
                </wp:positionH>
                <wp:positionV relativeFrom="paragraph">
                  <wp:posOffset>1833245</wp:posOffset>
                </wp:positionV>
                <wp:extent cx="2006600" cy="0"/>
                <wp:effectExtent l="9525" t="13970" r="12700" b="5080"/>
                <wp:wrapNone/>
                <wp:docPr id="3229" name="Line 246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351A2F" id="Line 2469" o:spid="_x0000_s1026" alt="falling weight deflectometer testing" style="position:absolute;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144.35pt" to="299pt,1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" o:allowincell="f"/>
            </w:pict>
          </mc:Fallback>
        </mc:AlternateContent>
      </w:r>
      <w:r>
        <w:rPr>
          <w:noProof/>
        </w:rPr>
        <mc:AlternateContent>
          <mc:Choice Requires="wps">
            <w:drawing>
              <wp:anchor distT="0" distB="0" distL="114300" distR="114300" simplePos="0" relativeHeight="251585024" behindDoc="0" locked="0" layoutInCell="0" allowOverlap="1" wp14:anchorId="0213895E" wp14:editId="058E8352">
                <wp:simplePos x="0" y="0"/>
                <wp:positionH relativeFrom="column">
                  <wp:posOffset>1790700</wp:posOffset>
                </wp:positionH>
                <wp:positionV relativeFrom="paragraph">
                  <wp:posOffset>3369945</wp:posOffset>
                </wp:positionV>
                <wp:extent cx="2006600" cy="0"/>
                <wp:effectExtent l="9525" t="7620" r="12700" b="11430"/>
                <wp:wrapNone/>
                <wp:docPr id="3228" name="Line 2468"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AF4D66" id="Line 2468" o:spid="_x0000_s1026" alt="falling weight deflectometer testing" style="position:absolute;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265.35pt" to="299pt,26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" o:allowincell="f"/>
            </w:pict>
          </mc:Fallback>
        </mc:AlternateContent>
      </w:r>
      <w:r>
        <w:rPr>
          <w:noProof/>
        </w:rPr>
        <mc:AlternateContent>
          <mc:Choice Requires="wps">
            <w:drawing>
              <wp:anchor distT="0" distB="0" distL="114300" distR="114300" simplePos="0" relativeHeight="251584000" behindDoc="0" locked="0" layoutInCell="0" allowOverlap="1" wp14:anchorId="31E0E56C" wp14:editId="77F05669">
                <wp:simplePos x="0" y="0"/>
                <wp:positionH relativeFrom="column">
                  <wp:posOffset>1790700</wp:posOffset>
                </wp:positionH>
                <wp:positionV relativeFrom="paragraph">
                  <wp:posOffset>5274945</wp:posOffset>
                </wp:positionV>
                <wp:extent cx="2006600" cy="0"/>
                <wp:effectExtent l="9525" t="7620" r="12700" b="11430"/>
                <wp:wrapNone/>
                <wp:docPr id="3227" name="Line 246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D04835" id="Line 2467" o:spid="_x0000_s1026" alt="falling weight deflectometer testing" style="position:absolute;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415.35pt" to="299pt,4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Xp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" o:allowincell="f"/>
            </w:pict>
          </mc:Fallback>
        </mc:AlternateContent>
      </w:r>
      <w:r>
        <w:rPr>
          <w:noProof/>
        </w:rPr>
        <mc:AlternateContent>
          <mc:Choice Requires="wps">
            <w:drawing>
              <wp:anchor distT="0" distB="0" distL="114300" distR="114300" simplePos="0" relativeHeight="251578880" behindDoc="0" locked="0" layoutInCell="0" allowOverlap="1" wp14:anchorId="4F43B758" wp14:editId="79AA67DB">
                <wp:simplePos x="0" y="0"/>
                <wp:positionH relativeFrom="column">
                  <wp:posOffset>3208020</wp:posOffset>
                </wp:positionH>
                <wp:positionV relativeFrom="paragraph">
                  <wp:posOffset>3172460</wp:posOffset>
                </wp:positionV>
                <wp:extent cx="3810" cy="662940"/>
                <wp:effectExtent l="55245" t="19685" r="55245" b="12700"/>
                <wp:wrapNone/>
                <wp:docPr id="3226" name="Freeform 246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367B4BB0" id="Freeform 2462" o:spid="_x0000_s1026" alt="falling weight deflectometer testing" style="position:absolute;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52.6pt,302pt,252.9pt,249.8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77856" behindDoc="0" locked="0" layoutInCell="0" allowOverlap="1" wp14:anchorId="15875C00" wp14:editId="76CD2972">
                <wp:simplePos x="0" y="0"/>
                <wp:positionH relativeFrom="column">
                  <wp:posOffset>2240280</wp:posOffset>
                </wp:positionH>
                <wp:positionV relativeFrom="paragraph">
                  <wp:posOffset>3185160</wp:posOffset>
                </wp:positionV>
                <wp:extent cx="0" cy="731520"/>
                <wp:effectExtent l="59055" t="13335" r="55245" b="17145"/>
                <wp:wrapNone/>
                <wp:docPr id="3225" name="Line 2461"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D37D68" id="Line 2461" o:spid="_x0000_s1026" alt="falling weight deflectometer testing" style="position:absolute;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6.4pt,250.8pt" to="176.4pt,30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" o:allowincell="f">
                <v:stroke endarrow="block"/>
              </v:line>
            </w:pict>
          </mc:Fallback>
        </mc:AlternateContent>
      </w:r>
      <w:r>
        <w:rPr>
          <w:noProof/>
        </w:rPr>
        <mc:AlternateContent>
          <mc:Choice Requires="wps">
            <w:drawing>
              <wp:anchor distT="0" distB="0" distL="114300" distR="114300" simplePos="0" relativeHeight="251574784" behindDoc="0" locked="0" layoutInCell="0" allowOverlap="1" wp14:anchorId="4F2A72D5" wp14:editId="4256680A">
                <wp:simplePos x="0" y="0"/>
                <wp:positionH relativeFrom="column">
                  <wp:posOffset>940435</wp:posOffset>
                </wp:positionH>
                <wp:positionV relativeFrom="paragraph">
                  <wp:posOffset>3237865</wp:posOffset>
                </wp:positionV>
                <wp:extent cx="3810" cy="662940"/>
                <wp:effectExtent l="54610" t="18415" r="55880" b="13970"/>
                <wp:wrapNone/>
                <wp:docPr id="3224" name="Freeform 2458"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0" cy="662940"/>
                        </a:xfrm>
                        <a:custGeom>
                          <a:avLst/>
                          <a:gdLst>
                            <a:gd name="T0" fmla="*/ 0 w 6"/>
                            <a:gd name="T1" fmla="*/ 1044 h 1044"/>
                            <a:gd name="T2" fmla="*/ 6 w 6"/>
                            <a:gd name="T3" fmla="*/ 0 h 1044"/>
                          </a:gdLst>
                          <a:ahLst/>
                          <a:cxnLst>
                            <a:cxn ang="0">
                              <a:pos x="T0" y="T1"/>
                            </a:cxn>
                            <a:cxn ang="0">
                              <a:pos x="T2" y="T3"/>
                            </a:cxn>
                          </a:cxnLst>
                          <a:rect l="0" t="0" r="r" b="b"/>
                          <a:pathLst>
                            <a:path w="6" h="1044">
                              <a:moveTo>
                                <a:pt x="0" y="1044"/>
                              </a:moveTo>
                              <a:lnTo>
                                <a:pt x="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298BC9DA" id="Freeform 2458" o:spid="_x0000_s1026" alt="falling weight deflectometer testing" style="position:absolute;z-index:2515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74.05pt,307.15pt,74.35pt,254.95pt" coordsize="6,1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" o:allowincell="f" filled="f">
                <v:stroke endarrow="block"/>
                <v:path arrowok="t" o:connecttype="custom" o:connectlocs="0,662940;3810,0" o:connectangles="0,0"/>
              </v:polyline>
            </w:pict>
          </mc:Fallback>
        </mc:AlternateContent>
      </w:r>
      <w:r>
        <w:rPr>
          <w:noProof/>
        </w:rPr>
        <mc:AlternateContent>
          <mc:Choice Requires="wps">
            <w:drawing>
              <wp:anchor distT="0" distB="0" distL="114300" distR="114300" simplePos="0" relativeHeight="251573760" behindDoc="0" locked="0" layoutInCell="0" allowOverlap="1" wp14:anchorId="2BE64B16" wp14:editId="0795A2DE">
                <wp:simplePos x="0" y="0"/>
                <wp:positionH relativeFrom="column">
                  <wp:posOffset>74295</wp:posOffset>
                </wp:positionH>
                <wp:positionV relativeFrom="paragraph">
                  <wp:posOffset>3250565</wp:posOffset>
                </wp:positionV>
                <wp:extent cx="0" cy="731520"/>
                <wp:effectExtent l="55245" t="12065" r="59055" b="18415"/>
                <wp:wrapNone/>
                <wp:docPr id="3223" name="Line 2457"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FA3E80" id="Line 2457" o:spid="_x0000_s1026" alt="falling weight deflectometer testing" style="position:absolute;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5pt,255.95pt" to="5.85pt,3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" o:allowincell="f">
                <v:stroke endarrow="block"/>
              </v:line>
            </w:pict>
          </mc:Fallback>
        </mc:AlternateContent>
      </w:r>
    </w:p>
    <w:p w14:paraId="032598E1" w14:textId="1E4EFB91"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99360" behindDoc="0" locked="0" layoutInCell="0" allowOverlap="1" wp14:anchorId="4608E473" wp14:editId="19713E60">
                <wp:simplePos x="0" y="0"/>
                <wp:positionH relativeFrom="column">
                  <wp:posOffset>3591560</wp:posOffset>
                </wp:positionH>
                <wp:positionV relativeFrom="paragraph">
                  <wp:posOffset>29845</wp:posOffset>
                </wp:positionV>
                <wp:extent cx="182880" cy="182880"/>
                <wp:effectExtent l="10160" t="9525" r="6985" b="7620"/>
                <wp:wrapNone/>
                <wp:docPr id="3222" name="Oval 2482"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855A4E9" id="Oval 2482" o:spid="_x0000_s1026" alt="falling weight deflectometer testing" style="position:absolute;margin-left:282.8pt;margin-top:2.35pt;width:14.4pt;height:14.4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" o:allowincell="f"/>
            </w:pict>
          </mc:Fallback>
        </mc:AlternateContent>
      </w:r>
    </w:p>
    <w:p w14:paraId="5466A65C" w14:textId="6CA0F7D0"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98336" behindDoc="0" locked="0" layoutInCell="0" allowOverlap="1" wp14:anchorId="16149D59" wp14:editId="5334F437">
                <wp:simplePos x="0" y="0"/>
                <wp:positionH relativeFrom="column">
                  <wp:posOffset>1813560</wp:posOffset>
                </wp:positionH>
                <wp:positionV relativeFrom="paragraph">
                  <wp:posOffset>-3810</wp:posOffset>
                </wp:positionV>
                <wp:extent cx="182880" cy="182880"/>
                <wp:effectExtent l="13335" t="12700" r="13335" b="13970"/>
                <wp:wrapNone/>
                <wp:docPr id="3221" name="Oval 2481"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97CDE49" id="Oval 2481" o:spid="_x0000_s1026" alt="falling weight deflectometer testing" style="position:absolute;margin-left:142.8pt;margin-top:-.3pt;width:14.4pt;height:14.4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" o:allowincell="f"/>
            </w:pict>
          </mc:Fallback>
        </mc:AlternateContent>
      </w:r>
    </w:p>
    <w:p w14:paraId="0109013A" w14:textId="77777777" w:rsidR="00265506" w:rsidRDefault="00265506" w:rsidP="00BE3F24">
      <w:pPr>
        <w:pStyle w:val="ListNumber"/>
        <w:tabs>
          <w:tab w:val="clear" w:pos="720"/>
          <w:tab w:val="clear" w:pos="1872"/>
        </w:tabs>
        <w:ind w:left="0" w:firstLine="0"/>
        <w:jc w:val="both"/>
      </w:pPr>
    </w:p>
    <w:p w14:paraId="5180C478" w14:textId="77777777" w:rsidR="00265506" w:rsidRDefault="00265506" w:rsidP="00BE3F24">
      <w:pPr>
        <w:pStyle w:val="ListNumber"/>
        <w:tabs>
          <w:tab w:val="clear" w:pos="720"/>
          <w:tab w:val="clear" w:pos="1872"/>
        </w:tabs>
        <w:ind w:left="0" w:firstLine="0"/>
        <w:jc w:val="both"/>
      </w:pPr>
    </w:p>
    <w:p w14:paraId="53FE047D" w14:textId="77777777" w:rsidR="00265506" w:rsidRDefault="00265506" w:rsidP="00BE3F24">
      <w:pPr>
        <w:pStyle w:val="ListNumber"/>
        <w:tabs>
          <w:tab w:val="clear" w:pos="720"/>
          <w:tab w:val="clear" w:pos="1872"/>
        </w:tabs>
        <w:ind w:left="0" w:firstLine="0"/>
        <w:jc w:val="both"/>
      </w:pPr>
    </w:p>
    <w:p w14:paraId="52FF0CFF" w14:textId="0047B38F"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79904" behindDoc="0" locked="0" layoutInCell="0" allowOverlap="1" wp14:anchorId="045F863C" wp14:editId="0DAF052D">
                <wp:simplePos x="0" y="0"/>
                <wp:positionH relativeFrom="column">
                  <wp:posOffset>3594100</wp:posOffset>
                </wp:positionH>
                <wp:positionV relativeFrom="paragraph">
                  <wp:posOffset>219710</wp:posOffset>
                </wp:positionV>
                <wp:extent cx="182880" cy="182880"/>
                <wp:effectExtent l="12700" t="12065" r="13970" b="5080"/>
                <wp:wrapNone/>
                <wp:docPr id="3219" name="Oval 2463"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97B68CA" id="Oval 2463" o:spid="_x0000_s1026" alt="falling weight deflectometer testing" style="position:absolute;margin-left:283pt;margin-top:17.3pt;width:14.4pt;height:14.4pt;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" o:allowincell="f"/>
            </w:pict>
          </mc:Fallback>
        </mc:AlternateContent>
      </w:r>
    </w:p>
    <w:p w14:paraId="1DA26775" w14:textId="1B857B1A"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80928" behindDoc="0" locked="0" layoutInCell="0" allowOverlap="1" wp14:anchorId="185DDB6A" wp14:editId="074BE5BB">
                <wp:simplePos x="0" y="0"/>
                <wp:positionH relativeFrom="column">
                  <wp:posOffset>1813560</wp:posOffset>
                </wp:positionH>
                <wp:positionV relativeFrom="paragraph">
                  <wp:posOffset>183515</wp:posOffset>
                </wp:positionV>
                <wp:extent cx="182880" cy="182880"/>
                <wp:effectExtent l="13335" t="12700" r="13335" b="13970"/>
                <wp:wrapNone/>
                <wp:docPr id="3218" name="Oval 2464"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3BA117D" id="Oval 2464" o:spid="_x0000_s1026" alt="falling weight deflectometer testing" style="position:absolute;margin-left:142.8pt;margin-top:14.45pt;width:14.4pt;height:14.4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" o:allowincell="f"/>
            </w:pict>
          </mc:Fallback>
        </mc:AlternateContent>
      </w:r>
    </w:p>
    <w:p w14:paraId="7A67BEA7" w14:textId="77777777" w:rsidR="00265506" w:rsidRDefault="00265506" w:rsidP="00BE3F24">
      <w:pPr>
        <w:pStyle w:val="ListNumber"/>
        <w:tabs>
          <w:tab w:val="clear" w:pos="720"/>
          <w:tab w:val="clear" w:pos="1872"/>
        </w:tabs>
        <w:ind w:left="0" w:firstLine="0"/>
        <w:jc w:val="both"/>
      </w:pPr>
    </w:p>
    <w:p w14:paraId="790A13FC" w14:textId="77777777" w:rsidR="00265506" w:rsidRDefault="00265506" w:rsidP="00BE3F24">
      <w:pPr>
        <w:pStyle w:val="ListNumber"/>
        <w:tabs>
          <w:tab w:val="clear" w:pos="720"/>
          <w:tab w:val="clear" w:pos="1872"/>
        </w:tabs>
        <w:ind w:left="0" w:firstLine="0"/>
        <w:jc w:val="both"/>
      </w:pPr>
    </w:p>
    <w:p w14:paraId="12ADAC8D" w14:textId="77777777" w:rsidR="00265506" w:rsidRDefault="00265506" w:rsidP="00BE3F24">
      <w:pPr>
        <w:pStyle w:val="ListNumber"/>
        <w:tabs>
          <w:tab w:val="clear" w:pos="720"/>
          <w:tab w:val="clear" w:pos="1872"/>
        </w:tabs>
        <w:ind w:left="0" w:firstLine="0"/>
        <w:jc w:val="both"/>
      </w:pPr>
    </w:p>
    <w:p w14:paraId="2BC15665" w14:textId="77777777" w:rsidR="00265506" w:rsidRDefault="00265506" w:rsidP="00BE3F24">
      <w:pPr>
        <w:pStyle w:val="ListNumber"/>
        <w:tabs>
          <w:tab w:val="clear" w:pos="720"/>
          <w:tab w:val="clear" w:pos="1872"/>
        </w:tabs>
        <w:ind w:left="0" w:firstLine="0"/>
        <w:jc w:val="both"/>
      </w:pPr>
    </w:p>
    <w:p w14:paraId="331C2ADF" w14:textId="77777777" w:rsidR="00265506" w:rsidRDefault="00265506" w:rsidP="00BE3F24">
      <w:pPr>
        <w:pStyle w:val="ListNumber"/>
        <w:tabs>
          <w:tab w:val="clear" w:pos="720"/>
          <w:tab w:val="clear" w:pos="1872"/>
        </w:tabs>
        <w:ind w:left="0" w:firstLine="0"/>
        <w:jc w:val="both"/>
      </w:pPr>
    </w:p>
    <w:p w14:paraId="5AA5801B" w14:textId="7EFF973E"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97312" behindDoc="0" locked="0" layoutInCell="0" allowOverlap="1" wp14:anchorId="083A395F" wp14:editId="1FA70B1B">
                <wp:simplePos x="0" y="0"/>
                <wp:positionH relativeFrom="column">
                  <wp:posOffset>3606800</wp:posOffset>
                </wp:positionH>
                <wp:positionV relativeFrom="paragraph">
                  <wp:posOffset>98425</wp:posOffset>
                </wp:positionV>
                <wp:extent cx="182880" cy="182880"/>
                <wp:effectExtent l="6350" t="5715" r="10795" b="11430"/>
                <wp:wrapNone/>
                <wp:docPr id="3217" name="Oval 2480"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231F5A9" id="Oval 2480" o:spid="_x0000_s1026" alt="falling weight deflectometer testing" style="position:absolute;margin-left:284pt;margin-top:7.75pt;width:14.4pt;height:14.4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" o:allowincell="f"/>
            </w:pict>
          </mc:Fallback>
        </mc:AlternateContent>
      </w:r>
    </w:p>
    <w:p w14:paraId="1A307682" w14:textId="000CEC63"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96288" behindDoc="0" locked="0" layoutInCell="0" allowOverlap="1" wp14:anchorId="6DA5BF8B" wp14:editId="5290BCDE">
                <wp:simplePos x="0" y="0"/>
                <wp:positionH relativeFrom="column">
                  <wp:posOffset>1813560</wp:posOffset>
                </wp:positionH>
                <wp:positionV relativeFrom="paragraph">
                  <wp:posOffset>62230</wp:posOffset>
                </wp:positionV>
                <wp:extent cx="182880" cy="182880"/>
                <wp:effectExtent l="13335" t="6350" r="13335" b="10795"/>
                <wp:wrapNone/>
                <wp:docPr id="3216" name="Oval 2479"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5F4AFD6" id="Oval 2479" o:spid="_x0000_s1026" alt="falling weight deflectometer testing" style="position:absolute;margin-left:142.8pt;margin-top:4.9pt;width:14.4pt;height:14.4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" o:allowincell="f"/>
            </w:pict>
          </mc:Fallback>
        </mc:AlternateContent>
      </w:r>
    </w:p>
    <w:p w14:paraId="503F25E1" w14:textId="77777777" w:rsidR="00265506" w:rsidRDefault="00265506" w:rsidP="00BE3F24">
      <w:pPr>
        <w:pStyle w:val="ListNumber"/>
        <w:tabs>
          <w:tab w:val="clear" w:pos="720"/>
          <w:tab w:val="clear" w:pos="1872"/>
        </w:tabs>
        <w:ind w:left="0" w:firstLine="0"/>
        <w:jc w:val="both"/>
      </w:pPr>
    </w:p>
    <w:p w14:paraId="219CFB9C" w14:textId="77777777" w:rsidR="00265506" w:rsidRDefault="00265506" w:rsidP="00BE3F24">
      <w:pPr>
        <w:pStyle w:val="ListNumber"/>
        <w:tabs>
          <w:tab w:val="clear" w:pos="720"/>
          <w:tab w:val="clear" w:pos="1872"/>
        </w:tabs>
        <w:ind w:left="0" w:firstLine="0"/>
        <w:jc w:val="both"/>
      </w:pPr>
    </w:p>
    <w:p w14:paraId="1E6D6578" w14:textId="77777777" w:rsidR="00265506" w:rsidRDefault="00265506" w:rsidP="00BE3F24">
      <w:pPr>
        <w:pStyle w:val="ListNumber"/>
        <w:tabs>
          <w:tab w:val="clear" w:pos="720"/>
          <w:tab w:val="clear" w:pos="1872"/>
        </w:tabs>
        <w:ind w:left="0" w:firstLine="0"/>
        <w:jc w:val="both"/>
      </w:pPr>
    </w:p>
    <w:p w14:paraId="65DA5F3E" w14:textId="77777777" w:rsidR="00265506" w:rsidRDefault="00265506" w:rsidP="00BE3F24">
      <w:pPr>
        <w:pStyle w:val="ListNumber"/>
        <w:tabs>
          <w:tab w:val="clear" w:pos="720"/>
          <w:tab w:val="clear" w:pos="1872"/>
        </w:tabs>
        <w:ind w:left="0" w:firstLine="0"/>
        <w:jc w:val="both"/>
      </w:pPr>
    </w:p>
    <w:p w14:paraId="0584C5A3" w14:textId="77777777" w:rsidR="00265506" w:rsidRDefault="00265506" w:rsidP="00BE3F24">
      <w:pPr>
        <w:pStyle w:val="ListNumber"/>
        <w:tabs>
          <w:tab w:val="clear" w:pos="720"/>
          <w:tab w:val="clear" w:pos="1872"/>
        </w:tabs>
        <w:ind w:left="0" w:firstLine="0"/>
        <w:jc w:val="both"/>
      </w:pPr>
    </w:p>
    <w:p w14:paraId="519EB835" w14:textId="77777777" w:rsidR="00265506" w:rsidRDefault="00265506" w:rsidP="00BE3F24">
      <w:pPr>
        <w:pStyle w:val="ListNumber"/>
        <w:tabs>
          <w:tab w:val="clear" w:pos="720"/>
          <w:tab w:val="clear" w:pos="1872"/>
        </w:tabs>
        <w:ind w:left="0" w:firstLine="0"/>
        <w:jc w:val="both"/>
      </w:pPr>
    </w:p>
    <w:p w14:paraId="510DB9B8" w14:textId="6CEEBC02"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81952" behindDoc="0" locked="0" layoutInCell="0" allowOverlap="1" wp14:anchorId="7026F5C2" wp14:editId="45C6EEF4">
                <wp:simplePos x="0" y="0"/>
                <wp:positionH relativeFrom="column">
                  <wp:posOffset>3561080</wp:posOffset>
                </wp:positionH>
                <wp:positionV relativeFrom="paragraph">
                  <wp:posOffset>99060</wp:posOffset>
                </wp:positionV>
                <wp:extent cx="182880" cy="182880"/>
                <wp:effectExtent l="8255" t="5715" r="8890" b="11430"/>
                <wp:wrapNone/>
                <wp:docPr id="3215" name="Oval 2465"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3303DCA" id="Oval 2465" o:spid="_x0000_s1026" alt="falling weight deflectometer testing" style="position:absolute;margin-left:280.4pt;margin-top:7.8pt;width:14.4pt;height:14.4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" o:allowincell="f"/>
            </w:pict>
          </mc:Fallback>
        </mc:AlternateContent>
      </w:r>
    </w:p>
    <w:p w14:paraId="169ABA56" w14:textId="5CC39167" w:rsidR="00265506" w:rsidRDefault="004D64A3" w:rsidP="00BE3F24">
      <w:pPr>
        <w:pStyle w:val="ListNumber"/>
        <w:tabs>
          <w:tab w:val="clear" w:pos="720"/>
          <w:tab w:val="clear" w:pos="1872"/>
        </w:tabs>
        <w:ind w:left="0" w:firstLine="0"/>
        <w:jc w:val="both"/>
      </w:pPr>
      <w:r>
        <w:rPr>
          <w:noProof/>
        </w:rPr>
        <mc:AlternateContent>
          <mc:Choice Requires="wps">
            <w:drawing>
              <wp:anchor distT="0" distB="0" distL="114300" distR="114300" simplePos="0" relativeHeight="251582976" behindDoc="0" locked="0" layoutInCell="0" allowOverlap="1" wp14:anchorId="514E5184" wp14:editId="0A06483F">
                <wp:simplePos x="0" y="0"/>
                <wp:positionH relativeFrom="column">
                  <wp:posOffset>1815465</wp:posOffset>
                </wp:positionH>
                <wp:positionV relativeFrom="paragraph">
                  <wp:posOffset>71120</wp:posOffset>
                </wp:positionV>
                <wp:extent cx="182880" cy="182880"/>
                <wp:effectExtent l="5715" t="5080" r="11430" b="12065"/>
                <wp:wrapNone/>
                <wp:docPr id="3214" name="Oval 2466"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9C9AD13" id="Oval 2466" o:spid="_x0000_s1026" alt="falling weight deflectometer testing" style="position:absolute;margin-left:142.95pt;margin-top:5.6pt;width:14.4pt;height:14.4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" o:allowincell="f"/>
            </w:pict>
          </mc:Fallback>
        </mc:AlternateContent>
      </w:r>
    </w:p>
    <w:p w14:paraId="48EB3DB3" w14:textId="77777777" w:rsidR="00265506" w:rsidRDefault="00265506" w:rsidP="00BE3F24">
      <w:pPr>
        <w:pStyle w:val="ListNumber"/>
        <w:tabs>
          <w:tab w:val="clear" w:pos="720"/>
          <w:tab w:val="clear" w:pos="1872"/>
        </w:tabs>
        <w:ind w:left="0" w:firstLine="0"/>
        <w:jc w:val="both"/>
      </w:pPr>
    </w:p>
    <w:p w14:paraId="03AAC84F" w14:textId="77777777" w:rsidR="00265506" w:rsidRDefault="00265506" w:rsidP="00BE3F24">
      <w:pPr>
        <w:pStyle w:val="ListNumber"/>
        <w:tabs>
          <w:tab w:val="clear" w:pos="720"/>
          <w:tab w:val="clear" w:pos="1872"/>
        </w:tabs>
        <w:ind w:left="0" w:firstLine="0"/>
        <w:jc w:val="both"/>
      </w:pPr>
    </w:p>
    <w:p w14:paraId="49D32EBA" w14:textId="77777777" w:rsidR="00265506" w:rsidRDefault="00265506" w:rsidP="00BE3F24">
      <w:pPr>
        <w:pStyle w:val="ListNumber"/>
        <w:tabs>
          <w:tab w:val="clear" w:pos="720"/>
          <w:tab w:val="clear" w:pos="1872"/>
        </w:tabs>
        <w:ind w:left="0" w:firstLine="0"/>
        <w:jc w:val="both"/>
      </w:pPr>
    </w:p>
    <w:p w14:paraId="45B47FF8" w14:textId="77777777" w:rsidR="00265506" w:rsidRDefault="00265506" w:rsidP="00BE3F24">
      <w:pPr>
        <w:pStyle w:val="ListNumber"/>
        <w:tabs>
          <w:tab w:val="clear" w:pos="720"/>
          <w:tab w:val="clear" w:pos="1872"/>
        </w:tabs>
        <w:ind w:left="0" w:firstLine="0"/>
        <w:jc w:val="both"/>
      </w:pPr>
    </w:p>
    <w:p w14:paraId="389E243C" w14:textId="77777777" w:rsidR="00265506" w:rsidRDefault="00265506" w:rsidP="00BE3F24">
      <w:pPr>
        <w:pStyle w:val="ListNumber"/>
        <w:tabs>
          <w:tab w:val="clear" w:pos="720"/>
          <w:tab w:val="clear" w:pos="1872"/>
        </w:tabs>
        <w:ind w:left="0" w:firstLine="0"/>
        <w:jc w:val="both"/>
      </w:pPr>
    </w:p>
    <w:p w14:paraId="25E0F527" w14:textId="77777777" w:rsidR="00265506" w:rsidRDefault="00265506" w:rsidP="00BE3F24">
      <w:pPr>
        <w:pStyle w:val="ListNumber"/>
        <w:tabs>
          <w:tab w:val="clear" w:pos="720"/>
          <w:tab w:val="clear" w:pos="1872"/>
        </w:tabs>
        <w:ind w:left="0" w:firstLine="0"/>
        <w:jc w:val="both"/>
      </w:pPr>
      <w:r>
        <w:t xml:space="preserve">          Flexible                                               Rigid                                              Composite  </w:t>
      </w:r>
    </w:p>
    <w:p w14:paraId="4229AD76" w14:textId="77777777" w:rsidR="00265506" w:rsidRDefault="00265506" w:rsidP="00BE3F24">
      <w:pPr>
        <w:pStyle w:val="ListNumber"/>
        <w:tabs>
          <w:tab w:val="clear" w:pos="720"/>
          <w:tab w:val="clear" w:pos="1872"/>
        </w:tabs>
        <w:ind w:left="0" w:firstLine="0"/>
        <w:jc w:val="both"/>
      </w:pPr>
      <w:r>
        <w:tab/>
      </w:r>
      <w:r>
        <w:tab/>
      </w:r>
      <w:r>
        <w:tab/>
      </w:r>
      <w:r>
        <w:tab/>
      </w:r>
      <w:r>
        <w:tab/>
      </w:r>
    </w:p>
    <w:p w14:paraId="53F06EF8" w14:textId="77777777" w:rsidR="00265506" w:rsidRDefault="00265506" w:rsidP="00BE3F24">
      <w:pPr>
        <w:jc w:val="both"/>
        <w:rPr>
          <w:rFonts w:ascii="Arial" w:hAnsi="Arial"/>
        </w:rPr>
      </w:pPr>
    </w:p>
    <w:p w14:paraId="49DDF789" w14:textId="1DEFE218"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595264" behindDoc="0" locked="0" layoutInCell="0" allowOverlap="1" wp14:anchorId="66A362FE" wp14:editId="78B37980">
                <wp:simplePos x="0" y="0"/>
                <wp:positionH relativeFrom="column">
                  <wp:posOffset>-292100</wp:posOffset>
                </wp:positionH>
                <wp:positionV relativeFrom="paragraph">
                  <wp:posOffset>76835</wp:posOffset>
                </wp:positionV>
                <wp:extent cx="182880" cy="182880"/>
                <wp:effectExtent l="12700" t="12700" r="13970" b="13970"/>
                <wp:wrapNone/>
                <wp:docPr id="3213" name="Oval 2478" descr="falling weight deflectometer testi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10EC08C" id="Oval 2478" o:spid="_x0000_s1026" alt="falling weight deflectometer testing" style="position:absolute;margin-left:-23pt;margin-top:6.05pt;width:14.4pt;height:14.4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" o:allowincell="f"/>
            </w:pict>
          </mc:Fallback>
        </mc:AlternateContent>
      </w:r>
    </w:p>
    <w:p w14:paraId="636E1BA2" w14:textId="77777777" w:rsidR="00265506" w:rsidRDefault="00265506" w:rsidP="00BE3F24">
      <w:pPr>
        <w:jc w:val="both"/>
        <w:rPr>
          <w:rFonts w:ascii="Arial" w:hAnsi="Arial"/>
          <w:sz w:val="18"/>
        </w:rPr>
      </w:pPr>
      <w:r>
        <w:rPr>
          <w:rFonts w:ascii="Arial" w:hAnsi="Arial"/>
          <w:sz w:val="18"/>
        </w:rPr>
        <w:t>- FWD load plate</w:t>
      </w:r>
    </w:p>
    <w:p w14:paraId="12270007" w14:textId="77777777" w:rsidR="00265506" w:rsidRDefault="00265506" w:rsidP="00BE3F24">
      <w:pPr>
        <w:jc w:val="both"/>
        <w:rPr>
          <w:rFonts w:ascii="Arial" w:hAnsi="Arial"/>
        </w:rPr>
      </w:pPr>
    </w:p>
    <w:p w14:paraId="7D38CEC7" w14:textId="17CF2706" w:rsidR="00265506" w:rsidRPr="00D839EF" w:rsidRDefault="00265506" w:rsidP="00D839EF">
      <w:pPr>
        <w:jc w:val="center"/>
        <w:rPr>
          <w:rFonts w:ascii="Arial" w:hAnsi="Arial"/>
          <w:b/>
          <w:sz w:val="22"/>
        </w:rPr>
      </w:pPr>
      <w:r w:rsidRPr="00D839EF">
        <w:rPr>
          <w:rFonts w:ascii="Arial" w:hAnsi="Arial"/>
          <w:b/>
          <w:sz w:val="22"/>
        </w:rPr>
        <w:t>Figure 4</w:t>
      </w:r>
      <w:r w:rsidR="00D43E46" w:rsidRPr="00757B46">
        <w:rPr>
          <w:rFonts w:ascii="Arial" w:hAnsi="Arial"/>
          <w:b/>
          <w:sz w:val="22"/>
          <w:szCs w:val="22"/>
        </w:rPr>
        <w:t xml:space="preserve">: </w:t>
      </w:r>
      <w:r w:rsidRPr="00D839EF">
        <w:rPr>
          <w:rFonts w:ascii="Arial" w:hAnsi="Arial"/>
          <w:b/>
          <w:sz w:val="22"/>
        </w:rPr>
        <w:t xml:space="preserve"> Corner Testing</w:t>
      </w:r>
    </w:p>
    <w:p w14:paraId="07619804" w14:textId="61528F62" w:rsidR="00265506" w:rsidRDefault="00265506" w:rsidP="00D839EF">
      <w:pPr>
        <w:pStyle w:val="ListNumber"/>
        <w:numPr>
          <w:ilvl w:val="0"/>
          <w:numId w:val="10"/>
        </w:numPr>
        <w:tabs>
          <w:tab w:val="clear" w:pos="1872"/>
          <w:tab w:val="num" w:pos="1080"/>
        </w:tabs>
        <w:ind w:left="1080" w:hanging="1080"/>
        <w:jc w:val="both"/>
      </w:pPr>
      <w:r>
        <w:br w:type="page"/>
      </w:r>
      <w:r>
        <w:lastRenderedPageBreak/>
        <w:t>Determine sensor spacing of geophones on the FWD. In basin testing, the critical locations for the sensors are on and next to the load plate and those f</w:t>
      </w:r>
      <w:r w:rsidR="00D43E46">
        <w:t>a</w:t>
      </w:r>
      <w:r>
        <w:t>rthest away from the load plate.  The sensor on the load plate provides layer material characteristic information about the entire pavement structure. The f</w:t>
      </w:r>
      <w:r w:rsidR="00D43E46">
        <w:t>a</w:t>
      </w:r>
      <w:r>
        <w:t>rther away you move from the load plate</w:t>
      </w:r>
      <w:r w:rsidR="00D43E46">
        <w:t>,</w:t>
      </w:r>
      <w:r>
        <w:t xml:space="preserve"> those sensors provide information about pavement layers deeper in the pavement structure. The outermost sensors provide information about the subgrade performance. One of the two basin test sensor spacing configurations shown below is for typical basin testing, the other is for basin testing on subgrade or unbound base layers. </w:t>
      </w:r>
    </w:p>
    <w:p w14:paraId="46117E56" w14:textId="1CAB20C1" w:rsidR="00265506" w:rsidRDefault="00265506" w:rsidP="004C4CA2">
      <w:pPr>
        <w:pStyle w:val="ListNumber"/>
        <w:tabs>
          <w:tab w:val="clear" w:pos="720"/>
          <w:tab w:val="clear" w:pos="1872"/>
        </w:tabs>
        <w:ind w:left="1080" w:firstLine="0"/>
        <w:jc w:val="both"/>
      </w:pPr>
      <w:r>
        <w:t xml:space="preserve">There are only two critical sensor locations for joint testing.  Those critical locations are the sensors on either side of the joint.  An example of the joint testing sensor spacing is presented in Figure 5.   </w:t>
      </w:r>
    </w:p>
    <w:p w14:paraId="28287B84" w14:textId="77777777" w:rsidR="00265506" w:rsidRDefault="00265506" w:rsidP="004C4CA2">
      <w:pPr>
        <w:pStyle w:val="ListNumber"/>
        <w:tabs>
          <w:tab w:val="clear" w:pos="720"/>
          <w:tab w:val="clear" w:pos="1872"/>
        </w:tabs>
        <w:ind w:left="1080" w:firstLine="0"/>
        <w:jc w:val="both"/>
      </w:pPr>
      <w:r>
        <w:t xml:space="preserve">The table below lists the two basic sensor spacing configurations for 9 sensors.  </w:t>
      </w:r>
    </w:p>
    <w:p w14:paraId="34173B5D" w14:textId="77777777" w:rsidR="00265506" w:rsidRDefault="00265506" w:rsidP="00D839EF">
      <w:pPr>
        <w:pStyle w:val="ListNumber"/>
        <w:tabs>
          <w:tab w:val="clear" w:pos="720"/>
          <w:tab w:val="clear" w:pos="1872"/>
        </w:tabs>
        <w:spacing w:before="0"/>
        <w:ind w:left="0" w:firstLine="0"/>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306"/>
        <w:gridCol w:w="3662"/>
      </w:tblGrid>
      <w:tr w:rsidR="00265506" w14:paraId="7DCFCDA5" w14:textId="77777777" w:rsidTr="00A64764">
        <w:trPr>
          <w:trHeight w:val="360"/>
          <w:jc w:val="center"/>
        </w:trPr>
        <w:tc>
          <w:tcPr>
            <w:tcW w:w="1306" w:type="dxa"/>
            <w:shd w:val="pct15" w:color="auto" w:fill="FFFFFF"/>
            <w:vAlign w:val="center"/>
          </w:tcPr>
          <w:p w14:paraId="7A4D3267" w14:textId="77777777" w:rsidR="00265506" w:rsidRDefault="00265506" w:rsidP="00D839EF">
            <w:pPr>
              <w:pStyle w:val="ListNumber"/>
              <w:tabs>
                <w:tab w:val="clear" w:pos="720"/>
                <w:tab w:val="clear" w:pos="1872"/>
              </w:tabs>
              <w:spacing w:before="0"/>
              <w:ind w:left="0" w:firstLine="0"/>
              <w:jc w:val="both"/>
              <w:rPr>
                <w:b/>
                <w:sz w:val="20"/>
              </w:rPr>
            </w:pPr>
            <w:r>
              <w:rPr>
                <w:b/>
                <w:sz w:val="20"/>
              </w:rPr>
              <w:t>Test Type</w:t>
            </w:r>
          </w:p>
        </w:tc>
        <w:tc>
          <w:tcPr>
            <w:tcW w:w="3662" w:type="dxa"/>
            <w:shd w:val="pct15" w:color="auto" w:fill="FFFFFF"/>
            <w:vAlign w:val="center"/>
          </w:tcPr>
          <w:p w14:paraId="7E938E87" w14:textId="77777777" w:rsidR="00265506" w:rsidRDefault="00265506" w:rsidP="00D839EF">
            <w:pPr>
              <w:pStyle w:val="ListNumber"/>
              <w:tabs>
                <w:tab w:val="clear" w:pos="720"/>
                <w:tab w:val="clear" w:pos="1872"/>
              </w:tabs>
              <w:spacing w:before="0"/>
              <w:ind w:left="0" w:firstLine="0"/>
              <w:jc w:val="both"/>
              <w:rPr>
                <w:b/>
                <w:sz w:val="20"/>
              </w:rPr>
            </w:pPr>
            <w:r>
              <w:rPr>
                <w:b/>
                <w:sz w:val="20"/>
              </w:rPr>
              <w:t>Sensor Spacing</w:t>
            </w:r>
          </w:p>
        </w:tc>
      </w:tr>
      <w:tr w:rsidR="00265506" w14:paraId="619CC9DC" w14:textId="77777777" w:rsidTr="00A64764">
        <w:trPr>
          <w:trHeight w:val="360"/>
          <w:jc w:val="center"/>
        </w:trPr>
        <w:tc>
          <w:tcPr>
            <w:tcW w:w="1306" w:type="dxa"/>
            <w:vAlign w:val="center"/>
          </w:tcPr>
          <w:p w14:paraId="281135D8" w14:textId="77777777" w:rsidR="00265506" w:rsidRDefault="00265506" w:rsidP="00D839EF">
            <w:pPr>
              <w:pStyle w:val="ListNumber"/>
              <w:tabs>
                <w:tab w:val="clear" w:pos="720"/>
                <w:tab w:val="clear" w:pos="1872"/>
              </w:tabs>
              <w:spacing w:before="0"/>
              <w:ind w:left="0" w:firstLine="0"/>
              <w:jc w:val="both"/>
              <w:rPr>
                <w:sz w:val="20"/>
              </w:rPr>
            </w:pPr>
            <w:r>
              <w:rPr>
                <w:sz w:val="20"/>
              </w:rPr>
              <w:t>Basin</w:t>
            </w:r>
          </w:p>
        </w:tc>
        <w:tc>
          <w:tcPr>
            <w:tcW w:w="3662" w:type="dxa"/>
            <w:vAlign w:val="center"/>
          </w:tcPr>
          <w:p w14:paraId="374B5F89" w14:textId="074ACE6D" w:rsidR="00265506" w:rsidRDefault="00265506" w:rsidP="00D839EF">
            <w:pPr>
              <w:pStyle w:val="ListNumber"/>
              <w:tabs>
                <w:tab w:val="clear" w:pos="720"/>
                <w:tab w:val="clear" w:pos="1872"/>
              </w:tabs>
              <w:spacing w:before="0"/>
              <w:ind w:left="0" w:firstLine="0"/>
              <w:jc w:val="both"/>
              <w:rPr>
                <w:sz w:val="20"/>
              </w:rPr>
            </w:pPr>
            <w:r>
              <w:rPr>
                <w:sz w:val="20"/>
              </w:rPr>
              <w:t>0</w:t>
            </w:r>
            <w:r w:rsidR="00757B46">
              <w:rPr>
                <w:sz w:val="20"/>
              </w:rPr>
              <w:t>"</w:t>
            </w:r>
            <w:r>
              <w:rPr>
                <w:sz w:val="20"/>
              </w:rPr>
              <w:t>, 8</w:t>
            </w:r>
            <w:r w:rsidR="00757B46">
              <w:rPr>
                <w:sz w:val="20"/>
              </w:rPr>
              <w:t>"</w:t>
            </w:r>
            <w:r>
              <w:rPr>
                <w:sz w:val="20"/>
              </w:rPr>
              <w:t>, 12</w:t>
            </w:r>
            <w:r w:rsidR="00757B46">
              <w:rPr>
                <w:sz w:val="20"/>
              </w:rPr>
              <w:t>"</w:t>
            </w:r>
            <w:r>
              <w:rPr>
                <w:sz w:val="20"/>
              </w:rPr>
              <w:t>, 18</w:t>
            </w:r>
            <w:r w:rsidR="00757B46">
              <w:rPr>
                <w:sz w:val="20"/>
              </w:rPr>
              <w:t>"</w:t>
            </w:r>
            <w:r>
              <w:rPr>
                <w:sz w:val="20"/>
              </w:rPr>
              <w:t>, 24</w:t>
            </w:r>
            <w:r w:rsidR="00757B46">
              <w:rPr>
                <w:sz w:val="20"/>
              </w:rPr>
              <w:t>"</w:t>
            </w:r>
            <w:r>
              <w:rPr>
                <w:sz w:val="20"/>
              </w:rPr>
              <w:t>, 36</w:t>
            </w:r>
            <w:r w:rsidR="00757B46">
              <w:rPr>
                <w:sz w:val="20"/>
              </w:rPr>
              <w:t>"</w:t>
            </w:r>
            <w:r>
              <w:rPr>
                <w:sz w:val="20"/>
              </w:rPr>
              <w:t>, 48</w:t>
            </w:r>
            <w:r w:rsidR="00757B46">
              <w:rPr>
                <w:sz w:val="20"/>
              </w:rPr>
              <w:t>"</w:t>
            </w:r>
            <w:r>
              <w:rPr>
                <w:sz w:val="20"/>
              </w:rPr>
              <w:t>, 60</w:t>
            </w:r>
            <w:r w:rsidR="00757B46">
              <w:rPr>
                <w:sz w:val="20"/>
              </w:rPr>
              <w:t>"</w:t>
            </w:r>
            <w:r>
              <w:rPr>
                <w:sz w:val="20"/>
              </w:rPr>
              <w:t>, 72</w:t>
            </w:r>
            <w:r w:rsidR="00757B46">
              <w:rPr>
                <w:sz w:val="20"/>
              </w:rPr>
              <w:t>"</w:t>
            </w:r>
          </w:p>
        </w:tc>
      </w:tr>
      <w:tr w:rsidR="00265506" w14:paraId="73FFBA42" w14:textId="77777777" w:rsidTr="00A64764">
        <w:trPr>
          <w:trHeight w:val="360"/>
          <w:jc w:val="center"/>
        </w:trPr>
        <w:tc>
          <w:tcPr>
            <w:tcW w:w="1306" w:type="dxa"/>
            <w:vAlign w:val="center"/>
          </w:tcPr>
          <w:p w14:paraId="56F8D483" w14:textId="77777777" w:rsidR="00265506" w:rsidRDefault="00265506" w:rsidP="00D839EF">
            <w:pPr>
              <w:pStyle w:val="ListNumber"/>
              <w:tabs>
                <w:tab w:val="clear" w:pos="720"/>
                <w:tab w:val="clear" w:pos="1872"/>
              </w:tabs>
              <w:spacing w:before="0"/>
              <w:ind w:left="0" w:firstLine="0"/>
              <w:jc w:val="both"/>
              <w:rPr>
                <w:sz w:val="20"/>
              </w:rPr>
            </w:pPr>
            <w:r>
              <w:rPr>
                <w:sz w:val="20"/>
              </w:rPr>
              <w:t>Joint/Basin</w:t>
            </w:r>
          </w:p>
        </w:tc>
        <w:tc>
          <w:tcPr>
            <w:tcW w:w="3662" w:type="dxa"/>
            <w:vAlign w:val="center"/>
          </w:tcPr>
          <w:p w14:paraId="22FD8C65" w14:textId="5B01B0AE" w:rsidR="00265506" w:rsidRDefault="00265506" w:rsidP="00D839EF">
            <w:pPr>
              <w:pStyle w:val="ListNumber"/>
              <w:tabs>
                <w:tab w:val="clear" w:pos="720"/>
                <w:tab w:val="clear" w:pos="1872"/>
              </w:tabs>
              <w:spacing w:before="0"/>
              <w:ind w:left="0" w:firstLine="0"/>
              <w:jc w:val="both"/>
              <w:rPr>
                <w:sz w:val="20"/>
              </w:rPr>
            </w:pPr>
            <w:r>
              <w:rPr>
                <w:sz w:val="20"/>
              </w:rPr>
              <w:t>-12</w:t>
            </w:r>
            <w:r w:rsidR="00757B46">
              <w:rPr>
                <w:sz w:val="20"/>
              </w:rPr>
              <w:t>"</w:t>
            </w:r>
            <w:r>
              <w:rPr>
                <w:sz w:val="20"/>
              </w:rPr>
              <w:t>, 0</w:t>
            </w:r>
            <w:r w:rsidR="00757B46">
              <w:rPr>
                <w:sz w:val="20"/>
              </w:rPr>
              <w:t>"</w:t>
            </w:r>
            <w:r>
              <w:rPr>
                <w:sz w:val="20"/>
              </w:rPr>
              <w:t>, 8</w:t>
            </w:r>
            <w:r w:rsidR="00757B46">
              <w:rPr>
                <w:sz w:val="20"/>
              </w:rPr>
              <w:t>"</w:t>
            </w:r>
            <w:r>
              <w:rPr>
                <w:sz w:val="20"/>
              </w:rPr>
              <w:t>, 12</w:t>
            </w:r>
            <w:r w:rsidR="00757B46">
              <w:rPr>
                <w:sz w:val="20"/>
              </w:rPr>
              <w:t>"</w:t>
            </w:r>
            <w:r>
              <w:rPr>
                <w:sz w:val="20"/>
              </w:rPr>
              <w:t>, 18</w:t>
            </w:r>
            <w:r w:rsidR="00757B46">
              <w:rPr>
                <w:sz w:val="20"/>
              </w:rPr>
              <w:t>"</w:t>
            </w:r>
            <w:r>
              <w:rPr>
                <w:sz w:val="20"/>
              </w:rPr>
              <w:t>, 24</w:t>
            </w:r>
            <w:r w:rsidR="00757B46">
              <w:rPr>
                <w:sz w:val="20"/>
              </w:rPr>
              <w:t>"</w:t>
            </w:r>
            <w:r>
              <w:rPr>
                <w:sz w:val="20"/>
              </w:rPr>
              <w:t>, 36</w:t>
            </w:r>
            <w:r w:rsidR="00757B46">
              <w:rPr>
                <w:sz w:val="20"/>
              </w:rPr>
              <w:t>"</w:t>
            </w:r>
            <w:r>
              <w:rPr>
                <w:sz w:val="20"/>
              </w:rPr>
              <w:t>, 48</w:t>
            </w:r>
            <w:r w:rsidR="00757B46">
              <w:rPr>
                <w:sz w:val="20"/>
              </w:rPr>
              <w:t>"</w:t>
            </w:r>
            <w:r>
              <w:rPr>
                <w:sz w:val="20"/>
              </w:rPr>
              <w:t>, 60</w:t>
            </w:r>
            <w:r w:rsidR="00757B46">
              <w:rPr>
                <w:sz w:val="20"/>
              </w:rPr>
              <w:t>"</w:t>
            </w:r>
          </w:p>
        </w:tc>
      </w:tr>
    </w:tbl>
    <w:p w14:paraId="34995F54" w14:textId="29734080" w:rsidR="00265506" w:rsidRDefault="00265506" w:rsidP="00D839EF">
      <w:pPr>
        <w:pStyle w:val="ListNumber"/>
        <w:tabs>
          <w:tab w:val="clear" w:pos="720"/>
          <w:tab w:val="clear" w:pos="1872"/>
        </w:tabs>
        <w:spacing w:before="240"/>
        <w:ind w:left="1080" w:firstLine="0"/>
        <w:jc w:val="both"/>
      </w:pPr>
      <w:r>
        <w:t>The sensor at 60</w:t>
      </w:r>
      <w:r w:rsidR="00757B46">
        <w:rPr>
          <w:sz w:val="20"/>
        </w:rPr>
        <w:t>"</w:t>
      </w:r>
      <w:r>
        <w:t xml:space="preserve"> in basin testing is used to determine the subgrade characteristics beneath the pavement structure.  If an unusually thick pavement structure exists, moving this sensor out to 72</w:t>
      </w:r>
      <w:r w:rsidR="00757B46">
        <w:rPr>
          <w:sz w:val="20"/>
        </w:rPr>
        <w:t>"</w:t>
      </w:r>
      <w:r>
        <w:t xml:space="preserve"> is appropriate.  An unusually thick pavement structure would be defined as a flexible pavement with &gt; 16</w:t>
      </w:r>
      <w:r w:rsidR="00757B46">
        <w:rPr>
          <w:sz w:val="20"/>
        </w:rPr>
        <w:t>"</w:t>
      </w:r>
      <w:r>
        <w:t xml:space="preserve"> of HMA, a rigid pavement with greater than 11</w:t>
      </w:r>
      <w:r w:rsidR="00757B46">
        <w:rPr>
          <w:sz w:val="20"/>
        </w:rPr>
        <w:t>"</w:t>
      </w:r>
      <w:r>
        <w:t xml:space="preserve"> of </w:t>
      </w:r>
      <w:smartTag w:uri="urn:schemas-microsoft-com:office:smarttags" w:element="stockticker">
        <w:r>
          <w:t>PCC</w:t>
        </w:r>
      </w:smartTag>
      <w:r>
        <w:t>, or a composite pavement with a combination of thickness greater than 14</w:t>
      </w:r>
      <w:r w:rsidR="00757B46">
        <w:rPr>
          <w:sz w:val="20"/>
        </w:rPr>
        <w:t>"</w:t>
      </w:r>
      <w:r>
        <w:t xml:space="preserve">.  </w:t>
      </w:r>
    </w:p>
    <w:p w14:paraId="1F05E415" w14:textId="77777777" w:rsidR="00265506" w:rsidRDefault="00265506" w:rsidP="00BE3F24">
      <w:pPr>
        <w:jc w:val="both"/>
        <w:rPr>
          <w:rFonts w:ascii="Arial" w:hAnsi="Arial"/>
        </w:rPr>
      </w:pPr>
    </w:p>
    <w:p w14:paraId="400BC096" w14:textId="794A76AD"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28032" behindDoc="0" locked="0" layoutInCell="0" allowOverlap="1" wp14:anchorId="60EAE751" wp14:editId="2EB8E74B">
                <wp:simplePos x="0" y="0"/>
                <wp:positionH relativeFrom="column">
                  <wp:posOffset>1917700</wp:posOffset>
                </wp:positionH>
                <wp:positionV relativeFrom="paragraph">
                  <wp:posOffset>106045</wp:posOffset>
                </wp:positionV>
                <wp:extent cx="850900" cy="317500"/>
                <wp:effectExtent l="3175" t="4445" r="3175" b="1905"/>
                <wp:wrapNone/>
                <wp:docPr id="3212" name="Text Box 2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900" cy="317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878D9A" w14:textId="77777777" w:rsidR="009C1A5C" w:rsidRDefault="009C1A5C" w:rsidP="00265506">
                            <w:r>
                              <w:t>Load Plate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EAE751" id="_x0000_t202" coordsize="21600,21600" o:spt="202" path="m,l,21600r21600,l21600,xe">
                <v:stroke joinstyle="miter"/>
                <v:path gradientshapeok="t" o:connecttype="rect"/>
              </v:shapetype>
              <v:shape id="Text Box 2510" o:spid="_x0000_s1030" type="#_x0000_t202" style="position:absolute;left:0;text-align:left;margin-left:151pt;margin-top:8.35pt;width:67pt;height:2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" o:allowincell="f" stroked="f">
                <v:textbox>
                  <w:txbxContent>
                    <w:p w14:paraId="78878D9A" w14:textId="77777777" w:rsidR="009C1A5C" w:rsidRDefault="009C1A5C" w:rsidP="00265506">
                      <w:r>
                        <w:t>Load Plate</w:t>
                      </w:r>
                    </w:p>
                  </w:txbxContent>
                </v:textbox>
              </v:shape>
            </w:pict>
          </mc:Fallback>
        </mc:AlternateContent>
      </w:r>
    </w:p>
    <w:p w14:paraId="1DE814DC" w14:textId="40580EF8"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22912" behindDoc="0" locked="0" layoutInCell="0" allowOverlap="1" wp14:anchorId="068DEC0F" wp14:editId="0DA5BDB0">
                <wp:simplePos x="0" y="0"/>
                <wp:positionH relativeFrom="column">
                  <wp:posOffset>4089400</wp:posOffset>
                </wp:positionH>
                <wp:positionV relativeFrom="paragraph">
                  <wp:posOffset>21590</wp:posOffset>
                </wp:positionV>
                <wp:extent cx="1117600" cy="317500"/>
                <wp:effectExtent l="3175" t="0" r="3175" b="0"/>
                <wp:wrapNone/>
                <wp:docPr id="3211" name="Text Box 2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317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9E9FBB" w14:textId="257FBE63" w:rsidR="009C1A5C" w:rsidRDefault="009C1A5C" w:rsidP="00265506">
                            <w:r>
                              <w:t>Sensor at -12”"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8DEC0F" id="Text Box 2505" o:spid="_x0000_s1031" type="#_x0000_t202" style="position:absolute;left:0;text-align:left;margin-left:322pt;margin-top:1.7pt;width:88pt;height:2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" o:allowincell="f" stroked="f">
                <v:textbox>
                  <w:txbxContent>
                    <w:p w14:paraId="379E9FBB" w14:textId="257FBE63" w:rsidR="009C1A5C" w:rsidRDefault="009C1A5C" w:rsidP="00265506">
                      <w:r>
                        <w:t>Sensor at -12”"</w:t>
                      </w:r>
                    </w:p>
                  </w:txbxContent>
                </v:textbox>
              </v:shape>
            </w:pict>
          </mc:Fallback>
        </mc:AlternateContent>
      </w:r>
      <w:r>
        <w:rPr>
          <w:rFonts w:ascii="Arial" w:hAnsi="Arial"/>
          <w:noProof/>
        </w:rPr>
        <mc:AlternateContent>
          <mc:Choice Requires="wps">
            <w:drawing>
              <wp:anchor distT="0" distB="0" distL="114300" distR="114300" simplePos="0" relativeHeight="251621888" behindDoc="0" locked="0" layoutInCell="0" allowOverlap="1" wp14:anchorId="2A6AD24B" wp14:editId="5F125A6A">
                <wp:simplePos x="0" y="0"/>
                <wp:positionH relativeFrom="column">
                  <wp:posOffset>2806700</wp:posOffset>
                </wp:positionH>
                <wp:positionV relativeFrom="paragraph">
                  <wp:posOffset>34290</wp:posOffset>
                </wp:positionV>
                <wp:extent cx="1003300" cy="317500"/>
                <wp:effectExtent l="0" t="2540" r="0" b="3810"/>
                <wp:wrapNone/>
                <wp:docPr id="3210" name="Text Box 2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300" cy="317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87B715" w14:textId="30B79A15" w:rsidR="009C1A5C" w:rsidRDefault="009C1A5C" w:rsidP="00265506">
                            <w:r>
                              <w:t>Sensor at 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6AD24B" id="Text Box 2504" o:spid="_x0000_s1032" type="#_x0000_t202" style="position:absolute;left:0;text-align:left;margin-left:221pt;margin-top:2.7pt;width:79pt;height:2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" o:allowincell="f" stroked="f">
                <v:textbox>
                  <w:txbxContent>
                    <w:p w14:paraId="6E87B715" w14:textId="30B79A15" w:rsidR="009C1A5C" w:rsidRDefault="009C1A5C" w:rsidP="00265506">
                      <w:r>
                        <w:t>Sensor at 0”"</w:t>
                      </w:r>
                    </w:p>
                  </w:txbxContent>
                </v:textbox>
              </v:shape>
            </w:pict>
          </mc:Fallback>
        </mc:AlternateContent>
      </w:r>
      <w:r>
        <w:rPr>
          <w:rFonts w:ascii="Arial" w:hAnsi="Arial"/>
          <w:noProof/>
        </w:rPr>
        <mc:AlternateContent>
          <mc:Choice Requires="wps">
            <w:drawing>
              <wp:anchor distT="0" distB="0" distL="114300" distR="114300" simplePos="0" relativeHeight="251625984" behindDoc="0" locked="0" layoutInCell="0" allowOverlap="1" wp14:anchorId="5E23862C" wp14:editId="13DF34E2">
                <wp:simplePos x="0" y="0"/>
                <wp:positionH relativeFrom="column">
                  <wp:posOffset>736600</wp:posOffset>
                </wp:positionH>
                <wp:positionV relativeFrom="paragraph">
                  <wp:posOffset>72390</wp:posOffset>
                </wp:positionV>
                <wp:extent cx="1066800" cy="317500"/>
                <wp:effectExtent l="3175" t="2540" r="0" b="3810"/>
                <wp:wrapNone/>
                <wp:docPr id="3209" name="Text Box 2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17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9A0682" w14:textId="0E9EE15D" w:rsidR="009C1A5C" w:rsidRDefault="009C1A5C" w:rsidP="00265506">
                            <w:r>
                              <w:t>Sensor at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23862C" id="Text Box 2508" o:spid="_x0000_s1033" type="#_x0000_t202" style="position:absolute;left:0;text-align:left;margin-left:58pt;margin-top:5.7pt;width:84pt;height:2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" o:allowincell="f" stroked="f">
                <v:textbox>
                  <w:txbxContent>
                    <w:p w14:paraId="559A0682" w14:textId="0E9EE15D" w:rsidR="009C1A5C" w:rsidRDefault="009C1A5C" w:rsidP="00265506">
                      <w:r>
                        <w:t>Sensor at 8”"</w:t>
                      </w:r>
                    </w:p>
                  </w:txbxContent>
                </v:textbox>
              </v:shape>
            </w:pict>
          </mc:Fallback>
        </mc:AlternateContent>
      </w:r>
    </w:p>
    <w:p w14:paraId="6B74F1A5" w14:textId="23C3AA48"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20864" behindDoc="0" locked="0" layoutInCell="0" allowOverlap="1" wp14:anchorId="74FC6EFB" wp14:editId="49A379DC">
                <wp:simplePos x="0" y="0"/>
                <wp:positionH relativeFrom="column">
                  <wp:posOffset>3724275</wp:posOffset>
                </wp:positionH>
                <wp:positionV relativeFrom="paragraph">
                  <wp:posOffset>59055</wp:posOffset>
                </wp:positionV>
                <wp:extent cx="382270" cy="462915"/>
                <wp:effectExtent l="66675" t="0" r="27305" b="40005"/>
                <wp:wrapNone/>
                <wp:docPr id="3208" name="Line 2503"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1041188" flipV="1">
                          <a:off x="0" y="0"/>
                          <a:ext cx="382270" cy="4629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3B3309" id="Line 2503" o:spid="_x0000_s1026" alt="sensor spacing diagram" style="position:absolute;rotation:11533038fd;flip:y;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3.25pt,4.65pt" to="323.35pt,4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" o:allowincell="f">
                <v:stroke endarrow="block"/>
              </v:line>
            </w:pict>
          </mc:Fallback>
        </mc:AlternateContent>
      </w:r>
      <w:r>
        <w:rPr>
          <w:rFonts w:ascii="Arial" w:hAnsi="Arial"/>
          <w:noProof/>
        </w:rPr>
        <mc:AlternateContent>
          <mc:Choice Requires="wps">
            <w:drawing>
              <wp:anchor distT="0" distB="0" distL="114300" distR="114300" simplePos="0" relativeHeight="251615744" behindDoc="0" locked="0" layoutInCell="0" allowOverlap="1" wp14:anchorId="4812BBD9" wp14:editId="123604FD">
                <wp:simplePos x="0" y="0"/>
                <wp:positionH relativeFrom="column">
                  <wp:posOffset>2263140</wp:posOffset>
                </wp:positionH>
                <wp:positionV relativeFrom="paragraph">
                  <wp:posOffset>12065</wp:posOffset>
                </wp:positionV>
                <wp:extent cx="45085" cy="573405"/>
                <wp:effectExtent l="34290" t="12065" r="34925" b="24130"/>
                <wp:wrapNone/>
                <wp:docPr id="3207" name="Line 2498"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1041188" flipH="1" flipV="1">
                          <a:off x="0" y="0"/>
                          <a:ext cx="45085" cy="5734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9BC910" id="Line 2498" o:spid="_x0000_s1026" alt="sensor spacing diagram" style="position:absolute;rotation:-11533038fd;flip:x y;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2pt,.95pt" to="181.75pt,4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" o:allowincell="f">
                <v:stroke endarrow="block"/>
              </v:line>
            </w:pict>
          </mc:Fallback>
        </mc:AlternateContent>
      </w:r>
      <w:r>
        <w:rPr>
          <w:rFonts w:ascii="Arial" w:hAnsi="Arial"/>
          <w:noProof/>
        </w:rPr>
        <mc:AlternateContent>
          <mc:Choice Requires="wps">
            <w:drawing>
              <wp:anchor distT="0" distB="0" distL="114300" distR="114300" simplePos="0" relativeHeight="251623936" behindDoc="0" locked="0" layoutInCell="0" allowOverlap="1" wp14:anchorId="2781A3D6" wp14:editId="27D3C407">
                <wp:simplePos x="0" y="0"/>
                <wp:positionH relativeFrom="column">
                  <wp:posOffset>2639060</wp:posOffset>
                </wp:positionH>
                <wp:positionV relativeFrom="paragraph">
                  <wp:posOffset>75565</wp:posOffset>
                </wp:positionV>
                <wp:extent cx="253365" cy="301625"/>
                <wp:effectExtent l="57785" t="0" r="22225" b="41910"/>
                <wp:wrapNone/>
                <wp:docPr id="3206" name="Line 2506"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1041188" flipV="1">
                          <a:off x="0" y="0"/>
                          <a:ext cx="253365" cy="3016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BEC9F8" id="Line 2506" o:spid="_x0000_s1026" alt="sensor spacing diagram" style="position:absolute;rotation:11533038fd;flip:y;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8pt,5.95pt" to="227.75pt,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" o:allowincell="f">
                <v:stroke endarrow="block"/>
              </v:line>
            </w:pict>
          </mc:Fallback>
        </mc:AlternateContent>
      </w:r>
    </w:p>
    <w:p w14:paraId="006729DA" w14:textId="03944759"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27008" behindDoc="0" locked="0" layoutInCell="0" allowOverlap="1" wp14:anchorId="7C0664D7" wp14:editId="56F4A267">
                <wp:simplePos x="0" y="0"/>
                <wp:positionH relativeFrom="column">
                  <wp:posOffset>1290320</wp:posOffset>
                </wp:positionH>
                <wp:positionV relativeFrom="paragraph">
                  <wp:posOffset>50165</wp:posOffset>
                </wp:positionV>
                <wp:extent cx="14605" cy="308610"/>
                <wp:effectExtent l="52070" t="5715" r="47625" b="19050"/>
                <wp:wrapNone/>
                <wp:docPr id="3205" name="Line 2509"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1041188" flipH="1" flipV="1">
                          <a:off x="0" y="0"/>
                          <a:ext cx="14605" cy="3086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2198CE" id="Line 2509" o:spid="_x0000_s1026" alt="sensor spacing diagram" style="position:absolute;rotation:-11533038fd;flip:x y;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1.6pt,3.95pt" to="102.75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" o:allowincell="f">
                <v:stroke endarrow="block"/>
              </v:line>
            </w:pict>
          </mc:Fallback>
        </mc:AlternateContent>
      </w:r>
    </w:p>
    <w:p w14:paraId="10BD3AAF" w14:textId="05A19AD2"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13696" behindDoc="0" locked="0" layoutInCell="0" allowOverlap="1" wp14:anchorId="66B418C0" wp14:editId="6A13BECB">
                <wp:simplePos x="0" y="0"/>
                <wp:positionH relativeFrom="column">
                  <wp:posOffset>2527300</wp:posOffset>
                </wp:positionH>
                <wp:positionV relativeFrom="paragraph">
                  <wp:posOffset>60325</wp:posOffset>
                </wp:positionV>
                <wp:extent cx="101600" cy="203200"/>
                <wp:effectExtent l="12700" t="9525" r="9525" b="6350"/>
                <wp:wrapNone/>
                <wp:docPr id="3204" name="Rectangle 2496"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00" cy="20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CA2330" id="Rectangle 2496" o:spid="_x0000_s1026" alt="sensor spacing diagram" style="position:absolute;margin-left:199pt;margin-top:4.75pt;width:8pt;height:16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" o:allowincell="f"/>
            </w:pict>
          </mc:Fallback>
        </mc:AlternateContent>
      </w:r>
    </w:p>
    <w:p w14:paraId="4680FEAD" w14:textId="5C26340F"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14720" behindDoc="0" locked="0" layoutInCell="0" allowOverlap="1" wp14:anchorId="2B4B0761" wp14:editId="05A8D91E">
                <wp:simplePos x="0" y="0"/>
                <wp:positionH relativeFrom="column">
                  <wp:posOffset>3632200</wp:posOffset>
                </wp:positionH>
                <wp:positionV relativeFrom="paragraph">
                  <wp:posOffset>26670</wp:posOffset>
                </wp:positionV>
                <wp:extent cx="101600" cy="203200"/>
                <wp:effectExtent l="12700" t="7620" r="9525" b="8255"/>
                <wp:wrapNone/>
                <wp:docPr id="3203" name="Rectangle 2497"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00" cy="20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13E095" id="Rectangle 2497" o:spid="_x0000_s1026" alt="sensor spacing diagram" style="position:absolute;margin-left:286pt;margin-top:2.1pt;width:8pt;height:16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" o:allowincell="f"/>
            </w:pict>
          </mc:Fallback>
        </mc:AlternateContent>
      </w:r>
      <w:r>
        <w:rPr>
          <w:rFonts w:ascii="Arial" w:hAnsi="Arial"/>
          <w:noProof/>
        </w:rPr>
        <mc:AlternateContent>
          <mc:Choice Requires="wps">
            <w:drawing>
              <wp:anchor distT="0" distB="0" distL="114300" distR="114300" simplePos="0" relativeHeight="251612672" behindDoc="0" locked="0" layoutInCell="0" allowOverlap="1" wp14:anchorId="1BC0555E" wp14:editId="7FE3D027">
                <wp:simplePos x="0" y="0"/>
                <wp:positionH relativeFrom="column">
                  <wp:posOffset>3073400</wp:posOffset>
                </wp:positionH>
                <wp:positionV relativeFrom="paragraph">
                  <wp:posOffset>102870</wp:posOffset>
                </wp:positionV>
                <wp:extent cx="0" cy="127000"/>
                <wp:effectExtent l="6350" t="7620" r="12700" b="8255"/>
                <wp:wrapNone/>
                <wp:docPr id="3202" name="Line 2495"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7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59B65C" id="Line 2495" o:spid="_x0000_s1026" alt="sensor spacing diagram" style="position:absolute;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2pt,8.1pt" to="242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" o:allowincell="f"/>
            </w:pict>
          </mc:Fallback>
        </mc:AlternateContent>
      </w:r>
      <w:r>
        <w:rPr>
          <w:rFonts w:ascii="Arial" w:hAnsi="Arial"/>
          <w:noProof/>
        </w:rPr>
        <mc:AlternateContent>
          <mc:Choice Requires="wps">
            <w:drawing>
              <wp:anchor distT="0" distB="0" distL="114300" distR="114300" simplePos="0" relativeHeight="251611648" behindDoc="0" locked="0" layoutInCell="0" allowOverlap="1" wp14:anchorId="24A9E912" wp14:editId="089FA89C">
                <wp:simplePos x="0" y="0"/>
                <wp:positionH relativeFrom="column">
                  <wp:posOffset>2032000</wp:posOffset>
                </wp:positionH>
                <wp:positionV relativeFrom="paragraph">
                  <wp:posOffset>102870</wp:posOffset>
                </wp:positionV>
                <wp:extent cx="0" cy="127000"/>
                <wp:effectExtent l="12700" t="7620" r="6350" b="8255"/>
                <wp:wrapNone/>
                <wp:docPr id="3201" name="Line 2494"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7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1F34DC" id="Line 2494" o:spid="_x0000_s1026" alt="sensor spacing diagram" style="position:absolute;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pt,8.1pt" to="160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" o:allowincell="f"/>
            </w:pict>
          </mc:Fallback>
        </mc:AlternateContent>
      </w:r>
      <w:r>
        <w:rPr>
          <w:rFonts w:ascii="Arial" w:hAnsi="Arial"/>
          <w:noProof/>
        </w:rPr>
        <mc:AlternateContent>
          <mc:Choice Requires="wps">
            <w:drawing>
              <wp:anchor distT="0" distB="0" distL="114300" distR="114300" simplePos="0" relativeHeight="251610624" behindDoc="0" locked="0" layoutInCell="0" allowOverlap="1" wp14:anchorId="4CF98A4F" wp14:editId="4CDC62BF">
                <wp:simplePos x="0" y="0"/>
                <wp:positionH relativeFrom="column">
                  <wp:posOffset>2044700</wp:posOffset>
                </wp:positionH>
                <wp:positionV relativeFrom="paragraph">
                  <wp:posOffset>102870</wp:posOffset>
                </wp:positionV>
                <wp:extent cx="1028700" cy="0"/>
                <wp:effectExtent l="6350" t="7620" r="12700" b="11430"/>
                <wp:wrapNone/>
                <wp:docPr id="3200" name="Line 2493"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3A093E" id="Line 2493" o:spid="_x0000_s1026" alt="sensor spacing diagram" style="position:absolute;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pt,8.1pt" to="242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" o:allowincell="f"/>
            </w:pict>
          </mc:Fallback>
        </mc:AlternateContent>
      </w:r>
      <w:r>
        <w:rPr>
          <w:rFonts w:ascii="Arial" w:hAnsi="Arial"/>
          <w:noProof/>
        </w:rPr>
        <mc:AlternateContent>
          <mc:Choice Requires="wps">
            <w:drawing>
              <wp:anchor distT="0" distB="0" distL="114300" distR="114300" simplePos="0" relativeHeight="251624960" behindDoc="0" locked="0" layoutInCell="0" allowOverlap="1" wp14:anchorId="4144A48F" wp14:editId="4C79AA00">
                <wp:simplePos x="0" y="0"/>
                <wp:positionH relativeFrom="column">
                  <wp:posOffset>1244600</wp:posOffset>
                </wp:positionH>
                <wp:positionV relativeFrom="paragraph">
                  <wp:posOffset>26670</wp:posOffset>
                </wp:positionV>
                <wp:extent cx="101600" cy="203200"/>
                <wp:effectExtent l="6350" t="7620" r="6350" b="8255"/>
                <wp:wrapNone/>
                <wp:docPr id="1727" name="Rectangle 2507"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00" cy="20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DE3897" id="Rectangle 2507" o:spid="_x0000_s1026" alt="sensor spacing diagram" style="position:absolute;margin-left:98pt;margin-top:2.1pt;width:8pt;height:16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" o:allowincell="f"/>
            </w:pict>
          </mc:Fallback>
        </mc:AlternateContent>
      </w:r>
    </w:p>
    <w:p w14:paraId="5DB71668" w14:textId="47D91D07"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08576" behindDoc="0" locked="0" layoutInCell="0" allowOverlap="1" wp14:anchorId="556C62B1" wp14:editId="0C414B55">
                <wp:simplePos x="0" y="0"/>
                <wp:positionH relativeFrom="column">
                  <wp:posOffset>3124200</wp:posOffset>
                </wp:positionH>
                <wp:positionV relativeFrom="paragraph">
                  <wp:posOffset>81915</wp:posOffset>
                </wp:positionV>
                <wp:extent cx="0" cy="762000"/>
                <wp:effectExtent l="9525" t="8890" r="9525" b="10160"/>
                <wp:wrapNone/>
                <wp:docPr id="1726" name="Line 2491"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2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72E41E" id="Line 2491" o:spid="_x0000_s1026" alt="sensor spacing diagram" style="position:absolute;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pt,6.45pt" to="246pt,6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" o:allowincell="f"/>
            </w:pict>
          </mc:Fallback>
        </mc:AlternateContent>
      </w:r>
      <w:r>
        <w:rPr>
          <w:rFonts w:ascii="Arial" w:hAnsi="Arial"/>
          <w:noProof/>
        </w:rPr>
        <mc:AlternateContent>
          <mc:Choice Requires="wps">
            <w:drawing>
              <wp:anchor distT="0" distB="0" distL="114300" distR="114300" simplePos="0" relativeHeight="251607552" behindDoc="0" locked="0" layoutInCell="0" allowOverlap="1" wp14:anchorId="06328749" wp14:editId="019293A2">
                <wp:simplePos x="0" y="0"/>
                <wp:positionH relativeFrom="column">
                  <wp:posOffset>152400</wp:posOffset>
                </wp:positionH>
                <wp:positionV relativeFrom="paragraph">
                  <wp:posOffset>69215</wp:posOffset>
                </wp:positionV>
                <wp:extent cx="114300" cy="762000"/>
                <wp:effectExtent l="19050" t="5715" r="19050" b="13335"/>
                <wp:wrapNone/>
                <wp:docPr id="1725" name="Freeform 2490"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762000"/>
                        </a:xfrm>
                        <a:custGeom>
                          <a:avLst/>
                          <a:gdLst>
                            <a:gd name="T0" fmla="*/ 100 w 180"/>
                            <a:gd name="T1" fmla="*/ 1180 h 1180"/>
                            <a:gd name="T2" fmla="*/ 140 w 180"/>
                            <a:gd name="T3" fmla="*/ 1060 h 1180"/>
                            <a:gd name="T4" fmla="*/ 160 w 180"/>
                            <a:gd name="T5" fmla="*/ 1000 h 1180"/>
                            <a:gd name="T6" fmla="*/ 180 w 180"/>
                            <a:gd name="T7" fmla="*/ 940 h 1180"/>
                            <a:gd name="T8" fmla="*/ 140 w 180"/>
                            <a:gd name="T9" fmla="*/ 640 h 1180"/>
                            <a:gd name="T10" fmla="*/ 80 w 180"/>
                            <a:gd name="T11" fmla="*/ 520 h 1180"/>
                            <a:gd name="T12" fmla="*/ 0 w 180"/>
                            <a:gd name="T13" fmla="*/ 220 h 1180"/>
                            <a:gd name="T14" fmla="*/ 40 w 180"/>
                            <a:gd name="T15" fmla="*/ 0 h 118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80" h="1180">
                              <a:moveTo>
                                <a:pt x="100" y="1180"/>
                              </a:moveTo>
                              <a:cubicBezTo>
                                <a:pt x="113" y="1140"/>
                                <a:pt x="127" y="1100"/>
                                <a:pt x="140" y="1060"/>
                              </a:cubicBezTo>
                              <a:cubicBezTo>
                                <a:pt x="147" y="1040"/>
                                <a:pt x="153" y="1020"/>
                                <a:pt x="160" y="1000"/>
                              </a:cubicBezTo>
                              <a:cubicBezTo>
                                <a:pt x="167" y="980"/>
                                <a:pt x="180" y="940"/>
                                <a:pt x="180" y="940"/>
                              </a:cubicBezTo>
                              <a:cubicBezTo>
                                <a:pt x="164" y="767"/>
                                <a:pt x="175" y="764"/>
                                <a:pt x="140" y="640"/>
                              </a:cubicBezTo>
                              <a:cubicBezTo>
                                <a:pt x="96" y="487"/>
                                <a:pt x="150" y="678"/>
                                <a:pt x="80" y="520"/>
                              </a:cubicBezTo>
                              <a:cubicBezTo>
                                <a:pt x="36" y="421"/>
                                <a:pt x="17" y="325"/>
                                <a:pt x="0" y="220"/>
                              </a:cubicBezTo>
                              <a:cubicBezTo>
                                <a:pt x="10" y="159"/>
                                <a:pt x="40" y="65"/>
                                <a:pt x="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91DE00" id="Freeform 2490" o:spid="_x0000_s1026" alt="sensor spacing diagram" style="position:absolute;margin-left:12pt;margin-top:5.45pt;width:9pt;height:60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0,1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" o:allowincell="f" path="m100,1180v13,-40,27,-80,40,-120c147,1040,153,1020,160,1000v7,-20,20,-60,20,-60c164,767,175,764,140,640,96,487,150,678,80,520,36,421,17,325,,220,10,159,40,65,40,e" filled="f">
                <v:path arrowok="t" o:connecttype="custom" o:connectlocs="63500,762000;88900,684508;101600,645763;114300,607017;88900,413288;50800,335797;0,142068;25400,0" o:connectangles="0,0,0,0,0,0,0,0"/>
              </v:shape>
            </w:pict>
          </mc:Fallback>
        </mc:AlternateContent>
      </w:r>
      <w:r>
        <w:rPr>
          <w:rFonts w:ascii="Arial" w:hAnsi="Arial"/>
          <w:noProof/>
        </w:rPr>
        <mc:AlternateContent>
          <mc:Choice Requires="wps">
            <w:drawing>
              <wp:anchor distT="0" distB="0" distL="114300" distR="114300" simplePos="0" relativeHeight="251606528" behindDoc="0" locked="0" layoutInCell="0" allowOverlap="1" wp14:anchorId="5988DBDA" wp14:editId="1382EDBA">
                <wp:simplePos x="0" y="0"/>
                <wp:positionH relativeFrom="column">
                  <wp:posOffset>5319395</wp:posOffset>
                </wp:positionH>
                <wp:positionV relativeFrom="paragraph">
                  <wp:posOffset>81915</wp:posOffset>
                </wp:positionV>
                <wp:extent cx="118110" cy="796925"/>
                <wp:effectExtent l="13970" t="8890" r="10795" b="13335"/>
                <wp:wrapNone/>
                <wp:docPr id="1724" name="Freeform 2489"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110" cy="796925"/>
                        </a:xfrm>
                        <a:custGeom>
                          <a:avLst/>
                          <a:gdLst>
                            <a:gd name="T0" fmla="*/ 143 w 186"/>
                            <a:gd name="T1" fmla="*/ 1200 h 1235"/>
                            <a:gd name="T2" fmla="*/ 83 w 186"/>
                            <a:gd name="T3" fmla="*/ 1080 h 1235"/>
                            <a:gd name="T4" fmla="*/ 23 w 186"/>
                            <a:gd name="T5" fmla="*/ 960 h 1235"/>
                            <a:gd name="T6" fmla="*/ 163 w 186"/>
                            <a:gd name="T7" fmla="*/ 560 h 1235"/>
                            <a:gd name="T8" fmla="*/ 143 w 186"/>
                            <a:gd name="T9" fmla="*/ 160 h 1235"/>
                            <a:gd name="T10" fmla="*/ 103 w 186"/>
                            <a:gd name="T11" fmla="*/ 0 h 1235"/>
                          </a:gdLst>
                          <a:ahLst/>
                          <a:cxnLst>
                            <a:cxn ang="0">
                              <a:pos x="T0" y="T1"/>
                            </a:cxn>
                            <a:cxn ang="0">
                              <a:pos x="T2" y="T3"/>
                            </a:cxn>
                            <a:cxn ang="0">
                              <a:pos x="T4" y="T5"/>
                            </a:cxn>
                            <a:cxn ang="0">
                              <a:pos x="T6" y="T7"/>
                            </a:cxn>
                            <a:cxn ang="0">
                              <a:pos x="T8" y="T9"/>
                            </a:cxn>
                            <a:cxn ang="0">
                              <a:pos x="T10" y="T11"/>
                            </a:cxn>
                          </a:cxnLst>
                          <a:rect l="0" t="0" r="r" b="b"/>
                          <a:pathLst>
                            <a:path w="186" h="1235">
                              <a:moveTo>
                                <a:pt x="143" y="1200"/>
                              </a:moveTo>
                              <a:cubicBezTo>
                                <a:pt x="93" y="1049"/>
                                <a:pt x="161" y="1235"/>
                                <a:pt x="83" y="1080"/>
                              </a:cubicBezTo>
                              <a:cubicBezTo>
                                <a:pt x="0" y="914"/>
                                <a:pt x="138" y="1132"/>
                                <a:pt x="23" y="960"/>
                              </a:cubicBezTo>
                              <a:cubicBezTo>
                                <a:pt x="43" y="742"/>
                                <a:pt x="21" y="702"/>
                                <a:pt x="163" y="560"/>
                              </a:cubicBezTo>
                              <a:cubicBezTo>
                                <a:pt x="186" y="421"/>
                                <a:pt x="174" y="298"/>
                                <a:pt x="143" y="160"/>
                              </a:cubicBezTo>
                              <a:cubicBezTo>
                                <a:pt x="132" y="111"/>
                                <a:pt x="103" y="50"/>
                                <a:pt x="103"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ADB3AE" id="Freeform 2489" o:spid="_x0000_s1026" alt="sensor spacing diagram" style="position:absolute;margin-left:418.85pt;margin-top:6.45pt;width:9.3pt;height:62.7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6,1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" o:allowincell="f" path="m143,1200v-50,-151,18,35,-60,-120c,914,138,1132,23,960,43,742,21,702,163,560,186,421,174,298,143,160,132,111,103,50,103,e" filled="f">
                <v:path arrowok="t" o:connecttype="custom" o:connectlocs="90805,774340;52705,696906;14605,619472;103505,361359;90805,103245;65405,0" o:connectangles="0,0,0,0,0,0"/>
              </v:shape>
            </w:pict>
          </mc:Fallback>
        </mc:AlternateContent>
      </w:r>
      <w:r>
        <w:rPr>
          <w:rFonts w:ascii="Arial" w:hAnsi="Arial"/>
          <w:noProof/>
        </w:rPr>
        <mc:AlternateContent>
          <mc:Choice Requires="wps">
            <w:drawing>
              <wp:anchor distT="0" distB="0" distL="114300" distR="114300" simplePos="0" relativeHeight="251604480" behindDoc="0" locked="0" layoutInCell="0" allowOverlap="1" wp14:anchorId="772AD26E" wp14:editId="4E90C0F1">
                <wp:simplePos x="0" y="0"/>
                <wp:positionH relativeFrom="column">
                  <wp:posOffset>165100</wp:posOffset>
                </wp:positionH>
                <wp:positionV relativeFrom="paragraph">
                  <wp:posOffset>69215</wp:posOffset>
                </wp:positionV>
                <wp:extent cx="5207000" cy="0"/>
                <wp:effectExtent l="12700" t="5715" r="9525" b="13335"/>
                <wp:wrapNone/>
                <wp:docPr id="1723" name="Line 2487"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07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88DE5E" id="Line 2487" o:spid="_x0000_s1026" alt="sensor spacing diagram" style="position:absolute;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pt,5.45pt" to="423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" o:allowincell="f"/>
            </w:pict>
          </mc:Fallback>
        </mc:AlternateContent>
      </w:r>
      <w:r>
        <w:rPr>
          <w:rFonts w:ascii="Arial" w:hAnsi="Arial"/>
          <w:noProof/>
        </w:rPr>
        <mc:AlternateContent>
          <mc:Choice Requires="wps">
            <w:drawing>
              <wp:anchor distT="0" distB="0" distL="114300" distR="114300" simplePos="0" relativeHeight="251609600" behindDoc="0" locked="0" layoutInCell="0" allowOverlap="1" wp14:anchorId="30391240" wp14:editId="0ED0BF2D">
                <wp:simplePos x="0" y="0"/>
                <wp:positionH relativeFrom="column">
                  <wp:posOffset>3200400</wp:posOffset>
                </wp:positionH>
                <wp:positionV relativeFrom="paragraph">
                  <wp:posOffset>69215</wp:posOffset>
                </wp:positionV>
                <wp:extent cx="0" cy="774700"/>
                <wp:effectExtent l="9525" t="5715" r="9525" b="10160"/>
                <wp:wrapNone/>
                <wp:docPr id="1722" name="Line 2492"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74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8A97B4" id="Line 2492" o:spid="_x0000_s1026" alt="sensor spacing diagram" style="position:absolute;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5.45pt" to="252pt,6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" o:allowincell="f"/>
            </w:pict>
          </mc:Fallback>
        </mc:AlternateContent>
      </w:r>
    </w:p>
    <w:p w14:paraId="53E384D9" w14:textId="47D23B05"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16768" behindDoc="0" locked="0" layoutInCell="0" allowOverlap="1" wp14:anchorId="2F67C8F5" wp14:editId="3B953087">
                <wp:simplePos x="0" y="0"/>
                <wp:positionH relativeFrom="column">
                  <wp:posOffset>1104900</wp:posOffset>
                </wp:positionH>
                <wp:positionV relativeFrom="paragraph">
                  <wp:posOffset>99060</wp:posOffset>
                </wp:positionV>
                <wp:extent cx="1320800" cy="482600"/>
                <wp:effectExtent l="0" t="635" r="3175" b="2540"/>
                <wp:wrapNone/>
                <wp:docPr id="1721" name="Text Box 2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800" cy="482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EAF0C4" w14:textId="77777777" w:rsidR="009C1A5C" w:rsidRDefault="009C1A5C" w:rsidP="00265506">
                            <w:pPr>
                              <w:jc w:val="center"/>
                            </w:pPr>
                            <w:r>
                              <w:t>PCC Slab</w:t>
                            </w:r>
                          </w:p>
                          <w:p w14:paraId="6F2369B7" w14:textId="77777777" w:rsidR="009C1A5C" w:rsidRDefault="009C1A5C" w:rsidP="00265506">
                            <w:pPr>
                              <w:jc w:val="center"/>
                            </w:pPr>
                            <w:r>
                              <w:t>(Approach Slab)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67C8F5" id="Text Box 2499" o:spid="_x0000_s1034" type="#_x0000_t202" style="position:absolute;left:0;text-align:left;margin-left:87pt;margin-top:7.8pt;width:104pt;height:38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" o:allowincell="f" stroked="f">
                <v:textbox>
                  <w:txbxContent>
                    <w:p w14:paraId="2BEAF0C4" w14:textId="77777777" w:rsidR="009C1A5C" w:rsidRDefault="009C1A5C" w:rsidP="00265506">
                      <w:pPr>
                        <w:jc w:val="center"/>
                      </w:pPr>
                      <w:r>
                        <w:t>PCC Slab</w:t>
                      </w:r>
                    </w:p>
                    <w:p w14:paraId="6F2369B7" w14:textId="77777777" w:rsidR="009C1A5C" w:rsidRDefault="009C1A5C" w:rsidP="00265506">
                      <w:pPr>
                        <w:jc w:val="center"/>
                      </w:pPr>
                      <w:r>
                        <w:t>(Approach Slab)</w:t>
                      </w:r>
                    </w:p>
                  </w:txbxContent>
                </v:textbox>
              </v:shape>
            </w:pict>
          </mc:Fallback>
        </mc:AlternateContent>
      </w:r>
      <w:r>
        <w:rPr>
          <w:rFonts w:ascii="Arial" w:hAnsi="Arial"/>
          <w:noProof/>
        </w:rPr>
        <mc:AlternateContent>
          <mc:Choice Requires="wps">
            <w:drawing>
              <wp:anchor distT="0" distB="0" distL="114300" distR="114300" simplePos="0" relativeHeight="251617792" behindDoc="0" locked="0" layoutInCell="0" allowOverlap="1" wp14:anchorId="6573767E" wp14:editId="1995BC9B">
                <wp:simplePos x="0" y="0"/>
                <wp:positionH relativeFrom="column">
                  <wp:posOffset>3695700</wp:posOffset>
                </wp:positionH>
                <wp:positionV relativeFrom="paragraph">
                  <wp:posOffset>124460</wp:posOffset>
                </wp:positionV>
                <wp:extent cx="1117600" cy="469900"/>
                <wp:effectExtent l="0" t="0" r="0" b="0"/>
                <wp:wrapNone/>
                <wp:docPr id="1720" name="Text Box 2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469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DDDE9A" w14:textId="77777777" w:rsidR="009C1A5C" w:rsidRDefault="009C1A5C" w:rsidP="00265506">
                            <w:pPr>
                              <w:jc w:val="center"/>
                            </w:pPr>
                            <w:r>
                              <w:t>PCC Slab</w:t>
                            </w:r>
                          </w:p>
                          <w:p w14:paraId="61B19282" w14:textId="77777777" w:rsidR="009C1A5C" w:rsidRDefault="009C1A5C" w:rsidP="00265506">
                            <w:pPr>
                              <w:jc w:val="center"/>
                            </w:pPr>
                            <w:r>
                              <w:t>(Leave Slab)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73767E" id="Text Box 2500" o:spid="_x0000_s1035" type="#_x0000_t202" style="position:absolute;left:0;text-align:left;margin-left:291pt;margin-top:9.8pt;width:88pt;height:37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" o:allowincell="f" stroked="f">
                <v:textbox>
                  <w:txbxContent>
                    <w:p w14:paraId="33DDDE9A" w14:textId="77777777" w:rsidR="009C1A5C" w:rsidRDefault="009C1A5C" w:rsidP="00265506">
                      <w:pPr>
                        <w:jc w:val="center"/>
                      </w:pPr>
                      <w:r>
                        <w:t>PCC Slab</w:t>
                      </w:r>
                    </w:p>
                    <w:p w14:paraId="61B19282" w14:textId="77777777" w:rsidR="009C1A5C" w:rsidRDefault="009C1A5C" w:rsidP="00265506">
                      <w:pPr>
                        <w:jc w:val="center"/>
                      </w:pPr>
                      <w:r>
                        <w:t>(Leave Slab)</w:t>
                      </w:r>
                    </w:p>
                  </w:txbxContent>
                </v:textbox>
              </v:shape>
            </w:pict>
          </mc:Fallback>
        </mc:AlternateContent>
      </w:r>
    </w:p>
    <w:p w14:paraId="5A6C5657" w14:textId="77777777" w:rsidR="00265506" w:rsidRDefault="00265506" w:rsidP="00BE3F24">
      <w:pPr>
        <w:jc w:val="both"/>
        <w:rPr>
          <w:rFonts w:ascii="Arial" w:hAnsi="Arial"/>
        </w:rPr>
      </w:pPr>
    </w:p>
    <w:p w14:paraId="09393BD3" w14:textId="3CFCEE26"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18816" behindDoc="0" locked="0" layoutInCell="0" allowOverlap="1" wp14:anchorId="20715150" wp14:editId="12E8BFF7">
                <wp:simplePos x="0" y="0"/>
                <wp:positionH relativeFrom="column">
                  <wp:posOffset>2672080</wp:posOffset>
                </wp:positionH>
                <wp:positionV relativeFrom="paragraph">
                  <wp:posOffset>3810</wp:posOffset>
                </wp:positionV>
                <wp:extent cx="418465" cy="636905"/>
                <wp:effectExtent l="33655" t="26035" r="71755" b="0"/>
                <wp:wrapNone/>
                <wp:docPr id="1719" name="Line 2501"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1041188" flipH="1">
                          <a:off x="0" y="0"/>
                          <a:ext cx="418465" cy="636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C80416" id="Line 2501" o:spid="_x0000_s1026" alt="sensor spacing diagram" style="position:absolute;rotation:11533038fd;flip:x;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4pt,.3pt" to="243.35pt,5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" o:allowincell="f">
                <v:stroke endarrow="block"/>
              </v:line>
            </w:pict>
          </mc:Fallback>
        </mc:AlternateContent>
      </w:r>
    </w:p>
    <w:p w14:paraId="73B8B68F" w14:textId="77777777" w:rsidR="00265506" w:rsidRDefault="00265506" w:rsidP="00BE3F24">
      <w:pPr>
        <w:jc w:val="both"/>
        <w:rPr>
          <w:rFonts w:ascii="Arial" w:hAnsi="Arial"/>
        </w:rPr>
      </w:pPr>
    </w:p>
    <w:p w14:paraId="104092E6" w14:textId="34F4E662"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05504" behindDoc="0" locked="0" layoutInCell="0" allowOverlap="1" wp14:anchorId="32B9325C" wp14:editId="0FD5097A">
                <wp:simplePos x="0" y="0"/>
                <wp:positionH relativeFrom="column">
                  <wp:posOffset>190500</wp:posOffset>
                </wp:positionH>
                <wp:positionV relativeFrom="paragraph">
                  <wp:posOffset>40640</wp:posOffset>
                </wp:positionV>
                <wp:extent cx="5232400" cy="0"/>
                <wp:effectExtent l="9525" t="12065" r="6350" b="6985"/>
                <wp:wrapNone/>
                <wp:docPr id="1718" name="Line 2488"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2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A5BA2B" id="Line 2488" o:spid="_x0000_s1026" alt="sensor spacing diagram" style="position:absolute;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3.2pt" to="427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" o:allowincell="f"/>
            </w:pict>
          </mc:Fallback>
        </mc:AlternateContent>
      </w:r>
    </w:p>
    <w:p w14:paraId="18503A47" w14:textId="456F0D65"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19840" behindDoc="0" locked="0" layoutInCell="0" allowOverlap="1" wp14:anchorId="41EC84A9" wp14:editId="29AA20B6">
                <wp:simplePos x="0" y="0"/>
                <wp:positionH relativeFrom="column">
                  <wp:posOffset>2425700</wp:posOffset>
                </wp:positionH>
                <wp:positionV relativeFrom="paragraph">
                  <wp:posOffset>70485</wp:posOffset>
                </wp:positionV>
                <wp:extent cx="596900" cy="317500"/>
                <wp:effectExtent l="0" t="0" r="0" b="0"/>
                <wp:wrapNone/>
                <wp:docPr id="1717" name="Text Box 2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 cy="317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6F28E" w14:textId="77777777" w:rsidR="009C1A5C" w:rsidRDefault="009C1A5C" w:rsidP="00265506">
                            <w:r>
                              <w:t>Joint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EC84A9" id="Text Box 2502" o:spid="_x0000_s1036" type="#_x0000_t202" style="position:absolute;left:0;text-align:left;margin-left:191pt;margin-top:5.55pt;width:47pt;height:2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" o:allowincell="f" stroked="f">
                <v:textbox>
                  <w:txbxContent>
                    <w:p w14:paraId="01A6F28E" w14:textId="77777777" w:rsidR="009C1A5C" w:rsidRDefault="009C1A5C" w:rsidP="00265506">
                      <w:r>
                        <w:t>Joint</w:t>
                      </w:r>
                    </w:p>
                  </w:txbxContent>
                </v:textbox>
              </v:shape>
            </w:pict>
          </mc:Fallback>
        </mc:AlternateContent>
      </w:r>
    </w:p>
    <w:p w14:paraId="58D87C86" w14:textId="77777777" w:rsidR="00265506" w:rsidRDefault="00265506" w:rsidP="00BE3F24">
      <w:pPr>
        <w:jc w:val="both"/>
        <w:rPr>
          <w:rFonts w:ascii="Arial" w:hAnsi="Arial"/>
        </w:rPr>
      </w:pPr>
    </w:p>
    <w:p w14:paraId="042E0C81" w14:textId="77777777" w:rsidR="00265506" w:rsidRPr="006332E8" w:rsidRDefault="00265506" w:rsidP="00BE3F24">
      <w:pPr>
        <w:jc w:val="both"/>
        <w:rPr>
          <w:rFonts w:ascii="Arial" w:hAnsi="Arial"/>
          <w:sz w:val="8"/>
        </w:rPr>
      </w:pPr>
    </w:p>
    <w:p w14:paraId="75A272F2" w14:textId="77777777" w:rsidR="00265506" w:rsidRDefault="00265506" w:rsidP="00BE3F24">
      <w:pPr>
        <w:jc w:val="both"/>
        <w:rPr>
          <w:rFonts w:ascii="Arial" w:hAnsi="Arial"/>
        </w:rPr>
      </w:pPr>
    </w:p>
    <w:p w14:paraId="7420B60E" w14:textId="7BE664F4"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29056" behindDoc="0" locked="0" layoutInCell="0" allowOverlap="1" wp14:anchorId="7EB5AD5F" wp14:editId="7AFC6AC3">
                <wp:simplePos x="0" y="0"/>
                <wp:positionH relativeFrom="column">
                  <wp:posOffset>1270000</wp:posOffset>
                </wp:positionH>
                <wp:positionV relativeFrom="paragraph">
                  <wp:posOffset>100965</wp:posOffset>
                </wp:positionV>
                <wp:extent cx="3022600" cy="0"/>
                <wp:effectExtent l="22225" t="59690" r="12700" b="54610"/>
                <wp:wrapNone/>
                <wp:docPr id="1716" name="Line 2511" descr="sensor spacing diagram"/>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022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395E4A" id="Line 2511" o:spid="_x0000_s1026" alt="sensor spacing diagram" style="position:absolute;flip:x;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pt,7.95pt" to="338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" o:allowincell="f">
                <v:stroke endarrow="block"/>
              </v:line>
            </w:pict>
          </mc:Fallback>
        </mc:AlternateContent>
      </w:r>
    </w:p>
    <w:p w14:paraId="25F538F0" w14:textId="06D77B4C" w:rsidR="00265506" w:rsidRDefault="004D64A3" w:rsidP="00BE3F24">
      <w:pPr>
        <w:jc w:val="both"/>
        <w:rPr>
          <w:rFonts w:ascii="Arial" w:hAnsi="Arial"/>
        </w:rPr>
      </w:pPr>
      <w:r>
        <w:rPr>
          <w:rFonts w:ascii="Arial" w:hAnsi="Arial"/>
          <w:noProof/>
        </w:rPr>
        <mc:AlternateContent>
          <mc:Choice Requires="wps">
            <w:drawing>
              <wp:anchor distT="0" distB="0" distL="114300" distR="114300" simplePos="0" relativeHeight="251630080" behindDoc="0" locked="0" layoutInCell="0" allowOverlap="1" wp14:anchorId="2DD49081" wp14:editId="4EB870D7">
                <wp:simplePos x="0" y="0"/>
                <wp:positionH relativeFrom="column">
                  <wp:posOffset>2108200</wp:posOffset>
                </wp:positionH>
                <wp:positionV relativeFrom="paragraph">
                  <wp:posOffset>-6985</wp:posOffset>
                </wp:positionV>
                <wp:extent cx="1320800" cy="323215"/>
                <wp:effectExtent l="3175" t="2540" r="0" b="0"/>
                <wp:wrapNone/>
                <wp:docPr id="1715" name="Text Box 2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800" cy="323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B58787" w14:textId="77777777" w:rsidR="009C1A5C" w:rsidRDefault="009C1A5C" w:rsidP="00265506">
                            <w:pPr>
                              <w:jc w:val="center"/>
                            </w:pPr>
                            <w:r>
                              <w:t>Direction of Travel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D49081" id="Text Box 2512" o:spid="_x0000_s1037" type="#_x0000_t202" style="position:absolute;left:0;text-align:left;margin-left:166pt;margin-top:-.55pt;width:104pt;height:25.4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" o:allowincell="f" stroked="f">
                <v:textbox>
                  <w:txbxContent>
                    <w:p w14:paraId="19B58787" w14:textId="77777777" w:rsidR="009C1A5C" w:rsidRDefault="009C1A5C" w:rsidP="00265506">
                      <w:pPr>
                        <w:jc w:val="center"/>
                      </w:pPr>
                      <w:r>
                        <w:t>Direction of Travel</w:t>
                      </w:r>
                    </w:p>
                  </w:txbxContent>
                </v:textbox>
              </v:shape>
            </w:pict>
          </mc:Fallback>
        </mc:AlternateContent>
      </w:r>
    </w:p>
    <w:p w14:paraId="4B9620C9" w14:textId="77777777" w:rsidR="00265506" w:rsidRDefault="00265506" w:rsidP="00BE3F24">
      <w:pPr>
        <w:jc w:val="both"/>
        <w:rPr>
          <w:rFonts w:ascii="Arial" w:hAnsi="Arial"/>
          <w:noProof/>
        </w:rPr>
      </w:pPr>
    </w:p>
    <w:p w14:paraId="59749170" w14:textId="77777777" w:rsidR="00265506" w:rsidRPr="006332E8" w:rsidRDefault="00265506" w:rsidP="00BE3F24">
      <w:pPr>
        <w:jc w:val="both"/>
        <w:rPr>
          <w:rFonts w:ascii="Arial" w:hAnsi="Arial"/>
          <w:noProof/>
          <w:sz w:val="6"/>
        </w:rPr>
      </w:pPr>
    </w:p>
    <w:p w14:paraId="67FC6E65" w14:textId="3A52779E" w:rsidR="00265506" w:rsidRDefault="00265506" w:rsidP="00C93B70">
      <w:pPr>
        <w:jc w:val="center"/>
        <w:rPr>
          <w:rFonts w:ascii="Arial" w:hAnsi="Arial"/>
          <w:b/>
          <w:sz w:val="22"/>
        </w:rPr>
      </w:pPr>
      <w:r w:rsidRPr="00D839EF">
        <w:rPr>
          <w:rFonts w:ascii="Arial" w:hAnsi="Arial"/>
          <w:b/>
          <w:sz w:val="22"/>
        </w:rPr>
        <w:t>Figure 5</w:t>
      </w:r>
      <w:r w:rsidRPr="00757B46">
        <w:rPr>
          <w:rFonts w:ascii="Arial" w:hAnsi="Arial"/>
          <w:b/>
          <w:noProof/>
          <w:sz w:val="22"/>
          <w:szCs w:val="22"/>
        </w:rPr>
        <w:t>:</w:t>
      </w:r>
      <w:r w:rsidR="00757B46" w:rsidRPr="00757B46">
        <w:rPr>
          <w:rFonts w:ascii="Arial" w:hAnsi="Arial"/>
          <w:b/>
          <w:noProof/>
          <w:sz w:val="22"/>
          <w:szCs w:val="22"/>
        </w:rPr>
        <w:t xml:space="preserve"> </w:t>
      </w:r>
      <w:r w:rsidRPr="00D839EF">
        <w:rPr>
          <w:rFonts w:ascii="Arial" w:hAnsi="Arial"/>
          <w:b/>
          <w:sz w:val="22"/>
        </w:rPr>
        <w:t xml:space="preserve"> Joint Load Transfer Testing Sensor Spacing</w:t>
      </w:r>
    </w:p>
    <w:p w14:paraId="08C3ABD6" w14:textId="77777777" w:rsidR="006332E8" w:rsidRPr="006332E8" w:rsidRDefault="006332E8" w:rsidP="00C93B70">
      <w:pPr>
        <w:jc w:val="center"/>
        <w:rPr>
          <w:rFonts w:ascii="Arial" w:hAnsi="Arial"/>
          <w:b/>
          <w:sz w:val="10"/>
        </w:rPr>
      </w:pPr>
    </w:p>
    <w:p w14:paraId="5A240A6E" w14:textId="02627F05" w:rsidR="00265506" w:rsidRDefault="00265506" w:rsidP="006332E8">
      <w:pPr>
        <w:pStyle w:val="ListNumber"/>
        <w:numPr>
          <w:ilvl w:val="0"/>
          <w:numId w:val="10"/>
        </w:numPr>
        <w:spacing w:before="0" w:after="240"/>
        <w:ind w:left="1080" w:hanging="1080"/>
        <w:jc w:val="both"/>
      </w:pPr>
      <w:r>
        <w:t>Determine the FWD Test Set-Up Identification number.  This selection is based on the results from Step</w:t>
      </w:r>
      <w:r w:rsidR="00757B46">
        <w:t>s</w:t>
      </w:r>
      <w:r>
        <w:t xml:space="preserve"> 6 and 7.  The ID number will be used in the </w:t>
      </w:r>
      <w:hyperlink r:id="rId92" w:history="1">
        <w:r w:rsidRPr="0017303F">
          <w:rPr>
            <w:rStyle w:val="Hyperlink"/>
          </w:rPr>
          <w:t>Test Request Database</w:t>
        </w:r>
      </w:hyperlink>
      <w:r>
        <w:t xml:space="preserve">.  This FWD Test Set-Up ID number will provide information concerning the test type and sensor spacing.  Use the table below to select the proper FWD Test Set-Up ID number. </w:t>
      </w:r>
    </w:p>
    <w:p w14:paraId="35F15DAC" w14:textId="77777777" w:rsidR="00B27F99" w:rsidRPr="00B27F99" w:rsidRDefault="00B27F99" w:rsidP="00B27F99">
      <w:pPr>
        <w:pStyle w:val="ListNumber"/>
        <w:tabs>
          <w:tab w:val="clear" w:pos="720"/>
          <w:tab w:val="clear" w:pos="1872"/>
        </w:tabs>
        <w:spacing w:before="0" w:after="240"/>
        <w:ind w:left="0" w:firstLine="0"/>
        <w:jc w:val="both"/>
        <w:rPr>
          <w:sz w:val="1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598"/>
        <w:gridCol w:w="2184"/>
        <w:gridCol w:w="1326"/>
        <w:gridCol w:w="3607"/>
      </w:tblGrid>
      <w:tr w:rsidR="00265506" w14:paraId="6DE7A8CC" w14:textId="77777777" w:rsidTr="004D1E74">
        <w:trPr>
          <w:trHeight w:val="360"/>
          <w:jc w:val="center"/>
        </w:trPr>
        <w:tc>
          <w:tcPr>
            <w:tcW w:w="1598" w:type="dxa"/>
            <w:shd w:val="pct15" w:color="auto" w:fill="FFFFFF"/>
            <w:vAlign w:val="center"/>
          </w:tcPr>
          <w:p w14:paraId="2B5254C7" w14:textId="77777777" w:rsidR="00265506" w:rsidRDefault="00265506" w:rsidP="00D839EF">
            <w:pPr>
              <w:pStyle w:val="ListNumber"/>
              <w:tabs>
                <w:tab w:val="clear" w:pos="720"/>
                <w:tab w:val="clear" w:pos="1872"/>
              </w:tabs>
              <w:spacing w:before="0"/>
              <w:ind w:left="0" w:firstLine="0"/>
              <w:jc w:val="both"/>
              <w:rPr>
                <w:b/>
                <w:sz w:val="20"/>
              </w:rPr>
            </w:pPr>
            <w:r>
              <w:rPr>
                <w:b/>
                <w:sz w:val="20"/>
              </w:rPr>
              <w:t>Test Set-Up ID</w:t>
            </w:r>
          </w:p>
        </w:tc>
        <w:tc>
          <w:tcPr>
            <w:tcW w:w="2184" w:type="dxa"/>
            <w:shd w:val="pct15" w:color="auto" w:fill="FFFFFF"/>
            <w:vAlign w:val="center"/>
          </w:tcPr>
          <w:p w14:paraId="108B28F1" w14:textId="77777777" w:rsidR="00265506" w:rsidRDefault="00265506" w:rsidP="00D839EF">
            <w:pPr>
              <w:pStyle w:val="ListNumber"/>
              <w:tabs>
                <w:tab w:val="clear" w:pos="720"/>
                <w:tab w:val="clear" w:pos="1872"/>
              </w:tabs>
              <w:spacing w:before="0"/>
              <w:ind w:left="0" w:firstLine="0"/>
              <w:jc w:val="both"/>
              <w:rPr>
                <w:b/>
                <w:sz w:val="20"/>
              </w:rPr>
            </w:pPr>
            <w:r>
              <w:rPr>
                <w:b/>
                <w:sz w:val="20"/>
              </w:rPr>
              <w:t>Pavement Type</w:t>
            </w:r>
          </w:p>
        </w:tc>
        <w:tc>
          <w:tcPr>
            <w:tcW w:w="1326" w:type="dxa"/>
            <w:shd w:val="pct15" w:color="auto" w:fill="FFFFFF"/>
            <w:vAlign w:val="center"/>
          </w:tcPr>
          <w:p w14:paraId="45AE6670" w14:textId="77777777" w:rsidR="00265506" w:rsidRDefault="00265506" w:rsidP="00D839EF">
            <w:pPr>
              <w:pStyle w:val="ListNumber"/>
              <w:tabs>
                <w:tab w:val="clear" w:pos="720"/>
                <w:tab w:val="clear" w:pos="1872"/>
              </w:tabs>
              <w:spacing w:before="0"/>
              <w:ind w:left="0" w:firstLine="0"/>
              <w:jc w:val="both"/>
              <w:rPr>
                <w:b/>
                <w:sz w:val="20"/>
              </w:rPr>
            </w:pPr>
            <w:r>
              <w:rPr>
                <w:b/>
                <w:sz w:val="20"/>
              </w:rPr>
              <w:t>Test Type</w:t>
            </w:r>
          </w:p>
        </w:tc>
        <w:tc>
          <w:tcPr>
            <w:tcW w:w="3607" w:type="dxa"/>
            <w:shd w:val="pct15" w:color="auto" w:fill="FFFFFF"/>
            <w:vAlign w:val="center"/>
          </w:tcPr>
          <w:p w14:paraId="4E9CBC11" w14:textId="77777777" w:rsidR="00265506" w:rsidRDefault="00265506" w:rsidP="00D839EF">
            <w:pPr>
              <w:pStyle w:val="ListNumber"/>
              <w:tabs>
                <w:tab w:val="clear" w:pos="720"/>
                <w:tab w:val="clear" w:pos="1872"/>
              </w:tabs>
              <w:spacing w:before="0"/>
              <w:ind w:left="0" w:firstLine="0"/>
              <w:jc w:val="both"/>
              <w:rPr>
                <w:b/>
                <w:sz w:val="20"/>
              </w:rPr>
            </w:pPr>
            <w:r>
              <w:rPr>
                <w:b/>
                <w:sz w:val="20"/>
              </w:rPr>
              <w:t>Sensor Spacing</w:t>
            </w:r>
          </w:p>
        </w:tc>
      </w:tr>
      <w:tr w:rsidR="00265506" w14:paraId="6EBF474E" w14:textId="77777777" w:rsidTr="004D1E74">
        <w:trPr>
          <w:trHeight w:val="360"/>
          <w:jc w:val="center"/>
        </w:trPr>
        <w:tc>
          <w:tcPr>
            <w:tcW w:w="1598" w:type="dxa"/>
            <w:vAlign w:val="center"/>
          </w:tcPr>
          <w:p w14:paraId="6B438508" w14:textId="77777777" w:rsidR="00265506" w:rsidRDefault="00265506" w:rsidP="00D839EF">
            <w:pPr>
              <w:pStyle w:val="ListNumber"/>
              <w:tabs>
                <w:tab w:val="clear" w:pos="720"/>
                <w:tab w:val="clear" w:pos="1872"/>
              </w:tabs>
              <w:spacing w:before="0"/>
              <w:ind w:left="0" w:firstLine="0"/>
              <w:jc w:val="center"/>
              <w:rPr>
                <w:sz w:val="20"/>
              </w:rPr>
            </w:pPr>
            <w:r>
              <w:rPr>
                <w:sz w:val="20"/>
              </w:rPr>
              <w:t>1</w:t>
            </w:r>
          </w:p>
        </w:tc>
        <w:tc>
          <w:tcPr>
            <w:tcW w:w="2184" w:type="dxa"/>
            <w:vAlign w:val="center"/>
          </w:tcPr>
          <w:p w14:paraId="1853658A" w14:textId="77777777" w:rsidR="00265506" w:rsidRDefault="00265506" w:rsidP="00D839EF">
            <w:pPr>
              <w:pStyle w:val="ListNumber"/>
              <w:tabs>
                <w:tab w:val="clear" w:pos="720"/>
                <w:tab w:val="clear" w:pos="1872"/>
              </w:tabs>
              <w:spacing w:before="0"/>
              <w:ind w:left="0" w:firstLine="0"/>
              <w:jc w:val="both"/>
              <w:rPr>
                <w:sz w:val="20"/>
              </w:rPr>
            </w:pPr>
            <w:r>
              <w:rPr>
                <w:sz w:val="20"/>
              </w:rPr>
              <w:t>Any Pavement</w:t>
            </w:r>
          </w:p>
        </w:tc>
        <w:tc>
          <w:tcPr>
            <w:tcW w:w="1326" w:type="dxa"/>
            <w:vAlign w:val="center"/>
          </w:tcPr>
          <w:p w14:paraId="526B2CAF" w14:textId="77777777" w:rsidR="00265506" w:rsidRDefault="00265506" w:rsidP="00D839EF">
            <w:pPr>
              <w:pStyle w:val="ListNumber"/>
              <w:tabs>
                <w:tab w:val="clear" w:pos="720"/>
                <w:tab w:val="clear" w:pos="1872"/>
              </w:tabs>
              <w:spacing w:before="0"/>
              <w:ind w:left="0" w:firstLine="0"/>
              <w:jc w:val="both"/>
              <w:rPr>
                <w:sz w:val="20"/>
              </w:rPr>
            </w:pPr>
            <w:r>
              <w:rPr>
                <w:sz w:val="20"/>
              </w:rPr>
              <w:t>Joint/Basin</w:t>
            </w:r>
          </w:p>
        </w:tc>
        <w:tc>
          <w:tcPr>
            <w:tcW w:w="3607" w:type="dxa"/>
            <w:vAlign w:val="center"/>
          </w:tcPr>
          <w:p w14:paraId="749E0F56" w14:textId="31A16612" w:rsidR="00265506" w:rsidRDefault="00265506" w:rsidP="00D839EF">
            <w:pPr>
              <w:pStyle w:val="ListNumber"/>
              <w:tabs>
                <w:tab w:val="clear" w:pos="720"/>
                <w:tab w:val="clear" w:pos="1872"/>
              </w:tabs>
              <w:spacing w:before="0"/>
              <w:ind w:left="0" w:firstLine="0"/>
              <w:jc w:val="both"/>
              <w:rPr>
                <w:sz w:val="20"/>
              </w:rPr>
            </w:pPr>
            <w:r>
              <w:rPr>
                <w:sz w:val="20"/>
              </w:rPr>
              <w:t>-12</w:t>
            </w:r>
            <w:r w:rsidR="0031218F">
              <w:rPr>
                <w:sz w:val="20"/>
              </w:rPr>
              <w:t>"</w:t>
            </w:r>
            <w:r>
              <w:rPr>
                <w:sz w:val="20"/>
              </w:rPr>
              <w:t>, 0</w:t>
            </w:r>
            <w:r w:rsidR="0031218F">
              <w:rPr>
                <w:sz w:val="20"/>
              </w:rPr>
              <w:t>"</w:t>
            </w:r>
            <w:r>
              <w:rPr>
                <w:sz w:val="20"/>
              </w:rPr>
              <w:t>, 8</w:t>
            </w:r>
            <w:r w:rsidR="0031218F">
              <w:rPr>
                <w:sz w:val="20"/>
              </w:rPr>
              <w:t>",</w:t>
            </w:r>
            <w:r>
              <w:rPr>
                <w:sz w:val="20"/>
              </w:rPr>
              <w:t xml:space="preserve"> 12</w:t>
            </w:r>
            <w:r w:rsidR="0031218F">
              <w:rPr>
                <w:sz w:val="20"/>
              </w:rPr>
              <w:t>"</w:t>
            </w:r>
            <w:r>
              <w:rPr>
                <w:sz w:val="20"/>
              </w:rPr>
              <w:t>, 18</w:t>
            </w:r>
            <w:r w:rsidR="0031218F">
              <w:rPr>
                <w:sz w:val="20"/>
              </w:rPr>
              <w:t>"</w:t>
            </w:r>
            <w:r>
              <w:rPr>
                <w:sz w:val="20"/>
              </w:rPr>
              <w:t>, 24</w:t>
            </w:r>
            <w:r w:rsidR="0031218F">
              <w:rPr>
                <w:sz w:val="20"/>
              </w:rPr>
              <w:t>"</w:t>
            </w:r>
            <w:r>
              <w:rPr>
                <w:sz w:val="20"/>
              </w:rPr>
              <w:t>, 36</w:t>
            </w:r>
            <w:r w:rsidR="0031218F">
              <w:rPr>
                <w:sz w:val="20"/>
              </w:rPr>
              <w:t>"</w:t>
            </w:r>
            <w:r>
              <w:rPr>
                <w:sz w:val="20"/>
              </w:rPr>
              <w:t>, 48</w:t>
            </w:r>
            <w:r w:rsidR="0031218F">
              <w:rPr>
                <w:sz w:val="20"/>
              </w:rPr>
              <w:t>"</w:t>
            </w:r>
            <w:r>
              <w:rPr>
                <w:sz w:val="20"/>
              </w:rPr>
              <w:t>, 60</w:t>
            </w:r>
            <w:r w:rsidR="0031218F">
              <w:rPr>
                <w:sz w:val="20"/>
              </w:rPr>
              <w:t>"</w:t>
            </w:r>
          </w:p>
        </w:tc>
      </w:tr>
      <w:tr w:rsidR="00265506" w14:paraId="04B31105" w14:textId="77777777" w:rsidTr="004D1E74">
        <w:trPr>
          <w:trHeight w:val="360"/>
          <w:jc w:val="center"/>
        </w:trPr>
        <w:tc>
          <w:tcPr>
            <w:tcW w:w="1598" w:type="dxa"/>
            <w:vAlign w:val="center"/>
          </w:tcPr>
          <w:p w14:paraId="3B1F7F49" w14:textId="77777777" w:rsidR="00265506" w:rsidRDefault="00265506" w:rsidP="00D839EF">
            <w:pPr>
              <w:pStyle w:val="ListNumber"/>
              <w:tabs>
                <w:tab w:val="clear" w:pos="720"/>
                <w:tab w:val="clear" w:pos="1872"/>
              </w:tabs>
              <w:spacing w:before="0"/>
              <w:ind w:left="0" w:firstLine="0"/>
              <w:jc w:val="center"/>
              <w:rPr>
                <w:sz w:val="20"/>
              </w:rPr>
            </w:pPr>
            <w:r>
              <w:rPr>
                <w:sz w:val="20"/>
              </w:rPr>
              <w:t>2</w:t>
            </w:r>
          </w:p>
        </w:tc>
        <w:tc>
          <w:tcPr>
            <w:tcW w:w="2184" w:type="dxa"/>
            <w:vAlign w:val="center"/>
          </w:tcPr>
          <w:p w14:paraId="4262E86A" w14:textId="77777777" w:rsidR="00265506" w:rsidRDefault="00265506" w:rsidP="00D839EF">
            <w:pPr>
              <w:pStyle w:val="ListNumber"/>
              <w:tabs>
                <w:tab w:val="clear" w:pos="720"/>
                <w:tab w:val="clear" w:pos="1872"/>
              </w:tabs>
              <w:spacing w:before="0"/>
              <w:ind w:left="0" w:firstLine="0"/>
              <w:jc w:val="both"/>
              <w:rPr>
                <w:sz w:val="20"/>
              </w:rPr>
            </w:pPr>
            <w:r>
              <w:rPr>
                <w:sz w:val="20"/>
              </w:rPr>
              <w:t>Any Pavement (Thick)</w:t>
            </w:r>
          </w:p>
        </w:tc>
        <w:tc>
          <w:tcPr>
            <w:tcW w:w="1326" w:type="dxa"/>
            <w:vAlign w:val="center"/>
          </w:tcPr>
          <w:p w14:paraId="677AFCA1" w14:textId="77777777" w:rsidR="00265506" w:rsidRDefault="00265506" w:rsidP="00D839EF">
            <w:pPr>
              <w:pStyle w:val="ListNumber"/>
              <w:tabs>
                <w:tab w:val="clear" w:pos="720"/>
                <w:tab w:val="clear" w:pos="1872"/>
              </w:tabs>
              <w:spacing w:before="0"/>
              <w:ind w:left="0" w:firstLine="0"/>
              <w:jc w:val="both"/>
              <w:rPr>
                <w:sz w:val="20"/>
              </w:rPr>
            </w:pPr>
            <w:r>
              <w:rPr>
                <w:sz w:val="20"/>
              </w:rPr>
              <w:t>Joint/Basin</w:t>
            </w:r>
          </w:p>
        </w:tc>
        <w:tc>
          <w:tcPr>
            <w:tcW w:w="3607" w:type="dxa"/>
            <w:vAlign w:val="center"/>
          </w:tcPr>
          <w:p w14:paraId="743A8952" w14:textId="52432B28" w:rsidR="00265506" w:rsidRDefault="0031218F" w:rsidP="00D839EF">
            <w:pPr>
              <w:pStyle w:val="ListNumber"/>
              <w:tabs>
                <w:tab w:val="clear" w:pos="720"/>
                <w:tab w:val="clear" w:pos="1872"/>
              </w:tabs>
              <w:spacing w:before="0"/>
              <w:ind w:left="0" w:firstLine="0"/>
              <w:jc w:val="both"/>
              <w:rPr>
                <w:sz w:val="20"/>
              </w:rPr>
            </w:pPr>
            <w:r>
              <w:rPr>
                <w:sz w:val="20"/>
              </w:rPr>
              <w:t>0", 8", 12", 18", 24", 36", 48", 60"</w:t>
            </w:r>
            <w:r w:rsidR="00265506">
              <w:rPr>
                <w:sz w:val="20"/>
              </w:rPr>
              <w:t>, 72</w:t>
            </w:r>
            <w:r>
              <w:rPr>
                <w:sz w:val="20"/>
              </w:rPr>
              <w:t>"</w:t>
            </w:r>
          </w:p>
        </w:tc>
      </w:tr>
    </w:tbl>
    <w:p w14:paraId="7F71C317" w14:textId="7063E83E" w:rsidR="00265506" w:rsidRDefault="00265506" w:rsidP="00D839EF">
      <w:pPr>
        <w:pStyle w:val="ListNumber"/>
        <w:numPr>
          <w:ilvl w:val="0"/>
          <w:numId w:val="10"/>
        </w:numPr>
        <w:spacing w:before="240"/>
        <w:ind w:left="1080" w:hanging="1080"/>
        <w:jc w:val="both"/>
      </w:pPr>
      <w:r>
        <w:t>Determine the FWD load package and drop sequence identification number.  This decision will dictate the force of the load applied to the pavement, the number of drops, the number of seating drops, and the sequence of the drops.  A seating drop is a load applied to the pavement to seat the load plate, perform a quality check on the sensors and load cell, and to warm the buffers beneath the weights on the FWD properly.  No deflection or load data is recorded during a seating drop.  It is typical to have at least one seating drop prior to any testing at a new test point</w:t>
      </w:r>
      <w:r w:rsidR="0031218F">
        <w:t>,</w:t>
      </w:r>
      <w:r>
        <w:t xml:space="preserve"> and one seating drop prior to each drop height change.  The height the weights of the FWD are raised dictate</w:t>
      </w:r>
      <w:r w:rsidR="0031218F">
        <w:t>s</w:t>
      </w:r>
      <w:r>
        <w:t xml:space="preserve"> the amount of load applied to the pavement.  The</w:t>
      </w:r>
      <w:r w:rsidR="007B1796">
        <w:t>re</w:t>
      </w:r>
      <w:r>
        <w:t xml:space="preserve"> are four basic drop heights</w:t>
      </w:r>
      <w:r w:rsidR="007B1796">
        <w:t>,</w:t>
      </w:r>
      <w:r>
        <w:t xml:space="preserve"> known as 1, 2, 3, and 4.  These heights typically result in a load applied to the pavement of 6</w:t>
      </w:r>
      <w:r w:rsidR="0031218F">
        <w:t>,</w:t>
      </w:r>
      <w:r>
        <w:t>000 lbs., 9</w:t>
      </w:r>
      <w:r w:rsidR="0031218F">
        <w:t>,</w:t>
      </w:r>
      <w:r>
        <w:t>000 lbs., 12</w:t>
      </w:r>
      <w:r w:rsidR="0031218F">
        <w:t>,</w:t>
      </w:r>
      <w:r>
        <w:t>000 lbs., or 18</w:t>
      </w:r>
      <w:r w:rsidR="0031218F">
        <w:t>,</w:t>
      </w:r>
      <w:r>
        <w:t>000 lbs.  The seating drops are done at the same drop heights, but are known as A, B, C, and D.  Therefore</w:t>
      </w:r>
      <w:r w:rsidR="0031218F">
        <w:t>,</w:t>
      </w:r>
      <w:r>
        <w:t xml:space="preserve"> a load package and drop sequence written as “BC3D4” would result in the following: </w:t>
      </w:r>
    </w:p>
    <w:p w14:paraId="4A563FD1" w14:textId="40D122D9" w:rsidR="00265506" w:rsidRDefault="00265506" w:rsidP="00D839EF">
      <w:pPr>
        <w:pStyle w:val="ListNumber"/>
        <w:tabs>
          <w:tab w:val="clear" w:pos="720"/>
          <w:tab w:val="clear" w:pos="1872"/>
        </w:tabs>
        <w:jc w:val="both"/>
      </w:pPr>
      <w:r>
        <w:t>- a seating drop at 9</w:t>
      </w:r>
      <w:r w:rsidR="00D839EF">
        <w:t>,</w:t>
      </w:r>
      <w:r>
        <w:t xml:space="preserve">000 lbs. for a new test point, </w:t>
      </w:r>
    </w:p>
    <w:p w14:paraId="69DB1582" w14:textId="4EAFFABD" w:rsidR="00265506" w:rsidRDefault="00265506" w:rsidP="00D839EF">
      <w:pPr>
        <w:pStyle w:val="ListNumber"/>
        <w:tabs>
          <w:tab w:val="clear" w:pos="720"/>
          <w:tab w:val="clear" w:pos="1872"/>
        </w:tabs>
        <w:jc w:val="both"/>
      </w:pPr>
      <w:r>
        <w:t>- a seating drop at 12</w:t>
      </w:r>
      <w:r w:rsidR="00D839EF">
        <w:t>,</w:t>
      </w:r>
      <w:r>
        <w:t xml:space="preserve">000 lbs. for a new drop height, </w:t>
      </w:r>
    </w:p>
    <w:p w14:paraId="14D4FB3D" w14:textId="5033023F" w:rsidR="00265506" w:rsidRDefault="00265506" w:rsidP="00D839EF">
      <w:pPr>
        <w:pStyle w:val="ListNumber"/>
        <w:tabs>
          <w:tab w:val="clear" w:pos="720"/>
          <w:tab w:val="clear" w:pos="1872"/>
        </w:tabs>
        <w:jc w:val="both"/>
      </w:pPr>
      <w:r>
        <w:t>- a recorded drop at 12</w:t>
      </w:r>
      <w:r w:rsidR="00D839EF">
        <w:t>,</w:t>
      </w:r>
      <w:r>
        <w:t xml:space="preserve">000 lbs., </w:t>
      </w:r>
    </w:p>
    <w:p w14:paraId="49B712ED" w14:textId="4FE9FFB4" w:rsidR="00265506" w:rsidRDefault="00265506" w:rsidP="00D839EF">
      <w:pPr>
        <w:pStyle w:val="ListNumber"/>
        <w:tabs>
          <w:tab w:val="clear" w:pos="720"/>
          <w:tab w:val="clear" w:pos="1872"/>
        </w:tabs>
        <w:jc w:val="both"/>
      </w:pPr>
      <w:r>
        <w:t>- a seating drop at 18</w:t>
      </w:r>
      <w:r w:rsidR="00D839EF">
        <w:t>,</w:t>
      </w:r>
      <w:r>
        <w:t>000 lbs. for a new drop height, and</w:t>
      </w:r>
    </w:p>
    <w:p w14:paraId="0F5DD7AE" w14:textId="5F038DE8" w:rsidR="00265506" w:rsidRDefault="00265506" w:rsidP="00D839EF">
      <w:pPr>
        <w:pStyle w:val="ListNumber"/>
        <w:tabs>
          <w:tab w:val="clear" w:pos="720"/>
          <w:tab w:val="clear" w:pos="1872"/>
        </w:tabs>
        <w:jc w:val="both"/>
      </w:pPr>
      <w:r>
        <w:t>- a recorded drop at 18</w:t>
      </w:r>
      <w:r w:rsidR="00D839EF">
        <w:t>,</w:t>
      </w:r>
      <w:r>
        <w:t xml:space="preserve">000 lbs.  </w:t>
      </w:r>
    </w:p>
    <w:p w14:paraId="1E27EFED" w14:textId="77777777" w:rsidR="00C93B70" w:rsidRDefault="00265506" w:rsidP="00D839EF">
      <w:pPr>
        <w:pStyle w:val="ListNumber"/>
        <w:tabs>
          <w:tab w:val="clear" w:pos="720"/>
          <w:tab w:val="clear" w:pos="1872"/>
        </w:tabs>
        <w:spacing w:after="240"/>
        <w:ind w:left="1080" w:firstLine="0"/>
        <w:jc w:val="both"/>
      </w:pPr>
      <w:r>
        <w:t xml:space="preserve">The pavement type and thickness and FWD test type dictate the load package. Use the table below to select the proper load package and drop sequence for your particular section within a project.  Additional drops and sequences can be selected; the list in the </w:t>
      </w:r>
      <w:r w:rsidR="00C93B70">
        <w:t xml:space="preserve">following </w:t>
      </w:r>
      <w:r>
        <w:t>table is only a typical range of acceptable load packages and sequences.</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355"/>
        <w:gridCol w:w="1954"/>
        <w:gridCol w:w="1788"/>
        <w:gridCol w:w="1260"/>
        <w:gridCol w:w="2112"/>
      </w:tblGrid>
      <w:tr w:rsidR="00265506" w14:paraId="6239FFFB" w14:textId="77777777" w:rsidTr="0008611F">
        <w:trPr>
          <w:trHeight w:val="317"/>
          <w:jc w:val="right"/>
        </w:trPr>
        <w:tc>
          <w:tcPr>
            <w:tcW w:w="1355" w:type="dxa"/>
            <w:shd w:val="pct15" w:color="auto" w:fill="FFFFFF"/>
            <w:vAlign w:val="center"/>
          </w:tcPr>
          <w:p w14:paraId="7D2C1609" w14:textId="77777777" w:rsidR="00265506" w:rsidRDefault="00265506" w:rsidP="00D839EF">
            <w:pPr>
              <w:pStyle w:val="ListNumber"/>
              <w:tabs>
                <w:tab w:val="clear" w:pos="720"/>
                <w:tab w:val="clear" w:pos="1872"/>
              </w:tabs>
              <w:spacing w:before="0"/>
              <w:ind w:left="0" w:firstLine="0"/>
              <w:jc w:val="center"/>
              <w:rPr>
                <w:b/>
                <w:sz w:val="20"/>
              </w:rPr>
            </w:pPr>
            <w:r>
              <w:rPr>
                <w:b/>
                <w:sz w:val="20"/>
              </w:rPr>
              <w:t>Load Package ID</w:t>
            </w:r>
          </w:p>
        </w:tc>
        <w:tc>
          <w:tcPr>
            <w:tcW w:w="1954" w:type="dxa"/>
            <w:shd w:val="pct15" w:color="auto" w:fill="FFFFFF"/>
            <w:vAlign w:val="center"/>
          </w:tcPr>
          <w:p w14:paraId="1F56474A" w14:textId="77777777" w:rsidR="00265506" w:rsidRDefault="00265506" w:rsidP="00D839EF">
            <w:pPr>
              <w:pStyle w:val="ListNumber"/>
              <w:tabs>
                <w:tab w:val="clear" w:pos="720"/>
                <w:tab w:val="clear" w:pos="1872"/>
              </w:tabs>
              <w:spacing w:before="0"/>
              <w:ind w:left="0" w:firstLine="0"/>
              <w:jc w:val="center"/>
              <w:rPr>
                <w:b/>
                <w:sz w:val="20"/>
              </w:rPr>
            </w:pPr>
            <w:r>
              <w:rPr>
                <w:b/>
                <w:sz w:val="20"/>
              </w:rPr>
              <w:t>Pavement Type</w:t>
            </w:r>
          </w:p>
        </w:tc>
        <w:tc>
          <w:tcPr>
            <w:tcW w:w="1788" w:type="dxa"/>
            <w:shd w:val="pct15" w:color="auto" w:fill="FFFFFF"/>
            <w:vAlign w:val="center"/>
          </w:tcPr>
          <w:p w14:paraId="4BF9AAA3" w14:textId="77777777" w:rsidR="00265506" w:rsidRDefault="00265506" w:rsidP="00D839EF">
            <w:pPr>
              <w:pStyle w:val="ListNumber"/>
              <w:tabs>
                <w:tab w:val="clear" w:pos="720"/>
                <w:tab w:val="clear" w:pos="1872"/>
              </w:tabs>
              <w:spacing w:before="0"/>
              <w:ind w:left="0" w:firstLine="0"/>
              <w:jc w:val="center"/>
              <w:rPr>
                <w:b/>
                <w:sz w:val="20"/>
              </w:rPr>
            </w:pPr>
            <w:r>
              <w:rPr>
                <w:b/>
                <w:sz w:val="20"/>
              </w:rPr>
              <w:t>HMA Thickness</w:t>
            </w:r>
          </w:p>
        </w:tc>
        <w:tc>
          <w:tcPr>
            <w:tcW w:w="1260" w:type="dxa"/>
            <w:shd w:val="pct15" w:color="auto" w:fill="FFFFFF"/>
            <w:vAlign w:val="center"/>
          </w:tcPr>
          <w:p w14:paraId="4414175E" w14:textId="77777777" w:rsidR="00265506" w:rsidRDefault="00265506" w:rsidP="00D839EF">
            <w:pPr>
              <w:pStyle w:val="ListNumber"/>
              <w:tabs>
                <w:tab w:val="clear" w:pos="720"/>
                <w:tab w:val="clear" w:pos="1872"/>
              </w:tabs>
              <w:spacing w:before="0"/>
              <w:ind w:left="0" w:firstLine="0"/>
              <w:jc w:val="center"/>
              <w:rPr>
                <w:b/>
                <w:sz w:val="20"/>
              </w:rPr>
            </w:pPr>
            <w:r>
              <w:rPr>
                <w:b/>
                <w:sz w:val="20"/>
              </w:rPr>
              <w:t>Test Type</w:t>
            </w:r>
          </w:p>
        </w:tc>
        <w:tc>
          <w:tcPr>
            <w:tcW w:w="2112" w:type="dxa"/>
            <w:shd w:val="pct15" w:color="auto" w:fill="FFFFFF"/>
            <w:vAlign w:val="center"/>
          </w:tcPr>
          <w:p w14:paraId="51D1370E" w14:textId="77777777" w:rsidR="00265506" w:rsidRDefault="00265506" w:rsidP="00D839EF">
            <w:pPr>
              <w:pStyle w:val="ListNumber"/>
              <w:tabs>
                <w:tab w:val="clear" w:pos="720"/>
                <w:tab w:val="clear" w:pos="1872"/>
              </w:tabs>
              <w:spacing w:before="0"/>
              <w:ind w:left="0" w:firstLine="0"/>
              <w:jc w:val="center"/>
              <w:rPr>
                <w:b/>
                <w:sz w:val="20"/>
              </w:rPr>
            </w:pPr>
            <w:r>
              <w:rPr>
                <w:b/>
                <w:sz w:val="20"/>
              </w:rPr>
              <w:t>Load Package and Sequence</w:t>
            </w:r>
          </w:p>
        </w:tc>
      </w:tr>
      <w:tr w:rsidR="00265506" w14:paraId="2B75B99E" w14:textId="77777777" w:rsidTr="0008611F">
        <w:trPr>
          <w:trHeight w:val="317"/>
          <w:jc w:val="right"/>
        </w:trPr>
        <w:tc>
          <w:tcPr>
            <w:tcW w:w="1355" w:type="dxa"/>
            <w:vAlign w:val="center"/>
          </w:tcPr>
          <w:p w14:paraId="661E2F9A" w14:textId="77777777" w:rsidR="00265506" w:rsidRDefault="00265506" w:rsidP="00D839EF">
            <w:pPr>
              <w:pStyle w:val="ListNumber"/>
              <w:tabs>
                <w:tab w:val="clear" w:pos="720"/>
                <w:tab w:val="clear" w:pos="1872"/>
              </w:tabs>
              <w:spacing w:before="0"/>
              <w:ind w:left="0" w:firstLine="0"/>
              <w:jc w:val="center"/>
              <w:rPr>
                <w:sz w:val="20"/>
              </w:rPr>
            </w:pPr>
            <w:r>
              <w:rPr>
                <w:sz w:val="20"/>
              </w:rPr>
              <w:t>1</w:t>
            </w:r>
          </w:p>
        </w:tc>
        <w:tc>
          <w:tcPr>
            <w:tcW w:w="1954" w:type="dxa"/>
            <w:vAlign w:val="center"/>
          </w:tcPr>
          <w:p w14:paraId="2F15049B" w14:textId="77777777" w:rsidR="00265506" w:rsidRDefault="00265506" w:rsidP="00D839EF">
            <w:pPr>
              <w:pStyle w:val="ListNumber"/>
              <w:tabs>
                <w:tab w:val="clear" w:pos="720"/>
                <w:tab w:val="clear" w:pos="1872"/>
              </w:tabs>
              <w:spacing w:before="0"/>
              <w:ind w:left="0" w:firstLine="0"/>
              <w:jc w:val="center"/>
              <w:rPr>
                <w:sz w:val="20"/>
              </w:rPr>
            </w:pPr>
            <w:r>
              <w:rPr>
                <w:sz w:val="20"/>
              </w:rPr>
              <w:t>Flexible</w:t>
            </w:r>
          </w:p>
        </w:tc>
        <w:tc>
          <w:tcPr>
            <w:tcW w:w="1788" w:type="dxa"/>
            <w:vAlign w:val="center"/>
          </w:tcPr>
          <w:p w14:paraId="545E8A18" w14:textId="2667DE3E" w:rsidR="00265506" w:rsidRDefault="00265506" w:rsidP="00D839EF">
            <w:pPr>
              <w:pStyle w:val="ListNumber"/>
              <w:tabs>
                <w:tab w:val="clear" w:pos="720"/>
                <w:tab w:val="clear" w:pos="1872"/>
              </w:tabs>
              <w:spacing w:before="0"/>
              <w:ind w:left="0" w:firstLine="0"/>
              <w:jc w:val="center"/>
              <w:rPr>
                <w:sz w:val="20"/>
              </w:rPr>
            </w:pPr>
            <w:r>
              <w:rPr>
                <w:sz w:val="20"/>
              </w:rPr>
              <w:t>&lt; 4</w:t>
            </w:r>
            <w:r w:rsidR="0031218F">
              <w:rPr>
                <w:sz w:val="20"/>
              </w:rPr>
              <w:t>"</w:t>
            </w:r>
          </w:p>
        </w:tc>
        <w:tc>
          <w:tcPr>
            <w:tcW w:w="1260" w:type="dxa"/>
            <w:vAlign w:val="center"/>
          </w:tcPr>
          <w:p w14:paraId="49E4A81D" w14:textId="77777777" w:rsidR="00265506" w:rsidRDefault="00265506" w:rsidP="00D839EF">
            <w:pPr>
              <w:pStyle w:val="ListNumber"/>
              <w:tabs>
                <w:tab w:val="clear" w:pos="720"/>
                <w:tab w:val="clear" w:pos="1872"/>
              </w:tabs>
              <w:spacing w:before="0"/>
              <w:ind w:left="0" w:firstLine="0"/>
              <w:jc w:val="center"/>
              <w:rPr>
                <w:sz w:val="20"/>
              </w:rPr>
            </w:pPr>
            <w:r>
              <w:rPr>
                <w:sz w:val="20"/>
              </w:rPr>
              <w:t>Basin</w:t>
            </w:r>
          </w:p>
        </w:tc>
        <w:tc>
          <w:tcPr>
            <w:tcW w:w="2112" w:type="dxa"/>
            <w:vAlign w:val="center"/>
          </w:tcPr>
          <w:p w14:paraId="641241DD" w14:textId="77777777" w:rsidR="00265506" w:rsidRDefault="00265506" w:rsidP="00D839EF">
            <w:pPr>
              <w:pStyle w:val="ListNumber"/>
              <w:tabs>
                <w:tab w:val="clear" w:pos="720"/>
                <w:tab w:val="clear" w:pos="1872"/>
              </w:tabs>
              <w:spacing w:before="0"/>
              <w:ind w:left="0" w:firstLine="0"/>
              <w:jc w:val="center"/>
              <w:rPr>
                <w:sz w:val="20"/>
              </w:rPr>
            </w:pPr>
            <w:r>
              <w:rPr>
                <w:sz w:val="20"/>
              </w:rPr>
              <w:t>BA1B2</w:t>
            </w:r>
          </w:p>
        </w:tc>
      </w:tr>
      <w:tr w:rsidR="00265506" w14:paraId="7FD88D7A" w14:textId="77777777" w:rsidTr="0008611F">
        <w:trPr>
          <w:trHeight w:val="317"/>
          <w:jc w:val="right"/>
        </w:trPr>
        <w:tc>
          <w:tcPr>
            <w:tcW w:w="1355" w:type="dxa"/>
            <w:vAlign w:val="center"/>
          </w:tcPr>
          <w:p w14:paraId="5E5E9F50" w14:textId="77777777" w:rsidR="00265506" w:rsidRDefault="00265506" w:rsidP="00D839EF">
            <w:pPr>
              <w:pStyle w:val="ListNumber"/>
              <w:tabs>
                <w:tab w:val="clear" w:pos="720"/>
                <w:tab w:val="clear" w:pos="1872"/>
              </w:tabs>
              <w:spacing w:before="0"/>
              <w:ind w:left="0" w:firstLine="0"/>
              <w:jc w:val="center"/>
              <w:rPr>
                <w:sz w:val="20"/>
              </w:rPr>
            </w:pPr>
            <w:r>
              <w:rPr>
                <w:sz w:val="20"/>
              </w:rPr>
              <w:t>2</w:t>
            </w:r>
          </w:p>
        </w:tc>
        <w:tc>
          <w:tcPr>
            <w:tcW w:w="1954" w:type="dxa"/>
            <w:vAlign w:val="center"/>
          </w:tcPr>
          <w:p w14:paraId="6F12B3C0" w14:textId="77777777" w:rsidR="00265506" w:rsidRDefault="00265506" w:rsidP="00D839EF">
            <w:pPr>
              <w:pStyle w:val="ListNumber"/>
              <w:tabs>
                <w:tab w:val="clear" w:pos="720"/>
                <w:tab w:val="clear" w:pos="1872"/>
              </w:tabs>
              <w:spacing w:before="0"/>
              <w:ind w:left="0" w:firstLine="0"/>
              <w:jc w:val="center"/>
              <w:rPr>
                <w:sz w:val="20"/>
              </w:rPr>
            </w:pPr>
            <w:r>
              <w:rPr>
                <w:sz w:val="20"/>
              </w:rPr>
              <w:t>Flexible</w:t>
            </w:r>
          </w:p>
        </w:tc>
        <w:tc>
          <w:tcPr>
            <w:tcW w:w="1788" w:type="dxa"/>
            <w:vAlign w:val="center"/>
          </w:tcPr>
          <w:p w14:paraId="3B86B7F9" w14:textId="2E70A2D4" w:rsidR="00265506" w:rsidRDefault="00265506" w:rsidP="00D839EF">
            <w:pPr>
              <w:pStyle w:val="ListNumber"/>
              <w:tabs>
                <w:tab w:val="clear" w:pos="720"/>
                <w:tab w:val="clear" w:pos="1872"/>
              </w:tabs>
              <w:spacing w:before="0"/>
              <w:ind w:left="0" w:firstLine="0"/>
              <w:jc w:val="center"/>
              <w:rPr>
                <w:sz w:val="20"/>
              </w:rPr>
            </w:pPr>
            <w:r>
              <w:rPr>
                <w:sz w:val="20"/>
              </w:rPr>
              <w:t>&gt; 4</w:t>
            </w:r>
            <w:r w:rsidR="0031218F">
              <w:rPr>
                <w:sz w:val="20"/>
              </w:rPr>
              <w:t>"</w:t>
            </w:r>
            <w:r>
              <w:rPr>
                <w:sz w:val="20"/>
              </w:rPr>
              <w:t xml:space="preserve"> and &lt; 8</w:t>
            </w:r>
            <w:r w:rsidR="0031218F">
              <w:rPr>
                <w:sz w:val="20"/>
              </w:rPr>
              <w:t>"</w:t>
            </w:r>
          </w:p>
        </w:tc>
        <w:tc>
          <w:tcPr>
            <w:tcW w:w="1260" w:type="dxa"/>
            <w:vAlign w:val="center"/>
          </w:tcPr>
          <w:p w14:paraId="3A4CA299" w14:textId="77777777" w:rsidR="00265506" w:rsidRDefault="00265506" w:rsidP="00D839EF">
            <w:pPr>
              <w:pStyle w:val="ListNumber"/>
              <w:tabs>
                <w:tab w:val="clear" w:pos="720"/>
                <w:tab w:val="clear" w:pos="1872"/>
              </w:tabs>
              <w:spacing w:before="0"/>
              <w:ind w:left="0" w:firstLine="0"/>
              <w:jc w:val="center"/>
              <w:rPr>
                <w:sz w:val="20"/>
              </w:rPr>
            </w:pPr>
            <w:r>
              <w:rPr>
                <w:sz w:val="20"/>
              </w:rPr>
              <w:t>Basin</w:t>
            </w:r>
          </w:p>
        </w:tc>
        <w:tc>
          <w:tcPr>
            <w:tcW w:w="2112" w:type="dxa"/>
            <w:vAlign w:val="center"/>
          </w:tcPr>
          <w:p w14:paraId="2906AAF0" w14:textId="77777777" w:rsidR="00265506" w:rsidRDefault="00265506" w:rsidP="00D839EF">
            <w:pPr>
              <w:pStyle w:val="ListNumber"/>
              <w:tabs>
                <w:tab w:val="clear" w:pos="720"/>
                <w:tab w:val="clear" w:pos="1872"/>
              </w:tabs>
              <w:spacing w:before="0"/>
              <w:ind w:left="0" w:firstLine="0"/>
              <w:jc w:val="center"/>
              <w:rPr>
                <w:sz w:val="20"/>
              </w:rPr>
            </w:pPr>
            <w:r>
              <w:rPr>
                <w:sz w:val="20"/>
              </w:rPr>
              <w:t>BB2C3</w:t>
            </w:r>
          </w:p>
        </w:tc>
      </w:tr>
      <w:tr w:rsidR="00265506" w14:paraId="02128881" w14:textId="77777777" w:rsidTr="0008611F">
        <w:trPr>
          <w:trHeight w:val="317"/>
          <w:jc w:val="right"/>
        </w:trPr>
        <w:tc>
          <w:tcPr>
            <w:tcW w:w="1355" w:type="dxa"/>
            <w:vAlign w:val="center"/>
          </w:tcPr>
          <w:p w14:paraId="31B88EC9" w14:textId="77777777" w:rsidR="00265506" w:rsidRDefault="00265506" w:rsidP="00D839EF">
            <w:pPr>
              <w:pStyle w:val="ListNumber"/>
              <w:tabs>
                <w:tab w:val="clear" w:pos="720"/>
                <w:tab w:val="clear" w:pos="1872"/>
              </w:tabs>
              <w:spacing w:before="0"/>
              <w:ind w:left="0" w:firstLine="0"/>
              <w:jc w:val="center"/>
              <w:rPr>
                <w:sz w:val="20"/>
              </w:rPr>
            </w:pPr>
            <w:r>
              <w:rPr>
                <w:sz w:val="20"/>
              </w:rPr>
              <w:t>3</w:t>
            </w:r>
          </w:p>
        </w:tc>
        <w:tc>
          <w:tcPr>
            <w:tcW w:w="1954" w:type="dxa"/>
            <w:vAlign w:val="center"/>
          </w:tcPr>
          <w:p w14:paraId="104A8C77" w14:textId="77777777" w:rsidR="00265506" w:rsidRDefault="00265506" w:rsidP="00D839EF">
            <w:pPr>
              <w:pStyle w:val="ListNumber"/>
              <w:tabs>
                <w:tab w:val="clear" w:pos="720"/>
                <w:tab w:val="clear" w:pos="1872"/>
              </w:tabs>
              <w:spacing w:before="0"/>
              <w:ind w:left="0" w:firstLine="0"/>
              <w:jc w:val="center"/>
              <w:rPr>
                <w:sz w:val="20"/>
              </w:rPr>
            </w:pPr>
            <w:r>
              <w:rPr>
                <w:sz w:val="20"/>
              </w:rPr>
              <w:t>Flexible</w:t>
            </w:r>
          </w:p>
        </w:tc>
        <w:tc>
          <w:tcPr>
            <w:tcW w:w="1788" w:type="dxa"/>
            <w:vAlign w:val="center"/>
          </w:tcPr>
          <w:p w14:paraId="16FB63BC" w14:textId="32236A78" w:rsidR="00265506" w:rsidRDefault="00265506" w:rsidP="00D839EF">
            <w:pPr>
              <w:pStyle w:val="ListNumber"/>
              <w:tabs>
                <w:tab w:val="clear" w:pos="720"/>
                <w:tab w:val="clear" w:pos="1872"/>
              </w:tabs>
              <w:spacing w:before="0"/>
              <w:ind w:left="0" w:firstLine="0"/>
              <w:jc w:val="center"/>
              <w:rPr>
                <w:sz w:val="20"/>
              </w:rPr>
            </w:pPr>
            <w:r>
              <w:rPr>
                <w:sz w:val="20"/>
              </w:rPr>
              <w:t>&gt; 8</w:t>
            </w:r>
            <w:r w:rsidR="0031218F">
              <w:rPr>
                <w:sz w:val="20"/>
              </w:rPr>
              <w:t>"</w:t>
            </w:r>
          </w:p>
        </w:tc>
        <w:tc>
          <w:tcPr>
            <w:tcW w:w="1260" w:type="dxa"/>
            <w:vAlign w:val="center"/>
          </w:tcPr>
          <w:p w14:paraId="452DE71B" w14:textId="77777777" w:rsidR="00265506" w:rsidRDefault="00265506" w:rsidP="00D839EF">
            <w:pPr>
              <w:pStyle w:val="ListNumber"/>
              <w:tabs>
                <w:tab w:val="clear" w:pos="720"/>
                <w:tab w:val="clear" w:pos="1872"/>
              </w:tabs>
              <w:spacing w:before="0"/>
              <w:ind w:left="0" w:firstLine="0"/>
              <w:jc w:val="center"/>
              <w:rPr>
                <w:sz w:val="20"/>
              </w:rPr>
            </w:pPr>
            <w:r>
              <w:rPr>
                <w:sz w:val="20"/>
              </w:rPr>
              <w:t>Basin</w:t>
            </w:r>
          </w:p>
        </w:tc>
        <w:tc>
          <w:tcPr>
            <w:tcW w:w="2112" w:type="dxa"/>
            <w:vAlign w:val="center"/>
          </w:tcPr>
          <w:p w14:paraId="0D07DF69" w14:textId="77777777" w:rsidR="00265506" w:rsidRDefault="00265506" w:rsidP="00D839EF">
            <w:pPr>
              <w:pStyle w:val="ListNumber"/>
              <w:tabs>
                <w:tab w:val="clear" w:pos="720"/>
                <w:tab w:val="clear" w:pos="1872"/>
              </w:tabs>
              <w:spacing w:before="0"/>
              <w:ind w:left="0" w:firstLine="0"/>
              <w:jc w:val="center"/>
              <w:rPr>
                <w:sz w:val="20"/>
              </w:rPr>
            </w:pPr>
            <w:r>
              <w:rPr>
                <w:sz w:val="20"/>
              </w:rPr>
              <w:t>BB2D4</w:t>
            </w:r>
          </w:p>
        </w:tc>
      </w:tr>
      <w:tr w:rsidR="00265506" w14:paraId="63D50EE2" w14:textId="77777777" w:rsidTr="0008611F">
        <w:trPr>
          <w:trHeight w:val="317"/>
          <w:jc w:val="right"/>
        </w:trPr>
        <w:tc>
          <w:tcPr>
            <w:tcW w:w="1355" w:type="dxa"/>
            <w:vAlign w:val="center"/>
          </w:tcPr>
          <w:p w14:paraId="1C0B69AC" w14:textId="77777777" w:rsidR="00265506" w:rsidRDefault="00265506" w:rsidP="00D839EF">
            <w:pPr>
              <w:pStyle w:val="ListNumber"/>
              <w:tabs>
                <w:tab w:val="clear" w:pos="720"/>
                <w:tab w:val="clear" w:pos="1872"/>
              </w:tabs>
              <w:spacing w:before="0"/>
              <w:ind w:left="0" w:firstLine="0"/>
              <w:jc w:val="center"/>
              <w:rPr>
                <w:sz w:val="20"/>
              </w:rPr>
            </w:pPr>
            <w:r>
              <w:rPr>
                <w:sz w:val="20"/>
              </w:rPr>
              <w:t>4</w:t>
            </w:r>
          </w:p>
        </w:tc>
        <w:tc>
          <w:tcPr>
            <w:tcW w:w="1954" w:type="dxa"/>
            <w:vAlign w:val="center"/>
          </w:tcPr>
          <w:p w14:paraId="7CE1B6C9" w14:textId="77777777" w:rsidR="00265506" w:rsidRDefault="00265506" w:rsidP="00D839EF">
            <w:pPr>
              <w:pStyle w:val="ListNumber"/>
              <w:tabs>
                <w:tab w:val="clear" w:pos="720"/>
                <w:tab w:val="clear" w:pos="1872"/>
              </w:tabs>
              <w:spacing w:before="0"/>
              <w:ind w:left="0" w:firstLine="0"/>
              <w:jc w:val="center"/>
              <w:rPr>
                <w:sz w:val="20"/>
              </w:rPr>
            </w:pPr>
            <w:r>
              <w:rPr>
                <w:sz w:val="20"/>
              </w:rPr>
              <w:t>Rigid/ Composite</w:t>
            </w:r>
          </w:p>
        </w:tc>
        <w:tc>
          <w:tcPr>
            <w:tcW w:w="1788" w:type="dxa"/>
            <w:vAlign w:val="center"/>
          </w:tcPr>
          <w:p w14:paraId="7A2E42EA" w14:textId="77777777" w:rsidR="00265506" w:rsidRDefault="00265506" w:rsidP="00D839EF">
            <w:pPr>
              <w:pStyle w:val="ListNumber"/>
              <w:tabs>
                <w:tab w:val="clear" w:pos="720"/>
                <w:tab w:val="clear" w:pos="1872"/>
              </w:tabs>
              <w:spacing w:before="0"/>
              <w:ind w:left="0" w:firstLine="0"/>
              <w:jc w:val="center"/>
              <w:rPr>
                <w:sz w:val="20"/>
              </w:rPr>
            </w:pPr>
            <w:r>
              <w:rPr>
                <w:sz w:val="20"/>
              </w:rPr>
              <w:t>N/A</w:t>
            </w:r>
          </w:p>
        </w:tc>
        <w:tc>
          <w:tcPr>
            <w:tcW w:w="1260" w:type="dxa"/>
            <w:vAlign w:val="center"/>
          </w:tcPr>
          <w:p w14:paraId="5BC9FBA0" w14:textId="77777777" w:rsidR="00265506" w:rsidRDefault="00265506" w:rsidP="00D839EF">
            <w:pPr>
              <w:pStyle w:val="ListNumber"/>
              <w:tabs>
                <w:tab w:val="clear" w:pos="720"/>
                <w:tab w:val="clear" w:pos="1872"/>
              </w:tabs>
              <w:spacing w:before="0"/>
              <w:ind w:left="0" w:firstLine="0"/>
              <w:jc w:val="center"/>
              <w:rPr>
                <w:sz w:val="20"/>
              </w:rPr>
            </w:pPr>
            <w:r>
              <w:rPr>
                <w:sz w:val="20"/>
              </w:rPr>
              <w:t>Basin</w:t>
            </w:r>
          </w:p>
        </w:tc>
        <w:tc>
          <w:tcPr>
            <w:tcW w:w="2112" w:type="dxa"/>
            <w:vAlign w:val="center"/>
          </w:tcPr>
          <w:p w14:paraId="6EC70343" w14:textId="77777777" w:rsidR="00265506" w:rsidRDefault="00265506" w:rsidP="00D839EF">
            <w:pPr>
              <w:pStyle w:val="ListNumber"/>
              <w:tabs>
                <w:tab w:val="clear" w:pos="720"/>
                <w:tab w:val="clear" w:pos="1872"/>
              </w:tabs>
              <w:spacing w:before="0"/>
              <w:ind w:left="0" w:firstLine="0"/>
              <w:jc w:val="center"/>
              <w:rPr>
                <w:sz w:val="20"/>
              </w:rPr>
            </w:pPr>
            <w:r>
              <w:rPr>
                <w:sz w:val="20"/>
              </w:rPr>
              <w:t>BC3D4</w:t>
            </w:r>
          </w:p>
        </w:tc>
      </w:tr>
      <w:tr w:rsidR="00265506" w14:paraId="28517EA8" w14:textId="77777777" w:rsidTr="0008611F">
        <w:trPr>
          <w:trHeight w:val="317"/>
          <w:jc w:val="right"/>
        </w:trPr>
        <w:tc>
          <w:tcPr>
            <w:tcW w:w="1355" w:type="dxa"/>
            <w:vAlign w:val="center"/>
          </w:tcPr>
          <w:p w14:paraId="7FA8E384" w14:textId="77777777" w:rsidR="00265506" w:rsidRDefault="00265506" w:rsidP="00D839EF">
            <w:pPr>
              <w:pStyle w:val="ListNumber"/>
              <w:tabs>
                <w:tab w:val="clear" w:pos="720"/>
                <w:tab w:val="clear" w:pos="1872"/>
              </w:tabs>
              <w:spacing w:before="0"/>
              <w:ind w:left="0" w:firstLine="0"/>
              <w:jc w:val="center"/>
              <w:rPr>
                <w:sz w:val="20"/>
              </w:rPr>
            </w:pPr>
            <w:r>
              <w:rPr>
                <w:sz w:val="20"/>
              </w:rPr>
              <w:t>5</w:t>
            </w:r>
          </w:p>
        </w:tc>
        <w:tc>
          <w:tcPr>
            <w:tcW w:w="1954" w:type="dxa"/>
            <w:vAlign w:val="center"/>
          </w:tcPr>
          <w:p w14:paraId="0D2D42FB" w14:textId="77777777" w:rsidR="00265506" w:rsidRDefault="00265506" w:rsidP="00D839EF">
            <w:pPr>
              <w:pStyle w:val="ListNumber"/>
              <w:tabs>
                <w:tab w:val="clear" w:pos="720"/>
                <w:tab w:val="clear" w:pos="1872"/>
              </w:tabs>
              <w:spacing w:before="0"/>
              <w:ind w:left="0" w:firstLine="0"/>
              <w:jc w:val="center"/>
              <w:rPr>
                <w:sz w:val="20"/>
              </w:rPr>
            </w:pPr>
            <w:r>
              <w:rPr>
                <w:sz w:val="20"/>
              </w:rPr>
              <w:t>Rigid/ Composite</w:t>
            </w:r>
          </w:p>
        </w:tc>
        <w:tc>
          <w:tcPr>
            <w:tcW w:w="1788" w:type="dxa"/>
            <w:vAlign w:val="center"/>
          </w:tcPr>
          <w:p w14:paraId="1C6F4CC3" w14:textId="77777777" w:rsidR="00265506" w:rsidRDefault="00265506" w:rsidP="00D839EF">
            <w:pPr>
              <w:pStyle w:val="ListNumber"/>
              <w:tabs>
                <w:tab w:val="clear" w:pos="720"/>
                <w:tab w:val="clear" w:pos="1872"/>
              </w:tabs>
              <w:spacing w:before="0"/>
              <w:ind w:left="0" w:firstLine="0"/>
              <w:jc w:val="center"/>
              <w:rPr>
                <w:sz w:val="20"/>
              </w:rPr>
            </w:pPr>
            <w:r>
              <w:rPr>
                <w:sz w:val="20"/>
              </w:rPr>
              <w:t>N/A</w:t>
            </w:r>
          </w:p>
        </w:tc>
        <w:tc>
          <w:tcPr>
            <w:tcW w:w="1260" w:type="dxa"/>
            <w:vAlign w:val="center"/>
          </w:tcPr>
          <w:p w14:paraId="74E08371" w14:textId="77777777" w:rsidR="00265506" w:rsidRDefault="00265506" w:rsidP="00D839EF">
            <w:pPr>
              <w:pStyle w:val="ListNumber"/>
              <w:tabs>
                <w:tab w:val="clear" w:pos="720"/>
                <w:tab w:val="clear" w:pos="1872"/>
              </w:tabs>
              <w:spacing w:before="0"/>
              <w:ind w:left="0" w:firstLine="0"/>
              <w:jc w:val="center"/>
              <w:rPr>
                <w:sz w:val="20"/>
              </w:rPr>
            </w:pPr>
            <w:r>
              <w:rPr>
                <w:sz w:val="20"/>
              </w:rPr>
              <w:t>Joint</w:t>
            </w:r>
            <w:r w:rsidR="007C7D89">
              <w:rPr>
                <w:sz w:val="20"/>
              </w:rPr>
              <w:t>/Basin</w:t>
            </w:r>
          </w:p>
        </w:tc>
        <w:tc>
          <w:tcPr>
            <w:tcW w:w="2112" w:type="dxa"/>
            <w:vAlign w:val="center"/>
          </w:tcPr>
          <w:p w14:paraId="641F8580" w14:textId="77777777" w:rsidR="00265506" w:rsidRDefault="00265506" w:rsidP="00D839EF">
            <w:pPr>
              <w:pStyle w:val="ListNumber"/>
              <w:tabs>
                <w:tab w:val="clear" w:pos="720"/>
                <w:tab w:val="clear" w:pos="1872"/>
              </w:tabs>
              <w:spacing w:before="0"/>
              <w:ind w:left="0" w:firstLine="0"/>
              <w:jc w:val="center"/>
              <w:rPr>
                <w:sz w:val="20"/>
              </w:rPr>
            </w:pPr>
            <w:r>
              <w:rPr>
                <w:sz w:val="20"/>
              </w:rPr>
              <w:t>BB2C3D4</w:t>
            </w:r>
          </w:p>
        </w:tc>
      </w:tr>
      <w:tr w:rsidR="00265506" w14:paraId="3D791271" w14:textId="77777777" w:rsidTr="0008611F">
        <w:trPr>
          <w:trHeight w:val="317"/>
          <w:jc w:val="right"/>
        </w:trPr>
        <w:tc>
          <w:tcPr>
            <w:tcW w:w="1355" w:type="dxa"/>
            <w:vAlign w:val="center"/>
          </w:tcPr>
          <w:p w14:paraId="5974AFDF" w14:textId="77777777" w:rsidR="00265506" w:rsidRDefault="00265506" w:rsidP="00D839EF">
            <w:pPr>
              <w:pStyle w:val="ListNumber"/>
              <w:tabs>
                <w:tab w:val="clear" w:pos="720"/>
                <w:tab w:val="clear" w:pos="1872"/>
              </w:tabs>
              <w:spacing w:before="0"/>
              <w:ind w:left="0" w:firstLine="0"/>
              <w:jc w:val="center"/>
              <w:rPr>
                <w:sz w:val="20"/>
              </w:rPr>
            </w:pPr>
            <w:r>
              <w:rPr>
                <w:sz w:val="20"/>
              </w:rPr>
              <w:t>6*</w:t>
            </w:r>
          </w:p>
        </w:tc>
        <w:tc>
          <w:tcPr>
            <w:tcW w:w="1954" w:type="dxa"/>
            <w:vAlign w:val="center"/>
          </w:tcPr>
          <w:p w14:paraId="6C8BEABB" w14:textId="77777777" w:rsidR="00265506" w:rsidRDefault="00265506" w:rsidP="00D839EF">
            <w:pPr>
              <w:pStyle w:val="ListNumber"/>
              <w:tabs>
                <w:tab w:val="clear" w:pos="720"/>
                <w:tab w:val="clear" w:pos="1872"/>
              </w:tabs>
              <w:spacing w:before="0"/>
              <w:ind w:left="0" w:firstLine="0"/>
              <w:jc w:val="center"/>
              <w:rPr>
                <w:sz w:val="20"/>
              </w:rPr>
            </w:pPr>
            <w:r>
              <w:rPr>
                <w:sz w:val="20"/>
              </w:rPr>
              <w:t>Subgrade</w:t>
            </w:r>
          </w:p>
        </w:tc>
        <w:tc>
          <w:tcPr>
            <w:tcW w:w="1788" w:type="dxa"/>
            <w:vAlign w:val="center"/>
          </w:tcPr>
          <w:p w14:paraId="4EB8F747" w14:textId="77777777" w:rsidR="00265506" w:rsidRDefault="00265506" w:rsidP="00D839EF">
            <w:pPr>
              <w:pStyle w:val="ListNumber"/>
              <w:tabs>
                <w:tab w:val="clear" w:pos="720"/>
                <w:tab w:val="clear" w:pos="1872"/>
              </w:tabs>
              <w:spacing w:before="0"/>
              <w:ind w:left="0" w:firstLine="0"/>
              <w:jc w:val="center"/>
              <w:rPr>
                <w:sz w:val="20"/>
              </w:rPr>
            </w:pPr>
            <w:r>
              <w:rPr>
                <w:sz w:val="20"/>
              </w:rPr>
              <w:t>N/A</w:t>
            </w:r>
          </w:p>
        </w:tc>
        <w:tc>
          <w:tcPr>
            <w:tcW w:w="1260" w:type="dxa"/>
            <w:vAlign w:val="center"/>
          </w:tcPr>
          <w:p w14:paraId="28F335A3" w14:textId="77777777" w:rsidR="00265506" w:rsidRDefault="00265506" w:rsidP="00D839EF">
            <w:pPr>
              <w:pStyle w:val="ListNumber"/>
              <w:tabs>
                <w:tab w:val="clear" w:pos="720"/>
                <w:tab w:val="clear" w:pos="1872"/>
              </w:tabs>
              <w:spacing w:before="0"/>
              <w:ind w:left="0" w:firstLine="0"/>
              <w:jc w:val="center"/>
              <w:rPr>
                <w:sz w:val="20"/>
              </w:rPr>
            </w:pPr>
            <w:r>
              <w:rPr>
                <w:sz w:val="20"/>
              </w:rPr>
              <w:t>Basin</w:t>
            </w:r>
          </w:p>
        </w:tc>
        <w:tc>
          <w:tcPr>
            <w:tcW w:w="2112" w:type="dxa"/>
            <w:vAlign w:val="center"/>
          </w:tcPr>
          <w:p w14:paraId="155D75B3" w14:textId="77777777" w:rsidR="00265506" w:rsidRDefault="00265506" w:rsidP="00D839EF">
            <w:pPr>
              <w:pStyle w:val="ListNumber"/>
              <w:tabs>
                <w:tab w:val="clear" w:pos="720"/>
                <w:tab w:val="clear" w:pos="1872"/>
              </w:tabs>
              <w:spacing w:before="0"/>
              <w:ind w:left="0" w:firstLine="0"/>
              <w:jc w:val="center"/>
              <w:rPr>
                <w:sz w:val="20"/>
              </w:rPr>
            </w:pPr>
            <w:r>
              <w:rPr>
                <w:sz w:val="20"/>
              </w:rPr>
              <w:t>AA1B2</w:t>
            </w:r>
          </w:p>
        </w:tc>
      </w:tr>
    </w:tbl>
    <w:p w14:paraId="553E4665" w14:textId="1F53D7AA" w:rsidR="0031218F" w:rsidRDefault="00265506" w:rsidP="00D839EF">
      <w:pPr>
        <w:pStyle w:val="ListNumber"/>
        <w:tabs>
          <w:tab w:val="clear" w:pos="720"/>
          <w:tab w:val="clear" w:pos="1872"/>
        </w:tabs>
        <w:ind w:left="810" w:right="180" w:hanging="540"/>
        <w:rPr>
          <w:sz w:val="18"/>
        </w:rPr>
      </w:pPr>
      <w:r>
        <w:rPr>
          <w:sz w:val="18"/>
        </w:rPr>
        <w:t xml:space="preserve">Note: </w:t>
      </w:r>
      <w:r w:rsidR="0031218F">
        <w:rPr>
          <w:sz w:val="18"/>
        </w:rPr>
        <w:tab/>
      </w:r>
      <w:r>
        <w:rPr>
          <w:sz w:val="18"/>
        </w:rPr>
        <w:t xml:space="preserve">Every effort should be made to ensure that at least 18,000 lbs. is achieved at drop height 4 for rigid and composite pavements.  In some cases, </w:t>
      </w:r>
      <w:r w:rsidR="0031218F">
        <w:rPr>
          <w:sz w:val="18"/>
        </w:rPr>
        <w:t xml:space="preserve">for </w:t>
      </w:r>
      <w:r>
        <w:rPr>
          <w:sz w:val="18"/>
        </w:rPr>
        <w:t>exceptionally thick or strong rigid or composite pavements, it may be necessary to apply greater than 18,000 lbs. to the weight by adding additional weight to the FWD.</w:t>
      </w:r>
    </w:p>
    <w:p w14:paraId="232EE546" w14:textId="77777777" w:rsidR="00B27F99" w:rsidRPr="00B27F99" w:rsidRDefault="00B27F99" w:rsidP="00D839EF">
      <w:pPr>
        <w:pStyle w:val="ListNumber"/>
        <w:tabs>
          <w:tab w:val="clear" w:pos="720"/>
          <w:tab w:val="clear" w:pos="1872"/>
        </w:tabs>
        <w:ind w:left="810" w:right="180" w:hanging="540"/>
        <w:rPr>
          <w:sz w:val="2"/>
        </w:rPr>
      </w:pPr>
    </w:p>
    <w:p w14:paraId="76CD1231" w14:textId="20362F49" w:rsidR="00265506" w:rsidRDefault="00265506" w:rsidP="00D839EF">
      <w:pPr>
        <w:pStyle w:val="ListNumber"/>
        <w:tabs>
          <w:tab w:val="clear" w:pos="720"/>
          <w:tab w:val="clear" w:pos="1872"/>
        </w:tabs>
        <w:spacing w:before="0"/>
        <w:ind w:left="810" w:right="180" w:hanging="270"/>
        <w:rPr>
          <w:sz w:val="18"/>
        </w:rPr>
      </w:pPr>
      <w:r>
        <w:rPr>
          <w:sz w:val="18"/>
        </w:rPr>
        <w:t xml:space="preserve">* </w:t>
      </w:r>
      <w:r w:rsidR="0031218F">
        <w:rPr>
          <w:sz w:val="18"/>
        </w:rPr>
        <w:tab/>
      </w:r>
      <w:r>
        <w:rPr>
          <w:sz w:val="18"/>
        </w:rPr>
        <w:t>The weights may need to be removed completely if FWD testing is to be completed on exceptionally weak soils or subgrade.</w:t>
      </w:r>
    </w:p>
    <w:p w14:paraId="12832A0A" w14:textId="77777777" w:rsidR="00265506" w:rsidRDefault="00265506" w:rsidP="00EC46AC">
      <w:pPr>
        <w:pStyle w:val="ListNumber"/>
        <w:numPr>
          <w:ilvl w:val="0"/>
          <w:numId w:val="10"/>
        </w:numPr>
        <w:ind w:left="1080" w:hanging="1080"/>
        <w:jc w:val="both"/>
      </w:pPr>
      <w:r>
        <w:lastRenderedPageBreak/>
        <w:t xml:space="preserve">Determine the test point spacing for each FWD test section. The length of the project, pavement type, and FWD test type dictates the test point spacing.  The basic goal of the field data collection team is to collect 150 FWD test points per day.  </w:t>
      </w:r>
      <w:r w:rsidR="00D55558">
        <w:t>T</w:t>
      </w:r>
      <w:r>
        <w:t xml:space="preserve">est spacing should be based on a test collection pace of </w:t>
      </w:r>
      <w:r w:rsidR="00D55558">
        <w:t>100</w:t>
      </w:r>
      <w:r>
        <w:t xml:space="preserve"> test points per day</w:t>
      </w:r>
      <w:r w:rsidR="00D55558">
        <w:t xml:space="preserve"> (can be up to 150 without GPR or cores) </w:t>
      </w:r>
      <w:r>
        <w:t>and the assumption that on average 1 project is completed per work-day.  The table below shows general guidelines for how those 1</w:t>
      </w:r>
      <w:r w:rsidR="00D55558">
        <w:t>0</w:t>
      </w:r>
      <w:r>
        <w:t xml:space="preserve">0 test points should be distributed among the different FWD test types.   </w:t>
      </w:r>
    </w:p>
    <w:p w14:paraId="4CF08B83" w14:textId="77777777" w:rsidR="00265506" w:rsidRDefault="00265506" w:rsidP="00D839EF">
      <w:pPr>
        <w:pStyle w:val="BodyText"/>
        <w:spacing w:after="0"/>
        <w:jc w:val="both"/>
      </w:pPr>
    </w:p>
    <w:tbl>
      <w:tblPr>
        <w:tblW w:w="757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082"/>
        <w:gridCol w:w="900"/>
        <w:gridCol w:w="810"/>
        <w:gridCol w:w="990"/>
        <w:gridCol w:w="900"/>
        <w:gridCol w:w="900"/>
        <w:gridCol w:w="990"/>
      </w:tblGrid>
      <w:tr w:rsidR="00557A8B" w14:paraId="3F1DB9F6" w14:textId="77777777" w:rsidTr="00664CC2">
        <w:trPr>
          <w:trHeight w:val="360"/>
          <w:jc w:val="right"/>
        </w:trPr>
        <w:tc>
          <w:tcPr>
            <w:tcW w:w="2082" w:type="dxa"/>
            <w:vMerge w:val="restart"/>
            <w:shd w:val="pct15" w:color="auto" w:fill="FFFFFF"/>
            <w:vAlign w:val="center"/>
          </w:tcPr>
          <w:p w14:paraId="4324FE2D" w14:textId="0B5DA219" w:rsidR="00557A8B" w:rsidRDefault="00557A8B" w:rsidP="00D839EF">
            <w:pPr>
              <w:pStyle w:val="BodyText"/>
              <w:spacing w:after="0"/>
              <w:jc w:val="center"/>
              <w:rPr>
                <w:b/>
              </w:rPr>
            </w:pPr>
            <w:r>
              <w:rPr>
                <w:b/>
              </w:rPr>
              <w:t>Pavement Type</w:t>
            </w:r>
          </w:p>
        </w:tc>
        <w:tc>
          <w:tcPr>
            <w:tcW w:w="2700" w:type="dxa"/>
            <w:gridSpan w:val="3"/>
            <w:shd w:val="pct15" w:color="auto" w:fill="FFFFFF"/>
            <w:vAlign w:val="center"/>
          </w:tcPr>
          <w:p w14:paraId="7D37D92A" w14:textId="77777777" w:rsidR="00557A8B" w:rsidRDefault="00557A8B" w:rsidP="00D839EF">
            <w:pPr>
              <w:pStyle w:val="BodyText"/>
              <w:spacing w:after="0"/>
              <w:jc w:val="center"/>
              <w:rPr>
                <w:b/>
              </w:rPr>
            </w:pPr>
            <w:r>
              <w:rPr>
                <w:b/>
              </w:rPr>
              <w:t>Pumping Evident</w:t>
            </w:r>
          </w:p>
        </w:tc>
        <w:tc>
          <w:tcPr>
            <w:tcW w:w="2790" w:type="dxa"/>
            <w:gridSpan w:val="3"/>
            <w:shd w:val="pct15" w:color="auto" w:fill="FFFFFF"/>
            <w:vAlign w:val="center"/>
          </w:tcPr>
          <w:p w14:paraId="629311C6" w14:textId="0C2C44E6" w:rsidR="00557A8B" w:rsidRDefault="00557A8B" w:rsidP="00D839EF">
            <w:pPr>
              <w:pStyle w:val="BodyText"/>
              <w:spacing w:after="0"/>
              <w:jc w:val="center"/>
              <w:rPr>
                <w:b/>
              </w:rPr>
            </w:pPr>
            <w:r>
              <w:rPr>
                <w:b/>
              </w:rPr>
              <w:t>No Pumping</w:t>
            </w:r>
          </w:p>
        </w:tc>
      </w:tr>
      <w:tr w:rsidR="00115674" w14:paraId="1B47D9E5" w14:textId="77777777" w:rsidTr="00664CC2">
        <w:trPr>
          <w:trHeight w:val="360"/>
          <w:jc w:val="right"/>
        </w:trPr>
        <w:tc>
          <w:tcPr>
            <w:tcW w:w="2082" w:type="dxa"/>
            <w:vMerge/>
            <w:shd w:val="pct15" w:color="auto" w:fill="FFFFFF"/>
            <w:vAlign w:val="center"/>
          </w:tcPr>
          <w:p w14:paraId="7273F4D2" w14:textId="61B587EC" w:rsidR="00557A8B" w:rsidRDefault="00557A8B" w:rsidP="00D839EF">
            <w:pPr>
              <w:pStyle w:val="BodyText"/>
              <w:spacing w:after="0"/>
              <w:jc w:val="center"/>
              <w:rPr>
                <w:b/>
              </w:rPr>
            </w:pPr>
          </w:p>
        </w:tc>
        <w:tc>
          <w:tcPr>
            <w:tcW w:w="900" w:type="dxa"/>
            <w:shd w:val="pct15" w:color="auto" w:fill="FFFFFF"/>
            <w:vAlign w:val="center"/>
          </w:tcPr>
          <w:p w14:paraId="6584100D" w14:textId="77777777" w:rsidR="00557A8B" w:rsidRDefault="00557A8B" w:rsidP="00D839EF">
            <w:pPr>
              <w:pStyle w:val="BodyText"/>
              <w:spacing w:after="0"/>
              <w:jc w:val="center"/>
              <w:rPr>
                <w:b/>
              </w:rPr>
            </w:pPr>
            <w:r>
              <w:rPr>
                <w:b/>
              </w:rPr>
              <w:t>Basin</w:t>
            </w:r>
          </w:p>
        </w:tc>
        <w:tc>
          <w:tcPr>
            <w:tcW w:w="810" w:type="dxa"/>
            <w:shd w:val="pct15" w:color="auto" w:fill="FFFFFF"/>
            <w:vAlign w:val="center"/>
          </w:tcPr>
          <w:p w14:paraId="1668B4FE" w14:textId="77777777" w:rsidR="00557A8B" w:rsidRDefault="00557A8B" w:rsidP="00D839EF">
            <w:pPr>
              <w:pStyle w:val="BodyText"/>
              <w:spacing w:after="0"/>
              <w:jc w:val="center"/>
              <w:rPr>
                <w:b/>
              </w:rPr>
            </w:pPr>
            <w:r>
              <w:rPr>
                <w:b/>
              </w:rPr>
              <w:t>Joint</w:t>
            </w:r>
          </w:p>
        </w:tc>
        <w:tc>
          <w:tcPr>
            <w:tcW w:w="990" w:type="dxa"/>
            <w:shd w:val="pct15" w:color="auto" w:fill="FFFFFF"/>
            <w:vAlign w:val="center"/>
          </w:tcPr>
          <w:p w14:paraId="49F427D3" w14:textId="77777777" w:rsidR="00557A8B" w:rsidRDefault="00557A8B" w:rsidP="00D839EF">
            <w:pPr>
              <w:pStyle w:val="BodyText"/>
              <w:spacing w:after="0"/>
              <w:jc w:val="center"/>
              <w:rPr>
                <w:b/>
              </w:rPr>
            </w:pPr>
            <w:r>
              <w:rPr>
                <w:b/>
              </w:rPr>
              <w:t>Corner</w:t>
            </w:r>
          </w:p>
        </w:tc>
        <w:tc>
          <w:tcPr>
            <w:tcW w:w="900" w:type="dxa"/>
            <w:shd w:val="pct15" w:color="auto" w:fill="FFFFFF"/>
            <w:vAlign w:val="center"/>
          </w:tcPr>
          <w:p w14:paraId="36A8A24B" w14:textId="77777777" w:rsidR="00557A8B" w:rsidRDefault="00557A8B" w:rsidP="00D839EF">
            <w:pPr>
              <w:pStyle w:val="BodyText"/>
              <w:spacing w:after="0"/>
              <w:jc w:val="center"/>
              <w:rPr>
                <w:b/>
              </w:rPr>
            </w:pPr>
            <w:r>
              <w:rPr>
                <w:b/>
              </w:rPr>
              <w:t>Basin</w:t>
            </w:r>
          </w:p>
        </w:tc>
        <w:tc>
          <w:tcPr>
            <w:tcW w:w="900" w:type="dxa"/>
            <w:shd w:val="pct15" w:color="auto" w:fill="FFFFFF"/>
            <w:vAlign w:val="center"/>
          </w:tcPr>
          <w:p w14:paraId="7E66EC83" w14:textId="77777777" w:rsidR="00557A8B" w:rsidRDefault="00557A8B" w:rsidP="00D839EF">
            <w:pPr>
              <w:pStyle w:val="BodyText"/>
              <w:spacing w:after="0"/>
              <w:jc w:val="center"/>
              <w:rPr>
                <w:b/>
              </w:rPr>
            </w:pPr>
            <w:r>
              <w:rPr>
                <w:b/>
              </w:rPr>
              <w:t>Joint</w:t>
            </w:r>
          </w:p>
        </w:tc>
        <w:tc>
          <w:tcPr>
            <w:tcW w:w="990" w:type="dxa"/>
            <w:shd w:val="pct15" w:color="auto" w:fill="FFFFFF"/>
            <w:vAlign w:val="center"/>
          </w:tcPr>
          <w:p w14:paraId="4D8C528D" w14:textId="77777777" w:rsidR="00557A8B" w:rsidRDefault="00557A8B" w:rsidP="00D839EF">
            <w:pPr>
              <w:pStyle w:val="BodyText"/>
              <w:spacing w:after="0"/>
              <w:jc w:val="center"/>
              <w:rPr>
                <w:b/>
              </w:rPr>
            </w:pPr>
            <w:r>
              <w:rPr>
                <w:b/>
              </w:rPr>
              <w:t>Corner</w:t>
            </w:r>
          </w:p>
        </w:tc>
      </w:tr>
      <w:tr w:rsidR="00D55558" w14:paraId="0BE79F3B" w14:textId="77777777" w:rsidTr="00664CC2">
        <w:trPr>
          <w:trHeight w:val="360"/>
          <w:jc w:val="right"/>
        </w:trPr>
        <w:tc>
          <w:tcPr>
            <w:tcW w:w="2082" w:type="dxa"/>
            <w:vAlign w:val="center"/>
          </w:tcPr>
          <w:p w14:paraId="2E7EE488" w14:textId="77777777" w:rsidR="00D55558" w:rsidRDefault="00D55558" w:rsidP="00D839EF">
            <w:pPr>
              <w:pStyle w:val="BodyText"/>
              <w:spacing w:after="0"/>
              <w:jc w:val="center"/>
            </w:pPr>
            <w:r>
              <w:t>Flexible</w:t>
            </w:r>
          </w:p>
        </w:tc>
        <w:tc>
          <w:tcPr>
            <w:tcW w:w="900" w:type="dxa"/>
            <w:vAlign w:val="center"/>
          </w:tcPr>
          <w:p w14:paraId="5512140A" w14:textId="77777777" w:rsidR="00D55558" w:rsidRDefault="00D55558" w:rsidP="00D839EF">
            <w:pPr>
              <w:pStyle w:val="BodyText"/>
              <w:spacing w:after="0"/>
              <w:jc w:val="center"/>
            </w:pPr>
            <w:r>
              <w:t>100</w:t>
            </w:r>
          </w:p>
        </w:tc>
        <w:tc>
          <w:tcPr>
            <w:tcW w:w="810" w:type="dxa"/>
            <w:vAlign w:val="center"/>
          </w:tcPr>
          <w:p w14:paraId="3197AD48" w14:textId="77777777" w:rsidR="00D55558" w:rsidRDefault="00D55558" w:rsidP="00D839EF">
            <w:pPr>
              <w:pStyle w:val="BodyText"/>
              <w:spacing w:after="0"/>
              <w:jc w:val="center"/>
            </w:pPr>
            <w:r>
              <w:t>N/A</w:t>
            </w:r>
          </w:p>
        </w:tc>
        <w:tc>
          <w:tcPr>
            <w:tcW w:w="990" w:type="dxa"/>
            <w:vAlign w:val="center"/>
          </w:tcPr>
          <w:p w14:paraId="22DF8158" w14:textId="77777777" w:rsidR="00D55558" w:rsidRDefault="00D55558" w:rsidP="00D839EF">
            <w:pPr>
              <w:pStyle w:val="BodyText"/>
              <w:spacing w:after="0"/>
              <w:jc w:val="center"/>
            </w:pPr>
            <w:r>
              <w:t>N/A</w:t>
            </w:r>
          </w:p>
        </w:tc>
        <w:tc>
          <w:tcPr>
            <w:tcW w:w="900" w:type="dxa"/>
            <w:vAlign w:val="center"/>
          </w:tcPr>
          <w:p w14:paraId="7371CCCE" w14:textId="77777777" w:rsidR="00D55558" w:rsidRDefault="00D55558" w:rsidP="00D839EF">
            <w:pPr>
              <w:pStyle w:val="BodyText"/>
              <w:spacing w:after="0"/>
              <w:jc w:val="center"/>
            </w:pPr>
            <w:r>
              <w:t>100</w:t>
            </w:r>
          </w:p>
        </w:tc>
        <w:tc>
          <w:tcPr>
            <w:tcW w:w="900" w:type="dxa"/>
            <w:vAlign w:val="center"/>
          </w:tcPr>
          <w:p w14:paraId="6FCAF1BF" w14:textId="77777777" w:rsidR="00D55558" w:rsidRDefault="00D55558" w:rsidP="00D839EF">
            <w:pPr>
              <w:pStyle w:val="BodyText"/>
              <w:spacing w:after="0"/>
              <w:jc w:val="center"/>
            </w:pPr>
            <w:r>
              <w:t>N/A</w:t>
            </w:r>
          </w:p>
        </w:tc>
        <w:tc>
          <w:tcPr>
            <w:tcW w:w="990" w:type="dxa"/>
            <w:vAlign w:val="center"/>
          </w:tcPr>
          <w:p w14:paraId="57A9106A" w14:textId="77777777" w:rsidR="00D55558" w:rsidRDefault="00D55558" w:rsidP="00D839EF">
            <w:pPr>
              <w:pStyle w:val="BodyText"/>
              <w:spacing w:after="0"/>
              <w:jc w:val="center"/>
            </w:pPr>
            <w:r>
              <w:t>N/A</w:t>
            </w:r>
          </w:p>
        </w:tc>
      </w:tr>
      <w:tr w:rsidR="00D55558" w14:paraId="56785573" w14:textId="77777777" w:rsidTr="00664CC2">
        <w:trPr>
          <w:trHeight w:val="360"/>
          <w:jc w:val="right"/>
        </w:trPr>
        <w:tc>
          <w:tcPr>
            <w:tcW w:w="2082" w:type="dxa"/>
            <w:vAlign w:val="center"/>
          </w:tcPr>
          <w:p w14:paraId="4FD4636A" w14:textId="77777777" w:rsidR="00D55558" w:rsidRDefault="00D55558" w:rsidP="00D839EF">
            <w:pPr>
              <w:pStyle w:val="BodyText"/>
              <w:spacing w:after="0"/>
              <w:jc w:val="center"/>
            </w:pPr>
            <w:r>
              <w:t>Composite</w:t>
            </w:r>
          </w:p>
        </w:tc>
        <w:tc>
          <w:tcPr>
            <w:tcW w:w="900" w:type="dxa"/>
            <w:vAlign w:val="center"/>
          </w:tcPr>
          <w:p w14:paraId="21F6B034" w14:textId="77777777" w:rsidR="00D55558" w:rsidRDefault="00D55558" w:rsidP="00D839EF">
            <w:pPr>
              <w:pStyle w:val="BodyText"/>
              <w:spacing w:after="0"/>
              <w:jc w:val="center"/>
            </w:pPr>
            <w:r>
              <w:t>20</w:t>
            </w:r>
          </w:p>
        </w:tc>
        <w:tc>
          <w:tcPr>
            <w:tcW w:w="810" w:type="dxa"/>
            <w:vAlign w:val="center"/>
          </w:tcPr>
          <w:p w14:paraId="0FD27470" w14:textId="77777777" w:rsidR="00D55558" w:rsidRDefault="00D55558" w:rsidP="00D839EF">
            <w:pPr>
              <w:pStyle w:val="BodyText"/>
              <w:spacing w:after="0"/>
              <w:jc w:val="center"/>
            </w:pPr>
            <w:r>
              <w:t>80</w:t>
            </w:r>
          </w:p>
        </w:tc>
        <w:tc>
          <w:tcPr>
            <w:tcW w:w="990" w:type="dxa"/>
            <w:vAlign w:val="center"/>
          </w:tcPr>
          <w:p w14:paraId="17C9B359" w14:textId="77777777" w:rsidR="00D55558" w:rsidRDefault="00D55558" w:rsidP="00D839EF">
            <w:pPr>
              <w:pStyle w:val="BodyText"/>
              <w:spacing w:after="0"/>
              <w:jc w:val="center"/>
            </w:pPr>
            <w:r>
              <w:t>N/A</w:t>
            </w:r>
          </w:p>
        </w:tc>
        <w:tc>
          <w:tcPr>
            <w:tcW w:w="900" w:type="dxa"/>
            <w:vAlign w:val="center"/>
          </w:tcPr>
          <w:p w14:paraId="2FF21BD3" w14:textId="77777777" w:rsidR="00D55558" w:rsidRDefault="00D55558" w:rsidP="00D839EF">
            <w:pPr>
              <w:pStyle w:val="BodyText"/>
              <w:spacing w:after="0"/>
              <w:jc w:val="center"/>
            </w:pPr>
            <w:r>
              <w:t>30</w:t>
            </w:r>
          </w:p>
        </w:tc>
        <w:tc>
          <w:tcPr>
            <w:tcW w:w="900" w:type="dxa"/>
            <w:vAlign w:val="center"/>
          </w:tcPr>
          <w:p w14:paraId="762233DB" w14:textId="77777777" w:rsidR="00D55558" w:rsidRDefault="00D55558" w:rsidP="00D839EF">
            <w:pPr>
              <w:pStyle w:val="BodyText"/>
              <w:spacing w:after="0"/>
              <w:jc w:val="center"/>
            </w:pPr>
            <w:r>
              <w:t>70</w:t>
            </w:r>
          </w:p>
        </w:tc>
        <w:tc>
          <w:tcPr>
            <w:tcW w:w="990" w:type="dxa"/>
            <w:vAlign w:val="center"/>
          </w:tcPr>
          <w:p w14:paraId="192C6055" w14:textId="77777777" w:rsidR="00D55558" w:rsidRDefault="00D55558" w:rsidP="00D839EF">
            <w:pPr>
              <w:pStyle w:val="BodyText"/>
              <w:spacing w:after="0"/>
              <w:jc w:val="center"/>
            </w:pPr>
            <w:r>
              <w:t>N/A</w:t>
            </w:r>
          </w:p>
        </w:tc>
      </w:tr>
      <w:tr w:rsidR="00D55558" w14:paraId="40D21FE8" w14:textId="77777777" w:rsidTr="00664CC2">
        <w:trPr>
          <w:trHeight w:val="360"/>
          <w:jc w:val="right"/>
        </w:trPr>
        <w:tc>
          <w:tcPr>
            <w:tcW w:w="2082" w:type="dxa"/>
            <w:vAlign w:val="center"/>
          </w:tcPr>
          <w:p w14:paraId="6172FBEF" w14:textId="77777777" w:rsidR="00D55558" w:rsidRDefault="00D55558" w:rsidP="00D839EF">
            <w:pPr>
              <w:pStyle w:val="BodyText"/>
              <w:spacing w:after="0"/>
              <w:jc w:val="center"/>
            </w:pPr>
            <w:r>
              <w:t>Rigid</w:t>
            </w:r>
          </w:p>
        </w:tc>
        <w:tc>
          <w:tcPr>
            <w:tcW w:w="900" w:type="dxa"/>
            <w:vAlign w:val="center"/>
          </w:tcPr>
          <w:p w14:paraId="1337F3E4" w14:textId="77777777" w:rsidR="00D55558" w:rsidRDefault="00D55558" w:rsidP="00D839EF">
            <w:pPr>
              <w:pStyle w:val="BodyText"/>
              <w:spacing w:after="0"/>
              <w:jc w:val="center"/>
            </w:pPr>
            <w:r>
              <w:t>20</w:t>
            </w:r>
          </w:p>
        </w:tc>
        <w:tc>
          <w:tcPr>
            <w:tcW w:w="810" w:type="dxa"/>
            <w:vAlign w:val="center"/>
          </w:tcPr>
          <w:p w14:paraId="6494332A" w14:textId="77777777" w:rsidR="00D55558" w:rsidRDefault="00D55558" w:rsidP="00D839EF">
            <w:pPr>
              <w:pStyle w:val="BodyText"/>
              <w:spacing w:after="0"/>
              <w:jc w:val="center"/>
            </w:pPr>
            <w:r>
              <w:t>60</w:t>
            </w:r>
          </w:p>
        </w:tc>
        <w:tc>
          <w:tcPr>
            <w:tcW w:w="990" w:type="dxa"/>
            <w:vAlign w:val="center"/>
          </w:tcPr>
          <w:p w14:paraId="247BBB16" w14:textId="77777777" w:rsidR="00D55558" w:rsidRDefault="00D55558" w:rsidP="00D839EF">
            <w:pPr>
              <w:pStyle w:val="BodyText"/>
              <w:spacing w:after="0"/>
              <w:jc w:val="center"/>
            </w:pPr>
            <w:r>
              <w:t>20</w:t>
            </w:r>
          </w:p>
        </w:tc>
        <w:tc>
          <w:tcPr>
            <w:tcW w:w="900" w:type="dxa"/>
            <w:vAlign w:val="center"/>
          </w:tcPr>
          <w:p w14:paraId="39C4F2E4" w14:textId="77777777" w:rsidR="00D55558" w:rsidRDefault="00D55558" w:rsidP="00D839EF">
            <w:pPr>
              <w:pStyle w:val="BodyText"/>
              <w:spacing w:after="0"/>
              <w:jc w:val="center"/>
            </w:pPr>
            <w:r>
              <w:t>30</w:t>
            </w:r>
          </w:p>
        </w:tc>
        <w:tc>
          <w:tcPr>
            <w:tcW w:w="900" w:type="dxa"/>
            <w:vAlign w:val="center"/>
          </w:tcPr>
          <w:p w14:paraId="53A6DBA2" w14:textId="77777777" w:rsidR="00D55558" w:rsidRDefault="00D55558" w:rsidP="00D839EF">
            <w:pPr>
              <w:pStyle w:val="BodyText"/>
              <w:spacing w:after="0"/>
              <w:jc w:val="center"/>
            </w:pPr>
            <w:r>
              <w:t>40</w:t>
            </w:r>
          </w:p>
        </w:tc>
        <w:tc>
          <w:tcPr>
            <w:tcW w:w="990" w:type="dxa"/>
            <w:vAlign w:val="center"/>
          </w:tcPr>
          <w:p w14:paraId="4344C8A4" w14:textId="77777777" w:rsidR="00D55558" w:rsidRDefault="00D55558" w:rsidP="00D839EF">
            <w:pPr>
              <w:pStyle w:val="BodyText"/>
              <w:spacing w:after="0"/>
              <w:jc w:val="center"/>
            </w:pPr>
            <w:r>
              <w:t>30</w:t>
            </w:r>
          </w:p>
        </w:tc>
      </w:tr>
    </w:tbl>
    <w:p w14:paraId="34EE4594" w14:textId="77777777" w:rsidR="00265506" w:rsidRDefault="00D55558" w:rsidP="00D839EF">
      <w:pPr>
        <w:pStyle w:val="ListNumber"/>
        <w:tabs>
          <w:tab w:val="clear" w:pos="720"/>
          <w:tab w:val="clear" w:pos="1872"/>
        </w:tabs>
        <w:spacing w:before="240"/>
        <w:ind w:left="1080" w:firstLine="0"/>
        <w:jc w:val="both"/>
      </w:pPr>
      <w:r>
        <w:t>To determine the test spacing for a given project, refer to the “</w:t>
      </w:r>
      <w:r w:rsidRPr="00D55558">
        <w:t>Costs &amp; Quantities</w:t>
      </w:r>
      <w:r>
        <w:t>” worksheet on</w:t>
      </w:r>
      <w:r w:rsidR="007E3B02">
        <w:t xml:space="preserve"> </w:t>
      </w:r>
      <w:hyperlink r:id="rId93" w:history="1">
        <w:r w:rsidR="007E3B02" w:rsidRPr="007E3B02">
          <w:rPr>
            <w:rStyle w:val="Hyperlink"/>
          </w:rPr>
          <w:t>PDS-03 - Costs &amp; Quantities</w:t>
        </w:r>
      </w:hyperlink>
      <w:r>
        <w:t>.</w:t>
      </w:r>
      <w:r w:rsidR="00C93B70">
        <w:t xml:space="preserve">  </w:t>
      </w:r>
      <w:r w:rsidR="00265506">
        <w:t xml:space="preserve">A typical point test spacing for a two-lane undivided roadway is provided in the table below.  This is to be used as a guideline, but numerous other engineering, FWD testing, </w:t>
      </w:r>
      <w:smartTag w:uri="urn:schemas-microsoft-com:office:smarttags" w:element="stockticker">
        <w:r w:rsidR="00265506">
          <w:t>MOT</w:t>
        </w:r>
      </w:smartTag>
      <w:r w:rsidR="00265506">
        <w:t xml:space="preserve">, and schedule factors may alter the test point spacing.  The typical test point locations are shown in Figures 2, 3, and 4.  Testing done in both directions should be staggered as shown in Figures 2 through 4 to ensure an efficient coverage of the project length.  The test point spacing in the table below is based on completing all FWD testing in one workday.      </w:t>
      </w:r>
    </w:p>
    <w:p w14:paraId="1D4B9FB7" w14:textId="77777777" w:rsidR="00265506" w:rsidRDefault="00265506" w:rsidP="00D839EF">
      <w:pPr>
        <w:pStyle w:val="ListNumber"/>
        <w:tabs>
          <w:tab w:val="clear" w:pos="720"/>
          <w:tab w:val="clear" w:pos="1872"/>
        </w:tabs>
        <w:ind w:left="0" w:firstLine="0"/>
        <w:jc w:val="both"/>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985"/>
        <w:gridCol w:w="1080"/>
        <w:gridCol w:w="1170"/>
        <w:gridCol w:w="1260"/>
        <w:gridCol w:w="1170"/>
        <w:gridCol w:w="1260"/>
      </w:tblGrid>
      <w:tr w:rsidR="00265506" w14:paraId="65AE2551" w14:textId="77777777" w:rsidTr="00D839EF">
        <w:trPr>
          <w:gridBefore w:val="2"/>
          <w:wBefore w:w="2425" w:type="dxa"/>
          <w:cantSplit/>
          <w:trHeight w:val="288"/>
          <w:tblHeader/>
          <w:jc w:val="right"/>
        </w:trPr>
        <w:tc>
          <w:tcPr>
            <w:tcW w:w="5940" w:type="dxa"/>
            <w:gridSpan w:val="5"/>
            <w:shd w:val="pct15" w:color="auto" w:fill="FFFFFF"/>
            <w:vAlign w:val="center"/>
          </w:tcPr>
          <w:p w14:paraId="793AF3F6" w14:textId="77777777" w:rsidR="00265506" w:rsidRDefault="00265506" w:rsidP="00664CC2">
            <w:pPr>
              <w:pStyle w:val="BodyText"/>
              <w:spacing w:after="0"/>
              <w:jc w:val="center"/>
              <w:rPr>
                <w:b/>
              </w:rPr>
            </w:pPr>
            <w:r>
              <w:rPr>
                <w:b/>
              </w:rPr>
              <w:t>Test Point Spacing</w:t>
            </w:r>
          </w:p>
        </w:tc>
      </w:tr>
      <w:tr w:rsidR="00265506" w14:paraId="050BA1CA" w14:textId="77777777" w:rsidTr="00D839EF">
        <w:trPr>
          <w:gridBefore w:val="2"/>
          <w:wBefore w:w="2425" w:type="dxa"/>
          <w:cantSplit/>
          <w:trHeight w:val="288"/>
          <w:tblHeader/>
          <w:jc w:val="right"/>
        </w:trPr>
        <w:tc>
          <w:tcPr>
            <w:tcW w:w="1080" w:type="dxa"/>
            <w:tcBorders>
              <w:bottom w:val="single" w:sz="4" w:space="0" w:color="auto"/>
            </w:tcBorders>
            <w:shd w:val="pct15" w:color="auto" w:fill="FFFFFF"/>
            <w:vAlign w:val="center"/>
          </w:tcPr>
          <w:p w14:paraId="64DA857E" w14:textId="77777777" w:rsidR="00265506" w:rsidRDefault="00265506" w:rsidP="00664CC2">
            <w:pPr>
              <w:pStyle w:val="BodyText"/>
              <w:spacing w:after="0"/>
              <w:jc w:val="center"/>
              <w:rPr>
                <w:b/>
              </w:rPr>
            </w:pPr>
            <w:r>
              <w:rPr>
                <w:b/>
              </w:rPr>
              <w:t>Flexible</w:t>
            </w:r>
          </w:p>
        </w:tc>
        <w:tc>
          <w:tcPr>
            <w:tcW w:w="2430" w:type="dxa"/>
            <w:gridSpan w:val="2"/>
            <w:tcBorders>
              <w:bottom w:val="single" w:sz="4" w:space="0" w:color="auto"/>
            </w:tcBorders>
            <w:shd w:val="pct15" w:color="auto" w:fill="FFFFFF"/>
            <w:vAlign w:val="center"/>
          </w:tcPr>
          <w:p w14:paraId="2E401049" w14:textId="77777777" w:rsidR="00265506" w:rsidRDefault="00265506" w:rsidP="00664CC2">
            <w:pPr>
              <w:pStyle w:val="BodyText"/>
              <w:spacing w:after="0"/>
              <w:jc w:val="center"/>
              <w:rPr>
                <w:b/>
              </w:rPr>
            </w:pPr>
            <w:r>
              <w:rPr>
                <w:b/>
              </w:rPr>
              <w:t>Composite</w:t>
            </w:r>
          </w:p>
        </w:tc>
        <w:tc>
          <w:tcPr>
            <w:tcW w:w="2430" w:type="dxa"/>
            <w:gridSpan w:val="2"/>
            <w:tcBorders>
              <w:bottom w:val="single" w:sz="4" w:space="0" w:color="auto"/>
            </w:tcBorders>
            <w:shd w:val="pct15" w:color="auto" w:fill="FFFFFF"/>
            <w:vAlign w:val="center"/>
          </w:tcPr>
          <w:p w14:paraId="6ABD8E5E" w14:textId="77777777" w:rsidR="00265506" w:rsidRDefault="00265506" w:rsidP="00664CC2">
            <w:pPr>
              <w:pStyle w:val="BodyText"/>
              <w:spacing w:after="0"/>
              <w:jc w:val="center"/>
              <w:rPr>
                <w:b/>
              </w:rPr>
            </w:pPr>
            <w:r>
              <w:rPr>
                <w:b/>
              </w:rPr>
              <w:t>Rigid</w:t>
            </w:r>
          </w:p>
        </w:tc>
      </w:tr>
      <w:tr w:rsidR="00115674" w14:paraId="185E83F8" w14:textId="77777777" w:rsidTr="00715623">
        <w:trPr>
          <w:cantSplit/>
          <w:trHeight w:val="1367"/>
          <w:tblHeader/>
          <w:jc w:val="right"/>
        </w:trPr>
        <w:tc>
          <w:tcPr>
            <w:tcW w:w="1440" w:type="dxa"/>
            <w:tcBorders>
              <w:bottom w:val="single" w:sz="4" w:space="0" w:color="auto"/>
            </w:tcBorders>
            <w:shd w:val="pct15" w:color="auto" w:fill="FFFFFF"/>
            <w:vAlign w:val="center"/>
          </w:tcPr>
          <w:p w14:paraId="2A4A7C9B" w14:textId="77777777" w:rsidR="00265506" w:rsidRDefault="00265506" w:rsidP="00D839EF">
            <w:pPr>
              <w:pStyle w:val="BodyText"/>
              <w:spacing w:after="0"/>
              <w:jc w:val="both"/>
              <w:rPr>
                <w:b/>
              </w:rPr>
            </w:pPr>
            <w:r>
              <w:rPr>
                <w:b/>
              </w:rPr>
              <w:t>Project Length (Centerline)</w:t>
            </w:r>
          </w:p>
        </w:tc>
        <w:tc>
          <w:tcPr>
            <w:tcW w:w="985" w:type="dxa"/>
            <w:tcBorders>
              <w:bottom w:val="single" w:sz="4" w:space="0" w:color="auto"/>
            </w:tcBorders>
            <w:shd w:val="pct15" w:color="auto" w:fill="FFFFFF"/>
            <w:vAlign w:val="center"/>
          </w:tcPr>
          <w:p w14:paraId="069AFEF5" w14:textId="77777777" w:rsidR="00265506" w:rsidRDefault="00265506" w:rsidP="00D839EF">
            <w:pPr>
              <w:pStyle w:val="BodyText"/>
              <w:spacing w:after="0"/>
              <w:jc w:val="both"/>
              <w:rPr>
                <w:b/>
              </w:rPr>
            </w:pPr>
            <w:r>
              <w:rPr>
                <w:b/>
              </w:rPr>
              <w:t>Test Type</w:t>
            </w:r>
          </w:p>
        </w:tc>
        <w:tc>
          <w:tcPr>
            <w:tcW w:w="1080" w:type="dxa"/>
            <w:tcBorders>
              <w:bottom w:val="single" w:sz="4" w:space="0" w:color="auto"/>
            </w:tcBorders>
            <w:shd w:val="pct15" w:color="auto" w:fill="FFFFFF"/>
            <w:textDirection w:val="btLr"/>
            <w:vAlign w:val="center"/>
          </w:tcPr>
          <w:p w14:paraId="0333BCC6" w14:textId="77777777" w:rsidR="00265506" w:rsidRDefault="00265506" w:rsidP="00D839EF">
            <w:pPr>
              <w:pStyle w:val="BodyText"/>
              <w:spacing w:after="0"/>
              <w:ind w:left="144" w:right="144"/>
              <w:jc w:val="both"/>
              <w:rPr>
                <w:b/>
              </w:rPr>
            </w:pPr>
          </w:p>
        </w:tc>
        <w:tc>
          <w:tcPr>
            <w:tcW w:w="1170" w:type="dxa"/>
            <w:tcBorders>
              <w:bottom w:val="single" w:sz="4" w:space="0" w:color="auto"/>
            </w:tcBorders>
            <w:shd w:val="pct15" w:color="auto" w:fill="FFFFFF"/>
            <w:textDirection w:val="btLr"/>
            <w:vAlign w:val="center"/>
          </w:tcPr>
          <w:p w14:paraId="72DD9B25" w14:textId="77777777" w:rsidR="00265506" w:rsidRDefault="00265506" w:rsidP="00D839EF">
            <w:pPr>
              <w:pStyle w:val="BodyText"/>
              <w:spacing w:after="0"/>
              <w:ind w:left="144" w:right="144"/>
              <w:jc w:val="both"/>
              <w:rPr>
                <w:b/>
              </w:rPr>
            </w:pPr>
            <w:r>
              <w:rPr>
                <w:b/>
              </w:rPr>
              <w:t>No Pumping Evident</w:t>
            </w:r>
          </w:p>
        </w:tc>
        <w:tc>
          <w:tcPr>
            <w:tcW w:w="1260" w:type="dxa"/>
            <w:tcBorders>
              <w:bottom w:val="single" w:sz="4" w:space="0" w:color="auto"/>
            </w:tcBorders>
            <w:shd w:val="pct15" w:color="auto" w:fill="FFFFFF"/>
            <w:textDirection w:val="btLr"/>
            <w:vAlign w:val="center"/>
          </w:tcPr>
          <w:p w14:paraId="3A95C285" w14:textId="77777777" w:rsidR="00265506" w:rsidRDefault="00265506" w:rsidP="00D839EF">
            <w:pPr>
              <w:pStyle w:val="BodyText"/>
              <w:spacing w:after="0"/>
              <w:ind w:left="144" w:right="144"/>
              <w:jc w:val="both"/>
              <w:rPr>
                <w:b/>
              </w:rPr>
            </w:pPr>
            <w:r>
              <w:rPr>
                <w:b/>
              </w:rPr>
              <w:t>Pumping Evident</w:t>
            </w:r>
          </w:p>
        </w:tc>
        <w:tc>
          <w:tcPr>
            <w:tcW w:w="1170" w:type="dxa"/>
            <w:tcBorders>
              <w:bottom w:val="single" w:sz="4" w:space="0" w:color="auto"/>
            </w:tcBorders>
            <w:shd w:val="pct15" w:color="auto" w:fill="FFFFFF"/>
            <w:textDirection w:val="btLr"/>
          </w:tcPr>
          <w:p w14:paraId="1E543E43" w14:textId="77777777" w:rsidR="00265506" w:rsidRDefault="00265506" w:rsidP="00D839EF">
            <w:pPr>
              <w:pStyle w:val="BodyText"/>
              <w:spacing w:after="0"/>
              <w:ind w:left="144" w:right="144"/>
              <w:jc w:val="both"/>
              <w:rPr>
                <w:b/>
              </w:rPr>
            </w:pPr>
            <w:r>
              <w:rPr>
                <w:b/>
              </w:rPr>
              <w:t>No Pumping Evident</w:t>
            </w:r>
          </w:p>
        </w:tc>
        <w:tc>
          <w:tcPr>
            <w:tcW w:w="1260" w:type="dxa"/>
            <w:tcBorders>
              <w:bottom w:val="single" w:sz="4" w:space="0" w:color="auto"/>
            </w:tcBorders>
            <w:shd w:val="pct15" w:color="auto" w:fill="FFFFFF"/>
            <w:textDirection w:val="btLr"/>
            <w:vAlign w:val="center"/>
          </w:tcPr>
          <w:p w14:paraId="20E550EE" w14:textId="77777777" w:rsidR="00265506" w:rsidRDefault="00265506" w:rsidP="00D839EF">
            <w:pPr>
              <w:pStyle w:val="BodyText"/>
              <w:spacing w:after="0"/>
              <w:ind w:left="144" w:right="144"/>
              <w:jc w:val="both"/>
              <w:rPr>
                <w:b/>
              </w:rPr>
            </w:pPr>
            <w:r>
              <w:rPr>
                <w:b/>
              </w:rPr>
              <w:t>Pumping Evident</w:t>
            </w:r>
          </w:p>
        </w:tc>
      </w:tr>
      <w:tr w:rsidR="00265506" w14:paraId="79B6AAD3" w14:textId="77777777" w:rsidTr="00D839EF">
        <w:trPr>
          <w:cantSplit/>
          <w:trHeight w:val="446"/>
          <w:jc w:val="right"/>
        </w:trPr>
        <w:tc>
          <w:tcPr>
            <w:tcW w:w="1440" w:type="dxa"/>
            <w:vAlign w:val="center"/>
          </w:tcPr>
          <w:p w14:paraId="7CF97BD6" w14:textId="77777777" w:rsidR="00265506" w:rsidRDefault="00265506" w:rsidP="00D839EF">
            <w:pPr>
              <w:rPr>
                <w:rFonts w:ascii="Arial" w:hAnsi="Arial"/>
              </w:rPr>
            </w:pPr>
            <w:r>
              <w:rPr>
                <w:rFonts w:ascii="Arial" w:hAnsi="Arial"/>
              </w:rPr>
              <w:t>3 miles</w:t>
            </w:r>
          </w:p>
        </w:tc>
        <w:tc>
          <w:tcPr>
            <w:tcW w:w="985" w:type="dxa"/>
            <w:vAlign w:val="center"/>
          </w:tcPr>
          <w:p w14:paraId="0A10AA2B" w14:textId="77777777" w:rsidR="00265506" w:rsidRDefault="00265506" w:rsidP="00D839EF">
            <w:pPr>
              <w:rPr>
                <w:rFonts w:ascii="Arial" w:hAnsi="Arial"/>
              </w:rPr>
            </w:pPr>
            <w:r>
              <w:rPr>
                <w:rFonts w:ascii="Arial" w:hAnsi="Arial"/>
              </w:rPr>
              <w:t>Basin</w:t>
            </w:r>
          </w:p>
        </w:tc>
        <w:tc>
          <w:tcPr>
            <w:tcW w:w="1080" w:type="dxa"/>
            <w:tcBorders>
              <w:top w:val="nil"/>
              <w:bottom w:val="nil"/>
            </w:tcBorders>
            <w:vAlign w:val="center"/>
          </w:tcPr>
          <w:p w14:paraId="3C5CFCFA" w14:textId="195BEF11" w:rsidR="00265506" w:rsidRDefault="00265506" w:rsidP="00D839EF">
            <w:pPr>
              <w:rPr>
                <w:rFonts w:ascii="Arial" w:hAnsi="Arial"/>
              </w:rPr>
            </w:pPr>
            <w:r>
              <w:rPr>
                <w:rFonts w:ascii="Arial" w:hAnsi="Arial"/>
              </w:rPr>
              <w:t>250</w:t>
            </w:r>
            <w:r w:rsidR="00715623">
              <w:rPr>
                <w:rFonts w:ascii="Arial" w:hAnsi="Arial"/>
              </w:rPr>
              <w:t>'</w:t>
            </w:r>
          </w:p>
        </w:tc>
        <w:tc>
          <w:tcPr>
            <w:tcW w:w="1170" w:type="dxa"/>
            <w:tcBorders>
              <w:top w:val="nil"/>
              <w:bottom w:val="nil"/>
            </w:tcBorders>
            <w:vAlign w:val="center"/>
          </w:tcPr>
          <w:p w14:paraId="45D0BED1" w14:textId="76EF2BE6" w:rsidR="00557A8B" w:rsidRDefault="00265506" w:rsidP="00715623">
            <w:pPr>
              <w:rPr>
                <w:rFonts w:ascii="Arial" w:hAnsi="Arial"/>
              </w:rPr>
            </w:pPr>
            <w:r>
              <w:rPr>
                <w:rFonts w:ascii="Arial" w:hAnsi="Arial"/>
              </w:rPr>
              <w:t>640</w:t>
            </w:r>
            <w:r w:rsidR="00715623">
              <w:rPr>
                <w:rFonts w:ascii="Arial" w:hAnsi="Arial"/>
              </w:rPr>
              <w:t>'</w:t>
            </w:r>
            <w:r>
              <w:rPr>
                <w:rFonts w:ascii="Arial" w:hAnsi="Arial"/>
              </w:rPr>
              <w:t xml:space="preserve"> / </w:t>
            </w:r>
          </w:p>
          <w:p w14:paraId="5661D5FD" w14:textId="74354338" w:rsidR="00265506" w:rsidRDefault="00265506" w:rsidP="00D839EF">
            <w:pPr>
              <w:rPr>
                <w:rFonts w:ascii="Arial" w:hAnsi="Arial"/>
              </w:rPr>
            </w:pPr>
            <w:r>
              <w:rPr>
                <w:rFonts w:ascii="Arial" w:hAnsi="Arial"/>
              </w:rPr>
              <w:t>16</w:t>
            </w:r>
            <w:r>
              <w:rPr>
                <w:rFonts w:ascii="Arial" w:hAnsi="Arial"/>
                <w:vertAlign w:val="superscript"/>
              </w:rPr>
              <w:t xml:space="preserve">th </w:t>
            </w:r>
            <w:r>
              <w:rPr>
                <w:rFonts w:ascii="Arial" w:hAnsi="Arial"/>
              </w:rPr>
              <w:t>slab</w:t>
            </w:r>
          </w:p>
        </w:tc>
        <w:tc>
          <w:tcPr>
            <w:tcW w:w="1260" w:type="dxa"/>
            <w:tcBorders>
              <w:top w:val="nil"/>
              <w:bottom w:val="nil"/>
            </w:tcBorders>
            <w:vAlign w:val="center"/>
          </w:tcPr>
          <w:p w14:paraId="4E4AA662" w14:textId="507416C2" w:rsidR="00557A8B" w:rsidRDefault="00265506" w:rsidP="00715623">
            <w:pPr>
              <w:rPr>
                <w:rFonts w:ascii="Arial" w:hAnsi="Arial"/>
              </w:rPr>
            </w:pPr>
            <w:r>
              <w:rPr>
                <w:rFonts w:ascii="Arial" w:hAnsi="Arial"/>
              </w:rPr>
              <w:t>1280</w:t>
            </w:r>
            <w:r w:rsidR="00715623">
              <w:rPr>
                <w:rFonts w:ascii="Arial" w:hAnsi="Arial"/>
              </w:rPr>
              <w:t>'</w:t>
            </w:r>
            <w:r>
              <w:rPr>
                <w:rFonts w:ascii="Arial" w:hAnsi="Arial"/>
              </w:rPr>
              <w:t xml:space="preserve"> / </w:t>
            </w:r>
          </w:p>
          <w:p w14:paraId="025B3C95" w14:textId="20DDD9B1" w:rsidR="00265506" w:rsidRDefault="00265506" w:rsidP="00D839EF">
            <w:pPr>
              <w:rPr>
                <w:rFonts w:ascii="Arial" w:hAnsi="Arial"/>
              </w:rPr>
            </w:pPr>
            <w:r>
              <w:rPr>
                <w:rFonts w:ascii="Arial" w:hAnsi="Arial"/>
              </w:rPr>
              <w:t>32</w:t>
            </w:r>
            <w:r>
              <w:rPr>
                <w:rFonts w:ascii="Arial" w:hAnsi="Arial"/>
                <w:vertAlign w:val="superscript"/>
              </w:rPr>
              <w:t xml:space="preserve">nd </w:t>
            </w:r>
            <w:r>
              <w:rPr>
                <w:rFonts w:ascii="Arial" w:hAnsi="Arial"/>
              </w:rPr>
              <w:t>slab</w:t>
            </w:r>
          </w:p>
        </w:tc>
        <w:tc>
          <w:tcPr>
            <w:tcW w:w="1170" w:type="dxa"/>
            <w:tcBorders>
              <w:top w:val="nil"/>
              <w:bottom w:val="nil"/>
            </w:tcBorders>
            <w:vAlign w:val="center"/>
          </w:tcPr>
          <w:p w14:paraId="78D71433" w14:textId="1099E23A" w:rsidR="00557A8B" w:rsidRDefault="00265506" w:rsidP="00715623">
            <w:pPr>
              <w:rPr>
                <w:rFonts w:ascii="Arial" w:hAnsi="Arial"/>
              </w:rPr>
            </w:pPr>
            <w:r>
              <w:rPr>
                <w:rFonts w:ascii="Arial" w:hAnsi="Arial"/>
              </w:rPr>
              <w:t>640</w:t>
            </w:r>
            <w:r w:rsidR="00715623">
              <w:rPr>
                <w:rFonts w:ascii="Arial" w:hAnsi="Arial"/>
              </w:rPr>
              <w:t>'</w:t>
            </w:r>
            <w:r>
              <w:rPr>
                <w:rFonts w:ascii="Arial" w:hAnsi="Arial"/>
              </w:rPr>
              <w:t xml:space="preserve"> / </w:t>
            </w:r>
          </w:p>
          <w:p w14:paraId="012FC24D" w14:textId="6E2ED70B" w:rsidR="00265506" w:rsidRDefault="00265506" w:rsidP="00D839EF">
            <w:pPr>
              <w:rPr>
                <w:rFonts w:ascii="Arial" w:hAnsi="Arial"/>
              </w:rPr>
            </w:pPr>
            <w:r>
              <w:rPr>
                <w:rFonts w:ascii="Arial" w:hAnsi="Arial"/>
              </w:rPr>
              <w:t>16</w:t>
            </w:r>
            <w:r>
              <w:rPr>
                <w:rFonts w:ascii="Arial" w:hAnsi="Arial"/>
                <w:vertAlign w:val="superscript"/>
              </w:rPr>
              <w:t xml:space="preserve">th </w:t>
            </w:r>
            <w:r>
              <w:rPr>
                <w:rFonts w:ascii="Arial" w:hAnsi="Arial"/>
              </w:rPr>
              <w:t>slab</w:t>
            </w:r>
          </w:p>
        </w:tc>
        <w:tc>
          <w:tcPr>
            <w:tcW w:w="1260" w:type="dxa"/>
            <w:tcBorders>
              <w:top w:val="nil"/>
              <w:bottom w:val="nil"/>
            </w:tcBorders>
            <w:vAlign w:val="center"/>
          </w:tcPr>
          <w:p w14:paraId="4C0431A5" w14:textId="7A888510" w:rsidR="00557A8B" w:rsidRDefault="00265506" w:rsidP="00715623">
            <w:pPr>
              <w:rPr>
                <w:rFonts w:ascii="Arial" w:hAnsi="Arial"/>
              </w:rPr>
            </w:pPr>
            <w:r>
              <w:rPr>
                <w:rFonts w:ascii="Arial" w:hAnsi="Arial"/>
              </w:rPr>
              <w:t>1280</w:t>
            </w:r>
            <w:r w:rsidR="00715623">
              <w:rPr>
                <w:rFonts w:ascii="Arial" w:hAnsi="Arial"/>
              </w:rPr>
              <w:t>'</w:t>
            </w:r>
            <w:r>
              <w:rPr>
                <w:rFonts w:ascii="Arial" w:hAnsi="Arial"/>
              </w:rPr>
              <w:t xml:space="preserve"> / </w:t>
            </w:r>
          </w:p>
          <w:p w14:paraId="203DB0DC" w14:textId="57F167FA" w:rsidR="00265506" w:rsidRDefault="00265506" w:rsidP="00D839EF">
            <w:pPr>
              <w:rPr>
                <w:rFonts w:ascii="Arial" w:hAnsi="Arial"/>
              </w:rPr>
            </w:pPr>
            <w:r>
              <w:rPr>
                <w:rFonts w:ascii="Arial" w:hAnsi="Arial"/>
              </w:rPr>
              <w:t>32</w:t>
            </w:r>
            <w:r>
              <w:rPr>
                <w:rFonts w:ascii="Arial" w:hAnsi="Arial"/>
                <w:vertAlign w:val="superscript"/>
              </w:rPr>
              <w:t xml:space="preserve">nd </w:t>
            </w:r>
            <w:r>
              <w:rPr>
                <w:rFonts w:ascii="Arial" w:hAnsi="Arial"/>
              </w:rPr>
              <w:t>slab</w:t>
            </w:r>
          </w:p>
        </w:tc>
      </w:tr>
      <w:tr w:rsidR="00265506" w14:paraId="2E045879" w14:textId="77777777" w:rsidTr="00D839EF">
        <w:trPr>
          <w:cantSplit/>
          <w:trHeight w:val="446"/>
          <w:jc w:val="right"/>
        </w:trPr>
        <w:tc>
          <w:tcPr>
            <w:tcW w:w="1440" w:type="dxa"/>
            <w:vAlign w:val="center"/>
          </w:tcPr>
          <w:p w14:paraId="6FC45593" w14:textId="77777777" w:rsidR="00265506" w:rsidRDefault="00265506" w:rsidP="00D839EF">
            <w:pPr>
              <w:rPr>
                <w:rFonts w:ascii="Arial" w:hAnsi="Arial"/>
              </w:rPr>
            </w:pPr>
            <w:r>
              <w:rPr>
                <w:rFonts w:ascii="Arial" w:hAnsi="Arial"/>
              </w:rPr>
              <w:t>2 miles</w:t>
            </w:r>
          </w:p>
        </w:tc>
        <w:tc>
          <w:tcPr>
            <w:tcW w:w="985" w:type="dxa"/>
            <w:vAlign w:val="center"/>
          </w:tcPr>
          <w:p w14:paraId="5A13E6CE" w14:textId="77777777" w:rsidR="00265506" w:rsidRDefault="00265506" w:rsidP="00D839EF">
            <w:pPr>
              <w:rPr>
                <w:rFonts w:ascii="Arial" w:hAnsi="Arial"/>
              </w:rPr>
            </w:pPr>
            <w:r>
              <w:rPr>
                <w:rFonts w:ascii="Arial" w:hAnsi="Arial"/>
              </w:rPr>
              <w:t>Basin</w:t>
            </w:r>
          </w:p>
        </w:tc>
        <w:tc>
          <w:tcPr>
            <w:tcW w:w="1080" w:type="dxa"/>
            <w:vAlign w:val="center"/>
          </w:tcPr>
          <w:p w14:paraId="488A5729" w14:textId="6265A747" w:rsidR="00265506" w:rsidRDefault="00265506" w:rsidP="00D839EF">
            <w:pPr>
              <w:rPr>
                <w:rFonts w:ascii="Arial" w:hAnsi="Arial"/>
              </w:rPr>
            </w:pPr>
            <w:r>
              <w:rPr>
                <w:rFonts w:ascii="Arial" w:hAnsi="Arial"/>
              </w:rPr>
              <w:t>175</w:t>
            </w:r>
            <w:r w:rsidR="00715623">
              <w:rPr>
                <w:rFonts w:ascii="Arial" w:hAnsi="Arial"/>
              </w:rPr>
              <w:t>'</w:t>
            </w:r>
          </w:p>
        </w:tc>
        <w:tc>
          <w:tcPr>
            <w:tcW w:w="1170" w:type="dxa"/>
            <w:vAlign w:val="center"/>
          </w:tcPr>
          <w:p w14:paraId="3A60BFBE" w14:textId="70CF415B" w:rsidR="00557A8B" w:rsidRDefault="00265506" w:rsidP="00715623">
            <w:pPr>
              <w:rPr>
                <w:rFonts w:ascii="Arial" w:hAnsi="Arial"/>
              </w:rPr>
            </w:pPr>
            <w:r>
              <w:rPr>
                <w:rFonts w:ascii="Arial" w:hAnsi="Arial"/>
              </w:rPr>
              <w:t>400</w:t>
            </w:r>
            <w:r w:rsidR="00715623">
              <w:rPr>
                <w:rFonts w:ascii="Arial" w:hAnsi="Arial"/>
              </w:rPr>
              <w:t>'</w:t>
            </w:r>
            <w:r>
              <w:rPr>
                <w:rFonts w:ascii="Arial" w:hAnsi="Arial"/>
              </w:rPr>
              <w:t xml:space="preserve"> / </w:t>
            </w:r>
          </w:p>
          <w:p w14:paraId="7E3E9010" w14:textId="2CA8B45E" w:rsidR="00265506" w:rsidRDefault="00265506" w:rsidP="00D839EF">
            <w:pPr>
              <w:rPr>
                <w:rFonts w:ascii="Arial" w:hAnsi="Arial"/>
              </w:rPr>
            </w:pPr>
            <w:r>
              <w:rPr>
                <w:rFonts w:ascii="Arial" w:hAnsi="Arial"/>
              </w:rPr>
              <w:t>10</w:t>
            </w:r>
            <w:r>
              <w:rPr>
                <w:rFonts w:ascii="Arial" w:hAnsi="Arial"/>
                <w:vertAlign w:val="superscript"/>
              </w:rPr>
              <w:t xml:space="preserve">th </w:t>
            </w:r>
            <w:r>
              <w:rPr>
                <w:rFonts w:ascii="Arial" w:hAnsi="Arial"/>
              </w:rPr>
              <w:t>slab</w:t>
            </w:r>
          </w:p>
        </w:tc>
        <w:tc>
          <w:tcPr>
            <w:tcW w:w="1260" w:type="dxa"/>
            <w:vAlign w:val="center"/>
          </w:tcPr>
          <w:p w14:paraId="79F517D7" w14:textId="5A0B35D8" w:rsidR="00557A8B" w:rsidRDefault="00265506" w:rsidP="00715623">
            <w:pPr>
              <w:rPr>
                <w:rFonts w:ascii="Arial" w:hAnsi="Arial"/>
              </w:rPr>
            </w:pPr>
            <w:r>
              <w:rPr>
                <w:rFonts w:ascii="Arial" w:hAnsi="Arial"/>
              </w:rPr>
              <w:t>840</w:t>
            </w:r>
            <w:r w:rsidR="00715623">
              <w:rPr>
                <w:rFonts w:ascii="Arial" w:hAnsi="Arial"/>
              </w:rPr>
              <w:t>'</w:t>
            </w:r>
            <w:r>
              <w:rPr>
                <w:rFonts w:ascii="Arial" w:hAnsi="Arial"/>
              </w:rPr>
              <w:t xml:space="preserve"> / </w:t>
            </w:r>
          </w:p>
          <w:p w14:paraId="4129C3A7" w14:textId="4AA08A51" w:rsidR="00265506" w:rsidRDefault="00265506" w:rsidP="00D839EF">
            <w:pPr>
              <w:rPr>
                <w:rFonts w:ascii="Arial" w:hAnsi="Arial"/>
              </w:rPr>
            </w:pPr>
            <w:r>
              <w:rPr>
                <w:rFonts w:ascii="Arial" w:hAnsi="Arial"/>
              </w:rPr>
              <w:t>21</w:t>
            </w:r>
            <w:r>
              <w:rPr>
                <w:rFonts w:ascii="Arial" w:hAnsi="Arial"/>
                <w:vertAlign w:val="superscript"/>
              </w:rPr>
              <w:t xml:space="preserve">st </w:t>
            </w:r>
            <w:r>
              <w:rPr>
                <w:rFonts w:ascii="Arial" w:hAnsi="Arial"/>
              </w:rPr>
              <w:t>slab</w:t>
            </w:r>
          </w:p>
        </w:tc>
        <w:tc>
          <w:tcPr>
            <w:tcW w:w="1170" w:type="dxa"/>
            <w:vAlign w:val="center"/>
          </w:tcPr>
          <w:p w14:paraId="15FCBE34" w14:textId="7B1D8DFC" w:rsidR="00557A8B" w:rsidRDefault="00265506" w:rsidP="00715623">
            <w:pPr>
              <w:rPr>
                <w:rFonts w:ascii="Arial" w:hAnsi="Arial"/>
              </w:rPr>
            </w:pPr>
            <w:r>
              <w:rPr>
                <w:rFonts w:ascii="Arial" w:hAnsi="Arial"/>
              </w:rPr>
              <w:t>400</w:t>
            </w:r>
            <w:r w:rsidR="00715623">
              <w:rPr>
                <w:rFonts w:ascii="Arial" w:hAnsi="Arial"/>
              </w:rPr>
              <w:t>'</w:t>
            </w:r>
            <w:r>
              <w:rPr>
                <w:rFonts w:ascii="Arial" w:hAnsi="Arial"/>
              </w:rPr>
              <w:t xml:space="preserve"> / </w:t>
            </w:r>
          </w:p>
          <w:p w14:paraId="7A43B1A9" w14:textId="1C199873" w:rsidR="00265506" w:rsidRDefault="00265506" w:rsidP="00D839EF">
            <w:pPr>
              <w:rPr>
                <w:rFonts w:ascii="Arial" w:hAnsi="Arial"/>
              </w:rPr>
            </w:pPr>
            <w:r>
              <w:rPr>
                <w:rFonts w:ascii="Arial" w:hAnsi="Arial"/>
              </w:rPr>
              <w:t>10</w:t>
            </w:r>
            <w:r>
              <w:rPr>
                <w:rFonts w:ascii="Arial" w:hAnsi="Arial"/>
                <w:vertAlign w:val="superscript"/>
              </w:rPr>
              <w:t xml:space="preserve">th </w:t>
            </w:r>
            <w:r>
              <w:rPr>
                <w:rFonts w:ascii="Arial" w:hAnsi="Arial"/>
              </w:rPr>
              <w:t>slab</w:t>
            </w:r>
          </w:p>
        </w:tc>
        <w:tc>
          <w:tcPr>
            <w:tcW w:w="1260" w:type="dxa"/>
            <w:vAlign w:val="center"/>
          </w:tcPr>
          <w:p w14:paraId="632EB4EA" w14:textId="37DCF9AE" w:rsidR="00557A8B" w:rsidRDefault="00265506" w:rsidP="00715623">
            <w:pPr>
              <w:rPr>
                <w:rFonts w:ascii="Arial" w:hAnsi="Arial"/>
              </w:rPr>
            </w:pPr>
            <w:r>
              <w:rPr>
                <w:rFonts w:ascii="Arial" w:hAnsi="Arial"/>
              </w:rPr>
              <w:t>840</w:t>
            </w:r>
            <w:r w:rsidR="00715623">
              <w:rPr>
                <w:rFonts w:ascii="Arial" w:hAnsi="Arial"/>
              </w:rPr>
              <w:t>'</w:t>
            </w:r>
            <w:r>
              <w:rPr>
                <w:rFonts w:ascii="Arial" w:hAnsi="Arial"/>
              </w:rPr>
              <w:t xml:space="preserve"> / </w:t>
            </w:r>
          </w:p>
          <w:p w14:paraId="120391FD" w14:textId="11DF5FB5" w:rsidR="00265506" w:rsidRDefault="00265506" w:rsidP="00D839EF">
            <w:pPr>
              <w:rPr>
                <w:rFonts w:ascii="Arial" w:hAnsi="Arial"/>
              </w:rPr>
            </w:pPr>
            <w:r>
              <w:rPr>
                <w:rFonts w:ascii="Arial" w:hAnsi="Arial"/>
              </w:rPr>
              <w:t>21</w:t>
            </w:r>
            <w:r>
              <w:rPr>
                <w:rFonts w:ascii="Arial" w:hAnsi="Arial"/>
                <w:vertAlign w:val="superscript"/>
              </w:rPr>
              <w:t xml:space="preserve">st </w:t>
            </w:r>
            <w:r>
              <w:rPr>
                <w:rFonts w:ascii="Arial" w:hAnsi="Arial"/>
              </w:rPr>
              <w:t>slab</w:t>
            </w:r>
          </w:p>
        </w:tc>
      </w:tr>
      <w:tr w:rsidR="00265506" w14:paraId="038B1997" w14:textId="77777777" w:rsidTr="00D839EF">
        <w:trPr>
          <w:cantSplit/>
          <w:trHeight w:val="446"/>
          <w:jc w:val="right"/>
        </w:trPr>
        <w:tc>
          <w:tcPr>
            <w:tcW w:w="1440" w:type="dxa"/>
            <w:vAlign w:val="center"/>
          </w:tcPr>
          <w:p w14:paraId="77C2F152" w14:textId="77777777" w:rsidR="00265506" w:rsidRDefault="00265506" w:rsidP="00D839EF">
            <w:pPr>
              <w:rPr>
                <w:rFonts w:ascii="Arial" w:hAnsi="Arial"/>
              </w:rPr>
            </w:pPr>
            <w:r>
              <w:rPr>
                <w:rFonts w:ascii="Arial" w:hAnsi="Arial"/>
              </w:rPr>
              <w:t>1 mile</w:t>
            </w:r>
          </w:p>
        </w:tc>
        <w:tc>
          <w:tcPr>
            <w:tcW w:w="985" w:type="dxa"/>
            <w:vAlign w:val="center"/>
          </w:tcPr>
          <w:p w14:paraId="0CB0CF0D" w14:textId="77777777" w:rsidR="00265506" w:rsidRDefault="00265506" w:rsidP="00D839EF">
            <w:pPr>
              <w:rPr>
                <w:rFonts w:ascii="Arial" w:hAnsi="Arial"/>
              </w:rPr>
            </w:pPr>
            <w:r>
              <w:rPr>
                <w:rFonts w:ascii="Arial" w:hAnsi="Arial"/>
              </w:rPr>
              <w:t>Basin</w:t>
            </w:r>
          </w:p>
        </w:tc>
        <w:tc>
          <w:tcPr>
            <w:tcW w:w="1080" w:type="dxa"/>
            <w:tcBorders>
              <w:top w:val="nil"/>
              <w:bottom w:val="nil"/>
            </w:tcBorders>
            <w:vAlign w:val="center"/>
          </w:tcPr>
          <w:p w14:paraId="7603EDBA" w14:textId="77777777" w:rsidR="00265506" w:rsidRDefault="00265506" w:rsidP="00D839EF">
            <w:pPr>
              <w:rPr>
                <w:rFonts w:ascii="Arial" w:hAnsi="Arial"/>
              </w:rPr>
            </w:pPr>
            <w:r>
              <w:rPr>
                <w:rFonts w:ascii="Arial" w:hAnsi="Arial"/>
              </w:rPr>
              <w:t>100’</w:t>
            </w:r>
          </w:p>
        </w:tc>
        <w:tc>
          <w:tcPr>
            <w:tcW w:w="1170" w:type="dxa"/>
            <w:tcBorders>
              <w:top w:val="nil"/>
              <w:bottom w:val="nil"/>
            </w:tcBorders>
            <w:vAlign w:val="center"/>
          </w:tcPr>
          <w:p w14:paraId="5F1C338B" w14:textId="336348E0" w:rsidR="00557A8B" w:rsidRDefault="00265506" w:rsidP="00715623">
            <w:pPr>
              <w:rPr>
                <w:rFonts w:ascii="Arial" w:hAnsi="Arial"/>
              </w:rPr>
            </w:pPr>
            <w:r>
              <w:rPr>
                <w:rFonts w:ascii="Arial" w:hAnsi="Arial"/>
              </w:rPr>
              <w:t>200</w:t>
            </w:r>
            <w:r w:rsidR="00715623">
              <w:rPr>
                <w:rFonts w:ascii="Arial" w:hAnsi="Arial"/>
              </w:rPr>
              <w:t>'</w:t>
            </w:r>
            <w:r>
              <w:rPr>
                <w:rFonts w:ascii="Arial" w:hAnsi="Arial"/>
              </w:rPr>
              <w:t xml:space="preserve"> / </w:t>
            </w:r>
          </w:p>
          <w:p w14:paraId="0FC3E7C4" w14:textId="57F23A94" w:rsidR="00265506" w:rsidRDefault="00265506" w:rsidP="00D839EF">
            <w:pPr>
              <w:rPr>
                <w:rFonts w:ascii="Arial" w:hAnsi="Arial"/>
              </w:rPr>
            </w:pPr>
            <w:r>
              <w:rPr>
                <w:rFonts w:ascii="Arial" w:hAnsi="Arial"/>
              </w:rPr>
              <w:t>5</w:t>
            </w:r>
            <w:r>
              <w:rPr>
                <w:rFonts w:ascii="Arial" w:hAnsi="Arial"/>
                <w:vertAlign w:val="superscript"/>
              </w:rPr>
              <w:t xml:space="preserve">th </w:t>
            </w:r>
            <w:r>
              <w:rPr>
                <w:rFonts w:ascii="Arial" w:hAnsi="Arial"/>
              </w:rPr>
              <w:t>slab</w:t>
            </w:r>
          </w:p>
        </w:tc>
        <w:tc>
          <w:tcPr>
            <w:tcW w:w="1260" w:type="dxa"/>
            <w:tcBorders>
              <w:top w:val="nil"/>
              <w:bottom w:val="nil"/>
            </w:tcBorders>
            <w:vAlign w:val="center"/>
          </w:tcPr>
          <w:p w14:paraId="0BE71EF8" w14:textId="02EF89DA" w:rsidR="00557A8B" w:rsidRDefault="00265506" w:rsidP="00715623">
            <w:pPr>
              <w:rPr>
                <w:rFonts w:ascii="Arial" w:hAnsi="Arial"/>
              </w:rPr>
            </w:pPr>
            <w:r>
              <w:rPr>
                <w:rFonts w:ascii="Arial" w:hAnsi="Arial"/>
              </w:rPr>
              <w:t>400</w:t>
            </w:r>
            <w:r w:rsidR="00715623">
              <w:rPr>
                <w:rFonts w:ascii="Arial" w:hAnsi="Arial"/>
              </w:rPr>
              <w:t>'</w:t>
            </w:r>
            <w:r>
              <w:rPr>
                <w:rFonts w:ascii="Arial" w:hAnsi="Arial"/>
              </w:rPr>
              <w:t xml:space="preserve"> / </w:t>
            </w:r>
          </w:p>
          <w:p w14:paraId="699F12F5" w14:textId="3C9BC5E5" w:rsidR="00265506" w:rsidRDefault="00265506" w:rsidP="00D839EF">
            <w:pPr>
              <w:rPr>
                <w:rFonts w:ascii="Arial" w:hAnsi="Arial"/>
              </w:rPr>
            </w:pPr>
            <w:r>
              <w:rPr>
                <w:rFonts w:ascii="Arial" w:hAnsi="Arial"/>
              </w:rPr>
              <w:t>10</w:t>
            </w:r>
            <w:r>
              <w:rPr>
                <w:rFonts w:ascii="Arial" w:hAnsi="Arial"/>
                <w:vertAlign w:val="superscript"/>
              </w:rPr>
              <w:t xml:space="preserve">th </w:t>
            </w:r>
            <w:r>
              <w:rPr>
                <w:rFonts w:ascii="Arial" w:hAnsi="Arial"/>
              </w:rPr>
              <w:t>slab</w:t>
            </w:r>
          </w:p>
        </w:tc>
        <w:tc>
          <w:tcPr>
            <w:tcW w:w="1170" w:type="dxa"/>
            <w:tcBorders>
              <w:top w:val="nil"/>
              <w:bottom w:val="nil"/>
            </w:tcBorders>
            <w:vAlign w:val="center"/>
          </w:tcPr>
          <w:p w14:paraId="1CFA392A" w14:textId="3A8826D2" w:rsidR="00557A8B" w:rsidRDefault="00265506" w:rsidP="00715623">
            <w:pPr>
              <w:rPr>
                <w:rFonts w:ascii="Arial" w:hAnsi="Arial"/>
              </w:rPr>
            </w:pPr>
            <w:r>
              <w:rPr>
                <w:rFonts w:ascii="Arial" w:hAnsi="Arial"/>
              </w:rPr>
              <w:t>200</w:t>
            </w:r>
            <w:r w:rsidR="00715623">
              <w:rPr>
                <w:rFonts w:ascii="Arial" w:hAnsi="Arial"/>
              </w:rPr>
              <w:t>'</w:t>
            </w:r>
            <w:r>
              <w:rPr>
                <w:rFonts w:ascii="Arial" w:hAnsi="Arial"/>
              </w:rPr>
              <w:t xml:space="preserve"> / </w:t>
            </w:r>
          </w:p>
          <w:p w14:paraId="16A72928" w14:textId="466FBB60" w:rsidR="00265506" w:rsidRDefault="00265506" w:rsidP="00D839EF">
            <w:pPr>
              <w:rPr>
                <w:rFonts w:ascii="Arial" w:hAnsi="Arial"/>
              </w:rPr>
            </w:pPr>
            <w:r>
              <w:rPr>
                <w:rFonts w:ascii="Arial" w:hAnsi="Arial"/>
              </w:rPr>
              <w:t>5</w:t>
            </w:r>
            <w:r>
              <w:rPr>
                <w:rFonts w:ascii="Arial" w:hAnsi="Arial"/>
                <w:vertAlign w:val="superscript"/>
              </w:rPr>
              <w:t xml:space="preserve">th </w:t>
            </w:r>
            <w:r>
              <w:rPr>
                <w:rFonts w:ascii="Arial" w:hAnsi="Arial"/>
              </w:rPr>
              <w:t>slab</w:t>
            </w:r>
          </w:p>
        </w:tc>
        <w:tc>
          <w:tcPr>
            <w:tcW w:w="1260" w:type="dxa"/>
            <w:tcBorders>
              <w:top w:val="nil"/>
              <w:bottom w:val="nil"/>
            </w:tcBorders>
            <w:vAlign w:val="center"/>
          </w:tcPr>
          <w:p w14:paraId="41676F68" w14:textId="144609BB" w:rsidR="00557A8B" w:rsidRDefault="00265506" w:rsidP="00715623">
            <w:pPr>
              <w:rPr>
                <w:rFonts w:ascii="Arial" w:hAnsi="Arial"/>
              </w:rPr>
            </w:pPr>
            <w:r>
              <w:rPr>
                <w:rFonts w:ascii="Arial" w:hAnsi="Arial"/>
              </w:rPr>
              <w:t>400</w:t>
            </w:r>
            <w:r w:rsidR="00715623">
              <w:rPr>
                <w:rFonts w:ascii="Arial" w:hAnsi="Arial"/>
              </w:rPr>
              <w:t>'</w:t>
            </w:r>
            <w:r>
              <w:rPr>
                <w:rFonts w:ascii="Arial" w:hAnsi="Arial"/>
              </w:rPr>
              <w:t xml:space="preserve"> / </w:t>
            </w:r>
          </w:p>
          <w:p w14:paraId="25E2A971" w14:textId="3829BBA7" w:rsidR="00265506" w:rsidRDefault="00265506" w:rsidP="00D839EF">
            <w:pPr>
              <w:rPr>
                <w:rFonts w:ascii="Arial" w:hAnsi="Arial"/>
              </w:rPr>
            </w:pPr>
            <w:r>
              <w:rPr>
                <w:rFonts w:ascii="Arial" w:hAnsi="Arial"/>
              </w:rPr>
              <w:t>10</w:t>
            </w:r>
            <w:r>
              <w:rPr>
                <w:rFonts w:ascii="Arial" w:hAnsi="Arial"/>
                <w:vertAlign w:val="superscript"/>
              </w:rPr>
              <w:t xml:space="preserve">th </w:t>
            </w:r>
            <w:r>
              <w:rPr>
                <w:rFonts w:ascii="Arial" w:hAnsi="Arial"/>
              </w:rPr>
              <w:t>slab</w:t>
            </w:r>
          </w:p>
        </w:tc>
      </w:tr>
      <w:tr w:rsidR="00265506" w14:paraId="5D37BD9A" w14:textId="77777777" w:rsidTr="00D839EF">
        <w:trPr>
          <w:cantSplit/>
          <w:trHeight w:val="447"/>
          <w:jc w:val="right"/>
        </w:trPr>
        <w:tc>
          <w:tcPr>
            <w:tcW w:w="1440" w:type="dxa"/>
            <w:vAlign w:val="center"/>
          </w:tcPr>
          <w:p w14:paraId="0A61588D" w14:textId="77777777" w:rsidR="00265506" w:rsidRDefault="00265506" w:rsidP="00D839EF">
            <w:pPr>
              <w:rPr>
                <w:rFonts w:ascii="Arial" w:hAnsi="Arial"/>
              </w:rPr>
            </w:pPr>
            <w:r>
              <w:rPr>
                <w:rFonts w:ascii="Arial" w:hAnsi="Arial"/>
              </w:rPr>
              <w:t>&lt; 1 mile</w:t>
            </w:r>
          </w:p>
        </w:tc>
        <w:tc>
          <w:tcPr>
            <w:tcW w:w="985" w:type="dxa"/>
            <w:vAlign w:val="center"/>
          </w:tcPr>
          <w:p w14:paraId="538ED085" w14:textId="77777777" w:rsidR="00265506" w:rsidRDefault="00265506" w:rsidP="00D839EF">
            <w:pPr>
              <w:rPr>
                <w:rFonts w:ascii="Arial" w:hAnsi="Arial"/>
              </w:rPr>
            </w:pPr>
            <w:r>
              <w:rPr>
                <w:rFonts w:ascii="Arial" w:hAnsi="Arial"/>
              </w:rPr>
              <w:t>Basin</w:t>
            </w:r>
          </w:p>
        </w:tc>
        <w:tc>
          <w:tcPr>
            <w:tcW w:w="1080" w:type="dxa"/>
            <w:vAlign w:val="center"/>
          </w:tcPr>
          <w:p w14:paraId="28E25A1B" w14:textId="5DF00154" w:rsidR="00265506" w:rsidRDefault="00265506" w:rsidP="00D839EF">
            <w:pPr>
              <w:rPr>
                <w:rFonts w:ascii="Arial" w:hAnsi="Arial"/>
              </w:rPr>
            </w:pPr>
            <w:r>
              <w:rPr>
                <w:rFonts w:ascii="Arial" w:hAnsi="Arial"/>
              </w:rPr>
              <w:t>50</w:t>
            </w:r>
            <w:r w:rsidR="00715623">
              <w:rPr>
                <w:rFonts w:ascii="Arial" w:hAnsi="Arial"/>
              </w:rPr>
              <w:t>'</w:t>
            </w:r>
          </w:p>
        </w:tc>
        <w:tc>
          <w:tcPr>
            <w:tcW w:w="1170" w:type="dxa"/>
            <w:vAlign w:val="center"/>
          </w:tcPr>
          <w:p w14:paraId="02BE2CDE" w14:textId="5B6FEEC5" w:rsidR="00557A8B" w:rsidRDefault="00265506" w:rsidP="00715623">
            <w:pPr>
              <w:rPr>
                <w:rFonts w:ascii="Arial" w:hAnsi="Arial"/>
              </w:rPr>
            </w:pPr>
            <w:r>
              <w:rPr>
                <w:rFonts w:ascii="Arial" w:hAnsi="Arial"/>
              </w:rPr>
              <w:t>160</w:t>
            </w:r>
            <w:r w:rsidR="00715623">
              <w:rPr>
                <w:rFonts w:ascii="Arial" w:hAnsi="Arial"/>
              </w:rPr>
              <w:t>'</w:t>
            </w:r>
            <w:r>
              <w:rPr>
                <w:rFonts w:ascii="Arial" w:hAnsi="Arial"/>
              </w:rPr>
              <w:t xml:space="preserve"> / </w:t>
            </w:r>
          </w:p>
          <w:p w14:paraId="0EA784D8" w14:textId="54CBDFBE" w:rsidR="00265506" w:rsidRDefault="00265506" w:rsidP="00D839EF">
            <w:pPr>
              <w:rPr>
                <w:rFonts w:ascii="Arial" w:hAnsi="Arial"/>
              </w:rPr>
            </w:pPr>
            <w:r>
              <w:rPr>
                <w:rFonts w:ascii="Arial" w:hAnsi="Arial"/>
              </w:rPr>
              <w:t>4</w:t>
            </w:r>
            <w:r>
              <w:rPr>
                <w:rFonts w:ascii="Arial" w:hAnsi="Arial"/>
                <w:vertAlign w:val="superscript"/>
              </w:rPr>
              <w:t xml:space="preserve">th </w:t>
            </w:r>
            <w:r>
              <w:rPr>
                <w:rFonts w:ascii="Arial" w:hAnsi="Arial"/>
              </w:rPr>
              <w:t>slab</w:t>
            </w:r>
          </w:p>
        </w:tc>
        <w:tc>
          <w:tcPr>
            <w:tcW w:w="1260" w:type="dxa"/>
            <w:vAlign w:val="center"/>
          </w:tcPr>
          <w:p w14:paraId="3F03A5B4" w14:textId="7027F40C" w:rsidR="00557A8B" w:rsidRDefault="00265506" w:rsidP="00715623">
            <w:pPr>
              <w:rPr>
                <w:rFonts w:ascii="Arial" w:hAnsi="Arial"/>
              </w:rPr>
            </w:pPr>
            <w:r>
              <w:rPr>
                <w:rFonts w:ascii="Arial" w:hAnsi="Arial"/>
              </w:rPr>
              <w:t>200</w:t>
            </w:r>
            <w:r w:rsidR="00715623">
              <w:rPr>
                <w:rFonts w:ascii="Arial" w:hAnsi="Arial"/>
              </w:rPr>
              <w:t>'</w:t>
            </w:r>
            <w:r>
              <w:rPr>
                <w:rFonts w:ascii="Arial" w:hAnsi="Arial"/>
              </w:rPr>
              <w:t xml:space="preserve"> / </w:t>
            </w:r>
          </w:p>
          <w:p w14:paraId="4BA00D70" w14:textId="09F8B71F" w:rsidR="00265506" w:rsidRDefault="00265506" w:rsidP="00D839EF">
            <w:pPr>
              <w:rPr>
                <w:rFonts w:ascii="Arial" w:hAnsi="Arial"/>
              </w:rPr>
            </w:pPr>
            <w:r>
              <w:rPr>
                <w:rFonts w:ascii="Arial" w:hAnsi="Arial"/>
              </w:rPr>
              <w:t>5</w:t>
            </w:r>
            <w:r>
              <w:rPr>
                <w:rFonts w:ascii="Arial" w:hAnsi="Arial"/>
                <w:vertAlign w:val="superscript"/>
              </w:rPr>
              <w:t xml:space="preserve">th </w:t>
            </w:r>
            <w:r>
              <w:rPr>
                <w:rFonts w:ascii="Arial" w:hAnsi="Arial"/>
              </w:rPr>
              <w:t>slab</w:t>
            </w:r>
          </w:p>
        </w:tc>
        <w:tc>
          <w:tcPr>
            <w:tcW w:w="1170" w:type="dxa"/>
            <w:vAlign w:val="center"/>
          </w:tcPr>
          <w:p w14:paraId="477437C7" w14:textId="47CA738F" w:rsidR="00557A8B" w:rsidRDefault="00265506" w:rsidP="00715623">
            <w:pPr>
              <w:rPr>
                <w:rFonts w:ascii="Arial" w:hAnsi="Arial"/>
              </w:rPr>
            </w:pPr>
            <w:r>
              <w:rPr>
                <w:rFonts w:ascii="Arial" w:hAnsi="Arial"/>
              </w:rPr>
              <w:t>160</w:t>
            </w:r>
            <w:r w:rsidR="00715623">
              <w:rPr>
                <w:rFonts w:ascii="Arial" w:hAnsi="Arial"/>
              </w:rPr>
              <w:t>'</w:t>
            </w:r>
            <w:r>
              <w:rPr>
                <w:rFonts w:ascii="Arial" w:hAnsi="Arial"/>
              </w:rPr>
              <w:t xml:space="preserve"> / </w:t>
            </w:r>
          </w:p>
          <w:p w14:paraId="563059A7" w14:textId="508CA855" w:rsidR="00265506" w:rsidRDefault="00265506" w:rsidP="00D839EF">
            <w:pPr>
              <w:rPr>
                <w:rFonts w:ascii="Arial" w:hAnsi="Arial"/>
              </w:rPr>
            </w:pPr>
            <w:r>
              <w:rPr>
                <w:rFonts w:ascii="Arial" w:hAnsi="Arial"/>
              </w:rPr>
              <w:t>4</w:t>
            </w:r>
            <w:r>
              <w:rPr>
                <w:rFonts w:ascii="Arial" w:hAnsi="Arial"/>
                <w:vertAlign w:val="superscript"/>
              </w:rPr>
              <w:t xml:space="preserve">th </w:t>
            </w:r>
            <w:r>
              <w:rPr>
                <w:rFonts w:ascii="Arial" w:hAnsi="Arial"/>
              </w:rPr>
              <w:t>slab</w:t>
            </w:r>
          </w:p>
        </w:tc>
        <w:tc>
          <w:tcPr>
            <w:tcW w:w="1260" w:type="dxa"/>
            <w:vAlign w:val="center"/>
          </w:tcPr>
          <w:p w14:paraId="3410CB76" w14:textId="3CC010E3" w:rsidR="00557A8B" w:rsidRDefault="00265506" w:rsidP="00715623">
            <w:pPr>
              <w:rPr>
                <w:rFonts w:ascii="Arial" w:hAnsi="Arial"/>
              </w:rPr>
            </w:pPr>
            <w:r>
              <w:rPr>
                <w:rFonts w:ascii="Arial" w:hAnsi="Arial"/>
              </w:rPr>
              <w:t>200</w:t>
            </w:r>
            <w:r w:rsidR="00715623">
              <w:rPr>
                <w:rFonts w:ascii="Arial" w:hAnsi="Arial"/>
              </w:rPr>
              <w:t>'</w:t>
            </w:r>
            <w:r>
              <w:rPr>
                <w:rFonts w:ascii="Arial" w:hAnsi="Arial"/>
              </w:rPr>
              <w:t xml:space="preserve"> / </w:t>
            </w:r>
          </w:p>
          <w:p w14:paraId="17EC3EF3" w14:textId="035A46E3" w:rsidR="00265506" w:rsidRDefault="00265506" w:rsidP="00D839EF">
            <w:pPr>
              <w:rPr>
                <w:rFonts w:ascii="Arial" w:hAnsi="Arial"/>
              </w:rPr>
            </w:pPr>
            <w:r>
              <w:rPr>
                <w:rFonts w:ascii="Arial" w:hAnsi="Arial"/>
              </w:rPr>
              <w:t>5</w:t>
            </w:r>
            <w:r>
              <w:rPr>
                <w:rFonts w:ascii="Arial" w:hAnsi="Arial"/>
                <w:vertAlign w:val="superscript"/>
              </w:rPr>
              <w:t xml:space="preserve">th </w:t>
            </w:r>
            <w:r>
              <w:rPr>
                <w:rFonts w:ascii="Arial" w:hAnsi="Arial"/>
              </w:rPr>
              <w:t>slab</w:t>
            </w:r>
          </w:p>
        </w:tc>
      </w:tr>
      <w:tr w:rsidR="00265506" w14:paraId="10C4B2F3" w14:textId="77777777" w:rsidTr="00D839EF">
        <w:trPr>
          <w:cantSplit/>
          <w:trHeight w:val="446"/>
          <w:jc w:val="right"/>
        </w:trPr>
        <w:tc>
          <w:tcPr>
            <w:tcW w:w="1440" w:type="dxa"/>
            <w:vAlign w:val="center"/>
          </w:tcPr>
          <w:p w14:paraId="3E71A82B" w14:textId="2F54A96F" w:rsidR="00265506" w:rsidRDefault="00265506" w:rsidP="00D839EF">
            <w:pPr>
              <w:rPr>
                <w:rFonts w:ascii="Arial" w:hAnsi="Arial"/>
              </w:rPr>
            </w:pPr>
            <w:r>
              <w:rPr>
                <w:rFonts w:ascii="Arial" w:hAnsi="Arial"/>
              </w:rPr>
              <w:t>3 miles</w:t>
            </w:r>
          </w:p>
        </w:tc>
        <w:tc>
          <w:tcPr>
            <w:tcW w:w="985" w:type="dxa"/>
            <w:vAlign w:val="center"/>
          </w:tcPr>
          <w:p w14:paraId="294D50B1" w14:textId="77777777" w:rsidR="00265506" w:rsidRDefault="00265506" w:rsidP="00D839EF">
            <w:pPr>
              <w:rPr>
                <w:rFonts w:ascii="Arial" w:hAnsi="Arial"/>
              </w:rPr>
            </w:pPr>
            <w:r>
              <w:rPr>
                <w:rFonts w:ascii="Arial" w:hAnsi="Arial"/>
              </w:rPr>
              <w:t>Joint</w:t>
            </w:r>
          </w:p>
        </w:tc>
        <w:tc>
          <w:tcPr>
            <w:tcW w:w="1080" w:type="dxa"/>
            <w:tcBorders>
              <w:top w:val="nil"/>
              <w:bottom w:val="nil"/>
            </w:tcBorders>
            <w:vAlign w:val="center"/>
          </w:tcPr>
          <w:p w14:paraId="161D4C54" w14:textId="77777777" w:rsidR="00265506" w:rsidRDefault="00265506" w:rsidP="00D839EF">
            <w:pPr>
              <w:rPr>
                <w:rFonts w:ascii="Arial" w:hAnsi="Arial"/>
              </w:rPr>
            </w:pPr>
            <w:r>
              <w:rPr>
                <w:rFonts w:ascii="Arial" w:hAnsi="Arial"/>
              </w:rPr>
              <w:t>N/A</w:t>
            </w:r>
          </w:p>
        </w:tc>
        <w:tc>
          <w:tcPr>
            <w:tcW w:w="1170" w:type="dxa"/>
            <w:tcBorders>
              <w:top w:val="nil"/>
              <w:bottom w:val="nil"/>
            </w:tcBorders>
            <w:vAlign w:val="center"/>
          </w:tcPr>
          <w:p w14:paraId="2C53647A" w14:textId="5DF4E06A" w:rsidR="00557A8B" w:rsidRDefault="00265506" w:rsidP="00715623">
            <w:pPr>
              <w:rPr>
                <w:rFonts w:ascii="Arial" w:hAnsi="Arial"/>
              </w:rPr>
            </w:pPr>
            <w:r>
              <w:rPr>
                <w:rFonts w:ascii="Arial" w:hAnsi="Arial"/>
              </w:rPr>
              <w:t>280</w:t>
            </w:r>
            <w:r w:rsidR="00715623">
              <w:rPr>
                <w:rFonts w:ascii="Arial" w:hAnsi="Arial"/>
              </w:rPr>
              <w:t>'</w:t>
            </w:r>
            <w:r>
              <w:rPr>
                <w:rFonts w:ascii="Arial" w:hAnsi="Arial"/>
              </w:rPr>
              <w:t xml:space="preserve"> / </w:t>
            </w:r>
          </w:p>
          <w:p w14:paraId="7D05E490" w14:textId="16426EBF" w:rsidR="00265506" w:rsidRDefault="00265506" w:rsidP="00D839EF">
            <w:pPr>
              <w:rPr>
                <w:rFonts w:ascii="Arial" w:hAnsi="Arial"/>
              </w:rPr>
            </w:pPr>
            <w:r>
              <w:rPr>
                <w:rFonts w:ascii="Arial" w:hAnsi="Arial"/>
              </w:rPr>
              <w:t>7</w:t>
            </w:r>
            <w:r>
              <w:rPr>
                <w:rFonts w:ascii="Arial" w:hAnsi="Arial"/>
                <w:vertAlign w:val="superscript"/>
              </w:rPr>
              <w:t xml:space="preserve">th </w:t>
            </w:r>
            <w:r>
              <w:rPr>
                <w:rFonts w:ascii="Arial" w:hAnsi="Arial"/>
              </w:rPr>
              <w:t>slab</w:t>
            </w:r>
          </w:p>
        </w:tc>
        <w:tc>
          <w:tcPr>
            <w:tcW w:w="1260" w:type="dxa"/>
            <w:tcBorders>
              <w:top w:val="nil"/>
              <w:bottom w:val="nil"/>
            </w:tcBorders>
            <w:vAlign w:val="center"/>
          </w:tcPr>
          <w:p w14:paraId="2595D3BD" w14:textId="16521B3A" w:rsidR="00557A8B" w:rsidRDefault="00265506" w:rsidP="00715623">
            <w:pPr>
              <w:rPr>
                <w:rFonts w:ascii="Arial" w:hAnsi="Arial"/>
              </w:rPr>
            </w:pPr>
            <w:r>
              <w:rPr>
                <w:rFonts w:ascii="Arial" w:hAnsi="Arial"/>
              </w:rPr>
              <w:t>240</w:t>
            </w:r>
            <w:r w:rsidR="00715623">
              <w:rPr>
                <w:rFonts w:ascii="Arial" w:hAnsi="Arial"/>
              </w:rPr>
              <w:t>'</w:t>
            </w:r>
            <w:r>
              <w:rPr>
                <w:rFonts w:ascii="Arial" w:hAnsi="Arial"/>
              </w:rPr>
              <w:t xml:space="preserve"> / </w:t>
            </w:r>
          </w:p>
          <w:p w14:paraId="661E7567" w14:textId="7FE8CB54" w:rsidR="00265506" w:rsidRDefault="00265506" w:rsidP="00D839EF">
            <w:pPr>
              <w:rPr>
                <w:rFonts w:ascii="Arial" w:hAnsi="Arial"/>
              </w:rPr>
            </w:pPr>
            <w:r>
              <w:rPr>
                <w:rFonts w:ascii="Arial" w:hAnsi="Arial"/>
              </w:rPr>
              <w:t>6</w:t>
            </w:r>
            <w:r>
              <w:rPr>
                <w:rFonts w:ascii="Arial" w:hAnsi="Arial"/>
                <w:vertAlign w:val="superscript"/>
              </w:rPr>
              <w:t>th</w:t>
            </w:r>
            <w:r>
              <w:rPr>
                <w:rFonts w:ascii="Arial" w:hAnsi="Arial"/>
              </w:rPr>
              <w:t xml:space="preserve"> slab</w:t>
            </w:r>
          </w:p>
        </w:tc>
        <w:tc>
          <w:tcPr>
            <w:tcW w:w="1170" w:type="dxa"/>
            <w:tcBorders>
              <w:top w:val="nil"/>
              <w:bottom w:val="nil"/>
            </w:tcBorders>
            <w:vAlign w:val="center"/>
          </w:tcPr>
          <w:p w14:paraId="3F2292F4" w14:textId="66EB35F1" w:rsidR="00557A8B" w:rsidRDefault="00265506" w:rsidP="00715623">
            <w:pPr>
              <w:rPr>
                <w:rFonts w:ascii="Arial" w:hAnsi="Arial"/>
              </w:rPr>
            </w:pPr>
            <w:r>
              <w:rPr>
                <w:rFonts w:ascii="Arial" w:hAnsi="Arial"/>
              </w:rPr>
              <w:t>640</w:t>
            </w:r>
            <w:r w:rsidR="00715623">
              <w:rPr>
                <w:rFonts w:ascii="Arial" w:hAnsi="Arial"/>
              </w:rPr>
              <w:t>'</w:t>
            </w:r>
            <w:r>
              <w:rPr>
                <w:rFonts w:ascii="Arial" w:hAnsi="Arial"/>
              </w:rPr>
              <w:t xml:space="preserve"> / </w:t>
            </w:r>
          </w:p>
          <w:p w14:paraId="398ACB75" w14:textId="2C6C7ED2" w:rsidR="00265506" w:rsidRDefault="00265506" w:rsidP="00D839EF">
            <w:pPr>
              <w:rPr>
                <w:rFonts w:ascii="Arial" w:hAnsi="Arial"/>
              </w:rPr>
            </w:pPr>
            <w:r>
              <w:rPr>
                <w:rFonts w:ascii="Arial" w:hAnsi="Arial"/>
              </w:rPr>
              <w:t>16</w:t>
            </w:r>
            <w:r>
              <w:rPr>
                <w:rFonts w:ascii="Arial" w:hAnsi="Arial"/>
                <w:vertAlign w:val="superscript"/>
              </w:rPr>
              <w:t xml:space="preserve">th </w:t>
            </w:r>
            <w:r>
              <w:rPr>
                <w:rFonts w:ascii="Arial" w:hAnsi="Arial"/>
              </w:rPr>
              <w:t>slab</w:t>
            </w:r>
          </w:p>
        </w:tc>
        <w:tc>
          <w:tcPr>
            <w:tcW w:w="1260" w:type="dxa"/>
            <w:tcBorders>
              <w:top w:val="nil"/>
              <w:bottom w:val="nil"/>
            </w:tcBorders>
            <w:vAlign w:val="center"/>
          </w:tcPr>
          <w:p w14:paraId="395E1DD9" w14:textId="68814F64" w:rsidR="00557A8B" w:rsidRDefault="00265506" w:rsidP="00715623">
            <w:pPr>
              <w:rPr>
                <w:rFonts w:ascii="Arial" w:hAnsi="Arial"/>
              </w:rPr>
            </w:pPr>
            <w:r>
              <w:rPr>
                <w:rFonts w:ascii="Arial" w:hAnsi="Arial"/>
              </w:rPr>
              <w:t>400</w:t>
            </w:r>
            <w:r w:rsidR="00715623">
              <w:rPr>
                <w:rFonts w:ascii="Arial" w:hAnsi="Arial"/>
              </w:rPr>
              <w:t>'</w:t>
            </w:r>
            <w:r>
              <w:rPr>
                <w:rFonts w:ascii="Arial" w:hAnsi="Arial"/>
              </w:rPr>
              <w:t xml:space="preserve"> / </w:t>
            </w:r>
          </w:p>
          <w:p w14:paraId="1CAC1595" w14:textId="6AABEE30" w:rsidR="00265506" w:rsidRDefault="00265506" w:rsidP="00D839EF">
            <w:pPr>
              <w:rPr>
                <w:rFonts w:ascii="Arial" w:hAnsi="Arial"/>
              </w:rPr>
            </w:pPr>
            <w:r>
              <w:rPr>
                <w:rFonts w:ascii="Arial" w:hAnsi="Arial"/>
              </w:rPr>
              <w:t>10</w:t>
            </w:r>
            <w:r>
              <w:rPr>
                <w:rFonts w:ascii="Arial" w:hAnsi="Arial"/>
                <w:vertAlign w:val="superscript"/>
              </w:rPr>
              <w:t xml:space="preserve">th </w:t>
            </w:r>
            <w:r>
              <w:rPr>
                <w:rFonts w:ascii="Arial" w:hAnsi="Arial"/>
              </w:rPr>
              <w:t>slab</w:t>
            </w:r>
          </w:p>
        </w:tc>
      </w:tr>
      <w:tr w:rsidR="00265506" w14:paraId="56C0F886" w14:textId="77777777" w:rsidTr="00D839EF">
        <w:trPr>
          <w:cantSplit/>
          <w:trHeight w:val="446"/>
          <w:jc w:val="right"/>
        </w:trPr>
        <w:tc>
          <w:tcPr>
            <w:tcW w:w="1440" w:type="dxa"/>
            <w:tcBorders>
              <w:bottom w:val="single" w:sz="4" w:space="0" w:color="auto"/>
            </w:tcBorders>
            <w:vAlign w:val="center"/>
          </w:tcPr>
          <w:p w14:paraId="6511C222" w14:textId="77777777" w:rsidR="00265506" w:rsidRDefault="00265506" w:rsidP="00D839EF">
            <w:pPr>
              <w:rPr>
                <w:rFonts w:ascii="Arial" w:hAnsi="Arial"/>
              </w:rPr>
            </w:pPr>
            <w:r>
              <w:rPr>
                <w:rFonts w:ascii="Arial" w:hAnsi="Arial"/>
              </w:rPr>
              <w:t>2 miles</w:t>
            </w:r>
          </w:p>
        </w:tc>
        <w:tc>
          <w:tcPr>
            <w:tcW w:w="985" w:type="dxa"/>
            <w:tcBorders>
              <w:bottom w:val="single" w:sz="4" w:space="0" w:color="auto"/>
            </w:tcBorders>
            <w:vAlign w:val="center"/>
          </w:tcPr>
          <w:p w14:paraId="7551727B" w14:textId="77777777" w:rsidR="00265506" w:rsidRDefault="00265506" w:rsidP="00D839EF">
            <w:pPr>
              <w:rPr>
                <w:rFonts w:ascii="Arial" w:hAnsi="Arial"/>
              </w:rPr>
            </w:pPr>
            <w:r>
              <w:rPr>
                <w:rFonts w:ascii="Arial" w:hAnsi="Arial"/>
              </w:rPr>
              <w:t>Joint</w:t>
            </w:r>
          </w:p>
        </w:tc>
        <w:tc>
          <w:tcPr>
            <w:tcW w:w="1080" w:type="dxa"/>
            <w:tcBorders>
              <w:bottom w:val="single" w:sz="4" w:space="0" w:color="auto"/>
            </w:tcBorders>
            <w:vAlign w:val="center"/>
          </w:tcPr>
          <w:p w14:paraId="50A1DA9C" w14:textId="77777777" w:rsidR="00265506" w:rsidRDefault="00265506" w:rsidP="00D839EF">
            <w:pPr>
              <w:rPr>
                <w:rFonts w:ascii="Arial" w:hAnsi="Arial"/>
              </w:rPr>
            </w:pPr>
            <w:r>
              <w:rPr>
                <w:rFonts w:ascii="Arial" w:hAnsi="Arial"/>
              </w:rPr>
              <w:t>N/A</w:t>
            </w:r>
          </w:p>
        </w:tc>
        <w:tc>
          <w:tcPr>
            <w:tcW w:w="1170" w:type="dxa"/>
            <w:tcBorders>
              <w:bottom w:val="single" w:sz="4" w:space="0" w:color="auto"/>
            </w:tcBorders>
            <w:vAlign w:val="center"/>
          </w:tcPr>
          <w:p w14:paraId="0D9F415F" w14:textId="43CF9E4C" w:rsidR="00557A8B" w:rsidRDefault="00265506" w:rsidP="00715623">
            <w:pPr>
              <w:rPr>
                <w:rFonts w:ascii="Arial" w:hAnsi="Arial"/>
              </w:rPr>
            </w:pPr>
            <w:r>
              <w:rPr>
                <w:rFonts w:ascii="Arial" w:hAnsi="Arial"/>
              </w:rPr>
              <w:t>200</w:t>
            </w:r>
            <w:r w:rsidR="00715623">
              <w:rPr>
                <w:rFonts w:ascii="Arial" w:hAnsi="Arial"/>
              </w:rPr>
              <w:t>'</w:t>
            </w:r>
            <w:r>
              <w:rPr>
                <w:rFonts w:ascii="Arial" w:hAnsi="Arial"/>
              </w:rPr>
              <w:t xml:space="preserve"> / </w:t>
            </w:r>
          </w:p>
          <w:p w14:paraId="6C4C6B4F" w14:textId="319BA4E4" w:rsidR="00265506" w:rsidRDefault="00265506" w:rsidP="00D839EF">
            <w:pPr>
              <w:rPr>
                <w:rFonts w:ascii="Arial" w:hAnsi="Arial"/>
              </w:rPr>
            </w:pPr>
            <w:r>
              <w:rPr>
                <w:rFonts w:ascii="Arial" w:hAnsi="Arial"/>
              </w:rPr>
              <w:t>5</w:t>
            </w:r>
            <w:r>
              <w:rPr>
                <w:rFonts w:ascii="Arial" w:hAnsi="Arial"/>
                <w:vertAlign w:val="superscript"/>
              </w:rPr>
              <w:t xml:space="preserve">th </w:t>
            </w:r>
            <w:r>
              <w:rPr>
                <w:rFonts w:ascii="Arial" w:hAnsi="Arial"/>
              </w:rPr>
              <w:t>slab</w:t>
            </w:r>
          </w:p>
        </w:tc>
        <w:tc>
          <w:tcPr>
            <w:tcW w:w="1260" w:type="dxa"/>
            <w:tcBorders>
              <w:bottom w:val="single" w:sz="4" w:space="0" w:color="auto"/>
            </w:tcBorders>
            <w:vAlign w:val="center"/>
          </w:tcPr>
          <w:p w14:paraId="20CD5545" w14:textId="0EF8A3D4" w:rsidR="00557A8B" w:rsidRDefault="00265506" w:rsidP="00715623">
            <w:pPr>
              <w:rPr>
                <w:rFonts w:ascii="Arial" w:hAnsi="Arial"/>
              </w:rPr>
            </w:pPr>
            <w:r>
              <w:rPr>
                <w:rFonts w:ascii="Arial" w:hAnsi="Arial"/>
              </w:rPr>
              <w:t>160</w:t>
            </w:r>
            <w:r w:rsidR="00715623">
              <w:rPr>
                <w:rFonts w:ascii="Arial" w:hAnsi="Arial"/>
              </w:rPr>
              <w:t>'</w:t>
            </w:r>
            <w:r>
              <w:rPr>
                <w:rFonts w:ascii="Arial" w:hAnsi="Arial"/>
              </w:rPr>
              <w:t xml:space="preserve"> / </w:t>
            </w:r>
          </w:p>
          <w:p w14:paraId="4ABDB155" w14:textId="004D065F" w:rsidR="00265506" w:rsidRDefault="00265506" w:rsidP="00D839EF">
            <w:pPr>
              <w:rPr>
                <w:rFonts w:ascii="Arial" w:hAnsi="Arial"/>
              </w:rPr>
            </w:pPr>
            <w:r>
              <w:rPr>
                <w:rFonts w:ascii="Arial" w:hAnsi="Arial"/>
              </w:rPr>
              <w:t>4</w:t>
            </w:r>
            <w:r>
              <w:rPr>
                <w:rFonts w:ascii="Arial" w:hAnsi="Arial"/>
                <w:vertAlign w:val="superscript"/>
              </w:rPr>
              <w:t xml:space="preserve">th </w:t>
            </w:r>
            <w:r>
              <w:rPr>
                <w:rFonts w:ascii="Arial" w:hAnsi="Arial"/>
              </w:rPr>
              <w:t>slab</w:t>
            </w:r>
          </w:p>
        </w:tc>
        <w:tc>
          <w:tcPr>
            <w:tcW w:w="1170" w:type="dxa"/>
            <w:tcBorders>
              <w:bottom w:val="single" w:sz="4" w:space="0" w:color="auto"/>
            </w:tcBorders>
            <w:vAlign w:val="center"/>
          </w:tcPr>
          <w:p w14:paraId="594A1282" w14:textId="73B1A3CD" w:rsidR="00557A8B" w:rsidRDefault="00265506" w:rsidP="00715623">
            <w:pPr>
              <w:rPr>
                <w:rFonts w:ascii="Arial" w:hAnsi="Arial"/>
              </w:rPr>
            </w:pPr>
            <w:r>
              <w:rPr>
                <w:rFonts w:ascii="Arial" w:hAnsi="Arial"/>
              </w:rPr>
              <w:t>400</w:t>
            </w:r>
            <w:r w:rsidR="00715623">
              <w:rPr>
                <w:rFonts w:ascii="Arial" w:hAnsi="Arial"/>
              </w:rPr>
              <w:t>'</w:t>
            </w:r>
            <w:r>
              <w:rPr>
                <w:rFonts w:ascii="Arial" w:hAnsi="Arial"/>
              </w:rPr>
              <w:t xml:space="preserve"> / </w:t>
            </w:r>
          </w:p>
          <w:p w14:paraId="6A48D8A0" w14:textId="09B4E55D" w:rsidR="00265506" w:rsidRDefault="00265506" w:rsidP="00D839EF">
            <w:pPr>
              <w:rPr>
                <w:rFonts w:ascii="Arial" w:hAnsi="Arial"/>
              </w:rPr>
            </w:pPr>
            <w:r>
              <w:rPr>
                <w:rFonts w:ascii="Arial" w:hAnsi="Arial"/>
              </w:rPr>
              <w:t>10</w:t>
            </w:r>
            <w:r>
              <w:rPr>
                <w:rFonts w:ascii="Arial" w:hAnsi="Arial"/>
                <w:vertAlign w:val="superscript"/>
              </w:rPr>
              <w:t xml:space="preserve">th </w:t>
            </w:r>
            <w:r>
              <w:rPr>
                <w:rFonts w:ascii="Arial" w:hAnsi="Arial"/>
              </w:rPr>
              <w:t>slab</w:t>
            </w:r>
          </w:p>
        </w:tc>
        <w:tc>
          <w:tcPr>
            <w:tcW w:w="1260" w:type="dxa"/>
            <w:tcBorders>
              <w:bottom w:val="single" w:sz="4" w:space="0" w:color="auto"/>
            </w:tcBorders>
            <w:vAlign w:val="center"/>
          </w:tcPr>
          <w:p w14:paraId="60DD97E7" w14:textId="00E5DAA0" w:rsidR="00557A8B" w:rsidRDefault="00265506" w:rsidP="00715623">
            <w:pPr>
              <w:rPr>
                <w:rFonts w:ascii="Arial" w:hAnsi="Arial"/>
              </w:rPr>
            </w:pPr>
            <w:r>
              <w:rPr>
                <w:rFonts w:ascii="Arial" w:hAnsi="Arial"/>
              </w:rPr>
              <w:t>280</w:t>
            </w:r>
            <w:r w:rsidR="00715623">
              <w:rPr>
                <w:rFonts w:ascii="Arial" w:hAnsi="Arial"/>
              </w:rPr>
              <w:t>'</w:t>
            </w:r>
            <w:r>
              <w:rPr>
                <w:rFonts w:ascii="Arial" w:hAnsi="Arial"/>
              </w:rPr>
              <w:t xml:space="preserve"> / </w:t>
            </w:r>
          </w:p>
          <w:p w14:paraId="07AB6EA9" w14:textId="30196B69" w:rsidR="00265506" w:rsidRDefault="00265506" w:rsidP="00D839EF">
            <w:pPr>
              <w:rPr>
                <w:rFonts w:ascii="Arial" w:hAnsi="Arial"/>
              </w:rPr>
            </w:pPr>
            <w:r>
              <w:rPr>
                <w:rFonts w:ascii="Arial" w:hAnsi="Arial"/>
              </w:rPr>
              <w:t>7</w:t>
            </w:r>
            <w:r>
              <w:rPr>
                <w:rFonts w:ascii="Arial" w:hAnsi="Arial"/>
                <w:vertAlign w:val="superscript"/>
              </w:rPr>
              <w:t xml:space="preserve">th </w:t>
            </w:r>
            <w:r>
              <w:rPr>
                <w:rFonts w:ascii="Arial" w:hAnsi="Arial"/>
              </w:rPr>
              <w:t>slab</w:t>
            </w:r>
          </w:p>
        </w:tc>
      </w:tr>
      <w:tr w:rsidR="00265506" w14:paraId="48D4A327" w14:textId="77777777" w:rsidTr="00D839EF">
        <w:trPr>
          <w:cantSplit/>
          <w:trHeight w:val="446"/>
          <w:jc w:val="right"/>
        </w:trPr>
        <w:tc>
          <w:tcPr>
            <w:tcW w:w="1440" w:type="dxa"/>
            <w:tcBorders>
              <w:top w:val="single" w:sz="4" w:space="0" w:color="auto"/>
              <w:bottom w:val="single" w:sz="4" w:space="0" w:color="auto"/>
            </w:tcBorders>
            <w:vAlign w:val="center"/>
          </w:tcPr>
          <w:p w14:paraId="440B102F" w14:textId="77777777" w:rsidR="00265506" w:rsidRDefault="00265506" w:rsidP="00D839EF">
            <w:pPr>
              <w:rPr>
                <w:rFonts w:ascii="Arial" w:hAnsi="Arial"/>
              </w:rPr>
            </w:pPr>
            <w:r>
              <w:rPr>
                <w:rFonts w:ascii="Arial" w:hAnsi="Arial"/>
              </w:rPr>
              <w:t>1 mile</w:t>
            </w:r>
          </w:p>
        </w:tc>
        <w:tc>
          <w:tcPr>
            <w:tcW w:w="985" w:type="dxa"/>
            <w:tcBorders>
              <w:top w:val="single" w:sz="4" w:space="0" w:color="auto"/>
              <w:bottom w:val="single" w:sz="4" w:space="0" w:color="auto"/>
            </w:tcBorders>
            <w:vAlign w:val="center"/>
          </w:tcPr>
          <w:p w14:paraId="7778BD4D" w14:textId="77777777" w:rsidR="00265506" w:rsidRDefault="00265506" w:rsidP="00D839EF">
            <w:pPr>
              <w:rPr>
                <w:rFonts w:ascii="Arial" w:hAnsi="Arial"/>
              </w:rPr>
            </w:pPr>
            <w:r>
              <w:rPr>
                <w:rFonts w:ascii="Arial" w:hAnsi="Arial"/>
              </w:rPr>
              <w:t>Joint</w:t>
            </w:r>
          </w:p>
        </w:tc>
        <w:tc>
          <w:tcPr>
            <w:tcW w:w="1080" w:type="dxa"/>
            <w:tcBorders>
              <w:top w:val="single" w:sz="4" w:space="0" w:color="auto"/>
              <w:bottom w:val="single" w:sz="4" w:space="0" w:color="auto"/>
            </w:tcBorders>
            <w:vAlign w:val="center"/>
          </w:tcPr>
          <w:p w14:paraId="6E033831" w14:textId="77777777" w:rsidR="00265506" w:rsidRDefault="00265506" w:rsidP="00D839EF">
            <w:pPr>
              <w:rPr>
                <w:rFonts w:ascii="Arial" w:hAnsi="Arial"/>
              </w:rPr>
            </w:pPr>
            <w:r>
              <w:rPr>
                <w:rFonts w:ascii="Arial" w:hAnsi="Arial"/>
              </w:rPr>
              <w:t>N/A</w:t>
            </w:r>
          </w:p>
        </w:tc>
        <w:tc>
          <w:tcPr>
            <w:tcW w:w="1170" w:type="dxa"/>
            <w:tcBorders>
              <w:top w:val="single" w:sz="4" w:space="0" w:color="auto"/>
              <w:bottom w:val="single" w:sz="4" w:space="0" w:color="auto"/>
            </w:tcBorders>
            <w:vAlign w:val="center"/>
          </w:tcPr>
          <w:p w14:paraId="3B118E54" w14:textId="0D00D603" w:rsidR="00557A8B" w:rsidRDefault="00265506" w:rsidP="00715623">
            <w:pPr>
              <w:rPr>
                <w:rFonts w:ascii="Arial" w:hAnsi="Arial"/>
              </w:rPr>
            </w:pPr>
            <w:r>
              <w:rPr>
                <w:rFonts w:ascii="Arial" w:hAnsi="Arial"/>
              </w:rPr>
              <w:t>120</w:t>
            </w:r>
            <w:r w:rsidR="00715623">
              <w:rPr>
                <w:rFonts w:ascii="Arial" w:hAnsi="Arial"/>
              </w:rPr>
              <w:t>'</w:t>
            </w:r>
            <w:r>
              <w:rPr>
                <w:rFonts w:ascii="Arial" w:hAnsi="Arial"/>
              </w:rPr>
              <w:t xml:space="preserve"> / </w:t>
            </w:r>
          </w:p>
          <w:p w14:paraId="0C8FAE82" w14:textId="2B8DFBA4" w:rsidR="00265506" w:rsidRDefault="00265506" w:rsidP="00D839EF">
            <w:pPr>
              <w:rPr>
                <w:rFonts w:ascii="Arial" w:hAnsi="Arial"/>
              </w:rPr>
            </w:pPr>
            <w:r>
              <w:rPr>
                <w:rFonts w:ascii="Arial" w:hAnsi="Arial"/>
              </w:rPr>
              <w:t>3</w:t>
            </w:r>
            <w:r>
              <w:rPr>
                <w:rFonts w:ascii="Arial" w:hAnsi="Arial"/>
                <w:vertAlign w:val="superscript"/>
              </w:rPr>
              <w:t xml:space="preserve">rd </w:t>
            </w:r>
            <w:r>
              <w:rPr>
                <w:rFonts w:ascii="Arial" w:hAnsi="Arial"/>
              </w:rPr>
              <w:t>slab</w:t>
            </w:r>
          </w:p>
        </w:tc>
        <w:tc>
          <w:tcPr>
            <w:tcW w:w="1260" w:type="dxa"/>
            <w:tcBorders>
              <w:top w:val="single" w:sz="4" w:space="0" w:color="auto"/>
              <w:bottom w:val="single" w:sz="4" w:space="0" w:color="auto"/>
            </w:tcBorders>
            <w:vAlign w:val="center"/>
          </w:tcPr>
          <w:p w14:paraId="25FA16DF" w14:textId="741EF92B" w:rsidR="00557A8B" w:rsidRDefault="00265506" w:rsidP="00715623">
            <w:pPr>
              <w:rPr>
                <w:rFonts w:ascii="Arial" w:hAnsi="Arial"/>
              </w:rPr>
            </w:pPr>
            <w:r>
              <w:rPr>
                <w:rFonts w:ascii="Arial" w:hAnsi="Arial"/>
              </w:rPr>
              <w:t>80</w:t>
            </w:r>
            <w:r w:rsidR="00715623">
              <w:rPr>
                <w:rFonts w:ascii="Arial" w:hAnsi="Arial"/>
              </w:rPr>
              <w:t>'</w:t>
            </w:r>
            <w:r>
              <w:rPr>
                <w:rFonts w:ascii="Arial" w:hAnsi="Arial"/>
              </w:rPr>
              <w:t xml:space="preserve"> / </w:t>
            </w:r>
          </w:p>
          <w:p w14:paraId="7F266AB1" w14:textId="064C30E0" w:rsidR="00265506" w:rsidRDefault="00265506" w:rsidP="00D839EF">
            <w:pPr>
              <w:rPr>
                <w:rFonts w:ascii="Arial" w:hAnsi="Arial"/>
              </w:rPr>
            </w:pPr>
            <w:r>
              <w:rPr>
                <w:rFonts w:ascii="Arial" w:hAnsi="Arial"/>
              </w:rPr>
              <w:t>2</w:t>
            </w:r>
            <w:r>
              <w:rPr>
                <w:rFonts w:ascii="Arial" w:hAnsi="Arial"/>
                <w:vertAlign w:val="superscript"/>
              </w:rPr>
              <w:t>nd</w:t>
            </w:r>
            <w:r>
              <w:rPr>
                <w:rFonts w:ascii="Arial" w:hAnsi="Arial"/>
              </w:rPr>
              <w:t xml:space="preserve"> slab</w:t>
            </w:r>
          </w:p>
        </w:tc>
        <w:tc>
          <w:tcPr>
            <w:tcW w:w="1170" w:type="dxa"/>
            <w:tcBorders>
              <w:top w:val="single" w:sz="4" w:space="0" w:color="auto"/>
              <w:bottom w:val="single" w:sz="4" w:space="0" w:color="auto"/>
            </w:tcBorders>
            <w:vAlign w:val="center"/>
          </w:tcPr>
          <w:p w14:paraId="7BCFD5FB" w14:textId="6349E848" w:rsidR="00557A8B" w:rsidRDefault="00265506" w:rsidP="00715623">
            <w:pPr>
              <w:rPr>
                <w:rFonts w:ascii="Arial" w:hAnsi="Arial"/>
              </w:rPr>
            </w:pPr>
            <w:r>
              <w:rPr>
                <w:rFonts w:ascii="Arial" w:hAnsi="Arial"/>
              </w:rPr>
              <w:t>200</w:t>
            </w:r>
            <w:r w:rsidR="00715623">
              <w:rPr>
                <w:rFonts w:ascii="Arial" w:hAnsi="Arial"/>
              </w:rPr>
              <w:t>'</w:t>
            </w:r>
            <w:r>
              <w:rPr>
                <w:rFonts w:ascii="Arial" w:hAnsi="Arial"/>
              </w:rPr>
              <w:t xml:space="preserve"> / </w:t>
            </w:r>
          </w:p>
          <w:p w14:paraId="7FD814B6" w14:textId="6F50FD09" w:rsidR="00265506" w:rsidRDefault="00265506" w:rsidP="00D839EF">
            <w:pPr>
              <w:rPr>
                <w:rFonts w:ascii="Arial" w:hAnsi="Arial"/>
              </w:rPr>
            </w:pPr>
            <w:r>
              <w:rPr>
                <w:rFonts w:ascii="Arial" w:hAnsi="Arial"/>
              </w:rPr>
              <w:t>5</w:t>
            </w:r>
            <w:r>
              <w:rPr>
                <w:rFonts w:ascii="Arial" w:hAnsi="Arial"/>
                <w:vertAlign w:val="superscript"/>
              </w:rPr>
              <w:t xml:space="preserve">th </w:t>
            </w:r>
            <w:r>
              <w:rPr>
                <w:rFonts w:ascii="Arial" w:hAnsi="Arial"/>
              </w:rPr>
              <w:t>slab</w:t>
            </w:r>
          </w:p>
        </w:tc>
        <w:tc>
          <w:tcPr>
            <w:tcW w:w="1260" w:type="dxa"/>
            <w:tcBorders>
              <w:top w:val="single" w:sz="4" w:space="0" w:color="auto"/>
              <w:bottom w:val="single" w:sz="4" w:space="0" w:color="auto"/>
            </w:tcBorders>
            <w:vAlign w:val="center"/>
          </w:tcPr>
          <w:p w14:paraId="5A3A6399" w14:textId="25610BEB" w:rsidR="00557A8B" w:rsidRDefault="00265506" w:rsidP="00715623">
            <w:pPr>
              <w:rPr>
                <w:rFonts w:ascii="Arial" w:hAnsi="Arial"/>
              </w:rPr>
            </w:pPr>
            <w:r>
              <w:rPr>
                <w:rFonts w:ascii="Arial" w:hAnsi="Arial"/>
              </w:rPr>
              <w:t>120</w:t>
            </w:r>
            <w:r w:rsidR="00715623">
              <w:rPr>
                <w:rFonts w:ascii="Arial" w:hAnsi="Arial"/>
              </w:rPr>
              <w:t>'</w:t>
            </w:r>
            <w:r>
              <w:rPr>
                <w:rFonts w:ascii="Arial" w:hAnsi="Arial"/>
              </w:rPr>
              <w:t xml:space="preserve"> / </w:t>
            </w:r>
          </w:p>
          <w:p w14:paraId="1F9F999B" w14:textId="0D0BD73A" w:rsidR="00265506" w:rsidRDefault="00265506" w:rsidP="00D839EF">
            <w:pPr>
              <w:rPr>
                <w:rFonts w:ascii="Arial" w:hAnsi="Arial"/>
              </w:rPr>
            </w:pPr>
            <w:r>
              <w:rPr>
                <w:rFonts w:ascii="Arial" w:hAnsi="Arial"/>
              </w:rPr>
              <w:t>3</w:t>
            </w:r>
            <w:r>
              <w:rPr>
                <w:rFonts w:ascii="Arial" w:hAnsi="Arial"/>
                <w:vertAlign w:val="superscript"/>
              </w:rPr>
              <w:t xml:space="preserve">rd </w:t>
            </w:r>
            <w:r>
              <w:rPr>
                <w:rFonts w:ascii="Arial" w:hAnsi="Arial"/>
              </w:rPr>
              <w:t>slab</w:t>
            </w:r>
          </w:p>
        </w:tc>
      </w:tr>
      <w:tr w:rsidR="00265506" w14:paraId="78CE47AC" w14:textId="77777777" w:rsidTr="00D839EF">
        <w:trPr>
          <w:cantSplit/>
          <w:trHeight w:val="447"/>
          <w:jc w:val="right"/>
        </w:trPr>
        <w:tc>
          <w:tcPr>
            <w:tcW w:w="1440" w:type="dxa"/>
            <w:tcBorders>
              <w:top w:val="single" w:sz="4" w:space="0" w:color="auto"/>
            </w:tcBorders>
            <w:vAlign w:val="center"/>
          </w:tcPr>
          <w:p w14:paraId="2083F2D3" w14:textId="77777777" w:rsidR="00265506" w:rsidRDefault="00265506" w:rsidP="00D839EF">
            <w:pPr>
              <w:rPr>
                <w:rFonts w:ascii="Arial" w:hAnsi="Arial"/>
              </w:rPr>
            </w:pPr>
            <w:r>
              <w:rPr>
                <w:rFonts w:ascii="Arial" w:hAnsi="Arial"/>
              </w:rPr>
              <w:t>&lt; 1 mile</w:t>
            </w:r>
          </w:p>
        </w:tc>
        <w:tc>
          <w:tcPr>
            <w:tcW w:w="985" w:type="dxa"/>
            <w:tcBorders>
              <w:top w:val="single" w:sz="4" w:space="0" w:color="auto"/>
            </w:tcBorders>
            <w:vAlign w:val="center"/>
          </w:tcPr>
          <w:p w14:paraId="01075276" w14:textId="77777777" w:rsidR="00265506" w:rsidRDefault="00265506" w:rsidP="00D839EF">
            <w:pPr>
              <w:rPr>
                <w:rFonts w:ascii="Arial" w:hAnsi="Arial"/>
              </w:rPr>
            </w:pPr>
            <w:r>
              <w:rPr>
                <w:rFonts w:ascii="Arial" w:hAnsi="Arial"/>
              </w:rPr>
              <w:t>Joint</w:t>
            </w:r>
          </w:p>
        </w:tc>
        <w:tc>
          <w:tcPr>
            <w:tcW w:w="1080" w:type="dxa"/>
            <w:tcBorders>
              <w:top w:val="single" w:sz="4" w:space="0" w:color="auto"/>
            </w:tcBorders>
            <w:vAlign w:val="center"/>
          </w:tcPr>
          <w:p w14:paraId="10F32920" w14:textId="77777777" w:rsidR="00265506" w:rsidRDefault="00265506" w:rsidP="00D839EF">
            <w:pPr>
              <w:rPr>
                <w:rFonts w:ascii="Arial" w:hAnsi="Arial"/>
              </w:rPr>
            </w:pPr>
            <w:r>
              <w:rPr>
                <w:rFonts w:ascii="Arial" w:hAnsi="Arial"/>
              </w:rPr>
              <w:t>N/A</w:t>
            </w:r>
          </w:p>
        </w:tc>
        <w:tc>
          <w:tcPr>
            <w:tcW w:w="1170" w:type="dxa"/>
            <w:tcBorders>
              <w:top w:val="single" w:sz="4" w:space="0" w:color="auto"/>
            </w:tcBorders>
            <w:vAlign w:val="center"/>
          </w:tcPr>
          <w:p w14:paraId="00FB953A" w14:textId="1712F038" w:rsidR="00557A8B" w:rsidRDefault="00265506" w:rsidP="00715623">
            <w:pPr>
              <w:rPr>
                <w:rFonts w:ascii="Arial" w:hAnsi="Arial"/>
              </w:rPr>
            </w:pPr>
            <w:r>
              <w:rPr>
                <w:rFonts w:ascii="Arial" w:hAnsi="Arial"/>
              </w:rPr>
              <w:t>80</w:t>
            </w:r>
            <w:r w:rsidR="00715623">
              <w:rPr>
                <w:rFonts w:ascii="Arial" w:hAnsi="Arial"/>
              </w:rPr>
              <w:t>'</w:t>
            </w:r>
            <w:r>
              <w:rPr>
                <w:rFonts w:ascii="Arial" w:hAnsi="Arial"/>
              </w:rPr>
              <w:t xml:space="preserve"> / </w:t>
            </w:r>
          </w:p>
          <w:p w14:paraId="5B7D6334" w14:textId="4E9892F5" w:rsidR="00265506" w:rsidRDefault="00265506" w:rsidP="00D839EF">
            <w:pPr>
              <w:rPr>
                <w:rFonts w:ascii="Arial" w:hAnsi="Arial"/>
              </w:rPr>
            </w:pPr>
            <w:r>
              <w:rPr>
                <w:rFonts w:ascii="Arial" w:hAnsi="Arial"/>
              </w:rPr>
              <w:t>2</w:t>
            </w:r>
            <w:r>
              <w:rPr>
                <w:rFonts w:ascii="Arial" w:hAnsi="Arial"/>
                <w:vertAlign w:val="superscript"/>
              </w:rPr>
              <w:t>nd</w:t>
            </w:r>
            <w:r>
              <w:rPr>
                <w:rFonts w:ascii="Arial" w:hAnsi="Arial"/>
              </w:rPr>
              <w:t xml:space="preserve"> slab</w:t>
            </w:r>
          </w:p>
        </w:tc>
        <w:tc>
          <w:tcPr>
            <w:tcW w:w="1260" w:type="dxa"/>
            <w:tcBorders>
              <w:top w:val="single" w:sz="4" w:space="0" w:color="auto"/>
            </w:tcBorders>
            <w:vAlign w:val="center"/>
          </w:tcPr>
          <w:p w14:paraId="33FBA44B" w14:textId="4C965083" w:rsidR="00557A8B" w:rsidRDefault="00265506" w:rsidP="00715623">
            <w:pPr>
              <w:rPr>
                <w:rFonts w:ascii="Arial" w:hAnsi="Arial"/>
              </w:rPr>
            </w:pPr>
            <w:r>
              <w:rPr>
                <w:rFonts w:ascii="Arial" w:hAnsi="Arial"/>
              </w:rPr>
              <w:t>40</w:t>
            </w:r>
            <w:r w:rsidR="00715623">
              <w:rPr>
                <w:rFonts w:ascii="Arial" w:hAnsi="Arial"/>
              </w:rPr>
              <w:t>'</w:t>
            </w:r>
            <w:r>
              <w:rPr>
                <w:rFonts w:ascii="Arial" w:hAnsi="Arial"/>
              </w:rPr>
              <w:t xml:space="preserve"> / </w:t>
            </w:r>
          </w:p>
          <w:p w14:paraId="7453982B" w14:textId="57DA9D72" w:rsidR="00265506" w:rsidRDefault="00265506" w:rsidP="00D839EF">
            <w:pPr>
              <w:rPr>
                <w:rFonts w:ascii="Arial" w:hAnsi="Arial"/>
              </w:rPr>
            </w:pPr>
            <w:r>
              <w:rPr>
                <w:rFonts w:ascii="Arial" w:hAnsi="Arial"/>
              </w:rPr>
              <w:t>every slab</w:t>
            </w:r>
          </w:p>
        </w:tc>
        <w:tc>
          <w:tcPr>
            <w:tcW w:w="1170" w:type="dxa"/>
            <w:tcBorders>
              <w:top w:val="single" w:sz="4" w:space="0" w:color="auto"/>
            </w:tcBorders>
            <w:vAlign w:val="center"/>
          </w:tcPr>
          <w:p w14:paraId="1108300B" w14:textId="3D9B85F6" w:rsidR="00557A8B" w:rsidRDefault="00265506" w:rsidP="00715623">
            <w:pPr>
              <w:rPr>
                <w:rFonts w:ascii="Arial" w:hAnsi="Arial"/>
              </w:rPr>
            </w:pPr>
            <w:r>
              <w:rPr>
                <w:rFonts w:ascii="Arial" w:hAnsi="Arial"/>
              </w:rPr>
              <w:t>160</w:t>
            </w:r>
            <w:r w:rsidR="00715623">
              <w:rPr>
                <w:rFonts w:ascii="Arial" w:hAnsi="Arial"/>
              </w:rPr>
              <w:t>'</w:t>
            </w:r>
            <w:r>
              <w:rPr>
                <w:rFonts w:ascii="Arial" w:hAnsi="Arial"/>
              </w:rPr>
              <w:t xml:space="preserve"> / </w:t>
            </w:r>
          </w:p>
          <w:p w14:paraId="46019CB6" w14:textId="0227CD86" w:rsidR="00265506" w:rsidRDefault="00265506" w:rsidP="00D839EF">
            <w:pPr>
              <w:rPr>
                <w:rFonts w:ascii="Arial" w:hAnsi="Arial"/>
              </w:rPr>
            </w:pPr>
            <w:r>
              <w:rPr>
                <w:rFonts w:ascii="Arial" w:hAnsi="Arial"/>
              </w:rPr>
              <w:t>4</w:t>
            </w:r>
            <w:r>
              <w:rPr>
                <w:rFonts w:ascii="Arial" w:hAnsi="Arial"/>
                <w:vertAlign w:val="superscript"/>
              </w:rPr>
              <w:t xml:space="preserve">th </w:t>
            </w:r>
            <w:r>
              <w:rPr>
                <w:rFonts w:ascii="Arial" w:hAnsi="Arial"/>
              </w:rPr>
              <w:t>slab</w:t>
            </w:r>
          </w:p>
        </w:tc>
        <w:tc>
          <w:tcPr>
            <w:tcW w:w="1260" w:type="dxa"/>
            <w:tcBorders>
              <w:top w:val="single" w:sz="4" w:space="0" w:color="auto"/>
            </w:tcBorders>
            <w:vAlign w:val="center"/>
          </w:tcPr>
          <w:p w14:paraId="1A4C7C1A" w14:textId="126EF614" w:rsidR="00557A8B" w:rsidRDefault="00265506" w:rsidP="00715623">
            <w:pPr>
              <w:rPr>
                <w:rFonts w:ascii="Arial" w:hAnsi="Arial"/>
              </w:rPr>
            </w:pPr>
            <w:r>
              <w:rPr>
                <w:rFonts w:ascii="Arial" w:hAnsi="Arial"/>
              </w:rPr>
              <w:t>80</w:t>
            </w:r>
            <w:r w:rsidR="00715623">
              <w:rPr>
                <w:rFonts w:ascii="Arial" w:hAnsi="Arial"/>
              </w:rPr>
              <w:t>'</w:t>
            </w:r>
            <w:r>
              <w:rPr>
                <w:rFonts w:ascii="Arial" w:hAnsi="Arial"/>
              </w:rPr>
              <w:t xml:space="preserve"> / </w:t>
            </w:r>
          </w:p>
          <w:p w14:paraId="46E5CBF5" w14:textId="0341B57C" w:rsidR="00265506" w:rsidRDefault="00265506" w:rsidP="00D839EF">
            <w:pPr>
              <w:rPr>
                <w:rFonts w:ascii="Arial" w:hAnsi="Arial"/>
              </w:rPr>
            </w:pPr>
            <w:r>
              <w:rPr>
                <w:rFonts w:ascii="Arial" w:hAnsi="Arial"/>
              </w:rPr>
              <w:t>2</w:t>
            </w:r>
            <w:r>
              <w:rPr>
                <w:rFonts w:ascii="Arial" w:hAnsi="Arial"/>
                <w:vertAlign w:val="superscript"/>
              </w:rPr>
              <w:t>nd</w:t>
            </w:r>
            <w:r>
              <w:rPr>
                <w:rFonts w:ascii="Arial" w:hAnsi="Arial"/>
              </w:rPr>
              <w:t xml:space="preserve"> slab</w:t>
            </w:r>
          </w:p>
        </w:tc>
      </w:tr>
      <w:tr w:rsidR="00265506" w14:paraId="00C82377" w14:textId="77777777" w:rsidTr="00D839EF">
        <w:trPr>
          <w:cantSplit/>
          <w:trHeight w:val="446"/>
          <w:jc w:val="right"/>
        </w:trPr>
        <w:tc>
          <w:tcPr>
            <w:tcW w:w="1440" w:type="dxa"/>
            <w:vAlign w:val="center"/>
          </w:tcPr>
          <w:p w14:paraId="1CA0913D" w14:textId="77777777" w:rsidR="00265506" w:rsidRDefault="00265506" w:rsidP="00D839EF">
            <w:pPr>
              <w:rPr>
                <w:rFonts w:ascii="Arial" w:hAnsi="Arial"/>
              </w:rPr>
            </w:pPr>
            <w:r>
              <w:rPr>
                <w:rFonts w:ascii="Arial" w:hAnsi="Arial"/>
              </w:rPr>
              <w:lastRenderedPageBreak/>
              <w:t>3 miles</w:t>
            </w:r>
          </w:p>
        </w:tc>
        <w:tc>
          <w:tcPr>
            <w:tcW w:w="985" w:type="dxa"/>
            <w:vAlign w:val="center"/>
          </w:tcPr>
          <w:p w14:paraId="56F09F76" w14:textId="77777777" w:rsidR="00265506" w:rsidRDefault="00265506" w:rsidP="00D839EF">
            <w:pPr>
              <w:rPr>
                <w:rFonts w:ascii="Arial" w:hAnsi="Arial"/>
              </w:rPr>
            </w:pPr>
            <w:r>
              <w:rPr>
                <w:rFonts w:ascii="Arial" w:hAnsi="Arial"/>
              </w:rPr>
              <w:t>Corner</w:t>
            </w:r>
          </w:p>
        </w:tc>
        <w:tc>
          <w:tcPr>
            <w:tcW w:w="1080" w:type="dxa"/>
            <w:tcBorders>
              <w:top w:val="nil"/>
              <w:bottom w:val="nil"/>
            </w:tcBorders>
            <w:vAlign w:val="center"/>
          </w:tcPr>
          <w:p w14:paraId="68224496" w14:textId="77777777" w:rsidR="00265506" w:rsidRDefault="00265506" w:rsidP="00D839EF">
            <w:pPr>
              <w:rPr>
                <w:rFonts w:ascii="Arial" w:hAnsi="Arial"/>
              </w:rPr>
            </w:pPr>
            <w:r>
              <w:rPr>
                <w:rFonts w:ascii="Arial" w:hAnsi="Arial"/>
              </w:rPr>
              <w:t>N/A</w:t>
            </w:r>
          </w:p>
        </w:tc>
        <w:tc>
          <w:tcPr>
            <w:tcW w:w="1170" w:type="dxa"/>
            <w:tcBorders>
              <w:top w:val="nil"/>
              <w:bottom w:val="nil"/>
            </w:tcBorders>
            <w:vAlign w:val="center"/>
          </w:tcPr>
          <w:p w14:paraId="05AE1CB7" w14:textId="77777777" w:rsidR="00265506" w:rsidRDefault="00265506" w:rsidP="00D839EF">
            <w:pPr>
              <w:rPr>
                <w:rFonts w:ascii="Arial" w:hAnsi="Arial"/>
              </w:rPr>
            </w:pPr>
            <w:r>
              <w:rPr>
                <w:rFonts w:ascii="Arial" w:hAnsi="Arial"/>
              </w:rPr>
              <w:t>N/A</w:t>
            </w:r>
          </w:p>
        </w:tc>
        <w:tc>
          <w:tcPr>
            <w:tcW w:w="1260" w:type="dxa"/>
            <w:tcBorders>
              <w:top w:val="nil"/>
              <w:bottom w:val="nil"/>
            </w:tcBorders>
            <w:vAlign w:val="center"/>
          </w:tcPr>
          <w:p w14:paraId="03905361" w14:textId="77777777" w:rsidR="00265506" w:rsidRDefault="00265506" w:rsidP="00D839EF">
            <w:pPr>
              <w:rPr>
                <w:rFonts w:ascii="Arial" w:hAnsi="Arial"/>
              </w:rPr>
            </w:pPr>
            <w:r>
              <w:rPr>
                <w:rFonts w:ascii="Arial" w:hAnsi="Arial"/>
              </w:rPr>
              <w:t>N/A</w:t>
            </w:r>
          </w:p>
        </w:tc>
        <w:tc>
          <w:tcPr>
            <w:tcW w:w="1170" w:type="dxa"/>
            <w:tcBorders>
              <w:top w:val="nil"/>
              <w:bottom w:val="nil"/>
            </w:tcBorders>
            <w:vAlign w:val="center"/>
          </w:tcPr>
          <w:p w14:paraId="0ADC06D4" w14:textId="45E30A39" w:rsidR="00557A8B" w:rsidRDefault="00265506" w:rsidP="00715623">
            <w:pPr>
              <w:rPr>
                <w:rFonts w:ascii="Arial" w:hAnsi="Arial"/>
              </w:rPr>
            </w:pPr>
            <w:r>
              <w:rPr>
                <w:rFonts w:ascii="Arial" w:hAnsi="Arial"/>
              </w:rPr>
              <w:t>640</w:t>
            </w:r>
            <w:r w:rsidR="00715623">
              <w:rPr>
                <w:rFonts w:ascii="Arial" w:hAnsi="Arial"/>
              </w:rPr>
              <w:t>'</w:t>
            </w:r>
            <w:r>
              <w:rPr>
                <w:rFonts w:ascii="Arial" w:hAnsi="Arial"/>
              </w:rPr>
              <w:t xml:space="preserve"> / </w:t>
            </w:r>
          </w:p>
          <w:p w14:paraId="52DB5ADF" w14:textId="35FEB003" w:rsidR="00265506" w:rsidRDefault="00265506" w:rsidP="00D839EF">
            <w:pPr>
              <w:rPr>
                <w:rFonts w:ascii="Arial" w:hAnsi="Arial"/>
              </w:rPr>
            </w:pPr>
            <w:r>
              <w:rPr>
                <w:rFonts w:ascii="Arial" w:hAnsi="Arial"/>
              </w:rPr>
              <w:t>16</w:t>
            </w:r>
            <w:r>
              <w:rPr>
                <w:rFonts w:ascii="Arial" w:hAnsi="Arial"/>
                <w:vertAlign w:val="superscript"/>
              </w:rPr>
              <w:t xml:space="preserve">th </w:t>
            </w:r>
            <w:r>
              <w:rPr>
                <w:rFonts w:ascii="Arial" w:hAnsi="Arial"/>
              </w:rPr>
              <w:t>slab</w:t>
            </w:r>
          </w:p>
        </w:tc>
        <w:tc>
          <w:tcPr>
            <w:tcW w:w="1260" w:type="dxa"/>
            <w:tcBorders>
              <w:top w:val="nil"/>
              <w:bottom w:val="nil"/>
            </w:tcBorders>
            <w:vAlign w:val="center"/>
          </w:tcPr>
          <w:p w14:paraId="5654FF49" w14:textId="320C05F3" w:rsidR="00557A8B" w:rsidRDefault="00265506" w:rsidP="00715623">
            <w:pPr>
              <w:rPr>
                <w:rFonts w:ascii="Arial" w:hAnsi="Arial"/>
              </w:rPr>
            </w:pPr>
            <w:r>
              <w:rPr>
                <w:rFonts w:ascii="Arial" w:hAnsi="Arial"/>
              </w:rPr>
              <w:t>640</w:t>
            </w:r>
            <w:r w:rsidR="00715623">
              <w:rPr>
                <w:rFonts w:ascii="Arial" w:hAnsi="Arial"/>
              </w:rPr>
              <w:t>'</w:t>
            </w:r>
            <w:r>
              <w:rPr>
                <w:rFonts w:ascii="Arial" w:hAnsi="Arial"/>
              </w:rPr>
              <w:t xml:space="preserve"> / </w:t>
            </w:r>
          </w:p>
          <w:p w14:paraId="443A046A" w14:textId="15D26BB7" w:rsidR="00265506" w:rsidRDefault="00265506" w:rsidP="00D839EF">
            <w:pPr>
              <w:rPr>
                <w:rFonts w:ascii="Arial" w:hAnsi="Arial"/>
              </w:rPr>
            </w:pPr>
            <w:r>
              <w:rPr>
                <w:rFonts w:ascii="Arial" w:hAnsi="Arial"/>
              </w:rPr>
              <w:t>16</w:t>
            </w:r>
            <w:r>
              <w:rPr>
                <w:rFonts w:ascii="Arial" w:hAnsi="Arial"/>
                <w:vertAlign w:val="superscript"/>
              </w:rPr>
              <w:t xml:space="preserve">th </w:t>
            </w:r>
            <w:r>
              <w:rPr>
                <w:rFonts w:ascii="Arial" w:hAnsi="Arial"/>
              </w:rPr>
              <w:t>slab</w:t>
            </w:r>
          </w:p>
        </w:tc>
      </w:tr>
      <w:tr w:rsidR="00265506" w14:paraId="55713CC6" w14:textId="77777777" w:rsidTr="00D839EF">
        <w:trPr>
          <w:cantSplit/>
          <w:trHeight w:val="446"/>
          <w:jc w:val="right"/>
        </w:trPr>
        <w:tc>
          <w:tcPr>
            <w:tcW w:w="1440" w:type="dxa"/>
            <w:vAlign w:val="center"/>
          </w:tcPr>
          <w:p w14:paraId="19052E40" w14:textId="77777777" w:rsidR="00265506" w:rsidRDefault="00265506" w:rsidP="00D839EF">
            <w:pPr>
              <w:rPr>
                <w:rFonts w:ascii="Arial" w:hAnsi="Arial"/>
              </w:rPr>
            </w:pPr>
            <w:r>
              <w:rPr>
                <w:rFonts w:ascii="Arial" w:hAnsi="Arial"/>
              </w:rPr>
              <w:t>2 miles</w:t>
            </w:r>
          </w:p>
        </w:tc>
        <w:tc>
          <w:tcPr>
            <w:tcW w:w="985" w:type="dxa"/>
            <w:vAlign w:val="center"/>
          </w:tcPr>
          <w:p w14:paraId="76CC128F" w14:textId="77777777" w:rsidR="00265506" w:rsidRDefault="00265506" w:rsidP="00D839EF">
            <w:pPr>
              <w:rPr>
                <w:rFonts w:ascii="Arial" w:hAnsi="Arial"/>
              </w:rPr>
            </w:pPr>
            <w:r>
              <w:rPr>
                <w:rFonts w:ascii="Arial" w:hAnsi="Arial"/>
              </w:rPr>
              <w:t>Corner</w:t>
            </w:r>
          </w:p>
        </w:tc>
        <w:tc>
          <w:tcPr>
            <w:tcW w:w="1080" w:type="dxa"/>
            <w:vAlign w:val="center"/>
          </w:tcPr>
          <w:p w14:paraId="0DF0DDF8" w14:textId="77777777" w:rsidR="00265506" w:rsidRDefault="00265506" w:rsidP="00D839EF">
            <w:pPr>
              <w:rPr>
                <w:rFonts w:ascii="Arial" w:hAnsi="Arial"/>
              </w:rPr>
            </w:pPr>
            <w:r>
              <w:rPr>
                <w:rFonts w:ascii="Arial" w:hAnsi="Arial"/>
              </w:rPr>
              <w:t>N/A</w:t>
            </w:r>
          </w:p>
        </w:tc>
        <w:tc>
          <w:tcPr>
            <w:tcW w:w="1170" w:type="dxa"/>
            <w:vAlign w:val="center"/>
          </w:tcPr>
          <w:p w14:paraId="6C801F13" w14:textId="77777777" w:rsidR="00265506" w:rsidRDefault="00265506" w:rsidP="00D839EF">
            <w:pPr>
              <w:rPr>
                <w:rFonts w:ascii="Arial" w:hAnsi="Arial"/>
              </w:rPr>
            </w:pPr>
            <w:r>
              <w:rPr>
                <w:rFonts w:ascii="Arial" w:hAnsi="Arial"/>
              </w:rPr>
              <w:t>N/A</w:t>
            </w:r>
          </w:p>
        </w:tc>
        <w:tc>
          <w:tcPr>
            <w:tcW w:w="1260" w:type="dxa"/>
            <w:vAlign w:val="center"/>
          </w:tcPr>
          <w:p w14:paraId="0A350DA6" w14:textId="77777777" w:rsidR="00265506" w:rsidRDefault="00265506" w:rsidP="00D839EF">
            <w:pPr>
              <w:rPr>
                <w:rFonts w:ascii="Arial" w:hAnsi="Arial"/>
              </w:rPr>
            </w:pPr>
            <w:r>
              <w:rPr>
                <w:rFonts w:ascii="Arial" w:hAnsi="Arial"/>
              </w:rPr>
              <w:t>N/A</w:t>
            </w:r>
          </w:p>
        </w:tc>
        <w:tc>
          <w:tcPr>
            <w:tcW w:w="1170" w:type="dxa"/>
            <w:vAlign w:val="center"/>
          </w:tcPr>
          <w:p w14:paraId="06B32805" w14:textId="124CFB92" w:rsidR="00557A8B" w:rsidRDefault="00265506" w:rsidP="00715623">
            <w:pPr>
              <w:rPr>
                <w:rFonts w:ascii="Arial" w:hAnsi="Arial"/>
              </w:rPr>
            </w:pPr>
            <w:r>
              <w:rPr>
                <w:rFonts w:ascii="Arial" w:hAnsi="Arial"/>
              </w:rPr>
              <w:t>400</w:t>
            </w:r>
            <w:r w:rsidR="00715623">
              <w:rPr>
                <w:rFonts w:ascii="Arial" w:hAnsi="Arial"/>
              </w:rPr>
              <w:t>'</w:t>
            </w:r>
            <w:r>
              <w:rPr>
                <w:rFonts w:ascii="Arial" w:hAnsi="Arial"/>
              </w:rPr>
              <w:t xml:space="preserve"> / </w:t>
            </w:r>
          </w:p>
          <w:p w14:paraId="30594297" w14:textId="2212F034" w:rsidR="00265506" w:rsidRDefault="00265506" w:rsidP="00D839EF">
            <w:pPr>
              <w:rPr>
                <w:rFonts w:ascii="Arial" w:hAnsi="Arial"/>
              </w:rPr>
            </w:pPr>
            <w:r>
              <w:rPr>
                <w:rFonts w:ascii="Arial" w:hAnsi="Arial"/>
              </w:rPr>
              <w:t>10</w:t>
            </w:r>
            <w:r>
              <w:rPr>
                <w:rFonts w:ascii="Arial" w:hAnsi="Arial"/>
                <w:vertAlign w:val="superscript"/>
              </w:rPr>
              <w:t xml:space="preserve">th </w:t>
            </w:r>
            <w:r>
              <w:rPr>
                <w:rFonts w:ascii="Arial" w:hAnsi="Arial"/>
              </w:rPr>
              <w:t>slab</w:t>
            </w:r>
          </w:p>
        </w:tc>
        <w:tc>
          <w:tcPr>
            <w:tcW w:w="1260" w:type="dxa"/>
            <w:vAlign w:val="center"/>
          </w:tcPr>
          <w:p w14:paraId="447AF6F0" w14:textId="2E5BBDAC" w:rsidR="00557A8B" w:rsidRDefault="00265506" w:rsidP="00715623">
            <w:pPr>
              <w:rPr>
                <w:rFonts w:ascii="Arial" w:hAnsi="Arial"/>
              </w:rPr>
            </w:pPr>
            <w:r>
              <w:rPr>
                <w:rFonts w:ascii="Arial" w:hAnsi="Arial"/>
              </w:rPr>
              <w:t>400</w:t>
            </w:r>
            <w:r w:rsidR="00715623">
              <w:rPr>
                <w:rFonts w:ascii="Arial" w:hAnsi="Arial"/>
              </w:rPr>
              <w:t>'</w:t>
            </w:r>
            <w:r>
              <w:rPr>
                <w:rFonts w:ascii="Arial" w:hAnsi="Arial"/>
              </w:rPr>
              <w:t xml:space="preserve"> / </w:t>
            </w:r>
          </w:p>
          <w:p w14:paraId="6B5C77EA" w14:textId="3C603C84" w:rsidR="00265506" w:rsidRDefault="00265506" w:rsidP="00D839EF">
            <w:pPr>
              <w:rPr>
                <w:rFonts w:ascii="Arial" w:hAnsi="Arial"/>
              </w:rPr>
            </w:pPr>
            <w:r>
              <w:rPr>
                <w:rFonts w:ascii="Arial" w:hAnsi="Arial"/>
              </w:rPr>
              <w:t>10</w:t>
            </w:r>
            <w:r>
              <w:rPr>
                <w:rFonts w:ascii="Arial" w:hAnsi="Arial"/>
                <w:vertAlign w:val="superscript"/>
              </w:rPr>
              <w:t xml:space="preserve">th </w:t>
            </w:r>
            <w:r>
              <w:rPr>
                <w:rFonts w:ascii="Arial" w:hAnsi="Arial"/>
              </w:rPr>
              <w:t>slab</w:t>
            </w:r>
          </w:p>
        </w:tc>
      </w:tr>
      <w:tr w:rsidR="00265506" w14:paraId="7BAE0507" w14:textId="77777777" w:rsidTr="00D839EF">
        <w:trPr>
          <w:cantSplit/>
          <w:trHeight w:val="446"/>
          <w:jc w:val="right"/>
        </w:trPr>
        <w:tc>
          <w:tcPr>
            <w:tcW w:w="1440" w:type="dxa"/>
            <w:vAlign w:val="center"/>
          </w:tcPr>
          <w:p w14:paraId="74356001" w14:textId="77777777" w:rsidR="00265506" w:rsidRDefault="00265506" w:rsidP="00D839EF">
            <w:pPr>
              <w:rPr>
                <w:rFonts w:ascii="Arial" w:hAnsi="Arial"/>
              </w:rPr>
            </w:pPr>
            <w:r>
              <w:rPr>
                <w:rFonts w:ascii="Arial" w:hAnsi="Arial"/>
              </w:rPr>
              <w:t>1 mile</w:t>
            </w:r>
          </w:p>
        </w:tc>
        <w:tc>
          <w:tcPr>
            <w:tcW w:w="985" w:type="dxa"/>
            <w:vAlign w:val="center"/>
          </w:tcPr>
          <w:p w14:paraId="3EB0EBAB" w14:textId="77777777" w:rsidR="00265506" w:rsidRDefault="00265506" w:rsidP="00D839EF">
            <w:pPr>
              <w:rPr>
                <w:rFonts w:ascii="Arial" w:hAnsi="Arial"/>
              </w:rPr>
            </w:pPr>
            <w:r>
              <w:rPr>
                <w:rFonts w:ascii="Arial" w:hAnsi="Arial"/>
              </w:rPr>
              <w:t>Corner</w:t>
            </w:r>
          </w:p>
        </w:tc>
        <w:tc>
          <w:tcPr>
            <w:tcW w:w="1080" w:type="dxa"/>
            <w:tcBorders>
              <w:top w:val="nil"/>
              <w:bottom w:val="nil"/>
            </w:tcBorders>
            <w:vAlign w:val="center"/>
          </w:tcPr>
          <w:p w14:paraId="244DC8C7" w14:textId="77777777" w:rsidR="00265506" w:rsidRDefault="00265506" w:rsidP="00D839EF">
            <w:pPr>
              <w:rPr>
                <w:rFonts w:ascii="Arial" w:hAnsi="Arial"/>
              </w:rPr>
            </w:pPr>
            <w:r>
              <w:rPr>
                <w:rFonts w:ascii="Arial" w:hAnsi="Arial"/>
              </w:rPr>
              <w:t>N/A</w:t>
            </w:r>
          </w:p>
        </w:tc>
        <w:tc>
          <w:tcPr>
            <w:tcW w:w="1170" w:type="dxa"/>
            <w:tcBorders>
              <w:top w:val="nil"/>
              <w:bottom w:val="nil"/>
            </w:tcBorders>
            <w:vAlign w:val="center"/>
          </w:tcPr>
          <w:p w14:paraId="571C42F9" w14:textId="77777777" w:rsidR="00265506" w:rsidRDefault="00265506" w:rsidP="00D839EF">
            <w:pPr>
              <w:rPr>
                <w:rFonts w:ascii="Arial" w:hAnsi="Arial"/>
              </w:rPr>
            </w:pPr>
            <w:r>
              <w:rPr>
                <w:rFonts w:ascii="Arial" w:hAnsi="Arial"/>
              </w:rPr>
              <w:t>N/A</w:t>
            </w:r>
          </w:p>
        </w:tc>
        <w:tc>
          <w:tcPr>
            <w:tcW w:w="1260" w:type="dxa"/>
            <w:tcBorders>
              <w:top w:val="nil"/>
              <w:bottom w:val="nil"/>
            </w:tcBorders>
            <w:vAlign w:val="center"/>
          </w:tcPr>
          <w:p w14:paraId="72422BA3" w14:textId="77777777" w:rsidR="00265506" w:rsidRDefault="00265506" w:rsidP="00D839EF">
            <w:pPr>
              <w:rPr>
                <w:rFonts w:ascii="Arial" w:hAnsi="Arial"/>
              </w:rPr>
            </w:pPr>
            <w:r>
              <w:rPr>
                <w:rFonts w:ascii="Arial" w:hAnsi="Arial"/>
              </w:rPr>
              <w:t>N/A</w:t>
            </w:r>
          </w:p>
        </w:tc>
        <w:tc>
          <w:tcPr>
            <w:tcW w:w="1170" w:type="dxa"/>
            <w:tcBorders>
              <w:top w:val="nil"/>
              <w:bottom w:val="nil"/>
            </w:tcBorders>
            <w:vAlign w:val="center"/>
          </w:tcPr>
          <w:p w14:paraId="4B95D10F" w14:textId="10883AB7" w:rsidR="00557A8B" w:rsidRDefault="00265506" w:rsidP="00715623">
            <w:pPr>
              <w:rPr>
                <w:rFonts w:ascii="Arial" w:hAnsi="Arial"/>
              </w:rPr>
            </w:pPr>
            <w:r>
              <w:rPr>
                <w:rFonts w:ascii="Arial" w:hAnsi="Arial"/>
              </w:rPr>
              <w:t>200</w:t>
            </w:r>
            <w:r w:rsidR="00715623">
              <w:rPr>
                <w:rFonts w:ascii="Arial" w:hAnsi="Arial"/>
              </w:rPr>
              <w:t>'</w:t>
            </w:r>
            <w:r>
              <w:rPr>
                <w:rFonts w:ascii="Arial" w:hAnsi="Arial"/>
              </w:rPr>
              <w:t xml:space="preserve"> / </w:t>
            </w:r>
          </w:p>
          <w:p w14:paraId="6F90FC9B" w14:textId="4D8201F1" w:rsidR="00265506" w:rsidRDefault="00265506" w:rsidP="00D839EF">
            <w:pPr>
              <w:rPr>
                <w:rFonts w:ascii="Arial" w:hAnsi="Arial"/>
              </w:rPr>
            </w:pPr>
            <w:r>
              <w:rPr>
                <w:rFonts w:ascii="Arial" w:hAnsi="Arial"/>
              </w:rPr>
              <w:t>5</w:t>
            </w:r>
            <w:r>
              <w:rPr>
                <w:rFonts w:ascii="Arial" w:hAnsi="Arial"/>
                <w:vertAlign w:val="superscript"/>
              </w:rPr>
              <w:t xml:space="preserve">th </w:t>
            </w:r>
            <w:r>
              <w:rPr>
                <w:rFonts w:ascii="Arial" w:hAnsi="Arial"/>
              </w:rPr>
              <w:t>slab</w:t>
            </w:r>
          </w:p>
        </w:tc>
        <w:tc>
          <w:tcPr>
            <w:tcW w:w="1260" w:type="dxa"/>
            <w:tcBorders>
              <w:top w:val="nil"/>
              <w:bottom w:val="nil"/>
            </w:tcBorders>
            <w:vAlign w:val="center"/>
          </w:tcPr>
          <w:p w14:paraId="52FE59EF" w14:textId="5541400B" w:rsidR="00557A8B" w:rsidRDefault="00265506" w:rsidP="00715623">
            <w:pPr>
              <w:rPr>
                <w:rFonts w:ascii="Arial" w:hAnsi="Arial"/>
              </w:rPr>
            </w:pPr>
            <w:r>
              <w:rPr>
                <w:rFonts w:ascii="Arial" w:hAnsi="Arial"/>
              </w:rPr>
              <w:t>200</w:t>
            </w:r>
            <w:r w:rsidR="00715623">
              <w:rPr>
                <w:rFonts w:ascii="Arial" w:hAnsi="Arial"/>
              </w:rPr>
              <w:t>'</w:t>
            </w:r>
            <w:r>
              <w:rPr>
                <w:rFonts w:ascii="Arial" w:hAnsi="Arial"/>
              </w:rPr>
              <w:t xml:space="preserve"> / </w:t>
            </w:r>
          </w:p>
          <w:p w14:paraId="2837B1D5" w14:textId="02CD18B1" w:rsidR="00265506" w:rsidRDefault="00265506" w:rsidP="00D839EF">
            <w:pPr>
              <w:rPr>
                <w:rFonts w:ascii="Arial" w:hAnsi="Arial"/>
              </w:rPr>
            </w:pPr>
            <w:r>
              <w:rPr>
                <w:rFonts w:ascii="Arial" w:hAnsi="Arial"/>
              </w:rPr>
              <w:t>5</w:t>
            </w:r>
            <w:r>
              <w:rPr>
                <w:rFonts w:ascii="Arial" w:hAnsi="Arial"/>
                <w:vertAlign w:val="superscript"/>
              </w:rPr>
              <w:t xml:space="preserve">th </w:t>
            </w:r>
            <w:r>
              <w:rPr>
                <w:rFonts w:ascii="Arial" w:hAnsi="Arial"/>
              </w:rPr>
              <w:t>slab</w:t>
            </w:r>
          </w:p>
        </w:tc>
      </w:tr>
      <w:tr w:rsidR="00265506" w14:paraId="69A6FD88" w14:textId="77777777" w:rsidTr="00D839EF">
        <w:trPr>
          <w:cantSplit/>
          <w:trHeight w:val="447"/>
          <w:jc w:val="right"/>
        </w:trPr>
        <w:tc>
          <w:tcPr>
            <w:tcW w:w="1440" w:type="dxa"/>
            <w:vAlign w:val="center"/>
          </w:tcPr>
          <w:p w14:paraId="5E03D6C7" w14:textId="77777777" w:rsidR="00265506" w:rsidRDefault="00265506" w:rsidP="00D839EF">
            <w:pPr>
              <w:rPr>
                <w:rFonts w:ascii="Arial" w:hAnsi="Arial"/>
              </w:rPr>
            </w:pPr>
            <w:r>
              <w:rPr>
                <w:rFonts w:ascii="Arial" w:hAnsi="Arial"/>
              </w:rPr>
              <w:t>&lt; 1 mile</w:t>
            </w:r>
          </w:p>
        </w:tc>
        <w:tc>
          <w:tcPr>
            <w:tcW w:w="985" w:type="dxa"/>
            <w:vAlign w:val="center"/>
          </w:tcPr>
          <w:p w14:paraId="5453663C" w14:textId="77777777" w:rsidR="00265506" w:rsidRDefault="00265506" w:rsidP="00D839EF">
            <w:pPr>
              <w:rPr>
                <w:rFonts w:ascii="Arial" w:hAnsi="Arial"/>
              </w:rPr>
            </w:pPr>
            <w:r>
              <w:rPr>
                <w:rFonts w:ascii="Arial" w:hAnsi="Arial"/>
              </w:rPr>
              <w:t>Corner</w:t>
            </w:r>
          </w:p>
        </w:tc>
        <w:tc>
          <w:tcPr>
            <w:tcW w:w="1080" w:type="dxa"/>
            <w:vAlign w:val="center"/>
          </w:tcPr>
          <w:p w14:paraId="1E85F2C0" w14:textId="77777777" w:rsidR="00265506" w:rsidRDefault="00265506" w:rsidP="00D839EF">
            <w:pPr>
              <w:rPr>
                <w:rFonts w:ascii="Arial" w:hAnsi="Arial"/>
              </w:rPr>
            </w:pPr>
            <w:r>
              <w:rPr>
                <w:rFonts w:ascii="Arial" w:hAnsi="Arial"/>
              </w:rPr>
              <w:t>N/A</w:t>
            </w:r>
          </w:p>
        </w:tc>
        <w:tc>
          <w:tcPr>
            <w:tcW w:w="1170" w:type="dxa"/>
            <w:vAlign w:val="center"/>
          </w:tcPr>
          <w:p w14:paraId="13BE7942" w14:textId="77777777" w:rsidR="00265506" w:rsidRDefault="00265506" w:rsidP="00D839EF">
            <w:pPr>
              <w:rPr>
                <w:rFonts w:ascii="Arial" w:hAnsi="Arial"/>
              </w:rPr>
            </w:pPr>
            <w:r>
              <w:rPr>
                <w:rFonts w:ascii="Arial" w:hAnsi="Arial"/>
              </w:rPr>
              <w:t>N/A</w:t>
            </w:r>
          </w:p>
        </w:tc>
        <w:tc>
          <w:tcPr>
            <w:tcW w:w="1260" w:type="dxa"/>
            <w:vAlign w:val="center"/>
          </w:tcPr>
          <w:p w14:paraId="0D3E93B9" w14:textId="77777777" w:rsidR="00265506" w:rsidRDefault="00265506" w:rsidP="00D839EF">
            <w:pPr>
              <w:rPr>
                <w:rFonts w:ascii="Arial" w:hAnsi="Arial"/>
              </w:rPr>
            </w:pPr>
            <w:r>
              <w:rPr>
                <w:rFonts w:ascii="Arial" w:hAnsi="Arial"/>
              </w:rPr>
              <w:t>N/A</w:t>
            </w:r>
          </w:p>
        </w:tc>
        <w:tc>
          <w:tcPr>
            <w:tcW w:w="1170" w:type="dxa"/>
            <w:vAlign w:val="center"/>
          </w:tcPr>
          <w:p w14:paraId="0F915E0F" w14:textId="4342BD5D" w:rsidR="00557A8B" w:rsidRDefault="00265506" w:rsidP="00715623">
            <w:pPr>
              <w:rPr>
                <w:rFonts w:ascii="Arial" w:hAnsi="Arial"/>
              </w:rPr>
            </w:pPr>
            <w:r>
              <w:rPr>
                <w:rFonts w:ascii="Arial" w:hAnsi="Arial"/>
              </w:rPr>
              <w:t>160</w:t>
            </w:r>
            <w:r w:rsidR="00715623">
              <w:rPr>
                <w:rFonts w:ascii="Arial" w:hAnsi="Arial"/>
              </w:rPr>
              <w:t>'</w:t>
            </w:r>
            <w:r>
              <w:rPr>
                <w:rFonts w:ascii="Arial" w:hAnsi="Arial"/>
              </w:rPr>
              <w:t xml:space="preserve"> / </w:t>
            </w:r>
          </w:p>
          <w:p w14:paraId="34B5E345" w14:textId="56D22151" w:rsidR="00265506" w:rsidRDefault="00265506" w:rsidP="00D839EF">
            <w:pPr>
              <w:rPr>
                <w:rFonts w:ascii="Arial" w:hAnsi="Arial"/>
              </w:rPr>
            </w:pPr>
            <w:r>
              <w:rPr>
                <w:rFonts w:ascii="Arial" w:hAnsi="Arial"/>
              </w:rPr>
              <w:t>4</w:t>
            </w:r>
            <w:r>
              <w:rPr>
                <w:rFonts w:ascii="Arial" w:hAnsi="Arial"/>
                <w:vertAlign w:val="superscript"/>
              </w:rPr>
              <w:t xml:space="preserve">th </w:t>
            </w:r>
            <w:r>
              <w:rPr>
                <w:rFonts w:ascii="Arial" w:hAnsi="Arial"/>
              </w:rPr>
              <w:t>slab</w:t>
            </w:r>
          </w:p>
        </w:tc>
        <w:tc>
          <w:tcPr>
            <w:tcW w:w="1260" w:type="dxa"/>
            <w:vAlign w:val="center"/>
          </w:tcPr>
          <w:p w14:paraId="1139033D" w14:textId="72676AAE" w:rsidR="00557A8B" w:rsidRDefault="00265506" w:rsidP="00715623">
            <w:pPr>
              <w:rPr>
                <w:rFonts w:ascii="Arial" w:hAnsi="Arial"/>
              </w:rPr>
            </w:pPr>
            <w:r>
              <w:rPr>
                <w:rFonts w:ascii="Arial" w:hAnsi="Arial"/>
              </w:rPr>
              <w:t>160</w:t>
            </w:r>
            <w:r w:rsidR="00715623">
              <w:rPr>
                <w:rFonts w:ascii="Arial" w:hAnsi="Arial"/>
              </w:rPr>
              <w:t>'</w:t>
            </w:r>
            <w:r>
              <w:rPr>
                <w:rFonts w:ascii="Arial" w:hAnsi="Arial"/>
              </w:rPr>
              <w:t xml:space="preserve"> / </w:t>
            </w:r>
          </w:p>
          <w:p w14:paraId="40DC9759" w14:textId="533DF2D5" w:rsidR="00265506" w:rsidRDefault="00265506" w:rsidP="00D839EF">
            <w:pPr>
              <w:rPr>
                <w:rFonts w:ascii="Arial" w:hAnsi="Arial"/>
              </w:rPr>
            </w:pPr>
            <w:r>
              <w:rPr>
                <w:rFonts w:ascii="Arial" w:hAnsi="Arial"/>
              </w:rPr>
              <w:t>4</w:t>
            </w:r>
            <w:r>
              <w:rPr>
                <w:rFonts w:ascii="Arial" w:hAnsi="Arial"/>
                <w:vertAlign w:val="superscript"/>
              </w:rPr>
              <w:t xml:space="preserve">th </w:t>
            </w:r>
            <w:r>
              <w:rPr>
                <w:rFonts w:ascii="Arial" w:hAnsi="Arial"/>
              </w:rPr>
              <w:t>slab</w:t>
            </w:r>
          </w:p>
        </w:tc>
      </w:tr>
    </w:tbl>
    <w:p w14:paraId="69008651" w14:textId="04748382" w:rsidR="00265506" w:rsidRDefault="00265506" w:rsidP="00D839EF">
      <w:pPr>
        <w:pStyle w:val="ListNumber"/>
        <w:tabs>
          <w:tab w:val="clear" w:pos="720"/>
          <w:tab w:val="clear" w:pos="1872"/>
        </w:tabs>
        <w:spacing w:before="240"/>
        <w:ind w:left="1080" w:firstLine="0"/>
        <w:jc w:val="both"/>
      </w:pPr>
      <w:r>
        <w:t xml:space="preserve">At </w:t>
      </w:r>
      <w:r w:rsidR="00E110D5">
        <w:t xml:space="preserve">a </w:t>
      </w:r>
      <w:r>
        <w:t xml:space="preserve">minimum, at least 30 test points should be collected per direction for any project of reasonable length.  Thirty test points in one direction provide the minimal amount of information about the stretch of roadway to identify weak/strong areas and adequately characterize the structural capacity of the pavement.  Projects longer than 3 centerline miles should be considered more than a </w:t>
      </w:r>
      <w:r w:rsidR="00E110D5">
        <w:t>one-</w:t>
      </w:r>
      <w:r>
        <w:t xml:space="preserve">day operation for FWD testing.  </w:t>
      </w:r>
    </w:p>
    <w:p w14:paraId="542DCE8E" w14:textId="77777777" w:rsidR="00265506" w:rsidRDefault="00265506" w:rsidP="00E110D5">
      <w:pPr>
        <w:pStyle w:val="ListNumber"/>
        <w:tabs>
          <w:tab w:val="clear" w:pos="720"/>
          <w:tab w:val="clear" w:pos="1872"/>
        </w:tabs>
        <w:ind w:left="1080" w:firstLine="0"/>
        <w:jc w:val="both"/>
      </w:pPr>
      <w:r>
        <w:t>Projects containing several different sections because of different pavement types should have testing broken down according to the percentage of each pavement type.  Therefore, if half the project is composite and half is flexible, a one-day test point spacing setup should be 50% of the test point spacing typically done for each pavement type.</w:t>
      </w:r>
    </w:p>
    <w:p w14:paraId="7C5A0476" w14:textId="567547F5" w:rsidR="00265506" w:rsidRDefault="00265506" w:rsidP="00EC46AC">
      <w:pPr>
        <w:pStyle w:val="ListNumber"/>
        <w:numPr>
          <w:ilvl w:val="0"/>
          <w:numId w:val="10"/>
        </w:numPr>
        <w:ind w:left="1080" w:hanging="1080"/>
        <w:jc w:val="both"/>
      </w:pPr>
      <w:r>
        <w:t xml:space="preserve">Complete the FWD Testing section of the </w:t>
      </w:r>
      <w:hyperlink r:id="rId94" w:history="1">
        <w:r w:rsidR="000F026C" w:rsidRPr="0017303F">
          <w:rPr>
            <w:rStyle w:val="Hyperlink"/>
          </w:rPr>
          <w:t>Test Request Database</w:t>
        </w:r>
      </w:hyperlink>
      <w:r w:rsidR="000C7AE1">
        <w:t xml:space="preserve"> </w:t>
      </w:r>
      <w:r>
        <w:t xml:space="preserve">using the information gathered in Steps 1 through 10 of this section.  The work completed </w:t>
      </w:r>
      <w:r w:rsidR="00E110D5">
        <w:t xml:space="preserve">in </w:t>
      </w:r>
      <w:r>
        <w:t xml:space="preserve">Step 8 provided the information for FWD test set-up, Step 9 provided information for the load package, and Step 10 provided information about the test point spacing.  Complete the date of the request and the requested completion date for the FWD testing.  Once the form is filled out, give the request form to the Design Team Leader for review, then provide to the field data collection team. </w:t>
      </w:r>
    </w:p>
    <w:p w14:paraId="246A0BC5" w14:textId="77777777" w:rsidR="00265506" w:rsidRDefault="00265506" w:rsidP="00EC46AC">
      <w:pPr>
        <w:pStyle w:val="ListNumber"/>
        <w:numPr>
          <w:ilvl w:val="0"/>
          <w:numId w:val="10"/>
        </w:numPr>
        <w:ind w:left="1080" w:hanging="1080"/>
        <w:jc w:val="both"/>
      </w:pPr>
      <w:r>
        <w:t xml:space="preserve">Schedule FWD testing and </w:t>
      </w:r>
      <w:smartTag w:uri="urn:schemas-microsoft-com:office:smarttags" w:element="stockticker">
        <w:r>
          <w:t>MOT</w:t>
        </w:r>
      </w:smartTag>
      <w:r>
        <w:t xml:space="preserve"> for testing for the submitted request.  Every attempt should</w:t>
      </w:r>
      <w:r w:rsidR="00C93B70">
        <w:t xml:space="preserve"> be made</w:t>
      </w:r>
      <w:r>
        <w:t xml:space="preserve"> to schedule the testing in order to have it completed by the requested completion date. </w:t>
      </w:r>
    </w:p>
    <w:p w14:paraId="1352436F" w14:textId="77777777" w:rsidR="00265506" w:rsidRDefault="00265506" w:rsidP="004C4CA2">
      <w:pPr>
        <w:pStyle w:val="ListNumber"/>
        <w:numPr>
          <w:ilvl w:val="12"/>
          <w:numId w:val="0"/>
        </w:numPr>
        <w:tabs>
          <w:tab w:val="clear" w:pos="1872"/>
        </w:tabs>
        <w:ind w:left="1080" w:hanging="1080"/>
        <w:jc w:val="center"/>
      </w:pPr>
      <w:r>
        <w:rPr>
          <w:i/>
        </w:rPr>
        <w:t>Responsible Party – Field Data Collection Team</w:t>
      </w:r>
    </w:p>
    <w:p w14:paraId="55F1BC02" w14:textId="77777777" w:rsidR="00265506" w:rsidRDefault="00265506" w:rsidP="00EC46AC">
      <w:pPr>
        <w:pStyle w:val="ListNumber"/>
        <w:numPr>
          <w:ilvl w:val="0"/>
          <w:numId w:val="10"/>
        </w:numPr>
        <w:ind w:left="1080" w:hanging="1080"/>
        <w:jc w:val="both"/>
      </w:pPr>
      <w:r>
        <w:t xml:space="preserve">The pavement design engineer and </w:t>
      </w:r>
      <w:smartTag w:uri="urn:schemas-microsoft-com:office:smarttags" w:element="stockticker">
        <w:r>
          <w:t>FED</w:t>
        </w:r>
      </w:smartTag>
      <w:r>
        <w:t xml:space="preserve"> should meet and discuss the testing to ensure that all facets of the FWD testing are understood.  Specific details about the project, testing, and other concerns can be addressed at this time. </w:t>
      </w:r>
    </w:p>
    <w:p w14:paraId="35C68BE4" w14:textId="77777777" w:rsidR="00265506" w:rsidRDefault="00265506" w:rsidP="004C4CA2">
      <w:pPr>
        <w:pStyle w:val="ListNumber"/>
        <w:numPr>
          <w:ilvl w:val="12"/>
          <w:numId w:val="0"/>
        </w:numPr>
        <w:tabs>
          <w:tab w:val="clear" w:pos="1872"/>
        </w:tabs>
        <w:ind w:left="1080" w:hanging="1080"/>
        <w:jc w:val="center"/>
      </w:pPr>
      <w:r>
        <w:rPr>
          <w:i/>
        </w:rPr>
        <w:t xml:space="preserve">Responsible Party – </w:t>
      </w:r>
      <w:smartTag w:uri="urn:schemas-microsoft-com:office:smarttags" w:element="stockticker">
        <w:r>
          <w:rPr>
            <w:i/>
          </w:rPr>
          <w:t>FED</w:t>
        </w:r>
      </w:smartTag>
      <w:r>
        <w:rPr>
          <w:i/>
        </w:rPr>
        <w:t xml:space="preserve"> and Engineer</w:t>
      </w:r>
    </w:p>
    <w:p w14:paraId="1CF18AA3" w14:textId="04E5D418" w:rsidR="00265506" w:rsidRDefault="00265506" w:rsidP="00EC46AC">
      <w:pPr>
        <w:pStyle w:val="ListNumber"/>
        <w:numPr>
          <w:ilvl w:val="0"/>
          <w:numId w:val="10"/>
        </w:numPr>
        <w:ind w:left="1080" w:hanging="1080"/>
        <w:jc w:val="both"/>
      </w:pPr>
      <w:r>
        <w:t>Set</w:t>
      </w:r>
      <w:r w:rsidR="00E110D5">
        <w:t xml:space="preserve"> </w:t>
      </w:r>
      <w:r>
        <w:t xml:space="preserve">up the Dynatest FWD software for the FWD testing of the specific section in the project.  Use the following criteria when establishing the software test set-up: </w:t>
      </w:r>
    </w:p>
    <w:p w14:paraId="79605CC3" w14:textId="77777777" w:rsidR="00265506" w:rsidRDefault="00265506" w:rsidP="00172E64">
      <w:pPr>
        <w:pStyle w:val="ListNumber"/>
        <w:numPr>
          <w:ilvl w:val="0"/>
          <w:numId w:val="176"/>
        </w:numPr>
        <w:tabs>
          <w:tab w:val="clear" w:pos="1872"/>
          <w:tab w:val="num" w:pos="2160"/>
        </w:tabs>
        <w:ind w:left="1440"/>
        <w:jc w:val="both"/>
      </w:pPr>
      <w:r>
        <w:lastRenderedPageBreak/>
        <w:t>Always store the length measurement in the FWD software in feet/stations, not miles, unless requested otherwise.</w:t>
      </w:r>
    </w:p>
    <w:p w14:paraId="00D3A4F9" w14:textId="065A3B19" w:rsidR="00265506" w:rsidRDefault="00265506" w:rsidP="00172E64">
      <w:pPr>
        <w:pStyle w:val="ListNumber"/>
        <w:numPr>
          <w:ilvl w:val="0"/>
          <w:numId w:val="176"/>
        </w:numPr>
        <w:tabs>
          <w:tab w:val="clear" w:pos="1872"/>
          <w:tab w:val="num" w:pos="2160"/>
        </w:tabs>
        <w:ind w:left="1440"/>
        <w:jc w:val="both"/>
      </w:pPr>
      <w:r>
        <w:t>Store FWD test type in the Lane field in the software, in addition to the lane number; i.e.</w:t>
      </w:r>
      <w:r w:rsidR="00E110D5">
        <w:t>,</w:t>
      </w:r>
      <w:r>
        <w:t xml:space="preserve"> using “B” for basin, “J” for joint testing, and “C” for corner testing.  For instance, joint testing in </w:t>
      </w:r>
      <w:r w:rsidR="00E110D5">
        <w:t>L</w:t>
      </w:r>
      <w:r>
        <w:t xml:space="preserve">ane 1 would have “J1” in the lane field and basin testing in </w:t>
      </w:r>
      <w:r w:rsidR="00E110D5">
        <w:t>L</w:t>
      </w:r>
      <w:r>
        <w:t>ane 2 would have “B2” in the lane field.  Testing in the shoulder will not have a number, but rather a</w:t>
      </w:r>
      <w:r w:rsidR="00E110D5">
        <w:t>n</w:t>
      </w:r>
      <w:r>
        <w:t xml:space="preserve"> “S” in place of the number.  Therefore, basin testing in the shoulder will be “BS</w:t>
      </w:r>
      <w:r w:rsidR="00E110D5">
        <w:t>.</w:t>
      </w:r>
      <w:r>
        <w:t>”</w:t>
      </w:r>
    </w:p>
    <w:p w14:paraId="526C88F2" w14:textId="77777777" w:rsidR="00265506" w:rsidRDefault="00265506" w:rsidP="00172E64">
      <w:pPr>
        <w:pStyle w:val="ListNumber"/>
        <w:numPr>
          <w:ilvl w:val="0"/>
          <w:numId w:val="176"/>
        </w:numPr>
        <w:tabs>
          <w:tab w:val="clear" w:pos="1872"/>
          <w:tab w:val="num" w:pos="2160"/>
        </w:tabs>
        <w:ind w:left="1440"/>
        <w:jc w:val="both"/>
      </w:pPr>
      <w:r>
        <w:t xml:space="preserve">For load transfer testing, the sensor spacing will dictate the population of the test type field in the Dynatest software.  When joint testing with a sensor at (–12) inches, it shall be entered as “Approach” joint testing. When joint testing with a sensor at (+12) inches, it shall be entered as “Leave” joint testing.   </w:t>
      </w:r>
    </w:p>
    <w:p w14:paraId="28CE975D" w14:textId="77777777" w:rsidR="00265506" w:rsidRDefault="00265506" w:rsidP="00172E64">
      <w:pPr>
        <w:pStyle w:val="ListNumber"/>
        <w:numPr>
          <w:ilvl w:val="0"/>
          <w:numId w:val="176"/>
        </w:numPr>
        <w:tabs>
          <w:tab w:val="clear" w:pos="1872"/>
          <w:tab w:val="num" w:pos="2160"/>
        </w:tabs>
        <w:ind w:left="1440"/>
        <w:jc w:val="both"/>
      </w:pPr>
      <w:r>
        <w:t xml:space="preserve">Create a separate electronic file for each direction for each section in the project, unless requested otherwise. </w:t>
      </w:r>
    </w:p>
    <w:p w14:paraId="18919BDC" w14:textId="4E99DF29" w:rsidR="00265506" w:rsidRDefault="00265506" w:rsidP="00172E64">
      <w:pPr>
        <w:pStyle w:val="ListNumber"/>
        <w:numPr>
          <w:ilvl w:val="0"/>
          <w:numId w:val="176"/>
        </w:numPr>
        <w:tabs>
          <w:tab w:val="clear" w:pos="1872"/>
          <w:tab w:val="num" w:pos="2160"/>
        </w:tabs>
        <w:ind w:left="1440"/>
        <w:jc w:val="both"/>
      </w:pPr>
      <w:r>
        <w:t>Name the electronic file with the FWD data by the route, route number, route suffix, and direction.  For instance testing on MD 32 would have a filename of “MD32WB.F25” and “MD32EB.F25</w:t>
      </w:r>
      <w:r w:rsidR="00E110D5">
        <w:t>.</w:t>
      </w:r>
      <w:r>
        <w:t>”</w:t>
      </w:r>
    </w:p>
    <w:p w14:paraId="25150EEE" w14:textId="001300C4" w:rsidR="00265506" w:rsidRDefault="00265506" w:rsidP="004C4CA2">
      <w:pPr>
        <w:pStyle w:val="ListNumber"/>
        <w:numPr>
          <w:ilvl w:val="12"/>
          <w:numId w:val="0"/>
        </w:numPr>
        <w:tabs>
          <w:tab w:val="clear" w:pos="1872"/>
        </w:tabs>
        <w:ind w:left="1080" w:hanging="1080"/>
        <w:jc w:val="center"/>
      </w:pPr>
      <w:r>
        <w:rPr>
          <w:i/>
        </w:rPr>
        <w:t>Responsible Party</w:t>
      </w:r>
      <w:r w:rsidR="00E110D5">
        <w:rPr>
          <w:i/>
        </w:rPr>
        <w:t xml:space="preserve"> – </w:t>
      </w:r>
      <w:smartTag w:uri="urn:schemas-microsoft-com:office:smarttags" w:element="stockticker">
        <w:r>
          <w:rPr>
            <w:i/>
          </w:rPr>
          <w:t>FED</w:t>
        </w:r>
      </w:smartTag>
    </w:p>
    <w:p w14:paraId="33EA894B" w14:textId="77777777" w:rsidR="00265506" w:rsidRDefault="00265506" w:rsidP="00B27F99">
      <w:pPr>
        <w:pStyle w:val="ListNumber"/>
        <w:numPr>
          <w:ilvl w:val="0"/>
          <w:numId w:val="10"/>
        </w:numPr>
        <w:spacing w:before="160"/>
        <w:ind w:left="1080" w:hanging="1080"/>
        <w:jc w:val="both"/>
      </w:pPr>
      <w:r>
        <w:t xml:space="preserve">Complete the FWD testing following the guidelines established in the operations manual of Dynatest.  Specific test set-up is provided in the field work request form, Pavement Guide, and discussions with the pavement design engineer. </w:t>
      </w:r>
    </w:p>
    <w:p w14:paraId="47A1CB00" w14:textId="7410FCA6" w:rsidR="00265506" w:rsidRDefault="00265506" w:rsidP="004C4CA2">
      <w:pPr>
        <w:pStyle w:val="ListNumber"/>
        <w:numPr>
          <w:ilvl w:val="12"/>
          <w:numId w:val="0"/>
        </w:numPr>
        <w:tabs>
          <w:tab w:val="clear" w:pos="1872"/>
        </w:tabs>
        <w:ind w:left="1080" w:hanging="1080"/>
        <w:jc w:val="center"/>
      </w:pPr>
      <w:r>
        <w:rPr>
          <w:i/>
        </w:rPr>
        <w:t>Responsible Party</w:t>
      </w:r>
      <w:r w:rsidR="00E110D5">
        <w:rPr>
          <w:i/>
        </w:rPr>
        <w:t xml:space="preserve"> – </w:t>
      </w:r>
      <w:smartTag w:uri="urn:schemas-microsoft-com:office:smarttags" w:element="stockticker">
        <w:r>
          <w:rPr>
            <w:i/>
          </w:rPr>
          <w:t>FED</w:t>
        </w:r>
      </w:smartTag>
    </w:p>
    <w:p w14:paraId="24F5A727" w14:textId="77777777" w:rsidR="00265506" w:rsidRDefault="00265506" w:rsidP="00B27F99">
      <w:pPr>
        <w:pStyle w:val="ListNumber"/>
        <w:numPr>
          <w:ilvl w:val="0"/>
          <w:numId w:val="10"/>
        </w:numPr>
        <w:spacing w:before="160"/>
        <w:ind w:left="1080" w:hanging="1080"/>
        <w:jc w:val="both"/>
      </w:pPr>
      <w:r>
        <w:t xml:space="preserve">Measure the surface and air temperature regularly during FWD testing and record it in the Dynatest FWD software.  Make sure to indicate in the software that the temperature recorded is either surface or air.  Only classify the temperature as mid-depth temperature when the pavement surface is drilled, filled with mineral oil, and measured with a temperature probe.     </w:t>
      </w:r>
    </w:p>
    <w:p w14:paraId="7F1A4913" w14:textId="7AA790B6" w:rsidR="00265506" w:rsidRDefault="00265506" w:rsidP="004C4CA2">
      <w:pPr>
        <w:pStyle w:val="ListNumber"/>
        <w:numPr>
          <w:ilvl w:val="12"/>
          <w:numId w:val="0"/>
        </w:numPr>
        <w:tabs>
          <w:tab w:val="clear" w:pos="1872"/>
        </w:tabs>
        <w:ind w:left="1080" w:hanging="1080"/>
        <w:jc w:val="center"/>
      </w:pPr>
      <w:r>
        <w:rPr>
          <w:i/>
        </w:rPr>
        <w:t xml:space="preserve">Responsible Party – </w:t>
      </w:r>
      <w:smartTag w:uri="urn:schemas-microsoft-com:office:smarttags" w:element="stockticker">
        <w:r>
          <w:rPr>
            <w:i/>
          </w:rPr>
          <w:t>FED</w:t>
        </w:r>
      </w:smartTag>
    </w:p>
    <w:p w14:paraId="2E7249CD" w14:textId="4AB954E8" w:rsidR="00265506" w:rsidRDefault="00265506" w:rsidP="00B27F99">
      <w:pPr>
        <w:pStyle w:val="ListNumber"/>
        <w:numPr>
          <w:ilvl w:val="0"/>
          <w:numId w:val="10"/>
        </w:numPr>
        <w:spacing w:before="160"/>
        <w:ind w:left="1080" w:hanging="1080"/>
        <w:jc w:val="both"/>
      </w:pPr>
      <w:r>
        <w:t>Proper Quality Control shall be followed during the testing to ensure that sensors and load cells stay within tolerable limits.  Comments and field notes about a particular point should be placed in the comments field in the Dynatest software.  A separate hand</w:t>
      </w:r>
      <w:r w:rsidR="00E110D5">
        <w:t>-</w:t>
      </w:r>
      <w:r>
        <w:t xml:space="preserve">written sheet is only needed if requested by the pavement design engineer when the temperature and field notes are added into the Dynatest software program.  </w:t>
      </w:r>
    </w:p>
    <w:p w14:paraId="71860686" w14:textId="3846F149" w:rsidR="00265506" w:rsidRDefault="00265506" w:rsidP="004C4CA2">
      <w:pPr>
        <w:pStyle w:val="ListNumber"/>
        <w:numPr>
          <w:ilvl w:val="12"/>
          <w:numId w:val="0"/>
        </w:numPr>
        <w:tabs>
          <w:tab w:val="clear" w:pos="1872"/>
        </w:tabs>
        <w:ind w:left="1080" w:hanging="1080"/>
        <w:jc w:val="center"/>
      </w:pPr>
      <w:r>
        <w:rPr>
          <w:i/>
        </w:rPr>
        <w:t xml:space="preserve">Responsible Party – </w:t>
      </w:r>
      <w:smartTag w:uri="urn:schemas-microsoft-com:office:smarttags" w:element="stockticker">
        <w:r>
          <w:rPr>
            <w:i/>
          </w:rPr>
          <w:t>FED</w:t>
        </w:r>
      </w:smartTag>
    </w:p>
    <w:p w14:paraId="3DB546B4" w14:textId="77777777" w:rsidR="00265506" w:rsidRDefault="00265506" w:rsidP="00B27F99">
      <w:pPr>
        <w:pStyle w:val="ListNumber"/>
        <w:numPr>
          <w:ilvl w:val="0"/>
          <w:numId w:val="10"/>
        </w:numPr>
        <w:spacing w:before="160"/>
        <w:ind w:left="1080" w:hanging="1080"/>
        <w:jc w:val="both"/>
      </w:pPr>
      <w:r>
        <w:t xml:space="preserve">Provide the FWD file to the responsible pavement design engineer after FWD testing is completed. </w:t>
      </w:r>
    </w:p>
    <w:p w14:paraId="6E664353" w14:textId="574D9F06" w:rsidR="00265506" w:rsidRDefault="00265506" w:rsidP="004C4CA2">
      <w:pPr>
        <w:pStyle w:val="ListNumber"/>
        <w:numPr>
          <w:ilvl w:val="12"/>
          <w:numId w:val="0"/>
        </w:numPr>
        <w:tabs>
          <w:tab w:val="clear" w:pos="1872"/>
        </w:tabs>
        <w:ind w:left="1080" w:hanging="1080"/>
        <w:jc w:val="center"/>
        <w:rPr>
          <w:i/>
        </w:rPr>
      </w:pPr>
      <w:r>
        <w:rPr>
          <w:i/>
        </w:rPr>
        <w:t>Responsible Party</w:t>
      </w:r>
      <w:r w:rsidR="00E110D5">
        <w:rPr>
          <w:i/>
        </w:rPr>
        <w:t xml:space="preserve"> – </w:t>
      </w:r>
      <w:smartTag w:uri="urn:schemas-microsoft-com:office:smarttags" w:element="stockticker">
        <w:r>
          <w:rPr>
            <w:i/>
          </w:rPr>
          <w:t>FED</w:t>
        </w:r>
      </w:smartTag>
    </w:p>
    <w:p w14:paraId="57DA7EAC" w14:textId="77777777" w:rsidR="00B27F99" w:rsidRDefault="00B27F99" w:rsidP="004C4CA2">
      <w:pPr>
        <w:pStyle w:val="ListNumber"/>
        <w:numPr>
          <w:ilvl w:val="12"/>
          <w:numId w:val="0"/>
        </w:numPr>
        <w:tabs>
          <w:tab w:val="clear" w:pos="1872"/>
        </w:tabs>
        <w:ind w:left="1080" w:hanging="1080"/>
        <w:jc w:val="center"/>
      </w:pPr>
    </w:p>
    <w:p w14:paraId="6431C27C" w14:textId="36F15597" w:rsidR="00265506" w:rsidRDefault="00265506" w:rsidP="00B27F99">
      <w:pPr>
        <w:pStyle w:val="ListNumber"/>
        <w:numPr>
          <w:ilvl w:val="0"/>
          <w:numId w:val="10"/>
        </w:numPr>
        <w:spacing w:before="160"/>
        <w:ind w:left="1080" w:hanging="1080"/>
        <w:jc w:val="both"/>
      </w:pPr>
      <w:r>
        <w:lastRenderedPageBreak/>
        <w:t xml:space="preserve">Quality Assurance shall be completed on the FWD data to ensure the data is </w:t>
      </w:r>
      <w:r w:rsidR="00E110D5">
        <w:t xml:space="preserve">of </w:t>
      </w:r>
      <w:r>
        <w:t xml:space="preserve">good quality and free of data collection errors prior </w:t>
      </w:r>
      <w:r w:rsidR="00E110D5">
        <w:t xml:space="preserve">to </w:t>
      </w:r>
      <w:r>
        <w:t xml:space="preserve">performing data analysis.  Complete FWD data </w:t>
      </w:r>
      <w:hyperlink r:id="rId95" w:history="1">
        <w:r w:rsidR="007E3B02" w:rsidRPr="007E3B02">
          <w:rPr>
            <w:rStyle w:val="Hyperlink"/>
          </w:rPr>
          <w:t>PD-06 QCQA Form</w:t>
        </w:r>
      </w:hyperlink>
      <w:r w:rsidR="007E3B02">
        <w:t xml:space="preserve"> </w:t>
      </w:r>
      <w:r>
        <w:t>after reviewing the FWD data for QA. The QA will involve, but not</w:t>
      </w:r>
      <w:r w:rsidR="00E110D5">
        <w:t xml:space="preserve"> be</w:t>
      </w:r>
      <w:r>
        <w:t xml:space="preserve"> limited to</w:t>
      </w:r>
      <w:r w:rsidR="00E110D5">
        <w:t>,</w:t>
      </w:r>
      <w:r>
        <w:t xml:space="preserve"> the following:</w:t>
      </w:r>
    </w:p>
    <w:p w14:paraId="63FEE849" w14:textId="77777777" w:rsidR="00265506" w:rsidRDefault="00265506" w:rsidP="00172E64">
      <w:pPr>
        <w:pStyle w:val="ListNumber"/>
        <w:numPr>
          <w:ilvl w:val="0"/>
          <w:numId w:val="177"/>
        </w:numPr>
        <w:tabs>
          <w:tab w:val="clear" w:pos="1872"/>
        </w:tabs>
        <w:ind w:left="1440"/>
        <w:jc w:val="both"/>
      </w:pPr>
      <w:r>
        <w:t>Eliminate test points with non-decreasing deflections</w:t>
      </w:r>
    </w:p>
    <w:p w14:paraId="45221F2C" w14:textId="636D5626" w:rsidR="00265506" w:rsidRDefault="00265506" w:rsidP="00172E64">
      <w:pPr>
        <w:pStyle w:val="ListNumber"/>
        <w:numPr>
          <w:ilvl w:val="0"/>
          <w:numId w:val="177"/>
        </w:numPr>
        <w:tabs>
          <w:tab w:val="clear" w:pos="1872"/>
        </w:tabs>
        <w:spacing w:before="0"/>
        <w:ind w:left="1440"/>
        <w:jc w:val="both"/>
      </w:pPr>
      <w:r>
        <w:t>Eliminate test points with sensors with “Out of Range” errors</w:t>
      </w:r>
    </w:p>
    <w:p w14:paraId="4912AEFB" w14:textId="748ED6E7" w:rsidR="00265506" w:rsidRDefault="00265506" w:rsidP="00172E64">
      <w:pPr>
        <w:pStyle w:val="ListNumber"/>
        <w:numPr>
          <w:ilvl w:val="0"/>
          <w:numId w:val="177"/>
        </w:numPr>
        <w:tabs>
          <w:tab w:val="clear" w:pos="1872"/>
        </w:tabs>
        <w:spacing w:before="0"/>
        <w:ind w:left="1440"/>
        <w:jc w:val="both"/>
      </w:pPr>
      <w:r>
        <w:t>Review recorded loads to ensure that erroneous measurements are not recorded</w:t>
      </w:r>
    </w:p>
    <w:p w14:paraId="6CCF9E69" w14:textId="77777777" w:rsidR="00265506" w:rsidRDefault="00265506" w:rsidP="006B2382">
      <w:pPr>
        <w:pStyle w:val="Heading3"/>
        <w:numPr>
          <w:ilvl w:val="0"/>
          <w:numId w:val="0"/>
        </w:numPr>
        <w:sectPr w:rsidR="00265506" w:rsidSect="00782FE3">
          <w:headerReference w:type="default" r:id="rId96"/>
          <w:footerReference w:type="default" r:id="rId97"/>
          <w:pgSz w:w="12240" w:h="15840"/>
          <w:pgMar w:top="1440" w:right="1800" w:bottom="1440" w:left="1800" w:header="720" w:footer="720" w:gutter="0"/>
          <w:pgNumType w:chapStyle="1"/>
          <w:cols w:space="720"/>
          <w:docGrid w:linePitch="272"/>
        </w:sectPr>
      </w:pPr>
    </w:p>
    <w:p w14:paraId="73FD0A11" w14:textId="5B5B31BE" w:rsidR="002744D8" w:rsidRDefault="005275A6" w:rsidP="00BE3F24">
      <w:pPr>
        <w:pStyle w:val="Heading2"/>
        <w:ind w:left="0" w:firstLine="0"/>
      </w:pPr>
      <w:bookmarkStart w:id="111" w:name="_Requests_for_Pavement"/>
      <w:bookmarkStart w:id="112" w:name="_Toc479160083"/>
      <w:bookmarkStart w:id="113" w:name="_Toc514057974"/>
      <w:bookmarkStart w:id="114" w:name="_Toc194932368"/>
      <w:bookmarkEnd w:id="111"/>
      <w:r>
        <w:lastRenderedPageBreak/>
        <w:t>Requests for Pavement Field Work</w:t>
      </w:r>
      <w:bookmarkEnd w:id="112"/>
      <w:bookmarkEnd w:id="113"/>
      <w:bookmarkEnd w:id="114"/>
      <w:r w:rsidR="00C434AD">
        <w:t xml:space="preserve"> </w:t>
      </w:r>
    </w:p>
    <w:p w14:paraId="4D782BFB" w14:textId="77777777" w:rsidR="002744D8" w:rsidRDefault="002744D8" w:rsidP="00BE3F24">
      <w:pPr>
        <w:pStyle w:val="Heading3"/>
        <w:ind w:left="0" w:firstLine="0"/>
        <w:jc w:val="both"/>
      </w:pPr>
      <w:r>
        <w:t>Purpose</w:t>
      </w:r>
    </w:p>
    <w:p w14:paraId="163C1520" w14:textId="77777777" w:rsidR="002744D8" w:rsidRDefault="002744D8" w:rsidP="00BE3F24">
      <w:pPr>
        <w:pStyle w:val="BodyText"/>
        <w:jc w:val="both"/>
      </w:pPr>
      <w:r>
        <w:t>Pavement structure determination is completed to:</w:t>
      </w:r>
    </w:p>
    <w:p w14:paraId="1A033768" w14:textId="52FD983B" w:rsidR="002744D8" w:rsidRPr="004A4196" w:rsidRDefault="002744D8" w:rsidP="00172E64">
      <w:pPr>
        <w:pStyle w:val="ListParagraph"/>
        <w:numPr>
          <w:ilvl w:val="0"/>
          <w:numId w:val="84"/>
        </w:numPr>
        <w:ind w:left="720" w:hanging="720"/>
        <w:jc w:val="both"/>
        <w:rPr>
          <w:rFonts w:ascii="Arial" w:hAnsi="Arial"/>
          <w:sz w:val="22"/>
        </w:rPr>
      </w:pPr>
      <w:r w:rsidRPr="004A4196">
        <w:rPr>
          <w:rFonts w:ascii="Arial" w:hAnsi="Arial"/>
          <w:sz w:val="22"/>
        </w:rPr>
        <w:t xml:space="preserve">Identify the pavement structure of the roadway </w:t>
      </w:r>
    </w:p>
    <w:p w14:paraId="08714EE7" w14:textId="73AFDE51" w:rsidR="002744D8" w:rsidRPr="004A4196" w:rsidRDefault="002744D8" w:rsidP="00172E64">
      <w:pPr>
        <w:pStyle w:val="ListParagraph"/>
        <w:numPr>
          <w:ilvl w:val="0"/>
          <w:numId w:val="84"/>
        </w:numPr>
        <w:ind w:left="720" w:hanging="720"/>
        <w:jc w:val="both"/>
        <w:rPr>
          <w:rFonts w:ascii="Arial" w:hAnsi="Arial"/>
          <w:sz w:val="22"/>
        </w:rPr>
      </w:pPr>
      <w:r w:rsidRPr="004A4196">
        <w:rPr>
          <w:rFonts w:ascii="Arial" w:hAnsi="Arial"/>
          <w:sz w:val="22"/>
        </w:rPr>
        <w:t>Identify condition of pavement layers beneath the surface</w:t>
      </w:r>
    </w:p>
    <w:p w14:paraId="7DEC9748" w14:textId="3CF0B579" w:rsidR="002744D8" w:rsidRPr="004A4196" w:rsidRDefault="002744D8" w:rsidP="00172E64">
      <w:pPr>
        <w:pStyle w:val="ListParagraph"/>
        <w:numPr>
          <w:ilvl w:val="0"/>
          <w:numId w:val="84"/>
        </w:numPr>
        <w:ind w:left="720" w:hanging="720"/>
        <w:jc w:val="both"/>
        <w:rPr>
          <w:rFonts w:ascii="Arial" w:hAnsi="Arial"/>
          <w:sz w:val="22"/>
        </w:rPr>
      </w:pPr>
      <w:r w:rsidRPr="004A4196">
        <w:rPr>
          <w:rFonts w:ascii="Arial" w:hAnsi="Arial"/>
          <w:sz w:val="22"/>
        </w:rPr>
        <w:t xml:space="preserve">Identify weak and thin areas in the pavement structure  </w:t>
      </w:r>
    </w:p>
    <w:p w14:paraId="2C719DC2" w14:textId="796EBA18" w:rsidR="00C1270B" w:rsidRPr="00C1270B" w:rsidRDefault="00C1270B" w:rsidP="004A4196">
      <w:pPr>
        <w:pStyle w:val="BodyText"/>
        <w:spacing w:before="240"/>
        <w:jc w:val="both"/>
      </w:pPr>
      <w:r>
        <w:t xml:space="preserve">For soil determination, including determining soil characteristics and existing conditions, and identifying depth to water table and bedrock, refer to </w:t>
      </w:r>
      <w:hyperlink w:anchor="_Requests_For_Geotechnical_1" w:history="1">
        <w:r w:rsidR="00E667D9" w:rsidRPr="00E667D9">
          <w:rPr>
            <w:rStyle w:val="Hyperlink"/>
          </w:rPr>
          <w:t xml:space="preserve">Requests For Geotechnical Field </w:t>
        </w:r>
        <w:r w:rsidR="00DC7D4A">
          <w:rPr>
            <w:rStyle w:val="Hyperlink"/>
          </w:rPr>
          <w:t>W</w:t>
        </w:r>
        <w:r w:rsidR="00E667D9" w:rsidRPr="00E667D9">
          <w:rPr>
            <w:rStyle w:val="Hyperlink"/>
          </w:rPr>
          <w:t>ork</w:t>
        </w:r>
      </w:hyperlink>
      <w:r>
        <w:t>.  This section is for pavement structure above the subgrade only.</w:t>
      </w:r>
    </w:p>
    <w:p w14:paraId="1DBDECED" w14:textId="77777777" w:rsidR="002744D8" w:rsidRDefault="002744D8" w:rsidP="00BE3F24">
      <w:pPr>
        <w:pStyle w:val="Heading3"/>
        <w:ind w:left="0" w:firstLine="0"/>
        <w:jc w:val="both"/>
      </w:pPr>
      <w:r>
        <w:t>Resource Requirements</w:t>
      </w:r>
    </w:p>
    <w:p w14:paraId="1A370496" w14:textId="77777777" w:rsidR="002744D8" w:rsidRDefault="002744D8" w:rsidP="004A4196">
      <w:pPr>
        <w:pStyle w:val="BodyText"/>
        <w:spacing w:after="240"/>
        <w:jc w:val="both"/>
      </w:pPr>
      <w:r>
        <w:t xml:space="preserve">The actual operation of obtaining the pavement structure and soil properties is completed by OMT field crews from </w:t>
      </w:r>
      <w:r w:rsidR="002B320C">
        <w:t xml:space="preserve">the Field </w:t>
      </w:r>
      <w:r>
        <w:t xml:space="preserve">Explorations </w:t>
      </w:r>
      <w:r w:rsidR="002B320C">
        <w:t>Division</w:t>
      </w:r>
      <w:r>
        <w:t>.  The pavement engineer is responsible for determining the location and number of areas to collect this information.  Determining the number and location of areas to collect pavement and soil data requires the following staffing needs for a typical job:</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3055"/>
        <w:gridCol w:w="2070"/>
        <w:gridCol w:w="1620"/>
        <w:gridCol w:w="1620"/>
      </w:tblGrid>
      <w:tr w:rsidR="002744D8" w14:paraId="33DDA4AA" w14:textId="77777777" w:rsidTr="00664CC2">
        <w:trPr>
          <w:trHeight w:val="288"/>
          <w:jc w:val="center"/>
        </w:trPr>
        <w:tc>
          <w:tcPr>
            <w:tcW w:w="3055" w:type="dxa"/>
            <w:shd w:val="pct15" w:color="auto" w:fill="FFFFFF"/>
            <w:vAlign w:val="center"/>
          </w:tcPr>
          <w:p w14:paraId="4BB7A2B8" w14:textId="77777777" w:rsidR="002744D8" w:rsidRDefault="002744D8" w:rsidP="004A4196">
            <w:pPr>
              <w:jc w:val="center"/>
              <w:rPr>
                <w:rFonts w:ascii="Arial" w:hAnsi="Arial"/>
                <w:b/>
              </w:rPr>
            </w:pPr>
            <w:r>
              <w:rPr>
                <w:rFonts w:ascii="Arial" w:hAnsi="Arial"/>
                <w:b/>
              </w:rPr>
              <w:t>Position</w:t>
            </w:r>
          </w:p>
        </w:tc>
        <w:tc>
          <w:tcPr>
            <w:tcW w:w="2070" w:type="dxa"/>
            <w:shd w:val="pct15" w:color="auto" w:fill="FFFFFF"/>
            <w:vAlign w:val="center"/>
          </w:tcPr>
          <w:p w14:paraId="5EEA3779" w14:textId="77777777" w:rsidR="002744D8" w:rsidRDefault="002744D8" w:rsidP="004A4196">
            <w:pPr>
              <w:jc w:val="center"/>
              <w:rPr>
                <w:rFonts w:ascii="Arial" w:hAnsi="Arial"/>
                <w:b/>
              </w:rPr>
            </w:pPr>
            <w:r>
              <w:rPr>
                <w:rFonts w:ascii="Arial" w:hAnsi="Arial"/>
                <w:b/>
              </w:rPr>
              <w:t>Function</w:t>
            </w:r>
          </w:p>
        </w:tc>
        <w:tc>
          <w:tcPr>
            <w:tcW w:w="1620" w:type="dxa"/>
            <w:shd w:val="pct15" w:color="auto" w:fill="FFFFFF"/>
            <w:vAlign w:val="center"/>
          </w:tcPr>
          <w:p w14:paraId="5A5EF37F" w14:textId="77777777" w:rsidR="002744D8" w:rsidRDefault="002744D8" w:rsidP="004A4196">
            <w:pPr>
              <w:jc w:val="center"/>
              <w:rPr>
                <w:rFonts w:ascii="Arial" w:hAnsi="Arial"/>
                <w:b/>
              </w:rPr>
            </w:pPr>
            <w:r>
              <w:rPr>
                <w:rFonts w:ascii="Arial" w:hAnsi="Arial"/>
                <w:b/>
              </w:rPr>
              <w:t>Resources</w:t>
            </w:r>
          </w:p>
        </w:tc>
        <w:tc>
          <w:tcPr>
            <w:tcW w:w="1620" w:type="dxa"/>
            <w:shd w:val="pct15" w:color="auto" w:fill="FFFFFF"/>
            <w:vAlign w:val="center"/>
          </w:tcPr>
          <w:p w14:paraId="07B0477A" w14:textId="77777777" w:rsidR="002744D8" w:rsidRDefault="002744D8" w:rsidP="004A4196">
            <w:pPr>
              <w:jc w:val="center"/>
              <w:rPr>
                <w:rFonts w:ascii="Arial" w:hAnsi="Arial"/>
                <w:b/>
              </w:rPr>
            </w:pPr>
            <w:r>
              <w:rPr>
                <w:rFonts w:ascii="Arial" w:hAnsi="Arial"/>
                <w:b/>
              </w:rPr>
              <w:t>Effort Level</w:t>
            </w:r>
          </w:p>
          <w:p w14:paraId="10B2BBDC" w14:textId="77777777" w:rsidR="002744D8" w:rsidRDefault="002744D8" w:rsidP="004A4196">
            <w:pPr>
              <w:jc w:val="center"/>
              <w:rPr>
                <w:rFonts w:ascii="Arial" w:hAnsi="Arial"/>
                <w:b/>
              </w:rPr>
            </w:pPr>
            <w:r>
              <w:rPr>
                <w:rFonts w:ascii="Arial" w:hAnsi="Arial"/>
                <w:b/>
              </w:rPr>
              <w:t>(man-hours)</w:t>
            </w:r>
          </w:p>
        </w:tc>
      </w:tr>
      <w:tr w:rsidR="002744D8" w14:paraId="34F49B9E" w14:textId="77777777" w:rsidTr="00664CC2">
        <w:trPr>
          <w:trHeight w:val="288"/>
          <w:jc w:val="center"/>
        </w:trPr>
        <w:tc>
          <w:tcPr>
            <w:tcW w:w="3055" w:type="dxa"/>
            <w:vAlign w:val="center"/>
          </w:tcPr>
          <w:p w14:paraId="5902DB02" w14:textId="77777777" w:rsidR="002744D8" w:rsidRDefault="002744D8" w:rsidP="004A4196">
            <w:pPr>
              <w:jc w:val="center"/>
              <w:rPr>
                <w:rFonts w:ascii="Arial" w:hAnsi="Arial"/>
                <w:sz w:val="18"/>
              </w:rPr>
            </w:pPr>
            <w:r>
              <w:rPr>
                <w:rFonts w:ascii="Arial" w:hAnsi="Arial"/>
                <w:sz w:val="18"/>
              </w:rPr>
              <w:t>Staff Engineer or Project Engineer</w:t>
            </w:r>
          </w:p>
        </w:tc>
        <w:tc>
          <w:tcPr>
            <w:tcW w:w="2070" w:type="dxa"/>
            <w:vAlign w:val="center"/>
          </w:tcPr>
          <w:p w14:paraId="5D98BFFB" w14:textId="77777777" w:rsidR="002744D8" w:rsidRDefault="002744D8" w:rsidP="004A4196">
            <w:pPr>
              <w:jc w:val="center"/>
              <w:rPr>
                <w:rFonts w:ascii="Arial" w:hAnsi="Arial"/>
                <w:sz w:val="18"/>
              </w:rPr>
            </w:pPr>
            <w:r>
              <w:rPr>
                <w:rFonts w:ascii="Arial" w:hAnsi="Arial"/>
                <w:sz w:val="18"/>
              </w:rPr>
              <w:t>Testing Request</w:t>
            </w:r>
          </w:p>
        </w:tc>
        <w:tc>
          <w:tcPr>
            <w:tcW w:w="1620" w:type="dxa"/>
            <w:vAlign w:val="center"/>
          </w:tcPr>
          <w:p w14:paraId="4809DB5F" w14:textId="77777777" w:rsidR="002744D8" w:rsidRDefault="002744D8" w:rsidP="004A4196">
            <w:pPr>
              <w:jc w:val="center"/>
              <w:rPr>
                <w:rFonts w:ascii="Arial" w:hAnsi="Arial"/>
                <w:sz w:val="18"/>
              </w:rPr>
            </w:pPr>
            <w:r>
              <w:rPr>
                <w:rFonts w:ascii="Arial" w:hAnsi="Arial"/>
                <w:sz w:val="18"/>
              </w:rPr>
              <w:t>1</w:t>
            </w:r>
          </w:p>
        </w:tc>
        <w:tc>
          <w:tcPr>
            <w:tcW w:w="1620" w:type="dxa"/>
            <w:vAlign w:val="center"/>
          </w:tcPr>
          <w:p w14:paraId="3D31A786" w14:textId="47803059" w:rsidR="002744D8" w:rsidRDefault="002744D8" w:rsidP="004A4196">
            <w:pPr>
              <w:jc w:val="center"/>
              <w:rPr>
                <w:rFonts w:ascii="Arial" w:hAnsi="Arial"/>
                <w:sz w:val="18"/>
              </w:rPr>
            </w:pPr>
            <w:r>
              <w:rPr>
                <w:rFonts w:ascii="Arial" w:hAnsi="Arial"/>
                <w:sz w:val="18"/>
              </w:rPr>
              <w:t>2</w:t>
            </w:r>
            <w:r w:rsidR="00DC7D4A">
              <w:rPr>
                <w:rFonts w:ascii="Arial" w:hAnsi="Arial"/>
                <w:sz w:val="18"/>
              </w:rPr>
              <w:t>*</w:t>
            </w:r>
          </w:p>
        </w:tc>
      </w:tr>
      <w:tr w:rsidR="002744D8" w14:paraId="0D211284" w14:textId="77777777" w:rsidTr="00664CC2">
        <w:trPr>
          <w:trHeight w:val="288"/>
          <w:jc w:val="center"/>
        </w:trPr>
        <w:tc>
          <w:tcPr>
            <w:tcW w:w="3055" w:type="dxa"/>
            <w:vAlign w:val="center"/>
          </w:tcPr>
          <w:p w14:paraId="2702D15E" w14:textId="77777777" w:rsidR="002744D8" w:rsidRDefault="002744D8" w:rsidP="004A4196">
            <w:pPr>
              <w:jc w:val="center"/>
              <w:rPr>
                <w:rFonts w:ascii="Arial" w:hAnsi="Arial"/>
                <w:sz w:val="18"/>
              </w:rPr>
            </w:pPr>
            <w:r>
              <w:rPr>
                <w:rFonts w:ascii="Arial" w:hAnsi="Arial"/>
                <w:sz w:val="18"/>
              </w:rPr>
              <w:t>Staff Engineer or Project Engineer</w:t>
            </w:r>
          </w:p>
        </w:tc>
        <w:tc>
          <w:tcPr>
            <w:tcW w:w="2070" w:type="dxa"/>
            <w:vAlign w:val="center"/>
          </w:tcPr>
          <w:p w14:paraId="3226DC3D" w14:textId="77777777" w:rsidR="002744D8" w:rsidRDefault="002744D8" w:rsidP="004A4196">
            <w:pPr>
              <w:jc w:val="center"/>
              <w:rPr>
                <w:rFonts w:ascii="Arial" w:hAnsi="Arial"/>
                <w:sz w:val="18"/>
              </w:rPr>
            </w:pPr>
            <w:r>
              <w:rPr>
                <w:rFonts w:ascii="Arial" w:hAnsi="Arial"/>
                <w:sz w:val="18"/>
              </w:rPr>
              <w:t>Field Crew Communication</w:t>
            </w:r>
          </w:p>
        </w:tc>
        <w:tc>
          <w:tcPr>
            <w:tcW w:w="1620" w:type="dxa"/>
            <w:vAlign w:val="center"/>
          </w:tcPr>
          <w:p w14:paraId="17DBE8E1" w14:textId="77777777" w:rsidR="002744D8" w:rsidRDefault="002744D8" w:rsidP="004A4196">
            <w:pPr>
              <w:jc w:val="center"/>
              <w:rPr>
                <w:rFonts w:ascii="Arial" w:hAnsi="Arial"/>
                <w:sz w:val="18"/>
              </w:rPr>
            </w:pPr>
            <w:r>
              <w:rPr>
                <w:rFonts w:ascii="Arial" w:hAnsi="Arial"/>
                <w:sz w:val="18"/>
              </w:rPr>
              <w:t>1</w:t>
            </w:r>
          </w:p>
        </w:tc>
        <w:tc>
          <w:tcPr>
            <w:tcW w:w="1620" w:type="dxa"/>
            <w:vAlign w:val="center"/>
          </w:tcPr>
          <w:p w14:paraId="6A81B59C" w14:textId="1BCBA4AC" w:rsidR="002744D8" w:rsidRDefault="002744D8" w:rsidP="004A4196">
            <w:pPr>
              <w:jc w:val="center"/>
              <w:rPr>
                <w:rFonts w:ascii="Arial" w:hAnsi="Arial"/>
                <w:sz w:val="18"/>
              </w:rPr>
            </w:pPr>
            <w:r>
              <w:rPr>
                <w:rFonts w:ascii="Arial" w:hAnsi="Arial"/>
                <w:sz w:val="18"/>
              </w:rPr>
              <w:t>1</w:t>
            </w:r>
            <w:r w:rsidR="00DC7D4A">
              <w:rPr>
                <w:rFonts w:ascii="Arial" w:hAnsi="Arial"/>
                <w:sz w:val="18"/>
              </w:rPr>
              <w:t>*</w:t>
            </w:r>
          </w:p>
        </w:tc>
      </w:tr>
      <w:tr w:rsidR="002744D8" w14:paraId="46481D6E" w14:textId="77777777" w:rsidTr="00664CC2">
        <w:trPr>
          <w:trHeight w:val="288"/>
          <w:jc w:val="center"/>
        </w:trPr>
        <w:tc>
          <w:tcPr>
            <w:tcW w:w="3055" w:type="dxa"/>
            <w:vAlign w:val="center"/>
          </w:tcPr>
          <w:p w14:paraId="48D01A8F" w14:textId="77777777" w:rsidR="002744D8" w:rsidRDefault="002744D8" w:rsidP="004A4196">
            <w:pPr>
              <w:jc w:val="center"/>
              <w:rPr>
                <w:rFonts w:ascii="Arial" w:hAnsi="Arial"/>
                <w:sz w:val="18"/>
              </w:rPr>
            </w:pPr>
            <w:r>
              <w:rPr>
                <w:rFonts w:ascii="Arial" w:hAnsi="Arial"/>
                <w:sz w:val="18"/>
              </w:rPr>
              <w:t>Staff Engineer or Project Engineer</w:t>
            </w:r>
          </w:p>
        </w:tc>
        <w:tc>
          <w:tcPr>
            <w:tcW w:w="2070" w:type="dxa"/>
            <w:vAlign w:val="center"/>
          </w:tcPr>
          <w:p w14:paraId="7297BA29" w14:textId="77777777" w:rsidR="002744D8" w:rsidRDefault="002744D8" w:rsidP="004A4196">
            <w:pPr>
              <w:jc w:val="center"/>
              <w:rPr>
                <w:rFonts w:ascii="Arial" w:hAnsi="Arial"/>
                <w:sz w:val="18"/>
              </w:rPr>
            </w:pPr>
            <w:r>
              <w:rPr>
                <w:rFonts w:ascii="Arial" w:hAnsi="Arial"/>
                <w:sz w:val="18"/>
              </w:rPr>
              <w:t>Reviewing Data</w:t>
            </w:r>
          </w:p>
        </w:tc>
        <w:tc>
          <w:tcPr>
            <w:tcW w:w="1620" w:type="dxa"/>
            <w:vAlign w:val="center"/>
          </w:tcPr>
          <w:p w14:paraId="41CDAB69" w14:textId="77777777" w:rsidR="002744D8" w:rsidRDefault="002744D8" w:rsidP="004A4196">
            <w:pPr>
              <w:jc w:val="center"/>
              <w:rPr>
                <w:rFonts w:ascii="Arial" w:hAnsi="Arial"/>
                <w:sz w:val="18"/>
              </w:rPr>
            </w:pPr>
            <w:r>
              <w:rPr>
                <w:rFonts w:ascii="Arial" w:hAnsi="Arial"/>
                <w:sz w:val="18"/>
              </w:rPr>
              <w:t>1</w:t>
            </w:r>
          </w:p>
        </w:tc>
        <w:tc>
          <w:tcPr>
            <w:tcW w:w="1620" w:type="dxa"/>
            <w:vAlign w:val="center"/>
          </w:tcPr>
          <w:p w14:paraId="0A35A002" w14:textId="6E790D5C" w:rsidR="002744D8" w:rsidRDefault="002744D8" w:rsidP="004A4196">
            <w:pPr>
              <w:jc w:val="center"/>
              <w:rPr>
                <w:rFonts w:ascii="Arial" w:hAnsi="Arial"/>
                <w:sz w:val="18"/>
              </w:rPr>
            </w:pPr>
            <w:r>
              <w:rPr>
                <w:rFonts w:ascii="Arial" w:hAnsi="Arial"/>
                <w:sz w:val="18"/>
              </w:rPr>
              <w:t>1</w:t>
            </w:r>
            <w:r w:rsidR="00DC7D4A">
              <w:rPr>
                <w:rFonts w:ascii="Arial" w:hAnsi="Arial"/>
                <w:sz w:val="18"/>
              </w:rPr>
              <w:t>*</w:t>
            </w:r>
          </w:p>
        </w:tc>
      </w:tr>
    </w:tbl>
    <w:p w14:paraId="579DE159" w14:textId="32E8A90A" w:rsidR="00F00527" w:rsidRPr="00023579" w:rsidRDefault="00A7284D" w:rsidP="00BE3F24">
      <w:pPr>
        <w:jc w:val="both"/>
        <w:rPr>
          <w:rFonts w:ascii="Arial" w:hAnsi="Arial"/>
          <w:sz w:val="18"/>
          <w:szCs w:val="18"/>
        </w:rPr>
      </w:pPr>
      <w:r>
        <w:rPr>
          <w:rFonts w:ascii="Arial" w:hAnsi="Arial"/>
          <w:sz w:val="18"/>
          <w:szCs w:val="18"/>
        </w:rPr>
        <w:t xml:space="preserve">      </w:t>
      </w:r>
      <w:r w:rsidR="00F00527" w:rsidRPr="00023579">
        <w:rPr>
          <w:rFonts w:ascii="Arial" w:hAnsi="Arial"/>
          <w:sz w:val="18"/>
          <w:szCs w:val="18"/>
        </w:rPr>
        <w:t>* The time required would vary depending on the size</w:t>
      </w:r>
      <w:r w:rsidR="00F00527">
        <w:rPr>
          <w:rFonts w:ascii="Arial" w:hAnsi="Arial"/>
          <w:sz w:val="18"/>
          <w:szCs w:val="18"/>
        </w:rPr>
        <w:t xml:space="preserve">, </w:t>
      </w:r>
      <w:r w:rsidR="00F00527" w:rsidRPr="00023579">
        <w:rPr>
          <w:rFonts w:ascii="Arial" w:hAnsi="Arial"/>
          <w:sz w:val="18"/>
          <w:szCs w:val="18"/>
        </w:rPr>
        <w:t>complexity</w:t>
      </w:r>
      <w:r w:rsidR="00DC7D4A">
        <w:rPr>
          <w:rFonts w:ascii="Arial" w:hAnsi="Arial"/>
          <w:sz w:val="18"/>
          <w:szCs w:val="18"/>
        </w:rPr>
        <w:t>,</w:t>
      </w:r>
      <w:r w:rsidR="00F00527" w:rsidRPr="00023579">
        <w:rPr>
          <w:rFonts w:ascii="Arial" w:hAnsi="Arial"/>
          <w:sz w:val="18"/>
          <w:szCs w:val="18"/>
        </w:rPr>
        <w:t xml:space="preserve"> </w:t>
      </w:r>
      <w:r w:rsidR="00F00527">
        <w:rPr>
          <w:rFonts w:ascii="Arial" w:hAnsi="Arial"/>
          <w:sz w:val="18"/>
          <w:szCs w:val="18"/>
        </w:rPr>
        <w:t xml:space="preserve">and location </w:t>
      </w:r>
      <w:r w:rsidR="00F00527" w:rsidRPr="00023579">
        <w:rPr>
          <w:rFonts w:ascii="Arial" w:hAnsi="Arial"/>
          <w:sz w:val="18"/>
          <w:szCs w:val="18"/>
        </w:rPr>
        <w:t xml:space="preserve">of </w:t>
      </w:r>
      <w:r w:rsidR="00F00527">
        <w:rPr>
          <w:rFonts w:ascii="Arial" w:hAnsi="Arial"/>
          <w:sz w:val="18"/>
          <w:szCs w:val="18"/>
        </w:rPr>
        <w:t>the</w:t>
      </w:r>
      <w:r w:rsidR="00F00527" w:rsidRPr="00023579">
        <w:rPr>
          <w:rFonts w:ascii="Arial" w:hAnsi="Arial"/>
          <w:sz w:val="18"/>
          <w:szCs w:val="18"/>
        </w:rPr>
        <w:t xml:space="preserve"> project.</w:t>
      </w:r>
    </w:p>
    <w:p w14:paraId="5EDAEBBF" w14:textId="77777777" w:rsidR="002744D8" w:rsidRDefault="002744D8" w:rsidP="00BE3F24">
      <w:pPr>
        <w:pStyle w:val="Heading3"/>
        <w:ind w:left="0" w:firstLine="0"/>
        <w:jc w:val="both"/>
      </w:pPr>
      <w:r>
        <w:t>Procedure</w:t>
      </w:r>
    </w:p>
    <w:p w14:paraId="0F92E51E" w14:textId="3A886C02" w:rsidR="002744D8" w:rsidRDefault="002744D8" w:rsidP="004A4196">
      <w:pPr>
        <w:pStyle w:val="BodyText"/>
        <w:spacing w:after="240"/>
        <w:jc w:val="both"/>
      </w:pPr>
      <w:r>
        <w:t xml:space="preserve">The procedure presented in </w:t>
      </w:r>
      <w:r w:rsidRPr="00BA1669">
        <w:t>the attached</w:t>
      </w:r>
      <w:r>
        <w:t xml:space="preserve"> flowchart and described </w:t>
      </w:r>
      <w:r w:rsidR="00DC7D4A">
        <w:t>below</w:t>
      </w:r>
      <w:r>
        <w:t xml:space="preserve"> should be followed in determining pavement structure.  The primary focus of this section is to provide guidance to the pavement engineer to request the proper number and location of cores</w:t>
      </w:r>
      <w:r w:rsidR="00E662BE">
        <w:t xml:space="preserve">, </w:t>
      </w:r>
      <w:r>
        <w:t>borings</w:t>
      </w:r>
      <w:r w:rsidR="00E662BE">
        <w:t xml:space="preserve">, or </w:t>
      </w:r>
      <w:r w:rsidR="00C1270B">
        <w:t>GPR</w:t>
      </w:r>
      <w:r w:rsidR="00023CAD">
        <w:t xml:space="preserve"> </w:t>
      </w:r>
      <w:r w:rsidR="00023CAD">
        <w:rPr>
          <w:rFonts w:cs="Arial"/>
          <w:szCs w:val="22"/>
        </w:rPr>
        <w:t xml:space="preserve">for pavement </w:t>
      </w:r>
      <w:r w:rsidR="00367CE8">
        <w:rPr>
          <w:rFonts w:cs="Arial"/>
          <w:szCs w:val="22"/>
        </w:rPr>
        <w:t>thickness</w:t>
      </w:r>
      <w:r>
        <w:t xml:space="preserve">.  Assistance from the </w:t>
      </w:r>
      <w:r w:rsidR="002B320C">
        <w:t xml:space="preserve">Field </w:t>
      </w:r>
      <w:r>
        <w:t>Exploration</w:t>
      </w:r>
      <w:r w:rsidR="002B320C">
        <w:t>s Division</w:t>
      </w:r>
      <w:r w:rsidR="00E662BE">
        <w:t xml:space="preserve"> (FED)</w:t>
      </w:r>
      <w:r>
        <w:t xml:space="preserve"> contact </w:t>
      </w:r>
      <w:r w:rsidR="00C1270B">
        <w:t>may</w:t>
      </w:r>
      <w:r>
        <w:t xml:space="preserve"> be required for determining locations of specific soil borings</w:t>
      </w:r>
      <w:r w:rsidR="002B320C">
        <w:t xml:space="preserve"> and pavement cores</w:t>
      </w:r>
      <w:r>
        <w:t xml:space="preserve">.  The steps identified in this section are to be completed in conjunction with new or rehabilitation pavement design procedures.  </w:t>
      </w:r>
    </w:p>
    <w:p w14:paraId="0658499C" w14:textId="77777777" w:rsidR="002744D8" w:rsidRDefault="002744D8" w:rsidP="00BE3F24">
      <w:pPr>
        <w:pStyle w:val="BodyText"/>
        <w:jc w:val="both"/>
      </w:pPr>
      <w:r>
        <w:t xml:space="preserve">Follow the steps below to determine pavement structure test locations.  </w:t>
      </w:r>
    </w:p>
    <w:p w14:paraId="040CA79D" w14:textId="7F273C9C" w:rsidR="002744D8" w:rsidRDefault="002744D8" w:rsidP="004A4196">
      <w:pPr>
        <w:pStyle w:val="ListNumber"/>
        <w:numPr>
          <w:ilvl w:val="0"/>
          <w:numId w:val="20"/>
        </w:numPr>
        <w:spacing w:before="240"/>
        <w:ind w:left="1080" w:hanging="1080"/>
        <w:jc w:val="both"/>
      </w:pPr>
      <w:r>
        <w:t xml:space="preserve">Determine general areas or sections of roadways where </w:t>
      </w:r>
      <w:r w:rsidR="00C1270B">
        <w:t xml:space="preserve">GPR, </w:t>
      </w:r>
      <w:r>
        <w:t xml:space="preserve">pavement cores and/or </w:t>
      </w:r>
      <w:r w:rsidR="00653B70">
        <w:t>pavement</w:t>
      </w:r>
      <w:r>
        <w:t xml:space="preserve"> borings will be needed to develop pavement recommendations. Pavement cores are needed to identify the existing pavement structure </w:t>
      </w:r>
      <w:r w:rsidR="00346381">
        <w:t xml:space="preserve">and condition </w:t>
      </w:r>
      <w:r>
        <w:t xml:space="preserve">in areas to be rehabilitated or reconstructed.  Pavement </w:t>
      </w:r>
      <w:r w:rsidR="00C1270B">
        <w:t>borings and GPR</w:t>
      </w:r>
      <w:r>
        <w:t xml:space="preserve"> should be obtained to identify the amount of pavement to be removed in cases where the roadway is to be reconstructed; i.e.</w:t>
      </w:r>
      <w:r w:rsidR="00DC7D4A">
        <w:t>,</w:t>
      </w:r>
      <w:r>
        <w:t xml:space="preserve"> bridge approaches.  Pavement </w:t>
      </w:r>
      <w:r w:rsidR="00C1270B">
        <w:t>borings and GPR</w:t>
      </w:r>
      <w:r>
        <w:t xml:space="preserve"> should be obtained in proposed </w:t>
      </w:r>
      <w:smartTag w:uri="urn:schemas-microsoft-com:office:smarttags" w:element="stockticker">
        <w:r>
          <w:t>MOT</w:t>
        </w:r>
      </w:smartTag>
      <w:r>
        <w:t xml:space="preserve"> pavement areas. </w:t>
      </w:r>
    </w:p>
    <w:p w14:paraId="7486DF84" w14:textId="2B51A888" w:rsidR="002744D8" w:rsidRDefault="002744D8" w:rsidP="00557A8B">
      <w:pPr>
        <w:pStyle w:val="ListNumber"/>
        <w:numPr>
          <w:ilvl w:val="0"/>
          <w:numId w:val="20"/>
        </w:numPr>
        <w:ind w:left="1080" w:hanging="1080"/>
        <w:jc w:val="both"/>
      </w:pPr>
      <w:r>
        <w:t xml:space="preserve">Determine the number of mainline cores for the resurfacing portion of a project. </w:t>
      </w:r>
      <w:r w:rsidR="000A018E">
        <w:t>P</w:t>
      </w:r>
      <w:r>
        <w:t>avement core</w:t>
      </w:r>
      <w:r w:rsidR="000A018E">
        <w:t>s</w:t>
      </w:r>
      <w:r>
        <w:t xml:space="preserve"> should be taken in each lane for each pavement structure that </w:t>
      </w:r>
      <w:r>
        <w:lastRenderedPageBreak/>
        <w:t>exists in the project.  The existing conditions of the roadway will assist in determining the frequency of test locations.  A consistent pavement type and conditions will typically require a pavement core every 2</w:t>
      </w:r>
      <w:r w:rsidR="00DC7D4A">
        <w:t>,</w:t>
      </w:r>
      <w:r>
        <w:t>000 to 4</w:t>
      </w:r>
      <w:r w:rsidR="00DC7D4A">
        <w:t>,</w:t>
      </w:r>
      <w:r>
        <w:t>000 feet per lane.  If pavement conditions</w:t>
      </w:r>
      <w:r w:rsidR="00653B70">
        <w:t xml:space="preserve"> or pavement type</w:t>
      </w:r>
      <w:r>
        <w:t xml:space="preserve"> change, then a section could be identified for a core location.  Use the same criteria used to determine analysis sections to identify sections for core locations.</w:t>
      </w:r>
    </w:p>
    <w:p w14:paraId="7539AE9B" w14:textId="77777777" w:rsidR="000A018E" w:rsidRDefault="000A018E" w:rsidP="00051DD6">
      <w:pPr>
        <w:pStyle w:val="ListNumber"/>
        <w:tabs>
          <w:tab w:val="clear" w:pos="720"/>
          <w:tab w:val="clear" w:pos="1872"/>
        </w:tabs>
        <w:ind w:left="1080" w:firstLine="0"/>
        <w:jc w:val="both"/>
      </w:pPr>
      <w:r>
        <w:t>Note</w:t>
      </w:r>
      <w:r w:rsidR="007066D7">
        <w:t xml:space="preserve"> (1)</w:t>
      </w:r>
      <w:r>
        <w:t>: If the project involves concrete overlay over asphalt, or if it involves MOT of the shoulders a</w:t>
      </w:r>
      <w:r w:rsidR="004014EB">
        <w:t>t</w:t>
      </w:r>
      <w:r>
        <w:t xml:space="preserve"> bridge approaches, GPR and several more cores than usually taken are recommended.</w:t>
      </w:r>
    </w:p>
    <w:p w14:paraId="40EC60A0" w14:textId="77777777" w:rsidR="007066D7" w:rsidRDefault="007066D7" w:rsidP="00051DD6">
      <w:pPr>
        <w:pStyle w:val="ListNumber"/>
        <w:tabs>
          <w:tab w:val="clear" w:pos="720"/>
          <w:tab w:val="clear" w:pos="1872"/>
        </w:tabs>
        <w:ind w:left="1080" w:firstLine="0"/>
        <w:jc w:val="both"/>
      </w:pPr>
      <w:r>
        <w:t xml:space="preserve">Note (2): Request that a sample of cores be returned.  The asphalt cores should be viewed to assess the bond between layers, and to determine if any problematic layers (for example, plant mix seal) are present.  The concrete cores should be examined to determine the aggregate type, as that has an impact on the coefficient of thermal expansion.  Refer to </w:t>
      </w:r>
      <w:hyperlink w:anchor="_Coefficient_of_Thermal_1" w:history="1">
        <w:r w:rsidRPr="007066D7">
          <w:rPr>
            <w:rStyle w:val="Hyperlink"/>
          </w:rPr>
          <w:t>Coefficient of Thermal Expansion</w:t>
        </w:r>
      </w:hyperlink>
      <w:r>
        <w:t>.  EGD can assist with aggregate identification.</w:t>
      </w:r>
    </w:p>
    <w:p w14:paraId="4743BEC1" w14:textId="4ABF6B10" w:rsidR="002744D8" w:rsidRDefault="002744D8" w:rsidP="00557A8B">
      <w:pPr>
        <w:pStyle w:val="ListNumber"/>
        <w:numPr>
          <w:ilvl w:val="0"/>
          <w:numId w:val="20"/>
        </w:numPr>
        <w:ind w:left="1080" w:hanging="1080"/>
        <w:jc w:val="both"/>
      </w:pPr>
      <w:r>
        <w:t xml:space="preserve">Determine the number of shoulder cores for the resurfacing portion of a project.  A pavement core should be taken in the shoulder (inside and outside) at about half the frequency as that of the mainline, when traffic is not expected to use the shoulder.  When traffic is expected to use the shoulder, either for </w:t>
      </w:r>
      <w:smartTag w:uri="urn:schemas-microsoft-com:office:smarttags" w:element="stockticker">
        <w:r>
          <w:t>MOT</w:t>
        </w:r>
      </w:smartTag>
      <w:r>
        <w:t xml:space="preserve"> and permanently after construction is complete, a pavement core should be taken in the shoulder (inside and outside) at </w:t>
      </w:r>
      <w:r w:rsidR="009117A5">
        <w:t xml:space="preserve">least </w:t>
      </w:r>
      <w:r w:rsidR="00DC7D4A">
        <w:t xml:space="preserve">at </w:t>
      </w:r>
      <w:r>
        <w:t>the same frequency as that of the mainline.</w:t>
      </w:r>
    </w:p>
    <w:p w14:paraId="0CF9C9C8" w14:textId="77777777" w:rsidR="002744D8" w:rsidRDefault="002744D8" w:rsidP="00557A8B">
      <w:pPr>
        <w:pStyle w:val="ListNumber"/>
        <w:numPr>
          <w:ilvl w:val="0"/>
          <w:numId w:val="20"/>
        </w:numPr>
        <w:ind w:left="1080" w:hanging="1080"/>
        <w:jc w:val="both"/>
      </w:pPr>
      <w:r>
        <w:t>Identify any unusual pavement areas and have the pavement structure and materials identified with cores.  Examples of unusual pavement areas include the following:</w:t>
      </w:r>
    </w:p>
    <w:p w14:paraId="65BEC510" w14:textId="77777777" w:rsidR="002744D8" w:rsidRDefault="002744D8" w:rsidP="00172E64">
      <w:pPr>
        <w:pStyle w:val="ListBullet"/>
        <w:numPr>
          <w:ilvl w:val="0"/>
          <w:numId w:val="178"/>
        </w:numPr>
        <w:ind w:left="1440"/>
      </w:pPr>
      <w:r>
        <w:t xml:space="preserve">Obvious widening areas of the older narrower mainline pavement </w:t>
      </w:r>
    </w:p>
    <w:p w14:paraId="629AD49F" w14:textId="76BB3E72" w:rsidR="002744D8" w:rsidRDefault="002744D8" w:rsidP="00172E64">
      <w:pPr>
        <w:pStyle w:val="ListBullet"/>
        <w:numPr>
          <w:ilvl w:val="0"/>
          <w:numId w:val="178"/>
        </w:numPr>
        <w:ind w:left="1440"/>
      </w:pPr>
      <w:r>
        <w:t>Areas of poor</w:t>
      </w:r>
      <w:r w:rsidR="00DC7D4A">
        <w:t>ly</w:t>
      </w:r>
      <w:r>
        <w:t xml:space="preserve"> performing patches</w:t>
      </w:r>
    </w:p>
    <w:p w14:paraId="68DBC17C" w14:textId="0857A1D7" w:rsidR="002744D8" w:rsidRDefault="002744D8" w:rsidP="00172E64">
      <w:pPr>
        <w:pStyle w:val="ListBullet"/>
        <w:numPr>
          <w:ilvl w:val="0"/>
          <w:numId w:val="178"/>
        </w:numPr>
        <w:ind w:left="1440"/>
      </w:pPr>
      <w:r>
        <w:t>Areas of poor</w:t>
      </w:r>
      <w:r w:rsidR="00DC7D4A">
        <w:t>ly</w:t>
      </w:r>
      <w:r>
        <w:t xml:space="preserve"> condition pavement</w:t>
      </w:r>
    </w:p>
    <w:p w14:paraId="519A9733" w14:textId="77777777" w:rsidR="002744D8" w:rsidRDefault="002744D8" w:rsidP="00172E64">
      <w:pPr>
        <w:pStyle w:val="ListBullet"/>
        <w:numPr>
          <w:ilvl w:val="0"/>
          <w:numId w:val="178"/>
        </w:numPr>
        <w:ind w:left="1440"/>
      </w:pPr>
      <w:r>
        <w:t>Over poor performing joints in composite pavement</w:t>
      </w:r>
    </w:p>
    <w:p w14:paraId="32A7619C" w14:textId="77777777" w:rsidR="002744D8" w:rsidRDefault="002744D8" w:rsidP="00172E64">
      <w:pPr>
        <w:pStyle w:val="ListBullet"/>
        <w:numPr>
          <w:ilvl w:val="0"/>
          <w:numId w:val="178"/>
        </w:numPr>
        <w:ind w:left="1440"/>
      </w:pPr>
      <w:r>
        <w:t>Areas exhibiting wet conditions on the surface beyond the typical time for drying after rain/snow</w:t>
      </w:r>
    </w:p>
    <w:p w14:paraId="5A586E98" w14:textId="77777777" w:rsidR="002744D8" w:rsidRDefault="002744D8" w:rsidP="00172E64">
      <w:pPr>
        <w:pStyle w:val="ListBullet"/>
        <w:numPr>
          <w:ilvl w:val="0"/>
          <w:numId w:val="178"/>
        </w:numPr>
        <w:ind w:left="1440"/>
      </w:pPr>
      <w:r>
        <w:t>Parking areas / turn lanes / shoulders in projects identified for cross slope adjustment that require the reduction in elevation of the edge of the roadway</w:t>
      </w:r>
    </w:p>
    <w:p w14:paraId="0D979DA8" w14:textId="24E8637D" w:rsidR="002744D8" w:rsidRDefault="002744D8" w:rsidP="00172E64">
      <w:pPr>
        <w:pStyle w:val="ListBullet"/>
        <w:numPr>
          <w:ilvl w:val="0"/>
          <w:numId w:val="178"/>
        </w:numPr>
        <w:ind w:left="1440"/>
      </w:pPr>
      <w:r>
        <w:t>Areas of pavement that appear to have material</w:t>
      </w:r>
      <w:r w:rsidR="00DC7D4A">
        <w:t>-</w:t>
      </w:r>
      <w:r>
        <w:t>related problems</w:t>
      </w:r>
    </w:p>
    <w:p w14:paraId="0C87E0BE" w14:textId="0AFB8A4D" w:rsidR="002744D8" w:rsidRDefault="002744D8" w:rsidP="00557A8B">
      <w:pPr>
        <w:pStyle w:val="ListNumber"/>
        <w:numPr>
          <w:ilvl w:val="0"/>
          <w:numId w:val="20"/>
        </w:numPr>
        <w:ind w:left="1080" w:hanging="1080"/>
        <w:jc w:val="both"/>
      </w:pPr>
      <w:r>
        <w:t>A pavement boring shall be taken in every location in the roadway that currently does not support mainline traffic.  These locations include shoulders, gore areas, turn lanes, ramps, and parking lanes.  The frequency of the pavement borings will vary depending on the conditions of the pavement, existing site conditions, and project scope.  However, for a rule of thumb, a pavement boring should be taken every 1</w:t>
      </w:r>
      <w:r w:rsidR="00DC7D4A">
        <w:t>,</w:t>
      </w:r>
      <w:r>
        <w:t>000 to 2</w:t>
      </w:r>
      <w:r w:rsidR="00DC7D4A">
        <w:t>,</w:t>
      </w:r>
      <w:r>
        <w:t xml:space="preserve">000 feet for a consistent appearing pavement structure for a project. </w:t>
      </w:r>
    </w:p>
    <w:p w14:paraId="53C5A107" w14:textId="44BE060C" w:rsidR="002744D8" w:rsidRDefault="002744D8" w:rsidP="00557A8B">
      <w:pPr>
        <w:pStyle w:val="ListNumber"/>
        <w:numPr>
          <w:ilvl w:val="0"/>
          <w:numId w:val="20"/>
        </w:numPr>
        <w:ind w:left="1080" w:hanging="1080"/>
        <w:jc w:val="both"/>
      </w:pPr>
      <w:r>
        <w:t xml:space="preserve">Determine the number and location of pavement </w:t>
      </w:r>
      <w:r w:rsidR="009117A5">
        <w:t>borings and GPR</w:t>
      </w:r>
      <w:r>
        <w:t xml:space="preserve"> </w:t>
      </w:r>
      <w:r w:rsidR="000D3EF6">
        <w:rPr>
          <w:rFonts w:cs="Arial"/>
          <w:szCs w:val="22"/>
        </w:rPr>
        <w:t xml:space="preserve">for pavement </w:t>
      </w:r>
      <w:r w:rsidR="006C3591">
        <w:rPr>
          <w:rFonts w:cs="Arial"/>
          <w:szCs w:val="22"/>
        </w:rPr>
        <w:t>thickness</w:t>
      </w:r>
      <w:r w:rsidR="000D3EF6" w:rsidRPr="00621D7F">
        <w:rPr>
          <w:rFonts w:cs="Arial"/>
          <w:szCs w:val="22"/>
        </w:rPr>
        <w:t xml:space="preserve"> </w:t>
      </w:r>
      <w:r>
        <w:t xml:space="preserve">for Bridge Design projects.  Bridge projects typically involve some mainline pavement structure identification, but more important, </w:t>
      </w:r>
      <w:smartTag w:uri="urn:schemas-microsoft-com:office:smarttags" w:element="stockticker">
        <w:r>
          <w:t>MOT</w:t>
        </w:r>
      </w:smartTag>
      <w:r>
        <w:t xml:space="preserve"> pavement structure identification.  This typically requires numerous test locations in the four shoulders near bridges.  The frequency of the pavement </w:t>
      </w:r>
      <w:r>
        <w:lastRenderedPageBreak/>
        <w:t xml:space="preserve">borings will vary depending on the conditions of the pavement, existing site conditions, and project scope. Obviously, existing conditions will dictate, but as a guideline, the following locations should have soil borings: </w:t>
      </w:r>
    </w:p>
    <w:p w14:paraId="5FBF78BC" w14:textId="3C8E36EB" w:rsidR="002744D8" w:rsidRDefault="002744D8" w:rsidP="00172E64">
      <w:pPr>
        <w:pStyle w:val="ListBullet"/>
        <w:numPr>
          <w:ilvl w:val="0"/>
          <w:numId w:val="179"/>
        </w:numPr>
        <w:ind w:left="1440"/>
      </w:pPr>
      <w:r>
        <w:t>Every shoulder (inside and outside) and both side</w:t>
      </w:r>
      <w:r w:rsidR="00DC7D4A">
        <w:t>s</w:t>
      </w:r>
      <w:r>
        <w:t xml:space="preserve"> of the bridge approach shoulders shall have a test location within 50 to 75 feet from the bridge </w:t>
      </w:r>
    </w:p>
    <w:p w14:paraId="4F87B36A" w14:textId="77777777" w:rsidR="002744D8" w:rsidRDefault="002744D8" w:rsidP="00172E64">
      <w:pPr>
        <w:pStyle w:val="ListBullet"/>
        <w:numPr>
          <w:ilvl w:val="0"/>
          <w:numId w:val="179"/>
        </w:numPr>
        <w:ind w:left="1440"/>
      </w:pPr>
      <w:r>
        <w:t>In the mainline on both the approach and leave side of the bridge within 50 feet of the bridge, each lane may not be necessary</w:t>
      </w:r>
    </w:p>
    <w:p w14:paraId="23FAD1A9" w14:textId="77777777" w:rsidR="002744D8" w:rsidRDefault="002744D8" w:rsidP="00172E64">
      <w:pPr>
        <w:pStyle w:val="ListBullet"/>
        <w:numPr>
          <w:ilvl w:val="0"/>
          <w:numId w:val="179"/>
        </w:numPr>
        <w:ind w:left="1440"/>
      </w:pPr>
      <w:r>
        <w:t xml:space="preserve">All areas proposed for </w:t>
      </w:r>
      <w:smartTag w:uri="urn:schemas-microsoft-com:office:smarttags" w:element="stockticker">
        <w:r>
          <w:t>MOT</w:t>
        </w:r>
      </w:smartTag>
      <w:r>
        <w:t xml:space="preserve"> pavement that currently do not support mainline traffic, every 250 to 500 feet</w:t>
      </w:r>
    </w:p>
    <w:p w14:paraId="684A064D" w14:textId="77777777" w:rsidR="002744D8" w:rsidRDefault="002744D8" w:rsidP="00BE3F24">
      <w:pPr>
        <w:jc w:val="both"/>
        <w:rPr>
          <w:rFonts w:ascii="Arial" w:hAnsi="Arial"/>
        </w:rPr>
      </w:pPr>
    </w:p>
    <w:p w14:paraId="7AE0A3DE" w14:textId="77777777" w:rsidR="002744D8" w:rsidRDefault="002744D8" w:rsidP="00BE3F24">
      <w:pPr>
        <w:pStyle w:val="Heading2"/>
        <w:ind w:left="0" w:firstLine="0"/>
        <w:sectPr w:rsidR="002744D8" w:rsidSect="00782FE3">
          <w:headerReference w:type="default" r:id="rId98"/>
          <w:footerReference w:type="default" r:id="rId99"/>
          <w:pgSz w:w="12240" w:h="15840"/>
          <w:pgMar w:top="1440" w:right="1800" w:bottom="1440" w:left="1800" w:header="720" w:footer="720" w:gutter="0"/>
          <w:pgNumType w:chapStyle="1"/>
          <w:cols w:space="720"/>
          <w:docGrid w:linePitch="272"/>
        </w:sectPr>
      </w:pPr>
    </w:p>
    <w:p w14:paraId="464748E9" w14:textId="1C5178FA" w:rsidR="005F328B" w:rsidRDefault="00994B26" w:rsidP="005F328B">
      <w:pPr>
        <w:pStyle w:val="Heading2"/>
        <w:ind w:left="0" w:firstLine="0"/>
      </w:pPr>
      <w:bookmarkStart w:id="115" w:name="_Requests_For_Geotechnical"/>
      <w:bookmarkStart w:id="116" w:name="_Requests_For_Geotechnical_1"/>
      <w:bookmarkStart w:id="117" w:name="_geotechnical_investigation_scoping"/>
      <w:bookmarkStart w:id="118" w:name="_Toc479160084"/>
      <w:bookmarkStart w:id="119" w:name="Geotech_Invest_Scop"/>
      <w:bookmarkStart w:id="120" w:name="_Toc194932369"/>
      <w:bookmarkEnd w:id="115"/>
      <w:bookmarkEnd w:id="116"/>
      <w:bookmarkEnd w:id="117"/>
      <w:r>
        <w:lastRenderedPageBreak/>
        <w:t>G</w:t>
      </w:r>
      <w:r w:rsidR="00334AD6">
        <w:t xml:space="preserve">eotechnical </w:t>
      </w:r>
      <w:r>
        <w:t>I</w:t>
      </w:r>
      <w:r w:rsidR="00334AD6">
        <w:t xml:space="preserve">nvestigation </w:t>
      </w:r>
      <w:r>
        <w:t>S</w:t>
      </w:r>
      <w:r w:rsidR="00334AD6">
        <w:t>coping</w:t>
      </w:r>
      <w:bookmarkEnd w:id="118"/>
      <w:bookmarkEnd w:id="119"/>
      <w:bookmarkEnd w:id="120"/>
      <w:r w:rsidR="006012E9">
        <w:t xml:space="preserve"> </w:t>
      </w:r>
    </w:p>
    <w:p w14:paraId="7DF489CC" w14:textId="77777777" w:rsidR="003748B8" w:rsidRDefault="003748B8" w:rsidP="00716D56">
      <w:pPr>
        <w:pStyle w:val="Heading3"/>
        <w:ind w:left="1260" w:hanging="1260"/>
      </w:pPr>
      <w:r>
        <w:t>Purpose</w:t>
      </w:r>
    </w:p>
    <w:p w14:paraId="29575644" w14:textId="77777777" w:rsidR="003748B8" w:rsidRDefault="003748B8" w:rsidP="003748B8">
      <w:pPr>
        <w:jc w:val="both"/>
        <w:rPr>
          <w:rFonts w:ascii="Arial" w:hAnsi="Arial" w:cs="Arial"/>
          <w:sz w:val="22"/>
          <w:szCs w:val="22"/>
        </w:rPr>
      </w:pPr>
      <w:r>
        <w:rPr>
          <w:rFonts w:ascii="Arial" w:hAnsi="Arial" w:cs="Arial"/>
          <w:sz w:val="22"/>
          <w:szCs w:val="22"/>
        </w:rPr>
        <w:t>The purpose of this section is to guide the PAGD engineer through:</w:t>
      </w:r>
    </w:p>
    <w:p w14:paraId="22A9B5C8" w14:textId="77777777" w:rsidR="00A7284D" w:rsidRDefault="00A7284D" w:rsidP="003748B8">
      <w:pPr>
        <w:jc w:val="both"/>
        <w:rPr>
          <w:rFonts w:ascii="Arial" w:hAnsi="Arial" w:cs="Arial"/>
          <w:sz w:val="22"/>
          <w:szCs w:val="22"/>
        </w:rPr>
      </w:pPr>
    </w:p>
    <w:p w14:paraId="16952B9F" w14:textId="4EBF6D42" w:rsidR="003748B8" w:rsidRPr="006F24C9" w:rsidRDefault="00DC7D4A" w:rsidP="00172E64">
      <w:pPr>
        <w:pStyle w:val="ListParagraph"/>
        <w:numPr>
          <w:ilvl w:val="0"/>
          <w:numId w:val="84"/>
        </w:numPr>
        <w:ind w:left="720" w:hanging="720"/>
        <w:jc w:val="both"/>
        <w:rPr>
          <w:rFonts w:ascii="Arial" w:hAnsi="Arial" w:cs="Arial"/>
          <w:sz w:val="22"/>
          <w:szCs w:val="22"/>
        </w:rPr>
      </w:pPr>
      <w:r w:rsidRPr="006F24C9">
        <w:rPr>
          <w:rFonts w:ascii="Arial" w:hAnsi="Arial" w:cs="Arial"/>
          <w:sz w:val="22"/>
          <w:szCs w:val="22"/>
        </w:rPr>
        <w:t>I</w:t>
      </w:r>
      <w:r w:rsidR="003748B8" w:rsidRPr="006F24C9">
        <w:rPr>
          <w:rFonts w:ascii="Arial" w:hAnsi="Arial" w:cs="Arial"/>
          <w:sz w:val="22"/>
          <w:szCs w:val="22"/>
        </w:rPr>
        <w:t xml:space="preserve">nformation gathering for a new alignment project </w:t>
      </w:r>
    </w:p>
    <w:p w14:paraId="73B74016" w14:textId="5041DF11" w:rsidR="003748B8" w:rsidRPr="006F24C9" w:rsidRDefault="00DC7D4A" w:rsidP="00172E64">
      <w:pPr>
        <w:pStyle w:val="ListParagraph"/>
        <w:numPr>
          <w:ilvl w:val="0"/>
          <w:numId w:val="84"/>
        </w:numPr>
        <w:ind w:left="720" w:hanging="720"/>
        <w:jc w:val="both"/>
        <w:rPr>
          <w:rFonts w:ascii="Arial" w:hAnsi="Arial" w:cs="Arial"/>
          <w:sz w:val="22"/>
          <w:szCs w:val="22"/>
        </w:rPr>
      </w:pPr>
      <w:r w:rsidRPr="006F24C9">
        <w:rPr>
          <w:rFonts w:ascii="Arial" w:hAnsi="Arial" w:cs="Arial"/>
          <w:sz w:val="22"/>
          <w:szCs w:val="22"/>
        </w:rPr>
        <w:t>D</w:t>
      </w:r>
      <w:r w:rsidR="003748B8" w:rsidRPr="006F24C9">
        <w:rPr>
          <w:rFonts w:ascii="Arial" w:hAnsi="Arial" w:cs="Arial"/>
          <w:sz w:val="22"/>
          <w:szCs w:val="22"/>
        </w:rPr>
        <w:t>eveloping an appropriate geotechnical scope for gathering the necessary subsurface data for design in a cost-effective and timely manner</w:t>
      </w:r>
    </w:p>
    <w:p w14:paraId="2F394100" w14:textId="77777777" w:rsidR="003748B8" w:rsidRPr="003748B8" w:rsidRDefault="003748B8" w:rsidP="003748B8">
      <w:pPr>
        <w:jc w:val="both"/>
        <w:rPr>
          <w:rFonts w:ascii="Arial" w:hAnsi="Arial" w:cs="Arial"/>
          <w:sz w:val="22"/>
          <w:szCs w:val="22"/>
        </w:rPr>
      </w:pPr>
    </w:p>
    <w:p w14:paraId="484B451F" w14:textId="131EC1C5" w:rsidR="003748B8" w:rsidRPr="003748B8" w:rsidRDefault="003748B8" w:rsidP="003748B8">
      <w:pPr>
        <w:jc w:val="both"/>
        <w:rPr>
          <w:rFonts w:ascii="Arial" w:hAnsi="Arial" w:cs="Arial"/>
          <w:sz w:val="22"/>
          <w:szCs w:val="22"/>
        </w:rPr>
      </w:pPr>
      <w:r w:rsidRPr="003748B8">
        <w:rPr>
          <w:rFonts w:ascii="Arial" w:hAnsi="Arial" w:cs="Arial"/>
          <w:sz w:val="22"/>
          <w:szCs w:val="22"/>
        </w:rPr>
        <w:t xml:space="preserve">This process allows the PAGD engineer to determine the geotechnical subsurface investigation program and decide if the project is a good candidate for geophysics, borings, or both.  </w:t>
      </w:r>
    </w:p>
    <w:p w14:paraId="49ADC55D" w14:textId="77777777" w:rsidR="003748B8" w:rsidRDefault="003748B8" w:rsidP="003748B8">
      <w:pPr>
        <w:jc w:val="both"/>
        <w:rPr>
          <w:rFonts w:ascii="Arial" w:hAnsi="Arial" w:cs="Arial"/>
          <w:sz w:val="22"/>
          <w:szCs w:val="22"/>
        </w:rPr>
      </w:pPr>
    </w:p>
    <w:p w14:paraId="60D0E0C1" w14:textId="40E7DBD2" w:rsidR="003748B8" w:rsidRPr="003D3A4B" w:rsidRDefault="003748B8" w:rsidP="003D3A4B">
      <w:pPr>
        <w:jc w:val="both"/>
        <w:rPr>
          <w:rFonts w:ascii="Arial" w:hAnsi="Arial"/>
          <w:sz w:val="22"/>
        </w:rPr>
      </w:pPr>
      <w:hyperlink w:anchor="J2_Geophysical_Investigation" w:history="1">
        <w:r w:rsidRPr="00293210">
          <w:rPr>
            <w:rStyle w:val="Hyperlink"/>
            <w:rFonts w:ascii="Arial" w:hAnsi="Arial" w:cs="Arial"/>
            <w:sz w:val="22"/>
            <w:szCs w:val="22"/>
          </w:rPr>
          <w:t>Section 3.07 Geo</w:t>
        </w:r>
        <w:r w:rsidR="00293210" w:rsidRPr="00293210">
          <w:rPr>
            <w:rStyle w:val="Hyperlink"/>
            <w:rFonts w:ascii="Arial" w:hAnsi="Arial" w:cs="Arial"/>
            <w:sz w:val="22"/>
            <w:szCs w:val="22"/>
          </w:rPr>
          <w:t>physical</w:t>
        </w:r>
        <w:r w:rsidRPr="00293210">
          <w:rPr>
            <w:rStyle w:val="Hyperlink"/>
            <w:rFonts w:ascii="Arial" w:hAnsi="Arial" w:cs="Arial"/>
            <w:sz w:val="22"/>
            <w:szCs w:val="22"/>
          </w:rPr>
          <w:t xml:space="preserve"> Investigation</w:t>
        </w:r>
      </w:hyperlink>
      <w:r w:rsidRPr="00293210">
        <w:rPr>
          <w:rFonts w:ascii="Arial" w:hAnsi="Arial" w:cs="Arial"/>
          <w:sz w:val="22"/>
          <w:szCs w:val="22"/>
        </w:rPr>
        <w:t xml:space="preserve"> provides more specific information about geophysical technologies and how to request them.  Section 3.08</w:t>
      </w:r>
      <w:r w:rsidR="002B0485" w:rsidRPr="00293210">
        <w:rPr>
          <w:rFonts w:ascii="Arial" w:hAnsi="Arial" w:cs="Arial"/>
          <w:sz w:val="22"/>
          <w:szCs w:val="22"/>
        </w:rPr>
        <w:t xml:space="preserve"> </w:t>
      </w:r>
      <w:hyperlink w:anchor="Geot_Field_Work" w:history="1">
        <w:r w:rsidR="002B0485" w:rsidRPr="00293210">
          <w:rPr>
            <w:rStyle w:val="Hyperlink"/>
            <w:rFonts w:ascii="Arial" w:hAnsi="Arial" w:cs="Arial"/>
            <w:sz w:val="22"/>
            <w:szCs w:val="22"/>
          </w:rPr>
          <w:t>Requests for Geotechnical Field Work</w:t>
        </w:r>
      </w:hyperlink>
      <w:r w:rsidRPr="00293210">
        <w:rPr>
          <w:rFonts w:ascii="Arial" w:hAnsi="Arial" w:cs="Arial"/>
          <w:sz w:val="22"/>
          <w:szCs w:val="22"/>
        </w:rPr>
        <w:t xml:space="preserve"> provide</w:t>
      </w:r>
      <w:r w:rsidRPr="003D3A4B">
        <w:rPr>
          <w:rFonts w:ascii="Arial" w:hAnsi="Arial" w:cs="Arial"/>
          <w:sz w:val="22"/>
          <w:szCs w:val="22"/>
        </w:rPr>
        <w:t>s more specific information about requesting borings and in-situ testing.</w:t>
      </w:r>
    </w:p>
    <w:p w14:paraId="58227737" w14:textId="77777777" w:rsidR="003748B8" w:rsidRPr="00CC58A7" w:rsidRDefault="003748B8" w:rsidP="00716D56">
      <w:pPr>
        <w:pStyle w:val="Heading3"/>
        <w:ind w:left="1260" w:hanging="1260"/>
      </w:pPr>
      <w:r w:rsidRPr="00CC58A7">
        <w:t>Resource Requirements</w:t>
      </w:r>
    </w:p>
    <w:p w14:paraId="3D44501F" w14:textId="77777777" w:rsidR="003748B8" w:rsidRDefault="003748B8" w:rsidP="0020546F">
      <w:pPr>
        <w:pStyle w:val="BodyText"/>
        <w:spacing w:after="0"/>
        <w:jc w:val="both"/>
      </w:pPr>
      <w:r w:rsidRPr="00CC58A7">
        <w:t xml:space="preserve">The request process is typically done with data available to the </w:t>
      </w:r>
      <w:r>
        <w:t xml:space="preserve">PAGD Engineer in the office, </w:t>
      </w:r>
      <w:r w:rsidRPr="00CC58A7">
        <w:t xml:space="preserve">coupled with a site visit.  The request procedure documented below requires the following staffing needs for a typical </w:t>
      </w:r>
      <w:r>
        <w:t>project</w:t>
      </w:r>
      <w:r w:rsidRPr="00CC58A7">
        <w:t>:</w:t>
      </w:r>
    </w:p>
    <w:p w14:paraId="2E2475C8" w14:textId="77777777" w:rsidR="0020546F" w:rsidRDefault="0020546F" w:rsidP="0020546F">
      <w:pPr>
        <w:pStyle w:val="BodyText"/>
        <w:spacing w:after="0"/>
        <w:jc w:val="both"/>
      </w:pP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92"/>
        <w:gridCol w:w="2286"/>
        <w:gridCol w:w="1926"/>
        <w:gridCol w:w="1584"/>
      </w:tblGrid>
      <w:tr w:rsidR="003748B8" w:rsidRPr="00CC58A7" w14:paraId="6B81646C" w14:textId="77777777" w:rsidTr="004B4B2F">
        <w:trPr>
          <w:trHeight w:val="288"/>
          <w:jc w:val="center"/>
        </w:trPr>
        <w:tc>
          <w:tcPr>
            <w:tcW w:w="2692" w:type="dxa"/>
            <w:shd w:val="pct15" w:color="auto" w:fill="FFFFFF"/>
            <w:vAlign w:val="center"/>
          </w:tcPr>
          <w:p w14:paraId="4465B9B1" w14:textId="77777777" w:rsidR="003748B8" w:rsidRPr="00CC58A7" w:rsidRDefault="003748B8" w:rsidP="003748B8">
            <w:pPr>
              <w:jc w:val="center"/>
              <w:rPr>
                <w:rFonts w:ascii="Arial" w:hAnsi="Arial"/>
                <w:b/>
              </w:rPr>
            </w:pPr>
            <w:r w:rsidRPr="00CC58A7">
              <w:rPr>
                <w:rFonts w:ascii="Arial" w:hAnsi="Arial"/>
                <w:b/>
              </w:rPr>
              <w:t>Position</w:t>
            </w:r>
          </w:p>
        </w:tc>
        <w:tc>
          <w:tcPr>
            <w:tcW w:w="2286" w:type="dxa"/>
            <w:shd w:val="pct15" w:color="auto" w:fill="FFFFFF"/>
            <w:vAlign w:val="center"/>
          </w:tcPr>
          <w:p w14:paraId="0D91A268" w14:textId="77777777" w:rsidR="003748B8" w:rsidRPr="00CC58A7" w:rsidRDefault="003748B8" w:rsidP="003748B8">
            <w:pPr>
              <w:jc w:val="center"/>
              <w:rPr>
                <w:rFonts w:ascii="Arial" w:hAnsi="Arial"/>
                <w:b/>
              </w:rPr>
            </w:pPr>
            <w:r w:rsidRPr="00CC58A7">
              <w:rPr>
                <w:rFonts w:ascii="Arial" w:hAnsi="Arial"/>
                <w:b/>
              </w:rPr>
              <w:t>Function</w:t>
            </w:r>
          </w:p>
        </w:tc>
        <w:tc>
          <w:tcPr>
            <w:tcW w:w="1926" w:type="dxa"/>
            <w:shd w:val="pct15" w:color="auto" w:fill="FFFFFF"/>
            <w:vAlign w:val="center"/>
          </w:tcPr>
          <w:p w14:paraId="27102C53" w14:textId="77777777" w:rsidR="003748B8" w:rsidRPr="00CC58A7" w:rsidRDefault="003748B8" w:rsidP="003748B8">
            <w:pPr>
              <w:jc w:val="center"/>
              <w:rPr>
                <w:rFonts w:ascii="Arial" w:hAnsi="Arial"/>
                <w:b/>
              </w:rPr>
            </w:pPr>
            <w:r w:rsidRPr="00CC58A7">
              <w:rPr>
                <w:rFonts w:ascii="Arial" w:hAnsi="Arial"/>
                <w:b/>
              </w:rPr>
              <w:t>Resources</w:t>
            </w:r>
          </w:p>
        </w:tc>
        <w:tc>
          <w:tcPr>
            <w:tcW w:w="1584" w:type="dxa"/>
            <w:shd w:val="pct15" w:color="auto" w:fill="FFFFFF"/>
            <w:vAlign w:val="center"/>
          </w:tcPr>
          <w:p w14:paraId="32813D00" w14:textId="77777777" w:rsidR="003748B8" w:rsidRPr="00CC58A7" w:rsidRDefault="003748B8" w:rsidP="003748B8">
            <w:pPr>
              <w:jc w:val="center"/>
              <w:rPr>
                <w:rFonts w:ascii="Arial" w:hAnsi="Arial"/>
                <w:b/>
              </w:rPr>
            </w:pPr>
            <w:r w:rsidRPr="00CC58A7">
              <w:rPr>
                <w:rFonts w:ascii="Arial" w:hAnsi="Arial"/>
                <w:b/>
              </w:rPr>
              <w:t>Effort Level</w:t>
            </w:r>
          </w:p>
          <w:p w14:paraId="230E0277" w14:textId="77777777" w:rsidR="003748B8" w:rsidRPr="00CC58A7" w:rsidRDefault="003748B8" w:rsidP="003748B8">
            <w:pPr>
              <w:jc w:val="center"/>
              <w:rPr>
                <w:rFonts w:ascii="Arial" w:hAnsi="Arial"/>
                <w:b/>
              </w:rPr>
            </w:pPr>
            <w:r w:rsidRPr="00CC58A7">
              <w:rPr>
                <w:rFonts w:ascii="Arial" w:hAnsi="Arial"/>
                <w:b/>
              </w:rPr>
              <w:t>(man-hours)</w:t>
            </w:r>
          </w:p>
        </w:tc>
      </w:tr>
      <w:tr w:rsidR="003748B8" w:rsidRPr="00CC58A7" w14:paraId="60CB3E78" w14:textId="77777777" w:rsidTr="004B4B2F">
        <w:trPr>
          <w:trHeight w:val="288"/>
          <w:jc w:val="center"/>
        </w:trPr>
        <w:tc>
          <w:tcPr>
            <w:tcW w:w="2692" w:type="dxa"/>
            <w:vAlign w:val="center"/>
          </w:tcPr>
          <w:p w14:paraId="5DF6713A" w14:textId="77777777" w:rsidR="003748B8" w:rsidRPr="00CC58A7" w:rsidRDefault="003748B8" w:rsidP="003748B8">
            <w:pPr>
              <w:jc w:val="center"/>
              <w:rPr>
                <w:rFonts w:ascii="Arial" w:hAnsi="Arial"/>
                <w:sz w:val="18"/>
              </w:rPr>
            </w:pPr>
            <w:r>
              <w:rPr>
                <w:rFonts w:ascii="Arial" w:hAnsi="Arial"/>
                <w:sz w:val="18"/>
              </w:rPr>
              <w:t xml:space="preserve">PAGD </w:t>
            </w:r>
            <w:r w:rsidRPr="00CC58A7">
              <w:rPr>
                <w:rFonts w:ascii="Arial" w:hAnsi="Arial"/>
                <w:sz w:val="18"/>
              </w:rPr>
              <w:t>Engineer</w:t>
            </w:r>
          </w:p>
        </w:tc>
        <w:tc>
          <w:tcPr>
            <w:tcW w:w="2286" w:type="dxa"/>
            <w:vAlign w:val="center"/>
          </w:tcPr>
          <w:p w14:paraId="5262B0C9" w14:textId="77777777" w:rsidR="003748B8" w:rsidRPr="00CC58A7" w:rsidRDefault="003748B8" w:rsidP="003748B8">
            <w:pPr>
              <w:jc w:val="center"/>
              <w:rPr>
                <w:rFonts w:ascii="Arial" w:hAnsi="Arial"/>
                <w:sz w:val="18"/>
              </w:rPr>
            </w:pPr>
            <w:r w:rsidRPr="00CC58A7">
              <w:rPr>
                <w:rFonts w:ascii="Arial" w:hAnsi="Arial"/>
                <w:sz w:val="18"/>
              </w:rPr>
              <w:t>Records Review</w:t>
            </w:r>
          </w:p>
        </w:tc>
        <w:tc>
          <w:tcPr>
            <w:tcW w:w="1926" w:type="dxa"/>
            <w:vAlign w:val="center"/>
          </w:tcPr>
          <w:p w14:paraId="2F24EC62" w14:textId="77777777" w:rsidR="003748B8" w:rsidRPr="00CC58A7" w:rsidRDefault="003748B8" w:rsidP="003748B8">
            <w:pPr>
              <w:jc w:val="center"/>
              <w:rPr>
                <w:rFonts w:ascii="Arial" w:hAnsi="Arial"/>
                <w:sz w:val="18"/>
              </w:rPr>
            </w:pPr>
            <w:r w:rsidRPr="00CC58A7">
              <w:rPr>
                <w:rFonts w:ascii="Arial" w:hAnsi="Arial"/>
                <w:sz w:val="18"/>
              </w:rPr>
              <w:t>1</w:t>
            </w:r>
          </w:p>
        </w:tc>
        <w:tc>
          <w:tcPr>
            <w:tcW w:w="1584" w:type="dxa"/>
            <w:vAlign w:val="center"/>
          </w:tcPr>
          <w:p w14:paraId="368D2B84" w14:textId="77777777" w:rsidR="003748B8" w:rsidRPr="00CC58A7" w:rsidRDefault="003748B8" w:rsidP="003748B8">
            <w:pPr>
              <w:jc w:val="center"/>
              <w:rPr>
                <w:rFonts w:ascii="Arial" w:hAnsi="Arial"/>
                <w:sz w:val="18"/>
              </w:rPr>
            </w:pPr>
            <w:r>
              <w:rPr>
                <w:rFonts w:ascii="Arial" w:hAnsi="Arial"/>
                <w:sz w:val="18"/>
              </w:rPr>
              <w:t>4*</w:t>
            </w:r>
          </w:p>
        </w:tc>
      </w:tr>
      <w:tr w:rsidR="003748B8" w:rsidRPr="00CC58A7" w14:paraId="6A40BE9E" w14:textId="77777777" w:rsidTr="004B4B2F">
        <w:trPr>
          <w:trHeight w:val="288"/>
          <w:jc w:val="center"/>
        </w:trPr>
        <w:tc>
          <w:tcPr>
            <w:tcW w:w="2692" w:type="dxa"/>
            <w:vAlign w:val="center"/>
          </w:tcPr>
          <w:p w14:paraId="7028616D" w14:textId="77777777" w:rsidR="003748B8" w:rsidRDefault="003748B8" w:rsidP="003748B8">
            <w:pPr>
              <w:jc w:val="center"/>
              <w:rPr>
                <w:rFonts w:ascii="Arial" w:hAnsi="Arial"/>
                <w:sz w:val="18"/>
              </w:rPr>
            </w:pPr>
            <w:r>
              <w:rPr>
                <w:rFonts w:ascii="Arial" w:hAnsi="Arial"/>
                <w:sz w:val="18"/>
              </w:rPr>
              <w:t xml:space="preserve">PAGD Engineer </w:t>
            </w:r>
          </w:p>
        </w:tc>
        <w:tc>
          <w:tcPr>
            <w:tcW w:w="2286" w:type="dxa"/>
            <w:vAlign w:val="center"/>
          </w:tcPr>
          <w:p w14:paraId="582E78A6" w14:textId="77777777" w:rsidR="003748B8" w:rsidRPr="00CC58A7" w:rsidRDefault="003748B8" w:rsidP="003748B8">
            <w:pPr>
              <w:jc w:val="center"/>
              <w:rPr>
                <w:rFonts w:ascii="Arial" w:hAnsi="Arial"/>
                <w:sz w:val="18"/>
              </w:rPr>
            </w:pPr>
            <w:r>
              <w:rPr>
                <w:rFonts w:ascii="Arial" w:hAnsi="Arial"/>
                <w:sz w:val="18"/>
              </w:rPr>
              <w:t>2 Meetings with Team Leader and ADC</w:t>
            </w:r>
          </w:p>
        </w:tc>
        <w:tc>
          <w:tcPr>
            <w:tcW w:w="1926" w:type="dxa"/>
            <w:vAlign w:val="center"/>
          </w:tcPr>
          <w:p w14:paraId="09D7616F" w14:textId="77777777" w:rsidR="003748B8" w:rsidRPr="00CC58A7" w:rsidRDefault="003748B8" w:rsidP="003748B8">
            <w:pPr>
              <w:jc w:val="center"/>
              <w:rPr>
                <w:rFonts w:ascii="Arial" w:hAnsi="Arial"/>
                <w:sz w:val="18"/>
              </w:rPr>
            </w:pPr>
            <w:r>
              <w:rPr>
                <w:rFonts w:ascii="Arial" w:hAnsi="Arial"/>
                <w:sz w:val="18"/>
              </w:rPr>
              <w:t>2</w:t>
            </w:r>
          </w:p>
        </w:tc>
        <w:tc>
          <w:tcPr>
            <w:tcW w:w="1584" w:type="dxa"/>
            <w:vAlign w:val="center"/>
          </w:tcPr>
          <w:p w14:paraId="26C18CBC" w14:textId="77777777" w:rsidR="003748B8" w:rsidRDefault="003748B8" w:rsidP="003748B8">
            <w:pPr>
              <w:jc w:val="center"/>
              <w:rPr>
                <w:rFonts w:ascii="Arial" w:hAnsi="Arial"/>
                <w:sz w:val="18"/>
              </w:rPr>
            </w:pPr>
            <w:r>
              <w:rPr>
                <w:rFonts w:ascii="Arial" w:hAnsi="Arial"/>
                <w:sz w:val="18"/>
              </w:rPr>
              <w:t>4*</w:t>
            </w:r>
          </w:p>
        </w:tc>
      </w:tr>
      <w:tr w:rsidR="003748B8" w:rsidRPr="00CC58A7" w14:paraId="6AF121C0" w14:textId="77777777" w:rsidTr="004B4B2F">
        <w:trPr>
          <w:trHeight w:val="288"/>
          <w:jc w:val="center"/>
        </w:trPr>
        <w:tc>
          <w:tcPr>
            <w:tcW w:w="2692" w:type="dxa"/>
            <w:vAlign w:val="center"/>
          </w:tcPr>
          <w:p w14:paraId="50DDA7B0" w14:textId="77777777" w:rsidR="003748B8" w:rsidRDefault="003748B8" w:rsidP="003748B8">
            <w:pPr>
              <w:jc w:val="center"/>
              <w:rPr>
                <w:rFonts w:ascii="Arial" w:hAnsi="Arial"/>
                <w:sz w:val="18"/>
              </w:rPr>
            </w:pPr>
            <w:r>
              <w:rPr>
                <w:rFonts w:ascii="Arial" w:hAnsi="Arial"/>
                <w:sz w:val="18"/>
              </w:rPr>
              <w:t>Team Leader and ADC</w:t>
            </w:r>
          </w:p>
        </w:tc>
        <w:tc>
          <w:tcPr>
            <w:tcW w:w="2286" w:type="dxa"/>
            <w:vAlign w:val="center"/>
          </w:tcPr>
          <w:p w14:paraId="6276E12E" w14:textId="77777777" w:rsidR="003748B8" w:rsidRPr="00CC58A7" w:rsidRDefault="003748B8" w:rsidP="003748B8">
            <w:pPr>
              <w:jc w:val="center"/>
              <w:rPr>
                <w:rFonts w:ascii="Arial" w:hAnsi="Arial"/>
                <w:sz w:val="18"/>
              </w:rPr>
            </w:pPr>
            <w:r>
              <w:rPr>
                <w:rFonts w:ascii="Arial" w:hAnsi="Arial"/>
                <w:sz w:val="18"/>
              </w:rPr>
              <w:t>2 Meetings with PAGD Engineer</w:t>
            </w:r>
          </w:p>
        </w:tc>
        <w:tc>
          <w:tcPr>
            <w:tcW w:w="1926" w:type="dxa"/>
            <w:vAlign w:val="center"/>
          </w:tcPr>
          <w:p w14:paraId="05A97E2D" w14:textId="77777777" w:rsidR="003748B8" w:rsidRPr="00CC58A7" w:rsidRDefault="003748B8" w:rsidP="003748B8">
            <w:pPr>
              <w:jc w:val="center"/>
              <w:rPr>
                <w:rFonts w:ascii="Arial" w:hAnsi="Arial"/>
                <w:sz w:val="18"/>
              </w:rPr>
            </w:pPr>
            <w:r>
              <w:rPr>
                <w:rFonts w:ascii="Arial" w:hAnsi="Arial"/>
                <w:sz w:val="18"/>
              </w:rPr>
              <w:t>2</w:t>
            </w:r>
          </w:p>
        </w:tc>
        <w:tc>
          <w:tcPr>
            <w:tcW w:w="1584" w:type="dxa"/>
            <w:vAlign w:val="center"/>
          </w:tcPr>
          <w:p w14:paraId="525A3D5E" w14:textId="77777777" w:rsidR="003748B8" w:rsidRDefault="003748B8" w:rsidP="003748B8">
            <w:pPr>
              <w:jc w:val="center"/>
              <w:rPr>
                <w:rFonts w:ascii="Arial" w:hAnsi="Arial"/>
                <w:sz w:val="18"/>
              </w:rPr>
            </w:pPr>
            <w:r>
              <w:rPr>
                <w:rFonts w:ascii="Arial" w:hAnsi="Arial"/>
                <w:sz w:val="18"/>
              </w:rPr>
              <w:t>4*</w:t>
            </w:r>
          </w:p>
        </w:tc>
      </w:tr>
    </w:tbl>
    <w:p w14:paraId="3FA8C474" w14:textId="77777777" w:rsidR="003748B8" w:rsidRPr="008014BA" w:rsidRDefault="003748B8" w:rsidP="003748B8">
      <w:pPr>
        <w:rPr>
          <w:rFonts w:ascii="Arial" w:hAnsi="Arial"/>
          <w:sz w:val="18"/>
          <w:szCs w:val="18"/>
        </w:rPr>
      </w:pPr>
      <w:r>
        <w:rPr>
          <w:rFonts w:ascii="Arial" w:hAnsi="Arial"/>
          <w:sz w:val="18"/>
          <w:szCs w:val="18"/>
        </w:rPr>
        <w:t xml:space="preserve">      </w:t>
      </w:r>
      <w:r w:rsidRPr="00292C26">
        <w:rPr>
          <w:rFonts w:ascii="Arial" w:hAnsi="Arial"/>
          <w:sz w:val="18"/>
          <w:szCs w:val="18"/>
        </w:rPr>
        <w:t>* The time required would vary depending on the size and complexity of a project.</w:t>
      </w:r>
    </w:p>
    <w:p w14:paraId="37C4F567" w14:textId="77777777" w:rsidR="005F328B" w:rsidRDefault="005F328B" w:rsidP="00483837">
      <w:pPr>
        <w:pStyle w:val="Heading3"/>
        <w:ind w:left="1440" w:hanging="1440"/>
      </w:pPr>
      <w:bookmarkStart w:id="121" w:name="_General"/>
      <w:bookmarkEnd w:id="121"/>
      <w:r>
        <w:t>General</w:t>
      </w:r>
    </w:p>
    <w:p w14:paraId="14E51B87" w14:textId="20EE1123" w:rsidR="004F3FE9" w:rsidRDefault="0018702B" w:rsidP="004F3FE9">
      <w:pPr>
        <w:jc w:val="both"/>
        <w:rPr>
          <w:rFonts w:ascii="Arial" w:hAnsi="Arial" w:cs="Arial"/>
          <w:sz w:val="22"/>
          <w:szCs w:val="22"/>
        </w:rPr>
      </w:pPr>
      <w:r>
        <w:rPr>
          <w:rFonts w:ascii="Arial" w:hAnsi="Arial" w:cs="Arial"/>
          <w:sz w:val="22"/>
          <w:szCs w:val="22"/>
        </w:rPr>
        <w:t xml:space="preserve">As a general rule, all </w:t>
      </w:r>
      <w:r w:rsidR="0046659C">
        <w:rPr>
          <w:rFonts w:ascii="Arial" w:hAnsi="Arial" w:cs="Arial"/>
          <w:sz w:val="22"/>
          <w:szCs w:val="22"/>
        </w:rPr>
        <w:t>n</w:t>
      </w:r>
      <w:r w:rsidR="002E7533">
        <w:rPr>
          <w:rFonts w:ascii="Arial" w:hAnsi="Arial" w:cs="Arial"/>
          <w:sz w:val="22"/>
          <w:szCs w:val="22"/>
        </w:rPr>
        <w:t xml:space="preserve">ew alignment projects </w:t>
      </w:r>
      <w:r>
        <w:rPr>
          <w:rFonts w:ascii="Arial" w:hAnsi="Arial" w:cs="Arial"/>
          <w:sz w:val="22"/>
          <w:szCs w:val="22"/>
        </w:rPr>
        <w:t xml:space="preserve">require some level of subsurface exploration in order to determine existing subsurface conditions for use in analysis and design.  </w:t>
      </w:r>
      <w:r w:rsidR="006012E9">
        <w:rPr>
          <w:rFonts w:ascii="Arial" w:hAnsi="Arial" w:cs="Arial"/>
          <w:sz w:val="22"/>
          <w:szCs w:val="22"/>
        </w:rPr>
        <w:t xml:space="preserve">The level or extent of subsurface exploration will depend on many factors including project scope and project features, roadway functional class, level of existing information available, and risk if </w:t>
      </w:r>
      <w:r w:rsidR="00D93A41">
        <w:rPr>
          <w:rFonts w:ascii="Arial" w:hAnsi="Arial" w:cs="Arial"/>
          <w:sz w:val="22"/>
          <w:szCs w:val="22"/>
        </w:rPr>
        <w:t xml:space="preserve">a </w:t>
      </w:r>
      <w:r w:rsidR="006012E9">
        <w:rPr>
          <w:rFonts w:ascii="Arial" w:hAnsi="Arial" w:cs="Arial"/>
          <w:sz w:val="22"/>
          <w:szCs w:val="22"/>
        </w:rPr>
        <w:t xml:space="preserve">subsurface exploration is not performed. </w:t>
      </w:r>
    </w:p>
    <w:p w14:paraId="234CFB64" w14:textId="0EFFCE34" w:rsidR="006012E9" w:rsidRDefault="006012E9" w:rsidP="004F3FE9">
      <w:pPr>
        <w:jc w:val="both"/>
        <w:rPr>
          <w:rFonts w:ascii="Arial" w:hAnsi="Arial" w:cs="Arial"/>
          <w:sz w:val="22"/>
          <w:szCs w:val="22"/>
        </w:rPr>
      </w:pPr>
    </w:p>
    <w:p w14:paraId="59EA9721" w14:textId="784F95F0" w:rsidR="00386D11" w:rsidRDefault="00386D11" w:rsidP="004F3FE9">
      <w:pPr>
        <w:jc w:val="both"/>
        <w:rPr>
          <w:rFonts w:ascii="Arial" w:hAnsi="Arial" w:cs="Arial"/>
          <w:sz w:val="22"/>
          <w:szCs w:val="22"/>
        </w:rPr>
      </w:pPr>
      <w:r>
        <w:rPr>
          <w:rFonts w:ascii="Arial" w:hAnsi="Arial" w:cs="Arial"/>
          <w:sz w:val="22"/>
          <w:szCs w:val="22"/>
        </w:rPr>
        <w:t xml:space="preserve">Throughout the geotechnical scoping process, the PAGD Engineer should </w:t>
      </w:r>
      <w:r w:rsidR="00D93A41">
        <w:rPr>
          <w:rFonts w:ascii="Arial" w:hAnsi="Arial" w:cs="Arial"/>
          <w:sz w:val="22"/>
          <w:szCs w:val="22"/>
        </w:rPr>
        <w:t xml:space="preserve">strive </w:t>
      </w:r>
      <w:r>
        <w:rPr>
          <w:rFonts w:ascii="Arial" w:hAnsi="Arial" w:cs="Arial"/>
          <w:sz w:val="22"/>
          <w:szCs w:val="22"/>
        </w:rPr>
        <w:t>to follow the PAGD procedure</w:t>
      </w:r>
      <w:r w:rsidR="00D93A41">
        <w:rPr>
          <w:rFonts w:ascii="Arial" w:hAnsi="Arial" w:cs="Arial"/>
          <w:sz w:val="22"/>
          <w:szCs w:val="22"/>
        </w:rPr>
        <w:t>s</w:t>
      </w:r>
      <w:r>
        <w:rPr>
          <w:rFonts w:ascii="Arial" w:hAnsi="Arial" w:cs="Arial"/>
          <w:sz w:val="22"/>
          <w:szCs w:val="22"/>
        </w:rPr>
        <w:t>, but more importantly</w:t>
      </w:r>
      <w:r w:rsidR="00364670">
        <w:rPr>
          <w:rFonts w:ascii="Arial" w:hAnsi="Arial" w:cs="Arial"/>
          <w:sz w:val="22"/>
          <w:szCs w:val="22"/>
        </w:rPr>
        <w:t>,</w:t>
      </w:r>
      <w:r>
        <w:rPr>
          <w:rFonts w:ascii="Arial" w:hAnsi="Arial" w:cs="Arial"/>
          <w:sz w:val="22"/>
          <w:szCs w:val="22"/>
        </w:rPr>
        <w:t xml:space="preserve"> they should aim to solve the customer</w:t>
      </w:r>
      <w:r w:rsidR="00DC462A">
        <w:rPr>
          <w:rFonts w:ascii="Arial" w:hAnsi="Arial" w:cs="Arial"/>
          <w:sz w:val="22"/>
          <w:szCs w:val="22"/>
        </w:rPr>
        <w:t xml:space="preserve"> PM</w:t>
      </w:r>
      <w:r>
        <w:rPr>
          <w:rFonts w:ascii="Arial" w:hAnsi="Arial" w:cs="Arial"/>
          <w:sz w:val="22"/>
          <w:szCs w:val="22"/>
        </w:rPr>
        <w:t xml:space="preserve">’s problem by using the most appropriate techniques. The PAGD Engineer should also work in conjunction with the EGD and the customer </w:t>
      </w:r>
      <w:r w:rsidR="00DC462A">
        <w:rPr>
          <w:rFonts w:ascii="Arial" w:hAnsi="Arial" w:cs="Arial"/>
          <w:sz w:val="22"/>
          <w:szCs w:val="22"/>
        </w:rPr>
        <w:t xml:space="preserve">PM </w:t>
      </w:r>
      <w:r>
        <w:rPr>
          <w:rFonts w:ascii="Arial" w:hAnsi="Arial" w:cs="Arial"/>
          <w:sz w:val="22"/>
          <w:szCs w:val="22"/>
        </w:rPr>
        <w:t xml:space="preserve">and pose questions to the customer </w:t>
      </w:r>
      <w:r w:rsidR="00DC462A">
        <w:rPr>
          <w:rFonts w:ascii="Arial" w:hAnsi="Arial" w:cs="Arial"/>
          <w:sz w:val="22"/>
          <w:szCs w:val="22"/>
        </w:rPr>
        <w:t xml:space="preserve">PM </w:t>
      </w:r>
      <w:r>
        <w:rPr>
          <w:rFonts w:ascii="Arial" w:hAnsi="Arial" w:cs="Arial"/>
          <w:sz w:val="22"/>
          <w:szCs w:val="22"/>
        </w:rPr>
        <w:t xml:space="preserve">to be able to develop the most </w:t>
      </w:r>
      <w:r w:rsidR="00364670">
        <w:rPr>
          <w:rFonts w:ascii="Arial" w:hAnsi="Arial" w:cs="Arial"/>
          <w:sz w:val="22"/>
          <w:szCs w:val="22"/>
        </w:rPr>
        <w:t>appropriate</w:t>
      </w:r>
      <w:r>
        <w:rPr>
          <w:rFonts w:ascii="Arial" w:hAnsi="Arial" w:cs="Arial"/>
          <w:sz w:val="22"/>
          <w:szCs w:val="22"/>
        </w:rPr>
        <w:t xml:space="preserve"> </w:t>
      </w:r>
      <w:r w:rsidR="00D93A41">
        <w:rPr>
          <w:rFonts w:ascii="Arial" w:hAnsi="Arial" w:cs="Arial"/>
          <w:sz w:val="22"/>
          <w:szCs w:val="22"/>
        </w:rPr>
        <w:t xml:space="preserve">geotechnical investigation </w:t>
      </w:r>
      <w:r>
        <w:rPr>
          <w:rFonts w:ascii="Arial" w:hAnsi="Arial" w:cs="Arial"/>
          <w:sz w:val="22"/>
          <w:szCs w:val="22"/>
        </w:rPr>
        <w:t xml:space="preserve">scope for their project.   </w:t>
      </w:r>
    </w:p>
    <w:p w14:paraId="08DE1FC7" w14:textId="77777777" w:rsidR="00386D11" w:rsidRDefault="00386D11" w:rsidP="004F3FE9">
      <w:pPr>
        <w:jc w:val="both"/>
        <w:rPr>
          <w:rFonts w:ascii="Arial" w:hAnsi="Arial" w:cs="Arial"/>
          <w:sz w:val="22"/>
          <w:szCs w:val="22"/>
        </w:rPr>
      </w:pPr>
    </w:p>
    <w:p w14:paraId="1B885E88" w14:textId="29DF6245" w:rsidR="00386D11" w:rsidRDefault="006012E9" w:rsidP="004F3FE9">
      <w:pPr>
        <w:jc w:val="both"/>
        <w:rPr>
          <w:rFonts w:ascii="Arial" w:hAnsi="Arial" w:cs="Arial"/>
          <w:sz w:val="22"/>
          <w:szCs w:val="22"/>
        </w:rPr>
      </w:pPr>
      <w:r>
        <w:rPr>
          <w:rFonts w:ascii="Arial" w:hAnsi="Arial" w:cs="Arial"/>
          <w:sz w:val="22"/>
          <w:szCs w:val="22"/>
        </w:rPr>
        <w:t xml:space="preserve">Traditionally, auger borings and SPT borings </w:t>
      </w:r>
      <w:r w:rsidR="002E7533">
        <w:rPr>
          <w:rFonts w:ascii="Arial" w:hAnsi="Arial" w:cs="Arial"/>
          <w:sz w:val="22"/>
          <w:szCs w:val="22"/>
        </w:rPr>
        <w:t>are</w:t>
      </w:r>
      <w:r>
        <w:rPr>
          <w:rFonts w:ascii="Arial" w:hAnsi="Arial" w:cs="Arial"/>
          <w:sz w:val="22"/>
          <w:szCs w:val="22"/>
        </w:rPr>
        <w:t xml:space="preserve"> the </w:t>
      </w:r>
      <w:r w:rsidR="0046659C">
        <w:rPr>
          <w:rFonts w:ascii="Arial" w:hAnsi="Arial" w:cs="Arial"/>
          <w:sz w:val="22"/>
          <w:szCs w:val="22"/>
        </w:rPr>
        <w:t>primary</w:t>
      </w:r>
      <w:r>
        <w:rPr>
          <w:rFonts w:ascii="Arial" w:hAnsi="Arial" w:cs="Arial"/>
          <w:sz w:val="22"/>
          <w:szCs w:val="22"/>
        </w:rPr>
        <w:t xml:space="preserve"> means of acquiring subsurface geotechnical data</w:t>
      </w:r>
      <w:r w:rsidR="00386D11">
        <w:rPr>
          <w:rFonts w:ascii="Arial" w:hAnsi="Arial" w:cs="Arial"/>
          <w:sz w:val="22"/>
          <w:szCs w:val="22"/>
        </w:rPr>
        <w:t>, though the PAGD recognizes that geophysical technologies may provide valuable benefits in some situations</w:t>
      </w:r>
      <w:r>
        <w:rPr>
          <w:rFonts w:ascii="Arial" w:hAnsi="Arial" w:cs="Arial"/>
          <w:sz w:val="22"/>
          <w:szCs w:val="22"/>
        </w:rPr>
        <w:t xml:space="preserve">. </w:t>
      </w:r>
    </w:p>
    <w:p w14:paraId="5176CA2A" w14:textId="77777777" w:rsidR="00386D11" w:rsidRDefault="00386D11" w:rsidP="004F3FE9">
      <w:pPr>
        <w:jc w:val="both"/>
        <w:rPr>
          <w:rFonts w:ascii="Arial" w:hAnsi="Arial" w:cs="Arial"/>
          <w:sz w:val="22"/>
          <w:szCs w:val="22"/>
        </w:rPr>
      </w:pPr>
    </w:p>
    <w:p w14:paraId="0F0C8B29" w14:textId="3CC341CC" w:rsidR="003F0C04" w:rsidRDefault="0046659C" w:rsidP="004F3FE9">
      <w:pPr>
        <w:jc w:val="both"/>
        <w:rPr>
          <w:rFonts w:ascii="Arial" w:hAnsi="Arial" w:cs="Arial"/>
          <w:sz w:val="22"/>
          <w:szCs w:val="22"/>
        </w:rPr>
      </w:pPr>
      <w:r>
        <w:rPr>
          <w:rFonts w:ascii="Arial" w:hAnsi="Arial" w:cs="Arial"/>
          <w:sz w:val="22"/>
          <w:szCs w:val="22"/>
        </w:rPr>
        <w:lastRenderedPageBreak/>
        <w:t xml:space="preserve">The data provided by borings is invaluable and </w:t>
      </w:r>
      <w:r w:rsidR="000D1A34">
        <w:rPr>
          <w:rFonts w:ascii="Arial" w:hAnsi="Arial" w:cs="Arial"/>
          <w:sz w:val="22"/>
          <w:szCs w:val="22"/>
        </w:rPr>
        <w:t>essential</w:t>
      </w:r>
      <w:r>
        <w:rPr>
          <w:rFonts w:ascii="Arial" w:hAnsi="Arial" w:cs="Arial"/>
          <w:sz w:val="22"/>
          <w:szCs w:val="22"/>
        </w:rPr>
        <w:t xml:space="preserve"> in many situations and for many projects. Borings are provided by the Field Exploration Division (FED). </w:t>
      </w:r>
      <w:r w:rsidR="002E7533">
        <w:rPr>
          <w:rFonts w:ascii="Arial" w:hAnsi="Arial" w:cs="Arial"/>
          <w:sz w:val="22"/>
          <w:szCs w:val="22"/>
        </w:rPr>
        <w:t>For</w:t>
      </w:r>
      <w:r>
        <w:rPr>
          <w:rFonts w:ascii="Arial" w:hAnsi="Arial" w:cs="Arial"/>
          <w:sz w:val="22"/>
          <w:szCs w:val="22"/>
        </w:rPr>
        <w:t xml:space="preserve"> certain projects, in-situ </w:t>
      </w:r>
      <w:r w:rsidR="002E7533">
        <w:rPr>
          <w:rFonts w:ascii="Arial" w:hAnsi="Arial" w:cs="Arial"/>
          <w:sz w:val="22"/>
          <w:szCs w:val="22"/>
        </w:rPr>
        <w:t xml:space="preserve">geotechnical </w:t>
      </w:r>
      <w:r>
        <w:rPr>
          <w:rFonts w:ascii="Arial" w:hAnsi="Arial" w:cs="Arial"/>
          <w:sz w:val="22"/>
          <w:szCs w:val="22"/>
        </w:rPr>
        <w:t xml:space="preserve">testing may be </w:t>
      </w:r>
      <w:r w:rsidRPr="00052A2A">
        <w:rPr>
          <w:rFonts w:ascii="Arial" w:hAnsi="Arial" w:cs="Arial"/>
          <w:sz w:val="22"/>
          <w:szCs w:val="22"/>
        </w:rPr>
        <w:t xml:space="preserve">required to determine in-situ </w:t>
      </w:r>
      <w:r w:rsidR="002E7533">
        <w:rPr>
          <w:rFonts w:ascii="Arial" w:hAnsi="Arial" w:cs="Arial"/>
          <w:sz w:val="22"/>
          <w:szCs w:val="22"/>
        </w:rPr>
        <w:t xml:space="preserve">engineering properties of subsurface </w:t>
      </w:r>
      <w:r w:rsidRPr="00052A2A">
        <w:rPr>
          <w:rFonts w:ascii="Arial" w:hAnsi="Arial" w:cs="Arial"/>
          <w:sz w:val="22"/>
          <w:szCs w:val="22"/>
        </w:rPr>
        <w:t xml:space="preserve">soils at </w:t>
      </w:r>
      <w:r w:rsidR="002E7533">
        <w:rPr>
          <w:rFonts w:ascii="Arial" w:hAnsi="Arial" w:cs="Arial"/>
          <w:sz w:val="22"/>
          <w:szCs w:val="22"/>
        </w:rPr>
        <w:t>a</w:t>
      </w:r>
      <w:r w:rsidRPr="00052A2A">
        <w:rPr>
          <w:rFonts w:ascii="Arial" w:hAnsi="Arial" w:cs="Arial"/>
          <w:sz w:val="22"/>
          <w:szCs w:val="22"/>
        </w:rPr>
        <w:t xml:space="preserve"> site. The </w:t>
      </w:r>
      <w:r w:rsidR="0068477F">
        <w:rPr>
          <w:rFonts w:ascii="Arial" w:hAnsi="Arial" w:cs="Arial"/>
          <w:sz w:val="22"/>
          <w:szCs w:val="22"/>
        </w:rPr>
        <w:t>Engineering Geology Division (</w:t>
      </w:r>
      <w:r w:rsidRPr="00052A2A">
        <w:rPr>
          <w:rFonts w:ascii="Arial" w:hAnsi="Arial" w:cs="Arial"/>
          <w:sz w:val="22"/>
          <w:szCs w:val="22"/>
        </w:rPr>
        <w:t>EGD</w:t>
      </w:r>
      <w:r w:rsidR="0068477F">
        <w:rPr>
          <w:rFonts w:ascii="Arial" w:hAnsi="Arial" w:cs="Arial"/>
          <w:sz w:val="22"/>
          <w:szCs w:val="22"/>
        </w:rPr>
        <w:t>)</w:t>
      </w:r>
      <w:r w:rsidRPr="00052A2A">
        <w:rPr>
          <w:rFonts w:ascii="Arial" w:hAnsi="Arial" w:cs="Arial"/>
          <w:sz w:val="22"/>
          <w:szCs w:val="22"/>
        </w:rPr>
        <w:t xml:space="preserve"> </w:t>
      </w:r>
      <w:r w:rsidR="0068477F">
        <w:rPr>
          <w:rFonts w:ascii="Arial" w:hAnsi="Arial" w:cs="Arial"/>
          <w:sz w:val="22"/>
          <w:szCs w:val="22"/>
        </w:rPr>
        <w:t>is</w:t>
      </w:r>
      <w:r w:rsidRPr="00052A2A">
        <w:rPr>
          <w:rFonts w:ascii="Arial" w:hAnsi="Arial" w:cs="Arial"/>
          <w:sz w:val="22"/>
          <w:szCs w:val="22"/>
        </w:rPr>
        <w:t xml:space="preserve"> responsible for developing an in-situ testing program and corresponding request, if necessary</w:t>
      </w:r>
      <w:r>
        <w:rPr>
          <w:rFonts w:ascii="Arial" w:hAnsi="Arial" w:cs="Arial"/>
          <w:sz w:val="22"/>
          <w:szCs w:val="22"/>
        </w:rPr>
        <w:t>.</w:t>
      </w:r>
      <w:r w:rsidR="002E7533">
        <w:rPr>
          <w:rFonts w:ascii="Arial" w:hAnsi="Arial" w:cs="Arial"/>
          <w:sz w:val="22"/>
          <w:szCs w:val="22"/>
        </w:rPr>
        <w:t xml:space="preserve"> In addition, g</w:t>
      </w:r>
      <w:r w:rsidR="003F0C04">
        <w:rPr>
          <w:rFonts w:ascii="Arial" w:hAnsi="Arial" w:cs="Arial"/>
          <w:sz w:val="22"/>
          <w:szCs w:val="22"/>
        </w:rPr>
        <w:t xml:space="preserve">eophysical technologies are a valuable option to enhance, add to, or, in certain circumstances, to </w:t>
      </w:r>
      <w:r w:rsidR="002E7533">
        <w:rPr>
          <w:rFonts w:ascii="Arial" w:hAnsi="Arial" w:cs="Arial"/>
          <w:sz w:val="22"/>
          <w:szCs w:val="22"/>
        </w:rPr>
        <w:t xml:space="preserve">reduce and </w:t>
      </w:r>
      <w:r w:rsidR="003F0C04">
        <w:rPr>
          <w:rFonts w:ascii="Arial" w:hAnsi="Arial" w:cs="Arial"/>
          <w:sz w:val="22"/>
          <w:szCs w:val="22"/>
        </w:rPr>
        <w:t xml:space="preserve">replace borings.  </w:t>
      </w:r>
      <w:r w:rsidR="003F0C04" w:rsidRPr="004F3DE9">
        <w:rPr>
          <w:rFonts w:ascii="Arial" w:hAnsi="Arial" w:cs="Arial"/>
          <w:sz w:val="22"/>
          <w:szCs w:val="22"/>
        </w:rPr>
        <w:t xml:space="preserve">Geophysical technologies need to be tailored to a particular site or application.  </w:t>
      </w:r>
      <w:r w:rsidR="003F0C04">
        <w:rPr>
          <w:rFonts w:ascii="Arial" w:hAnsi="Arial" w:cs="Arial"/>
          <w:sz w:val="22"/>
          <w:szCs w:val="22"/>
        </w:rPr>
        <w:t>Geophysical technologies are primarily used when:</w:t>
      </w:r>
    </w:p>
    <w:p w14:paraId="38E49194" w14:textId="77777777" w:rsidR="00A7284D" w:rsidRDefault="00A7284D" w:rsidP="004F3FE9">
      <w:pPr>
        <w:jc w:val="both"/>
        <w:rPr>
          <w:rFonts w:ascii="Arial" w:hAnsi="Arial" w:cs="Arial"/>
          <w:sz w:val="22"/>
          <w:szCs w:val="22"/>
        </w:rPr>
      </w:pPr>
    </w:p>
    <w:p w14:paraId="2916C562" w14:textId="389943F0" w:rsidR="003F0C04" w:rsidRPr="006F24C9" w:rsidRDefault="00E8444A" w:rsidP="00172E64">
      <w:pPr>
        <w:pStyle w:val="ListParagraph"/>
        <w:numPr>
          <w:ilvl w:val="0"/>
          <w:numId w:val="84"/>
        </w:numPr>
        <w:ind w:left="720" w:hanging="720"/>
        <w:jc w:val="both"/>
        <w:rPr>
          <w:rFonts w:ascii="Arial" w:hAnsi="Arial" w:cs="Arial"/>
          <w:sz w:val="22"/>
          <w:szCs w:val="22"/>
        </w:rPr>
      </w:pPr>
      <w:r w:rsidRPr="006F24C9">
        <w:rPr>
          <w:rFonts w:ascii="Arial" w:hAnsi="Arial" w:cs="Arial"/>
          <w:sz w:val="22"/>
          <w:szCs w:val="22"/>
        </w:rPr>
        <w:t>B</w:t>
      </w:r>
      <w:r w:rsidR="0046659C" w:rsidRPr="006F24C9">
        <w:rPr>
          <w:rFonts w:ascii="Arial" w:hAnsi="Arial" w:cs="Arial"/>
          <w:sz w:val="22"/>
          <w:szCs w:val="22"/>
        </w:rPr>
        <w:t xml:space="preserve">orings </w:t>
      </w:r>
      <w:r w:rsidR="0068477F" w:rsidRPr="006F24C9">
        <w:rPr>
          <w:rFonts w:ascii="Arial" w:hAnsi="Arial" w:cs="Arial"/>
          <w:sz w:val="22"/>
          <w:szCs w:val="22"/>
        </w:rPr>
        <w:t xml:space="preserve">are less desirable for a project because of </w:t>
      </w:r>
      <w:r w:rsidR="003F0C04" w:rsidRPr="006F24C9">
        <w:rPr>
          <w:rFonts w:ascii="Arial" w:hAnsi="Arial" w:cs="Arial"/>
          <w:sz w:val="22"/>
          <w:szCs w:val="22"/>
        </w:rPr>
        <w:t>schedule</w:t>
      </w:r>
      <w:r w:rsidR="0068477F" w:rsidRPr="006F24C9">
        <w:rPr>
          <w:rFonts w:ascii="Arial" w:hAnsi="Arial" w:cs="Arial"/>
          <w:sz w:val="22"/>
          <w:szCs w:val="22"/>
        </w:rPr>
        <w:t xml:space="preserve">, cost, </w:t>
      </w:r>
      <w:r w:rsidR="00433994" w:rsidRPr="006F24C9">
        <w:rPr>
          <w:rFonts w:ascii="Arial" w:hAnsi="Arial" w:cs="Arial"/>
          <w:sz w:val="22"/>
          <w:szCs w:val="22"/>
        </w:rPr>
        <w:t xml:space="preserve">environmental considerations, </w:t>
      </w:r>
      <w:r w:rsidR="0068477F" w:rsidRPr="006F24C9">
        <w:rPr>
          <w:rFonts w:ascii="Arial" w:hAnsi="Arial" w:cs="Arial"/>
          <w:sz w:val="22"/>
          <w:szCs w:val="22"/>
        </w:rPr>
        <w:t>or site accessibility</w:t>
      </w:r>
    </w:p>
    <w:p w14:paraId="0B72F05E" w14:textId="17FEAEA8" w:rsidR="003F0C04" w:rsidRPr="006F24C9" w:rsidRDefault="00E8444A" w:rsidP="00172E64">
      <w:pPr>
        <w:pStyle w:val="ListParagraph"/>
        <w:numPr>
          <w:ilvl w:val="0"/>
          <w:numId w:val="84"/>
        </w:numPr>
        <w:ind w:left="720" w:hanging="720"/>
        <w:jc w:val="both"/>
        <w:rPr>
          <w:rFonts w:ascii="Arial" w:hAnsi="Arial" w:cs="Arial"/>
          <w:sz w:val="22"/>
          <w:szCs w:val="22"/>
        </w:rPr>
      </w:pPr>
      <w:r w:rsidRPr="006F24C9">
        <w:rPr>
          <w:rFonts w:ascii="Arial" w:hAnsi="Arial" w:cs="Arial"/>
          <w:sz w:val="22"/>
          <w:szCs w:val="22"/>
        </w:rPr>
        <w:t>T</w:t>
      </w:r>
      <w:r w:rsidR="0068477F" w:rsidRPr="006F24C9">
        <w:rPr>
          <w:rFonts w:ascii="Arial" w:hAnsi="Arial" w:cs="Arial"/>
          <w:sz w:val="22"/>
          <w:szCs w:val="22"/>
        </w:rPr>
        <w:t xml:space="preserve">here are </w:t>
      </w:r>
      <w:r w:rsidR="007F2DBF" w:rsidRPr="006F24C9">
        <w:rPr>
          <w:rFonts w:ascii="Arial" w:hAnsi="Arial" w:cs="Arial"/>
          <w:sz w:val="22"/>
          <w:szCs w:val="22"/>
        </w:rPr>
        <w:t xml:space="preserve">highly </w:t>
      </w:r>
      <w:r w:rsidR="0068477F" w:rsidRPr="006F24C9">
        <w:rPr>
          <w:rFonts w:ascii="Arial" w:hAnsi="Arial" w:cs="Arial"/>
          <w:sz w:val="22"/>
          <w:szCs w:val="22"/>
        </w:rPr>
        <w:t>variable subsurface conditions that may be missed with a typical boring spacing</w:t>
      </w:r>
      <w:r w:rsidR="00A71BAF" w:rsidRPr="006F24C9">
        <w:rPr>
          <w:rFonts w:ascii="Arial" w:hAnsi="Arial" w:cs="Arial"/>
          <w:sz w:val="22"/>
          <w:szCs w:val="22"/>
        </w:rPr>
        <w:t xml:space="preserve"> </w:t>
      </w:r>
    </w:p>
    <w:p w14:paraId="362CE1E5" w14:textId="230FC525" w:rsidR="007F2DBF" w:rsidRPr="006F24C9" w:rsidRDefault="00E8444A" w:rsidP="00172E64">
      <w:pPr>
        <w:pStyle w:val="ListParagraph"/>
        <w:numPr>
          <w:ilvl w:val="0"/>
          <w:numId w:val="84"/>
        </w:numPr>
        <w:ind w:left="720" w:hanging="720"/>
        <w:jc w:val="both"/>
        <w:rPr>
          <w:rFonts w:ascii="Arial" w:hAnsi="Arial" w:cs="Arial"/>
          <w:sz w:val="22"/>
          <w:szCs w:val="22"/>
        </w:rPr>
      </w:pPr>
      <w:r w:rsidRPr="006F24C9">
        <w:rPr>
          <w:rFonts w:ascii="Arial" w:hAnsi="Arial" w:cs="Arial"/>
          <w:sz w:val="22"/>
          <w:szCs w:val="22"/>
        </w:rPr>
        <w:t>T</w:t>
      </w:r>
      <w:r w:rsidR="00A71BAF" w:rsidRPr="006F24C9">
        <w:rPr>
          <w:rFonts w:ascii="Arial" w:hAnsi="Arial" w:cs="Arial"/>
          <w:sz w:val="22"/>
          <w:szCs w:val="22"/>
        </w:rPr>
        <w:t>hey</w:t>
      </w:r>
      <w:r w:rsidR="00F71018" w:rsidRPr="006F24C9">
        <w:rPr>
          <w:rFonts w:ascii="Arial" w:hAnsi="Arial" w:cs="Arial"/>
          <w:sz w:val="22"/>
          <w:szCs w:val="22"/>
        </w:rPr>
        <w:t xml:space="preserve"> are </w:t>
      </w:r>
      <w:r w:rsidR="00A71BAF" w:rsidRPr="006F24C9">
        <w:rPr>
          <w:rFonts w:ascii="Arial" w:hAnsi="Arial" w:cs="Arial"/>
          <w:sz w:val="22"/>
          <w:szCs w:val="22"/>
        </w:rPr>
        <w:t xml:space="preserve">particularly </w:t>
      </w:r>
      <w:r w:rsidR="007F2DBF" w:rsidRPr="006F24C9">
        <w:rPr>
          <w:rFonts w:ascii="Arial" w:hAnsi="Arial" w:cs="Arial"/>
          <w:sz w:val="22"/>
          <w:szCs w:val="22"/>
        </w:rPr>
        <w:t xml:space="preserve">well suited for the project needs, such as void </w:t>
      </w:r>
      <w:r w:rsidR="00A71BAF" w:rsidRPr="006F24C9">
        <w:rPr>
          <w:rFonts w:ascii="Arial" w:hAnsi="Arial" w:cs="Arial"/>
          <w:sz w:val="22"/>
          <w:szCs w:val="22"/>
        </w:rPr>
        <w:t xml:space="preserve">or karst </w:t>
      </w:r>
      <w:r w:rsidR="007F2DBF" w:rsidRPr="006F24C9">
        <w:rPr>
          <w:rFonts w:ascii="Arial" w:hAnsi="Arial" w:cs="Arial"/>
          <w:sz w:val="22"/>
          <w:szCs w:val="22"/>
        </w:rPr>
        <w:t xml:space="preserve">delineation, locating underground structures, </w:t>
      </w:r>
      <w:r w:rsidR="00A71BAF" w:rsidRPr="006F24C9">
        <w:rPr>
          <w:rFonts w:ascii="Arial" w:hAnsi="Arial" w:cs="Arial"/>
          <w:sz w:val="22"/>
          <w:szCs w:val="22"/>
        </w:rPr>
        <w:t xml:space="preserve">or characterizing </w:t>
      </w:r>
      <w:r w:rsidR="007F2DBF" w:rsidRPr="006F24C9">
        <w:rPr>
          <w:rFonts w:ascii="Arial" w:hAnsi="Arial" w:cs="Arial"/>
          <w:sz w:val="22"/>
          <w:szCs w:val="22"/>
        </w:rPr>
        <w:t>groundwater</w:t>
      </w:r>
      <w:r w:rsidR="00F71018" w:rsidRPr="006F24C9">
        <w:rPr>
          <w:rFonts w:ascii="Arial" w:hAnsi="Arial" w:cs="Arial"/>
          <w:sz w:val="22"/>
          <w:szCs w:val="22"/>
        </w:rPr>
        <w:t xml:space="preserve"> conditions</w:t>
      </w:r>
      <w:r w:rsidR="00A71BAF" w:rsidRPr="006F24C9">
        <w:rPr>
          <w:rFonts w:ascii="Arial" w:hAnsi="Arial" w:cs="Arial"/>
          <w:sz w:val="22"/>
          <w:szCs w:val="22"/>
        </w:rPr>
        <w:t xml:space="preserve"> and contamina</w:t>
      </w:r>
      <w:r w:rsidRPr="006F24C9">
        <w:rPr>
          <w:rFonts w:ascii="Arial" w:hAnsi="Arial" w:cs="Arial"/>
          <w:sz w:val="22"/>
          <w:szCs w:val="22"/>
        </w:rPr>
        <w:t>n</w:t>
      </w:r>
      <w:r w:rsidR="00A71BAF" w:rsidRPr="006F24C9">
        <w:rPr>
          <w:rFonts w:ascii="Arial" w:hAnsi="Arial" w:cs="Arial"/>
          <w:sz w:val="22"/>
          <w:szCs w:val="22"/>
        </w:rPr>
        <w:t>t</w:t>
      </w:r>
      <w:r w:rsidR="007F2DBF" w:rsidRPr="006F24C9">
        <w:rPr>
          <w:rFonts w:ascii="Arial" w:hAnsi="Arial" w:cs="Arial"/>
          <w:sz w:val="22"/>
          <w:szCs w:val="22"/>
        </w:rPr>
        <w:t xml:space="preserve"> plumes, etc.</w:t>
      </w:r>
    </w:p>
    <w:p w14:paraId="53BE814D" w14:textId="50D0CE43" w:rsidR="00582645" w:rsidRPr="00932915" w:rsidRDefault="00364670" w:rsidP="00E8444A">
      <w:pPr>
        <w:spacing w:before="240"/>
        <w:jc w:val="both"/>
        <w:rPr>
          <w:rFonts w:ascii="Arial" w:hAnsi="Arial"/>
          <w:sz w:val="22"/>
        </w:rPr>
      </w:pPr>
      <w:r>
        <w:rPr>
          <w:rFonts w:ascii="Arial" w:hAnsi="Arial"/>
          <w:sz w:val="22"/>
        </w:rPr>
        <w:t>Note that i</w:t>
      </w:r>
      <w:r w:rsidR="00582645">
        <w:rPr>
          <w:rFonts w:ascii="Arial" w:hAnsi="Arial"/>
          <w:sz w:val="22"/>
        </w:rPr>
        <w:t xml:space="preserve">f a geophysical investigation will be conducted, it is usually most </w:t>
      </w:r>
      <w:r>
        <w:rPr>
          <w:rFonts w:ascii="Arial" w:hAnsi="Arial"/>
          <w:sz w:val="22"/>
        </w:rPr>
        <w:t>beneficial</w:t>
      </w:r>
      <w:r w:rsidR="00582645">
        <w:rPr>
          <w:rFonts w:ascii="Arial" w:hAnsi="Arial"/>
          <w:sz w:val="22"/>
        </w:rPr>
        <w:t xml:space="preserve"> to conduct the geophysical investigation prior to conducting a boring program.</w:t>
      </w:r>
      <w:r>
        <w:rPr>
          <w:rFonts w:ascii="Arial" w:hAnsi="Arial"/>
          <w:sz w:val="22"/>
        </w:rPr>
        <w:t xml:space="preserve"> </w:t>
      </w:r>
      <w:r w:rsidR="00E8444A">
        <w:rPr>
          <w:rFonts w:ascii="Arial" w:hAnsi="Arial"/>
          <w:sz w:val="22"/>
        </w:rPr>
        <w:t>S</w:t>
      </w:r>
      <w:r>
        <w:rPr>
          <w:rFonts w:ascii="Arial" w:hAnsi="Arial"/>
          <w:sz w:val="22"/>
        </w:rPr>
        <w:t>ometimes conditions are encountered during a boring program that warrant revisiting the site with geophysical technologies after or during the boring program.</w:t>
      </w:r>
    </w:p>
    <w:p w14:paraId="658360D7" w14:textId="77777777" w:rsidR="005F328B" w:rsidRDefault="005F328B" w:rsidP="00483837">
      <w:pPr>
        <w:pStyle w:val="Heading3"/>
        <w:ind w:left="1440" w:hanging="1440"/>
      </w:pPr>
      <w:bookmarkStart w:id="122" w:name="_Procedure_3"/>
      <w:bookmarkEnd w:id="122"/>
      <w:r>
        <w:t>Procedure</w:t>
      </w:r>
    </w:p>
    <w:p w14:paraId="6EB2FDD5" w14:textId="62579021" w:rsidR="00500649" w:rsidRPr="003C4AAA" w:rsidRDefault="00500649" w:rsidP="00500649">
      <w:pPr>
        <w:jc w:val="both"/>
        <w:rPr>
          <w:rFonts w:ascii="Arial" w:hAnsi="Arial"/>
          <w:sz w:val="22"/>
        </w:rPr>
      </w:pPr>
      <w:r w:rsidRPr="003C4AAA">
        <w:rPr>
          <w:rFonts w:ascii="Arial" w:hAnsi="Arial"/>
          <w:sz w:val="22"/>
        </w:rPr>
        <w:t>The procedure described below should be followed when making a request.  Numerous steps contained in this procedure can be completed with software applications that the PAGD currently uses or has under development.  This procedure was written to provide the PAGD Engineer with adequate information to complete a request without specific knowledge of or access to specific computer software, but with the consideration that these tool</w:t>
      </w:r>
      <w:r w:rsidR="00DB3D87">
        <w:rPr>
          <w:rFonts w:ascii="Arial" w:hAnsi="Arial"/>
          <w:sz w:val="22"/>
        </w:rPr>
        <w:t xml:space="preserve">s were available.  </w:t>
      </w:r>
    </w:p>
    <w:p w14:paraId="6197536C" w14:textId="77777777" w:rsidR="00A353B9" w:rsidRPr="003C4AAA" w:rsidRDefault="00A353B9" w:rsidP="00500649">
      <w:pPr>
        <w:jc w:val="both"/>
        <w:rPr>
          <w:rFonts w:ascii="Arial" w:hAnsi="Arial"/>
          <w:sz w:val="22"/>
        </w:rPr>
      </w:pPr>
    </w:p>
    <w:p w14:paraId="57913478" w14:textId="49493E0C" w:rsidR="00500649" w:rsidRPr="003C4AAA" w:rsidRDefault="00500649" w:rsidP="00500649">
      <w:pPr>
        <w:jc w:val="both"/>
        <w:rPr>
          <w:rFonts w:ascii="Arial" w:hAnsi="Arial"/>
          <w:sz w:val="22"/>
        </w:rPr>
      </w:pPr>
      <w:r w:rsidRPr="003C4AAA">
        <w:rPr>
          <w:rFonts w:ascii="Arial" w:hAnsi="Arial"/>
          <w:sz w:val="22"/>
        </w:rPr>
        <w:t>Certain steps in the request process and other processes overlap.  It is important to keep in mind that although these processes are broken out and written in separate sections, they are a part of an over</w:t>
      </w:r>
      <w:r w:rsidR="000D1A34">
        <w:rPr>
          <w:rFonts w:ascii="Arial" w:hAnsi="Arial"/>
          <w:sz w:val="22"/>
        </w:rPr>
        <w:t>all process to provide logical</w:t>
      </w:r>
      <w:r w:rsidRPr="003C4AAA">
        <w:rPr>
          <w:rFonts w:ascii="Arial" w:hAnsi="Arial"/>
          <w:sz w:val="22"/>
        </w:rPr>
        <w:t xml:space="preserve"> and technically </w:t>
      </w:r>
      <w:r w:rsidR="000D1A34">
        <w:rPr>
          <w:rFonts w:ascii="Arial" w:hAnsi="Arial"/>
          <w:sz w:val="22"/>
        </w:rPr>
        <w:t xml:space="preserve">viable </w:t>
      </w:r>
      <w:r w:rsidRPr="003C4AAA">
        <w:rPr>
          <w:rFonts w:ascii="Arial" w:hAnsi="Arial"/>
          <w:sz w:val="22"/>
        </w:rPr>
        <w:t xml:space="preserve">requests.  </w:t>
      </w:r>
    </w:p>
    <w:p w14:paraId="4CFD944D" w14:textId="77777777" w:rsidR="00500649" w:rsidRPr="00500649" w:rsidRDefault="00500649" w:rsidP="00500649">
      <w:pPr>
        <w:jc w:val="both"/>
        <w:rPr>
          <w:rFonts w:ascii="Arial" w:hAnsi="Arial"/>
          <w:sz w:val="22"/>
        </w:rPr>
      </w:pPr>
    </w:p>
    <w:p w14:paraId="5C2ABFE6" w14:textId="7585B8AD" w:rsidR="00D06B4C" w:rsidRDefault="00500649" w:rsidP="008014BA">
      <w:pPr>
        <w:pStyle w:val="Heading4"/>
      </w:pPr>
      <w:bookmarkStart w:id="123" w:name="_Information_Needed"/>
      <w:bookmarkEnd w:id="123"/>
      <w:r w:rsidRPr="00500649">
        <w:t>Information Needed</w:t>
      </w:r>
    </w:p>
    <w:p w14:paraId="37077CE1" w14:textId="07196B55" w:rsidR="00D06B4C" w:rsidRPr="003C4AAA" w:rsidRDefault="00D06B4C" w:rsidP="00D06B4C">
      <w:pPr>
        <w:jc w:val="both"/>
        <w:rPr>
          <w:rFonts w:ascii="Arial" w:hAnsi="Arial"/>
          <w:sz w:val="22"/>
        </w:rPr>
      </w:pPr>
      <w:r w:rsidRPr="003C4AAA">
        <w:rPr>
          <w:rFonts w:ascii="Arial" w:hAnsi="Arial"/>
          <w:sz w:val="22"/>
        </w:rPr>
        <w:t>The procedure described below is conducted after receiving a request (memo or e-mail request) from a customer Project Manager (PM). The following procedures are general guidelines to be followed by the PAGD Engineer. They may be adjusted, based on engineering judgment and discussion with the PAGD TL and the PAGD ADC-Design.</w:t>
      </w:r>
    </w:p>
    <w:p w14:paraId="354E8E25" w14:textId="77777777" w:rsidR="00D06B4C" w:rsidRPr="003C4AAA" w:rsidRDefault="00D06B4C" w:rsidP="00D06B4C">
      <w:pPr>
        <w:jc w:val="both"/>
        <w:rPr>
          <w:rFonts w:ascii="Arial" w:hAnsi="Arial"/>
          <w:sz w:val="22"/>
        </w:rPr>
      </w:pPr>
    </w:p>
    <w:p w14:paraId="21AFE315" w14:textId="6525D0A7" w:rsidR="00D06B4C" w:rsidRPr="003C4AAA" w:rsidRDefault="00D06B4C" w:rsidP="00D06B4C">
      <w:pPr>
        <w:jc w:val="both"/>
        <w:rPr>
          <w:rFonts w:ascii="Arial" w:hAnsi="Arial"/>
          <w:sz w:val="22"/>
        </w:rPr>
      </w:pPr>
      <w:r w:rsidRPr="003C4AAA">
        <w:rPr>
          <w:rFonts w:ascii="Arial" w:hAnsi="Arial"/>
          <w:sz w:val="22"/>
        </w:rPr>
        <w:t xml:space="preserve">Follow the steps below to start </w:t>
      </w:r>
      <w:r w:rsidR="000D1A34">
        <w:rPr>
          <w:rFonts w:ascii="Arial" w:hAnsi="Arial"/>
          <w:sz w:val="22"/>
        </w:rPr>
        <w:t>a</w:t>
      </w:r>
      <w:r w:rsidR="00E8444A">
        <w:rPr>
          <w:rFonts w:ascii="Arial" w:hAnsi="Arial"/>
          <w:sz w:val="22"/>
        </w:rPr>
        <w:t>ll</w:t>
      </w:r>
      <w:r w:rsidR="000D1A34">
        <w:rPr>
          <w:rFonts w:ascii="Arial" w:hAnsi="Arial"/>
          <w:sz w:val="22"/>
        </w:rPr>
        <w:t xml:space="preserve"> </w:t>
      </w:r>
      <w:r w:rsidR="0020546F">
        <w:rPr>
          <w:rFonts w:ascii="Arial" w:hAnsi="Arial"/>
          <w:sz w:val="22"/>
        </w:rPr>
        <w:t>r</w:t>
      </w:r>
      <w:r w:rsidRPr="003C4AAA">
        <w:rPr>
          <w:rFonts w:ascii="Arial" w:hAnsi="Arial"/>
          <w:sz w:val="22"/>
        </w:rPr>
        <w:t>equest</w:t>
      </w:r>
      <w:r w:rsidR="00E8444A">
        <w:rPr>
          <w:rFonts w:ascii="Arial" w:hAnsi="Arial"/>
          <w:sz w:val="22"/>
        </w:rPr>
        <w:t>s</w:t>
      </w:r>
      <w:r w:rsidRPr="003C4AAA">
        <w:rPr>
          <w:rFonts w:ascii="Arial" w:hAnsi="Arial"/>
          <w:sz w:val="22"/>
        </w:rPr>
        <w:t xml:space="preserve"> for </w:t>
      </w:r>
      <w:r w:rsidRPr="003C4AAA">
        <w:rPr>
          <w:rFonts w:ascii="Arial" w:hAnsi="Arial" w:cs="Arial"/>
          <w:sz w:val="22"/>
          <w:szCs w:val="22"/>
        </w:rPr>
        <w:t>new alignment</w:t>
      </w:r>
      <w:r w:rsidR="00695699">
        <w:rPr>
          <w:rFonts w:ascii="Arial" w:hAnsi="Arial" w:cs="Arial"/>
          <w:sz w:val="22"/>
          <w:szCs w:val="22"/>
        </w:rPr>
        <w:t xml:space="preserve"> projects</w:t>
      </w:r>
      <w:r w:rsidRPr="003C4AAA">
        <w:rPr>
          <w:rFonts w:ascii="Arial" w:hAnsi="Arial"/>
          <w:sz w:val="22"/>
        </w:rPr>
        <w:t>.</w:t>
      </w:r>
    </w:p>
    <w:p w14:paraId="453B13D8" w14:textId="6B5381B6" w:rsidR="00500649" w:rsidRDefault="00500649" w:rsidP="00172E64">
      <w:pPr>
        <w:numPr>
          <w:ilvl w:val="0"/>
          <w:numId w:val="39"/>
        </w:numPr>
        <w:tabs>
          <w:tab w:val="clear" w:pos="1872"/>
          <w:tab w:val="num" w:pos="1080"/>
        </w:tabs>
        <w:spacing w:before="240"/>
        <w:ind w:left="1080" w:hanging="1080"/>
        <w:jc w:val="both"/>
        <w:rPr>
          <w:rFonts w:ascii="Arial" w:hAnsi="Arial"/>
          <w:sz w:val="22"/>
        </w:rPr>
      </w:pPr>
      <w:r w:rsidRPr="00500649">
        <w:rPr>
          <w:rFonts w:ascii="Arial" w:hAnsi="Arial"/>
          <w:sz w:val="22"/>
        </w:rPr>
        <w:t>Review</w:t>
      </w:r>
      <w:r w:rsidR="00492B84">
        <w:rPr>
          <w:rFonts w:ascii="Arial" w:hAnsi="Arial"/>
          <w:sz w:val="22"/>
        </w:rPr>
        <w:t xml:space="preserve"> and conduct</w:t>
      </w:r>
      <w:r w:rsidRPr="00500649">
        <w:rPr>
          <w:rFonts w:ascii="Arial" w:hAnsi="Arial"/>
          <w:sz w:val="22"/>
        </w:rPr>
        <w:t xml:space="preserve"> </w:t>
      </w:r>
      <w:hyperlink w:anchor="_Preliminary_Procedures" w:history="1">
        <w:r w:rsidRPr="00500649">
          <w:rPr>
            <w:rStyle w:val="Hyperlink"/>
            <w:rFonts w:ascii="Arial" w:hAnsi="Arial"/>
            <w:sz w:val="22"/>
          </w:rPr>
          <w:t>Preliminary Procedures</w:t>
        </w:r>
      </w:hyperlink>
      <w:r w:rsidR="00E54421">
        <w:rPr>
          <w:rFonts w:ascii="Arial" w:hAnsi="Arial"/>
          <w:sz w:val="22"/>
        </w:rPr>
        <w:t>, Section 2</w:t>
      </w:r>
      <w:r w:rsidRPr="00500649">
        <w:rPr>
          <w:rFonts w:ascii="Arial" w:hAnsi="Arial"/>
          <w:sz w:val="22"/>
        </w:rPr>
        <w:t>.</w:t>
      </w:r>
    </w:p>
    <w:p w14:paraId="03DE551B" w14:textId="2C1F47B8" w:rsidR="00AE7D81" w:rsidRDefault="00AE7D81" w:rsidP="00172E64">
      <w:pPr>
        <w:numPr>
          <w:ilvl w:val="0"/>
          <w:numId w:val="39"/>
        </w:numPr>
        <w:tabs>
          <w:tab w:val="clear" w:pos="1872"/>
          <w:tab w:val="num" w:pos="1080"/>
        </w:tabs>
        <w:spacing w:before="120"/>
        <w:ind w:left="1080" w:hanging="1080"/>
        <w:jc w:val="both"/>
        <w:rPr>
          <w:rFonts w:ascii="Arial" w:hAnsi="Arial"/>
          <w:sz w:val="22"/>
        </w:rPr>
      </w:pPr>
      <w:r>
        <w:rPr>
          <w:rFonts w:ascii="Arial" w:hAnsi="Arial"/>
          <w:sz w:val="22"/>
        </w:rPr>
        <w:t xml:space="preserve">Review the “Summary of Geotechnical Design Elements and Delegation-DRAFT” worksheet (see Forms, Spreadsheets &amp; Guidelines) for the project. </w:t>
      </w:r>
    </w:p>
    <w:p w14:paraId="403D02D3" w14:textId="60AB39BA" w:rsidR="00A353B9" w:rsidRDefault="00A353B9" w:rsidP="00172E64">
      <w:pPr>
        <w:numPr>
          <w:ilvl w:val="0"/>
          <w:numId w:val="39"/>
        </w:numPr>
        <w:tabs>
          <w:tab w:val="num" w:pos="1080"/>
        </w:tabs>
        <w:spacing w:before="120"/>
        <w:ind w:left="1080" w:hanging="1080"/>
        <w:jc w:val="both"/>
        <w:rPr>
          <w:rFonts w:ascii="Arial" w:hAnsi="Arial"/>
          <w:sz w:val="22"/>
        </w:rPr>
      </w:pPr>
      <w:r w:rsidRPr="00500649">
        <w:rPr>
          <w:rFonts w:ascii="Arial" w:hAnsi="Arial"/>
          <w:sz w:val="22"/>
        </w:rPr>
        <w:t xml:space="preserve">Ask the </w:t>
      </w:r>
      <w:r w:rsidR="00DC462A">
        <w:rPr>
          <w:rFonts w:ascii="Arial" w:hAnsi="Arial"/>
          <w:sz w:val="22"/>
        </w:rPr>
        <w:t xml:space="preserve">customer </w:t>
      </w:r>
      <w:r w:rsidRPr="00500649">
        <w:rPr>
          <w:rFonts w:ascii="Arial" w:hAnsi="Arial"/>
          <w:sz w:val="22"/>
        </w:rPr>
        <w:t xml:space="preserve">Project Manager (PM) </w:t>
      </w:r>
      <w:r>
        <w:rPr>
          <w:rFonts w:ascii="Arial" w:hAnsi="Arial"/>
          <w:sz w:val="22"/>
        </w:rPr>
        <w:t xml:space="preserve">the type of project: </w:t>
      </w:r>
      <w:r w:rsidRPr="00A353B9">
        <w:rPr>
          <w:rFonts w:ascii="Arial" w:hAnsi="Arial"/>
          <w:sz w:val="22"/>
        </w:rPr>
        <w:t>roadway wideni</w:t>
      </w:r>
      <w:r>
        <w:rPr>
          <w:rFonts w:ascii="Arial" w:hAnsi="Arial"/>
          <w:sz w:val="22"/>
        </w:rPr>
        <w:t xml:space="preserve">ng or reconstruction projects; </w:t>
      </w:r>
      <w:r w:rsidRPr="00A353B9">
        <w:rPr>
          <w:rFonts w:ascii="Arial" w:hAnsi="Arial"/>
          <w:sz w:val="22"/>
        </w:rPr>
        <w:t xml:space="preserve">Stormwater Management; </w:t>
      </w:r>
      <w:r>
        <w:rPr>
          <w:rFonts w:ascii="Arial" w:hAnsi="Arial"/>
          <w:sz w:val="22"/>
        </w:rPr>
        <w:t>or</w:t>
      </w:r>
      <w:r w:rsidRPr="00A353B9">
        <w:rPr>
          <w:rFonts w:ascii="Arial" w:hAnsi="Arial"/>
          <w:sz w:val="22"/>
        </w:rPr>
        <w:t xml:space="preserve"> </w:t>
      </w:r>
      <w:r>
        <w:rPr>
          <w:rFonts w:ascii="Arial" w:hAnsi="Arial"/>
          <w:sz w:val="22"/>
        </w:rPr>
        <w:t>a project</w:t>
      </w:r>
      <w:r w:rsidRPr="00A353B9">
        <w:rPr>
          <w:rFonts w:ascii="Arial" w:hAnsi="Arial"/>
          <w:sz w:val="22"/>
        </w:rPr>
        <w:t xml:space="preserve"> involving structures.  </w:t>
      </w:r>
    </w:p>
    <w:p w14:paraId="44D37F0E" w14:textId="0A6D87EA" w:rsidR="00492B84" w:rsidRPr="00617D51" w:rsidRDefault="00617D51" w:rsidP="00172E64">
      <w:pPr>
        <w:pStyle w:val="ListNumber"/>
        <w:numPr>
          <w:ilvl w:val="0"/>
          <w:numId w:val="39"/>
        </w:numPr>
        <w:tabs>
          <w:tab w:val="num" w:pos="1080"/>
        </w:tabs>
        <w:ind w:left="1080" w:hanging="1080"/>
        <w:jc w:val="both"/>
      </w:pPr>
      <w:r>
        <w:lastRenderedPageBreak/>
        <w:t xml:space="preserve">Request </w:t>
      </w:r>
      <w:r w:rsidR="001F77F4">
        <w:t xml:space="preserve">and review </w:t>
      </w:r>
      <w:r>
        <w:t>cross-sections</w:t>
      </w:r>
      <w:r w:rsidR="00492B84" w:rsidRPr="00500649">
        <w:t xml:space="preserve"> </w:t>
      </w:r>
      <w:r>
        <w:t>and a PI set of plans including</w:t>
      </w:r>
      <w:r w:rsidRPr="00316117">
        <w:t xml:space="preserve"> </w:t>
      </w:r>
      <w:r w:rsidR="000D1A34">
        <w:t>typical sections</w:t>
      </w:r>
      <w:r w:rsidR="00492B84" w:rsidRPr="00500649">
        <w:t xml:space="preserve"> and profiles for the project.</w:t>
      </w:r>
      <w:r w:rsidRPr="00617D51">
        <w:t xml:space="preserve"> </w:t>
      </w:r>
      <w:r>
        <w:t xml:space="preserve">Request </w:t>
      </w:r>
      <w:r w:rsidR="00951164">
        <w:t xml:space="preserve">and review </w:t>
      </w:r>
      <w:r>
        <w:t>subsurface investigation data including previous borings.</w:t>
      </w:r>
    </w:p>
    <w:p w14:paraId="090FACAB" w14:textId="56A36C15" w:rsidR="001F77F4" w:rsidRDefault="00553ACC" w:rsidP="00172E64">
      <w:pPr>
        <w:numPr>
          <w:ilvl w:val="0"/>
          <w:numId w:val="39"/>
        </w:numPr>
        <w:tabs>
          <w:tab w:val="clear" w:pos="1872"/>
          <w:tab w:val="num" w:pos="1080"/>
        </w:tabs>
        <w:spacing w:before="120"/>
        <w:ind w:left="1080" w:hanging="1080"/>
        <w:jc w:val="both"/>
        <w:rPr>
          <w:rFonts w:ascii="Arial" w:hAnsi="Arial"/>
          <w:sz w:val="22"/>
        </w:rPr>
      </w:pPr>
      <w:r>
        <w:rPr>
          <w:rFonts w:ascii="Arial" w:hAnsi="Arial"/>
          <w:sz w:val="22"/>
        </w:rPr>
        <w:t>Review the Geologic M</w:t>
      </w:r>
      <w:r w:rsidR="00617D51">
        <w:rPr>
          <w:rFonts w:ascii="Arial" w:hAnsi="Arial"/>
          <w:sz w:val="22"/>
        </w:rPr>
        <w:t xml:space="preserve">aps, </w:t>
      </w:r>
      <w:r w:rsidR="00500649" w:rsidRPr="00500649">
        <w:rPr>
          <w:rFonts w:ascii="Arial" w:hAnsi="Arial"/>
          <w:sz w:val="22"/>
        </w:rPr>
        <w:t>USDA Maps</w:t>
      </w:r>
      <w:r w:rsidR="00617D51">
        <w:rPr>
          <w:rFonts w:ascii="Arial" w:hAnsi="Arial"/>
          <w:sz w:val="22"/>
        </w:rPr>
        <w:t>, and recent and historic aerial photos</w:t>
      </w:r>
      <w:r w:rsidR="00500649" w:rsidRPr="00500649">
        <w:rPr>
          <w:rFonts w:ascii="Arial" w:hAnsi="Arial"/>
          <w:sz w:val="22"/>
        </w:rPr>
        <w:t xml:space="preserve"> of the area.  </w:t>
      </w:r>
      <w:r w:rsidR="00500649" w:rsidRPr="00702874">
        <w:rPr>
          <w:rFonts w:ascii="Arial" w:hAnsi="Arial"/>
          <w:sz w:val="22"/>
        </w:rPr>
        <w:t>Identify soil types in area, with corresponding engineering properties</w:t>
      </w:r>
      <w:r w:rsidR="00336D5D" w:rsidRPr="00702874">
        <w:rPr>
          <w:rFonts w:ascii="Arial" w:hAnsi="Arial"/>
          <w:sz w:val="22"/>
        </w:rPr>
        <w:t>.</w:t>
      </w:r>
      <w:r w:rsidR="00336D5D">
        <w:rPr>
          <w:rFonts w:ascii="Arial" w:hAnsi="Arial"/>
          <w:sz w:val="22"/>
        </w:rPr>
        <w:t xml:space="preserve">  Identify type of bedrock and probable depth to rock</w:t>
      </w:r>
      <w:r w:rsidR="00500649" w:rsidRPr="00500649">
        <w:rPr>
          <w:rFonts w:ascii="Arial" w:hAnsi="Arial"/>
          <w:sz w:val="22"/>
        </w:rPr>
        <w:t>.</w:t>
      </w:r>
      <w:r w:rsidR="00E54421">
        <w:rPr>
          <w:rFonts w:ascii="Arial" w:hAnsi="Arial"/>
          <w:sz w:val="22"/>
        </w:rPr>
        <w:t xml:space="preserve"> </w:t>
      </w:r>
    </w:p>
    <w:p w14:paraId="0E80679A" w14:textId="0FF721D7" w:rsidR="00E54421" w:rsidRDefault="001F77F4" w:rsidP="00172E64">
      <w:pPr>
        <w:numPr>
          <w:ilvl w:val="0"/>
          <w:numId w:val="39"/>
        </w:numPr>
        <w:tabs>
          <w:tab w:val="clear" w:pos="1872"/>
          <w:tab w:val="num" w:pos="1080"/>
        </w:tabs>
        <w:spacing w:before="120"/>
        <w:ind w:left="1080" w:hanging="1080"/>
        <w:jc w:val="both"/>
        <w:rPr>
          <w:rFonts w:ascii="Arial" w:hAnsi="Arial"/>
          <w:sz w:val="22"/>
        </w:rPr>
      </w:pPr>
      <w:r>
        <w:rPr>
          <w:rFonts w:ascii="Arial" w:hAnsi="Arial"/>
          <w:sz w:val="22"/>
        </w:rPr>
        <w:t xml:space="preserve">Coordinate with EGD to </w:t>
      </w:r>
      <w:r w:rsidR="00336D5D">
        <w:rPr>
          <w:rFonts w:ascii="Arial" w:hAnsi="Arial"/>
          <w:sz w:val="22"/>
        </w:rPr>
        <w:t>i</w:t>
      </w:r>
      <w:r w:rsidR="00E54421">
        <w:rPr>
          <w:rFonts w:ascii="Arial" w:hAnsi="Arial"/>
          <w:sz w:val="22"/>
        </w:rPr>
        <w:t xml:space="preserve">dentify potential geologic hazards including karst, landslides, </w:t>
      </w:r>
      <w:r w:rsidR="00336D5D">
        <w:rPr>
          <w:rFonts w:ascii="Arial" w:hAnsi="Arial"/>
          <w:sz w:val="22"/>
        </w:rPr>
        <w:t xml:space="preserve">and </w:t>
      </w:r>
      <w:r w:rsidR="00E54421">
        <w:rPr>
          <w:rFonts w:ascii="Arial" w:hAnsi="Arial"/>
          <w:sz w:val="22"/>
        </w:rPr>
        <w:t>soft soils.</w:t>
      </w:r>
      <w:r w:rsidR="00553ACC">
        <w:rPr>
          <w:rFonts w:ascii="Arial" w:hAnsi="Arial"/>
          <w:sz w:val="22"/>
        </w:rPr>
        <w:t xml:space="preserve"> </w:t>
      </w:r>
    </w:p>
    <w:p w14:paraId="2129D88A" w14:textId="008B0DC3" w:rsidR="00E54421" w:rsidRDefault="00E54421" w:rsidP="00172E64">
      <w:pPr>
        <w:numPr>
          <w:ilvl w:val="0"/>
          <w:numId w:val="39"/>
        </w:numPr>
        <w:tabs>
          <w:tab w:val="num" w:pos="1080"/>
        </w:tabs>
        <w:spacing w:before="120"/>
        <w:ind w:left="1080" w:hanging="1080"/>
        <w:jc w:val="both"/>
        <w:rPr>
          <w:rFonts w:ascii="Arial" w:hAnsi="Arial"/>
          <w:sz w:val="22"/>
        </w:rPr>
      </w:pPr>
      <w:r w:rsidRPr="00500649">
        <w:rPr>
          <w:rFonts w:ascii="Arial" w:hAnsi="Arial"/>
          <w:sz w:val="22"/>
        </w:rPr>
        <w:t xml:space="preserve">Review </w:t>
      </w:r>
      <w:r>
        <w:rPr>
          <w:rFonts w:ascii="Arial" w:hAnsi="Arial"/>
          <w:sz w:val="22"/>
        </w:rPr>
        <w:t xml:space="preserve">proposed and </w:t>
      </w:r>
      <w:r w:rsidRPr="00500649">
        <w:rPr>
          <w:rFonts w:ascii="Arial" w:hAnsi="Arial"/>
          <w:sz w:val="22"/>
        </w:rPr>
        <w:t>as-built plans</w:t>
      </w:r>
      <w:r w:rsidR="00617D51">
        <w:rPr>
          <w:rFonts w:ascii="Arial" w:hAnsi="Arial"/>
          <w:sz w:val="22"/>
        </w:rPr>
        <w:t xml:space="preserve"> </w:t>
      </w:r>
      <w:r w:rsidRPr="00500649">
        <w:rPr>
          <w:rFonts w:ascii="Arial" w:hAnsi="Arial"/>
          <w:sz w:val="22"/>
        </w:rPr>
        <w:t xml:space="preserve">to check for unique features.  Identify </w:t>
      </w:r>
      <w:r w:rsidR="00617D51">
        <w:rPr>
          <w:rFonts w:ascii="Arial" w:hAnsi="Arial"/>
          <w:sz w:val="22"/>
        </w:rPr>
        <w:t>physical</w:t>
      </w:r>
      <w:r w:rsidRPr="00500649">
        <w:rPr>
          <w:rFonts w:ascii="Arial" w:hAnsi="Arial"/>
          <w:sz w:val="22"/>
        </w:rPr>
        <w:t xml:space="preserve"> features that could interfere with </w:t>
      </w:r>
      <w:r>
        <w:rPr>
          <w:rFonts w:ascii="Arial" w:hAnsi="Arial"/>
          <w:sz w:val="22"/>
        </w:rPr>
        <w:t>field explorations</w:t>
      </w:r>
      <w:r w:rsidRPr="00500649">
        <w:rPr>
          <w:rFonts w:ascii="Arial" w:hAnsi="Arial"/>
          <w:sz w:val="22"/>
        </w:rPr>
        <w:t>.</w:t>
      </w:r>
    </w:p>
    <w:p w14:paraId="4C671017" w14:textId="77777777" w:rsidR="00500649" w:rsidRPr="00702874" w:rsidRDefault="00500649" w:rsidP="00172E64">
      <w:pPr>
        <w:numPr>
          <w:ilvl w:val="0"/>
          <w:numId w:val="39"/>
        </w:numPr>
        <w:tabs>
          <w:tab w:val="clear" w:pos="1872"/>
          <w:tab w:val="num" w:pos="1080"/>
        </w:tabs>
        <w:spacing w:before="120"/>
        <w:ind w:left="1080" w:hanging="1080"/>
        <w:jc w:val="both"/>
        <w:rPr>
          <w:rFonts w:ascii="Arial" w:hAnsi="Arial"/>
          <w:sz w:val="22"/>
        </w:rPr>
      </w:pPr>
      <w:r w:rsidRPr="00702874">
        <w:rPr>
          <w:rFonts w:ascii="Arial" w:hAnsi="Arial"/>
          <w:sz w:val="22"/>
        </w:rPr>
        <w:t>Ask the PM if there are any contamination issues (gas stations, junk yards, dry cleaners, etc.).  Find out where and what the contamination is.  Contact EGD and ask for a contact.</w:t>
      </w:r>
    </w:p>
    <w:p w14:paraId="2897F986" w14:textId="77777777" w:rsidR="00492B84" w:rsidRDefault="00492B84" w:rsidP="00172E64">
      <w:pPr>
        <w:numPr>
          <w:ilvl w:val="0"/>
          <w:numId w:val="39"/>
        </w:numPr>
        <w:tabs>
          <w:tab w:val="clear" w:pos="1872"/>
          <w:tab w:val="num" w:pos="1080"/>
        </w:tabs>
        <w:spacing w:before="120"/>
        <w:ind w:left="1080" w:hanging="1080"/>
        <w:jc w:val="both"/>
        <w:rPr>
          <w:rFonts w:ascii="Arial" w:hAnsi="Arial"/>
          <w:sz w:val="22"/>
        </w:rPr>
      </w:pPr>
      <w:r w:rsidRPr="00500649">
        <w:rPr>
          <w:rFonts w:ascii="Arial" w:hAnsi="Arial"/>
          <w:sz w:val="22"/>
        </w:rPr>
        <w:t xml:space="preserve">Obtain a copy of the utilities plan located within the project limits if the location of utilities is not shown on the plans.  </w:t>
      </w:r>
    </w:p>
    <w:p w14:paraId="28E122CA" w14:textId="69B0756B" w:rsidR="00500649" w:rsidRDefault="00500649" w:rsidP="00172E64">
      <w:pPr>
        <w:numPr>
          <w:ilvl w:val="0"/>
          <w:numId w:val="39"/>
        </w:numPr>
        <w:tabs>
          <w:tab w:val="clear" w:pos="1872"/>
          <w:tab w:val="num" w:pos="1080"/>
        </w:tabs>
        <w:spacing w:before="120"/>
        <w:ind w:left="1080" w:hanging="1080"/>
        <w:jc w:val="both"/>
        <w:rPr>
          <w:rFonts w:ascii="Arial" w:hAnsi="Arial"/>
          <w:sz w:val="22"/>
        </w:rPr>
      </w:pPr>
      <w:r w:rsidRPr="00500649">
        <w:rPr>
          <w:rFonts w:ascii="Arial" w:hAnsi="Arial"/>
          <w:sz w:val="22"/>
        </w:rPr>
        <w:t xml:space="preserve">Inform the </w:t>
      </w:r>
      <w:r w:rsidR="00DC462A">
        <w:rPr>
          <w:rFonts w:ascii="Arial" w:hAnsi="Arial"/>
          <w:sz w:val="22"/>
        </w:rPr>
        <w:t xml:space="preserve">customer </w:t>
      </w:r>
      <w:r w:rsidRPr="00500649">
        <w:rPr>
          <w:rFonts w:ascii="Arial" w:hAnsi="Arial"/>
          <w:sz w:val="22"/>
        </w:rPr>
        <w:t xml:space="preserve">PM that </w:t>
      </w:r>
      <w:r w:rsidR="00492B84" w:rsidRPr="00500649">
        <w:rPr>
          <w:rFonts w:ascii="Arial" w:hAnsi="Arial"/>
          <w:sz w:val="22"/>
        </w:rPr>
        <w:t xml:space="preserve">permission to enter the property will be required </w:t>
      </w:r>
      <w:r w:rsidRPr="00500649">
        <w:rPr>
          <w:rFonts w:ascii="Arial" w:hAnsi="Arial"/>
          <w:sz w:val="22"/>
        </w:rPr>
        <w:t xml:space="preserve">if </w:t>
      </w:r>
      <w:r w:rsidR="007F2DBF">
        <w:rPr>
          <w:rFonts w:ascii="Arial" w:hAnsi="Arial"/>
          <w:sz w:val="22"/>
        </w:rPr>
        <w:t>field explorations</w:t>
      </w:r>
      <w:r w:rsidRPr="00500649">
        <w:rPr>
          <w:rFonts w:ascii="Arial" w:hAnsi="Arial"/>
          <w:sz w:val="22"/>
        </w:rPr>
        <w:t xml:space="preserve"> outside of SHA </w:t>
      </w:r>
      <w:r w:rsidR="00492B84">
        <w:rPr>
          <w:rFonts w:ascii="Arial" w:hAnsi="Arial"/>
          <w:sz w:val="22"/>
        </w:rPr>
        <w:t>right of way (</w:t>
      </w:r>
      <w:r w:rsidRPr="00500649">
        <w:rPr>
          <w:rFonts w:ascii="Arial" w:hAnsi="Arial"/>
          <w:sz w:val="22"/>
        </w:rPr>
        <w:t>ROW</w:t>
      </w:r>
      <w:r w:rsidR="00492B84">
        <w:rPr>
          <w:rFonts w:ascii="Arial" w:hAnsi="Arial"/>
          <w:sz w:val="22"/>
        </w:rPr>
        <w:t xml:space="preserve">) </w:t>
      </w:r>
      <w:r w:rsidR="001D07DC">
        <w:rPr>
          <w:rFonts w:ascii="Arial" w:hAnsi="Arial"/>
          <w:sz w:val="22"/>
        </w:rPr>
        <w:t xml:space="preserve">are </w:t>
      </w:r>
      <w:r w:rsidR="00492B84">
        <w:rPr>
          <w:rFonts w:ascii="Arial" w:hAnsi="Arial"/>
          <w:sz w:val="22"/>
        </w:rPr>
        <w:t>necessary</w:t>
      </w:r>
      <w:r w:rsidRPr="00500649">
        <w:rPr>
          <w:rFonts w:ascii="Arial" w:hAnsi="Arial"/>
          <w:sz w:val="22"/>
        </w:rPr>
        <w:t xml:space="preserve">.  The contact names and phone numbers for residential/private business owners affected by </w:t>
      </w:r>
      <w:r w:rsidR="007F2DBF">
        <w:rPr>
          <w:rFonts w:ascii="Arial" w:hAnsi="Arial"/>
          <w:sz w:val="22"/>
        </w:rPr>
        <w:t>the work</w:t>
      </w:r>
      <w:r w:rsidRPr="00500649">
        <w:rPr>
          <w:rFonts w:ascii="Arial" w:hAnsi="Arial"/>
          <w:sz w:val="22"/>
        </w:rPr>
        <w:t xml:space="preserve"> should be obtained.  If work is being done on or near a Federal Government installation</w:t>
      </w:r>
      <w:r w:rsidR="000D1A34">
        <w:rPr>
          <w:rFonts w:ascii="Arial" w:hAnsi="Arial"/>
          <w:sz w:val="22"/>
        </w:rPr>
        <w:t>,</w:t>
      </w:r>
      <w:r w:rsidRPr="00500649">
        <w:rPr>
          <w:rFonts w:ascii="Arial" w:hAnsi="Arial"/>
          <w:sz w:val="22"/>
        </w:rPr>
        <w:t xml:space="preserve"> a contact name and number </w:t>
      </w:r>
      <w:r w:rsidR="000D1A34">
        <w:rPr>
          <w:rFonts w:ascii="Arial" w:hAnsi="Arial"/>
          <w:sz w:val="22"/>
        </w:rPr>
        <w:t>are</w:t>
      </w:r>
      <w:r w:rsidRPr="00500649">
        <w:rPr>
          <w:rFonts w:ascii="Arial" w:hAnsi="Arial"/>
          <w:sz w:val="22"/>
        </w:rPr>
        <w:t xml:space="preserve"> needed.</w:t>
      </w:r>
      <w:r w:rsidRPr="00702874">
        <w:rPr>
          <w:rFonts w:ascii="Arial" w:hAnsi="Arial"/>
          <w:sz w:val="22"/>
        </w:rPr>
        <w:t xml:space="preserve">  Inquire if the PM has populated property owner information into the Property Notification System and if the General Notification letters have been sent.  </w:t>
      </w:r>
      <w:r w:rsidRPr="00500649">
        <w:rPr>
          <w:rFonts w:ascii="Arial" w:hAnsi="Arial"/>
          <w:sz w:val="22"/>
        </w:rPr>
        <w:t xml:space="preserve">If </w:t>
      </w:r>
      <w:r w:rsidR="007F2DBF">
        <w:rPr>
          <w:rFonts w:ascii="Arial" w:hAnsi="Arial"/>
          <w:sz w:val="22"/>
        </w:rPr>
        <w:t>work i</w:t>
      </w:r>
      <w:r w:rsidRPr="00500649">
        <w:rPr>
          <w:rFonts w:ascii="Arial" w:hAnsi="Arial"/>
          <w:sz w:val="22"/>
        </w:rPr>
        <w:t xml:space="preserve">s proposed outside SHA ROW, </w:t>
      </w:r>
      <w:r w:rsidR="00492B84">
        <w:rPr>
          <w:rFonts w:ascii="Arial" w:hAnsi="Arial"/>
          <w:sz w:val="22"/>
        </w:rPr>
        <w:t>i</w:t>
      </w:r>
      <w:r w:rsidRPr="00500649">
        <w:rPr>
          <w:rFonts w:ascii="Arial" w:hAnsi="Arial"/>
          <w:sz w:val="22"/>
        </w:rPr>
        <w:t>nvasive letters need to be sent by OMT via registered mail to affec</w:t>
      </w:r>
      <w:r w:rsidR="000D1A34">
        <w:rPr>
          <w:rFonts w:ascii="Arial" w:hAnsi="Arial"/>
          <w:sz w:val="22"/>
        </w:rPr>
        <w:t>ted property owners only.  A 30-</w:t>
      </w:r>
      <w:r w:rsidRPr="00500649">
        <w:rPr>
          <w:rFonts w:ascii="Arial" w:hAnsi="Arial"/>
          <w:sz w:val="22"/>
        </w:rPr>
        <w:t>day period to allow property owners to respond must be observed.</w:t>
      </w:r>
    </w:p>
    <w:p w14:paraId="3C429F2B" w14:textId="5F57B079" w:rsidR="00A353B9" w:rsidRDefault="00A353B9" w:rsidP="00172E64">
      <w:pPr>
        <w:numPr>
          <w:ilvl w:val="0"/>
          <w:numId w:val="39"/>
        </w:numPr>
        <w:tabs>
          <w:tab w:val="clear" w:pos="1872"/>
          <w:tab w:val="num" w:pos="1080"/>
        </w:tabs>
        <w:spacing w:before="120"/>
        <w:ind w:left="1080" w:hanging="1080"/>
        <w:jc w:val="both"/>
        <w:rPr>
          <w:rFonts w:ascii="Arial" w:hAnsi="Arial"/>
          <w:sz w:val="22"/>
        </w:rPr>
      </w:pPr>
      <w:r w:rsidRPr="00500649">
        <w:rPr>
          <w:rFonts w:ascii="Arial" w:hAnsi="Arial"/>
          <w:sz w:val="22"/>
        </w:rPr>
        <w:t xml:space="preserve">If the project involves new construction/re-alignment and the proposed traverses wooded areas significantly off of the existing roadway, coordinate with the </w:t>
      </w:r>
      <w:r w:rsidR="00DC462A">
        <w:rPr>
          <w:rFonts w:ascii="Arial" w:hAnsi="Arial"/>
          <w:sz w:val="22"/>
        </w:rPr>
        <w:t xml:space="preserve">customer </w:t>
      </w:r>
      <w:r w:rsidRPr="00500649">
        <w:rPr>
          <w:rFonts w:ascii="Arial" w:hAnsi="Arial"/>
          <w:sz w:val="22"/>
        </w:rPr>
        <w:t xml:space="preserve">PM to have the base line staked </w:t>
      </w:r>
      <w:r>
        <w:rPr>
          <w:rFonts w:ascii="Arial" w:hAnsi="Arial"/>
          <w:sz w:val="22"/>
        </w:rPr>
        <w:t>for accurate locating</w:t>
      </w:r>
      <w:r w:rsidRPr="00500649">
        <w:rPr>
          <w:rFonts w:ascii="Arial" w:hAnsi="Arial"/>
          <w:sz w:val="22"/>
        </w:rPr>
        <w:t xml:space="preserve">. </w:t>
      </w:r>
    </w:p>
    <w:p w14:paraId="2B41FA4D" w14:textId="31958B80" w:rsidR="00E54421" w:rsidRPr="001D07DC" w:rsidRDefault="00500649" w:rsidP="00172E64">
      <w:pPr>
        <w:numPr>
          <w:ilvl w:val="0"/>
          <w:numId w:val="39"/>
        </w:numPr>
        <w:tabs>
          <w:tab w:val="clear" w:pos="1872"/>
          <w:tab w:val="num" w:pos="1080"/>
        </w:tabs>
        <w:spacing w:before="120"/>
        <w:ind w:left="1080" w:hanging="1080"/>
        <w:jc w:val="both"/>
        <w:rPr>
          <w:rFonts w:ascii="Arial" w:hAnsi="Arial"/>
          <w:i/>
          <w:sz w:val="22"/>
        </w:rPr>
      </w:pPr>
      <w:r w:rsidRPr="00702874">
        <w:rPr>
          <w:rFonts w:ascii="Arial" w:hAnsi="Arial"/>
          <w:sz w:val="22"/>
        </w:rPr>
        <w:t xml:space="preserve">Perform Site Reconnaissance (Refer to </w:t>
      </w:r>
      <w:hyperlink w:anchor="_Site_Reconnaissance" w:history="1">
        <w:r w:rsidRPr="00702874">
          <w:rPr>
            <w:rStyle w:val="Hyperlink"/>
            <w:rFonts w:ascii="Arial" w:hAnsi="Arial"/>
            <w:sz w:val="22"/>
          </w:rPr>
          <w:t>Site Reconnaissance</w:t>
        </w:r>
      </w:hyperlink>
      <w:r w:rsidRPr="00702874">
        <w:rPr>
          <w:rFonts w:ascii="Arial" w:hAnsi="Arial"/>
          <w:sz w:val="22"/>
        </w:rPr>
        <w:t>).</w:t>
      </w:r>
      <w:r w:rsidR="009F27CE">
        <w:rPr>
          <w:rFonts w:ascii="Arial" w:hAnsi="Arial"/>
          <w:sz w:val="22"/>
        </w:rPr>
        <w:t xml:space="preserve">  Identify potential geologic hazards, physical obstructions that could interfere with field explorations, note current site use and ground cover. Take photographs of the areas with potential hazards and physical obstructions, and </w:t>
      </w:r>
      <w:r w:rsidR="007F2DBF">
        <w:rPr>
          <w:rFonts w:ascii="Arial" w:hAnsi="Arial"/>
          <w:sz w:val="22"/>
        </w:rPr>
        <w:t xml:space="preserve">locations of the </w:t>
      </w:r>
      <w:r w:rsidR="009F27CE">
        <w:rPr>
          <w:rFonts w:ascii="Arial" w:hAnsi="Arial"/>
          <w:sz w:val="22"/>
        </w:rPr>
        <w:t>proposed explorations.</w:t>
      </w:r>
    </w:p>
    <w:p w14:paraId="3466E743" w14:textId="77777777" w:rsidR="001D07DC" w:rsidRPr="00702874" w:rsidRDefault="001D07DC" w:rsidP="00702874">
      <w:pPr>
        <w:spacing w:before="120"/>
        <w:ind w:left="1080"/>
        <w:jc w:val="both"/>
        <w:rPr>
          <w:rFonts w:ascii="Arial" w:hAnsi="Arial"/>
          <w:i/>
          <w:sz w:val="22"/>
        </w:rPr>
      </w:pPr>
    </w:p>
    <w:p w14:paraId="1A7621BD" w14:textId="34FC9B50" w:rsidR="00492B84" w:rsidRPr="00795D2A" w:rsidRDefault="000B3E72" w:rsidP="003B0918">
      <w:pPr>
        <w:pStyle w:val="Heading4"/>
      </w:pPr>
      <w:r>
        <w:t>Procedure</w:t>
      </w:r>
      <w:r w:rsidR="00800B6A">
        <w:t xml:space="preserve"> to </w:t>
      </w:r>
      <w:r w:rsidR="00DB3D87">
        <w:t>Determine Investigation Methods</w:t>
      </w:r>
      <w:r w:rsidR="00D06B4C">
        <w:t xml:space="preserve"> </w:t>
      </w:r>
    </w:p>
    <w:p w14:paraId="6ECE9162" w14:textId="21B3B3D2" w:rsidR="00695699" w:rsidRDefault="00E0703C" w:rsidP="008014BA">
      <w:pPr>
        <w:jc w:val="both"/>
        <w:rPr>
          <w:rFonts w:ascii="Arial" w:hAnsi="Arial" w:cs="Arial"/>
          <w:sz w:val="22"/>
          <w:szCs w:val="22"/>
        </w:rPr>
      </w:pPr>
      <w:r>
        <w:rPr>
          <w:rFonts w:ascii="Arial" w:hAnsi="Arial" w:cs="Arial"/>
          <w:sz w:val="22"/>
          <w:szCs w:val="22"/>
        </w:rPr>
        <w:t xml:space="preserve">Once the PAGD engineer has gathered the information required in </w:t>
      </w:r>
      <w:hyperlink w:anchor="_Pavement_Design_Procedures" w:history="1">
        <w:r w:rsidRPr="0020546F">
          <w:rPr>
            <w:rStyle w:val="Hyperlink"/>
            <w:rFonts w:ascii="Arial" w:hAnsi="Arial" w:cs="Arial"/>
            <w:i/>
            <w:sz w:val="22"/>
            <w:szCs w:val="22"/>
          </w:rPr>
          <w:t>Section 2 Preliminary Procedures</w:t>
        </w:r>
      </w:hyperlink>
      <w:r w:rsidRPr="0020546F">
        <w:rPr>
          <w:rFonts w:ascii="Arial" w:hAnsi="Arial" w:cs="Arial"/>
          <w:sz w:val="22"/>
          <w:szCs w:val="22"/>
        </w:rPr>
        <w:t xml:space="preserve"> and </w:t>
      </w:r>
      <w:hyperlink w:anchor="_Information_Needed" w:history="1">
        <w:r w:rsidRPr="0020546F">
          <w:rPr>
            <w:rStyle w:val="Hyperlink"/>
            <w:rFonts w:ascii="Arial" w:hAnsi="Arial" w:cs="Arial"/>
            <w:i/>
            <w:sz w:val="22"/>
            <w:szCs w:val="22"/>
          </w:rPr>
          <w:t>Section 3.06.04.01 Information Needed</w:t>
        </w:r>
      </w:hyperlink>
      <w:r w:rsidRPr="0020546F">
        <w:rPr>
          <w:rFonts w:ascii="Arial" w:hAnsi="Arial" w:cs="Arial"/>
          <w:sz w:val="22"/>
          <w:szCs w:val="22"/>
        </w:rPr>
        <w:t xml:space="preserve">, </w:t>
      </w:r>
      <w:r w:rsidR="0029163B" w:rsidRPr="0020546F">
        <w:rPr>
          <w:rFonts w:ascii="Arial" w:hAnsi="Arial" w:cs="Arial"/>
          <w:sz w:val="22"/>
          <w:szCs w:val="22"/>
        </w:rPr>
        <w:t>the P</w:t>
      </w:r>
      <w:r w:rsidR="0029163B" w:rsidRPr="00293210">
        <w:rPr>
          <w:rFonts w:ascii="Arial" w:hAnsi="Arial" w:cs="Arial"/>
          <w:sz w:val="22"/>
          <w:szCs w:val="22"/>
        </w:rPr>
        <w:t>AGD Engineer</w:t>
      </w:r>
      <w:r>
        <w:rPr>
          <w:rFonts w:ascii="Arial" w:hAnsi="Arial" w:cs="Arial"/>
          <w:sz w:val="22"/>
          <w:szCs w:val="22"/>
        </w:rPr>
        <w:t xml:space="preserve"> </w:t>
      </w:r>
      <w:r w:rsidR="0029163B">
        <w:rPr>
          <w:rFonts w:ascii="Arial" w:hAnsi="Arial" w:cs="Arial"/>
          <w:sz w:val="22"/>
          <w:szCs w:val="22"/>
        </w:rPr>
        <w:t>should go through the following process</w:t>
      </w:r>
      <w:r>
        <w:rPr>
          <w:rFonts w:ascii="Arial" w:hAnsi="Arial" w:cs="Arial"/>
          <w:sz w:val="22"/>
          <w:szCs w:val="22"/>
        </w:rPr>
        <w:t xml:space="preserve"> to determine </w:t>
      </w:r>
      <w:r w:rsidR="007E5CE2">
        <w:rPr>
          <w:rFonts w:ascii="Arial" w:hAnsi="Arial" w:cs="Arial"/>
          <w:sz w:val="22"/>
          <w:szCs w:val="22"/>
        </w:rPr>
        <w:t>if the project is a good candidate for geophysical</w:t>
      </w:r>
      <w:r>
        <w:rPr>
          <w:rFonts w:ascii="Arial" w:hAnsi="Arial" w:cs="Arial"/>
          <w:sz w:val="22"/>
          <w:szCs w:val="22"/>
        </w:rPr>
        <w:t xml:space="preserve"> investigation methods.  </w:t>
      </w:r>
      <w:r w:rsidR="00932915">
        <w:rPr>
          <w:rFonts w:ascii="Arial" w:hAnsi="Arial" w:cs="Arial"/>
          <w:sz w:val="22"/>
          <w:szCs w:val="22"/>
        </w:rPr>
        <w:t>C</w:t>
      </w:r>
      <w:r w:rsidR="000C62C9">
        <w:rPr>
          <w:rFonts w:ascii="Arial" w:hAnsi="Arial" w:cs="Arial"/>
          <w:sz w:val="22"/>
          <w:szCs w:val="22"/>
        </w:rPr>
        <w:t>onsult with EGD and discuss with the customer</w:t>
      </w:r>
      <w:r w:rsidR="00932915">
        <w:rPr>
          <w:rFonts w:ascii="Arial" w:hAnsi="Arial" w:cs="Arial"/>
          <w:sz w:val="22"/>
          <w:szCs w:val="22"/>
        </w:rPr>
        <w:t xml:space="preserve"> </w:t>
      </w:r>
      <w:r w:rsidR="00DC462A">
        <w:rPr>
          <w:rFonts w:ascii="Arial" w:hAnsi="Arial" w:cs="Arial"/>
          <w:sz w:val="22"/>
          <w:szCs w:val="22"/>
        </w:rPr>
        <w:t xml:space="preserve">PM </w:t>
      </w:r>
      <w:r w:rsidR="00932915">
        <w:rPr>
          <w:rFonts w:ascii="Arial" w:hAnsi="Arial" w:cs="Arial"/>
          <w:sz w:val="22"/>
          <w:szCs w:val="22"/>
        </w:rPr>
        <w:t>as needed</w:t>
      </w:r>
      <w:r w:rsidR="000C62C9">
        <w:rPr>
          <w:rFonts w:ascii="Arial" w:hAnsi="Arial" w:cs="Arial"/>
          <w:sz w:val="22"/>
          <w:szCs w:val="22"/>
        </w:rPr>
        <w:t xml:space="preserve"> to answer the questions.</w:t>
      </w:r>
    </w:p>
    <w:p w14:paraId="6211D82F" w14:textId="77777777" w:rsidR="00267821" w:rsidRDefault="00267821" w:rsidP="008014BA">
      <w:pPr>
        <w:jc w:val="both"/>
        <w:rPr>
          <w:rFonts w:ascii="Arial" w:hAnsi="Arial"/>
          <w:sz w:val="22"/>
        </w:rPr>
      </w:pPr>
    </w:p>
    <w:p w14:paraId="099FB9B2" w14:textId="77777777" w:rsidR="0020546F" w:rsidRDefault="0020546F">
      <w:pPr>
        <w:rPr>
          <w:rFonts w:ascii="Arial" w:hAnsi="Arial" w:cs="Arial"/>
          <w:sz w:val="22"/>
          <w:szCs w:val="22"/>
        </w:rPr>
      </w:pPr>
      <w:r>
        <w:rPr>
          <w:rFonts w:ascii="Arial" w:hAnsi="Arial" w:cs="Arial"/>
          <w:sz w:val="22"/>
          <w:szCs w:val="22"/>
        </w:rPr>
        <w:br w:type="page"/>
      </w:r>
    </w:p>
    <w:p w14:paraId="702D3F1C" w14:textId="2EA6057B" w:rsidR="00143F7A" w:rsidRDefault="002B0485" w:rsidP="001D07DC">
      <w:pPr>
        <w:ind w:left="1080" w:hanging="1080"/>
        <w:jc w:val="both"/>
        <w:rPr>
          <w:rFonts w:ascii="Arial" w:hAnsi="Arial"/>
          <w:sz w:val="22"/>
        </w:rPr>
      </w:pPr>
      <w:r>
        <w:rPr>
          <w:rFonts w:ascii="Arial" w:hAnsi="Arial"/>
          <w:sz w:val="22"/>
        </w:rPr>
        <w:lastRenderedPageBreak/>
        <w:t>Step 1</w:t>
      </w:r>
      <w:r w:rsidR="001D07DC">
        <w:rPr>
          <w:rFonts w:ascii="Arial" w:hAnsi="Arial"/>
          <w:sz w:val="22"/>
        </w:rPr>
        <w:t>.</w:t>
      </w:r>
      <w:r w:rsidR="001D07DC">
        <w:rPr>
          <w:rFonts w:ascii="Arial" w:hAnsi="Arial"/>
          <w:sz w:val="22"/>
        </w:rPr>
        <w:tab/>
        <w:t>D</w:t>
      </w:r>
      <w:r w:rsidR="00267821">
        <w:rPr>
          <w:rFonts w:ascii="Arial" w:hAnsi="Arial"/>
          <w:sz w:val="22"/>
        </w:rPr>
        <w:t xml:space="preserve">etermine the </w:t>
      </w:r>
      <w:r w:rsidR="0029163B">
        <w:rPr>
          <w:rFonts w:ascii="Arial" w:hAnsi="Arial"/>
          <w:sz w:val="22"/>
        </w:rPr>
        <w:t>general size of the project:</w:t>
      </w:r>
      <w:r w:rsidR="00267821">
        <w:rPr>
          <w:rFonts w:ascii="Arial" w:hAnsi="Arial"/>
          <w:sz w:val="22"/>
        </w:rPr>
        <w:t xml:space="preserve"> small or large.</w:t>
      </w:r>
      <w:r w:rsidR="00EF7103">
        <w:rPr>
          <w:rFonts w:ascii="Arial" w:hAnsi="Arial"/>
          <w:sz w:val="22"/>
        </w:rPr>
        <w:t xml:space="preserve"> </w:t>
      </w:r>
      <w:r w:rsidR="00143F7A">
        <w:rPr>
          <w:rFonts w:ascii="Arial" w:hAnsi="Arial"/>
          <w:sz w:val="22"/>
        </w:rPr>
        <w:t xml:space="preserve">  </w:t>
      </w:r>
    </w:p>
    <w:p w14:paraId="4FA3A9D2" w14:textId="77777777" w:rsidR="0020546F" w:rsidRDefault="0020546F" w:rsidP="00AE2B63">
      <w:pPr>
        <w:jc w:val="both"/>
        <w:rPr>
          <w:rFonts w:ascii="Arial" w:hAnsi="Arial"/>
          <w:sz w:val="22"/>
        </w:rPr>
      </w:pPr>
    </w:p>
    <w:p w14:paraId="621859DB" w14:textId="322CFA94" w:rsidR="00AE2B63" w:rsidRDefault="00267821" w:rsidP="002B0485">
      <w:pPr>
        <w:ind w:left="1440"/>
        <w:jc w:val="both"/>
        <w:rPr>
          <w:rFonts w:ascii="Arial" w:hAnsi="Arial"/>
          <w:sz w:val="22"/>
        </w:rPr>
      </w:pPr>
      <w:r w:rsidRPr="00AE2B63">
        <w:rPr>
          <w:rFonts w:ascii="Arial" w:hAnsi="Arial"/>
          <w:sz w:val="22"/>
          <w:u w:val="single"/>
        </w:rPr>
        <w:t>Small projects</w:t>
      </w:r>
      <w:r>
        <w:rPr>
          <w:rFonts w:ascii="Arial" w:hAnsi="Arial"/>
          <w:sz w:val="22"/>
        </w:rPr>
        <w:t xml:space="preserve">: </w:t>
      </w:r>
      <w:r w:rsidR="001D07DC">
        <w:rPr>
          <w:rFonts w:ascii="Arial" w:hAnsi="Arial"/>
          <w:sz w:val="22"/>
        </w:rPr>
        <w:t xml:space="preserve"> L</w:t>
      </w:r>
      <w:r>
        <w:rPr>
          <w:rFonts w:ascii="Arial" w:hAnsi="Arial"/>
          <w:sz w:val="22"/>
        </w:rPr>
        <w:t>ess than 15 borings</w:t>
      </w:r>
      <w:r w:rsidR="00A71BAF">
        <w:rPr>
          <w:rFonts w:ascii="Arial" w:hAnsi="Arial"/>
          <w:sz w:val="22"/>
        </w:rPr>
        <w:t xml:space="preserve"> and/</w:t>
      </w:r>
      <w:r w:rsidR="00E57164">
        <w:rPr>
          <w:rFonts w:ascii="Arial" w:hAnsi="Arial"/>
          <w:sz w:val="22"/>
        </w:rPr>
        <w:t xml:space="preserve">or a routine or intermediate project per Access Management Division (AMD) guidelines </w:t>
      </w:r>
    </w:p>
    <w:p w14:paraId="6406F7A1" w14:textId="77777777" w:rsidR="00AE2B63" w:rsidRDefault="00AE2B63" w:rsidP="002B0485">
      <w:pPr>
        <w:ind w:left="720"/>
        <w:jc w:val="both"/>
        <w:rPr>
          <w:rFonts w:ascii="Arial" w:hAnsi="Arial"/>
          <w:sz w:val="22"/>
        </w:rPr>
      </w:pPr>
    </w:p>
    <w:p w14:paraId="16D0EFE1" w14:textId="13655F83" w:rsidR="00503754" w:rsidRDefault="00AE2B63" w:rsidP="001D07DC">
      <w:pPr>
        <w:ind w:left="1080"/>
        <w:jc w:val="both"/>
        <w:rPr>
          <w:rFonts w:ascii="Arial" w:hAnsi="Arial"/>
          <w:sz w:val="22"/>
        </w:rPr>
      </w:pPr>
      <w:r>
        <w:rPr>
          <w:rFonts w:ascii="Arial" w:hAnsi="Arial"/>
          <w:sz w:val="22"/>
        </w:rPr>
        <w:t xml:space="preserve">Geophysical technologies will generally not be </w:t>
      </w:r>
      <w:r w:rsidR="00EF7103">
        <w:rPr>
          <w:rFonts w:ascii="Arial" w:hAnsi="Arial"/>
          <w:sz w:val="22"/>
        </w:rPr>
        <w:t xml:space="preserve">used </w:t>
      </w:r>
      <w:r>
        <w:rPr>
          <w:rFonts w:ascii="Arial" w:hAnsi="Arial"/>
          <w:sz w:val="22"/>
        </w:rPr>
        <w:t xml:space="preserve">for small projects.  Continue to </w:t>
      </w:r>
      <w:hyperlink w:anchor="Geot_Field_Work" w:history="1">
        <w:r w:rsidRPr="0020546F">
          <w:rPr>
            <w:rStyle w:val="Hyperlink"/>
            <w:rFonts w:ascii="Arial" w:hAnsi="Arial"/>
            <w:i/>
            <w:sz w:val="22"/>
          </w:rPr>
          <w:t>Section 3.08 Requests for Geotechnical Field Work</w:t>
        </w:r>
      </w:hyperlink>
      <w:r w:rsidRPr="00B3243B">
        <w:rPr>
          <w:rFonts w:ascii="Arial" w:hAnsi="Arial"/>
          <w:i/>
          <w:sz w:val="22"/>
        </w:rPr>
        <w:t xml:space="preserve"> </w:t>
      </w:r>
      <w:r w:rsidRPr="00B3243B">
        <w:rPr>
          <w:rFonts w:ascii="Arial" w:hAnsi="Arial"/>
          <w:sz w:val="22"/>
        </w:rPr>
        <w:t>f</w:t>
      </w:r>
      <w:r w:rsidRPr="00E0703C">
        <w:rPr>
          <w:rFonts w:ascii="Arial" w:hAnsi="Arial"/>
          <w:sz w:val="22"/>
        </w:rPr>
        <w:t>or guidance on requesting borings.</w:t>
      </w:r>
      <w:r>
        <w:rPr>
          <w:rFonts w:ascii="Arial" w:hAnsi="Arial"/>
          <w:sz w:val="22"/>
        </w:rPr>
        <w:t xml:space="preserve"> However, geophysical technologies may</w:t>
      </w:r>
      <w:r w:rsidR="001D07DC">
        <w:rPr>
          <w:rFonts w:ascii="Arial" w:hAnsi="Arial"/>
          <w:sz w:val="22"/>
        </w:rPr>
        <w:t xml:space="preserve"> </w:t>
      </w:r>
      <w:r>
        <w:rPr>
          <w:rFonts w:ascii="Arial" w:hAnsi="Arial"/>
          <w:sz w:val="22"/>
        </w:rPr>
        <w:t xml:space="preserve">be </w:t>
      </w:r>
      <w:r w:rsidR="00EF7103">
        <w:rPr>
          <w:rFonts w:ascii="Arial" w:hAnsi="Arial"/>
          <w:sz w:val="22"/>
        </w:rPr>
        <w:t>appropriate</w:t>
      </w:r>
      <w:r>
        <w:rPr>
          <w:rFonts w:ascii="Arial" w:hAnsi="Arial"/>
          <w:sz w:val="22"/>
        </w:rPr>
        <w:t xml:space="preserve"> for small projects with unique situations</w:t>
      </w:r>
      <w:r w:rsidR="0020546F">
        <w:rPr>
          <w:rFonts w:ascii="Arial" w:hAnsi="Arial"/>
          <w:sz w:val="22"/>
        </w:rPr>
        <w:t>;</w:t>
      </w:r>
      <w:r>
        <w:rPr>
          <w:rFonts w:ascii="Arial" w:hAnsi="Arial"/>
          <w:sz w:val="22"/>
        </w:rPr>
        <w:t xml:space="preserve"> for example</w:t>
      </w:r>
      <w:r w:rsidR="0020546F">
        <w:rPr>
          <w:rFonts w:ascii="Arial" w:hAnsi="Arial"/>
          <w:sz w:val="22"/>
        </w:rPr>
        <w:t>,</w:t>
      </w:r>
      <w:r>
        <w:rPr>
          <w:rFonts w:ascii="Arial" w:hAnsi="Arial"/>
          <w:sz w:val="22"/>
        </w:rPr>
        <w:t xml:space="preserve"> </w:t>
      </w:r>
      <w:r w:rsidR="00EF7103">
        <w:rPr>
          <w:rFonts w:ascii="Arial" w:hAnsi="Arial"/>
          <w:sz w:val="22"/>
        </w:rPr>
        <w:t>in an area with</w:t>
      </w:r>
      <w:r>
        <w:rPr>
          <w:rFonts w:ascii="Arial" w:hAnsi="Arial"/>
          <w:sz w:val="22"/>
        </w:rPr>
        <w:t xml:space="preserve"> limited access for a drill rig</w:t>
      </w:r>
      <w:r w:rsidR="00503754">
        <w:rPr>
          <w:rFonts w:ascii="Arial" w:hAnsi="Arial"/>
          <w:sz w:val="22"/>
        </w:rPr>
        <w:t>, or where geophysics may be useful for the project needs such as:</w:t>
      </w:r>
    </w:p>
    <w:p w14:paraId="73C64F70" w14:textId="47F0EF49" w:rsidR="00503754" w:rsidRDefault="00503754" w:rsidP="00172E64">
      <w:pPr>
        <w:pStyle w:val="ListParagraph"/>
        <w:numPr>
          <w:ilvl w:val="0"/>
          <w:numId w:val="180"/>
        </w:numPr>
        <w:ind w:left="1440"/>
        <w:jc w:val="both"/>
        <w:rPr>
          <w:rFonts w:ascii="Arial" w:hAnsi="Arial"/>
          <w:sz w:val="22"/>
        </w:rPr>
      </w:pPr>
      <w:r>
        <w:rPr>
          <w:rFonts w:ascii="Arial" w:hAnsi="Arial"/>
          <w:sz w:val="22"/>
        </w:rPr>
        <w:t>Locating and delineating underground voids</w:t>
      </w:r>
    </w:p>
    <w:p w14:paraId="5C442609" w14:textId="58DF5E8C" w:rsidR="00503754" w:rsidRDefault="00503754" w:rsidP="00172E64">
      <w:pPr>
        <w:pStyle w:val="ListParagraph"/>
        <w:numPr>
          <w:ilvl w:val="0"/>
          <w:numId w:val="180"/>
        </w:numPr>
        <w:ind w:left="1440"/>
        <w:jc w:val="both"/>
        <w:rPr>
          <w:rFonts w:ascii="Arial" w:hAnsi="Arial"/>
          <w:sz w:val="22"/>
        </w:rPr>
      </w:pPr>
      <w:r>
        <w:rPr>
          <w:rFonts w:ascii="Arial" w:hAnsi="Arial"/>
          <w:sz w:val="22"/>
        </w:rPr>
        <w:t>Highly variable subsurface conditions (bedrock surface in karst, etc.)</w:t>
      </w:r>
    </w:p>
    <w:p w14:paraId="293E1F9C" w14:textId="3FFC9B28" w:rsidR="00503754" w:rsidRDefault="00503754" w:rsidP="00172E64">
      <w:pPr>
        <w:pStyle w:val="ListParagraph"/>
        <w:numPr>
          <w:ilvl w:val="0"/>
          <w:numId w:val="180"/>
        </w:numPr>
        <w:ind w:left="1440"/>
        <w:jc w:val="both"/>
        <w:rPr>
          <w:rFonts w:ascii="Arial" w:hAnsi="Arial"/>
          <w:sz w:val="22"/>
        </w:rPr>
      </w:pPr>
      <w:r>
        <w:rPr>
          <w:rFonts w:ascii="Arial" w:hAnsi="Arial"/>
          <w:sz w:val="22"/>
        </w:rPr>
        <w:t>Locating underground tanks, and other structures</w:t>
      </w:r>
    </w:p>
    <w:p w14:paraId="33FFA542" w14:textId="7B52BF55" w:rsidR="00503754" w:rsidRDefault="00503754" w:rsidP="00172E64">
      <w:pPr>
        <w:pStyle w:val="ListParagraph"/>
        <w:numPr>
          <w:ilvl w:val="0"/>
          <w:numId w:val="180"/>
        </w:numPr>
        <w:ind w:left="1440"/>
        <w:jc w:val="both"/>
        <w:rPr>
          <w:rFonts w:ascii="Arial" w:hAnsi="Arial"/>
          <w:sz w:val="22"/>
        </w:rPr>
      </w:pPr>
      <w:r>
        <w:rPr>
          <w:rFonts w:ascii="Arial" w:hAnsi="Arial"/>
          <w:sz w:val="22"/>
        </w:rPr>
        <w:t xml:space="preserve">Locating contaminant plumes, or groundwater </w:t>
      </w:r>
      <w:r w:rsidR="00143F7A">
        <w:rPr>
          <w:rFonts w:ascii="Arial" w:hAnsi="Arial"/>
          <w:sz w:val="22"/>
        </w:rPr>
        <w:t>conditions</w:t>
      </w:r>
    </w:p>
    <w:p w14:paraId="4C9F4DD2" w14:textId="77777777" w:rsidR="001D07DC" w:rsidRDefault="001D07DC" w:rsidP="001D07DC">
      <w:pPr>
        <w:pStyle w:val="ListParagraph"/>
        <w:ind w:left="1440"/>
        <w:jc w:val="both"/>
        <w:rPr>
          <w:rFonts w:ascii="Arial" w:hAnsi="Arial"/>
          <w:sz w:val="22"/>
        </w:rPr>
      </w:pPr>
    </w:p>
    <w:p w14:paraId="69C301B8" w14:textId="30830A21" w:rsidR="00267821" w:rsidRPr="00143F7A" w:rsidRDefault="00AE2B63" w:rsidP="001D07DC">
      <w:pPr>
        <w:ind w:left="1080"/>
        <w:jc w:val="both"/>
        <w:rPr>
          <w:rFonts w:ascii="Arial" w:hAnsi="Arial"/>
          <w:sz w:val="22"/>
        </w:rPr>
      </w:pPr>
      <w:r w:rsidRPr="00143F7A">
        <w:rPr>
          <w:rFonts w:ascii="Arial" w:hAnsi="Arial"/>
          <w:sz w:val="22"/>
        </w:rPr>
        <w:t>Discuss with your Team Leader and/or EGD in th</w:t>
      </w:r>
      <w:r w:rsidR="00503754">
        <w:rPr>
          <w:rFonts w:ascii="Arial" w:hAnsi="Arial"/>
          <w:sz w:val="22"/>
        </w:rPr>
        <w:t>ese</w:t>
      </w:r>
      <w:r w:rsidRPr="00143F7A">
        <w:rPr>
          <w:rFonts w:ascii="Arial" w:hAnsi="Arial"/>
          <w:sz w:val="22"/>
        </w:rPr>
        <w:t xml:space="preserve"> situation</w:t>
      </w:r>
      <w:r w:rsidR="00503754">
        <w:rPr>
          <w:rFonts w:ascii="Arial" w:hAnsi="Arial"/>
          <w:sz w:val="22"/>
        </w:rPr>
        <w:t>s</w:t>
      </w:r>
      <w:r w:rsidRPr="00143F7A">
        <w:rPr>
          <w:rFonts w:ascii="Arial" w:hAnsi="Arial"/>
          <w:sz w:val="22"/>
        </w:rPr>
        <w:t xml:space="preserve">. </w:t>
      </w:r>
      <w:r w:rsidR="00143F7A">
        <w:rPr>
          <w:rFonts w:ascii="Arial" w:hAnsi="Arial"/>
          <w:sz w:val="22"/>
        </w:rPr>
        <w:t>Typically EGD will take lead on these projects.</w:t>
      </w:r>
    </w:p>
    <w:p w14:paraId="71860647" w14:textId="77777777" w:rsidR="00267821" w:rsidRDefault="00267821" w:rsidP="002B0485">
      <w:pPr>
        <w:ind w:left="1440"/>
        <w:jc w:val="both"/>
        <w:rPr>
          <w:rFonts w:ascii="Arial" w:hAnsi="Arial"/>
          <w:sz w:val="22"/>
        </w:rPr>
      </w:pPr>
    </w:p>
    <w:p w14:paraId="4A80AEEA" w14:textId="49DB3DA6" w:rsidR="00AE2B63" w:rsidRDefault="00267821" w:rsidP="002B0485">
      <w:pPr>
        <w:ind w:left="1440"/>
        <w:jc w:val="both"/>
        <w:rPr>
          <w:rFonts w:ascii="Arial" w:hAnsi="Arial"/>
          <w:sz w:val="22"/>
        </w:rPr>
      </w:pPr>
      <w:r w:rsidRPr="00AE2B63">
        <w:rPr>
          <w:rFonts w:ascii="Arial" w:hAnsi="Arial"/>
          <w:sz w:val="22"/>
          <w:u w:val="single"/>
        </w:rPr>
        <w:t>Large projects</w:t>
      </w:r>
      <w:r>
        <w:rPr>
          <w:rFonts w:ascii="Arial" w:hAnsi="Arial"/>
          <w:sz w:val="22"/>
        </w:rPr>
        <w:t xml:space="preserve">: </w:t>
      </w:r>
      <w:r w:rsidR="001D07DC">
        <w:rPr>
          <w:rFonts w:ascii="Arial" w:hAnsi="Arial"/>
          <w:sz w:val="22"/>
        </w:rPr>
        <w:t xml:space="preserve"> </w:t>
      </w:r>
      <w:r w:rsidR="00CB2615">
        <w:rPr>
          <w:rFonts w:ascii="Arial" w:hAnsi="Arial"/>
          <w:sz w:val="22"/>
        </w:rPr>
        <w:t>M</w:t>
      </w:r>
      <w:r>
        <w:rPr>
          <w:rFonts w:ascii="Arial" w:hAnsi="Arial"/>
          <w:sz w:val="22"/>
        </w:rPr>
        <w:t xml:space="preserve">ore than 15 borings and/or </w:t>
      </w:r>
      <w:r w:rsidR="00143F7A">
        <w:rPr>
          <w:rFonts w:ascii="Arial" w:hAnsi="Arial"/>
          <w:sz w:val="22"/>
        </w:rPr>
        <w:t>a</w:t>
      </w:r>
      <w:r w:rsidR="00E57164">
        <w:rPr>
          <w:rFonts w:ascii="Arial" w:hAnsi="Arial"/>
          <w:sz w:val="22"/>
        </w:rPr>
        <w:t xml:space="preserve"> major project per AMD </w:t>
      </w:r>
      <w:r w:rsidR="00143F7A">
        <w:rPr>
          <w:rFonts w:ascii="Arial" w:hAnsi="Arial"/>
          <w:sz w:val="22"/>
        </w:rPr>
        <w:t>guidelines</w:t>
      </w:r>
    </w:p>
    <w:p w14:paraId="445C91DE" w14:textId="77777777" w:rsidR="00AE2B63" w:rsidRDefault="00AE2B63" w:rsidP="002B0485">
      <w:pPr>
        <w:ind w:left="720"/>
        <w:jc w:val="both"/>
        <w:rPr>
          <w:rFonts w:ascii="Arial" w:hAnsi="Arial"/>
          <w:sz w:val="22"/>
        </w:rPr>
      </w:pPr>
    </w:p>
    <w:p w14:paraId="52DFD8E7" w14:textId="7AD8EAB5" w:rsidR="00AE2B63" w:rsidRDefault="00AE2B63" w:rsidP="001D07DC">
      <w:pPr>
        <w:ind w:left="1080"/>
        <w:jc w:val="both"/>
        <w:rPr>
          <w:rFonts w:ascii="Arial" w:hAnsi="Arial"/>
          <w:sz w:val="22"/>
        </w:rPr>
      </w:pPr>
      <w:r>
        <w:rPr>
          <w:rFonts w:ascii="Arial" w:hAnsi="Arial"/>
          <w:sz w:val="22"/>
        </w:rPr>
        <w:t xml:space="preserve">Geophysical technologies may be </w:t>
      </w:r>
      <w:r w:rsidR="00EF7103">
        <w:rPr>
          <w:rFonts w:ascii="Arial" w:hAnsi="Arial"/>
          <w:sz w:val="22"/>
        </w:rPr>
        <w:t>useful for larger projects.  Proceed to answer</w:t>
      </w:r>
      <w:r>
        <w:rPr>
          <w:rFonts w:ascii="Arial" w:hAnsi="Arial"/>
          <w:sz w:val="22"/>
        </w:rPr>
        <w:t xml:space="preserve"> the following questions to determine if geophysical technologies should be considered on a project.  </w:t>
      </w:r>
    </w:p>
    <w:p w14:paraId="49312FB9" w14:textId="49EE340F" w:rsidR="00457322" w:rsidRDefault="002B0485" w:rsidP="00C878B8">
      <w:pPr>
        <w:spacing w:before="120"/>
        <w:ind w:left="1080" w:hanging="1080"/>
        <w:jc w:val="both"/>
        <w:rPr>
          <w:rFonts w:ascii="Arial" w:hAnsi="Arial"/>
          <w:sz w:val="22"/>
        </w:rPr>
      </w:pPr>
      <w:r>
        <w:rPr>
          <w:rFonts w:ascii="Arial" w:hAnsi="Arial"/>
          <w:sz w:val="22"/>
        </w:rPr>
        <w:t>Step 2</w:t>
      </w:r>
      <w:r w:rsidR="001D07DC">
        <w:rPr>
          <w:rFonts w:ascii="Arial" w:hAnsi="Arial"/>
          <w:sz w:val="22"/>
        </w:rPr>
        <w:t>.</w:t>
      </w:r>
      <w:r w:rsidR="001D07DC">
        <w:rPr>
          <w:rFonts w:ascii="Arial" w:hAnsi="Arial"/>
          <w:sz w:val="22"/>
        </w:rPr>
        <w:tab/>
        <w:t>An</w:t>
      </w:r>
      <w:r>
        <w:rPr>
          <w:rFonts w:ascii="Arial" w:hAnsi="Arial"/>
          <w:sz w:val="22"/>
        </w:rPr>
        <w:t>swer the following questions</w:t>
      </w:r>
      <w:r w:rsidR="001D07DC">
        <w:rPr>
          <w:rFonts w:ascii="Arial" w:hAnsi="Arial"/>
          <w:sz w:val="22"/>
        </w:rPr>
        <w:t>:</w:t>
      </w:r>
    </w:p>
    <w:p w14:paraId="772EE182" w14:textId="77777777" w:rsidR="001D07DC" w:rsidRDefault="001D07DC" w:rsidP="002B0485">
      <w:pPr>
        <w:ind w:left="360"/>
        <w:jc w:val="both"/>
        <w:rPr>
          <w:rFonts w:ascii="Arial" w:hAnsi="Arial"/>
          <w:sz w:val="22"/>
        </w:rPr>
      </w:pPr>
    </w:p>
    <w:p w14:paraId="0995402C" w14:textId="6C992D45" w:rsidR="00854E4C" w:rsidRDefault="00854E4C" w:rsidP="001D07DC">
      <w:pPr>
        <w:ind w:left="1080"/>
        <w:jc w:val="both"/>
        <w:rPr>
          <w:rFonts w:ascii="Arial" w:hAnsi="Arial"/>
          <w:sz w:val="22"/>
        </w:rPr>
      </w:pPr>
      <w:r>
        <w:rPr>
          <w:rFonts w:ascii="Arial" w:hAnsi="Arial"/>
          <w:sz w:val="22"/>
        </w:rPr>
        <w:t>Question 1</w:t>
      </w:r>
      <w:r w:rsidR="00E0442C">
        <w:rPr>
          <w:rFonts w:ascii="Arial" w:hAnsi="Arial"/>
          <w:sz w:val="22"/>
        </w:rPr>
        <w:t xml:space="preserve"> – Type of Project</w:t>
      </w:r>
      <w:r>
        <w:rPr>
          <w:rFonts w:ascii="Arial" w:hAnsi="Arial"/>
          <w:sz w:val="22"/>
        </w:rPr>
        <w:t xml:space="preserve">: </w:t>
      </w:r>
    </w:p>
    <w:p w14:paraId="789B444D" w14:textId="517B8135" w:rsidR="00922A85" w:rsidRDefault="00854E4C" w:rsidP="001D07DC">
      <w:pPr>
        <w:pStyle w:val="ListParagraph"/>
        <w:ind w:left="1440"/>
        <w:jc w:val="both"/>
        <w:rPr>
          <w:rFonts w:ascii="Arial" w:hAnsi="Arial"/>
          <w:sz w:val="22"/>
        </w:rPr>
      </w:pPr>
      <w:r>
        <w:rPr>
          <w:rFonts w:ascii="Arial" w:hAnsi="Arial"/>
          <w:sz w:val="22"/>
        </w:rPr>
        <w:t xml:space="preserve">Will this project include an </w:t>
      </w:r>
      <w:hyperlink w:anchor="Adv_Geot_rept" w:history="1">
        <w:r w:rsidRPr="0020546F">
          <w:rPr>
            <w:rStyle w:val="Hyperlink"/>
            <w:rFonts w:ascii="Arial" w:hAnsi="Arial"/>
            <w:i/>
            <w:sz w:val="22"/>
          </w:rPr>
          <w:t>Advanced Geotech</w:t>
        </w:r>
        <w:r w:rsidR="00E47002" w:rsidRPr="0020546F">
          <w:rPr>
            <w:rStyle w:val="Hyperlink"/>
            <w:rFonts w:ascii="Arial" w:hAnsi="Arial"/>
            <w:i/>
            <w:sz w:val="22"/>
          </w:rPr>
          <w:t>n</w:t>
        </w:r>
        <w:r w:rsidR="00143F7A" w:rsidRPr="0020546F">
          <w:rPr>
            <w:rStyle w:val="Hyperlink"/>
            <w:rFonts w:ascii="Arial" w:hAnsi="Arial"/>
            <w:i/>
            <w:sz w:val="22"/>
          </w:rPr>
          <w:t xml:space="preserve">ical Report, </w:t>
        </w:r>
        <w:r w:rsidR="00922A85" w:rsidRPr="0020546F">
          <w:rPr>
            <w:rStyle w:val="Hyperlink"/>
            <w:rFonts w:ascii="Arial" w:hAnsi="Arial"/>
            <w:i/>
            <w:sz w:val="22"/>
          </w:rPr>
          <w:t>Section 8.02</w:t>
        </w:r>
      </w:hyperlink>
      <w:r w:rsidR="00922A85" w:rsidRPr="0020546F">
        <w:rPr>
          <w:rFonts w:ascii="Arial" w:hAnsi="Arial"/>
          <w:sz w:val="22"/>
        </w:rPr>
        <w:t>?</w:t>
      </w:r>
    </w:p>
    <w:p w14:paraId="0C49E69A" w14:textId="0728DA43" w:rsidR="00854E4C" w:rsidRPr="005C6C47" w:rsidRDefault="00E47002" w:rsidP="00172E64">
      <w:pPr>
        <w:pStyle w:val="ListParagraph"/>
        <w:numPr>
          <w:ilvl w:val="1"/>
          <w:numId w:val="150"/>
        </w:numPr>
        <w:ind w:left="1800"/>
        <w:jc w:val="both"/>
        <w:rPr>
          <w:rFonts w:ascii="Arial" w:hAnsi="Arial" w:cs="Arial"/>
          <w:sz w:val="22"/>
          <w:szCs w:val="22"/>
        </w:rPr>
      </w:pPr>
      <w:r>
        <w:rPr>
          <w:rFonts w:ascii="Arial" w:hAnsi="Arial"/>
          <w:sz w:val="22"/>
        </w:rPr>
        <w:t>Projects of this type</w:t>
      </w:r>
      <w:r w:rsidR="00E0442C">
        <w:rPr>
          <w:rFonts w:ascii="Arial" w:hAnsi="Arial"/>
          <w:sz w:val="22"/>
        </w:rPr>
        <w:t xml:space="preserve"> include</w:t>
      </w:r>
      <w:r>
        <w:rPr>
          <w:rFonts w:ascii="Arial" w:hAnsi="Arial"/>
          <w:sz w:val="22"/>
        </w:rPr>
        <w:t xml:space="preserve"> </w:t>
      </w:r>
      <w:r w:rsidR="00E0442C">
        <w:rPr>
          <w:rFonts w:ascii="Arial" w:hAnsi="Arial"/>
          <w:sz w:val="22"/>
        </w:rPr>
        <w:t xml:space="preserve">line and grade approval, realignments, or new projects.  Typically a </w:t>
      </w:r>
      <w:r w:rsidR="00854E4C">
        <w:rPr>
          <w:rFonts w:ascii="Arial" w:hAnsi="Arial"/>
          <w:sz w:val="22"/>
        </w:rPr>
        <w:t xml:space="preserve">limited subsurface investigation </w:t>
      </w:r>
      <w:r w:rsidR="00E0442C">
        <w:rPr>
          <w:rFonts w:ascii="Arial" w:hAnsi="Arial"/>
          <w:sz w:val="22"/>
        </w:rPr>
        <w:t xml:space="preserve">is </w:t>
      </w:r>
      <w:r w:rsidR="00854E4C">
        <w:rPr>
          <w:rFonts w:ascii="Arial" w:hAnsi="Arial"/>
          <w:sz w:val="22"/>
        </w:rPr>
        <w:t>conducted prior to a co</w:t>
      </w:r>
      <w:r w:rsidR="00E0442C">
        <w:rPr>
          <w:rFonts w:ascii="Arial" w:hAnsi="Arial"/>
          <w:sz w:val="22"/>
        </w:rPr>
        <w:t xml:space="preserve">mplete subsurface </w:t>
      </w:r>
      <w:r w:rsidR="00E0442C" w:rsidRPr="005C6C47">
        <w:rPr>
          <w:rFonts w:ascii="Arial" w:hAnsi="Arial" w:cs="Arial"/>
          <w:sz w:val="22"/>
          <w:szCs w:val="22"/>
        </w:rPr>
        <w:t>investigation.</w:t>
      </w:r>
      <w:r w:rsidR="005C6C47" w:rsidRPr="00143F7A">
        <w:rPr>
          <w:rFonts w:ascii="Arial" w:hAnsi="Arial" w:cs="Arial"/>
          <w:sz w:val="22"/>
          <w:szCs w:val="22"/>
        </w:rPr>
        <w:t xml:space="preserve"> Geophysics may be useful to collect preliminary subsurface information for these projects.</w:t>
      </w:r>
    </w:p>
    <w:p w14:paraId="706026A1" w14:textId="77777777" w:rsidR="00267821" w:rsidRDefault="00267821" w:rsidP="002B0485">
      <w:pPr>
        <w:ind w:left="360"/>
        <w:jc w:val="both"/>
        <w:rPr>
          <w:rFonts w:ascii="Arial" w:hAnsi="Arial"/>
          <w:sz w:val="22"/>
        </w:rPr>
      </w:pPr>
    </w:p>
    <w:p w14:paraId="05827342" w14:textId="52155AFC" w:rsidR="00E0442C" w:rsidRDefault="00F0799E" w:rsidP="001D07DC">
      <w:pPr>
        <w:ind w:left="1080"/>
        <w:jc w:val="both"/>
        <w:rPr>
          <w:rFonts w:ascii="Arial" w:hAnsi="Arial"/>
          <w:sz w:val="22"/>
        </w:rPr>
      </w:pPr>
      <w:r>
        <w:rPr>
          <w:rFonts w:ascii="Arial" w:hAnsi="Arial"/>
          <w:sz w:val="22"/>
        </w:rPr>
        <w:t>Question 2</w:t>
      </w:r>
      <w:r w:rsidR="00E0442C">
        <w:rPr>
          <w:rFonts w:ascii="Arial" w:hAnsi="Arial"/>
          <w:sz w:val="22"/>
        </w:rPr>
        <w:t xml:space="preserve"> – </w:t>
      </w:r>
      <w:r w:rsidR="001138B2">
        <w:rPr>
          <w:rFonts w:ascii="Arial" w:hAnsi="Arial"/>
          <w:sz w:val="22"/>
        </w:rPr>
        <w:t>Applications</w:t>
      </w:r>
      <w:r>
        <w:rPr>
          <w:rFonts w:ascii="Arial" w:hAnsi="Arial"/>
          <w:sz w:val="22"/>
        </w:rPr>
        <w:t xml:space="preserve">: </w:t>
      </w:r>
    </w:p>
    <w:p w14:paraId="27115EC4" w14:textId="42BA70EF" w:rsidR="0039215C" w:rsidRDefault="0039215C" w:rsidP="001D07DC">
      <w:pPr>
        <w:pStyle w:val="ListParagraph"/>
        <w:ind w:left="1440"/>
        <w:jc w:val="both"/>
        <w:rPr>
          <w:rFonts w:ascii="Arial" w:hAnsi="Arial"/>
          <w:sz w:val="22"/>
        </w:rPr>
      </w:pPr>
      <w:r>
        <w:rPr>
          <w:rFonts w:ascii="Arial" w:hAnsi="Arial"/>
          <w:sz w:val="22"/>
        </w:rPr>
        <w:t>Does the project or site include one or more of the following subsurface condition</w:t>
      </w:r>
      <w:r w:rsidR="000B5AF1">
        <w:rPr>
          <w:rFonts w:ascii="Arial" w:hAnsi="Arial"/>
          <w:sz w:val="22"/>
        </w:rPr>
        <w:t>s</w:t>
      </w:r>
      <w:r>
        <w:rPr>
          <w:rFonts w:ascii="Arial" w:hAnsi="Arial"/>
          <w:sz w:val="22"/>
        </w:rPr>
        <w:t xml:space="preserve"> or application</w:t>
      </w:r>
      <w:r w:rsidR="000B5AF1">
        <w:rPr>
          <w:rFonts w:ascii="Arial" w:hAnsi="Arial"/>
          <w:sz w:val="22"/>
        </w:rPr>
        <w:t>s</w:t>
      </w:r>
      <w:r>
        <w:rPr>
          <w:rFonts w:ascii="Arial" w:hAnsi="Arial"/>
          <w:sz w:val="22"/>
        </w:rPr>
        <w:t>?</w:t>
      </w:r>
    </w:p>
    <w:p w14:paraId="73D650D0" w14:textId="058B5EB7" w:rsidR="000B5AF1" w:rsidRDefault="00F0799E" w:rsidP="00172E64">
      <w:pPr>
        <w:pStyle w:val="ListParagraph"/>
        <w:numPr>
          <w:ilvl w:val="0"/>
          <w:numId w:val="158"/>
        </w:numPr>
        <w:ind w:left="1800"/>
        <w:jc w:val="both"/>
        <w:rPr>
          <w:rFonts w:ascii="Arial" w:hAnsi="Arial"/>
          <w:sz w:val="22"/>
        </w:rPr>
      </w:pPr>
      <w:r w:rsidRPr="004B4A41">
        <w:rPr>
          <w:rFonts w:ascii="Arial" w:hAnsi="Arial"/>
          <w:sz w:val="22"/>
        </w:rPr>
        <w:t xml:space="preserve">Bedrock </w:t>
      </w:r>
      <w:r w:rsidR="00E0442C" w:rsidRPr="004B4A41">
        <w:rPr>
          <w:rFonts w:ascii="Arial" w:hAnsi="Arial"/>
          <w:sz w:val="22"/>
        </w:rPr>
        <w:t xml:space="preserve">characterization including </w:t>
      </w:r>
      <w:r w:rsidRPr="004B4A41">
        <w:rPr>
          <w:rFonts w:ascii="Arial" w:hAnsi="Arial"/>
          <w:sz w:val="22"/>
        </w:rPr>
        <w:t xml:space="preserve">depth to rock, </w:t>
      </w:r>
      <w:r w:rsidR="004B4A41">
        <w:rPr>
          <w:rFonts w:ascii="Arial" w:hAnsi="Arial"/>
          <w:sz w:val="22"/>
        </w:rPr>
        <w:t xml:space="preserve">rock rippability, </w:t>
      </w:r>
      <w:r w:rsidR="00E0442C" w:rsidRPr="004B4A41">
        <w:rPr>
          <w:rFonts w:ascii="Arial" w:hAnsi="Arial"/>
          <w:sz w:val="22"/>
        </w:rPr>
        <w:t xml:space="preserve">and identification of </w:t>
      </w:r>
      <w:r w:rsidR="00A85B44">
        <w:rPr>
          <w:rFonts w:ascii="Arial" w:hAnsi="Arial"/>
          <w:sz w:val="22"/>
        </w:rPr>
        <w:t xml:space="preserve">faults or </w:t>
      </w:r>
      <w:r w:rsidRPr="004B4A41">
        <w:rPr>
          <w:rFonts w:ascii="Arial" w:hAnsi="Arial"/>
          <w:sz w:val="22"/>
        </w:rPr>
        <w:t>fracture zones</w:t>
      </w:r>
    </w:p>
    <w:p w14:paraId="3EFB6A06" w14:textId="3D514C62" w:rsidR="0039215C" w:rsidRDefault="000B5AF1" w:rsidP="00172E64">
      <w:pPr>
        <w:pStyle w:val="ListParagraph"/>
        <w:numPr>
          <w:ilvl w:val="0"/>
          <w:numId w:val="158"/>
        </w:numPr>
        <w:ind w:left="1800"/>
        <w:jc w:val="both"/>
        <w:rPr>
          <w:rFonts w:ascii="Arial" w:hAnsi="Arial"/>
          <w:sz w:val="22"/>
        </w:rPr>
      </w:pPr>
      <w:r>
        <w:rPr>
          <w:rFonts w:ascii="Arial" w:hAnsi="Arial"/>
          <w:sz w:val="22"/>
        </w:rPr>
        <w:t>Extremely variable bedrock conditions such as karst, multiple rock formations, variable soil conditions</w:t>
      </w:r>
    </w:p>
    <w:p w14:paraId="687007BF" w14:textId="34D53422" w:rsidR="000B5AF1" w:rsidRDefault="000B5AF1" w:rsidP="00172E64">
      <w:pPr>
        <w:pStyle w:val="ListParagraph"/>
        <w:numPr>
          <w:ilvl w:val="0"/>
          <w:numId w:val="158"/>
        </w:numPr>
        <w:ind w:left="1800"/>
        <w:jc w:val="both"/>
        <w:rPr>
          <w:rFonts w:ascii="Arial" w:hAnsi="Arial"/>
          <w:sz w:val="22"/>
        </w:rPr>
      </w:pPr>
      <w:r>
        <w:rPr>
          <w:rFonts w:ascii="Arial" w:hAnsi="Arial"/>
          <w:sz w:val="22"/>
        </w:rPr>
        <w:t>Identify soft soil zones beneath stiff zones of soil or rock</w:t>
      </w:r>
    </w:p>
    <w:p w14:paraId="6C7FBCBB" w14:textId="4EBD3672" w:rsidR="000B5AF1" w:rsidRDefault="000B5AF1" w:rsidP="00172E64">
      <w:pPr>
        <w:pStyle w:val="ListParagraph"/>
        <w:numPr>
          <w:ilvl w:val="0"/>
          <w:numId w:val="158"/>
        </w:numPr>
        <w:ind w:left="1800"/>
        <w:jc w:val="both"/>
        <w:rPr>
          <w:rFonts w:ascii="Arial" w:hAnsi="Arial"/>
          <w:sz w:val="22"/>
        </w:rPr>
      </w:pPr>
      <w:r>
        <w:rPr>
          <w:rFonts w:ascii="Arial" w:hAnsi="Arial"/>
          <w:sz w:val="22"/>
        </w:rPr>
        <w:t>Identify dept</w:t>
      </w:r>
      <w:r w:rsidR="00A85B44">
        <w:rPr>
          <w:rFonts w:ascii="Arial" w:hAnsi="Arial"/>
          <w:sz w:val="22"/>
        </w:rPr>
        <w:t>h to, thickness of, and areal extent of soil or unconsolidated layers</w:t>
      </w:r>
    </w:p>
    <w:p w14:paraId="5FB9F2D9" w14:textId="3DE0B292" w:rsidR="0039215C" w:rsidRPr="004B4A41" w:rsidRDefault="00F0799E" w:rsidP="00172E64">
      <w:pPr>
        <w:pStyle w:val="ListParagraph"/>
        <w:numPr>
          <w:ilvl w:val="0"/>
          <w:numId w:val="158"/>
        </w:numPr>
        <w:ind w:left="1800"/>
        <w:jc w:val="both"/>
        <w:rPr>
          <w:rFonts w:ascii="Arial" w:hAnsi="Arial"/>
          <w:sz w:val="22"/>
        </w:rPr>
      </w:pPr>
      <w:r w:rsidRPr="004B4A41">
        <w:rPr>
          <w:rFonts w:ascii="Arial" w:hAnsi="Arial"/>
          <w:sz w:val="22"/>
        </w:rPr>
        <w:t xml:space="preserve">Subsidence </w:t>
      </w:r>
      <w:r w:rsidR="00A85B44">
        <w:rPr>
          <w:rFonts w:ascii="Arial" w:hAnsi="Arial"/>
          <w:sz w:val="22"/>
        </w:rPr>
        <w:t xml:space="preserve">and void </w:t>
      </w:r>
      <w:r w:rsidR="00E0442C" w:rsidRPr="004B4A41">
        <w:rPr>
          <w:rFonts w:ascii="Arial" w:hAnsi="Arial"/>
          <w:sz w:val="22"/>
        </w:rPr>
        <w:t>assessment</w:t>
      </w:r>
    </w:p>
    <w:p w14:paraId="0B89BEF2" w14:textId="03FB7032" w:rsidR="000B5AF1" w:rsidRDefault="004B4A41" w:rsidP="00172E64">
      <w:pPr>
        <w:pStyle w:val="ListParagraph"/>
        <w:numPr>
          <w:ilvl w:val="0"/>
          <w:numId w:val="158"/>
        </w:numPr>
        <w:ind w:left="1800"/>
        <w:jc w:val="both"/>
        <w:rPr>
          <w:rFonts w:ascii="Arial" w:hAnsi="Arial"/>
          <w:sz w:val="22"/>
        </w:rPr>
      </w:pPr>
      <w:r>
        <w:rPr>
          <w:rFonts w:ascii="Arial" w:hAnsi="Arial"/>
          <w:sz w:val="22"/>
        </w:rPr>
        <w:t>Karst characterization</w:t>
      </w:r>
    </w:p>
    <w:p w14:paraId="1FF00D57" w14:textId="2ECCA143" w:rsidR="000B5AF1" w:rsidRDefault="000B5AF1" w:rsidP="00172E64">
      <w:pPr>
        <w:pStyle w:val="ListParagraph"/>
        <w:numPr>
          <w:ilvl w:val="0"/>
          <w:numId w:val="158"/>
        </w:numPr>
        <w:ind w:left="1800"/>
        <w:jc w:val="both"/>
        <w:rPr>
          <w:rFonts w:ascii="Arial" w:hAnsi="Arial"/>
          <w:sz w:val="22"/>
        </w:rPr>
      </w:pPr>
      <w:r>
        <w:rPr>
          <w:rFonts w:ascii="Arial" w:hAnsi="Arial"/>
          <w:sz w:val="22"/>
        </w:rPr>
        <w:t>Debris or rock slide assessment</w:t>
      </w:r>
    </w:p>
    <w:p w14:paraId="69A66063" w14:textId="68CACBC3" w:rsidR="000B5AF1" w:rsidRDefault="000B5AF1" w:rsidP="00172E64">
      <w:pPr>
        <w:pStyle w:val="ListParagraph"/>
        <w:numPr>
          <w:ilvl w:val="0"/>
          <w:numId w:val="158"/>
        </w:numPr>
        <w:ind w:left="1800"/>
        <w:jc w:val="both"/>
        <w:rPr>
          <w:rFonts w:ascii="Arial" w:hAnsi="Arial"/>
          <w:sz w:val="22"/>
        </w:rPr>
      </w:pPr>
      <w:r>
        <w:rPr>
          <w:rFonts w:ascii="Arial" w:hAnsi="Arial"/>
          <w:sz w:val="22"/>
        </w:rPr>
        <w:t>Groundwater conditions and depth</w:t>
      </w:r>
    </w:p>
    <w:p w14:paraId="711969DD" w14:textId="600BEE73" w:rsidR="004B4A41" w:rsidRDefault="004B4A41" w:rsidP="00172E64">
      <w:pPr>
        <w:pStyle w:val="ListParagraph"/>
        <w:numPr>
          <w:ilvl w:val="0"/>
          <w:numId w:val="158"/>
        </w:numPr>
        <w:ind w:left="1800"/>
        <w:jc w:val="both"/>
        <w:rPr>
          <w:rFonts w:ascii="Arial" w:hAnsi="Arial"/>
          <w:sz w:val="22"/>
        </w:rPr>
      </w:pPr>
      <w:r>
        <w:rPr>
          <w:rFonts w:ascii="Arial" w:hAnsi="Arial"/>
          <w:sz w:val="22"/>
        </w:rPr>
        <w:t>Water seepage</w:t>
      </w:r>
    </w:p>
    <w:p w14:paraId="286EEB68" w14:textId="44C7AC23" w:rsidR="000B5AF1" w:rsidRDefault="000B5AF1" w:rsidP="00172E64">
      <w:pPr>
        <w:pStyle w:val="ListParagraph"/>
        <w:numPr>
          <w:ilvl w:val="0"/>
          <w:numId w:val="158"/>
        </w:numPr>
        <w:ind w:left="1800"/>
        <w:jc w:val="both"/>
        <w:rPr>
          <w:rFonts w:ascii="Arial" w:hAnsi="Arial"/>
          <w:sz w:val="22"/>
        </w:rPr>
      </w:pPr>
      <w:r>
        <w:rPr>
          <w:rFonts w:ascii="Arial" w:hAnsi="Arial"/>
          <w:sz w:val="22"/>
        </w:rPr>
        <w:t>Locate underground mines or voids</w:t>
      </w:r>
    </w:p>
    <w:p w14:paraId="59B35645" w14:textId="3B2385F2" w:rsidR="000B5AF1" w:rsidRDefault="000B5AF1" w:rsidP="00172E64">
      <w:pPr>
        <w:pStyle w:val="ListParagraph"/>
        <w:numPr>
          <w:ilvl w:val="0"/>
          <w:numId w:val="158"/>
        </w:numPr>
        <w:ind w:left="1800"/>
        <w:jc w:val="both"/>
        <w:rPr>
          <w:rFonts w:ascii="Arial" w:hAnsi="Arial"/>
          <w:sz w:val="22"/>
        </w:rPr>
      </w:pPr>
      <w:r>
        <w:rPr>
          <w:rFonts w:ascii="Arial" w:hAnsi="Arial"/>
          <w:sz w:val="22"/>
        </w:rPr>
        <w:lastRenderedPageBreak/>
        <w:t>Characterize environmental concerns such as USTs, contamination, plumes, landfill debris</w:t>
      </w:r>
    </w:p>
    <w:p w14:paraId="1CC5AC7F" w14:textId="01F26002" w:rsidR="000B5AF1" w:rsidRDefault="000B5AF1" w:rsidP="00172E64">
      <w:pPr>
        <w:pStyle w:val="ListParagraph"/>
        <w:numPr>
          <w:ilvl w:val="0"/>
          <w:numId w:val="158"/>
        </w:numPr>
        <w:ind w:left="1800"/>
        <w:jc w:val="both"/>
        <w:rPr>
          <w:rFonts w:ascii="Arial" w:hAnsi="Arial"/>
          <w:sz w:val="22"/>
        </w:rPr>
      </w:pPr>
      <w:r>
        <w:rPr>
          <w:rFonts w:ascii="Arial" w:hAnsi="Arial"/>
          <w:sz w:val="22"/>
        </w:rPr>
        <w:t>Locate features such as subsurface structures, culverts, foundations, tunnels</w:t>
      </w:r>
    </w:p>
    <w:p w14:paraId="27484495" w14:textId="13D744F1" w:rsidR="000B5AF1" w:rsidRPr="004B4A41" w:rsidRDefault="000B5AF1" w:rsidP="00172E64">
      <w:pPr>
        <w:pStyle w:val="ListParagraph"/>
        <w:numPr>
          <w:ilvl w:val="0"/>
          <w:numId w:val="158"/>
        </w:numPr>
        <w:ind w:left="1800"/>
        <w:jc w:val="both"/>
        <w:rPr>
          <w:rFonts w:ascii="Arial" w:hAnsi="Arial"/>
          <w:sz w:val="22"/>
        </w:rPr>
      </w:pPr>
      <w:r>
        <w:rPr>
          <w:rFonts w:ascii="Arial" w:hAnsi="Arial"/>
          <w:sz w:val="22"/>
        </w:rPr>
        <w:t>Identify unknown structure foundation dimensions</w:t>
      </w:r>
      <w:r w:rsidRPr="000B5AF1">
        <w:rPr>
          <w:rFonts w:ascii="Arial" w:hAnsi="Arial"/>
          <w:sz w:val="22"/>
        </w:rPr>
        <w:t xml:space="preserve"> </w:t>
      </w:r>
    </w:p>
    <w:p w14:paraId="1283A4CA" w14:textId="5561ABAC" w:rsidR="000B5AF1" w:rsidRPr="004B4A41" w:rsidRDefault="000B5AF1" w:rsidP="00172E64">
      <w:pPr>
        <w:pStyle w:val="ListParagraph"/>
        <w:numPr>
          <w:ilvl w:val="0"/>
          <w:numId w:val="158"/>
        </w:numPr>
        <w:ind w:left="1800"/>
        <w:jc w:val="both"/>
        <w:rPr>
          <w:rFonts w:ascii="Arial" w:hAnsi="Arial"/>
          <w:sz w:val="22"/>
        </w:rPr>
      </w:pPr>
      <w:r w:rsidRPr="004B4A41">
        <w:rPr>
          <w:rFonts w:ascii="Arial" w:hAnsi="Arial"/>
          <w:sz w:val="22"/>
        </w:rPr>
        <w:t>Location of unexploded ordnance, abandoned wells, landfill and trench boundaries</w:t>
      </w:r>
    </w:p>
    <w:p w14:paraId="703F1777" w14:textId="1F03CDB6" w:rsidR="000B5AF1" w:rsidRPr="004B4A41" w:rsidRDefault="000B5AF1" w:rsidP="00172E64">
      <w:pPr>
        <w:pStyle w:val="ListParagraph"/>
        <w:numPr>
          <w:ilvl w:val="0"/>
          <w:numId w:val="158"/>
        </w:numPr>
        <w:ind w:left="1800"/>
        <w:jc w:val="both"/>
        <w:rPr>
          <w:rFonts w:ascii="Arial" w:hAnsi="Arial"/>
          <w:sz w:val="22"/>
        </w:rPr>
      </w:pPr>
      <w:r>
        <w:rPr>
          <w:rFonts w:ascii="Arial" w:hAnsi="Arial"/>
          <w:sz w:val="22"/>
        </w:rPr>
        <w:t>Location of archaeological features or graves</w:t>
      </w:r>
    </w:p>
    <w:p w14:paraId="66F87DE6" w14:textId="77777777" w:rsidR="000B5AF1" w:rsidRDefault="000B5AF1" w:rsidP="002B0485">
      <w:pPr>
        <w:ind w:left="360"/>
        <w:jc w:val="both"/>
        <w:rPr>
          <w:rFonts w:ascii="Arial" w:hAnsi="Arial"/>
          <w:sz w:val="22"/>
        </w:rPr>
      </w:pPr>
    </w:p>
    <w:p w14:paraId="5F5A36D8" w14:textId="6D5DF73A" w:rsidR="00457322" w:rsidRDefault="00496079" w:rsidP="001D07DC">
      <w:pPr>
        <w:ind w:left="1080"/>
        <w:jc w:val="both"/>
        <w:rPr>
          <w:rFonts w:ascii="Arial" w:hAnsi="Arial"/>
          <w:sz w:val="22"/>
        </w:rPr>
      </w:pPr>
      <w:r>
        <w:rPr>
          <w:rFonts w:ascii="Arial" w:hAnsi="Arial"/>
          <w:sz w:val="22"/>
        </w:rPr>
        <w:t xml:space="preserve">Question </w:t>
      </w:r>
      <w:r w:rsidR="00095942">
        <w:rPr>
          <w:rFonts w:ascii="Arial" w:hAnsi="Arial"/>
          <w:sz w:val="22"/>
        </w:rPr>
        <w:t>3</w:t>
      </w:r>
      <w:r w:rsidR="001138B2">
        <w:rPr>
          <w:rFonts w:ascii="Arial" w:hAnsi="Arial"/>
          <w:sz w:val="22"/>
        </w:rPr>
        <w:t xml:space="preserve"> – Logistics</w:t>
      </w:r>
      <w:r>
        <w:rPr>
          <w:rFonts w:ascii="Arial" w:hAnsi="Arial"/>
          <w:sz w:val="22"/>
        </w:rPr>
        <w:t xml:space="preserve">: </w:t>
      </w:r>
    </w:p>
    <w:p w14:paraId="4BC9DA39" w14:textId="1D16078B" w:rsidR="001138B2" w:rsidRDefault="001138B2" w:rsidP="001D07DC">
      <w:pPr>
        <w:pStyle w:val="ListParagraph"/>
        <w:ind w:left="1440"/>
        <w:jc w:val="both"/>
        <w:rPr>
          <w:rFonts w:ascii="Arial" w:hAnsi="Arial"/>
          <w:sz w:val="22"/>
        </w:rPr>
      </w:pPr>
      <w:r>
        <w:rPr>
          <w:rFonts w:ascii="Arial" w:hAnsi="Arial"/>
          <w:sz w:val="22"/>
        </w:rPr>
        <w:t>Does the project contain one or more of the following safety, access, or schedule concerns?</w:t>
      </w:r>
    </w:p>
    <w:p w14:paraId="26653A9A" w14:textId="3AADB33D" w:rsidR="00E936D5" w:rsidRDefault="00734312" w:rsidP="00172E64">
      <w:pPr>
        <w:pStyle w:val="ListParagraph"/>
        <w:numPr>
          <w:ilvl w:val="0"/>
          <w:numId w:val="157"/>
        </w:numPr>
        <w:ind w:left="1800"/>
        <w:jc w:val="both"/>
        <w:rPr>
          <w:rFonts w:ascii="Arial" w:hAnsi="Arial"/>
          <w:sz w:val="22"/>
        </w:rPr>
      </w:pPr>
      <w:r>
        <w:rPr>
          <w:rFonts w:ascii="Arial" w:hAnsi="Arial"/>
          <w:sz w:val="22"/>
        </w:rPr>
        <w:t>D</w:t>
      </w:r>
      <w:r w:rsidR="00E936D5">
        <w:rPr>
          <w:rFonts w:ascii="Arial" w:hAnsi="Arial"/>
          <w:sz w:val="22"/>
        </w:rPr>
        <w:t>ifficult access for drill rigs</w:t>
      </w:r>
      <w:r>
        <w:rPr>
          <w:rFonts w:ascii="Arial" w:hAnsi="Arial"/>
          <w:sz w:val="22"/>
        </w:rPr>
        <w:t>, such as wooded plots and slopes</w:t>
      </w:r>
    </w:p>
    <w:p w14:paraId="6921BF17" w14:textId="39EAF3F9" w:rsidR="00A9509A" w:rsidRDefault="00E936D5" w:rsidP="00172E64">
      <w:pPr>
        <w:pStyle w:val="ListParagraph"/>
        <w:numPr>
          <w:ilvl w:val="0"/>
          <w:numId w:val="157"/>
        </w:numPr>
        <w:ind w:left="1800"/>
        <w:jc w:val="both"/>
        <w:rPr>
          <w:rFonts w:ascii="Arial" w:hAnsi="Arial"/>
          <w:sz w:val="22"/>
        </w:rPr>
      </w:pPr>
      <w:r>
        <w:rPr>
          <w:rFonts w:ascii="Arial" w:hAnsi="Arial"/>
          <w:sz w:val="22"/>
        </w:rPr>
        <w:t xml:space="preserve">Excessive </w:t>
      </w:r>
      <w:r w:rsidRPr="00D413DF">
        <w:rPr>
          <w:rFonts w:ascii="Arial" w:hAnsi="Arial"/>
          <w:sz w:val="22"/>
        </w:rPr>
        <w:t>MOT</w:t>
      </w:r>
      <w:r>
        <w:rPr>
          <w:rFonts w:ascii="Arial" w:hAnsi="Arial"/>
          <w:sz w:val="22"/>
        </w:rPr>
        <w:t xml:space="preserve"> requirements</w:t>
      </w:r>
      <w:r w:rsidR="004B4A41">
        <w:rPr>
          <w:rFonts w:ascii="Arial" w:hAnsi="Arial"/>
          <w:sz w:val="22"/>
        </w:rPr>
        <w:t xml:space="preserve"> or</w:t>
      </w:r>
      <w:r w:rsidRPr="00D413DF">
        <w:rPr>
          <w:rFonts w:ascii="Arial" w:hAnsi="Arial"/>
          <w:sz w:val="22"/>
        </w:rPr>
        <w:t xml:space="preserve"> safety</w:t>
      </w:r>
      <w:r>
        <w:rPr>
          <w:rFonts w:ascii="Arial" w:hAnsi="Arial"/>
          <w:sz w:val="22"/>
        </w:rPr>
        <w:t xml:space="preserve"> concerns</w:t>
      </w:r>
    </w:p>
    <w:p w14:paraId="0892C958" w14:textId="48E24D2D" w:rsidR="00A9509A" w:rsidRDefault="004B4A41" w:rsidP="00172E64">
      <w:pPr>
        <w:pStyle w:val="ListParagraph"/>
        <w:numPr>
          <w:ilvl w:val="0"/>
          <w:numId w:val="157"/>
        </w:numPr>
        <w:ind w:left="1800"/>
        <w:jc w:val="both"/>
        <w:rPr>
          <w:rFonts w:ascii="Arial" w:hAnsi="Arial"/>
          <w:sz w:val="22"/>
        </w:rPr>
      </w:pPr>
      <w:r>
        <w:rPr>
          <w:rFonts w:ascii="Arial" w:hAnsi="Arial"/>
          <w:sz w:val="22"/>
        </w:rPr>
        <w:t>Expedited or limited field investigation schedule</w:t>
      </w:r>
    </w:p>
    <w:p w14:paraId="2D3BEF49" w14:textId="5B5274D8" w:rsidR="00F33F6A" w:rsidRDefault="00F33F6A" w:rsidP="00172E64">
      <w:pPr>
        <w:pStyle w:val="ListParagraph"/>
        <w:numPr>
          <w:ilvl w:val="0"/>
          <w:numId w:val="157"/>
        </w:numPr>
        <w:ind w:left="1800"/>
        <w:jc w:val="both"/>
        <w:rPr>
          <w:rFonts w:ascii="Arial" w:hAnsi="Arial"/>
          <w:sz w:val="22"/>
        </w:rPr>
      </w:pPr>
      <w:r>
        <w:rPr>
          <w:rFonts w:ascii="Arial" w:hAnsi="Arial"/>
          <w:sz w:val="22"/>
        </w:rPr>
        <w:t xml:space="preserve">Wetland </w:t>
      </w:r>
      <w:r w:rsidR="00912971">
        <w:rPr>
          <w:rFonts w:ascii="Arial" w:hAnsi="Arial"/>
          <w:sz w:val="22"/>
        </w:rPr>
        <w:t xml:space="preserve">or stream </w:t>
      </w:r>
      <w:r>
        <w:rPr>
          <w:rFonts w:ascii="Arial" w:hAnsi="Arial"/>
          <w:sz w:val="22"/>
        </w:rPr>
        <w:t xml:space="preserve">permit issues for </w:t>
      </w:r>
      <w:r w:rsidR="00674FE2">
        <w:rPr>
          <w:rFonts w:ascii="Arial" w:hAnsi="Arial"/>
          <w:sz w:val="22"/>
        </w:rPr>
        <w:t>drilling</w:t>
      </w:r>
    </w:p>
    <w:p w14:paraId="46AD94F0" w14:textId="77777777" w:rsidR="0031289A" w:rsidRDefault="0031289A" w:rsidP="001D07DC">
      <w:pPr>
        <w:ind w:left="1080"/>
        <w:jc w:val="both"/>
        <w:rPr>
          <w:rFonts w:ascii="Arial" w:hAnsi="Arial"/>
          <w:sz w:val="22"/>
        </w:rPr>
      </w:pPr>
    </w:p>
    <w:p w14:paraId="06C70B21" w14:textId="6F896659" w:rsidR="001138B2" w:rsidRDefault="00734312" w:rsidP="001D07DC">
      <w:pPr>
        <w:ind w:left="1080"/>
        <w:jc w:val="both"/>
        <w:rPr>
          <w:rFonts w:ascii="Arial" w:hAnsi="Arial"/>
          <w:sz w:val="22"/>
        </w:rPr>
      </w:pPr>
      <w:r>
        <w:rPr>
          <w:rFonts w:ascii="Arial" w:hAnsi="Arial"/>
          <w:sz w:val="22"/>
        </w:rPr>
        <w:t xml:space="preserve">Question </w:t>
      </w:r>
      <w:r w:rsidR="006E393F">
        <w:rPr>
          <w:rFonts w:ascii="Arial" w:hAnsi="Arial"/>
          <w:sz w:val="22"/>
        </w:rPr>
        <w:t>4</w:t>
      </w:r>
      <w:r w:rsidR="001138B2">
        <w:rPr>
          <w:rFonts w:ascii="Arial" w:hAnsi="Arial"/>
          <w:sz w:val="22"/>
        </w:rPr>
        <w:t xml:space="preserve"> – Benefits</w:t>
      </w:r>
      <w:r w:rsidR="00496079">
        <w:rPr>
          <w:rFonts w:ascii="Arial" w:hAnsi="Arial"/>
          <w:sz w:val="22"/>
        </w:rPr>
        <w:t xml:space="preserve">: </w:t>
      </w:r>
    </w:p>
    <w:p w14:paraId="51332762" w14:textId="77777777" w:rsidR="001138B2" w:rsidRDefault="001138B2" w:rsidP="001D07DC">
      <w:pPr>
        <w:pStyle w:val="ListParagraph"/>
        <w:ind w:left="1440"/>
        <w:jc w:val="both"/>
        <w:rPr>
          <w:rFonts w:ascii="Arial" w:hAnsi="Arial"/>
          <w:sz w:val="22"/>
        </w:rPr>
      </w:pPr>
      <w:r w:rsidRPr="00CF1774">
        <w:rPr>
          <w:rFonts w:ascii="Arial" w:hAnsi="Arial"/>
          <w:sz w:val="22"/>
        </w:rPr>
        <w:t>Would the project benefit from the following</w:t>
      </w:r>
      <w:r>
        <w:rPr>
          <w:rFonts w:ascii="Arial" w:hAnsi="Arial"/>
          <w:sz w:val="22"/>
        </w:rPr>
        <w:t>?</w:t>
      </w:r>
    </w:p>
    <w:p w14:paraId="56864379" w14:textId="05284990" w:rsidR="00571D79" w:rsidRPr="0099292E" w:rsidRDefault="006E393F" w:rsidP="00172E64">
      <w:pPr>
        <w:pStyle w:val="ListParagraph"/>
        <w:numPr>
          <w:ilvl w:val="1"/>
          <w:numId w:val="151"/>
        </w:numPr>
        <w:ind w:left="1800"/>
        <w:jc w:val="both"/>
        <w:rPr>
          <w:rFonts w:ascii="Arial" w:hAnsi="Arial"/>
          <w:sz w:val="22"/>
        </w:rPr>
      </w:pPr>
      <w:r w:rsidDel="006E393F">
        <w:rPr>
          <w:rFonts w:ascii="Arial" w:hAnsi="Arial"/>
          <w:sz w:val="22"/>
        </w:rPr>
        <w:t xml:space="preserve"> </w:t>
      </w:r>
      <w:r w:rsidR="00992138" w:rsidRPr="005F3D10">
        <w:rPr>
          <w:rFonts w:ascii="Arial" w:hAnsi="Arial"/>
          <w:sz w:val="22"/>
        </w:rPr>
        <w:t>“Fi</w:t>
      </w:r>
      <w:r w:rsidR="00571D79">
        <w:rPr>
          <w:rFonts w:ascii="Arial" w:hAnsi="Arial"/>
          <w:sz w:val="22"/>
        </w:rPr>
        <w:t>ll</w:t>
      </w:r>
      <w:r w:rsidR="00734312">
        <w:rPr>
          <w:rFonts w:ascii="Arial" w:hAnsi="Arial"/>
          <w:sz w:val="22"/>
        </w:rPr>
        <w:t>ing</w:t>
      </w:r>
      <w:r w:rsidR="00571D79">
        <w:rPr>
          <w:rFonts w:ascii="Arial" w:hAnsi="Arial"/>
          <w:sz w:val="22"/>
        </w:rPr>
        <w:t xml:space="preserve"> in the gaps” </w:t>
      </w:r>
      <w:r w:rsidR="00496079">
        <w:rPr>
          <w:rFonts w:ascii="Arial" w:hAnsi="Arial"/>
          <w:sz w:val="22"/>
        </w:rPr>
        <w:t xml:space="preserve">in subsurface information </w:t>
      </w:r>
      <w:r w:rsidR="00571D79">
        <w:rPr>
          <w:rFonts w:ascii="Arial" w:hAnsi="Arial"/>
          <w:sz w:val="22"/>
        </w:rPr>
        <w:t>between borings to</w:t>
      </w:r>
      <w:r w:rsidR="00992138" w:rsidRPr="005F3D10">
        <w:rPr>
          <w:rFonts w:ascii="Arial" w:hAnsi="Arial"/>
          <w:sz w:val="22"/>
        </w:rPr>
        <w:t xml:space="preserve"> reduce uncertainty</w:t>
      </w:r>
      <w:r w:rsidR="00D33101">
        <w:rPr>
          <w:rFonts w:ascii="Arial" w:hAnsi="Arial"/>
          <w:sz w:val="22"/>
        </w:rPr>
        <w:t xml:space="preserve"> and</w:t>
      </w:r>
      <w:r w:rsidR="000B0400">
        <w:rPr>
          <w:rFonts w:ascii="Arial" w:hAnsi="Arial"/>
          <w:sz w:val="22"/>
        </w:rPr>
        <w:t xml:space="preserve"> the</w:t>
      </w:r>
      <w:r w:rsidR="00D33101">
        <w:rPr>
          <w:rFonts w:ascii="Arial" w:hAnsi="Arial"/>
          <w:sz w:val="22"/>
        </w:rPr>
        <w:t xml:space="preserve"> risk of unknown conditions and construction overruns</w:t>
      </w:r>
    </w:p>
    <w:p w14:paraId="105A7871" w14:textId="5368EBDD" w:rsidR="000D4375" w:rsidRDefault="000D4375" w:rsidP="00172E64">
      <w:pPr>
        <w:pStyle w:val="ListParagraph"/>
        <w:numPr>
          <w:ilvl w:val="1"/>
          <w:numId w:val="151"/>
        </w:numPr>
        <w:ind w:left="1800"/>
        <w:jc w:val="both"/>
        <w:rPr>
          <w:rFonts w:ascii="Arial" w:hAnsi="Arial"/>
          <w:sz w:val="22"/>
        </w:rPr>
      </w:pPr>
      <w:r>
        <w:rPr>
          <w:rFonts w:ascii="Arial" w:hAnsi="Arial"/>
          <w:sz w:val="22"/>
        </w:rPr>
        <w:t xml:space="preserve">Better targeting borings </w:t>
      </w:r>
      <w:r w:rsidR="005F5204">
        <w:rPr>
          <w:rFonts w:ascii="Arial" w:hAnsi="Arial"/>
          <w:sz w:val="22"/>
        </w:rPr>
        <w:t>for</w:t>
      </w:r>
      <w:r>
        <w:rPr>
          <w:rFonts w:ascii="Arial" w:hAnsi="Arial"/>
          <w:sz w:val="22"/>
        </w:rPr>
        <w:t xml:space="preserve"> </w:t>
      </w:r>
      <w:r w:rsidR="00D33101">
        <w:rPr>
          <w:rFonts w:ascii="Arial" w:hAnsi="Arial"/>
          <w:sz w:val="22"/>
        </w:rPr>
        <w:t>where there is a high risk of extremely</w:t>
      </w:r>
      <w:r>
        <w:rPr>
          <w:rFonts w:ascii="Arial" w:hAnsi="Arial"/>
          <w:sz w:val="22"/>
        </w:rPr>
        <w:t xml:space="preserve"> variable subsurface conditions</w:t>
      </w:r>
    </w:p>
    <w:p w14:paraId="06C18EB0" w14:textId="7B2D589F" w:rsidR="002B0485" w:rsidRDefault="002B0485" w:rsidP="00C878B8">
      <w:pPr>
        <w:spacing w:before="120"/>
        <w:ind w:left="1080" w:hanging="1080"/>
        <w:jc w:val="both"/>
        <w:rPr>
          <w:rFonts w:ascii="Arial" w:hAnsi="Arial"/>
          <w:sz w:val="22"/>
        </w:rPr>
      </w:pPr>
      <w:r>
        <w:rPr>
          <w:rFonts w:ascii="Arial" w:hAnsi="Arial"/>
          <w:sz w:val="22"/>
        </w:rPr>
        <w:t>Step 3</w:t>
      </w:r>
      <w:r w:rsidR="001D07DC">
        <w:rPr>
          <w:rFonts w:ascii="Arial" w:hAnsi="Arial"/>
          <w:sz w:val="22"/>
        </w:rPr>
        <w:t>.</w:t>
      </w:r>
      <w:r w:rsidR="001D07DC">
        <w:rPr>
          <w:rFonts w:ascii="Arial" w:hAnsi="Arial"/>
          <w:sz w:val="22"/>
        </w:rPr>
        <w:tab/>
      </w:r>
      <w:r>
        <w:rPr>
          <w:rFonts w:ascii="Arial" w:hAnsi="Arial"/>
          <w:sz w:val="22"/>
        </w:rPr>
        <w:t>Tally the Yes answers.</w:t>
      </w:r>
    </w:p>
    <w:p w14:paraId="785E5340" w14:textId="77777777" w:rsidR="002B0485" w:rsidRDefault="002B0485" w:rsidP="002B0485">
      <w:pPr>
        <w:jc w:val="both"/>
        <w:rPr>
          <w:rFonts w:ascii="Arial" w:hAnsi="Arial"/>
          <w:sz w:val="22"/>
        </w:rPr>
      </w:pPr>
    </w:p>
    <w:p w14:paraId="5EFFF379" w14:textId="15ADB5B7" w:rsidR="00114A45" w:rsidRPr="0020546F" w:rsidRDefault="00DC3D64" w:rsidP="001D07DC">
      <w:pPr>
        <w:ind w:left="1080"/>
        <w:jc w:val="both"/>
        <w:rPr>
          <w:rFonts w:ascii="Arial" w:hAnsi="Arial"/>
          <w:sz w:val="22"/>
        </w:rPr>
      </w:pPr>
      <w:r>
        <w:rPr>
          <w:rFonts w:ascii="Arial" w:hAnsi="Arial"/>
          <w:sz w:val="22"/>
        </w:rPr>
        <w:t>Zero Yes</w:t>
      </w:r>
      <w:r w:rsidR="00114A45">
        <w:rPr>
          <w:rFonts w:ascii="Arial" w:hAnsi="Arial"/>
          <w:sz w:val="22"/>
        </w:rPr>
        <w:t xml:space="preserve"> answers indicate the project is </w:t>
      </w:r>
      <w:r w:rsidR="004B4A41">
        <w:rPr>
          <w:rFonts w:ascii="Arial" w:hAnsi="Arial"/>
          <w:sz w:val="22"/>
        </w:rPr>
        <w:t xml:space="preserve">probably </w:t>
      </w:r>
      <w:r w:rsidR="00114A45">
        <w:rPr>
          <w:rFonts w:ascii="Arial" w:hAnsi="Arial"/>
          <w:sz w:val="22"/>
        </w:rPr>
        <w:t xml:space="preserve">not a good candidate for </w:t>
      </w:r>
      <w:r>
        <w:rPr>
          <w:rFonts w:ascii="Arial" w:hAnsi="Arial"/>
          <w:sz w:val="22"/>
        </w:rPr>
        <w:t xml:space="preserve">a </w:t>
      </w:r>
      <w:r w:rsidR="00114A45">
        <w:rPr>
          <w:rFonts w:ascii="Arial" w:hAnsi="Arial"/>
          <w:sz w:val="22"/>
        </w:rPr>
        <w:t xml:space="preserve">geophysical </w:t>
      </w:r>
      <w:r>
        <w:rPr>
          <w:rFonts w:ascii="Arial" w:hAnsi="Arial"/>
          <w:sz w:val="22"/>
        </w:rPr>
        <w:t xml:space="preserve">investigation. </w:t>
      </w:r>
      <w:r w:rsidR="000B0400">
        <w:rPr>
          <w:rFonts w:ascii="Arial" w:hAnsi="Arial"/>
          <w:sz w:val="22"/>
        </w:rPr>
        <w:t>However, geophysical technologies may</w:t>
      </w:r>
      <w:r w:rsidR="00C878B8">
        <w:rPr>
          <w:rFonts w:ascii="Arial" w:hAnsi="Arial"/>
          <w:sz w:val="22"/>
        </w:rPr>
        <w:t xml:space="preserve"> </w:t>
      </w:r>
      <w:r w:rsidR="000B0400">
        <w:rPr>
          <w:rFonts w:ascii="Arial" w:hAnsi="Arial"/>
          <w:sz w:val="22"/>
        </w:rPr>
        <w:t>be appropriate if there is a</w:t>
      </w:r>
      <w:r w:rsidR="000B3E72">
        <w:rPr>
          <w:rFonts w:ascii="Arial" w:hAnsi="Arial"/>
          <w:sz w:val="22"/>
        </w:rPr>
        <w:t xml:space="preserve"> unique situation; d</w:t>
      </w:r>
      <w:r w:rsidR="000B0400" w:rsidRPr="00143F7A">
        <w:rPr>
          <w:rFonts w:ascii="Arial" w:hAnsi="Arial"/>
          <w:sz w:val="22"/>
        </w:rPr>
        <w:t>iscuss with your Team Leader and/or EGD in th</w:t>
      </w:r>
      <w:r w:rsidR="000B0400">
        <w:rPr>
          <w:rFonts w:ascii="Arial" w:hAnsi="Arial"/>
          <w:sz w:val="22"/>
        </w:rPr>
        <w:t>ese</w:t>
      </w:r>
      <w:r w:rsidR="000B0400" w:rsidRPr="00143F7A">
        <w:rPr>
          <w:rFonts w:ascii="Arial" w:hAnsi="Arial"/>
          <w:sz w:val="22"/>
        </w:rPr>
        <w:t xml:space="preserve"> situation</w:t>
      </w:r>
      <w:r w:rsidR="000B0400">
        <w:rPr>
          <w:rFonts w:ascii="Arial" w:hAnsi="Arial"/>
          <w:sz w:val="22"/>
        </w:rPr>
        <w:t>s</w:t>
      </w:r>
      <w:r w:rsidR="000B0400" w:rsidRPr="00143F7A">
        <w:rPr>
          <w:rFonts w:ascii="Arial" w:hAnsi="Arial"/>
          <w:sz w:val="22"/>
        </w:rPr>
        <w:t xml:space="preserve">. </w:t>
      </w:r>
      <w:r w:rsidR="000B0400">
        <w:rPr>
          <w:rFonts w:ascii="Arial" w:hAnsi="Arial"/>
          <w:sz w:val="22"/>
        </w:rPr>
        <w:t xml:space="preserve"> </w:t>
      </w:r>
      <w:r>
        <w:rPr>
          <w:rFonts w:ascii="Arial" w:hAnsi="Arial"/>
          <w:sz w:val="22"/>
        </w:rPr>
        <w:t>C</w:t>
      </w:r>
      <w:r w:rsidR="00114A45">
        <w:rPr>
          <w:rFonts w:ascii="Arial" w:hAnsi="Arial"/>
          <w:sz w:val="22"/>
        </w:rPr>
        <w:t xml:space="preserve">ontinue to </w:t>
      </w:r>
      <w:hyperlink w:anchor="Geot_Field_Work" w:history="1">
        <w:r w:rsidR="00114A45" w:rsidRPr="0020546F">
          <w:rPr>
            <w:rStyle w:val="Hyperlink"/>
            <w:rFonts w:ascii="Arial" w:hAnsi="Arial"/>
            <w:i/>
            <w:sz w:val="22"/>
          </w:rPr>
          <w:t>Section 3.08 Requests for Geotechnical Field Work</w:t>
        </w:r>
      </w:hyperlink>
      <w:r w:rsidR="00114A45" w:rsidRPr="0020546F">
        <w:rPr>
          <w:rFonts w:ascii="Arial" w:hAnsi="Arial"/>
          <w:i/>
          <w:sz w:val="22"/>
        </w:rPr>
        <w:t xml:space="preserve"> </w:t>
      </w:r>
      <w:r w:rsidR="00114A45" w:rsidRPr="0020546F">
        <w:rPr>
          <w:rFonts w:ascii="Arial" w:hAnsi="Arial"/>
          <w:sz w:val="22"/>
        </w:rPr>
        <w:t xml:space="preserve">for guidance on requesting borings. </w:t>
      </w:r>
    </w:p>
    <w:p w14:paraId="61777BB3" w14:textId="77777777" w:rsidR="00114A45" w:rsidRPr="0020546F" w:rsidRDefault="00114A45" w:rsidP="001D07DC">
      <w:pPr>
        <w:ind w:left="1080"/>
        <w:jc w:val="both"/>
        <w:rPr>
          <w:rFonts w:ascii="Arial" w:hAnsi="Arial"/>
          <w:sz w:val="22"/>
        </w:rPr>
      </w:pPr>
    </w:p>
    <w:p w14:paraId="1F74EEEC" w14:textId="4420DAF6" w:rsidR="004B4A41" w:rsidRPr="0020546F" w:rsidRDefault="00114A45" w:rsidP="001D07DC">
      <w:pPr>
        <w:ind w:left="1080"/>
        <w:jc w:val="both"/>
        <w:rPr>
          <w:rFonts w:ascii="Arial" w:hAnsi="Arial"/>
          <w:sz w:val="22"/>
        </w:rPr>
      </w:pPr>
      <w:r w:rsidRPr="0020546F">
        <w:rPr>
          <w:rFonts w:ascii="Arial" w:hAnsi="Arial"/>
          <w:sz w:val="22"/>
        </w:rPr>
        <w:t xml:space="preserve">One </w:t>
      </w:r>
      <w:r w:rsidR="004B4A41" w:rsidRPr="0020546F">
        <w:rPr>
          <w:rFonts w:ascii="Arial" w:hAnsi="Arial"/>
          <w:sz w:val="22"/>
        </w:rPr>
        <w:t xml:space="preserve">or more </w:t>
      </w:r>
      <w:r w:rsidRPr="0020546F">
        <w:rPr>
          <w:rFonts w:ascii="Arial" w:hAnsi="Arial"/>
          <w:sz w:val="22"/>
        </w:rPr>
        <w:t>Yes answer</w:t>
      </w:r>
      <w:r w:rsidR="004B4A41" w:rsidRPr="0020546F">
        <w:rPr>
          <w:rFonts w:ascii="Arial" w:hAnsi="Arial"/>
          <w:sz w:val="22"/>
        </w:rPr>
        <w:t>s</w:t>
      </w:r>
      <w:r w:rsidR="000B3E72" w:rsidRPr="0020546F">
        <w:rPr>
          <w:rFonts w:ascii="Arial" w:hAnsi="Arial"/>
          <w:sz w:val="22"/>
        </w:rPr>
        <w:t xml:space="preserve"> indicate</w:t>
      </w:r>
      <w:r w:rsidRPr="0020546F">
        <w:rPr>
          <w:rFonts w:ascii="Arial" w:hAnsi="Arial"/>
          <w:sz w:val="22"/>
        </w:rPr>
        <w:t xml:space="preserve"> </w:t>
      </w:r>
      <w:r w:rsidR="00DC3D64" w:rsidRPr="0020546F">
        <w:rPr>
          <w:rFonts w:ascii="Arial" w:hAnsi="Arial"/>
          <w:sz w:val="22"/>
        </w:rPr>
        <w:t xml:space="preserve">the project </w:t>
      </w:r>
      <w:r w:rsidR="005F5204" w:rsidRPr="0020546F">
        <w:rPr>
          <w:rFonts w:ascii="Arial" w:hAnsi="Arial"/>
          <w:sz w:val="22"/>
        </w:rPr>
        <w:t>may be</w:t>
      </w:r>
      <w:r w:rsidR="00DC3D64" w:rsidRPr="0020546F">
        <w:rPr>
          <w:rFonts w:ascii="Arial" w:hAnsi="Arial"/>
          <w:sz w:val="22"/>
        </w:rPr>
        <w:t xml:space="preserve"> a good candidate for a </w:t>
      </w:r>
      <w:r w:rsidRPr="0020546F">
        <w:rPr>
          <w:rFonts w:ascii="Arial" w:hAnsi="Arial"/>
          <w:sz w:val="22"/>
        </w:rPr>
        <w:t xml:space="preserve">geophysical </w:t>
      </w:r>
      <w:r w:rsidR="00DC3D64" w:rsidRPr="0020546F">
        <w:rPr>
          <w:rFonts w:ascii="Arial" w:hAnsi="Arial"/>
          <w:sz w:val="22"/>
        </w:rPr>
        <w:t>investigation and geophysical technologies</w:t>
      </w:r>
      <w:r w:rsidR="005F5204" w:rsidRPr="0020546F">
        <w:rPr>
          <w:rFonts w:ascii="Arial" w:hAnsi="Arial"/>
          <w:sz w:val="22"/>
        </w:rPr>
        <w:t xml:space="preserve"> should be considered</w:t>
      </w:r>
      <w:r w:rsidR="00DC3D64" w:rsidRPr="0020546F">
        <w:rPr>
          <w:rFonts w:ascii="Arial" w:hAnsi="Arial"/>
          <w:sz w:val="22"/>
        </w:rPr>
        <w:t xml:space="preserve">. </w:t>
      </w:r>
      <w:r w:rsidR="000B3E72" w:rsidRPr="0020546F">
        <w:rPr>
          <w:rFonts w:ascii="Arial" w:hAnsi="Arial"/>
          <w:sz w:val="22"/>
        </w:rPr>
        <w:t xml:space="preserve">Refer to </w:t>
      </w:r>
      <w:hyperlink w:anchor="_geophysical_investigation" w:history="1">
        <w:r w:rsidR="000B3E72" w:rsidRPr="0020546F">
          <w:rPr>
            <w:rStyle w:val="Hyperlink"/>
            <w:rFonts w:ascii="Arial" w:hAnsi="Arial"/>
            <w:i/>
            <w:sz w:val="22"/>
          </w:rPr>
          <w:t>Section 3.07 Geophysical Investigation</w:t>
        </w:r>
      </w:hyperlink>
      <w:r w:rsidR="000B3E72" w:rsidRPr="0020546F">
        <w:rPr>
          <w:rFonts w:ascii="Arial" w:hAnsi="Arial"/>
          <w:sz w:val="22"/>
        </w:rPr>
        <w:t xml:space="preserve"> for further guidance to help determine if geophysical technologies may be useful on this project. </w:t>
      </w:r>
      <w:r w:rsidR="002B0485" w:rsidRPr="0020546F">
        <w:rPr>
          <w:rFonts w:ascii="Arial" w:hAnsi="Arial"/>
          <w:sz w:val="22"/>
        </w:rPr>
        <w:t>Proceed with the following steps.</w:t>
      </w:r>
    </w:p>
    <w:p w14:paraId="29076E32" w14:textId="3B7CF306" w:rsidR="00800B6A" w:rsidRPr="0020546F" w:rsidRDefault="006811B3" w:rsidP="00C878B8">
      <w:pPr>
        <w:tabs>
          <w:tab w:val="left" w:pos="1080"/>
        </w:tabs>
        <w:spacing w:before="120"/>
        <w:ind w:left="1080" w:hanging="1080"/>
        <w:jc w:val="both"/>
        <w:rPr>
          <w:rFonts w:ascii="Arial" w:hAnsi="Arial"/>
          <w:sz w:val="22"/>
        </w:rPr>
      </w:pPr>
      <w:r w:rsidRPr="0020546F">
        <w:rPr>
          <w:rFonts w:ascii="Arial" w:hAnsi="Arial"/>
          <w:sz w:val="22"/>
        </w:rPr>
        <w:t>Step</w:t>
      </w:r>
      <w:r w:rsidR="002B0485" w:rsidRPr="0020546F">
        <w:rPr>
          <w:rFonts w:ascii="Arial" w:hAnsi="Arial"/>
          <w:sz w:val="22"/>
        </w:rPr>
        <w:t xml:space="preserve"> 4</w:t>
      </w:r>
      <w:r w:rsidR="00C878B8" w:rsidRPr="0020546F">
        <w:rPr>
          <w:rFonts w:ascii="Arial" w:hAnsi="Arial"/>
          <w:sz w:val="22"/>
        </w:rPr>
        <w:t>.</w:t>
      </w:r>
      <w:r w:rsidR="00C878B8" w:rsidRPr="0020546F">
        <w:rPr>
          <w:rFonts w:ascii="Arial" w:hAnsi="Arial"/>
          <w:sz w:val="22"/>
        </w:rPr>
        <w:tab/>
      </w:r>
      <w:r w:rsidR="000B3E72" w:rsidRPr="0020546F">
        <w:rPr>
          <w:rFonts w:ascii="Arial" w:hAnsi="Arial"/>
          <w:sz w:val="22"/>
        </w:rPr>
        <w:t>Discuss the project with Team Leader and/or Assistant Division Chief (ADC), noting that geophysical technologies may</w:t>
      </w:r>
      <w:r w:rsidR="00C878B8" w:rsidRPr="0020546F">
        <w:rPr>
          <w:rFonts w:ascii="Arial" w:hAnsi="Arial"/>
          <w:sz w:val="22"/>
        </w:rPr>
        <w:t xml:space="preserve"> </w:t>
      </w:r>
      <w:r w:rsidR="000B3E72" w:rsidRPr="0020546F">
        <w:rPr>
          <w:rFonts w:ascii="Arial" w:hAnsi="Arial"/>
          <w:sz w:val="22"/>
        </w:rPr>
        <w:t xml:space="preserve">be useful.  If the Team Leader and/or ADC approve, then proceed with the following steps. </w:t>
      </w:r>
    </w:p>
    <w:p w14:paraId="1D1B3235" w14:textId="38A6F82A" w:rsidR="00800B6A" w:rsidRPr="0020546F" w:rsidRDefault="002B0485" w:rsidP="00C878B8">
      <w:pPr>
        <w:spacing w:before="120"/>
        <w:ind w:left="1080" w:hanging="1080"/>
        <w:jc w:val="both"/>
        <w:rPr>
          <w:rFonts w:ascii="Arial" w:hAnsi="Arial"/>
          <w:sz w:val="22"/>
        </w:rPr>
      </w:pPr>
      <w:r w:rsidRPr="0020546F">
        <w:rPr>
          <w:rFonts w:ascii="Arial" w:hAnsi="Arial"/>
          <w:sz w:val="22"/>
        </w:rPr>
        <w:t>Step 5</w:t>
      </w:r>
      <w:r w:rsidR="00C878B8" w:rsidRPr="0020546F">
        <w:rPr>
          <w:rFonts w:ascii="Arial" w:hAnsi="Arial"/>
          <w:sz w:val="22"/>
        </w:rPr>
        <w:t>.</w:t>
      </w:r>
      <w:r w:rsidR="00C878B8" w:rsidRPr="0020546F">
        <w:rPr>
          <w:rFonts w:ascii="Arial" w:hAnsi="Arial"/>
          <w:sz w:val="22"/>
        </w:rPr>
        <w:tab/>
      </w:r>
      <w:r w:rsidR="00800B6A" w:rsidRPr="0020546F">
        <w:rPr>
          <w:rFonts w:ascii="Arial" w:hAnsi="Arial"/>
          <w:sz w:val="22"/>
        </w:rPr>
        <w:t xml:space="preserve">Provide the information in </w:t>
      </w:r>
      <w:hyperlink w:anchor="_Geophysical_Scoping" w:history="1">
        <w:r w:rsidR="00800B6A" w:rsidRPr="0020546F">
          <w:rPr>
            <w:rStyle w:val="Hyperlink"/>
            <w:rFonts w:ascii="Arial" w:hAnsi="Arial"/>
            <w:sz w:val="22"/>
          </w:rPr>
          <w:t>Section 3.07</w:t>
        </w:r>
        <w:r w:rsidR="00E5158A" w:rsidRPr="0020546F">
          <w:rPr>
            <w:rStyle w:val="Hyperlink"/>
            <w:rFonts w:ascii="Arial" w:hAnsi="Arial"/>
            <w:sz w:val="22"/>
          </w:rPr>
          <w:t>.05 Geophysical Scoping</w:t>
        </w:r>
      </w:hyperlink>
      <w:r w:rsidR="00800B6A" w:rsidRPr="0020546F">
        <w:rPr>
          <w:rFonts w:ascii="Arial" w:hAnsi="Arial"/>
          <w:sz w:val="22"/>
        </w:rPr>
        <w:t xml:space="preserve"> to the geophysicist</w:t>
      </w:r>
      <w:r w:rsidR="000B3E72" w:rsidRPr="0020546F">
        <w:rPr>
          <w:rFonts w:ascii="Arial" w:hAnsi="Arial"/>
          <w:sz w:val="22"/>
        </w:rPr>
        <w:t xml:space="preserve"> for developing the geophysical scope. P</w:t>
      </w:r>
      <w:r w:rsidR="00800B6A" w:rsidRPr="0020546F">
        <w:rPr>
          <w:rFonts w:ascii="Arial" w:hAnsi="Arial"/>
          <w:sz w:val="22"/>
        </w:rPr>
        <w:t>articipate in a site meeting with the geophysicist</w:t>
      </w:r>
      <w:r w:rsidR="000B3E72" w:rsidRPr="0020546F">
        <w:rPr>
          <w:rFonts w:ascii="Arial" w:hAnsi="Arial"/>
          <w:sz w:val="22"/>
        </w:rPr>
        <w:t xml:space="preserve"> if requested</w:t>
      </w:r>
      <w:r w:rsidR="00800B6A" w:rsidRPr="0020546F">
        <w:rPr>
          <w:rFonts w:ascii="Arial" w:hAnsi="Arial"/>
          <w:sz w:val="22"/>
        </w:rPr>
        <w:t>.</w:t>
      </w:r>
    </w:p>
    <w:p w14:paraId="41CC04CE" w14:textId="2E9D03F7" w:rsidR="003B0305" w:rsidRDefault="002B0485" w:rsidP="00C878B8">
      <w:pPr>
        <w:spacing w:before="120"/>
        <w:ind w:left="1080" w:hanging="1080"/>
        <w:jc w:val="both"/>
        <w:rPr>
          <w:rFonts w:ascii="Arial" w:hAnsi="Arial"/>
          <w:sz w:val="22"/>
        </w:rPr>
      </w:pPr>
      <w:r w:rsidRPr="0020546F">
        <w:rPr>
          <w:rFonts w:ascii="Arial" w:hAnsi="Arial"/>
          <w:sz w:val="22"/>
        </w:rPr>
        <w:t>Step 6</w:t>
      </w:r>
      <w:r w:rsidR="00C878B8" w:rsidRPr="0020546F">
        <w:rPr>
          <w:rFonts w:ascii="Arial" w:hAnsi="Arial"/>
          <w:sz w:val="22"/>
        </w:rPr>
        <w:t>.</w:t>
      </w:r>
      <w:r w:rsidR="00C878B8" w:rsidRPr="0020546F">
        <w:rPr>
          <w:rFonts w:ascii="Arial" w:hAnsi="Arial"/>
          <w:sz w:val="22"/>
        </w:rPr>
        <w:tab/>
      </w:r>
      <w:r w:rsidR="006811B3" w:rsidRPr="0020546F">
        <w:rPr>
          <w:rFonts w:ascii="Arial" w:hAnsi="Arial"/>
          <w:sz w:val="22"/>
        </w:rPr>
        <w:t>C</w:t>
      </w:r>
      <w:r w:rsidR="00E36B1E" w:rsidRPr="0020546F">
        <w:rPr>
          <w:rFonts w:ascii="Arial" w:hAnsi="Arial"/>
          <w:sz w:val="22"/>
        </w:rPr>
        <w:t>ontinu</w:t>
      </w:r>
      <w:r w:rsidR="006811B3" w:rsidRPr="0020546F">
        <w:rPr>
          <w:rFonts w:ascii="Arial" w:hAnsi="Arial"/>
          <w:sz w:val="22"/>
        </w:rPr>
        <w:t>e</w:t>
      </w:r>
      <w:r w:rsidR="00E36B1E" w:rsidRPr="0020546F">
        <w:rPr>
          <w:rFonts w:ascii="Arial" w:hAnsi="Arial"/>
          <w:sz w:val="22"/>
        </w:rPr>
        <w:t xml:space="preserve"> to </w:t>
      </w:r>
      <w:hyperlink w:anchor="Geot_Field_Work" w:history="1">
        <w:r w:rsidR="00E36B1E" w:rsidRPr="0020546F">
          <w:rPr>
            <w:rStyle w:val="Hyperlink"/>
            <w:rFonts w:ascii="Arial" w:hAnsi="Arial"/>
            <w:i/>
            <w:sz w:val="22"/>
          </w:rPr>
          <w:t>Section 3.08 Requests for Geotechnical Field Work</w:t>
        </w:r>
      </w:hyperlink>
      <w:r w:rsidR="00E36B1E" w:rsidRPr="0020546F">
        <w:rPr>
          <w:rFonts w:ascii="Arial" w:hAnsi="Arial"/>
          <w:i/>
          <w:sz w:val="22"/>
        </w:rPr>
        <w:t xml:space="preserve"> </w:t>
      </w:r>
      <w:r w:rsidR="00E36B1E" w:rsidRPr="0020546F">
        <w:rPr>
          <w:rFonts w:ascii="Arial" w:hAnsi="Arial"/>
          <w:sz w:val="22"/>
        </w:rPr>
        <w:t>for guidance on requesting borings.</w:t>
      </w:r>
    </w:p>
    <w:p w14:paraId="0AC1DACD" w14:textId="6C08BC1B" w:rsidR="00800B6A" w:rsidRDefault="002B0485" w:rsidP="00C878B8">
      <w:pPr>
        <w:spacing w:before="120"/>
        <w:ind w:left="1080" w:hanging="1080"/>
        <w:jc w:val="both"/>
        <w:rPr>
          <w:rFonts w:ascii="Arial" w:hAnsi="Arial"/>
          <w:sz w:val="22"/>
        </w:rPr>
      </w:pPr>
      <w:r>
        <w:rPr>
          <w:rFonts w:ascii="Arial" w:hAnsi="Arial"/>
          <w:sz w:val="22"/>
        </w:rPr>
        <w:t>Step 7</w:t>
      </w:r>
      <w:r w:rsidR="00C878B8">
        <w:rPr>
          <w:rFonts w:ascii="Arial" w:hAnsi="Arial"/>
          <w:sz w:val="22"/>
        </w:rPr>
        <w:t>.</w:t>
      </w:r>
      <w:r w:rsidR="00C878B8">
        <w:rPr>
          <w:rFonts w:ascii="Arial" w:hAnsi="Arial"/>
          <w:sz w:val="22"/>
        </w:rPr>
        <w:tab/>
      </w:r>
      <w:r w:rsidR="00800B6A" w:rsidRPr="00800B6A">
        <w:rPr>
          <w:rFonts w:ascii="Arial" w:hAnsi="Arial"/>
          <w:sz w:val="22"/>
        </w:rPr>
        <w:t>Report to the Team Leader and</w:t>
      </w:r>
      <w:r w:rsidR="000B3E72">
        <w:rPr>
          <w:rFonts w:ascii="Arial" w:hAnsi="Arial"/>
          <w:sz w:val="22"/>
        </w:rPr>
        <w:t>/or</w:t>
      </w:r>
      <w:r w:rsidR="00800B6A" w:rsidRPr="00800B6A">
        <w:rPr>
          <w:rFonts w:ascii="Arial" w:hAnsi="Arial"/>
          <w:sz w:val="22"/>
        </w:rPr>
        <w:t xml:space="preserve"> ADC the </w:t>
      </w:r>
      <w:r w:rsidR="000B3E72">
        <w:rPr>
          <w:rFonts w:ascii="Arial" w:hAnsi="Arial"/>
          <w:sz w:val="22"/>
        </w:rPr>
        <w:t xml:space="preserve">proposed </w:t>
      </w:r>
      <w:r w:rsidR="00800B6A" w:rsidRPr="00800B6A">
        <w:rPr>
          <w:rFonts w:ascii="Arial" w:hAnsi="Arial"/>
          <w:sz w:val="22"/>
        </w:rPr>
        <w:t>scope of geophysical technologies and borings</w:t>
      </w:r>
      <w:r w:rsidR="00800B6A">
        <w:rPr>
          <w:rFonts w:ascii="Arial" w:hAnsi="Arial"/>
          <w:sz w:val="22"/>
        </w:rPr>
        <w:t xml:space="preserve"> for discussion and their approval.</w:t>
      </w:r>
      <w:r w:rsidR="00800B6A" w:rsidRPr="00800B6A">
        <w:rPr>
          <w:rFonts w:ascii="Arial" w:hAnsi="Arial"/>
          <w:sz w:val="22"/>
        </w:rPr>
        <w:t xml:space="preserve">  </w:t>
      </w:r>
    </w:p>
    <w:p w14:paraId="3238A2AD" w14:textId="6B771FE7" w:rsidR="000B3E72" w:rsidRDefault="002B0485" w:rsidP="00C878B8">
      <w:pPr>
        <w:spacing w:before="120"/>
        <w:ind w:left="1080" w:hanging="1080"/>
        <w:jc w:val="both"/>
        <w:rPr>
          <w:rFonts w:ascii="Arial" w:hAnsi="Arial"/>
          <w:sz w:val="22"/>
        </w:rPr>
      </w:pPr>
      <w:r>
        <w:rPr>
          <w:rFonts w:ascii="Arial" w:hAnsi="Arial"/>
          <w:sz w:val="22"/>
        </w:rPr>
        <w:t>Step 8</w:t>
      </w:r>
      <w:r w:rsidR="00C878B8">
        <w:rPr>
          <w:rFonts w:ascii="Arial" w:hAnsi="Arial"/>
          <w:sz w:val="22"/>
        </w:rPr>
        <w:t>.</w:t>
      </w:r>
      <w:r w:rsidR="00C878B8">
        <w:rPr>
          <w:rFonts w:ascii="Arial" w:hAnsi="Arial"/>
          <w:sz w:val="22"/>
        </w:rPr>
        <w:tab/>
      </w:r>
      <w:r w:rsidR="00800B6A">
        <w:rPr>
          <w:rFonts w:ascii="Arial" w:hAnsi="Arial"/>
          <w:sz w:val="22"/>
        </w:rPr>
        <w:t xml:space="preserve">Complete the geophysical investigation.  </w:t>
      </w:r>
    </w:p>
    <w:p w14:paraId="4B52D10C" w14:textId="7C25E314" w:rsidR="000B3E72" w:rsidRDefault="002B0485" w:rsidP="00C878B8">
      <w:pPr>
        <w:spacing w:before="120"/>
        <w:ind w:left="1080" w:hanging="1080"/>
        <w:jc w:val="both"/>
        <w:rPr>
          <w:rFonts w:ascii="Arial" w:hAnsi="Arial"/>
          <w:sz w:val="22"/>
        </w:rPr>
      </w:pPr>
      <w:r>
        <w:rPr>
          <w:rFonts w:ascii="Arial" w:hAnsi="Arial"/>
          <w:sz w:val="22"/>
        </w:rPr>
        <w:lastRenderedPageBreak/>
        <w:t>Step 9</w:t>
      </w:r>
      <w:r w:rsidR="00C878B8">
        <w:rPr>
          <w:rFonts w:ascii="Arial" w:hAnsi="Arial"/>
          <w:sz w:val="22"/>
        </w:rPr>
        <w:t>.</w:t>
      </w:r>
      <w:r w:rsidR="00C878B8">
        <w:rPr>
          <w:rFonts w:ascii="Arial" w:hAnsi="Arial"/>
          <w:sz w:val="22"/>
        </w:rPr>
        <w:tab/>
      </w:r>
      <w:r w:rsidR="00800B6A">
        <w:rPr>
          <w:rFonts w:ascii="Arial" w:hAnsi="Arial"/>
          <w:sz w:val="22"/>
        </w:rPr>
        <w:t>Modify the locations and number of borings based on the geophysical results.</w:t>
      </w:r>
      <w:r w:rsidR="000B3E72">
        <w:rPr>
          <w:rFonts w:ascii="Arial" w:hAnsi="Arial"/>
          <w:sz w:val="22"/>
        </w:rPr>
        <w:t xml:space="preserve"> </w:t>
      </w:r>
    </w:p>
    <w:p w14:paraId="318E9BDF" w14:textId="56DE67A3" w:rsidR="000B3E72" w:rsidRDefault="002B0485" w:rsidP="00C878B8">
      <w:pPr>
        <w:spacing w:before="120"/>
        <w:ind w:left="1080" w:hanging="1080"/>
        <w:jc w:val="both"/>
        <w:rPr>
          <w:rFonts w:ascii="Arial" w:hAnsi="Arial"/>
          <w:sz w:val="22"/>
        </w:rPr>
      </w:pPr>
      <w:r>
        <w:rPr>
          <w:rFonts w:ascii="Arial" w:hAnsi="Arial"/>
          <w:sz w:val="22"/>
        </w:rPr>
        <w:t>Step 10</w:t>
      </w:r>
      <w:r w:rsidR="00C878B8">
        <w:rPr>
          <w:rFonts w:ascii="Arial" w:hAnsi="Arial"/>
          <w:sz w:val="22"/>
        </w:rPr>
        <w:t>.</w:t>
      </w:r>
      <w:r w:rsidR="00C878B8">
        <w:rPr>
          <w:rFonts w:ascii="Arial" w:hAnsi="Arial"/>
          <w:sz w:val="22"/>
        </w:rPr>
        <w:tab/>
      </w:r>
      <w:r w:rsidR="000B3E72">
        <w:rPr>
          <w:rFonts w:ascii="Arial" w:hAnsi="Arial"/>
          <w:sz w:val="22"/>
        </w:rPr>
        <w:t xml:space="preserve">Complete the borings. </w:t>
      </w:r>
    </w:p>
    <w:p w14:paraId="63AF5127" w14:textId="3EE1DF5D" w:rsidR="00800B6A" w:rsidRDefault="002B0485" w:rsidP="00C878B8">
      <w:pPr>
        <w:spacing w:before="120"/>
        <w:ind w:left="1080" w:hanging="1080"/>
        <w:jc w:val="both"/>
        <w:rPr>
          <w:rFonts w:ascii="Arial" w:hAnsi="Arial"/>
          <w:sz w:val="22"/>
        </w:rPr>
      </w:pPr>
      <w:r>
        <w:rPr>
          <w:rFonts w:ascii="Arial" w:hAnsi="Arial"/>
          <w:sz w:val="22"/>
        </w:rPr>
        <w:t>Step 11</w:t>
      </w:r>
      <w:r w:rsidR="00C878B8">
        <w:rPr>
          <w:rFonts w:ascii="Arial" w:hAnsi="Arial"/>
          <w:sz w:val="22"/>
        </w:rPr>
        <w:t>.</w:t>
      </w:r>
      <w:r w:rsidR="00C878B8">
        <w:rPr>
          <w:rFonts w:ascii="Arial" w:hAnsi="Arial"/>
          <w:sz w:val="22"/>
        </w:rPr>
        <w:tab/>
        <w:t>C</w:t>
      </w:r>
      <w:r w:rsidR="00800B6A" w:rsidRPr="00CF1774">
        <w:rPr>
          <w:rFonts w:ascii="Arial" w:hAnsi="Arial"/>
          <w:sz w:val="22"/>
        </w:rPr>
        <w:t>onsider additional borings or geophysics</w:t>
      </w:r>
      <w:r w:rsidR="00932915" w:rsidRPr="00CF1774">
        <w:rPr>
          <w:rFonts w:ascii="Arial" w:hAnsi="Arial"/>
          <w:sz w:val="22"/>
        </w:rPr>
        <w:t xml:space="preserve"> if unusual conditions were encountered in the borings or geophysics.</w:t>
      </w:r>
      <w:r w:rsidR="00932915">
        <w:rPr>
          <w:rFonts w:ascii="Arial" w:hAnsi="Arial"/>
          <w:sz w:val="22"/>
        </w:rPr>
        <w:t xml:space="preserve"> </w:t>
      </w:r>
    </w:p>
    <w:p w14:paraId="5F692E66" w14:textId="77777777" w:rsidR="00800B6A" w:rsidRDefault="00800B6A" w:rsidP="002B3931">
      <w:pPr>
        <w:ind w:left="720"/>
        <w:jc w:val="both"/>
        <w:rPr>
          <w:rFonts w:ascii="Arial" w:hAnsi="Arial"/>
          <w:sz w:val="22"/>
        </w:rPr>
      </w:pPr>
    </w:p>
    <w:p w14:paraId="6C83AB6D" w14:textId="1F9A7434" w:rsidR="002B0485" w:rsidRDefault="004B4A41" w:rsidP="000B3E72">
      <w:pPr>
        <w:jc w:val="both"/>
        <w:rPr>
          <w:rFonts w:ascii="Arial" w:hAnsi="Arial"/>
          <w:sz w:val="22"/>
        </w:rPr>
      </w:pPr>
      <w:r>
        <w:rPr>
          <w:rFonts w:ascii="Arial" w:hAnsi="Arial"/>
          <w:sz w:val="22"/>
        </w:rPr>
        <w:t xml:space="preserve">The </w:t>
      </w:r>
      <w:r w:rsidR="00F2691A">
        <w:rPr>
          <w:rFonts w:ascii="Arial" w:hAnsi="Arial"/>
          <w:sz w:val="22"/>
        </w:rPr>
        <w:t xml:space="preserve">following </w:t>
      </w:r>
      <w:r w:rsidRPr="00F2691A">
        <w:rPr>
          <w:rFonts w:ascii="Arial" w:hAnsi="Arial"/>
          <w:sz w:val="22"/>
        </w:rPr>
        <w:t>flow chart illustrates</w:t>
      </w:r>
      <w:r>
        <w:rPr>
          <w:rFonts w:ascii="Arial" w:hAnsi="Arial"/>
          <w:sz w:val="22"/>
        </w:rPr>
        <w:t xml:space="preserve"> this process.</w:t>
      </w:r>
    </w:p>
    <w:p w14:paraId="6AA4639B" w14:textId="77777777" w:rsidR="004412C4" w:rsidRDefault="004412C4">
      <w:pPr>
        <w:rPr>
          <w:rFonts w:ascii="Arial" w:hAnsi="Arial"/>
          <w:sz w:val="22"/>
        </w:rPr>
      </w:pPr>
    </w:p>
    <w:p w14:paraId="3F8E1005" w14:textId="77E70E2F" w:rsidR="004412C4" w:rsidRDefault="004412C4">
      <w:pPr>
        <w:rPr>
          <w:rFonts w:ascii="Arial" w:hAnsi="Arial"/>
          <w:sz w:val="22"/>
        </w:rPr>
      </w:pPr>
      <w:r>
        <w:rPr>
          <w:rFonts w:ascii="Arial" w:hAnsi="Arial"/>
          <w:noProof/>
          <w:sz w:val="22"/>
        </w:rPr>
        <w:drawing>
          <wp:inline distT="0" distB="0" distL="0" distR="0" wp14:anchorId="5B5B8085" wp14:editId="48F9ED8E">
            <wp:extent cx="5486400" cy="4239260"/>
            <wp:effectExtent l="0" t="0" r="0" b="8890"/>
            <wp:docPr id="29" name="Picture 29" descr="geophysical investigation flow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eophysical investigation flow chart"/>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486400" cy="4239260"/>
                    </a:xfrm>
                    <a:prstGeom prst="rect">
                      <a:avLst/>
                    </a:prstGeom>
                  </pic:spPr>
                </pic:pic>
              </a:graphicData>
            </a:graphic>
          </wp:inline>
        </w:drawing>
      </w:r>
    </w:p>
    <w:p w14:paraId="5E2970B9" w14:textId="77777777" w:rsidR="002B0485" w:rsidRDefault="002B0485">
      <w:pPr>
        <w:rPr>
          <w:rFonts w:ascii="Arial" w:hAnsi="Arial"/>
          <w:sz w:val="22"/>
        </w:rPr>
      </w:pPr>
      <w:r>
        <w:rPr>
          <w:rFonts w:ascii="Arial" w:hAnsi="Arial"/>
          <w:sz w:val="22"/>
        </w:rPr>
        <w:br w:type="page"/>
      </w:r>
    </w:p>
    <w:p w14:paraId="6416334B" w14:textId="6D04475B" w:rsidR="001B1DE3" w:rsidRDefault="001B1DE3" w:rsidP="00C878B8">
      <w:pPr>
        <w:pStyle w:val="Heading3"/>
        <w:spacing w:after="0"/>
        <w:ind w:left="0" w:firstLine="0"/>
      </w:pPr>
      <w:r w:rsidRPr="00AA0617">
        <w:lastRenderedPageBreak/>
        <w:t>In-Situ Testing</w:t>
      </w:r>
    </w:p>
    <w:p w14:paraId="6C47F5B1" w14:textId="77777777" w:rsidR="00C878B8" w:rsidRPr="003B0918" w:rsidRDefault="00C878B8" w:rsidP="003B0918">
      <w:pPr>
        <w:rPr>
          <w:rFonts w:ascii="Arial" w:hAnsi="Arial"/>
        </w:rPr>
      </w:pPr>
    </w:p>
    <w:p w14:paraId="42BABCA8" w14:textId="77777777" w:rsidR="001B1DE3" w:rsidRDefault="001B1DE3" w:rsidP="001B1DE3">
      <w:pPr>
        <w:pStyle w:val="Heading4"/>
        <w:ind w:left="0" w:firstLine="0"/>
      </w:pPr>
      <w:r>
        <w:t>General</w:t>
      </w:r>
    </w:p>
    <w:p w14:paraId="10E44EE7" w14:textId="77777777" w:rsidR="001B1DE3" w:rsidRPr="00052A2A" w:rsidRDefault="001B1DE3" w:rsidP="001B1DE3">
      <w:pPr>
        <w:autoSpaceDE w:val="0"/>
        <w:autoSpaceDN w:val="0"/>
        <w:adjustRightInd w:val="0"/>
        <w:jc w:val="both"/>
        <w:rPr>
          <w:rFonts w:ascii="Arial" w:hAnsi="Arial" w:cs="Arial"/>
          <w:sz w:val="22"/>
          <w:szCs w:val="22"/>
        </w:rPr>
      </w:pPr>
      <w:r w:rsidRPr="00052A2A">
        <w:rPr>
          <w:rFonts w:ascii="Arial" w:hAnsi="Arial" w:cs="Arial"/>
          <w:sz w:val="22"/>
          <w:szCs w:val="22"/>
        </w:rPr>
        <w:t xml:space="preserve">For certain projects, in-situ testing may be required to determine in-situ engineering properties of sub-soils at the site. The EGD should always be contacted for in-situ testing. The EGD would be responsible for developing an in-situ testing program and corresponding request, if necessary.  The following paragraphs contain general definitions and information on in-situ testing. </w:t>
      </w:r>
    </w:p>
    <w:p w14:paraId="21B3AD8A" w14:textId="2EDAA736" w:rsidR="001B1DE3" w:rsidRPr="00052A2A" w:rsidRDefault="001B1DE3" w:rsidP="001B1DE3">
      <w:pPr>
        <w:autoSpaceDE w:val="0"/>
        <w:autoSpaceDN w:val="0"/>
        <w:adjustRightInd w:val="0"/>
        <w:jc w:val="both"/>
        <w:rPr>
          <w:rFonts w:ascii="Arial" w:hAnsi="Arial" w:cs="Arial"/>
          <w:sz w:val="22"/>
          <w:szCs w:val="22"/>
        </w:rPr>
      </w:pPr>
      <w:r w:rsidRPr="00052A2A">
        <w:rPr>
          <w:rFonts w:ascii="Arial" w:hAnsi="Arial" w:cs="Arial"/>
          <w:sz w:val="22"/>
          <w:szCs w:val="22"/>
        </w:rPr>
        <w:br/>
        <w:t>There are various in-situ testing methods that may</w:t>
      </w:r>
      <w:r w:rsidR="00CF1774">
        <w:rPr>
          <w:rFonts w:ascii="Arial" w:hAnsi="Arial" w:cs="Arial"/>
          <w:sz w:val="22"/>
          <w:szCs w:val="22"/>
        </w:rPr>
        <w:t xml:space="preserve"> be </w:t>
      </w:r>
      <w:r w:rsidRPr="00052A2A">
        <w:rPr>
          <w:rFonts w:ascii="Arial" w:hAnsi="Arial" w:cs="Arial"/>
          <w:sz w:val="22"/>
          <w:szCs w:val="22"/>
        </w:rPr>
        <w:t xml:space="preserve">used to measure soil properties and/or behaviors in addition to the Standard Penetration Test (SPT). The most commonly performed in-situ methods on </w:t>
      </w:r>
      <w:r w:rsidR="008C7023">
        <w:rPr>
          <w:rFonts w:ascii="Arial" w:hAnsi="Arial" w:cs="Arial"/>
          <w:sz w:val="22"/>
          <w:szCs w:val="22"/>
        </w:rPr>
        <w:t>MDOT-SHA</w:t>
      </w:r>
      <w:r w:rsidRPr="00052A2A">
        <w:rPr>
          <w:rFonts w:ascii="Arial" w:hAnsi="Arial" w:cs="Arial"/>
          <w:sz w:val="22"/>
          <w:szCs w:val="22"/>
        </w:rPr>
        <w:t xml:space="preserve"> design projects are:</w:t>
      </w:r>
    </w:p>
    <w:p w14:paraId="051554C3" w14:textId="77777777" w:rsidR="001B1DE3" w:rsidRDefault="001B1DE3" w:rsidP="00172E64">
      <w:pPr>
        <w:numPr>
          <w:ilvl w:val="0"/>
          <w:numId w:val="38"/>
        </w:numPr>
        <w:autoSpaceDE w:val="0"/>
        <w:autoSpaceDN w:val="0"/>
        <w:adjustRightInd w:val="0"/>
        <w:spacing w:before="120"/>
        <w:ind w:left="0" w:firstLine="0"/>
        <w:jc w:val="both"/>
        <w:rPr>
          <w:rFonts w:ascii="Arial" w:hAnsi="Arial" w:cs="Arial"/>
          <w:sz w:val="22"/>
          <w:szCs w:val="22"/>
        </w:rPr>
      </w:pPr>
      <w:r w:rsidRPr="00052A2A">
        <w:rPr>
          <w:rFonts w:ascii="Arial" w:hAnsi="Arial" w:cs="Arial"/>
          <w:sz w:val="22"/>
          <w:szCs w:val="22"/>
        </w:rPr>
        <w:t>Cone Penetration Test (CPT)</w:t>
      </w:r>
    </w:p>
    <w:p w14:paraId="1E617736" w14:textId="77777777" w:rsidR="001B1DE3" w:rsidRDefault="001B1DE3" w:rsidP="00172E64">
      <w:pPr>
        <w:numPr>
          <w:ilvl w:val="0"/>
          <w:numId w:val="38"/>
        </w:numPr>
        <w:autoSpaceDE w:val="0"/>
        <w:autoSpaceDN w:val="0"/>
        <w:adjustRightInd w:val="0"/>
        <w:ind w:left="0" w:firstLine="0"/>
        <w:jc w:val="both"/>
        <w:rPr>
          <w:rFonts w:ascii="Arial" w:hAnsi="Arial" w:cs="Arial"/>
          <w:sz w:val="22"/>
          <w:szCs w:val="22"/>
        </w:rPr>
      </w:pPr>
      <w:r w:rsidRPr="00052A2A">
        <w:rPr>
          <w:rFonts w:ascii="Arial" w:hAnsi="Arial" w:cs="Arial"/>
          <w:sz w:val="22"/>
          <w:szCs w:val="22"/>
        </w:rPr>
        <w:t>Flat Dilatometer Test (DMT)</w:t>
      </w:r>
    </w:p>
    <w:p w14:paraId="1C271934" w14:textId="77777777" w:rsidR="001B1DE3" w:rsidRDefault="001B1DE3" w:rsidP="00172E64">
      <w:pPr>
        <w:numPr>
          <w:ilvl w:val="0"/>
          <w:numId w:val="38"/>
        </w:numPr>
        <w:autoSpaceDE w:val="0"/>
        <w:autoSpaceDN w:val="0"/>
        <w:adjustRightInd w:val="0"/>
        <w:ind w:left="0" w:firstLine="0"/>
        <w:jc w:val="both"/>
        <w:rPr>
          <w:rFonts w:ascii="Arial" w:hAnsi="Arial" w:cs="Arial"/>
          <w:sz w:val="22"/>
          <w:szCs w:val="22"/>
        </w:rPr>
      </w:pPr>
      <w:r w:rsidRPr="00052A2A">
        <w:rPr>
          <w:rFonts w:ascii="Arial" w:hAnsi="Arial" w:cs="Arial"/>
          <w:sz w:val="22"/>
          <w:szCs w:val="22"/>
        </w:rPr>
        <w:t>Pressuremeter Test (PMT)</w:t>
      </w:r>
    </w:p>
    <w:p w14:paraId="22FE976A" w14:textId="77777777" w:rsidR="001B1DE3" w:rsidRDefault="001B1DE3" w:rsidP="00172E64">
      <w:pPr>
        <w:numPr>
          <w:ilvl w:val="0"/>
          <w:numId w:val="38"/>
        </w:numPr>
        <w:autoSpaceDE w:val="0"/>
        <w:autoSpaceDN w:val="0"/>
        <w:adjustRightInd w:val="0"/>
        <w:ind w:left="0" w:firstLine="0"/>
        <w:jc w:val="both"/>
        <w:rPr>
          <w:rFonts w:ascii="Arial" w:hAnsi="Arial" w:cs="Arial"/>
          <w:sz w:val="22"/>
          <w:szCs w:val="22"/>
        </w:rPr>
      </w:pPr>
      <w:r w:rsidRPr="00052A2A">
        <w:rPr>
          <w:rFonts w:ascii="Arial" w:hAnsi="Arial" w:cs="Arial"/>
          <w:sz w:val="22"/>
          <w:szCs w:val="22"/>
        </w:rPr>
        <w:t>Monitoring Wells (groundwater monitoring instrumentation)</w:t>
      </w:r>
    </w:p>
    <w:p w14:paraId="1C0387D7" w14:textId="77777777" w:rsidR="001B1DE3" w:rsidRDefault="001B1DE3" w:rsidP="00172E64">
      <w:pPr>
        <w:numPr>
          <w:ilvl w:val="0"/>
          <w:numId w:val="38"/>
        </w:numPr>
        <w:autoSpaceDE w:val="0"/>
        <w:autoSpaceDN w:val="0"/>
        <w:adjustRightInd w:val="0"/>
        <w:ind w:left="0" w:firstLine="0"/>
        <w:jc w:val="both"/>
        <w:rPr>
          <w:rFonts w:ascii="Arial" w:hAnsi="Arial" w:cs="Arial"/>
          <w:sz w:val="22"/>
          <w:szCs w:val="22"/>
        </w:rPr>
      </w:pPr>
      <w:r w:rsidRPr="00052A2A">
        <w:rPr>
          <w:rFonts w:ascii="Arial" w:hAnsi="Arial" w:cs="Arial"/>
          <w:sz w:val="22"/>
          <w:szCs w:val="22"/>
        </w:rPr>
        <w:t>Plate Load Tests</w:t>
      </w:r>
    </w:p>
    <w:p w14:paraId="78DA7762" w14:textId="77777777" w:rsidR="001B1DE3" w:rsidRPr="00052A2A" w:rsidRDefault="001B1DE3" w:rsidP="001B1DE3">
      <w:pPr>
        <w:autoSpaceDE w:val="0"/>
        <w:autoSpaceDN w:val="0"/>
        <w:adjustRightInd w:val="0"/>
        <w:jc w:val="both"/>
        <w:rPr>
          <w:rFonts w:ascii="Arial" w:hAnsi="Arial" w:cs="Arial"/>
          <w:sz w:val="22"/>
          <w:szCs w:val="22"/>
        </w:rPr>
      </w:pPr>
    </w:p>
    <w:p w14:paraId="660985E6" w14:textId="58C388FA" w:rsidR="00C878B8" w:rsidRPr="009B68A5" w:rsidRDefault="001B1DE3" w:rsidP="009B68A5">
      <w:pPr>
        <w:jc w:val="both"/>
        <w:rPr>
          <w:rFonts w:ascii="Arial" w:hAnsi="Arial" w:cs="Arial"/>
          <w:sz w:val="22"/>
          <w:szCs w:val="22"/>
        </w:rPr>
      </w:pPr>
      <w:r w:rsidRPr="009B68A5">
        <w:rPr>
          <w:rFonts w:ascii="Arial" w:hAnsi="Arial" w:cs="Arial"/>
          <w:b/>
          <w:sz w:val="22"/>
          <w:szCs w:val="22"/>
        </w:rPr>
        <w:t>Cone Penetration Test (</w:t>
      </w:r>
      <w:smartTag w:uri="urn:schemas-microsoft-com:office:smarttags" w:element="stockticker">
        <w:r w:rsidRPr="009B68A5">
          <w:rPr>
            <w:rFonts w:ascii="Arial" w:hAnsi="Arial" w:cs="Arial"/>
            <w:b/>
            <w:sz w:val="22"/>
            <w:szCs w:val="22"/>
          </w:rPr>
          <w:t>CPT</w:t>
        </w:r>
      </w:smartTag>
      <w:r w:rsidRPr="009B68A5">
        <w:rPr>
          <w:rFonts w:ascii="Arial" w:hAnsi="Arial" w:cs="Arial"/>
          <w:b/>
          <w:sz w:val="22"/>
          <w:szCs w:val="22"/>
        </w:rPr>
        <w:t>):</w:t>
      </w:r>
      <w:r w:rsidRPr="009B68A5">
        <w:rPr>
          <w:rFonts w:ascii="Arial" w:hAnsi="Arial" w:cs="Arial"/>
          <w:sz w:val="22"/>
          <w:szCs w:val="22"/>
        </w:rPr>
        <w:t xml:space="preserve"> A </w:t>
      </w:r>
      <w:smartTag w:uri="urn:schemas-microsoft-com:office:smarttags" w:element="stockticker">
        <w:r w:rsidRPr="009B68A5">
          <w:rPr>
            <w:rFonts w:ascii="Arial" w:hAnsi="Arial" w:cs="Arial"/>
            <w:sz w:val="22"/>
            <w:szCs w:val="22"/>
          </w:rPr>
          <w:t>CPT</w:t>
        </w:r>
      </w:smartTag>
      <w:r w:rsidRPr="009B68A5">
        <w:rPr>
          <w:rFonts w:ascii="Arial" w:hAnsi="Arial" w:cs="Arial"/>
          <w:sz w:val="22"/>
          <w:szCs w:val="22"/>
        </w:rPr>
        <w:t xml:space="preserve"> device consists of a cylindrical probe with a cone-shaped tip with different sensors that allow a </w:t>
      </w:r>
      <w:r w:rsidRPr="009B68A5">
        <w:rPr>
          <w:rFonts w:ascii="Arial" w:hAnsi="Arial" w:cs="Arial"/>
          <w:b/>
          <w:sz w:val="22"/>
          <w:szCs w:val="22"/>
        </w:rPr>
        <w:t>real</w:t>
      </w:r>
      <w:r w:rsidR="009B1E8D">
        <w:rPr>
          <w:rFonts w:ascii="Arial" w:hAnsi="Arial" w:cs="Arial"/>
          <w:b/>
          <w:sz w:val="22"/>
          <w:szCs w:val="22"/>
        </w:rPr>
        <w:t>-</w:t>
      </w:r>
      <w:r w:rsidRPr="009B68A5">
        <w:rPr>
          <w:rFonts w:ascii="Arial" w:hAnsi="Arial" w:cs="Arial"/>
          <w:b/>
          <w:sz w:val="22"/>
          <w:szCs w:val="22"/>
        </w:rPr>
        <w:t>time continuous measurement of soil strength</w:t>
      </w:r>
      <w:r w:rsidRPr="009B68A5">
        <w:rPr>
          <w:rFonts w:ascii="Arial" w:hAnsi="Arial" w:cs="Arial"/>
          <w:sz w:val="22"/>
          <w:szCs w:val="22"/>
        </w:rPr>
        <w:t xml:space="preserve"> and characteristics by pushing it into the ground at a speed of 2 cm/s</w:t>
      </w:r>
      <w:r w:rsidR="00C878B8" w:rsidRPr="009B68A5">
        <w:rPr>
          <w:rFonts w:ascii="Arial" w:hAnsi="Arial" w:cs="Arial"/>
          <w:sz w:val="22"/>
          <w:szCs w:val="22"/>
        </w:rPr>
        <w:t>ec</w:t>
      </w:r>
      <w:r w:rsidRPr="009B68A5">
        <w:rPr>
          <w:rFonts w:ascii="Arial" w:hAnsi="Arial" w:cs="Arial"/>
          <w:sz w:val="22"/>
          <w:szCs w:val="22"/>
        </w:rPr>
        <w:t xml:space="preserve">. The typical </w:t>
      </w:r>
      <w:smartTag w:uri="urn:schemas-microsoft-com:office:smarttags" w:element="stockticker">
        <w:r w:rsidRPr="009B68A5">
          <w:rPr>
            <w:rFonts w:ascii="Arial" w:hAnsi="Arial" w:cs="Arial"/>
            <w:sz w:val="22"/>
            <w:szCs w:val="22"/>
          </w:rPr>
          <w:t>CPT</w:t>
        </w:r>
      </w:smartTag>
      <w:r w:rsidRPr="009B68A5">
        <w:rPr>
          <w:rFonts w:ascii="Arial" w:hAnsi="Arial" w:cs="Arial"/>
          <w:sz w:val="22"/>
          <w:szCs w:val="22"/>
        </w:rPr>
        <w:t xml:space="preserve"> probe measures the stress on the tip, the </w:t>
      </w:r>
      <w:r w:rsidRPr="009B68A5">
        <w:rPr>
          <w:rFonts w:ascii="Arial" w:hAnsi="Arial" w:cs="Arial"/>
          <w:b/>
          <w:bCs/>
          <w:sz w:val="22"/>
          <w:szCs w:val="22"/>
        </w:rPr>
        <w:t>sleeve friction</w:t>
      </w:r>
      <w:r w:rsidR="00C878B8" w:rsidRPr="009B68A5">
        <w:rPr>
          <w:rFonts w:ascii="Arial" w:hAnsi="Arial" w:cs="Arial"/>
          <w:bCs/>
          <w:sz w:val="22"/>
          <w:szCs w:val="22"/>
        </w:rPr>
        <w:t>,</w:t>
      </w:r>
      <w:r w:rsidRPr="009B68A5">
        <w:rPr>
          <w:rFonts w:ascii="Arial" w:hAnsi="Arial" w:cs="Arial"/>
          <w:sz w:val="22"/>
          <w:szCs w:val="22"/>
        </w:rPr>
        <w:t xml:space="preserve"> and the </w:t>
      </w:r>
      <w:r w:rsidRPr="009B68A5">
        <w:rPr>
          <w:rFonts w:ascii="Arial" w:hAnsi="Arial" w:cs="Arial"/>
          <w:b/>
          <w:bCs/>
          <w:sz w:val="22"/>
          <w:szCs w:val="22"/>
        </w:rPr>
        <w:t>pore water pressure</w:t>
      </w:r>
      <w:r w:rsidRPr="009B68A5">
        <w:rPr>
          <w:rFonts w:ascii="Arial" w:hAnsi="Arial" w:cs="Arial"/>
          <w:sz w:val="22"/>
          <w:szCs w:val="22"/>
        </w:rPr>
        <w:t xml:space="preserve">. Some of them are equipped with a geophone in order to be able to perform shear wave velocity measurements. Relationships exist which correlate subsurface resistance data collected with this instrument to: </w:t>
      </w:r>
      <w:r w:rsidRPr="009B68A5">
        <w:rPr>
          <w:rFonts w:ascii="Arial" w:hAnsi="Arial" w:cs="Arial"/>
          <w:b/>
          <w:sz w:val="22"/>
          <w:szCs w:val="22"/>
        </w:rPr>
        <w:t>soil description</w:t>
      </w:r>
      <w:r w:rsidRPr="009B68A5">
        <w:rPr>
          <w:rFonts w:ascii="Arial" w:hAnsi="Arial" w:cs="Arial"/>
          <w:sz w:val="22"/>
          <w:szCs w:val="22"/>
        </w:rPr>
        <w:t xml:space="preserve">; </w:t>
      </w:r>
      <w:r w:rsidRPr="009B68A5">
        <w:rPr>
          <w:rFonts w:ascii="Arial" w:hAnsi="Arial" w:cs="Arial"/>
          <w:b/>
          <w:bCs/>
          <w:sz w:val="22"/>
          <w:szCs w:val="22"/>
        </w:rPr>
        <w:t>relative density for granular soils</w:t>
      </w:r>
      <w:r w:rsidRPr="009B68A5">
        <w:rPr>
          <w:rFonts w:ascii="Arial" w:hAnsi="Arial" w:cs="Arial"/>
          <w:sz w:val="22"/>
          <w:szCs w:val="22"/>
        </w:rPr>
        <w:t xml:space="preserve">; and </w:t>
      </w:r>
      <w:r w:rsidRPr="009B68A5">
        <w:rPr>
          <w:rFonts w:ascii="Arial" w:hAnsi="Arial" w:cs="Arial"/>
          <w:b/>
          <w:bCs/>
          <w:sz w:val="22"/>
          <w:szCs w:val="22"/>
        </w:rPr>
        <w:t>undrained shear strength (</w:t>
      </w:r>
      <w:r w:rsidRPr="009B68A5">
        <w:rPr>
          <w:rFonts w:ascii="Arial" w:hAnsi="Arial" w:cs="Arial"/>
          <w:b/>
          <w:sz w:val="22"/>
          <w:szCs w:val="22"/>
        </w:rPr>
        <w:t>S</w:t>
      </w:r>
      <w:r w:rsidRPr="009B68A5">
        <w:rPr>
          <w:rFonts w:ascii="Arial" w:hAnsi="Arial" w:cs="Arial"/>
          <w:b/>
          <w:sz w:val="22"/>
          <w:szCs w:val="22"/>
          <w:vertAlign w:val="subscript"/>
        </w:rPr>
        <w:t>U</w:t>
      </w:r>
      <w:r w:rsidRPr="009B68A5">
        <w:rPr>
          <w:rFonts w:ascii="Arial" w:hAnsi="Arial" w:cs="Arial"/>
          <w:b/>
          <w:bCs/>
          <w:sz w:val="22"/>
          <w:szCs w:val="22"/>
        </w:rPr>
        <w:t>) for fine grained soils</w:t>
      </w:r>
      <w:r w:rsidRPr="009B68A5">
        <w:rPr>
          <w:rFonts w:ascii="Arial" w:hAnsi="Arial" w:cs="Arial"/>
          <w:sz w:val="22"/>
          <w:szCs w:val="22"/>
        </w:rPr>
        <w:t xml:space="preserve">. Because this probe is advanced slowly, under so called quasi-static loading, estimation of </w:t>
      </w:r>
      <w:r w:rsidRPr="009B68A5">
        <w:rPr>
          <w:rFonts w:ascii="Arial" w:hAnsi="Arial" w:cs="Arial"/>
          <w:b/>
          <w:sz w:val="22"/>
          <w:szCs w:val="22"/>
        </w:rPr>
        <w:t>S</w:t>
      </w:r>
      <w:r w:rsidRPr="009B68A5">
        <w:rPr>
          <w:rFonts w:ascii="Arial" w:hAnsi="Arial" w:cs="Arial"/>
          <w:b/>
          <w:sz w:val="22"/>
          <w:szCs w:val="22"/>
          <w:vertAlign w:val="subscript"/>
        </w:rPr>
        <w:t>U</w:t>
      </w:r>
      <w:r w:rsidRPr="009B68A5">
        <w:rPr>
          <w:rFonts w:ascii="Arial" w:hAnsi="Arial" w:cs="Arial"/>
          <w:sz w:val="22"/>
          <w:szCs w:val="22"/>
        </w:rPr>
        <w:t xml:space="preserve"> </w:t>
      </w:r>
      <w:r w:rsidRPr="000E1EBB">
        <w:rPr>
          <w:rFonts w:ascii="Arial" w:hAnsi="Arial" w:cs="Arial"/>
          <w:sz w:val="22"/>
          <w:szCs w:val="22"/>
        </w:rPr>
        <w:t xml:space="preserve">using </w:t>
      </w:r>
      <w:smartTag w:uri="urn:schemas-microsoft-com:office:smarttags" w:element="stockticker">
        <w:r w:rsidRPr="000E1EBB">
          <w:rPr>
            <w:rFonts w:ascii="Arial" w:hAnsi="Arial" w:cs="Arial"/>
            <w:sz w:val="22"/>
            <w:szCs w:val="22"/>
          </w:rPr>
          <w:t>CPT</w:t>
        </w:r>
      </w:smartTag>
      <w:r w:rsidRPr="000E1EBB">
        <w:rPr>
          <w:rFonts w:ascii="Arial" w:hAnsi="Arial" w:cs="Arial"/>
          <w:sz w:val="22"/>
          <w:szCs w:val="22"/>
        </w:rPr>
        <w:t xml:space="preserve"> data is preferable to estima</w:t>
      </w:r>
      <w:r w:rsidRPr="009B68A5">
        <w:rPr>
          <w:rFonts w:ascii="Arial" w:hAnsi="Arial" w:cs="Arial"/>
          <w:sz w:val="22"/>
          <w:szCs w:val="22"/>
        </w:rPr>
        <w:t>tion of</w:t>
      </w:r>
      <w:r w:rsidR="00FD5043" w:rsidRPr="009B68A5">
        <w:rPr>
          <w:rFonts w:ascii="Arial" w:hAnsi="Arial" w:cs="Arial"/>
          <w:sz w:val="22"/>
          <w:szCs w:val="22"/>
        </w:rPr>
        <w:t xml:space="preserve"> </w:t>
      </w:r>
      <w:r w:rsidR="00171335" w:rsidRPr="009B68A5">
        <w:rPr>
          <w:rFonts w:ascii="Arial" w:hAnsi="Arial" w:cs="Arial"/>
          <w:b/>
          <w:sz w:val="22"/>
          <w:szCs w:val="22"/>
        </w:rPr>
        <w:t>unconfined compressive strength</w:t>
      </w:r>
      <w:r w:rsidRPr="009B68A5">
        <w:rPr>
          <w:rFonts w:ascii="Arial" w:hAnsi="Arial" w:cs="Arial"/>
          <w:b/>
          <w:sz w:val="22"/>
          <w:szCs w:val="22"/>
        </w:rPr>
        <w:t xml:space="preserve"> </w:t>
      </w:r>
      <w:r w:rsidR="00171335" w:rsidRPr="009B68A5">
        <w:rPr>
          <w:rFonts w:ascii="Arial" w:hAnsi="Arial" w:cs="Arial"/>
          <w:b/>
          <w:sz w:val="22"/>
          <w:szCs w:val="22"/>
        </w:rPr>
        <w:t>(</w:t>
      </w:r>
      <w:r w:rsidRPr="009B68A5">
        <w:rPr>
          <w:rFonts w:ascii="Arial" w:hAnsi="Arial" w:cs="Arial"/>
          <w:b/>
          <w:sz w:val="22"/>
          <w:szCs w:val="22"/>
        </w:rPr>
        <w:t>q</w:t>
      </w:r>
      <w:r w:rsidRPr="009B68A5">
        <w:rPr>
          <w:rFonts w:ascii="Arial" w:hAnsi="Arial" w:cs="Arial"/>
          <w:b/>
          <w:sz w:val="22"/>
          <w:szCs w:val="22"/>
          <w:vertAlign w:val="subscript"/>
        </w:rPr>
        <w:t>u</w:t>
      </w:r>
      <w:r w:rsidR="00171335" w:rsidRPr="009B68A5">
        <w:rPr>
          <w:rFonts w:ascii="Arial" w:hAnsi="Arial" w:cs="Arial"/>
          <w:b/>
          <w:sz w:val="22"/>
          <w:szCs w:val="22"/>
        </w:rPr>
        <w:t>)</w:t>
      </w:r>
      <w:r w:rsidRPr="009B68A5">
        <w:rPr>
          <w:rFonts w:ascii="Arial" w:hAnsi="Arial" w:cs="Arial"/>
          <w:sz w:val="22"/>
          <w:szCs w:val="22"/>
        </w:rPr>
        <w:t xml:space="preserve"> from the Standard Penetration Test where the sampler is advanced under dynamic loading and unknown damping forces may influence the data in soils with low permeability. </w:t>
      </w:r>
    </w:p>
    <w:p w14:paraId="7022DE5D" w14:textId="606ABA9B" w:rsidR="001B1DE3" w:rsidRPr="00052A2A" w:rsidRDefault="001B1DE3" w:rsidP="00C878B8">
      <w:pPr>
        <w:autoSpaceDE w:val="0"/>
        <w:autoSpaceDN w:val="0"/>
        <w:adjustRightInd w:val="0"/>
        <w:jc w:val="both"/>
        <w:rPr>
          <w:rFonts w:ascii="Arial" w:hAnsi="Arial" w:cs="Arial"/>
          <w:sz w:val="22"/>
          <w:szCs w:val="22"/>
        </w:rPr>
      </w:pPr>
    </w:p>
    <w:p w14:paraId="689F0C18" w14:textId="77777777" w:rsidR="00C878B8" w:rsidRDefault="001B1DE3" w:rsidP="00C878B8">
      <w:pPr>
        <w:jc w:val="both"/>
        <w:rPr>
          <w:rFonts w:ascii="Arial" w:hAnsi="Arial" w:cs="Arial"/>
          <w:sz w:val="22"/>
          <w:szCs w:val="22"/>
        </w:rPr>
      </w:pPr>
      <w:r w:rsidRPr="00052A2A">
        <w:rPr>
          <w:rFonts w:ascii="Arial" w:hAnsi="Arial" w:cs="Arial"/>
          <w:b/>
          <w:sz w:val="22"/>
          <w:szCs w:val="22"/>
        </w:rPr>
        <w:t>Flat Dilatometer Test (DMT):</w:t>
      </w:r>
      <w:r w:rsidRPr="00052A2A">
        <w:rPr>
          <w:rFonts w:ascii="Arial" w:hAnsi="Arial" w:cs="Arial"/>
          <w:sz w:val="22"/>
          <w:szCs w:val="22"/>
        </w:rPr>
        <w:t xml:space="preserve"> The dilatometer test consists of inserting a hardened steel blade into the ground.  A circular steel membrane is located on one side of the blade.  A cone penetration truck or drill rig is used to advance the blade at a constant rate of 2 cm/sec.  The shape and dimension of the dilatometer blade have been designed to minimize the induced strain (and hence disturbance) to the soil during insertion.  At selected intervals (typically 8 inches) the steel membrane is expanded laterally into the soil.  The pressures required to expand the membrane provide a direct measurement of the </w:t>
      </w:r>
      <w:r w:rsidRPr="00052A2A">
        <w:rPr>
          <w:rFonts w:ascii="Arial" w:hAnsi="Arial" w:cs="Arial"/>
          <w:b/>
          <w:sz w:val="22"/>
          <w:szCs w:val="22"/>
        </w:rPr>
        <w:t>soil modulus</w:t>
      </w:r>
      <w:r w:rsidRPr="00052A2A">
        <w:rPr>
          <w:rFonts w:ascii="Arial" w:hAnsi="Arial" w:cs="Arial"/>
          <w:sz w:val="22"/>
          <w:szCs w:val="22"/>
        </w:rPr>
        <w:t xml:space="preserve"> (stiffness).  In addition to the </w:t>
      </w:r>
      <w:r w:rsidRPr="00052A2A">
        <w:rPr>
          <w:rFonts w:ascii="Arial" w:hAnsi="Arial" w:cs="Arial"/>
          <w:b/>
          <w:bCs/>
          <w:sz w:val="22"/>
          <w:szCs w:val="22"/>
        </w:rPr>
        <w:t>modulus,</w:t>
      </w:r>
      <w:r w:rsidRPr="00052A2A">
        <w:rPr>
          <w:rFonts w:ascii="Arial" w:hAnsi="Arial" w:cs="Arial"/>
          <w:sz w:val="22"/>
          <w:szCs w:val="22"/>
        </w:rPr>
        <w:t xml:space="preserve"> other geotechnical engineering parameters that may be evaluated from dilatometer testing include </w:t>
      </w:r>
      <w:r w:rsidRPr="00052A2A">
        <w:rPr>
          <w:rFonts w:ascii="Arial" w:hAnsi="Arial" w:cs="Arial"/>
          <w:b/>
          <w:bCs/>
          <w:sz w:val="22"/>
          <w:szCs w:val="22"/>
        </w:rPr>
        <w:t>undrained shear strength, friction angle, over consolidation ratio, and permeability.</w:t>
      </w:r>
      <w:r w:rsidRPr="00052A2A">
        <w:rPr>
          <w:rFonts w:ascii="Arial" w:hAnsi="Arial" w:cs="Arial"/>
          <w:sz w:val="22"/>
          <w:szCs w:val="22"/>
        </w:rPr>
        <w:t xml:space="preserve"> Shallow and deep foundation design can then be performed using the derived geotechnical data. A main benefit of the dilatometer is that it directly measures the soil modulus (stiffness). This parameter controls foundation design since </w:t>
      </w:r>
      <w:r w:rsidRPr="00052A2A">
        <w:rPr>
          <w:rFonts w:ascii="Arial" w:hAnsi="Arial" w:cs="Arial"/>
          <w:b/>
          <w:bCs/>
          <w:sz w:val="22"/>
          <w:szCs w:val="22"/>
        </w:rPr>
        <w:t>almost all foundations are designed based on their potential for settlement and not bearing capacity</w:t>
      </w:r>
      <w:r w:rsidRPr="00052A2A">
        <w:rPr>
          <w:rFonts w:ascii="Arial" w:hAnsi="Arial" w:cs="Arial"/>
          <w:sz w:val="22"/>
          <w:szCs w:val="22"/>
        </w:rPr>
        <w:t xml:space="preserve"> (i.e.</w:t>
      </w:r>
      <w:r w:rsidR="00C878B8">
        <w:rPr>
          <w:rFonts w:ascii="Arial" w:hAnsi="Arial" w:cs="Arial"/>
          <w:sz w:val="22"/>
          <w:szCs w:val="22"/>
        </w:rPr>
        <w:t>,</w:t>
      </w:r>
      <w:r w:rsidRPr="00052A2A">
        <w:rPr>
          <w:rFonts w:ascii="Arial" w:hAnsi="Arial" w:cs="Arial"/>
          <w:sz w:val="22"/>
          <w:szCs w:val="22"/>
        </w:rPr>
        <w:t xml:space="preserve"> failure). Predicting settlements of shallow foundations is perhaps the primary application of the dilatometer test, especially in sandy soils and soft clay soils. An advantage of the dilatometer is that it can be used to obtain in-place data at short, equally spaced depth intervals, thereby </w:t>
      </w:r>
      <w:r w:rsidRPr="00CF1774">
        <w:rPr>
          <w:rFonts w:ascii="Arial" w:hAnsi="Arial" w:cs="Arial"/>
          <w:sz w:val="22"/>
          <w:szCs w:val="22"/>
        </w:rPr>
        <w:t>providing a profile of the subsurface. Moreover, since pre-drilling is not required, profile data can be obtained relatively quickly</w:t>
      </w:r>
      <w:r w:rsidRPr="00052A2A">
        <w:rPr>
          <w:rFonts w:ascii="Arial" w:hAnsi="Arial" w:cs="Arial"/>
          <w:sz w:val="22"/>
          <w:szCs w:val="22"/>
        </w:rPr>
        <w:t xml:space="preserve">. </w:t>
      </w:r>
    </w:p>
    <w:p w14:paraId="04B9880E" w14:textId="7985B9B3" w:rsidR="001B1DE3" w:rsidRPr="00052A2A" w:rsidRDefault="001B1DE3" w:rsidP="00C878B8">
      <w:pPr>
        <w:jc w:val="both"/>
        <w:rPr>
          <w:rFonts w:ascii="Arial" w:hAnsi="Arial" w:cs="Arial"/>
          <w:sz w:val="22"/>
          <w:szCs w:val="22"/>
        </w:rPr>
      </w:pPr>
    </w:p>
    <w:p w14:paraId="4D8820B5" w14:textId="0EF62284" w:rsidR="00C878B8" w:rsidRDefault="001B1DE3" w:rsidP="00C878B8">
      <w:pPr>
        <w:autoSpaceDE w:val="0"/>
        <w:autoSpaceDN w:val="0"/>
        <w:adjustRightInd w:val="0"/>
        <w:jc w:val="both"/>
        <w:rPr>
          <w:rFonts w:ascii="Arial" w:hAnsi="Arial" w:cs="Arial"/>
          <w:sz w:val="22"/>
          <w:szCs w:val="22"/>
        </w:rPr>
      </w:pPr>
      <w:r w:rsidRPr="00052A2A">
        <w:rPr>
          <w:rFonts w:ascii="Arial" w:hAnsi="Arial" w:cs="Arial"/>
          <w:b/>
          <w:sz w:val="22"/>
          <w:szCs w:val="22"/>
        </w:rPr>
        <w:t xml:space="preserve">Pressuremeter Test (PMT): </w:t>
      </w:r>
      <w:r w:rsidRPr="00052A2A">
        <w:rPr>
          <w:rFonts w:ascii="Arial" w:hAnsi="Arial" w:cs="Arial"/>
          <w:sz w:val="22"/>
          <w:szCs w:val="22"/>
        </w:rPr>
        <w:t>Pressuremeter Tests are used to measure the in-situ deformation (compressibility) and strength properties of a wide variety of soil types, weathered rock</w:t>
      </w:r>
      <w:r w:rsidR="00C878B8">
        <w:rPr>
          <w:rFonts w:ascii="Arial" w:hAnsi="Arial" w:cs="Arial"/>
          <w:sz w:val="22"/>
          <w:szCs w:val="22"/>
        </w:rPr>
        <w:t>,</w:t>
      </w:r>
      <w:r w:rsidRPr="00052A2A">
        <w:rPr>
          <w:rFonts w:ascii="Arial" w:hAnsi="Arial" w:cs="Arial"/>
          <w:sz w:val="22"/>
          <w:szCs w:val="22"/>
        </w:rPr>
        <w:t xml:space="preserve"> and low to moderate strength intact rock. </w:t>
      </w:r>
    </w:p>
    <w:p w14:paraId="5CA534B6" w14:textId="1A320FBA" w:rsidR="001B1DE3" w:rsidRPr="00052A2A" w:rsidRDefault="001B1DE3" w:rsidP="00C878B8">
      <w:pPr>
        <w:autoSpaceDE w:val="0"/>
        <w:autoSpaceDN w:val="0"/>
        <w:adjustRightInd w:val="0"/>
        <w:jc w:val="both"/>
        <w:rPr>
          <w:rFonts w:ascii="Arial" w:hAnsi="Arial" w:cs="Arial"/>
          <w:sz w:val="22"/>
          <w:szCs w:val="22"/>
        </w:rPr>
      </w:pPr>
    </w:p>
    <w:p w14:paraId="5574CD0F" w14:textId="0D920440" w:rsidR="00C878B8" w:rsidRDefault="001B1DE3" w:rsidP="00C878B8">
      <w:pPr>
        <w:autoSpaceDE w:val="0"/>
        <w:autoSpaceDN w:val="0"/>
        <w:adjustRightInd w:val="0"/>
        <w:jc w:val="both"/>
        <w:rPr>
          <w:rFonts w:ascii="Arial" w:hAnsi="Arial" w:cs="Arial"/>
          <w:sz w:val="22"/>
          <w:szCs w:val="22"/>
        </w:rPr>
      </w:pPr>
      <w:r w:rsidRPr="00052A2A">
        <w:rPr>
          <w:rFonts w:ascii="Arial" w:hAnsi="Arial" w:cs="Arial"/>
          <w:b/>
          <w:sz w:val="22"/>
          <w:szCs w:val="22"/>
        </w:rPr>
        <w:t>Monitoring Wells:</w:t>
      </w:r>
      <w:r w:rsidRPr="00052A2A">
        <w:rPr>
          <w:rFonts w:ascii="Arial" w:hAnsi="Arial" w:cs="Arial"/>
          <w:sz w:val="22"/>
          <w:szCs w:val="22"/>
        </w:rPr>
        <w:t xml:space="preserve"> Monitoring wells are installed to monitor groundwater elevations and conditions over an established period of time. This is necessary to evaluate potential groundwater impacts on design, during construction</w:t>
      </w:r>
      <w:r w:rsidR="00C878B8">
        <w:rPr>
          <w:rFonts w:ascii="Arial" w:hAnsi="Arial" w:cs="Arial"/>
          <w:sz w:val="22"/>
          <w:szCs w:val="22"/>
        </w:rPr>
        <w:t>,</w:t>
      </w:r>
      <w:r w:rsidRPr="00052A2A">
        <w:rPr>
          <w:rFonts w:ascii="Arial" w:hAnsi="Arial" w:cs="Arial"/>
          <w:sz w:val="22"/>
          <w:szCs w:val="22"/>
        </w:rPr>
        <w:t xml:space="preserve"> and also for evaluating the performance of dewatering systems.</w:t>
      </w:r>
    </w:p>
    <w:p w14:paraId="48E409BA" w14:textId="35B9CF23" w:rsidR="001B1DE3" w:rsidRPr="00052A2A" w:rsidRDefault="001B1DE3" w:rsidP="00C878B8">
      <w:pPr>
        <w:autoSpaceDE w:val="0"/>
        <w:autoSpaceDN w:val="0"/>
        <w:adjustRightInd w:val="0"/>
        <w:jc w:val="both"/>
        <w:rPr>
          <w:rFonts w:ascii="Arial" w:hAnsi="Arial" w:cs="Arial"/>
          <w:sz w:val="22"/>
          <w:szCs w:val="22"/>
        </w:rPr>
      </w:pPr>
    </w:p>
    <w:p w14:paraId="6F55F5B7" w14:textId="77777777" w:rsidR="001B1DE3" w:rsidRDefault="001B1DE3" w:rsidP="00C878B8">
      <w:pPr>
        <w:jc w:val="both"/>
        <w:rPr>
          <w:rFonts w:ascii="Arial" w:hAnsi="Arial" w:cs="Arial"/>
          <w:sz w:val="22"/>
          <w:szCs w:val="22"/>
        </w:rPr>
      </w:pPr>
      <w:r w:rsidRPr="00052A2A">
        <w:rPr>
          <w:rFonts w:ascii="Arial" w:hAnsi="Arial" w:cs="Arial"/>
          <w:b/>
          <w:sz w:val="22"/>
          <w:szCs w:val="22"/>
        </w:rPr>
        <w:t>Plate Load Tests:</w:t>
      </w:r>
      <w:r w:rsidRPr="00052A2A">
        <w:rPr>
          <w:rFonts w:ascii="Arial" w:hAnsi="Arial" w:cs="Arial"/>
          <w:sz w:val="22"/>
          <w:szCs w:val="22"/>
        </w:rPr>
        <w:t xml:space="preserve"> A traditional in-situ method for estimating the bearing capacity of foundations on soil, and for obtaining the soil modulus for the purpose of estimating the settlement of foundations on soil or rock. </w:t>
      </w:r>
      <w:r>
        <w:rPr>
          <w:rFonts w:ascii="Arial" w:hAnsi="Arial" w:cs="Arial"/>
          <w:sz w:val="22"/>
          <w:szCs w:val="22"/>
        </w:rPr>
        <w:t xml:space="preserve">  </w:t>
      </w:r>
      <w:r w:rsidRPr="00052A2A">
        <w:rPr>
          <w:rFonts w:ascii="Arial" w:hAnsi="Arial" w:cs="Arial"/>
          <w:sz w:val="22"/>
          <w:szCs w:val="22"/>
        </w:rPr>
        <w:t xml:space="preserve">Courtesy:  </w:t>
      </w:r>
    </w:p>
    <w:p w14:paraId="4FC062D1" w14:textId="278572E7" w:rsidR="001B1DE3" w:rsidRPr="00052A2A" w:rsidRDefault="00BE5E6F" w:rsidP="00C878B8">
      <w:pPr>
        <w:jc w:val="both"/>
        <w:rPr>
          <w:rFonts w:ascii="Arial" w:hAnsi="Arial" w:cs="Arial"/>
          <w:sz w:val="22"/>
          <w:szCs w:val="22"/>
        </w:rPr>
      </w:pPr>
      <w:hyperlink r:id="rId101" w:history="1">
        <w:r>
          <w:rPr>
            <w:rStyle w:val="Hyperlink"/>
            <w:rFonts w:ascii="Arial" w:hAnsi="Arial" w:cs="Arial"/>
          </w:rPr>
          <w:t>https://dot.ca.gov/programs/engineering-services/manuals/sc-trenchingandshoring-manual</w:t>
        </w:r>
      </w:hyperlink>
    </w:p>
    <w:p w14:paraId="707F70C5" w14:textId="77777777" w:rsidR="001B1DE3" w:rsidRPr="008014BA" w:rsidRDefault="001B1DE3" w:rsidP="008014BA">
      <w:pPr>
        <w:jc w:val="both"/>
        <w:rPr>
          <w:rFonts w:ascii="Arial" w:hAnsi="Arial"/>
          <w:sz w:val="22"/>
        </w:rPr>
      </w:pPr>
    </w:p>
    <w:p w14:paraId="49B20050" w14:textId="77777777" w:rsidR="00846609" w:rsidRDefault="00846609">
      <w:pPr>
        <w:sectPr w:rsidR="00846609" w:rsidSect="00977256">
          <w:headerReference w:type="default" r:id="rId102"/>
          <w:footerReference w:type="default" r:id="rId103"/>
          <w:pgSz w:w="12240" w:h="15840"/>
          <w:pgMar w:top="1440" w:right="1800" w:bottom="1440" w:left="1800" w:header="720" w:footer="720" w:gutter="0"/>
          <w:pgNumType w:chapStyle="1"/>
          <w:cols w:space="720"/>
          <w:docGrid w:linePitch="272"/>
        </w:sectPr>
      </w:pPr>
    </w:p>
    <w:p w14:paraId="4BFC0985" w14:textId="326D63B6" w:rsidR="00334AD6" w:rsidRDefault="00994B26" w:rsidP="00846609">
      <w:pPr>
        <w:pStyle w:val="Heading2"/>
        <w:ind w:left="720" w:hanging="720"/>
      </w:pPr>
      <w:bookmarkStart w:id="124" w:name="_geophysical_investigation"/>
      <w:bookmarkStart w:id="125" w:name="_Toc479160085"/>
      <w:bookmarkStart w:id="126" w:name="_Toc194932370"/>
      <w:bookmarkStart w:id="127" w:name="J2_Geophysical_Investigation"/>
      <w:bookmarkEnd w:id="124"/>
      <w:r>
        <w:lastRenderedPageBreak/>
        <w:t>G</w:t>
      </w:r>
      <w:r w:rsidR="005F328B">
        <w:t xml:space="preserve">eophysical </w:t>
      </w:r>
      <w:r>
        <w:t>I</w:t>
      </w:r>
      <w:r w:rsidR="005F328B">
        <w:t>nvestigation</w:t>
      </w:r>
      <w:bookmarkEnd w:id="125"/>
      <w:bookmarkEnd w:id="126"/>
    </w:p>
    <w:bookmarkEnd w:id="127"/>
    <w:p w14:paraId="1E5EA59D" w14:textId="77777777" w:rsidR="00303292" w:rsidRDefault="00303292" w:rsidP="00483837">
      <w:pPr>
        <w:pStyle w:val="Heading3"/>
        <w:ind w:left="1440" w:hanging="1440"/>
      </w:pPr>
      <w:r>
        <w:t>Purpose</w:t>
      </w:r>
    </w:p>
    <w:p w14:paraId="742D1A70" w14:textId="088E1870" w:rsidR="00303292" w:rsidRPr="008014BA" w:rsidRDefault="00303292" w:rsidP="00303292">
      <w:pPr>
        <w:tabs>
          <w:tab w:val="center" w:pos="0"/>
        </w:tabs>
        <w:jc w:val="both"/>
        <w:rPr>
          <w:rFonts w:ascii="Arial" w:hAnsi="Arial" w:cs="Arial"/>
          <w:sz w:val="22"/>
          <w:szCs w:val="22"/>
        </w:rPr>
      </w:pPr>
      <w:r>
        <w:rPr>
          <w:rFonts w:ascii="Arial" w:hAnsi="Arial"/>
          <w:sz w:val="22"/>
        </w:rPr>
        <w:t xml:space="preserve">The purpose of this section is </w:t>
      </w:r>
      <w:r>
        <w:rPr>
          <w:rFonts w:ascii="Arial" w:hAnsi="Arial" w:cs="Arial"/>
          <w:sz w:val="22"/>
          <w:szCs w:val="22"/>
        </w:rPr>
        <w:t xml:space="preserve">to provide the PAGD engineer </w:t>
      </w:r>
      <w:r w:rsidR="00846609">
        <w:rPr>
          <w:rFonts w:ascii="Arial" w:hAnsi="Arial" w:cs="Arial"/>
          <w:sz w:val="22"/>
          <w:szCs w:val="22"/>
        </w:rPr>
        <w:t xml:space="preserve">with a </w:t>
      </w:r>
      <w:r w:rsidR="00C44083">
        <w:rPr>
          <w:rFonts w:ascii="Arial" w:hAnsi="Arial" w:cs="Arial"/>
          <w:sz w:val="22"/>
          <w:szCs w:val="22"/>
        </w:rPr>
        <w:t>basic knowledge</w:t>
      </w:r>
      <w:r w:rsidRPr="009D5CD6">
        <w:rPr>
          <w:rFonts w:ascii="Arial" w:hAnsi="Arial" w:cs="Arial"/>
          <w:sz w:val="22"/>
          <w:szCs w:val="22"/>
        </w:rPr>
        <w:t xml:space="preserve"> </w:t>
      </w:r>
      <w:r>
        <w:rPr>
          <w:rFonts w:ascii="Arial" w:hAnsi="Arial" w:cs="Arial"/>
          <w:sz w:val="22"/>
          <w:szCs w:val="22"/>
        </w:rPr>
        <w:t>of geophysical</w:t>
      </w:r>
      <w:r w:rsidRPr="009D5CD6">
        <w:rPr>
          <w:rFonts w:ascii="Arial" w:hAnsi="Arial" w:cs="Arial"/>
          <w:sz w:val="22"/>
          <w:szCs w:val="22"/>
        </w:rPr>
        <w:t xml:space="preserve"> </w:t>
      </w:r>
      <w:r w:rsidR="007544C2">
        <w:rPr>
          <w:rFonts w:ascii="Arial" w:hAnsi="Arial" w:cs="Arial"/>
          <w:sz w:val="22"/>
          <w:szCs w:val="22"/>
        </w:rPr>
        <w:t>technologies and their limitations</w:t>
      </w:r>
      <w:r>
        <w:rPr>
          <w:rFonts w:ascii="Arial" w:hAnsi="Arial" w:cs="Arial"/>
          <w:sz w:val="22"/>
          <w:szCs w:val="22"/>
        </w:rPr>
        <w:t xml:space="preserve">.  With this information, the PAGD engineer can </w:t>
      </w:r>
      <w:r w:rsidRPr="009D5CD6">
        <w:rPr>
          <w:rFonts w:ascii="Arial" w:hAnsi="Arial" w:cs="Arial"/>
          <w:sz w:val="22"/>
          <w:szCs w:val="22"/>
        </w:rPr>
        <w:t>provide</w:t>
      </w:r>
      <w:r>
        <w:rPr>
          <w:rFonts w:ascii="Arial" w:hAnsi="Arial" w:cs="Arial"/>
          <w:sz w:val="22"/>
          <w:szCs w:val="22"/>
        </w:rPr>
        <w:t xml:space="preserve"> sufficient</w:t>
      </w:r>
      <w:r w:rsidRPr="009D5CD6">
        <w:rPr>
          <w:rFonts w:ascii="Arial" w:hAnsi="Arial" w:cs="Arial"/>
          <w:sz w:val="22"/>
          <w:szCs w:val="22"/>
        </w:rPr>
        <w:t xml:space="preserve"> information to</w:t>
      </w:r>
      <w:r>
        <w:rPr>
          <w:rFonts w:ascii="Arial" w:hAnsi="Arial" w:cs="Arial"/>
          <w:sz w:val="22"/>
          <w:szCs w:val="22"/>
        </w:rPr>
        <w:t xml:space="preserve"> the</w:t>
      </w:r>
      <w:r w:rsidRPr="009D5CD6">
        <w:rPr>
          <w:rFonts w:ascii="Arial" w:hAnsi="Arial" w:cs="Arial"/>
          <w:sz w:val="22"/>
          <w:szCs w:val="22"/>
        </w:rPr>
        <w:t xml:space="preserve"> geophysicist so </w:t>
      </w:r>
      <w:r>
        <w:rPr>
          <w:rFonts w:ascii="Arial" w:hAnsi="Arial" w:cs="Arial"/>
          <w:sz w:val="22"/>
          <w:szCs w:val="22"/>
        </w:rPr>
        <w:t>the geophysicist</w:t>
      </w:r>
      <w:r w:rsidRPr="009D5CD6">
        <w:rPr>
          <w:rFonts w:ascii="Arial" w:hAnsi="Arial" w:cs="Arial"/>
          <w:sz w:val="22"/>
          <w:szCs w:val="22"/>
        </w:rPr>
        <w:t xml:space="preserve"> </w:t>
      </w:r>
      <w:r>
        <w:rPr>
          <w:rFonts w:ascii="Arial" w:hAnsi="Arial" w:cs="Arial"/>
          <w:sz w:val="22"/>
          <w:szCs w:val="22"/>
        </w:rPr>
        <w:t>can design and conduct an appropriate geophysical survey</w:t>
      </w:r>
      <w:r w:rsidRPr="009D5CD6">
        <w:rPr>
          <w:rFonts w:ascii="Arial" w:hAnsi="Arial" w:cs="Arial"/>
          <w:sz w:val="22"/>
          <w:szCs w:val="22"/>
        </w:rPr>
        <w:t>.</w:t>
      </w:r>
      <w:r w:rsidRPr="008014BA">
        <w:rPr>
          <w:rFonts w:ascii="Arial" w:hAnsi="Arial" w:cs="Arial"/>
          <w:sz w:val="22"/>
          <w:szCs w:val="22"/>
        </w:rPr>
        <w:t xml:space="preserve"> </w:t>
      </w:r>
    </w:p>
    <w:p w14:paraId="2855CB61" w14:textId="77777777" w:rsidR="003748B8" w:rsidRPr="00CC58A7" w:rsidRDefault="003748B8" w:rsidP="00483837">
      <w:pPr>
        <w:pStyle w:val="Heading3"/>
        <w:ind w:left="1440" w:hanging="1440"/>
      </w:pPr>
      <w:r w:rsidRPr="00CC58A7">
        <w:t>Resource Requirements</w:t>
      </w:r>
    </w:p>
    <w:p w14:paraId="7E680BD2" w14:textId="224BCE33" w:rsidR="003748B8" w:rsidRDefault="003748B8" w:rsidP="00846609">
      <w:pPr>
        <w:pStyle w:val="BodyText"/>
        <w:spacing w:after="240"/>
        <w:jc w:val="both"/>
      </w:pPr>
      <w:r w:rsidRPr="00CC58A7">
        <w:t xml:space="preserve">The </w:t>
      </w:r>
      <w:r w:rsidR="001C3861">
        <w:t xml:space="preserve">geophysical </w:t>
      </w:r>
      <w:r w:rsidRPr="00CC58A7">
        <w:t xml:space="preserve">request process is typically done with data available to the </w:t>
      </w:r>
      <w:r>
        <w:t xml:space="preserve">PAGD Engineer in the office, </w:t>
      </w:r>
      <w:r w:rsidRPr="00CC58A7">
        <w:t>coupled with a site visit</w:t>
      </w:r>
      <w:r w:rsidR="007544C2">
        <w:t xml:space="preserve"> with the geophysicist</w:t>
      </w:r>
      <w:r w:rsidRPr="00CC58A7">
        <w:t xml:space="preserve">.  The request procedure documented below requires the following staffing needs for a typical </w:t>
      </w:r>
      <w:r>
        <w:t>project</w:t>
      </w:r>
      <w:r w:rsidRPr="00CC58A7">
        <w:t>:</w:t>
      </w: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87"/>
        <w:gridCol w:w="2286"/>
        <w:gridCol w:w="1926"/>
        <w:gridCol w:w="1584"/>
      </w:tblGrid>
      <w:tr w:rsidR="003748B8" w:rsidRPr="00CC58A7" w14:paraId="52D6A129" w14:textId="77777777" w:rsidTr="00CF3FEF">
        <w:trPr>
          <w:trHeight w:val="288"/>
          <w:jc w:val="center"/>
        </w:trPr>
        <w:tc>
          <w:tcPr>
            <w:tcW w:w="2687" w:type="dxa"/>
            <w:shd w:val="pct15" w:color="auto" w:fill="FFFFFF"/>
            <w:vAlign w:val="center"/>
          </w:tcPr>
          <w:p w14:paraId="57FB3920" w14:textId="77777777" w:rsidR="003748B8" w:rsidRPr="00CC58A7" w:rsidRDefault="003748B8" w:rsidP="003748B8">
            <w:pPr>
              <w:jc w:val="center"/>
              <w:rPr>
                <w:rFonts w:ascii="Arial" w:hAnsi="Arial"/>
                <w:b/>
              </w:rPr>
            </w:pPr>
            <w:r w:rsidRPr="00CC58A7">
              <w:rPr>
                <w:rFonts w:ascii="Arial" w:hAnsi="Arial"/>
                <w:b/>
              </w:rPr>
              <w:t>Position</w:t>
            </w:r>
          </w:p>
        </w:tc>
        <w:tc>
          <w:tcPr>
            <w:tcW w:w="2286" w:type="dxa"/>
            <w:shd w:val="pct15" w:color="auto" w:fill="FFFFFF"/>
            <w:vAlign w:val="center"/>
          </w:tcPr>
          <w:p w14:paraId="5BCB59B7" w14:textId="77777777" w:rsidR="003748B8" w:rsidRPr="00CC58A7" w:rsidRDefault="003748B8" w:rsidP="003748B8">
            <w:pPr>
              <w:jc w:val="center"/>
              <w:rPr>
                <w:rFonts w:ascii="Arial" w:hAnsi="Arial"/>
                <w:b/>
              </w:rPr>
            </w:pPr>
            <w:r w:rsidRPr="00CC58A7">
              <w:rPr>
                <w:rFonts w:ascii="Arial" w:hAnsi="Arial"/>
                <w:b/>
              </w:rPr>
              <w:t>Function</w:t>
            </w:r>
          </w:p>
        </w:tc>
        <w:tc>
          <w:tcPr>
            <w:tcW w:w="1926" w:type="dxa"/>
            <w:shd w:val="pct15" w:color="auto" w:fill="FFFFFF"/>
            <w:vAlign w:val="center"/>
          </w:tcPr>
          <w:p w14:paraId="233D9A33" w14:textId="77777777" w:rsidR="003748B8" w:rsidRPr="00CC58A7" w:rsidRDefault="003748B8" w:rsidP="003748B8">
            <w:pPr>
              <w:jc w:val="center"/>
              <w:rPr>
                <w:rFonts w:ascii="Arial" w:hAnsi="Arial"/>
                <w:b/>
              </w:rPr>
            </w:pPr>
            <w:r w:rsidRPr="00CC58A7">
              <w:rPr>
                <w:rFonts w:ascii="Arial" w:hAnsi="Arial"/>
                <w:b/>
              </w:rPr>
              <w:t>Resources</w:t>
            </w:r>
          </w:p>
        </w:tc>
        <w:tc>
          <w:tcPr>
            <w:tcW w:w="1584" w:type="dxa"/>
            <w:shd w:val="pct15" w:color="auto" w:fill="FFFFFF"/>
            <w:vAlign w:val="center"/>
          </w:tcPr>
          <w:p w14:paraId="0D514C67" w14:textId="77777777" w:rsidR="003748B8" w:rsidRPr="00CC58A7" w:rsidRDefault="003748B8" w:rsidP="003748B8">
            <w:pPr>
              <w:jc w:val="center"/>
              <w:rPr>
                <w:rFonts w:ascii="Arial" w:hAnsi="Arial"/>
                <w:b/>
              </w:rPr>
            </w:pPr>
            <w:r w:rsidRPr="00CC58A7">
              <w:rPr>
                <w:rFonts w:ascii="Arial" w:hAnsi="Arial"/>
                <w:b/>
              </w:rPr>
              <w:t>Effort Level</w:t>
            </w:r>
          </w:p>
          <w:p w14:paraId="02ECD5E7" w14:textId="77777777" w:rsidR="003748B8" w:rsidRPr="00CC58A7" w:rsidRDefault="003748B8" w:rsidP="003748B8">
            <w:pPr>
              <w:jc w:val="center"/>
              <w:rPr>
                <w:rFonts w:ascii="Arial" w:hAnsi="Arial"/>
                <w:b/>
              </w:rPr>
            </w:pPr>
            <w:r w:rsidRPr="00CC58A7">
              <w:rPr>
                <w:rFonts w:ascii="Arial" w:hAnsi="Arial"/>
                <w:b/>
              </w:rPr>
              <w:t>(man-hours)</w:t>
            </w:r>
          </w:p>
        </w:tc>
      </w:tr>
      <w:tr w:rsidR="003748B8" w:rsidRPr="00CC58A7" w14:paraId="076B5A48" w14:textId="77777777" w:rsidTr="00CF3FEF">
        <w:trPr>
          <w:trHeight w:val="288"/>
          <w:jc w:val="center"/>
        </w:trPr>
        <w:tc>
          <w:tcPr>
            <w:tcW w:w="2687" w:type="dxa"/>
            <w:vAlign w:val="center"/>
          </w:tcPr>
          <w:p w14:paraId="0EF17C1D" w14:textId="77777777" w:rsidR="003748B8" w:rsidRPr="00CC58A7" w:rsidRDefault="003748B8" w:rsidP="003748B8">
            <w:pPr>
              <w:jc w:val="center"/>
              <w:rPr>
                <w:rFonts w:ascii="Arial" w:hAnsi="Arial"/>
                <w:sz w:val="18"/>
              </w:rPr>
            </w:pPr>
            <w:r>
              <w:rPr>
                <w:rFonts w:ascii="Arial" w:hAnsi="Arial"/>
                <w:sz w:val="18"/>
              </w:rPr>
              <w:t xml:space="preserve">PAGD </w:t>
            </w:r>
            <w:r w:rsidRPr="00CC58A7">
              <w:rPr>
                <w:rFonts w:ascii="Arial" w:hAnsi="Arial"/>
                <w:sz w:val="18"/>
              </w:rPr>
              <w:t>Engineer</w:t>
            </w:r>
          </w:p>
        </w:tc>
        <w:tc>
          <w:tcPr>
            <w:tcW w:w="2286" w:type="dxa"/>
            <w:vAlign w:val="center"/>
          </w:tcPr>
          <w:p w14:paraId="61332353" w14:textId="77777777" w:rsidR="003748B8" w:rsidRPr="00CC58A7" w:rsidRDefault="003748B8" w:rsidP="003748B8">
            <w:pPr>
              <w:jc w:val="center"/>
              <w:rPr>
                <w:rFonts w:ascii="Arial" w:hAnsi="Arial"/>
                <w:sz w:val="18"/>
              </w:rPr>
            </w:pPr>
            <w:r w:rsidRPr="00CC58A7">
              <w:rPr>
                <w:rFonts w:ascii="Arial" w:hAnsi="Arial"/>
                <w:sz w:val="18"/>
              </w:rPr>
              <w:t>Records Review</w:t>
            </w:r>
          </w:p>
        </w:tc>
        <w:tc>
          <w:tcPr>
            <w:tcW w:w="1926" w:type="dxa"/>
            <w:vAlign w:val="center"/>
          </w:tcPr>
          <w:p w14:paraId="01DF093D" w14:textId="77777777" w:rsidR="003748B8" w:rsidRPr="00CC58A7" w:rsidRDefault="003748B8" w:rsidP="003748B8">
            <w:pPr>
              <w:jc w:val="center"/>
              <w:rPr>
                <w:rFonts w:ascii="Arial" w:hAnsi="Arial"/>
                <w:sz w:val="18"/>
              </w:rPr>
            </w:pPr>
            <w:r w:rsidRPr="00CC58A7">
              <w:rPr>
                <w:rFonts w:ascii="Arial" w:hAnsi="Arial"/>
                <w:sz w:val="18"/>
              </w:rPr>
              <w:t>1</w:t>
            </w:r>
          </w:p>
        </w:tc>
        <w:tc>
          <w:tcPr>
            <w:tcW w:w="1584" w:type="dxa"/>
            <w:vAlign w:val="center"/>
          </w:tcPr>
          <w:p w14:paraId="647213B8" w14:textId="77777777" w:rsidR="003748B8" w:rsidRPr="00CC58A7" w:rsidRDefault="003748B8" w:rsidP="003748B8">
            <w:pPr>
              <w:jc w:val="center"/>
              <w:rPr>
                <w:rFonts w:ascii="Arial" w:hAnsi="Arial"/>
                <w:sz w:val="18"/>
              </w:rPr>
            </w:pPr>
            <w:r>
              <w:rPr>
                <w:rFonts w:ascii="Arial" w:hAnsi="Arial"/>
                <w:sz w:val="18"/>
              </w:rPr>
              <w:t>4*</w:t>
            </w:r>
          </w:p>
        </w:tc>
      </w:tr>
      <w:tr w:rsidR="003748B8" w:rsidRPr="00CC58A7" w14:paraId="33283811" w14:textId="77777777" w:rsidTr="00CF3FEF">
        <w:trPr>
          <w:trHeight w:val="288"/>
          <w:jc w:val="center"/>
        </w:trPr>
        <w:tc>
          <w:tcPr>
            <w:tcW w:w="2687" w:type="dxa"/>
            <w:vAlign w:val="center"/>
          </w:tcPr>
          <w:p w14:paraId="3C733DDE" w14:textId="77777777" w:rsidR="003748B8" w:rsidRDefault="003748B8" w:rsidP="003748B8">
            <w:pPr>
              <w:jc w:val="center"/>
              <w:rPr>
                <w:rFonts w:ascii="Arial" w:hAnsi="Arial"/>
                <w:sz w:val="18"/>
              </w:rPr>
            </w:pPr>
            <w:r>
              <w:rPr>
                <w:rFonts w:ascii="Arial" w:hAnsi="Arial"/>
                <w:sz w:val="18"/>
              </w:rPr>
              <w:t xml:space="preserve">PAGD Engineer </w:t>
            </w:r>
          </w:p>
        </w:tc>
        <w:tc>
          <w:tcPr>
            <w:tcW w:w="2286" w:type="dxa"/>
            <w:vAlign w:val="center"/>
          </w:tcPr>
          <w:p w14:paraId="2C1952F4" w14:textId="77777777" w:rsidR="003748B8" w:rsidRPr="00CC58A7" w:rsidRDefault="003748B8" w:rsidP="003748B8">
            <w:pPr>
              <w:jc w:val="center"/>
              <w:rPr>
                <w:rFonts w:ascii="Arial" w:hAnsi="Arial"/>
                <w:sz w:val="18"/>
              </w:rPr>
            </w:pPr>
            <w:r>
              <w:rPr>
                <w:rFonts w:ascii="Arial" w:hAnsi="Arial"/>
                <w:sz w:val="18"/>
              </w:rPr>
              <w:t>2 Meetings with Team Leader and ADC</w:t>
            </w:r>
          </w:p>
        </w:tc>
        <w:tc>
          <w:tcPr>
            <w:tcW w:w="1926" w:type="dxa"/>
            <w:vAlign w:val="center"/>
          </w:tcPr>
          <w:p w14:paraId="6290244B" w14:textId="77777777" w:rsidR="003748B8" w:rsidRPr="00CC58A7" w:rsidRDefault="003748B8" w:rsidP="003748B8">
            <w:pPr>
              <w:jc w:val="center"/>
              <w:rPr>
                <w:rFonts w:ascii="Arial" w:hAnsi="Arial"/>
                <w:sz w:val="18"/>
              </w:rPr>
            </w:pPr>
            <w:r>
              <w:rPr>
                <w:rFonts w:ascii="Arial" w:hAnsi="Arial"/>
                <w:sz w:val="18"/>
              </w:rPr>
              <w:t>2</w:t>
            </w:r>
          </w:p>
        </w:tc>
        <w:tc>
          <w:tcPr>
            <w:tcW w:w="1584" w:type="dxa"/>
            <w:vAlign w:val="center"/>
          </w:tcPr>
          <w:p w14:paraId="4ECD404A" w14:textId="77777777" w:rsidR="003748B8" w:rsidRDefault="003748B8" w:rsidP="003748B8">
            <w:pPr>
              <w:jc w:val="center"/>
              <w:rPr>
                <w:rFonts w:ascii="Arial" w:hAnsi="Arial"/>
                <w:sz w:val="18"/>
              </w:rPr>
            </w:pPr>
            <w:r>
              <w:rPr>
                <w:rFonts w:ascii="Arial" w:hAnsi="Arial"/>
                <w:sz w:val="18"/>
              </w:rPr>
              <w:t>4*</w:t>
            </w:r>
          </w:p>
        </w:tc>
      </w:tr>
      <w:tr w:rsidR="003748B8" w:rsidRPr="00CC58A7" w14:paraId="0B3C891C" w14:textId="77777777" w:rsidTr="00CF3FEF">
        <w:trPr>
          <w:trHeight w:val="288"/>
          <w:jc w:val="center"/>
        </w:trPr>
        <w:tc>
          <w:tcPr>
            <w:tcW w:w="2687" w:type="dxa"/>
            <w:vAlign w:val="center"/>
          </w:tcPr>
          <w:p w14:paraId="28FBAE35" w14:textId="77777777" w:rsidR="003748B8" w:rsidRDefault="003748B8" w:rsidP="003748B8">
            <w:pPr>
              <w:jc w:val="center"/>
              <w:rPr>
                <w:rFonts w:ascii="Arial" w:hAnsi="Arial"/>
                <w:sz w:val="18"/>
              </w:rPr>
            </w:pPr>
            <w:r>
              <w:rPr>
                <w:rFonts w:ascii="Arial" w:hAnsi="Arial"/>
                <w:sz w:val="18"/>
              </w:rPr>
              <w:t>Team Leader and ADC</w:t>
            </w:r>
          </w:p>
        </w:tc>
        <w:tc>
          <w:tcPr>
            <w:tcW w:w="2286" w:type="dxa"/>
            <w:vAlign w:val="center"/>
          </w:tcPr>
          <w:p w14:paraId="5A56EC69" w14:textId="77777777" w:rsidR="003748B8" w:rsidRPr="00CC58A7" w:rsidRDefault="003748B8" w:rsidP="003748B8">
            <w:pPr>
              <w:jc w:val="center"/>
              <w:rPr>
                <w:rFonts w:ascii="Arial" w:hAnsi="Arial"/>
                <w:sz w:val="18"/>
              </w:rPr>
            </w:pPr>
            <w:r>
              <w:rPr>
                <w:rFonts w:ascii="Arial" w:hAnsi="Arial"/>
                <w:sz w:val="18"/>
              </w:rPr>
              <w:t>2 Meetings with PAGD Engineer</w:t>
            </w:r>
          </w:p>
        </w:tc>
        <w:tc>
          <w:tcPr>
            <w:tcW w:w="1926" w:type="dxa"/>
            <w:vAlign w:val="center"/>
          </w:tcPr>
          <w:p w14:paraId="53B86B15" w14:textId="77777777" w:rsidR="003748B8" w:rsidRPr="00CC58A7" w:rsidRDefault="003748B8" w:rsidP="003748B8">
            <w:pPr>
              <w:jc w:val="center"/>
              <w:rPr>
                <w:rFonts w:ascii="Arial" w:hAnsi="Arial"/>
                <w:sz w:val="18"/>
              </w:rPr>
            </w:pPr>
            <w:r>
              <w:rPr>
                <w:rFonts w:ascii="Arial" w:hAnsi="Arial"/>
                <w:sz w:val="18"/>
              </w:rPr>
              <w:t>2</w:t>
            </w:r>
          </w:p>
        </w:tc>
        <w:tc>
          <w:tcPr>
            <w:tcW w:w="1584" w:type="dxa"/>
            <w:vAlign w:val="center"/>
          </w:tcPr>
          <w:p w14:paraId="64F0F6E5" w14:textId="77777777" w:rsidR="003748B8" w:rsidRDefault="003748B8" w:rsidP="003748B8">
            <w:pPr>
              <w:jc w:val="center"/>
              <w:rPr>
                <w:rFonts w:ascii="Arial" w:hAnsi="Arial"/>
                <w:sz w:val="18"/>
              </w:rPr>
            </w:pPr>
            <w:r>
              <w:rPr>
                <w:rFonts w:ascii="Arial" w:hAnsi="Arial"/>
                <w:sz w:val="18"/>
              </w:rPr>
              <w:t>4*</w:t>
            </w:r>
          </w:p>
        </w:tc>
      </w:tr>
    </w:tbl>
    <w:p w14:paraId="2C64A973" w14:textId="77777777" w:rsidR="003748B8" w:rsidRPr="008014BA" w:rsidRDefault="003748B8" w:rsidP="003748B8">
      <w:pPr>
        <w:rPr>
          <w:rFonts w:ascii="Arial" w:hAnsi="Arial"/>
          <w:sz w:val="18"/>
          <w:szCs w:val="18"/>
        </w:rPr>
      </w:pPr>
      <w:r>
        <w:rPr>
          <w:rFonts w:ascii="Arial" w:hAnsi="Arial"/>
          <w:sz w:val="18"/>
          <w:szCs w:val="18"/>
        </w:rPr>
        <w:t xml:space="preserve">      </w:t>
      </w:r>
      <w:r w:rsidRPr="00292C26">
        <w:rPr>
          <w:rFonts w:ascii="Arial" w:hAnsi="Arial"/>
          <w:sz w:val="18"/>
          <w:szCs w:val="18"/>
        </w:rPr>
        <w:t>* The time required would vary depending on the size and complexity of a project.</w:t>
      </w:r>
    </w:p>
    <w:p w14:paraId="1F05FE2C" w14:textId="4C568468" w:rsidR="00083704" w:rsidRDefault="00083704" w:rsidP="00483837">
      <w:pPr>
        <w:pStyle w:val="Heading3"/>
        <w:ind w:left="1440" w:hanging="1440"/>
      </w:pPr>
      <w:r>
        <w:t>General</w:t>
      </w:r>
    </w:p>
    <w:p w14:paraId="14115A8B" w14:textId="0C4EC356" w:rsidR="007544C2" w:rsidRPr="001C3861" w:rsidRDefault="00D34400" w:rsidP="00A177D5">
      <w:pPr>
        <w:jc w:val="both"/>
        <w:rPr>
          <w:rFonts w:ascii="Arial" w:hAnsi="Arial" w:cs="Arial"/>
          <w:sz w:val="22"/>
          <w:szCs w:val="22"/>
        </w:rPr>
      </w:pPr>
      <w:r>
        <w:rPr>
          <w:rFonts w:ascii="Arial" w:hAnsi="Arial"/>
          <w:sz w:val="22"/>
        </w:rPr>
        <w:t xml:space="preserve">Geophysical investigations can contribute to answering geotechnical, geological, and environmental questions for </w:t>
      </w:r>
      <w:r w:rsidR="00AE2B63">
        <w:rPr>
          <w:rFonts w:ascii="Arial" w:hAnsi="Arial"/>
          <w:sz w:val="22"/>
        </w:rPr>
        <w:t>roadway</w:t>
      </w:r>
      <w:r>
        <w:rPr>
          <w:rFonts w:ascii="Arial" w:hAnsi="Arial"/>
          <w:sz w:val="22"/>
        </w:rPr>
        <w:t xml:space="preserve"> projects</w:t>
      </w:r>
      <w:r w:rsidR="00E431DE">
        <w:rPr>
          <w:rFonts w:ascii="Arial" w:hAnsi="Arial"/>
          <w:sz w:val="22"/>
        </w:rPr>
        <w:t xml:space="preserve"> in a time-efficient and cost-effective manner</w:t>
      </w:r>
      <w:r>
        <w:rPr>
          <w:rFonts w:ascii="Arial" w:hAnsi="Arial"/>
          <w:sz w:val="22"/>
        </w:rPr>
        <w:t xml:space="preserve">. </w:t>
      </w:r>
      <w:r w:rsidR="006918E1">
        <w:rPr>
          <w:rFonts w:ascii="Arial" w:hAnsi="Arial" w:cs="Arial"/>
          <w:sz w:val="22"/>
          <w:szCs w:val="22"/>
        </w:rPr>
        <w:t xml:space="preserve">As </w:t>
      </w:r>
      <w:r w:rsidR="007544C2">
        <w:rPr>
          <w:rFonts w:ascii="Arial" w:hAnsi="Arial" w:cs="Arial"/>
          <w:sz w:val="22"/>
          <w:szCs w:val="22"/>
        </w:rPr>
        <w:t xml:space="preserve">briefly </w:t>
      </w:r>
      <w:r w:rsidR="006918E1">
        <w:rPr>
          <w:rFonts w:ascii="Arial" w:hAnsi="Arial" w:cs="Arial"/>
          <w:sz w:val="22"/>
          <w:szCs w:val="22"/>
        </w:rPr>
        <w:t xml:space="preserve">described </w:t>
      </w:r>
      <w:r w:rsidR="007544C2">
        <w:rPr>
          <w:rFonts w:ascii="Arial" w:hAnsi="Arial" w:cs="Arial"/>
          <w:sz w:val="22"/>
          <w:szCs w:val="22"/>
        </w:rPr>
        <w:t xml:space="preserve">in </w:t>
      </w:r>
      <w:hyperlink w:anchor="Geotech_Invest_Scop" w:history="1">
        <w:r w:rsidR="007544C2" w:rsidRPr="009B1E8D">
          <w:rPr>
            <w:rStyle w:val="Hyperlink"/>
            <w:rFonts w:ascii="Arial" w:hAnsi="Arial" w:cs="Arial"/>
            <w:i/>
            <w:sz w:val="22"/>
            <w:szCs w:val="22"/>
          </w:rPr>
          <w:t>Section 3.06 Geotechnical Investigation Scoping</w:t>
        </w:r>
      </w:hyperlink>
      <w:r w:rsidR="006918E1" w:rsidRPr="001A6C91">
        <w:rPr>
          <w:rFonts w:ascii="Arial" w:hAnsi="Arial" w:cs="Arial"/>
          <w:sz w:val="22"/>
          <w:szCs w:val="22"/>
        </w:rPr>
        <w:t>,</w:t>
      </w:r>
      <w:r w:rsidR="006918E1">
        <w:rPr>
          <w:rFonts w:ascii="Arial" w:hAnsi="Arial" w:cs="Arial"/>
          <w:sz w:val="22"/>
          <w:szCs w:val="22"/>
        </w:rPr>
        <w:t xml:space="preserve"> geophysical technologies are primarily used </w:t>
      </w:r>
      <w:r w:rsidR="003050F9">
        <w:rPr>
          <w:rFonts w:ascii="Arial" w:hAnsi="Arial" w:cs="Arial"/>
          <w:sz w:val="22"/>
          <w:szCs w:val="22"/>
        </w:rPr>
        <w:t xml:space="preserve">when </w:t>
      </w:r>
      <w:r w:rsidR="007544C2" w:rsidRPr="00A177D5">
        <w:rPr>
          <w:rFonts w:ascii="Arial" w:hAnsi="Arial" w:cs="Arial"/>
          <w:sz w:val="22"/>
          <w:szCs w:val="22"/>
        </w:rPr>
        <w:t xml:space="preserve">borings are less desirable for a project because of </w:t>
      </w:r>
      <w:r w:rsidR="007544C2">
        <w:rPr>
          <w:rFonts w:ascii="Arial" w:hAnsi="Arial" w:cs="Arial"/>
          <w:sz w:val="22"/>
          <w:szCs w:val="22"/>
        </w:rPr>
        <w:t>logistical issues</w:t>
      </w:r>
      <w:r w:rsidR="001C3861">
        <w:rPr>
          <w:rFonts w:ascii="Arial" w:hAnsi="Arial" w:cs="Arial"/>
          <w:sz w:val="22"/>
          <w:szCs w:val="22"/>
        </w:rPr>
        <w:t xml:space="preserve"> or</w:t>
      </w:r>
      <w:r w:rsidR="007544C2">
        <w:rPr>
          <w:rFonts w:ascii="Arial" w:hAnsi="Arial" w:cs="Arial"/>
          <w:sz w:val="22"/>
          <w:szCs w:val="22"/>
        </w:rPr>
        <w:t xml:space="preserve"> </w:t>
      </w:r>
      <w:r w:rsidR="006918E1">
        <w:rPr>
          <w:rFonts w:ascii="Arial" w:hAnsi="Arial" w:cs="Arial"/>
          <w:sz w:val="22"/>
          <w:szCs w:val="22"/>
        </w:rPr>
        <w:t>when there are</w:t>
      </w:r>
      <w:r w:rsidR="006918E1" w:rsidRPr="006918E1">
        <w:rPr>
          <w:rFonts w:ascii="Arial" w:hAnsi="Arial" w:cs="Arial"/>
          <w:sz w:val="22"/>
          <w:szCs w:val="22"/>
        </w:rPr>
        <w:t xml:space="preserve"> </w:t>
      </w:r>
      <w:r w:rsidR="006918E1">
        <w:rPr>
          <w:rFonts w:ascii="Arial" w:hAnsi="Arial" w:cs="Arial"/>
          <w:sz w:val="22"/>
          <w:szCs w:val="22"/>
        </w:rPr>
        <w:t xml:space="preserve">extremely </w:t>
      </w:r>
      <w:r w:rsidR="006918E1" w:rsidRPr="008014BA">
        <w:rPr>
          <w:rFonts w:ascii="Arial" w:hAnsi="Arial" w:cs="Arial"/>
          <w:sz w:val="22"/>
          <w:szCs w:val="22"/>
        </w:rPr>
        <w:t>variable subsurface conditions</w:t>
      </w:r>
      <w:r w:rsidR="00DC6FB2">
        <w:rPr>
          <w:rFonts w:ascii="Arial" w:hAnsi="Arial" w:cs="Arial"/>
          <w:sz w:val="22"/>
          <w:szCs w:val="22"/>
        </w:rPr>
        <w:t xml:space="preserve">, </w:t>
      </w:r>
      <w:r w:rsidR="001C3861">
        <w:rPr>
          <w:rFonts w:ascii="Arial" w:hAnsi="Arial" w:cs="Arial"/>
          <w:sz w:val="22"/>
          <w:szCs w:val="22"/>
        </w:rPr>
        <w:t>or there is a particular application that geophysics is well suited for</w:t>
      </w:r>
      <w:r w:rsidR="006918E1">
        <w:rPr>
          <w:rFonts w:ascii="Arial" w:hAnsi="Arial" w:cs="Arial"/>
          <w:sz w:val="22"/>
          <w:szCs w:val="22"/>
        </w:rPr>
        <w:t>.</w:t>
      </w:r>
    </w:p>
    <w:p w14:paraId="78985950" w14:textId="77777777" w:rsidR="006918E1" w:rsidRDefault="006918E1" w:rsidP="008014BA">
      <w:pPr>
        <w:tabs>
          <w:tab w:val="center" w:pos="0"/>
        </w:tabs>
        <w:jc w:val="both"/>
        <w:rPr>
          <w:rFonts w:ascii="Arial" w:hAnsi="Arial"/>
          <w:sz w:val="22"/>
        </w:rPr>
      </w:pPr>
    </w:p>
    <w:p w14:paraId="66958410" w14:textId="4FFB1497" w:rsidR="00D34400" w:rsidRDefault="006918E1" w:rsidP="008014BA">
      <w:pPr>
        <w:tabs>
          <w:tab w:val="center" w:pos="0"/>
        </w:tabs>
        <w:jc w:val="both"/>
        <w:rPr>
          <w:rFonts w:cs="Arial"/>
          <w:sz w:val="22"/>
          <w:szCs w:val="22"/>
        </w:rPr>
      </w:pPr>
      <w:r>
        <w:rPr>
          <w:rFonts w:ascii="Arial" w:hAnsi="Arial" w:cs="Arial"/>
          <w:sz w:val="22"/>
          <w:szCs w:val="22"/>
        </w:rPr>
        <w:t>G</w:t>
      </w:r>
      <w:r w:rsidRPr="00D34400">
        <w:rPr>
          <w:rFonts w:ascii="Arial" w:hAnsi="Arial" w:cs="Arial"/>
          <w:sz w:val="22"/>
          <w:szCs w:val="22"/>
        </w:rPr>
        <w:t xml:space="preserve">eophysical </w:t>
      </w:r>
      <w:r>
        <w:rPr>
          <w:rFonts w:ascii="Arial" w:hAnsi="Arial" w:cs="Arial"/>
          <w:sz w:val="22"/>
          <w:szCs w:val="22"/>
        </w:rPr>
        <w:t>investigations address th</w:t>
      </w:r>
      <w:r w:rsidR="00D34400" w:rsidRPr="00D34400">
        <w:rPr>
          <w:rFonts w:ascii="Arial" w:hAnsi="Arial" w:cs="Arial"/>
          <w:sz w:val="22"/>
          <w:szCs w:val="22"/>
        </w:rPr>
        <w:t xml:space="preserve">ree </w:t>
      </w:r>
      <w:r w:rsidR="00D34400">
        <w:rPr>
          <w:rFonts w:ascii="Arial" w:hAnsi="Arial" w:cs="Arial"/>
          <w:sz w:val="22"/>
          <w:szCs w:val="22"/>
        </w:rPr>
        <w:t xml:space="preserve">general </w:t>
      </w:r>
      <w:r w:rsidR="00D34400" w:rsidRPr="00D34400">
        <w:rPr>
          <w:rFonts w:ascii="Arial" w:hAnsi="Arial" w:cs="Arial"/>
          <w:sz w:val="22"/>
          <w:szCs w:val="22"/>
        </w:rPr>
        <w:t xml:space="preserve">objectives: </w:t>
      </w:r>
    </w:p>
    <w:p w14:paraId="11BE0922" w14:textId="23A59A85" w:rsidR="00D34400" w:rsidRDefault="00846609" w:rsidP="00172E64">
      <w:pPr>
        <w:pStyle w:val="ListParagraph"/>
        <w:numPr>
          <w:ilvl w:val="0"/>
          <w:numId w:val="147"/>
        </w:numPr>
        <w:spacing w:before="120"/>
        <w:ind w:left="540" w:hanging="540"/>
        <w:jc w:val="both"/>
        <w:rPr>
          <w:rFonts w:cs="Arial"/>
          <w:sz w:val="22"/>
          <w:szCs w:val="22"/>
        </w:rPr>
      </w:pPr>
      <w:r>
        <w:rPr>
          <w:rFonts w:ascii="Arial" w:hAnsi="Arial" w:cs="Arial"/>
          <w:sz w:val="22"/>
          <w:szCs w:val="22"/>
        </w:rPr>
        <w:t>T</w:t>
      </w:r>
      <w:r w:rsidR="00D34400" w:rsidRPr="008014BA">
        <w:rPr>
          <w:rFonts w:ascii="Arial" w:hAnsi="Arial" w:cs="Arial"/>
          <w:sz w:val="22"/>
          <w:szCs w:val="22"/>
        </w:rPr>
        <w:t xml:space="preserve">he measurement </w:t>
      </w:r>
      <w:r w:rsidR="00457322">
        <w:rPr>
          <w:rFonts w:ascii="Arial" w:hAnsi="Arial" w:cs="Arial"/>
          <w:sz w:val="22"/>
          <w:szCs w:val="22"/>
        </w:rPr>
        <w:t xml:space="preserve">and mapping </w:t>
      </w:r>
      <w:r w:rsidR="00D34400" w:rsidRPr="008014BA">
        <w:rPr>
          <w:rFonts w:ascii="Arial" w:hAnsi="Arial" w:cs="Arial"/>
          <w:sz w:val="22"/>
          <w:szCs w:val="22"/>
        </w:rPr>
        <w:t>of geologic features</w:t>
      </w:r>
      <w:r w:rsidR="00D909E4">
        <w:rPr>
          <w:rFonts w:ascii="Arial" w:hAnsi="Arial" w:cs="Arial"/>
          <w:sz w:val="22"/>
          <w:szCs w:val="22"/>
        </w:rPr>
        <w:t xml:space="preserve"> such as</w:t>
      </w:r>
      <w:r w:rsidR="00D909E4" w:rsidRPr="00D909E4">
        <w:rPr>
          <w:rFonts w:ascii="Arial" w:hAnsi="Arial" w:cs="Arial"/>
          <w:sz w:val="22"/>
          <w:szCs w:val="22"/>
        </w:rPr>
        <w:t xml:space="preserve"> </w:t>
      </w:r>
      <w:r w:rsidR="00D909E4" w:rsidRPr="00B61AC0">
        <w:rPr>
          <w:rFonts w:ascii="Arial" w:hAnsi="Arial" w:cs="Arial"/>
          <w:sz w:val="22"/>
          <w:szCs w:val="22"/>
        </w:rPr>
        <w:t xml:space="preserve">faults, bedrock </w:t>
      </w:r>
      <w:r w:rsidR="00D909E4">
        <w:rPr>
          <w:rFonts w:ascii="Arial" w:hAnsi="Arial" w:cs="Arial"/>
          <w:sz w:val="22"/>
          <w:szCs w:val="22"/>
        </w:rPr>
        <w:t>depths</w:t>
      </w:r>
      <w:r w:rsidR="00D909E4" w:rsidRPr="00B61AC0">
        <w:rPr>
          <w:rFonts w:ascii="Arial" w:hAnsi="Arial" w:cs="Arial"/>
          <w:sz w:val="22"/>
          <w:szCs w:val="22"/>
        </w:rPr>
        <w:t>, discontinuities, voids, and groundwater</w:t>
      </w:r>
      <w:r w:rsidR="001D107A">
        <w:rPr>
          <w:rFonts w:ascii="Arial" w:hAnsi="Arial" w:cs="Arial"/>
          <w:sz w:val="22"/>
          <w:szCs w:val="22"/>
        </w:rPr>
        <w:t xml:space="preserve"> depth and flow</w:t>
      </w:r>
      <w:r w:rsidR="00923E5F">
        <w:rPr>
          <w:rFonts w:ascii="Arial" w:hAnsi="Arial" w:cs="Arial"/>
          <w:sz w:val="22"/>
          <w:szCs w:val="22"/>
        </w:rPr>
        <w:t xml:space="preserve"> conditions</w:t>
      </w:r>
      <w:r>
        <w:rPr>
          <w:rFonts w:ascii="Arial" w:hAnsi="Arial" w:cs="Arial"/>
          <w:sz w:val="22"/>
          <w:szCs w:val="22"/>
        </w:rPr>
        <w:t>.</w:t>
      </w:r>
      <w:r w:rsidR="00D34400" w:rsidRPr="008014BA">
        <w:rPr>
          <w:rFonts w:ascii="Arial" w:hAnsi="Arial" w:cs="Arial"/>
          <w:sz w:val="22"/>
          <w:szCs w:val="22"/>
        </w:rPr>
        <w:t xml:space="preserve"> </w:t>
      </w:r>
    </w:p>
    <w:p w14:paraId="47AD45C6" w14:textId="7272DBA7" w:rsidR="00D34400" w:rsidRDefault="00846609" w:rsidP="00172E64">
      <w:pPr>
        <w:pStyle w:val="ListParagraph"/>
        <w:numPr>
          <w:ilvl w:val="0"/>
          <w:numId w:val="147"/>
        </w:numPr>
        <w:ind w:left="540" w:hanging="540"/>
        <w:jc w:val="both"/>
        <w:rPr>
          <w:rFonts w:cs="Arial"/>
          <w:sz w:val="22"/>
          <w:szCs w:val="22"/>
        </w:rPr>
      </w:pPr>
      <w:r>
        <w:rPr>
          <w:rFonts w:ascii="Arial" w:hAnsi="Arial" w:cs="Arial"/>
          <w:sz w:val="22"/>
          <w:szCs w:val="22"/>
        </w:rPr>
        <w:t>T</w:t>
      </w:r>
      <w:r w:rsidR="00D34400" w:rsidRPr="008014BA">
        <w:rPr>
          <w:rFonts w:ascii="Arial" w:hAnsi="Arial" w:cs="Arial"/>
          <w:sz w:val="22"/>
          <w:szCs w:val="22"/>
        </w:rPr>
        <w:t>he in</w:t>
      </w:r>
      <w:r w:rsidR="001C3861">
        <w:rPr>
          <w:rFonts w:ascii="Arial" w:hAnsi="Arial" w:cs="Arial"/>
          <w:sz w:val="22"/>
          <w:szCs w:val="22"/>
        </w:rPr>
        <w:t>-</w:t>
      </w:r>
      <w:r w:rsidR="00D34400" w:rsidRPr="008014BA">
        <w:rPr>
          <w:rFonts w:ascii="Arial" w:hAnsi="Arial" w:cs="Arial"/>
          <w:sz w:val="22"/>
          <w:szCs w:val="22"/>
        </w:rPr>
        <w:t>situ determination of engineering properties</w:t>
      </w:r>
      <w:r>
        <w:rPr>
          <w:rFonts w:ascii="Arial" w:hAnsi="Arial" w:cs="Arial"/>
          <w:sz w:val="22"/>
          <w:szCs w:val="22"/>
        </w:rPr>
        <w:t>,</w:t>
      </w:r>
      <w:r w:rsidR="00D909E4" w:rsidRPr="00D909E4">
        <w:rPr>
          <w:rFonts w:ascii="Arial" w:hAnsi="Arial" w:cs="Arial"/>
          <w:sz w:val="22"/>
          <w:szCs w:val="22"/>
        </w:rPr>
        <w:t xml:space="preserve"> </w:t>
      </w:r>
      <w:r w:rsidR="00D909E4">
        <w:rPr>
          <w:rFonts w:ascii="Arial" w:hAnsi="Arial" w:cs="Arial"/>
          <w:sz w:val="22"/>
          <w:szCs w:val="22"/>
        </w:rPr>
        <w:t>including</w:t>
      </w:r>
      <w:r w:rsidR="00D909E4" w:rsidRPr="006A231D">
        <w:rPr>
          <w:rFonts w:ascii="Arial" w:hAnsi="Arial" w:cs="Arial"/>
          <w:sz w:val="22"/>
          <w:szCs w:val="22"/>
        </w:rPr>
        <w:t xml:space="preserve"> electrical resistivity</w:t>
      </w:r>
      <w:r w:rsidR="0022510F">
        <w:rPr>
          <w:rFonts w:ascii="Arial" w:hAnsi="Arial" w:cs="Arial"/>
          <w:sz w:val="22"/>
          <w:szCs w:val="22"/>
        </w:rPr>
        <w:t>,</w:t>
      </w:r>
      <w:r w:rsidR="00D909E4" w:rsidRPr="006A231D">
        <w:rPr>
          <w:rFonts w:ascii="Arial" w:hAnsi="Arial" w:cs="Arial"/>
          <w:sz w:val="22"/>
          <w:szCs w:val="22"/>
        </w:rPr>
        <w:t xml:space="preserve"> </w:t>
      </w:r>
      <w:r>
        <w:rPr>
          <w:rFonts w:ascii="Arial" w:hAnsi="Arial" w:cs="Arial"/>
          <w:sz w:val="22"/>
          <w:szCs w:val="22"/>
        </w:rPr>
        <w:t>m</w:t>
      </w:r>
      <w:r w:rsidR="00D909E4" w:rsidRPr="006A231D">
        <w:rPr>
          <w:rFonts w:ascii="Arial" w:hAnsi="Arial" w:cs="Arial"/>
          <w:sz w:val="22"/>
          <w:szCs w:val="22"/>
        </w:rPr>
        <w:t>agnetic and density properties</w:t>
      </w:r>
      <w:r>
        <w:rPr>
          <w:rFonts w:ascii="Arial" w:hAnsi="Arial" w:cs="Arial"/>
          <w:sz w:val="22"/>
          <w:szCs w:val="22"/>
        </w:rPr>
        <w:t>.</w:t>
      </w:r>
      <w:r w:rsidR="00D34400" w:rsidRPr="008014BA">
        <w:rPr>
          <w:rFonts w:ascii="Arial" w:hAnsi="Arial" w:cs="Arial"/>
          <w:sz w:val="22"/>
          <w:szCs w:val="22"/>
        </w:rPr>
        <w:t xml:space="preserve"> </w:t>
      </w:r>
    </w:p>
    <w:p w14:paraId="074988AD" w14:textId="37CCA6F8" w:rsidR="00D34400" w:rsidRPr="008014BA" w:rsidRDefault="00846609" w:rsidP="00172E64">
      <w:pPr>
        <w:pStyle w:val="ListParagraph"/>
        <w:numPr>
          <w:ilvl w:val="0"/>
          <w:numId w:val="147"/>
        </w:numPr>
        <w:ind w:left="540" w:hanging="540"/>
        <w:jc w:val="both"/>
        <w:rPr>
          <w:rFonts w:cs="Arial"/>
          <w:sz w:val="22"/>
          <w:szCs w:val="22"/>
        </w:rPr>
      </w:pPr>
      <w:r>
        <w:rPr>
          <w:rFonts w:ascii="Arial" w:hAnsi="Arial" w:cs="Arial"/>
          <w:sz w:val="22"/>
          <w:szCs w:val="22"/>
        </w:rPr>
        <w:t>T</w:t>
      </w:r>
      <w:r w:rsidR="00D34400" w:rsidRPr="008014BA">
        <w:rPr>
          <w:rFonts w:ascii="Arial" w:hAnsi="Arial" w:cs="Arial"/>
          <w:sz w:val="22"/>
          <w:szCs w:val="22"/>
        </w:rPr>
        <w:t>he detection of hidden features</w:t>
      </w:r>
      <w:r w:rsidR="00D909E4" w:rsidRPr="00D909E4">
        <w:rPr>
          <w:rFonts w:ascii="Arial" w:hAnsi="Arial" w:cs="Arial"/>
          <w:sz w:val="22"/>
          <w:szCs w:val="22"/>
        </w:rPr>
        <w:t xml:space="preserve"> </w:t>
      </w:r>
      <w:r w:rsidR="00D909E4">
        <w:rPr>
          <w:rFonts w:ascii="Arial" w:hAnsi="Arial" w:cs="Arial"/>
          <w:sz w:val="22"/>
          <w:szCs w:val="22"/>
        </w:rPr>
        <w:t>including</w:t>
      </w:r>
      <w:r w:rsidR="00D909E4" w:rsidRPr="007E5D88">
        <w:rPr>
          <w:rFonts w:ascii="Arial" w:hAnsi="Arial" w:cs="Arial"/>
          <w:sz w:val="22"/>
          <w:szCs w:val="22"/>
        </w:rPr>
        <w:t xml:space="preserve"> </w:t>
      </w:r>
      <w:r w:rsidR="001C3861">
        <w:rPr>
          <w:rFonts w:ascii="Arial" w:hAnsi="Arial" w:cs="Arial"/>
          <w:sz w:val="22"/>
          <w:szCs w:val="22"/>
        </w:rPr>
        <w:t>USTs</w:t>
      </w:r>
      <w:r w:rsidR="00D909E4" w:rsidRPr="007E5D88">
        <w:rPr>
          <w:rFonts w:ascii="Arial" w:hAnsi="Arial" w:cs="Arial"/>
          <w:sz w:val="22"/>
          <w:szCs w:val="22"/>
        </w:rPr>
        <w:t xml:space="preserve"> and pipes, contaminant plumes, and landfill boundaries</w:t>
      </w:r>
      <w:r w:rsidR="00D34400" w:rsidRPr="008014BA">
        <w:rPr>
          <w:rFonts w:ascii="Arial" w:hAnsi="Arial" w:cs="Arial"/>
          <w:sz w:val="22"/>
          <w:szCs w:val="22"/>
        </w:rPr>
        <w:t xml:space="preserve">. </w:t>
      </w:r>
    </w:p>
    <w:p w14:paraId="25DC6CE8" w14:textId="77777777" w:rsidR="00D34400" w:rsidRDefault="00D34400" w:rsidP="008014BA">
      <w:pPr>
        <w:tabs>
          <w:tab w:val="center" w:pos="0"/>
        </w:tabs>
        <w:jc w:val="both"/>
        <w:rPr>
          <w:rFonts w:cs="Arial"/>
          <w:sz w:val="22"/>
          <w:szCs w:val="22"/>
        </w:rPr>
      </w:pPr>
    </w:p>
    <w:p w14:paraId="5DB75E79" w14:textId="158E4877" w:rsidR="00C652A8" w:rsidRPr="00C652A8" w:rsidRDefault="009B68A5" w:rsidP="008014BA">
      <w:pPr>
        <w:tabs>
          <w:tab w:val="center" w:pos="0"/>
        </w:tabs>
        <w:jc w:val="both"/>
        <w:rPr>
          <w:rFonts w:cs="Arial"/>
          <w:sz w:val="22"/>
          <w:szCs w:val="22"/>
        </w:rPr>
      </w:pPr>
      <w:r w:rsidRPr="009B68A5">
        <w:rPr>
          <w:rFonts w:ascii="Arial" w:hAnsi="Arial"/>
          <w:sz w:val="22"/>
        </w:rPr>
        <w:t xml:space="preserve">Geophysical investigations performed prior to drilling can be used to better target exploratory boring locations </w:t>
      </w:r>
      <w:r>
        <w:rPr>
          <w:rFonts w:ascii="Arial" w:hAnsi="Arial"/>
          <w:sz w:val="22"/>
        </w:rPr>
        <w:t xml:space="preserve">and </w:t>
      </w:r>
      <w:r w:rsidRPr="009B68A5">
        <w:rPr>
          <w:rFonts w:ascii="Arial" w:hAnsi="Arial"/>
          <w:sz w:val="22"/>
        </w:rPr>
        <w:t>to investigate features identif</w:t>
      </w:r>
      <w:r>
        <w:rPr>
          <w:rFonts w:ascii="Arial" w:hAnsi="Arial"/>
          <w:sz w:val="22"/>
        </w:rPr>
        <w:t>ied in the geophysical results.</w:t>
      </w:r>
      <w:r w:rsidRPr="009B68A5">
        <w:rPr>
          <w:rFonts w:ascii="Arial" w:hAnsi="Arial"/>
          <w:sz w:val="22"/>
        </w:rPr>
        <w:t xml:space="preserve"> </w:t>
      </w:r>
      <w:r w:rsidR="00C652A8" w:rsidRPr="007E5CE2">
        <w:rPr>
          <w:rFonts w:ascii="Arial" w:hAnsi="Arial"/>
          <w:sz w:val="22"/>
          <w:szCs w:val="22"/>
        </w:rPr>
        <w:t xml:space="preserve">Geophysical </w:t>
      </w:r>
      <w:r w:rsidR="00491C1A">
        <w:rPr>
          <w:rFonts w:ascii="Arial" w:hAnsi="Arial"/>
          <w:sz w:val="22"/>
          <w:szCs w:val="22"/>
        </w:rPr>
        <w:t>technologies</w:t>
      </w:r>
      <w:r w:rsidR="00C652A8" w:rsidRPr="007E5CE2">
        <w:rPr>
          <w:rFonts w:ascii="Arial" w:hAnsi="Arial"/>
          <w:sz w:val="22"/>
          <w:szCs w:val="22"/>
        </w:rPr>
        <w:t xml:space="preserve"> can also be used to interpolate subsurface conditions between borings</w:t>
      </w:r>
      <w:r w:rsidR="00846609">
        <w:rPr>
          <w:rFonts w:ascii="Arial" w:hAnsi="Arial"/>
          <w:sz w:val="22"/>
          <w:szCs w:val="22"/>
        </w:rPr>
        <w:t>,</w:t>
      </w:r>
      <w:r w:rsidR="00491C1A">
        <w:rPr>
          <w:rFonts w:ascii="Arial" w:hAnsi="Arial"/>
          <w:sz w:val="22"/>
          <w:szCs w:val="22"/>
        </w:rPr>
        <w:t xml:space="preserve"> </w:t>
      </w:r>
      <w:r w:rsidR="00DC6FB2">
        <w:rPr>
          <w:rFonts w:ascii="Arial" w:hAnsi="Arial"/>
          <w:sz w:val="22"/>
          <w:szCs w:val="22"/>
        </w:rPr>
        <w:t>thereby reducing the risk of unknown subsurface conditions. I</w:t>
      </w:r>
      <w:r w:rsidR="00C652A8" w:rsidRPr="007E5CE2">
        <w:rPr>
          <w:rFonts w:ascii="Arial" w:hAnsi="Arial"/>
          <w:sz w:val="22"/>
          <w:szCs w:val="22"/>
        </w:rPr>
        <w:t>n some cases, the number of required borings</w:t>
      </w:r>
      <w:r w:rsidR="00DC6FB2">
        <w:rPr>
          <w:rFonts w:ascii="Arial" w:hAnsi="Arial"/>
          <w:sz w:val="22"/>
          <w:szCs w:val="22"/>
        </w:rPr>
        <w:t xml:space="preserve"> may be reduced</w:t>
      </w:r>
      <w:r w:rsidR="00C652A8" w:rsidRPr="007E5CE2">
        <w:rPr>
          <w:rFonts w:ascii="Arial" w:hAnsi="Arial"/>
          <w:sz w:val="22"/>
          <w:szCs w:val="22"/>
        </w:rPr>
        <w:t>.</w:t>
      </w:r>
    </w:p>
    <w:p w14:paraId="38CE4EF2" w14:textId="77777777" w:rsidR="00C652A8" w:rsidRDefault="00C652A8" w:rsidP="008014BA">
      <w:pPr>
        <w:tabs>
          <w:tab w:val="center" w:pos="0"/>
        </w:tabs>
        <w:jc w:val="both"/>
        <w:rPr>
          <w:rFonts w:cs="Arial"/>
          <w:sz w:val="22"/>
          <w:szCs w:val="22"/>
        </w:rPr>
      </w:pPr>
    </w:p>
    <w:p w14:paraId="7BD499E5" w14:textId="0E7EBAD3" w:rsidR="006918E1" w:rsidRPr="00BF0FB5" w:rsidRDefault="003746EA" w:rsidP="00BF0FB5">
      <w:pPr>
        <w:tabs>
          <w:tab w:val="center" w:pos="0"/>
        </w:tabs>
        <w:jc w:val="both"/>
        <w:rPr>
          <w:rFonts w:ascii="Arial" w:hAnsi="Arial"/>
          <w:sz w:val="22"/>
        </w:rPr>
      </w:pPr>
      <w:r>
        <w:rPr>
          <w:rFonts w:ascii="Arial" w:hAnsi="Arial"/>
          <w:sz w:val="22"/>
        </w:rPr>
        <w:t>G</w:t>
      </w:r>
      <w:r w:rsidR="00EF3595">
        <w:rPr>
          <w:rFonts w:ascii="Arial" w:hAnsi="Arial"/>
          <w:sz w:val="22"/>
        </w:rPr>
        <w:t xml:space="preserve">ood communication with the geophysicist is essential </w:t>
      </w:r>
      <w:r w:rsidR="00491C1A">
        <w:rPr>
          <w:rFonts w:ascii="Arial" w:hAnsi="Arial"/>
          <w:sz w:val="22"/>
        </w:rPr>
        <w:t xml:space="preserve">in order </w:t>
      </w:r>
      <w:r w:rsidR="00EF3595">
        <w:rPr>
          <w:rFonts w:ascii="Arial" w:hAnsi="Arial"/>
          <w:sz w:val="22"/>
        </w:rPr>
        <w:t>to achieve the most appropriate type of geophysical investigation</w:t>
      </w:r>
      <w:r w:rsidR="00491C1A">
        <w:rPr>
          <w:rFonts w:ascii="Arial" w:hAnsi="Arial"/>
          <w:sz w:val="22"/>
        </w:rPr>
        <w:t xml:space="preserve"> that</w:t>
      </w:r>
      <w:r w:rsidR="00EF3595">
        <w:rPr>
          <w:rFonts w:ascii="Arial" w:hAnsi="Arial"/>
          <w:sz w:val="22"/>
        </w:rPr>
        <w:t xml:space="preserve"> includ</w:t>
      </w:r>
      <w:r w:rsidR="00DC6FB2">
        <w:rPr>
          <w:rFonts w:ascii="Arial" w:hAnsi="Arial"/>
          <w:sz w:val="22"/>
        </w:rPr>
        <w:t>es</w:t>
      </w:r>
      <w:r w:rsidR="00EF3595">
        <w:rPr>
          <w:rFonts w:ascii="Arial" w:hAnsi="Arial"/>
          <w:sz w:val="22"/>
        </w:rPr>
        <w:t xml:space="preserve"> </w:t>
      </w:r>
      <w:r w:rsidR="00491C1A">
        <w:rPr>
          <w:rFonts w:ascii="Arial" w:hAnsi="Arial"/>
          <w:sz w:val="22"/>
        </w:rPr>
        <w:t xml:space="preserve">meaningful and </w:t>
      </w:r>
      <w:r w:rsidR="00EF3595">
        <w:rPr>
          <w:rFonts w:ascii="Arial" w:hAnsi="Arial"/>
          <w:sz w:val="22"/>
        </w:rPr>
        <w:t xml:space="preserve">useable results.  </w:t>
      </w:r>
      <w:r w:rsidR="00534106">
        <w:rPr>
          <w:rFonts w:ascii="Arial" w:hAnsi="Arial"/>
          <w:sz w:val="22"/>
        </w:rPr>
        <w:t>Several factors need to be considered when seeking benefits from geophysical investigations</w:t>
      </w:r>
      <w:r w:rsidR="00BF0FB5">
        <w:rPr>
          <w:rFonts w:ascii="Arial" w:hAnsi="Arial"/>
          <w:sz w:val="22"/>
        </w:rPr>
        <w:t xml:space="preserve"> due to differences in technologies</w:t>
      </w:r>
      <w:r w:rsidR="00534106">
        <w:rPr>
          <w:rFonts w:ascii="Arial" w:hAnsi="Arial"/>
          <w:sz w:val="22"/>
        </w:rPr>
        <w:t xml:space="preserve">. </w:t>
      </w:r>
      <w:r w:rsidR="00EF3595">
        <w:rPr>
          <w:rFonts w:ascii="Arial" w:hAnsi="Arial"/>
          <w:sz w:val="22"/>
        </w:rPr>
        <w:t xml:space="preserve"> The following should be discussed with </w:t>
      </w:r>
      <w:r w:rsidR="00EF3595">
        <w:rPr>
          <w:rFonts w:ascii="Arial" w:hAnsi="Arial"/>
          <w:sz w:val="22"/>
        </w:rPr>
        <w:lastRenderedPageBreak/>
        <w:t>the geophysicist</w:t>
      </w:r>
      <w:r w:rsidR="00BF0FB5">
        <w:rPr>
          <w:rFonts w:ascii="Arial" w:hAnsi="Arial"/>
          <w:sz w:val="22"/>
        </w:rPr>
        <w:t xml:space="preserve"> so that the geophysical investigation can be tailored to the site conditions and objectives</w:t>
      </w:r>
      <w:r w:rsidR="00D34400">
        <w:rPr>
          <w:rFonts w:ascii="Arial" w:hAnsi="Arial"/>
          <w:sz w:val="22"/>
        </w:rPr>
        <w:t>:</w:t>
      </w:r>
      <w:r w:rsidR="00921D1D" w:rsidRPr="00921D1D">
        <w:rPr>
          <w:rFonts w:ascii="Arial" w:hAnsi="Arial"/>
          <w:sz w:val="22"/>
        </w:rPr>
        <w:t xml:space="preserve"> </w:t>
      </w:r>
    </w:p>
    <w:p w14:paraId="10FDDB92" w14:textId="5DD5D92F" w:rsidR="004E5733" w:rsidRPr="00B142B5" w:rsidRDefault="004E5733" w:rsidP="00BF0FB5">
      <w:pPr>
        <w:pStyle w:val="ListParagraph"/>
        <w:tabs>
          <w:tab w:val="center" w:pos="0"/>
        </w:tabs>
        <w:jc w:val="both"/>
        <w:rPr>
          <w:rFonts w:ascii="Arial" w:hAnsi="Arial"/>
          <w:sz w:val="22"/>
        </w:rPr>
      </w:pPr>
    </w:p>
    <w:p w14:paraId="673C4E19" w14:textId="6C2D8BA7" w:rsidR="00BF0FB5" w:rsidRPr="00846609" w:rsidRDefault="00BF0FB5" w:rsidP="00172E64">
      <w:pPr>
        <w:pStyle w:val="ListParagraph"/>
        <w:numPr>
          <w:ilvl w:val="0"/>
          <w:numId w:val="148"/>
        </w:numPr>
        <w:tabs>
          <w:tab w:val="center" w:pos="0"/>
        </w:tabs>
        <w:ind w:left="540" w:hanging="540"/>
        <w:jc w:val="both"/>
        <w:rPr>
          <w:rFonts w:ascii="Arial" w:hAnsi="Arial" w:cs="Arial"/>
          <w:sz w:val="22"/>
        </w:rPr>
      </w:pPr>
      <w:r>
        <w:rPr>
          <w:rFonts w:ascii="Arial" w:hAnsi="Arial"/>
          <w:sz w:val="22"/>
        </w:rPr>
        <w:t>R</w:t>
      </w:r>
      <w:r w:rsidRPr="00846609">
        <w:rPr>
          <w:rFonts w:ascii="Arial" w:hAnsi="Arial" w:cs="Arial"/>
          <w:sz w:val="22"/>
        </w:rPr>
        <w:t>esolution</w:t>
      </w:r>
      <w:r w:rsidR="004730CA">
        <w:rPr>
          <w:rFonts w:ascii="Arial" w:hAnsi="Arial" w:cs="Arial"/>
          <w:sz w:val="22"/>
        </w:rPr>
        <w:t xml:space="preserve"> – V</w:t>
      </w:r>
      <w:r w:rsidRPr="00846609">
        <w:rPr>
          <w:rFonts w:ascii="Arial" w:hAnsi="Arial" w:cs="Arial"/>
          <w:sz w:val="22"/>
        </w:rPr>
        <w:t xml:space="preserve">aries between technologies and within technologies based on </w:t>
      </w:r>
      <w:r w:rsidR="00DC6FB2" w:rsidRPr="00846609">
        <w:rPr>
          <w:rFonts w:ascii="Arial" w:hAnsi="Arial" w:cs="Arial"/>
          <w:sz w:val="22"/>
        </w:rPr>
        <w:t xml:space="preserve">the </w:t>
      </w:r>
      <w:r w:rsidRPr="00846609">
        <w:rPr>
          <w:rFonts w:ascii="Arial" w:hAnsi="Arial" w:cs="Arial"/>
          <w:sz w:val="22"/>
        </w:rPr>
        <w:t>survey design. Generally, resolution increases as data density increases, and so does cost.</w:t>
      </w:r>
    </w:p>
    <w:p w14:paraId="39FEFE66" w14:textId="77777777" w:rsidR="00BF0FB5" w:rsidRPr="00846609" w:rsidRDefault="00BF0FB5" w:rsidP="00120E9E">
      <w:pPr>
        <w:ind w:left="540" w:hanging="540"/>
        <w:jc w:val="both"/>
        <w:rPr>
          <w:rFonts w:ascii="Arial" w:hAnsi="Arial" w:cs="Arial"/>
          <w:sz w:val="22"/>
        </w:rPr>
      </w:pPr>
    </w:p>
    <w:p w14:paraId="3934989B" w14:textId="53F84C79" w:rsidR="00D34400" w:rsidRPr="00846609" w:rsidRDefault="00551297" w:rsidP="00172E64">
      <w:pPr>
        <w:pStyle w:val="ListParagraph"/>
        <w:numPr>
          <w:ilvl w:val="0"/>
          <w:numId w:val="148"/>
        </w:numPr>
        <w:tabs>
          <w:tab w:val="center" w:pos="0"/>
        </w:tabs>
        <w:ind w:left="540" w:hanging="540"/>
        <w:jc w:val="both"/>
        <w:rPr>
          <w:rFonts w:ascii="Arial" w:hAnsi="Arial" w:cs="Arial"/>
          <w:sz w:val="22"/>
        </w:rPr>
      </w:pPr>
      <w:r w:rsidRPr="00846609">
        <w:rPr>
          <w:rFonts w:ascii="Arial" w:hAnsi="Arial" w:cs="Arial"/>
          <w:sz w:val="22"/>
        </w:rPr>
        <w:t>Contrasts</w:t>
      </w:r>
      <w:r w:rsidR="004730CA">
        <w:rPr>
          <w:rFonts w:ascii="Arial" w:hAnsi="Arial" w:cs="Arial"/>
          <w:sz w:val="22"/>
        </w:rPr>
        <w:t xml:space="preserve"> – </w:t>
      </w:r>
      <w:r w:rsidRPr="00846609">
        <w:rPr>
          <w:rFonts w:ascii="Arial" w:hAnsi="Arial" w:cs="Arial"/>
          <w:sz w:val="22"/>
        </w:rPr>
        <w:t>G</w:t>
      </w:r>
      <w:r w:rsidR="00921D1D" w:rsidRPr="00846609">
        <w:rPr>
          <w:rFonts w:ascii="Arial" w:hAnsi="Arial" w:cs="Arial"/>
          <w:sz w:val="22"/>
        </w:rPr>
        <w:t>eophysical techn</w:t>
      </w:r>
      <w:r w:rsidRPr="00846609">
        <w:rPr>
          <w:rFonts w:ascii="Arial" w:hAnsi="Arial" w:cs="Arial"/>
          <w:sz w:val="22"/>
        </w:rPr>
        <w:t>ologies are used to</w:t>
      </w:r>
      <w:r w:rsidR="00921D1D" w:rsidRPr="00846609">
        <w:rPr>
          <w:rFonts w:ascii="Arial" w:hAnsi="Arial" w:cs="Arial"/>
          <w:sz w:val="22"/>
        </w:rPr>
        <w:t xml:space="preserve"> </w:t>
      </w:r>
      <w:r w:rsidRPr="00846609">
        <w:rPr>
          <w:rFonts w:ascii="Arial" w:hAnsi="Arial" w:cs="Arial"/>
          <w:sz w:val="22"/>
        </w:rPr>
        <w:t xml:space="preserve">measure a contrast in a material or between materials, which is not always a direct measurement of the </w:t>
      </w:r>
      <w:r w:rsidR="000779A5" w:rsidRPr="00846609">
        <w:rPr>
          <w:rFonts w:ascii="Arial" w:hAnsi="Arial" w:cs="Arial"/>
          <w:sz w:val="22"/>
        </w:rPr>
        <w:t>material property</w:t>
      </w:r>
      <w:r w:rsidRPr="00846609">
        <w:rPr>
          <w:rFonts w:ascii="Arial" w:hAnsi="Arial" w:cs="Arial"/>
          <w:sz w:val="22"/>
        </w:rPr>
        <w:t>.  This contrast</w:t>
      </w:r>
      <w:r w:rsidR="004E5733" w:rsidRPr="00846609">
        <w:rPr>
          <w:rFonts w:ascii="Arial" w:hAnsi="Arial" w:cs="Arial"/>
          <w:sz w:val="22"/>
        </w:rPr>
        <w:t xml:space="preserve"> </w:t>
      </w:r>
      <w:r w:rsidRPr="00846609">
        <w:rPr>
          <w:rFonts w:ascii="Arial" w:hAnsi="Arial" w:cs="Arial"/>
          <w:sz w:val="22"/>
        </w:rPr>
        <w:t>is</w:t>
      </w:r>
      <w:r w:rsidR="004E5733" w:rsidRPr="00846609">
        <w:rPr>
          <w:rFonts w:ascii="Arial" w:hAnsi="Arial" w:cs="Arial"/>
          <w:sz w:val="22"/>
        </w:rPr>
        <w:t xml:space="preserve"> used </w:t>
      </w:r>
      <w:r w:rsidRPr="00846609">
        <w:rPr>
          <w:rFonts w:ascii="Arial" w:hAnsi="Arial" w:cs="Arial"/>
          <w:sz w:val="22"/>
        </w:rPr>
        <w:t xml:space="preserve">in conjunction with other subsurface data, such as borings, </w:t>
      </w:r>
      <w:r w:rsidR="004E5733" w:rsidRPr="00846609">
        <w:rPr>
          <w:rFonts w:ascii="Arial" w:hAnsi="Arial" w:cs="Arial"/>
          <w:sz w:val="22"/>
        </w:rPr>
        <w:t xml:space="preserve">to </w:t>
      </w:r>
      <w:r w:rsidRPr="00846609">
        <w:rPr>
          <w:rFonts w:ascii="Arial" w:hAnsi="Arial" w:cs="Arial"/>
          <w:sz w:val="22"/>
        </w:rPr>
        <w:t>estimate</w:t>
      </w:r>
      <w:r w:rsidR="001425F1" w:rsidRPr="00846609">
        <w:rPr>
          <w:rFonts w:ascii="Arial" w:hAnsi="Arial" w:cs="Arial"/>
          <w:sz w:val="22"/>
        </w:rPr>
        <w:t xml:space="preserve"> the </w:t>
      </w:r>
      <w:r w:rsidRPr="00846609">
        <w:rPr>
          <w:rFonts w:ascii="Arial" w:hAnsi="Arial" w:cs="Arial"/>
          <w:sz w:val="22"/>
        </w:rPr>
        <w:t>desired parameter</w:t>
      </w:r>
      <w:r w:rsidR="00921D1D" w:rsidRPr="00846609">
        <w:rPr>
          <w:rFonts w:ascii="Arial" w:hAnsi="Arial" w:cs="Arial"/>
          <w:sz w:val="22"/>
        </w:rPr>
        <w:t xml:space="preserve">.  </w:t>
      </w:r>
    </w:p>
    <w:p w14:paraId="72B5E823" w14:textId="779A9B64" w:rsidR="00E71D54" w:rsidRPr="00846609" w:rsidRDefault="00E71D54" w:rsidP="00120E9E">
      <w:pPr>
        <w:pStyle w:val="ListParagraph"/>
        <w:ind w:left="540" w:hanging="540"/>
        <w:rPr>
          <w:rFonts w:ascii="Arial" w:hAnsi="Arial" w:cs="Arial"/>
          <w:sz w:val="22"/>
        </w:rPr>
      </w:pPr>
    </w:p>
    <w:p w14:paraId="2667AF1E" w14:textId="01483894" w:rsidR="00E71D54" w:rsidRPr="00846609" w:rsidRDefault="00E71D54" w:rsidP="00172E64">
      <w:pPr>
        <w:pStyle w:val="BodyText"/>
        <w:numPr>
          <w:ilvl w:val="0"/>
          <w:numId w:val="148"/>
        </w:numPr>
        <w:spacing w:after="0"/>
        <w:ind w:left="540" w:hanging="540"/>
        <w:jc w:val="both"/>
        <w:rPr>
          <w:rFonts w:cs="Arial"/>
        </w:rPr>
      </w:pPr>
      <w:r w:rsidRPr="00846609">
        <w:rPr>
          <w:rFonts w:cs="Arial"/>
        </w:rPr>
        <w:t>Bulk Material</w:t>
      </w:r>
      <w:r w:rsidR="004730CA">
        <w:rPr>
          <w:rFonts w:cs="Arial"/>
        </w:rPr>
        <w:t xml:space="preserve"> – </w:t>
      </w:r>
      <w:r w:rsidRPr="00846609">
        <w:rPr>
          <w:rFonts w:cs="Arial"/>
        </w:rPr>
        <w:t>The results of many geophysical technologies provide relative rather than absolute geologic information and average engineering property data over the bulk material rather than accurate property data for individual thin layers. Therefore, some variation should be expected during construction.  The geophysical report may indicate the expected variation.</w:t>
      </w:r>
    </w:p>
    <w:p w14:paraId="0EB47D83" w14:textId="77777777" w:rsidR="006918E1" w:rsidRPr="00846609" w:rsidRDefault="006918E1" w:rsidP="00120E9E">
      <w:pPr>
        <w:pStyle w:val="ListParagraph"/>
        <w:tabs>
          <w:tab w:val="center" w:pos="0"/>
        </w:tabs>
        <w:ind w:left="540" w:hanging="540"/>
        <w:jc w:val="both"/>
        <w:rPr>
          <w:rFonts w:ascii="Arial" w:hAnsi="Arial" w:cs="Arial"/>
          <w:sz w:val="22"/>
        </w:rPr>
      </w:pPr>
    </w:p>
    <w:p w14:paraId="0BC3804A" w14:textId="331944FE" w:rsidR="00D808E1" w:rsidRPr="00846609" w:rsidRDefault="00551297" w:rsidP="00172E64">
      <w:pPr>
        <w:pStyle w:val="ListParagraph"/>
        <w:numPr>
          <w:ilvl w:val="0"/>
          <w:numId w:val="148"/>
        </w:numPr>
        <w:tabs>
          <w:tab w:val="center" w:pos="0"/>
        </w:tabs>
        <w:ind w:left="540" w:hanging="540"/>
        <w:jc w:val="both"/>
        <w:rPr>
          <w:rFonts w:ascii="Arial" w:hAnsi="Arial" w:cs="Arial"/>
          <w:sz w:val="22"/>
        </w:rPr>
      </w:pPr>
      <w:r w:rsidRPr="00846609">
        <w:rPr>
          <w:rFonts w:ascii="Arial" w:hAnsi="Arial" w:cs="Arial"/>
          <w:sz w:val="22"/>
        </w:rPr>
        <w:t>Interference</w:t>
      </w:r>
      <w:r w:rsidR="00D808E1" w:rsidRPr="00846609">
        <w:rPr>
          <w:rFonts w:ascii="Arial" w:hAnsi="Arial" w:cs="Arial"/>
          <w:sz w:val="22"/>
        </w:rPr>
        <w:t xml:space="preserve"> </w:t>
      </w:r>
      <w:r w:rsidRPr="00846609">
        <w:rPr>
          <w:rFonts w:ascii="Arial" w:hAnsi="Arial" w:cs="Arial"/>
          <w:sz w:val="22"/>
        </w:rPr>
        <w:t>–</w:t>
      </w:r>
      <w:r w:rsidR="00D808E1" w:rsidRPr="00846609">
        <w:rPr>
          <w:rFonts w:ascii="Arial" w:hAnsi="Arial" w:cs="Arial"/>
          <w:sz w:val="22"/>
        </w:rPr>
        <w:t xml:space="preserve"> </w:t>
      </w:r>
      <w:r w:rsidRPr="00846609">
        <w:rPr>
          <w:rFonts w:ascii="Arial" w:hAnsi="Arial" w:cs="Arial"/>
          <w:sz w:val="22"/>
        </w:rPr>
        <w:t>Sources of i</w:t>
      </w:r>
      <w:r w:rsidR="000C363F" w:rsidRPr="00846609">
        <w:rPr>
          <w:rFonts w:ascii="Arial" w:hAnsi="Arial" w:cs="Arial"/>
          <w:sz w:val="22"/>
        </w:rPr>
        <w:t>nterference</w:t>
      </w:r>
      <w:r w:rsidRPr="00846609">
        <w:rPr>
          <w:rFonts w:ascii="Arial" w:hAnsi="Arial" w:cs="Arial"/>
          <w:sz w:val="22"/>
        </w:rPr>
        <w:t xml:space="preserve"> </w:t>
      </w:r>
      <w:r w:rsidR="000C363F" w:rsidRPr="00846609">
        <w:rPr>
          <w:rFonts w:ascii="Arial" w:hAnsi="Arial" w:cs="Arial"/>
          <w:sz w:val="22"/>
        </w:rPr>
        <w:t>differ</w:t>
      </w:r>
      <w:r w:rsidRPr="00846609">
        <w:rPr>
          <w:rFonts w:ascii="Arial" w:hAnsi="Arial" w:cs="Arial"/>
          <w:sz w:val="22"/>
        </w:rPr>
        <w:t xml:space="preserve"> between technologies and can </w:t>
      </w:r>
      <w:r w:rsidR="00D808E1" w:rsidRPr="00846609">
        <w:rPr>
          <w:rFonts w:ascii="Arial" w:hAnsi="Arial" w:cs="Arial"/>
          <w:sz w:val="22"/>
        </w:rPr>
        <w:t>includ</w:t>
      </w:r>
      <w:r w:rsidRPr="00846609">
        <w:rPr>
          <w:rFonts w:ascii="Arial" w:hAnsi="Arial" w:cs="Arial"/>
          <w:sz w:val="22"/>
        </w:rPr>
        <w:t>e natural phenomena such as</w:t>
      </w:r>
      <w:r w:rsidR="00D808E1" w:rsidRPr="00846609">
        <w:rPr>
          <w:rFonts w:ascii="Arial" w:hAnsi="Arial" w:cs="Arial"/>
          <w:sz w:val="22"/>
        </w:rPr>
        <w:t xml:space="preserve"> </w:t>
      </w:r>
      <w:r w:rsidRPr="00846609">
        <w:rPr>
          <w:rFonts w:ascii="Arial" w:hAnsi="Arial" w:cs="Arial"/>
          <w:sz w:val="22"/>
        </w:rPr>
        <w:t xml:space="preserve">temperature, </w:t>
      </w:r>
      <w:r w:rsidR="00D808E1" w:rsidRPr="00846609">
        <w:rPr>
          <w:rFonts w:ascii="Arial" w:hAnsi="Arial" w:cs="Arial"/>
          <w:sz w:val="22"/>
        </w:rPr>
        <w:t xml:space="preserve">rain, earthquakes, atmospheric storms; and cultural </w:t>
      </w:r>
      <w:r w:rsidRPr="00846609">
        <w:rPr>
          <w:rFonts w:ascii="Arial" w:hAnsi="Arial" w:cs="Arial"/>
          <w:sz w:val="22"/>
        </w:rPr>
        <w:t>phenomena</w:t>
      </w:r>
      <w:r w:rsidR="00D808E1" w:rsidRPr="00846609">
        <w:rPr>
          <w:rFonts w:ascii="Arial" w:hAnsi="Arial" w:cs="Arial"/>
          <w:sz w:val="22"/>
        </w:rPr>
        <w:t xml:space="preserve"> from structures, utilities, traffic vibrations</w:t>
      </w:r>
      <w:r w:rsidR="00C1193F" w:rsidRPr="00846609">
        <w:rPr>
          <w:rFonts w:ascii="Arial" w:hAnsi="Arial" w:cs="Arial"/>
          <w:sz w:val="22"/>
        </w:rPr>
        <w:t>, and stray currents</w:t>
      </w:r>
      <w:r w:rsidR="00D808E1" w:rsidRPr="00846609">
        <w:rPr>
          <w:rFonts w:ascii="Arial" w:hAnsi="Arial" w:cs="Arial"/>
          <w:sz w:val="22"/>
        </w:rPr>
        <w:t>.</w:t>
      </w:r>
    </w:p>
    <w:p w14:paraId="5517A5DE" w14:textId="77777777" w:rsidR="000C363F" w:rsidRPr="00846609" w:rsidRDefault="000C363F" w:rsidP="00120E9E">
      <w:pPr>
        <w:ind w:left="540" w:hanging="540"/>
        <w:jc w:val="both"/>
        <w:rPr>
          <w:rFonts w:ascii="Arial" w:hAnsi="Arial" w:cs="Arial"/>
          <w:sz w:val="22"/>
        </w:rPr>
      </w:pPr>
    </w:p>
    <w:p w14:paraId="15F5DBED" w14:textId="476D1C31" w:rsidR="000C363F" w:rsidRPr="00846609" w:rsidRDefault="00C1193F" w:rsidP="00172E64">
      <w:pPr>
        <w:pStyle w:val="ListParagraph"/>
        <w:numPr>
          <w:ilvl w:val="0"/>
          <w:numId w:val="148"/>
        </w:numPr>
        <w:tabs>
          <w:tab w:val="center" w:pos="0"/>
        </w:tabs>
        <w:ind w:left="540" w:hanging="540"/>
        <w:jc w:val="both"/>
        <w:rPr>
          <w:rFonts w:ascii="Arial" w:hAnsi="Arial" w:cs="Arial"/>
          <w:sz w:val="22"/>
        </w:rPr>
      </w:pPr>
      <w:r w:rsidRPr="00846609">
        <w:rPr>
          <w:rFonts w:ascii="Arial" w:hAnsi="Arial" w:cs="Arial"/>
          <w:sz w:val="22"/>
        </w:rPr>
        <w:t>Non</w:t>
      </w:r>
      <w:r w:rsidR="00B142B5" w:rsidRPr="00846609">
        <w:rPr>
          <w:rFonts w:ascii="Arial" w:hAnsi="Arial" w:cs="Arial"/>
          <w:sz w:val="22"/>
        </w:rPr>
        <w:t>-</w:t>
      </w:r>
      <w:r w:rsidRPr="00846609">
        <w:rPr>
          <w:rFonts w:ascii="Arial" w:hAnsi="Arial" w:cs="Arial"/>
          <w:sz w:val="22"/>
        </w:rPr>
        <w:t>uniqueness</w:t>
      </w:r>
      <w:r w:rsidR="004730CA">
        <w:rPr>
          <w:rFonts w:ascii="Arial" w:hAnsi="Arial" w:cs="Arial"/>
          <w:sz w:val="22"/>
        </w:rPr>
        <w:t xml:space="preserve"> – </w:t>
      </w:r>
      <w:r w:rsidR="00B142B5" w:rsidRPr="00846609">
        <w:rPr>
          <w:rFonts w:ascii="Arial" w:hAnsi="Arial" w:cs="Arial"/>
          <w:sz w:val="22"/>
        </w:rPr>
        <w:t>T</w:t>
      </w:r>
      <w:r w:rsidRPr="00846609">
        <w:rPr>
          <w:rFonts w:ascii="Arial" w:hAnsi="Arial" w:cs="Arial"/>
          <w:sz w:val="22"/>
        </w:rPr>
        <w:t>here may be one or more subsurface scenario</w:t>
      </w:r>
      <w:r w:rsidR="004730CA">
        <w:rPr>
          <w:rFonts w:ascii="Arial" w:hAnsi="Arial" w:cs="Arial"/>
          <w:sz w:val="22"/>
        </w:rPr>
        <w:t>s</w:t>
      </w:r>
      <w:r w:rsidRPr="00846609">
        <w:rPr>
          <w:rFonts w:ascii="Arial" w:hAnsi="Arial" w:cs="Arial"/>
          <w:sz w:val="22"/>
        </w:rPr>
        <w:t xml:space="preserve"> that produce the geophysical results</w:t>
      </w:r>
      <w:r w:rsidR="004730CA">
        <w:rPr>
          <w:rFonts w:ascii="Arial" w:hAnsi="Arial" w:cs="Arial"/>
          <w:sz w:val="22"/>
        </w:rPr>
        <w:t>;</w:t>
      </w:r>
      <w:r w:rsidRPr="00846609">
        <w:rPr>
          <w:rFonts w:ascii="Arial" w:hAnsi="Arial" w:cs="Arial"/>
          <w:sz w:val="22"/>
        </w:rPr>
        <w:t xml:space="preserve"> therefore</w:t>
      </w:r>
      <w:r w:rsidR="004730CA">
        <w:rPr>
          <w:rFonts w:ascii="Arial" w:hAnsi="Arial" w:cs="Arial"/>
          <w:sz w:val="22"/>
        </w:rPr>
        <w:t>,</w:t>
      </w:r>
      <w:r w:rsidRPr="00846609">
        <w:rPr>
          <w:rFonts w:ascii="Arial" w:hAnsi="Arial" w:cs="Arial"/>
          <w:sz w:val="22"/>
        </w:rPr>
        <w:t xml:space="preserve"> a</w:t>
      </w:r>
      <w:r w:rsidR="000C363F" w:rsidRPr="00846609">
        <w:rPr>
          <w:rFonts w:ascii="Arial" w:hAnsi="Arial" w:cs="Arial"/>
          <w:sz w:val="22"/>
        </w:rPr>
        <w:t>n</w:t>
      </w:r>
      <w:r w:rsidRPr="00846609">
        <w:rPr>
          <w:rFonts w:ascii="Arial" w:hAnsi="Arial" w:cs="Arial"/>
          <w:sz w:val="22"/>
        </w:rPr>
        <w:t xml:space="preserve"> understanding of site conditions is essential </w:t>
      </w:r>
      <w:r w:rsidR="004730CA">
        <w:rPr>
          <w:rFonts w:ascii="Arial" w:hAnsi="Arial" w:cs="Arial"/>
          <w:sz w:val="22"/>
        </w:rPr>
        <w:t>for</w:t>
      </w:r>
      <w:r w:rsidR="004730CA" w:rsidRPr="00846609">
        <w:rPr>
          <w:rFonts w:ascii="Arial" w:hAnsi="Arial" w:cs="Arial"/>
          <w:sz w:val="22"/>
        </w:rPr>
        <w:t xml:space="preserve"> </w:t>
      </w:r>
      <w:r w:rsidRPr="00846609">
        <w:rPr>
          <w:rFonts w:ascii="Arial" w:hAnsi="Arial" w:cs="Arial"/>
          <w:sz w:val="22"/>
        </w:rPr>
        <w:t>interpretation</w:t>
      </w:r>
      <w:r w:rsidR="00C122A9" w:rsidRPr="00846609">
        <w:rPr>
          <w:rFonts w:ascii="Arial" w:hAnsi="Arial" w:cs="Arial"/>
          <w:sz w:val="22"/>
        </w:rPr>
        <w:t xml:space="preserve"> of the results</w:t>
      </w:r>
      <w:r w:rsidR="000C363F" w:rsidRPr="00846609">
        <w:rPr>
          <w:rFonts w:ascii="Arial" w:hAnsi="Arial" w:cs="Arial"/>
          <w:sz w:val="22"/>
        </w:rPr>
        <w:t>.</w:t>
      </w:r>
    </w:p>
    <w:p w14:paraId="2CEC3420" w14:textId="58218CAA" w:rsidR="00D808E1" w:rsidRPr="00846609" w:rsidRDefault="00D808E1" w:rsidP="00120E9E">
      <w:pPr>
        <w:ind w:left="540" w:hanging="540"/>
        <w:jc w:val="both"/>
        <w:rPr>
          <w:rFonts w:ascii="Arial" w:hAnsi="Arial" w:cs="Arial"/>
          <w:sz w:val="22"/>
        </w:rPr>
      </w:pPr>
    </w:p>
    <w:p w14:paraId="3D304BC1" w14:textId="1893861F" w:rsidR="000B45FC" w:rsidRPr="00846609" w:rsidRDefault="00B142B5" w:rsidP="00172E64">
      <w:pPr>
        <w:pStyle w:val="ListParagraph"/>
        <w:numPr>
          <w:ilvl w:val="0"/>
          <w:numId w:val="148"/>
        </w:numPr>
        <w:tabs>
          <w:tab w:val="center" w:pos="0"/>
        </w:tabs>
        <w:ind w:left="540" w:hanging="540"/>
        <w:jc w:val="both"/>
        <w:rPr>
          <w:rFonts w:ascii="Arial" w:hAnsi="Arial" w:cs="Arial"/>
          <w:sz w:val="22"/>
        </w:rPr>
      </w:pPr>
      <w:r w:rsidRPr="00846609">
        <w:rPr>
          <w:rFonts w:ascii="Arial" w:hAnsi="Arial" w:cs="Arial"/>
          <w:sz w:val="22"/>
        </w:rPr>
        <w:t>Area</w:t>
      </w:r>
      <w:r w:rsidR="004730CA">
        <w:rPr>
          <w:rFonts w:ascii="Arial" w:hAnsi="Arial" w:cs="Arial"/>
          <w:sz w:val="22"/>
        </w:rPr>
        <w:t xml:space="preserve"> – </w:t>
      </w:r>
      <w:r w:rsidR="000C363F" w:rsidRPr="00846609">
        <w:rPr>
          <w:rFonts w:ascii="Arial" w:hAnsi="Arial" w:cs="Arial"/>
          <w:sz w:val="22"/>
        </w:rPr>
        <w:t>T</w:t>
      </w:r>
      <w:r w:rsidRPr="00846609">
        <w:rPr>
          <w:rFonts w:ascii="Arial" w:hAnsi="Arial" w:cs="Arial"/>
          <w:sz w:val="22"/>
        </w:rPr>
        <w:t xml:space="preserve">he </w:t>
      </w:r>
      <w:r w:rsidR="00534106" w:rsidRPr="00846609">
        <w:rPr>
          <w:rFonts w:ascii="Arial" w:hAnsi="Arial" w:cs="Arial"/>
          <w:sz w:val="22"/>
        </w:rPr>
        <w:t xml:space="preserve">spatial </w:t>
      </w:r>
      <w:r w:rsidRPr="00846609">
        <w:rPr>
          <w:rFonts w:ascii="Arial" w:hAnsi="Arial" w:cs="Arial"/>
          <w:sz w:val="22"/>
        </w:rPr>
        <w:t>area required for data collection is</w:t>
      </w:r>
      <w:r w:rsidR="000C363F" w:rsidRPr="00846609">
        <w:rPr>
          <w:rFonts w:ascii="Arial" w:hAnsi="Arial" w:cs="Arial"/>
          <w:sz w:val="22"/>
        </w:rPr>
        <w:t xml:space="preserve"> often</w:t>
      </w:r>
      <w:r w:rsidRPr="00846609">
        <w:rPr>
          <w:rFonts w:ascii="Arial" w:hAnsi="Arial" w:cs="Arial"/>
          <w:sz w:val="22"/>
        </w:rPr>
        <w:t xml:space="preserve"> larger than the area of interest. S</w:t>
      </w:r>
      <w:r w:rsidR="00C61677" w:rsidRPr="00846609">
        <w:rPr>
          <w:rFonts w:ascii="Arial" w:hAnsi="Arial" w:cs="Arial"/>
          <w:sz w:val="22"/>
        </w:rPr>
        <w:t xml:space="preserve">ome </w:t>
      </w:r>
      <w:r w:rsidRPr="00846609">
        <w:rPr>
          <w:rFonts w:ascii="Arial" w:hAnsi="Arial" w:cs="Arial"/>
          <w:sz w:val="22"/>
        </w:rPr>
        <w:t xml:space="preserve">technologies </w:t>
      </w:r>
      <w:r w:rsidR="00C61677" w:rsidRPr="00846609">
        <w:rPr>
          <w:rFonts w:ascii="Arial" w:hAnsi="Arial" w:cs="Arial"/>
          <w:sz w:val="22"/>
        </w:rPr>
        <w:t xml:space="preserve">are collected at point locations, some along </w:t>
      </w:r>
      <w:r w:rsidR="000B45FC" w:rsidRPr="00846609">
        <w:rPr>
          <w:rFonts w:ascii="Arial" w:hAnsi="Arial" w:cs="Arial"/>
          <w:sz w:val="22"/>
        </w:rPr>
        <w:t>linear arrays</w:t>
      </w:r>
      <w:r w:rsidR="00C61677" w:rsidRPr="00846609">
        <w:rPr>
          <w:rFonts w:ascii="Arial" w:hAnsi="Arial" w:cs="Arial"/>
          <w:sz w:val="22"/>
        </w:rPr>
        <w:t>, and some over planar areas.</w:t>
      </w:r>
      <w:r w:rsidR="005D2EF4" w:rsidRPr="00846609">
        <w:rPr>
          <w:rFonts w:ascii="Arial" w:hAnsi="Arial" w:cs="Arial"/>
          <w:sz w:val="22"/>
        </w:rPr>
        <w:t xml:space="preserve"> </w:t>
      </w:r>
      <w:r w:rsidRPr="00846609">
        <w:rPr>
          <w:rFonts w:ascii="Arial" w:hAnsi="Arial" w:cs="Arial"/>
          <w:sz w:val="22"/>
        </w:rPr>
        <w:t xml:space="preserve">The area and spatial extent of data collection </w:t>
      </w:r>
      <w:r w:rsidR="004730CA">
        <w:rPr>
          <w:rFonts w:ascii="Arial" w:hAnsi="Arial" w:cs="Arial"/>
          <w:sz w:val="22"/>
        </w:rPr>
        <w:t>are</w:t>
      </w:r>
      <w:r w:rsidR="004730CA" w:rsidRPr="00846609">
        <w:rPr>
          <w:rFonts w:ascii="Arial" w:hAnsi="Arial" w:cs="Arial"/>
          <w:sz w:val="22"/>
        </w:rPr>
        <w:t xml:space="preserve"> </w:t>
      </w:r>
      <w:r w:rsidRPr="00846609">
        <w:rPr>
          <w:rFonts w:ascii="Arial" w:hAnsi="Arial" w:cs="Arial"/>
          <w:sz w:val="22"/>
        </w:rPr>
        <w:t>dependent on the geophysical technology and survey design</w:t>
      </w:r>
      <w:r w:rsidR="00C122A9" w:rsidRPr="00846609">
        <w:rPr>
          <w:rFonts w:ascii="Arial" w:hAnsi="Arial" w:cs="Arial"/>
          <w:sz w:val="22"/>
        </w:rPr>
        <w:t xml:space="preserve"> of the selected method</w:t>
      </w:r>
      <w:r w:rsidRPr="00846609">
        <w:rPr>
          <w:rFonts w:ascii="Arial" w:hAnsi="Arial" w:cs="Arial"/>
          <w:sz w:val="22"/>
        </w:rPr>
        <w:t>.</w:t>
      </w:r>
    </w:p>
    <w:p w14:paraId="7991CB13" w14:textId="03D59BA0" w:rsidR="000C363F" w:rsidRPr="00846609" w:rsidRDefault="000C363F" w:rsidP="00120E9E">
      <w:pPr>
        <w:ind w:left="540" w:hanging="540"/>
        <w:jc w:val="both"/>
        <w:rPr>
          <w:rFonts w:ascii="Arial" w:hAnsi="Arial" w:cs="Arial"/>
          <w:sz w:val="22"/>
        </w:rPr>
      </w:pPr>
    </w:p>
    <w:p w14:paraId="35AB63D9" w14:textId="6AE7C3A2" w:rsidR="005D2EF4" w:rsidRPr="009B1E8D" w:rsidRDefault="00303292" w:rsidP="00172E64">
      <w:pPr>
        <w:pStyle w:val="ListParagraph"/>
        <w:numPr>
          <w:ilvl w:val="0"/>
          <w:numId w:val="148"/>
        </w:numPr>
        <w:tabs>
          <w:tab w:val="center" w:pos="0"/>
        </w:tabs>
        <w:ind w:left="540" w:hanging="540"/>
        <w:jc w:val="both"/>
        <w:rPr>
          <w:rFonts w:ascii="Arial" w:hAnsi="Arial" w:cs="Arial"/>
          <w:sz w:val="22"/>
        </w:rPr>
      </w:pPr>
      <w:r w:rsidRPr="00846609">
        <w:rPr>
          <w:rFonts w:ascii="Arial" w:hAnsi="Arial" w:cs="Arial"/>
          <w:sz w:val="22"/>
        </w:rPr>
        <w:t>Timeframe</w:t>
      </w:r>
      <w:r w:rsidR="005D2EF4" w:rsidRPr="00846609">
        <w:rPr>
          <w:rFonts w:ascii="Arial" w:hAnsi="Arial" w:cs="Arial"/>
          <w:sz w:val="22"/>
        </w:rPr>
        <w:t xml:space="preserve"> – </w:t>
      </w:r>
      <w:r w:rsidR="00B142B5" w:rsidRPr="00846609">
        <w:rPr>
          <w:rFonts w:ascii="Arial" w:hAnsi="Arial" w:cs="Arial"/>
          <w:sz w:val="22"/>
        </w:rPr>
        <w:t>It</w:t>
      </w:r>
      <w:r w:rsidR="005D2EF4" w:rsidRPr="00846609">
        <w:rPr>
          <w:rFonts w:ascii="Arial" w:hAnsi="Arial" w:cs="Arial"/>
          <w:sz w:val="22"/>
        </w:rPr>
        <w:t xml:space="preserve"> is</w:t>
      </w:r>
      <w:r w:rsidR="00B142B5" w:rsidRPr="00846609">
        <w:rPr>
          <w:rFonts w:ascii="Arial" w:hAnsi="Arial" w:cs="Arial"/>
          <w:sz w:val="22"/>
        </w:rPr>
        <w:t xml:space="preserve"> often</w:t>
      </w:r>
      <w:r w:rsidR="005D2EF4" w:rsidRPr="00846609">
        <w:rPr>
          <w:rFonts w:ascii="Arial" w:hAnsi="Arial" w:cs="Arial"/>
          <w:sz w:val="22"/>
        </w:rPr>
        <w:t xml:space="preserve"> ideal to perform geophysics </w:t>
      </w:r>
      <w:r w:rsidRPr="00846609">
        <w:rPr>
          <w:rFonts w:ascii="Arial" w:hAnsi="Arial" w:cs="Arial"/>
          <w:sz w:val="22"/>
        </w:rPr>
        <w:t>before borings. This is because</w:t>
      </w:r>
      <w:r w:rsidR="005D2EF4" w:rsidRPr="00846609">
        <w:rPr>
          <w:rFonts w:ascii="Arial" w:hAnsi="Arial" w:cs="Arial"/>
          <w:sz w:val="22"/>
        </w:rPr>
        <w:t xml:space="preserve"> </w:t>
      </w:r>
      <w:r w:rsidRPr="00846609">
        <w:rPr>
          <w:rFonts w:ascii="Arial" w:hAnsi="Arial" w:cs="Arial"/>
          <w:sz w:val="22"/>
        </w:rPr>
        <w:t>the</w:t>
      </w:r>
      <w:r w:rsidR="005D2EF4" w:rsidRPr="00846609">
        <w:rPr>
          <w:rFonts w:ascii="Arial" w:hAnsi="Arial" w:cs="Arial"/>
          <w:sz w:val="22"/>
        </w:rPr>
        <w:t xml:space="preserve"> borings</w:t>
      </w:r>
      <w:r w:rsidRPr="00846609">
        <w:rPr>
          <w:rFonts w:ascii="Arial" w:hAnsi="Arial" w:cs="Arial"/>
          <w:sz w:val="22"/>
        </w:rPr>
        <w:t xml:space="preserve"> can then be performed</w:t>
      </w:r>
      <w:r w:rsidR="005D2EF4" w:rsidRPr="00846609">
        <w:rPr>
          <w:rFonts w:ascii="Arial" w:hAnsi="Arial" w:cs="Arial"/>
          <w:sz w:val="22"/>
        </w:rPr>
        <w:t xml:space="preserve"> in specific targeted areas</w:t>
      </w:r>
      <w:r w:rsidRPr="00846609">
        <w:rPr>
          <w:rFonts w:ascii="Arial" w:hAnsi="Arial" w:cs="Arial"/>
          <w:sz w:val="22"/>
        </w:rPr>
        <w:t xml:space="preserve"> </w:t>
      </w:r>
      <w:r w:rsidR="005D2EF4" w:rsidRPr="00846609">
        <w:rPr>
          <w:rFonts w:ascii="Arial" w:hAnsi="Arial" w:cs="Arial"/>
          <w:sz w:val="22"/>
        </w:rPr>
        <w:t xml:space="preserve">based on </w:t>
      </w:r>
      <w:r w:rsidR="00C122A9" w:rsidRPr="00846609">
        <w:rPr>
          <w:rFonts w:ascii="Arial" w:hAnsi="Arial" w:cs="Arial"/>
          <w:sz w:val="22"/>
        </w:rPr>
        <w:t xml:space="preserve">the </w:t>
      </w:r>
      <w:r w:rsidR="005D2EF4" w:rsidRPr="00846609">
        <w:rPr>
          <w:rFonts w:ascii="Arial" w:hAnsi="Arial" w:cs="Arial"/>
          <w:sz w:val="22"/>
        </w:rPr>
        <w:t xml:space="preserve">geophysical </w:t>
      </w:r>
      <w:r w:rsidR="00B142B5" w:rsidRPr="00846609">
        <w:rPr>
          <w:rFonts w:ascii="Arial" w:hAnsi="Arial" w:cs="Arial"/>
          <w:sz w:val="22"/>
        </w:rPr>
        <w:t>results</w:t>
      </w:r>
      <w:r w:rsidR="005D2EF4" w:rsidRPr="00846609">
        <w:rPr>
          <w:rFonts w:ascii="Arial" w:hAnsi="Arial" w:cs="Arial"/>
          <w:sz w:val="22"/>
        </w:rPr>
        <w:t>.</w:t>
      </w:r>
      <w:r w:rsidR="000779A5" w:rsidRPr="00846609">
        <w:rPr>
          <w:rFonts w:ascii="Arial" w:hAnsi="Arial" w:cs="Arial"/>
          <w:sz w:val="22"/>
        </w:rPr>
        <w:t xml:space="preserve"> </w:t>
      </w:r>
      <w:r w:rsidR="004A75FF" w:rsidRPr="00846609">
        <w:rPr>
          <w:rFonts w:ascii="Arial" w:hAnsi="Arial" w:cs="Arial"/>
          <w:sz w:val="22"/>
        </w:rPr>
        <w:t xml:space="preserve"> </w:t>
      </w:r>
      <w:r w:rsidR="000779A5" w:rsidRPr="00846609">
        <w:rPr>
          <w:rFonts w:ascii="Arial" w:hAnsi="Arial" w:cs="Arial"/>
          <w:sz w:val="22"/>
        </w:rPr>
        <w:t>Schedule</w:t>
      </w:r>
      <w:r w:rsidRPr="00846609">
        <w:rPr>
          <w:rFonts w:ascii="Arial" w:hAnsi="Arial" w:cs="Arial"/>
          <w:sz w:val="22"/>
        </w:rPr>
        <w:t xml:space="preserve"> and duration</w:t>
      </w:r>
      <w:r w:rsidR="000779A5" w:rsidRPr="00846609">
        <w:rPr>
          <w:rFonts w:ascii="Arial" w:hAnsi="Arial" w:cs="Arial"/>
          <w:sz w:val="22"/>
        </w:rPr>
        <w:t xml:space="preserve"> will depend on the specific scope</w:t>
      </w:r>
      <w:r w:rsidRPr="00846609">
        <w:rPr>
          <w:rFonts w:ascii="Arial" w:hAnsi="Arial" w:cs="Arial"/>
          <w:sz w:val="22"/>
        </w:rPr>
        <w:t>.</w:t>
      </w:r>
      <w:r w:rsidR="000779A5" w:rsidRPr="00846609">
        <w:rPr>
          <w:rFonts w:ascii="Arial" w:hAnsi="Arial" w:cs="Arial"/>
          <w:sz w:val="22"/>
        </w:rPr>
        <w:t xml:space="preserve">  </w:t>
      </w:r>
      <w:r w:rsidRPr="00846609">
        <w:rPr>
          <w:rFonts w:ascii="Arial" w:hAnsi="Arial" w:cs="Arial"/>
          <w:sz w:val="22"/>
        </w:rPr>
        <w:t>Estimate 1 week to 6 months from the time of the geophysical request.</w:t>
      </w:r>
      <w:r w:rsidR="004A75FF" w:rsidRPr="00846609">
        <w:rPr>
          <w:rFonts w:ascii="Arial" w:hAnsi="Arial" w:cs="Arial"/>
          <w:sz w:val="22"/>
        </w:rPr>
        <w:t xml:space="preserve"> </w:t>
      </w:r>
      <w:r w:rsidR="000779A5" w:rsidRPr="00846609">
        <w:rPr>
          <w:rFonts w:ascii="Arial" w:hAnsi="Arial" w:cs="Arial"/>
          <w:sz w:val="22"/>
        </w:rPr>
        <w:t xml:space="preserve"> Actual timeframe sh</w:t>
      </w:r>
      <w:r w:rsidR="000779A5" w:rsidRPr="009B1E8D">
        <w:rPr>
          <w:rFonts w:ascii="Arial" w:hAnsi="Arial" w:cs="Arial"/>
          <w:sz w:val="22"/>
        </w:rPr>
        <w:t xml:space="preserve">ould be coordinated </w:t>
      </w:r>
      <w:r w:rsidR="000779A5" w:rsidRPr="009B1E8D">
        <w:rPr>
          <w:rFonts w:ascii="Arial" w:hAnsi="Arial" w:cs="Arial"/>
          <w:sz w:val="22"/>
          <w:szCs w:val="22"/>
        </w:rPr>
        <w:t>with geophysicist</w:t>
      </w:r>
      <w:r w:rsidRPr="009B1E8D">
        <w:rPr>
          <w:rFonts w:ascii="Arial" w:hAnsi="Arial" w:cs="Arial"/>
          <w:sz w:val="22"/>
          <w:szCs w:val="22"/>
        </w:rPr>
        <w:t xml:space="preserve"> and will be based on the</w:t>
      </w:r>
      <w:r w:rsidR="000779A5" w:rsidRPr="009B1E8D">
        <w:rPr>
          <w:rFonts w:ascii="Arial" w:hAnsi="Arial" w:cs="Arial"/>
          <w:sz w:val="22"/>
          <w:szCs w:val="22"/>
        </w:rPr>
        <w:t xml:space="preserve"> project </w:t>
      </w:r>
      <w:r w:rsidR="000779A5" w:rsidRPr="009B1E8D">
        <w:rPr>
          <w:rFonts w:cs="Arial"/>
          <w:sz w:val="22"/>
          <w:szCs w:val="22"/>
        </w:rPr>
        <w:t xml:space="preserve">schedule and </w:t>
      </w:r>
      <w:r w:rsidRPr="009B1E8D">
        <w:rPr>
          <w:rFonts w:cs="Arial"/>
          <w:sz w:val="22"/>
          <w:szCs w:val="22"/>
        </w:rPr>
        <w:t>geophysicist’s</w:t>
      </w:r>
      <w:r w:rsidR="000779A5" w:rsidRPr="009B1E8D">
        <w:rPr>
          <w:rFonts w:cs="Arial"/>
          <w:sz w:val="22"/>
          <w:szCs w:val="22"/>
        </w:rPr>
        <w:t xml:space="preserve"> </w:t>
      </w:r>
      <w:r w:rsidRPr="009B1E8D">
        <w:rPr>
          <w:rFonts w:cs="Arial"/>
          <w:sz w:val="22"/>
          <w:szCs w:val="22"/>
        </w:rPr>
        <w:t>availability</w:t>
      </w:r>
      <w:r w:rsidR="000779A5" w:rsidRPr="009B1E8D">
        <w:rPr>
          <w:rFonts w:ascii="Arial" w:hAnsi="Arial" w:cs="Arial"/>
          <w:sz w:val="22"/>
          <w:szCs w:val="22"/>
        </w:rPr>
        <w:t>.</w:t>
      </w:r>
      <w:r w:rsidR="000779A5" w:rsidRPr="009B1E8D">
        <w:rPr>
          <w:rFonts w:ascii="Arial" w:hAnsi="Arial" w:cs="Arial"/>
          <w:sz w:val="22"/>
        </w:rPr>
        <w:t xml:space="preserve"> </w:t>
      </w:r>
    </w:p>
    <w:p w14:paraId="6BE60C07" w14:textId="254FCD36" w:rsidR="000E51FC" w:rsidRDefault="000E51FC" w:rsidP="00483837">
      <w:pPr>
        <w:pStyle w:val="Heading3"/>
        <w:ind w:left="1440" w:hanging="1440"/>
      </w:pPr>
      <w:r>
        <w:t>Common Geophysical Technologies</w:t>
      </w:r>
    </w:p>
    <w:p w14:paraId="7F93D8AF" w14:textId="3210ED78" w:rsidR="005C76D5" w:rsidRDefault="000E51FC" w:rsidP="000E51FC">
      <w:pPr>
        <w:tabs>
          <w:tab w:val="center" w:pos="0"/>
        </w:tabs>
        <w:jc w:val="both"/>
        <w:rPr>
          <w:rFonts w:ascii="Arial" w:hAnsi="Arial"/>
          <w:sz w:val="22"/>
        </w:rPr>
      </w:pPr>
      <w:r>
        <w:rPr>
          <w:rFonts w:ascii="Arial" w:hAnsi="Arial"/>
          <w:sz w:val="22"/>
        </w:rPr>
        <w:t xml:space="preserve">There are several kinds of geophysical technologies that can be measured and used to investigate the subsurface for </w:t>
      </w:r>
      <w:r w:rsidR="00AE2B63">
        <w:rPr>
          <w:rFonts w:ascii="Arial" w:hAnsi="Arial"/>
          <w:sz w:val="22"/>
        </w:rPr>
        <w:t>roadway</w:t>
      </w:r>
      <w:r>
        <w:rPr>
          <w:rFonts w:ascii="Arial" w:hAnsi="Arial"/>
          <w:sz w:val="22"/>
        </w:rPr>
        <w:t xml:space="preserve"> projects included in the broad categories of seismic, electrical, magnetic, electromagnetic</w:t>
      </w:r>
      <w:r w:rsidR="00CD056F">
        <w:rPr>
          <w:rFonts w:ascii="Arial" w:hAnsi="Arial"/>
          <w:sz w:val="22"/>
        </w:rPr>
        <w:t>, and gravity.</w:t>
      </w:r>
      <w:r>
        <w:rPr>
          <w:rFonts w:ascii="Arial" w:hAnsi="Arial"/>
          <w:sz w:val="22"/>
        </w:rPr>
        <w:t xml:space="preserve"> </w:t>
      </w:r>
      <w:r w:rsidR="00CD056F">
        <w:rPr>
          <w:rFonts w:ascii="Arial" w:hAnsi="Arial"/>
          <w:sz w:val="22"/>
        </w:rPr>
        <w:t xml:space="preserve"> </w:t>
      </w:r>
      <w:r w:rsidR="001A4EDC">
        <w:rPr>
          <w:rFonts w:ascii="Arial" w:hAnsi="Arial"/>
          <w:sz w:val="22"/>
        </w:rPr>
        <w:t xml:space="preserve">The table below lists common geophysical technologies and whether they are commonly used for </w:t>
      </w:r>
      <w:r w:rsidR="00AE2B63">
        <w:rPr>
          <w:rFonts w:ascii="Arial" w:hAnsi="Arial"/>
          <w:sz w:val="22"/>
        </w:rPr>
        <w:t>roadway</w:t>
      </w:r>
      <w:r w:rsidR="001A4EDC">
        <w:rPr>
          <w:rFonts w:ascii="Arial" w:hAnsi="Arial"/>
          <w:sz w:val="22"/>
        </w:rPr>
        <w:t xml:space="preserve"> project</w:t>
      </w:r>
      <w:r w:rsidR="00F33565">
        <w:rPr>
          <w:rFonts w:ascii="Arial" w:hAnsi="Arial"/>
          <w:sz w:val="22"/>
        </w:rPr>
        <w:t>s</w:t>
      </w:r>
      <w:r w:rsidR="001A4EDC">
        <w:rPr>
          <w:rFonts w:ascii="Arial" w:hAnsi="Arial"/>
          <w:sz w:val="22"/>
        </w:rPr>
        <w:t xml:space="preserve"> in Maryland. </w:t>
      </w:r>
      <w:r w:rsidR="004A75FF">
        <w:rPr>
          <w:rFonts w:ascii="Arial" w:hAnsi="Arial"/>
          <w:sz w:val="22"/>
        </w:rPr>
        <w:t xml:space="preserve"> </w:t>
      </w:r>
      <w:r w:rsidR="00AD6A2C">
        <w:rPr>
          <w:rFonts w:ascii="Arial" w:hAnsi="Arial"/>
          <w:sz w:val="22"/>
        </w:rPr>
        <w:t xml:space="preserve">The technologies that are not commonly used are included because they are useful for particular applications that </w:t>
      </w:r>
      <w:r w:rsidR="00F33565">
        <w:rPr>
          <w:rFonts w:ascii="Arial" w:hAnsi="Arial"/>
          <w:sz w:val="22"/>
        </w:rPr>
        <w:t>are occasionally needed</w:t>
      </w:r>
      <w:r w:rsidR="00AD6A2C">
        <w:rPr>
          <w:rFonts w:ascii="Arial" w:hAnsi="Arial"/>
          <w:sz w:val="22"/>
        </w:rPr>
        <w:t xml:space="preserve">. </w:t>
      </w:r>
      <w:r w:rsidR="00CD056F">
        <w:rPr>
          <w:rFonts w:ascii="Arial" w:hAnsi="Arial"/>
          <w:sz w:val="22"/>
        </w:rPr>
        <w:t xml:space="preserve">This </w:t>
      </w:r>
      <w:r w:rsidR="001A4EDC">
        <w:rPr>
          <w:rFonts w:ascii="Arial" w:hAnsi="Arial"/>
          <w:sz w:val="22"/>
        </w:rPr>
        <w:t>section</w:t>
      </w:r>
      <w:r w:rsidR="00CD056F">
        <w:rPr>
          <w:rFonts w:ascii="Arial" w:hAnsi="Arial"/>
          <w:sz w:val="22"/>
        </w:rPr>
        <w:t xml:space="preserve"> will focus on the technologies that are most frequently used for </w:t>
      </w:r>
      <w:r w:rsidR="00AE2B63">
        <w:rPr>
          <w:rFonts w:ascii="Arial" w:hAnsi="Arial"/>
          <w:sz w:val="22"/>
        </w:rPr>
        <w:t>roadway</w:t>
      </w:r>
      <w:r w:rsidR="00CD056F">
        <w:rPr>
          <w:rFonts w:ascii="Arial" w:hAnsi="Arial"/>
          <w:sz w:val="22"/>
        </w:rPr>
        <w:t xml:space="preserve"> projects.  </w:t>
      </w:r>
      <w:r w:rsidR="00AD6A2C">
        <w:rPr>
          <w:rFonts w:ascii="Arial" w:hAnsi="Arial"/>
          <w:sz w:val="22"/>
        </w:rPr>
        <w:t>For further information about geophysical technologies</w:t>
      </w:r>
      <w:r w:rsidR="00693947">
        <w:rPr>
          <w:rFonts w:ascii="Arial" w:hAnsi="Arial"/>
          <w:sz w:val="22"/>
        </w:rPr>
        <w:t>,</w:t>
      </w:r>
      <w:r w:rsidR="00AD6A2C">
        <w:rPr>
          <w:rFonts w:ascii="Arial" w:hAnsi="Arial"/>
          <w:sz w:val="22"/>
        </w:rPr>
        <w:t xml:space="preserve"> refer to the</w:t>
      </w:r>
      <w:r w:rsidR="003050F9">
        <w:rPr>
          <w:rFonts w:ascii="Arial" w:hAnsi="Arial"/>
          <w:sz w:val="22"/>
        </w:rPr>
        <w:t xml:space="preserve"> references listed in </w:t>
      </w:r>
      <w:hyperlink w:anchor="_Geophysical_References" w:history="1">
        <w:r w:rsidR="003050F9" w:rsidRPr="009B1E8D">
          <w:rPr>
            <w:rStyle w:val="Hyperlink"/>
            <w:rFonts w:ascii="Arial" w:hAnsi="Arial"/>
            <w:sz w:val="22"/>
          </w:rPr>
          <w:t>Appendix</w:t>
        </w:r>
        <w:r w:rsidR="00A02D42" w:rsidRPr="009B1E8D">
          <w:rPr>
            <w:rStyle w:val="Hyperlink"/>
            <w:rFonts w:ascii="Arial" w:hAnsi="Arial"/>
            <w:sz w:val="22"/>
          </w:rPr>
          <w:t xml:space="preserve"> 9.03.01</w:t>
        </w:r>
      </w:hyperlink>
      <w:r w:rsidR="003050F9" w:rsidRPr="009B1E8D">
        <w:rPr>
          <w:rFonts w:ascii="Arial" w:hAnsi="Arial"/>
          <w:sz w:val="22"/>
        </w:rPr>
        <w:t>, in particular the</w:t>
      </w:r>
      <w:r w:rsidR="001B1DE3" w:rsidRPr="009B1E8D">
        <w:rPr>
          <w:rFonts w:ascii="Arial" w:hAnsi="Arial"/>
          <w:sz w:val="22"/>
        </w:rPr>
        <w:t xml:space="preserve"> 2003</w:t>
      </w:r>
      <w:r w:rsidR="00AD6A2C" w:rsidRPr="009B1E8D">
        <w:rPr>
          <w:rFonts w:ascii="Arial" w:hAnsi="Arial"/>
          <w:sz w:val="22"/>
        </w:rPr>
        <w:t xml:space="preserve"> FHWA </w:t>
      </w:r>
      <w:r w:rsidR="003050F9" w:rsidRPr="009B1E8D">
        <w:rPr>
          <w:rFonts w:ascii="Arial" w:hAnsi="Arial"/>
          <w:sz w:val="22"/>
        </w:rPr>
        <w:t>Geophysical Manual Publication No. FHWA-IF-04</w:t>
      </w:r>
      <w:r w:rsidR="003050F9" w:rsidRPr="003050F9">
        <w:rPr>
          <w:rFonts w:ascii="Arial" w:hAnsi="Arial"/>
          <w:sz w:val="22"/>
        </w:rPr>
        <w:t>-</w:t>
      </w:r>
      <w:r w:rsidR="00853539" w:rsidRPr="003050F9">
        <w:rPr>
          <w:rFonts w:ascii="Arial" w:hAnsi="Arial"/>
          <w:sz w:val="22"/>
        </w:rPr>
        <w:t>021</w:t>
      </w:r>
      <w:r w:rsidR="00853539">
        <w:rPr>
          <w:rFonts w:ascii="Arial" w:hAnsi="Arial"/>
          <w:sz w:val="22"/>
        </w:rPr>
        <w:t xml:space="preserve"> and</w:t>
      </w:r>
      <w:r w:rsidR="003050F9">
        <w:rPr>
          <w:rFonts w:ascii="Arial" w:hAnsi="Arial"/>
          <w:sz w:val="22"/>
        </w:rPr>
        <w:t xml:space="preserve"> ASTM D6429 Standard Guide for Selecting Geophysical Methods</w:t>
      </w:r>
      <w:r w:rsidR="00AD6A2C">
        <w:rPr>
          <w:rFonts w:ascii="Arial" w:hAnsi="Arial"/>
          <w:sz w:val="22"/>
        </w:rPr>
        <w:t>.</w:t>
      </w:r>
    </w:p>
    <w:p w14:paraId="25CD0B11" w14:textId="77777777" w:rsidR="00CD056F" w:rsidRDefault="00CD056F" w:rsidP="000E51FC">
      <w:pPr>
        <w:tabs>
          <w:tab w:val="center" w:pos="0"/>
        </w:tabs>
        <w:jc w:val="both"/>
        <w:rPr>
          <w:rFonts w:ascii="Arial" w:hAnsi="Arial"/>
          <w:sz w:val="22"/>
        </w:rPr>
      </w:pPr>
    </w:p>
    <w:tbl>
      <w:tblPr>
        <w:tblStyle w:val="TableGrid"/>
        <w:tblW w:w="0" w:type="auto"/>
        <w:jc w:val="center"/>
        <w:tblLook w:val="04A0" w:firstRow="1" w:lastRow="0" w:firstColumn="1" w:lastColumn="0" w:noHBand="0" w:noVBand="1"/>
      </w:tblPr>
      <w:tblGrid>
        <w:gridCol w:w="1795"/>
        <w:gridCol w:w="1759"/>
        <w:gridCol w:w="2148"/>
        <w:gridCol w:w="2928"/>
      </w:tblGrid>
      <w:tr w:rsidR="00CD056F" w14:paraId="03FCCBA6" w14:textId="0C58B2C9" w:rsidTr="003B27C3">
        <w:trPr>
          <w:jc w:val="center"/>
        </w:trPr>
        <w:tc>
          <w:tcPr>
            <w:tcW w:w="1795" w:type="dxa"/>
            <w:shd w:val="pct15" w:color="auto" w:fill="auto"/>
            <w:vAlign w:val="center"/>
          </w:tcPr>
          <w:p w14:paraId="3A8A06F9" w14:textId="1E041C9C" w:rsidR="00CD056F" w:rsidRPr="008014BA" w:rsidRDefault="00CD056F" w:rsidP="008014BA">
            <w:pPr>
              <w:tabs>
                <w:tab w:val="center" w:pos="0"/>
              </w:tabs>
              <w:jc w:val="center"/>
              <w:rPr>
                <w:rFonts w:ascii="Arial" w:hAnsi="Arial"/>
                <w:b/>
                <w:sz w:val="22"/>
              </w:rPr>
            </w:pPr>
            <w:r w:rsidRPr="008014BA">
              <w:rPr>
                <w:rFonts w:ascii="Arial" w:hAnsi="Arial"/>
                <w:b/>
                <w:sz w:val="22"/>
              </w:rPr>
              <w:t>Technology Category</w:t>
            </w:r>
          </w:p>
        </w:tc>
        <w:tc>
          <w:tcPr>
            <w:tcW w:w="1759" w:type="dxa"/>
            <w:shd w:val="pct15" w:color="auto" w:fill="auto"/>
            <w:vAlign w:val="center"/>
          </w:tcPr>
          <w:p w14:paraId="5C3A6123" w14:textId="7D6F634D" w:rsidR="00CD056F" w:rsidRPr="008014BA" w:rsidRDefault="00CD056F" w:rsidP="008014BA">
            <w:pPr>
              <w:tabs>
                <w:tab w:val="center" w:pos="0"/>
              </w:tabs>
              <w:jc w:val="center"/>
              <w:rPr>
                <w:rFonts w:ascii="Arial" w:hAnsi="Arial"/>
                <w:b/>
                <w:sz w:val="22"/>
              </w:rPr>
            </w:pPr>
            <w:r w:rsidRPr="008014BA">
              <w:rPr>
                <w:rFonts w:ascii="Arial" w:hAnsi="Arial"/>
                <w:b/>
                <w:sz w:val="22"/>
              </w:rPr>
              <w:t>Specific Technology</w:t>
            </w:r>
          </w:p>
        </w:tc>
        <w:tc>
          <w:tcPr>
            <w:tcW w:w="2148" w:type="dxa"/>
            <w:shd w:val="pct15" w:color="auto" w:fill="auto"/>
            <w:vAlign w:val="center"/>
          </w:tcPr>
          <w:p w14:paraId="46AD5E05" w14:textId="4E72DFAC" w:rsidR="00CD056F" w:rsidRPr="008014BA" w:rsidRDefault="00CD056F" w:rsidP="004730CA">
            <w:pPr>
              <w:tabs>
                <w:tab w:val="center" w:pos="0"/>
              </w:tabs>
              <w:jc w:val="center"/>
              <w:rPr>
                <w:rFonts w:ascii="Arial" w:hAnsi="Arial"/>
                <w:b/>
                <w:sz w:val="22"/>
              </w:rPr>
            </w:pPr>
            <w:r w:rsidRPr="008014BA">
              <w:rPr>
                <w:rFonts w:ascii="Arial" w:hAnsi="Arial"/>
                <w:b/>
                <w:sz w:val="22"/>
              </w:rPr>
              <w:t xml:space="preserve">Commonly </w:t>
            </w:r>
            <w:r w:rsidR="0055478B">
              <w:rPr>
                <w:rFonts w:ascii="Arial" w:hAnsi="Arial"/>
                <w:b/>
                <w:sz w:val="22"/>
              </w:rPr>
              <w:t>Applicable</w:t>
            </w:r>
            <w:r w:rsidRPr="008014BA">
              <w:rPr>
                <w:rFonts w:ascii="Arial" w:hAnsi="Arial"/>
                <w:b/>
                <w:sz w:val="22"/>
              </w:rPr>
              <w:t xml:space="preserve"> for </w:t>
            </w:r>
            <w:r w:rsidR="00AE2B63">
              <w:rPr>
                <w:rFonts w:ascii="Arial" w:hAnsi="Arial"/>
                <w:b/>
                <w:sz w:val="22"/>
              </w:rPr>
              <w:t>Roadway</w:t>
            </w:r>
            <w:r w:rsidRPr="008014BA">
              <w:rPr>
                <w:rFonts w:ascii="Arial" w:hAnsi="Arial"/>
                <w:b/>
                <w:sz w:val="22"/>
              </w:rPr>
              <w:t xml:space="preserve"> Projects</w:t>
            </w:r>
          </w:p>
        </w:tc>
        <w:tc>
          <w:tcPr>
            <w:tcW w:w="2928" w:type="dxa"/>
            <w:shd w:val="pct15" w:color="auto" w:fill="auto"/>
            <w:vAlign w:val="center"/>
          </w:tcPr>
          <w:p w14:paraId="41CF790C" w14:textId="1E98912A" w:rsidR="00CD056F" w:rsidRPr="008014BA" w:rsidRDefault="00CD056F" w:rsidP="008014BA">
            <w:pPr>
              <w:tabs>
                <w:tab w:val="center" w:pos="0"/>
              </w:tabs>
              <w:jc w:val="center"/>
              <w:rPr>
                <w:rFonts w:ascii="Arial" w:hAnsi="Arial"/>
                <w:b/>
                <w:sz w:val="22"/>
              </w:rPr>
            </w:pPr>
            <w:r w:rsidRPr="008014BA">
              <w:rPr>
                <w:rFonts w:ascii="Arial" w:hAnsi="Arial"/>
                <w:b/>
                <w:sz w:val="22"/>
              </w:rPr>
              <w:t>Note</w:t>
            </w:r>
            <w:r w:rsidR="0055478B">
              <w:rPr>
                <w:rFonts w:ascii="Arial" w:hAnsi="Arial"/>
                <w:b/>
                <w:sz w:val="22"/>
              </w:rPr>
              <w:t xml:space="preserve"> on Application</w:t>
            </w:r>
          </w:p>
        </w:tc>
      </w:tr>
      <w:tr w:rsidR="005F4145" w14:paraId="404FF9E5" w14:textId="4F63ABC2" w:rsidTr="003B27C3">
        <w:trPr>
          <w:jc w:val="center"/>
        </w:trPr>
        <w:tc>
          <w:tcPr>
            <w:tcW w:w="1795" w:type="dxa"/>
          </w:tcPr>
          <w:p w14:paraId="141D4D04" w14:textId="08C2F7A4" w:rsidR="005F4145" w:rsidRDefault="005F4145" w:rsidP="008014BA">
            <w:pPr>
              <w:tabs>
                <w:tab w:val="center" w:pos="0"/>
              </w:tabs>
              <w:rPr>
                <w:rFonts w:ascii="Arial" w:hAnsi="Arial"/>
                <w:sz w:val="22"/>
              </w:rPr>
            </w:pPr>
            <w:r>
              <w:rPr>
                <w:rFonts w:ascii="Arial" w:hAnsi="Arial"/>
                <w:sz w:val="22"/>
              </w:rPr>
              <w:t>Seismic</w:t>
            </w:r>
          </w:p>
        </w:tc>
        <w:tc>
          <w:tcPr>
            <w:tcW w:w="1759" w:type="dxa"/>
          </w:tcPr>
          <w:p w14:paraId="43203E49" w14:textId="5A55824D" w:rsidR="005F4145" w:rsidRDefault="005F4145" w:rsidP="008014BA">
            <w:pPr>
              <w:tabs>
                <w:tab w:val="center" w:pos="0"/>
              </w:tabs>
              <w:rPr>
                <w:rFonts w:ascii="Arial" w:hAnsi="Arial"/>
                <w:sz w:val="22"/>
              </w:rPr>
            </w:pPr>
            <w:r>
              <w:rPr>
                <w:rFonts w:ascii="Arial" w:hAnsi="Arial"/>
                <w:sz w:val="22"/>
              </w:rPr>
              <w:t>Seismic Refraction</w:t>
            </w:r>
          </w:p>
        </w:tc>
        <w:tc>
          <w:tcPr>
            <w:tcW w:w="2148" w:type="dxa"/>
          </w:tcPr>
          <w:p w14:paraId="47025A53" w14:textId="7B484BD6" w:rsidR="005F4145" w:rsidRDefault="005F4145" w:rsidP="008014BA">
            <w:pPr>
              <w:tabs>
                <w:tab w:val="center" w:pos="0"/>
              </w:tabs>
              <w:jc w:val="center"/>
              <w:rPr>
                <w:rFonts w:ascii="Arial" w:hAnsi="Arial"/>
                <w:sz w:val="22"/>
              </w:rPr>
            </w:pPr>
            <w:r>
              <w:rPr>
                <w:rFonts w:ascii="Arial" w:hAnsi="Arial"/>
                <w:sz w:val="22"/>
              </w:rPr>
              <w:t>Yes</w:t>
            </w:r>
          </w:p>
        </w:tc>
        <w:tc>
          <w:tcPr>
            <w:tcW w:w="2928" w:type="dxa"/>
          </w:tcPr>
          <w:p w14:paraId="3DC1089E" w14:textId="33949BF6" w:rsidR="005F4145" w:rsidRDefault="005F4145" w:rsidP="008014BA">
            <w:pPr>
              <w:tabs>
                <w:tab w:val="center" w:pos="0"/>
              </w:tabs>
              <w:rPr>
                <w:rFonts w:ascii="Arial" w:hAnsi="Arial"/>
                <w:sz w:val="22"/>
              </w:rPr>
            </w:pPr>
            <w:r>
              <w:rPr>
                <w:rFonts w:ascii="Arial" w:hAnsi="Arial"/>
                <w:sz w:val="22"/>
              </w:rPr>
              <w:t>Discussed below</w:t>
            </w:r>
          </w:p>
        </w:tc>
      </w:tr>
      <w:tr w:rsidR="005F4145" w14:paraId="652CACBB" w14:textId="317478C1" w:rsidTr="003B27C3">
        <w:trPr>
          <w:jc w:val="center"/>
        </w:trPr>
        <w:tc>
          <w:tcPr>
            <w:tcW w:w="1795" w:type="dxa"/>
          </w:tcPr>
          <w:p w14:paraId="57329491" w14:textId="40911F07" w:rsidR="005F4145" w:rsidRDefault="005F4145" w:rsidP="008014BA">
            <w:pPr>
              <w:tabs>
                <w:tab w:val="center" w:pos="0"/>
              </w:tabs>
              <w:rPr>
                <w:rFonts w:ascii="Arial" w:hAnsi="Arial"/>
                <w:sz w:val="22"/>
              </w:rPr>
            </w:pPr>
            <w:r>
              <w:rPr>
                <w:rFonts w:ascii="Arial" w:hAnsi="Arial"/>
                <w:sz w:val="22"/>
              </w:rPr>
              <w:t>Seismic</w:t>
            </w:r>
          </w:p>
        </w:tc>
        <w:tc>
          <w:tcPr>
            <w:tcW w:w="1759" w:type="dxa"/>
          </w:tcPr>
          <w:p w14:paraId="4A7A585D" w14:textId="042CADFC" w:rsidR="005F4145" w:rsidRDefault="005F4145" w:rsidP="008014BA">
            <w:pPr>
              <w:tabs>
                <w:tab w:val="center" w:pos="0"/>
              </w:tabs>
              <w:rPr>
                <w:rFonts w:ascii="Arial" w:hAnsi="Arial"/>
                <w:sz w:val="22"/>
              </w:rPr>
            </w:pPr>
            <w:r>
              <w:rPr>
                <w:rFonts w:ascii="Arial" w:hAnsi="Arial"/>
                <w:sz w:val="22"/>
              </w:rPr>
              <w:t>Multi-channel Analysis of Surface Waves (MASW)</w:t>
            </w:r>
          </w:p>
        </w:tc>
        <w:tc>
          <w:tcPr>
            <w:tcW w:w="2148" w:type="dxa"/>
          </w:tcPr>
          <w:p w14:paraId="529CD1E2" w14:textId="370FFC21" w:rsidR="005F4145" w:rsidRDefault="005F4145" w:rsidP="008014BA">
            <w:pPr>
              <w:tabs>
                <w:tab w:val="center" w:pos="0"/>
              </w:tabs>
              <w:jc w:val="center"/>
              <w:rPr>
                <w:rFonts w:ascii="Arial" w:hAnsi="Arial"/>
                <w:sz w:val="22"/>
              </w:rPr>
            </w:pPr>
            <w:r>
              <w:rPr>
                <w:rFonts w:ascii="Arial" w:hAnsi="Arial"/>
                <w:sz w:val="22"/>
              </w:rPr>
              <w:t>Yes</w:t>
            </w:r>
          </w:p>
        </w:tc>
        <w:tc>
          <w:tcPr>
            <w:tcW w:w="2928" w:type="dxa"/>
          </w:tcPr>
          <w:p w14:paraId="5C495868" w14:textId="565B159A" w:rsidR="005F4145" w:rsidRDefault="005F4145" w:rsidP="008014BA">
            <w:pPr>
              <w:tabs>
                <w:tab w:val="center" w:pos="0"/>
              </w:tabs>
              <w:rPr>
                <w:rFonts w:ascii="Arial" w:hAnsi="Arial"/>
                <w:sz w:val="22"/>
              </w:rPr>
            </w:pPr>
            <w:r>
              <w:rPr>
                <w:rFonts w:ascii="Arial" w:hAnsi="Arial"/>
                <w:sz w:val="22"/>
              </w:rPr>
              <w:t>Discussed below</w:t>
            </w:r>
          </w:p>
        </w:tc>
      </w:tr>
      <w:tr w:rsidR="005F4145" w14:paraId="101E4CB4" w14:textId="04D174E3" w:rsidTr="003B27C3">
        <w:trPr>
          <w:jc w:val="center"/>
        </w:trPr>
        <w:tc>
          <w:tcPr>
            <w:tcW w:w="1795" w:type="dxa"/>
          </w:tcPr>
          <w:p w14:paraId="7DEB75C5" w14:textId="1A601D52" w:rsidR="005F4145" w:rsidRDefault="005F4145" w:rsidP="008014BA">
            <w:pPr>
              <w:tabs>
                <w:tab w:val="center" w:pos="0"/>
              </w:tabs>
              <w:rPr>
                <w:rFonts w:ascii="Arial" w:hAnsi="Arial"/>
                <w:sz w:val="22"/>
              </w:rPr>
            </w:pPr>
            <w:r>
              <w:rPr>
                <w:rFonts w:ascii="Arial" w:hAnsi="Arial"/>
                <w:sz w:val="22"/>
              </w:rPr>
              <w:t>Seismic</w:t>
            </w:r>
          </w:p>
        </w:tc>
        <w:tc>
          <w:tcPr>
            <w:tcW w:w="1759" w:type="dxa"/>
          </w:tcPr>
          <w:p w14:paraId="4D11FFBA" w14:textId="73EDD259" w:rsidR="005F4145" w:rsidRDefault="005F4145" w:rsidP="008014BA">
            <w:pPr>
              <w:tabs>
                <w:tab w:val="center" w:pos="0"/>
              </w:tabs>
              <w:rPr>
                <w:rFonts w:ascii="Arial" w:hAnsi="Arial"/>
                <w:sz w:val="22"/>
              </w:rPr>
            </w:pPr>
            <w:r>
              <w:rPr>
                <w:rFonts w:ascii="Arial" w:hAnsi="Arial"/>
                <w:sz w:val="22"/>
              </w:rPr>
              <w:t>Seismic Reflection</w:t>
            </w:r>
          </w:p>
        </w:tc>
        <w:tc>
          <w:tcPr>
            <w:tcW w:w="2148" w:type="dxa"/>
          </w:tcPr>
          <w:p w14:paraId="468C5178" w14:textId="236B82D4" w:rsidR="005F4145" w:rsidRDefault="005F4145" w:rsidP="008014BA">
            <w:pPr>
              <w:tabs>
                <w:tab w:val="center" w:pos="0"/>
              </w:tabs>
              <w:jc w:val="center"/>
              <w:rPr>
                <w:rFonts w:ascii="Arial" w:hAnsi="Arial"/>
                <w:sz w:val="22"/>
              </w:rPr>
            </w:pPr>
            <w:r>
              <w:rPr>
                <w:rFonts w:ascii="Arial" w:hAnsi="Arial"/>
                <w:sz w:val="22"/>
              </w:rPr>
              <w:t>No</w:t>
            </w:r>
          </w:p>
        </w:tc>
        <w:tc>
          <w:tcPr>
            <w:tcW w:w="2928" w:type="dxa"/>
          </w:tcPr>
          <w:p w14:paraId="727DD98A" w14:textId="7BBB3890" w:rsidR="005F4145" w:rsidRDefault="005F4145" w:rsidP="008014BA">
            <w:pPr>
              <w:tabs>
                <w:tab w:val="center" w:pos="0"/>
              </w:tabs>
              <w:rPr>
                <w:rFonts w:ascii="Arial" w:hAnsi="Arial"/>
                <w:sz w:val="22"/>
              </w:rPr>
            </w:pPr>
            <w:r>
              <w:rPr>
                <w:rFonts w:ascii="Arial" w:hAnsi="Arial"/>
                <w:sz w:val="22"/>
              </w:rPr>
              <w:t>Best for deeper applications, greater than 50-ft. depth</w:t>
            </w:r>
          </w:p>
        </w:tc>
      </w:tr>
      <w:tr w:rsidR="005F4145" w14:paraId="2B698E5D" w14:textId="77777777" w:rsidTr="003B27C3">
        <w:trPr>
          <w:jc w:val="center"/>
        </w:trPr>
        <w:tc>
          <w:tcPr>
            <w:tcW w:w="1795" w:type="dxa"/>
          </w:tcPr>
          <w:p w14:paraId="699C9955" w14:textId="74519B18" w:rsidR="005F4145" w:rsidRDefault="005F4145" w:rsidP="008014BA">
            <w:pPr>
              <w:tabs>
                <w:tab w:val="center" w:pos="0"/>
              </w:tabs>
              <w:rPr>
                <w:rFonts w:ascii="Arial" w:hAnsi="Arial"/>
                <w:sz w:val="22"/>
              </w:rPr>
            </w:pPr>
            <w:r>
              <w:rPr>
                <w:rFonts w:ascii="Arial" w:hAnsi="Arial"/>
                <w:sz w:val="22"/>
              </w:rPr>
              <w:t>Seismic</w:t>
            </w:r>
          </w:p>
        </w:tc>
        <w:tc>
          <w:tcPr>
            <w:tcW w:w="1759" w:type="dxa"/>
          </w:tcPr>
          <w:p w14:paraId="37B35228" w14:textId="3DD31445" w:rsidR="005F4145" w:rsidRDefault="005F4145" w:rsidP="008014BA">
            <w:pPr>
              <w:tabs>
                <w:tab w:val="center" w:pos="0"/>
              </w:tabs>
              <w:rPr>
                <w:rFonts w:ascii="Arial" w:hAnsi="Arial"/>
                <w:sz w:val="22"/>
              </w:rPr>
            </w:pPr>
            <w:r>
              <w:rPr>
                <w:rFonts w:ascii="Arial" w:hAnsi="Arial"/>
                <w:sz w:val="22"/>
              </w:rPr>
              <w:t>Parallel Seismic</w:t>
            </w:r>
          </w:p>
        </w:tc>
        <w:tc>
          <w:tcPr>
            <w:tcW w:w="2148" w:type="dxa"/>
          </w:tcPr>
          <w:p w14:paraId="7563A12B" w14:textId="622FE320" w:rsidR="005F4145" w:rsidRDefault="005F4145" w:rsidP="008014BA">
            <w:pPr>
              <w:tabs>
                <w:tab w:val="center" w:pos="0"/>
              </w:tabs>
              <w:jc w:val="center"/>
              <w:rPr>
                <w:rFonts w:ascii="Arial" w:hAnsi="Arial"/>
                <w:sz w:val="22"/>
              </w:rPr>
            </w:pPr>
            <w:r>
              <w:rPr>
                <w:rFonts w:ascii="Arial" w:hAnsi="Arial"/>
                <w:sz w:val="22"/>
              </w:rPr>
              <w:t>No</w:t>
            </w:r>
          </w:p>
        </w:tc>
        <w:tc>
          <w:tcPr>
            <w:tcW w:w="2928" w:type="dxa"/>
          </w:tcPr>
          <w:p w14:paraId="0A2AEA42" w14:textId="4C7E75DE" w:rsidR="005F4145" w:rsidRDefault="005F4145" w:rsidP="008014BA">
            <w:pPr>
              <w:tabs>
                <w:tab w:val="center" w:pos="0"/>
              </w:tabs>
              <w:rPr>
                <w:rFonts w:ascii="Arial" w:hAnsi="Arial"/>
                <w:sz w:val="22"/>
              </w:rPr>
            </w:pPr>
            <w:r>
              <w:rPr>
                <w:rFonts w:ascii="Arial" w:hAnsi="Arial"/>
                <w:sz w:val="22"/>
              </w:rPr>
              <w:t>Used for determining depth of unknown foundation lengths and depths</w:t>
            </w:r>
          </w:p>
        </w:tc>
      </w:tr>
      <w:tr w:rsidR="005F4145" w14:paraId="7ECCD9E0" w14:textId="610F825C" w:rsidTr="003B27C3">
        <w:trPr>
          <w:jc w:val="center"/>
        </w:trPr>
        <w:tc>
          <w:tcPr>
            <w:tcW w:w="1795" w:type="dxa"/>
          </w:tcPr>
          <w:p w14:paraId="46A59109" w14:textId="372315D0" w:rsidR="005F4145" w:rsidRDefault="005F4145" w:rsidP="008014BA">
            <w:pPr>
              <w:tabs>
                <w:tab w:val="center" w:pos="0"/>
              </w:tabs>
              <w:rPr>
                <w:rFonts w:ascii="Arial" w:hAnsi="Arial"/>
                <w:sz w:val="22"/>
              </w:rPr>
            </w:pPr>
            <w:r>
              <w:rPr>
                <w:rFonts w:ascii="Arial" w:hAnsi="Arial"/>
                <w:sz w:val="22"/>
              </w:rPr>
              <w:t>Electrical</w:t>
            </w:r>
          </w:p>
        </w:tc>
        <w:tc>
          <w:tcPr>
            <w:tcW w:w="1759" w:type="dxa"/>
          </w:tcPr>
          <w:p w14:paraId="58B9EA5F" w14:textId="5F070D89" w:rsidR="005F4145" w:rsidRDefault="005F4145" w:rsidP="008014BA">
            <w:pPr>
              <w:tabs>
                <w:tab w:val="center" w:pos="0"/>
              </w:tabs>
              <w:rPr>
                <w:rFonts w:ascii="Arial" w:hAnsi="Arial"/>
                <w:sz w:val="22"/>
              </w:rPr>
            </w:pPr>
            <w:r>
              <w:rPr>
                <w:rFonts w:ascii="Arial" w:hAnsi="Arial"/>
                <w:sz w:val="22"/>
              </w:rPr>
              <w:t>Resistivity Grounding (aka Sounding)</w:t>
            </w:r>
          </w:p>
        </w:tc>
        <w:tc>
          <w:tcPr>
            <w:tcW w:w="2148" w:type="dxa"/>
          </w:tcPr>
          <w:p w14:paraId="6F613220" w14:textId="72D1B60B" w:rsidR="005F4145" w:rsidRDefault="005F4145" w:rsidP="008014BA">
            <w:pPr>
              <w:tabs>
                <w:tab w:val="center" w:pos="0"/>
              </w:tabs>
              <w:jc w:val="center"/>
              <w:rPr>
                <w:rFonts w:ascii="Arial" w:hAnsi="Arial"/>
                <w:sz w:val="22"/>
              </w:rPr>
            </w:pPr>
            <w:r>
              <w:rPr>
                <w:rFonts w:ascii="Arial" w:hAnsi="Arial"/>
                <w:sz w:val="22"/>
              </w:rPr>
              <w:t>No</w:t>
            </w:r>
          </w:p>
        </w:tc>
        <w:tc>
          <w:tcPr>
            <w:tcW w:w="2928" w:type="dxa"/>
          </w:tcPr>
          <w:p w14:paraId="2B08EDBF" w14:textId="5875E3D2" w:rsidR="005F4145" w:rsidRDefault="005F4145" w:rsidP="00F34E46">
            <w:pPr>
              <w:tabs>
                <w:tab w:val="center" w:pos="0"/>
              </w:tabs>
              <w:rPr>
                <w:rFonts w:ascii="Arial" w:hAnsi="Arial"/>
                <w:sz w:val="22"/>
              </w:rPr>
            </w:pPr>
            <w:r>
              <w:rPr>
                <w:rFonts w:ascii="Arial" w:hAnsi="Arial"/>
                <w:sz w:val="22"/>
              </w:rPr>
              <w:t>Used for designing grounding systems for electrical substations</w:t>
            </w:r>
          </w:p>
        </w:tc>
      </w:tr>
      <w:tr w:rsidR="005F4145" w14:paraId="6D968A6F" w14:textId="10958890" w:rsidTr="003B27C3">
        <w:trPr>
          <w:jc w:val="center"/>
        </w:trPr>
        <w:tc>
          <w:tcPr>
            <w:tcW w:w="1795" w:type="dxa"/>
          </w:tcPr>
          <w:p w14:paraId="13CF6814" w14:textId="15EEAC71" w:rsidR="005F4145" w:rsidRDefault="005F4145" w:rsidP="008014BA">
            <w:pPr>
              <w:tabs>
                <w:tab w:val="center" w:pos="0"/>
              </w:tabs>
              <w:rPr>
                <w:rFonts w:ascii="Arial" w:hAnsi="Arial"/>
                <w:sz w:val="22"/>
              </w:rPr>
            </w:pPr>
            <w:r>
              <w:rPr>
                <w:rFonts w:ascii="Arial" w:hAnsi="Arial"/>
                <w:sz w:val="22"/>
              </w:rPr>
              <w:t>Electrical</w:t>
            </w:r>
          </w:p>
        </w:tc>
        <w:tc>
          <w:tcPr>
            <w:tcW w:w="1759" w:type="dxa"/>
          </w:tcPr>
          <w:p w14:paraId="16D88AEE" w14:textId="41BA966F" w:rsidR="005F4145" w:rsidRDefault="005F4145" w:rsidP="008014BA">
            <w:pPr>
              <w:tabs>
                <w:tab w:val="center" w:pos="0"/>
              </w:tabs>
              <w:rPr>
                <w:rFonts w:ascii="Arial" w:hAnsi="Arial"/>
                <w:sz w:val="22"/>
              </w:rPr>
            </w:pPr>
            <w:r>
              <w:rPr>
                <w:rFonts w:ascii="Arial" w:hAnsi="Arial"/>
                <w:sz w:val="22"/>
              </w:rPr>
              <w:t>Electrical Resistivity Imaging</w:t>
            </w:r>
          </w:p>
        </w:tc>
        <w:tc>
          <w:tcPr>
            <w:tcW w:w="2148" w:type="dxa"/>
          </w:tcPr>
          <w:p w14:paraId="0C5680C4" w14:textId="1A71FA50" w:rsidR="005F4145" w:rsidRDefault="005F4145" w:rsidP="008014BA">
            <w:pPr>
              <w:tabs>
                <w:tab w:val="center" w:pos="0"/>
              </w:tabs>
              <w:jc w:val="center"/>
              <w:rPr>
                <w:rFonts w:ascii="Arial" w:hAnsi="Arial"/>
                <w:sz w:val="22"/>
              </w:rPr>
            </w:pPr>
            <w:r>
              <w:rPr>
                <w:rFonts w:ascii="Arial" w:hAnsi="Arial"/>
                <w:sz w:val="22"/>
              </w:rPr>
              <w:t>Yes</w:t>
            </w:r>
          </w:p>
        </w:tc>
        <w:tc>
          <w:tcPr>
            <w:tcW w:w="2928" w:type="dxa"/>
          </w:tcPr>
          <w:p w14:paraId="53A4BD6D" w14:textId="2D08C6C4" w:rsidR="005F4145" w:rsidRDefault="005F4145" w:rsidP="008014BA">
            <w:pPr>
              <w:tabs>
                <w:tab w:val="center" w:pos="0"/>
              </w:tabs>
              <w:rPr>
                <w:rFonts w:ascii="Arial" w:hAnsi="Arial"/>
                <w:sz w:val="22"/>
              </w:rPr>
            </w:pPr>
            <w:r>
              <w:rPr>
                <w:rFonts w:ascii="Arial" w:hAnsi="Arial"/>
                <w:sz w:val="22"/>
              </w:rPr>
              <w:t>Discussed below</w:t>
            </w:r>
          </w:p>
        </w:tc>
      </w:tr>
      <w:tr w:rsidR="005F4145" w14:paraId="33F3257C" w14:textId="7203D284" w:rsidTr="003B27C3">
        <w:trPr>
          <w:jc w:val="center"/>
        </w:trPr>
        <w:tc>
          <w:tcPr>
            <w:tcW w:w="1795" w:type="dxa"/>
          </w:tcPr>
          <w:p w14:paraId="52543199" w14:textId="005A2772" w:rsidR="005F4145" w:rsidRDefault="005F4145" w:rsidP="008014BA">
            <w:pPr>
              <w:tabs>
                <w:tab w:val="center" w:pos="0"/>
              </w:tabs>
              <w:rPr>
                <w:rFonts w:ascii="Arial" w:hAnsi="Arial"/>
                <w:sz w:val="22"/>
              </w:rPr>
            </w:pPr>
            <w:r>
              <w:rPr>
                <w:rFonts w:ascii="Arial" w:hAnsi="Arial"/>
                <w:sz w:val="22"/>
              </w:rPr>
              <w:t>Electrical</w:t>
            </w:r>
          </w:p>
        </w:tc>
        <w:tc>
          <w:tcPr>
            <w:tcW w:w="1759" w:type="dxa"/>
          </w:tcPr>
          <w:p w14:paraId="02FF8C55" w14:textId="0ED25C95" w:rsidR="005F4145" w:rsidRDefault="005F4145" w:rsidP="008014BA">
            <w:pPr>
              <w:tabs>
                <w:tab w:val="center" w:pos="0"/>
              </w:tabs>
              <w:rPr>
                <w:rFonts w:ascii="Arial" w:hAnsi="Arial"/>
                <w:sz w:val="22"/>
              </w:rPr>
            </w:pPr>
            <w:r>
              <w:rPr>
                <w:rFonts w:ascii="Arial" w:hAnsi="Arial"/>
                <w:sz w:val="22"/>
              </w:rPr>
              <w:t>Spontaneous Potential</w:t>
            </w:r>
          </w:p>
        </w:tc>
        <w:tc>
          <w:tcPr>
            <w:tcW w:w="2148" w:type="dxa"/>
          </w:tcPr>
          <w:p w14:paraId="20B752E0" w14:textId="575380A9" w:rsidR="005F4145" w:rsidRDefault="005F4145" w:rsidP="008014BA">
            <w:pPr>
              <w:tabs>
                <w:tab w:val="center" w:pos="0"/>
              </w:tabs>
              <w:jc w:val="center"/>
              <w:rPr>
                <w:rFonts w:ascii="Arial" w:hAnsi="Arial"/>
                <w:sz w:val="22"/>
              </w:rPr>
            </w:pPr>
            <w:r>
              <w:rPr>
                <w:rFonts w:ascii="Arial" w:hAnsi="Arial"/>
                <w:sz w:val="22"/>
              </w:rPr>
              <w:t>No</w:t>
            </w:r>
          </w:p>
        </w:tc>
        <w:tc>
          <w:tcPr>
            <w:tcW w:w="2928" w:type="dxa"/>
          </w:tcPr>
          <w:p w14:paraId="17AFFC94" w14:textId="3DB1E4B4" w:rsidR="005F4145" w:rsidRDefault="005F4145" w:rsidP="004730CA">
            <w:pPr>
              <w:tabs>
                <w:tab w:val="center" w:pos="0"/>
              </w:tabs>
              <w:rPr>
                <w:rFonts w:ascii="Arial" w:hAnsi="Arial"/>
                <w:sz w:val="22"/>
              </w:rPr>
            </w:pPr>
            <w:r>
              <w:rPr>
                <w:rFonts w:ascii="Arial" w:hAnsi="Arial"/>
                <w:sz w:val="22"/>
              </w:rPr>
              <w:t>Used to detect water movement through soil</w:t>
            </w:r>
          </w:p>
        </w:tc>
      </w:tr>
      <w:tr w:rsidR="001A4EDC" w14:paraId="533F645D" w14:textId="55797F86" w:rsidTr="003B27C3">
        <w:trPr>
          <w:jc w:val="center"/>
        </w:trPr>
        <w:tc>
          <w:tcPr>
            <w:tcW w:w="1795" w:type="dxa"/>
          </w:tcPr>
          <w:p w14:paraId="11F1C2D1" w14:textId="69DE88C1" w:rsidR="001A4EDC" w:rsidRDefault="001A4EDC" w:rsidP="008014BA">
            <w:pPr>
              <w:tabs>
                <w:tab w:val="center" w:pos="0"/>
              </w:tabs>
              <w:rPr>
                <w:rFonts w:ascii="Arial" w:hAnsi="Arial"/>
                <w:sz w:val="22"/>
              </w:rPr>
            </w:pPr>
            <w:r>
              <w:rPr>
                <w:rFonts w:ascii="Arial" w:hAnsi="Arial"/>
                <w:sz w:val="22"/>
              </w:rPr>
              <w:t>Magnetic</w:t>
            </w:r>
          </w:p>
        </w:tc>
        <w:tc>
          <w:tcPr>
            <w:tcW w:w="1759" w:type="dxa"/>
          </w:tcPr>
          <w:p w14:paraId="02CB8B52" w14:textId="0AE6215A" w:rsidR="001A4EDC" w:rsidRDefault="001A4EDC" w:rsidP="008014BA">
            <w:pPr>
              <w:tabs>
                <w:tab w:val="center" w:pos="0"/>
              </w:tabs>
              <w:rPr>
                <w:rFonts w:ascii="Arial" w:hAnsi="Arial"/>
                <w:sz w:val="22"/>
              </w:rPr>
            </w:pPr>
            <w:r>
              <w:rPr>
                <w:rFonts w:ascii="Arial" w:hAnsi="Arial"/>
                <w:sz w:val="22"/>
              </w:rPr>
              <w:t>Magnetometer Survey</w:t>
            </w:r>
          </w:p>
        </w:tc>
        <w:tc>
          <w:tcPr>
            <w:tcW w:w="2148" w:type="dxa"/>
          </w:tcPr>
          <w:p w14:paraId="55AC6F87" w14:textId="649B5F26" w:rsidR="001A4EDC" w:rsidRDefault="00AD6A2C" w:rsidP="008014BA">
            <w:pPr>
              <w:tabs>
                <w:tab w:val="center" w:pos="0"/>
              </w:tabs>
              <w:jc w:val="center"/>
              <w:rPr>
                <w:rFonts w:ascii="Arial" w:hAnsi="Arial"/>
                <w:sz w:val="22"/>
              </w:rPr>
            </w:pPr>
            <w:r>
              <w:rPr>
                <w:rFonts w:ascii="Arial" w:hAnsi="Arial"/>
                <w:sz w:val="22"/>
              </w:rPr>
              <w:t>No</w:t>
            </w:r>
          </w:p>
        </w:tc>
        <w:tc>
          <w:tcPr>
            <w:tcW w:w="2928" w:type="dxa"/>
          </w:tcPr>
          <w:p w14:paraId="311E15A4" w14:textId="2830CDBC" w:rsidR="001A4EDC" w:rsidRDefault="001A4EDC" w:rsidP="008014BA">
            <w:pPr>
              <w:tabs>
                <w:tab w:val="center" w:pos="0"/>
              </w:tabs>
              <w:rPr>
                <w:rFonts w:ascii="Arial" w:hAnsi="Arial"/>
                <w:sz w:val="22"/>
              </w:rPr>
            </w:pPr>
            <w:r>
              <w:rPr>
                <w:rFonts w:ascii="Arial" w:hAnsi="Arial"/>
                <w:sz w:val="22"/>
              </w:rPr>
              <w:t>Used only for certain applications, used to detect buried ferrous metal</w:t>
            </w:r>
          </w:p>
        </w:tc>
      </w:tr>
      <w:tr w:rsidR="005F4145" w14:paraId="2B6ECC3C" w14:textId="2B77B65A" w:rsidTr="003B27C3">
        <w:trPr>
          <w:jc w:val="center"/>
        </w:trPr>
        <w:tc>
          <w:tcPr>
            <w:tcW w:w="1795" w:type="dxa"/>
          </w:tcPr>
          <w:p w14:paraId="251116EA" w14:textId="53158DD9" w:rsidR="005F4145" w:rsidRDefault="005F4145" w:rsidP="008014BA">
            <w:pPr>
              <w:tabs>
                <w:tab w:val="center" w:pos="0"/>
              </w:tabs>
              <w:rPr>
                <w:rFonts w:ascii="Arial" w:hAnsi="Arial"/>
                <w:sz w:val="22"/>
              </w:rPr>
            </w:pPr>
            <w:r>
              <w:rPr>
                <w:rFonts w:ascii="Arial" w:hAnsi="Arial"/>
                <w:sz w:val="22"/>
              </w:rPr>
              <w:t>Electromagnetic (EM)</w:t>
            </w:r>
          </w:p>
        </w:tc>
        <w:tc>
          <w:tcPr>
            <w:tcW w:w="1759" w:type="dxa"/>
          </w:tcPr>
          <w:p w14:paraId="1BA8C27C" w14:textId="02A78A56" w:rsidR="005F4145" w:rsidRDefault="005F4145" w:rsidP="008014BA">
            <w:pPr>
              <w:tabs>
                <w:tab w:val="center" w:pos="0"/>
              </w:tabs>
              <w:rPr>
                <w:rFonts w:ascii="Arial" w:hAnsi="Arial"/>
                <w:sz w:val="22"/>
              </w:rPr>
            </w:pPr>
            <w:r>
              <w:rPr>
                <w:rFonts w:ascii="Arial" w:hAnsi="Arial"/>
                <w:sz w:val="22"/>
              </w:rPr>
              <w:t>Time Domain EM</w:t>
            </w:r>
          </w:p>
        </w:tc>
        <w:tc>
          <w:tcPr>
            <w:tcW w:w="2148" w:type="dxa"/>
          </w:tcPr>
          <w:p w14:paraId="3439E0B8" w14:textId="4B3861F9" w:rsidR="005F4145" w:rsidRDefault="005F4145" w:rsidP="008014BA">
            <w:pPr>
              <w:tabs>
                <w:tab w:val="center" w:pos="0"/>
              </w:tabs>
              <w:jc w:val="center"/>
              <w:rPr>
                <w:rFonts w:ascii="Arial" w:hAnsi="Arial"/>
                <w:sz w:val="22"/>
              </w:rPr>
            </w:pPr>
            <w:r>
              <w:rPr>
                <w:rFonts w:ascii="Arial" w:hAnsi="Arial"/>
                <w:sz w:val="22"/>
              </w:rPr>
              <w:t>No</w:t>
            </w:r>
          </w:p>
        </w:tc>
        <w:tc>
          <w:tcPr>
            <w:tcW w:w="2928" w:type="dxa"/>
          </w:tcPr>
          <w:p w14:paraId="2A9B64A7" w14:textId="31909BAD" w:rsidR="005F4145" w:rsidRDefault="005F4145" w:rsidP="008014BA">
            <w:pPr>
              <w:tabs>
                <w:tab w:val="center" w:pos="0"/>
              </w:tabs>
              <w:rPr>
                <w:rFonts w:ascii="Arial" w:hAnsi="Arial"/>
                <w:sz w:val="22"/>
              </w:rPr>
            </w:pPr>
            <w:r>
              <w:rPr>
                <w:rFonts w:ascii="Arial" w:hAnsi="Arial"/>
                <w:sz w:val="22"/>
              </w:rPr>
              <w:t>Used only for certain applications, used to detect buried metal</w:t>
            </w:r>
          </w:p>
        </w:tc>
      </w:tr>
      <w:tr w:rsidR="005F4145" w14:paraId="6CF7CC2E" w14:textId="267118DC" w:rsidTr="003B27C3">
        <w:trPr>
          <w:jc w:val="center"/>
        </w:trPr>
        <w:tc>
          <w:tcPr>
            <w:tcW w:w="1795" w:type="dxa"/>
          </w:tcPr>
          <w:p w14:paraId="06700C73" w14:textId="213955CD" w:rsidR="005F4145" w:rsidRDefault="005F4145" w:rsidP="005F4145">
            <w:pPr>
              <w:tabs>
                <w:tab w:val="center" w:pos="0"/>
              </w:tabs>
              <w:rPr>
                <w:rFonts w:ascii="Arial" w:hAnsi="Arial"/>
                <w:sz w:val="22"/>
              </w:rPr>
            </w:pPr>
            <w:r>
              <w:rPr>
                <w:rFonts w:ascii="Arial" w:hAnsi="Arial"/>
                <w:sz w:val="22"/>
              </w:rPr>
              <w:t>Electromagnetic (EM)</w:t>
            </w:r>
          </w:p>
        </w:tc>
        <w:tc>
          <w:tcPr>
            <w:tcW w:w="1759" w:type="dxa"/>
          </w:tcPr>
          <w:p w14:paraId="139A3A9F" w14:textId="64E97CE7" w:rsidR="005F4145" w:rsidRDefault="005F4145" w:rsidP="005F4145">
            <w:pPr>
              <w:tabs>
                <w:tab w:val="center" w:pos="0"/>
              </w:tabs>
              <w:rPr>
                <w:rFonts w:ascii="Arial" w:hAnsi="Arial"/>
                <w:sz w:val="22"/>
              </w:rPr>
            </w:pPr>
            <w:r>
              <w:rPr>
                <w:rFonts w:ascii="Arial" w:hAnsi="Arial"/>
                <w:sz w:val="22"/>
              </w:rPr>
              <w:t>Frequency Domain EM</w:t>
            </w:r>
          </w:p>
        </w:tc>
        <w:tc>
          <w:tcPr>
            <w:tcW w:w="2148" w:type="dxa"/>
          </w:tcPr>
          <w:p w14:paraId="1EC7AAFF" w14:textId="2F98AA09" w:rsidR="005F4145" w:rsidRDefault="005F4145" w:rsidP="005F4145">
            <w:pPr>
              <w:tabs>
                <w:tab w:val="center" w:pos="0"/>
              </w:tabs>
              <w:jc w:val="center"/>
              <w:rPr>
                <w:rFonts w:ascii="Arial" w:hAnsi="Arial"/>
                <w:sz w:val="22"/>
              </w:rPr>
            </w:pPr>
            <w:r>
              <w:rPr>
                <w:rFonts w:ascii="Arial" w:hAnsi="Arial"/>
                <w:sz w:val="22"/>
              </w:rPr>
              <w:t>Yes</w:t>
            </w:r>
          </w:p>
        </w:tc>
        <w:tc>
          <w:tcPr>
            <w:tcW w:w="2928" w:type="dxa"/>
          </w:tcPr>
          <w:p w14:paraId="5BD3809E" w14:textId="7908D45C" w:rsidR="005F4145" w:rsidRDefault="005F4145" w:rsidP="005F4145">
            <w:pPr>
              <w:tabs>
                <w:tab w:val="center" w:pos="0"/>
              </w:tabs>
              <w:rPr>
                <w:rFonts w:ascii="Arial" w:hAnsi="Arial"/>
                <w:sz w:val="22"/>
              </w:rPr>
            </w:pPr>
            <w:r>
              <w:rPr>
                <w:rFonts w:ascii="Arial" w:hAnsi="Arial"/>
                <w:sz w:val="22"/>
              </w:rPr>
              <w:t>Discussed below</w:t>
            </w:r>
          </w:p>
        </w:tc>
      </w:tr>
      <w:tr w:rsidR="005F4145" w14:paraId="785F42F4" w14:textId="5BFA1F4A" w:rsidTr="003B27C3">
        <w:trPr>
          <w:jc w:val="center"/>
        </w:trPr>
        <w:tc>
          <w:tcPr>
            <w:tcW w:w="1795" w:type="dxa"/>
          </w:tcPr>
          <w:p w14:paraId="7960EEDA" w14:textId="64AC1D4E" w:rsidR="005F4145" w:rsidRDefault="005F4145" w:rsidP="005F4145">
            <w:pPr>
              <w:tabs>
                <w:tab w:val="center" w:pos="0"/>
              </w:tabs>
              <w:rPr>
                <w:rFonts w:ascii="Arial" w:hAnsi="Arial"/>
                <w:sz w:val="22"/>
              </w:rPr>
            </w:pPr>
            <w:r>
              <w:rPr>
                <w:rFonts w:ascii="Arial" w:hAnsi="Arial"/>
                <w:sz w:val="22"/>
              </w:rPr>
              <w:t>Electromagnetic (EM)</w:t>
            </w:r>
          </w:p>
        </w:tc>
        <w:tc>
          <w:tcPr>
            <w:tcW w:w="1759" w:type="dxa"/>
          </w:tcPr>
          <w:p w14:paraId="16B82200" w14:textId="2C14E862" w:rsidR="005F4145" w:rsidRDefault="005F4145" w:rsidP="005F4145">
            <w:pPr>
              <w:tabs>
                <w:tab w:val="center" w:pos="0"/>
              </w:tabs>
              <w:rPr>
                <w:rFonts w:ascii="Arial" w:hAnsi="Arial"/>
                <w:sz w:val="22"/>
              </w:rPr>
            </w:pPr>
            <w:r>
              <w:rPr>
                <w:rFonts w:ascii="Arial" w:hAnsi="Arial"/>
                <w:sz w:val="22"/>
              </w:rPr>
              <w:t>Very Low Frequency (VLF)</w:t>
            </w:r>
          </w:p>
        </w:tc>
        <w:tc>
          <w:tcPr>
            <w:tcW w:w="2148" w:type="dxa"/>
          </w:tcPr>
          <w:p w14:paraId="30FD16C5" w14:textId="29A8E174" w:rsidR="005F4145" w:rsidRDefault="005F4145" w:rsidP="005F4145">
            <w:pPr>
              <w:tabs>
                <w:tab w:val="center" w:pos="0"/>
              </w:tabs>
              <w:jc w:val="center"/>
              <w:rPr>
                <w:rFonts w:ascii="Arial" w:hAnsi="Arial"/>
                <w:sz w:val="22"/>
              </w:rPr>
            </w:pPr>
            <w:r>
              <w:rPr>
                <w:rFonts w:ascii="Arial" w:hAnsi="Arial"/>
                <w:sz w:val="22"/>
              </w:rPr>
              <w:t>No</w:t>
            </w:r>
          </w:p>
        </w:tc>
        <w:tc>
          <w:tcPr>
            <w:tcW w:w="2928" w:type="dxa"/>
          </w:tcPr>
          <w:p w14:paraId="258F3752" w14:textId="7FAE3BEF" w:rsidR="005F4145" w:rsidRDefault="005F4145" w:rsidP="005F4145">
            <w:pPr>
              <w:tabs>
                <w:tab w:val="center" w:pos="0"/>
              </w:tabs>
              <w:rPr>
                <w:rFonts w:ascii="Arial" w:hAnsi="Arial"/>
                <w:sz w:val="22"/>
              </w:rPr>
            </w:pPr>
            <w:r>
              <w:rPr>
                <w:rFonts w:ascii="Arial" w:hAnsi="Arial"/>
                <w:sz w:val="22"/>
              </w:rPr>
              <w:t xml:space="preserve">Used to detect deep fracture and water-bearing zones, requires more than two acres of open space without utilities </w:t>
            </w:r>
          </w:p>
        </w:tc>
      </w:tr>
      <w:tr w:rsidR="005F4145" w14:paraId="3044B91C" w14:textId="024A0BAD" w:rsidTr="003B27C3">
        <w:trPr>
          <w:jc w:val="center"/>
        </w:trPr>
        <w:tc>
          <w:tcPr>
            <w:tcW w:w="1795" w:type="dxa"/>
          </w:tcPr>
          <w:p w14:paraId="79987E1A" w14:textId="7A709A89" w:rsidR="005F4145" w:rsidRDefault="005F4145" w:rsidP="005F4145">
            <w:pPr>
              <w:tabs>
                <w:tab w:val="center" w:pos="0"/>
              </w:tabs>
              <w:rPr>
                <w:rFonts w:ascii="Arial" w:hAnsi="Arial"/>
                <w:sz w:val="22"/>
              </w:rPr>
            </w:pPr>
            <w:r>
              <w:rPr>
                <w:rFonts w:ascii="Arial" w:hAnsi="Arial"/>
                <w:sz w:val="22"/>
              </w:rPr>
              <w:t>Electromagnetic (EM)</w:t>
            </w:r>
          </w:p>
        </w:tc>
        <w:tc>
          <w:tcPr>
            <w:tcW w:w="1759" w:type="dxa"/>
          </w:tcPr>
          <w:p w14:paraId="6A2AA833" w14:textId="53263F5A" w:rsidR="005F4145" w:rsidRDefault="005F4145" w:rsidP="005F4145">
            <w:pPr>
              <w:tabs>
                <w:tab w:val="center" w:pos="0"/>
              </w:tabs>
              <w:rPr>
                <w:rFonts w:ascii="Arial" w:hAnsi="Arial"/>
                <w:sz w:val="22"/>
              </w:rPr>
            </w:pPr>
            <w:r>
              <w:rPr>
                <w:rFonts w:ascii="Arial" w:hAnsi="Arial"/>
                <w:sz w:val="22"/>
              </w:rPr>
              <w:t>Ground Penetrating Radar (GPR)</w:t>
            </w:r>
          </w:p>
        </w:tc>
        <w:tc>
          <w:tcPr>
            <w:tcW w:w="2148" w:type="dxa"/>
          </w:tcPr>
          <w:p w14:paraId="01839701" w14:textId="65C70E7F" w:rsidR="005F4145" w:rsidRDefault="005F4145" w:rsidP="005F4145">
            <w:pPr>
              <w:tabs>
                <w:tab w:val="center" w:pos="0"/>
              </w:tabs>
              <w:jc w:val="center"/>
              <w:rPr>
                <w:rFonts w:ascii="Arial" w:hAnsi="Arial"/>
                <w:sz w:val="22"/>
              </w:rPr>
            </w:pPr>
            <w:r>
              <w:rPr>
                <w:rFonts w:ascii="Arial" w:hAnsi="Arial"/>
                <w:sz w:val="22"/>
              </w:rPr>
              <w:t>Yes</w:t>
            </w:r>
          </w:p>
        </w:tc>
        <w:tc>
          <w:tcPr>
            <w:tcW w:w="2928" w:type="dxa"/>
          </w:tcPr>
          <w:p w14:paraId="6DAE98E1" w14:textId="28EB401C" w:rsidR="005F4145" w:rsidRDefault="005F4145" w:rsidP="005F4145">
            <w:pPr>
              <w:tabs>
                <w:tab w:val="center" w:pos="0"/>
              </w:tabs>
              <w:rPr>
                <w:rFonts w:ascii="Arial" w:hAnsi="Arial"/>
                <w:sz w:val="22"/>
              </w:rPr>
            </w:pPr>
            <w:r>
              <w:rPr>
                <w:rFonts w:ascii="Arial" w:hAnsi="Arial"/>
                <w:sz w:val="22"/>
              </w:rPr>
              <w:t>Discussed below</w:t>
            </w:r>
          </w:p>
        </w:tc>
      </w:tr>
      <w:tr w:rsidR="005F4145" w14:paraId="74957589" w14:textId="5E2BCFF2" w:rsidTr="003B27C3">
        <w:trPr>
          <w:jc w:val="center"/>
        </w:trPr>
        <w:tc>
          <w:tcPr>
            <w:tcW w:w="1795" w:type="dxa"/>
          </w:tcPr>
          <w:p w14:paraId="577E4668" w14:textId="046DA53C" w:rsidR="005F4145" w:rsidRDefault="005F4145" w:rsidP="005F4145">
            <w:pPr>
              <w:tabs>
                <w:tab w:val="center" w:pos="0"/>
              </w:tabs>
              <w:rPr>
                <w:rFonts w:ascii="Arial" w:hAnsi="Arial"/>
                <w:sz w:val="22"/>
              </w:rPr>
            </w:pPr>
            <w:r>
              <w:rPr>
                <w:rFonts w:ascii="Arial" w:hAnsi="Arial"/>
                <w:sz w:val="22"/>
              </w:rPr>
              <w:t>Gravity</w:t>
            </w:r>
          </w:p>
        </w:tc>
        <w:tc>
          <w:tcPr>
            <w:tcW w:w="1759" w:type="dxa"/>
          </w:tcPr>
          <w:p w14:paraId="225FE3F4" w14:textId="150F074D" w:rsidR="005F4145" w:rsidRDefault="005F4145" w:rsidP="005F4145">
            <w:pPr>
              <w:tabs>
                <w:tab w:val="center" w:pos="0"/>
              </w:tabs>
              <w:rPr>
                <w:rFonts w:ascii="Arial" w:hAnsi="Arial"/>
                <w:sz w:val="22"/>
              </w:rPr>
            </w:pPr>
            <w:r>
              <w:rPr>
                <w:rFonts w:ascii="Arial" w:hAnsi="Arial"/>
                <w:sz w:val="22"/>
              </w:rPr>
              <w:t>Gravity Survey</w:t>
            </w:r>
          </w:p>
        </w:tc>
        <w:tc>
          <w:tcPr>
            <w:tcW w:w="2148" w:type="dxa"/>
          </w:tcPr>
          <w:p w14:paraId="53B8D378" w14:textId="03F41D28" w:rsidR="005F4145" w:rsidRDefault="005F4145" w:rsidP="005F4145">
            <w:pPr>
              <w:tabs>
                <w:tab w:val="center" w:pos="0"/>
              </w:tabs>
              <w:jc w:val="center"/>
              <w:rPr>
                <w:rFonts w:ascii="Arial" w:hAnsi="Arial"/>
                <w:sz w:val="22"/>
              </w:rPr>
            </w:pPr>
            <w:r>
              <w:rPr>
                <w:rFonts w:ascii="Arial" w:hAnsi="Arial"/>
                <w:sz w:val="22"/>
              </w:rPr>
              <w:t>No</w:t>
            </w:r>
          </w:p>
        </w:tc>
        <w:tc>
          <w:tcPr>
            <w:tcW w:w="2928" w:type="dxa"/>
          </w:tcPr>
          <w:p w14:paraId="51D57086" w14:textId="5F0450F9" w:rsidR="005F4145" w:rsidRDefault="005F4145" w:rsidP="005F4145">
            <w:pPr>
              <w:tabs>
                <w:tab w:val="center" w:pos="0"/>
              </w:tabs>
              <w:rPr>
                <w:rFonts w:ascii="Arial" w:hAnsi="Arial"/>
                <w:sz w:val="22"/>
              </w:rPr>
            </w:pPr>
            <w:r>
              <w:rPr>
                <w:rFonts w:ascii="Arial" w:hAnsi="Arial"/>
                <w:sz w:val="22"/>
              </w:rPr>
              <w:t>Used only for certain applications in certain conditions, void detection or rock depth variations in some conditions</w:t>
            </w:r>
          </w:p>
        </w:tc>
      </w:tr>
    </w:tbl>
    <w:p w14:paraId="3AC5BE83" w14:textId="77777777" w:rsidR="00571D79" w:rsidRDefault="00571D79" w:rsidP="00482959">
      <w:pPr>
        <w:tabs>
          <w:tab w:val="center" w:pos="0"/>
        </w:tabs>
        <w:jc w:val="both"/>
        <w:rPr>
          <w:rFonts w:ascii="Arial" w:hAnsi="Arial"/>
          <w:sz w:val="22"/>
        </w:rPr>
      </w:pPr>
    </w:p>
    <w:p w14:paraId="269CA78A" w14:textId="5DFCA5FE" w:rsidR="00FD535D" w:rsidRDefault="00843940" w:rsidP="008014BA">
      <w:pPr>
        <w:tabs>
          <w:tab w:val="center" w:pos="0"/>
        </w:tabs>
        <w:jc w:val="both"/>
        <w:rPr>
          <w:rFonts w:ascii="Arial" w:hAnsi="Arial"/>
          <w:sz w:val="22"/>
        </w:rPr>
      </w:pPr>
      <w:r>
        <w:rPr>
          <w:rFonts w:ascii="Arial" w:hAnsi="Arial"/>
          <w:sz w:val="22"/>
        </w:rPr>
        <w:t xml:space="preserve"> </w:t>
      </w:r>
      <w:r w:rsidR="00482959">
        <w:rPr>
          <w:rFonts w:ascii="Arial" w:hAnsi="Arial"/>
          <w:sz w:val="22"/>
        </w:rPr>
        <w:t xml:space="preserve">Each technology has several applications where it can be useful. The table below lists common </w:t>
      </w:r>
      <w:r w:rsidR="00AE2B63">
        <w:rPr>
          <w:rFonts w:ascii="Arial" w:hAnsi="Arial"/>
          <w:sz w:val="22"/>
        </w:rPr>
        <w:t>roadway</w:t>
      </w:r>
      <w:r w:rsidR="00482959">
        <w:rPr>
          <w:rFonts w:ascii="Arial" w:hAnsi="Arial"/>
          <w:sz w:val="22"/>
        </w:rPr>
        <w:t xml:space="preserve"> </w:t>
      </w:r>
      <w:r w:rsidR="005F4145">
        <w:rPr>
          <w:rFonts w:ascii="Arial" w:hAnsi="Arial"/>
          <w:sz w:val="22"/>
        </w:rPr>
        <w:t>applications,</w:t>
      </w:r>
      <w:r w:rsidR="00482959">
        <w:rPr>
          <w:rFonts w:ascii="Arial" w:hAnsi="Arial"/>
          <w:sz w:val="22"/>
        </w:rPr>
        <w:t xml:space="preserve"> and which technologies may be applied. Note that the suitability of a particular technology is highly dependent on the </w:t>
      </w:r>
      <w:r w:rsidR="004730CA">
        <w:rPr>
          <w:rFonts w:ascii="Arial" w:hAnsi="Arial"/>
          <w:sz w:val="22"/>
        </w:rPr>
        <w:t>site-</w:t>
      </w:r>
      <w:r w:rsidR="00482959">
        <w:rPr>
          <w:rFonts w:ascii="Arial" w:hAnsi="Arial"/>
          <w:sz w:val="22"/>
        </w:rPr>
        <w:t xml:space="preserve">specific conditions.  </w:t>
      </w:r>
      <w:r w:rsidR="00482959">
        <w:rPr>
          <w:rFonts w:ascii="Arial" w:hAnsi="Arial"/>
          <w:sz w:val="22"/>
        </w:rPr>
        <w:lastRenderedPageBreak/>
        <w:t>Both the site conditions and the application and desired outcome will d</w:t>
      </w:r>
      <w:r w:rsidR="00693947">
        <w:rPr>
          <w:rFonts w:ascii="Arial" w:hAnsi="Arial"/>
          <w:sz w:val="22"/>
        </w:rPr>
        <w:t>etermine</w:t>
      </w:r>
      <w:r w:rsidR="00482959">
        <w:rPr>
          <w:rFonts w:ascii="Arial" w:hAnsi="Arial"/>
          <w:sz w:val="22"/>
        </w:rPr>
        <w:t xml:space="preserve"> the selection of </w:t>
      </w:r>
      <w:r w:rsidR="00693947">
        <w:rPr>
          <w:rFonts w:ascii="Arial" w:hAnsi="Arial"/>
          <w:sz w:val="22"/>
        </w:rPr>
        <w:t>the</w:t>
      </w:r>
      <w:r w:rsidR="00482959">
        <w:rPr>
          <w:rFonts w:ascii="Arial" w:hAnsi="Arial"/>
          <w:sz w:val="22"/>
        </w:rPr>
        <w:t xml:space="preserve"> technology </w:t>
      </w:r>
      <w:r w:rsidR="00693947">
        <w:rPr>
          <w:rFonts w:ascii="Arial" w:hAnsi="Arial"/>
          <w:sz w:val="22"/>
        </w:rPr>
        <w:t xml:space="preserve">that </w:t>
      </w:r>
      <w:r w:rsidR="00482959">
        <w:rPr>
          <w:rFonts w:ascii="Arial" w:hAnsi="Arial"/>
          <w:sz w:val="22"/>
        </w:rPr>
        <w:t>is best suited for a specific site and application.</w:t>
      </w:r>
    </w:p>
    <w:p w14:paraId="57637141" w14:textId="77777777" w:rsidR="003567FF" w:rsidRDefault="003567FF" w:rsidP="008014BA">
      <w:pPr>
        <w:tabs>
          <w:tab w:val="center" w:pos="0"/>
        </w:tabs>
        <w:jc w:val="both"/>
        <w:rPr>
          <w:rFonts w:ascii="Arial" w:hAnsi="Arial"/>
          <w:sz w:val="22"/>
        </w:rPr>
      </w:pPr>
    </w:p>
    <w:tbl>
      <w:tblPr>
        <w:tblStyle w:val="TableGrid"/>
        <w:tblW w:w="8640" w:type="dxa"/>
        <w:jc w:val="center"/>
        <w:tblLayout w:type="fixed"/>
        <w:tblCellMar>
          <w:left w:w="115" w:type="dxa"/>
          <w:right w:w="115" w:type="dxa"/>
        </w:tblCellMar>
        <w:tblLook w:val="04A0" w:firstRow="1" w:lastRow="0" w:firstColumn="1" w:lastColumn="0" w:noHBand="0" w:noVBand="1"/>
      </w:tblPr>
      <w:tblGrid>
        <w:gridCol w:w="2965"/>
        <w:gridCol w:w="1350"/>
        <w:gridCol w:w="956"/>
        <w:gridCol w:w="1294"/>
        <w:gridCol w:w="952"/>
        <w:gridCol w:w="1123"/>
      </w:tblGrid>
      <w:tr w:rsidR="005F4145" w:rsidRPr="009B61BB" w14:paraId="3ADF4489" w14:textId="33A2C582" w:rsidTr="00401C92">
        <w:trPr>
          <w:jc w:val="center"/>
        </w:trPr>
        <w:tc>
          <w:tcPr>
            <w:tcW w:w="2965" w:type="dxa"/>
            <w:shd w:val="pct15" w:color="auto" w:fill="auto"/>
          </w:tcPr>
          <w:p w14:paraId="29E1E6F0" w14:textId="152BE23B" w:rsidR="005F4145" w:rsidRPr="009B1E8D" w:rsidRDefault="00DD74D1" w:rsidP="005F4145">
            <w:pPr>
              <w:tabs>
                <w:tab w:val="center" w:pos="0"/>
              </w:tabs>
              <w:jc w:val="center"/>
              <w:rPr>
                <w:rFonts w:ascii="Arial" w:hAnsi="Arial"/>
                <w:b/>
                <w:sz w:val="22"/>
                <w:szCs w:val="22"/>
              </w:rPr>
            </w:pPr>
            <w:r>
              <w:rPr>
                <w:rFonts w:ascii="Arial" w:hAnsi="Arial"/>
                <w:b/>
                <w:sz w:val="22"/>
                <w:szCs w:val="22"/>
              </w:rPr>
              <w:t>Application</w:t>
            </w:r>
          </w:p>
        </w:tc>
        <w:tc>
          <w:tcPr>
            <w:tcW w:w="1350" w:type="dxa"/>
            <w:shd w:val="pct15" w:color="auto" w:fill="auto"/>
            <w:vAlign w:val="center"/>
          </w:tcPr>
          <w:p w14:paraId="5A654E2B" w14:textId="3F92523D" w:rsidR="005F4145" w:rsidRPr="009B1E8D" w:rsidRDefault="005F4145" w:rsidP="003567FF">
            <w:pPr>
              <w:tabs>
                <w:tab w:val="center" w:pos="0"/>
              </w:tabs>
              <w:jc w:val="center"/>
              <w:rPr>
                <w:rFonts w:ascii="Arial" w:hAnsi="Arial"/>
                <w:b/>
                <w:szCs w:val="22"/>
              </w:rPr>
            </w:pPr>
            <w:r w:rsidRPr="009B1E8D">
              <w:rPr>
                <w:rFonts w:ascii="Arial" w:hAnsi="Arial"/>
                <w:b/>
                <w:szCs w:val="22"/>
              </w:rPr>
              <w:t>Seismic Refraction</w:t>
            </w:r>
          </w:p>
        </w:tc>
        <w:tc>
          <w:tcPr>
            <w:tcW w:w="956" w:type="dxa"/>
            <w:shd w:val="pct15" w:color="auto" w:fill="auto"/>
            <w:vAlign w:val="center"/>
          </w:tcPr>
          <w:p w14:paraId="592C3E8C" w14:textId="03F080A2" w:rsidR="005F4145" w:rsidRPr="009B1E8D" w:rsidRDefault="005F4145" w:rsidP="003567FF">
            <w:pPr>
              <w:tabs>
                <w:tab w:val="center" w:pos="0"/>
              </w:tabs>
              <w:jc w:val="center"/>
              <w:rPr>
                <w:rFonts w:ascii="Arial" w:hAnsi="Arial"/>
                <w:b/>
                <w:szCs w:val="22"/>
              </w:rPr>
            </w:pPr>
            <w:r w:rsidRPr="009B1E8D">
              <w:rPr>
                <w:rFonts w:ascii="Arial" w:hAnsi="Arial"/>
                <w:b/>
                <w:szCs w:val="22"/>
              </w:rPr>
              <w:t>MASW</w:t>
            </w:r>
          </w:p>
        </w:tc>
        <w:tc>
          <w:tcPr>
            <w:tcW w:w="1294" w:type="dxa"/>
            <w:shd w:val="pct15" w:color="auto" w:fill="auto"/>
            <w:vAlign w:val="center"/>
          </w:tcPr>
          <w:p w14:paraId="7B749E4F" w14:textId="1CA0A024" w:rsidR="005F4145" w:rsidRPr="009B1E8D" w:rsidRDefault="005F4145" w:rsidP="003567FF">
            <w:pPr>
              <w:tabs>
                <w:tab w:val="center" w:pos="0"/>
              </w:tabs>
              <w:jc w:val="center"/>
              <w:rPr>
                <w:rFonts w:ascii="Arial" w:hAnsi="Arial"/>
                <w:b/>
                <w:szCs w:val="22"/>
              </w:rPr>
            </w:pPr>
            <w:r w:rsidRPr="009B1E8D">
              <w:rPr>
                <w:rFonts w:ascii="Arial" w:hAnsi="Arial"/>
                <w:b/>
                <w:szCs w:val="22"/>
              </w:rPr>
              <w:t>Electrical Resistivity Imaging</w:t>
            </w:r>
          </w:p>
        </w:tc>
        <w:tc>
          <w:tcPr>
            <w:tcW w:w="952" w:type="dxa"/>
            <w:shd w:val="pct15" w:color="auto" w:fill="auto"/>
            <w:vAlign w:val="center"/>
          </w:tcPr>
          <w:p w14:paraId="43EA42F9" w14:textId="3E5DF640" w:rsidR="005F4145" w:rsidRPr="009B1E8D" w:rsidRDefault="005F4145" w:rsidP="003567FF">
            <w:pPr>
              <w:tabs>
                <w:tab w:val="center" w:pos="0"/>
              </w:tabs>
              <w:jc w:val="center"/>
              <w:rPr>
                <w:rFonts w:ascii="Arial" w:hAnsi="Arial"/>
                <w:b/>
                <w:szCs w:val="22"/>
              </w:rPr>
            </w:pPr>
            <w:r w:rsidRPr="009B1E8D">
              <w:rPr>
                <w:rFonts w:ascii="Arial" w:hAnsi="Arial"/>
                <w:b/>
                <w:szCs w:val="22"/>
              </w:rPr>
              <w:t>EM</w:t>
            </w:r>
          </w:p>
        </w:tc>
        <w:tc>
          <w:tcPr>
            <w:tcW w:w="1123" w:type="dxa"/>
            <w:shd w:val="pct15" w:color="auto" w:fill="auto"/>
            <w:vAlign w:val="center"/>
          </w:tcPr>
          <w:p w14:paraId="0D18111E" w14:textId="2739A96A" w:rsidR="005F4145" w:rsidRPr="009B1E8D" w:rsidRDefault="005F4145" w:rsidP="003567FF">
            <w:pPr>
              <w:tabs>
                <w:tab w:val="center" w:pos="0"/>
              </w:tabs>
              <w:jc w:val="center"/>
              <w:rPr>
                <w:rFonts w:ascii="Arial" w:hAnsi="Arial"/>
                <w:b/>
                <w:szCs w:val="22"/>
              </w:rPr>
            </w:pPr>
            <w:r w:rsidRPr="009B1E8D">
              <w:rPr>
                <w:rFonts w:ascii="Arial" w:hAnsi="Arial"/>
                <w:b/>
                <w:szCs w:val="22"/>
              </w:rPr>
              <w:t>GPR</w:t>
            </w:r>
          </w:p>
        </w:tc>
      </w:tr>
      <w:tr w:rsidR="001A4EDC" w:rsidRPr="009B61BB" w14:paraId="30B7864A" w14:textId="179C1E74" w:rsidTr="00401C92">
        <w:trPr>
          <w:jc w:val="center"/>
        </w:trPr>
        <w:tc>
          <w:tcPr>
            <w:tcW w:w="2965" w:type="dxa"/>
          </w:tcPr>
          <w:p w14:paraId="20C23B04" w14:textId="2E97DF49" w:rsidR="001A4EDC" w:rsidRPr="001A4EDC" w:rsidRDefault="00482959" w:rsidP="008014BA">
            <w:pPr>
              <w:tabs>
                <w:tab w:val="center" w:pos="0"/>
              </w:tabs>
              <w:rPr>
                <w:rFonts w:ascii="Arial" w:hAnsi="Arial"/>
                <w:sz w:val="22"/>
                <w:szCs w:val="22"/>
              </w:rPr>
            </w:pPr>
            <w:r>
              <w:rPr>
                <w:rFonts w:ascii="Arial" w:hAnsi="Arial"/>
                <w:sz w:val="22"/>
                <w:szCs w:val="22"/>
              </w:rPr>
              <w:t>S</w:t>
            </w:r>
            <w:r w:rsidR="001A4EDC" w:rsidRPr="001A4EDC">
              <w:rPr>
                <w:rFonts w:ascii="Arial" w:hAnsi="Arial"/>
                <w:sz w:val="22"/>
                <w:szCs w:val="22"/>
              </w:rPr>
              <w:t xml:space="preserve">oil or </w:t>
            </w:r>
            <w:r w:rsidR="003567FF">
              <w:rPr>
                <w:rFonts w:ascii="Arial" w:hAnsi="Arial"/>
                <w:sz w:val="22"/>
                <w:szCs w:val="22"/>
              </w:rPr>
              <w:t xml:space="preserve">fill or </w:t>
            </w:r>
            <w:r w:rsidR="001A4EDC" w:rsidRPr="001A4EDC">
              <w:rPr>
                <w:rFonts w:ascii="Arial" w:hAnsi="Arial"/>
                <w:sz w:val="22"/>
                <w:szCs w:val="22"/>
              </w:rPr>
              <w:t>unconsolidated layer</w:t>
            </w:r>
            <w:r w:rsidR="00A47834">
              <w:rPr>
                <w:rFonts w:ascii="Arial" w:hAnsi="Arial"/>
                <w:sz w:val="22"/>
                <w:szCs w:val="22"/>
              </w:rPr>
              <w:t xml:space="preserve"> </w:t>
            </w:r>
            <w:r w:rsidR="003567FF">
              <w:rPr>
                <w:rFonts w:ascii="Arial" w:hAnsi="Arial"/>
                <w:sz w:val="22"/>
                <w:szCs w:val="22"/>
              </w:rPr>
              <w:t xml:space="preserve">depth or </w:t>
            </w:r>
            <w:r w:rsidR="00A47834">
              <w:rPr>
                <w:rFonts w:ascii="Arial" w:hAnsi="Arial"/>
                <w:sz w:val="22"/>
                <w:szCs w:val="22"/>
              </w:rPr>
              <w:t>characterization</w:t>
            </w:r>
          </w:p>
        </w:tc>
        <w:tc>
          <w:tcPr>
            <w:tcW w:w="1350" w:type="dxa"/>
            <w:vAlign w:val="center"/>
          </w:tcPr>
          <w:p w14:paraId="565ECCC9" w14:textId="57D78AA4"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6D40E19E" w14:textId="05305A13" w:rsidR="001A4EDC" w:rsidRPr="001A4EDC" w:rsidRDefault="00D25F62"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0DE32E0A" w14:textId="6789ED35"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5F69E223" w14:textId="02EEA440"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7C1554DE" w14:textId="7CB33F7A"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r>
      <w:tr w:rsidR="001A4EDC" w:rsidRPr="009B61BB" w14:paraId="365225C0" w14:textId="1C3133D2" w:rsidTr="00401C92">
        <w:trPr>
          <w:jc w:val="center"/>
        </w:trPr>
        <w:tc>
          <w:tcPr>
            <w:tcW w:w="2965" w:type="dxa"/>
          </w:tcPr>
          <w:p w14:paraId="0BA7A53E" w14:textId="05B3F7BB" w:rsidR="001A4EDC" w:rsidRPr="001A4EDC" w:rsidRDefault="00482959" w:rsidP="008014BA">
            <w:pPr>
              <w:tabs>
                <w:tab w:val="center" w:pos="0"/>
              </w:tabs>
              <w:rPr>
                <w:rFonts w:ascii="Arial" w:hAnsi="Arial"/>
                <w:sz w:val="22"/>
                <w:szCs w:val="22"/>
              </w:rPr>
            </w:pPr>
            <w:r>
              <w:rPr>
                <w:rFonts w:ascii="Arial" w:hAnsi="Arial"/>
                <w:sz w:val="22"/>
                <w:szCs w:val="22"/>
              </w:rPr>
              <w:t>B</w:t>
            </w:r>
            <w:r w:rsidR="001A4EDC" w:rsidRPr="001A4EDC">
              <w:rPr>
                <w:rFonts w:ascii="Arial" w:hAnsi="Arial"/>
                <w:sz w:val="22"/>
                <w:szCs w:val="22"/>
              </w:rPr>
              <w:t>edrock</w:t>
            </w:r>
            <w:r>
              <w:rPr>
                <w:rFonts w:ascii="Arial" w:hAnsi="Arial"/>
                <w:sz w:val="22"/>
                <w:szCs w:val="22"/>
              </w:rPr>
              <w:t xml:space="preserve"> depth and characterization</w:t>
            </w:r>
          </w:p>
        </w:tc>
        <w:tc>
          <w:tcPr>
            <w:tcW w:w="1350" w:type="dxa"/>
            <w:vAlign w:val="center"/>
          </w:tcPr>
          <w:p w14:paraId="397B05A1" w14:textId="1CD82517"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6" w:type="dxa"/>
            <w:vAlign w:val="center"/>
          </w:tcPr>
          <w:p w14:paraId="7332EA25" w14:textId="1017D1BF" w:rsidR="001A4EDC" w:rsidRPr="001A4EDC" w:rsidRDefault="00D25F62"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3F93BD9E" w14:textId="42291549"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21DE1EDB" w14:textId="6C0A7F44"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1123" w:type="dxa"/>
            <w:vAlign w:val="center"/>
          </w:tcPr>
          <w:p w14:paraId="615283D5" w14:textId="34A0AC5D"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r>
      <w:tr w:rsidR="001A4EDC" w:rsidRPr="009B61BB" w14:paraId="15E05802" w14:textId="0BEB2EDA" w:rsidTr="00401C92">
        <w:trPr>
          <w:jc w:val="center"/>
        </w:trPr>
        <w:tc>
          <w:tcPr>
            <w:tcW w:w="2965" w:type="dxa"/>
          </w:tcPr>
          <w:p w14:paraId="613E516E" w14:textId="13CFFCA4" w:rsidR="001A4EDC" w:rsidRPr="001A4EDC" w:rsidRDefault="00482959" w:rsidP="008014BA">
            <w:pPr>
              <w:tabs>
                <w:tab w:val="center" w:pos="0"/>
              </w:tabs>
              <w:rPr>
                <w:rFonts w:ascii="Arial" w:hAnsi="Arial"/>
                <w:sz w:val="22"/>
                <w:szCs w:val="22"/>
              </w:rPr>
            </w:pPr>
            <w:r>
              <w:rPr>
                <w:rFonts w:ascii="Arial" w:hAnsi="Arial"/>
                <w:sz w:val="22"/>
                <w:szCs w:val="22"/>
              </w:rPr>
              <w:t>G</w:t>
            </w:r>
            <w:r w:rsidR="001A4EDC" w:rsidRPr="001A4EDC">
              <w:rPr>
                <w:rFonts w:ascii="Arial" w:hAnsi="Arial"/>
                <w:sz w:val="22"/>
                <w:szCs w:val="22"/>
              </w:rPr>
              <w:t>roundwater</w:t>
            </w:r>
            <w:r>
              <w:rPr>
                <w:rFonts w:ascii="Arial" w:hAnsi="Arial"/>
                <w:sz w:val="22"/>
                <w:szCs w:val="22"/>
              </w:rPr>
              <w:t xml:space="preserve"> depth and characterization</w:t>
            </w:r>
          </w:p>
        </w:tc>
        <w:tc>
          <w:tcPr>
            <w:tcW w:w="1350" w:type="dxa"/>
            <w:vAlign w:val="center"/>
          </w:tcPr>
          <w:p w14:paraId="2EC6D1A3" w14:textId="2FE4DED0"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6" w:type="dxa"/>
            <w:vAlign w:val="center"/>
          </w:tcPr>
          <w:p w14:paraId="4F5CDA6A" w14:textId="181FE998" w:rsidR="001A4EDC" w:rsidRPr="001A4EDC" w:rsidRDefault="007D3C54" w:rsidP="009B61BB">
            <w:pPr>
              <w:tabs>
                <w:tab w:val="center" w:pos="0"/>
              </w:tabs>
              <w:jc w:val="center"/>
              <w:rPr>
                <w:rFonts w:ascii="Arial" w:hAnsi="Arial"/>
                <w:sz w:val="22"/>
                <w:szCs w:val="22"/>
              </w:rPr>
            </w:pPr>
            <w:r>
              <w:rPr>
                <w:rFonts w:ascii="Arial" w:hAnsi="Arial"/>
                <w:sz w:val="22"/>
                <w:szCs w:val="22"/>
              </w:rPr>
              <w:t>-</w:t>
            </w:r>
          </w:p>
        </w:tc>
        <w:tc>
          <w:tcPr>
            <w:tcW w:w="1294" w:type="dxa"/>
            <w:vAlign w:val="center"/>
          </w:tcPr>
          <w:p w14:paraId="1C652A8A" w14:textId="33123266"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701DBF2E" w14:textId="1B51247F"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403C39C1" w14:textId="12F1D011"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1A4EDC" w:rsidRPr="009B61BB" w14:paraId="0AD1EB55" w14:textId="052FFC4A" w:rsidTr="00401C92">
        <w:trPr>
          <w:jc w:val="center"/>
        </w:trPr>
        <w:tc>
          <w:tcPr>
            <w:tcW w:w="2965" w:type="dxa"/>
          </w:tcPr>
          <w:p w14:paraId="5A9D10A1" w14:textId="3A8ED0E5" w:rsidR="001A4EDC" w:rsidRPr="001A4EDC" w:rsidRDefault="001A4EDC" w:rsidP="00693947">
            <w:pPr>
              <w:tabs>
                <w:tab w:val="center" w:pos="0"/>
              </w:tabs>
              <w:rPr>
                <w:rFonts w:ascii="Arial" w:hAnsi="Arial"/>
                <w:sz w:val="22"/>
                <w:szCs w:val="22"/>
              </w:rPr>
            </w:pPr>
            <w:r w:rsidRPr="001A4EDC">
              <w:rPr>
                <w:rFonts w:ascii="Arial" w:hAnsi="Arial"/>
                <w:sz w:val="22"/>
                <w:szCs w:val="22"/>
              </w:rPr>
              <w:t>Fractures</w:t>
            </w:r>
            <w:r w:rsidR="00693947">
              <w:rPr>
                <w:rFonts w:ascii="Arial" w:hAnsi="Arial"/>
                <w:sz w:val="22"/>
                <w:szCs w:val="22"/>
              </w:rPr>
              <w:t>,</w:t>
            </w:r>
            <w:r w:rsidRPr="001A4EDC">
              <w:rPr>
                <w:rFonts w:ascii="Arial" w:hAnsi="Arial"/>
                <w:sz w:val="22"/>
                <w:szCs w:val="22"/>
              </w:rPr>
              <w:t xml:space="preserve"> fault</w:t>
            </w:r>
            <w:r w:rsidR="004730CA">
              <w:rPr>
                <w:rFonts w:ascii="Arial" w:hAnsi="Arial"/>
                <w:sz w:val="22"/>
                <w:szCs w:val="22"/>
              </w:rPr>
              <w:t>,</w:t>
            </w:r>
            <w:r w:rsidRPr="001A4EDC">
              <w:rPr>
                <w:rFonts w:ascii="Arial" w:hAnsi="Arial"/>
                <w:sz w:val="22"/>
                <w:szCs w:val="22"/>
              </w:rPr>
              <w:t xml:space="preserve"> </w:t>
            </w:r>
            <w:r w:rsidR="003567FF">
              <w:rPr>
                <w:rFonts w:ascii="Arial" w:hAnsi="Arial"/>
                <w:sz w:val="22"/>
                <w:szCs w:val="22"/>
              </w:rPr>
              <w:t xml:space="preserve">and weak </w:t>
            </w:r>
            <w:r w:rsidRPr="001A4EDC">
              <w:rPr>
                <w:rFonts w:ascii="Arial" w:hAnsi="Arial"/>
                <w:sz w:val="22"/>
                <w:szCs w:val="22"/>
              </w:rPr>
              <w:t>zone</w:t>
            </w:r>
            <w:r w:rsidR="003567FF">
              <w:rPr>
                <w:rFonts w:ascii="Arial" w:hAnsi="Arial"/>
                <w:sz w:val="22"/>
                <w:szCs w:val="22"/>
              </w:rPr>
              <w:t xml:space="preserve"> characterization</w:t>
            </w:r>
          </w:p>
        </w:tc>
        <w:tc>
          <w:tcPr>
            <w:tcW w:w="1350" w:type="dxa"/>
            <w:vAlign w:val="center"/>
          </w:tcPr>
          <w:p w14:paraId="5693CA67" w14:textId="61C7CAEE"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3C8AC6A7" w14:textId="765F0D9A" w:rsidR="001A4EDC" w:rsidRPr="001A4EDC" w:rsidRDefault="00D25F62"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7EC8AA0E" w14:textId="23B8ED09"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7330D6B7" w14:textId="6CD1EF90"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1123" w:type="dxa"/>
            <w:vAlign w:val="center"/>
          </w:tcPr>
          <w:p w14:paraId="33AA1F98" w14:textId="48C0F37D"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1A4EDC" w:rsidRPr="009B61BB" w14:paraId="1E9CC391" w14:textId="7F00B2C1" w:rsidTr="00401C92">
        <w:trPr>
          <w:jc w:val="center"/>
        </w:trPr>
        <w:tc>
          <w:tcPr>
            <w:tcW w:w="2965" w:type="dxa"/>
          </w:tcPr>
          <w:p w14:paraId="323DD4E7" w14:textId="6829D6B2" w:rsidR="001A4EDC" w:rsidRPr="001A4EDC" w:rsidRDefault="001A4EDC" w:rsidP="003050F9">
            <w:pPr>
              <w:tabs>
                <w:tab w:val="center" w:pos="0"/>
              </w:tabs>
              <w:rPr>
                <w:rFonts w:ascii="Arial" w:hAnsi="Arial"/>
                <w:sz w:val="22"/>
                <w:szCs w:val="22"/>
              </w:rPr>
            </w:pPr>
            <w:r w:rsidRPr="001A4EDC">
              <w:rPr>
                <w:rFonts w:ascii="Arial" w:hAnsi="Arial"/>
                <w:sz w:val="22"/>
                <w:szCs w:val="22"/>
              </w:rPr>
              <w:t>Voids and potential sinkholes</w:t>
            </w:r>
            <w:r w:rsidR="003050F9">
              <w:rPr>
                <w:rFonts w:ascii="Arial" w:hAnsi="Arial"/>
                <w:sz w:val="22"/>
                <w:szCs w:val="22"/>
              </w:rPr>
              <w:t xml:space="preserve"> or</w:t>
            </w:r>
            <w:r w:rsidR="003567FF">
              <w:rPr>
                <w:rFonts w:ascii="Arial" w:hAnsi="Arial"/>
                <w:sz w:val="22"/>
                <w:szCs w:val="22"/>
              </w:rPr>
              <w:t xml:space="preserve"> karst</w:t>
            </w:r>
            <w:r w:rsidR="003050F9">
              <w:rPr>
                <w:rFonts w:ascii="Arial" w:hAnsi="Arial"/>
                <w:sz w:val="22"/>
                <w:szCs w:val="22"/>
              </w:rPr>
              <w:t xml:space="preserve"> characterization</w:t>
            </w:r>
          </w:p>
        </w:tc>
        <w:tc>
          <w:tcPr>
            <w:tcW w:w="1350" w:type="dxa"/>
            <w:vAlign w:val="center"/>
          </w:tcPr>
          <w:p w14:paraId="091D5E2A" w14:textId="2D49D2E2"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4D492E47" w14:textId="042C0517" w:rsidR="001A4EDC" w:rsidRPr="001A4EDC" w:rsidRDefault="007D3C54" w:rsidP="009B61BB">
            <w:pPr>
              <w:tabs>
                <w:tab w:val="center" w:pos="0"/>
              </w:tabs>
              <w:jc w:val="center"/>
              <w:rPr>
                <w:rFonts w:ascii="Arial" w:hAnsi="Arial"/>
                <w:sz w:val="22"/>
                <w:szCs w:val="22"/>
              </w:rPr>
            </w:pPr>
            <w:r>
              <w:rPr>
                <w:rFonts w:ascii="Arial" w:hAnsi="Arial"/>
                <w:sz w:val="22"/>
                <w:szCs w:val="22"/>
              </w:rPr>
              <w:t>-</w:t>
            </w:r>
          </w:p>
        </w:tc>
        <w:tc>
          <w:tcPr>
            <w:tcW w:w="1294" w:type="dxa"/>
            <w:vAlign w:val="center"/>
          </w:tcPr>
          <w:p w14:paraId="46B2263B" w14:textId="55CAFD53"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3B718F62" w14:textId="27CC06CB"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0E96764D" w14:textId="334A8A73"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r>
      <w:tr w:rsidR="001A4EDC" w:rsidRPr="009B61BB" w14:paraId="0850883E" w14:textId="39BC257C" w:rsidTr="00401C92">
        <w:trPr>
          <w:jc w:val="center"/>
        </w:trPr>
        <w:tc>
          <w:tcPr>
            <w:tcW w:w="2965" w:type="dxa"/>
          </w:tcPr>
          <w:p w14:paraId="7F07412D" w14:textId="5D179D47" w:rsidR="001A4EDC" w:rsidRPr="001A4EDC" w:rsidRDefault="004F5260" w:rsidP="009B1E8D">
            <w:pPr>
              <w:tabs>
                <w:tab w:val="center" w:pos="0"/>
              </w:tabs>
              <w:rPr>
                <w:rFonts w:ascii="Arial" w:hAnsi="Arial"/>
                <w:sz w:val="22"/>
                <w:szCs w:val="22"/>
              </w:rPr>
            </w:pPr>
            <w:r>
              <w:rPr>
                <w:rFonts w:ascii="Arial" w:hAnsi="Arial"/>
                <w:sz w:val="22"/>
                <w:szCs w:val="22"/>
              </w:rPr>
              <w:t>R</w:t>
            </w:r>
            <w:r w:rsidR="001A4EDC" w:rsidRPr="001A4EDC">
              <w:rPr>
                <w:rFonts w:ascii="Arial" w:hAnsi="Arial"/>
                <w:sz w:val="22"/>
                <w:szCs w:val="22"/>
              </w:rPr>
              <w:t xml:space="preserve">ock </w:t>
            </w:r>
            <w:r w:rsidR="009B1E8D">
              <w:rPr>
                <w:rFonts w:ascii="Arial" w:hAnsi="Arial"/>
                <w:sz w:val="22"/>
                <w:szCs w:val="22"/>
              </w:rPr>
              <w:t>r</w:t>
            </w:r>
            <w:r w:rsidR="003050F9" w:rsidRPr="001A4EDC">
              <w:rPr>
                <w:rFonts w:ascii="Arial" w:hAnsi="Arial"/>
                <w:sz w:val="22"/>
                <w:szCs w:val="22"/>
              </w:rPr>
              <w:t>ippabi</w:t>
            </w:r>
            <w:r w:rsidR="003050F9">
              <w:rPr>
                <w:rFonts w:ascii="Arial" w:hAnsi="Arial"/>
                <w:sz w:val="22"/>
                <w:szCs w:val="22"/>
              </w:rPr>
              <w:t>lity</w:t>
            </w:r>
            <w:r w:rsidR="001A4EDC" w:rsidRPr="001A4EDC">
              <w:rPr>
                <w:rFonts w:ascii="Arial" w:hAnsi="Arial"/>
                <w:sz w:val="22"/>
                <w:szCs w:val="22"/>
              </w:rPr>
              <w:t xml:space="preserve"> propert</w:t>
            </w:r>
            <w:r w:rsidR="003050F9">
              <w:rPr>
                <w:rFonts w:ascii="Arial" w:hAnsi="Arial"/>
                <w:sz w:val="22"/>
                <w:szCs w:val="22"/>
              </w:rPr>
              <w:t xml:space="preserve">y </w:t>
            </w:r>
            <w:r w:rsidR="00C3058F">
              <w:rPr>
                <w:rFonts w:ascii="Arial" w:hAnsi="Arial"/>
                <w:sz w:val="22"/>
                <w:szCs w:val="22"/>
              </w:rPr>
              <w:t>measurement</w:t>
            </w:r>
          </w:p>
        </w:tc>
        <w:tc>
          <w:tcPr>
            <w:tcW w:w="1350" w:type="dxa"/>
            <w:vAlign w:val="center"/>
          </w:tcPr>
          <w:p w14:paraId="545C61B1" w14:textId="308CCF14"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6" w:type="dxa"/>
            <w:vAlign w:val="center"/>
          </w:tcPr>
          <w:p w14:paraId="7930424B" w14:textId="4D9862EC" w:rsidR="001A4EDC" w:rsidRPr="001A4EDC" w:rsidRDefault="00D25F62"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771CB75D" w14:textId="592D5F81"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2" w:type="dxa"/>
            <w:vAlign w:val="center"/>
          </w:tcPr>
          <w:p w14:paraId="23B3527D" w14:textId="3CB5B5D3"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317047DF" w14:textId="220D30F4"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1A4EDC" w:rsidRPr="009B61BB" w14:paraId="5E51FD48" w14:textId="74151A5F" w:rsidTr="00401C92">
        <w:trPr>
          <w:jc w:val="center"/>
        </w:trPr>
        <w:tc>
          <w:tcPr>
            <w:tcW w:w="2965" w:type="dxa"/>
          </w:tcPr>
          <w:p w14:paraId="7093BD81" w14:textId="073512BE" w:rsidR="001A4EDC" w:rsidRPr="001A4EDC" w:rsidRDefault="009B1E8D" w:rsidP="003567FF">
            <w:pPr>
              <w:tabs>
                <w:tab w:val="center" w:pos="0"/>
              </w:tabs>
              <w:rPr>
                <w:rFonts w:ascii="Arial" w:hAnsi="Arial"/>
                <w:sz w:val="22"/>
                <w:szCs w:val="22"/>
              </w:rPr>
            </w:pPr>
            <w:r>
              <w:rPr>
                <w:rFonts w:ascii="Arial" w:hAnsi="Arial"/>
                <w:sz w:val="22"/>
                <w:szCs w:val="22"/>
              </w:rPr>
              <w:t>W</w:t>
            </w:r>
            <w:r w:rsidR="001A4EDC" w:rsidRPr="00576374">
              <w:rPr>
                <w:rFonts w:ascii="Arial" w:hAnsi="Arial"/>
                <w:sz w:val="22"/>
                <w:szCs w:val="22"/>
              </w:rPr>
              <w:t>ater seepage</w:t>
            </w:r>
            <w:r w:rsidR="003050F9" w:rsidRPr="00576374">
              <w:rPr>
                <w:rFonts w:ascii="Arial" w:hAnsi="Arial"/>
                <w:sz w:val="22"/>
                <w:szCs w:val="22"/>
              </w:rPr>
              <w:t xml:space="preserve"> identification</w:t>
            </w:r>
          </w:p>
        </w:tc>
        <w:tc>
          <w:tcPr>
            <w:tcW w:w="1350" w:type="dxa"/>
            <w:vAlign w:val="center"/>
          </w:tcPr>
          <w:p w14:paraId="6ED9F213" w14:textId="6F1BB730"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0FEE9BAB" w14:textId="154F8F45" w:rsidR="001A4EDC" w:rsidRPr="001A4EDC" w:rsidRDefault="007D3C54" w:rsidP="009B61BB">
            <w:pPr>
              <w:tabs>
                <w:tab w:val="center" w:pos="0"/>
              </w:tabs>
              <w:jc w:val="center"/>
              <w:rPr>
                <w:rFonts w:ascii="Arial" w:hAnsi="Arial"/>
                <w:sz w:val="22"/>
                <w:szCs w:val="22"/>
              </w:rPr>
            </w:pPr>
            <w:r>
              <w:rPr>
                <w:rFonts w:ascii="Arial" w:hAnsi="Arial"/>
                <w:sz w:val="22"/>
                <w:szCs w:val="22"/>
              </w:rPr>
              <w:t>-</w:t>
            </w:r>
          </w:p>
        </w:tc>
        <w:tc>
          <w:tcPr>
            <w:tcW w:w="1294" w:type="dxa"/>
            <w:vAlign w:val="center"/>
          </w:tcPr>
          <w:p w14:paraId="3A28B89E" w14:textId="2DD5B154"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473F46A9" w14:textId="28381406"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6186A340" w14:textId="0A64E860"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1A4EDC" w:rsidRPr="009B61BB" w14:paraId="2DE8B037" w14:textId="1B658601" w:rsidTr="00401C92">
        <w:trPr>
          <w:jc w:val="center"/>
        </w:trPr>
        <w:tc>
          <w:tcPr>
            <w:tcW w:w="2965" w:type="dxa"/>
          </w:tcPr>
          <w:p w14:paraId="0A6EA979" w14:textId="1A1CAD23" w:rsidR="001A4EDC" w:rsidRPr="001A4EDC" w:rsidRDefault="003050F9" w:rsidP="008014BA">
            <w:pPr>
              <w:tabs>
                <w:tab w:val="center" w:pos="0"/>
              </w:tabs>
              <w:rPr>
                <w:rFonts w:ascii="Arial" w:hAnsi="Arial"/>
                <w:sz w:val="22"/>
                <w:szCs w:val="22"/>
              </w:rPr>
            </w:pPr>
            <w:r>
              <w:rPr>
                <w:rFonts w:ascii="Arial" w:hAnsi="Arial"/>
                <w:sz w:val="22"/>
                <w:szCs w:val="22"/>
              </w:rPr>
              <w:t>Mapping the e</w:t>
            </w:r>
            <w:r w:rsidR="001A4EDC" w:rsidRPr="001A4EDC">
              <w:rPr>
                <w:rFonts w:ascii="Arial" w:hAnsi="Arial"/>
                <w:sz w:val="22"/>
                <w:szCs w:val="22"/>
              </w:rPr>
              <w:t>xtent of contamination</w:t>
            </w:r>
          </w:p>
        </w:tc>
        <w:tc>
          <w:tcPr>
            <w:tcW w:w="1350" w:type="dxa"/>
            <w:vAlign w:val="center"/>
          </w:tcPr>
          <w:p w14:paraId="5268332A" w14:textId="5C335535"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788D34B9" w14:textId="3858C425" w:rsidR="001A4EDC" w:rsidRPr="001A4EDC" w:rsidRDefault="007D3C54" w:rsidP="009B61BB">
            <w:pPr>
              <w:tabs>
                <w:tab w:val="center" w:pos="0"/>
              </w:tabs>
              <w:jc w:val="center"/>
              <w:rPr>
                <w:rFonts w:ascii="Arial" w:hAnsi="Arial"/>
                <w:sz w:val="22"/>
                <w:szCs w:val="22"/>
              </w:rPr>
            </w:pPr>
            <w:r>
              <w:rPr>
                <w:rFonts w:ascii="Arial" w:hAnsi="Arial"/>
                <w:sz w:val="22"/>
                <w:szCs w:val="22"/>
              </w:rPr>
              <w:t>-</w:t>
            </w:r>
          </w:p>
        </w:tc>
        <w:tc>
          <w:tcPr>
            <w:tcW w:w="1294" w:type="dxa"/>
            <w:vAlign w:val="center"/>
          </w:tcPr>
          <w:p w14:paraId="027FB28B" w14:textId="0598E9D6"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77F141A1" w14:textId="3D7D111B"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1123" w:type="dxa"/>
            <w:vAlign w:val="center"/>
          </w:tcPr>
          <w:p w14:paraId="7D6FB419" w14:textId="40699CE1"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1A4EDC" w:rsidRPr="009B61BB" w14:paraId="2F3B101B" w14:textId="48AC2987" w:rsidTr="00401C92">
        <w:trPr>
          <w:jc w:val="center"/>
        </w:trPr>
        <w:tc>
          <w:tcPr>
            <w:tcW w:w="2965" w:type="dxa"/>
          </w:tcPr>
          <w:p w14:paraId="52BCFA68" w14:textId="592ACE56" w:rsidR="001A4EDC" w:rsidRPr="001A4EDC" w:rsidRDefault="00482959" w:rsidP="004730CA">
            <w:pPr>
              <w:tabs>
                <w:tab w:val="center" w:pos="0"/>
              </w:tabs>
              <w:rPr>
                <w:rFonts w:ascii="Arial" w:hAnsi="Arial"/>
                <w:sz w:val="22"/>
                <w:szCs w:val="22"/>
              </w:rPr>
            </w:pPr>
            <w:r>
              <w:rPr>
                <w:rFonts w:ascii="Arial" w:hAnsi="Arial"/>
                <w:sz w:val="22"/>
                <w:szCs w:val="22"/>
              </w:rPr>
              <w:t>U</w:t>
            </w:r>
            <w:r w:rsidR="001A4EDC" w:rsidRPr="001A4EDC">
              <w:rPr>
                <w:rFonts w:ascii="Arial" w:hAnsi="Arial"/>
                <w:sz w:val="22"/>
                <w:szCs w:val="22"/>
              </w:rPr>
              <w:t>tilities and underground storage tank</w:t>
            </w:r>
            <w:r w:rsidR="003050F9">
              <w:rPr>
                <w:rFonts w:ascii="Arial" w:hAnsi="Arial"/>
                <w:sz w:val="22"/>
                <w:szCs w:val="22"/>
              </w:rPr>
              <w:t xml:space="preserve"> location</w:t>
            </w:r>
          </w:p>
        </w:tc>
        <w:tc>
          <w:tcPr>
            <w:tcW w:w="1350" w:type="dxa"/>
            <w:vAlign w:val="center"/>
          </w:tcPr>
          <w:p w14:paraId="36DF4C1C" w14:textId="2EB42A9F"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37EFE7B0" w14:textId="6CA483BD" w:rsidR="001A4EDC" w:rsidRPr="001A4EDC" w:rsidRDefault="007D3C54" w:rsidP="009B61BB">
            <w:pPr>
              <w:tabs>
                <w:tab w:val="center" w:pos="0"/>
              </w:tabs>
              <w:jc w:val="center"/>
              <w:rPr>
                <w:rFonts w:ascii="Arial" w:hAnsi="Arial"/>
                <w:sz w:val="22"/>
                <w:szCs w:val="22"/>
              </w:rPr>
            </w:pPr>
            <w:r>
              <w:rPr>
                <w:rFonts w:ascii="Arial" w:hAnsi="Arial"/>
                <w:sz w:val="22"/>
                <w:szCs w:val="22"/>
              </w:rPr>
              <w:t>-</w:t>
            </w:r>
          </w:p>
        </w:tc>
        <w:tc>
          <w:tcPr>
            <w:tcW w:w="1294" w:type="dxa"/>
            <w:vAlign w:val="center"/>
          </w:tcPr>
          <w:p w14:paraId="2F77B054" w14:textId="15CC483F"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2" w:type="dxa"/>
            <w:vAlign w:val="center"/>
          </w:tcPr>
          <w:p w14:paraId="1DB45E69" w14:textId="3D09475C"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1123" w:type="dxa"/>
            <w:vAlign w:val="center"/>
          </w:tcPr>
          <w:p w14:paraId="2B969818" w14:textId="2373CE01"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r>
      <w:tr w:rsidR="001A4EDC" w:rsidRPr="009B61BB" w14:paraId="0AE62701" w14:textId="1D8E1C71" w:rsidTr="00401C92">
        <w:trPr>
          <w:jc w:val="center"/>
        </w:trPr>
        <w:tc>
          <w:tcPr>
            <w:tcW w:w="2965" w:type="dxa"/>
          </w:tcPr>
          <w:p w14:paraId="07E5B667" w14:textId="57AEFB0B" w:rsidR="001A4EDC" w:rsidRPr="001A4EDC" w:rsidRDefault="00482959" w:rsidP="008014BA">
            <w:pPr>
              <w:tabs>
                <w:tab w:val="center" w:pos="0"/>
              </w:tabs>
              <w:rPr>
                <w:rFonts w:ascii="Arial" w:hAnsi="Arial"/>
                <w:sz w:val="22"/>
                <w:szCs w:val="22"/>
              </w:rPr>
            </w:pPr>
            <w:r>
              <w:rPr>
                <w:rFonts w:ascii="Arial" w:hAnsi="Arial"/>
                <w:sz w:val="22"/>
                <w:szCs w:val="22"/>
              </w:rPr>
              <w:t>U</w:t>
            </w:r>
            <w:r w:rsidR="001A4EDC" w:rsidRPr="001A4EDC">
              <w:rPr>
                <w:rFonts w:ascii="Arial" w:hAnsi="Arial"/>
                <w:sz w:val="22"/>
                <w:szCs w:val="22"/>
              </w:rPr>
              <w:t xml:space="preserve">nexploded ordnance </w:t>
            </w:r>
            <w:r w:rsidR="003050F9">
              <w:rPr>
                <w:rFonts w:ascii="Arial" w:hAnsi="Arial"/>
                <w:sz w:val="22"/>
                <w:szCs w:val="22"/>
              </w:rPr>
              <w:t>location</w:t>
            </w:r>
          </w:p>
        </w:tc>
        <w:tc>
          <w:tcPr>
            <w:tcW w:w="1350" w:type="dxa"/>
            <w:vAlign w:val="center"/>
          </w:tcPr>
          <w:p w14:paraId="129331B0" w14:textId="50D3E928"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2971FE60" w14:textId="7E5ECC30" w:rsidR="001A4EDC" w:rsidRPr="001A4EDC" w:rsidRDefault="007D3C54" w:rsidP="009B61BB">
            <w:pPr>
              <w:tabs>
                <w:tab w:val="center" w:pos="0"/>
              </w:tabs>
              <w:jc w:val="center"/>
              <w:rPr>
                <w:rFonts w:ascii="Arial" w:hAnsi="Arial"/>
                <w:sz w:val="22"/>
                <w:szCs w:val="22"/>
              </w:rPr>
            </w:pPr>
            <w:r>
              <w:rPr>
                <w:rFonts w:ascii="Arial" w:hAnsi="Arial"/>
                <w:sz w:val="22"/>
                <w:szCs w:val="22"/>
              </w:rPr>
              <w:t>-</w:t>
            </w:r>
          </w:p>
        </w:tc>
        <w:tc>
          <w:tcPr>
            <w:tcW w:w="1294" w:type="dxa"/>
            <w:vAlign w:val="center"/>
          </w:tcPr>
          <w:p w14:paraId="33E5DD1E" w14:textId="58FC67A3"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2" w:type="dxa"/>
            <w:vAlign w:val="center"/>
          </w:tcPr>
          <w:p w14:paraId="146099DF" w14:textId="60CB1D59"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c>
          <w:tcPr>
            <w:tcW w:w="1123" w:type="dxa"/>
            <w:vAlign w:val="center"/>
          </w:tcPr>
          <w:p w14:paraId="58FBCEE9" w14:textId="72AFC412" w:rsidR="001A4EDC" w:rsidRPr="001A4EDC" w:rsidRDefault="00D25F62" w:rsidP="008014BA">
            <w:pPr>
              <w:tabs>
                <w:tab w:val="center" w:pos="0"/>
              </w:tabs>
              <w:jc w:val="center"/>
              <w:rPr>
                <w:rFonts w:ascii="Arial" w:hAnsi="Arial"/>
                <w:sz w:val="22"/>
                <w:szCs w:val="22"/>
              </w:rPr>
            </w:pPr>
            <w:r>
              <w:rPr>
                <w:rFonts w:ascii="Arial" w:hAnsi="Arial"/>
                <w:sz w:val="22"/>
                <w:szCs w:val="22"/>
              </w:rPr>
              <w:t>Y</w:t>
            </w:r>
          </w:p>
        </w:tc>
      </w:tr>
      <w:tr w:rsidR="001A4EDC" w:rsidRPr="009B61BB" w14:paraId="251FF193" w14:textId="5FF74F39" w:rsidTr="00401C92">
        <w:trPr>
          <w:jc w:val="center"/>
        </w:trPr>
        <w:tc>
          <w:tcPr>
            <w:tcW w:w="2965" w:type="dxa"/>
          </w:tcPr>
          <w:p w14:paraId="3FE0D05B" w14:textId="5A3AA30A" w:rsidR="001A4EDC" w:rsidRPr="001A4EDC" w:rsidRDefault="00482959" w:rsidP="008014BA">
            <w:pPr>
              <w:tabs>
                <w:tab w:val="center" w:pos="0"/>
              </w:tabs>
              <w:rPr>
                <w:rFonts w:ascii="Arial" w:hAnsi="Arial"/>
                <w:sz w:val="22"/>
                <w:szCs w:val="22"/>
              </w:rPr>
            </w:pPr>
            <w:r>
              <w:rPr>
                <w:rFonts w:ascii="Arial" w:hAnsi="Arial"/>
                <w:sz w:val="22"/>
                <w:szCs w:val="22"/>
              </w:rPr>
              <w:t>L</w:t>
            </w:r>
            <w:r w:rsidR="001A4EDC" w:rsidRPr="001A4EDC">
              <w:rPr>
                <w:rFonts w:ascii="Arial" w:hAnsi="Arial"/>
                <w:sz w:val="22"/>
                <w:szCs w:val="22"/>
              </w:rPr>
              <w:t xml:space="preserve">andfill and trench </w:t>
            </w:r>
            <w:r w:rsidR="003050F9" w:rsidRPr="001A4EDC">
              <w:rPr>
                <w:rFonts w:ascii="Arial" w:hAnsi="Arial"/>
                <w:sz w:val="22"/>
                <w:szCs w:val="22"/>
              </w:rPr>
              <w:t>boundary</w:t>
            </w:r>
            <w:r w:rsidR="003050F9">
              <w:rPr>
                <w:rFonts w:ascii="Arial" w:hAnsi="Arial"/>
                <w:sz w:val="22"/>
                <w:szCs w:val="22"/>
              </w:rPr>
              <w:t xml:space="preserve"> location</w:t>
            </w:r>
          </w:p>
        </w:tc>
        <w:tc>
          <w:tcPr>
            <w:tcW w:w="1350" w:type="dxa"/>
            <w:vAlign w:val="center"/>
          </w:tcPr>
          <w:p w14:paraId="2EA5FD8A" w14:textId="6620AE61"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01D68607" w14:textId="0AB2ECCB" w:rsidR="001A4EDC" w:rsidRPr="001A4EDC" w:rsidRDefault="006E2E11"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30FC6B34" w14:textId="0ECEBB19"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2" w:type="dxa"/>
            <w:vAlign w:val="center"/>
          </w:tcPr>
          <w:p w14:paraId="5EA97C16" w14:textId="7228215A" w:rsidR="001A4EDC"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1123" w:type="dxa"/>
            <w:vAlign w:val="center"/>
          </w:tcPr>
          <w:p w14:paraId="270A3BCC" w14:textId="437E298B" w:rsidR="001A4EDC" w:rsidRPr="001A4EDC" w:rsidRDefault="006E2E11" w:rsidP="008014BA">
            <w:pPr>
              <w:tabs>
                <w:tab w:val="center" w:pos="0"/>
              </w:tabs>
              <w:jc w:val="center"/>
              <w:rPr>
                <w:rFonts w:ascii="Arial" w:hAnsi="Arial"/>
                <w:sz w:val="22"/>
                <w:szCs w:val="22"/>
              </w:rPr>
            </w:pPr>
            <w:r>
              <w:rPr>
                <w:rFonts w:ascii="Arial" w:hAnsi="Arial"/>
                <w:sz w:val="22"/>
                <w:szCs w:val="22"/>
              </w:rPr>
              <w:t>Y</w:t>
            </w:r>
          </w:p>
        </w:tc>
      </w:tr>
      <w:tr w:rsidR="001A4EDC" w:rsidRPr="009B61BB" w14:paraId="5DC75CE8" w14:textId="7F0E1E37" w:rsidTr="00401C92">
        <w:trPr>
          <w:jc w:val="center"/>
        </w:trPr>
        <w:tc>
          <w:tcPr>
            <w:tcW w:w="2965" w:type="dxa"/>
          </w:tcPr>
          <w:p w14:paraId="558347BA" w14:textId="52A9A413" w:rsidR="001A4EDC" w:rsidRPr="001A4EDC" w:rsidRDefault="00482959" w:rsidP="003050F9">
            <w:pPr>
              <w:tabs>
                <w:tab w:val="center" w:pos="0"/>
              </w:tabs>
              <w:rPr>
                <w:rFonts w:ascii="Arial" w:hAnsi="Arial"/>
                <w:sz w:val="22"/>
                <w:szCs w:val="22"/>
              </w:rPr>
            </w:pPr>
            <w:r>
              <w:rPr>
                <w:rFonts w:ascii="Arial" w:hAnsi="Arial"/>
                <w:sz w:val="22"/>
                <w:szCs w:val="22"/>
              </w:rPr>
              <w:t>Cultural</w:t>
            </w:r>
            <w:r w:rsidR="003050F9">
              <w:rPr>
                <w:rFonts w:ascii="Arial" w:hAnsi="Arial"/>
                <w:sz w:val="22"/>
                <w:szCs w:val="22"/>
              </w:rPr>
              <w:t xml:space="preserve">, </w:t>
            </w:r>
            <w:r>
              <w:rPr>
                <w:rFonts w:ascii="Arial" w:hAnsi="Arial"/>
                <w:sz w:val="22"/>
                <w:szCs w:val="22"/>
              </w:rPr>
              <w:t>a</w:t>
            </w:r>
            <w:r w:rsidR="001A4EDC" w:rsidRPr="001A4EDC">
              <w:rPr>
                <w:rFonts w:ascii="Arial" w:hAnsi="Arial"/>
                <w:sz w:val="22"/>
                <w:szCs w:val="22"/>
              </w:rPr>
              <w:t>rchaeological features</w:t>
            </w:r>
            <w:r w:rsidR="003050F9">
              <w:rPr>
                <w:rFonts w:ascii="Arial" w:hAnsi="Arial"/>
                <w:sz w:val="22"/>
                <w:szCs w:val="22"/>
              </w:rPr>
              <w:t>,</w:t>
            </w:r>
            <w:r w:rsidR="001A4EDC" w:rsidRPr="001A4EDC">
              <w:rPr>
                <w:rFonts w:ascii="Arial" w:hAnsi="Arial"/>
                <w:sz w:val="22"/>
                <w:szCs w:val="22"/>
              </w:rPr>
              <w:t xml:space="preserve"> or grave</w:t>
            </w:r>
            <w:r w:rsidR="003050F9">
              <w:rPr>
                <w:rFonts w:ascii="Arial" w:hAnsi="Arial"/>
                <w:sz w:val="22"/>
                <w:szCs w:val="22"/>
              </w:rPr>
              <w:t xml:space="preserve"> location</w:t>
            </w:r>
          </w:p>
        </w:tc>
        <w:tc>
          <w:tcPr>
            <w:tcW w:w="1350" w:type="dxa"/>
            <w:vAlign w:val="center"/>
          </w:tcPr>
          <w:p w14:paraId="286394AC" w14:textId="2BEC6B3A"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4414FC92" w14:textId="27DA4BF1" w:rsidR="001A4EDC" w:rsidRPr="001A4EDC" w:rsidRDefault="007D3C54" w:rsidP="009B61BB">
            <w:pPr>
              <w:tabs>
                <w:tab w:val="center" w:pos="0"/>
              </w:tabs>
              <w:jc w:val="center"/>
              <w:rPr>
                <w:rFonts w:ascii="Arial" w:hAnsi="Arial"/>
                <w:sz w:val="22"/>
                <w:szCs w:val="22"/>
              </w:rPr>
            </w:pPr>
            <w:r>
              <w:rPr>
                <w:rFonts w:ascii="Arial" w:hAnsi="Arial"/>
                <w:sz w:val="22"/>
                <w:szCs w:val="22"/>
              </w:rPr>
              <w:t>-</w:t>
            </w:r>
          </w:p>
        </w:tc>
        <w:tc>
          <w:tcPr>
            <w:tcW w:w="1294" w:type="dxa"/>
            <w:vAlign w:val="center"/>
          </w:tcPr>
          <w:p w14:paraId="0F4B45C2" w14:textId="7CA0150B" w:rsidR="001A4EDC"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2" w:type="dxa"/>
            <w:vAlign w:val="center"/>
          </w:tcPr>
          <w:p w14:paraId="55BFCA97" w14:textId="1EE6CF21" w:rsidR="001A4EDC" w:rsidRPr="001A4EDC" w:rsidRDefault="007D3C54" w:rsidP="008014BA">
            <w:pPr>
              <w:tabs>
                <w:tab w:val="center" w:pos="0"/>
              </w:tabs>
              <w:jc w:val="center"/>
              <w:rPr>
                <w:rFonts w:ascii="Arial" w:hAnsi="Arial"/>
                <w:sz w:val="22"/>
                <w:szCs w:val="22"/>
              </w:rPr>
            </w:pPr>
            <w:r>
              <w:rPr>
                <w:rFonts w:ascii="Arial" w:hAnsi="Arial"/>
                <w:sz w:val="22"/>
                <w:szCs w:val="22"/>
              </w:rPr>
              <w:t>Y</w:t>
            </w:r>
          </w:p>
        </w:tc>
        <w:tc>
          <w:tcPr>
            <w:tcW w:w="1123" w:type="dxa"/>
            <w:vAlign w:val="center"/>
          </w:tcPr>
          <w:p w14:paraId="39CBD5A7" w14:textId="2C306676" w:rsidR="001A4EDC" w:rsidRPr="001A4EDC" w:rsidRDefault="007D3C54" w:rsidP="008014BA">
            <w:pPr>
              <w:tabs>
                <w:tab w:val="center" w:pos="0"/>
              </w:tabs>
              <w:jc w:val="center"/>
              <w:rPr>
                <w:rFonts w:ascii="Arial" w:hAnsi="Arial"/>
                <w:sz w:val="22"/>
                <w:szCs w:val="22"/>
              </w:rPr>
            </w:pPr>
            <w:r>
              <w:rPr>
                <w:rFonts w:ascii="Arial" w:hAnsi="Arial"/>
                <w:sz w:val="22"/>
                <w:szCs w:val="22"/>
              </w:rPr>
              <w:t>Y</w:t>
            </w:r>
          </w:p>
        </w:tc>
      </w:tr>
      <w:tr w:rsidR="003567FF" w:rsidRPr="009B61BB" w14:paraId="17DAB98D" w14:textId="77777777" w:rsidTr="00401C92">
        <w:trPr>
          <w:jc w:val="center"/>
        </w:trPr>
        <w:tc>
          <w:tcPr>
            <w:tcW w:w="2965" w:type="dxa"/>
          </w:tcPr>
          <w:p w14:paraId="31B0E3A9" w14:textId="65773368" w:rsidR="003567FF" w:rsidRDefault="003567FF" w:rsidP="008014BA">
            <w:pPr>
              <w:tabs>
                <w:tab w:val="center" w:pos="0"/>
              </w:tabs>
              <w:rPr>
                <w:rFonts w:ascii="Arial" w:hAnsi="Arial"/>
                <w:sz w:val="22"/>
                <w:szCs w:val="22"/>
              </w:rPr>
            </w:pPr>
            <w:r>
              <w:rPr>
                <w:rFonts w:ascii="Arial" w:hAnsi="Arial"/>
                <w:sz w:val="22"/>
                <w:szCs w:val="22"/>
              </w:rPr>
              <w:t>Identify borrow material</w:t>
            </w:r>
          </w:p>
        </w:tc>
        <w:tc>
          <w:tcPr>
            <w:tcW w:w="1350" w:type="dxa"/>
            <w:vAlign w:val="center"/>
          </w:tcPr>
          <w:p w14:paraId="6A1A9EB0" w14:textId="3065F171" w:rsidR="003567FF"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956" w:type="dxa"/>
            <w:vAlign w:val="center"/>
          </w:tcPr>
          <w:p w14:paraId="1A46AD0B" w14:textId="6E8EACB4" w:rsidR="003567FF" w:rsidRPr="001A4EDC" w:rsidRDefault="006E2E11"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24693013" w14:textId="5A02AF0B" w:rsidR="003567FF"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726621C4" w14:textId="2454458D"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532A4660" w14:textId="4FFD041E"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3567FF" w:rsidRPr="009B61BB" w14:paraId="7074D014" w14:textId="77777777" w:rsidTr="00401C92">
        <w:trPr>
          <w:jc w:val="center"/>
        </w:trPr>
        <w:tc>
          <w:tcPr>
            <w:tcW w:w="2965" w:type="dxa"/>
          </w:tcPr>
          <w:p w14:paraId="3D0D268C" w14:textId="5F9F5256" w:rsidR="003567FF" w:rsidRDefault="003567FF" w:rsidP="008014BA">
            <w:pPr>
              <w:tabs>
                <w:tab w:val="center" w:pos="0"/>
              </w:tabs>
              <w:rPr>
                <w:rFonts w:ascii="Arial" w:hAnsi="Arial"/>
                <w:sz w:val="22"/>
                <w:szCs w:val="22"/>
              </w:rPr>
            </w:pPr>
            <w:r>
              <w:rPr>
                <w:rFonts w:ascii="Arial" w:hAnsi="Arial"/>
                <w:sz w:val="22"/>
                <w:szCs w:val="22"/>
              </w:rPr>
              <w:t>Seismic design</w:t>
            </w:r>
            <w:r w:rsidR="003050F9">
              <w:rPr>
                <w:rFonts w:ascii="Arial" w:hAnsi="Arial"/>
                <w:sz w:val="22"/>
                <w:szCs w:val="22"/>
              </w:rPr>
              <w:t xml:space="preserve"> parameter </w:t>
            </w:r>
            <w:r w:rsidR="00C3058F">
              <w:rPr>
                <w:rFonts w:ascii="Arial" w:hAnsi="Arial"/>
                <w:sz w:val="22"/>
                <w:szCs w:val="22"/>
              </w:rPr>
              <w:t>measurement</w:t>
            </w:r>
          </w:p>
        </w:tc>
        <w:tc>
          <w:tcPr>
            <w:tcW w:w="1350" w:type="dxa"/>
            <w:vAlign w:val="center"/>
          </w:tcPr>
          <w:p w14:paraId="3C8C97E9" w14:textId="4F68641A" w:rsidR="003567FF"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956" w:type="dxa"/>
            <w:vAlign w:val="center"/>
          </w:tcPr>
          <w:p w14:paraId="78AC9152" w14:textId="74C75860" w:rsidR="003567FF" w:rsidRPr="001A4EDC" w:rsidRDefault="006E2E11"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0F4FE22A" w14:textId="3893E132"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2" w:type="dxa"/>
            <w:vAlign w:val="center"/>
          </w:tcPr>
          <w:p w14:paraId="06A423FA" w14:textId="1C32FD07"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6204E291" w14:textId="6B21C26B"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3567FF" w:rsidRPr="009B61BB" w14:paraId="55DEC77D" w14:textId="77777777" w:rsidTr="00401C92">
        <w:trPr>
          <w:jc w:val="center"/>
        </w:trPr>
        <w:tc>
          <w:tcPr>
            <w:tcW w:w="2965" w:type="dxa"/>
          </w:tcPr>
          <w:p w14:paraId="4C5F95B0" w14:textId="14FF7A3F" w:rsidR="003567FF" w:rsidRDefault="003567FF" w:rsidP="008014BA">
            <w:pPr>
              <w:tabs>
                <w:tab w:val="center" w:pos="0"/>
              </w:tabs>
              <w:rPr>
                <w:rFonts w:ascii="Arial" w:hAnsi="Arial"/>
                <w:sz w:val="22"/>
                <w:szCs w:val="22"/>
              </w:rPr>
            </w:pPr>
            <w:r>
              <w:rPr>
                <w:rFonts w:ascii="Arial" w:hAnsi="Arial"/>
                <w:sz w:val="22"/>
                <w:szCs w:val="22"/>
              </w:rPr>
              <w:t>Abandoned mine evaluation</w:t>
            </w:r>
          </w:p>
        </w:tc>
        <w:tc>
          <w:tcPr>
            <w:tcW w:w="1350" w:type="dxa"/>
            <w:vAlign w:val="center"/>
          </w:tcPr>
          <w:p w14:paraId="09FE55AF" w14:textId="092C6AA7"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956" w:type="dxa"/>
            <w:vAlign w:val="center"/>
          </w:tcPr>
          <w:p w14:paraId="7D29DEC1" w14:textId="09535E77" w:rsidR="003567FF" w:rsidRPr="001A4EDC" w:rsidRDefault="006E2E11"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4A539D8E" w14:textId="7D9ACF50" w:rsidR="003567FF"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04D02BC7" w14:textId="08042BD0"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412C26F1" w14:textId="2311854F"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3567FF" w:rsidRPr="009B61BB" w14:paraId="4E4820E4" w14:textId="77777777" w:rsidTr="00401C92">
        <w:trPr>
          <w:jc w:val="center"/>
        </w:trPr>
        <w:tc>
          <w:tcPr>
            <w:tcW w:w="2965" w:type="dxa"/>
          </w:tcPr>
          <w:p w14:paraId="5E97DB61" w14:textId="20198359" w:rsidR="003567FF" w:rsidRDefault="003567FF" w:rsidP="008014BA">
            <w:pPr>
              <w:tabs>
                <w:tab w:val="center" w:pos="0"/>
              </w:tabs>
              <w:rPr>
                <w:rFonts w:ascii="Arial" w:hAnsi="Arial"/>
                <w:sz w:val="22"/>
                <w:szCs w:val="22"/>
              </w:rPr>
            </w:pPr>
            <w:r>
              <w:rPr>
                <w:rFonts w:ascii="Arial" w:hAnsi="Arial"/>
                <w:sz w:val="22"/>
                <w:szCs w:val="22"/>
              </w:rPr>
              <w:t>Slope stability assessment</w:t>
            </w:r>
          </w:p>
        </w:tc>
        <w:tc>
          <w:tcPr>
            <w:tcW w:w="1350" w:type="dxa"/>
            <w:vAlign w:val="center"/>
          </w:tcPr>
          <w:p w14:paraId="02C7F155" w14:textId="0074F0C5" w:rsidR="003567FF"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956" w:type="dxa"/>
            <w:vAlign w:val="center"/>
          </w:tcPr>
          <w:p w14:paraId="4B81FC3B" w14:textId="0031AD49" w:rsidR="003567FF" w:rsidRPr="001A4EDC" w:rsidRDefault="006E2E11"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54B63FAC" w14:textId="58DC6518" w:rsidR="003567FF"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6EB58AF7" w14:textId="7233EAC2"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45A10BA2" w14:textId="4A24E59D"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r>
      <w:tr w:rsidR="003567FF" w:rsidRPr="009B61BB" w14:paraId="6A1D34B1" w14:textId="77777777" w:rsidTr="00401C92">
        <w:trPr>
          <w:jc w:val="center"/>
        </w:trPr>
        <w:tc>
          <w:tcPr>
            <w:tcW w:w="2965" w:type="dxa"/>
          </w:tcPr>
          <w:p w14:paraId="402298E7" w14:textId="204F49CA" w:rsidR="003567FF" w:rsidRDefault="00C8077F" w:rsidP="008014BA">
            <w:pPr>
              <w:tabs>
                <w:tab w:val="center" w:pos="0"/>
              </w:tabs>
              <w:rPr>
                <w:rFonts w:ascii="Arial" w:hAnsi="Arial"/>
                <w:sz w:val="22"/>
                <w:szCs w:val="22"/>
              </w:rPr>
            </w:pPr>
            <w:r>
              <w:rPr>
                <w:rFonts w:ascii="Arial" w:hAnsi="Arial"/>
                <w:sz w:val="22"/>
                <w:szCs w:val="22"/>
              </w:rPr>
              <w:t>Scour</w:t>
            </w:r>
            <w:r w:rsidR="003050F9">
              <w:rPr>
                <w:rFonts w:ascii="Arial" w:hAnsi="Arial"/>
                <w:sz w:val="22"/>
                <w:szCs w:val="22"/>
              </w:rPr>
              <w:t xml:space="preserve"> assessment</w:t>
            </w:r>
          </w:p>
        </w:tc>
        <w:tc>
          <w:tcPr>
            <w:tcW w:w="1350" w:type="dxa"/>
            <w:vAlign w:val="center"/>
          </w:tcPr>
          <w:p w14:paraId="0A50BA1A" w14:textId="382F0460" w:rsidR="003567FF"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956" w:type="dxa"/>
            <w:vAlign w:val="center"/>
          </w:tcPr>
          <w:p w14:paraId="5600254D" w14:textId="4CC21A70" w:rsidR="003567FF" w:rsidRPr="001A4EDC" w:rsidRDefault="006E2E11" w:rsidP="009B61BB">
            <w:pPr>
              <w:tabs>
                <w:tab w:val="center" w:pos="0"/>
              </w:tabs>
              <w:jc w:val="center"/>
              <w:rPr>
                <w:rFonts w:ascii="Arial" w:hAnsi="Arial"/>
                <w:sz w:val="22"/>
                <w:szCs w:val="22"/>
              </w:rPr>
            </w:pPr>
            <w:r>
              <w:rPr>
                <w:rFonts w:ascii="Arial" w:hAnsi="Arial"/>
                <w:sz w:val="22"/>
                <w:szCs w:val="22"/>
              </w:rPr>
              <w:t>Y</w:t>
            </w:r>
          </w:p>
        </w:tc>
        <w:tc>
          <w:tcPr>
            <w:tcW w:w="1294" w:type="dxa"/>
            <w:vAlign w:val="center"/>
          </w:tcPr>
          <w:p w14:paraId="5EA3DB1B" w14:textId="53A8C3C8" w:rsidR="003567FF" w:rsidRPr="001A4EDC" w:rsidRDefault="006E2E11" w:rsidP="008014BA">
            <w:pPr>
              <w:tabs>
                <w:tab w:val="center" w:pos="0"/>
              </w:tabs>
              <w:jc w:val="center"/>
              <w:rPr>
                <w:rFonts w:ascii="Arial" w:hAnsi="Arial"/>
                <w:sz w:val="22"/>
                <w:szCs w:val="22"/>
              </w:rPr>
            </w:pPr>
            <w:r>
              <w:rPr>
                <w:rFonts w:ascii="Arial" w:hAnsi="Arial"/>
                <w:sz w:val="22"/>
                <w:szCs w:val="22"/>
              </w:rPr>
              <w:t>Y</w:t>
            </w:r>
          </w:p>
        </w:tc>
        <w:tc>
          <w:tcPr>
            <w:tcW w:w="952" w:type="dxa"/>
            <w:vAlign w:val="center"/>
          </w:tcPr>
          <w:p w14:paraId="4F19765F" w14:textId="4CC2041F"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c>
          <w:tcPr>
            <w:tcW w:w="1123" w:type="dxa"/>
            <w:vAlign w:val="center"/>
          </w:tcPr>
          <w:p w14:paraId="1EDEF301" w14:textId="04899566" w:rsidR="003567FF" w:rsidRPr="001A4EDC" w:rsidRDefault="007D3C54" w:rsidP="008014BA">
            <w:pPr>
              <w:tabs>
                <w:tab w:val="center" w:pos="0"/>
              </w:tabs>
              <w:jc w:val="center"/>
              <w:rPr>
                <w:rFonts w:ascii="Arial" w:hAnsi="Arial"/>
                <w:sz w:val="22"/>
                <w:szCs w:val="22"/>
              </w:rPr>
            </w:pPr>
            <w:r>
              <w:rPr>
                <w:rFonts w:ascii="Arial" w:hAnsi="Arial"/>
                <w:sz w:val="22"/>
                <w:szCs w:val="22"/>
              </w:rPr>
              <w:t>-</w:t>
            </w:r>
          </w:p>
        </w:tc>
      </w:tr>
    </w:tbl>
    <w:p w14:paraId="7E268BF3" w14:textId="77777777" w:rsidR="00C3058F" w:rsidRDefault="00C3058F" w:rsidP="001A4EDC">
      <w:pPr>
        <w:tabs>
          <w:tab w:val="center" w:pos="0"/>
        </w:tabs>
        <w:jc w:val="both"/>
        <w:rPr>
          <w:rFonts w:ascii="Arial" w:hAnsi="Arial"/>
          <w:sz w:val="22"/>
        </w:rPr>
      </w:pPr>
    </w:p>
    <w:p w14:paraId="78A999FB" w14:textId="199215B2" w:rsidR="005267EC" w:rsidRDefault="000C62C9" w:rsidP="005267EC">
      <w:pPr>
        <w:tabs>
          <w:tab w:val="center" w:pos="0"/>
        </w:tabs>
        <w:jc w:val="both"/>
        <w:rPr>
          <w:rFonts w:ascii="Arial" w:hAnsi="Arial"/>
          <w:sz w:val="22"/>
        </w:rPr>
      </w:pPr>
      <w:r>
        <w:rPr>
          <w:rFonts w:ascii="Arial" w:hAnsi="Arial"/>
          <w:sz w:val="22"/>
        </w:rPr>
        <w:t>The cost of performing a geophysical investigation is directly related to how long the field investigation and data processing will take</w:t>
      </w:r>
      <w:r w:rsidR="005267EC">
        <w:rPr>
          <w:rFonts w:ascii="Arial" w:hAnsi="Arial"/>
          <w:sz w:val="22"/>
        </w:rPr>
        <w:t>. Some geophysical investigations can be performed by one person in one or less than one day to achieve their objective, and some geophysical investigations require one or more crew</w:t>
      </w:r>
      <w:r w:rsidR="00693947">
        <w:rPr>
          <w:rFonts w:ascii="Arial" w:hAnsi="Arial"/>
          <w:sz w:val="22"/>
        </w:rPr>
        <w:t>s</w:t>
      </w:r>
      <w:r w:rsidR="005267EC">
        <w:rPr>
          <w:rFonts w:ascii="Arial" w:hAnsi="Arial"/>
          <w:sz w:val="22"/>
        </w:rPr>
        <w:t xml:space="preserve"> of two to four people working at a project site for many days or weeks.</w:t>
      </w:r>
    </w:p>
    <w:p w14:paraId="4A37FEB8" w14:textId="77777777" w:rsidR="005267EC" w:rsidRDefault="005267EC" w:rsidP="005267EC">
      <w:pPr>
        <w:tabs>
          <w:tab w:val="center" w:pos="0"/>
        </w:tabs>
        <w:jc w:val="both"/>
        <w:rPr>
          <w:rFonts w:ascii="Arial" w:hAnsi="Arial"/>
          <w:sz w:val="22"/>
        </w:rPr>
      </w:pPr>
    </w:p>
    <w:p w14:paraId="735CFCEF" w14:textId="44470770" w:rsidR="00D212D7" w:rsidRDefault="005267EC" w:rsidP="001A4EDC">
      <w:pPr>
        <w:tabs>
          <w:tab w:val="center" w:pos="0"/>
        </w:tabs>
        <w:jc w:val="both"/>
        <w:rPr>
          <w:rFonts w:ascii="Arial" w:hAnsi="Arial"/>
          <w:sz w:val="22"/>
        </w:rPr>
      </w:pPr>
      <w:r>
        <w:rPr>
          <w:rFonts w:ascii="Arial" w:hAnsi="Arial"/>
          <w:sz w:val="22"/>
        </w:rPr>
        <w:t xml:space="preserve">The main factors that control the cost of a geophysical investigation are the types and resolutions of the geophysical technologies, </w:t>
      </w:r>
      <w:r w:rsidR="000C62C9">
        <w:rPr>
          <w:rFonts w:ascii="Arial" w:hAnsi="Arial"/>
          <w:sz w:val="22"/>
        </w:rPr>
        <w:t>the size of the crew required to collect the data, the complexity of the instruments that are used</w:t>
      </w:r>
      <w:r>
        <w:rPr>
          <w:rFonts w:ascii="Arial" w:hAnsi="Arial"/>
          <w:sz w:val="22"/>
        </w:rPr>
        <w:t>, and the type of reporting that is required</w:t>
      </w:r>
      <w:r w:rsidR="000C62C9">
        <w:rPr>
          <w:rFonts w:ascii="Arial" w:hAnsi="Arial"/>
          <w:sz w:val="22"/>
        </w:rPr>
        <w:t xml:space="preserve">. In addition, </w:t>
      </w:r>
      <w:r>
        <w:rPr>
          <w:rFonts w:ascii="Arial" w:hAnsi="Arial"/>
          <w:sz w:val="22"/>
        </w:rPr>
        <w:t xml:space="preserve">the cost will be dependent on </w:t>
      </w:r>
      <w:r w:rsidR="000C62C9">
        <w:rPr>
          <w:rFonts w:ascii="Arial" w:hAnsi="Arial"/>
          <w:sz w:val="22"/>
        </w:rPr>
        <w:t xml:space="preserve">limitations on working hours, </w:t>
      </w:r>
      <w:r>
        <w:rPr>
          <w:rFonts w:ascii="Arial" w:hAnsi="Arial"/>
          <w:sz w:val="22"/>
        </w:rPr>
        <w:t>either</w:t>
      </w:r>
      <w:r w:rsidR="000C62C9">
        <w:rPr>
          <w:rFonts w:ascii="Arial" w:hAnsi="Arial"/>
          <w:sz w:val="22"/>
        </w:rPr>
        <w:t xml:space="preserve"> </w:t>
      </w:r>
      <w:r w:rsidR="000C62C9">
        <w:rPr>
          <w:rFonts w:ascii="Arial" w:hAnsi="Arial"/>
          <w:sz w:val="22"/>
        </w:rPr>
        <w:lastRenderedPageBreak/>
        <w:t xml:space="preserve">due to MOT </w:t>
      </w:r>
      <w:r>
        <w:rPr>
          <w:rFonts w:ascii="Arial" w:hAnsi="Arial"/>
          <w:sz w:val="22"/>
        </w:rPr>
        <w:t>restrictions</w:t>
      </w:r>
      <w:r w:rsidR="000C62C9">
        <w:rPr>
          <w:rFonts w:ascii="Arial" w:hAnsi="Arial"/>
          <w:sz w:val="22"/>
        </w:rPr>
        <w:t xml:space="preserve"> or </w:t>
      </w:r>
      <w:r>
        <w:rPr>
          <w:rFonts w:ascii="Arial" w:hAnsi="Arial"/>
          <w:sz w:val="22"/>
        </w:rPr>
        <w:t>to limit interference</w:t>
      </w:r>
      <w:r w:rsidR="004730CA">
        <w:rPr>
          <w:rFonts w:ascii="Arial" w:hAnsi="Arial"/>
          <w:sz w:val="22"/>
        </w:rPr>
        <w:t>;</w:t>
      </w:r>
      <w:r>
        <w:rPr>
          <w:rFonts w:ascii="Arial" w:hAnsi="Arial"/>
          <w:sz w:val="22"/>
        </w:rPr>
        <w:t xml:space="preserve"> for example</w:t>
      </w:r>
      <w:r w:rsidR="004730CA">
        <w:rPr>
          <w:rFonts w:ascii="Arial" w:hAnsi="Arial"/>
          <w:sz w:val="22"/>
        </w:rPr>
        <w:t>,</w:t>
      </w:r>
      <w:r>
        <w:rPr>
          <w:rFonts w:ascii="Arial" w:hAnsi="Arial"/>
          <w:sz w:val="22"/>
        </w:rPr>
        <w:t xml:space="preserve"> by performing a survey at night to reduce vibrations from traffic.</w:t>
      </w:r>
    </w:p>
    <w:p w14:paraId="2367B897" w14:textId="77777777" w:rsidR="00482959" w:rsidRPr="00D413DF" w:rsidRDefault="00482959" w:rsidP="00482959">
      <w:pPr>
        <w:tabs>
          <w:tab w:val="center" w:pos="0"/>
        </w:tabs>
        <w:jc w:val="both"/>
        <w:rPr>
          <w:rFonts w:ascii="Arial" w:hAnsi="Arial" w:cs="Arial"/>
          <w:sz w:val="22"/>
          <w:szCs w:val="22"/>
        </w:rPr>
      </w:pPr>
    </w:p>
    <w:p w14:paraId="5D212C68" w14:textId="766D1BB0" w:rsidR="00482959" w:rsidRDefault="004847FF" w:rsidP="008014BA">
      <w:pPr>
        <w:pStyle w:val="Heading4"/>
      </w:pPr>
      <w:r>
        <w:t>Seismic Refraction</w:t>
      </w:r>
    </w:p>
    <w:p w14:paraId="3881452A" w14:textId="2FAC99E7" w:rsidR="001A4EDC" w:rsidRDefault="000B45FC" w:rsidP="008014BA">
      <w:pPr>
        <w:tabs>
          <w:tab w:val="center" w:pos="0"/>
        </w:tabs>
        <w:jc w:val="both"/>
        <w:rPr>
          <w:rFonts w:ascii="Arial" w:hAnsi="Arial"/>
          <w:sz w:val="22"/>
        </w:rPr>
      </w:pPr>
      <w:r>
        <w:rPr>
          <w:rFonts w:ascii="Arial" w:hAnsi="Arial"/>
          <w:sz w:val="22"/>
        </w:rPr>
        <w:t xml:space="preserve">Seismic refraction is </w:t>
      </w:r>
      <w:r w:rsidR="003567FF">
        <w:rPr>
          <w:rFonts w:ascii="Arial" w:hAnsi="Arial"/>
          <w:sz w:val="22"/>
        </w:rPr>
        <w:t>often</w:t>
      </w:r>
      <w:r>
        <w:rPr>
          <w:rFonts w:ascii="Arial" w:hAnsi="Arial"/>
          <w:sz w:val="22"/>
        </w:rPr>
        <w:t xml:space="preserve"> used for projects because it is well suited for</w:t>
      </w:r>
      <w:r w:rsidR="00C61677">
        <w:rPr>
          <w:rFonts w:ascii="Arial" w:hAnsi="Arial"/>
          <w:sz w:val="22"/>
        </w:rPr>
        <w:t xml:space="preserve"> estimating the depth to bedrock and the rippability of bedrock</w:t>
      </w:r>
      <w:r w:rsidR="005045F7">
        <w:rPr>
          <w:rFonts w:ascii="Arial" w:hAnsi="Arial"/>
          <w:sz w:val="22"/>
        </w:rPr>
        <w:t xml:space="preserve"> along linear arrays under certain conditions</w:t>
      </w:r>
      <w:r>
        <w:rPr>
          <w:rFonts w:ascii="Arial" w:hAnsi="Arial"/>
          <w:sz w:val="22"/>
        </w:rPr>
        <w:t xml:space="preserve">. </w:t>
      </w:r>
      <w:r w:rsidR="005045F7">
        <w:rPr>
          <w:rFonts w:ascii="Arial" w:hAnsi="Arial"/>
          <w:sz w:val="22"/>
        </w:rPr>
        <w:t xml:space="preserve"> </w:t>
      </w:r>
      <w:r w:rsidR="004847FF">
        <w:rPr>
          <w:rFonts w:ascii="Arial" w:hAnsi="Arial"/>
          <w:sz w:val="22"/>
        </w:rPr>
        <w:t xml:space="preserve">Seismic refraction is also one of the more accepted and better understood methods among construction contractors because </w:t>
      </w:r>
      <w:r w:rsidR="005045F7">
        <w:rPr>
          <w:rFonts w:ascii="Arial" w:hAnsi="Arial"/>
          <w:sz w:val="22"/>
        </w:rPr>
        <w:t xml:space="preserve">The Caterpillar Performance Handbook </w:t>
      </w:r>
      <w:r w:rsidR="00C3058F">
        <w:rPr>
          <w:rFonts w:ascii="Arial" w:hAnsi="Arial"/>
          <w:sz w:val="22"/>
        </w:rPr>
        <w:t>(listed i</w:t>
      </w:r>
      <w:r w:rsidR="00C3058F" w:rsidRPr="009B1E8D">
        <w:rPr>
          <w:rFonts w:ascii="Arial" w:hAnsi="Arial"/>
          <w:sz w:val="22"/>
        </w:rPr>
        <w:t xml:space="preserve">n </w:t>
      </w:r>
      <w:hyperlink w:anchor="_Geophysical_References" w:history="1">
        <w:r w:rsidR="00C3058F" w:rsidRPr="009B1E8D">
          <w:rPr>
            <w:rStyle w:val="Hyperlink"/>
            <w:rFonts w:ascii="Arial" w:hAnsi="Arial"/>
            <w:sz w:val="22"/>
          </w:rPr>
          <w:t>Appendix</w:t>
        </w:r>
        <w:r w:rsidR="00FC77F8" w:rsidRPr="009B1E8D">
          <w:rPr>
            <w:rStyle w:val="Hyperlink"/>
            <w:rFonts w:ascii="Arial" w:hAnsi="Arial"/>
            <w:sz w:val="22"/>
          </w:rPr>
          <w:t xml:space="preserve"> 9.03.01</w:t>
        </w:r>
      </w:hyperlink>
      <w:r w:rsidR="00C3058F" w:rsidRPr="009B1E8D">
        <w:rPr>
          <w:rFonts w:ascii="Arial" w:hAnsi="Arial"/>
          <w:sz w:val="22"/>
        </w:rPr>
        <w:t xml:space="preserve">) </w:t>
      </w:r>
      <w:r w:rsidR="005045F7" w:rsidRPr="009B1E8D">
        <w:rPr>
          <w:rFonts w:ascii="Arial" w:hAnsi="Arial"/>
          <w:sz w:val="22"/>
        </w:rPr>
        <w:t>i</w:t>
      </w:r>
      <w:r w:rsidR="005045F7">
        <w:rPr>
          <w:rFonts w:ascii="Arial" w:hAnsi="Arial"/>
          <w:sz w:val="22"/>
        </w:rPr>
        <w:t xml:space="preserve">ncludes tables correlating seismic velocities </w:t>
      </w:r>
      <w:r w:rsidR="004138CC">
        <w:rPr>
          <w:rFonts w:ascii="Arial" w:hAnsi="Arial"/>
          <w:sz w:val="22"/>
        </w:rPr>
        <w:t>with the rippability capabilities of various pieces of Caterpillar equipment</w:t>
      </w:r>
      <w:r w:rsidR="004847FF">
        <w:rPr>
          <w:rFonts w:ascii="Arial" w:hAnsi="Arial"/>
          <w:sz w:val="22"/>
        </w:rPr>
        <w:t>.</w:t>
      </w:r>
      <w:r w:rsidR="004138CC">
        <w:rPr>
          <w:rFonts w:ascii="Arial" w:hAnsi="Arial"/>
          <w:sz w:val="22"/>
        </w:rPr>
        <w:t xml:space="preserve"> </w:t>
      </w:r>
    </w:p>
    <w:p w14:paraId="02C2A7D6" w14:textId="77777777" w:rsidR="005045F7" w:rsidRDefault="005045F7" w:rsidP="008014BA">
      <w:pPr>
        <w:tabs>
          <w:tab w:val="center" w:pos="0"/>
        </w:tabs>
        <w:jc w:val="both"/>
        <w:rPr>
          <w:rFonts w:ascii="Arial" w:hAnsi="Arial"/>
          <w:sz w:val="22"/>
        </w:rPr>
      </w:pPr>
    </w:p>
    <w:p w14:paraId="3AE2ABB7" w14:textId="7323545B" w:rsidR="005045F7" w:rsidRDefault="005045F7" w:rsidP="008014BA">
      <w:pPr>
        <w:tabs>
          <w:tab w:val="center" w:pos="0"/>
        </w:tabs>
        <w:jc w:val="both"/>
        <w:rPr>
          <w:rFonts w:ascii="Arial" w:hAnsi="Arial"/>
          <w:sz w:val="22"/>
        </w:rPr>
      </w:pPr>
      <w:r>
        <w:rPr>
          <w:rFonts w:ascii="Arial" w:hAnsi="Arial"/>
          <w:sz w:val="22"/>
        </w:rPr>
        <w:t>Seismic refraction measurement</w:t>
      </w:r>
      <w:r w:rsidR="00511AB3">
        <w:rPr>
          <w:rFonts w:ascii="Arial" w:hAnsi="Arial"/>
          <w:sz w:val="22"/>
        </w:rPr>
        <w:t>s</w:t>
      </w:r>
      <w:r>
        <w:rPr>
          <w:rFonts w:ascii="Arial" w:hAnsi="Arial"/>
          <w:sz w:val="22"/>
        </w:rPr>
        <w:t xml:space="preserve"> are made by measuring the travel time of direct and refracted seismic waves as they travel from the ground surface through one subsurface soil layer to another and then back to the surface where their travel time is recorded.  The travel time is a function of the seismic velocity and geometry of the soil and rock. </w:t>
      </w:r>
    </w:p>
    <w:p w14:paraId="45C74DE7" w14:textId="77777777" w:rsidR="005045F7" w:rsidRDefault="005045F7" w:rsidP="008014BA">
      <w:pPr>
        <w:tabs>
          <w:tab w:val="center" w:pos="0"/>
        </w:tabs>
        <w:jc w:val="both"/>
        <w:rPr>
          <w:rFonts w:ascii="Arial" w:hAnsi="Arial"/>
          <w:sz w:val="22"/>
        </w:rPr>
      </w:pPr>
    </w:p>
    <w:p w14:paraId="0BA5E3B7" w14:textId="0B98EF50" w:rsidR="00E71D54" w:rsidRDefault="00427F46" w:rsidP="008014BA">
      <w:pPr>
        <w:tabs>
          <w:tab w:val="center" w:pos="0"/>
        </w:tabs>
        <w:jc w:val="both"/>
        <w:rPr>
          <w:rFonts w:ascii="Arial" w:hAnsi="Arial"/>
          <w:sz w:val="22"/>
        </w:rPr>
      </w:pPr>
      <w:r>
        <w:rPr>
          <w:rFonts w:ascii="Arial" w:hAnsi="Arial"/>
          <w:sz w:val="22"/>
        </w:rPr>
        <w:t>Seismic refraction data is collected along linear arrays, and the results are usually presented as a sub</w:t>
      </w:r>
      <w:r w:rsidRPr="00576374">
        <w:rPr>
          <w:rFonts w:ascii="Arial" w:hAnsi="Arial"/>
          <w:sz w:val="22"/>
        </w:rPr>
        <w:t xml:space="preserve">surface profile of seismic velocity. </w:t>
      </w:r>
      <w:r w:rsidR="00E71D54" w:rsidRPr="00576374">
        <w:rPr>
          <w:rFonts w:ascii="Arial" w:hAnsi="Arial"/>
          <w:sz w:val="22"/>
        </w:rPr>
        <w:t>Ground surface topography is included in the</w:t>
      </w:r>
      <w:r w:rsidR="00E71D54">
        <w:rPr>
          <w:rFonts w:ascii="Arial" w:hAnsi="Arial"/>
          <w:sz w:val="22"/>
        </w:rPr>
        <w:t xml:space="preserve"> profile. </w:t>
      </w:r>
    </w:p>
    <w:p w14:paraId="690F7CD8" w14:textId="77777777" w:rsidR="00E71D54" w:rsidRDefault="00E71D54" w:rsidP="008014BA">
      <w:pPr>
        <w:tabs>
          <w:tab w:val="center" w:pos="0"/>
        </w:tabs>
        <w:jc w:val="both"/>
        <w:rPr>
          <w:rFonts w:ascii="Arial" w:hAnsi="Arial"/>
          <w:sz w:val="22"/>
        </w:rPr>
      </w:pPr>
    </w:p>
    <w:p w14:paraId="723B6276" w14:textId="052192FA" w:rsidR="005045F7" w:rsidRDefault="005045F7" w:rsidP="008014BA">
      <w:pPr>
        <w:tabs>
          <w:tab w:val="center" w:pos="0"/>
        </w:tabs>
        <w:jc w:val="both"/>
        <w:rPr>
          <w:rFonts w:ascii="Arial" w:hAnsi="Arial"/>
          <w:sz w:val="22"/>
        </w:rPr>
      </w:pPr>
      <w:r>
        <w:rPr>
          <w:rFonts w:ascii="Arial" w:hAnsi="Arial"/>
          <w:sz w:val="22"/>
        </w:rPr>
        <w:t>The seismic waves are generated at the ground surface,</w:t>
      </w:r>
      <w:r w:rsidR="004138CC">
        <w:rPr>
          <w:rFonts w:ascii="Arial" w:hAnsi="Arial"/>
          <w:sz w:val="22"/>
        </w:rPr>
        <w:t xml:space="preserve"> called a shot,</w:t>
      </w:r>
      <w:r>
        <w:rPr>
          <w:rFonts w:ascii="Arial" w:hAnsi="Arial"/>
          <w:sz w:val="22"/>
        </w:rPr>
        <w:t xml:space="preserve"> usually by human power swinging a sledgehammer and striking a plate on the ground surface to create an impact that sends seismic (sound) waves into the ground.  Vibrations from the sound wave moving through the soil and rock are detected by a series of geophones that </w:t>
      </w:r>
      <w:r w:rsidR="009B1E8D">
        <w:rPr>
          <w:rFonts w:ascii="Arial" w:hAnsi="Arial"/>
          <w:sz w:val="22"/>
        </w:rPr>
        <w:t>is</w:t>
      </w:r>
      <w:r w:rsidR="004730CA">
        <w:rPr>
          <w:rFonts w:ascii="Arial" w:hAnsi="Arial"/>
          <w:sz w:val="22"/>
        </w:rPr>
        <w:t xml:space="preserve"> </w:t>
      </w:r>
      <w:r>
        <w:rPr>
          <w:rFonts w:ascii="Arial" w:hAnsi="Arial"/>
          <w:sz w:val="22"/>
        </w:rPr>
        <w:t xml:space="preserve">placed in a linear array along the area to be investigated.  The </w:t>
      </w:r>
      <w:r w:rsidR="004138CC">
        <w:rPr>
          <w:rFonts w:ascii="Arial" w:hAnsi="Arial"/>
          <w:sz w:val="22"/>
        </w:rPr>
        <w:t>measurements are recorded using a seismograph, and the data is processed in the office</w:t>
      </w:r>
      <w:r w:rsidR="00511AB3">
        <w:rPr>
          <w:rFonts w:ascii="Arial" w:hAnsi="Arial"/>
          <w:sz w:val="22"/>
        </w:rPr>
        <w:t xml:space="preserve"> and interpreted by the geophysicist</w:t>
      </w:r>
      <w:r w:rsidR="004138CC">
        <w:rPr>
          <w:rFonts w:ascii="Arial" w:hAnsi="Arial"/>
          <w:sz w:val="22"/>
        </w:rPr>
        <w:t>.</w:t>
      </w:r>
    </w:p>
    <w:p w14:paraId="38C78E23" w14:textId="77777777" w:rsidR="004138CC" w:rsidRDefault="004138CC" w:rsidP="008014BA">
      <w:pPr>
        <w:tabs>
          <w:tab w:val="center" w:pos="0"/>
        </w:tabs>
        <w:jc w:val="both"/>
        <w:rPr>
          <w:rFonts w:ascii="Arial" w:hAnsi="Arial"/>
          <w:sz w:val="22"/>
        </w:rPr>
      </w:pPr>
    </w:p>
    <w:p w14:paraId="0803CB4B" w14:textId="433C1B79" w:rsidR="004138CC" w:rsidRDefault="004138CC" w:rsidP="008014BA">
      <w:pPr>
        <w:tabs>
          <w:tab w:val="center" w:pos="0"/>
        </w:tabs>
        <w:jc w:val="both"/>
        <w:rPr>
          <w:rFonts w:ascii="Arial" w:hAnsi="Arial"/>
          <w:sz w:val="22"/>
        </w:rPr>
      </w:pPr>
      <w:r>
        <w:rPr>
          <w:rFonts w:ascii="Arial" w:hAnsi="Arial"/>
          <w:sz w:val="22"/>
        </w:rPr>
        <w:t xml:space="preserve">Seismic refraction surveys can be designed to be very high resolution with very closely spaced geophones and frequent shots along the array, or they can be designed to </w:t>
      </w:r>
      <w:r w:rsidR="00511AB3">
        <w:rPr>
          <w:rFonts w:ascii="Arial" w:hAnsi="Arial"/>
          <w:sz w:val="22"/>
        </w:rPr>
        <w:t xml:space="preserve">quickly </w:t>
      </w:r>
      <w:r>
        <w:rPr>
          <w:rFonts w:ascii="Arial" w:hAnsi="Arial"/>
          <w:sz w:val="22"/>
        </w:rPr>
        <w:t xml:space="preserve">cover a large area with a lower resolution with widely spaced geophones and infrequent shots.  Typical surveys are designed to </w:t>
      </w:r>
      <w:r w:rsidR="004847FF">
        <w:rPr>
          <w:rFonts w:ascii="Arial" w:hAnsi="Arial"/>
          <w:sz w:val="22"/>
        </w:rPr>
        <w:t>have</w:t>
      </w:r>
      <w:r>
        <w:rPr>
          <w:rFonts w:ascii="Arial" w:hAnsi="Arial"/>
          <w:sz w:val="22"/>
        </w:rPr>
        <w:t xml:space="preserve"> </w:t>
      </w:r>
      <w:r w:rsidRPr="00576374">
        <w:rPr>
          <w:rFonts w:ascii="Arial" w:hAnsi="Arial"/>
          <w:sz w:val="22"/>
        </w:rPr>
        <w:t>a balance of resolution and speed of data collection</w:t>
      </w:r>
      <w:r w:rsidR="00511AB3" w:rsidRPr="00576374">
        <w:rPr>
          <w:rFonts w:ascii="Arial" w:hAnsi="Arial"/>
          <w:sz w:val="22"/>
        </w:rPr>
        <w:t xml:space="preserve"> to</w:t>
      </w:r>
      <w:r w:rsidR="00576374" w:rsidRPr="00576374">
        <w:rPr>
          <w:rFonts w:ascii="Arial" w:hAnsi="Arial"/>
          <w:sz w:val="22"/>
        </w:rPr>
        <w:t xml:space="preserve"> gathering</w:t>
      </w:r>
      <w:r w:rsidR="004847FF">
        <w:rPr>
          <w:rFonts w:ascii="Arial" w:hAnsi="Arial"/>
          <w:sz w:val="22"/>
        </w:rPr>
        <w:t xml:space="preserve"> the desired information for the minimal </w:t>
      </w:r>
      <w:r>
        <w:rPr>
          <w:rFonts w:ascii="Arial" w:hAnsi="Arial"/>
          <w:sz w:val="22"/>
        </w:rPr>
        <w:t xml:space="preserve">survey cost. </w:t>
      </w:r>
      <w:r w:rsidR="005052D6">
        <w:rPr>
          <w:rFonts w:ascii="Arial" w:hAnsi="Arial"/>
          <w:sz w:val="22"/>
        </w:rPr>
        <w:t>The scope of the s</w:t>
      </w:r>
      <w:r>
        <w:rPr>
          <w:rFonts w:ascii="Arial" w:hAnsi="Arial"/>
          <w:sz w:val="22"/>
        </w:rPr>
        <w:t xml:space="preserve">urvey </w:t>
      </w:r>
      <w:r w:rsidR="005052D6">
        <w:rPr>
          <w:rFonts w:ascii="Arial" w:hAnsi="Arial"/>
          <w:sz w:val="22"/>
        </w:rPr>
        <w:t>should consider</w:t>
      </w:r>
      <w:r w:rsidR="00DB3C11">
        <w:rPr>
          <w:rFonts w:ascii="Arial" w:hAnsi="Arial"/>
          <w:sz w:val="22"/>
        </w:rPr>
        <w:t xml:space="preserve"> </w:t>
      </w:r>
      <w:r w:rsidR="004847FF">
        <w:rPr>
          <w:rFonts w:ascii="Arial" w:hAnsi="Arial"/>
          <w:sz w:val="22"/>
        </w:rPr>
        <w:t xml:space="preserve">access, noise, the </w:t>
      </w:r>
      <w:r>
        <w:rPr>
          <w:rFonts w:ascii="Arial" w:hAnsi="Arial"/>
          <w:sz w:val="22"/>
        </w:rPr>
        <w:t xml:space="preserve">estimated depth to rock, density of the soil and rock, </w:t>
      </w:r>
      <w:r w:rsidR="004847FF">
        <w:rPr>
          <w:rFonts w:ascii="Arial" w:hAnsi="Arial"/>
          <w:sz w:val="22"/>
        </w:rPr>
        <w:t xml:space="preserve">and the </w:t>
      </w:r>
      <w:r>
        <w:rPr>
          <w:rFonts w:ascii="Arial" w:hAnsi="Arial"/>
          <w:sz w:val="22"/>
        </w:rPr>
        <w:t xml:space="preserve">expected </w:t>
      </w:r>
      <w:r w:rsidR="00DB3C11">
        <w:rPr>
          <w:rFonts w:ascii="Arial" w:hAnsi="Arial"/>
          <w:sz w:val="22"/>
        </w:rPr>
        <w:t>resolution.</w:t>
      </w:r>
      <w:r>
        <w:rPr>
          <w:rFonts w:ascii="Arial" w:hAnsi="Arial"/>
          <w:sz w:val="22"/>
        </w:rPr>
        <w:t xml:space="preserve">  </w:t>
      </w:r>
    </w:p>
    <w:p w14:paraId="0D513E03" w14:textId="77777777" w:rsidR="004138CC" w:rsidRDefault="004138CC" w:rsidP="008014BA">
      <w:pPr>
        <w:tabs>
          <w:tab w:val="center" w:pos="0"/>
        </w:tabs>
        <w:jc w:val="both"/>
        <w:rPr>
          <w:rFonts w:ascii="Arial" w:hAnsi="Arial"/>
          <w:sz w:val="22"/>
        </w:rPr>
      </w:pPr>
    </w:p>
    <w:p w14:paraId="19EB70FE" w14:textId="73F6C925" w:rsidR="004138CC" w:rsidRDefault="004138CC" w:rsidP="008014BA">
      <w:pPr>
        <w:tabs>
          <w:tab w:val="center" w:pos="0"/>
        </w:tabs>
        <w:jc w:val="both"/>
        <w:rPr>
          <w:rFonts w:ascii="Arial" w:hAnsi="Arial"/>
          <w:sz w:val="22"/>
        </w:rPr>
      </w:pPr>
      <w:r>
        <w:rPr>
          <w:rFonts w:ascii="Arial" w:hAnsi="Arial"/>
          <w:sz w:val="22"/>
        </w:rPr>
        <w:t>Seismic refraction is only able to detect layers of increasing density or velocity with increasing depth</w:t>
      </w:r>
      <w:r w:rsidR="00313C44">
        <w:rPr>
          <w:rFonts w:ascii="Arial" w:hAnsi="Arial"/>
          <w:sz w:val="22"/>
        </w:rPr>
        <w:t>;</w:t>
      </w:r>
      <w:r w:rsidR="004847FF">
        <w:rPr>
          <w:rFonts w:ascii="Arial" w:hAnsi="Arial"/>
          <w:sz w:val="22"/>
        </w:rPr>
        <w:t xml:space="preserve"> this is the physical nature of refracted waves</w:t>
      </w:r>
      <w:r>
        <w:rPr>
          <w:rFonts w:ascii="Arial" w:hAnsi="Arial"/>
          <w:sz w:val="22"/>
        </w:rPr>
        <w:t xml:space="preserve">.  </w:t>
      </w:r>
      <w:r w:rsidR="004847FF">
        <w:rPr>
          <w:rFonts w:ascii="Arial" w:hAnsi="Arial"/>
          <w:sz w:val="22"/>
        </w:rPr>
        <w:t>This means that a softer layer beneath a stiffer layer will not be detected with seismic refraction.</w:t>
      </w:r>
      <w:r w:rsidR="00E71D54">
        <w:rPr>
          <w:rFonts w:ascii="Arial" w:hAnsi="Arial"/>
          <w:sz w:val="22"/>
        </w:rPr>
        <w:t xml:space="preserve"> This is referred to as “the hidden layer problem.”</w:t>
      </w:r>
    </w:p>
    <w:p w14:paraId="45A38A0B" w14:textId="77777777" w:rsidR="004138CC" w:rsidRDefault="004138CC" w:rsidP="008014BA">
      <w:pPr>
        <w:tabs>
          <w:tab w:val="center" w:pos="0"/>
        </w:tabs>
        <w:jc w:val="both"/>
        <w:rPr>
          <w:rFonts w:ascii="Arial" w:hAnsi="Arial"/>
          <w:sz w:val="22"/>
        </w:rPr>
      </w:pPr>
    </w:p>
    <w:p w14:paraId="759C8D20" w14:textId="6C384D3E" w:rsidR="004847FF" w:rsidRPr="0029193D" w:rsidRDefault="004138CC" w:rsidP="000E51FC">
      <w:pPr>
        <w:tabs>
          <w:tab w:val="center" w:pos="0"/>
        </w:tabs>
        <w:jc w:val="both"/>
        <w:rPr>
          <w:rFonts w:ascii="Arial" w:hAnsi="Arial"/>
          <w:sz w:val="22"/>
        </w:rPr>
      </w:pPr>
      <w:r>
        <w:rPr>
          <w:rFonts w:ascii="Arial" w:hAnsi="Arial"/>
          <w:sz w:val="22"/>
        </w:rPr>
        <w:t>Seismic refraction is susceptible to ambient noise which causes noise in the d</w:t>
      </w:r>
      <w:r w:rsidR="004847FF">
        <w:rPr>
          <w:rFonts w:ascii="Arial" w:hAnsi="Arial"/>
          <w:sz w:val="22"/>
        </w:rPr>
        <w:t>ata.  This can reduce</w:t>
      </w:r>
      <w:r>
        <w:rPr>
          <w:rFonts w:ascii="Arial" w:hAnsi="Arial"/>
          <w:sz w:val="22"/>
        </w:rPr>
        <w:t xml:space="preserve"> the data quality and slow down a field survey and processing, or </w:t>
      </w:r>
      <w:r w:rsidR="004847FF">
        <w:rPr>
          <w:rFonts w:ascii="Arial" w:hAnsi="Arial"/>
          <w:sz w:val="22"/>
        </w:rPr>
        <w:t xml:space="preserve">even </w:t>
      </w:r>
      <w:r>
        <w:rPr>
          <w:rFonts w:ascii="Arial" w:hAnsi="Arial"/>
          <w:sz w:val="22"/>
        </w:rPr>
        <w:t>make it impossible for the method to be suitable</w:t>
      </w:r>
      <w:r w:rsidR="004847FF">
        <w:rPr>
          <w:rFonts w:ascii="Arial" w:hAnsi="Arial"/>
          <w:sz w:val="22"/>
        </w:rPr>
        <w:t xml:space="preserve"> in some circumstances</w:t>
      </w:r>
      <w:r>
        <w:rPr>
          <w:rFonts w:ascii="Arial" w:hAnsi="Arial"/>
          <w:sz w:val="22"/>
        </w:rPr>
        <w:t xml:space="preserve">.  Several factors can reduce the effect of noise, including conducting surveys during non-peak traffic times or at night, using a larger seismic source, using shorter geophone </w:t>
      </w:r>
      <w:r w:rsidR="004847FF">
        <w:rPr>
          <w:rFonts w:ascii="Arial" w:hAnsi="Arial"/>
          <w:sz w:val="22"/>
        </w:rPr>
        <w:t>spacing</w:t>
      </w:r>
      <w:r>
        <w:rPr>
          <w:rFonts w:ascii="Arial" w:hAnsi="Arial"/>
          <w:sz w:val="22"/>
        </w:rPr>
        <w:t xml:space="preserve">, and conducting the survey on non-windy days.  </w:t>
      </w:r>
    </w:p>
    <w:p w14:paraId="7D2D21A5" w14:textId="77777777" w:rsidR="004847FF" w:rsidRPr="00D413DF" w:rsidRDefault="004847FF" w:rsidP="004847FF">
      <w:pPr>
        <w:tabs>
          <w:tab w:val="center" w:pos="0"/>
        </w:tabs>
        <w:jc w:val="both"/>
        <w:rPr>
          <w:rFonts w:ascii="Arial" w:hAnsi="Arial" w:cs="Arial"/>
          <w:sz w:val="22"/>
          <w:szCs w:val="22"/>
        </w:rPr>
      </w:pPr>
    </w:p>
    <w:p w14:paraId="4770C30F" w14:textId="59815D75" w:rsidR="004847FF" w:rsidRDefault="00E97030" w:rsidP="004847FF">
      <w:pPr>
        <w:pStyle w:val="Heading4"/>
      </w:pPr>
      <w:r>
        <w:t>Multi-channel Analysis of Surface Waves</w:t>
      </w:r>
      <w:r w:rsidR="00FB12B8">
        <w:t xml:space="preserve"> (MASW)</w:t>
      </w:r>
    </w:p>
    <w:p w14:paraId="3069D084" w14:textId="0387EF63" w:rsidR="00352085" w:rsidRPr="008014BA" w:rsidRDefault="00352085" w:rsidP="00313C44">
      <w:pPr>
        <w:jc w:val="both"/>
        <w:rPr>
          <w:rFonts w:ascii="Arial" w:hAnsi="Arial" w:cs="Arial"/>
          <w:sz w:val="22"/>
          <w:szCs w:val="22"/>
        </w:rPr>
      </w:pPr>
      <w:r w:rsidRPr="008014BA">
        <w:rPr>
          <w:rFonts w:ascii="Arial" w:hAnsi="Arial" w:cs="Arial"/>
          <w:sz w:val="22"/>
          <w:szCs w:val="22"/>
        </w:rPr>
        <w:t>Multichannel analysis of surface waves (MASW) is a useful seismic method for mapping bedrock, characterizing soil and rock layers, and locating subsurface anomalies</w:t>
      </w:r>
      <w:r w:rsidR="00427F46">
        <w:rPr>
          <w:rFonts w:ascii="Arial" w:hAnsi="Arial" w:cs="Arial"/>
          <w:sz w:val="22"/>
          <w:szCs w:val="22"/>
        </w:rPr>
        <w:t>, in particular for locating zones of softer soil as compared to denser soil or rock</w:t>
      </w:r>
      <w:r w:rsidRPr="008014BA">
        <w:rPr>
          <w:rFonts w:ascii="Arial" w:hAnsi="Arial" w:cs="Arial"/>
          <w:sz w:val="22"/>
          <w:szCs w:val="22"/>
        </w:rPr>
        <w:t xml:space="preserve">. MASW is </w:t>
      </w:r>
      <w:r w:rsidRPr="008014BA">
        <w:rPr>
          <w:rFonts w:ascii="Arial" w:hAnsi="Arial" w:cs="Arial"/>
          <w:sz w:val="22"/>
          <w:szCs w:val="22"/>
        </w:rPr>
        <w:lastRenderedPageBreak/>
        <w:t xml:space="preserve">also effective for performing seismic risk analysis due to the relationship between surface wave and shear wave velocities. </w:t>
      </w:r>
      <w:r w:rsidR="00427F46" w:rsidRPr="008014BA">
        <w:rPr>
          <w:rFonts w:ascii="Arial" w:hAnsi="Arial" w:cs="Arial"/>
          <w:sz w:val="22"/>
          <w:szCs w:val="22"/>
        </w:rPr>
        <w:t>MASW is v</w:t>
      </w:r>
      <w:r w:rsidR="00427F46" w:rsidRPr="00EA695E">
        <w:rPr>
          <w:rFonts w:ascii="Arial" w:hAnsi="Arial" w:cs="Arial"/>
          <w:sz w:val="22"/>
          <w:szCs w:val="22"/>
        </w:rPr>
        <w:t>ery effective for locating zones</w:t>
      </w:r>
      <w:r w:rsidR="00427F46" w:rsidRPr="008014BA">
        <w:rPr>
          <w:rFonts w:ascii="Arial" w:hAnsi="Arial" w:cs="Arial"/>
          <w:sz w:val="22"/>
          <w:szCs w:val="22"/>
        </w:rPr>
        <w:t xml:space="preserve"> of soft or loose material</w:t>
      </w:r>
      <w:r w:rsidR="00427F46">
        <w:rPr>
          <w:rFonts w:ascii="Arial" w:hAnsi="Arial" w:cs="Arial"/>
          <w:sz w:val="22"/>
          <w:szCs w:val="22"/>
        </w:rPr>
        <w:t xml:space="preserve"> b</w:t>
      </w:r>
      <w:r w:rsidRPr="008014BA">
        <w:rPr>
          <w:rFonts w:ascii="Arial" w:hAnsi="Arial" w:cs="Arial"/>
          <w:sz w:val="22"/>
          <w:szCs w:val="22"/>
        </w:rPr>
        <w:t xml:space="preserve">ecause of the </w:t>
      </w:r>
      <w:r w:rsidR="00427F46">
        <w:rPr>
          <w:rFonts w:ascii="Arial" w:hAnsi="Arial" w:cs="Arial"/>
          <w:sz w:val="22"/>
          <w:szCs w:val="22"/>
        </w:rPr>
        <w:t xml:space="preserve">relationship </w:t>
      </w:r>
      <w:r w:rsidRPr="008014BA">
        <w:rPr>
          <w:rFonts w:ascii="Arial" w:hAnsi="Arial" w:cs="Arial"/>
          <w:sz w:val="22"/>
          <w:szCs w:val="22"/>
        </w:rPr>
        <w:t>between shear wave velocity and soil stiffness</w:t>
      </w:r>
      <w:r w:rsidR="00F34E46">
        <w:rPr>
          <w:rFonts w:ascii="Arial" w:hAnsi="Arial" w:cs="Arial"/>
          <w:sz w:val="22"/>
          <w:szCs w:val="22"/>
        </w:rPr>
        <w:t>. MASW, unlike seismic refraction, can identify zones of soft or loose material beneath zones of stiffer material.</w:t>
      </w:r>
    </w:p>
    <w:p w14:paraId="6671329D" w14:textId="77777777" w:rsidR="00352085" w:rsidRPr="008014BA" w:rsidRDefault="00352085" w:rsidP="00313C44">
      <w:pPr>
        <w:jc w:val="both"/>
        <w:rPr>
          <w:rFonts w:ascii="Arial" w:hAnsi="Arial" w:cs="Arial"/>
          <w:sz w:val="22"/>
          <w:szCs w:val="22"/>
        </w:rPr>
      </w:pPr>
    </w:p>
    <w:p w14:paraId="3A0B1B89" w14:textId="246AE7D5" w:rsidR="00427F46" w:rsidRDefault="00352085" w:rsidP="00313C44">
      <w:pPr>
        <w:jc w:val="both"/>
        <w:rPr>
          <w:rFonts w:ascii="Arial" w:hAnsi="Arial" w:cs="Arial"/>
          <w:sz w:val="22"/>
          <w:szCs w:val="22"/>
        </w:rPr>
      </w:pPr>
      <w:r w:rsidRPr="008014BA">
        <w:rPr>
          <w:rFonts w:ascii="Arial" w:hAnsi="Arial" w:cs="Arial"/>
          <w:sz w:val="22"/>
          <w:szCs w:val="22"/>
        </w:rPr>
        <w:t xml:space="preserve">MASW </w:t>
      </w:r>
      <w:r w:rsidR="00427F46">
        <w:rPr>
          <w:rFonts w:ascii="Arial" w:hAnsi="Arial" w:cs="Arial"/>
          <w:sz w:val="22"/>
          <w:szCs w:val="22"/>
        </w:rPr>
        <w:t xml:space="preserve">is used to </w:t>
      </w:r>
      <w:r w:rsidRPr="008014BA">
        <w:rPr>
          <w:rFonts w:ascii="Arial" w:hAnsi="Arial" w:cs="Arial"/>
          <w:sz w:val="22"/>
          <w:szCs w:val="22"/>
        </w:rPr>
        <w:t>measure the dispersion of low frequency surface waves through the subsurface</w:t>
      </w:r>
      <w:r w:rsidR="00427F46">
        <w:rPr>
          <w:rFonts w:ascii="Arial" w:hAnsi="Arial" w:cs="Arial"/>
          <w:sz w:val="22"/>
          <w:szCs w:val="22"/>
        </w:rPr>
        <w:t>,</w:t>
      </w:r>
      <w:r w:rsidRPr="008014BA">
        <w:rPr>
          <w:rFonts w:ascii="Arial" w:hAnsi="Arial" w:cs="Arial"/>
          <w:sz w:val="22"/>
          <w:szCs w:val="22"/>
        </w:rPr>
        <w:t xml:space="preserve"> thereby inferring shear wave velocities in the area of </w:t>
      </w:r>
      <w:r w:rsidR="00FB12B8">
        <w:rPr>
          <w:rFonts w:ascii="Arial" w:hAnsi="Arial" w:cs="Arial"/>
          <w:sz w:val="22"/>
          <w:szCs w:val="22"/>
        </w:rPr>
        <w:t xml:space="preserve">the </w:t>
      </w:r>
      <w:r w:rsidRPr="008014BA">
        <w:rPr>
          <w:rFonts w:ascii="Arial" w:hAnsi="Arial" w:cs="Arial"/>
          <w:sz w:val="22"/>
          <w:szCs w:val="22"/>
        </w:rPr>
        <w:t>investigation. MASW can be used to generate one dimensional or two</w:t>
      </w:r>
      <w:r w:rsidR="00313C44">
        <w:rPr>
          <w:rFonts w:ascii="Arial" w:hAnsi="Arial" w:cs="Arial"/>
          <w:sz w:val="22"/>
          <w:szCs w:val="22"/>
        </w:rPr>
        <w:t>-</w:t>
      </w:r>
      <w:r w:rsidRPr="008014BA">
        <w:rPr>
          <w:rFonts w:ascii="Arial" w:hAnsi="Arial" w:cs="Arial"/>
          <w:sz w:val="22"/>
          <w:szCs w:val="22"/>
        </w:rPr>
        <w:t xml:space="preserve">dimensional data sets, and both active and passive seismic sources can be utilized. </w:t>
      </w:r>
      <w:r w:rsidR="00427F46">
        <w:rPr>
          <w:rFonts w:ascii="Arial" w:hAnsi="Arial" w:cs="Arial"/>
          <w:sz w:val="22"/>
          <w:szCs w:val="22"/>
        </w:rPr>
        <w:t>One</w:t>
      </w:r>
      <w:r w:rsidR="00313C44">
        <w:rPr>
          <w:rFonts w:ascii="Arial" w:hAnsi="Arial" w:cs="Arial"/>
          <w:sz w:val="22"/>
          <w:szCs w:val="22"/>
        </w:rPr>
        <w:t>-</w:t>
      </w:r>
      <w:r w:rsidR="00427F46">
        <w:rPr>
          <w:rFonts w:ascii="Arial" w:hAnsi="Arial" w:cs="Arial"/>
          <w:sz w:val="22"/>
          <w:szCs w:val="22"/>
        </w:rPr>
        <w:t xml:space="preserve">dimensional surveys are commonly used to determine the </w:t>
      </w:r>
      <w:r w:rsidR="00DB3C11">
        <w:rPr>
          <w:rFonts w:ascii="Arial" w:hAnsi="Arial" w:cs="Arial"/>
          <w:sz w:val="22"/>
          <w:szCs w:val="22"/>
        </w:rPr>
        <w:t>shear wave profile with depth.</w:t>
      </w:r>
      <w:r w:rsidR="008049BC" w:rsidRPr="008049BC">
        <w:rPr>
          <w:rFonts w:ascii="Arial" w:hAnsi="Arial" w:cs="Arial"/>
          <w:sz w:val="22"/>
          <w:szCs w:val="22"/>
        </w:rPr>
        <w:t xml:space="preserve"> </w:t>
      </w:r>
      <w:r w:rsidR="008049BC" w:rsidRPr="008014BA">
        <w:rPr>
          <w:rFonts w:ascii="Arial" w:hAnsi="Arial" w:cs="Arial"/>
          <w:sz w:val="22"/>
          <w:szCs w:val="22"/>
        </w:rPr>
        <w:t>One</w:t>
      </w:r>
      <w:r w:rsidR="00313C44">
        <w:rPr>
          <w:rFonts w:ascii="Arial" w:hAnsi="Arial" w:cs="Arial"/>
          <w:sz w:val="22"/>
          <w:szCs w:val="22"/>
        </w:rPr>
        <w:t>-</w:t>
      </w:r>
      <w:r w:rsidR="008049BC" w:rsidRPr="008014BA">
        <w:rPr>
          <w:rFonts w:ascii="Arial" w:hAnsi="Arial" w:cs="Arial"/>
          <w:sz w:val="22"/>
          <w:szCs w:val="22"/>
        </w:rPr>
        <w:t xml:space="preserve">dimensional surveys are performed with a stationary seismic source and geophone array and are used to identify shear wave velocities at </w:t>
      </w:r>
      <w:r w:rsidR="00DB3C11">
        <w:rPr>
          <w:rFonts w:ascii="Arial" w:hAnsi="Arial" w:cs="Arial"/>
          <w:sz w:val="22"/>
          <w:szCs w:val="22"/>
        </w:rPr>
        <w:t xml:space="preserve">a single location at the center of the array. </w:t>
      </w:r>
    </w:p>
    <w:p w14:paraId="569F1357" w14:textId="77777777" w:rsidR="00427F46" w:rsidRDefault="00427F46" w:rsidP="00313C44">
      <w:pPr>
        <w:jc w:val="both"/>
        <w:rPr>
          <w:rFonts w:ascii="Arial" w:hAnsi="Arial" w:cs="Arial"/>
          <w:sz w:val="22"/>
          <w:szCs w:val="22"/>
        </w:rPr>
      </w:pPr>
    </w:p>
    <w:p w14:paraId="46171F1E" w14:textId="7CE8E7D3" w:rsidR="00E71D54" w:rsidRDefault="00352085" w:rsidP="00313C44">
      <w:pPr>
        <w:tabs>
          <w:tab w:val="center" w:pos="0"/>
        </w:tabs>
        <w:jc w:val="both"/>
        <w:rPr>
          <w:rFonts w:ascii="Arial" w:hAnsi="Arial" w:cs="Arial"/>
          <w:sz w:val="22"/>
          <w:szCs w:val="22"/>
        </w:rPr>
      </w:pPr>
      <w:r w:rsidRPr="008014BA">
        <w:rPr>
          <w:rFonts w:ascii="Arial" w:hAnsi="Arial" w:cs="Arial"/>
          <w:sz w:val="22"/>
          <w:szCs w:val="22"/>
        </w:rPr>
        <w:t>In a two</w:t>
      </w:r>
      <w:r w:rsidR="00B07090">
        <w:rPr>
          <w:rFonts w:ascii="Arial" w:hAnsi="Arial" w:cs="Arial"/>
          <w:sz w:val="22"/>
          <w:szCs w:val="22"/>
        </w:rPr>
        <w:t>-</w:t>
      </w:r>
      <w:r w:rsidRPr="008014BA">
        <w:rPr>
          <w:rFonts w:ascii="Arial" w:hAnsi="Arial" w:cs="Arial"/>
          <w:sz w:val="22"/>
          <w:szCs w:val="22"/>
        </w:rPr>
        <w:t xml:space="preserve">dimensional survey, </w:t>
      </w:r>
      <w:r w:rsidR="00427F46">
        <w:rPr>
          <w:rFonts w:ascii="Arial" w:hAnsi="Arial" w:cs="Arial"/>
          <w:sz w:val="22"/>
          <w:szCs w:val="22"/>
        </w:rPr>
        <w:t>data is collected along a linear traverse and the results are presented as a subsurface profile o</w:t>
      </w:r>
      <w:r w:rsidR="00E71D54">
        <w:rPr>
          <w:rFonts w:ascii="Arial" w:hAnsi="Arial" w:cs="Arial"/>
          <w:sz w:val="22"/>
          <w:szCs w:val="22"/>
        </w:rPr>
        <w:t>f seismic velocity.</w:t>
      </w:r>
      <w:r w:rsidR="00427F46">
        <w:rPr>
          <w:rFonts w:ascii="Arial" w:hAnsi="Arial" w:cs="Arial"/>
          <w:sz w:val="22"/>
          <w:szCs w:val="22"/>
        </w:rPr>
        <w:t xml:space="preserve"> </w:t>
      </w:r>
      <w:r w:rsidR="00E71D54">
        <w:rPr>
          <w:rFonts w:ascii="Arial" w:hAnsi="Arial"/>
          <w:sz w:val="22"/>
        </w:rPr>
        <w:t xml:space="preserve">Ground surface topography is </w:t>
      </w:r>
      <w:r w:rsidR="00E71D54" w:rsidRPr="00576374">
        <w:rPr>
          <w:rFonts w:ascii="Arial" w:hAnsi="Arial"/>
          <w:sz w:val="22"/>
        </w:rPr>
        <w:t>included in</w:t>
      </w:r>
      <w:r w:rsidR="00E71D54">
        <w:rPr>
          <w:rFonts w:ascii="Arial" w:hAnsi="Arial"/>
          <w:sz w:val="22"/>
        </w:rPr>
        <w:t xml:space="preserve"> the profile.</w:t>
      </w:r>
    </w:p>
    <w:p w14:paraId="3CE70679" w14:textId="77777777" w:rsidR="00E71D54" w:rsidRDefault="00E71D54" w:rsidP="00313C44">
      <w:pPr>
        <w:tabs>
          <w:tab w:val="center" w:pos="0"/>
        </w:tabs>
        <w:jc w:val="both"/>
        <w:rPr>
          <w:rFonts w:ascii="Arial" w:hAnsi="Arial" w:cs="Arial"/>
          <w:sz w:val="22"/>
          <w:szCs w:val="22"/>
        </w:rPr>
      </w:pPr>
    </w:p>
    <w:p w14:paraId="1FAFA8FF" w14:textId="0E127660" w:rsidR="00352085" w:rsidRPr="008014BA" w:rsidRDefault="00427F46" w:rsidP="00313C44">
      <w:pPr>
        <w:tabs>
          <w:tab w:val="center" w:pos="0"/>
        </w:tabs>
        <w:jc w:val="both"/>
        <w:rPr>
          <w:rFonts w:ascii="Arial" w:hAnsi="Arial" w:cs="Arial"/>
          <w:sz w:val="22"/>
          <w:szCs w:val="22"/>
        </w:rPr>
      </w:pPr>
      <w:r>
        <w:rPr>
          <w:rFonts w:ascii="Arial" w:hAnsi="Arial" w:cs="Arial"/>
          <w:sz w:val="22"/>
          <w:szCs w:val="22"/>
        </w:rPr>
        <w:t>S</w:t>
      </w:r>
      <w:r w:rsidR="00352085" w:rsidRPr="008014BA">
        <w:rPr>
          <w:rFonts w:ascii="Arial" w:hAnsi="Arial" w:cs="Arial"/>
          <w:sz w:val="22"/>
          <w:szCs w:val="22"/>
        </w:rPr>
        <w:t xml:space="preserve">urface waves are generated actively at the ground surface by striking a sledgehammer against a metal plate. Surface waves travel through the subsurface </w:t>
      </w:r>
      <w:r w:rsidR="008049BC">
        <w:rPr>
          <w:rFonts w:ascii="Arial" w:hAnsi="Arial" w:cs="Arial"/>
          <w:sz w:val="22"/>
          <w:szCs w:val="22"/>
        </w:rPr>
        <w:t xml:space="preserve">and </w:t>
      </w:r>
      <w:r w:rsidR="00352085" w:rsidRPr="008014BA">
        <w:rPr>
          <w:rFonts w:ascii="Arial" w:hAnsi="Arial" w:cs="Arial"/>
          <w:sz w:val="22"/>
          <w:szCs w:val="22"/>
        </w:rPr>
        <w:t xml:space="preserve">are detected by a series of geophones located at equal spacing along </w:t>
      </w:r>
      <w:r w:rsidR="008049BC">
        <w:rPr>
          <w:rFonts w:ascii="Arial" w:hAnsi="Arial" w:cs="Arial"/>
          <w:sz w:val="22"/>
          <w:szCs w:val="22"/>
        </w:rPr>
        <w:t>the</w:t>
      </w:r>
      <w:r w:rsidR="00352085" w:rsidRPr="008014BA">
        <w:rPr>
          <w:rFonts w:ascii="Arial" w:hAnsi="Arial" w:cs="Arial"/>
          <w:sz w:val="22"/>
          <w:szCs w:val="22"/>
        </w:rPr>
        <w:t xml:space="preserve"> linear </w:t>
      </w:r>
      <w:r w:rsidR="008049BC">
        <w:rPr>
          <w:rFonts w:ascii="Arial" w:hAnsi="Arial" w:cs="Arial"/>
          <w:sz w:val="22"/>
          <w:szCs w:val="22"/>
        </w:rPr>
        <w:t>traverse</w:t>
      </w:r>
      <w:r w:rsidR="00352085" w:rsidRPr="008014BA">
        <w:rPr>
          <w:rFonts w:ascii="Arial" w:hAnsi="Arial" w:cs="Arial"/>
          <w:sz w:val="22"/>
          <w:szCs w:val="22"/>
        </w:rPr>
        <w:t>. Seismic data is recorded and stored in a seismograph, and processed in the office</w:t>
      </w:r>
      <w:r w:rsidR="00FB12B8">
        <w:rPr>
          <w:rFonts w:ascii="Arial" w:hAnsi="Arial" w:cs="Arial"/>
          <w:sz w:val="22"/>
          <w:szCs w:val="22"/>
        </w:rPr>
        <w:t xml:space="preserve"> </w:t>
      </w:r>
      <w:r w:rsidR="00FB12B8">
        <w:rPr>
          <w:rFonts w:ascii="Arial" w:hAnsi="Arial"/>
          <w:sz w:val="22"/>
        </w:rPr>
        <w:t>and interpreted by the geophysicist</w:t>
      </w:r>
      <w:r w:rsidR="00352085" w:rsidRPr="008014BA">
        <w:rPr>
          <w:rFonts w:ascii="Arial" w:hAnsi="Arial" w:cs="Arial"/>
          <w:sz w:val="22"/>
          <w:szCs w:val="22"/>
        </w:rPr>
        <w:t>.</w:t>
      </w:r>
    </w:p>
    <w:p w14:paraId="30F3110F" w14:textId="77777777" w:rsidR="00352085" w:rsidRPr="008014BA" w:rsidRDefault="00352085" w:rsidP="00313C44">
      <w:pPr>
        <w:jc w:val="both"/>
        <w:rPr>
          <w:rFonts w:ascii="Arial" w:hAnsi="Arial" w:cs="Arial"/>
          <w:sz w:val="22"/>
          <w:szCs w:val="22"/>
        </w:rPr>
      </w:pPr>
    </w:p>
    <w:p w14:paraId="7FEEC8D3" w14:textId="755409ED" w:rsidR="00E97030" w:rsidRPr="0029193D" w:rsidRDefault="00352085" w:rsidP="00313C44">
      <w:pPr>
        <w:jc w:val="both"/>
        <w:rPr>
          <w:rFonts w:ascii="Arial" w:hAnsi="Arial" w:cs="Arial"/>
          <w:sz w:val="22"/>
          <w:szCs w:val="22"/>
        </w:rPr>
      </w:pPr>
      <w:r w:rsidRPr="008014BA">
        <w:rPr>
          <w:rFonts w:ascii="Arial" w:hAnsi="Arial" w:cs="Arial"/>
          <w:sz w:val="22"/>
          <w:szCs w:val="22"/>
        </w:rPr>
        <w:t>MASW data resolution and lateral coverage can be adjusted by increasing or decreasing the geophone spacing</w:t>
      </w:r>
      <w:r w:rsidR="008049BC">
        <w:rPr>
          <w:rFonts w:ascii="Arial" w:hAnsi="Arial" w:cs="Arial"/>
          <w:sz w:val="22"/>
          <w:szCs w:val="22"/>
        </w:rPr>
        <w:t xml:space="preserve"> and shot offset</w:t>
      </w:r>
      <w:r w:rsidRPr="008014BA">
        <w:rPr>
          <w:rFonts w:ascii="Arial" w:hAnsi="Arial" w:cs="Arial"/>
          <w:sz w:val="22"/>
          <w:szCs w:val="22"/>
        </w:rPr>
        <w:t>. Cultural noise that impedes the collection of seismic refraction data affects MASW to a</w:t>
      </w:r>
      <w:r w:rsidR="008049BC">
        <w:rPr>
          <w:rFonts w:ascii="Arial" w:hAnsi="Arial" w:cs="Arial"/>
          <w:sz w:val="22"/>
          <w:szCs w:val="22"/>
        </w:rPr>
        <w:t xml:space="preserve"> much</w:t>
      </w:r>
      <w:r w:rsidRPr="008014BA">
        <w:rPr>
          <w:rFonts w:ascii="Arial" w:hAnsi="Arial" w:cs="Arial"/>
          <w:sz w:val="22"/>
          <w:szCs w:val="22"/>
        </w:rPr>
        <w:t xml:space="preserve"> lesser extent</w:t>
      </w:r>
      <w:r w:rsidR="008049BC">
        <w:rPr>
          <w:rFonts w:ascii="Arial" w:hAnsi="Arial" w:cs="Arial"/>
          <w:sz w:val="22"/>
          <w:szCs w:val="22"/>
        </w:rPr>
        <w:t xml:space="preserve">, making MASW useful in noisy environments such as near roadways. </w:t>
      </w:r>
      <w:r w:rsidRPr="008014BA">
        <w:rPr>
          <w:rFonts w:ascii="Arial" w:hAnsi="Arial" w:cs="Arial"/>
          <w:sz w:val="22"/>
          <w:szCs w:val="22"/>
        </w:rPr>
        <w:t xml:space="preserve">MASW </w:t>
      </w:r>
      <w:r w:rsidR="008049BC">
        <w:rPr>
          <w:rFonts w:ascii="Arial" w:hAnsi="Arial" w:cs="Arial"/>
          <w:sz w:val="22"/>
          <w:szCs w:val="22"/>
        </w:rPr>
        <w:t xml:space="preserve">limitations include </w:t>
      </w:r>
      <w:r w:rsidRPr="008014BA">
        <w:rPr>
          <w:rFonts w:ascii="Arial" w:hAnsi="Arial" w:cs="Arial"/>
          <w:sz w:val="22"/>
          <w:szCs w:val="22"/>
        </w:rPr>
        <w:t>proximity to features such as structural foundations and concrete culverts</w:t>
      </w:r>
      <w:r w:rsidR="008049BC">
        <w:rPr>
          <w:rFonts w:ascii="Arial" w:hAnsi="Arial" w:cs="Arial"/>
          <w:sz w:val="22"/>
          <w:szCs w:val="22"/>
        </w:rPr>
        <w:t xml:space="preserve"> that reflect the surface waves.</w:t>
      </w:r>
      <w:r w:rsidRPr="008014BA">
        <w:rPr>
          <w:rFonts w:ascii="Arial" w:hAnsi="Arial" w:cs="Arial"/>
          <w:sz w:val="22"/>
          <w:szCs w:val="22"/>
        </w:rPr>
        <w:t xml:space="preserve"> This effect can often be reduced by offsetting the orientation of the array.  </w:t>
      </w:r>
    </w:p>
    <w:p w14:paraId="069B3DCB" w14:textId="77777777" w:rsidR="00E97030" w:rsidRPr="00D413DF" w:rsidRDefault="00E97030" w:rsidP="00313C44">
      <w:pPr>
        <w:tabs>
          <w:tab w:val="center" w:pos="0"/>
        </w:tabs>
        <w:jc w:val="both"/>
        <w:rPr>
          <w:rFonts w:ascii="Arial" w:hAnsi="Arial" w:cs="Arial"/>
          <w:sz w:val="22"/>
          <w:szCs w:val="22"/>
        </w:rPr>
      </w:pPr>
    </w:p>
    <w:p w14:paraId="0C9E4108" w14:textId="340DCD1F" w:rsidR="00E97030" w:rsidRDefault="00E97030" w:rsidP="00313C44">
      <w:pPr>
        <w:pStyle w:val="Heading4"/>
        <w:jc w:val="both"/>
      </w:pPr>
      <w:r>
        <w:t>Electrical Resistivity Imaging</w:t>
      </w:r>
      <w:r w:rsidR="00FB12B8">
        <w:t xml:space="preserve"> (ERI)</w:t>
      </w:r>
    </w:p>
    <w:p w14:paraId="4F06CE4F" w14:textId="1082FA34" w:rsidR="00352085" w:rsidRPr="008014BA" w:rsidRDefault="00352085" w:rsidP="00313C44">
      <w:pPr>
        <w:jc w:val="both"/>
        <w:rPr>
          <w:rFonts w:ascii="Arial" w:hAnsi="Arial" w:cs="Arial"/>
          <w:sz w:val="22"/>
          <w:szCs w:val="22"/>
        </w:rPr>
      </w:pPr>
      <w:r w:rsidRPr="008014BA">
        <w:rPr>
          <w:rFonts w:ascii="Arial" w:hAnsi="Arial" w:cs="Arial"/>
          <w:sz w:val="22"/>
          <w:szCs w:val="22"/>
        </w:rPr>
        <w:t xml:space="preserve">Electrical resistivity imaging (ERI) is an effective method for estimating depth to bedrock, characterizing soil and rock layers, and locating subsurface anomalies along linear arrays. </w:t>
      </w:r>
      <w:r w:rsidR="00C85ADD">
        <w:rPr>
          <w:rFonts w:ascii="Arial" w:hAnsi="Arial" w:cs="Arial"/>
          <w:sz w:val="22"/>
          <w:szCs w:val="22"/>
        </w:rPr>
        <w:t xml:space="preserve"> </w:t>
      </w:r>
      <w:r w:rsidR="00C85ADD" w:rsidRPr="008014BA">
        <w:rPr>
          <w:rFonts w:ascii="Arial" w:hAnsi="Arial" w:cs="Arial"/>
          <w:sz w:val="22"/>
          <w:szCs w:val="22"/>
        </w:rPr>
        <w:t xml:space="preserve">Resistivity is the capacity of a material to resist current flow. With respect to earth materials, this property is determined by </w:t>
      </w:r>
      <w:r w:rsidR="00C85ADD">
        <w:rPr>
          <w:rFonts w:ascii="Arial" w:hAnsi="Arial" w:cs="Arial"/>
          <w:sz w:val="22"/>
          <w:szCs w:val="22"/>
        </w:rPr>
        <w:t xml:space="preserve">the </w:t>
      </w:r>
      <w:r w:rsidR="00C85ADD" w:rsidRPr="008014BA">
        <w:rPr>
          <w:rFonts w:ascii="Arial" w:hAnsi="Arial" w:cs="Arial"/>
          <w:sz w:val="22"/>
          <w:szCs w:val="22"/>
        </w:rPr>
        <w:t xml:space="preserve">rock and soil matrix, mineralogy, fluid saturation, and conductivity of pore fluids.  </w:t>
      </w:r>
      <w:r w:rsidR="00C85ADD">
        <w:rPr>
          <w:rFonts w:ascii="Arial" w:hAnsi="Arial" w:cs="Arial"/>
          <w:sz w:val="22"/>
          <w:szCs w:val="22"/>
        </w:rPr>
        <w:t>ERI is particularly useful for characterizing highly variable subsurface conditions such as in karst, where the depth to bedrock can vary drastically in short lateral distance</w:t>
      </w:r>
      <w:r w:rsidR="00FB12B8">
        <w:rPr>
          <w:rFonts w:ascii="Arial" w:hAnsi="Arial" w:cs="Arial"/>
          <w:sz w:val="22"/>
          <w:szCs w:val="22"/>
        </w:rPr>
        <w:t>s</w:t>
      </w:r>
      <w:r w:rsidR="00C85ADD">
        <w:rPr>
          <w:rFonts w:ascii="Arial" w:hAnsi="Arial" w:cs="Arial"/>
          <w:sz w:val="22"/>
          <w:szCs w:val="22"/>
        </w:rPr>
        <w:t>.</w:t>
      </w:r>
    </w:p>
    <w:p w14:paraId="53258B1C" w14:textId="77777777" w:rsidR="00352085" w:rsidRPr="008014BA" w:rsidRDefault="00352085" w:rsidP="00313C44">
      <w:pPr>
        <w:jc w:val="both"/>
        <w:rPr>
          <w:rFonts w:ascii="Arial" w:hAnsi="Arial" w:cs="Arial"/>
          <w:sz w:val="22"/>
          <w:szCs w:val="22"/>
        </w:rPr>
      </w:pPr>
    </w:p>
    <w:p w14:paraId="625685EA" w14:textId="0C5729CA" w:rsidR="00352085" w:rsidRPr="008014BA" w:rsidRDefault="00352085" w:rsidP="00313C44">
      <w:pPr>
        <w:jc w:val="both"/>
        <w:rPr>
          <w:rFonts w:ascii="Arial" w:hAnsi="Arial" w:cs="Arial"/>
          <w:sz w:val="22"/>
          <w:szCs w:val="22"/>
        </w:rPr>
      </w:pPr>
      <w:r w:rsidRPr="008014BA">
        <w:rPr>
          <w:rFonts w:ascii="Arial" w:hAnsi="Arial" w:cs="Arial"/>
          <w:sz w:val="22"/>
          <w:szCs w:val="22"/>
        </w:rPr>
        <w:t xml:space="preserve">Electrical resistivity measurements are made by injecting an electrical current into the ground through two electrodes and measuring the voltage difference between </w:t>
      </w:r>
      <w:r w:rsidR="00CB2615">
        <w:rPr>
          <w:rFonts w:ascii="Arial" w:hAnsi="Arial" w:cs="Arial"/>
          <w:sz w:val="22"/>
          <w:szCs w:val="22"/>
        </w:rPr>
        <w:t>t</w:t>
      </w:r>
      <w:r w:rsidR="00B07090">
        <w:rPr>
          <w:rFonts w:ascii="Arial" w:hAnsi="Arial" w:cs="Arial"/>
          <w:sz w:val="22"/>
          <w:szCs w:val="22"/>
        </w:rPr>
        <w:t>hem</w:t>
      </w:r>
      <w:r w:rsidRPr="008014BA">
        <w:rPr>
          <w:rFonts w:ascii="Arial" w:hAnsi="Arial" w:cs="Arial"/>
          <w:sz w:val="22"/>
          <w:szCs w:val="22"/>
        </w:rPr>
        <w:t xml:space="preserve">. </w:t>
      </w:r>
      <w:r w:rsidR="00B545CB">
        <w:rPr>
          <w:rFonts w:ascii="Arial" w:hAnsi="Arial" w:cs="Arial"/>
          <w:sz w:val="22"/>
          <w:szCs w:val="22"/>
        </w:rPr>
        <w:t xml:space="preserve"> </w:t>
      </w:r>
      <w:r w:rsidRPr="008014BA">
        <w:rPr>
          <w:rFonts w:ascii="Arial" w:hAnsi="Arial" w:cs="Arial"/>
          <w:sz w:val="22"/>
          <w:szCs w:val="22"/>
        </w:rPr>
        <w:t xml:space="preserve">This method measures the resistivity of earth materials at varying depths within the subsurface. </w:t>
      </w:r>
    </w:p>
    <w:p w14:paraId="2C5C4C8F" w14:textId="77777777" w:rsidR="00352085" w:rsidRPr="008014BA" w:rsidRDefault="00352085" w:rsidP="00313C44">
      <w:pPr>
        <w:jc w:val="both"/>
        <w:rPr>
          <w:rFonts w:ascii="Arial" w:hAnsi="Arial" w:cs="Arial"/>
          <w:sz w:val="22"/>
          <w:szCs w:val="22"/>
        </w:rPr>
      </w:pPr>
    </w:p>
    <w:p w14:paraId="6BF1C8A9" w14:textId="7BAA0E74" w:rsidR="00352085" w:rsidRPr="008014BA" w:rsidRDefault="00352085" w:rsidP="00313C44">
      <w:pPr>
        <w:tabs>
          <w:tab w:val="center" w:pos="0"/>
        </w:tabs>
        <w:jc w:val="both"/>
        <w:rPr>
          <w:rFonts w:ascii="Arial" w:hAnsi="Arial" w:cs="Arial"/>
          <w:sz w:val="22"/>
          <w:szCs w:val="22"/>
        </w:rPr>
      </w:pPr>
      <w:r w:rsidRPr="008014BA">
        <w:rPr>
          <w:rFonts w:ascii="Arial" w:hAnsi="Arial" w:cs="Arial"/>
          <w:sz w:val="22"/>
          <w:szCs w:val="22"/>
        </w:rPr>
        <w:t>Typical resistivity arrays consist of metal electrodes driven into the ground at equal spacing along a line</w:t>
      </w:r>
      <w:r w:rsidR="00037B9A">
        <w:rPr>
          <w:rFonts w:ascii="Arial" w:hAnsi="Arial" w:cs="Arial"/>
          <w:sz w:val="22"/>
          <w:szCs w:val="22"/>
        </w:rPr>
        <w:t>ar traverse</w:t>
      </w:r>
      <w:r w:rsidRPr="008014BA">
        <w:rPr>
          <w:rFonts w:ascii="Arial" w:hAnsi="Arial" w:cs="Arial"/>
          <w:sz w:val="22"/>
          <w:szCs w:val="22"/>
        </w:rPr>
        <w:t xml:space="preserve">. Specialized </w:t>
      </w:r>
      <w:r w:rsidRPr="00BA1669">
        <w:rPr>
          <w:rFonts w:ascii="Arial" w:hAnsi="Arial" w:cs="Arial"/>
          <w:sz w:val="22"/>
          <w:szCs w:val="22"/>
        </w:rPr>
        <w:t>cables are attached to</w:t>
      </w:r>
      <w:r w:rsidRPr="008014BA">
        <w:rPr>
          <w:rFonts w:ascii="Arial" w:hAnsi="Arial" w:cs="Arial"/>
          <w:sz w:val="22"/>
          <w:szCs w:val="22"/>
        </w:rPr>
        <w:t xml:space="preserve"> the electrodes in series and connected to a resistivity meter and power source. Measurements are made by sequentially reassigning the current and voltage electrode positions and varying the distance between electrode pairs. The depth and horizontal distance of each data point along the array </w:t>
      </w:r>
      <w:r w:rsidR="005469E5">
        <w:rPr>
          <w:rFonts w:ascii="Arial" w:hAnsi="Arial" w:cs="Arial"/>
          <w:sz w:val="22"/>
          <w:szCs w:val="22"/>
        </w:rPr>
        <w:t>are</w:t>
      </w:r>
      <w:r w:rsidRPr="008014BA">
        <w:rPr>
          <w:rFonts w:ascii="Arial" w:hAnsi="Arial" w:cs="Arial"/>
          <w:sz w:val="22"/>
          <w:szCs w:val="22"/>
        </w:rPr>
        <w:t xml:space="preserve"> a function of electrode geometry and distance between the sending </w:t>
      </w:r>
      <w:r w:rsidRPr="008014BA">
        <w:rPr>
          <w:rFonts w:ascii="Arial" w:hAnsi="Arial" w:cs="Arial"/>
          <w:sz w:val="22"/>
          <w:szCs w:val="22"/>
        </w:rPr>
        <w:lastRenderedPageBreak/>
        <w:t>and receiving electrodes for each measurement. Data is stored in the resistivity meter and processed in the office</w:t>
      </w:r>
      <w:r w:rsidR="00FB12B8" w:rsidRPr="00FB12B8">
        <w:rPr>
          <w:rFonts w:ascii="Arial" w:hAnsi="Arial"/>
          <w:sz w:val="22"/>
        </w:rPr>
        <w:t xml:space="preserve"> </w:t>
      </w:r>
      <w:r w:rsidR="00FB12B8">
        <w:rPr>
          <w:rFonts w:ascii="Arial" w:hAnsi="Arial"/>
          <w:sz w:val="22"/>
        </w:rPr>
        <w:t>and interpreted by the geophysicist.</w:t>
      </w:r>
      <w:r w:rsidRPr="008014BA">
        <w:rPr>
          <w:rFonts w:ascii="Arial" w:hAnsi="Arial" w:cs="Arial"/>
          <w:sz w:val="22"/>
          <w:szCs w:val="22"/>
        </w:rPr>
        <w:t xml:space="preserve">  </w:t>
      </w:r>
    </w:p>
    <w:p w14:paraId="35ABFCDF" w14:textId="77777777" w:rsidR="00352085" w:rsidRPr="008014BA" w:rsidRDefault="00352085" w:rsidP="00313C44">
      <w:pPr>
        <w:jc w:val="both"/>
        <w:rPr>
          <w:rFonts w:ascii="Arial" w:hAnsi="Arial" w:cs="Arial"/>
          <w:sz w:val="22"/>
          <w:szCs w:val="22"/>
        </w:rPr>
      </w:pPr>
    </w:p>
    <w:p w14:paraId="13198DF7" w14:textId="45F9671C" w:rsidR="0029193D" w:rsidRDefault="00037B9A" w:rsidP="00313C44">
      <w:pPr>
        <w:jc w:val="both"/>
        <w:rPr>
          <w:rFonts w:ascii="Arial" w:hAnsi="Arial"/>
          <w:sz w:val="22"/>
        </w:rPr>
      </w:pPr>
      <w:r>
        <w:rPr>
          <w:rFonts w:ascii="Arial" w:hAnsi="Arial" w:cs="Arial"/>
          <w:sz w:val="22"/>
          <w:szCs w:val="22"/>
        </w:rPr>
        <w:t xml:space="preserve">ERI </w:t>
      </w:r>
      <w:r w:rsidR="0029193D">
        <w:rPr>
          <w:rFonts w:ascii="Arial" w:hAnsi="Arial" w:cs="Arial"/>
          <w:sz w:val="22"/>
          <w:szCs w:val="22"/>
        </w:rPr>
        <w:t>data is collected along a linear traverse and the results are presented as a subsurface profile of electrical resistivity.</w:t>
      </w:r>
      <w:r w:rsidR="00B545CB">
        <w:rPr>
          <w:rFonts w:ascii="Arial" w:hAnsi="Arial" w:cs="Arial"/>
          <w:sz w:val="22"/>
          <w:szCs w:val="22"/>
        </w:rPr>
        <w:t xml:space="preserve"> </w:t>
      </w:r>
      <w:r w:rsidR="0029193D">
        <w:rPr>
          <w:rFonts w:ascii="Arial" w:hAnsi="Arial" w:cs="Arial"/>
          <w:sz w:val="22"/>
          <w:szCs w:val="22"/>
        </w:rPr>
        <w:t xml:space="preserve"> </w:t>
      </w:r>
      <w:r w:rsidR="0029193D">
        <w:rPr>
          <w:rFonts w:ascii="Arial" w:hAnsi="Arial"/>
          <w:sz w:val="22"/>
        </w:rPr>
        <w:t xml:space="preserve">Ground surface topography </w:t>
      </w:r>
      <w:r w:rsidR="0029193D" w:rsidRPr="00576374">
        <w:rPr>
          <w:rFonts w:ascii="Arial" w:hAnsi="Arial"/>
          <w:sz w:val="22"/>
        </w:rPr>
        <w:t>is included in</w:t>
      </w:r>
      <w:r w:rsidR="0029193D">
        <w:rPr>
          <w:rFonts w:ascii="Arial" w:hAnsi="Arial"/>
          <w:sz w:val="22"/>
        </w:rPr>
        <w:t xml:space="preserve"> the profile.</w:t>
      </w:r>
    </w:p>
    <w:p w14:paraId="702E681E" w14:textId="77777777" w:rsidR="0029193D" w:rsidRDefault="0029193D" w:rsidP="00313C44">
      <w:pPr>
        <w:jc w:val="both"/>
        <w:rPr>
          <w:rFonts w:ascii="Arial" w:hAnsi="Arial"/>
          <w:sz w:val="22"/>
        </w:rPr>
      </w:pPr>
    </w:p>
    <w:p w14:paraId="2210CC0F" w14:textId="0BF57777" w:rsidR="00352085" w:rsidRPr="008014BA" w:rsidRDefault="00352085" w:rsidP="00313C44">
      <w:pPr>
        <w:jc w:val="both"/>
        <w:rPr>
          <w:rFonts w:ascii="Arial" w:hAnsi="Arial" w:cs="Arial"/>
          <w:sz w:val="22"/>
          <w:szCs w:val="22"/>
        </w:rPr>
      </w:pPr>
      <w:r w:rsidRPr="008014BA">
        <w:rPr>
          <w:rFonts w:ascii="Arial" w:hAnsi="Arial" w:cs="Arial"/>
          <w:sz w:val="22"/>
          <w:szCs w:val="22"/>
        </w:rPr>
        <w:t xml:space="preserve">The resolution and maximum depth penetration of a resistivity survey can be adjusted </w:t>
      </w:r>
      <w:r w:rsidR="00037B9A">
        <w:rPr>
          <w:rFonts w:ascii="Arial" w:hAnsi="Arial" w:cs="Arial"/>
          <w:sz w:val="22"/>
          <w:szCs w:val="22"/>
        </w:rPr>
        <w:t>b</w:t>
      </w:r>
      <w:r w:rsidRPr="008014BA">
        <w:rPr>
          <w:rFonts w:ascii="Arial" w:hAnsi="Arial" w:cs="Arial"/>
          <w:sz w:val="22"/>
          <w:szCs w:val="22"/>
        </w:rPr>
        <w:t xml:space="preserve">y increasing the electrode spacing </w:t>
      </w:r>
      <w:r w:rsidR="00037B9A">
        <w:rPr>
          <w:rFonts w:ascii="Arial" w:hAnsi="Arial" w:cs="Arial"/>
          <w:sz w:val="22"/>
          <w:szCs w:val="22"/>
        </w:rPr>
        <w:t xml:space="preserve">and </w:t>
      </w:r>
      <w:r w:rsidRPr="008014BA">
        <w:rPr>
          <w:rFonts w:ascii="Arial" w:hAnsi="Arial" w:cs="Arial"/>
          <w:sz w:val="22"/>
          <w:szCs w:val="22"/>
        </w:rPr>
        <w:t>array length. However, resolution of the data will decrease</w:t>
      </w:r>
      <w:r w:rsidR="00037B9A">
        <w:rPr>
          <w:rFonts w:ascii="Arial" w:hAnsi="Arial" w:cs="Arial"/>
          <w:sz w:val="22"/>
          <w:szCs w:val="22"/>
        </w:rPr>
        <w:t xml:space="preserve"> with increased electrode spacing</w:t>
      </w:r>
      <w:r w:rsidRPr="008014BA">
        <w:rPr>
          <w:rFonts w:ascii="Arial" w:hAnsi="Arial" w:cs="Arial"/>
          <w:sz w:val="22"/>
          <w:szCs w:val="22"/>
        </w:rPr>
        <w:t xml:space="preserve">. Reducing the electrode spacing results in increased resolution but may require a longer array in order to collect data at the required depth. </w:t>
      </w:r>
    </w:p>
    <w:p w14:paraId="79711524" w14:textId="77777777" w:rsidR="00352085" w:rsidRPr="008014BA" w:rsidRDefault="00352085" w:rsidP="00313C44">
      <w:pPr>
        <w:jc w:val="both"/>
        <w:rPr>
          <w:rFonts w:ascii="Arial" w:hAnsi="Arial" w:cs="Arial"/>
          <w:sz w:val="22"/>
          <w:szCs w:val="22"/>
        </w:rPr>
      </w:pPr>
    </w:p>
    <w:p w14:paraId="760CF125" w14:textId="62F4BEFC" w:rsidR="00E97030" w:rsidRDefault="00352085" w:rsidP="00313C44">
      <w:pPr>
        <w:jc w:val="both"/>
        <w:rPr>
          <w:rFonts w:cs="Arial"/>
          <w:sz w:val="22"/>
          <w:szCs w:val="22"/>
        </w:rPr>
      </w:pPr>
      <w:r w:rsidRPr="008014BA">
        <w:rPr>
          <w:rFonts w:ascii="Arial" w:hAnsi="Arial" w:cs="Arial"/>
          <w:sz w:val="22"/>
          <w:szCs w:val="22"/>
        </w:rPr>
        <w:t>Electrical resistivity measurements can be influenced by the presence of buried conductors in the subsurface such as pipes, cables, or fencing. This can result in inaccurate data and obscure the resistivity values of surrounding earth material. This can sometimes be overcome by reorienting the array to reduce the influence of the buried conductor.</w:t>
      </w:r>
      <w:r>
        <w:t xml:space="preserve"> </w:t>
      </w:r>
    </w:p>
    <w:p w14:paraId="698C1917" w14:textId="77777777" w:rsidR="00E97030" w:rsidRPr="00D413DF" w:rsidRDefault="00E97030" w:rsidP="00313C44">
      <w:pPr>
        <w:tabs>
          <w:tab w:val="center" w:pos="0"/>
        </w:tabs>
        <w:jc w:val="both"/>
        <w:rPr>
          <w:rFonts w:ascii="Arial" w:hAnsi="Arial" w:cs="Arial"/>
          <w:sz w:val="22"/>
          <w:szCs w:val="22"/>
        </w:rPr>
      </w:pPr>
    </w:p>
    <w:p w14:paraId="3EAB82EA" w14:textId="0F01AE75" w:rsidR="00E97030" w:rsidRDefault="00E97030" w:rsidP="00313C44">
      <w:pPr>
        <w:pStyle w:val="Heading4"/>
        <w:jc w:val="both"/>
      </w:pPr>
      <w:r>
        <w:t>Frequency Domain Electromagnetics</w:t>
      </w:r>
      <w:r w:rsidR="001D7FFC">
        <w:t xml:space="preserve"> (EM)</w:t>
      </w:r>
    </w:p>
    <w:p w14:paraId="4B5F7BEF" w14:textId="2635C7E1" w:rsidR="00BE70BD" w:rsidRPr="00BD02CA" w:rsidRDefault="00BE70BD" w:rsidP="00313C44">
      <w:pPr>
        <w:tabs>
          <w:tab w:val="center" w:pos="0"/>
        </w:tabs>
        <w:jc w:val="both"/>
        <w:rPr>
          <w:rFonts w:ascii="Arial" w:hAnsi="Arial"/>
          <w:sz w:val="22"/>
        </w:rPr>
      </w:pPr>
      <w:r w:rsidRPr="00BD02CA">
        <w:rPr>
          <w:rFonts w:ascii="Arial" w:hAnsi="Arial"/>
          <w:sz w:val="22"/>
        </w:rPr>
        <w:t>Frequency</w:t>
      </w:r>
      <w:r>
        <w:rPr>
          <w:rFonts w:ascii="Arial" w:hAnsi="Arial"/>
          <w:sz w:val="22"/>
        </w:rPr>
        <w:t xml:space="preserve"> </w:t>
      </w:r>
      <w:r w:rsidRPr="00BD02CA">
        <w:rPr>
          <w:rFonts w:ascii="Arial" w:hAnsi="Arial"/>
          <w:sz w:val="22"/>
        </w:rPr>
        <w:t>domain electromagnetics measurements are made by inducing electromagnetic currents in the subsurface and measuring electrical conductivity based on the magnitude and phase of the resulting secondary field. With respect to earth materials, conductivity is determined by rock and soil matrix, mineralogy, fluid saturation, and conductivity of pore fluids. EM is effective for detecting lateral geologic and hydrogeologic</w:t>
      </w:r>
      <w:r w:rsidR="00B1194E">
        <w:rPr>
          <w:rFonts w:ascii="Arial" w:hAnsi="Arial"/>
          <w:sz w:val="22"/>
        </w:rPr>
        <w:t>al</w:t>
      </w:r>
      <w:r w:rsidRPr="00BD02CA">
        <w:rPr>
          <w:rFonts w:ascii="Arial" w:hAnsi="Arial"/>
          <w:sz w:val="22"/>
        </w:rPr>
        <w:t xml:space="preserve"> variations</w:t>
      </w:r>
      <w:r w:rsidR="00037B9A">
        <w:rPr>
          <w:rFonts w:ascii="Arial" w:hAnsi="Arial"/>
          <w:sz w:val="22"/>
        </w:rPr>
        <w:t xml:space="preserve"> including depth to rock</w:t>
      </w:r>
      <w:r w:rsidRPr="00BD02CA">
        <w:rPr>
          <w:rFonts w:ascii="Arial" w:hAnsi="Arial"/>
          <w:sz w:val="22"/>
        </w:rPr>
        <w:t xml:space="preserve">, locating buried metallic objects, and mapping contamination plumes. </w:t>
      </w:r>
      <w:r w:rsidR="00037B9A">
        <w:rPr>
          <w:rFonts w:ascii="Arial" w:hAnsi="Arial"/>
          <w:sz w:val="22"/>
        </w:rPr>
        <w:t xml:space="preserve"> EM is typically effective at measuring the bulk conductivity of the upper 12-15 ft</w:t>
      </w:r>
      <w:r w:rsidR="00CB2615">
        <w:rPr>
          <w:rFonts w:ascii="Arial" w:hAnsi="Arial"/>
          <w:sz w:val="22"/>
        </w:rPr>
        <w:t>.</w:t>
      </w:r>
      <w:r w:rsidR="00037B9A">
        <w:rPr>
          <w:rFonts w:ascii="Arial" w:hAnsi="Arial"/>
          <w:sz w:val="22"/>
        </w:rPr>
        <w:t xml:space="preserve"> </w:t>
      </w:r>
      <w:r w:rsidR="001D7FFC">
        <w:rPr>
          <w:rFonts w:ascii="Arial" w:hAnsi="Arial"/>
          <w:sz w:val="22"/>
        </w:rPr>
        <w:t xml:space="preserve">depth </w:t>
      </w:r>
      <w:r w:rsidR="00037B9A">
        <w:rPr>
          <w:rFonts w:ascii="Arial" w:hAnsi="Arial"/>
          <w:sz w:val="22"/>
        </w:rPr>
        <w:t>of the subsurface.</w:t>
      </w:r>
    </w:p>
    <w:p w14:paraId="292255EB" w14:textId="77777777" w:rsidR="00BE70BD" w:rsidRPr="00BD02CA" w:rsidRDefault="00BE70BD" w:rsidP="00313C44">
      <w:pPr>
        <w:tabs>
          <w:tab w:val="center" w:pos="0"/>
        </w:tabs>
        <w:jc w:val="both"/>
        <w:rPr>
          <w:rFonts w:ascii="Arial" w:hAnsi="Arial"/>
          <w:sz w:val="22"/>
        </w:rPr>
      </w:pPr>
    </w:p>
    <w:p w14:paraId="2546E6E6" w14:textId="7841B95C" w:rsidR="00BE70BD" w:rsidRPr="00BD02CA" w:rsidRDefault="00BE70BD" w:rsidP="00313C44">
      <w:pPr>
        <w:tabs>
          <w:tab w:val="center" w:pos="0"/>
        </w:tabs>
        <w:jc w:val="both"/>
        <w:rPr>
          <w:rFonts w:ascii="Arial" w:hAnsi="Arial"/>
          <w:sz w:val="22"/>
        </w:rPr>
      </w:pPr>
      <w:r w:rsidRPr="00BD02CA">
        <w:rPr>
          <w:rFonts w:ascii="Arial" w:hAnsi="Arial"/>
          <w:sz w:val="22"/>
        </w:rPr>
        <w:t>EM devices send a primary electromagnetic wave into the subsurface via a transmitter coil. The primary field induces currents in conductive material, generating a secondary magnetic field that is detected and measured by the instruments receiving coil. Data is collected continually along transects</w:t>
      </w:r>
      <w:r w:rsidR="00037B9A">
        <w:rPr>
          <w:rFonts w:ascii="Arial" w:hAnsi="Arial"/>
          <w:sz w:val="22"/>
        </w:rPr>
        <w:t xml:space="preserve"> as the user carries the equipment at a walking speed or tows the equipment behind a vehicle.</w:t>
      </w:r>
      <w:r w:rsidRPr="00BD02CA">
        <w:rPr>
          <w:rFonts w:ascii="Arial" w:hAnsi="Arial"/>
          <w:sz w:val="22"/>
        </w:rPr>
        <w:t xml:space="preserve">  </w:t>
      </w:r>
      <w:r w:rsidR="00037B9A">
        <w:rPr>
          <w:rFonts w:ascii="Arial" w:hAnsi="Arial"/>
          <w:sz w:val="22"/>
        </w:rPr>
        <w:t>S</w:t>
      </w:r>
      <w:r w:rsidRPr="00BD02CA">
        <w:rPr>
          <w:rFonts w:ascii="Arial" w:hAnsi="Arial"/>
          <w:sz w:val="22"/>
        </w:rPr>
        <w:t>urveys are typically designed as a grid</w:t>
      </w:r>
      <w:r w:rsidR="00037B9A">
        <w:rPr>
          <w:rFonts w:ascii="Arial" w:hAnsi="Arial"/>
          <w:sz w:val="22"/>
        </w:rPr>
        <w:t xml:space="preserve"> and data is presented in plan view as contours of conductivity of the subsurface.</w:t>
      </w:r>
      <w:r w:rsidRPr="00BD02CA">
        <w:rPr>
          <w:rFonts w:ascii="Arial" w:hAnsi="Arial"/>
          <w:sz w:val="22"/>
        </w:rPr>
        <w:t xml:space="preserve"> Data is stored in the control unit and processed in the office</w:t>
      </w:r>
      <w:r w:rsidR="001D7FFC" w:rsidRPr="001D7FFC">
        <w:rPr>
          <w:rFonts w:ascii="Arial" w:hAnsi="Arial"/>
          <w:sz w:val="22"/>
        </w:rPr>
        <w:t xml:space="preserve"> </w:t>
      </w:r>
      <w:r w:rsidR="001D7FFC">
        <w:rPr>
          <w:rFonts w:ascii="Arial" w:hAnsi="Arial"/>
          <w:sz w:val="22"/>
        </w:rPr>
        <w:t>and interpreted by the geophysicist.</w:t>
      </w:r>
    </w:p>
    <w:p w14:paraId="2C14C6D2" w14:textId="77777777" w:rsidR="00BE70BD" w:rsidRPr="00BD02CA" w:rsidRDefault="00BE70BD" w:rsidP="00313C44">
      <w:pPr>
        <w:tabs>
          <w:tab w:val="center" w:pos="0"/>
        </w:tabs>
        <w:jc w:val="both"/>
        <w:rPr>
          <w:rFonts w:ascii="Arial" w:hAnsi="Arial"/>
          <w:sz w:val="22"/>
        </w:rPr>
      </w:pPr>
    </w:p>
    <w:p w14:paraId="58CE3B52" w14:textId="614CF1C9" w:rsidR="00BE70BD" w:rsidRDefault="00BE70BD" w:rsidP="00313C44">
      <w:pPr>
        <w:tabs>
          <w:tab w:val="center" w:pos="0"/>
        </w:tabs>
        <w:jc w:val="both"/>
        <w:rPr>
          <w:rFonts w:cs="Arial"/>
          <w:sz w:val="22"/>
          <w:szCs w:val="22"/>
        </w:rPr>
      </w:pPr>
      <w:r w:rsidRPr="00BD02CA">
        <w:rPr>
          <w:rFonts w:ascii="Arial" w:hAnsi="Arial"/>
          <w:sz w:val="22"/>
        </w:rPr>
        <w:t xml:space="preserve">EM data can be collected at a faster rate than seismic and resistivity methods </w:t>
      </w:r>
      <w:r w:rsidR="00037B9A">
        <w:rPr>
          <w:rFonts w:ascii="Arial" w:hAnsi="Arial"/>
          <w:sz w:val="22"/>
        </w:rPr>
        <w:t>and it is often used as the first phase as a screening survey on a large site</w:t>
      </w:r>
      <w:r w:rsidRPr="00BD02CA">
        <w:rPr>
          <w:rFonts w:ascii="Arial" w:hAnsi="Arial"/>
          <w:sz w:val="22"/>
        </w:rPr>
        <w:t>. EM is very sensitive to buried metallic objects which can generate noise and obscure subsurface data during some surveys</w:t>
      </w:r>
      <w:r w:rsidR="00037B9A">
        <w:rPr>
          <w:rFonts w:ascii="Arial" w:hAnsi="Arial"/>
          <w:sz w:val="22"/>
        </w:rPr>
        <w:t xml:space="preserve">, or </w:t>
      </w:r>
      <w:r w:rsidR="001D7FFC">
        <w:rPr>
          <w:rFonts w:ascii="Arial" w:hAnsi="Arial"/>
          <w:sz w:val="22"/>
        </w:rPr>
        <w:t xml:space="preserve">locating </w:t>
      </w:r>
      <w:r w:rsidR="00037B9A">
        <w:rPr>
          <w:rFonts w:ascii="Arial" w:hAnsi="Arial"/>
          <w:sz w:val="22"/>
        </w:rPr>
        <w:t xml:space="preserve">these metallic objects can be the </w:t>
      </w:r>
      <w:r w:rsidR="001D7FFC">
        <w:rPr>
          <w:rFonts w:ascii="Arial" w:hAnsi="Arial"/>
          <w:sz w:val="22"/>
        </w:rPr>
        <w:t>purpose</w:t>
      </w:r>
      <w:r w:rsidR="00037B9A">
        <w:rPr>
          <w:rFonts w:ascii="Arial" w:hAnsi="Arial"/>
          <w:sz w:val="22"/>
        </w:rPr>
        <w:t xml:space="preserve"> of the survey</w:t>
      </w:r>
      <w:r w:rsidRPr="00BD02CA">
        <w:rPr>
          <w:rFonts w:ascii="Arial" w:hAnsi="Arial"/>
          <w:sz w:val="22"/>
        </w:rPr>
        <w:t>.</w:t>
      </w:r>
      <w:r w:rsidR="00037B9A">
        <w:rPr>
          <w:rFonts w:ascii="Arial" w:hAnsi="Arial"/>
          <w:sz w:val="22"/>
        </w:rPr>
        <w:t xml:space="preserve"> </w:t>
      </w:r>
      <w:r w:rsidR="00C3058F">
        <w:rPr>
          <w:rFonts w:ascii="Arial" w:hAnsi="Arial"/>
          <w:sz w:val="22"/>
        </w:rPr>
        <w:t xml:space="preserve"> EM results are typically presented in plan-view overlain on a site plan.</w:t>
      </w:r>
    </w:p>
    <w:p w14:paraId="54545A91" w14:textId="77777777" w:rsidR="00E97030" w:rsidRPr="00D413DF" w:rsidRDefault="00E97030" w:rsidP="00313C44">
      <w:pPr>
        <w:tabs>
          <w:tab w:val="center" w:pos="0"/>
        </w:tabs>
        <w:jc w:val="both"/>
        <w:rPr>
          <w:rFonts w:ascii="Arial" w:hAnsi="Arial" w:cs="Arial"/>
          <w:sz w:val="22"/>
          <w:szCs w:val="22"/>
        </w:rPr>
      </w:pPr>
    </w:p>
    <w:p w14:paraId="43234431" w14:textId="5F0D8819" w:rsidR="00E97030" w:rsidRDefault="00E97030" w:rsidP="00313C44">
      <w:pPr>
        <w:pStyle w:val="Heading4"/>
        <w:jc w:val="both"/>
      </w:pPr>
      <w:r>
        <w:t>Ground Penetrating Radar</w:t>
      </w:r>
      <w:r w:rsidR="001D7FFC">
        <w:t xml:space="preserve"> (GPR)</w:t>
      </w:r>
    </w:p>
    <w:p w14:paraId="1CBC4BB3" w14:textId="7E450A1A" w:rsidR="00BE70BD" w:rsidRPr="008014BA" w:rsidRDefault="00BE70BD" w:rsidP="00313C44">
      <w:pPr>
        <w:jc w:val="both"/>
        <w:rPr>
          <w:rFonts w:ascii="Arial" w:hAnsi="Arial" w:cs="Arial"/>
          <w:sz w:val="22"/>
          <w:szCs w:val="22"/>
        </w:rPr>
      </w:pPr>
      <w:r w:rsidRPr="008014BA">
        <w:rPr>
          <w:rFonts w:ascii="Arial" w:hAnsi="Arial" w:cs="Arial"/>
          <w:sz w:val="22"/>
          <w:szCs w:val="22"/>
        </w:rPr>
        <w:t xml:space="preserve">Ground Penetrating Radar (GPR) is a versatile method used for shallow investigations during </w:t>
      </w:r>
      <w:r w:rsidR="00AE2B63">
        <w:rPr>
          <w:rFonts w:ascii="Arial" w:hAnsi="Arial" w:cs="Arial"/>
          <w:sz w:val="22"/>
          <w:szCs w:val="22"/>
        </w:rPr>
        <w:t>roadway</w:t>
      </w:r>
      <w:r w:rsidRPr="008014BA">
        <w:rPr>
          <w:rFonts w:ascii="Arial" w:hAnsi="Arial" w:cs="Arial"/>
          <w:sz w:val="22"/>
          <w:szCs w:val="22"/>
        </w:rPr>
        <w:t xml:space="preserve"> projects. </w:t>
      </w:r>
      <w:r w:rsidR="00B545CB">
        <w:rPr>
          <w:rFonts w:ascii="Arial" w:hAnsi="Arial" w:cs="Arial"/>
          <w:sz w:val="22"/>
          <w:szCs w:val="22"/>
        </w:rPr>
        <w:t xml:space="preserve"> </w:t>
      </w:r>
      <w:r w:rsidRPr="008014BA">
        <w:rPr>
          <w:rFonts w:ascii="Arial" w:hAnsi="Arial" w:cs="Arial"/>
          <w:sz w:val="22"/>
          <w:szCs w:val="22"/>
        </w:rPr>
        <w:t xml:space="preserve">Applications </w:t>
      </w:r>
      <w:r w:rsidR="00037B9A">
        <w:rPr>
          <w:rFonts w:ascii="Arial" w:hAnsi="Arial" w:cs="Arial"/>
          <w:sz w:val="22"/>
          <w:szCs w:val="22"/>
        </w:rPr>
        <w:t xml:space="preserve">can </w:t>
      </w:r>
      <w:r w:rsidRPr="008014BA">
        <w:rPr>
          <w:rFonts w:ascii="Arial" w:hAnsi="Arial" w:cs="Arial"/>
          <w:sz w:val="22"/>
          <w:szCs w:val="22"/>
        </w:rPr>
        <w:t xml:space="preserve">include asphalt and </w:t>
      </w:r>
      <w:r w:rsidR="00DB4495">
        <w:rPr>
          <w:rFonts w:ascii="Arial" w:hAnsi="Arial" w:cs="Arial"/>
          <w:sz w:val="22"/>
          <w:szCs w:val="22"/>
        </w:rPr>
        <w:t>sub-base</w:t>
      </w:r>
      <w:r w:rsidRPr="008014BA">
        <w:rPr>
          <w:rFonts w:ascii="Arial" w:hAnsi="Arial" w:cs="Arial"/>
          <w:sz w:val="22"/>
          <w:szCs w:val="22"/>
        </w:rPr>
        <w:t xml:space="preserve"> thickness studies, sediment characterization, void detection, bedrock mapping, and utility locating.</w:t>
      </w:r>
    </w:p>
    <w:p w14:paraId="7EB0DC21" w14:textId="77777777" w:rsidR="00BE70BD" w:rsidRPr="008014BA" w:rsidRDefault="00BE70BD" w:rsidP="00313C44">
      <w:pPr>
        <w:jc w:val="both"/>
        <w:rPr>
          <w:rFonts w:ascii="Arial" w:hAnsi="Arial" w:cs="Arial"/>
          <w:sz w:val="22"/>
          <w:szCs w:val="22"/>
        </w:rPr>
      </w:pPr>
    </w:p>
    <w:p w14:paraId="61F9D07A" w14:textId="77C5C48B" w:rsidR="00BE70BD" w:rsidRPr="008014BA" w:rsidRDefault="00BE70BD" w:rsidP="00313C44">
      <w:pPr>
        <w:jc w:val="both"/>
        <w:rPr>
          <w:rFonts w:ascii="Arial" w:hAnsi="Arial" w:cs="Arial"/>
          <w:sz w:val="22"/>
          <w:szCs w:val="22"/>
        </w:rPr>
      </w:pPr>
      <w:r w:rsidRPr="008014BA">
        <w:rPr>
          <w:rFonts w:ascii="Arial" w:hAnsi="Arial" w:cs="Arial"/>
          <w:sz w:val="22"/>
          <w:szCs w:val="22"/>
        </w:rPr>
        <w:t>GPR measurements are made by sending electromagnetic waves into the subsurface and receiving the returning signal as it reflects off of objects or interfaces.</w:t>
      </w:r>
      <w:r w:rsidR="00B545CB">
        <w:rPr>
          <w:rFonts w:ascii="Arial" w:hAnsi="Arial" w:cs="Arial"/>
          <w:sz w:val="22"/>
          <w:szCs w:val="22"/>
        </w:rPr>
        <w:t xml:space="preserve"> </w:t>
      </w:r>
      <w:r w:rsidRPr="008014BA">
        <w:rPr>
          <w:rFonts w:ascii="Arial" w:hAnsi="Arial" w:cs="Arial"/>
          <w:sz w:val="22"/>
          <w:szCs w:val="22"/>
        </w:rPr>
        <w:t xml:space="preserve"> Travel time is a function of the ease with which electromagnetic waves propagate through different materials and can be used to estimate the depth of subsurface features.</w:t>
      </w:r>
    </w:p>
    <w:p w14:paraId="23477C5B" w14:textId="027978AD" w:rsidR="00BE70BD" w:rsidRPr="008014BA" w:rsidRDefault="00BE70BD" w:rsidP="00DB3C11">
      <w:pPr>
        <w:tabs>
          <w:tab w:val="center" w:pos="0"/>
        </w:tabs>
        <w:jc w:val="both"/>
        <w:rPr>
          <w:rFonts w:ascii="Arial" w:hAnsi="Arial" w:cs="Arial"/>
          <w:sz w:val="22"/>
          <w:szCs w:val="22"/>
        </w:rPr>
      </w:pPr>
      <w:r w:rsidRPr="008014BA">
        <w:rPr>
          <w:rFonts w:ascii="Arial" w:hAnsi="Arial" w:cs="Arial"/>
          <w:sz w:val="22"/>
          <w:szCs w:val="22"/>
        </w:rPr>
        <w:lastRenderedPageBreak/>
        <w:t>A</w:t>
      </w:r>
      <w:r w:rsidR="00037B9A">
        <w:rPr>
          <w:rFonts w:ascii="Arial" w:hAnsi="Arial" w:cs="Arial"/>
          <w:sz w:val="22"/>
          <w:szCs w:val="22"/>
        </w:rPr>
        <w:t>s the GPR unit is moved along the ground surface, a</w:t>
      </w:r>
      <w:r w:rsidRPr="008014BA">
        <w:rPr>
          <w:rFonts w:ascii="Arial" w:hAnsi="Arial" w:cs="Arial"/>
          <w:sz w:val="22"/>
          <w:szCs w:val="22"/>
        </w:rPr>
        <w:t xml:space="preserve">n electromagnetic pulse generated by a control unit is transmitted by the GPR antenna. The receiving component of the antenna detects the reflected electromagnetic signal and transmits it back to the control unit. </w:t>
      </w:r>
      <w:r w:rsidR="00B545CB">
        <w:rPr>
          <w:rFonts w:ascii="Arial" w:hAnsi="Arial" w:cs="Arial"/>
          <w:sz w:val="22"/>
          <w:szCs w:val="22"/>
        </w:rPr>
        <w:t xml:space="preserve"> </w:t>
      </w:r>
      <w:r w:rsidRPr="008014BA">
        <w:rPr>
          <w:rFonts w:ascii="Arial" w:hAnsi="Arial" w:cs="Arial"/>
          <w:sz w:val="22"/>
          <w:szCs w:val="22"/>
        </w:rPr>
        <w:t xml:space="preserve">Data is collected continually along each survey transect and recorded as a time vs. distance profile depicting signal polarity and reflection strength. </w:t>
      </w:r>
      <w:r w:rsidR="00037B9A">
        <w:rPr>
          <w:rFonts w:ascii="Arial" w:hAnsi="Arial" w:cs="Arial"/>
          <w:sz w:val="22"/>
          <w:szCs w:val="22"/>
        </w:rPr>
        <w:t xml:space="preserve">GPR data can be viewed in real time as the data is being collected, although complex site conditions or applications require data processing.  </w:t>
      </w:r>
      <w:r w:rsidRPr="008014BA">
        <w:rPr>
          <w:rFonts w:ascii="Arial" w:hAnsi="Arial" w:cs="Arial"/>
          <w:sz w:val="22"/>
          <w:szCs w:val="22"/>
        </w:rPr>
        <w:t>Data is stored in the control unit and processed in the office</w:t>
      </w:r>
      <w:r w:rsidR="001D7FFC" w:rsidRPr="001D7FFC">
        <w:rPr>
          <w:rFonts w:ascii="Arial" w:hAnsi="Arial"/>
          <w:sz w:val="22"/>
        </w:rPr>
        <w:t xml:space="preserve"> </w:t>
      </w:r>
      <w:r w:rsidR="001D7FFC">
        <w:rPr>
          <w:rFonts w:ascii="Arial" w:hAnsi="Arial"/>
          <w:sz w:val="22"/>
        </w:rPr>
        <w:t>and interpreted by the geophysicist.</w:t>
      </w:r>
      <w:r w:rsidR="00C3058F">
        <w:rPr>
          <w:rFonts w:ascii="Arial" w:hAnsi="Arial" w:cs="Arial"/>
          <w:sz w:val="22"/>
          <w:szCs w:val="22"/>
        </w:rPr>
        <w:t xml:space="preserve"> </w:t>
      </w:r>
      <w:r w:rsidR="00B545CB">
        <w:rPr>
          <w:rFonts w:ascii="Arial" w:hAnsi="Arial" w:cs="Arial"/>
          <w:sz w:val="22"/>
          <w:szCs w:val="22"/>
        </w:rPr>
        <w:t xml:space="preserve"> </w:t>
      </w:r>
      <w:r w:rsidR="00C3058F">
        <w:rPr>
          <w:rFonts w:ascii="Arial" w:hAnsi="Arial" w:cs="Arial"/>
          <w:sz w:val="22"/>
          <w:szCs w:val="22"/>
        </w:rPr>
        <w:t>GPR results can be presented in several ways, most common are either in plan-view showing where on</w:t>
      </w:r>
      <w:r w:rsidR="005469E5">
        <w:rPr>
          <w:rFonts w:ascii="Arial" w:hAnsi="Arial" w:cs="Arial"/>
          <w:sz w:val="22"/>
          <w:szCs w:val="22"/>
        </w:rPr>
        <w:t>-</w:t>
      </w:r>
      <w:r w:rsidR="00C3058F">
        <w:rPr>
          <w:rFonts w:ascii="Arial" w:hAnsi="Arial" w:cs="Arial"/>
          <w:sz w:val="22"/>
          <w:szCs w:val="22"/>
        </w:rPr>
        <w:t>site anomalies were identified, or in profile-view of individual traverses.</w:t>
      </w:r>
      <w:r w:rsidRPr="008014BA">
        <w:rPr>
          <w:rFonts w:ascii="Arial" w:hAnsi="Arial" w:cs="Arial"/>
          <w:sz w:val="22"/>
          <w:szCs w:val="22"/>
        </w:rPr>
        <w:t xml:space="preserve">  </w:t>
      </w:r>
    </w:p>
    <w:p w14:paraId="087A8574" w14:textId="77777777" w:rsidR="00BE70BD" w:rsidRPr="008014BA" w:rsidRDefault="00BE70BD" w:rsidP="00BE70BD">
      <w:pPr>
        <w:rPr>
          <w:rFonts w:ascii="Arial" w:hAnsi="Arial" w:cs="Arial"/>
          <w:sz w:val="22"/>
          <w:szCs w:val="22"/>
        </w:rPr>
      </w:pPr>
    </w:p>
    <w:p w14:paraId="1ADFB164" w14:textId="5493D473" w:rsidR="006244D6" w:rsidRPr="008014BA" w:rsidRDefault="00BE70BD" w:rsidP="008014BA">
      <w:pPr>
        <w:tabs>
          <w:tab w:val="center" w:pos="0"/>
        </w:tabs>
        <w:jc w:val="both"/>
        <w:rPr>
          <w:rFonts w:ascii="Arial" w:hAnsi="Arial"/>
          <w:sz w:val="22"/>
        </w:rPr>
      </w:pPr>
      <w:r w:rsidRPr="008014BA">
        <w:rPr>
          <w:rFonts w:ascii="Arial" w:hAnsi="Arial" w:cs="Arial"/>
          <w:sz w:val="22"/>
          <w:szCs w:val="22"/>
        </w:rPr>
        <w:t xml:space="preserve">The rate of GPR data collection is generally greater than resistivity and seismic methods. Survey transects can easily be designed in a grid configuration in order to acquire comprehensive data across a site.  GPR antennas are interchangeable and higher or lower frequency units can be selected for a survey based on the desired depth of investigation. However, the maximum depth of GPR is </w:t>
      </w:r>
      <w:r w:rsidR="00037B9A">
        <w:rPr>
          <w:rFonts w:ascii="Arial" w:hAnsi="Arial" w:cs="Arial"/>
          <w:sz w:val="22"/>
          <w:szCs w:val="22"/>
        </w:rPr>
        <w:t>limited by the fines content of the soil, particularly clays, and is typically around 3 to 10 feet</w:t>
      </w:r>
      <w:r w:rsidR="005469E5">
        <w:rPr>
          <w:rFonts w:ascii="Arial" w:hAnsi="Arial" w:cs="Arial"/>
          <w:sz w:val="22"/>
          <w:szCs w:val="22"/>
        </w:rPr>
        <w:t>,</w:t>
      </w:r>
      <w:r w:rsidR="00037B9A">
        <w:rPr>
          <w:rFonts w:ascii="Arial" w:hAnsi="Arial" w:cs="Arial"/>
          <w:sz w:val="22"/>
          <w:szCs w:val="22"/>
        </w:rPr>
        <w:t xml:space="preserve"> which is </w:t>
      </w:r>
      <w:r w:rsidRPr="008014BA">
        <w:rPr>
          <w:rFonts w:ascii="Arial" w:hAnsi="Arial" w:cs="Arial"/>
          <w:sz w:val="22"/>
          <w:szCs w:val="22"/>
        </w:rPr>
        <w:t xml:space="preserve">significantly shallower than that of seismic and EM methods.  </w:t>
      </w:r>
    </w:p>
    <w:p w14:paraId="771E8C27" w14:textId="09351F01" w:rsidR="00C44083" w:rsidRDefault="00C44083" w:rsidP="00483837">
      <w:pPr>
        <w:pStyle w:val="Heading3"/>
        <w:ind w:left="1440" w:hanging="1440"/>
      </w:pPr>
      <w:bookmarkStart w:id="128" w:name="_Geophysical_Scoping"/>
      <w:bookmarkEnd w:id="128"/>
      <w:r>
        <w:t>Geophysical Scoping</w:t>
      </w:r>
    </w:p>
    <w:p w14:paraId="70484A34" w14:textId="0FC78946" w:rsidR="00C44083" w:rsidRDefault="00C44083" w:rsidP="005469E5">
      <w:pPr>
        <w:tabs>
          <w:tab w:val="center" w:pos="0"/>
        </w:tabs>
        <w:spacing w:before="120"/>
        <w:jc w:val="both"/>
        <w:rPr>
          <w:rFonts w:ascii="Arial" w:hAnsi="Arial"/>
          <w:sz w:val="22"/>
        </w:rPr>
      </w:pPr>
      <w:r>
        <w:rPr>
          <w:rFonts w:ascii="Arial" w:hAnsi="Arial"/>
          <w:sz w:val="22"/>
        </w:rPr>
        <w:t>The success of a geophysical investigation depends on</w:t>
      </w:r>
      <w:r w:rsidR="00A26022">
        <w:rPr>
          <w:rFonts w:ascii="Arial" w:hAnsi="Arial"/>
          <w:sz w:val="22"/>
        </w:rPr>
        <w:t xml:space="preserve"> the</w:t>
      </w:r>
      <w:r>
        <w:rPr>
          <w:rFonts w:ascii="Arial" w:hAnsi="Arial"/>
          <w:sz w:val="22"/>
        </w:rPr>
        <w:t>:</w:t>
      </w:r>
    </w:p>
    <w:p w14:paraId="2053A7ED" w14:textId="0917413E" w:rsidR="00C44083" w:rsidRPr="005469E5" w:rsidRDefault="00C44083" w:rsidP="00172E64">
      <w:pPr>
        <w:pStyle w:val="ListParagraph"/>
        <w:numPr>
          <w:ilvl w:val="0"/>
          <w:numId w:val="38"/>
        </w:numPr>
        <w:spacing w:before="120"/>
        <w:ind w:hanging="720"/>
        <w:jc w:val="both"/>
        <w:rPr>
          <w:rFonts w:ascii="Arial" w:hAnsi="Arial"/>
          <w:sz w:val="22"/>
        </w:rPr>
      </w:pPr>
      <w:r w:rsidRPr="005469E5">
        <w:rPr>
          <w:rFonts w:ascii="Arial" w:hAnsi="Arial"/>
          <w:sz w:val="22"/>
        </w:rPr>
        <w:t>Clarity and understanding of the objectives of the geophysical investigation</w:t>
      </w:r>
    </w:p>
    <w:p w14:paraId="445DEC77" w14:textId="5C2EAA6F" w:rsidR="00C44083" w:rsidRPr="005469E5" w:rsidRDefault="00A26022" w:rsidP="00172E64">
      <w:pPr>
        <w:pStyle w:val="ListParagraph"/>
        <w:numPr>
          <w:ilvl w:val="0"/>
          <w:numId w:val="38"/>
        </w:numPr>
        <w:ind w:hanging="720"/>
        <w:jc w:val="both"/>
        <w:rPr>
          <w:rFonts w:ascii="Arial" w:hAnsi="Arial"/>
          <w:sz w:val="22"/>
        </w:rPr>
      </w:pPr>
      <w:r w:rsidRPr="005469E5">
        <w:rPr>
          <w:rFonts w:ascii="Arial" w:hAnsi="Arial"/>
          <w:sz w:val="22"/>
        </w:rPr>
        <w:t>C</w:t>
      </w:r>
      <w:r w:rsidR="00C44083" w:rsidRPr="005469E5">
        <w:rPr>
          <w:rFonts w:ascii="Arial" w:hAnsi="Arial"/>
          <w:sz w:val="22"/>
        </w:rPr>
        <w:t>ompetence and experience of the geophysicist responsible for planning, carrying out the survey, and interpreting the data</w:t>
      </w:r>
    </w:p>
    <w:p w14:paraId="62456200" w14:textId="77777777" w:rsidR="00C44083" w:rsidRDefault="00C44083" w:rsidP="00C44083">
      <w:pPr>
        <w:tabs>
          <w:tab w:val="center" w:pos="0"/>
        </w:tabs>
        <w:jc w:val="both"/>
        <w:rPr>
          <w:rFonts w:ascii="Arial" w:hAnsi="Arial"/>
          <w:sz w:val="22"/>
        </w:rPr>
      </w:pPr>
    </w:p>
    <w:p w14:paraId="5B87DB3C" w14:textId="07E20A21" w:rsidR="00C44083" w:rsidRDefault="00C44083" w:rsidP="00C44083">
      <w:pPr>
        <w:tabs>
          <w:tab w:val="center" w:pos="0"/>
        </w:tabs>
        <w:jc w:val="both"/>
        <w:rPr>
          <w:rFonts w:ascii="Arial" w:hAnsi="Arial"/>
          <w:sz w:val="22"/>
        </w:rPr>
      </w:pPr>
      <w:r>
        <w:rPr>
          <w:rFonts w:ascii="Arial" w:hAnsi="Arial"/>
          <w:sz w:val="22"/>
        </w:rPr>
        <w:t xml:space="preserve">As such, the PAGD engineers should be prepared to provide the geophysicist the information identified in </w:t>
      </w:r>
      <w:hyperlink w:anchor="Geotech_Invest_Scop" w:history="1">
        <w:r w:rsidRPr="001A6C91">
          <w:rPr>
            <w:rStyle w:val="Hyperlink"/>
            <w:rFonts w:ascii="Arial" w:hAnsi="Arial"/>
            <w:i/>
            <w:sz w:val="22"/>
          </w:rPr>
          <w:t>Section 3.06.04 Geotechnical Investigation Scoping Procedure</w:t>
        </w:r>
      </w:hyperlink>
      <w:r>
        <w:rPr>
          <w:rFonts w:ascii="Arial" w:hAnsi="Arial"/>
          <w:i/>
          <w:sz w:val="22"/>
        </w:rPr>
        <w:t xml:space="preserve"> </w:t>
      </w:r>
      <w:r w:rsidRPr="00A26022">
        <w:rPr>
          <w:rFonts w:ascii="Arial" w:hAnsi="Arial"/>
          <w:sz w:val="22"/>
        </w:rPr>
        <w:t>and the information</w:t>
      </w:r>
      <w:r>
        <w:rPr>
          <w:rFonts w:ascii="Arial" w:hAnsi="Arial"/>
          <w:sz w:val="22"/>
        </w:rPr>
        <w:t xml:space="preserve"> listed below.</w:t>
      </w:r>
    </w:p>
    <w:p w14:paraId="27A6F673" w14:textId="77777777" w:rsidR="00B545CB" w:rsidRPr="00C122A9" w:rsidRDefault="00B545CB" w:rsidP="00C44083">
      <w:pPr>
        <w:tabs>
          <w:tab w:val="center" w:pos="0"/>
        </w:tabs>
        <w:jc w:val="both"/>
        <w:rPr>
          <w:rFonts w:ascii="Arial" w:hAnsi="Arial"/>
          <w:sz w:val="22"/>
        </w:rPr>
      </w:pPr>
    </w:p>
    <w:p w14:paraId="05F27A6C" w14:textId="718C9D88" w:rsidR="00C44083" w:rsidRDefault="00C44083" w:rsidP="00C44083">
      <w:pPr>
        <w:tabs>
          <w:tab w:val="center" w:pos="0"/>
        </w:tabs>
        <w:jc w:val="both"/>
        <w:rPr>
          <w:rFonts w:ascii="Arial" w:hAnsi="Arial"/>
          <w:sz w:val="22"/>
        </w:rPr>
      </w:pPr>
      <w:r>
        <w:rPr>
          <w:rFonts w:ascii="Arial" w:hAnsi="Arial"/>
          <w:sz w:val="22"/>
        </w:rPr>
        <w:t xml:space="preserve">The following information should be provided to the geophysicist </w:t>
      </w:r>
      <w:r w:rsidR="00A26022">
        <w:rPr>
          <w:rFonts w:ascii="Arial" w:hAnsi="Arial"/>
          <w:sz w:val="22"/>
        </w:rPr>
        <w:t>so they can</w:t>
      </w:r>
      <w:r>
        <w:rPr>
          <w:rFonts w:ascii="Arial" w:hAnsi="Arial"/>
          <w:sz w:val="22"/>
        </w:rPr>
        <w:t xml:space="preserve"> develop a scope</w:t>
      </w:r>
      <w:r w:rsidR="00A26022">
        <w:rPr>
          <w:rFonts w:ascii="Arial" w:hAnsi="Arial"/>
          <w:sz w:val="22"/>
        </w:rPr>
        <w:t xml:space="preserve">. </w:t>
      </w:r>
      <w:r w:rsidR="00B545CB">
        <w:rPr>
          <w:rFonts w:ascii="Arial" w:hAnsi="Arial"/>
          <w:sz w:val="22"/>
        </w:rPr>
        <w:t xml:space="preserve"> </w:t>
      </w:r>
      <w:r w:rsidR="00A26022">
        <w:rPr>
          <w:rFonts w:ascii="Arial" w:hAnsi="Arial"/>
          <w:sz w:val="22"/>
        </w:rPr>
        <w:t>Typically a site meeting with the PAGD engineer and geophysicist will occur prior to development of the scope.  The information the PAGD engineer should provide to the geophysic</w:t>
      </w:r>
      <w:r w:rsidR="005469E5">
        <w:rPr>
          <w:rFonts w:ascii="Arial" w:hAnsi="Arial"/>
          <w:sz w:val="22"/>
        </w:rPr>
        <w:t>i</w:t>
      </w:r>
      <w:r w:rsidR="00A26022">
        <w:rPr>
          <w:rFonts w:ascii="Arial" w:hAnsi="Arial"/>
          <w:sz w:val="22"/>
        </w:rPr>
        <w:t>s</w:t>
      </w:r>
      <w:r w:rsidR="005469E5">
        <w:rPr>
          <w:rFonts w:ascii="Arial" w:hAnsi="Arial"/>
          <w:sz w:val="22"/>
        </w:rPr>
        <w:t>t</w:t>
      </w:r>
      <w:r w:rsidR="00A26022">
        <w:rPr>
          <w:rFonts w:ascii="Arial" w:hAnsi="Arial"/>
          <w:sz w:val="22"/>
        </w:rPr>
        <w:t xml:space="preserve"> is:</w:t>
      </w:r>
    </w:p>
    <w:p w14:paraId="3163AD49" w14:textId="77777777" w:rsidR="00C44083" w:rsidRDefault="00C44083" w:rsidP="00C44083">
      <w:pPr>
        <w:tabs>
          <w:tab w:val="center" w:pos="0"/>
        </w:tabs>
        <w:jc w:val="both"/>
        <w:rPr>
          <w:rFonts w:ascii="Arial" w:hAnsi="Arial"/>
          <w:sz w:val="22"/>
        </w:rPr>
      </w:pPr>
    </w:p>
    <w:p w14:paraId="57FB86CF" w14:textId="77777777" w:rsidR="00C44083" w:rsidRPr="007E5CE2" w:rsidRDefault="00C44083" w:rsidP="00172E64">
      <w:pPr>
        <w:pStyle w:val="ListParagraph"/>
        <w:numPr>
          <w:ilvl w:val="0"/>
          <w:numId w:val="149"/>
        </w:numPr>
        <w:ind w:left="540" w:hanging="540"/>
        <w:jc w:val="both"/>
        <w:rPr>
          <w:rFonts w:ascii="Arial" w:hAnsi="Arial" w:cs="Arial"/>
          <w:sz w:val="22"/>
          <w:szCs w:val="22"/>
        </w:rPr>
      </w:pPr>
      <w:r>
        <w:rPr>
          <w:rFonts w:ascii="Arial" w:hAnsi="Arial" w:cs="Arial"/>
          <w:sz w:val="22"/>
          <w:szCs w:val="22"/>
        </w:rPr>
        <w:t>O</w:t>
      </w:r>
      <w:r w:rsidRPr="007E5CE2">
        <w:rPr>
          <w:rFonts w:ascii="Arial" w:hAnsi="Arial" w:cs="Arial"/>
          <w:sz w:val="22"/>
          <w:szCs w:val="22"/>
        </w:rPr>
        <w:t xml:space="preserve">bjectives </w:t>
      </w:r>
      <w:r>
        <w:rPr>
          <w:rFonts w:ascii="Arial" w:hAnsi="Arial" w:cs="Arial"/>
          <w:sz w:val="22"/>
          <w:szCs w:val="22"/>
        </w:rPr>
        <w:t>for the geophysical investigation and the overall project</w:t>
      </w:r>
      <w:r w:rsidRPr="007E5CE2">
        <w:rPr>
          <w:rFonts w:ascii="Arial" w:hAnsi="Arial" w:cs="Arial"/>
          <w:sz w:val="22"/>
          <w:szCs w:val="22"/>
        </w:rPr>
        <w:t>.</w:t>
      </w:r>
    </w:p>
    <w:p w14:paraId="676FA35D" w14:textId="54A03D65" w:rsidR="00C44083" w:rsidRDefault="00C44083" w:rsidP="00172E64">
      <w:pPr>
        <w:pStyle w:val="ListParagraph"/>
        <w:numPr>
          <w:ilvl w:val="0"/>
          <w:numId w:val="149"/>
        </w:numPr>
        <w:ind w:left="540" w:hanging="540"/>
        <w:jc w:val="both"/>
        <w:rPr>
          <w:rFonts w:ascii="Arial" w:hAnsi="Arial" w:cs="Arial"/>
          <w:sz w:val="22"/>
          <w:szCs w:val="22"/>
        </w:rPr>
      </w:pPr>
      <w:r w:rsidRPr="007E5CE2">
        <w:rPr>
          <w:rFonts w:ascii="Arial" w:hAnsi="Arial" w:cs="Arial"/>
          <w:sz w:val="22"/>
          <w:szCs w:val="22"/>
        </w:rPr>
        <w:t xml:space="preserve">Description of </w:t>
      </w:r>
      <w:r>
        <w:rPr>
          <w:rFonts w:ascii="Arial" w:hAnsi="Arial" w:cs="Arial"/>
          <w:sz w:val="22"/>
          <w:szCs w:val="22"/>
        </w:rPr>
        <w:t xml:space="preserve">the </w:t>
      </w:r>
      <w:r w:rsidRPr="007E5CE2">
        <w:rPr>
          <w:rFonts w:ascii="Arial" w:hAnsi="Arial" w:cs="Arial"/>
          <w:sz w:val="22"/>
          <w:szCs w:val="22"/>
        </w:rPr>
        <w:t>site including</w:t>
      </w:r>
      <w:r>
        <w:rPr>
          <w:rFonts w:ascii="Arial" w:hAnsi="Arial" w:cs="Arial"/>
          <w:sz w:val="22"/>
          <w:szCs w:val="22"/>
        </w:rPr>
        <w:t xml:space="preserve"> size, vegetation, access, and restrictions.</w:t>
      </w:r>
      <w:r w:rsidRPr="007E5CE2">
        <w:rPr>
          <w:rFonts w:ascii="Arial" w:hAnsi="Arial" w:cs="Arial"/>
          <w:sz w:val="22"/>
          <w:szCs w:val="22"/>
        </w:rPr>
        <w:t xml:space="preserve"> </w:t>
      </w:r>
      <w:r>
        <w:rPr>
          <w:rFonts w:ascii="Arial" w:hAnsi="Arial" w:cs="Arial"/>
          <w:sz w:val="22"/>
          <w:szCs w:val="22"/>
        </w:rPr>
        <w:t xml:space="preserve"> </w:t>
      </w:r>
    </w:p>
    <w:p w14:paraId="40DB23C4" w14:textId="5AC26752" w:rsidR="00C44083" w:rsidRDefault="00C44083" w:rsidP="00172E64">
      <w:pPr>
        <w:pStyle w:val="ListParagraph"/>
        <w:numPr>
          <w:ilvl w:val="0"/>
          <w:numId w:val="149"/>
        </w:numPr>
        <w:ind w:left="540" w:hanging="540"/>
        <w:jc w:val="both"/>
        <w:rPr>
          <w:rFonts w:ascii="Arial" w:hAnsi="Arial" w:cs="Arial"/>
          <w:sz w:val="22"/>
          <w:szCs w:val="22"/>
        </w:rPr>
      </w:pPr>
      <w:r>
        <w:rPr>
          <w:rFonts w:ascii="Arial" w:hAnsi="Arial" w:cs="Arial"/>
          <w:sz w:val="22"/>
          <w:szCs w:val="22"/>
        </w:rPr>
        <w:t xml:space="preserve">Information about potential sources of </w:t>
      </w:r>
      <w:r w:rsidR="00CD79B5">
        <w:rPr>
          <w:rFonts w:ascii="Arial" w:hAnsi="Arial" w:cs="Arial"/>
          <w:sz w:val="22"/>
          <w:szCs w:val="22"/>
        </w:rPr>
        <w:t xml:space="preserve">geophysical </w:t>
      </w:r>
      <w:r>
        <w:rPr>
          <w:rFonts w:ascii="Arial" w:hAnsi="Arial" w:cs="Arial"/>
          <w:sz w:val="22"/>
          <w:szCs w:val="22"/>
        </w:rPr>
        <w:t xml:space="preserve">interference. </w:t>
      </w:r>
    </w:p>
    <w:p w14:paraId="31F7EF25" w14:textId="6F029A77" w:rsidR="00C44083" w:rsidRDefault="00C44083" w:rsidP="00172E64">
      <w:pPr>
        <w:pStyle w:val="ListParagraph"/>
        <w:numPr>
          <w:ilvl w:val="0"/>
          <w:numId w:val="149"/>
        </w:numPr>
        <w:ind w:left="540" w:hanging="540"/>
        <w:jc w:val="both"/>
        <w:rPr>
          <w:rFonts w:ascii="Arial" w:hAnsi="Arial" w:cs="Arial"/>
          <w:sz w:val="22"/>
          <w:szCs w:val="22"/>
        </w:rPr>
      </w:pPr>
      <w:r>
        <w:rPr>
          <w:rFonts w:ascii="Arial" w:hAnsi="Arial" w:cs="Arial"/>
          <w:sz w:val="22"/>
          <w:szCs w:val="22"/>
        </w:rPr>
        <w:t>P</w:t>
      </w:r>
      <w:r w:rsidRPr="007E5CE2">
        <w:rPr>
          <w:rFonts w:ascii="Arial" w:hAnsi="Arial" w:cs="Arial"/>
          <w:sz w:val="22"/>
          <w:szCs w:val="22"/>
        </w:rPr>
        <w:t xml:space="preserve">hotographs, </w:t>
      </w:r>
      <w:r>
        <w:rPr>
          <w:rFonts w:ascii="Arial" w:hAnsi="Arial" w:cs="Arial"/>
          <w:sz w:val="22"/>
          <w:szCs w:val="22"/>
        </w:rPr>
        <w:t xml:space="preserve">topographic </w:t>
      </w:r>
      <w:r w:rsidRPr="007E5CE2">
        <w:rPr>
          <w:rFonts w:ascii="Arial" w:hAnsi="Arial" w:cs="Arial"/>
          <w:sz w:val="22"/>
          <w:szCs w:val="22"/>
        </w:rPr>
        <w:t xml:space="preserve">maps, engineering plans, and utility locations. </w:t>
      </w:r>
    </w:p>
    <w:p w14:paraId="0F9E2939" w14:textId="77777777" w:rsidR="00C44083" w:rsidRDefault="00C44083" w:rsidP="00172E64">
      <w:pPr>
        <w:pStyle w:val="ListParagraph"/>
        <w:numPr>
          <w:ilvl w:val="0"/>
          <w:numId w:val="149"/>
        </w:numPr>
        <w:ind w:left="540" w:hanging="540"/>
        <w:jc w:val="both"/>
        <w:rPr>
          <w:rFonts w:ascii="Arial" w:hAnsi="Arial" w:cs="Arial"/>
          <w:sz w:val="22"/>
          <w:szCs w:val="22"/>
        </w:rPr>
      </w:pPr>
      <w:r>
        <w:rPr>
          <w:rFonts w:ascii="Arial" w:hAnsi="Arial" w:cs="Arial"/>
          <w:sz w:val="22"/>
          <w:szCs w:val="22"/>
        </w:rPr>
        <w:t>Plans to use for base maps for presentation of the geophysical survey.</w:t>
      </w:r>
    </w:p>
    <w:p w14:paraId="3A94AB39" w14:textId="11E91265" w:rsidR="005758CE" w:rsidRPr="007E5CE2" w:rsidRDefault="005758CE" w:rsidP="00172E64">
      <w:pPr>
        <w:pStyle w:val="ListParagraph"/>
        <w:numPr>
          <w:ilvl w:val="0"/>
          <w:numId w:val="149"/>
        </w:numPr>
        <w:ind w:left="540" w:hanging="540"/>
        <w:jc w:val="both"/>
        <w:rPr>
          <w:rFonts w:ascii="Arial" w:hAnsi="Arial" w:cs="Arial"/>
          <w:sz w:val="22"/>
          <w:szCs w:val="22"/>
        </w:rPr>
      </w:pPr>
      <w:r>
        <w:rPr>
          <w:rFonts w:ascii="Arial" w:hAnsi="Arial" w:cs="Arial"/>
          <w:sz w:val="22"/>
          <w:szCs w:val="22"/>
        </w:rPr>
        <w:t xml:space="preserve">Recommended </w:t>
      </w:r>
      <w:r w:rsidRPr="005469E5">
        <w:rPr>
          <w:rFonts w:ascii="Arial" w:hAnsi="Arial" w:cs="Arial"/>
          <w:sz w:val="22"/>
          <w:szCs w:val="22"/>
        </w:rPr>
        <w:t>geophysical survey method options, if the PAGD engineer has researched options</w:t>
      </w:r>
      <w:r>
        <w:rPr>
          <w:rFonts w:ascii="Arial" w:hAnsi="Arial" w:cs="Arial"/>
          <w:sz w:val="22"/>
          <w:szCs w:val="22"/>
        </w:rPr>
        <w:t>.</w:t>
      </w:r>
    </w:p>
    <w:p w14:paraId="390AC162" w14:textId="018E88E1" w:rsidR="00C44083" w:rsidRPr="00E5158A" w:rsidRDefault="00C44083" w:rsidP="00172E64">
      <w:pPr>
        <w:pStyle w:val="ListParagraph"/>
        <w:numPr>
          <w:ilvl w:val="0"/>
          <w:numId w:val="149"/>
        </w:numPr>
        <w:ind w:left="540" w:hanging="540"/>
        <w:jc w:val="both"/>
        <w:rPr>
          <w:rFonts w:ascii="Arial" w:hAnsi="Arial" w:cs="Arial"/>
          <w:sz w:val="22"/>
          <w:szCs w:val="22"/>
        </w:rPr>
      </w:pPr>
      <w:r>
        <w:rPr>
          <w:rFonts w:ascii="Arial" w:hAnsi="Arial" w:cs="Arial"/>
          <w:sz w:val="22"/>
          <w:szCs w:val="22"/>
        </w:rPr>
        <w:t>Tole</w:t>
      </w:r>
      <w:r w:rsidRPr="00E5158A">
        <w:rPr>
          <w:rFonts w:ascii="Arial" w:hAnsi="Arial" w:cs="Arial"/>
          <w:sz w:val="22"/>
          <w:szCs w:val="22"/>
        </w:rPr>
        <w:t xml:space="preserve">rance or resolution requirements, if applicable. </w:t>
      </w:r>
    </w:p>
    <w:p w14:paraId="7AE98F05" w14:textId="1F2B6EC9" w:rsidR="00CD79B5" w:rsidRPr="005758CE" w:rsidRDefault="00C44083" w:rsidP="00172E64">
      <w:pPr>
        <w:pStyle w:val="ListParagraph"/>
        <w:numPr>
          <w:ilvl w:val="0"/>
          <w:numId w:val="149"/>
        </w:numPr>
        <w:ind w:left="540" w:hanging="540"/>
        <w:jc w:val="both"/>
        <w:rPr>
          <w:rFonts w:ascii="Arial" w:hAnsi="Arial" w:cs="Arial"/>
          <w:sz w:val="22"/>
          <w:szCs w:val="22"/>
        </w:rPr>
      </w:pPr>
      <w:r w:rsidRPr="005758CE">
        <w:rPr>
          <w:rFonts w:ascii="Arial" w:hAnsi="Arial" w:cs="Arial"/>
          <w:sz w:val="22"/>
          <w:szCs w:val="22"/>
        </w:rPr>
        <w:t>Expectations for the final documents, including if data should be provided</w:t>
      </w:r>
      <w:r w:rsidR="005758CE">
        <w:rPr>
          <w:rFonts w:ascii="Arial" w:hAnsi="Arial" w:cs="Arial"/>
          <w:sz w:val="22"/>
          <w:szCs w:val="22"/>
        </w:rPr>
        <w:t xml:space="preserve"> </w:t>
      </w:r>
      <w:r w:rsidRPr="005758CE">
        <w:rPr>
          <w:rFonts w:ascii="Arial" w:hAnsi="Arial" w:cs="Arial"/>
          <w:sz w:val="22"/>
          <w:szCs w:val="22"/>
        </w:rPr>
        <w:t xml:space="preserve">in MicroStation format, and if </w:t>
      </w:r>
      <w:r w:rsidR="00CD79B5" w:rsidRPr="005758CE">
        <w:rPr>
          <w:rFonts w:ascii="Arial" w:hAnsi="Arial" w:cs="Arial"/>
          <w:sz w:val="22"/>
          <w:szCs w:val="22"/>
        </w:rPr>
        <w:t>the results should be plotted on plan sheets.</w:t>
      </w:r>
    </w:p>
    <w:p w14:paraId="7638C053" w14:textId="77777777" w:rsidR="00CD79B5" w:rsidRPr="00E5158A" w:rsidRDefault="00C44083" w:rsidP="00172E64">
      <w:pPr>
        <w:pStyle w:val="ListParagraph"/>
        <w:numPr>
          <w:ilvl w:val="0"/>
          <w:numId w:val="149"/>
        </w:numPr>
        <w:ind w:left="540" w:hanging="540"/>
        <w:jc w:val="both"/>
        <w:rPr>
          <w:rFonts w:ascii="Arial" w:hAnsi="Arial" w:cs="Arial"/>
          <w:sz w:val="22"/>
          <w:szCs w:val="22"/>
        </w:rPr>
      </w:pPr>
      <w:r w:rsidRPr="00E5158A">
        <w:rPr>
          <w:rFonts w:ascii="Arial" w:hAnsi="Arial" w:cs="Arial"/>
          <w:sz w:val="22"/>
          <w:szCs w:val="22"/>
        </w:rPr>
        <w:t xml:space="preserve">Expectations for type of report. </w:t>
      </w:r>
    </w:p>
    <w:p w14:paraId="41DC2050" w14:textId="6045DB00" w:rsidR="00C44083" w:rsidRPr="00F33565" w:rsidRDefault="00C44083" w:rsidP="00172E64">
      <w:pPr>
        <w:pStyle w:val="ListParagraph"/>
        <w:numPr>
          <w:ilvl w:val="1"/>
          <w:numId w:val="149"/>
        </w:numPr>
        <w:ind w:left="1080" w:hanging="540"/>
        <w:jc w:val="both"/>
        <w:rPr>
          <w:rFonts w:ascii="Arial" w:hAnsi="Arial" w:cs="Arial"/>
          <w:sz w:val="22"/>
          <w:szCs w:val="22"/>
        </w:rPr>
      </w:pPr>
      <w:r w:rsidRPr="00F33565">
        <w:rPr>
          <w:rFonts w:ascii="Arial" w:hAnsi="Arial" w:cs="Arial"/>
          <w:sz w:val="22"/>
          <w:szCs w:val="22"/>
        </w:rPr>
        <w:t>Typically for design-bid-build projects</w:t>
      </w:r>
      <w:r w:rsidR="005469E5">
        <w:rPr>
          <w:rFonts w:ascii="Arial" w:hAnsi="Arial" w:cs="Arial"/>
          <w:sz w:val="22"/>
          <w:szCs w:val="22"/>
        </w:rPr>
        <w:t>,</w:t>
      </w:r>
      <w:r w:rsidRPr="00F33565">
        <w:rPr>
          <w:rFonts w:ascii="Arial" w:hAnsi="Arial" w:cs="Arial"/>
          <w:sz w:val="22"/>
          <w:szCs w:val="22"/>
        </w:rPr>
        <w:t xml:space="preserve"> a report including interpretations </w:t>
      </w:r>
      <w:r w:rsidR="005469E5">
        <w:rPr>
          <w:rFonts w:ascii="Arial" w:hAnsi="Arial" w:cs="Arial"/>
          <w:sz w:val="22"/>
          <w:szCs w:val="22"/>
        </w:rPr>
        <w:t>is</w:t>
      </w:r>
      <w:r w:rsidRPr="00F33565">
        <w:rPr>
          <w:rFonts w:ascii="Arial" w:hAnsi="Arial" w:cs="Arial"/>
          <w:sz w:val="22"/>
          <w:szCs w:val="22"/>
        </w:rPr>
        <w:t xml:space="preserve"> requested.  For design-build projects</w:t>
      </w:r>
      <w:r w:rsidR="005469E5">
        <w:rPr>
          <w:rFonts w:ascii="Arial" w:hAnsi="Arial" w:cs="Arial"/>
          <w:sz w:val="22"/>
          <w:szCs w:val="22"/>
        </w:rPr>
        <w:t>,</w:t>
      </w:r>
      <w:r w:rsidRPr="00F33565">
        <w:rPr>
          <w:rFonts w:ascii="Arial" w:hAnsi="Arial" w:cs="Arial"/>
          <w:sz w:val="22"/>
          <w:szCs w:val="22"/>
        </w:rPr>
        <w:t xml:space="preserve"> the report should include only data, and not interpretations, </w:t>
      </w:r>
      <w:r w:rsidR="00CD79B5">
        <w:rPr>
          <w:rFonts w:ascii="Arial" w:hAnsi="Arial" w:cs="Arial"/>
          <w:sz w:val="22"/>
          <w:szCs w:val="22"/>
        </w:rPr>
        <w:t>al</w:t>
      </w:r>
      <w:r w:rsidRPr="00F33565">
        <w:rPr>
          <w:rFonts w:ascii="Arial" w:hAnsi="Arial" w:cs="Arial"/>
          <w:sz w:val="22"/>
          <w:szCs w:val="22"/>
        </w:rPr>
        <w:t xml:space="preserve">though the PAGD team may request interpretations under </w:t>
      </w:r>
      <w:r>
        <w:rPr>
          <w:rFonts w:ascii="Arial" w:hAnsi="Arial" w:cs="Arial"/>
          <w:sz w:val="22"/>
          <w:szCs w:val="22"/>
        </w:rPr>
        <w:t xml:space="preserve">a </w:t>
      </w:r>
      <w:r w:rsidRPr="00F33565">
        <w:rPr>
          <w:rFonts w:ascii="Arial" w:hAnsi="Arial" w:cs="Arial"/>
          <w:sz w:val="22"/>
          <w:szCs w:val="22"/>
        </w:rPr>
        <w:t xml:space="preserve">separate </w:t>
      </w:r>
      <w:r>
        <w:rPr>
          <w:rFonts w:ascii="Arial" w:hAnsi="Arial" w:cs="Arial"/>
          <w:sz w:val="22"/>
          <w:szCs w:val="22"/>
        </w:rPr>
        <w:t>report</w:t>
      </w:r>
      <w:r w:rsidRPr="00F33565">
        <w:rPr>
          <w:rFonts w:ascii="Arial" w:hAnsi="Arial" w:cs="Arial"/>
          <w:sz w:val="22"/>
          <w:szCs w:val="22"/>
        </w:rPr>
        <w:t xml:space="preserve">.  </w:t>
      </w:r>
    </w:p>
    <w:p w14:paraId="34D0679E" w14:textId="6955E695" w:rsidR="00C44083" w:rsidRPr="005469E5" w:rsidRDefault="00C44083" w:rsidP="00172E64">
      <w:pPr>
        <w:pStyle w:val="ListParagraph"/>
        <w:numPr>
          <w:ilvl w:val="0"/>
          <w:numId w:val="149"/>
        </w:numPr>
        <w:ind w:left="540" w:hanging="540"/>
        <w:jc w:val="both"/>
        <w:rPr>
          <w:rFonts w:ascii="Arial" w:hAnsi="Arial" w:cs="Arial"/>
          <w:sz w:val="22"/>
          <w:szCs w:val="22"/>
        </w:rPr>
      </w:pPr>
      <w:r w:rsidRPr="005469E5">
        <w:rPr>
          <w:rFonts w:ascii="Arial" w:hAnsi="Arial" w:cs="Arial"/>
          <w:sz w:val="22"/>
          <w:szCs w:val="22"/>
        </w:rPr>
        <w:lastRenderedPageBreak/>
        <w:t>Expectations about the frequency and types of communication during the</w:t>
      </w:r>
      <w:r w:rsidR="005469E5" w:rsidRPr="005469E5">
        <w:rPr>
          <w:rFonts w:ascii="Arial" w:hAnsi="Arial" w:cs="Arial"/>
          <w:sz w:val="22"/>
          <w:szCs w:val="22"/>
        </w:rPr>
        <w:t xml:space="preserve"> </w:t>
      </w:r>
      <w:r w:rsidRPr="005469E5">
        <w:rPr>
          <w:rFonts w:ascii="Arial" w:hAnsi="Arial" w:cs="Arial"/>
          <w:sz w:val="22"/>
          <w:szCs w:val="22"/>
        </w:rPr>
        <w:t>project, including progress reports and presentation of preliminary data.</w:t>
      </w:r>
    </w:p>
    <w:p w14:paraId="3A23E7F9" w14:textId="585C8B7B" w:rsidR="00C44083" w:rsidRDefault="00C44083" w:rsidP="00172E64">
      <w:pPr>
        <w:pStyle w:val="ListParagraph"/>
        <w:numPr>
          <w:ilvl w:val="0"/>
          <w:numId w:val="149"/>
        </w:numPr>
        <w:ind w:left="540" w:hanging="540"/>
        <w:jc w:val="both"/>
        <w:rPr>
          <w:rFonts w:ascii="Arial" w:hAnsi="Arial" w:cs="Arial"/>
          <w:sz w:val="22"/>
          <w:szCs w:val="22"/>
        </w:rPr>
      </w:pPr>
      <w:r w:rsidRPr="007E5CE2">
        <w:rPr>
          <w:rFonts w:ascii="Arial" w:hAnsi="Arial" w:cs="Arial"/>
          <w:sz w:val="22"/>
          <w:szCs w:val="22"/>
        </w:rPr>
        <w:t>Schedule outlining the project timeline</w:t>
      </w:r>
      <w:r w:rsidR="00CD79B5">
        <w:rPr>
          <w:rFonts w:ascii="Arial" w:hAnsi="Arial" w:cs="Arial"/>
          <w:sz w:val="22"/>
          <w:szCs w:val="22"/>
        </w:rPr>
        <w:t>, if applicable.</w:t>
      </w:r>
    </w:p>
    <w:p w14:paraId="0E87118E" w14:textId="6987E385" w:rsidR="00C44083" w:rsidRPr="005469E5" w:rsidRDefault="00CD79B5" w:rsidP="00172E64">
      <w:pPr>
        <w:pStyle w:val="ListParagraph"/>
        <w:numPr>
          <w:ilvl w:val="0"/>
          <w:numId w:val="149"/>
        </w:numPr>
        <w:ind w:left="540" w:hanging="540"/>
        <w:jc w:val="both"/>
        <w:rPr>
          <w:rFonts w:ascii="Arial" w:hAnsi="Arial" w:cs="Arial"/>
          <w:sz w:val="22"/>
          <w:szCs w:val="22"/>
        </w:rPr>
      </w:pPr>
      <w:r w:rsidRPr="005469E5">
        <w:rPr>
          <w:rFonts w:ascii="Arial" w:hAnsi="Arial" w:cs="Arial"/>
          <w:sz w:val="22"/>
          <w:szCs w:val="22"/>
        </w:rPr>
        <w:t>A</w:t>
      </w:r>
      <w:r w:rsidR="00C44083" w:rsidRPr="005469E5">
        <w:rPr>
          <w:rFonts w:ascii="Arial" w:hAnsi="Arial" w:cs="Arial"/>
          <w:sz w:val="22"/>
          <w:szCs w:val="22"/>
        </w:rPr>
        <w:t>ccess requirements, work zone requirements, required permits</w:t>
      </w:r>
      <w:r w:rsidRPr="005469E5">
        <w:rPr>
          <w:rFonts w:ascii="Arial" w:hAnsi="Arial" w:cs="Arial"/>
          <w:sz w:val="22"/>
          <w:szCs w:val="22"/>
        </w:rPr>
        <w:t>, property,</w:t>
      </w:r>
      <w:r w:rsidR="005469E5">
        <w:rPr>
          <w:rFonts w:ascii="Arial" w:hAnsi="Arial" w:cs="Arial"/>
          <w:sz w:val="22"/>
          <w:szCs w:val="22"/>
        </w:rPr>
        <w:t xml:space="preserve"> </w:t>
      </w:r>
      <w:r w:rsidR="00C44083" w:rsidRPr="005469E5">
        <w:rPr>
          <w:rFonts w:ascii="Arial" w:hAnsi="Arial" w:cs="Arial"/>
          <w:sz w:val="22"/>
          <w:szCs w:val="22"/>
        </w:rPr>
        <w:t>and notification requirements.</w:t>
      </w:r>
    </w:p>
    <w:p w14:paraId="6EB91CBF" w14:textId="648B32CC" w:rsidR="00C44083" w:rsidRPr="005469E5" w:rsidRDefault="00C44083" w:rsidP="00172E64">
      <w:pPr>
        <w:pStyle w:val="ListParagraph"/>
        <w:numPr>
          <w:ilvl w:val="0"/>
          <w:numId w:val="149"/>
        </w:numPr>
        <w:ind w:left="540" w:hanging="540"/>
        <w:jc w:val="both"/>
        <w:rPr>
          <w:rFonts w:ascii="Arial" w:hAnsi="Arial"/>
          <w:sz w:val="22"/>
        </w:rPr>
      </w:pPr>
      <w:r w:rsidRPr="005469E5">
        <w:rPr>
          <w:rFonts w:ascii="Arial" w:hAnsi="Arial" w:cs="Arial"/>
          <w:sz w:val="22"/>
          <w:szCs w:val="22"/>
        </w:rPr>
        <w:t>Additional relevant site information including site use, accessibility, obstacles, permitting, and previous construction activity.</w:t>
      </w:r>
    </w:p>
    <w:p w14:paraId="4E90B303" w14:textId="77777777" w:rsidR="00C44083" w:rsidRDefault="00C44083" w:rsidP="00172E64">
      <w:pPr>
        <w:pStyle w:val="ListParagraph"/>
        <w:numPr>
          <w:ilvl w:val="0"/>
          <w:numId w:val="149"/>
        </w:numPr>
        <w:ind w:left="540" w:hanging="540"/>
        <w:jc w:val="both"/>
        <w:rPr>
          <w:rFonts w:ascii="Arial" w:hAnsi="Arial" w:cs="Arial"/>
          <w:sz w:val="22"/>
          <w:szCs w:val="22"/>
        </w:rPr>
      </w:pPr>
      <w:r w:rsidRPr="007E5CE2">
        <w:rPr>
          <w:rFonts w:ascii="Arial" w:hAnsi="Arial" w:cs="Arial"/>
          <w:sz w:val="22"/>
          <w:szCs w:val="22"/>
        </w:rPr>
        <w:t xml:space="preserve">List of </w:t>
      </w:r>
      <w:r>
        <w:rPr>
          <w:rFonts w:ascii="Arial" w:hAnsi="Arial" w:cs="Arial"/>
          <w:sz w:val="22"/>
          <w:szCs w:val="22"/>
        </w:rPr>
        <w:t xml:space="preserve">expected </w:t>
      </w:r>
      <w:r w:rsidRPr="007E5CE2">
        <w:rPr>
          <w:rFonts w:ascii="Arial" w:hAnsi="Arial" w:cs="Arial"/>
          <w:sz w:val="22"/>
          <w:szCs w:val="22"/>
        </w:rPr>
        <w:t xml:space="preserve">deliverables </w:t>
      </w:r>
      <w:r>
        <w:rPr>
          <w:rFonts w:ascii="Arial" w:hAnsi="Arial" w:cs="Arial"/>
          <w:sz w:val="22"/>
          <w:szCs w:val="22"/>
        </w:rPr>
        <w:t xml:space="preserve">in the report(s) </w:t>
      </w:r>
      <w:r w:rsidRPr="007E5CE2">
        <w:rPr>
          <w:rFonts w:ascii="Arial" w:hAnsi="Arial" w:cs="Arial"/>
          <w:sz w:val="22"/>
          <w:szCs w:val="22"/>
        </w:rPr>
        <w:t>including:</w:t>
      </w:r>
    </w:p>
    <w:p w14:paraId="20305C06" w14:textId="2A6FFE22"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 xml:space="preserve">Executive summary describing survey objectives and general interpretation, if applicable for </w:t>
      </w:r>
      <w:r w:rsidR="006375F2">
        <w:rPr>
          <w:rFonts w:ascii="Arial" w:hAnsi="Arial" w:cs="Arial"/>
          <w:sz w:val="22"/>
          <w:szCs w:val="22"/>
        </w:rPr>
        <w:t xml:space="preserve">the </w:t>
      </w:r>
      <w:r w:rsidRPr="008D55DA">
        <w:rPr>
          <w:rFonts w:ascii="Arial" w:hAnsi="Arial" w:cs="Arial"/>
          <w:sz w:val="22"/>
          <w:szCs w:val="22"/>
        </w:rPr>
        <w:t>type of report</w:t>
      </w:r>
    </w:p>
    <w:p w14:paraId="7A47152A" w14:textId="77777777"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Discussion of the scope and purpose of the investigation</w:t>
      </w:r>
    </w:p>
    <w:p w14:paraId="1403D4F0" w14:textId="77777777"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 xml:space="preserve">Site </w:t>
      </w:r>
      <w:r>
        <w:rPr>
          <w:rFonts w:ascii="Arial" w:hAnsi="Arial" w:cs="Arial"/>
          <w:sz w:val="22"/>
          <w:szCs w:val="22"/>
        </w:rPr>
        <w:t>vicinity map</w:t>
      </w:r>
    </w:p>
    <w:p w14:paraId="720CA538" w14:textId="77777777"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Discussion of the site conditions, including site geology and hydrogeology conditions</w:t>
      </w:r>
    </w:p>
    <w:p w14:paraId="6A2B51B9" w14:textId="25751D4B"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Dates and location of survey, and who performed</w:t>
      </w:r>
      <w:r>
        <w:rPr>
          <w:rFonts w:ascii="Arial" w:hAnsi="Arial" w:cs="Arial"/>
          <w:sz w:val="22"/>
          <w:szCs w:val="22"/>
        </w:rPr>
        <w:t xml:space="preserve"> </w:t>
      </w:r>
      <w:r w:rsidR="006375F2">
        <w:rPr>
          <w:rFonts w:ascii="Arial" w:hAnsi="Arial" w:cs="Arial"/>
          <w:sz w:val="22"/>
          <w:szCs w:val="22"/>
        </w:rPr>
        <w:t xml:space="preserve">the </w:t>
      </w:r>
      <w:r>
        <w:rPr>
          <w:rFonts w:ascii="Arial" w:hAnsi="Arial" w:cs="Arial"/>
          <w:sz w:val="22"/>
          <w:szCs w:val="22"/>
        </w:rPr>
        <w:t>survey</w:t>
      </w:r>
    </w:p>
    <w:p w14:paraId="1AEB1421" w14:textId="4B28A8D4" w:rsidR="00C44083" w:rsidRPr="00724EC4"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 xml:space="preserve">A description of how the survey was </w:t>
      </w:r>
      <w:r w:rsidR="006375F2">
        <w:rPr>
          <w:rFonts w:ascii="Arial" w:hAnsi="Arial" w:cs="Arial"/>
          <w:sz w:val="22"/>
          <w:szCs w:val="22"/>
        </w:rPr>
        <w:t>performed</w:t>
      </w:r>
      <w:r w:rsidRPr="008D55DA">
        <w:rPr>
          <w:rFonts w:ascii="Arial" w:hAnsi="Arial" w:cs="Arial"/>
          <w:sz w:val="22"/>
          <w:szCs w:val="22"/>
        </w:rPr>
        <w:t xml:space="preserve"> (i.e</w:t>
      </w:r>
      <w:r w:rsidR="00E5158A">
        <w:rPr>
          <w:rFonts w:ascii="Arial" w:hAnsi="Arial" w:cs="Arial"/>
          <w:sz w:val="22"/>
          <w:szCs w:val="22"/>
        </w:rPr>
        <w:t>.</w:t>
      </w:r>
      <w:r w:rsidR="005469E5">
        <w:rPr>
          <w:rFonts w:ascii="Arial" w:hAnsi="Arial" w:cs="Arial"/>
          <w:sz w:val="22"/>
          <w:szCs w:val="22"/>
        </w:rPr>
        <w:t>,</w:t>
      </w:r>
      <w:r w:rsidRPr="008D55DA">
        <w:rPr>
          <w:rFonts w:ascii="Arial" w:hAnsi="Arial" w:cs="Arial"/>
          <w:sz w:val="22"/>
          <w:szCs w:val="22"/>
        </w:rPr>
        <w:t xml:space="preserve"> orientation of traverses, establish</w:t>
      </w:r>
      <w:r>
        <w:rPr>
          <w:rFonts w:ascii="Arial" w:hAnsi="Arial" w:cs="Arial"/>
          <w:sz w:val="22"/>
          <w:szCs w:val="22"/>
        </w:rPr>
        <w:t>ment of</w:t>
      </w:r>
      <w:r w:rsidRPr="008D55DA">
        <w:rPr>
          <w:rFonts w:ascii="Arial" w:hAnsi="Arial" w:cs="Arial"/>
          <w:sz w:val="22"/>
          <w:szCs w:val="22"/>
        </w:rPr>
        <w:t xml:space="preserve"> a grid, assigning base stations</w:t>
      </w:r>
      <w:r w:rsidR="006375F2">
        <w:rPr>
          <w:rFonts w:ascii="Arial" w:hAnsi="Arial" w:cs="Arial"/>
          <w:sz w:val="22"/>
          <w:szCs w:val="22"/>
        </w:rPr>
        <w:t>, how locations were recorded</w:t>
      </w:r>
      <w:r w:rsidR="005469E5">
        <w:rPr>
          <w:rFonts w:ascii="Arial" w:hAnsi="Arial" w:cs="Arial"/>
          <w:sz w:val="22"/>
          <w:szCs w:val="22"/>
        </w:rPr>
        <w:t>;</w:t>
      </w:r>
      <w:r w:rsidR="006375F2">
        <w:rPr>
          <w:rFonts w:ascii="Arial" w:hAnsi="Arial" w:cs="Arial"/>
          <w:sz w:val="22"/>
          <w:szCs w:val="22"/>
        </w:rPr>
        <w:t xml:space="preserve"> i.e.</w:t>
      </w:r>
      <w:r w:rsidR="005469E5">
        <w:rPr>
          <w:rFonts w:ascii="Arial" w:hAnsi="Arial" w:cs="Arial"/>
          <w:sz w:val="22"/>
          <w:szCs w:val="22"/>
        </w:rPr>
        <w:t>,</w:t>
      </w:r>
      <w:r w:rsidR="006375F2">
        <w:rPr>
          <w:rFonts w:ascii="Arial" w:hAnsi="Arial" w:cs="Arial"/>
          <w:sz w:val="22"/>
          <w:szCs w:val="22"/>
        </w:rPr>
        <w:t xml:space="preserve"> survey, taping, or GPS</w:t>
      </w:r>
      <w:r w:rsidRPr="008D55DA">
        <w:rPr>
          <w:rFonts w:ascii="Arial" w:hAnsi="Arial" w:cs="Arial"/>
          <w:sz w:val="22"/>
          <w:szCs w:val="22"/>
        </w:rPr>
        <w:t>)</w:t>
      </w:r>
    </w:p>
    <w:p w14:paraId="476FFB5F" w14:textId="604952DD" w:rsidR="00C44083" w:rsidRPr="00724EC4" w:rsidRDefault="00C44083" w:rsidP="00172E64">
      <w:pPr>
        <w:pStyle w:val="ListParagraph"/>
        <w:numPr>
          <w:ilvl w:val="1"/>
          <w:numId w:val="149"/>
        </w:numPr>
        <w:ind w:left="1080" w:hanging="540"/>
        <w:jc w:val="both"/>
        <w:rPr>
          <w:rFonts w:ascii="Arial" w:hAnsi="Arial" w:cs="Arial"/>
          <w:sz w:val="22"/>
          <w:szCs w:val="22"/>
        </w:rPr>
      </w:pPr>
      <w:r>
        <w:rPr>
          <w:rFonts w:ascii="Arial" w:hAnsi="Arial" w:cs="Arial"/>
          <w:sz w:val="22"/>
          <w:szCs w:val="22"/>
        </w:rPr>
        <w:t>Discussion</w:t>
      </w:r>
      <w:r w:rsidRPr="008D55DA">
        <w:rPr>
          <w:rFonts w:ascii="Arial" w:hAnsi="Arial" w:cs="Arial"/>
          <w:sz w:val="22"/>
          <w:szCs w:val="22"/>
        </w:rPr>
        <w:t xml:space="preserve"> of geophysical and equipment methodology, including the type of geophysical method or methods used. </w:t>
      </w:r>
      <w:r>
        <w:rPr>
          <w:rFonts w:ascii="Arial" w:hAnsi="Arial" w:cs="Arial"/>
          <w:sz w:val="22"/>
          <w:szCs w:val="22"/>
        </w:rPr>
        <w:t>Include</w:t>
      </w:r>
      <w:r w:rsidRPr="008D55DA">
        <w:rPr>
          <w:rFonts w:ascii="Arial" w:hAnsi="Arial" w:cs="Arial"/>
          <w:sz w:val="22"/>
          <w:szCs w:val="22"/>
        </w:rPr>
        <w:t xml:space="preserve"> </w:t>
      </w:r>
      <w:r>
        <w:rPr>
          <w:rFonts w:ascii="Arial" w:hAnsi="Arial" w:cs="Arial"/>
          <w:sz w:val="22"/>
          <w:szCs w:val="22"/>
        </w:rPr>
        <w:t xml:space="preserve">data collection </w:t>
      </w:r>
      <w:r w:rsidRPr="008D55DA">
        <w:rPr>
          <w:rFonts w:ascii="Arial" w:hAnsi="Arial" w:cs="Arial"/>
          <w:sz w:val="22"/>
          <w:szCs w:val="22"/>
        </w:rPr>
        <w:t>methodology and quality control procedures</w:t>
      </w:r>
      <w:r>
        <w:rPr>
          <w:rFonts w:ascii="Arial" w:hAnsi="Arial" w:cs="Arial"/>
          <w:sz w:val="22"/>
          <w:szCs w:val="22"/>
        </w:rPr>
        <w:t xml:space="preserve"> and</w:t>
      </w:r>
      <w:r w:rsidRPr="008D55DA">
        <w:rPr>
          <w:rFonts w:ascii="Arial" w:hAnsi="Arial" w:cs="Arial"/>
          <w:sz w:val="22"/>
          <w:szCs w:val="22"/>
        </w:rPr>
        <w:t xml:space="preserve"> rationale for selecting each geophysical method (site conditions, objectives, accuracy, etc.)</w:t>
      </w:r>
      <w:r w:rsidR="005469E5">
        <w:rPr>
          <w:rFonts w:ascii="Arial" w:hAnsi="Arial" w:cs="Arial"/>
          <w:sz w:val="22"/>
          <w:szCs w:val="22"/>
        </w:rPr>
        <w:t>,</w:t>
      </w:r>
      <w:r w:rsidRPr="008D55DA">
        <w:rPr>
          <w:rFonts w:ascii="Arial" w:hAnsi="Arial" w:cs="Arial"/>
          <w:sz w:val="22"/>
          <w:szCs w:val="22"/>
        </w:rPr>
        <w:t xml:space="preserve"> </w:t>
      </w:r>
      <w:r>
        <w:rPr>
          <w:rFonts w:ascii="Arial" w:hAnsi="Arial" w:cs="Arial"/>
          <w:sz w:val="22"/>
          <w:szCs w:val="22"/>
        </w:rPr>
        <w:t>and d</w:t>
      </w:r>
      <w:r w:rsidRPr="008D55DA">
        <w:rPr>
          <w:rFonts w:ascii="Arial" w:hAnsi="Arial" w:cs="Arial"/>
          <w:sz w:val="22"/>
          <w:szCs w:val="22"/>
        </w:rPr>
        <w:t>iscussion of the strengths and weaknesses of each method</w:t>
      </w:r>
      <w:r>
        <w:rPr>
          <w:rFonts w:ascii="Arial" w:hAnsi="Arial" w:cs="Arial"/>
          <w:sz w:val="22"/>
          <w:szCs w:val="22"/>
        </w:rPr>
        <w:t xml:space="preserve"> used</w:t>
      </w:r>
    </w:p>
    <w:p w14:paraId="2E0B4CFF" w14:textId="71E1BC5B" w:rsidR="00C44083" w:rsidRPr="00724EC4"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Details about sensitivity, calibration, and instrument limitations</w:t>
      </w:r>
    </w:p>
    <w:p w14:paraId="0295922E" w14:textId="77777777"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Summary of data processing methodology and software used</w:t>
      </w:r>
    </w:p>
    <w:p w14:paraId="3F15A363" w14:textId="77777777"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Discussion on the quality and reliability of data</w:t>
      </w:r>
    </w:p>
    <w:p w14:paraId="3C29DB0B" w14:textId="77777777" w:rsidR="00C44083" w:rsidRPr="00C70EF8"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Rationale for interpretation</w:t>
      </w:r>
      <w:r>
        <w:rPr>
          <w:rFonts w:ascii="Arial" w:hAnsi="Arial" w:cs="Arial"/>
          <w:sz w:val="22"/>
          <w:szCs w:val="22"/>
        </w:rPr>
        <w:t xml:space="preserve">, including </w:t>
      </w:r>
      <w:r w:rsidRPr="00C70EF8">
        <w:rPr>
          <w:rFonts w:ascii="Arial" w:hAnsi="Arial" w:cs="Arial"/>
          <w:sz w:val="22"/>
          <w:szCs w:val="22"/>
        </w:rPr>
        <w:t>ground-truthing or geotechnical data used for correlation</w:t>
      </w:r>
    </w:p>
    <w:p w14:paraId="2CC509D1" w14:textId="77777777"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 xml:space="preserve">Clear presentation of data </w:t>
      </w:r>
    </w:p>
    <w:p w14:paraId="1E166215" w14:textId="21DDFDFF"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Base maps and geophysical cross sections to scales consistent with project drawings, or to a larger scale than project drawings to show more detail</w:t>
      </w:r>
      <w:r w:rsidR="005469E5">
        <w:rPr>
          <w:rFonts w:ascii="Arial" w:hAnsi="Arial" w:cs="Arial"/>
          <w:sz w:val="22"/>
          <w:szCs w:val="22"/>
        </w:rPr>
        <w:t>;</w:t>
      </w:r>
      <w:r w:rsidRPr="008D55DA">
        <w:rPr>
          <w:rFonts w:ascii="Arial" w:hAnsi="Arial" w:cs="Arial"/>
          <w:sz w:val="22"/>
          <w:szCs w:val="22"/>
        </w:rPr>
        <w:t xml:space="preserve"> </w:t>
      </w:r>
      <w:r w:rsidR="005469E5">
        <w:rPr>
          <w:rFonts w:ascii="Arial" w:hAnsi="Arial" w:cs="Arial"/>
          <w:sz w:val="22"/>
          <w:szCs w:val="22"/>
        </w:rPr>
        <w:t>b</w:t>
      </w:r>
      <w:r w:rsidRPr="008D55DA">
        <w:rPr>
          <w:rFonts w:ascii="Arial" w:hAnsi="Arial" w:cs="Arial"/>
          <w:sz w:val="22"/>
          <w:szCs w:val="22"/>
        </w:rPr>
        <w:t>ase maps or engineering plans with an appropriate scale on which survey lines/</w:t>
      </w:r>
      <w:r w:rsidR="005469E5">
        <w:rPr>
          <w:rFonts w:ascii="Arial" w:hAnsi="Arial" w:cs="Arial"/>
          <w:sz w:val="22"/>
          <w:szCs w:val="22"/>
        </w:rPr>
        <w:t xml:space="preserve"> </w:t>
      </w:r>
      <w:r w:rsidRPr="008D55DA">
        <w:rPr>
          <w:rFonts w:ascii="Arial" w:hAnsi="Arial" w:cs="Arial"/>
          <w:sz w:val="22"/>
          <w:szCs w:val="22"/>
        </w:rPr>
        <w:t>locations are clearly marked</w:t>
      </w:r>
      <w:r w:rsidR="005758CE">
        <w:rPr>
          <w:rFonts w:ascii="Arial" w:hAnsi="Arial" w:cs="Arial"/>
          <w:sz w:val="22"/>
          <w:szCs w:val="22"/>
        </w:rPr>
        <w:t>;</w:t>
      </w:r>
      <w:r w:rsidRPr="008D55DA">
        <w:rPr>
          <w:rFonts w:ascii="Arial" w:hAnsi="Arial" w:cs="Arial"/>
          <w:sz w:val="22"/>
          <w:szCs w:val="22"/>
        </w:rPr>
        <w:t xml:space="preserve"> </w:t>
      </w:r>
      <w:r w:rsidR="005758CE">
        <w:rPr>
          <w:rFonts w:ascii="Arial" w:hAnsi="Arial" w:cs="Arial"/>
          <w:sz w:val="22"/>
          <w:szCs w:val="22"/>
        </w:rPr>
        <w:t>s</w:t>
      </w:r>
      <w:r w:rsidRPr="008D55DA">
        <w:rPr>
          <w:rFonts w:ascii="Arial" w:hAnsi="Arial" w:cs="Arial"/>
          <w:sz w:val="22"/>
          <w:szCs w:val="22"/>
        </w:rPr>
        <w:t>urvey lines/locations should be shown in relation to established survey points or permanent landmarks</w:t>
      </w:r>
    </w:p>
    <w:p w14:paraId="5BBD7A39" w14:textId="77777777"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 xml:space="preserve">Clear explanation of interpretation, if applicable </w:t>
      </w:r>
      <w:r>
        <w:rPr>
          <w:rFonts w:ascii="Arial" w:hAnsi="Arial" w:cs="Arial"/>
          <w:sz w:val="22"/>
          <w:szCs w:val="22"/>
        </w:rPr>
        <w:t>for type of report</w:t>
      </w:r>
    </w:p>
    <w:p w14:paraId="0F06B833" w14:textId="5C65D788" w:rsidR="00C44083" w:rsidRPr="008D55DA"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Discussion about the correlation or lack thereof of geophysical values with geologic materials and hydrologic conditions</w:t>
      </w:r>
    </w:p>
    <w:p w14:paraId="7F605663" w14:textId="56808D5B" w:rsidR="00C44083" w:rsidRPr="005469E5" w:rsidRDefault="00C44083" w:rsidP="00172E64">
      <w:pPr>
        <w:pStyle w:val="ListParagraph"/>
        <w:numPr>
          <w:ilvl w:val="1"/>
          <w:numId w:val="149"/>
        </w:numPr>
        <w:ind w:left="1080" w:hanging="540"/>
        <w:jc w:val="both"/>
        <w:rPr>
          <w:rFonts w:ascii="Arial" w:hAnsi="Arial" w:cs="Arial"/>
          <w:sz w:val="22"/>
          <w:szCs w:val="22"/>
        </w:rPr>
      </w:pPr>
      <w:r w:rsidRPr="008D55DA">
        <w:rPr>
          <w:rFonts w:ascii="Arial" w:hAnsi="Arial" w:cs="Arial"/>
          <w:sz w:val="22"/>
          <w:szCs w:val="22"/>
        </w:rPr>
        <w:t>Summary and recommendations, if applicable for type of report</w:t>
      </w:r>
    </w:p>
    <w:p w14:paraId="31EF31D2" w14:textId="77777777" w:rsidR="006375F2" w:rsidRPr="00496E2D" w:rsidRDefault="006375F2" w:rsidP="00172E64">
      <w:pPr>
        <w:pStyle w:val="ListParagraph"/>
        <w:numPr>
          <w:ilvl w:val="1"/>
          <w:numId w:val="149"/>
        </w:numPr>
        <w:ind w:left="1080" w:hanging="540"/>
        <w:jc w:val="both"/>
        <w:rPr>
          <w:rFonts w:ascii="Arial" w:hAnsi="Arial"/>
          <w:sz w:val="22"/>
        </w:rPr>
      </w:pPr>
      <w:r>
        <w:rPr>
          <w:rFonts w:ascii="Arial" w:hAnsi="Arial" w:cs="Arial"/>
          <w:sz w:val="22"/>
          <w:szCs w:val="22"/>
        </w:rPr>
        <w:t>Electronic files of plots, in format acceptable for inclusion onto project plans, if applicable</w:t>
      </w:r>
    </w:p>
    <w:p w14:paraId="2DDF10CC" w14:textId="77777777" w:rsidR="00C44083" w:rsidRDefault="00C44083" w:rsidP="00C44083">
      <w:pPr>
        <w:pStyle w:val="ListParagraph"/>
        <w:tabs>
          <w:tab w:val="center" w:pos="0"/>
        </w:tabs>
        <w:jc w:val="both"/>
        <w:rPr>
          <w:rFonts w:ascii="Arial" w:hAnsi="Arial"/>
          <w:sz w:val="22"/>
        </w:rPr>
      </w:pPr>
    </w:p>
    <w:p w14:paraId="61942D43" w14:textId="5FD12447" w:rsidR="00C44083" w:rsidRPr="008014BA" w:rsidRDefault="00C44083" w:rsidP="00C44083">
      <w:pPr>
        <w:tabs>
          <w:tab w:val="center" w:pos="0"/>
        </w:tabs>
        <w:jc w:val="both"/>
        <w:rPr>
          <w:rFonts w:ascii="Arial" w:hAnsi="Arial"/>
          <w:sz w:val="22"/>
        </w:rPr>
      </w:pPr>
      <w:r>
        <w:rPr>
          <w:rFonts w:ascii="Arial" w:hAnsi="Arial"/>
          <w:sz w:val="22"/>
        </w:rPr>
        <w:t>Most traditional design-bid-build projects will require a report including interpretations so that the geophysical results can be incorporated into the designs.  PAGD may, at times, requires that two reports be provided.  One report should include interpretation that is geared toward the project goals and SHA designers.  One report should be a data report that contains no interpretation, so it can be included in the design-build package or sent to bidders.</w:t>
      </w:r>
    </w:p>
    <w:p w14:paraId="548FC983" w14:textId="77777777" w:rsidR="006244D6" w:rsidRPr="008014BA" w:rsidRDefault="006244D6" w:rsidP="008014BA">
      <w:pPr>
        <w:tabs>
          <w:tab w:val="center" w:pos="0"/>
        </w:tabs>
        <w:jc w:val="both"/>
        <w:rPr>
          <w:rFonts w:ascii="Arial" w:hAnsi="Arial"/>
          <w:sz w:val="22"/>
        </w:rPr>
      </w:pPr>
    </w:p>
    <w:p w14:paraId="56F43080" w14:textId="77777777" w:rsidR="005758CE" w:rsidRDefault="005758CE" w:rsidP="008014BA">
      <w:pPr>
        <w:jc w:val="both"/>
        <w:rPr>
          <w:rFonts w:ascii="Arial" w:hAnsi="Arial"/>
          <w:sz w:val="22"/>
        </w:rPr>
        <w:sectPr w:rsidR="005758CE" w:rsidSect="00466A64">
          <w:headerReference w:type="default" r:id="rId104"/>
          <w:footerReference w:type="default" r:id="rId105"/>
          <w:pgSz w:w="12240" w:h="15840"/>
          <w:pgMar w:top="1440" w:right="1800" w:bottom="1296" w:left="1800" w:header="720" w:footer="720" w:gutter="0"/>
          <w:pgNumType w:chapStyle="1"/>
          <w:cols w:space="720"/>
          <w:docGrid w:linePitch="272"/>
        </w:sectPr>
      </w:pPr>
    </w:p>
    <w:p w14:paraId="3C2A195D" w14:textId="160C55AD" w:rsidR="00C434AD" w:rsidRDefault="00C434AD" w:rsidP="00BE3F24">
      <w:pPr>
        <w:pStyle w:val="Heading2"/>
        <w:ind w:left="0" w:firstLine="0"/>
      </w:pPr>
      <w:bookmarkStart w:id="129" w:name="_Requests_For_Geotechnical_2"/>
      <w:bookmarkStart w:id="130" w:name="_Toc479160086"/>
      <w:bookmarkStart w:id="131" w:name="_Toc514057975"/>
      <w:bookmarkStart w:id="132" w:name="_Toc194932371"/>
      <w:bookmarkStart w:id="133" w:name="Geot_Field_Work"/>
      <w:bookmarkEnd w:id="129"/>
      <w:r>
        <w:lastRenderedPageBreak/>
        <w:t>Requests For Geotechnical Field work</w:t>
      </w:r>
      <w:bookmarkEnd w:id="130"/>
      <w:bookmarkEnd w:id="131"/>
      <w:bookmarkEnd w:id="132"/>
    </w:p>
    <w:bookmarkEnd w:id="133"/>
    <w:p w14:paraId="361BC6DF" w14:textId="2E226D23" w:rsidR="007E1D5E" w:rsidRDefault="007E1D5E" w:rsidP="007E1D5E">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OMT_Internal_Meetings" w:history="1">
        <w:r w:rsidRPr="008F604D">
          <w:rPr>
            <w:rStyle w:val="Hyperlink"/>
            <w:rFonts w:ascii="Arial" w:hAnsi="Arial" w:cs="Arial"/>
            <w:bCs/>
            <w:sz w:val="16"/>
            <w:szCs w:val="16"/>
          </w:rPr>
          <w:t>OMT Internal Meetings (OMT P</w:t>
        </w:r>
        <w:r w:rsidR="008A0AF6">
          <w:rPr>
            <w:rStyle w:val="Hyperlink"/>
            <w:rFonts w:ascii="Arial" w:hAnsi="Arial" w:cs="Arial"/>
            <w:bCs/>
            <w:sz w:val="16"/>
            <w:szCs w:val="16"/>
          </w:rPr>
          <w:t xml:space="preserve">roject </w:t>
        </w:r>
        <w:r w:rsidRPr="008F604D">
          <w:rPr>
            <w:rStyle w:val="Hyperlink"/>
            <w:rFonts w:ascii="Arial" w:hAnsi="Arial" w:cs="Arial"/>
            <w:bCs/>
            <w:sz w:val="16"/>
            <w:szCs w:val="16"/>
          </w:rPr>
          <w:t>I</w:t>
        </w:r>
        <w:r w:rsidR="008A0AF6">
          <w:rPr>
            <w:rStyle w:val="Hyperlink"/>
            <w:rFonts w:ascii="Arial" w:hAnsi="Arial" w:cs="Arial"/>
            <w:bCs/>
            <w:sz w:val="16"/>
            <w:szCs w:val="16"/>
          </w:rPr>
          <w:t>nitiation</w:t>
        </w:r>
        <w:r w:rsidRPr="008F604D">
          <w:rPr>
            <w:rStyle w:val="Hyperlink"/>
            <w:rFonts w:ascii="Arial" w:hAnsi="Arial" w:cs="Arial"/>
            <w:bCs/>
            <w:sz w:val="16"/>
            <w:szCs w:val="16"/>
          </w:rPr>
          <w:t>)</w:t>
        </w:r>
      </w:hyperlink>
    </w:p>
    <w:p w14:paraId="62A93ACB" w14:textId="77777777" w:rsidR="00836AD9" w:rsidRPr="003B0918" w:rsidRDefault="00836AD9" w:rsidP="00836AD9">
      <w:pPr>
        <w:rPr>
          <w:rStyle w:val="Hyperlink"/>
          <w:rFonts w:ascii="Arial" w:hAnsi="Arial"/>
          <w:sz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ests_for_Pavement" w:history="1">
        <w:r w:rsidRPr="00836AD9">
          <w:rPr>
            <w:rStyle w:val="Hyperlink"/>
            <w:rFonts w:ascii="Arial" w:hAnsi="Arial" w:cs="Arial"/>
            <w:bCs/>
            <w:sz w:val="16"/>
            <w:szCs w:val="16"/>
          </w:rPr>
          <w:t>Requests for Pavement Field Work</w:t>
        </w:r>
      </w:hyperlink>
    </w:p>
    <w:p w14:paraId="6F1F1197" w14:textId="77777777" w:rsidR="00DE2B3D" w:rsidRDefault="00DE2B3D" w:rsidP="004F3FE9">
      <w:pPr>
        <w:jc w:val="both"/>
        <w:rPr>
          <w:rFonts w:ascii="Arial" w:hAnsi="Arial" w:cs="Arial"/>
          <w:sz w:val="22"/>
          <w:szCs w:val="22"/>
        </w:rPr>
      </w:pPr>
    </w:p>
    <w:p w14:paraId="5E7E1FC0" w14:textId="77777777" w:rsidR="006A2BD8" w:rsidRDefault="004F3FE9" w:rsidP="004F3FE9">
      <w:pPr>
        <w:jc w:val="both"/>
        <w:rPr>
          <w:rFonts w:ascii="Arial" w:hAnsi="Arial" w:cs="Arial"/>
          <w:sz w:val="22"/>
          <w:szCs w:val="22"/>
        </w:rPr>
      </w:pPr>
      <w:r>
        <w:rPr>
          <w:rFonts w:ascii="Arial" w:hAnsi="Arial" w:cs="Arial"/>
          <w:sz w:val="22"/>
          <w:szCs w:val="22"/>
        </w:rPr>
        <w:t xml:space="preserve">Three types of projects </w:t>
      </w:r>
      <w:r w:rsidR="006A2BD8">
        <w:rPr>
          <w:rFonts w:ascii="Arial" w:hAnsi="Arial" w:cs="Arial"/>
          <w:sz w:val="22"/>
          <w:szCs w:val="22"/>
        </w:rPr>
        <w:t xml:space="preserve">may </w:t>
      </w:r>
      <w:r>
        <w:rPr>
          <w:rFonts w:ascii="Arial" w:hAnsi="Arial" w:cs="Arial"/>
          <w:sz w:val="22"/>
          <w:szCs w:val="22"/>
        </w:rPr>
        <w:t xml:space="preserve">require geotechnical borings: </w:t>
      </w:r>
    </w:p>
    <w:p w14:paraId="52169254" w14:textId="0C811F32" w:rsidR="006A2BD8" w:rsidRPr="001A3751" w:rsidRDefault="004F3FE9" w:rsidP="00172E64">
      <w:pPr>
        <w:pStyle w:val="ListParagraph"/>
        <w:numPr>
          <w:ilvl w:val="0"/>
          <w:numId w:val="144"/>
        </w:numPr>
        <w:spacing w:before="120"/>
        <w:ind w:left="540" w:hanging="540"/>
        <w:jc w:val="both"/>
        <w:rPr>
          <w:rFonts w:ascii="Arial" w:hAnsi="Arial" w:cs="Arial"/>
          <w:sz w:val="22"/>
          <w:szCs w:val="22"/>
        </w:rPr>
      </w:pPr>
      <w:hyperlink w:anchor="S3_08_01" w:history="1">
        <w:r w:rsidRPr="001A3751">
          <w:rPr>
            <w:rStyle w:val="Hyperlink"/>
            <w:rFonts w:ascii="Arial" w:hAnsi="Arial" w:cs="Arial"/>
            <w:sz w:val="22"/>
            <w:szCs w:val="22"/>
          </w:rPr>
          <w:t>Roadway Project Request (Soil Survey)</w:t>
        </w:r>
        <w:r w:rsidR="00014D32" w:rsidRPr="001A3751">
          <w:rPr>
            <w:rStyle w:val="Hyperlink"/>
            <w:rFonts w:ascii="Arial" w:hAnsi="Arial" w:cs="Arial"/>
            <w:sz w:val="22"/>
            <w:szCs w:val="22"/>
          </w:rPr>
          <w:t xml:space="preserve"> Section 3.08.01</w:t>
        </w:r>
      </w:hyperlink>
      <w:r w:rsidRPr="001A3751">
        <w:rPr>
          <w:rFonts w:ascii="Arial" w:hAnsi="Arial" w:cs="Arial"/>
          <w:sz w:val="22"/>
          <w:szCs w:val="22"/>
        </w:rPr>
        <w:t xml:space="preserve"> for roadway widening or reconstruction projects </w:t>
      </w:r>
    </w:p>
    <w:p w14:paraId="7098ADFE" w14:textId="50967F21" w:rsidR="006A2BD8" w:rsidRPr="001A3751" w:rsidRDefault="004F3FE9" w:rsidP="00172E64">
      <w:pPr>
        <w:pStyle w:val="ListParagraph"/>
        <w:numPr>
          <w:ilvl w:val="0"/>
          <w:numId w:val="144"/>
        </w:numPr>
        <w:ind w:left="540" w:hanging="540"/>
        <w:jc w:val="both"/>
        <w:rPr>
          <w:rFonts w:ascii="Arial" w:hAnsi="Arial" w:cs="Arial"/>
          <w:sz w:val="22"/>
          <w:szCs w:val="22"/>
        </w:rPr>
      </w:pPr>
      <w:hyperlink w:anchor="S3_08_02" w:history="1">
        <w:r w:rsidRPr="001A3751">
          <w:rPr>
            <w:rStyle w:val="Hyperlink"/>
            <w:rFonts w:ascii="Arial" w:hAnsi="Arial" w:cs="Arial"/>
            <w:sz w:val="22"/>
            <w:szCs w:val="22"/>
          </w:rPr>
          <w:t>Stormwater Management Borings Request</w:t>
        </w:r>
        <w:r w:rsidR="00014D32" w:rsidRPr="001A3751">
          <w:rPr>
            <w:rStyle w:val="Hyperlink"/>
            <w:rFonts w:ascii="Arial" w:hAnsi="Arial" w:cs="Arial"/>
            <w:sz w:val="22"/>
            <w:szCs w:val="22"/>
          </w:rPr>
          <w:t xml:space="preserve"> Section 3.08.02</w:t>
        </w:r>
      </w:hyperlink>
      <w:r w:rsidRPr="001A3751">
        <w:rPr>
          <w:rFonts w:ascii="Arial" w:hAnsi="Arial" w:cs="Arial"/>
          <w:sz w:val="22"/>
          <w:szCs w:val="22"/>
        </w:rPr>
        <w:t xml:space="preserve"> for basins </w:t>
      </w:r>
    </w:p>
    <w:p w14:paraId="7CC9777F" w14:textId="3897F725" w:rsidR="006A2BD8" w:rsidRDefault="004F3FE9" w:rsidP="00172E64">
      <w:pPr>
        <w:pStyle w:val="ListParagraph"/>
        <w:numPr>
          <w:ilvl w:val="0"/>
          <w:numId w:val="144"/>
        </w:numPr>
        <w:ind w:left="540" w:hanging="540"/>
        <w:jc w:val="both"/>
        <w:rPr>
          <w:rFonts w:ascii="Arial" w:hAnsi="Arial" w:cs="Arial"/>
          <w:sz w:val="22"/>
          <w:szCs w:val="22"/>
        </w:rPr>
      </w:pPr>
      <w:hyperlink w:anchor="S3_08_03" w:history="1">
        <w:r w:rsidRPr="001A3751">
          <w:rPr>
            <w:rStyle w:val="Hyperlink"/>
            <w:rFonts w:ascii="Arial" w:hAnsi="Arial" w:cs="Arial"/>
            <w:sz w:val="22"/>
            <w:szCs w:val="22"/>
          </w:rPr>
          <w:t xml:space="preserve">Standard Penetration Testing (SPT) Request </w:t>
        </w:r>
        <w:r w:rsidR="00014D32" w:rsidRPr="001A3751">
          <w:rPr>
            <w:rStyle w:val="Hyperlink"/>
            <w:rFonts w:ascii="Arial" w:hAnsi="Arial" w:cs="Arial"/>
            <w:sz w:val="22"/>
            <w:szCs w:val="22"/>
          </w:rPr>
          <w:t>Section 3.08.03</w:t>
        </w:r>
      </w:hyperlink>
      <w:r w:rsidR="00014D32" w:rsidRPr="001A3751">
        <w:rPr>
          <w:rFonts w:ascii="Arial" w:hAnsi="Arial" w:cs="Arial"/>
          <w:sz w:val="22"/>
          <w:szCs w:val="22"/>
        </w:rPr>
        <w:t xml:space="preserve"> </w:t>
      </w:r>
      <w:r w:rsidRPr="001A3751">
        <w:rPr>
          <w:rFonts w:ascii="Arial" w:hAnsi="Arial" w:cs="Arial"/>
          <w:sz w:val="22"/>
          <w:szCs w:val="22"/>
        </w:rPr>
        <w:t>for proje</w:t>
      </w:r>
      <w:r w:rsidRPr="008014BA">
        <w:rPr>
          <w:rFonts w:ascii="Arial" w:hAnsi="Arial" w:cs="Arial"/>
          <w:sz w:val="22"/>
          <w:szCs w:val="22"/>
        </w:rPr>
        <w:t>cts involving structures</w:t>
      </w:r>
      <w:r w:rsidR="004C6520" w:rsidRPr="008014BA">
        <w:rPr>
          <w:rFonts w:ascii="Arial" w:hAnsi="Arial" w:cs="Arial"/>
          <w:sz w:val="22"/>
          <w:szCs w:val="22"/>
        </w:rPr>
        <w:t xml:space="preserve">  </w:t>
      </w:r>
    </w:p>
    <w:p w14:paraId="5B1B0E70" w14:textId="77777777" w:rsidR="006A2BD8" w:rsidRDefault="006A2BD8" w:rsidP="006A2BD8">
      <w:pPr>
        <w:jc w:val="both"/>
        <w:rPr>
          <w:rFonts w:ascii="Arial" w:hAnsi="Arial" w:cs="Arial"/>
          <w:sz w:val="22"/>
          <w:szCs w:val="22"/>
        </w:rPr>
      </w:pPr>
    </w:p>
    <w:p w14:paraId="2F13F70D" w14:textId="38F11E55" w:rsidR="00745CFB" w:rsidRDefault="00745CFB" w:rsidP="006A2BD8">
      <w:pPr>
        <w:jc w:val="both"/>
        <w:rPr>
          <w:rFonts w:ascii="Arial" w:hAnsi="Arial" w:cs="Arial"/>
          <w:sz w:val="22"/>
          <w:szCs w:val="22"/>
        </w:rPr>
      </w:pPr>
      <w:r>
        <w:rPr>
          <w:rFonts w:ascii="Arial" w:hAnsi="Arial" w:cs="Arial"/>
          <w:sz w:val="22"/>
          <w:szCs w:val="22"/>
        </w:rPr>
        <w:t xml:space="preserve">Roadway Projects and Stormwater Management Projects that do not involve structures or foundations typically require auger drilling and soil sampling.  </w:t>
      </w:r>
    </w:p>
    <w:p w14:paraId="5B8AD536" w14:textId="77777777" w:rsidR="00745CFB" w:rsidRDefault="00745CFB" w:rsidP="006A2BD8">
      <w:pPr>
        <w:jc w:val="both"/>
        <w:rPr>
          <w:rFonts w:ascii="Arial" w:hAnsi="Arial" w:cs="Arial"/>
          <w:sz w:val="22"/>
          <w:szCs w:val="22"/>
        </w:rPr>
      </w:pPr>
    </w:p>
    <w:p w14:paraId="069544D8" w14:textId="15257F32" w:rsidR="004F3FE9" w:rsidRDefault="00745CFB" w:rsidP="006A2BD8">
      <w:pPr>
        <w:jc w:val="both"/>
        <w:rPr>
          <w:rFonts w:ascii="Arial" w:hAnsi="Arial" w:cs="Arial"/>
          <w:sz w:val="22"/>
          <w:szCs w:val="22"/>
        </w:rPr>
      </w:pPr>
      <w:r w:rsidRPr="00BF1491">
        <w:rPr>
          <w:rFonts w:ascii="Arial" w:hAnsi="Arial" w:cs="Arial"/>
          <w:sz w:val="22"/>
          <w:szCs w:val="22"/>
        </w:rPr>
        <w:t xml:space="preserve">SPT Request </w:t>
      </w:r>
      <w:r>
        <w:rPr>
          <w:rFonts w:ascii="Arial" w:hAnsi="Arial" w:cs="Arial"/>
          <w:sz w:val="22"/>
          <w:szCs w:val="22"/>
        </w:rPr>
        <w:t xml:space="preserve">Projects are projects that </w:t>
      </w:r>
      <w:r w:rsidR="004C6520" w:rsidRPr="008014BA">
        <w:rPr>
          <w:rFonts w:ascii="Arial" w:hAnsi="Arial" w:cs="Arial"/>
          <w:sz w:val="22"/>
          <w:szCs w:val="22"/>
        </w:rPr>
        <w:t>involve structures</w:t>
      </w:r>
      <w:r>
        <w:rPr>
          <w:rFonts w:ascii="Arial" w:hAnsi="Arial" w:cs="Arial"/>
          <w:sz w:val="22"/>
          <w:szCs w:val="22"/>
        </w:rPr>
        <w:t xml:space="preserve"> with foundations</w:t>
      </w:r>
      <w:r w:rsidR="004C6520" w:rsidRPr="008014BA">
        <w:rPr>
          <w:rFonts w:ascii="Arial" w:hAnsi="Arial" w:cs="Arial"/>
          <w:sz w:val="22"/>
          <w:szCs w:val="22"/>
        </w:rPr>
        <w:t xml:space="preserve"> including</w:t>
      </w:r>
      <w:r w:rsidR="004F3FE9" w:rsidRPr="008014BA">
        <w:rPr>
          <w:rFonts w:ascii="Arial" w:hAnsi="Arial" w:cs="Arial"/>
          <w:sz w:val="22"/>
          <w:szCs w:val="22"/>
        </w:rPr>
        <w:t xml:space="preserve"> stormwater </w:t>
      </w:r>
      <w:r w:rsidR="004C6520" w:rsidRPr="008014BA">
        <w:rPr>
          <w:rFonts w:ascii="Arial" w:hAnsi="Arial" w:cs="Arial"/>
          <w:sz w:val="22"/>
          <w:szCs w:val="22"/>
        </w:rPr>
        <w:t xml:space="preserve">headwalls, dams, risers, and pipes; </w:t>
      </w:r>
      <w:r>
        <w:rPr>
          <w:rFonts w:ascii="Arial" w:hAnsi="Arial" w:cs="Arial"/>
          <w:sz w:val="22"/>
          <w:szCs w:val="22"/>
        </w:rPr>
        <w:t xml:space="preserve">roadway </w:t>
      </w:r>
      <w:r w:rsidR="006A2BD8" w:rsidRPr="008014BA">
        <w:rPr>
          <w:rFonts w:ascii="Arial" w:hAnsi="Arial" w:cs="Arial"/>
          <w:sz w:val="22"/>
          <w:szCs w:val="22"/>
        </w:rPr>
        <w:t>headwalls, retaining walls, bridge abutments and foundations</w:t>
      </w:r>
      <w:r w:rsidR="008A0AF6">
        <w:rPr>
          <w:rFonts w:ascii="Arial" w:hAnsi="Arial" w:cs="Arial"/>
          <w:sz w:val="22"/>
          <w:szCs w:val="22"/>
        </w:rPr>
        <w:t>;</w:t>
      </w:r>
      <w:r w:rsidR="006A2BD8" w:rsidRPr="008014BA">
        <w:rPr>
          <w:rFonts w:ascii="Arial" w:hAnsi="Arial" w:cs="Arial"/>
          <w:sz w:val="22"/>
          <w:szCs w:val="22"/>
        </w:rPr>
        <w:t xml:space="preserve"> </w:t>
      </w:r>
      <w:r w:rsidR="004C6520" w:rsidRPr="008014BA">
        <w:rPr>
          <w:rFonts w:ascii="Arial" w:hAnsi="Arial" w:cs="Arial"/>
          <w:sz w:val="22"/>
          <w:szCs w:val="22"/>
        </w:rPr>
        <w:t xml:space="preserve">noise walls, </w:t>
      </w:r>
      <w:r w:rsidR="006A2BD8" w:rsidRPr="008014BA">
        <w:rPr>
          <w:rFonts w:ascii="Arial" w:hAnsi="Arial" w:cs="Arial"/>
          <w:sz w:val="22"/>
          <w:szCs w:val="22"/>
        </w:rPr>
        <w:t>deep foundations, cuts, and embankments and culverts.</w:t>
      </w:r>
      <w:r w:rsidR="004C6520" w:rsidRPr="008014BA">
        <w:rPr>
          <w:rFonts w:ascii="Arial" w:hAnsi="Arial" w:cs="Arial"/>
          <w:sz w:val="22"/>
          <w:szCs w:val="22"/>
        </w:rPr>
        <w:t xml:space="preserve"> </w:t>
      </w:r>
    </w:p>
    <w:p w14:paraId="68605CA6" w14:textId="77777777" w:rsidR="00305ABE" w:rsidRDefault="00305ABE" w:rsidP="006A2BD8">
      <w:pPr>
        <w:jc w:val="both"/>
        <w:rPr>
          <w:rFonts w:ascii="Arial" w:hAnsi="Arial" w:cs="Arial"/>
          <w:sz w:val="22"/>
          <w:szCs w:val="22"/>
        </w:rPr>
      </w:pPr>
    </w:p>
    <w:p w14:paraId="0B4ED191" w14:textId="5F5CB338" w:rsidR="00305ABE" w:rsidRDefault="00305ABE" w:rsidP="006A2BD8">
      <w:pPr>
        <w:jc w:val="both"/>
        <w:rPr>
          <w:rFonts w:ascii="Arial" w:hAnsi="Arial" w:cs="Arial"/>
          <w:sz w:val="22"/>
          <w:szCs w:val="22"/>
        </w:rPr>
      </w:pPr>
      <w:r>
        <w:rPr>
          <w:rFonts w:ascii="Arial" w:hAnsi="Arial" w:cs="Arial"/>
          <w:sz w:val="22"/>
          <w:szCs w:val="22"/>
        </w:rPr>
        <w:t xml:space="preserve">In addition, for certain projects, other in-situ </w:t>
      </w:r>
      <w:r w:rsidR="00735B36">
        <w:rPr>
          <w:rFonts w:ascii="Arial" w:hAnsi="Arial" w:cs="Arial"/>
          <w:sz w:val="22"/>
          <w:szCs w:val="22"/>
        </w:rPr>
        <w:t xml:space="preserve">testing may be </w:t>
      </w:r>
      <w:r w:rsidR="00735B36" w:rsidRPr="00052A2A">
        <w:rPr>
          <w:rFonts w:ascii="Arial" w:hAnsi="Arial" w:cs="Arial"/>
          <w:sz w:val="22"/>
          <w:szCs w:val="22"/>
        </w:rPr>
        <w:t>required to determine in-situ engineering properties of sub-soils at the site. The EGD should be contacted for in-situ testing. The EGD would be responsible for developing an in-situ testing program and corresponding request, if necessary</w:t>
      </w:r>
      <w:r w:rsidR="00735B36">
        <w:rPr>
          <w:rFonts w:ascii="Arial" w:hAnsi="Arial" w:cs="Arial"/>
          <w:sz w:val="22"/>
          <w:szCs w:val="22"/>
        </w:rPr>
        <w:t>.</w:t>
      </w:r>
    </w:p>
    <w:p w14:paraId="67E51B31" w14:textId="77777777" w:rsidR="00305ABE" w:rsidRDefault="00305ABE" w:rsidP="006A2BD8">
      <w:pPr>
        <w:jc w:val="both"/>
        <w:rPr>
          <w:rFonts w:ascii="Arial" w:hAnsi="Arial" w:cs="Arial"/>
          <w:sz w:val="22"/>
          <w:szCs w:val="22"/>
        </w:rPr>
      </w:pPr>
    </w:p>
    <w:p w14:paraId="11FD5641" w14:textId="61D6C1E2" w:rsidR="00735B36" w:rsidRDefault="00735B36" w:rsidP="006A2BD8">
      <w:pPr>
        <w:jc w:val="both"/>
        <w:rPr>
          <w:rFonts w:ascii="Arial" w:hAnsi="Arial" w:cs="Arial"/>
          <w:sz w:val="22"/>
          <w:szCs w:val="22"/>
        </w:rPr>
      </w:pPr>
      <w:r>
        <w:rPr>
          <w:rFonts w:ascii="Arial" w:hAnsi="Arial" w:cs="Arial"/>
          <w:sz w:val="22"/>
          <w:szCs w:val="22"/>
        </w:rPr>
        <w:t xml:space="preserve">The procedure in </w:t>
      </w:r>
      <w:hyperlink w:anchor="Geotech_Invest_Scop" w:history="1">
        <w:r w:rsidRPr="001A6C91">
          <w:rPr>
            <w:rStyle w:val="Hyperlink"/>
            <w:rFonts w:ascii="Arial" w:hAnsi="Arial" w:cs="Arial"/>
            <w:i/>
            <w:sz w:val="22"/>
            <w:szCs w:val="22"/>
          </w:rPr>
          <w:t xml:space="preserve">Section 3.06 Geotechnical </w:t>
        </w:r>
        <w:r w:rsidR="008A0AF6" w:rsidRPr="001A6C91">
          <w:rPr>
            <w:rStyle w:val="Hyperlink"/>
            <w:rFonts w:ascii="Arial" w:hAnsi="Arial" w:cs="Arial"/>
            <w:i/>
            <w:sz w:val="22"/>
            <w:szCs w:val="22"/>
          </w:rPr>
          <w:t xml:space="preserve">Investigation </w:t>
        </w:r>
        <w:r w:rsidRPr="001A6C91">
          <w:rPr>
            <w:rStyle w:val="Hyperlink"/>
            <w:rFonts w:ascii="Arial" w:hAnsi="Arial" w:cs="Arial"/>
            <w:i/>
            <w:sz w:val="22"/>
            <w:szCs w:val="22"/>
          </w:rPr>
          <w:t>Scoping</w:t>
        </w:r>
      </w:hyperlink>
      <w:r w:rsidRPr="001A6C91">
        <w:rPr>
          <w:rFonts w:ascii="Arial" w:hAnsi="Arial" w:cs="Arial"/>
          <w:sz w:val="22"/>
          <w:szCs w:val="22"/>
        </w:rPr>
        <w:t xml:space="preserve"> should be followed prior to the </w:t>
      </w:r>
      <w:r w:rsidR="00E010AB" w:rsidRPr="001A6C91">
        <w:rPr>
          <w:rFonts w:ascii="Arial" w:hAnsi="Arial" w:cs="Arial"/>
          <w:sz w:val="22"/>
          <w:szCs w:val="22"/>
        </w:rPr>
        <w:t xml:space="preserve">process </w:t>
      </w:r>
      <w:r w:rsidRPr="001A6C91">
        <w:rPr>
          <w:rFonts w:ascii="Arial" w:hAnsi="Arial" w:cs="Arial"/>
          <w:sz w:val="22"/>
          <w:szCs w:val="22"/>
        </w:rPr>
        <w:t xml:space="preserve">described here in </w:t>
      </w:r>
      <w:hyperlink w:anchor="Geot_Field_Work" w:history="1">
        <w:r w:rsidRPr="001A6C91">
          <w:rPr>
            <w:rStyle w:val="Hyperlink"/>
            <w:rFonts w:ascii="Arial" w:hAnsi="Arial" w:cs="Arial"/>
            <w:i/>
            <w:sz w:val="22"/>
            <w:szCs w:val="22"/>
          </w:rPr>
          <w:t>Section 3.08</w:t>
        </w:r>
        <w:r w:rsidR="00E010AB" w:rsidRPr="001A6C91">
          <w:rPr>
            <w:rStyle w:val="Hyperlink"/>
            <w:rFonts w:ascii="Arial" w:hAnsi="Arial" w:cs="Arial"/>
            <w:i/>
            <w:sz w:val="22"/>
            <w:szCs w:val="22"/>
          </w:rPr>
          <w:t xml:space="preserve"> Requests for Geotechnical Field Work</w:t>
        </w:r>
        <w:r w:rsidRPr="001A6C91">
          <w:rPr>
            <w:rStyle w:val="Hyperlink"/>
            <w:rFonts w:ascii="Arial" w:hAnsi="Arial" w:cs="Arial"/>
            <w:sz w:val="22"/>
            <w:szCs w:val="22"/>
          </w:rPr>
          <w:t>.</w:t>
        </w:r>
      </w:hyperlink>
      <w:r>
        <w:rPr>
          <w:rFonts w:ascii="Arial" w:hAnsi="Arial" w:cs="Arial"/>
          <w:sz w:val="22"/>
          <w:szCs w:val="22"/>
        </w:rPr>
        <w:t xml:space="preserve">  If </w:t>
      </w:r>
      <w:r w:rsidR="00E010AB">
        <w:rPr>
          <w:rFonts w:ascii="Arial" w:hAnsi="Arial" w:cs="Arial"/>
          <w:sz w:val="22"/>
          <w:szCs w:val="22"/>
        </w:rPr>
        <w:t>g</w:t>
      </w:r>
      <w:r>
        <w:rPr>
          <w:rFonts w:ascii="Arial" w:hAnsi="Arial" w:cs="Arial"/>
          <w:sz w:val="22"/>
          <w:szCs w:val="22"/>
        </w:rPr>
        <w:t xml:space="preserve">eophysical </w:t>
      </w:r>
      <w:r w:rsidR="00E010AB">
        <w:rPr>
          <w:rFonts w:ascii="Arial" w:hAnsi="Arial" w:cs="Arial"/>
          <w:sz w:val="22"/>
          <w:szCs w:val="22"/>
        </w:rPr>
        <w:t>t</w:t>
      </w:r>
      <w:r w:rsidR="00500649">
        <w:rPr>
          <w:rFonts w:ascii="Arial" w:hAnsi="Arial" w:cs="Arial"/>
          <w:sz w:val="22"/>
          <w:szCs w:val="22"/>
        </w:rPr>
        <w:t>echnologies</w:t>
      </w:r>
      <w:r>
        <w:rPr>
          <w:rFonts w:ascii="Arial" w:hAnsi="Arial" w:cs="Arial"/>
          <w:sz w:val="22"/>
          <w:szCs w:val="22"/>
        </w:rPr>
        <w:t xml:space="preserve"> will be used, </w:t>
      </w:r>
      <w:r w:rsidR="00500649">
        <w:rPr>
          <w:rFonts w:ascii="Arial" w:hAnsi="Arial" w:cs="Arial"/>
          <w:sz w:val="22"/>
          <w:szCs w:val="22"/>
        </w:rPr>
        <w:t xml:space="preserve">it is preferred that </w:t>
      </w:r>
      <w:r>
        <w:rPr>
          <w:rFonts w:ascii="Arial" w:hAnsi="Arial" w:cs="Arial"/>
          <w:sz w:val="22"/>
          <w:szCs w:val="22"/>
        </w:rPr>
        <w:t xml:space="preserve">those should be completed prior to the geotechnical borings </w:t>
      </w:r>
      <w:r w:rsidR="00500649">
        <w:rPr>
          <w:rFonts w:ascii="Arial" w:hAnsi="Arial" w:cs="Arial"/>
          <w:sz w:val="22"/>
          <w:szCs w:val="22"/>
        </w:rPr>
        <w:t>to allow</w:t>
      </w:r>
      <w:r>
        <w:rPr>
          <w:rFonts w:ascii="Arial" w:hAnsi="Arial" w:cs="Arial"/>
          <w:sz w:val="22"/>
          <w:szCs w:val="22"/>
        </w:rPr>
        <w:t xml:space="preserve"> boring locations and numbers </w:t>
      </w:r>
      <w:r w:rsidR="00500649">
        <w:rPr>
          <w:rFonts w:ascii="Arial" w:hAnsi="Arial" w:cs="Arial"/>
          <w:sz w:val="22"/>
          <w:szCs w:val="22"/>
        </w:rPr>
        <w:t>to</w:t>
      </w:r>
      <w:r>
        <w:rPr>
          <w:rFonts w:ascii="Arial" w:hAnsi="Arial" w:cs="Arial"/>
          <w:sz w:val="22"/>
          <w:szCs w:val="22"/>
        </w:rPr>
        <w:t xml:space="preserve"> be adjusted based on the geophysical findings.</w:t>
      </w:r>
      <w:r w:rsidR="001D7FFC">
        <w:rPr>
          <w:rFonts w:ascii="Arial" w:hAnsi="Arial" w:cs="Arial"/>
          <w:sz w:val="22"/>
          <w:szCs w:val="22"/>
        </w:rPr>
        <w:t xml:space="preserve"> </w:t>
      </w:r>
      <w:r w:rsidR="00286CC7">
        <w:rPr>
          <w:rFonts w:ascii="Arial" w:hAnsi="Arial" w:cs="Arial"/>
          <w:sz w:val="22"/>
          <w:szCs w:val="22"/>
        </w:rPr>
        <w:t>For scheduling purposes, a test boring program can be developed and requested</w:t>
      </w:r>
      <w:r w:rsidR="001D107A">
        <w:rPr>
          <w:rFonts w:ascii="Arial" w:hAnsi="Arial" w:cs="Arial"/>
          <w:sz w:val="22"/>
          <w:szCs w:val="22"/>
        </w:rPr>
        <w:t xml:space="preserve"> to FED</w:t>
      </w:r>
      <w:r w:rsidR="00286CC7">
        <w:rPr>
          <w:rFonts w:ascii="Arial" w:hAnsi="Arial" w:cs="Arial"/>
          <w:sz w:val="22"/>
          <w:szCs w:val="22"/>
        </w:rPr>
        <w:t>, and the boring locations and depths revised once the geophysical results are completed.</w:t>
      </w:r>
    </w:p>
    <w:p w14:paraId="7C74A4FD" w14:textId="77777777" w:rsidR="00BF0AC8" w:rsidRDefault="00BF0AC8" w:rsidP="006A2BD8">
      <w:pPr>
        <w:jc w:val="both"/>
        <w:rPr>
          <w:rFonts w:ascii="Arial" w:hAnsi="Arial" w:cs="Arial"/>
          <w:sz w:val="22"/>
          <w:szCs w:val="22"/>
        </w:rPr>
      </w:pPr>
    </w:p>
    <w:p w14:paraId="44D1632D" w14:textId="77777777" w:rsidR="00BF0AC8" w:rsidRPr="00BF0AC8" w:rsidRDefault="00BF0AC8" w:rsidP="00BF0AC8">
      <w:pPr>
        <w:jc w:val="both"/>
        <w:rPr>
          <w:rFonts w:ascii="Arial" w:hAnsi="Arial" w:cs="Arial"/>
          <w:sz w:val="22"/>
          <w:szCs w:val="22"/>
        </w:rPr>
      </w:pPr>
      <w:r w:rsidRPr="00BF0AC8">
        <w:rPr>
          <w:rFonts w:ascii="Arial" w:hAnsi="Arial" w:cs="Arial"/>
          <w:sz w:val="22"/>
          <w:szCs w:val="22"/>
        </w:rPr>
        <w:t>Where PAGD and EGD are requesting borings for the same project, PAGD will be responsible for submitting both divisions boring requests to FED. PAGD will make every effort to submit a single combined boring request for a project. However, based on project and drilling schedules, PAGD may submit several boring requests as boring investigation plans for different components of a project become available.  As applicable, there should be coordination to see if geophysical testing is warranted to reduce the number of borings.  In such cases, a meeting PAGD, EGD, and FED should be held.</w:t>
      </w:r>
    </w:p>
    <w:p w14:paraId="3A628263" w14:textId="77777777" w:rsidR="00BF0AC8" w:rsidRDefault="00BF0AC8" w:rsidP="006A2BD8">
      <w:pPr>
        <w:jc w:val="both"/>
        <w:rPr>
          <w:rFonts w:ascii="Arial" w:hAnsi="Arial" w:cs="Arial"/>
          <w:sz w:val="22"/>
          <w:szCs w:val="22"/>
        </w:rPr>
      </w:pPr>
    </w:p>
    <w:p w14:paraId="11415929" w14:textId="77777777" w:rsidR="003D2F70" w:rsidRDefault="003D2F70" w:rsidP="00BE3F24">
      <w:pPr>
        <w:pStyle w:val="Heading3"/>
        <w:ind w:left="0" w:firstLine="0"/>
      </w:pPr>
      <w:bookmarkStart w:id="134" w:name="_Roadway_Project_Request"/>
      <w:bookmarkStart w:id="135" w:name="S3_08_01"/>
      <w:bookmarkEnd w:id="134"/>
      <w:r>
        <w:t>Roadway Project Request (Soil Survey)</w:t>
      </w:r>
      <w:bookmarkEnd w:id="135"/>
    </w:p>
    <w:p w14:paraId="727CBF59" w14:textId="77777777" w:rsidR="003D2F70" w:rsidRDefault="003D2F70" w:rsidP="00BE3F24">
      <w:pPr>
        <w:pStyle w:val="Heading4"/>
        <w:ind w:left="0" w:firstLine="0"/>
      </w:pPr>
      <w:r>
        <w:t>General</w:t>
      </w:r>
    </w:p>
    <w:p w14:paraId="36C5B5CA" w14:textId="54282452" w:rsidR="003D2F70" w:rsidRDefault="003D2F70" w:rsidP="00BE3F24">
      <w:pPr>
        <w:jc w:val="both"/>
        <w:rPr>
          <w:rFonts w:ascii="Arial" w:hAnsi="Arial" w:cs="Arial"/>
          <w:sz w:val="22"/>
          <w:szCs w:val="22"/>
        </w:rPr>
      </w:pPr>
      <w:r w:rsidRPr="003D2F70">
        <w:rPr>
          <w:rFonts w:ascii="Arial" w:hAnsi="Arial" w:cs="Arial"/>
          <w:sz w:val="22"/>
          <w:szCs w:val="22"/>
        </w:rPr>
        <w:t xml:space="preserve">Auger drilling is the most common type of drilling utilized in routine soil survey work where roadway widening or reconstruction is involved. Two types of auger drilling systems </w:t>
      </w:r>
      <w:r w:rsidR="00450ED1">
        <w:rPr>
          <w:rFonts w:ascii="Arial" w:hAnsi="Arial" w:cs="Arial"/>
          <w:sz w:val="22"/>
          <w:szCs w:val="22"/>
        </w:rPr>
        <w:t xml:space="preserve">are </w:t>
      </w:r>
      <w:r w:rsidRPr="003D2F70">
        <w:rPr>
          <w:rFonts w:ascii="Arial" w:hAnsi="Arial" w:cs="Arial"/>
          <w:sz w:val="22"/>
          <w:szCs w:val="22"/>
        </w:rPr>
        <w:t>available</w:t>
      </w:r>
      <w:r w:rsidR="004F3FE9">
        <w:rPr>
          <w:rFonts w:ascii="Arial" w:hAnsi="Arial" w:cs="Arial"/>
          <w:sz w:val="22"/>
          <w:szCs w:val="22"/>
        </w:rPr>
        <w:t>:</w:t>
      </w:r>
      <w:r w:rsidRPr="003D2F70">
        <w:rPr>
          <w:rFonts w:ascii="Arial" w:hAnsi="Arial" w:cs="Arial"/>
          <w:sz w:val="22"/>
          <w:szCs w:val="22"/>
        </w:rPr>
        <w:t xml:space="preserve"> power operated and hand operated. </w:t>
      </w:r>
    </w:p>
    <w:p w14:paraId="09F4C589" w14:textId="77777777" w:rsidR="004F3FE9" w:rsidRPr="003D2F70" w:rsidRDefault="004F3FE9" w:rsidP="00BE3F24">
      <w:pPr>
        <w:jc w:val="both"/>
        <w:rPr>
          <w:rFonts w:ascii="Arial" w:hAnsi="Arial" w:cs="Arial"/>
          <w:sz w:val="22"/>
          <w:szCs w:val="22"/>
        </w:rPr>
      </w:pPr>
    </w:p>
    <w:p w14:paraId="59DBD4FB" w14:textId="77777777" w:rsidR="003D2F70" w:rsidRPr="003D2F70" w:rsidRDefault="003D2F70" w:rsidP="00BE3F24">
      <w:pPr>
        <w:tabs>
          <w:tab w:val="left" w:pos="1917"/>
        </w:tabs>
        <w:jc w:val="both"/>
        <w:rPr>
          <w:rFonts w:ascii="Arial" w:hAnsi="Arial" w:cs="Arial"/>
          <w:sz w:val="22"/>
          <w:szCs w:val="22"/>
        </w:rPr>
      </w:pPr>
      <w:r w:rsidRPr="003D2F70">
        <w:rPr>
          <w:rFonts w:ascii="Arial" w:hAnsi="Arial" w:cs="Arial"/>
          <w:sz w:val="22"/>
          <w:szCs w:val="22"/>
        </w:rPr>
        <w:lastRenderedPageBreak/>
        <w:t xml:space="preserve">Timeframe:  Estimate </w:t>
      </w:r>
      <w:r w:rsidR="00ED16A4">
        <w:rPr>
          <w:rFonts w:ascii="Arial" w:hAnsi="Arial" w:cs="Arial"/>
          <w:sz w:val="22"/>
          <w:szCs w:val="22"/>
        </w:rPr>
        <w:t>6</w:t>
      </w:r>
      <w:r w:rsidR="00ED16A4" w:rsidRPr="003D2F70">
        <w:rPr>
          <w:rFonts w:ascii="Arial" w:hAnsi="Arial" w:cs="Arial"/>
          <w:sz w:val="22"/>
          <w:szCs w:val="22"/>
        </w:rPr>
        <w:t xml:space="preserve"> </w:t>
      </w:r>
      <w:r w:rsidRPr="003D2F70">
        <w:rPr>
          <w:rFonts w:ascii="Arial" w:hAnsi="Arial" w:cs="Arial"/>
          <w:sz w:val="22"/>
          <w:szCs w:val="22"/>
        </w:rPr>
        <w:t>months from the time the boring request is submitted to FED. This applies whether the project has 5 borings or 50 borings.</w:t>
      </w:r>
      <w:r w:rsidR="005914B6">
        <w:rPr>
          <w:rFonts w:ascii="Arial" w:hAnsi="Arial" w:cs="Arial"/>
          <w:sz w:val="22"/>
          <w:szCs w:val="22"/>
        </w:rPr>
        <w:t xml:space="preserve">  Actual timeframes should be discussed with FED and the requesting office.</w:t>
      </w:r>
    </w:p>
    <w:p w14:paraId="61868FC7" w14:textId="77777777" w:rsidR="003D2F70" w:rsidRDefault="003D2F70" w:rsidP="00BE3F24">
      <w:pPr>
        <w:tabs>
          <w:tab w:val="left" w:pos="1917"/>
        </w:tabs>
        <w:rPr>
          <w:rFonts w:ascii="Arial" w:hAnsi="Arial" w:cs="Arial"/>
        </w:rPr>
      </w:pPr>
    </w:p>
    <w:p w14:paraId="0246A308" w14:textId="77777777" w:rsidR="003D2F70" w:rsidRDefault="003D2F70" w:rsidP="00BE3F24">
      <w:pPr>
        <w:pStyle w:val="Heading4"/>
        <w:ind w:left="0" w:firstLine="0"/>
      </w:pPr>
      <w:r>
        <w:t>Purpose</w:t>
      </w:r>
    </w:p>
    <w:p w14:paraId="6AE9264C" w14:textId="77777777" w:rsidR="003D2F70" w:rsidRDefault="003D2F70" w:rsidP="00BE3F24">
      <w:pPr>
        <w:pStyle w:val="BodyText"/>
      </w:pPr>
      <w:r>
        <w:t>A soil survey for the project is needed to:</w:t>
      </w:r>
    </w:p>
    <w:p w14:paraId="0D6F1AE4" w14:textId="23B0B2CD"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Document the type, thickness</w:t>
      </w:r>
      <w:r w:rsidR="00450ED1" w:rsidRPr="006F24C9">
        <w:rPr>
          <w:rFonts w:ascii="Arial" w:hAnsi="Arial" w:cs="Arial"/>
          <w:sz w:val="22"/>
          <w:szCs w:val="22"/>
        </w:rPr>
        <w:t>,</w:t>
      </w:r>
      <w:r w:rsidRPr="003B0918">
        <w:rPr>
          <w:rFonts w:ascii="Arial" w:hAnsi="Arial"/>
          <w:sz w:val="22"/>
        </w:rPr>
        <w:t xml:space="preserve"> and condition of existing roadways</w:t>
      </w:r>
    </w:p>
    <w:p w14:paraId="7A6748CF" w14:textId="77777777"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Determine the thickness of various soil strata at the site</w:t>
      </w:r>
    </w:p>
    <w:p w14:paraId="67611EF0" w14:textId="77777777"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Obtain information about the different types of soils available at job site</w:t>
      </w:r>
    </w:p>
    <w:p w14:paraId="13ECD334" w14:textId="77777777"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Obtain soil samples for laboratory testing</w:t>
      </w:r>
    </w:p>
    <w:p w14:paraId="7F6F2896" w14:textId="77777777"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Obtain the engineering properties of subgrade soils</w:t>
      </w:r>
    </w:p>
    <w:p w14:paraId="6674F342" w14:textId="23064664"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 xml:space="preserve">Obtain information on </w:t>
      </w:r>
      <w:r w:rsidRPr="006F24C9">
        <w:rPr>
          <w:rFonts w:ascii="Arial" w:hAnsi="Arial" w:cs="Arial"/>
          <w:sz w:val="22"/>
          <w:szCs w:val="22"/>
        </w:rPr>
        <w:t>groundwater</w:t>
      </w:r>
      <w:r w:rsidRPr="003B0918">
        <w:rPr>
          <w:rFonts w:ascii="Arial" w:hAnsi="Arial"/>
          <w:sz w:val="22"/>
        </w:rPr>
        <w:t xml:space="preserve"> levels</w:t>
      </w:r>
    </w:p>
    <w:p w14:paraId="2FA5130E" w14:textId="77777777"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Note drainage characteristics of the site</w:t>
      </w:r>
    </w:p>
    <w:p w14:paraId="6AD8BF06" w14:textId="77777777"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 xml:space="preserve">Obtain rock elevations if applicable </w:t>
      </w:r>
    </w:p>
    <w:p w14:paraId="18253933" w14:textId="77777777" w:rsidR="003D2F70" w:rsidRPr="003B0918" w:rsidRDefault="003D2F70" w:rsidP="00172E64">
      <w:pPr>
        <w:pStyle w:val="ListParagraph"/>
        <w:numPr>
          <w:ilvl w:val="0"/>
          <w:numId w:val="84"/>
        </w:numPr>
        <w:ind w:left="720" w:hanging="720"/>
        <w:jc w:val="both"/>
        <w:rPr>
          <w:rFonts w:ascii="Arial" w:hAnsi="Arial"/>
          <w:sz w:val="22"/>
        </w:rPr>
      </w:pPr>
      <w:r w:rsidRPr="003B0918">
        <w:rPr>
          <w:rFonts w:ascii="Arial" w:hAnsi="Arial"/>
          <w:sz w:val="22"/>
        </w:rPr>
        <w:t>Note any unusual site conditions that could impact either the line and grade of new construction or the construction sequence</w:t>
      </w:r>
    </w:p>
    <w:p w14:paraId="2E094A2F" w14:textId="77777777" w:rsidR="00141DBF" w:rsidRDefault="00141DBF" w:rsidP="003B0918">
      <w:pPr>
        <w:pStyle w:val="ListBullet"/>
      </w:pPr>
    </w:p>
    <w:p w14:paraId="71000C4E" w14:textId="77777777" w:rsidR="003D2F70" w:rsidRPr="00CC58A7" w:rsidRDefault="003D2F70" w:rsidP="003B0918">
      <w:pPr>
        <w:pStyle w:val="Heading4"/>
        <w:tabs>
          <w:tab w:val="left" w:pos="1440"/>
        </w:tabs>
        <w:ind w:left="0" w:firstLine="0"/>
      </w:pPr>
      <w:r w:rsidRPr="00CC58A7">
        <w:t>Resource Requirements</w:t>
      </w:r>
    </w:p>
    <w:p w14:paraId="29E4F89C" w14:textId="77777777" w:rsidR="003D2F70" w:rsidRPr="00CC58A7" w:rsidRDefault="003D2F70" w:rsidP="00BE3F24">
      <w:pPr>
        <w:pStyle w:val="BodyText"/>
        <w:jc w:val="both"/>
      </w:pPr>
      <w:r w:rsidRPr="00CC58A7">
        <w:t xml:space="preserve">The request process is typically done with data available to the </w:t>
      </w:r>
      <w:r>
        <w:t>PAGD Engineer</w:t>
      </w:r>
      <w:r w:rsidRPr="00CC58A7">
        <w:t xml:space="preserve"> in the office coupled with a site visit.  The request procedure documented below requires the following staffing needs for a typical </w:t>
      </w:r>
      <w:r>
        <w:t>project</w:t>
      </w:r>
      <w:r w:rsidRPr="00CC58A7">
        <w:t>:</w:t>
      </w:r>
    </w:p>
    <w:tbl>
      <w:tblPr>
        <w:tblW w:w="8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2"/>
        <w:gridCol w:w="2286"/>
        <w:gridCol w:w="1926"/>
        <w:gridCol w:w="1584"/>
      </w:tblGrid>
      <w:tr w:rsidR="003D2F70" w:rsidRPr="00CC58A7" w14:paraId="3DE9FB8B" w14:textId="77777777" w:rsidTr="003B0918">
        <w:trPr>
          <w:trHeight w:val="288"/>
          <w:jc w:val="center"/>
        </w:trPr>
        <w:tc>
          <w:tcPr>
            <w:tcW w:w="2782" w:type="dxa"/>
            <w:shd w:val="pct15" w:color="auto" w:fill="FFFFFF"/>
            <w:vAlign w:val="center"/>
          </w:tcPr>
          <w:p w14:paraId="50223E48" w14:textId="77777777" w:rsidR="003D2F70" w:rsidRPr="00CC58A7" w:rsidRDefault="003D2F70" w:rsidP="00BE3F24">
            <w:pPr>
              <w:jc w:val="center"/>
              <w:rPr>
                <w:rFonts w:ascii="Arial" w:hAnsi="Arial"/>
                <w:b/>
              </w:rPr>
            </w:pPr>
            <w:r w:rsidRPr="00CC58A7">
              <w:rPr>
                <w:rFonts w:ascii="Arial" w:hAnsi="Arial"/>
                <w:b/>
              </w:rPr>
              <w:t>Position</w:t>
            </w:r>
          </w:p>
        </w:tc>
        <w:tc>
          <w:tcPr>
            <w:tcW w:w="2286" w:type="dxa"/>
            <w:shd w:val="pct15" w:color="auto" w:fill="FFFFFF"/>
            <w:vAlign w:val="center"/>
          </w:tcPr>
          <w:p w14:paraId="4CBC202E" w14:textId="77777777" w:rsidR="003D2F70" w:rsidRPr="00CC58A7" w:rsidRDefault="003D2F70" w:rsidP="00BE3F24">
            <w:pPr>
              <w:jc w:val="center"/>
              <w:rPr>
                <w:rFonts w:ascii="Arial" w:hAnsi="Arial"/>
                <w:b/>
              </w:rPr>
            </w:pPr>
            <w:r w:rsidRPr="00CC58A7">
              <w:rPr>
                <w:rFonts w:ascii="Arial" w:hAnsi="Arial"/>
                <w:b/>
              </w:rPr>
              <w:t>Function</w:t>
            </w:r>
          </w:p>
        </w:tc>
        <w:tc>
          <w:tcPr>
            <w:tcW w:w="1926" w:type="dxa"/>
            <w:shd w:val="pct15" w:color="auto" w:fill="FFFFFF"/>
            <w:vAlign w:val="center"/>
          </w:tcPr>
          <w:p w14:paraId="682B5E40" w14:textId="77777777" w:rsidR="003D2F70" w:rsidRPr="00CC58A7" w:rsidRDefault="003D2F70" w:rsidP="00BE3F24">
            <w:pPr>
              <w:jc w:val="center"/>
              <w:rPr>
                <w:rFonts w:ascii="Arial" w:hAnsi="Arial"/>
                <w:b/>
              </w:rPr>
            </w:pPr>
            <w:r w:rsidRPr="00CC58A7">
              <w:rPr>
                <w:rFonts w:ascii="Arial" w:hAnsi="Arial"/>
                <w:b/>
              </w:rPr>
              <w:t>Resources</w:t>
            </w:r>
          </w:p>
        </w:tc>
        <w:tc>
          <w:tcPr>
            <w:tcW w:w="1584" w:type="dxa"/>
            <w:shd w:val="pct15" w:color="auto" w:fill="FFFFFF"/>
            <w:vAlign w:val="center"/>
          </w:tcPr>
          <w:p w14:paraId="62CB9969" w14:textId="77777777" w:rsidR="003D2F70" w:rsidRPr="00CC58A7" w:rsidRDefault="003D2F70" w:rsidP="00BE3F24">
            <w:pPr>
              <w:jc w:val="center"/>
              <w:rPr>
                <w:rFonts w:ascii="Arial" w:hAnsi="Arial"/>
                <w:b/>
              </w:rPr>
            </w:pPr>
            <w:r w:rsidRPr="00CC58A7">
              <w:rPr>
                <w:rFonts w:ascii="Arial" w:hAnsi="Arial"/>
                <w:b/>
              </w:rPr>
              <w:t>Effort Level</w:t>
            </w:r>
          </w:p>
          <w:p w14:paraId="37C93B05" w14:textId="77777777" w:rsidR="003D2F70" w:rsidRPr="00CC58A7" w:rsidRDefault="003D2F70" w:rsidP="00BE3F24">
            <w:pPr>
              <w:jc w:val="center"/>
              <w:rPr>
                <w:rFonts w:ascii="Arial" w:hAnsi="Arial"/>
                <w:b/>
              </w:rPr>
            </w:pPr>
            <w:r w:rsidRPr="00CC58A7">
              <w:rPr>
                <w:rFonts w:ascii="Arial" w:hAnsi="Arial"/>
                <w:b/>
              </w:rPr>
              <w:t>(man-hours)</w:t>
            </w:r>
          </w:p>
        </w:tc>
      </w:tr>
      <w:tr w:rsidR="003D2F70" w:rsidRPr="00CC58A7" w14:paraId="19A99BE9" w14:textId="77777777" w:rsidTr="003B0918">
        <w:trPr>
          <w:trHeight w:val="288"/>
          <w:jc w:val="center"/>
        </w:trPr>
        <w:tc>
          <w:tcPr>
            <w:tcW w:w="2782" w:type="dxa"/>
            <w:vAlign w:val="center"/>
          </w:tcPr>
          <w:p w14:paraId="5463DD56" w14:textId="77777777" w:rsidR="003D2F70" w:rsidRPr="00CC58A7" w:rsidRDefault="003D2F70" w:rsidP="00BE3F24">
            <w:pPr>
              <w:jc w:val="center"/>
              <w:rPr>
                <w:rFonts w:ascii="Arial" w:hAnsi="Arial"/>
                <w:sz w:val="18"/>
              </w:rPr>
            </w:pPr>
            <w:r>
              <w:rPr>
                <w:rFonts w:ascii="Arial" w:hAnsi="Arial"/>
                <w:sz w:val="18"/>
              </w:rPr>
              <w:t xml:space="preserve">PAGD </w:t>
            </w:r>
            <w:r w:rsidRPr="00CC58A7">
              <w:rPr>
                <w:rFonts w:ascii="Arial" w:hAnsi="Arial"/>
                <w:sz w:val="18"/>
              </w:rPr>
              <w:t>Engineer</w:t>
            </w:r>
          </w:p>
        </w:tc>
        <w:tc>
          <w:tcPr>
            <w:tcW w:w="2286" w:type="dxa"/>
            <w:vAlign w:val="center"/>
          </w:tcPr>
          <w:p w14:paraId="162EFDEB" w14:textId="77777777" w:rsidR="003D2F70" w:rsidRPr="00CC58A7" w:rsidRDefault="003D2F70" w:rsidP="00BE3F24">
            <w:pPr>
              <w:jc w:val="center"/>
              <w:rPr>
                <w:rFonts w:ascii="Arial" w:hAnsi="Arial"/>
                <w:sz w:val="18"/>
              </w:rPr>
            </w:pPr>
            <w:r w:rsidRPr="00CC58A7">
              <w:rPr>
                <w:rFonts w:ascii="Arial" w:hAnsi="Arial"/>
                <w:sz w:val="18"/>
              </w:rPr>
              <w:t>Records Review</w:t>
            </w:r>
          </w:p>
        </w:tc>
        <w:tc>
          <w:tcPr>
            <w:tcW w:w="1926" w:type="dxa"/>
            <w:vAlign w:val="center"/>
          </w:tcPr>
          <w:p w14:paraId="23CFD366" w14:textId="77777777" w:rsidR="003D2F70" w:rsidRPr="00CC58A7" w:rsidRDefault="003D2F70" w:rsidP="00BE3F24">
            <w:pPr>
              <w:jc w:val="center"/>
              <w:rPr>
                <w:rFonts w:ascii="Arial" w:hAnsi="Arial"/>
                <w:sz w:val="18"/>
              </w:rPr>
            </w:pPr>
            <w:r w:rsidRPr="00CC58A7">
              <w:rPr>
                <w:rFonts w:ascii="Arial" w:hAnsi="Arial"/>
                <w:sz w:val="18"/>
              </w:rPr>
              <w:t>1</w:t>
            </w:r>
          </w:p>
        </w:tc>
        <w:tc>
          <w:tcPr>
            <w:tcW w:w="1584" w:type="dxa"/>
            <w:vAlign w:val="center"/>
          </w:tcPr>
          <w:p w14:paraId="76EDBE47" w14:textId="77777777" w:rsidR="003D2F70" w:rsidRPr="00CC58A7" w:rsidRDefault="003D2F70" w:rsidP="00BE3F24">
            <w:pPr>
              <w:jc w:val="center"/>
              <w:rPr>
                <w:rFonts w:ascii="Arial" w:hAnsi="Arial"/>
                <w:sz w:val="18"/>
              </w:rPr>
            </w:pPr>
            <w:r>
              <w:rPr>
                <w:rFonts w:ascii="Arial" w:hAnsi="Arial"/>
                <w:sz w:val="18"/>
              </w:rPr>
              <w:t>2*</w:t>
            </w:r>
          </w:p>
        </w:tc>
      </w:tr>
      <w:tr w:rsidR="003D2F70" w:rsidRPr="00CC58A7" w14:paraId="5E1F4F09" w14:textId="77777777" w:rsidTr="003B0918">
        <w:trPr>
          <w:trHeight w:val="288"/>
          <w:jc w:val="center"/>
        </w:trPr>
        <w:tc>
          <w:tcPr>
            <w:tcW w:w="2782" w:type="dxa"/>
            <w:vAlign w:val="center"/>
          </w:tcPr>
          <w:p w14:paraId="1ACF05B3" w14:textId="77777777" w:rsidR="003D2F70" w:rsidRDefault="003D2F70" w:rsidP="00BE3F24">
            <w:pPr>
              <w:jc w:val="center"/>
            </w:pPr>
            <w:r w:rsidRPr="00804934">
              <w:rPr>
                <w:rFonts w:ascii="Arial" w:hAnsi="Arial"/>
                <w:sz w:val="18"/>
              </w:rPr>
              <w:t>PAGD Engineer</w:t>
            </w:r>
          </w:p>
        </w:tc>
        <w:tc>
          <w:tcPr>
            <w:tcW w:w="2286" w:type="dxa"/>
            <w:vAlign w:val="center"/>
          </w:tcPr>
          <w:p w14:paraId="131A6585" w14:textId="77777777" w:rsidR="003D2F70" w:rsidRPr="00CC58A7" w:rsidRDefault="003D2F70" w:rsidP="00BE3F24">
            <w:pPr>
              <w:jc w:val="center"/>
              <w:rPr>
                <w:rFonts w:ascii="Arial" w:hAnsi="Arial"/>
                <w:sz w:val="18"/>
              </w:rPr>
            </w:pPr>
            <w:r>
              <w:rPr>
                <w:rFonts w:ascii="Arial" w:hAnsi="Arial"/>
                <w:sz w:val="18"/>
              </w:rPr>
              <w:t>Prepare and Submit Soil Survey Request</w:t>
            </w:r>
          </w:p>
        </w:tc>
        <w:tc>
          <w:tcPr>
            <w:tcW w:w="1926" w:type="dxa"/>
            <w:vAlign w:val="center"/>
          </w:tcPr>
          <w:p w14:paraId="76B54959" w14:textId="77777777" w:rsidR="003D2F70" w:rsidRPr="00CC58A7" w:rsidRDefault="003D2F70" w:rsidP="00BE3F24">
            <w:pPr>
              <w:jc w:val="center"/>
              <w:rPr>
                <w:rFonts w:ascii="Arial" w:hAnsi="Arial"/>
                <w:sz w:val="18"/>
              </w:rPr>
            </w:pPr>
            <w:r w:rsidRPr="00CC58A7">
              <w:rPr>
                <w:rFonts w:ascii="Arial" w:hAnsi="Arial"/>
                <w:sz w:val="18"/>
              </w:rPr>
              <w:t>1</w:t>
            </w:r>
          </w:p>
        </w:tc>
        <w:tc>
          <w:tcPr>
            <w:tcW w:w="1584" w:type="dxa"/>
            <w:vAlign w:val="center"/>
          </w:tcPr>
          <w:p w14:paraId="23CBD7B7" w14:textId="77777777" w:rsidR="003D2F70" w:rsidRPr="00CC58A7" w:rsidRDefault="003D2F70" w:rsidP="00BE3F24">
            <w:pPr>
              <w:jc w:val="center"/>
              <w:rPr>
                <w:rFonts w:ascii="Arial" w:hAnsi="Arial"/>
                <w:sz w:val="18"/>
              </w:rPr>
            </w:pPr>
            <w:r>
              <w:rPr>
                <w:rFonts w:ascii="Arial" w:hAnsi="Arial"/>
                <w:sz w:val="18"/>
              </w:rPr>
              <w:t>4*</w:t>
            </w:r>
          </w:p>
        </w:tc>
      </w:tr>
      <w:tr w:rsidR="003D2F70" w:rsidRPr="00CC58A7" w14:paraId="706C01A3" w14:textId="77777777" w:rsidTr="003B0918">
        <w:trPr>
          <w:trHeight w:val="288"/>
          <w:jc w:val="center"/>
        </w:trPr>
        <w:tc>
          <w:tcPr>
            <w:tcW w:w="2782" w:type="dxa"/>
            <w:vAlign w:val="center"/>
          </w:tcPr>
          <w:p w14:paraId="7227F804" w14:textId="77777777" w:rsidR="003D2F70" w:rsidRPr="00804934" w:rsidRDefault="003D2F70" w:rsidP="00BE3F24">
            <w:pPr>
              <w:jc w:val="center"/>
              <w:rPr>
                <w:rFonts w:ascii="Arial" w:hAnsi="Arial"/>
                <w:sz w:val="18"/>
              </w:rPr>
            </w:pPr>
            <w:r>
              <w:rPr>
                <w:rFonts w:ascii="Arial" w:hAnsi="Arial"/>
                <w:sz w:val="18"/>
              </w:rPr>
              <w:t>PAGD TL</w:t>
            </w:r>
          </w:p>
        </w:tc>
        <w:tc>
          <w:tcPr>
            <w:tcW w:w="2286" w:type="dxa"/>
            <w:vAlign w:val="center"/>
          </w:tcPr>
          <w:p w14:paraId="026292F0" w14:textId="77777777" w:rsidR="003D2F70" w:rsidRDefault="003D2F70" w:rsidP="00BE3F24">
            <w:pPr>
              <w:jc w:val="center"/>
              <w:rPr>
                <w:rFonts w:ascii="Arial" w:hAnsi="Arial"/>
                <w:sz w:val="18"/>
              </w:rPr>
            </w:pPr>
            <w:r>
              <w:rPr>
                <w:rFonts w:ascii="Arial" w:hAnsi="Arial"/>
                <w:sz w:val="18"/>
              </w:rPr>
              <w:t>Review of Request</w:t>
            </w:r>
          </w:p>
        </w:tc>
        <w:tc>
          <w:tcPr>
            <w:tcW w:w="1926" w:type="dxa"/>
            <w:vAlign w:val="center"/>
          </w:tcPr>
          <w:p w14:paraId="1AABC0CE" w14:textId="77777777" w:rsidR="003D2F70" w:rsidRPr="00CC58A7" w:rsidRDefault="003D2F70" w:rsidP="00BE3F24">
            <w:pPr>
              <w:jc w:val="center"/>
              <w:rPr>
                <w:rFonts w:ascii="Arial" w:hAnsi="Arial"/>
                <w:sz w:val="18"/>
              </w:rPr>
            </w:pPr>
            <w:r>
              <w:rPr>
                <w:rFonts w:ascii="Arial" w:hAnsi="Arial"/>
                <w:sz w:val="18"/>
              </w:rPr>
              <w:t>1</w:t>
            </w:r>
          </w:p>
        </w:tc>
        <w:tc>
          <w:tcPr>
            <w:tcW w:w="1584" w:type="dxa"/>
            <w:vAlign w:val="center"/>
          </w:tcPr>
          <w:p w14:paraId="4A105A7B" w14:textId="77777777" w:rsidR="003D2F70" w:rsidRDefault="003D2F70" w:rsidP="00BE3F24">
            <w:pPr>
              <w:jc w:val="center"/>
              <w:rPr>
                <w:rFonts w:ascii="Arial" w:hAnsi="Arial"/>
                <w:sz w:val="18"/>
              </w:rPr>
            </w:pPr>
            <w:r>
              <w:rPr>
                <w:rFonts w:ascii="Arial" w:hAnsi="Arial"/>
                <w:sz w:val="18"/>
              </w:rPr>
              <w:t>1*</w:t>
            </w:r>
          </w:p>
        </w:tc>
      </w:tr>
    </w:tbl>
    <w:p w14:paraId="7A87CC10" w14:textId="77777777" w:rsidR="003D2F70" w:rsidRDefault="003D2F70" w:rsidP="00BE3F24">
      <w:pPr>
        <w:rPr>
          <w:rFonts w:ascii="Arial" w:hAnsi="Arial"/>
          <w:sz w:val="18"/>
          <w:szCs w:val="18"/>
        </w:rPr>
      </w:pPr>
      <w:r>
        <w:rPr>
          <w:rFonts w:ascii="Arial" w:hAnsi="Arial"/>
          <w:sz w:val="18"/>
          <w:szCs w:val="18"/>
        </w:rPr>
        <w:t xml:space="preserve">      </w:t>
      </w:r>
      <w:r w:rsidRPr="00292C26">
        <w:rPr>
          <w:rFonts w:ascii="Arial" w:hAnsi="Arial"/>
          <w:sz w:val="18"/>
          <w:szCs w:val="18"/>
        </w:rPr>
        <w:t>* The time required would vary depending on the size and complexity of a project.</w:t>
      </w:r>
    </w:p>
    <w:p w14:paraId="46AC79C6" w14:textId="77777777" w:rsidR="003D2F70" w:rsidRPr="00292C26" w:rsidRDefault="003D2F70" w:rsidP="00BE3F24">
      <w:pPr>
        <w:rPr>
          <w:rFonts w:ascii="Arial" w:hAnsi="Arial"/>
          <w:sz w:val="18"/>
          <w:szCs w:val="18"/>
        </w:rPr>
      </w:pPr>
    </w:p>
    <w:p w14:paraId="61C8736D" w14:textId="77777777" w:rsidR="003D2F70" w:rsidRPr="00CC58A7" w:rsidRDefault="003D2F70" w:rsidP="00BE3F24">
      <w:pPr>
        <w:pStyle w:val="Heading4"/>
        <w:ind w:left="0" w:firstLine="0"/>
      </w:pPr>
      <w:bookmarkStart w:id="136" w:name="_Procedure_2"/>
      <w:bookmarkEnd w:id="136"/>
      <w:r w:rsidRPr="00CC58A7">
        <w:t>Procedure</w:t>
      </w:r>
    </w:p>
    <w:p w14:paraId="6200F5E9" w14:textId="42C733AF" w:rsidR="003D2F70" w:rsidRPr="00CC58A7" w:rsidRDefault="003D2F70" w:rsidP="00BE3F24">
      <w:pPr>
        <w:pStyle w:val="BodyText"/>
        <w:jc w:val="both"/>
      </w:pPr>
      <w:r w:rsidRPr="00CC58A7">
        <w:t xml:space="preserve">The procedure </w:t>
      </w:r>
      <w:r w:rsidR="00500649">
        <w:t>referenced</w:t>
      </w:r>
      <w:r w:rsidR="00500649" w:rsidRPr="00CC58A7">
        <w:t xml:space="preserve"> </w:t>
      </w:r>
      <w:r w:rsidRPr="00CC58A7">
        <w:t xml:space="preserve">in the </w:t>
      </w:r>
      <w:r w:rsidRPr="00F91AC9">
        <w:t>flowchart a</w:t>
      </w:r>
      <w:r>
        <w:t xml:space="preserve">t the end of this section </w:t>
      </w:r>
      <w:r w:rsidRPr="00004850">
        <w:t xml:space="preserve">and described </w:t>
      </w:r>
      <w:r>
        <w:t>below</w:t>
      </w:r>
      <w:r w:rsidRPr="00004850">
        <w:t xml:space="preserve"> should be followed when making a request.  Numerous steps contained in this procedure can be completed with software applications that the </w:t>
      </w:r>
      <w:r>
        <w:t>PAGD</w:t>
      </w:r>
      <w:r w:rsidRPr="00004850">
        <w:t xml:space="preserve"> currently uses </w:t>
      </w:r>
      <w:r>
        <w:t>or</w:t>
      </w:r>
      <w:r w:rsidRPr="00004850">
        <w:t xml:space="preserve"> has under development.  </w:t>
      </w:r>
      <w:r>
        <w:t xml:space="preserve">This </w:t>
      </w:r>
      <w:r w:rsidRPr="00004850">
        <w:t xml:space="preserve">procedure was written to provide the </w:t>
      </w:r>
      <w:r>
        <w:t>PAGD Engineer</w:t>
      </w:r>
      <w:r w:rsidRPr="00004850">
        <w:t xml:space="preserve"> with adequ</w:t>
      </w:r>
      <w:r w:rsidRPr="00CC58A7">
        <w:t xml:space="preserve">ate information to complete a request without specific knowledge </w:t>
      </w:r>
      <w:r>
        <w:t xml:space="preserve">of </w:t>
      </w:r>
      <w:r w:rsidRPr="00CC58A7">
        <w:t xml:space="preserve">or access to </w:t>
      </w:r>
      <w:r>
        <w:t>specific computer software</w:t>
      </w:r>
      <w:r w:rsidRPr="00CC58A7">
        <w:t xml:space="preserve">, but with the </w:t>
      </w:r>
      <w:r>
        <w:t xml:space="preserve">consideration </w:t>
      </w:r>
      <w:r w:rsidRPr="00CC58A7">
        <w:t xml:space="preserve">that these tools were available.      </w:t>
      </w:r>
    </w:p>
    <w:p w14:paraId="59E6D943" w14:textId="2F2F3BE8" w:rsidR="003D2F70" w:rsidRPr="00672A86" w:rsidRDefault="003D2F70" w:rsidP="00BE3F24">
      <w:pPr>
        <w:pStyle w:val="BodyText"/>
        <w:jc w:val="both"/>
      </w:pPr>
      <w:r w:rsidRPr="00CC58A7">
        <w:t xml:space="preserve">Certain steps in the request process and other processes overlap.  It is important to keep in mind that although these processes are broken out and written in separate sections, they are a part of an overall process to provide logical and technical requests. The procedure described below is conducted after receiving a request </w:t>
      </w:r>
      <w:r>
        <w:t>(memo or</w:t>
      </w:r>
      <w:r w:rsidRPr="00CC58A7">
        <w:t xml:space="preserve"> e-m</w:t>
      </w:r>
      <w:r>
        <w:t>ail request) from a customer</w:t>
      </w:r>
      <w:r w:rsidR="00DC462A">
        <w:t xml:space="preserve"> PM</w:t>
      </w:r>
      <w:r>
        <w:t xml:space="preserve">.  </w:t>
      </w:r>
      <w:r w:rsidRPr="00672A86">
        <w:t xml:space="preserve">The following procedures are general guidelines to be followed by the </w:t>
      </w:r>
      <w:r w:rsidRPr="00292C26">
        <w:t>PAGD Engineer.  They may be adjusted, based on engineering judgment and discussion with the PAGD TL and the PAGD ADC-Design.</w:t>
      </w:r>
    </w:p>
    <w:p w14:paraId="0829D595" w14:textId="1DDB2CAE" w:rsidR="003D2F70" w:rsidRDefault="003D2F70" w:rsidP="00BE3F24">
      <w:pPr>
        <w:pStyle w:val="BodyText"/>
        <w:jc w:val="both"/>
      </w:pPr>
      <w:r w:rsidRPr="0021416D">
        <w:t xml:space="preserve">Follow the steps </w:t>
      </w:r>
      <w:r w:rsidR="00E54421">
        <w:t xml:space="preserve">in </w:t>
      </w:r>
      <w:hyperlink w:anchor="_Procedure_3" w:history="1">
        <w:r w:rsidR="00FA4CE9" w:rsidRPr="00FA4CE9">
          <w:rPr>
            <w:rStyle w:val="Hyperlink"/>
            <w:i/>
          </w:rPr>
          <w:t>Section 3.06.04 Geotechnical Investigation Scoping Procedure</w:t>
        </w:r>
      </w:hyperlink>
      <w:r w:rsidR="00A02B14">
        <w:t xml:space="preserve"> </w:t>
      </w:r>
      <w:r w:rsidR="00E54421">
        <w:t xml:space="preserve">and the additional steps </w:t>
      </w:r>
      <w:r w:rsidRPr="0021416D">
        <w:t>below to complete a roadway project request (soil survey):</w:t>
      </w:r>
    </w:p>
    <w:p w14:paraId="47F35A5E" w14:textId="1062B6DC" w:rsidR="003D2F70" w:rsidRPr="00316117" w:rsidRDefault="00A353B9" w:rsidP="00B738C4">
      <w:pPr>
        <w:pStyle w:val="Heading5"/>
        <w:ind w:left="0" w:firstLine="0"/>
      </w:pPr>
      <w:r>
        <w:t>Additional</w:t>
      </w:r>
      <w:r w:rsidR="003D2F70" w:rsidRPr="00316117">
        <w:t xml:space="preserve"> Information Needed</w:t>
      </w:r>
    </w:p>
    <w:p w14:paraId="5348D307" w14:textId="5CFB4D9F" w:rsidR="00A353B9" w:rsidRDefault="00A353B9" w:rsidP="00172E64">
      <w:pPr>
        <w:pStyle w:val="ListNumber"/>
        <w:numPr>
          <w:ilvl w:val="0"/>
          <w:numId w:val="145"/>
        </w:numPr>
        <w:ind w:left="1080" w:hanging="1080"/>
        <w:jc w:val="both"/>
      </w:pPr>
      <w:r>
        <w:t>None</w:t>
      </w:r>
    </w:p>
    <w:p w14:paraId="1431C1F2" w14:textId="4BE95A92" w:rsidR="003D2F70" w:rsidRPr="00707CEB" w:rsidRDefault="003D2F70" w:rsidP="00B738C4">
      <w:pPr>
        <w:pStyle w:val="ListNumber"/>
        <w:numPr>
          <w:ilvl w:val="12"/>
          <w:numId w:val="0"/>
        </w:numPr>
        <w:tabs>
          <w:tab w:val="clear" w:pos="1872"/>
        </w:tabs>
        <w:spacing w:before="0"/>
        <w:jc w:val="both"/>
        <w:rPr>
          <w:highlight w:val="yellow"/>
        </w:rPr>
      </w:pPr>
    </w:p>
    <w:p w14:paraId="53EA2E17" w14:textId="77777777" w:rsidR="003D2F70" w:rsidRPr="00316117" w:rsidRDefault="003D2F70" w:rsidP="00B738C4">
      <w:pPr>
        <w:pStyle w:val="Heading5"/>
        <w:tabs>
          <w:tab w:val="left" w:pos="1800"/>
        </w:tabs>
        <w:ind w:left="0" w:firstLine="0"/>
      </w:pPr>
      <w:r>
        <w:lastRenderedPageBreak/>
        <w:t>Prepare</w:t>
      </w:r>
      <w:r w:rsidRPr="00316117">
        <w:t xml:space="preserve"> Request for Work</w:t>
      </w:r>
    </w:p>
    <w:p w14:paraId="59F705A4" w14:textId="77777777" w:rsidR="001A15B9" w:rsidRDefault="003D2F70" w:rsidP="00172E64">
      <w:pPr>
        <w:pStyle w:val="ListNumber"/>
        <w:numPr>
          <w:ilvl w:val="0"/>
          <w:numId w:val="146"/>
        </w:numPr>
        <w:tabs>
          <w:tab w:val="clear" w:pos="1872"/>
          <w:tab w:val="num" w:pos="1080"/>
        </w:tabs>
        <w:ind w:left="1080" w:hanging="1080"/>
        <w:jc w:val="both"/>
      </w:pPr>
      <w:r>
        <w:t>Print out C</w:t>
      </w:r>
      <w:r w:rsidRPr="002651A4">
        <w:t xml:space="preserve">onstruction </w:t>
      </w:r>
      <w:r>
        <w:t>H</w:t>
      </w:r>
      <w:r w:rsidRPr="002651A4">
        <w:t>istory for pavement boring/core requests.</w:t>
      </w:r>
      <w:r>
        <w:t xml:space="preserve">  See </w:t>
      </w:r>
      <w:hyperlink w:anchor="_Records_Review_(7-07-09)" w:history="1">
        <w:r w:rsidR="00425422">
          <w:rPr>
            <w:rStyle w:val="Hyperlink"/>
          </w:rPr>
          <w:t>Records Review</w:t>
        </w:r>
      </w:hyperlink>
      <w:r>
        <w:t xml:space="preserve"> for additional information.</w:t>
      </w:r>
    </w:p>
    <w:p w14:paraId="74A043E2" w14:textId="77777777" w:rsidR="001A15B9" w:rsidRDefault="003D2F70" w:rsidP="00172E64">
      <w:pPr>
        <w:pStyle w:val="ListNumber"/>
        <w:numPr>
          <w:ilvl w:val="0"/>
          <w:numId w:val="146"/>
        </w:numPr>
        <w:ind w:left="1080" w:hanging="1080"/>
        <w:jc w:val="both"/>
      </w:pPr>
      <w:r w:rsidRPr="002651A4">
        <w:t>Request cores when i</w:t>
      </w:r>
      <w:r>
        <w:t>nformation is</w:t>
      </w:r>
      <w:r w:rsidRPr="002651A4">
        <w:t xml:space="preserve"> desired concerning existing bound pavement.  Cores can provide information about individual layer thickness and condition, bond between layers, and provide the designer an “undisturbed” sample.</w:t>
      </w:r>
    </w:p>
    <w:p w14:paraId="4359371A" w14:textId="77777777" w:rsidR="001A15B9" w:rsidRDefault="003D2F70" w:rsidP="00172E64">
      <w:pPr>
        <w:pStyle w:val="ListNumber"/>
        <w:numPr>
          <w:ilvl w:val="0"/>
          <w:numId w:val="146"/>
        </w:numPr>
        <w:ind w:left="1080" w:hanging="1080"/>
        <w:jc w:val="both"/>
      </w:pPr>
      <w:r w:rsidRPr="002651A4">
        <w:t xml:space="preserve">Request </w:t>
      </w:r>
      <w:r>
        <w:t xml:space="preserve">soil </w:t>
      </w:r>
      <w:r w:rsidRPr="00001EA3">
        <w:t>borings (</w:t>
      </w:r>
      <w:r>
        <w:t>a</w:t>
      </w:r>
      <w:r w:rsidRPr="00001EA3">
        <w:t>uger borings) when information is desired concerning unbound pavement layers and subgrade be</w:t>
      </w:r>
      <w:r>
        <w:t>low</w:t>
      </w:r>
      <w:r w:rsidRPr="00001EA3">
        <w:t>.</w:t>
      </w:r>
      <w:r w:rsidR="00D454BD">
        <w:t xml:space="preserve">  Borings are not needed for bridge approach projects.  Refer to </w:t>
      </w:r>
      <w:hyperlink w:anchor="_Bridge_Approaches" w:history="1">
        <w:r w:rsidR="00D454BD" w:rsidRPr="00D454BD">
          <w:rPr>
            <w:rStyle w:val="Hyperlink"/>
          </w:rPr>
          <w:t>Bridge Approaches</w:t>
        </w:r>
      </w:hyperlink>
      <w:r w:rsidR="00D454BD">
        <w:t>.</w:t>
      </w:r>
    </w:p>
    <w:p w14:paraId="50A3BFFA" w14:textId="752A8941" w:rsidR="001A15B9" w:rsidRDefault="003D2F70" w:rsidP="00172E64">
      <w:pPr>
        <w:pStyle w:val="ListNumber"/>
        <w:numPr>
          <w:ilvl w:val="0"/>
          <w:numId w:val="146"/>
        </w:numPr>
        <w:ind w:left="1080" w:hanging="1080"/>
        <w:jc w:val="both"/>
      </w:pPr>
      <w:r w:rsidRPr="00001EA3">
        <w:t xml:space="preserve">Request a boring </w:t>
      </w:r>
      <w:r w:rsidR="00D212D7">
        <w:t xml:space="preserve">or station </w:t>
      </w:r>
      <w:r w:rsidRPr="00001EA3">
        <w:t xml:space="preserve">stake-out through the </w:t>
      </w:r>
      <w:r>
        <w:t>PM.  Provide the PM with a tabulated list</w:t>
      </w:r>
      <w:r w:rsidRPr="00001EA3">
        <w:t xml:space="preserve"> of borings including boring numbers, locations (station</w:t>
      </w:r>
      <w:r>
        <w:t xml:space="preserve">, </w:t>
      </w:r>
      <w:r w:rsidRPr="00001EA3">
        <w:t>offset,</w:t>
      </w:r>
      <w:r>
        <w:t xml:space="preserve"> and</w:t>
      </w:r>
      <w:r w:rsidRPr="00001EA3">
        <w:t xml:space="preserve"> coordinates).</w:t>
      </w:r>
      <w:r w:rsidR="005914B6">
        <w:t xml:space="preserve">  A request for stake-out may also be made directly to the Plats &amp; Survey Division with a cc</w:t>
      </w:r>
      <w:r w:rsidR="00553ACC">
        <w:t>:</w:t>
      </w:r>
      <w:r w:rsidR="005914B6">
        <w:t xml:space="preserve"> to the PM and FED.  Request that the survey book be sent to PAGD and FED upon completion of the stake-out.   </w:t>
      </w:r>
    </w:p>
    <w:p w14:paraId="3508CA5D" w14:textId="77777777" w:rsidR="001A15B9" w:rsidRDefault="003D2F70" w:rsidP="00172E64">
      <w:pPr>
        <w:pStyle w:val="ListNumber"/>
        <w:numPr>
          <w:ilvl w:val="0"/>
          <w:numId w:val="146"/>
        </w:numPr>
        <w:ind w:left="1080" w:hanging="1080"/>
        <w:jc w:val="both"/>
      </w:pPr>
      <w:r w:rsidRPr="00B45524">
        <w:t xml:space="preserve">If using SWM borings to collect roadway information, request </w:t>
      </w:r>
      <w:r>
        <w:t>AASHTO</w:t>
      </w:r>
      <w:r w:rsidRPr="00B45524">
        <w:t xml:space="preserve"> classific</w:t>
      </w:r>
      <w:r w:rsidRPr="002651A4">
        <w:t>ation and moisture</w:t>
      </w:r>
      <w:r>
        <w:t xml:space="preserve"> content determination by the laboratory</w:t>
      </w:r>
      <w:r w:rsidRPr="002651A4">
        <w:t>.</w:t>
      </w:r>
    </w:p>
    <w:p w14:paraId="2D4824E2" w14:textId="77777777" w:rsidR="001A15B9" w:rsidRDefault="003D2F70" w:rsidP="00172E64">
      <w:pPr>
        <w:pStyle w:val="ListNumber"/>
        <w:numPr>
          <w:ilvl w:val="0"/>
          <w:numId w:val="146"/>
        </w:numPr>
        <w:ind w:left="1080" w:hanging="1080"/>
        <w:jc w:val="both"/>
      </w:pPr>
      <w:r w:rsidRPr="00536FF2">
        <w:t xml:space="preserve">Note whether utilities are in the area, as </w:t>
      </w:r>
      <w:r>
        <w:t xml:space="preserve">boring locations may have to be relocated.  </w:t>
      </w:r>
    </w:p>
    <w:p w14:paraId="39D9B7B7" w14:textId="77777777" w:rsidR="00D407DF" w:rsidRPr="007F0FEB" w:rsidRDefault="003D2F70" w:rsidP="00172E64">
      <w:pPr>
        <w:pStyle w:val="ListNumber"/>
        <w:numPr>
          <w:ilvl w:val="0"/>
          <w:numId w:val="146"/>
        </w:numPr>
        <w:ind w:left="1080" w:hanging="1080"/>
        <w:jc w:val="both"/>
        <w:rPr>
          <w:i/>
        </w:rPr>
      </w:pPr>
      <w:r>
        <w:t xml:space="preserve">Locate and draw boring targets on the plans in cut and fill sections. </w:t>
      </w:r>
    </w:p>
    <w:p w14:paraId="61D88F1F" w14:textId="675B4D51" w:rsidR="00D407DF" w:rsidRDefault="00D407DF" w:rsidP="00172E64">
      <w:pPr>
        <w:pStyle w:val="ListNumber"/>
        <w:numPr>
          <w:ilvl w:val="1"/>
          <w:numId w:val="152"/>
        </w:numPr>
        <w:tabs>
          <w:tab w:val="clear" w:pos="1872"/>
        </w:tabs>
        <w:jc w:val="both"/>
      </w:pPr>
      <w:r>
        <w:t xml:space="preserve">If geophysics </w:t>
      </w:r>
      <w:r w:rsidR="0058077E">
        <w:t xml:space="preserve">or in situ tests </w:t>
      </w:r>
      <w:r w:rsidR="007F0FEB">
        <w:t xml:space="preserve">will be </w:t>
      </w:r>
      <w:r>
        <w:t>completed</w:t>
      </w:r>
      <w:r w:rsidR="00DE2B3D">
        <w:t>,</w:t>
      </w:r>
      <w:r>
        <w:t xml:space="preserve"> the boring spacing may be altered from th</w:t>
      </w:r>
      <w:r w:rsidR="001A3751">
        <w:t>at</w:t>
      </w:r>
      <w:r>
        <w:t xml:space="preserve"> stated here</w:t>
      </w:r>
      <w:r w:rsidR="001D107A">
        <w:t>in</w:t>
      </w:r>
      <w:r>
        <w:t xml:space="preserve"> based on th</w:t>
      </w:r>
      <w:r w:rsidR="0058077E">
        <w:t>e clarity and reliability of those</w:t>
      </w:r>
      <w:r>
        <w:t xml:space="preserve"> results. The geophysical report should explain the geophysical findings in such a way that the PAGD Engineer understands how they apply to the project. </w:t>
      </w:r>
      <w:r w:rsidR="005F6516">
        <w:t>B</w:t>
      </w:r>
      <w:r>
        <w:t>orings may be added to clarify and ground-truth particular geophysical findings</w:t>
      </w:r>
      <w:r w:rsidR="005F6516">
        <w:t>, and in a few cases, the number of borings may be reduced</w:t>
      </w:r>
      <w:r>
        <w:t>.</w:t>
      </w:r>
      <w:r w:rsidRPr="00D407DF">
        <w:t xml:space="preserve"> </w:t>
      </w:r>
    </w:p>
    <w:p w14:paraId="28CD0490" w14:textId="6C70D49C" w:rsidR="00D407DF" w:rsidRPr="00B738C4" w:rsidRDefault="00D407DF" w:rsidP="00172E64">
      <w:pPr>
        <w:pStyle w:val="ListNumber"/>
        <w:numPr>
          <w:ilvl w:val="1"/>
          <w:numId w:val="152"/>
        </w:numPr>
        <w:tabs>
          <w:tab w:val="clear" w:pos="1872"/>
        </w:tabs>
        <w:jc w:val="both"/>
      </w:pPr>
      <w:r>
        <w:t>The maximum boring spacing is 500 ft</w:t>
      </w:r>
      <w:r w:rsidR="00853E37">
        <w:t>.</w:t>
      </w:r>
      <w:r>
        <w:t xml:space="preserve"> along the center line for fill areas.  Borings in cut areas, as a general rule, should not be placed farther than 300 ft</w:t>
      </w:r>
      <w:r w:rsidR="00853E37">
        <w:t>.</w:t>
      </w:r>
      <w:r>
        <w:t xml:space="preserve"> apart along the center line. Borings in </w:t>
      </w:r>
      <w:r w:rsidR="00DE2B3D">
        <w:t>no-</w:t>
      </w:r>
      <w:r>
        <w:t>cut no</w:t>
      </w:r>
      <w:r w:rsidR="00DE2B3D">
        <w:t>-</w:t>
      </w:r>
      <w:r>
        <w:t>fill areas, as a general rule, should not be placed farther than 500 ft</w:t>
      </w:r>
      <w:r w:rsidR="00853E37">
        <w:t>.</w:t>
      </w:r>
      <w:r>
        <w:t xml:space="preserve"> apart along the center line.</w:t>
      </w:r>
      <w:r>
        <w:rPr>
          <w:highlight w:val="yellow"/>
        </w:rPr>
        <w:t xml:space="preserve"> </w:t>
      </w:r>
      <w:r>
        <w:t xml:space="preserve"> </w:t>
      </w:r>
      <w:r w:rsidRPr="00B738C4">
        <w:t xml:space="preserve"> </w:t>
      </w:r>
    </w:p>
    <w:p w14:paraId="1352B358" w14:textId="2C34CECD" w:rsidR="001A15B9" w:rsidRDefault="003D2F70" w:rsidP="00172E64">
      <w:pPr>
        <w:pStyle w:val="ListNumber"/>
        <w:numPr>
          <w:ilvl w:val="1"/>
          <w:numId w:val="152"/>
        </w:numPr>
        <w:tabs>
          <w:tab w:val="clear" w:pos="1872"/>
        </w:tabs>
        <w:jc w:val="both"/>
      </w:pPr>
      <w:r>
        <w:t>For projects with slopes (~&gt;5 ft</w:t>
      </w:r>
      <w:r w:rsidR="00853E37">
        <w:t>.</w:t>
      </w:r>
      <w:r>
        <w:t>), request at least one auger boring (for slope length of 500 ft</w:t>
      </w:r>
      <w:r w:rsidR="00853E37">
        <w:t>.</w:t>
      </w:r>
      <w:r>
        <w:t>) at the toe of the fill slope and one at the top of cut slope. This information can be used in planning more detailed subsurface explorations (</w:t>
      </w:r>
      <w:r w:rsidR="00553ACC">
        <w:t xml:space="preserve">geophysics or </w:t>
      </w:r>
      <w:r>
        <w:t>SPT). Additional auger borings</w:t>
      </w:r>
      <w:r w:rsidR="004F48BB">
        <w:t xml:space="preserve"> or geophysics</w:t>
      </w:r>
      <w:r>
        <w:t xml:space="preserve"> are commonly requested at approach embankment locations to explore the depth of any suspected unsuitable surface soils or to determine topsoil thickness. For approximate depths refer </w:t>
      </w:r>
      <w:r w:rsidRPr="00CC012E">
        <w:t>to Step 19.</w:t>
      </w:r>
      <w:r>
        <w:t xml:space="preserve">  Consult with EGD.</w:t>
      </w:r>
    </w:p>
    <w:p w14:paraId="365E50F5" w14:textId="77777777" w:rsidR="007F0FEB" w:rsidRDefault="007F0FEB" w:rsidP="00172E64">
      <w:pPr>
        <w:pStyle w:val="ListNumber"/>
        <w:numPr>
          <w:ilvl w:val="0"/>
          <w:numId w:val="153"/>
        </w:numPr>
        <w:tabs>
          <w:tab w:val="clear" w:pos="1512"/>
          <w:tab w:val="clear" w:pos="1872"/>
          <w:tab w:val="num" w:pos="1080"/>
        </w:tabs>
        <w:ind w:left="1080" w:hanging="1080"/>
        <w:jc w:val="both"/>
      </w:pPr>
      <w:r>
        <w:t>Determine the depth of the borings.</w:t>
      </w:r>
    </w:p>
    <w:p w14:paraId="66B6E379" w14:textId="34F95A1A" w:rsidR="001A15B9" w:rsidRDefault="003D2F70" w:rsidP="00172E64">
      <w:pPr>
        <w:pStyle w:val="ListNumber"/>
        <w:numPr>
          <w:ilvl w:val="0"/>
          <w:numId w:val="159"/>
        </w:numPr>
        <w:tabs>
          <w:tab w:val="clear" w:pos="1872"/>
        </w:tabs>
        <w:jc w:val="both"/>
      </w:pPr>
      <w:r>
        <w:t>The FED auger drill rigs are</w:t>
      </w:r>
      <w:r w:rsidRPr="00536FF2">
        <w:t xml:space="preserve"> set up to drill </w:t>
      </w:r>
      <w:r>
        <w:t>in 5</w:t>
      </w:r>
      <w:r w:rsidR="00DE2B3D">
        <w:t>-</w:t>
      </w:r>
      <w:r>
        <w:t>ft</w:t>
      </w:r>
      <w:r w:rsidR="001A3751">
        <w:t>.</w:t>
      </w:r>
      <w:r>
        <w:t xml:space="preserve"> increments after the first 3 ft</w:t>
      </w:r>
      <w:r w:rsidR="00853E37">
        <w:t>.</w:t>
      </w:r>
      <w:r>
        <w:t xml:space="preserve"> (</w:t>
      </w:r>
      <w:r w:rsidRPr="005D6C4E">
        <w:t>3 ft</w:t>
      </w:r>
      <w:r w:rsidR="00853E37">
        <w:t>.</w:t>
      </w:r>
      <w:r w:rsidR="00DE2B3D">
        <w:t xml:space="preserve">, </w:t>
      </w:r>
      <w:r w:rsidRPr="005D6C4E">
        <w:t>8 ft</w:t>
      </w:r>
      <w:r w:rsidR="00853E37">
        <w:t>.</w:t>
      </w:r>
      <w:r w:rsidR="00DE2B3D">
        <w:t xml:space="preserve">, </w:t>
      </w:r>
      <w:r w:rsidRPr="005D6C4E">
        <w:t>13 ft</w:t>
      </w:r>
      <w:r w:rsidR="00853E37">
        <w:t>.</w:t>
      </w:r>
      <w:r w:rsidR="00DE2B3D">
        <w:t>, 1</w:t>
      </w:r>
      <w:r w:rsidRPr="005D6C4E">
        <w:t>8 ft</w:t>
      </w:r>
      <w:r w:rsidR="00853E37">
        <w:t>.</w:t>
      </w:r>
      <w:r w:rsidR="00DE2B3D">
        <w:t>, etc.</w:t>
      </w:r>
      <w:r>
        <w:t>).</w:t>
      </w:r>
      <w:r w:rsidRPr="00093C8E">
        <w:t xml:space="preserve">  This should be </w:t>
      </w:r>
      <w:r>
        <w:t>considered</w:t>
      </w:r>
      <w:r w:rsidRPr="00093C8E">
        <w:t xml:space="preserve"> when </w:t>
      </w:r>
      <w:r>
        <w:t>assigning</w:t>
      </w:r>
      <w:r w:rsidRPr="00093C8E">
        <w:t xml:space="preserve"> boring depths.</w:t>
      </w:r>
    </w:p>
    <w:p w14:paraId="1141951E" w14:textId="3F07BE8E" w:rsidR="001A15B9" w:rsidRDefault="003D2F70" w:rsidP="00172E64">
      <w:pPr>
        <w:pStyle w:val="ListNumber"/>
        <w:numPr>
          <w:ilvl w:val="0"/>
          <w:numId w:val="159"/>
        </w:numPr>
        <w:tabs>
          <w:tab w:val="clear" w:pos="1872"/>
        </w:tabs>
        <w:jc w:val="both"/>
      </w:pPr>
      <w:r w:rsidRPr="00093C8E">
        <w:t>In shallow fill areas (~&lt;5</w:t>
      </w:r>
      <w:r>
        <w:t xml:space="preserve"> ft</w:t>
      </w:r>
      <w:r w:rsidR="00853E37">
        <w:t>.</w:t>
      </w:r>
      <w:r w:rsidRPr="00093C8E">
        <w:t>) the boring should extend to a minimum depth of 10</w:t>
      </w:r>
      <w:r>
        <w:t xml:space="preserve"> ft</w:t>
      </w:r>
      <w:r w:rsidR="00853E37">
        <w:t>.</w:t>
      </w:r>
      <w:r w:rsidRPr="00093C8E">
        <w:t xml:space="preserve"> </w:t>
      </w:r>
      <w:r>
        <w:t xml:space="preserve">below bottom of fill </w:t>
      </w:r>
      <w:r w:rsidRPr="00093C8E">
        <w:t xml:space="preserve">(Figure </w:t>
      </w:r>
      <w:r w:rsidR="00DE2B3D">
        <w:t>6</w:t>
      </w:r>
      <w:r w:rsidRPr="00093C8E">
        <w:t>).</w:t>
      </w:r>
    </w:p>
    <w:p w14:paraId="1BDCF77C" w14:textId="77777777" w:rsidR="00553ACC" w:rsidRDefault="00553ACC" w:rsidP="008014BA">
      <w:pPr>
        <w:pStyle w:val="ListNumber"/>
        <w:tabs>
          <w:tab w:val="clear" w:pos="720"/>
          <w:tab w:val="clear" w:pos="1872"/>
        </w:tabs>
        <w:ind w:left="1080" w:firstLine="0"/>
        <w:jc w:val="both"/>
      </w:pPr>
    </w:p>
    <w:p w14:paraId="1C02528D" w14:textId="2797E845" w:rsidR="003D2F70" w:rsidRDefault="004D64A3" w:rsidP="00BE3F24">
      <w:pPr>
        <w:tabs>
          <w:tab w:val="left" w:pos="6645"/>
        </w:tabs>
      </w:pPr>
      <w:r>
        <w:rPr>
          <w:noProof/>
        </w:rPr>
        <mc:AlternateContent>
          <mc:Choice Requires="wpc">
            <w:drawing>
              <wp:anchor distT="0" distB="0" distL="114300" distR="114300" simplePos="0" relativeHeight="251836928" behindDoc="0" locked="0" layoutInCell="1" allowOverlap="1" wp14:anchorId="7F02E967" wp14:editId="18E4A271">
                <wp:simplePos x="0" y="0"/>
                <wp:positionH relativeFrom="column">
                  <wp:posOffset>883235</wp:posOffset>
                </wp:positionH>
                <wp:positionV relativeFrom="paragraph">
                  <wp:posOffset>7315</wp:posOffset>
                </wp:positionV>
                <wp:extent cx="4242816" cy="2578608"/>
                <wp:effectExtent l="0" t="0" r="0" b="69850"/>
                <wp:wrapTopAndBottom/>
                <wp:docPr id="3234" name="Canvas 3234" descr="boring depth in fill areas diagram"/>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701" name="Line 3236"/>
                        <wps:cNvCnPr>
                          <a:cxnSpLocks noChangeShapeType="1"/>
                        </wps:cNvCnPr>
                        <wps:spPr bwMode="auto">
                          <a:xfrm>
                            <a:off x="14605" y="762000"/>
                            <a:ext cx="3837940" cy="635"/>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02" name="Freeform 3237"/>
                        <wps:cNvSpPr>
                          <a:spLocks/>
                        </wps:cNvSpPr>
                        <wps:spPr bwMode="auto">
                          <a:xfrm>
                            <a:off x="285750" y="765175"/>
                            <a:ext cx="3176270" cy="914400"/>
                          </a:xfrm>
                          <a:custGeom>
                            <a:avLst/>
                            <a:gdLst>
                              <a:gd name="T0" fmla="*/ 22 w 5002"/>
                              <a:gd name="T1" fmla="*/ 0 h 1965"/>
                              <a:gd name="T2" fmla="*/ 7 w 5002"/>
                              <a:gd name="T3" fmla="*/ 45 h 1965"/>
                              <a:gd name="T4" fmla="*/ 112 w 5002"/>
                              <a:gd name="T5" fmla="*/ 120 h 1965"/>
                              <a:gd name="T6" fmla="*/ 382 w 5002"/>
                              <a:gd name="T7" fmla="*/ 375 h 1965"/>
                              <a:gd name="T8" fmla="*/ 427 w 5002"/>
                              <a:gd name="T9" fmla="*/ 465 h 1965"/>
                              <a:gd name="T10" fmla="*/ 472 w 5002"/>
                              <a:gd name="T11" fmla="*/ 510 h 1965"/>
                              <a:gd name="T12" fmla="*/ 562 w 5002"/>
                              <a:gd name="T13" fmla="*/ 660 h 1965"/>
                              <a:gd name="T14" fmla="*/ 682 w 5002"/>
                              <a:gd name="T15" fmla="*/ 840 h 1965"/>
                              <a:gd name="T16" fmla="*/ 757 w 5002"/>
                              <a:gd name="T17" fmla="*/ 990 h 1965"/>
                              <a:gd name="T18" fmla="*/ 772 w 5002"/>
                              <a:gd name="T19" fmla="*/ 1050 h 1965"/>
                              <a:gd name="T20" fmla="*/ 892 w 5002"/>
                              <a:gd name="T21" fmla="*/ 1245 h 1965"/>
                              <a:gd name="T22" fmla="*/ 952 w 5002"/>
                              <a:gd name="T23" fmla="*/ 1335 h 1965"/>
                              <a:gd name="T24" fmla="*/ 1177 w 5002"/>
                              <a:gd name="T25" fmla="*/ 1575 h 1965"/>
                              <a:gd name="T26" fmla="*/ 1447 w 5002"/>
                              <a:gd name="T27" fmla="*/ 1710 h 1965"/>
                              <a:gd name="T28" fmla="*/ 1567 w 5002"/>
                              <a:gd name="T29" fmla="*/ 1770 h 1965"/>
                              <a:gd name="T30" fmla="*/ 1627 w 5002"/>
                              <a:gd name="T31" fmla="*/ 1815 h 1965"/>
                              <a:gd name="T32" fmla="*/ 1732 w 5002"/>
                              <a:gd name="T33" fmla="*/ 1845 h 1965"/>
                              <a:gd name="T34" fmla="*/ 1957 w 5002"/>
                              <a:gd name="T35" fmla="*/ 1920 h 1965"/>
                              <a:gd name="T36" fmla="*/ 2032 w 5002"/>
                              <a:gd name="T37" fmla="*/ 1935 h 1965"/>
                              <a:gd name="T38" fmla="*/ 2122 w 5002"/>
                              <a:gd name="T39" fmla="*/ 1965 h 1965"/>
                              <a:gd name="T40" fmla="*/ 2797 w 5002"/>
                              <a:gd name="T41" fmla="*/ 1950 h 1965"/>
                              <a:gd name="T42" fmla="*/ 2917 w 5002"/>
                              <a:gd name="T43" fmla="*/ 1905 h 1965"/>
                              <a:gd name="T44" fmla="*/ 3187 w 5002"/>
                              <a:gd name="T45" fmla="*/ 1845 h 1965"/>
                              <a:gd name="T46" fmla="*/ 3517 w 5002"/>
                              <a:gd name="T47" fmla="*/ 1740 h 1965"/>
                              <a:gd name="T48" fmla="*/ 3577 w 5002"/>
                              <a:gd name="T49" fmla="*/ 1710 h 1965"/>
                              <a:gd name="T50" fmla="*/ 3667 w 5002"/>
                              <a:gd name="T51" fmla="*/ 1650 h 1965"/>
                              <a:gd name="T52" fmla="*/ 3742 w 5002"/>
                              <a:gd name="T53" fmla="*/ 1545 h 1965"/>
                              <a:gd name="T54" fmla="*/ 3922 w 5002"/>
                              <a:gd name="T55" fmla="*/ 1320 h 1965"/>
                              <a:gd name="T56" fmla="*/ 4117 w 5002"/>
                              <a:gd name="T57" fmla="*/ 1125 h 1965"/>
                              <a:gd name="T58" fmla="*/ 4177 w 5002"/>
                              <a:gd name="T59" fmla="*/ 1080 h 1965"/>
                              <a:gd name="T60" fmla="*/ 4207 w 5002"/>
                              <a:gd name="T61" fmla="*/ 1035 h 1965"/>
                              <a:gd name="T62" fmla="*/ 4342 w 5002"/>
                              <a:gd name="T63" fmla="*/ 900 h 1965"/>
                              <a:gd name="T64" fmla="*/ 4417 w 5002"/>
                              <a:gd name="T65" fmla="*/ 795 h 1965"/>
                              <a:gd name="T66" fmla="*/ 4477 w 5002"/>
                              <a:gd name="T67" fmla="*/ 750 h 1965"/>
                              <a:gd name="T68" fmla="*/ 4582 w 5002"/>
                              <a:gd name="T69" fmla="*/ 630 h 1965"/>
                              <a:gd name="T70" fmla="*/ 4717 w 5002"/>
                              <a:gd name="T71" fmla="*/ 450 h 1965"/>
                              <a:gd name="T72" fmla="*/ 4837 w 5002"/>
                              <a:gd name="T73" fmla="*/ 225 h 1965"/>
                              <a:gd name="T74" fmla="*/ 4867 w 5002"/>
                              <a:gd name="T75" fmla="*/ 135 h 1965"/>
                              <a:gd name="T76" fmla="*/ 4957 w 5002"/>
                              <a:gd name="T77" fmla="*/ 75 h 1965"/>
                              <a:gd name="T78" fmla="*/ 5002 w 5002"/>
                              <a:gd name="T79" fmla="*/ 0 h 19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5002" h="1965">
                                <a:moveTo>
                                  <a:pt x="22" y="0"/>
                                </a:moveTo>
                                <a:cubicBezTo>
                                  <a:pt x="17" y="15"/>
                                  <a:pt x="0" y="31"/>
                                  <a:pt x="7" y="45"/>
                                </a:cubicBezTo>
                                <a:cubicBezTo>
                                  <a:pt x="13" y="56"/>
                                  <a:pt x="96" y="108"/>
                                  <a:pt x="112" y="120"/>
                                </a:cubicBezTo>
                                <a:cubicBezTo>
                                  <a:pt x="233" y="208"/>
                                  <a:pt x="298" y="249"/>
                                  <a:pt x="382" y="375"/>
                                </a:cubicBezTo>
                                <a:cubicBezTo>
                                  <a:pt x="382" y="376"/>
                                  <a:pt x="426" y="463"/>
                                  <a:pt x="427" y="465"/>
                                </a:cubicBezTo>
                                <a:cubicBezTo>
                                  <a:pt x="439" y="483"/>
                                  <a:pt x="460" y="493"/>
                                  <a:pt x="472" y="510"/>
                                </a:cubicBezTo>
                                <a:cubicBezTo>
                                  <a:pt x="505" y="558"/>
                                  <a:pt x="527" y="613"/>
                                  <a:pt x="562" y="660"/>
                                </a:cubicBezTo>
                                <a:cubicBezTo>
                                  <a:pt x="596" y="705"/>
                                  <a:pt x="668" y="798"/>
                                  <a:pt x="682" y="840"/>
                                </a:cubicBezTo>
                                <a:cubicBezTo>
                                  <a:pt x="700" y="895"/>
                                  <a:pt x="736" y="935"/>
                                  <a:pt x="757" y="990"/>
                                </a:cubicBezTo>
                                <a:cubicBezTo>
                                  <a:pt x="764" y="1009"/>
                                  <a:pt x="764" y="1031"/>
                                  <a:pt x="772" y="1050"/>
                                </a:cubicBezTo>
                                <a:cubicBezTo>
                                  <a:pt x="802" y="1120"/>
                                  <a:pt x="846" y="1184"/>
                                  <a:pt x="892" y="1245"/>
                                </a:cubicBezTo>
                                <a:cubicBezTo>
                                  <a:pt x="919" y="1326"/>
                                  <a:pt x="889" y="1258"/>
                                  <a:pt x="952" y="1335"/>
                                </a:cubicBezTo>
                                <a:cubicBezTo>
                                  <a:pt x="1027" y="1427"/>
                                  <a:pt x="1083" y="1502"/>
                                  <a:pt x="1177" y="1575"/>
                                </a:cubicBezTo>
                                <a:cubicBezTo>
                                  <a:pt x="1257" y="1637"/>
                                  <a:pt x="1356" y="1668"/>
                                  <a:pt x="1447" y="1710"/>
                                </a:cubicBezTo>
                                <a:cubicBezTo>
                                  <a:pt x="1488" y="1729"/>
                                  <a:pt x="1531" y="1743"/>
                                  <a:pt x="1567" y="1770"/>
                                </a:cubicBezTo>
                                <a:cubicBezTo>
                                  <a:pt x="1587" y="1785"/>
                                  <a:pt x="1605" y="1803"/>
                                  <a:pt x="1627" y="1815"/>
                                </a:cubicBezTo>
                                <a:cubicBezTo>
                                  <a:pt x="1647" y="1827"/>
                                  <a:pt x="1714" y="1839"/>
                                  <a:pt x="1732" y="1845"/>
                                </a:cubicBezTo>
                                <a:cubicBezTo>
                                  <a:pt x="1807" y="1870"/>
                                  <a:pt x="1882" y="1895"/>
                                  <a:pt x="1957" y="1920"/>
                                </a:cubicBezTo>
                                <a:cubicBezTo>
                                  <a:pt x="1981" y="1928"/>
                                  <a:pt x="2007" y="1928"/>
                                  <a:pt x="2032" y="1935"/>
                                </a:cubicBezTo>
                                <a:cubicBezTo>
                                  <a:pt x="2063" y="1943"/>
                                  <a:pt x="2122" y="1965"/>
                                  <a:pt x="2122" y="1965"/>
                                </a:cubicBezTo>
                                <a:cubicBezTo>
                                  <a:pt x="2347" y="1960"/>
                                  <a:pt x="2572" y="1959"/>
                                  <a:pt x="2797" y="1950"/>
                                </a:cubicBezTo>
                                <a:cubicBezTo>
                                  <a:pt x="2872" y="1947"/>
                                  <a:pt x="2846" y="1925"/>
                                  <a:pt x="2917" y="1905"/>
                                </a:cubicBezTo>
                                <a:cubicBezTo>
                                  <a:pt x="3006" y="1880"/>
                                  <a:pt x="3098" y="1867"/>
                                  <a:pt x="3187" y="1845"/>
                                </a:cubicBezTo>
                                <a:cubicBezTo>
                                  <a:pt x="3300" y="1817"/>
                                  <a:pt x="3410" y="1788"/>
                                  <a:pt x="3517" y="1740"/>
                                </a:cubicBezTo>
                                <a:cubicBezTo>
                                  <a:pt x="3537" y="1731"/>
                                  <a:pt x="3558" y="1722"/>
                                  <a:pt x="3577" y="1710"/>
                                </a:cubicBezTo>
                                <a:cubicBezTo>
                                  <a:pt x="3608" y="1691"/>
                                  <a:pt x="3667" y="1650"/>
                                  <a:pt x="3667" y="1650"/>
                                </a:cubicBezTo>
                                <a:cubicBezTo>
                                  <a:pt x="3723" y="1539"/>
                                  <a:pt x="3666" y="1636"/>
                                  <a:pt x="3742" y="1545"/>
                                </a:cubicBezTo>
                                <a:cubicBezTo>
                                  <a:pt x="3803" y="1471"/>
                                  <a:pt x="3858" y="1392"/>
                                  <a:pt x="3922" y="1320"/>
                                </a:cubicBezTo>
                                <a:cubicBezTo>
                                  <a:pt x="3983" y="1252"/>
                                  <a:pt x="4052" y="1190"/>
                                  <a:pt x="4117" y="1125"/>
                                </a:cubicBezTo>
                                <a:cubicBezTo>
                                  <a:pt x="4135" y="1107"/>
                                  <a:pt x="4159" y="1098"/>
                                  <a:pt x="4177" y="1080"/>
                                </a:cubicBezTo>
                                <a:cubicBezTo>
                                  <a:pt x="4190" y="1067"/>
                                  <a:pt x="4195" y="1048"/>
                                  <a:pt x="4207" y="1035"/>
                                </a:cubicBezTo>
                                <a:cubicBezTo>
                                  <a:pt x="4249" y="987"/>
                                  <a:pt x="4304" y="951"/>
                                  <a:pt x="4342" y="900"/>
                                </a:cubicBezTo>
                                <a:cubicBezTo>
                                  <a:pt x="4368" y="866"/>
                                  <a:pt x="4387" y="825"/>
                                  <a:pt x="4417" y="795"/>
                                </a:cubicBezTo>
                                <a:cubicBezTo>
                                  <a:pt x="4435" y="777"/>
                                  <a:pt x="4460" y="769"/>
                                  <a:pt x="4477" y="750"/>
                                </a:cubicBezTo>
                                <a:cubicBezTo>
                                  <a:pt x="4604" y="607"/>
                                  <a:pt x="4478" y="699"/>
                                  <a:pt x="4582" y="630"/>
                                </a:cubicBezTo>
                                <a:cubicBezTo>
                                  <a:pt x="4627" y="562"/>
                                  <a:pt x="4661" y="506"/>
                                  <a:pt x="4717" y="450"/>
                                </a:cubicBezTo>
                                <a:cubicBezTo>
                                  <a:pt x="4744" y="370"/>
                                  <a:pt x="4790" y="295"/>
                                  <a:pt x="4837" y="225"/>
                                </a:cubicBezTo>
                                <a:cubicBezTo>
                                  <a:pt x="4855" y="199"/>
                                  <a:pt x="4857" y="165"/>
                                  <a:pt x="4867" y="135"/>
                                </a:cubicBezTo>
                                <a:cubicBezTo>
                                  <a:pt x="4878" y="101"/>
                                  <a:pt x="4957" y="75"/>
                                  <a:pt x="4957" y="75"/>
                                </a:cubicBezTo>
                                <a:cubicBezTo>
                                  <a:pt x="4976" y="17"/>
                                  <a:pt x="4961" y="41"/>
                                  <a:pt x="5002"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 name="Line 3238"/>
                        <wps:cNvCnPr>
                          <a:cxnSpLocks noChangeShapeType="1"/>
                        </wps:cNvCnPr>
                        <wps:spPr bwMode="auto">
                          <a:xfrm flipH="1">
                            <a:off x="2442845" y="536575"/>
                            <a:ext cx="228600" cy="2184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04" name="Text Box 3239"/>
                        <wps:cNvSpPr txBox="1">
                          <a:spLocks noChangeArrowheads="1"/>
                        </wps:cNvSpPr>
                        <wps:spPr bwMode="auto">
                          <a:xfrm>
                            <a:off x="2605405" y="365125"/>
                            <a:ext cx="16383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4B055" w14:textId="77777777" w:rsidR="009C1A5C" w:rsidRPr="003E0F88" w:rsidRDefault="009C1A5C" w:rsidP="003D2F70">
                              <w:pPr>
                                <w:rPr>
                                  <w:rFonts w:ascii="Arial" w:hAnsi="Arial" w:cs="Arial"/>
                                  <w:sz w:val="18"/>
                                  <w:szCs w:val="18"/>
                                </w:rPr>
                              </w:pPr>
                              <w:r w:rsidRPr="003E0F88">
                                <w:rPr>
                                  <w:rFonts w:ascii="Arial" w:hAnsi="Arial" w:cs="Arial"/>
                                  <w:sz w:val="18"/>
                                  <w:szCs w:val="18"/>
                                </w:rPr>
                                <w:t>Top of proposed roadway</w:t>
                              </w:r>
                            </w:p>
                          </w:txbxContent>
                        </wps:txbx>
                        <wps:bodyPr rot="0" vert="horz" wrap="square" lIns="91440" tIns="45720" rIns="91440" bIns="45720" anchor="t" anchorCtr="0" upright="1">
                          <a:noAutofit/>
                        </wps:bodyPr>
                      </wps:wsp>
                      <wps:wsp>
                        <wps:cNvPr id="1705" name="Line 3240"/>
                        <wps:cNvCnPr>
                          <a:cxnSpLocks noChangeShapeType="1"/>
                        </wps:cNvCnPr>
                        <wps:spPr bwMode="auto">
                          <a:xfrm>
                            <a:off x="1747520" y="784225"/>
                            <a:ext cx="9525" cy="8763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706" name="Text Box 3241"/>
                        <wps:cNvSpPr txBox="1">
                          <a:spLocks noChangeArrowheads="1"/>
                        </wps:cNvSpPr>
                        <wps:spPr bwMode="auto">
                          <a:xfrm>
                            <a:off x="1710055" y="1089025"/>
                            <a:ext cx="72390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084A7F" w14:textId="1F897CE5" w:rsidR="009C1A5C" w:rsidRPr="003E0F88" w:rsidRDefault="009C1A5C" w:rsidP="003D2F70">
                              <w:pPr>
                                <w:rPr>
                                  <w:rFonts w:ascii="Arial" w:hAnsi="Arial" w:cs="Arial"/>
                                  <w:sz w:val="18"/>
                                  <w:szCs w:val="18"/>
                                </w:rPr>
                              </w:pPr>
                              <w:r w:rsidRPr="003E0F88">
                                <w:rPr>
                                  <w:rFonts w:ascii="Arial" w:hAnsi="Arial" w:cs="Arial"/>
                                  <w:sz w:val="18"/>
                                  <w:szCs w:val="18"/>
                                </w:rPr>
                                <w:t>3</w:t>
                              </w:r>
                              <w:r>
                                <w:rPr>
                                  <w:rFonts w:ascii="Arial" w:hAnsi="Arial" w:cs="Arial"/>
                                  <w:sz w:val="18"/>
                                  <w:szCs w:val="18"/>
                                </w:rPr>
                                <w:t xml:space="preserve"> ft.</w:t>
                              </w:r>
                              <w:r w:rsidRPr="003E0F88">
                                <w:rPr>
                                  <w:rFonts w:ascii="Arial" w:hAnsi="Arial" w:cs="Arial"/>
                                  <w:sz w:val="18"/>
                                  <w:szCs w:val="18"/>
                                </w:rPr>
                                <w:t xml:space="preserve"> of fill</w:t>
                              </w:r>
                            </w:p>
                          </w:txbxContent>
                        </wps:txbx>
                        <wps:bodyPr rot="0" vert="horz" wrap="square" lIns="91440" tIns="45720" rIns="91440" bIns="45720" anchor="t" anchorCtr="0" upright="1">
                          <a:noAutofit/>
                        </wps:bodyPr>
                      </wps:wsp>
                      <wps:wsp>
                        <wps:cNvPr id="1707" name="Line 3242"/>
                        <wps:cNvCnPr>
                          <a:cxnSpLocks noChangeShapeType="1"/>
                        </wps:cNvCnPr>
                        <wps:spPr bwMode="auto">
                          <a:xfrm>
                            <a:off x="1299845" y="2574925"/>
                            <a:ext cx="70485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8" name="Line 3243"/>
                        <wps:cNvCnPr>
                          <a:cxnSpLocks noChangeShapeType="1"/>
                        </wps:cNvCnPr>
                        <wps:spPr bwMode="auto">
                          <a:xfrm>
                            <a:off x="1757045" y="1670050"/>
                            <a:ext cx="635" cy="89598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709" name="Text Box 3244"/>
                        <wps:cNvSpPr txBox="1">
                          <a:spLocks noChangeArrowheads="1"/>
                        </wps:cNvSpPr>
                        <wps:spPr bwMode="auto">
                          <a:xfrm>
                            <a:off x="1737995" y="1955800"/>
                            <a:ext cx="172402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409C4" w14:textId="7889220C" w:rsidR="009C1A5C" w:rsidRPr="003E0F88" w:rsidRDefault="009C1A5C" w:rsidP="003D2F70">
                              <w:pPr>
                                <w:rPr>
                                  <w:rFonts w:ascii="Arial" w:hAnsi="Arial" w:cs="Arial"/>
                                  <w:sz w:val="18"/>
                                  <w:szCs w:val="18"/>
                                </w:rPr>
                              </w:pPr>
                              <w:r w:rsidRPr="003E0F88">
                                <w:rPr>
                                  <w:rFonts w:ascii="Arial" w:hAnsi="Arial" w:cs="Arial"/>
                                  <w:sz w:val="18"/>
                                  <w:szCs w:val="18"/>
                                </w:rPr>
                                <w:t>10</w:t>
                              </w:r>
                              <w:r>
                                <w:rPr>
                                  <w:rFonts w:ascii="Arial" w:hAnsi="Arial" w:cs="Arial"/>
                                  <w:sz w:val="18"/>
                                  <w:szCs w:val="18"/>
                                </w:rPr>
                                <w:t xml:space="preserve"> ft.</w:t>
                              </w:r>
                              <w:r w:rsidRPr="003E0F88">
                                <w:rPr>
                                  <w:rFonts w:ascii="Arial" w:hAnsi="Arial" w:cs="Arial"/>
                                  <w:sz w:val="18"/>
                                  <w:szCs w:val="18"/>
                                </w:rPr>
                                <w:t xml:space="preserve"> below bottom of fill</w:t>
                              </w:r>
                            </w:p>
                          </w:txbxContent>
                        </wps:txbx>
                        <wps:bodyPr rot="0" vert="horz" wrap="square" lIns="91440" tIns="45720" rIns="91440" bIns="45720" anchor="t" anchorCtr="0" upright="1">
                          <a:noAutofit/>
                        </wps:bodyPr>
                      </wps:wsp>
                      <wps:wsp>
                        <wps:cNvPr id="1710" name="Text Box 3245"/>
                        <wps:cNvSpPr txBox="1">
                          <a:spLocks noChangeArrowheads="1"/>
                        </wps:cNvSpPr>
                        <wps:spPr bwMode="auto">
                          <a:xfrm>
                            <a:off x="811657" y="12404"/>
                            <a:ext cx="28003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5018D" w14:textId="3FEC23CA" w:rsidR="009C1A5C" w:rsidRPr="00DE2B3D" w:rsidRDefault="009C1A5C" w:rsidP="003D2F70">
                              <w:pPr>
                                <w:rPr>
                                  <w:rFonts w:ascii="Arial" w:hAnsi="Arial" w:cs="Arial"/>
                                  <w:b/>
                                  <w:sz w:val="22"/>
                                  <w:szCs w:val="22"/>
                                </w:rPr>
                              </w:pPr>
                              <w:r w:rsidRPr="00DE2B3D">
                                <w:rPr>
                                  <w:rFonts w:ascii="Arial" w:hAnsi="Arial" w:cs="Arial"/>
                                  <w:b/>
                                  <w:sz w:val="22"/>
                                  <w:szCs w:val="22"/>
                                </w:rPr>
                                <w:t xml:space="preserve">Figure 6: </w:t>
                              </w:r>
                              <w:r>
                                <w:rPr>
                                  <w:rFonts w:ascii="Arial" w:hAnsi="Arial" w:cs="Arial"/>
                                  <w:b/>
                                  <w:sz w:val="22"/>
                                  <w:szCs w:val="22"/>
                                </w:rPr>
                                <w:t xml:space="preserve"> </w:t>
                              </w:r>
                              <w:r w:rsidRPr="00DE2B3D">
                                <w:rPr>
                                  <w:rFonts w:ascii="Arial" w:hAnsi="Arial" w:cs="Arial"/>
                                  <w:b/>
                                  <w:sz w:val="22"/>
                                  <w:szCs w:val="22"/>
                                </w:rPr>
                                <w:t xml:space="preserve">Boring Depth in Fill Areas </w:t>
                              </w:r>
                            </w:p>
                          </w:txbxContent>
                        </wps:txbx>
                        <wps:bodyPr rot="0" vert="horz" wrap="square" lIns="91440" tIns="45720" rIns="91440" bIns="45720" anchor="t" anchorCtr="0" upright="1">
                          <a:noAutofit/>
                        </wps:bodyPr>
                      </wps:wsp>
                      <wps:wsp>
                        <wps:cNvPr id="1711" name="Line 3246"/>
                        <wps:cNvCnPr>
                          <a:cxnSpLocks noChangeShapeType="1"/>
                        </wps:cNvCnPr>
                        <wps:spPr bwMode="auto">
                          <a:xfrm>
                            <a:off x="1423670" y="790575"/>
                            <a:ext cx="635" cy="178181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712" name="Text Box 3247"/>
                        <wps:cNvSpPr txBox="1">
                          <a:spLocks noChangeArrowheads="1"/>
                        </wps:cNvSpPr>
                        <wps:spPr bwMode="auto">
                          <a:xfrm>
                            <a:off x="100330" y="1705610"/>
                            <a:ext cx="1285875" cy="55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CAE3BB" w14:textId="6125D8EB" w:rsidR="009C1A5C" w:rsidRPr="003E0F88" w:rsidRDefault="009C1A5C" w:rsidP="003D2F70">
                              <w:pPr>
                                <w:jc w:val="right"/>
                                <w:rPr>
                                  <w:rFonts w:ascii="Arial" w:hAnsi="Arial" w:cs="Arial"/>
                                  <w:sz w:val="18"/>
                                  <w:szCs w:val="18"/>
                                </w:rPr>
                              </w:pPr>
                              <w:r w:rsidRPr="003E0F88">
                                <w:rPr>
                                  <w:rFonts w:ascii="Arial" w:hAnsi="Arial" w:cs="Arial"/>
                                  <w:sz w:val="18"/>
                                  <w:szCs w:val="18"/>
                                </w:rPr>
                                <w:t>13</w:t>
                              </w:r>
                              <w:r>
                                <w:rPr>
                                  <w:rFonts w:ascii="Arial" w:hAnsi="Arial" w:cs="Arial"/>
                                  <w:sz w:val="18"/>
                                  <w:szCs w:val="18"/>
                                </w:rPr>
                                <w:t xml:space="preserve"> ft.</w:t>
                              </w:r>
                            </w:p>
                          </w:txbxContent>
                        </wps:txbx>
                        <wps:bodyPr rot="0" vert="horz" wrap="square" lIns="91440" tIns="45720" rIns="91440" bIns="45720" anchor="t" anchorCtr="0" upright="1">
                          <a:noAutofit/>
                        </wps:bodyPr>
                      </wps:wsp>
                      <wps:wsp>
                        <wps:cNvPr id="1713" name="Line 3248"/>
                        <wps:cNvCnPr>
                          <a:cxnSpLocks noChangeShapeType="1"/>
                        </wps:cNvCnPr>
                        <wps:spPr bwMode="auto">
                          <a:xfrm flipH="1" flipV="1">
                            <a:off x="2757170" y="1412240"/>
                            <a:ext cx="238125" cy="1911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14" name="Text Box 3249"/>
                        <wps:cNvSpPr txBox="1">
                          <a:spLocks noChangeArrowheads="1"/>
                        </wps:cNvSpPr>
                        <wps:spPr bwMode="auto">
                          <a:xfrm>
                            <a:off x="2605405" y="1631950"/>
                            <a:ext cx="132397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9E1FE" w14:textId="77777777" w:rsidR="009C1A5C" w:rsidRPr="003E0F88" w:rsidRDefault="009C1A5C" w:rsidP="003D2F70">
                              <w:pPr>
                                <w:rPr>
                                  <w:rFonts w:ascii="Arial" w:hAnsi="Arial" w:cs="Arial"/>
                                  <w:sz w:val="18"/>
                                  <w:szCs w:val="18"/>
                                </w:rPr>
                              </w:pPr>
                              <w:r w:rsidRPr="003E0F88">
                                <w:rPr>
                                  <w:rFonts w:ascii="Arial" w:hAnsi="Arial" w:cs="Arial"/>
                                  <w:sz w:val="18"/>
                                  <w:szCs w:val="18"/>
                                </w:rPr>
                                <w:t>Profile ground line</w:t>
                              </w:r>
                            </w:p>
                          </w:txbxContent>
                        </wps:txbx>
                        <wps:bodyPr rot="0" vert="horz" wrap="square" lIns="91440" tIns="45720" rIns="91440" bIns="45720" anchor="t" anchorCtr="0" upright="1">
                          <a:noAutofit/>
                        </wps:bodyPr>
                      </wps:wsp>
                    </wpc:wpc>
                  </a:graphicData>
                </a:graphic>
                <wp14:sizeRelH relativeFrom="margin">
                  <wp14:pctWidth>0</wp14:pctWidth>
                </wp14:sizeRelH>
                <wp14:sizeRelV relativeFrom="margin">
                  <wp14:pctHeight>0</wp14:pctHeight>
                </wp14:sizeRelV>
              </wp:anchor>
            </w:drawing>
          </mc:Choice>
          <mc:Fallback>
            <w:pict>
              <v:group w14:anchorId="7F02E967" id="Canvas 3234" o:spid="_x0000_s1038" editas="canvas" alt="boring depth in fill areas diagram" style="position:absolute;margin-left:69.55pt;margin-top:.6pt;width:334.1pt;height:203.05pt;z-index:251836928;mso-width-relative:margin;mso-height-relative:margin" coordsize="42424,25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9" type="#_x0000_t75" alt="boring depth in fill areas diagram" style="position:absolute;width:42424;height:25781;visibility:visible;mso-wrap-style:square">
                  <v:fill o:detectmouseclick="t"/>
                  <v:path o:connecttype="none"/>
                </v:shape>
                <v:line id="Line 3236" o:spid="_x0000_s1040" style="position:absolute;visibility:visible;mso-wrap-style:square" from="146,7620" to="38525,7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" strokeweight="2.25pt"/>
                <v:shape id="Freeform 3237" o:spid="_x0000_s1041" style="position:absolute;left:2857;top:7651;width:31763;height:9144;visibility:visible;mso-wrap-style:square;v-text-anchor:top" coordsize="5002,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" path="m22,c17,15,,31,7,45v6,11,89,63,105,75c233,208,298,249,382,375v,1,44,88,45,90c439,483,460,493,472,510v33,48,55,103,90,150c596,705,668,798,682,840v18,55,54,95,75,150c764,1009,764,1031,772,1050v30,70,74,134,120,195c919,1326,889,1258,952,1335v75,92,131,167,225,240c1257,1637,1356,1668,1447,1710v41,19,84,33,120,60c1587,1785,1605,1803,1627,1815v20,12,87,24,105,30c1807,1870,1882,1895,1957,1920v24,8,50,8,75,15c2063,1943,2122,1965,2122,1965v225,-5,450,-6,675,-15c2872,1947,2846,1925,2917,1905v89,-25,181,-38,270,-60c3300,1817,3410,1788,3517,1740v20,-9,41,-18,60,-30c3608,1691,3667,1650,3667,1650v56,-111,-1,-14,75,-105c3803,1471,3858,1392,3922,1320v61,-68,130,-130,195,-195c4135,1107,4159,1098,4177,1080v13,-13,18,-32,30,-45c4249,987,4304,951,4342,900v26,-34,45,-75,75,-105c4435,777,4460,769,4477,750v127,-143,1,-51,105,-120c4627,562,4661,506,4717,450v27,-80,73,-155,120,-225c4855,199,4857,165,4867,135v11,-34,90,-60,90,-60c4976,17,4961,41,5002,e" filled="f">
                  <v:path arrowok="t" o:connecttype="custom" o:connectlocs="13970,0;4445,20940;71120,55841;242570,174504;271145,216385;299720,237325;356870,307127;433070,390889;480695,460690;490220,488611;566420,579353;604520,621234;747395,732916;918845,795737;995045,823658;1033145,844598;1099820,858559;1242695,893460;1290320,900440;1347470,914400;1776095,907420;1852295,886479;2023745,858559;2233295,809698;2271395,795737;2328545,767817;2376170,718956;2490470,614253;2614295,523511;2652395,502571;2671445,481631;2757170,418809;2804795,369948;2842895,349008;2909570,293166;2995295,209405;3071495,104702;3090545,62821;3147695,34901;3176270,0" o:connectangles="0,0,0,0,0,0,0,0,0,0,0,0,0,0,0,0,0,0,0,0,0,0,0,0,0,0,0,0,0,0,0,0,0,0,0,0,0,0,0,0"/>
                </v:shape>
                <v:line id="Line 3238" o:spid="_x0000_s1042" style="position:absolute;flip:x;visibility:visible;mso-wrap-style:square" from="24428,5365" to="26714,7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">
                  <v:stroke endarrow="block"/>
                </v:line>
                <v:shape id="Text Box 3239" o:spid="_x0000_s1043" type="#_x0000_t202" style="position:absolute;left:26054;top:3651;width:1638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" filled="f" stroked="f">
                  <v:textbox>
                    <w:txbxContent>
                      <w:p w14:paraId="4704B055" w14:textId="77777777" w:rsidR="009C1A5C" w:rsidRPr="003E0F88" w:rsidRDefault="009C1A5C" w:rsidP="003D2F70">
                        <w:pPr>
                          <w:rPr>
                            <w:rFonts w:ascii="Arial" w:hAnsi="Arial" w:cs="Arial"/>
                            <w:sz w:val="18"/>
                            <w:szCs w:val="18"/>
                          </w:rPr>
                        </w:pPr>
                        <w:r w:rsidRPr="003E0F88">
                          <w:rPr>
                            <w:rFonts w:ascii="Arial" w:hAnsi="Arial" w:cs="Arial"/>
                            <w:sz w:val="18"/>
                            <w:szCs w:val="18"/>
                          </w:rPr>
                          <w:t>Top of proposed roadway</w:t>
                        </w:r>
                      </w:p>
                    </w:txbxContent>
                  </v:textbox>
                </v:shape>
                <v:line id="Line 3240" o:spid="_x0000_s1044" style="position:absolute;visibility:visible;mso-wrap-style:square" from="17475,7842" to="17570,16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">
                  <v:stroke startarrow="block" endarrow="block"/>
                </v:line>
                <v:shape id="Text Box 3241" o:spid="_x0000_s1045" type="#_x0000_t202" style="position:absolute;left:17100;top:10890;width:7239;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" filled="f" stroked="f">
                  <v:textbox>
                    <w:txbxContent>
                      <w:p w14:paraId="49084A7F" w14:textId="1F897CE5" w:rsidR="009C1A5C" w:rsidRPr="003E0F88" w:rsidRDefault="009C1A5C" w:rsidP="003D2F70">
                        <w:pPr>
                          <w:rPr>
                            <w:rFonts w:ascii="Arial" w:hAnsi="Arial" w:cs="Arial"/>
                            <w:sz w:val="18"/>
                            <w:szCs w:val="18"/>
                          </w:rPr>
                        </w:pPr>
                        <w:r w:rsidRPr="003E0F88">
                          <w:rPr>
                            <w:rFonts w:ascii="Arial" w:hAnsi="Arial" w:cs="Arial"/>
                            <w:sz w:val="18"/>
                            <w:szCs w:val="18"/>
                          </w:rPr>
                          <w:t>3</w:t>
                        </w:r>
                        <w:r>
                          <w:rPr>
                            <w:rFonts w:ascii="Arial" w:hAnsi="Arial" w:cs="Arial"/>
                            <w:sz w:val="18"/>
                            <w:szCs w:val="18"/>
                          </w:rPr>
                          <w:t xml:space="preserve"> ft.</w:t>
                        </w:r>
                        <w:r w:rsidRPr="003E0F88">
                          <w:rPr>
                            <w:rFonts w:ascii="Arial" w:hAnsi="Arial" w:cs="Arial"/>
                            <w:sz w:val="18"/>
                            <w:szCs w:val="18"/>
                          </w:rPr>
                          <w:t xml:space="preserve"> of fill</w:t>
                        </w:r>
                      </w:p>
                    </w:txbxContent>
                  </v:textbox>
                </v:shape>
                <v:line id="Line 3242" o:spid="_x0000_s1046" style="position:absolute;visibility:visible;mso-wrap-style:square" from="12998,25749" to="20046,25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"/>
                <v:line id="Line 3243" o:spid="_x0000_s1047" style="position:absolute;visibility:visible;mso-wrap-style:square" from="17570,16700" to="17576,25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">
                  <v:stroke startarrow="block" endarrow="block"/>
                </v:line>
                <v:shape id="Text Box 3244" o:spid="_x0000_s1048" type="#_x0000_t202" style="position:absolute;left:17379;top:19558;width:1724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" filled="f" stroked="f">
                  <v:textbox>
                    <w:txbxContent>
                      <w:p w14:paraId="5F3409C4" w14:textId="7889220C" w:rsidR="009C1A5C" w:rsidRPr="003E0F88" w:rsidRDefault="009C1A5C" w:rsidP="003D2F70">
                        <w:pPr>
                          <w:rPr>
                            <w:rFonts w:ascii="Arial" w:hAnsi="Arial" w:cs="Arial"/>
                            <w:sz w:val="18"/>
                            <w:szCs w:val="18"/>
                          </w:rPr>
                        </w:pPr>
                        <w:r w:rsidRPr="003E0F88">
                          <w:rPr>
                            <w:rFonts w:ascii="Arial" w:hAnsi="Arial" w:cs="Arial"/>
                            <w:sz w:val="18"/>
                            <w:szCs w:val="18"/>
                          </w:rPr>
                          <w:t>10</w:t>
                        </w:r>
                        <w:r>
                          <w:rPr>
                            <w:rFonts w:ascii="Arial" w:hAnsi="Arial" w:cs="Arial"/>
                            <w:sz w:val="18"/>
                            <w:szCs w:val="18"/>
                          </w:rPr>
                          <w:t xml:space="preserve"> ft.</w:t>
                        </w:r>
                        <w:r w:rsidRPr="003E0F88">
                          <w:rPr>
                            <w:rFonts w:ascii="Arial" w:hAnsi="Arial" w:cs="Arial"/>
                            <w:sz w:val="18"/>
                            <w:szCs w:val="18"/>
                          </w:rPr>
                          <w:t xml:space="preserve"> below bottom of fill</w:t>
                        </w:r>
                      </w:p>
                    </w:txbxContent>
                  </v:textbox>
                </v:shape>
                <v:shape id="Text Box 3245" o:spid="_x0000_s1049" type="#_x0000_t202" style="position:absolute;left:8116;top:124;width:2800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" filled="f" stroked="f">
                  <v:textbox>
                    <w:txbxContent>
                      <w:p w14:paraId="1F05018D" w14:textId="3FEC23CA" w:rsidR="009C1A5C" w:rsidRPr="00DE2B3D" w:rsidRDefault="009C1A5C" w:rsidP="003D2F70">
                        <w:pPr>
                          <w:rPr>
                            <w:rFonts w:ascii="Arial" w:hAnsi="Arial" w:cs="Arial"/>
                            <w:b/>
                            <w:sz w:val="22"/>
                            <w:szCs w:val="22"/>
                          </w:rPr>
                        </w:pPr>
                        <w:r w:rsidRPr="00DE2B3D">
                          <w:rPr>
                            <w:rFonts w:ascii="Arial" w:hAnsi="Arial" w:cs="Arial"/>
                            <w:b/>
                            <w:sz w:val="22"/>
                            <w:szCs w:val="22"/>
                          </w:rPr>
                          <w:t xml:space="preserve">Figure 6: </w:t>
                        </w:r>
                        <w:r>
                          <w:rPr>
                            <w:rFonts w:ascii="Arial" w:hAnsi="Arial" w:cs="Arial"/>
                            <w:b/>
                            <w:sz w:val="22"/>
                            <w:szCs w:val="22"/>
                          </w:rPr>
                          <w:t xml:space="preserve"> </w:t>
                        </w:r>
                        <w:r w:rsidRPr="00DE2B3D">
                          <w:rPr>
                            <w:rFonts w:ascii="Arial" w:hAnsi="Arial" w:cs="Arial"/>
                            <w:b/>
                            <w:sz w:val="22"/>
                            <w:szCs w:val="22"/>
                          </w:rPr>
                          <w:t xml:space="preserve">Boring Depth in Fill Areas </w:t>
                        </w:r>
                      </w:p>
                    </w:txbxContent>
                  </v:textbox>
                </v:shape>
                <v:line id="Line 3246" o:spid="_x0000_s1050" style="position:absolute;visibility:visible;mso-wrap-style:square" from="14236,7905" to="14243,25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">
                  <v:stroke startarrow="block" endarrow="block"/>
                </v:line>
                <v:shape id="Text Box 3247" o:spid="_x0000_s1051" type="#_x0000_t202" style="position:absolute;left:1003;top:17056;width:12859;height:5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" filled="f" stroked="f">
                  <v:textbox>
                    <w:txbxContent>
                      <w:p w14:paraId="48CAE3BB" w14:textId="6125D8EB" w:rsidR="009C1A5C" w:rsidRPr="003E0F88" w:rsidRDefault="009C1A5C" w:rsidP="003D2F70">
                        <w:pPr>
                          <w:jc w:val="right"/>
                          <w:rPr>
                            <w:rFonts w:ascii="Arial" w:hAnsi="Arial" w:cs="Arial"/>
                            <w:sz w:val="18"/>
                            <w:szCs w:val="18"/>
                          </w:rPr>
                        </w:pPr>
                        <w:r w:rsidRPr="003E0F88">
                          <w:rPr>
                            <w:rFonts w:ascii="Arial" w:hAnsi="Arial" w:cs="Arial"/>
                            <w:sz w:val="18"/>
                            <w:szCs w:val="18"/>
                          </w:rPr>
                          <w:t>13</w:t>
                        </w:r>
                        <w:r>
                          <w:rPr>
                            <w:rFonts w:ascii="Arial" w:hAnsi="Arial" w:cs="Arial"/>
                            <w:sz w:val="18"/>
                            <w:szCs w:val="18"/>
                          </w:rPr>
                          <w:t xml:space="preserve"> ft.</w:t>
                        </w:r>
                      </w:p>
                    </w:txbxContent>
                  </v:textbox>
                </v:shape>
                <v:line id="Line 3248" o:spid="_x0000_s1052" style="position:absolute;flip:x y;visibility:visible;mso-wrap-style:square" from="27571,14122" to="29952,16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">
                  <v:stroke endarrow="block"/>
                </v:line>
                <v:shape id="Text Box 3249" o:spid="_x0000_s1053" type="#_x0000_t202" style="position:absolute;left:26054;top:16319;width:13239;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" filled="f" stroked="f">
                  <v:textbox>
                    <w:txbxContent>
                      <w:p w14:paraId="5A39E1FE" w14:textId="77777777" w:rsidR="009C1A5C" w:rsidRPr="003E0F88" w:rsidRDefault="009C1A5C" w:rsidP="003D2F70">
                        <w:pPr>
                          <w:rPr>
                            <w:rFonts w:ascii="Arial" w:hAnsi="Arial" w:cs="Arial"/>
                            <w:sz w:val="18"/>
                            <w:szCs w:val="18"/>
                          </w:rPr>
                        </w:pPr>
                        <w:r w:rsidRPr="003E0F88">
                          <w:rPr>
                            <w:rFonts w:ascii="Arial" w:hAnsi="Arial" w:cs="Arial"/>
                            <w:sz w:val="18"/>
                            <w:szCs w:val="18"/>
                          </w:rPr>
                          <w:t>Profile ground line</w:t>
                        </w:r>
                      </w:p>
                    </w:txbxContent>
                  </v:textbox>
                </v:shape>
                <w10:wrap type="topAndBottom"/>
              </v:group>
            </w:pict>
          </mc:Fallback>
        </mc:AlternateContent>
      </w:r>
    </w:p>
    <w:p w14:paraId="2025BCF9" w14:textId="091A270E" w:rsidR="000F3C2B" w:rsidRDefault="003D2F70" w:rsidP="00172E64">
      <w:pPr>
        <w:pStyle w:val="ListNumber"/>
        <w:numPr>
          <w:ilvl w:val="0"/>
          <w:numId w:val="159"/>
        </w:numPr>
        <w:tabs>
          <w:tab w:val="clear" w:pos="1872"/>
        </w:tabs>
        <w:jc w:val="both"/>
      </w:pPr>
      <w:r w:rsidRPr="00745147">
        <w:t>In  areas</w:t>
      </w:r>
      <w:r w:rsidR="00853E37">
        <w:t xml:space="preserve"> with shallow cuts</w:t>
      </w:r>
      <w:r w:rsidRPr="00745147">
        <w:t xml:space="preserve"> </w:t>
      </w:r>
      <w:r w:rsidRPr="00093C8E">
        <w:t>(~&lt;5</w:t>
      </w:r>
      <w:r>
        <w:t xml:space="preserve"> ft</w:t>
      </w:r>
      <w:r w:rsidR="00853E37">
        <w:t>.</w:t>
      </w:r>
      <w:r w:rsidRPr="00093C8E">
        <w:t xml:space="preserve">) </w:t>
      </w:r>
      <w:r w:rsidRPr="00745147">
        <w:t xml:space="preserve">the boring should extend </w:t>
      </w:r>
      <w:r>
        <w:t>10 ft</w:t>
      </w:r>
      <w:r w:rsidR="00853E37">
        <w:t>.</w:t>
      </w:r>
      <w:r w:rsidRPr="00745147">
        <w:t xml:space="preserve"> below the depth of the finished roadway (Figure </w:t>
      </w:r>
      <w:r w:rsidR="00DE2B3D">
        <w:t>7</w:t>
      </w:r>
      <w:r w:rsidRPr="00745147">
        <w:t>)</w:t>
      </w:r>
      <w:r>
        <w:t>. A</w:t>
      </w:r>
      <w:r w:rsidR="00DE2B3D">
        <w:t>n</w:t>
      </w:r>
      <w:r>
        <w:t xml:space="preserve"> SPT boring may be required if structures or buildings are present or will be located at the top of the proposed cut slope. Consult EGD if this is the case.</w:t>
      </w:r>
    </w:p>
    <w:p w14:paraId="62CF5673" w14:textId="31A7C3C2" w:rsidR="003D2F70" w:rsidRDefault="003D2F70" w:rsidP="00172E64">
      <w:pPr>
        <w:pStyle w:val="ListNumber"/>
        <w:numPr>
          <w:ilvl w:val="0"/>
          <w:numId w:val="159"/>
        </w:numPr>
        <w:tabs>
          <w:tab w:val="clear" w:pos="1872"/>
        </w:tabs>
        <w:jc w:val="both"/>
      </w:pPr>
      <w:r w:rsidRPr="00A33363">
        <w:t>In no</w:t>
      </w:r>
      <w:r w:rsidR="00DE2B3D">
        <w:t>-</w:t>
      </w:r>
      <w:r w:rsidRPr="00745147">
        <w:t xml:space="preserve">cut </w:t>
      </w:r>
      <w:r>
        <w:t>no</w:t>
      </w:r>
      <w:r w:rsidR="00DE2B3D">
        <w:t>-</w:t>
      </w:r>
      <w:r>
        <w:t>fill areas</w:t>
      </w:r>
      <w:r w:rsidR="00392741">
        <w:t>,</w:t>
      </w:r>
      <w:r>
        <w:t xml:space="preserve"> the boring should extend 8 ft</w:t>
      </w:r>
      <w:r w:rsidR="00853E37">
        <w:t>.</w:t>
      </w:r>
      <w:r w:rsidRPr="00745147">
        <w:t xml:space="preserve"> below the </w:t>
      </w:r>
      <w:r>
        <w:t>depth of the proposed roadway.</w:t>
      </w:r>
    </w:p>
    <w:p w14:paraId="47346A3F" w14:textId="14467CA4" w:rsidR="003D2F70" w:rsidRPr="00745147" w:rsidRDefault="00DE2B3D" w:rsidP="00BE3F24">
      <w:pPr>
        <w:pStyle w:val="ListNumber"/>
        <w:tabs>
          <w:tab w:val="clear" w:pos="720"/>
          <w:tab w:val="clear" w:pos="1872"/>
        </w:tabs>
        <w:ind w:left="0" w:firstLine="0"/>
        <w:jc w:val="both"/>
        <w:rPr>
          <w:i/>
        </w:rPr>
      </w:pPr>
      <w:r>
        <w:rPr>
          <w:noProof/>
        </w:rPr>
        <mc:AlternateContent>
          <mc:Choice Requires="wpc">
            <w:drawing>
              <wp:anchor distT="0" distB="0" distL="114300" distR="114300" simplePos="0" relativeHeight="251837952" behindDoc="0" locked="0" layoutInCell="1" allowOverlap="1" wp14:anchorId="163E55AA" wp14:editId="119DA6BE">
                <wp:simplePos x="0" y="0"/>
                <wp:positionH relativeFrom="column">
                  <wp:posOffset>708990</wp:posOffset>
                </wp:positionH>
                <wp:positionV relativeFrom="paragraph">
                  <wp:posOffset>249250</wp:posOffset>
                </wp:positionV>
                <wp:extent cx="4764024" cy="2679192"/>
                <wp:effectExtent l="0" t="0" r="0" b="6985"/>
                <wp:wrapTopAndBottom/>
                <wp:docPr id="3220" name="Canvas 3220" descr="boring depth in cut areas diagram"/>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89" name="Line 3222"/>
                        <wps:cNvCnPr>
                          <a:cxnSpLocks noChangeShapeType="1"/>
                        </wps:cNvCnPr>
                        <wps:spPr bwMode="auto">
                          <a:xfrm>
                            <a:off x="5080" y="426085"/>
                            <a:ext cx="1276350" cy="12484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0" name="Line 3223"/>
                        <wps:cNvCnPr>
                          <a:cxnSpLocks noChangeShapeType="1"/>
                        </wps:cNvCnPr>
                        <wps:spPr bwMode="auto">
                          <a:xfrm>
                            <a:off x="1280795" y="1676400"/>
                            <a:ext cx="2619375"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91" name="Line 3224"/>
                        <wps:cNvCnPr>
                          <a:cxnSpLocks noChangeShapeType="1"/>
                        </wps:cNvCnPr>
                        <wps:spPr bwMode="auto">
                          <a:xfrm flipV="1">
                            <a:off x="3900170" y="1353185"/>
                            <a:ext cx="410210" cy="3232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2" name="Freeform 3225"/>
                        <wps:cNvSpPr>
                          <a:spLocks/>
                        </wps:cNvSpPr>
                        <wps:spPr bwMode="auto">
                          <a:xfrm>
                            <a:off x="23495" y="394970"/>
                            <a:ext cx="4276725" cy="957580"/>
                          </a:xfrm>
                          <a:custGeom>
                            <a:avLst/>
                            <a:gdLst>
                              <a:gd name="T0" fmla="*/ 0 w 6735"/>
                              <a:gd name="T1" fmla="*/ 52 h 1507"/>
                              <a:gd name="T2" fmla="*/ 90 w 6735"/>
                              <a:gd name="T3" fmla="*/ 22 h 1507"/>
                              <a:gd name="T4" fmla="*/ 135 w 6735"/>
                              <a:gd name="T5" fmla="*/ 7 h 1507"/>
                              <a:gd name="T6" fmla="*/ 1020 w 6735"/>
                              <a:gd name="T7" fmla="*/ 37 h 1507"/>
                              <a:gd name="T8" fmla="*/ 2040 w 6735"/>
                              <a:gd name="T9" fmla="*/ 262 h 1507"/>
                              <a:gd name="T10" fmla="*/ 2715 w 6735"/>
                              <a:gd name="T11" fmla="*/ 292 h 1507"/>
                              <a:gd name="T12" fmla="*/ 3255 w 6735"/>
                              <a:gd name="T13" fmla="*/ 382 h 1507"/>
                              <a:gd name="T14" fmla="*/ 4395 w 6735"/>
                              <a:gd name="T15" fmla="*/ 442 h 1507"/>
                              <a:gd name="T16" fmla="*/ 4905 w 6735"/>
                              <a:gd name="T17" fmla="*/ 547 h 1507"/>
                              <a:gd name="T18" fmla="*/ 5070 w 6735"/>
                              <a:gd name="T19" fmla="*/ 592 h 1507"/>
                              <a:gd name="T20" fmla="*/ 5235 w 6735"/>
                              <a:gd name="T21" fmla="*/ 652 h 1507"/>
                              <a:gd name="T22" fmla="*/ 5415 w 6735"/>
                              <a:gd name="T23" fmla="*/ 697 h 1507"/>
                              <a:gd name="T24" fmla="*/ 5715 w 6735"/>
                              <a:gd name="T25" fmla="*/ 847 h 1507"/>
                              <a:gd name="T26" fmla="*/ 5835 w 6735"/>
                              <a:gd name="T27" fmla="*/ 907 h 1507"/>
                              <a:gd name="T28" fmla="*/ 5880 w 6735"/>
                              <a:gd name="T29" fmla="*/ 937 h 1507"/>
                              <a:gd name="T30" fmla="*/ 6000 w 6735"/>
                              <a:gd name="T31" fmla="*/ 967 h 1507"/>
                              <a:gd name="T32" fmla="*/ 6105 w 6735"/>
                              <a:gd name="T33" fmla="*/ 1057 h 1507"/>
                              <a:gd name="T34" fmla="*/ 6165 w 6735"/>
                              <a:gd name="T35" fmla="*/ 1072 h 1507"/>
                              <a:gd name="T36" fmla="*/ 6240 w 6735"/>
                              <a:gd name="T37" fmla="*/ 1147 h 1507"/>
                              <a:gd name="T38" fmla="*/ 6270 w 6735"/>
                              <a:gd name="T39" fmla="*/ 1192 h 1507"/>
                              <a:gd name="T40" fmla="*/ 6360 w 6735"/>
                              <a:gd name="T41" fmla="*/ 1252 h 1507"/>
                              <a:gd name="T42" fmla="*/ 6405 w 6735"/>
                              <a:gd name="T43" fmla="*/ 1297 h 1507"/>
                              <a:gd name="T44" fmla="*/ 6510 w 6735"/>
                              <a:gd name="T45" fmla="*/ 1342 h 1507"/>
                              <a:gd name="T46" fmla="*/ 6660 w 6735"/>
                              <a:gd name="T47" fmla="*/ 1402 h 1507"/>
                              <a:gd name="T48" fmla="*/ 6735 w 6735"/>
                              <a:gd name="T49" fmla="*/ 1507 h 15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6735" h="1507">
                                <a:moveTo>
                                  <a:pt x="0" y="52"/>
                                </a:moveTo>
                                <a:cubicBezTo>
                                  <a:pt x="30" y="42"/>
                                  <a:pt x="60" y="32"/>
                                  <a:pt x="90" y="22"/>
                                </a:cubicBezTo>
                                <a:cubicBezTo>
                                  <a:pt x="105" y="17"/>
                                  <a:pt x="135" y="7"/>
                                  <a:pt x="135" y="7"/>
                                </a:cubicBezTo>
                                <a:cubicBezTo>
                                  <a:pt x="353" y="11"/>
                                  <a:pt x="742" y="0"/>
                                  <a:pt x="1020" y="37"/>
                                </a:cubicBezTo>
                                <a:cubicBezTo>
                                  <a:pt x="1365" y="83"/>
                                  <a:pt x="1693" y="225"/>
                                  <a:pt x="2040" y="262"/>
                                </a:cubicBezTo>
                                <a:cubicBezTo>
                                  <a:pt x="2214" y="280"/>
                                  <a:pt x="2591" y="288"/>
                                  <a:pt x="2715" y="292"/>
                                </a:cubicBezTo>
                                <a:cubicBezTo>
                                  <a:pt x="2898" y="310"/>
                                  <a:pt x="3073" y="363"/>
                                  <a:pt x="3255" y="382"/>
                                </a:cubicBezTo>
                                <a:cubicBezTo>
                                  <a:pt x="3639" y="422"/>
                                  <a:pt x="4003" y="433"/>
                                  <a:pt x="4395" y="442"/>
                                </a:cubicBezTo>
                                <a:cubicBezTo>
                                  <a:pt x="4565" y="476"/>
                                  <a:pt x="4733" y="525"/>
                                  <a:pt x="4905" y="547"/>
                                </a:cubicBezTo>
                                <a:cubicBezTo>
                                  <a:pt x="5098" y="611"/>
                                  <a:pt x="4900" y="550"/>
                                  <a:pt x="5070" y="592"/>
                                </a:cubicBezTo>
                                <a:cubicBezTo>
                                  <a:pt x="5127" y="606"/>
                                  <a:pt x="5178" y="638"/>
                                  <a:pt x="5235" y="652"/>
                                </a:cubicBezTo>
                                <a:cubicBezTo>
                                  <a:pt x="5295" y="667"/>
                                  <a:pt x="5355" y="682"/>
                                  <a:pt x="5415" y="697"/>
                                </a:cubicBezTo>
                                <a:cubicBezTo>
                                  <a:pt x="5507" y="758"/>
                                  <a:pt x="5616" y="797"/>
                                  <a:pt x="5715" y="847"/>
                                </a:cubicBezTo>
                                <a:cubicBezTo>
                                  <a:pt x="5868" y="923"/>
                                  <a:pt x="5688" y="870"/>
                                  <a:pt x="5835" y="907"/>
                                </a:cubicBezTo>
                                <a:cubicBezTo>
                                  <a:pt x="5850" y="917"/>
                                  <a:pt x="5863" y="931"/>
                                  <a:pt x="5880" y="937"/>
                                </a:cubicBezTo>
                                <a:cubicBezTo>
                                  <a:pt x="5919" y="951"/>
                                  <a:pt x="6000" y="967"/>
                                  <a:pt x="6000" y="967"/>
                                </a:cubicBezTo>
                                <a:cubicBezTo>
                                  <a:pt x="6038" y="993"/>
                                  <a:pt x="6066" y="1033"/>
                                  <a:pt x="6105" y="1057"/>
                                </a:cubicBezTo>
                                <a:cubicBezTo>
                                  <a:pt x="6122" y="1068"/>
                                  <a:pt x="6145" y="1067"/>
                                  <a:pt x="6165" y="1072"/>
                                </a:cubicBezTo>
                                <a:cubicBezTo>
                                  <a:pt x="6245" y="1192"/>
                                  <a:pt x="6140" y="1047"/>
                                  <a:pt x="6240" y="1147"/>
                                </a:cubicBezTo>
                                <a:cubicBezTo>
                                  <a:pt x="6253" y="1160"/>
                                  <a:pt x="6256" y="1180"/>
                                  <a:pt x="6270" y="1192"/>
                                </a:cubicBezTo>
                                <a:cubicBezTo>
                                  <a:pt x="6297" y="1216"/>
                                  <a:pt x="6330" y="1232"/>
                                  <a:pt x="6360" y="1252"/>
                                </a:cubicBezTo>
                                <a:cubicBezTo>
                                  <a:pt x="6378" y="1264"/>
                                  <a:pt x="6388" y="1285"/>
                                  <a:pt x="6405" y="1297"/>
                                </a:cubicBezTo>
                                <a:cubicBezTo>
                                  <a:pt x="6478" y="1349"/>
                                  <a:pt x="6445" y="1309"/>
                                  <a:pt x="6510" y="1342"/>
                                </a:cubicBezTo>
                                <a:cubicBezTo>
                                  <a:pt x="6570" y="1372"/>
                                  <a:pt x="6592" y="1385"/>
                                  <a:pt x="6660" y="1402"/>
                                </a:cubicBezTo>
                                <a:cubicBezTo>
                                  <a:pt x="6720" y="1442"/>
                                  <a:pt x="6706" y="1448"/>
                                  <a:pt x="6735" y="150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3" name="Line 3226"/>
                        <wps:cNvCnPr>
                          <a:cxnSpLocks noChangeShapeType="1"/>
                        </wps:cNvCnPr>
                        <wps:spPr bwMode="auto">
                          <a:xfrm>
                            <a:off x="2338705" y="1676400"/>
                            <a:ext cx="635" cy="91567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94" name="Line 3227"/>
                        <wps:cNvCnPr>
                          <a:cxnSpLocks noChangeShapeType="1"/>
                        </wps:cNvCnPr>
                        <wps:spPr bwMode="auto">
                          <a:xfrm>
                            <a:off x="1290955" y="561340"/>
                            <a:ext cx="635" cy="111569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95" name="Line 3228"/>
                        <wps:cNvCnPr>
                          <a:cxnSpLocks noChangeShapeType="1"/>
                        </wps:cNvCnPr>
                        <wps:spPr bwMode="auto">
                          <a:xfrm flipH="1" flipV="1">
                            <a:off x="3253105" y="1695450"/>
                            <a:ext cx="351790" cy="2857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96" name="Text Box 3229"/>
                        <wps:cNvSpPr txBox="1">
                          <a:spLocks noChangeArrowheads="1"/>
                        </wps:cNvSpPr>
                        <wps:spPr bwMode="auto">
                          <a:xfrm>
                            <a:off x="3557905" y="1915160"/>
                            <a:ext cx="120967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CA59F" w14:textId="77777777" w:rsidR="009C1A5C" w:rsidRPr="00BC2D35" w:rsidRDefault="009C1A5C" w:rsidP="003D2F70">
                              <w:r w:rsidRPr="003E0F88">
                                <w:rPr>
                                  <w:rFonts w:ascii="Arial" w:hAnsi="Arial" w:cs="Arial"/>
                                  <w:sz w:val="18"/>
                                  <w:szCs w:val="18"/>
                                </w:rPr>
                                <w:t>Proposed</w:t>
                              </w:r>
                              <w:r w:rsidRPr="004E603E">
                                <w:rPr>
                                  <w:rFonts w:ascii="Arial" w:hAnsi="Arial" w:cs="Arial"/>
                                  <w:sz w:val="18"/>
                                  <w:szCs w:val="18"/>
                                </w:rPr>
                                <w:t xml:space="preserve"> </w:t>
                              </w:r>
                              <w:r w:rsidRPr="004E603E">
                                <w:rPr>
                                  <w:rFonts w:ascii="Arial" w:hAnsi="Arial" w:cs="Arial"/>
                                </w:rPr>
                                <w:t>roadway</w:t>
                              </w:r>
                            </w:p>
                          </w:txbxContent>
                        </wps:txbx>
                        <wps:bodyPr rot="0" vert="horz" wrap="square" lIns="91440" tIns="45720" rIns="91440" bIns="45720" anchor="t" anchorCtr="0" upright="1">
                          <a:noAutofit/>
                        </wps:bodyPr>
                      </wps:wsp>
                      <wps:wsp>
                        <wps:cNvPr id="1697" name="Line 3230"/>
                        <wps:cNvCnPr>
                          <a:cxnSpLocks noChangeShapeType="1"/>
                        </wps:cNvCnPr>
                        <wps:spPr bwMode="auto">
                          <a:xfrm>
                            <a:off x="2110105" y="2601595"/>
                            <a:ext cx="51435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8" name="Text Box 3231"/>
                        <wps:cNvSpPr txBox="1">
                          <a:spLocks noChangeArrowheads="1"/>
                        </wps:cNvSpPr>
                        <wps:spPr bwMode="auto">
                          <a:xfrm>
                            <a:off x="2253615" y="2191385"/>
                            <a:ext cx="1656715" cy="47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A3187" w14:textId="03FF95BA" w:rsidR="009C1A5C" w:rsidRPr="003E0F88" w:rsidRDefault="009C1A5C" w:rsidP="003D2F70">
                              <w:pPr>
                                <w:rPr>
                                  <w:rFonts w:ascii="Arial" w:hAnsi="Arial" w:cs="Arial"/>
                                  <w:sz w:val="18"/>
                                  <w:szCs w:val="18"/>
                                </w:rPr>
                              </w:pPr>
                              <w:r w:rsidRPr="003E0F88">
                                <w:rPr>
                                  <w:rFonts w:ascii="Arial" w:hAnsi="Arial" w:cs="Arial"/>
                                  <w:sz w:val="18"/>
                                  <w:szCs w:val="18"/>
                                </w:rPr>
                                <w:t>10</w:t>
                              </w:r>
                              <w:r>
                                <w:rPr>
                                  <w:rFonts w:ascii="Arial" w:hAnsi="Arial" w:cs="Arial"/>
                                  <w:sz w:val="18"/>
                                  <w:szCs w:val="18"/>
                                </w:rPr>
                                <w:t xml:space="preserve"> ft.</w:t>
                              </w:r>
                              <w:r w:rsidRPr="003E0F88">
                                <w:rPr>
                                  <w:rFonts w:ascii="Arial" w:hAnsi="Arial" w:cs="Arial"/>
                                  <w:sz w:val="18"/>
                                  <w:szCs w:val="18"/>
                                </w:rPr>
                                <w:t xml:space="preserve"> below proposed roadway</w:t>
                              </w:r>
                            </w:p>
                            <w:p w14:paraId="35CADF7C" w14:textId="77777777" w:rsidR="009C1A5C" w:rsidRDefault="009C1A5C" w:rsidP="003D2F70"/>
                            <w:p w14:paraId="42EC70E9" w14:textId="77777777" w:rsidR="009C1A5C" w:rsidRPr="00BC2D35" w:rsidRDefault="009C1A5C" w:rsidP="003D2F70"/>
                          </w:txbxContent>
                        </wps:txbx>
                        <wps:bodyPr rot="0" vert="horz" wrap="square" lIns="91440" tIns="45720" rIns="91440" bIns="45720" anchor="t" anchorCtr="0" upright="1">
                          <a:noAutofit/>
                        </wps:bodyPr>
                      </wps:wsp>
                      <wps:wsp>
                        <wps:cNvPr id="1699" name="Text Box 3232"/>
                        <wps:cNvSpPr txBox="1">
                          <a:spLocks noChangeArrowheads="1"/>
                        </wps:cNvSpPr>
                        <wps:spPr bwMode="auto">
                          <a:xfrm>
                            <a:off x="1242695" y="1019175"/>
                            <a:ext cx="562610"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82E87" w14:textId="7F1FB8B0" w:rsidR="009C1A5C" w:rsidRPr="003E0F88" w:rsidRDefault="009C1A5C" w:rsidP="003D2F70">
                              <w:pPr>
                                <w:rPr>
                                  <w:rFonts w:ascii="Arial" w:hAnsi="Arial" w:cs="Arial"/>
                                  <w:sz w:val="18"/>
                                  <w:szCs w:val="18"/>
                                </w:rPr>
                              </w:pPr>
                              <w:r w:rsidRPr="003E0F88">
                                <w:rPr>
                                  <w:rFonts w:ascii="Arial" w:hAnsi="Arial" w:cs="Arial"/>
                                  <w:sz w:val="18"/>
                                  <w:szCs w:val="18"/>
                                </w:rPr>
                                <w:t>5</w:t>
                              </w:r>
                              <w:r>
                                <w:rPr>
                                  <w:rFonts w:ascii="Arial" w:hAnsi="Arial" w:cs="Arial"/>
                                  <w:sz w:val="18"/>
                                  <w:szCs w:val="18"/>
                                </w:rPr>
                                <w:t xml:space="preserve"> ft.</w:t>
                              </w:r>
                              <w:r w:rsidRPr="003E0F88">
                                <w:rPr>
                                  <w:rFonts w:ascii="Arial" w:hAnsi="Arial" w:cs="Arial"/>
                                  <w:sz w:val="18"/>
                                  <w:szCs w:val="18"/>
                                </w:rPr>
                                <w:t xml:space="preserve"> cut</w:t>
                              </w:r>
                            </w:p>
                          </w:txbxContent>
                        </wps:txbx>
                        <wps:bodyPr rot="0" vert="horz" wrap="square" lIns="91440" tIns="45720" rIns="91440" bIns="45720" anchor="t" anchorCtr="0" upright="1">
                          <a:noAutofit/>
                        </wps:bodyPr>
                      </wps:wsp>
                      <wps:wsp>
                        <wps:cNvPr id="1700" name="Text Box 3233"/>
                        <wps:cNvSpPr txBox="1">
                          <a:spLocks noChangeArrowheads="1"/>
                        </wps:cNvSpPr>
                        <wps:spPr bwMode="auto">
                          <a:xfrm>
                            <a:off x="1043306" y="0"/>
                            <a:ext cx="2867025" cy="275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4AE3B" w14:textId="53A76B84" w:rsidR="009C1A5C" w:rsidRPr="00DE2B3D" w:rsidRDefault="009C1A5C" w:rsidP="003D2F70">
                              <w:pPr>
                                <w:rPr>
                                  <w:rFonts w:ascii="Arial" w:hAnsi="Arial" w:cs="Arial"/>
                                  <w:b/>
                                  <w:sz w:val="22"/>
                                  <w:szCs w:val="22"/>
                                </w:rPr>
                              </w:pPr>
                              <w:r w:rsidRPr="00DE2B3D">
                                <w:rPr>
                                  <w:rFonts w:ascii="Arial" w:hAnsi="Arial" w:cs="Arial"/>
                                  <w:b/>
                                  <w:sz w:val="22"/>
                                  <w:szCs w:val="22"/>
                                </w:rPr>
                                <w:t xml:space="preserve">Figure </w:t>
                              </w:r>
                              <w:r>
                                <w:rPr>
                                  <w:rFonts w:ascii="Arial" w:hAnsi="Arial" w:cs="Arial"/>
                                  <w:b/>
                                  <w:sz w:val="22"/>
                                  <w:szCs w:val="22"/>
                                </w:rPr>
                                <w:t>7</w:t>
                              </w:r>
                              <w:r w:rsidRPr="00DE2B3D">
                                <w:rPr>
                                  <w:rFonts w:ascii="Arial" w:hAnsi="Arial" w:cs="Arial"/>
                                  <w:b/>
                                  <w:sz w:val="22"/>
                                  <w:szCs w:val="22"/>
                                </w:rPr>
                                <w:t xml:space="preserve">: </w:t>
                              </w:r>
                              <w:r>
                                <w:rPr>
                                  <w:rFonts w:ascii="Arial" w:hAnsi="Arial" w:cs="Arial"/>
                                  <w:b/>
                                  <w:sz w:val="22"/>
                                  <w:szCs w:val="22"/>
                                </w:rPr>
                                <w:t xml:space="preserve"> </w:t>
                              </w:r>
                              <w:r w:rsidRPr="00DE2B3D">
                                <w:rPr>
                                  <w:rFonts w:ascii="Arial" w:hAnsi="Arial" w:cs="Arial"/>
                                  <w:b/>
                                  <w:sz w:val="22"/>
                                  <w:szCs w:val="22"/>
                                </w:rPr>
                                <w:t>Boring Depth in Cut Areas</w:t>
                              </w:r>
                            </w:p>
                          </w:txbxContent>
                        </wps:txbx>
                        <wps:bodyPr rot="0" vert="horz" wrap="square" lIns="91440" tIns="45720" rIns="91440" bIns="45720" anchor="t" anchorCtr="0" upright="1">
                          <a:noAutofit/>
                        </wps:bodyPr>
                      </wps:wsp>
                    </wpc:wpc>
                  </a:graphicData>
                </a:graphic>
                <wp14:sizeRelH relativeFrom="margin">
                  <wp14:pctWidth>0</wp14:pctWidth>
                </wp14:sizeRelH>
                <wp14:sizeRelV relativeFrom="margin">
                  <wp14:pctHeight>0</wp14:pctHeight>
                </wp14:sizeRelV>
              </wp:anchor>
            </w:drawing>
          </mc:Choice>
          <mc:Fallback>
            <w:pict>
              <v:group w14:anchorId="163E55AA" id="Canvas 3220" o:spid="_x0000_s1054" editas="canvas" alt="boring depth in cut areas diagram" style="position:absolute;left:0;text-align:left;margin-left:55.85pt;margin-top:19.65pt;width:375.1pt;height:210.95pt;z-index:251837952;mso-width-relative:margin;mso-height-relative:margin" coordsize="47637,26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">
                <v:shape id="_x0000_s1055" type="#_x0000_t75" alt="boring depth in cut areas diagram" style="position:absolute;width:47637;height:26790;visibility:visible;mso-wrap-style:square">
                  <v:fill o:detectmouseclick="t"/>
                  <v:path o:connecttype="none"/>
                </v:shape>
                <v:line id="Line 3222" o:spid="_x0000_s1056" style="position:absolute;visibility:visible;mso-wrap-style:square" from="50,4260" to="12814,16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"/>
                <v:line id="Line 3223" o:spid="_x0000_s1057" style="position:absolute;visibility:visible;mso-wrap-style:square" from="12807,16764" to="39001,16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" strokeweight="2.25pt"/>
                <v:line id="Line 3224" o:spid="_x0000_s1058" style="position:absolute;flip:y;visibility:visible;mso-wrap-style:square" from="39001,13531" to="43103,16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"/>
                <v:shape id="Freeform 3225" o:spid="_x0000_s1059" style="position:absolute;left:234;top:3949;width:42768;height:9576;visibility:visible;mso-wrap-style:square;v-text-anchor:top" coordsize="6735,1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" path="m,52c30,42,60,32,90,22,105,17,135,7,135,7,353,11,742,,1020,37v345,46,673,188,1020,225c2214,280,2591,288,2715,292v183,18,358,71,540,90c3639,422,4003,433,4395,442v170,34,338,83,510,105c5098,611,4900,550,5070,592v57,14,108,46,165,60c5295,667,5355,682,5415,697v92,61,201,100,300,150c5868,923,5688,870,5835,907v15,10,28,24,45,30c5919,951,6000,967,6000,967v38,26,66,66,105,90c6122,1068,6145,1067,6165,1072v80,120,-25,-25,75,75c6253,1160,6256,1180,6270,1192v27,24,60,40,90,60c6378,1264,6388,1285,6405,1297v73,52,40,12,105,45c6570,1372,6592,1385,6660,1402v60,40,46,46,75,105e" filled="f">
                  <v:path arrowok="t" o:connecttype="custom" o:connectlocs="0,33042;57150,13979;85725,4448;647700,23511;1295400,166480;1724025,185543;2066925,242731;2790825,280856;3114675,347575;3219450,376169;3324225,414295;3438525,442889;3629025,538202;3705225,576327;3733800,595390;3810000,614452;3876675,671640;3914775,681172;3962400,728828;3981450,757422;4038600,795548;4067175,824142;4133850,852735;4229100,890861;4276725,957580" o:connectangles="0,0,0,0,0,0,0,0,0,0,0,0,0,0,0,0,0,0,0,0,0,0,0,0,0"/>
                </v:shape>
                <v:line id="Line 3226" o:spid="_x0000_s1060" style="position:absolute;visibility:visible;mso-wrap-style:square" from="23387,16764" to="23393,25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">
                  <v:stroke startarrow="block" endarrow="block"/>
                </v:line>
                <v:line id="Line 3227" o:spid="_x0000_s1061" style="position:absolute;visibility:visible;mso-wrap-style:square" from="12909,5613" to="12915,16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">
                  <v:stroke startarrow="block" endarrow="block"/>
                </v:line>
                <v:line id="Line 3228" o:spid="_x0000_s1062" style="position:absolute;flip:x y;visibility:visible;mso-wrap-style:square" from="32531,16954" to="3604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">
                  <v:stroke endarrow="block"/>
                </v:line>
                <v:shape id="Text Box 3229" o:spid="_x0000_s1063" type="#_x0000_t202" style="position:absolute;left:35579;top:19151;width:12096;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" filled="f" stroked="f">
                  <v:textbox>
                    <w:txbxContent>
                      <w:p w14:paraId="00FCA59F" w14:textId="77777777" w:rsidR="009C1A5C" w:rsidRPr="00BC2D35" w:rsidRDefault="009C1A5C" w:rsidP="003D2F70">
                        <w:r w:rsidRPr="003E0F88">
                          <w:rPr>
                            <w:rFonts w:ascii="Arial" w:hAnsi="Arial" w:cs="Arial"/>
                            <w:sz w:val="18"/>
                            <w:szCs w:val="18"/>
                          </w:rPr>
                          <w:t>Proposed</w:t>
                        </w:r>
                        <w:r w:rsidRPr="004E603E">
                          <w:rPr>
                            <w:rFonts w:ascii="Arial" w:hAnsi="Arial" w:cs="Arial"/>
                            <w:sz w:val="18"/>
                            <w:szCs w:val="18"/>
                          </w:rPr>
                          <w:t xml:space="preserve"> </w:t>
                        </w:r>
                        <w:r w:rsidRPr="004E603E">
                          <w:rPr>
                            <w:rFonts w:ascii="Arial" w:hAnsi="Arial" w:cs="Arial"/>
                          </w:rPr>
                          <w:t>roadway</w:t>
                        </w:r>
                      </w:p>
                    </w:txbxContent>
                  </v:textbox>
                </v:shape>
                <v:line id="Line 3230" o:spid="_x0000_s1064" style="position:absolute;visibility:visible;mso-wrap-style:square" from="21101,26015" to="26244,26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"/>
                <v:shape id="Text Box 3231" o:spid="_x0000_s1065" type="#_x0000_t202" style="position:absolute;left:22536;top:21913;width:16567;height:4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" filled="f" stroked="f">
                  <v:textbox>
                    <w:txbxContent>
                      <w:p w14:paraId="477A3187" w14:textId="03FF95BA" w:rsidR="009C1A5C" w:rsidRPr="003E0F88" w:rsidRDefault="009C1A5C" w:rsidP="003D2F70">
                        <w:pPr>
                          <w:rPr>
                            <w:rFonts w:ascii="Arial" w:hAnsi="Arial" w:cs="Arial"/>
                            <w:sz w:val="18"/>
                            <w:szCs w:val="18"/>
                          </w:rPr>
                        </w:pPr>
                        <w:r w:rsidRPr="003E0F88">
                          <w:rPr>
                            <w:rFonts w:ascii="Arial" w:hAnsi="Arial" w:cs="Arial"/>
                            <w:sz w:val="18"/>
                            <w:szCs w:val="18"/>
                          </w:rPr>
                          <w:t>10</w:t>
                        </w:r>
                        <w:r>
                          <w:rPr>
                            <w:rFonts w:ascii="Arial" w:hAnsi="Arial" w:cs="Arial"/>
                            <w:sz w:val="18"/>
                            <w:szCs w:val="18"/>
                          </w:rPr>
                          <w:t xml:space="preserve"> ft.</w:t>
                        </w:r>
                        <w:r w:rsidRPr="003E0F88">
                          <w:rPr>
                            <w:rFonts w:ascii="Arial" w:hAnsi="Arial" w:cs="Arial"/>
                            <w:sz w:val="18"/>
                            <w:szCs w:val="18"/>
                          </w:rPr>
                          <w:t xml:space="preserve"> below proposed roadway</w:t>
                        </w:r>
                      </w:p>
                      <w:p w14:paraId="35CADF7C" w14:textId="77777777" w:rsidR="009C1A5C" w:rsidRDefault="009C1A5C" w:rsidP="003D2F70"/>
                      <w:p w14:paraId="42EC70E9" w14:textId="77777777" w:rsidR="009C1A5C" w:rsidRPr="00BC2D35" w:rsidRDefault="009C1A5C" w:rsidP="003D2F70"/>
                    </w:txbxContent>
                  </v:textbox>
                </v:shape>
                <v:shape id="Text Box 3232" o:spid="_x0000_s1066" type="#_x0000_t202" style="position:absolute;left:12426;top:10191;width:5627;height:2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" filled="f" stroked="f">
                  <v:textbox>
                    <w:txbxContent>
                      <w:p w14:paraId="3F582E87" w14:textId="7F1FB8B0" w:rsidR="009C1A5C" w:rsidRPr="003E0F88" w:rsidRDefault="009C1A5C" w:rsidP="003D2F70">
                        <w:pPr>
                          <w:rPr>
                            <w:rFonts w:ascii="Arial" w:hAnsi="Arial" w:cs="Arial"/>
                            <w:sz w:val="18"/>
                            <w:szCs w:val="18"/>
                          </w:rPr>
                        </w:pPr>
                        <w:r w:rsidRPr="003E0F88">
                          <w:rPr>
                            <w:rFonts w:ascii="Arial" w:hAnsi="Arial" w:cs="Arial"/>
                            <w:sz w:val="18"/>
                            <w:szCs w:val="18"/>
                          </w:rPr>
                          <w:t>5</w:t>
                        </w:r>
                        <w:r>
                          <w:rPr>
                            <w:rFonts w:ascii="Arial" w:hAnsi="Arial" w:cs="Arial"/>
                            <w:sz w:val="18"/>
                            <w:szCs w:val="18"/>
                          </w:rPr>
                          <w:t xml:space="preserve"> ft.</w:t>
                        </w:r>
                        <w:r w:rsidRPr="003E0F88">
                          <w:rPr>
                            <w:rFonts w:ascii="Arial" w:hAnsi="Arial" w:cs="Arial"/>
                            <w:sz w:val="18"/>
                            <w:szCs w:val="18"/>
                          </w:rPr>
                          <w:t xml:space="preserve"> cut</w:t>
                        </w:r>
                      </w:p>
                    </w:txbxContent>
                  </v:textbox>
                </v:shape>
                <v:shape id="Text Box 3233" o:spid="_x0000_s1067" type="#_x0000_t202" style="position:absolute;left:10433;width:28670;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" filled="f" stroked="f">
                  <v:textbox>
                    <w:txbxContent>
                      <w:p w14:paraId="04E4AE3B" w14:textId="53A76B84" w:rsidR="009C1A5C" w:rsidRPr="00DE2B3D" w:rsidRDefault="009C1A5C" w:rsidP="003D2F70">
                        <w:pPr>
                          <w:rPr>
                            <w:rFonts w:ascii="Arial" w:hAnsi="Arial" w:cs="Arial"/>
                            <w:b/>
                            <w:sz w:val="22"/>
                            <w:szCs w:val="22"/>
                          </w:rPr>
                        </w:pPr>
                        <w:r w:rsidRPr="00DE2B3D">
                          <w:rPr>
                            <w:rFonts w:ascii="Arial" w:hAnsi="Arial" w:cs="Arial"/>
                            <w:b/>
                            <w:sz w:val="22"/>
                            <w:szCs w:val="22"/>
                          </w:rPr>
                          <w:t xml:space="preserve">Figure </w:t>
                        </w:r>
                        <w:r>
                          <w:rPr>
                            <w:rFonts w:ascii="Arial" w:hAnsi="Arial" w:cs="Arial"/>
                            <w:b/>
                            <w:sz w:val="22"/>
                            <w:szCs w:val="22"/>
                          </w:rPr>
                          <w:t>7</w:t>
                        </w:r>
                        <w:r w:rsidRPr="00DE2B3D">
                          <w:rPr>
                            <w:rFonts w:ascii="Arial" w:hAnsi="Arial" w:cs="Arial"/>
                            <w:b/>
                            <w:sz w:val="22"/>
                            <w:szCs w:val="22"/>
                          </w:rPr>
                          <w:t xml:space="preserve">: </w:t>
                        </w:r>
                        <w:r>
                          <w:rPr>
                            <w:rFonts w:ascii="Arial" w:hAnsi="Arial" w:cs="Arial"/>
                            <w:b/>
                            <w:sz w:val="22"/>
                            <w:szCs w:val="22"/>
                          </w:rPr>
                          <w:t xml:space="preserve"> </w:t>
                        </w:r>
                        <w:r w:rsidRPr="00DE2B3D">
                          <w:rPr>
                            <w:rFonts w:ascii="Arial" w:hAnsi="Arial" w:cs="Arial"/>
                            <w:b/>
                            <w:sz w:val="22"/>
                            <w:szCs w:val="22"/>
                          </w:rPr>
                          <w:t>Boring Depth in Cut Areas</w:t>
                        </w:r>
                      </w:p>
                    </w:txbxContent>
                  </v:textbox>
                </v:shape>
                <w10:wrap type="topAndBottom"/>
              </v:group>
            </w:pict>
          </mc:Fallback>
        </mc:AlternateContent>
      </w:r>
    </w:p>
    <w:p w14:paraId="6F98C4E8" w14:textId="77777777" w:rsidR="001A15B9" w:rsidRDefault="003D2F70" w:rsidP="00172E64">
      <w:pPr>
        <w:pStyle w:val="ListNumber"/>
        <w:numPr>
          <w:ilvl w:val="0"/>
          <w:numId w:val="153"/>
        </w:numPr>
        <w:ind w:left="1080" w:hanging="1080"/>
        <w:jc w:val="both"/>
        <w:rPr>
          <w:i/>
        </w:rPr>
      </w:pPr>
      <w:r>
        <w:t>Contact the EGD if it is anticipated that borings will be drilled through rock.</w:t>
      </w:r>
      <w:r w:rsidRPr="00A95C8E">
        <w:t xml:space="preserve"> </w:t>
      </w:r>
    </w:p>
    <w:p w14:paraId="52C6EAEC" w14:textId="1416D527" w:rsidR="001A15B9" w:rsidRDefault="003D2F70" w:rsidP="00172E64">
      <w:pPr>
        <w:pStyle w:val="ListNumber"/>
        <w:numPr>
          <w:ilvl w:val="0"/>
          <w:numId w:val="153"/>
        </w:numPr>
        <w:ind w:left="1080" w:hanging="1080"/>
        <w:jc w:val="both"/>
        <w:rPr>
          <w:i/>
        </w:rPr>
      </w:pPr>
      <w:r>
        <w:t xml:space="preserve">Request bulk (bag) samples representative of each soil type and stratum, to be collected for soil classification testing </w:t>
      </w:r>
      <w:r w:rsidRPr="00687F31">
        <w:t>and moisture</w:t>
      </w:r>
      <w:r w:rsidR="001A3751">
        <w:t>,</w:t>
      </w:r>
      <w:r w:rsidRPr="00687F31">
        <w:t xml:space="preserve"> </w:t>
      </w:r>
      <w:r w:rsidR="00687F31" w:rsidRPr="00687F31">
        <w:t>and</w:t>
      </w:r>
      <w:r w:rsidR="00687F31">
        <w:t xml:space="preserve"> </w:t>
      </w:r>
      <w:r>
        <w:t xml:space="preserve">samples for water content determination. </w:t>
      </w:r>
    </w:p>
    <w:p w14:paraId="342F3647" w14:textId="4AFBFE2D" w:rsidR="001A15B9" w:rsidRDefault="003D2F70" w:rsidP="00172E64">
      <w:pPr>
        <w:pStyle w:val="ListNumber"/>
        <w:numPr>
          <w:ilvl w:val="0"/>
          <w:numId w:val="153"/>
        </w:numPr>
        <w:ind w:left="1080" w:hanging="1080"/>
        <w:jc w:val="both"/>
        <w:rPr>
          <w:i/>
        </w:rPr>
      </w:pPr>
      <w:r>
        <w:t>Request topography tabulation and topsoil samples for the project.</w:t>
      </w:r>
      <w:r w:rsidR="003F286D">
        <w:t xml:space="preserve">  MSMT Frequency Guide-Small Quantity Exceptions states that when 30 cubic yards </w:t>
      </w:r>
      <w:r w:rsidR="003F286D">
        <w:lastRenderedPageBreak/>
        <w:t xml:space="preserve">or less of topsoil will be used, it can be approved without testing unless it will be used for turf grass establishment and/or turf grass sod establishment in residential or commercial areas or at SHA facilities.  If this is the case, topography tabulation and topsoil sampling may not be necessary.  </w:t>
      </w:r>
    </w:p>
    <w:p w14:paraId="124213C5" w14:textId="77777777" w:rsidR="001A15B9" w:rsidRDefault="003D2F70" w:rsidP="00172E64">
      <w:pPr>
        <w:pStyle w:val="ListNumber"/>
        <w:numPr>
          <w:ilvl w:val="0"/>
          <w:numId w:val="153"/>
        </w:numPr>
        <w:ind w:left="1080" w:hanging="1080"/>
        <w:jc w:val="both"/>
        <w:rPr>
          <w:i/>
        </w:rPr>
      </w:pPr>
      <w:r>
        <w:t>Re</w:t>
      </w:r>
      <w:r w:rsidRPr="00661716">
        <w:t>quest water samples for any streams or ponds within the project limits</w:t>
      </w:r>
      <w:r w:rsidR="00ED16A4">
        <w:t xml:space="preserve"> if necessary</w:t>
      </w:r>
      <w:r w:rsidRPr="00661716">
        <w:t>.</w:t>
      </w:r>
    </w:p>
    <w:p w14:paraId="0BFD151B" w14:textId="77777777" w:rsidR="001A15B9" w:rsidRDefault="003D2F70" w:rsidP="00172E64">
      <w:pPr>
        <w:pStyle w:val="ListNumber"/>
        <w:numPr>
          <w:ilvl w:val="0"/>
          <w:numId w:val="153"/>
        </w:numPr>
        <w:ind w:left="1080" w:hanging="1080"/>
        <w:jc w:val="both"/>
        <w:rPr>
          <w:i/>
        </w:rPr>
      </w:pPr>
      <w:r>
        <w:t>Request additional bulk (bag) samples to be collected for Resilient Modulus and Proctor testing representing all soil types regardless of cut or fill.</w:t>
      </w:r>
    </w:p>
    <w:p w14:paraId="071F6A8E" w14:textId="77777777" w:rsidR="001A15B9" w:rsidRDefault="003D2F70" w:rsidP="00172E64">
      <w:pPr>
        <w:pStyle w:val="ListNumber"/>
        <w:numPr>
          <w:ilvl w:val="0"/>
          <w:numId w:val="153"/>
        </w:numPr>
        <w:ind w:left="1080" w:hanging="1080"/>
        <w:jc w:val="both"/>
        <w:rPr>
          <w:i/>
        </w:rPr>
      </w:pPr>
      <w:r>
        <w:t xml:space="preserve">Request environmental </w:t>
      </w:r>
      <w:r w:rsidRPr="003841D0">
        <w:t xml:space="preserve">soil samples </w:t>
      </w:r>
      <w:r>
        <w:t xml:space="preserve">to be collected in </w:t>
      </w:r>
      <w:r w:rsidRPr="003841D0">
        <w:t>areas without vegetation</w:t>
      </w:r>
      <w:r>
        <w:t>.</w:t>
      </w:r>
    </w:p>
    <w:p w14:paraId="5B477079" w14:textId="77777777" w:rsidR="003D2F70" w:rsidRPr="00707CEB" w:rsidRDefault="003D2F70" w:rsidP="00051DD6">
      <w:pPr>
        <w:pStyle w:val="ListNumber"/>
        <w:numPr>
          <w:ilvl w:val="12"/>
          <w:numId w:val="0"/>
        </w:numPr>
        <w:tabs>
          <w:tab w:val="clear" w:pos="1872"/>
        </w:tabs>
        <w:ind w:left="1080" w:hanging="1080"/>
        <w:jc w:val="both"/>
        <w:rPr>
          <w:highlight w:val="yellow"/>
        </w:rPr>
      </w:pPr>
    </w:p>
    <w:p w14:paraId="5EB2B636" w14:textId="77777777" w:rsidR="003D2F70" w:rsidRDefault="003D2F70" w:rsidP="00B738C4">
      <w:pPr>
        <w:pStyle w:val="Heading5"/>
        <w:tabs>
          <w:tab w:val="left" w:pos="1800"/>
        </w:tabs>
        <w:ind w:hanging="1098"/>
      </w:pPr>
      <w:r>
        <w:t xml:space="preserve">Prepare and Submit </w:t>
      </w:r>
      <w:r w:rsidRPr="00316117">
        <w:t>Request Forms</w:t>
      </w:r>
    </w:p>
    <w:p w14:paraId="090510CF" w14:textId="4F18155D" w:rsidR="001A15B9" w:rsidRDefault="003D2F70" w:rsidP="00172E64">
      <w:pPr>
        <w:pStyle w:val="ListNumber"/>
        <w:numPr>
          <w:ilvl w:val="0"/>
          <w:numId w:val="153"/>
        </w:numPr>
        <w:tabs>
          <w:tab w:val="clear" w:pos="1872"/>
        </w:tabs>
        <w:ind w:left="1080" w:hanging="1080"/>
        <w:jc w:val="both"/>
      </w:pPr>
      <w:r w:rsidRPr="00A7627A">
        <w:t>Prepare form PAGD – Soil Survey Request and form PAGD</w:t>
      </w:r>
      <w:r w:rsidR="00392741">
        <w:t xml:space="preserve"> – </w:t>
      </w:r>
      <w:r w:rsidRPr="00A7627A">
        <w:t>Soil</w:t>
      </w:r>
      <w:r>
        <w:t xml:space="preserve"> Survey Notes. </w:t>
      </w:r>
      <w:r w:rsidRPr="00A7627A">
        <w:t xml:space="preserve">See </w:t>
      </w:r>
      <w:hyperlink w:anchor="_Forms,_Spreadsheets_&amp;" w:history="1">
        <w:r w:rsidR="00425422">
          <w:rPr>
            <w:rStyle w:val="Hyperlink"/>
          </w:rPr>
          <w:t>Forms, Spreadsheets &amp; Guidelines</w:t>
        </w:r>
      </w:hyperlink>
      <w:r w:rsidR="000341E8">
        <w:t xml:space="preserve"> for</w:t>
      </w:r>
      <w:r w:rsidRPr="00A7627A">
        <w:t xml:space="preserve"> examples of soil survey request and soil survey notes</w:t>
      </w:r>
      <w:r>
        <w:t>.</w:t>
      </w:r>
      <w:r w:rsidRPr="00A7627A">
        <w:t xml:space="preserve"> The Soil Survey Notes form is for reference only and should be revised </w:t>
      </w:r>
      <w:r w:rsidR="00392741">
        <w:t>for</w:t>
      </w:r>
      <w:r w:rsidR="00392741" w:rsidRPr="00A7627A">
        <w:t xml:space="preserve"> </w:t>
      </w:r>
      <w:r w:rsidRPr="00A7627A">
        <w:t>the project in consideration.</w:t>
      </w:r>
    </w:p>
    <w:p w14:paraId="22628ADA" w14:textId="49EEDEB6" w:rsidR="001A15B9" w:rsidRDefault="003D2F70" w:rsidP="00172E64">
      <w:pPr>
        <w:pStyle w:val="ListNumber"/>
        <w:numPr>
          <w:ilvl w:val="0"/>
          <w:numId w:val="153"/>
        </w:numPr>
        <w:ind w:left="1080" w:hanging="1080"/>
        <w:jc w:val="both"/>
      </w:pPr>
      <w:r w:rsidRPr="00A7627A">
        <w:t>Attempt to include requests for soil survey, SWM borings</w:t>
      </w:r>
      <w:r w:rsidR="00392741">
        <w:t>,</w:t>
      </w:r>
      <w:r w:rsidRPr="00A7627A">
        <w:t xml:space="preserve"> and foundation borings in the same request package, if possible.</w:t>
      </w:r>
    </w:p>
    <w:p w14:paraId="397582C5" w14:textId="69F875B6" w:rsidR="001A15B9" w:rsidRDefault="003D2F70" w:rsidP="00172E64">
      <w:pPr>
        <w:pStyle w:val="ListNumber"/>
        <w:numPr>
          <w:ilvl w:val="0"/>
          <w:numId w:val="153"/>
        </w:numPr>
        <w:ind w:left="1080" w:hanging="1080"/>
        <w:jc w:val="both"/>
      </w:pPr>
      <w:r w:rsidRPr="00A7627A">
        <w:t>Submit completed form PAGD – Soil Survey Request and form PAGD</w:t>
      </w:r>
      <w:r w:rsidR="00392741">
        <w:t xml:space="preserve"> – </w:t>
      </w:r>
      <w:r w:rsidRPr="00A7627A">
        <w:t>Soil Survey Notes to PAGD TL for review.</w:t>
      </w:r>
    </w:p>
    <w:p w14:paraId="6C269488" w14:textId="5EAD9C51" w:rsidR="001A15B9" w:rsidRDefault="003D2F70" w:rsidP="00172E64">
      <w:pPr>
        <w:pStyle w:val="ListNumber"/>
        <w:numPr>
          <w:ilvl w:val="0"/>
          <w:numId w:val="153"/>
        </w:numPr>
        <w:ind w:left="1080" w:hanging="1080"/>
        <w:jc w:val="both"/>
      </w:pPr>
      <w:r w:rsidRPr="00754F04">
        <w:t>If approved by PAGD TL, submit two copies of form PAGD – Soil Survey Request and form PAGD</w:t>
      </w:r>
      <w:r w:rsidR="00392741">
        <w:t xml:space="preserve"> – </w:t>
      </w:r>
      <w:r w:rsidRPr="00754F04">
        <w:t>Soil Survey Notes to PAGD TL for review.  Provide two copies of the request letter (</w:t>
      </w:r>
      <w:r w:rsidR="00392741">
        <w:t>f</w:t>
      </w:r>
      <w:r w:rsidRPr="00754F04">
        <w:t>rom OHD, OOS, District, etc.) and two copies of the plan sheets (with cross-sections, if available) to FED.</w:t>
      </w:r>
    </w:p>
    <w:p w14:paraId="3C1BE4B6" w14:textId="77777777" w:rsidR="003D2F70" w:rsidRDefault="003D2F70" w:rsidP="00BE3F24">
      <w:pPr>
        <w:pStyle w:val="Heading3"/>
        <w:ind w:left="0" w:firstLine="0"/>
      </w:pPr>
      <w:bookmarkStart w:id="137" w:name="_Stormwater_Management_Boring"/>
      <w:bookmarkStart w:id="138" w:name="S3_08_02"/>
      <w:bookmarkEnd w:id="137"/>
      <w:r w:rsidRPr="00AE7E4D">
        <w:t xml:space="preserve">Stormwater Management </w:t>
      </w:r>
      <w:r>
        <w:t>B</w:t>
      </w:r>
      <w:r w:rsidR="000341E8">
        <w:t>oring</w:t>
      </w:r>
      <w:r>
        <w:t xml:space="preserve"> </w:t>
      </w:r>
      <w:r w:rsidRPr="00AE7E4D">
        <w:t>Request</w:t>
      </w:r>
      <w:bookmarkEnd w:id="138"/>
    </w:p>
    <w:p w14:paraId="1521FD53" w14:textId="10091DCF" w:rsidR="00836AD9" w:rsidRDefault="00836AD9" w:rsidP="00836AD9">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ests_For_Geotechnical_1" w:history="1">
        <w:r w:rsidRPr="00836AD9">
          <w:rPr>
            <w:rStyle w:val="Hyperlink"/>
            <w:rFonts w:ascii="Arial" w:hAnsi="Arial" w:cs="Arial"/>
            <w:bCs/>
            <w:sz w:val="16"/>
            <w:szCs w:val="16"/>
          </w:rPr>
          <w:t xml:space="preserve">Requests </w:t>
        </w:r>
        <w:r w:rsidR="00FA4CE9">
          <w:rPr>
            <w:rStyle w:val="Hyperlink"/>
            <w:rFonts w:ascii="Arial" w:hAnsi="Arial" w:cs="Arial"/>
            <w:bCs/>
            <w:sz w:val="16"/>
            <w:szCs w:val="16"/>
          </w:rPr>
          <w:t>f</w:t>
        </w:r>
        <w:r w:rsidRPr="00836AD9">
          <w:rPr>
            <w:rStyle w:val="Hyperlink"/>
            <w:rFonts w:ascii="Arial" w:hAnsi="Arial" w:cs="Arial"/>
            <w:bCs/>
            <w:sz w:val="16"/>
            <w:szCs w:val="16"/>
          </w:rPr>
          <w:t xml:space="preserve">or Geotechnical Field </w:t>
        </w:r>
        <w:r w:rsidR="00392741">
          <w:rPr>
            <w:rStyle w:val="Hyperlink"/>
            <w:rFonts w:ascii="Arial" w:hAnsi="Arial" w:cs="Arial"/>
            <w:bCs/>
            <w:sz w:val="16"/>
            <w:szCs w:val="16"/>
          </w:rPr>
          <w:t>W</w:t>
        </w:r>
        <w:r w:rsidRPr="00836AD9">
          <w:rPr>
            <w:rStyle w:val="Hyperlink"/>
            <w:rFonts w:ascii="Arial" w:hAnsi="Arial" w:cs="Arial"/>
            <w:bCs/>
            <w:sz w:val="16"/>
            <w:szCs w:val="16"/>
          </w:rPr>
          <w:t>ork</w:t>
        </w:r>
      </w:hyperlink>
    </w:p>
    <w:p w14:paraId="54001F82" w14:textId="77777777" w:rsidR="00ED4A45" w:rsidRPr="008F604D" w:rsidRDefault="00ED4A45" w:rsidP="00ED4A4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tormwater_Management" w:history="1">
        <w:r w:rsidRPr="00ED4A45">
          <w:rPr>
            <w:rStyle w:val="Hyperlink"/>
            <w:rFonts w:ascii="Arial" w:hAnsi="Arial" w:cs="Arial"/>
            <w:bCs/>
            <w:sz w:val="16"/>
            <w:szCs w:val="16"/>
          </w:rPr>
          <w:t>Stormwater Management</w:t>
        </w:r>
      </w:hyperlink>
    </w:p>
    <w:p w14:paraId="23C5AD92" w14:textId="77777777" w:rsidR="000341E8" w:rsidRPr="000341E8" w:rsidRDefault="000341E8" w:rsidP="00BE3F24"/>
    <w:p w14:paraId="71A090BA" w14:textId="77777777" w:rsidR="003D2F70" w:rsidRDefault="003D2F70" w:rsidP="00392741">
      <w:pPr>
        <w:pStyle w:val="Heading4"/>
        <w:ind w:left="0" w:firstLine="0"/>
      </w:pPr>
      <w:r>
        <w:t>General</w:t>
      </w:r>
    </w:p>
    <w:p w14:paraId="37DD35D8" w14:textId="48C9432C" w:rsidR="003D2F70" w:rsidRPr="000341E8" w:rsidRDefault="003D2F70" w:rsidP="00BE3F24">
      <w:pPr>
        <w:jc w:val="both"/>
        <w:rPr>
          <w:rFonts w:ascii="Arial" w:hAnsi="Arial" w:cs="Arial"/>
          <w:sz w:val="22"/>
          <w:szCs w:val="22"/>
        </w:rPr>
      </w:pPr>
      <w:r w:rsidRPr="000341E8">
        <w:rPr>
          <w:rFonts w:ascii="Arial" w:hAnsi="Arial" w:cs="Arial"/>
          <w:sz w:val="22"/>
          <w:szCs w:val="22"/>
        </w:rPr>
        <w:t>Stormwater Management (SWM) borings are requested by the Project Manager (PM). Requests may originate from OHD, District, and/or Consultant. A copy of the request with boring locations marked on the plan sheets is generally supplied by the PM to OMT. Auger boring/drilling is the most common type of drilling utilized in normal soil survey request</w:t>
      </w:r>
      <w:r w:rsidR="00392741">
        <w:rPr>
          <w:rFonts w:ascii="Arial" w:hAnsi="Arial" w:cs="Arial"/>
          <w:sz w:val="22"/>
          <w:szCs w:val="22"/>
        </w:rPr>
        <w:t>s</w:t>
      </w:r>
      <w:r w:rsidRPr="000341E8">
        <w:rPr>
          <w:rFonts w:ascii="Arial" w:hAnsi="Arial" w:cs="Arial"/>
          <w:sz w:val="22"/>
          <w:szCs w:val="22"/>
        </w:rPr>
        <w:t xml:space="preserve"> for SWM facilities. In some cases Standard Penetration Tests (SPT) may </w:t>
      </w:r>
      <w:r w:rsidR="004F3FE9">
        <w:rPr>
          <w:rFonts w:ascii="Arial" w:hAnsi="Arial" w:cs="Arial"/>
          <w:sz w:val="22"/>
          <w:szCs w:val="22"/>
        </w:rPr>
        <w:t xml:space="preserve">also </w:t>
      </w:r>
      <w:r w:rsidRPr="000341E8">
        <w:rPr>
          <w:rFonts w:ascii="Arial" w:hAnsi="Arial" w:cs="Arial"/>
          <w:sz w:val="22"/>
          <w:szCs w:val="22"/>
        </w:rPr>
        <w:t xml:space="preserve">be requested by the Project Manager for Headwalls, Dams, Risers, and Pipes. </w:t>
      </w:r>
    </w:p>
    <w:p w14:paraId="3C676620" w14:textId="77777777" w:rsidR="000341E8" w:rsidRDefault="000341E8" w:rsidP="00BE3F24">
      <w:pPr>
        <w:tabs>
          <w:tab w:val="left" w:pos="1917"/>
        </w:tabs>
        <w:jc w:val="both"/>
        <w:rPr>
          <w:rFonts w:ascii="Arial" w:hAnsi="Arial" w:cs="Arial"/>
          <w:sz w:val="22"/>
          <w:szCs w:val="22"/>
        </w:rPr>
      </w:pPr>
    </w:p>
    <w:p w14:paraId="65C5BE7A" w14:textId="77777777" w:rsidR="003D2F70" w:rsidRPr="000341E8" w:rsidRDefault="003D2F70" w:rsidP="00BE3F24">
      <w:pPr>
        <w:tabs>
          <w:tab w:val="left" w:pos="1917"/>
        </w:tabs>
        <w:jc w:val="both"/>
        <w:rPr>
          <w:rFonts w:ascii="Arial" w:hAnsi="Arial" w:cs="Arial"/>
          <w:sz w:val="22"/>
          <w:szCs w:val="22"/>
        </w:rPr>
      </w:pPr>
      <w:r w:rsidRPr="000341E8">
        <w:rPr>
          <w:rFonts w:ascii="Arial" w:hAnsi="Arial" w:cs="Arial"/>
          <w:sz w:val="22"/>
          <w:szCs w:val="22"/>
        </w:rPr>
        <w:t xml:space="preserve">Timeframe:  Estimate </w:t>
      </w:r>
      <w:r w:rsidR="00731468">
        <w:rPr>
          <w:rFonts w:ascii="Arial" w:hAnsi="Arial" w:cs="Arial"/>
          <w:sz w:val="22"/>
          <w:szCs w:val="22"/>
        </w:rPr>
        <w:t>6</w:t>
      </w:r>
      <w:r w:rsidRPr="000341E8">
        <w:rPr>
          <w:rFonts w:ascii="Arial" w:hAnsi="Arial" w:cs="Arial"/>
          <w:sz w:val="22"/>
          <w:szCs w:val="22"/>
        </w:rPr>
        <w:t xml:space="preserve"> months from the time the boring request is submitted to FED. This applies whether the project has 5 borings or 50 borings.</w:t>
      </w:r>
      <w:r w:rsidR="005914B6">
        <w:rPr>
          <w:rFonts w:ascii="Arial" w:hAnsi="Arial" w:cs="Arial"/>
          <w:sz w:val="22"/>
          <w:szCs w:val="22"/>
        </w:rPr>
        <w:t xml:space="preserve">  Actual timeframes should be discussed with FED and the requesting office.</w:t>
      </w:r>
    </w:p>
    <w:p w14:paraId="6E293AE4" w14:textId="77777777" w:rsidR="000341E8" w:rsidRPr="000341E8" w:rsidRDefault="000341E8" w:rsidP="00BE3F24">
      <w:pPr>
        <w:tabs>
          <w:tab w:val="left" w:pos="1917"/>
        </w:tabs>
        <w:jc w:val="both"/>
        <w:rPr>
          <w:rFonts w:ascii="Arial" w:hAnsi="Arial" w:cs="Arial"/>
          <w:sz w:val="22"/>
          <w:szCs w:val="22"/>
        </w:rPr>
      </w:pPr>
    </w:p>
    <w:p w14:paraId="3EC51E3C" w14:textId="77777777" w:rsidR="003D2F70" w:rsidRPr="00AE7E4D" w:rsidRDefault="003D2F70" w:rsidP="00BE3F24">
      <w:pPr>
        <w:pStyle w:val="Heading4"/>
        <w:ind w:left="0" w:firstLine="0"/>
      </w:pPr>
      <w:r w:rsidRPr="00AE7E4D">
        <w:t>Purpose</w:t>
      </w:r>
    </w:p>
    <w:p w14:paraId="2B25C2BC" w14:textId="77777777" w:rsidR="003D2F70" w:rsidRPr="002B69CE" w:rsidRDefault="003D2F70" w:rsidP="00BE3F24">
      <w:pPr>
        <w:pStyle w:val="BodyText"/>
        <w:jc w:val="both"/>
      </w:pPr>
      <w:r w:rsidRPr="002B69CE">
        <w:t xml:space="preserve">Information on </w:t>
      </w:r>
      <w:r>
        <w:t xml:space="preserve">SWM facilities </w:t>
      </w:r>
      <w:r w:rsidRPr="002B69CE">
        <w:t>is needed to:</w:t>
      </w:r>
    </w:p>
    <w:p w14:paraId="62AC5F17" w14:textId="77777777" w:rsidR="003D2F70" w:rsidRPr="00B738C4" w:rsidRDefault="003D2F70" w:rsidP="00172E64">
      <w:pPr>
        <w:pStyle w:val="ListParagraph"/>
        <w:numPr>
          <w:ilvl w:val="0"/>
          <w:numId w:val="84"/>
        </w:numPr>
        <w:ind w:left="720" w:hanging="720"/>
        <w:jc w:val="both"/>
        <w:rPr>
          <w:rFonts w:ascii="Arial" w:hAnsi="Arial"/>
          <w:sz w:val="22"/>
        </w:rPr>
      </w:pPr>
      <w:r w:rsidRPr="00B738C4">
        <w:rPr>
          <w:rFonts w:ascii="Arial" w:hAnsi="Arial"/>
          <w:sz w:val="22"/>
        </w:rPr>
        <w:t>Determine thickness of soil stratum</w:t>
      </w:r>
    </w:p>
    <w:p w14:paraId="09C8E96C" w14:textId="77777777" w:rsidR="003D2F70" w:rsidRPr="00B738C4" w:rsidRDefault="003D2F70" w:rsidP="00172E64">
      <w:pPr>
        <w:pStyle w:val="ListParagraph"/>
        <w:numPr>
          <w:ilvl w:val="0"/>
          <w:numId w:val="84"/>
        </w:numPr>
        <w:ind w:left="720" w:hanging="720"/>
        <w:jc w:val="both"/>
        <w:rPr>
          <w:rFonts w:ascii="Arial" w:hAnsi="Arial"/>
          <w:sz w:val="22"/>
        </w:rPr>
      </w:pPr>
      <w:r w:rsidRPr="00B738C4">
        <w:rPr>
          <w:rFonts w:ascii="Arial" w:hAnsi="Arial"/>
          <w:sz w:val="22"/>
        </w:rPr>
        <w:t>Obtain information about different types of soils available at job site</w:t>
      </w:r>
    </w:p>
    <w:p w14:paraId="7BAF9592" w14:textId="6C22D8EE" w:rsidR="003D2F70" w:rsidRPr="00B738C4" w:rsidRDefault="003D2F70" w:rsidP="00172E64">
      <w:pPr>
        <w:pStyle w:val="ListParagraph"/>
        <w:numPr>
          <w:ilvl w:val="0"/>
          <w:numId w:val="84"/>
        </w:numPr>
        <w:ind w:left="720" w:hanging="720"/>
        <w:jc w:val="both"/>
        <w:rPr>
          <w:rFonts w:ascii="Arial" w:hAnsi="Arial"/>
          <w:sz w:val="22"/>
        </w:rPr>
      </w:pPr>
      <w:r w:rsidRPr="00B738C4">
        <w:rPr>
          <w:rFonts w:ascii="Arial" w:hAnsi="Arial"/>
          <w:sz w:val="22"/>
        </w:rPr>
        <w:t xml:space="preserve">Obtain information on </w:t>
      </w:r>
      <w:r w:rsidRPr="006F24C9">
        <w:rPr>
          <w:rFonts w:ascii="Arial" w:hAnsi="Arial" w:cs="Arial"/>
          <w:sz w:val="22"/>
          <w:szCs w:val="22"/>
        </w:rPr>
        <w:t>groundwater</w:t>
      </w:r>
      <w:r w:rsidRPr="00B738C4">
        <w:rPr>
          <w:rFonts w:ascii="Arial" w:hAnsi="Arial"/>
          <w:sz w:val="22"/>
        </w:rPr>
        <w:t xml:space="preserve"> levels</w:t>
      </w:r>
    </w:p>
    <w:p w14:paraId="1A09EADE" w14:textId="77777777" w:rsidR="003D2F70" w:rsidRPr="00B738C4" w:rsidRDefault="003D2F70" w:rsidP="00172E64">
      <w:pPr>
        <w:pStyle w:val="ListParagraph"/>
        <w:numPr>
          <w:ilvl w:val="0"/>
          <w:numId w:val="84"/>
        </w:numPr>
        <w:ind w:left="720" w:hanging="720"/>
        <w:jc w:val="both"/>
        <w:rPr>
          <w:rFonts w:ascii="Arial" w:hAnsi="Arial"/>
          <w:sz w:val="22"/>
        </w:rPr>
      </w:pPr>
      <w:r w:rsidRPr="00B738C4">
        <w:rPr>
          <w:rFonts w:ascii="Arial" w:hAnsi="Arial"/>
          <w:sz w:val="22"/>
        </w:rPr>
        <w:lastRenderedPageBreak/>
        <w:t xml:space="preserve">Obtain rock elevations if present </w:t>
      </w:r>
    </w:p>
    <w:p w14:paraId="0983FEA0" w14:textId="77777777" w:rsidR="003D2F70" w:rsidRPr="00B738C4" w:rsidRDefault="003D2F70" w:rsidP="00172E64">
      <w:pPr>
        <w:pStyle w:val="ListParagraph"/>
        <w:numPr>
          <w:ilvl w:val="0"/>
          <w:numId w:val="84"/>
        </w:numPr>
        <w:ind w:left="720" w:hanging="720"/>
        <w:jc w:val="both"/>
        <w:rPr>
          <w:rFonts w:ascii="Arial" w:hAnsi="Arial"/>
          <w:sz w:val="22"/>
        </w:rPr>
      </w:pPr>
      <w:r w:rsidRPr="00B738C4">
        <w:rPr>
          <w:rFonts w:ascii="Arial" w:hAnsi="Arial"/>
          <w:sz w:val="22"/>
        </w:rPr>
        <w:t>Obtain soil samples for laboratory testing.</w:t>
      </w:r>
    </w:p>
    <w:p w14:paraId="27CBE78A" w14:textId="77777777" w:rsidR="003D2F70" w:rsidRPr="00B738C4" w:rsidRDefault="003D2F70" w:rsidP="00172E64">
      <w:pPr>
        <w:pStyle w:val="ListParagraph"/>
        <w:numPr>
          <w:ilvl w:val="0"/>
          <w:numId w:val="84"/>
        </w:numPr>
        <w:ind w:left="720" w:hanging="720"/>
        <w:jc w:val="both"/>
        <w:rPr>
          <w:rFonts w:ascii="Arial" w:hAnsi="Arial"/>
          <w:sz w:val="22"/>
        </w:rPr>
      </w:pPr>
      <w:r w:rsidRPr="00B738C4">
        <w:rPr>
          <w:rFonts w:ascii="Arial" w:hAnsi="Arial"/>
          <w:sz w:val="22"/>
        </w:rPr>
        <w:t>Note any unusual observations that could impact the type and placement of SWM facilities</w:t>
      </w:r>
    </w:p>
    <w:p w14:paraId="547E6170" w14:textId="77777777" w:rsidR="003D2F70" w:rsidRPr="00B738C4" w:rsidRDefault="003D2F70" w:rsidP="00172E64">
      <w:pPr>
        <w:pStyle w:val="ListParagraph"/>
        <w:numPr>
          <w:ilvl w:val="0"/>
          <w:numId w:val="84"/>
        </w:numPr>
        <w:ind w:left="720" w:hanging="720"/>
        <w:jc w:val="both"/>
        <w:rPr>
          <w:rFonts w:ascii="Arial" w:hAnsi="Arial"/>
          <w:sz w:val="22"/>
        </w:rPr>
      </w:pPr>
      <w:r w:rsidRPr="00B738C4">
        <w:rPr>
          <w:rFonts w:ascii="Arial" w:hAnsi="Arial"/>
          <w:sz w:val="22"/>
        </w:rPr>
        <w:t>Determine infiltration rates for in-situ soils</w:t>
      </w:r>
    </w:p>
    <w:p w14:paraId="0F6CEA65" w14:textId="77777777" w:rsidR="003D2F70" w:rsidRPr="00B738C4" w:rsidRDefault="003D2F70" w:rsidP="00172E64">
      <w:pPr>
        <w:pStyle w:val="ListParagraph"/>
        <w:numPr>
          <w:ilvl w:val="0"/>
          <w:numId w:val="84"/>
        </w:numPr>
        <w:ind w:left="720" w:hanging="720"/>
        <w:jc w:val="both"/>
        <w:rPr>
          <w:rFonts w:ascii="Arial" w:hAnsi="Arial"/>
          <w:sz w:val="22"/>
        </w:rPr>
      </w:pPr>
      <w:r w:rsidRPr="00B738C4">
        <w:rPr>
          <w:rFonts w:ascii="Arial" w:hAnsi="Arial"/>
          <w:sz w:val="22"/>
        </w:rPr>
        <w:t>Note drainage characteristics</w:t>
      </w:r>
    </w:p>
    <w:p w14:paraId="6068DCF6" w14:textId="77777777" w:rsidR="000341E8" w:rsidRDefault="000341E8" w:rsidP="00B738C4">
      <w:pPr>
        <w:pStyle w:val="ListBullet"/>
      </w:pPr>
    </w:p>
    <w:p w14:paraId="31F1B304" w14:textId="77777777" w:rsidR="003D2F70" w:rsidRPr="00004850" w:rsidRDefault="003D2F70" w:rsidP="00BE3F24">
      <w:pPr>
        <w:pStyle w:val="Heading4"/>
        <w:ind w:left="0" w:firstLine="0"/>
      </w:pPr>
      <w:r w:rsidRPr="00004850">
        <w:t>Resource Requirements</w:t>
      </w:r>
    </w:p>
    <w:p w14:paraId="206D7EA4" w14:textId="77777777" w:rsidR="003D2F70" w:rsidRDefault="003D2F70" w:rsidP="00B738C4">
      <w:pPr>
        <w:pStyle w:val="BodyText"/>
        <w:spacing w:after="240"/>
        <w:jc w:val="both"/>
      </w:pPr>
      <w:r w:rsidRPr="00CC58A7">
        <w:t>The request proc</w:t>
      </w:r>
      <w:r>
        <w:t>edure</w:t>
      </w:r>
      <w:r w:rsidRPr="00CC58A7">
        <w:t xml:space="preserve"> is typically </w:t>
      </w:r>
      <w:r>
        <w:t>completed based on the</w:t>
      </w:r>
      <w:r w:rsidRPr="00CC58A7">
        <w:t xml:space="preserve"> data available to the </w:t>
      </w:r>
      <w:r>
        <w:t>PAGD Engineer</w:t>
      </w:r>
      <w:r w:rsidRPr="00CC58A7">
        <w:t xml:space="preserve"> in the office coupled with a site visit.  The request procedure documented below requires the following staffing needs for a typical </w:t>
      </w:r>
      <w:r>
        <w:t>project</w:t>
      </w:r>
      <w:r w:rsidRPr="00CC58A7">
        <w:t>:</w:t>
      </w:r>
    </w:p>
    <w:tbl>
      <w:tblPr>
        <w:tblW w:w="855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7"/>
        <w:gridCol w:w="2286"/>
        <w:gridCol w:w="1777"/>
        <w:gridCol w:w="1620"/>
      </w:tblGrid>
      <w:tr w:rsidR="003D2F70" w:rsidRPr="00CC58A7" w14:paraId="798B7286" w14:textId="77777777" w:rsidTr="00B738C4">
        <w:trPr>
          <w:trHeight w:val="288"/>
        </w:trPr>
        <w:tc>
          <w:tcPr>
            <w:tcW w:w="2867" w:type="dxa"/>
            <w:shd w:val="pct15" w:color="auto" w:fill="FFFFFF"/>
            <w:vAlign w:val="center"/>
          </w:tcPr>
          <w:p w14:paraId="23A0196B" w14:textId="77777777" w:rsidR="003D2F70" w:rsidRPr="00CC58A7" w:rsidRDefault="003D2F70" w:rsidP="00B738C4">
            <w:pPr>
              <w:jc w:val="center"/>
              <w:rPr>
                <w:rFonts w:ascii="Arial" w:hAnsi="Arial"/>
                <w:b/>
              </w:rPr>
            </w:pPr>
            <w:r w:rsidRPr="00CC58A7">
              <w:rPr>
                <w:rFonts w:ascii="Arial" w:hAnsi="Arial"/>
                <w:b/>
              </w:rPr>
              <w:t>Position</w:t>
            </w:r>
          </w:p>
        </w:tc>
        <w:tc>
          <w:tcPr>
            <w:tcW w:w="2286" w:type="dxa"/>
            <w:shd w:val="pct15" w:color="auto" w:fill="FFFFFF"/>
            <w:vAlign w:val="center"/>
          </w:tcPr>
          <w:p w14:paraId="4FFBEE6B" w14:textId="77777777" w:rsidR="003D2F70" w:rsidRPr="00CC58A7" w:rsidRDefault="003D2F70" w:rsidP="00B738C4">
            <w:pPr>
              <w:jc w:val="center"/>
              <w:rPr>
                <w:rFonts w:ascii="Arial" w:hAnsi="Arial"/>
                <w:b/>
              </w:rPr>
            </w:pPr>
            <w:r w:rsidRPr="00CC58A7">
              <w:rPr>
                <w:rFonts w:ascii="Arial" w:hAnsi="Arial"/>
                <w:b/>
              </w:rPr>
              <w:t>Function</w:t>
            </w:r>
          </w:p>
        </w:tc>
        <w:tc>
          <w:tcPr>
            <w:tcW w:w="1777" w:type="dxa"/>
            <w:shd w:val="pct15" w:color="auto" w:fill="FFFFFF"/>
            <w:vAlign w:val="center"/>
          </w:tcPr>
          <w:p w14:paraId="0EF662D4" w14:textId="77777777" w:rsidR="003D2F70" w:rsidRPr="00CC58A7" w:rsidRDefault="003D2F70" w:rsidP="00B738C4">
            <w:pPr>
              <w:jc w:val="center"/>
              <w:rPr>
                <w:rFonts w:ascii="Arial" w:hAnsi="Arial"/>
                <w:b/>
              </w:rPr>
            </w:pPr>
            <w:r w:rsidRPr="00CC58A7">
              <w:rPr>
                <w:rFonts w:ascii="Arial" w:hAnsi="Arial"/>
                <w:b/>
              </w:rPr>
              <w:t>Resources</w:t>
            </w:r>
          </w:p>
        </w:tc>
        <w:tc>
          <w:tcPr>
            <w:tcW w:w="1620" w:type="dxa"/>
            <w:shd w:val="pct15" w:color="auto" w:fill="FFFFFF"/>
            <w:vAlign w:val="center"/>
          </w:tcPr>
          <w:p w14:paraId="1D3A1E55" w14:textId="77777777" w:rsidR="003D2F70" w:rsidRPr="00CC58A7" w:rsidRDefault="003D2F70" w:rsidP="00B738C4">
            <w:pPr>
              <w:jc w:val="center"/>
              <w:rPr>
                <w:rFonts w:ascii="Arial" w:hAnsi="Arial"/>
                <w:b/>
              </w:rPr>
            </w:pPr>
            <w:r w:rsidRPr="00CC58A7">
              <w:rPr>
                <w:rFonts w:ascii="Arial" w:hAnsi="Arial"/>
                <w:b/>
              </w:rPr>
              <w:t>Effort Level</w:t>
            </w:r>
          </w:p>
          <w:p w14:paraId="59AA6903" w14:textId="77777777" w:rsidR="003D2F70" w:rsidRPr="00CC58A7" w:rsidRDefault="003D2F70" w:rsidP="00B738C4">
            <w:pPr>
              <w:jc w:val="center"/>
              <w:rPr>
                <w:rFonts w:ascii="Arial" w:hAnsi="Arial"/>
                <w:b/>
              </w:rPr>
            </w:pPr>
            <w:r w:rsidRPr="00CC58A7">
              <w:rPr>
                <w:rFonts w:ascii="Arial" w:hAnsi="Arial"/>
                <w:b/>
              </w:rPr>
              <w:t>(man-hours)</w:t>
            </w:r>
          </w:p>
        </w:tc>
      </w:tr>
      <w:tr w:rsidR="003D2F70" w:rsidRPr="00CC58A7" w14:paraId="60F457E3" w14:textId="77777777" w:rsidTr="00B738C4">
        <w:trPr>
          <w:trHeight w:val="288"/>
        </w:trPr>
        <w:tc>
          <w:tcPr>
            <w:tcW w:w="2867" w:type="dxa"/>
            <w:vAlign w:val="center"/>
          </w:tcPr>
          <w:p w14:paraId="75B58818" w14:textId="77777777" w:rsidR="003D2F70" w:rsidRPr="00CC58A7" w:rsidRDefault="003D2F70" w:rsidP="00392741">
            <w:pPr>
              <w:jc w:val="center"/>
              <w:rPr>
                <w:rFonts w:ascii="Arial" w:hAnsi="Arial"/>
                <w:sz w:val="18"/>
              </w:rPr>
            </w:pPr>
            <w:r>
              <w:rPr>
                <w:rFonts w:ascii="Arial" w:hAnsi="Arial"/>
                <w:sz w:val="18"/>
              </w:rPr>
              <w:t xml:space="preserve">PAGD </w:t>
            </w:r>
            <w:r w:rsidRPr="00CC58A7">
              <w:rPr>
                <w:rFonts w:ascii="Arial" w:hAnsi="Arial"/>
                <w:sz w:val="18"/>
              </w:rPr>
              <w:t>Engineer</w:t>
            </w:r>
          </w:p>
        </w:tc>
        <w:tc>
          <w:tcPr>
            <w:tcW w:w="2286" w:type="dxa"/>
            <w:vAlign w:val="center"/>
          </w:tcPr>
          <w:p w14:paraId="50330604" w14:textId="77777777" w:rsidR="003D2F70" w:rsidRPr="00CC58A7" w:rsidRDefault="003D2F70" w:rsidP="00392741">
            <w:pPr>
              <w:jc w:val="center"/>
              <w:rPr>
                <w:rFonts w:ascii="Arial" w:hAnsi="Arial"/>
                <w:sz w:val="18"/>
              </w:rPr>
            </w:pPr>
            <w:r w:rsidRPr="00CC58A7">
              <w:rPr>
                <w:rFonts w:ascii="Arial" w:hAnsi="Arial"/>
                <w:sz w:val="18"/>
              </w:rPr>
              <w:t>Records Review</w:t>
            </w:r>
          </w:p>
        </w:tc>
        <w:tc>
          <w:tcPr>
            <w:tcW w:w="1777" w:type="dxa"/>
            <w:vAlign w:val="center"/>
          </w:tcPr>
          <w:p w14:paraId="507AA6B0" w14:textId="77777777" w:rsidR="003D2F70" w:rsidRPr="00CC58A7" w:rsidRDefault="003D2F70" w:rsidP="00392741">
            <w:pPr>
              <w:jc w:val="center"/>
              <w:rPr>
                <w:rFonts w:ascii="Arial" w:hAnsi="Arial"/>
                <w:sz w:val="18"/>
              </w:rPr>
            </w:pPr>
            <w:r w:rsidRPr="00CC58A7">
              <w:rPr>
                <w:rFonts w:ascii="Arial" w:hAnsi="Arial"/>
                <w:sz w:val="18"/>
              </w:rPr>
              <w:t>1</w:t>
            </w:r>
          </w:p>
        </w:tc>
        <w:tc>
          <w:tcPr>
            <w:tcW w:w="1620" w:type="dxa"/>
            <w:vAlign w:val="center"/>
          </w:tcPr>
          <w:p w14:paraId="0C59829C" w14:textId="77777777" w:rsidR="003D2F70" w:rsidRPr="00CC58A7" w:rsidRDefault="003D2F70" w:rsidP="00392741">
            <w:pPr>
              <w:jc w:val="center"/>
              <w:rPr>
                <w:rFonts w:ascii="Arial" w:hAnsi="Arial"/>
                <w:sz w:val="18"/>
              </w:rPr>
            </w:pPr>
            <w:r>
              <w:rPr>
                <w:rFonts w:ascii="Arial" w:hAnsi="Arial"/>
                <w:sz w:val="18"/>
              </w:rPr>
              <w:t>2*</w:t>
            </w:r>
          </w:p>
        </w:tc>
      </w:tr>
      <w:tr w:rsidR="003D2F70" w:rsidRPr="00CC58A7" w14:paraId="10AE301A" w14:textId="77777777" w:rsidTr="00B738C4">
        <w:trPr>
          <w:trHeight w:val="288"/>
        </w:trPr>
        <w:tc>
          <w:tcPr>
            <w:tcW w:w="2867" w:type="dxa"/>
            <w:vAlign w:val="center"/>
          </w:tcPr>
          <w:p w14:paraId="18DC88AB" w14:textId="77777777" w:rsidR="003D2F70" w:rsidRDefault="003D2F70" w:rsidP="00392741">
            <w:pPr>
              <w:jc w:val="center"/>
            </w:pPr>
            <w:r w:rsidRPr="00804934">
              <w:rPr>
                <w:rFonts w:ascii="Arial" w:hAnsi="Arial"/>
                <w:sz w:val="18"/>
              </w:rPr>
              <w:t>PAGD Engineer</w:t>
            </w:r>
          </w:p>
        </w:tc>
        <w:tc>
          <w:tcPr>
            <w:tcW w:w="2286" w:type="dxa"/>
            <w:vAlign w:val="center"/>
          </w:tcPr>
          <w:p w14:paraId="5F73BC7F" w14:textId="77777777" w:rsidR="003D2F70" w:rsidRPr="00CC58A7" w:rsidRDefault="003D2F70" w:rsidP="00392741">
            <w:pPr>
              <w:jc w:val="center"/>
              <w:rPr>
                <w:rFonts w:ascii="Arial" w:hAnsi="Arial"/>
                <w:sz w:val="18"/>
              </w:rPr>
            </w:pPr>
            <w:r>
              <w:rPr>
                <w:rFonts w:ascii="Arial" w:hAnsi="Arial"/>
                <w:sz w:val="18"/>
              </w:rPr>
              <w:t>Prepare and Submit SWM Request</w:t>
            </w:r>
          </w:p>
        </w:tc>
        <w:tc>
          <w:tcPr>
            <w:tcW w:w="1777" w:type="dxa"/>
            <w:vAlign w:val="center"/>
          </w:tcPr>
          <w:p w14:paraId="76132CB3" w14:textId="77777777" w:rsidR="003D2F70" w:rsidRPr="00CC58A7" w:rsidRDefault="003D2F70" w:rsidP="00392741">
            <w:pPr>
              <w:jc w:val="center"/>
              <w:rPr>
                <w:rFonts w:ascii="Arial" w:hAnsi="Arial"/>
                <w:sz w:val="18"/>
              </w:rPr>
            </w:pPr>
            <w:r w:rsidRPr="00CC58A7">
              <w:rPr>
                <w:rFonts w:ascii="Arial" w:hAnsi="Arial"/>
                <w:sz w:val="18"/>
              </w:rPr>
              <w:t>1</w:t>
            </w:r>
          </w:p>
        </w:tc>
        <w:tc>
          <w:tcPr>
            <w:tcW w:w="1620" w:type="dxa"/>
            <w:vAlign w:val="center"/>
          </w:tcPr>
          <w:p w14:paraId="58A6C3B1" w14:textId="77777777" w:rsidR="003D2F70" w:rsidRPr="00CC58A7" w:rsidRDefault="003D2F70" w:rsidP="00392741">
            <w:pPr>
              <w:jc w:val="center"/>
              <w:rPr>
                <w:rFonts w:ascii="Arial" w:hAnsi="Arial"/>
                <w:sz w:val="18"/>
              </w:rPr>
            </w:pPr>
            <w:r>
              <w:rPr>
                <w:rFonts w:ascii="Arial" w:hAnsi="Arial"/>
                <w:sz w:val="18"/>
              </w:rPr>
              <w:t>4*</w:t>
            </w:r>
          </w:p>
        </w:tc>
      </w:tr>
      <w:tr w:rsidR="003D2F70" w14:paraId="480EE021" w14:textId="77777777" w:rsidTr="00B738C4">
        <w:trPr>
          <w:trHeight w:val="288"/>
        </w:trPr>
        <w:tc>
          <w:tcPr>
            <w:tcW w:w="2867" w:type="dxa"/>
            <w:vAlign w:val="center"/>
          </w:tcPr>
          <w:p w14:paraId="0577FDE9" w14:textId="77777777" w:rsidR="003D2F70" w:rsidRPr="00804934" w:rsidRDefault="003D2F70" w:rsidP="00392741">
            <w:pPr>
              <w:jc w:val="center"/>
              <w:rPr>
                <w:rFonts w:ascii="Arial" w:hAnsi="Arial"/>
                <w:sz w:val="18"/>
              </w:rPr>
            </w:pPr>
            <w:r>
              <w:rPr>
                <w:rFonts w:ascii="Arial" w:hAnsi="Arial"/>
                <w:sz w:val="18"/>
              </w:rPr>
              <w:t>PAGD TL</w:t>
            </w:r>
          </w:p>
        </w:tc>
        <w:tc>
          <w:tcPr>
            <w:tcW w:w="2286" w:type="dxa"/>
            <w:vAlign w:val="center"/>
          </w:tcPr>
          <w:p w14:paraId="67548A6A" w14:textId="77777777" w:rsidR="003D2F70" w:rsidRDefault="003D2F70" w:rsidP="00392741">
            <w:pPr>
              <w:jc w:val="center"/>
              <w:rPr>
                <w:rFonts w:ascii="Arial" w:hAnsi="Arial"/>
                <w:sz w:val="18"/>
              </w:rPr>
            </w:pPr>
            <w:r>
              <w:rPr>
                <w:rFonts w:ascii="Arial" w:hAnsi="Arial"/>
                <w:sz w:val="18"/>
              </w:rPr>
              <w:t>Review of Request</w:t>
            </w:r>
          </w:p>
        </w:tc>
        <w:tc>
          <w:tcPr>
            <w:tcW w:w="1777" w:type="dxa"/>
            <w:vAlign w:val="center"/>
          </w:tcPr>
          <w:p w14:paraId="314EFC3F" w14:textId="77777777" w:rsidR="003D2F70" w:rsidRPr="00CC58A7" w:rsidRDefault="003D2F70" w:rsidP="00392741">
            <w:pPr>
              <w:jc w:val="center"/>
              <w:rPr>
                <w:rFonts w:ascii="Arial" w:hAnsi="Arial"/>
                <w:sz w:val="18"/>
              </w:rPr>
            </w:pPr>
            <w:r>
              <w:rPr>
                <w:rFonts w:ascii="Arial" w:hAnsi="Arial"/>
                <w:sz w:val="18"/>
              </w:rPr>
              <w:t>1</w:t>
            </w:r>
          </w:p>
        </w:tc>
        <w:tc>
          <w:tcPr>
            <w:tcW w:w="1620" w:type="dxa"/>
            <w:vAlign w:val="center"/>
          </w:tcPr>
          <w:p w14:paraId="3E2FBA67" w14:textId="77777777" w:rsidR="003D2F70" w:rsidRDefault="003D2F70" w:rsidP="00392741">
            <w:pPr>
              <w:jc w:val="center"/>
              <w:rPr>
                <w:rFonts w:ascii="Arial" w:hAnsi="Arial"/>
                <w:sz w:val="18"/>
              </w:rPr>
            </w:pPr>
            <w:r>
              <w:rPr>
                <w:rFonts w:ascii="Arial" w:hAnsi="Arial"/>
                <w:sz w:val="18"/>
              </w:rPr>
              <w:t>1*</w:t>
            </w:r>
          </w:p>
        </w:tc>
      </w:tr>
    </w:tbl>
    <w:p w14:paraId="7DB91C3D" w14:textId="77777777" w:rsidR="003D2F70" w:rsidRDefault="003D2F70" w:rsidP="00BE3F24">
      <w:pPr>
        <w:jc w:val="both"/>
        <w:rPr>
          <w:rFonts w:ascii="Arial" w:hAnsi="Arial"/>
          <w:sz w:val="18"/>
          <w:szCs w:val="18"/>
        </w:rPr>
      </w:pPr>
      <w:r>
        <w:rPr>
          <w:rFonts w:ascii="Arial" w:hAnsi="Arial"/>
          <w:sz w:val="18"/>
          <w:szCs w:val="18"/>
        </w:rPr>
        <w:t xml:space="preserve">      </w:t>
      </w:r>
      <w:r w:rsidRPr="005E38AE">
        <w:rPr>
          <w:rFonts w:ascii="Arial" w:hAnsi="Arial"/>
          <w:sz w:val="18"/>
          <w:szCs w:val="18"/>
        </w:rPr>
        <w:t>* The time required would vary depending on the size and complexity of a project.</w:t>
      </w:r>
    </w:p>
    <w:p w14:paraId="417D5096" w14:textId="77777777" w:rsidR="000341E8" w:rsidRPr="005E38AE" w:rsidRDefault="000341E8" w:rsidP="00BE3F24">
      <w:pPr>
        <w:jc w:val="both"/>
        <w:rPr>
          <w:rFonts w:ascii="Arial" w:hAnsi="Arial"/>
          <w:sz w:val="18"/>
          <w:szCs w:val="18"/>
        </w:rPr>
      </w:pPr>
    </w:p>
    <w:p w14:paraId="7F897137" w14:textId="77777777" w:rsidR="003D2F70" w:rsidRPr="00004850" w:rsidRDefault="003D2F70" w:rsidP="00BE3F24">
      <w:pPr>
        <w:pStyle w:val="Heading4"/>
        <w:ind w:left="0" w:firstLine="0"/>
      </w:pPr>
      <w:r w:rsidRPr="00004850">
        <w:t>Procedure</w:t>
      </w:r>
    </w:p>
    <w:p w14:paraId="56C94C4E" w14:textId="0FE91C86" w:rsidR="003D2F70" w:rsidRPr="00004850" w:rsidRDefault="003D2F70" w:rsidP="00BE3F24">
      <w:pPr>
        <w:pStyle w:val="BodyText"/>
        <w:jc w:val="both"/>
      </w:pPr>
      <w:r w:rsidRPr="00004850">
        <w:t xml:space="preserve">The procedure presented in </w:t>
      </w:r>
      <w:r w:rsidRPr="00BA1669">
        <w:t>the attached flowchart</w:t>
      </w:r>
      <w:r w:rsidRPr="00004850">
        <w:t xml:space="preserve"> and described </w:t>
      </w:r>
      <w:r>
        <w:t>below</w:t>
      </w:r>
      <w:r w:rsidRPr="00004850">
        <w:t xml:space="preserve"> should be followed when making a reques</w:t>
      </w:r>
      <w:r w:rsidRPr="003D2152">
        <w:t xml:space="preserve">t.  Numerous steps contained in this procedure can </w:t>
      </w:r>
      <w:r>
        <w:t xml:space="preserve">also </w:t>
      </w:r>
      <w:r w:rsidRPr="003D2152">
        <w:t xml:space="preserve">be completed with several software applications that the </w:t>
      </w:r>
      <w:r w:rsidRPr="005E38AE">
        <w:t>PAGD</w:t>
      </w:r>
      <w:r w:rsidRPr="003D2152">
        <w:t xml:space="preserve"> currently uses </w:t>
      </w:r>
      <w:r>
        <w:t>or</w:t>
      </w:r>
      <w:r w:rsidRPr="003D2152">
        <w:t xml:space="preserve"> has under development.  The</w:t>
      </w:r>
      <w:r w:rsidRPr="00004850">
        <w:t xml:space="preserve"> following procedure was written to provide the design engineer with adequate information to complete a</w:t>
      </w:r>
      <w:r w:rsidR="00392741">
        <w:t>n</w:t>
      </w:r>
      <w:r w:rsidRPr="00004850">
        <w:t xml:space="preserve"> </w:t>
      </w:r>
      <w:r>
        <w:t xml:space="preserve">SWM boring </w:t>
      </w:r>
      <w:r w:rsidRPr="00004850">
        <w:t xml:space="preserve">request without specific knowledge or access to computer software applications, but with the </w:t>
      </w:r>
      <w:r>
        <w:t>consideration</w:t>
      </w:r>
      <w:r w:rsidRPr="00004850">
        <w:t xml:space="preserve"> that these tools were available.      </w:t>
      </w:r>
    </w:p>
    <w:p w14:paraId="038139F6" w14:textId="32C2722F" w:rsidR="003D2F70" w:rsidRPr="00004850" w:rsidRDefault="003D2F70" w:rsidP="00BE3F24">
      <w:pPr>
        <w:pStyle w:val="BodyText"/>
        <w:jc w:val="both"/>
      </w:pPr>
      <w:r w:rsidRPr="00004850">
        <w:t xml:space="preserve">Certain steps in the request process and other processes overlap.  It is important to </w:t>
      </w:r>
      <w:r>
        <w:t>consider</w:t>
      </w:r>
      <w:r w:rsidRPr="00004850">
        <w:t xml:space="preserve"> that although these processes are broken out and written in separate sections, they are a part of an overall process to provide logical and technical requests.  </w:t>
      </w:r>
      <w:r w:rsidRPr="00CC58A7">
        <w:t xml:space="preserve">The procedure described below is conducted </w:t>
      </w:r>
      <w:r w:rsidRPr="00DC462A">
        <w:t>after receiving a request (memo or e-mail request) from a customer</w:t>
      </w:r>
      <w:r w:rsidR="00F726D3" w:rsidRPr="00DC462A">
        <w:t xml:space="preserve"> project manager (PM)</w:t>
      </w:r>
      <w:r w:rsidRPr="00DC462A">
        <w:t>.</w:t>
      </w:r>
      <w:r w:rsidRPr="005E38AE">
        <w:t xml:space="preserve">  The following procedures are general guidelines to be followed by the PAGD Engineer.  They may be adjusted, based on engineering judgment and discussion with the PAGD TL and the PAGD ADC-Design.</w:t>
      </w:r>
    </w:p>
    <w:p w14:paraId="0F993BE1" w14:textId="68A3556E" w:rsidR="003D2F70" w:rsidRPr="00004850" w:rsidRDefault="00A353B9" w:rsidP="00A353B9">
      <w:pPr>
        <w:pStyle w:val="BodyText"/>
        <w:jc w:val="both"/>
      </w:pPr>
      <w:r w:rsidRPr="0021416D">
        <w:t xml:space="preserve">Follow the steps </w:t>
      </w:r>
      <w:r>
        <w:t xml:space="preserve">in </w:t>
      </w:r>
      <w:hyperlink w:anchor="_Procedure_2" w:history="1">
        <w:r w:rsidRPr="00FA4CE9">
          <w:rPr>
            <w:rStyle w:val="Hyperlink"/>
            <w:i/>
          </w:rPr>
          <w:t>Section 3</w:t>
        </w:r>
        <w:r w:rsidR="006A7DA6" w:rsidRPr="00FA4CE9">
          <w:rPr>
            <w:rStyle w:val="Hyperlink"/>
            <w:i/>
          </w:rPr>
          <w:t>.06.04</w:t>
        </w:r>
        <w:r w:rsidRPr="00FA4CE9">
          <w:rPr>
            <w:rStyle w:val="Hyperlink"/>
            <w:i/>
          </w:rPr>
          <w:t xml:space="preserve"> </w:t>
        </w:r>
        <w:r w:rsidR="007F0FEB" w:rsidRPr="00FA4CE9">
          <w:rPr>
            <w:rStyle w:val="Hyperlink"/>
            <w:i/>
          </w:rPr>
          <w:t>Geotechnical Investigation Scoping Procedure</w:t>
        </w:r>
      </w:hyperlink>
      <w:r w:rsidR="007F0FEB">
        <w:t xml:space="preserve"> </w:t>
      </w:r>
      <w:r>
        <w:t xml:space="preserve">and the additional steps </w:t>
      </w:r>
      <w:r w:rsidRPr="0021416D">
        <w:t xml:space="preserve">below </w:t>
      </w:r>
      <w:r w:rsidR="003D2F70" w:rsidRPr="00004850">
        <w:t>to complete a</w:t>
      </w:r>
      <w:r w:rsidR="00392741">
        <w:t>n</w:t>
      </w:r>
      <w:r w:rsidR="003D2F70" w:rsidRPr="00004850">
        <w:t xml:space="preserve"> S</w:t>
      </w:r>
      <w:r w:rsidR="003D2F70">
        <w:t>WM boring</w:t>
      </w:r>
      <w:r w:rsidR="003D2F70" w:rsidRPr="00004850">
        <w:t xml:space="preserve"> Request:</w:t>
      </w:r>
    </w:p>
    <w:p w14:paraId="6CADB7DB" w14:textId="5D114D6D" w:rsidR="00A353B9" w:rsidRPr="00316117" w:rsidRDefault="00A353B9" w:rsidP="00B738C4">
      <w:pPr>
        <w:pStyle w:val="Heading5"/>
        <w:tabs>
          <w:tab w:val="clear" w:pos="1080"/>
          <w:tab w:val="left" w:pos="1800"/>
        </w:tabs>
        <w:ind w:left="0" w:firstLine="0"/>
      </w:pPr>
      <w:r>
        <w:t>Additional</w:t>
      </w:r>
      <w:r w:rsidRPr="00316117">
        <w:t xml:space="preserve"> Information Needed</w:t>
      </w:r>
    </w:p>
    <w:p w14:paraId="5838D580" w14:textId="2A28FCA7" w:rsidR="00141DBF" w:rsidRDefault="003D2F70" w:rsidP="00A16700">
      <w:pPr>
        <w:pStyle w:val="ListNumber"/>
        <w:numPr>
          <w:ilvl w:val="0"/>
          <w:numId w:val="191"/>
        </w:numPr>
        <w:tabs>
          <w:tab w:val="clear" w:pos="1872"/>
          <w:tab w:val="num" w:pos="1080"/>
          <w:tab w:val="left" w:pos="1800"/>
        </w:tabs>
        <w:spacing w:before="0"/>
        <w:ind w:left="1080" w:firstLine="0"/>
        <w:jc w:val="both"/>
      </w:pPr>
      <w:r>
        <w:t xml:space="preserve">SWM boring locations are generally determined by the OHD, District and/or Consultant.  </w:t>
      </w:r>
      <w:r w:rsidRPr="0021416D">
        <w:t xml:space="preserve">Review </w:t>
      </w:r>
      <w:r>
        <w:t xml:space="preserve">the proposed SWM boring locations.  In general, the </w:t>
      </w:r>
      <w:smartTag w:uri="urn:schemas-microsoft-com:office:smarttags" w:element="stockticker">
        <w:r>
          <w:t>SWM</w:t>
        </w:r>
      </w:smartTag>
      <w:r>
        <w:t xml:space="preserve"> sites should be at least </w:t>
      </w:r>
      <w:r w:rsidR="00A353B9">
        <w:t>12</w:t>
      </w:r>
      <w:r>
        <w:t xml:space="preserve"> f</w:t>
      </w:r>
      <w:r w:rsidR="00A353B9">
        <w:t>ee</w:t>
      </w:r>
      <w:r>
        <w:t xml:space="preserve">t away from the roadway and </w:t>
      </w:r>
      <w:r w:rsidR="00A353B9">
        <w:t xml:space="preserve">100 </w:t>
      </w:r>
      <w:r>
        <w:t>f</w:t>
      </w:r>
      <w:r w:rsidR="00A353B9">
        <w:t>ee</w:t>
      </w:r>
      <w:r>
        <w:t>t aw</w:t>
      </w:r>
      <w:r w:rsidRPr="00C376DC">
        <w:rPr>
          <w:rFonts w:cs="Arial"/>
          <w:szCs w:val="22"/>
        </w:rPr>
        <w:t>ay from the proximity to wells/septic systems. For additional information on location and permitting factors</w:t>
      </w:r>
      <w:r w:rsidR="0018322C" w:rsidRPr="00C376DC">
        <w:rPr>
          <w:rFonts w:cs="Arial"/>
          <w:szCs w:val="22"/>
        </w:rPr>
        <w:t>,</w:t>
      </w:r>
      <w:r w:rsidRPr="00C376DC">
        <w:rPr>
          <w:rFonts w:cs="Arial"/>
          <w:szCs w:val="22"/>
        </w:rPr>
        <w:t xml:space="preserve"> refer to the following site: </w:t>
      </w:r>
      <w:hyperlink r:id="rId106" w:history="1">
        <w:r w:rsidR="00C376DC" w:rsidRPr="00C376DC">
          <w:rPr>
            <w:rStyle w:val="Hyperlink"/>
            <w:rFonts w:cs="Arial"/>
            <w:szCs w:val="22"/>
          </w:rPr>
          <w:t>https://mde.maryland.gov/programs/water/StormwaterManagementProgram/Documents/www.mde.state.md.us/assets/document/chapter4.pdf</w:t>
        </w:r>
      </w:hyperlink>
      <w:r w:rsidR="00425422" w:rsidRPr="00C376DC">
        <w:rPr>
          <w:rFonts w:cs="Arial"/>
          <w:szCs w:val="22"/>
        </w:rPr>
        <w:t>.</w:t>
      </w:r>
      <w:r w:rsidRPr="00C376DC">
        <w:rPr>
          <w:rFonts w:cs="Arial"/>
          <w:szCs w:val="22"/>
        </w:rPr>
        <w:t xml:space="preserve"> If proposed borings and the SWM facility are with</w:t>
      </w:r>
      <w:r w:rsidR="00A353B9" w:rsidRPr="00C376DC">
        <w:rPr>
          <w:rFonts w:cs="Arial"/>
          <w:szCs w:val="22"/>
        </w:rPr>
        <w:t>in</w:t>
      </w:r>
      <w:r w:rsidRPr="00C376DC">
        <w:rPr>
          <w:rFonts w:cs="Arial"/>
          <w:szCs w:val="22"/>
        </w:rPr>
        <w:t xml:space="preserve"> the distances described above, the borings and the SWM facility may have to be relocated.  Discuss potenti</w:t>
      </w:r>
      <w:r w:rsidRPr="005E38AE">
        <w:t xml:space="preserve">al relocations with </w:t>
      </w:r>
      <w:r>
        <w:t xml:space="preserve">the </w:t>
      </w:r>
      <w:r w:rsidRPr="005E38AE">
        <w:t>PAGD TL, PAGD ADC-Design</w:t>
      </w:r>
      <w:r w:rsidR="0018322C">
        <w:t>,</w:t>
      </w:r>
      <w:r w:rsidRPr="005E38AE">
        <w:t xml:space="preserve"> and the customer</w:t>
      </w:r>
      <w:r w:rsidR="00DC462A">
        <w:t xml:space="preserve"> PM</w:t>
      </w:r>
      <w:r w:rsidRPr="005E38AE">
        <w:t>.</w:t>
      </w:r>
    </w:p>
    <w:p w14:paraId="6BBADAD1" w14:textId="31C2D2CC" w:rsidR="001A15B9" w:rsidRDefault="003D2F70" w:rsidP="00172E64">
      <w:pPr>
        <w:pStyle w:val="ListNumber"/>
        <w:numPr>
          <w:ilvl w:val="0"/>
          <w:numId w:val="191"/>
        </w:numPr>
        <w:spacing w:before="0"/>
        <w:ind w:left="1080" w:hanging="1080"/>
        <w:jc w:val="both"/>
      </w:pPr>
      <w:r>
        <w:t>Request the following information from the PM, if not provided with the request:</w:t>
      </w:r>
    </w:p>
    <w:p w14:paraId="7A6968DA" w14:textId="00D8981C" w:rsidR="001A15B9" w:rsidRDefault="00CB68E4" w:rsidP="00172E64">
      <w:pPr>
        <w:pStyle w:val="ListNumber"/>
        <w:numPr>
          <w:ilvl w:val="0"/>
          <w:numId w:val="160"/>
        </w:numPr>
        <w:tabs>
          <w:tab w:val="clear" w:pos="1872"/>
        </w:tabs>
        <w:jc w:val="both"/>
      </w:pPr>
      <w:r>
        <w:lastRenderedPageBreak/>
        <w:t>Boring l</w:t>
      </w:r>
      <w:r w:rsidR="003D2F70">
        <w:t xml:space="preserve">ocations: </w:t>
      </w:r>
      <w:r w:rsidR="003D2F70" w:rsidRPr="00033E51">
        <w:t>Station</w:t>
      </w:r>
      <w:r w:rsidR="003D2F70">
        <w:t>, Offset, Coordinates (</w:t>
      </w:r>
      <w:r w:rsidR="003D2F70" w:rsidRPr="00033E51">
        <w:t>Northing and Easting</w:t>
      </w:r>
      <w:r w:rsidR="003D2F70">
        <w:t>)</w:t>
      </w:r>
    </w:p>
    <w:p w14:paraId="38E866CF" w14:textId="77777777" w:rsidR="001A15B9" w:rsidRDefault="003D2F70" w:rsidP="00172E64">
      <w:pPr>
        <w:pStyle w:val="ListNumber"/>
        <w:numPr>
          <w:ilvl w:val="0"/>
          <w:numId w:val="160"/>
        </w:numPr>
        <w:tabs>
          <w:tab w:val="clear" w:pos="1872"/>
        </w:tabs>
        <w:spacing w:before="0"/>
        <w:jc w:val="both"/>
      </w:pPr>
      <w:r w:rsidRPr="00033E51">
        <w:t>Type of facility</w:t>
      </w:r>
    </w:p>
    <w:p w14:paraId="46BCF787" w14:textId="77777777" w:rsidR="001A15B9" w:rsidRDefault="003D2F70" w:rsidP="00172E64">
      <w:pPr>
        <w:pStyle w:val="ListNumber"/>
        <w:numPr>
          <w:ilvl w:val="0"/>
          <w:numId w:val="160"/>
        </w:numPr>
        <w:tabs>
          <w:tab w:val="clear" w:pos="1872"/>
        </w:tabs>
        <w:spacing w:before="0"/>
        <w:jc w:val="both"/>
      </w:pPr>
      <w:r w:rsidRPr="00033E51">
        <w:t>Existing ground elevation of boring</w:t>
      </w:r>
    </w:p>
    <w:p w14:paraId="5A70D833" w14:textId="77777777" w:rsidR="001A15B9" w:rsidRDefault="003D2F70" w:rsidP="00172E64">
      <w:pPr>
        <w:pStyle w:val="ListNumber"/>
        <w:numPr>
          <w:ilvl w:val="0"/>
          <w:numId w:val="160"/>
        </w:numPr>
        <w:tabs>
          <w:tab w:val="clear" w:pos="1872"/>
        </w:tabs>
        <w:spacing w:before="0"/>
        <w:jc w:val="both"/>
      </w:pPr>
      <w:r>
        <w:t xml:space="preserve">Proposed </w:t>
      </w:r>
      <w:r w:rsidR="00E86A2C">
        <w:t>b</w:t>
      </w:r>
      <w:r>
        <w:t>ottom elevation of facility</w:t>
      </w:r>
    </w:p>
    <w:p w14:paraId="46908A6A" w14:textId="4A4AC4E4" w:rsidR="005F6516" w:rsidRDefault="00E86A2C" w:rsidP="00172E64">
      <w:pPr>
        <w:pStyle w:val="ListNumber"/>
        <w:numPr>
          <w:ilvl w:val="0"/>
          <w:numId w:val="160"/>
        </w:numPr>
        <w:tabs>
          <w:tab w:val="clear" w:pos="1872"/>
        </w:tabs>
        <w:spacing w:before="0"/>
        <w:jc w:val="both"/>
      </w:pPr>
      <w:r>
        <w:t>Proposed bottom of boring elevation</w:t>
      </w:r>
    </w:p>
    <w:p w14:paraId="43E3994A" w14:textId="77777777" w:rsidR="00CB68E4" w:rsidRDefault="00CB68E4" w:rsidP="00B738C4">
      <w:pPr>
        <w:pStyle w:val="ListNumber"/>
        <w:tabs>
          <w:tab w:val="clear" w:pos="720"/>
          <w:tab w:val="clear" w:pos="1872"/>
        </w:tabs>
        <w:spacing w:before="0"/>
        <w:ind w:left="2880" w:firstLine="0"/>
        <w:jc w:val="both"/>
      </w:pPr>
    </w:p>
    <w:p w14:paraId="1A26A186" w14:textId="10501E07" w:rsidR="003D2F70" w:rsidRPr="00033E51" w:rsidRDefault="003D2F70" w:rsidP="00172E64">
      <w:pPr>
        <w:pStyle w:val="ListNumber"/>
        <w:numPr>
          <w:ilvl w:val="0"/>
          <w:numId w:val="191"/>
        </w:numPr>
        <w:tabs>
          <w:tab w:val="clear" w:pos="1872"/>
          <w:tab w:val="left" w:pos="1080"/>
          <w:tab w:val="left" w:pos="1800"/>
        </w:tabs>
        <w:spacing w:before="0"/>
        <w:ind w:hanging="1872"/>
      </w:pPr>
      <w:r>
        <w:t>Verify the following information with the PM:</w:t>
      </w:r>
    </w:p>
    <w:p w14:paraId="74B1F6D2" w14:textId="3D1A81D2" w:rsidR="007F0FEB" w:rsidRDefault="005F6516" w:rsidP="00172E64">
      <w:pPr>
        <w:pStyle w:val="ListNumber"/>
        <w:numPr>
          <w:ilvl w:val="0"/>
          <w:numId w:val="161"/>
        </w:numPr>
        <w:tabs>
          <w:tab w:val="clear" w:pos="1872"/>
        </w:tabs>
        <w:jc w:val="both"/>
      </w:pPr>
      <w:r>
        <w:t>If geophysics or in</w:t>
      </w:r>
      <w:r w:rsidR="0018322C">
        <w:t>-</w:t>
      </w:r>
      <w:r>
        <w:t>situ tests will be completed</w:t>
      </w:r>
      <w:r w:rsidR="0018322C">
        <w:t>,</w:t>
      </w:r>
      <w:r>
        <w:t xml:space="preserve"> the boring spacing may be altered from th</w:t>
      </w:r>
      <w:r w:rsidR="001A3751">
        <w:t>at</w:t>
      </w:r>
      <w:r>
        <w:t xml:space="preserve"> stated herein based on the clarity and reliability of those results. The geophysical report should explain the geophysical findings in such a way that the PAGD Engineer understands </w:t>
      </w:r>
      <w:r w:rsidR="00BF07C2">
        <w:t xml:space="preserve">how they apply to the project. </w:t>
      </w:r>
      <w:r>
        <w:t>Borings may be added to clarify and ground-truth particular geophysical findings, and in a few cases, the number of borings may be reduced.</w:t>
      </w:r>
      <w:r w:rsidRPr="00D407DF">
        <w:t xml:space="preserve"> </w:t>
      </w:r>
    </w:p>
    <w:p w14:paraId="570F563D" w14:textId="4ED97F2A" w:rsidR="001A15B9" w:rsidRDefault="003D2F70" w:rsidP="00172E64">
      <w:pPr>
        <w:pStyle w:val="ListNumber"/>
        <w:numPr>
          <w:ilvl w:val="0"/>
          <w:numId w:val="161"/>
        </w:numPr>
        <w:tabs>
          <w:tab w:val="clear" w:pos="1872"/>
        </w:tabs>
        <w:jc w:val="both"/>
      </w:pPr>
      <w:r w:rsidRPr="005E38AE">
        <w:t xml:space="preserve">Generally, SWM borings are drilled to a depth of </w:t>
      </w:r>
      <w:r w:rsidR="0018322C">
        <w:t>4</w:t>
      </w:r>
      <w:r w:rsidR="0018322C" w:rsidRPr="005E38AE">
        <w:t xml:space="preserve"> </w:t>
      </w:r>
      <w:r>
        <w:t>ft</w:t>
      </w:r>
      <w:r w:rsidR="00853E37">
        <w:t>.</w:t>
      </w:r>
      <w:r w:rsidRPr="005E38AE">
        <w:t xml:space="preserve"> below the proposed bottom of infiltration facilities and </w:t>
      </w:r>
      <w:r w:rsidR="0018322C">
        <w:t>5</w:t>
      </w:r>
      <w:r w:rsidR="0018322C" w:rsidRPr="005E38AE">
        <w:t xml:space="preserve"> </w:t>
      </w:r>
      <w:r>
        <w:t>ft</w:t>
      </w:r>
      <w:r w:rsidR="00853E37">
        <w:t>.</w:t>
      </w:r>
      <w:r w:rsidRPr="005E38AE">
        <w:t xml:space="preserve"> below the proposed bottom of ponds, basins</w:t>
      </w:r>
      <w:r w:rsidR="0018322C">
        <w:t>,</w:t>
      </w:r>
      <w:r w:rsidRPr="005E38AE">
        <w:t xml:space="preserve"> and any unidentified</w:t>
      </w:r>
      <w:r>
        <w:t xml:space="preserve"> facilities.  Verify if these depths are sufficient. </w:t>
      </w:r>
    </w:p>
    <w:p w14:paraId="026C43B9" w14:textId="77777777" w:rsidR="001A15B9" w:rsidRDefault="003D2F70" w:rsidP="00172E64">
      <w:pPr>
        <w:pStyle w:val="ListNumber"/>
        <w:numPr>
          <w:ilvl w:val="0"/>
          <w:numId w:val="161"/>
        </w:numPr>
        <w:tabs>
          <w:tab w:val="clear" w:pos="1872"/>
        </w:tabs>
        <w:jc w:val="both"/>
      </w:pPr>
      <w:r>
        <w:t xml:space="preserve">Verify if the “bottom elevation” is the bottom </w:t>
      </w:r>
      <w:r w:rsidRPr="00AA026F">
        <w:t>of the boring or the bottom of the</w:t>
      </w:r>
      <w:r>
        <w:t xml:space="preserve"> SWM facility.</w:t>
      </w:r>
    </w:p>
    <w:p w14:paraId="0E6EB05B" w14:textId="08F04D0C" w:rsidR="001A15B9" w:rsidRDefault="003D2F70" w:rsidP="00172E64">
      <w:pPr>
        <w:pStyle w:val="ListNumber"/>
        <w:numPr>
          <w:ilvl w:val="0"/>
          <w:numId w:val="161"/>
        </w:numPr>
        <w:tabs>
          <w:tab w:val="clear" w:pos="1872"/>
        </w:tabs>
        <w:jc w:val="both"/>
      </w:pPr>
      <w:r>
        <w:t xml:space="preserve">Verify if In-Situ Permeability Tests will be </w:t>
      </w:r>
      <w:r w:rsidRPr="00AA026F">
        <w:t xml:space="preserve">required at </w:t>
      </w:r>
      <w:r>
        <w:t xml:space="preserve">the proposed SWM boring locations.  Inform PM that these are additional field tests and add time and cost to project.  </w:t>
      </w:r>
    </w:p>
    <w:p w14:paraId="4770439D" w14:textId="2D79D979" w:rsidR="001A15B9" w:rsidRDefault="003D2F70" w:rsidP="00172E64">
      <w:pPr>
        <w:pStyle w:val="ListNumber"/>
        <w:numPr>
          <w:ilvl w:val="0"/>
          <w:numId w:val="161"/>
        </w:numPr>
        <w:tabs>
          <w:tab w:val="clear" w:pos="1872"/>
        </w:tabs>
        <w:jc w:val="both"/>
      </w:pPr>
      <w:r>
        <w:t xml:space="preserve">In-Situ Permeability Tests are performed to determine the infiltration rates of the soil.  </w:t>
      </w:r>
      <w:r w:rsidR="0018322C" w:rsidRPr="0018322C">
        <w:t>Th</w:t>
      </w:r>
      <w:r w:rsidR="0018322C">
        <w:t>e</w:t>
      </w:r>
      <w:r w:rsidR="0018322C" w:rsidRPr="0018322C">
        <w:t>s</w:t>
      </w:r>
      <w:r w:rsidR="0018322C">
        <w:t>e</w:t>
      </w:r>
      <w:r w:rsidR="0018322C" w:rsidRPr="0018322C">
        <w:t xml:space="preserve"> </w:t>
      </w:r>
      <w:r w:rsidRPr="0018322C">
        <w:t>test</w:t>
      </w:r>
      <w:r w:rsidR="0018322C">
        <w:t>s</w:t>
      </w:r>
      <w:r w:rsidRPr="00B738C4">
        <w:t xml:space="preserve"> may not be able to be performed if the water table and/or saturated conditions are encountered within </w:t>
      </w:r>
      <w:r w:rsidR="0018322C">
        <w:t>4</w:t>
      </w:r>
      <w:r w:rsidR="0018322C" w:rsidRPr="00B738C4">
        <w:t xml:space="preserve"> </w:t>
      </w:r>
      <w:r w:rsidRPr="00B738C4">
        <w:t>ft</w:t>
      </w:r>
      <w:r w:rsidR="00853E37">
        <w:t>.</w:t>
      </w:r>
      <w:r w:rsidRPr="0018322C">
        <w:t xml:space="preserve"> (</w:t>
      </w:r>
      <w:r w:rsidR="0018322C">
        <w:t>2</w:t>
      </w:r>
      <w:r w:rsidR="0018322C" w:rsidRPr="00B738C4">
        <w:t xml:space="preserve"> </w:t>
      </w:r>
      <w:r w:rsidRPr="00B738C4">
        <w:t>ft</w:t>
      </w:r>
      <w:r w:rsidR="00853E37">
        <w:t>.</w:t>
      </w:r>
      <w:r w:rsidRPr="00B738C4">
        <w:t xml:space="preserve"> in District 1) below the bottom of the </w:t>
      </w:r>
      <w:smartTag w:uri="urn:schemas-microsoft-com:office:smarttags" w:element="stockticker">
        <w:r w:rsidRPr="00B738C4">
          <w:t>SWM</w:t>
        </w:r>
      </w:smartTag>
      <w:r w:rsidRPr="00B738C4">
        <w:t xml:space="preserve"> facility elevation.  </w:t>
      </w:r>
      <w:r>
        <w:t xml:space="preserve">In-Situ Permeability Tests should be performed for SWM </w:t>
      </w:r>
      <w:r w:rsidRPr="00B738C4">
        <w:t xml:space="preserve">Infiltration facilities.  </w:t>
      </w:r>
    </w:p>
    <w:p w14:paraId="38DEC37D" w14:textId="2A0903CA" w:rsidR="001A15B9" w:rsidRDefault="003D2F70" w:rsidP="00172E64">
      <w:pPr>
        <w:pStyle w:val="ListNumber"/>
        <w:numPr>
          <w:ilvl w:val="0"/>
          <w:numId w:val="161"/>
        </w:numPr>
        <w:tabs>
          <w:tab w:val="clear" w:pos="1872"/>
        </w:tabs>
        <w:jc w:val="both"/>
      </w:pPr>
      <w:r>
        <w:t>Verify if SPT borings will be required for headwalls, risers</w:t>
      </w:r>
      <w:r w:rsidR="0018322C">
        <w:t>,</w:t>
      </w:r>
      <w:r>
        <w:t xml:space="preserve"> or any other SWM facility structure.</w:t>
      </w:r>
      <w:r w:rsidRPr="00265B82">
        <w:t xml:space="preserve"> </w:t>
      </w:r>
      <w:r>
        <w:t xml:space="preserve">Inform PM that SPT borings add time and cost </w:t>
      </w:r>
      <w:r w:rsidR="0018322C">
        <w:t>to</w:t>
      </w:r>
      <w:r w:rsidR="0018322C" w:rsidDel="0018322C">
        <w:t xml:space="preserve"> </w:t>
      </w:r>
      <w:r>
        <w:t>project</w:t>
      </w:r>
      <w:r w:rsidR="00E86A2C">
        <w:t>. If PM requires SPT borings for reasons other than the SWM structures previously mentioned, ask reason for requiring SPT borings and discuss with Assistant Division Chief.  Document PM’s decision to take or not to take SPT borings and reason(s) for future reference.</w:t>
      </w:r>
    </w:p>
    <w:p w14:paraId="54FE6A00" w14:textId="77777777" w:rsidR="001A15B9" w:rsidRDefault="003D2F70" w:rsidP="00172E64">
      <w:pPr>
        <w:pStyle w:val="ListNumber"/>
        <w:numPr>
          <w:ilvl w:val="0"/>
          <w:numId w:val="161"/>
        </w:numPr>
        <w:tabs>
          <w:tab w:val="clear" w:pos="1872"/>
        </w:tabs>
        <w:jc w:val="both"/>
        <w:rPr>
          <w:i/>
        </w:rPr>
      </w:pPr>
      <w:r w:rsidRPr="00B738C4">
        <w:t xml:space="preserve">Verify if laboratory testing will be required.  See </w:t>
      </w:r>
      <w:hyperlink w:anchor="_Requests_for_Lab" w:history="1">
        <w:r w:rsidR="00731468" w:rsidRPr="00B738C4">
          <w:t>Requests for Lab Work</w:t>
        </w:r>
      </w:hyperlink>
      <w:r w:rsidRPr="005E38AE">
        <w:rPr>
          <w:spacing w:val="-3"/>
        </w:rPr>
        <w:t xml:space="preserve"> for further information on lab requests. </w:t>
      </w:r>
    </w:p>
    <w:p w14:paraId="3F3568CD" w14:textId="70DC5063" w:rsidR="001A15B9" w:rsidRDefault="007F0FEB" w:rsidP="00B738C4">
      <w:pPr>
        <w:pStyle w:val="ListNumber"/>
        <w:tabs>
          <w:tab w:val="clear" w:pos="720"/>
          <w:tab w:val="clear" w:pos="1872"/>
          <w:tab w:val="left" w:pos="1080"/>
        </w:tabs>
        <w:ind w:left="0" w:firstLine="0"/>
        <w:jc w:val="both"/>
      </w:pPr>
      <w:r>
        <w:t xml:space="preserve">Step 4. </w:t>
      </w:r>
      <w:r w:rsidR="0018322C">
        <w:tab/>
      </w:r>
      <w:r w:rsidR="003D2F70" w:rsidRPr="005E38AE">
        <w:t>Determine depth of borings</w:t>
      </w:r>
      <w:r w:rsidR="003D2F70">
        <w:t xml:space="preserve"> using the following guidelines</w:t>
      </w:r>
      <w:r w:rsidR="001A3751">
        <w:t>:</w:t>
      </w:r>
      <w:r w:rsidR="003D2F70" w:rsidRPr="005E38AE">
        <w:t xml:space="preserve">  </w:t>
      </w:r>
    </w:p>
    <w:p w14:paraId="7F026267" w14:textId="094F7956" w:rsidR="001A15B9" w:rsidRDefault="003D2F70" w:rsidP="00172E64">
      <w:pPr>
        <w:pStyle w:val="ListNumber"/>
        <w:numPr>
          <w:ilvl w:val="0"/>
          <w:numId w:val="162"/>
        </w:numPr>
        <w:tabs>
          <w:tab w:val="clear" w:pos="1872"/>
        </w:tabs>
        <w:jc w:val="both"/>
      </w:pPr>
      <w:r>
        <w:t>If bottom elevation</w:t>
      </w:r>
      <w:r w:rsidR="00A15C6B">
        <w:t xml:space="preserve"> of the </w:t>
      </w:r>
      <w:r w:rsidR="007F0FEB">
        <w:t xml:space="preserve">proposed </w:t>
      </w:r>
      <w:r w:rsidR="00A15C6B">
        <w:t>facility or structure</w:t>
      </w:r>
      <w:r>
        <w:t xml:space="preserve"> is </w:t>
      </w:r>
      <w:r w:rsidR="00A15C6B">
        <w:t xml:space="preserve">below </w:t>
      </w:r>
      <w:r>
        <w:t xml:space="preserve">the bottom </w:t>
      </w:r>
      <w:r w:rsidRPr="00AA026F">
        <w:t>of the boring</w:t>
      </w:r>
      <w:r>
        <w:t xml:space="preserve">, the boring </w:t>
      </w:r>
      <w:r w:rsidR="00A15C6B">
        <w:t xml:space="preserve">should be </w:t>
      </w:r>
      <w:r>
        <w:t>take</w:t>
      </w:r>
      <w:r w:rsidR="00A15C6B">
        <w:t>n</w:t>
      </w:r>
      <w:r>
        <w:t xml:space="preserve"> to the bottom elevation</w:t>
      </w:r>
      <w:r w:rsidR="00A15C6B">
        <w:t xml:space="preserve"> of the </w:t>
      </w:r>
      <w:r w:rsidR="007F0FEB">
        <w:t xml:space="preserve">proposed </w:t>
      </w:r>
      <w:r w:rsidR="00A15C6B">
        <w:t>facility or structure</w:t>
      </w:r>
      <w:r>
        <w:t xml:space="preserve">. If </w:t>
      </w:r>
      <w:r w:rsidRPr="00AA026F">
        <w:t xml:space="preserve">bottom </w:t>
      </w:r>
      <w:r>
        <w:t xml:space="preserve">elevation is the bottom </w:t>
      </w:r>
      <w:r w:rsidRPr="00AA026F">
        <w:t>of the practice/facility</w:t>
      </w:r>
      <w:r>
        <w:t>, then boring should be taken to at least 5 ft</w:t>
      </w:r>
      <w:r w:rsidR="00853E37">
        <w:t>.</w:t>
      </w:r>
      <w:r>
        <w:t xml:space="preserve"> below the bottom </w:t>
      </w:r>
      <w:r w:rsidRPr="00AA026F">
        <w:t>of the practice/facility</w:t>
      </w:r>
      <w:r>
        <w:t xml:space="preserve"> or to where rock is encountered. </w:t>
      </w:r>
    </w:p>
    <w:p w14:paraId="1985F2C5" w14:textId="77777777" w:rsidR="001A15B9" w:rsidRDefault="003D2F70" w:rsidP="00172E64">
      <w:pPr>
        <w:pStyle w:val="ListNumber"/>
        <w:numPr>
          <w:ilvl w:val="0"/>
          <w:numId w:val="162"/>
        </w:numPr>
        <w:tabs>
          <w:tab w:val="clear" w:pos="1872"/>
        </w:tabs>
        <w:jc w:val="both"/>
      </w:pPr>
      <w:r>
        <w:t xml:space="preserve">For SPT borings, the guidelines for depth and type of sampling are usually provided by the designer at the time of request. </w:t>
      </w:r>
    </w:p>
    <w:p w14:paraId="42BF3207" w14:textId="77777777" w:rsidR="003D2F70" w:rsidRPr="00AA026F" w:rsidRDefault="003D2F70" w:rsidP="00051DD6">
      <w:pPr>
        <w:pStyle w:val="ListNumber"/>
        <w:numPr>
          <w:ilvl w:val="12"/>
          <w:numId w:val="0"/>
        </w:numPr>
        <w:tabs>
          <w:tab w:val="clear" w:pos="1872"/>
        </w:tabs>
        <w:ind w:left="1080" w:hanging="1080"/>
        <w:jc w:val="both"/>
      </w:pPr>
    </w:p>
    <w:p w14:paraId="3BEF14CE" w14:textId="77777777" w:rsidR="003D2F70" w:rsidRDefault="003D2F70" w:rsidP="00B738C4">
      <w:pPr>
        <w:pStyle w:val="Heading5"/>
        <w:tabs>
          <w:tab w:val="clear" w:pos="1080"/>
          <w:tab w:val="left" w:pos="1800"/>
        </w:tabs>
        <w:ind w:left="0" w:firstLine="0"/>
      </w:pPr>
      <w:r>
        <w:lastRenderedPageBreak/>
        <w:t xml:space="preserve">Prepare and Submit </w:t>
      </w:r>
      <w:r w:rsidRPr="00316117">
        <w:t>Request Forms</w:t>
      </w:r>
    </w:p>
    <w:p w14:paraId="5DFDE9A4" w14:textId="7114D3B3" w:rsidR="001A15B9" w:rsidRDefault="003D2F70" w:rsidP="00172E64">
      <w:pPr>
        <w:pStyle w:val="ListNumber"/>
        <w:numPr>
          <w:ilvl w:val="0"/>
          <w:numId w:val="155"/>
        </w:numPr>
        <w:tabs>
          <w:tab w:val="clear" w:pos="1872"/>
          <w:tab w:val="num" w:pos="1080"/>
        </w:tabs>
        <w:ind w:left="1080" w:hanging="1080"/>
        <w:jc w:val="both"/>
      </w:pPr>
      <w:r w:rsidRPr="00A7627A">
        <w:t>Prepare form PAGD – Soil Survey Request and form PAGD</w:t>
      </w:r>
      <w:r w:rsidR="0018322C">
        <w:t xml:space="preserve"> – </w:t>
      </w:r>
      <w:r w:rsidRPr="00A7627A">
        <w:t>Soil</w:t>
      </w:r>
      <w:r>
        <w:t xml:space="preserve"> Survey Notes. </w:t>
      </w:r>
      <w:r w:rsidRPr="00A7627A">
        <w:t xml:space="preserve">See </w:t>
      </w:r>
      <w:hyperlink w:anchor="_Forms,_Spreadsheets_&amp;" w:history="1">
        <w:r w:rsidR="00741EDE">
          <w:rPr>
            <w:rStyle w:val="Hyperlink"/>
          </w:rPr>
          <w:t>Forms, Spreadsheets &amp; Guidelines</w:t>
        </w:r>
      </w:hyperlink>
      <w:r w:rsidRPr="00A7627A">
        <w:t xml:space="preserve"> for form PAGD – Soil Survey Request, form PAGD</w:t>
      </w:r>
      <w:r w:rsidR="0018322C">
        <w:t xml:space="preserve"> – </w:t>
      </w:r>
      <w:r w:rsidRPr="00A7627A">
        <w:t>Soil Survey Notes, and examples of soil survey request and soil survey notes</w:t>
      </w:r>
      <w:r>
        <w:t>.</w:t>
      </w:r>
      <w:r w:rsidRPr="00A7627A">
        <w:t xml:space="preserve"> The Soil Survey Notes form is for reference only and should be revised </w:t>
      </w:r>
      <w:r w:rsidR="0018322C">
        <w:t>for</w:t>
      </w:r>
      <w:r w:rsidR="0018322C" w:rsidRPr="00A7627A">
        <w:t xml:space="preserve"> </w:t>
      </w:r>
      <w:r w:rsidRPr="00A7627A">
        <w:t>the project in consideration.</w:t>
      </w:r>
    </w:p>
    <w:p w14:paraId="70F92B5E" w14:textId="791564B1" w:rsidR="001A15B9" w:rsidRDefault="003D2F70" w:rsidP="00172E64">
      <w:pPr>
        <w:pStyle w:val="ListNumber"/>
        <w:numPr>
          <w:ilvl w:val="0"/>
          <w:numId w:val="155"/>
        </w:numPr>
        <w:ind w:left="1080" w:hanging="1080"/>
        <w:jc w:val="both"/>
      </w:pPr>
      <w:r w:rsidRPr="003A0262">
        <w:t xml:space="preserve">Attempt to include requests for </w:t>
      </w:r>
      <w:r>
        <w:t xml:space="preserve">soil survey, </w:t>
      </w:r>
      <w:r w:rsidRPr="003A0262">
        <w:t>SW</w:t>
      </w:r>
      <w:r w:rsidRPr="00D10689">
        <w:t xml:space="preserve">M </w:t>
      </w:r>
      <w:r>
        <w:t>borings</w:t>
      </w:r>
      <w:r w:rsidR="0018322C">
        <w:t>,</w:t>
      </w:r>
      <w:r>
        <w:t xml:space="preserve"> and SPT</w:t>
      </w:r>
      <w:r w:rsidRPr="00D10689">
        <w:t xml:space="preserve"> boring</w:t>
      </w:r>
      <w:r w:rsidRPr="003A0262">
        <w:t xml:space="preserve">s in </w:t>
      </w:r>
      <w:r>
        <w:t xml:space="preserve">the </w:t>
      </w:r>
      <w:r w:rsidRPr="003A0262">
        <w:t xml:space="preserve">same </w:t>
      </w:r>
      <w:r>
        <w:t xml:space="preserve">request </w:t>
      </w:r>
      <w:r w:rsidRPr="003A0262">
        <w:t>package, if possible.</w:t>
      </w:r>
    </w:p>
    <w:p w14:paraId="2201997B" w14:textId="470A5C43" w:rsidR="001A15B9" w:rsidRDefault="003D2F70" w:rsidP="00172E64">
      <w:pPr>
        <w:pStyle w:val="ListNumber"/>
        <w:numPr>
          <w:ilvl w:val="0"/>
          <w:numId w:val="155"/>
        </w:numPr>
        <w:ind w:left="1080" w:hanging="1080"/>
        <w:jc w:val="both"/>
      </w:pPr>
      <w:r w:rsidRPr="00A7627A">
        <w:t>Submit completed form PAGD – Soil Survey Request and form PAGD</w:t>
      </w:r>
      <w:r w:rsidR="0018322C">
        <w:t xml:space="preserve"> – </w:t>
      </w:r>
      <w:r w:rsidRPr="00A7627A">
        <w:t>Soil Survey Notes to PAGD TL for review</w:t>
      </w:r>
      <w:r>
        <w:t>.</w:t>
      </w:r>
    </w:p>
    <w:p w14:paraId="3269BF8D" w14:textId="67BE183A" w:rsidR="001A15B9" w:rsidRDefault="003D2F70" w:rsidP="00172E64">
      <w:pPr>
        <w:pStyle w:val="ListNumber"/>
        <w:numPr>
          <w:ilvl w:val="0"/>
          <w:numId w:val="155"/>
        </w:numPr>
        <w:ind w:left="1080" w:hanging="1080"/>
        <w:jc w:val="both"/>
      </w:pPr>
      <w:r w:rsidRPr="00754F04">
        <w:t>If approved by PAGD TL, submit two copies of form PAGD – Soil Survey Request and form PAGD</w:t>
      </w:r>
      <w:r w:rsidR="0018322C">
        <w:t xml:space="preserve"> – </w:t>
      </w:r>
      <w:r w:rsidRPr="00754F04">
        <w:t>Soil Survey Notes to PAGD TL for review.  Provide two copies of the request letter (</w:t>
      </w:r>
      <w:r w:rsidR="0018322C">
        <w:t>f</w:t>
      </w:r>
      <w:r w:rsidRPr="00754F04">
        <w:t>rom OHD, OOS, District, etc.) and two copies of the plan sheets (with cross-sections, if available) to FED.</w:t>
      </w:r>
    </w:p>
    <w:p w14:paraId="1DE66316" w14:textId="77777777" w:rsidR="001A15B9" w:rsidRDefault="003D2F70" w:rsidP="00172E64">
      <w:pPr>
        <w:pStyle w:val="ListNumber"/>
        <w:numPr>
          <w:ilvl w:val="0"/>
          <w:numId w:val="155"/>
        </w:numPr>
        <w:ind w:left="1080" w:hanging="1080"/>
        <w:jc w:val="both"/>
      </w:pPr>
      <w:r w:rsidRPr="00001EA3">
        <w:t xml:space="preserve">Request a boring stake-out through the </w:t>
      </w:r>
      <w:r>
        <w:t>PM.  Provide the PM with a tabulated list</w:t>
      </w:r>
      <w:r w:rsidRPr="00001EA3">
        <w:t xml:space="preserve"> of borings including boring numbers, locations (station</w:t>
      </w:r>
      <w:r>
        <w:t>, o</w:t>
      </w:r>
      <w:r w:rsidRPr="00001EA3">
        <w:t xml:space="preserve">ffset, </w:t>
      </w:r>
      <w:r>
        <w:t xml:space="preserve">and </w:t>
      </w:r>
      <w:r w:rsidRPr="00001EA3">
        <w:t>coordinates).</w:t>
      </w:r>
    </w:p>
    <w:p w14:paraId="3D83EE1C" w14:textId="77777777" w:rsidR="003D2F70" w:rsidRPr="00D67070" w:rsidRDefault="003D2F70" w:rsidP="00BE3F24">
      <w:pPr>
        <w:pStyle w:val="Heading3"/>
        <w:ind w:left="0" w:firstLine="0"/>
      </w:pPr>
      <w:bookmarkStart w:id="139" w:name="_Standard_Penetration_Test"/>
      <w:bookmarkStart w:id="140" w:name="S3_08_03"/>
      <w:bookmarkEnd w:id="139"/>
      <w:r w:rsidRPr="00D67070">
        <w:t>S</w:t>
      </w:r>
      <w:r w:rsidR="00741EDE">
        <w:t xml:space="preserve">tandard </w:t>
      </w:r>
      <w:r>
        <w:t>P</w:t>
      </w:r>
      <w:r w:rsidR="00741EDE">
        <w:t>enetration Test</w:t>
      </w:r>
      <w:r>
        <w:t xml:space="preserve"> (SPT) </w:t>
      </w:r>
      <w:r w:rsidRPr="00D67070">
        <w:t>Boring Request</w:t>
      </w:r>
      <w:r>
        <w:t xml:space="preserve"> </w:t>
      </w:r>
    </w:p>
    <w:p w14:paraId="3F57E77C" w14:textId="03D10E2F" w:rsidR="003D2F70" w:rsidRDefault="003D2F70" w:rsidP="00BE3F24">
      <w:pPr>
        <w:pStyle w:val="Heading4"/>
        <w:ind w:left="0" w:firstLine="0"/>
      </w:pPr>
      <w:r>
        <w:t>Gene</w:t>
      </w:r>
      <w:bookmarkEnd w:id="140"/>
      <w:r>
        <w:t>ral</w:t>
      </w:r>
    </w:p>
    <w:p w14:paraId="573B89C8" w14:textId="36062D56" w:rsidR="00131E55" w:rsidRDefault="003D2F70" w:rsidP="00BE3F24">
      <w:pPr>
        <w:autoSpaceDE w:val="0"/>
        <w:autoSpaceDN w:val="0"/>
        <w:adjustRightInd w:val="0"/>
        <w:jc w:val="both"/>
        <w:rPr>
          <w:rFonts w:ascii="Arial" w:hAnsi="Arial" w:cs="Arial"/>
          <w:sz w:val="22"/>
          <w:szCs w:val="22"/>
        </w:rPr>
      </w:pPr>
      <w:r w:rsidRPr="009C54E2">
        <w:rPr>
          <w:rFonts w:ascii="Arial" w:hAnsi="Arial" w:cs="Arial"/>
          <w:sz w:val="22"/>
          <w:szCs w:val="22"/>
        </w:rPr>
        <w:t xml:space="preserve">A very common in-situ test in geotechnical explorations is the Standard Penetration Test (SPT) (AASHTO T206, </w:t>
      </w:r>
      <w:smartTag w:uri="urn:schemas-microsoft-com:office:smarttags" w:element="stockticker">
        <w:r w:rsidRPr="009C54E2">
          <w:rPr>
            <w:rFonts w:ascii="Arial" w:hAnsi="Arial" w:cs="Arial"/>
            <w:sz w:val="22"/>
            <w:szCs w:val="22"/>
          </w:rPr>
          <w:t>ASTM</w:t>
        </w:r>
      </w:smartTag>
      <w:r w:rsidRPr="009C54E2">
        <w:rPr>
          <w:rFonts w:ascii="Arial" w:hAnsi="Arial" w:cs="Arial"/>
          <w:sz w:val="22"/>
          <w:szCs w:val="22"/>
        </w:rPr>
        <w:t xml:space="preserve"> D1586). The SPT is a simple and rugged test suitable for most soil types except gravel</w:t>
      </w:r>
      <w:r w:rsidR="0018322C">
        <w:rPr>
          <w:rFonts w:ascii="Arial" w:hAnsi="Arial" w:cs="Arial"/>
          <w:sz w:val="22"/>
          <w:szCs w:val="22"/>
        </w:rPr>
        <w:t>,</w:t>
      </w:r>
      <w:r w:rsidRPr="009C54E2">
        <w:rPr>
          <w:rFonts w:ascii="Arial" w:hAnsi="Arial" w:cs="Arial"/>
          <w:sz w:val="22"/>
          <w:szCs w:val="22"/>
        </w:rPr>
        <w:t xml:space="preserve"> and is usually performed using a conventional geotechnical drill rig.  SPTs using a conventional drill rig </w:t>
      </w:r>
      <w:r w:rsidR="0018322C">
        <w:rPr>
          <w:rFonts w:ascii="Arial" w:hAnsi="Arial" w:cs="Arial"/>
          <w:sz w:val="22"/>
          <w:szCs w:val="22"/>
        </w:rPr>
        <w:t>are</w:t>
      </w:r>
      <w:r w:rsidR="0018322C" w:rsidRPr="009C54E2">
        <w:rPr>
          <w:rFonts w:ascii="Arial" w:hAnsi="Arial" w:cs="Arial"/>
          <w:sz w:val="22"/>
          <w:szCs w:val="22"/>
        </w:rPr>
        <w:t xml:space="preserve"> </w:t>
      </w:r>
      <w:r w:rsidRPr="009C54E2">
        <w:rPr>
          <w:rFonts w:ascii="Arial" w:hAnsi="Arial" w:cs="Arial"/>
          <w:sz w:val="22"/>
          <w:szCs w:val="22"/>
        </w:rPr>
        <w:t xml:space="preserve">recommended for essentially all subsurface investigations since a disturbed sample can be obtained for baseline soil property interpretation. The test provides an approximate index of the relative strength and compressibility of the soil at the boring location. </w:t>
      </w:r>
    </w:p>
    <w:p w14:paraId="7F16A549" w14:textId="77777777" w:rsidR="00131E55" w:rsidRDefault="00131E55" w:rsidP="00BE3F24">
      <w:pPr>
        <w:autoSpaceDE w:val="0"/>
        <w:autoSpaceDN w:val="0"/>
        <w:adjustRightInd w:val="0"/>
        <w:jc w:val="both"/>
        <w:rPr>
          <w:rFonts w:ascii="Arial" w:hAnsi="Arial" w:cs="Arial"/>
          <w:sz w:val="22"/>
          <w:szCs w:val="22"/>
        </w:rPr>
      </w:pPr>
    </w:p>
    <w:p w14:paraId="2A584C8D" w14:textId="4EDB1FB8" w:rsidR="003D2F70" w:rsidRPr="009C54E2" w:rsidRDefault="003D2F70" w:rsidP="00BE3F24">
      <w:pPr>
        <w:autoSpaceDE w:val="0"/>
        <w:autoSpaceDN w:val="0"/>
        <w:adjustRightInd w:val="0"/>
        <w:jc w:val="both"/>
        <w:rPr>
          <w:rFonts w:ascii="Arial" w:hAnsi="Arial" w:cs="Arial"/>
          <w:sz w:val="22"/>
          <w:szCs w:val="22"/>
        </w:rPr>
      </w:pPr>
      <w:r w:rsidRPr="009C54E2">
        <w:rPr>
          <w:rFonts w:ascii="Arial" w:hAnsi="Arial" w:cs="Arial"/>
          <w:sz w:val="22"/>
          <w:szCs w:val="22"/>
        </w:rPr>
        <w:t>Two types of SPT sampling used include Discrete and Continuous sampling. Discrete sampling is the common type of sampling performed which is usually taken at 5</w:t>
      </w:r>
      <w:r w:rsidR="0018322C">
        <w:rPr>
          <w:rFonts w:ascii="Arial" w:hAnsi="Arial" w:cs="Arial"/>
          <w:sz w:val="22"/>
          <w:szCs w:val="22"/>
        </w:rPr>
        <w:t>-</w:t>
      </w:r>
      <w:r w:rsidRPr="009C54E2">
        <w:rPr>
          <w:rFonts w:ascii="Arial" w:hAnsi="Arial" w:cs="Arial"/>
          <w:sz w:val="22"/>
          <w:szCs w:val="22"/>
        </w:rPr>
        <w:t>ft</w:t>
      </w:r>
      <w:r w:rsidR="001A3751">
        <w:rPr>
          <w:rFonts w:ascii="Arial" w:hAnsi="Arial" w:cs="Arial"/>
          <w:sz w:val="22"/>
          <w:szCs w:val="22"/>
        </w:rPr>
        <w:t>.</w:t>
      </w:r>
      <w:r w:rsidRPr="009C54E2">
        <w:rPr>
          <w:rFonts w:ascii="Arial" w:hAnsi="Arial" w:cs="Arial"/>
          <w:sz w:val="22"/>
          <w:szCs w:val="22"/>
        </w:rPr>
        <w:t xml:space="preserve"> intervals or at the material change until the desired depth is reached. Continuous sampling is performed by cleaning the borehole to the sampled interval and then obtaining another SPT sample at that depth. This approach provides an almost continuous sample profile and is recommended where more detailed subsurface information is needed</w:t>
      </w:r>
      <w:r w:rsidR="00131E55">
        <w:rPr>
          <w:rFonts w:ascii="Arial" w:hAnsi="Arial" w:cs="Arial"/>
          <w:sz w:val="22"/>
          <w:szCs w:val="22"/>
        </w:rPr>
        <w:t>, such as where structures will be constructed</w:t>
      </w:r>
      <w:r w:rsidRPr="009C54E2">
        <w:rPr>
          <w:rFonts w:ascii="Arial" w:hAnsi="Arial" w:cs="Arial"/>
          <w:sz w:val="22"/>
          <w:szCs w:val="22"/>
        </w:rPr>
        <w:t xml:space="preserve">.  </w:t>
      </w:r>
      <w:r w:rsidR="000D5D5A">
        <w:rPr>
          <w:rFonts w:ascii="Arial" w:hAnsi="Arial" w:cs="Arial"/>
          <w:sz w:val="22"/>
          <w:szCs w:val="22"/>
        </w:rPr>
        <w:t xml:space="preserve">Figure </w:t>
      </w:r>
      <w:r w:rsidR="0018322C">
        <w:rPr>
          <w:rFonts w:ascii="Arial" w:hAnsi="Arial" w:cs="Arial"/>
          <w:sz w:val="22"/>
          <w:szCs w:val="22"/>
        </w:rPr>
        <w:t>8</w:t>
      </w:r>
      <w:r w:rsidR="00131E55" w:rsidRPr="00131E55">
        <w:rPr>
          <w:rFonts w:ascii="Arial" w:hAnsi="Arial" w:cs="Arial"/>
          <w:sz w:val="22"/>
          <w:szCs w:val="22"/>
        </w:rPr>
        <w:t xml:space="preserve"> below depicts the general process of traditional SPT drilling, sampling</w:t>
      </w:r>
      <w:r w:rsidR="0018322C">
        <w:rPr>
          <w:rFonts w:ascii="Arial" w:hAnsi="Arial" w:cs="Arial"/>
          <w:sz w:val="22"/>
          <w:szCs w:val="22"/>
        </w:rPr>
        <w:t>,</w:t>
      </w:r>
      <w:r w:rsidR="00131E55" w:rsidRPr="00131E55">
        <w:rPr>
          <w:rFonts w:ascii="Arial" w:hAnsi="Arial" w:cs="Arial"/>
          <w:sz w:val="22"/>
          <w:szCs w:val="22"/>
        </w:rPr>
        <w:t xml:space="preserve"> and laboratory testing of collected samples.</w:t>
      </w:r>
    </w:p>
    <w:p w14:paraId="187D8229" w14:textId="77777777" w:rsidR="003D2F70" w:rsidRPr="009C54E2" w:rsidRDefault="003D2F70" w:rsidP="00916953"/>
    <w:p w14:paraId="21F71692" w14:textId="77777777" w:rsidR="003D2F70" w:rsidRPr="009C54E2" w:rsidRDefault="003D2F70" w:rsidP="00BE3F24">
      <w:pPr>
        <w:tabs>
          <w:tab w:val="left" w:pos="1917"/>
        </w:tabs>
        <w:jc w:val="both"/>
        <w:rPr>
          <w:rFonts w:ascii="Arial" w:hAnsi="Arial" w:cs="Arial"/>
          <w:sz w:val="22"/>
          <w:szCs w:val="22"/>
        </w:rPr>
      </w:pPr>
      <w:r w:rsidRPr="009C54E2">
        <w:rPr>
          <w:rFonts w:ascii="Arial" w:hAnsi="Arial" w:cs="Arial"/>
          <w:sz w:val="22"/>
          <w:szCs w:val="22"/>
        </w:rPr>
        <w:t xml:space="preserve">Timeframe:  Estimate </w:t>
      </w:r>
      <w:r w:rsidR="00ED16A4">
        <w:rPr>
          <w:rFonts w:ascii="Arial" w:hAnsi="Arial" w:cs="Arial"/>
          <w:sz w:val="22"/>
          <w:szCs w:val="22"/>
        </w:rPr>
        <w:t>6</w:t>
      </w:r>
      <w:r w:rsidR="00ED16A4" w:rsidRPr="009C54E2">
        <w:rPr>
          <w:rFonts w:ascii="Arial" w:hAnsi="Arial" w:cs="Arial"/>
          <w:sz w:val="22"/>
          <w:szCs w:val="22"/>
        </w:rPr>
        <w:t xml:space="preserve"> </w:t>
      </w:r>
      <w:r w:rsidRPr="009C54E2">
        <w:rPr>
          <w:rFonts w:ascii="Arial" w:hAnsi="Arial" w:cs="Arial"/>
          <w:sz w:val="22"/>
          <w:szCs w:val="22"/>
        </w:rPr>
        <w:t>months from the time the boring request is submitted to FED. This applies whether the project has 5 borings or 50 borings.</w:t>
      </w:r>
      <w:r w:rsidR="005914B6">
        <w:rPr>
          <w:rFonts w:ascii="Arial" w:hAnsi="Arial" w:cs="Arial"/>
          <w:sz w:val="22"/>
          <w:szCs w:val="22"/>
        </w:rPr>
        <w:t xml:space="preserve">  Actual timeframes should be discussed with FED and the requesting office.</w:t>
      </w:r>
    </w:p>
    <w:p w14:paraId="1F2990F2" w14:textId="77777777" w:rsidR="003D2F70" w:rsidRPr="006866EF" w:rsidRDefault="003D2F70" w:rsidP="00BE3F24">
      <w:pPr>
        <w:tabs>
          <w:tab w:val="left" w:pos="1917"/>
        </w:tabs>
        <w:rPr>
          <w:rFonts w:ascii="Arial" w:hAnsi="Arial" w:cs="Arial"/>
        </w:rPr>
      </w:pPr>
    </w:p>
    <w:p w14:paraId="3540F88B" w14:textId="7959603A" w:rsidR="003D2F70" w:rsidRDefault="00690231" w:rsidP="00BE3F24">
      <w:pPr>
        <w:tabs>
          <w:tab w:val="left" w:pos="7605"/>
        </w:tabs>
      </w:pPr>
      <w:r>
        <w:object w:dxaOrig="13678" w:dyaOrig="9569" w14:anchorId="301564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Traditional Drilling, Sampling, and Laboratory Testing of Collected Samples diagram" style="width:411pt;height:359.8pt" o:ole="">
            <v:imagedata r:id="rId107" o:title=""/>
          </v:shape>
          <o:OLEObject Type="Embed" ProgID="MSPhotoEd.3" ShapeID="_x0000_i1025" DrawAspect="Content" ObjectID="_1843118233" r:id="rId108"/>
        </w:object>
      </w:r>
    </w:p>
    <w:p w14:paraId="323A79B0" w14:textId="2EAE349E" w:rsidR="00120E9E" w:rsidRDefault="003D2F70" w:rsidP="0018322C">
      <w:pPr>
        <w:pStyle w:val="BodyText"/>
        <w:spacing w:after="0"/>
        <w:jc w:val="center"/>
        <w:rPr>
          <w:b/>
        </w:rPr>
      </w:pPr>
      <w:r w:rsidRPr="0018322C">
        <w:rPr>
          <w:b/>
        </w:rPr>
        <w:t xml:space="preserve">Figure </w:t>
      </w:r>
      <w:r w:rsidR="0018322C" w:rsidRPr="0018322C">
        <w:rPr>
          <w:b/>
        </w:rPr>
        <w:t>8:</w:t>
      </w:r>
      <w:r w:rsidRPr="0018322C">
        <w:rPr>
          <w:b/>
        </w:rPr>
        <w:t xml:space="preserve"> Traditional </w:t>
      </w:r>
      <w:r w:rsidR="002F7036" w:rsidRPr="0018322C">
        <w:rPr>
          <w:b/>
        </w:rPr>
        <w:t>Drilling, Sam</w:t>
      </w:r>
      <w:r w:rsidRPr="0018322C">
        <w:rPr>
          <w:b/>
        </w:rPr>
        <w:t xml:space="preserve">pling, and </w:t>
      </w:r>
      <w:r w:rsidR="002F7036" w:rsidRPr="0018322C">
        <w:rPr>
          <w:b/>
        </w:rPr>
        <w:t>Laboratory Testing</w:t>
      </w:r>
      <w:r w:rsidRPr="0018322C">
        <w:rPr>
          <w:b/>
        </w:rPr>
        <w:t xml:space="preserve"> of </w:t>
      </w:r>
      <w:r w:rsidR="002F7036">
        <w:rPr>
          <w:b/>
        </w:rPr>
        <w:t>C</w:t>
      </w:r>
      <w:r w:rsidRPr="0018322C">
        <w:rPr>
          <w:b/>
        </w:rPr>
        <w:t xml:space="preserve">ollected </w:t>
      </w:r>
      <w:r w:rsidR="002F7036">
        <w:rPr>
          <w:b/>
        </w:rPr>
        <w:t>S</w:t>
      </w:r>
      <w:r w:rsidRPr="0018322C">
        <w:rPr>
          <w:b/>
        </w:rPr>
        <w:t>amples</w:t>
      </w:r>
      <w:r w:rsidR="002F7036">
        <w:rPr>
          <w:b/>
        </w:rPr>
        <w:t xml:space="preserve"> </w:t>
      </w:r>
      <w:r w:rsidRPr="0018322C">
        <w:rPr>
          <w:b/>
        </w:rPr>
        <w:t>(Courtesy</w:t>
      </w:r>
      <w:r w:rsidR="002F7036">
        <w:rPr>
          <w:b/>
        </w:rPr>
        <w:t xml:space="preserve">: </w:t>
      </w:r>
      <w:r w:rsidRPr="0018322C">
        <w:rPr>
          <w:b/>
        </w:rPr>
        <w:t xml:space="preserve"> FHWA-IF-02-034, Geotechnical Engineering </w:t>
      </w:r>
    </w:p>
    <w:p w14:paraId="43DA7336" w14:textId="085B2365" w:rsidR="003D2F70" w:rsidRPr="00B738C4" w:rsidRDefault="003D2F70" w:rsidP="006336A5">
      <w:pPr>
        <w:pStyle w:val="BodyText"/>
        <w:spacing w:after="0"/>
        <w:jc w:val="center"/>
        <w:rPr>
          <w:b/>
        </w:rPr>
      </w:pPr>
      <w:r w:rsidRPr="00B738C4">
        <w:rPr>
          <w:b/>
        </w:rPr>
        <w:t>Circular No. 5, Evaluation of Soil and Rock Properties)</w:t>
      </w:r>
    </w:p>
    <w:p w14:paraId="07A3C56A" w14:textId="77777777" w:rsidR="00EA40D9" w:rsidRDefault="00EA40D9" w:rsidP="00EA40D9">
      <w:pPr>
        <w:pStyle w:val="BodyText"/>
        <w:spacing w:after="0"/>
        <w:jc w:val="both"/>
      </w:pPr>
    </w:p>
    <w:p w14:paraId="04615F94" w14:textId="77777777" w:rsidR="00EA40D9" w:rsidRPr="00D67070" w:rsidRDefault="00EA40D9" w:rsidP="00EA40D9">
      <w:pPr>
        <w:pStyle w:val="Heading4"/>
        <w:ind w:left="0" w:firstLine="0"/>
      </w:pPr>
      <w:r w:rsidRPr="00D67070">
        <w:t>Purpose</w:t>
      </w:r>
    </w:p>
    <w:p w14:paraId="74AFACCA" w14:textId="28E09B38" w:rsidR="001A3751" w:rsidRDefault="00EA40D9" w:rsidP="00EA40D9">
      <w:pPr>
        <w:pStyle w:val="BodyText"/>
        <w:spacing w:after="0"/>
      </w:pPr>
      <w:r>
        <w:t>SPTs are needed to</w:t>
      </w:r>
      <w:r w:rsidRPr="00D67070">
        <w:t>:</w:t>
      </w:r>
    </w:p>
    <w:p w14:paraId="42248C81" w14:textId="77777777" w:rsidR="00FB0D3F" w:rsidRPr="00D67070" w:rsidRDefault="00FB0D3F" w:rsidP="00EA40D9">
      <w:pPr>
        <w:pStyle w:val="BodyText"/>
        <w:spacing w:after="0"/>
      </w:pPr>
    </w:p>
    <w:p w14:paraId="5884F2C8" w14:textId="77777777" w:rsidR="00EA40D9" w:rsidRPr="00B738C4" w:rsidRDefault="00EA40D9" w:rsidP="00172E64">
      <w:pPr>
        <w:pStyle w:val="ListParagraph"/>
        <w:numPr>
          <w:ilvl w:val="0"/>
          <w:numId w:val="84"/>
        </w:numPr>
        <w:ind w:left="720" w:hanging="720"/>
        <w:jc w:val="both"/>
        <w:rPr>
          <w:rFonts w:ascii="Arial" w:hAnsi="Arial"/>
          <w:sz w:val="22"/>
        </w:rPr>
      </w:pPr>
      <w:r w:rsidRPr="00B738C4">
        <w:rPr>
          <w:rFonts w:ascii="Arial" w:hAnsi="Arial"/>
          <w:sz w:val="22"/>
        </w:rPr>
        <w:t>Obtain qualitative evaluation of compactness</w:t>
      </w:r>
    </w:p>
    <w:p w14:paraId="7F62C1BD" w14:textId="77777777" w:rsidR="00EA40D9" w:rsidRPr="00B738C4" w:rsidRDefault="00EA40D9" w:rsidP="00172E64">
      <w:pPr>
        <w:pStyle w:val="ListParagraph"/>
        <w:numPr>
          <w:ilvl w:val="0"/>
          <w:numId w:val="84"/>
        </w:numPr>
        <w:ind w:left="720" w:hanging="720"/>
        <w:jc w:val="both"/>
        <w:rPr>
          <w:rFonts w:ascii="Arial" w:hAnsi="Arial"/>
          <w:sz w:val="22"/>
        </w:rPr>
      </w:pPr>
      <w:r w:rsidRPr="00B738C4">
        <w:rPr>
          <w:rFonts w:ascii="Arial" w:hAnsi="Arial"/>
          <w:sz w:val="22"/>
        </w:rPr>
        <w:t>Obtain qualitative comparison of subsoil stratification</w:t>
      </w:r>
    </w:p>
    <w:p w14:paraId="0AAF5CC2" w14:textId="7BC227C5" w:rsidR="00EA40D9" w:rsidRPr="00B738C4" w:rsidRDefault="00EA40D9" w:rsidP="00172E64">
      <w:pPr>
        <w:pStyle w:val="ListParagraph"/>
        <w:numPr>
          <w:ilvl w:val="0"/>
          <w:numId w:val="84"/>
        </w:numPr>
        <w:ind w:left="720" w:hanging="720"/>
        <w:jc w:val="both"/>
        <w:rPr>
          <w:rFonts w:ascii="Arial" w:hAnsi="Arial"/>
          <w:sz w:val="22"/>
        </w:rPr>
      </w:pPr>
      <w:r w:rsidRPr="00B738C4">
        <w:rPr>
          <w:rFonts w:ascii="Arial" w:hAnsi="Arial"/>
          <w:sz w:val="22"/>
        </w:rPr>
        <w:t xml:space="preserve">Obtain </w:t>
      </w:r>
      <w:r w:rsidR="0097239F">
        <w:rPr>
          <w:rFonts w:ascii="Arial" w:hAnsi="Arial" w:cs="Arial"/>
          <w:sz w:val="22"/>
          <w:szCs w:val="22"/>
        </w:rPr>
        <w:t>physical and</w:t>
      </w:r>
      <w:r w:rsidR="0097239F" w:rsidRPr="00B738C4">
        <w:rPr>
          <w:rFonts w:ascii="Arial" w:hAnsi="Arial"/>
          <w:sz w:val="22"/>
        </w:rPr>
        <w:t xml:space="preserve"> </w:t>
      </w:r>
      <w:r w:rsidRPr="00B738C4">
        <w:rPr>
          <w:rFonts w:ascii="Arial" w:hAnsi="Arial"/>
          <w:sz w:val="22"/>
        </w:rPr>
        <w:t xml:space="preserve">mechanical properties of </w:t>
      </w:r>
      <w:r w:rsidRPr="006F24C9">
        <w:rPr>
          <w:rFonts w:ascii="Arial" w:hAnsi="Arial" w:cs="Arial"/>
          <w:sz w:val="22"/>
          <w:szCs w:val="22"/>
        </w:rPr>
        <w:t>subsoils</w:t>
      </w:r>
    </w:p>
    <w:p w14:paraId="048643F0" w14:textId="627C9B90" w:rsidR="00EA40D9" w:rsidRPr="00B738C4" w:rsidRDefault="00EA40D9" w:rsidP="00172E64">
      <w:pPr>
        <w:pStyle w:val="ListParagraph"/>
        <w:numPr>
          <w:ilvl w:val="0"/>
          <w:numId w:val="84"/>
        </w:numPr>
        <w:ind w:left="720" w:hanging="720"/>
        <w:jc w:val="both"/>
        <w:rPr>
          <w:rFonts w:ascii="Arial" w:hAnsi="Arial"/>
          <w:sz w:val="22"/>
        </w:rPr>
      </w:pPr>
      <w:r w:rsidRPr="00B738C4">
        <w:rPr>
          <w:rFonts w:ascii="Arial" w:hAnsi="Arial"/>
          <w:sz w:val="22"/>
        </w:rPr>
        <w:t xml:space="preserve">Determine the soil strength and </w:t>
      </w:r>
      <w:r w:rsidR="0097239F">
        <w:rPr>
          <w:rFonts w:ascii="Arial" w:hAnsi="Arial" w:cs="Arial"/>
          <w:sz w:val="22"/>
          <w:szCs w:val="22"/>
        </w:rPr>
        <w:t>compressibility</w:t>
      </w:r>
    </w:p>
    <w:p w14:paraId="2DE91047" w14:textId="77777777" w:rsidR="00EA40D9" w:rsidRPr="00B738C4" w:rsidRDefault="00EA40D9" w:rsidP="00172E64">
      <w:pPr>
        <w:pStyle w:val="ListParagraph"/>
        <w:numPr>
          <w:ilvl w:val="0"/>
          <w:numId w:val="84"/>
        </w:numPr>
        <w:ind w:left="720" w:hanging="720"/>
        <w:jc w:val="both"/>
        <w:rPr>
          <w:rFonts w:ascii="Arial" w:hAnsi="Arial"/>
          <w:sz w:val="22"/>
        </w:rPr>
      </w:pPr>
      <w:r w:rsidRPr="00B738C4">
        <w:rPr>
          <w:rFonts w:ascii="Arial" w:hAnsi="Arial"/>
          <w:sz w:val="22"/>
        </w:rPr>
        <w:t>Estimate the friction angle for cohesionless soils</w:t>
      </w:r>
    </w:p>
    <w:p w14:paraId="61222F36" w14:textId="77777777" w:rsidR="00EA40D9" w:rsidRPr="00B738C4" w:rsidRDefault="00EA40D9" w:rsidP="00172E64">
      <w:pPr>
        <w:pStyle w:val="ListParagraph"/>
        <w:numPr>
          <w:ilvl w:val="0"/>
          <w:numId w:val="84"/>
        </w:numPr>
        <w:ind w:left="720" w:hanging="720"/>
        <w:jc w:val="both"/>
        <w:rPr>
          <w:rFonts w:ascii="Arial" w:hAnsi="Arial"/>
          <w:sz w:val="22"/>
        </w:rPr>
      </w:pPr>
      <w:r w:rsidRPr="00B738C4">
        <w:rPr>
          <w:rFonts w:ascii="Arial" w:hAnsi="Arial"/>
          <w:sz w:val="22"/>
        </w:rPr>
        <w:t>Obtain relative densities of sand and gravel</w:t>
      </w:r>
    </w:p>
    <w:p w14:paraId="777A0607" w14:textId="77777777" w:rsidR="00EA40D9" w:rsidRPr="00B738C4" w:rsidRDefault="00EA40D9" w:rsidP="00172E64">
      <w:pPr>
        <w:pStyle w:val="ListParagraph"/>
        <w:numPr>
          <w:ilvl w:val="0"/>
          <w:numId w:val="84"/>
        </w:numPr>
        <w:ind w:left="720" w:hanging="720"/>
        <w:jc w:val="both"/>
        <w:rPr>
          <w:rFonts w:ascii="Arial" w:hAnsi="Arial"/>
          <w:sz w:val="22"/>
        </w:rPr>
      </w:pPr>
      <w:r w:rsidRPr="00B738C4">
        <w:rPr>
          <w:rFonts w:ascii="Arial" w:hAnsi="Arial"/>
          <w:sz w:val="22"/>
        </w:rPr>
        <w:t>Obtain compressive and shear strengths of silts and clays (from undisturbed sampling and lab testing)</w:t>
      </w:r>
    </w:p>
    <w:p w14:paraId="1F462B76" w14:textId="10D216EB" w:rsidR="00EA40D9" w:rsidRPr="00B738C4" w:rsidRDefault="00EA40D9" w:rsidP="00172E64">
      <w:pPr>
        <w:pStyle w:val="ListParagraph"/>
        <w:numPr>
          <w:ilvl w:val="0"/>
          <w:numId w:val="84"/>
        </w:numPr>
        <w:ind w:left="720" w:hanging="720"/>
        <w:jc w:val="both"/>
        <w:rPr>
          <w:rFonts w:ascii="Arial" w:hAnsi="Arial"/>
          <w:sz w:val="22"/>
        </w:rPr>
      </w:pPr>
      <w:r w:rsidRPr="00B738C4">
        <w:rPr>
          <w:rFonts w:ascii="Arial" w:hAnsi="Arial"/>
          <w:sz w:val="22"/>
        </w:rPr>
        <w:t xml:space="preserve">Obtain disturbed (jar) samples for </w:t>
      </w:r>
      <w:r w:rsidR="0097239F">
        <w:rPr>
          <w:rFonts w:ascii="Arial" w:hAnsi="Arial" w:cs="Arial"/>
          <w:sz w:val="22"/>
          <w:szCs w:val="22"/>
        </w:rPr>
        <w:t xml:space="preserve">index </w:t>
      </w:r>
      <w:r w:rsidRPr="00B738C4">
        <w:rPr>
          <w:rFonts w:ascii="Arial" w:hAnsi="Arial"/>
          <w:sz w:val="22"/>
        </w:rPr>
        <w:t>lab testing</w:t>
      </w:r>
      <w:r w:rsidR="0097239F">
        <w:rPr>
          <w:rFonts w:ascii="Arial" w:hAnsi="Arial" w:cs="Arial"/>
          <w:sz w:val="22"/>
          <w:szCs w:val="22"/>
        </w:rPr>
        <w:t xml:space="preserve"> and soil classification</w:t>
      </w:r>
    </w:p>
    <w:p w14:paraId="211842DB" w14:textId="77777777" w:rsidR="00EA40D9" w:rsidRDefault="00EA40D9" w:rsidP="00EA40D9">
      <w:pPr>
        <w:pStyle w:val="BodyText"/>
        <w:spacing w:after="0"/>
      </w:pPr>
    </w:p>
    <w:p w14:paraId="3AC987E0" w14:textId="77777777" w:rsidR="00EA40D9" w:rsidRPr="000D0C2C" w:rsidRDefault="00EA40D9" w:rsidP="00EA40D9">
      <w:pPr>
        <w:pStyle w:val="Heading4"/>
        <w:ind w:left="0" w:firstLine="0"/>
      </w:pPr>
      <w:r w:rsidRPr="000D0C2C">
        <w:t>Resource Requirements</w:t>
      </w:r>
    </w:p>
    <w:p w14:paraId="606E7EAE" w14:textId="6168CBD6" w:rsidR="00EA40D9" w:rsidRDefault="00EA40D9" w:rsidP="00EA40D9">
      <w:pPr>
        <w:pStyle w:val="BodyText"/>
        <w:spacing w:after="0"/>
        <w:jc w:val="both"/>
      </w:pPr>
      <w:r w:rsidRPr="00CC58A7">
        <w:t xml:space="preserve">The request process is typically done with data available to the </w:t>
      </w:r>
      <w:r>
        <w:t>PAGD Engineer</w:t>
      </w:r>
      <w:r w:rsidRPr="00CC58A7">
        <w:t xml:space="preserve"> in the office coupled with a site visit.  </w:t>
      </w:r>
      <w:r>
        <w:t>It is anticipated that a PAGD Engineer and an EGD Representative will work closely in preparing SPT requests.  T</w:t>
      </w:r>
      <w:r w:rsidRPr="00CC58A7">
        <w:t xml:space="preserve">he request procedure documented below requires the following staffing needs for a typical </w:t>
      </w:r>
      <w:r>
        <w:t>project</w:t>
      </w:r>
      <w:r w:rsidRPr="00CC58A7">
        <w:t>:</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2"/>
        <w:gridCol w:w="2286"/>
        <w:gridCol w:w="1926"/>
        <w:gridCol w:w="1584"/>
      </w:tblGrid>
      <w:tr w:rsidR="00EA40D9" w:rsidRPr="00CC58A7" w14:paraId="4A61F42B" w14:textId="77777777" w:rsidTr="006336A5">
        <w:trPr>
          <w:trHeight w:val="288"/>
          <w:jc w:val="center"/>
        </w:trPr>
        <w:tc>
          <w:tcPr>
            <w:tcW w:w="2692" w:type="dxa"/>
            <w:shd w:val="pct15" w:color="auto" w:fill="FFFFFF"/>
            <w:vAlign w:val="center"/>
          </w:tcPr>
          <w:p w14:paraId="7CB4E995" w14:textId="77777777" w:rsidR="00EA40D9" w:rsidRPr="00CC58A7" w:rsidRDefault="00EA40D9" w:rsidP="00D606A4">
            <w:pPr>
              <w:jc w:val="center"/>
              <w:rPr>
                <w:rFonts w:ascii="Arial" w:hAnsi="Arial"/>
                <w:b/>
              </w:rPr>
            </w:pPr>
            <w:r w:rsidRPr="00CC58A7">
              <w:rPr>
                <w:rFonts w:ascii="Arial" w:hAnsi="Arial"/>
                <w:b/>
              </w:rPr>
              <w:lastRenderedPageBreak/>
              <w:t>Position</w:t>
            </w:r>
          </w:p>
        </w:tc>
        <w:tc>
          <w:tcPr>
            <w:tcW w:w="2286" w:type="dxa"/>
            <w:shd w:val="pct15" w:color="auto" w:fill="FFFFFF"/>
            <w:vAlign w:val="center"/>
          </w:tcPr>
          <w:p w14:paraId="4372034C" w14:textId="77777777" w:rsidR="00EA40D9" w:rsidRPr="00CC58A7" w:rsidRDefault="00EA40D9" w:rsidP="00D606A4">
            <w:pPr>
              <w:jc w:val="center"/>
              <w:rPr>
                <w:rFonts w:ascii="Arial" w:hAnsi="Arial"/>
                <w:b/>
              </w:rPr>
            </w:pPr>
            <w:r w:rsidRPr="00CC58A7">
              <w:rPr>
                <w:rFonts w:ascii="Arial" w:hAnsi="Arial"/>
                <w:b/>
              </w:rPr>
              <w:t>Function</w:t>
            </w:r>
          </w:p>
        </w:tc>
        <w:tc>
          <w:tcPr>
            <w:tcW w:w="1926" w:type="dxa"/>
            <w:shd w:val="pct15" w:color="auto" w:fill="FFFFFF"/>
            <w:vAlign w:val="center"/>
          </w:tcPr>
          <w:p w14:paraId="07F5525B" w14:textId="77777777" w:rsidR="00EA40D9" w:rsidRPr="00CC58A7" w:rsidRDefault="00EA40D9" w:rsidP="00D606A4">
            <w:pPr>
              <w:jc w:val="center"/>
              <w:rPr>
                <w:rFonts w:ascii="Arial" w:hAnsi="Arial"/>
                <w:b/>
              </w:rPr>
            </w:pPr>
            <w:r w:rsidRPr="00CC58A7">
              <w:rPr>
                <w:rFonts w:ascii="Arial" w:hAnsi="Arial"/>
                <w:b/>
              </w:rPr>
              <w:t>Resources</w:t>
            </w:r>
          </w:p>
        </w:tc>
        <w:tc>
          <w:tcPr>
            <w:tcW w:w="1584" w:type="dxa"/>
            <w:shd w:val="pct15" w:color="auto" w:fill="FFFFFF"/>
            <w:vAlign w:val="center"/>
          </w:tcPr>
          <w:p w14:paraId="69651511" w14:textId="77777777" w:rsidR="00EA40D9" w:rsidRPr="00CC58A7" w:rsidRDefault="00EA40D9" w:rsidP="00D606A4">
            <w:pPr>
              <w:jc w:val="center"/>
              <w:rPr>
                <w:rFonts w:ascii="Arial" w:hAnsi="Arial"/>
                <w:b/>
              </w:rPr>
            </w:pPr>
            <w:r w:rsidRPr="00CC58A7">
              <w:rPr>
                <w:rFonts w:ascii="Arial" w:hAnsi="Arial"/>
                <w:b/>
              </w:rPr>
              <w:t>Effort Level</w:t>
            </w:r>
          </w:p>
          <w:p w14:paraId="65E62D3A" w14:textId="77777777" w:rsidR="00EA40D9" w:rsidRPr="00CC58A7" w:rsidRDefault="00EA40D9" w:rsidP="00D606A4">
            <w:pPr>
              <w:jc w:val="center"/>
              <w:rPr>
                <w:rFonts w:ascii="Arial" w:hAnsi="Arial"/>
                <w:b/>
              </w:rPr>
            </w:pPr>
            <w:r w:rsidRPr="00CC58A7">
              <w:rPr>
                <w:rFonts w:ascii="Arial" w:hAnsi="Arial"/>
                <w:b/>
              </w:rPr>
              <w:t>(man-hours)</w:t>
            </w:r>
          </w:p>
        </w:tc>
      </w:tr>
      <w:tr w:rsidR="00EA40D9" w:rsidRPr="00CC58A7" w14:paraId="0D67C66A" w14:textId="77777777" w:rsidTr="006336A5">
        <w:trPr>
          <w:trHeight w:val="288"/>
          <w:jc w:val="center"/>
        </w:trPr>
        <w:tc>
          <w:tcPr>
            <w:tcW w:w="2692" w:type="dxa"/>
            <w:vAlign w:val="center"/>
          </w:tcPr>
          <w:p w14:paraId="2AE0F741" w14:textId="77777777" w:rsidR="00EA40D9" w:rsidRPr="00CC58A7" w:rsidRDefault="00EA40D9" w:rsidP="00D606A4">
            <w:pPr>
              <w:jc w:val="center"/>
              <w:rPr>
                <w:rFonts w:ascii="Arial" w:hAnsi="Arial"/>
                <w:sz w:val="18"/>
              </w:rPr>
            </w:pPr>
            <w:r>
              <w:rPr>
                <w:rFonts w:ascii="Arial" w:hAnsi="Arial"/>
                <w:sz w:val="18"/>
              </w:rPr>
              <w:t xml:space="preserve">PAGD </w:t>
            </w:r>
            <w:r w:rsidRPr="00CC58A7">
              <w:rPr>
                <w:rFonts w:ascii="Arial" w:hAnsi="Arial"/>
                <w:sz w:val="18"/>
              </w:rPr>
              <w:t>Engineer</w:t>
            </w:r>
            <w:r>
              <w:rPr>
                <w:rFonts w:ascii="Arial" w:hAnsi="Arial"/>
                <w:sz w:val="18"/>
              </w:rPr>
              <w:t xml:space="preserve"> and EGD Representative</w:t>
            </w:r>
          </w:p>
        </w:tc>
        <w:tc>
          <w:tcPr>
            <w:tcW w:w="2286" w:type="dxa"/>
            <w:vAlign w:val="center"/>
          </w:tcPr>
          <w:p w14:paraId="137A4618" w14:textId="77777777" w:rsidR="00EA40D9" w:rsidRPr="00CC58A7" w:rsidRDefault="00EA40D9" w:rsidP="00D606A4">
            <w:pPr>
              <w:jc w:val="center"/>
              <w:rPr>
                <w:rFonts w:ascii="Arial" w:hAnsi="Arial"/>
                <w:sz w:val="18"/>
              </w:rPr>
            </w:pPr>
            <w:r w:rsidRPr="00CC58A7">
              <w:rPr>
                <w:rFonts w:ascii="Arial" w:hAnsi="Arial"/>
                <w:sz w:val="18"/>
              </w:rPr>
              <w:t>Records Review</w:t>
            </w:r>
          </w:p>
        </w:tc>
        <w:tc>
          <w:tcPr>
            <w:tcW w:w="1926" w:type="dxa"/>
            <w:vAlign w:val="center"/>
          </w:tcPr>
          <w:p w14:paraId="54DFB326" w14:textId="77777777" w:rsidR="00EA40D9" w:rsidRPr="00CC58A7" w:rsidRDefault="00EA40D9" w:rsidP="00D606A4">
            <w:pPr>
              <w:jc w:val="center"/>
              <w:rPr>
                <w:rFonts w:ascii="Arial" w:hAnsi="Arial"/>
                <w:sz w:val="18"/>
              </w:rPr>
            </w:pPr>
            <w:r>
              <w:rPr>
                <w:rFonts w:ascii="Arial" w:hAnsi="Arial"/>
                <w:sz w:val="18"/>
              </w:rPr>
              <w:t>2</w:t>
            </w:r>
          </w:p>
        </w:tc>
        <w:tc>
          <w:tcPr>
            <w:tcW w:w="1584" w:type="dxa"/>
            <w:vAlign w:val="center"/>
          </w:tcPr>
          <w:p w14:paraId="24E8ADFF" w14:textId="77777777" w:rsidR="00EA40D9" w:rsidRPr="00CC58A7" w:rsidRDefault="00EA40D9" w:rsidP="00D606A4">
            <w:pPr>
              <w:jc w:val="center"/>
              <w:rPr>
                <w:rFonts w:ascii="Arial" w:hAnsi="Arial"/>
                <w:sz w:val="18"/>
              </w:rPr>
            </w:pPr>
            <w:r>
              <w:rPr>
                <w:rFonts w:ascii="Arial" w:hAnsi="Arial"/>
                <w:sz w:val="18"/>
              </w:rPr>
              <w:t>2*</w:t>
            </w:r>
          </w:p>
        </w:tc>
      </w:tr>
      <w:tr w:rsidR="00EA40D9" w:rsidRPr="00CC58A7" w14:paraId="65FE62BC" w14:textId="77777777" w:rsidTr="006336A5">
        <w:trPr>
          <w:trHeight w:val="288"/>
          <w:jc w:val="center"/>
        </w:trPr>
        <w:tc>
          <w:tcPr>
            <w:tcW w:w="2692" w:type="dxa"/>
            <w:vAlign w:val="center"/>
          </w:tcPr>
          <w:p w14:paraId="61337B84" w14:textId="77777777" w:rsidR="00EA40D9" w:rsidRDefault="00EA40D9" w:rsidP="00D606A4">
            <w:pPr>
              <w:jc w:val="center"/>
            </w:pPr>
            <w:r>
              <w:rPr>
                <w:rFonts w:ascii="Arial" w:hAnsi="Arial"/>
                <w:sz w:val="18"/>
              </w:rPr>
              <w:t xml:space="preserve">PAGD </w:t>
            </w:r>
            <w:r w:rsidRPr="00CC58A7">
              <w:rPr>
                <w:rFonts w:ascii="Arial" w:hAnsi="Arial"/>
                <w:sz w:val="18"/>
              </w:rPr>
              <w:t>Engineer</w:t>
            </w:r>
            <w:r>
              <w:rPr>
                <w:rFonts w:ascii="Arial" w:hAnsi="Arial"/>
                <w:sz w:val="18"/>
              </w:rPr>
              <w:t xml:space="preserve"> and EGD Representative</w:t>
            </w:r>
          </w:p>
        </w:tc>
        <w:tc>
          <w:tcPr>
            <w:tcW w:w="2286" w:type="dxa"/>
            <w:vAlign w:val="center"/>
          </w:tcPr>
          <w:p w14:paraId="0F165AD6" w14:textId="77777777" w:rsidR="00EA40D9" w:rsidRPr="00CC58A7" w:rsidRDefault="00EA40D9" w:rsidP="00D606A4">
            <w:pPr>
              <w:jc w:val="center"/>
              <w:rPr>
                <w:rFonts w:ascii="Arial" w:hAnsi="Arial"/>
                <w:sz w:val="18"/>
              </w:rPr>
            </w:pPr>
            <w:r>
              <w:rPr>
                <w:rFonts w:ascii="Arial" w:hAnsi="Arial"/>
                <w:sz w:val="18"/>
              </w:rPr>
              <w:t>Prepare and Submit SPT Request</w:t>
            </w:r>
          </w:p>
        </w:tc>
        <w:tc>
          <w:tcPr>
            <w:tcW w:w="1926" w:type="dxa"/>
            <w:vAlign w:val="center"/>
          </w:tcPr>
          <w:p w14:paraId="67A77C16" w14:textId="77777777" w:rsidR="00EA40D9" w:rsidRPr="00CC58A7" w:rsidRDefault="00EA40D9" w:rsidP="00D606A4">
            <w:pPr>
              <w:jc w:val="center"/>
              <w:rPr>
                <w:rFonts w:ascii="Arial" w:hAnsi="Arial"/>
                <w:sz w:val="18"/>
              </w:rPr>
            </w:pPr>
            <w:r>
              <w:rPr>
                <w:rFonts w:ascii="Arial" w:hAnsi="Arial"/>
                <w:sz w:val="18"/>
              </w:rPr>
              <w:t>2</w:t>
            </w:r>
          </w:p>
        </w:tc>
        <w:tc>
          <w:tcPr>
            <w:tcW w:w="1584" w:type="dxa"/>
            <w:vAlign w:val="center"/>
          </w:tcPr>
          <w:p w14:paraId="1F50489D" w14:textId="77777777" w:rsidR="00EA40D9" w:rsidRPr="00CC58A7" w:rsidRDefault="00EA40D9" w:rsidP="00D606A4">
            <w:pPr>
              <w:jc w:val="center"/>
              <w:rPr>
                <w:rFonts w:ascii="Arial" w:hAnsi="Arial"/>
                <w:sz w:val="18"/>
              </w:rPr>
            </w:pPr>
            <w:r>
              <w:rPr>
                <w:rFonts w:ascii="Arial" w:hAnsi="Arial"/>
                <w:sz w:val="18"/>
              </w:rPr>
              <w:t>4*</w:t>
            </w:r>
          </w:p>
        </w:tc>
      </w:tr>
      <w:tr w:rsidR="00EA40D9" w14:paraId="2B722527" w14:textId="77777777" w:rsidTr="006336A5">
        <w:trPr>
          <w:trHeight w:val="288"/>
          <w:jc w:val="center"/>
        </w:trPr>
        <w:tc>
          <w:tcPr>
            <w:tcW w:w="2692" w:type="dxa"/>
            <w:vAlign w:val="center"/>
          </w:tcPr>
          <w:p w14:paraId="6B1EACDF" w14:textId="77777777" w:rsidR="00EA40D9" w:rsidRPr="00804934" w:rsidRDefault="00EA40D9" w:rsidP="00D606A4">
            <w:pPr>
              <w:jc w:val="center"/>
              <w:rPr>
                <w:rFonts w:ascii="Arial" w:hAnsi="Arial"/>
                <w:sz w:val="18"/>
              </w:rPr>
            </w:pPr>
            <w:r>
              <w:rPr>
                <w:rFonts w:ascii="Arial" w:hAnsi="Arial"/>
                <w:sz w:val="18"/>
              </w:rPr>
              <w:t>PAGD TL</w:t>
            </w:r>
          </w:p>
        </w:tc>
        <w:tc>
          <w:tcPr>
            <w:tcW w:w="2286" w:type="dxa"/>
            <w:vAlign w:val="center"/>
          </w:tcPr>
          <w:p w14:paraId="12DADA68" w14:textId="77777777" w:rsidR="00EA40D9" w:rsidRDefault="00EA40D9" w:rsidP="00D606A4">
            <w:pPr>
              <w:jc w:val="center"/>
              <w:rPr>
                <w:rFonts w:ascii="Arial" w:hAnsi="Arial"/>
                <w:sz w:val="18"/>
              </w:rPr>
            </w:pPr>
            <w:r>
              <w:rPr>
                <w:rFonts w:ascii="Arial" w:hAnsi="Arial"/>
                <w:sz w:val="18"/>
              </w:rPr>
              <w:t>Review of Request</w:t>
            </w:r>
          </w:p>
        </w:tc>
        <w:tc>
          <w:tcPr>
            <w:tcW w:w="1926" w:type="dxa"/>
            <w:vAlign w:val="center"/>
          </w:tcPr>
          <w:p w14:paraId="70F970C4" w14:textId="77777777" w:rsidR="00EA40D9" w:rsidRPr="00CC58A7" w:rsidRDefault="00EA40D9" w:rsidP="00D606A4">
            <w:pPr>
              <w:jc w:val="center"/>
              <w:rPr>
                <w:rFonts w:ascii="Arial" w:hAnsi="Arial"/>
                <w:sz w:val="18"/>
              </w:rPr>
            </w:pPr>
            <w:r>
              <w:rPr>
                <w:rFonts w:ascii="Arial" w:hAnsi="Arial"/>
                <w:sz w:val="18"/>
              </w:rPr>
              <w:t>1</w:t>
            </w:r>
          </w:p>
        </w:tc>
        <w:tc>
          <w:tcPr>
            <w:tcW w:w="1584" w:type="dxa"/>
            <w:vAlign w:val="center"/>
          </w:tcPr>
          <w:p w14:paraId="2C67F6C1" w14:textId="77777777" w:rsidR="00EA40D9" w:rsidRDefault="00EA40D9" w:rsidP="00D606A4">
            <w:pPr>
              <w:jc w:val="center"/>
              <w:rPr>
                <w:rFonts w:ascii="Arial" w:hAnsi="Arial"/>
                <w:sz w:val="18"/>
              </w:rPr>
            </w:pPr>
            <w:r>
              <w:rPr>
                <w:rFonts w:ascii="Arial" w:hAnsi="Arial"/>
                <w:sz w:val="18"/>
              </w:rPr>
              <w:t>1*</w:t>
            </w:r>
          </w:p>
        </w:tc>
      </w:tr>
    </w:tbl>
    <w:p w14:paraId="5508173E" w14:textId="77777777" w:rsidR="00EA40D9" w:rsidRDefault="00EA40D9" w:rsidP="00EA40D9">
      <w:pPr>
        <w:rPr>
          <w:rFonts w:ascii="Arial" w:hAnsi="Arial"/>
          <w:sz w:val="18"/>
          <w:szCs w:val="18"/>
        </w:rPr>
      </w:pPr>
      <w:r>
        <w:rPr>
          <w:rFonts w:ascii="Arial" w:hAnsi="Arial"/>
          <w:sz w:val="18"/>
          <w:szCs w:val="18"/>
        </w:rPr>
        <w:t xml:space="preserve">      </w:t>
      </w:r>
      <w:r w:rsidRPr="00333931">
        <w:rPr>
          <w:rFonts w:ascii="Arial" w:hAnsi="Arial"/>
          <w:sz w:val="18"/>
          <w:szCs w:val="18"/>
        </w:rPr>
        <w:t>* The time required would vary depending on the size and complexity of a project.</w:t>
      </w:r>
    </w:p>
    <w:p w14:paraId="723CC9D7" w14:textId="333E3C09" w:rsidR="00EA40D9" w:rsidRPr="00EA40D9" w:rsidRDefault="00EA40D9" w:rsidP="006336A5">
      <w:pPr>
        <w:pStyle w:val="BodyText"/>
        <w:spacing w:after="0"/>
        <w:jc w:val="both"/>
      </w:pPr>
    </w:p>
    <w:p w14:paraId="652DD1BB" w14:textId="77777777" w:rsidR="003D2F70" w:rsidRPr="00D67070" w:rsidRDefault="003D2F70" w:rsidP="000F3C2B">
      <w:pPr>
        <w:pStyle w:val="Heading4"/>
      </w:pPr>
      <w:r w:rsidRPr="00D67070">
        <w:t>Procedure</w:t>
      </w:r>
    </w:p>
    <w:p w14:paraId="29D3D46B" w14:textId="77777777" w:rsidR="003D2F70" w:rsidRPr="00975F32" w:rsidRDefault="003D2F70" w:rsidP="00BE3F24">
      <w:pPr>
        <w:pStyle w:val="BodyText"/>
        <w:jc w:val="both"/>
      </w:pPr>
      <w:r w:rsidRPr="00975F32">
        <w:t xml:space="preserve">The procedure presented in </w:t>
      </w:r>
      <w:r w:rsidRPr="00BA1669">
        <w:t>the attached flowchart</w:t>
      </w:r>
      <w:r w:rsidRPr="00975F32">
        <w:t xml:space="preserve"> and described</w:t>
      </w:r>
      <w:r>
        <w:t xml:space="preserve"> below </w:t>
      </w:r>
      <w:r w:rsidRPr="00975F32">
        <w:t>should be followed when making a request</w:t>
      </w:r>
      <w:r>
        <w:t xml:space="preserve"> for SPT borings</w:t>
      </w:r>
      <w:r w:rsidRPr="00975F32">
        <w:t xml:space="preserve">.        </w:t>
      </w:r>
    </w:p>
    <w:p w14:paraId="3E88CC69" w14:textId="7C3CB6C2" w:rsidR="003D2F70" w:rsidRPr="00672A86" w:rsidRDefault="003D2F70" w:rsidP="00BE3F24">
      <w:pPr>
        <w:pStyle w:val="BodyText"/>
        <w:jc w:val="both"/>
      </w:pPr>
      <w:r w:rsidRPr="00004850">
        <w:t xml:space="preserve">Certain steps in the request process and other processes overlap.  It is important to keep in mind that although these processes are broken out and written in separate sections, they are a part of an overall process to provide logical and technical requests.  </w:t>
      </w:r>
      <w:r w:rsidRPr="00CC58A7">
        <w:t xml:space="preserve">The procedure </w:t>
      </w:r>
      <w:r w:rsidRPr="003B0B9D">
        <w:t xml:space="preserve">described </w:t>
      </w:r>
      <w:r w:rsidRPr="00DC462A">
        <w:t>below is conducted after receiving a request (memo or e-mail request) from a customer</w:t>
      </w:r>
      <w:r w:rsidR="00EA40D9" w:rsidRPr="00DC462A">
        <w:t xml:space="preserve"> PM</w:t>
      </w:r>
      <w:r w:rsidR="00DC462A" w:rsidRPr="00DC462A">
        <w:t>.</w:t>
      </w:r>
      <w:r w:rsidRPr="003B0B9D">
        <w:t xml:space="preserve"> The following procedures are general guidelines to be followed by the PAGD Engineer</w:t>
      </w:r>
      <w:r w:rsidR="004C6C15">
        <w:t xml:space="preserve"> in collaboration with an EGD representative</w:t>
      </w:r>
      <w:r w:rsidRPr="003B0B9D">
        <w:t>.  They may be adjusted, based on engineering judgment and discussion with the PAGD TL</w:t>
      </w:r>
      <w:r w:rsidR="00465417">
        <w:t xml:space="preserve">, </w:t>
      </w:r>
      <w:r w:rsidRPr="003B0B9D">
        <w:t>the PAGD ADC-Design</w:t>
      </w:r>
      <w:r w:rsidR="00465417">
        <w:t xml:space="preserve"> and/or EGD Contact</w:t>
      </w:r>
      <w:r w:rsidRPr="003B0B9D">
        <w:t>.</w:t>
      </w:r>
    </w:p>
    <w:p w14:paraId="2116B32F" w14:textId="403C1F4C" w:rsidR="003D2F70" w:rsidRDefault="00EA40D9" w:rsidP="00EA40D9">
      <w:pPr>
        <w:pStyle w:val="BodyText"/>
        <w:jc w:val="both"/>
      </w:pPr>
      <w:r w:rsidRPr="0021416D">
        <w:t xml:space="preserve">Follow the steps </w:t>
      </w:r>
      <w:r w:rsidR="003D2F70" w:rsidRPr="00975F32">
        <w:t>below to complete a</w:t>
      </w:r>
      <w:r w:rsidR="001A3751">
        <w:t>n</w:t>
      </w:r>
      <w:r w:rsidR="003D2F70" w:rsidRPr="00975F32">
        <w:t xml:space="preserve"> S</w:t>
      </w:r>
      <w:r w:rsidR="003D2F70">
        <w:t xml:space="preserve">PT Request.  </w:t>
      </w:r>
    </w:p>
    <w:p w14:paraId="4BAC513B" w14:textId="5D8972F6" w:rsidR="00A02D42" w:rsidRPr="00A02D42" w:rsidRDefault="00EA40D9" w:rsidP="006336A5">
      <w:pPr>
        <w:pStyle w:val="Heading5"/>
        <w:tabs>
          <w:tab w:val="clear" w:pos="1080"/>
          <w:tab w:val="left" w:pos="1800"/>
        </w:tabs>
        <w:ind w:left="0" w:firstLine="0"/>
      </w:pPr>
      <w:r>
        <w:t>Additional</w:t>
      </w:r>
      <w:r w:rsidR="003D2F70" w:rsidRPr="00975F32">
        <w:t xml:space="preserve"> Information Needed</w:t>
      </w:r>
    </w:p>
    <w:p w14:paraId="46F07FFD" w14:textId="3041B7A9" w:rsidR="003D2F70" w:rsidRPr="005D6C4E" w:rsidRDefault="00CA58D8" w:rsidP="006336A5">
      <w:pPr>
        <w:pStyle w:val="ListNumber"/>
        <w:tabs>
          <w:tab w:val="clear" w:pos="720"/>
          <w:tab w:val="clear" w:pos="1872"/>
          <w:tab w:val="num" w:pos="1080"/>
        </w:tabs>
        <w:ind w:left="1080" w:hanging="1080"/>
        <w:jc w:val="both"/>
      </w:pPr>
      <w:r>
        <w:t xml:space="preserve">Step 1. </w:t>
      </w:r>
      <w:r w:rsidR="00482910">
        <w:tab/>
      </w:r>
      <w:r w:rsidR="00EA40D9">
        <w:t xml:space="preserve">Identify likely locations (bridges, culverts, pipes, high embankments, high cut slopes, retaining walls, approach embankments etc.) where borings will be needed. SPT borings for bridge structure elements, </w:t>
      </w:r>
      <w:r w:rsidR="00EA40D9" w:rsidRPr="003B0B9D">
        <w:t>retaining walls, culverts, headwalls</w:t>
      </w:r>
      <w:r w:rsidR="00482910">
        <w:t>,</w:t>
      </w:r>
      <w:r w:rsidR="00EA40D9" w:rsidRPr="003B0B9D">
        <w:t xml:space="preserve"> and noise walls are requested by OOS designer or by the Project Manager (PM).  Verify if SPT borings are required for embankments, cut slopes, pipes, etc.</w:t>
      </w:r>
      <w:r>
        <w:t xml:space="preserve"> </w:t>
      </w:r>
      <w:r w:rsidDel="00CA58D8">
        <w:t xml:space="preserve"> </w:t>
      </w:r>
      <w:r w:rsidR="003D2F70" w:rsidRPr="00BB3DC9">
        <w:t>Prepare R</w:t>
      </w:r>
      <w:r w:rsidR="003D2F70" w:rsidRPr="005D6C4E">
        <w:t>equest for Work</w:t>
      </w:r>
      <w:r w:rsidR="00482910">
        <w:t>.</w:t>
      </w:r>
    </w:p>
    <w:p w14:paraId="136ADF42" w14:textId="7945BAA7" w:rsidR="001A15B9" w:rsidRDefault="003D2F70" w:rsidP="00172E64">
      <w:pPr>
        <w:pStyle w:val="ListNumber"/>
        <w:numPr>
          <w:ilvl w:val="0"/>
          <w:numId w:val="156"/>
        </w:numPr>
        <w:tabs>
          <w:tab w:val="clear" w:pos="1872"/>
          <w:tab w:val="num" w:pos="1080"/>
        </w:tabs>
        <w:ind w:left="1080" w:hanging="1080"/>
        <w:jc w:val="both"/>
      </w:pPr>
      <w:r>
        <w:t xml:space="preserve">Boring </w:t>
      </w:r>
      <w:r w:rsidRPr="005D6C4E">
        <w:t xml:space="preserve">Depth </w:t>
      </w:r>
      <w:r w:rsidR="00482910">
        <w:t>C</w:t>
      </w:r>
      <w:r w:rsidRPr="005D6C4E">
        <w:t xml:space="preserve">riteria: The </w:t>
      </w:r>
      <w:r>
        <w:t xml:space="preserve">SPT boring </w:t>
      </w:r>
      <w:r w:rsidRPr="005D6C4E">
        <w:t xml:space="preserve">depth is generally </w:t>
      </w:r>
      <w:r>
        <w:t>based</w:t>
      </w:r>
      <w:r w:rsidRPr="005D6C4E">
        <w:t xml:space="preserve"> on the stress induced </w:t>
      </w:r>
      <w:r>
        <w:t>in the underlying soils f</w:t>
      </w:r>
      <w:r w:rsidRPr="005D6C4E">
        <w:t>r</w:t>
      </w:r>
      <w:r>
        <w:t>o</w:t>
      </w:r>
      <w:r w:rsidRPr="005D6C4E">
        <w:t>m embankments or structure foundation</w:t>
      </w:r>
      <w:r w:rsidR="00465417">
        <w:t>s</w:t>
      </w:r>
      <w:r w:rsidRPr="005D6C4E">
        <w:t>. These stresses are dependent on type of foundation, dimensions</w:t>
      </w:r>
      <w:r w:rsidR="00482910">
        <w:t>,</w:t>
      </w:r>
      <w:r w:rsidRPr="005D6C4E">
        <w:t xml:space="preserve"> and weight of the embankment/slope and the foundation, weight of structure, loading type (earth pressure, dead weight, transient loads</w:t>
      </w:r>
      <w:r w:rsidR="00482910">
        <w:t>,</w:t>
      </w:r>
      <w:r w:rsidRPr="005D6C4E">
        <w:t xml:space="preserve"> </w:t>
      </w:r>
      <w:r w:rsidR="00853539" w:rsidRPr="005D6C4E">
        <w:t>etc.</w:t>
      </w:r>
      <w:r w:rsidRPr="005D6C4E">
        <w:t>), mode of failure example</w:t>
      </w:r>
      <w:r w:rsidR="00482910">
        <w:t>,</w:t>
      </w:r>
      <w:r w:rsidRPr="005D6C4E">
        <w:t xml:space="preserve"> shear failure, pullout</w:t>
      </w:r>
      <w:r w:rsidR="00482910">
        <w:t>,</w:t>
      </w:r>
      <w:r w:rsidRPr="005D6C4E">
        <w:t xml:space="preserve"> etc.  Depth criteria for SPT borings for structures </w:t>
      </w:r>
      <w:r w:rsidR="00465417">
        <w:t xml:space="preserve">should be </w:t>
      </w:r>
      <w:r w:rsidRPr="005D6C4E">
        <w:t>provided by the OOS designer.</w:t>
      </w:r>
      <w:r w:rsidR="009F127A">
        <w:t xml:space="preserve"> Under no circumstances should the following typical minimum depths or terminal N</w:t>
      </w:r>
      <w:r w:rsidR="00482910">
        <w:t>-</w:t>
      </w:r>
      <w:r w:rsidR="009F127A">
        <w:t>values be specified for structures without approval from the OOS designer.</w:t>
      </w:r>
      <w:r w:rsidRPr="005D6C4E">
        <w:t xml:space="preserve"> Depth criteria for SPT borings for embankments/fill slopes and for cut slopes should be determined by the PAGD Engineer and </w:t>
      </w:r>
      <w:r>
        <w:t xml:space="preserve">the </w:t>
      </w:r>
      <w:r w:rsidRPr="005D6C4E">
        <w:t>EGD Representative using the guidelines that follow.  Open communication should be established with the OOS designer and the drillers prior to, during</w:t>
      </w:r>
      <w:r w:rsidR="00482910">
        <w:t>,</w:t>
      </w:r>
      <w:r w:rsidRPr="005D6C4E">
        <w:t xml:space="preserve"> and after the drilling operation to ensure that borings are drilled to proper depths.  The following are the typical minimum depth criteria for different types of SPT borings.  </w:t>
      </w:r>
      <w:r w:rsidRPr="005D6C4E">
        <w:rPr>
          <w:szCs w:val="22"/>
        </w:rPr>
        <w:t xml:space="preserve">Refer to </w:t>
      </w:r>
      <w:r w:rsidRPr="005D6C4E">
        <w:rPr>
          <w:rFonts w:cs="Arial"/>
          <w:szCs w:val="22"/>
        </w:rPr>
        <w:t>"Subsurface Investigations" FHWA NHI-01-031 for additional guidelines.</w:t>
      </w:r>
    </w:p>
    <w:p w14:paraId="0603B25C" w14:textId="1244148D" w:rsidR="001A15B9" w:rsidRDefault="003D2F70" w:rsidP="00172E64">
      <w:pPr>
        <w:pStyle w:val="ListNumber"/>
        <w:numPr>
          <w:ilvl w:val="0"/>
          <w:numId w:val="163"/>
        </w:numPr>
        <w:tabs>
          <w:tab w:val="clear" w:pos="1872"/>
        </w:tabs>
        <w:jc w:val="both"/>
      </w:pPr>
      <w:r w:rsidRPr="00BB3DC9">
        <w:t xml:space="preserve">Headwalls and </w:t>
      </w:r>
      <w:r w:rsidR="00482910" w:rsidRPr="00BB3DC9">
        <w:t>Smaller Str</w:t>
      </w:r>
      <w:r w:rsidRPr="00BB3DC9">
        <w:t>uctures: Minimum 25</w:t>
      </w:r>
      <w:r>
        <w:t xml:space="preserve"> ft</w:t>
      </w:r>
      <w:r w:rsidR="00853E37">
        <w:t>.</w:t>
      </w:r>
      <w:r w:rsidRPr="00BB3DC9">
        <w:t xml:space="preserve"> below </w:t>
      </w:r>
      <w:r>
        <w:t xml:space="preserve">the </w:t>
      </w:r>
      <w:r w:rsidRPr="00BB3DC9">
        <w:t>structure</w:t>
      </w:r>
      <w:r>
        <w:t xml:space="preserve"> footing invert. The last two SPT blow counts should be at least 20 blows per f</w:t>
      </w:r>
      <w:r w:rsidR="00482910">
        <w:t>oo</w:t>
      </w:r>
      <w:r>
        <w:t>t (bpf). If rock is encountered, core 10 ft</w:t>
      </w:r>
      <w:r w:rsidR="00853E37">
        <w:t>.</w:t>
      </w:r>
      <w:r>
        <w:t xml:space="preserve"> into rock having an average RQD of 50 percent or greater to verify that the boring is not terminated on a boulder (retained on 12-in</w:t>
      </w:r>
      <w:r w:rsidR="00482910">
        <w:t>ch</w:t>
      </w:r>
      <w:r>
        <w:t xml:space="preserve"> sieve).</w:t>
      </w:r>
    </w:p>
    <w:p w14:paraId="56DE1C8E" w14:textId="2AB04956" w:rsidR="001A15B9" w:rsidRDefault="003D2F70" w:rsidP="00172E64">
      <w:pPr>
        <w:pStyle w:val="ListNumber"/>
        <w:numPr>
          <w:ilvl w:val="0"/>
          <w:numId w:val="163"/>
        </w:numPr>
        <w:tabs>
          <w:tab w:val="clear" w:pos="1872"/>
        </w:tabs>
        <w:jc w:val="both"/>
      </w:pPr>
      <w:r w:rsidRPr="00BB3DC9">
        <w:lastRenderedPageBreak/>
        <w:t xml:space="preserve">Retaining </w:t>
      </w:r>
      <w:r w:rsidR="001A3751">
        <w:t>W</w:t>
      </w:r>
      <w:r w:rsidRPr="00BB3DC9">
        <w:t>alls: Minimum 25</w:t>
      </w:r>
      <w:r>
        <w:t xml:space="preserve"> ft</w:t>
      </w:r>
      <w:r w:rsidR="00853E37">
        <w:t>.</w:t>
      </w:r>
      <w:r w:rsidRPr="00BB3DC9">
        <w:t xml:space="preserve"> below </w:t>
      </w:r>
      <w:r>
        <w:t xml:space="preserve">the </w:t>
      </w:r>
      <w:r w:rsidRPr="00BB3DC9">
        <w:t>structure</w:t>
      </w:r>
      <w:r>
        <w:t xml:space="preserve"> footing invert. The last three </w:t>
      </w:r>
      <w:r w:rsidR="009F127A">
        <w:t>N</w:t>
      </w:r>
      <w:r w:rsidR="00482910">
        <w:t>-</w:t>
      </w:r>
      <w:r w:rsidR="009F127A">
        <w:t>values (the sum of the last 2 blow counts)</w:t>
      </w:r>
      <w:r>
        <w:t xml:space="preserve"> should be at least</w:t>
      </w:r>
      <w:r w:rsidRPr="00BB3DC9">
        <w:t xml:space="preserve"> </w:t>
      </w:r>
      <w:r>
        <w:t>30 bpf. If rock is encountered, core 10 ft</w:t>
      </w:r>
      <w:r w:rsidR="00853E37">
        <w:t>.</w:t>
      </w:r>
      <w:r>
        <w:t xml:space="preserve"> into rock having an average RQD of 50 percent or greater to verify that the boring is not terminated on a boulder (retained on 12-in</w:t>
      </w:r>
      <w:r w:rsidR="00482910">
        <w:t>ch</w:t>
      </w:r>
      <w:r>
        <w:t xml:space="preserve"> sieve).</w:t>
      </w:r>
    </w:p>
    <w:p w14:paraId="21FA6913" w14:textId="3B93DE0B" w:rsidR="001A15B9" w:rsidRDefault="003D2F70" w:rsidP="00172E64">
      <w:pPr>
        <w:pStyle w:val="ListNumber"/>
        <w:numPr>
          <w:ilvl w:val="0"/>
          <w:numId w:val="163"/>
        </w:numPr>
        <w:tabs>
          <w:tab w:val="clear" w:pos="1872"/>
        </w:tabs>
        <w:jc w:val="both"/>
      </w:pPr>
      <w:r w:rsidRPr="00BB3DC9">
        <w:t xml:space="preserve">Bridge </w:t>
      </w:r>
      <w:r w:rsidR="00482910" w:rsidRPr="00BB3DC9">
        <w:t>Abutments</w:t>
      </w:r>
      <w:r w:rsidR="00482910">
        <w:t xml:space="preserve"> on Shallow Foun</w:t>
      </w:r>
      <w:r>
        <w:t>dations</w:t>
      </w:r>
      <w:r w:rsidRPr="00BB3DC9">
        <w:t>: Minimum 60</w:t>
      </w:r>
      <w:r>
        <w:t xml:space="preserve"> ft</w:t>
      </w:r>
      <w:r w:rsidR="00853E37">
        <w:t>.</w:t>
      </w:r>
      <w:r w:rsidRPr="00BB3DC9">
        <w:t xml:space="preserve"> below </w:t>
      </w:r>
      <w:r>
        <w:t xml:space="preserve">the </w:t>
      </w:r>
      <w:r w:rsidRPr="00BB3DC9">
        <w:t>structure</w:t>
      </w:r>
      <w:r>
        <w:t xml:space="preserve"> footing invert. The last three </w:t>
      </w:r>
      <w:r w:rsidR="009F127A">
        <w:t>N</w:t>
      </w:r>
      <w:r w:rsidR="00482910">
        <w:t>-</w:t>
      </w:r>
      <w:r w:rsidR="009F127A">
        <w:t>values</w:t>
      </w:r>
      <w:r>
        <w:t xml:space="preserve"> should be at least</w:t>
      </w:r>
      <w:r w:rsidRPr="00BB3DC9">
        <w:t xml:space="preserve"> </w:t>
      </w:r>
      <w:r>
        <w:t>30 bpf. If rock is encountered, core 10 ft</w:t>
      </w:r>
      <w:r w:rsidR="00853E37">
        <w:t>.</w:t>
      </w:r>
      <w:r>
        <w:t xml:space="preserve"> into rock having an average RQD of 50 percent or greater to verify that the boring is not terminated on a boulder (retained on 12-in</w:t>
      </w:r>
      <w:r w:rsidR="00482910">
        <w:t>ch</w:t>
      </w:r>
      <w:r>
        <w:t xml:space="preserve"> sieve).</w:t>
      </w:r>
    </w:p>
    <w:p w14:paraId="1E9DD08D" w14:textId="2FBD95C2" w:rsidR="001A15B9" w:rsidRDefault="003D2F70" w:rsidP="00172E64">
      <w:pPr>
        <w:pStyle w:val="ListNumber"/>
        <w:numPr>
          <w:ilvl w:val="0"/>
          <w:numId w:val="163"/>
        </w:numPr>
        <w:tabs>
          <w:tab w:val="clear" w:pos="1872"/>
        </w:tabs>
        <w:jc w:val="both"/>
      </w:pPr>
      <w:r>
        <w:t>Noise Walls: Minimum 1</w:t>
      </w:r>
      <w:r w:rsidRPr="00BB3DC9">
        <w:t>0</w:t>
      </w:r>
      <w:r>
        <w:t xml:space="preserve"> ft</w:t>
      </w:r>
      <w:r w:rsidR="00853E37">
        <w:t>.</w:t>
      </w:r>
      <w:r w:rsidRPr="00BB3DC9">
        <w:t xml:space="preserve"> below </w:t>
      </w:r>
      <w:r>
        <w:t xml:space="preserve">the </w:t>
      </w:r>
      <w:r w:rsidRPr="00BB3DC9">
        <w:t>structure</w:t>
      </w:r>
      <w:r>
        <w:t xml:space="preserve"> foundation invert. The last three </w:t>
      </w:r>
      <w:r w:rsidR="009F127A">
        <w:t>N</w:t>
      </w:r>
      <w:r w:rsidR="00482910">
        <w:t>-</w:t>
      </w:r>
      <w:r w:rsidR="009F127A">
        <w:t>values</w:t>
      </w:r>
      <w:r>
        <w:t xml:space="preserve"> should be at least</w:t>
      </w:r>
      <w:r w:rsidRPr="00BB3DC9">
        <w:t xml:space="preserve"> </w:t>
      </w:r>
      <w:r>
        <w:t>30 bpf. If rock is encountered, core 10 ft</w:t>
      </w:r>
      <w:r w:rsidR="00853E37">
        <w:t>.</w:t>
      </w:r>
      <w:r>
        <w:t xml:space="preserve"> into rock having an average RQD of 50 percent or greater to verify that the boring is not terminated on a boulder (retained on 12-in</w:t>
      </w:r>
      <w:r w:rsidR="00482910">
        <w:t>ch</w:t>
      </w:r>
      <w:r>
        <w:t xml:space="preserve"> sieve).</w:t>
      </w:r>
    </w:p>
    <w:p w14:paraId="2756721D" w14:textId="47FA3737" w:rsidR="001A15B9" w:rsidRDefault="003D2F70" w:rsidP="00172E64">
      <w:pPr>
        <w:pStyle w:val="ListNumber"/>
        <w:numPr>
          <w:ilvl w:val="0"/>
          <w:numId w:val="163"/>
        </w:numPr>
        <w:tabs>
          <w:tab w:val="clear" w:pos="1872"/>
        </w:tabs>
        <w:jc w:val="both"/>
      </w:pPr>
      <w:r>
        <w:t>Deep Foundations (Piles): 20 ft</w:t>
      </w:r>
      <w:r w:rsidR="00853E37">
        <w:t>.</w:t>
      </w:r>
      <w:r>
        <w:t xml:space="preserve"> below the anticipated tip elevation or 2 times maximum pile group dimension, whichever is greater. If rock is encountered, core 10 ft</w:t>
      </w:r>
      <w:r w:rsidR="00853E37">
        <w:t>.</w:t>
      </w:r>
      <w:r>
        <w:t xml:space="preserve"> into rock having an average RQD of 50 percent or greater to verify that the boring is not terminated on a boulder (retained on 12-in</w:t>
      </w:r>
      <w:r w:rsidR="00482910">
        <w:t>ch</w:t>
      </w:r>
      <w:r>
        <w:t xml:space="preserve"> sieve).</w:t>
      </w:r>
    </w:p>
    <w:p w14:paraId="3A64818D" w14:textId="5CE4F637" w:rsidR="001A15B9" w:rsidRDefault="003D2F70" w:rsidP="00172E64">
      <w:pPr>
        <w:pStyle w:val="ListNumber"/>
        <w:numPr>
          <w:ilvl w:val="0"/>
          <w:numId w:val="163"/>
        </w:numPr>
        <w:tabs>
          <w:tab w:val="clear" w:pos="1872"/>
        </w:tabs>
        <w:jc w:val="both"/>
      </w:pPr>
      <w:r>
        <w:t>Cuts: In stable materials the boring should extend to 15 ft</w:t>
      </w:r>
      <w:r w:rsidR="00853E37">
        <w:t>.</w:t>
      </w:r>
      <w:r>
        <w:t xml:space="preserve"> below the depth of cut at the ditch line. In weak soils, boring should extend to firm material (e.g.</w:t>
      </w:r>
      <w:r w:rsidR="00482910">
        <w:t>,</w:t>
      </w:r>
      <w:r>
        <w:t xml:space="preserve"> stiff to hard cohesive soil, compact to dense cohesionless soil</w:t>
      </w:r>
      <w:r w:rsidR="00482910">
        <w:t>,</w:t>
      </w:r>
      <w:r>
        <w:t xml:space="preserve"> or bedrock) or twice the depth of the cut</w:t>
      </w:r>
      <w:r w:rsidR="00482910">
        <w:t>,</w:t>
      </w:r>
      <w:r>
        <w:t xml:space="preserve"> whichever occurs first. If rock is encountered, core 10 ft</w:t>
      </w:r>
      <w:r w:rsidR="00853E37">
        <w:t>.</w:t>
      </w:r>
      <w:r>
        <w:t xml:space="preserve"> into rock having an average RQD of 50 percent or greater to verify that the boring is not terminated on a boulder (retained on 12-in</w:t>
      </w:r>
      <w:r w:rsidR="00482910">
        <w:t>ch</w:t>
      </w:r>
      <w:r>
        <w:t xml:space="preserve"> sieve).</w:t>
      </w:r>
    </w:p>
    <w:p w14:paraId="3CCACED9" w14:textId="05ECA904" w:rsidR="000F3C2B" w:rsidRDefault="003D2F70" w:rsidP="00172E64">
      <w:pPr>
        <w:pStyle w:val="ListNumber"/>
        <w:numPr>
          <w:ilvl w:val="0"/>
          <w:numId w:val="163"/>
        </w:numPr>
        <w:tabs>
          <w:tab w:val="clear" w:pos="1872"/>
        </w:tabs>
        <w:jc w:val="both"/>
      </w:pPr>
      <w:r>
        <w:t>Embankments and Culverts: Borings should extend to firm material (e.g.</w:t>
      </w:r>
      <w:r w:rsidR="00482910">
        <w:t>,</w:t>
      </w:r>
      <w:r>
        <w:t xml:space="preserve"> stiff to hard cohesive soil, compact to dense cohesionless soil</w:t>
      </w:r>
      <w:r w:rsidR="00482910">
        <w:t>,</w:t>
      </w:r>
      <w:r>
        <w:t xml:space="preserve"> or bedrock) or to a depth of twice the embankment height</w:t>
      </w:r>
      <w:r w:rsidR="00482910">
        <w:t xml:space="preserve">, </w:t>
      </w:r>
      <w:r>
        <w:t>whichever occurs first. If rock is encountered, core 10</w:t>
      </w:r>
      <w:r w:rsidR="00853E37">
        <w:t>.</w:t>
      </w:r>
      <w:r>
        <w:t xml:space="preserve"> into rock having an average RQD of 50 percent or greater to verify that the boring is not terminated on a boulder (retained on 12-in</w:t>
      </w:r>
      <w:r w:rsidR="00482910">
        <w:t>ch</w:t>
      </w:r>
      <w:r>
        <w:t xml:space="preserve"> sieve).</w:t>
      </w:r>
    </w:p>
    <w:p w14:paraId="1DF7C396" w14:textId="11DEE2F3" w:rsidR="007F0FEB" w:rsidRDefault="003D2F70" w:rsidP="00172E64">
      <w:pPr>
        <w:pStyle w:val="ListNumber"/>
        <w:numPr>
          <w:ilvl w:val="0"/>
          <w:numId w:val="156"/>
        </w:numPr>
        <w:ind w:left="1080" w:hanging="1080"/>
        <w:jc w:val="both"/>
      </w:pPr>
      <w:r w:rsidRPr="005D6C4E">
        <w:t xml:space="preserve">Spacing Criteria: SPT borings </w:t>
      </w:r>
      <w:r>
        <w:t>should</w:t>
      </w:r>
      <w:r w:rsidRPr="005D6C4E">
        <w:t xml:space="preserve"> be spaced based on the nature of the structure and the </w:t>
      </w:r>
      <w:r>
        <w:t>lateral</w:t>
      </w:r>
      <w:r w:rsidRPr="005D6C4E">
        <w:t xml:space="preserve"> variation of the sub-soils.  Spacing criteria for SPT borings for structures </w:t>
      </w:r>
      <w:r w:rsidR="009F127A">
        <w:t xml:space="preserve">should be </w:t>
      </w:r>
      <w:r w:rsidRPr="005D6C4E">
        <w:t>provided by the OOS designer.</w:t>
      </w:r>
      <w:r w:rsidR="009F127A">
        <w:t xml:space="preserve"> Under no circumstances should the following typical boring spacing be specified for structures without approval from the OOS designer.</w:t>
      </w:r>
      <w:r w:rsidR="009F127A" w:rsidRPr="005D6C4E">
        <w:t xml:space="preserve"> </w:t>
      </w:r>
      <w:r w:rsidRPr="005D6C4E">
        <w:t xml:space="preserve"> Spacing criteria for SPT borings for embankments/fill slopes and for cut slopes should be determined by the PAGD Engineer and </w:t>
      </w:r>
      <w:r>
        <w:t xml:space="preserve">the </w:t>
      </w:r>
      <w:r w:rsidRPr="005D6C4E">
        <w:t>EGD Representative using the guidelines that follow.  Open communication should be established with the OOS designer and drillers prior to, during</w:t>
      </w:r>
      <w:r w:rsidR="00482910">
        <w:t>,</w:t>
      </w:r>
      <w:r w:rsidRPr="005D6C4E">
        <w:t xml:space="preserve"> and after the drilling operation to ensure that the number and spacing of borings </w:t>
      </w:r>
      <w:r w:rsidR="00482910">
        <w:t>are</w:t>
      </w:r>
      <w:r w:rsidR="00482910" w:rsidRPr="005D6C4E">
        <w:t xml:space="preserve"> </w:t>
      </w:r>
      <w:r w:rsidRPr="005D6C4E">
        <w:t xml:space="preserve">sufficient.  The following are the typical spacing criteria based on OMT experience and past OOS requests.  </w:t>
      </w:r>
      <w:r w:rsidRPr="000F3C2B">
        <w:rPr>
          <w:szCs w:val="22"/>
        </w:rPr>
        <w:t xml:space="preserve">Refer to </w:t>
      </w:r>
      <w:r w:rsidRPr="000F3C2B">
        <w:rPr>
          <w:rFonts w:cs="Arial"/>
          <w:szCs w:val="22"/>
        </w:rPr>
        <w:t>"Subsurface Investigations" FHWA NHI-01-031 for additional guidelines</w:t>
      </w:r>
      <w:r w:rsidRPr="005D6C4E">
        <w:t xml:space="preserve">. </w:t>
      </w:r>
    </w:p>
    <w:p w14:paraId="4B6E1F64" w14:textId="5B3265E2" w:rsidR="000F3C2B" w:rsidRPr="00BF07C2" w:rsidRDefault="005F6516" w:rsidP="00172E64">
      <w:pPr>
        <w:pStyle w:val="ListNumber"/>
        <w:numPr>
          <w:ilvl w:val="0"/>
          <w:numId w:val="154"/>
        </w:numPr>
        <w:tabs>
          <w:tab w:val="clear" w:pos="1872"/>
        </w:tabs>
        <w:jc w:val="both"/>
      </w:pPr>
      <w:r>
        <w:t>If geophysics or in</w:t>
      </w:r>
      <w:r w:rsidR="00482910">
        <w:t>-</w:t>
      </w:r>
      <w:r>
        <w:t>situ tests will be completed</w:t>
      </w:r>
      <w:r w:rsidR="00482910">
        <w:t>,</w:t>
      </w:r>
      <w:r>
        <w:t xml:space="preserve"> the boring spacing may be altered from th</w:t>
      </w:r>
      <w:r w:rsidR="001A3751">
        <w:t>at</w:t>
      </w:r>
      <w:r>
        <w:t xml:space="preserve"> stated herein based on the clarity and reliability of those results. The geophysical report should explain the geophysical findings in </w:t>
      </w:r>
      <w:r>
        <w:lastRenderedPageBreak/>
        <w:t xml:space="preserve">such a way that the PAGD Engineer understands </w:t>
      </w:r>
      <w:r w:rsidR="00BF07C2">
        <w:t xml:space="preserve">how they apply to the project. </w:t>
      </w:r>
      <w:r>
        <w:t>Borings may be added to clarify and ground-truth particular geophysical findings, and in a few cases, the number of borings may be reduced.</w:t>
      </w:r>
      <w:r w:rsidRPr="00D407DF">
        <w:t xml:space="preserve"> </w:t>
      </w:r>
    </w:p>
    <w:p w14:paraId="5AB720E2" w14:textId="2EB53FFF" w:rsidR="001A15B9" w:rsidRPr="000F3C2B" w:rsidRDefault="003D2F70" w:rsidP="00172E64">
      <w:pPr>
        <w:pStyle w:val="ListNumber"/>
        <w:numPr>
          <w:ilvl w:val="0"/>
          <w:numId w:val="154"/>
        </w:numPr>
        <w:tabs>
          <w:tab w:val="clear" w:pos="1872"/>
        </w:tabs>
        <w:jc w:val="both"/>
        <w:rPr>
          <w:szCs w:val="22"/>
        </w:rPr>
      </w:pPr>
      <w:r w:rsidRPr="005D6C4E">
        <w:t xml:space="preserve">Retaining </w:t>
      </w:r>
      <w:r w:rsidR="00482910">
        <w:t>W</w:t>
      </w:r>
      <w:r w:rsidRPr="005D6C4E">
        <w:t>alls: Minimum</w:t>
      </w:r>
      <w:r w:rsidRPr="00BB3DC9">
        <w:t xml:space="preserve"> </w:t>
      </w:r>
      <w:r>
        <w:t>75 ft</w:t>
      </w:r>
      <w:r w:rsidR="00853E37">
        <w:t>.</w:t>
      </w:r>
      <w:r w:rsidRPr="00BB3DC9">
        <w:t xml:space="preserve"> </w:t>
      </w:r>
      <w:r>
        <w:t xml:space="preserve">spacing between the borings. Borings should </w:t>
      </w:r>
      <w:r w:rsidRPr="000F3C2B">
        <w:rPr>
          <w:rFonts w:cs="Arial"/>
          <w:color w:val="000000"/>
          <w:szCs w:val="22"/>
        </w:rPr>
        <w:t>be located in front and behind the wall face.</w:t>
      </w:r>
    </w:p>
    <w:p w14:paraId="3E756AF9" w14:textId="0C875063" w:rsidR="001A15B9" w:rsidRDefault="003D2F70" w:rsidP="00172E64">
      <w:pPr>
        <w:pStyle w:val="ListNumber"/>
        <w:numPr>
          <w:ilvl w:val="0"/>
          <w:numId w:val="154"/>
        </w:numPr>
        <w:tabs>
          <w:tab w:val="clear" w:pos="1872"/>
        </w:tabs>
        <w:jc w:val="both"/>
      </w:pPr>
      <w:r>
        <w:t xml:space="preserve">Noise </w:t>
      </w:r>
      <w:r w:rsidR="00482910">
        <w:t>W</w:t>
      </w:r>
      <w:r>
        <w:t xml:space="preserve">alls: </w:t>
      </w:r>
      <w:r w:rsidRPr="00BB3DC9">
        <w:t xml:space="preserve">Minimum </w:t>
      </w:r>
      <w:r>
        <w:t>150 ft</w:t>
      </w:r>
      <w:r w:rsidR="00853E37">
        <w:t>.</w:t>
      </w:r>
      <w:r w:rsidRPr="00BB3DC9">
        <w:t xml:space="preserve"> </w:t>
      </w:r>
      <w:r>
        <w:t>spacing between the borings. If two adjacent borings do not show consistency in the material and blow counts, a boring should be taken in between the 150 ft</w:t>
      </w:r>
      <w:r w:rsidR="00853E37">
        <w:t>.</w:t>
      </w:r>
      <w:r>
        <w:t xml:space="preserve"> spaced out borings. </w:t>
      </w:r>
    </w:p>
    <w:p w14:paraId="3995A960" w14:textId="45D010D9" w:rsidR="001A15B9" w:rsidRDefault="003D2F70" w:rsidP="00172E64">
      <w:pPr>
        <w:pStyle w:val="ListNumber"/>
        <w:numPr>
          <w:ilvl w:val="0"/>
          <w:numId w:val="154"/>
        </w:numPr>
        <w:tabs>
          <w:tab w:val="clear" w:pos="1872"/>
        </w:tabs>
        <w:jc w:val="both"/>
      </w:pPr>
      <w:r>
        <w:t>Bridges: Borings are typically taken at either side of the piers and abutments. For piers or abutments over 100 ft</w:t>
      </w:r>
      <w:r w:rsidR="00853E37">
        <w:t>.</w:t>
      </w:r>
      <w:r>
        <w:t xml:space="preserve"> wide, provide a minimum of two borings. For piers or abutments less than 100 ft</w:t>
      </w:r>
      <w:r w:rsidR="00853E37">
        <w:t>.</w:t>
      </w:r>
      <w:r>
        <w:t xml:space="preserve"> wide, provide a minimum of one boring. </w:t>
      </w:r>
      <w:r w:rsidRPr="003D3DBF">
        <w:rPr>
          <w:rFonts w:cs="Arial"/>
          <w:szCs w:val="22"/>
        </w:rPr>
        <w:t xml:space="preserve">Additional borings </w:t>
      </w:r>
      <w:r>
        <w:rPr>
          <w:rFonts w:cs="Arial"/>
          <w:szCs w:val="22"/>
        </w:rPr>
        <w:t xml:space="preserve">may be required </w:t>
      </w:r>
      <w:r w:rsidRPr="003D3DBF">
        <w:rPr>
          <w:rFonts w:cs="Arial"/>
          <w:szCs w:val="22"/>
        </w:rPr>
        <w:t>in areas of erratic subsurface conditions</w:t>
      </w:r>
      <w:r>
        <w:rPr>
          <w:rFonts w:cs="Arial"/>
          <w:szCs w:val="22"/>
        </w:rPr>
        <w:t>.</w:t>
      </w:r>
    </w:p>
    <w:p w14:paraId="3D8F9653" w14:textId="77777777" w:rsidR="001A15B9" w:rsidRDefault="003D2F70" w:rsidP="00172E64">
      <w:pPr>
        <w:pStyle w:val="ListNumber"/>
        <w:numPr>
          <w:ilvl w:val="0"/>
          <w:numId w:val="154"/>
        </w:numPr>
        <w:tabs>
          <w:tab w:val="clear" w:pos="1872"/>
        </w:tabs>
        <w:jc w:val="both"/>
        <w:rPr>
          <w:szCs w:val="22"/>
        </w:rPr>
      </w:pPr>
      <w:r w:rsidRPr="003D3DBF">
        <w:rPr>
          <w:szCs w:val="22"/>
        </w:rPr>
        <w:t>Bridge Approach Embankme</w:t>
      </w:r>
      <w:r>
        <w:rPr>
          <w:szCs w:val="22"/>
        </w:rPr>
        <w:t>nts over Soft Ground:</w:t>
      </w:r>
      <w:r w:rsidRPr="003D3DBF">
        <w:rPr>
          <w:szCs w:val="22"/>
        </w:rPr>
        <w:t xml:space="preserve"> </w:t>
      </w:r>
      <w:r w:rsidRPr="003D3DBF">
        <w:rPr>
          <w:rFonts w:cs="Arial"/>
          <w:color w:val="000000"/>
          <w:szCs w:val="22"/>
        </w:rPr>
        <w:t xml:space="preserve">When approach embankments are to be placed over soft ground, at least one boring should be made at each embankment to determine the problems associated with stability and settlement of the embankment. </w:t>
      </w:r>
    </w:p>
    <w:p w14:paraId="4886CECF" w14:textId="13E1C13A" w:rsidR="001A15B9" w:rsidRDefault="003D2F70" w:rsidP="00172E64">
      <w:pPr>
        <w:pStyle w:val="ListNumber"/>
        <w:numPr>
          <w:ilvl w:val="0"/>
          <w:numId w:val="154"/>
        </w:numPr>
        <w:tabs>
          <w:tab w:val="clear" w:pos="1872"/>
        </w:tabs>
        <w:jc w:val="both"/>
        <w:rPr>
          <w:szCs w:val="22"/>
        </w:rPr>
      </w:pPr>
      <w:r w:rsidRPr="003D3DBF">
        <w:rPr>
          <w:szCs w:val="22"/>
        </w:rPr>
        <w:t>Embankments</w:t>
      </w:r>
      <w:r>
        <w:rPr>
          <w:szCs w:val="22"/>
        </w:rPr>
        <w:t>/Fill Slopes and Cut Slopes</w:t>
      </w:r>
      <w:r w:rsidRPr="003D3DBF">
        <w:rPr>
          <w:szCs w:val="22"/>
        </w:rPr>
        <w:t xml:space="preserve">: </w:t>
      </w:r>
      <w:r w:rsidRPr="003D3DBF">
        <w:rPr>
          <w:rFonts w:cs="Arial"/>
          <w:szCs w:val="22"/>
        </w:rPr>
        <w:t xml:space="preserve">Borings </w:t>
      </w:r>
      <w:r>
        <w:rPr>
          <w:rFonts w:cs="Arial"/>
          <w:szCs w:val="22"/>
        </w:rPr>
        <w:t xml:space="preserve">are </w:t>
      </w:r>
      <w:r w:rsidRPr="003D3DBF">
        <w:rPr>
          <w:rFonts w:cs="Arial"/>
          <w:szCs w:val="22"/>
        </w:rPr>
        <w:t>typically spaced every 200 ft</w:t>
      </w:r>
      <w:r w:rsidR="00853E37">
        <w:rPr>
          <w:rFonts w:cs="Arial"/>
          <w:szCs w:val="22"/>
        </w:rPr>
        <w:t>.</w:t>
      </w:r>
      <w:r w:rsidRPr="003D3DBF">
        <w:rPr>
          <w:rFonts w:cs="Arial"/>
          <w:szCs w:val="22"/>
        </w:rPr>
        <w:t xml:space="preserve"> (erratic conditions) to 400 ft</w:t>
      </w:r>
      <w:r w:rsidR="00853E37">
        <w:rPr>
          <w:rFonts w:cs="Arial"/>
          <w:szCs w:val="22"/>
        </w:rPr>
        <w:t>.</w:t>
      </w:r>
      <w:r w:rsidRPr="003D3DBF">
        <w:rPr>
          <w:rFonts w:cs="Arial"/>
          <w:szCs w:val="22"/>
        </w:rPr>
        <w:t xml:space="preserve"> (uniform conditions) with at least one boring taken in each separate landform. For high cuts and fills, a minimum of 3 borings </w:t>
      </w:r>
      <w:r>
        <w:rPr>
          <w:rFonts w:cs="Arial"/>
          <w:szCs w:val="22"/>
        </w:rPr>
        <w:t xml:space="preserve">should be performed </w:t>
      </w:r>
      <w:r w:rsidRPr="003D3DBF">
        <w:rPr>
          <w:rFonts w:cs="Arial"/>
          <w:szCs w:val="22"/>
        </w:rPr>
        <w:t>along a line perpendicular to centerline or planned slope face to establish</w:t>
      </w:r>
      <w:r>
        <w:rPr>
          <w:rFonts w:cs="Arial"/>
          <w:szCs w:val="22"/>
        </w:rPr>
        <w:t xml:space="preserve"> the subsurface profile</w:t>
      </w:r>
      <w:r w:rsidRPr="003D3DBF">
        <w:rPr>
          <w:rFonts w:cs="Arial"/>
          <w:szCs w:val="22"/>
        </w:rPr>
        <w:t xml:space="preserve"> for analysis. </w:t>
      </w:r>
    </w:p>
    <w:p w14:paraId="76B8C12C" w14:textId="77777777" w:rsidR="000F3C2B" w:rsidRDefault="003D2F70" w:rsidP="00172E64">
      <w:pPr>
        <w:pStyle w:val="ListNumber"/>
        <w:numPr>
          <w:ilvl w:val="0"/>
          <w:numId w:val="154"/>
        </w:numPr>
        <w:tabs>
          <w:tab w:val="clear" w:pos="1872"/>
        </w:tabs>
        <w:jc w:val="both"/>
        <w:rPr>
          <w:rFonts w:cs="Arial"/>
          <w:szCs w:val="22"/>
        </w:rPr>
      </w:pPr>
      <w:r w:rsidRPr="000F3C2B">
        <w:rPr>
          <w:rFonts w:cs="Arial"/>
          <w:szCs w:val="22"/>
        </w:rPr>
        <w:t xml:space="preserve">Headwalls and Culverts: A minimum of one boring at each headwall of major culverts is required. Additional borings should be provided for long culverts or in areas of erratic subsurface conditions. </w:t>
      </w:r>
    </w:p>
    <w:p w14:paraId="28D7BD5B" w14:textId="3E2390C0" w:rsidR="000F3C2B" w:rsidRPr="003A2C9E" w:rsidRDefault="003D2F70" w:rsidP="00172E64">
      <w:pPr>
        <w:pStyle w:val="ListNumber"/>
        <w:numPr>
          <w:ilvl w:val="0"/>
          <w:numId w:val="156"/>
        </w:numPr>
        <w:ind w:left="1080" w:hanging="1080"/>
        <w:jc w:val="both"/>
        <w:rPr>
          <w:szCs w:val="22"/>
        </w:rPr>
      </w:pPr>
      <w:r w:rsidRPr="000F3C2B">
        <w:rPr>
          <w:rFonts w:cs="Arial"/>
          <w:szCs w:val="22"/>
        </w:rPr>
        <w:t>Undisturbed Samples should be requested for testing in laboratory to obtain soil properties (shear strength, cohesion, compressibility index, etc.) of soils. Soil properties are required for slope stability analysis, computing bearing capacities</w:t>
      </w:r>
      <w:r w:rsidR="00482910">
        <w:rPr>
          <w:rFonts w:cs="Arial"/>
          <w:szCs w:val="22"/>
        </w:rPr>
        <w:t>,</w:t>
      </w:r>
      <w:r w:rsidRPr="000F3C2B">
        <w:rPr>
          <w:rFonts w:cs="Arial"/>
          <w:szCs w:val="22"/>
        </w:rPr>
        <w:t xml:space="preserve"> and magnitude and time rate of </w:t>
      </w:r>
      <w:r w:rsidRPr="003A2C9E">
        <w:rPr>
          <w:rFonts w:cs="Arial"/>
          <w:szCs w:val="22"/>
        </w:rPr>
        <w:t>settlements.</w:t>
      </w:r>
      <w:r w:rsidR="004913E2" w:rsidRPr="003A2C9E">
        <w:rPr>
          <w:rFonts w:cs="Arial"/>
          <w:szCs w:val="22"/>
        </w:rPr>
        <w:t xml:space="preserve"> </w:t>
      </w:r>
      <w:r w:rsidR="004913E2" w:rsidRPr="003A2C9E">
        <w:rPr>
          <w:rFonts w:cs="Arial"/>
        </w:rPr>
        <w:t>Undisturbed samples may be collected within cohesive soils where measured SPT N- value is less than 10 bpf.  EGD should be consulted when determining the requirements for undisturbed soil sample collection.</w:t>
      </w:r>
      <w:r w:rsidR="004913E2" w:rsidRPr="003A2C9E">
        <w:rPr>
          <w:rFonts w:ascii="Calibri" w:hAnsi="Calibri" w:cs="Calibri"/>
        </w:rPr>
        <w:t xml:space="preserve">   </w:t>
      </w:r>
    </w:p>
    <w:p w14:paraId="77881602" w14:textId="0DC6D566" w:rsidR="000F3C2B" w:rsidRDefault="003D2F70" w:rsidP="00172E64">
      <w:pPr>
        <w:pStyle w:val="ListNumber"/>
        <w:numPr>
          <w:ilvl w:val="0"/>
          <w:numId w:val="156"/>
        </w:numPr>
        <w:ind w:left="1080" w:hanging="1080"/>
        <w:jc w:val="both"/>
      </w:pPr>
      <w:r w:rsidRPr="000F3C2B">
        <w:rPr>
          <w:rFonts w:cs="Arial"/>
          <w:szCs w:val="22"/>
        </w:rPr>
        <w:t>Type of Sampling: Discrete Sampling (5</w:t>
      </w:r>
      <w:r w:rsidR="00482910">
        <w:rPr>
          <w:rFonts w:cs="Arial"/>
          <w:szCs w:val="22"/>
        </w:rPr>
        <w:t>-</w:t>
      </w:r>
      <w:r w:rsidRPr="000F3C2B">
        <w:rPr>
          <w:rFonts w:cs="Arial"/>
          <w:szCs w:val="22"/>
        </w:rPr>
        <w:t>ft</w:t>
      </w:r>
      <w:r w:rsidR="001A3751">
        <w:rPr>
          <w:rFonts w:cs="Arial"/>
          <w:szCs w:val="22"/>
        </w:rPr>
        <w:t>.</w:t>
      </w:r>
      <w:r w:rsidRPr="000F3C2B">
        <w:rPr>
          <w:rFonts w:cs="Arial"/>
          <w:szCs w:val="22"/>
        </w:rPr>
        <w:t xml:space="preserve"> intervals) and Continuous Sampling. For bridge piers, abutments, headwalls, and culverts, continuous sampling (typically performed 15 to 20 ft</w:t>
      </w:r>
      <w:r w:rsidR="00853E37">
        <w:rPr>
          <w:rFonts w:cs="Arial"/>
          <w:szCs w:val="22"/>
        </w:rPr>
        <w:t>.</w:t>
      </w:r>
      <w:r w:rsidRPr="000F3C2B">
        <w:rPr>
          <w:rFonts w:cs="Arial"/>
          <w:szCs w:val="22"/>
        </w:rPr>
        <w:t xml:space="preserve"> below bottom of proposed structure foundation) is preferred where detailed soil information is required followed by discrete sampling thereafter. As necessary, u</w:t>
      </w:r>
      <w:r>
        <w:t>ndisturbed samples should be requested at select locations and in cohesive material.  Note that undisturbed samples are relatively costly to obtain and should only be requested when and if necessary.</w:t>
      </w:r>
    </w:p>
    <w:p w14:paraId="3AC155A5" w14:textId="28A777C6" w:rsidR="001A15B9" w:rsidRDefault="003D2F70" w:rsidP="00172E64">
      <w:pPr>
        <w:pStyle w:val="ListNumber"/>
        <w:numPr>
          <w:ilvl w:val="0"/>
          <w:numId w:val="156"/>
        </w:numPr>
        <w:ind w:left="1080" w:hanging="1080"/>
        <w:jc w:val="both"/>
      </w:pPr>
      <w:r>
        <w:t xml:space="preserve">SPT </w:t>
      </w:r>
      <w:r w:rsidR="00482910">
        <w:t xml:space="preserve">Boring Request for </w:t>
      </w:r>
      <w:r w:rsidRPr="005A3721">
        <w:t>Structure</w:t>
      </w:r>
      <w:r>
        <w:t>s</w:t>
      </w:r>
      <w:r w:rsidRPr="005A3721">
        <w:t xml:space="preserve"> </w:t>
      </w:r>
      <w:r w:rsidR="00482910" w:rsidRPr="005A3721">
        <w:t>Re</w:t>
      </w:r>
      <w:r w:rsidRPr="005A3721">
        <w:t>quire</w:t>
      </w:r>
      <w:r w:rsidR="00E11254">
        <w:t>s</w:t>
      </w:r>
      <w:r>
        <w:t xml:space="preserve">: </w:t>
      </w:r>
      <w:r w:rsidR="00482910">
        <w:t xml:space="preserve"> </w:t>
      </w:r>
      <w:r w:rsidRPr="005A3721">
        <w:t>Station, Offset, Nor</w:t>
      </w:r>
      <w:r>
        <w:t>thing and Easting</w:t>
      </w:r>
      <w:r w:rsidR="00E11254">
        <w:t>,</w:t>
      </w:r>
      <w:r w:rsidR="00CC3053">
        <w:t xml:space="preserve"> and Elevation</w:t>
      </w:r>
      <w:r>
        <w:t>.</w:t>
      </w:r>
    </w:p>
    <w:p w14:paraId="25FF6BCA" w14:textId="77777777" w:rsidR="003D2F70" w:rsidRPr="00AA026F" w:rsidRDefault="003D2F70" w:rsidP="006734A3">
      <w:pPr>
        <w:pStyle w:val="ListNumber"/>
        <w:numPr>
          <w:ilvl w:val="12"/>
          <w:numId w:val="0"/>
        </w:numPr>
        <w:tabs>
          <w:tab w:val="clear" w:pos="1872"/>
        </w:tabs>
        <w:ind w:left="1080" w:hanging="1080"/>
        <w:jc w:val="both"/>
      </w:pPr>
    </w:p>
    <w:p w14:paraId="52D6FDD9" w14:textId="77777777" w:rsidR="003D2F70" w:rsidRDefault="003D2F70" w:rsidP="006336A5">
      <w:pPr>
        <w:pStyle w:val="Heading5"/>
        <w:tabs>
          <w:tab w:val="clear" w:pos="1080"/>
          <w:tab w:val="left" w:pos="1800"/>
        </w:tabs>
        <w:ind w:left="0" w:firstLine="0"/>
      </w:pPr>
      <w:r>
        <w:lastRenderedPageBreak/>
        <w:t xml:space="preserve">Prepare and Submit </w:t>
      </w:r>
      <w:r w:rsidRPr="00316117">
        <w:t>Request Forms</w:t>
      </w:r>
      <w:r>
        <w:tab/>
      </w:r>
    </w:p>
    <w:p w14:paraId="1CD54307" w14:textId="1F6A65FC" w:rsidR="001A15B9" w:rsidRDefault="003D2F70" w:rsidP="00172E64">
      <w:pPr>
        <w:pStyle w:val="ListNumber"/>
        <w:numPr>
          <w:ilvl w:val="0"/>
          <w:numId w:val="156"/>
        </w:numPr>
        <w:ind w:left="1080" w:hanging="1080"/>
        <w:jc w:val="both"/>
      </w:pPr>
      <w:r w:rsidRPr="00225CCA">
        <w:t xml:space="preserve">Prepare form PAGD – SPT Boring Request and </w:t>
      </w:r>
      <w:r>
        <w:t>PAGD</w:t>
      </w:r>
      <w:r w:rsidR="00E11254">
        <w:t xml:space="preserve"> – </w:t>
      </w:r>
      <w:r w:rsidRPr="00225CCA">
        <w:t xml:space="preserve">SPT Boring Criteria. See </w:t>
      </w:r>
      <w:hyperlink w:anchor="_Forms,_Spreadsheets_&amp;" w:history="1">
        <w:r w:rsidR="00741EDE">
          <w:rPr>
            <w:rStyle w:val="Hyperlink"/>
          </w:rPr>
          <w:t>Forms, Spreadsheets &amp; Guidelines</w:t>
        </w:r>
      </w:hyperlink>
      <w:r w:rsidRPr="00225CCA">
        <w:t xml:space="preserve"> for examples of the SPT Boring Request, and SPT Boring Criteria</w:t>
      </w:r>
      <w:r>
        <w:t>.</w:t>
      </w:r>
      <w:r w:rsidRPr="00225CCA">
        <w:t xml:space="preserve"> The SPT Boring Criteria is for reference only and should be revised </w:t>
      </w:r>
      <w:r w:rsidR="00E11254">
        <w:t>for</w:t>
      </w:r>
      <w:r w:rsidR="00E11254" w:rsidRPr="00225CCA">
        <w:t xml:space="preserve"> </w:t>
      </w:r>
      <w:r w:rsidRPr="00225CCA">
        <w:t>the project in consideration.</w:t>
      </w:r>
    </w:p>
    <w:p w14:paraId="3C792B2D" w14:textId="5121FD17" w:rsidR="001A15B9" w:rsidRDefault="003D2F70" w:rsidP="00172E64">
      <w:pPr>
        <w:pStyle w:val="ListNumber"/>
        <w:numPr>
          <w:ilvl w:val="0"/>
          <w:numId w:val="156"/>
        </w:numPr>
        <w:tabs>
          <w:tab w:val="num" w:pos="2322"/>
        </w:tabs>
        <w:ind w:left="1080" w:hanging="1080"/>
        <w:jc w:val="both"/>
      </w:pPr>
      <w:r w:rsidRPr="003A0262">
        <w:t xml:space="preserve">Attempt to include requests for </w:t>
      </w:r>
      <w:r>
        <w:t xml:space="preserve">soil survey, </w:t>
      </w:r>
      <w:r w:rsidRPr="003A0262">
        <w:t>SW</w:t>
      </w:r>
      <w:r w:rsidRPr="00D10689">
        <w:t xml:space="preserve">M </w:t>
      </w:r>
      <w:r>
        <w:t>borings</w:t>
      </w:r>
      <w:r w:rsidR="00E11254">
        <w:t>,</w:t>
      </w:r>
      <w:r>
        <w:t xml:space="preserve"> </w:t>
      </w:r>
      <w:r w:rsidRPr="00D10689">
        <w:t xml:space="preserve">and </w:t>
      </w:r>
      <w:r>
        <w:t>SPT</w:t>
      </w:r>
      <w:r w:rsidRPr="00D10689">
        <w:t xml:space="preserve"> boring</w:t>
      </w:r>
      <w:r w:rsidRPr="003A0262">
        <w:t xml:space="preserve">s in </w:t>
      </w:r>
      <w:r>
        <w:t xml:space="preserve">the </w:t>
      </w:r>
      <w:r w:rsidRPr="003A0262">
        <w:t xml:space="preserve">same </w:t>
      </w:r>
      <w:r>
        <w:t xml:space="preserve">request </w:t>
      </w:r>
      <w:r w:rsidRPr="003A0262">
        <w:t>package, if possible.</w:t>
      </w:r>
    </w:p>
    <w:p w14:paraId="0F7A29B4" w14:textId="4FD73103" w:rsidR="001A15B9" w:rsidRDefault="003D2F70" w:rsidP="00172E64">
      <w:pPr>
        <w:pStyle w:val="ListNumber"/>
        <w:numPr>
          <w:ilvl w:val="0"/>
          <w:numId w:val="156"/>
        </w:numPr>
        <w:tabs>
          <w:tab w:val="num" w:pos="2322"/>
        </w:tabs>
        <w:ind w:left="1080" w:hanging="1080"/>
        <w:jc w:val="both"/>
      </w:pPr>
      <w:r w:rsidRPr="008C4351">
        <w:t xml:space="preserve">Submit completed form PAGD – SPT Boring Request and </w:t>
      </w:r>
      <w:r>
        <w:t>PAGD</w:t>
      </w:r>
      <w:r w:rsidR="00E11254">
        <w:t xml:space="preserve"> – </w:t>
      </w:r>
      <w:r w:rsidRPr="008C4351">
        <w:t xml:space="preserve">SPT Boring Criteria to PAGD TL </w:t>
      </w:r>
      <w:r w:rsidR="005F77E3">
        <w:t xml:space="preserve">and EGD </w:t>
      </w:r>
      <w:r w:rsidRPr="008C4351">
        <w:t>for review.</w:t>
      </w:r>
    </w:p>
    <w:p w14:paraId="5C9E9563" w14:textId="09CB0A78" w:rsidR="001A15B9" w:rsidRDefault="003D2F70" w:rsidP="00172E64">
      <w:pPr>
        <w:pStyle w:val="ListNumber"/>
        <w:numPr>
          <w:ilvl w:val="0"/>
          <w:numId w:val="156"/>
        </w:numPr>
        <w:tabs>
          <w:tab w:val="num" w:pos="2322"/>
        </w:tabs>
        <w:ind w:left="1080" w:hanging="1080"/>
        <w:jc w:val="both"/>
      </w:pPr>
      <w:r w:rsidRPr="008C4351">
        <w:t>If approved by PAGD TL, submit two copies of form PAGD – SPT Boring Request and PAGD</w:t>
      </w:r>
      <w:r w:rsidR="00E11254">
        <w:t xml:space="preserve"> – </w:t>
      </w:r>
      <w:r w:rsidRPr="008C4351">
        <w:t>SPT Boring Criteria to FED.  In addition, provide two copies of the request letter (</w:t>
      </w:r>
      <w:r w:rsidR="00E11254">
        <w:t>f</w:t>
      </w:r>
      <w:r w:rsidRPr="008C4351">
        <w:t>rom OHD, OOS, District, etc.) and two copies of the plan sheets (with cross-sections, if available) to FED.</w:t>
      </w:r>
    </w:p>
    <w:p w14:paraId="4AD5DD3E" w14:textId="4D5D4C0C" w:rsidR="001A15B9" w:rsidRDefault="003D2F70" w:rsidP="00172E64">
      <w:pPr>
        <w:pStyle w:val="ListNumber"/>
        <w:numPr>
          <w:ilvl w:val="0"/>
          <w:numId w:val="156"/>
        </w:numPr>
        <w:tabs>
          <w:tab w:val="num" w:pos="2322"/>
        </w:tabs>
        <w:ind w:left="1080" w:hanging="1080"/>
        <w:jc w:val="both"/>
      </w:pPr>
      <w:r w:rsidRPr="00001EA3">
        <w:t>Request a boring stake-out through the PM.  Provide the PM with a table of borings including boring numbers, locations (station and offset, coordinates).</w:t>
      </w:r>
      <w:r w:rsidR="005F77E3">
        <w:t xml:space="preserve"> A request for stake-out may also be made directly to the Plats &amp; Survey Division with a cc to the PM and FED.  Request that the survey book be sent to PAGD and FED upon completion of the stake-out.  </w:t>
      </w:r>
      <w:r>
        <w:t xml:space="preserve">Note that SPT borings requested </w:t>
      </w:r>
      <w:r w:rsidRPr="008C4351">
        <w:t>by OOS generally</w:t>
      </w:r>
      <w:r>
        <w:t xml:space="preserve"> already have a stake-out requested</w:t>
      </w:r>
      <w:r w:rsidR="005F77E3">
        <w:t xml:space="preserve"> by cc on OOS’s boring request</w:t>
      </w:r>
      <w:r>
        <w:t>.</w:t>
      </w:r>
      <w:r w:rsidR="005F77E3">
        <w:t xml:space="preserve">  Therefore, an additional request for a stake-out of SPT borings for embankments/fill or cut slopes may be required.</w:t>
      </w:r>
      <w:r>
        <w:t xml:space="preserve">  </w:t>
      </w:r>
    </w:p>
    <w:p w14:paraId="759B91F6" w14:textId="005E369B" w:rsidR="00C434AD" w:rsidRDefault="00C434AD" w:rsidP="00BE3F24">
      <w:pPr>
        <w:pStyle w:val="Heading2"/>
        <w:ind w:left="0" w:firstLine="0"/>
        <w:sectPr w:rsidR="00C434AD" w:rsidSect="003B0918">
          <w:headerReference w:type="default" r:id="rId109"/>
          <w:footerReference w:type="default" r:id="rId110"/>
          <w:pgSz w:w="12240" w:h="15840"/>
          <w:pgMar w:top="1440" w:right="1800" w:bottom="1296" w:left="1800" w:header="720" w:footer="720" w:gutter="0"/>
          <w:pgNumType w:chapStyle="1"/>
          <w:cols w:space="720"/>
          <w:docGrid w:linePitch="272"/>
        </w:sectPr>
      </w:pPr>
    </w:p>
    <w:p w14:paraId="6C3B9428" w14:textId="16940E2D" w:rsidR="00C434AD" w:rsidRDefault="00C434AD" w:rsidP="00BE3F24">
      <w:pPr>
        <w:pStyle w:val="Heading2"/>
        <w:ind w:left="0" w:firstLine="0"/>
      </w:pPr>
      <w:bookmarkStart w:id="141" w:name="_Requests_for_Lab"/>
      <w:bookmarkStart w:id="142" w:name="_Toc479160087"/>
      <w:bookmarkStart w:id="143" w:name="_Toc514057976"/>
      <w:bookmarkStart w:id="144" w:name="_Toc194932372"/>
      <w:bookmarkEnd w:id="141"/>
      <w:r>
        <w:lastRenderedPageBreak/>
        <w:t xml:space="preserve">Requests </w:t>
      </w:r>
      <w:r w:rsidR="00994B26">
        <w:t>F</w:t>
      </w:r>
      <w:r>
        <w:t>or Lab Work</w:t>
      </w:r>
      <w:bookmarkEnd w:id="142"/>
      <w:bookmarkEnd w:id="143"/>
      <w:bookmarkEnd w:id="144"/>
    </w:p>
    <w:p w14:paraId="44AFC43B" w14:textId="7240C12D" w:rsidR="007E1D5E" w:rsidRDefault="007E1D5E" w:rsidP="007E1D5E">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OMT_Internal_Meetings" w:history="1">
        <w:r w:rsidRPr="008F604D">
          <w:rPr>
            <w:rStyle w:val="Hyperlink"/>
            <w:rFonts w:ascii="Arial" w:hAnsi="Arial" w:cs="Arial"/>
            <w:bCs/>
            <w:sz w:val="16"/>
            <w:szCs w:val="16"/>
          </w:rPr>
          <w:t>OMT Internal Meetings (OMT P</w:t>
        </w:r>
        <w:r w:rsidR="00A4196F">
          <w:rPr>
            <w:rStyle w:val="Hyperlink"/>
            <w:rFonts w:ascii="Arial" w:hAnsi="Arial" w:cs="Arial"/>
            <w:bCs/>
            <w:sz w:val="16"/>
            <w:szCs w:val="16"/>
          </w:rPr>
          <w:t xml:space="preserve">roject </w:t>
        </w:r>
        <w:r w:rsidRPr="008F604D">
          <w:rPr>
            <w:rStyle w:val="Hyperlink"/>
            <w:rFonts w:ascii="Arial" w:hAnsi="Arial" w:cs="Arial"/>
            <w:bCs/>
            <w:sz w:val="16"/>
            <w:szCs w:val="16"/>
          </w:rPr>
          <w:t>I</w:t>
        </w:r>
        <w:r w:rsidR="00A4196F">
          <w:rPr>
            <w:rStyle w:val="Hyperlink"/>
            <w:rFonts w:ascii="Arial" w:hAnsi="Arial" w:cs="Arial"/>
            <w:bCs/>
            <w:sz w:val="16"/>
            <w:szCs w:val="16"/>
          </w:rPr>
          <w:t>nitiation</w:t>
        </w:r>
        <w:r w:rsidRPr="008F604D">
          <w:rPr>
            <w:rStyle w:val="Hyperlink"/>
            <w:rFonts w:ascii="Arial" w:hAnsi="Arial" w:cs="Arial"/>
            <w:bCs/>
            <w:sz w:val="16"/>
            <w:szCs w:val="16"/>
          </w:rPr>
          <w:t>)</w:t>
        </w:r>
      </w:hyperlink>
    </w:p>
    <w:p w14:paraId="2607F576" w14:textId="5D7E13F1" w:rsidR="00836AD9" w:rsidRPr="008F604D" w:rsidRDefault="00836AD9" w:rsidP="00836AD9">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ests_For_Geotechnical_1" w:history="1">
        <w:r w:rsidRPr="00836AD9">
          <w:rPr>
            <w:rStyle w:val="Hyperlink"/>
            <w:rFonts w:ascii="Arial" w:hAnsi="Arial" w:cs="Arial"/>
            <w:bCs/>
            <w:sz w:val="16"/>
            <w:szCs w:val="16"/>
          </w:rPr>
          <w:t xml:space="preserve">Requests </w:t>
        </w:r>
        <w:r w:rsidR="00A4196F">
          <w:rPr>
            <w:rStyle w:val="Hyperlink"/>
            <w:rFonts w:ascii="Arial" w:hAnsi="Arial" w:cs="Arial"/>
            <w:bCs/>
            <w:sz w:val="16"/>
            <w:szCs w:val="16"/>
          </w:rPr>
          <w:t>f</w:t>
        </w:r>
        <w:r w:rsidRPr="00836AD9">
          <w:rPr>
            <w:rStyle w:val="Hyperlink"/>
            <w:rFonts w:ascii="Arial" w:hAnsi="Arial" w:cs="Arial"/>
            <w:bCs/>
            <w:sz w:val="16"/>
            <w:szCs w:val="16"/>
          </w:rPr>
          <w:t xml:space="preserve">or Geotechnical Field </w:t>
        </w:r>
        <w:r w:rsidR="00A4196F">
          <w:rPr>
            <w:rStyle w:val="Hyperlink"/>
            <w:rFonts w:ascii="Arial" w:hAnsi="Arial" w:cs="Arial"/>
            <w:bCs/>
            <w:sz w:val="16"/>
            <w:szCs w:val="16"/>
          </w:rPr>
          <w:t>W</w:t>
        </w:r>
        <w:r w:rsidRPr="00836AD9">
          <w:rPr>
            <w:rStyle w:val="Hyperlink"/>
            <w:rFonts w:ascii="Arial" w:hAnsi="Arial" w:cs="Arial"/>
            <w:bCs/>
            <w:sz w:val="16"/>
            <w:szCs w:val="16"/>
          </w:rPr>
          <w:t>ork</w:t>
        </w:r>
      </w:hyperlink>
    </w:p>
    <w:p w14:paraId="1A60642B" w14:textId="768DB4F3" w:rsidR="00B96F86" w:rsidRDefault="00697966" w:rsidP="00BE3F24">
      <w:pPr>
        <w:pStyle w:val="Heading3"/>
        <w:ind w:left="0" w:firstLine="0"/>
      </w:pPr>
      <w:r>
        <w:t>Laboratory Testing</w:t>
      </w:r>
    </w:p>
    <w:p w14:paraId="7EEF9737" w14:textId="77777777" w:rsidR="00B96F86" w:rsidRDefault="00B96F86" w:rsidP="00BE3F24">
      <w:pPr>
        <w:pStyle w:val="Heading4"/>
        <w:ind w:left="0" w:firstLine="0"/>
      </w:pPr>
      <w:r w:rsidRPr="00E03DDA">
        <w:t>General</w:t>
      </w:r>
    </w:p>
    <w:p w14:paraId="488911C4" w14:textId="77777777" w:rsidR="00B96F86" w:rsidRPr="00B96F86" w:rsidRDefault="00B96F86" w:rsidP="00BE3F24">
      <w:pPr>
        <w:tabs>
          <w:tab w:val="left" w:pos="1917"/>
        </w:tabs>
        <w:jc w:val="both"/>
        <w:rPr>
          <w:rFonts w:ascii="Arial" w:hAnsi="Arial" w:cs="Arial"/>
          <w:sz w:val="22"/>
          <w:szCs w:val="22"/>
        </w:rPr>
      </w:pPr>
      <w:r w:rsidRPr="00B96F86">
        <w:rPr>
          <w:rFonts w:ascii="Arial" w:hAnsi="Arial" w:cs="Arial"/>
          <w:sz w:val="22"/>
          <w:szCs w:val="22"/>
        </w:rPr>
        <w:t>Laboratory testing of soils is a fundamental step in the process of providing geotechnical engineering recommendations. Laboratory testing is generally performed on soil samples collected during the subsurface investigation to evaluate the engineering properties of the soils for use in the design and analysis of the foundations, slopes, embankments, pavements, and other structures, and to aid in providing recommendations for construction considerations.  Planning for laboratory testing begins during the planning of the subsurface investigation, so that adequate samples are collected for testing.  The complexity of testing required for a particular project may range from simple moisture content determinations to specialized testing such as evaluating the strength and stiffness characteristics of soil. Since some testing can be expensive and time consuming, the design needs of the project should be reviewed prior to planning the laboratory-testing program. Specifying unnecessary laboratory tests will add time and cost to the project and use samples which could be used for needed tests. Chapters 7 through 10 of the “Subsurface Investigations" FHWA NHI-01-031 provide an overview of testing.</w:t>
      </w:r>
    </w:p>
    <w:p w14:paraId="4D7B5E8C" w14:textId="77777777" w:rsidR="00B96F86" w:rsidRPr="00B96F86" w:rsidRDefault="00B96F86" w:rsidP="00BE3F24">
      <w:pPr>
        <w:tabs>
          <w:tab w:val="left" w:pos="1917"/>
        </w:tabs>
        <w:jc w:val="both"/>
        <w:rPr>
          <w:rFonts w:ascii="Arial" w:hAnsi="Arial" w:cs="Arial"/>
          <w:b/>
          <w:i/>
          <w:sz w:val="22"/>
          <w:szCs w:val="22"/>
        </w:rPr>
      </w:pPr>
    </w:p>
    <w:p w14:paraId="10E7129B" w14:textId="77777777" w:rsidR="00B96F86" w:rsidRPr="00B96F86" w:rsidRDefault="00B96F86" w:rsidP="00BE3F24">
      <w:pPr>
        <w:tabs>
          <w:tab w:val="left" w:pos="1917"/>
        </w:tabs>
        <w:jc w:val="both"/>
        <w:rPr>
          <w:rFonts w:ascii="Arial" w:hAnsi="Arial" w:cs="Arial"/>
          <w:sz w:val="22"/>
          <w:szCs w:val="22"/>
        </w:rPr>
      </w:pPr>
      <w:r w:rsidRPr="00B96F86">
        <w:rPr>
          <w:rFonts w:ascii="Arial" w:hAnsi="Arial" w:cs="Arial"/>
          <w:sz w:val="22"/>
          <w:szCs w:val="22"/>
        </w:rPr>
        <w:t>Timeframe:  Estimate 6 weeks from the time the borings are completed and the samples are submitted to the lab to the time lab results are obtained.  This applies whether the project has 5 tests or 50 tests.</w:t>
      </w:r>
    </w:p>
    <w:p w14:paraId="0BC16D73" w14:textId="77777777" w:rsidR="00B96F86" w:rsidRPr="00B96F86" w:rsidRDefault="00B96F86" w:rsidP="00BE3F24">
      <w:pPr>
        <w:tabs>
          <w:tab w:val="left" w:pos="1917"/>
        </w:tabs>
        <w:jc w:val="both"/>
        <w:rPr>
          <w:rFonts w:ascii="Arial" w:hAnsi="Arial" w:cs="Arial"/>
          <w:sz w:val="22"/>
          <w:szCs w:val="22"/>
        </w:rPr>
      </w:pPr>
    </w:p>
    <w:p w14:paraId="16907D8B" w14:textId="77777777" w:rsidR="00B96F86" w:rsidRPr="00B96F86" w:rsidRDefault="00B96F86" w:rsidP="00BE3F24">
      <w:pPr>
        <w:tabs>
          <w:tab w:val="left" w:pos="1917"/>
        </w:tabs>
        <w:jc w:val="both"/>
        <w:rPr>
          <w:rFonts w:ascii="Arial" w:hAnsi="Arial" w:cs="Arial"/>
          <w:sz w:val="22"/>
          <w:szCs w:val="22"/>
        </w:rPr>
      </w:pPr>
      <w:r w:rsidRPr="00B96F86">
        <w:rPr>
          <w:rFonts w:ascii="Arial" w:hAnsi="Arial" w:cs="Arial"/>
          <w:sz w:val="22"/>
          <w:szCs w:val="22"/>
        </w:rPr>
        <w:t xml:space="preserve">SATD or their consultant conducts routine lab testing (classification, proctors, moisture content, grain size, pH and organic content).  Generally, samples are delivered to SATD within a week after drilling is completed.  </w:t>
      </w:r>
    </w:p>
    <w:p w14:paraId="402CE9C7" w14:textId="77777777" w:rsidR="00B96F86" w:rsidRDefault="00B96F86" w:rsidP="00916953"/>
    <w:p w14:paraId="16115E8C" w14:textId="77777777" w:rsidR="00B96F86" w:rsidRDefault="00B96F86" w:rsidP="00BE3F24">
      <w:pPr>
        <w:pStyle w:val="Heading4"/>
        <w:ind w:left="0" w:firstLine="0"/>
      </w:pPr>
      <w:r>
        <w:t>Purpose</w:t>
      </w:r>
    </w:p>
    <w:p w14:paraId="3364DFE0" w14:textId="77777777" w:rsidR="00B96F86" w:rsidRDefault="00B96F86" w:rsidP="00BE3F24">
      <w:pPr>
        <w:pStyle w:val="BodyText"/>
        <w:tabs>
          <w:tab w:val="left" w:pos="1917"/>
        </w:tabs>
        <w:spacing w:after="0"/>
        <w:jc w:val="both"/>
      </w:pPr>
      <w:r>
        <w:t xml:space="preserve">The purpose of laboratory testing is to </w:t>
      </w:r>
      <w:r w:rsidRPr="0022080C">
        <w:rPr>
          <w:rFonts w:cs="Arial"/>
          <w:szCs w:val="22"/>
        </w:rPr>
        <w:t xml:space="preserve">evaluate the engineering </w:t>
      </w:r>
      <w:r>
        <w:rPr>
          <w:rFonts w:cs="Arial"/>
          <w:szCs w:val="22"/>
        </w:rPr>
        <w:t xml:space="preserve">properties </w:t>
      </w:r>
      <w:r w:rsidRPr="0022080C">
        <w:rPr>
          <w:rFonts w:cs="Arial"/>
          <w:szCs w:val="22"/>
        </w:rPr>
        <w:t>of the soils for use in the design and analysis of the foundations, slopes, embankments, pavements, and other structures, and to aid in providing recommendations for construction considerations.</w:t>
      </w:r>
      <w:r>
        <w:rPr>
          <w:rFonts w:cs="Arial"/>
          <w:szCs w:val="22"/>
        </w:rPr>
        <w:t xml:space="preserve"> Depending on the complexity of the project, the following types of laboratory tests are generally performed</w:t>
      </w:r>
      <w:r>
        <w:t>:</w:t>
      </w:r>
    </w:p>
    <w:p w14:paraId="3FED6500" w14:textId="77777777" w:rsidR="00B96F86" w:rsidRDefault="00B96F86" w:rsidP="00BE3F24">
      <w:pPr>
        <w:pStyle w:val="BodyText"/>
        <w:tabs>
          <w:tab w:val="left" w:pos="1917"/>
        </w:tabs>
        <w:spacing w:after="0"/>
        <w:jc w:val="both"/>
      </w:pPr>
    </w:p>
    <w:p w14:paraId="11487590" w14:textId="77777777" w:rsidR="001A15B9" w:rsidRDefault="00B96F86" w:rsidP="00172E64">
      <w:pPr>
        <w:pStyle w:val="BodyText"/>
        <w:numPr>
          <w:ilvl w:val="0"/>
          <w:numId w:val="40"/>
        </w:numPr>
        <w:tabs>
          <w:tab w:val="left" w:pos="1917"/>
        </w:tabs>
        <w:spacing w:after="0"/>
        <w:ind w:left="0" w:firstLine="0"/>
        <w:jc w:val="both"/>
      </w:pPr>
      <w:r>
        <w:t xml:space="preserve">Routine Laboratory Tests: </w:t>
      </w:r>
    </w:p>
    <w:p w14:paraId="23D2D082" w14:textId="45D2FFB9" w:rsidR="001A15B9" w:rsidRDefault="00B96F86" w:rsidP="00172E64">
      <w:pPr>
        <w:pStyle w:val="ListNumber"/>
        <w:numPr>
          <w:ilvl w:val="0"/>
          <w:numId w:val="164"/>
        </w:numPr>
        <w:tabs>
          <w:tab w:val="clear" w:pos="1872"/>
        </w:tabs>
        <w:ind w:left="1080"/>
        <w:jc w:val="both"/>
      </w:pPr>
      <w:r>
        <w:t>Classification</w:t>
      </w:r>
      <w:r w:rsidR="004C6C15">
        <w:t xml:space="preserve"> (AASHTO, USCS, USDA, etc.)</w:t>
      </w:r>
      <w:r>
        <w:t>, compaction, and index tests</w:t>
      </w:r>
      <w:r w:rsidR="00A4196F">
        <w:t>:</w:t>
      </w:r>
    </w:p>
    <w:p w14:paraId="6995D1BB" w14:textId="77777777" w:rsidR="001A15B9" w:rsidRDefault="00B96F86" w:rsidP="00172E64">
      <w:pPr>
        <w:pStyle w:val="BodyText"/>
        <w:numPr>
          <w:ilvl w:val="1"/>
          <w:numId w:val="41"/>
        </w:numPr>
        <w:tabs>
          <w:tab w:val="clear" w:pos="1800"/>
          <w:tab w:val="left" w:pos="1080"/>
          <w:tab w:val="left" w:pos="1917"/>
        </w:tabs>
        <w:spacing w:after="0"/>
        <w:ind w:left="720" w:firstLine="720"/>
        <w:jc w:val="both"/>
      </w:pPr>
      <w:r>
        <w:t>Natural Moisture Content</w:t>
      </w:r>
    </w:p>
    <w:p w14:paraId="339BF037" w14:textId="77777777" w:rsidR="001A15B9" w:rsidRDefault="00B96F86" w:rsidP="00172E64">
      <w:pPr>
        <w:pStyle w:val="BodyText"/>
        <w:numPr>
          <w:ilvl w:val="1"/>
          <w:numId w:val="41"/>
        </w:numPr>
        <w:tabs>
          <w:tab w:val="clear" w:pos="1800"/>
          <w:tab w:val="left" w:pos="1080"/>
          <w:tab w:val="left" w:pos="1917"/>
        </w:tabs>
        <w:spacing w:after="0"/>
        <w:ind w:left="720" w:firstLine="720"/>
        <w:jc w:val="both"/>
      </w:pPr>
      <w:r>
        <w:t>Natural Density</w:t>
      </w:r>
    </w:p>
    <w:p w14:paraId="005B3C6F" w14:textId="77777777" w:rsidR="001A15B9" w:rsidRDefault="00B96F86" w:rsidP="00172E64">
      <w:pPr>
        <w:pStyle w:val="BodyText"/>
        <w:numPr>
          <w:ilvl w:val="1"/>
          <w:numId w:val="41"/>
        </w:numPr>
        <w:tabs>
          <w:tab w:val="clear" w:pos="1800"/>
          <w:tab w:val="left" w:pos="1080"/>
          <w:tab w:val="left" w:pos="1917"/>
        </w:tabs>
        <w:spacing w:after="0"/>
        <w:ind w:left="720" w:firstLine="720"/>
        <w:jc w:val="both"/>
      </w:pPr>
      <w:r w:rsidRPr="007A2474">
        <w:t>Atterberg Limits</w:t>
      </w:r>
    </w:p>
    <w:p w14:paraId="472A289E" w14:textId="77777777" w:rsidR="001A15B9" w:rsidRDefault="00B96F86" w:rsidP="00172E64">
      <w:pPr>
        <w:pStyle w:val="BodyText"/>
        <w:numPr>
          <w:ilvl w:val="1"/>
          <w:numId w:val="41"/>
        </w:numPr>
        <w:tabs>
          <w:tab w:val="clear" w:pos="1800"/>
          <w:tab w:val="left" w:pos="1080"/>
          <w:tab w:val="left" w:pos="1917"/>
        </w:tabs>
        <w:spacing w:after="0"/>
        <w:ind w:left="720" w:firstLine="720"/>
        <w:jc w:val="both"/>
      </w:pPr>
      <w:r w:rsidRPr="007A2474">
        <w:t xml:space="preserve">Moisture-Density </w:t>
      </w:r>
      <w:r>
        <w:t>Relationship (Proctor T</w:t>
      </w:r>
      <w:r w:rsidRPr="007A2474">
        <w:t>ests)</w:t>
      </w:r>
    </w:p>
    <w:p w14:paraId="37651B61" w14:textId="77777777" w:rsidR="001A15B9" w:rsidRDefault="00B96F86" w:rsidP="00172E64">
      <w:pPr>
        <w:pStyle w:val="BodyText"/>
        <w:numPr>
          <w:ilvl w:val="1"/>
          <w:numId w:val="41"/>
        </w:numPr>
        <w:tabs>
          <w:tab w:val="clear" w:pos="1800"/>
          <w:tab w:val="left" w:pos="1080"/>
          <w:tab w:val="left" w:pos="1917"/>
        </w:tabs>
        <w:spacing w:after="0"/>
        <w:ind w:left="720" w:firstLine="720"/>
        <w:jc w:val="both"/>
      </w:pPr>
      <w:r w:rsidRPr="007A2474">
        <w:t xml:space="preserve">Grain </w:t>
      </w:r>
      <w:r>
        <w:t>Size D</w:t>
      </w:r>
      <w:r w:rsidRPr="007A2474">
        <w:t>istribution (</w:t>
      </w:r>
      <w:r>
        <w:t>S</w:t>
      </w:r>
      <w:r w:rsidRPr="007A2474">
        <w:t xml:space="preserve">ieve and </w:t>
      </w:r>
      <w:r>
        <w:t>Hydrometer A</w:t>
      </w:r>
      <w:r w:rsidRPr="007A2474">
        <w:t>nalyses)</w:t>
      </w:r>
    </w:p>
    <w:p w14:paraId="3CD82245" w14:textId="77777777" w:rsidR="001A15B9" w:rsidRDefault="00B96F86" w:rsidP="00172E64">
      <w:pPr>
        <w:pStyle w:val="BodyText"/>
        <w:numPr>
          <w:ilvl w:val="1"/>
          <w:numId w:val="41"/>
        </w:numPr>
        <w:tabs>
          <w:tab w:val="clear" w:pos="1800"/>
          <w:tab w:val="left" w:pos="1080"/>
          <w:tab w:val="left" w:pos="1917"/>
        </w:tabs>
        <w:spacing w:after="0"/>
        <w:ind w:left="720" w:firstLine="720"/>
        <w:jc w:val="both"/>
      </w:pPr>
      <w:r w:rsidRPr="007A2474">
        <w:t>Organic Content</w:t>
      </w:r>
    </w:p>
    <w:p w14:paraId="4AA7763A" w14:textId="77777777" w:rsidR="001A15B9" w:rsidRDefault="00B96F86" w:rsidP="00172E64">
      <w:pPr>
        <w:pStyle w:val="ListNumber"/>
        <w:numPr>
          <w:ilvl w:val="0"/>
          <w:numId w:val="164"/>
        </w:numPr>
        <w:tabs>
          <w:tab w:val="clear" w:pos="1872"/>
        </w:tabs>
        <w:spacing w:before="0"/>
        <w:ind w:left="1080"/>
        <w:jc w:val="both"/>
      </w:pPr>
      <w:r w:rsidRPr="007A2474">
        <w:t>Resilient</w:t>
      </w:r>
      <w:r>
        <w:t xml:space="preserve"> </w:t>
      </w:r>
      <w:r w:rsidRPr="007A2474">
        <w:t>Modulus</w:t>
      </w:r>
    </w:p>
    <w:p w14:paraId="490FEB23" w14:textId="77777777" w:rsidR="00FE71F0" w:rsidRDefault="00FE71F0">
      <w:pPr>
        <w:rPr>
          <w:rFonts w:ascii="Arial" w:hAnsi="Arial"/>
          <w:sz w:val="22"/>
        </w:rPr>
      </w:pPr>
      <w:r>
        <w:br w:type="page"/>
      </w:r>
    </w:p>
    <w:p w14:paraId="156F5BA6" w14:textId="7E2ABFE0" w:rsidR="001A15B9" w:rsidRDefault="00B96F86" w:rsidP="00172E64">
      <w:pPr>
        <w:pStyle w:val="BodyText"/>
        <w:numPr>
          <w:ilvl w:val="0"/>
          <w:numId w:val="40"/>
        </w:numPr>
        <w:tabs>
          <w:tab w:val="left" w:pos="1917"/>
        </w:tabs>
        <w:spacing w:before="120" w:after="0"/>
        <w:ind w:left="0" w:firstLine="0"/>
        <w:jc w:val="both"/>
      </w:pPr>
      <w:r>
        <w:lastRenderedPageBreak/>
        <w:t>Special Laboratory Tests:</w:t>
      </w:r>
    </w:p>
    <w:p w14:paraId="6C1BBB34" w14:textId="3563B95A" w:rsidR="001A15B9" w:rsidRDefault="00B96F86" w:rsidP="00172E64">
      <w:pPr>
        <w:pStyle w:val="ListNumber"/>
        <w:numPr>
          <w:ilvl w:val="0"/>
          <w:numId w:val="165"/>
        </w:numPr>
        <w:tabs>
          <w:tab w:val="clear" w:pos="1872"/>
        </w:tabs>
        <w:ind w:left="1080"/>
        <w:jc w:val="both"/>
      </w:pPr>
      <w:r>
        <w:t xml:space="preserve">Strength </w:t>
      </w:r>
      <w:r w:rsidR="00FE71F0">
        <w:t>T</w:t>
      </w:r>
      <w:r>
        <w:t>ests</w:t>
      </w:r>
      <w:r w:rsidR="00A4196F">
        <w:t>:</w:t>
      </w:r>
    </w:p>
    <w:p w14:paraId="7EE9BA2A" w14:textId="77777777" w:rsidR="001A15B9" w:rsidRDefault="00B96F86" w:rsidP="00172E64">
      <w:pPr>
        <w:pStyle w:val="BodyText"/>
        <w:numPr>
          <w:ilvl w:val="0"/>
          <w:numId w:val="166"/>
        </w:numPr>
        <w:tabs>
          <w:tab w:val="left" w:pos="1080"/>
          <w:tab w:val="left" w:pos="1917"/>
        </w:tabs>
        <w:spacing w:after="0"/>
        <w:jc w:val="both"/>
      </w:pPr>
      <w:r>
        <w:t>Unconfined Compression Test</w:t>
      </w:r>
    </w:p>
    <w:p w14:paraId="6797DC42" w14:textId="77777777" w:rsidR="001A15B9" w:rsidRDefault="00B96F86" w:rsidP="00172E64">
      <w:pPr>
        <w:pStyle w:val="BodyText"/>
        <w:numPr>
          <w:ilvl w:val="0"/>
          <w:numId w:val="166"/>
        </w:numPr>
        <w:tabs>
          <w:tab w:val="clear" w:pos="1800"/>
          <w:tab w:val="left" w:pos="1080"/>
          <w:tab w:val="left" w:pos="1917"/>
        </w:tabs>
        <w:spacing w:after="0"/>
        <w:jc w:val="both"/>
      </w:pPr>
      <w:r>
        <w:t>Direct Shear</w:t>
      </w:r>
    </w:p>
    <w:p w14:paraId="47E9CBAF" w14:textId="77777777" w:rsidR="001A15B9" w:rsidRDefault="00B96F86" w:rsidP="00172E64">
      <w:pPr>
        <w:pStyle w:val="BodyText"/>
        <w:numPr>
          <w:ilvl w:val="0"/>
          <w:numId w:val="166"/>
        </w:numPr>
        <w:tabs>
          <w:tab w:val="clear" w:pos="1800"/>
          <w:tab w:val="left" w:pos="1080"/>
          <w:tab w:val="left" w:pos="1917"/>
        </w:tabs>
        <w:spacing w:after="0"/>
        <w:jc w:val="both"/>
      </w:pPr>
      <w:r>
        <w:t>Triaxial Test</w:t>
      </w:r>
    </w:p>
    <w:p w14:paraId="6F37CE24" w14:textId="77777777" w:rsidR="001A15B9" w:rsidRDefault="00B96F86" w:rsidP="00172E64">
      <w:pPr>
        <w:pStyle w:val="ListNumber"/>
        <w:numPr>
          <w:ilvl w:val="0"/>
          <w:numId w:val="165"/>
        </w:numPr>
        <w:tabs>
          <w:tab w:val="clear" w:pos="1872"/>
        </w:tabs>
        <w:spacing w:before="0"/>
        <w:ind w:left="1080"/>
        <w:jc w:val="both"/>
      </w:pPr>
      <w:r>
        <w:t>Consolidation Tests</w:t>
      </w:r>
    </w:p>
    <w:p w14:paraId="4AEC258D" w14:textId="77777777" w:rsidR="001A15B9" w:rsidRDefault="00B96F86" w:rsidP="00172E64">
      <w:pPr>
        <w:pStyle w:val="ListNumber"/>
        <w:numPr>
          <w:ilvl w:val="0"/>
          <w:numId w:val="165"/>
        </w:numPr>
        <w:tabs>
          <w:tab w:val="clear" w:pos="1872"/>
        </w:tabs>
        <w:spacing w:before="0"/>
        <w:ind w:left="1080"/>
        <w:jc w:val="both"/>
      </w:pPr>
      <w:r>
        <w:t>Corrosivity Tests</w:t>
      </w:r>
    </w:p>
    <w:p w14:paraId="60697068" w14:textId="77777777" w:rsidR="001A15B9" w:rsidRDefault="00B96F86" w:rsidP="00172E64">
      <w:pPr>
        <w:pStyle w:val="ListNumber"/>
        <w:numPr>
          <w:ilvl w:val="0"/>
          <w:numId w:val="165"/>
        </w:numPr>
        <w:tabs>
          <w:tab w:val="clear" w:pos="1872"/>
        </w:tabs>
        <w:spacing w:before="0"/>
        <w:ind w:left="1080"/>
        <w:jc w:val="both"/>
      </w:pPr>
      <w:r w:rsidRPr="00AA3764">
        <w:t>Permeability Tests</w:t>
      </w:r>
    </w:p>
    <w:p w14:paraId="480A2BFC" w14:textId="77777777" w:rsidR="001A15B9" w:rsidRDefault="00B96F86" w:rsidP="00172E64">
      <w:pPr>
        <w:pStyle w:val="ListNumber"/>
        <w:numPr>
          <w:ilvl w:val="0"/>
          <w:numId w:val="165"/>
        </w:numPr>
        <w:tabs>
          <w:tab w:val="clear" w:pos="1872"/>
        </w:tabs>
        <w:spacing w:before="0"/>
        <w:ind w:left="1080"/>
        <w:jc w:val="both"/>
      </w:pPr>
      <w:r w:rsidRPr="00AA3764">
        <w:t>CBR Tests</w:t>
      </w:r>
    </w:p>
    <w:p w14:paraId="2E64EE3D" w14:textId="77777777" w:rsidR="00FE71F0" w:rsidRDefault="00FE71F0" w:rsidP="006336A5">
      <w:pPr>
        <w:pStyle w:val="ListNumber"/>
        <w:tabs>
          <w:tab w:val="clear" w:pos="720"/>
          <w:tab w:val="clear" w:pos="1872"/>
        </w:tabs>
        <w:spacing w:before="0"/>
        <w:ind w:left="1080" w:firstLine="0"/>
        <w:jc w:val="both"/>
      </w:pPr>
    </w:p>
    <w:p w14:paraId="252303AD" w14:textId="77777777" w:rsidR="00B96F86" w:rsidRPr="00CC58A7" w:rsidRDefault="00B96F86" w:rsidP="00BE3F24">
      <w:pPr>
        <w:pStyle w:val="Heading4"/>
        <w:ind w:left="0" w:firstLine="0"/>
      </w:pPr>
      <w:r w:rsidRPr="00CC58A7">
        <w:t>Resource Requirements</w:t>
      </w:r>
    </w:p>
    <w:p w14:paraId="4B50C329" w14:textId="6FE68343" w:rsidR="00B96F86" w:rsidRDefault="00B96F86" w:rsidP="00BE3F24">
      <w:pPr>
        <w:pStyle w:val="BodyText"/>
        <w:tabs>
          <w:tab w:val="left" w:pos="1917"/>
        </w:tabs>
        <w:spacing w:after="0"/>
        <w:jc w:val="both"/>
      </w:pPr>
      <w:r w:rsidRPr="00CC58A7">
        <w:t xml:space="preserve">The </w:t>
      </w:r>
      <w:r>
        <w:t xml:space="preserve">testing </w:t>
      </w:r>
      <w:r w:rsidRPr="00CC58A7">
        <w:t>request is typically process</w:t>
      </w:r>
      <w:r>
        <w:t>ed</w:t>
      </w:r>
      <w:r w:rsidRPr="00CC58A7">
        <w:t xml:space="preserve"> with data available to the </w:t>
      </w:r>
      <w:r>
        <w:t>PAGD Engineer</w:t>
      </w:r>
      <w:r w:rsidRPr="00CC58A7">
        <w:t xml:space="preserve"> in the office coupled with </w:t>
      </w:r>
      <w:r>
        <w:t>soil boring information obtained from the drilling program.</w:t>
      </w:r>
      <w:r w:rsidRPr="00CC58A7">
        <w:t xml:space="preserve">  </w:t>
      </w:r>
      <w:r>
        <w:t xml:space="preserve">It is anticipated that a PAGD Engineer and an EGD Representative will work closely in preparing lab testing requests, particularly if specialized lab testing is required.  </w:t>
      </w:r>
      <w:r w:rsidRPr="00CC58A7">
        <w:t xml:space="preserve">The request procedure documented below requires the following staffing needs for a typical </w:t>
      </w:r>
      <w:r>
        <w:t>project</w:t>
      </w:r>
      <w:r w:rsidRPr="00CC58A7">
        <w:t>:</w:t>
      </w:r>
    </w:p>
    <w:p w14:paraId="745BE863" w14:textId="77777777" w:rsidR="00B96F86" w:rsidRDefault="00B96F86" w:rsidP="00BE3F24">
      <w:pPr>
        <w:pStyle w:val="BodyText"/>
        <w:tabs>
          <w:tab w:val="left" w:pos="1917"/>
        </w:tabs>
        <w:spacing w:after="0"/>
        <w:jc w:val="both"/>
      </w:pP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77"/>
        <w:gridCol w:w="2286"/>
        <w:gridCol w:w="1926"/>
        <w:gridCol w:w="1584"/>
      </w:tblGrid>
      <w:tr w:rsidR="00B96F86" w:rsidRPr="00CC58A7" w14:paraId="3EEF656F" w14:textId="77777777" w:rsidTr="006336A5">
        <w:trPr>
          <w:trHeight w:val="288"/>
          <w:jc w:val="center"/>
        </w:trPr>
        <w:tc>
          <w:tcPr>
            <w:tcW w:w="2777" w:type="dxa"/>
            <w:shd w:val="pct15" w:color="auto" w:fill="FFFFFF"/>
            <w:vAlign w:val="center"/>
          </w:tcPr>
          <w:p w14:paraId="04EF1EC5" w14:textId="77777777" w:rsidR="00B96F86" w:rsidRPr="00CC58A7" w:rsidRDefault="00B96F86" w:rsidP="00BE3F24">
            <w:pPr>
              <w:tabs>
                <w:tab w:val="left" w:pos="1917"/>
              </w:tabs>
              <w:jc w:val="center"/>
              <w:rPr>
                <w:rFonts w:ascii="Arial" w:hAnsi="Arial"/>
                <w:b/>
              </w:rPr>
            </w:pPr>
            <w:r w:rsidRPr="00CC58A7">
              <w:rPr>
                <w:rFonts w:ascii="Arial" w:hAnsi="Arial"/>
                <w:b/>
              </w:rPr>
              <w:t>Position</w:t>
            </w:r>
          </w:p>
        </w:tc>
        <w:tc>
          <w:tcPr>
            <w:tcW w:w="2286" w:type="dxa"/>
            <w:shd w:val="pct15" w:color="auto" w:fill="FFFFFF"/>
            <w:vAlign w:val="center"/>
          </w:tcPr>
          <w:p w14:paraId="647C2855" w14:textId="77777777" w:rsidR="00B96F86" w:rsidRPr="00CC58A7" w:rsidRDefault="00B96F86" w:rsidP="00BE3F24">
            <w:pPr>
              <w:tabs>
                <w:tab w:val="left" w:pos="1917"/>
              </w:tabs>
              <w:jc w:val="center"/>
              <w:rPr>
                <w:rFonts w:ascii="Arial" w:hAnsi="Arial"/>
                <w:b/>
              </w:rPr>
            </w:pPr>
            <w:r w:rsidRPr="00CC58A7">
              <w:rPr>
                <w:rFonts w:ascii="Arial" w:hAnsi="Arial"/>
                <w:b/>
              </w:rPr>
              <w:t>Function</w:t>
            </w:r>
          </w:p>
        </w:tc>
        <w:tc>
          <w:tcPr>
            <w:tcW w:w="1926" w:type="dxa"/>
            <w:shd w:val="pct15" w:color="auto" w:fill="FFFFFF"/>
            <w:vAlign w:val="center"/>
          </w:tcPr>
          <w:p w14:paraId="0A242AA3" w14:textId="77777777" w:rsidR="00B96F86" w:rsidRPr="00CC58A7" w:rsidRDefault="00B96F86" w:rsidP="00BE3F24">
            <w:pPr>
              <w:tabs>
                <w:tab w:val="left" w:pos="1917"/>
              </w:tabs>
              <w:jc w:val="center"/>
              <w:rPr>
                <w:rFonts w:ascii="Arial" w:hAnsi="Arial"/>
                <w:b/>
              </w:rPr>
            </w:pPr>
            <w:r w:rsidRPr="00CC58A7">
              <w:rPr>
                <w:rFonts w:ascii="Arial" w:hAnsi="Arial"/>
                <w:b/>
              </w:rPr>
              <w:t>Resources</w:t>
            </w:r>
          </w:p>
        </w:tc>
        <w:tc>
          <w:tcPr>
            <w:tcW w:w="1584" w:type="dxa"/>
            <w:shd w:val="pct15" w:color="auto" w:fill="FFFFFF"/>
            <w:vAlign w:val="center"/>
          </w:tcPr>
          <w:p w14:paraId="288455F4" w14:textId="77777777" w:rsidR="00B96F86" w:rsidRPr="00CC58A7" w:rsidRDefault="00B96F86" w:rsidP="00BE3F24">
            <w:pPr>
              <w:tabs>
                <w:tab w:val="left" w:pos="1917"/>
              </w:tabs>
              <w:jc w:val="center"/>
              <w:rPr>
                <w:rFonts w:ascii="Arial" w:hAnsi="Arial"/>
                <w:b/>
              </w:rPr>
            </w:pPr>
            <w:r w:rsidRPr="00CC58A7">
              <w:rPr>
                <w:rFonts w:ascii="Arial" w:hAnsi="Arial"/>
                <w:b/>
              </w:rPr>
              <w:t>Effort Level</w:t>
            </w:r>
          </w:p>
          <w:p w14:paraId="77E247F4" w14:textId="77777777" w:rsidR="00B96F86" w:rsidRPr="00CC58A7" w:rsidRDefault="00B96F86" w:rsidP="00BE3F24">
            <w:pPr>
              <w:tabs>
                <w:tab w:val="left" w:pos="1917"/>
              </w:tabs>
              <w:jc w:val="center"/>
              <w:rPr>
                <w:rFonts w:ascii="Arial" w:hAnsi="Arial"/>
                <w:b/>
              </w:rPr>
            </w:pPr>
            <w:r w:rsidRPr="00CC58A7">
              <w:rPr>
                <w:rFonts w:ascii="Arial" w:hAnsi="Arial"/>
                <w:b/>
              </w:rPr>
              <w:t>(man-hours)</w:t>
            </w:r>
          </w:p>
        </w:tc>
      </w:tr>
      <w:tr w:rsidR="00B96F86" w:rsidRPr="00CC58A7" w14:paraId="68B0B3A7" w14:textId="77777777" w:rsidTr="006336A5">
        <w:trPr>
          <w:trHeight w:val="288"/>
          <w:jc w:val="center"/>
        </w:trPr>
        <w:tc>
          <w:tcPr>
            <w:tcW w:w="2777" w:type="dxa"/>
            <w:vAlign w:val="center"/>
          </w:tcPr>
          <w:p w14:paraId="01132EAA" w14:textId="77777777" w:rsidR="00B96F86" w:rsidRPr="00CC58A7" w:rsidRDefault="00B96F86" w:rsidP="00BE3F24">
            <w:pPr>
              <w:tabs>
                <w:tab w:val="left" w:pos="1917"/>
              </w:tabs>
              <w:jc w:val="center"/>
              <w:rPr>
                <w:rFonts w:ascii="Arial" w:hAnsi="Arial"/>
                <w:sz w:val="18"/>
              </w:rPr>
            </w:pPr>
            <w:r>
              <w:rPr>
                <w:rFonts w:ascii="Arial" w:hAnsi="Arial"/>
                <w:sz w:val="18"/>
              </w:rPr>
              <w:t xml:space="preserve">PAGD </w:t>
            </w:r>
            <w:r w:rsidRPr="00CC58A7">
              <w:rPr>
                <w:rFonts w:ascii="Arial" w:hAnsi="Arial"/>
                <w:sz w:val="18"/>
              </w:rPr>
              <w:t>Engineer</w:t>
            </w:r>
            <w:r>
              <w:rPr>
                <w:rFonts w:ascii="Arial" w:hAnsi="Arial"/>
                <w:sz w:val="18"/>
              </w:rPr>
              <w:t xml:space="preserve"> and EGD Representative</w:t>
            </w:r>
          </w:p>
        </w:tc>
        <w:tc>
          <w:tcPr>
            <w:tcW w:w="2286" w:type="dxa"/>
            <w:vAlign w:val="center"/>
          </w:tcPr>
          <w:p w14:paraId="57F1F358" w14:textId="77777777" w:rsidR="00B96F86" w:rsidRPr="00CC58A7" w:rsidRDefault="00B96F86" w:rsidP="00BE3F24">
            <w:pPr>
              <w:tabs>
                <w:tab w:val="left" w:pos="1917"/>
              </w:tabs>
              <w:jc w:val="center"/>
              <w:rPr>
                <w:rFonts w:ascii="Arial" w:hAnsi="Arial"/>
                <w:sz w:val="18"/>
              </w:rPr>
            </w:pPr>
            <w:r>
              <w:rPr>
                <w:rFonts w:ascii="Arial" w:hAnsi="Arial"/>
                <w:sz w:val="18"/>
              </w:rPr>
              <w:t>Review soils from bags or jars</w:t>
            </w:r>
          </w:p>
        </w:tc>
        <w:tc>
          <w:tcPr>
            <w:tcW w:w="1926" w:type="dxa"/>
            <w:vAlign w:val="center"/>
          </w:tcPr>
          <w:p w14:paraId="78114AA9" w14:textId="77777777" w:rsidR="00B96F86" w:rsidRPr="00CC58A7" w:rsidRDefault="00B96F86" w:rsidP="00BE3F24">
            <w:pPr>
              <w:tabs>
                <w:tab w:val="left" w:pos="1917"/>
              </w:tabs>
              <w:jc w:val="center"/>
              <w:rPr>
                <w:rFonts w:ascii="Arial" w:hAnsi="Arial"/>
                <w:sz w:val="18"/>
              </w:rPr>
            </w:pPr>
            <w:r>
              <w:rPr>
                <w:rFonts w:ascii="Arial" w:hAnsi="Arial"/>
                <w:sz w:val="18"/>
              </w:rPr>
              <w:t>2</w:t>
            </w:r>
          </w:p>
        </w:tc>
        <w:tc>
          <w:tcPr>
            <w:tcW w:w="1584" w:type="dxa"/>
            <w:vAlign w:val="center"/>
          </w:tcPr>
          <w:p w14:paraId="4A6A3CF1" w14:textId="77777777" w:rsidR="00B96F86" w:rsidRPr="00CC58A7" w:rsidRDefault="00B96F86" w:rsidP="00BE3F24">
            <w:pPr>
              <w:tabs>
                <w:tab w:val="left" w:pos="1917"/>
              </w:tabs>
              <w:jc w:val="center"/>
              <w:rPr>
                <w:rFonts w:ascii="Arial" w:hAnsi="Arial"/>
                <w:sz w:val="18"/>
              </w:rPr>
            </w:pPr>
            <w:r>
              <w:rPr>
                <w:rFonts w:ascii="Arial" w:hAnsi="Arial"/>
                <w:sz w:val="18"/>
              </w:rPr>
              <w:t>2*</w:t>
            </w:r>
          </w:p>
        </w:tc>
      </w:tr>
      <w:tr w:rsidR="00B96F86" w:rsidRPr="00CC58A7" w14:paraId="6693663B" w14:textId="77777777" w:rsidTr="006336A5">
        <w:trPr>
          <w:trHeight w:val="288"/>
          <w:jc w:val="center"/>
        </w:trPr>
        <w:tc>
          <w:tcPr>
            <w:tcW w:w="2777" w:type="dxa"/>
            <w:vAlign w:val="center"/>
          </w:tcPr>
          <w:p w14:paraId="5DE90028" w14:textId="77777777" w:rsidR="00B96F86" w:rsidRDefault="00B96F86" w:rsidP="00BE3F24">
            <w:pPr>
              <w:tabs>
                <w:tab w:val="left" w:pos="1917"/>
              </w:tabs>
              <w:jc w:val="center"/>
            </w:pPr>
            <w:r>
              <w:rPr>
                <w:rFonts w:ascii="Arial" w:hAnsi="Arial"/>
                <w:sz w:val="18"/>
              </w:rPr>
              <w:t xml:space="preserve">PAGD </w:t>
            </w:r>
            <w:r w:rsidRPr="00CC58A7">
              <w:rPr>
                <w:rFonts w:ascii="Arial" w:hAnsi="Arial"/>
                <w:sz w:val="18"/>
              </w:rPr>
              <w:t>Engineer</w:t>
            </w:r>
            <w:r>
              <w:rPr>
                <w:rFonts w:ascii="Arial" w:hAnsi="Arial"/>
                <w:sz w:val="18"/>
              </w:rPr>
              <w:t xml:space="preserve"> and EGD Representative</w:t>
            </w:r>
          </w:p>
        </w:tc>
        <w:tc>
          <w:tcPr>
            <w:tcW w:w="2286" w:type="dxa"/>
            <w:vAlign w:val="center"/>
          </w:tcPr>
          <w:p w14:paraId="4EB7ED5A" w14:textId="79468D62" w:rsidR="00B96F86" w:rsidRPr="00CC58A7" w:rsidRDefault="00B96F86" w:rsidP="00BE3F24">
            <w:pPr>
              <w:tabs>
                <w:tab w:val="left" w:pos="1917"/>
              </w:tabs>
              <w:jc w:val="center"/>
              <w:rPr>
                <w:rFonts w:ascii="Arial" w:hAnsi="Arial"/>
                <w:sz w:val="18"/>
              </w:rPr>
            </w:pPr>
            <w:r>
              <w:rPr>
                <w:rFonts w:ascii="Arial" w:hAnsi="Arial"/>
                <w:sz w:val="18"/>
              </w:rPr>
              <w:t>Prepare and Submit Lab Request and follow up</w:t>
            </w:r>
          </w:p>
        </w:tc>
        <w:tc>
          <w:tcPr>
            <w:tcW w:w="1926" w:type="dxa"/>
            <w:vAlign w:val="center"/>
          </w:tcPr>
          <w:p w14:paraId="011961FA" w14:textId="77777777" w:rsidR="00B96F86" w:rsidRPr="00CC58A7" w:rsidRDefault="00B96F86" w:rsidP="00BE3F24">
            <w:pPr>
              <w:tabs>
                <w:tab w:val="left" w:pos="1917"/>
              </w:tabs>
              <w:jc w:val="center"/>
              <w:rPr>
                <w:rFonts w:ascii="Arial" w:hAnsi="Arial"/>
                <w:sz w:val="18"/>
              </w:rPr>
            </w:pPr>
            <w:r>
              <w:rPr>
                <w:rFonts w:ascii="Arial" w:hAnsi="Arial"/>
                <w:sz w:val="18"/>
              </w:rPr>
              <w:t>2</w:t>
            </w:r>
          </w:p>
        </w:tc>
        <w:tc>
          <w:tcPr>
            <w:tcW w:w="1584" w:type="dxa"/>
            <w:vAlign w:val="center"/>
          </w:tcPr>
          <w:p w14:paraId="45D063D9" w14:textId="77777777" w:rsidR="00B96F86" w:rsidRPr="00CC58A7" w:rsidRDefault="00B96F86" w:rsidP="00BE3F24">
            <w:pPr>
              <w:tabs>
                <w:tab w:val="left" w:pos="1917"/>
              </w:tabs>
              <w:jc w:val="center"/>
              <w:rPr>
                <w:rFonts w:ascii="Arial" w:hAnsi="Arial"/>
                <w:sz w:val="18"/>
              </w:rPr>
            </w:pPr>
            <w:r>
              <w:rPr>
                <w:rFonts w:ascii="Arial" w:hAnsi="Arial"/>
                <w:sz w:val="18"/>
              </w:rPr>
              <w:t>4*</w:t>
            </w:r>
          </w:p>
        </w:tc>
      </w:tr>
      <w:tr w:rsidR="00B96F86" w14:paraId="63FD0F04" w14:textId="77777777" w:rsidTr="006336A5">
        <w:trPr>
          <w:trHeight w:val="288"/>
          <w:jc w:val="center"/>
        </w:trPr>
        <w:tc>
          <w:tcPr>
            <w:tcW w:w="2777" w:type="dxa"/>
            <w:vAlign w:val="center"/>
          </w:tcPr>
          <w:p w14:paraId="3FC5C80A" w14:textId="77777777" w:rsidR="00B96F86" w:rsidRPr="00804934" w:rsidRDefault="00B96F86" w:rsidP="00BE3F24">
            <w:pPr>
              <w:tabs>
                <w:tab w:val="left" w:pos="1917"/>
              </w:tabs>
              <w:jc w:val="center"/>
              <w:rPr>
                <w:rFonts w:ascii="Arial" w:hAnsi="Arial"/>
                <w:sz w:val="18"/>
              </w:rPr>
            </w:pPr>
            <w:r>
              <w:rPr>
                <w:rFonts w:ascii="Arial" w:hAnsi="Arial"/>
                <w:sz w:val="18"/>
              </w:rPr>
              <w:t>PAGD TL</w:t>
            </w:r>
          </w:p>
        </w:tc>
        <w:tc>
          <w:tcPr>
            <w:tcW w:w="2286" w:type="dxa"/>
            <w:vAlign w:val="center"/>
          </w:tcPr>
          <w:p w14:paraId="219802F9" w14:textId="77777777" w:rsidR="00B96F86" w:rsidRDefault="00B96F86" w:rsidP="00BE3F24">
            <w:pPr>
              <w:tabs>
                <w:tab w:val="left" w:pos="1917"/>
              </w:tabs>
              <w:jc w:val="center"/>
              <w:rPr>
                <w:rFonts w:ascii="Arial" w:hAnsi="Arial"/>
                <w:sz w:val="18"/>
              </w:rPr>
            </w:pPr>
            <w:r>
              <w:rPr>
                <w:rFonts w:ascii="Arial" w:hAnsi="Arial"/>
                <w:sz w:val="18"/>
              </w:rPr>
              <w:t>Review of Request</w:t>
            </w:r>
          </w:p>
        </w:tc>
        <w:tc>
          <w:tcPr>
            <w:tcW w:w="1926" w:type="dxa"/>
            <w:vAlign w:val="center"/>
          </w:tcPr>
          <w:p w14:paraId="5FB6CE0A" w14:textId="77777777" w:rsidR="00B96F86" w:rsidRPr="00CC58A7" w:rsidRDefault="00B96F86" w:rsidP="00BE3F24">
            <w:pPr>
              <w:tabs>
                <w:tab w:val="left" w:pos="1917"/>
              </w:tabs>
              <w:jc w:val="center"/>
              <w:rPr>
                <w:rFonts w:ascii="Arial" w:hAnsi="Arial"/>
                <w:sz w:val="18"/>
              </w:rPr>
            </w:pPr>
            <w:r>
              <w:rPr>
                <w:rFonts w:ascii="Arial" w:hAnsi="Arial"/>
                <w:sz w:val="18"/>
              </w:rPr>
              <w:t>1</w:t>
            </w:r>
          </w:p>
        </w:tc>
        <w:tc>
          <w:tcPr>
            <w:tcW w:w="1584" w:type="dxa"/>
            <w:vAlign w:val="center"/>
          </w:tcPr>
          <w:p w14:paraId="030B4FB2" w14:textId="77777777" w:rsidR="00B96F86" w:rsidRDefault="00B96F86" w:rsidP="00BE3F24">
            <w:pPr>
              <w:tabs>
                <w:tab w:val="left" w:pos="1917"/>
              </w:tabs>
              <w:jc w:val="center"/>
              <w:rPr>
                <w:rFonts w:ascii="Arial" w:hAnsi="Arial"/>
                <w:sz w:val="18"/>
              </w:rPr>
            </w:pPr>
            <w:r>
              <w:rPr>
                <w:rFonts w:ascii="Arial" w:hAnsi="Arial"/>
                <w:sz w:val="18"/>
              </w:rPr>
              <w:t>1*</w:t>
            </w:r>
          </w:p>
        </w:tc>
      </w:tr>
    </w:tbl>
    <w:p w14:paraId="7E3604DD" w14:textId="77777777" w:rsidR="00B96F86" w:rsidRPr="00AA3764" w:rsidRDefault="00B96F86" w:rsidP="00BE3F24">
      <w:pPr>
        <w:tabs>
          <w:tab w:val="left" w:pos="1917"/>
        </w:tabs>
        <w:jc w:val="both"/>
        <w:rPr>
          <w:rFonts w:ascii="Arial" w:hAnsi="Arial"/>
          <w:sz w:val="18"/>
          <w:szCs w:val="18"/>
        </w:rPr>
      </w:pPr>
      <w:r>
        <w:rPr>
          <w:rFonts w:ascii="Arial" w:hAnsi="Arial"/>
        </w:rPr>
        <w:t xml:space="preserve">     </w:t>
      </w:r>
      <w:r w:rsidRPr="00AA3764">
        <w:rPr>
          <w:rFonts w:ascii="Arial" w:hAnsi="Arial"/>
          <w:sz w:val="18"/>
          <w:szCs w:val="18"/>
        </w:rPr>
        <w:t>* The time required would vary depending on the size and complexity of a project.</w:t>
      </w:r>
    </w:p>
    <w:p w14:paraId="79657F27" w14:textId="77777777" w:rsidR="00B96F86" w:rsidRDefault="00B96F86" w:rsidP="00916953"/>
    <w:p w14:paraId="45CBF886" w14:textId="77777777" w:rsidR="00B96F86" w:rsidRPr="00CC58A7" w:rsidRDefault="00B96F86" w:rsidP="00BE3F24">
      <w:pPr>
        <w:pStyle w:val="Heading4"/>
        <w:ind w:left="0" w:firstLine="0"/>
      </w:pPr>
      <w:r>
        <w:t>Procedure</w:t>
      </w:r>
    </w:p>
    <w:p w14:paraId="3D0A022C" w14:textId="22AAE61C" w:rsidR="00B96F86" w:rsidRDefault="00B96F86" w:rsidP="00BE3F24">
      <w:pPr>
        <w:pStyle w:val="BodyText"/>
        <w:tabs>
          <w:tab w:val="left" w:pos="1917"/>
        </w:tabs>
        <w:spacing w:after="0"/>
        <w:jc w:val="both"/>
      </w:pPr>
      <w:r w:rsidRPr="007A2474">
        <w:t xml:space="preserve">The procedures presented in </w:t>
      </w:r>
      <w:r w:rsidRPr="00BA1669">
        <w:t>the attached flowchart</w:t>
      </w:r>
      <w:r w:rsidRPr="007A2474">
        <w:t xml:space="preserve"> and described </w:t>
      </w:r>
      <w:r w:rsidR="00657513">
        <w:t>below</w:t>
      </w:r>
      <w:r w:rsidRPr="007A2474">
        <w:t xml:space="preserve"> should be followed when requesting laboratory tests. </w:t>
      </w:r>
    </w:p>
    <w:p w14:paraId="4402357D" w14:textId="77777777" w:rsidR="00B96F86" w:rsidRPr="007A2474" w:rsidRDefault="00B96F86" w:rsidP="00BE3F24">
      <w:pPr>
        <w:pStyle w:val="BodyText"/>
        <w:tabs>
          <w:tab w:val="left" w:pos="1917"/>
        </w:tabs>
        <w:spacing w:after="0"/>
        <w:jc w:val="both"/>
      </w:pPr>
    </w:p>
    <w:p w14:paraId="23CADEA5" w14:textId="114A7D3E" w:rsidR="00B96F86" w:rsidRDefault="00B96F86" w:rsidP="00BE3F24">
      <w:pPr>
        <w:pStyle w:val="BodyText"/>
        <w:tabs>
          <w:tab w:val="left" w:pos="1917"/>
        </w:tabs>
        <w:spacing w:after="0"/>
        <w:jc w:val="both"/>
      </w:pPr>
      <w:r w:rsidRPr="007A2474">
        <w:t>Certain steps in the request process and other processes overlap</w:t>
      </w:r>
      <w:r>
        <w:t xml:space="preserve">. </w:t>
      </w:r>
      <w:r w:rsidRPr="007A2474">
        <w:t xml:space="preserve">The procedure described below is </w:t>
      </w:r>
      <w:r>
        <w:t>followed</w:t>
      </w:r>
      <w:r w:rsidRPr="007A2474">
        <w:t xml:space="preserve"> after receiving a request from a customer</w:t>
      </w:r>
      <w:r w:rsidR="00DC462A">
        <w:t xml:space="preserve"> PM</w:t>
      </w:r>
      <w:r w:rsidRPr="007A2474">
        <w:t>.  This request can be completed via a memo request</w:t>
      </w:r>
      <w:r w:rsidR="00657513">
        <w:t xml:space="preserve"> or</w:t>
      </w:r>
      <w:r w:rsidRPr="007A2474">
        <w:t xml:space="preserve"> e-mail request</w:t>
      </w:r>
      <w:r>
        <w:t>.</w:t>
      </w:r>
    </w:p>
    <w:p w14:paraId="38CC1870" w14:textId="77777777" w:rsidR="00B96F86" w:rsidRPr="007A2474" w:rsidRDefault="00B96F86" w:rsidP="00BE3F24">
      <w:pPr>
        <w:pStyle w:val="BodyText"/>
        <w:tabs>
          <w:tab w:val="left" w:pos="1917"/>
        </w:tabs>
        <w:spacing w:after="0"/>
        <w:jc w:val="both"/>
      </w:pPr>
    </w:p>
    <w:p w14:paraId="08D258E2" w14:textId="77777777" w:rsidR="00B96F86" w:rsidRDefault="00B96F86" w:rsidP="00BE3F24">
      <w:pPr>
        <w:pStyle w:val="BodyText"/>
        <w:tabs>
          <w:tab w:val="left" w:pos="1917"/>
        </w:tabs>
        <w:spacing w:after="0"/>
        <w:jc w:val="both"/>
      </w:pPr>
      <w:r w:rsidRPr="007A2474">
        <w:t>The following procedures are general guidelines to be followed by the PAGD Engineer.  They may be adjusted, based on engineering judgment and discussion with the PAGD TL and the PAGD ADC-Design.</w:t>
      </w:r>
    </w:p>
    <w:p w14:paraId="08A88190" w14:textId="77777777" w:rsidR="00B96F86" w:rsidRDefault="00B96F86" w:rsidP="00BE3F24">
      <w:pPr>
        <w:pStyle w:val="BodyText"/>
        <w:tabs>
          <w:tab w:val="left" w:pos="1917"/>
        </w:tabs>
        <w:spacing w:after="0"/>
        <w:jc w:val="both"/>
      </w:pPr>
    </w:p>
    <w:p w14:paraId="437F3247" w14:textId="77777777" w:rsidR="001A15B9" w:rsidRDefault="00B96F86" w:rsidP="00172E64">
      <w:pPr>
        <w:pStyle w:val="ListNumber"/>
        <w:numPr>
          <w:ilvl w:val="0"/>
          <w:numId w:val="42"/>
        </w:numPr>
        <w:tabs>
          <w:tab w:val="clear" w:pos="1872"/>
          <w:tab w:val="num" w:pos="1152"/>
          <w:tab w:val="left" w:pos="1917"/>
        </w:tabs>
        <w:spacing w:before="0"/>
        <w:ind w:left="1080" w:hanging="1080"/>
        <w:jc w:val="both"/>
      </w:pPr>
      <w:r w:rsidRPr="007B5293">
        <w:t>Plan the locations, depths, and type (</w:t>
      </w:r>
      <w:r>
        <w:t xml:space="preserve">bulk or </w:t>
      </w:r>
      <w:r w:rsidRPr="007B5293">
        <w:t>bag</w:t>
      </w:r>
      <w:r>
        <w:t xml:space="preserve"> samples</w:t>
      </w:r>
      <w:r w:rsidRPr="007B5293">
        <w:t>, jar samples, undisturbed samples)</w:t>
      </w:r>
      <w:r>
        <w:t xml:space="preserve"> of samples needed for testing </w:t>
      </w:r>
      <w:r w:rsidRPr="004122AB">
        <w:t>during the subsurface investigation planning stage.</w:t>
      </w:r>
      <w:r>
        <w:t xml:space="preserve">  Bulk or bag samples representative of each soil type and stratum should have been obtained during the drilling operation.  Undisturbed samples should have been obtained at select locations and in cohesive material.</w:t>
      </w:r>
    </w:p>
    <w:p w14:paraId="01B893C8" w14:textId="77777777" w:rsidR="00B96F86" w:rsidRDefault="00B96F86" w:rsidP="00A17E02">
      <w:pPr>
        <w:pStyle w:val="ListNumber"/>
        <w:tabs>
          <w:tab w:val="clear" w:pos="720"/>
          <w:tab w:val="clear" w:pos="1872"/>
          <w:tab w:val="left" w:pos="1917"/>
        </w:tabs>
        <w:spacing w:before="0"/>
        <w:ind w:left="1080" w:hanging="1080"/>
        <w:jc w:val="both"/>
      </w:pPr>
    </w:p>
    <w:p w14:paraId="210A05CC" w14:textId="77777777" w:rsidR="001A15B9" w:rsidRDefault="00B96F86" w:rsidP="00172E64">
      <w:pPr>
        <w:pStyle w:val="ListNumber"/>
        <w:numPr>
          <w:ilvl w:val="0"/>
          <w:numId w:val="42"/>
        </w:numPr>
        <w:tabs>
          <w:tab w:val="clear" w:pos="1872"/>
          <w:tab w:val="left" w:pos="1890"/>
        </w:tabs>
        <w:spacing w:before="0"/>
        <w:ind w:left="1080" w:hanging="1080"/>
        <w:jc w:val="both"/>
      </w:pPr>
      <w:r w:rsidRPr="004305A6">
        <w:t xml:space="preserve">Review the draft boring logs </w:t>
      </w:r>
      <w:r>
        <w:t>and verify where (depths) the samples were obtained</w:t>
      </w:r>
      <w:r w:rsidRPr="004305A6">
        <w:t xml:space="preserve"> for further lab testing.</w:t>
      </w:r>
      <w:r>
        <w:t xml:space="preserve">  </w:t>
      </w:r>
      <w:r w:rsidRPr="004305A6">
        <w:t xml:space="preserve"> </w:t>
      </w:r>
      <w:r>
        <w:t>Select representative samples for testing.</w:t>
      </w:r>
    </w:p>
    <w:p w14:paraId="188D280C" w14:textId="77777777" w:rsidR="00B96F86" w:rsidRPr="004305A6" w:rsidRDefault="00B96F86" w:rsidP="00A17E02">
      <w:pPr>
        <w:pStyle w:val="ListNumber"/>
        <w:tabs>
          <w:tab w:val="clear" w:pos="720"/>
          <w:tab w:val="clear" w:pos="1872"/>
          <w:tab w:val="left" w:pos="1917"/>
        </w:tabs>
        <w:spacing w:before="0"/>
        <w:ind w:left="1080" w:hanging="1080"/>
        <w:jc w:val="both"/>
      </w:pPr>
    </w:p>
    <w:p w14:paraId="7A462308" w14:textId="77777777" w:rsidR="001A15B9" w:rsidRDefault="00B96F86" w:rsidP="00172E64">
      <w:pPr>
        <w:pStyle w:val="ListNumber"/>
        <w:numPr>
          <w:ilvl w:val="0"/>
          <w:numId w:val="42"/>
        </w:numPr>
        <w:tabs>
          <w:tab w:val="clear" w:pos="1872"/>
          <w:tab w:val="num" w:pos="1152"/>
          <w:tab w:val="left" w:pos="1917"/>
        </w:tabs>
        <w:spacing w:before="0"/>
        <w:ind w:left="1080" w:hanging="1080"/>
        <w:jc w:val="both"/>
      </w:pPr>
      <w:r>
        <w:lastRenderedPageBreak/>
        <w:t>Undisturbed</w:t>
      </w:r>
      <w:r w:rsidRPr="00B75535">
        <w:t xml:space="preserve"> samples retrieved from borings are submitted </w:t>
      </w:r>
      <w:r>
        <w:t>to</w:t>
      </w:r>
      <w:r w:rsidRPr="00B75535">
        <w:t xml:space="preserve"> the lab by </w:t>
      </w:r>
      <w:r>
        <w:t xml:space="preserve">the </w:t>
      </w:r>
      <w:r w:rsidRPr="00B75535">
        <w:t xml:space="preserve">drillers. </w:t>
      </w:r>
      <w:r>
        <w:t>T</w:t>
      </w:r>
      <w:r w:rsidRPr="00B75535">
        <w:t xml:space="preserve">he </w:t>
      </w:r>
      <w:r>
        <w:t xml:space="preserve">undisturbed </w:t>
      </w:r>
      <w:r w:rsidRPr="00B75535">
        <w:t xml:space="preserve">samples </w:t>
      </w:r>
      <w:r>
        <w:t>must be</w:t>
      </w:r>
      <w:r w:rsidRPr="00B75535">
        <w:t xml:space="preserve"> stored in </w:t>
      </w:r>
      <w:r>
        <w:t xml:space="preserve">a </w:t>
      </w:r>
      <w:r w:rsidRPr="00B75535">
        <w:t xml:space="preserve">moisture </w:t>
      </w:r>
      <w:r>
        <w:t xml:space="preserve">controlled </w:t>
      </w:r>
      <w:r w:rsidRPr="00B75535">
        <w:t xml:space="preserve">room </w:t>
      </w:r>
      <w:r>
        <w:t>un</w:t>
      </w:r>
      <w:r w:rsidRPr="00B75535">
        <w:t xml:space="preserve">til they are </w:t>
      </w:r>
      <w:r>
        <w:t>extruded for</w:t>
      </w:r>
      <w:r w:rsidRPr="00B75535">
        <w:t xml:space="preserve"> test</w:t>
      </w:r>
      <w:r>
        <w:t>ing</w:t>
      </w:r>
      <w:r w:rsidRPr="00B75535">
        <w:t xml:space="preserve">. </w:t>
      </w:r>
      <w:r>
        <w:t>Undisturbed samples should be tested as soon as possible, but no later than 1 month from the time of sampling.</w:t>
      </w:r>
    </w:p>
    <w:p w14:paraId="6FBADF77" w14:textId="77777777" w:rsidR="00B96F86" w:rsidRPr="004122AB" w:rsidRDefault="00B96F86" w:rsidP="00A17E02">
      <w:pPr>
        <w:pStyle w:val="ListNumber"/>
        <w:tabs>
          <w:tab w:val="clear" w:pos="720"/>
          <w:tab w:val="clear" w:pos="1872"/>
          <w:tab w:val="left" w:pos="1917"/>
        </w:tabs>
        <w:spacing w:before="0"/>
        <w:ind w:left="1080" w:hanging="1080"/>
        <w:jc w:val="both"/>
      </w:pPr>
    </w:p>
    <w:p w14:paraId="6F1BD848" w14:textId="77777777" w:rsidR="001A15B9" w:rsidRDefault="00B96F86" w:rsidP="00172E64">
      <w:pPr>
        <w:pStyle w:val="ListNumber"/>
        <w:numPr>
          <w:ilvl w:val="0"/>
          <w:numId w:val="42"/>
        </w:numPr>
        <w:tabs>
          <w:tab w:val="clear" w:pos="1872"/>
          <w:tab w:val="num" w:pos="1152"/>
          <w:tab w:val="left" w:pos="1917"/>
        </w:tabs>
        <w:spacing w:before="0"/>
        <w:ind w:left="1080" w:hanging="1080"/>
        <w:jc w:val="both"/>
      </w:pPr>
      <w:r w:rsidRPr="00AF58FF">
        <w:t xml:space="preserve">Review </w:t>
      </w:r>
      <w:r>
        <w:t xml:space="preserve">(visually </w:t>
      </w:r>
      <w:r w:rsidR="009D5A9B">
        <w:t>identify</w:t>
      </w:r>
      <w:r>
        <w:t xml:space="preserve">) </w:t>
      </w:r>
      <w:r w:rsidRPr="00AF58FF">
        <w:t>the jar sam</w:t>
      </w:r>
      <w:r>
        <w:t xml:space="preserve">ples recovered from SPT borings and compare the soil descriptions </w:t>
      </w:r>
      <w:r w:rsidRPr="00AF58FF">
        <w:t>with driller</w:t>
      </w:r>
      <w:r>
        <w:t>’s</w:t>
      </w:r>
      <w:r w:rsidRPr="00AF58FF">
        <w:t xml:space="preserve"> </w:t>
      </w:r>
      <w:r>
        <w:t xml:space="preserve">field </w:t>
      </w:r>
      <w:r w:rsidRPr="00AF58FF">
        <w:t>classification. If there is any discrepancy with the driller</w:t>
      </w:r>
      <w:r>
        <w:t>’s</w:t>
      </w:r>
      <w:r w:rsidRPr="00AF58FF">
        <w:t xml:space="preserve"> classification and </w:t>
      </w:r>
      <w:r>
        <w:t>visual classification in the lab</w:t>
      </w:r>
      <w:r w:rsidRPr="00AF58FF">
        <w:t xml:space="preserve">, request soil classification tests on the samples. </w:t>
      </w:r>
    </w:p>
    <w:p w14:paraId="6689FB34" w14:textId="77777777" w:rsidR="00FB7A10" w:rsidRDefault="00FB7A10" w:rsidP="008014BA">
      <w:pPr>
        <w:pStyle w:val="ListNumber"/>
        <w:tabs>
          <w:tab w:val="clear" w:pos="720"/>
          <w:tab w:val="clear" w:pos="1872"/>
          <w:tab w:val="left" w:pos="1917"/>
        </w:tabs>
        <w:spacing w:before="0"/>
        <w:ind w:left="0" w:firstLine="0"/>
        <w:jc w:val="both"/>
      </w:pPr>
    </w:p>
    <w:p w14:paraId="1A452C55" w14:textId="77777777" w:rsidR="001A15B9" w:rsidRDefault="00B96F86" w:rsidP="00172E64">
      <w:pPr>
        <w:pStyle w:val="ListNumber"/>
        <w:numPr>
          <w:ilvl w:val="0"/>
          <w:numId w:val="42"/>
        </w:numPr>
        <w:tabs>
          <w:tab w:val="clear" w:pos="1872"/>
          <w:tab w:val="num" w:pos="1152"/>
          <w:tab w:val="left" w:pos="1260"/>
          <w:tab w:val="left" w:pos="1917"/>
        </w:tabs>
        <w:spacing w:before="0"/>
        <w:ind w:left="1080" w:hanging="1080"/>
        <w:jc w:val="both"/>
        <w:rPr>
          <w:rFonts w:cs="Arial"/>
        </w:rPr>
      </w:pPr>
      <w:r w:rsidRPr="00673A33">
        <w:t xml:space="preserve">Review the rock core samples retrieved (with </w:t>
      </w:r>
      <w:r>
        <w:t xml:space="preserve">the </w:t>
      </w:r>
      <w:r w:rsidRPr="00673A33">
        <w:t xml:space="preserve">EGD Geologist) to compare the rock cores with the field identification. Check RQD (Rock Quality Designation) and Percent Recovery for rock cores. Verify with OOS Designer if </w:t>
      </w:r>
      <w:r w:rsidRPr="00673A33">
        <w:rPr>
          <w:rFonts w:cs="Arial"/>
          <w:szCs w:val="22"/>
        </w:rPr>
        <w:t>unconfined compression testing on rock cores will be required.</w:t>
      </w:r>
    </w:p>
    <w:p w14:paraId="6AC27B30" w14:textId="77777777" w:rsidR="00B96F86" w:rsidRPr="00C958B4" w:rsidRDefault="00B96F86" w:rsidP="00A17E02">
      <w:pPr>
        <w:pStyle w:val="ListNumber"/>
        <w:tabs>
          <w:tab w:val="clear" w:pos="720"/>
          <w:tab w:val="clear" w:pos="1872"/>
          <w:tab w:val="left" w:pos="1260"/>
          <w:tab w:val="left" w:pos="1917"/>
        </w:tabs>
        <w:spacing w:before="0"/>
        <w:ind w:left="1080" w:hanging="1080"/>
        <w:jc w:val="both"/>
        <w:rPr>
          <w:rFonts w:cs="Arial"/>
          <w:highlight w:val="cyan"/>
        </w:rPr>
      </w:pPr>
    </w:p>
    <w:p w14:paraId="41FCD720" w14:textId="4FCC129D" w:rsidR="001A15B9" w:rsidRDefault="00B96F86" w:rsidP="00172E64">
      <w:pPr>
        <w:pStyle w:val="ListNumber"/>
        <w:numPr>
          <w:ilvl w:val="0"/>
          <w:numId w:val="42"/>
        </w:numPr>
        <w:tabs>
          <w:tab w:val="clear" w:pos="1872"/>
          <w:tab w:val="num" w:pos="1152"/>
          <w:tab w:val="left" w:pos="1917"/>
        </w:tabs>
        <w:spacing w:before="0"/>
        <w:ind w:left="1080" w:hanging="1080"/>
        <w:jc w:val="both"/>
      </w:pPr>
      <w:r w:rsidRPr="00673A33">
        <w:t xml:space="preserve">Request additional samples if necessary. Note: </w:t>
      </w:r>
      <w:r w:rsidR="00657513">
        <w:t>T</w:t>
      </w:r>
      <w:r w:rsidRPr="00673A33">
        <w:t xml:space="preserve">his may involve re-mobilization of the drillers and additional cost. Therefore, only request additional samples if it is absolutely essential and is approved by </w:t>
      </w:r>
      <w:r>
        <w:t xml:space="preserve">the </w:t>
      </w:r>
      <w:r w:rsidRPr="00673A33">
        <w:t>PAGD TL and</w:t>
      </w:r>
      <w:r>
        <w:t xml:space="preserve"> the </w:t>
      </w:r>
      <w:r w:rsidRPr="00673A33">
        <w:t xml:space="preserve">PAGD ADC-Design. </w:t>
      </w:r>
    </w:p>
    <w:p w14:paraId="1BD5B5AD" w14:textId="77777777" w:rsidR="00B96F86" w:rsidRPr="00C17F41" w:rsidRDefault="00B96F86" w:rsidP="00BE3F24">
      <w:pPr>
        <w:pStyle w:val="ListNumber"/>
        <w:tabs>
          <w:tab w:val="clear" w:pos="720"/>
          <w:tab w:val="left" w:pos="1917"/>
        </w:tabs>
        <w:spacing w:before="0"/>
        <w:ind w:left="0" w:firstLine="0"/>
        <w:jc w:val="both"/>
        <w:rPr>
          <w:highlight w:val="yellow"/>
        </w:rPr>
      </w:pPr>
    </w:p>
    <w:p w14:paraId="70A77986" w14:textId="77777777" w:rsidR="00B96F86" w:rsidRPr="0018455E" w:rsidRDefault="00B96F86" w:rsidP="00BE3F24">
      <w:pPr>
        <w:pStyle w:val="Heading5"/>
        <w:ind w:left="0" w:firstLine="0"/>
      </w:pPr>
      <w:r w:rsidRPr="0018455E">
        <w:t>Routine Laboratory Testing</w:t>
      </w:r>
    </w:p>
    <w:p w14:paraId="63EDF50D" w14:textId="41B84D41" w:rsidR="001A15B9" w:rsidRDefault="00B96F86" w:rsidP="00172E64">
      <w:pPr>
        <w:pStyle w:val="ListNumber"/>
        <w:numPr>
          <w:ilvl w:val="0"/>
          <w:numId w:val="42"/>
        </w:numPr>
        <w:tabs>
          <w:tab w:val="clear" w:pos="1872"/>
          <w:tab w:val="num" w:pos="1152"/>
          <w:tab w:val="left" w:pos="1917"/>
        </w:tabs>
        <w:spacing w:before="240"/>
        <w:ind w:left="1080" w:hanging="1080"/>
        <w:jc w:val="both"/>
      </w:pPr>
      <w:r w:rsidRPr="00405B2E">
        <w:t xml:space="preserve">Prepare a lab assignment form, OMT Geotechnical Laboratory Test Request Form, See </w:t>
      </w:r>
      <w:hyperlink w:anchor="_Forms,_Spreadsheets_&amp;" w:history="1">
        <w:r w:rsidR="00741EDE">
          <w:rPr>
            <w:rStyle w:val="Hyperlink"/>
          </w:rPr>
          <w:t>Forms, Spreadsheets &amp; Guidelines</w:t>
        </w:r>
      </w:hyperlink>
      <w:r w:rsidRPr="00405B2E">
        <w:t xml:space="preserve"> for OMT Geotechnical Laboratory Test Request Form</w:t>
      </w:r>
      <w:r w:rsidRPr="00405B2E" w:rsidDel="00B26889">
        <w:t xml:space="preserve"> </w:t>
      </w:r>
      <w:r w:rsidRPr="00405B2E">
        <w:t>for samples to be tested.</w:t>
      </w:r>
      <w:r w:rsidR="009D5A9B">
        <w:t xml:space="preserve">  The PAGD engineer should physically locate all samples for testing prior to submitting the lab test form.  The PAGD may request SATD assistance for locating bulk (bag) samples as they are in the SATD receiving</w:t>
      </w:r>
      <w:r w:rsidRPr="00405B2E">
        <w:t xml:space="preserve"> </w:t>
      </w:r>
      <w:r w:rsidR="009D5A9B">
        <w:t>area.  The PAGD engineer should request assistance from FED for jar samples and rock cores as they are maintained by FED in the warehouse.</w:t>
      </w:r>
      <w:r w:rsidRPr="00405B2E">
        <w:t xml:space="preserve"> </w:t>
      </w:r>
      <w:r w:rsidR="009D5A9B">
        <w:t xml:space="preserve"> </w:t>
      </w:r>
      <w:r w:rsidRPr="00405B2E">
        <w:t xml:space="preserve">Routine lab testing may </w:t>
      </w:r>
      <w:r w:rsidR="003A2263" w:rsidRPr="00405B2E">
        <w:t>include, but</w:t>
      </w:r>
      <w:r w:rsidRPr="00405B2E">
        <w:t xml:space="preserve"> not be limited to</w:t>
      </w:r>
      <w:r w:rsidRPr="001A5B08">
        <w:t>, soil classification index tests (AASHTO, USDA,</w:t>
      </w:r>
      <w:r>
        <w:t xml:space="preserve"> USCS</w:t>
      </w:r>
      <w:r w:rsidRPr="004305A6">
        <w:t>), moisture content, specific gravity, moisture</w:t>
      </w:r>
      <w:r>
        <w:t>-</w:t>
      </w:r>
      <w:r w:rsidRPr="004305A6">
        <w:t xml:space="preserve">density relationships, pH, </w:t>
      </w:r>
      <w:r>
        <w:t>o</w:t>
      </w:r>
      <w:r w:rsidRPr="004305A6">
        <w:t>rganic</w:t>
      </w:r>
      <w:r>
        <w:t xml:space="preserve"> content</w:t>
      </w:r>
      <w:r w:rsidRPr="004305A6">
        <w:t>, etc.</w:t>
      </w:r>
      <w:r w:rsidR="009D5A9B">
        <w:t xml:space="preserve">  </w:t>
      </w:r>
    </w:p>
    <w:p w14:paraId="3ADED8CD" w14:textId="77777777" w:rsidR="00B96F86" w:rsidRDefault="00B96F86" w:rsidP="004D0EF0">
      <w:pPr>
        <w:pStyle w:val="ListNumber"/>
        <w:tabs>
          <w:tab w:val="clear" w:pos="720"/>
          <w:tab w:val="clear" w:pos="1872"/>
          <w:tab w:val="left" w:pos="1917"/>
        </w:tabs>
        <w:spacing w:before="0"/>
        <w:ind w:left="1080" w:hanging="1080"/>
        <w:jc w:val="both"/>
      </w:pPr>
    </w:p>
    <w:p w14:paraId="12300B97" w14:textId="77777777" w:rsidR="001A15B9" w:rsidRDefault="00B96F86" w:rsidP="00172E64">
      <w:pPr>
        <w:pStyle w:val="ListNumber"/>
        <w:numPr>
          <w:ilvl w:val="0"/>
          <w:numId w:val="42"/>
        </w:numPr>
        <w:tabs>
          <w:tab w:val="clear" w:pos="1872"/>
          <w:tab w:val="num" w:pos="1152"/>
          <w:tab w:val="left" w:pos="1917"/>
        </w:tabs>
        <w:spacing w:before="0"/>
        <w:ind w:left="1080" w:hanging="1080"/>
        <w:jc w:val="both"/>
      </w:pPr>
      <w:r w:rsidRPr="008B475F">
        <w:t xml:space="preserve">If borings were </w:t>
      </w:r>
      <w:r>
        <w:t>obtained</w:t>
      </w:r>
      <w:r w:rsidRPr="008B475F">
        <w:t xml:space="preserve"> for </w:t>
      </w:r>
      <w:smartTag w:uri="urn:schemas-microsoft-com:office:smarttags" w:element="stockticker">
        <w:r w:rsidRPr="008B475F">
          <w:t>SWM</w:t>
        </w:r>
      </w:smartTag>
      <w:r w:rsidRPr="008B475F">
        <w:t xml:space="preserve"> design purpose, request </w:t>
      </w:r>
      <w:r w:rsidRPr="001A5B08">
        <w:t>USDA</w:t>
      </w:r>
      <w:r>
        <w:t xml:space="preserve"> classification</w:t>
      </w:r>
      <w:r w:rsidRPr="008B475F">
        <w:t xml:space="preserve">. </w:t>
      </w:r>
    </w:p>
    <w:p w14:paraId="58394E89" w14:textId="77777777" w:rsidR="00B96F86" w:rsidRDefault="00B96F86" w:rsidP="004D0EF0">
      <w:pPr>
        <w:pStyle w:val="ListNumber"/>
        <w:tabs>
          <w:tab w:val="clear" w:pos="720"/>
          <w:tab w:val="clear" w:pos="1872"/>
          <w:tab w:val="left" w:pos="1917"/>
        </w:tabs>
        <w:spacing w:before="0"/>
        <w:ind w:left="1080" w:hanging="1080"/>
        <w:jc w:val="both"/>
      </w:pPr>
    </w:p>
    <w:p w14:paraId="2986BDD4" w14:textId="1ADED3EC" w:rsidR="001A15B9" w:rsidRDefault="00B96F86" w:rsidP="00172E64">
      <w:pPr>
        <w:pStyle w:val="ListNumber"/>
        <w:numPr>
          <w:ilvl w:val="0"/>
          <w:numId w:val="42"/>
        </w:numPr>
        <w:tabs>
          <w:tab w:val="clear" w:pos="1872"/>
          <w:tab w:val="num" w:pos="1152"/>
          <w:tab w:val="left" w:pos="1917"/>
        </w:tabs>
        <w:spacing w:before="0"/>
        <w:ind w:left="1080" w:hanging="1080"/>
        <w:jc w:val="both"/>
      </w:pPr>
      <w:r w:rsidRPr="00673A33">
        <w:t>Request Resilient Modulus testing on representative bulk (bag) samples to determine the strength of subgrade soils.  This should be requested on a case</w:t>
      </w:r>
      <w:r w:rsidR="00657513">
        <w:t>-</w:t>
      </w:r>
      <w:r w:rsidRPr="00673A33">
        <w:t>by</w:t>
      </w:r>
      <w:r w:rsidR="00657513">
        <w:t>-</w:t>
      </w:r>
      <w:r w:rsidRPr="00673A33">
        <w:t xml:space="preserve">case basis after discussion with </w:t>
      </w:r>
      <w:r>
        <w:t xml:space="preserve">the </w:t>
      </w:r>
      <w:r w:rsidRPr="00673A33">
        <w:t>PAGD TL.</w:t>
      </w:r>
    </w:p>
    <w:p w14:paraId="312D429C" w14:textId="77777777" w:rsidR="00B96F86" w:rsidRDefault="00B96F86" w:rsidP="004D0EF0">
      <w:pPr>
        <w:pStyle w:val="ListNumber"/>
        <w:tabs>
          <w:tab w:val="clear" w:pos="720"/>
          <w:tab w:val="clear" w:pos="1872"/>
          <w:tab w:val="left" w:pos="1917"/>
        </w:tabs>
        <w:spacing w:before="0"/>
        <w:ind w:left="1080" w:hanging="1080"/>
        <w:jc w:val="both"/>
      </w:pPr>
    </w:p>
    <w:p w14:paraId="30613749" w14:textId="7174C552" w:rsidR="001A15B9" w:rsidRDefault="00B96F86" w:rsidP="00172E64">
      <w:pPr>
        <w:pStyle w:val="ListNumber"/>
        <w:numPr>
          <w:ilvl w:val="0"/>
          <w:numId w:val="42"/>
        </w:numPr>
        <w:tabs>
          <w:tab w:val="clear" w:pos="1872"/>
          <w:tab w:val="num" w:pos="1152"/>
          <w:tab w:val="left" w:pos="1917"/>
        </w:tabs>
        <w:spacing w:before="0"/>
        <w:ind w:left="1080" w:hanging="1080"/>
        <w:jc w:val="both"/>
      </w:pPr>
      <w:r>
        <w:t>R</w:t>
      </w:r>
      <w:r w:rsidRPr="002945A3">
        <w:t xml:space="preserve">equest D50 </w:t>
      </w:r>
      <w:r>
        <w:t xml:space="preserve">Grain Size for scour analysis </w:t>
      </w:r>
      <w:r w:rsidRPr="002945A3">
        <w:t xml:space="preserve">for all </w:t>
      </w:r>
      <w:r>
        <w:t xml:space="preserve">jar </w:t>
      </w:r>
      <w:r w:rsidRPr="002945A3">
        <w:t>samples retrieved whenever a</w:t>
      </w:r>
      <w:r w:rsidR="00657513">
        <w:t>n</w:t>
      </w:r>
      <w:r w:rsidRPr="002945A3">
        <w:t xml:space="preserve"> SPT boring is taken for </w:t>
      </w:r>
      <w:r>
        <w:t>s</w:t>
      </w:r>
      <w:r w:rsidRPr="002945A3">
        <w:t>cour purpose</w:t>
      </w:r>
      <w:r>
        <w:t>s</w:t>
      </w:r>
      <w:r w:rsidRPr="002945A3">
        <w:t xml:space="preserve">. </w:t>
      </w:r>
    </w:p>
    <w:p w14:paraId="1C92B27B" w14:textId="77777777" w:rsidR="00B96F86" w:rsidRDefault="00B96F86" w:rsidP="00BE3F24">
      <w:pPr>
        <w:pStyle w:val="ListNumber"/>
        <w:tabs>
          <w:tab w:val="clear" w:pos="720"/>
          <w:tab w:val="left" w:pos="1917"/>
        </w:tabs>
        <w:spacing w:before="0"/>
        <w:ind w:left="0" w:firstLine="0"/>
        <w:jc w:val="both"/>
      </w:pPr>
    </w:p>
    <w:p w14:paraId="42D5CCAF" w14:textId="77777777" w:rsidR="00B96F86" w:rsidRPr="0018455E" w:rsidRDefault="00B96F86" w:rsidP="00BE3F24">
      <w:pPr>
        <w:pStyle w:val="Heading5"/>
        <w:ind w:left="0" w:firstLine="0"/>
      </w:pPr>
      <w:r w:rsidRPr="0018455E">
        <w:t>Special Laboratory Testing</w:t>
      </w:r>
    </w:p>
    <w:p w14:paraId="1F1A31AA" w14:textId="77777777" w:rsidR="001A15B9" w:rsidRDefault="00B96F86" w:rsidP="00172E64">
      <w:pPr>
        <w:numPr>
          <w:ilvl w:val="0"/>
          <w:numId w:val="42"/>
        </w:numPr>
        <w:tabs>
          <w:tab w:val="clear" w:pos="1872"/>
          <w:tab w:val="num" w:pos="1152"/>
          <w:tab w:val="left" w:pos="1917"/>
        </w:tabs>
        <w:autoSpaceDE w:val="0"/>
        <w:autoSpaceDN w:val="0"/>
        <w:adjustRightInd w:val="0"/>
        <w:spacing w:before="240"/>
        <w:ind w:left="1080" w:hanging="1080"/>
        <w:jc w:val="both"/>
        <w:rPr>
          <w:rFonts w:ascii="Arial" w:hAnsi="Arial" w:cs="Arial"/>
          <w:sz w:val="22"/>
          <w:szCs w:val="22"/>
        </w:rPr>
      </w:pPr>
      <w:r w:rsidRPr="00B96F86">
        <w:rPr>
          <w:rFonts w:ascii="Arial" w:hAnsi="Arial" w:cs="Arial"/>
          <w:sz w:val="22"/>
          <w:szCs w:val="22"/>
        </w:rPr>
        <w:t xml:space="preserve">In addition to routine lab testing, special laboratory testing may be required to determine engineering properties of soils. The EGD should always be contacted for special lab testing.  The EGD should be the lead when developing </w:t>
      </w:r>
      <w:r w:rsidRPr="00B96F86">
        <w:rPr>
          <w:rFonts w:ascii="Arial" w:hAnsi="Arial" w:cs="Arial"/>
          <w:sz w:val="22"/>
          <w:szCs w:val="22"/>
        </w:rPr>
        <w:lastRenderedPageBreak/>
        <w:t>a special lab testing program and request if necessary.  The following contains general information on special lab testing.</w:t>
      </w:r>
    </w:p>
    <w:p w14:paraId="4AF0034D" w14:textId="77777777" w:rsidR="00B96F86" w:rsidRDefault="00B96F86" w:rsidP="004D0EF0">
      <w:pPr>
        <w:tabs>
          <w:tab w:val="left" w:pos="1917"/>
        </w:tabs>
        <w:autoSpaceDE w:val="0"/>
        <w:autoSpaceDN w:val="0"/>
        <w:adjustRightInd w:val="0"/>
        <w:ind w:left="1080" w:hanging="1080"/>
        <w:jc w:val="both"/>
        <w:rPr>
          <w:rFonts w:ascii="Arial" w:hAnsi="Arial" w:cs="Arial"/>
        </w:rPr>
      </w:pPr>
    </w:p>
    <w:p w14:paraId="74BB71D1" w14:textId="27C2CAA9" w:rsidR="001A15B9" w:rsidRDefault="00B96F86" w:rsidP="00172E64">
      <w:pPr>
        <w:pStyle w:val="ListNumber"/>
        <w:numPr>
          <w:ilvl w:val="0"/>
          <w:numId w:val="42"/>
        </w:numPr>
        <w:tabs>
          <w:tab w:val="clear" w:pos="1872"/>
          <w:tab w:val="num" w:pos="1152"/>
          <w:tab w:val="left" w:pos="1917"/>
        </w:tabs>
        <w:spacing w:before="0"/>
        <w:ind w:left="1080" w:hanging="1080"/>
        <w:jc w:val="both"/>
      </w:pPr>
      <w:r>
        <w:t>Prepare a lab assignment form for the samples to be tested.  Special l</w:t>
      </w:r>
      <w:r w:rsidRPr="004305A6">
        <w:t>ab</w:t>
      </w:r>
      <w:r>
        <w:t>oratory</w:t>
      </w:r>
      <w:r w:rsidRPr="004305A6">
        <w:t xml:space="preserve"> testing may include, </w:t>
      </w:r>
      <w:r>
        <w:t>but not be limited to:</w:t>
      </w:r>
    </w:p>
    <w:p w14:paraId="66E1E774" w14:textId="77777777" w:rsidR="001A15B9" w:rsidRPr="00657513" w:rsidRDefault="00B96F86" w:rsidP="00172E64">
      <w:pPr>
        <w:pStyle w:val="ListNumber"/>
        <w:numPr>
          <w:ilvl w:val="0"/>
          <w:numId w:val="167"/>
        </w:numPr>
        <w:tabs>
          <w:tab w:val="clear" w:pos="1872"/>
        </w:tabs>
        <w:jc w:val="both"/>
        <w:rPr>
          <w:szCs w:val="22"/>
        </w:rPr>
      </w:pPr>
      <w:r w:rsidRPr="00657513">
        <w:rPr>
          <w:szCs w:val="22"/>
        </w:rPr>
        <w:t xml:space="preserve">Corrosion Testing: Corrosion tests should be requested when pile foundations and metallic pipes will be constructed in an aggressive environment. </w:t>
      </w:r>
    </w:p>
    <w:p w14:paraId="32322411" w14:textId="5EB6103F" w:rsidR="00657513" w:rsidRDefault="00B96F86" w:rsidP="00172E64">
      <w:pPr>
        <w:pStyle w:val="ListNumber"/>
        <w:numPr>
          <w:ilvl w:val="0"/>
          <w:numId w:val="167"/>
        </w:numPr>
        <w:tabs>
          <w:tab w:val="clear" w:pos="1872"/>
        </w:tabs>
        <w:jc w:val="both"/>
        <w:rPr>
          <w:szCs w:val="22"/>
        </w:rPr>
      </w:pPr>
      <w:r w:rsidRPr="00657513">
        <w:rPr>
          <w:szCs w:val="22"/>
        </w:rPr>
        <w:t>Direct Shear Testing: Direct Shear tests are requested to obtain effective strength parameters of soils for use in geotechnical engineering analysis (slope stability, bearing capacity, retaining walls, pile end bearing</w:t>
      </w:r>
      <w:r w:rsidR="00657513">
        <w:rPr>
          <w:szCs w:val="22"/>
        </w:rPr>
        <w:t>,</w:t>
      </w:r>
      <w:r w:rsidRPr="00657513">
        <w:rPr>
          <w:szCs w:val="22"/>
        </w:rPr>
        <w:t xml:space="preserve"> and skin friction). This test is mostly useful for cohesionless soils.  Samples for testing may be re-molded from bulk (bag) samples.  The normal pressures to be used for testing should be computed based upon actual and proposed site conditions.</w:t>
      </w:r>
    </w:p>
    <w:p w14:paraId="5109AB33" w14:textId="7BC317EA" w:rsidR="00657513" w:rsidRDefault="00657513" w:rsidP="00172E64">
      <w:pPr>
        <w:pStyle w:val="ListNumber"/>
        <w:numPr>
          <w:ilvl w:val="0"/>
          <w:numId w:val="167"/>
        </w:numPr>
        <w:tabs>
          <w:tab w:val="clear" w:pos="1872"/>
        </w:tabs>
        <w:jc w:val="both"/>
        <w:rPr>
          <w:szCs w:val="22"/>
        </w:rPr>
      </w:pPr>
      <w:r>
        <w:rPr>
          <w:szCs w:val="22"/>
        </w:rPr>
        <w:t xml:space="preserve">Consolidation </w:t>
      </w:r>
      <w:r w:rsidRPr="00657513">
        <w:rPr>
          <w:szCs w:val="22"/>
        </w:rPr>
        <w:t>Testing:  Consolidation tests are required to obtain soil parameters (C</w:t>
      </w:r>
      <w:r w:rsidRPr="0066501A">
        <w:rPr>
          <w:vertAlign w:val="subscript"/>
        </w:rPr>
        <w:t>v</w:t>
      </w:r>
      <w:r w:rsidRPr="00657513">
        <w:rPr>
          <w:szCs w:val="22"/>
        </w:rPr>
        <w:t>, C</w:t>
      </w:r>
      <w:r w:rsidRPr="0066501A">
        <w:rPr>
          <w:vertAlign w:val="subscript"/>
        </w:rPr>
        <w:t>c</w:t>
      </w:r>
      <w:r w:rsidRPr="00657513">
        <w:rPr>
          <w:szCs w:val="22"/>
        </w:rPr>
        <w:t>, P</w:t>
      </w:r>
      <w:r w:rsidRPr="0066501A">
        <w:rPr>
          <w:vertAlign w:val="subscript"/>
        </w:rPr>
        <w:t>c</w:t>
      </w:r>
      <w:r w:rsidRPr="00657513">
        <w:rPr>
          <w:szCs w:val="22"/>
        </w:rPr>
        <w:t>, etc.) in order to perform time-dependent settlement analyses of cohesive soils for embankments, structural foundations, and retaining structures. These tests are usually performed on cohesive soils from an undisturbed sample.</w:t>
      </w:r>
    </w:p>
    <w:p w14:paraId="4F82A2C3" w14:textId="06796C4A" w:rsidR="001A15B9" w:rsidRPr="00657513" w:rsidRDefault="00B96F86" w:rsidP="00172E64">
      <w:pPr>
        <w:pStyle w:val="ListNumber"/>
        <w:numPr>
          <w:ilvl w:val="0"/>
          <w:numId w:val="167"/>
        </w:numPr>
        <w:tabs>
          <w:tab w:val="clear" w:pos="1872"/>
        </w:tabs>
        <w:jc w:val="both"/>
        <w:rPr>
          <w:szCs w:val="22"/>
        </w:rPr>
      </w:pPr>
      <w:r w:rsidRPr="00657513">
        <w:rPr>
          <w:szCs w:val="22"/>
        </w:rPr>
        <w:t>Unconfined Compression Testing:  Unconfined compression tests are a quick and inexpensive method to measure the shear strength (undrained cohesion values) of cohesive soils.  The reliability of this test is particularly poor with increasing sample depth (below 30 ft</w:t>
      </w:r>
      <w:r w:rsidR="00387BB1">
        <w:rPr>
          <w:szCs w:val="22"/>
        </w:rPr>
        <w:t>.</w:t>
      </w:r>
      <w:r w:rsidRPr="00657513">
        <w:rPr>
          <w:szCs w:val="22"/>
        </w:rPr>
        <w:t xml:space="preserve">) because the sample tends to swell after removal from the tube. Conservative values are obtained from testing since the sample is not confined. Sample may be obtained from undisturbed sampling or be lab reconstituted.  The undrained cohesion is half the ultimate stress applied. </w:t>
      </w:r>
    </w:p>
    <w:p w14:paraId="748329AD" w14:textId="7B3C0528" w:rsidR="001A15B9" w:rsidRDefault="00B96F86" w:rsidP="00172E64">
      <w:pPr>
        <w:pStyle w:val="ListNumber"/>
        <w:numPr>
          <w:ilvl w:val="0"/>
          <w:numId w:val="167"/>
        </w:numPr>
        <w:tabs>
          <w:tab w:val="clear" w:pos="1872"/>
        </w:tabs>
        <w:jc w:val="both"/>
      </w:pPr>
      <w:r w:rsidRPr="00657513">
        <w:rPr>
          <w:szCs w:val="22"/>
        </w:rPr>
        <w:t>T</w:t>
      </w:r>
      <w:r w:rsidRPr="00064153">
        <w:t>ri-axial Test</w:t>
      </w:r>
      <w:r>
        <w:t xml:space="preserve">ing:  Tri-axial tests are performed to </w:t>
      </w:r>
      <w:r w:rsidRPr="00064153">
        <w:t>determine strength characteristics of soils</w:t>
      </w:r>
      <w:r>
        <w:t xml:space="preserve"> to be used in geotechnical engineering analysis.  </w:t>
      </w:r>
      <w:r w:rsidRPr="00064153">
        <w:t xml:space="preserve">Triaxial tests provide a reliable means to determine the friction angle of natural clays </w:t>
      </w:r>
      <w:r>
        <w:t>and</w:t>
      </w:r>
      <w:r w:rsidRPr="00064153">
        <w:t xml:space="preserve"> silts, as well as reconstituted sands. Three types of tri-axial tests are available</w:t>
      </w:r>
      <w:r w:rsidR="00A4196F">
        <w:t>:</w:t>
      </w:r>
    </w:p>
    <w:p w14:paraId="22907D4A" w14:textId="77777777" w:rsidR="001A15B9" w:rsidRDefault="00B96F86" w:rsidP="00172E64">
      <w:pPr>
        <w:pStyle w:val="BodyText"/>
        <w:numPr>
          <w:ilvl w:val="0"/>
          <w:numId w:val="168"/>
        </w:numPr>
        <w:tabs>
          <w:tab w:val="left" w:pos="1080"/>
          <w:tab w:val="left" w:pos="1917"/>
        </w:tabs>
        <w:spacing w:after="0"/>
        <w:jc w:val="both"/>
      </w:pPr>
      <w:r w:rsidRPr="00064153">
        <w:t>Unconsolidated Undrained Test</w:t>
      </w:r>
    </w:p>
    <w:p w14:paraId="1C233589" w14:textId="77777777" w:rsidR="001A15B9" w:rsidRDefault="00B96F86" w:rsidP="00172E64">
      <w:pPr>
        <w:pStyle w:val="BodyText"/>
        <w:numPr>
          <w:ilvl w:val="0"/>
          <w:numId w:val="168"/>
        </w:numPr>
        <w:tabs>
          <w:tab w:val="left" w:pos="1080"/>
          <w:tab w:val="left" w:pos="1917"/>
        </w:tabs>
        <w:spacing w:after="0"/>
        <w:jc w:val="both"/>
      </w:pPr>
      <w:r w:rsidRPr="00064153">
        <w:t>Consolidated Undrained Test</w:t>
      </w:r>
    </w:p>
    <w:p w14:paraId="0E5314C9" w14:textId="489ECB2A" w:rsidR="00657513" w:rsidRDefault="00B96F86" w:rsidP="00172E64">
      <w:pPr>
        <w:pStyle w:val="BodyText"/>
        <w:numPr>
          <w:ilvl w:val="0"/>
          <w:numId w:val="168"/>
        </w:numPr>
        <w:tabs>
          <w:tab w:val="left" w:pos="1080"/>
          <w:tab w:val="left" w:pos="1917"/>
        </w:tabs>
        <w:spacing w:after="0"/>
        <w:jc w:val="both"/>
      </w:pPr>
      <w:r w:rsidRPr="00064153">
        <w:t>Consolidated Drained Test</w:t>
      </w:r>
    </w:p>
    <w:p w14:paraId="0DC97E59" w14:textId="43743519" w:rsidR="001A15B9" w:rsidRDefault="001A15B9" w:rsidP="0066501A">
      <w:pPr>
        <w:pStyle w:val="BodyText"/>
        <w:tabs>
          <w:tab w:val="left" w:pos="1080"/>
          <w:tab w:val="left" w:pos="1917"/>
        </w:tabs>
        <w:spacing w:after="0"/>
        <w:ind w:left="1440"/>
        <w:jc w:val="both"/>
      </w:pPr>
    </w:p>
    <w:p w14:paraId="3BA6C38E" w14:textId="7C65F7E4" w:rsidR="00657513" w:rsidRDefault="00B96F86" w:rsidP="00172E64">
      <w:pPr>
        <w:pStyle w:val="ListNumber"/>
        <w:numPr>
          <w:ilvl w:val="0"/>
          <w:numId w:val="167"/>
        </w:numPr>
        <w:tabs>
          <w:tab w:val="clear" w:pos="1872"/>
        </w:tabs>
        <w:spacing w:before="0"/>
        <w:jc w:val="both"/>
        <w:rPr>
          <w:szCs w:val="22"/>
        </w:rPr>
      </w:pPr>
      <w:r w:rsidRPr="00657513">
        <w:rPr>
          <w:szCs w:val="22"/>
        </w:rPr>
        <w:t>Unconsolidated Undrained (UU) Testing: The UU test is generally used to obtain soil strength parameters for analysis of quick loading situations such as rapid construction of a highway embankment where all load is applied before the deposit can consolidate and gain strength.  Used for short-term analysis conditions.</w:t>
      </w:r>
    </w:p>
    <w:p w14:paraId="0E616CFC" w14:textId="739EF370" w:rsidR="00657513" w:rsidRDefault="00657513" w:rsidP="00172E64">
      <w:pPr>
        <w:pStyle w:val="ListNumber"/>
        <w:numPr>
          <w:ilvl w:val="0"/>
          <w:numId w:val="167"/>
        </w:numPr>
        <w:tabs>
          <w:tab w:val="clear" w:pos="1872"/>
        </w:tabs>
        <w:jc w:val="both"/>
        <w:rPr>
          <w:szCs w:val="22"/>
        </w:rPr>
      </w:pPr>
      <w:r>
        <w:rPr>
          <w:szCs w:val="22"/>
        </w:rPr>
        <w:t xml:space="preserve">Consolidated Undrained (CU) Testing:  </w:t>
      </w:r>
      <w:r w:rsidRPr="00657513">
        <w:rPr>
          <w:szCs w:val="22"/>
        </w:rPr>
        <w:t xml:space="preserve">The CU test is also used to obtain soil strength parameters.  The principal application of results of CU tests on cohesive soils is </w:t>
      </w:r>
      <w:r>
        <w:rPr>
          <w:szCs w:val="22"/>
        </w:rPr>
        <w:t>for</w:t>
      </w:r>
      <w:r w:rsidRPr="00657513">
        <w:rPr>
          <w:szCs w:val="22"/>
        </w:rPr>
        <w:t xml:space="preserve"> the situation where additional load is rapidly applied to soil that has been consolidated under a previous loading (shear stresses). The principal application of the CU test to cohesionless soils is </w:t>
      </w:r>
      <w:r w:rsidRPr="00657513">
        <w:rPr>
          <w:szCs w:val="22"/>
        </w:rPr>
        <w:lastRenderedPageBreak/>
        <w:t>to evaluate the stress-strain properties as a function of effective confining stress. CU test data is used for short-term and long-term analysis conditions</w:t>
      </w:r>
      <w:r>
        <w:rPr>
          <w:szCs w:val="22"/>
        </w:rPr>
        <w:t>.</w:t>
      </w:r>
    </w:p>
    <w:p w14:paraId="3BC7A577" w14:textId="501241EC" w:rsidR="001A15B9" w:rsidRPr="0066501A" w:rsidRDefault="00B96F86" w:rsidP="00172E64">
      <w:pPr>
        <w:pStyle w:val="ListNumber"/>
        <w:numPr>
          <w:ilvl w:val="0"/>
          <w:numId w:val="167"/>
        </w:numPr>
        <w:tabs>
          <w:tab w:val="clear" w:pos="1872"/>
        </w:tabs>
        <w:jc w:val="both"/>
      </w:pPr>
      <w:r w:rsidRPr="00657513">
        <w:rPr>
          <w:szCs w:val="22"/>
        </w:rPr>
        <w:t>Consolidated Drained (CD) Testing:  The CD test is also used to obtain soil strength parameters.  The principal application of the results of CD tests on cohesive soils is for the case where either construction will occur at a sufficiently slow rate that no excess pore pressures will develop</w:t>
      </w:r>
      <w:r w:rsidR="00657513">
        <w:rPr>
          <w:szCs w:val="22"/>
        </w:rPr>
        <w:t>,</w:t>
      </w:r>
      <w:r w:rsidRPr="00657513">
        <w:rPr>
          <w:szCs w:val="22"/>
        </w:rPr>
        <w:t xml:space="preserve"> or sufficient time will have elapsed that all excess pore pressures will have dissipated (i.e.</w:t>
      </w:r>
      <w:r w:rsidR="00657513">
        <w:rPr>
          <w:szCs w:val="22"/>
        </w:rPr>
        <w:t>,</w:t>
      </w:r>
      <w:r w:rsidRPr="00657513">
        <w:rPr>
          <w:szCs w:val="22"/>
        </w:rPr>
        <w:t xml:space="preserve"> long</w:t>
      </w:r>
      <w:r w:rsidR="00657513">
        <w:rPr>
          <w:szCs w:val="22"/>
        </w:rPr>
        <w:t>-</w:t>
      </w:r>
      <w:r w:rsidRPr="00657513">
        <w:rPr>
          <w:szCs w:val="22"/>
        </w:rPr>
        <w:t xml:space="preserve">term conditions). </w:t>
      </w:r>
      <w:r w:rsidR="00657513">
        <w:rPr>
          <w:szCs w:val="22"/>
        </w:rPr>
        <w:t xml:space="preserve"> </w:t>
      </w:r>
      <w:r w:rsidRPr="00657513">
        <w:rPr>
          <w:szCs w:val="22"/>
        </w:rPr>
        <w:t>The principal application to cohesionless soils is to determine the effective friction angle.  Used for long-term analysis conditions.</w:t>
      </w:r>
    </w:p>
    <w:p w14:paraId="70735EB8" w14:textId="77777777" w:rsidR="00B96F86" w:rsidRPr="0066501A" w:rsidRDefault="00B96F86" w:rsidP="003A2263">
      <w:pPr>
        <w:pStyle w:val="ListNumber"/>
        <w:tabs>
          <w:tab w:val="clear" w:pos="720"/>
          <w:tab w:val="clear" w:pos="1872"/>
        </w:tabs>
        <w:ind w:left="1440" w:firstLine="0"/>
        <w:jc w:val="both"/>
        <w:rPr>
          <w:i/>
        </w:rPr>
      </w:pPr>
      <w:r w:rsidRPr="0066501A">
        <w:rPr>
          <w:i/>
        </w:rPr>
        <w:t xml:space="preserve">NOTE: If there is no change in pore water pressure, calculations for internal friction angle and cohesion are done based on total stress. If change in pore water pressure is observed during the tri-axial testing, cohesion and internal friction angle determined would be based on effective stress. </w:t>
      </w:r>
    </w:p>
    <w:p w14:paraId="17AA1255" w14:textId="01802F4A" w:rsidR="001A15B9" w:rsidRPr="00657513" w:rsidRDefault="00B96F86" w:rsidP="00172E64">
      <w:pPr>
        <w:pStyle w:val="ListNumber"/>
        <w:numPr>
          <w:ilvl w:val="0"/>
          <w:numId w:val="167"/>
        </w:numPr>
        <w:tabs>
          <w:tab w:val="clear" w:pos="1872"/>
        </w:tabs>
        <w:jc w:val="both"/>
        <w:rPr>
          <w:szCs w:val="22"/>
        </w:rPr>
      </w:pPr>
      <w:r w:rsidRPr="00657513">
        <w:rPr>
          <w:szCs w:val="22"/>
        </w:rPr>
        <w:t>Permeability Testing: Laboratory permeability testing is performed to determine the hydraulic conductivity (k) of a soil specimen. For natural soils, tests are conducted on samples obtained from undisturbed sampling</w:t>
      </w:r>
      <w:r w:rsidR="00657513">
        <w:rPr>
          <w:szCs w:val="22"/>
        </w:rPr>
        <w:t>;</w:t>
      </w:r>
      <w:r w:rsidRPr="00657513">
        <w:rPr>
          <w:szCs w:val="22"/>
        </w:rPr>
        <w:t xml:space="preserve"> and for fill or borrow soils, tests are performed on samples reconstituted in the lab. </w:t>
      </w:r>
    </w:p>
    <w:p w14:paraId="4ECF83F1" w14:textId="77777777" w:rsidR="001A15B9" w:rsidRPr="00657513" w:rsidRDefault="00B96F86" w:rsidP="00172E64">
      <w:pPr>
        <w:pStyle w:val="ListNumber"/>
        <w:numPr>
          <w:ilvl w:val="0"/>
          <w:numId w:val="167"/>
        </w:numPr>
        <w:tabs>
          <w:tab w:val="clear" w:pos="1872"/>
        </w:tabs>
        <w:jc w:val="both"/>
        <w:rPr>
          <w:szCs w:val="22"/>
        </w:rPr>
      </w:pPr>
      <w:r w:rsidRPr="00657513">
        <w:rPr>
          <w:szCs w:val="22"/>
        </w:rPr>
        <w:t>California Bearing Ratio (CBR) Testing: CBR testing is performed to determine the strength parameters of subgrade soils. CBR has been correlated empirically with Resilient Modulus and a variety of other engineering soil properties.</w:t>
      </w:r>
    </w:p>
    <w:p w14:paraId="0A0591FD" w14:textId="77777777" w:rsidR="00B96F86" w:rsidRPr="0066501A" w:rsidRDefault="00B96F86" w:rsidP="003A2263">
      <w:pPr>
        <w:pStyle w:val="ListNumber"/>
        <w:tabs>
          <w:tab w:val="clear" w:pos="720"/>
          <w:tab w:val="clear" w:pos="1872"/>
        </w:tabs>
        <w:spacing w:before="0"/>
        <w:ind w:left="1440" w:firstLine="0"/>
        <w:jc w:val="both"/>
      </w:pPr>
    </w:p>
    <w:p w14:paraId="12BE5DCC" w14:textId="77777777" w:rsidR="00B96F86" w:rsidRDefault="00B96F86" w:rsidP="0066501A">
      <w:pPr>
        <w:pStyle w:val="Heading5"/>
        <w:tabs>
          <w:tab w:val="clear" w:pos="1080"/>
          <w:tab w:val="left" w:pos="1800"/>
        </w:tabs>
        <w:ind w:left="0" w:firstLine="0"/>
      </w:pPr>
      <w:r>
        <w:t xml:space="preserve">Prepare and Submit </w:t>
      </w:r>
      <w:r w:rsidRPr="00316117">
        <w:t>Request Forms</w:t>
      </w:r>
    </w:p>
    <w:p w14:paraId="2C210825" w14:textId="696C4C36" w:rsidR="001A15B9" w:rsidRDefault="00B96F86" w:rsidP="00172E64">
      <w:pPr>
        <w:pStyle w:val="ListNumber"/>
        <w:numPr>
          <w:ilvl w:val="0"/>
          <w:numId w:val="42"/>
        </w:numPr>
        <w:tabs>
          <w:tab w:val="clear" w:pos="1872"/>
          <w:tab w:val="num" w:pos="1152"/>
          <w:tab w:val="left" w:pos="1917"/>
        </w:tabs>
        <w:spacing w:before="240"/>
        <w:ind w:left="1080" w:hanging="1080"/>
        <w:jc w:val="both"/>
        <w:rPr>
          <w:rFonts w:cs="Arial"/>
        </w:rPr>
      </w:pPr>
      <w:r w:rsidRPr="00AA3764">
        <w:rPr>
          <w:rFonts w:cs="Arial"/>
        </w:rPr>
        <w:t xml:space="preserve">Prepare a lab assignment form, </w:t>
      </w:r>
      <w:r w:rsidRPr="00856958">
        <w:rPr>
          <w:rFonts w:cs="Arial"/>
        </w:rPr>
        <w:t xml:space="preserve">OMT Geotechnical Laboratory Test Request Form </w:t>
      </w:r>
      <w:r>
        <w:rPr>
          <w:rFonts w:cs="Arial"/>
        </w:rPr>
        <w:t>(se</w:t>
      </w:r>
      <w:r w:rsidRPr="00856958">
        <w:rPr>
          <w:rFonts w:cs="Arial"/>
        </w:rPr>
        <w:t xml:space="preserve">e </w:t>
      </w:r>
      <w:hyperlink w:anchor="_Forms,_Spreadsheets_&amp;" w:history="1">
        <w:r w:rsidR="00741EDE">
          <w:rPr>
            <w:rStyle w:val="Hyperlink"/>
            <w:rFonts w:cs="Arial"/>
          </w:rPr>
          <w:t>Forms, Spreadsheets &amp; Guidelines</w:t>
        </w:r>
      </w:hyperlink>
      <w:r w:rsidRPr="00856958">
        <w:rPr>
          <w:rFonts w:cs="Arial"/>
        </w:rPr>
        <w:t xml:space="preserve"> for OMT Geotechnical Laboratory Test Request Form</w:t>
      </w:r>
      <w:r>
        <w:rPr>
          <w:rFonts w:cs="Arial"/>
        </w:rPr>
        <w:t>)</w:t>
      </w:r>
      <w:r w:rsidRPr="00AA3764" w:rsidDel="00B26889">
        <w:rPr>
          <w:rFonts w:cs="Arial"/>
        </w:rPr>
        <w:t xml:space="preserve"> </w:t>
      </w:r>
      <w:r w:rsidRPr="00AA3764">
        <w:rPr>
          <w:rFonts w:cs="Arial"/>
        </w:rPr>
        <w:t>for samples to be tested with all routine and special lab testing needs.  Routine lab testing may include, but not be limited to, soil classification index tests (AASHTO, MSMT, USDA, USCS), moisture content, specific gravity, moisture-density relationships, pH, organic content, etc.</w:t>
      </w:r>
    </w:p>
    <w:p w14:paraId="0A422D4A" w14:textId="77777777" w:rsidR="00B96F86" w:rsidRPr="00AA3764" w:rsidRDefault="00B96F86" w:rsidP="00BE3F24">
      <w:pPr>
        <w:pStyle w:val="ListNumber"/>
        <w:tabs>
          <w:tab w:val="clear" w:pos="720"/>
          <w:tab w:val="clear" w:pos="1872"/>
          <w:tab w:val="left" w:pos="1917"/>
        </w:tabs>
        <w:spacing w:before="0"/>
        <w:ind w:left="0" w:firstLine="0"/>
        <w:jc w:val="both"/>
        <w:rPr>
          <w:rFonts w:cs="Arial"/>
        </w:rPr>
      </w:pPr>
    </w:p>
    <w:p w14:paraId="27D02C0D" w14:textId="77777777" w:rsidR="001A15B9" w:rsidRDefault="00B96F86" w:rsidP="00172E64">
      <w:pPr>
        <w:pStyle w:val="ListNumber"/>
        <w:numPr>
          <w:ilvl w:val="0"/>
          <w:numId w:val="42"/>
        </w:numPr>
        <w:tabs>
          <w:tab w:val="clear" w:pos="1872"/>
          <w:tab w:val="num" w:pos="1152"/>
          <w:tab w:val="left" w:pos="1917"/>
        </w:tabs>
        <w:spacing w:before="0"/>
        <w:ind w:left="1080" w:hanging="1080"/>
        <w:jc w:val="both"/>
      </w:pPr>
      <w:r w:rsidRPr="00AA3764">
        <w:t xml:space="preserve">Submit completed form, </w:t>
      </w:r>
      <w:r w:rsidRPr="00856958">
        <w:t>OMT Geotechnical Laboratory Test Request Form, to PAGD TL for review.</w:t>
      </w:r>
      <w:r>
        <w:t xml:space="preserve"> </w:t>
      </w:r>
    </w:p>
    <w:p w14:paraId="7836C317" w14:textId="77777777" w:rsidR="00B96F86" w:rsidRPr="00AA3764" w:rsidRDefault="00B96F86" w:rsidP="004D0EF0">
      <w:pPr>
        <w:pStyle w:val="ListNumber"/>
        <w:tabs>
          <w:tab w:val="clear" w:pos="720"/>
          <w:tab w:val="clear" w:pos="1872"/>
          <w:tab w:val="left" w:pos="1917"/>
        </w:tabs>
        <w:spacing w:before="0"/>
        <w:ind w:left="1080" w:hanging="1080"/>
        <w:jc w:val="both"/>
        <w:rPr>
          <w:rFonts w:cs="Arial"/>
        </w:rPr>
      </w:pPr>
    </w:p>
    <w:p w14:paraId="67E7376C" w14:textId="77777777" w:rsidR="001A15B9" w:rsidRDefault="00B96F86" w:rsidP="00172E64">
      <w:pPr>
        <w:pStyle w:val="ListNumber"/>
        <w:numPr>
          <w:ilvl w:val="0"/>
          <w:numId w:val="42"/>
        </w:numPr>
        <w:tabs>
          <w:tab w:val="clear" w:pos="1872"/>
          <w:tab w:val="num" w:pos="1152"/>
          <w:tab w:val="left" w:pos="1917"/>
        </w:tabs>
        <w:spacing w:before="0"/>
        <w:ind w:left="1080" w:hanging="1080"/>
        <w:jc w:val="both"/>
      </w:pPr>
      <w:r w:rsidRPr="00AA3764">
        <w:t>If approved by PAGD TL, submit two copies of form</w:t>
      </w:r>
      <w:r w:rsidRPr="00856958">
        <w:t xml:space="preserve"> OMT Geotechnical Laboratory Test Request Form to SATD</w:t>
      </w:r>
      <w:r w:rsidRPr="00AA3764">
        <w:t>.</w:t>
      </w:r>
    </w:p>
    <w:p w14:paraId="3428FC37" w14:textId="581599C5" w:rsidR="004D0EF0" w:rsidRDefault="004D0EF0" w:rsidP="004800CD">
      <w:pPr>
        <w:tabs>
          <w:tab w:val="left" w:pos="7695"/>
        </w:tabs>
        <w:rPr>
          <w:rFonts w:ascii="Arial" w:hAnsi="Arial" w:cs="Arial"/>
          <w:b/>
          <w:i/>
          <w:sz w:val="24"/>
          <w:szCs w:val="24"/>
        </w:rPr>
      </w:pPr>
    </w:p>
    <w:p w14:paraId="23609E5A" w14:textId="77777777" w:rsidR="004D0EF0" w:rsidRDefault="004D0EF0" w:rsidP="00BE3F24">
      <w:pPr>
        <w:tabs>
          <w:tab w:val="left" w:pos="7695"/>
        </w:tabs>
        <w:jc w:val="center"/>
        <w:rPr>
          <w:rFonts w:ascii="Arial" w:hAnsi="Arial" w:cs="Arial"/>
          <w:b/>
          <w:i/>
          <w:sz w:val="24"/>
          <w:szCs w:val="24"/>
        </w:rPr>
      </w:pPr>
    </w:p>
    <w:p w14:paraId="4CA7AA67" w14:textId="77777777" w:rsidR="004D0EF0" w:rsidRDefault="004D0EF0" w:rsidP="00BE3F24">
      <w:pPr>
        <w:tabs>
          <w:tab w:val="left" w:pos="7695"/>
        </w:tabs>
        <w:jc w:val="center"/>
        <w:rPr>
          <w:rFonts w:ascii="Arial" w:hAnsi="Arial" w:cs="Arial"/>
          <w:b/>
          <w:i/>
          <w:sz w:val="24"/>
          <w:szCs w:val="24"/>
        </w:rPr>
      </w:pPr>
    </w:p>
    <w:p w14:paraId="574104BD" w14:textId="77777777" w:rsidR="004D0EF0" w:rsidRDefault="004D0EF0" w:rsidP="00BE3F24">
      <w:pPr>
        <w:tabs>
          <w:tab w:val="left" w:pos="7695"/>
        </w:tabs>
        <w:jc w:val="center"/>
        <w:rPr>
          <w:rFonts w:ascii="Arial" w:hAnsi="Arial" w:cs="Arial"/>
          <w:b/>
          <w:i/>
          <w:sz w:val="24"/>
          <w:szCs w:val="24"/>
        </w:rPr>
      </w:pPr>
    </w:p>
    <w:p w14:paraId="745F9FE6" w14:textId="77777777" w:rsidR="00C434AD" w:rsidRDefault="00C434AD" w:rsidP="00BE3F24">
      <w:pPr>
        <w:pStyle w:val="Heading2"/>
        <w:ind w:left="0" w:firstLine="0"/>
        <w:sectPr w:rsidR="00C434AD" w:rsidSect="00782FE3">
          <w:headerReference w:type="default" r:id="rId111"/>
          <w:footerReference w:type="default" r:id="rId112"/>
          <w:pgSz w:w="12240" w:h="15840"/>
          <w:pgMar w:top="1440" w:right="1800" w:bottom="1440" w:left="1800" w:header="720" w:footer="720" w:gutter="0"/>
          <w:pgNumType w:chapStyle="1"/>
          <w:cols w:space="720"/>
          <w:docGrid w:linePitch="272"/>
        </w:sectPr>
      </w:pPr>
    </w:p>
    <w:p w14:paraId="13862136" w14:textId="17CDEAAC" w:rsidR="00152A78" w:rsidRPr="00160E58" w:rsidRDefault="00152A78" w:rsidP="00152A78">
      <w:pPr>
        <w:pStyle w:val="Heading1"/>
      </w:pPr>
      <w:bookmarkStart w:id="145" w:name="_Analysis_Procedures"/>
      <w:bookmarkStart w:id="146" w:name="_Toc479160088"/>
      <w:bookmarkStart w:id="147" w:name="_Toc514057977"/>
      <w:bookmarkStart w:id="148" w:name="_Toc194932373"/>
      <w:bookmarkEnd w:id="145"/>
      <w:r>
        <w:lastRenderedPageBreak/>
        <w:t>Materials and Typical Design Properties</w:t>
      </w:r>
      <w:bookmarkEnd w:id="146"/>
      <w:bookmarkEnd w:id="147"/>
      <w:bookmarkEnd w:id="148"/>
    </w:p>
    <w:p w14:paraId="1BB4C267" w14:textId="77777777" w:rsidR="00152A78" w:rsidRPr="004800CD" w:rsidRDefault="00152A78" w:rsidP="00152A78">
      <w:pPr>
        <w:pStyle w:val="Heading3"/>
        <w:numPr>
          <w:ilvl w:val="0"/>
          <w:numId w:val="0"/>
        </w:numPr>
        <w:spacing w:before="0"/>
        <w:rPr>
          <w:sz w:val="22"/>
        </w:rPr>
      </w:pPr>
      <w:r w:rsidRPr="00E86920">
        <w:rPr>
          <w:rFonts w:eastAsia="Arial" w:cs="Arial"/>
          <w:b w:val="0"/>
          <w:i w:val="0"/>
          <w:sz w:val="16"/>
        </w:rPr>
        <w:t>Click to go to</w:t>
      </w:r>
      <w:r>
        <w:rPr>
          <w:rFonts w:eastAsia="Arial" w:cs="Arial"/>
          <w:b w:val="0"/>
          <w:i w:val="0"/>
          <w:sz w:val="16"/>
        </w:rPr>
        <w:t xml:space="preserve"> </w:t>
      </w:r>
      <w:hyperlink w:anchor="_Pavement_Mechanistic-Empirical_Anal" w:history="1">
        <w:r w:rsidRPr="006B41DE">
          <w:rPr>
            <w:rStyle w:val="Hyperlink"/>
            <w:rFonts w:eastAsia="Arial" w:cs="Arial"/>
            <w:b w:val="0"/>
            <w:i w:val="0"/>
            <w:sz w:val="16"/>
          </w:rPr>
          <w:t>Pavement Mechanistic-Empirical Analysis</w:t>
        </w:r>
      </w:hyperlink>
    </w:p>
    <w:p w14:paraId="00929C39" w14:textId="77777777"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2" w:history="1">
        <w:r w:rsidRPr="001F32D3">
          <w:rPr>
            <w:rStyle w:val="Hyperlink"/>
            <w:rFonts w:ascii="Arial" w:hAnsi="Arial" w:cs="Arial"/>
            <w:bCs/>
            <w:sz w:val="16"/>
            <w:szCs w:val="16"/>
          </w:rPr>
          <w:t>New Pavement Design Using AASHTO 1993</w:t>
        </w:r>
      </w:hyperlink>
    </w:p>
    <w:p w14:paraId="137FF008" w14:textId="77777777" w:rsidR="00152A78" w:rsidRDefault="00152A78" w:rsidP="00152A78">
      <w:pPr>
        <w:pStyle w:val="BodyText"/>
        <w:spacing w:after="0"/>
        <w:jc w:val="both"/>
      </w:pPr>
    </w:p>
    <w:p w14:paraId="2E2814A9" w14:textId="5BC5F9B4" w:rsidR="00152A78" w:rsidRDefault="00152A78" w:rsidP="00152A78">
      <w:pPr>
        <w:pStyle w:val="BodyText"/>
        <w:spacing w:after="0"/>
        <w:jc w:val="both"/>
      </w:pPr>
      <w:r>
        <w:t xml:space="preserve">The Material Library provides the pavement design engineer with information about the construction materials used by </w:t>
      </w:r>
      <w:r w:rsidR="008C7023">
        <w:t>MDOT-SHA</w:t>
      </w:r>
      <w:r>
        <w:t xml:space="preserve">.  The Material Library provides both the lab material properties and the AASHTO Pavement design properties of the materials.  Refer to </w:t>
      </w:r>
      <w:hyperlink w:anchor="_Glossary_1" w:history="1">
        <w:r w:rsidRPr="001F32D3">
          <w:rPr>
            <w:rStyle w:val="Hyperlink"/>
          </w:rPr>
          <w:t>Glossary</w:t>
        </w:r>
      </w:hyperlink>
      <w:r>
        <w:t xml:space="preserve"> for additional details on material definitions.</w:t>
      </w:r>
    </w:p>
    <w:p w14:paraId="52AD6DC0" w14:textId="77777777" w:rsidR="00152A78" w:rsidRDefault="00152A78" w:rsidP="00152A78">
      <w:pPr>
        <w:pStyle w:val="BodyText"/>
        <w:spacing w:after="0"/>
        <w:jc w:val="both"/>
      </w:pPr>
    </w:p>
    <w:p w14:paraId="6258327B" w14:textId="77777777" w:rsidR="00152A78" w:rsidRDefault="00152A78" w:rsidP="004800CD">
      <w:pPr>
        <w:pStyle w:val="BodyText"/>
        <w:jc w:val="both"/>
      </w:pPr>
      <w:r>
        <w:t>There are three primary material sections:</w:t>
      </w:r>
    </w:p>
    <w:p w14:paraId="3F1D5069" w14:textId="77777777" w:rsidR="00152A78" w:rsidRPr="00A82272" w:rsidRDefault="00152A78" w:rsidP="00172E64">
      <w:pPr>
        <w:pStyle w:val="BodyText"/>
        <w:numPr>
          <w:ilvl w:val="0"/>
          <w:numId w:val="38"/>
        </w:numPr>
        <w:spacing w:after="0"/>
        <w:ind w:left="0" w:firstLine="0"/>
        <w:jc w:val="both"/>
      </w:pPr>
      <w:hyperlink w:anchor="_Material_Properties_–_1" w:history="1">
        <w:r w:rsidRPr="00497526">
          <w:rPr>
            <w:rStyle w:val="Hyperlink"/>
          </w:rPr>
          <w:t>Material Properties – Asphalt</w:t>
        </w:r>
      </w:hyperlink>
    </w:p>
    <w:p w14:paraId="62A29127" w14:textId="77777777" w:rsidR="00152A78" w:rsidRPr="00A82272" w:rsidRDefault="00152A78" w:rsidP="00172E64">
      <w:pPr>
        <w:pStyle w:val="BodyText"/>
        <w:numPr>
          <w:ilvl w:val="0"/>
          <w:numId w:val="38"/>
        </w:numPr>
        <w:spacing w:after="0"/>
        <w:ind w:left="0" w:firstLine="0"/>
        <w:jc w:val="both"/>
      </w:pPr>
      <w:hyperlink w:anchor="_Material_Properties_–_2" w:history="1">
        <w:r w:rsidRPr="00497526">
          <w:rPr>
            <w:rStyle w:val="Hyperlink"/>
          </w:rPr>
          <w:t>Material Properties – Concrete</w:t>
        </w:r>
      </w:hyperlink>
    </w:p>
    <w:p w14:paraId="11A76A2D" w14:textId="77777777" w:rsidR="00152A78" w:rsidRPr="00A82272" w:rsidRDefault="00152A78" w:rsidP="00172E64">
      <w:pPr>
        <w:pStyle w:val="BodyText"/>
        <w:numPr>
          <w:ilvl w:val="0"/>
          <w:numId w:val="38"/>
        </w:numPr>
        <w:spacing w:after="0"/>
        <w:ind w:left="0" w:firstLine="0"/>
        <w:jc w:val="both"/>
      </w:pPr>
      <w:hyperlink w:anchor="_Material_Properties_–" w:history="1">
        <w:r w:rsidRPr="00497526">
          <w:rPr>
            <w:rStyle w:val="Hyperlink"/>
          </w:rPr>
          <w:t>Material Properties – Unbound Layers</w:t>
        </w:r>
      </w:hyperlink>
    </w:p>
    <w:p w14:paraId="5EA0EE21" w14:textId="6F056BB5" w:rsidR="00152A78" w:rsidRDefault="00152A78" w:rsidP="0049684B">
      <w:pPr>
        <w:pStyle w:val="Heading2"/>
        <w:ind w:hanging="1026"/>
      </w:pPr>
      <w:bookmarkStart w:id="149" w:name="_Material_Description"/>
      <w:bookmarkStart w:id="150" w:name="_Toc479160089"/>
      <w:bookmarkStart w:id="151" w:name="_Toc514057978"/>
      <w:bookmarkStart w:id="152" w:name="_Toc194932374"/>
      <w:bookmarkEnd w:id="149"/>
      <w:r>
        <w:t>Material Description</w:t>
      </w:r>
      <w:bookmarkEnd w:id="150"/>
      <w:bookmarkEnd w:id="151"/>
      <w:bookmarkEnd w:id="152"/>
      <w:r>
        <w:t xml:space="preserve"> </w:t>
      </w:r>
    </w:p>
    <w:p w14:paraId="5EDC4127" w14:textId="77777777" w:rsidR="00152A78" w:rsidRDefault="00152A78" w:rsidP="004800CD">
      <w:pPr>
        <w:pStyle w:val="Heading3"/>
        <w:ind w:left="1440" w:hanging="1440"/>
      </w:pPr>
      <w:r>
        <w:t>Specific Materials</w:t>
      </w:r>
    </w:p>
    <w:p w14:paraId="42BC54DA" w14:textId="61586344" w:rsidR="00152A78" w:rsidRDefault="00152A78" w:rsidP="00152A78">
      <w:pPr>
        <w:pStyle w:val="BodyText"/>
        <w:spacing w:after="0"/>
        <w:jc w:val="both"/>
      </w:pPr>
      <w:r>
        <w:t xml:space="preserve">The following table provides a list and description of the material types used to construct pavements by </w:t>
      </w:r>
      <w:r w:rsidR="008C7023">
        <w:t>MDOT-SHA</w:t>
      </w:r>
      <w:r>
        <w:t>:</w:t>
      </w:r>
    </w:p>
    <w:p w14:paraId="4E10074F" w14:textId="77777777" w:rsidR="00152A78" w:rsidRDefault="00152A78" w:rsidP="00152A78">
      <w:pPr>
        <w:jc w:val="both"/>
        <w:rPr>
          <w:rFonts w:ascii="Arial" w:hAnsi="Arial"/>
        </w:rPr>
      </w:pP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5130"/>
      </w:tblGrid>
      <w:tr w:rsidR="00152A78" w14:paraId="761C3C1C" w14:textId="77777777" w:rsidTr="004800CD">
        <w:trPr>
          <w:cantSplit/>
          <w:tblHeader/>
          <w:jc w:val="center"/>
        </w:trPr>
        <w:tc>
          <w:tcPr>
            <w:tcW w:w="3505" w:type="dxa"/>
            <w:shd w:val="pct12" w:color="auto" w:fill="FFFFFF"/>
          </w:tcPr>
          <w:p w14:paraId="57F552EA" w14:textId="77777777" w:rsidR="00152A78" w:rsidRDefault="00152A78" w:rsidP="004800CD">
            <w:pPr>
              <w:rPr>
                <w:rFonts w:ascii="Arial" w:hAnsi="Arial"/>
                <w:b/>
                <w:sz w:val="22"/>
              </w:rPr>
            </w:pPr>
            <w:r>
              <w:rPr>
                <w:rFonts w:ascii="Arial" w:hAnsi="Arial"/>
                <w:b/>
                <w:sz w:val="22"/>
              </w:rPr>
              <w:t>Material</w:t>
            </w:r>
          </w:p>
        </w:tc>
        <w:tc>
          <w:tcPr>
            <w:tcW w:w="5130" w:type="dxa"/>
            <w:shd w:val="pct12" w:color="auto" w:fill="FFFFFF"/>
          </w:tcPr>
          <w:p w14:paraId="797AC674" w14:textId="77777777" w:rsidR="00152A78" w:rsidRDefault="00152A78" w:rsidP="004800CD">
            <w:pPr>
              <w:rPr>
                <w:rFonts w:ascii="Arial" w:hAnsi="Arial"/>
                <w:b/>
                <w:sz w:val="22"/>
              </w:rPr>
            </w:pPr>
            <w:r>
              <w:rPr>
                <w:rFonts w:ascii="Arial" w:hAnsi="Arial"/>
                <w:b/>
                <w:sz w:val="22"/>
              </w:rPr>
              <w:t>Description</w:t>
            </w:r>
          </w:p>
        </w:tc>
      </w:tr>
      <w:tr w:rsidR="00152A78" w14:paraId="0FD44056" w14:textId="77777777" w:rsidTr="004800CD">
        <w:trPr>
          <w:cantSplit/>
          <w:jc w:val="center"/>
        </w:trPr>
        <w:tc>
          <w:tcPr>
            <w:tcW w:w="3505" w:type="dxa"/>
          </w:tcPr>
          <w:p w14:paraId="343AF4A2" w14:textId="77777777" w:rsidR="00152A78" w:rsidRDefault="00152A78" w:rsidP="004800CD">
            <w:pPr>
              <w:rPr>
                <w:rFonts w:ascii="Arial" w:hAnsi="Arial"/>
                <w:sz w:val="22"/>
              </w:rPr>
            </w:pPr>
            <w:r>
              <w:rPr>
                <w:rFonts w:ascii="Arial" w:hAnsi="Arial"/>
                <w:sz w:val="22"/>
              </w:rPr>
              <w:t>PCC</w:t>
            </w:r>
          </w:p>
        </w:tc>
        <w:tc>
          <w:tcPr>
            <w:tcW w:w="5130" w:type="dxa"/>
          </w:tcPr>
          <w:p w14:paraId="54C7CB6F" w14:textId="7AB4AB5A" w:rsidR="00152A78" w:rsidRDefault="00152A78" w:rsidP="004800CD">
            <w:pPr>
              <w:rPr>
                <w:rFonts w:ascii="Arial" w:hAnsi="Arial"/>
                <w:sz w:val="22"/>
              </w:rPr>
            </w:pPr>
            <w:r>
              <w:rPr>
                <w:rFonts w:ascii="Arial" w:hAnsi="Arial"/>
                <w:sz w:val="22"/>
              </w:rPr>
              <w:t xml:space="preserve">Surface material comprised of aggregate, </w:t>
            </w:r>
            <w:r w:rsidR="00853539">
              <w:rPr>
                <w:rFonts w:ascii="Arial" w:hAnsi="Arial"/>
                <w:sz w:val="22"/>
              </w:rPr>
              <w:t>Portland</w:t>
            </w:r>
            <w:r>
              <w:rPr>
                <w:rFonts w:ascii="Arial" w:hAnsi="Arial"/>
                <w:sz w:val="22"/>
              </w:rPr>
              <w:t xml:space="preserve"> cement, water, and potential admixtures.</w:t>
            </w:r>
          </w:p>
        </w:tc>
      </w:tr>
      <w:tr w:rsidR="00F6695E" w14:paraId="12BAD16A" w14:textId="77777777" w:rsidTr="004800CD">
        <w:trPr>
          <w:cantSplit/>
          <w:jc w:val="center"/>
        </w:trPr>
        <w:tc>
          <w:tcPr>
            <w:tcW w:w="3505" w:type="dxa"/>
          </w:tcPr>
          <w:p w14:paraId="5CB4E301" w14:textId="77777777" w:rsidR="00F6695E" w:rsidRDefault="00F6695E" w:rsidP="004800CD">
            <w:pPr>
              <w:rPr>
                <w:rFonts w:ascii="Arial" w:hAnsi="Arial"/>
                <w:sz w:val="22"/>
              </w:rPr>
            </w:pPr>
            <w:r>
              <w:rPr>
                <w:rFonts w:ascii="Arial" w:hAnsi="Arial"/>
                <w:sz w:val="22"/>
              </w:rPr>
              <w:t xml:space="preserve">Gap-Graded Asphalt Mix 9.5 mm </w:t>
            </w:r>
          </w:p>
        </w:tc>
        <w:tc>
          <w:tcPr>
            <w:tcW w:w="5130" w:type="dxa"/>
            <w:vMerge w:val="restart"/>
          </w:tcPr>
          <w:p w14:paraId="22758D4F" w14:textId="70B37CBA" w:rsidR="00F6695E" w:rsidRDefault="00F6695E" w:rsidP="004800CD">
            <w:pPr>
              <w:rPr>
                <w:rFonts w:ascii="Arial" w:hAnsi="Arial"/>
                <w:sz w:val="22"/>
              </w:rPr>
            </w:pPr>
            <w:r>
              <w:rPr>
                <w:rFonts w:ascii="Arial" w:hAnsi="Arial"/>
                <w:sz w:val="22"/>
              </w:rPr>
              <w:t>Surface or base materials comprised of aggregate, asphalt cement, and potential admixtures.  Gap</w:t>
            </w:r>
            <w:r w:rsidR="00A82272">
              <w:rPr>
                <w:rFonts w:ascii="Arial" w:hAnsi="Arial"/>
                <w:sz w:val="22"/>
              </w:rPr>
              <w:t>-</w:t>
            </w:r>
            <w:r>
              <w:rPr>
                <w:rFonts w:ascii="Arial" w:hAnsi="Arial"/>
                <w:sz w:val="22"/>
              </w:rPr>
              <w:t>graded mix do</w:t>
            </w:r>
            <w:r w:rsidR="00A82272">
              <w:rPr>
                <w:rFonts w:ascii="Arial" w:hAnsi="Arial"/>
                <w:sz w:val="22"/>
              </w:rPr>
              <w:t>es</w:t>
            </w:r>
            <w:r>
              <w:rPr>
                <w:rFonts w:ascii="Arial" w:hAnsi="Arial"/>
                <w:sz w:val="22"/>
              </w:rPr>
              <w:t xml:space="preserve"> not have a dense</w:t>
            </w:r>
            <w:r w:rsidR="00A82272">
              <w:rPr>
                <w:rFonts w:ascii="Arial" w:hAnsi="Arial"/>
                <w:sz w:val="22"/>
              </w:rPr>
              <w:t>-</w:t>
            </w:r>
            <w:r>
              <w:rPr>
                <w:rFonts w:ascii="Arial" w:hAnsi="Arial"/>
                <w:sz w:val="22"/>
              </w:rPr>
              <w:t xml:space="preserve">graded gradation curve because a band of aggregate sizes </w:t>
            </w:r>
            <w:r w:rsidR="00A82272">
              <w:rPr>
                <w:rFonts w:ascii="Arial" w:hAnsi="Arial"/>
                <w:sz w:val="22"/>
              </w:rPr>
              <w:t xml:space="preserve">is </w:t>
            </w:r>
            <w:r>
              <w:rPr>
                <w:rFonts w:ascii="Arial" w:hAnsi="Arial"/>
                <w:sz w:val="22"/>
              </w:rPr>
              <w:t xml:space="preserve">excluded from the HMA mix to prevent rutting. (Return to </w:t>
            </w:r>
            <w:hyperlink w:anchor="_Gap_Graded_Stone" w:history="1">
              <w:r w:rsidR="00DB4495">
                <w:rPr>
                  <w:rStyle w:val="Hyperlink"/>
                  <w:rFonts w:ascii="Arial" w:hAnsi="Arial"/>
                  <w:sz w:val="22"/>
                </w:rPr>
                <w:t>Gap-graded</w:t>
              </w:r>
              <w:r w:rsidRPr="00811A3D">
                <w:rPr>
                  <w:rStyle w:val="Hyperlink"/>
                  <w:rFonts w:ascii="Arial" w:hAnsi="Arial"/>
                  <w:sz w:val="22"/>
                </w:rPr>
                <w:t xml:space="preserve"> Stone Matrix Asphalt (SMA) Mixtures:</w:t>
              </w:r>
            </w:hyperlink>
            <w:r>
              <w:rPr>
                <w:rFonts w:ascii="Arial" w:hAnsi="Arial"/>
                <w:sz w:val="22"/>
              </w:rPr>
              <w:t xml:space="preserve"> for reflective cracking discussion</w:t>
            </w:r>
            <w:r w:rsidR="00A82272">
              <w:rPr>
                <w:rFonts w:ascii="Arial" w:hAnsi="Arial"/>
                <w:sz w:val="22"/>
              </w:rPr>
              <w:t>.</w:t>
            </w:r>
            <w:r>
              <w:rPr>
                <w:rFonts w:ascii="Arial" w:hAnsi="Arial"/>
                <w:sz w:val="22"/>
              </w:rPr>
              <w:t>)</w:t>
            </w:r>
          </w:p>
        </w:tc>
      </w:tr>
      <w:tr w:rsidR="00F6695E" w14:paraId="0908BA02" w14:textId="77777777" w:rsidTr="004800CD">
        <w:trPr>
          <w:cantSplit/>
          <w:jc w:val="center"/>
        </w:trPr>
        <w:tc>
          <w:tcPr>
            <w:tcW w:w="3505" w:type="dxa"/>
          </w:tcPr>
          <w:p w14:paraId="24008E73" w14:textId="77777777" w:rsidR="00F6695E" w:rsidRDefault="00F6695E" w:rsidP="004800CD">
            <w:pPr>
              <w:rPr>
                <w:rFonts w:ascii="Arial" w:hAnsi="Arial"/>
                <w:sz w:val="22"/>
              </w:rPr>
            </w:pPr>
            <w:r>
              <w:rPr>
                <w:rFonts w:ascii="Arial" w:hAnsi="Arial"/>
                <w:sz w:val="22"/>
              </w:rPr>
              <w:t>Superpave Asphalt Mix 9.5 mm</w:t>
            </w:r>
          </w:p>
        </w:tc>
        <w:tc>
          <w:tcPr>
            <w:tcW w:w="5130" w:type="dxa"/>
            <w:vMerge/>
          </w:tcPr>
          <w:p w14:paraId="44659B6F" w14:textId="77777777" w:rsidR="00F6695E" w:rsidRDefault="00F6695E" w:rsidP="004800CD">
            <w:pPr>
              <w:rPr>
                <w:rFonts w:ascii="Arial" w:hAnsi="Arial"/>
                <w:sz w:val="22"/>
              </w:rPr>
            </w:pPr>
          </w:p>
        </w:tc>
      </w:tr>
      <w:tr w:rsidR="00F6695E" w14:paraId="5A6C44FC" w14:textId="77777777" w:rsidTr="004800CD">
        <w:trPr>
          <w:cantSplit/>
          <w:jc w:val="center"/>
        </w:trPr>
        <w:tc>
          <w:tcPr>
            <w:tcW w:w="3505" w:type="dxa"/>
          </w:tcPr>
          <w:p w14:paraId="2ED4998C" w14:textId="77777777" w:rsidR="00F6695E" w:rsidRDefault="00F6695E" w:rsidP="004800CD">
            <w:pPr>
              <w:rPr>
                <w:rFonts w:ascii="Arial" w:hAnsi="Arial"/>
                <w:sz w:val="22"/>
              </w:rPr>
            </w:pPr>
            <w:r>
              <w:rPr>
                <w:rFonts w:ascii="Arial" w:hAnsi="Arial"/>
                <w:sz w:val="22"/>
              </w:rPr>
              <w:t xml:space="preserve">Gap-Graded Asphalt Mix 12.5 mm </w:t>
            </w:r>
          </w:p>
        </w:tc>
        <w:tc>
          <w:tcPr>
            <w:tcW w:w="5130" w:type="dxa"/>
            <w:vMerge/>
          </w:tcPr>
          <w:p w14:paraId="2D1359E4" w14:textId="77777777" w:rsidR="00F6695E" w:rsidRDefault="00F6695E" w:rsidP="004800CD">
            <w:pPr>
              <w:rPr>
                <w:rFonts w:ascii="Arial" w:hAnsi="Arial"/>
                <w:sz w:val="22"/>
              </w:rPr>
            </w:pPr>
          </w:p>
        </w:tc>
      </w:tr>
      <w:tr w:rsidR="00F6695E" w14:paraId="1E031BFB" w14:textId="77777777" w:rsidTr="004800CD">
        <w:trPr>
          <w:cantSplit/>
          <w:jc w:val="center"/>
        </w:trPr>
        <w:tc>
          <w:tcPr>
            <w:tcW w:w="3505" w:type="dxa"/>
          </w:tcPr>
          <w:p w14:paraId="069F6A7E" w14:textId="77777777" w:rsidR="00F6695E" w:rsidRDefault="00F6695E" w:rsidP="004800CD">
            <w:pPr>
              <w:rPr>
                <w:rFonts w:ascii="Arial" w:hAnsi="Arial"/>
                <w:sz w:val="22"/>
              </w:rPr>
            </w:pPr>
            <w:r>
              <w:rPr>
                <w:rFonts w:ascii="Arial" w:hAnsi="Arial"/>
                <w:sz w:val="22"/>
              </w:rPr>
              <w:t xml:space="preserve">Asphalt Rubber Gap-Graded Mix 12.5 mm </w:t>
            </w:r>
          </w:p>
        </w:tc>
        <w:tc>
          <w:tcPr>
            <w:tcW w:w="5130" w:type="dxa"/>
            <w:vMerge/>
          </w:tcPr>
          <w:p w14:paraId="2CC50950" w14:textId="77777777" w:rsidR="00F6695E" w:rsidRDefault="00F6695E" w:rsidP="004800CD">
            <w:pPr>
              <w:rPr>
                <w:rFonts w:ascii="Arial" w:hAnsi="Arial"/>
                <w:sz w:val="22"/>
              </w:rPr>
            </w:pPr>
          </w:p>
        </w:tc>
      </w:tr>
      <w:tr w:rsidR="00F6695E" w14:paraId="30BA8F77" w14:textId="77777777" w:rsidTr="004800CD">
        <w:trPr>
          <w:cantSplit/>
          <w:jc w:val="center"/>
        </w:trPr>
        <w:tc>
          <w:tcPr>
            <w:tcW w:w="3505" w:type="dxa"/>
          </w:tcPr>
          <w:p w14:paraId="78551E75" w14:textId="77777777" w:rsidR="00F6695E" w:rsidRDefault="00F6695E" w:rsidP="004800CD">
            <w:pPr>
              <w:rPr>
                <w:rFonts w:ascii="Arial" w:hAnsi="Arial"/>
                <w:sz w:val="22"/>
              </w:rPr>
            </w:pPr>
            <w:r>
              <w:rPr>
                <w:rFonts w:ascii="Arial" w:hAnsi="Arial"/>
                <w:sz w:val="22"/>
              </w:rPr>
              <w:t>Superpave Asphalt Mix 12.5 mm</w:t>
            </w:r>
          </w:p>
        </w:tc>
        <w:tc>
          <w:tcPr>
            <w:tcW w:w="5130" w:type="dxa"/>
            <w:vMerge/>
          </w:tcPr>
          <w:p w14:paraId="747E6A22" w14:textId="77777777" w:rsidR="00F6695E" w:rsidRDefault="00F6695E" w:rsidP="004800CD">
            <w:pPr>
              <w:rPr>
                <w:rFonts w:ascii="Arial" w:hAnsi="Arial"/>
                <w:sz w:val="22"/>
              </w:rPr>
            </w:pPr>
          </w:p>
        </w:tc>
      </w:tr>
      <w:tr w:rsidR="00F6695E" w14:paraId="23C33C42" w14:textId="77777777" w:rsidTr="004800CD">
        <w:trPr>
          <w:cantSplit/>
          <w:jc w:val="center"/>
        </w:trPr>
        <w:tc>
          <w:tcPr>
            <w:tcW w:w="3505" w:type="dxa"/>
          </w:tcPr>
          <w:p w14:paraId="001E9E7A" w14:textId="77777777" w:rsidR="00F6695E" w:rsidRDefault="00F6695E" w:rsidP="004800CD">
            <w:pPr>
              <w:rPr>
                <w:rFonts w:ascii="Arial" w:hAnsi="Arial"/>
                <w:sz w:val="22"/>
              </w:rPr>
            </w:pPr>
            <w:r>
              <w:rPr>
                <w:rFonts w:ascii="Arial" w:hAnsi="Arial"/>
                <w:sz w:val="22"/>
              </w:rPr>
              <w:t xml:space="preserve">Gap-Graded Asphalt Mix 19.0 mm </w:t>
            </w:r>
          </w:p>
        </w:tc>
        <w:tc>
          <w:tcPr>
            <w:tcW w:w="5130" w:type="dxa"/>
            <w:vMerge/>
          </w:tcPr>
          <w:p w14:paraId="31B2646B" w14:textId="77777777" w:rsidR="00F6695E" w:rsidRDefault="00F6695E" w:rsidP="004800CD">
            <w:pPr>
              <w:rPr>
                <w:rFonts w:ascii="Arial" w:hAnsi="Arial"/>
                <w:sz w:val="22"/>
              </w:rPr>
            </w:pPr>
          </w:p>
        </w:tc>
      </w:tr>
      <w:tr w:rsidR="00F6695E" w14:paraId="549C172A" w14:textId="77777777" w:rsidTr="004800CD">
        <w:trPr>
          <w:cantSplit/>
          <w:jc w:val="center"/>
        </w:trPr>
        <w:tc>
          <w:tcPr>
            <w:tcW w:w="3505" w:type="dxa"/>
          </w:tcPr>
          <w:p w14:paraId="13EB7A9C" w14:textId="77777777" w:rsidR="00F6695E" w:rsidRDefault="00F6695E" w:rsidP="004800CD">
            <w:pPr>
              <w:rPr>
                <w:rFonts w:ascii="Arial" w:hAnsi="Arial"/>
                <w:sz w:val="22"/>
              </w:rPr>
            </w:pPr>
            <w:r>
              <w:rPr>
                <w:rFonts w:ascii="Arial" w:hAnsi="Arial"/>
                <w:sz w:val="22"/>
              </w:rPr>
              <w:t>Superpave Asphalt Mix 19.0 mm</w:t>
            </w:r>
          </w:p>
        </w:tc>
        <w:tc>
          <w:tcPr>
            <w:tcW w:w="5130" w:type="dxa"/>
            <w:vMerge/>
          </w:tcPr>
          <w:p w14:paraId="4BCB62DA" w14:textId="77777777" w:rsidR="00F6695E" w:rsidRDefault="00F6695E" w:rsidP="004800CD">
            <w:pPr>
              <w:rPr>
                <w:rFonts w:ascii="Arial" w:hAnsi="Arial"/>
                <w:sz w:val="22"/>
              </w:rPr>
            </w:pPr>
          </w:p>
        </w:tc>
      </w:tr>
      <w:tr w:rsidR="00F6695E" w14:paraId="1B96F97E" w14:textId="77777777" w:rsidTr="004800CD">
        <w:trPr>
          <w:cantSplit/>
          <w:jc w:val="center"/>
        </w:trPr>
        <w:tc>
          <w:tcPr>
            <w:tcW w:w="3505" w:type="dxa"/>
          </w:tcPr>
          <w:p w14:paraId="03319B86" w14:textId="77777777" w:rsidR="00F6695E" w:rsidRDefault="00F6695E" w:rsidP="004800CD">
            <w:pPr>
              <w:rPr>
                <w:rFonts w:ascii="Arial" w:hAnsi="Arial"/>
                <w:sz w:val="22"/>
              </w:rPr>
            </w:pPr>
            <w:r>
              <w:rPr>
                <w:rFonts w:ascii="Arial" w:hAnsi="Arial"/>
                <w:sz w:val="22"/>
              </w:rPr>
              <w:t>Superpave Asphalt Mix 25.0 mm</w:t>
            </w:r>
          </w:p>
        </w:tc>
        <w:tc>
          <w:tcPr>
            <w:tcW w:w="5130" w:type="dxa"/>
            <w:vMerge/>
          </w:tcPr>
          <w:p w14:paraId="2128216C" w14:textId="77777777" w:rsidR="00F6695E" w:rsidRDefault="00F6695E" w:rsidP="004800CD">
            <w:pPr>
              <w:rPr>
                <w:rFonts w:ascii="Arial" w:hAnsi="Arial"/>
                <w:sz w:val="22"/>
              </w:rPr>
            </w:pPr>
          </w:p>
        </w:tc>
      </w:tr>
      <w:tr w:rsidR="00F6695E" w14:paraId="56E48C57" w14:textId="77777777" w:rsidTr="004800CD">
        <w:trPr>
          <w:cantSplit/>
          <w:jc w:val="center"/>
        </w:trPr>
        <w:tc>
          <w:tcPr>
            <w:tcW w:w="3505" w:type="dxa"/>
          </w:tcPr>
          <w:p w14:paraId="09EE054F" w14:textId="77777777" w:rsidR="00F6695E" w:rsidRDefault="00F6695E" w:rsidP="004800CD">
            <w:pPr>
              <w:rPr>
                <w:rFonts w:ascii="Arial" w:hAnsi="Arial"/>
                <w:sz w:val="22"/>
              </w:rPr>
            </w:pPr>
            <w:r>
              <w:rPr>
                <w:rFonts w:ascii="Arial" w:hAnsi="Arial"/>
                <w:sz w:val="22"/>
              </w:rPr>
              <w:t>Superpave Asphalt Mix 37.5 mm</w:t>
            </w:r>
          </w:p>
        </w:tc>
        <w:tc>
          <w:tcPr>
            <w:tcW w:w="5130" w:type="dxa"/>
            <w:vMerge/>
          </w:tcPr>
          <w:p w14:paraId="0B4E5376" w14:textId="77777777" w:rsidR="00F6695E" w:rsidRDefault="00F6695E" w:rsidP="004800CD">
            <w:pPr>
              <w:rPr>
                <w:rFonts w:ascii="Arial" w:hAnsi="Arial"/>
                <w:sz w:val="22"/>
              </w:rPr>
            </w:pPr>
          </w:p>
        </w:tc>
      </w:tr>
      <w:tr w:rsidR="00F6695E" w14:paraId="6B65326D" w14:textId="77777777" w:rsidTr="004800CD">
        <w:trPr>
          <w:cantSplit/>
          <w:jc w:val="center"/>
        </w:trPr>
        <w:tc>
          <w:tcPr>
            <w:tcW w:w="3505" w:type="dxa"/>
          </w:tcPr>
          <w:p w14:paraId="18E8C178" w14:textId="77777777" w:rsidR="00F6695E" w:rsidRDefault="00F6695E" w:rsidP="004800CD">
            <w:pPr>
              <w:rPr>
                <w:rFonts w:ascii="Arial" w:hAnsi="Arial"/>
                <w:sz w:val="22"/>
              </w:rPr>
            </w:pPr>
            <w:r>
              <w:rPr>
                <w:rFonts w:ascii="Arial" w:hAnsi="Arial"/>
                <w:sz w:val="22"/>
              </w:rPr>
              <w:t>Aggregate Seals</w:t>
            </w:r>
          </w:p>
        </w:tc>
        <w:tc>
          <w:tcPr>
            <w:tcW w:w="5130" w:type="dxa"/>
          </w:tcPr>
          <w:p w14:paraId="3452E698" w14:textId="77777777" w:rsidR="00F6695E" w:rsidRDefault="00F6695E" w:rsidP="004800CD">
            <w:pPr>
              <w:rPr>
                <w:rFonts w:ascii="Arial" w:hAnsi="Arial"/>
                <w:sz w:val="22"/>
              </w:rPr>
            </w:pPr>
            <w:r>
              <w:rPr>
                <w:rFonts w:ascii="Arial" w:hAnsi="Arial"/>
                <w:sz w:val="22"/>
              </w:rPr>
              <w:t xml:space="preserve">Surface sealer comprised of sequential applications of asphalt (usually emulsion) and stone chips or sand in either single or repetitive layers. </w:t>
            </w:r>
          </w:p>
        </w:tc>
      </w:tr>
      <w:tr w:rsidR="00F6695E" w14:paraId="0DB4D7E4" w14:textId="77777777" w:rsidTr="004800CD">
        <w:trPr>
          <w:cantSplit/>
          <w:jc w:val="center"/>
        </w:trPr>
        <w:tc>
          <w:tcPr>
            <w:tcW w:w="3505" w:type="dxa"/>
          </w:tcPr>
          <w:p w14:paraId="244C7E4E" w14:textId="77777777" w:rsidR="00F6695E" w:rsidRDefault="00F6695E" w:rsidP="004800CD">
            <w:pPr>
              <w:rPr>
                <w:rFonts w:ascii="Arial" w:hAnsi="Arial"/>
                <w:sz w:val="22"/>
              </w:rPr>
            </w:pPr>
            <w:r>
              <w:rPr>
                <w:rFonts w:ascii="Arial" w:hAnsi="Arial"/>
                <w:sz w:val="22"/>
              </w:rPr>
              <w:t>Asphalt Treated Aggregate Base</w:t>
            </w:r>
          </w:p>
        </w:tc>
        <w:tc>
          <w:tcPr>
            <w:tcW w:w="5130" w:type="dxa"/>
          </w:tcPr>
          <w:p w14:paraId="25962FCF" w14:textId="77777777" w:rsidR="00F6695E" w:rsidRDefault="00F6695E" w:rsidP="004800CD">
            <w:pPr>
              <w:rPr>
                <w:rFonts w:ascii="Arial" w:hAnsi="Arial"/>
                <w:sz w:val="22"/>
              </w:rPr>
            </w:pPr>
            <w:r>
              <w:rPr>
                <w:rFonts w:ascii="Arial" w:hAnsi="Arial"/>
                <w:sz w:val="22"/>
              </w:rPr>
              <w:t>Base material comprised of aggregate mixed with asphalt cement, typically 3.25% to 5% by weight.</w:t>
            </w:r>
          </w:p>
        </w:tc>
      </w:tr>
      <w:tr w:rsidR="00F6695E" w14:paraId="6F026F07" w14:textId="77777777" w:rsidTr="004800CD">
        <w:trPr>
          <w:cantSplit/>
          <w:jc w:val="center"/>
        </w:trPr>
        <w:tc>
          <w:tcPr>
            <w:tcW w:w="3505" w:type="dxa"/>
          </w:tcPr>
          <w:p w14:paraId="6DCB0870" w14:textId="77777777" w:rsidR="00F6695E" w:rsidRDefault="00F6695E" w:rsidP="004800CD">
            <w:pPr>
              <w:rPr>
                <w:rFonts w:ascii="Arial" w:hAnsi="Arial"/>
                <w:sz w:val="22"/>
              </w:rPr>
            </w:pPr>
            <w:r>
              <w:rPr>
                <w:rFonts w:ascii="Arial" w:hAnsi="Arial"/>
                <w:sz w:val="22"/>
              </w:rPr>
              <w:t>Penetration Macadam</w:t>
            </w:r>
          </w:p>
        </w:tc>
        <w:tc>
          <w:tcPr>
            <w:tcW w:w="5130" w:type="dxa"/>
          </w:tcPr>
          <w:p w14:paraId="210F9CE3" w14:textId="30C4EBB3" w:rsidR="00F6695E" w:rsidRDefault="00F6695E" w:rsidP="004800CD">
            <w:pPr>
              <w:rPr>
                <w:rFonts w:ascii="Arial" w:hAnsi="Arial"/>
                <w:sz w:val="22"/>
              </w:rPr>
            </w:pPr>
            <w:r>
              <w:rPr>
                <w:rFonts w:ascii="Arial" w:hAnsi="Arial"/>
                <w:sz w:val="22"/>
              </w:rPr>
              <w:t>Commonly used prior to the 1950s.  A stone matrix of large stones at the bottom of the lift choked with increasingly larger aggregate sizes.  A crude form of asphalt cement, tar, was then poured over the stone matrix after compaction.</w:t>
            </w:r>
          </w:p>
        </w:tc>
      </w:tr>
      <w:tr w:rsidR="00F6695E" w14:paraId="7314950E" w14:textId="77777777" w:rsidTr="004800CD">
        <w:trPr>
          <w:cantSplit/>
          <w:jc w:val="center"/>
        </w:trPr>
        <w:tc>
          <w:tcPr>
            <w:tcW w:w="3505" w:type="dxa"/>
          </w:tcPr>
          <w:p w14:paraId="4B6A5315" w14:textId="77777777" w:rsidR="00F6695E" w:rsidRDefault="00F6695E" w:rsidP="004800CD">
            <w:pPr>
              <w:rPr>
                <w:rFonts w:ascii="Arial" w:hAnsi="Arial"/>
                <w:sz w:val="22"/>
              </w:rPr>
            </w:pPr>
            <w:r>
              <w:rPr>
                <w:rFonts w:ascii="Arial" w:hAnsi="Arial"/>
                <w:sz w:val="22"/>
              </w:rPr>
              <w:lastRenderedPageBreak/>
              <w:t>Macadam</w:t>
            </w:r>
          </w:p>
        </w:tc>
        <w:tc>
          <w:tcPr>
            <w:tcW w:w="5130" w:type="dxa"/>
          </w:tcPr>
          <w:p w14:paraId="49022A10" w14:textId="17AD3E63" w:rsidR="00F6695E" w:rsidRDefault="00F6695E" w:rsidP="004800CD">
            <w:pPr>
              <w:rPr>
                <w:rFonts w:ascii="Arial" w:hAnsi="Arial"/>
                <w:sz w:val="22"/>
              </w:rPr>
            </w:pPr>
            <w:r>
              <w:rPr>
                <w:rFonts w:ascii="Arial" w:hAnsi="Arial"/>
                <w:sz w:val="22"/>
              </w:rPr>
              <w:t>Commonly used prior to the 1950s.  A stone matrix of large stones at the bottom of the lift choked with increasingly larger aggregate sizes.  The term used for a wide variety of materials that may meet this description; i.e.</w:t>
            </w:r>
            <w:r w:rsidR="00A82272">
              <w:rPr>
                <w:rFonts w:ascii="Arial" w:hAnsi="Arial"/>
                <w:sz w:val="22"/>
              </w:rPr>
              <w:t>,</w:t>
            </w:r>
            <w:r>
              <w:rPr>
                <w:rFonts w:ascii="Arial" w:hAnsi="Arial"/>
                <w:sz w:val="22"/>
              </w:rPr>
              <w:t xml:space="preserve"> old bituminous concrete.</w:t>
            </w:r>
          </w:p>
        </w:tc>
      </w:tr>
      <w:tr w:rsidR="00F6695E" w14:paraId="21BB4053" w14:textId="77777777" w:rsidTr="004800CD">
        <w:trPr>
          <w:cantSplit/>
          <w:jc w:val="center"/>
        </w:trPr>
        <w:tc>
          <w:tcPr>
            <w:tcW w:w="3505" w:type="dxa"/>
          </w:tcPr>
          <w:p w14:paraId="77A733D7" w14:textId="39B786ED" w:rsidR="00F6695E" w:rsidRDefault="00C53D1A" w:rsidP="004800CD">
            <w:pPr>
              <w:rPr>
                <w:rFonts w:ascii="Arial" w:hAnsi="Arial"/>
                <w:sz w:val="22"/>
              </w:rPr>
            </w:pPr>
            <w:r>
              <w:rPr>
                <w:rFonts w:ascii="Arial" w:hAnsi="Arial"/>
                <w:sz w:val="22"/>
              </w:rPr>
              <w:t>Cement Treated</w:t>
            </w:r>
            <w:r w:rsidR="00F6695E">
              <w:rPr>
                <w:rFonts w:ascii="Arial" w:hAnsi="Arial"/>
                <w:sz w:val="22"/>
              </w:rPr>
              <w:t xml:space="preserve"> Base Course</w:t>
            </w:r>
          </w:p>
        </w:tc>
        <w:tc>
          <w:tcPr>
            <w:tcW w:w="5130" w:type="dxa"/>
          </w:tcPr>
          <w:p w14:paraId="647CC5C0" w14:textId="6C3F0F23" w:rsidR="00F6695E" w:rsidRDefault="00F6695E" w:rsidP="004800CD">
            <w:pPr>
              <w:rPr>
                <w:rFonts w:ascii="Arial" w:hAnsi="Arial"/>
                <w:sz w:val="22"/>
              </w:rPr>
            </w:pPr>
            <w:r>
              <w:rPr>
                <w:rFonts w:ascii="Arial" w:hAnsi="Arial"/>
                <w:sz w:val="22"/>
              </w:rPr>
              <w:t xml:space="preserve">Base material with granular soil mixed with </w:t>
            </w:r>
            <w:r w:rsidR="004F5528">
              <w:rPr>
                <w:rFonts w:ascii="Arial" w:hAnsi="Arial"/>
                <w:sz w:val="22"/>
              </w:rPr>
              <w:t>Portland</w:t>
            </w:r>
            <w:r>
              <w:rPr>
                <w:rFonts w:ascii="Arial" w:hAnsi="Arial"/>
                <w:sz w:val="22"/>
              </w:rPr>
              <w:t xml:space="preserve"> cement, typically 8% to 10% by weight and mixed in place. Target strength of 450 psi unconfined compressive strength.</w:t>
            </w:r>
          </w:p>
        </w:tc>
      </w:tr>
      <w:tr w:rsidR="00F6695E" w14:paraId="11D9F122" w14:textId="77777777" w:rsidTr="004800CD">
        <w:trPr>
          <w:cantSplit/>
          <w:jc w:val="center"/>
        </w:trPr>
        <w:tc>
          <w:tcPr>
            <w:tcW w:w="3505" w:type="dxa"/>
          </w:tcPr>
          <w:p w14:paraId="279F875F" w14:textId="77777777" w:rsidR="00F6695E" w:rsidRDefault="00F6695E" w:rsidP="004800CD">
            <w:pPr>
              <w:rPr>
                <w:rFonts w:ascii="Arial" w:hAnsi="Arial"/>
                <w:sz w:val="22"/>
              </w:rPr>
            </w:pPr>
            <w:r>
              <w:rPr>
                <w:rFonts w:ascii="Arial" w:hAnsi="Arial"/>
                <w:sz w:val="22"/>
              </w:rPr>
              <w:t>Cement Modified Subgrade</w:t>
            </w:r>
          </w:p>
        </w:tc>
        <w:tc>
          <w:tcPr>
            <w:tcW w:w="5130" w:type="dxa"/>
          </w:tcPr>
          <w:p w14:paraId="2E190B79" w14:textId="72794CE1" w:rsidR="00F6695E" w:rsidRDefault="00F6695E" w:rsidP="004800CD">
            <w:pPr>
              <w:rPr>
                <w:rFonts w:ascii="Arial" w:hAnsi="Arial"/>
                <w:sz w:val="22"/>
              </w:rPr>
            </w:pPr>
            <w:r>
              <w:rPr>
                <w:rFonts w:ascii="Arial" w:hAnsi="Arial"/>
                <w:sz w:val="22"/>
              </w:rPr>
              <w:t xml:space="preserve">Subgrade material of on-site non-plastic soil mixed with </w:t>
            </w:r>
            <w:r w:rsidR="004F5528">
              <w:rPr>
                <w:rFonts w:ascii="Arial" w:hAnsi="Arial"/>
                <w:sz w:val="22"/>
              </w:rPr>
              <w:t>Portland</w:t>
            </w:r>
            <w:r>
              <w:rPr>
                <w:rFonts w:ascii="Arial" w:hAnsi="Arial"/>
                <w:sz w:val="22"/>
              </w:rPr>
              <w:t xml:space="preserve"> cement, typically 3% to 5% by weight and mixed in place.  Generally a poorer quality than </w:t>
            </w:r>
            <w:r w:rsidR="00C53D1A">
              <w:rPr>
                <w:rFonts w:ascii="Arial" w:hAnsi="Arial"/>
                <w:sz w:val="22"/>
              </w:rPr>
              <w:t>Cement Treated Base Course</w:t>
            </w:r>
            <w:r>
              <w:rPr>
                <w:rFonts w:ascii="Arial" w:hAnsi="Arial"/>
                <w:sz w:val="22"/>
              </w:rPr>
              <w:t xml:space="preserve"> with a target strength of </w:t>
            </w:r>
            <w:r w:rsidR="00F3084F">
              <w:rPr>
                <w:rFonts w:ascii="Arial" w:hAnsi="Arial"/>
                <w:sz w:val="22"/>
              </w:rPr>
              <w:t xml:space="preserve">100 psi to </w:t>
            </w:r>
            <w:r>
              <w:rPr>
                <w:rFonts w:ascii="Arial" w:hAnsi="Arial"/>
                <w:sz w:val="22"/>
              </w:rPr>
              <w:t>300 psi for unconfined compressive strength.</w:t>
            </w:r>
          </w:p>
        </w:tc>
      </w:tr>
      <w:tr w:rsidR="00F6695E" w14:paraId="180E176E" w14:textId="77777777" w:rsidTr="004800CD">
        <w:trPr>
          <w:cantSplit/>
          <w:jc w:val="center"/>
        </w:trPr>
        <w:tc>
          <w:tcPr>
            <w:tcW w:w="3505" w:type="dxa"/>
          </w:tcPr>
          <w:p w14:paraId="71046676" w14:textId="77777777" w:rsidR="00F6695E" w:rsidRDefault="00F6695E" w:rsidP="004800CD">
            <w:pPr>
              <w:rPr>
                <w:rFonts w:ascii="Arial" w:hAnsi="Arial"/>
                <w:sz w:val="22"/>
              </w:rPr>
            </w:pPr>
            <w:r>
              <w:rPr>
                <w:rFonts w:ascii="Arial" w:hAnsi="Arial"/>
                <w:sz w:val="22"/>
              </w:rPr>
              <w:t>Graded Aggregate Base (GAB)</w:t>
            </w:r>
          </w:p>
        </w:tc>
        <w:tc>
          <w:tcPr>
            <w:tcW w:w="5130" w:type="dxa"/>
          </w:tcPr>
          <w:p w14:paraId="50DBB726" w14:textId="77777777" w:rsidR="00F6695E" w:rsidRDefault="00F6695E" w:rsidP="004800CD">
            <w:pPr>
              <w:rPr>
                <w:rFonts w:ascii="Arial" w:hAnsi="Arial"/>
                <w:sz w:val="22"/>
              </w:rPr>
            </w:pPr>
            <w:r>
              <w:rPr>
                <w:rFonts w:ascii="Arial" w:hAnsi="Arial"/>
                <w:sz w:val="22"/>
              </w:rPr>
              <w:t>Base material of graded aggregates from crushed stone.  GAB has narrow and defined sieve control points compared to CR-6.  Typically of higher quality than CR-6 and more coarse.</w:t>
            </w:r>
          </w:p>
        </w:tc>
      </w:tr>
      <w:tr w:rsidR="00F6695E" w14:paraId="5C697251" w14:textId="77777777" w:rsidTr="004800CD">
        <w:trPr>
          <w:cantSplit/>
          <w:jc w:val="center"/>
        </w:trPr>
        <w:tc>
          <w:tcPr>
            <w:tcW w:w="3505" w:type="dxa"/>
          </w:tcPr>
          <w:p w14:paraId="6FA59CA4" w14:textId="77777777" w:rsidR="00F6695E" w:rsidRDefault="00F6695E" w:rsidP="004800CD">
            <w:pPr>
              <w:rPr>
                <w:rFonts w:ascii="Arial" w:hAnsi="Arial"/>
                <w:sz w:val="22"/>
              </w:rPr>
            </w:pPr>
            <w:r>
              <w:rPr>
                <w:rFonts w:ascii="Arial" w:hAnsi="Arial"/>
                <w:sz w:val="22"/>
              </w:rPr>
              <w:t>Geosynthetically Stabilized Subgrade Using Graded Aggregate Base (GSS w/ GAB)</w:t>
            </w:r>
          </w:p>
        </w:tc>
        <w:tc>
          <w:tcPr>
            <w:tcW w:w="5130" w:type="dxa"/>
          </w:tcPr>
          <w:p w14:paraId="3F773CEF" w14:textId="62F3722F" w:rsidR="00F6695E" w:rsidRDefault="00F6695E" w:rsidP="004800CD">
            <w:pPr>
              <w:rPr>
                <w:rFonts w:ascii="Arial" w:hAnsi="Arial"/>
                <w:sz w:val="22"/>
              </w:rPr>
            </w:pPr>
            <w:r>
              <w:rPr>
                <w:rFonts w:ascii="Arial" w:hAnsi="Arial"/>
                <w:sz w:val="22"/>
              </w:rPr>
              <w:t>GAB material placed on geotextile that is placed at the aggregate-soil interface.  Used in place of undercutting in potential Class 1A excavation areas.  Not typically considered part of the pavement section, but as a construction platform.</w:t>
            </w:r>
          </w:p>
        </w:tc>
      </w:tr>
      <w:tr w:rsidR="00F6695E" w14:paraId="0FC5312A" w14:textId="77777777" w:rsidTr="004800CD">
        <w:trPr>
          <w:cantSplit/>
          <w:jc w:val="center"/>
        </w:trPr>
        <w:tc>
          <w:tcPr>
            <w:tcW w:w="3505" w:type="dxa"/>
          </w:tcPr>
          <w:p w14:paraId="545370EE" w14:textId="77777777" w:rsidR="00F6695E" w:rsidRDefault="00F6695E" w:rsidP="004800CD">
            <w:pPr>
              <w:rPr>
                <w:rFonts w:ascii="Arial" w:hAnsi="Arial"/>
                <w:sz w:val="22"/>
              </w:rPr>
            </w:pPr>
            <w:r>
              <w:rPr>
                <w:rFonts w:ascii="Arial" w:hAnsi="Arial"/>
                <w:sz w:val="22"/>
              </w:rPr>
              <w:t>Gravel – Bank Run Gravel</w:t>
            </w:r>
          </w:p>
        </w:tc>
        <w:tc>
          <w:tcPr>
            <w:tcW w:w="5130" w:type="dxa"/>
          </w:tcPr>
          <w:p w14:paraId="20203CB2" w14:textId="77777777" w:rsidR="00F6695E" w:rsidRDefault="00F6695E" w:rsidP="004800CD">
            <w:pPr>
              <w:rPr>
                <w:rFonts w:ascii="Arial" w:hAnsi="Arial"/>
                <w:sz w:val="22"/>
              </w:rPr>
            </w:pPr>
            <w:r>
              <w:rPr>
                <w:rFonts w:ascii="Arial" w:hAnsi="Arial"/>
                <w:sz w:val="22"/>
              </w:rPr>
              <w:t>Base material typically rounded and uncrushed. Usually from riverbed areas.</w:t>
            </w:r>
          </w:p>
        </w:tc>
      </w:tr>
      <w:tr w:rsidR="00F6695E" w14:paraId="1E2835E4" w14:textId="77777777" w:rsidTr="004800CD">
        <w:trPr>
          <w:cantSplit/>
          <w:jc w:val="center"/>
        </w:trPr>
        <w:tc>
          <w:tcPr>
            <w:tcW w:w="3505" w:type="dxa"/>
          </w:tcPr>
          <w:p w14:paraId="1AFBCA16" w14:textId="77777777" w:rsidR="00F6695E" w:rsidRDefault="00F6695E" w:rsidP="004800CD">
            <w:pPr>
              <w:rPr>
                <w:rFonts w:ascii="Arial" w:hAnsi="Arial"/>
                <w:sz w:val="22"/>
              </w:rPr>
            </w:pPr>
            <w:r>
              <w:rPr>
                <w:rFonts w:ascii="Arial" w:hAnsi="Arial"/>
                <w:sz w:val="22"/>
              </w:rPr>
              <w:t>Soil Contaminated Aggregate Base</w:t>
            </w:r>
          </w:p>
        </w:tc>
        <w:tc>
          <w:tcPr>
            <w:tcW w:w="5130" w:type="dxa"/>
          </w:tcPr>
          <w:p w14:paraId="48847FD0" w14:textId="77777777" w:rsidR="00F6695E" w:rsidRDefault="00F6695E" w:rsidP="004800CD">
            <w:pPr>
              <w:rPr>
                <w:rFonts w:ascii="Arial" w:hAnsi="Arial"/>
                <w:sz w:val="22"/>
              </w:rPr>
            </w:pPr>
            <w:r>
              <w:rPr>
                <w:rFonts w:ascii="Arial" w:hAnsi="Arial"/>
                <w:sz w:val="22"/>
              </w:rPr>
              <w:t>Base material that has been contaminated from the soil beneath the layer or an aggregate layer that has been pushed into a soft subgrade.</w:t>
            </w:r>
          </w:p>
        </w:tc>
      </w:tr>
      <w:tr w:rsidR="00F6695E" w14:paraId="3F13E21C" w14:textId="77777777" w:rsidTr="004800CD">
        <w:trPr>
          <w:cantSplit/>
          <w:jc w:val="center"/>
        </w:trPr>
        <w:tc>
          <w:tcPr>
            <w:tcW w:w="3505" w:type="dxa"/>
          </w:tcPr>
          <w:p w14:paraId="07A831D1" w14:textId="77777777" w:rsidR="00F6695E" w:rsidRDefault="00F6695E" w:rsidP="004800CD">
            <w:pPr>
              <w:rPr>
                <w:rFonts w:ascii="Arial" w:hAnsi="Arial"/>
                <w:sz w:val="22"/>
              </w:rPr>
            </w:pPr>
            <w:r>
              <w:rPr>
                <w:rFonts w:ascii="Arial" w:hAnsi="Arial"/>
                <w:sz w:val="22"/>
              </w:rPr>
              <w:t>Common Borrow</w:t>
            </w:r>
          </w:p>
        </w:tc>
        <w:tc>
          <w:tcPr>
            <w:tcW w:w="5130" w:type="dxa"/>
          </w:tcPr>
          <w:p w14:paraId="5A8BC510" w14:textId="77777777" w:rsidR="00F6695E" w:rsidRDefault="00F6695E" w:rsidP="004800CD">
            <w:pPr>
              <w:rPr>
                <w:rFonts w:ascii="Arial" w:hAnsi="Arial"/>
                <w:sz w:val="22"/>
              </w:rPr>
            </w:pPr>
            <w:r>
              <w:rPr>
                <w:rFonts w:ascii="Arial" w:hAnsi="Arial"/>
                <w:sz w:val="22"/>
              </w:rPr>
              <w:t>A soil and aggregate mixture with a minimum dry density of 100 pcf.</w:t>
            </w:r>
          </w:p>
        </w:tc>
      </w:tr>
      <w:tr w:rsidR="00F6695E" w14:paraId="5AACC641" w14:textId="77777777" w:rsidTr="004800CD">
        <w:trPr>
          <w:cantSplit/>
          <w:jc w:val="center"/>
        </w:trPr>
        <w:tc>
          <w:tcPr>
            <w:tcW w:w="3505" w:type="dxa"/>
          </w:tcPr>
          <w:p w14:paraId="78D62A34" w14:textId="77777777" w:rsidR="00F6695E" w:rsidRDefault="00F6695E" w:rsidP="004800CD">
            <w:pPr>
              <w:rPr>
                <w:rFonts w:ascii="Arial" w:hAnsi="Arial"/>
                <w:sz w:val="22"/>
              </w:rPr>
            </w:pPr>
            <w:r>
              <w:rPr>
                <w:rFonts w:ascii="Arial" w:hAnsi="Arial"/>
                <w:sz w:val="22"/>
              </w:rPr>
              <w:t>Select Borrow</w:t>
            </w:r>
          </w:p>
        </w:tc>
        <w:tc>
          <w:tcPr>
            <w:tcW w:w="5130" w:type="dxa"/>
          </w:tcPr>
          <w:p w14:paraId="4B1E0B85" w14:textId="77777777" w:rsidR="00F6695E" w:rsidRDefault="00F6695E" w:rsidP="004800CD">
            <w:pPr>
              <w:rPr>
                <w:rFonts w:ascii="Arial" w:hAnsi="Arial"/>
                <w:sz w:val="22"/>
              </w:rPr>
            </w:pPr>
            <w:r>
              <w:rPr>
                <w:rFonts w:ascii="Arial" w:hAnsi="Arial"/>
                <w:sz w:val="22"/>
              </w:rPr>
              <w:t>A soil and aggregate mixture with A-2, A-3 or A-2-4 material with a maximum dry density of 105 pcf.</w:t>
            </w:r>
          </w:p>
        </w:tc>
      </w:tr>
      <w:tr w:rsidR="00F6695E" w14:paraId="75889CF2" w14:textId="77777777" w:rsidTr="004800CD">
        <w:trPr>
          <w:cantSplit/>
          <w:jc w:val="center"/>
        </w:trPr>
        <w:tc>
          <w:tcPr>
            <w:tcW w:w="3505" w:type="dxa"/>
          </w:tcPr>
          <w:p w14:paraId="313E9CC2" w14:textId="77777777" w:rsidR="00F6695E" w:rsidRDefault="00F6695E" w:rsidP="004800CD">
            <w:pPr>
              <w:rPr>
                <w:rFonts w:ascii="Arial" w:hAnsi="Arial"/>
                <w:sz w:val="22"/>
              </w:rPr>
            </w:pPr>
            <w:r>
              <w:rPr>
                <w:rFonts w:ascii="Arial" w:hAnsi="Arial"/>
                <w:sz w:val="22"/>
              </w:rPr>
              <w:t>Capping Borrow</w:t>
            </w:r>
          </w:p>
        </w:tc>
        <w:tc>
          <w:tcPr>
            <w:tcW w:w="5130" w:type="dxa"/>
          </w:tcPr>
          <w:p w14:paraId="4A107C98" w14:textId="77777777" w:rsidR="00F6695E" w:rsidRDefault="00F6695E" w:rsidP="004800CD">
            <w:pPr>
              <w:rPr>
                <w:rFonts w:ascii="Arial" w:hAnsi="Arial"/>
                <w:sz w:val="22"/>
              </w:rPr>
            </w:pPr>
            <w:r>
              <w:rPr>
                <w:rFonts w:ascii="Arial" w:hAnsi="Arial"/>
                <w:sz w:val="22"/>
              </w:rPr>
              <w:t>A soil and aggregate mixture identical to select borrow with the exception that when A-3 material has less than 10% retained on #10 sieve, at least 15% shall pass the #200 sieve.  This specification is to ensure that the capping borrow has a broader band gradation.</w:t>
            </w:r>
          </w:p>
        </w:tc>
      </w:tr>
      <w:tr w:rsidR="00F6695E" w14:paraId="7B54D92A" w14:textId="77777777" w:rsidTr="004800CD">
        <w:trPr>
          <w:cantSplit/>
          <w:jc w:val="center"/>
        </w:trPr>
        <w:tc>
          <w:tcPr>
            <w:tcW w:w="3505" w:type="dxa"/>
          </w:tcPr>
          <w:p w14:paraId="14F9E5EE" w14:textId="77777777" w:rsidR="00F6695E" w:rsidRDefault="00F6695E" w:rsidP="004800CD">
            <w:pPr>
              <w:rPr>
                <w:rFonts w:ascii="Arial" w:hAnsi="Arial"/>
                <w:sz w:val="22"/>
              </w:rPr>
            </w:pPr>
            <w:r>
              <w:rPr>
                <w:rFonts w:ascii="Arial" w:hAnsi="Arial"/>
                <w:sz w:val="22"/>
              </w:rPr>
              <w:t>Modified Borrow</w:t>
            </w:r>
          </w:p>
        </w:tc>
        <w:tc>
          <w:tcPr>
            <w:tcW w:w="5130" w:type="dxa"/>
          </w:tcPr>
          <w:p w14:paraId="51F6923C" w14:textId="77E1D165" w:rsidR="00F6695E" w:rsidRDefault="00F6695E" w:rsidP="004800CD">
            <w:pPr>
              <w:rPr>
                <w:rFonts w:ascii="Arial" w:hAnsi="Arial"/>
                <w:sz w:val="22"/>
              </w:rPr>
            </w:pPr>
            <w:r>
              <w:rPr>
                <w:rFonts w:ascii="Arial" w:hAnsi="Arial"/>
                <w:sz w:val="22"/>
              </w:rPr>
              <w:t xml:space="preserve">A soil and aggregate mixture with a minimum of 25% retained on #10 sieve, liquid limit not greater than 30 and a </w:t>
            </w:r>
            <w:r w:rsidRPr="00361D31">
              <w:rPr>
                <w:rFonts w:ascii="Arial" w:hAnsi="Arial"/>
                <w:sz w:val="22"/>
              </w:rPr>
              <w:t>plasticity index not greater than 9.  Minimum dry density</w:t>
            </w:r>
            <w:r>
              <w:rPr>
                <w:rFonts w:ascii="Arial" w:hAnsi="Arial"/>
                <w:sz w:val="22"/>
              </w:rPr>
              <w:t xml:space="preserve"> of 1</w:t>
            </w:r>
            <w:r w:rsidR="00361D31">
              <w:rPr>
                <w:rFonts w:ascii="Arial" w:hAnsi="Arial"/>
                <w:sz w:val="22"/>
              </w:rPr>
              <w:t>2</w:t>
            </w:r>
            <w:r>
              <w:rPr>
                <w:rFonts w:ascii="Arial" w:hAnsi="Arial"/>
                <w:sz w:val="22"/>
              </w:rPr>
              <w:t>5 pcf.</w:t>
            </w:r>
          </w:p>
        </w:tc>
      </w:tr>
    </w:tbl>
    <w:p w14:paraId="011C2A81" w14:textId="77777777" w:rsidR="000B7767" w:rsidRDefault="000B7767" w:rsidP="00916953">
      <w:bookmarkStart w:id="153" w:name="_Pavement_Types"/>
      <w:bookmarkEnd w:id="153"/>
    </w:p>
    <w:p w14:paraId="30974F49" w14:textId="77777777" w:rsidR="000B7767" w:rsidRDefault="000B7767" w:rsidP="00A82272"/>
    <w:p w14:paraId="46907E78" w14:textId="77777777" w:rsidR="003D3387" w:rsidRDefault="003D3387" w:rsidP="00A82272"/>
    <w:p w14:paraId="305090DF" w14:textId="77777777" w:rsidR="003D3387" w:rsidRDefault="003D3387" w:rsidP="00A82272"/>
    <w:p w14:paraId="40A3D02E" w14:textId="77777777" w:rsidR="00152A78" w:rsidRDefault="00152A78" w:rsidP="004800CD">
      <w:pPr>
        <w:pStyle w:val="Heading3"/>
        <w:ind w:left="1440" w:hanging="1440"/>
      </w:pPr>
      <w:r>
        <w:lastRenderedPageBreak/>
        <w:t>Pavement Types</w:t>
      </w:r>
    </w:p>
    <w:p w14:paraId="67763E4A" w14:textId="77777777"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Initial_Treatment_Identification" w:history="1">
        <w:r w:rsidRPr="007E1D5E">
          <w:rPr>
            <w:rStyle w:val="Hyperlink"/>
            <w:rFonts w:ascii="Arial" w:hAnsi="Arial" w:cs="Arial"/>
            <w:bCs/>
            <w:sz w:val="16"/>
            <w:szCs w:val="16"/>
          </w:rPr>
          <w:t>Initial Treatment Identification – Pavement Preservation Guide</w:t>
        </w:r>
      </w:hyperlink>
    </w:p>
    <w:p w14:paraId="3E4084F5" w14:textId="77777777" w:rsidR="00152A78" w:rsidRDefault="00152A78" w:rsidP="00152A78">
      <w:pPr>
        <w:jc w:val="both"/>
        <w:rPr>
          <w:rFonts w:ascii="Arial" w:hAnsi="Arial"/>
          <w:sz w:val="22"/>
        </w:rPr>
      </w:pPr>
    </w:p>
    <w:p w14:paraId="4C39904E" w14:textId="6D504272" w:rsidR="00152A78" w:rsidRDefault="00152A78" w:rsidP="00152A78">
      <w:pPr>
        <w:jc w:val="both"/>
        <w:rPr>
          <w:rFonts w:ascii="Arial" w:hAnsi="Arial"/>
          <w:sz w:val="22"/>
        </w:rPr>
      </w:pPr>
      <w:r>
        <w:rPr>
          <w:rFonts w:ascii="Arial" w:hAnsi="Arial"/>
          <w:sz w:val="22"/>
        </w:rPr>
        <w:t xml:space="preserve">The following table provides a list and description of the various pavement types used by </w:t>
      </w:r>
      <w:r w:rsidR="008C7023">
        <w:rPr>
          <w:rFonts w:ascii="Arial" w:hAnsi="Arial"/>
          <w:sz w:val="22"/>
        </w:rPr>
        <w:t>MDOT-SHA</w:t>
      </w:r>
      <w:r>
        <w:rPr>
          <w:rFonts w:ascii="Arial" w:hAnsi="Arial"/>
          <w:sz w:val="22"/>
        </w:rPr>
        <w:t>:</w:t>
      </w:r>
    </w:p>
    <w:p w14:paraId="59B982D7" w14:textId="77777777" w:rsidR="00152A78" w:rsidRDefault="00152A78" w:rsidP="00152A78">
      <w:pPr>
        <w:jc w:val="both"/>
        <w:rPr>
          <w:rFonts w:ascii="Arial" w:hAnsi="Arial"/>
          <w:sz w:val="22"/>
        </w:rPr>
      </w:pPr>
    </w:p>
    <w:tbl>
      <w:tblPr>
        <w:tblW w:w="8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8"/>
        <w:gridCol w:w="5007"/>
      </w:tblGrid>
      <w:tr w:rsidR="00152A78" w14:paraId="0CFF58FA" w14:textId="77777777" w:rsidTr="004800CD">
        <w:trPr>
          <w:trHeight w:val="288"/>
          <w:tblHeader/>
          <w:jc w:val="center"/>
        </w:trPr>
        <w:tc>
          <w:tcPr>
            <w:tcW w:w="3448" w:type="dxa"/>
            <w:shd w:val="pct12" w:color="auto" w:fill="FFFFFF"/>
            <w:vAlign w:val="center"/>
          </w:tcPr>
          <w:p w14:paraId="3CDD6280" w14:textId="77777777" w:rsidR="00152A78" w:rsidRDefault="00152A78" w:rsidP="004800CD">
            <w:pPr>
              <w:rPr>
                <w:rFonts w:ascii="Arial" w:hAnsi="Arial"/>
                <w:b/>
                <w:sz w:val="22"/>
              </w:rPr>
            </w:pPr>
            <w:r>
              <w:rPr>
                <w:rFonts w:ascii="Arial" w:hAnsi="Arial"/>
                <w:b/>
                <w:sz w:val="22"/>
              </w:rPr>
              <w:t>Material</w:t>
            </w:r>
          </w:p>
        </w:tc>
        <w:tc>
          <w:tcPr>
            <w:tcW w:w="5007" w:type="dxa"/>
            <w:shd w:val="pct12" w:color="auto" w:fill="FFFFFF"/>
            <w:vAlign w:val="center"/>
          </w:tcPr>
          <w:p w14:paraId="14188DA9" w14:textId="77777777" w:rsidR="00152A78" w:rsidRDefault="00152A78" w:rsidP="004800CD">
            <w:pPr>
              <w:rPr>
                <w:rFonts w:ascii="Arial" w:hAnsi="Arial"/>
                <w:b/>
                <w:sz w:val="22"/>
              </w:rPr>
            </w:pPr>
            <w:r>
              <w:rPr>
                <w:rFonts w:ascii="Arial" w:hAnsi="Arial"/>
                <w:b/>
                <w:sz w:val="22"/>
              </w:rPr>
              <w:t>Description</w:t>
            </w:r>
          </w:p>
        </w:tc>
      </w:tr>
      <w:tr w:rsidR="00152A78" w14:paraId="6AB9A6E1" w14:textId="77777777" w:rsidTr="004800CD">
        <w:trPr>
          <w:trHeight w:val="288"/>
          <w:jc w:val="center"/>
        </w:trPr>
        <w:tc>
          <w:tcPr>
            <w:tcW w:w="3448" w:type="dxa"/>
            <w:vAlign w:val="center"/>
          </w:tcPr>
          <w:p w14:paraId="3B05145C" w14:textId="77777777" w:rsidR="00152A78" w:rsidRDefault="00152A78" w:rsidP="004800CD">
            <w:pPr>
              <w:rPr>
                <w:rFonts w:ascii="Arial" w:hAnsi="Arial"/>
                <w:sz w:val="22"/>
              </w:rPr>
            </w:pPr>
            <w:r>
              <w:rPr>
                <w:rFonts w:ascii="Arial" w:hAnsi="Arial"/>
                <w:sz w:val="22"/>
              </w:rPr>
              <w:t>Flexible Pavement*</w:t>
            </w:r>
          </w:p>
        </w:tc>
        <w:tc>
          <w:tcPr>
            <w:tcW w:w="5007" w:type="dxa"/>
            <w:vAlign w:val="center"/>
          </w:tcPr>
          <w:p w14:paraId="4CEAE756" w14:textId="2D2B0867" w:rsidR="00152A78" w:rsidRDefault="00152A78" w:rsidP="004800CD">
            <w:pPr>
              <w:rPr>
                <w:rFonts w:ascii="Arial" w:hAnsi="Arial"/>
                <w:sz w:val="22"/>
              </w:rPr>
            </w:pPr>
            <w:r>
              <w:rPr>
                <w:rFonts w:ascii="Arial" w:hAnsi="Arial"/>
                <w:sz w:val="22"/>
              </w:rPr>
              <w:t xml:space="preserve">Pavement structure composed of hot mix asphalt material without any </w:t>
            </w:r>
            <w:r w:rsidR="004F5528">
              <w:rPr>
                <w:rFonts w:ascii="Arial" w:hAnsi="Arial"/>
                <w:sz w:val="22"/>
              </w:rPr>
              <w:t>Portland</w:t>
            </w:r>
            <w:r>
              <w:rPr>
                <w:rFonts w:ascii="Arial" w:hAnsi="Arial"/>
                <w:sz w:val="22"/>
              </w:rPr>
              <w:t xml:space="preserve"> cement concrete layers.</w:t>
            </w:r>
          </w:p>
        </w:tc>
      </w:tr>
      <w:tr w:rsidR="00152A78" w14:paraId="47A7E8D7" w14:textId="77777777" w:rsidTr="004800CD">
        <w:trPr>
          <w:trHeight w:val="288"/>
          <w:jc w:val="center"/>
        </w:trPr>
        <w:tc>
          <w:tcPr>
            <w:tcW w:w="3448" w:type="dxa"/>
            <w:vAlign w:val="center"/>
          </w:tcPr>
          <w:p w14:paraId="6F44015E" w14:textId="77777777" w:rsidR="00152A78" w:rsidRDefault="00152A78" w:rsidP="004800CD">
            <w:pPr>
              <w:rPr>
                <w:rFonts w:ascii="Arial" w:hAnsi="Arial"/>
                <w:sz w:val="22"/>
              </w:rPr>
            </w:pPr>
            <w:r>
              <w:rPr>
                <w:rFonts w:ascii="Arial" w:hAnsi="Arial"/>
                <w:sz w:val="22"/>
              </w:rPr>
              <w:t>Rigid Pavement</w:t>
            </w:r>
          </w:p>
        </w:tc>
        <w:tc>
          <w:tcPr>
            <w:tcW w:w="5007" w:type="dxa"/>
            <w:vAlign w:val="center"/>
          </w:tcPr>
          <w:p w14:paraId="1EF5681D" w14:textId="66EE22DE" w:rsidR="00152A78" w:rsidRDefault="00152A78" w:rsidP="004800CD">
            <w:pPr>
              <w:rPr>
                <w:rFonts w:ascii="Arial" w:hAnsi="Arial"/>
                <w:sz w:val="22"/>
              </w:rPr>
            </w:pPr>
            <w:r>
              <w:rPr>
                <w:rFonts w:ascii="Arial" w:hAnsi="Arial"/>
                <w:sz w:val="22"/>
              </w:rPr>
              <w:t xml:space="preserve">Pavement structure composed of </w:t>
            </w:r>
            <w:r w:rsidR="004F5528">
              <w:rPr>
                <w:rFonts w:ascii="Arial" w:hAnsi="Arial"/>
                <w:sz w:val="22"/>
              </w:rPr>
              <w:t>Portland</w:t>
            </w:r>
            <w:r>
              <w:rPr>
                <w:rFonts w:ascii="Arial" w:hAnsi="Arial"/>
                <w:sz w:val="22"/>
              </w:rPr>
              <w:t xml:space="preserve"> cement concrete material on the surface.</w:t>
            </w:r>
          </w:p>
        </w:tc>
      </w:tr>
      <w:tr w:rsidR="00152A78" w14:paraId="516ED007" w14:textId="77777777" w:rsidTr="004800CD">
        <w:trPr>
          <w:trHeight w:val="288"/>
          <w:jc w:val="center"/>
        </w:trPr>
        <w:tc>
          <w:tcPr>
            <w:tcW w:w="3448" w:type="dxa"/>
            <w:vAlign w:val="center"/>
          </w:tcPr>
          <w:p w14:paraId="0F9C64D0" w14:textId="77777777" w:rsidR="00152A78" w:rsidRDefault="00152A78" w:rsidP="004800CD">
            <w:pPr>
              <w:rPr>
                <w:rFonts w:ascii="Arial" w:hAnsi="Arial"/>
                <w:sz w:val="22"/>
              </w:rPr>
            </w:pPr>
            <w:r>
              <w:rPr>
                <w:rFonts w:ascii="Arial" w:hAnsi="Arial"/>
                <w:sz w:val="22"/>
              </w:rPr>
              <w:t>Composite Pavement*</w:t>
            </w:r>
          </w:p>
        </w:tc>
        <w:tc>
          <w:tcPr>
            <w:tcW w:w="5007" w:type="dxa"/>
            <w:vAlign w:val="center"/>
          </w:tcPr>
          <w:p w14:paraId="7DD437D5" w14:textId="58BC9B7A" w:rsidR="00152A78" w:rsidRDefault="00152A78" w:rsidP="004800CD">
            <w:pPr>
              <w:rPr>
                <w:rFonts w:ascii="Arial" w:hAnsi="Arial"/>
                <w:sz w:val="22"/>
              </w:rPr>
            </w:pPr>
            <w:r>
              <w:rPr>
                <w:rFonts w:ascii="Arial" w:hAnsi="Arial"/>
                <w:sz w:val="22"/>
              </w:rPr>
              <w:t xml:space="preserve">Pavement structure composed of hot mix asphalt material layer above a </w:t>
            </w:r>
            <w:r w:rsidR="004F5528">
              <w:rPr>
                <w:rFonts w:ascii="Arial" w:hAnsi="Arial"/>
                <w:sz w:val="22"/>
              </w:rPr>
              <w:t>Portland</w:t>
            </w:r>
            <w:r>
              <w:rPr>
                <w:rFonts w:ascii="Arial" w:hAnsi="Arial"/>
                <w:sz w:val="22"/>
              </w:rPr>
              <w:t xml:space="preserve"> cement concrete material layer.</w:t>
            </w:r>
          </w:p>
        </w:tc>
      </w:tr>
      <w:tr w:rsidR="00152A78" w14:paraId="161DAB43" w14:textId="77777777" w:rsidTr="004800CD">
        <w:trPr>
          <w:trHeight w:val="288"/>
          <w:jc w:val="center"/>
        </w:trPr>
        <w:tc>
          <w:tcPr>
            <w:tcW w:w="3448" w:type="dxa"/>
            <w:vAlign w:val="center"/>
          </w:tcPr>
          <w:p w14:paraId="232F7AE1" w14:textId="77777777" w:rsidR="00152A78" w:rsidRDefault="00152A78" w:rsidP="004800CD">
            <w:pPr>
              <w:rPr>
                <w:rFonts w:ascii="Arial" w:hAnsi="Arial"/>
                <w:sz w:val="22"/>
              </w:rPr>
            </w:pPr>
            <w:r>
              <w:rPr>
                <w:rFonts w:ascii="Arial" w:hAnsi="Arial"/>
                <w:sz w:val="22"/>
              </w:rPr>
              <w:t>Jointed Plain Concrete Pavement (JPCP)</w:t>
            </w:r>
          </w:p>
        </w:tc>
        <w:tc>
          <w:tcPr>
            <w:tcW w:w="5007" w:type="dxa"/>
            <w:vAlign w:val="center"/>
          </w:tcPr>
          <w:p w14:paraId="6F89D783" w14:textId="77777777" w:rsidR="00152A78" w:rsidRDefault="00152A78" w:rsidP="004800CD">
            <w:pPr>
              <w:rPr>
                <w:rFonts w:ascii="Arial" w:hAnsi="Arial"/>
                <w:sz w:val="22"/>
              </w:rPr>
            </w:pPr>
            <w:r>
              <w:rPr>
                <w:rFonts w:ascii="Arial" w:hAnsi="Arial"/>
                <w:sz w:val="22"/>
              </w:rPr>
              <w:t>Rigid pavement built with transverse joints, but without any steel reinforcement.</w:t>
            </w:r>
          </w:p>
        </w:tc>
      </w:tr>
      <w:tr w:rsidR="00152A78" w14:paraId="0A169E03" w14:textId="77777777" w:rsidTr="004800CD">
        <w:trPr>
          <w:trHeight w:val="288"/>
          <w:jc w:val="center"/>
        </w:trPr>
        <w:tc>
          <w:tcPr>
            <w:tcW w:w="3448" w:type="dxa"/>
            <w:vAlign w:val="center"/>
          </w:tcPr>
          <w:p w14:paraId="0B3FE7C2" w14:textId="77777777" w:rsidR="00152A78" w:rsidRDefault="00152A78" w:rsidP="004800CD">
            <w:pPr>
              <w:rPr>
                <w:rFonts w:ascii="Arial" w:hAnsi="Arial"/>
                <w:sz w:val="22"/>
              </w:rPr>
            </w:pPr>
            <w:r>
              <w:rPr>
                <w:rFonts w:ascii="Arial" w:hAnsi="Arial"/>
                <w:sz w:val="22"/>
              </w:rPr>
              <w:t>Jointed Reinforced Concrete Pavement (JRCP)</w:t>
            </w:r>
          </w:p>
        </w:tc>
        <w:tc>
          <w:tcPr>
            <w:tcW w:w="5007" w:type="dxa"/>
            <w:vAlign w:val="center"/>
          </w:tcPr>
          <w:p w14:paraId="2DAABCB8" w14:textId="77777777" w:rsidR="00152A78" w:rsidRDefault="00152A78" w:rsidP="004800CD">
            <w:pPr>
              <w:rPr>
                <w:rFonts w:ascii="Arial" w:hAnsi="Arial"/>
                <w:sz w:val="22"/>
              </w:rPr>
            </w:pPr>
            <w:r>
              <w:rPr>
                <w:rFonts w:ascii="Arial" w:hAnsi="Arial"/>
                <w:sz w:val="22"/>
              </w:rPr>
              <w:t>Rigid pavement built with transverse joints and with steel reinforcement between the joints.</w:t>
            </w:r>
          </w:p>
        </w:tc>
      </w:tr>
      <w:tr w:rsidR="00152A78" w14:paraId="1F0506D6" w14:textId="77777777" w:rsidTr="004800CD">
        <w:trPr>
          <w:trHeight w:val="288"/>
          <w:jc w:val="center"/>
        </w:trPr>
        <w:tc>
          <w:tcPr>
            <w:tcW w:w="3448" w:type="dxa"/>
            <w:vAlign w:val="center"/>
          </w:tcPr>
          <w:p w14:paraId="20B8914A" w14:textId="77777777" w:rsidR="00152A78" w:rsidRDefault="00152A78" w:rsidP="004800CD">
            <w:pPr>
              <w:rPr>
                <w:rFonts w:ascii="Arial" w:hAnsi="Arial"/>
                <w:sz w:val="22"/>
              </w:rPr>
            </w:pPr>
            <w:r>
              <w:rPr>
                <w:rFonts w:ascii="Arial" w:hAnsi="Arial"/>
                <w:sz w:val="22"/>
              </w:rPr>
              <w:t>Continuously Reinforced Concrete Pavement (CRCP)</w:t>
            </w:r>
          </w:p>
        </w:tc>
        <w:tc>
          <w:tcPr>
            <w:tcW w:w="5007" w:type="dxa"/>
            <w:vAlign w:val="center"/>
          </w:tcPr>
          <w:p w14:paraId="63AA8033" w14:textId="77777777" w:rsidR="00152A78" w:rsidRDefault="00152A78" w:rsidP="004800CD">
            <w:pPr>
              <w:rPr>
                <w:rFonts w:ascii="Arial" w:hAnsi="Arial"/>
                <w:sz w:val="22"/>
              </w:rPr>
            </w:pPr>
            <w:r>
              <w:rPr>
                <w:rFonts w:ascii="Arial" w:hAnsi="Arial"/>
                <w:sz w:val="22"/>
              </w:rPr>
              <w:t>Rigid pavement built without transverse joints and with steel reinforcement throughout the length of the pavement.</w:t>
            </w:r>
          </w:p>
        </w:tc>
      </w:tr>
    </w:tbl>
    <w:p w14:paraId="1EE3FF35" w14:textId="740076AC" w:rsidR="00152A78" w:rsidRPr="004800CD" w:rsidRDefault="00A82272" w:rsidP="00152A78">
      <w:pPr>
        <w:jc w:val="both"/>
        <w:rPr>
          <w:rFonts w:ascii="Arial" w:hAnsi="Arial"/>
          <w:sz w:val="18"/>
        </w:rPr>
      </w:pPr>
      <w:r>
        <w:rPr>
          <w:rFonts w:ascii="Arial" w:hAnsi="Arial" w:cs="Arial"/>
          <w:sz w:val="18"/>
          <w:szCs w:val="18"/>
        </w:rPr>
        <w:t xml:space="preserve">    </w:t>
      </w:r>
      <w:r w:rsidR="00152A78" w:rsidRPr="004800CD">
        <w:rPr>
          <w:rFonts w:ascii="Arial" w:hAnsi="Arial"/>
          <w:sz w:val="18"/>
        </w:rPr>
        <w:t>* This pavement type may have a surface treatment such as slurry seal, chip seal, micro-surfacing.</w:t>
      </w:r>
    </w:p>
    <w:p w14:paraId="2BC26853" w14:textId="77777777" w:rsidR="000B7767" w:rsidRDefault="000B7767">
      <w:pPr>
        <w:rPr>
          <w:rFonts w:ascii="Arial" w:hAnsi="Arial"/>
          <w:b/>
          <w:caps/>
          <w:sz w:val="28"/>
        </w:rPr>
      </w:pPr>
      <w:bookmarkStart w:id="154" w:name="_Material_Properties_(2-1-06)"/>
      <w:bookmarkStart w:id="155" w:name="_Material_Properties"/>
      <w:bookmarkEnd w:id="154"/>
      <w:bookmarkEnd w:id="155"/>
    </w:p>
    <w:p w14:paraId="5C290A59" w14:textId="77777777" w:rsidR="000B7767" w:rsidRDefault="000B7767" w:rsidP="0049684B">
      <w:pPr>
        <w:pStyle w:val="Heading2"/>
        <w:ind w:hanging="1026"/>
        <w:sectPr w:rsidR="000B7767" w:rsidSect="00152A78">
          <w:headerReference w:type="default" r:id="rId113"/>
          <w:footerReference w:type="default" r:id="rId114"/>
          <w:pgSz w:w="12240" w:h="15840"/>
          <w:pgMar w:top="1440" w:right="1800" w:bottom="1440" w:left="1800" w:header="720" w:footer="720" w:gutter="0"/>
          <w:pgNumType w:start="1" w:chapStyle="1"/>
          <w:cols w:space="720"/>
        </w:sectPr>
      </w:pPr>
    </w:p>
    <w:p w14:paraId="2D7EDC23" w14:textId="6DC88D81" w:rsidR="00152A78" w:rsidRDefault="00152A78" w:rsidP="004800CD">
      <w:pPr>
        <w:pStyle w:val="Heading2"/>
        <w:ind w:left="720" w:hanging="720"/>
      </w:pPr>
      <w:bookmarkStart w:id="156" w:name="_Material_Properties_–_3"/>
      <w:bookmarkStart w:id="157" w:name="_Toc479160090"/>
      <w:bookmarkStart w:id="158" w:name="_Toc514057979"/>
      <w:bookmarkStart w:id="159" w:name="_Toc194932375"/>
      <w:bookmarkEnd w:id="156"/>
      <w:r>
        <w:lastRenderedPageBreak/>
        <w:t>Material Properties – General/Definitions</w:t>
      </w:r>
      <w:bookmarkEnd w:id="157"/>
      <w:bookmarkEnd w:id="158"/>
      <w:bookmarkEnd w:id="159"/>
      <w:r>
        <w:t xml:space="preserve"> </w:t>
      </w:r>
    </w:p>
    <w:p w14:paraId="76D00274" w14:textId="77777777" w:rsidR="00152A78" w:rsidRDefault="00152A78" w:rsidP="00152A78">
      <w:pPr>
        <w:jc w:val="both"/>
        <w:rPr>
          <w:rFonts w:ascii="Arial" w:hAnsi="Arial"/>
          <w:sz w:val="22"/>
        </w:rPr>
      </w:pPr>
    </w:p>
    <w:p w14:paraId="24FB10E2" w14:textId="7D9769CC" w:rsidR="00152A78" w:rsidRDefault="00152A78" w:rsidP="00152A78">
      <w:pPr>
        <w:jc w:val="both"/>
        <w:rPr>
          <w:rFonts w:ascii="Arial" w:hAnsi="Arial"/>
          <w:sz w:val="22"/>
        </w:rPr>
      </w:pPr>
      <w:r>
        <w:rPr>
          <w:rFonts w:ascii="Arial" w:hAnsi="Arial"/>
          <w:sz w:val="22"/>
        </w:rPr>
        <w:t xml:space="preserve">Material properties are general material characteristics of common </w:t>
      </w:r>
      <w:r w:rsidR="008C7023">
        <w:rPr>
          <w:rFonts w:ascii="Arial" w:hAnsi="Arial"/>
          <w:sz w:val="22"/>
        </w:rPr>
        <w:t>MDOT-SHA</w:t>
      </w:r>
      <w:r>
        <w:rPr>
          <w:rFonts w:ascii="Arial" w:hAnsi="Arial"/>
          <w:sz w:val="22"/>
        </w:rPr>
        <w:t xml:space="preserve"> pavement materials.  Typical material property values are obtained from laboratory testing and assumed from engineering experience of the materials commonly used by </w:t>
      </w:r>
      <w:r w:rsidR="008C7023">
        <w:rPr>
          <w:rFonts w:ascii="Arial" w:hAnsi="Arial"/>
          <w:sz w:val="22"/>
        </w:rPr>
        <w:t>MDOT-SHA</w:t>
      </w:r>
      <w:r>
        <w:rPr>
          <w:rFonts w:ascii="Arial" w:hAnsi="Arial"/>
          <w:sz w:val="22"/>
        </w:rPr>
        <w:t xml:space="preserve">.  </w:t>
      </w:r>
    </w:p>
    <w:p w14:paraId="4EC36194" w14:textId="56A588B0" w:rsidR="00152A78" w:rsidRDefault="00152A78" w:rsidP="004800CD">
      <w:pPr>
        <w:pStyle w:val="Heading3"/>
        <w:tabs>
          <w:tab w:val="left" w:pos="1440"/>
        </w:tabs>
        <w:ind w:left="1440" w:hanging="1440"/>
      </w:pPr>
      <w:r>
        <w:t>Poisson</w:t>
      </w:r>
      <w:r w:rsidR="00697966">
        <w:t>'s</w:t>
      </w:r>
      <w:r>
        <w:t xml:space="preserve"> Ratio</w:t>
      </w:r>
    </w:p>
    <w:p w14:paraId="1DB26E14" w14:textId="20D55A30" w:rsidR="00152A78" w:rsidRDefault="00152A78" w:rsidP="00152A78">
      <w:pPr>
        <w:jc w:val="both"/>
        <w:rPr>
          <w:rFonts w:ascii="Arial" w:hAnsi="Arial"/>
          <w:sz w:val="22"/>
        </w:rPr>
      </w:pPr>
      <w:r>
        <w:rPr>
          <w:rFonts w:ascii="Arial" w:hAnsi="Arial"/>
          <w:sz w:val="22"/>
        </w:rPr>
        <w:t>Poisson</w:t>
      </w:r>
      <w:r w:rsidR="00697966">
        <w:rPr>
          <w:rFonts w:ascii="Arial" w:hAnsi="Arial"/>
          <w:sz w:val="22"/>
        </w:rPr>
        <w:t>'s</w:t>
      </w:r>
      <w:r>
        <w:rPr>
          <w:rFonts w:ascii="Arial" w:hAnsi="Arial"/>
          <w:sz w:val="22"/>
        </w:rPr>
        <w:t xml:space="preserve"> </w:t>
      </w:r>
      <w:r w:rsidR="00697966">
        <w:rPr>
          <w:rFonts w:ascii="Arial" w:hAnsi="Arial"/>
          <w:sz w:val="22"/>
        </w:rPr>
        <w:t>r</w:t>
      </w:r>
      <w:r>
        <w:rPr>
          <w:rFonts w:ascii="Arial" w:hAnsi="Arial"/>
          <w:sz w:val="22"/>
        </w:rPr>
        <w:t xml:space="preserve">atio is a measure of a material’s lateral strain compared to the axial strain.  In other words, it </w:t>
      </w:r>
      <w:r w:rsidR="00EB74D7">
        <w:rPr>
          <w:rFonts w:ascii="Arial" w:hAnsi="Arial"/>
          <w:sz w:val="22"/>
        </w:rPr>
        <w:t xml:space="preserve">is </w:t>
      </w:r>
      <w:r>
        <w:rPr>
          <w:rFonts w:ascii="Arial" w:hAnsi="Arial"/>
          <w:sz w:val="22"/>
        </w:rPr>
        <w:t>the ratio of lateral movement compared to vertical movement of a material under a vertical load.  Therefore, very stiff materials (PCC) will have a smaller Poisson</w:t>
      </w:r>
      <w:r w:rsidR="00697966">
        <w:rPr>
          <w:rFonts w:ascii="Arial" w:hAnsi="Arial"/>
          <w:sz w:val="22"/>
        </w:rPr>
        <w:t>'s</w:t>
      </w:r>
      <w:r>
        <w:rPr>
          <w:rFonts w:ascii="Arial" w:hAnsi="Arial"/>
          <w:sz w:val="22"/>
        </w:rPr>
        <w:t xml:space="preserve"> </w:t>
      </w:r>
      <w:r w:rsidR="00697966">
        <w:rPr>
          <w:rFonts w:ascii="Arial" w:hAnsi="Arial"/>
          <w:sz w:val="22"/>
        </w:rPr>
        <w:t>r</w:t>
      </w:r>
      <w:r>
        <w:rPr>
          <w:rFonts w:ascii="Arial" w:hAnsi="Arial"/>
          <w:sz w:val="22"/>
        </w:rPr>
        <w:t>atio compared to those materials that are elastic and have a flowable nature (soil and HMA).  Poisson</w:t>
      </w:r>
      <w:r w:rsidR="00697966">
        <w:rPr>
          <w:rFonts w:ascii="Arial" w:hAnsi="Arial"/>
          <w:sz w:val="22"/>
        </w:rPr>
        <w:t>'s</w:t>
      </w:r>
      <w:r>
        <w:rPr>
          <w:rFonts w:ascii="Arial" w:hAnsi="Arial"/>
          <w:sz w:val="22"/>
        </w:rPr>
        <w:t xml:space="preserve"> ratio can measure during resilient modulus testing.  </w:t>
      </w:r>
    </w:p>
    <w:p w14:paraId="6135C37D" w14:textId="77777777" w:rsidR="00152A78" w:rsidRDefault="00152A78" w:rsidP="00152A78">
      <w:pPr>
        <w:jc w:val="both"/>
        <w:rPr>
          <w:rFonts w:ascii="Arial" w:hAnsi="Arial"/>
          <w:sz w:val="22"/>
        </w:rPr>
      </w:pPr>
    </w:p>
    <w:p w14:paraId="66998486" w14:textId="2A72D2A2" w:rsidR="00152A78" w:rsidRPr="00F530F1" w:rsidRDefault="00152A78" w:rsidP="00152A78">
      <w:pPr>
        <w:jc w:val="both"/>
        <w:rPr>
          <w:rFonts w:ascii="Arial" w:hAnsi="Arial"/>
          <w:sz w:val="22"/>
        </w:rPr>
      </w:pPr>
      <w:r>
        <w:rPr>
          <w:rFonts w:ascii="Arial" w:hAnsi="Arial"/>
          <w:sz w:val="22"/>
        </w:rPr>
        <w:t>Poisson</w:t>
      </w:r>
      <w:r w:rsidR="00697966">
        <w:rPr>
          <w:rFonts w:ascii="Arial" w:hAnsi="Arial"/>
          <w:sz w:val="22"/>
        </w:rPr>
        <w:t>'s</w:t>
      </w:r>
      <w:r>
        <w:rPr>
          <w:rFonts w:ascii="Arial" w:hAnsi="Arial"/>
          <w:sz w:val="22"/>
        </w:rPr>
        <w:t xml:space="preserve"> </w:t>
      </w:r>
      <w:r w:rsidR="00697966">
        <w:rPr>
          <w:rFonts w:ascii="Arial" w:hAnsi="Arial"/>
          <w:sz w:val="22"/>
        </w:rPr>
        <w:t>r</w:t>
      </w:r>
      <w:r>
        <w:rPr>
          <w:rFonts w:ascii="Arial" w:hAnsi="Arial"/>
          <w:sz w:val="22"/>
        </w:rPr>
        <w:t>atio is a critical material property when performing backcalculation analysis.  Poisson</w:t>
      </w:r>
      <w:r w:rsidR="00D440C3">
        <w:rPr>
          <w:rFonts w:ascii="Arial" w:hAnsi="Arial"/>
          <w:sz w:val="22"/>
        </w:rPr>
        <w:t>'s</w:t>
      </w:r>
      <w:r>
        <w:rPr>
          <w:rFonts w:ascii="Arial" w:hAnsi="Arial"/>
          <w:sz w:val="22"/>
        </w:rPr>
        <w:t xml:space="preserve"> </w:t>
      </w:r>
      <w:r w:rsidR="001264AD">
        <w:rPr>
          <w:rFonts w:ascii="Arial" w:hAnsi="Arial"/>
          <w:sz w:val="22"/>
        </w:rPr>
        <w:t>r</w:t>
      </w:r>
      <w:r>
        <w:rPr>
          <w:rFonts w:ascii="Arial" w:hAnsi="Arial"/>
          <w:sz w:val="22"/>
        </w:rPr>
        <w:t xml:space="preserve">atio allows the pavement designer to model the behavior of a material under loading. The </w:t>
      </w:r>
      <w:r w:rsidRPr="00FB4841">
        <w:rPr>
          <w:rFonts w:ascii="Arial" w:hAnsi="Arial"/>
          <w:sz w:val="22"/>
        </w:rPr>
        <w:t>table</w:t>
      </w:r>
      <w:r w:rsidR="00FB4841" w:rsidRPr="00FB4841">
        <w:rPr>
          <w:rFonts w:ascii="Arial" w:hAnsi="Arial"/>
          <w:sz w:val="22"/>
        </w:rPr>
        <w:t xml:space="preserve"> in</w:t>
      </w:r>
      <w:r w:rsidR="00FB4841">
        <w:rPr>
          <w:rFonts w:ascii="Arial" w:hAnsi="Arial"/>
          <w:sz w:val="22"/>
        </w:rPr>
        <w:t xml:space="preserve"> Section 4.03.01.03</w:t>
      </w:r>
      <w:r>
        <w:rPr>
          <w:rFonts w:ascii="Arial" w:hAnsi="Arial"/>
          <w:sz w:val="22"/>
        </w:rPr>
        <w:t xml:space="preserve"> provides typical ranges of Poisson</w:t>
      </w:r>
      <w:r w:rsidR="00D440C3">
        <w:rPr>
          <w:rFonts w:ascii="Arial" w:hAnsi="Arial"/>
          <w:sz w:val="22"/>
        </w:rPr>
        <w:t>'s</w:t>
      </w:r>
      <w:r>
        <w:rPr>
          <w:rFonts w:ascii="Arial" w:hAnsi="Arial"/>
          <w:sz w:val="22"/>
        </w:rPr>
        <w:t xml:space="preserve"> </w:t>
      </w:r>
      <w:r w:rsidR="001264AD">
        <w:rPr>
          <w:rFonts w:ascii="Arial" w:hAnsi="Arial"/>
          <w:sz w:val="22"/>
        </w:rPr>
        <w:t>r</w:t>
      </w:r>
      <w:r>
        <w:rPr>
          <w:rFonts w:ascii="Arial" w:hAnsi="Arial"/>
          <w:sz w:val="22"/>
        </w:rPr>
        <w:t xml:space="preserve">atio for common </w:t>
      </w:r>
      <w:r w:rsidR="008C7023">
        <w:rPr>
          <w:rFonts w:ascii="Arial" w:hAnsi="Arial"/>
          <w:sz w:val="22"/>
        </w:rPr>
        <w:t>MDOT-SHA</w:t>
      </w:r>
      <w:r>
        <w:rPr>
          <w:rFonts w:ascii="Arial" w:hAnsi="Arial"/>
          <w:sz w:val="22"/>
        </w:rPr>
        <w:t xml:space="preserve"> pave</w:t>
      </w:r>
      <w:r w:rsidRPr="00F530F1">
        <w:rPr>
          <w:rFonts w:ascii="Arial" w:hAnsi="Arial"/>
          <w:sz w:val="22"/>
        </w:rPr>
        <w:t>ment materials.</w:t>
      </w:r>
    </w:p>
    <w:p w14:paraId="2A7DFB06" w14:textId="77777777" w:rsidR="00152A78" w:rsidRPr="00F530F1" w:rsidRDefault="00152A78" w:rsidP="004800CD">
      <w:pPr>
        <w:pStyle w:val="Heading3"/>
        <w:tabs>
          <w:tab w:val="left" w:pos="1440"/>
        </w:tabs>
        <w:ind w:hanging="1980"/>
      </w:pPr>
      <w:r w:rsidRPr="00F530F1">
        <w:t>Coefficient of Thermal Expansion</w:t>
      </w:r>
    </w:p>
    <w:p w14:paraId="1913DA8D" w14:textId="20FF40CA" w:rsidR="00152A78" w:rsidRPr="00EE5F0E" w:rsidRDefault="00152A78" w:rsidP="00152A78">
      <w:pPr>
        <w:jc w:val="both"/>
        <w:rPr>
          <w:rFonts w:ascii="Arial" w:hAnsi="Arial"/>
          <w:sz w:val="22"/>
        </w:rPr>
      </w:pPr>
      <w:r w:rsidRPr="00F530F1">
        <w:rPr>
          <w:rFonts w:ascii="Arial" w:hAnsi="Arial"/>
          <w:sz w:val="22"/>
        </w:rPr>
        <w:t xml:space="preserve">The coefficient </w:t>
      </w:r>
      <w:r w:rsidRPr="00EE5F0E">
        <w:rPr>
          <w:rFonts w:ascii="Arial" w:hAnsi="Arial"/>
          <w:sz w:val="22"/>
        </w:rPr>
        <w:t xml:space="preserve">of thermal expansion is a measure of the change in volume of a material subjected to a change in temperature.  There are two areas </w:t>
      </w:r>
      <w:r w:rsidR="00D440C3">
        <w:rPr>
          <w:rFonts w:ascii="Arial" w:hAnsi="Arial"/>
          <w:sz w:val="22"/>
        </w:rPr>
        <w:t xml:space="preserve">of </w:t>
      </w:r>
      <w:r w:rsidRPr="00EE5F0E">
        <w:rPr>
          <w:rFonts w:ascii="Arial" w:hAnsi="Arial"/>
          <w:sz w:val="22"/>
        </w:rPr>
        <w:t>interest with regard to thermal expansion for pavement design purposes</w:t>
      </w:r>
      <w:r w:rsidR="00D440C3">
        <w:rPr>
          <w:rFonts w:ascii="Arial" w:hAnsi="Arial"/>
          <w:sz w:val="22"/>
        </w:rPr>
        <w:t xml:space="preserve">: </w:t>
      </w:r>
      <w:r w:rsidRPr="00EE5F0E">
        <w:rPr>
          <w:rFonts w:ascii="Arial" w:hAnsi="Arial"/>
          <w:sz w:val="22"/>
        </w:rPr>
        <w:t xml:space="preserve"> PCC and steel.</w:t>
      </w:r>
    </w:p>
    <w:p w14:paraId="29B40281" w14:textId="77777777" w:rsidR="00152A78" w:rsidRPr="00EE5F0E" w:rsidRDefault="00152A78" w:rsidP="00152A78">
      <w:pPr>
        <w:jc w:val="both"/>
        <w:rPr>
          <w:rFonts w:ascii="Arial" w:hAnsi="Arial"/>
          <w:sz w:val="22"/>
        </w:rPr>
      </w:pPr>
    </w:p>
    <w:p w14:paraId="79D0D9F0" w14:textId="77777777" w:rsidR="00152A78" w:rsidRDefault="00152A78" w:rsidP="00152A78">
      <w:pPr>
        <w:jc w:val="both"/>
        <w:rPr>
          <w:rFonts w:ascii="Arial" w:hAnsi="Arial"/>
          <w:sz w:val="22"/>
        </w:rPr>
      </w:pPr>
      <w:r w:rsidRPr="00EE5F0E">
        <w:rPr>
          <w:rFonts w:ascii="Arial" w:hAnsi="Arial"/>
          <w:sz w:val="22"/>
        </w:rPr>
        <w:t>The PCC coefficient of t</w:t>
      </w:r>
      <w:r w:rsidRPr="00F530F1">
        <w:rPr>
          <w:rFonts w:ascii="Arial" w:hAnsi="Arial"/>
          <w:sz w:val="22"/>
        </w:rPr>
        <w:t xml:space="preserve">hermal expansion varies with such factors as the water-cement ratio, concrete age, cement content, and relative humidity.  However, the coarse aggregate thermal properties are the most significant influence on the thermal expansion and contraction of a PCC slab.  </w:t>
      </w:r>
    </w:p>
    <w:p w14:paraId="7CC4A9D0" w14:textId="77777777" w:rsidR="00152A78" w:rsidRDefault="00152A78" w:rsidP="004800CD">
      <w:pPr>
        <w:pStyle w:val="Heading3"/>
        <w:tabs>
          <w:tab w:val="left" w:pos="1440"/>
        </w:tabs>
        <w:ind w:hanging="1980"/>
      </w:pPr>
      <w:r>
        <w:t>Elastic Modulus / Resilient Modulus</w:t>
      </w:r>
    </w:p>
    <w:p w14:paraId="1FB38F0B" w14:textId="7B654BE3" w:rsidR="00152A78" w:rsidRDefault="00152A78" w:rsidP="00152A78">
      <w:pPr>
        <w:jc w:val="both"/>
        <w:rPr>
          <w:rFonts w:ascii="Arial" w:hAnsi="Arial"/>
          <w:sz w:val="22"/>
        </w:rPr>
      </w:pPr>
      <w:r>
        <w:rPr>
          <w:rFonts w:ascii="Arial" w:hAnsi="Arial"/>
          <w:sz w:val="22"/>
        </w:rPr>
        <w:t xml:space="preserve">Elastic modulus and resilient modulus provide an indication of the strength of the material and are fundamentally the same material property.  The higher the elastic or resilient modulus, the stronger the material will behave under traffic loading.  Elastic modulus </w:t>
      </w:r>
      <w:r w:rsidR="00D440C3">
        <w:rPr>
          <w:rFonts w:ascii="Arial" w:hAnsi="Arial"/>
          <w:sz w:val="22"/>
        </w:rPr>
        <w:t xml:space="preserve">is </w:t>
      </w:r>
      <w:r>
        <w:rPr>
          <w:rFonts w:ascii="Arial" w:hAnsi="Arial"/>
          <w:sz w:val="22"/>
        </w:rPr>
        <w:t xml:space="preserve">defined </w:t>
      </w:r>
      <w:r w:rsidR="00D440C3">
        <w:rPr>
          <w:rFonts w:ascii="Arial" w:hAnsi="Arial"/>
          <w:sz w:val="22"/>
        </w:rPr>
        <w:t>a</w:t>
      </w:r>
      <w:r>
        <w:rPr>
          <w:rFonts w:ascii="Arial" w:hAnsi="Arial"/>
          <w:sz w:val="22"/>
        </w:rPr>
        <w:t xml:space="preserve">s the slope of the stress-strain curve of a material specimen under loading. Elastic modulus is based on the principle that material does not permanently deform under loading.  This is not true for a majority of the paving materials with the possible exception of PCC.  </w:t>
      </w:r>
    </w:p>
    <w:p w14:paraId="468363D9" w14:textId="77777777" w:rsidR="00152A78" w:rsidRDefault="00152A78" w:rsidP="00152A78">
      <w:pPr>
        <w:jc w:val="both"/>
        <w:rPr>
          <w:rFonts w:ascii="Arial" w:hAnsi="Arial"/>
          <w:sz w:val="22"/>
        </w:rPr>
      </w:pPr>
    </w:p>
    <w:p w14:paraId="399A6748" w14:textId="781D40BE" w:rsidR="00152A78" w:rsidRDefault="00152A78" w:rsidP="00152A78">
      <w:pPr>
        <w:jc w:val="both"/>
        <w:rPr>
          <w:rFonts w:ascii="Arial" w:hAnsi="Arial"/>
          <w:sz w:val="22"/>
        </w:rPr>
      </w:pPr>
      <w:r>
        <w:rPr>
          <w:rFonts w:ascii="Arial" w:hAnsi="Arial"/>
          <w:sz w:val="22"/>
        </w:rPr>
        <w:t xml:space="preserve">Resilient modulus is also defined as the slope of the stress-strain curve of a material specimen under loading.  However, resilient modulus is based on the principle that the material may permanently deform under loading. This permanent deformation is monitored during the laboratory testing.  Therefore, resilient modulus testing is basically elastic modulus testing while monitoring permanent deformation.     </w:t>
      </w:r>
    </w:p>
    <w:p w14:paraId="7378FAC3" w14:textId="77777777" w:rsidR="00152A78" w:rsidRDefault="00152A78" w:rsidP="00152A78">
      <w:pPr>
        <w:pStyle w:val="BodyText"/>
        <w:spacing w:after="0"/>
        <w:jc w:val="both"/>
      </w:pPr>
    </w:p>
    <w:p w14:paraId="0339013B" w14:textId="77777777" w:rsidR="00152A78" w:rsidRDefault="00152A78" w:rsidP="00152A78">
      <w:pPr>
        <w:pStyle w:val="BodyText"/>
        <w:spacing w:after="0"/>
        <w:jc w:val="both"/>
      </w:pPr>
      <w:r>
        <w:t>The following sections provide the pavement designer a frame of reference for the respective strengths of common pavement materials.  This information can be used in determining the application of different materials based on a strength comparison.  In addition, the ranges of elastic moduli values for the pavement materials in the following sections shall be used in backcalculation analysis of FWD data.</w:t>
      </w:r>
    </w:p>
    <w:p w14:paraId="00F227D7" w14:textId="77777777" w:rsidR="00152A78" w:rsidRDefault="00152A78" w:rsidP="0049684B">
      <w:pPr>
        <w:pStyle w:val="Heading4"/>
      </w:pPr>
      <w:r>
        <w:lastRenderedPageBreak/>
        <w:t xml:space="preserve">Surface / Base Elastic Modulus </w:t>
      </w:r>
    </w:p>
    <w:p w14:paraId="64EF1741" w14:textId="3DD1E54C" w:rsidR="00152A78" w:rsidRDefault="00152A78" w:rsidP="00152A78">
      <w:pPr>
        <w:pStyle w:val="BodyText"/>
        <w:spacing w:after="0"/>
        <w:jc w:val="both"/>
        <w:rPr>
          <w:b/>
        </w:rPr>
      </w:pPr>
      <w:r>
        <w:t xml:space="preserve">The elastic modulus of surface and base materials are relatively independent of the subgrade strength.  The weaker the surface and base material, the more its strength will be influenced by the strength of the underlying subgrade soil.  The </w:t>
      </w:r>
      <w:r w:rsidRPr="00FB4841">
        <w:t>table</w:t>
      </w:r>
      <w:r w:rsidR="00FB4841">
        <w:t xml:space="preserve"> in Section 4.03.03</w:t>
      </w:r>
      <w:r>
        <w:t xml:space="preserve"> provides typical elastic modulus values for surface and base materials typical for </w:t>
      </w:r>
      <w:r w:rsidR="008C7023">
        <w:t>MDOT-SHA</w:t>
      </w:r>
      <w:r>
        <w:t>.  The materials with asphalt concrete are temperature</w:t>
      </w:r>
      <w:r w:rsidR="00D440C3">
        <w:t>-</w:t>
      </w:r>
      <w:r>
        <w:t>dependent materials.  Hot mix asphalt will have a higher elastic modulus in colder temperatures and a weaker elastic modulus when exposed to warmer temperatures.  Some of the manufactured or produced materials are general ranges because they v</w:t>
      </w:r>
      <w:r w:rsidR="00D440C3">
        <w:t>a</w:t>
      </w:r>
      <w:r>
        <w:t>ry dependent on the production method, source of material</w:t>
      </w:r>
      <w:r w:rsidR="00D440C3">
        <w:t>,</w:t>
      </w:r>
      <w:r>
        <w:t xml:space="preserve"> and the care taken during construction.  </w:t>
      </w:r>
    </w:p>
    <w:p w14:paraId="3BDE0D58" w14:textId="77777777" w:rsidR="00152A78" w:rsidRDefault="00152A78" w:rsidP="00152A78">
      <w:pPr>
        <w:jc w:val="both"/>
        <w:rPr>
          <w:rFonts w:ascii="Arial" w:hAnsi="Arial"/>
        </w:rPr>
      </w:pPr>
    </w:p>
    <w:p w14:paraId="50B2B28C" w14:textId="77777777" w:rsidR="00152A78" w:rsidRDefault="00152A78" w:rsidP="0049684B">
      <w:pPr>
        <w:pStyle w:val="Heading4"/>
      </w:pPr>
      <w:r>
        <w:t>Subgrade Resilient Modulus (M</w:t>
      </w:r>
      <w:r>
        <w:rPr>
          <w:vertAlign w:val="subscript"/>
        </w:rPr>
        <w:t>r</w:t>
      </w:r>
      <w:r>
        <w:t xml:space="preserve">) </w:t>
      </w:r>
    </w:p>
    <w:p w14:paraId="72788CEF" w14:textId="66B2A521" w:rsidR="00152A78" w:rsidRDefault="008C7023" w:rsidP="00152A78">
      <w:pPr>
        <w:jc w:val="both"/>
        <w:rPr>
          <w:rFonts w:ascii="Arial" w:hAnsi="Arial"/>
          <w:sz w:val="22"/>
        </w:rPr>
      </w:pPr>
      <w:r>
        <w:rPr>
          <w:rFonts w:ascii="Arial" w:hAnsi="Arial"/>
          <w:sz w:val="22"/>
        </w:rPr>
        <w:t>MDOT-SHA</w:t>
      </w:r>
      <w:r w:rsidR="00152A78">
        <w:rPr>
          <w:rFonts w:ascii="Arial" w:hAnsi="Arial"/>
          <w:sz w:val="22"/>
        </w:rPr>
        <w:t xml:space="preserve"> Pavement and Geotechnical Division records and designs flexible pavements based on the subgrade strength reported in terms of resilient modulus.  Several other tests can be used to assess the strength of the subgrade; i.e.</w:t>
      </w:r>
      <w:r w:rsidR="00D440C3">
        <w:rPr>
          <w:rFonts w:ascii="Arial" w:hAnsi="Arial"/>
          <w:sz w:val="22"/>
        </w:rPr>
        <w:t>,</w:t>
      </w:r>
      <w:r w:rsidR="00152A78">
        <w:rPr>
          <w:rFonts w:ascii="Arial" w:hAnsi="Arial"/>
          <w:sz w:val="22"/>
        </w:rPr>
        <w:t xml:space="preserve"> </w:t>
      </w:r>
      <w:smartTag w:uri="urn:schemas-microsoft-com:office:smarttags" w:element="stockticker">
        <w:r w:rsidR="00152A78">
          <w:rPr>
            <w:rFonts w:ascii="Arial" w:hAnsi="Arial"/>
            <w:sz w:val="22"/>
          </w:rPr>
          <w:t>CBR</w:t>
        </w:r>
      </w:smartTag>
      <w:r w:rsidR="00152A78">
        <w:rPr>
          <w:rFonts w:ascii="Arial" w:hAnsi="Arial"/>
          <w:sz w:val="22"/>
        </w:rPr>
        <w:t xml:space="preserve">.  However, all analysis, designs, and reports will be done in terms of resilient modulus for the soil subgrade of flexible pavements.  A simple conversion from </w:t>
      </w:r>
      <w:smartTag w:uri="urn:schemas-microsoft-com:office:smarttags" w:element="stockticker">
        <w:r w:rsidR="00152A78">
          <w:rPr>
            <w:rFonts w:ascii="Arial" w:hAnsi="Arial"/>
            <w:sz w:val="22"/>
          </w:rPr>
          <w:t>CBR</w:t>
        </w:r>
      </w:smartTag>
      <w:r w:rsidR="00152A78">
        <w:rPr>
          <w:rFonts w:ascii="Arial" w:hAnsi="Arial"/>
          <w:sz w:val="22"/>
        </w:rPr>
        <w:t xml:space="preserve"> to resilient modulus for soil subgrade is the following equation:</w:t>
      </w:r>
    </w:p>
    <w:p w14:paraId="531D3F0C" w14:textId="77777777" w:rsidR="00483837" w:rsidRDefault="00483837" w:rsidP="00152A78">
      <w:pPr>
        <w:jc w:val="both"/>
        <w:rPr>
          <w:rFonts w:ascii="Arial" w:hAnsi="Arial"/>
          <w:sz w:val="22"/>
        </w:rPr>
      </w:pPr>
    </w:p>
    <w:p w14:paraId="15C39221" w14:textId="77777777" w:rsidR="00152A78" w:rsidRDefault="00152A78" w:rsidP="00152A78">
      <w:pPr>
        <w:jc w:val="both"/>
        <w:rPr>
          <w:rFonts w:ascii="Arial" w:hAnsi="Arial"/>
          <w:sz w:val="22"/>
        </w:rPr>
      </w:pPr>
      <w:r>
        <w:rPr>
          <w:rFonts w:ascii="Arial" w:hAnsi="Arial"/>
          <w:sz w:val="22"/>
        </w:rPr>
        <w:tab/>
      </w:r>
      <w:r>
        <w:rPr>
          <w:rFonts w:ascii="Arial" w:hAnsi="Arial"/>
          <w:sz w:val="22"/>
        </w:rPr>
        <w:tab/>
      </w:r>
      <w:r>
        <w:rPr>
          <w:rFonts w:ascii="Arial" w:hAnsi="Arial"/>
          <w:sz w:val="22"/>
        </w:rPr>
        <w:tab/>
      </w:r>
      <w:r>
        <w:rPr>
          <w:rFonts w:ascii="Arial" w:hAnsi="Arial"/>
          <w:sz w:val="22"/>
        </w:rPr>
        <w:tab/>
        <w:t>M</w:t>
      </w:r>
      <w:r>
        <w:rPr>
          <w:rFonts w:ascii="Arial" w:hAnsi="Arial"/>
          <w:sz w:val="22"/>
          <w:vertAlign w:val="subscript"/>
        </w:rPr>
        <w:t xml:space="preserve">r </w:t>
      </w:r>
      <w:r>
        <w:rPr>
          <w:rFonts w:ascii="Arial" w:hAnsi="Arial"/>
          <w:sz w:val="22"/>
        </w:rPr>
        <w:t>= 1500 * CBR</w:t>
      </w:r>
    </w:p>
    <w:p w14:paraId="0AC9C5A5" w14:textId="77777777" w:rsidR="00152A78" w:rsidRDefault="00152A78" w:rsidP="00152A78">
      <w:pPr>
        <w:jc w:val="both"/>
        <w:rPr>
          <w:rFonts w:ascii="Arial" w:hAnsi="Arial"/>
          <w:sz w:val="22"/>
        </w:rPr>
      </w:pPr>
    </w:p>
    <w:p w14:paraId="79B0139E" w14:textId="77777777" w:rsidR="00152A78" w:rsidRDefault="00152A78" w:rsidP="00152A78">
      <w:pPr>
        <w:jc w:val="both"/>
        <w:rPr>
          <w:rFonts w:ascii="Arial" w:hAnsi="Arial"/>
          <w:sz w:val="22"/>
        </w:rPr>
      </w:pPr>
      <w:r>
        <w:rPr>
          <w:rFonts w:ascii="Arial" w:hAnsi="Arial"/>
          <w:sz w:val="22"/>
        </w:rPr>
        <w:t>This equation has been questioned in terms of accuracy and properly identifying the relationship between M</w:t>
      </w:r>
      <w:r>
        <w:rPr>
          <w:rFonts w:ascii="Arial" w:hAnsi="Arial"/>
          <w:sz w:val="22"/>
          <w:vertAlign w:val="subscript"/>
        </w:rPr>
        <w:t>r</w:t>
      </w:r>
      <w:r>
        <w:rPr>
          <w:rFonts w:ascii="Arial" w:hAnsi="Arial"/>
          <w:sz w:val="22"/>
        </w:rPr>
        <w:t xml:space="preserve"> and CBR by the technical pavement industry.  The highest level of confidence for this equation is for low CBR values, typically under a CBR value of 10.</w:t>
      </w:r>
    </w:p>
    <w:p w14:paraId="72ED9BF1" w14:textId="77777777" w:rsidR="00152A78" w:rsidRDefault="00152A78" w:rsidP="00152A78">
      <w:pPr>
        <w:jc w:val="both"/>
        <w:rPr>
          <w:rFonts w:ascii="Arial" w:hAnsi="Arial"/>
          <w:sz w:val="22"/>
        </w:rPr>
      </w:pPr>
      <w:r>
        <w:rPr>
          <w:rFonts w:ascii="Arial" w:hAnsi="Arial"/>
          <w:sz w:val="22"/>
        </w:rPr>
        <w:t xml:space="preserve">   </w:t>
      </w:r>
    </w:p>
    <w:p w14:paraId="20845D05" w14:textId="38102936" w:rsidR="00152A78" w:rsidRDefault="00152A78" w:rsidP="00152A78">
      <w:pPr>
        <w:jc w:val="both"/>
      </w:pPr>
      <w:r>
        <w:rPr>
          <w:rFonts w:ascii="Arial" w:hAnsi="Arial"/>
          <w:sz w:val="22"/>
        </w:rPr>
        <w:t xml:space="preserve">The subgrade resilient modulus used for new or rehabilitation design shall be the average modulus for a particular section, not the lowest.  If distinct smaller sections can be identified with different subgrade resilient moduli within a longer section, then the sections shall be broken out as separate sections and pavement rehabilitation designs shall be done for each section.  It is the policy of </w:t>
      </w:r>
      <w:r w:rsidR="008C7023">
        <w:rPr>
          <w:rFonts w:ascii="Arial" w:hAnsi="Arial"/>
          <w:sz w:val="22"/>
        </w:rPr>
        <w:t>MDOT-SHA</w:t>
      </w:r>
      <w:r>
        <w:rPr>
          <w:rFonts w:ascii="Arial" w:hAnsi="Arial"/>
          <w:sz w:val="22"/>
        </w:rPr>
        <w:t xml:space="preserve"> Pavement and Geotechnical Division to have a maximum design subgrade modulus.  </w:t>
      </w:r>
      <w:r w:rsidRPr="00AF637B">
        <w:rPr>
          <w:rFonts w:ascii="Arial" w:hAnsi="Arial"/>
          <w:b/>
          <w:sz w:val="22"/>
        </w:rPr>
        <w:t>The maximum design M</w:t>
      </w:r>
      <w:r w:rsidRPr="00AF637B">
        <w:rPr>
          <w:rFonts w:ascii="Arial" w:hAnsi="Arial"/>
          <w:b/>
          <w:sz w:val="22"/>
          <w:vertAlign w:val="subscript"/>
        </w:rPr>
        <w:t>r</w:t>
      </w:r>
      <w:r w:rsidRPr="00AF637B">
        <w:rPr>
          <w:rFonts w:ascii="Arial" w:hAnsi="Arial"/>
          <w:b/>
          <w:sz w:val="22"/>
        </w:rPr>
        <w:t xml:space="preserve"> is 10,500 psi </w:t>
      </w:r>
      <w:r>
        <w:rPr>
          <w:rFonts w:ascii="Arial" w:hAnsi="Arial"/>
          <w:sz w:val="22"/>
        </w:rPr>
        <w:t xml:space="preserve">or a </w:t>
      </w:r>
      <w:smartTag w:uri="urn:schemas-microsoft-com:office:smarttags" w:element="stockticker">
        <w:r>
          <w:rPr>
            <w:rFonts w:ascii="Arial" w:hAnsi="Arial"/>
            <w:sz w:val="22"/>
          </w:rPr>
          <w:t>CBR</w:t>
        </w:r>
      </w:smartTag>
      <w:r>
        <w:rPr>
          <w:rFonts w:ascii="Arial" w:hAnsi="Arial"/>
          <w:sz w:val="22"/>
        </w:rPr>
        <w:t xml:space="preserve"> of approximately 7.  Occasionally, higher subgrade moduli values are found throughout the state, but because of the moist climatic seasons and the natural soils of Maryland, it has been decided to cap the maximum design subgrade modulus.  </w:t>
      </w:r>
    </w:p>
    <w:p w14:paraId="10F15506" w14:textId="77777777" w:rsidR="00152A78" w:rsidRDefault="00152A78" w:rsidP="00152A78">
      <w:pPr>
        <w:jc w:val="both"/>
        <w:rPr>
          <w:rFonts w:ascii="Arial" w:hAnsi="Arial"/>
          <w:sz w:val="22"/>
        </w:rPr>
      </w:pPr>
    </w:p>
    <w:p w14:paraId="1557703E" w14:textId="77777777" w:rsidR="00152A78" w:rsidRDefault="00152A78" w:rsidP="00152A78">
      <w:pPr>
        <w:jc w:val="both"/>
        <w:rPr>
          <w:rFonts w:ascii="Arial" w:hAnsi="Arial"/>
          <w:sz w:val="22"/>
        </w:rPr>
      </w:pPr>
      <w:r>
        <w:rPr>
          <w:rFonts w:ascii="Arial" w:hAnsi="Arial"/>
          <w:sz w:val="22"/>
        </w:rPr>
        <w:t xml:space="preserve">The subgrade strength is an extremely influential parameter in the AASHTO pavement design process and every effort shall be completed to obtain an accurate and specific value for each section.  </w:t>
      </w:r>
    </w:p>
    <w:p w14:paraId="5679C2AE" w14:textId="77777777" w:rsidR="00152A78" w:rsidRDefault="00152A78" w:rsidP="00152A78">
      <w:pPr>
        <w:jc w:val="both"/>
        <w:rPr>
          <w:rFonts w:ascii="Arial" w:hAnsi="Arial"/>
          <w:sz w:val="22"/>
        </w:rPr>
      </w:pPr>
    </w:p>
    <w:p w14:paraId="182E63FB" w14:textId="77777777" w:rsidR="00152A78" w:rsidRDefault="00152A78" w:rsidP="0049684B">
      <w:pPr>
        <w:pStyle w:val="Heading4"/>
      </w:pPr>
      <w:bookmarkStart w:id="160" w:name="_Modulus_of_Subgrade"/>
      <w:bookmarkEnd w:id="160"/>
      <w:r>
        <w:t xml:space="preserve">Modulus of Subgrade Reaction (k) </w:t>
      </w:r>
    </w:p>
    <w:p w14:paraId="46BE54B2" w14:textId="5FF8254A" w:rsidR="00152A78" w:rsidRPr="00CD36AA" w:rsidRDefault="00152A78" w:rsidP="00152A78">
      <w:pPr>
        <w:rPr>
          <w:rFonts w:ascii="Arial" w:eastAsia="Arial" w:hAnsi="Arial" w:cs="Arial"/>
          <w:sz w:val="16"/>
        </w:rPr>
      </w:pPr>
      <w:r w:rsidRPr="00CD36AA">
        <w:rPr>
          <w:rFonts w:ascii="Arial" w:eastAsia="Arial" w:hAnsi="Arial" w:cs="Arial"/>
          <w:sz w:val="16"/>
        </w:rPr>
        <w:t xml:space="preserve">Click to go to </w:t>
      </w:r>
      <w:hyperlink w:anchor="_Foundation_Support" w:history="1">
        <w:r w:rsidRPr="00CD36AA">
          <w:rPr>
            <w:rStyle w:val="Hyperlink"/>
            <w:rFonts w:ascii="Arial" w:eastAsia="Arial" w:hAnsi="Arial" w:cs="Arial"/>
            <w:sz w:val="16"/>
          </w:rPr>
          <w:t>Foundation Support</w:t>
        </w:r>
      </w:hyperlink>
      <w:r>
        <w:rPr>
          <w:rFonts w:ascii="Arial" w:eastAsia="Arial" w:hAnsi="Arial" w:cs="Arial"/>
          <w:sz w:val="16"/>
        </w:rPr>
        <w:t xml:space="preserve"> </w:t>
      </w:r>
      <w:r w:rsidRPr="00CD36AA">
        <w:rPr>
          <w:rFonts w:ascii="Arial" w:eastAsia="Arial" w:hAnsi="Arial" w:cs="Arial"/>
          <w:sz w:val="16"/>
        </w:rPr>
        <w:t xml:space="preserve">in the </w:t>
      </w:r>
      <w:r w:rsidRPr="00CD36AA">
        <w:rPr>
          <w:rFonts w:ascii="Arial" w:eastAsia="Arial" w:hAnsi="Arial" w:cs="Arial"/>
          <w:i/>
          <w:sz w:val="16"/>
        </w:rPr>
        <w:t>AC overlay over JCP</w:t>
      </w:r>
      <w:r w:rsidRPr="00CD36AA">
        <w:rPr>
          <w:rFonts w:ascii="Arial" w:eastAsia="Arial" w:hAnsi="Arial" w:cs="Arial"/>
          <w:sz w:val="16"/>
        </w:rPr>
        <w:t xml:space="preserve"> section</w:t>
      </w:r>
    </w:p>
    <w:p w14:paraId="0EC41991" w14:textId="77777777" w:rsidR="00152A78" w:rsidRDefault="00152A78" w:rsidP="00152A78">
      <w:pPr>
        <w:jc w:val="both"/>
        <w:rPr>
          <w:rFonts w:ascii="Arial" w:hAnsi="Arial"/>
          <w:sz w:val="22"/>
        </w:rPr>
      </w:pPr>
    </w:p>
    <w:p w14:paraId="14158E8B" w14:textId="29EE38E1" w:rsidR="00152A78" w:rsidRDefault="00152A78" w:rsidP="00152A78">
      <w:pPr>
        <w:jc w:val="both"/>
        <w:rPr>
          <w:rFonts w:ascii="Arial" w:hAnsi="Arial"/>
          <w:sz w:val="22"/>
        </w:rPr>
      </w:pPr>
      <w:r>
        <w:rPr>
          <w:rFonts w:ascii="Arial" w:hAnsi="Arial"/>
          <w:sz w:val="22"/>
        </w:rPr>
        <w:t>PAGD records and designs rigid and composite pavements based on the subgrade strength reported in terms of modulus of subgrade reaction (k).  In the same manner as flexible pavements, several other tests can be used to assess the strength of the subgrade; i.e.</w:t>
      </w:r>
      <w:r w:rsidR="00D440C3">
        <w:rPr>
          <w:rFonts w:ascii="Arial" w:hAnsi="Arial"/>
          <w:sz w:val="22"/>
        </w:rPr>
        <w:t>,</w:t>
      </w:r>
      <w:r>
        <w:rPr>
          <w:rFonts w:ascii="Arial" w:hAnsi="Arial"/>
          <w:sz w:val="22"/>
        </w:rPr>
        <w:t xml:space="preserve"> </w:t>
      </w:r>
      <w:smartTag w:uri="urn:schemas-microsoft-com:office:smarttags" w:element="stockticker">
        <w:r>
          <w:rPr>
            <w:rFonts w:ascii="Arial" w:hAnsi="Arial"/>
            <w:sz w:val="22"/>
          </w:rPr>
          <w:t>CBR</w:t>
        </w:r>
      </w:smartTag>
      <w:r>
        <w:rPr>
          <w:rFonts w:ascii="Arial" w:hAnsi="Arial"/>
          <w:sz w:val="22"/>
        </w:rPr>
        <w:t>.  However, all analysis, designs, and reports will be done in terms of resilient modulus for the soil subgrade of flexible pavements and in terms of modulus of subgrade reaction for rigid and composite pavements.</w:t>
      </w:r>
    </w:p>
    <w:p w14:paraId="1A0A2D2F" w14:textId="77777777" w:rsidR="00152A78" w:rsidRDefault="00152A78" w:rsidP="00152A78">
      <w:pPr>
        <w:jc w:val="both"/>
        <w:rPr>
          <w:rFonts w:ascii="Arial" w:hAnsi="Arial"/>
          <w:sz w:val="22"/>
        </w:rPr>
      </w:pPr>
    </w:p>
    <w:p w14:paraId="137430E1" w14:textId="3308D772" w:rsidR="00152A78" w:rsidRDefault="00152A78" w:rsidP="00152A78">
      <w:pPr>
        <w:jc w:val="both"/>
        <w:rPr>
          <w:rFonts w:ascii="Arial" w:hAnsi="Arial"/>
          <w:sz w:val="22"/>
        </w:rPr>
      </w:pPr>
      <w:r>
        <w:rPr>
          <w:rFonts w:ascii="Arial" w:hAnsi="Arial"/>
          <w:sz w:val="22"/>
        </w:rPr>
        <w:lastRenderedPageBreak/>
        <w:t>In the case of flexible pavements, the resilient modulus is simply a material property of the soil subgrade.  In the case of rigid and composite pavements, the modulus of subgrade reaction is a material property of the subgrade and aggregate base material as a whole.  The aggregate base layer in AASHTO pavement design procedures does not contribute to the structural capacity of the pavement structure; it provides additional support to the subgrade.  Therefore, for subsequent rehabilitation strategies involving a</w:t>
      </w:r>
      <w:r w:rsidR="00D440C3">
        <w:rPr>
          <w:rFonts w:ascii="Arial" w:hAnsi="Arial"/>
          <w:sz w:val="22"/>
        </w:rPr>
        <w:t>n</w:t>
      </w:r>
      <w:r>
        <w:rPr>
          <w:rFonts w:ascii="Arial" w:hAnsi="Arial"/>
          <w:sz w:val="22"/>
        </w:rPr>
        <w:t xml:space="preserve"> HMA overlay of a rigid pavement, or additional HMA overlays of a composite pavement, the aggregate base layer and subgrade are viewed and analyzed </w:t>
      </w:r>
      <w:r w:rsidR="00D440C3">
        <w:rPr>
          <w:rFonts w:ascii="Arial" w:hAnsi="Arial"/>
          <w:sz w:val="22"/>
        </w:rPr>
        <w:t xml:space="preserve">as </w:t>
      </w:r>
      <w:r>
        <w:rPr>
          <w:rFonts w:ascii="Arial" w:hAnsi="Arial"/>
          <w:sz w:val="22"/>
        </w:rPr>
        <w:t xml:space="preserve">a single material property, referred to </w:t>
      </w:r>
      <w:r w:rsidR="00D440C3">
        <w:rPr>
          <w:rFonts w:ascii="Arial" w:hAnsi="Arial"/>
          <w:sz w:val="22"/>
        </w:rPr>
        <w:t xml:space="preserve">as </w:t>
      </w:r>
      <w:r>
        <w:rPr>
          <w:rFonts w:ascii="Arial" w:hAnsi="Arial"/>
          <w:sz w:val="22"/>
        </w:rPr>
        <w:t xml:space="preserve">a modulus of subgrade reaction.  Unlike the resilient modulus of the subgrade in flexible pavements, the effect of </w:t>
      </w:r>
      <w:r w:rsidR="00D440C3">
        <w:rPr>
          <w:rFonts w:ascii="Arial" w:hAnsi="Arial"/>
          <w:sz w:val="22"/>
        </w:rPr>
        <w:t xml:space="preserve">the </w:t>
      </w:r>
      <w:r>
        <w:rPr>
          <w:rFonts w:ascii="Arial" w:hAnsi="Arial"/>
          <w:sz w:val="22"/>
        </w:rPr>
        <w:t xml:space="preserve">k value is minimal in terms of structural improvements required for rigid and composite pavements. </w:t>
      </w:r>
    </w:p>
    <w:p w14:paraId="6B83E22E" w14:textId="77777777" w:rsidR="00152A78" w:rsidRDefault="00152A78" w:rsidP="00152A78">
      <w:pPr>
        <w:jc w:val="both"/>
        <w:rPr>
          <w:rFonts w:ascii="Arial" w:hAnsi="Arial"/>
          <w:sz w:val="22"/>
        </w:rPr>
      </w:pPr>
    </w:p>
    <w:p w14:paraId="3D88F2A0" w14:textId="77777777" w:rsidR="00152A78" w:rsidRDefault="00152A78" w:rsidP="00152A78">
      <w:pPr>
        <w:jc w:val="both"/>
        <w:rPr>
          <w:rFonts w:ascii="Arial" w:hAnsi="Arial"/>
          <w:sz w:val="22"/>
        </w:rPr>
      </w:pPr>
      <w:r>
        <w:rPr>
          <w:rFonts w:ascii="Arial" w:hAnsi="Arial"/>
          <w:sz w:val="22"/>
        </w:rPr>
        <w:t>A relationship has been developed between resilient modulus of the subgrade and the modulus of subgrade reaction of the subgrade/aggregate base combination.  That relationship is represented in the following equation:</w:t>
      </w:r>
    </w:p>
    <w:p w14:paraId="49D0BDF7" w14:textId="77777777" w:rsidR="00152A78" w:rsidRDefault="00152A78" w:rsidP="00152A78">
      <w:pPr>
        <w:jc w:val="both"/>
        <w:rPr>
          <w:rFonts w:ascii="Arial" w:hAnsi="Arial"/>
          <w:sz w:val="22"/>
        </w:rPr>
      </w:pPr>
    </w:p>
    <w:p w14:paraId="68147E66" w14:textId="77777777" w:rsidR="00152A78" w:rsidRDefault="00152A78" w:rsidP="00152A78">
      <w:pPr>
        <w:jc w:val="both"/>
        <w:rPr>
          <w:rFonts w:ascii="Arial" w:hAnsi="Arial"/>
          <w:sz w:val="22"/>
        </w:rPr>
      </w:pPr>
      <w:r>
        <w:rPr>
          <w:rFonts w:ascii="Arial" w:hAnsi="Arial"/>
          <w:sz w:val="22"/>
        </w:rPr>
        <w:tab/>
      </w:r>
      <w:r>
        <w:rPr>
          <w:rFonts w:ascii="Arial" w:hAnsi="Arial"/>
          <w:sz w:val="22"/>
        </w:rPr>
        <w:tab/>
      </w:r>
      <w:r>
        <w:rPr>
          <w:rFonts w:ascii="Arial" w:hAnsi="Arial"/>
          <w:sz w:val="22"/>
        </w:rPr>
        <w:tab/>
        <w:t xml:space="preserve">                   k = M</w:t>
      </w:r>
      <w:r>
        <w:rPr>
          <w:rFonts w:ascii="Arial" w:hAnsi="Arial"/>
          <w:sz w:val="22"/>
          <w:vertAlign w:val="subscript"/>
        </w:rPr>
        <w:t>r</w:t>
      </w:r>
      <w:r>
        <w:rPr>
          <w:rFonts w:ascii="Arial" w:hAnsi="Arial"/>
          <w:sz w:val="22"/>
        </w:rPr>
        <w:t xml:space="preserve"> / 19.4 </w:t>
      </w:r>
    </w:p>
    <w:p w14:paraId="75420ECE" w14:textId="77777777" w:rsidR="00152A78" w:rsidRDefault="00152A78" w:rsidP="00152A78">
      <w:pPr>
        <w:jc w:val="both"/>
        <w:rPr>
          <w:rFonts w:ascii="Arial" w:hAnsi="Arial"/>
          <w:sz w:val="22"/>
        </w:rPr>
      </w:pPr>
    </w:p>
    <w:p w14:paraId="023EE96E" w14:textId="1678238F" w:rsidR="00152A78" w:rsidRDefault="00152A78" w:rsidP="00152A78">
      <w:pPr>
        <w:pStyle w:val="BodyText"/>
        <w:spacing w:after="0"/>
        <w:jc w:val="both"/>
      </w:pPr>
      <w:r>
        <w:t xml:space="preserve">Occasionally, the pavement structure deflection behavior of the pavement structure does not provide a reasonable k value from the FWD analysis.  A typical range </w:t>
      </w:r>
      <w:r w:rsidR="00D440C3">
        <w:t>of</w:t>
      </w:r>
      <w:r>
        <w:t xml:space="preserve"> k values for </w:t>
      </w:r>
      <w:r w:rsidR="008C7023">
        <w:t>MDOT-SHA</w:t>
      </w:r>
      <w:r>
        <w:t xml:space="preserve"> pavement materials is from 100 </w:t>
      </w:r>
      <w:r w:rsidR="00F17FD8">
        <w:t>p</w:t>
      </w:r>
      <w:r w:rsidR="00770C37">
        <w:t>ounds per cubic inch (</w:t>
      </w:r>
      <w:r>
        <w:t>pci</w:t>
      </w:r>
      <w:r w:rsidR="00770C37">
        <w:t>)</w:t>
      </w:r>
      <w:r>
        <w:t xml:space="preserve"> to a maximum of 600 pci.  Modulus of subgrade reaction greater than 700 should be closely evaluated to assure that any error in testing or analysis has not occurred.  Refer to </w:t>
      </w:r>
      <w:hyperlink w:anchor="_Unbound_Materials_Properties" w:history="1">
        <w:r w:rsidRPr="00A430DE">
          <w:rPr>
            <w:rStyle w:val="Hyperlink"/>
          </w:rPr>
          <w:t>Unbound Materials Properties</w:t>
        </w:r>
      </w:hyperlink>
      <w:r>
        <w:t>.</w:t>
      </w:r>
    </w:p>
    <w:p w14:paraId="428DC65A" w14:textId="77777777" w:rsidR="00152A78" w:rsidRDefault="00152A78" w:rsidP="00152A78">
      <w:pPr>
        <w:jc w:val="both"/>
        <w:rPr>
          <w:rFonts w:ascii="Arial" w:hAnsi="Arial"/>
          <w:sz w:val="22"/>
        </w:rPr>
      </w:pPr>
    </w:p>
    <w:p w14:paraId="53FF36AD" w14:textId="77777777" w:rsidR="00067D41" w:rsidRDefault="00067D41" w:rsidP="00152A78">
      <w:pPr>
        <w:jc w:val="both"/>
        <w:rPr>
          <w:rFonts w:ascii="Arial" w:hAnsi="Arial"/>
          <w:sz w:val="22"/>
        </w:rPr>
      </w:pPr>
    </w:p>
    <w:p w14:paraId="00E15C60" w14:textId="77777777" w:rsidR="00067D41" w:rsidRDefault="00067D41" w:rsidP="00152A78">
      <w:pPr>
        <w:jc w:val="both"/>
        <w:rPr>
          <w:rFonts w:ascii="Arial" w:hAnsi="Arial"/>
          <w:sz w:val="22"/>
        </w:rPr>
      </w:pPr>
    </w:p>
    <w:p w14:paraId="60A173F6" w14:textId="77777777" w:rsidR="00067D41" w:rsidRDefault="00067D41" w:rsidP="00152A78">
      <w:pPr>
        <w:jc w:val="both"/>
        <w:rPr>
          <w:rFonts w:ascii="Arial" w:hAnsi="Arial"/>
          <w:sz w:val="22"/>
        </w:rPr>
      </w:pPr>
    </w:p>
    <w:p w14:paraId="2CEAA133" w14:textId="77777777" w:rsidR="00067D41" w:rsidRDefault="00067D41" w:rsidP="00152A78">
      <w:pPr>
        <w:jc w:val="both"/>
        <w:rPr>
          <w:rFonts w:ascii="Arial" w:hAnsi="Arial"/>
          <w:sz w:val="22"/>
        </w:rPr>
      </w:pPr>
    </w:p>
    <w:p w14:paraId="4036F7FF" w14:textId="77777777" w:rsidR="00067D41" w:rsidRDefault="00067D41" w:rsidP="00152A78">
      <w:pPr>
        <w:jc w:val="both"/>
        <w:rPr>
          <w:rFonts w:ascii="Arial" w:hAnsi="Arial"/>
          <w:sz w:val="22"/>
        </w:rPr>
      </w:pPr>
    </w:p>
    <w:p w14:paraId="17D4BCA5" w14:textId="77777777" w:rsidR="007C12D4" w:rsidRDefault="007C12D4" w:rsidP="0049684B">
      <w:pPr>
        <w:pStyle w:val="Heading2"/>
        <w:ind w:hanging="1026"/>
        <w:sectPr w:rsidR="007C12D4" w:rsidSect="00CB714B">
          <w:headerReference w:type="default" r:id="rId115"/>
          <w:footerReference w:type="default" r:id="rId116"/>
          <w:pgSz w:w="12240" w:h="15840"/>
          <w:pgMar w:top="1440" w:right="1800" w:bottom="1440" w:left="1800" w:header="720" w:footer="720" w:gutter="0"/>
          <w:pgNumType w:chapStyle="1"/>
          <w:cols w:space="720"/>
        </w:sectPr>
      </w:pPr>
      <w:bookmarkStart w:id="161" w:name="_Material_Properties_–_1"/>
      <w:bookmarkEnd w:id="161"/>
    </w:p>
    <w:p w14:paraId="5755B299" w14:textId="64AC6CD4" w:rsidR="00152A78" w:rsidRDefault="00152A78" w:rsidP="0049684B">
      <w:pPr>
        <w:pStyle w:val="Heading2"/>
        <w:ind w:hanging="1026"/>
      </w:pPr>
      <w:bookmarkStart w:id="162" w:name="_Material_Properties_–_4"/>
      <w:bookmarkStart w:id="163" w:name="_Toc479160091"/>
      <w:bookmarkStart w:id="164" w:name="_Toc514057980"/>
      <w:bookmarkStart w:id="165" w:name="_Toc194932376"/>
      <w:bookmarkEnd w:id="162"/>
      <w:r>
        <w:lastRenderedPageBreak/>
        <w:t>Material Properties – Asphalt</w:t>
      </w:r>
      <w:bookmarkEnd w:id="163"/>
      <w:bookmarkEnd w:id="164"/>
      <w:bookmarkEnd w:id="165"/>
      <w:r>
        <w:t xml:space="preserve">  </w:t>
      </w:r>
    </w:p>
    <w:p w14:paraId="0DB17B51" w14:textId="77777777"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asonable_Layer_Modulus" w:history="1">
        <w:r w:rsidRPr="001F32D3">
          <w:rPr>
            <w:rStyle w:val="Hyperlink"/>
            <w:rFonts w:ascii="Arial" w:hAnsi="Arial" w:cs="Arial"/>
            <w:bCs/>
            <w:sz w:val="16"/>
            <w:szCs w:val="16"/>
          </w:rPr>
          <w:t>Reasonable Layer Modulus Range</w:t>
        </w:r>
      </w:hyperlink>
    </w:p>
    <w:p w14:paraId="6CD47CD5" w14:textId="67221C89" w:rsidR="00152A78" w:rsidRDefault="00152A78" w:rsidP="004800CD">
      <w:pPr>
        <w:pStyle w:val="Heading3"/>
        <w:tabs>
          <w:tab w:val="left" w:pos="1080"/>
        </w:tabs>
        <w:ind w:left="1440" w:hanging="1440"/>
      </w:pPr>
      <w:bookmarkStart w:id="166" w:name="_Recommended_Material_Property"/>
      <w:bookmarkEnd w:id="166"/>
      <w:r>
        <w:t xml:space="preserve">Recommended Material Property Inputs for </w:t>
      </w:r>
      <w:r w:rsidR="00D440C3">
        <w:t>N</w:t>
      </w:r>
      <w:r>
        <w:t>ew HMA Layers</w:t>
      </w:r>
    </w:p>
    <w:tbl>
      <w:tblPr>
        <w:tblStyle w:val="TableGrid"/>
        <w:tblW w:w="0" w:type="auto"/>
        <w:tblLook w:val="04A0" w:firstRow="1" w:lastRow="0" w:firstColumn="1" w:lastColumn="0" w:noHBand="0" w:noVBand="1"/>
      </w:tblPr>
      <w:tblGrid>
        <w:gridCol w:w="1705"/>
        <w:gridCol w:w="2700"/>
        <w:gridCol w:w="900"/>
        <w:gridCol w:w="3325"/>
      </w:tblGrid>
      <w:tr w:rsidR="003D2760" w:rsidRPr="00E676D9" w14:paraId="20562F88" w14:textId="77777777" w:rsidTr="003D2760">
        <w:tc>
          <w:tcPr>
            <w:tcW w:w="1705" w:type="dxa"/>
            <w:shd w:val="pct15" w:color="auto" w:fill="auto"/>
            <w:vAlign w:val="center"/>
          </w:tcPr>
          <w:p w14:paraId="1DB9C3F7" w14:textId="62DBA6D5" w:rsidR="003D2760" w:rsidRPr="00E676D9" w:rsidRDefault="003D2760" w:rsidP="003D2760">
            <w:pPr>
              <w:rPr>
                <w:rFonts w:ascii="Arial" w:hAnsi="Arial"/>
                <w:b/>
                <w:sz w:val="22"/>
              </w:rPr>
            </w:pPr>
            <w:r>
              <w:rPr>
                <w:rFonts w:ascii="Arial" w:hAnsi="Arial"/>
                <w:b/>
                <w:sz w:val="22"/>
              </w:rPr>
              <w:t>Asphalt Type</w:t>
            </w:r>
          </w:p>
        </w:tc>
        <w:tc>
          <w:tcPr>
            <w:tcW w:w="2700" w:type="dxa"/>
            <w:shd w:val="pct15" w:color="auto" w:fill="auto"/>
            <w:vAlign w:val="center"/>
          </w:tcPr>
          <w:p w14:paraId="2EC5F03D" w14:textId="0A47D7CB" w:rsidR="003D2760" w:rsidRPr="00E676D9" w:rsidRDefault="003D2760" w:rsidP="001635F4">
            <w:pPr>
              <w:jc w:val="center"/>
              <w:rPr>
                <w:rFonts w:ascii="Arial" w:hAnsi="Arial"/>
                <w:b/>
                <w:sz w:val="22"/>
              </w:rPr>
            </w:pPr>
            <w:r w:rsidRPr="00E676D9">
              <w:rPr>
                <w:rFonts w:ascii="Arial" w:hAnsi="Arial"/>
                <w:b/>
                <w:sz w:val="22"/>
              </w:rPr>
              <w:t>Property</w:t>
            </w:r>
          </w:p>
        </w:tc>
        <w:tc>
          <w:tcPr>
            <w:tcW w:w="900" w:type="dxa"/>
            <w:shd w:val="pct15" w:color="auto" w:fill="auto"/>
            <w:vAlign w:val="center"/>
          </w:tcPr>
          <w:p w14:paraId="7A9E2D8C" w14:textId="77777777" w:rsidR="003D2760" w:rsidRPr="00E676D9" w:rsidRDefault="003D2760" w:rsidP="001635F4">
            <w:pPr>
              <w:jc w:val="center"/>
              <w:rPr>
                <w:rFonts w:ascii="Arial" w:hAnsi="Arial"/>
                <w:b/>
                <w:sz w:val="22"/>
              </w:rPr>
            </w:pPr>
            <w:r w:rsidRPr="00E676D9">
              <w:rPr>
                <w:rFonts w:ascii="Arial" w:hAnsi="Arial"/>
                <w:b/>
                <w:sz w:val="22"/>
              </w:rPr>
              <w:t>Input Level</w:t>
            </w:r>
          </w:p>
        </w:tc>
        <w:tc>
          <w:tcPr>
            <w:tcW w:w="3325" w:type="dxa"/>
            <w:shd w:val="pct15" w:color="auto" w:fill="auto"/>
            <w:vAlign w:val="center"/>
          </w:tcPr>
          <w:p w14:paraId="21464873" w14:textId="77777777" w:rsidR="003D2760" w:rsidRPr="00E676D9" w:rsidRDefault="003D2760" w:rsidP="001635F4">
            <w:pPr>
              <w:jc w:val="center"/>
              <w:rPr>
                <w:rFonts w:ascii="Arial" w:hAnsi="Arial"/>
                <w:b/>
                <w:sz w:val="22"/>
              </w:rPr>
            </w:pPr>
            <w:r w:rsidRPr="00E676D9">
              <w:rPr>
                <w:rFonts w:ascii="Arial" w:hAnsi="Arial"/>
                <w:b/>
                <w:sz w:val="22"/>
              </w:rPr>
              <w:t>Value</w:t>
            </w:r>
          </w:p>
        </w:tc>
      </w:tr>
      <w:tr w:rsidR="00D015BC" w:rsidRPr="00E676D9" w14:paraId="76BDE5DD" w14:textId="77777777" w:rsidTr="003D2760">
        <w:tc>
          <w:tcPr>
            <w:tcW w:w="1705" w:type="dxa"/>
          </w:tcPr>
          <w:p w14:paraId="256A4063" w14:textId="1F9C1EFC" w:rsidR="00D015BC" w:rsidRPr="00E676D9" w:rsidRDefault="00D015BC" w:rsidP="00152A78">
            <w:pPr>
              <w:rPr>
                <w:rFonts w:ascii="Arial" w:hAnsi="Arial"/>
                <w:sz w:val="22"/>
                <w:szCs w:val="22"/>
              </w:rPr>
            </w:pPr>
            <w:r w:rsidRPr="00E676D9">
              <w:rPr>
                <w:rFonts w:ascii="Arial" w:hAnsi="Arial"/>
                <w:sz w:val="22"/>
                <w:szCs w:val="22"/>
              </w:rPr>
              <w:t>Mix</w:t>
            </w:r>
          </w:p>
        </w:tc>
        <w:tc>
          <w:tcPr>
            <w:tcW w:w="2700" w:type="dxa"/>
          </w:tcPr>
          <w:p w14:paraId="7834D07B" w14:textId="77777777" w:rsidR="00D015BC" w:rsidRPr="00E676D9" w:rsidRDefault="00D015BC" w:rsidP="00152A78">
            <w:pPr>
              <w:rPr>
                <w:rFonts w:ascii="Arial" w:hAnsi="Arial"/>
                <w:sz w:val="22"/>
                <w:szCs w:val="22"/>
              </w:rPr>
            </w:pPr>
            <w:r w:rsidRPr="00E676D9">
              <w:rPr>
                <w:rFonts w:ascii="Arial" w:hAnsi="Arial"/>
                <w:sz w:val="22"/>
                <w:szCs w:val="22"/>
              </w:rPr>
              <w:t>Dynamic Modulus</w:t>
            </w:r>
          </w:p>
        </w:tc>
        <w:tc>
          <w:tcPr>
            <w:tcW w:w="900" w:type="dxa"/>
          </w:tcPr>
          <w:p w14:paraId="1D2EF992" w14:textId="77777777" w:rsidR="00D015BC" w:rsidRPr="00E676D9" w:rsidRDefault="00D015BC" w:rsidP="001635F4">
            <w:pPr>
              <w:jc w:val="center"/>
              <w:rPr>
                <w:rFonts w:ascii="Arial" w:hAnsi="Arial"/>
                <w:sz w:val="22"/>
                <w:szCs w:val="22"/>
              </w:rPr>
            </w:pPr>
            <w:r w:rsidRPr="00E676D9">
              <w:rPr>
                <w:rFonts w:ascii="Arial" w:hAnsi="Arial"/>
                <w:sz w:val="22"/>
                <w:szCs w:val="22"/>
              </w:rPr>
              <w:t>1</w:t>
            </w:r>
          </w:p>
        </w:tc>
        <w:tc>
          <w:tcPr>
            <w:tcW w:w="3325" w:type="dxa"/>
          </w:tcPr>
          <w:p w14:paraId="2E290552" w14:textId="77777777" w:rsidR="00D015BC" w:rsidRPr="00E16F07" w:rsidRDefault="00D015BC" w:rsidP="00152A78">
            <w:pPr>
              <w:rPr>
                <w:rFonts w:ascii="Arial" w:hAnsi="Arial"/>
                <w:sz w:val="22"/>
                <w:szCs w:val="22"/>
              </w:rPr>
            </w:pPr>
            <w:r w:rsidRPr="00E16F07">
              <w:rPr>
                <w:rFonts w:ascii="Arial" w:hAnsi="Arial"/>
                <w:sz w:val="22"/>
                <w:szCs w:val="22"/>
              </w:rPr>
              <w:t>Future Input</w:t>
            </w:r>
          </w:p>
        </w:tc>
      </w:tr>
      <w:tr w:rsidR="00D015BC" w:rsidRPr="00E676D9" w14:paraId="2C2CE795" w14:textId="77777777" w:rsidTr="003D2760">
        <w:tc>
          <w:tcPr>
            <w:tcW w:w="1705" w:type="dxa"/>
          </w:tcPr>
          <w:p w14:paraId="6E284FA3" w14:textId="21E3874D" w:rsidR="00D015BC" w:rsidRPr="00E676D9" w:rsidRDefault="00D015BC" w:rsidP="00152A78">
            <w:pPr>
              <w:rPr>
                <w:rFonts w:ascii="Arial" w:hAnsi="Arial"/>
                <w:sz w:val="22"/>
                <w:szCs w:val="22"/>
              </w:rPr>
            </w:pPr>
            <w:r w:rsidRPr="00E676D9">
              <w:rPr>
                <w:rFonts w:ascii="Arial" w:hAnsi="Arial"/>
                <w:sz w:val="22"/>
                <w:szCs w:val="22"/>
              </w:rPr>
              <w:t>Mix</w:t>
            </w:r>
          </w:p>
        </w:tc>
        <w:tc>
          <w:tcPr>
            <w:tcW w:w="2700" w:type="dxa"/>
          </w:tcPr>
          <w:p w14:paraId="1B83FFE7" w14:textId="77777777" w:rsidR="00D015BC" w:rsidRPr="00E676D9" w:rsidRDefault="00D015BC" w:rsidP="00152A78">
            <w:pPr>
              <w:rPr>
                <w:rFonts w:ascii="Arial" w:hAnsi="Arial"/>
                <w:sz w:val="22"/>
                <w:szCs w:val="22"/>
              </w:rPr>
            </w:pPr>
            <w:r w:rsidRPr="00E676D9">
              <w:rPr>
                <w:rFonts w:ascii="Arial" w:hAnsi="Arial"/>
                <w:sz w:val="22"/>
                <w:szCs w:val="22"/>
              </w:rPr>
              <w:t>Aggregate Gradation and Volumetric Properties</w:t>
            </w:r>
          </w:p>
        </w:tc>
        <w:tc>
          <w:tcPr>
            <w:tcW w:w="900" w:type="dxa"/>
          </w:tcPr>
          <w:p w14:paraId="31FCF2BF" w14:textId="77777777" w:rsidR="00D015BC" w:rsidRPr="00E676D9" w:rsidRDefault="00D015BC" w:rsidP="001635F4">
            <w:pPr>
              <w:jc w:val="center"/>
              <w:rPr>
                <w:rFonts w:ascii="Arial" w:hAnsi="Arial"/>
                <w:sz w:val="22"/>
                <w:szCs w:val="22"/>
              </w:rPr>
            </w:pPr>
            <w:r w:rsidRPr="00E676D9">
              <w:rPr>
                <w:rFonts w:ascii="Arial" w:hAnsi="Arial"/>
                <w:sz w:val="22"/>
                <w:szCs w:val="22"/>
              </w:rPr>
              <w:t>2/3</w:t>
            </w:r>
          </w:p>
        </w:tc>
        <w:tc>
          <w:tcPr>
            <w:tcW w:w="3325" w:type="dxa"/>
          </w:tcPr>
          <w:p w14:paraId="4FF95B35" w14:textId="77777777" w:rsidR="00D015BC" w:rsidRPr="00E676D9" w:rsidRDefault="00D015BC" w:rsidP="00152A78">
            <w:pPr>
              <w:rPr>
                <w:rFonts w:ascii="Arial" w:hAnsi="Arial"/>
                <w:sz w:val="22"/>
                <w:szCs w:val="22"/>
              </w:rPr>
            </w:pPr>
            <w:r w:rsidRPr="00E676D9">
              <w:rPr>
                <w:rFonts w:ascii="Arial" w:hAnsi="Arial"/>
                <w:sz w:val="22"/>
                <w:szCs w:val="22"/>
              </w:rPr>
              <w:t xml:space="preserve">See </w:t>
            </w:r>
            <w:hyperlink w:anchor="_Aggregate_Gradation_and" w:history="1">
              <w:r w:rsidRPr="00E676D9">
                <w:rPr>
                  <w:rStyle w:val="Hyperlink"/>
                  <w:rFonts w:ascii="Arial" w:hAnsi="Arial"/>
                  <w:sz w:val="22"/>
                  <w:szCs w:val="22"/>
                </w:rPr>
                <w:t>Aggregate Gradation and Volumetric Properties</w:t>
              </w:r>
            </w:hyperlink>
          </w:p>
        </w:tc>
      </w:tr>
      <w:tr w:rsidR="00E820E3" w:rsidRPr="00E676D9" w14:paraId="6F428875" w14:textId="77777777" w:rsidTr="003D2760">
        <w:tc>
          <w:tcPr>
            <w:tcW w:w="1705" w:type="dxa"/>
          </w:tcPr>
          <w:p w14:paraId="51BD051C" w14:textId="435D68B6" w:rsidR="00E820E3" w:rsidRPr="00E676D9" w:rsidRDefault="00E820E3" w:rsidP="00152A78">
            <w:pPr>
              <w:rPr>
                <w:rFonts w:ascii="Arial" w:hAnsi="Arial"/>
                <w:sz w:val="22"/>
                <w:szCs w:val="22"/>
              </w:rPr>
            </w:pPr>
            <w:r>
              <w:rPr>
                <w:rFonts w:ascii="Arial" w:hAnsi="Arial"/>
                <w:sz w:val="22"/>
                <w:szCs w:val="22"/>
              </w:rPr>
              <w:t>Binder</w:t>
            </w:r>
          </w:p>
        </w:tc>
        <w:tc>
          <w:tcPr>
            <w:tcW w:w="2700" w:type="dxa"/>
          </w:tcPr>
          <w:p w14:paraId="5B79F609" w14:textId="77777777" w:rsidR="00E820E3" w:rsidRPr="00E676D9" w:rsidRDefault="00E820E3" w:rsidP="00152A78">
            <w:pPr>
              <w:rPr>
                <w:rFonts w:ascii="Arial" w:hAnsi="Arial"/>
                <w:sz w:val="22"/>
                <w:szCs w:val="22"/>
              </w:rPr>
            </w:pPr>
            <w:r>
              <w:rPr>
                <w:rFonts w:ascii="Arial" w:hAnsi="Arial"/>
                <w:sz w:val="22"/>
                <w:szCs w:val="22"/>
              </w:rPr>
              <w:t>Superpave Binder Dynamic Stiffness</w:t>
            </w:r>
          </w:p>
        </w:tc>
        <w:tc>
          <w:tcPr>
            <w:tcW w:w="900" w:type="dxa"/>
          </w:tcPr>
          <w:p w14:paraId="70E0A290" w14:textId="77777777" w:rsidR="00E820E3" w:rsidRPr="00E676D9" w:rsidRDefault="00E820E3" w:rsidP="001635F4">
            <w:pPr>
              <w:jc w:val="center"/>
              <w:rPr>
                <w:rFonts w:ascii="Arial" w:hAnsi="Arial"/>
                <w:sz w:val="22"/>
                <w:szCs w:val="22"/>
              </w:rPr>
            </w:pPr>
            <w:r>
              <w:rPr>
                <w:rFonts w:ascii="Arial" w:hAnsi="Arial"/>
                <w:sz w:val="22"/>
                <w:szCs w:val="22"/>
              </w:rPr>
              <w:t>1/2</w:t>
            </w:r>
          </w:p>
        </w:tc>
        <w:tc>
          <w:tcPr>
            <w:tcW w:w="3325" w:type="dxa"/>
          </w:tcPr>
          <w:p w14:paraId="74C972B5" w14:textId="77777777" w:rsidR="00E820E3" w:rsidRPr="00E16F07" w:rsidRDefault="00E820E3" w:rsidP="00152A78">
            <w:pPr>
              <w:rPr>
                <w:rFonts w:ascii="Arial" w:hAnsi="Arial"/>
                <w:sz w:val="22"/>
                <w:szCs w:val="22"/>
              </w:rPr>
            </w:pPr>
            <w:r w:rsidRPr="00E16F07">
              <w:rPr>
                <w:rFonts w:ascii="Arial" w:hAnsi="Arial"/>
                <w:sz w:val="22"/>
                <w:szCs w:val="22"/>
              </w:rPr>
              <w:t>Future Input</w:t>
            </w:r>
          </w:p>
        </w:tc>
      </w:tr>
      <w:tr w:rsidR="00E820E3" w:rsidRPr="00E676D9" w14:paraId="16BB8644" w14:textId="77777777" w:rsidTr="003D2760">
        <w:tc>
          <w:tcPr>
            <w:tcW w:w="1705" w:type="dxa"/>
          </w:tcPr>
          <w:p w14:paraId="6679D056" w14:textId="04404B20" w:rsidR="00E820E3" w:rsidRPr="00E676D9" w:rsidRDefault="00E820E3" w:rsidP="00152A78">
            <w:pPr>
              <w:rPr>
                <w:rFonts w:ascii="Arial" w:hAnsi="Arial"/>
                <w:sz w:val="22"/>
                <w:szCs w:val="22"/>
              </w:rPr>
            </w:pPr>
            <w:r>
              <w:rPr>
                <w:rFonts w:ascii="Arial" w:hAnsi="Arial"/>
                <w:sz w:val="22"/>
                <w:szCs w:val="22"/>
              </w:rPr>
              <w:t>Binder</w:t>
            </w:r>
          </w:p>
        </w:tc>
        <w:tc>
          <w:tcPr>
            <w:tcW w:w="2700" w:type="dxa"/>
          </w:tcPr>
          <w:p w14:paraId="6A3A595E" w14:textId="77777777" w:rsidR="00E820E3" w:rsidRPr="00E676D9" w:rsidRDefault="00E820E3" w:rsidP="00152A78">
            <w:pPr>
              <w:rPr>
                <w:rFonts w:ascii="Arial" w:hAnsi="Arial"/>
                <w:sz w:val="22"/>
                <w:szCs w:val="22"/>
              </w:rPr>
            </w:pPr>
            <w:r>
              <w:rPr>
                <w:rFonts w:ascii="Arial" w:hAnsi="Arial"/>
                <w:sz w:val="22"/>
                <w:szCs w:val="22"/>
              </w:rPr>
              <w:t>Superpave Binder Grade</w:t>
            </w:r>
          </w:p>
        </w:tc>
        <w:tc>
          <w:tcPr>
            <w:tcW w:w="900" w:type="dxa"/>
          </w:tcPr>
          <w:p w14:paraId="5B835B17" w14:textId="77777777" w:rsidR="00E820E3" w:rsidRPr="00E676D9" w:rsidRDefault="00E820E3" w:rsidP="001635F4">
            <w:pPr>
              <w:jc w:val="center"/>
              <w:rPr>
                <w:rFonts w:ascii="Arial" w:hAnsi="Arial"/>
                <w:sz w:val="22"/>
                <w:szCs w:val="22"/>
              </w:rPr>
            </w:pPr>
            <w:r>
              <w:rPr>
                <w:rFonts w:ascii="Arial" w:hAnsi="Arial"/>
                <w:sz w:val="22"/>
                <w:szCs w:val="22"/>
              </w:rPr>
              <w:t>3</w:t>
            </w:r>
          </w:p>
        </w:tc>
        <w:tc>
          <w:tcPr>
            <w:tcW w:w="3325" w:type="dxa"/>
          </w:tcPr>
          <w:p w14:paraId="594A696E" w14:textId="77777777" w:rsidR="00E820E3" w:rsidRPr="00E676D9" w:rsidRDefault="00E820E3" w:rsidP="00152A78">
            <w:pPr>
              <w:rPr>
                <w:rFonts w:ascii="Arial" w:hAnsi="Arial"/>
                <w:sz w:val="22"/>
                <w:szCs w:val="22"/>
              </w:rPr>
            </w:pPr>
            <w:r>
              <w:rPr>
                <w:rFonts w:ascii="Arial" w:hAnsi="Arial"/>
                <w:sz w:val="22"/>
                <w:szCs w:val="22"/>
              </w:rPr>
              <w:t xml:space="preserve">See </w:t>
            </w:r>
            <w:hyperlink w:anchor="_Performance_Grade_Binder" w:history="1">
              <w:r w:rsidRPr="00527730">
                <w:rPr>
                  <w:rStyle w:val="Hyperlink"/>
                  <w:rFonts w:ascii="Arial" w:hAnsi="Arial"/>
                  <w:sz w:val="22"/>
                  <w:szCs w:val="22"/>
                </w:rPr>
                <w:t>Performance Grade Binder Selection</w:t>
              </w:r>
            </w:hyperlink>
          </w:p>
        </w:tc>
      </w:tr>
      <w:tr w:rsidR="00DA3E5E" w:rsidRPr="00E676D9" w14:paraId="608F2D79" w14:textId="77777777" w:rsidTr="003D2760">
        <w:tc>
          <w:tcPr>
            <w:tcW w:w="1705" w:type="dxa"/>
          </w:tcPr>
          <w:p w14:paraId="331AA85C" w14:textId="7186ECAD" w:rsidR="00DA3E5E" w:rsidRPr="00E676D9" w:rsidRDefault="00DA3E5E" w:rsidP="00152A78">
            <w:pPr>
              <w:rPr>
                <w:rFonts w:ascii="Arial" w:hAnsi="Arial"/>
                <w:sz w:val="22"/>
                <w:szCs w:val="22"/>
              </w:rPr>
            </w:pPr>
            <w:r>
              <w:rPr>
                <w:rFonts w:ascii="Arial" w:hAnsi="Arial"/>
                <w:sz w:val="22"/>
                <w:szCs w:val="22"/>
              </w:rPr>
              <w:t>General</w:t>
            </w:r>
          </w:p>
        </w:tc>
        <w:tc>
          <w:tcPr>
            <w:tcW w:w="2700" w:type="dxa"/>
          </w:tcPr>
          <w:p w14:paraId="20B99A1B" w14:textId="77777777" w:rsidR="00DA3E5E" w:rsidRPr="00E676D9" w:rsidRDefault="00DA3E5E" w:rsidP="00152A78">
            <w:pPr>
              <w:rPr>
                <w:rFonts w:ascii="Arial" w:hAnsi="Arial"/>
                <w:sz w:val="22"/>
                <w:szCs w:val="22"/>
              </w:rPr>
            </w:pPr>
            <w:r>
              <w:rPr>
                <w:rFonts w:ascii="Arial" w:hAnsi="Arial"/>
                <w:sz w:val="22"/>
                <w:szCs w:val="22"/>
              </w:rPr>
              <w:t>Reference Temperature</w:t>
            </w:r>
          </w:p>
        </w:tc>
        <w:tc>
          <w:tcPr>
            <w:tcW w:w="900" w:type="dxa"/>
          </w:tcPr>
          <w:p w14:paraId="0B59B8A1" w14:textId="77777777" w:rsidR="00DA3E5E" w:rsidRPr="00E676D9" w:rsidRDefault="00DA3E5E" w:rsidP="001635F4">
            <w:pPr>
              <w:jc w:val="center"/>
              <w:rPr>
                <w:rFonts w:ascii="Arial" w:hAnsi="Arial"/>
                <w:sz w:val="22"/>
                <w:szCs w:val="22"/>
              </w:rPr>
            </w:pPr>
            <w:r>
              <w:rPr>
                <w:rFonts w:ascii="Arial" w:hAnsi="Arial"/>
                <w:sz w:val="22"/>
                <w:szCs w:val="22"/>
              </w:rPr>
              <w:t>All</w:t>
            </w:r>
          </w:p>
        </w:tc>
        <w:tc>
          <w:tcPr>
            <w:tcW w:w="3325" w:type="dxa"/>
          </w:tcPr>
          <w:p w14:paraId="0C0CC285" w14:textId="77777777" w:rsidR="00DA3E5E" w:rsidRPr="00E676D9" w:rsidRDefault="00DA3E5E" w:rsidP="00152A78">
            <w:pPr>
              <w:rPr>
                <w:rFonts w:ascii="Arial" w:hAnsi="Arial"/>
                <w:sz w:val="22"/>
                <w:szCs w:val="22"/>
              </w:rPr>
            </w:pPr>
            <w:r>
              <w:rPr>
                <w:rFonts w:ascii="Arial" w:hAnsi="Arial"/>
                <w:sz w:val="22"/>
                <w:szCs w:val="22"/>
              </w:rPr>
              <w:t>70</w:t>
            </w:r>
          </w:p>
        </w:tc>
      </w:tr>
      <w:tr w:rsidR="00DA3E5E" w:rsidRPr="00E676D9" w14:paraId="75C7DBBF" w14:textId="77777777" w:rsidTr="003D2760">
        <w:tc>
          <w:tcPr>
            <w:tcW w:w="1705" w:type="dxa"/>
          </w:tcPr>
          <w:p w14:paraId="6FD06DE5" w14:textId="51D9502F" w:rsidR="00DA3E5E" w:rsidRPr="00E676D9" w:rsidRDefault="00DA3E5E" w:rsidP="00152A78">
            <w:pPr>
              <w:rPr>
                <w:rFonts w:ascii="Arial" w:hAnsi="Arial"/>
                <w:sz w:val="22"/>
                <w:szCs w:val="22"/>
              </w:rPr>
            </w:pPr>
            <w:r>
              <w:rPr>
                <w:rFonts w:ascii="Arial" w:hAnsi="Arial"/>
                <w:sz w:val="22"/>
                <w:szCs w:val="22"/>
              </w:rPr>
              <w:t>General</w:t>
            </w:r>
          </w:p>
        </w:tc>
        <w:tc>
          <w:tcPr>
            <w:tcW w:w="2700" w:type="dxa"/>
          </w:tcPr>
          <w:p w14:paraId="2A14DC75" w14:textId="77777777" w:rsidR="00DA3E5E" w:rsidRPr="00E676D9" w:rsidRDefault="00DA3E5E" w:rsidP="00152A78">
            <w:pPr>
              <w:rPr>
                <w:rFonts w:ascii="Arial" w:hAnsi="Arial"/>
                <w:sz w:val="22"/>
                <w:szCs w:val="22"/>
              </w:rPr>
            </w:pPr>
            <w:r>
              <w:rPr>
                <w:rFonts w:ascii="Arial" w:hAnsi="Arial"/>
                <w:sz w:val="22"/>
                <w:szCs w:val="22"/>
              </w:rPr>
              <w:t>Effective Binder Content</w:t>
            </w:r>
          </w:p>
        </w:tc>
        <w:tc>
          <w:tcPr>
            <w:tcW w:w="900" w:type="dxa"/>
          </w:tcPr>
          <w:p w14:paraId="7D5A4E7D" w14:textId="77777777" w:rsidR="00DA3E5E" w:rsidRPr="00E676D9" w:rsidRDefault="00DA3E5E" w:rsidP="001635F4">
            <w:pPr>
              <w:jc w:val="center"/>
              <w:rPr>
                <w:rFonts w:ascii="Arial" w:hAnsi="Arial"/>
                <w:sz w:val="22"/>
                <w:szCs w:val="22"/>
              </w:rPr>
            </w:pPr>
            <w:r>
              <w:rPr>
                <w:rFonts w:ascii="Arial" w:hAnsi="Arial"/>
                <w:sz w:val="22"/>
                <w:szCs w:val="22"/>
              </w:rPr>
              <w:t>All</w:t>
            </w:r>
          </w:p>
        </w:tc>
        <w:tc>
          <w:tcPr>
            <w:tcW w:w="3325" w:type="dxa"/>
          </w:tcPr>
          <w:p w14:paraId="0C821763" w14:textId="77777777" w:rsidR="00DA3E5E" w:rsidRPr="00E676D9" w:rsidRDefault="00DA3E5E" w:rsidP="00152A78">
            <w:pPr>
              <w:rPr>
                <w:rFonts w:ascii="Arial" w:hAnsi="Arial"/>
                <w:sz w:val="22"/>
                <w:szCs w:val="22"/>
              </w:rPr>
            </w:pPr>
            <w:r w:rsidRPr="00E676D9">
              <w:rPr>
                <w:rFonts w:ascii="Arial" w:hAnsi="Arial"/>
                <w:sz w:val="22"/>
                <w:szCs w:val="22"/>
              </w:rPr>
              <w:t xml:space="preserve">See </w:t>
            </w:r>
            <w:hyperlink w:anchor="_Aggregate_Gradation_and" w:history="1">
              <w:r w:rsidRPr="00E676D9">
                <w:rPr>
                  <w:rStyle w:val="Hyperlink"/>
                  <w:rFonts w:ascii="Arial" w:hAnsi="Arial"/>
                  <w:sz w:val="22"/>
                  <w:szCs w:val="22"/>
                </w:rPr>
                <w:t>Aggregate Gradation and Volumetric Properties</w:t>
              </w:r>
            </w:hyperlink>
          </w:p>
        </w:tc>
      </w:tr>
      <w:tr w:rsidR="00DA3E5E" w:rsidRPr="00E676D9" w14:paraId="613DBCE0" w14:textId="77777777" w:rsidTr="003D2760">
        <w:tc>
          <w:tcPr>
            <w:tcW w:w="1705" w:type="dxa"/>
          </w:tcPr>
          <w:p w14:paraId="0F4623BA" w14:textId="18E5F19E" w:rsidR="00DA3E5E" w:rsidRPr="00E676D9" w:rsidRDefault="00DA3E5E" w:rsidP="00152A78">
            <w:pPr>
              <w:rPr>
                <w:rFonts w:ascii="Arial" w:hAnsi="Arial"/>
                <w:sz w:val="22"/>
                <w:szCs w:val="22"/>
              </w:rPr>
            </w:pPr>
            <w:r>
              <w:rPr>
                <w:rFonts w:ascii="Arial" w:hAnsi="Arial"/>
                <w:sz w:val="22"/>
                <w:szCs w:val="22"/>
              </w:rPr>
              <w:t>General</w:t>
            </w:r>
          </w:p>
        </w:tc>
        <w:tc>
          <w:tcPr>
            <w:tcW w:w="2700" w:type="dxa"/>
          </w:tcPr>
          <w:p w14:paraId="10D55B6F" w14:textId="77777777" w:rsidR="00DA3E5E" w:rsidRPr="00E676D9" w:rsidRDefault="00DA3E5E" w:rsidP="00152A78">
            <w:pPr>
              <w:rPr>
                <w:rFonts w:ascii="Arial" w:hAnsi="Arial"/>
                <w:sz w:val="22"/>
                <w:szCs w:val="22"/>
              </w:rPr>
            </w:pPr>
            <w:r>
              <w:rPr>
                <w:rFonts w:ascii="Arial" w:hAnsi="Arial"/>
                <w:sz w:val="22"/>
                <w:szCs w:val="22"/>
              </w:rPr>
              <w:t>In-Place Air Voids</w:t>
            </w:r>
          </w:p>
        </w:tc>
        <w:tc>
          <w:tcPr>
            <w:tcW w:w="900" w:type="dxa"/>
          </w:tcPr>
          <w:p w14:paraId="64216207" w14:textId="77777777" w:rsidR="00DA3E5E" w:rsidRPr="00E676D9" w:rsidRDefault="00DA3E5E" w:rsidP="001635F4">
            <w:pPr>
              <w:jc w:val="center"/>
              <w:rPr>
                <w:rFonts w:ascii="Arial" w:hAnsi="Arial"/>
                <w:sz w:val="22"/>
                <w:szCs w:val="22"/>
              </w:rPr>
            </w:pPr>
            <w:r>
              <w:rPr>
                <w:rFonts w:ascii="Arial" w:hAnsi="Arial"/>
                <w:sz w:val="22"/>
                <w:szCs w:val="22"/>
              </w:rPr>
              <w:t>All</w:t>
            </w:r>
          </w:p>
        </w:tc>
        <w:tc>
          <w:tcPr>
            <w:tcW w:w="3325" w:type="dxa"/>
          </w:tcPr>
          <w:p w14:paraId="6FBA82ED" w14:textId="77777777" w:rsidR="00DA3E5E" w:rsidRPr="00E676D9" w:rsidRDefault="00DA3E5E" w:rsidP="00152A78">
            <w:pPr>
              <w:rPr>
                <w:rFonts w:ascii="Arial" w:hAnsi="Arial"/>
                <w:sz w:val="22"/>
                <w:szCs w:val="22"/>
              </w:rPr>
            </w:pPr>
            <w:r w:rsidRPr="00E676D9">
              <w:rPr>
                <w:rFonts w:ascii="Arial" w:hAnsi="Arial"/>
                <w:sz w:val="22"/>
                <w:szCs w:val="22"/>
              </w:rPr>
              <w:t xml:space="preserve">See </w:t>
            </w:r>
            <w:hyperlink w:anchor="_Aggregate_Gradation_and" w:history="1">
              <w:r w:rsidRPr="00E676D9">
                <w:rPr>
                  <w:rStyle w:val="Hyperlink"/>
                  <w:rFonts w:ascii="Arial" w:hAnsi="Arial"/>
                  <w:sz w:val="22"/>
                  <w:szCs w:val="22"/>
                </w:rPr>
                <w:t>Aggregate Gradation and Volumetric Properties</w:t>
              </w:r>
            </w:hyperlink>
          </w:p>
        </w:tc>
      </w:tr>
      <w:tr w:rsidR="00DA3E5E" w:rsidRPr="00E676D9" w14:paraId="4104B711" w14:textId="77777777" w:rsidTr="003D2760">
        <w:tc>
          <w:tcPr>
            <w:tcW w:w="1705" w:type="dxa"/>
          </w:tcPr>
          <w:p w14:paraId="1883C41B" w14:textId="48730C5F" w:rsidR="00DA3E5E" w:rsidRPr="00E676D9" w:rsidRDefault="00DA3E5E" w:rsidP="00152A78">
            <w:pPr>
              <w:rPr>
                <w:rFonts w:ascii="Arial" w:hAnsi="Arial"/>
                <w:sz w:val="22"/>
                <w:szCs w:val="22"/>
              </w:rPr>
            </w:pPr>
            <w:r>
              <w:rPr>
                <w:rFonts w:ascii="Arial" w:hAnsi="Arial"/>
                <w:sz w:val="22"/>
                <w:szCs w:val="22"/>
              </w:rPr>
              <w:t>General</w:t>
            </w:r>
          </w:p>
        </w:tc>
        <w:tc>
          <w:tcPr>
            <w:tcW w:w="2700" w:type="dxa"/>
          </w:tcPr>
          <w:p w14:paraId="1206F469" w14:textId="77777777" w:rsidR="00DA3E5E" w:rsidRPr="00E676D9" w:rsidRDefault="00DA3E5E" w:rsidP="00152A78">
            <w:pPr>
              <w:rPr>
                <w:rFonts w:ascii="Arial" w:hAnsi="Arial"/>
                <w:sz w:val="22"/>
                <w:szCs w:val="22"/>
              </w:rPr>
            </w:pPr>
            <w:r>
              <w:rPr>
                <w:rFonts w:ascii="Arial" w:hAnsi="Arial"/>
                <w:sz w:val="22"/>
                <w:szCs w:val="22"/>
              </w:rPr>
              <w:t>Total Unit Weight</w:t>
            </w:r>
          </w:p>
        </w:tc>
        <w:tc>
          <w:tcPr>
            <w:tcW w:w="900" w:type="dxa"/>
          </w:tcPr>
          <w:p w14:paraId="2FDB2741" w14:textId="77777777" w:rsidR="00DA3E5E" w:rsidRPr="00E676D9" w:rsidRDefault="00DA3E5E" w:rsidP="001635F4">
            <w:pPr>
              <w:jc w:val="center"/>
              <w:rPr>
                <w:rFonts w:ascii="Arial" w:hAnsi="Arial"/>
                <w:sz w:val="22"/>
                <w:szCs w:val="22"/>
              </w:rPr>
            </w:pPr>
            <w:r>
              <w:rPr>
                <w:rFonts w:ascii="Arial" w:hAnsi="Arial"/>
                <w:sz w:val="22"/>
                <w:szCs w:val="22"/>
              </w:rPr>
              <w:t>All</w:t>
            </w:r>
          </w:p>
        </w:tc>
        <w:tc>
          <w:tcPr>
            <w:tcW w:w="3325" w:type="dxa"/>
          </w:tcPr>
          <w:p w14:paraId="057DAA8E" w14:textId="77777777" w:rsidR="00DA3E5E" w:rsidRPr="00E676D9" w:rsidRDefault="00DA3E5E" w:rsidP="00152A78">
            <w:pPr>
              <w:rPr>
                <w:rFonts w:ascii="Arial" w:hAnsi="Arial"/>
                <w:sz w:val="22"/>
                <w:szCs w:val="22"/>
              </w:rPr>
            </w:pPr>
            <w:r>
              <w:rPr>
                <w:rFonts w:ascii="Arial" w:hAnsi="Arial"/>
                <w:sz w:val="22"/>
                <w:szCs w:val="22"/>
              </w:rPr>
              <w:t xml:space="preserve">See </w:t>
            </w:r>
            <w:hyperlink w:anchor="_HMA_Unit_Weight" w:history="1">
              <w:r w:rsidRPr="00A3272B">
                <w:rPr>
                  <w:rStyle w:val="Hyperlink"/>
                  <w:rFonts w:ascii="Arial" w:hAnsi="Arial"/>
                  <w:sz w:val="22"/>
                  <w:szCs w:val="22"/>
                </w:rPr>
                <w:t>HMA Unit Weight</w:t>
              </w:r>
            </w:hyperlink>
          </w:p>
        </w:tc>
      </w:tr>
      <w:tr w:rsidR="00DA3E5E" w:rsidRPr="00E676D9" w14:paraId="68C83E31" w14:textId="77777777" w:rsidTr="003D2760">
        <w:tc>
          <w:tcPr>
            <w:tcW w:w="1705" w:type="dxa"/>
          </w:tcPr>
          <w:p w14:paraId="6CEFEAD4" w14:textId="00AE676A" w:rsidR="00DA3E5E" w:rsidRPr="00E676D9" w:rsidRDefault="00DA3E5E" w:rsidP="00152A78">
            <w:pPr>
              <w:rPr>
                <w:rFonts w:ascii="Arial" w:hAnsi="Arial"/>
                <w:sz w:val="22"/>
                <w:szCs w:val="22"/>
              </w:rPr>
            </w:pPr>
            <w:r>
              <w:rPr>
                <w:rFonts w:ascii="Arial" w:hAnsi="Arial"/>
                <w:sz w:val="22"/>
                <w:szCs w:val="22"/>
              </w:rPr>
              <w:t>General</w:t>
            </w:r>
          </w:p>
        </w:tc>
        <w:tc>
          <w:tcPr>
            <w:tcW w:w="2700" w:type="dxa"/>
          </w:tcPr>
          <w:p w14:paraId="4B10B72F" w14:textId="77777777" w:rsidR="00DA3E5E" w:rsidRPr="00E676D9" w:rsidRDefault="00DA3E5E" w:rsidP="00152A78">
            <w:pPr>
              <w:rPr>
                <w:rFonts w:ascii="Arial" w:hAnsi="Arial"/>
                <w:sz w:val="22"/>
                <w:szCs w:val="22"/>
              </w:rPr>
            </w:pPr>
            <w:r>
              <w:rPr>
                <w:rFonts w:ascii="Arial" w:hAnsi="Arial"/>
                <w:sz w:val="22"/>
                <w:szCs w:val="22"/>
              </w:rPr>
              <w:t>Poisson’s Ratio</w:t>
            </w:r>
          </w:p>
        </w:tc>
        <w:tc>
          <w:tcPr>
            <w:tcW w:w="900" w:type="dxa"/>
          </w:tcPr>
          <w:p w14:paraId="5B505CC4" w14:textId="77777777" w:rsidR="00DA3E5E" w:rsidRPr="00E676D9" w:rsidRDefault="00DA3E5E" w:rsidP="001635F4">
            <w:pPr>
              <w:jc w:val="center"/>
              <w:rPr>
                <w:rFonts w:ascii="Arial" w:hAnsi="Arial"/>
                <w:sz w:val="22"/>
                <w:szCs w:val="22"/>
              </w:rPr>
            </w:pPr>
            <w:r>
              <w:rPr>
                <w:rFonts w:ascii="Arial" w:hAnsi="Arial"/>
                <w:sz w:val="22"/>
                <w:szCs w:val="22"/>
              </w:rPr>
              <w:t>All</w:t>
            </w:r>
          </w:p>
        </w:tc>
        <w:tc>
          <w:tcPr>
            <w:tcW w:w="3325" w:type="dxa"/>
          </w:tcPr>
          <w:p w14:paraId="3503AB1D" w14:textId="1A08B61D" w:rsidR="00DA3E5E" w:rsidRPr="00E676D9" w:rsidRDefault="00DA3E5E" w:rsidP="00152A78">
            <w:pPr>
              <w:rPr>
                <w:rFonts w:ascii="Arial" w:hAnsi="Arial"/>
                <w:sz w:val="22"/>
                <w:szCs w:val="22"/>
              </w:rPr>
            </w:pPr>
            <w:r>
              <w:rPr>
                <w:rFonts w:ascii="Arial" w:hAnsi="Arial"/>
                <w:sz w:val="22"/>
                <w:szCs w:val="22"/>
              </w:rPr>
              <w:t xml:space="preserve">Use 0.35.  See </w:t>
            </w:r>
            <w:hyperlink w:anchor="_Poisson_Ratio" w:history="1">
              <w:r w:rsidRPr="00A3272B">
                <w:rPr>
                  <w:rStyle w:val="Hyperlink"/>
                  <w:rFonts w:ascii="Arial" w:hAnsi="Arial"/>
                  <w:sz w:val="22"/>
                  <w:szCs w:val="22"/>
                </w:rPr>
                <w:t>Poisson</w:t>
              </w:r>
              <w:r>
                <w:rPr>
                  <w:rStyle w:val="Hyperlink"/>
                  <w:rFonts w:ascii="Arial" w:hAnsi="Arial"/>
                  <w:sz w:val="22"/>
                  <w:szCs w:val="22"/>
                </w:rPr>
                <w:t>'s</w:t>
              </w:r>
              <w:r w:rsidRPr="00A3272B">
                <w:rPr>
                  <w:rStyle w:val="Hyperlink"/>
                  <w:rFonts w:ascii="Arial" w:hAnsi="Arial"/>
                  <w:sz w:val="22"/>
                  <w:szCs w:val="22"/>
                </w:rPr>
                <w:t xml:space="preserve"> Ratio</w:t>
              </w:r>
            </w:hyperlink>
          </w:p>
        </w:tc>
      </w:tr>
      <w:tr w:rsidR="00DA3E5E" w:rsidRPr="00E676D9" w14:paraId="438EE2D5" w14:textId="77777777" w:rsidTr="003D2760">
        <w:tc>
          <w:tcPr>
            <w:tcW w:w="1705" w:type="dxa"/>
          </w:tcPr>
          <w:p w14:paraId="6506C2A7" w14:textId="3DC20B40" w:rsidR="00DA3E5E" w:rsidRPr="00E676D9" w:rsidRDefault="00DA3E5E" w:rsidP="00152A78">
            <w:pPr>
              <w:rPr>
                <w:rFonts w:ascii="Arial" w:hAnsi="Arial"/>
                <w:sz w:val="22"/>
                <w:szCs w:val="22"/>
              </w:rPr>
            </w:pPr>
            <w:r>
              <w:rPr>
                <w:rFonts w:ascii="Arial" w:hAnsi="Arial"/>
                <w:sz w:val="22"/>
                <w:szCs w:val="22"/>
              </w:rPr>
              <w:t>General</w:t>
            </w:r>
          </w:p>
        </w:tc>
        <w:tc>
          <w:tcPr>
            <w:tcW w:w="2700" w:type="dxa"/>
          </w:tcPr>
          <w:p w14:paraId="4F666D3D" w14:textId="77777777" w:rsidR="00DA3E5E" w:rsidRPr="00E676D9" w:rsidRDefault="00DA3E5E" w:rsidP="00152A78">
            <w:pPr>
              <w:rPr>
                <w:rFonts w:ascii="Arial" w:hAnsi="Arial"/>
                <w:sz w:val="22"/>
                <w:szCs w:val="22"/>
              </w:rPr>
            </w:pPr>
            <w:r>
              <w:rPr>
                <w:rFonts w:ascii="Arial" w:hAnsi="Arial"/>
                <w:sz w:val="22"/>
                <w:szCs w:val="22"/>
              </w:rPr>
              <w:t>Thermal Conductivity</w:t>
            </w:r>
          </w:p>
        </w:tc>
        <w:tc>
          <w:tcPr>
            <w:tcW w:w="900" w:type="dxa"/>
          </w:tcPr>
          <w:p w14:paraId="27799E92" w14:textId="77777777" w:rsidR="00DA3E5E" w:rsidRPr="00E676D9" w:rsidRDefault="00DA3E5E" w:rsidP="001635F4">
            <w:pPr>
              <w:jc w:val="center"/>
              <w:rPr>
                <w:rFonts w:ascii="Arial" w:hAnsi="Arial"/>
                <w:sz w:val="22"/>
                <w:szCs w:val="22"/>
              </w:rPr>
            </w:pPr>
            <w:r>
              <w:rPr>
                <w:rFonts w:ascii="Arial" w:hAnsi="Arial"/>
                <w:sz w:val="22"/>
                <w:szCs w:val="22"/>
              </w:rPr>
              <w:t>All</w:t>
            </w:r>
          </w:p>
        </w:tc>
        <w:tc>
          <w:tcPr>
            <w:tcW w:w="3325" w:type="dxa"/>
          </w:tcPr>
          <w:p w14:paraId="7FC4FF9B" w14:textId="77777777" w:rsidR="00DA3E5E" w:rsidRPr="00E676D9" w:rsidRDefault="00DA3E5E" w:rsidP="00152A78">
            <w:pPr>
              <w:rPr>
                <w:rFonts w:ascii="Arial" w:hAnsi="Arial"/>
                <w:sz w:val="22"/>
                <w:szCs w:val="22"/>
              </w:rPr>
            </w:pPr>
            <w:r>
              <w:rPr>
                <w:rFonts w:ascii="Arial" w:hAnsi="Arial"/>
                <w:sz w:val="22"/>
                <w:szCs w:val="22"/>
              </w:rPr>
              <w:t>0.67</w:t>
            </w:r>
          </w:p>
        </w:tc>
      </w:tr>
      <w:tr w:rsidR="00DA3E5E" w:rsidRPr="00E676D9" w14:paraId="46F37861" w14:textId="77777777" w:rsidTr="003D2760">
        <w:tc>
          <w:tcPr>
            <w:tcW w:w="1705" w:type="dxa"/>
          </w:tcPr>
          <w:p w14:paraId="5BA0D33A" w14:textId="58366380" w:rsidR="00DA3E5E" w:rsidRPr="00E676D9" w:rsidRDefault="00DA3E5E" w:rsidP="00152A78">
            <w:pPr>
              <w:rPr>
                <w:rFonts w:ascii="Arial" w:hAnsi="Arial"/>
                <w:sz w:val="22"/>
                <w:szCs w:val="22"/>
              </w:rPr>
            </w:pPr>
            <w:r>
              <w:rPr>
                <w:rFonts w:ascii="Arial" w:hAnsi="Arial"/>
                <w:sz w:val="22"/>
                <w:szCs w:val="22"/>
              </w:rPr>
              <w:t>General</w:t>
            </w:r>
          </w:p>
        </w:tc>
        <w:tc>
          <w:tcPr>
            <w:tcW w:w="2700" w:type="dxa"/>
          </w:tcPr>
          <w:p w14:paraId="43D44DB5" w14:textId="77777777" w:rsidR="00DA3E5E" w:rsidRPr="00E676D9" w:rsidRDefault="00DA3E5E" w:rsidP="00152A78">
            <w:pPr>
              <w:rPr>
                <w:rFonts w:ascii="Arial" w:hAnsi="Arial"/>
                <w:sz w:val="22"/>
                <w:szCs w:val="22"/>
              </w:rPr>
            </w:pPr>
            <w:r>
              <w:rPr>
                <w:rFonts w:ascii="Arial" w:hAnsi="Arial"/>
                <w:sz w:val="22"/>
                <w:szCs w:val="22"/>
              </w:rPr>
              <w:t>Heat Capacity Asphalt</w:t>
            </w:r>
          </w:p>
        </w:tc>
        <w:tc>
          <w:tcPr>
            <w:tcW w:w="900" w:type="dxa"/>
          </w:tcPr>
          <w:p w14:paraId="42B5F956" w14:textId="77777777" w:rsidR="00DA3E5E" w:rsidRPr="00E676D9" w:rsidRDefault="00DA3E5E" w:rsidP="001635F4">
            <w:pPr>
              <w:jc w:val="center"/>
              <w:rPr>
                <w:rFonts w:ascii="Arial" w:hAnsi="Arial"/>
                <w:sz w:val="22"/>
                <w:szCs w:val="22"/>
              </w:rPr>
            </w:pPr>
            <w:r>
              <w:rPr>
                <w:rFonts w:ascii="Arial" w:hAnsi="Arial"/>
                <w:sz w:val="22"/>
                <w:szCs w:val="22"/>
              </w:rPr>
              <w:t>All</w:t>
            </w:r>
          </w:p>
        </w:tc>
        <w:tc>
          <w:tcPr>
            <w:tcW w:w="3325" w:type="dxa"/>
          </w:tcPr>
          <w:p w14:paraId="5A2B3740" w14:textId="77777777" w:rsidR="00DA3E5E" w:rsidRPr="00E676D9" w:rsidRDefault="00DA3E5E" w:rsidP="00152A78">
            <w:pPr>
              <w:rPr>
                <w:rFonts w:ascii="Arial" w:hAnsi="Arial"/>
                <w:sz w:val="22"/>
                <w:szCs w:val="22"/>
              </w:rPr>
            </w:pPr>
            <w:r>
              <w:rPr>
                <w:rFonts w:ascii="Arial" w:hAnsi="Arial"/>
                <w:sz w:val="22"/>
                <w:szCs w:val="22"/>
              </w:rPr>
              <w:t>0.23</w:t>
            </w:r>
          </w:p>
        </w:tc>
      </w:tr>
      <w:tr w:rsidR="00DA3E5E" w:rsidRPr="00E676D9" w14:paraId="003CC6F5" w14:textId="77777777" w:rsidTr="003D2760">
        <w:tc>
          <w:tcPr>
            <w:tcW w:w="1705" w:type="dxa"/>
          </w:tcPr>
          <w:p w14:paraId="055DEAD2" w14:textId="39941538" w:rsidR="00DA3E5E" w:rsidRPr="00E676D9" w:rsidRDefault="00DA3E5E" w:rsidP="00152A78">
            <w:pPr>
              <w:rPr>
                <w:rFonts w:ascii="Arial" w:hAnsi="Arial"/>
                <w:sz w:val="22"/>
                <w:szCs w:val="22"/>
              </w:rPr>
            </w:pPr>
            <w:r>
              <w:rPr>
                <w:rFonts w:ascii="Arial" w:hAnsi="Arial"/>
                <w:sz w:val="22"/>
                <w:szCs w:val="22"/>
              </w:rPr>
              <w:t>General</w:t>
            </w:r>
          </w:p>
        </w:tc>
        <w:tc>
          <w:tcPr>
            <w:tcW w:w="2700" w:type="dxa"/>
          </w:tcPr>
          <w:p w14:paraId="7F063BFF" w14:textId="77777777" w:rsidR="00DA3E5E" w:rsidRPr="00E676D9" w:rsidRDefault="00DA3E5E" w:rsidP="00152A78">
            <w:pPr>
              <w:rPr>
                <w:rFonts w:ascii="Arial" w:hAnsi="Arial"/>
                <w:sz w:val="22"/>
                <w:szCs w:val="22"/>
              </w:rPr>
            </w:pPr>
            <w:r>
              <w:rPr>
                <w:rFonts w:ascii="Arial" w:hAnsi="Arial"/>
                <w:sz w:val="22"/>
                <w:szCs w:val="22"/>
              </w:rPr>
              <w:t>Short Wave Absorption</w:t>
            </w:r>
          </w:p>
        </w:tc>
        <w:tc>
          <w:tcPr>
            <w:tcW w:w="900" w:type="dxa"/>
          </w:tcPr>
          <w:p w14:paraId="2D38B14E" w14:textId="77777777" w:rsidR="00DA3E5E" w:rsidRPr="00E676D9" w:rsidRDefault="00DA3E5E" w:rsidP="001635F4">
            <w:pPr>
              <w:jc w:val="center"/>
              <w:rPr>
                <w:rFonts w:ascii="Arial" w:hAnsi="Arial"/>
                <w:sz w:val="22"/>
                <w:szCs w:val="22"/>
              </w:rPr>
            </w:pPr>
            <w:r>
              <w:rPr>
                <w:rFonts w:ascii="Arial" w:hAnsi="Arial"/>
                <w:sz w:val="22"/>
                <w:szCs w:val="22"/>
              </w:rPr>
              <w:t>All</w:t>
            </w:r>
          </w:p>
        </w:tc>
        <w:tc>
          <w:tcPr>
            <w:tcW w:w="3325" w:type="dxa"/>
          </w:tcPr>
          <w:p w14:paraId="72F6C6FD" w14:textId="77777777" w:rsidR="00DA3E5E" w:rsidRPr="00E676D9" w:rsidRDefault="00DA3E5E" w:rsidP="00152A78">
            <w:pPr>
              <w:rPr>
                <w:rFonts w:ascii="Arial" w:hAnsi="Arial"/>
                <w:sz w:val="22"/>
                <w:szCs w:val="22"/>
              </w:rPr>
            </w:pPr>
            <w:r>
              <w:rPr>
                <w:rFonts w:ascii="Arial" w:hAnsi="Arial"/>
                <w:sz w:val="22"/>
                <w:szCs w:val="22"/>
              </w:rPr>
              <w:t>0.85</w:t>
            </w:r>
          </w:p>
        </w:tc>
      </w:tr>
    </w:tbl>
    <w:p w14:paraId="36A95FF9" w14:textId="77777777" w:rsidR="00152A78" w:rsidRDefault="00152A78" w:rsidP="00152A78">
      <w:pPr>
        <w:jc w:val="both"/>
        <w:rPr>
          <w:rFonts w:ascii="Arial" w:hAnsi="Arial"/>
          <w:sz w:val="22"/>
        </w:rPr>
      </w:pPr>
    </w:p>
    <w:p w14:paraId="1AD3AB6D" w14:textId="77777777" w:rsidR="00152A78" w:rsidRDefault="00152A78" w:rsidP="0049684B">
      <w:pPr>
        <w:pStyle w:val="Heading4"/>
      </w:pPr>
      <w:bookmarkStart w:id="167" w:name="_Aggregate_Gradation_and"/>
      <w:bookmarkEnd w:id="167"/>
      <w:r>
        <w:t>Aggregate Gradation and Volumetric Properties</w:t>
      </w:r>
    </w:p>
    <w:p w14:paraId="45643FE7" w14:textId="5B3F41E9"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ixture_Volumetrics:" w:history="1">
        <w:r w:rsidRPr="009237A5">
          <w:rPr>
            <w:rStyle w:val="Hyperlink"/>
            <w:rFonts w:ascii="Arial" w:hAnsi="Arial" w:cs="Arial"/>
            <w:bCs/>
            <w:sz w:val="16"/>
            <w:szCs w:val="16"/>
          </w:rPr>
          <w:t>Mixture Volumetrics</w:t>
        </w:r>
      </w:hyperlink>
    </w:p>
    <w:p w14:paraId="03B29407" w14:textId="037DC289" w:rsidR="00152A78" w:rsidRDefault="00152A78" w:rsidP="00E43A47">
      <w:pPr>
        <w:rPr>
          <w:rFonts w:ascii="Arial" w:hAnsi="Arial"/>
          <w:sz w:val="22"/>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commended_Material_Property_1" w:history="1">
        <w:r w:rsidRPr="00E838DF">
          <w:rPr>
            <w:rStyle w:val="Hyperlink"/>
            <w:rFonts w:ascii="Arial" w:hAnsi="Arial" w:cs="Arial"/>
            <w:bCs/>
            <w:sz w:val="16"/>
            <w:szCs w:val="16"/>
          </w:rPr>
          <w:t>Recommended Material Property Inputs for Existing HMA Layers</w:t>
        </w:r>
      </w:hyperlink>
    </w:p>
    <w:tbl>
      <w:tblPr>
        <w:tblStyle w:val="TableGrid"/>
        <w:tblW w:w="10044" w:type="dxa"/>
        <w:jc w:val="center"/>
        <w:tblLayout w:type="fixed"/>
        <w:tblLook w:val="04A0" w:firstRow="1" w:lastRow="0" w:firstColumn="1" w:lastColumn="0" w:noHBand="0" w:noVBand="1"/>
      </w:tblPr>
      <w:tblGrid>
        <w:gridCol w:w="828"/>
        <w:gridCol w:w="900"/>
        <w:gridCol w:w="1170"/>
        <w:gridCol w:w="1170"/>
        <w:gridCol w:w="1170"/>
        <w:gridCol w:w="1170"/>
        <w:gridCol w:w="1260"/>
        <w:gridCol w:w="1188"/>
        <w:gridCol w:w="1188"/>
      </w:tblGrid>
      <w:tr w:rsidR="009D3CFA" w:rsidRPr="008C4785" w14:paraId="78F21A24" w14:textId="0F92E7E4" w:rsidTr="00402869">
        <w:trPr>
          <w:jc w:val="center"/>
        </w:trPr>
        <w:tc>
          <w:tcPr>
            <w:tcW w:w="828" w:type="dxa"/>
            <w:shd w:val="pct15" w:color="auto" w:fill="auto"/>
            <w:vAlign w:val="center"/>
          </w:tcPr>
          <w:p w14:paraId="74E57C73" w14:textId="77777777" w:rsidR="009D3CFA" w:rsidRPr="008C4785" w:rsidRDefault="009D3CFA" w:rsidP="009D3CFA">
            <w:pPr>
              <w:jc w:val="center"/>
              <w:rPr>
                <w:rFonts w:ascii="Arial" w:hAnsi="Arial"/>
                <w:b/>
                <w:sz w:val="18"/>
                <w:szCs w:val="18"/>
              </w:rPr>
            </w:pPr>
            <w:bookmarkStart w:id="168" w:name="_Hlk67551188"/>
            <w:r w:rsidRPr="008C4785">
              <w:rPr>
                <w:rFonts w:ascii="Arial" w:hAnsi="Arial"/>
                <w:b/>
                <w:sz w:val="18"/>
                <w:szCs w:val="18"/>
              </w:rPr>
              <w:t>NMAS (mm)</w:t>
            </w:r>
          </w:p>
        </w:tc>
        <w:tc>
          <w:tcPr>
            <w:tcW w:w="900" w:type="dxa"/>
            <w:shd w:val="pct15" w:color="auto" w:fill="auto"/>
            <w:vAlign w:val="center"/>
          </w:tcPr>
          <w:p w14:paraId="22E4328D" w14:textId="77777777" w:rsidR="009D3CFA" w:rsidRPr="008C4785" w:rsidRDefault="009D3CFA" w:rsidP="009D3CFA">
            <w:pPr>
              <w:jc w:val="center"/>
              <w:rPr>
                <w:rFonts w:ascii="Arial" w:hAnsi="Arial"/>
                <w:b/>
                <w:sz w:val="18"/>
                <w:szCs w:val="18"/>
              </w:rPr>
            </w:pPr>
            <w:r w:rsidRPr="008C4785">
              <w:rPr>
                <w:rFonts w:ascii="Arial" w:hAnsi="Arial"/>
                <w:b/>
                <w:sz w:val="18"/>
                <w:szCs w:val="18"/>
              </w:rPr>
              <w:t>Mix Type</w:t>
            </w:r>
          </w:p>
        </w:tc>
        <w:tc>
          <w:tcPr>
            <w:tcW w:w="1170" w:type="dxa"/>
            <w:shd w:val="pct15" w:color="auto" w:fill="auto"/>
            <w:vAlign w:val="center"/>
          </w:tcPr>
          <w:p w14:paraId="27741EEB" w14:textId="24D07D82" w:rsidR="009D3CFA" w:rsidRPr="008C4785" w:rsidRDefault="009D3CFA" w:rsidP="009D3CFA">
            <w:pPr>
              <w:jc w:val="center"/>
              <w:rPr>
                <w:rFonts w:ascii="Arial" w:hAnsi="Arial"/>
                <w:b/>
                <w:sz w:val="18"/>
                <w:szCs w:val="18"/>
              </w:rPr>
            </w:pPr>
            <w:r w:rsidRPr="008C4785">
              <w:rPr>
                <w:rFonts w:ascii="Arial" w:hAnsi="Arial"/>
                <w:b/>
                <w:sz w:val="18"/>
                <w:szCs w:val="18"/>
              </w:rPr>
              <w:t xml:space="preserve">%Retained above </w:t>
            </w:r>
            <w:r>
              <w:rPr>
                <w:rFonts w:ascii="Arial" w:hAnsi="Arial"/>
                <w:b/>
                <w:sz w:val="18"/>
                <w:szCs w:val="18"/>
              </w:rPr>
              <w:t>¾"</w:t>
            </w:r>
            <w:r w:rsidRPr="008C4785">
              <w:rPr>
                <w:rFonts w:ascii="Arial" w:hAnsi="Arial"/>
                <w:b/>
                <w:sz w:val="18"/>
                <w:szCs w:val="18"/>
              </w:rPr>
              <w:t xml:space="preserve"> sieve</w:t>
            </w:r>
          </w:p>
        </w:tc>
        <w:tc>
          <w:tcPr>
            <w:tcW w:w="1170" w:type="dxa"/>
            <w:shd w:val="pct15" w:color="auto" w:fill="auto"/>
            <w:vAlign w:val="center"/>
          </w:tcPr>
          <w:p w14:paraId="2CD2F317" w14:textId="6D6BB359" w:rsidR="009D3CFA" w:rsidRPr="008C4785" w:rsidRDefault="009D3CFA" w:rsidP="009D3CFA">
            <w:pPr>
              <w:jc w:val="center"/>
              <w:rPr>
                <w:rFonts w:ascii="Arial" w:hAnsi="Arial"/>
                <w:b/>
                <w:sz w:val="18"/>
                <w:szCs w:val="18"/>
              </w:rPr>
            </w:pPr>
            <w:r w:rsidRPr="008C4785">
              <w:rPr>
                <w:rFonts w:ascii="Arial" w:hAnsi="Arial"/>
                <w:b/>
                <w:sz w:val="18"/>
                <w:szCs w:val="18"/>
              </w:rPr>
              <w:t xml:space="preserve">%Retained above </w:t>
            </w:r>
            <w:r>
              <w:rPr>
                <w:rFonts w:ascii="Arial" w:hAnsi="Arial" w:cs="Arial"/>
                <w:b/>
                <w:sz w:val="18"/>
                <w:szCs w:val="18"/>
              </w:rPr>
              <w:t>⅜</w:t>
            </w:r>
            <w:r>
              <w:rPr>
                <w:rFonts w:ascii="Arial" w:hAnsi="Arial"/>
                <w:b/>
                <w:sz w:val="18"/>
                <w:szCs w:val="18"/>
              </w:rPr>
              <w:t>"</w:t>
            </w:r>
            <w:r w:rsidRPr="008C4785">
              <w:rPr>
                <w:rFonts w:ascii="Arial" w:hAnsi="Arial"/>
                <w:b/>
                <w:sz w:val="18"/>
                <w:szCs w:val="18"/>
              </w:rPr>
              <w:t xml:space="preserve"> sieve</w:t>
            </w:r>
          </w:p>
        </w:tc>
        <w:tc>
          <w:tcPr>
            <w:tcW w:w="1170" w:type="dxa"/>
            <w:shd w:val="pct15" w:color="auto" w:fill="auto"/>
            <w:vAlign w:val="center"/>
          </w:tcPr>
          <w:p w14:paraId="33C48B67" w14:textId="77777777" w:rsidR="009D3CFA" w:rsidRPr="008C4785" w:rsidRDefault="009D3CFA" w:rsidP="009D3CFA">
            <w:pPr>
              <w:jc w:val="center"/>
              <w:rPr>
                <w:rFonts w:ascii="Arial" w:hAnsi="Arial"/>
                <w:b/>
                <w:sz w:val="18"/>
                <w:szCs w:val="18"/>
              </w:rPr>
            </w:pPr>
            <w:r w:rsidRPr="008C4785">
              <w:rPr>
                <w:rFonts w:ascii="Arial" w:hAnsi="Arial"/>
                <w:b/>
                <w:sz w:val="18"/>
                <w:szCs w:val="18"/>
              </w:rPr>
              <w:t>%Retained above #4 sieve</w:t>
            </w:r>
          </w:p>
        </w:tc>
        <w:tc>
          <w:tcPr>
            <w:tcW w:w="1170" w:type="dxa"/>
            <w:shd w:val="pct15" w:color="auto" w:fill="auto"/>
            <w:vAlign w:val="center"/>
          </w:tcPr>
          <w:p w14:paraId="1624C44A" w14:textId="77777777" w:rsidR="009D3CFA" w:rsidRPr="008C4785" w:rsidRDefault="009D3CFA" w:rsidP="009D3CFA">
            <w:pPr>
              <w:jc w:val="center"/>
              <w:rPr>
                <w:rFonts w:ascii="Arial" w:hAnsi="Arial"/>
                <w:b/>
                <w:sz w:val="18"/>
                <w:szCs w:val="18"/>
              </w:rPr>
            </w:pPr>
            <w:r w:rsidRPr="008C4785">
              <w:rPr>
                <w:rFonts w:ascii="Arial" w:hAnsi="Arial"/>
                <w:b/>
                <w:sz w:val="18"/>
                <w:szCs w:val="18"/>
              </w:rPr>
              <w:t>%</w:t>
            </w:r>
            <w:r>
              <w:rPr>
                <w:rFonts w:ascii="Arial" w:hAnsi="Arial"/>
                <w:b/>
                <w:sz w:val="18"/>
                <w:szCs w:val="18"/>
              </w:rPr>
              <w:t>Passing</w:t>
            </w:r>
            <w:r w:rsidRPr="008C4785">
              <w:rPr>
                <w:rFonts w:ascii="Arial" w:hAnsi="Arial"/>
                <w:b/>
                <w:sz w:val="18"/>
                <w:szCs w:val="18"/>
              </w:rPr>
              <w:t xml:space="preserve"> #200 sieve</w:t>
            </w:r>
          </w:p>
        </w:tc>
        <w:tc>
          <w:tcPr>
            <w:tcW w:w="1260" w:type="dxa"/>
            <w:shd w:val="pct15" w:color="auto" w:fill="auto"/>
            <w:vAlign w:val="center"/>
          </w:tcPr>
          <w:p w14:paraId="1B8B0481" w14:textId="77777777" w:rsidR="009D3CFA" w:rsidRPr="008C4785" w:rsidRDefault="009D3CFA" w:rsidP="009D3CFA">
            <w:pPr>
              <w:jc w:val="center"/>
              <w:rPr>
                <w:rFonts w:ascii="Arial" w:hAnsi="Arial"/>
                <w:b/>
                <w:sz w:val="18"/>
                <w:szCs w:val="18"/>
              </w:rPr>
            </w:pPr>
            <w:r w:rsidRPr="008C4785">
              <w:rPr>
                <w:rFonts w:ascii="Arial" w:hAnsi="Arial"/>
                <w:b/>
                <w:sz w:val="18"/>
                <w:szCs w:val="18"/>
              </w:rPr>
              <w:t>Effective Volumetric Binder Content (%)</w:t>
            </w:r>
          </w:p>
        </w:tc>
        <w:tc>
          <w:tcPr>
            <w:tcW w:w="1188" w:type="dxa"/>
            <w:shd w:val="pct15" w:color="auto" w:fill="auto"/>
            <w:vAlign w:val="center"/>
          </w:tcPr>
          <w:p w14:paraId="3F38967D" w14:textId="77777777" w:rsidR="009D3CFA" w:rsidRPr="008C4785" w:rsidRDefault="009D3CFA" w:rsidP="009D3CFA">
            <w:pPr>
              <w:jc w:val="center"/>
              <w:rPr>
                <w:rFonts w:ascii="Arial" w:hAnsi="Arial"/>
                <w:b/>
                <w:sz w:val="18"/>
                <w:szCs w:val="18"/>
              </w:rPr>
            </w:pPr>
            <w:r w:rsidRPr="008C4785">
              <w:rPr>
                <w:rFonts w:ascii="Arial" w:hAnsi="Arial"/>
                <w:b/>
                <w:sz w:val="18"/>
                <w:szCs w:val="18"/>
              </w:rPr>
              <w:t>In-Place Air Voids (%)</w:t>
            </w:r>
          </w:p>
        </w:tc>
        <w:tc>
          <w:tcPr>
            <w:tcW w:w="1188" w:type="dxa"/>
            <w:shd w:val="pct15" w:color="auto" w:fill="auto"/>
            <w:vAlign w:val="center"/>
          </w:tcPr>
          <w:p w14:paraId="11D6D7EB" w14:textId="258E8EA2" w:rsidR="009D3CFA" w:rsidRPr="008C4785" w:rsidRDefault="0035790D" w:rsidP="009D3CFA">
            <w:pPr>
              <w:jc w:val="center"/>
              <w:rPr>
                <w:rFonts w:ascii="Arial" w:hAnsi="Arial"/>
                <w:b/>
                <w:sz w:val="18"/>
                <w:szCs w:val="18"/>
              </w:rPr>
            </w:pPr>
            <w:r>
              <w:rPr>
                <w:rFonts w:ascii="Arial" w:hAnsi="Arial"/>
                <w:b/>
                <w:sz w:val="18"/>
                <w:szCs w:val="18"/>
              </w:rPr>
              <w:t>%</w:t>
            </w:r>
            <w:r w:rsidR="009D3CFA" w:rsidRPr="009D3CFA">
              <w:rPr>
                <w:rFonts w:ascii="Arial" w:hAnsi="Arial"/>
                <w:b/>
                <w:sz w:val="18"/>
                <w:szCs w:val="18"/>
              </w:rPr>
              <w:t xml:space="preserve"> asphalt content by weight of mix (%)</w:t>
            </w:r>
          </w:p>
        </w:tc>
      </w:tr>
      <w:tr w:rsidR="0035790D" w:rsidRPr="00E676D9" w14:paraId="6FB4309B" w14:textId="7A260DC9" w:rsidTr="00402869">
        <w:trPr>
          <w:jc w:val="center"/>
        </w:trPr>
        <w:tc>
          <w:tcPr>
            <w:tcW w:w="828" w:type="dxa"/>
          </w:tcPr>
          <w:p w14:paraId="7AE1C405" w14:textId="77777777" w:rsidR="0035790D" w:rsidRPr="00E676D9" w:rsidRDefault="0035790D" w:rsidP="0035790D">
            <w:pPr>
              <w:jc w:val="center"/>
              <w:rPr>
                <w:rFonts w:ascii="Arial" w:hAnsi="Arial"/>
              </w:rPr>
            </w:pPr>
            <w:r>
              <w:rPr>
                <w:rFonts w:ascii="Arial" w:hAnsi="Arial"/>
              </w:rPr>
              <w:t>4.75</w:t>
            </w:r>
          </w:p>
        </w:tc>
        <w:tc>
          <w:tcPr>
            <w:tcW w:w="900" w:type="dxa"/>
          </w:tcPr>
          <w:p w14:paraId="4229F837" w14:textId="77777777" w:rsidR="0035790D" w:rsidRPr="00E676D9" w:rsidRDefault="0035790D" w:rsidP="0035790D">
            <w:pPr>
              <w:jc w:val="center"/>
              <w:rPr>
                <w:rFonts w:ascii="Arial" w:hAnsi="Arial"/>
              </w:rPr>
            </w:pPr>
            <w:r>
              <w:rPr>
                <w:rFonts w:ascii="Arial" w:hAnsi="Arial"/>
              </w:rPr>
              <w:t>Virgin</w:t>
            </w:r>
          </w:p>
        </w:tc>
        <w:tc>
          <w:tcPr>
            <w:tcW w:w="1170" w:type="dxa"/>
          </w:tcPr>
          <w:p w14:paraId="5F242E52" w14:textId="77777777" w:rsidR="0035790D" w:rsidRPr="00E676D9" w:rsidRDefault="0035790D" w:rsidP="0035790D">
            <w:pPr>
              <w:jc w:val="center"/>
              <w:rPr>
                <w:rFonts w:ascii="Arial" w:hAnsi="Arial"/>
              </w:rPr>
            </w:pPr>
            <w:r>
              <w:rPr>
                <w:rFonts w:ascii="Arial" w:hAnsi="Arial"/>
              </w:rPr>
              <w:t>0.0</w:t>
            </w:r>
          </w:p>
        </w:tc>
        <w:tc>
          <w:tcPr>
            <w:tcW w:w="1170" w:type="dxa"/>
          </w:tcPr>
          <w:p w14:paraId="0A11DF8D" w14:textId="77777777" w:rsidR="0035790D" w:rsidRPr="00E676D9" w:rsidRDefault="0035790D" w:rsidP="0035790D">
            <w:pPr>
              <w:jc w:val="center"/>
              <w:rPr>
                <w:rFonts w:ascii="Arial" w:hAnsi="Arial"/>
              </w:rPr>
            </w:pPr>
            <w:r>
              <w:rPr>
                <w:rFonts w:ascii="Arial" w:hAnsi="Arial"/>
              </w:rPr>
              <w:t>0.0</w:t>
            </w:r>
          </w:p>
        </w:tc>
        <w:tc>
          <w:tcPr>
            <w:tcW w:w="1170" w:type="dxa"/>
          </w:tcPr>
          <w:p w14:paraId="6AB9DCF1" w14:textId="77777777" w:rsidR="0035790D" w:rsidRPr="00E676D9" w:rsidRDefault="0035790D" w:rsidP="0035790D">
            <w:pPr>
              <w:jc w:val="center"/>
              <w:rPr>
                <w:rFonts w:ascii="Arial" w:hAnsi="Arial"/>
              </w:rPr>
            </w:pPr>
            <w:r>
              <w:rPr>
                <w:rFonts w:ascii="Arial" w:hAnsi="Arial"/>
              </w:rPr>
              <w:t>6.9</w:t>
            </w:r>
          </w:p>
        </w:tc>
        <w:tc>
          <w:tcPr>
            <w:tcW w:w="1170" w:type="dxa"/>
          </w:tcPr>
          <w:p w14:paraId="775DF6A5" w14:textId="77777777" w:rsidR="0035790D" w:rsidRPr="00E676D9" w:rsidRDefault="0035790D" w:rsidP="0035790D">
            <w:pPr>
              <w:jc w:val="center"/>
              <w:rPr>
                <w:rFonts w:ascii="Arial" w:hAnsi="Arial"/>
              </w:rPr>
            </w:pPr>
            <w:r>
              <w:rPr>
                <w:rFonts w:ascii="Arial" w:hAnsi="Arial"/>
              </w:rPr>
              <w:t>7.7</w:t>
            </w:r>
          </w:p>
        </w:tc>
        <w:tc>
          <w:tcPr>
            <w:tcW w:w="1260" w:type="dxa"/>
          </w:tcPr>
          <w:p w14:paraId="6ACC03C3" w14:textId="77777777" w:rsidR="0035790D" w:rsidRPr="00E676D9" w:rsidRDefault="0035790D" w:rsidP="0035790D">
            <w:pPr>
              <w:jc w:val="center"/>
              <w:rPr>
                <w:rFonts w:ascii="Arial" w:hAnsi="Arial"/>
              </w:rPr>
            </w:pPr>
            <w:r>
              <w:rPr>
                <w:rFonts w:ascii="Arial" w:hAnsi="Arial"/>
              </w:rPr>
              <w:t>14.06</w:t>
            </w:r>
          </w:p>
        </w:tc>
        <w:tc>
          <w:tcPr>
            <w:tcW w:w="1188" w:type="dxa"/>
          </w:tcPr>
          <w:p w14:paraId="2FB9385E" w14:textId="77777777" w:rsidR="0035790D" w:rsidRPr="00E676D9" w:rsidRDefault="0035790D" w:rsidP="0035790D">
            <w:pPr>
              <w:jc w:val="center"/>
              <w:rPr>
                <w:rFonts w:ascii="Arial" w:hAnsi="Arial"/>
              </w:rPr>
            </w:pPr>
            <w:r>
              <w:rPr>
                <w:rFonts w:ascii="Arial" w:hAnsi="Arial"/>
              </w:rPr>
              <w:t>6.54</w:t>
            </w:r>
          </w:p>
        </w:tc>
        <w:tc>
          <w:tcPr>
            <w:tcW w:w="1188" w:type="dxa"/>
            <w:vAlign w:val="center"/>
          </w:tcPr>
          <w:p w14:paraId="20EBD9CC" w14:textId="5F22FDE7" w:rsidR="0035790D" w:rsidRDefault="0035790D" w:rsidP="0035790D">
            <w:pPr>
              <w:jc w:val="center"/>
              <w:rPr>
                <w:rFonts w:ascii="Arial" w:hAnsi="Arial"/>
              </w:rPr>
            </w:pPr>
            <w:r>
              <w:rPr>
                <w:rFonts w:ascii="Arial" w:hAnsi="Arial" w:cs="Arial"/>
                <w:color w:val="000000"/>
              </w:rPr>
              <w:t>6.285</w:t>
            </w:r>
          </w:p>
        </w:tc>
      </w:tr>
      <w:tr w:rsidR="0035790D" w:rsidRPr="00E676D9" w14:paraId="0BD598E3" w14:textId="130F31AB" w:rsidTr="00402869">
        <w:trPr>
          <w:jc w:val="center"/>
        </w:trPr>
        <w:tc>
          <w:tcPr>
            <w:tcW w:w="828" w:type="dxa"/>
          </w:tcPr>
          <w:p w14:paraId="6EB9AEEE" w14:textId="77777777" w:rsidR="0035790D" w:rsidRPr="00E676D9" w:rsidRDefault="0035790D" w:rsidP="0035790D">
            <w:pPr>
              <w:jc w:val="center"/>
              <w:rPr>
                <w:rFonts w:ascii="Arial" w:hAnsi="Arial"/>
              </w:rPr>
            </w:pPr>
            <w:r>
              <w:rPr>
                <w:rFonts w:ascii="Arial" w:hAnsi="Arial"/>
              </w:rPr>
              <w:t>9.5</w:t>
            </w:r>
          </w:p>
        </w:tc>
        <w:tc>
          <w:tcPr>
            <w:tcW w:w="900" w:type="dxa"/>
          </w:tcPr>
          <w:p w14:paraId="6478CDC8" w14:textId="77777777" w:rsidR="0035790D" w:rsidRPr="00E676D9" w:rsidRDefault="0035790D" w:rsidP="0035790D">
            <w:pPr>
              <w:jc w:val="center"/>
              <w:rPr>
                <w:rFonts w:ascii="Arial" w:hAnsi="Arial"/>
              </w:rPr>
            </w:pPr>
            <w:r>
              <w:rPr>
                <w:rFonts w:ascii="Arial" w:hAnsi="Arial"/>
              </w:rPr>
              <w:t>Shingle</w:t>
            </w:r>
          </w:p>
        </w:tc>
        <w:tc>
          <w:tcPr>
            <w:tcW w:w="1170" w:type="dxa"/>
          </w:tcPr>
          <w:p w14:paraId="097B4C19" w14:textId="77777777" w:rsidR="0035790D" w:rsidRPr="00E676D9" w:rsidRDefault="0035790D" w:rsidP="0035790D">
            <w:pPr>
              <w:jc w:val="center"/>
              <w:rPr>
                <w:rFonts w:ascii="Arial" w:hAnsi="Arial"/>
              </w:rPr>
            </w:pPr>
            <w:r>
              <w:rPr>
                <w:rFonts w:ascii="Arial" w:hAnsi="Arial"/>
              </w:rPr>
              <w:t>0.0</w:t>
            </w:r>
          </w:p>
        </w:tc>
        <w:tc>
          <w:tcPr>
            <w:tcW w:w="1170" w:type="dxa"/>
          </w:tcPr>
          <w:p w14:paraId="5A2317C6" w14:textId="77777777" w:rsidR="0035790D" w:rsidRPr="00E676D9" w:rsidRDefault="0035790D" w:rsidP="0035790D">
            <w:pPr>
              <w:jc w:val="center"/>
              <w:rPr>
                <w:rFonts w:ascii="Arial" w:hAnsi="Arial"/>
              </w:rPr>
            </w:pPr>
            <w:r>
              <w:rPr>
                <w:rFonts w:ascii="Arial" w:hAnsi="Arial"/>
              </w:rPr>
              <w:t>4.8</w:t>
            </w:r>
          </w:p>
        </w:tc>
        <w:tc>
          <w:tcPr>
            <w:tcW w:w="1170" w:type="dxa"/>
          </w:tcPr>
          <w:p w14:paraId="0F53E5B8" w14:textId="77777777" w:rsidR="0035790D" w:rsidRPr="00E676D9" w:rsidRDefault="0035790D" w:rsidP="0035790D">
            <w:pPr>
              <w:jc w:val="center"/>
              <w:rPr>
                <w:rFonts w:ascii="Arial" w:hAnsi="Arial"/>
              </w:rPr>
            </w:pPr>
            <w:r>
              <w:rPr>
                <w:rFonts w:ascii="Arial" w:hAnsi="Arial"/>
              </w:rPr>
              <w:t>39.2</w:t>
            </w:r>
          </w:p>
        </w:tc>
        <w:tc>
          <w:tcPr>
            <w:tcW w:w="1170" w:type="dxa"/>
          </w:tcPr>
          <w:p w14:paraId="20A06EB4" w14:textId="77777777" w:rsidR="0035790D" w:rsidRPr="00E676D9" w:rsidRDefault="0035790D" w:rsidP="0035790D">
            <w:pPr>
              <w:jc w:val="center"/>
              <w:rPr>
                <w:rFonts w:ascii="Arial" w:hAnsi="Arial"/>
              </w:rPr>
            </w:pPr>
            <w:r>
              <w:rPr>
                <w:rFonts w:ascii="Arial" w:hAnsi="Arial"/>
              </w:rPr>
              <w:t>6.4</w:t>
            </w:r>
          </w:p>
        </w:tc>
        <w:tc>
          <w:tcPr>
            <w:tcW w:w="1260" w:type="dxa"/>
          </w:tcPr>
          <w:p w14:paraId="45C3C555" w14:textId="77777777" w:rsidR="0035790D" w:rsidRPr="00E676D9" w:rsidRDefault="0035790D" w:rsidP="0035790D">
            <w:pPr>
              <w:jc w:val="center"/>
              <w:rPr>
                <w:rFonts w:ascii="Arial" w:hAnsi="Arial"/>
              </w:rPr>
            </w:pPr>
            <w:r>
              <w:rPr>
                <w:rFonts w:ascii="Arial" w:hAnsi="Arial"/>
              </w:rPr>
              <w:t>11.61</w:t>
            </w:r>
          </w:p>
        </w:tc>
        <w:tc>
          <w:tcPr>
            <w:tcW w:w="1188" w:type="dxa"/>
          </w:tcPr>
          <w:p w14:paraId="027634D6"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48F11655" w14:textId="5C737270" w:rsidR="0035790D" w:rsidRDefault="0035790D" w:rsidP="0035790D">
            <w:pPr>
              <w:jc w:val="center"/>
              <w:rPr>
                <w:rFonts w:ascii="Arial" w:hAnsi="Arial"/>
              </w:rPr>
            </w:pPr>
            <w:r>
              <w:rPr>
                <w:rFonts w:ascii="Arial" w:hAnsi="Arial" w:cs="Arial"/>
                <w:color w:val="000000"/>
              </w:rPr>
              <w:t>5.221</w:t>
            </w:r>
          </w:p>
        </w:tc>
      </w:tr>
      <w:tr w:rsidR="0035790D" w:rsidRPr="00E676D9" w14:paraId="2778C1F0" w14:textId="63F290F8" w:rsidTr="00402869">
        <w:trPr>
          <w:jc w:val="center"/>
        </w:trPr>
        <w:tc>
          <w:tcPr>
            <w:tcW w:w="828" w:type="dxa"/>
          </w:tcPr>
          <w:p w14:paraId="1C56F737" w14:textId="77777777" w:rsidR="0035790D" w:rsidRPr="00E676D9" w:rsidRDefault="0035790D" w:rsidP="0035790D">
            <w:pPr>
              <w:jc w:val="center"/>
              <w:rPr>
                <w:rFonts w:ascii="Arial" w:hAnsi="Arial"/>
              </w:rPr>
            </w:pPr>
            <w:r>
              <w:rPr>
                <w:rFonts w:ascii="Arial" w:hAnsi="Arial"/>
              </w:rPr>
              <w:t>9.5</w:t>
            </w:r>
          </w:p>
        </w:tc>
        <w:tc>
          <w:tcPr>
            <w:tcW w:w="900" w:type="dxa"/>
          </w:tcPr>
          <w:p w14:paraId="4F56ACAC" w14:textId="77777777" w:rsidR="0035790D" w:rsidRPr="00E676D9" w:rsidRDefault="0035790D" w:rsidP="0035790D">
            <w:pPr>
              <w:jc w:val="center"/>
              <w:rPr>
                <w:rFonts w:ascii="Arial" w:hAnsi="Arial"/>
              </w:rPr>
            </w:pPr>
            <w:r>
              <w:rPr>
                <w:rFonts w:ascii="Arial" w:hAnsi="Arial"/>
              </w:rPr>
              <w:t>RAP</w:t>
            </w:r>
          </w:p>
        </w:tc>
        <w:tc>
          <w:tcPr>
            <w:tcW w:w="1170" w:type="dxa"/>
          </w:tcPr>
          <w:p w14:paraId="4B2B19D0" w14:textId="77777777" w:rsidR="0035790D" w:rsidRPr="00E676D9" w:rsidRDefault="0035790D" w:rsidP="0035790D">
            <w:pPr>
              <w:jc w:val="center"/>
              <w:rPr>
                <w:rFonts w:ascii="Arial" w:hAnsi="Arial"/>
              </w:rPr>
            </w:pPr>
            <w:r>
              <w:rPr>
                <w:rFonts w:ascii="Arial" w:hAnsi="Arial"/>
              </w:rPr>
              <w:t>0.0</w:t>
            </w:r>
          </w:p>
        </w:tc>
        <w:tc>
          <w:tcPr>
            <w:tcW w:w="1170" w:type="dxa"/>
          </w:tcPr>
          <w:p w14:paraId="4F8A221E" w14:textId="77777777" w:rsidR="0035790D" w:rsidRPr="00E676D9" w:rsidRDefault="0035790D" w:rsidP="0035790D">
            <w:pPr>
              <w:jc w:val="center"/>
              <w:rPr>
                <w:rFonts w:ascii="Arial" w:hAnsi="Arial"/>
              </w:rPr>
            </w:pPr>
            <w:r>
              <w:rPr>
                <w:rFonts w:ascii="Arial" w:hAnsi="Arial"/>
              </w:rPr>
              <w:t>4.7</w:t>
            </w:r>
          </w:p>
        </w:tc>
        <w:tc>
          <w:tcPr>
            <w:tcW w:w="1170" w:type="dxa"/>
          </w:tcPr>
          <w:p w14:paraId="014BC5C6" w14:textId="77777777" w:rsidR="0035790D" w:rsidRPr="00E676D9" w:rsidRDefault="0035790D" w:rsidP="0035790D">
            <w:pPr>
              <w:jc w:val="center"/>
              <w:rPr>
                <w:rFonts w:ascii="Arial" w:hAnsi="Arial"/>
              </w:rPr>
            </w:pPr>
            <w:r>
              <w:rPr>
                <w:rFonts w:ascii="Arial" w:hAnsi="Arial"/>
              </w:rPr>
              <w:t>38.1</w:t>
            </w:r>
          </w:p>
        </w:tc>
        <w:tc>
          <w:tcPr>
            <w:tcW w:w="1170" w:type="dxa"/>
          </w:tcPr>
          <w:p w14:paraId="52EEED7B" w14:textId="77777777" w:rsidR="0035790D" w:rsidRPr="00E676D9" w:rsidRDefault="0035790D" w:rsidP="0035790D">
            <w:pPr>
              <w:jc w:val="center"/>
              <w:rPr>
                <w:rFonts w:ascii="Arial" w:hAnsi="Arial"/>
              </w:rPr>
            </w:pPr>
            <w:r>
              <w:rPr>
                <w:rFonts w:ascii="Arial" w:hAnsi="Arial"/>
              </w:rPr>
              <w:t>5.5</w:t>
            </w:r>
          </w:p>
        </w:tc>
        <w:tc>
          <w:tcPr>
            <w:tcW w:w="1260" w:type="dxa"/>
          </w:tcPr>
          <w:p w14:paraId="33197C80" w14:textId="77777777" w:rsidR="0035790D" w:rsidRPr="00E676D9" w:rsidRDefault="0035790D" w:rsidP="0035790D">
            <w:pPr>
              <w:jc w:val="center"/>
              <w:rPr>
                <w:rFonts w:ascii="Arial" w:hAnsi="Arial"/>
              </w:rPr>
            </w:pPr>
            <w:r>
              <w:rPr>
                <w:rFonts w:ascii="Arial" w:hAnsi="Arial"/>
              </w:rPr>
              <w:t>11.59</w:t>
            </w:r>
          </w:p>
        </w:tc>
        <w:tc>
          <w:tcPr>
            <w:tcW w:w="1188" w:type="dxa"/>
          </w:tcPr>
          <w:p w14:paraId="73CA0041"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6BB06EFB" w14:textId="53FA25A0" w:rsidR="0035790D" w:rsidRDefault="0035790D" w:rsidP="0035790D">
            <w:pPr>
              <w:jc w:val="center"/>
              <w:rPr>
                <w:rFonts w:ascii="Arial" w:hAnsi="Arial"/>
              </w:rPr>
            </w:pPr>
            <w:r>
              <w:rPr>
                <w:rFonts w:ascii="Arial" w:hAnsi="Arial" w:cs="Arial"/>
                <w:color w:val="000000"/>
              </w:rPr>
              <w:t>5.26</w:t>
            </w:r>
          </w:p>
        </w:tc>
      </w:tr>
      <w:tr w:rsidR="0035790D" w:rsidRPr="00E676D9" w14:paraId="1774D579" w14:textId="6A9E7ACF" w:rsidTr="00402869">
        <w:trPr>
          <w:jc w:val="center"/>
        </w:trPr>
        <w:tc>
          <w:tcPr>
            <w:tcW w:w="828" w:type="dxa"/>
          </w:tcPr>
          <w:p w14:paraId="5EB4E5A2" w14:textId="77777777" w:rsidR="0035790D" w:rsidRPr="00E676D9" w:rsidRDefault="0035790D" w:rsidP="0035790D">
            <w:pPr>
              <w:jc w:val="center"/>
              <w:rPr>
                <w:rFonts w:ascii="Arial" w:hAnsi="Arial"/>
              </w:rPr>
            </w:pPr>
            <w:r>
              <w:rPr>
                <w:rFonts w:ascii="Arial" w:hAnsi="Arial"/>
              </w:rPr>
              <w:t>9.5</w:t>
            </w:r>
          </w:p>
        </w:tc>
        <w:tc>
          <w:tcPr>
            <w:tcW w:w="900" w:type="dxa"/>
          </w:tcPr>
          <w:p w14:paraId="5CDA62B3" w14:textId="77777777" w:rsidR="0035790D" w:rsidRPr="00E676D9" w:rsidRDefault="0035790D" w:rsidP="0035790D">
            <w:pPr>
              <w:jc w:val="center"/>
              <w:rPr>
                <w:rFonts w:ascii="Arial" w:hAnsi="Arial"/>
              </w:rPr>
            </w:pPr>
            <w:r>
              <w:rPr>
                <w:rFonts w:ascii="Arial" w:hAnsi="Arial"/>
              </w:rPr>
              <w:t>Virgin</w:t>
            </w:r>
          </w:p>
        </w:tc>
        <w:tc>
          <w:tcPr>
            <w:tcW w:w="1170" w:type="dxa"/>
          </w:tcPr>
          <w:p w14:paraId="4109479E" w14:textId="77777777" w:rsidR="0035790D" w:rsidRPr="00E676D9" w:rsidRDefault="0035790D" w:rsidP="0035790D">
            <w:pPr>
              <w:jc w:val="center"/>
              <w:rPr>
                <w:rFonts w:ascii="Arial" w:hAnsi="Arial"/>
              </w:rPr>
            </w:pPr>
            <w:r>
              <w:rPr>
                <w:rFonts w:ascii="Arial" w:hAnsi="Arial"/>
              </w:rPr>
              <w:t>0.0</w:t>
            </w:r>
          </w:p>
        </w:tc>
        <w:tc>
          <w:tcPr>
            <w:tcW w:w="1170" w:type="dxa"/>
          </w:tcPr>
          <w:p w14:paraId="1C0D4308" w14:textId="77777777" w:rsidR="0035790D" w:rsidRPr="00E676D9" w:rsidRDefault="0035790D" w:rsidP="0035790D">
            <w:pPr>
              <w:jc w:val="center"/>
              <w:rPr>
                <w:rFonts w:ascii="Arial" w:hAnsi="Arial"/>
              </w:rPr>
            </w:pPr>
            <w:r>
              <w:rPr>
                <w:rFonts w:ascii="Arial" w:hAnsi="Arial"/>
              </w:rPr>
              <w:t>3.7</w:t>
            </w:r>
          </w:p>
        </w:tc>
        <w:tc>
          <w:tcPr>
            <w:tcW w:w="1170" w:type="dxa"/>
          </w:tcPr>
          <w:p w14:paraId="43D13A16" w14:textId="77777777" w:rsidR="0035790D" w:rsidRPr="00E676D9" w:rsidRDefault="0035790D" w:rsidP="0035790D">
            <w:pPr>
              <w:jc w:val="center"/>
              <w:rPr>
                <w:rFonts w:ascii="Arial" w:hAnsi="Arial"/>
              </w:rPr>
            </w:pPr>
            <w:r>
              <w:rPr>
                <w:rFonts w:ascii="Arial" w:hAnsi="Arial"/>
              </w:rPr>
              <w:t>34.5</w:t>
            </w:r>
          </w:p>
        </w:tc>
        <w:tc>
          <w:tcPr>
            <w:tcW w:w="1170" w:type="dxa"/>
          </w:tcPr>
          <w:p w14:paraId="4CAE2FF7" w14:textId="77777777" w:rsidR="0035790D" w:rsidRPr="00E676D9" w:rsidRDefault="0035790D" w:rsidP="0035790D">
            <w:pPr>
              <w:jc w:val="center"/>
              <w:rPr>
                <w:rFonts w:ascii="Arial" w:hAnsi="Arial"/>
              </w:rPr>
            </w:pPr>
            <w:r>
              <w:rPr>
                <w:rFonts w:ascii="Arial" w:hAnsi="Arial"/>
              </w:rPr>
              <w:t>6.0</w:t>
            </w:r>
          </w:p>
        </w:tc>
        <w:tc>
          <w:tcPr>
            <w:tcW w:w="1260" w:type="dxa"/>
          </w:tcPr>
          <w:p w14:paraId="5172E5A1" w14:textId="77777777" w:rsidR="0035790D" w:rsidRPr="00E676D9" w:rsidRDefault="0035790D" w:rsidP="0035790D">
            <w:pPr>
              <w:jc w:val="center"/>
              <w:rPr>
                <w:rFonts w:ascii="Arial" w:hAnsi="Arial"/>
              </w:rPr>
            </w:pPr>
            <w:r>
              <w:rPr>
                <w:rFonts w:ascii="Arial" w:hAnsi="Arial"/>
              </w:rPr>
              <w:t>11.88</w:t>
            </w:r>
          </w:p>
        </w:tc>
        <w:tc>
          <w:tcPr>
            <w:tcW w:w="1188" w:type="dxa"/>
          </w:tcPr>
          <w:p w14:paraId="3FE03598"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5CDA3921" w14:textId="3E825D64" w:rsidR="0035790D" w:rsidRDefault="0035790D" w:rsidP="0035790D">
            <w:pPr>
              <w:jc w:val="center"/>
              <w:rPr>
                <w:rFonts w:ascii="Arial" w:hAnsi="Arial"/>
              </w:rPr>
            </w:pPr>
            <w:r>
              <w:rPr>
                <w:rFonts w:ascii="Arial" w:hAnsi="Arial" w:cs="Arial"/>
                <w:color w:val="000000"/>
              </w:rPr>
              <w:t>5.838</w:t>
            </w:r>
          </w:p>
        </w:tc>
      </w:tr>
      <w:tr w:rsidR="0035790D" w:rsidRPr="00E676D9" w14:paraId="14252E4A" w14:textId="3ACE9057" w:rsidTr="00402869">
        <w:trPr>
          <w:jc w:val="center"/>
        </w:trPr>
        <w:tc>
          <w:tcPr>
            <w:tcW w:w="828" w:type="dxa"/>
          </w:tcPr>
          <w:p w14:paraId="782E40D8" w14:textId="77777777" w:rsidR="0035790D" w:rsidRPr="00E676D9" w:rsidRDefault="0035790D" w:rsidP="0035790D">
            <w:pPr>
              <w:jc w:val="center"/>
              <w:rPr>
                <w:rFonts w:ascii="Arial" w:hAnsi="Arial"/>
              </w:rPr>
            </w:pPr>
            <w:r>
              <w:rPr>
                <w:rFonts w:ascii="Arial" w:hAnsi="Arial"/>
              </w:rPr>
              <w:t>9.5</w:t>
            </w:r>
          </w:p>
        </w:tc>
        <w:tc>
          <w:tcPr>
            <w:tcW w:w="900" w:type="dxa"/>
          </w:tcPr>
          <w:p w14:paraId="217AA006" w14:textId="77777777" w:rsidR="0035790D" w:rsidRPr="00E676D9" w:rsidRDefault="0035790D" w:rsidP="0035790D">
            <w:pPr>
              <w:jc w:val="center"/>
              <w:rPr>
                <w:rFonts w:ascii="Arial" w:hAnsi="Arial"/>
              </w:rPr>
            </w:pPr>
            <w:r>
              <w:rPr>
                <w:rFonts w:ascii="Arial" w:hAnsi="Arial"/>
              </w:rPr>
              <w:t>GAP</w:t>
            </w:r>
          </w:p>
        </w:tc>
        <w:tc>
          <w:tcPr>
            <w:tcW w:w="1170" w:type="dxa"/>
          </w:tcPr>
          <w:p w14:paraId="7859BBE6" w14:textId="77777777" w:rsidR="0035790D" w:rsidRPr="00E676D9" w:rsidRDefault="0035790D" w:rsidP="0035790D">
            <w:pPr>
              <w:jc w:val="center"/>
              <w:rPr>
                <w:rFonts w:ascii="Arial" w:hAnsi="Arial"/>
              </w:rPr>
            </w:pPr>
            <w:r>
              <w:rPr>
                <w:rFonts w:ascii="Arial" w:hAnsi="Arial"/>
              </w:rPr>
              <w:t>0.0</w:t>
            </w:r>
          </w:p>
        </w:tc>
        <w:tc>
          <w:tcPr>
            <w:tcW w:w="1170" w:type="dxa"/>
          </w:tcPr>
          <w:p w14:paraId="258A6FD3" w14:textId="77777777" w:rsidR="0035790D" w:rsidRPr="00E676D9" w:rsidRDefault="0035790D" w:rsidP="0035790D">
            <w:pPr>
              <w:jc w:val="center"/>
              <w:rPr>
                <w:rFonts w:ascii="Arial" w:hAnsi="Arial"/>
              </w:rPr>
            </w:pPr>
            <w:r>
              <w:rPr>
                <w:rFonts w:ascii="Arial" w:hAnsi="Arial"/>
              </w:rPr>
              <w:t>10.7</w:t>
            </w:r>
          </w:p>
        </w:tc>
        <w:tc>
          <w:tcPr>
            <w:tcW w:w="1170" w:type="dxa"/>
          </w:tcPr>
          <w:p w14:paraId="4AF0C280" w14:textId="77777777" w:rsidR="0035790D" w:rsidRPr="00E676D9" w:rsidRDefault="0035790D" w:rsidP="0035790D">
            <w:pPr>
              <w:jc w:val="center"/>
              <w:rPr>
                <w:rFonts w:ascii="Arial" w:hAnsi="Arial"/>
              </w:rPr>
            </w:pPr>
            <w:r>
              <w:rPr>
                <w:rFonts w:ascii="Arial" w:hAnsi="Arial"/>
              </w:rPr>
              <w:t>61.3</w:t>
            </w:r>
          </w:p>
        </w:tc>
        <w:tc>
          <w:tcPr>
            <w:tcW w:w="1170" w:type="dxa"/>
          </w:tcPr>
          <w:p w14:paraId="116281F8" w14:textId="77777777" w:rsidR="0035790D" w:rsidRPr="00E676D9" w:rsidRDefault="0035790D" w:rsidP="0035790D">
            <w:pPr>
              <w:jc w:val="center"/>
              <w:rPr>
                <w:rFonts w:ascii="Arial" w:hAnsi="Arial"/>
              </w:rPr>
            </w:pPr>
            <w:r>
              <w:rPr>
                <w:rFonts w:ascii="Arial" w:hAnsi="Arial"/>
              </w:rPr>
              <w:t>9.2</w:t>
            </w:r>
          </w:p>
        </w:tc>
        <w:tc>
          <w:tcPr>
            <w:tcW w:w="1260" w:type="dxa"/>
          </w:tcPr>
          <w:p w14:paraId="0B20B5ED" w14:textId="77777777" w:rsidR="0035790D" w:rsidRPr="00E676D9" w:rsidRDefault="0035790D" w:rsidP="0035790D">
            <w:pPr>
              <w:jc w:val="center"/>
              <w:rPr>
                <w:rFonts w:ascii="Arial" w:hAnsi="Arial"/>
              </w:rPr>
            </w:pPr>
            <w:r>
              <w:rPr>
                <w:rFonts w:ascii="Arial" w:hAnsi="Arial"/>
              </w:rPr>
              <w:t>14.85</w:t>
            </w:r>
          </w:p>
        </w:tc>
        <w:tc>
          <w:tcPr>
            <w:tcW w:w="1188" w:type="dxa"/>
          </w:tcPr>
          <w:p w14:paraId="00F00CBC"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21841BEB" w14:textId="2A459F3E" w:rsidR="0035790D" w:rsidRDefault="0035790D" w:rsidP="0035790D">
            <w:pPr>
              <w:jc w:val="center"/>
              <w:rPr>
                <w:rFonts w:ascii="Arial" w:hAnsi="Arial"/>
              </w:rPr>
            </w:pPr>
            <w:r>
              <w:rPr>
                <w:rFonts w:ascii="Arial" w:hAnsi="Arial" w:cs="Arial"/>
                <w:color w:val="000000"/>
              </w:rPr>
              <w:t>6.652</w:t>
            </w:r>
          </w:p>
        </w:tc>
      </w:tr>
      <w:tr w:rsidR="0035790D" w:rsidRPr="00E676D9" w14:paraId="6317AEA7" w14:textId="642FD6B1" w:rsidTr="00402869">
        <w:trPr>
          <w:jc w:val="center"/>
        </w:trPr>
        <w:tc>
          <w:tcPr>
            <w:tcW w:w="828" w:type="dxa"/>
          </w:tcPr>
          <w:p w14:paraId="716D83E1" w14:textId="77777777" w:rsidR="0035790D" w:rsidRPr="00E676D9" w:rsidRDefault="0035790D" w:rsidP="0035790D">
            <w:pPr>
              <w:jc w:val="center"/>
              <w:rPr>
                <w:rFonts w:ascii="Arial" w:hAnsi="Arial"/>
              </w:rPr>
            </w:pPr>
            <w:r>
              <w:rPr>
                <w:rFonts w:ascii="Arial" w:hAnsi="Arial"/>
              </w:rPr>
              <w:t>9.5</w:t>
            </w:r>
          </w:p>
        </w:tc>
        <w:tc>
          <w:tcPr>
            <w:tcW w:w="900" w:type="dxa"/>
          </w:tcPr>
          <w:p w14:paraId="11694085" w14:textId="274B2EAC" w:rsidR="0035790D" w:rsidRPr="00E676D9" w:rsidRDefault="0035790D" w:rsidP="0035790D">
            <w:pPr>
              <w:jc w:val="center"/>
              <w:rPr>
                <w:rFonts w:ascii="Arial" w:hAnsi="Arial"/>
              </w:rPr>
            </w:pPr>
            <w:r>
              <w:rPr>
                <w:rFonts w:ascii="Arial" w:hAnsi="Arial"/>
              </w:rPr>
              <w:t>HDFV</w:t>
            </w:r>
          </w:p>
        </w:tc>
        <w:tc>
          <w:tcPr>
            <w:tcW w:w="1170" w:type="dxa"/>
          </w:tcPr>
          <w:p w14:paraId="0DDCEE3C" w14:textId="77777777" w:rsidR="0035790D" w:rsidRPr="00E676D9" w:rsidRDefault="0035790D" w:rsidP="0035790D">
            <w:pPr>
              <w:jc w:val="center"/>
              <w:rPr>
                <w:rFonts w:ascii="Arial" w:hAnsi="Arial"/>
              </w:rPr>
            </w:pPr>
            <w:r>
              <w:rPr>
                <w:rFonts w:ascii="Arial" w:hAnsi="Arial"/>
              </w:rPr>
              <w:t>0.0</w:t>
            </w:r>
          </w:p>
        </w:tc>
        <w:tc>
          <w:tcPr>
            <w:tcW w:w="1170" w:type="dxa"/>
          </w:tcPr>
          <w:p w14:paraId="6FAC24F2" w14:textId="77777777" w:rsidR="0035790D" w:rsidRPr="00E676D9" w:rsidRDefault="0035790D" w:rsidP="0035790D">
            <w:pPr>
              <w:jc w:val="center"/>
              <w:rPr>
                <w:rFonts w:ascii="Arial" w:hAnsi="Arial"/>
              </w:rPr>
            </w:pPr>
            <w:r>
              <w:rPr>
                <w:rFonts w:ascii="Arial" w:hAnsi="Arial"/>
              </w:rPr>
              <w:t>3.4</w:t>
            </w:r>
          </w:p>
        </w:tc>
        <w:tc>
          <w:tcPr>
            <w:tcW w:w="1170" w:type="dxa"/>
          </w:tcPr>
          <w:p w14:paraId="3A125E1C" w14:textId="77777777" w:rsidR="0035790D" w:rsidRPr="00E676D9" w:rsidRDefault="0035790D" w:rsidP="0035790D">
            <w:pPr>
              <w:jc w:val="center"/>
              <w:rPr>
                <w:rFonts w:ascii="Arial" w:hAnsi="Arial"/>
              </w:rPr>
            </w:pPr>
            <w:r>
              <w:rPr>
                <w:rFonts w:ascii="Arial" w:hAnsi="Arial"/>
              </w:rPr>
              <w:t>36.7</w:t>
            </w:r>
          </w:p>
        </w:tc>
        <w:tc>
          <w:tcPr>
            <w:tcW w:w="1170" w:type="dxa"/>
          </w:tcPr>
          <w:p w14:paraId="6DB13E4C" w14:textId="77777777" w:rsidR="0035790D" w:rsidRPr="00E676D9" w:rsidRDefault="0035790D" w:rsidP="0035790D">
            <w:pPr>
              <w:jc w:val="center"/>
              <w:rPr>
                <w:rFonts w:ascii="Arial" w:hAnsi="Arial"/>
              </w:rPr>
            </w:pPr>
            <w:r>
              <w:rPr>
                <w:rFonts w:ascii="Arial" w:hAnsi="Arial"/>
              </w:rPr>
              <w:t>5.5</w:t>
            </w:r>
          </w:p>
        </w:tc>
        <w:tc>
          <w:tcPr>
            <w:tcW w:w="1260" w:type="dxa"/>
          </w:tcPr>
          <w:p w14:paraId="43AFD98D" w14:textId="77777777" w:rsidR="0035790D" w:rsidRPr="00E676D9" w:rsidRDefault="0035790D" w:rsidP="0035790D">
            <w:pPr>
              <w:jc w:val="center"/>
              <w:rPr>
                <w:rFonts w:ascii="Arial" w:hAnsi="Arial"/>
              </w:rPr>
            </w:pPr>
            <w:r>
              <w:rPr>
                <w:rFonts w:ascii="Arial" w:hAnsi="Arial"/>
              </w:rPr>
              <w:t>11.76</w:t>
            </w:r>
          </w:p>
        </w:tc>
        <w:tc>
          <w:tcPr>
            <w:tcW w:w="1188" w:type="dxa"/>
          </w:tcPr>
          <w:p w14:paraId="4C39DE73"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1A4C39B7" w14:textId="4BFAE62A" w:rsidR="0035790D" w:rsidRDefault="0035790D" w:rsidP="0035790D">
            <w:pPr>
              <w:jc w:val="center"/>
              <w:rPr>
                <w:rFonts w:ascii="Arial" w:hAnsi="Arial"/>
              </w:rPr>
            </w:pPr>
            <w:r>
              <w:rPr>
                <w:rFonts w:ascii="Arial" w:hAnsi="Arial" w:cs="Arial"/>
                <w:color w:val="000000"/>
              </w:rPr>
              <w:t>5.314</w:t>
            </w:r>
          </w:p>
        </w:tc>
      </w:tr>
      <w:tr w:rsidR="0035790D" w:rsidRPr="00E676D9" w14:paraId="60DB9294" w14:textId="794EED28" w:rsidTr="00402869">
        <w:trPr>
          <w:jc w:val="center"/>
        </w:trPr>
        <w:tc>
          <w:tcPr>
            <w:tcW w:w="828" w:type="dxa"/>
          </w:tcPr>
          <w:p w14:paraId="1E942472" w14:textId="77777777" w:rsidR="0035790D" w:rsidRPr="00E676D9" w:rsidRDefault="0035790D" w:rsidP="0035790D">
            <w:pPr>
              <w:jc w:val="center"/>
              <w:rPr>
                <w:rFonts w:ascii="Arial" w:hAnsi="Arial"/>
              </w:rPr>
            </w:pPr>
            <w:r>
              <w:rPr>
                <w:rFonts w:ascii="Arial" w:hAnsi="Arial"/>
              </w:rPr>
              <w:t>12.5</w:t>
            </w:r>
          </w:p>
        </w:tc>
        <w:tc>
          <w:tcPr>
            <w:tcW w:w="900" w:type="dxa"/>
          </w:tcPr>
          <w:p w14:paraId="3446F2D8" w14:textId="64567A43" w:rsidR="0035790D" w:rsidRPr="00E676D9" w:rsidRDefault="0035790D" w:rsidP="0035790D">
            <w:pPr>
              <w:jc w:val="center"/>
              <w:rPr>
                <w:rFonts w:ascii="Arial" w:hAnsi="Arial"/>
              </w:rPr>
            </w:pPr>
            <w:r>
              <w:rPr>
                <w:rFonts w:ascii="Arial" w:hAnsi="Arial"/>
              </w:rPr>
              <w:t xml:space="preserve">HDFV </w:t>
            </w:r>
          </w:p>
        </w:tc>
        <w:tc>
          <w:tcPr>
            <w:tcW w:w="1170" w:type="dxa"/>
          </w:tcPr>
          <w:p w14:paraId="20DF229C" w14:textId="77777777" w:rsidR="0035790D" w:rsidRPr="00E676D9" w:rsidRDefault="0035790D" w:rsidP="0035790D">
            <w:pPr>
              <w:jc w:val="center"/>
              <w:rPr>
                <w:rFonts w:ascii="Arial" w:hAnsi="Arial"/>
              </w:rPr>
            </w:pPr>
            <w:r>
              <w:rPr>
                <w:rFonts w:ascii="Arial" w:hAnsi="Arial"/>
              </w:rPr>
              <w:t>0.0</w:t>
            </w:r>
          </w:p>
        </w:tc>
        <w:tc>
          <w:tcPr>
            <w:tcW w:w="1170" w:type="dxa"/>
          </w:tcPr>
          <w:p w14:paraId="2B3F81DB" w14:textId="77777777" w:rsidR="0035790D" w:rsidRPr="00E676D9" w:rsidRDefault="0035790D" w:rsidP="0035790D">
            <w:pPr>
              <w:jc w:val="center"/>
              <w:rPr>
                <w:rFonts w:ascii="Arial" w:hAnsi="Arial"/>
              </w:rPr>
            </w:pPr>
            <w:r>
              <w:rPr>
                <w:rFonts w:ascii="Arial" w:hAnsi="Arial"/>
              </w:rPr>
              <w:t>14.0</w:t>
            </w:r>
          </w:p>
        </w:tc>
        <w:tc>
          <w:tcPr>
            <w:tcW w:w="1170" w:type="dxa"/>
          </w:tcPr>
          <w:p w14:paraId="3E657777" w14:textId="77777777" w:rsidR="0035790D" w:rsidRPr="00E676D9" w:rsidRDefault="0035790D" w:rsidP="0035790D">
            <w:pPr>
              <w:jc w:val="center"/>
              <w:rPr>
                <w:rFonts w:ascii="Arial" w:hAnsi="Arial"/>
              </w:rPr>
            </w:pPr>
            <w:r>
              <w:rPr>
                <w:rFonts w:ascii="Arial" w:hAnsi="Arial"/>
              </w:rPr>
              <w:t>49.1</w:t>
            </w:r>
          </w:p>
        </w:tc>
        <w:tc>
          <w:tcPr>
            <w:tcW w:w="1170" w:type="dxa"/>
          </w:tcPr>
          <w:p w14:paraId="55A4DFF4" w14:textId="77777777" w:rsidR="0035790D" w:rsidRPr="00E676D9" w:rsidRDefault="0035790D" w:rsidP="0035790D">
            <w:pPr>
              <w:jc w:val="center"/>
              <w:rPr>
                <w:rFonts w:ascii="Arial" w:hAnsi="Arial"/>
              </w:rPr>
            </w:pPr>
            <w:r>
              <w:rPr>
                <w:rFonts w:ascii="Arial" w:hAnsi="Arial"/>
              </w:rPr>
              <w:t>5.1</w:t>
            </w:r>
          </w:p>
        </w:tc>
        <w:tc>
          <w:tcPr>
            <w:tcW w:w="1260" w:type="dxa"/>
          </w:tcPr>
          <w:p w14:paraId="313077AC" w14:textId="77777777" w:rsidR="0035790D" w:rsidRPr="00E676D9" w:rsidRDefault="0035790D" w:rsidP="0035790D">
            <w:pPr>
              <w:jc w:val="center"/>
              <w:rPr>
                <w:rFonts w:ascii="Arial" w:hAnsi="Arial"/>
              </w:rPr>
            </w:pPr>
            <w:r>
              <w:rPr>
                <w:rFonts w:ascii="Arial" w:hAnsi="Arial"/>
              </w:rPr>
              <w:t>11.09</w:t>
            </w:r>
          </w:p>
        </w:tc>
        <w:tc>
          <w:tcPr>
            <w:tcW w:w="1188" w:type="dxa"/>
          </w:tcPr>
          <w:p w14:paraId="2B6BC7C5"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63ED02E7" w14:textId="735CAE86" w:rsidR="0035790D" w:rsidRDefault="0035790D" w:rsidP="0035790D">
            <w:pPr>
              <w:jc w:val="center"/>
              <w:rPr>
                <w:rFonts w:ascii="Arial" w:hAnsi="Arial"/>
              </w:rPr>
            </w:pPr>
            <w:r>
              <w:rPr>
                <w:rFonts w:ascii="Arial" w:hAnsi="Arial" w:cs="Arial"/>
                <w:color w:val="000000"/>
              </w:rPr>
              <w:t>4.963</w:t>
            </w:r>
          </w:p>
        </w:tc>
      </w:tr>
      <w:tr w:rsidR="0035790D" w:rsidRPr="00E676D9" w14:paraId="23FE4A47" w14:textId="16953D00" w:rsidTr="00402869">
        <w:trPr>
          <w:jc w:val="center"/>
        </w:trPr>
        <w:tc>
          <w:tcPr>
            <w:tcW w:w="828" w:type="dxa"/>
          </w:tcPr>
          <w:p w14:paraId="62931294" w14:textId="77777777" w:rsidR="0035790D" w:rsidRPr="00E676D9" w:rsidRDefault="0035790D" w:rsidP="0035790D">
            <w:pPr>
              <w:jc w:val="center"/>
              <w:rPr>
                <w:rFonts w:ascii="Arial" w:hAnsi="Arial"/>
              </w:rPr>
            </w:pPr>
            <w:r>
              <w:rPr>
                <w:rFonts w:ascii="Arial" w:hAnsi="Arial"/>
              </w:rPr>
              <w:t>12.5</w:t>
            </w:r>
          </w:p>
        </w:tc>
        <w:tc>
          <w:tcPr>
            <w:tcW w:w="900" w:type="dxa"/>
          </w:tcPr>
          <w:p w14:paraId="3F3C974D" w14:textId="77777777" w:rsidR="0035790D" w:rsidRPr="00E676D9" w:rsidRDefault="0035790D" w:rsidP="0035790D">
            <w:pPr>
              <w:jc w:val="center"/>
              <w:rPr>
                <w:rFonts w:ascii="Arial" w:hAnsi="Arial"/>
              </w:rPr>
            </w:pPr>
            <w:r>
              <w:rPr>
                <w:rFonts w:ascii="Arial" w:hAnsi="Arial"/>
              </w:rPr>
              <w:t>RAP</w:t>
            </w:r>
          </w:p>
        </w:tc>
        <w:tc>
          <w:tcPr>
            <w:tcW w:w="1170" w:type="dxa"/>
          </w:tcPr>
          <w:p w14:paraId="12852F28" w14:textId="77777777" w:rsidR="0035790D" w:rsidRPr="00E676D9" w:rsidRDefault="0035790D" w:rsidP="0035790D">
            <w:pPr>
              <w:jc w:val="center"/>
              <w:rPr>
                <w:rFonts w:ascii="Arial" w:hAnsi="Arial"/>
              </w:rPr>
            </w:pPr>
            <w:r>
              <w:rPr>
                <w:rFonts w:ascii="Arial" w:hAnsi="Arial"/>
              </w:rPr>
              <w:t>0.0</w:t>
            </w:r>
          </w:p>
        </w:tc>
        <w:tc>
          <w:tcPr>
            <w:tcW w:w="1170" w:type="dxa"/>
          </w:tcPr>
          <w:p w14:paraId="1A6EBE44" w14:textId="77777777" w:rsidR="0035790D" w:rsidRPr="00E676D9" w:rsidRDefault="0035790D" w:rsidP="0035790D">
            <w:pPr>
              <w:jc w:val="center"/>
              <w:rPr>
                <w:rFonts w:ascii="Arial" w:hAnsi="Arial"/>
              </w:rPr>
            </w:pPr>
            <w:r>
              <w:rPr>
                <w:rFonts w:ascii="Arial" w:hAnsi="Arial"/>
              </w:rPr>
              <w:t>13.0</w:t>
            </w:r>
          </w:p>
        </w:tc>
        <w:tc>
          <w:tcPr>
            <w:tcW w:w="1170" w:type="dxa"/>
          </w:tcPr>
          <w:p w14:paraId="2585FB0A" w14:textId="77777777" w:rsidR="0035790D" w:rsidRPr="00E676D9" w:rsidRDefault="0035790D" w:rsidP="0035790D">
            <w:pPr>
              <w:jc w:val="center"/>
              <w:rPr>
                <w:rFonts w:ascii="Arial" w:hAnsi="Arial"/>
              </w:rPr>
            </w:pPr>
            <w:r>
              <w:rPr>
                <w:rFonts w:ascii="Arial" w:hAnsi="Arial"/>
              </w:rPr>
              <w:t>50.0</w:t>
            </w:r>
          </w:p>
        </w:tc>
        <w:tc>
          <w:tcPr>
            <w:tcW w:w="1170" w:type="dxa"/>
          </w:tcPr>
          <w:p w14:paraId="1FFC7B49" w14:textId="77777777" w:rsidR="0035790D" w:rsidRPr="00E676D9" w:rsidRDefault="0035790D" w:rsidP="0035790D">
            <w:pPr>
              <w:jc w:val="center"/>
              <w:rPr>
                <w:rFonts w:ascii="Arial" w:hAnsi="Arial"/>
              </w:rPr>
            </w:pPr>
            <w:r>
              <w:rPr>
                <w:rFonts w:ascii="Arial" w:hAnsi="Arial"/>
              </w:rPr>
              <w:t>5.4</w:t>
            </w:r>
          </w:p>
        </w:tc>
        <w:tc>
          <w:tcPr>
            <w:tcW w:w="1260" w:type="dxa"/>
          </w:tcPr>
          <w:p w14:paraId="34127264" w14:textId="77777777" w:rsidR="0035790D" w:rsidRPr="00E676D9" w:rsidRDefault="0035790D" w:rsidP="0035790D">
            <w:pPr>
              <w:jc w:val="center"/>
              <w:rPr>
                <w:rFonts w:ascii="Arial" w:hAnsi="Arial"/>
              </w:rPr>
            </w:pPr>
            <w:r>
              <w:rPr>
                <w:rFonts w:ascii="Arial" w:hAnsi="Arial"/>
              </w:rPr>
              <w:t>10.70</w:t>
            </w:r>
          </w:p>
        </w:tc>
        <w:tc>
          <w:tcPr>
            <w:tcW w:w="1188" w:type="dxa"/>
          </w:tcPr>
          <w:p w14:paraId="42BB3C1F"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7651DDBF" w14:textId="45A03FA5" w:rsidR="0035790D" w:rsidRDefault="0035790D" w:rsidP="0035790D">
            <w:pPr>
              <w:jc w:val="center"/>
              <w:rPr>
                <w:rFonts w:ascii="Arial" w:hAnsi="Arial"/>
              </w:rPr>
            </w:pPr>
            <w:r>
              <w:rPr>
                <w:rFonts w:ascii="Arial" w:hAnsi="Arial" w:cs="Arial"/>
                <w:color w:val="000000"/>
              </w:rPr>
              <w:t>4.977</w:t>
            </w:r>
          </w:p>
        </w:tc>
      </w:tr>
      <w:tr w:rsidR="0035790D" w:rsidRPr="00E676D9" w14:paraId="01362774" w14:textId="3DB4E3CB" w:rsidTr="00402869">
        <w:trPr>
          <w:jc w:val="center"/>
        </w:trPr>
        <w:tc>
          <w:tcPr>
            <w:tcW w:w="828" w:type="dxa"/>
          </w:tcPr>
          <w:p w14:paraId="6D74578A" w14:textId="77777777" w:rsidR="0035790D" w:rsidRPr="00E676D9" w:rsidRDefault="0035790D" w:rsidP="0035790D">
            <w:pPr>
              <w:jc w:val="center"/>
              <w:rPr>
                <w:rFonts w:ascii="Arial" w:hAnsi="Arial"/>
              </w:rPr>
            </w:pPr>
            <w:r>
              <w:rPr>
                <w:rFonts w:ascii="Arial" w:hAnsi="Arial"/>
              </w:rPr>
              <w:t>12.5</w:t>
            </w:r>
          </w:p>
        </w:tc>
        <w:tc>
          <w:tcPr>
            <w:tcW w:w="900" w:type="dxa"/>
          </w:tcPr>
          <w:p w14:paraId="234F297E" w14:textId="77777777" w:rsidR="0035790D" w:rsidRPr="00E676D9" w:rsidRDefault="0035790D" w:rsidP="0035790D">
            <w:pPr>
              <w:jc w:val="center"/>
              <w:rPr>
                <w:rFonts w:ascii="Arial" w:hAnsi="Arial"/>
              </w:rPr>
            </w:pPr>
            <w:r>
              <w:rPr>
                <w:rFonts w:ascii="Arial" w:hAnsi="Arial"/>
              </w:rPr>
              <w:t>Shingle</w:t>
            </w:r>
          </w:p>
        </w:tc>
        <w:tc>
          <w:tcPr>
            <w:tcW w:w="1170" w:type="dxa"/>
          </w:tcPr>
          <w:p w14:paraId="2EF79107" w14:textId="77777777" w:rsidR="0035790D" w:rsidRPr="00E676D9" w:rsidRDefault="0035790D" w:rsidP="0035790D">
            <w:pPr>
              <w:jc w:val="center"/>
              <w:rPr>
                <w:rFonts w:ascii="Arial" w:hAnsi="Arial"/>
              </w:rPr>
            </w:pPr>
            <w:r>
              <w:rPr>
                <w:rFonts w:ascii="Arial" w:hAnsi="Arial"/>
              </w:rPr>
              <w:t>0.0</w:t>
            </w:r>
          </w:p>
        </w:tc>
        <w:tc>
          <w:tcPr>
            <w:tcW w:w="1170" w:type="dxa"/>
          </w:tcPr>
          <w:p w14:paraId="6A83939B" w14:textId="77777777" w:rsidR="0035790D" w:rsidRPr="00E676D9" w:rsidRDefault="0035790D" w:rsidP="0035790D">
            <w:pPr>
              <w:jc w:val="center"/>
              <w:rPr>
                <w:rFonts w:ascii="Arial" w:hAnsi="Arial"/>
              </w:rPr>
            </w:pPr>
            <w:r>
              <w:rPr>
                <w:rFonts w:ascii="Arial" w:hAnsi="Arial"/>
              </w:rPr>
              <w:t>14.2</w:t>
            </w:r>
          </w:p>
        </w:tc>
        <w:tc>
          <w:tcPr>
            <w:tcW w:w="1170" w:type="dxa"/>
          </w:tcPr>
          <w:p w14:paraId="54C287E2" w14:textId="77777777" w:rsidR="0035790D" w:rsidRPr="00E676D9" w:rsidRDefault="0035790D" w:rsidP="0035790D">
            <w:pPr>
              <w:jc w:val="center"/>
              <w:rPr>
                <w:rFonts w:ascii="Arial" w:hAnsi="Arial"/>
              </w:rPr>
            </w:pPr>
            <w:r>
              <w:rPr>
                <w:rFonts w:ascii="Arial" w:hAnsi="Arial"/>
              </w:rPr>
              <w:t>50.7</w:t>
            </w:r>
          </w:p>
        </w:tc>
        <w:tc>
          <w:tcPr>
            <w:tcW w:w="1170" w:type="dxa"/>
          </w:tcPr>
          <w:p w14:paraId="45E3DC7E" w14:textId="77777777" w:rsidR="0035790D" w:rsidRPr="00E676D9" w:rsidRDefault="0035790D" w:rsidP="0035790D">
            <w:pPr>
              <w:jc w:val="center"/>
              <w:rPr>
                <w:rFonts w:ascii="Arial" w:hAnsi="Arial"/>
              </w:rPr>
            </w:pPr>
            <w:r>
              <w:rPr>
                <w:rFonts w:ascii="Arial" w:hAnsi="Arial"/>
              </w:rPr>
              <w:t>6.1</w:t>
            </w:r>
          </w:p>
        </w:tc>
        <w:tc>
          <w:tcPr>
            <w:tcW w:w="1260" w:type="dxa"/>
          </w:tcPr>
          <w:p w14:paraId="518E9D1F" w14:textId="77777777" w:rsidR="0035790D" w:rsidRPr="00E676D9" w:rsidRDefault="0035790D" w:rsidP="0035790D">
            <w:pPr>
              <w:jc w:val="center"/>
              <w:rPr>
                <w:rFonts w:ascii="Arial" w:hAnsi="Arial"/>
              </w:rPr>
            </w:pPr>
            <w:r>
              <w:rPr>
                <w:rFonts w:ascii="Arial" w:hAnsi="Arial"/>
              </w:rPr>
              <w:t>10.73</w:t>
            </w:r>
          </w:p>
        </w:tc>
        <w:tc>
          <w:tcPr>
            <w:tcW w:w="1188" w:type="dxa"/>
          </w:tcPr>
          <w:p w14:paraId="672E95D0"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5F93C2E1" w14:textId="2FB66540" w:rsidR="0035790D" w:rsidRDefault="0035790D" w:rsidP="0035790D">
            <w:pPr>
              <w:jc w:val="center"/>
              <w:rPr>
                <w:rFonts w:ascii="Arial" w:hAnsi="Arial"/>
              </w:rPr>
            </w:pPr>
            <w:r>
              <w:rPr>
                <w:rFonts w:ascii="Arial" w:hAnsi="Arial" w:cs="Arial"/>
                <w:color w:val="000000"/>
              </w:rPr>
              <w:t>4.836</w:t>
            </w:r>
          </w:p>
        </w:tc>
      </w:tr>
      <w:tr w:rsidR="0035790D" w:rsidRPr="00E676D9" w14:paraId="36388487" w14:textId="42A80D4D" w:rsidTr="00402869">
        <w:trPr>
          <w:jc w:val="center"/>
        </w:trPr>
        <w:tc>
          <w:tcPr>
            <w:tcW w:w="828" w:type="dxa"/>
          </w:tcPr>
          <w:p w14:paraId="15944D48" w14:textId="77777777" w:rsidR="0035790D" w:rsidRPr="00E676D9" w:rsidRDefault="0035790D" w:rsidP="0035790D">
            <w:pPr>
              <w:jc w:val="center"/>
              <w:rPr>
                <w:rFonts w:ascii="Arial" w:hAnsi="Arial"/>
              </w:rPr>
            </w:pPr>
            <w:r>
              <w:rPr>
                <w:rFonts w:ascii="Arial" w:hAnsi="Arial"/>
              </w:rPr>
              <w:t>12.5</w:t>
            </w:r>
          </w:p>
        </w:tc>
        <w:tc>
          <w:tcPr>
            <w:tcW w:w="900" w:type="dxa"/>
          </w:tcPr>
          <w:p w14:paraId="75658936" w14:textId="77777777" w:rsidR="0035790D" w:rsidRPr="00E676D9" w:rsidRDefault="0035790D" w:rsidP="0035790D">
            <w:pPr>
              <w:jc w:val="center"/>
              <w:rPr>
                <w:rFonts w:ascii="Arial" w:hAnsi="Arial"/>
              </w:rPr>
            </w:pPr>
            <w:r>
              <w:rPr>
                <w:rFonts w:ascii="Arial" w:hAnsi="Arial"/>
              </w:rPr>
              <w:t>Virgin</w:t>
            </w:r>
          </w:p>
        </w:tc>
        <w:tc>
          <w:tcPr>
            <w:tcW w:w="1170" w:type="dxa"/>
          </w:tcPr>
          <w:p w14:paraId="534DE1F4" w14:textId="77777777" w:rsidR="0035790D" w:rsidRPr="00E676D9" w:rsidRDefault="0035790D" w:rsidP="0035790D">
            <w:pPr>
              <w:jc w:val="center"/>
              <w:rPr>
                <w:rFonts w:ascii="Arial" w:hAnsi="Arial"/>
              </w:rPr>
            </w:pPr>
            <w:r>
              <w:rPr>
                <w:rFonts w:ascii="Arial" w:hAnsi="Arial"/>
              </w:rPr>
              <w:t>0.0</w:t>
            </w:r>
          </w:p>
        </w:tc>
        <w:tc>
          <w:tcPr>
            <w:tcW w:w="1170" w:type="dxa"/>
          </w:tcPr>
          <w:p w14:paraId="6DE21D23" w14:textId="77777777" w:rsidR="0035790D" w:rsidRPr="00E676D9" w:rsidRDefault="0035790D" w:rsidP="0035790D">
            <w:pPr>
              <w:jc w:val="center"/>
              <w:rPr>
                <w:rFonts w:ascii="Arial" w:hAnsi="Arial"/>
              </w:rPr>
            </w:pPr>
            <w:r>
              <w:rPr>
                <w:rFonts w:ascii="Arial" w:hAnsi="Arial"/>
              </w:rPr>
              <w:t>15.6</w:t>
            </w:r>
          </w:p>
        </w:tc>
        <w:tc>
          <w:tcPr>
            <w:tcW w:w="1170" w:type="dxa"/>
          </w:tcPr>
          <w:p w14:paraId="1684BD35" w14:textId="77777777" w:rsidR="0035790D" w:rsidRPr="00E676D9" w:rsidRDefault="0035790D" w:rsidP="0035790D">
            <w:pPr>
              <w:jc w:val="center"/>
              <w:rPr>
                <w:rFonts w:ascii="Arial" w:hAnsi="Arial"/>
              </w:rPr>
            </w:pPr>
            <w:r>
              <w:rPr>
                <w:rFonts w:ascii="Arial" w:hAnsi="Arial"/>
              </w:rPr>
              <w:t>45.3</w:t>
            </w:r>
          </w:p>
        </w:tc>
        <w:tc>
          <w:tcPr>
            <w:tcW w:w="1170" w:type="dxa"/>
          </w:tcPr>
          <w:p w14:paraId="7D5B4688" w14:textId="77777777" w:rsidR="0035790D" w:rsidRPr="00E676D9" w:rsidRDefault="0035790D" w:rsidP="0035790D">
            <w:pPr>
              <w:jc w:val="center"/>
              <w:rPr>
                <w:rFonts w:ascii="Arial" w:hAnsi="Arial"/>
              </w:rPr>
            </w:pPr>
            <w:r>
              <w:rPr>
                <w:rFonts w:ascii="Arial" w:hAnsi="Arial"/>
              </w:rPr>
              <w:t>5.3</w:t>
            </w:r>
          </w:p>
        </w:tc>
        <w:tc>
          <w:tcPr>
            <w:tcW w:w="1260" w:type="dxa"/>
          </w:tcPr>
          <w:p w14:paraId="31ADDD06" w14:textId="77777777" w:rsidR="0035790D" w:rsidRPr="00E676D9" w:rsidRDefault="0035790D" w:rsidP="0035790D">
            <w:pPr>
              <w:jc w:val="center"/>
              <w:rPr>
                <w:rFonts w:ascii="Arial" w:hAnsi="Arial"/>
              </w:rPr>
            </w:pPr>
            <w:r>
              <w:rPr>
                <w:rFonts w:ascii="Arial" w:hAnsi="Arial"/>
              </w:rPr>
              <w:t>11.14</w:t>
            </w:r>
          </w:p>
        </w:tc>
        <w:tc>
          <w:tcPr>
            <w:tcW w:w="1188" w:type="dxa"/>
          </w:tcPr>
          <w:p w14:paraId="7604EE57"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44131B77" w14:textId="03570698" w:rsidR="0035790D" w:rsidRDefault="0035790D" w:rsidP="0035790D">
            <w:pPr>
              <w:jc w:val="center"/>
              <w:rPr>
                <w:rFonts w:ascii="Arial" w:hAnsi="Arial"/>
              </w:rPr>
            </w:pPr>
            <w:r>
              <w:rPr>
                <w:rFonts w:ascii="Arial" w:hAnsi="Arial" w:cs="Arial"/>
                <w:color w:val="000000"/>
              </w:rPr>
              <w:t>5.859</w:t>
            </w:r>
          </w:p>
        </w:tc>
      </w:tr>
      <w:tr w:rsidR="0035790D" w:rsidRPr="00E676D9" w14:paraId="278DC24C" w14:textId="2C116B90" w:rsidTr="00402869">
        <w:trPr>
          <w:jc w:val="center"/>
        </w:trPr>
        <w:tc>
          <w:tcPr>
            <w:tcW w:w="828" w:type="dxa"/>
          </w:tcPr>
          <w:p w14:paraId="314111E0" w14:textId="77777777" w:rsidR="0035790D" w:rsidRPr="00E676D9" w:rsidRDefault="0035790D" w:rsidP="0035790D">
            <w:pPr>
              <w:jc w:val="center"/>
              <w:rPr>
                <w:rFonts w:ascii="Arial" w:hAnsi="Arial"/>
              </w:rPr>
            </w:pPr>
            <w:r>
              <w:rPr>
                <w:rFonts w:ascii="Arial" w:hAnsi="Arial"/>
              </w:rPr>
              <w:t>12.5</w:t>
            </w:r>
          </w:p>
        </w:tc>
        <w:tc>
          <w:tcPr>
            <w:tcW w:w="900" w:type="dxa"/>
          </w:tcPr>
          <w:p w14:paraId="28578842" w14:textId="77777777" w:rsidR="0035790D" w:rsidRPr="00E676D9" w:rsidRDefault="0035790D" w:rsidP="0035790D">
            <w:pPr>
              <w:jc w:val="center"/>
              <w:rPr>
                <w:rFonts w:ascii="Arial" w:hAnsi="Arial"/>
              </w:rPr>
            </w:pPr>
            <w:r>
              <w:rPr>
                <w:rFonts w:ascii="Arial" w:hAnsi="Arial"/>
              </w:rPr>
              <w:t>GAP</w:t>
            </w:r>
          </w:p>
        </w:tc>
        <w:tc>
          <w:tcPr>
            <w:tcW w:w="1170" w:type="dxa"/>
          </w:tcPr>
          <w:p w14:paraId="41130333" w14:textId="77777777" w:rsidR="0035790D" w:rsidRPr="00E676D9" w:rsidRDefault="0035790D" w:rsidP="0035790D">
            <w:pPr>
              <w:jc w:val="center"/>
              <w:rPr>
                <w:rFonts w:ascii="Arial" w:hAnsi="Arial"/>
              </w:rPr>
            </w:pPr>
            <w:r>
              <w:rPr>
                <w:rFonts w:ascii="Arial" w:hAnsi="Arial"/>
              </w:rPr>
              <w:t>0.0</w:t>
            </w:r>
          </w:p>
        </w:tc>
        <w:tc>
          <w:tcPr>
            <w:tcW w:w="1170" w:type="dxa"/>
          </w:tcPr>
          <w:p w14:paraId="116E9059" w14:textId="77777777" w:rsidR="0035790D" w:rsidRPr="00E676D9" w:rsidRDefault="0035790D" w:rsidP="0035790D">
            <w:pPr>
              <w:jc w:val="center"/>
              <w:rPr>
                <w:rFonts w:ascii="Arial" w:hAnsi="Arial"/>
              </w:rPr>
            </w:pPr>
            <w:r>
              <w:rPr>
                <w:rFonts w:ascii="Arial" w:hAnsi="Arial"/>
              </w:rPr>
              <w:t>21.7</w:t>
            </w:r>
          </w:p>
        </w:tc>
        <w:tc>
          <w:tcPr>
            <w:tcW w:w="1170" w:type="dxa"/>
          </w:tcPr>
          <w:p w14:paraId="59A4717C" w14:textId="77777777" w:rsidR="0035790D" w:rsidRPr="00E676D9" w:rsidRDefault="0035790D" w:rsidP="0035790D">
            <w:pPr>
              <w:jc w:val="center"/>
              <w:rPr>
                <w:rFonts w:ascii="Arial" w:hAnsi="Arial"/>
              </w:rPr>
            </w:pPr>
            <w:r>
              <w:rPr>
                <w:rFonts w:ascii="Arial" w:hAnsi="Arial"/>
              </w:rPr>
              <w:t>66.8</w:t>
            </w:r>
          </w:p>
        </w:tc>
        <w:tc>
          <w:tcPr>
            <w:tcW w:w="1170" w:type="dxa"/>
          </w:tcPr>
          <w:p w14:paraId="14A28302" w14:textId="77777777" w:rsidR="0035790D" w:rsidRPr="00E676D9" w:rsidRDefault="0035790D" w:rsidP="0035790D">
            <w:pPr>
              <w:jc w:val="center"/>
              <w:rPr>
                <w:rFonts w:ascii="Arial" w:hAnsi="Arial"/>
              </w:rPr>
            </w:pPr>
            <w:r>
              <w:rPr>
                <w:rFonts w:ascii="Arial" w:hAnsi="Arial"/>
              </w:rPr>
              <w:t>8.6</w:t>
            </w:r>
          </w:p>
        </w:tc>
        <w:tc>
          <w:tcPr>
            <w:tcW w:w="1260" w:type="dxa"/>
          </w:tcPr>
          <w:p w14:paraId="398898DA" w14:textId="77777777" w:rsidR="0035790D" w:rsidRPr="00E676D9" w:rsidRDefault="0035790D" w:rsidP="0035790D">
            <w:pPr>
              <w:jc w:val="center"/>
              <w:rPr>
                <w:rFonts w:ascii="Arial" w:hAnsi="Arial"/>
              </w:rPr>
            </w:pPr>
            <w:r>
              <w:rPr>
                <w:rFonts w:ascii="Arial" w:hAnsi="Arial"/>
              </w:rPr>
              <w:t>14.31</w:t>
            </w:r>
          </w:p>
        </w:tc>
        <w:tc>
          <w:tcPr>
            <w:tcW w:w="1188" w:type="dxa"/>
          </w:tcPr>
          <w:p w14:paraId="485CB4B8"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33584A28" w14:textId="3CA4AD7E" w:rsidR="0035790D" w:rsidRDefault="0035790D" w:rsidP="0035790D">
            <w:pPr>
              <w:jc w:val="center"/>
              <w:rPr>
                <w:rFonts w:ascii="Arial" w:hAnsi="Arial"/>
              </w:rPr>
            </w:pPr>
            <w:r>
              <w:rPr>
                <w:rFonts w:ascii="Arial" w:hAnsi="Arial" w:cs="Arial"/>
                <w:color w:val="000000"/>
              </w:rPr>
              <w:t>6.538</w:t>
            </w:r>
          </w:p>
        </w:tc>
      </w:tr>
      <w:tr w:rsidR="0035790D" w:rsidRPr="00E676D9" w14:paraId="02CB92BF" w14:textId="5D21A803" w:rsidTr="00402869">
        <w:trPr>
          <w:jc w:val="center"/>
        </w:trPr>
        <w:tc>
          <w:tcPr>
            <w:tcW w:w="828" w:type="dxa"/>
          </w:tcPr>
          <w:p w14:paraId="0463B415" w14:textId="77777777" w:rsidR="0035790D" w:rsidRDefault="0035790D" w:rsidP="0035790D">
            <w:pPr>
              <w:jc w:val="center"/>
              <w:rPr>
                <w:rFonts w:ascii="Arial" w:hAnsi="Arial"/>
              </w:rPr>
            </w:pPr>
            <w:r>
              <w:rPr>
                <w:rFonts w:ascii="Arial" w:hAnsi="Arial"/>
              </w:rPr>
              <w:t>19</w:t>
            </w:r>
          </w:p>
        </w:tc>
        <w:tc>
          <w:tcPr>
            <w:tcW w:w="900" w:type="dxa"/>
          </w:tcPr>
          <w:p w14:paraId="00002E46" w14:textId="77777777" w:rsidR="0035790D" w:rsidRPr="00E676D9" w:rsidRDefault="0035790D" w:rsidP="0035790D">
            <w:pPr>
              <w:jc w:val="center"/>
              <w:rPr>
                <w:rFonts w:ascii="Arial" w:hAnsi="Arial"/>
              </w:rPr>
            </w:pPr>
            <w:r>
              <w:rPr>
                <w:rFonts w:ascii="Arial" w:hAnsi="Arial"/>
              </w:rPr>
              <w:t>GAP</w:t>
            </w:r>
          </w:p>
        </w:tc>
        <w:tc>
          <w:tcPr>
            <w:tcW w:w="1170" w:type="dxa"/>
          </w:tcPr>
          <w:p w14:paraId="21FBE017" w14:textId="77777777" w:rsidR="0035790D" w:rsidRPr="00E676D9" w:rsidRDefault="0035790D" w:rsidP="0035790D">
            <w:pPr>
              <w:jc w:val="center"/>
              <w:rPr>
                <w:rFonts w:ascii="Arial" w:hAnsi="Arial"/>
              </w:rPr>
            </w:pPr>
            <w:r>
              <w:rPr>
                <w:rFonts w:ascii="Arial" w:hAnsi="Arial"/>
              </w:rPr>
              <w:t>5.0</w:t>
            </w:r>
          </w:p>
        </w:tc>
        <w:tc>
          <w:tcPr>
            <w:tcW w:w="1170" w:type="dxa"/>
          </w:tcPr>
          <w:p w14:paraId="56D08FB9" w14:textId="77777777" w:rsidR="0035790D" w:rsidRPr="00E676D9" w:rsidRDefault="0035790D" w:rsidP="0035790D">
            <w:pPr>
              <w:jc w:val="center"/>
              <w:rPr>
                <w:rFonts w:ascii="Arial" w:hAnsi="Arial"/>
              </w:rPr>
            </w:pPr>
            <w:r>
              <w:rPr>
                <w:rFonts w:ascii="Arial" w:hAnsi="Arial"/>
              </w:rPr>
              <w:t>44.0</w:t>
            </w:r>
          </w:p>
        </w:tc>
        <w:tc>
          <w:tcPr>
            <w:tcW w:w="1170" w:type="dxa"/>
          </w:tcPr>
          <w:p w14:paraId="1A268AC5" w14:textId="77777777" w:rsidR="0035790D" w:rsidRPr="00E676D9" w:rsidRDefault="0035790D" w:rsidP="0035790D">
            <w:pPr>
              <w:jc w:val="center"/>
              <w:rPr>
                <w:rFonts w:ascii="Arial" w:hAnsi="Arial"/>
              </w:rPr>
            </w:pPr>
            <w:r>
              <w:rPr>
                <w:rFonts w:ascii="Arial" w:hAnsi="Arial"/>
              </w:rPr>
              <w:t>74.0</w:t>
            </w:r>
          </w:p>
        </w:tc>
        <w:tc>
          <w:tcPr>
            <w:tcW w:w="1170" w:type="dxa"/>
          </w:tcPr>
          <w:p w14:paraId="53A663E2" w14:textId="77777777" w:rsidR="0035790D" w:rsidRPr="00E676D9" w:rsidRDefault="0035790D" w:rsidP="0035790D">
            <w:pPr>
              <w:jc w:val="center"/>
              <w:rPr>
                <w:rFonts w:ascii="Arial" w:hAnsi="Arial"/>
              </w:rPr>
            </w:pPr>
            <w:r>
              <w:rPr>
                <w:rFonts w:ascii="Arial" w:hAnsi="Arial"/>
              </w:rPr>
              <w:t>8.1</w:t>
            </w:r>
          </w:p>
        </w:tc>
        <w:tc>
          <w:tcPr>
            <w:tcW w:w="1260" w:type="dxa"/>
          </w:tcPr>
          <w:p w14:paraId="3152B769" w14:textId="77777777" w:rsidR="0035790D" w:rsidRPr="00E676D9" w:rsidRDefault="0035790D" w:rsidP="0035790D">
            <w:pPr>
              <w:jc w:val="center"/>
              <w:rPr>
                <w:rFonts w:ascii="Arial" w:hAnsi="Arial"/>
              </w:rPr>
            </w:pPr>
            <w:r>
              <w:rPr>
                <w:rFonts w:ascii="Arial" w:hAnsi="Arial"/>
              </w:rPr>
              <w:t>13.84</w:t>
            </w:r>
          </w:p>
        </w:tc>
        <w:tc>
          <w:tcPr>
            <w:tcW w:w="1188" w:type="dxa"/>
          </w:tcPr>
          <w:p w14:paraId="4D52F69C"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6F375FDE" w14:textId="14A07E10" w:rsidR="0035790D" w:rsidRDefault="0035790D" w:rsidP="0035790D">
            <w:pPr>
              <w:jc w:val="center"/>
              <w:rPr>
                <w:rFonts w:ascii="Arial" w:hAnsi="Arial"/>
              </w:rPr>
            </w:pPr>
            <w:r>
              <w:rPr>
                <w:rFonts w:ascii="Arial" w:hAnsi="Arial" w:cs="Arial"/>
                <w:color w:val="000000"/>
              </w:rPr>
              <w:t>6.527</w:t>
            </w:r>
          </w:p>
        </w:tc>
      </w:tr>
      <w:tr w:rsidR="0035790D" w:rsidRPr="00E676D9" w14:paraId="59C24331" w14:textId="3A65AD40" w:rsidTr="00402869">
        <w:trPr>
          <w:jc w:val="center"/>
        </w:trPr>
        <w:tc>
          <w:tcPr>
            <w:tcW w:w="828" w:type="dxa"/>
          </w:tcPr>
          <w:p w14:paraId="56C95538" w14:textId="77777777" w:rsidR="0035790D" w:rsidRDefault="0035790D" w:rsidP="0035790D">
            <w:pPr>
              <w:jc w:val="center"/>
              <w:rPr>
                <w:rFonts w:ascii="Arial" w:hAnsi="Arial"/>
              </w:rPr>
            </w:pPr>
            <w:r>
              <w:rPr>
                <w:rFonts w:ascii="Arial" w:hAnsi="Arial"/>
              </w:rPr>
              <w:t>19</w:t>
            </w:r>
          </w:p>
        </w:tc>
        <w:tc>
          <w:tcPr>
            <w:tcW w:w="900" w:type="dxa"/>
          </w:tcPr>
          <w:p w14:paraId="04D72928" w14:textId="77777777" w:rsidR="0035790D" w:rsidRPr="00E676D9" w:rsidRDefault="0035790D" w:rsidP="0035790D">
            <w:pPr>
              <w:jc w:val="center"/>
              <w:rPr>
                <w:rFonts w:ascii="Arial" w:hAnsi="Arial"/>
              </w:rPr>
            </w:pPr>
            <w:r>
              <w:rPr>
                <w:rFonts w:ascii="Arial" w:hAnsi="Arial"/>
              </w:rPr>
              <w:t>RAP</w:t>
            </w:r>
          </w:p>
        </w:tc>
        <w:tc>
          <w:tcPr>
            <w:tcW w:w="1170" w:type="dxa"/>
          </w:tcPr>
          <w:p w14:paraId="4D52858C" w14:textId="77777777" w:rsidR="0035790D" w:rsidRPr="00E676D9" w:rsidRDefault="0035790D" w:rsidP="0035790D">
            <w:pPr>
              <w:jc w:val="center"/>
              <w:rPr>
                <w:rFonts w:ascii="Arial" w:hAnsi="Arial"/>
              </w:rPr>
            </w:pPr>
            <w:r>
              <w:rPr>
                <w:rFonts w:ascii="Arial" w:hAnsi="Arial"/>
              </w:rPr>
              <w:t>3.5</w:t>
            </w:r>
          </w:p>
        </w:tc>
        <w:tc>
          <w:tcPr>
            <w:tcW w:w="1170" w:type="dxa"/>
          </w:tcPr>
          <w:p w14:paraId="71DA3787" w14:textId="77777777" w:rsidR="0035790D" w:rsidRPr="00E676D9" w:rsidRDefault="0035790D" w:rsidP="0035790D">
            <w:pPr>
              <w:jc w:val="center"/>
              <w:rPr>
                <w:rFonts w:ascii="Arial" w:hAnsi="Arial"/>
              </w:rPr>
            </w:pPr>
            <w:r>
              <w:rPr>
                <w:rFonts w:ascii="Arial" w:hAnsi="Arial"/>
              </w:rPr>
              <w:t>26.6</w:t>
            </w:r>
          </w:p>
        </w:tc>
        <w:tc>
          <w:tcPr>
            <w:tcW w:w="1170" w:type="dxa"/>
          </w:tcPr>
          <w:p w14:paraId="5B9136EB" w14:textId="77777777" w:rsidR="0035790D" w:rsidRPr="00E676D9" w:rsidRDefault="0035790D" w:rsidP="0035790D">
            <w:pPr>
              <w:jc w:val="center"/>
              <w:rPr>
                <w:rFonts w:ascii="Arial" w:hAnsi="Arial"/>
              </w:rPr>
            </w:pPr>
            <w:r>
              <w:rPr>
                <w:rFonts w:ascii="Arial" w:hAnsi="Arial"/>
              </w:rPr>
              <w:t>57.4</w:t>
            </w:r>
          </w:p>
        </w:tc>
        <w:tc>
          <w:tcPr>
            <w:tcW w:w="1170" w:type="dxa"/>
          </w:tcPr>
          <w:p w14:paraId="6CF4BF64" w14:textId="77777777" w:rsidR="0035790D" w:rsidRPr="00E676D9" w:rsidRDefault="0035790D" w:rsidP="0035790D">
            <w:pPr>
              <w:jc w:val="center"/>
              <w:rPr>
                <w:rFonts w:ascii="Arial" w:hAnsi="Arial"/>
              </w:rPr>
            </w:pPr>
            <w:r>
              <w:rPr>
                <w:rFonts w:ascii="Arial" w:hAnsi="Arial"/>
              </w:rPr>
              <w:t>5.0</w:t>
            </w:r>
          </w:p>
        </w:tc>
        <w:tc>
          <w:tcPr>
            <w:tcW w:w="1260" w:type="dxa"/>
          </w:tcPr>
          <w:p w14:paraId="045F605C" w14:textId="77777777" w:rsidR="0035790D" w:rsidRPr="00E676D9" w:rsidRDefault="0035790D" w:rsidP="0035790D">
            <w:pPr>
              <w:jc w:val="center"/>
              <w:rPr>
                <w:rFonts w:ascii="Arial" w:hAnsi="Arial"/>
              </w:rPr>
            </w:pPr>
            <w:r>
              <w:rPr>
                <w:rFonts w:ascii="Arial" w:hAnsi="Arial"/>
              </w:rPr>
              <w:t>9.69</w:t>
            </w:r>
          </w:p>
        </w:tc>
        <w:tc>
          <w:tcPr>
            <w:tcW w:w="1188" w:type="dxa"/>
          </w:tcPr>
          <w:p w14:paraId="5A0054CE"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69B455C7" w14:textId="6C10E3A2" w:rsidR="0035790D" w:rsidRDefault="0035790D" w:rsidP="0035790D">
            <w:pPr>
              <w:jc w:val="center"/>
              <w:rPr>
                <w:rFonts w:ascii="Arial" w:hAnsi="Arial"/>
              </w:rPr>
            </w:pPr>
            <w:r>
              <w:rPr>
                <w:rFonts w:ascii="Arial" w:hAnsi="Arial" w:cs="Arial"/>
                <w:color w:val="000000"/>
              </w:rPr>
              <w:t>4.372</w:t>
            </w:r>
          </w:p>
        </w:tc>
      </w:tr>
      <w:tr w:rsidR="0035790D" w:rsidRPr="00E676D9" w14:paraId="2B2A7AB7" w14:textId="464B91DA" w:rsidTr="00402869">
        <w:trPr>
          <w:jc w:val="center"/>
        </w:trPr>
        <w:tc>
          <w:tcPr>
            <w:tcW w:w="828" w:type="dxa"/>
          </w:tcPr>
          <w:p w14:paraId="0C989F46" w14:textId="77777777" w:rsidR="0035790D" w:rsidRDefault="0035790D" w:rsidP="0035790D">
            <w:pPr>
              <w:jc w:val="center"/>
              <w:rPr>
                <w:rFonts w:ascii="Arial" w:hAnsi="Arial"/>
              </w:rPr>
            </w:pPr>
            <w:r>
              <w:rPr>
                <w:rFonts w:ascii="Arial" w:hAnsi="Arial"/>
              </w:rPr>
              <w:t>19</w:t>
            </w:r>
          </w:p>
        </w:tc>
        <w:tc>
          <w:tcPr>
            <w:tcW w:w="900" w:type="dxa"/>
          </w:tcPr>
          <w:p w14:paraId="5622E631" w14:textId="77777777" w:rsidR="0035790D" w:rsidRPr="00E676D9" w:rsidRDefault="0035790D" w:rsidP="0035790D">
            <w:pPr>
              <w:jc w:val="center"/>
              <w:rPr>
                <w:rFonts w:ascii="Arial" w:hAnsi="Arial"/>
              </w:rPr>
            </w:pPr>
            <w:r>
              <w:rPr>
                <w:rFonts w:ascii="Arial" w:hAnsi="Arial"/>
              </w:rPr>
              <w:t>Shingle</w:t>
            </w:r>
          </w:p>
        </w:tc>
        <w:tc>
          <w:tcPr>
            <w:tcW w:w="1170" w:type="dxa"/>
          </w:tcPr>
          <w:p w14:paraId="13E5D49F" w14:textId="77777777" w:rsidR="0035790D" w:rsidRPr="00E676D9" w:rsidRDefault="0035790D" w:rsidP="0035790D">
            <w:pPr>
              <w:jc w:val="center"/>
              <w:rPr>
                <w:rFonts w:ascii="Arial" w:hAnsi="Arial"/>
              </w:rPr>
            </w:pPr>
            <w:r>
              <w:rPr>
                <w:rFonts w:ascii="Arial" w:hAnsi="Arial"/>
              </w:rPr>
              <w:t>4.1</w:t>
            </w:r>
          </w:p>
        </w:tc>
        <w:tc>
          <w:tcPr>
            <w:tcW w:w="1170" w:type="dxa"/>
          </w:tcPr>
          <w:p w14:paraId="731AA409" w14:textId="77777777" w:rsidR="0035790D" w:rsidRPr="00E676D9" w:rsidRDefault="0035790D" w:rsidP="0035790D">
            <w:pPr>
              <w:jc w:val="center"/>
              <w:rPr>
                <w:rFonts w:ascii="Arial" w:hAnsi="Arial"/>
              </w:rPr>
            </w:pPr>
            <w:r>
              <w:rPr>
                <w:rFonts w:ascii="Arial" w:hAnsi="Arial"/>
              </w:rPr>
              <w:t>29.5</w:t>
            </w:r>
          </w:p>
        </w:tc>
        <w:tc>
          <w:tcPr>
            <w:tcW w:w="1170" w:type="dxa"/>
          </w:tcPr>
          <w:p w14:paraId="6013EA06" w14:textId="77777777" w:rsidR="0035790D" w:rsidRPr="00E676D9" w:rsidRDefault="0035790D" w:rsidP="0035790D">
            <w:pPr>
              <w:jc w:val="center"/>
              <w:rPr>
                <w:rFonts w:ascii="Arial" w:hAnsi="Arial"/>
              </w:rPr>
            </w:pPr>
            <w:r>
              <w:rPr>
                <w:rFonts w:ascii="Arial" w:hAnsi="Arial"/>
              </w:rPr>
              <w:t>58.8</w:t>
            </w:r>
          </w:p>
        </w:tc>
        <w:tc>
          <w:tcPr>
            <w:tcW w:w="1170" w:type="dxa"/>
          </w:tcPr>
          <w:p w14:paraId="7705D2A6" w14:textId="77777777" w:rsidR="0035790D" w:rsidRPr="00E676D9" w:rsidRDefault="0035790D" w:rsidP="0035790D">
            <w:pPr>
              <w:jc w:val="center"/>
              <w:rPr>
                <w:rFonts w:ascii="Arial" w:hAnsi="Arial"/>
              </w:rPr>
            </w:pPr>
            <w:r>
              <w:rPr>
                <w:rFonts w:ascii="Arial" w:hAnsi="Arial"/>
              </w:rPr>
              <w:t>5.6</w:t>
            </w:r>
          </w:p>
        </w:tc>
        <w:tc>
          <w:tcPr>
            <w:tcW w:w="1260" w:type="dxa"/>
          </w:tcPr>
          <w:p w14:paraId="356F2EC7" w14:textId="77777777" w:rsidR="0035790D" w:rsidRPr="00E676D9" w:rsidRDefault="0035790D" w:rsidP="0035790D">
            <w:pPr>
              <w:jc w:val="center"/>
              <w:rPr>
                <w:rFonts w:ascii="Arial" w:hAnsi="Arial"/>
              </w:rPr>
            </w:pPr>
            <w:r>
              <w:rPr>
                <w:rFonts w:ascii="Arial" w:hAnsi="Arial"/>
              </w:rPr>
              <w:t>9.72</w:t>
            </w:r>
          </w:p>
        </w:tc>
        <w:tc>
          <w:tcPr>
            <w:tcW w:w="1188" w:type="dxa"/>
          </w:tcPr>
          <w:p w14:paraId="05626788"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5C273AE0" w14:textId="5EF9A40D" w:rsidR="0035790D" w:rsidRDefault="0035790D" w:rsidP="0035790D">
            <w:pPr>
              <w:jc w:val="center"/>
              <w:rPr>
                <w:rFonts w:ascii="Arial" w:hAnsi="Arial"/>
              </w:rPr>
            </w:pPr>
            <w:r>
              <w:rPr>
                <w:rFonts w:ascii="Arial" w:hAnsi="Arial" w:cs="Arial"/>
                <w:color w:val="000000"/>
              </w:rPr>
              <w:t>4.328</w:t>
            </w:r>
          </w:p>
        </w:tc>
      </w:tr>
      <w:tr w:rsidR="0035790D" w:rsidRPr="00E676D9" w14:paraId="1B0687F7" w14:textId="680A85AE" w:rsidTr="00402869">
        <w:trPr>
          <w:jc w:val="center"/>
        </w:trPr>
        <w:tc>
          <w:tcPr>
            <w:tcW w:w="828" w:type="dxa"/>
          </w:tcPr>
          <w:p w14:paraId="17B27BB3" w14:textId="77777777" w:rsidR="0035790D" w:rsidRDefault="0035790D" w:rsidP="0035790D">
            <w:pPr>
              <w:jc w:val="center"/>
              <w:rPr>
                <w:rFonts w:ascii="Arial" w:hAnsi="Arial"/>
              </w:rPr>
            </w:pPr>
            <w:r>
              <w:rPr>
                <w:rFonts w:ascii="Arial" w:hAnsi="Arial"/>
              </w:rPr>
              <w:t>19</w:t>
            </w:r>
          </w:p>
        </w:tc>
        <w:tc>
          <w:tcPr>
            <w:tcW w:w="900" w:type="dxa"/>
          </w:tcPr>
          <w:p w14:paraId="354044DD" w14:textId="440F6E3E" w:rsidR="0035790D" w:rsidRPr="00E676D9" w:rsidRDefault="0035790D" w:rsidP="0035790D">
            <w:pPr>
              <w:jc w:val="center"/>
              <w:rPr>
                <w:rFonts w:ascii="Arial" w:hAnsi="Arial"/>
              </w:rPr>
            </w:pPr>
            <w:r>
              <w:rPr>
                <w:rFonts w:ascii="Arial" w:hAnsi="Arial"/>
              </w:rPr>
              <w:t>HDFV</w:t>
            </w:r>
          </w:p>
        </w:tc>
        <w:tc>
          <w:tcPr>
            <w:tcW w:w="1170" w:type="dxa"/>
          </w:tcPr>
          <w:p w14:paraId="7D9EAD05" w14:textId="77777777" w:rsidR="0035790D" w:rsidRPr="00E676D9" w:rsidRDefault="0035790D" w:rsidP="0035790D">
            <w:pPr>
              <w:jc w:val="center"/>
              <w:rPr>
                <w:rFonts w:ascii="Arial" w:hAnsi="Arial"/>
              </w:rPr>
            </w:pPr>
            <w:r>
              <w:rPr>
                <w:rFonts w:ascii="Arial" w:hAnsi="Arial"/>
              </w:rPr>
              <w:t>2.5</w:t>
            </w:r>
          </w:p>
        </w:tc>
        <w:tc>
          <w:tcPr>
            <w:tcW w:w="1170" w:type="dxa"/>
          </w:tcPr>
          <w:p w14:paraId="4B6097BF" w14:textId="77777777" w:rsidR="0035790D" w:rsidRPr="00E676D9" w:rsidRDefault="0035790D" w:rsidP="0035790D">
            <w:pPr>
              <w:jc w:val="center"/>
              <w:rPr>
                <w:rFonts w:ascii="Arial" w:hAnsi="Arial"/>
              </w:rPr>
            </w:pPr>
            <w:r>
              <w:rPr>
                <w:rFonts w:ascii="Arial" w:hAnsi="Arial"/>
              </w:rPr>
              <w:t>30.4</w:t>
            </w:r>
          </w:p>
        </w:tc>
        <w:tc>
          <w:tcPr>
            <w:tcW w:w="1170" w:type="dxa"/>
          </w:tcPr>
          <w:p w14:paraId="53AA48D6" w14:textId="77777777" w:rsidR="0035790D" w:rsidRPr="00E676D9" w:rsidRDefault="0035790D" w:rsidP="0035790D">
            <w:pPr>
              <w:jc w:val="center"/>
              <w:rPr>
                <w:rFonts w:ascii="Arial" w:hAnsi="Arial"/>
              </w:rPr>
            </w:pPr>
            <w:r>
              <w:rPr>
                <w:rFonts w:ascii="Arial" w:hAnsi="Arial"/>
              </w:rPr>
              <w:t>58.3</w:t>
            </w:r>
          </w:p>
        </w:tc>
        <w:tc>
          <w:tcPr>
            <w:tcW w:w="1170" w:type="dxa"/>
          </w:tcPr>
          <w:p w14:paraId="46B91A66" w14:textId="77777777" w:rsidR="0035790D" w:rsidRPr="00E676D9" w:rsidRDefault="0035790D" w:rsidP="0035790D">
            <w:pPr>
              <w:jc w:val="center"/>
              <w:rPr>
                <w:rFonts w:ascii="Arial" w:hAnsi="Arial"/>
              </w:rPr>
            </w:pPr>
            <w:r>
              <w:rPr>
                <w:rFonts w:ascii="Arial" w:hAnsi="Arial"/>
              </w:rPr>
              <w:t>5.3</w:t>
            </w:r>
          </w:p>
        </w:tc>
        <w:tc>
          <w:tcPr>
            <w:tcW w:w="1260" w:type="dxa"/>
          </w:tcPr>
          <w:p w14:paraId="4636A108" w14:textId="77777777" w:rsidR="0035790D" w:rsidRPr="00E676D9" w:rsidRDefault="0035790D" w:rsidP="0035790D">
            <w:pPr>
              <w:jc w:val="center"/>
              <w:rPr>
                <w:rFonts w:ascii="Arial" w:hAnsi="Arial"/>
              </w:rPr>
            </w:pPr>
            <w:r>
              <w:rPr>
                <w:rFonts w:ascii="Arial" w:hAnsi="Arial"/>
              </w:rPr>
              <w:t>10.20</w:t>
            </w:r>
          </w:p>
        </w:tc>
        <w:tc>
          <w:tcPr>
            <w:tcW w:w="1188" w:type="dxa"/>
          </w:tcPr>
          <w:p w14:paraId="38CC91EA"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76B74A09" w14:textId="2A177DA3" w:rsidR="0035790D" w:rsidRDefault="0035790D" w:rsidP="0035790D">
            <w:pPr>
              <w:jc w:val="center"/>
              <w:rPr>
                <w:rFonts w:ascii="Arial" w:hAnsi="Arial"/>
              </w:rPr>
            </w:pPr>
            <w:r>
              <w:rPr>
                <w:rFonts w:ascii="Arial" w:hAnsi="Arial" w:cs="Arial"/>
                <w:color w:val="000000"/>
              </w:rPr>
              <w:t>4.53</w:t>
            </w:r>
          </w:p>
        </w:tc>
      </w:tr>
      <w:tr w:rsidR="0035790D" w:rsidRPr="00E676D9" w14:paraId="528CFCD8" w14:textId="70A035B3" w:rsidTr="00402869">
        <w:trPr>
          <w:jc w:val="center"/>
        </w:trPr>
        <w:tc>
          <w:tcPr>
            <w:tcW w:w="828" w:type="dxa"/>
          </w:tcPr>
          <w:p w14:paraId="649ACCEB" w14:textId="77777777" w:rsidR="0035790D" w:rsidRDefault="0035790D" w:rsidP="0035790D">
            <w:pPr>
              <w:jc w:val="center"/>
              <w:rPr>
                <w:rFonts w:ascii="Arial" w:hAnsi="Arial"/>
              </w:rPr>
            </w:pPr>
            <w:r>
              <w:rPr>
                <w:rFonts w:ascii="Arial" w:hAnsi="Arial"/>
              </w:rPr>
              <w:t>19</w:t>
            </w:r>
          </w:p>
        </w:tc>
        <w:tc>
          <w:tcPr>
            <w:tcW w:w="900" w:type="dxa"/>
          </w:tcPr>
          <w:p w14:paraId="21B44A6F" w14:textId="77777777" w:rsidR="0035790D" w:rsidRPr="00E676D9" w:rsidRDefault="0035790D" w:rsidP="0035790D">
            <w:pPr>
              <w:jc w:val="center"/>
              <w:rPr>
                <w:rFonts w:ascii="Arial" w:hAnsi="Arial"/>
              </w:rPr>
            </w:pPr>
            <w:r>
              <w:rPr>
                <w:rFonts w:ascii="Arial" w:hAnsi="Arial"/>
              </w:rPr>
              <w:t>Virgin</w:t>
            </w:r>
          </w:p>
        </w:tc>
        <w:tc>
          <w:tcPr>
            <w:tcW w:w="1170" w:type="dxa"/>
          </w:tcPr>
          <w:p w14:paraId="1C984FDB" w14:textId="77777777" w:rsidR="0035790D" w:rsidRPr="00E676D9" w:rsidRDefault="0035790D" w:rsidP="0035790D">
            <w:pPr>
              <w:jc w:val="center"/>
              <w:rPr>
                <w:rFonts w:ascii="Arial" w:hAnsi="Arial"/>
              </w:rPr>
            </w:pPr>
            <w:r>
              <w:rPr>
                <w:rFonts w:ascii="Arial" w:hAnsi="Arial"/>
              </w:rPr>
              <w:t>5.5</w:t>
            </w:r>
          </w:p>
        </w:tc>
        <w:tc>
          <w:tcPr>
            <w:tcW w:w="1170" w:type="dxa"/>
          </w:tcPr>
          <w:p w14:paraId="1A3C3BA2" w14:textId="77777777" w:rsidR="0035790D" w:rsidRPr="00E676D9" w:rsidRDefault="0035790D" w:rsidP="0035790D">
            <w:pPr>
              <w:jc w:val="center"/>
              <w:rPr>
                <w:rFonts w:ascii="Arial" w:hAnsi="Arial"/>
              </w:rPr>
            </w:pPr>
            <w:r>
              <w:rPr>
                <w:rFonts w:ascii="Arial" w:hAnsi="Arial"/>
              </w:rPr>
              <w:t>33.5</w:t>
            </w:r>
          </w:p>
        </w:tc>
        <w:tc>
          <w:tcPr>
            <w:tcW w:w="1170" w:type="dxa"/>
          </w:tcPr>
          <w:p w14:paraId="13C87CBD" w14:textId="77777777" w:rsidR="0035790D" w:rsidRPr="00E676D9" w:rsidRDefault="0035790D" w:rsidP="0035790D">
            <w:pPr>
              <w:jc w:val="center"/>
              <w:rPr>
                <w:rFonts w:ascii="Arial" w:hAnsi="Arial"/>
              </w:rPr>
            </w:pPr>
            <w:r>
              <w:rPr>
                <w:rFonts w:ascii="Arial" w:hAnsi="Arial"/>
              </w:rPr>
              <w:t>55.5</w:t>
            </w:r>
          </w:p>
        </w:tc>
        <w:tc>
          <w:tcPr>
            <w:tcW w:w="1170" w:type="dxa"/>
          </w:tcPr>
          <w:p w14:paraId="0D660BB2" w14:textId="77777777" w:rsidR="0035790D" w:rsidRPr="00E676D9" w:rsidRDefault="0035790D" w:rsidP="0035790D">
            <w:pPr>
              <w:jc w:val="center"/>
              <w:rPr>
                <w:rFonts w:ascii="Arial" w:hAnsi="Arial"/>
              </w:rPr>
            </w:pPr>
            <w:r>
              <w:rPr>
                <w:rFonts w:ascii="Arial" w:hAnsi="Arial"/>
              </w:rPr>
              <w:t>4.9</w:t>
            </w:r>
          </w:p>
        </w:tc>
        <w:tc>
          <w:tcPr>
            <w:tcW w:w="1260" w:type="dxa"/>
          </w:tcPr>
          <w:p w14:paraId="1EDB6583" w14:textId="77777777" w:rsidR="0035790D" w:rsidRPr="00E676D9" w:rsidRDefault="0035790D" w:rsidP="0035790D">
            <w:pPr>
              <w:jc w:val="center"/>
              <w:rPr>
                <w:rFonts w:ascii="Arial" w:hAnsi="Arial"/>
              </w:rPr>
            </w:pPr>
            <w:r>
              <w:rPr>
                <w:rFonts w:ascii="Arial" w:hAnsi="Arial"/>
              </w:rPr>
              <w:t>10.08</w:t>
            </w:r>
          </w:p>
        </w:tc>
        <w:tc>
          <w:tcPr>
            <w:tcW w:w="1188" w:type="dxa"/>
          </w:tcPr>
          <w:p w14:paraId="61D20EC1"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4D390CBD" w14:textId="623B93CE" w:rsidR="0035790D" w:rsidRDefault="0035790D" w:rsidP="0035790D">
            <w:pPr>
              <w:jc w:val="center"/>
              <w:rPr>
                <w:rFonts w:ascii="Arial" w:hAnsi="Arial"/>
              </w:rPr>
            </w:pPr>
            <w:r>
              <w:rPr>
                <w:rFonts w:ascii="Arial" w:hAnsi="Arial" w:cs="Arial"/>
                <w:color w:val="000000"/>
              </w:rPr>
              <w:t>4.725</w:t>
            </w:r>
          </w:p>
        </w:tc>
      </w:tr>
      <w:tr w:rsidR="0035790D" w:rsidRPr="00E676D9" w14:paraId="5BE91F64" w14:textId="20AA7A1D" w:rsidTr="00402869">
        <w:trPr>
          <w:jc w:val="center"/>
        </w:trPr>
        <w:tc>
          <w:tcPr>
            <w:tcW w:w="828" w:type="dxa"/>
          </w:tcPr>
          <w:p w14:paraId="05CCD88B" w14:textId="77777777" w:rsidR="0035790D" w:rsidRDefault="0035790D" w:rsidP="0035790D">
            <w:pPr>
              <w:jc w:val="center"/>
              <w:rPr>
                <w:rFonts w:ascii="Arial" w:hAnsi="Arial"/>
              </w:rPr>
            </w:pPr>
            <w:r>
              <w:rPr>
                <w:rFonts w:ascii="Arial" w:hAnsi="Arial"/>
              </w:rPr>
              <w:t>25</w:t>
            </w:r>
          </w:p>
        </w:tc>
        <w:tc>
          <w:tcPr>
            <w:tcW w:w="900" w:type="dxa"/>
          </w:tcPr>
          <w:p w14:paraId="1E9BF975" w14:textId="77777777" w:rsidR="0035790D" w:rsidRPr="00E676D9" w:rsidRDefault="0035790D" w:rsidP="0035790D">
            <w:pPr>
              <w:jc w:val="center"/>
              <w:rPr>
                <w:rFonts w:ascii="Arial" w:hAnsi="Arial"/>
              </w:rPr>
            </w:pPr>
            <w:r>
              <w:rPr>
                <w:rFonts w:ascii="Arial" w:hAnsi="Arial"/>
              </w:rPr>
              <w:t>RAP</w:t>
            </w:r>
          </w:p>
        </w:tc>
        <w:tc>
          <w:tcPr>
            <w:tcW w:w="1170" w:type="dxa"/>
          </w:tcPr>
          <w:p w14:paraId="60BDB061" w14:textId="77777777" w:rsidR="0035790D" w:rsidRPr="00E676D9" w:rsidRDefault="0035790D" w:rsidP="0035790D">
            <w:pPr>
              <w:jc w:val="center"/>
              <w:rPr>
                <w:rFonts w:ascii="Arial" w:hAnsi="Arial"/>
              </w:rPr>
            </w:pPr>
            <w:r>
              <w:rPr>
                <w:rFonts w:ascii="Arial" w:hAnsi="Arial"/>
              </w:rPr>
              <w:t>11.7</w:t>
            </w:r>
          </w:p>
        </w:tc>
        <w:tc>
          <w:tcPr>
            <w:tcW w:w="1170" w:type="dxa"/>
          </w:tcPr>
          <w:p w14:paraId="68245FE3" w14:textId="77777777" w:rsidR="0035790D" w:rsidRPr="00E676D9" w:rsidRDefault="0035790D" w:rsidP="0035790D">
            <w:pPr>
              <w:jc w:val="center"/>
              <w:rPr>
                <w:rFonts w:ascii="Arial" w:hAnsi="Arial"/>
              </w:rPr>
            </w:pPr>
            <w:r>
              <w:rPr>
                <w:rFonts w:ascii="Arial" w:hAnsi="Arial"/>
              </w:rPr>
              <w:t>40.6</w:t>
            </w:r>
          </w:p>
        </w:tc>
        <w:tc>
          <w:tcPr>
            <w:tcW w:w="1170" w:type="dxa"/>
          </w:tcPr>
          <w:p w14:paraId="567F81D2" w14:textId="77777777" w:rsidR="0035790D" w:rsidRPr="00E676D9" w:rsidRDefault="0035790D" w:rsidP="0035790D">
            <w:pPr>
              <w:jc w:val="center"/>
              <w:rPr>
                <w:rFonts w:ascii="Arial" w:hAnsi="Arial"/>
              </w:rPr>
            </w:pPr>
            <w:r>
              <w:rPr>
                <w:rFonts w:ascii="Arial" w:hAnsi="Arial"/>
              </w:rPr>
              <w:t>65.2</w:t>
            </w:r>
          </w:p>
        </w:tc>
        <w:tc>
          <w:tcPr>
            <w:tcW w:w="1170" w:type="dxa"/>
          </w:tcPr>
          <w:p w14:paraId="74A446E1" w14:textId="77777777" w:rsidR="0035790D" w:rsidRPr="00E676D9" w:rsidRDefault="0035790D" w:rsidP="0035790D">
            <w:pPr>
              <w:jc w:val="center"/>
              <w:rPr>
                <w:rFonts w:ascii="Arial" w:hAnsi="Arial"/>
              </w:rPr>
            </w:pPr>
            <w:r>
              <w:rPr>
                <w:rFonts w:ascii="Arial" w:hAnsi="Arial"/>
              </w:rPr>
              <w:t>4.7</w:t>
            </w:r>
          </w:p>
        </w:tc>
        <w:tc>
          <w:tcPr>
            <w:tcW w:w="1260" w:type="dxa"/>
          </w:tcPr>
          <w:p w14:paraId="5D400DAA" w14:textId="77777777" w:rsidR="0035790D" w:rsidRPr="00E676D9" w:rsidRDefault="0035790D" w:rsidP="0035790D">
            <w:pPr>
              <w:jc w:val="center"/>
              <w:rPr>
                <w:rFonts w:ascii="Arial" w:hAnsi="Arial"/>
              </w:rPr>
            </w:pPr>
            <w:r>
              <w:rPr>
                <w:rFonts w:ascii="Arial" w:hAnsi="Arial"/>
              </w:rPr>
              <w:t>9.10</w:t>
            </w:r>
          </w:p>
        </w:tc>
        <w:tc>
          <w:tcPr>
            <w:tcW w:w="1188" w:type="dxa"/>
          </w:tcPr>
          <w:p w14:paraId="7D590A32" w14:textId="77777777" w:rsidR="0035790D" w:rsidRPr="00E676D9" w:rsidRDefault="0035790D" w:rsidP="0035790D">
            <w:pPr>
              <w:jc w:val="center"/>
              <w:rPr>
                <w:rFonts w:ascii="Arial" w:hAnsi="Arial"/>
              </w:rPr>
            </w:pPr>
            <w:r>
              <w:rPr>
                <w:rFonts w:ascii="Arial" w:hAnsi="Arial"/>
              </w:rPr>
              <w:t>6.47</w:t>
            </w:r>
          </w:p>
        </w:tc>
        <w:tc>
          <w:tcPr>
            <w:tcW w:w="1188" w:type="dxa"/>
            <w:vAlign w:val="center"/>
          </w:tcPr>
          <w:p w14:paraId="471B8101" w14:textId="22A22B84" w:rsidR="0035790D" w:rsidRDefault="0035790D" w:rsidP="0035790D">
            <w:pPr>
              <w:jc w:val="center"/>
              <w:rPr>
                <w:rFonts w:ascii="Arial" w:hAnsi="Arial"/>
              </w:rPr>
            </w:pPr>
            <w:r>
              <w:rPr>
                <w:rFonts w:ascii="Arial" w:hAnsi="Arial" w:cs="Arial"/>
                <w:color w:val="000000"/>
              </w:rPr>
              <w:t>4.035</w:t>
            </w:r>
          </w:p>
        </w:tc>
      </w:tr>
      <w:tr w:rsidR="0035790D" w:rsidRPr="00E676D9" w14:paraId="39AB9EE6" w14:textId="0530CE5F" w:rsidTr="00402869">
        <w:trPr>
          <w:jc w:val="center"/>
        </w:trPr>
        <w:tc>
          <w:tcPr>
            <w:tcW w:w="828" w:type="dxa"/>
          </w:tcPr>
          <w:p w14:paraId="196629A7" w14:textId="77777777" w:rsidR="0035790D" w:rsidRPr="00E676D9" w:rsidRDefault="0035790D" w:rsidP="0035790D">
            <w:pPr>
              <w:jc w:val="center"/>
              <w:rPr>
                <w:rFonts w:ascii="Arial" w:hAnsi="Arial"/>
              </w:rPr>
            </w:pPr>
            <w:r>
              <w:rPr>
                <w:rFonts w:ascii="Arial" w:hAnsi="Arial"/>
              </w:rPr>
              <w:t>25</w:t>
            </w:r>
          </w:p>
        </w:tc>
        <w:tc>
          <w:tcPr>
            <w:tcW w:w="900" w:type="dxa"/>
          </w:tcPr>
          <w:p w14:paraId="7F58BBD6" w14:textId="77777777" w:rsidR="0035790D" w:rsidRPr="00E676D9" w:rsidRDefault="0035790D" w:rsidP="0035790D">
            <w:pPr>
              <w:jc w:val="center"/>
              <w:rPr>
                <w:rFonts w:ascii="Arial" w:hAnsi="Arial"/>
              </w:rPr>
            </w:pPr>
            <w:r>
              <w:rPr>
                <w:rFonts w:ascii="Arial" w:hAnsi="Arial"/>
              </w:rPr>
              <w:t>Virgin</w:t>
            </w:r>
          </w:p>
        </w:tc>
        <w:tc>
          <w:tcPr>
            <w:tcW w:w="1170" w:type="dxa"/>
          </w:tcPr>
          <w:p w14:paraId="0A2B0E96" w14:textId="77777777" w:rsidR="0035790D" w:rsidRPr="00E676D9" w:rsidRDefault="0035790D" w:rsidP="0035790D">
            <w:pPr>
              <w:jc w:val="center"/>
              <w:rPr>
                <w:rFonts w:ascii="Arial" w:hAnsi="Arial"/>
              </w:rPr>
            </w:pPr>
            <w:r>
              <w:rPr>
                <w:rFonts w:ascii="Arial" w:hAnsi="Arial"/>
              </w:rPr>
              <w:t>15.0</w:t>
            </w:r>
          </w:p>
        </w:tc>
        <w:tc>
          <w:tcPr>
            <w:tcW w:w="1170" w:type="dxa"/>
          </w:tcPr>
          <w:p w14:paraId="30DB3E20" w14:textId="77777777" w:rsidR="0035790D" w:rsidRPr="00E676D9" w:rsidRDefault="0035790D" w:rsidP="0035790D">
            <w:pPr>
              <w:jc w:val="center"/>
              <w:rPr>
                <w:rFonts w:ascii="Arial" w:hAnsi="Arial"/>
              </w:rPr>
            </w:pPr>
            <w:r>
              <w:rPr>
                <w:rFonts w:ascii="Arial" w:hAnsi="Arial"/>
              </w:rPr>
              <w:t>47.0</w:t>
            </w:r>
          </w:p>
        </w:tc>
        <w:tc>
          <w:tcPr>
            <w:tcW w:w="1170" w:type="dxa"/>
          </w:tcPr>
          <w:p w14:paraId="65EB1CDA" w14:textId="77777777" w:rsidR="0035790D" w:rsidRPr="00E676D9" w:rsidRDefault="0035790D" w:rsidP="0035790D">
            <w:pPr>
              <w:jc w:val="center"/>
              <w:rPr>
                <w:rFonts w:ascii="Arial" w:hAnsi="Arial"/>
              </w:rPr>
            </w:pPr>
            <w:r>
              <w:rPr>
                <w:rFonts w:ascii="Arial" w:hAnsi="Arial"/>
              </w:rPr>
              <w:t>63.5</w:t>
            </w:r>
          </w:p>
        </w:tc>
        <w:tc>
          <w:tcPr>
            <w:tcW w:w="1170" w:type="dxa"/>
          </w:tcPr>
          <w:p w14:paraId="07BEBF20" w14:textId="77777777" w:rsidR="0035790D" w:rsidRPr="00E676D9" w:rsidRDefault="0035790D" w:rsidP="0035790D">
            <w:pPr>
              <w:jc w:val="center"/>
              <w:rPr>
                <w:rFonts w:ascii="Arial" w:hAnsi="Arial"/>
              </w:rPr>
            </w:pPr>
            <w:r>
              <w:rPr>
                <w:rFonts w:ascii="Arial" w:hAnsi="Arial"/>
              </w:rPr>
              <w:t>4.2</w:t>
            </w:r>
          </w:p>
        </w:tc>
        <w:tc>
          <w:tcPr>
            <w:tcW w:w="1260" w:type="dxa"/>
          </w:tcPr>
          <w:p w14:paraId="3BB6DFA1" w14:textId="77777777" w:rsidR="0035790D" w:rsidRPr="00E676D9" w:rsidRDefault="0035790D" w:rsidP="0035790D">
            <w:pPr>
              <w:jc w:val="center"/>
              <w:rPr>
                <w:rFonts w:ascii="Arial" w:hAnsi="Arial"/>
              </w:rPr>
            </w:pPr>
            <w:r>
              <w:rPr>
                <w:rFonts w:ascii="Arial" w:hAnsi="Arial"/>
              </w:rPr>
              <w:t>9.46</w:t>
            </w:r>
          </w:p>
        </w:tc>
        <w:tc>
          <w:tcPr>
            <w:tcW w:w="1188" w:type="dxa"/>
          </w:tcPr>
          <w:p w14:paraId="71ADF562" w14:textId="77777777" w:rsidR="0035790D" w:rsidRPr="00E676D9" w:rsidRDefault="0035790D" w:rsidP="0035790D">
            <w:pPr>
              <w:jc w:val="center"/>
              <w:rPr>
                <w:rFonts w:ascii="Arial" w:hAnsi="Arial"/>
              </w:rPr>
            </w:pPr>
            <w:r>
              <w:rPr>
                <w:rFonts w:ascii="Arial" w:hAnsi="Arial"/>
              </w:rPr>
              <w:t>6.47</w:t>
            </w:r>
          </w:p>
        </w:tc>
        <w:tc>
          <w:tcPr>
            <w:tcW w:w="1188" w:type="dxa"/>
            <w:vAlign w:val="bottom"/>
          </w:tcPr>
          <w:p w14:paraId="3C69BF2B" w14:textId="426C2D16" w:rsidR="0035790D" w:rsidRDefault="0035790D" w:rsidP="0035790D">
            <w:pPr>
              <w:jc w:val="center"/>
              <w:rPr>
                <w:rFonts w:ascii="Arial" w:hAnsi="Arial"/>
              </w:rPr>
            </w:pPr>
            <w:r>
              <w:rPr>
                <w:rFonts w:ascii="Calibri" w:hAnsi="Calibri" w:cs="Calibri"/>
                <w:color w:val="000000"/>
                <w:sz w:val="22"/>
                <w:szCs w:val="22"/>
              </w:rPr>
              <w:t>N/A</w:t>
            </w:r>
          </w:p>
        </w:tc>
      </w:tr>
      <w:tr w:rsidR="009D3CFA" w:rsidRPr="00E676D9" w14:paraId="5F1413A3" w14:textId="3FD7B85A" w:rsidTr="009D3CFA">
        <w:trPr>
          <w:jc w:val="center"/>
        </w:trPr>
        <w:tc>
          <w:tcPr>
            <w:tcW w:w="828" w:type="dxa"/>
          </w:tcPr>
          <w:p w14:paraId="07FB9F6C" w14:textId="77777777" w:rsidR="009D3CFA" w:rsidRPr="00E676D9" w:rsidRDefault="009D3CFA" w:rsidP="009D3CFA">
            <w:pPr>
              <w:jc w:val="center"/>
              <w:rPr>
                <w:rFonts w:ascii="Arial" w:hAnsi="Arial"/>
              </w:rPr>
            </w:pPr>
            <w:r>
              <w:rPr>
                <w:rFonts w:ascii="Arial" w:hAnsi="Arial"/>
              </w:rPr>
              <w:t>37.5</w:t>
            </w:r>
          </w:p>
        </w:tc>
        <w:tc>
          <w:tcPr>
            <w:tcW w:w="900" w:type="dxa"/>
          </w:tcPr>
          <w:p w14:paraId="5B1F98BF" w14:textId="77777777" w:rsidR="009D3CFA" w:rsidRPr="00E676D9" w:rsidRDefault="009D3CFA" w:rsidP="009D3CFA">
            <w:pPr>
              <w:jc w:val="center"/>
              <w:rPr>
                <w:rFonts w:ascii="Arial" w:hAnsi="Arial"/>
              </w:rPr>
            </w:pPr>
            <w:r>
              <w:rPr>
                <w:rFonts w:ascii="Arial" w:hAnsi="Arial"/>
              </w:rPr>
              <w:t>RAP</w:t>
            </w:r>
          </w:p>
        </w:tc>
        <w:tc>
          <w:tcPr>
            <w:tcW w:w="1170" w:type="dxa"/>
          </w:tcPr>
          <w:p w14:paraId="6633BF29" w14:textId="77777777" w:rsidR="009D3CFA" w:rsidRPr="00E676D9" w:rsidRDefault="009D3CFA" w:rsidP="009D3CFA">
            <w:pPr>
              <w:jc w:val="center"/>
              <w:rPr>
                <w:rFonts w:ascii="Arial" w:hAnsi="Arial"/>
              </w:rPr>
            </w:pPr>
            <w:r>
              <w:rPr>
                <w:rFonts w:ascii="Arial" w:hAnsi="Arial"/>
              </w:rPr>
              <w:t>23.0</w:t>
            </w:r>
          </w:p>
        </w:tc>
        <w:tc>
          <w:tcPr>
            <w:tcW w:w="1170" w:type="dxa"/>
          </w:tcPr>
          <w:p w14:paraId="6A3977AF" w14:textId="77777777" w:rsidR="009D3CFA" w:rsidRPr="00E676D9" w:rsidRDefault="009D3CFA" w:rsidP="009D3CFA">
            <w:pPr>
              <w:jc w:val="center"/>
              <w:rPr>
                <w:rFonts w:ascii="Arial" w:hAnsi="Arial"/>
              </w:rPr>
            </w:pPr>
            <w:r>
              <w:rPr>
                <w:rFonts w:ascii="Arial" w:hAnsi="Arial"/>
              </w:rPr>
              <w:t>52.2</w:t>
            </w:r>
          </w:p>
        </w:tc>
        <w:tc>
          <w:tcPr>
            <w:tcW w:w="1170" w:type="dxa"/>
          </w:tcPr>
          <w:p w14:paraId="39B17514" w14:textId="77777777" w:rsidR="009D3CFA" w:rsidRPr="00E676D9" w:rsidRDefault="009D3CFA" w:rsidP="009D3CFA">
            <w:pPr>
              <w:jc w:val="center"/>
              <w:rPr>
                <w:rFonts w:ascii="Arial" w:hAnsi="Arial"/>
              </w:rPr>
            </w:pPr>
            <w:r>
              <w:rPr>
                <w:rFonts w:ascii="Arial" w:hAnsi="Arial"/>
              </w:rPr>
              <w:t>70.8</w:t>
            </w:r>
          </w:p>
        </w:tc>
        <w:tc>
          <w:tcPr>
            <w:tcW w:w="1170" w:type="dxa"/>
          </w:tcPr>
          <w:p w14:paraId="67E54772" w14:textId="77777777" w:rsidR="009D3CFA" w:rsidRPr="00E676D9" w:rsidRDefault="009D3CFA" w:rsidP="009D3CFA">
            <w:pPr>
              <w:jc w:val="center"/>
              <w:rPr>
                <w:rFonts w:ascii="Arial" w:hAnsi="Arial"/>
              </w:rPr>
            </w:pPr>
            <w:r>
              <w:rPr>
                <w:rFonts w:ascii="Arial" w:hAnsi="Arial"/>
              </w:rPr>
              <w:t>4.4</w:t>
            </w:r>
          </w:p>
        </w:tc>
        <w:tc>
          <w:tcPr>
            <w:tcW w:w="1260" w:type="dxa"/>
          </w:tcPr>
          <w:p w14:paraId="61F2CFAE" w14:textId="77777777" w:rsidR="009D3CFA" w:rsidRPr="00E676D9" w:rsidRDefault="009D3CFA" w:rsidP="009D3CFA">
            <w:pPr>
              <w:jc w:val="center"/>
              <w:rPr>
                <w:rFonts w:ascii="Arial" w:hAnsi="Arial"/>
              </w:rPr>
            </w:pPr>
            <w:r>
              <w:rPr>
                <w:rFonts w:ascii="Arial" w:hAnsi="Arial"/>
              </w:rPr>
              <w:t>8.38</w:t>
            </w:r>
          </w:p>
        </w:tc>
        <w:tc>
          <w:tcPr>
            <w:tcW w:w="1188" w:type="dxa"/>
          </w:tcPr>
          <w:p w14:paraId="3B163C4C" w14:textId="77777777" w:rsidR="009D3CFA" w:rsidRPr="00E676D9" w:rsidRDefault="009D3CFA" w:rsidP="009D3CFA">
            <w:pPr>
              <w:jc w:val="center"/>
              <w:rPr>
                <w:rFonts w:ascii="Arial" w:hAnsi="Arial"/>
              </w:rPr>
            </w:pPr>
            <w:r>
              <w:rPr>
                <w:rFonts w:ascii="Arial" w:hAnsi="Arial"/>
              </w:rPr>
              <w:t>6.47</w:t>
            </w:r>
          </w:p>
        </w:tc>
        <w:tc>
          <w:tcPr>
            <w:tcW w:w="1188" w:type="dxa"/>
          </w:tcPr>
          <w:p w14:paraId="51C82578" w14:textId="223D5152" w:rsidR="009D3CFA" w:rsidRDefault="009D3CFA" w:rsidP="009D3CFA">
            <w:pPr>
              <w:jc w:val="center"/>
              <w:rPr>
                <w:rFonts w:ascii="Arial" w:hAnsi="Arial"/>
              </w:rPr>
            </w:pPr>
            <w:r>
              <w:rPr>
                <w:rFonts w:ascii="Arial" w:hAnsi="Arial"/>
              </w:rPr>
              <w:t>6.47</w:t>
            </w:r>
          </w:p>
        </w:tc>
      </w:tr>
    </w:tbl>
    <w:p w14:paraId="2766DEA4" w14:textId="77777777" w:rsidR="0035790D" w:rsidRDefault="0035790D" w:rsidP="0035790D">
      <w:pPr>
        <w:pStyle w:val="Heading4"/>
        <w:numPr>
          <w:ilvl w:val="0"/>
          <w:numId w:val="0"/>
        </w:numPr>
        <w:ind w:left="864"/>
      </w:pPr>
      <w:bookmarkStart w:id="169" w:name="_HMA_Unit_Weight"/>
      <w:bookmarkEnd w:id="168"/>
      <w:bookmarkEnd w:id="169"/>
    </w:p>
    <w:p w14:paraId="28BF204C" w14:textId="6902B1AB" w:rsidR="00152A78" w:rsidRDefault="00152A78" w:rsidP="0049684B">
      <w:pPr>
        <w:pStyle w:val="Heading4"/>
      </w:pPr>
      <w:r>
        <w:t>HMA Unit Weight</w:t>
      </w:r>
    </w:p>
    <w:p w14:paraId="4746DE6C" w14:textId="57CC5657"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ixture_Volumetrics:" w:history="1">
        <w:r w:rsidRPr="009237A5">
          <w:rPr>
            <w:rStyle w:val="Hyperlink"/>
            <w:rFonts w:ascii="Arial" w:hAnsi="Arial" w:cs="Arial"/>
            <w:bCs/>
            <w:sz w:val="16"/>
            <w:szCs w:val="16"/>
          </w:rPr>
          <w:t>Mixture Volumetrics</w:t>
        </w:r>
      </w:hyperlink>
    </w:p>
    <w:p w14:paraId="04CFB4C6" w14:textId="55192EEE"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commended_Material_Property" w:history="1">
        <w:r w:rsidRPr="00527730">
          <w:rPr>
            <w:rStyle w:val="Hyperlink"/>
            <w:rFonts w:ascii="Arial" w:hAnsi="Arial" w:cs="Arial"/>
            <w:bCs/>
            <w:sz w:val="16"/>
            <w:szCs w:val="16"/>
          </w:rPr>
          <w:t xml:space="preserve">Recommended Material Property Inputs for </w:t>
        </w:r>
        <w:r w:rsidR="00D440C3">
          <w:rPr>
            <w:rStyle w:val="Hyperlink"/>
            <w:rFonts w:ascii="Arial" w:hAnsi="Arial" w:cs="Arial"/>
            <w:bCs/>
            <w:sz w:val="16"/>
            <w:szCs w:val="16"/>
          </w:rPr>
          <w:t>N</w:t>
        </w:r>
        <w:r w:rsidRPr="00527730">
          <w:rPr>
            <w:rStyle w:val="Hyperlink"/>
            <w:rFonts w:ascii="Arial" w:hAnsi="Arial" w:cs="Arial"/>
            <w:bCs/>
            <w:sz w:val="16"/>
            <w:szCs w:val="16"/>
          </w:rPr>
          <w:t>ew HMA Layers</w:t>
        </w:r>
      </w:hyperlink>
    </w:p>
    <w:p w14:paraId="2F56B3BF" w14:textId="77777777"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commended_Material_Property_1" w:history="1">
        <w:r w:rsidRPr="00E838DF">
          <w:rPr>
            <w:rStyle w:val="Hyperlink"/>
            <w:rFonts w:ascii="Arial" w:hAnsi="Arial" w:cs="Arial"/>
            <w:bCs/>
            <w:sz w:val="16"/>
            <w:szCs w:val="16"/>
          </w:rPr>
          <w:t>Recommended Material Property Inputs for Existing HMA Layers</w:t>
        </w:r>
      </w:hyperlink>
    </w:p>
    <w:p w14:paraId="2C3A797C" w14:textId="77777777" w:rsidR="00152A78" w:rsidRDefault="00152A78" w:rsidP="001635F4">
      <w:pPr>
        <w:pStyle w:val="TOC1"/>
      </w:pPr>
    </w:p>
    <w:p w14:paraId="5A534E61" w14:textId="77777777" w:rsidR="00152A78" w:rsidRDefault="00152A78" w:rsidP="00152A78">
      <w:pPr>
        <w:jc w:val="both"/>
        <w:rPr>
          <w:rFonts w:ascii="Arial" w:hAnsi="Arial"/>
          <w:sz w:val="22"/>
        </w:rPr>
      </w:pPr>
      <w:r>
        <w:rPr>
          <w:rFonts w:ascii="Arial" w:hAnsi="Arial"/>
          <w:sz w:val="22"/>
        </w:rPr>
        <w:t xml:space="preserve">The following table presents the historical (1999) unit weights of Superpave mixes developed from maximum specific gravity and based on a 4% air void assumption.  </w:t>
      </w:r>
    </w:p>
    <w:p w14:paraId="48F2D241" w14:textId="77777777" w:rsidR="00152A78" w:rsidRDefault="00152A78" w:rsidP="00152A78">
      <w:pPr>
        <w:rPr>
          <w:rFonts w:ascii="Arial" w:hAnsi="Arial"/>
          <w:sz w:val="22"/>
        </w:rP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3397"/>
      </w:tblGrid>
      <w:tr w:rsidR="00152A78" w14:paraId="3327BD1F" w14:textId="77777777" w:rsidTr="001635F4">
        <w:trPr>
          <w:tblHeader/>
        </w:trPr>
        <w:tc>
          <w:tcPr>
            <w:tcW w:w="2970" w:type="dxa"/>
            <w:tcBorders>
              <w:top w:val="single" w:sz="4" w:space="0" w:color="auto"/>
              <w:left w:val="single" w:sz="4" w:space="0" w:color="auto"/>
              <w:right w:val="single" w:sz="4" w:space="0" w:color="auto"/>
            </w:tcBorders>
            <w:shd w:val="pct12" w:color="auto" w:fill="FFFFFF"/>
          </w:tcPr>
          <w:p w14:paraId="2678DA7C" w14:textId="77777777" w:rsidR="00152A78" w:rsidRDefault="00152A78" w:rsidP="00152A78">
            <w:pPr>
              <w:jc w:val="center"/>
              <w:rPr>
                <w:rFonts w:ascii="Arial" w:hAnsi="Arial"/>
                <w:b/>
                <w:sz w:val="22"/>
              </w:rPr>
            </w:pPr>
            <w:r>
              <w:rPr>
                <w:rFonts w:ascii="Arial" w:hAnsi="Arial"/>
                <w:b/>
                <w:sz w:val="22"/>
              </w:rPr>
              <w:t>Material</w:t>
            </w:r>
          </w:p>
        </w:tc>
        <w:tc>
          <w:tcPr>
            <w:tcW w:w="3397" w:type="dxa"/>
            <w:tcBorders>
              <w:top w:val="single" w:sz="4" w:space="0" w:color="auto"/>
              <w:left w:val="single" w:sz="4" w:space="0" w:color="auto"/>
              <w:right w:val="single" w:sz="4" w:space="0" w:color="auto"/>
            </w:tcBorders>
            <w:shd w:val="pct12" w:color="auto" w:fill="FFFFFF"/>
          </w:tcPr>
          <w:p w14:paraId="05629CD8" w14:textId="77777777" w:rsidR="00152A78" w:rsidRDefault="00152A78" w:rsidP="00152A78">
            <w:pPr>
              <w:jc w:val="center"/>
              <w:rPr>
                <w:rFonts w:ascii="Arial" w:hAnsi="Arial"/>
                <w:b/>
                <w:sz w:val="22"/>
              </w:rPr>
            </w:pPr>
            <w:r>
              <w:rPr>
                <w:rFonts w:ascii="Arial" w:hAnsi="Arial"/>
                <w:b/>
                <w:sz w:val="22"/>
              </w:rPr>
              <w:t>Average Unit Weight (lbs/ft</w:t>
            </w:r>
            <w:r>
              <w:rPr>
                <w:rFonts w:ascii="Arial" w:hAnsi="Arial"/>
                <w:b/>
                <w:sz w:val="22"/>
                <w:vertAlign w:val="superscript"/>
              </w:rPr>
              <w:t>3</w:t>
            </w:r>
            <w:r>
              <w:rPr>
                <w:rFonts w:ascii="Arial" w:hAnsi="Arial"/>
                <w:b/>
                <w:sz w:val="22"/>
              </w:rPr>
              <w:t>)</w:t>
            </w:r>
          </w:p>
        </w:tc>
      </w:tr>
      <w:tr w:rsidR="00152A78" w14:paraId="24878F19" w14:textId="77777777" w:rsidTr="001635F4">
        <w:tc>
          <w:tcPr>
            <w:tcW w:w="2970" w:type="dxa"/>
            <w:tcBorders>
              <w:left w:val="single" w:sz="4" w:space="0" w:color="auto"/>
            </w:tcBorders>
          </w:tcPr>
          <w:p w14:paraId="168F2003" w14:textId="77777777" w:rsidR="00152A78" w:rsidRDefault="00152A78" w:rsidP="00152A78">
            <w:pPr>
              <w:jc w:val="center"/>
              <w:rPr>
                <w:rFonts w:ascii="Arial" w:hAnsi="Arial"/>
                <w:sz w:val="22"/>
              </w:rPr>
            </w:pPr>
            <w:r>
              <w:rPr>
                <w:rFonts w:ascii="Arial" w:hAnsi="Arial"/>
                <w:sz w:val="22"/>
              </w:rPr>
              <w:t>4.75 mm</w:t>
            </w:r>
          </w:p>
        </w:tc>
        <w:tc>
          <w:tcPr>
            <w:tcW w:w="3397" w:type="dxa"/>
            <w:tcBorders>
              <w:right w:val="single" w:sz="4" w:space="0" w:color="auto"/>
            </w:tcBorders>
          </w:tcPr>
          <w:p w14:paraId="0BCBCD16" w14:textId="77777777" w:rsidR="00152A78" w:rsidRDefault="00152A78" w:rsidP="00152A78">
            <w:pPr>
              <w:jc w:val="center"/>
              <w:rPr>
                <w:rFonts w:ascii="Arial" w:hAnsi="Arial"/>
                <w:sz w:val="22"/>
              </w:rPr>
            </w:pPr>
            <w:r>
              <w:rPr>
                <w:rFonts w:ascii="Arial" w:hAnsi="Arial"/>
                <w:sz w:val="22"/>
              </w:rPr>
              <w:t>153.2</w:t>
            </w:r>
          </w:p>
        </w:tc>
      </w:tr>
      <w:tr w:rsidR="00152A78" w14:paraId="31DEF341" w14:textId="77777777" w:rsidTr="001635F4">
        <w:tc>
          <w:tcPr>
            <w:tcW w:w="2970" w:type="dxa"/>
            <w:tcBorders>
              <w:left w:val="single" w:sz="4" w:space="0" w:color="auto"/>
            </w:tcBorders>
          </w:tcPr>
          <w:p w14:paraId="7F897E35" w14:textId="77777777" w:rsidR="00152A78" w:rsidRDefault="00152A78" w:rsidP="00152A78">
            <w:pPr>
              <w:jc w:val="center"/>
              <w:rPr>
                <w:rFonts w:ascii="Arial" w:hAnsi="Arial"/>
                <w:sz w:val="22"/>
              </w:rPr>
            </w:pPr>
            <w:r>
              <w:rPr>
                <w:rFonts w:ascii="Arial" w:hAnsi="Arial"/>
                <w:sz w:val="22"/>
              </w:rPr>
              <w:t>9.5 mm</w:t>
            </w:r>
          </w:p>
        </w:tc>
        <w:tc>
          <w:tcPr>
            <w:tcW w:w="3397" w:type="dxa"/>
            <w:tcBorders>
              <w:right w:val="single" w:sz="4" w:space="0" w:color="auto"/>
            </w:tcBorders>
          </w:tcPr>
          <w:p w14:paraId="58BBA612" w14:textId="77777777" w:rsidR="00152A78" w:rsidRDefault="00152A78" w:rsidP="00152A78">
            <w:pPr>
              <w:jc w:val="center"/>
              <w:rPr>
                <w:rFonts w:ascii="Arial" w:hAnsi="Arial"/>
                <w:sz w:val="22"/>
              </w:rPr>
            </w:pPr>
            <w:r>
              <w:rPr>
                <w:rFonts w:ascii="Arial" w:hAnsi="Arial"/>
                <w:sz w:val="22"/>
              </w:rPr>
              <w:t>147.5</w:t>
            </w:r>
          </w:p>
        </w:tc>
      </w:tr>
      <w:tr w:rsidR="00152A78" w14:paraId="3B0E4AD0" w14:textId="77777777" w:rsidTr="001635F4">
        <w:tc>
          <w:tcPr>
            <w:tcW w:w="2970" w:type="dxa"/>
            <w:tcBorders>
              <w:left w:val="single" w:sz="4" w:space="0" w:color="auto"/>
            </w:tcBorders>
          </w:tcPr>
          <w:p w14:paraId="5126E1F9" w14:textId="77777777" w:rsidR="00152A78" w:rsidRDefault="00152A78" w:rsidP="00152A78">
            <w:pPr>
              <w:jc w:val="center"/>
              <w:rPr>
                <w:rFonts w:ascii="Arial" w:hAnsi="Arial"/>
                <w:sz w:val="22"/>
              </w:rPr>
            </w:pPr>
            <w:r>
              <w:rPr>
                <w:rFonts w:ascii="Arial" w:hAnsi="Arial"/>
                <w:sz w:val="22"/>
              </w:rPr>
              <w:t>12.5 mm</w:t>
            </w:r>
          </w:p>
        </w:tc>
        <w:tc>
          <w:tcPr>
            <w:tcW w:w="3397" w:type="dxa"/>
            <w:tcBorders>
              <w:right w:val="single" w:sz="4" w:space="0" w:color="auto"/>
            </w:tcBorders>
          </w:tcPr>
          <w:p w14:paraId="5BB7F3BC" w14:textId="77777777" w:rsidR="00152A78" w:rsidRDefault="00152A78" w:rsidP="00152A78">
            <w:pPr>
              <w:jc w:val="center"/>
              <w:rPr>
                <w:rFonts w:ascii="Arial" w:hAnsi="Arial"/>
                <w:sz w:val="22"/>
              </w:rPr>
            </w:pPr>
            <w:r>
              <w:rPr>
                <w:rFonts w:ascii="Arial" w:hAnsi="Arial"/>
                <w:sz w:val="22"/>
              </w:rPr>
              <w:t>148.5</w:t>
            </w:r>
          </w:p>
        </w:tc>
      </w:tr>
      <w:tr w:rsidR="00152A78" w14:paraId="7B535EFF" w14:textId="77777777" w:rsidTr="001635F4">
        <w:tc>
          <w:tcPr>
            <w:tcW w:w="2970" w:type="dxa"/>
            <w:tcBorders>
              <w:left w:val="single" w:sz="4" w:space="0" w:color="auto"/>
            </w:tcBorders>
          </w:tcPr>
          <w:p w14:paraId="2E58ED66" w14:textId="77777777" w:rsidR="00152A78" w:rsidRDefault="00152A78" w:rsidP="00152A78">
            <w:pPr>
              <w:jc w:val="center"/>
              <w:rPr>
                <w:rFonts w:ascii="Arial" w:hAnsi="Arial"/>
                <w:sz w:val="22"/>
              </w:rPr>
            </w:pPr>
            <w:r>
              <w:rPr>
                <w:rFonts w:ascii="Arial" w:hAnsi="Arial"/>
                <w:sz w:val="22"/>
              </w:rPr>
              <w:t>19.0 mm</w:t>
            </w:r>
          </w:p>
        </w:tc>
        <w:tc>
          <w:tcPr>
            <w:tcW w:w="3397" w:type="dxa"/>
            <w:tcBorders>
              <w:right w:val="single" w:sz="4" w:space="0" w:color="auto"/>
            </w:tcBorders>
          </w:tcPr>
          <w:p w14:paraId="249821BF" w14:textId="77777777" w:rsidR="00152A78" w:rsidRDefault="00152A78" w:rsidP="00152A78">
            <w:pPr>
              <w:jc w:val="center"/>
              <w:rPr>
                <w:rFonts w:ascii="Arial" w:hAnsi="Arial"/>
                <w:sz w:val="22"/>
              </w:rPr>
            </w:pPr>
            <w:r>
              <w:rPr>
                <w:rFonts w:ascii="Arial" w:hAnsi="Arial"/>
                <w:sz w:val="22"/>
              </w:rPr>
              <w:t>149.9</w:t>
            </w:r>
          </w:p>
        </w:tc>
      </w:tr>
      <w:tr w:rsidR="00152A78" w14:paraId="1E90BBE1" w14:textId="77777777" w:rsidTr="001635F4">
        <w:tc>
          <w:tcPr>
            <w:tcW w:w="2970" w:type="dxa"/>
            <w:tcBorders>
              <w:left w:val="single" w:sz="4" w:space="0" w:color="auto"/>
            </w:tcBorders>
          </w:tcPr>
          <w:p w14:paraId="487048D5" w14:textId="77777777" w:rsidR="00152A78" w:rsidRDefault="00152A78" w:rsidP="00152A78">
            <w:pPr>
              <w:jc w:val="center"/>
              <w:rPr>
                <w:rFonts w:ascii="Arial" w:hAnsi="Arial"/>
                <w:sz w:val="22"/>
              </w:rPr>
            </w:pPr>
            <w:r>
              <w:rPr>
                <w:rFonts w:ascii="Arial" w:hAnsi="Arial"/>
                <w:sz w:val="22"/>
              </w:rPr>
              <w:t>25.0 mm</w:t>
            </w:r>
          </w:p>
        </w:tc>
        <w:tc>
          <w:tcPr>
            <w:tcW w:w="3397" w:type="dxa"/>
            <w:tcBorders>
              <w:right w:val="single" w:sz="4" w:space="0" w:color="auto"/>
            </w:tcBorders>
          </w:tcPr>
          <w:p w14:paraId="16A6F84F" w14:textId="77777777" w:rsidR="00152A78" w:rsidRDefault="00152A78" w:rsidP="00152A78">
            <w:pPr>
              <w:jc w:val="center"/>
              <w:rPr>
                <w:rFonts w:ascii="Arial" w:hAnsi="Arial"/>
                <w:sz w:val="22"/>
              </w:rPr>
            </w:pPr>
            <w:r>
              <w:rPr>
                <w:rFonts w:ascii="Arial" w:hAnsi="Arial"/>
                <w:sz w:val="22"/>
              </w:rPr>
              <w:t>150.9</w:t>
            </w:r>
          </w:p>
        </w:tc>
      </w:tr>
      <w:tr w:rsidR="00152A78" w14:paraId="200A0408" w14:textId="77777777" w:rsidTr="001635F4">
        <w:tc>
          <w:tcPr>
            <w:tcW w:w="2970" w:type="dxa"/>
            <w:tcBorders>
              <w:left w:val="single" w:sz="4" w:space="0" w:color="auto"/>
              <w:bottom w:val="nil"/>
            </w:tcBorders>
          </w:tcPr>
          <w:p w14:paraId="31845DA9" w14:textId="422A4CCF" w:rsidR="00152A78" w:rsidRDefault="00152A78" w:rsidP="00152A78">
            <w:pPr>
              <w:jc w:val="center"/>
              <w:rPr>
                <w:rFonts w:ascii="Arial" w:hAnsi="Arial"/>
                <w:sz w:val="22"/>
              </w:rPr>
            </w:pPr>
            <w:r>
              <w:rPr>
                <w:rFonts w:ascii="Arial" w:hAnsi="Arial"/>
                <w:sz w:val="22"/>
              </w:rPr>
              <w:t xml:space="preserve">12.5 mm </w:t>
            </w:r>
            <w:r w:rsidR="00DB4495">
              <w:rPr>
                <w:rFonts w:ascii="Arial" w:hAnsi="Arial"/>
                <w:sz w:val="22"/>
              </w:rPr>
              <w:t>Gap</w:t>
            </w:r>
            <w:r>
              <w:rPr>
                <w:rFonts w:ascii="Arial" w:hAnsi="Arial"/>
                <w:sz w:val="22"/>
              </w:rPr>
              <w:t xml:space="preserve"> Graded</w:t>
            </w:r>
          </w:p>
        </w:tc>
        <w:tc>
          <w:tcPr>
            <w:tcW w:w="3397" w:type="dxa"/>
            <w:tcBorders>
              <w:bottom w:val="nil"/>
              <w:right w:val="single" w:sz="4" w:space="0" w:color="auto"/>
            </w:tcBorders>
          </w:tcPr>
          <w:p w14:paraId="3E09FBB4" w14:textId="77777777" w:rsidR="00152A78" w:rsidRDefault="00152A78" w:rsidP="00152A78">
            <w:pPr>
              <w:jc w:val="center"/>
              <w:rPr>
                <w:rFonts w:ascii="Arial" w:hAnsi="Arial"/>
                <w:sz w:val="22"/>
              </w:rPr>
            </w:pPr>
            <w:r>
              <w:rPr>
                <w:rFonts w:ascii="Arial" w:hAnsi="Arial"/>
                <w:sz w:val="22"/>
              </w:rPr>
              <w:t>152.1</w:t>
            </w:r>
          </w:p>
        </w:tc>
      </w:tr>
      <w:tr w:rsidR="00152A78" w14:paraId="31E5E39F" w14:textId="77777777" w:rsidTr="001635F4">
        <w:tc>
          <w:tcPr>
            <w:tcW w:w="2970" w:type="dxa"/>
            <w:tcBorders>
              <w:left w:val="single" w:sz="4" w:space="0" w:color="auto"/>
              <w:bottom w:val="nil"/>
            </w:tcBorders>
          </w:tcPr>
          <w:p w14:paraId="3B496001" w14:textId="6BD16DB3" w:rsidR="00152A78" w:rsidRDefault="00152A78" w:rsidP="00152A78">
            <w:pPr>
              <w:jc w:val="center"/>
              <w:rPr>
                <w:rFonts w:ascii="Arial" w:hAnsi="Arial"/>
                <w:sz w:val="22"/>
              </w:rPr>
            </w:pPr>
            <w:r>
              <w:rPr>
                <w:rFonts w:ascii="Arial" w:hAnsi="Arial"/>
                <w:sz w:val="22"/>
              </w:rPr>
              <w:t xml:space="preserve">19.0 mm </w:t>
            </w:r>
            <w:r w:rsidR="00DB4495">
              <w:rPr>
                <w:rFonts w:ascii="Arial" w:hAnsi="Arial"/>
                <w:sz w:val="22"/>
              </w:rPr>
              <w:t>Gap</w:t>
            </w:r>
            <w:r>
              <w:rPr>
                <w:rFonts w:ascii="Arial" w:hAnsi="Arial"/>
                <w:sz w:val="22"/>
              </w:rPr>
              <w:t xml:space="preserve"> Graded</w:t>
            </w:r>
          </w:p>
        </w:tc>
        <w:tc>
          <w:tcPr>
            <w:tcW w:w="3397" w:type="dxa"/>
            <w:tcBorders>
              <w:bottom w:val="nil"/>
              <w:right w:val="single" w:sz="4" w:space="0" w:color="auto"/>
            </w:tcBorders>
          </w:tcPr>
          <w:p w14:paraId="08F4C994" w14:textId="77777777" w:rsidR="00152A78" w:rsidRDefault="00152A78" w:rsidP="00152A78">
            <w:pPr>
              <w:jc w:val="center"/>
              <w:rPr>
                <w:rFonts w:ascii="Arial" w:hAnsi="Arial"/>
                <w:sz w:val="22"/>
              </w:rPr>
            </w:pPr>
            <w:r>
              <w:rPr>
                <w:rFonts w:ascii="Arial" w:hAnsi="Arial"/>
                <w:sz w:val="22"/>
              </w:rPr>
              <w:t>150.2</w:t>
            </w:r>
          </w:p>
        </w:tc>
      </w:tr>
      <w:tr w:rsidR="00152A78" w14:paraId="253633B7" w14:textId="77777777" w:rsidTr="001635F4">
        <w:tc>
          <w:tcPr>
            <w:tcW w:w="2970" w:type="dxa"/>
            <w:tcBorders>
              <w:top w:val="single" w:sz="4" w:space="0" w:color="auto"/>
              <w:left w:val="single" w:sz="4" w:space="0" w:color="auto"/>
            </w:tcBorders>
          </w:tcPr>
          <w:p w14:paraId="5B5A0EB8" w14:textId="77777777" w:rsidR="00152A78" w:rsidRDefault="00152A78" w:rsidP="00152A78">
            <w:pPr>
              <w:jc w:val="center"/>
              <w:rPr>
                <w:rFonts w:ascii="Arial" w:hAnsi="Arial"/>
                <w:b/>
                <w:sz w:val="22"/>
              </w:rPr>
            </w:pPr>
            <w:r>
              <w:rPr>
                <w:rFonts w:ascii="Arial" w:hAnsi="Arial"/>
                <w:b/>
                <w:sz w:val="22"/>
              </w:rPr>
              <w:t>Non GG Surface Mixes</w:t>
            </w:r>
          </w:p>
        </w:tc>
        <w:tc>
          <w:tcPr>
            <w:tcW w:w="3397" w:type="dxa"/>
            <w:tcBorders>
              <w:top w:val="single" w:sz="4" w:space="0" w:color="auto"/>
              <w:right w:val="single" w:sz="4" w:space="0" w:color="auto"/>
            </w:tcBorders>
          </w:tcPr>
          <w:p w14:paraId="28F39F62" w14:textId="77777777" w:rsidR="00152A78" w:rsidRDefault="00152A78" w:rsidP="00152A78">
            <w:pPr>
              <w:jc w:val="center"/>
              <w:rPr>
                <w:rFonts w:ascii="Arial" w:hAnsi="Arial"/>
                <w:b/>
                <w:sz w:val="22"/>
              </w:rPr>
            </w:pPr>
            <w:r>
              <w:rPr>
                <w:rFonts w:ascii="Arial" w:hAnsi="Arial"/>
                <w:b/>
                <w:sz w:val="22"/>
              </w:rPr>
              <w:t>149.7</w:t>
            </w:r>
          </w:p>
        </w:tc>
      </w:tr>
      <w:tr w:rsidR="00152A78" w14:paraId="08B89EE6" w14:textId="77777777" w:rsidTr="001635F4">
        <w:tc>
          <w:tcPr>
            <w:tcW w:w="2970" w:type="dxa"/>
            <w:tcBorders>
              <w:left w:val="single" w:sz="4" w:space="0" w:color="auto"/>
            </w:tcBorders>
          </w:tcPr>
          <w:p w14:paraId="2B6AC767" w14:textId="77777777" w:rsidR="00152A78" w:rsidRDefault="00152A78" w:rsidP="00152A78">
            <w:pPr>
              <w:jc w:val="center"/>
              <w:rPr>
                <w:rFonts w:ascii="Arial" w:hAnsi="Arial"/>
                <w:b/>
                <w:sz w:val="22"/>
              </w:rPr>
            </w:pPr>
            <w:r>
              <w:rPr>
                <w:rFonts w:ascii="Arial" w:hAnsi="Arial"/>
                <w:b/>
                <w:sz w:val="22"/>
              </w:rPr>
              <w:t>Base Mixes</w:t>
            </w:r>
          </w:p>
        </w:tc>
        <w:tc>
          <w:tcPr>
            <w:tcW w:w="3397" w:type="dxa"/>
            <w:tcBorders>
              <w:right w:val="single" w:sz="4" w:space="0" w:color="auto"/>
            </w:tcBorders>
          </w:tcPr>
          <w:p w14:paraId="3A707EAE" w14:textId="77777777" w:rsidR="00152A78" w:rsidRDefault="00152A78" w:rsidP="00152A78">
            <w:pPr>
              <w:jc w:val="center"/>
              <w:rPr>
                <w:rFonts w:ascii="Arial" w:hAnsi="Arial"/>
                <w:b/>
                <w:sz w:val="22"/>
              </w:rPr>
            </w:pPr>
            <w:r>
              <w:rPr>
                <w:rFonts w:ascii="Arial" w:hAnsi="Arial"/>
                <w:b/>
                <w:sz w:val="22"/>
              </w:rPr>
              <w:t>150.4</w:t>
            </w:r>
          </w:p>
        </w:tc>
      </w:tr>
      <w:tr w:rsidR="00152A78" w14:paraId="06319C50" w14:textId="77777777" w:rsidTr="001635F4">
        <w:tc>
          <w:tcPr>
            <w:tcW w:w="2970" w:type="dxa"/>
            <w:tcBorders>
              <w:left w:val="single" w:sz="4" w:space="0" w:color="auto"/>
              <w:bottom w:val="single" w:sz="4" w:space="0" w:color="auto"/>
              <w:right w:val="single" w:sz="4" w:space="0" w:color="auto"/>
            </w:tcBorders>
          </w:tcPr>
          <w:p w14:paraId="2DB48E2F" w14:textId="77777777" w:rsidR="00152A78" w:rsidRDefault="00152A78" w:rsidP="00152A78">
            <w:pPr>
              <w:jc w:val="center"/>
              <w:rPr>
                <w:rFonts w:ascii="Arial" w:hAnsi="Arial"/>
                <w:b/>
                <w:sz w:val="22"/>
              </w:rPr>
            </w:pPr>
            <w:r>
              <w:rPr>
                <w:rFonts w:ascii="Arial" w:hAnsi="Arial"/>
                <w:b/>
                <w:sz w:val="22"/>
              </w:rPr>
              <w:t>All Mixes</w:t>
            </w:r>
          </w:p>
        </w:tc>
        <w:tc>
          <w:tcPr>
            <w:tcW w:w="3397" w:type="dxa"/>
            <w:tcBorders>
              <w:left w:val="single" w:sz="4" w:space="0" w:color="auto"/>
              <w:bottom w:val="single" w:sz="4" w:space="0" w:color="auto"/>
              <w:right w:val="single" w:sz="4" w:space="0" w:color="auto"/>
            </w:tcBorders>
          </w:tcPr>
          <w:p w14:paraId="02BF767F" w14:textId="77777777" w:rsidR="00152A78" w:rsidRDefault="00152A78" w:rsidP="00152A78">
            <w:pPr>
              <w:jc w:val="center"/>
              <w:rPr>
                <w:rFonts w:ascii="Arial" w:hAnsi="Arial"/>
                <w:b/>
                <w:sz w:val="22"/>
              </w:rPr>
            </w:pPr>
            <w:r>
              <w:rPr>
                <w:rFonts w:ascii="Arial" w:hAnsi="Arial"/>
                <w:b/>
                <w:sz w:val="22"/>
              </w:rPr>
              <w:t>150.3</w:t>
            </w:r>
          </w:p>
        </w:tc>
      </w:tr>
    </w:tbl>
    <w:p w14:paraId="3846690E" w14:textId="77777777" w:rsidR="00152A78" w:rsidRDefault="00152A78" w:rsidP="00152A78">
      <w:pPr>
        <w:rPr>
          <w:rFonts w:ascii="Arial" w:hAnsi="Arial"/>
          <w:sz w:val="22"/>
        </w:rPr>
      </w:pPr>
    </w:p>
    <w:p w14:paraId="00390D34" w14:textId="77777777" w:rsidR="00152A78" w:rsidRDefault="00152A78" w:rsidP="00152A78">
      <w:pPr>
        <w:jc w:val="both"/>
        <w:rPr>
          <w:rFonts w:ascii="Arial" w:hAnsi="Arial"/>
          <w:sz w:val="22"/>
        </w:rPr>
      </w:pPr>
      <w:r>
        <w:rPr>
          <w:rFonts w:ascii="Arial" w:hAnsi="Arial"/>
          <w:sz w:val="22"/>
        </w:rPr>
        <w:t xml:space="preserve">The majority of the pavement design analysis effort is to develop a thickness of rehabilitation and an area of the rehabilitation treatment.  The following equation shows a simplified method of developing HMA quantities knowing the thickness of the material and the predicted area of the treatment.   </w:t>
      </w:r>
    </w:p>
    <w:p w14:paraId="27BC4741" w14:textId="77777777" w:rsidR="00152A78" w:rsidRDefault="00152A78" w:rsidP="00152A78">
      <w:pPr>
        <w:jc w:val="both"/>
        <w:rPr>
          <w:rFonts w:ascii="Arial" w:hAnsi="Arial"/>
          <w:sz w:val="22"/>
        </w:rPr>
      </w:pPr>
    </w:p>
    <w:p w14:paraId="7D064767" w14:textId="75BCD929" w:rsidR="00152A78" w:rsidRDefault="00152A78" w:rsidP="001635F4">
      <w:pPr>
        <w:jc w:val="both"/>
        <w:rPr>
          <w:rFonts w:ascii="Arial" w:hAnsi="Arial"/>
          <w:sz w:val="22"/>
        </w:rPr>
      </w:pPr>
      <w:r>
        <w:rPr>
          <w:rFonts w:ascii="Arial" w:hAnsi="Arial"/>
          <w:sz w:val="22"/>
        </w:rPr>
        <w:t>HMA Quantity (tons) = [Area (yd</w:t>
      </w:r>
      <w:r>
        <w:rPr>
          <w:rFonts w:ascii="Arial" w:hAnsi="Arial"/>
          <w:sz w:val="22"/>
          <w:vertAlign w:val="superscript"/>
        </w:rPr>
        <w:t>2</w:t>
      </w:r>
      <w:r>
        <w:rPr>
          <w:rFonts w:ascii="Arial" w:hAnsi="Arial"/>
          <w:sz w:val="22"/>
        </w:rPr>
        <w:t xml:space="preserve">) * Thickness of Lift (inches)] / 17 </w:t>
      </w:r>
    </w:p>
    <w:p w14:paraId="74EE2AE2" w14:textId="77777777" w:rsidR="00152A78" w:rsidRDefault="00152A78" w:rsidP="00152A78">
      <w:pPr>
        <w:jc w:val="both"/>
        <w:rPr>
          <w:rFonts w:ascii="Arial" w:hAnsi="Arial"/>
          <w:sz w:val="22"/>
        </w:rPr>
      </w:pPr>
    </w:p>
    <w:p w14:paraId="6FF012AA" w14:textId="77777777" w:rsidR="00152A78" w:rsidRDefault="00152A78" w:rsidP="00152A78">
      <w:pPr>
        <w:jc w:val="both"/>
        <w:rPr>
          <w:rFonts w:ascii="Arial" w:hAnsi="Arial"/>
          <w:sz w:val="22"/>
        </w:rPr>
      </w:pPr>
      <w:r>
        <w:rPr>
          <w:rFonts w:ascii="Arial" w:hAnsi="Arial"/>
          <w:sz w:val="22"/>
        </w:rPr>
        <w:t>The simplified equation is developed from the following equation that involves conservative unit weight estimate and material unit conversions.</w:t>
      </w:r>
    </w:p>
    <w:p w14:paraId="6808F99E" w14:textId="77777777" w:rsidR="00152A78" w:rsidRDefault="00152A78" w:rsidP="00152A78">
      <w:pPr>
        <w:jc w:val="both"/>
        <w:rPr>
          <w:rFonts w:ascii="Arial" w:hAnsi="Arial"/>
          <w:sz w:val="22"/>
        </w:rPr>
      </w:pPr>
    </w:p>
    <w:p w14:paraId="3B5D17F6" w14:textId="5C6A5753" w:rsidR="00152A78" w:rsidRDefault="00152A78" w:rsidP="001635F4">
      <w:pPr>
        <w:jc w:val="center"/>
        <w:rPr>
          <w:rFonts w:ascii="Arial" w:hAnsi="Arial"/>
          <w:sz w:val="22"/>
        </w:rPr>
      </w:pPr>
      <w:r>
        <w:rPr>
          <w:rFonts w:ascii="Arial" w:hAnsi="Arial"/>
          <w:sz w:val="22"/>
        </w:rPr>
        <w:t>HMA Quantity (tons) = Area (yd</w:t>
      </w:r>
      <w:r>
        <w:rPr>
          <w:rFonts w:ascii="Arial" w:hAnsi="Arial"/>
          <w:sz w:val="22"/>
          <w:vertAlign w:val="superscript"/>
        </w:rPr>
        <w:t>2</w:t>
      </w:r>
      <w:r>
        <w:rPr>
          <w:rFonts w:ascii="Arial" w:hAnsi="Arial"/>
          <w:sz w:val="22"/>
        </w:rPr>
        <w:t>) * Thickness of Lift (inches) * (1 yd / 36 inches) *</w:t>
      </w:r>
    </w:p>
    <w:p w14:paraId="7D6D11FA" w14:textId="77777777" w:rsidR="00152A78" w:rsidRDefault="00152A78" w:rsidP="001635F4">
      <w:pPr>
        <w:jc w:val="center"/>
        <w:rPr>
          <w:rFonts w:ascii="Arial" w:hAnsi="Arial"/>
          <w:sz w:val="22"/>
        </w:rPr>
      </w:pPr>
      <w:r>
        <w:rPr>
          <w:rFonts w:ascii="Arial" w:hAnsi="Arial"/>
          <w:sz w:val="22"/>
        </w:rPr>
        <w:t>(27 ft</w:t>
      </w:r>
      <w:r>
        <w:rPr>
          <w:rFonts w:ascii="Arial" w:hAnsi="Arial"/>
          <w:sz w:val="22"/>
          <w:vertAlign w:val="superscript"/>
        </w:rPr>
        <w:t>3</w:t>
      </w:r>
      <w:r>
        <w:rPr>
          <w:rFonts w:ascii="Arial" w:hAnsi="Arial"/>
          <w:sz w:val="22"/>
        </w:rPr>
        <w:t xml:space="preserve"> / 1 yd</w:t>
      </w:r>
      <w:r>
        <w:rPr>
          <w:rFonts w:ascii="Arial" w:hAnsi="Arial"/>
          <w:sz w:val="22"/>
          <w:vertAlign w:val="superscript"/>
        </w:rPr>
        <w:t>3</w:t>
      </w:r>
      <w:r>
        <w:rPr>
          <w:rFonts w:ascii="Arial" w:hAnsi="Arial"/>
          <w:sz w:val="22"/>
        </w:rPr>
        <w:t>) * Unit Weight HMA (#/ft</w:t>
      </w:r>
      <w:r>
        <w:rPr>
          <w:rFonts w:ascii="Arial" w:hAnsi="Arial"/>
          <w:sz w:val="22"/>
          <w:vertAlign w:val="superscript"/>
        </w:rPr>
        <w:t>3</w:t>
      </w:r>
      <w:r>
        <w:rPr>
          <w:rFonts w:ascii="Arial" w:hAnsi="Arial"/>
          <w:sz w:val="22"/>
        </w:rPr>
        <w:t>) * (1 ton / 2000 #)</w:t>
      </w:r>
    </w:p>
    <w:p w14:paraId="5C57AD50" w14:textId="77777777" w:rsidR="00152A78" w:rsidRDefault="00152A78" w:rsidP="00152A78">
      <w:pPr>
        <w:jc w:val="both"/>
        <w:rPr>
          <w:rFonts w:ascii="Arial" w:hAnsi="Arial"/>
          <w:sz w:val="22"/>
        </w:rPr>
      </w:pPr>
    </w:p>
    <w:p w14:paraId="2AA0BBE4" w14:textId="76A4E92F" w:rsidR="00152A78" w:rsidRDefault="00152A78" w:rsidP="00152A78">
      <w:pPr>
        <w:jc w:val="both"/>
        <w:rPr>
          <w:rFonts w:ascii="Arial" w:hAnsi="Arial"/>
          <w:sz w:val="22"/>
        </w:rPr>
      </w:pPr>
      <w:r>
        <w:rPr>
          <w:rFonts w:ascii="Arial" w:hAnsi="Arial"/>
          <w:sz w:val="22"/>
        </w:rPr>
        <w:t>A denominator of 17 in the simplified equation is equivalent to a</w:t>
      </w:r>
      <w:r w:rsidR="00361350">
        <w:rPr>
          <w:rFonts w:ascii="Arial" w:hAnsi="Arial"/>
          <w:sz w:val="22"/>
        </w:rPr>
        <w:t>n</w:t>
      </w:r>
      <w:r>
        <w:rPr>
          <w:rFonts w:ascii="Arial" w:hAnsi="Arial"/>
          <w:sz w:val="22"/>
        </w:rPr>
        <w:t xml:space="preserve"> HMA unit weight of 156.9 lbs/ft</w:t>
      </w:r>
      <w:r>
        <w:rPr>
          <w:rFonts w:ascii="Arial" w:hAnsi="Arial"/>
          <w:sz w:val="22"/>
          <w:vertAlign w:val="superscript"/>
        </w:rPr>
        <w:t>3</w:t>
      </w:r>
      <w:r>
        <w:rPr>
          <w:rFonts w:ascii="Arial" w:hAnsi="Arial"/>
          <w:sz w:val="22"/>
        </w:rPr>
        <w:t xml:space="preserve">.  This value is slightly higher than our historical average for HMA unit weights shown in the table above, but this is designed to be a conservative estimate and it is determined this simplified equation provides an adequate quantity.  </w:t>
      </w:r>
    </w:p>
    <w:p w14:paraId="7354EDE5" w14:textId="77777777" w:rsidR="00152A78" w:rsidRDefault="00152A78" w:rsidP="00152A78">
      <w:pPr>
        <w:jc w:val="both"/>
        <w:rPr>
          <w:rFonts w:ascii="Arial" w:hAnsi="Arial"/>
          <w:sz w:val="22"/>
        </w:rPr>
      </w:pPr>
    </w:p>
    <w:p w14:paraId="1C3762C1" w14:textId="2F92AEB4" w:rsidR="00152A78" w:rsidRDefault="00152A78" w:rsidP="0049684B">
      <w:pPr>
        <w:pStyle w:val="Heading4"/>
      </w:pPr>
      <w:bookmarkStart w:id="170" w:name="_Poisson_Ratio"/>
      <w:bookmarkEnd w:id="170"/>
      <w:r>
        <w:t>Poisson</w:t>
      </w:r>
      <w:r w:rsidR="00361350">
        <w:t>'s</w:t>
      </w:r>
      <w:r>
        <w:t xml:space="preserve"> Ratio</w:t>
      </w:r>
    </w:p>
    <w:p w14:paraId="13D443A2" w14:textId="03C3B078"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ixture_Volumetrics:" w:history="1">
        <w:r w:rsidRPr="009237A5">
          <w:rPr>
            <w:rStyle w:val="Hyperlink"/>
            <w:rFonts w:ascii="Arial" w:hAnsi="Arial" w:cs="Arial"/>
            <w:bCs/>
            <w:sz w:val="16"/>
            <w:szCs w:val="16"/>
          </w:rPr>
          <w:t>Mixture Volumetrics:</w:t>
        </w:r>
      </w:hyperlink>
    </w:p>
    <w:p w14:paraId="51335632" w14:textId="4181FEAD"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commended_Material_Property" w:history="1">
        <w:r w:rsidRPr="00527730">
          <w:rPr>
            <w:rStyle w:val="Hyperlink"/>
            <w:rFonts w:ascii="Arial" w:hAnsi="Arial" w:cs="Arial"/>
            <w:bCs/>
            <w:sz w:val="16"/>
            <w:szCs w:val="16"/>
          </w:rPr>
          <w:t>Recommended Material Property Inputs for new HMA Layers</w:t>
        </w:r>
      </w:hyperlink>
    </w:p>
    <w:p w14:paraId="397EACC8" w14:textId="77777777"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commended_Material_Property_1" w:history="1">
        <w:r w:rsidRPr="00E838DF">
          <w:rPr>
            <w:rStyle w:val="Hyperlink"/>
            <w:rFonts w:ascii="Arial" w:hAnsi="Arial" w:cs="Arial"/>
            <w:bCs/>
            <w:sz w:val="16"/>
            <w:szCs w:val="16"/>
          </w:rPr>
          <w:t>Recommended Material Property Inputs for Existing HMA Layers</w:t>
        </w:r>
      </w:hyperlink>
    </w:p>
    <w:p w14:paraId="4BB74EB8" w14:textId="77777777" w:rsidR="00152A78" w:rsidRDefault="00152A78" w:rsidP="00152A78">
      <w:pPr>
        <w:jc w:val="both"/>
        <w:rPr>
          <w:rFonts w:ascii="Arial" w:hAnsi="Arial"/>
          <w:sz w:val="22"/>
        </w:rPr>
      </w:pPr>
    </w:p>
    <w:p w14:paraId="127EA6D4" w14:textId="77777777" w:rsidR="00152A78" w:rsidRDefault="00152A78" w:rsidP="00152A78">
      <w:pPr>
        <w:jc w:val="both"/>
        <w:rPr>
          <w:rFonts w:ascii="Arial" w:hAnsi="Arial"/>
        </w:rPr>
      </w:pPr>
    </w:p>
    <w:p w14:paraId="74492F42" w14:textId="22A21456" w:rsidR="00152A78" w:rsidRDefault="00152A78" w:rsidP="001D1A8F">
      <w:pPr>
        <w:jc w:val="both"/>
        <w:rPr>
          <w:rFonts w:ascii="Arial" w:hAnsi="Arial"/>
        </w:rPr>
      </w:pPr>
      <w:r>
        <w:rPr>
          <w:rFonts w:ascii="Arial" w:hAnsi="Arial"/>
          <w:b/>
        </w:rPr>
        <w:t>Poisson Ratio – Bound Materials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926"/>
        <w:gridCol w:w="1926"/>
        <w:gridCol w:w="1926"/>
      </w:tblGrid>
      <w:tr w:rsidR="00152A78" w14:paraId="1C2E25CC" w14:textId="77777777" w:rsidTr="001D1A8F">
        <w:trPr>
          <w:tblHeader/>
        </w:trPr>
        <w:tc>
          <w:tcPr>
            <w:tcW w:w="3078" w:type="dxa"/>
            <w:shd w:val="pct12" w:color="auto" w:fill="FFFFFF"/>
          </w:tcPr>
          <w:p w14:paraId="36A6ECB1" w14:textId="77777777" w:rsidR="00152A78" w:rsidRDefault="00152A78" w:rsidP="00152A78">
            <w:pPr>
              <w:jc w:val="center"/>
              <w:rPr>
                <w:rFonts w:ascii="Arial" w:hAnsi="Arial"/>
                <w:b/>
                <w:sz w:val="22"/>
              </w:rPr>
            </w:pPr>
            <w:r>
              <w:rPr>
                <w:rFonts w:ascii="Arial" w:hAnsi="Arial"/>
                <w:b/>
                <w:sz w:val="22"/>
              </w:rPr>
              <w:t>Material</w:t>
            </w:r>
          </w:p>
        </w:tc>
        <w:tc>
          <w:tcPr>
            <w:tcW w:w="1926" w:type="dxa"/>
            <w:shd w:val="pct12" w:color="auto" w:fill="FFFFFF"/>
          </w:tcPr>
          <w:p w14:paraId="3CD30390" w14:textId="77777777" w:rsidR="00152A78" w:rsidRDefault="00152A78" w:rsidP="00152A78">
            <w:pPr>
              <w:jc w:val="center"/>
              <w:rPr>
                <w:rFonts w:ascii="Arial" w:hAnsi="Arial"/>
                <w:b/>
                <w:sz w:val="22"/>
              </w:rPr>
            </w:pPr>
            <w:r>
              <w:rPr>
                <w:rFonts w:ascii="Arial" w:hAnsi="Arial"/>
                <w:b/>
                <w:sz w:val="22"/>
              </w:rPr>
              <w:t>Minimum Value</w:t>
            </w:r>
          </w:p>
        </w:tc>
        <w:tc>
          <w:tcPr>
            <w:tcW w:w="1926" w:type="dxa"/>
            <w:shd w:val="pct12" w:color="auto" w:fill="FFFFFF"/>
          </w:tcPr>
          <w:p w14:paraId="063C8D2C" w14:textId="77777777" w:rsidR="00152A78" w:rsidRDefault="00152A78" w:rsidP="00152A78">
            <w:pPr>
              <w:jc w:val="center"/>
              <w:rPr>
                <w:rFonts w:ascii="Arial" w:hAnsi="Arial"/>
                <w:b/>
                <w:sz w:val="22"/>
              </w:rPr>
            </w:pPr>
            <w:r>
              <w:rPr>
                <w:rFonts w:ascii="Arial" w:hAnsi="Arial"/>
                <w:b/>
                <w:sz w:val="22"/>
              </w:rPr>
              <w:t>Typical Value</w:t>
            </w:r>
          </w:p>
        </w:tc>
        <w:tc>
          <w:tcPr>
            <w:tcW w:w="1926" w:type="dxa"/>
            <w:shd w:val="pct12" w:color="auto" w:fill="FFFFFF"/>
          </w:tcPr>
          <w:p w14:paraId="5C008D00" w14:textId="77777777" w:rsidR="00152A78" w:rsidRDefault="00152A78" w:rsidP="00152A78">
            <w:pPr>
              <w:jc w:val="center"/>
              <w:rPr>
                <w:rFonts w:ascii="Arial" w:hAnsi="Arial"/>
                <w:b/>
                <w:sz w:val="22"/>
              </w:rPr>
            </w:pPr>
            <w:r>
              <w:rPr>
                <w:rFonts w:ascii="Arial" w:hAnsi="Arial"/>
                <w:b/>
                <w:sz w:val="22"/>
              </w:rPr>
              <w:t>Maximum Value</w:t>
            </w:r>
          </w:p>
        </w:tc>
      </w:tr>
      <w:tr w:rsidR="00152A78" w14:paraId="3C0B6961" w14:textId="77777777" w:rsidTr="001D1A8F">
        <w:tc>
          <w:tcPr>
            <w:tcW w:w="3078" w:type="dxa"/>
          </w:tcPr>
          <w:p w14:paraId="316CD30F" w14:textId="77777777" w:rsidR="00152A78" w:rsidRDefault="00152A78" w:rsidP="00152A78">
            <w:pPr>
              <w:rPr>
                <w:rFonts w:ascii="Arial" w:hAnsi="Arial"/>
                <w:sz w:val="22"/>
              </w:rPr>
            </w:pPr>
            <w:r>
              <w:rPr>
                <w:rFonts w:ascii="Arial" w:hAnsi="Arial"/>
                <w:sz w:val="22"/>
              </w:rPr>
              <w:t xml:space="preserve">HMA </w:t>
            </w:r>
          </w:p>
        </w:tc>
        <w:tc>
          <w:tcPr>
            <w:tcW w:w="1926" w:type="dxa"/>
            <w:vAlign w:val="center"/>
          </w:tcPr>
          <w:p w14:paraId="36E9B905" w14:textId="77777777" w:rsidR="00152A78" w:rsidRDefault="00152A78" w:rsidP="00152A78">
            <w:pPr>
              <w:jc w:val="center"/>
              <w:rPr>
                <w:rFonts w:ascii="Arial" w:hAnsi="Arial"/>
                <w:sz w:val="22"/>
              </w:rPr>
            </w:pPr>
            <w:r>
              <w:rPr>
                <w:rFonts w:ascii="Arial" w:hAnsi="Arial"/>
                <w:sz w:val="22"/>
              </w:rPr>
              <w:t>0.30</w:t>
            </w:r>
          </w:p>
        </w:tc>
        <w:tc>
          <w:tcPr>
            <w:tcW w:w="1926" w:type="dxa"/>
            <w:vAlign w:val="center"/>
          </w:tcPr>
          <w:p w14:paraId="3F6BD51A" w14:textId="77777777" w:rsidR="00152A78" w:rsidRDefault="00152A78" w:rsidP="00152A78">
            <w:pPr>
              <w:jc w:val="center"/>
              <w:rPr>
                <w:rFonts w:ascii="Arial" w:hAnsi="Arial"/>
                <w:sz w:val="22"/>
              </w:rPr>
            </w:pPr>
            <w:r>
              <w:rPr>
                <w:rFonts w:ascii="Arial" w:hAnsi="Arial"/>
                <w:sz w:val="22"/>
              </w:rPr>
              <w:t>0.35</w:t>
            </w:r>
          </w:p>
        </w:tc>
        <w:tc>
          <w:tcPr>
            <w:tcW w:w="1926" w:type="dxa"/>
            <w:vAlign w:val="center"/>
          </w:tcPr>
          <w:p w14:paraId="26DB0995" w14:textId="77777777" w:rsidR="00152A78" w:rsidRDefault="00152A78" w:rsidP="00152A78">
            <w:pPr>
              <w:jc w:val="center"/>
              <w:rPr>
                <w:rFonts w:ascii="Arial" w:hAnsi="Arial"/>
                <w:sz w:val="22"/>
              </w:rPr>
            </w:pPr>
            <w:r>
              <w:rPr>
                <w:rFonts w:ascii="Arial" w:hAnsi="Arial"/>
                <w:sz w:val="22"/>
              </w:rPr>
              <w:t>0.40</w:t>
            </w:r>
          </w:p>
        </w:tc>
      </w:tr>
      <w:tr w:rsidR="00152A78" w14:paraId="45D21093" w14:textId="77777777" w:rsidTr="001D1A8F">
        <w:tc>
          <w:tcPr>
            <w:tcW w:w="3078" w:type="dxa"/>
          </w:tcPr>
          <w:p w14:paraId="1CD67652" w14:textId="77777777" w:rsidR="00152A78" w:rsidRDefault="00152A78" w:rsidP="00152A78">
            <w:pPr>
              <w:rPr>
                <w:rFonts w:ascii="Arial" w:hAnsi="Arial"/>
                <w:sz w:val="22"/>
              </w:rPr>
            </w:pPr>
            <w:r>
              <w:rPr>
                <w:rFonts w:ascii="Arial" w:hAnsi="Arial"/>
                <w:sz w:val="22"/>
              </w:rPr>
              <w:t xml:space="preserve">Asphalt-Treated Aggregate Base, Penetration Macadam </w:t>
            </w:r>
          </w:p>
        </w:tc>
        <w:tc>
          <w:tcPr>
            <w:tcW w:w="1926" w:type="dxa"/>
            <w:vAlign w:val="center"/>
          </w:tcPr>
          <w:p w14:paraId="6A85F796" w14:textId="77777777" w:rsidR="00152A78" w:rsidRDefault="00152A78" w:rsidP="00152A78">
            <w:pPr>
              <w:jc w:val="center"/>
              <w:rPr>
                <w:rFonts w:ascii="Arial" w:hAnsi="Arial"/>
                <w:sz w:val="22"/>
              </w:rPr>
            </w:pPr>
            <w:r>
              <w:rPr>
                <w:rFonts w:ascii="Arial" w:hAnsi="Arial"/>
                <w:sz w:val="22"/>
              </w:rPr>
              <w:t>0.20</w:t>
            </w:r>
          </w:p>
        </w:tc>
        <w:tc>
          <w:tcPr>
            <w:tcW w:w="1926" w:type="dxa"/>
            <w:vAlign w:val="center"/>
          </w:tcPr>
          <w:p w14:paraId="3078207E" w14:textId="77777777" w:rsidR="00152A78" w:rsidRDefault="00152A78" w:rsidP="00152A78">
            <w:pPr>
              <w:jc w:val="center"/>
              <w:rPr>
                <w:rFonts w:ascii="Arial" w:hAnsi="Arial"/>
                <w:sz w:val="22"/>
              </w:rPr>
            </w:pPr>
            <w:r>
              <w:rPr>
                <w:rFonts w:ascii="Arial" w:hAnsi="Arial"/>
                <w:sz w:val="22"/>
              </w:rPr>
              <w:t>0.35</w:t>
            </w:r>
          </w:p>
        </w:tc>
        <w:tc>
          <w:tcPr>
            <w:tcW w:w="1926" w:type="dxa"/>
            <w:vAlign w:val="center"/>
          </w:tcPr>
          <w:p w14:paraId="0B8343F0" w14:textId="77777777" w:rsidR="00152A78" w:rsidRDefault="00152A78" w:rsidP="00152A78">
            <w:pPr>
              <w:jc w:val="center"/>
              <w:rPr>
                <w:rFonts w:ascii="Arial" w:hAnsi="Arial"/>
                <w:sz w:val="22"/>
              </w:rPr>
            </w:pPr>
            <w:r>
              <w:rPr>
                <w:rFonts w:ascii="Arial" w:hAnsi="Arial"/>
                <w:sz w:val="22"/>
              </w:rPr>
              <w:t>0.40</w:t>
            </w:r>
          </w:p>
        </w:tc>
      </w:tr>
    </w:tbl>
    <w:p w14:paraId="39F1E620" w14:textId="3EF2F0BF" w:rsidR="00361350" w:rsidRPr="001D1A8F" w:rsidRDefault="00361350">
      <w:pPr>
        <w:rPr>
          <w:rFonts w:ascii="Arial" w:hAnsi="Arial"/>
        </w:rPr>
      </w:pPr>
      <w:bookmarkStart w:id="171" w:name="_Recommended_Thermal_Cracking"/>
      <w:bookmarkEnd w:id="171"/>
    </w:p>
    <w:p w14:paraId="7B84AD97" w14:textId="549A2E5F" w:rsidR="00152A78" w:rsidRDefault="00152A78" w:rsidP="0049684B">
      <w:pPr>
        <w:pStyle w:val="Heading4"/>
      </w:pPr>
      <w:r>
        <w:lastRenderedPageBreak/>
        <w:t>Recommended Thermal Cracking Inputs for new HMA Layers</w:t>
      </w:r>
    </w:p>
    <w:p w14:paraId="2C046C46" w14:textId="5F2C618F"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echanical_Properties:" w:history="1">
        <w:r w:rsidRPr="0092229B">
          <w:rPr>
            <w:rStyle w:val="Hyperlink"/>
            <w:rFonts w:ascii="Arial" w:hAnsi="Arial" w:cs="Arial"/>
            <w:bCs/>
            <w:sz w:val="16"/>
            <w:szCs w:val="16"/>
          </w:rPr>
          <w:t>Mechanical Properties</w:t>
        </w:r>
      </w:hyperlink>
    </w:p>
    <w:p w14:paraId="40BA7AFE"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lexible_Pavements" w:history="1">
        <w:r w:rsidRPr="00E63422">
          <w:rPr>
            <w:rStyle w:val="Hyperlink"/>
            <w:rFonts w:ascii="Arial" w:hAnsi="Arial" w:cs="Arial"/>
            <w:bCs/>
            <w:sz w:val="16"/>
            <w:szCs w:val="16"/>
          </w:rPr>
          <w:t>Flexible Pavements</w:t>
        </w:r>
      </w:hyperlink>
    </w:p>
    <w:p w14:paraId="4D0D39A4" w14:textId="77777777" w:rsidR="00152A78" w:rsidRDefault="00152A78" w:rsidP="00152A78">
      <w:pPr>
        <w:rPr>
          <w:rFonts w:ascii="Arial" w:hAnsi="Arial"/>
        </w:rPr>
      </w:pPr>
    </w:p>
    <w:tbl>
      <w:tblPr>
        <w:tblStyle w:val="TableGrid"/>
        <w:tblW w:w="0" w:type="auto"/>
        <w:tblLook w:val="04A0" w:firstRow="1" w:lastRow="0" w:firstColumn="1" w:lastColumn="0" w:noHBand="0" w:noVBand="1"/>
      </w:tblPr>
      <w:tblGrid>
        <w:gridCol w:w="4097"/>
        <w:gridCol w:w="1073"/>
        <w:gridCol w:w="3460"/>
      </w:tblGrid>
      <w:tr w:rsidR="00152A78" w:rsidRPr="00E676D9" w14:paraId="4AB64A32" w14:textId="77777777" w:rsidTr="002F7593">
        <w:tc>
          <w:tcPr>
            <w:tcW w:w="4158" w:type="dxa"/>
            <w:shd w:val="pct15" w:color="auto" w:fill="auto"/>
            <w:vAlign w:val="center"/>
          </w:tcPr>
          <w:p w14:paraId="0F691A7A" w14:textId="77777777" w:rsidR="00152A78" w:rsidRPr="00E676D9" w:rsidRDefault="00152A78" w:rsidP="00152A78">
            <w:pPr>
              <w:jc w:val="both"/>
              <w:rPr>
                <w:rFonts w:ascii="Arial" w:hAnsi="Arial"/>
                <w:b/>
                <w:sz w:val="22"/>
              </w:rPr>
            </w:pPr>
            <w:r w:rsidRPr="00E676D9">
              <w:rPr>
                <w:rFonts w:ascii="Arial" w:hAnsi="Arial"/>
                <w:b/>
                <w:sz w:val="22"/>
              </w:rPr>
              <w:t>Property</w:t>
            </w:r>
          </w:p>
        </w:tc>
        <w:tc>
          <w:tcPr>
            <w:tcW w:w="1080" w:type="dxa"/>
            <w:shd w:val="pct15" w:color="auto" w:fill="auto"/>
            <w:vAlign w:val="center"/>
          </w:tcPr>
          <w:p w14:paraId="4E298240" w14:textId="77777777" w:rsidR="00152A78" w:rsidRPr="00E676D9" w:rsidRDefault="00152A78" w:rsidP="002F7593">
            <w:pPr>
              <w:jc w:val="center"/>
              <w:rPr>
                <w:rFonts w:ascii="Arial" w:hAnsi="Arial"/>
                <w:b/>
                <w:sz w:val="22"/>
              </w:rPr>
            </w:pPr>
            <w:r w:rsidRPr="00E676D9">
              <w:rPr>
                <w:rFonts w:ascii="Arial" w:hAnsi="Arial"/>
                <w:b/>
                <w:sz w:val="22"/>
              </w:rPr>
              <w:t>Input Level</w:t>
            </w:r>
          </w:p>
        </w:tc>
        <w:tc>
          <w:tcPr>
            <w:tcW w:w="3510" w:type="dxa"/>
            <w:shd w:val="pct15" w:color="auto" w:fill="auto"/>
            <w:vAlign w:val="center"/>
          </w:tcPr>
          <w:p w14:paraId="2976B97A" w14:textId="77777777" w:rsidR="00152A78" w:rsidRPr="00E676D9" w:rsidRDefault="00152A78" w:rsidP="00152A78">
            <w:pPr>
              <w:jc w:val="both"/>
              <w:rPr>
                <w:rFonts w:ascii="Arial" w:hAnsi="Arial"/>
                <w:b/>
                <w:sz w:val="22"/>
              </w:rPr>
            </w:pPr>
            <w:r w:rsidRPr="00E676D9">
              <w:rPr>
                <w:rFonts w:ascii="Arial" w:hAnsi="Arial"/>
                <w:b/>
                <w:sz w:val="22"/>
              </w:rPr>
              <w:t>Value</w:t>
            </w:r>
          </w:p>
        </w:tc>
      </w:tr>
      <w:tr w:rsidR="00152A78" w:rsidRPr="00E676D9" w14:paraId="53316B69" w14:textId="77777777" w:rsidTr="00152A78">
        <w:tc>
          <w:tcPr>
            <w:tcW w:w="4158" w:type="dxa"/>
          </w:tcPr>
          <w:p w14:paraId="4E4947F0" w14:textId="77777777" w:rsidR="00152A78" w:rsidRPr="00E676D9" w:rsidRDefault="00152A78" w:rsidP="00152A78">
            <w:pPr>
              <w:rPr>
                <w:rFonts w:ascii="Arial" w:hAnsi="Arial"/>
                <w:sz w:val="22"/>
                <w:szCs w:val="22"/>
              </w:rPr>
            </w:pPr>
            <w:r>
              <w:rPr>
                <w:rFonts w:ascii="Arial" w:hAnsi="Arial"/>
                <w:sz w:val="22"/>
                <w:szCs w:val="22"/>
              </w:rPr>
              <w:t xml:space="preserve">Average tensile strength at 14 </w:t>
            </w:r>
            <w:r w:rsidRPr="00E63422">
              <w:rPr>
                <w:rFonts w:ascii="Arial" w:hAnsi="Arial"/>
                <w:sz w:val="22"/>
                <w:szCs w:val="22"/>
                <w:vertAlign w:val="superscript"/>
              </w:rPr>
              <w:t>O</w:t>
            </w:r>
            <w:r>
              <w:rPr>
                <w:rFonts w:ascii="Arial" w:hAnsi="Arial"/>
                <w:sz w:val="22"/>
                <w:szCs w:val="22"/>
              </w:rPr>
              <w:t>C</w:t>
            </w:r>
          </w:p>
        </w:tc>
        <w:tc>
          <w:tcPr>
            <w:tcW w:w="1080" w:type="dxa"/>
          </w:tcPr>
          <w:p w14:paraId="6C59B1FA" w14:textId="77777777" w:rsidR="00152A78" w:rsidRPr="00E676D9" w:rsidRDefault="00152A78" w:rsidP="002F7593">
            <w:pPr>
              <w:jc w:val="center"/>
              <w:rPr>
                <w:rFonts w:ascii="Arial" w:hAnsi="Arial"/>
                <w:sz w:val="22"/>
                <w:szCs w:val="22"/>
              </w:rPr>
            </w:pPr>
            <w:r>
              <w:rPr>
                <w:rFonts w:ascii="Arial" w:hAnsi="Arial"/>
                <w:sz w:val="22"/>
                <w:szCs w:val="22"/>
              </w:rPr>
              <w:t>3</w:t>
            </w:r>
          </w:p>
        </w:tc>
        <w:tc>
          <w:tcPr>
            <w:tcW w:w="3510" w:type="dxa"/>
          </w:tcPr>
          <w:p w14:paraId="480DC452" w14:textId="77777777" w:rsidR="00152A78" w:rsidRPr="00E676D9" w:rsidRDefault="00152A78" w:rsidP="00152A78">
            <w:pPr>
              <w:rPr>
                <w:rFonts w:ascii="Arial" w:hAnsi="Arial"/>
                <w:sz w:val="22"/>
                <w:szCs w:val="22"/>
              </w:rPr>
            </w:pPr>
            <w:r>
              <w:rPr>
                <w:rFonts w:ascii="Arial" w:hAnsi="Arial"/>
                <w:sz w:val="22"/>
                <w:szCs w:val="22"/>
              </w:rPr>
              <w:t>MEPD Calculated</w:t>
            </w:r>
          </w:p>
        </w:tc>
      </w:tr>
      <w:tr w:rsidR="00152A78" w:rsidRPr="00E676D9" w14:paraId="185CB98F" w14:textId="77777777" w:rsidTr="00152A78">
        <w:tc>
          <w:tcPr>
            <w:tcW w:w="4158" w:type="dxa"/>
          </w:tcPr>
          <w:p w14:paraId="29F26B05" w14:textId="77777777" w:rsidR="00152A78" w:rsidRPr="00E676D9" w:rsidRDefault="00152A78" w:rsidP="00152A78">
            <w:pPr>
              <w:rPr>
                <w:rFonts w:ascii="Arial" w:hAnsi="Arial"/>
                <w:sz w:val="22"/>
                <w:szCs w:val="22"/>
              </w:rPr>
            </w:pPr>
            <w:r>
              <w:rPr>
                <w:rFonts w:ascii="Arial" w:hAnsi="Arial"/>
                <w:sz w:val="22"/>
                <w:szCs w:val="22"/>
              </w:rPr>
              <w:t>Creep Compliance</w:t>
            </w:r>
          </w:p>
        </w:tc>
        <w:tc>
          <w:tcPr>
            <w:tcW w:w="1080" w:type="dxa"/>
          </w:tcPr>
          <w:p w14:paraId="54006A6B" w14:textId="77777777" w:rsidR="00152A78" w:rsidRPr="00E676D9" w:rsidRDefault="00152A78" w:rsidP="002F7593">
            <w:pPr>
              <w:jc w:val="center"/>
              <w:rPr>
                <w:rFonts w:ascii="Arial" w:hAnsi="Arial"/>
                <w:sz w:val="22"/>
                <w:szCs w:val="22"/>
              </w:rPr>
            </w:pPr>
            <w:r>
              <w:rPr>
                <w:rFonts w:ascii="Arial" w:hAnsi="Arial"/>
                <w:sz w:val="22"/>
                <w:szCs w:val="22"/>
              </w:rPr>
              <w:t>3</w:t>
            </w:r>
          </w:p>
        </w:tc>
        <w:tc>
          <w:tcPr>
            <w:tcW w:w="3510" w:type="dxa"/>
          </w:tcPr>
          <w:p w14:paraId="2EFF6F47" w14:textId="77777777" w:rsidR="00152A78" w:rsidRPr="00E676D9" w:rsidRDefault="00152A78" w:rsidP="00152A78">
            <w:pPr>
              <w:rPr>
                <w:rFonts w:ascii="Arial" w:hAnsi="Arial"/>
                <w:sz w:val="22"/>
                <w:szCs w:val="22"/>
              </w:rPr>
            </w:pPr>
            <w:r>
              <w:rPr>
                <w:rFonts w:ascii="Arial" w:hAnsi="Arial"/>
                <w:sz w:val="22"/>
                <w:szCs w:val="22"/>
              </w:rPr>
              <w:t>MEPD Calculated</w:t>
            </w:r>
          </w:p>
        </w:tc>
      </w:tr>
      <w:tr w:rsidR="00152A78" w:rsidRPr="00E676D9" w14:paraId="77C8B34D" w14:textId="77777777" w:rsidTr="00152A78">
        <w:tc>
          <w:tcPr>
            <w:tcW w:w="4158" w:type="dxa"/>
          </w:tcPr>
          <w:p w14:paraId="3847505B" w14:textId="77777777" w:rsidR="00152A78" w:rsidRPr="00E676D9" w:rsidRDefault="00152A78" w:rsidP="00152A78">
            <w:pPr>
              <w:rPr>
                <w:rFonts w:ascii="Arial" w:hAnsi="Arial"/>
                <w:sz w:val="22"/>
                <w:szCs w:val="22"/>
              </w:rPr>
            </w:pPr>
            <w:r>
              <w:rPr>
                <w:rFonts w:ascii="Arial" w:hAnsi="Arial"/>
                <w:sz w:val="22"/>
                <w:szCs w:val="22"/>
              </w:rPr>
              <w:t>Mixture Coefficient of Thermal Contraction</w:t>
            </w:r>
          </w:p>
        </w:tc>
        <w:tc>
          <w:tcPr>
            <w:tcW w:w="1080" w:type="dxa"/>
          </w:tcPr>
          <w:p w14:paraId="22E28FBF" w14:textId="77777777" w:rsidR="00152A78" w:rsidRPr="00E676D9" w:rsidRDefault="00152A78" w:rsidP="002F7593">
            <w:pPr>
              <w:jc w:val="center"/>
              <w:rPr>
                <w:rFonts w:ascii="Arial" w:hAnsi="Arial"/>
                <w:sz w:val="22"/>
                <w:szCs w:val="22"/>
              </w:rPr>
            </w:pPr>
            <w:r>
              <w:rPr>
                <w:rFonts w:ascii="Arial" w:hAnsi="Arial"/>
                <w:sz w:val="22"/>
                <w:szCs w:val="22"/>
              </w:rPr>
              <w:t>3</w:t>
            </w:r>
          </w:p>
        </w:tc>
        <w:tc>
          <w:tcPr>
            <w:tcW w:w="3510" w:type="dxa"/>
          </w:tcPr>
          <w:p w14:paraId="68B1604F" w14:textId="77777777" w:rsidR="00152A78" w:rsidRPr="00E676D9" w:rsidRDefault="00152A78" w:rsidP="00152A78">
            <w:pPr>
              <w:rPr>
                <w:rFonts w:ascii="Arial" w:hAnsi="Arial"/>
                <w:sz w:val="22"/>
                <w:szCs w:val="22"/>
              </w:rPr>
            </w:pPr>
            <w:r>
              <w:rPr>
                <w:rFonts w:ascii="Arial" w:hAnsi="Arial"/>
                <w:sz w:val="22"/>
                <w:szCs w:val="22"/>
              </w:rPr>
              <w:t>MEPD Calculated</w:t>
            </w:r>
          </w:p>
        </w:tc>
      </w:tr>
      <w:tr w:rsidR="00152A78" w:rsidRPr="00E676D9" w14:paraId="438D045B" w14:textId="77777777" w:rsidTr="00152A78">
        <w:tc>
          <w:tcPr>
            <w:tcW w:w="4158" w:type="dxa"/>
          </w:tcPr>
          <w:p w14:paraId="699393CC" w14:textId="77777777" w:rsidR="00152A78" w:rsidRPr="00E676D9" w:rsidRDefault="00152A78" w:rsidP="00152A78">
            <w:pPr>
              <w:rPr>
                <w:rFonts w:ascii="Arial" w:hAnsi="Arial"/>
                <w:sz w:val="22"/>
                <w:szCs w:val="22"/>
              </w:rPr>
            </w:pPr>
            <w:r>
              <w:rPr>
                <w:rFonts w:ascii="Arial" w:hAnsi="Arial"/>
                <w:sz w:val="22"/>
                <w:szCs w:val="22"/>
              </w:rPr>
              <w:t>Aggregate Coefficient of Thermal Contraction</w:t>
            </w:r>
          </w:p>
        </w:tc>
        <w:tc>
          <w:tcPr>
            <w:tcW w:w="1080" w:type="dxa"/>
          </w:tcPr>
          <w:p w14:paraId="5D99D8A4" w14:textId="77777777" w:rsidR="00152A78" w:rsidRPr="00E676D9" w:rsidRDefault="00152A78" w:rsidP="002F7593">
            <w:pPr>
              <w:jc w:val="center"/>
              <w:rPr>
                <w:rFonts w:ascii="Arial" w:hAnsi="Arial"/>
                <w:sz w:val="22"/>
                <w:szCs w:val="22"/>
              </w:rPr>
            </w:pPr>
            <w:r>
              <w:rPr>
                <w:rFonts w:ascii="Arial" w:hAnsi="Arial"/>
                <w:sz w:val="22"/>
                <w:szCs w:val="22"/>
              </w:rPr>
              <w:t>3</w:t>
            </w:r>
          </w:p>
        </w:tc>
        <w:tc>
          <w:tcPr>
            <w:tcW w:w="3510" w:type="dxa"/>
          </w:tcPr>
          <w:p w14:paraId="7218FC1E" w14:textId="77777777" w:rsidR="00152A78" w:rsidRPr="00E676D9" w:rsidRDefault="00152A78" w:rsidP="00152A78">
            <w:pPr>
              <w:rPr>
                <w:rFonts w:ascii="Arial" w:hAnsi="Arial"/>
                <w:sz w:val="22"/>
                <w:szCs w:val="22"/>
              </w:rPr>
            </w:pPr>
            <w:r>
              <w:rPr>
                <w:rFonts w:ascii="Arial" w:hAnsi="Arial"/>
                <w:sz w:val="22"/>
                <w:szCs w:val="22"/>
              </w:rPr>
              <w:t xml:space="preserve">See </w:t>
            </w:r>
            <w:hyperlink w:anchor="_Coefficient_of_Thermal" w:history="1">
              <w:r w:rsidRPr="00EA1918">
                <w:rPr>
                  <w:rStyle w:val="Hyperlink"/>
                  <w:rFonts w:ascii="Arial" w:hAnsi="Arial"/>
                  <w:sz w:val="22"/>
                  <w:szCs w:val="22"/>
                </w:rPr>
                <w:t>Coefficient of Thermal Expansion</w:t>
              </w:r>
            </w:hyperlink>
          </w:p>
        </w:tc>
      </w:tr>
    </w:tbl>
    <w:p w14:paraId="13ED01D6" w14:textId="77777777" w:rsidR="00152A78" w:rsidRDefault="00152A78" w:rsidP="002F7593">
      <w:pPr>
        <w:pStyle w:val="Heading3"/>
        <w:tabs>
          <w:tab w:val="left" w:pos="1080"/>
        </w:tabs>
        <w:ind w:left="1440" w:hanging="1440"/>
      </w:pPr>
      <w:bookmarkStart w:id="172" w:name="_Recommended_Material_Property_1"/>
      <w:bookmarkEnd w:id="172"/>
      <w:r>
        <w:t>Recommended Material Property Inputs for Existing HMA Layers</w:t>
      </w:r>
    </w:p>
    <w:tbl>
      <w:tblPr>
        <w:tblStyle w:val="TableGrid"/>
        <w:tblW w:w="0" w:type="auto"/>
        <w:tblLook w:val="04A0" w:firstRow="1" w:lastRow="0" w:firstColumn="1" w:lastColumn="0" w:noHBand="0" w:noVBand="1"/>
      </w:tblPr>
      <w:tblGrid>
        <w:gridCol w:w="1270"/>
        <w:gridCol w:w="2839"/>
        <w:gridCol w:w="836"/>
        <w:gridCol w:w="3685"/>
      </w:tblGrid>
      <w:tr w:rsidR="00DE6F82" w:rsidRPr="00E676D9" w14:paraId="5D40B288" w14:textId="77777777" w:rsidTr="00DE6F82">
        <w:trPr>
          <w:tblHeader/>
        </w:trPr>
        <w:tc>
          <w:tcPr>
            <w:tcW w:w="1270" w:type="dxa"/>
            <w:shd w:val="pct15" w:color="auto" w:fill="auto"/>
            <w:vAlign w:val="center"/>
          </w:tcPr>
          <w:p w14:paraId="3EE64817" w14:textId="42737EBD" w:rsidR="00DE6F82" w:rsidRPr="00E676D9" w:rsidRDefault="00DE6F82" w:rsidP="00152A78">
            <w:pPr>
              <w:jc w:val="both"/>
              <w:rPr>
                <w:rFonts w:ascii="Arial" w:hAnsi="Arial"/>
                <w:b/>
                <w:sz w:val="22"/>
              </w:rPr>
            </w:pPr>
            <w:r>
              <w:rPr>
                <w:rFonts w:ascii="Arial" w:hAnsi="Arial"/>
                <w:b/>
                <w:sz w:val="22"/>
              </w:rPr>
              <w:t>Asphalt Type</w:t>
            </w:r>
          </w:p>
        </w:tc>
        <w:tc>
          <w:tcPr>
            <w:tcW w:w="2839" w:type="dxa"/>
            <w:shd w:val="pct15" w:color="auto" w:fill="auto"/>
            <w:vAlign w:val="center"/>
          </w:tcPr>
          <w:p w14:paraId="7C7AFABF" w14:textId="791BF562" w:rsidR="00DE6F82" w:rsidRPr="00E676D9" w:rsidRDefault="00DE6F82" w:rsidP="00152A78">
            <w:pPr>
              <w:jc w:val="both"/>
              <w:rPr>
                <w:rFonts w:ascii="Arial" w:hAnsi="Arial"/>
                <w:b/>
                <w:sz w:val="22"/>
              </w:rPr>
            </w:pPr>
            <w:r w:rsidRPr="00E676D9">
              <w:rPr>
                <w:rFonts w:ascii="Arial" w:hAnsi="Arial"/>
                <w:b/>
                <w:sz w:val="22"/>
              </w:rPr>
              <w:t>Property</w:t>
            </w:r>
          </w:p>
        </w:tc>
        <w:tc>
          <w:tcPr>
            <w:tcW w:w="836" w:type="dxa"/>
            <w:shd w:val="pct15" w:color="auto" w:fill="auto"/>
            <w:vAlign w:val="center"/>
          </w:tcPr>
          <w:p w14:paraId="14F26DEC" w14:textId="77777777" w:rsidR="00DE6F82" w:rsidRPr="00E676D9" w:rsidRDefault="00DE6F82" w:rsidP="002F7593">
            <w:pPr>
              <w:jc w:val="center"/>
              <w:rPr>
                <w:rFonts w:ascii="Arial" w:hAnsi="Arial"/>
                <w:b/>
                <w:sz w:val="22"/>
              </w:rPr>
            </w:pPr>
            <w:r w:rsidRPr="00E676D9">
              <w:rPr>
                <w:rFonts w:ascii="Arial" w:hAnsi="Arial"/>
                <w:b/>
                <w:sz w:val="22"/>
              </w:rPr>
              <w:t>Input Level</w:t>
            </w:r>
          </w:p>
        </w:tc>
        <w:tc>
          <w:tcPr>
            <w:tcW w:w="3685" w:type="dxa"/>
            <w:shd w:val="pct15" w:color="auto" w:fill="auto"/>
            <w:vAlign w:val="center"/>
          </w:tcPr>
          <w:p w14:paraId="336FA604" w14:textId="77777777" w:rsidR="00DE6F82" w:rsidRPr="00E676D9" w:rsidRDefault="00DE6F82" w:rsidP="00152A78">
            <w:pPr>
              <w:jc w:val="both"/>
              <w:rPr>
                <w:rFonts w:ascii="Arial" w:hAnsi="Arial"/>
                <w:b/>
                <w:sz w:val="22"/>
              </w:rPr>
            </w:pPr>
            <w:r w:rsidRPr="00E676D9">
              <w:rPr>
                <w:rFonts w:ascii="Arial" w:hAnsi="Arial"/>
                <w:b/>
                <w:sz w:val="22"/>
              </w:rPr>
              <w:t>Value</w:t>
            </w:r>
          </w:p>
        </w:tc>
      </w:tr>
      <w:tr w:rsidR="00152A78" w:rsidRPr="00E676D9" w14:paraId="758A7EDE" w14:textId="77777777" w:rsidTr="002F7593">
        <w:tc>
          <w:tcPr>
            <w:tcW w:w="1270" w:type="dxa"/>
          </w:tcPr>
          <w:p w14:paraId="160DE566" w14:textId="63D1F2B9" w:rsidR="00152A78" w:rsidRPr="00E676D9" w:rsidRDefault="00152A78" w:rsidP="00152A78">
            <w:pPr>
              <w:rPr>
                <w:rFonts w:ascii="Arial" w:hAnsi="Arial"/>
                <w:sz w:val="22"/>
                <w:szCs w:val="22"/>
              </w:rPr>
            </w:pPr>
            <w:r w:rsidRPr="00E676D9">
              <w:rPr>
                <w:rFonts w:ascii="Arial" w:hAnsi="Arial"/>
                <w:sz w:val="22"/>
                <w:szCs w:val="22"/>
              </w:rPr>
              <w:t>Mix</w:t>
            </w:r>
          </w:p>
        </w:tc>
        <w:tc>
          <w:tcPr>
            <w:tcW w:w="2839" w:type="dxa"/>
          </w:tcPr>
          <w:p w14:paraId="2E26334D" w14:textId="77777777" w:rsidR="00152A78" w:rsidRPr="00E676D9" w:rsidRDefault="00152A78" w:rsidP="00152A78">
            <w:pPr>
              <w:rPr>
                <w:rFonts w:ascii="Arial" w:hAnsi="Arial"/>
                <w:sz w:val="22"/>
                <w:szCs w:val="22"/>
              </w:rPr>
            </w:pPr>
            <w:r w:rsidRPr="00E676D9">
              <w:rPr>
                <w:rFonts w:ascii="Arial" w:hAnsi="Arial"/>
                <w:sz w:val="22"/>
                <w:szCs w:val="22"/>
              </w:rPr>
              <w:t>Aggregate Gradation and Volumetric Properties</w:t>
            </w:r>
          </w:p>
        </w:tc>
        <w:tc>
          <w:tcPr>
            <w:tcW w:w="836" w:type="dxa"/>
          </w:tcPr>
          <w:p w14:paraId="0A8AE220" w14:textId="77777777" w:rsidR="00152A78" w:rsidRPr="00E676D9" w:rsidRDefault="00152A78" w:rsidP="002F7593">
            <w:pPr>
              <w:jc w:val="center"/>
              <w:rPr>
                <w:rFonts w:ascii="Arial" w:hAnsi="Arial"/>
                <w:sz w:val="22"/>
                <w:szCs w:val="22"/>
              </w:rPr>
            </w:pPr>
            <w:r>
              <w:rPr>
                <w:rFonts w:ascii="Arial" w:hAnsi="Arial"/>
                <w:sz w:val="22"/>
                <w:szCs w:val="22"/>
              </w:rPr>
              <w:t>All</w:t>
            </w:r>
          </w:p>
        </w:tc>
        <w:tc>
          <w:tcPr>
            <w:tcW w:w="3685" w:type="dxa"/>
          </w:tcPr>
          <w:p w14:paraId="0D118E3D" w14:textId="77777777" w:rsidR="00152A78" w:rsidRPr="00E676D9" w:rsidRDefault="00152A78" w:rsidP="00152A78">
            <w:pPr>
              <w:rPr>
                <w:rFonts w:ascii="Arial" w:hAnsi="Arial"/>
                <w:sz w:val="22"/>
                <w:szCs w:val="22"/>
              </w:rPr>
            </w:pPr>
            <w:r w:rsidRPr="00E676D9">
              <w:rPr>
                <w:rFonts w:ascii="Arial" w:hAnsi="Arial"/>
                <w:sz w:val="22"/>
                <w:szCs w:val="22"/>
              </w:rPr>
              <w:t xml:space="preserve">See </w:t>
            </w:r>
            <w:hyperlink w:anchor="_Aggregate_Gradation_and" w:history="1">
              <w:r w:rsidRPr="00E676D9">
                <w:rPr>
                  <w:rStyle w:val="Hyperlink"/>
                  <w:rFonts w:ascii="Arial" w:hAnsi="Arial"/>
                  <w:sz w:val="22"/>
                  <w:szCs w:val="22"/>
                </w:rPr>
                <w:t>Aggregate Gradation and Volumetric Properties</w:t>
              </w:r>
            </w:hyperlink>
          </w:p>
        </w:tc>
      </w:tr>
      <w:tr w:rsidR="00DE6F82" w:rsidRPr="00E676D9" w14:paraId="4AB14563" w14:textId="77777777" w:rsidTr="002F7593">
        <w:tc>
          <w:tcPr>
            <w:tcW w:w="1270" w:type="dxa"/>
          </w:tcPr>
          <w:p w14:paraId="5D31FA24" w14:textId="085989CA" w:rsidR="00DE6F82" w:rsidRPr="00E676D9" w:rsidRDefault="00DE6F82" w:rsidP="00152A78">
            <w:pPr>
              <w:rPr>
                <w:rFonts w:ascii="Arial" w:hAnsi="Arial"/>
                <w:sz w:val="22"/>
                <w:szCs w:val="22"/>
              </w:rPr>
            </w:pPr>
            <w:r>
              <w:rPr>
                <w:rFonts w:ascii="Arial" w:hAnsi="Arial"/>
                <w:sz w:val="22"/>
                <w:szCs w:val="22"/>
              </w:rPr>
              <w:t>Binder</w:t>
            </w:r>
          </w:p>
        </w:tc>
        <w:tc>
          <w:tcPr>
            <w:tcW w:w="2839" w:type="dxa"/>
          </w:tcPr>
          <w:p w14:paraId="61561BB5" w14:textId="77777777" w:rsidR="00DE6F82" w:rsidRPr="00E676D9" w:rsidRDefault="00DE6F82" w:rsidP="00152A78">
            <w:pPr>
              <w:rPr>
                <w:rFonts w:ascii="Arial" w:hAnsi="Arial"/>
                <w:sz w:val="22"/>
                <w:szCs w:val="22"/>
              </w:rPr>
            </w:pPr>
            <w:r>
              <w:rPr>
                <w:rFonts w:ascii="Arial" w:hAnsi="Arial"/>
                <w:sz w:val="22"/>
                <w:szCs w:val="22"/>
              </w:rPr>
              <w:t>Superpave Binder Dynamic Stiffness</w:t>
            </w:r>
          </w:p>
        </w:tc>
        <w:tc>
          <w:tcPr>
            <w:tcW w:w="836" w:type="dxa"/>
          </w:tcPr>
          <w:p w14:paraId="3F71C66C" w14:textId="77777777" w:rsidR="00DE6F82" w:rsidRPr="00E676D9" w:rsidRDefault="00DE6F82" w:rsidP="002F7593">
            <w:pPr>
              <w:jc w:val="center"/>
              <w:rPr>
                <w:rFonts w:ascii="Arial" w:hAnsi="Arial"/>
                <w:sz w:val="22"/>
                <w:szCs w:val="22"/>
              </w:rPr>
            </w:pPr>
            <w:r>
              <w:rPr>
                <w:rFonts w:ascii="Arial" w:hAnsi="Arial"/>
                <w:sz w:val="22"/>
                <w:szCs w:val="22"/>
              </w:rPr>
              <w:t>½</w:t>
            </w:r>
          </w:p>
        </w:tc>
        <w:tc>
          <w:tcPr>
            <w:tcW w:w="3685" w:type="dxa"/>
          </w:tcPr>
          <w:p w14:paraId="0AD5E4A5" w14:textId="77777777" w:rsidR="00DE6F82" w:rsidRPr="00E16F07" w:rsidRDefault="00DE6F82" w:rsidP="00152A78">
            <w:pPr>
              <w:rPr>
                <w:rFonts w:ascii="Arial" w:hAnsi="Arial"/>
                <w:sz w:val="22"/>
                <w:szCs w:val="22"/>
              </w:rPr>
            </w:pPr>
            <w:r w:rsidRPr="00E16F07">
              <w:rPr>
                <w:rFonts w:ascii="Arial" w:hAnsi="Arial"/>
                <w:sz w:val="22"/>
                <w:szCs w:val="22"/>
              </w:rPr>
              <w:t>Future input</w:t>
            </w:r>
          </w:p>
        </w:tc>
      </w:tr>
      <w:tr w:rsidR="00DE6F82" w:rsidRPr="00E676D9" w14:paraId="4E65F31B" w14:textId="77777777" w:rsidTr="002F7593">
        <w:tc>
          <w:tcPr>
            <w:tcW w:w="1270" w:type="dxa"/>
          </w:tcPr>
          <w:p w14:paraId="0DBFD0B1" w14:textId="1FE1D201" w:rsidR="00DE6F82" w:rsidRPr="00E676D9" w:rsidRDefault="00DE6F82" w:rsidP="00152A78">
            <w:pPr>
              <w:rPr>
                <w:rFonts w:ascii="Arial" w:hAnsi="Arial"/>
                <w:sz w:val="22"/>
                <w:szCs w:val="22"/>
              </w:rPr>
            </w:pPr>
            <w:r>
              <w:rPr>
                <w:rFonts w:ascii="Arial" w:hAnsi="Arial"/>
                <w:sz w:val="22"/>
                <w:szCs w:val="22"/>
              </w:rPr>
              <w:t>Binder</w:t>
            </w:r>
          </w:p>
        </w:tc>
        <w:tc>
          <w:tcPr>
            <w:tcW w:w="2839" w:type="dxa"/>
          </w:tcPr>
          <w:p w14:paraId="12B5D518" w14:textId="77777777" w:rsidR="00DE6F82" w:rsidRPr="00E676D9" w:rsidRDefault="00DE6F82" w:rsidP="00152A78">
            <w:pPr>
              <w:rPr>
                <w:rFonts w:ascii="Arial" w:hAnsi="Arial"/>
                <w:sz w:val="22"/>
                <w:szCs w:val="22"/>
              </w:rPr>
            </w:pPr>
            <w:r>
              <w:rPr>
                <w:rFonts w:ascii="Arial" w:hAnsi="Arial"/>
                <w:sz w:val="22"/>
                <w:szCs w:val="22"/>
              </w:rPr>
              <w:t>Superpave Binder Grade</w:t>
            </w:r>
          </w:p>
        </w:tc>
        <w:tc>
          <w:tcPr>
            <w:tcW w:w="836" w:type="dxa"/>
          </w:tcPr>
          <w:p w14:paraId="64BCB56F" w14:textId="77777777" w:rsidR="00DE6F82" w:rsidRPr="00E676D9" w:rsidRDefault="00DE6F82" w:rsidP="002F7593">
            <w:pPr>
              <w:jc w:val="center"/>
              <w:rPr>
                <w:rFonts w:ascii="Arial" w:hAnsi="Arial"/>
                <w:sz w:val="22"/>
                <w:szCs w:val="22"/>
              </w:rPr>
            </w:pPr>
            <w:r>
              <w:rPr>
                <w:rFonts w:ascii="Arial" w:hAnsi="Arial"/>
                <w:sz w:val="22"/>
                <w:szCs w:val="22"/>
              </w:rPr>
              <w:t>3</w:t>
            </w:r>
          </w:p>
        </w:tc>
        <w:tc>
          <w:tcPr>
            <w:tcW w:w="3685" w:type="dxa"/>
          </w:tcPr>
          <w:p w14:paraId="36895A9C" w14:textId="77777777" w:rsidR="00DE6F82" w:rsidRPr="00E676D9" w:rsidRDefault="00DE6F82" w:rsidP="00152A78">
            <w:pPr>
              <w:rPr>
                <w:rFonts w:ascii="Arial" w:hAnsi="Arial"/>
                <w:sz w:val="22"/>
                <w:szCs w:val="22"/>
              </w:rPr>
            </w:pPr>
            <w:r>
              <w:rPr>
                <w:rFonts w:ascii="Arial" w:hAnsi="Arial"/>
                <w:sz w:val="22"/>
                <w:szCs w:val="22"/>
              </w:rPr>
              <w:t xml:space="preserve">See </w:t>
            </w:r>
            <w:hyperlink w:anchor="_Performance_Grade_Binder" w:history="1">
              <w:r w:rsidRPr="00527730">
                <w:rPr>
                  <w:rStyle w:val="Hyperlink"/>
                  <w:rFonts w:ascii="Arial" w:hAnsi="Arial"/>
                  <w:sz w:val="22"/>
                  <w:szCs w:val="22"/>
                </w:rPr>
                <w:t>Performance Grade Binder Selection</w:t>
              </w:r>
            </w:hyperlink>
          </w:p>
        </w:tc>
      </w:tr>
      <w:tr w:rsidR="00DE6F82" w:rsidRPr="00E676D9" w14:paraId="32991E0D" w14:textId="77777777" w:rsidTr="002F7593">
        <w:tc>
          <w:tcPr>
            <w:tcW w:w="1270" w:type="dxa"/>
          </w:tcPr>
          <w:p w14:paraId="382C23E2" w14:textId="6E07B10B"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10695D1C" w14:textId="77777777" w:rsidR="00DE6F82" w:rsidRPr="00E676D9" w:rsidRDefault="00DE6F82" w:rsidP="00152A78">
            <w:pPr>
              <w:rPr>
                <w:rFonts w:ascii="Arial" w:hAnsi="Arial"/>
                <w:sz w:val="22"/>
                <w:szCs w:val="22"/>
              </w:rPr>
            </w:pPr>
            <w:r>
              <w:rPr>
                <w:rFonts w:ascii="Arial" w:hAnsi="Arial"/>
                <w:sz w:val="22"/>
                <w:szCs w:val="22"/>
              </w:rPr>
              <w:t>Reference Temperature</w:t>
            </w:r>
          </w:p>
        </w:tc>
        <w:tc>
          <w:tcPr>
            <w:tcW w:w="836" w:type="dxa"/>
          </w:tcPr>
          <w:p w14:paraId="3525C401" w14:textId="77777777" w:rsidR="00DE6F82" w:rsidRPr="00E676D9" w:rsidRDefault="00DE6F82" w:rsidP="002F7593">
            <w:pPr>
              <w:jc w:val="center"/>
              <w:rPr>
                <w:rFonts w:ascii="Arial" w:hAnsi="Arial"/>
                <w:sz w:val="22"/>
                <w:szCs w:val="22"/>
              </w:rPr>
            </w:pPr>
            <w:r>
              <w:rPr>
                <w:rFonts w:ascii="Arial" w:hAnsi="Arial"/>
                <w:sz w:val="22"/>
                <w:szCs w:val="22"/>
              </w:rPr>
              <w:t>All</w:t>
            </w:r>
          </w:p>
        </w:tc>
        <w:tc>
          <w:tcPr>
            <w:tcW w:w="3685" w:type="dxa"/>
          </w:tcPr>
          <w:p w14:paraId="04DD231F" w14:textId="77777777" w:rsidR="00DE6F82" w:rsidRPr="00E676D9" w:rsidRDefault="00DE6F82" w:rsidP="00152A78">
            <w:pPr>
              <w:rPr>
                <w:rFonts w:ascii="Arial" w:hAnsi="Arial"/>
                <w:sz w:val="22"/>
                <w:szCs w:val="22"/>
              </w:rPr>
            </w:pPr>
            <w:r>
              <w:rPr>
                <w:rFonts w:ascii="Arial" w:hAnsi="Arial"/>
                <w:sz w:val="22"/>
                <w:szCs w:val="22"/>
              </w:rPr>
              <w:t>70</w:t>
            </w:r>
          </w:p>
        </w:tc>
      </w:tr>
      <w:tr w:rsidR="00DE6F82" w:rsidRPr="00E676D9" w14:paraId="50603E1B" w14:textId="77777777" w:rsidTr="002F7593">
        <w:tc>
          <w:tcPr>
            <w:tcW w:w="1270" w:type="dxa"/>
          </w:tcPr>
          <w:p w14:paraId="37229EA2" w14:textId="2E8F422F"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462C7263" w14:textId="77777777" w:rsidR="00DE6F82" w:rsidRPr="00E676D9" w:rsidRDefault="00DE6F82" w:rsidP="00152A78">
            <w:pPr>
              <w:rPr>
                <w:rFonts w:ascii="Arial" w:hAnsi="Arial"/>
                <w:sz w:val="22"/>
                <w:szCs w:val="22"/>
              </w:rPr>
            </w:pPr>
            <w:r>
              <w:rPr>
                <w:rFonts w:ascii="Arial" w:hAnsi="Arial"/>
                <w:sz w:val="22"/>
                <w:szCs w:val="22"/>
              </w:rPr>
              <w:t>Effective Binder Content</w:t>
            </w:r>
          </w:p>
        </w:tc>
        <w:tc>
          <w:tcPr>
            <w:tcW w:w="836" w:type="dxa"/>
          </w:tcPr>
          <w:p w14:paraId="322D0905" w14:textId="77777777" w:rsidR="00DE6F82" w:rsidRPr="00E676D9" w:rsidRDefault="00DE6F82" w:rsidP="002F7593">
            <w:pPr>
              <w:jc w:val="center"/>
              <w:rPr>
                <w:rFonts w:ascii="Arial" w:hAnsi="Arial"/>
                <w:sz w:val="22"/>
                <w:szCs w:val="22"/>
              </w:rPr>
            </w:pPr>
            <w:r>
              <w:rPr>
                <w:rFonts w:ascii="Arial" w:hAnsi="Arial"/>
                <w:sz w:val="22"/>
                <w:szCs w:val="22"/>
              </w:rPr>
              <w:t>All</w:t>
            </w:r>
          </w:p>
        </w:tc>
        <w:tc>
          <w:tcPr>
            <w:tcW w:w="3685" w:type="dxa"/>
          </w:tcPr>
          <w:p w14:paraId="04BFE27B" w14:textId="77777777" w:rsidR="00DE6F82" w:rsidRPr="00E676D9" w:rsidRDefault="00DE6F82" w:rsidP="00152A78">
            <w:pPr>
              <w:rPr>
                <w:rFonts w:ascii="Arial" w:hAnsi="Arial"/>
                <w:sz w:val="22"/>
                <w:szCs w:val="22"/>
              </w:rPr>
            </w:pPr>
            <w:r w:rsidRPr="00E676D9">
              <w:rPr>
                <w:rFonts w:ascii="Arial" w:hAnsi="Arial"/>
                <w:sz w:val="22"/>
                <w:szCs w:val="22"/>
              </w:rPr>
              <w:t xml:space="preserve">See </w:t>
            </w:r>
            <w:hyperlink w:anchor="_Aggregate_Gradation_and" w:history="1">
              <w:r w:rsidRPr="00E676D9">
                <w:rPr>
                  <w:rStyle w:val="Hyperlink"/>
                  <w:rFonts w:ascii="Arial" w:hAnsi="Arial"/>
                  <w:sz w:val="22"/>
                  <w:szCs w:val="22"/>
                </w:rPr>
                <w:t>Aggregate Gradation and Volumetric Properties</w:t>
              </w:r>
            </w:hyperlink>
          </w:p>
        </w:tc>
      </w:tr>
      <w:tr w:rsidR="00DE6F82" w:rsidRPr="00E676D9" w14:paraId="19E28E9B" w14:textId="77777777" w:rsidTr="002F7593">
        <w:tc>
          <w:tcPr>
            <w:tcW w:w="1270" w:type="dxa"/>
          </w:tcPr>
          <w:p w14:paraId="173B7F35" w14:textId="48EAC0DE"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608BCF39" w14:textId="77777777" w:rsidR="00DE6F82" w:rsidRPr="00E676D9" w:rsidRDefault="00DE6F82" w:rsidP="00152A78">
            <w:pPr>
              <w:rPr>
                <w:rFonts w:ascii="Arial" w:hAnsi="Arial"/>
                <w:sz w:val="22"/>
                <w:szCs w:val="22"/>
              </w:rPr>
            </w:pPr>
            <w:r>
              <w:rPr>
                <w:rFonts w:ascii="Arial" w:hAnsi="Arial"/>
                <w:sz w:val="22"/>
                <w:szCs w:val="22"/>
              </w:rPr>
              <w:t>In-Place Air Voids</w:t>
            </w:r>
          </w:p>
        </w:tc>
        <w:tc>
          <w:tcPr>
            <w:tcW w:w="836" w:type="dxa"/>
          </w:tcPr>
          <w:p w14:paraId="6E9995AC" w14:textId="77777777" w:rsidR="00DE6F82" w:rsidRPr="00E676D9" w:rsidRDefault="00DE6F82" w:rsidP="002F7593">
            <w:pPr>
              <w:jc w:val="center"/>
              <w:rPr>
                <w:rFonts w:ascii="Arial" w:hAnsi="Arial"/>
                <w:sz w:val="22"/>
                <w:szCs w:val="22"/>
              </w:rPr>
            </w:pPr>
            <w:r>
              <w:rPr>
                <w:rFonts w:ascii="Arial" w:hAnsi="Arial"/>
                <w:sz w:val="22"/>
                <w:szCs w:val="22"/>
              </w:rPr>
              <w:t>All</w:t>
            </w:r>
          </w:p>
        </w:tc>
        <w:tc>
          <w:tcPr>
            <w:tcW w:w="3685" w:type="dxa"/>
          </w:tcPr>
          <w:p w14:paraId="150FCAC4" w14:textId="77777777" w:rsidR="00DE6F82" w:rsidRPr="00E676D9" w:rsidRDefault="00DE6F82" w:rsidP="00152A78">
            <w:pPr>
              <w:rPr>
                <w:rFonts w:ascii="Arial" w:hAnsi="Arial"/>
                <w:sz w:val="22"/>
                <w:szCs w:val="22"/>
              </w:rPr>
            </w:pPr>
            <w:r w:rsidRPr="00E676D9">
              <w:rPr>
                <w:rFonts w:ascii="Arial" w:hAnsi="Arial"/>
                <w:sz w:val="22"/>
                <w:szCs w:val="22"/>
              </w:rPr>
              <w:t xml:space="preserve">See </w:t>
            </w:r>
            <w:hyperlink w:anchor="_Aggregate_Gradation_and" w:history="1">
              <w:r w:rsidRPr="00E676D9">
                <w:rPr>
                  <w:rStyle w:val="Hyperlink"/>
                  <w:rFonts w:ascii="Arial" w:hAnsi="Arial"/>
                  <w:sz w:val="22"/>
                  <w:szCs w:val="22"/>
                </w:rPr>
                <w:t>Aggregate Gradation and Volumetric Properties</w:t>
              </w:r>
            </w:hyperlink>
          </w:p>
        </w:tc>
      </w:tr>
      <w:tr w:rsidR="00DE6F82" w:rsidRPr="00E676D9" w14:paraId="782C2FB7" w14:textId="77777777" w:rsidTr="002F7593">
        <w:tc>
          <w:tcPr>
            <w:tcW w:w="1270" w:type="dxa"/>
          </w:tcPr>
          <w:p w14:paraId="23859C23" w14:textId="70F5DC89"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57C3BDA9" w14:textId="77777777" w:rsidR="00DE6F82" w:rsidRPr="00E676D9" w:rsidRDefault="00DE6F82" w:rsidP="00152A78">
            <w:pPr>
              <w:rPr>
                <w:rFonts w:ascii="Arial" w:hAnsi="Arial"/>
                <w:sz w:val="22"/>
                <w:szCs w:val="22"/>
              </w:rPr>
            </w:pPr>
            <w:r>
              <w:rPr>
                <w:rFonts w:ascii="Arial" w:hAnsi="Arial"/>
                <w:sz w:val="22"/>
                <w:szCs w:val="22"/>
              </w:rPr>
              <w:t>Total Unit Weight</w:t>
            </w:r>
          </w:p>
        </w:tc>
        <w:tc>
          <w:tcPr>
            <w:tcW w:w="836" w:type="dxa"/>
          </w:tcPr>
          <w:p w14:paraId="0B4FD929" w14:textId="77777777" w:rsidR="00DE6F82" w:rsidRPr="00E676D9" w:rsidRDefault="00DE6F82" w:rsidP="002F7593">
            <w:pPr>
              <w:jc w:val="center"/>
              <w:rPr>
                <w:rFonts w:ascii="Arial" w:hAnsi="Arial"/>
                <w:sz w:val="22"/>
                <w:szCs w:val="22"/>
              </w:rPr>
            </w:pPr>
            <w:r>
              <w:rPr>
                <w:rFonts w:ascii="Arial" w:hAnsi="Arial"/>
                <w:sz w:val="22"/>
                <w:szCs w:val="22"/>
              </w:rPr>
              <w:t>All</w:t>
            </w:r>
          </w:p>
        </w:tc>
        <w:tc>
          <w:tcPr>
            <w:tcW w:w="3685" w:type="dxa"/>
          </w:tcPr>
          <w:p w14:paraId="114AA86E" w14:textId="77777777" w:rsidR="00DE6F82" w:rsidRPr="00E676D9" w:rsidRDefault="00DE6F82" w:rsidP="00152A78">
            <w:pPr>
              <w:rPr>
                <w:rFonts w:ascii="Arial" w:hAnsi="Arial"/>
                <w:sz w:val="22"/>
                <w:szCs w:val="22"/>
              </w:rPr>
            </w:pPr>
            <w:r>
              <w:rPr>
                <w:rFonts w:ascii="Arial" w:hAnsi="Arial"/>
                <w:sz w:val="22"/>
                <w:szCs w:val="22"/>
              </w:rPr>
              <w:t xml:space="preserve">See </w:t>
            </w:r>
            <w:hyperlink w:anchor="_HMA_Unit_Weight" w:history="1">
              <w:r w:rsidRPr="00A3272B">
                <w:rPr>
                  <w:rStyle w:val="Hyperlink"/>
                  <w:rFonts w:ascii="Arial" w:hAnsi="Arial"/>
                  <w:sz w:val="22"/>
                  <w:szCs w:val="22"/>
                </w:rPr>
                <w:t>HMA Unit Weight</w:t>
              </w:r>
            </w:hyperlink>
          </w:p>
        </w:tc>
      </w:tr>
      <w:tr w:rsidR="00DE6F82" w:rsidRPr="00E676D9" w14:paraId="1748EC89" w14:textId="77777777" w:rsidTr="002F7593">
        <w:tc>
          <w:tcPr>
            <w:tcW w:w="1270" w:type="dxa"/>
          </w:tcPr>
          <w:p w14:paraId="522F82AE" w14:textId="231A7672"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03B52927" w14:textId="77777777" w:rsidR="00DE6F82" w:rsidRPr="00E676D9" w:rsidRDefault="00DE6F82" w:rsidP="00152A78">
            <w:pPr>
              <w:rPr>
                <w:rFonts w:ascii="Arial" w:hAnsi="Arial"/>
                <w:sz w:val="22"/>
                <w:szCs w:val="22"/>
              </w:rPr>
            </w:pPr>
            <w:r>
              <w:rPr>
                <w:rFonts w:ascii="Arial" w:hAnsi="Arial"/>
                <w:sz w:val="22"/>
                <w:szCs w:val="22"/>
              </w:rPr>
              <w:t>Poisson’s Ratio</w:t>
            </w:r>
          </w:p>
        </w:tc>
        <w:tc>
          <w:tcPr>
            <w:tcW w:w="836" w:type="dxa"/>
          </w:tcPr>
          <w:p w14:paraId="57F86BC6" w14:textId="77777777" w:rsidR="00DE6F82" w:rsidRPr="00E676D9" w:rsidRDefault="00DE6F82" w:rsidP="002F7593">
            <w:pPr>
              <w:jc w:val="center"/>
              <w:rPr>
                <w:rFonts w:ascii="Arial" w:hAnsi="Arial"/>
                <w:sz w:val="22"/>
                <w:szCs w:val="22"/>
              </w:rPr>
            </w:pPr>
            <w:r>
              <w:rPr>
                <w:rFonts w:ascii="Arial" w:hAnsi="Arial"/>
                <w:sz w:val="22"/>
                <w:szCs w:val="22"/>
              </w:rPr>
              <w:t>All</w:t>
            </w:r>
          </w:p>
        </w:tc>
        <w:tc>
          <w:tcPr>
            <w:tcW w:w="3685" w:type="dxa"/>
          </w:tcPr>
          <w:p w14:paraId="704B6404" w14:textId="52EE9410" w:rsidR="00DE6F82" w:rsidRPr="00E676D9" w:rsidRDefault="00DE6F82" w:rsidP="00152A78">
            <w:pPr>
              <w:rPr>
                <w:rFonts w:ascii="Arial" w:hAnsi="Arial"/>
                <w:sz w:val="22"/>
                <w:szCs w:val="22"/>
              </w:rPr>
            </w:pPr>
            <w:r>
              <w:rPr>
                <w:rFonts w:ascii="Arial" w:hAnsi="Arial"/>
                <w:sz w:val="22"/>
                <w:szCs w:val="22"/>
              </w:rPr>
              <w:t xml:space="preserve">Use 0.35.  See </w:t>
            </w:r>
            <w:hyperlink w:anchor="_Poisson_Ratio" w:history="1">
              <w:r w:rsidRPr="00A3272B">
                <w:rPr>
                  <w:rStyle w:val="Hyperlink"/>
                  <w:rFonts w:ascii="Arial" w:hAnsi="Arial"/>
                  <w:sz w:val="22"/>
                  <w:szCs w:val="22"/>
                </w:rPr>
                <w:t>Poisson</w:t>
              </w:r>
              <w:r>
                <w:rPr>
                  <w:rStyle w:val="Hyperlink"/>
                  <w:rFonts w:ascii="Arial" w:hAnsi="Arial"/>
                  <w:sz w:val="22"/>
                  <w:szCs w:val="22"/>
                </w:rPr>
                <w:t>'s</w:t>
              </w:r>
              <w:r w:rsidRPr="00A3272B">
                <w:rPr>
                  <w:rStyle w:val="Hyperlink"/>
                  <w:rFonts w:ascii="Arial" w:hAnsi="Arial"/>
                  <w:sz w:val="22"/>
                  <w:szCs w:val="22"/>
                </w:rPr>
                <w:t xml:space="preserve"> Ratio</w:t>
              </w:r>
            </w:hyperlink>
          </w:p>
        </w:tc>
      </w:tr>
      <w:tr w:rsidR="00DE6F82" w:rsidRPr="00E676D9" w14:paraId="6C996DF0" w14:textId="77777777" w:rsidTr="002F7593">
        <w:tc>
          <w:tcPr>
            <w:tcW w:w="1270" w:type="dxa"/>
          </w:tcPr>
          <w:p w14:paraId="63A6F9A4" w14:textId="493EC4DC"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17C3F96C" w14:textId="77777777" w:rsidR="00DE6F82" w:rsidRPr="00E676D9" w:rsidRDefault="00DE6F82" w:rsidP="00152A78">
            <w:pPr>
              <w:rPr>
                <w:rFonts w:ascii="Arial" w:hAnsi="Arial"/>
                <w:sz w:val="22"/>
                <w:szCs w:val="22"/>
              </w:rPr>
            </w:pPr>
            <w:r>
              <w:rPr>
                <w:rFonts w:ascii="Arial" w:hAnsi="Arial"/>
                <w:sz w:val="22"/>
                <w:szCs w:val="22"/>
              </w:rPr>
              <w:t>Thermal Conductivity</w:t>
            </w:r>
          </w:p>
        </w:tc>
        <w:tc>
          <w:tcPr>
            <w:tcW w:w="836" w:type="dxa"/>
          </w:tcPr>
          <w:p w14:paraId="54446CD7" w14:textId="77777777" w:rsidR="00DE6F82" w:rsidRPr="00E676D9" w:rsidRDefault="00DE6F82" w:rsidP="002F7593">
            <w:pPr>
              <w:jc w:val="center"/>
              <w:rPr>
                <w:rFonts w:ascii="Arial" w:hAnsi="Arial"/>
                <w:sz w:val="22"/>
                <w:szCs w:val="22"/>
              </w:rPr>
            </w:pPr>
            <w:r>
              <w:rPr>
                <w:rFonts w:ascii="Arial" w:hAnsi="Arial"/>
                <w:sz w:val="22"/>
                <w:szCs w:val="22"/>
              </w:rPr>
              <w:t>All</w:t>
            </w:r>
          </w:p>
        </w:tc>
        <w:tc>
          <w:tcPr>
            <w:tcW w:w="3685" w:type="dxa"/>
          </w:tcPr>
          <w:p w14:paraId="60104E51" w14:textId="77777777" w:rsidR="00DE6F82" w:rsidRPr="00E676D9" w:rsidRDefault="00DE6F82" w:rsidP="00152A78">
            <w:pPr>
              <w:rPr>
                <w:rFonts w:ascii="Arial" w:hAnsi="Arial"/>
                <w:sz w:val="22"/>
                <w:szCs w:val="22"/>
              </w:rPr>
            </w:pPr>
            <w:r>
              <w:rPr>
                <w:rFonts w:ascii="Arial" w:hAnsi="Arial"/>
                <w:sz w:val="22"/>
                <w:szCs w:val="22"/>
              </w:rPr>
              <w:t>0.67</w:t>
            </w:r>
          </w:p>
        </w:tc>
      </w:tr>
      <w:tr w:rsidR="00DE6F82" w:rsidRPr="00E676D9" w14:paraId="1179A60F" w14:textId="77777777" w:rsidTr="002F7593">
        <w:tc>
          <w:tcPr>
            <w:tcW w:w="1270" w:type="dxa"/>
          </w:tcPr>
          <w:p w14:paraId="551B7B56" w14:textId="081316C6"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1A57627E" w14:textId="77777777" w:rsidR="00DE6F82" w:rsidRPr="00E676D9" w:rsidRDefault="00DE6F82" w:rsidP="00152A78">
            <w:pPr>
              <w:rPr>
                <w:rFonts w:ascii="Arial" w:hAnsi="Arial"/>
                <w:sz w:val="22"/>
                <w:szCs w:val="22"/>
              </w:rPr>
            </w:pPr>
            <w:r>
              <w:rPr>
                <w:rFonts w:ascii="Arial" w:hAnsi="Arial"/>
                <w:sz w:val="22"/>
                <w:szCs w:val="22"/>
              </w:rPr>
              <w:t>Heat Capacity Asphalt</w:t>
            </w:r>
          </w:p>
        </w:tc>
        <w:tc>
          <w:tcPr>
            <w:tcW w:w="836" w:type="dxa"/>
          </w:tcPr>
          <w:p w14:paraId="256A43DB" w14:textId="77777777" w:rsidR="00DE6F82" w:rsidRPr="00E676D9" w:rsidRDefault="00DE6F82" w:rsidP="002F7593">
            <w:pPr>
              <w:jc w:val="center"/>
              <w:rPr>
                <w:rFonts w:ascii="Arial" w:hAnsi="Arial"/>
                <w:sz w:val="22"/>
                <w:szCs w:val="22"/>
              </w:rPr>
            </w:pPr>
            <w:r>
              <w:rPr>
                <w:rFonts w:ascii="Arial" w:hAnsi="Arial"/>
                <w:sz w:val="22"/>
                <w:szCs w:val="22"/>
              </w:rPr>
              <w:t>All</w:t>
            </w:r>
          </w:p>
        </w:tc>
        <w:tc>
          <w:tcPr>
            <w:tcW w:w="3685" w:type="dxa"/>
          </w:tcPr>
          <w:p w14:paraId="78B9F85B" w14:textId="77777777" w:rsidR="00DE6F82" w:rsidRPr="00E676D9" w:rsidRDefault="00DE6F82" w:rsidP="00152A78">
            <w:pPr>
              <w:rPr>
                <w:rFonts w:ascii="Arial" w:hAnsi="Arial"/>
                <w:sz w:val="22"/>
                <w:szCs w:val="22"/>
              </w:rPr>
            </w:pPr>
            <w:r>
              <w:rPr>
                <w:rFonts w:ascii="Arial" w:hAnsi="Arial"/>
                <w:sz w:val="22"/>
                <w:szCs w:val="22"/>
              </w:rPr>
              <w:t>0.23</w:t>
            </w:r>
          </w:p>
        </w:tc>
      </w:tr>
      <w:tr w:rsidR="00DE6F82" w:rsidRPr="00E676D9" w14:paraId="3583ABD5" w14:textId="77777777" w:rsidTr="002F7593">
        <w:tc>
          <w:tcPr>
            <w:tcW w:w="1270" w:type="dxa"/>
          </w:tcPr>
          <w:p w14:paraId="02E44F9D" w14:textId="5F5D5E27"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0BCEFC6D" w14:textId="77777777" w:rsidR="00DE6F82" w:rsidRPr="00E676D9" w:rsidRDefault="00DE6F82" w:rsidP="00152A78">
            <w:pPr>
              <w:rPr>
                <w:rFonts w:ascii="Arial" w:hAnsi="Arial"/>
                <w:sz w:val="22"/>
                <w:szCs w:val="22"/>
              </w:rPr>
            </w:pPr>
            <w:r>
              <w:rPr>
                <w:rFonts w:ascii="Arial" w:hAnsi="Arial"/>
                <w:sz w:val="22"/>
                <w:szCs w:val="22"/>
              </w:rPr>
              <w:t>Short Wave Absorption</w:t>
            </w:r>
          </w:p>
        </w:tc>
        <w:tc>
          <w:tcPr>
            <w:tcW w:w="836" w:type="dxa"/>
          </w:tcPr>
          <w:p w14:paraId="1EB69288" w14:textId="77777777" w:rsidR="00DE6F82" w:rsidRPr="00E676D9" w:rsidRDefault="00DE6F82" w:rsidP="002F7593">
            <w:pPr>
              <w:jc w:val="center"/>
              <w:rPr>
                <w:rFonts w:ascii="Arial" w:hAnsi="Arial"/>
                <w:sz w:val="22"/>
                <w:szCs w:val="22"/>
              </w:rPr>
            </w:pPr>
            <w:r>
              <w:rPr>
                <w:rFonts w:ascii="Arial" w:hAnsi="Arial"/>
                <w:sz w:val="22"/>
                <w:szCs w:val="22"/>
              </w:rPr>
              <w:t>All</w:t>
            </w:r>
          </w:p>
        </w:tc>
        <w:tc>
          <w:tcPr>
            <w:tcW w:w="3685" w:type="dxa"/>
          </w:tcPr>
          <w:p w14:paraId="5D2026F7" w14:textId="77777777" w:rsidR="00DE6F82" w:rsidRPr="00E676D9" w:rsidRDefault="00DE6F82" w:rsidP="00152A78">
            <w:pPr>
              <w:rPr>
                <w:rFonts w:ascii="Arial" w:hAnsi="Arial"/>
                <w:sz w:val="22"/>
                <w:szCs w:val="22"/>
              </w:rPr>
            </w:pPr>
            <w:r>
              <w:rPr>
                <w:rFonts w:ascii="Arial" w:hAnsi="Arial"/>
                <w:sz w:val="22"/>
                <w:szCs w:val="22"/>
              </w:rPr>
              <w:t>0.85</w:t>
            </w:r>
          </w:p>
        </w:tc>
      </w:tr>
      <w:tr w:rsidR="00DE6F82" w:rsidRPr="00E676D9" w14:paraId="4A3918C4" w14:textId="77777777" w:rsidTr="002F7593">
        <w:tc>
          <w:tcPr>
            <w:tcW w:w="1270" w:type="dxa"/>
          </w:tcPr>
          <w:p w14:paraId="1763E14C" w14:textId="1BF1EF2A" w:rsidR="00DE6F82" w:rsidRPr="00E676D9" w:rsidRDefault="00DE6F82" w:rsidP="00152A78">
            <w:pPr>
              <w:rPr>
                <w:rFonts w:ascii="Arial" w:hAnsi="Arial"/>
                <w:sz w:val="22"/>
                <w:szCs w:val="22"/>
              </w:rPr>
            </w:pPr>
            <w:r>
              <w:rPr>
                <w:rFonts w:ascii="Arial" w:hAnsi="Arial"/>
                <w:sz w:val="22"/>
                <w:szCs w:val="22"/>
              </w:rPr>
              <w:t>General</w:t>
            </w:r>
          </w:p>
        </w:tc>
        <w:tc>
          <w:tcPr>
            <w:tcW w:w="2839" w:type="dxa"/>
          </w:tcPr>
          <w:p w14:paraId="6DC6EF0F" w14:textId="77777777" w:rsidR="00DE6F82" w:rsidRDefault="00DE6F82" w:rsidP="00152A78">
            <w:pPr>
              <w:rPr>
                <w:rFonts w:ascii="Arial" w:hAnsi="Arial"/>
                <w:sz w:val="22"/>
                <w:szCs w:val="22"/>
              </w:rPr>
            </w:pPr>
            <w:r>
              <w:rPr>
                <w:rFonts w:ascii="Arial" w:hAnsi="Arial"/>
                <w:sz w:val="22"/>
                <w:szCs w:val="22"/>
              </w:rPr>
              <w:t>Pavement Condition Rating</w:t>
            </w:r>
          </w:p>
        </w:tc>
        <w:tc>
          <w:tcPr>
            <w:tcW w:w="836" w:type="dxa"/>
          </w:tcPr>
          <w:p w14:paraId="03CDF31C" w14:textId="77777777" w:rsidR="00DE6F82" w:rsidRDefault="00DE6F82" w:rsidP="002F7593">
            <w:pPr>
              <w:jc w:val="center"/>
              <w:rPr>
                <w:rFonts w:ascii="Arial" w:hAnsi="Arial"/>
                <w:sz w:val="22"/>
                <w:szCs w:val="22"/>
              </w:rPr>
            </w:pPr>
            <w:r>
              <w:rPr>
                <w:rFonts w:ascii="Arial" w:hAnsi="Arial"/>
                <w:sz w:val="22"/>
                <w:szCs w:val="22"/>
              </w:rPr>
              <w:t>All</w:t>
            </w:r>
          </w:p>
        </w:tc>
        <w:tc>
          <w:tcPr>
            <w:tcW w:w="3685" w:type="dxa"/>
          </w:tcPr>
          <w:p w14:paraId="0EF438F0" w14:textId="77777777" w:rsidR="00DE6F82" w:rsidRDefault="00DE6F82" w:rsidP="00152A78">
            <w:pPr>
              <w:rPr>
                <w:rFonts w:ascii="Arial" w:hAnsi="Arial"/>
                <w:sz w:val="22"/>
                <w:szCs w:val="22"/>
              </w:rPr>
            </w:pPr>
            <w:r>
              <w:rPr>
                <w:rFonts w:ascii="Arial" w:hAnsi="Arial"/>
                <w:sz w:val="22"/>
                <w:szCs w:val="22"/>
              </w:rPr>
              <w:t xml:space="preserve">See </w:t>
            </w:r>
            <w:hyperlink w:anchor="_Visual_Pavement_Condition" w:history="1">
              <w:r w:rsidRPr="00E838DF">
                <w:rPr>
                  <w:rStyle w:val="Hyperlink"/>
                  <w:rFonts w:ascii="Arial" w:hAnsi="Arial"/>
                  <w:sz w:val="22"/>
                  <w:szCs w:val="22"/>
                </w:rPr>
                <w:t>Visual Pavement Condition Assessment</w:t>
              </w:r>
            </w:hyperlink>
          </w:p>
        </w:tc>
      </w:tr>
    </w:tbl>
    <w:p w14:paraId="0B77FF48" w14:textId="77777777" w:rsidR="00152A78" w:rsidRPr="00EE5F0E" w:rsidRDefault="00152A78" w:rsidP="002F7593">
      <w:pPr>
        <w:pStyle w:val="Heading3"/>
        <w:tabs>
          <w:tab w:val="left" w:pos="1080"/>
        </w:tabs>
        <w:ind w:hanging="1980"/>
      </w:pPr>
      <w:bookmarkStart w:id="173" w:name="_General_Ranges_for_1"/>
      <w:bookmarkEnd w:id="173"/>
      <w:r w:rsidRPr="00EE5F0E">
        <w:t xml:space="preserve">General Ranges for Surface / Base Elastic Modulus </w:t>
      </w:r>
    </w:p>
    <w:p w14:paraId="15892C19" w14:textId="77777777" w:rsidR="00152A78" w:rsidRDefault="00152A78" w:rsidP="00152A78">
      <w:pPr>
        <w:rPr>
          <w:rStyle w:val="Hyperlink"/>
          <w:rFonts w:ascii="Arial" w:hAnsi="Arial" w:cs="Arial"/>
          <w:bCs/>
          <w:sz w:val="16"/>
          <w:szCs w:val="16"/>
        </w:rPr>
      </w:pPr>
      <w:r w:rsidRPr="00EE5F0E">
        <w:rPr>
          <w:rFonts w:ascii="Arial" w:eastAsia="Arial" w:hAnsi="Arial" w:cs="Arial"/>
          <w:sz w:val="16"/>
        </w:rPr>
        <w:t>Click to go</w:t>
      </w:r>
      <w:r w:rsidRPr="00EE5F0E">
        <w:rPr>
          <w:rFonts w:ascii="Arial" w:eastAsia="Arial" w:hAnsi="Arial" w:cs="Arial"/>
          <w:sz w:val="16"/>
          <w:szCs w:val="16"/>
        </w:rPr>
        <w:t xml:space="preserve"> to</w:t>
      </w:r>
      <w:r w:rsidRPr="00EE5F0E">
        <w:rPr>
          <w:rFonts w:ascii="Arial" w:hAnsi="Arial" w:cs="Arial"/>
          <w:bCs/>
          <w:sz w:val="16"/>
          <w:szCs w:val="16"/>
        </w:rPr>
        <w:t xml:space="preserve"> </w:t>
      </w:r>
      <w:hyperlink w:anchor="_New_Pavement_Design_2" w:history="1">
        <w:r w:rsidRPr="00EE5F0E">
          <w:rPr>
            <w:rStyle w:val="Hyperlink"/>
            <w:rFonts w:ascii="Arial" w:hAnsi="Arial" w:cs="Arial"/>
            <w:bCs/>
            <w:sz w:val="16"/>
            <w:szCs w:val="16"/>
          </w:rPr>
          <w:t>New Pavement Design Using AASHTO 1993</w:t>
        </w:r>
      </w:hyperlink>
    </w:p>
    <w:p w14:paraId="4A6D84BC" w14:textId="77777777" w:rsidR="00CE7C47" w:rsidRPr="008F604D" w:rsidRDefault="00CE7C47" w:rsidP="00CE7C47">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Pr>
          <w:rFonts w:ascii="Arial" w:eastAsia="Arial" w:hAnsi="Arial" w:cs="Arial"/>
          <w:sz w:val="16"/>
          <w:szCs w:val="16"/>
        </w:rPr>
        <w:t xml:space="preserve"> </w:t>
      </w:r>
      <w:hyperlink w:anchor="_Bonded_Concrete_Overlay" w:history="1">
        <w:r w:rsidRPr="00CE7C47">
          <w:rPr>
            <w:rStyle w:val="Hyperlink"/>
            <w:rFonts w:ascii="Arial" w:eastAsia="Arial" w:hAnsi="Arial" w:cs="Arial"/>
            <w:sz w:val="16"/>
            <w:szCs w:val="16"/>
          </w:rPr>
          <w:t>Bonded Concrete Overlay over Asphalt – ACPA</w:t>
        </w:r>
      </w:hyperlink>
      <w:r w:rsidRPr="008F604D">
        <w:t xml:space="preserve"> </w:t>
      </w:r>
    </w:p>
    <w:p w14:paraId="668A0F57" w14:textId="77777777" w:rsidR="00152A78" w:rsidRPr="00EE5F0E" w:rsidRDefault="00152A78" w:rsidP="00152A78"/>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867"/>
        <w:gridCol w:w="1985"/>
        <w:gridCol w:w="1705"/>
      </w:tblGrid>
      <w:tr w:rsidR="00152A78" w:rsidRPr="00EE5F0E" w14:paraId="0EA311CE" w14:textId="77777777" w:rsidTr="007878C5">
        <w:trPr>
          <w:trHeight w:val="288"/>
          <w:tblHeader/>
          <w:jc w:val="center"/>
        </w:trPr>
        <w:tc>
          <w:tcPr>
            <w:tcW w:w="3078" w:type="dxa"/>
            <w:shd w:val="pct12" w:color="auto" w:fill="FFFFFF"/>
            <w:vAlign w:val="center"/>
          </w:tcPr>
          <w:p w14:paraId="597B5DC9" w14:textId="77777777" w:rsidR="00152A78" w:rsidRPr="00EE5F0E" w:rsidRDefault="00152A78" w:rsidP="00152A78">
            <w:pPr>
              <w:jc w:val="center"/>
              <w:rPr>
                <w:rFonts w:ascii="Arial" w:hAnsi="Arial"/>
                <w:b/>
                <w:sz w:val="22"/>
              </w:rPr>
            </w:pPr>
            <w:r w:rsidRPr="00EE5F0E">
              <w:rPr>
                <w:rFonts w:ascii="Arial" w:hAnsi="Arial"/>
                <w:b/>
                <w:sz w:val="22"/>
              </w:rPr>
              <w:t>Material</w:t>
            </w:r>
          </w:p>
        </w:tc>
        <w:tc>
          <w:tcPr>
            <w:tcW w:w="1867" w:type="dxa"/>
            <w:shd w:val="pct12" w:color="auto" w:fill="FFFFFF"/>
            <w:vAlign w:val="center"/>
          </w:tcPr>
          <w:p w14:paraId="0D7448A8" w14:textId="25B31E2E" w:rsidR="00220D00" w:rsidRDefault="00152A78" w:rsidP="00152A78">
            <w:pPr>
              <w:jc w:val="center"/>
              <w:rPr>
                <w:rFonts w:ascii="Arial" w:hAnsi="Arial"/>
                <w:b/>
                <w:sz w:val="22"/>
              </w:rPr>
            </w:pPr>
            <w:r w:rsidRPr="00EE5F0E">
              <w:rPr>
                <w:rFonts w:ascii="Arial" w:hAnsi="Arial"/>
                <w:b/>
                <w:sz w:val="22"/>
              </w:rPr>
              <w:t>Minimum Modulus</w:t>
            </w:r>
          </w:p>
          <w:p w14:paraId="6CC9D869" w14:textId="78B3C4FC" w:rsidR="00152A78" w:rsidRPr="00EE5F0E" w:rsidRDefault="00152A78" w:rsidP="00152A78">
            <w:pPr>
              <w:jc w:val="center"/>
              <w:rPr>
                <w:rFonts w:ascii="Arial" w:hAnsi="Arial"/>
                <w:b/>
                <w:sz w:val="22"/>
              </w:rPr>
            </w:pPr>
            <w:r w:rsidRPr="00EE5F0E">
              <w:rPr>
                <w:rFonts w:ascii="Arial" w:hAnsi="Arial"/>
                <w:b/>
                <w:sz w:val="22"/>
              </w:rPr>
              <w:t>(psi)</w:t>
            </w:r>
          </w:p>
        </w:tc>
        <w:tc>
          <w:tcPr>
            <w:tcW w:w="1985" w:type="dxa"/>
            <w:shd w:val="pct12" w:color="auto" w:fill="FFFFFF"/>
            <w:vAlign w:val="center"/>
          </w:tcPr>
          <w:p w14:paraId="16801FAB" w14:textId="77777777" w:rsidR="00152A78" w:rsidRPr="00EE5F0E" w:rsidRDefault="00152A78" w:rsidP="00152A78">
            <w:pPr>
              <w:jc w:val="center"/>
              <w:rPr>
                <w:rFonts w:ascii="Arial" w:hAnsi="Arial"/>
                <w:b/>
                <w:sz w:val="22"/>
              </w:rPr>
            </w:pPr>
            <w:r w:rsidRPr="00EE5F0E">
              <w:rPr>
                <w:rFonts w:ascii="Arial" w:hAnsi="Arial"/>
                <w:b/>
                <w:sz w:val="22"/>
              </w:rPr>
              <w:t>Typical Modulus (psi)</w:t>
            </w:r>
          </w:p>
        </w:tc>
        <w:tc>
          <w:tcPr>
            <w:tcW w:w="1705" w:type="dxa"/>
            <w:shd w:val="pct12" w:color="auto" w:fill="FFFFFF"/>
            <w:vAlign w:val="center"/>
          </w:tcPr>
          <w:p w14:paraId="2C11FB97" w14:textId="6399818E" w:rsidR="00220D00" w:rsidRDefault="00152A78" w:rsidP="00152A78">
            <w:pPr>
              <w:jc w:val="center"/>
              <w:rPr>
                <w:rFonts w:ascii="Arial" w:hAnsi="Arial"/>
                <w:b/>
                <w:sz w:val="22"/>
              </w:rPr>
            </w:pPr>
            <w:r w:rsidRPr="00EE5F0E">
              <w:rPr>
                <w:rFonts w:ascii="Arial" w:hAnsi="Arial"/>
                <w:b/>
                <w:sz w:val="22"/>
              </w:rPr>
              <w:t>Maximum Modulus</w:t>
            </w:r>
          </w:p>
          <w:p w14:paraId="4C4BAFC6" w14:textId="2398F07C" w:rsidR="00152A78" w:rsidRPr="00EE5F0E" w:rsidRDefault="00152A78" w:rsidP="00152A78">
            <w:pPr>
              <w:jc w:val="center"/>
              <w:rPr>
                <w:rFonts w:ascii="Arial" w:hAnsi="Arial"/>
                <w:b/>
                <w:sz w:val="22"/>
              </w:rPr>
            </w:pPr>
            <w:r w:rsidRPr="00EE5F0E">
              <w:rPr>
                <w:rFonts w:ascii="Arial" w:hAnsi="Arial"/>
                <w:b/>
                <w:sz w:val="22"/>
              </w:rPr>
              <w:t>(psi)</w:t>
            </w:r>
          </w:p>
        </w:tc>
      </w:tr>
      <w:tr w:rsidR="00152A78" w:rsidRPr="00EE5F0E" w14:paraId="3E4A4CA0" w14:textId="77777777" w:rsidTr="007878C5">
        <w:trPr>
          <w:trHeight w:val="288"/>
          <w:jc w:val="center"/>
        </w:trPr>
        <w:tc>
          <w:tcPr>
            <w:tcW w:w="3078" w:type="dxa"/>
            <w:vAlign w:val="center"/>
          </w:tcPr>
          <w:p w14:paraId="20EEBB45" w14:textId="53B2ADA4" w:rsidR="00152A78" w:rsidRPr="00361D31" w:rsidRDefault="00152A78" w:rsidP="00272BE3">
            <w:pPr>
              <w:rPr>
                <w:rFonts w:ascii="Arial" w:hAnsi="Arial"/>
                <w:sz w:val="22"/>
              </w:rPr>
            </w:pPr>
            <w:r w:rsidRPr="00361D31">
              <w:rPr>
                <w:rFonts w:ascii="Arial" w:hAnsi="Arial"/>
                <w:sz w:val="22"/>
              </w:rPr>
              <w:t xml:space="preserve">HMA, </w:t>
            </w:r>
            <w:r w:rsidR="00272BE3" w:rsidRPr="00361D31">
              <w:rPr>
                <w:rFonts w:ascii="Arial" w:hAnsi="Arial"/>
                <w:sz w:val="22"/>
              </w:rPr>
              <w:t>Surface</w:t>
            </w:r>
            <w:r w:rsidR="00272BE3">
              <w:rPr>
                <w:rFonts w:ascii="Arial" w:hAnsi="Arial"/>
                <w:sz w:val="22"/>
                <w:vertAlign w:val="superscript"/>
              </w:rPr>
              <w:t>1</w:t>
            </w:r>
          </w:p>
        </w:tc>
        <w:tc>
          <w:tcPr>
            <w:tcW w:w="1867" w:type="dxa"/>
            <w:vAlign w:val="center"/>
          </w:tcPr>
          <w:p w14:paraId="0192F8B9" w14:textId="77777777" w:rsidR="00152A78" w:rsidRPr="00EE5F0E" w:rsidRDefault="00152A78" w:rsidP="00152A78">
            <w:pPr>
              <w:jc w:val="center"/>
              <w:rPr>
                <w:rFonts w:ascii="Arial" w:hAnsi="Arial"/>
                <w:sz w:val="22"/>
              </w:rPr>
            </w:pPr>
            <w:r w:rsidRPr="00EE5F0E">
              <w:rPr>
                <w:rFonts w:ascii="Arial" w:hAnsi="Arial"/>
                <w:sz w:val="22"/>
              </w:rPr>
              <w:t>250,000</w:t>
            </w:r>
          </w:p>
        </w:tc>
        <w:tc>
          <w:tcPr>
            <w:tcW w:w="1985" w:type="dxa"/>
            <w:vAlign w:val="center"/>
          </w:tcPr>
          <w:p w14:paraId="7E5C7C96" w14:textId="77777777" w:rsidR="00152A78" w:rsidRPr="00EE5F0E" w:rsidRDefault="00152A78" w:rsidP="00152A78">
            <w:pPr>
              <w:jc w:val="center"/>
              <w:rPr>
                <w:rFonts w:ascii="Arial" w:hAnsi="Arial"/>
                <w:sz w:val="22"/>
              </w:rPr>
            </w:pPr>
            <w:r w:rsidRPr="00EE5F0E">
              <w:rPr>
                <w:rFonts w:ascii="Arial" w:hAnsi="Arial"/>
                <w:sz w:val="22"/>
              </w:rPr>
              <w:t>750,000</w:t>
            </w:r>
          </w:p>
        </w:tc>
        <w:tc>
          <w:tcPr>
            <w:tcW w:w="1705" w:type="dxa"/>
            <w:vAlign w:val="center"/>
          </w:tcPr>
          <w:p w14:paraId="3D248D37" w14:textId="77777777" w:rsidR="00152A78" w:rsidRPr="00EE5F0E" w:rsidRDefault="00152A78" w:rsidP="00152A78">
            <w:pPr>
              <w:jc w:val="center"/>
              <w:rPr>
                <w:rFonts w:ascii="Arial" w:hAnsi="Arial"/>
                <w:sz w:val="22"/>
              </w:rPr>
            </w:pPr>
            <w:r w:rsidRPr="00EE5F0E">
              <w:rPr>
                <w:rFonts w:ascii="Arial" w:hAnsi="Arial"/>
                <w:sz w:val="22"/>
              </w:rPr>
              <w:t>1,500,000</w:t>
            </w:r>
          </w:p>
        </w:tc>
      </w:tr>
      <w:tr w:rsidR="00152A78" w:rsidRPr="00EE5F0E" w14:paraId="05E05CA9" w14:textId="77777777" w:rsidTr="007878C5">
        <w:trPr>
          <w:trHeight w:val="288"/>
          <w:jc w:val="center"/>
        </w:trPr>
        <w:tc>
          <w:tcPr>
            <w:tcW w:w="3078" w:type="dxa"/>
            <w:vAlign w:val="center"/>
          </w:tcPr>
          <w:p w14:paraId="436A6134" w14:textId="3AAF7F7E" w:rsidR="00152A78" w:rsidRPr="00361D31" w:rsidRDefault="00152A78" w:rsidP="00272BE3">
            <w:pPr>
              <w:rPr>
                <w:rFonts w:ascii="Arial" w:hAnsi="Arial"/>
                <w:sz w:val="22"/>
              </w:rPr>
            </w:pPr>
            <w:r w:rsidRPr="00361D31">
              <w:rPr>
                <w:rFonts w:ascii="Arial" w:hAnsi="Arial"/>
                <w:sz w:val="22"/>
              </w:rPr>
              <w:t xml:space="preserve">HMA, </w:t>
            </w:r>
            <w:r w:rsidR="00272BE3" w:rsidRPr="00361D31">
              <w:rPr>
                <w:rFonts w:ascii="Arial" w:hAnsi="Arial"/>
                <w:sz w:val="22"/>
              </w:rPr>
              <w:t>Base</w:t>
            </w:r>
            <w:r w:rsidR="00272BE3">
              <w:rPr>
                <w:rFonts w:ascii="Arial" w:hAnsi="Arial"/>
                <w:sz w:val="22"/>
                <w:vertAlign w:val="superscript"/>
              </w:rPr>
              <w:t>1</w:t>
            </w:r>
          </w:p>
        </w:tc>
        <w:tc>
          <w:tcPr>
            <w:tcW w:w="1867" w:type="dxa"/>
            <w:vAlign w:val="center"/>
          </w:tcPr>
          <w:p w14:paraId="631FE1E1" w14:textId="77777777" w:rsidR="00152A78" w:rsidRPr="00EE5F0E" w:rsidRDefault="00152A78" w:rsidP="00152A78">
            <w:pPr>
              <w:jc w:val="center"/>
              <w:rPr>
                <w:rFonts w:ascii="Arial" w:hAnsi="Arial"/>
                <w:sz w:val="22"/>
              </w:rPr>
            </w:pPr>
            <w:r w:rsidRPr="00EE5F0E">
              <w:rPr>
                <w:rFonts w:ascii="Arial" w:hAnsi="Arial"/>
                <w:sz w:val="22"/>
              </w:rPr>
              <w:t>200,000</w:t>
            </w:r>
          </w:p>
        </w:tc>
        <w:tc>
          <w:tcPr>
            <w:tcW w:w="1985" w:type="dxa"/>
            <w:vAlign w:val="center"/>
          </w:tcPr>
          <w:p w14:paraId="59295458" w14:textId="77777777" w:rsidR="00152A78" w:rsidRPr="00EE5F0E" w:rsidRDefault="00152A78" w:rsidP="00152A78">
            <w:pPr>
              <w:jc w:val="center"/>
              <w:rPr>
                <w:rFonts w:ascii="Arial" w:hAnsi="Arial"/>
                <w:sz w:val="22"/>
              </w:rPr>
            </w:pPr>
            <w:r w:rsidRPr="00EE5F0E">
              <w:rPr>
                <w:rFonts w:ascii="Arial" w:hAnsi="Arial"/>
                <w:sz w:val="22"/>
              </w:rPr>
              <w:t>600,000</w:t>
            </w:r>
          </w:p>
        </w:tc>
        <w:tc>
          <w:tcPr>
            <w:tcW w:w="1705" w:type="dxa"/>
            <w:vAlign w:val="center"/>
          </w:tcPr>
          <w:p w14:paraId="2195AB7B" w14:textId="77777777" w:rsidR="00152A78" w:rsidRPr="00EE5F0E" w:rsidRDefault="00152A78" w:rsidP="00152A78">
            <w:pPr>
              <w:jc w:val="center"/>
              <w:rPr>
                <w:rFonts w:ascii="Arial" w:hAnsi="Arial"/>
                <w:sz w:val="22"/>
              </w:rPr>
            </w:pPr>
            <w:r w:rsidRPr="00EE5F0E">
              <w:rPr>
                <w:rFonts w:ascii="Arial" w:hAnsi="Arial"/>
                <w:sz w:val="22"/>
              </w:rPr>
              <w:t>1,250,000</w:t>
            </w:r>
          </w:p>
        </w:tc>
      </w:tr>
      <w:tr w:rsidR="00152A78" w:rsidRPr="00EE5F0E" w14:paraId="7B4A4EA0" w14:textId="77777777" w:rsidTr="007878C5">
        <w:trPr>
          <w:trHeight w:val="288"/>
          <w:jc w:val="center"/>
        </w:trPr>
        <w:tc>
          <w:tcPr>
            <w:tcW w:w="3078" w:type="dxa"/>
            <w:vAlign w:val="center"/>
          </w:tcPr>
          <w:p w14:paraId="0B4F841B" w14:textId="77777777" w:rsidR="00152A78" w:rsidRPr="00EE5F0E" w:rsidRDefault="00152A78" w:rsidP="00152A78">
            <w:pPr>
              <w:rPr>
                <w:rFonts w:ascii="Arial" w:hAnsi="Arial"/>
                <w:sz w:val="22"/>
              </w:rPr>
            </w:pPr>
            <w:r w:rsidRPr="00EE5F0E">
              <w:rPr>
                <w:rFonts w:ascii="Arial" w:hAnsi="Arial"/>
                <w:sz w:val="22"/>
              </w:rPr>
              <w:t xml:space="preserve">Asphalt Treated Aggregate Base </w:t>
            </w:r>
          </w:p>
        </w:tc>
        <w:tc>
          <w:tcPr>
            <w:tcW w:w="1867" w:type="dxa"/>
            <w:vAlign w:val="center"/>
          </w:tcPr>
          <w:p w14:paraId="048BC8F1" w14:textId="77777777" w:rsidR="00152A78" w:rsidRPr="00EE5F0E" w:rsidRDefault="00152A78" w:rsidP="00152A78">
            <w:pPr>
              <w:jc w:val="center"/>
              <w:rPr>
                <w:rFonts w:ascii="Arial" w:hAnsi="Arial"/>
                <w:sz w:val="22"/>
              </w:rPr>
            </w:pPr>
            <w:r w:rsidRPr="00EE5F0E">
              <w:rPr>
                <w:rFonts w:ascii="Arial" w:hAnsi="Arial"/>
                <w:sz w:val="22"/>
              </w:rPr>
              <w:t>50,000</w:t>
            </w:r>
          </w:p>
        </w:tc>
        <w:tc>
          <w:tcPr>
            <w:tcW w:w="1985" w:type="dxa"/>
            <w:vAlign w:val="center"/>
          </w:tcPr>
          <w:p w14:paraId="01A883D2" w14:textId="77777777" w:rsidR="00152A78" w:rsidRPr="00EE5F0E" w:rsidRDefault="00152A78" w:rsidP="00152A78">
            <w:pPr>
              <w:jc w:val="center"/>
              <w:rPr>
                <w:rFonts w:ascii="Arial" w:hAnsi="Arial"/>
                <w:sz w:val="22"/>
              </w:rPr>
            </w:pPr>
            <w:r w:rsidRPr="00EE5F0E">
              <w:rPr>
                <w:rFonts w:ascii="Arial" w:hAnsi="Arial"/>
                <w:sz w:val="22"/>
              </w:rPr>
              <w:t>150,000</w:t>
            </w:r>
          </w:p>
        </w:tc>
        <w:tc>
          <w:tcPr>
            <w:tcW w:w="1705" w:type="dxa"/>
            <w:vAlign w:val="center"/>
          </w:tcPr>
          <w:p w14:paraId="38D5C098" w14:textId="77777777" w:rsidR="00152A78" w:rsidRPr="00EE5F0E" w:rsidRDefault="00152A78" w:rsidP="00152A78">
            <w:pPr>
              <w:jc w:val="center"/>
              <w:rPr>
                <w:rFonts w:ascii="Arial" w:hAnsi="Arial"/>
                <w:sz w:val="22"/>
              </w:rPr>
            </w:pPr>
            <w:r w:rsidRPr="00EE5F0E">
              <w:rPr>
                <w:rFonts w:ascii="Arial" w:hAnsi="Arial"/>
                <w:sz w:val="22"/>
              </w:rPr>
              <w:t>500,000</w:t>
            </w:r>
          </w:p>
        </w:tc>
      </w:tr>
      <w:tr w:rsidR="00152A78" w:rsidRPr="005C6F3E" w14:paraId="3D1FFA75" w14:textId="77777777" w:rsidTr="007878C5">
        <w:trPr>
          <w:trHeight w:val="288"/>
          <w:jc w:val="center"/>
        </w:trPr>
        <w:tc>
          <w:tcPr>
            <w:tcW w:w="3078" w:type="dxa"/>
            <w:vAlign w:val="center"/>
          </w:tcPr>
          <w:p w14:paraId="6CB73966" w14:textId="77777777" w:rsidR="00152A78" w:rsidRPr="00EE5F0E" w:rsidRDefault="00152A78" w:rsidP="00152A78">
            <w:pPr>
              <w:rPr>
                <w:rFonts w:ascii="Arial" w:hAnsi="Arial"/>
                <w:sz w:val="22"/>
              </w:rPr>
            </w:pPr>
            <w:r w:rsidRPr="00EE5F0E">
              <w:rPr>
                <w:rFonts w:ascii="Arial" w:hAnsi="Arial"/>
                <w:sz w:val="22"/>
              </w:rPr>
              <w:t>Penetration Macadam</w:t>
            </w:r>
          </w:p>
        </w:tc>
        <w:tc>
          <w:tcPr>
            <w:tcW w:w="1867" w:type="dxa"/>
            <w:vAlign w:val="center"/>
          </w:tcPr>
          <w:p w14:paraId="4C21DFD6" w14:textId="77777777" w:rsidR="00152A78" w:rsidRPr="00EE5F0E" w:rsidRDefault="00152A78" w:rsidP="00152A78">
            <w:pPr>
              <w:jc w:val="center"/>
              <w:rPr>
                <w:rFonts w:ascii="Arial" w:hAnsi="Arial"/>
                <w:sz w:val="22"/>
              </w:rPr>
            </w:pPr>
            <w:r w:rsidRPr="00EE5F0E">
              <w:rPr>
                <w:rFonts w:ascii="Arial" w:hAnsi="Arial"/>
                <w:sz w:val="22"/>
              </w:rPr>
              <w:t>30,000</w:t>
            </w:r>
          </w:p>
        </w:tc>
        <w:tc>
          <w:tcPr>
            <w:tcW w:w="1985" w:type="dxa"/>
            <w:vAlign w:val="center"/>
          </w:tcPr>
          <w:p w14:paraId="4A94F03B" w14:textId="77777777" w:rsidR="00152A78" w:rsidRPr="00EE5F0E" w:rsidRDefault="00152A78" w:rsidP="00152A78">
            <w:pPr>
              <w:jc w:val="center"/>
              <w:rPr>
                <w:rFonts w:ascii="Arial" w:hAnsi="Arial"/>
                <w:sz w:val="22"/>
              </w:rPr>
            </w:pPr>
            <w:r w:rsidRPr="00EE5F0E">
              <w:rPr>
                <w:rFonts w:ascii="Arial" w:hAnsi="Arial"/>
                <w:sz w:val="22"/>
              </w:rPr>
              <w:t>75,000</w:t>
            </w:r>
          </w:p>
        </w:tc>
        <w:tc>
          <w:tcPr>
            <w:tcW w:w="1705" w:type="dxa"/>
            <w:vAlign w:val="center"/>
          </w:tcPr>
          <w:p w14:paraId="4ED0D8F4" w14:textId="77777777" w:rsidR="00152A78" w:rsidRPr="00EE5F0E" w:rsidRDefault="00152A78" w:rsidP="00152A78">
            <w:pPr>
              <w:jc w:val="center"/>
              <w:rPr>
                <w:rFonts w:ascii="Arial" w:hAnsi="Arial"/>
                <w:sz w:val="22"/>
              </w:rPr>
            </w:pPr>
            <w:r w:rsidRPr="00EE5F0E">
              <w:rPr>
                <w:rFonts w:ascii="Arial" w:hAnsi="Arial"/>
                <w:sz w:val="22"/>
              </w:rPr>
              <w:t>250,000</w:t>
            </w:r>
          </w:p>
        </w:tc>
      </w:tr>
    </w:tbl>
    <w:p w14:paraId="16DB8B77" w14:textId="13BEF0D4" w:rsidR="007C12D4" w:rsidRDefault="00272BE3" w:rsidP="00361D31">
      <w:bookmarkStart w:id="174" w:name="_Material_Properties_–_2"/>
      <w:bookmarkEnd w:id="174"/>
      <w:r>
        <w:rPr>
          <w:rFonts w:ascii="Arial" w:hAnsi="Arial"/>
          <w:sz w:val="22"/>
          <w:vertAlign w:val="superscript"/>
        </w:rPr>
        <w:t>1</w:t>
      </w:r>
      <w:r w:rsidR="00361D31" w:rsidRPr="00361D31">
        <w:rPr>
          <w:rFonts w:ascii="Arial" w:hAnsi="Arial"/>
          <w:sz w:val="22"/>
          <w:vertAlign w:val="superscript"/>
        </w:rPr>
        <w:t xml:space="preserve"> </w:t>
      </w:r>
      <w:r w:rsidR="00361D31">
        <w:rPr>
          <w:rFonts w:ascii="Arial" w:eastAsia="Arial" w:hAnsi="Arial" w:cs="Arial"/>
          <w:sz w:val="16"/>
        </w:rPr>
        <w:t>Temperature dependent</w:t>
      </w:r>
      <w:r>
        <w:rPr>
          <w:rFonts w:ascii="Arial" w:eastAsia="Arial" w:hAnsi="Arial" w:cs="Arial"/>
          <w:sz w:val="16"/>
        </w:rPr>
        <w:t>.</w:t>
      </w:r>
    </w:p>
    <w:p w14:paraId="78CF075B" w14:textId="77777777" w:rsidR="00361D31" w:rsidRPr="00361D31" w:rsidRDefault="00361D31" w:rsidP="002F7593">
      <w:pPr>
        <w:sectPr w:rsidR="00361D31" w:rsidRPr="00361D31" w:rsidSect="00466A64">
          <w:headerReference w:type="default" r:id="rId117"/>
          <w:footerReference w:type="default" r:id="rId118"/>
          <w:pgSz w:w="12240" w:h="15840"/>
          <w:pgMar w:top="1440" w:right="1800" w:bottom="1440" w:left="1800" w:header="720" w:footer="720" w:gutter="0"/>
          <w:pgNumType w:chapStyle="1"/>
          <w:cols w:space="720"/>
        </w:sectPr>
      </w:pPr>
    </w:p>
    <w:p w14:paraId="7F8200E2" w14:textId="766AA387" w:rsidR="00152A78" w:rsidRPr="00941E77" w:rsidRDefault="00152A78" w:rsidP="0049684B">
      <w:pPr>
        <w:pStyle w:val="Heading2"/>
        <w:ind w:hanging="1026"/>
      </w:pPr>
      <w:bookmarkStart w:id="175" w:name="_Material_Properties_–_5"/>
      <w:bookmarkStart w:id="176" w:name="_Toc479160092"/>
      <w:bookmarkStart w:id="177" w:name="_Toc514057981"/>
      <w:bookmarkStart w:id="178" w:name="_Toc194932377"/>
      <w:bookmarkEnd w:id="175"/>
      <w:r w:rsidRPr="00941E77">
        <w:lastRenderedPageBreak/>
        <w:t>Material Properties – Concrete</w:t>
      </w:r>
      <w:bookmarkEnd w:id="176"/>
      <w:bookmarkEnd w:id="177"/>
      <w:bookmarkEnd w:id="178"/>
      <w:r w:rsidRPr="00941E77">
        <w:t xml:space="preserve">  </w:t>
      </w:r>
    </w:p>
    <w:p w14:paraId="3968E832" w14:textId="79BACA3B" w:rsidR="00152A78" w:rsidRDefault="00152A78" w:rsidP="00152A78">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CRCP_steel_reinforcement_1" w:history="1">
        <w:r w:rsidRPr="00A66597">
          <w:rPr>
            <w:rStyle w:val="Hyperlink"/>
            <w:rFonts w:ascii="Arial" w:hAnsi="Arial" w:cs="Arial"/>
            <w:bCs/>
            <w:sz w:val="16"/>
            <w:szCs w:val="16"/>
          </w:rPr>
          <w:t xml:space="preserve">CRCP </w:t>
        </w:r>
        <w:r w:rsidR="00272BE3" w:rsidRPr="00A66597">
          <w:rPr>
            <w:rStyle w:val="Hyperlink"/>
            <w:rFonts w:ascii="Arial" w:hAnsi="Arial" w:cs="Arial"/>
            <w:bCs/>
            <w:sz w:val="16"/>
            <w:szCs w:val="16"/>
          </w:rPr>
          <w:t>Steel Reinforcement Design In</w:t>
        </w:r>
        <w:r w:rsidRPr="00A66597">
          <w:rPr>
            <w:rStyle w:val="Hyperlink"/>
            <w:rFonts w:ascii="Arial" w:hAnsi="Arial" w:cs="Arial"/>
            <w:bCs/>
            <w:sz w:val="16"/>
            <w:szCs w:val="16"/>
          </w:rPr>
          <w:t>puts – AASHTO 1993</w:t>
        </w:r>
      </w:hyperlink>
    </w:p>
    <w:p w14:paraId="08A09704" w14:textId="77777777" w:rsidR="00152A78" w:rsidRPr="00A66597" w:rsidRDefault="00152A78" w:rsidP="00152A78">
      <w:pPr>
        <w:jc w:val="both"/>
        <w:rPr>
          <w:rFonts w:ascii="Arial" w:hAnsi="Arial"/>
          <w:sz w:val="22"/>
        </w:rPr>
      </w:pPr>
    </w:p>
    <w:p w14:paraId="13CE278F" w14:textId="28546BA2" w:rsidR="00152A78" w:rsidRPr="00A66597" w:rsidRDefault="00152A78" w:rsidP="00152A78">
      <w:pPr>
        <w:jc w:val="both"/>
        <w:rPr>
          <w:rFonts w:ascii="Arial" w:hAnsi="Arial"/>
          <w:sz w:val="22"/>
        </w:rPr>
      </w:pPr>
      <w:r w:rsidRPr="00A66597">
        <w:rPr>
          <w:rFonts w:ascii="Arial" w:hAnsi="Arial"/>
          <w:sz w:val="22"/>
        </w:rPr>
        <w:t xml:space="preserve">Material properties are general material characteristics of common </w:t>
      </w:r>
      <w:r w:rsidR="008C7023">
        <w:rPr>
          <w:rFonts w:ascii="Arial" w:hAnsi="Arial"/>
          <w:sz w:val="22"/>
        </w:rPr>
        <w:t>MDOT-SHA</w:t>
      </w:r>
      <w:r w:rsidRPr="00A66597">
        <w:rPr>
          <w:rFonts w:ascii="Arial" w:hAnsi="Arial"/>
          <w:sz w:val="22"/>
        </w:rPr>
        <w:t xml:space="preserve"> pavement materials.  Typical material property values are obtained from laboratory testing and assumed from engineering experience of the materials commonly used by </w:t>
      </w:r>
      <w:r w:rsidR="008C7023">
        <w:rPr>
          <w:rFonts w:ascii="Arial" w:hAnsi="Arial"/>
          <w:sz w:val="22"/>
        </w:rPr>
        <w:t>MDOT-SHA</w:t>
      </w:r>
      <w:r w:rsidRPr="00A66597">
        <w:rPr>
          <w:rFonts w:ascii="Arial" w:hAnsi="Arial"/>
          <w:sz w:val="22"/>
        </w:rPr>
        <w:t xml:space="preserve">.  </w:t>
      </w:r>
    </w:p>
    <w:p w14:paraId="66D047C7" w14:textId="77777777" w:rsidR="00152A78" w:rsidRDefault="00152A78" w:rsidP="002F7593">
      <w:pPr>
        <w:pStyle w:val="Heading3"/>
        <w:tabs>
          <w:tab w:val="left" w:pos="1080"/>
        </w:tabs>
        <w:ind w:hanging="1980"/>
      </w:pPr>
      <w:bookmarkStart w:id="179" w:name="_Recommended_PCC_Thermal"/>
      <w:bookmarkEnd w:id="179"/>
      <w:r>
        <w:t xml:space="preserve">Recommended PCC Thermal and Shrinkage Property Inputs </w:t>
      </w:r>
    </w:p>
    <w:p w14:paraId="5F5E8B49" w14:textId="5D39BD08"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CC." w:history="1">
        <w:r w:rsidRPr="0026333C">
          <w:rPr>
            <w:rStyle w:val="Hyperlink"/>
            <w:rFonts w:ascii="Arial" w:hAnsi="Arial" w:cs="Arial"/>
            <w:bCs/>
            <w:sz w:val="16"/>
            <w:szCs w:val="16"/>
          </w:rPr>
          <w:t>PCC</w:t>
        </w:r>
      </w:hyperlink>
      <w:r>
        <w:rPr>
          <w:rFonts w:ascii="Arial" w:hAnsi="Arial" w:cs="Arial"/>
          <w:bCs/>
          <w:sz w:val="16"/>
          <w:szCs w:val="16"/>
        </w:rPr>
        <w:t xml:space="preserve"> in PMED</w:t>
      </w:r>
    </w:p>
    <w:p w14:paraId="4912623C" w14:textId="77777777" w:rsidR="00152A78" w:rsidRDefault="00152A78" w:rsidP="00152A78">
      <w:pPr>
        <w:jc w:val="both"/>
        <w:rPr>
          <w:rFonts w:ascii="Arial" w:hAnsi="Arial"/>
          <w:sz w:val="22"/>
        </w:rPr>
      </w:pPr>
    </w:p>
    <w:tbl>
      <w:tblPr>
        <w:tblStyle w:val="TableGrid"/>
        <w:tblW w:w="0" w:type="auto"/>
        <w:tblLook w:val="04A0" w:firstRow="1" w:lastRow="0" w:firstColumn="1" w:lastColumn="0" w:noHBand="0" w:noVBand="1"/>
      </w:tblPr>
      <w:tblGrid>
        <w:gridCol w:w="1276"/>
        <w:gridCol w:w="2838"/>
        <w:gridCol w:w="1071"/>
        <w:gridCol w:w="3445"/>
      </w:tblGrid>
      <w:tr w:rsidR="00C14F32" w:rsidRPr="00E676D9" w14:paraId="35DD8551" w14:textId="77777777" w:rsidTr="00C14F32">
        <w:tc>
          <w:tcPr>
            <w:tcW w:w="1276" w:type="dxa"/>
            <w:shd w:val="pct15" w:color="auto" w:fill="auto"/>
            <w:vAlign w:val="center"/>
          </w:tcPr>
          <w:p w14:paraId="5F53BDD2" w14:textId="675C85F9" w:rsidR="00C14F32" w:rsidRPr="00E676D9" w:rsidRDefault="00C14F32" w:rsidP="00152A78">
            <w:pPr>
              <w:jc w:val="both"/>
              <w:rPr>
                <w:rFonts w:ascii="Arial" w:hAnsi="Arial"/>
                <w:b/>
                <w:sz w:val="22"/>
              </w:rPr>
            </w:pPr>
            <w:r>
              <w:rPr>
                <w:rFonts w:ascii="Arial" w:hAnsi="Arial"/>
                <w:b/>
                <w:sz w:val="22"/>
              </w:rPr>
              <w:t>Property Class</w:t>
            </w:r>
          </w:p>
        </w:tc>
        <w:tc>
          <w:tcPr>
            <w:tcW w:w="2838" w:type="dxa"/>
            <w:shd w:val="pct15" w:color="auto" w:fill="auto"/>
            <w:vAlign w:val="center"/>
          </w:tcPr>
          <w:p w14:paraId="614F7528" w14:textId="5B5613A2" w:rsidR="00C14F32" w:rsidRPr="00E676D9" w:rsidRDefault="00C14F32" w:rsidP="00152A78">
            <w:pPr>
              <w:jc w:val="both"/>
              <w:rPr>
                <w:rFonts w:ascii="Arial" w:hAnsi="Arial"/>
                <w:b/>
                <w:sz w:val="22"/>
              </w:rPr>
            </w:pPr>
            <w:r w:rsidRPr="00E676D9">
              <w:rPr>
                <w:rFonts w:ascii="Arial" w:hAnsi="Arial"/>
                <w:b/>
                <w:sz w:val="22"/>
              </w:rPr>
              <w:t>Property</w:t>
            </w:r>
          </w:p>
        </w:tc>
        <w:tc>
          <w:tcPr>
            <w:tcW w:w="1071" w:type="dxa"/>
            <w:shd w:val="pct15" w:color="auto" w:fill="auto"/>
            <w:vAlign w:val="center"/>
          </w:tcPr>
          <w:p w14:paraId="404E65CF" w14:textId="77777777" w:rsidR="00C14F32" w:rsidRPr="00E676D9" w:rsidRDefault="00C14F32" w:rsidP="002F7593">
            <w:pPr>
              <w:jc w:val="center"/>
              <w:rPr>
                <w:rFonts w:ascii="Arial" w:hAnsi="Arial"/>
                <w:b/>
                <w:sz w:val="22"/>
              </w:rPr>
            </w:pPr>
            <w:r w:rsidRPr="00E676D9">
              <w:rPr>
                <w:rFonts w:ascii="Arial" w:hAnsi="Arial"/>
                <w:b/>
                <w:sz w:val="22"/>
              </w:rPr>
              <w:t>Input Level</w:t>
            </w:r>
          </w:p>
        </w:tc>
        <w:tc>
          <w:tcPr>
            <w:tcW w:w="3445" w:type="dxa"/>
            <w:shd w:val="pct15" w:color="auto" w:fill="auto"/>
            <w:vAlign w:val="center"/>
          </w:tcPr>
          <w:p w14:paraId="1AA48DB8" w14:textId="77777777" w:rsidR="00C14F32" w:rsidRPr="00E676D9" w:rsidRDefault="00C14F32" w:rsidP="00152A78">
            <w:pPr>
              <w:jc w:val="both"/>
              <w:rPr>
                <w:rFonts w:ascii="Arial" w:hAnsi="Arial"/>
                <w:b/>
                <w:sz w:val="22"/>
              </w:rPr>
            </w:pPr>
            <w:r w:rsidRPr="00E676D9">
              <w:rPr>
                <w:rFonts w:ascii="Arial" w:hAnsi="Arial"/>
                <w:b/>
                <w:sz w:val="22"/>
              </w:rPr>
              <w:t>Value</w:t>
            </w:r>
          </w:p>
        </w:tc>
      </w:tr>
      <w:tr w:rsidR="000E779A" w:rsidRPr="00E676D9" w14:paraId="609BF46F" w14:textId="77777777" w:rsidTr="00C14F32">
        <w:tc>
          <w:tcPr>
            <w:tcW w:w="1276" w:type="dxa"/>
          </w:tcPr>
          <w:p w14:paraId="0E50341E" w14:textId="5469FCBD" w:rsidR="000E779A" w:rsidRPr="00E676D9" w:rsidRDefault="000E779A" w:rsidP="00152A78">
            <w:pPr>
              <w:rPr>
                <w:rFonts w:ascii="Arial" w:hAnsi="Arial"/>
                <w:sz w:val="22"/>
                <w:szCs w:val="22"/>
              </w:rPr>
            </w:pPr>
            <w:r>
              <w:rPr>
                <w:rFonts w:ascii="Arial" w:hAnsi="Arial"/>
                <w:sz w:val="22"/>
                <w:szCs w:val="22"/>
              </w:rPr>
              <w:t>General</w:t>
            </w:r>
          </w:p>
        </w:tc>
        <w:tc>
          <w:tcPr>
            <w:tcW w:w="2838" w:type="dxa"/>
          </w:tcPr>
          <w:p w14:paraId="35EC2583" w14:textId="77777777" w:rsidR="000E779A" w:rsidRPr="00E676D9" w:rsidRDefault="000E779A" w:rsidP="00152A78">
            <w:pPr>
              <w:rPr>
                <w:rFonts w:ascii="Arial" w:hAnsi="Arial"/>
                <w:sz w:val="22"/>
                <w:szCs w:val="22"/>
              </w:rPr>
            </w:pPr>
            <w:r>
              <w:rPr>
                <w:rFonts w:ascii="Arial" w:hAnsi="Arial"/>
                <w:sz w:val="22"/>
                <w:szCs w:val="22"/>
              </w:rPr>
              <w:t>Total Unit Weight</w:t>
            </w:r>
          </w:p>
        </w:tc>
        <w:tc>
          <w:tcPr>
            <w:tcW w:w="1071" w:type="dxa"/>
          </w:tcPr>
          <w:p w14:paraId="3F67D86C" w14:textId="77777777" w:rsidR="000E779A" w:rsidRPr="00E676D9" w:rsidRDefault="000E779A" w:rsidP="002F7593">
            <w:pPr>
              <w:jc w:val="center"/>
              <w:rPr>
                <w:rFonts w:ascii="Arial" w:hAnsi="Arial"/>
                <w:sz w:val="22"/>
                <w:szCs w:val="22"/>
              </w:rPr>
            </w:pPr>
            <w:r>
              <w:rPr>
                <w:rFonts w:ascii="Arial" w:hAnsi="Arial"/>
                <w:sz w:val="22"/>
                <w:szCs w:val="22"/>
              </w:rPr>
              <w:t>3</w:t>
            </w:r>
          </w:p>
        </w:tc>
        <w:tc>
          <w:tcPr>
            <w:tcW w:w="3445" w:type="dxa"/>
          </w:tcPr>
          <w:p w14:paraId="0DE68C2B" w14:textId="77777777" w:rsidR="000E779A" w:rsidRPr="00E676D9" w:rsidRDefault="000E779A" w:rsidP="00152A78">
            <w:pPr>
              <w:rPr>
                <w:rFonts w:ascii="Arial" w:hAnsi="Arial"/>
                <w:sz w:val="22"/>
                <w:szCs w:val="22"/>
              </w:rPr>
            </w:pPr>
            <w:r>
              <w:rPr>
                <w:rFonts w:ascii="Arial" w:hAnsi="Arial"/>
                <w:sz w:val="22"/>
                <w:szCs w:val="22"/>
              </w:rPr>
              <w:t>150 pcf</w:t>
            </w:r>
          </w:p>
        </w:tc>
      </w:tr>
      <w:tr w:rsidR="000E779A" w:rsidRPr="00E676D9" w14:paraId="2B1329F7" w14:textId="77777777" w:rsidTr="00C14F32">
        <w:tc>
          <w:tcPr>
            <w:tcW w:w="1276" w:type="dxa"/>
          </w:tcPr>
          <w:p w14:paraId="59FD239C" w14:textId="320A0576" w:rsidR="000E779A" w:rsidRPr="00E676D9" w:rsidRDefault="000E779A" w:rsidP="00152A78">
            <w:pPr>
              <w:rPr>
                <w:rFonts w:ascii="Arial" w:hAnsi="Arial"/>
                <w:sz w:val="22"/>
                <w:szCs w:val="22"/>
              </w:rPr>
            </w:pPr>
            <w:r>
              <w:rPr>
                <w:rFonts w:ascii="Arial" w:hAnsi="Arial"/>
                <w:sz w:val="22"/>
                <w:szCs w:val="22"/>
              </w:rPr>
              <w:t>General</w:t>
            </w:r>
          </w:p>
        </w:tc>
        <w:tc>
          <w:tcPr>
            <w:tcW w:w="2838" w:type="dxa"/>
          </w:tcPr>
          <w:p w14:paraId="5F4BF6FB" w14:textId="77777777" w:rsidR="000E779A" w:rsidRPr="00E676D9" w:rsidRDefault="000E779A" w:rsidP="00152A78">
            <w:pPr>
              <w:rPr>
                <w:rFonts w:ascii="Arial" w:hAnsi="Arial"/>
                <w:sz w:val="22"/>
                <w:szCs w:val="22"/>
              </w:rPr>
            </w:pPr>
            <w:r>
              <w:rPr>
                <w:rFonts w:ascii="Arial" w:hAnsi="Arial"/>
                <w:sz w:val="22"/>
                <w:szCs w:val="22"/>
              </w:rPr>
              <w:t>Poisson’s Ratio</w:t>
            </w:r>
          </w:p>
        </w:tc>
        <w:tc>
          <w:tcPr>
            <w:tcW w:w="1071" w:type="dxa"/>
          </w:tcPr>
          <w:p w14:paraId="004ED6D3" w14:textId="77777777" w:rsidR="000E779A" w:rsidRPr="00E676D9" w:rsidRDefault="000E779A" w:rsidP="002F7593">
            <w:pPr>
              <w:jc w:val="center"/>
              <w:rPr>
                <w:rFonts w:ascii="Arial" w:hAnsi="Arial"/>
                <w:sz w:val="22"/>
                <w:szCs w:val="22"/>
              </w:rPr>
            </w:pPr>
            <w:r>
              <w:rPr>
                <w:rFonts w:ascii="Arial" w:hAnsi="Arial"/>
                <w:sz w:val="22"/>
                <w:szCs w:val="22"/>
              </w:rPr>
              <w:t>3</w:t>
            </w:r>
          </w:p>
        </w:tc>
        <w:tc>
          <w:tcPr>
            <w:tcW w:w="3445" w:type="dxa"/>
          </w:tcPr>
          <w:p w14:paraId="6B9415BF" w14:textId="0B15C542" w:rsidR="000E779A" w:rsidRPr="00E676D9" w:rsidRDefault="000E779A" w:rsidP="00152A78">
            <w:pPr>
              <w:rPr>
                <w:rFonts w:ascii="Arial" w:hAnsi="Arial"/>
                <w:sz w:val="22"/>
                <w:szCs w:val="22"/>
              </w:rPr>
            </w:pPr>
            <w:r>
              <w:rPr>
                <w:rFonts w:ascii="Arial" w:hAnsi="Arial"/>
                <w:sz w:val="22"/>
                <w:szCs w:val="22"/>
              </w:rPr>
              <w:t xml:space="preserve">Use 0.35.  See </w:t>
            </w:r>
            <w:hyperlink w:anchor="_Poisson_Ratio_2" w:history="1">
              <w:r w:rsidRPr="00DD165E">
                <w:rPr>
                  <w:rStyle w:val="Hyperlink"/>
                  <w:rFonts w:ascii="Arial" w:hAnsi="Arial"/>
                  <w:sz w:val="22"/>
                  <w:szCs w:val="22"/>
                </w:rPr>
                <w:t>Poisson</w:t>
              </w:r>
              <w:r>
                <w:rPr>
                  <w:rStyle w:val="Hyperlink"/>
                  <w:rFonts w:ascii="Arial" w:hAnsi="Arial"/>
                  <w:sz w:val="22"/>
                  <w:szCs w:val="22"/>
                </w:rPr>
                <w:t>'s</w:t>
              </w:r>
              <w:r w:rsidRPr="00DD165E">
                <w:rPr>
                  <w:rStyle w:val="Hyperlink"/>
                  <w:rFonts w:ascii="Arial" w:hAnsi="Arial"/>
                  <w:sz w:val="22"/>
                  <w:szCs w:val="22"/>
                </w:rPr>
                <w:t xml:space="preserve"> Ratio</w:t>
              </w:r>
            </w:hyperlink>
          </w:p>
        </w:tc>
      </w:tr>
      <w:tr w:rsidR="000E779A" w:rsidRPr="00E676D9" w14:paraId="35E1F524" w14:textId="77777777" w:rsidTr="00C14F32">
        <w:tc>
          <w:tcPr>
            <w:tcW w:w="1276" w:type="dxa"/>
          </w:tcPr>
          <w:p w14:paraId="193DA80C" w14:textId="234C90BB" w:rsidR="000E779A" w:rsidRPr="00E676D9" w:rsidRDefault="000E779A" w:rsidP="00152A78">
            <w:pPr>
              <w:rPr>
                <w:rFonts w:ascii="Arial" w:hAnsi="Arial"/>
                <w:sz w:val="22"/>
                <w:szCs w:val="22"/>
              </w:rPr>
            </w:pPr>
            <w:r>
              <w:rPr>
                <w:rFonts w:ascii="Arial" w:hAnsi="Arial"/>
                <w:sz w:val="22"/>
                <w:szCs w:val="22"/>
              </w:rPr>
              <w:t>Thermal</w:t>
            </w:r>
          </w:p>
        </w:tc>
        <w:tc>
          <w:tcPr>
            <w:tcW w:w="2838" w:type="dxa"/>
          </w:tcPr>
          <w:p w14:paraId="6D649A7D" w14:textId="77777777" w:rsidR="000E779A" w:rsidRPr="00E676D9" w:rsidRDefault="000E779A" w:rsidP="00152A78">
            <w:pPr>
              <w:rPr>
                <w:rFonts w:ascii="Arial" w:hAnsi="Arial"/>
                <w:sz w:val="22"/>
                <w:szCs w:val="22"/>
              </w:rPr>
            </w:pPr>
            <w:r>
              <w:rPr>
                <w:rFonts w:ascii="Arial" w:hAnsi="Arial"/>
                <w:sz w:val="22"/>
                <w:szCs w:val="22"/>
              </w:rPr>
              <w:t>Coefficient of Thermal Expansion</w:t>
            </w:r>
          </w:p>
        </w:tc>
        <w:tc>
          <w:tcPr>
            <w:tcW w:w="1071" w:type="dxa"/>
          </w:tcPr>
          <w:p w14:paraId="4787AE36" w14:textId="77777777" w:rsidR="000E779A" w:rsidRPr="00E676D9" w:rsidRDefault="000E779A" w:rsidP="002F7593">
            <w:pPr>
              <w:jc w:val="center"/>
              <w:rPr>
                <w:rFonts w:ascii="Arial" w:hAnsi="Arial"/>
                <w:sz w:val="22"/>
                <w:szCs w:val="22"/>
              </w:rPr>
            </w:pPr>
            <w:r>
              <w:rPr>
                <w:rFonts w:ascii="Arial" w:hAnsi="Arial"/>
                <w:sz w:val="22"/>
                <w:szCs w:val="22"/>
              </w:rPr>
              <w:t>3</w:t>
            </w:r>
          </w:p>
        </w:tc>
        <w:tc>
          <w:tcPr>
            <w:tcW w:w="3445" w:type="dxa"/>
          </w:tcPr>
          <w:p w14:paraId="3B3330BF" w14:textId="77777777" w:rsidR="000E779A" w:rsidRPr="00C263A6" w:rsidRDefault="000E779A" w:rsidP="00152A78">
            <w:pPr>
              <w:rPr>
                <w:rFonts w:ascii="Arial" w:hAnsi="Arial"/>
                <w:sz w:val="22"/>
                <w:szCs w:val="22"/>
              </w:rPr>
            </w:pPr>
            <w:r>
              <w:rPr>
                <w:rFonts w:ascii="Arial" w:hAnsi="Arial"/>
                <w:sz w:val="22"/>
                <w:szCs w:val="22"/>
              </w:rPr>
              <w:t xml:space="preserve">See </w:t>
            </w:r>
            <w:hyperlink w:anchor="_Coefficient_of_Thermal_1" w:history="1">
              <w:r w:rsidRPr="00C263A6">
                <w:rPr>
                  <w:rStyle w:val="Hyperlink"/>
                  <w:rFonts w:ascii="Arial" w:hAnsi="Arial"/>
                  <w:sz w:val="22"/>
                  <w:szCs w:val="22"/>
                </w:rPr>
                <w:t>Coefficient of Thermal Expansion</w:t>
              </w:r>
            </w:hyperlink>
          </w:p>
        </w:tc>
      </w:tr>
      <w:tr w:rsidR="000E779A" w:rsidRPr="00E676D9" w14:paraId="5DB705D3" w14:textId="77777777" w:rsidTr="00C14F32">
        <w:tc>
          <w:tcPr>
            <w:tcW w:w="1276" w:type="dxa"/>
          </w:tcPr>
          <w:p w14:paraId="3886332E" w14:textId="15390A65" w:rsidR="000E779A" w:rsidRDefault="000E779A" w:rsidP="00152A78">
            <w:pPr>
              <w:rPr>
                <w:rFonts w:ascii="Arial" w:hAnsi="Arial"/>
                <w:sz w:val="22"/>
                <w:szCs w:val="22"/>
              </w:rPr>
            </w:pPr>
            <w:r>
              <w:rPr>
                <w:rFonts w:ascii="Arial" w:hAnsi="Arial"/>
                <w:sz w:val="22"/>
                <w:szCs w:val="22"/>
              </w:rPr>
              <w:t>Thermal</w:t>
            </w:r>
          </w:p>
        </w:tc>
        <w:tc>
          <w:tcPr>
            <w:tcW w:w="2838" w:type="dxa"/>
          </w:tcPr>
          <w:p w14:paraId="0F664208" w14:textId="77777777" w:rsidR="000E779A" w:rsidRPr="00E676D9" w:rsidRDefault="000E779A" w:rsidP="00152A78">
            <w:pPr>
              <w:rPr>
                <w:rFonts w:ascii="Arial" w:hAnsi="Arial"/>
                <w:sz w:val="22"/>
                <w:szCs w:val="22"/>
              </w:rPr>
            </w:pPr>
            <w:r>
              <w:rPr>
                <w:rFonts w:ascii="Arial" w:hAnsi="Arial"/>
                <w:sz w:val="22"/>
                <w:szCs w:val="22"/>
              </w:rPr>
              <w:t>Thermal Conductivity</w:t>
            </w:r>
          </w:p>
        </w:tc>
        <w:tc>
          <w:tcPr>
            <w:tcW w:w="1071" w:type="dxa"/>
          </w:tcPr>
          <w:p w14:paraId="60FFE9F9" w14:textId="77777777" w:rsidR="000E779A" w:rsidRPr="00E676D9" w:rsidRDefault="000E779A" w:rsidP="002F7593">
            <w:pPr>
              <w:jc w:val="center"/>
              <w:rPr>
                <w:rFonts w:ascii="Arial" w:hAnsi="Arial"/>
                <w:sz w:val="22"/>
                <w:szCs w:val="22"/>
              </w:rPr>
            </w:pPr>
            <w:r>
              <w:rPr>
                <w:rFonts w:ascii="Arial" w:hAnsi="Arial"/>
                <w:sz w:val="22"/>
                <w:szCs w:val="22"/>
              </w:rPr>
              <w:t>3</w:t>
            </w:r>
          </w:p>
        </w:tc>
        <w:tc>
          <w:tcPr>
            <w:tcW w:w="3445" w:type="dxa"/>
          </w:tcPr>
          <w:p w14:paraId="54BFD0B8" w14:textId="77777777" w:rsidR="000E779A" w:rsidRPr="00E676D9" w:rsidRDefault="000E779A" w:rsidP="00152A78">
            <w:pPr>
              <w:rPr>
                <w:rFonts w:ascii="Arial" w:hAnsi="Arial"/>
                <w:sz w:val="22"/>
                <w:szCs w:val="22"/>
              </w:rPr>
            </w:pPr>
            <w:r>
              <w:rPr>
                <w:rFonts w:ascii="Arial" w:hAnsi="Arial"/>
                <w:sz w:val="22"/>
                <w:szCs w:val="22"/>
              </w:rPr>
              <w:t>0.67</w:t>
            </w:r>
          </w:p>
        </w:tc>
      </w:tr>
      <w:tr w:rsidR="000E779A" w:rsidRPr="00E676D9" w14:paraId="3002609B" w14:textId="77777777" w:rsidTr="00C14F32">
        <w:tc>
          <w:tcPr>
            <w:tcW w:w="1276" w:type="dxa"/>
          </w:tcPr>
          <w:p w14:paraId="51674778" w14:textId="485072B2" w:rsidR="000E779A" w:rsidRPr="00E676D9" w:rsidRDefault="000E779A" w:rsidP="00152A78">
            <w:pPr>
              <w:rPr>
                <w:rFonts w:ascii="Arial" w:hAnsi="Arial"/>
                <w:sz w:val="22"/>
                <w:szCs w:val="22"/>
              </w:rPr>
            </w:pPr>
            <w:r>
              <w:rPr>
                <w:rFonts w:ascii="Arial" w:hAnsi="Arial"/>
                <w:sz w:val="22"/>
                <w:szCs w:val="22"/>
              </w:rPr>
              <w:t>Thermal</w:t>
            </w:r>
          </w:p>
        </w:tc>
        <w:tc>
          <w:tcPr>
            <w:tcW w:w="2838" w:type="dxa"/>
          </w:tcPr>
          <w:p w14:paraId="022D9BF1" w14:textId="77777777" w:rsidR="000E779A" w:rsidRPr="00E676D9" w:rsidRDefault="000E779A" w:rsidP="00152A78">
            <w:pPr>
              <w:rPr>
                <w:rFonts w:ascii="Arial" w:hAnsi="Arial"/>
                <w:sz w:val="22"/>
                <w:szCs w:val="22"/>
              </w:rPr>
            </w:pPr>
            <w:r>
              <w:rPr>
                <w:rFonts w:ascii="Arial" w:hAnsi="Arial"/>
                <w:sz w:val="22"/>
                <w:szCs w:val="22"/>
              </w:rPr>
              <w:t xml:space="preserve">Heat Capacity </w:t>
            </w:r>
          </w:p>
        </w:tc>
        <w:tc>
          <w:tcPr>
            <w:tcW w:w="1071" w:type="dxa"/>
          </w:tcPr>
          <w:p w14:paraId="2AC41BC2" w14:textId="77777777" w:rsidR="000E779A" w:rsidRPr="00E676D9" w:rsidRDefault="000E779A" w:rsidP="002F7593">
            <w:pPr>
              <w:jc w:val="center"/>
              <w:rPr>
                <w:rFonts w:ascii="Arial" w:hAnsi="Arial"/>
                <w:sz w:val="22"/>
                <w:szCs w:val="22"/>
              </w:rPr>
            </w:pPr>
            <w:r>
              <w:rPr>
                <w:rFonts w:ascii="Arial" w:hAnsi="Arial"/>
                <w:sz w:val="22"/>
                <w:szCs w:val="22"/>
              </w:rPr>
              <w:t>3</w:t>
            </w:r>
          </w:p>
        </w:tc>
        <w:tc>
          <w:tcPr>
            <w:tcW w:w="3445" w:type="dxa"/>
          </w:tcPr>
          <w:p w14:paraId="4069A597" w14:textId="77777777" w:rsidR="000E779A" w:rsidRPr="00E676D9" w:rsidRDefault="000E779A" w:rsidP="00152A78">
            <w:pPr>
              <w:rPr>
                <w:rFonts w:ascii="Arial" w:hAnsi="Arial"/>
                <w:sz w:val="22"/>
                <w:szCs w:val="22"/>
              </w:rPr>
            </w:pPr>
            <w:r>
              <w:rPr>
                <w:rFonts w:ascii="Arial" w:hAnsi="Arial"/>
                <w:sz w:val="22"/>
                <w:szCs w:val="22"/>
              </w:rPr>
              <w:t>0.23</w:t>
            </w:r>
          </w:p>
        </w:tc>
      </w:tr>
    </w:tbl>
    <w:p w14:paraId="6640F079" w14:textId="483D5BFB" w:rsidR="00152A78" w:rsidRDefault="00152A78" w:rsidP="002F7593">
      <w:pPr>
        <w:pStyle w:val="Heading3"/>
        <w:tabs>
          <w:tab w:val="left" w:pos="1080"/>
        </w:tabs>
        <w:ind w:hanging="1980"/>
      </w:pPr>
      <w:bookmarkStart w:id="180" w:name="_Recommended_PCC_Mix"/>
      <w:bookmarkEnd w:id="180"/>
      <w:r>
        <w:t>Recommended PCC Mix Property Inputs</w:t>
      </w:r>
    </w:p>
    <w:p w14:paraId="64564DD0" w14:textId="265C6293"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ix:" w:history="1">
        <w:r w:rsidRPr="00C263A6">
          <w:rPr>
            <w:rStyle w:val="Hyperlink"/>
            <w:rFonts w:ascii="Arial" w:hAnsi="Arial" w:cs="Arial"/>
            <w:bCs/>
            <w:sz w:val="16"/>
            <w:szCs w:val="16"/>
          </w:rPr>
          <w:t>Mix</w:t>
        </w:r>
      </w:hyperlink>
      <w:r>
        <w:rPr>
          <w:rFonts w:ascii="Arial" w:hAnsi="Arial" w:cs="Arial"/>
          <w:bCs/>
          <w:sz w:val="16"/>
          <w:szCs w:val="16"/>
        </w:rPr>
        <w:t xml:space="preserve"> in PMED</w:t>
      </w:r>
    </w:p>
    <w:p w14:paraId="5DF40811" w14:textId="77777777" w:rsidR="00152A78" w:rsidRDefault="00152A78" w:rsidP="00152A78">
      <w:pPr>
        <w:rPr>
          <w:rFonts w:ascii="Arial" w:hAnsi="Arial"/>
        </w:rPr>
      </w:pPr>
    </w:p>
    <w:tbl>
      <w:tblPr>
        <w:tblStyle w:val="TableGrid"/>
        <w:tblW w:w="0" w:type="auto"/>
        <w:tblLook w:val="04A0" w:firstRow="1" w:lastRow="0" w:firstColumn="1" w:lastColumn="0" w:noHBand="0" w:noVBand="1"/>
      </w:tblPr>
      <w:tblGrid>
        <w:gridCol w:w="4099"/>
        <w:gridCol w:w="1073"/>
        <w:gridCol w:w="3458"/>
      </w:tblGrid>
      <w:tr w:rsidR="00152A78" w:rsidRPr="00E676D9" w14:paraId="7F54B820" w14:textId="77777777" w:rsidTr="002F7593">
        <w:tc>
          <w:tcPr>
            <w:tcW w:w="4158" w:type="dxa"/>
            <w:shd w:val="pct15" w:color="auto" w:fill="auto"/>
            <w:vAlign w:val="center"/>
          </w:tcPr>
          <w:p w14:paraId="75E65667" w14:textId="77777777" w:rsidR="00152A78" w:rsidRPr="00E676D9" w:rsidRDefault="00152A78" w:rsidP="00152A78">
            <w:pPr>
              <w:jc w:val="both"/>
              <w:rPr>
                <w:rFonts w:ascii="Arial" w:hAnsi="Arial"/>
                <w:b/>
                <w:sz w:val="22"/>
              </w:rPr>
            </w:pPr>
            <w:r w:rsidRPr="00E676D9">
              <w:rPr>
                <w:rFonts w:ascii="Arial" w:hAnsi="Arial"/>
                <w:b/>
                <w:sz w:val="22"/>
              </w:rPr>
              <w:t>Property</w:t>
            </w:r>
          </w:p>
        </w:tc>
        <w:tc>
          <w:tcPr>
            <w:tcW w:w="1080" w:type="dxa"/>
            <w:shd w:val="pct15" w:color="auto" w:fill="auto"/>
            <w:vAlign w:val="center"/>
          </w:tcPr>
          <w:p w14:paraId="208DB2A5" w14:textId="77777777" w:rsidR="00152A78" w:rsidRPr="00E676D9" w:rsidRDefault="00152A78" w:rsidP="002F7593">
            <w:pPr>
              <w:jc w:val="center"/>
              <w:rPr>
                <w:rFonts w:ascii="Arial" w:hAnsi="Arial"/>
                <w:b/>
                <w:sz w:val="22"/>
              </w:rPr>
            </w:pPr>
            <w:r w:rsidRPr="00E676D9">
              <w:rPr>
                <w:rFonts w:ascii="Arial" w:hAnsi="Arial"/>
                <w:b/>
                <w:sz w:val="22"/>
              </w:rPr>
              <w:t>Input Level</w:t>
            </w:r>
          </w:p>
        </w:tc>
        <w:tc>
          <w:tcPr>
            <w:tcW w:w="3510" w:type="dxa"/>
            <w:shd w:val="pct15" w:color="auto" w:fill="auto"/>
            <w:vAlign w:val="center"/>
          </w:tcPr>
          <w:p w14:paraId="770B15EA" w14:textId="77777777" w:rsidR="00152A78" w:rsidRPr="00E676D9" w:rsidRDefault="00152A78" w:rsidP="00152A78">
            <w:pPr>
              <w:jc w:val="both"/>
              <w:rPr>
                <w:rFonts w:ascii="Arial" w:hAnsi="Arial"/>
                <w:b/>
                <w:sz w:val="22"/>
              </w:rPr>
            </w:pPr>
            <w:r w:rsidRPr="00E676D9">
              <w:rPr>
                <w:rFonts w:ascii="Arial" w:hAnsi="Arial"/>
                <w:b/>
                <w:sz w:val="22"/>
              </w:rPr>
              <w:t>Value</w:t>
            </w:r>
          </w:p>
        </w:tc>
      </w:tr>
      <w:tr w:rsidR="00152A78" w:rsidRPr="00E676D9" w14:paraId="1A71E71B" w14:textId="77777777" w:rsidTr="00152A78">
        <w:tc>
          <w:tcPr>
            <w:tcW w:w="4158" w:type="dxa"/>
          </w:tcPr>
          <w:p w14:paraId="7028A938" w14:textId="77777777" w:rsidR="00152A78" w:rsidRDefault="00152A78" w:rsidP="00152A78">
            <w:pPr>
              <w:rPr>
                <w:rFonts w:ascii="Arial" w:hAnsi="Arial"/>
                <w:sz w:val="22"/>
                <w:szCs w:val="22"/>
              </w:rPr>
            </w:pPr>
            <w:r>
              <w:rPr>
                <w:rFonts w:ascii="Arial" w:hAnsi="Arial"/>
                <w:sz w:val="22"/>
                <w:szCs w:val="22"/>
              </w:rPr>
              <w:t>Cement Type</w:t>
            </w:r>
          </w:p>
        </w:tc>
        <w:tc>
          <w:tcPr>
            <w:tcW w:w="1080" w:type="dxa"/>
          </w:tcPr>
          <w:p w14:paraId="62F0C473" w14:textId="77777777" w:rsidR="00152A78" w:rsidRDefault="00152A78" w:rsidP="002F7593">
            <w:pPr>
              <w:jc w:val="center"/>
              <w:rPr>
                <w:rFonts w:ascii="Arial" w:hAnsi="Arial"/>
                <w:sz w:val="22"/>
                <w:szCs w:val="22"/>
              </w:rPr>
            </w:pPr>
            <w:r>
              <w:rPr>
                <w:rFonts w:ascii="Arial" w:hAnsi="Arial"/>
                <w:sz w:val="22"/>
                <w:szCs w:val="22"/>
              </w:rPr>
              <w:t>1</w:t>
            </w:r>
          </w:p>
        </w:tc>
        <w:tc>
          <w:tcPr>
            <w:tcW w:w="3510" w:type="dxa"/>
          </w:tcPr>
          <w:p w14:paraId="49AD5A66" w14:textId="77777777" w:rsidR="00152A78" w:rsidRDefault="00152A78" w:rsidP="00152A78">
            <w:pPr>
              <w:rPr>
                <w:rFonts w:ascii="Arial" w:hAnsi="Arial"/>
                <w:sz w:val="22"/>
                <w:szCs w:val="22"/>
              </w:rPr>
            </w:pPr>
            <w:r>
              <w:rPr>
                <w:rFonts w:ascii="Arial" w:hAnsi="Arial"/>
                <w:sz w:val="22"/>
                <w:szCs w:val="22"/>
              </w:rPr>
              <w:t>Type I</w:t>
            </w:r>
          </w:p>
        </w:tc>
      </w:tr>
      <w:tr w:rsidR="00152A78" w:rsidRPr="00E676D9" w14:paraId="55B7AF52" w14:textId="77777777" w:rsidTr="00152A78">
        <w:tc>
          <w:tcPr>
            <w:tcW w:w="4158" w:type="dxa"/>
          </w:tcPr>
          <w:p w14:paraId="1EBBA770" w14:textId="77777777" w:rsidR="00152A78" w:rsidRDefault="00152A78" w:rsidP="00152A78">
            <w:pPr>
              <w:rPr>
                <w:rFonts w:ascii="Arial" w:hAnsi="Arial"/>
                <w:sz w:val="22"/>
                <w:szCs w:val="22"/>
              </w:rPr>
            </w:pPr>
            <w:r>
              <w:rPr>
                <w:rFonts w:ascii="Arial" w:hAnsi="Arial"/>
                <w:sz w:val="22"/>
                <w:szCs w:val="22"/>
              </w:rPr>
              <w:t>Cementitious Material Content</w:t>
            </w:r>
          </w:p>
        </w:tc>
        <w:tc>
          <w:tcPr>
            <w:tcW w:w="1080" w:type="dxa"/>
          </w:tcPr>
          <w:p w14:paraId="2013491C" w14:textId="77777777" w:rsidR="00152A78" w:rsidRDefault="00152A78" w:rsidP="002F7593">
            <w:pPr>
              <w:jc w:val="center"/>
              <w:rPr>
                <w:rFonts w:ascii="Arial" w:hAnsi="Arial"/>
                <w:sz w:val="22"/>
                <w:szCs w:val="22"/>
              </w:rPr>
            </w:pPr>
            <w:r>
              <w:rPr>
                <w:rFonts w:ascii="Arial" w:hAnsi="Arial"/>
                <w:sz w:val="22"/>
                <w:szCs w:val="22"/>
              </w:rPr>
              <w:t>1</w:t>
            </w:r>
          </w:p>
        </w:tc>
        <w:tc>
          <w:tcPr>
            <w:tcW w:w="3510" w:type="dxa"/>
          </w:tcPr>
          <w:p w14:paraId="1EE86D59" w14:textId="77777777" w:rsidR="00152A78" w:rsidRDefault="00152A78" w:rsidP="00152A78">
            <w:pPr>
              <w:rPr>
                <w:rFonts w:ascii="Arial" w:hAnsi="Arial"/>
                <w:sz w:val="22"/>
                <w:szCs w:val="22"/>
              </w:rPr>
            </w:pPr>
            <w:r>
              <w:rPr>
                <w:rFonts w:ascii="Arial" w:hAnsi="Arial"/>
                <w:sz w:val="22"/>
                <w:szCs w:val="22"/>
              </w:rPr>
              <w:t>600 lb/cy</w:t>
            </w:r>
          </w:p>
        </w:tc>
      </w:tr>
      <w:tr w:rsidR="00152A78" w:rsidRPr="00E676D9" w14:paraId="7A0E1851" w14:textId="77777777" w:rsidTr="00152A78">
        <w:tc>
          <w:tcPr>
            <w:tcW w:w="4158" w:type="dxa"/>
          </w:tcPr>
          <w:p w14:paraId="02CDBB47" w14:textId="77777777" w:rsidR="00152A78" w:rsidRDefault="00152A78" w:rsidP="00152A78">
            <w:pPr>
              <w:rPr>
                <w:rFonts w:ascii="Arial" w:hAnsi="Arial"/>
                <w:sz w:val="22"/>
                <w:szCs w:val="22"/>
              </w:rPr>
            </w:pPr>
            <w:r>
              <w:rPr>
                <w:rFonts w:ascii="Arial" w:hAnsi="Arial"/>
                <w:sz w:val="22"/>
                <w:szCs w:val="22"/>
              </w:rPr>
              <w:t>Water/Cement Ratio</w:t>
            </w:r>
          </w:p>
        </w:tc>
        <w:tc>
          <w:tcPr>
            <w:tcW w:w="1080" w:type="dxa"/>
          </w:tcPr>
          <w:p w14:paraId="29964825" w14:textId="77777777" w:rsidR="00152A78" w:rsidRDefault="00152A78" w:rsidP="002F7593">
            <w:pPr>
              <w:jc w:val="center"/>
              <w:rPr>
                <w:rFonts w:ascii="Arial" w:hAnsi="Arial"/>
                <w:sz w:val="22"/>
                <w:szCs w:val="22"/>
              </w:rPr>
            </w:pPr>
            <w:r>
              <w:rPr>
                <w:rFonts w:ascii="Arial" w:hAnsi="Arial"/>
                <w:sz w:val="22"/>
                <w:szCs w:val="22"/>
              </w:rPr>
              <w:t>1</w:t>
            </w:r>
          </w:p>
        </w:tc>
        <w:tc>
          <w:tcPr>
            <w:tcW w:w="3510" w:type="dxa"/>
          </w:tcPr>
          <w:p w14:paraId="055A7383" w14:textId="77777777" w:rsidR="00152A78" w:rsidRDefault="00152A78" w:rsidP="00152A78">
            <w:pPr>
              <w:rPr>
                <w:rFonts w:ascii="Arial" w:hAnsi="Arial"/>
                <w:sz w:val="22"/>
                <w:szCs w:val="22"/>
              </w:rPr>
            </w:pPr>
            <w:r>
              <w:rPr>
                <w:rFonts w:ascii="Arial" w:hAnsi="Arial"/>
                <w:sz w:val="22"/>
                <w:szCs w:val="22"/>
              </w:rPr>
              <w:t>0.42</w:t>
            </w:r>
          </w:p>
        </w:tc>
      </w:tr>
      <w:tr w:rsidR="00152A78" w:rsidRPr="00E676D9" w14:paraId="4A59FF20" w14:textId="77777777" w:rsidTr="00152A78">
        <w:tc>
          <w:tcPr>
            <w:tcW w:w="4158" w:type="dxa"/>
          </w:tcPr>
          <w:p w14:paraId="09C7D051" w14:textId="77777777" w:rsidR="00152A78" w:rsidRDefault="00152A78" w:rsidP="00152A78">
            <w:pPr>
              <w:rPr>
                <w:rFonts w:ascii="Arial" w:hAnsi="Arial"/>
                <w:sz w:val="22"/>
                <w:szCs w:val="22"/>
              </w:rPr>
            </w:pPr>
            <w:r>
              <w:rPr>
                <w:rFonts w:ascii="Arial" w:hAnsi="Arial"/>
                <w:sz w:val="22"/>
                <w:szCs w:val="22"/>
              </w:rPr>
              <w:t>Aggregate Type</w:t>
            </w:r>
          </w:p>
        </w:tc>
        <w:tc>
          <w:tcPr>
            <w:tcW w:w="1080" w:type="dxa"/>
          </w:tcPr>
          <w:p w14:paraId="518F74B0" w14:textId="77777777" w:rsidR="00152A78" w:rsidRDefault="00152A78" w:rsidP="002F7593">
            <w:pPr>
              <w:jc w:val="center"/>
              <w:rPr>
                <w:rFonts w:ascii="Arial" w:hAnsi="Arial"/>
                <w:sz w:val="22"/>
                <w:szCs w:val="22"/>
              </w:rPr>
            </w:pPr>
            <w:r>
              <w:rPr>
                <w:rFonts w:ascii="Arial" w:hAnsi="Arial"/>
                <w:sz w:val="22"/>
                <w:szCs w:val="22"/>
              </w:rPr>
              <w:t>1</w:t>
            </w:r>
          </w:p>
        </w:tc>
        <w:tc>
          <w:tcPr>
            <w:tcW w:w="3510" w:type="dxa"/>
          </w:tcPr>
          <w:p w14:paraId="077C65CC" w14:textId="77777777" w:rsidR="00152A78" w:rsidRDefault="00152A78" w:rsidP="00152A78">
            <w:pPr>
              <w:rPr>
                <w:rFonts w:ascii="Arial" w:hAnsi="Arial"/>
                <w:sz w:val="22"/>
                <w:szCs w:val="22"/>
              </w:rPr>
            </w:pPr>
            <w:r>
              <w:rPr>
                <w:rFonts w:ascii="Arial" w:hAnsi="Arial"/>
                <w:sz w:val="22"/>
                <w:szCs w:val="22"/>
              </w:rPr>
              <w:t>Limestone</w:t>
            </w:r>
          </w:p>
        </w:tc>
      </w:tr>
      <w:tr w:rsidR="00152A78" w:rsidRPr="00E676D9" w14:paraId="275FC119" w14:textId="77777777" w:rsidTr="00152A78">
        <w:tc>
          <w:tcPr>
            <w:tcW w:w="4158" w:type="dxa"/>
          </w:tcPr>
          <w:p w14:paraId="799D5B6B" w14:textId="77777777" w:rsidR="00152A78" w:rsidRDefault="00152A78" w:rsidP="00152A78">
            <w:pPr>
              <w:rPr>
                <w:rFonts w:ascii="Arial" w:hAnsi="Arial"/>
                <w:sz w:val="22"/>
                <w:szCs w:val="22"/>
              </w:rPr>
            </w:pPr>
            <w:r>
              <w:rPr>
                <w:rFonts w:ascii="Arial" w:hAnsi="Arial"/>
                <w:sz w:val="22"/>
                <w:szCs w:val="22"/>
              </w:rPr>
              <w:t>PCC Zero Stress Temperature</w:t>
            </w:r>
          </w:p>
        </w:tc>
        <w:tc>
          <w:tcPr>
            <w:tcW w:w="1080" w:type="dxa"/>
          </w:tcPr>
          <w:p w14:paraId="24C90E2F" w14:textId="77777777" w:rsidR="00152A78" w:rsidRDefault="00152A78" w:rsidP="002F7593">
            <w:pPr>
              <w:jc w:val="center"/>
              <w:rPr>
                <w:rFonts w:ascii="Arial" w:hAnsi="Arial"/>
                <w:sz w:val="22"/>
                <w:szCs w:val="22"/>
              </w:rPr>
            </w:pPr>
            <w:r>
              <w:rPr>
                <w:rFonts w:ascii="Arial" w:hAnsi="Arial"/>
                <w:sz w:val="22"/>
                <w:szCs w:val="22"/>
              </w:rPr>
              <w:t>3</w:t>
            </w:r>
          </w:p>
        </w:tc>
        <w:tc>
          <w:tcPr>
            <w:tcW w:w="3510" w:type="dxa"/>
          </w:tcPr>
          <w:p w14:paraId="5031F3B8" w14:textId="77777777" w:rsidR="00152A78" w:rsidRPr="00E676D9" w:rsidRDefault="00152A78" w:rsidP="00152A78">
            <w:pPr>
              <w:rPr>
                <w:rFonts w:ascii="Arial" w:hAnsi="Arial"/>
                <w:sz w:val="22"/>
                <w:szCs w:val="22"/>
              </w:rPr>
            </w:pPr>
            <w:r>
              <w:rPr>
                <w:rFonts w:ascii="Arial" w:hAnsi="Arial"/>
                <w:sz w:val="22"/>
                <w:szCs w:val="22"/>
              </w:rPr>
              <w:t>MEPD Calculated</w:t>
            </w:r>
          </w:p>
        </w:tc>
      </w:tr>
      <w:tr w:rsidR="00152A78" w:rsidRPr="00E676D9" w14:paraId="1E9800B2" w14:textId="77777777" w:rsidTr="00152A78">
        <w:tc>
          <w:tcPr>
            <w:tcW w:w="4158" w:type="dxa"/>
          </w:tcPr>
          <w:p w14:paraId="1F7F9B19" w14:textId="77777777" w:rsidR="00152A78" w:rsidRPr="00E676D9" w:rsidRDefault="00152A78" w:rsidP="00152A78">
            <w:pPr>
              <w:rPr>
                <w:rFonts w:ascii="Arial" w:hAnsi="Arial"/>
                <w:sz w:val="22"/>
                <w:szCs w:val="22"/>
              </w:rPr>
            </w:pPr>
            <w:r>
              <w:rPr>
                <w:rFonts w:ascii="Arial" w:hAnsi="Arial"/>
                <w:sz w:val="22"/>
                <w:szCs w:val="22"/>
              </w:rPr>
              <w:t>Ultimate Shrinkage</w:t>
            </w:r>
          </w:p>
        </w:tc>
        <w:tc>
          <w:tcPr>
            <w:tcW w:w="1080" w:type="dxa"/>
          </w:tcPr>
          <w:p w14:paraId="7D6DDEB4" w14:textId="77777777" w:rsidR="00152A78" w:rsidRPr="00E676D9" w:rsidRDefault="00152A78" w:rsidP="002F7593">
            <w:pPr>
              <w:jc w:val="center"/>
              <w:rPr>
                <w:rFonts w:ascii="Arial" w:hAnsi="Arial"/>
                <w:sz w:val="22"/>
                <w:szCs w:val="22"/>
              </w:rPr>
            </w:pPr>
            <w:r>
              <w:rPr>
                <w:rFonts w:ascii="Arial" w:hAnsi="Arial"/>
                <w:sz w:val="22"/>
                <w:szCs w:val="22"/>
              </w:rPr>
              <w:t>2</w:t>
            </w:r>
          </w:p>
        </w:tc>
        <w:tc>
          <w:tcPr>
            <w:tcW w:w="3510" w:type="dxa"/>
          </w:tcPr>
          <w:p w14:paraId="7B058A4F" w14:textId="77777777" w:rsidR="00152A78" w:rsidRPr="00E676D9" w:rsidRDefault="00152A78" w:rsidP="00152A78">
            <w:pPr>
              <w:rPr>
                <w:rFonts w:ascii="Arial" w:hAnsi="Arial"/>
                <w:sz w:val="22"/>
                <w:szCs w:val="22"/>
              </w:rPr>
            </w:pPr>
            <w:r>
              <w:rPr>
                <w:rFonts w:ascii="Arial" w:hAnsi="Arial"/>
                <w:sz w:val="22"/>
                <w:szCs w:val="22"/>
              </w:rPr>
              <w:t>MEPD Calculated</w:t>
            </w:r>
          </w:p>
        </w:tc>
      </w:tr>
      <w:tr w:rsidR="00152A78" w:rsidRPr="00E676D9" w14:paraId="2C8F42DE" w14:textId="77777777" w:rsidTr="00152A78">
        <w:tc>
          <w:tcPr>
            <w:tcW w:w="4158" w:type="dxa"/>
          </w:tcPr>
          <w:p w14:paraId="485F7A37" w14:textId="77777777" w:rsidR="00152A78" w:rsidRPr="00E676D9" w:rsidRDefault="00152A78" w:rsidP="00152A78">
            <w:pPr>
              <w:rPr>
                <w:rFonts w:ascii="Arial" w:hAnsi="Arial"/>
                <w:sz w:val="22"/>
                <w:szCs w:val="22"/>
              </w:rPr>
            </w:pPr>
            <w:r>
              <w:rPr>
                <w:rFonts w:ascii="Arial" w:hAnsi="Arial"/>
                <w:sz w:val="22"/>
                <w:szCs w:val="22"/>
              </w:rPr>
              <w:t>Reversible Shrinkage</w:t>
            </w:r>
          </w:p>
        </w:tc>
        <w:tc>
          <w:tcPr>
            <w:tcW w:w="1080" w:type="dxa"/>
          </w:tcPr>
          <w:p w14:paraId="11E069BF" w14:textId="77777777" w:rsidR="00152A78" w:rsidRPr="00E676D9" w:rsidRDefault="00152A78" w:rsidP="002F7593">
            <w:pPr>
              <w:jc w:val="center"/>
              <w:rPr>
                <w:rFonts w:ascii="Arial" w:hAnsi="Arial"/>
                <w:sz w:val="22"/>
                <w:szCs w:val="22"/>
              </w:rPr>
            </w:pPr>
            <w:r>
              <w:rPr>
                <w:rFonts w:ascii="Arial" w:hAnsi="Arial"/>
                <w:sz w:val="22"/>
                <w:szCs w:val="22"/>
              </w:rPr>
              <w:t>3</w:t>
            </w:r>
          </w:p>
        </w:tc>
        <w:tc>
          <w:tcPr>
            <w:tcW w:w="3510" w:type="dxa"/>
          </w:tcPr>
          <w:p w14:paraId="69458F17" w14:textId="77777777" w:rsidR="00152A78" w:rsidRPr="00E676D9" w:rsidRDefault="00152A78" w:rsidP="00152A78">
            <w:pPr>
              <w:rPr>
                <w:rFonts w:ascii="Arial" w:hAnsi="Arial"/>
                <w:sz w:val="22"/>
                <w:szCs w:val="22"/>
              </w:rPr>
            </w:pPr>
            <w:r>
              <w:rPr>
                <w:rFonts w:ascii="Arial" w:hAnsi="Arial"/>
                <w:sz w:val="22"/>
                <w:szCs w:val="22"/>
              </w:rPr>
              <w:t>50%</w:t>
            </w:r>
          </w:p>
        </w:tc>
      </w:tr>
      <w:tr w:rsidR="00152A78" w:rsidRPr="00E676D9" w14:paraId="17BD3D9A" w14:textId="77777777" w:rsidTr="00152A78">
        <w:tc>
          <w:tcPr>
            <w:tcW w:w="4158" w:type="dxa"/>
          </w:tcPr>
          <w:p w14:paraId="0F050C81" w14:textId="77777777" w:rsidR="00152A78" w:rsidRPr="00E676D9" w:rsidRDefault="00152A78" w:rsidP="00152A78">
            <w:pPr>
              <w:rPr>
                <w:rFonts w:ascii="Arial" w:hAnsi="Arial"/>
                <w:sz w:val="22"/>
                <w:szCs w:val="22"/>
              </w:rPr>
            </w:pPr>
            <w:r>
              <w:rPr>
                <w:rFonts w:ascii="Arial" w:hAnsi="Arial"/>
                <w:sz w:val="22"/>
                <w:szCs w:val="22"/>
              </w:rPr>
              <w:t>Time to Develop 50% Shrinkage</w:t>
            </w:r>
          </w:p>
        </w:tc>
        <w:tc>
          <w:tcPr>
            <w:tcW w:w="1080" w:type="dxa"/>
          </w:tcPr>
          <w:p w14:paraId="4FBD59C6" w14:textId="77777777" w:rsidR="00152A78" w:rsidRPr="00E676D9" w:rsidRDefault="00152A78" w:rsidP="002F7593">
            <w:pPr>
              <w:jc w:val="center"/>
              <w:rPr>
                <w:rFonts w:ascii="Arial" w:hAnsi="Arial"/>
                <w:sz w:val="22"/>
                <w:szCs w:val="22"/>
              </w:rPr>
            </w:pPr>
            <w:r>
              <w:rPr>
                <w:rFonts w:ascii="Arial" w:hAnsi="Arial"/>
                <w:sz w:val="22"/>
                <w:szCs w:val="22"/>
              </w:rPr>
              <w:t>3</w:t>
            </w:r>
          </w:p>
        </w:tc>
        <w:tc>
          <w:tcPr>
            <w:tcW w:w="3510" w:type="dxa"/>
          </w:tcPr>
          <w:p w14:paraId="2E29E183" w14:textId="77777777" w:rsidR="00152A78" w:rsidRPr="00E676D9" w:rsidRDefault="00152A78" w:rsidP="00152A78">
            <w:pPr>
              <w:rPr>
                <w:rFonts w:ascii="Arial" w:hAnsi="Arial"/>
                <w:sz w:val="22"/>
                <w:szCs w:val="22"/>
              </w:rPr>
            </w:pPr>
            <w:r>
              <w:rPr>
                <w:rFonts w:ascii="Arial" w:hAnsi="Arial"/>
                <w:sz w:val="22"/>
                <w:szCs w:val="22"/>
              </w:rPr>
              <w:t>35 days</w:t>
            </w:r>
          </w:p>
        </w:tc>
      </w:tr>
      <w:tr w:rsidR="00152A78" w:rsidRPr="00E676D9" w14:paraId="019DAEF8" w14:textId="77777777" w:rsidTr="00152A78">
        <w:tc>
          <w:tcPr>
            <w:tcW w:w="4158" w:type="dxa"/>
          </w:tcPr>
          <w:p w14:paraId="51F0FCB5" w14:textId="77777777" w:rsidR="00152A78" w:rsidRPr="00E676D9" w:rsidRDefault="00152A78" w:rsidP="00152A78">
            <w:pPr>
              <w:rPr>
                <w:rFonts w:ascii="Arial" w:hAnsi="Arial"/>
                <w:sz w:val="22"/>
                <w:szCs w:val="22"/>
              </w:rPr>
            </w:pPr>
            <w:r>
              <w:rPr>
                <w:rFonts w:ascii="Arial" w:hAnsi="Arial"/>
                <w:sz w:val="22"/>
                <w:szCs w:val="22"/>
              </w:rPr>
              <w:t>Curing Method</w:t>
            </w:r>
          </w:p>
        </w:tc>
        <w:tc>
          <w:tcPr>
            <w:tcW w:w="1080" w:type="dxa"/>
          </w:tcPr>
          <w:p w14:paraId="251B9BB3" w14:textId="77777777" w:rsidR="00152A78" w:rsidRPr="00E676D9" w:rsidRDefault="00152A78" w:rsidP="002F7593">
            <w:pPr>
              <w:jc w:val="center"/>
              <w:rPr>
                <w:rFonts w:ascii="Arial" w:hAnsi="Arial"/>
                <w:sz w:val="22"/>
                <w:szCs w:val="22"/>
              </w:rPr>
            </w:pPr>
            <w:r>
              <w:rPr>
                <w:rFonts w:ascii="Arial" w:hAnsi="Arial"/>
                <w:sz w:val="22"/>
                <w:szCs w:val="22"/>
              </w:rPr>
              <w:t>1</w:t>
            </w:r>
          </w:p>
        </w:tc>
        <w:tc>
          <w:tcPr>
            <w:tcW w:w="3510" w:type="dxa"/>
          </w:tcPr>
          <w:p w14:paraId="2F30E3BE" w14:textId="77777777" w:rsidR="00152A78" w:rsidRPr="00E676D9" w:rsidRDefault="00152A78" w:rsidP="00152A78">
            <w:pPr>
              <w:rPr>
                <w:rFonts w:ascii="Arial" w:hAnsi="Arial"/>
                <w:sz w:val="22"/>
                <w:szCs w:val="22"/>
              </w:rPr>
            </w:pPr>
            <w:r>
              <w:rPr>
                <w:rFonts w:ascii="Arial" w:hAnsi="Arial"/>
                <w:sz w:val="22"/>
                <w:szCs w:val="22"/>
              </w:rPr>
              <w:t>Curing Compound</w:t>
            </w:r>
          </w:p>
        </w:tc>
      </w:tr>
    </w:tbl>
    <w:p w14:paraId="194E0363" w14:textId="77777777" w:rsidR="00152A78" w:rsidRPr="0041217B" w:rsidRDefault="00152A78" w:rsidP="002F7593">
      <w:pPr>
        <w:pStyle w:val="Heading3"/>
        <w:tabs>
          <w:tab w:val="left" w:pos="1080"/>
        </w:tabs>
        <w:ind w:hanging="1980"/>
      </w:pPr>
      <w:bookmarkStart w:id="181" w:name="_Strength_and_Stiffness"/>
      <w:bookmarkEnd w:id="181"/>
      <w:r w:rsidRPr="0041217B">
        <w:t>Strength</w:t>
      </w:r>
      <w:r>
        <w:t xml:space="preserve"> and Stiffness Properties </w:t>
      </w:r>
    </w:p>
    <w:p w14:paraId="60E4B5A5" w14:textId="107EE236" w:rsidR="00152A78" w:rsidRDefault="00152A78" w:rsidP="00152A78">
      <w:pPr>
        <w:rPr>
          <w:rFonts w:ascii="Arial" w:hAnsi="Arial" w:cs="Arial"/>
          <w:bCs/>
          <w:sz w:val="16"/>
          <w:szCs w:val="16"/>
        </w:rPr>
      </w:pPr>
      <w:r w:rsidRPr="0041217B">
        <w:rPr>
          <w:rFonts w:ascii="Arial" w:eastAsia="Arial" w:hAnsi="Arial" w:cs="Arial"/>
          <w:sz w:val="16"/>
        </w:rPr>
        <w:t>Click to go</w:t>
      </w:r>
      <w:r w:rsidRPr="0041217B">
        <w:rPr>
          <w:rFonts w:ascii="Arial" w:eastAsia="Arial" w:hAnsi="Arial" w:cs="Arial"/>
          <w:sz w:val="16"/>
          <w:szCs w:val="16"/>
        </w:rPr>
        <w:t xml:space="preserve"> to</w:t>
      </w:r>
      <w:r w:rsidRPr="0041217B">
        <w:rPr>
          <w:rFonts w:ascii="Arial" w:hAnsi="Arial" w:cs="Arial"/>
          <w:bCs/>
          <w:sz w:val="16"/>
          <w:szCs w:val="16"/>
        </w:rPr>
        <w:t xml:space="preserve"> </w:t>
      </w:r>
      <w:hyperlink w:anchor="_Strength:" w:history="1">
        <w:r w:rsidRPr="0041217B">
          <w:rPr>
            <w:rStyle w:val="Hyperlink"/>
            <w:rFonts w:ascii="Arial" w:hAnsi="Arial" w:cs="Arial"/>
            <w:bCs/>
            <w:sz w:val="16"/>
            <w:szCs w:val="16"/>
          </w:rPr>
          <w:t>Strength</w:t>
        </w:r>
      </w:hyperlink>
      <w:r w:rsidRPr="0041217B">
        <w:rPr>
          <w:rFonts w:ascii="Arial" w:hAnsi="Arial" w:cs="Arial"/>
          <w:bCs/>
          <w:sz w:val="16"/>
          <w:szCs w:val="16"/>
        </w:rPr>
        <w:t xml:space="preserve"> in PCC PMED analysis</w:t>
      </w:r>
    </w:p>
    <w:p w14:paraId="411967A0" w14:textId="77777777" w:rsidR="00152A78" w:rsidRDefault="00152A78" w:rsidP="00152A78">
      <w:pPr>
        <w:rPr>
          <w:rFonts w:ascii="Arial" w:hAnsi="Arial" w:cs="Arial"/>
          <w:bCs/>
          <w:sz w:val="16"/>
          <w:szCs w:val="16"/>
        </w:rPr>
      </w:pPr>
      <w:r w:rsidRPr="0041217B">
        <w:rPr>
          <w:rFonts w:ascii="Arial" w:eastAsia="Arial" w:hAnsi="Arial" w:cs="Arial"/>
          <w:sz w:val="16"/>
        </w:rPr>
        <w:t>Click to go</w:t>
      </w:r>
      <w:r w:rsidRPr="0041217B">
        <w:rPr>
          <w:rFonts w:ascii="Arial" w:eastAsia="Arial" w:hAnsi="Arial" w:cs="Arial"/>
          <w:sz w:val="16"/>
          <w:szCs w:val="16"/>
        </w:rPr>
        <w:t xml:space="preserve"> to</w:t>
      </w:r>
      <w:r w:rsidRPr="0041217B">
        <w:rPr>
          <w:rFonts w:ascii="Arial" w:hAnsi="Arial" w:cs="Arial"/>
          <w:bCs/>
          <w:sz w:val="16"/>
          <w:szCs w:val="16"/>
        </w:rPr>
        <w:t xml:space="preserve"> </w:t>
      </w:r>
      <w:hyperlink w:anchor="_Design_Inputs" w:history="1">
        <w:r w:rsidRPr="00407D40">
          <w:rPr>
            <w:rStyle w:val="Hyperlink"/>
            <w:rFonts w:ascii="Arial" w:hAnsi="Arial" w:cs="Arial"/>
            <w:bCs/>
            <w:sz w:val="16"/>
            <w:szCs w:val="16"/>
          </w:rPr>
          <w:t>Design Inputs</w:t>
        </w:r>
      </w:hyperlink>
      <w:r>
        <w:rPr>
          <w:rFonts w:ascii="Arial" w:hAnsi="Arial" w:cs="Arial"/>
          <w:bCs/>
          <w:sz w:val="16"/>
          <w:szCs w:val="16"/>
        </w:rPr>
        <w:t xml:space="preserve"> </w:t>
      </w:r>
      <w:r w:rsidRPr="0041217B">
        <w:rPr>
          <w:rFonts w:ascii="Arial" w:hAnsi="Arial" w:cs="Arial"/>
          <w:bCs/>
          <w:sz w:val="16"/>
          <w:szCs w:val="16"/>
        </w:rPr>
        <w:t xml:space="preserve">in </w:t>
      </w:r>
      <w:r>
        <w:rPr>
          <w:rFonts w:ascii="Arial" w:hAnsi="Arial" w:cs="Arial"/>
          <w:bCs/>
          <w:sz w:val="16"/>
          <w:szCs w:val="16"/>
        </w:rPr>
        <w:t>AASHTO 1993 Design</w:t>
      </w:r>
    </w:p>
    <w:p w14:paraId="06A93DD8" w14:textId="6EB8DA4D" w:rsidR="00152A78" w:rsidRDefault="00152A78" w:rsidP="00152A78">
      <w:r w:rsidRPr="00B8666C">
        <w:rPr>
          <w:rFonts w:ascii="Arial" w:eastAsia="Arial" w:hAnsi="Arial" w:cs="Arial"/>
          <w:sz w:val="16"/>
        </w:rPr>
        <w:t>Click to go</w:t>
      </w:r>
      <w:r w:rsidRPr="00B8666C">
        <w:rPr>
          <w:rFonts w:ascii="Arial" w:eastAsia="Arial" w:hAnsi="Arial" w:cs="Arial"/>
          <w:sz w:val="16"/>
          <w:szCs w:val="16"/>
        </w:rPr>
        <w:t xml:space="preserve"> to</w:t>
      </w:r>
      <w:r w:rsidRPr="00B8666C">
        <w:rPr>
          <w:rFonts w:ascii="Arial" w:hAnsi="Arial" w:cs="Arial"/>
          <w:bCs/>
          <w:sz w:val="16"/>
          <w:szCs w:val="16"/>
        </w:rPr>
        <w:t xml:space="preserve"> </w:t>
      </w:r>
      <w:hyperlink w:anchor="_CRCP_steel_reinforcement_1" w:history="1">
        <w:r w:rsidRPr="00B8666C">
          <w:rPr>
            <w:rStyle w:val="Hyperlink"/>
            <w:rFonts w:ascii="Arial" w:hAnsi="Arial" w:cs="Arial"/>
            <w:bCs/>
            <w:sz w:val="16"/>
            <w:szCs w:val="16"/>
          </w:rPr>
          <w:t xml:space="preserve">CRCP </w:t>
        </w:r>
        <w:r w:rsidR="00272BE3" w:rsidRPr="00B8666C">
          <w:rPr>
            <w:rStyle w:val="Hyperlink"/>
            <w:rFonts w:ascii="Arial" w:hAnsi="Arial" w:cs="Arial"/>
            <w:bCs/>
            <w:sz w:val="16"/>
            <w:szCs w:val="16"/>
          </w:rPr>
          <w:t>Steel Reinforcement Design Inp</w:t>
        </w:r>
        <w:r w:rsidRPr="00B8666C">
          <w:rPr>
            <w:rStyle w:val="Hyperlink"/>
            <w:rFonts w:ascii="Arial" w:hAnsi="Arial" w:cs="Arial"/>
            <w:bCs/>
            <w:sz w:val="16"/>
            <w:szCs w:val="16"/>
          </w:rPr>
          <w:t>uts – AASHTO 1993</w:t>
        </w:r>
      </w:hyperlink>
    </w:p>
    <w:p w14:paraId="25B63D58" w14:textId="77777777" w:rsidR="00E96760" w:rsidRPr="008F604D" w:rsidRDefault="00E96760" w:rsidP="00E96760">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Pr>
          <w:rFonts w:ascii="Arial" w:eastAsia="Arial" w:hAnsi="Arial" w:cs="Arial"/>
          <w:sz w:val="16"/>
          <w:szCs w:val="16"/>
        </w:rPr>
        <w:t xml:space="preserve"> </w:t>
      </w:r>
      <w:hyperlink w:anchor="_Concrete_Overlay_Design_1" w:history="1">
        <w:r w:rsidRPr="00E96760">
          <w:rPr>
            <w:rStyle w:val="Hyperlink"/>
            <w:rFonts w:ascii="Arial" w:eastAsia="Arial" w:hAnsi="Arial" w:cs="Arial"/>
            <w:sz w:val="16"/>
            <w:szCs w:val="16"/>
          </w:rPr>
          <w:t>Concrete Overlay Design</w:t>
        </w:r>
      </w:hyperlink>
    </w:p>
    <w:p w14:paraId="5B5C2372" w14:textId="77777777" w:rsidR="00152A78" w:rsidRDefault="00152A78" w:rsidP="00152A78"/>
    <w:tbl>
      <w:tblPr>
        <w:tblStyle w:val="TableGrid"/>
        <w:tblW w:w="0" w:type="auto"/>
        <w:tblLook w:val="04A0" w:firstRow="1" w:lastRow="0" w:firstColumn="1" w:lastColumn="0" w:noHBand="0" w:noVBand="1"/>
      </w:tblPr>
      <w:tblGrid>
        <w:gridCol w:w="4099"/>
        <w:gridCol w:w="1073"/>
        <w:gridCol w:w="3458"/>
      </w:tblGrid>
      <w:tr w:rsidR="00152A78" w:rsidRPr="00E676D9" w14:paraId="299E9C0D" w14:textId="77777777" w:rsidTr="002F7593">
        <w:tc>
          <w:tcPr>
            <w:tcW w:w="4158" w:type="dxa"/>
            <w:shd w:val="pct15" w:color="auto" w:fill="auto"/>
            <w:vAlign w:val="center"/>
          </w:tcPr>
          <w:p w14:paraId="78C8BB61" w14:textId="77777777" w:rsidR="00152A78" w:rsidRPr="00E676D9" w:rsidRDefault="00152A78" w:rsidP="00152A78">
            <w:pPr>
              <w:jc w:val="both"/>
              <w:rPr>
                <w:rFonts w:ascii="Arial" w:hAnsi="Arial"/>
                <w:b/>
                <w:sz w:val="22"/>
              </w:rPr>
            </w:pPr>
            <w:r w:rsidRPr="00E676D9">
              <w:rPr>
                <w:rFonts w:ascii="Arial" w:hAnsi="Arial"/>
                <w:b/>
                <w:sz w:val="22"/>
              </w:rPr>
              <w:t>Property</w:t>
            </w:r>
          </w:p>
        </w:tc>
        <w:tc>
          <w:tcPr>
            <w:tcW w:w="1080" w:type="dxa"/>
            <w:shd w:val="pct15" w:color="auto" w:fill="auto"/>
            <w:vAlign w:val="center"/>
          </w:tcPr>
          <w:p w14:paraId="47C978D1" w14:textId="77777777" w:rsidR="00152A78" w:rsidRPr="00E676D9" w:rsidRDefault="00152A78" w:rsidP="002F7593">
            <w:pPr>
              <w:jc w:val="center"/>
              <w:rPr>
                <w:rFonts w:ascii="Arial" w:hAnsi="Arial"/>
                <w:b/>
                <w:sz w:val="22"/>
              </w:rPr>
            </w:pPr>
            <w:r w:rsidRPr="00E676D9">
              <w:rPr>
                <w:rFonts w:ascii="Arial" w:hAnsi="Arial"/>
                <w:b/>
                <w:sz w:val="22"/>
              </w:rPr>
              <w:t>Input Level</w:t>
            </w:r>
          </w:p>
        </w:tc>
        <w:tc>
          <w:tcPr>
            <w:tcW w:w="3510" w:type="dxa"/>
            <w:shd w:val="pct15" w:color="auto" w:fill="auto"/>
            <w:vAlign w:val="center"/>
          </w:tcPr>
          <w:p w14:paraId="172CB814" w14:textId="77777777" w:rsidR="00152A78" w:rsidRPr="00E676D9" w:rsidRDefault="00152A78" w:rsidP="00152A78">
            <w:pPr>
              <w:jc w:val="both"/>
              <w:rPr>
                <w:rFonts w:ascii="Arial" w:hAnsi="Arial"/>
                <w:b/>
                <w:sz w:val="22"/>
              </w:rPr>
            </w:pPr>
            <w:r w:rsidRPr="00E676D9">
              <w:rPr>
                <w:rFonts w:ascii="Arial" w:hAnsi="Arial"/>
                <w:b/>
                <w:sz w:val="22"/>
              </w:rPr>
              <w:t>Value</w:t>
            </w:r>
          </w:p>
        </w:tc>
      </w:tr>
      <w:tr w:rsidR="00152A78" w:rsidRPr="00E676D9" w14:paraId="66785C0D" w14:textId="77777777" w:rsidTr="00152A78">
        <w:tc>
          <w:tcPr>
            <w:tcW w:w="4158" w:type="dxa"/>
          </w:tcPr>
          <w:p w14:paraId="44D56ED2" w14:textId="77777777" w:rsidR="00152A78" w:rsidRDefault="00152A78" w:rsidP="00152A78">
            <w:pPr>
              <w:rPr>
                <w:rFonts w:ascii="Arial" w:hAnsi="Arial"/>
                <w:sz w:val="22"/>
                <w:szCs w:val="22"/>
              </w:rPr>
            </w:pPr>
            <w:r>
              <w:rPr>
                <w:rFonts w:ascii="Arial" w:hAnsi="Arial"/>
                <w:sz w:val="22"/>
                <w:szCs w:val="22"/>
              </w:rPr>
              <w:t>28-day PCC Modulus of Rupture</w:t>
            </w:r>
          </w:p>
        </w:tc>
        <w:tc>
          <w:tcPr>
            <w:tcW w:w="1080" w:type="dxa"/>
          </w:tcPr>
          <w:p w14:paraId="4B094ECC" w14:textId="77777777" w:rsidR="00152A78" w:rsidRDefault="00152A78" w:rsidP="002F7593">
            <w:pPr>
              <w:jc w:val="center"/>
              <w:rPr>
                <w:rFonts w:ascii="Arial" w:hAnsi="Arial"/>
                <w:sz w:val="22"/>
                <w:szCs w:val="22"/>
              </w:rPr>
            </w:pPr>
            <w:r>
              <w:rPr>
                <w:rFonts w:ascii="Arial" w:hAnsi="Arial"/>
                <w:sz w:val="22"/>
                <w:szCs w:val="22"/>
              </w:rPr>
              <w:t>3</w:t>
            </w:r>
          </w:p>
        </w:tc>
        <w:tc>
          <w:tcPr>
            <w:tcW w:w="3510" w:type="dxa"/>
          </w:tcPr>
          <w:p w14:paraId="3F20C027" w14:textId="77777777" w:rsidR="00152A78" w:rsidRDefault="00152A78" w:rsidP="00152A78">
            <w:pPr>
              <w:rPr>
                <w:rFonts w:ascii="Arial" w:hAnsi="Arial"/>
                <w:sz w:val="22"/>
                <w:szCs w:val="22"/>
              </w:rPr>
            </w:pPr>
            <w:r>
              <w:rPr>
                <w:rFonts w:ascii="Arial" w:hAnsi="Arial"/>
                <w:sz w:val="22"/>
                <w:szCs w:val="22"/>
              </w:rPr>
              <w:t>685 psi</w:t>
            </w:r>
          </w:p>
        </w:tc>
      </w:tr>
      <w:tr w:rsidR="00152A78" w:rsidRPr="00E676D9" w14:paraId="19B1B138" w14:textId="77777777" w:rsidTr="00152A78">
        <w:tc>
          <w:tcPr>
            <w:tcW w:w="4158" w:type="dxa"/>
          </w:tcPr>
          <w:p w14:paraId="32704E4B" w14:textId="77777777" w:rsidR="00152A78" w:rsidRDefault="00152A78" w:rsidP="00152A78">
            <w:pPr>
              <w:rPr>
                <w:rFonts w:ascii="Arial" w:hAnsi="Arial"/>
                <w:sz w:val="22"/>
                <w:szCs w:val="22"/>
              </w:rPr>
            </w:pPr>
            <w:r>
              <w:rPr>
                <w:rFonts w:ascii="Arial" w:hAnsi="Arial"/>
                <w:sz w:val="22"/>
                <w:szCs w:val="22"/>
              </w:rPr>
              <w:t>28-day PCC Elastic Modulus</w:t>
            </w:r>
          </w:p>
        </w:tc>
        <w:tc>
          <w:tcPr>
            <w:tcW w:w="1080" w:type="dxa"/>
          </w:tcPr>
          <w:p w14:paraId="1978587C" w14:textId="77777777" w:rsidR="00152A78" w:rsidRDefault="00152A78" w:rsidP="002F7593">
            <w:pPr>
              <w:jc w:val="center"/>
              <w:rPr>
                <w:rFonts w:ascii="Arial" w:hAnsi="Arial"/>
                <w:sz w:val="22"/>
                <w:szCs w:val="22"/>
              </w:rPr>
            </w:pPr>
            <w:r>
              <w:rPr>
                <w:rFonts w:ascii="Arial" w:hAnsi="Arial"/>
                <w:sz w:val="22"/>
                <w:szCs w:val="22"/>
              </w:rPr>
              <w:t>3</w:t>
            </w:r>
          </w:p>
        </w:tc>
        <w:tc>
          <w:tcPr>
            <w:tcW w:w="3510" w:type="dxa"/>
          </w:tcPr>
          <w:p w14:paraId="38E73A3B" w14:textId="77777777" w:rsidR="00152A78" w:rsidRDefault="00152A78" w:rsidP="00152A78">
            <w:pPr>
              <w:rPr>
                <w:rFonts w:ascii="Arial" w:hAnsi="Arial"/>
                <w:sz w:val="22"/>
                <w:szCs w:val="22"/>
              </w:rPr>
            </w:pPr>
            <w:r>
              <w:rPr>
                <w:rFonts w:ascii="Arial" w:hAnsi="Arial"/>
                <w:sz w:val="22"/>
                <w:szCs w:val="22"/>
              </w:rPr>
              <w:t>4,371,000</w:t>
            </w:r>
          </w:p>
        </w:tc>
      </w:tr>
      <w:tr w:rsidR="00152A78" w:rsidRPr="00E676D9" w14:paraId="7E5B24FD" w14:textId="77777777" w:rsidTr="00152A78">
        <w:tc>
          <w:tcPr>
            <w:tcW w:w="4158" w:type="dxa"/>
          </w:tcPr>
          <w:p w14:paraId="50E86545" w14:textId="77777777" w:rsidR="00152A78" w:rsidRDefault="00152A78" w:rsidP="00152A78">
            <w:pPr>
              <w:rPr>
                <w:rFonts w:ascii="Arial" w:hAnsi="Arial"/>
                <w:sz w:val="22"/>
                <w:szCs w:val="22"/>
              </w:rPr>
            </w:pPr>
            <w:r>
              <w:rPr>
                <w:rFonts w:ascii="Arial" w:hAnsi="Arial"/>
                <w:sz w:val="22"/>
                <w:szCs w:val="22"/>
              </w:rPr>
              <w:t>28-day PCC Compressive Strength</w:t>
            </w:r>
          </w:p>
        </w:tc>
        <w:tc>
          <w:tcPr>
            <w:tcW w:w="1080" w:type="dxa"/>
          </w:tcPr>
          <w:p w14:paraId="7E81DD2E" w14:textId="77777777" w:rsidR="00152A78" w:rsidRDefault="00152A78" w:rsidP="002F7593">
            <w:pPr>
              <w:jc w:val="center"/>
              <w:rPr>
                <w:rFonts w:ascii="Arial" w:hAnsi="Arial"/>
                <w:sz w:val="22"/>
                <w:szCs w:val="22"/>
              </w:rPr>
            </w:pPr>
            <w:r>
              <w:rPr>
                <w:rFonts w:ascii="Arial" w:hAnsi="Arial"/>
                <w:sz w:val="22"/>
                <w:szCs w:val="22"/>
              </w:rPr>
              <w:t>2</w:t>
            </w:r>
          </w:p>
        </w:tc>
        <w:tc>
          <w:tcPr>
            <w:tcW w:w="3510" w:type="dxa"/>
          </w:tcPr>
          <w:p w14:paraId="570F3B19" w14:textId="77777777" w:rsidR="00152A78" w:rsidRDefault="00152A78" w:rsidP="00152A78">
            <w:pPr>
              <w:rPr>
                <w:rFonts w:ascii="Arial" w:hAnsi="Arial"/>
                <w:sz w:val="22"/>
                <w:szCs w:val="22"/>
              </w:rPr>
            </w:pPr>
            <w:r>
              <w:rPr>
                <w:rFonts w:ascii="Arial" w:hAnsi="Arial"/>
                <w:sz w:val="22"/>
                <w:szCs w:val="22"/>
              </w:rPr>
              <w:t>Get from cores of existing slab</w:t>
            </w:r>
          </w:p>
        </w:tc>
      </w:tr>
      <w:tr w:rsidR="00152A78" w:rsidRPr="00E676D9" w14:paraId="64A8F952" w14:textId="77777777" w:rsidTr="00152A78">
        <w:tc>
          <w:tcPr>
            <w:tcW w:w="4158" w:type="dxa"/>
          </w:tcPr>
          <w:p w14:paraId="09A7083B" w14:textId="77777777" w:rsidR="00152A78" w:rsidRDefault="00152A78" w:rsidP="00152A78">
            <w:pPr>
              <w:rPr>
                <w:rFonts w:ascii="Arial" w:hAnsi="Arial"/>
                <w:sz w:val="22"/>
                <w:szCs w:val="22"/>
              </w:rPr>
            </w:pPr>
            <w:r>
              <w:rPr>
                <w:rFonts w:ascii="Arial" w:hAnsi="Arial"/>
                <w:sz w:val="22"/>
                <w:szCs w:val="22"/>
              </w:rPr>
              <w:t>28-day PCC Indirect Tensile Strength</w:t>
            </w:r>
          </w:p>
        </w:tc>
        <w:tc>
          <w:tcPr>
            <w:tcW w:w="1080" w:type="dxa"/>
          </w:tcPr>
          <w:p w14:paraId="67F37EE5" w14:textId="77777777" w:rsidR="00152A78" w:rsidRDefault="00152A78" w:rsidP="002F7593">
            <w:pPr>
              <w:jc w:val="center"/>
              <w:rPr>
                <w:rFonts w:ascii="Arial" w:hAnsi="Arial"/>
                <w:sz w:val="22"/>
                <w:szCs w:val="22"/>
              </w:rPr>
            </w:pPr>
            <w:r>
              <w:rPr>
                <w:rFonts w:ascii="Arial" w:hAnsi="Arial"/>
                <w:sz w:val="22"/>
                <w:szCs w:val="22"/>
              </w:rPr>
              <w:t>NA</w:t>
            </w:r>
          </w:p>
        </w:tc>
        <w:tc>
          <w:tcPr>
            <w:tcW w:w="3510" w:type="dxa"/>
          </w:tcPr>
          <w:p w14:paraId="035811A1" w14:textId="77777777" w:rsidR="00152A78" w:rsidRDefault="00152A78" w:rsidP="00152A78">
            <w:pPr>
              <w:rPr>
                <w:rFonts w:ascii="Arial" w:hAnsi="Arial"/>
                <w:sz w:val="22"/>
                <w:szCs w:val="22"/>
              </w:rPr>
            </w:pPr>
            <w:r>
              <w:rPr>
                <w:rFonts w:ascii="Arial" w:hAnsi="Arial"/>
                <w:sz w:val="22"/>
                <w:szCs w:val="22"/>
              </w:rPr>
              <w:t>590</w:t>
            </w:r>
          </w:p>
        </w:tc>
      </w:tr>
    </w:tbl>
    <w:p w14:paraId="4171A298" w14:textId="77777777" w:rsidR="00152A78" w:rsidRPr="0041217B" w:rsidRDefault="00152A78" w:rsidP="00152A78">
      <w:pPr>
        <w:jc w:val="both"/>
        <w:rPr>
          <w:rFonts w:ascii="Arial" w:hAnsi="Arial"/>
          <w:sz w:val="18"/>
        </w:rPr>
      </w:pPr>
      <w:r w:rsidRPr="0041217B">
        <w:rPr>
          <w:rFonts w:ascii="Arial" w:hAnsi="Arial"/>
          <w:sz w:val="18"/>
        </w:rPr>
        <w:t xml:space="preserve">Elastic Modulus (psi) = 57000 * (Compressive Strength (psi)) </w:t>
      </w:r>
      <w:r w:rsidRPr="0041217B">
        <w:rPr>
          <w:rFonts w:ascii="Arial" w:hAnsi="Arial"/>
          <w:sz w:val="18"/>
          <w:vertAlign w:val="superscript"/>
        </w:rPr>
        <w:t>^0.5</w:t>
      </w:r>
    </w:p>
    <w:p w14:paraId="3F7778F6" w14:textId="77777777" w:rsidR="00152A78" w:rsidRDefault="00152A78" w:rsidP="00152A78">
      <w:pPr>
        <w:jc w:val="both"/>
        <w:rPr>
          <w:rFonts w:ascii="Arial" w:hAnsi="Arial"/>
          <w:sz w:val="18"/>
          <w:szCs w:val="18"/>
          <w:vertAlign w:val="superscript"/>
        </w:rPr>
      </w:pPr>
      <w:r w:rsidRPr="00457BED">
        <w:rPr>
          <w:rFonts w:ascii="Arial" w:hAnsi="Arial"/>
          <w:sz w:val="18"/>
          <w:szCs w:val="18"/>
        </w:rPr>
        <w:t>Compressive Strength = (Modulus of Rupture/9.5)</w:t>
      </w:r>
      <w:r w:rsidRPr="00457BED">
        <w:rPr>
          <w:rFonts w:ascii="Arial" w:hAnsi="Arial"/>
          <w:sz w:val="18"/>
          <w:szCs w:val="18"/>
          <w:vertAlign w:val="superscript"/>
        </w:rPr>
        <w:t>^2</w:t>
      </w:r>
    </w:p>
    <w:p w14:paraId="656843BD" w14:textId="77777777" w:rsidR="00067D41" w:rsidRDefault="00067D41" w:rsidP="00152A78">
      <w:pPr>
        <w:jc w:val="both"/>
        <w:rPr>
          <w:rFonts w:ascii="Arial" w:hAnsi="Arial"/>
          <w:sz w:val="18"/>
          <w:szCs w:val="18"/>
          <w:vertAlign w:val="superscript"/>
        </w:rPr>
      </w:pPr>
    </w:p>
    <w:p w14:paraId="6BFBA9B6" w14:textId="449BAE03" w:rsidR="00152A78" w:rsidRPr="00941E77" w:rsidRDefault="00152A78" w:rsidP="002F7593">
      <w:pPr>
        <w:pStyle w:val="Heading3"/>
        <w:tabs>
          <w:tab w:val="left" w:pos="1080"/>
        </w:tabs>
        <w:ind w:hanging="1980"/>
      </w:pPr>
      <w:bookmarkStart w:id="182" w:name="_Poisson_Ratio_2"/>
      <w:bookmarkEnd w:id="182"/>
      <w:r w:rsidRPr="00941E77">
        <w:lastRenderedPageBreak/>
        <w:t>Poisson</w:t>
      </w:r>
      <w:r w:rsidR="00361350">
        <w:t>'s</w:t>
      </w:r>
      <w:r w:rsidRPr="00941E77">
        <w:t xml:space="preserve"> Ratio</w:t>
      </w:r>
    </w:p>
    <w:p w14:paraId="30AA9538" w14:textId="236F949D"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CC." w:history="1">
        <w:r w:rsidRPr="0026333C">
          <w:rPr>
            <w:rStyle w:val="Hyperlink"/>
            <w:rFonts w:ascii="Arial" w:hAnsi="Arial" w:cs="Arial"/>
            <w:bCs/>
            <w:sz w:val="16"/>
            <w:szCs w:val="16"/>
          </w:rPr>
          <w:t>PCC</w:t>
        </w:r>
      </w:hyperlink>
      <w:r>
        <w:rPr>
          <w:rFonts w:ascii="Arial" w:hAnsi="Arial" w:cs="Arial"/>
          <w:bCs/>
          <w:sz w:val="16"/>
          <w:szCs w:val="16"/>
        </w:rPr>
        <w:t xml:space="preserve"> in PMED.</w:t>
      </w:r>
    </w:p>
    <w:p w14:paraId="1B2B409D" w14:textId="77777777" w:rsidR="00152A78" w:rsidRPr="00941E77" w:rsidRDefault="00152A78" w:rsidP="00152A7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926"/>
        <w:gridCol w:w="1926"/>
        <w:gridCol w:w="1926"/>
      </w:tblGrid>
      <w:tr w:rsidR="00152A78" w:rsidRPr="00941E77" w14:paraId="1C60F5B1" w14:textId="77777777" w:rsidTr="00152A78">
        <w:trPr>
          <w:tblHeader/>
        </w:trPr>
        <w:tc>
          <w:tcPr>
            <w:tcW w:w="3078" w:type="dxa"/>
            <w:shd w:val="pct12" w:color="auto" w:fill="FFFFFF"/>
          </w:tcPr>
          <w:p w14:paraId="655A9482" w14:textId="77777777" w:rsidR="00152A78" w:rsidRPr="00941E77" w:rsidRDefault="00152A78" w:rsidP="00152A78">
            <w:pPr>
              <w:jc w:val="center"/>
              <w:rPr>
                <w:rFonts w:ascii="Arial" w:hAnsi="Arial"/>
                <w:b/>
                <w:sz w:val="22"/>
              </w:rPr>
            </w:pPr>
            <w:r w:rsidRPr="00941E77">
              <w:rPr>
                <w:rFonts w:ascii="Arial" w:hAnsi="Arial"/>
                <w:b/>
                <w:sz w:val="22"/>
              </w:rPr>
              <w:t>Material</w:t>
            </w:r>
          </w:p>
        </w:tc>
        <w:tc>
          <w:tcPr>
            <w:tcW w:w="1926" w:type="dxa"/>
            <w:shd w:val="pct12" w:color="auto" w:fill="FFFFFF"/>
          </w:tcPr>
          <w:p w14:paraId="5F003862" w14:textId="77777777" w:rsidR="00152A78" w:rsidRPr="00941E77" w:rsidRDefault="00152A78" w:rsidP="00152A78">
            <w:pPr>
              <w:jc w:val="center"/>
              <w:rPr>
                <w:rFonts w:ascii="Arial" w:hAnsi="Arial"/>
                <w:b/>
                <w:sz w:val="22"/>
              </w:rPr>
            </w:pPr>
            <w:r w:rsidRPr="00941E77">
              <w:rPr>
                <w:rFonts w:ascii="Arial" w:hAnsi="Arial"/>
                <w:b/>
                <w:sz w:val="22"/>
              </w:rPr>
              <w:t>Minimum Value</w:t>
            </w:r>
          </w:p>
        </w:tc>
        <w:tc>
          <w:tcPr>
            <w:tcW w:w="1926" w:type="dxa"/>
            <w:shd w:val="pct12" w:color="auto" w:fill="FFFFFF"/>
          </w:tcPr>
          <w:p w14:paraId="267FFCCB" w14:textId="77777777" w:rsidR="00152A78" w:rsidRPr="00941E77" w:rsidRDefault="00152A78" w:rsidP="00152A78">
            <w:pPr>
              <w:jc w:val="center"/>
              <w:rPr>
                <w:rFonts w:ascii="Arial" w:hAnsi="Arial"/>
                <w:b/>
                <w:sz w:val="22"/>
              </w:rPr>
            </w:pPr>
            <w:r w:rsidRPr="00941E77">
              <w:rPr>
                <w:rFonts w:ascii="Arial" w:hAnsi="Arial"/>
                <w:b/>
                <w:sz w:val="22"/>
              </w:rPr>
              <w:t>Typical Value</w:t>
            </w:r>
          </w:p>
        </w:tc>
        <w:tc>
          <w:tcPr>
            <w:tcW w:w="1926" w:type="dxa"/>
            <w:shd w:val="pct12" w:color="auto" w:fill="FFFFFF"/>
          </w:tcPr>
          <w:p w14:paraId="1711AE86" w14:textId="77777777" w:rsidR="00152A78" w:rsidRPr="00941E77" w:rsidRDefault="00152A78" w:rsidP="00152A78">
            <w:pPr>
              <w:jc w:val="center"/>
              <w:rPr>
                <w:rFonts w:ascii="Arial" w:hAnsi="Arial"/>
                <w:b/>
                <w:sz w:val="22"/>
              </w:rPr>
            </w:pPr>
            <w:r w:rsidRPr="00941E77">
              <w:rPr>
                <w:rFonts w:ascii="Arial" w:hAnsi="Arial"/>
                <w:b/>
                <w:sz w:val="22"/>
              </w:rPr>
              <w:t>Maximum Value</w:t>
            </w:r>
          </w:p>
        </w:tc>
      </w:tr>
      <w:tr w:rsidR="00152A78" w:rsidRPr="00941E77" w14:paraId="4FDBF77A" w14:textId="77777777" w:rsidTr="00152A78">
        <w:tc>
          <w:tcPr>
            <w:tcW w:w="3078" w:type="dxa"/>
          </w:tcPr>
          <w:p w14:paraId="4EBE44D1" w14:textId="77777777" w:rsidR="00152A78" w:rsidRPr="00941E77" w:rsidRDefault="00152A78" w:rsidP="00152A78">
            <w:pPr>
              <w:rPr>
                <w:rFonts w:ascii="Arial" w:hAnsi="Arial"/>
                <w:sz w:val="22"/>
              </w:rPr>
            </w:pPr>
            <w:r w:rsidRPr="00941E77">
              <w:rPr>
                <w:rFonts w:ascii="Arial" w:hAnsi="Arial"/>
                <w:sz w:val="22"/>
              </w:rPr>
              <w:t>Portland Cement Concrete</w:t>
            </w:r>
          </w:p>
        </w:tc>
        <w:tc>
          <w:tcPr>
            <w:tcW w:w="1926" w:type="dxa"/>
            <w:vAlign w:val="center"/>
          </w:tcPr>
          <w:p w14:paraId="7462E4A2" w14:textId="77777777" w:rsidR="00152A78" w:rsidRPr="00941E77" w:rsidRDefault="00152A78" w:rsidP="00152A78">
            <w:pPr>
              <w:jc w:val="center"/>
              <w:rPr>
                <w:rFonts w:ascii="Arial" w:hAnsi="Arial"/>
                <w:sz w:val="22"/>
              </w:rPr>
            </w:pPr>
            <w:r w:rsidRPr="00941E77">
              <w:rPr>
                <w:rFonts w:ascii="Arial" w:hAnsi="Arial"/>
                <w:sz w:val="22"/>
              </w:rPr>
              <w:t>0.15</w:t>
            </w:r>
          </w:p>
        </w:tc>
        <w:tc>
          <w:tcPr>
            <w:tcW w:w="1926" w:type="dxa"/>
            <w:vAlign w:val="center"/>
          </w:tcPr>
          <w:p w14:paraId="10EA0B79" w14:textId="77777777" w:rsidR="00152A78" w:rsidRPr="00941E77" w:rsidRDefault="00152A78" w:rsidP="00152A78">
            <w:pPr>
              <w:jc w:val="center"/>
              <w:rPr>
                <w:rFonts w:ascii="Arial" w:hAnsi="Arial"/>
                <w:sz w:val="22"/>
              </w:rPr>
            </w:pPr>
            <w:r w:rsidRPr="00941E77">
              <w:rPr>
                <w:rFonts w:ascii="Arial" w:hAnsi="Arial"/>
                <w:sz w:val="22"/>
              </w:rPr>
              <w:t>0.</w:t>
            </w:r>
            <w:r>
              <w:rPr>
                <w:rFonts w:ascii="Arial" w:hAnsi="Arial"/>
                <w:sz w:val="22"/>
              </w:rPr>
              <w:t>20</w:t>
            </w:r>
          </w:p>
        </w:tc>
        <w:tc>
          <w:tcPr>
            <w:tcW w:w="1926" w:type="dxa"/>
            <w:vAlign w:val="center"/>
          </w:tcPr>
          <w:p w14:paraId="7DC6D4BB" w14:textId="77777777" w:rsidR="00152A78" w:rsidRPr="00941E77" w:rsidRDefault="00152A78" w:rsidP="00152A78">
            <w:pPr>
              <w:jc w:val="center"/>
              <w:rPr>
                <w:rFonts w:ascii="Arial" w:hAnsi="Arial"/>
                <w:sz w:val="22"/>
              </w:rPr>
            </w:pPr>
            <w:r w:rsidRPr="00941E77">
              <w:rPr>
                <w:rFonts w:ascii="Arial" w:hAnsi="Arial"/>
                <w:sz w:val="22"/>
              </w:rPr>
              <w:t>0.20</w:t>
            </w:r>
          </w:p>
        </w:tc>
      </w:tr>
      <w:tr w:rsidR="00152A78" w:rsidRPr="00941E77" w14:paraId="4C1A8663" w14:textId="77777777" w:rsidTr="00152A78">
        <w:tc>
          <w:tcPr>
            <w:tcW w:w="3078" w:type="dxa"/>
          </w:tcPr>
          <w:p w14:paraId="44B1F2BD" w14:textId="24F1B387" w:rsidR="00152A78" w:rsidRPr="00941E77" w:rsidRDefault="00C53D1A" w:rsidP="00152A78">
            <w:pPr>
              <w:rPr>
                <w:rFonts w:ascii="Arial" w:hAnsi="Arial"/>
                <w:sz w:val="22"/>
              </w:rPr>
            </w:pPr>
            <w:r>
              <w:rPr>
                <w:rFonts w:ascii="Arial" w:hAnsi="Arial"/>
                <w:sz w:val="22"/>
              </w:rPr>
              <w:t>Cement Treated Base</w:t>
            </w:r>
          </w:p>
        </w:tc>
        <w:tc>
          <w:tcPr>
            <w:tcW w:w="1926" w:type="dxa"/>
            <w:vAlign w:val="center"/>
          </w:tcPr>
          <w:p w14:paraId="79BA1A51" w14:textId="77777777" w:rsidR="00152A78" w:rsidRPr="00941E77" w:rsidRDefault="00152A78" w:rsidP="00152A78">
            <w:pPr>
              <w:jc w:val="center"/>
              <w:rPr>
                <w:rFonts w:ascii="Arial" w:hAnsi="Arial"/>
                <w:sz w:val="22"/>
              </w:rPr>
            </w:pPr>
            <w:r w:rsidRPr="00941E77">
              <w:rPr>
                <w:rFonts w:ascii="Arial" w:hAnsi="Arial"/>
                <w:sz w:val="22"/>
              </w:rPr>
              <w:t>0.20</w:t>
            </w:r>
          </w:p>
        </w:tc>
        <w:tc>
          <w:tcPr>
            <w:tcW w:w="1926" w:type="dxa"/>
            <w:vAlign w:val="center"/>
          </w:tcPr>
          <w:p w14:paraId="73909793" w14:textId="77777777" w:rsidR="00152A78" w:rsidRPr="00941E77" w:rsidRDefault="00152A78" w:rsidP="00152A78">
            <w:pPr>
              <w:jc w:val="center"/>
              <w:rPr>
                <w:rFonts w:ascii="Arial" w:hAnsi="Arial"/>
                <w:sz w:val="22"/>
              </w:rPr>
            </w:pPr>
            <w:r w:rsidRPr="00941E77">
              <w:rPr>
                <w:rFonts w:ascii="Arial" w:hAnsi="Arial"/>
                <w:sz w:val="22"/>
              </w:rPr>
              <w:t>0.30</w:t>
            </w:r>
          </w:p>
        </w:tc>
        <w:tc>
          <w:tcPr>
            <w:tcW w:w="1926" w:type="dxa"/>
            <w:vAlign w:val="center"/>
          </w:tcPr>
          <w:p w14:paraId="0D13CFE0" w14:textId="77777777" w:rsidR="00152A78" w:rsidRPr="00941E77" w:rsidRDefault="00152A78" w:rsidP="00152A78">
            <w:pPr>
              <w:jc w:val="center"/>
              <w:rPr>
                <w:rFonts w:ascii="Arial" w:hAnsi="Arial"/>
                <w:sz w:val="22"/>
              </w:rPr>
            </w:pPr>
            <w:r w:rsidRPr="00941E77">
              <w:rPr>
                <w:rFonts w:ascii="Arial" w:hAnsi="Arial"/>
                <w:sz w:val="22"/>
              </w:rPr>
              <w:t>0.40</w:t>
            </w:r>
          </w:p>
        </w:tc>
      </w:tr>
    </w:tbl>
    <w:p w14:paraId="30A25EC7" w14:textId="569E33C8" w:rsidR="00152A78" w:rsidRPr="0041217B" w:rsidRDefault="00152A78" w:rsidP="002F7593">
      <w:pPr>
        <w:pStyle w:val="Heading3"/>
        <w:tabs>
          <w:tab w:val="left" w:pos="1080"/>
        </w:tabs>
        <w:ind w:hanging="1980"/>
      </w:pPr>
      <w:bookmarkStart w:id="183" w:name="_Ranges_for_Compressive"/>
      <w:bookmarkStart w:id="184" w:name="_Base/Slab_Friction_Coefficient"/>
      <w:bookmarkEnd w:id="183"/>
      <w:bookmarkEnd w:id="184"/>
      <w:r>
        <w:t>Base/Slab Friction Coefficient</w:t>
      </w:r>
      <w:r w:rsidRPr="0041217B">
        <w:t xml:space="preserve"> </w:t>
      </w:r>
    </w:p>
    <w:p w14:paraId="601AD7D3" w14:textId="77777777" w:rsidR="00152A78" w:rsidRDefault="00152A78" w:rsidP="00152A78">
      <w:pPr>
        <w:rPr>
          <w:rFonts w:ascii="Arial" w:hAnsi="Arial" w:cs="Arial"/>
          <w:bCs/>
          <w:sz w:val="16"/>
          <w:szCs w:val="16"/>
        </w:rPr>
      </w:pPr>
      <w:r w:rsidRPr="0041217B">
        <w:rPr>
          <w:rFonts w:ascii="Arial" w:eastAsia="Arial" w:hAnsi="Arial" w:cs="Arial"/>
          <w:sz w:val="16"/>
        </w:rPr>
        <w:t>Click to go</w:t>
      </w:r>
      <w:r w:rsidRPr="0041217B">
        <w:rPr>
          <w:rFonts w:ascii="Arial" w:eastAsia="Arial" w:hAnsi="Arial" w:cs="Arial"/>
          <w:sz w:val="16"/>
          <w:szCs w:val="16"/>
        </w:rPr>
        <w:t xml:space="preserve"> to</w:t>
      </w:r>
      <w:r w:rsidRPr="0041217B">
        <w:rPr>
          <w:rFonts w:ascii="Arial" w:hAnsi="Arial" w:cs="Arial"/>
          <w:bCs/>
          <w:sz w:val="16"/>
          <w:szCs w:val="16"/>
        </w:rPr>
        <w:t xml:space="preserve"> </w:t>
      </w:r>
      <w:hyperlink w:anchor="_CRCP_Layer_Properties" w:history="1">
        <w:r w:rsidRPr="00965B0F">
          <w:rPr>
            <w:rStyle w:val="Hyperlink"/>
            <w:rFonts w:ascii="Arial" w:hAnsi="Arial" w:cs="Arial"/>
            <w:bCs/>
            <w:sz w:val="16"/>
            <w:szCs w:val="16"/>
          </w:rPr>
          <w:t>CRCP Layer Properties</w:t>
        </w:r>
      </w:hyperlink>
      <w:r>
        <w:rPr>
          <w:rFonts w:ascii="Arial" w:hAnsi="Arial" w:cs="Arial"/>
          <w:bCs/>
          <w:sz w:val="16"/>
          <w:szCs w:val="16"/>
        </w:rPr>
        <w:t xml:space="preserve"> </w:t>
      </w:r>
      <w:r w:rsidRPr="0041217B">
        <w:rPr>
          <w:rFonts w:ascii="Arial" w:hAnsi="Arial" w:cs="Arial"/>
          <w:bCs/>
          <w:sz w:val="16"/>
          <w:szCs w:val="16"/>
        </w:rPr>
        <w:t>in PCC PMED analysis</w:t>
      </w:r>
    </w:p>
    <w:p w14:paraId="00D6AA33" w14:textId="0AA5179E" w:rsidR="00152A78" w:rsidRDefault="00152A78" w:rsidP="00152A78">
      <w:pPr>
        <w:rPr>
          <w:rFonts w:ascii="Arial" w:eastAsia="Arial" w:hAnsi="Arial" w:cs="Arial"/>
          <w:sz w:val="16"/>
        </w:rPr>
      </w:pPr>
      <w:r>
        <w:rPr>
          <w:rFonts w:ascii="Arial" w:eastAsia="Arial" w:hAnsi="Arial" w:cs="Arial"/>
          <w:sz w:val="16"/>
        </w:rPr>
        <w:t xml:space="preserve">Click to go to </w:t>
      </w:r>
      <w:hyperlink w:anchor="_CRCP_Layer_Properties_1" w:history="1">
        <w:r w:rsidRPr="006F0D07">
          <w:rPr>
            <w:rStyle w:val="Hyperlink"/>
            <w:rFonts w:ascii="Arial" w:eastAsia="Arial" w:hAnsi="Arial" w:cs="Arial"/>
            <w:sz w:val="16"/>
          </w:rPr>
          <w:t>CRCP Layer Properties</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464C1342" w14:textId="77777777" w:rsidR="00152A78" w:rsidRPr="0041217B" w:rsidRDefault="00152A78" w:rsidP="00152A78"/>
    <w:tbl>
      <w:tblPr>
        <w:tblW w:w="8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926"/>
        <w:gridCol w:w="1926"/>
        <w:gridCol w:w="1926"/>
      </w:tblGrid>
      <w:tr w:rsidR="00F442FF" w:rsidRPr="0041217B" w14:paraId="7DB11F95" w14:textId="77777777" w:rsidTr="00BB33CE">
        <w:trPr>
          <w:trHeight w:val="769"/>
          <w:tblHeader/>
        </w:trPr>
        <w:tc>
          <w:tcPr>
            <w:tcW w:w="3078" w:type="dxa"/>
            <w:shd w:val="pct12" w:color="auto" w:fill="FFFFFF"/>
            <w:vAlign w:val="center"/>
          </w:tcPr>
          <w:p w14:paraId="6F8BB5AC" w14:textId="7A87ADEF" w:rsidR="00F442FF" w:rsidRPr="00361350" w:rsidRDefault="00F442FF" w:rsidP="00F442FF">
            <w:pPr>
              <w:jc w:val="center"/>
              <w:rPr>
                <w:rFonts w:ascii="Arial" w:hAnsi="Arial"/>
                <w:b/>
                <w:sz w:val="22"/>
              </w:rPr>
            </w:pPr>
            <w:r>
              <w:rPr>
                <w:rFonts w:ascii="Arial" w:hAnsi="Arial"/>
                <w:b/>
                <w:sz w:val="22"/>
              </w:rPr>
              <w:t>Sub-base</w:t>
            </w:r>
            <w:r w:rsidRPr="00361350">
              <w:rPr>
                <w:rFonts w:ascii="Arial" w:hAnsi="Arial"/>
                <w:b/>
                <w:sz w:val="22"/>
              </w:rPr>
              <w:t>/Base Type</w:t>
            </w:r>
          </w:p>
        </w:tc>
        <w:tc>
          <w:tcPr>
            <w:tcW w:w="1926" w:type="dxa"/>
            <w:shd w:val="pct12" w:color="auto" w:fill="FFFFFF"/>
            <w:vAlign w:val="center"/>
          </w:tcPr>
          <w:p w14:paraId="0BCC87DB" w14:textId="77777777" w:rsidR="00F442FF" w:rsidRPr="00361350" w:rsidRDefault="00F442FF" w:rsidP="00F442FF">
            <w:pPr>
              <w:jc w:val="center"/>
              <w:rPr>
                <w:rFonts w:ascii="Arial" w:hAnsi="Arial"/>
                <w:b/>
                <w:sz w:val="22"/>
              </w:rPr>
            </w:pPr>
            <w:r w:rsidRPr="00361350">
              <w:rPr>
                <w:rFonts w:ascii="Arial" w:hAnsi="Arial"/>
                <w:b/>
                <w:sz w:val="22"/>
              </w:rPr>
              <w:t>Friction Coefficient</w:t>
            </w:r>
          </w:p>
          <w:p w14:paraId="6B8225A3" w14:textId="40848552" w:rsidR="00F442FF" w:rsidRPr="00361350" w:rsidRDefault="00F442FF" w:rsidP="00F442FF">
            <w:pPr>
              <w:jc w:val="center"/>
              <w:rPr>
                <w:rFonts w:ascii="Arial" w:hAnsi="Arial"/>
                <w:b/>
                <w:sz w:val="22"/>
              </w:rPr>
            </w:pPr>
            <w:r w:rsidRPr="002F7593">
              <w:rPr>
                <w:rFonts w:ascii="Arial" w:hAnsi="Arial"/>
                <w:b/>
                <w:sz w:val="22"/>
              </w:rPr>
              <w:t>Low</w:t>
            </w:r>
          </w:p>
        </w:tc>
        <w:tc>
          <w:tcPr>
            <w:tcW w:w="1926" w:type="dxa"/>
            <w:shd w:val="pct12" w:color="auto" w:fill="FFFFFF"/>
            <w:vAlign w:val="center"/>
          </w:tcPr>
          <w:p w14:paraId="14BCA8F6" w14:textId="77777777" w:rsidR="00F442FF" w:rsidRPr="00361350" w:rsidRDefault="00F442FF" w:rsidP="00F442FF">
            <w:pPr>
              <w:jc w:val="center"/>
              <w:rPr>
                <w:rFonts w:ascii="Arial" w:hAnsi="Arial"/>
                <w:b/>
                <w:sz w:val="22"/>
              </w:rPr>
            </w:pPr>
            <w:r w:rsidRPr="00361350">
              <w:rPr>
                <w:rFonts w:ascii="Arial" w:hAnsi="Arial"/>
                <w:b/>
                <w:sz w:val="22"/>
              </w:rPr>
              <w:t>Friction Coefficient</w:t>
            </w:r>
          </w:p>
          <w:p w14:paraId="7AEABE1F" w14:textId="24AA9B8B" w:rsidR="00F442FF" w:rsidRPr="00361350" w:rsidRDefault="00F442FF" w:rsidP="00F442FF">
            <w:pPr>
              <w:jc w:val="center"/>
              <w:rPr>
                <w:rFonts w:ascii="Arial" w:hAnsi="Arial"/>
                <w:b/>
                <w:sz w:val="22"/>
              </w:rPr>
            </w:pPr>
            <w:r w:rsidRPr="002F7593">
              <w:rPr>
                <w:rFonts w:ascii="Arial" w:hAnsi="Arial"/>
                <w:b/>
                <w:sz w:val="22"/>
              </w:rPr>
              <w:t>Mean</w:t>
            </w:r>
          </w:p>
        </w:tc>
        <w:tc>
          <w:tcPr>
            <w:tcW w:w="1926" w:type="dxa"/>
            <w:shd w:val="pct12" w:color="auto" w:fill="FFFFFF"/>
            <w:vAlign w:val="center"/>
          </w:tcPr>
          <w:p w14:paraId="38153369" w14:textId="77777777" w:rsidR="00F442FF" w:rsidRPr="00361350" w:rsidRDefault="00F442FF" w:rsidP="00F442FF">
            <w:pPr>
              <w:jc w:val="center"/>
              <w:rPr>
                <w:rFonts w:ascii="Arial" w:hAnsi="Arial"/>
                <w:b/>
                <w:sz w:val="22"/>
              </w:rPr>
            </w:pPr>
            <w:r w:rsidRPr="00361350">
              <w:rPr>
                <w:rFonts w:ascii="Arial" w:hAnsi="Arial"/>
                <w:b/>
                <w:sz w:val="22"/>
              </w:rPr>
              <w:t>Friction Coefficient</w:t>
            </w:r>
          </w:p>
          <w:p w14:paraId="5DC585F6" w14:textId="206205DF" w:rsidR="00F442FF" w:rsidRPr="00361350" w:rsidRDefault="00F442FF" w:rsidP="00F442FF">
            <w:pPr>
              <w:jc w:val="center"/>
              <w:rPr>
                <w:rFonts w:ascii="Arial" w:hAnsi="Arial"/>
                <w:b/>
                <w:sz w:val="22"/>
              </w:rPr>
            </w:pPr>
            <w:r w:rsidRPr="002F7593">
              <w:rPr>
                <w:rFonts w:ascii="Arial" w:hAnsi="Arial"/>
                <w:b/>
                <w:sz w:val="22"/>
              </w:rPr>
              <w:t>High</w:t>
            </w:r>
          </w:p>
        </w:tc>
      </w:tr>
      <w:tr w:rsidR="00F442FF" w:rsidRPr="0041217B" w14:paraId="2990799A" w14:textId="77777777" w:rsidTr="00F442FF">
        <w:tc>
          <w:tcPr>
            <w:tcW w:w="3078" w:type="dxa"/>
          </w:tcPr>
          <w:p w14:paraId="56DCC45A" w14:textId="77777777" w:rsidR="00F442FF" w:rsidRPr="0041217B" w:rsidRDefault="00F442FF" w:rsidP="00F442FF">
            <w:pPr>
              <w:rPr>
                <w:rFonts w:ascii="Arial" w:hAnsi="Arial"/>
                <w:sz w:val="22"/>
              </w:rPr>
            </w:pPr>
            <w:r>
              <w:rPr>
                <w:rFonts w:ascii="Arial" w:hAnsi="Arial"/>
                <w:sz w:val="22"/>
              </w:rPr>
              <w:t>Fine Grained Soil</w:t>
            </w:r>
          </w:p>
        </w:tc>
        <w:tc>
          <w:tcPr>
            <w:tcW w:w="1926" w:type="dxa"/>
            <w:vAlign w:val="center"/>
          </w:tcPr>
          <w:p w14:paraId="6E659191" w14:textId="77777777" w:rsidR="00F442FF" w:rsidRPr="0041217B" w:rsidRDefault="00F442FF" w:rsidP="00F442FF">
            <w:pPr>
              <w:jc w:val="center"/>
              <w:rPr>
                <w:rFonts w:ascii="Arial" w:hAnsi="Arial"/>
                <w:sz w:val="22"/>
              </w:rPr>
            </w:pPr>
            <w:r>
              <w:rPr>
                <w:rFonts w:ascii="Arial" w:hAnsi="Arial"/>
                <w:sz w:val="22"/>
              </w:rPr>
              <w:t>0.5</w:t>
            </w:r>
          </w:p>
        </w:tc>
        <w:tc>
          <w:tcPr>
            <w:tcW w:w="1926" w:type="dxa"/>
            <w:vAlign w:val="center"/>
          </w:tcPr>
          <w:p w14:paraId="498E5346" w14:textId="77777777" w:rsidR="00F442FF" w:rsidRPr="0041217B" w:rsidRDefault="00F442FF" w:rsidP="00F442FF">
            <w:pPr>
              <w:jc w:val="center"/>
              <w:rPr>
                <w:rFonts w:ascii="Arial" w:hAnsi="Arial"/>
                <w:sz w:val="22"/>
              </w:rPr>
            </w:pPr>
            <w:r>
              <w:rPr>
                <w:rFonts w:ascii="Arial" w:hAnsi="Arial"/>
                <w:sz w:val="22"/>
              </w:rPr>
              <w:t>1.1</w:t>
            </w:r>
          </w:p>
        </w:tc>
        <w:tc>
          <w:tcPr>
            <w:tcW w:w="1926" w:type="dxa"/>
            <w:vAlign w:val="center"/>
          </w:tcPr>
          <w:p w14:paraId="741D77F9" w14:textId="77777777" w:rsidR="00F442FF" w:rsidRPr="0041217B" w:rsidRDefault="00F442FF" w:rsidP="00F442FF">
            <w:pPr>
              <w:jc w:val="center"/>
              <w:rPr>
                <w:rFonts w:ascii="Arial" w:hAnsi="Arial"/>
                <w:sz w:val="22"/>
              </w:rPr>
            </w:pPr>
            <w:r>
              <w:rPr>
                <w:rFonts w:ascii="Arial" w:hAnsi="Arial"/>
                <w:sz w:val="22"/>
              </w:rPr>
              <w:t>2</w:t>
            </w:r>
          </w:p>
        </w:tc>
      </w:tr>
      <w:tr w:rsidR="00F442FF" w:rsidRPr="0041217B" w14:paraId="39980EC0" w14:textId="77777777" w:rsidTr="00F442FF">
        <w:tc>
          <w:tcPr>
            <w:tcW w:w="3078" w:type="dxa"/>
          </w:tcPr>
          <w:p w14:paraId="2695E363" w14:textId="77777777" w:rsidR="00F442FF" w:rsidRPr="0041217B" w:rsidRDefault="00F442FF" w:rsidP="00F442FF">
            <w:pPr>
              <w:rPr>
                <w:rFonts w:ascii="Arial" w:hAnsi="Arial"/>
                <w:sz w:val="22"/>
              </w:rPr>
            </w:pPr>
            <w:r>
              <w:rPr>
                <w:rFonts w:ascii="Arial" w:hAnsi="Arial"/>
                <w:sz w:val="22"/>
              </w:rPr>
              <w:t>Sand*</w:t>
            </w:r>
          </w:p>
        </w:tc>
        <w:tc>
          <w:tcPr>
            <w:tcW w:w="1926" w:type="dxa"/>
            <w:vAlign w:val="center"/>
          </w:tcPr>
          <w:p w14:paraId="5F4109A8" w14:textId="77777777" w:rsidR="00F442FF" w:rsidRPr="0041217B" w:rsidRDefault="00F442FF" w:rsidP="00F442FF">
            <w:pPr>
              <w:jc w:val="center"/>
              <w:rPr>
                <w:rFonts w:ascii="Arial" w:hAnsi="Arial"/>
                <w:sz w:val="22"/>
              </w:rPr>
            </w:pPr>
            <w:r>
              <w:rPr>
                <w:rFonts w:ascii="Arial" w:hAnsi="Arial"/>
                <w:sz w:val="22"/>
              </w:rPr>
              <w:t>0.5</w:t>
            </w:r>
          </w:p>
        </w:tc>
        <w:tc>
          <w:tcPr>
            <w:tcW w:w="1926" w:type="dxa"/>
            <w:vAlign w:val="center"/>
          </w:tcPr>
          <w:p w14:paraId="5D1C50D0" w14:textId="77777777" w:rsidR="00F442FF" w:rsidRPr="0041217B" w:rsidRDefault="00F442FF" w:rsidP="00F442FF">
            <w:pPr>
              <w:jc w:val="center"/>
              <w:rPr>
                <w:rFonts w:ascii="Arial" w:hAnsi="Arial"/>
                <w:sz w:val="22"/>
              </w:rPr>
            </w:pPr>
            <w:r>
              <w:rPr>
                <w:rFonts w:ascii="Arial" w:hAnsi="Arial"/>
                <w:sz w:val="22"/>
              </w:rPr>
              <w:t>0.8</w:t>
            </w:r>
          </w:p>
        </w:tc>
        <w:tc>
          <w:tcPr>
            <w:tcW w:w="1926" w:type="dxa"/>
            <w:vAlign w:val="center"/>
          </w:tcPr>
          <w:p w14:paraId="22553326" w14:textId="77777777" w:rsidR="00F442FF" w:rsidRPr="0041217B" w:rsidRDefault="00F442FF" w:rsidP="00F442FF">
            <w:pPr>
              <w:jc w:val="center"/>
              <w:rPr>
                <w:rFonts w:ascii="Arial" w:hAnsi="Arial"/>
                <w:sz w:val="22"/>
              </w:rPr>
            </w:pPr>
            <w:r>
              <w:rPr>
                <w:rFonts w:ascii="Arial" w:hAnsi="Arial"/>
                <w:sz w:val="22"/>
              </w:rPr>
              <w:t>1</w:t>
            </w:r>
          </w:p>
        </w:tc>
      </w:tr>
      <w:tr w:rsidR="00F442FF" w:rsidRPr="0041217B" w14:paraId="3936CCA0" w14:textId="77777777" w:rsidTr="00F442FF">
        <w:tc>
          <w:tcPr>
            <w:tcW w:w="3078" w:type="dxa"/>
          </w:tcPr>
          <w:p w14:paraId="197A9C57" w14:textId="77777777" w:rsidR="00F442FF" w:rsidRPr="0041217B" w:rsidRDefault="00F442FF" w:rsidP="00F442FF">
            <w:pPr>
              <w:rPr>
                <w:rFonts w:ascii="Arial" w:hAnsi="Arial"/>
                <w:sz w:val="22"/>
              </w:rPr>
            </w:pPr>
            <w:r>
              <w:rPr>
                <w:rFonts w:ascii="Arial" w:hAnsi="Arial"/>
                <w:sz w:val="22"/>
              </w:rPr>
              <w:t>Aggregate</w:t>
            </w:r>
          </w:p>
        </w:tc>
        <w:tc>
          <w:tcPr>
            <w:tcW w:w="1926" w:type="dxa"/>
            <w:vAlign w:val="center"/>
          </w:tcPr>
          <w:p w14:paraId="0FCC7F1D" w14:textId="77777777" w:rsidR="00F442FF" w:rsidRPr="0041217B" w:rsidRDefault="00F442FF" w:rsidP="00F442FF">
            <w:pPr>
              <w:jc w:val="center"/>
              <w:rPr>
                <w:rFonts w:ascii="Arial" w:hAnsi="Arial"/>
                <w:sz w:val="22"/>
              </w:rPr>
            </w:pPr>
            <w:r>
              <w:rPr>
                <w:rFonts w:ascii="Arial" w:hAnsi="Arial"/>
                <w:sz w:val="22"/>
              </w:rPr>
              <w:t>0.5</w:t>
            </w:r>
          </w:p>
        </w:tc>
        <w:tc>
          <w:tcPr>
            <w:tcW w:w="1926" w:type="dxa"/>
            <w:vAlign w:val="center"/>
          </w:tcPr>
          <w:p w14:paraId="33353648" w14:textId="77777777" w:rsidR="00F442FF" w:rsidRPr="0041217B" w:rsidRDefault="00F442FF" w:rsidP="00F442FF">
            <w:pPr>
              <w:jc w:val="center"/>
              <w:rPr>
                <w:rFonts w:ascii="Arial" w:hAnsi="Arial"/>
                <w:sz w:val="22"/>
              </w:rPr>
            </w:pPr>
            <w:r>
              <w:rPr>
                <w:rFonts w:ascii="Arial" w:hAnsi="Arial"/>
                <w:sz w:val="22"/>
              </w:rPr>
              <w:t>2.5</w:t>
            </w:r>
          </w:p>
        </w:tc>
        <w:tc>
          <w:tcPr>
            <w:tcW w:w="1926" w:type="dxa"/>
            <w:vAlign w:val="center"/>
          </w:tcPr>
          <w:p w14:paraId="1B702B38" w14:textId="77777777" w:rsidR="00F442FF" w:rsidRPr="0041217B" w:rsidRDefault="00F442FF" w:rsidP="00F442FF">
            <w:pPr>
              <w:jc w:val="center"/>
              <w:rPr>
                <w:rFonts w:ascii="Arial" w:hAnsi="Arial"/>
                <w:sz w:val="22"/>
              </w:rPr>
            </w:pPr>
            <w:r>
              <w:rPr>
                <w:rFonts w:ascii="Arial" w:hAnsi="Arial"/>
                <w:sz w:val="22"/>
              </w:rPr>
              <w:t>4</w:t>
            </w:r>
          </w:p>
        </w:tc>
      </w:tr>
      <w:tr w:rsidR="00F442FF" w:rsidRPr="0041217B" w14:paraId="643F86BB" w14:textId="77777777" w:rsidTr="00F442FF">
        <w:tc>
          <w:tcPr>
            <w:tcW w:w="3078" w:type="dxa"/>
          </w:tcPr>
          <w:p w14:paraId="0654E255" w14:textId="77777777" w:rsidR="00F442FF" w:rsidRPr="0041217B" w:rsidRDefault="00F442FF" w:rsidP="00F442FF">
            <w:pPr>
              <w:rPr>
                <w:rFonts w:ascii="Arial" w:hAnsi="Arial"/>
                <w:sz w:val="22"/>
              </w:rPr>
            </w:pPr>
            <w:r>
              <w:rPr>
                <w:rFonts w:ascii="Arial" w:hAnsi="Arial"/>
                <w:sz w:val="22"/>
              </w:rPr>
              <w:t>Lime-Stabilized Clay*</w:t>
            </w:r>
          </w:p>
        </w:tc>
        <w:tc>
          <w:tcPr>
            <w:tcW w:w="1926" w:type="dxa"/>
            <w:vAlign w:val="center"/>
          </w:tcPr>
          <w:p w14:paraId="017B7FF2" w14:textId="77777777" w:rsidR="00F442FF" w:rsidRPr="0041217B" w:rsidRDefault="00F442FF" w:rsidP="00F442FF">
            <w:pPr>
              <w:jc w:val="center"/>
              <w:rPr>
                <w:rFonts w:ascii="Arial" w:hAnsi="Arial"/>
                <w:sz w:val="22"/>
              </w:rPr>
            </w:pPr>
            <w:r>
              <w:rPr>
                <w:rFonts w:ascii="Arial" w:hAnsi="Arial"/>
                <w:sz w:val="22"/>
              </w:rPr>
              <w:t>3</w:t>
            </w:r>
          </w:p>
        </w:tc>
        <w:tc>
          <w:tcPr>
            <w:tcW w:w="1926" w:type="dxa"/>
            <w:vAlign w:val="center"/>
          </w:tcPr>
          <w:p w14:paraId="79E808B4" w14:textId="77777777" w:rsidR="00F442FF" w:rsidRPr="0041217B" w:rsidRDefault="00F442FF" w:rsidP="00F442FF">
            <w:pPr>
              <w:jc w:val="center"/>
              <w:rPr>
                <w:rFonts w:ascii="Arial" w:hAnsi="Arial"/>
                <w:sz w:val="22"/>
              </w:rPr>
            </w:pPr>
            <w:r>
              <w:rPr>
                <w:rFonts w:ascii="Arial" w:hAnsi="Arial"/>
                <w:sz w:val="22"/>
              </w:rPr>
              <w:t>4.1</w:t>
            </w:r>
          </w:p>
        </w:tc>
        <w:tc>
          <w:tcPr>
            <w:tcW w:w="1926" w:type="dxa"/>
            <w:vAlign w:val="center"/>
          </w:tcPr>
          <w:p w14:paraId="55A2DE85" w14:textId="77777777" w:rsidR="00F442FF" w:rsidRPr="0041217B" w:rsidRDefault="00F442FF" w:rsidP="00F442FF">
            <w:pPr>
              <w:jc w:val="center"/>
              <w:rPr>
                <w:rFonts w:ascii="Arial" w:hAnsi="Arial"/>
                <w:sz w:val="22"/>
              </w:rPr>
            </w:pPr>
            <w:r>
              <w:rPr>
                <w:rFonts w:ascii="Arial" w:hAnsi="Arial"/>
                <w:sz w:val="22"/>
              </w:rPr>
              <w:t>5.3</w:t>
            </w:r>
          </w:p>
        </w:tc>
      </w:tr>
      <w:tr w:rsidR="00F442FF" w:rsidRPr="0041217B" w14:paraId="7976733C" w14:textId="77777777" w:rsidTr="00F442FF">
        <w:tc>
          <w:tcPr>
            <w:tcW w:w="3078" w:type="dxa"/>
          </w:tcPr>
          <w:p w14:paraId="74209BC8" w14:textId="77777777" w:rsidR="00F442FF" w:rsidRPr="0041217B" w:rsidRDefault="00F442FF" w:rsidP="00F442FF">
            <w:pPr>
              <w:rPr>
                <w:rFonts w:ascii="Arial" w:hAnsi="Arial"/>
                <w:sz w:val="22"/>
              </w:rPr>
            </w:pPr>
            <w:r>
              <w:rPr>
                <w:rFonts w:ascii="Arial" w:hAnsi="Arial"/>
                <w:sz w:val="22"/>
              </w:rPr>
              <w:t>ATB</w:t>
            </w:r>
          </w:p>
        </w:tc>
        <w:tc>
          <w:tcPr>
            <w:tcW w:w="1926" w:type="dxa"/>
            <w:vAlign w:val="center"/>
          </w:tcPr>
          <w:p w14:paraId="22053E6B" w14:textId="77777777" w:rsidR="00F442FF" w:rsidRPr="0041217B" w:rsidRDefault="00F442FF" w:rsidP="00F442FF">
            <w:pPr>
              <w:jc w:val="center"/>
              <w:rPr>
                <w:rFonts w:ascii="Arial" w:hAnsi="Arial"/>
                <w:sz w:val="22"/>
              </w:rPr>
            </w:pPr>
            <w:r>
              <w:rPr>
                <w:rFonts w:ascii="Arial" w:hAnsi="Arial"/>
                <w:sz w:val="22"/>
              </w:rPr>
              <w:t>2.5</w:t>
            </w:r>
          </w:p>
        </w:tc>
        <w:tc>
          <w:tcPr>
            <w:tcW w:w="1926" w:type="dxa"/>
            <w:vAlign w:val="center"/>
          </w:tcPr>
          <w:p w14:paraId="3E3864F7" w14:textId="77777777" w:rsidR="00F442FF" w:rsidRPr="0041217B" w:rsidRDefault="00F442FF" w:rsidP="00F442FF">
            <w:pPr>
              <w:jc w:val="center"/>
              <w:rPr>
                <w:rFonts w:ascii="Arial" w:hAnsi="Arial"/>
                <w:sz w:val="22"/>
              </w:rPr>
            </w:pPr>
            <w:r>
              <w:rPr>
                <w:rFonts w:ascii="Arial" w:hAnsi="Arial"/>
                <w:sz w:val="22"/>
              </w:rPr>
              <w:t>7.5</w:t>
            </w:r>
          </w:p>
        </w:tc>
        <w:tc>
          <w:tcPr>
            <w:tcW w:w="1926" w:type="dxa"/>
            <w:vAlign w:val="center"/>
          </w:tcPr>
          <w:p w14:paraId="14862642" w14:textId="77777777" w:rsidR="00F442FF" w:rsidRPr="0041217B" w:rsidRDefault="00F442FF" w:rsidP="00F442FF">
            <w:pPr>
              <w:jc w:val="center"/>
              <w:rPr>
                <w:rFonts w:ascii="Arial" w:hAnsi="Arial"/>
                <w:sz w:val="22"/>
              </w:rPr>
            </w:pPr>
            <w:r>
              <w:rPr>
                <w:rFonts w:ascii="Arial" w:hAnsi="Arial"/>
                <w:sz w:val="22"/>
              </w:rPr>
              <w:t>15</w:t>
            </w:r>
          </w:p>
        </w:tc>
      </w:tr>
      <w:tr w:rsidR="00F442FF" w:rsidRPr="0041217B" w14:paraId="3B69C896" w14:textId="77777777" w:rsidTr="00F442FF">
        <w:tc>
          <w:tcPr>
            <w:tcW w:w="3078" w:type="dxa"/>
          </w:tcPr>
          <w:p w14:paraId="502FCD04" w14:textId="77777777" w:rsidR="00F442FF" w:rsidRPr="0041217B" w:rsidRDefault="00F442FF" w:rsidP="00F442FF">
            <w:pPr>
              <w:rPr>
                <w:rFonts w:ascii="Arial" w:hAnsi="Arial"/>
                <w:sz w:val="22"/>
              </w:rPr>
            </w:pPr>
            <w:r>
              <w:rPr>
                <w:rFonts w:ascii="Arial" w:hAnsi="Arial"/>
                <w:sz w:val="22"/>
              </w:rPr>
              <w:t>CTB</w:t>
            </w:r>
          </w:p>
        </w:tc>
        <w:tc>
          <w:tcPr>
            <w:tcW w:w="1926" w:type="dxa"/>
            <w:vAlign w:val="center"/>
          </w:tcPr>
          <w:p w14:paraId="54D8F4FC" w14:textId="77777777" w:rsidR="00F442FF" w:rsidRPr="0041217B" w:rsidRDefault="00F442FF" w:rsidP="00F442FF">
            <w:pPr>
              <w:jc w:val="center"/>
              <w:rPr>
                <w:rFonts w:ascii="Arial" w:hAnsi="Arial"/>
                <w:sz w:val="22"/>
              </w:rPr>
            </w:pPr>
            <w:r>
              <w:rPr>
                <w:rFonts w:ascii="Arial" w:hAnsi="Arial"/>
                <w:sz w:val="22"/>
              </w:rPr>
              <w:t>3.5</w:t>
            </w:r>
          </w:p>
        </w:tc>
        <w:tc>
          <w:tcPr>
            <w:tcW w:w="1926" w:type="dxa"/>
            <w:vAlign w:val="center"/>
          </w:tcPr>
          <w:p w14:paraId="223B3BEB" w14:textId="77777777" w:rsidR="00F442FF" w:rsidRPr="0041217B" w:rsidRDefault="00F442FF" w:rsidP="00F442FF">
            <w:pPr>
              <w:jc w:val="center"/>
              <w:rPr>
                <w:rFonts w:ascii="Arial" w:hAnsi="Arial"/>
                <w:sz w:val="22"/>
              </w:rPr>
            </w:pPr>
            <w:r>
              <w:rPr>
                <w:rFonts w:ascii="Arial" w:hAnsi="Arial"/>
                <w:sz w:val="22"/>
              </w:rPr>
              <w:t>8.9</w:t>
            </w:r>
          </w:p>
        </w:tc>
        <w:tc>
          <w:tcPr>
            <w:tcW w:w="1926" w:type="dxa"/>
            <w:vAlign w:val="center"/>
          </w:tcPr>
          <w:p w14:paraId="55766E14" w14:textId="77777777" w:rsidR="00F442FF" w:rsidRPr="0041217B" w:rsidRDefault="00F442FF" w:rsidP="00F442FF">
            <w:pPr>
              <w:jc w:val="center"/>
              <w:rPr>
                <w:rFonts w:ascii="Arial" w:hAnsi="Arial"/>
                <w:sz w:val="22"/>
              </w:rPr>
            </w:pPr>
            <w:r>
              <w:rPr>
                <w:rFonts w:ascii="Arial" w:hAnsi="Arial"/>
                <w:sz w:val="22"/>
              </w:rPr>
              <w:t>13</w:t>
            </w:r>
          </w:p>
        </w:tc>
      </w:tr>
      <w:tr w:rsidR="00F442FF" w:rsidRPr="0041217B" w14:paraId="1701C825" w14:textId="77777777" w:rsidTr="00F442FF">
        <w:tc>
          <w:tcPr>
            <w:tcW w:w="3078" w:type="dxa"/>
          </w:tcPr>
          <w:p w14:paraId="6440FBBB" w14:textId="219BE5C6" w:rsidR="00F442FF" w:rsidRPr="0041217B" w:rsidRDefault="00F442FF" w:rsidP="00F442FF">
            <w:pPr>
              <w:rPr>
                <w:rFonts w:ascii="Arial" w:hAnsi="Arial"/>
                <w:sz w:val="22"/>
              </w:rPr>
            </w:pPr>
            <w:r>
              <w:rPr>
                <w:rFonts w:ascii="Arial" w:hAnsi="Arial"/>
                <w:sz w:val="22"/>
              </w:rPr>
              <w:t>Cement Treated Base</w:t>
            </w:r>
          </w:p>
        </w:tc>
        <w:tc>
          <w:tcPr>
            <w:tcW w:w="1926" w:type="dxa"/>
            <w:vAlign w:val="center"/>
          </w:tcPr>
          <w:p w14:paraId="2C061B96" w14:textId="77777777" w:rsidR="00F442FF" w:rsidRPr="0041217B" w:rsidRDefault="00F442FF" w:rsidP="00F442FF">
            <w:pPr>
              <w:jc w:val="center"/>
              <w:rPr>
                <w:rFonts w:ascii="Arial" w:hAnsi="Arial"/>
                <w:sz w:val="22"/>
              </w:rPr>
            </w:pPr>
            <w:r>
              <w:rPr>
                <w:rFonts w:ascii="Arial" w:hAnsi="Arial"/>
                <w:sz w:val="22"/>
              </w:rPr>
              <w:t>6</w:t>
            </w:r>
          </w:p>
        </w:tc>
        <w:tc>
          <w:tcPr>
            <w:tcW w:w="1926" w:type="dxa"/>
            <w:vAlign w:val="center"/>
          </w:tcPr>
          <w:p w14:paraId="015D1D7E" w14:textId="77777777" w:rsidR="00F442FF" w:rsidRPr="0041217B" w:rsidRDefault="00F442FF" w:rsidP="00F442FF">
            <w:pPr>
              <w:jc w:val="center"/>
              <w:rPr>
                <w:rFonts w:ascii="Arial" w:hAnsi="Arial"/>
                <w:sz w:val="22"/>
              </w:rPr>
            </w:pPr>
            <w:r>
              <w:rPr>
                <w:rFonts w:ascii="Arial" w:hAnsi="Arial"/>
                <w:sz w:val="22"/>
              </w:rPr>
              <w:t>7.9</w:t>
            </w:r>
          </w:p>
        </w:tc>
        <w:tc>
          <w:tcPr>
            <w:tcW w:w="1926" w:type="dxa"/>
            <w:vAlign w:val="center"/>
          </w:tcPr>
          <w:p w14:paraId="6C410FA3" w14:textId="77777777" w:rsidR="00F442FF" w:rsidRPr="0041217B" w:rsidRDefault="00F442FF" w:rsidP="00F442FF">
            <w:pPr>
              <w:jc w:val="center"/>
              <w:rPr>
                <w:rFonts w:ascii="Arial" w:hAnsi="Arial"/>
                <w:sz w:val="22"/>
              </w:rPr>
            </w:pPr>
            <w:r>
              <w:rPr>
                <w:rFonts w:ascii="Arial" w:hAnsi="Arial"/>
                <w:sz w:val="22"/>
              </w:rPr>
              <w:t>23</w:t>
            </w:r>
          </w:p>
        </w:tc>
      </w:tr>
    </w:tbl>
    <w:p w14:paraId="3A67F00F" w14:textId="24AC8E76" w:rsidR="00152A78" w:rsidRPr="002F7593" w:rsidRDefault="00152A78" w:rsidP="002F7593">
      <w:pPr>
        <w:ind w:left="270" w:hanging="270"/>
        <w:rPr>
          <w:rFonts w:ascii="Arial" w:hAnsi="Arial"/>
          <w:sz w:val="18"/>
        </w:rPr>
      </w:pPr>
      <w:r>
        <w:rPr>
          <w:rFonts w:ascii="Arial" w:hAnsi="Arial"/>
        </w:rPr>
        <w:t>*</w:t>
      </w:r>
      <w:r w:rsidR="00361350">
        <w:rPr>
          <w:rFonts w:ascii="Arial" w:hAnsi="Arial"/>
        </w:rPr>
        <w:tab/>
      </w:r>
      <w:r w:rsidRPr="002F7593">
        <w:rPr>
          <w:rFonts w:ascii="Arial" w:hAnsi="Arial"/>
          <w:sz w:val="18"/>
        </w:rPr>
        <w:t>Note that these friction coefficients are only used in the prediction of crack spacing for CRCP.  The computation of damage for punchout prediction assumes that there is no friction between the CRCP slab and the base course.</w:t>
      </w:r>
    </w:p>
    <w:p w14:paraId="40714744" w14:textId="77777777" w:rsidR="00152A78" w:rsidRPr="00B8666C" w:rsidRDefault="00152A78" w:rsidP="002F7593">
      <w:pPr>
        <w:pStyle w:val="Heading3"/>
        <w:tabs>
          <w:tab w:val="left" w:pos="1080"/>
        </w:tabs>
        <w:ind w:hanging="1980"/>
      </w:pPr>
      <w:bookmarkStart w:id="185" w:name="_Tensile_Strength_Modulus_1"/>
      <w:bookmarkStart w:id="186" w:name="_Friction_Factor_–"/>
      <w:bookmarkEnd w:id="185"/>
      <w:bookmarkEnd w:id="186"/>
      <w:r w:rsidRPr="00B8666C">
        <w:t>Friction Factor – AASHTO 1993</w:t>
      </w:r>
    </w:p>
    <w:p w14:paraId="54C7D10C" w14:textId="77777777" w:rsidR="00152A78" w:rsidRPr="00B8666C" w:rsidRDefault="00152A78" w:rsidP="00152A78">
      <w:r w:rsidRPr="00B8666C">
        <w:rPr>
          <w:rFonts w:ascii="Arial" w:eastAsia="Arial" w:hAnsi="Arial" w:cs="Arial"/>
          <w:sz w:val="16"/>
        </w:rPr>
        <w:t>Click to go</w:t>
      </w:r>
      <w:r w:rsidRPr="00B8666C">
        <w:rPr>
          <w:rFonts w:ascii="Arial" w:eastAsia="Arial" w:hAnsi="Arial" w:cs="Arial"/>
          <w:sz w:val="16"/>
          <w:szCs w:val="16"/>
        </w:rPr>
        <w:t xml:space="preserve"> to</w:t>
      </w:r>
      <w:r w:rsidRPr="00B8666C">
        <w:rPr>
          <w:rFonts w:ascii="Arial" w:hAnsi="Arial" w:cs="Arial"/>
          <w:bCs/>
          <w:sz w:val="16"/>
          <w:szCs w:val="16"/>
        </w:rPr>
        <w:t xml:space="preserve"> </w:t>
      </w:r>
      <w:hyperlink w:anchor="_CRCP_steel_reinforcement_1" w:history="1">
        <w:r w:rsidRPr="00B8666C">
          <w:rPr>
            <w:rStyle w:val="Hyperlink"/>
            <w:rFonts w:ascii="Arial" w:hAnsi="Arial" w:cs="Arial"/>
            <w:bCs/>
            <w:sz w:val="16"/>
            <w:szCs w:val="16"/>
          </w:rPr>
          <w:t>CRCP steel reinforcement design inputs – AASHTO 1993</w:t>
        </w:r>
      </w:hyperlink>
    </w:p>
    <w:p w14:paraId="10AB8EEE" w14:textId="77777777" w:rsidR="00152A78" w:rsidRPr="00B8666C" w:rsidRDefault="00152A78" w:rsidP="00152A78">
      <w:pPr>
        <w:pStyle w:val="BodyText"/>
        <w:spacing w:after="0"/>
        <w:jc w:val="both"/>
      </w:pPr>
    </w:p>
    <w:p w14:paraId="20970493" w14:textId="77777777" w:rsidR="00152A78" w:rsidRPr="00B8666C" w:rsidRDefault="00152A78" w:rsidP="00152A78">
      <w:pPr>
        <w:pStyle w:val="BodyText"/>
        <w:spacing w:after="0"/>
        <w:jc w:val="both"/>
      </w:pPr>
      <w:r w:rsidRPr="00B8666C">
        <w:t>The following are recommended friction values for the subgrade and a variety of base materials to be used in rigid pavement design using AASHTO 1993:</w:t>
      </w:r>
    </w:p>
    <w:p w14:paraId="5C973326" w14:textId="77777777" w:rsidR="00152A78" w:rsidRPr="00B8666C" w:rsidRDefault="00152A78" w:rsidP="004A4315">
      <w:pPr>
        <w:pStyle w:val="TOC1"/>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5"/>
        <w:gridCol w:w="1879"/>
      </w:tblGrid>
      <w:tr w:rsidR="00152A78" w:rsidRPr="00B8666C" w14:paraId="2D31C98E" w14:textId="77777777" w:rsidTr="002F7593">
        <w:trPr>
          <w:tblHeader/>
          <w:jc w:val="center"/>
        </w:trPr>
        <w:tc>
          <w:tcPr>
            <w:tcW w:w="2625" w:type="dxa"/>
            <w:shd w:val="pct12" w:color="auto" w:fill="FFFFFF"/>
          </w:tcPr>
          <w:p w14:paraId="2F92180A" w14:textId="77777777" w:rsidR="00152A78" w:rsidRPr="00B8666C" w:rsidRDefault="00152A78" w:rsidP="00152A78">
            <w:pPr>
              <w:jc w:val="center"/>
              <w:rPr>
                <w:rFonts w:ascii="Arial" w:hAnsi="Arial"/>
                <w:b/>
                <w:sz w:val="22"/>
              </w:rPr>
            </w:pPr>
            <w:r w:rsidRPr="00B8666C">
              <w:rPr>
                <w:rFonts w:ascii="Arial" w:hAnsi="Arial"/>
                <w:b/>
                <w:sz w:val="22"/>
              </w:rPr>
              <w:t>Material Beneath Slab</w:t>
            </w:r>
          </w:p>
        </w:tc>
        <w:tc>
          <w:tcPr>
            <w:tcW w:w="1879" w:type="dxa"/>
            <w:shd w:val="pct12" w:color="auto" w:fill="FFFFFF"/>
          </w:tcPr>
          <w:p w14:paraId="12B10C4E" w14:textId="77777777" w:rsidR="00152A78" w:rsidRPr="00B8666C" w:rsidRDefault="00152A78" w:rsidP="00152A78">
            <w:pPr>
              <w:jc w:val="center"/>
              <w:rPr>
                <w:rFonts w:ascii="Arial" w:hAnsi="Arial"/>
                <w:b/>
                <w:sz w:val="22"/>
              </w:rPr>
            </w:pPr>
            <w:r w:rsidRPr="00B8666C">
              <w:rPr>
                <w:rFonts w:ascii="Arial" w:hAnsi="Arial"/>
                <w:b/>
                <w:sz w:val="22"/>
              </w:rPr>
              <w:t>Friction Factor</w:t>
            </w:r>
          </w:p>
        </w:tc>
      </w:tr>
      <w:tr w:rsidR="00152A78" w:rsidRPr="00B8666C" w14:paraId="1B313506" w14:textId="77777777" w:rsidTr="002F7593">
        <w:trPr>
          <w:jc w:val="center"/>
        </w:trPr>
        <w:tc>
          <w:tcPr>
            <w:tcW w:w="2625" w:type="dxa"/>
          </w:tcPr>
          <w:p w14:paraId="6A0E0F6B" w14:textId="77777777" w:rsidR="00152A78" w:rsidRPr="00B8666C" w:rsidRDefault="00152A78" w:rsidP="00152A78">
            <w:pPr>
              <w:jc w:val="center"/>
              <w:rPr>
                <w:rFonts w:ascii="Arial" w:hAnsi="Arial"/>
                <w:sz w:val="22"/>
              </w:rPr>
            </w:pPr>
            <w:r w:rsidRPr="00B8666C">
              <w:rPr>
                <w:rFonts w:ascii="Arial" w:hAnsi="Arial"/>
                <w:sz w:val="22"/>
              </w:rPr>
              <w:t>Surface Treatment</w:t>
            </w:r>
          </w:p>
        </w:tc>
        <w:tc>
          <w:tcPr>
            <w:tcW w:w="1879" w:type="dxa"/>
          </w:tcPr>
          <w:p w14:paraId="38727CF9" w14:textId="77777777" w:rsidR="00152A78" w:rsidRPr="00B8666C" w:rsidRDefault="00152A78" w:rsidP="00152A78">
            <w:pPr>
              <w:jc w:val="center"/>
              <w:rPr>
                <w:rFonts w:ascii="Arial" w:hAnsi="Arial"/>
                <w:sz w:val="22"/>
              </w:rPr>
            </w:pPr>
            <w:r w:rsidRPr="00B8666C">
              <w:rPr>
                <w:rFonts w:ascii="Arial" w:hAnsi="Arial"/>
                <w:sz w:val="22"/>
              </w:rPr>
              <w:t>2.2</w:t>
            </w:r>
          </w:p>
        </w:tc>
      </w:tr>
      <w:tr w:rsidR="00152A78" w:rsidRPr="00B8666C" w14:paraId="692157A3" w14:textId="77777777" w:rsidTr="002F7593">
        <w:trPr>
          <w:jc w:val="center"/>
        </w:trPr>
        <w:tc>
          <w:tcPr>
            <w:tcW w:w="2625" w:type="dxa"/>
          </w:tcPr>
          <w:p w14:paraId="49CBF57B" w14:textId="77777777" w:rsidR="00152A78" w:rsidRPr="00B8666C" w:rsidRDefault="00152A78" w:rsidP="00152A78">
            <w:pPr>
              <w:jc w:val="center"/>
              <w:rPr>
                <w:rFonts w:ascii="Arial" w:hAnsi="Arial"/>
                <w:sz w:val="22"/>
              </w:rPr>
            </w:pPr>
            <w:r w:rsidRPr="00B8666C">
              <w:rPr>
                <w:rFonts w:ascii="Arial" w:hAnsi="Arial"/>
                <w:sz w:val="22"/>
              </w:rPr>
              <w:t>Lime Stabilization</w:t>
            </w:r>
          </w:p>
        </w:tc>
        <w:tc>
          <w:tcPr>
            <w:tcW w:w="1879" w:type="dxa"/>
          </w:tcPr>
          <w:p w14:paraId="30954268" w14:textId="77777777" w:rsidR="00152A78" w:rsidRPr="00B8666C" w:rsidRDefault="00152A78" w:rsidP="00152A78">
            <w:pPr>
              <w:jc w:val="center"/>
              <w:rPr>
                <w:rFonts w:ascii="Arial" w:hAnsi="Arial"/>
                <w:sz w:val="22"/>
              </w:rPr>
            </w:pPr>
            <w:r w:rsidRPr="00B8666C">
              <w:rPr>
                <w:rFonts w:ascii="Arial" w:hAnsi="Arial"/>
                <w:sz w:val="22"/>
              </w:rPr>
              <w:t>1.8</w:t>
            </w:r>
          </w:p>
        </w:tc>
      </w:tr>
      <w:tr w:rsidR="00152A78" w:rsidRPr="00B8666C" w14:paraId="68DA530A" w14:textId="77777777" w:rsidTr="002F7593">
        <w:trPr>
          <w:jc w:val="center"/>
        </w:trPr>
        <w:tc>
          <w:tcPr>
            <w:tcW w:w="2625" w:type="dxa"/>
          </w:tcPr>
          <w:p w14:paraId="3F2BE979" w14:textId="77777777" w:rsidR="00152A78" w:rsidRPr="00B8666C" w:rsidRDefault="00152A78" w:rsidP="00152A78">
            <w:pPr>
              <w:jc w:val="center"/>
              <w:rPr>
                <w:rFonts w:ascii="Arial" w:hAnsi="Arial"/>
                <w:sz w:val="22"/>
              </w:rPr>
            </w:pPr>
            <w:r w:rsidRPr="00B8666C">
              <w:rPr>
                <w:rFonts w:ascii="Arial" w:hAnsi="Arial"/>
                <w:sz w:val="22"/>
              </w:rPr>
              <w:t>Asphalt Stabilization</w:t>
            </w:r>
          </w:p>
        </w:tc>
        <w:tc>
          <w:tcPr>
            <w:tcW w:w="1879" w:type="dxa"/>
          </w:tcPr>
          <w:p w14:paraId="12A897F5" w14:textId="77777777" w:rsidR="00152A78" w:rsidRPr="00B8666C" w:rsidRDefault="00152A78" w:rsidP="00152A78">
            <w:pPr>
              <w:jc w:val="center"/>
              <w:rPr>
                <w:rFonts w:ascii="Arial" w:hAnsi="Arial"/>
                <w:sz w:val="22"/>
              </w:rPr>
            </w:pPr>
            <w:r w:rsidRPr="00B8666C">
              <w:rPr>
                <w:rFonts w:ascii="Arial" w:hAnsi="Arial"/>
                <w:sz w:val="22"/>
              </w:rPr>
              <w:t>1.8</w:t>
            </w:r>
          </w:p>
        </w:tc>
      </w:tr>
      <w:tr w:rsidR="00152A78" w:rsidRPr="00B8666C" w14:paraId="460E63B4" w14:textId="77777777" w:rsidTr="002F7593">
        <w:trPr>
          <w:jc w:val="center"/>
        </w:trPr>
        <w:tc>
          <w:tcPr>
            <w:tcW w:w="2625" w:type="dxa"/>
          </w:tcPr>
          <w:p w14:paraId="1AB099F3" w14:textId="77777777" w:rsidR="00152A78" w:rsidRPr="00B8666C" w:rsidRDefault="00152A78" w:rsidP="00152A78">
            <w:pPr>
              <w:jc w:val="center"/>
              <w:rPr>
                <w:rFonts w:ascii="Arial" w:hAnsi="Arial"/>
                <w:sz w:val="22"/>
              </w:rPr>
            </w:pPr>
            <w:r w:rsidRPr="00B8666C">
              <w:rPr>
                <w:rFonts w:ascii="Arial" w:hAnsi="Arial"/>
                <w:sz w:val="22"/>
              </w:rPr>
              <w:t>Cement Stabilization</w:t>
            </w:r>
          </w:p>
        </w:tc>
        <w:tc>
          <w:tcPr>
            <w:tcW w:w="1879" w:type="dxa"/>
          </w:tcPr>
          <w:p w14:paraId="040EC7A9" w14:textId="77777777" w:rsidR="00152A78" w:rsidRPr="00B8666C" w:rsidRDefault="00152A78" w:rsidP="00152A78">
            <w:pPr>
              <w:jc w:val="center"/>
              <w:rPr>
                <w:rFonts w:ascii="Arial" w:hAnsi="Arial"/>
                <w:sz w:val="22"/>
              </w:rPr>
            </w:pPr>
            <w:r w:rsidRPr="00B8666C">
              <w:rPr>
                <w:rFonts w:ascii="Arial" w:hAnsi="Arial"/>
                <w:sz w:val="22"/>
              </w:rPr>
              <w:t>1.8</w:t>
            </w:r>
          </w:p>
        </w:tc>
      </w:tr>
      <w:tr w:rsidR="00152A78" w:rsidRPr="00B8666C" w14:paraId="642A9D36" w14:textId="77777777" w:rsidTr="002F7593">
        <w:trPr>
          <w:jc w:val="center"/>
        </w:trPr>
        <w:tc>
          <w:tcPr>
            <w:tcW w:w="2625" w:type="dxa"/>
          </w:tcPr>
          <w:p w14:paraId="3113CAE8" w14:textId="77777777" w:rsidR="00152A78" w:rsidRPr="00B8666C" w:rsidRDefault="00152A78" w:rsidP="00152A78">
            <w:pPr>
              <w:jc w:val="center"/>
              <w:rPr>
                <w:rFonts w:ascii="Arial" w:hAnsi="Arial"/>
                <w:sz w:val="22"/>
              </w:rPr>
            </w:pPr>
            <w:r w:rsidRPr="00B8666C">
              <w:rPr>
                <w:rFonts w:ascii="Arial" w:hAnsi="Arial"/>
                <w:sz w:val="22"/>
              </w:rPr>
              <w:t>River Gravel</w:t>
            </w:r>
          </w:p>
        </w:tc>
        <w:tc>
          <w:tcPr>
            <w:tcW w:w="1879" w:type="dxa"/>
          </w:tcPr>
          <w:p w14:paraId="5F5BE9F1" w14:textId="77777777" w:rsidR="00152A78" w:rsidRPr="00B8666C" w:rsidRDefault="00152A78" w:rsidP="00152A78">
            <w:pPr>
              <w:jc w:val="center"/>
              <w:rPr>
                <w:rFonts w:ascii="Arial" w:hAnsi="Arial"/>
                <w:sz w:val="22"/>
              </w:rPr>
            </w:pPr>
            <w:r w:rsidRPr="00B8666C">
              <w:rPr>
                <w:rFonts w:ascii="Arial" w:hAnsi="Arial"/>
                <w:sz w:val="22"/>
              </w:rPr>
              <w:t>1.5</w:t>
            </w:r>
          </w:p>
        </w:tc>
      </w:tr>
      <w:tr w:rsidR="00152A78" w:rsidRPr="00B8666C" w14:paraId="4FE3DBC8" w14:textId="77777777" w:rsidTr="002F7593">
        <w:trPr>
          <w:jc w:val="center"/>
        </w:trPr>
        <w:tc>
          <w:tcPr>
            <w:tcW w:w="2625" w:type="dxa"/>
          </w:tcPr>
          <w:p w14:paraId="51DE1894" w14:textId="77777777" w:rsidR="00152A78" w:rsidRPr="00B8666C" w:rsidRDefault="00152A78" w:rsidP="00152A78">
            <w:pPr>
              <w:jc w:val="center"/>
              <w:rPr>
                <w:rFonts w:ascii="Arial" w:hAnsi="Arial"/>
                <w:sz w:val="22"/>
              </w:rPr>
            </w:pPr>
            <w:r w:rsidRPr="00B8666C">
              <w:rPr>
                <w:rFonts w:ascii="Arial" w:hAnsi="Arial"/>
                <w:sz w:val="22"/>
              </w:rPr>
              <w:t>Crushed Stone</w:t>
            </w:r>
          </w:p>
        </w:tc>
        <w:tc>
          <w:tcPr>
            <w:tcW w:w="1879" w:type="dxa"/>
          </w:tcPr>
          <w:p w14:paraId="5061B830" w14:textId="77777777" w:rsidR="00152A78" w:rsidRPr="00B8666C" w:rsidRDefault="00152A78" w:rsidP="00152A78">
            <w:pPr>
              <w:jc w:val="center"/>
              <w:rPr>
                <w:rFonts w:ascii="Arial" w:hAnsi="Arial"/>
                <w:sz w:val="22"/>
              </w:rPr>
            </w:pPr>
            <w:r w:rsidRPr="00B8666C">
              <w:rPr>
                <w:rFonts w:ascii="Arial" w:hAnsi="Arial"/>
                <w:sz w:val="22"/>
              </w:rPr>
              <w:t>1.5</w:t>
            </w:r>
          </w:p>
        </w:tc>
      </w:tr>
      <w:tr w:rsidR="00152A78" w:rsidRPr="00B8666C" w14:paraId="4CE5CFC9" w14:textId="77777777" w:rsidTr="002F7593">
        <w:trPr>
          <w:jc w:val="center"/>
        </w:trPr>
        <w:tc>
          <w:tcPr>
            <w:tcW w:w="2625" w:type="dxa"/>
          </w:tcPr>
          <w:p w14:paraId="73737965" w14:textId="77777777" w:rsidR="00152A78" w:rsidRPr="00B8666C" w:rsidRDefault="00152A78" w:rsidP="00152A78">
            <w:pPr>
              <w:jc w:val="center"/>
              <w:rPr>
                <w:rFonts w:ascii="Arial" w:hAnsi="Arial"/>
                <w:sz w:val="22"/>
              </w:rPr>
            </w:pPr>
            <w:r w:rsidRPr="00B8666C">
              <w:rPr>
                <w:rFonts w:ascii="Arial" w:hAnsi="Arial"/>
                <w:sz w:val="22"/>
              </w:rPr>
              <w:t>Sandstone</w:t>
            </w:r>
          </w:p>
        </w:tc>
        <w:tc>
          <w:tcPr>
            <w:tcW w:w="1879" w:type="dxa"/>
          </w:tcPr>
          <w:p w14:paraId="30050D8E" w14:textId="77777777" w:rsidR="00152A78" w:rsidRPr="00B8666C" w:rsidRDefault="00152A78" w:rsidP="00152A78">
            <w:pPr>
              <w:jc w:val="center"/>
              <w:rPr>
                <w:rFonts w:ascii="Arial" w:hAnsi="Arial"/>
                <w:sz w:val="22"/>
              </w:rPr>
            </w:pPr>
            <w:r w:rsidRPr="00B8666C">
              <w:rPr>
                <w:rFonts w:ascii="Arial" w:hAnsi="Arial"/>
                <w:sz w:val="22"/>
              </w:rPr>
              <w:t>1.2</w:t>
            </w:r>
          </w:p>
        </w:tc>
      </w:tr>
      <w:tr w:rsidR="00152A78" w14:paraId="38D22AF0" w14:textId="77777777" w:rsidTr="002F7593">
        <w:trPr>
          <w:jc w:val="center"/>
        </w:trPr>
        <w:tc>
          <w:tcPr>
            <w:tcW w:w="2625" w:type="dxa"/>
          </w:tcPr>
          <w:p w14:paraId="27612BA3" w14:textId="77777777" w:rsidR="00152A78" w:rsidRPr="00B8666C" w:rsidRDefault="00152A78" w:rsidP="00152A78">
            <w:pPr>
              <w:jc w:val="center"/>
              <w:rPr>
                <w:rFonts w:ascii="Arial" w:hAnsi="Arial"/>
                <w:sz w:val="22"/>
              </w:rPr>
            </w:pPr>
            <w:r w:rsidRPr="00B8666C">
              <w:rPr>
                <w:rFonts w:ascii="Arial" w:hAnsi="Arial"/>
                <w:sz w:val="22"/>
              </w:rPr>
              <w:t>Natural Subgrade</w:t>
            </w:r>
          </w:p>
        </w:tc>
        <w:tc>
          <w:tcPr>
            <w:tcW w:w="1879" w:type="dxa"/>
          </w:tcPr>
          <w:p w14:paraId="55D3C8FB" w14:textId="77777777" w:rsidR="00152A78" w:rsidRDefault="00152A78" w:rsidP="00152A78">
            <w:pPr>
              <w:jc w:val="center"/>
              <w:rPr>
                <w:rFonts w:ascii="Arial" w:hAnsi="Arial"/>
                <w:sz w:val="22"/>
              </w:rPr>
            </w:pPr>
            <w:r w:rsidRPr="00B8666C">
              <w:rPr>
                <w:rFonts w:ascii="Arial" w:hAnsi="Arial"/>
                <w:sz w:val="22"/>
              </w:rPr>
              <w:t>0.9</w:t>
            </w:r>
          </w:p>
        </w:tc>
      </w:tr>
    </w:tbl>
    <w:p w14:paraId="71C60649" w14:textId="77777777" w:rsidR="00152A78" w:rsidRPr="00A66597" w:rsidRDefault="00152A78" w:rsidP="002F7593">
      <w:pPr>
        <w:pStyle w:val="Heading3"/>
        <w:tabs>
          <w:tab w:val="left" w:pos="1080"/>
        </w:tabs>
        <w:ind w:hanging="1980"/>
      </w:pPr>
      <w:bookmarkStart w:id="187" w:name="_Tensile_Strength_Modulus_2"/>
      <w:bookmarkEnd w:id="187"/>
      <w:r w:rsidRPr="00A66597">
        <w:t>Tensile Strength Modulus of PCC</w:t>
      </w:r>
    </w:p>
    <w:p w14:paraId="54EC1B33" w14:textId="77777777" w:rsidR="00152A78" w:rsidRPr="00A66597" w:rsidRDefault="00152A78" w:rsidP="00152A78">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CRCP_steel_reinforcement_1" w:history="1">
        <w:r w:rsidRPr="00A66597">
          <w:rPr>
            <w:rStyle w:val="Hyperlink"/>
            <w:rFonts w:ascii="Arial" w:hAnsi="Arial" w:cs="Arial"/>
            <w:bCs/>
            <w:sz w:val="16"/>
            <w:szCs w:val="16"/>
          </w:rPr>
          <w:t>CRCP steel reinforcement design inputs – AASHTO 1993</w:t>
        </w:r>
      </w:hyperlink>
    </w:p>
    <w:p w14:paraId="00DC56F6" w14:textId="77777777" w:rsidR="00152A78" w:rsidRPr="00A66597" w:rsidRDefault="00152A78" w:rsidP="00152A78">
      <w:pPr>
        <w:jc w:val="both"/>
        <w:rPr>
          <w:rFonts w:ascii="Arial" w:hAnsi="Arial"/>
          <w:sz w:val="22"/>
        </w:rPr>
      </w:pPr>
    </w:p>
    <w:p w14:paraId="2000D045" w14:textId="60DF55F0" w:rsidR="00152A78" w:rsidRPr="00A66597" w:rsidRDefault="00152A78" w:rsidP="00152A78">
      <w:pPr>
        <w:jc w:val="both"/>
        <w:rPr>
          <w:rFonts w:ascii="Arial" w:hAnsi="Arial"/>
          <w:sz w:val="22"/>
        </w:rPr>
      </w:pPr>
      <w:r w:rsidRPr="00A66597">
        <w:rPr>
          <w:rFonts w:ascii="Arial" w:hAnsi="Arial"/>
          <w:sz w:val="22"/>
        </w:rPr>
        <w:t>There are two methods to measure the tensile strength of PCC, modulus of rupture (S</w:t>
      </w:r>
      <w:r w:rsidR="00361350">
        <w:rPr>
          <w:rFonts w:ascii="Arial" w:hAnsi="Arial"/>
          <w:sz w:val="22"/>
        </w:rPr>
        <w:t>'</w:t>
      </w:r>
      <w:r w:rsidRPr="00A66597">
        <w:rPr>
          <w:rFonts w:ascii="Arial" w:hAnsi="Arial"/>
          <w:sz w:val="22"/>
          <w:vertAlign w:val="subscript"/>
        </w:rPr>
        <w:t>c</w:t>
      </w:r>
      <w:r w:rsidRPr="00A66597">
        <w:rPr>
          <w:rFonts w:ascii="Arial" w:hAnsi="Arial"/>
          <w:sz w:val="22"/>
        </w:rPr>
        <w:t>) and indirect tensile strength (f</w:t>
      </w:r>
      <w:r w:rsidRPr="00A66597">
        <w:rPr>
          <w:rFonts w:ascii="Arial" w:hAnsi="Arial"/>
          <w:sz w:val="22"/>
          <w:vertAlign w:val="subscript"/>
        </w:rPr>
        <w:t>t</w:t>
      </w:r>
      <w:r w:rsidRPr="00A66597">
        <w:rPr>
          <w:rFonts w:ascii="Arial" w:hAnsi="Arial"/>
          <w:sz w:val="22"/>
        </w:rPr>
        <w:t>).  The modulus of rupture (S</w:t>
      </w:r>
      <w:r w:rsidR="00361350">
        <w:rPr>
          <w:rFonts w:ascii="Arial" w:hAnsi="Arial"/>
          <w:sz w:val="22"/>
        </w:rPr>
        <w:t>'</w:t>
      </w:r>
      <w:r w:rsidRPr="00A66597">
        <w:rPr>
          <w:rFonts w:ascii="Arial" w:hAnsi="Arial"/>
          <w:sz w:val="22"/>
          <w:vertAlign w:val="subscript"/>
        </w:rPr>
        <w:t>c</w:t>
      </w:r>
      <w:r w:rsidRPr="00A66597">
        <w:rPr>
          <w:rFonts w:ascii="Arial" w:hAnsi="Arial"/>
          <w:sz w:val="22"/>
        </w:rPr>
        <w:t>) is an indication of the flexural strength of PCC and is used in the AASHTO pavement design procedure to calculate slab thickness.  The indirect tensile strength (f</w:t>
      </w:r>
      <w:r w:rsidRPr="00A66597">
        <w:rPr>
          <w:rFonts w:ascii="Arial" w:hAnsi="Arial"/>
          <w:sz w:val="22"/>
          <w:vertAlign w:val="subscript"/>
        </w:rPr>
        <w:t>t</w:t>
      </w:r>
      <w:r w:rsidRPr="00A66597">
        <w:rPr>
          <w:rFonts w:ascii="Arial" w:hAnsi="Arial"/>
          <w:sz w:val="22"/>
        </w:rPr>
        <w:t xml:space="preserve">) is used in the AASHTO pavement design procedure to calculate steel reinforcement requirements.  </w:t>
      </w:r>
    </w:p>
    <w:p w14:paraId="5A42A3AF" w14:textId="77777777" w:rsidR="00152A78" w:rsidRPr="00A66597" w:rsidRDefault="00152A78" w:rsidP="00152A78">
      <w:pPr>
        <w:jc w:val="both"/>
        <w:rPr>
          <w:rFonts w:ascii="Arial" w:hAnsi="Arial"/>
          <w:sz w:val="22"/>
        </w:rPr>
      </w:pPr>
    </w:p>
    <w:p w14:paraId="498E53E4" w14:textId="77777777" w:rsidR="00152A78" w:rsidRPr="00A66597" w:rsidRDefault="00152A78" w:rsidP="00152A78">
      <w:pPr>
        <w:jc w:val="both"/>
        <w:rPr>
          <w:rFonts w:ascii="Arial" w:hAnsi="Arial"/>
          <w:sz w:val="22"/>
        </w:rPr>
      </w:pPr>
      <w:r w:rsidRPr="00A66597">
        <w:rPr>
          <w:rFonts w:ascii="Arial" w:hAnsi="Arial"/>
          <w:sz w:val="22"/>
        </w:rPr>
        <w:lastRenderedPageBreak/>
        <w:t>The indirect tensile strength should be consistent with the modulus of rupture.  For the AASHTO pavement design procedure, the indirect tensile strength will normally be about 86 percent of the concrete modulus of r</w:t>
      </w:r>
      <w:r w:rsidRPr="00D6216B">
        <w:rPr>
          <w:rFonts w:ascii="Arial" w:hAnsi="Arial" w:cs="Arial"/>
          <w:sz w:val="22"/>
          <w:szCs w:val="22"/>
        </w:rPr>
        <w:t xml:space="preserve">upture.  See </w:t>
      </w:r>
      <w:hyperlink w:anchor="_Strength_and_Stiffness" w:history="1">
        <w:r w:rsidRPr="00D6216B">
          <w:rPr>
            <w:rStyle w:val="Hyperlink"/>
            <w:rFonts w:ascii="Arial" w:hAnsi="Arial" w:cs="Arial"/>
            <w:sz w:val="22"/>
            <w:szCs w:val="22"/>
          </w:rPr>
          <w:t>Strength and Stiffness Properties</w:t>
        </w:r>
      </w:hyperlink>
      <w:r>
        <w:t>.</w:t>
      </w:r>
    </w:p>
    <w:p w14:paraId="743535C8" w14:textId="77777777" w:rsidR="00152A78" w:rsidRPr="00A66597" w:rsidRDefault="00152A78" w:rsidP="002F7593">
      <w:pPr>
        <w:pStyle w:val="Heading3"/>
        <w:tabs>
          <w:tab w:val="left" w:pos="1080"/>
        </w:tabs>
        <w:ind w:hanging="1980"/>
      </w:pPr>
      <w:bookmarkStart w:id="188" w:name="_Coefficient_of_Thermal"/>
      <w:bookmarkStart w:id="189" w:name="_Drying_Shrinkage_Coefficient"/>
      <w:bookmarkEnd w:id="188"/>
      <w:bookmarkEnd w:id="189"/>
      <w:r w:rsidRPr="00A66597">
        <w:t>Drying Shrinkage Coefficient of PCC Slab</w:t>
      </w:r>
    </w:p>
    <w:p w14:paraId="385D1F56" w14:textId="77777777" w:rsidR="00152A78" w:rsidRPr="00A66597" w:rsidRDefault="00152A78" w:rsidP="00152A78">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Pavement_Mechanistic-Empirical_Anal" w:history="1">
        <w:r w:rsidRPr="00A66597">
          <w:rPr>
            <w:rStyle w:val="Hyperlink"/>
            <w:rFonts w:ascii="Arial" w:hAnsi="Arial" w:cs="Arial"/>
            <w:bCs/>
            <w:sz w:val="16"/>
            <w:szCs w:val="16"/>
          </w:rPr>
          <w:t>Pavement Mechanistic-Empirical Analysis</w:t>
        </w:r>
      </w:hyperlink>
    </w:p>
    <w:p w14:paraId="6787EC73" w14:textId="77777777" w:rsidR="00152A78" w:rsidRPr="00A66597" w:rsidRDefault="00152A78" w:rsidP="00152A78">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New_Pavement_Design_2" w:history="1">
        <w:r w:rsidRPr="00A66597">
          <w:rPr>
            <w:rStyle w:val="Hyperlink"/>
            <w:rFonts w:ascii="Arial" w:hAnsi="Arial" w:cs="Arial"/>
            <w:bCs/>
            <w:sz w:val="16"/>
            <w:szCs w:val="16"/>
          </w:rPr>
          <w:t>New Pavement Design Using AASHTO 1993</w:t>
        </w:r>
      </w:hyperlink>
    </w:p>
    <w:p w14:paraId="6486D92F" w14:textId="1A06C465" w:rsidR="00152A78" w:rsidRPr="00A66597" w:rsidRDefault="00152A78" w:rsidP="00152A78">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CRCP_steel_reinforcement_1" w:history="1">
        <w:r w:rsidRPr="00A66597">
          <w:rPr>
            <w:rStyle w:val="Hyperlink"/>
            <w:rFonts w:ascii="Arial" w:hAnsi="Arial" w:cs="Arial"/>
            <w:bCs/>
            <w:sz w:val="16"/>
            <w:szCs w:val="16"/>
          </w:rPr>
          <w:t xml:space="preserve">CRCP </w:t>
        </w:r>
        <w:r w:rsidR="00272BE3" w:rsidRPr="00A66597">
          <w:rPr>
            <w:rStyle w:val="Hyperlink"/>
            <w:rFonts w:ascii="Arial" w:hAnsi="Arial" w:cs="Arial"/>
            <w:bCs/>
            <w:sz w:val="16"/>
            <w:szCs w:val="16"/>
          </w:rPr>
          <w:t>Steel Reinforcement Design In</w:t>
        </w:r>
        <w:r w:rsidRPr="00A66597">
          <w:rPr>
            <w:rStyle w:val="Hyperlink"/>
            <w:rFonts w:ascii="Arial" w:hAnsi="Arial" w:cs="Arial"/>
            <w:bCs/>
            <w:sz w:val="16"/>
            <w:szCs w:val="16"/>
          </w:rPr>
          <w:t>puts – AASHTO 1993</w:t>
        </w:r>
      </w:hyperlink>
    </w:p>
    <w:p w14:paraId="2446BF03" w14:textId="77777777" w:rsidR="00152A78" w:rsidRPr="00A66597" w:rsidRDefault="00152A78" w:rsidP="00152A78">
      <w:pPr>
        <w:jc w:val="both"/>
        <w:rPr>
          <w:rFonts w:ascii="Arial" w:hAnsi="Arial"/>
          <w:sz w:val="22"/>
        </w:rPr>
      </w:pPr>
    </w:p>
    <w:p w14:paraId="491A8EE3" w14:textId="24B34330" w:rsidR="00152A78" w:rsidRPr="00A66597" w:rsidRDefault="00152A78" w:rsidP="00152A78">
      <w:pPr>
        <w:jc w:val="both"/>
        <w:rPr>
          <w:rFonts w:ascii="Arial" w:hAnsi="Arial"/>
          <w:sz w:val="22"/>
        </w:rPr>
      </w:pPr>
      <w:r w:rsidRPr="00A66597">
        <w:rPr>
          <w:rFonts w:ascii="Arial" w:hAnsi="Arial"/>
          <w:sz w:val="22"/>
        </w:rPr>
        <w:t>The shrinkage that occurs in a curing PCC slab needs to be considered in the design of the longitudinal reinforcement steel design in CRCP and the joint reservoir in jointed rigid pavements.  Drying shrinkage is a result of water loss from curing PCC that is affected by cement content, the types of admixtures, the curing method, the aggregates, and curing conditions.  The value of shrinkage at 28 days is used for the design shrinkage value.  The shrinkage factor of a PCC slab is inversely proportional to the strength.  Therefore, the more water that is added to a PCC mix</w:t>
      </w:r>
      <w:r w:rsidR="00F501D3">
        <w:rPr>
          <w:rFonts w:ascii="Arial" w:hAnsi="Arial"/>
          <w:sz w:val="22"/>
        </w:rPr>
        <w:t>,</w:t>
      </w:r>
      <w:r w:rsidRPr="00A66597">
        <w:rPr>
          <w:rFonts w:ascii="Arial" w:hAnsi="Arial"/>
          <w:sz w:val="22"/>
        </w:rPr>
        <w:t xml:space="preserve"> the greater the potential for shrinkage becomes and the strength of the PCC will decrease.  So, the 28-day indirect tensile strength can be used as a guide in selecting a drying shrinkage coefficient.  The recommended drying shrinkage coefficients for PCC slabs are presented in the following table:   </w:t>
      </w:r>
    </w:p>
    <w:p w14:paraId="1AE8682B" w14:textId="77777777" w:rsidR="00152A78" w:rsidRPr="00A66597" w:rsidRDefault="00152A78" w:rsidP="00152A78">
      <w:pPr>
        <w:rPr>
          <w:rFonts w:ascii="Arial" w:hAnsi="Arial"/>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2250"/>
      </w:tblGrid>
      <w:tr w:rsidR="00152A78" w:rsidRPr="00A66597" w14:paraId="6593B046" w14:textId="77777777" w:rsidTr="002F7593">
        <w:trPr>
          <w:tblHeader/>
          <w:jc w:val="center"/>
        </w:trPr>
        <w:tc>
          <w:tcPr>
            <w:tcW w:w="3510" w:type="dxa"/>
            <w:shd w:val="pct12" w:color="auto" w:fill="FFFFFF"/>
          </w:tcPr>
          <w:p w14:paraId="60F0FAF5" w14:textId="77777777" w:rsidR="00152A78" w:rsidRPr="00A66597" w:rsidRDefault="00152A78" w:rsidP="00152A78">
            <w:pPr>
              <w:jc w:val="center"/>
              <w:rPr>
                <w:rFonts w:ascii="Arial" w:hAnsi="Arial"/>
                <w:b/>
                <w:sz w:val="22"/>
              </w:rPr>
            </w:pPr>
            <w:r w:rsidRPr="00A66597">
              <w:rPr>
                <w:rFonts w:ascii="Arial" w:hAnsi="Arial"/>
                <w:b/>
                <w:sz w:val="22"/>
              </w:rPr>
              <w:t>Indirect Tensile Strength (psi)</w:t>
            </w:r>
          </w:p>
        </w:tc>
        <w:tc>
          <w:tcPr>
            <w:tcW w:w="2250" w:type="dxa"/>
            <w:shd w:val="pct12" w:color="auto" w:fill="FFFFFF"/>
          </w:tcPr>
          <w:p w14:paraId="17D871D5" w14:textId="10A91329" w:rsidR="00152A78" w:rsidRPr="00A66597" w:rsidRDefault="00152A78" w:rsidP="00152A78">
            <w:pPr>
              <w:jc w:val="center"/>
              <w:rPr>
                <w:rFonts w:ascii="Arial" w:hAnsi="Arial"/>
                <w:b/>
                <w:sz w:val="22"/>
              </w:rPr>
            </w:pPr>
            <w:r w:rsidRPr="00A66597">
              <w:rPr>
                <w:rFonts w:ascii="Arial" w:hAnsi="Arial"/>
                <w:b/>
                <w:sz w:val="22"/>
              </w:rPr>
              <w:t>Shrinkage (in</w:t>
            </w:r>
            <w:r w:rsidR="00272BE3">
              <w:rPr>
                <w:rFonts w:ascii="Arial" w:hAnsi="Arial"/>
                <w:b/>
                <w:sz w:val="22"/>
              </w:rPr>
              <w:t>ch</w:t>
            </w:r>
            <w:r w:rsidRPr="00A66597">
              <w:rPr>
                <w:rFonts w:ascii="Arial" w:hAnsi="Arial"/>
                <w:b/>
                <w:sz w:val="22"/>
              </w:rPr>
              <w:t>/in</w:t>
            </w:r>
            <w:r w:rsidR="00272BE3">
              <w:rPr>
                <w:rFonts w:ascii="Arial" w:hAnsi="Arial"/>
                <w:b/>
                <w:sz w:val="22"/>
              </w:rPr>
              <w:t>ch</w:t>
            </w:r>
            <w:r w:rsidRPr="00A66597">
              <w:rPr>
                <w:rFonts w:ascii="Arial" w:hAnsi="Arial"/>
                <w:b/>
                <w:sz w:val="22"/>
              </w:rPr>
              <w:t>)</w:t>
            </w:r>
          </w:p>
        </w:tc>
      </w:tr>
      <w:tr w:rsidR="00152A78" w:rsidRPr="00A66597" w14:paraId="5C6A2AD7" w14:textId="77777777" w:rsidTr="002F7593">
        <w:trPr>
          <w:jc w:val="center"/>
        </w:trPr>
        <w:tc>
          <w:tcPr>
            <w:tcW w:w="3510" w:type="dxa"/>
          </w:tcPr>
          <w:p w14:paraId="6DDE5A99" w14:textId="77777777" w:rsidR="00152A78" w:rsidRPr="00A66597" w:rsidRDefault="00152A78" w:rsidP="00152A78">
            <w:pPr>
              <w:jc w:val="center"/>
              <w:rPr>
                <w:rFonts w:ascii="Arial" w:hAnsi="Arial"/>
                <w:sz w:val="22"/>
              </w:rPr>
            </w:pPr>
            <w:r w:rsidRPr="00A66597">
              <w:rPr>
                <w:rFonts w:ascii="Arial" w:hAnsi="Arial"/>
                <w:sz w:val="22"/>
              </w:rPr>
              <w:t>300 or &lt;</w:t>
            </w:r>
          </w:p>
        </w:tc>
        <w:tc>
          <w:tcPr>
            <w:tcW w:w="2250" w:type="dxa"/>
          </w:tcPr>
          <w:p w14:paraId="06469260" w14:textId="77777777" w:rsidR="00152A78" w:rsidRPr="00A66597" w:rsidRDefault="00152A78" w:rsidP="00152A78">
            <w:pPr>
              <w:jc w:val="center"/>
              <w:rPr>
                <w:rFonts w:ascii="Arial" w:hAnsi="Arial"/>
                <w:sz w:val="22"/>
              </w:rPr>
            </w:pPr>
            <w:r w:rsidRPr="00A66597">
              <w:rPr>
                <w:rFonts w:ascii="Arial" w:hAnsi="Arial"/>
                <w:sz w:val="22"/>
              </w:rPr>
              <w:t>0.0008</w:t>
            </w:r>
          </w:p>
        </w:tc>
      </w:tr>
      <w:tr w:rsidR="00152A78" w:rsidRPr="00A66597" w14:paraId="3D7009D2" w14:textId="77777777" w:rsidTr="002F7593">
        <w:trPr>
          <w:jc w:val="center"/>
        </w:trPr>
        <w:tc>
          <w:tcPr>
            <w:tcW w:w="3510" w:type="dxa"/>
          </w:tcPr>
          <w:p w14:paraId="6FFA5C42" w14:textId="77777777" w:rsidR="00152A78" w:rsidRPr="00A66597" w:rsidRDefault="00152A78" w:rsidP="00152A78">
            <w:pPr>
              <w:jc w:val="center"/>
              <w:rPr>
                <w:rFonts w:ascii="Arial" w:hAnsi="Arial"/>
                <w:sz w:val="22"/>
              </w:rPr>
            </w:pPr>
            <w:r w:rsidRPr="00A66597">
              <w:rPr>
                <w:rFonts w:ascii="Arial" w:hAnsi="Arial"/>
                <w:sz w:val="22"/>
              </w:rPr>
              <w:t>400</w:t>
            </w:r>
          </w:p>
        </w:tc>
        <w:tc>
          <w:tcPr>
            <w:tcW w:w="2250" w:type="dxa"/>
          </w:tcPr>
          <w:p w14:paraId="72B24E3A" w14:textId="77777777" w:rsidR="00152A78" w:rsidRPr="00A66597" w:rsidRDefault="00152A78" w:rsidP="00152A78">
            <w:pPr>
              <w:jc w:val="center"/>
              <w:rPr>
                <w:rFonts w:ascii="Arial" w:hAnsi="Arial"/>
                <w:sz w:val="22"/>
              </w:rPr>
            </w:pPr>
            <w:r w:rsidRPr="00A66597">
              <w:rPr>
                <w:rFonts w:ascii="Arial" w:hAnsi="Arial"/>
                <w:sz w:val="22"/>
              </w:rPr>
              <w:t>0.0006</w:t>
            </w:r>
          </w:p>
        </w:tc>
      </w:tr>
      <w:tr w:rsidR="00152A78" w:rsidRPr="00A66597" w14:paraId="342720C1" w14:textId="77777777" w:rsidTr="002F7593">
        <w:trPr>
          <w:jc w:val="center"/>
        </w:trPr>
        <w:tc>
          <w:tcPr>
            <w:tcW w:w="3510" w:type="dxa"/>
          </w:tcPr>
          <w:p w14:paraId="0E3595C8" w14:textId="77777777" w:rsidR="00152A78" w:rsidRPr="00A66597" w:rsidRDefault="00152A78" w:rsidP="00152A78">
            <w:pPr>
              <w:jc w:val="center"/>
              <w:rPr>
                <w:rFonts w:ascii="Arial" w:hAnsi="Arial"/>
                <w:sz w:val="22"/>
              </w:rPr>
            </w:pPr>
            <w:r w:rsidRPr="00A66597">
              <w:rPr>
                <w:rFonts w:ascii="Arial" w:hAnsi="Arial"/>
                <w:sz w:val="22"/>
              </w:rPr>
              <w:t>500</w:t>
            </w:r>
          </w:p>
        </w:tc>
        <w:tc>
          <w:tcPr>
            <w:tcW w:w="2250" w:type="dxa"/>
          </w:tcPr>
          <w:p w14:paraId="38BFE0FD" w14:textId="77777777" w:rsidR="00152A78" w:rsidRPr="00A66597" w:rsidRDefault="00152A78" w:rsidP="00152A78">
            <w:pPr>
              <w:jc w:val="center"/>
              <w:rPr>
                <w:rFonts w:ascii="Arial" w:hAnsi="Arial"/>
                <w:sz w:val="22"/>
              </w:rPr>
            </w:pPr>
            <w:r w:rsidRPr="00A66597">
              <w:rPr>
                <w:rFonts w:ascii="Arial" w:hAnsi="Arial"/>
                <w:sz w:val="22"/>
              </w:rPr>
              <w:t>0.00045</w:t>
            </w:r>
          </w:p>
        </w:tc>
      </w:tr>
      <w:tr w:rsidR="00152A78" w:rsidRPr="00A66597" w14:paraId="6232663D" w14:textId="77777777" w:rsidTr="002F7593">
        <w:trPr>
          <w:jc w:val="center"/>
        </w:trPr>
        <w:tc>
          <w:tcPr>
            <w:tcW w:w="3510" w:type="dxa"/>
          </w:tcPr>
          <w:p w14:paraId="5C205398" w14:textId="77777777" w:rsidR="00152A78" w:rsidRPr="00A66597" w:rsidRDefault="00152A78" w:rsidP="00152A78">
            <w:pPr>
              <w:jc w:val="center"/>
              <w:rPr>
                <w:rFonts w:ascii="Arial" w:hAnsi="Arial"/>
                <w:sz w:val="22"/>
              </w:rPr>
            </w:pPr>
            <w:r w:rsidRPr="00A66597">
              <w:rPr>
                <w:rFonts w:ascii="Arial" w:hAnsi="Arial"/>
                <w:sz w:val="22"/>
              </w:rPr>
              <w:t>600</w:t>
            </w:r>
          </w:p>
        </w:tc>
        <w:tc>
          <w:tcPr>
            <w:tcW w:w="2250" w:type="dxa"/>
          </w:tcPr>
          <w:p w14:paraId="5F33D2FF" w14:textId="77777777" w:rsidR="00152A78" w:rsidRPr="00A66597" w:rsidRDefault="00152A78" w:rsidP="00152A78">
            <w:pPr>
              <w:jc w:val="center"/>
              <w:rPr>
                <w:rFonts w:ascii="Arial" w:hAnsi="Arial"/>
                <w:sz w:val="22"/>
              </w:rPr>
            </w:pPr>
            <w:r w:rsidRPr="00A66597">
              <w:rPr>
                <w:rFonts w:ascii="Arial" w:hAnsi="Arial"/>
                <w:sz w:val="22"/>
              </w:rPr>
              <w:t>0.0003</w:t>
            </w:r>
          </w:p>
        </w:tc>
      </w:tr>
      <w:tr w:rsidR="00152A78" w:rsidRPr="00A66597" w14:paraId="68337FD1" w14:textId="77777777" w:rsidTr="002F7593">
        <w:trPr>
          <w:jc w:val="center"/>
        </w:trPr>
        <w:tc>
          <w:tcPr>
            <w:tcW w:w="3510" w:type="dxa"/>
          </w:tcPr>
          <w:p w14:paraId="428917B0" w14:textId="77777777" w:rsidR="00152A78" w:rsidRPr="00A66597" w:rsidRDefault="00152A78" w:rsidP="00152A78">
            <w:pPr>
              <w:jc w:val="center"/>
              <w:rPr>
                <w:rFonts w:ascii="Arial" w:hAnsi="Arial"/>
                <w:sz w:val="22"/>
              </w:rPr>
            </w:pPr>
            <w:r w:rsidRPr="00A66597">
              <w:rPr>
                <w:rFonts w:ascii="Arial" w:hAnsi="Arial"/>
                <w:sz w:val="22"/>
              </w:rPr>
              <w:t>700 or &gt;</w:t>
            </w:r>
          </w:p>
        </w:tc>
        <w:tc>
          <w:tcPr>
            <w:tcW w:w="2250" w:type="dxa"/>
          </w:tcPr>
          <w:p w14:paraId="205E9980" w14:textId="77777777" w:rsidR="00152A78" w:rsidRPr="00A66597" w:rsidRDefault="00152A78" w:rsidP="00152A78">
            <w:pPr>
              <w:jc w:val="center"/>
              <w:rPr>
                <w:rFonts w:ascii="Arial" w:hAnsi="Arial"/>
                <w:sz w:val="22"/>
              </w:rPr>
            </w:pPr>
            <w:r w:rsidRPr="00A66597">
              <w:rPr>
                <w:rFonts w:ascii="Arial" w:hAnsi="Arial"/>
                <w:sz w:val="22"/>
              </w:rPr>
              <w:t>0.0002</w:t>
            </w:r>
          </w:p>
        </w:tc>
      </w:tr>
    </w:tbl>
    <w:p w14:paraId="1ABB573C" w14:textId="77777777" w:rsidR="00152A78" w:rsidRPr="00A66597" w:rsidRDefault="00152A78" w:rsidP="002F7593">
      <w:pPr>
        <w:pStyle w:val="Heading3"/>
        <w:tabs>
          <w:tab w:val="left" w:pos="1080"/>
        </w:tabs>
        <w:ind w:hanging="1980"/>
      </w:pPr>
      <w:bookmarkStart w:id="190" w:name="_Steel_Reinforcement_Bar"/>
      <w:bookmarkEnd w:id="190"/>
      <w:r w:rsidRPr="00A66597">
        <w:t>Steel Reinforcement Bar Dimensions</w:t>
      </w:r>
    </w:p>
    <w:p w14:paraId="200E5843" w14:textId="77777777" w:rsidR="00152A78" w:rsidRPr="00A66597" w:rsidRDefault="00152A78" w:rsidP="00152A78">
      <w:pPr>
        <w:rPr>
          <w:rFonts w:ascii="Arial" w:hAnsi="Arial" w:cs="Arial"/>
          <w:bCs/>
          <w:sz w:val="16"/>
          <w:szCs w:val="16"/>
        </w:rPr>
      </w:pPr>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Pavement_Mechanistic-Empirical_Anal" w:history="1">
        <w:r w:rsidRPr="00A66597">
          <w:rPr>
            <w:rStyle w:val="Hyperlink"/>
            <w:rFonts w:ascii="Arial" w:hAnsi="Arial" w:cs="Arial"/>
            <w:bCs/>
            <w:sz w:val="16"/>
            <w:szCs w:val="16"/>
          </w:rPr>
          <w:t>Pavement Mechanistic-Empirical Analysis</w:t>
        </w:r>
      </w:hyperlink>
    </w:p>
    <w:p w14:paraId="615CD668" w14:textId="4150D5C6" w:rsidR="00152A78" w:rsidRPr="00A66597" w:rsidRDefault="00152A78" w:rsidP="00152A78">
      <w:pPr>
        <w:rPr>
          <w:rFonts w:ascii="Arial" w:hAnsi="Arial" w:cs="Arial"/>
          <w:sz w:val="16"/>
          <w:szCs w:val="16"/>
        </w:rPr>
      </w:pPr>
      <w:r w:rsidRPr="00A66597">
        <w:rPr>
          <w:rFonts w:ascii="Arial" w:eastAsia="Arial" w:hAnsi="Arial" w:cs="Arial"/>
          <w:sz w:val="16"/>
          <w:szCs w:val="16"/>
        </w:rPr>
        <w:t>Click to go to</w:t>
      </w:r>
      <w:r w:rsidRPr="00A66597">
        <w:rPr>
          <w:rFonts w:ascii="Arial" w:hAnsi="Arial" w:cs="Arial"/>
          <w:bCs/>
          <w:sz w:val="16"/>
          <w:szCs w:val="16"/>
        </w:rPr>
        <w:t xml:space="preserve"> </w:t>
      </w:r>
      <w:hyperlink w:anchor="_Jointed_Plain_Concrete_1" w:history="1">
        <w:r w:rsidRPr="00A66597">
          <w:rPr>
            <w:rStyle w:val="Hyperlink"/>
            <w:rFonts w:ascii="Arial" w:hAnsi="Arial" w:cs="Arial"/>
            <w:sz w:val="16"/>
            <w:szCs w:val="16"/>
          </w:rPr>
          <w:t>Jointed Plain Concrete Pavement Design</w:t>
        </w:r>
      </w:hyperlink>
    </w:p>
    <w:p w14:paraId="419A4C57" w14:textId="5525EA84" w:rsidR="00152A78" w:rsidRPr="00A66597" w:rsidRDefault="00152A78" w:rsidP="00152A78">
      <w:pPr>
        <w:pStyle w:val="ListNumber"/>
        <w:tabs>
          <w:tab w:val="clear" w:pos="720"/>
          <w:tab w:val="clear" w:pos="1872"/>
          <w:tab w:val="left" w:pos="90"/>
        </w:tabs>
        <w:spacing w:before="0"/>
        <w:ind w:left="0" w:firstLine="0"/>
        <w:rPr>
          <w:sz w:val="16"/>
          <w:szCs w:val="16"/>
        </w:rPr>
      </w:pPr>
      <w:r w:rsidRPr="00A66597">
        <w:rPr>
          <w:rFonts w:eastAsia="Arial" w:cs="Arial"/>
          <w:sz w:val="16"/>
          <w:szCs w:val="16"/>
        </w:rPr>
        <w:t>Click to go to</w:t>
      </w:r>
      <w:r w:rsidRPr="00A66597">
        <w:rPr>
          <w:rFonts w:cs="Arial"/>
          <w:bCs/>
          <w:sz w:val="16"/>
          <w:szCs w:val="16"/>
        </w:rPr>
        <w:t xml:space="preserve"> </w:t>
      </w:r>
      <w:hyperlink w:anchor="_Continuous_Reinforced_Concrete_1" w:history="1">
        <w:r w:rsidRPr="00A66597">
          <w:rPr>
            <w:rStyle w:val="Hyperlink"/>
            <w:sz w:val="16"/>
            <w:szCs w:val="16"/>
          </w:rPr>
          <w:t>Continuous Reinforced Concrete Pavement Design</w:t>
        </w:r>
      </w:hyperlink>
    </w:p>
    <w:p w14:paraId="576F8969" w14:textId="77777777" w:rsidR="00152A78" w:rsidRPr="00A66597" w:rsidRDefault="00152A78" w:rsidP="00152A78">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New_Pavement_Design_2" w:history="1">
        <w:r w:rsidRPr="00A66597">
          <w:rPr>
            <w:rStyle w:val="Hyperlink"/>
            <w:rFonts w:ascii="Arial" w:hAnsi="Arial" w:cs="Arial"/>
            <w:bCs/>
            <w:sz w:val="16"/>
            <w:szCs w:val="16"/>
          </w:rPr>
          <w:t>New Pavement Design Using AASHTO 1993</w:t>
        </w:r>
      </w:hyperlink>
    </w:p>
    <w:p w14:paraId="6CF758E2" w14:textId="77777777" w:rsidR="00152A78" w:rsidRPr="00A66597" w:rsidRDefault="00152A78" w:rsidP="00152A78"/>
    <w:p w14:paraId="6819CAD6" w14:textId="77777777" w:rsidR="00152A78" w:rsidRPr="00A66597" w:rsidRDefault="00152A78" w:rsidP="00152A78">
      <w:pPr>
        <w:jc w:val="both"/>
        <w:rPr>
          <w:rFonts w:ascii="Arial" w:hAnsi="Arial"/>
          <w:sz w:val="22"/>
        </w:rPr>
      </w:pPr>
      <w:r w:rsidRPr="00A66597">
        <w:rPr>
          <w:rFonts w:ascii="Arial" w:hAnsi="Arial"/>
          <w:sz w:val="22"/>
        </w:rPr>
        <w:t xml:space="preserve">The following is a listing of the typical reinforcement bar dimensions in terms of diameter and cross sectional area for dowels and tie bars. </w:t>
      </w:r>
    </w:p>
    <w:p w14:paraId="408773F2" w14:textId="77777777" w:rsidR="00152A78" w:rsidRPr="00A66597" w:rsidRDefault="00152A78" w:rsidP="00152A78">
      <w:pPr>
        <w:rPr>
          <w:rFonts w:ascii="Arial" w:hAnsi="Arial"/>
          <w:sz w:val="22"/>
        </w:rPr>
      </w:pP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0"/>
        <w:gridCol w:w="1980"/>
        <w:gridCol w:w="3240"/>
      </w:tblGrid>
      <w:tr w:rsidR="00152A78" w:rsidRPr="00A66597" w14:paraId="75D05544" w14:textId="77777777" w:rsidTr="00152A78">
        <w:trPr>
          <w:tblHeader/>
        </w:trPr>
        <w:tc>
          <w:tcPr>
            <w:tcW w:w="1350" w:type="dxa"/>
            <w:shd w:val="pct12" w:color="auto" w:fill="FFFFFF"/>
          </w:tcPr>
          <w:p w14:paraId="2777DC96" w14:textId="77777777" w:rsidR="00152A78" w:rsidRPr="00A66597" w:rsidRDefault="00152A78" w:rsidP="00152A78">
            <w:pPr>
              <w:jc w:val="center"/>
              <w:rPr>
                <w:rFonts w:ascii="Arial" w:hAnsi="Arial"/>
                <w:b/>
                <w:sz w:val="22"/>
              </w:rPr>
            </w:pPr>
            <w:r w:rsidRPr="00A66597">
              <w:rPr>
                <w:rFonts w:ascii="Arial" w:hAnsi="Arial"/>
                <w:b/>
                <w:sz w:val="22"/>
              </w:rPr>
              <w:t>Bar Size</w:t>
            </w:r>
          </w:p>
        </w:tc>
        <w:tc>
          <w:tcPr>
            <w:tcW w:w="1980" w:type="dxa"/>
            <w:shd w:val="pct12" w:color="auto" w:fill="FFFFFF"/>
          </w:tcPr>
          <w:p w14:paraId="3C563FE2" w14:textId="77777777" w:rsidR="00152A78" w:rsidRPr="00A66597" w:rsidRDefault="00152A78" w:rsidP="00152A78">
            <w:pPr>
              <w:jc w:val="center"/>
              <w:rPr>
                <w:rFonts w:ascii="Arial" w:hAnsi="Arial"/>
                <w:b/>
                <w:sz w:val="22"/>
              </w:rPr>
            </w:pPr>
            <w:r w:rsidRPr="00A66597">
              <w:rPr>
                <w:rFonts w:ascii="Arial" w:hAnsi="Arial"/>
                <w:b/>
                <w:sz w:val="22"/>
              </w:rPr>
              <w:t>Diameter</w:t>
            </w:r>
          </w:p>
        </w:tc>
        <w:tc>
          <w:tcPr>
            <w:tcW w:w="3240" w:type="dxa"/>
            <w:shd w:val="pct12" w:color="auto" w:fill="FFFFFF"/>
          </w:tcPr>
          <w:p w14:paraId="53DD8F53" w14:textId="3BB1DD15" w:rsidR="00152A78" w:rsidRPr="00A66597" w:rsidRDefault="00152A78" w:rsidP="00152A78">
            <w:pPr>
              <w:jc w:val="center"/>
              <w:rPr>
                <w:rFonts w:ascii="Arial" w:hAnsi="Arial"/>
                <w:b/>
                <w:sz w:val="22"/>
              </w:rPr>
            </w:pPr>
            <w:r w:rsidRPr="00A66597">
              <w:rPr>
                <w:rFonts w:ascii="Arial" w:hAnsi="Arial"/>
                <w:b/>
                <w:sz w:val="22"/>
              </w:rPr>
              <w:t>Cross-sectional Area (in</w:t>
            </w:r>
            <w:r w:rsidR="00272BE3">
              <w:rPr>
                <w:rFonts w:ascii="Arial" w:hAnsi="Arial"/>
                <w:b/>
                <w:sz w:val="22"/>
              </w:rPr>
              <w:t>ch</w:t>
            </w:r>
            <w:r w:rsidRPr="00A66597">
              <w:rPr>
                <w:rFonts w:ascii="Arial" w:hAnsi="Arial"/>
                <w:b/>
                <w:sz w:val="22"/>
                <w:vertAlign w:val="superscript"/>
              </w:rPr>
              <w:t>2</w:t>
            </w:r>
            <w:r w:rsidRPr="00A66597">
              <w:rPr>
                <w:rFonts w:ascii="Arial" w:hAnsi="Arial"/>
                <w:b/>
                <w:sz w:val="22"/>
              </w:rPr>
              <w:t>)</w:t>
            </w:r>
          </w:p>
        </w:tc>
      </w:tr>
      <w:tr w:rsidR="00152A78" w:rsidRPr="00A66597" w14:paraId="46BDB367" w14:textId="77777777" w:rsidTr="00152A78">
        <w:tc>
          <w:tcPr>
            <w:tcW w:w="1350" w:type="dxa"/>
          </w:tcPr>
          <w:p w14:paraId="5464040B" w14:textId="77777777" w:rsidR="00152A78" w:rsidRPr="00A66597" w:rsidRDefault="00152A78" w:rsidP="00152A78">
            <w:pPr>
              <w:jc w:val="center"/>
              <w:rPr>
                <w:rFonts w:ascii="Arial" w:hAnsi="Arial"/>
                <w:sz w:val="22"/>
              </w:rPr>
            </w:pPr>
            <w:r w:rsidRPr="00A66597">
              <w:rPr>
                <w:rFonts w:ascii="Arial" w:hAnsi="Arial"/>
                <w:sz w:val="22"/>
              </w:rPr>
              <w:t>#3</w:t>
            </w:r>
          </w:p>
        </w:tc>
        <w:tc>
          <w:tcPr>
            <w:tcW w:w="1980" w:type="dxa"/>
          </w:tcPr>
          <w:p w14:paraId="1BFBFB08" w14:textId="77777777" w:rsidR="00152A78" w:rsidRPr="00A66597" w:rsidRDefault="00152A78" w:rsidP="00152A78">
            <w:pPr>
              <w:jc w:val="center"/>
              <w:rPr>
                <w:rFonts w:ascii="Arial" w:hAnsi="Arial"/>
                <w:sz w:val="22"/>
              </w:rPr>
            </w:pPr>
            <w:r w:rsidRPr="00A66597">
              <w:rPr>
                <w:rFonts w:ascii="Arial" w:hAnsi="Arial"/>
                <w:sz w:val="22"/>
              </w:rPr>
              <w:t>0.375</w:t>
            </w:r>
          </w:p>
        </w:tc>
        <w:tc>
          <w:tcPr>
            <w:tcW w:w="3240" w:type="dxa"/>
          </w:tcPr>
          <w:p w14:paraId="2CDA1E00" w14:textId="77777777" w:rsidR="00152A78" w:rsidRPr="00A66597" w:rsidRDefault="00152A78" w:rsidP="00152A78">
            <w:pPr>
              <w:jc w:val="center"/>
              <w:rPr>
                <w:rFonts w:ascii="Arial" w:hAnsi="Arial"/>
                <w:sz w:val="22"/>
              </w:rPr>
            </w:pPr>
            <w:r w:rsidRPr="00A66597">
              <w:rPr>
                <w:rFonts w:ascii="Arial" w:hAnsi="Arial"/>
                <w:sz w:val="22"/>
              </w:rPr>
              <w:t>0.11</w:t>
            </w:r>
          </w:p>
        </w:tc>
      </w:tr>
      <w:tr w:rsidR="00152A78" w:rsidRPr="00A66597" w14:paraId="7B84A6D7" w14:textId="77777777" w:rsidTr="00152A78">
        <w:tc>
          <w:tcPr>
            <w:tcW w:w="1350" w:type="dxa"/>
          </w:tcPr>
          <w:p w14:paraId="7698423E" w14:textId="77777777" w:rsidR="00152A78" w:rsidRPr="00A66597" w:rsidRDefault="00152A78" w:rsidP="00152A78">
            <w:pPr>
              <w:jc w:val="center"/>
              <w:rPr>
                <w:rFonts w:ascii="Arial" w:hAnsi="Arial"/>
                <w:sz w:val="22"/>
              </w:rPr>
            </w:pPr>
            <w:r w:rsidRPr="00A66597">
              <w:rPr>
                <w:rFonts w:ascii="Arial" w:hAnsi="Arial"/>
                <w:sz w:val="22"/>
              </w:rPr>
              <w:t>#4</w:t>
            </w:r>
          </w:p>
        </w:tc>
        <w:tc>
          <w:tcPr>
            <w:tcW w:w="1980" w:type="dxa"/>
          </w:tcPr>
          <w:p w14:paraId="4A323DD5" w14:textId="77777777" w:rsidR="00152A78" w:rsidRPr="00A66597" w:rsidRDefault="00152A78" w:rsidP="00152A78">
            <w:pPr>
              <w:jc w:val="center"/>
              <w:rPr>
                <w:rFonts w:ascii="Arial" w:hAnsi="Arial"/>
                <w:sz w:val="22"/>
              </w:rPr>
            </w:pPr>
            <w:r w:rsidRPr="00A66597">
              <w:rPr>
                <w:rFonts w:ascii="Arial" w:hAnsi="Arial"/>
                <w:sz w:val="22"/>
              </w:rPr>
              <w:t>0.500</w:t>
            </w:r>
          </w:p>
        </w:tc>
        <w:tc>
          <w:tcPr>
            <w:tcW w:w="3240" w:type="dxa"/>
          </w:tcPr>
          <w:p w14:paraId="047AF138" w14:textId="77777777" w:rsidR="00152A78" w:rsidRPr="00A66597" w:rsidRDefault="00152A78" w:rsidP="00152A78">
            <w:pPr>
              <w:jc w:val="center"/>
              <w:rPr>
                <w:rFonts w:ascii="Arial" w:hAnsi="Arial"/>
                <w:sz w:val="22"/>
              </w:rPr>
            </w:pPr>
            <w:r w:rsidRPr="00A66597">
              <w:rPr>
                <w:rFonts w:ascii="Arial" w:hAnsi="Arial"/>
                <w:sz w:val="22"/>
              </w:rPr>
              <w:t>0.20</w:t>
            </w:r>
          </w:p>
        </w:tc>
      </w:tr>
      <w:tr w:rsidR="00152A78" w:rsidRPr="00A66597" w14:paraId="2A6C7D00" w14:textId="77777777" w:rsidTr="00152A78">
        <w:tc>
          <w:tcPr>
            <w:tcW w:w="1350" w:type="dxa"/>
          </w:tcPr>
          <w:p w14:paraId="2B017A79" w14:textId="77777777" w:rsidR="00152A78" w:rsidRPr="00A66597" w:rsidRDefault="00152A78" w:rsidP="00152A78">
            <w:pPr>
              <w:jc w:val="center"/>
              <w:rPr>
                <w:rFonts w:ascii="Arial" w:hAnsi="Arial"/>
                <w:sz w:val="22"/>
              </w:rPr>
            </w:pPr>
            <w:r w:rsidRPr="00A66597">
              <w:rPr>
                <w:rFonts w:ascii="Arial" w:hAnsi="Arial"/>
                <w:sz w:val="22"/>
              </w:rPr>
              <w:t>#5</w:t>
            </w:r>
          </w:p>
        </w:tc>
        <w:tc>
          <w:tcPr>
            <w:tcW w:w="1980" w:type="dxa"/>
          </w:tcPr>
          <w:p w14:paraId="72C42AE0" w14:textId="77777777" w:rsidR="00152A78" w:rsidRPr="00A66597" w:rsidRDefault="00152A78" w:rsidP="00152A78">
            <w:pPr>
              <w:jc w:val="center"/>
              <w:rPr>
                <w:rFonts w:ascii="Arial" w:hAnsi="Arial"/>
                <w:sz w:val="22"/>
              </w:rPr>
            </w:pPr>
            <w:r w:rsidRPr="00A66597">
              <w:rPr>
                <w:rFonts w:ascii="Arial" w:hAnsi="Arial"/>
                <w:sz w:val="22"/>
              </w:rPr>
              <w:t>0.625</w:t>
            </w:r>
          </w:p>
        </w:tc>
        <w:tc>
          <w:tcPr>
            <w:tcW w:w="3240" w:type="dxa"/>
          </w:tcPr>
          <w:p w14:paraId="6AADD90B" w14:textId="77777777" w:rsidR="00152A78" w:rsidRPr="00A66597" w:rsidRDefault="00152A78" w:rsidP="00152A78">
            <w:pPr>
              <w:jc w:val="center"/>
              <w:rPr>
                <w:rFonts w:ascii="Arial" w:hAnsi="Arial"/>
                <w:sz w:val="22"/>
              </w:rPr>
            </w:pPr>
            <w:r w:rsidRPr="00A66597">
              <w:rPr>
                <w:rFonts w:ascii="Arial" w:hAnsi="Arial"/>
                <w:sz w:val="22"/>
              </w:rPr>
              <w:t>0.31</w:t>
            </w:r>
          </w:p>
        </w:tc>
      </w:tr>
      <w:tr w:rsidR="00152A78" w:rsidRPr="00A66597" w14:paraId="4F6A9931" w14:textId="77777777" w:rsidTr="00152A78">
        <w:tc>
          <w:tcPr>
            <w:tcW w:w="1350" w:type="dxa"/>
          </w:tcPr>
          <w:p w14:paraId="1F042219" w14:textId="77777777" w:rsidR="00152A78" w:rsidRPr="00A66597" w:rsidRDefault="00152A78" w:rsidP="00152A78">
            <w:pPr>
              <w:jc w:val="center"/>
              <w:rPr>
                <w:rFonts w:ascii="Arial" w:hAnsi="Arial"/>
                <w:sz w:val="22"/>
              </w:rPr>
            </w:pPr>
            <w:r w:rsidRPr="00A66597">
              <w:rPr>
                <w:rFonts w:ascii="Arial" w:hAnsi="Arial"/>
                <w:sz w:val="22"/>
              </w:rPr>
              <w:t>#6</w:t>
            </w:r>
          </w:p>
        </w:tc>
        <w:tc>
          <w:tcPr>
            <w:tcW w:w="1980" w:type="dxa"/>
          </w:tcPr>
          <w:p w14:paraId="7C9CDC4A" w14:textId="77777777" w:rsidR="00152A78" w:rsidRPr="00A66597" w:rsidRDefault="00152A78" w:rsidP="00152A78">
            <w:pPr>
              <w:jc w:val="center"/>
              <w:rPr>
                <w:rFonts w:ascii="Arial" w:hAnsi="Arial"/>
                <w:sz w:val="22"/>
              </w:rPr>
            </w:pPr>
            <w:r w:rsidRPr="00A66597">
              <w:rPr>
                <w:rFonts w:ascii="Arial" w:hAnsi="Arial"/>
                <w:sz w:val="22"/>
              </w:rPr>
              <w:t>0.750</w:t>
            </w:r>
          </w:p>
        </w:tc>
        <w:tc>
          <w:tcPr>
            <w:tcW w:w="3240" w:type="dxa"/>
          </w:tcPr>
          <w:p w14:paraId="28BC0077" w14:textId="77777777" w:rsidR="00152A78" w:rsidRPr="00A66597" w:rsidRDefault="00152A78" w:rsidP="00152A78">
            <w:pPr>
              <w:jc w:val="center"/>
              <w:rPr>
                <w:rFonts w:ascii="Arial" w:hAnsi="Arial"/>
                <w:sz w:val="22"/>
              </w:rPr>
            </w:pPr>
            <w:r w:rsidRPr="00A66597">
              <w:rPr>
                <w:rFonts w:ascii="Arial" w:hAnsi="Arial"/>
                <w:sz w:val="22"/>
              </w:rPr>
              <w:t>0.44</w:t>
            </w:r>
          </w:p>
        </w:tc>
      </w:tr>
      <w:tr w:rsidR="00152A78" w:rsidRPr="00A66597" w14:paraId="6EA7D2A5" w14:textId="77777777" w:rsidTr="00152A78">
        <w:tc>
          <w:tcPr>
            <w:tcW w:w="1350" w:type="dxa"/>
          </w:tcPr>
          <w:p w14:paraId="4783BCF9" w14:textId="77777777" w:rsidR="00152A78" w:rsidRPr="00A66597" w:rsidRDefault="00152A78" w:rsidP="00152A78">
            <w:pPr>
              <w:jc w:val="center"/>
              <w:rPr>
                <w:rFonts w:ascii="Arial" w:hAnsi="Arial"/>
                <w:sz w:val="22"/>
              </w:rPr>
            </w:pPr>
            <w:r w:rsidRPr="00A66597">
              <w:rPr>
                <w:rFonts w:ascii="Arial" w:hAnsi="Arial"/>
                <w:sz w:val="22"/>
              </w:rPr>
              <w:t>#7</w:t>
            </w:r>
          </w:p>
        </w:tc>
        <w:tc>
          <w:tcPr>
            <w:tcW w:w="1980" w:type="dxa"/>
          </w:tcPr>
          <w:p w14:paraId="23F583EF" w14:textId="77777777" w:rsidR="00152A78" w:rsidRPr="00A66597" w:rsidRDefault="00152A78" w:rsidP="00152A78">
            <w:pPr>
              <w:jc w:val="center"/>
              <w:rPr>
                <w:rFonts w:ascii="Arial" w:hAnsi="Arial"/>
                <w:sz w:val="22"/>
              </w:rPr>
            </w:pPr>
            <w:r w:rsidRPr="00A66597">
              <w:rPr>
                <w:rFonts w:ascii="Arial" w:hAnsi="Arial"/>
                <w:sz w:val="22"/>
              </w:rPr>
              <w:t>0.875</w:t>
            </w:r>
          </w:p>
        </w:tc>
        <w:tc>
          <w:tcPr>
            <w:tcW w:w="3240" w:type="dxa"/>
          </w:tcPr>
          <w:p w14:paraId="1CD33BBF" w14:textId="77777777" w:rsidR="00152A78" w:rsidRPr="00A66597" w:rsidRDefault="00152A78" w:rsidP="00152A78">
            <w:pPr>
              <w:jc w:val="center"/>
              <w:rPr>
                <w:rFonts w:ascii="Arial" w:hAnsi="Arial"/>
                <w:sz w:val="22"/>
              </w:rPr>
            </w:pPr>
            <w:r w:rsidRPr="00A66597">
              <w:rPr>
                <w:rFonts w:ascii="Arial" w:hAnsi="Arial"/>
                <w:sz w:val="22"/>
              </w:rPr>
              <w:t>0.60</w:t>
            </w:r>
          </w:p>
        </w:tc>
      </w:tr>
      <w:tr w:rsidR="00152A78" w:rsidRPr="00A66597" w14:paraId="01B2C590" w14:textId="77777777" w:rsidTr="00152A78">
        <w:tc>
          <w:tcPr>
            <w:tcW w:w="1350" w:type="dxa"/>
          </w:tcPr>
          <w:p w14:paraId="3748EFFD" w14:textId="77777777" w:rsidR="00152A78" w:rsidRPr="00A66597" w:rsidRDefault="00152A78" w:rsidP="00152A78">
            <w:pPr>
              <w:jc w:val="center"/>
              <w:rPr>
                <w:rFonts w:ascii="Arial" w:hAnsi="Arial"/>
                <w:sz w:val="22"/>
              </w:rPr>
            </w:pPr>
            <w:r w:rsidRPr="00A66597">
              <w:rPr>
                <w:rFonts w:ascii="Arial" w:hAnsi="Arial"/>
                <w:sz w:val="22"/>
              </w:rPr>
              <w:t>#8</w:t>
            </w:r>
          </w:p>
        </w:tc>
        <w:tc>
          <w:tcPr>
            <w:tcW w:w="1980" w:type="dxa"/>
          </w:tcPr>
          <w:p w14:paraId="042B940E" w14:textId="77777777" w:rsidR="00152A78" w:rsidRPr="00A66597" w:rsidRDefault="00152A78" w:rsidP="00152A78">
            <w:pPr>
              <w:jc w:val="center"/>
              <w:rPr>
                <w:rFonts w:ascii="Arial" w:hAnsi="Arial"/>
                <w:sz w:val="22"/>
              </w:rPr>
            </w:pPr>
            <w:r w:rsidRPr="00A66597">
              <w:rPr>
                <w:rFonts w:ascii="Arial" w:hAnsi="Arial"/>
                <w:sz w:val="22"/>
              </w:rPr>
              <w:t>1.000</w:t>
            </w:r>
          </w:p>
        </w:tc>
        <w:tc>
          <w:tcPr>
            <w:tcW w:w="3240" w:type="dxa"/>
          </w:tcPr>
          <w:p w14:paraId="16DB9A15" w14:textId="77777777" w:rsidR="00152A78" w:rsidRPr="00A66597" w:rsidRDefault="00152A78" w:rsidP="00152A78">
            <w:pPr>
              <w:jc w:val="center"/>
              <w:rPr>
                <w:rFonts w:ascii="Arial" w:hAnsi="Arial"/>
                <w:sz w:val="22"/>
              </w:rPr>
            </w:pPr>
            <w:r w:rsidRPr="00A66597">
              <w:rPr>
                <w:rFonts w:ascii="Arial" w:hAnsi="Arial"/>
                <w:sz w:val="22"/>
              </w:rPr>
              <w:t>0.79</w:t>
            </w:r>
          </w:p>
        </w:tc>
      </w:tr>
      <w:tr w:rsidR="00152A78" w:rsidRPr="00A66597" w14:paraId="04D833BC" w14:textId="77777777" w:rsidTr="00152A78">
        <w:tc>
          <w:tcPr>
            <w:tcW w:w="1350" w:type="dxa"/>
          </w:tcPr>
          <w:p w14:paraId="4251E60D" w14:textId="77777777" w:rsidR="00152A78" w:rsidRPr="00A66597" w:rsidRDefault="00152A78" w:rsidP="00152A78">
            <w:pPr>
              <w:jc w:val="center"/>
              <w:rPr>
                <w:rFonts w:ascii="Arial" w:hAnsi="Arial"/>
                <w:sz w:val="22"/>
              </w:rPr>
            </w:pPr>
            <w:r w:rsidRPr="00A66597">
              <w:rPr>
                <w:rFonts w:ascii="Arial" w:hAnsi="Arial"/>
                <w:sz w:val="22"/>
              </w:rPr>
              <w:t>#9</w:t>
            </w:r>
          </w:p>
        </w:tc>
        <w:tc>
          <w:tcPr>
            <w:tcW w:w="1980" w:type="dxa"/>
          </w:tcPr>
          <w:p w14:paraId="5AF3582A" w14:textId="77777777" w:rsidR="00152A78" w:rsidRPr="00A66597" w:rsidRDefault="00152A78" w:rsidP="00152A78">
            <w:pPr>
              <w:jc w:val="center"/>
              <w:rPr>
                <w:rFonts w:ascii="Arial" w:hAnsi="Arial"/>
                <w:sz w:val="22"/>
              </w:rPr>
            </w:pPr>
            <w:r w:rsidRPr="00A66597">
              <w:rPr>
                <w:rFonts w:ascii="Arial" w:hAnsi="Arial"/>
                <w:sz w:val="22"/>
              </w:rPr>
              <w:t>1.128</w:t>
            </w:r>
          </w:p>
        </w:tc>
        <w:tc>
          <w:tcPr>
            <w:tcW w:w="3240" w:type="dxa"/>
          </w:tcPr>
          <w:p w14:paraId="448A3320" w14:textId="77777777" w:rsidR="00152A78" w:rsidRPr="00A66597" w:rsidRDefault="00152A78" w:rsidP="00152A78">
            <w:pPr>
              <w:jc w:val="center"/>
              <w:rPr>
                <w:rFonts w:ascii="Arial" w:hAnsi="Arial"/>
                <w:sz w:val="22"/>
              </w:rPr>
            </w:pPr>
            <w:r w:rsidRPr="00A66597">
              <w:rPr>
                <w:rFonts w:ascii="Arial" w:hAnsi="Arial"/>
                <w:sz w:val="22"/>
              </w:rPr>
              <w:t>1.00</w:t>
            </w:r>
          </w:p>
        </w:tc>
      </w:tr>
      <w:tr w:rsidR="00152A78" w:rsidRPr="00A66597" w14:paraId="040BD763" w14:textId="77777777" w:rsidTr="00152A78">
        <w:tc>
          <w:tcPr>
            <w:tcW w:w="1350" w:type="dxa"/>
          </w:tcPr>
          <w:p w14:paraId="7545765B" w14:textId="77777777" w:rsidR="00152A78" w:rsidRPr="00A66597" w:rsidRDefault="00152A78" w:rsidP="00152A78">
            <w:pPr>
              <w:jc w:val="center"/>
              <w:rPr>
                <w:rFonts w:ascii="Arial" w:hAnsi="Arial"/>
                <w:sz w:val="22"/>
              </w:rPr>
            </w:pPr>
            <w:r w:rsidRPr="00A66597">
              <w:rPr>
                <w:rFonts w:ascii="Arial" w:hAnsi="Arial"/>
                <w:sz w:val="22"/>
              </w:rPr>
              <w:t>#10</w:t>
            </w:r>
          </w:p>
        </w:tc>
        <w:tc>
          <w:tcPr>
            <w:tcW w:w="1980" w:type="dxa"/>
          </w:tcPr>
          <w:p w14:paraId="04DA70B5" w14:textId="77777777" w:rsidR="00152A78" w:rsidRPr="00A66597" w:rsidRDefault="00152A78" w:rsidP="00152A78">
            <w:pPr>
              <w:jc w:val="center"/>
              <w:rPr>
                <w:rFonts w:ascii="Arial" w:hAnsi="Arial"/>
                <w:sz w:val="22"/>
              </w:rPr>
            </w:pPr>
            <w:r w:rsidRPr="00A66597">
              <w:rPr>
                <w:rFonts w:ascii="Arial" w:hAnsi="Arial"/>
                <w:sz w:val="22"/>
              </w:rPr>
              <w:t>1.270</w:t>
            </w:r>
          </w:p>
        </w:tc>
        <w:tc>
          <w:tcPr>
            <w:tcW w:w="3240" w:type="dxa"/>
          </w:tcPr>
          <w:p w14:paraId="4B2275BE" w14:textId="77777777" w:rsidR="00152A78" w:rsidRPr="00A66597" w:rsidRDefault="00152A78" w:rsidP="00152A78">
            <w:pPr>
              <w:jc w:val="center"/>
              <w:rPr>
                <w:rFonts w:ascii="Arial" w:hAnsi="Arial"/>
                <w:sz w:val="22"/>
              </w:rPr>
            </w:pPr>
            <w:r w:rsidRPr="00A66597">
              <w:rPr>
                <w:rFonts w:ascii="Arial" w:hAnsi="Arial"/>
                <w:sz w:val="22"/>
              </w:rPr>
              <w:t>1.27</w:t>
            </w:r>
          </w:p>
        </w:tc>
      </w:tr>
      <w:tr w:rsidR="00152A78" w:rsidRPr="00A66597" w14:paraId="09E1BB78" w14:textId="77777777" w:rsidTr="00152A78">
        <w:tc>
          <w:tcPr>
            <w:tcW w:w="1350" w:type="dxa"/>
          </w:tcPr>
          <w:p w14:paraId="5552B0E1" w14:textId="77777777" w:rsidR="00152A78" w:rsidRPr="00A66597" w:rsidRDefault="00152A78" w:rsidP="00152A78">
            <w:pPr>
              <w:jc w:val="center"/>
              <w:rPr>
                <w:rFonts w:ascii="Arial" w:hAnsi="Arial"/>
                <w:sz w:val="22"/>
              </w:rPr>
            </w:pPr>
            <w:r w:rsidRPr="00A66597">
              <w:rPr>
                <w:rFonts w:ascii="Arial" w:hAnsi="Arial"/>
                <w:sz w:val="22"/>
              </w:rPr>
              <w:t>#11</w:t>
            </w:r>
          </w:p>
        </w:tc>
        <w:tc>
          <w:tcPr>
            <w:tcW w:w="1980" w:type="dxa"/>
          </w:tcPr>
          <w:p w14:paraId="60587F41" w14:textId="77777777" w:rsidR="00152A78" w:rsidRPr="00A66597" w:rsidRDefault="00152A78" w:rsidP="00152A78">
            <w:pPr>
              <w:jc w:val="center"/>
              <w:rPr>
                <w:rFonts w:ascii="Arial" w:hAnsi="Arial"/>
                <w:sz w:val="22"/>
              </w:rPr>
            </w:pPr>
            <w:r w:rsidRPr="00A66597">
              <w:rPr>
                <w:rFonts w:ascii="Arial" w:hAnsi="Arial"/>
                <w:sz w:val="22"/>
              </w:rPr>
              <w:t>1.410</w:t>
            </w:r>
          </w:p>
        </w:tc>
        <w:tc>
          <w:tcPr>
            <w:tcW w:w="3240" w:type="dxa"/>
          </w:tcPr>
          <w:p w14:paraId="3E16C072" w14:textId="77777777" w:rsidR="00152A78" w:rsidRPr="00A66597" w:rsidRDefault="00152A78" w:rsidP="00152A78">
            <w:pPr>
              <w:jc w:val="center"/>
              <w:rPr>
                <w:rFonts w:ascii="Arial" w:hAnsi="Arial"/>
                <w:sz w:val="22"/>
              </w:rPr>
            </w:pPr>
            <w:r w:rsidRPr="00A66597">
              <w:rPr>
                <w:rFonts w:ascii="Arial" w:hAnsi="Arial"/>
                <w:sz w:val="22"/>
              </w:rPr>
              <w:t>1.56</w:t>
            </w:r>
          </w:p>
        </w:tc>
      </w:tr>
    </w:tbl>
    <w:p w14:paraId="33E1AD35" w14:textId="77777777" w:rsidR="00152A78" w:rsidRDefault="00152A78" w:rsidP="00152A78">
      <w:pPr>
        <w:jc w:val="both"/>
        <w:rPr>
          <w:rFonts w:ascii="Arial" w:hAnsi="Arial"/>
          <w:sz w:val="22"/>
          <w:highlight w:val="yellow"/>
        </w:rPr>
      </w:pPr>
    </w:p>
    <w:p w14:paraId="73BE9016" w14:textId="77777777" w:rsidR="007C12D4" w:rsidRDefault="007C12D4" w:rsidP="0049684B">
      <w:pPr>
        <w:pStyle w:val="Heading2"/>
        <w:ind w:hanging="1026"/>
        <w:sectPr w:rsidR="007C12D4" w:rsidSect="00CB714B">
          <w:headerReference w:type="default" r:id="rId119"/>
          <w:footerReference w:type="default" r:id="rId120"/>
          <w:pgSz w:w="12240" w:h="15840"/>
          <w:pgMar w:top="1440" w:right="1800" w:bottom="1440" w:left="1800" w:header="720" w:footer="720" w:gutter="0"/>
          <w:pgNumType w:chapStyle="1"/>
          <w:cols w:space="720"/>
        </w:sectPr>
      </w:pPr>
      <w:bookmarkStart w:id="191" w:name="_Material_Properties_–"/>
      <w:bookmarkEnd w:id="191"/>
    </w:p>
    <w:p w14:paraId="70AA80EB" w14:textId="1E3C1744" w:rsidR="00152A78" w:rsidRPr="00941E77" w:rsidRDefault="00152A78" w:rsidP="0049684B">
      <w:pPr>
        <w:pStyle w:val="Heading2"/>
        <w:ind w:hanging="1026"/>
      </w:pPr>
      <w:bookmarkStart w:id="192" w:name="_Material_Properties_–_6"/>
      <w:bookmarkStart w:id="193" w:name="_Toc479160093"/>
      <w:bookmarkStart w:id="194" w:name="_Toc514057982"/>
      <w:bookmarkStart w:id="195" w:name="_Toc194932378"/>
      <w:bookmarkEnd w:id="192"/>
      <w:r w:rsidRPr="00941E77">
        <w:lastRenderedPageBreak/>
        <w:t>Material Properties – Unbound Layers</w:t>
      </w:r>
      <w:bookmarkEnd w:id="193"/>
      <w:bookmarkEnd w:id="194"/>
      <w:bookmarkEnd w:id="195"/>
      <w:r w:rsidRPr="00941E77">
        <w:t xml:space="preserve">  </w:t>
      </w:r>
    </w:p>
    <w:p w14:paraId="5820AAFC"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ubgrade" w:history="1">
        <w:r w:rsidRPr="003265FB">
          <w:rPr>
            <w:rStyle w:val="Hyperlink"/>
            <w:rFonts w:ascii="Arial" w:hAnsi="Arial" w:cs="Arial"/>
            <w:bCs/>
            <w:sz w:val="16"/>
            <w:szCs w:val="16"/>
          </w:rPr>
          <w:t>Subgrade</w:t>
        </w:r>
      </w:hyperlink>
    </w:p>
    <w:p w14:paraId="784C69DF" w14:textId="77777777" w:rsidR="00152A78" w:rsidRPr="00A66597" w:rsidRDefault="00152A78" w:rsidP="00152A78">
      <w:pPr>
        <w:jc w:val="both"/>
        <w:rPr>
          <w:rFonts w:ascii="Arial" w:hAnsi="Arial"/>
          <w:sz w:val="22"/>
        </w:rPr>
      </w:pPr>
    </w:p>
    <w:p w14:paraId="26869888" w14:textId="3C1B1157" w:rsidR="00152A78" w:rsidRDefault="00152A78" w:rsidP="00152A78">
      <w:pPr>
        <w:jc w:val="both"/>
        <w:rPr>
          <w:rFonts w:ascii="Arial" w:hAnsi="Arial"/>
          <w:sz w:val="22"/>
        </w:rPr>
      </w:pPr>
      <w:r w:rsidRPr="00A66597">
        <w:rPr>
          <w:rFonts w:ascii="Arial" w:hAnsi="Arial"/>
          <w:sz w:val="22"/>
        </w:rPr>
        <w:t xml:space="preserve">Material properties are general material characteristics of common </w:t>
      </w:r>
      <w:r w:rsidR="008C7023">
        <w:rPr>
          <w:rFonts w:ascii="Arial" w:hAnsi="Arial"/>
          <w:sz w:val="22"/>
        </w:rPr>
        <w:t>MDOT-SHA</w:t>
      </w:r>
      <w:r w:rsidRPr="00A66597">
        <w:rPr>
          <w:rFonts w:ascii="Arial" w:hAnsi="Arial"/>
          <w:sz w:val="22"/>
        </w:rPr>
        <w:t xml:space="preserve"> pavement materials.  Typical material property values are obtained from laboratory testing and assumed from engineering experience of the materials commonly used by </w:t>
      </w:r>
      <w:r w:rsidR="008C7023">
        <w:rPr>
          <w:rFonts w:ascii="Arial" w:hAnsi="Arial"/>
          <w:sz w:val="22"/>
        </w:rPr>
        <w:t>MDOT-SHA</w:t>
      </w:r>
      <w:r w:rsidRPr="00A66597">
        <w:rPr>
          <w:rFonts w:ascii="Arial" w:hAnsi="Arial"/>
          <w:sz w:val="22"/>
        </w:rPr>
        <w:t xml:space="preserve">.  </w:t>
      </w:r>
    </w:p>
    <w:p w14:paraId="14967173" w14:textId="77777777" w:rsidR="00152A78" w:rsidRPr="00A66597" w:rsidRDefault="00152A78" w:rsidP="002F7593">
      <w:pPr>
        <w:pStyle w:val="Heading3"/>
        <w:tabs>
          <w:tab w:val="left" w:pos="1080"/>
        </w:tabs>
        <w:ind w:hanging="1980"/>
      </w:pPr>
      <w:bookmarkStart w:id="196" w:name="_Soil_Classification_Charts"/>
      <w:bookmarkEnd w:id="196"/>
      <w:r>
        <w:t>Soil Classification Chart</w:t>
      </w:r>
      <w:r w:rsidRPr="00A66597">
        <w:t>s</w:t>
      </w:r>
    </w:p>
    <w:p w14:paraId="6A8B0CA9"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Geotechnical_Design_Properties" w:history="1">
        <w:r w:rsidRPr="00612E7A">
          <w:rPr>
            <w:rStyle w:val="Hyperlink"/>
            <w:rFonts w:ascii="Arial" w:hAnsi="Arial" w:cs="Arial"/>
            <w:bCs/>
            <w:sz w:val="16"/>
            <w:szCs w:val="16"/>
          </w:rPr>
          <w:t>Geotechnical Design Properties</w:t>
        </w:r>
      </w:hyperlink>
    </w:p>
    <w:p w14:paraId="73719EF6" w14:textId="77777777" w:rsidR="00152A78" w:rsidRDefault="00152A78" w:rsidP="00152A78">
      <w:pPr>
        <w:pStyle w:val="BodyText"/>
        <w:spacing w:after="0"/>
        <w:jc w:val="both"/>
      </w:pPr>
    </w:p>
    <w:p w14:paraId="68EC2EF6" w14:textId="23AEFD7F" w:rsidR="00152A78" w:rsidRDefault="00152A78" w:rsidP="00152A78">
      <w:pPr>
        <w:pStyle w:val="BodyText"/>
        <w:spacing w:after="0"/>
        <w:jc w:val="both"/>
      </w:pPr>
      <w:r>
        <w:t xml:space="preserve">The following table provides a list and description of the soil types identified by </w:t>
      </w:r>
      <w:r w:rsidR="008C7023">
        <w:t>MDOT-SHA</w:t>
      </w:r>
      <w:r>
        <w:t>:</w:t>
      </w:r>
    </w:p>
    <w:p w14:paraId="47D28D46" w14:textId="77777777" w:rsidR="00152A78" w:rsidRDefault="00152A78" w:rsidP="00152A78">
      <w:pPr>
        <w:jc w:val="both"/>
        <w:rPr>
          <w:rFonts w:ascii="Arial" w:hAnsi="Arial"/>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0"/>
        <w:gridCol w:w="1710"/>
        <w:gridCol w:w="3717"/>
      </w:tblGrid>
      <w:tr w:rsidR="00152A78" w14:paraId="3B1ABBD8" w14:textId="77777777" w:rsidTr="002F7593">
        <w:trPr>
          <w:tblHeader/>
          <w:jc w:val="center"/>
        </w:trPr>
        <w:tc>
          <w:tcPr>
            <w:tcW w:w="2700" w:type="dxa"/>
            <w:shd w:val="pct12" w:color="auto" w:fill="FFFFFF"/>
            <w:vAlign w:val="center"/>
          </w:tcPr>
          <w:p w14:paraId="7382A492" w14:textId="77777777" w:rsidR="00152A78" w:rsidRDefault="00152A78" w:rsidP="00152A78">
            <w:pPr>
              <w:jc w:val="both"/>
              <w:rPr>
                <w:rFonts w:ascii="Arial" w:hAnsi="Arial"/>
                <w:b/>
                <w:sz w:val="22"/>
              </w:rPr>
            </w:pPr>
            <w:r>
              <w:rPr>
                <w:rFonts w:ascii="Arial" w:hAnsi="Arial"/>
                <w:b/>
                <w:sz w:val="22"/>
              </w:rPr>
              <w:t>AASHTO Material</w:t>
            </w:r>
          </w:p>
        </w:tc>
        <w:tc>
          <w:tcPr>
            <w:tcW w:w="1710" w:type="dxa"/>
            <w:shd w:val="pct12" w:color="auto" w:fill="FFFFFF"/>
            <w:vAlign w:val="center"/>
          </w:tcPr>
          <w:p w14:paraId="75F075B0" w14:textId="77777777" w:rsidR="00152A78" w:rsidRDefault="00152A78" w:rsidP="00152A78">
            <w:pPr>
              <w:jc w:val="both"/>
              <w:rPr>
                <w:rFonts w:ascii="Arial" w:hAnsi="Arial"/>
                <w:b/>
                <w:sz w:val="22"/>
              </w:rPr>
            </w:pPr>
            <w:r>
              <w:rPr>
                <w:rFonts w:ascii="Arial" w:hAnsi="Arial"/>
                <w:b/>
                <w:sz w:val="22"/>
              </w:rPr>
              <w:t>MSMT Material</w:t>
            </w:r>
          </w:p>
        </w:tc>
        <w:tc>
          <w:tcPr>
            <w:tcW w:w="3717" w:type="dxa"/>
            <w:shd w:val="pct12" w:color="auto" w:fill="FFFFFF"/>
            <w:vAlign w:val="center"/>
          </w:tcPr>
          <w:p w14:paraId="24DFDC7F" w14:textId="77777777" w:rsidR="00152A78" w:rsidRDefault="00152A78" w:rsidP="00152A78">
            <w:pPr>
              <w:jc w:val="both"/>
              <w:rPr>
                <w:rFonts w:ascii="Arial" w:hAnsi="Arial"/>
                <w:b/>
                <w:sz w:val="22"/>
              </w:rPr>
            </w:pPr>
            <w:r>
              <w:rPr>
                <w:rFonts w:ascii="Arial" w:hAnsi="Arial"/>
                <w:b/>
                <w:sz w:val="22"/>
              </w:rPr>
              <w:t>Description</w:t>
            </w:r>
          </w:p>
        </w:tc>
      </w:tr>
      <w:tr w:rsidR="00152A78" w14:paraId="124A7681" w14:textId="77777777" w:rsidTr="002F7593">
        <w:trPr>
          <w:jc w:val="center"/>
        </w:trPr>
        <w:tc>
          <w:tcPr>
            <w:tcW w:w="2700" w:type="dxa"/>
          </w:tcPr>
          <w:p w14:paraId="0BA520CB" w14:textId="77777777" w:rsidR="00152A78" w:rsidRDefault="00152A78" w:rsidP="00152A78">
            <w:pPr>
              <w:jc w:val="both"/>
              <w:rPr>
                <w:rFonts w:ascii="Arial" w:hAnsi="Arial"/>
                <w:sz w:val="22"/>
              </w:rPr>
            </w:pPr>
            <w:r>
              <w:rPr>
                <w:rFonts w:ascii="Arial" w:hAnsi="Arial"/>
                <w:sz w:val="22"/>
              </w:rPr>
              <w:t>A-1-a, A-1-b</w:t>
            </w:r>
          </w:p>
        </w:tc>
        <w:tc>
          <w:tcPr>
            <w:tcW w:w="1710" w:type="dxa"/>
          </w:tcPr>
          <w:p w14:paraId="58E7BE9F" w14:textId="77777777" w:rsidR="00152A78" w:rsidRDefault="00152A78" w:rsidP="00152A78">
            <w:pPr>
              <w:jc w:val="both"/>
              <w:rPr>
                <w:rFonts w:ascii="Arial" w:hAnsi="Arial"/>
                <w:sz w:val="22"/>
              </w:rPr>
            </w:pPr>
            <w:r>
              <w:rPr>
                <w:rFonts w:ascii="Arial" w:hAnsi="Arial"/>
                <w:sz w:val="22"/>
              </w:rPr>
              <w:t>A-2</w:t>
            </w:r>
          </w:p>
        </w:tc>
        <w:tc>
          <w:tcPr>
            <w:tcW w:w="3717" w:type="dxa"/>
          </w:tcPr>
          <w:p w14:paraId="4D88C06A" w14:textId="77777777" w:rsidR="00152A78" w:rsidRDefault="00152A78" w:rsidP="00152A78">
            <w:pPr>
              <w:jc w:val="both"/>
              <w:rPr>
                <w:rFonts w:ascii="Arial" w:hAnsi="Arial"/>
                <w:sz w:val="22"/>
              </w:rPr>
            </w:pPr>
            <w:r>
              <w:rPr>
                <w:rFonts w:ascii="Arial" w:hAnsi="Arial"/>
                <w:sz w:val="22"/>
              </w:rPr>
              <w:t>Sand and Fines</w:t>
            </w:r>
          </w:p>
        </w:tc>
      </w:tr>
      <w:tr w:rsidR="00152A78" w14:paraId="11CA0394" w14:textId="77777777" w:rsidTr="002F7593">
        <w:trPr>
          <w:jc w:val="center"/>
        </w:trPr>
        <w:tc>
          <w:tcPr>
            <w:tcW w:w="2700" w:type="dxa"/>
          </w:tcPr>
          <w:p w14:paraId="4DB0FE17" w14:textId="77777777" w:rsidR="00152A78" w:rsidRDefault="00152A78" w:rsidP="00152A78">
            <w:pPr>
              <w:jc w:val="both"/>
              <w:rPr>
                <w:rFonts w:ascii="Arial" w:hAnsi="Arial"/>
                <w:sz w:val="22"/>
              </w:rPr>
            </w:pPr>
            <w:r>
              <w:rPr>
                <w:rFonts w:ascii="Arial" w:hAnsi="Arial"/>
                <w:sz w:val="22"/>
              </w:rPr>
              <w:t>A-1-a, A-1-b</w:t>
            </w:r>
          </w:p>
        </w:tc>
        <w:tc>
          <w:tcPr>
            <w:tcW w:w="1710" w:type="dxa"/>
          </w:tcPr>
          <w:p w14:paraId="1A10A049" w14:textId="77777777" w:rsidR="00152A78" w:rsidRDefault="00152A78" w:rsidP="00152A78">
            <w:pPr>
              <w:jc w:val="both"/>
              <w:rPr>
                <w:rFonts w:ascii="Arial" w:hAnsi="Arial"/>
                <w:sz w:val="22"/>
              </w:rPr>
            </w:pPr>
            <w:r>
              <w:rPr>
                <w:rFonts w:ascii="Arial" w:hAnsi="Arial"/>
                <w:sz w:val="22"/>
              </w:rPr>
              <w:t>A-2-4</w:t>
            </w:r>
          </w:p>
        </w:tc>
        <w:tc>
          <w:tcPr>
            <w:tcW w:w="3717" w:type="dxa"/>
          </w:tcPr>
          <w:p w14:paraId="0AE1C187" w14:textId="77777777" w:rsidR="00152A78" w:rsidRDefault="00152A78" w:rsidP="00152A78">
            <w:pPr>
              <w:jc w:val="both"/>
              <w:rPr>
                <w:rFonts w:ascii="Arial" w:hAnsi="Arial"/>
                <w:sz w:val="22"/>
              </w:rPr>
            </w:pPr>
            <w:r>
              <w:rPr>
                <w:rFonts w:ascii="Arial" w:hAnsi="Arial"/>
                <w:sz w:val="22"/>
              </w:rPr>
              <w:t>Silty Sand</w:t>
            </w:r>
          </w:p>
        </w:tc>
      </w:tr>
      <w:tr w:rsidR="00152A78" w14:paraId="5D710C2B" w14:textId="77777777" w:rsidTr="002F7593">
        <w:trPr>
          <w:jc w:val="center"/>
        </w:trPr>
        <w:tc>
          <w:tcPr>
            <w:tcW w:w="2700" w:type="dxa"/>
          </w:tcPr>
          <w:p w14:paraId="0DF80CB3" w14:textId="77777777" w:rsidR="00152A78" w:rsidRDefault="00152A78" w:rsidP="00152A78">
            <w:pPr>
              <w:jc w:val="both"/>
              <w:rPr>
                <w:rFonts w:ascii="Arial" w:hAnsi="Arial"/>
                <w:sz w:val="22"/>
              </w:rPr>
            </w:pPr>
            <w:r>
              <w:rPr>
                <w:rFonts w:ascii="Arial" w:hAnsi="Arial"/>
                <w:sz w:val="22"/>
              </w:rPr>
              <w:t>A-2-5, A-2-6</w:t>
            </w:r>
          </w:p>
        </w:tc>
        <w:tc>
          <w:tcPr>
            <w:tcW w:w="1710" w:type="dxa"/>
          </w:tcPr>
          <w:p w14:paraId="000BF0E5" w14:textId="77777777" w:rsidR="00152A78" w:rsidRDefault="00152A78" w:rsidP="00152A78">
            <w:pPr>
              <w:jc w:val="both"/>
              <w:rPr>
                <w:rFonts w:ascii="Arial" w:hAnsi="Arial"/>
                <w:sz w:val="22"/>
              </w:rPr>
            </w:pPr>
            <w:r>
              <w:rPr>
                <w:rFonts w:ascii="Arial" w:hAnsi="Arial"/>
                <w:sz w:val="22"/>
              </w:rPr>
              <w:t>A-2-7</w:t>
            </w:r>
          </w:p>
        </w:tc>
        <w:tc>
          <w:tcPr>
            <w:tcW w:w="3717" w:type="dxa"/>
          </w:tcPr>
          <w:p w14:paraId="652527B4" w14:textId="77777777" w:rsidR="00152A78" w:rsidRDefault="00152A78" w:rsidP="00152A78">
            <w:pPr>
              <w:jc w:val="both"/>
              <w:rPr>
                <w:rFonts w:ascii="Arial" w:hAnsi="Arial"/>
                <w:sz w:val="22"/>
              </w:rPr>
            </w:pPr>
            <w:r>
              <w:rPr>
                <w:rFonts w:ascii="Arial" w:hAnsi="Arial"/>
                <w:sz w:val="22"/>
              </w:rPr>
              <w:t>Clayey Sand</w:t>
            </w:r>
          </w:p>
        </w:tc>
      </w:tr>
      <w:tr w:rsidR="00152A78" w14:paraId="75DB1966" w14:textId="77777777" w:rsidTr="002F7593">
        <w:trPr>
          <w:jc w:val="center"/>
        </w:trPr>
        <w:tc>
          <w:tcPr>
            <w:tcW w:w="2700" w:type="dxa"/>
          </w:tcPr>
          <w:p w14:paraId="54ECA4B0" w14:textId="77777777" w:rsidR="00152A78" w:rsidRDefault="00152A78" w:rsidP="00152A78">
            <w:pPr>
              <w:jc w:val="both"/>
              <w:rPr>
                <w:rFonts w:ascii="Arial" w:hAnsi="Arial"/>
                <w:sz w:val="22"/>
              </w:rPr>
            </w:pPr>
            <w:r>
              <w:rPr>
                <w:rFonts w:ascii="Arial" w:hAnsi="Arial"/>
                <w:sz w:val="22"/>
              </w:rPr>
              <w:t>A-1-a, A-1-b, A-3</w:t>
            </w:r>
          </w:p>
        </w:tc>
        <w:tc>
          <w:tcPr>
            <w:tcW w:w="1710" w:type="dxa"/>
          </w:tcPr>
          <w:p w14:paraId="1576D054" w14:textId="77777777" w:rsidR="00152A78" w:rsidRDefault="00152A78" w:rsidP="00152A78">
            <w:pPr>
              <w:jc w:val="both"/>
              <w:rPr>
                <w:rFonts w:ascii="Arial" w:hAnsi="Arial"/>
                <w:sz w:val="22"/>
              </w:rPr>
            </w:pPr>
            <w:r>
              <w:rPr>
                <w:rFonts w:ascii="Arial" w:hAnsi="Arial"/>
                <w:sz w:val="22"/>
              </w:rPr>
              <w:t>A-3</w:t>
            </w:r>
          </w:p>
        </w:tc>
        <w:tc>
          <w:tcPr>
            <w:tcW w:w="3717" w:type="dxa"/>
          </w:tcPr>
          <w:p w14:paraId="0A22D892" w14:textId="77777777" w:rsidR="00152A78" w:rsidRDefault="00152A78" w:rsidP="00152A78">
            <w:pPr>
              <w:jc w:val="both"/>
              <w:rPr>
                <w:rFonts w:ascii="Arial" w:hAnsi="Arial"/>
                <w:sz w:val="22"/>
              </w:rPr>
            </w:pPr>
            <w:r>
              <w:rPr>
                <w:rFonts w:ascii="Arial" w:hAnsi="Arial"/>
                <w:sz w:val="22"/>
              </w:rPr>
              <w:t>Sand</w:t>
            </w:r>
          </w:p>
        </w:tc>
      </w:tr>
      <w:tr w:rsidR="00152A78" w14:paraId="7D530994" w14:textId="77777777" w:rsidTr="002F7593">
        <w:trPr>
          <w:jc w:val="center"/>
        </w:trPr>
        <w:tc>
          <w:tcPr>
            <w:tcW w:w="2700" w:type="dxa"/>
          </w:tcPr>
          <w:p w14:paraId="716A5F61" w14:textId="77777777" w:rsidR="00152A78" w:rsidRDefault="00152A78" w:rsidP="00152A78">
            <w:pPr>
              <w:jc w:val="both"/>
              <w:rPr>
                <w:rFonts w:ascii="Arial" w:hAnsi="Arial"/>
                <w:sz w:val="22"/>
              </w:rPr>
            </w:pPr>
            <w:r>
              <w:rPr>
                <w:rFonts w:ascii="Arial" w:hAnsi="Arial"/>
                <w:sz w:val="22"/>
              </w:rPr>
              <w:t>A-4</w:t>
            </w:r>
          </w:p>
        </w:tc>
        <w:tc>
          <w:tcPr>
            <w:tcW w:w="1710" w:type="dxa"/>
          </w:tcPr>
          <w:p w14:paraId="18D9F9DC" w14:textId="77777777" w:rsidR="00152A78" w:rsidRDefault="00152A78" w:rsidP="00152A78">
            <w:pPr>
              <w:jc w:val="both"/>
              <w:rPr>
                <w:rFonts w:ascii="Arial" w:hAnsi="Arial"/>
                <w:sz w:val="22"/>
              </w:rPr>
            </w:pPr>
            <w:r>
              <w:rPr>
                <w:rFonts w:ascii="Arial" w:hAnsi="Arial"/>
                <w:sz w:val="22"/>
              </w:rPr>
              <w:t>A-4</w:t>
            </w:r>
          </w:p>
        </w:tc>
        <w:tc>
          <w:tcPr>
            <w:tcW w:w="3717" w:type="dxa"/>
          </w:tcPr>
          <w:p w14:paraId="7D533CDE" w14:textId="77777777" w:rsidR="00152A78" w:rsidRDefault="00152A78" w:rsidP="00152A78">
            <w:pPr>
              <w:jc w:val="both"/>
              <w:rPr>
                <w:rFonts w:ascii="Arial" w:hAnsi="Arial"/>
                <w:sz w:val="22"/>
              </w:rPr>
            </w:pPr>
            <w:r>
              <w:rPr>
                <w:rFonts w:ascii="Arial" w:hAnsi="Arial"/>
                <w:sz w:val="22"/>
              </w:rPr>
              <w:t>Silt</w:t>
            </w:r>
          </w:p>
        </w:tc>
      </w:tr>
      <w:tr w:rsidR="00152A78" w14:paraId="471D160C" w14:textId="77777777" w:rsidTr="002F7593">
        <w:trPr>
          <w:jc w:val="center"/>
        </w:trPr>
        <w:tc>
          <w:tcPr>
            <w:tcW w:w="2700" w:type="dxa"/>
          </w:tcPr>
          <w:p w14:paraId="75A3798F" w14:textId="77777777" w:rsidR="00152A78" w:rsidRDefault="00152A78" w:rsidP="00152A78">
            <w:pPr>
              <w:jc w:val="both"/>
              <w:rPr>
                <w:rFonts w:ascii="Arial" w:hAnsi="Arial"/>
                <w:sz w:val="22"/>
              </w:rPr>
            </w:pPr>
            <w:r>
              <w:rPr>
                <w:rFonts w:ascii="Arial" w:hAnsi="Arial"/>
                <w:sz w:val="22"/>
              </w:rPr>
              <w:t>A-2-4</w:t>
            </w:r>
          </w:p>
        </w:tc>
        <w:tc>
          <w:tcPr>
            <w:tcW w:w="1710" w:type="dxa"/>
          </w:tcPr>
          <w:p w14:paraId="1B7B5A76" w14:textId="77777777" w:rsidR="00152A78" w:rsidRDefault="00152A78" w:rsidP="00152A78">
            <w:pPr>
              <w:jc w:val="both"/>
              <w:rPr>
                <w:rFonts w:ascii="Arial" w:hAnsi="Arial"/>
                <w:sz w:val="22"/>
              </w:rPr>
            </w:pPr>
            <w:r>
              <w:rPr>
                <w:rFonts w:ascii="Arial" w:hAnsi="Arial"/>
                <w:sz w:val="22"/>
              </w:rPr>
              <w:t>A-4-2</w:t>
            </w:r>
          </w:p>
        </w:tc>
        <w:tc>
          <w:tcPr>
            <w:tcW w:w="3717" w:type="dxa"/>
          </w:tcPr>
          <w:p w14:paraId="664A2FEA" w14:textId="77777777" w:rsidR="00152A78" w:rsidRDefault="00152A78" w:rsidP="00152A78">
            <w:pPr>
              <w:jc w:val="both"/>
              <w:rPr>
                <w:rFonts w:ascii="Arial" w:hAnsi="Arial"/>
                <w:sz w:val="22"/>
              </w:rPr>
            </w:pPr>
            <w:r>
              <w:rPr>
                <w:rFonts w:ascii="Arial" w:hAnsi="Arial"/>
                <w:sz w:val="22"/>
              </w:rPr>
              <w:t>Sandy Silt</w:t>
            </w:r>
          </w:p>
        </w:tc>
      </w:tr>
      <w:tr w:rsidR="00152A78" w14:paraId="35B1980B" w14:textId="77777777" w:rsidTr="002F7593">
        <w:trPr>
          <w:jc w:val="center"/>
        </w:trPr>
        <w:tc>
          <w:tcPr>
            <w:tcW w:w="2700" w:type="dxa"/>
          </w:tcPr>
          <w:p w14:paraId="41E3B5BB" w14:textId="77777777" w:rsidR="00152A78" w:rsidRDefault="00152A78" w:rsidP="00152A78">
            <w:pPr>
              <w:jc w:val="both"/>
              <w:rPr>
                <w:rFonts w:ascii="Arial" w:hAnsi="Arial"/>
                <w:sz w:val="22"/>
              </w:rPr>
            </w:pPr>
            <w:r>
              <w:rPr>
                <w:rFonts w:ascii="Arial" w:hAnsi="Arial"/>
                <w:sz w:val="22"/>
              </w:rPr>
              <w:t>A-6, A-7-5</w:t>
            </w:r>
          </w:p>
        </w:tc>
        <w:tc>
          <w:tcPr>
            <w:tcW w:w="1710" w:type="dxa"/>
          </w:tcPr>
          <w:p w14:paraId="57BFABF0" w14:textId="77777777" w:rsidR="00152A78" w:rsidRDefault="00152A78" w:rsidP="00152A78">
            <w:pPr>
              <w:jc w:val="both"/>
              <w:rPr>
                <w:rFonts w:ascii="Arial" w:hAnsi="Arial"/>
                <w:sz w:val="22"/>
              </w:rPr>
            </w:pPr>
            <w:r>
              <w:rPr>
                <w:rFonts w:ascii="Arial" w:hAnsi="Arial"/>
                <w:sz w:val="22"/>
              </w:rPr>
              <w:t>A-4-7</w:t>
            </w:r>
          </w:p>
        </w:tc>
        <w:tc>
          <w:tcPr>
            <w:tcW w:w="3717" w:type="dxa"/>
          </w:tcPr>
          <w:p w14:paraId="6F33EA54" w14:textId="77777777" w:rsidR="00152A78" w:rsidRDefault="00152A78" w:rsidP="00152A78">
            <w:pPr>
              <w:jc w:val="both"/>
              <w:rPr>
                <w:rFonts w:ascii="Arial" w:hAnsi="Arial"/>
                <w:sz w:val="22"/>
              </w:rPr>
            </w:pPr>
            <w:r>
              <w:rPr>
                <w:rFonts w:ascii="Arial" w:hAnsi="Arial"/>
                <w:sz w:val="22"/>
              </w:rPr>
              <w:t>Clayey Silt</w:t>
            </w:r>
          </w:p>
        </w:tc>
      </w:tr>
      <w:tr w:rsidR="00152A78" w14:paraId="68BAD2BE" w14:textId="77777777" w:rsidTr="002F7593">
        <w:trPr>
          <w:jc w:val="center"/>
        </w:trPr>
        <w:tc>
          <w:tcPr>
            <w:tcW w:w="2700" w:type="dxa"/>
          </w:tcPr>
          <w:p w14:paraId="7922BDD4" w14:textId="77777777" w:rsidR="00152A78" w:rsidRDefault="00152A78" w:rsidP="00152A78">
            <w:pPr>
              <w:jc w:val="both"/>
              <w:rPr>
                <w:rFonts w:ascii="Arial" w:hAnsi="Arial"/>
                <w:sz w:val="22"/>
              </w:rPr>
            </w:pPr>
            <w:r>
              <w:rPr>
                <w:rFonts w:ascii="Arial" w:hAnsi="Arial"/>
                <w:sz w:val="22"/>
              </w:rPr>
              <w:t>A-5, A-6, A-7</w:t>
            </w:r>
          </w:p>
        </w:tc>
        <w:tc>
          <w:tcPr>
            <w:tcW w:w="1710" w:type="dxa"/>
          </w:tcPr>
          <w:p w14:paraId="44D95411" w14:textId="77777777" w:rsidR="00152A78" w:rsidRDefault="00152A78" w:rsidP="00152A78">
            <w:pPr>
              <w:jc w:val="both"/>
              <w:rPr>
                <w:rFonts w:ascii="Arial" w:hAnsi="Arial"/>
                <w:sz w:val="22"/>
              </w:rPr>
            </w:pPr>
            <w:r>
              <w:rPr>
                <w:rFonts w:ascii="Arial" w:hAnsi="Arial"/>
                <w:sz w:val="22"/>
              </w:rPr>
              <w:t>A-5</w:t>
            </w:r>
          </w:p>
        </w:tc>
        <w:tc>
          <w:tcPr>
            <w:tcW w:w="3717" w:type="dxa"/>
          </w:tcPr>
          <w:p w14:paraId="607AF94C" w14:textId="77777777" w:rsidR="00152A78" w:rsidRDefault="00152A78" w:rsidP="00152A78">
            <w:pPr>
              <w:jc w:val="both"/>
              <w:rPr>
                <w:rFonts w:ascii="Arial" w:hAnsi="Arial"/>
                <w:sz w:val="22"/>
              </w:rPr>
            </w:pPr>
            <w:r>
              <w:rPr>
                <w:rFonts w:ascii="Arial" w:hAnsi="Arial"/>
                <w:sz w:val="22"/>
              </w:rPr>
              <w:t>Mica, Diatoms, Decomposed Rock</w:t>
            </w:r>
          </w:p>
        </w:tc>
      </w:tr>
      <w:tr w:rsidR="00152A78" w14:paraId="3736DBB3" w14:textId="77777777" w:rsidTr="002F7593">
        <w:trPr>
          <w:jc w:val="center"/>
        </w:trPr>
        <w:tc>
          <w:tcPr>
            <w:tcW w:w="2700" w:type="dxa"/>
          </w:tcPr>
          <w:p w14:paraId="62339FB5" w14:textId="77777777" w:rsidR="00152A78" w:rsidRDefault="00152A78" w:rsidP="00152A78">
            <w:pPr>
              <w:jc w:val="both"/>
              <w:rPr>
                <w:rFonts w:ascii="Arial" w:hAnsi="Arial"/>
                <w:sz w:val="22"/>
              </w:rPr>
            </w:pPr>
            <w:r>
              <w:rPr>
                <w:rFonts w:ascii="Arial" w:hAnsi="Arial"/>
                <w:sz w:val="22"/>
              </w:rPr>
              <w:t>A-7</w:t>
            </w:r>
          </w:p>
        </w:tc>
        <w:tc>
          <w:tcPr>
            <w:tcW w:w="1710" w:type="dxa"/>
          </w:tcPr>
          <w:p w14:paraId="7182D70A" w14:textId="77777777" w:rsidR="00152A78" w:rsidRDefault="00152A78" w:rsidP="00152A78">
            <w:pPr>
              <w:jc w:val="both"/>
              <w:rPr>
                <w:rFonts w:ascii="Arial" w:hAnsi="Arial"/>
                <w:sz w:val="22"/>
              </w:rPr>
            </w:pPr>
            <w:r>
              <w:rPr>
                <w:rFonts w:ascii="Arial" w:hAnsi="Arial"/>
                <w:sz w:val="22"/>
              </w:rPr>
              <w:t>A-6</w:t>
            </w:r>
          </w:p>
        </w:tc>
        <w:tc>
          <w:tcPr>
            <w:tcW w:w="3717" w:type="dxa"/>
          </w:tcPr>
          <w:p w14:paraId="4380973D" w14:textId="77777777" w:rsidR="00152A78" w:rsidRDefault="00152A78" w:rsidP="00152A78">
            <w:pPr>
              <w:jc w:val="both"/>
              <w:rPr>
                <w:rFonts w:ascii="Arial" w:hAnsi="Arial"/>
                <w:sz w:val="22"/>
              </w:rPr>
            </w:pPr>
            <w:r>
              <w:rPr>
                <w:rFonts w:ascii="Arial" w:hAnsi="Arial"/>
                <w:sz w:val="22"/>
              </w:rPr>
              <w:t>Colloidal Clay</w:t>
            </w:r>
          </w:p>
        </w:tc>
      </w:tr>
      <w:tr w:rsidR="00152A78" w14:paraId="5408C0FB" w14:textId="77777777" w:rsidTr="002F7593">
        <w:trPr>
          <w:jc w:val="center"/>
        </w:trPr>
        <w:tc>
          <w:tcPr>
            <w:tcW w:w="2700" w:type="dxa"/>
          </w:tcPr>
          <w:p w14:paraId="4E972204" w14:textId="77777777" w:rsidR="00152A78" w:rsidRDefault="00152A78" w:rsidP="00152A78">
            <w:pPr>
              <w:jc w:val="both"/>
              <w:rPr>
                <w:rFonts w:ascii="Arial" w:hAnsi="Arial"/>
                <w:sz w:val="22"/>
              </w:rPr>
            </w:pPr>
            <w:r>
              <w:rPr>
                <w:rFonts w:ascii="Arial" w:hAnsi="Arial"/>
                <w:sz w:val="22"/>
              </w:rPr>
              <w:t>A-7</w:t>
            </w:r>
          </w:p>
        </w:tc>
        <w:tc>
          <w:tcPr>
            <w:tcW w:w="1710" w:type="dxa"/>
          </w:tcPr>
          <w:p w14:paraId="1700D1F1" w14:textId="77777777" w:rsidR="00152A78" w:rsidRDefault="00152A78" w:rsidP="00152A78">
            <w:pPr>
              <w:jc w:val="both"/>
              <w:rPr>
                <w:rFonts w:ascii="Arial" w:hAnsi="Arial"/>
                <w:sz w:val="22"/>
              </w:rPr>
            </w:pPr>
            <w:r>
              <w:rPr>
                <w:rFonts w:ascii="Arial" w:hAnsi="Arial"/>
                <w:sz w:val="22"/>
              </w:rPr>
              <w:t>A-7</w:t>
            </w:r>
          </w:p>
        </w:tc>
        <w:tc>
          <w:tcPr>
            <w:tcW w:w="3717" w:type="dxa"/>
          </w:tcPr>
          <w:p w14:paraId="1582BFE7" w14:textId="77777777" w:rsidR="00152A78" w:rsidRDefault="00152A78" w:rsidP="00152A78">
            <w:pPr>
              <w:jc w:val="both"/>
              <w:rPr>
                <w:rFonts w:ascii="Arial" w:hAnsi="Arial"/>
                <w:sz w:val="22"/>
              </w:rPr>
            </w:pPr>
            <w:r>
              <w:rPr>
                <w:rFonts w:ascii="Arial" w:hAnsi="Arial"/>
                <w:sz w:val="22"/>
              </w:rPr>
              <w:t>Clay</w:t>
            </w:r>
          </w:p>
        </w:tc>
      </w:tr>
      <w:tr w:rsidR="00152A78" w14:paraId="4CB46E04" w14:textId="77777777" w:rsidTr="002F7593">
        <w:trPr>
          <w:jc w:val="center"/>
        </w:trPr>
        <w:tc>
          <w:tcPr>
            <w:tcW w:w="2700" w:type="dxa"/>
          </w:tcPr>
          <w:p w14:paraId="6EE042A2" w14:textId="77777777" w:rsidR="00152A78" w:rsidRDefault="00152A78" w:rsidP="00152A78">
            <w:pPr>
              <w:jc w:val="both"/>
              <w:rPr>
                <w:rFonts w:ascii="Arial" w:hAnsi="Arial"/>
                <w:sz w:val="22"/>
              </w:rPr>
            </w:pPr>
            <w:r>
              <w:rPr>
                <w:rFonts w:ascii="Arial" w:hAnsi="Arial"/>
                <w:sz w:val="22"/>
              </w:rPr>
              <w:t>A-2-7</w:t>
            </w:r>
          </w:p>
        </w:tc>
        <w:tc>
          <w:tcPr>
            <w:tcW w:w="1710" w:type="dxa"/>
          </w:tcPr>
          <w:p w14:paraId="2C693ECF" w14:textId="77777777" w:rsidR="00152A78" w:rsidRDefault="00152A78" w:rsidP="00152A78">
            <w:pPr>
              <w:jc w:val="both"/>
              <w:rPr>
                <w:rFonts w:ascii="Arial" w:hAnsi="Arial"/>
                <w:sz w:val="22"/>
              </w:rPr>
            </w:pPr>
            <w:r>
              <w:rPr>
                <w:rFonts w:ascii="Arial" w:hAnsi="Arial"/>
                <w:sz w:val="22"/>
              </w:rPr>
              <w:t>A-7-2</w:t>
            </w:r>
          </w:p>
        </w:tc>
        <w:tc>
          <w:tcPr>
            <w:tcW w:w="3717" w:type="dxa"/>
          </w:tcPr>
          <w:p w14:paraId="5C9B4BB6" w14:textId="77777777" w:rsidR="00152A78" w:rsidRDefault="00152A78" w:rsidP="00152A78">
            <w:pPr>
              <w:jc w:val="both"/>
              <w:rPr>
                <w:rFonts w:ascii="Arial" w:hAnsi="Arial"/>
                <w:sz w:val="22"/>
              </w:rPr>
            </w:pPr>
            <w:r>
              <w:rPr>
                <w:rFonts w:ascii="Arial" w:hAnsi="Arial"/>
                <w:sz w:val="22"/>
              </w:rPr>
              <w:t>Sandy Clays</w:t>
            </w:r>
          </w:p>
        </w:tc>
      </w:tr>
      <w:tr w:rsidR="00152A78" w14:paraId="573380F6" w14:textId="77777777" w:rsidTr="002F7593">
        <w:trPr>
          <w:jc w:val="center"/>
        </w:trPr>
        <w:tc>
          <w:tcPr>
            <w:tcW w:w="2700" w:type="dxa"/>
          </w:tcPr>
          <w:p w14:paraId="40ED74AE" w14:textId="77777777" w:rsidR="00152A78" w:rsidRDefault="00152A78" w:rsidP="00152A78">
            <w:pPr>
              <w:jc w:val="both"/>
              <w:rPr>
                <w:rFonts w:ascii="Arial" w:hAnsi="Arial"/>
                <w:sz w:val="22"/>
              </w:rPr>
            </w:pPr>
            <w:r>
              <w:rPr>
                <w:rFonts w:ascii="Arial" w:hAnsi="Arial"/>
                <w:sz w:val="22"/>
              </w:rPr>
              <w:t>A-7-6</w:t>
            </w:r>
          </w:p>
        </w:tc>
        <w:tc>
          <w:tcPr>
            <w:tcW w:w="1710" w:type="dxa"/>
          </w:tcPr>
          <w:p w14:paraId="70A22042" w14:textId="77777777" w:rsidR="00152A78" w:rsidRDefault="00152A78" w:rsidP="00152A78">
            <w:pPr>
              <w:jc w:val="both"/>
              <w:rPr>
                <w:rFonts w:ascii="Arial" w:hAnsi="Arial"/>
                <w:sz w:val="22"/>
              </w:rPr>
            </w:pPr>
            <w:r>
              <w:rPr>
                <w:rFonts w:ascii="Arial" w:hAnsi="Arial"/>
                <w:sz w:val="22"/>
              </w:rPr>
              <w:t>A-7-4</w:t>
            </w:r>
          </w:p>
        </w:tc>
        <w:tc>
          <w:tcPr>
            <w:tcW w:w="3717" w:type="dxa"/>
          </w:tcPr>
          <w:p w14:paraId="16BC7725" w14:textId="317B4F96" w:rsidR="00152A78" w:rsidRDefault="00152A78" w:rsidP="00152A78">
            <w:pPr>
              <w:jc w:val="both"/>
              <w:rPr>
                <w:rFonts w:ascii="Arial" w:hAnsi="Arial"/>
                <w:sz w:val="22"/>
              </w:rPr>
            </w:pPr>
            <w:r>
              <w:rPr>
                <w:rFonts w:ascii="Arial" w:hAnsi="Arial"/>
                <w:sz w:val="22"/>
              </w:rPr>
              <w:t xml:space="preserve">Silty </w:t>
            </w:r>
            <w:r w:rsidR="003109D7">
              <w:rPr>
                <w:rFonts w:ascii="Arial" w:hAnsi="Arial"/>
                <w:sz w:val="22"/>
              </w:rPr>
              <w:t>C</w:t>
            </w:r>
            <w:r>
              <w:rPr>
                <w:rFonts w:ascii="Arial" w:hAnsi="Arial"/>
                <w:sz w:val="22"/>
              </w:rPr>
              <w:t>lay</w:t>
            </w:r>
          </w:p>
        </w:tc>
      </w:tr>
      <w:tr w:rsidR="00152A78" w14:paraId="315A591C" w14:textId="77777777" w:rsidTr="002F7593">
        <w:trPr>
          <w:jc w:val="center"/>
        </w:trPr>
        <w:tc>
          <w:tcPr>
            <w:tcW w:w="2700" w:type="dxa"/>
          </w:tcPr>
          <w:p w14:paraId="6DE731E2" w14:textId="77777777" w:rsidR="00152A78" w:rsidRDefault="00152A78" w:rsidP="00152A78">
            <w:pPr>
              <w:jc w:val="both"/>
              <w:rPr>
                <w:rFonts w:ascii="Arial" w:hAnsi="Arial"/>
                <w:sz w:val="22"/>
              </w:rPr>
            </w:pPr>
            <w:r>
              <w:rPr>
                <w:rFonts w:ascii="Arial" w:hAnsi="Arial"/>
                <w:sz w:val="22"/>
              </w:rPr>
              <w:t>A-8</w:t>
            </w:r>
          </w:p>
        </w:tc>
        <w:tc>
          <w:tcPr>
            <w:tcW w:w="1710" w:type="dxa"/>
          </w:tcPr>
          <w:p w14:paraId="5971A71B" w14:textId="77777777" w:rsidR="00152A78" w:rsidRDefault="00152A78" w:rsidP="00152A78">
            <w:pPr>
              <w:jc w:val="both"/>
              <w:rPr>
                <w:rFonts w:ascii="Arial" w:hAnsi="Arial"/>
                <w:sz w:val="22"/>
              </w:rPr>
            </w:pPr>
            <w:r>
              <w:rPr>
                <w:rFonts w:ascii="Arial" w:hAnsi="Arial"/>
                <w:sz w:val="22"/>
              </w:rPr>
              <w:t>A-8</w:t>
            </w:r>
          </w:p>
        </w:tc>
        <w:tc>
          <w:tcPr>
            <w:tcW w:w="3717" w:type="dxa"/>
          </w:tcPr>
          <w:p w14:paraId="7824A852" w14:textId="77777777" w:rsidR="00152A78" w:rsidRDefault="00152A78" w:rsidP="00152A78">
            <w:pPr>
              <w:jc w:val="both"/>
              <w:rPr>
                <w:rFonts w:ascii="Arial" w:hAnsi="Arial"/>
                <w:sz w:val="22"/>
              </w:rPr>
            </w:pPr>
            <w:r>
              <w:rPr>
                <w:rFonts w:ascii="Arial" w:hAnsi="Arial"/>
                <w:sz w:val="22"/>
              </w:rPr>
              <w:t>Swamp Muck</w:t>
            </w:r>
          </w:p>
        </w:tc>
      </w:tr>
      <w:tr w:rsidR="00152A78" w14:paraId="4D1CBD44" w14:textId="77777777" w:rsidTr="002F7593">
        <w:trPr>
          <w:jc w:val="center"/>
        </w:trPr>
        <w:tc>
          <w:tcPr>
            <w:tcW w:w="2700" w:type="dxa"/>
          </w:tcPr>
          <w:p w14:paraId="721962CE" w14:textId="77777777" w:rsidR="00152A78" w:rsidRDefault="00152A78" w:rsidP="00152A78">
            <w:pPr>
              <w:jc w:val="both"/>
              <w:rPr>
                <w:rFonts w:ascii="Arial" w:hAnsi="Arial"/>
                <w:sz w:val="22"/>
              </w:rPr>
            </w:pPr>
            <w:r>
              <w:rPr>
                <w:rFonts w:ascii="Arial" w:hAnsi="Arial"/>
                <w:sz w:val="22"/>
              </w:rPr>
              <w:t>Rock Refusal</w:t>
            </w:r>
          </w:p>
        </w:tc>
        <w:tc>
          <w:tcPr>
            <w:tcW w:w="1710" w:type="dxa"/>
          </w:tcPr>
          <w:p w14:paraId="52F07EA8" w14:textId="77777777" w:rsidR="00152A78" w:rsidRDefault="00152A78" w:rsidP="00152A78">
            <w:pPr>
              <w:jc w:val="both"/>
              <w:rPr>
                <w:rFonts w:ascii="Arial" w:hAnsi="Arial"/>
                <w:sz w:val="22"/>
              </w:rPr>
            </w:pPr>
            <w:r>
              <w:rPr>
                <w:rFonts w:ascii="Arial" w:hAnsi="Arial"/>
                <w:sz w:val="22"/>
              </w:rPr>
              <w:t>Rock Refusal</w:t>
            </w:r>
          </w:p>
        </w:tc>
        <w:tc>
          <w:tcPr>
            <w:tcW w:w="3717" w:type="dxa"/>
          </w:tcPr>
          <w:p w14:paraId="6F37DCC1" w14:textId="77777777" w:rsidR="00152A78" w:rsidRDefault="00152A78" w:rsidP="00152A78">
            <w:pPr>
              <w:jc w:val="both"/>
              <w:rPr>
                <w:rFonts w:ascii="Arial" w:hAnsi="Arial"/>
                <w:sz w:val="22"/>
              </w:rPr>
            </w:pPr>
          </w:p>
        </w:tc>
      </w:tr>
    </w:tbl>
    <w:p w14:paraId="6295BBEF" w14:textId="77777777" w:rsidR="00152A78" w:rsidRDefault="00152A78" w:rsidP="00152A78">
      <w:pPr>
        <w:jc w:val="both"/>
        <w:rPr>
          <w:rFonts w:ascii="Arial" w:hAnsi="Arial"/>
        </w:rPr>
      </w:pPr>
    </w:p>
    <w:p w14:paraId="25579EAF" w14:textId="77777777" w:rsidR="00152A78" w:rsidRDefault="00152A78" w:rsidP="0049684B">
      <w:pPr>
        <w:pStyle w:val="Heading4"/>
      </w:pPr>
      <w:bookmarkStart w:id="197" w:name="_AASHTO_Soil_Classification"/>
      <w:bookmarkEnd w:id="197"/>
      <w:r>
        <w:t>AASHTO Soil Classification</w:t>
      </w:r>
    </w:p>
    <w:p w14:paraId="2D6F77C4"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ormat_–_Soil" w:history="1">
        <w:r w:rsidRPr="006062F4">
          <w:rPr>
            <w:rStyle w:val="Hyperlink"/>
            <w:rFonts w:ascii="Arial" w:hAnsi="Arial" w:cs="Arial"/>
            <w:bCs/>
            <w:sz w:val="16"/>
            <w:szCs w:val="16"/>
          </w:rPr>
          <w:t>Format – Soil Classifications</w:t>
        </w:r>
      </w:hyperlink>
    </w:p>
    <w:p w14:paraId="28526C07" w14:textId="77777777" w:rsidR="00152A78" w:rsidRDefault="00152A78" w:rsidP="00152A78">
      <w:pPr>
        <w:rPr>
          <w:rFonts w:ascii="Arial" w:hAnsi="Arial" w:cs="Arial"/>
          <w:sz w:val="22"/>
          <w:szCs w:val="22"/>
        </w:rPr>
      </w:pPr>
    </w:p>
    <w:p w14:paraId="7D070981" w14:textId="77777777" w:rsidR="00152A78" w:rsidRPr="00497526" w:rsidRDefault="00152A78" w:rsidP="00152A78">
      <w:pPr>
        <w:rPr>
          <w:rFonts w:ascii="Arial" w:hAnsi="Arial" w:cs="Arial"/>
          <w:sz w:val="22"/>
          <w:szCs w:val="22"/>
        </w:rPr>
      </w:pPr>
      <w:r w:rsidRPr="00497526">
        <w:rPr>
          <w:rFonts w:ascii="Arial" w:hAnsi="Arial" w:cs="Arial"/>
          <w:sz w:val="22"/>
          <w:szCs w:val="22"/>
        </w:rPr>
        <w:t xml:space="preserve">Refer to </w:t>
      </w:r>
      <w:hyperlink r:id="rId121" w:history="1">
        <w:r w:rsidRPr="00497526">
          <w:rPr>
            <w:rStyle w:val="Hyperlink"/>
            <w:rFonts w:ascii="Arial" w:hAnsi="Arial" w:cs="Arial"/>
            <w:sz w:val="22"/>
            <w:szCs w:val="22"/>
          </w:rPr>
          <w:t>Standard No. MD 000.04</w:t>
        </w:r>
      </w:hyperlink>
      <w:r>
        <w:rPr>
          <w:rFonts w:ascii="Arial" w:hAnsi="Arial" w:cs="Arial"/>
          <w:sz w:val="22"/>
          <w:szCs w:val="22"/>
        </w:rPr>
        <w:t xml:space="preserve"> and </w:t>
      </w:r>
      <w:hyperlink r:id="rId122" w:history="1">
        <w:r>
          <w:rPr>
            <w:rStyle w:val="Hyperlink"/>
            <w:rFonts w:ascii="Arial" w:hAnsi="Arial" w:cs="Arial"/>
            <w:sz w:val="22"/>
            <w:szCs w:val="22"/>
          </w:rPr>
          <w:t>Standard No. MD 000.01</w:t>
        </w:r>
      </w:hyperlink>
      <w:r>
        <w:rPr>
          <w:rFonts w:ascii="Arial" w:hAnsi="Arial" w:cs="Arial"/>
          <w:sz w:val="22"/>
          <w:szCs w:val="22"/>
        </w:rPr>
        <w:t>.</w:t>
      </w:r>
    </w:p>
    <w:p w14:paraId="12048636" w14:textId="77777777" w:rsidR="00152A78" w:rsidRPr="00A66597" w:rsidRDefault="00152A78" w:rsidP="00152A78">
      <w:pPr>
        <w:jc w:val="both"/>
        <w:rPr>
          <w:rFonts w:ascii="Arial" w:hAnsi="Arial"/>
          <w:sz w:val="22"/>
        </w:rPr>
      </w:pPr>
    </w:p>
    <w:p w14:paraId="529D9245" w14:textId="77777777" w:rsidR="00152A78" w:rsidRDefault="00152A78" w:rsidP="0049684B">
      <w:pPr>
        <w:pStyle w:val="Heading4"/>
      </w:pPr>
      <w:bookmarkStart w:id="198" w:name="_MSMT_Soil_Classification"/>
      <w:bookmarkEnd w:id="198"/>
      <w:r>
        <w:t>MSMT Soil Classification</w:t>
      </w:r>
    </w:p>
    <w:p w14:paraId="020133F1"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ormat_–_Soil" w:history="1">
        <w:r w:rsidRPr="006062F4">
          <w:rPr>
            <w:rStyle w:val="Hyperlink"/>
            <w:rFonts w:ascii="Arial" w:hAnsi="Arial" w:cs="Arial"/>
            <w:bCs/>
            <w:sz w:val="16"/>
            <w:szCs w:val="16"/>
          </w:rPr>
          <w:t>Format – Soil Classifications</w:t>
        </w:r>
      </w:hyperlink>
    </w:p>
    <w:p w14:paraId="033253FC" w14:textId="77777777" w:rsidR="00152A78" w:rsidRDefault="00152A78" w:rsidP="00152A78">
      <w:pPr>
        <w:rPr>
          <w:rFonts w:ascii="Arial" w:hAnsi="Arial" w:cs="Arial"/>
          <w:sz w:val="22"/>
          <w:szCs w:val="22"/>
        </w:rPr>
      </w:pPr>
    </w:p>
    <w:p w14:paraId="3CCC9D34" w14:textId="77777777" w:rsidR="00152A78" w:rsidRPr="00497526" w:rsidRDefault="00152A78" w:rsidP="00152A78">
      <w:pPr>
        <w:rPr>
          <w:rFonts w:ascii="Arial" w:hAnsi="Arial" w:cs="Arial"/>
          <w:sz w:val="22"/>
          <w:szCs w:val="22"/>
        </w:rPr>
      </w:pPr>
      <w:r w:rsidRPr="00497526">
        <w:rPr>
          <w:rFonts w:ascii="Arial" w:hAnsi="Arial" w:cs="Arial"/>
          <w:sz w:val="22"/>
          <w:szCs w:val="22"/>
        </w:rPr>
        <w:t xml:space="preserve">Refer to </w:t>
      </w:r>
      <w:hyperlink r:id="rId123" w:history="1">
        <w:r>
          <w:rPr>
            <w:rStyle w:val="Hyperlink"/>
            <w:rFonts w:ascii="Arial" w:hAnsi="Arial" w:cs="Arial"/>
            <w:sz w:val="22"/>
            <w:szCs w:val="22"/>
          </w:rPr>
          <w:t>Standard No. MD 000.03</w:t>
        </w:r>
      </w:hyperlink>
      <w:r>
        <w:rPr>
          <w:rFonts w:ascii="Arial" w:hAnsi="Arial" w:cs="Arial"/>
          <w:sz w:val="22"/>
          <w:szCs w:val="22"/>
        </w:rPr>
        <w:t xml:space="preserve"> and </w:t>
      </w:r>
      <w:hyperlink r:id="rId124" w:history="1">
        <w:r>
          <w:rPr>
            <w:rStyle w:val="Hyperlink"/>
            <w:rFonts w:ascii="Arial" w:hAnsi="Arial" w:cs="Arial"/>
            <w:sz w:val="22"/>
            <w:szCs w:val="22"/>
          </w:rPr>
          <w:t>Standard No. MD 000.01</w:t>
        </w:r>
      </w:hyperlink>
      <w:r>
        <w:rPr>
          <w:rFonts w:ascii="Arial" w:hAnsi="Arial" w:cs="Arial"/>
          <w:sz w:val="22"/>
          <w:szCs w:val="22"/>
        </w:rPr>
        <w:t>.</w:t>
      </w:r>
    </w:p>
    <w:p w14:paraId="10B79647" w14:textId="77777777" w:rsidR="00152A78" w:rsidRDefault="00152A78" w:rsidP="00152A78">
      <w:pPr>
        <w:rPr>
          <w:rFonts w:ascii="Arial" w:hAnsi="Arial" w:cs="Arial"/>
          <w:sz w:val="22"/>
          <w:szCs w:val="22"/>
        </w:rPr>
      </w:pPr>
    </w:p>
    <w:p w14:paraId="6E0CCB13" w14:textId="77777777" w:rsidR="00B117D7" w:rsidRDefault="00B117D7" w:rsidP="00152A78">
      <w:pPr>
        <w:rPr>
          <w:rFonts w:ascii="Arial" w:hAnsi="Arial" w:cs="Arial"/>
          <w:sz w:val="22"/>
          <w:szCs w:val="22"/>
        </w:rPr>
      </w:pPr>
    </w:p>
    <w:p w14:paraId="7BD79B53" w14:textId="77777777" w:rsidR="00B117D7" w:rsidRDefault="00B117D7">
      <w:pPr>
        <w:rPr>
          <w:rFonts w:ascii="Arial" w:hAnsi="Arial" w:cs="Arial"/>
          <w:sz w:val="22"/>
          <w:szCs w:val="22"/>
        </w:rPr>
      </w:pPr>
      <w:r>
        <w:rPr>
          <w:rFonts w:ascii="Arial" w:hAnsi="Arial" w:cs="Arial"/>
          <w:sz w:val="22"/>
          <w:szCs w:val="22"/>
        </w:rPr>
        <w:br w:type="page"/>
      </w:r>
    </w:p>
    <w:p w14:paraId="46657230" w14:textId="77777777" w:rsidR="00152A78" w:rsidRDefault="00152A78" w:rsidP="0049684B">
      <w:pPr>
        <w:pStyle w:val="Heading4"/>
      </w:pPr>
      <w:bookmarkStart w:id="199" w:name="_USDA_Soil_Classification"/>
      <w:bookmarkEnd w:id="199"/>
      <w:r>
        <w:lastRenderedPageBreak/>
        <w:t>USDA Soil Classification</w:t>
      </w:r>
    </w:p>
    <w:p w14:paraId="3CDA7880"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ormat_–_Soil" w:history="1">
        <w:r w:rsidRPr="006062F4">
          <w:rPr>
            <w:rStyle w:val="Hyperlink"/>
            <w:rFonts w:ascii="Arial" w:hAnsi="Arial" w:cs="Arial"/>
            <w:bCs/>
            <w:sz w:val="16"/>
            <w:szCs w:val="16"/>
          </w:rPr>
          <w:t>Format – Soil Classifications</w:t>
        </w:r>
      </w:hyperlink>
    </w:p>
    <w:p w14:paraId="244D90E8" w14:textId="5053E48E" w:rsidR="00152A78" w:rsidRPr="00497526" w:rsidRDefault="00152A78" w:rsidP="00152A78">
      <w:pPr>
        <w:jc w:val="center"/>
        <w:rPr>
          <w:rFonts w:ascii="Arial" w:hAnsi="Arial" w:cs="Arial"/>
          <w:sz w:val="22"/>
          <w:szCs w:val="22"/>
        </w:rPr>
      </w:pPr>
      <w:r w:rsidRPr="00A96EFD">
        <w:rPr>
          <w:rFonts w:ascii="Arial" w:hAnsi="Arial" w:cs="Arial"/>
          <w:noProof/>
          <w:sz w:val="22"/>
          <w:szCs w:val="22"/>
        </w:rPr>
        <w:drawing>
          <wp:inline distT="0" distB="0" distL="0" distR="0" wp14:anchorId="14548AFE" wp14:editId="10B92AC9">
            <wp:extent cx="5124450" cy="4248150"/>
            <wp:effectExtent l="19050" t="0" r="0" b="0"/>
            <wp:docPr id="749" name="Picture 1" descr="USDA soil classificatio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Picture 1" descr="USDA soil classification diagram"/>
                    <pic:cNvPicPr>
                      <a:picLocks noChangeAspect="1" noChangeArrowheads="1"/>
                    </pic:cNvPicPr>
                  </pic:nvPicPr>
                  <pic:blipFill>
                    <a:blip r:embed="rId125" cstate="print"/>
                    <a:srcRect l="1694" t="14102" r="61860" b="37539"/>
                    <a:stretch>
                      <a:fillRect/>
                    </a:stretch>
                  </pic:blipFill>
                  <pic:spPr bwMode="auto">
                    <a:xfrm>
                      <a:off x="0" y="0"/>
                      <a:ext cx="5124450" cy="4248150"/>
                    </a:xfrm>
                    <a:prstGeom prst="rect">
                      <a:avLst/>
                    </a:prstGeom>
                    <a:noFill/>
                    <a:ln w="9525">
                      <a:noFill/>
                      <a:miter lim="800000"/>
                      <a:headEnd/>
                      <a:tailEnd/>
                    </a:ln>
                  </pic:spPr>
                </pic:pic>
              </a:graphicData>
            </a:graphic>
          </wp:inline>
        </w:drawing>
      </w:r>
    </w:p>
    <w:p w14:paraId="4EBCD5EB" w14:textId="77777777" w:rsidR="00152A78" w:rsidRPr="00A66597" w:rsidRDefault="00152A78" w:rsidP="00152A78">
      <w:pPr>
        <w:jc w:val="both"/>
        <w:rPr>
          <w:rFonts w:ascii="Arial" w:hAnsi="Arial"/>
          <w:sz w:val="22"/>
        </w:rPr>
      </w:pPr>
    </w:p>
    <w:p w14:paraId="3D6776B5" w14:textId="77777777" w:rsidR="00152A78" w:rsidRDefault="00152A78" w:rsidP="00152A78">
      <w:pPr>
        <w:jc w:val="both"/>
        <w:rPr>
          <w:rFonts w:ascii="Arial" w:hAnsi="Arial"/>
          <w:sz w:val="22"/>
        </w:rPr>
      </w:pPr>
    </w:p>
    <w:p w14:paraId="4541CB88" w14:textId="77777777" w:rsidR="00152A78" w:rsidRDefault="00152A78" w:rsidP="0049684B">
      <w:pPr>
        <w:pStyle w:val="Heading4"/>
      </w:pPr>
      <w:bookmarkStart w:id="200" w:name="_USCS_Soil_Classification"/>
      <w:bookmarkEnd w:id="200"/>
      <w:r>
        <w:t>USCS Soil Classification</w:t>
      </w:r>
    </w:p>
    <w:p w14:paraId="0829E8B7"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ormat_–_Soil" w:history="1">
        <w:r w:rsidRPr="006062F4">
          <w:rPr>
            <w:rStyle w:val="Hyperlink"/>
            <w:rFonts w:ascii="Arial" w:hAnsi="Arial" w:cs="Arial"/>
            <w:bCs/>
            <w:sz w:val="16"/>
            <w:szCs w:val="16"/>
          </w:rPr>
          <w:t>Format – Soil Classifications</w:t>
        </w:r>
      </w:hyperlink>
    </w:p>
    <w:p w14:paraId="4AD172D2" w14:textId="77777777" w:rsidR="00152A78" w:rsidRDefault="00152A78" w:rsidP="00152A78">
      <w:pPr>
        <w:rPr>
          <w:rFonts w:ascii="Arial" w:hAnsi="Arial" w:cs="Arial"/>
          <w:sz w:val="22"/>
          <w:szCs w:val="22"/>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08"/>
        <w:gridCol w:w="1671"/>
        <w:gridCol w:w="1651"/>
        <w:gridCol w:w="1039"/>
        <w:gridCol w:w="2661"/>
      </w:tblGrid>
      <w:tr w:rsidR="00152A78" w:rsidRPr="00CF298A" w14:paraId="2857BD4C" w14:textId="77777777" w:rsidTr="002F7593">
        <w:trPr>
          <w:trHeight w:val="745"/>
          <w:tblHeader/>
          <w:tblCellSpacing w:w="15" w:type="dxa"/>
        </w:trPr>
        <w:tc>
          <w:tcPr>
            <w:tcW w:w="5320" w:type="dxa"/>
            <w:gridSpan w:val="3"/>
            <w:shd w:val="pct15" w:color="auto" w:fill="auto"/>
            <w:vAlign w:val="center"/>
            <w:hideMark/>
          </w:tcPr>
          <w:p w14:paraId="602EC0EC" w14:textId="62A908FA" w:rsidR="00152A78" w:rsidRPr="00CF298A" w:rsidRDefault="00152A78" w:rsidP="00220D00">
            <w:pPr>
              <w:jc w:val="center"/>
              <w:rPr>
                <w:rFonts w:ascii="Arial" w:hAnsi="Arial" w:cs="Arial"/>
                <w:b/>
                <w:bCs/>
                <w:sz w:val="22"/>
                <w:szCs w:val="22"/>
              </w:rPr>
            </w:pPr>
            <w:r w:rsidRPr="00CF298A">
              <w:rPr>
                <w:rFonts w:ascii="Arial" w:hAnsi="Arial" w:cs="Arial"/>
                <w:b/>
                <w:bCs/>
                <w:sz w:val="22"/>
                <w:szCs w:val="22"/>
              </w:rPr>
              <w:t xml:space="preserve">Major </w:t>
            </w:r>
            <w:r w:rsidR="00220D00">
              <w:rPr>
                <w:rFonts w:ascii="Arial" w:hAnsi="Arial" w:cs="Arial"/>
                <w:b/>
                <w:bCs/>
                <w:sz w:val="22"/>
                <w:szCs w:val="22"/>
              </w:rPr>
              <w:t>D</w:t>
            </w:r>
            <w:r w:rsidRPr="00CF298A">
              <w:rPr>
                <w:rFonts w:ascii="Arial" w:hAnsi="Arial" w:cs="Arial"/>
                <w:b/>
                <w:bCs/>
                <w:sz w:val="22"/>
                <w:szCs w:val="22"/>
              </w:rPr>
              <w:t>ivisions</w:t>
            </w:r>
          </w:p>
        </w:tc>
        <w:tc>
          <w:tcPr>
            <w:tcW w:w="1050" w:type="dxa"/>
            <w:shd w:val="pct15" w:color="auto" w:fill="auto"/>
            <w:vAlign w:val="center"/>
            <w:hideMark/>
          </w:tcPr>
          <w:p w14:paraId="7CAC0761"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Group symbol</w:t>
            </w:r>
          </w:p>
        </w:tc>
        <w:tc>
          <w:tcPr>
            <w:tcW w:w="2980" w:type="dxa"/>
            <w:shd w:val="pct15" w:color="auto" w:fill="auto"/>
            <w:vAlign w:val="center"/>
            <w:hideMark/>
          </w:tcPr>
          <w:p w14:paraId="6EA418C9" w14:textId="09CA56B6" w:rsidR="00152A78" w:rsidRPr="00CF298A" w:rsidRDefault="00152A78" w:rsidP="00220D00">
            <w:pPr>
              <w:jc w:val="center"/>
              <w:rPr>
                <w:rFonts w:ascii="Arial" w:hAnsi="Arial" w:cs="Arial"/>
                <w:b/>
                <w:bCs/>
                <w:sz w:val="22"/>
                <w:szCs w:val="22"/>
              </w:rPr>
            </w:pPr>
            <w:r w:rsidRPr="00CF298A">
              <w:rPr>
                <w:rFonts w:ascii="Arial" w:hAnsi="Arial" w:cs="Arial"/>
                <w:b/>
                <w:bCs/>
                <w:sz w:val="22"/>
                <w:szCs w:val="22"/>
              </w:rPr>
              <w:t xml:space="preserve">Group </w:t>
            </w:r>
            <w:r w:rsidR="00220D00">
              <w:rPr>
                <w:rFonts w:ascii="Arial" w:hAnsi="Arial" w:cs="Arial"/>
                <w:b/>
                <w:bCs/>
                <w:sz w:val="22"/>
                <w:szCs w:val="22"/>
              </w:rPr>
              <w:t>N</w:t>
            </w:r>
            <w:r w:rsidRPr="00CF298A">
              <w:rPr>
                <w:rFonts w:ascii="Arial" w:hAnsi="Arial" w:cs="Arial"/>
                <w:b/>
                <w:bCs/>
                <w:sz w:val="22"/>
                <w:szCs w:val="22"/>
              </w:rPr>
              <w:t>ame</w:t>
            </w:r>
          </w:p>
        </w:tc>
      </w:tr>
      <w:tr w:rsidR="00152A78" w:rsidRPr="00CF298A" w14:paraId="29AF6293" w14:textId="77777777" w:rsidTr="00152A78">
        <w:trPr>
          <w:tblCellSpacing w:w="15" w:type="dxa"/>
        </w:trPr>
        <w:tc>
          <w:tcPr>
            <w:tcW w:w="1720" w:type="dxa"/>
            <w:vMerge w:val="restart"/>
            <w:vAlign w:val="center"/>
            <w:hideMark/>
          </w:tcPr>
          <w:p w14:paraId="4CB1D93A" w14:textId="326D2935" w:rsidR="003109D7" w:rsidRDefault="00152A78" w:rsidP="00152A78">
            <w:pPr>
              <w:rPr>
                <w:rFonts w:ascii="Arial" w:hAnsi="Arial" w:cs="Arial"/>
                <w:sz w:val="22"/>
                <w:szCs w:val="22"/>
              </w:rPr>
            </w:pPr>
            <w:r w:rsidRPr="00CF298A">
              <w:rPr>
                <w:rFonts w:ascii="Arial" w:hAnsi="Arial" w:cs="Arial"/>
                <w:sz w:val="22"/>
                <w:szCs w:val="22"/>
              </w:rPr>
              <w:t>Coarse grained soils</w:t>
            </w:r>
          </w:p>
          <w:p w14:paraId="4905E433" w14:textId="099000BE" w:rsidR="00152A78" w:rsidRPr="00CF298A" w:rsidRDefault="00152A78" w:rsidP="00152A78">
            <w:pPr>
              <w:rPr>
                <w:rFonts w:ascii="Arial" w:hAnsi="Arial" w:cs="Arial"/>
                <w:sz w:val="22"/>
                <w:szCs w:val="22"/>
              </w:rPr>
            </w:pPr>
            <w:r w:rsidRPr="00CF298A">
              <w:rPr>
                <w:rFonts w:ascii="Arial" w:hAnsi="Arial" w:cs="Arial"/>
                <w:sz w:val="22"/>
                <w:szCs w:val="22"/>
              </w:rPr>
              <w:t>more than 50% retained on or above No.</w:t>
            </w:r>
            <w:r w:rsidR="004F5528">
              <w:rPr>
                <w:rFonts w:ascii="Arial" w:hAnsi="Arial" w:cs="Arial"/>
                <w:sz w:val="22"/>
                <w:szCs w:val="22"/>
              </w:rPr>
              <w:t xml:space="preserve"> </w:t>
            </w:r>
            <w:r w:rsidRPr="00CF298A">
              <w:rPr>
                <w:rFonts w:ascii="Arial" w:hAnsi="Arial" w:cs="Arial"/>
                <w:sz w:val="22"/>
                <w:szCs w:val="22"/>
              </w:rPr>
              <w:t xml:space="preserve">200 (0.075 mm) </w:t>
            </w:r>
            <w:hyperlink r:id="rId126" w:tooltip="Sieve" w:history="1">
              <w:r w:rsidRPr="00DB29D2">
                <w:rPr>
                  <w:rFonts w:ascii="Arial" w:hAnsi="Arial" w:cs="Arial"/>
                  <w:color w:val="0000FF"/>
                  <w:sz w:val="22"/>
                  <w:szCs w:val="22"/>
                  <w:u w:val="single"/>
                </w:rPr>
                <w:t>sieve</w:t>
              </w:r>
            </w:hyperlink>
          </w:p>
        </w:tc>
        <w:tc>
          <w:tcPr>
            <w:tcW w:w="1770" w:type="dxa"/>
            <w:vMerge w:val="restart"/>
            <w:vAlign w:val="center"/>
            <w:hideMark/>
          </w:tcPr>
          <w:p w14:paraId="01F05BAD" w14:textId="20D2ACB9" w:rsidR="003109D7" w:rsidRDefault="00152A78" w:rsidP="00152A78">
            <w:pPr>
              <w:rPr>
                <w:rFonts w:ascii="Arial" w:hAnsi="Arial" w:cs="Arial"/>
                <w:color w:val="0000FF"/>
                <w:sz w:val="22"/>
                <w:szCs w:val="22"/>
                <w:u w:val="single"/>
              </w:rPr>
            </w:pPr>
            <w:hyperlink r:id="rId127" w:tooltip="Gravel" w:history="1">
              <w:r w:rsidRPr="00DB29D2">
                <w:rPr>
                  <w:rFonts w:ascii="Arial" w:hAnsi="Arial" w:cs="Arial"/>
                  <w:color w:val="0000FF"/>
                  <w:sz w:val="22"/>
                  <w:szCs w:val="22"/>
                  <w:u w:val="single"/>
                </w:rPr>
                <w:t>gravel</w:t>
              </w:r>
            </w:hyperlink>
          </w:p>
          <w:p w14:paraId="02105F55" w14:textId="747925E7" w:rsidR="00152A78" w:rsidRPr="00CF298A" w:rsidRDefault="00152A78" w:rsidP="00152A78">
            <w:pPr>
              <w:rPr>
                <w:rFonts w:ascii="Arial" w:hAnsi="Arial" w:cs="Arial"/>
                <w:sz w:val="22"/>
                <w:szCs w:val="22"/>
              </w:rPr>
            </w:pPr>
            <w:r w:rsidRPr="00CF298A">
              <w:rPr>
                <w:rFonts w:ascii="Arial" w:hAnsi="Arial" w:cs="Arial"/>
                <w:sz w:val="22"/>
                <w:szCs w:val="22"/>
              </w:rPr>
              <w:t>&gt; 50% of coarse fraction retained on No. 4 (4.75 mm) sieve</w:t>
            </w:r>
          </w:p>
        </w:tc>
        <w:tc>
          <w:tcPr>
            <w:tcW w:w="1770" w:type="dxa"/>
            <w:vMerge w:val="restart"/>
            <w:vAlign w:val="center"/>
            <w:hideMark/>
          </w:tcPr>
          <w:p w14:paraId="4925FB72" w14:textId="77777777" w:rsidR="00152A78" w:rsidRPr="00CF298A" w:rsidRDefault="00152A78" w:rsidP="00152A78">
            <w:pPr>
              <w:rPr>
                <w:rFonts w:ascii="Arial" w:hAnsi="Arial" w:cs="Arial"/>
                <w:sz w:val="22"/>
                <w:szCs w:val="22"/>
              </w:rPr>
            </w:pPr>
            <w:r w:rsidRPr="00CF298A">
              <w:rPr>
                <w:rFonts w:ascii="Arial" w:hAnsi="Arial" w:cs="Arial"/>
                <w:sz w:val="22"/>
                <w:szCs w:val="22"/>
              </w:rPr>
              <w:t>clean gravel &lt;5% smaller than #200 Sieve</w:t>
            </w:r>
          </w:p>
        </w:tc>
        <w:tc>
          <w:tcPr>
            <w:tcW w:w="1050" w:type="dxa"/>
            <w:vAlign w:val="center"/>
            <w:hideMark/>
          </w:tcPr>
          <w:p w14:paraId="512C2DC4"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GW</w:t>
            </w:r>
          </w:p>
        </w:tc>
        <w:tc>
          <w:tcPr>
            <w:tcW w:w="2980" w:type="dxa"/>
            <w:vAlign w:val="center"/>
            <w:hideMark/>
          </w:tcPr>
          <w:p w14:paraId="26E49185" w14:textId="77777777" w:rsidR="00152A78" w:rsidRPr="00CF298A" w:rsidRDefault="00152A78" w:rsidP="00152A78">
            <w:pPr>
              <w:rPr>
                <w:rFonts w:ascii="Arial" w:hAnsi="Arial" w:cs="Arial"/>
                <w:sz w:val="22"/>
                <w:szCs w:val="22"/>
              </w:rPr>
            </w:pPr>
            <w:r w:rsidRPr="00CF298A">
              <w:rPr>
                <w:rFonts w:ascii="Arial" w:hAnsi="Arial" w:cs="Arial"/>
                <w:sz w:val="22"/>
                <w:szCs w:val="22"/>
              </w:rPr>
              <w:t>well-graded gravel, fine to coarse gravel</w:t>
            </w:r>
          </w:p>
        </w:tc>
      </w:tr>
      <w:tr w:rsidR="00152A78" w:rsidRPr="00CF298A" w14:paraId="4ED6B2B7" w14:textId="77777777" w:rsidTr="00152A78">
        <w:trPr>
          <w:tblCellSpacing w:w="15" w:type="dxa"/>
        </w:trPr>
        <w:tc>
          <w:tcPr>
            <w:tcW w:w="1720" w:type="dxa"/>
            <w:vMerge/>
            <w:vAlign w:val="center"/>
            <w:hideMark/>
          </w:tcPr>
          <w:p w14:paraId="48657147" w14:textId="77777777" w:rsidR="00152A78" w:rsidRPr="00CF298A" w:rsidRDefault="00152A78" w:rsidP="00152A78">
            <w:pPr>
              <w:rPr>
                <w:rFonts w:ascii="Arial" w:hAnsi="Arial" w:cs="Arial"/>
                <w:sz w:val="22"/>
                <w:szCs w:val="22"/>
              </w:rPr>
            </w:pPr>
          </w:p>
        </w:tc>
        <w:tc>
          <w:tcPr>
            <w:tcW w:w="1770" w:type="dxa"/>
            <w:vMerge/>
            <w:vAlign w:val="center"/>
            <w:hideMark/>
          </w:tcPr>
          <w:p w14:paraId="76B77C65" w14:textId="77777777" w:rsidR="00152A78" w:rsidRPr="00CF298A" w:rsidRDefault="00152A78" w:rsidP="00152A78">
            <w:pPr>
              <w:rPr>
                <w:rFonts w:ascii="Arial" w:hAnsi="Arial" w:cs="Arial"/>
                <w:sz w:val="22"/>
                <w:szCs w:val="22"/>
              </w:rPr>
            </w:pPr>
          </w:p>
        </w:tc>
        <w:tc>
          <w:tcPr>
            <w:tcW w:w="1770" w:type="dxa"/>
            <w:vMerge/>
            <w:vAlign w:val="center"/>
            <w:hideMark/>
          </w:tcPr>
          <w:p w14:paraId="782C1318" w14:textId="77777777" w:rsidR="00152A78" w:rsidRPr="00CF298A" w:rsidRDefault="00152A78" w:rsidP="00152A78">
            <w:pPr>
              <w:rPr>
                <w:rFonts w:ascii="Arial" w:hAnsi="Arial" w:cs="Arial"/>
                <w:sz w:val="22"/>
                <w:szCs w:val="22"/>
              </w:rPr>
            </w:pPr>
          </w:p>
        </w:tc>
        <w:tc>
          <w:tcPr>
            <w:tcW w:w="1050" w:type="dxa"/>
            <w:vAlign w:val="center"/>
            <w:hideMark/>
          </w:tcPr>
          <w:p w14:paraId="4DE568D8"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GP</w:t>
            </w:r>
          </w:p>
        </w:tc>
        <w:tc>
          <w:tcPr>
            <w:tcW w:w="2980" w:type="dxa"/>
            <w:vAlign w:val="center"/>
            <w:hideMark/>
          </w:tcPr>
          <w:p w14:paraId="74F3FA50" w14:textId="77777777" w:rsidR="00152A78" w:rsidRPr="00CF298A" w:rsidRDefault="00152A78" w:rsidP="00152A78">
            <w:pPr>
              <w:rPr>
                <w:rFonts w:ascii="Arial" w:hAnsi="Arial" w:cs="Arial"/>
                <w:sz w:val="22"/>
                <w:szCs w:val="22"/>
              </w:rPr>
            </w:pPr>
            <w:r w:rsidRPr="00CF298A">
              <w:rPr>
                <w:rFonts w:ascii="Arial" w:hAnsi="Arial" w:cs="Arial"/>
                <w:sz w:val="22"/>
                <w:szCs w:val="22"/>
              </w:rPr>
              <w:t>poorly graded gravel</w:t>
            </w:r>
          </w:p>
        </w:tc>
      </w:tr>
      <w:tr w:rsidR="00152A78" w:rsidRPr="00CF298A" w14:paraId="287310ED" w14:textId="77777777" w:rsidTr="00152A78">
        <w:trPr>
          <w:tblCellSpacing w:w="15" w:type="dxa"/>
        </w:trPr>
        <w:tc>
          <w:tcPr>
            <w:tcW w:w="1720" w:type="dxa"/>
            <w:vMerge/>
            <w:vAlign w:val="center"/>
            <w:hideMark/>
          </w:tcPr>
          <w:p w14:paraId="1D9306CD" w14:textId="77777777" w:rsidR="00152A78" w:rsidRPr="00CF298A" w:rsidRDefault="00152A78" w:rsidP="00152A78">
            <w:pPr>
              <w:rPr>
                <w:rFonts w:ascii="Arial" w:hAnsi="Arial" w:cs="Arial"/>
                <w:sz w:val="22"/>
                <w:szCs w:val="22"/>
              </w:rPr>
            </w:pPr>
          </w:p>
        </w:tc>
        <w:tc>
          <w:tcPr>
            <w:tcW w:w="1770" w:type="dxa"/>
            <w:vMerge/>
            <w:vAlign w:val="center"/>
            <w:hideMark/>
          </w:tcPr>
          <w:p w14:paraId="2C78A4AA" w14:textId="77777777" w:rsidR="00152A78" w:rsidRPr="00CF298A" w:rsidRDefault="00152A78" w:rsidP="00152A78">
            <w:pPr>
              <w:rPr>
                <w:rFonts w:ascii="Arial" w:hAnsi="Arial" w:cs="Arial"/>
                <w:sz w:val="22"/>
                <w:szCs w:val="22"/>
              </w:rPr>
            </w:pPr>
          </w:p>
        </w:tc>
        <w:tc>
          <w:tcPr>
            <w:tcW w:w="1770" w:type="dxa"/>
            <w:vMerge w:val="restart"/>
            <w:vAlign w:val="center"/>
            <w:hideMark/>
          </w:tcPr>
          <w:p w14:paraId="2B51DE75" w14:textId="77777777" w:rsidR="00152A78" w:rsidRPr="00CF298A" w:rsidRDefault="00152A78" w:rsidP="00152A78">
            <w:pPr>
              <w:rPr>
                <w:rFonts w:ascii="Arial" w:hAnsi="Arial" w:cs="Arial"/>
                <w:sz w:val="22"/>
                <w:szCs w:val="22"/>
              </w:rPr>
            </w:pPr>
            <w:r w:rsidRPr="00CF298A">
              <w:rPr>
                <w:rFonts w:ascii="Arial" w:hAnsi="Arial" w:cs="Arial"/>
                <w:sz w:val="22"/>
                <w:szCs w:val="22"/>
              </w:rPr>
              <w:t>gravel with &gt;12% fines</w:t>
            </w:r>
          </w:p>
        </w:tc>
        <w:tc>
          <w:tcPr>
            <w:tcW w:w="1050" w:type="dxa"/>
            <w:vAlign w:val="center"/>
            <w:hideMark/>
          </w:tcPr>
          <w:p w14:paraId="7ECFFA07"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GM</w:t>
            </w:r>
          </w:p>
        </w:tc>
        <w:tc>
          <w:tcPr>
            <w:tcW w:w="2980" w:type="dxa"/>
            <w:vAlign w:val="center"/>
            <w:hideMark/>
          </w:tcPr>
          <w:p w14:paraId="0BB7E258" w14:textId="77777777" w:rsidR="00152A78" w:rsidRPr="00CF298A" w:rsidRDefault="00152A78" w:rsidP="00152A78">
            <w:pPr>
              <w:rPr>
                <w:rFonts w:ascii="Arial" w:hAnsi="Arial" w:cs="Arial"/>
                <w:sz w:val="22"/>
                <w:szCs w:val="22"/>
              </w:rPr>
            </w:pPr>
            <w:r w:rsidRPr="00CF298A">
              <w:rPr>
                <w:rFonts w:ascii="Arial" w:hAnsi="Arial" w:cs="Arial"/>
                <w:sz w:val="22"/>
                <w:szCs w:val="22"/>
              </w:rPr>
              <w:t>silty gravel</w:t>
            </w:r>
          </w:p>
        </w:tc>
      </w:tr>
      <w:tr w:rsidR="00152A78" w:rsidRPr="00CF298A" w14:paraId="1247908A" w14:textId="77777777" w:rsidTr="00152A78">
        <w:trPr>
          <w:trHeight w:val="410"/>
          <w:tblCellSpacing w:w="15" w:type="dxa"/>
        </w:trPr>
        <w:tc>
          <w:tcPr>
            <w:tcW w:w="1720" w:type="dxa"/>
            <w:vMerge/>
            <w:vAlign w:val="center"/>
            <w:hideMark/>
          </w:tcPr>
          <w:p w14:paraId="615D2E76" w14:textId="77777777" w:rsidR="00152A78" w:rsidRPr="00CF298A" w:rsidRDefault="00152A78" w:rsidP="00152A78">
            <w:pPr>
              <w:rPr>
                <w:rFonts w:ascii="Arial" w:hAnsi="Arial" w:cs="Arial"/>
                <w:sz w:val="22"/>
                <w:szCs w:val="22"/>
              </w:rPr>
            </w:pPr>
          </w:p>
        </w:tc>
        <w:tc>
          <w:tcPr>
            <w:tcW w:w="1770" w:type="dxa"/>
            <w:vMerge/>
            <w:vAlign w:val="center"/>
            <w:hideMark/>
          </w:tcPr>
          <w:p w14:paraId="4ECC40F4" w14:textId="77777777" w:rsidR="00152A78" w:rsidRPr="00CF298A" w:rsidRDefault="00152A78" w:rsidP="00152A78">
            <w:pPr>
              <w:rPr>
                <w:rFonts w:ascii="Arial" w:hAnsi="Arial" w:cs="Arial"/>
                <w:sz w:val="22"/>
                <w:szCs w:val="22"/>
              </w:rPr>
            </w:pPr>
          </w:p>
        </w:tc>
        <w:tc>
          <w:tcPr>
            <w:tcW w:w="1770" w:type="dxa"/>
            <w:vMerge/>
            <w:vAlign w:val="center"/>
            <w:hideMark/>
          </w:tcPr>
          <w:p w14:paraId="0CE4B38D" w14:textId="77777777" w:rsidR="00152A78" w:rsidRPr="00CF298A" w:rsidRDefault="00152A78" w:rsidP="00152A78">
            <w:pPr>
              <w:rPr>
                <w:rFonts w:ascii="Arial" w:hAnsi="Arial" w:cs="Arial"/>
                <w:sz w:val="22"/>
                <w:szCs w:val="22"/>
              </w:rPr>
            </w:pPr>
          </w:p>
        </w:tc>
        <w:tc>
          <w:tcPr>
            <w:tcW w:w="1050" w:type="dxa"/>
            <w:vAlign w:val="center"/>
            <w:hideMark/>
          </w:tcPr>
          <w:p w14:paraId="3CC8D2B5"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GC</w:t>
            </w:r>
          </w:p>
        </w:tc>
        <w:tc>
          <w:tcPr>
            <w:tcW w:w="2980" w:type="dxa"/>
            <w:vAlign w:val="center"/>
            <w:hideMark/>
          </w:tcPr>
          <w:p w14:paraId="7F484337" w14:textId="77777777" w:rsidR="00152A78" w:rsidRPr="00CF298A" w:rsidRDefault="00152A78" w:rsidP="00152A78">
            <w:pPr>
              <w:rPr>
                <w:rFonts w:ascii="Arial" w:hAnsi="Arial" w:cs="Arial"/>
                <w:sz w:val="22"/>
                <w:szCs w:val="22"/>
              </w:rPr>
            </w:pPr>
            <w:r w:rsidRPr="00CF298A">
              <w:rPr>
                <w:rFonts w:ascii="Arial" w:hAnsi="Arial" w:cs="Arial"/>
                <w:sz w:val="22"/>
                <w:szCs w:val="22"/>
              </w:rPr>
              <w:t>clayey gravel</w:t>
            </w:r>
          </w:p>
        </w:tc>
      </w:tr>
      <w:tr w:rsidR="00152A78" w:rsidRPr="00CF298A" w14:paraId="0CD1832B" w14:textId="77777777" w:rsidTr="00152A78">
        <w:trPr>
          <w:tblCellSpacing w:w="15" w:type="dxa"/>
        </w:trPr>
        <w:tc>
          <w:tcPr>
            <w:tcW w:w="1720" w:type="dxa"/>
            <w:vMerge/>
            <w:vAlign w:val="center"/>
            <w:hideMark/>
          </w:tcPr>
          <w:p w14:paraId="5E80C5D6" w14:textId="77777777" w:rsidR="00152A78" w:rsidRPr="00CF298A" w:rsidRDefault="00152A78" w:rsidP="00152A78">
            <w:pPr>
              <w:rPr>
                <w:rFonts w:ascii="Arial" w:hAnsi="Arial" w:cs="Arial"/>
                <w:sz w:val="22"/>
                <w:szCs w:val="22"/>
              </w:rPr>
            </w:pPr>
          </w:p>
        </w:tc>
        <w:tc>
          <w:tcPr>
            <w:tcW w:w="1770" w:type="dxa"/>
            <w:vMerge w:val="restart"/>
            <w:vAlign w:val="center"/>
            <w:hideMark/>
          </w:tcPr>
          <w:p w14:paraId="723F1300" w14:textId="4D390036" w:rsidR="003109D7" w:rsidRDefault="00152A78" w:rsidP="00152A78">
            <w:pPr>
              <w:rPr>
                <w:rFonts w:ascii="Arial" w:hAnsi="Arial" w:cs="Arial"/>
                <w:color w:val="0000FF"/>
                <w:sz w:val="22"/>
                <w:szCs w:val="22"/>
                <w:u w:val="single"/>
              </w:rPr>
            </w:pPr>
            <w:hyperlink r:id="rId128" w:tooltip="Sand" w:history="1">
              <w:r w:rsidRPr="00DB29D2">
                <w:rPr>
                  <w:rFonts w:ascii="Arial" w:hAnsi="Arial" w:cs="Arial"/>
                  <w:color w:val="0000FF"/>
                  <w:sz w:val="22"/>
                  <w:szCs w:val="22"/>
                  <w:u w:val="single"/>
                </w:rPr>
                <w:t>sand</w:t>
              </w:r>
            </w:hyperlink>
          </w:p>
          <w:p w14:paraId="0D329C6E" w14:textId="66B0078D" w:rsidR="00152A78" w:rsidRPr="00CF298A" w:rsidRDefault="00152A78" w:rsidP="00152A78">
            <w:pPr>
              <w:rPr>
                <w:rFonts w:ascii="Arial" w:hAnsi="Arial" w:cs="Arial"/>
                <w:sz w:val="22"/>
                <w:szCs w:val="22"/>
              </w:rPr>
            </w:pPr>
            <w:r w:rsidRPr="00CF298A">
              <w:rPr>
                <w:rFonts w:ascii="Arial" w:hAnsi="Arial" w:cs="Arial"/>
                <w:sz w:val="22"/>
                <w:szCs w:val="22"/>
              </w:rPr>
              <w:t>≥ 50% of coarse fraction passes No.</w:t>
            </w:r>
            <w:r w:rsidR="004F5528">
              <w:rPr>
                <w:rFonts w:ascii="Arial" w:hAnsi="Arial" w:cs="Arial"/>
                <w:sz w:val="22"/>
                <w:szCs w:val="22"/>
              </w:rPr>
              <w:t xml:space="preserve"> </w:t>
            </w:r>
            <w:r w:rsidRPr="00CF298A">
              <w:rPr>
                <w:rFonts w:ascii="Arial" w:hAnsi="Arial" w:cs="Arial"/>
                <w:sz w:val="22"/>
                <w:szCs w:val="22"/>
              </w:rPr>
              <w:t>4 sieve</w:t>
            </w:r>
          </w:p>
        </w:tc>
        <w:tc>
          <w:tcPr>
            <w:tcW w:w="1770" w:type="dxa"/>
            <w:vMerge w:val="restart"/>
            <w:vAlign w:val="center"/>
            <w:hideMark/>
          </w:tcPr>
          <w:p w14:paraId="69A7DAD6" w14:textId="77777777" w:rsidR="00152A78" w:rsidRPr="00CF298A" w:rsidRDefault="00152A78" w:rsidP="00152A78">
            <w:pPr>
              <w:rPr>
                <w:rFonts w:ascii="Arial" w:hAnsi="Arial" w:cs="Arial"/>
                <w:sz w:val="22"/>
                <w:szCs w:val="22"/>
              </w:rPr>
            </w:pPr>
            <w:r w:rsidRPr="00CF298A">
              <w:rPr>
                <w:rFonts w:ascii="Arial" w:hAnsi="Arial" w:cs="Arial"/>
                <w:sz w:val="22"/>
                <w:szCs w:val="22"/>
              </w:rPr>
              <w:t>clean sand</w:t>
            </w:r>
          </w:p>
        </w:tc>
        <w:tc>
          <w:tcPr>
            <w:tcW w:w="1050" w:type="dxa"/>
            <w:vAlign w:val="center"/>
            <w:hideMark/>
          </w:tcPr>
          <w:p w14:paraId="67832A64"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SW</w:t>
            </w:r>
          </w:p>
        </w:tc>
        <w:tc>
          <w:tcPr>
            <w:tcW w:w="2980" w:type="dxa"/>
            <w:vAlign w:val="center"/>
            <w:hideMark/>
          </w:tcPr>
          <w:p w14:paraId="2DFE38B0" w14:textId="77777777" w:rsidR="00152A78" w:rsidRPr="00CF298A" w:rsidRDefault="00152A78" w:rsidP="00152A78">
            <w:pPr>
              <w:rPr>
                <w:rFonts w:ascii="Arial" w:hAnsi="Arial" w:cs="Arial"/>
                <w:sz w:val="22"/>
                <w:szCs w:val="22"/>
              </w:rPr>
            </w:pPr>
            <w:r w:rsidRPr="00CF298A">
              <w:rPr>
                <w:rFonts w:ascii="Arial" w:hAnsi="Arial" w:cs="Arial"/>
                <w:sz w:val="22"/>
                <w:szCs w:val="22"/>
              </w:rPr>
              <w:t>well-graded sand, fine to coarse sand</w:t>
            </w:r>
          </w:p>
        </w:tc>
      </w:tr>
      <w:tr w:rsidR="00152A78" w:rsidRPr="00CF298A" w14:paraId="4250968F" w14:textId="77777777" w:rsidTr="00152A78">
        <w:trPr>
          <w:tblCellSpacing w:w="15" w:type="dxa"/>
        </w:trPr>
        <w:tc>
          <w:tcPr>
            <w:tcW w:w="1720" w:type="dxa"/>
            <w:vMerge/>
            <w:vAlign w:val="center"/>
            <w:hideMark/>
          </w:tcPr>
          <w:p w14:paraId="5CA1CA2F" w14:textId="77777777" w:rsidR="00152A78" w:rsidRPr="00CF298A" w:rsidRDefault="00152A78" w:rsidP="00152A78">
            <w:pPr>
              <w:rPr>
                <w:rFonts w:ascii="Arial" w:hAnsi="Arial" w:cs="Arial"/>
                <w:sz w:val="22"/>
                <w:szCs w:val="22"/>
              </w:rPr>
            </w:pPr>
          </w:p>
        </w:tc>
        <w:tc>
          <w:tcPr>
            <w:tcW w:w="1770" w:type="dxa"/>
            <w:vMerge/>
            <w:vAlign w:val="center"/>
            <w:hideMark/>
          </w:tcPr>
          <w:p w14:paraId="45D64471" w14:textId="77777777" w:rsidR="00152A78" w:rsidRPr="00CF298A" w:rsidRDefault="00152A78" w:rsidP="00152A78">
            <w:pPr>
              <w:rPr>
                <w:rFonts w:ascii="Arial" w:hAnsi="Arial" w:cs="Arial"/>
                <w:sz w:val="22"/>
                <w:szCs w:val="22"/>
              </w:rPr>
            </w:pPr>
          </w:p>
        </w:tc>
        <w:tc>
          <w:tcPr>
            <w:tcW w:w="1770" w:type="dxa"/>
            <w:vMerge/>
            <w:vAlign w:val="center"/>
            <w:hideMark/>
          </w:tcPr>
          <w:p w14:paraId="480C74F2" w14:textId="77777777" w:rsidR="00152A78" w:rsidRPr="00CF298A" w:rsidRDefault="00152A78" w:rsidP="00152A78">
            <w:pPr>
              <w:rPr>
                <w:rFonts w:ascii="Arial" w:hAnsi="Arial" w:cs="Arial"/>
                <w:sz w:val="22"/>
                <w:szCs w:val="22"/>
              </w:rPr>
            </w:pPr>
          </w:p>
        </w:tc>
        <w:tc>
          <w:tcPr>
            <w:tcW w:w="1050" w:type="dxa"/>
            <w:vAlign w:val="center"/>
            <w:hideMark/>
          </w:tcPr>
          <w:p w14:paraId="20EF5636"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SP</w:t>
            </w:r>
          </w:p>
        </w:tc>
        <w:tc>
          <w:tcPr>
            <w:tcW w:w="2980" w:type="dxa"/>
            <w:vAlign w:val="center"/>
            <w:hideMark/>
          </w:tcPr>
          <w:p w14:paraId="18CB177B" w14:textId="77777777" w:rsidR="00152A78" w:rsidRPr="00CF298A" w:rsidRDefault="00152A78" w:rsidP="00152A78">
            <w:pPr>
              <w:rPr>
                <w:rFonts w:ascii="Arial" w:hAnsi="Arial" w:cs="Arial"/>
                <w:sz w:val="22"/>
                <w:szCs w:val="22"/>
              </w:rPr>
            </w:pPr>
            <w:r w:rsidRPr="00CF298A">
              <w:rPr>
                <w:rFonts w:ascii="Arial" w:hAnsi="Arial" w:cs="Arial"/>
                <w:sz w:val="22"/>
                <w:szCs w:val="22"/>
              </w:rPr>
              <w:t>poorly graded sand</w:t>
            </w:r>
          </w:p>
        </w:tc>
      </w:tr>
      <w:tr w:rsidR="00152A78" w:rsidRPr="00CF298A" w14:paraId="3A2DC56D" w14:textId="77777777" w:rsidTr="00152A78">
        <w:trPr>
          <w:tblCellSpacing w:w="15" w:type="dxa"/>
        </w:trPr>
        <w:tc>
          <w:tcPr>
            <w:tcW w:w="1720" w:type="dxa"/>
            <w:vMerge/>
            <w:vAlign w:val="center"/>
            <w:hideMark/>
          </w:tcPr>
          <w:p w14:paraId="28ACD3BA" w14:textId="77777777" w:rsidR="00152A78" w:rsidRPr="00CF298A" w:rsidRDefault="00152A78" w:rsidP="00152A78">
            <w:pPr>
              <w:rPr>
                <w:rFonts w:ascii="Arial" w:hAnsi="Arial" w:cs="Arial"/>
                <w:sz w:val="22"/>
                <w:szCs w:val="22"/>
              </w:rPr>
            </w:pPr>
          </w:p>
        </w:tc>
        <w:tc>
          <w:tcPr>
            <w:tcW w:w="1770" w:type="dxa"/>
            <w:vMerge/>
            <w:vAlign w:val="center"/>
            <w:hideMark/>
          </w:tcPr>
          <w:p w14:paraId="09435001" w14:textId="77777777" w:rsidR="00152A78" w:rsidRPr="00CF298A" w:rsidRDefault="00152A78" w:rsidP="00152A78">
            <w:pPr>
              <w:rPr>
                <w:rFonts w:ascii="Arial" w:hAnsi="Arial" w:cs="Arial"/>
                <w:sz w:val="22"/>
                <w:szCs w:val="22"/>
              </w:rPr>
            </w:pPr>
          </w:p>
        </w:tc>
        <w:tc>
          <w:tcPr>
            <w:tcW w:w="1770" w:type="dxa"/>
            <w:vMerge w:val="restart"/>
            <w:vAlign w:val="center"/>
            <w:hideMark/>
          </w:tcPr>
          <w:p w14:paraId="7660EA23" w14:textId="77777777" w:rsidR="00152A78" w:rsidRPr="00CF298A" w:rsidRDefault="00152A78" w:rsidP="00152A78">
            <w:pPr>
              <w:rPr>
                <w:rFonts w:ascii="Arial" w:hAnsi="Arial" w:cs="Arial"/>
                <w:sz w:val="22"/>
                <w:szCs w:val="22"/>
              </w:rPr>
            </w:pPr>
            <w:r w:rsidRPr="00CF298A">
              <w:rPr>
                <w:rFonts w:ascii="Arial" w:hAnsi="Arial" w:cs="Arial"/>
                <w:sz w:val="22"/>
                <w:szCs w:val="22"/>
              </w:rPr>
              <w:t>sand with &gt;12% fines</w:t>
            </w:r>
          </w:p>
        </w:tc>
        <w:tc>
          <w:tcPr>
            <w:tcW w:w="1050" w:type="dxa"/>
            <w:vAlign w:val="center"/>
            <w:hideMark/>
          </w:tcPr>
          <w:p w14:paraId="7F032E42"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SM</w:t>
            </w:r>
          </w:p>
        </w:tc>
        <w:tc>
          <w:tcPr>
            <w:tcW w:w="2980" w:type="dxa"/>
            <w:vAlign w:val="center"/>
            <w:hideMark/>
          </w:tcPr>
          <w:p w14:paraId="38128965" w14:textId="77777777" w:rsidR="00152A78" w:rsidRPr="00CF298A" w:rsidRDefault="00152A78" w:rsidP="00152A78">
            <w:pPr>
              <w:rPr>
                <w:rFonts w:ascii="Arial" w:hAnsi="Arial" w:cs="Arial"/>
                <w:sz w:val="22"/>
                <w:szCs w:val="22"/>
              </w:rPr>
            </w:pPr>
            <w:r w:rsidRPr="00CF298A">
              <w:rPr>
                <w:rFonts w:ascii="Arial" w:hAnsi="Arial" w:cs="Arial"/>
                <w:sz w:val="22"/>
                <w:szCs w:val="22"/>
              </w:rPr>
              <w:t>silty sand</w:t>
            </w:r>
          </w:p>
        </w:tc>
      </w:tr>
      <w:tr w:rsidR="00152A78" w:rsidRPr="00CF298A" w14:paraId="7368768E" w14:textId="77777777" w:rsidTr="00152A78">
        <w:trPr>
          <w:tblCellSpacing w:w="15" w:type="dxa"/>
        </w:trPr>
        <w:tc>
          <w:tcPr>
            <w:tcW w:w="1720" w:type="dxa"/>
            <w:vMerge/>
            <w:vAlign w:val="center"/>
            <w:hideMark/>
          </w:tcPr>
          <w:p w14:paraId="08FBC95B" w14:textId="77777777" w:rsidR="00152A78" w:rsidRPr="00CF298A" w:rsidRDefault="00152A78" w:rsidP="00152A78">
            <w:pPr>
              <w:rPr>
                <w:rFonts w:ascii="Arial" w:hAnsi="Arial" w:cs="Arial"/>
                <w:sz w:val="22"/>
                <w:szCs w:val="22"/>
              </w:rPr>
            </w:pPr>
          </w:p>
        </w:tc>
        <w:tc>
          <w:tcPr>
            <w:tcW w:w="1770" w:type="dxa"/>
            <w:vMerge/>
            <w:vAlign w:val="center"/>
            <w:hideMark/>
          </w:tcPr>
          <w:p w14:paraId="3E686AF8" w14:textId="77777777" w:rsidR="00152A78" w:rsidRPr="00CF298A" w:rsidRDefault="00152A78" w:rsidP="00152A78">
            <w:pPr>
              <w:rPr>
                <w:rFonts w:ascii="Arial" w:hAnsi="Arial" w:cs="Arial"/>
                <w:sz w:val="22"/>
                <w:szCs w:val="22"/>
              </w:rPr>
            </w:pPr>
          </w:p>
        </w:tc>
        <w:tc>
          <w:tcPr>
            <w:tcW w:w="1770" w:type="dxa"/>
            <w:vMerge/>
            <w:vAlign w:val="center"/>
            <w:hideMark/>
          </w:tcPr>
          <w:p w14:paraId="46DC8DCD" w14:textId="77777777" w:rsidR="00152A78" w:rsidRPr="00CF298A" w:rsidRDefault="00152A78" w:rsidP="00152A78">
            <w:pPr>
              <w:rPr>
                <w:rFonts w:ascii="Arial" w:hAnsi="Arial" w:cs="Arial"/>
                <w:sz w:val="22"/>
                <w:szCs w:val="22"/>
              </w:rPr>
            </w:pPr>
          </w:p>
        </w:tc>
        <w:tc>
          <w:tcPr>
            <w:tcW w:w="1050" w:type="dxa"/>
            <w:vAlign w:val="center"/>
            <w:hideMark/>
          </w:tcPr>
          <w:p w14:paraId="1638C5EB"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SC</w:t>
            </w:r>
          </w:p>
        </w:tc>
        <w:tc>
          <w:tcPr>
            <w:tcW w:w="2980" w:type="dxa"/>
            <w:vAlign w:val="center"/>
            <w:hideMark/>
          </w:tcPr>
          <w:p w14:paraId="1B0D970C" w14:textId="77777777" w:rsidR="00152A78" w:rsidRPr="00CF298A" w:rsidRDefault="00152A78" w:rsidP="00152A78">
            <w:pPr>
              <w:rPr>
                <w:rFonts w:ascii="Arial" w:hAnsi="Arial" w:cs="Arial"/>
                <w:sz w:val="22"/>
                <w:szCs w:val="22"/>
              </w:rPr>
            </w:pPr>
            <w:r w:rsidRPr="00CF298A">
              <w:rPr>
                <w:rFonts w:ascii="Arial" w:hAnsi="Arial" w:cs="Arial"/>
                <w:sz w:val="22"/>
                <w:szCs w:val="22"/>
              </w:rPr>
              <w:t>clayey sand</w:t>
            </w:r>
          </w:p>
        </w:tc>
      </w:tr>
      <w:tr w:rsidR="00152A78" w:rsidRPr="00CF298A" w14:paraId="57FD804B" w14:textId="77777777" w:rsidTr="00152A78">
        <w:trPr>
          <w:tblCellSpacing w:w="15" w:type="dxa"/>
        </w:trPr>
        <w:tc>
          <w:tcPr>
            <w:tcW w:w="1720" w:type="dxa"/>
            <w:vMerge w:val="restart"/>
            <w:vAlign w:val="center"/>
            <w:hideMark/>
          </w:tcPr>
          <w:p w14:paraId="09992591" w14:textId="4299F104" w:rsidR="00152A78" w:rsidRPr="00CF298A" w:rsidRDefault="00152A78" w:rsidP="00152A78">
            <w:pPr>
              <w:rPr>
                <w:rFonts w:ascii="Arial" w:hAnsi="Arial" w:cs="Arial"/>
                <w:sz w:val="22"/>
                <w:szCs w:val="22"/>
              </w:rPr>
            </w:pPr>
            <w:r w:rsidRPr="00CF298A">
              <w:rPr>
                <w:rFonts w:ascii="Arial" w:hAnsi="Arial" w:cs="Arial"/>
                <w:sz w:val="22"/>
                <w:szCs w:val="22"/>
              </w:rPr>
              <w:lastRenderedPageBreak/>
              <w:t>Fine grained soils</w:t>
            </w:r>
            <w:r w:rsidRPr="00CF298A">
              <w:rPr>
                <w:rFonts w:ascii="Arial" w:hAnsi="Arial" w:cs="Arial"/>
                <w:sz w:val="22"/>
                <w:szCs w:val="22"/>
              </w:rPr>
              <w:br/>
              <w:t>more than 50% passes No.</w:t>
            </w:r>
            <w:r w:rsidR="004F5528">
              <w:rPr>
                <w:rFonts w:ascii="Arial" w:hAnsi="Arial" w:cs="Arial"/>
                <w:sz w:val="22"/>
                <w:szCs w:val="22"/>
              </w:rPr>
              <w:t xml:space="preserve"> </w:t>
            </w:r>
            <w:r w:rsidRPr="00CF298A">
              <w:rPr>
                <w:rFonts w:ascii="Arial" w:hAnsi="Arial" w:cs="Arial"/>
                <w:sz w:val="22"/>
                <w:szCs w:val="22"/>
              </w:rPr>
              <w:t>200 sieve</w:t>
            </w:r>
          </w:p>
        </w:tc>
        <w:tc>
          <w:tcPr>
            <w:tcW w:w="1770" w:type="dxa"/>
            <w:vMerge w:val="restart"/>
            <w:vAlign w:val="center"/>
            <w:hideMark/>
          </w:tcPr>
          <w:p w14:paraId="5342E871" w14:textId="77777777" w:rsidR="00152A78" w:rsidRPr="00CF298A" w:rsidRDefault="00152A78" w:rsidP="00152A78">
            <w:pPr>
              <w:rPr>
                <w:rFonts w:ascii="Arial" w:hAnsi="Arial" w:cs="Arial"/>
                <w:sz w:val="22"/>
                <w:szCs w:val="22"/>
              </w:rPr>
            </w:pPr>
            <w:hyperlink r:id="rId129" w:tooltip="Silt" w:history="1">
              <w:r w:rsidRPr="00DB29D2">
                <w:rPr>
                  <w:rFonts w:ascii="Arial" w:hAnsi="Arial" w:cs="Arial"/>
                  <w:color w:val="0000FF"/>
                  <w:sz w:val="22"/>
                  <w:szCs w:val="22"/>
                  <w:u w:val="single"/>
                </w:rPr>
                <w:t>silt</w:t>
              </w:r>
            </w:hyperlink>
            <w:r w:rsidRPr="00CF298A">
              <w:rPr>
                <w:rFonts w:ascii="Arial" w:hAnsi="Arial" w:cs="Arial"/>
                <w:sz w:val="22"/>
                <w:szCs w:val="22"/>
              </w:rPr>
              <w:t xml:space="preserve"> and </w:t>
            </w:r>
            <w:hyperlink r:id="rId130" w:tooltip="Clay" w:history="1">
              <w:r w:rsidRPr="00DB29D2">
                <w:rPr>
                  <w:rFonts w:ascii="Arial" w:hAnsi="Arial" w:cs="Arial"/>
                  <w:color w:val="0000FF"/>
                  <w:sz w:val="22"/>
                  <w:szCs w:val="22"/>
                  <w:u w:val="single"/>
                </w:rPr>
                <w:t>clay</w:t>
              </w:r>
            </w:hyperlink>
            <w:r w:rsidRPr="00CF298A">
              <w:rPr>
                <w:rFonts w:ascii="Arial" w:hAnsi="Arial" w:cs="Arial"/>
                <w:sz w:val="22"/>
                <w:szCs w:val="22"/>
              </w:rPr>
              <w:br/>
            </w:r>
            <w:hyperlink r:id="rId131" w:tooltip="Liquid limit" w:history="1">
              <w:r w:rsidRPr="00DB29D2">
                <w:rPr>
                  <w:rFonts w:ascii="Arial" w:hAnsi="Arial" w:cs="Arial"/>
                  <w:color w:val="0000FF"/>
                  <w:sz w:val="22"/>
                  <w:szCs w:val="22"/>
                  <w:u w:val="single"/>
                </w:rPr>
                <w:t>liquid limit</w:t>
              </w:r>
            </w:hyperlink>
            <w:r w:rsidRPr="00CF298A">
              <w:rPr>
                <w:rFonts w:ascii="Arial" w:hAnsi="Arial" w:cs="Arial"/>
                <w:sz w:val="22"/>
                <w:szCs w:val="22"/>
              </w:rPr>
              <w:t xml:space="preserve"> &lt; 50</w:t>
            </w:r>
          </w:p>
        </w:tc>
        <w:tc>
          <w:tcPr>
            <w:tcW w:w="1770" w:type="dxa"/>
            <w:vMerge w:val="restart"/>
            <w:vAlign w:val="center"/>
            <w:hideMark/>
          </w:tcPr>
          <w:p w14:paraId="48DC1CCE" w14:textId="77777777" w:rsidR="00152A78" w:rsidRPr="00CF298A" w:rsidRDefault="00152A78" w:rsidP="00152A78">
            <w:pPr>
              <w:rPr>
                <w:rFonts w:ascii="Arial" w:hAnsi="Arial" w:cs="Arial"/>
                <w:sz w:val="22"/>
                <w:szCs w:val="22"/>
              </w:rPr>
            </w:pPr>
            <w:hyperlink r:id="rId132" w:tooltip="Inorganic" w:history="1">
              <w:r w:rsidRPr="00DB29D2">
                <w:rPr>
                  <w:rFonts w:ascii="Arial" w:hAnsi="Arial" w:cs="Arial"/>
                  <w:color w:val="0000FF"/>
                  <w:sz w:val="22"/>
                  <w:szCs w:val="22"/>
                  <w:u w:val="single"/>
                </w:rPr>
                <w:t>inorganic</w:t>
              </w:r>
            </w:hyperlink>
          </w:p>
        </w:tc>
        <w:tc>
          <w:tcPr>
            <w:tcW w:w="1050" w:type="dxa"/>
            <w:vAlign w:val="center"/>
            <w:hideMark/>
          </w:tcPr>
          <w:p w14:paraId="3F49D7F0"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ML</w:t>
            </w:r>
          </w:p>
        </w:tc>
        <w:tc>
          <w:tcPr>
            <w:tcW w:w="2980" w:type="dxa"/>
            <w:vAlign w:val="center"/>
            <w:hideMark/>
          </w:tcPr>
          <w:p w14:paraId="0EEDE882" w14:textId="77777777" w:rsidR="00152A78" w:rsidRPr="00CF298A" w:rsidRDefault="00152A78" w:rsidP="00152A78">
            <w:pPr>
              <w:rPr>
                <w:rFonts w:ascii="Arial" w:hAnsi="Arial" w:cs="Arial"/>
                <w:sz w:val="22"/>
                <w:szCs w:val="22"/>
              </w:rPr>
            </w:pPr>
            <w:r w:rsidRPr="00CF298A">
              <w:rPr>
                <w:rFonts w:ascii="Arial" w:hAnsi="Arial" w:cs="Arial"/>
                <w:sz w:val="22"/>
                <w:szCs w:val="22"/>
              </w:rPr>
              <w:t>silt</w:t>
            </w:r>
          </w:p>
        </w:tc>
      </w:tr>
      <w:tr w:rsidR="00152A78" w:rsidRPr="00CF298A" w14:paraId="59ECD377" w14:textId="77777777" w:rsidTr="00152A78">
        <w:trPr>
          <w:tblCellSpacing w:w="15" w:type="dxa"/>
        </w:trPr>
        <w:tc>
          <w:tcPr>
            <w:tcW w:w="1720" w:type="dxa"/>
            <w:vMerge/>
            <w:vAlign w:val="center"/>
            <w:hideMark/>
          </w:tcPr>
          <w:p w14:paraId="332F9883" w14:textId="77777777" w:rsidR="00152A78" w:rsidRPr="00CF298A" w:rsidRDefault="00152A78" w:rsidP="00152A78">
            <w:pPr>
              <w:rPr>
                <w:rFonts w:ascii="Arial" w:hAnsi="Arial" w:cs="Arial"/>
                <w:sz w:val="22"/>
                <w:szCs w:val="22"/>
              </w:rPr>
            </w:pPr>
          </w:p>
        </w:tc>
        <w:tc>
          <w:tcPr>
            <w:tcW w:w="1770" w:type="dxa"/>
            <w:vMerge/>
            <w:vAlign w:val="center"/>
            <w:hideMark/>
          </w:tcPr>
          <w:p w14:paraId="43FA9635" w14:textId="77777777" w:rsidR="00152A78" w:rsidRPr="00CF298A" w:rsidRDefault="00152A78" w:rsidP="00152A78">
            <w:pPr>
              <w:rPr>
                <w:rFonts w:ascii="Arial" w:hAnsi="Arial" w:cs="Arial"/>
                <w:sz w:val="22"/>
                <w:szCs w:val="22"/>
              </w:rPr>
            </w:pPr>
          </w:p>
        </w:tc>
        <w:tc>
          <w:tcPr>
            <w:tcW w:w="1770" w:type="dxa"/>
            <w:vMerge/>
            <w:vAlign w:val="center"/>
            <w:hideMark/>
          </w:tcPr>
          <w:p w14:paraId="7F614711" w14:textId="77777777" w:rsidR="00152A78" w:rsidRPr="00CF298A" w:rsidRDefault="00152A78" w:rsidP="00152A78">
            <w:pPr>
              <w:rPr>
                <w:rFonts w:ascii="Arial" w:hAnsi="Arial" w:cs="Arial"/>
                <w:sz w:val="22"/>
                <w:szCs w:val="22"/>
              </w:rPr>
            </w:pPr>
          </w:p>
        </w:tc>
        <w:tc>
          <w:tcPr>
            <w:tcW w:w="1050" w:type="dxa"/>
            <w:vAlign w:val="center"/>
            <w:hideMark/>
          </w:tcPr>
          <w:p w14:paraId="51F052E2"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CL</w:t>
            </w:r>
          </w:p>
        </w:tc>
        <w:tc>
          <w:tcPr>
            <w:tcW w:w="2980" w:type="dxa"/>
            <w:vAlign w:val="center"/>
            <w:hideMark/>
          </w:tcPr>
          <w:p w14:paraId="0BA87DC0" w14:textId="77777777" w:rsidR="00152A78" w:rsidRPr="00CF298A" w:rsidRDefault="00152A78" w:rsidP="00152A78">
            <w:pPr>
              <w:rPr>
                <w:rFonts w:ascii="Arial" w:hAnsi="Arial" w:cs="Arial"/>
                <w:sz w:val="22"/>
                <w:szCs w:val="22"/>
              </w:rPr>
            </w:pPr>
            <w:r w:rsidRPr="00CF298A">
              <w:rPr>
                <w:rFonts w:ascii="Arial" w:hAnsi="Arial" w:cs="Arial"/>
                <w:sz w:val="22"/>
                <w:szCs w:val="22"/>
              </w:rPr>
              <w:t>clay of low plasticity, lean clay</w:t>
            </w:r>
          </w:p>
        </w:tc>
      </w:tr>
      <w:tr w:rsidR="00152A78" w:rsidRPr="00CF298A" w14:paraId="74EE617B" w14:textId="77777777" w:rsidTr="00152A78">
        <w:trPr>
          <w:tblCellSpacing w:w="15" w:type="dxa"/>
        </w:trPr>
        <w:tc>
          <w:tcPr>
            <w:tcW w:w="1720" w:type="dxa"/>
            <w:vMerge/>
            <w:vAlign w:val="center"/>
            <w:hideMark/>
          </w:tcPr>
          <w:p w14:paraId="6D795638" w14:textId="77777777" w:rsidR="00152A78" w:rsidRPr="00CF298A" w:rsidRDefault="00152A78" w:rsidP="00152A78">
            <w:pPr>
              <w:rPr>
                <w:rFonts w:ascii="Arial" w:hAnsi="Arial" w:cs="Arial"/>
                <w:sz w:val="22"/>
                <w:szCs w:val="22"/>
              </w:rPr>
            </w:pPr>
          </w:p>
        </w:tc>
        <w:tc>
          <w:tcPr>
            <w:tcW w:w="1770" w:type="dxa"/>
            <w:vMerge/>
            <w:vAlign w:val="center"/>
            <w:hideMark/>
          </w:tcPr>
          <w:p w14:paraId="62ED81F3" w14:textId="77777777" w:rsidR="00152A78" w:rsidRPr="00CF298A" w:rsidRDefault="00152A78" w:rsidP="00152A78">
            <w:pPr>
              <w:rPr>
                <w:rFonts w:ascii="Arial" w:hAnsi="Arial" w:cs="Arial"/>
                <w:sz w:val="22"/>
                <w:szCs w:val="22"/>
              </w:rPr>
            </w:pPr>
          </w:p>
        </w:tc>
        <w:tc>
          <w:tcPr>
            <w:tcW w:w="1770" w:type="dxa"/>
            <w:vAlign w:val="center"/>
            <w:hideMark/>
          </w:tcPr>
          <w:p w14:paraId="4C9F3ECA" w14:textId="77777777" w:rsidR="00152A78" w:rsidRPr="00CF298A" w:rsidRDefault="00152A78" w:rsidP="00152A78">
            <w:pPr>
              <w:rPr>
                <w:rFonts w:ascii="Arial" w:hAnsi="Arial" w:cs="Arial"/>
                <w:sz w:val="22"/>
                <w:szCs w:val="22"/>
              </w:rPr>
            </w:pPr>
            <w:hyperlink r:id="rId133" w:tooltip="Organic material" w:history="1">
              <w:r w:rsidRPr="00DB29D2">
                <w:rPr>
                  <w:rFonts w:ascii="Arial" w:hAnsi="Arial" w:cs="Arial"/>
                  <w:color w:val="0000FF"/>
                  <w:sz w:val="22"/>
                  <w:szCs w:val="22"/>
                  <w:u w:val="single"/>
                </w:rPr>
                <w:t>organic</w:t>
              </w:r>
            </w:hyperlink>
          </w:p>
        </w:tc>
        <w:tc>
          <w:tcPr>
            <w:tcW w:w="1050" w:type="dxa"/>
            <w:vAlign w:val="center"/>
            <w:hideMark/>
          </w:tcPr>
          <w:p w14:paraId="14389A5C"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OL</w:t>
            </w:r>
          </w:p>
        </w:tc>
        <w:tc>
          <w:tcPr>
            <w:tcW w:w="2980" w:type="dxa"/>
            <w:vAlign w:val="center"/>
            <w:hideMark/>
          </w:tcPr>
          <w:p w14:paraId="5A868021" w14:textId="77777777" w:rsidR="00152A78" w:rsidRPr="00CF298A" w:rsidRDefault="00152A78" w:rsidP="00152A78">
            <w:pPr>
              <w:rPr>
                <w:rFonts w:ascii="Arial" w:hAnsi="Arial" w:cs="Arial"/>
                <w:sz w:val="22"/>
                <w:szCs w:val="22"/>
              </w:rPr>
            </w:pPr>
            <w:r w:rsidRPr="00CF298A">
              <w:rPr>
                <w:rFonts w:ascii="Arial" w:hAnsi="Arial" w:cs="Arial"/>
                <w:sz w:val="22"/>
                <w:szCs w:val="22"/>
              </w:rPr>
              <w:t xml:space="preserve">organic silt, </w:t>
            </w:r>
            <w:hyperlink r:id="rId134" w:tooltip="Organic clay (page does not exist)" w:history="1">
              <w:r w:rsidRPr="00DB29D2">
                <w:rPr>
                  <w:rFonts w:ascii="Arial" w:hAnsi="Arial" w:cs="Arial"/>
                  <w:color w:val="0000FF"/>
                  <w:sz w:val="22"/>
                  <w:szCs w:val="22"/>
                  <w:u w:val="single"/>
                </w:rPr>
                <w:t>organic clay</w:t>
              </w:r>
            </w:hyperlink>
          </w:p>
        </w:tc>
      </w:tr>
      <w:tr w:rsidR="00152A78" w:rsidRPr="00CF298A" w14:paraId="063883E7" w14:textId="77777777" w:rsidTr="00152A78">
        <w:trPr>
          <w:tblCellSpacing w:w="15" w:type="dxa"/>
        </w:trPr>
        <w:tc>
          <w:tcPr>
            <w:tcW w:w="1720" w:type="dxa"/>
            <w:vMerge/>
            <w:vAlign w:val="center"/>
            <w:hideMark/>
          </w:tcPr>
          <w:p w14:paraId="781E904F" w14:textId="77777777" w:rsidR="00152A78" w:rsidRPr="00CF298A" w:rsidRDefault="00152A78" w:rsidP="00152A78">
            <w:pPr>
              <w:rPr>
                <w:rFonts w:ascii="Arial" w:hAnsi="Arial" w:cs="Arial"/>
                <w:sz w:val="22"/>
                <w:szCs w:val="22"/>
              </w:rPr>
            </w:pPr>
          </w:p>
        </w:tc>
        <w:tc>
          <w:tcPr>
            <w:tcW w:w="1770" w:type="dxa"/>
            <w:vMerge w:val="restart"/>
            <w:vAlign w:val="center"/>
            <w:hideMark/>
          </w:tcPr>
          <w:p w14:paraId="479324CE" w14:textId="77777777" w:rsidR="00152A78" w:rsidRPr="00CF298A" w:rsidRDefault="00152A78" w:rsidP="00152A78">
            <w:pPr>
              <w:rPr>
                <w:rFonts w:ascii="Arial" w:hAnsi="Arial" w:cs="Arial"/>
                <w:sz w:val="22"/>
                <w:szCs w:val="22"/>
              </w:rPr>
            </w:pPr>
            <w:r w:rsidRPr="00CF298A">
              <w:rPr>
                <w:rFonts w:ascii="Arial" w:hAnsi="Arial" w:cs="Arial"/>
                <w:sz w:val="22"/>
                <w:szCs w:val="22"/>
              </w:rPr>
              <w:t>silt and clay</w:t>
            </w:r>
            <w:r w:rsidRPr="00CF298A">
              <w:rPr>
                <w:rFonts w:ascii="Arial" w:hAnsi="Arial" w:cs="Arial"/>
                <w:sz w:val="22"/>
                <w:szCs w:val="22"/>
              </w:rPr>
              <w:br/>
              <w:t>liquid limit ≥ 50</w:t>
            </w:r>
          </w:p>
        </w:tc>
        <w:tc>
          <w:tcPr>
            <w:tcW w:w="1770" w:type="dxa"/>
            <w:vMerge w:val="restart"/>
            <w:vAlign w:val="center"/>
            <w:hideMark/>
          </w:tcPr>
          <w:p w14:paraId="72F7C148" w14:textId="77777777" w:rsidR="00152A78" w:rsidRPr="00CF298A" w:rsidRDefault="00152A78" w:rsidP="00152A78">
            <w:pPr>
              <w:rPr>
                <w:rFonts w:ascii="Arial" w:hAnsi="Arial" w:cs="Arial"/>
                <w:sz w:val="22"/>
                <w:szCs w:val="22"/>
              </w:rPr>
            </w:pPr>
            <w:r w:rsidRPr="00CF298A">
              <w:rPr>
                <w:rFonts w:ascii="Arial" w:hAnsi="Arial" w:cs="Arial"/>
                <w:sz w:val="22"/>
                <w:szCs w:val="22"/>
              </w:rPr>
              <w:t>inorganic</w:t>
            </w:r>
          </w:p>
        </w:tc>
        <w:tc>
          <w:tcPr>
            <w:tcW w:w="1050" w:type="dxa"/>
            <w:vAlign w:val="center"/>
            <w:hideMark/>
          </w:tcPr>
          <w:p w14:paraId="25BEEE2E"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MH</w:t>
            </w:r>
          </w:p>
        </w:tc>
        <w:tc>
          <w:tcPr>
            <w:tcW w:w="2980" w:type="dxa"/>
            <w:vAlign w:val="center"/>
            <w:hideMark/>
          </w:tcPr>
          <w:p w14:paraId="28C41A7A" w14:textId="77777777" w:rsidR="00152A78" w:rsidRPr="00CF298A" w:rsidRDefault="00152A78" w:rsidP="00152A78">
            <w:pPr>
              <w:rPr>
                <w:rFonts w:ascii="Arial" w:hAnsi="Arial" w:cs="Arial"/>
                <w:sz w:val="22"/>
                <w:szCs w:val="22"/>
              </w:rPr>
            </w:pPr>
            <w:r w:rsidRPr="00CF298A">
              <w:rPr>
                <w:rFonts w:ascii="Arial" w:hAnsi="Arial" w:cs="Arial"/>
                <w:sz w:val="22"/>
                <w:szCs w:val="22"/>
              </w:rPr>
              <w:t xml:space="preserve">silt of high </w:t>
            </w:r>
            <w:hyperlink r:id="rId135" w:tooltip="Plasticity (physics)" w:history="1">
              <w:r w:rsidRPr="00DB29D2">
                <w:rPr>
                  <w:rFonts w:ascii="Arial" w:hAnsi="Arial" w:cs="Arial"/>
                  <w:color w:val="0000FF"/>
                  <w:sz w:val="22"/>
                  <w:szCs w:val="22"/>
                  <w:u w:val="single"/>
                </w:rPr>
                <w:t>plasticity</w:t>
              </w:r>
            </w:hyperlink>
            <w:r w:rsidRPr="00CF298A">
              <w:rPr>
                <w:rFonts w:ascii="Arial" w:hAnsi="Arial" w:cs="Arial"/>
                <w:sz w:val="22"/>
                <w:szCs w:val="22"/>
              </w:rPr>
              <w:t xml:space="preserve">, </w:t>
            </w:r>
            <w:hyperlink r:id="rId136" w:tooltip="Elasticity (physics)" w:history="1">
              <w:r w:rsidRPr="00DB29D2">
                <w:rPr>
                  <w:rFonts w:ascii="Arial" w:hAnsi="Arial" w:cs="Arial"/>
                  <w:color w:val="0000FF"/>
                  <w:sz w:val="22"/>
                  <w:szCs w:val="22"/>
                  <w:u w:val="single"/>
                </w:rPr>
                <w:t>elastic</w:t>
              </w:r>
            </w:hyperlink>
            <w:r w:rsidRPr="00CF298A">
              <w:rPr>
                <w:rFonts w:ascii="Arial" w:hAnsi="Arial" w:cs="Arial"/>
                <w:sz w:val="22"/>
                <w:szCs w:val="22"/>
              </w:rPr>
              <w:t xml:space="preserve"> silt</w:t>
            </w:r>
          </w:p>
        </w:tc>
      </w:tr>
      <w:tr w:rsidR="00152A78" w:rsidRPr="00CF298A" w14:paraId="1070EEBC" w14:textId="77777777" w:rsidTr="00152A78">
        <w:trPr>
          <w:tblCellSpacing w:w="15" w:type="dxa"/>
        </w:trPr>
        <w:tc>
          <w:tcPr>
            <w:tcW w:w="1720" w:type="dxa"/>
            <w:vMerge/>
            <w:vAlign w:val="center"/>
            <w:hideMark/>
          </w:tcPr>
          <w:p w14:paraId="4128F6A1" w14:textId="77777777" w:rsidR="00152A78" w:rsidRPr="00CF298A" w:rsidRDefault="00152A78" w:rsidP="00152A78">
            <w:pPr>
              <w:rPr>
                <w:rFonts w:ascii="Arial" w:hAnsi="Arial" w:cs="Arial"/>
                <w:sz w:val="22"/>
                <w:szCs w:val="22"/>
              </w:rPr>
            </w:pPr>
          </w:p>
        </w:tc>
        <w:tc>
          <w:tcPr>
            <w:tcW w:w="1770" w:type="dxa"/>
            <w:vMerge/>
            <w:vAlign w:val="center"/>
            <w:hideMark/>
          </w:tcPr>
          <w:p w14:paraId="5B8A63CA" w14:textId="77777777" w:rsidR="00152A78" w:rsidRPr="00CF298A" w:rsidRDefault="00152A78" w:rsidP="00152A78">
            <w:pPr>
              <w:rPr>
                <w:rFonts w:ascii="Arial" w:hAnsi="Arial" w:cs="Arial"/>
                <w:sz w:val="22"/>
                <w:szCs w:val="22"/>
              </w:rPr>
            </w:pPr>
          </w:p>
        </w:tc>
        <w:tc>
          <w:tcPr>
            <w:tcW w:w="1770" w:type="dxa"/>
            <w:vMerge/>
            <w:vAlign w:val="center"/>
            <w:hideMark/>
          </w:tcPr>
          <w:p w14:paraId="67232C66" w14:textId="77777777" w:rsidR="00152A78" w:rsidRPr="00CF298A" w:rsidRDefault="00152A78" w:rsidP="00152A78">
            <w:pPr>
              <w:rPr>
                <w:rFonts w:ascii="Arial" w:hAnsi="Arial" w:cs="Arial"/>
                <w:sz w:val="22"/>
                <w:szCs w:val="22"/>
              </w:rPr>
            </w:pPr>
          </w:p>
        </w:tc>
        <w:tc>
          <w:tcPr>
            <w:tcW w:w="1050" w:type="dxa"/>
            <w:vAlign w:val="center"/>
            <w:hideMark/>
          </w:tcPr>
          <w:p w14:paraId="4B6B3419"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CH</w:t>
            </w:r>
          </w:p>
        </w:tc>
        <w:tc>
          <w:tcPr>
            <w:tcW w:w="2980" w:type="dxa"/>
            <w:vAlign w:val="center"/>
            <w:hideMark/>
          </w:tcPr>
          <w:p w14:paraId="6ABA8443" w14:textId="77777777" w:rsidR="00152A78" w:rsidRPr="00CF298A" w:rsidRDefault="00152A78" w:rsidP="00152A78">
            <w:pPr>
              <w:rPr>
                <w:rFonts w:ascii="Arial" w:hAnsi="Arial" w:cs="Arial"/>
                <w:sz w:val="22"/>
                <w:szCs w:val="22"/>
              </w:rPr>
            </w:pPr>
            <w:r w:rsidRPr="00CF298A">
              <w:rPr>
                <w:rFonts w:ascii="Arial" w:hAnsi="Arial" w:cs="Arial"/>
                <w:sz w:val="22"/>
                <w:szCs w:val="22"/>
              </w:rPr>
              <w:t>clay of high plasticity, fat clay</w:t>
            </w:r>
          </w:p>
        </w:tc>
      </w:tr>
      <w:tr w:rsidR="00152A78" w:rsidRPr="00CF298A" w14:paraId="25C9733B" w14:textId="77777777" w:rsidTr="00152A78">
        <w:trPr>
          <w:tblCellSpacing w:w="15" w:type="dxa"/>
        </w:trPr>
        <w:tc>
          <w:tcPr>
            <w:tcW w:w="1720" w:type="dxa"/>
            <w:vMerge/>
            <w:vAlign w:val="center"/>
            <w:hideMark/>
          </w:tcPr>
          <w:p w14:paraId="57836774" w14:textId="77777777" w:rsidR="00152A78" w:rsidRPr="00CF298A" w:rsidRDefault="00152A78" w:rsidP="00152A78">
            <w:pPr>
              <w:rPr>
                <w:rFonts w:ascii="Arial" w:hAnsi="Arial" w:cs="Arial"/>
                <w:sz w:val="22"/>
                <w:szCs w:val="22"/>
              </w:rPr>
            </w:pPr>
          </w:p>
        </w:tc>
        <w:tc>
          <w:tcPr>
            <w:tcW w:w="1770" w:type="dxa"/>
            <w:vMerge/>
            <w:vAlign w:val="center"/>
            <w:hideMark/>
          </w:tcPr>
          <w:p w14:paraId="6724C014" w14:textId="77777777" w:rsidR="00152A78" w:rsidRPr="00CF298A" w:rsidRDefault="00152A78" w:rsidP="00152A78">
            <w:pPr>
              <w:rPr>
                <w:rFonts w:ascii="Arial" w:hAnsi="Arial" w:cs="Arial"/>
                <w:sz w:val="22"/>
                <w:szCs w:val="22"/>
              </w:rPr>
            </w:pPr>
          </w:p>
        </w:tc>
        <w:tc>
          <w:tcPr>
            <w:tcW w:w="1770" w:type="dxa"/>
            <w:vAlign w:val="center"/>
            <w:hideMark/>
          </w:tcPr>
          <w:p w14:paraId="07E9B189" w14:textId="77777777" w:rsidR="00152A78" w:rsidRPr="00CF298A" w:rsidRDefault="00152A78" w:rsidP="00152A78">
            <w:pPr>
              <w:rPr>
                <w:rFonts w:ascii="Arial" w:hAnsi="Arial" w:cs="Arial"/>
                <w:sz w:val="22"/>
                <w:szCs w:val="22"/>
              </w:rPr>
            </w:pPr>
            <w:r w:rsidRPr="00CF298A">
              <w:rPr>
                <w:rFonts w:ascii="Arial" w:hAnsi="Arial" w:cs="Arial"/>
                <w:sz w:val="22"/>
                <w:szCs w:val="22"/>
              </w:rPr>
              <w:t>organic</w:t>
            </w:r>
          </w:p>
        </w:tc>
        <w:tc>
          <w:tcPr>
            <w:tcW w:w="1050" w:type="dxa"/>
            <w:vAlign w:val="center"/>
            <w:hideMark/>
          </w:tcPr>
          <w:p w14:paraId="2B4C8852"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OH</w:t>
            </w:r>
          </w:p>
        </w:tc>
        <w:tc>
          <w:tcPr>
            <w:tcW w:w="2980" w:type="dxa"/>
            <w:vAlign w:val="center"/>
            <w:hideMark/>
          </w:tcPr>
          <w:p w14:paraId="32168A6E" w14:textId="77777777" w:rsidR="00152A78" w:rsidRPr="00CF298A" w:rsidRDefault="00152A78" w:rsidP="00152A78">
            <w:pPr>
              <w:rPr>
                <w:rFonts w:ascii="Arial" w:hAnsi="Arial" w:cs="Arial"/>
                <w:sz w:val="22"/>
                <w:szCs w:val="22"/>
              </w:rPr>
            </w:pPr>
            <w:r w:rsidRPr="00CF298A">
              <w:rPr>
                <w:rFonts w:ascii="Arial" w:hAnsi="Arial" w:cs="Arial"/>
                <w:sz w:val="22"/>
                <w:szCs w:val="22"/>
              </w:rPr>
              <w:t>organic clay, organic silt</w:t>
            </w:r>
          </w:p>
        </w:tc>
      </w:tr>
      <w:tr w:rsidR="00152A78" w:rsidRPr="00CF298A" w14:paraId="0CCF468E" w14:textId="77777777" w:rsidTr="00152A78">
        <w:trPr>
          <w:tblCellSpacing w:w="15" w:type="dxa"/>
        </w:trPr>
        <w:tc>
          <w:tcPr>
            <w:tcW w:w="5320" w:type="dxa"/>
            <w:gridSpan w:val="3"/>
            <w:vAlign w:val="center"/>
            <w:hideMark/>
          </w:tcPr>
          <w:p w14:paraId="3C566D09" w14:textId="77777777" w:rsidR="00152A78" w:rsidRPr="00CF298A" w:rsidRDefault="00152A78" w:rsidP="00152A78">
            <w:pPr>
              <w:rPr>
                <w:rFonts w:ascii="Arial" w:hAnsi="Arial" w:cs="Arial"/>
                <w:sz w:val="22"/>
                <w:szCs w:val="22"/>
              </w:rPr>
            </w:pPr>
            <w:r w:rsidRPr="00CF298A">
              <w:rPr>
                <w:rFonts w:ascii="Arial" w:hAnsi="Arial" w:cs="Arial"/>
                <w:sz w:val="22"/>
                <w:szCs w:val="22"/>
              </w:rPr>
              <w:t>Highly organic soils</w:t>
            </w:r>
          </w:p>
        </w:tc>
        <w:tc>
          <w:tcPr>
            <w:tcW w:w="1050" w:type="dxa"/>
            <w:vAlign w:val="center"/>
            <w:hideMark/>
          </w:tcPr>
          <w:p w14:paraId="5AA1BA80" w14:textId="77777777" w:rsidR="00152A78" w:rsidRPr="00CF298A" w:rsidRDefault="00152A78" w:rsidP="00152A78">
            <w:pPr>
              <w:jc w:val="center"/>
              <w:rPr>
                <w:rFonts w:ascii="Arial" w:hAnsi="Arial" w:cs="Arial"/>
                <w:b/>
                <w:bCs/>
                <w:sz w:val="22"/>
                <w:szCs w:val="22"/>
              </w:rPr>
            </w:pPr>
            <w:r w:rsidRPr="00CF298A">
              <w:rPr>
                <w:rFonts w:ascii="Arial" w:hAnsi="Arial" w:cs="Arial"/>
                <w:b/>
                <w:bCs/>
                <w:sz w:val="22"/>
                <w:szCs w:val="22"/>
              </w:rPr>
              <w:t>Pt</w:t>
            </w:r>
          </w:p>
        </w:tc>
        <w:tc>
          <w:tcPr>
            <w:tcW w:w="2980" w:type="dxa"/>
            <w:vAlign w:val="center"/>
            <w:hideMark/>
          </w:tcPr>
          <w:p w14:paraId="097C9E3D" w14:textId="77777777" w:rsidR="00152A78" w:rsidRPr="00CF298A" w:rsidRDefault="00152A78" w:rsidP="00152A78">
            <w:pPr>
              <w:rPr>
                <w:rFonts w:ascii="Arial" w:hAnsi="Arial" w:cs="Arial"/>
                <w:sz w:val="22"/>
                <w:szCs w:val="22"/>
              </w:rPr>
            </w:pPr>
            <w:hyperlink r:id="rId137" w:tooltip="Peat" w:history="1">
              <w:r w:rsidRPr="00DB29D2">
                <w:rPr>
                  <w:rFonts w:ascii="Arial" w:hAnsi="Arial" w:cs="Arial"/>
                  <w:color w:val="0000FF"/>
                  <w:sz w:val="22"/>
                  <w:szCs w:val="22"/>
                  <w:u w:val="single"/>
                </w:rPr>
                <w:t>peat</w:t>
              </w:r>
            </w:hyperlink>
          </w:p>
        </w:tc>
      </w:tr>
    </w:tbl>
    <w:p w14:paraId="536581D8" w14:textId="77777777" w:rsidR="00152A78" w:rsidRPr="00A66597" w:rsidRDefault="00152A78" w:rsidP="002F7593">
      <w:pPr>
        <w:pStyle w:val="Heading3"/>
        <w:tabs>
          <w:tab w:val="left" w:pos="1080"/>
        </w:tabs>
        <w:ind w:hanging="1980"/>
      </w:pPr>
      <w:bookmarkStart w:id="201" w:name="_Recommended_Material_Property_2"/>
      <w:bookmarkEnd w:id="201"/>
      <w:r w:rsidRPr="00A66597">
        <w:t>Recommended Material Property Inputs for Unbound Layers</w:t>
      </w:r>
    </w:p>
    <w:p w14:paraId="78330FE9" w14:textId="77777777" w:rsidR="00152A78" w:rsidRDefault="00152A78" w:rsidP="00152A78">
      <w:pPr>
        <w:jc w:val="both"/>
        <w:rPr>
          <w:rFonts w:ascii="Arial" w:hAnsi="Arial"/>
          <w:sz w:val="22"/>
        </w:rPr>
      </w:pPr>
    </w:p>
    <w:tbl>
      <w:tblPr>
        <w:tblStyle w:val="TableGrid"/>
        <w:tblW w:w="0" w:type="auto"/>
        <w:jc w:val="center"/>
        <w:tblLook w:val="04A0" w:firstRow="1" w:lastRow="0" w:firstColumn="1" w:lastColumn="0" w:noHBand="0" w:noVBand="1"/>
      </w:tblPr>
      <w:tblGrid>
        <w:gridCol w:w="1615"/>
        <w:gridCol w:w="2746"/>
        <w:gridCol w:w="857"/>
        <w:gridCol w:w="3412"/>
      </w:tblGrid>
      <w:tr w:rsidR="0072304A" w:rsidRPr="00E676D9" w14:paraId="084BBE69" w14:textId="77777777" w:rsidTr="0072304A">
        <w:trPr>
          <w:jc w:val="center"/>
        </w:trPr>
        <w:tc>
          <w:tcPr>
            <w:tcW w:w="1615" w:type="dxa"/>
            <w:shd w:val="pct15" w:color="auto" w:fill="auto"/>
            <w:vAlign w:val="center"/>
          </w:tcPr>
          <w:p w14:paraId="320DB59C" w14:textId="134E16F9" w:rsidR="0072304A" w:rsidRPr="00E676D9" w:rsidRDefault="0072304A" w:rsidP="00152A78">
            <w:pPr>
              <w:jc w:val="both"/>
              <w:rPr>
                <w:rFonts w:ascii="Arial" w:hAnsi="Arial"/>
                <w:b/>
                <w:sz w:val="22"/>
              </w:rPr>
            </w:pPr>
            <w:r w:rsidRPr="00E676D9">
              <w:rPr>
                <w:rFonts w:ascii="Arial" w:hAnsi="Arial"/>
                <w:b/>
                <w:sz w:val="22"/>
              </w:rPr>
              <w:t>Property</w:t>
            </w:r>
            <w:r>
              <w:rPr>
                <w:rFonts w:ascii="Arial" w:hAnsi="Arial"/>
                <w:b/>
                <w:sz w:val="22"/>
              </w:rPr>
              <w:t xml:space="preserve"> Class</w:t>
            </w:r>
          </w:p>
        </w:tc>
        <w:tc>
          <w:tcPr>
            <w:tcW w:w="2746" w:type="dxa"/>
            <w:shd w:val="pct15" w:color="auto" w:fill="auto"/>
            <w:vAlign w:val="center"/>
          </w:tcPr>
          <w:p w14:paraId="59F652AE" w14:textId="6B61CD1C" w:rsidR="0072304A" w:rsidRPr="00E676D9" w:rsidRDefault="0072304A" w:rsidP="00152A78">
            <w:pPr>
              <w:jc w:val="both"/>
              <w:rPr>
                <w:rFonts w:ascii="Arial" w:hAnsi="Arial"/>
                <w:b/>
                <w:sz w:val="22"/>
              </w:rPr>
            </w:pPr>
            <w:r w:rsidRPr="00E676D9">
              <w:rPr>
                <w:rFonts w:ascii="Arial" w:hAnsi="Arial"/>
                <w:b/>
                <w:sz w:val="22"/>
              </w:rPr>
              <w:t>Property</w:t>
            </w:r>
          </w:p>
        </w:tc>
        <w:tc>
          <w:tcPr>
            <w:tcW w:w="857" w:type="dxa"/>
            <w:shd w:val="pct15" w:color="auto" w:fill="auto"/>
            <w:vAlign w:val="center"/>
          </w:tcPr>
          <w:p w14:paraId="59CED2EC" w14:textId="77777777" w:rsidR="0072304A" w:rsidRPr="00E676D9" w:rsidRDefault="0072304A" w:rsidP="00152A78">
            <w:pPr>
              <w:jc w:val="center"/>
              <w:rPr>
                <w:rFonts w:ascii="Arial" w:hAnsi="Arial"/>
                <w:b/>
                <w:sz w:val="22"/>
              </w:rPr>
            </w:pPr>
            <w:r w:rsidRPr="00E676D9">
              <w:rPr>
                <w:rFonts w:ascii="Arial" w:hAnsi="Arial"/>
                <w:b/>
                <w:sz w:val="22"/>
              </w:rPr>
              <w:t>Input Level</w:t>
            </w:r>
          </w:p>
        </w:tc>
        <w:tc>
          <w:tcPr>
            <w:tcW w:w="3412" w:type="dxa"/>
            <w:shd w:val="pct15" w:color="auto" w:fill="auto"/>
            <w:vAlign w:val="center"/>
          </w:tcPr>
          <w:p w14:paraId="6E7E8F48" w14:textId="77777777" w:rsidR="0072304A" w:rsidRPr="00E676D9" w:rsidRDefault="0072304A" w:rsidP="00152A78">
            <w:pPr>
              <w:jc w:val="both"/>
              <w:rPr>
                <w:rFonts w:ascii="Arial" w:hAnsi="Arial"/>
                <w:b/>
                <w:sz w:val="22"/>
              </w:rPr>
            </w:pPr>
            <w:r w:rsidRPr="00E676D9">
              <w:rPr>
                <w:rFonts w:ascii="Arial" w:hAnsi="Arial"/>
                <w:b/>
                <w:sz w:val="22"/>
              </w:rPr>
              <w:t>Value</w:t>
            </w:r>
          </w:p>
        </w:tc>
      </w:tr>
      <w:tr w:rsidR="00590C5B" w:rsidRPr="00E676D9" w14:paraId="374A533D" w14:textId="77777777" w:rsidTr="0072304A">
        <w:trPr>
          <w:jc w:val="center"/>
        </w:trPr>
        <w:tc>
          <w:tcPr>
            <w:tcW w:w="1615" w:type="dxa"/>
          </w:tcPr>
          <w:p w14:paraId="5CD4825B" w14:textId="6F1ECC14" w:rsidR="00590C5B" w:rsidRPr="00E676D9" w:rsidRDefault="00590C5B" w:rsidP="00152A78">
            <w:pPr>
              <w:rPr>
                <w:rFonts w:ascii="Arial" w:hAnsi="Arial"/>
                <w:sz w:val="22"/>
                <w:szCs w:val="22"/>
              </w:rPr>
            </w:pPr>
            <w:r>
              <w:rPr>
                <w:rFonts w:ascii="Arial" w:hAnsi="Arial"/>
                <w:sz w:val="22"/>
                <w:szCs w:val="22"/>
              </w:rPr>
              <w:t>Strength (ICM Calculated)</w:t>
            </w:r>
          </w:p>
        </w:tc>
        <w:tc>
          <w:tcPr>
            <w:tcW w:w="2746" w:type="dxa"/>
          </w:tcPr>
          <w:p w14:paraId="5F99D072" w14:textId="77777777" w:rsidR="00590C5B" w:rsidRPr="00E676D9" w:rsidRDefault="00590C5B" w:rsidP="00152A78">
            <w:pPr>
              <w:rPr>
                <w:rFonts w:ascii="Arial" w:hAnsi="Arial"/>
                <w:sz w:val="22"/>
                <w:szCs w:val="22"/>
              </w:rPr>
            </w:pPr>
            <w:r>
              <w:rPr>
                <w:rFonts w:ascii="Arial" w:hAnsi="Arial"/>
                <w:sz w:val="22"/>
                <w:szCs w:val="22"/>
              </w:rPr>
              <w:t>Poisson’s Ratio</w:t>
            </w:r>
          </w:p>
        </w:tc>
        <w:tc>
          <w:tcPr>
            <w:tcW w:w="857" w:type="dxa"/>
          </w:tcPr>
          <w:p w14:paraId="2ADE9B21" w14:textId="77777777" w:rsidR="00590C5B" w:rsidRPr="00E676D9" w:rsidRDefault="00590C5B" w:rsidP="00152A78">
            <w:pPr>
              <w:jc w:val="center"/>
              <w:rPr>
                <w:rFonts w:ascii="Arial" w:hAnsi="Arial"/>
                <w:sz w:val="22"/>
                <w:szCs w:val="22"/>
              </w:rPr>
            </w:pPr>
            <w:r>
              <w:rPr>
                <w:rFonts w:ascii="Arial" w:hAnsi="Arial"/>
                <w:sz w:val="22"/>
                <w:szCs w:val="22"/>
              </w:rPr>
              <w:t>3</w:t>
            </w:r>
          </w:p>
        </w:tc>
        <w:tc>
          <w:tcPr>
            <w:tcW w:w="3412" w:type="dxa"/>
          </w:tcPr>
          <w:p w14:paraId="38F2022D" w14:textId="1EC9EAA4" w:rsidR="00590C5B" w:rsidRPr="00E676D9" w:rsidRDefault="00590C5B" w:rsidP="00152A78">
            <w:pPr>
              <w:rPr>
                <w:rFonts w:ascii="Arial" w:hAnsi="Arial"/>
                <w:sz w:val="22"/>
                <w:szCs w:val="22"/>
              </w:rPr>
            </w:pPr>
            <w:r>
              <w:rPr>
                <w:rFonts w:ascii="Arial" w:hAnsi="Arial"/>
                <w:sz w:val="22"/>
                <w:szCs w:val="22"/>
              </w:rPr>
              <w:t xml:space="preserve">Use Default.  See </w:t>
            </w:r>
            <w:hyperlink w:anchor="_Poisson_Ratio_1" w:history="1">
              <w:r w:rsidRPr="008A74E0">
                <w:rPr>
                  <w:rStyle w:val="Hyperlink"/>
                  <w:rFonts w:ascii="Arial" w:hAnsi="Arial"/>
                  <w:sz w:val="22"/>
                  <w:szCs w:val="22"/>
                </w:rPr>
                <w:t>Poisson</w:t>
              </w:r>
              <w:r>
                <w:rPr>
                  <w:rStyle w:val="Hyperlink"/>
                  <w:rFonts w:ascii="Arial" w:hAnsi="Arial"/>
                  <w:sz w:val="22"/>
                  <w:szCs w:val="22"/>
                </w:rPr>
                <w:t>'s</w:t>
              </w:r>
              <w:r w:rsidRPr="008A74E0">
                <w:rPr>
                  <w:rStyle w:val="Hyperlink"/>
                  <w:rFonts w:ascii="Arial" w:hAnsi="Arial"/>
                  <w:sz w:val="22"/>
                  <w:szCs w:val="22"/>
                </w:rPr>
                <w:t xml:space="preserve"> Ratio</w:t>
              </w:r>
            </w:hyperlink>
          </w:p>
        </w:tc>
      </w:tr>
      <w:tr w:rsidR="00590C5B" w:rsidRPr="00E676D9" w14:paraId="23BCF422" w14:textId="77777777" w:rsidTr="0072304A">
        <w:trPr>
          <w:jc w:val="center"/>
        </w:trPr>
        <w:tc>
          <w:tcPr>
            <w:tcW w:w="1615" w:type="dxa"/>
          </w:tcPr>
          <w:p w14:paraId="39680B4D" w14:textId="0898D4C5" w:rsidR="00590C5B" w:rsidRPr="00E676D9" w:rsidRDefault="00590C5B" w:rsidP="00590C5B">
            <w:pPr>
              <w:rPr>
                <w:rFonts w:ascii="Arial" w:hAnsi="Arial"/>
                <w:sz w:val="22"/>
                <w:szCs w:val="22"/>
              </w:rPr>
            </w:pPr>
            <w:r>
              <w:rPr>
                <w:rFonts w:ascii="Arial" w:hAnsi="Arial"/>
                <w:sz w:val="22"/>
                <w:szCs w:val="22"/>
              </w:rPr>
              <w:t>Strength (ICM Calculated)</w:t>
            </w:r>
          </w:p>
        </w:tc>
        <w:tc>
          <w:tcPr>
            <w:tcW w:w="2746" w:type="dxa"/>
          </w:tcPr>
          <w:p w14:paraId="67864F07" w14:textId="77777777" w:rsidR="00590C5B" w:rsidRPr="00E676D9" w:rsidRDefault="00590C5B" w:rsidP="00590C5B">
            <w:pPr>
              <w:rPr>
                <w:rFonts w:ascii="Arial" w:hAnsi="Arial"/>
                <w:sz w:val="22"/>
                <w:szCs w:val="22"/>
              </w:rPr>
            </w:pPr>
            <w:r>
              <w:rPr>
                <w:rFonts w:ascii="Arial" w:hAnsi="Arial"/>
                <w:sz w:val="22"/>
                <w:szCs w:val="22"/>
              </w:rPr>
              <w:t>Coefficient of Lateral Pressure</w:t>
            </w:r>
          </w:p>
        </w:tc>
        <w:tc>
          <w:tcPr>
            <w:tcW w:w="857" w:type="dxa"/>
          </w:tcPr>
          <w:p w14:paraId="2692B961" w14:textId="77777777" w:rsidR="00590C5B" w:rsidRPr="00E676D9" w:rsidRDefault="00590C5B" w:rsidP="00590C5B">
            <w:pPr>
              <w:jc w:val="center"/>
              <w:rPr>
                <w:rFonts w:ascii="Arial" w:hAnsi="Arial"/>
                <w:sz w:val="22"/>
                <w:szCs w:val="22"/>
              </w:rPr>
            </w:pPr>
            <w:r>
              <w:rPr>
                <w:rFonts w:ascii="Arial" w:hAnsi="Arial"/>
                <w:sz w:val="22"/>
                <w:szCs w:val="22"/>
              </w:rPr>
              <w:t>3</w:t>
            </w:r>
          </w:p>
        </w:tc>
        <w:tc>
          <w:tcPr>
            <w:tcW w:w="3412" w:type="dxa"/>
          </w:tcPr>
          <w:p w14:paraId="65DE7F0D" w14:textId="77777777" w:rsidR="00590C5B" w:rsidRPr="00E676D9" w:rsidRDefault="00590C5B" w:rsidP="00590C5B">
            <w:pPr>
              <w:rPr>
                <w:rFonts w:ascii="Arial" w:hAnsi="Arial"/>
                <w:sz w:val="22"/>
                <w:szCs w:val="22"/>
              </w:rPr>
            </w:pPr>
            <w:r>
              <w:rPr>
                <w:rFonts w:ascii="Arial" w:hAnsi="Arial"/>
                <w:sz w:val="22"/>
                <w:szCs w:val="22"/>
              </w:rPr>
              <w:t xml:space="preserve">Use Default.  See </w:t>
            </w:r>
            <w:hyperlink w:anchor="_Coefficient_of_Lateral" w:history="1">
              <w:r w:rsidRPr="00F530F1">
                <w:rPr>
                  <w:rStyle w:val="Hyperlink"/>
                  <w:rFonts w:ascii="Arial" w:hAnsi="Arial"/>
                  <w:sz w:val="22"/>
                  <w:szCs w:val="22"/>
                </w:rPr>
                <w:t>Coefficient of Lateral Pressure</w:t>
              </w:r>
            </w:hyperlink>
          </w:p>
        </w:tc>
      </w:tr>
      <w:tr w:rsidR="00590C5B" w:rsidRPr="00E676D9" w14:paraId="57716E9C" w14:textId="77777777" w:rsidTr="0072304A">
        <w:trPr>
          <w:jc w:val="center"/>
        </w:trPr>
        <w:tc>
          <w:tcPr>
            <w:tcW w:w="1615" w:type="dxa"/>
          </w:tcPr>
          <w:p w14:paraId="22EE9119" w14:textId="4E8124D1" w:rsidR="00590C5B" w:rsidRPr="00E676D9" w:rsidRDefault="00590C5B" w:rsidP="00590C5B">
            <w:pPr>
              <w:rPr>
                <w:rFonts w:ascii="Arial" w:hAnsi="Arial"/>
                <w:sz w:val="22"/>
                <w:szCs w:val="22"/>
              </w:rPr>
            </w:pPr>
            <w:r>
              <w:rPr>
                <w:rFonts w:ascii="Arial" w:hAnsi="Arial"/>
                <w:sz w:val="22"/>
                <w:szCs w:val="22"/>
              </w:rPr>
              <w:t>Strength (ICM Calculated)</w:t>
            </w:r>
          </w:p>
        </w:tc>
        <w:tc>
          <w:tcPr>
            <w:tcW w:w="2746" w:type="dxa"/>
          </w:tcPr>
          <w:p w14:paraId="35413045" w14:textId="77777777" w:rsidR="00590C5B" w:rsidRPr="00E676D9" w:rsidRDefault="00590C5B" w:rsidP="00590C5B">
            <w:pPr>
              <w:rPr>
                <w:rFonts w:ascii="Arial" w:hAnsi="Arial"/>
                <w:sz w:val="22"/>
                <w:szCs w:val="22"/>
              </w:rPr>
            </w:pPr>
            <w:r>
              <w:rPr>
                <w:rFonts w:ascii="Arial" w:hAnsi="Arial"/>
                <w:sz w:val="22"/>
                <w:szCs w:val="22"/>
              </w:rPr>
              <w:t>Modulus</w:t>
            </w:r>
          </w:p>
        </w:tc>
        <w:tc>
          <w:tcPr>
            <w:tcW w:w="857" w:type="dxa"/>
          </w:tcPr>
          <w:p w14:paraId="20E585C9" w14:textId="77777777" w:rsidR="00590C5B" w:rsidRPr="00E676D9" w:rsidRDefault="00590C5B" w:rsidP="00590C5B">
            <w:pPr>
              <w:jc w:val="center"/>
              <w:rPr>
                <w:rFonts w:ascii="Arial" w:hAnsi="Arial"/>
                <w:sz w:val="22"/>
                <w:szCs w:val="22"/>
              </w:rPr>
            </w:pPr>
            <w:r>
              <w:rPr>
                <w:rFonts w:ascii="Arial" w:hAnsi="Arial"/>
                <w:sz w:val="22"/>
                <w:szCs w:val="22"/>
              </w:rPr>
              <w:t>2/3</w:t>
            </w:r>
          </w:p>
        </w:tc>
        <w:tc>
          <w:tcPr>
            <w:tcW w:w="3412" w:type="dxa"/>
          </w:tcPr>
          <w:p w14:paraId="204A24C5" w14:textId="77777777" w:rsidR="00590C5B" w:rsidRPr="007E41CB" w:rsidRDefault="00590C5B" w:rsidP="00590C5B">
            <w:pPr>
              <w:rPr>
                <w:rFonts w:ascii="Arial" w:hAnsi="Arial"/>
                <w:sz w:val="22"/>
                <w:szCs w:val="22"/>
              </w:rPr>
            </w:pPr>
            <w:r w:rsidRPr="007E41CB">
              <w:rPr>
                <w:rFonts w:ascii="Arial" w:hAnsi="Arial"/>
                <w:sz w:val="22"/>
                <w:szCs w:val="22"/>
              </w:rPr>
              <w:t xml:space="preserve">If not available from borings, see </w:t>
            </w:r>
            <w:hyperlink w:anchor="_Unbound_Materials_Properties" w:history="1">
              <w:r w:rsidRPr="007E41CB">
                <w:rPr>
                  <w:rStyle w:val="Hyperlink"/>
                  <w:rFonts w:ascii="Arial" w:hAnsi="Arial"/>
                  <w:sz w:val="22"/>
                  <w:szCs w:val="22"/>
                </w:rPr>
                <w:t>Unbound Materials Properties</w:t>
              </w:r>
            </w:hyperlink>
          </w:p>
        </w:tc>
      </w:tr>
      <w:tr w:rsidR="00590C5B" w:rsidRPr="00E676D9" w14:paraId="61437246" w14:textId="77777777" w:rsidTr="0072304A">
        <w:trPr>
          <w:jc w:val="center"/>
        </w:trPr>
        <w:tc>
          <w:tcPr>
            <w:tcW w:w="1615" w:type="dxa"/>
          </w:tcPr>
          <w:p w14:paraId="35AD36BB" w14:textId="77777777" w:rsidR="00590C5B" w:rsidRPr="00E676D9" w:rsidRDefault="00590C5B" w:rsidP="00590C5B">
            <w:pPr>
              <w:rPr>
                <w:rFonts w:ascii="Arial" w:hAnsi="Arial"/>
                <w:sz w:val="22"/>
                <w:szCs w:val="22"/>
              </w:rPr>
            </w:pPr>
            <w:r>
              <w:rPr>
                <w:rFonts w:ascii="Arial" w:hAnsi="Arial"/>
                <w:sz w:val="22"/>
                <w:szCs w:val="22"/>
              </w:rPr>
              <w:t>ICM (Mean Values)</w:t>
            </w:r>
          </w:p>
        </w:tc>
        <w:tc>
          <w:tcPr>
            <w:tcW w:w="2746" w:type="dxa"/>
          </w:tcPr>
          <w:p w14:paraId="51197887" w14:textId="77777777" w:rsidR="00590C5B" w:rsidRPr="00E676D9" w:rsidRDefault="00590C5B" w:rsidP="00590C5B">
            <w:pPr>
              <w:rPr>
                <w:rFonts w:ascii="Arial" w:hAnsi="Arial"/>
                <w:sz w:val="22"/>
                <w:szCs w:val="22"/>
              </w:rPr>
            </w:pPr>
            <w:r>
              <w:rPr>
                <w:rFonts w:ascii="Arial" w:hAnsi="Arial"/>
                <w:sz w:val="22"/>
                <w:szCs w:val="22"/>
              </w:rPr>
              <w:t>Gradation</w:t>
            </w:r>
          </w:p>
        </w:tc>
        <w:tc>
          <w:tcPr>
            <w:tcW w:w="857" w:type="dxa"/>
          </w:tcPr>
          <w:p w14:paraId="5931AFA7" w14:textId="77777777" w:rsidR="00590C5B" w:rsidRPr="00E676D9" w:rsidRDefault="00590C5B" w:rsidP="00590C5B">
            <w:pPr>
              <w:jc w:val="center"/>
              <w:rPr>
                <w:rFonts w:ascii="Arial" w:hAnsi="Arial"/>
                <w:sz w:val="22"/>
                <w:szCs w:val="22"/>
              </w:rPr>
            </w:pPr>
            <w:r>
              <w:rPr>
                <w:rFonts w:ascii="Arial" w:hAnsi="Arial"/>
                <w:sz w:val="22"/>
                <w:szCs w:val="22"/>
              </w:rPr>
              <w:t>2/3</w:t>
            </w:r>
          </w:p>
        </w:tc>
        <w:tc>
          <w:tcPr>
            <w:tcW w:w="3412" w:type="dxa"/>
          </w:tcPr>
          <w:p w14:paraId="622C86FD" w14:textId="77777777" w:rsidR="00590C5B" w:rsidRPr="007E41CB" w:rsidRDefault="00590C5B" w:rsidP="00590C5B">
            <w:pPr>
              <w:rPr>
                <w:rFonts w:ascii="Arial" w:hAnsi="Arial"/>
                <w:sz w:val="22"/>
                <w:szCs w:val="22"/>
              </w:rPr>
            </w:pPr>
            <w:r>
              <w:rPr>
                <w:rFonts w:ascii="Arial" w:hAnsi="Arial"/>
                <w:sz w:val="22"/>
                <w:szCs w:val="22"/>
              </w:rPr>
              <w:t xml:space="preserve">Use Level 3 default or see </w:t>
            </w:r>
            <w:hyperlink w:anchor="_Unbound_Materials_Properties" w:history="1">
              <w:r w:rsidRPr="007E41CB">
                <w:rPr>
                  <w:rStyle w:val="Hyperlink"/>
                  <w:rFonts w:ascii="Arial" w:hAnsi="Arial"/>
                  <w:sz w:val="22"/>
                  <w:szCs w:val="22"/>
                </w:rPr>
                <w:t>Unbound Materials Properties</w:t>
              </w:r>
            </w:hyperlink>
          </w:p>
        </w:tc>
      </w:tr>
      <w:tr w:rsidR="00604CD8" w:rsidRPr="00E676D9" w14:paraId="7BA11819" w14:textId="77777777" w:rsidTr="0072304A">
        <w:trPr>
          <w:jc w:val="center"/>
        </w:trPr>
        <w:tc>
          <w:tcPr>
            <w:tcW w:w="1615" w:type="dxa"/>
          </w:tcPr>
          <w:p w14:paraId="7383C384" w14:textId="76D5615E" w:rsidR="00604CD8" w:rsidRPr="00E676D9" w:rsidRDefault="00604CD8" w:rsidP="00604CD8">
            <w:pPr>
              <w:rPr>
                <w:rFonts w:ascii="Arial" w:hAnsi="Arial"/>
                <w:sz w:val="22"/>
                <w:szCs w:val="22"/>
              </w:rPr>
            </w:pPr>
            <w:r>
              <w:rPr>
                <w:rFonts w:ascii="Arial" w:hAnsi="Arial"/>
                <w:sz w:val="22"/>
                <w:szCs w:val="22"/>
              </w:rPr>
              <w:t>ICM (Mean Values)</w:t>
            </w:r>
          </w:p>
        </w:tc>
        <w:tc>
          <w:tcPr>
            <w:tcW w:w="2746" w:type="dxa"/>
          </w:tcPr>
          <w:p w14:paraId="20F081DC" w14:textId="77777777" w:rsidR="00604CD8" w:rsidRPr="00E676D9" w:rsidRDefault="00604CD8" w:rsidP="00604CD8">
            <w:pPr>
              <w:rPr>
                <w:rFonts w:ascii="Arial" w:hAnsi="Arial"/>
                <w:sz w:val="22"/>
                <w:szCs w:val="22"/>
              </w:rPr>
            </w:pPr>
            <w:r>
              <w:rPr>
                <w:rFonts w:ascii="Arial" w:hAnsi="Arial"/>
                <w:sz w:val="22"/>
                <w:szCs w:val="22"/>
              </w:rPr>
              <w:t>Plasticity Index</w:t>
            </w:r>
          </w:p>
        </w:tc>
        <w:tc>
          <w:tcPr>
            <w:tcW w:w="857" w:type="dxa"/>
          </w:tcPr>
          <w:p w14:paraId="45B2A5C5" w14:textId="77777777" w:rsidR="00604CD8" w:rsidRPr="00E676D9" w:rsidRDefault="00604CD8" w:rsidP="00604CD8">
            <w:pPr>
              <w:jc w:val="center"/>
              <w:rPr>
                <w:rFonts w:ascii="Arial" w:hAnsi="Arial"/>
                <w:sz w:val="22"/>
                <w:szCs w:val="22"/>
              </w:rPr>
            </w:pPr>
            <w:r>
              <w:rPr>
                <w:rFonts w:ascii="Arial" w:hAnsi="Arial"/>
                <w:sz w:val="22"/>
                <w:szCs w:val="22"/>
              </w:rPr>
              <w:t>2/3</w:t>
            </w:r>
          </w:p>
        </w:tc>
        <w:tc>
          <w:tcPr>
            <w:tcW w:w="3412" w:type="dxa"/>
          </w:tcPr>
          <w:p w14:paraId="718E5007" w14:textId="77777777" w:rsidR="00604CD8" w:rsidRPr="007E41CB" w:rsidRDefault="00604CD8" w:rsidP="00604CD8">
            <w:pPr>
              <w:rPr>
                <w:rFonts w:ascii="Arial" w:hAnsi="Arial"/>
                <w:sz w:val="22"/>
                <w:szCs w:val="22"/>
              </w:rPr>
            </w:pPr>
            <w:r>
              <w:rPr>
                <w:rFonts w:ascii="Arial" w:hAnsi="Arial"/>
                <w:sz w:val="22"/>
                <w:szCs w:val="22"/>
              </w:rPr>
              <w:t xml:space="preserve">Use Level 3 default or see </w:t>
            </w:r>
            <w:hyperlink w:anchor="_Unbound_Materials_Properties" w:history="1">
              <w:r w:rsidRPr="007E41CB">
                <w:rPr>
                  <w:rStyle w:val="Hyperlink"/>
                  <w:rFonts w:ascii="Arial" w:hAnsi="Arial"/>
                  <w:sz w:val="22"/>
                  <w:szCs w:val="22"/>
                </w:rPr>
                <w:t>Unbound Materials Properties</w:t>
              </w:r>
            </w:hyperlink>
          </w:p>
        </w:tc>
      </w:tr>
      <w:tr w:rsidR="00604CD8" w:rsidRPr="00E676D9" w14:paraId="1AE13318" w14:textId="77777777" w:rsidTr="0072304A">
        <w:trPr>
          <w:jc w:val="center"/>
        </w:trPr>
        <w:tc>
          <w:tcPr>
            <w:tcW w:w="1615" w:type="dxa"/>
          </w:tcPr>
          <w:p w14:paraId="6E266526" w14:textId="62C317E4" w:rsidR="00604CD8" w:rsidRPr="00E676D9" w:rsidRDefault="00604CD8" w:rsidP="00604CD8">
            <w:pPr>
              <w:rPr>
                <w:rFonts w:ascii="Arial" w:hAnsi="Arial"/>
                <w:sz w:val="22"/>
                <w:szCs w:val="22"/>
              </w:rPr>
            </w:pPr>
            <w:r>
              <w:rPr>
                <w:rFonts w:ascii="Arial" w:hAnsi="Arial"/>
                <w:sz w:val="22"/>
                <w:szCs w:val="22"/>
              </w:rPr>
              <w:t>ICM (Mean Values)</w:t>
            </w:r>
          </w:p>
        </w:tc>
        <w:tc>
          <w:tcPr>
            <w:tcW w:w="2746" w:type="dxa"/>
          </w:tcPr>
          <w:p w14:paraId="52035C90" w14:textId="77777777" w:rsidR="00604CD8" w:rsidRPr="00E676D9" w:rsidRDefault="00604CD8" w:rsidP="00604CD8">
            <w:pPr>
              <w:rPr>
                <w:rFonts w:ascii="Arial" w:hAnsi="Arial"/>
                <w:sz w:val="22"/>
                <w:szCs w:val="22"/>
              </w:rPr>
            </w:pPr>
            <w:r>
              <w:rPr>
                <w:rFonts w:ascii="Arial" w:hAnsi="Arial"/>
                <w:sz w:val="22"/>
                <w:szCs w:val="22"/>
              </w:rPr>
              <w:t>Liquid Limit</w:t>
            </w:r>
          </w:p>
        </w:tc>
        <w:tc>
          <w:tcPr>
            <w:tcW w:w="857" w:type="dxa"/>
          </w:tcPr>
          <w:p w14:paraId="6602E098" w14:textId="77777777" w:rsidR="00604CD8" w:rsidRPr="00E676D9" w:rsidRDefault="00604CD8" w:rsidP="00604CD8">
            <w:pPr>
              <w:jc w:val="center"/>
              <w:rPr>
                <w:rFonts w:ascii="Arial" w:hAnsi="Arial"/>
                <w:sz w:val="22"/>
                <w:szCs w:val="22"/>
              </w:rPr>
            </w:pPr>
            <w:r>
              <w:rPr>
                <w:rFonts w:ascii="Arial" w:hAnsi="Arial"/>
                <w:sz w:val="22"/>
                <w:szCs w:val="22"/>
              </w:rPr>
              <w:t>2/3</w:t>
            </w:r>
          </w:p>
        </w:tc>
        <w:tc>
          <w:tcPr>
            <w:tcW w:w="3412" w:type="dxa"/>
          </w:tcPr>
          <w:p w14:paraId="176F10B8" w14:textId="77777777" w:rsidR="00604CD8" w:rsidRPr="007E41CB" w:rsidRDefault="00604CD8" w:rsidP="00604CD8">
            <w:pPr>
              <w:rPr>
                <w:rFonts w:ascii="Arial" w:hAnsi="Arial"/>
                <w:sz w:val="22"/>
                <w:szCs w:val="22"/>
              </w:rPr>
            </w:pPr>
            <w:r>
              <w:rPr>
                <w:rFonts w:ascii="Arial" w:hAnsi="Arial"/>
                <w:sz w:val="22"/>
                <w:szCs w:val="22"/>
              </w:rPr>
              <w:t xml:space="preserve">Use Level 3 default or see </w:t>
            </w:r>
            <w:hyperlink w:anchor="_Unbound_Materials_Properties" w:history="1">
              <w:r w:rsidRPr="007E41CB">
                <w:rPr>
                  <w:rStyle w:val="Hyperlink"/>
                  <w:rFonts w:ascii="Arial" w:hAnsi="Arial"/>
                  <w:sz w:val="22"/>
                  <w:szCs w:val="22"/>
                </w:rPr>
                <w:t>Unbound Materials Properties</w:t>
              </w:r>
            </w:hyperlink>
          </w:p>
        </w:tc>
      </w:tr>
      <w:tr w:rsidR="00604CD8" w:rsidRPr="00E676D9" w14:paraId="234232FE" w14:textId="77777777" w:rsidTr="0072304A">
        <w:trPr>
          <w:jc w:val="center"/>
        </w:trPr>
        <w:tc>
          <w:tcPr>
            <w:tcW w:w="1615" w:type="dxa"/>
          </w:tcPr>
          <w:p w14:paraId="4C71E7CD" w14:textId="6FB756A6" w:rsidR="00604CD8" w:rsidRPr="00E676D9" w:rsidRDefault="00604CD8" w:rsidP="00604CD8">
            <w:pPr>
              <w:rPr>
                <w:rFonts w:ascii="Arial" w:hAnsi="Arial"/>
                <w:sz w:val="22"/>
                <w:szCs w:val="22"/>
              </w:rPr>
            </w:pPr>
            <w:r>
              <w:rPr>
                <w:rFonts w:ascii="Arial" w:hAnsi="Arial"/>
                <w:sz w:val="22"/>
                <w:szCs w:val="22"/>
              </w:rPr>
              <w:t>ICM (Mean Values)</w:t>
            </w:r>
          </w:p>
        </w:tc>
        <w:tc>
          <w:tcPr>
            <w:tcW w:w="2746" w:type="dxa"/>
          </w:tcPr>
          <w:p w14:paraId="48D67345" w14:textId="77777777" w:rsidR="00604CD8" w:rsidRPr="00E676D9" w:rsidRDefault="00604CD8" w:rsidP="00604CD8">
            <w:pPr>
              <w:rPr>
                <w:rFonts w:ascii="Arial" w:hAnsi="Arial"/>
                <w:sz w:val="22"/>
                <w:szCs w:val="22"/>
              </w:rPr>
            </w:pPr>
            <w:r>
              <w:rPr>
                <w:rFonts w:ascii="Arial" w:hAnsi="Arial"/>
                <w:sz w:val="22"/>
                <w:szCs w:val="22"/>
              </w:rPr>
              <w:t>Maximum Dry Unit Weight</w:t>
            </w:r>
          </w:p>
        </w:tc>
        <w:tc>
          <w:tcPr>
            <w:tcW w:w="857" w:type="dxa"/>
          </w:tcPr>
          <w:p w14:paraId="66110910" w14:textId="77777777" w:rsidR="00604CD8" w:rsidRPr="00E676D9" w:rsidRDefault="00604CD8" w:rsidP="00604CD8">
            <w:pPr>
              <w:jc w:val="center"/>
              <w:rPr>
                <w:rFonts w:ascii="Arial" w:hAnsi="Arial"/>
                <w:sz w:val="22"/>
                <w:szCs w:val="22"/>
              </w:rPr>
            </w:pPr>
            <w:r>
              <w:rPr>
                <w:rFonts w:ascii="Arial" w:hAnsi="Arial"/>
                <w:sz w:val="22"/>
                <w:szCs w:val="22"/>
              </w:rPr>
              <w:t>2/3</w:t>
            </w:r>
          </w:p>
        </w:tc>
        <w:tc>
          <w:tcPr>
            <w:tcW w:w="3412" w:type="dxa"/>
          </w:tcPr>
          <w:p w14:paraId="36959357" w14:textId="77777777" w:rsidR="00604CD8" w:rsidRPr="007E41CB" w:rsidRDefault="00604CD8" w:rsidP="00604CD8">
            <w:pPr>
              <w:rPr>
                <w:rFonts w:ascii="Arial" w:hAnsi="Arial"/>
                <w:sz w:val="22"/>
                <w:szCs w:val="22"/>
              </w:rPr>
            </w:pPr>
            <w:r>
              <w:rPr>
                <w:rFonts w:ascii="Arial" w:hAnsi="Arial"/>
                <w:sz w:val="22"/>
                <w:szCs w:val="22"/>
              </w:rPr>
              <w:t xml:space="preserve">Use Level 3 default or see </w:t>
            </w:r>
            <w:hyperlink w:anchor="_Unbound_Materials_Properties" w:history="1">
              <w:r w:rsidRPr="007E41CB">
                <w:rPr>
                  <w:rStyle w:val="Hyperlink"/>
                  <w:rFonts w:ascii="Arial" w:hAnsi="Arial"/>
                  <w:sz w:val="22"/>
                  <w:szCs w:val="22"/>
                </w:rPr>
                <w:t>Unbound Materials Properties</w:t>
              </w:r>
            </w:hyperlink>
          </w:p>
        </w:tc>
      </w:tr>
      <w:tr w:rsidR="00604CD8" w:rsidRPr="00E676D9" w14:paraId="36DACAFA" w14:textId="77777777" w:rsidTr="0072304A">
        <w:trPr>
          <w:jc w:val="center"/>
        </w:trPr>
        <w:tc>
          <w:tcPr>
            <w:tcW w:w="1615" w:type="dxa"/>
          </w:tcPr>
          <w:p w14:paraId="3DAB1191" w14:textId="30A2721B" w:rsidR="00604CD8" w:rsidRPr="00E676D9" w:rsidRDefault="00604CD8" w:rsidP="00604CD8">
            <w:pPr>
              <w:rPr>
                <w:rFonts w:ascii="Arial" w:hAnsi="Arial"/>
                <w:sz w:val="22"/>
                <w:szCs w:val="22"/>
              </w:rPr>
            </w:pPr>
            <w:r>
              <w:rPr>
                <w:rFonts w:ascii="Arial" w:hAnsi="Arial"/>
                <w:sz w:val="22"/>
                <w:szCs w:val="22"/>
              </w:rPr>
              <w:t>ICM (Mean Values)</w:t>
            </w:r>
          </w:p>
        </w:tc>
        <w:tc>
          <w:tcPr>
            <w:tcW w:w="2746" w:type="dxa"/>
          </w:tcPr>
          <w:p w14:paraId="2AE1934D" w14:textId="77777777" w:rsidR="00604CD8" w:rsidRDefault="00604CD8" w:rsidP="00604CD8">
            <w:pPr>
              <w:rPr>
                <w:rFonts w:ascii="Arial" w:hAnsi="Arial"/>
                <w:sz w:val="22"/>
                <w:szCs w:val="22"/>
              </w:rPr>
            </w:pPr>
            <w:r>
              <w:rPr>
                <w:rFonts w:ascii="Arial" w:hAnsi="Arial"/>
                <w:sz w:val="22"/>
                <w:szCs w:val="22"/>
              </w:rPr>
              <w:t>Specific Gravity</w:t>
            </w:r>
          </w:p>
          <w:p w14:paraId="66CDB29A" w14:textId="77777777" w:rsidR="00604CD8" w:rsidRPr="00E676D9" w:rsidRDefault="00604CD8" w:rsidP="00604CD8">
            <w:pPr>
              <w:rPr>
                <w:rFonts w:ascii="Arial" w:hAnsi="Arial"/>
                <w:sz w:val="22"/>
                <w:szCs w:val="22"/>
              </w:rPr>
            </w:pPr>
          </w:p>
        </w:tc>
        <w:tc>
          <w:tcPr>
            <w:tcW w:w="857" w:type="dxa"/>
          </w:tcPr>
          <w:p w14:paraId="7C49B05C" w14:textId="77777777" w:rsidR="00604CD8" w:rsidRPr="00E676D9" w:rsidRDefault="00604CD8" w:rsidP="00604CD8">
            <w:pPr>
              <w:jc w:val="center"/>
              <w:rPr>
                <w:rFonts w:ascii="Arial" w:hAnsi="Arial"/>
                <w:sz w:val="22"/>
                <w:szCs w:val="22"/>
              </w:rPr>
            </w:pPr>
            <w:r>
              <w:rPr>
                <w:rFonts w:ascii="Arial" w:hAnsi="Arial"/>
                <w:sz w:val="22"/>
                <w:szCs w:val="22"/>
              </w:rPr>
              <w:t>2/3</w:t>
            </w:r>
          </w:p>
        </w:tc>
        <w:tc>
          <w:tcPr>
            <w:tcW w:w="3412" w:type="dxa"/>
          </w:tcPr>
          <w:p w14:paraId="31FFA146" w14:textId="77777777" w:rsidR="00604CD8" w:rsidRPr="007E41CB" w:rsidRDefault="00604CD8" w:rsidP="00604CD8">
            <w:pPr>
              <w:rPr>
                <w:rFonts w:ascii="Arial" w:hAnsi="Arial"/>
                <w:sz w:val="22"/>
                <w:szCs w:val="22"/>
              </w:rPr>
            </w:pPr>
            <w:r>
              <w:rPr>
                <w:rFonts w:ascii="Arial" w:hAnsi="Arial"/>
                <w:sz w:val="22"/>
                <w:szCs w:val="22"/>
              </w:rPr>
              <w:t>Use Level 3 default</w:t>
            </w:r>
          </w:p>
        </w:tc>
      </w:tr>
      <w:tr w:rsidR="00604CD8" w:rsidRPr="00E676D9" w14:paraId="17A534EF" w14:textId="77777777" w:rsidTr="0072304A">
        <w:trPr>
          <w:jc w:val="center"/>
        </w:trPr>
        <w:tc>
          <w:tcPr>
            <w:tcW w:w="1615" w:type="dxa"/>
          </w:tcPr>
          <w:p w14:paraId="02A9BCC7" w14:textId="0C282082" w:rsidR="00604CD8" w:rsidRPr="00E676D9" w:rsidRDefault="00604CD8" w:rsidP="00604CD8">
            <w:pPr>
              <w:rPr>
                <w:rFonts w:ascii="Arial" w:hAnsi="Arial"/>
                <w:sz w:val="22"/>
                <w:szCs w:val="22"/>
              </w:rPr>
            </w:pPr>
            <w:r>
              <w:rPr>
                <w:rFonts w:ascii="Arial" w:hAnsi="Arial"/>
                <w:sz w:val="22"/>
                <w:szCs w:val="22"/>
              </w:rPr>
              <w:t>ICM (Mean Values)</w:t>
            </w:r>
          </w:p>
        </w:tc>
        <w:tc>
          <w:tcPr>
            <w:tcW w:w="2746" w:type="dxa"/>
          </w:tcPr>
          <w:p w14:paraId="44BBDD9B" w14:textId="77777777" w:rsidR="00604CD8" w:rsidRPr="00E676D9" w:rsidRDefault="00604CD8" w:rsidP="00604CD8">
            <w:pPr>
              <w:rPr>
                <w:rFonts w:ascii="Arial" w:hAnsi="Arial"/>
                <w:sz w:val="22"/>
                <w:szCs w:val="22"/>
              </w:rPr>
            </w:pPr>
            <w:r>
              <w:rPr>
                <w:rFonts w:ascii="Arial" w:hAnsi="Arial"/>
                <w:sz w:val="22"/>
                <w:szCs w:val="22"/>
              </w:rPr>
              <w:t>Saturated Hydraulic Conductivity</w:t>
            </w:r>
          </w:p>
        </w:tc>
        <w:tc>
          <w:tcPr>
            <w:tcW w:w="857" w:type="dxa"/>
          </w:tcPr>
          <w:p w14:paraId="76316FCE" w14:textId="77777777" w:rsidR="00604CD8" w:rsidRPr="00E676D9" w:rsidRDefault="00604CD8" w:rsidP="00604CD8">
            <w:pPr>
              <w:jc w:val="center"/>
              <w:rPr>
                <w:rFonts w:ascii="Arial" w:hAnsi="Arial"/>
                <w:sz w:val="22"/>
                <w:szCs w:val="22"/>
              </w:rPr>
            </w:pPr>
            <w:r>
              <w:rPr>
                <w:rFonts w:ascii="Arial" w:hAnsi="Arial"/>
                <w:sz w:val="22"/>
                <w:szCs w:val="22"/>
              </w:rPr>
              <w:t>3</w:t>
            </w:r>
          </w:p>
        </w:tc>
        <w:tc>
          <w:tcPr>
            <w:tcW w:w="3412" w:type="dxa"/>
          </w:tcPr>
          <w:p w14:paraId="619B2347" w14:textId="77777777" w:rsidR="00604CD8" w:rsidRPr="007E41CB" w:rsidRDefault="00604CD8" w:rsidP="00604CD8">
            <w:pPr>
              <w:rPr>
                <w:rFonts w:ascii="Arial" w:hAnsi="Arial"/>
                <w:sz w:val="22"/>
                <w:szCs w:val="22"/>
              </w:rPr>
            </w:pPr>
            <w:r>
              <w:rPr>
                <w:rFonts w:ascii="Arial" w:hAnsi="Arial"/>
                <w:sz w:val="22"/>
                <w:szCs w:val="22"/>
              </w:rPr>
              <w:t>Use Level 3 default</w:t>
            </w:r>
          </w:p>
        </w:tc>
      </w:tr>
      <w:tr w:rsidR="00604CD8" w:rsidRPr="00E676D9" w14:paraId="1DA9B29C" w14:textId="77777777" w:rsidTr="0072304A">
        <w:trPr>
          <w:jc w:val="center"/>
        </w:trPr>
        <w:tc>
          <w:tcPr>
            <w:tcW w:w="1615" w:type="dxa"/>
          </w:tcPr>
          <w:p w14:paraId="37EC7C02" w14:textId="5C5B6B65" w:rsidR="00604CD8" w:rsidRPr="00E676D9" w:rsidRDefault="00604CD8" w:rsidP="00604CD8">
            <w:pPr>
              <w:rPr>
                <w:rFonts w:ascii="Arial" w:hAnsi="Arial"/>
                <w:sz w:val="22"/>
                <w:szCs w:val="22"/>
              </w:rPr>
            </w:pPr>
            <w:r>
              <w:rPr>
                <w:rFonts w:ascii="Arial" w:hAnsi="Arial"/>
                <w:sz w:val="22"/>
                <w:szCs w:val="22"/>
              </w:rPr>
              <w:t>ICM (Mean Values)</w:t>
            </w:r>
          </w:p>
        </w:tc>
        <w:tc>
          <w:tcPr>
            <w:tcW w:w="2746" w:type="dxa"/>
          </w:tcPr>
          <w:p w14:paraId="065E21A3" w14:textId="77777777" w:rsidR="00604CD8" w:rsidRPr="00E676D9" w:rsidRDefault="00604CD8" w:rsidP="00604CD8">
            <w:pPr>
              <w:rPr>
                <w:rFonts w:ascii="Arial" w:hAnsi="Arial"/>
                <w:sz w:val="22"/>
                <w:szCs w:val="22"/>
              </w:rPr>
            </w:pPr>
            <w:r>
              <w:rPr>
                <w:rFonts w:ascii="Arial" w:hAnsi="Arial"/>
                <w:sz w:val="22"/>
                <w:szCs w:val="22"/>
              </w:rPr>
              <w:t>Optimum Gravimetric Water Content</w:t>
            </w:r>
          </w:p>
        </w:tc>
        <w:tc>
          <w:tcPr>
            <w:tcW w:w="857" w:type="dxa"/>
          </w:tcPr>
          <w:p w14:paraId="643D1393" w14:textId="77777777" w:rsidR="00604CD8" w:rsidRPr="00E676D9" w:rsidRDefault="00604CD8" w:rsidP="00604CD8">
            <w:pPr>
              <w:jc w:val="center"/>
              <w:rPr>
                <w:rFonts w:ascii="Arial" w:hAnsi="Arial"/>
                <w:sz w:val="22"/>
                <w:szCs w:val="22"/>
              </w:rPr>
            </w:pPr>
            <w:r>
              <w:rPr>
                <w:rFonts w:ascii="Arial" w:hAnsi="Arial"/>
                <w:sz w:val="22"/>
                <w:szCs w:val="22"/>
              </w:rPr>
              <w:t>2/3</w:t>
            </w:r>
          </w:p>
        </w:tc>
        <w:tc>
          <w:tcPr>
            <w:tcW w:w="3412" w:type="dxa"/>
          </w:tcPr>
          <w:p w14:paraId="1624D26F" w14:textId="77777777" w:rsidR="00604CD8" w:rsidRPr="007E41CB" w:rsidRDefault="00604CD8" w:rsidP="00604CD8">
            <w:pPr>
              <w:rPr>
                <w:rFonts w:ascii="Arial" w:hAnsi="Arial"/>
                <w:sz w:val="22"/>
                <w:szCs w:val="22"/>
              </w:rPr>
            </w:pPr>
            <w:r>
              <w:rPr>
                <w:rFonts w:ascii="Arial" w:hAnsi="Arial"/>
                <w:sz w:val="22"/>
                <w:szCs w:val="22"/>
              </w:rPr>
              <w:t xml:space="preserve">Use Level 3 default or see </w:t>
            </w:r>
            <w:hyperlink w:anchor="_Unbound_Materials_Properties" w:history="1">
              <w:r w:rsidRPr="007E41CB">
                <w:rPr>
                  <w:rStyle w:val="Hyperlink"/>
                  <w:rFonts w:ascii="Arial" w:hAnsi="Arial"/>
                  <w:sz w:val="22"/>
                  <w:szCs w:val="22"/>
                </w:rPr>
                <w:t>Unbound Materials Properties</w:t>
              </w:r>
            </w:hyperlink>
          </w:p>
        </w:tc>
      </w:tr>
      <w:tr w:rsidR="00604CD8" w:rsidRPr="00E676D9" w14:paraId="0B590B76" w14:textId="77777777" w:rsidTr="0072304A">
        <w:trPr>
          <w:jc w:val="center"/>
        </w:trPr>
        <w:tc>
          <w:tcPr>
            <w:tcW w:w="1615" w:type="dxa"/>
          </w:tcPr>
          <w:p w14:paraId="1235CCB0" w14:textId="35374DD4" w:rsidR="00604CD8" w:rsidRPr="00E676D9" w:rsidRDefault="00604CD8" w:rsidP="00604CD8">
            <w:pPr>
              <w:rPr>
                <w:rFonts w:ascii="Arial" w:hAnsi="Arial"/>
                <w:sz w:val="22"/>
                <w:szCs w:val="22"/>
              </w:rPr>
            </w:pPr>
            <w:r>
              <w:rPr>
                <w:rFonts w:ascii="Arial" w:hAnsi="Arial"/>
                <w:sz w:val="22"/>
                <w:szCs w:val="22"/>
              </w:rPr>
              <w:t>ICM (Mean Values)</w:t>
            </w:r>
          </w:p>
        </w:tc>
        <w:tc>
          <w:tcPr>
            <w:tcW w:w="2746" w:type="dxa"/>
          </w:tcPr>
          <w:p w14:paraId="34FA3063" w14:textId="77777777" w:rsidR="00604CD8" w:rsidRPr="00E676D9" w:rsidRDefault="00604CD8" w:rsidP="00604CD8">
            <w:pPr>
              <w:rPr>
                <w:rFonts w:ascii="Arial" w:hAnsi="Arial"/>
                <w:sz w:val="22"/>
                <w:szCs w:val="22"/>
              </w:rPr>
            </w:pPr>
            <w:r>
              <w:rPr>
                <w:rFonts w:ascii="Arial" w:hAnsi="Arial"/>
                <w:sz w:val="22"/>
                <w:szCs w:val="22"/>
              </w:rPr>
              <w:t>Degree of Saturation at Optimum</w:t>
            </w:r>
          </w:p>
        </w:tc>
        <w:tc>
          <w:tcPr>
            <w:tcW w:w="857" w:type="dxa"/>
          </w:tcPr>
          <w:p w14:paraId="7D1F257F" w14:textId="77777777" w:rsidR="00604CD8" w:rsidRPr="00E676D9" w:rsidRDefault="00604CD8" w:rsidP="00604CD8">
            <w:pPr>
              <w:jc w:val="center"/>
              <w:rPr>
                <w:rFonts w:ascii="Arial" w:hAnsi="Arial"/>
                <w:sz w:val="22"/>
                <w:szCs w:val="22"/>
              </w:rPr>
            </w:pPr>
            <w:r>
              <w:rPr>
                <w:rFonts w:ascii="Arial" w:hAnsi="Arial"/>
                <w:sz w:val="22"/>
                <w:szCs w:val="22"/>
              </w:rPr>
              <w:t>2/3</w:t>
            </w:r>
          </w:p>
        </w:tc>
        <w:tc>
          <w:tcPr>
            <w:tcW w:w="3412" w:type="dxa"/>
          </w:tcPr>
          <w:p w14:paraId="2EEE69AE" w14:textId="77777777" w:rsidR="00604CD8" w:rsidRPr="007E41CB" w:rsidRDefault="00604CD8" w:rsidP="00604CD8">
            <w:pPr>
              <w:rPr>
                <w:rFonts w:ascii="Arial" w:hAnsi="Arial"/>
                <w:sz w:val="22"/>
                <w:szCs w:val="22"/>
              </w:rPr>
            </w:pPr>
            <w:r>
              <w:rPr>
                <w:rFonts w:ascii="Arial" w:hAnsi="Arial"/>
                <w:sz w:val="22"/>
                <w:szCs w:val="22"/>
              </w:rPr>
              <w:t xml:space="preserve">Use Level 3 default or see </w:t>
            </w:r>
            <w:hyperlink w:anchor="_Unbound_Materials_Properties" w:history="1">
              <w:r w:rsidRPr="007E41CB">
                <w:rPr>
                  <w:rStyle w:val="Hyperlink"/>
                  <w:rFonts w:ascii="Arial" w:hAnsi="Arial"/>
                  <w:sz w:val="22"/>
                  <w:szCs w:val="22"/>
                </w:rPr>
                <w:t>Unbound Materials Properties</w:t>
              </w:r>
            </w:hyperlink>
          </w:p>
        </w:tc>
      </w:tr>
      <w:tr w:rsidR="00604CD8" w:rsidRPr="00E676D9" w14:paraId="6508A129" w14:textId="77777777" w:rsidTr="0072304A">
        <w:trPr>
          <w:jc w:val="center"/>
        </w:trPr>
        <w:tc>
          <w:tcPr>
            <w:tcW w:w="1615" w:type="dxa"/>
          </w:tcPr>
          <w:p w14:paraId="721959C6" w14:textId="6A83D802" w:rsidR="00604CD8" w:rsidRPr="00E676D9" w:rsidRDefault="00604CD8" w:rsidP="00604CD8">
            <w:pPr>
              <w:rPr>
                <w:rFonts w:ascii="Arial" w:hAnsi="Arial"/>
                <w:sz w:val="22"/>
                <w:szCs w:val="22"/>
              </w:rPr>
            </w:pPr>
            <w:r>
              <w:rPr>
                <w:rFonts w:ascii="Arial" w:hAnsi="Arial"/>
                <w:sz w:val="22"/>
                <w:szCs w:val="22"/>
              </w:rPr>
              <w:t>ICM (Mean Values)</w:t>
            </w:r>
          </w:p>
        </w:tc>
        <w:tc>
          <w:tcPr>
            <w:tcW w:w="2746" w:type="dxa"/>
          </w:tcPr>
          <w:p w14:paraId="4596582A" w14:textId="77777777" w:rsidR="00604CD8" w:rsidRDefault="00604CD8" w:rsidP="00604CD8">
            <w:pPr>
              <w:rPr>
                <w:rFonts w:ascii="Arial" w:hAnsi="Arial"/>
                <w:sz w:val="22"/>
                <w:szCs w:val="22"/>
              </w:rPr>
            </w:pPr>
            <w:r>
              <w:rPr>
                <w:rFonts w:ascii="Arial" w:hAnsi="Arial"/>
                <w:sz w:val="22"/>
                <w:szCs w:val="22"/>
              </w:rPr>
              <w:t xml:space="preserve">Soil-Water Characteristic Curve Parameters </w:t>
            </w:r>
          </w:p>
          <w:p w14:paraId="5195EBB4" w14:textId="33C11322" w:rsidR="00604CD8" w:rsidRPr="00E676D9" w:rsidRDefault="00604CD8" w:rsidP="00604CD8">
            <w:pPr>
              <w:rPr>
                <w:rFonts w:ascii="Arial" w:hAnsi="Arial"/>
                <w:sz w:val="22"/>
                <w:szCs w:val="22"/>
              </w:rPr>
            </w:pPr>
            <w:r>
              <w:rPr>
                <w:rFonts w:ascii="Arial" w:hAnsi="Arial"/>
                <w:sz w:val="22"/>
                <w:szCs w:val="22"/>
              </w:rPr>
              <w:t>(</w:t>
            </w:r>
            <w:r w:rsidRPr="00ED268B">
              <w:rPr>
                <w:rFonts w:ascii="Arial" w:hAnsi="Arial"/>
                <w:i/>
                <w:sz w:val="22"/>
                <w:szCs w:val="22"/>
              </w:rPr>
              <w:t>a</w:t>
            </w:r>
            <w:r w:rsidRPr="00ED268B">
              <w:rPr>
                <w:rFonts w:ascii="Arial" w:hAnsi="Arial"/>
                <w:i/>
                <w:sz w:val="22"/>
                <w:szCs w:val="22"/>
                <w:vertAlign w:val="subscript"/>
              </w:rPr>
              <w:t>f</w:t>
            </w:r>
            <w:r w:rsidRPr="00ED268B">
              <w:rPr>
                <w:rFonts w:ascii="Arial" w:hAnsi="Arial"/>
                <w:i/>
                <w:sz w:val="22"/>
                <w:szCs w:val="22"/>
              </w:rPr>
              <w:t>, b</w:t>
            </w:r>
            <w:r w:rsidRPr="00ED268B">
              <w:rPr>
                <w:rFonts w:ascii="Arial" w:hAnsi="Arial"/>
                <w:i/>
                <w:sz w:val="22"/>
                <w:szCs w:val="22"/>
                <w:vertAlign w:val="subscript"/>
              </w:rPr>
              <w:t>f</w:t>
            </w:r>
            <w:r w:rsidRPr="00ED268B">
              <w:rPr>
                <w:rFonts w:ascii="Arial" w:hAnsi="Arial"/>
                <w:i/>
                <w:sz w:val="22"/>
                <w:szCs w:val="22"/>
              </w:rPr>
              <w:t>, c</w:t>
            </w:r>
            <w:r w:rsidRPr="00ED268B">
              <w:rPr>
                <w:rFonts w:ascii="Arial" w:hAnsi="Arial"/>
                <w:i/>
                <w:sz w:val="22"/>
                <w:szCs w:val="22"/>
                <w:vertAlign w:val="subscript"/>
              </w:rPr>
              <w:t>f</w:t>
            </w:r>
            <w:r w:rsidRPr="00ED268B">
              <w:rPr>
                <w:rFonts w:ascii="Arial" w:hAnsi="Arial"/>
                <w:i/>
                <w:sz w:val="22"/>
                <w:szCs w:val="22"/>
              </w:rPr>
              <w:t>, h</w:t>
            </w:r>
            <w:r w:rsidRPr="00ED268B">
              <w:rPr>
                <w:rFonts w:ascii="Arial" w:hAnsi="Arial"/>
                <w:i/>
                <w:sz w:val="22"/>
                <w:szCs w:val="22"/>
                <w:vertAlign w:val="subscript"/>
              </w:rPr>
              <w:t>r</w:t>
            </w:r>
            <w:r>
              <w:rPr>
                <w:rFonts w:ascii="Arial" w:hAnsi="Arial"/>
                <w:sz w:val="22"/>
                <w:szCs w:val="22"/>
              </w:rPr>
              <w:t>)</w:t>
            </w:r>
          </w:p>
        </w:tc>
        <w:tc>
          <w:tcPr>
            <w:tcW w:w="857" w:type="dxa"/>
          </w:tcPr>
          <w:p w14:paraId="7F802C15" w14:textId="77777777" w:rsidR="00604CD8" w:rsidRPr="00E676D9" w:rsidRDefault="00604CD8" w:rsidP="00604CD8">
            <w:pPr>
              <w:jc w:val="center"/>
              <w:rPr>
                <w:rFonts w:ascii="Arial" w:hAnsi="Arial"/>
                <w:sz w:val="22"/>
                <w:szCs w:val="22"/>
              </w:rPr>
            </w:pPr>
            <w:r>
              <w:rPr>
                <w:rFonts w:ascii="Arial" w:hAnsi="Arial"/>
                <w:sz w:val="22"/>
                <w:szCs w:val="22"/>
              </w:rPr>
              <w:t>3</w:t>
            </w:r>
          </w:p>
        </w:tc>
        <w:tc>
          <w:tcPr>
            <w:tcW w:w="3412" w:type="dxa"/>
          </w:tcPr>
          <w:p w14:paraId="73281DB5" w14:textId="77777777" w:rsidR="00604CD8" w:rsidRPr="00E676D9" w:rsidRDefault="00604CD8" w:rsidP="00604CD8">
            <w:pPr>
              <w:rPr>
                <w:rFonts w:ascii="Arial" w:hAnsi="Arial"/>
                <w:sz w:val="22"/>
                <w:szCs w:val="22"/>
              </w:rPr>
            </w:pPr>
            <w:r>
              <w:rPr>
                <w:rFonts w:ascii="Arial" w:hAnsi="Arial"/>
                <w:sz w:val="22"/>
                <w:szCs w:val="22"/>
              </w:rPr>
              <w:t>Use Level 3 default</w:t>
            </w:r>
          </w:p>
        </w:tc>
      </w:tr>
    </w:tbl>
    <w:p w14:paraId="171B9E34" w14:textId="0330AADA" w:rsidR="00152A78" w:rsidRDefault="00152A78" w:rsidP="00152A78">
      <w:pPr>
        <w:jc w:val="both"/>
        <w:rPr>
          <w:rFonts w:ascii="Arial" w:hAnsi="Arial"/>
          <w:sz w:val="22"/>
        </w:rPr>
      </w:pPr>
    </w:p>
    <w:p w14:paraId="7301D70B" w14:textId="094BF3A4" w:rsidR="003109D7" w:rsidRDefault="003109D7">
      <w:pPr>
        <w:rPr>
          <w:rFonts w:ascii="Arial" w:hAnsi="Arial"/>
          <w:b/>
          <w:i/>
          <w:sz w:val="24"/>
        </w:rPr>
      </w:pPr>
      <w:bookmarkStart w:id="202" w:name="_Poisson_Ratio_1"/>
      <w:bookmarkEnd w:id="202"/>
      <w:r>
        <w:br w:type="page"/>
      </w:r>
    </w:p>
    <w:p w14:paraId="1990F17B" w14:textId="28A3AA1F" w:rsidR="00152A78" w:rsidRPr="00F530F1" w:rsidRDefault="00152A78" w:rsidP="002F7593">
      <w:pPr>
        <w:pStyle w:val="Heading3"/>
        <w:tabs>
          <w:tab w:val="left" w:pos="1080"/>
        </w:tabs>
        <w:ind w:hanging="1980"/>
      </w:pPr>
      <w:r w:rsidRPr="00F530F1">
        <w:lastRenderedPageBreak/>
        <w:t>Poisson</w:t>
      </w:r>
      <w:r w:rsidR="003109D7">
        <w:t>'s</w:t>
      </w:r>
      <w:r w:rsidRPr="00F530F1">
        <w:t xml:space="preserve"> Ratio</w:t>
      </w:r>
    </w:p>
    <w:p w14:paraId="688CC530"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ubgrade" w:history="1">
        <w:r w:rsidRPr="003265FB">
          <w:rPr>
            <w:rStyle w:val="Hyperlink"/>
            <w:rFonts w:ascii="Arial" w:hAnsi="Arial" w:cs="Arial"/>
            <w:bCs/>
            <w:sz w:val="16"/>
            <w:szCs w:val="16"/>
          </w:rPr>
          <w:t>Subgrade</w:t>
        </w:r>
      </w:hyperlink>
    </w:p>
    <w:p w14:paraId="7B75A38B" w14:textId="77777777" w:rsidR="00152A78" w:rsidRPr="00F530F1" w:rsidRDefault="00152A78" w:rsidP="00152A78">
      <w:pPr>
        <w:rPr>
          <w:rFonts w:ascii="Arial" w:hAnsi="Arial" w:cs="Arial"/>
          <w:bCs/>
          <w:sz w:val="16"/>
          <w:szCs w:val="16"/>
        </w:rPr>
      </w:pPr>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Recommended_Material_Property_2" w:history="1">
        <w:r w:rsidRPr="00F530F1">
          <w:rPr>
            <w:rStyle w:val="Hyperlink"/>
            <w:rFonts w:ascii="Arial" w:hAnsi="Arial" w:cs="Arial"/>
            <w:bCs/>
            <w:sz w:val="16"/>
            <w:szCs w:val="16"/>
          </w:rPr>
          <w:t>Recommended Material Property Inputs for Unbound Layers</w:t>
        </w:r>
      </w:hyperlink>
    </w:p>
    <w:p w14:paraId="6B0FF4EB" w14:textId="77777777" w:rsidR="00152A78" w:rsidRPr="00F530F1" w:rsidRDefault="00152A78" w:rsidP="00152A78">
      <w:pPr>
        <w:jc w:val="both"/>
        <w:rPr>
          <w:rFonts w:ascii="Arial" w:hAnsi="Arial"/>
          <w:sz w:val="22"/>
        </w:rPr>
      </w:pPr>
    </w:p>
    <w:p w14:paraId="5E33CB16" w14:textId="41CEA1D6" w:rsidR="00152A78" w:rsidRPr="00F530F1" w:rsidRDefault="00152A78" w:rsidP="002F7593">
      <w:pPr>
        <w:jc w:val="center"/>
        <w:rPr>
          <w:rFonts w:ascii="Arial" w:hAnsi="Arial"/>
        </w:rPr>
      </w:pPr>
      <w:r w:rsidRPr="00F530F1">
        <w:rPr>
          <w:rFonts w:ascii="Arial" w:hAnsi="Arial"/>
          <w:b/>
        </w:rPr>
        <w:t>Poisson</w:t>
      </w:r>
      <w:r w:rsidR="003109D7">
        <w:rPr>
          <w:rFonts w:ascii="Arial" w:hAnsi="Arial"/>
          <w:b/>
        </w:rPr>
        <w:t>'s</w:t>
      </w:r>
      <w:r w:rsidRPr="00F530F1">
        <w:rPr>
          <w:rFonts w:ascii="Arial" w:hAnsi="Arial"/>
          <w:b/>
        </w:rPr>
        <w:t xml:space="preserve"> Ratio – Unbound Base Materials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926"/>
        <w:gridCol w:w="1741"/>
        <w:gridCol w:w="1890"/>
      </w:tblGrid>
      <w:tr w:rsidR="00152A78" w:rsidRPr="00F530F1" w14:paraId="08479F0E" w14:textId="77777777" w:rsidTr="002F7593">
        <w:trPr>
          <w:trHeight w:val="288"/>
          <w:tblHeader/>
          <w:jc w:val="center"/>
        </w:trPr>
        <w:tc>
          <w:tcPr>
            <w:tcW w:w="3078" w:type="dxa"/>
            <w:shd w:val="pct12" w:color="auto" w:fill="FFFFFF"/>
            <w:vAlign w:val="center"/>
          </w:tcPr>
          <w:p w14:paraId="0403049B" w14:textId="77777777" w:rsidR="00152A78" w:rsidRPr="00F530F1" w:rsidRDefault="00152A78" w:rsidP="00152A78">
            <w:pPr>
              <w:jc w:val="center"/>
              <w:rPr>
                <w:rFonts w:ascii="Arial" w:hAnsi="Arial"/>
                <w:b/>
                <w:sz w:val="22"/>
              </w:rPr>
            </w:pPr>
            <w:r w:rsidRPr="00F530F1">
              <w:rPr>
                <w:rFonts w:ascii="Arial" w:hAnsi="Arial"/>
                <w:b/>
                <w:sz w:val="22"/>
              </w:rPr>
              <w:t>Material</w:t>
            </w:r>
          </w:p>
        </w:tc>
        <w:tc>
          <w:tcPr>
            <w:tcW w:w="1926" w:type="dxa"/>
            <w:shd w:val="pct12" w:color="auto" w:fill="FFFFFF"/>
            <w:vAlign w:val="center"/>
          </w:tcPr>
          <w:p w14:paraId="02D45A38" w14:textId="77777777" w:rsidR="00152A78" w:rsidRPr="00F530F1" w:rsidRDefault="00152A78" w:rsidP="00152A78">
            <w:pPr>
              <w:jc w:val="center"/>
              <w:rPr>
                <w:rFonts w:ascii="Arial" w:hAnsi="Arial"/>
                <w:b/>
                <w:sz w:val="22"/>
              </w:rPr>
            </w:pPr>
            <w:r w:rsidRPr="00F530F1">
              <w:rPr>
                <w:rFonts w:ascii="Arial" w:hAnsi="Arial"/>
                <w:b/>
                <w:sz w:val="22"/>
              </w:rPr>
              <w:t>Minimum Value</w:t>
            </w:r>
          </w:p>
        </w:tc>
        <w:tc>
          <w:tcPr>
            <w:tcW w:w="1741" w:type="dxa"/>
            <w:shd w:val="pct12" w:color="auto" w:fill="FFFFFF"/>
            <w:vAlign w:val="center"/>
          </w:tcPr>
          <w:p w14:paraId="2795DAC1" w14:textId="77777777" w:rsidR="00152A78" w:rsidRPr="00F530F1" w:rsidRDefault="00152A78" w:rsidP="00152A78">
            <w:pPr>
              <w:jc w:val="center"/>
              <w:rPr>
                <w:rFonts w:ascii="Arial" w:hAnsi="Arial"/>
                <w:b/>
                <w:sz w:val="22"/>
              </w:rPr>
            </w:pPr>
            <w:r w:rsidRPr="00F530F1">
              <w:rPr>
                <w:rFonts w:ascii="Arial" w:hAnsi="Arial"/>
                <w:b/>
                <w:sz w:val="22"/>
              </w:rPr>
              <w:t>Typical Value</w:t>
            </w:r>
          </w:p>
        </w:tc>
        <w:tc>
          <w:tcPr>
            <w:tcW w:w="1890" w:type="dxa"/>
            <w:shd w:val="pct12" w:color="auto" w:fill="FFFFFF"/>
            <w:vAlign w:val="center"/>
          </w:tcPr>
          <w:p w14:paraId="3AF5F1BC" w14:textId="77777777" w:rsidR="00152A78" w:rsidRPr="00F530F1" w:rsidRDefault="00152A78" w:rsidP="00152A78">
            <w:pPr>
              <w:jc w:val="center"/>
              <w:rPr>
                <w:rFonts w:ascii="Arial" w:hAnsi="Arial"/>
                <w:b/>
                <w:sz w:val="22"/>
              </w:rPr>
            </w:pPr>
            <w:r w:rsidRPr="00F530F1">
              <w:rPr>
                <w:rFonts w:ascii="Arial" w:hAnsi="Arial"/>
                <w:b/>
                <w:sz w:val="22"/>
              </w:rPr>
              <w:t>Maximum Value</w:t>
            </w:r>
          </w:p>
        </w:tc>
      </w:tr>
      <w:tr w:rsidR="00152A78" w:rsidRPr="00F530F1" w14:paraId="73FA6E87" w14:textId="77777777" w:rsidTr="002F7593">
        <w:trPr>
          <w:trHeight w:val="288"/>
          <w:jc w:val="center"/>
        </w:trPr>
        <w:tc>
          <w:tcPr>
            <w:tcW w:w="3078" w:type="dxa"/>
            <w:vAlign w:val="center"/>
          </w:tcPr>
          <w:p w14:paraId="3EAD82D3" w14:textId="77777777" w:rsidR="00152A78" w:rsidRPr="00F530F1" w:rsidRDefault="00152A78" w:rsidP="00152A78">
            <w:pPr>
              <w:rPr>
                <w:rFonts w:ascii="Arial" w:hAnsi="Arial"/>
                <w:sz w:val="22"/>
              </w:rPr>
            </w:pPr>
            <w:r w:rsidRPr="00F530F1">
              <w:rPr>
                <w:rFonts w:ascii="Arial" w:hAnsi="Arial"/>
                <w:sz w:val="22"/>
              </w:rPr>
              <w:t>Break/Crack and Seat Portland Cement Concrete</w:t>
            </w:r>
          </w:p>
        </w:tc>
        <w:tc>
          <w:tcPr>
            <w:tcW w:w="1926" w:type="dxa"/>
            <w:vAlign w:val="center"/>
          </w:tcPr>
          <w:p w14:paraId="2180AEF9" w14:textId="77777777" w:rsidR="00152A78" w:rsidRPr="00F530F1" w:rsidRDefault="00152A78" w:rsidP="00152A78">
            <w:pPr>
              <w:jc w:val="center"/>
              <w:rPr>
                <w:rFonts w:ascii="Arial" w:hAnsi="Arial"/>
                <w:sz w:val="22"/>
              </w:rPr>
            </w:pPr>
            <w:r w:rsidRPr="00F530F1">
              <w:rPr>
                <w:rFonts w:ascii="Arial" w:hAnsi="Arial"/>
                <w:sz w:val="22"/>
              </w:rPr>
              <w:t>0.15</w:t>
            </w:r>
          </w:p>
        </w:tc>
        <w:tc>
          <w:tcPr>
            <w:tcW w:w="1741" w:type="dxa"/>
            <w:vAlign w:val="center"/>
          </w:tcPr>
          <w:p w14:paraId="60C54386" w14:textId="77777777" w:rsidR="00152A78" w:rsidRPr="00F530F1" w:rsidRDefault="00152A78" w:rsidP="00152A78">
            <w:pPr>
              <w:jc w:val="center"/>
              <w:rPr>
                <w:rFonts w:ascii="Arial" w:hAnsi="Arial"/>
                <w:sz w:val="22"/>
              </w:rPr>
            </w:pPr>
            <w:r w:rsidRPr="00F530F1">
              <w:rPr>
                <w:rFonts w:ascii="Arial" w:hAnsi="Arial"/>
                <w:sz w:val="22"/>
              </w:rPr>
              <w:t>0.20</w:t>
            </w:r>
          </w:p>
        </w:tc>
        <w:tc>
          <w:tcPr>
            <w:tcW w:w="1890" w:type="dxa"/>
            <w:vAlign w:val="center"/>
          </w:tcPr>
          <w:p w14:paraId="0ABC46F2" w14:textId="77777777" w:rsidR="00152A78" w:rsidRPr="00F530F1" w:rsidRDefault="00152A78" w:rsidP="00152A78">
            <w:pPr>
              <w:jc w:val="center"/>
              <w:rPr>
                <w:rFonts w:ascii="Arial" w:hAnsi="Arial"/>
                <w:sz w:val="22"/>
              </w:rPr>
            </w:pPr>
            <w:r w:rsidRPr="00F530F1">
              <w:rPr>
                <w:rFonts w:ascii="Arial" w:hAnsi="Arial"/>
                <w:sz w:val="22"/>
              </w:rPr>
              <w:t>0.30</w:t>
            </w:r>
          </w:p>
        </w:tc>
      </w:tr>
      <w:tr w:rsidR="00152A78" w:rsidRPr="00F530F1" w14:paraId="6D55252B" w14:textId="77777777" w:rsidTr="002F7593">
        <w:trPr>
          <w:trHeight w:val="288"/>
          <w:jc w:val="center"/>
        </w:trPr>
        <w:tc>
          <w:tcPr>
            <w:tcW w:w="3078" w:type="dxa"/>
            <w:vAlign w:val="center"/>
          </w:tcPr>
          <w:p w14:paraId="696F2F38" w14:textId="77777777" w:rsidR="00152A78" w:rsidRPr="00F530F1" w:rsidRDefault="00152A78" w:rsidP="00152A78">
            <w:pPr>
              <w:rPr>
                <w:rFonts w:ascii="Arial" w:hAnsi="Arial"/>
                <w:sz w:val="22"/>
              </w:rPr>
            </w:pPr>
            <w:r w:rsidRPr="003109D7">
              <w:rPr>
                <w:rFonts w:ascii="Arial" w:hAnsi="Arial"/>
                <w:sz w:val="22"/>
              </w:rPr>
              <w:t>Rubblized</w:t>
            </w:r>
            <w:r w:rsidRPr="00F530F1">
              <w:rPr>
                <w:rFonts w:ascii="Arial" w:hAnsi="Arial"/>
                <w:sz w:val="22"/>
              </w:rPr>
              <w:t xml:space="preserve"> Portland Cement Concrete</w:t>
            </w:r>
          </w:p>
        </w:tc>
        <w:tc>
          <w:tcPr>
            <w:tcW w:w="1926" w:type="dxa"/>
            <w:vAlign w:val="center"/>
          </w:tcPr>
          <w:p w14:paraId="6973730C" w14:textId="77777777" w:rsidR="00152A78" w:rsidRPr="00F530F1" w:rsidRDefault="00152A78" w:rsidP="00152A78">
            <w:pPr>
              <w:jc w:val="center"/>
              <w:rPr>
                <w:rFonts w:ascii="Arial" w:hAnsi="Arial"/>
                <w:sz w:val="22"/>
              </w:rPr>
            </w:pPr>
            <w:r w:rsidRPr="00F530F1">
              <w:rPr>
                <w:rFonts w:ascii="Arial" w:hAnsi="Arial"/>
                <w:sz w:val="22"/>
              </w:rPr>
              <w:t>0.15</w:t>
            </w:r>
          </w:p>
        </w:tc>
        <w:tc>
          <w:tcPr>
            <w:tcW w:w="1741" w:type="dxa"/>
            <w:vAlign w:val="center"/>
          </w:tcPr>
          <w:p w14:paraId="0D118F4B" w14:textId="77777777" w:rsidR="00152A78" w:rsidRPr="00F530F1" w:rsidRDefault="00152A78" w:rsidP="00152A78">
            <w:pPr>
              <w:jc w:val="center"/>
              <w:rPr>
                <w:rFonts w:ascii="Arial" w:hAnsi="Arial"/>
                <w:sz w:val="22"/>
              </w:rPr>
            </w:pPr>
            <w:r w:rsidRPr="00F530F1">
              <w:rPr>
                <w:rFonts w:ascii="Arial" w:hAnsi="Arial"/>
                <w:sz w:val="22"/>
              </w:rPr>
              <w:t>0.25</w:t>
            </w:r>
          </w:p>
        </w:tc>
        <w:tc>
          <w:tcPr>
            <w:tcW w:w="1890" w:type="dxa"/>
            <w:vAlign w:val="center"/>
          </w:tcPr>
          <w:p w14:paraId="75B2F45A" w14:textId="77777777" w:rsidR="00152A78" w:rsidRPr="00F530F1" w:rsidRDefault="00152A78" w:rsidP="00152A78">
            <w:pPr>
              <w:jc w:val="center"/>
              <w:rPr>
                <w:rFonts w:ascii="Arial" w:hAnsi="Arial"/>
                <w:sz w:val="22"/>
              </w:rPr>
            </w:pPr>
            <w:r w:rsidRPr="00F530F1">
              <w:rPr>
                <w:rFonts w:ascii="Arial" w:hAnsi="Arial"/>
                <w:sz w:val="22"/>
              </w:rPr>
              <w:t>0.30</w:t>
            </w:r>
          </w:p>
        </w:tc>
      </w:tr>
      <w:tr w:rsidR="00152A78" w:rsidRPr="00F530F1" w14:paraId="6BFFF1B1" w14:textId="77777777" w:rsidTr="002F7593">
        <w:trPr>
          <w:trHeight w:val="288"/>
          <w:jc w:val="center"/>
        </w:trPr>
        <w:tc>
          <w:tcPr>
            <w:tcW w:w="3078" w:type="dxa"/>
            <w:vAlign w:val="center"/>
          </w:tcPr>
          <w:p w14:paraId="767FC1DA" w14:textId="77777777" w:rsidR="00152A78" w:rsidRPr="00F530F1" w:rsidRDefault="00152A78" w:rsidP="00152A78">
            <w:pPr>
              <w:rPr>
                <w:rFonts w:ascii="Arial" w:hAnsi="Arial"/>
                <w:sz w:val="22"/>
              </w:rPr>
            </w:pPr>
            <w:r w:rsidRPr="00F530F1">
              <w:rPr>
                <w:rFonts w:ascii="Arial" w:hAnsi="Arial"/>
                <w:sz w:val="22"/>
              </w:rPr>
              <w:t>Dense Sand</w:t>
            </w:r>
          </w:p>
        </w:tc>
        <w:tc>
          <w:tcPr>
            <w:tcW w:w="1926" w:type="dxa"/>
            <w:vAlign w:val="center"/>
          </w:tcPr>
          <w:p w14:paraId="1E3CC34E" w14:textId="77777777" w:rsidR="00152A78" w:rsidRPr="00F530F1" w:rsidRDefault="00152A78" w:rsidP="00152A78">
            <w:pPr>
              <w:jc w:val="center"/>
              <w:rPr>
                <w:rFonts w:ascii="Arial" w:hAnsi="Arial"/>
                <w:sz w:val="22"/>
              </w:rPr>
            </w:pPr>
            <w:r w:rsidRPr="00F530F1">
              <w:rPr>
                <w:rFonts w:ascii="Arial" w:hAnsi="Arial"/>
                <w:sz w:val="22"/>
              </w:rPr>
              <w:t>0.20</w:t>
            </w:r>
          </w:p>
        </w:tc>
        <w:tc>
          <w:tcPr>
            <w:tcW w:w="1741" w:type="dxa"/>
            <w:vAlign w:val="center"/>
          </w:tcPr>
          <w:p w14:paraId="1C1D4B99" w14:textId="77777777" w:rsidR="00152A78" w:rsidRPr="00F530F1" w:rsidRDefault="00152A78" w:rsidP="00152A78">
            <w:pPr>
              <w:jc w:val="center"/>
              <w:rPr>
                <w:rFonts w:ascii="Arial" w:hAnsi="Arial"/>
                <w:sz w:val="22"/>
              </w:rPr>
            </w:pPr>
            <w:r w:rsidRPr="00F530F1">
              <w:rPr>
                <w:rFonts w:ascii="Arial" w:hAnsi="Arial"/>
                <w:sz w:val="22"/>
              </w:rPr>
              <w:t>0.30</w:t>
            </w:r>
          </w:p>
        </w:tc>
        <w:tc>
          <w:tcPr>
            <w:tcW w:w="1890" w:type="dxa"/>
            <w:vAlign w:val="center"/>
          </w:tcPr>
          <w:p w14:paraId="2AE9F244" w14:textId="77777777" w:rsidR="00152A78" w:rsidRPr="00F530F1" w:rsidRDefault="00152A78" w:rsidP="00152A78">
            <w:pPr>
              <w:jc w:val="center"/>
              <w:rPr>
                <w:rFonts w:ascii="Arial" w:hAnsi="Arial"/>
                <w:sz w:val="22"/>
              </w:rPr>
            </w:pPr>
            <w:r w:rsidRPr="00F530F1">
              <w:rPr>
                <w:rFonts w:ascii="Arial" w:hAnsi="Arial"/>
                <w:sz w:val="22"/>
              </w:rPr>
              <w:t>0.40</w:t>
            </w:r>
          </w:p>
        </w:tc>
      </w:tr>
      <w:tr w:rsidR="00152A78" w:rsidRPr="00F530F1" w14:paraId="13337F52" w14:textId="77777777" w:rsidTr="002F7593">
        <w:trPr>
          <w:trHeight w:val="288"/>
          <w:jc w:val="center"/>
        </w:trPr>
        <w:tc>
          <w:tcPr>
            <w:tcW w:w="3078" w:type="dxa"/>
            <w:vAlign w:val="center"/>
          </w:tcPr>
          <w:p w14:paraId="54E80F15" w14:textId="77777777" w:rsidR="00152A78" w:rsidRPr="00F530F1" w:rsidRDefault="00152A78" w:rsidP="00152A78">
            <w:pPr>
              <w:rPr>
                <w:rFonts w:ascii="Arial" w:hAnsi="Arial"/>
                <w:sz w:val="22"/>
              </w:rPr>
            </w:pPr>
            <w:r w:rsidRPr="00F530F1">
              <w:rPr>
                <w:rFonts w:ascii="Arial" w:hAnsi="Arial"/>
                <w:sz w:val="22"/>
              </w:rPr>
              <w:t>GAB, Macadam</w:t>
            </w:r>
          </w:p>
        </w:tc>
        <w:tc>
          <w:tcPr>
            <w:tcW w:w="1926" w:type="dxa"/>
            <w:vAlign w:val="center"/>
          </w:tcPr>
          <w:p w14:paraId="6597752A" w14:textId="77777777" w:rsidR="00152A78" w:rsidRPr="00F530F1" w:rsidRDefault="00152A78" w:rsidP="00152A78">
            <w:pPr>
              <w:jc w:val="center"/>
              <w:rPr>
                <w:rFonts w:ascii="Arial" w:hAnsi="Arial"/>
                <w:sz w:val="22"/>
              </w:rPr>
            </w:pPr>
            <w:r w:rsidRPr="00F530F1">
              <w:rPr>
                <w:rFonts w:ascii="Arial" w:hAnsi="Arial"/>
                <w:sz w:val="22"/>
              </w:rPr>
              <w:t>0.20</w:t>
            </w:r>
          </w:p>
        </w:tc>
        <w:tc>
          <w:tcPr>
            <w:tcW w:w="1741" w:type="dxa"/>
            <w:vAlign w:val="center"/>
          </w:tcPr>
          <w:p w14:paraId="7E76B29B" w14:textId="77777777" w:rsidR="00152A78" w:rsidRPr="00F530F1" w:rsidRDefault="00152A78" w:rsidP="00152A78">
            <w:pPr>
              <w:jc w:val="center"/>
              <w:rPr>
                <w:rFonts w:ascii="Arial" w:hAnsi="Arial"/>
                <w:sz w:val="22"/>
              </w:rPr>
            </w:pPr>
            <w:r w:rsidRPr="00F530F1">
              <w:rPr>
                <w:rFonts w:ascii="Arial" w:hAnsi="Arial"/>
                <w:sz w:val="22"/>
              </w:rPr>
              <w:t>0.40</w:t>
            </w:r>
          </w:p>
        </w:tc>
        <w:tc>
          <w:tcPr>
            <w:tcW w:w="1890" w:type="dxa"/>
            <w:vAlign w:val="center"/>
          </w:tcPr>
          <w:p w14:paraId="2AAEE928" w14:textId="77777777" w:rsidR="00152A78" w:rsidRPr="00F530F1" w:rsidRDefault="00152A78" w:rsidP="00152A78">
            <w:pPr>
              <w:jc w:val="center"/>
              <w:rPr>
                <w:rFonts w:ascii="Arial" w:hAnsi="Arial"/>
                <w:sz w:val="22"/>
              </w:rPr>
            </w:pPr>
            <w:r w:rsidRPr="00F530F1">
              <w:rPr>
                <w:rFonts w:ascii="Arial" w:hAnsi="Arial"/>
                <w:sz w:val="22"/>
              </w:rPr>
              <w:t>0.45</w:t>
            </w:r>
          </w:p>
        </w:tc>
      </w:tr>
      <w:tr w:rsidR="00152A78" w:rsidRPr="00F530F1" w14:paraId="240D9586" w14:textId="77777777" w:rsidTr="002F7593">
        <w:trPr>
          <w:trHeight w:val="288"/>
          <w:jc w:val="center"/>
        </w:trPr>
        <w:tc>
          <w:tcPr>
            <w:tcW w:w="3078" w:type="dxa"/>
            <w:vAlign w:val="center"/>
          </w:tcPr>
          <w:p w14:paraId="39A833D2" w14:textId="77777777" w:rsidR="00152A78" w:rsidRPr="00F530F1" w:rsidRDefault="00152A78" w:rsidP="00152A78">
            <w:pPr>
              <w:rPr>
                <w:rFonts w:ascii="Arial" w:hAnsi="Arial"/>
                <w:sz w:val="22"/>
              </w:rPr>
            </w:pPr>
            <w:r w:rsidRPr="00F530F1">
              <w:rPr>
                <w:rFonts w:ascii="Arial" w:hAnsi="Arial"/>
                <w:sz w:val="22"/>
              </w:rPr>
              <w:t>Gravel</w:t>
            </w:r>
          </w:p>
        </w:tc>
        <w:tc>
          <w:tcPr>
            <w:tcW w:w="1926" w:type="dxa"/>
            <w:vAlign w:val="center"/>
          </w:tcPr>
          <w:p w14:paraId="04D8E0A0" w14:textId="77777777" w:rsidR="00152A78" w:rsidRPr="00F530F1" w:rsidRDefault="00152A78" w:rsidP="00152A78">
            <w:pPr>
              <w:jc w:val="center"/>
              <w:rPr>
                <w:rFonts w:ascii="Arial" w:hAnsi="Arial"/>
                <w:sz w:val="22"/>
              </w:rPr>
            </w:pPr>
            <w:r w:rsidRPr="00F530F1">
              <w:rPr>
                <w:rFonts w:ascii="Arial" w:hAnsi="Arial"/>
                <w:sz w:val="22"/>
              </w:rPr>
              <w:t>0.30</w:t>
            </w:r>
          </w:p>
        </w:tc>
        <w:tc>
          <w:tcPr>
            <w:tcW w:w="1741" w:type="dxa"/>
            <w:vAlign w:val="center"/>
          </w:tcPr>
          <w:p w14:paraId="0F2E0BBB" w14:textId="77777777" w:rsidR="00152A78" w:rsidRPr="00F530F1" w:rsidRDefault="00152A78" w:rsidP="00152A78">
            <w:pPr>
              <w:jc w:val="center"/>
              <w:rPr>
                <w:rFonts w:ascii="Arial" w:hAnsi="Arial"/>
                <w:sz w:val="22"/>
              </w:rPr>
            </w:pPr>
            <w:r w:rsidRPr="00F530F1">
              <w:rPr>
                <w:rFonts w:ascii="Arial" w:hAnsi="Arial"/>
                <w:sz w:val="22"/>
              </w:rPr>
              <w:t>0.40</w:t>
            </w:r>
          </w:p>
        </w:tc>
        <w:tc>
          <w:tcPr>
            <w:tcW w:w="1890" w:type="dxa"/>
            <w:vAlign w:val="center"/>
          </w:tcPr>
          <w:p w14:paraId="7484C1D9" w14:textId="77777777" w:rsidR="00152A78" w:rsidRPr="00F530F1" w:rsidRDefault="00152A78" w:rsidP="00152A78">
            <w:pPr>
              <w:jc w:val="center"/>
              <w:rPr>
                <w:rFonts w:ascii="Arial" w:hAnsi="Arial"/>
                <w:sz w:val="22"/>
              </w:rPr>
            </w:pPr>
            <w:r w:rsidRPr="00F530F1">
              <w:rPr>
                <w:rFonts w:ascii="Arial" w:hAnsi="Arial"/>
                <w:sz w:val="22"/>
              </w:rPr>
              <w:t>0.45</w:t>
            </w:r>
          </w:p>
        </w:tc>
      </w:tr>
      <w:tr w:rsidR="00152A78" w:rsidRPr="00F530F1" w14:paraId="7161EDF5" w14:textId="77777777" w:rsidTr="002F7593">
        <w:trPr>
          <w:trHeight w:val="288"/>
          <w:jc w:val="center"/>
        </w:trPr>
        <w:tc>
          <w:tcPr>
            <w:tcW w:w="3078" w:type="dxa"/>
            <w:vAlign w:val="center"/>
          </w:tcPr>
          <w:p w14:paraId="382DFA8A" w14:textId="77777777" w:rsidR="00152A78" w:rsidRPr="00F530F1" w:rsidRDefault="00152A78" w:rsidP="00152A78">
            <w:pPr>
              <w:rPr>
                <w:rFonts w:ascii="Arial" w:hAnsi="Arial"/>
                <w:sz w:val="22"/>
              </w:rPr>
            </w:pPr>
            <w:r w:rsidRPr="00F530F1">
              <w:rPr>
                <w:rFonts w:ascii="Arial" w:hAnsi="Arial"/>
                <w:sz w:val="22"/>
              </w:rPr>
              <w:t>Soil Contaminated Aggregate Base</w:t>
            </w:r>
          </w:p>
        </w:tc>
        <w:tc>
          <w:tcPr>
            <w:tcW w:w="1926" w:type="dxa"/>
            <w:vAlign w:val="center"/>
          </w:tcPr>
          <w:p w14:paraId="56F15733" w14:textId="77777777" w:rsidR="00152A78" w:rsidRPr="00F530F1" w:rsidRDefault="00152A78" w:rsidP="00152A78">
            <w:pPr>
              <w:jc w:val="center"/>
              <w:rPr>
                <w:rFonts w:ascii="Arial" w:hAnsi="Arial"/>
                <w:sz w:val="22"/>
              </w:rPr>
            </w:pPr>
            <w:r w:rsidRPr="00F530F1">
              <w:rPr>
                <w:rFonts w:ascii="Arial" w:hAnsi="Arial"/>
                <w:sz w:val="22"/>
              </w:rPr>
              <w:t>0.30</w:t>
            </w:r>
          </w:p>
        </w:tc>
        <w:tc>
          <w:tcPr>
            <w:tcW w:w="1741" w:type="dxa"/>
            <w:vAlign w:val="center"/>
          </w:tcPr>
          <w:p w14:paraId="03AB1BEB" w14:textId="77777777" w:rsidR="00152A78" w:rsidRPr="00F530F1" w:rsidRDefault="00152A78" w:rsidP="00152A78">
            <w:pPr>
              <w:jc w:val="center"/>
              <w:rPr>
                <w:rFonts w:ascii="Arial" w:hAnsi="Arial"/>
                <w:sz w:val="22"/>
              </w:rPr>
            </w:pPr>
            <w:r w:rsidRPr="00F530F1">
              <w:rPr>
                <w:rFonts w:ascii="Arial" w:hAnsi="Arial"/>
                <w:sz w:val="22"/>
              </w:rPr>
              <w:t>0.40</w:t>
            </w:r>
          </w:p>
        </w:tc>
        <w:tc>
          <w:tcPr>
            <w:tcW w:w="1890" w:type="dxa"/>
            <w:vAlign w:val="center"/>
          </w:tcPr>
          <w:p w14:paraId="565AB86C" w14:textId="77777777" w:rsidR="00152A78" w:rsidRPr="00F530F1" w:rsidRDefault="00152A78" w:rsidP="00152A78">
            <w:pPr>
              <w:jc w:val="center"/>
              <w:rPr>
                <w:rFonts w:ascii="Arial" w:hAnsi="Arial"/>
                <w:sz w:val="22"/>
              </w:rPr>
            </w:pPr>
            <w:r w:rsidRPr="00F530F1">
              <w:rPr>
                <w:rFonts w:ascii="Arial" w:hAnsi="Arial"/>
                <w:sz w:val="22"/>
              </w:rPr>
              <w:t>0.50</w:t>
            </w:r>
          </w:p>
        </w:tc>
      </w:tr>
    </w:tbl>
    <w:p w14:paraId="54F2D154" w14:textId="77777777" w:rsidR="00152A78" w:rsidRPr="00F530F1" w:rsidRDefault="00152A78" w:rsidP="00152A78">
      <w:pPr>
        <w:rPr>
          <w:rFonts w:ascii="Arial" w:hAnsi="Arial"/>
        </w:rPr>
      </w:pPr>
    </w:p>
    <w:p w14:paraId="02557124" w14:textId="2F235E9E" w:rsidR="00152A78" w:rsidRPr="00F530F1" w:rsidRDefault="00152A78" w:rsidP="002F7593">
      <w:pPr>
        <w:jc w:val="center"/>
        <w:rPr>
          <w:rFonts w:ascii="Arial" w:hAnsi="Arial"/>
        </w:rPr>
      </w:pPr>
      <w:r w:rsidRPr="00F530F1">
        <w:rPr>
          <w:rFonts w:ascii="Arial" w:hAnsi="Arial"/>
          <w:b/>
        </w:rPr>
        <w:t>Poisson</w:t>
      </w:r>
      <w:r w:rsidR="003109D7">
        <w:rPr>
          <w:rFonts w:ascii="Arial" w:hAnsi="Arial"/>
          <w:b/>
        </w:rPr>
        <w:t>'s</w:t>
      </w:r>
      <w:r w:rsidRPr="00F530F1">
        <w:rPr>
          <w:rFonts w:ascii="Arial" w:hAnsi="Arial"/>
          <w:b/>
        </w:rPr>
        <w:t xml:space="preserve"> Ratio – Unbound Subgrade Materials</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3"/>
        <w:gridCol w:w="1926"/>
        <w:gridCol w:w="1831"/>
        <w:gridCol w:w="1890"/>
      </w:tblGrid>
      <w:tr w:rsidR="00152A78" w:rsidRPr="00F530F1" w14:paraId="2DB231FC" w14:textId="77777777" w:rsidTr="002F7593">
        <w:trPr>
          <w:trHeight w:val="288"/>
          <w:tblHeader/>
          <w:jc w:val="center"/>
        </w:trPr>
        <w:tc>
          <w:tcPr>
            <w:tcW w:w="2993" w:type="dxa"/>
            <w:shd w:val="pct12" w:color="auto" w:fill="FFFFFF"/>
            <w:vAlign w:val="center"/>
          </w:tcPr>
          <w:p w14:paraId="22E21B97" w14:textId="77777777" w:rsidR="00152A78" w:rsidRPr="00F530F1" w:rsidRDefault="00152A78" w:rsidP="00152A78">
            <w:pPr>
              <w:jc w:val="center"/>
              <w:rPr>
                <w:rFonts w:ascii="Arial" w:hAnsi="Arial"/>
                <w:b/>
                <w:sz w:val="22"/>
              </w:rPr>
            </w:pPr>
            <w:r w:rsidRPr="00F530F1">
              <w:rPr>
                <w:rFonts w:ascii="Arial" w:hAnsi="Arial"/>
                <w:b/>
                <w:sz w:val="22"/>
              </w:rPr>
              <w:t>Material</w:t>
            </w:r>
          </w:p>
        </w:tc>
        <w:tc>
          <w:tcPr>
            <w:tcW w:w="1926" w:type="dxa"/>
            <w:shd w:val="pct12" w:color="auto" w:fill="FFFFFF"/>
            <w:vAlign w:val="center"/>
          </w:tcPr>
          <w:p w14:paraId="57493B76" w14:textId="77777777" w:rsidR="00152A78" w:rsidRPr="00F530F1" w:rsidRDefault="00152A78" w:rsidP="00152A78">
            <w:pPr>
              <w:jc w:val="center"/>
              <w:rPr>
                <w:rFonts w:ascii="Arial" w:hAnsi="Arial"/>
                <w:b/>
                <w:sz w:val="22"/>
              </w:rPr>
            </w:pPr>
            <w:r w:rsidRPr="00F530F1">
              <w:rPr>
                <w:rFonts w:ascii="Arial" w:hAnsi="Arial"/>
                <w:b/>
                <w:sz w:val="22"/>
              </w:rPr>
              <w:t>Minimum Value</w:t>
            </w:r>
          </w:p>
        </w:tc>
        <w:tc>
          <w:tcPr>
            <w:tcW w:w="1831" w:type="dxa"/>
            <w:shd w:val="pct12" w:color="auto" w:fill="FFFFFF"/>
            <w:vAlign w:val="center"/>
          </w:tcPr>
          <w:p w14:paraId="2F7AF2EA" w14:textId="77777777" w:rsidR="00152A78" w:rsidRPr="00F530F1" w:rsidRDefault="00152A78" w:rsidP="00152A78">
            <w:pPr>
              <w:jc w:val="center"/>
              <w:rPr>
                <w:rFonts w:ascii="Arial" w:hAnsi="Arial"/>
                <w:b/>
                <w:sz w:val="22"/>
              </w:rPr>
            </w:pPr>
            <w:r w:rsidRPr="00F530F1">
              <w:rPr>
                <w:rFonts w:ascii="Arial" w:hAnsi="Arial"/>
                <w:b/>
                <w:sz w:val="22"/>
              </w:rPr>
              <w:t>Typical Value</w:t>
            </w:r>
          </w:p>
        </w:tc>
        <w:tc>
          <w:tcPr>
            <w:tcW w:w="1890" w:type="dxa"/>
            <w:shd w:val="pct12" w:color="auto" w:fill="FFFFFF"/>
            <w:vAlign w:val="center"/>
          </w:tcPr>
          <w:p w14:paraId="1AC5B4B5" w14:textId="77777777" w:rsidR="00152A78" w:rsidRPr="00F530F1" w:rsidRDefault="00152A78" w:rsidP="00152A78">
            <w:pPr>
              <w:jc w:val="center"/>
              <w:rPr>
                <w:rFonts w:ascii="Arial" w:hAnsi="Arial"/>
                <w:b/>
                <w:sz w:val="22"/>
              </w:rPr>
            </w:pPr>
            <w:r w:rsidRPr="00F530F1">
              <w:rPr>
                <w:rFonts w:ascii="Arial" w:hAnsi="Arial"/>
                <w:b/>
                <w:sz w:val="22"/>
              </w:rPr>
              <w:t>Maximum Value</w:t>
            </w:r>
          </w:p>
        </w:tc>
      </w:tr>
      <w:tr w:rsidR="00152A78" w:rsidRPr="00F530F1" w14:paraId="4511DEEB" w14:textId="77777777" w:rsidTr="002F7593">
        <w:trPr>
          <w:trHeight w:val="288"/>
          <w:jc w:val="center"/>
        </w:trPr>
        <w:tc>
          <w:tcPr>
            <w:tcW w:w="2993" w:type="dxa"/>
            <w:vAlign w:val="center"/>
          </w:tcPr>
          <w:p w14:paraId="28346D29" w14:textId="77777777" w:rsidR="00152A78" w:rsidRPr="00F530F1" w:rsidRDefault="00152A78" w:rsidP="00152A78">
            <w:pPr>
              <w:rPr>
                <w:rFonts w:ascii="Arial" w:hAnsi="Arial"/>
                <w:sz w:val="22"/>
              </w:rPr>
            </w:pPr>
            <w:r w:rsidRPr="00F530F1">
              <w:rPr>
                <w:rFonts w:ascii="Arial" w:hAnsi="Arial"/>
                <w:sz w:val="22"/>
              </w:rPr>
              <w:t>Bedrock</w:t>
            </w:r>
          </w:p>
        </w:tc>
        <w:tc>
          <w:tcPr>
            <w:tcW w:w="1926" w:type="dxa"/>
            <w:vAlign w:val="center"/>
          </w:tcPr>
          <w:p w14:paraId="7E4C84D9" w14:textId="77777777" w:rsidR="00152A78" w:rsidRPr="00F530F1" w:rsidRDefault="00152A78" w:rsidP="00152A78">
            <w:pPr>
              <w:jc w:val="center"/>
              <w:rPr>
                <w:rFonts w:ascii="Arial" w:hAnsi="Arial"/>
                <w:sz w:val="22"/>
              </w:rPr>
            </w:pPr>
            <w:r w:rsidRPr="00F530F1">
              <w:rPr>
                <w:rFonts w:ascii="Arial" w:hAnsi="Arial"/>
                <w:sz w:val="22"/>
              </w:rPr>
              <w:t>0.10</w:t>
            </w:r>
          </w:p>
        </w:tc>
        <w:tc>
          <w:tcPr>
            <w:tcW w:w="1831" w:type="dxa"/>
            <w:vAlign w:val="center"/>
          </w:tcPr>
          <w:p w14:paraId="5891798F" w14:textId="77777777" w:rsidR="00152A78" w:rsidRPr="00F530F1" w:rsidRDefault="00152A78" w:rsidP="00152A78">
            <w:pPr>
              <w:jc w:val="center"/>
              <w:rPr>
                <w:rFonts w:ascii="Arial" w:hAnsi="Arial"/>
                <w:sz w:val="22"/>
              </w:rPr>
            </w:pPr>
            <w:r w:rsidRPr="00F530F1">
              <w:rPr>
                <w:rFonts w:ascii="Arial" w:hAnsi="Arial"/>
                <w:sz w:val="22"/>
              </w:rPr>
              <w:t>0.25</w:t>
            </w:r>
          </w:p>
        </w:tc>
        <w:tc>
          <w:tcPr>
            <w:tcW w:w="1890" w:type="dxa"/>
            <w:vAlign w:val="center"/>
          </w:tcPr>
          <w:p w14:paraId="5FF13F2F" w14:textId="77777777" w:rsidR="00152A78" w:rsidRPr="00F530F1" w:rsidRDefault="00152A78" w:rsidP="00152A78">
            <w:pPr>
              <w:jc w:val="center"/>
              <w:rPr>
                <w:rFonts w:ascii="Arial" w:hAnsi="Arial"/>
                <w:sz w:val="22"/>
              </w:rPr>
            </w:pPr>
            <w:r w:rsidRPr="00F530F1">
              <w:rPr>
                <w:rFonts w:ascii="Arial" w:hAnsi="Arial"/>
                <w:sz w:val="22"/>
              </w:rPr>
              <w:t>0.40</w:t>
            </w:r>
          </w:p>
        </w:tc>
      </w:tr>
      <w:tr w:rsidR="00152A78" w:rsidRPr="00F530F1" w14:paraId="7B501CE9" w14:textId="77777777" w:rsidTr="002F7593">
        <w:trPr>
          <w:trHeight w:val="288"/>
          <w:jc w:val="center"/>
        </w:trPr>
        <w:tc>
          <w:tcPr>
            <w:tcW w:w="2993" w:type="dxa"/>
            <w:vAlign w:val="center"/>
          </w:tcPr>
          <w:p w14:paraId="59A1A5FA" w14:textId="77777777" w:rsidR="00152A78" w:rsidRPr="00F530F1" w:rsidRDefault="00152A78" w:rsidP="00152A78">
            <w:pPr>
              <w:rPr>
                <w:rFonts w:ascii="Arial" w:hAnsi="Arial"/>
                <w:sz w:val="22"/>
              </w:rPr>
            </w:pPr>
            <w:r w:rsidRPr="00F530F1">
              <w:rPr>
                <w:rFonts w:ascii="Arial" w:hAnsi="Arial"/>
                <w:sz w:val="22"/>
              </w:rPr>
              <w:t>Coarse-Grained Sand</w:t>
            </w:r>
          </w:p>
        </w:tc>
        <w:tc>
          <w:tcPr>
            <w:tcW w:w="1926" w:type="dxa"/>
            <w:vAlign w:val="center"/>
          </w:tcPr>
          <w:p w14:paraId="29694209" w14:textId="77777777" w:rsidR="00152A78" w:rsidRPr="00F530F1" w:rsidRDefault="00152A78" w:rsidP="00152A78">
            <w:pPr>
              <w:jc w:val="center"/>
              <w:rPr>
                <w:rFonts w:ascii="Arial" w:hAnsi="Arial"/>
                <w:sz w:val="22"/>
              </w:rPr>
            </w:pPr>
            <w:r w:rsidRPr="00F530F1">
              <w:rPr>
                <w:rFonts w:ascii="Arial" w:hAnsi="Arial"/>
                <w:sz w:val="22"/>
              </w:rPr>
              <w:t>0.15</w:t>
            </w:r>
          </w:p>
        </w:tc>
        <w:tc>
          <w:tcPr>
            <w:tcW w:w="1831" w:type="dxa"/>
            <w:vAlign w:val="center"/>
          </w:tcPr>
          <w:p w14:paraId="4617216B" w14:textId="77777777" w:rsidR="00152A78" w:rsidRPr="00F530F1" w:rsidRDefault="00152A78" w:rsidP="00152A78">
            <w:pPr>
              <w:jc w:val="center"/>
              <w:rPr>
                <w:rFonts w:ascii="Arial" w:hAnsi="Arial"/>
                <w:sz w:val="22"/>
              </w:rPr>
            </w:pPr>
            <w:r w:rsidRPr="00F530F1">
              <w:rPr>
                <w:rFonts w:ascii="Arial" w:hAnsi="Arial"/>
                <w:sz w:val="22"/>
              </w:rPr>
              <w:t>0.15</w:t>
            </w:r>
          </w:p>
        </w:tc>
        <w:tc>
          <w:tcPr>
            <w:tcW w:w="1890" w:type="dxa"/>
            <w:vAlign w:val="center"/>
          </w:tcPr>
          <w:p w14:paraId="0069F106" w14:textId="77777777" w:rsidR="00152A78" w:rsidRPr="00F530F1" w:rsidRDefault="00152A78" w:rsidP="00152A78">
            <w:pPr>
              <w:jc w:val="center"/>
              <w:rPr>
                <w:rFonts w:ascii="Arial" w:hAnsi="Arial"/>
                <w:sz w:val="22"/>
              </w:rPr>
            </w:pPr>
            <w:r w:rsidRPr="00F530F1">
              <w:rPr>
                <w:rFonts w:ascii="Arial" w:hAnsi="Arial"/>
                <w:sz w:val="22"/>
              </w:rPr>
              <w:t>0.15</w:t>
            </w:r>
          </w:p>
        </w:tc>
      </w:tr>
      <w:tr w:rsidR="00152A78" w:rsidRPr="00F530F1" w14:paraId="06770B73" w14:textId="77777777" w:rsidTr="002F7593">
        <w:trPr>
          <w:trHeight w:val="288"/>
          <w:jc w:val="center"/>
        </w:trPr>
        <w:tc>
          <w:tcPr>
            <w:tcW w:w="2993" w:type="dxa"/>
            <w:vAlign w:val="center"/>
          </w:tcPr>
          <w:p w14:paraId="4B721D84" w14:textId="77777777" w:rsidR="00152A78" w:rsidRPr="00F530F1" w:rsidRDefault="00152A78" w:rsidP="00152A78">
            <w:pPr>
              <w:rPr>
                <w:rFonts w:ascii="Arial" w:hAnsi="Arial"/>
                <w:sz w:val="22"/>
              </w:rPr>
            </w:pPr>
            <w:r w:rsidRPr="00F530F1">
              <w:rPr>
                <w:rFonts w:ascii="Arial" w:hAnsi="Arial"/>
                <w:sz w:val="22"/>
              </w:rPr>
              <w:t>Fine-Grained Sand</w:t>
            </w:r>
          </w:p>
        </w:tc>
        <w:tc>
          <w:tcPr>
            <w:tcW w:w="1926" w:type="dxa"/>
            <w:vAlign w:val="center"/>
          </w:tcPr>
          <w:p w14:paraId="73E33761" w14:textId="77777777" w:rsidR="00152A78" w:rsidRPr="00F530F1" w:rsidRDefault="00152A78" w:rsidP="00152A78">
            <w:pPr>
              <w:jc w:val="center"/>
              <w:rPr>
                <w:rFonts w:ascii="Arial" w:hAnsi="Arial"/>
                <w:sz w:val="22"/>
              </w:rPr>
            </w:pPr>
            <w:r w:rsidRPr="00F530F1">
              <w:rPr>
                <w:rFonts w:ascii="Arial" w:hAnsi="Arial"/>
                <w:sz w:val="22"/>
              </w:rPr>
              <w:t>0.25</w:t>
            </w:r>
          </w:p>
        </w:tc>
        <w:tc>
          <w:tcPr>
            <w:tcW w:w="1831" w:type="dxa"/>
            <w:vAlign w:val="center"/>
          </w:tcPr>
          <w:p w14:paraId="6ED069B0" w14:textId="77777777" w:rsidR="00152A78" w:rsidRPr="00F530F1" w:rsidRDefault="00152A78" w:rsidP="00152A78">
            <w:pPr>
              <w:jc w:val="center"/>
              <w:rPr>
                <w:rFonts w:ascii="Arial" w:hAnsi="Arial"/>
                <w:sz w:val="22"/>
              </w:rPr>
            </w:pPr>
            <w:r w:rsidRPr="00F530F1">
              <w:rPr>
                <w:rFonts w:ascii="Arial" w:hAnsi="Arial"/>
                <w:sz w:val="22"/>
              </w:rPr>
              <w:t>0.25</w:t>
            </w:r>
          </w:p>
        </w:tc>
        <w:tc>
          <w:tcPr>
            <w:tcW w:w="1890" w:type="dxa"/>
            <w:vAlign w:val="center"/>
          </w:tcPr>
          <w:p w14:paraId="4C73830B" w14:textId="77777777" w:rsidR="00152A78" w:rsidRPr="00F530F1" w:rsidRDefault="00152A78" w:rsidP="00152A78">
            <w:pPr>
              <w:jc w:val="center"/>
              <w:rPr>
                <w:rFonts w:ascii="Arial" w:hAnsi="Arial"/>
                <w:sz w:val="22"/>
              </w:rPr>
            </w:pPr>
            <w:r w:rsidRPr="00F530F1">
              <w:rPr>
                <w:rFonts w:ascii="Arial" w:hAnsi="Arial"/>
                <w:sz w:val="22"/>
              </w:rPr>
              <w:t>0.25</w:t>
            </w:r>
          </w:p>
        </w:tc>
      </w:tr>
      <w:tr w:rsidR="00152A78" w:rsidRPr="00F530F1" w14:paraId="2D1D8758" w14:textId="77777777" w:rsidTr="002F7593">
        <w:trPr>
          <w:trHeight w:val="288"/>
          <w:jc w:val="center"/>
        </w:trPr>
        <w:tc>
          <w:tcPr>
            <w:tcW w:w="2993" w:type="dxa"/>
            <w:vAlign w:val="center"/>
          </w:tcPr>
          <w:p w14:paraId="1FFEF513" w14:textId="77777777" w:rsidR="00152A78" w:rsidRPr="00F530F1" w:rsidRDefault="00152A78" w:rsidP="00152A78">
            <w:pPr>
              <w:rPr>
                <w:rFonts w:ascii="Arial" w:hAnsi="Arial"/>
                <w:sz w:val="22"/>
              </w:rPr>
            </w:pPr>
            <w:r w:rsidRPr="00F530F1">
              <w:rPr>
                <w:rFonts w:ascii="Arial" w:hAnsi="Arial"/>
                <w:sz w:val="22"/>
              </w:rPr>
              <w:t>Dense Sand</w:t>
            </w:r>
          </w:p>
        </w:tc>
        <w:tc>
          <w:tcPr>
            <w:tcW w:w="1926" w:type="dxa"/>
            <w:vAlign w:val="center"/>
          </w:tcPr>
          <w:p w14:paraId="130C9985" w14:textId="77777777" w:rsidR="00152A78" w:rsidRPr="00F530F1" w:rsidRDefault="00152A78" w:rsidP="00152A78">
            <w:pPr>
              <w:jc w:val="center"/>
              <w:rPr>
                <w:rFonts w:ascii="Arial" w:hAnsi="Arial"/>
                <w:sz w:val="22"/>
              </w:rPr>
            </w:pPr>
            <w:r w:rsidRPr="00F530F1">
              <w:rPr>
                <w:rFonts w:ascii="Arial" w:hAnsi="Arial"/>
                <w:sz w:val="22"/>
              </w:rPr>
              <w:t>0.20</w:t>
            </w:r>
          </w:p>
        </w:tc>
        <w:tc>
          <w:tcPr>
            <w:tcW w:w="1831" w:type="dxa"/>
            <w:vAlign w:val="center"/>
          </w:tcPr>
          <w:p w14:paraId="656A3EF5" w14:textId="77777777" w:rsidR="00152A78" w:rsidRPr="00F530F1" w:rsidRDefault="00152A78" w:rsidP="00152A78">
            <w:pPr>
              <w:jc w:val="center"/>
              <w:rPr>
                <w:rFonts w:ascii="Arial" w:hAnsi="Arial"/>
                <w:sz w:val="22"/>
              </w:rPr>
            </w:pPr>
            <w:r w:rsidRPr="00F530F1">
              <w:rPr>
                <w:rFonts w:ascii="Arial" w:hAnsi="Arial"/>
                <w:sz w:val="22"/>
              </w:rPr>
              <w:t>0.30</w:t>
            </w:r>
          </w:p>
        </w:tc>
        <w:tc>
          <w:tcPr>
            <w:tcW w:w="1890" w:type="dxa"/>
            <w:vAlign w:val="center"/>
          </w:tcPr>
          <w:p w14:paraId="37FE2D52" w14:textId="77777777" w:rsidR="00152A78" w:rsidRPr="00F530F1" w:rsidRDefault="00152A78" w:rsidP="00152A78">
            <w:pPr>
              <w:jc w:val="center"/>
              <w:rPr>
                <w:rFonts w:ascii="Arial" w:hAnsi="Arial"/>
                <w:sz w:val="22"/>
              </w:rPr>
            </w:pPr>
            <w:r w:rsidRPr="00F530F1">
              <w:rPr>
                <w:rFonts w:ascii="Arial" w:hAnsi="Arial"/>
                <w:sz w:val="22"/>
              </w:rPr>
              <w:t>0.40</w:t>
            </w:r>
          </w:p>
        </w:tc>
      </w:tr>
      <w:tr w:rsidR="00152A78" w:rsidRPr="00F530F1" w14:paraId="50BBF1AD" w14:textId="77777777" w:rsidTr="002F7593">
        <w:trPr>
          <w:trHeight w:val="288"/>
          <w:jc w:val="center"/>
        </w:trPr>
        <w:tc>
          <w:tcPr>
            <w:tcW w:w="2993" w:type="dxa"/>
            <w:vAlign w:val="center"/>
          </w:tcPr>
          <w:p w14:paraId="60DE0BAA" w14:textId="77777777" w:rsidR="00152A78" w:rsidRPr="00F530F1" w:rsidRDefault="00152A78" w:rsidP="00152A78">
            <w:pPr>
              <w:rPr>
                <w:rFonts w:ascii="Arial" w:hAnsi="Arial"/>
                <w:sz w:val="22"/>
              </w:rPr>
            </w:pPr>
            <w:r w:rsidRPr="00F530F1">
              <w:rPr>
                <w:rFonts w:ascii="Arial" w:hAnsi="Arial"/>
                <w:sz w:val="22"/>
              </w:rPr>
              <w:t>Silt</w:t>
            </w:r>
          </w:p>
        </w:tc>
        <w:tc>
          <w:tcPr>
            <w:tcW w:w="1926" w:type="dxa"/>
            <w:vAlign w:val="center"/>
          </w:tcPr>
          <w:p w14:paraId="41726AA6" w14:textId="77777777" w:rsidR="00152A78" w:rsidRPr="00F530F1" w:rsidRDefault="00152A78" w:rsidP="00152A78">
            <w:pPr>
              <w:jc w:val="center"/>
              <w:rPr>
                <w:rFonts w:ascii="Arial" w:hAnsi="Arial"/>
                <w:sz w:val="22"/>
              </w:rPr>
            </w:pPr>
            <w:r w:rsidRPr="00F530F1">
              <w:rPr>
                <w:rFonts w:ascii="Arial" w:hAnsi="Arial"/>
                <w:sz w:val="22"/>
              </w:rPr>
              <w:t>0.30</w:t>
            </w:r>
          </w:p>
        </w:tc>
        <w:tc>
          <w:tcPr>
            <w:tcW w:w="1831" w:type="dxa"/>
            <w:vAlign w:val="center"/>
          </w:tcPr>
          <w:p w14:paraId="5D723FBD" w14:textId="77777777" w:rsidR="00152A78" w:rsidRPr="00F530F1" w:rsidRDefault="00152A78" w:rsidP="00152A78">
            <w:pPr>
              <w:jc w:val="center"/>
              <w:rPr>
                <w:rFonts w:ascii="Arial" w:hAnsi="Arial"/>
                <w:sz w:val="22"/>
              </w:rPr>
            </w:pPr>
            <w:r w:rsidRPr="00F530F1">
              <w:rPr>
                <w:rFonts w:ascii="Arial" w:hAnsi="Arial"/>
                <w:sz w:val="22"/>
              </w:rPr>
              <w:t>0.325</w:t>
            </w:r>
          </w:p>
        </w:tc>
        <w:tc>
          <w:tcPr>
            <w:tcW w:w="1890" w:type="dxa"/>
            <w:vAlign w:val="center"/>
          </w:tcPr>
          <w:p w14:paraId="030422E9" w14:textId="77777777" w:rsidR="00152A78" w:rsidRPr="00F530F1" w:rsidRDefault="00152A78" w:rsidP="00152A78">
            <w:pPr>
              <w:jc w:val="center"/>
              <w:rPr>
                <w:rFonts w:ascii="Arial" w:hAnsi="Arial"/>
                <w:sz w:val="22"/>
              </w:rPr>
            </w:pPr>
            <w:r w:rsidRPr="00F530F1">
              <w:rPr>
                <w:rFonts w:ascii="Arial" w:hAnsi="Arial"/>
                <w:sz w:val="22"/>
              </w:rPr>
              <w:t>0.35</w:t>
            </w:r>
          </w:p>
        </w:tc>
      </w:tr>
      <w:tr w:rsidR="00152A78" w:rsidRPr="00F530F1" w14:paraId="4BD32200" w14:textId="77777777" w:rsidTr="002F7593">
        <w:trPr>
          <w:trHeight w:val="288"/>
          <w:jc w:val="center"/>
        </w:trPr>
        <w:tc>
          <w:tcPr>
            <w:tcW w:w="2993" w:type="dxa"/>
            <w:vAlign w:val="center"/>
          </w:tcPr>
          <w:p w14:paraId="55335A0F" w14:textId="77777777" w:rsidR="00152A78" w:rsidRPr="00F530F1" w:rsidRDefault="00152A78" w:rsidP="00152A78">
            <w:pPr>
              <w:rPr>
                <w:rFonts w:ascii="Arial" w:hAnsi="Arial"/>
                <w:sz w:val="22"/>
              </w:rPr>
            </w:pPr>
            <w:r w:rsidRPr="00F530F1">
              <w:rPr>
                <w:rFonts w:ascii="Arial" w:hAnsi="Arial"/>
                <w:sz w:val="22"/>
              </w:rPr>
              <w:t>Sandy Clay</w:t>
            </w:r>
          </w:p>
        </w:tc>
        <w:tc>
          <w:tcPr>
            <w:tcW w:w="1926" w:type="dxa"/>
            <w:vAlign w:val="center"/>
          </w:tcPr>
          <w:p w14:paraId="2E12C49F" w14:textId="77777777" w:rsidR="00152A78" w:rsidRPr="00F530F1" w:rsidRDefault="00152A78" w:rsidP="00152A78">
            <w:pPr>
              <w:jc w:val="center"/>
              <w:rPr>
                <w:rFonts w:ascii="Arial" w:hAnsi="Arial"/>
                <w:sz w:val="22"/>
              </w:rPr>
            </w:pPr>
            <w:r w:rsidRPr="00F530F1">
              <w:rPr>
                <w:rFonts w:ascii="Arial" w:hAnsi="Arial"/>
                <w:sz w:val="22"/>
              </w:rPr>
              <w:t>0.20</w:t>
            </w:r>
          </w:p>
        </w:tc>
        <w:tc>
          <w:tcPr>
            <w:tcW w:w="1831" w:type="dxa"/>
            <w:vAlign w:val="center"/>
          </w:tcPr>
          <w:p w14:paraId="210DD311" w14:textId="77777777" w:rsidR="00152A78" w:rsidRPr="00F530F1" w:rsidRDefault="00152A78" w:rsidP="00152A78">
            <w:pPr>
              <w:jc w:val="center"/>
              <w:rPr>
                <w:rFonts w:ascii="Arial" w:hAnsi="Arial"/>
                <w:sz w:val="22"/>
              </w:rPr>
            </w:pPr>
            <w:r w:rsidRPr="00F530F1">
              <w:rPr>
                <w:rFonts w:ascii="Arial" w:hAnsi="Arial"/>
                <w:sz w:val="22"/>
              </w:rPr>
              <w:t>0.25</w:t>
            </w:r>
          </w:p>
        </w:tc>
        <w:tc>
          <w:tcPr>
            <w:tcW w:w="1890" w:type="dxa"/>
            <w:vAlign w:val="center"/>
          </w:tcPr>
          <w:p w14:paraId="2A66FBB5" w14:textId="77777777" w:rsidR="00152A78" w:rsidRPr="00F530F1" w:rsidRDefault="00152A78" w:rsidP="00152A78">
            <w:pPr>
              <w:jc w:val="center"/>
              <w:rPr>
                <w:rFonts w:ascii="Arial" w:hAnsi="Arial"/>
                <w:sz w:val="22"/>
              </w:rPr>
            </w:pPr>
            <w:r w:rsidRPr="00F530F1">
              <w:rPr>
                <w:rFonts w:ascii="Arial" w:hAnsi="Arial"/>
                <w:sz w:val="22"/>
              </w:rPr>
              <w:t>0.30</w:t>
            </w:r>
          </w:p>
        </w:tc>
      </w:tr>
      <w:tr w:rsidR="00152A78" w:rsidRPr="00F530F1" w14:paraId="5C1793D9" w14:textId="77777777" w:rsidTr="002F7593">
        <w:trPr>
          <w:trHeight w:val="288"/>
          <w:jc w:val="center"/>
        </w:trPr>
        <w:tc>
          <w:tcPr>
            <w:tcW w:w="2993" w:type="dxa"/>
            <w:vAlign w:val="center"/>
          </w:tcPr>
          <w:p w14:paraId="7DCC2C45" w14:textId="77777777" w:rsidR="00152A78" w:rsidRPr="00F530F1" w:rsidRDefault="00152A78" w:rsidP="00152A78">
            <w:pPr>
              <w:rPr>
                <w:rFonts w:ascii="Arial" w:hAnsi="Arial"/>
                <w:sz w:val="22"/>
              </w:rPr>
            </w:pPr>
            <w:r w:rsidRPr="00F530F1">
              <w:rPr>
                <w:rFonts w:ascii="Arial" w:hAnsi="Arial"/>
                <w:sz w:val="22"/>
              </w:rPr>
              <w:t>Clay (Unsaturated)</w:t>
            </w:r>
          </w:p>
        </w:tc>
        <w:tc>
          <w:tcPr>
            <w:tcW w:w="1926" w:type="dxa"/>
            <w:vAlign w:val="center"/>
          </w:tcPr>
          <w:p w14:paraId="1CCB3DD7" w14:textId="77777777" w:rsidR="00152A78" w:rsidRPr="00F530F1" w:rsidRDefault="00152A78" w:rsidP="00152A78">
            <w:pPr>
              <w:jc w:val="center"/>
              <w:rPr>
                <w:rFonts w:ascii="Arial" w:hAnsi="Arial"/>
                <w:sz w:val="22"/>
              </w:rPr>
            </w:pPr>
            <w:r w:rsidRPr="00F530F1">
              <w:rPr>
                <w:rFonts w:ascii="Arial" w:hAnsi="Arial"/>
                <w:sz w:val="22"/>
              </w:rPr>
              <w:t>0.10</w:t>
            </w:r>
          </w:p>
        </w:tc>
        <w:tc>
          <w:tcPr>
            <w:tcW w:w="1831" w:type="dxa"/>
            <w:vAlign w:val="center"/>
          </w:tcPr>
          <w:p w14:paraId="3C1034CD" w14:textId="77777777" w:rsidR="00152A78" w:rsidRPr="00F530F1" w:rsidRDefault="00152A78" w:rsidP="00152A78">
            <w:pPr>
              <w:jc w:val="center"/>
              <w:rPr>
                <w:rFonts w:ascii="Arial" w:hAnsi="Arial"/>
                <w:sz w:val="22"/>
              </w:rPr>
            </w:pPr>
            <w:r w:rsidRPr="00F530F1">
              <w:rPr>
                <w:rFonts w:ascii="Arial" w:hAnsi="Arial"/>
                <w:sz w:val="22"/>
              </w:rPr>
              <w:t>0.2</w:t>
            </w:r>
          </w:p>
        </w:tc>
        <w:tc>
          <w:tcPr>
            <w:tcW w:w="1890" w:type="dxa"/>
            <w:vAlign w:val="center"/>
          </w:tcPr>
          <w:p w14:paraId="54C67231" w14:textId="77777777" w:rsidR="00152A78" w:rsidRPr="00F530F1" w:rsidRDefault="00152A78" w:rsidP="00152A78">
            <w:pPr>
              <w:jc w:val="center"/>
              <w:rPr>
                <w:rFonts w:ascii="Arial" w:hAnsi="Arial"/>
                <w:sz w:val="22"/>
              </w:rPr>
            </w:pPr>
            <w:r w:rsidRPr="00F530F1">
              <w:rPr>
                <w:rFonts w:ascii="Arial" w:hAnsi="Arial"/>
                <w:sz w:val="22"/>
              </w:rPr>
              <w:t>0.30</w:t>
            </w:r>
          </w:p>
        </w:tc>
      </w:tr>
      <w:tr w:rsidR="00152A78" w:rsidRPr="00F530F1" w14:paraId="79704D8F" w14:textId="77777777" w:rsidTr="002F7593">
        <w:trPr>
          <w:trHeight w:val="288"/>
          <w:jc w:val="center"/>
        </w:trPr>
        <w:tc>
          <w:tcPr>
            <w:tcW w:w="2993" w:type="dxa"/>
            <w:vAlign w:val="center"/>
          </w:tcPr>
          <w:p w14:paraId="0F8FC1B4" w14:textId="77777777" w:rsidR="00152A78" w:rsidRPr="00F530F1" w:rsidRDefault="00152A78" w:rsidP="00152A78">
            <w:pPr>
              <w:rPr>
                <w:rFonts w:ascii="Arial" w:hAnsi="Arial"/>
                <w:sz w:val="22"/>
              </w:rPr>
            </w:pPr>
            <w:r w:rsidRPr="00F530F1">
              <w:rPr>
                <w:rFonts w:ascii="Arial" w:hAnsi="Arial"/>
                <w:sz w:val="22"/>
              </w:rPr>
              <w:t>Clay (Saturated)</w:t>
            </w:r>
          </w:p>
        </w:tc>
        <w:tc>
          <w:tcPr>
            <w:tcW w:w="1926" w:type="dxa"/>
            <w:vAlign w:val="center"/>
          </w:tcPr>
          <w:p w14:paraId="1906D003" w14:textId="77777777" w:rsidR="00152A78" w:rsidRPr="00F530F1" w:rsidRDefault="00152A78" w:rsidP="00152A78">
            <w:pPr>
              <w:jc w:val="center"/>
              <w:rPr>
                <w:rFonts w:ascii="Arial" w:hAnsi="Arial"/>
                <w:sz w:val="22"/>
              </w:rPr>
            </w:pPr>
            <w:r w:rsidRPr="00F530F1">
              <w:rPr>
                <w:rFonts w:ascii="Arial" w:hAnsi="Arial"/>
                <w:sz w:val="22"/>
              </w:rPr>
              <w:t>0.40</w:t>
            </w:r>
          </w:p>
        </w:tc>
        <w:tc>
          <w:tcPr>
            <w:tcW w:w="1831" w:type="dxa"/>
            <w:vAlign w:val="center"/>
          </w:tcPr>
          <w:p w14:paraId="3566D0B7" w14:textId="77777777" w:rsidR="00152A78" w:rsidRPr="00F530F1" w:rsidRDefault="00152A78" w:rsidP="00152A78">
            <w:pPr>
              <w:jc w:val="center"/>
              <w:rPr>
                <w:rFonts w:ascii="Arial" w:hAnsi="Arial"/>
                <w:sz w:val="22"/>
              </w:rPr>
            </w:pPr>
            <w:r w:rsidRPr="00F530F1">
              <w:rPr>
                <w:rFonts w:ascii="Arial" w:hAnsi="Arial"/>
                <w:sz w:val="22"/>
              </w:rPr>
              <w:t>0.45</w:t>
            </w:r>
          </w:p>
        </w:tc>
        <w:tc>
          <w:tcPr>
            <w:tcW w:w="1890" w:type="dxa"/>
            <w:vAlign w:val="center"/>
          </w:tcPr>
          <w:p w14:paraId="4461DD37" w14:textId="77777777" w:rsidR="00152A78" w:rsidRPr="00F530F1" w:rsidRDefault="00152A78" w:rsidP="00152A78">
            <w:pPr>
              <w:jc w:val="center"/>
              <w:rPr>
                <w:rFonts w:ascii="Arial" w:hAnsi="Arial"/>
                <w:sz w:val="22"/>
              </w:rPr>
            </w:pPr>
            <w:r w:rsidRPr="00F530F1">
              <w:rPr>
                <w:rFonts w:ascii="Arial" w:hAnsi="Arial"/>
                <w:sz w:val="22"/>
              </w:rPr>
              <w:t>0.50</w:t>
            </w:r>
          </w:p>
        </w:tc>
      </w:tr>
    </w:tbl>
    <w:p w14:paraId="48894DEE" w14:textId="77777777" w:rsidR="00152A78" w:rsidRPr="00F530F1" w:rsidRDefault="00152A78" w:rsidP="002F7593">
      <w:pPr>
        <w:pStyle w:val="Heading3"/>
        <w:tabs>
          <w:tab w:val="left" w:pos="1080"/>
        </w:tabs>
        <w:ind w:hanging="1980"/>
      </w:pPr>
      <w:bookmarkStart w:id="203" w:name="_Coefficient_of_Lateral"/>
      <w:bookmarkEnd w:id="203"/>
      <w:r>
        <w:t>Coefficient of Lateral Pressure</w:t>
      </w:r>
    </w:p>
    <w:p w14:paraId="567F8B76"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ubgrade" w:history="1">
        <w:r w:rsidRPr="003265FB">
          <w:rPr>
            <w:rStyle w:val="Hyperlink"/>
            <w:rFonts w:ascii="Arial" w:hAnsi="Arial" w:cs="Arial"/>
            <w:bCs/>
            <w:sz w:val="16"/>
            <w:szCs w:val="16"/>
          </w:rPr>
          <w:t>Subgrade</w:t>
        </w:r>
      </w:hyperlink>
    </w:p>
    <w:p w14:paraId="76160C33" w14:textId="77777777" w:rsidR="00152A78" w:rsidRPr="00F530F1" w:rsidRDefault="00152A78" w:rsidP="00152A78">
      <w:pPr>
        <w:rPr>
          <w:rFonts w:ascii="Arial" w:hAnsi="Arial" w:cs="Arial"/>
          <w:bCs/>
          <w:sz w:val="16"/>
          <w:szCs w:val="16"/>
        </w:rPr>
      </w:pPr>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Recommended_Material_Property_2" w:history="1">
        <w:r w:rsidRPr="00F530F1">
          <w:rPr>
            <w:rStyle w:val="Hyperlink"/>
            <w:rFonts w:ascii="Arial" w:hAnsi="Arial" w:cs="Arial"/>
            <w:bCs/>
            <w:sz w:val="16"/>
            <w:szCs w:val="16"/>
          </w:rPr>
          <w:t>Recommended Material Property Inputs for Unbound Layers</w:t>
        </w:r>
      </w:hyperlink>
    </w:p>
    <w:p w14:paraId="46DEF4AB" w14:textId="77777777" w:rsidR="00152A78" w:rsidRDefault="00152A78" w:rsidP="00152A78">
      <w:pPr>
        <w:rPr>
          <w:rFonts w:ascii="Arial" w:hAnsi="Arial"/>
        </w:rPr>
      </w:pPr>
    </w:p>
    <w:tbl>
      <w:tblPr>
        <w:tblStyle w:val="TableGrid"/>
        <w:tblW w:w="0" w:type="auto"/>
        <w:jc w:val="center"/>
        <w:tblLook w:val="04A0" w:firstRow="1" w:lastRow="0" w:firstColumn="1" w:lastColumn="0" w:noHBand="0" w:noVBand="1"/>
      </w:tblPr>
      <w:tblGrid>
        <w:gridCol w:w="4264"/>
        <w:gridCol w:w="2048"/>
        <w:gridCol w:w="2318"/>
      </w:tblGrid>
      <w:tr w:rsidR="00152A78" w:rsidRPr="00E676D9" w14:paraId="0E06122F" w14:textId="77777777" w:rsidTr="002F7593">
        <w:trPr>
          <w:trHeight w:val="288"/>
          <w:jc w:val="center"/>
        </w:trPr>
        <w:tc>
          <w:tcPr>
            <w:tcW w:w="4338" w:type="dxa"/>
            <w:shd w:val="pct15" w:color="auto" w:fill="auto"/>
            <w:vAlign w:val="center"/>
          </w:tcPr>
          <w:p w14:paraId="725D0C93" w14:textId="77777777" w:rsidR="00152A78" w:rsidRPr="00E676D9" w:rsidRDefault="00152A78" w:rsidP="002F7593">
            <w:pPr>
              <w:jc w:val="center"/>
              <w:rPr>
                <w:rFonts w:ascii="Arial" w:hAnsi="Arial"/>
                <w:b/>
                <w:sz w:val="22"/>
              </w:rPr>
            </w:pPr>
            <w:r>
              <w:rPr>
                <w:rFonts w:ascii="Arial" w:hAnsi="Arial"/>
                <w:b/>
                <w:sz w:val="22"/>
              </w:rPr>
              <w:t>Material</w:t>
            </w:r>
          </w:p>
        </w:tc>
        <w:tc>
          <w:tcPr>
            <w:tcW w:w="2070" w:type="dxa"/>
            <w:shd w:val="pct15" w:color="auto" w:fill="auto"/>
            <w:vAlign w:val="center"/>
          </w:tcPr>
          <w:p w14:paraId="76B8560A" w14:textId="1531AC5B" w:rsidR="00152A78" w:rsidRPr="00E676D9" w:rsidRDefault="00152A78" w:rsidP="002F7593">
            <w:pPr>
              <w:jc w:val="center"/>
              <w:rPr>
                <w:rFonts w:ascii="Arial" w:hAnsi="Arial"/>
                <w:b/>
                <w:sz w:val="22"/>
              </w:rPr>
            </w:pPr>
            <w:r>
              <w:rPr>
                <w:rFonts w:ascii="Arial" w:hAnsi="Arial"/>
                <w:b/>
                <w:sz w:val="22"/>
              </w:rPr>
              <w:t>Angle of Internal Friction</w:t>
            </w:r>
            <w:r w:rsidR="00EB3B06">
              <w:rPr>
                <w:rFonts w:ascii="Arial" w:hAnsi="Arial"/>
                <w:b/>
                <w:sz w:val="22"/>
              </w:rPr>
              <w:t>,</w:t>
            </w:r>
            <w:r>
              <w:rPr>
                <w:rFonts w:ascii="Arial" w:hAnsi="Arial"/>
                <w:b/>
                <w:sz w:val="22"/>
              </w:rPr>
              <w:t xml:space="preserve"> </w:t>
            </w:r>
            <w:r>
              <w:rPr>
                <w:rFonts w:ascii="Arial" w:hAnsi="Arial" w:cs="Arial"/>
                <w:b/>
                <w:sz w:val="22"/>
              </w:rPr>
              <w:t>ϕ</w:t>
            </w:r>
          </w:p>
        </w:tc>
        <w:tc>
          <w:tcPr>
            <w:tcW w:w="2340" w:type="dxa"/>
            <w:shd w:val="pct15" w:color="auto" w:fill="auto"/>
            <w:vAlign w:val="center"/>
          </w:tcPr>
          <w:p w14:paraId="18C9BA8A" w14:textId="77777777" w:rsidR="00152A78" w:rsidRPr="00E676D9" w:rsidRDefault="00152A78" w:rsidP="002F7593">
            <w:pPr>
              <w:jc w:val="center"/>
              <w:rPr>
                <w:rFonts w:ascii="Arial" w:hAnsi="Arial"/>
                <w:b/>
                <w:sz w:val="22"/>
              </w:rPr>
            </w:pPr>
            <w:r>
              <w:rPr>
                <w:rFonts w:ascii="Arial" w:hAnsi="Arial"/>
                <w:b/>
                <w:sz w:val="22"/>
              </w:rPr>
              <w:t>Coefficient of Lateral Pressure, k</w:t>
            </w:r>
            <w:r w:rsidRPr="00F530F1">
              <w:rPr>
                <w:rFonts w:ascii="Arial" w:hAnsi="Arial"/>
                <w:b/>
                <w:sz w:val="22"/>
                <w:vertAlign w:val="subscript"/>
              </w:rPr>
              <w:t>o</w:t>
            </w:r>
          </w:p>
        </w:tc>
      </w:tr>
      <w:tr w:rsidR="00152A78" w:rsidRPr="00E676D9" w14:paraId="6A0B339B" w14:textId="77777777" w:rsidTr="002F7593">
        <w:trPr>
          <w:trHeight w:val="288"/>
          <w:jc w:val="center"/>
        </w:trPr>
        <w:tc>
          <w:tcPr>
            <w:tcW w:w="4338" w:type="dxa"/>
            <w:vAlign w:val="center"/>
          </w:tcPr>
          <w:p w14:paraId="19F44495" w14:textId="77777777" w:rsidR="00152A78" w:rsidRPr="00E676D9" w:rsidRDefault="00152A78" w:rsidP="00152A78">
            <w:pPr>
              <w:rPr>
                <w:rFonts w:ascii="Arial" w:hAnsi="Arial"/>
                <w:sz w:val="22"/>
                <w:szCs w:val="22"/>
              </w:rPr>
            </w:pPr>
            <w:r>
              <w:rPr>
                <w:rFonts w:ascii="Arial" w:hAnsi="Arial"/>
                <w:sz w:val="22"/>
                <w:szCs w:val="22"/>
              </w:rPr>
              <w:t>Bedrock</w:t>
            </w:r>
          </w:p>
        </w:tc>
        <w:tc>
          <w:tcPr>
            <w:tcW w:w="2070" w:type="dxa"/>
            <w:vAlign w:val="center"/>
          </w:tcPr>
          <w:p w14:paraId="4AF7C1C0" w14:textId="77777777" w:rsidR="00152A78" w:rsidRPr="00E676D9" w:rsidRDefault="00152A78" w:rsidP="00152A78">
            <w:pPr>
              <w:jc w:val="center"/>
              <w:rPr>
                <w:rFonts w:ascii="Arial" w:hAnsi="Arial"/>
                <w:sz w:val="22"/>
                <w:szCs w:val="22"/>
              </w:rPr>
            </w:pPr>
            <w:r>
              <w:rPr>
                <w:rFonts w:ascii="Arial" w:hAnsi="Arial"/>
                <w:sz w:val="22"/>
                <w:szCs w:val="22"/>
              </w:rPr>
              <w:t>35</w:t>
            </w:r>
          </w:p>
        </w:tc>
        <w:tc>
          <w:tcPr>
            <w:tcW w:w="2340" w:type="dxa"/>
            <w:vAlign w:val="center"/>
          </w:tcPr>
          <w:p w14:paraId="1DD0B061" w14:textId="77777777" w:rsidR="00152A78" w:rsidRPr="00E676D9" w:rsidRDefault="00152A78" w:rsidP="00152A78">
            <w:pPr>
              <w:jc w:val="center"/>
              <w:rPr>
                <w:rFonts w:ascii="Arial" w:hAnsi="Arial"/>
                <w:sz w:val="22"/>
                <w:szCs w:val="22"/>
              </w:rPr>
            </w:pPr>
            <w:r>
              <w:rPr>
                <w:rFonts w:ascii="Arial" w:hAnsi="Arial"/>
                <w:sz w:val="22"/>
                <w:szCs w:val="22"/>
              </w:rPr>
              <w:t>0.50</w:t>
            </w:r>
          </w:p>
        </w:tc>
      </w:tr>
      <w:tr w:rsidR="00152A78" w:rsidRPr="00E676D9" w14:paraId="2E9ED70D" w14:textId="77777777" w:rsidTr="002F7593">
        <w:trPr>
          <w:trHeight w:val="288"/>
          <w:jc w:val="center"/>
        </w:trPr>
        <w:tc>
          <w:tcPr>
            <w:tcW w:w="4338" w:type="dxa"/>
            <w:vAlign w:val="center"/>
          </w:tcPr>
          <w:p w14:paraId="4AC7AE41" w14:textId="77777777" w:rsidR="00152A78" w:rsidRPr="00E676D9" w:rsidRDefault="00152A78" w:rsidP="00152A78">
            <w:pPr>
              <w:rPr>
                <w:rFonts w:ascii="Arial" w:hAnsi="Arial"/>
                <w:sz w:val="22"/>
                <w:szCs w:val="22"/>
              </w:rPr>
            </w:pPr>
            <w:r>
              <w:rPr>
                <w:rFonts w:ascii="Arial" w:hAnsi="Arial"/>
                <w:sz w:val="22"/>
                <w:szCs w:val="22"/>
              </w:rPr>
              <w:t>Clean gravel, gravel-sand mixtures, coarse sand</w:t>
            </w:r>
          </w:p>
        </w:tc>
        <w:tc>
          <w:tcPr>
            <w:tcW w:w="2070" w:type="dxa"/>
            <w:vAlign w:val="center"/>
          </w:tcPr>
          <w:p w14:paraId="6974D17F" w14:textId="77777777" w:rsidR="00152A78" w:rsidRPr="00E676D9" w:rsidRDefault="00152A78" w:rsidP="00152A78">
            <w:pPr>
              <w:jc w:val="center"/>
              <w:rPr>
                <w:rFonts w:ascii="Arial" w:hAnsi="Arial"/>
                <w:sz w:val="22"/>
                <w:szCs w:val="22"/>
              </w:rPr>
            </w:pPr>
            <w:r>
              <w:rPr>
                <w:rFonts w:ascii="Arial" w:hAnsi="Arial"/>
                <w:sz w:val="22"/>
                <w:szCs w:val="22"/>
              </w:rPr>
              <w:t>30</w:t>
            </w:r>
          </w:p>
        </w:tc>
        <w:tc>
          <w:tcPr>
            <w:tcW w:w="2340" w:type="dxa"/>
            <w:vAlign w:val="center"/>
          </w:tcPr>
          <w:p w14:paraId="4195E5D4" w14:textId="77777777" w:rsidR="00152A78" w:rsidRPr="00E676D9" w:rsidRDefault="00152A78" w:rsidP="00152A78">
            <w:pPr>
              <w:jc w:val="center"/>
              <w:rPr>
                <w:rFonts w:ascii="Arial" w:hAnsi="Arial"/>
                <w:sz w:val="22"/>
                <w:szCs w:val="22"/>
              </w:rPr>
            </w:pPr>
            <w:r>
              <w:rPr>
                <w:rFonts w:ascii="Arial" w:hAnsi="Arial"/>
                <w:sz w:val="22"/>
                <w:szCs w:val="22"/>
              </w:rPr>
              <w:t>0.56</w:t>
            </w:r>
          </w:p>
        </w:tc>
      </w:tr>
      <w:tr w:rsidR="00152A78" w:rsidRPr="00E676D9" w14:paraId="02CDE0EB" w14:textId="77777777" w:rsidTr="002F7593">
        <w:trPr>
          <w:trHeight w:val="288"/>
          <w:jc w:val="center"/>
        </w:trPr>
        <w:tc>
          <w:tcPr>
            <w:tcW w:w="4338" w:type="dxa"/>
            <w:vAlign w:val="center"/>
          </w:tcPr>
          <w:p w14:paraId="1EACC9D1" w14:textId="77777777" w:rsidR="00152A78" w:rsidRPr="00E676D9" w:rsidRDefault="00152A78" w:rsidP="00152A78">
            <w:pPr>
              <w:rPr>
                <w:rFonts w:ascii="Arial" w:hAnsi="Arial"/>
                <w:sz w:val="22"/>
                <w:szCs w:val="22"/>
              </w:rPr>
            </w:pPr>
            <w:r>
              <w:rPr>
                <w:rFonts w:ascii="Arial" w:hAnsi="Arial"/>
                <w:sz w:val="22"/>
                <w:szCs w:val="22"/>
              </w:rPr>
              <w:t>Clean fine to medium sand, silty medium to coarse sand, silty or clayey gravel</w:t>
            </w:r>
          </w:p>
        </w:tc>
        <w:tc>
          <w:tcPr>
            <w:tcW w:w="2070" w:type="dxa"/>
            <w:vAlign w:val="center"/>
          </w:tcPr>
          <w:p w14:paraId="65C72453" w14:textId="77777777" w:rsidR="00152A78" w:rsidRPr="00E676D9" w:rsidRDefault="00152A78" w:rsidP="00152A78">
            <w:pPr>
              <w:jc w:val="center"/>
              <w:rPr>
                <w:rFonts w:ascii="Arial" w:hAnsi="Arial"/>
                <w:sz w:val="22"/>
                <w:szCs w:val="22"/>
              </w:rPr>
            </w:pPr>
            <w:r>
              <w:rPr>
                <w:rFonts w:ascii="Arial" w:hAnsi="Arial"/>
                <w:sz w:val="22"/>
                <w:szCs w:val="22"/>
              </w:rPr>
              <w:t>27</w:t>
            </w:r>
          </w:p>
        </w:tc>
        <w:tc>
          <w:tcPr>
            <w:tcW w:w="2340" w:type="dxa"/>
            <w:vAlign w:val="center"/>
          </w:tcPr>
          <w:p w14:paraId="23C97658" w14:textId="77777777" w:rsidR="00152A78" w:rsidRPr="00E676D9" w:rsidRDefault="00152A78" w:rsidP="00152A78">
            <w:pPr>
              <w:jc w:val="center"/>
              <w:rPr>
                <w:rFonts w:ascii="Arial" w:hAnsi="Arial"/>
                <w:sz w:val="22"/>
                <w:szCs w:val="22"/>
              </w:rPr>
            </w:pPr>
            <w:r>
              <w:rPr>
                <w:rFonts w:ascii="Arial" w:hAnsi="Arial"/>
                <w:sz w:val="22"/>
                <w:szCs w:val="22"/>
              </w:rPr>
              <w:t>0.61</w:t>
            </w:r>
          </w:p>
        </w:tc>
      </w:tr>
      <w:tr w:rsidR="00152A78" w:rsidRPr="00E676D9" w14:paraId="2DB7EA1F" w14:textId="77777777" w:rsidTr="002F7593">
        <w:trPr>
          <w:trHeight w:val="288"/>
          <w:jc w:val="center"/>
        </w:trPr>
        <w:tc>
          <w:tcPr>
            <w:tcW w:w="4338" w:type="dxa"/>
            <w:vAlign w:val="center"/>
          </w:tcPr>
          <w:p w14:paraId="2F3A4DC5" w14:textId="77777777" w:rsidR="00152A78" w:rsidRPr="00E676D9" w:rsidRDefault="00152A78" w:rsidP="00152A78">
            <w:pPr>
              <w:rPr>
                <w:rFonts w:ascii="Arial" w:hAnsi="Arial"/>
                <w:sz w:val="22"/>
                <w:szCs w:val="22"/>
              </w:rPr>
            </w:pPr>
            <w:r>
              <w:rPr>
                <w:rFonts w:ascii="Arial" w:hAnsi="Arial"/>
                <w:sz w:val="22"/>
                <w:szCs w:val="22"/>
              </w:rPr>
              <w:t>Clean fine sand, silty or clayey fine to medium sand</w:t>
            </w:r>
          </w:p>
        </w:tc>
        <w:tc>
          <w:tcPr>
            <w:tcW w:w="2070" w:type="dxa"/>
            <w:vAlign w:val="center"/>
          </w:tcPr>
          <w:p w14:paraId="6AC65376" w14:textId="77777777" w:rsidR="00152A78" w:rsidRPr="00E676D9" w:rsidRDefault="00152A78" w:rsidP="00152A78">
            <w:pPr>
              <w:jc w:val="center"/>
              <w:rPr>
                <w:rFonts w:ascii="Arial" w:hAnsi="Arial"/>
                <w:sz w:val="22"/>
                <w:szCs w:val="22"/>
              </w:rPr>
            </w:pPr>
            <w:r>
              <w:rPr>
                <w:rFonts w:ascii="Arial" w:hAnsi="Arial"/>
                <w:sz w:val="22"/>
                <w:szCs w:val="22"/>
              </w:rPr>
              <w:t>21</w:t>
            </w:r>
          </w:p>
        </w:tc>
        <w:tc>
          <w:tcPr>
            <w:tcW w:w="2340" w:type="dxa"/>
            <w:vAlign w:val="center"/>
          </w:tcPr>
          <w:p w14:paraId="557CBEFE" w14:textId="77777777" w:rsidR="00152A78" w:rsidRPr="00E676D9" w:rsidRDefault="00152A78" w:rsidP="00152A78">
            <w:pPr>
              <w:jc w:val="center"/>
              <w:rPr>
                <w:rFonts w:ascii="Arial" w:hAnsi="Arial"/>
                <w:sz w:val="22"/>
                <w:szCs w:val="22"/>
              </w:rPr>
            </w:pPr>
            <w:r>
              <w:rPr>
                <w:rFonts w:ascii="Arial" w:hAnsi="Arial"/>
                <w:sz w:val="22"/>
                <w:szCs w:val="22"/>
              </w:rPr>
              <w:t>0.68</w:t>
            </w:r>
          </w:p>
        </w:tc>
      </w:tr>
      <w:tr w:rsidR="00152A78" w:rsidRPr="00E676D9" w14:paraId="2CF7B3DB" w14:textId="77777777" w:rsidTr="002F7593">
        <w:trPr>
          <w:trHeight w:val="288"/>
          <w:jc w:val="center"/>
        </w:trPr>
        <w:tc>
          <w:tcPr>
            <w:tcW w:w="4338" w:type="dxa"/>
            <w:vAlign w:val="center"/>
          </w:tcPr>
          <w:p w14:paraId="039D648F" w14:textId="77777777" w:rsidR="00152A78" w:rsidRPr="00E676D9" w:rsidRDefault="00152A78" w:rsidP="00152A78">
            <w:pPr>
              <w:rPr>
                <w:rFonts w:ascii="Arial" w:hAnsi="Arial"/>
                <w:sz w:val="22"/>
                <w:szCs w:val="22"/>
              </w:rPr>
            </w:pPr>
            <w:r>
              <w:rPr>
                <w:rFonts w:ascii="Arial" w:hAnsi="Arial"/>
                <w:sz w:val="22"/>
                <w:szCs w:val="22"/>
              </w:rPr>
              <w:t>Fine sandy silt, non-plastic silt</w:t>
            </w:r>
          </w:p>
        </w:tc>
        <w:tc>
          <w:tcPr>
            <w:tcW w:w="2070" w:type="dxa"/>
            <w:vAlign w:val="center"/>
          </w:tcPr>
          <w:p w14:paraId="48276564" w14:textId="77777777" w:rsidR="00152A78" w:rsidRPr="00E676D9" w:rsidRDefault="00152A78" w:rsidP="00152A78">
            <w:pPr>
              <w:jc w:val="center"/>
              <w:rPr>
                <w:rFonts w:ascii="Arial" w:hAnsi="Arial"/>
                <w:sz w:val="22"/>
                <w:szCs w:val="22"/>
              </w:rPr>
            </w:pPr>
            <w:r>
              <w:rPr>
                <w:rFonts w:ascii="Arial" w:hAnsi="Arial"/>
                <w:sz w:val="22"/>
                <w:szCs w:val="22"/>
              </w:rPr>
              <w:t>18</w:t>
            </w:r>
          </w:p>
        </w:tc>
        <w:tc>
          <w:tcPr>
            <w:tcW w:w="2340" w:type="dxa"/>
            <w:vAlign w:val="center"/>
          </w:tcPr>
          <w:p w14:paraId="2A6983F2" w14:textId="77777777" w:rsidR="00152A78" w:rsidRPr="00E676D9" w:rsidRDefault="00152A78" w:rsidP="00152A78">
            <w:pPr>
              <w:jc w:val="center"/>
              <w:rPr>
                <w:rFonts w:ascii="Arial" w:hAnsi="Arial"/>
                <w:sz w:val="22"/>
                <w:szCs w:val="22"/>
              </w:rPr>
            </w:pPr>
            <w:r>
              <w:rPr>
                <w:rFonts w:ascii="Arial" w:hAnsi="Arial"/>
                <w:sz w:val="22"/>
                <w:szCs w:val="22"/>
              </w:rPr>
              <w:t>0.73</w:t>
            </w:r>
          </w:p>
        </w:tc>
      </w:tr>
      <w:tr w:rsidR="00152A78" w:rsidRPr="00E676D9" w14:paraId="415E6ED6" w14:textId="77777777" w:rsidTr="002F7593">
        <w:trPr>
          <w:trHeight w:val="288"/>
          <w:jc w:val="center"/>
        </w:trPr>
        <w:tc>
          <w:tcPr>
            <w:tcW w:w="4338" w:type="dxa"/>
            <w:vAlign w:val="center"/>
          </w:tcPr>
          <w:p w14:paraId="35BBA357" w14:textId="77777777" w:rsidR="00152A78" w:rsidRPr="00E676D9" w:rsidRDefault="00152A78" w:rsidP="00152A78">
            <w:pPr>
              <w:rPr>
                <w:rFonts w:ascii="Arial" w:hAnsi="Arial"/>
                <w:sz w:val="22"/>
                <w:szCs w:val="22"/>
              </w:rPr>
            </w:pPr>
            <w:r>
              <w:rPr>
                <w:rFonts w:ascii="Arial" w:hAnsi="Arial"/>
                <w:sz w:val="22"/>
                <w:szCs w:val="22"/>
              </w:rPr>
              <w:t>Very stiff and hard residual clay</w:t>
            </w:r>
          </w:p>
        </w:tc>
        <w:tc>
          <w:tcPr>
            <w:tcW w:w="2070" w:type="dxa"/>
            <w:vAlign w:val="center"/>
          </w:tcPr>
          <w:p w14:paraId="7A75FEB8" w14:textId="77777777" w:rsidR="00152A78" w:rsidRPr="00E676D9" w:rsidRDefault="00152A78" w:rsidP="00152A78">
            <w:pPr>
              <w:jc w:val="center"/>
              <w:rPr>
                <w:rFonts w:ascii="Arial" w:hAnsi="Arial"/>
                <w:sz w:val="22"/>
                <w:szCs w:val="22"/>
              </w:rPr>
            </w:pPr>
            <w:r>
              <w:rPr>
                <w:rFonts w:ascii="Arial" w:hAnsi="Arial"/>
                <w:sz w:val="22"/>
                <w:szCs w:val="22"/>
              </w:rPr>
              <w:t>24</w:t>
            </w:r>
          </w:p>
        </w:tc>
        <w:tc>
          <w:tcPr>
            <w:tcW w:w="2340" w:type="dxa"/>
            <w:vAlign w:val="center"/>
          </w:tcPr>
          <w:p w14:paraId="1BB9C8F0" w14:textId="77777777" w:rsidR="00152A78" w:rsidRPr="00E676D9" w:rsidRDefault="00152A78" w:rsidP="00152A78">
            <w:pPr>
              <w:jc w:val="center"/>
              <w:rPr>
                <w:rFonts w:ascii="Arial" w:hAnsi="Arial"/>
                <w:sz w:val="22"/>
                <w:szCs w:val="22"/>
              </w:rPr>
            </w:pPr>
            <w:r>
              <w:rPr>
                <w:rFonts w:ascii="Arial" w:hAnsi="Arial"/>
                <w:sz w:val="22"/>
                <w:szCs w:val="22"/>
              </w:rPr>
              <w:t>0.65</w:t>
            </w:r>
          </w:p>
        </w:tc>
      </w:tr>
      <w:tr w:rsidR="00152A78" w:rsidRPr="00E676D9" w14:paraId="4814843B" w14:textId="77777777" w:rsidTr="002F7593">
        <w:trPr>
          <w:trHeight w:val="288"/>
          <w:jc w:val="center"/>
        </w:trPr>
        <w:tc>
          <w:tcPr>
            <w:tcW w:w="4338" w:type="dxa"/>
            <w:vAlign w:val="center"/>
          </w:tcPr>
          <w:p w14:paraId="5ECEE4CD" w14:textId="77777777" w:rsidR="00152A78" w:rsidRPr="00E676D9" w:rsidRDefault="00152A78" w:rsidP="00152A78">
            <w:pPr>
              <w:rPr>
                <w:rFonts w:ascii="Arial" w:hAnsi="Arial"/>
                <w:sz w:val="22"/>
                <w:szCs w:val="22"/>
              </w:rPr>
            </w:pPr>
            <w:r>
              <w:rPr>
                <w:rFonts w:ascii="Arial" w:hAnsi="Arial"/>
                <w:sz w:val="22"/>
                <w:szCs w:val="22"/>
              </w:rPr>
              <w:t>Medium stiff and stiff clay and silty clay</w:t>
            </w:r>
          </w:p>
        </w:tc>
        <w:tc>
          <w:tcPr>
            <w:tcW w:w="2070" w:type="dxa"/>
            <w:vAlign w:val="center"/>
          </w:tcPr>
          <w:p w14:paraId="422C7D3D" w14:textId="77777777" w:rsidR="00152A78" w:rsidRPr="00E676D9" w:rsidRDefault="00152A78" w:rsidP="00152A78">
            <w:pPr>
              <w:jc w:val="center"/>
              <w:rPr>
                <w:rFonts w:ascii="Arial" w:hAnsi="Arial"/>
                <w:sz w:val="22"/>
                <w:szCs w:val="22"/>
              </w:rPr>
            </w:pPr>
            <w:r>
              <w:rPr>
                <w:rFonts w:ascii="Arial" w:hAnsi="Arial"/>
                <w:sz w:val="22"/>
                <w:szCs w:val="22"/>
              </w:rPr>
              <w:t>19</w:t>
            </w:r>
          </w:p>
        </w:tc>
        <w:tc>
          <w:tcPr>
            <w:tcW w:w="2340" w:type="dxa"/>
            <w:vAlign w:val="center"/>
          </w:tcPr>
          <w:p w14:paraId="3FCD7529" w14:textId="77777777" w:rsidR="00152A78" w:rsidRPr="00E676D9" w:rsidRDefault="00152A78" w:rsidP="00152A78">
            <w:pPr>
              <w:jc w:val="center"/>
              <w:rPr>
                <w:rFonts w:ascii="Arial" w:hAnsi="Arial"/>
                <w:sz w:val="22"/>
                <w:szCs w:val="22"/>
              </w:rPr>
            </w:pPr>
            <w:r>
              <w:rPr>
                <w:rFonts w:ascii="Arial" w:hAnsi="Arial"/>
                <w:sz w:val="22"/>
                <w:szCs w:val="22"/>
              </w:rPr>
              <w:t>0.72</w:t>
            </w:r>
          </w:p>
        </w:tc>
      </w:tr>
    </w:tbl>
    <w:p w14:paraId="2BE3F471" w14:textId="77777777" w:rsidR="00152A78" w:rsidRPr="002F7593" w:rsidRDefault="00152A78" w:rsidP="00152A78">
      <w:bookmarkStart w:id="204" w:name="_Unbound_Materials_Properties"/>
      <w:bookmarkEnd w:id="204"/>
    </w:p>
    <w:p w14:paraId="6BC46A9E" w14:textId="77777777" w:rsidR="003109D7" w:rsidRDefault="003109D7">
      <w:pPr>
        <w:rPr>
          <w:rFonts w:ascii="Arial" w:hAnsi="Arial"/>
          <w:b/>
          <w:i/>
          <w:sz w:val="24"/>
        </w:rPr>
      </w:pPr>
      <w:r>
        <w:br w:type="page"/>
      </w:r>
    </w:p>
    <w:p w14:paraId="63254ADF" w14:textId="242648D2" w:rsidR="00152A78" w:rsidRDefault="00152A78" w:rsidP="002F7593">
      <w:pPr>
        <w:pStyle w:val="Heading3"/>
        <w:tabs>
          <w:tab w:val="left" w:pos="1080"/>
        </w:tabs>
        <w:ind w:hanging="1980"/>
      </w:pPr>
      <w:r>
        <w:lastRenderedPageBreak/>
        <w:t>Unbound Materials Properties</w:t>
      </w:r>
    </w:p>
    <w:p w14:paraId="28B63337" w14:textId="77777777" w:rsidR="00152A78" w:rsidRDefault="00152A78" w:rsidP="00152A78">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ubgrade" w:history="1">
        <w:r w:rsidRPr="003265FB">
          <w:rPr>
            <w:rStyle w:val="Hyperlink"/>
            <w:rFonts w:ascii="Arial" w:hAnsi="Arial" w:cs="Arial"/>
            <w:bCs/>
            <w:sz w:val="16"/>
            <w:szCs w:val="16"/>
          </w:rPr>
          <w:t>Subgrade</w:t>
        </w:r>
      </w:hyperlink>
    </w:p>
    <w:p w14:paraId="70D79587" w14:textId="77777777" w:rsidR="00152A78" w:rsidRPr="00CD36AA" w:rsidRDefault="00152A78" w:rsidP="00152A78">
      <w:pPr>
        <w:rPr>
          <w:rFonts w:ascii="Arial" w:eastAsia="Arial" w:hAnsi="Arial" w:cs="Arial"/>
          <w:sz w:val="16"/>
        </w:rPr>
      </w:pPr>
      <w:r w:rsidRPr="00CD36AA">
        <w:rPr>
          <w:rFonts w:ascii="Arial" w:eastAsia="Arial" w:hAnsi="Arial" w:cs="Arial"/>
          <w:sz w:val="16"/>
        </w:rPr>
        <w:t xml:space="preserve">Click to go to </w:t>
      </w:r>
      <w:hyperlink w:anchor="_Modulus_of_Subgrade" w:history="1">
        <w:r w:rsidRPr="00A430DE">
          <w:rPr>
            <w:rStyle w:val="Hyperlink"/>
            <w:rFonts w:ascii="Arial" w:eastAsia="Arial" w:hAnsi="Arial" w:cs="Arial"/>
            <w:sz w:val="16"/>
          </w:rPr>
          <w:t>Modulus of Subgrade Reaction (k)</w:t>
        </w:r>
      </w:hyperlink>
    </w:p>
    <w:p w14:paraId="19904000" w14:textId="77777777" w:rsidR="00152A78" w:rsidRPr="00F530F1" w:rsidRDefault="00152A78" w:rsidP="00152A78">
      <w:pPr>
        <w:rPr>
          <w:rFonts w:ascii="Arial" w:hAnsi="Arial" w:cs="Arial"/>
          <w:bCs/>
          <w:sz w:val="16"/>
          <w:szCs w:val="16"/>
        </w:rPr>
      </w:pPr>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Recommended_Material_Property_2" w:history="1">
        <w:r w:rsidRPr="00F530F1">
          <w:rPr>
            <w:rStyle w:val="Hyperlink"/>
            <w:rFonts w:ascii="Arial" w:hAnsi="Arial" w:cs="Arial"/>
            <w:bCs/>
            <w:sz w:val="16"/>
            <w:szCs w:val="16"/>
          </w:rPr>
          <w:t>Recommended Material Property Inputs for Unbound Layers</w:t>
        </w:r>
      </w:hyperlink>
    </w:p>
    <w:p w14:paraId="4DF3FF77" w14:textId="77777777" w:rsidR="00152A78" w:rsidRDefault="00152A78" w:rsidP="00152A78">
      <w:pPr>
        <w:jc w:val="both"/>
        <w:rPr>
          <w:rFonts w:ascii="Arial" w:hAnsi="Arial"/>
          <w:sz w:val="22"/>
        </w:rPr>
      </w:pPr>
    </w:p>
    <w:tbl>
      <w:tblPr>
        <w:tblStyle w:val="TableGrid"/>
        <w:tblW w:w="0" w:type="auto"/>
        <w:tblLayout w:type="fixed"/>
        <w:tblLook w:val="04A0" w:firstRow="1" w:lastRow="0" w:firstColumn="1" w:lastColumn="0" w:noHBand="0" w:noVBand="1"/>
      </w:tblPr>
      <w:tblGrid>
        <w:gridCol w:w="738"/>
        <w:gridCol w:w="450"/>
        <w:gridCol w:w="630"/>
        <w:gridCol w:w="630"/>
        <w:gridCol w:w="720"/>
        <w:gridCol w:w="900"/>
        <w:gridCol w:w="810"/>
        <w:gridCol w:w="990"/>
        <w:gridCol w:w="1440"/>
        <w:gridCol w:w="1440"/>
      </w:tblGrid>
      <w:tr w:rsidR="00152A78" w:rsidRPr="008C4785" w14:paraId="10EC047E" w14:textId="77777777" w:rsidTr="002F7593">
        <w:tc>
          <w:tcPr>
            <w:tcW w:w="738" w:type="dxa"/>
            <w:shd w:val="pct15" w:color="auto" w:fill="auto"/>
            <w:vAlign w:val="center"/>
          </w:tcPr>
          <w:p w14:paraId="249C4C4D" w14:textId="77777777" w:rsidR="00152A78" w:rsidRPr="008C4785" w:rsidRDefault="00152A78" w:rsidP="00152A78">
            <w:pPr>
              <w:jc w:val="both"/>
              <w:rPr>
                <w:rFonts w:ascii="Arial" w:hAnsi="Arial"/>
                <w:b/>
                <w:sz w:val="18"/>
                <w:szCs w:val="18"/>
              </w:rPr>
            </w:pPr>
            <w:r>
              <w:rPr>
                <w:rFonts w:ascii="Arial" w:hAnsi="Arial"/>
                <w:b/>
                <w:sz w:val="18"/>
                <w:szCs w:val="18"/>
              </w:rPr>
              <w:t>Class</w:t>
            </w:r>
          </w:p>
        </w:tc>
        <w:tc>
          <w:tcPr>
            <w:tcW w:w="450" w:type="dxa"/>
            <w:shd w:val="pct15" w:color="auto" w:fill="auto"/>
            <w:vAlign w:val="center"/>
          </w:tcPr>
          <w:p w14:paraId="1B27F82C" w14:textId="77777777" w:rsidR="00152A78" w:rsidRPr="008C4785" w:rsidRDefault="00152A78" w:rsidP="00152A78">
            <w:pPr>
              <w:jc w:val="center"/>
              <w:rPr>
                <w:rFonts w:ascii="Arial" w:hAnsi="Arial"/>
                <w:b/>
                <w:sz w:val="18"/>
                <w:szCs w:val="18"/>
              </w:rPr>
            </w:pPr>
            <w:r>
              <w:rPr>
                <w:rFonts w:ascii="Arial" w:hAnsi="Arial"/>
                <w:b/>
                <w:sz w:val="18"/>
                <w:szCs w:val="18"/>
              </w:rPr>
              <w:t>N</w:t>
            </w:r>
          </w:p>
        </w:tc>
        <w:tc>
          <w:tcPr>
            <w:tcW w:w="630" w:type="dxa"/>
            <w:shd w:val="pct15" w:color="auto" w:fill="auto"/>
            <w:vAlign w:val="center"/>
          </w:tcPr>
          <w:p w14:paraId="67686D6C" w14:textId="77777777" w:rsidR="00152A78" w:rsidRPr="008C4785" w:rsidRDefault="00152A78" w:rsidP="00152A78">
            <w:pPr>
              <w:jc w:val="center"/>
              <w:rPr>
                <w:rFonts w:ascii="Arial" w:hAnsi="Arial"/>
                <w:b/>
                <w:sz w:val="18"/>
                <w:szCs w:val="18"/>
              </w:rPr>
            </w:pPr>
            <w:r>
              <w:rPr>
                <w:rFonts w:ascii="Arial" w:hAnsi="Arial"/>
                <w:b/>
                <w:sz w:val="18"/>
                <w:szCs w:val="18"/>
              </w:rPr>
              <w:t>LL (%)</w:t>
            </w:r>
          </w:p>
        </w:tc>
        <w:tc>
          <w:tcPr>
            <w:tcW w:w="630" w:type="dxa"/>
            <w:shd w:val="pct15" w:color="auto" w:fill="auto"/>
            <w:vAlign w:val="center"/>
          </w:tcPr>
          <w:p w14:paraId="2C3AC657" w14:textId="77777777" w:rsidR="00152A78" w:rsidRPr="008C4785" w:rsidRDefault="00152A78" w:rsidP="00152A78">
            <w:pPr>
              <w:jc w:val="center"/>
              <w:rPr>
                <w:rFonts w:ascii="Arial" w:hAnsi="Arial"/>
                <w:b/>
                <w:sz w:val="18"/>
                <w:szCs w:val="18"/>
              </w:rPr>
            </w:pPr>
            <w:r>
              <w:rPr>
                <w:rFonts w:ascii="Arial" w:hAnsi="Arial"/>
                <w:b/>
                <w:sz w:val="18"/>
                <w:szCs w:val="18"/>
              </w:rPr>
              <w:t>PI (%)</w:t>
            </w:r>
          </w:p>
        </w:tc>
        <w:tc>
          <w:tcPr>
            <w:tcW w:w="720" w:type="dxa"/>
            <w:shd w:val="pct15" w:color="auto" w:fill="auto"/>
            <w:vAlign w:val="center"/>
          </w:tcPr>
          <w:p w14:paraId="65D7C5FA" w14:textId="77777777" w:rsidR="00152A78" w:rsidRPr="008C4785" w:rsidRDefault="00152A78" w:rsidP="00152A78">
            <w:pPr>
              <w:jc w:val="center"/>
              <w:rPr>
                <w:rFonts w:ascii="Arial" w:hAnsi="Arial"/>
                <w:b/>
                <w:sz w:val="18"/>
                <w:szCs w:val="18"/>
              </w:rPr>
            </w:pPr>
            <w:r>
              <w:rPr>
                <w:rFonts w:ascii="Arial" w:hAnsi="Arial"/>
                <w:b/>
                <w:sz w:val="18"/>
                <w:szCs w:val="18"/>
              </w:rPr>
              <w:t>% &lt; No. 4</w:t>
            </w:r>
          </w:p>
        </w:tc>
        <w:tc>
          <w:tcPr>
            <w:tcW w:w="900" w:type="dxa"/>
            <w:shd w:val="pct15" w:color="auto" w:fill="auto"/>
            <w:vAlign w:val="center"/>
          </w:tcPr>
          <w:p w14:paraId="21D307E0" w14:textId="77777777" w:rsidR="00152A78" w:rsidRPr="008C4785" w:rsidRDefault="00152A78" w:rsidP="00152A78">
            <w:pPr>
              <w:jc w:val="center"/>
              <w:rPr>
                <w:rFonts w:ascii="Arial" w:hAnsi="Arial"/>
                <w:b/>
                <w:sz w:val="18"/>
                <w:szCs w:val="18"/>
              </w:rPr>
            </w:pPr>
            <w:r>
              <w:rPr>
                <w:rFonts w:ascii="Arial" w:hAnsi="Arial"/>
                <w:b/>
                <w:sz w:val="18"/>
                <w:szCs w:val="18"/>
              </w:rPr>
              <w:t>% &lt; No. 200</w:t>
            </w:r>
          </w:p>
        </w:tc>
        <w:tc>
          <w:tcPr>
            <w:tcW w:w="810" w:type="dxa"/>
            <w:shd w:val="pct15" w:color="auto" w:fill="auto"/>
            <w:vAlign w:val="center"/>
          </w:tcPr>
          <w:p w14:paraId="37E1E01C" w14:textId="77777777" w:rsidR="00152A78" w:rsidRPr="008C4785" w:rsidRDefault="00152A78" w:rsidP="00152A78">
            <w:pPr>
              <w:jc w:val="center"/>
              <w:rPr>
                <w:rFonts w:ascii="Arial" w:hAnsi="Arial"/>
                <w:b/>
                <w:sz w:val="18"/>
                <w:szCs w:val="18"/>
              </w:rPr>
            </w:pPr>
            <w:r>
              <w:rPr>
                <w:rFonts w:ascii="Arial" w:hAnsi="Arial"/>
                <w:b/>
                <w:sz w:val="18"/>
                <w:szCs w:val="18"/>
              </w:rPr>
              <w:t>OMC (%)</w:t>
            </w:r>
          </w:p>
        </w:tc>
        <w:tc>
          <w:tcPr>
            <w:tcW w:w="990" w:type="dxa"/>
            <w:shd w:val="pct15" w:color="auto" w:fill="auto"/>
            <w:vAlign w:val="center"/>
          </w:tcPr>
          <w:p w14:paraId="6F5F73CD" w14:textId="77777777" w:rsidR="00152A78" w:rsidRPr="008C4785" w:rsidRDefault="00152A78" w:rsidP="00152A78">
            <w:pPr>
              <w:jc w:val="center"/>
              <w:rPr>
                <w:rFonts w:ascii="Arial" w:hAnsi="Arial"/>
                <w:b/>
                <w:sz w:val="18"/>
                <w:szCs w:val="18"/>
              </w:rPr>
            </w:pPr>
            <w:r>
              <w:rPr>
                <w:rFonts w:ascii="Arial" w:hAnsi="Arial"/>
                <w:b/>
                <w:sz w:val="18"/>
                <w:szCs w:val="18"/>
              </w:rPr>
              <w:t>S at OMC (%)</w:t>
            </w:r>
          </w:p>
        </w:tc>
        <w:tc>
          <w:tcPr>
            <w:tcW w:w="1440" w:type="dxa"/>
            <w:shd w:val="pct15" w:color="auto" w:fill="auto"/>
            <w:vAlign w:val="center"/>
          </w:tcPr>
          <w:p w14:paraId="3BEA7350" w14:textId="77777777" w:rsidR="00152A78" w:rsidRPr="008C4785" w:rsidRDefault="00152A78" w:rsidP="00152A78">
            <w:pPr>
              <w:jc w:val="center"/>
              <w:rPr>
                <w:rFonts w:ascii="Arial" w:hAnsi="Arial"/>
                <w:b/>
                <w:sz w:val="18"/>
                <w:szCs w:val="18"/>
              </w:rPr>
            </w:pPr>
            <w:r>
              <w:rPr>
                <w:rFonts w:ascii="Arial" w:hAnsi="Arial"/>
                <w:b/>
                <w:sz w:val="18"/>
                <w:szCs w:val="18"/>
              </w:rPr>
              <w:t>Max Dry Unit Weight (PCF)</w:t>
            </w:r>
          </w:p>
        </w:tc>
        <w:tc>
          <w:tcPr>
            <w:tcW w:w="1440" w:type="dxa"/>
            <w:shd w:val="pct15" w:color="auto" w:fill="auto"/>
            <w:vAlign w:val="center"/>
          </w:tcPr>
          <w:p w14:paraId="2C569702" w14:textId="77777777" w:rsidR="00152A78" w:rsidRPr="008C4785" w:rsidRDefault="00152A78" w:rsidP="00152A78">
            <w:pPr>
              <w:jc w:val="center"/>
              <w:rPr>
                <w:rFonts w:ascii="Arial" w:hAnsi="Arial"/>
                <w:b/>
                <w:sz w:val="18"/>
                <w:szCs w:val="18"/>
              </w:rPr>
            </w:pPr>
            <w:r>
              <w:rPr>
                <w:rFonts w:ascii="Arial" w:hAnsi="Arial"/>
                <w:b/>
                <w:sz w:val="18"/>
                <w:szCs w:val="18"/>
              </w:rPr>
              <w:t>Subgrade M</w:t>
            </w:r>
            <w:r w:rsidRPr="002F7593">
              <w:rPr>
                <w:rFonts w:ascii="Arial" w:hAnsi="Arial"/>
                <w:b/>
                <w:sz w:val="18"/>
                <w:vertAlign w:val="subscript"/>
              </w:rPr>
              <w:t>r</w:t>
            </w:r>
            <w:r>
              <w:rPr>
                <w:rFonts w:ascii="Arial" w:hAnsi="Arial"/>
                <w:b/>
                <w:sz w:val="18"/>
                <w:szCs w:val="18"/>
              </w:rPr>
              <w:t xml:space="preserve"> (psi)</w:t>
            </w:r>
          </w:p>
        </w:tc>
      </w:tr>
      <w:tr w:rsidR="00152A78" w:rsidRPr="00E676D9" w14:paraId="040A7EC2" w14:textId="77777777" w:rsidTr="00152A78">
        <w:tc>
          <w:tcPr>
            <w:tcW w:w="738" w:type="dxa"/>
          </w:tcPr>
          <w:p w14:paraId="4975044E" w14:textId="77777777" w:rsidR="00152A78" w:rsidRPr="00E676D9" w:rsidRDefault="00152A78" w:rsidP="00152A78">
            <w:pPr>
              <w:jc w:val="both"/>
              <w:rPr>
                <w:rFonts w:ascii="Arial" w:hAnsi="Arial"/>
              </w:rPr>
            </w:pPr>
            <w:r>
              <w:rPr>
                <w:rFonts w:ascii="Arial" w:hAnsi="Arial"/>
              </w:rPr>
              <w:t>A-1-b</w:t>
            </w:r>
          </w:p>
        </w:tc>
        <w:tc>
          <w:tcPr>
            <w:tcW w:w="450" w:type="dxa"/>
          </w:tcPr>
          <w:p w14:paraId="2932F676" w14:textId="77777777" w:rsidR="00152A78" w:rsidRPr="00E676D9" w:rsidRDefault="00152A78" w:rsidP="00152A78">
            <w:pPr>
              <w:jc w:val="center"/>
              <w:rPr>
                <w:rFonts w:ascii="Arial" w:hAnsi="Arial"/>
              </w:rPr>
            </w:pPr>
            <w:r>
              <w:rPr>
                <w:rFonts w:ascii="Arial" w:hAnsi="Arial"/>
              </w:rPr>
              <w:t>5</w:t>
            </w:r>
          </w:p>
        </w:tc>
        <w:tc>
          <w:tcPr>
            <w:tcW w:w="630" w:type="dxa"/>
          </w:tcPr>
          <w:p w14:paraId="2325C358" w14:textId="77777777" w:rsidR="00152A78" w:rsidRPr="00E676D9" w:rsidRDefault="00152A78" w:rsidP="00152A78">
            <w:pPr>
              <w:jc w:val="center"/>
              <w:rPr>
                <w:rFonts w:ascii="Arial" w:hAnsi="Arial"/>
              </w:rPr>
            </w:pPr>
            <w:r>
              <w:rPr>
                <w:rFonts w:ascii="Arial" w:hAnsi="Arial"/>
              </w:rPr>
              <w:t>23.8</w:t>
            </w:r>
          </w:p>
        </w:tc>
        <w:tc>
          <w:tcPr>
            <w:tcW w:w="630" w:type="dxa"/>
          </w:tcPr>
          <w:p w14:paraId="7AC3BC77" w14:textId="77777777" w:rsidR="00152A78" w:rsidRPr="00E676D9" w:rsidRDefault="00152A78" w:rsidP="00152A78">
            <w:pPr>
              <w:jc w:val="center"/>
              <w:rPr>
                <w:rFonts w:ascii="Arial" w:hAnsi="Arial"/>
              </w:rPr>
            </w:pPr>
            <w:r>
              <w:rPr>
                <w:rFonts w:ascii="Arial" w:hAnsi="Arial"/>
              </w:rPr>
              <w:t>7.0</w:t>
            </w:r>
          </w:p>
        </w:tc>
        <w:tc>
          <w:tcPr>
            <w:tcW w:w="720" w:type="dxa"/>
          </w:tcPr>
          <w:p w14:paraId="42221598" w14:textId="77777777" w:rsidR="00152A78" w:rsidRPr="00E676D9" w:rsidRDefault="00152A78" w:rsidP="00152A78">
            <w:pPr>
              <w:jc w:val="center"/>
              <w:rPr>
                <w:rFonts w:ascii="Arial" w:hAnsi="Arial"/>
              </w:rPr>
            </w:pPr>
            <w:r>
              <w:rPr>
                <w:rFonts w:ascii="Arial" w:hAnsi="Arial"/>
              </w:rPr>
              <w:t>60</w:t>
            </w:r>
          </w:p>
        </w:tc>
        <w:tc>
          <w:tcPr>
            <w:tcW w:w="900" w:type="dxa"/>
          </w:tcPr>
          <w:p w14:paraId="30A34581" w14:textId="77777777" w:rsidR="00152A78" w:rsidRPr="00E676D9" w:rsidRDefault="00152A78" w:rsidP="00152A78">
            <w:pPr>
              <w:jc w:val="center"/>
              <w:rPr>
                <w:rFonts w:ascii="Arial" w:hAnsi="Arial"/>
              </w:rPr>
            </w:pPr>
            <w:r>
              <w:rPr>
                <w:rFonts w:ascii="Arial" w:hAnsi="Arial"/>
              </w:rPr>
              <w:t>15</w:t>
            </w:r>
          </w:p>
        </w:tc>
        <w:tc>
          <w:tcPr>
            <w:tcW w:w="810" w:type="dxa"/>
          </w:tcPr>
          <w:p w14:paraId="02AE452D" w14:textId="77777777" w:rsidR="00152A78" w:rsidRPr="00E676D9" w:rsidRDefault="00152A78" w:rsidP="00152A78">
            <w:pPr>
              <w:jc w:val="center"/>
              <w:rPr>
                <w:rFonts w:ascii="Arial" w:hAnsi="Arial"/>
              </w:rPr>
            </w:pPr>
            <w:r>
              <w:rPr>
                <w:rFonts w:ascii="Arial" w:hAnsi="Arial"/>
              </w:rPr>
              <w:t>6.7</w:t>
            </w:r>
          </w:p>
        </w:tc>
        <w:tc>
          <w:tcPr>
            <w:tcW w:w="990" w:type="dxa"/>
          </w:tcPr>
          <w:p w14:paraId="72A0849E" w14:textId="77777777" w:rsidR="00152A78" w:rsidRPr="00E676D9" w:rsidRDefault="00152A78" w:rsidP="00152A78">
            <w:pPr>
              <w:jc w:val="center"/>
              <w:rPr>
                <w:rFonts w:ascii="Arial" w:hAnsi="Arial"/>
              </w:rPr>
            </w:pPr>
            <w:r>
              <w:rPr>
                <w:rFonts w:ascii="Arial" w:hAnsi="Arial"/>
              </w:rPr>
              <w:t>53.6</w:t>
            </w:r>
          </w:p>
        </w:tc>
        <w:tc>
          <w:tcPr>
            <w:tcW w:w="1440" w:type="dxa"/>
          </w:tcPr>
          <w:p w14:paraId="130CA73A" w14:textId="77777777" w:rsidR="00152A78" w:rsidRPr="00E676D9" w:rsidRDefault="00152A78" w:rsidP="00152A78">
            <w:pPr>
              <w:jc w:val="center"/>
              <w:rPr>
                <w:rFonts w:ascii="Arial" w:hAnsi="Arial"/>
              </w:rPr>
            </w:pPr>
            <w:r>
              <w:rPr>
                <w:rFonts w:ascii="Arial" w:hAnsi="Arial"/>
              </w:rPr>
              <w:t>135.3</w:t>
            </w:r>
          </w:p>
        </w:tc>
        <w:tc>
          <w:tcPr>
            <w:tcW w:w="1440" w:type="dxa"/>
          </w:tcPr>
          <w:p w14:paraId="67780FFE" w14:textId="77777777" w:rsidR="00152A78" w:rsidRPr="00E676D9" w:rsidRDefault="00152A78" w:rsidP="00152A78">
            <w:pPr>
              <w:jc w:val="center"/>
              <w:rPr>
                <w:rFonts w:ascii="Arial" w:hAnsi="Arial"/>
              </w:rPr>
            </w:pPr>
          </w:p>
        </w:tc>
      </w:tr>
      <w:tr w:rsidR="00152A78" w:rsidRPr="00E676D9" w14:paraId="60D77F25" w14:textId="77777777" w:rsidTr="00152A78">
        <w:tc>
          <w:tcPr>
            <w:tcW w:w="738" w:type="dxa"/>
          </w:tcPr>
          <w:p w14:paraId="21AD9924" w14:textId="77777777" w:rsidR="00152A78" w:rsidRPr="00E676D9" w:rsidRDefault="00152A78" w:rsidP="00152A78">
            <w:pPr>
              <w:jc w:val="both"/>
              <w:rPr>
                <w:rFonts w:ascii="Arial" w:hAnsi="Arial"/>
              </w:rPr>
            </w:pPr>
            <w:r>
              <w:rPr>
                <w:rFonts w:ascii="Arial" w:hAnsi="Arial"/>
              </w:rPr>
              <w:t>A-2-4</w:t>
            </w:r>
          </w:p>
        </w:tc>
        <w:tc>
          <w:tcPr>
            <w:tcW w:w="450" w:type="dxa"/>
          </w:tcPr>
          <w:p w14:paraId="1BD8CA8E" w14:textId="77777777" w:rsidR="00152A78" w:rsidRPr="00E676D9" w:rsidRDefault="00152A78" w:rsidP="00152A78">
            <w:pPr>
              <w:jc w:val="center"/>
              <w:rPr>
                <w:rFonts w:ascii="Arial" w:hAnsi="Arial"/>
              </w:rPr>
            </w:pPr>
            <w:r>
              <w:rPr>
                <w:rFonts w:ascii="Arial" w:hAnsi="Arial"/>
              </w:rPr>
              <w:t>42</w:t>
            </w:r>
          </w:p>
        </w:tc>
        <w:tc>
          <w:tcPr>
            <w:tcW w:w="630" w:type="dxa"/>
          </w:tcPr>
          <w:p w14:paraId="66DF6035" w14:textId="77777777" w:rsidR="00152A78" w:rsidRPr="00E676D9" w:rsidRDefault="00152A78" w:rsidP="00152A78">
            <w:pPr>
              <w:jc w:val="center"/>
              <w:rPr>
                <w:rFonts w:ascii="Arial" w:hAnsi="Arial"/>
              </w:rPr>
            </w:pPr>
            <w:r>
              <w:rPr>
                <w:rFonts w:ascii="Arial" w:hAnsi="Arial"/>
              </w:rPr>
              <w:t>24.2</w:t>
            </w:r>
          </w:p>
        </w:tc>
        <w:tc>
          <w:tcPr>
            <w:tcW w:w="630" w:type="dxa"/>
          </w:tcPr>
          <w:p w14:paraId="227ABB0E" w14:textId="77777777" w:rsidR="00152A78" w:rsidRPr="00E676D9" w:rsidRDefault="00152A78" w:rsidP="00152A78">
            <w:pPr>
              <w:jc w:val="center"/>
              <w:rPr>
                <w:rFonts w:ascii="Arial" w:hAnsi="Arial"/>
              </w:rPr>
            </w:pPr>
            <w:r>
              <w:rPr>
                <w:rFonts w:ascii="Arial" w:hAnsi="Arial"/>
              </w:rPr>
              <w:t>8.7</w:t>
            </w:r>
          </w:p>
        </w:tc>
        <w:tc>
          <w:tcPr>
            <w:tcW w:w="720" w:type="dxa"/>
          </w:tcPr>
          <w:p w14:paraId="5966CDD8" w14:textId="77777777" w:rsidR="00152A78" w:rsidRPr="00E676D9" w:rsidRDefault="00152A78" w:rsidP="00152A78">
            <w:pPr>
              <w:jc w:val="center"/>
              <w:rPr>
                <w:rFonts w:ascii="Arial" w:hAnsi="Arial"/>
              </w:rPr>
            </w:pPr>
            <w:r>
              <w:rPr>
                <w:rFonts w:ascii="Arial" w:hAnsi="Arial"/>
              </w:rPr>
              <w:t>97</w:t>
            </w:r>
          </w:p>
        </w:tc>
        <w:tc>
          <w:tcPr>
            <w:tcW w:w="900" w:type="dxa"/>
          </w:tcPr>
          <w:p w14:paraId="57F3B56D" w14:textId="77777777" w:rsidR="00152A78" w:rsidRPr="00E676D9" w:rsidRDefault="00152A78" w:rsidP="00152A78">
            <w:pPr>
              <w:jc w:val="center"/>
              <w:rPr>
                <w:rFonts w:ascii="Arial" w:hAnsi="Arial"/>
              </w:rPr>
            </w:pPr>
            <w:r>
              <w:rPr>
                <w:rFonts w:ascii="Arial" w:hAnsi="Arial"/>
              </w:rPr>
              <w:t>28</w:t>
            </w:r>
          </w:p>
        </w:tc>
        <w:tc>
          <w:tcPr>
            <w:tcW w:w="810" w:type="dxa"/>
          </w:tcPr>
          <w:p w14:paraId="3B840E42" w14:textId="77777777" w:rsidR="00152A78" w:rsidRPr="00E676D9" w:rsidRDefault="00152A78" w:rsidP="00152A78">
            <w:pPr>
              <w:jc w:val="center"/>
              <w:rPr>
                <w:rFonts w:ascii="Arial" w:hAnsi="Arial"/>
              </w:rPr>
            </w:pPr>
            <w:r>
              <w:rPr>
                <w:rFonts w:ascii="Arial" w:hAnsi="Arial"/>
              </w:rPr>
              <w:t>8.9</w:t>
            </w:r>
          </w:p>
        </w:tc>
        <w:tc>
          <w:tcPr>
            <w:tcW w:w="990" w:type="dxa"/>
          </w:tcPr>
          <w:p w14:paraId="5423D6E3" w14:textId="77777777" w:rsidR="00152A78" w:rsidRPr="00E676D9" w:rsidRDefault="00152A78" w:rsidP="00152A78">
            <w:pPr>
              <w:jc w:val="center"/>
              <w:rPr>
                <w:rFonts w:ascii="Arial" w:hAnsi="Arial"/>
              </w:rPr>
            </w:pPr>
            <w:r>
              <w:rPr>
                <w:rFonts w:ascii="Arial" w:hAnsi="Arial"/>
              </w:rPr>
              <w:t>60.3</w:t>
            </w:r>
          </w:p>
        </w:tc>
        <w:tc>
          <w:tcPr>
            <w:tcW w:w="1440" w:type="dxa"/>
          </w:tcPr>
          <w:p w14:paraId="7DF7A54B" w14:textId="77777777" w:rsidR="00152A78" w:rsidRPr="00E676D9" w:rsidRDefault="00152A78" w:rsidP="00152A78">
            <w:pPr>
              <w:jc w:val="center"/>
              <w:rPr>
                <w:rFonts w:ascii="Arial" w:hAnsi="Arial"/>
              </w:rPr>
            </w:pPr>
            <w:r>
              <w:rPr>
                <w:rFonts w:ascii="Arial" w:hAnsi="Arial"/>
              </w:rPr>
              <w:t>129.5</w:t>
            </w:r>
          </w:p>
        </w:tc>
        <w:tc>
          <w:tcPr>
            <w:tcW w:w="1440" w:type="dxa"/>
          </w:tcPr>
          <w:p w14:paraId="208D1E7E" w14:textId="77777777" w:rsidR="00152A78" w:rsidRPr="00E676D9" w:rsidRDefault="00152A78" w:rsidP="00152A78">
            <w:pPr>
              <w:jc w:val="center"/>
              <w:rPr>
                <w:rFonts w:ascii="Arial" w:hAnsi="Arial"/>
              </w:rPr>
            </w:pPr>
            <w:r>
              <w:rPr>
                <w:rFonts w:ascii="Arial" w:hAnsi="Arial"/>
              </w:rPr>
              <w:t>10,000</w:t>
            </w:r>
          </w:p>
        </w:tc>
      </w:tr>
      <w:tr w:rsidR="00152A78" w:rsidRPr="00E676D9" w14:paraId="1B33BF78" w14:textId="77777777" w:rsidTr="00152A78">
        <w:tc>
          <w:tcPr>
            <w:tcW w:w="738" w:type="dxa"/>
          </w:tcPr>
          <w:p w14:paraId="46359132" w14:textId="77777777" w:rsidR="00152A78" w:rsidRPr="00E676D9" w:rsidRDefault="00152A78" w:rsidP="00152A78">
            <w:pPr>
              <w:jc w:val="both"/>
              <w:rPr>
                <w:rFonts w:ascii="Arial" w:hAnsi="Arial"/>
              </w:rPr>
            </w:pPr>
            <w:r>
              <w:rPr>
                <w:rFonts w:ascii="Arial" w:hAnsi="Arial"/>
              </w:rPr>
              <w:t>A-2-6</w:t>
            </w:r>
          </w:p>
        </w:tc>
        <w:tc>
          <w:tcPr>
            <w:tcW w:w="450" w:type="dxa"/>
          </w:tcPr>
          <w:p w14:paraId="10101471" w14:textId="77777777" w:rsidR="00152A78" w:rsidRPr="00E676D9" w:rsidRDefault="00152A78" w:rsidP="00152A78">
            <w:pPr>
              <w:jc w:val="center"/>
              <w:rPr>
                <w:rFonts w:ascii="Arial" w:hAnsi="Arial"/>
              </w:rPr>
            </w:pPr>
            <w:r>
              <w:rPr>
                <w:rFonts w:ascii="Arial" w:hAnsi="Arial"/>
              </w:rPr>
              <w:t>12</w:t>
            </w:r>
          </w:p>
        </w:tc>
        <w:tc>
          <w:tcPr>
            <w:tcW w:w="630" w:type="dxa"/>
          </w:tcPr>
          <w:p w14:paraId="53ECEE65" w14:textId="77777777" w:rsidR="00152A78" w:rsidRPr="00E676D9" w:rsidRDefault="00152A78" w:rsidP="00152A78">
            <w:pPr>
              <w:jc w:val="center"/>
              <w:rPr>
                <w:rFonts w:ascii="Arial" w:hAnsi="Arial"/>
              </w:rPr>
            </w:pPr>
            <w:r>
              <w:rPr>
                <w:rFonts w:ascii="Arial" w:hAnsi="Arial"/>
              </w:rPr>
              <w:t>26.0</w:t>
            </w:r>
          </w:p>
        </w:tc>
        <w:tc>
          <w:tcPr>
            <w:tcW w:w="630" w:type="dxa"/>
          </w:tcPr>
          <w:p w14:paraId="43826D23" w14:textId="77777777" w:rsidR="00152A78" w:rsidRPr="00E676D9" w:rsidRDefault="00152A78" w:rsidP="00152A78">
            <w:pPr>
              <w:jc w:val="center"/>
              <w:rPr>
                <w:rFonts w:ascii="Arial" w:hAnsi="Arial"/>
              </w:rPr>
            </w:pPr>
            <w:r>
              <w:rPr>
                <w:rFonts w:ascii="Arial" w:hAnsi="Arial"/>
              </w:rPr>
              <w:t>13.6</w:t>
            </w:r>
          </w:p>
        </w:tc>
        <w:tc>
          <w:tcPr>
            <w:tcW w:w="720" w:type="dxa"/>
          </w:tcPr>
          <w:p w14:paraId="7DA1A663" w14:textId="77777777" w:rsidR="00152A78" w:rsidRPr="00E676D9" w:rsidRDefault="00152A78" w:rsidP="00152A78">
            <w:pPr>
              <w:jc w:val="center"/>
              <w:rPr>
                <w:rFonts w:ascii="Arial" w:hAnsi="Arial"/>
              </w:rPr>
            </w:pPr>
            <w:r>
              <w:rPr>
                <w:rFonts w:ascii="Arial" w:hAnsi="Arial"/>
              </w:rPr>
              <w:t>89</w:t>
            </w:r>
          </w:p>
        </w:tc>
        <w:tc>
          <w:tcPr>
            <w:tcW w:w="900" w:type="dxa"/>
          </w:tcPr>
          <w:p w14:paraId="3D791987" w14:textId="77777777" w:rsidR="00152A78" w:rsidRPr="00E676D9" w:rsidRDefault="00152A78" w:rsidP="00152A78">
            <w:pPr>
              <w:jc w:val="center"/>
              <w:rPr>
                <w:rFonts w:ascii="Arial" w:hAnsi="Arial"/>
              </w:rPr>
            </w:pPr>
            <w:r>
              <w:rPr>
                <w:rFonts w:ascii="Arial" w:hAnsi="Arial"/>
              </w:rPr>
              <w:t>29</w:t>
            </w:r>
          </w:p>
        </w:tc>
        <w:tc>
          <w:tcPr>
            <w:tcW w:w="810" w:type="dxa"/>
          </w:tcPr>
          <w:p w14:paraId="69D529BB" w14:textId="77777777" w:rsidR="00152A78" w:rsidRPr="00E676D9" w:rsidRDefault="00152A78" w:rsidP="00152A78">
            <w:pPr>
              <w:jc w:val="center"/>
              <w:rPr>
                <w:rFonts w:ascii="Arial" w:hAnsi="Arial"/>
              </w:rPr>
            </w:pPr>
            <w:r>
              <w:rPr>
                <w:rFonts w:ascii="Arial" w:hAnsi="Arial"/>
              </w:rPr>
              <w:t>8.9</w:t>
            </w:r>
          </w:p>
        </w:tc>
        <w:tc>
          <w:tcPr>
            <w:tcW w:w="990" w:type="dxa"/>
          </w:tcPr>
          <w:p w14:paraId="31AED509" w14:textId="77777777" w:rsidR="00152A78" w:rsidRPr="00E676D9" w:rsidRDefault="00152A78" w:rsidP="00152A78">
            <w:pPr>
              <w:jc w:val="center"/>
              <w:rPr>
                <w:rFonts w:ascii="Arial" w:hAnsi="Arial"/>
              </w:rPr>
            </w:pPr>
            <w:r>
              <w:rPr>
                <w:rFonts w:ascii="Arial" w:hAnsi="Arial"/>
              </w:rPr>
              <w:t>59.0</w:t>
            </w:r>
          </w:p>
        </w:tc>
        <w:tc>
          <w:tcPr>
            <w:tcW w:w="1440" w:type="dxa"/>
          </w:tcPr>
          <w:p w14:paraId="1B2F758A" w14:textId="77777777" w:rsidR="00152A78" w:rsidRPr="00E676D9" w:rsidRDefault="00152A78" w:rsidP="00152A78">
            <w:pPr>
              <w:jc w:val="center"/>
              <w:rPr>
                <w:rFonts w:ascii="Arial" w:hAnsi="Arial"/>
              </w:rPr>
            </w:pPr>
            <w:r>
              <w:rPr>
                <w:rFonts w:ascii="Arial" w:hAnsi="Arial"/>
              </w:rPr>
              <w:t>128.3</w:t>
            </w:r>
          </w:p>
        </w:tc>
        <w:tc>
          <w:tcPr>
            <w:tcW w:w="1440" w:type="dxa"/>
          </w:tcPr>
          <w:p w14:paraId="06BCFC9D" w14:textId="77777777" w:rsidR="00152A78" w:rsidRPr="00E676D9" w:rsidRDefault="00152A78" w:rsidP="00152A78">
            <w:pPr>
              <w:jc w:val="center"/>
              <w:rPr>
                <w:rFonts w:ascii="Arial" w:hAnsi="Arial"/>
              </w:rPr>
            </w:pPr>
            <w:r>
              <w:rPr>
                <w:rFonts w:ascii="Arial" w:hAnsi="Arial"/>
              </w:rPr>
              <w:t>10,000</w:t>
            </w:r>
          </w:p>
        </w:tc>
      </w:tr>
      <w:tr w:rsidR="00152A78" w:rsidRPr="00E676D9" w14:paraId="2904B176" w14:textId="77777777" w:rsidTr="00152A78">
        <w:tc>
          <w:tcPr>
            <w:tcW w:w="738" w:type="dxa"/>
          </w:tcPr>
          <w:p w14:paraId="2B452D6B" w14:textId="77777777" w:rsidR="00152A78" w:rsidRPr="00E676D9" w:rsidRDefault="00152A78" w:rsidP="00152A78">
            <w:pPr>
              <w:jc w:val="both"/>
              <w:rPr>
                <w:rFonts w:ascii="Arial" w:hAnsi="Arial"/>
              </w:rPr>
            </w:pPr>
            <w:r>
              <w:rPr>
                <w:rFonts w:ascii="Arial" w:hAnsi="Arial"/>
              </w:rPr>
              <w:t>A-3</w:t>
            </w:r>
          </w:p>
        </w:tc>
        <w:tc>
          <w:tcPr>
            <w:tcW w:w="450" w:type="dxa"/>
          </w:tcPr>
          <w:p w14:paraId="17EC3F02" w14:textId="77777777" w:rsidR="00152A78" w:rsidRPr="00E676D9" w:rsidRDefault="00152A78" w:rsidP="00152A78">
            <w:pPr>
              <w:jc w:val="center"/>
              <w:rPr>
                <w:rFonts w:ascii="Arial" w:hAnsi="Arial"/>
              </w:rPr>
            </w:pPr>
            <w:r>
              <w:rPr>
                <w:rFonts w:ascii="Arial" w:hAnsi="Arial"/>
              </w:rPr>
              <w:t>4</w:t>
            </w:r>
          </w:p>
        </w:tc>
        <w:tc>
          <w:tcPr>
            <w:tcW w:w="630" w:type="dxa"/>
          </w:tcPr>
          <w:p w14:paraId="5D3A0119" w14:textId="77777777" w:rsidR="00152A78" w:rsidRPr="00E676D9" w:rsidRDefault="00152A78" w:rsidP="00152A78">
            <w:pPr>
              <w:jc w:val="center"/>
              <w:rPr>
                <w:rFonts w:ascii="Arial" w:hAnsi="Arial"/>
              </w:rPr>
            </w:pPr>
          </w:p>
        </w:tc>
        <w:tc>
          <w:tcPr>
            <w:tcW w:w="630" w:type="dxa"/>
          </w:tcPr>
          <w:p w14:paraId="1548FFF7" w14:textId="77777777" w:rsidR="00152A78" w:rsidRPr="00E676D9" w:rsidRDefault="00152A78" w:rsidP="00152A78">
            <w:pPr>
              <w:jc w:val="center"/>
              <w:rPr>
                <w:rFonts w:ascii="Arial" w:hAnsi="Arial"/>
              </w:rPr>
            </w:pPr>
          </w:p>
        </w:tc>
        <w:tc>
          <w:tcPr>
            <w:tcW w:w="720" w:type="dxa"/>
          </w:tcPr>
          <w:p w14:paraId="2C905F14" w14:textId="77777777" w:rsidR="00152A78" w:rsidRPr="00E676D9" w:rsidRDefault="00152A78" w:rsidP="00152A78">
            <w:pPr>
              <w:jc w:val="center"/>
              <w:rPr>
                <w:rFonts w:ascii="Arial" w:hAnsi="Arial"/>
              </w:rPr>
            </w:pPr>
            <w:r>
              <w:rPr>
                <w:rFonts w:ascii="Arial" w:hAnsi="Arial"/>
              </w:rPr>
              <w:t>99</w:t>
            </w:r>
          </w:p>
        </w:tc>
        <w:tc>
          <w:tcPr>
            <w:tcW w:w="900" w:type="dxa"/>
          </w:tcPr>
          <w:p w14:paraId="399C4C85" w14:textId="77777777" w:rsidR="00152A78" w:rsidRPr="00E676D9" w:rsidRDefault="00152A78" w:rsidP="00152A78">
            <w:pPr>
              <w:jc w:val="center"/>
              <w:rPr>
                <w:rFonts w:ascii="Arial" w:hAnsi="Arial"/>
              </w:rPr>
            </w:pPr>
            <w:r>
              <w:rPr>
                <w:rFonts w:ascii="Arial" w:hAnsi="Arial"/>
              </w:rPr>
              <w:t>8</w:t>
            </w:r>
          </w:p>
        </w:tc>
        <w:tc>
          <w:tcPr>
            <w:tcW w:w="810" w:type="dxa"/>
          </w:tcPr>
          <w:p w14:paraId="3C306461" w14:textId="77777777" w:rsidR="00152A78" w:rsidRPr="00E676D9" w:rsidRDefault="00152A78" w:rsidP="00152A78">
            <w:pPr>
              <w:jc w:val="center"/>
              <w:rPr>
                <w:rFonts w:ascii="Arial" w:hAnsi="Arial"/>
              </w:rPr>
            </w:pPr>
            <w:r>
              <w:rPr>
                <w:rFonts w:ascii="Arial" w:hAnsi="Arial"/>
              </w:rPr>
              <w:t>10.8</w:t>
            </w:r>
          </w:p>
        </w:tc>
        <w:tc>
          <w:tcPr>
            <w:tcW w:w="990" w:type="dxa"/>
          </w:tcPr>
          <w:p w14:paraId="2787C3D1" w14:textId="77777777" w:rsidR="00152A78" w:rsidRPr="00E676D9" w:rsidRDefault="00152A78" w:rsidP="00152A78">
            <w:pPr>
              <w:jc w:val="center"/>
              <w:rPr>
                <w:rFonts w:ascii="Arial" w:hAnsi="Arial"/>
              </w:rPr>
            </w:pPr>
            <w:r>
              <w:rPr>
                <w:rFonts w:ascii="Arial" w:hAnsi="Arial"/>
              </w:rPr>
              <w:t>58.2</w:t>
            </w:r>
          </w:p>
        </w:tc>
        <w:tc>
          <w:tcPr>
            <w:tcW w:w="1440" w:type="dxa"/>
          </w:tcPr>
          <w:p w14:paraId="1E6FF5F4" w14:textId="77777777" w:rsidR="00152A78" w:rsidRPr="00E676D9" w:rsidRDefault="00152A78" w:rsidP="00152A78">
            <w:pPr>
              <w:jc w:val="center"/>
              <w:rPr>
                <w:rFonts w:ascii="Arial" w:hAnsi="Arial"/>
              </w:rPr>
            </w:pPr>
            <w:r>
              <w:rPr>
                <w:rFonts w:ascii="Arial" w:hAnsi="Arial"/>
              </w:rPr>
              <w:t>111.3</w:t>
            </w:r>
          </w:p>
        </w:tc>
        <w:tc>
          <w:tcPr>
            <w:tcW w:w="1440" w:type="dxa"/>
          </w:tcPr>
          <w:p w14:paraId="483B60FD" w14:textId="77777777" w:rsidR="00152A78" w:rsidRPr="00E676D9" w:rsidRDefault="00152A78" w:rsidP="00152A78">
            <w:pPr>
              <w:jc w:val="center"/>
              <w:rPr>
                <w:rFonts w:ascii="Arial" w:hAnsi="Arial"/>
              </w:rPr>
            </w:pPr>
          </w:p>
        </w:tc>
      </w:tr>
      <w:tr w:rsidR="00152A78" w:rsidRPr="00E676D9" w14:paraId="0F505254" w14:textId="77777777" w:rsidTr="00152A78">
        <w:tc>
          <w:tcPr>
            <w:tcW w:w="738" w:type="dxa"/>
          </w:tcPr>
          <w:p w14:paraId="3418D6C2" w14:textId="77777777" w:rsidR="00152A78" w:rsidRPr="00E676D9" w:rsidRDefault="00152A78" w:rsidP="00152A78">
            <w:pPr>
              <w:jc w:val="both"/>
              <w:rPr>
                <w:rFonts w:ascii="Arial" w:hAnsi="Arial"/>
              </w:rPr>
            </w:pPr>
            <w:r>
              <w:rPr>
                <w:rFonts w:ascii="Arial" w:hAnsi="Arial"/>
              </w:rPr>
              <w:t>A-4</w:t>
            </w:r>
          </w:p>
        </w:tc>
        <w:tc>
          <w:tcPr>
            <w:tcW w:w="450" w:type="dxa"/>
          </w:tcPr>
          <w:p w14:paraId="37F3909E" w14:textId="77777777" w:rsidR="00152A78" w:rsidRPr="00E676D9" w:rsidRDefault="00152A78" w:rsidP="00152A78">
            <w:pPr>
              <w:jc w:val="center"/>
              <w:rPr>
                <w:rFonts w:ascii="Arial" w:hAnsi="Arial"/>
              </w:rPr>
            </w:pPr>
            <w:r>
              <w:rPr>
                <w:rFonts w:ascii="Arial" w:hAnsi="Arial"/>
              </w:rPr>
              <w:t>96</w:t>
            </w:r>
          </w:p>
        </w:tc>
        <w:tc>
          <w:tcPr>
            <w:tcW w:w="630" w:type="dxa"/>
          </w:tcPr>
          <w:p w14:paraId="15FFC376" w14:textId="77777777" w:rsidR="00152A78" w:rsidRPr="00E676D9" w:rsidRDefault="00152A78" w:rsidP="00152A78">
            <w:pPr>
              <w:jc w:val="center"/>
              <w:rPr>
                <w:rFonts w:ascii="Arial" w:hAnsi="Arial"/>
              </w:rPr>
            </w:pPr>
            <w:r>
              <w:rPr>
                <w:rFonts w:ascii="Arial" w:hAnsi="Arial"/>
              </w:rPr>
              <w:t>29.5</w:t>
            </w:r>
          </w:p>
        </w:tc>
        <w:tc>
          <w:tcPr>
            <w:tcW w:w="630" w:type="dxa"/>
          </w:tcPr>
          <w:p w14:paraId="0FFA32FA" w14:textId="77777777" w:rsidR="00152A78" w:rsidRPr="00E676D9" w:rsidRDefault="00152A78" w:rsidP="00152A78">
            <w:pPr>
              <w:jc w:val="center"/>
              <w:rPr>
                <w:rFonts w:ascii="Arial" w:hAnsi="Arial"/>
              </w:rPr>
            </w:pPr>
            <w:r>
              <w:rPr>
                <w:rFonts w:ascii="Arial" w:hAnsi="Arial"/>
              </w:rPr>
              <w:t>8.0</w:t>
            </w:r>
          </w:p>
        </w:tc>
        <w:tc>
          <w:tcPr>
            <w:tcW w:w="720" w:type="dxa"/>
          </w:tcPr>
          <w:p w14:paraId="0C8261A3" w14:textId="77777777" w:rsidR="00152A78" w:rsidRPr="00E676D9" w:rsidRDefault="00152A78" w:rsidP="00152A78">
            <w:pPr>
              <w:jc w:val="center"/>
              <w:rPr>
                <w:rFonts w:ascii="Arial" w:hAnsi="Arial"/>
              </w:rPr>
            </w:pPr>
            <w:r>
              <w:rPr>
                <w:rFonts w:ascii="Arial" w:hAnsi="Arial"/>
              </w:rPr>
              <w:t>99</w:t>
            </w:r>
          </w:p>
        </w:tc>
        <w:tc>
          <w:tcPr>
            <w:tcW w:w="900" w:type="dxa"/>
          </w:tcPr>
          <w:p w14:paraId="00E86244" w14:textId="77777777" w:rsidR="00152A78" w:rsidRPr="00E676D9" w:rsidRDefault="00152A78" w:rsidP="00152A78">
            <w:pPr>
              <w:jc w:val="center"/>
              <w:rPr>
                <w:rFonts w:ascii="Arial" w:hAnsi="Arial"/>
              </w:rPr>
            </w:pPr>
            <w:r>
              <w:rPr>
                <w:rFonts w:ascii="Arial" w:hAnsi="Arial"/>
              </w:rPr>
              <w:t>48</w:t>
            </w:r>
          </w:p>
        </w:tc>
        <w:tc>
          <w:tcPr>
            <w:tcW w:w="810" w:type="dxa"/>
          </w:tcPr>
          <w:p w14:paraId="6E0E7915" w14:textId="77777777" w:rsidR="00152A78" w:rsidRPr="00E676D9" w:rsidRDefault="00152A78" w:rsidP="00152A78">
            <w:pPr>
              <w:jc w:val="center"/>
              <w:rPr>
                <w:rFonts w:ascii="Arial" w:hAnsi="Arial"/>
              </w:rPr>
            </w:pPr>
            <w:r>
              <w:rPr>
                <w:rFonts w:ascii="Arial" w:hAnsi="Arial"/>
              </w:rPr>
              <w:t>11.8</w:t>
            </w:r>
          </w:p>
        </w:tc>
        <w:tc>
          <w:tcPr>
            <w:tcW w:w="990" w:type="dxa"/>
          </w:tcPr>
          <w:p w14:paraId="3C48052E" w14:textId="77777777" w:rsidR="00152A78" w:rsidRPr="00E676D9" w:rsidRDefault="00152A78" w:rsidP="00152A78">
            <w:pPr>
              <w:jc w:val="center"/>
              <w:rPr>
                <w:rFonts w:ascii="Arial" w:hAnsi="Arial"/>
              </w:rPr>
            </w:pPr>
            <w:r>
              <w:rPr>
                <w:rFonts w:ascii="Arial" w:hAnsi="Arial"/>
              </w:rPr>
              <w:t>67.8</w:t>
            </w:r>
          </w:p>
        </w:tc>
        <w:tc>
          <w:tcPr>
            <w:tcW w:w="1440" w:type="dxa"/>
          </w:tcPr>
          <w:p w14:paraId="31FB7FF7" w14:textId="77777777" w:rsidR="00152A78" w:rsidRPr="00E676D9" w:rsidRDefault="00152A78" w:rsidP="00152A78">
            <w:pPr>
              <w:jc w:val="center"/>
              <w:rPr>
                <w:rFonts w:ascii="Arial" w:hAnsi="Arial"/>
              </w:rPr>
            </w:pPr>
            <w:r>
              <w:rPr>
                <w:rFonts w:ascii="Arial" w:hAnsi="Arial"/>
              </w:rPr>
              <w:t>122.5</w:t>
            </w:r>
          </w:p>
        </w:tc>
        <w:tc>
          <w:tcPr>
            <w:tcW w:w="1440" w:type="dxa"/>
          </w:tcPr>
          <w:p w14:paraId="186900CC" w14:textId="77777777" w:rsidR="00152A78" w:rsidRPr="00E676D9" w:rsidRDefault="00152A78" w:rsidP="00152A78">
            <w:pPr>
              <w:jc w:val="center"/>
              <w:rPr>
                <w:rFonts w:ascii="Arial" w:hAnsi="Arial"/>
              </w:rPr>
            </w:pPr>
            <w:r>
              <w:rPr>
                <w:rFonts w:ascii="Arial" w:hAnsi="Arial"/>
              </w:rPr>
              <w:t>6,000</w:t>
            </w:r>
          </w:p>
        </w:tc>
      </w:tr>
      <w:tr w:rsidR="00152A78" w:rsidRPr="00E676D9" w14:paraId="4FF5B7E7" w14:textId="77777777" w:rsidTr="00152A78">
        <w:tc>
          <w:tcPr>
            <w:tcW w:w="738" w:type="dxa"/>
          </w:tcPr>
          <w:p w14:paraId="1773072E" w14:textId="77777777" w:rsidR="00152A78" w:rsidRPr="00E676D9" w:rsidRDefault="00152A78" w:rsidP="00152A78">
            <w:pPr>
              <w:jc w:val="both"/>
              <w:rPr>
                <w:rFonts w:ascii="Arial" w:hAnsi="Arial"/>
              </w:rPr>
            </w:pPr>
            <w:r>
              <w:rPr>
                <w:rFonts w:ascii="Arial" w:hAnsi="Arial"/>
              </w:rPr>
              <w:t>A-5</w:t>
            </w:r>
          </w:p>
        </w:tc>
        <w:tc>
          <w:tcPr>
            <w:tcW w:w="450" w:type="dxa"/>
          </w:tcPr>
          <w:p w14:paraId="32E73F10" w14:textId="77777777" w:rsidR="00152A78" w:rsidRPr="00E676D9" w:rsidRDefault="00152A78" w:rsidP="00152A78">
            <w:pPr>
              <w:jc w:val="center"/>
              <w:rPr>
                <w:rFonts w:ascii="Arial" w:hAnsi="Arial"/>
              </w:rPr>
            </w:pPr>
            <w:r>
              <w:rPr>
                <w:rFonts w:ascii="Arial" w:hAnsi="Arial"/>
              </w:rPr>
              <w:t>3</w:t>
            </w:r>
          </w:p>
        </w:tc>
        <w:tc>
          <w:tcPr>
            <w:tcW w:w="630" w:type="dxa"/>
          </w:tcPr>
          <w:p w14:paraId="6C6B09FF" w14:textId="77777777" w:rsidR="00152A78" w:rsidRPr="00E676D9" w:rsidRDefault="00152A78" w:rsidP="00152A78">
            <w:pPr>
              <w:jc w:val="center"/>
              <w:rPr>
                <w:rFonts w:ascii="Arial" w:hAnsi="Arial"/>
              </w:rPr>
            </w:pPr>
            <w:r>
              <w:rPr>
                <w:rFonts w:ascii="Arial" w:hAnsi="Arial"/>
              </w:rPr>
              <w:t>41.0</w:t>
            </w:r>
          </w:p>
        </w:tc>
        <w:tc>
          <w:tcPr>
            <w:tcW w:w="630" w:type="dxa"/>
          </w:tcPr>
          <w:p w14:paraId="616B7CE3" w14:textId="77777777" w:rsidR="00152A78" w:rsidRPr="00E676D9" w:rsidRDefault="00152A78" w:rsidP="00152A78">
            <w:pPr>
              <w:jc w:val="center"/>
              <w:rPr>
                <w:rFonts w:ascii="Arial" w:hAnsi="Arial"/>
              </w:rPr>
            </w:pPr>
            <w:r>
              <w:rPr>
                <w:rFonts w:ascii="Arial" w:hAnsi="Arial"/>
              </w:rPr>
              <w:t>8.0</w:t>
            </w:r>
          </w:p>
        </w:tc>
        <w:tc>
          <w:tcPr>
            <w:tcW w:w="720" w:type="dxa"/>
          </w:tcPr>
          <w:p w14:paraId="73A2F70A" w14:textId="77777777" w:rsidR="00152A78" w:rsidRPr="00E676D9" w:rsidRDefault="00152A78" w:rsidP="00152A78">
            <w:pPr>
              <w:jc w:val="center"/>
              <w:rPr>
                <w:rFonts w:ascii="Arial" w:hAnsi="Arial"/>
              </w:rPr>
            </w:pPr>
            <w:r>
              <w:rPr>
                <w:rFonts w:ascii="Arial" w:hAnsi="Arial"/>
              </w:rPr>
              <w:t>99</w:t>
            </w:r>
          </w:p>
        </w:tc>
        <w:tc>
          <w:tcPr>
            <w:tcW w:w="900" w:type="dxa"/>
          </w:tcPr>
          <w:p w14:paraId="4DEC2E06" w14:textId="77777777" w:rsidR="00152A78" w:rsidRPr="00E676D9" w:rsidRDefault="00152A78" w:rsidP="00152A78">
            <w:pPr>
              <w:jc w:val="center"/>
              <w:rPr>
                <w:rFonts w:ascii="Arial" w:hAnsi="Arial"/>
              </w:rPr>
            </w:pPr>
            <w:r>
              <w:rPr>
                <w:rFonts w:ascii="Arial" w:hAnsi="Arial"/>
              </w:rPr>
              <w:t>71</w:t>
            </w:r>
          </w:p>
        </w:tc>
        <w:tc>
          <w:tcPr>
            <w:tcW w:w="810" w:type="dxa"/>
          </w:tcPr>
          <w:p w14:paraId="78AE6B87" w14:textId="77777777" w:rsidR="00152A78" w:rsidRPr="00E676D9" w:rsidRDefault="00152A78" w:rsidP="00152A78">
            <w:pPr>
              <w:jc w:val="center"/>
              <w:rPr>
                <w:rFonts w:ascii="Arial" w:hAnsi="Arial"/>
              </w:rPr>
            </w:pPr>
            <w:r>
              <w:rPr>
                <w:rFonts w:ascii="Arial" w:hAnsi="Arial"/>
              </w:rPr>
              <w:t>15.6</w:t>
            </w:r>
          </w:p>
        </w:tc>
        <w:tc>
          <w:tcPr>
            <w:tcW w:w="990" w:type="dxa"/>
          </w:tcPr>
          <w:p w14:paraId="56600198" w14:textId="77777777" w:rsidR="00152A78" w:rsidRPr="00E676D9" w:rsidRDefault="00152A78" w:rsidP="00152A78">
            <w:pPr>
              <w:jc w:val="center"/>
              <w:rPr>
                <w:rFonts w:ascii="Arial" w:hAnsi="Arial"/>
              </w:rPr>
            </w:pPr>
            <w:r>
              <w:rPr>
                <w:rFonts w:ascii="Arial" w:hAnsi="Arial"/>
              </w:rPr>
              <w:t>57.2</w:t>
            </w:r>
          </w:p>
        </w:tc>
        <w:tc>
          <w:tcPr>
            <w:tcW w:w="1440" w:type="dxa"/>
          </w:tcPr>
          <w:p w14:paraId="3C29FF42" w14:textId="77777777" w:rsidR="00152A78" w:rsidRPr="00E676D9" w:rsidRDefault="00152A78" w:rsidP="00152A78">
            <w:pPr>
              <w:jc w:val="center"/>
              <w:rPr>
                <w:rFonts w:ascii="Arial" w:hAnsi="Arial"/>
              </w:rPr>
            </w:pPr>
            <w:r>
              <w:rPr>
                <w:rFonts w:ascii="Arial" w:hAnsi="Arial"/>
              </w:rPr>
              <w:t>112.6</w:t>
            </w:r>
          </w:p>
        </w:tc>
        <w:tc>
          <w:tcPr>
            <w:tcW w:w="1440" w:type="dxa"/>
          </w:tcPr>
          <w:p w14:paraId="3232550E" w14:textId="77777777" w:rsidR="00152A78" w:rsidRPr="00E676D9" w:rsidRDefault="00152A78" w:rsidP="00152A78">
            <w:pPr>
              <w:jc w:val="center"/>
              <w:rPr>
                <w:rFonts w:ascii="Arial" w:hAnsi="Arial"/>
              </w:rPr>
            </w:pPr>
          </w:p>
        </w:tc>
      </w:tr>
      <w:tr w:rsidR="00152A78" w:rsidRPr="00E676D9" w14:paraId="0C95EEF3" w14:textId="77777777" w:rsidTr="00152A78">
        <w:tc>
          <w:tcPr>
            <w:tcW w:w="738" w:type="dxa"/>
          </w:tcPr>
          <w:p w14:paraId="209CED24" w14:textId="77777777" w:rsidR="00152A78" w:rsidRPr="00E676D9" w:rsidRDefault="00152A78" w:rsidP="00152A78">
            <w:pPr>
              <w:jc w:val="both"/>
              <w:rPr>
                <w:rFonts w:ascii="Arial" w:hAnsi="Arial"/>
              </w:rPr>
            </w:pPr>
            <w:r>
              <w:rPr>
                <w:rFonts w:ascii="Arial" w:hAnsi="Arial"/>
              </w:rPr>
              <w:t>A-6</w:t>
            </w:r>
          </w:p>
        </w:tc>
        <w:tc>
          <w:tcPr>
            <w:tcW w:w="450" w:type="dxa"/>
          </w:tcPr>
          <w:p w14:paraId="3F4237D9" w14:textId="77777777" w:rsidR="00152A78" w:rsidRPr="00E676D9" w:rsidRDefault="00152A78" w:rsidP="00152A78">
            <w:pPr>
              <w:jc w:val="center"/>
              <w:rPr>
                <w:rFonts w:ascii="Arial" w:hAnsi="Arial"/>
              </w:rPr>
            </w:pPr>
            <w:r>
              <w:rPr>
                <w:rFonts w:ascii="Arial" w:hAnsi="Arial"/>
              </w:rPr>
              <w:t>34</w:t>
            </w:r>
          </w:p>
        </w:tc>
        <w:tc>
          <w:tcPr>
            <w:tcW w:w="630" w:type="dxa"/>
          </w:tcPr>
          <w:p w14:paraId="6A655B64" w14:textId="77777777" w:rsidR="00152A78" w:rsidRPr="00E676D9" w:rsidRDefault="00152A78" w:rsidP="00152A78">
            <w:pPr>
              <w:jc w:val="center"/>
              <w:rPr>
                <w:rFonts w:ascii="Arial" w:hAnsi="Arial"/>
              </w:rPr>
            </w:pPr>
            <w:r>
              <w:rPr>
                <w:rFonts w:ascii="Arial" w:hAnsi="Arial"/>
              </w:rPr>
              <w:t>31.0</w:t>
            </w:r>
          </w:p>
        </w:tc>
        <w:tc>
          <w:tcPr>
            <w:tcW w:w="630" w:type="dxa"/>
          </w:tcPr>
          <w:p w14:paraId="4D700A2E" w14:textId="77777777" w:rsidR="00152A78" w:rsidRPr="00E676D9" w:rsidRDefault="00152A78" w:rsidP="00152A78">
            <w:pPr>
              <w:jc w:val="center"/>
              <w:rPr>
                <w:rFonts w:ascii="Arial" w:hAnsi="Arial"/>
              </w:rPr>
            </w:pPr>
            <w:r>
              <w:rPr>
                <w:rFonts w:ascii="Arial" w:hAnsi="Arial"/>
              </w:rPr>
              <w:t>12.1</w:t>
            </w:r>
          </w:p>
        </w:tc>
        <w:tc>
          <w:tcPr>
            <w:tcW w:w="720" w:type="dxa"/>
          </w:tcPr>
          <w:p w14:paraId="5E437468" w14:textId="77777777" w:rsidR="00152A78" w:rsidRPr="00E676D9" w:rsidRDefault="00152A78" w:rsidP="00152A78">
            <w:pPr>
              <w:jc w:val="center"/>
              <w:rPr>
                <w:rFonts w:ascii="Arial" w:hAnsi="Arial"/>
              </w:rPr>
            </w:pPr>
            <w:r>
              <w:rPr>
                <w:rFonts w:ascii="Arial" w:hAnsi="Arial"/>
              </w:rPr>
              <w:t>99</w:t>
            </w:r>
          </w:p>
        </w:tc>
        <w:tc>
          <w:tcPr>
            <w:tcW w:w="900" w:type="dxa"/>
          </w:tcPr>
          <w:p w14:paraId="5CD5909F" w14:textId="77777777" w:rsidR="00152A78" w:rsidRPr="00E676D9" w:rsidRDefault="00152A78" w:rsidP="00152A78">
            <w:pPr>
              <w:jc w:val="center"/>
              <w:rPr>
                <w:rFonts w:ascii="Arial" w:hAnsi="Arial"/>
              </w:rPr>
            </w:pPr>
            <w:r>
              <w:rPr>
                <w:rFonts w:ascii="Arial" w:hAnsi="Arial"/>
              </w:rPr>
              <w:t>54</w:t>
            </w:r>
          </w:p>
        </w:tc>
        <w:tc>
          <w:tcPr>
            <w:tcW w:w="810" w:type="dxa"/>
          </w:tcPr>
          <w:p w14:paraId="081A119C" w14:textId="77777777" w:rsidR="00152A78" w:rsidRPr="00E676D9" w:rsidRDefault="00152A78" w:rsidP="00152A78">
            <w:pPr>
              <w:jc w:val="center"/>
              <w:rPr>
                <w:rFonts w:ascii="Arial" w:hAnsi="Arial"/>
              </w:rPr>
            </w:pPr>
            <w:r>
              <w:rPr>
                <w:rFonts w:ascii="Arial" w:hAnsi="Arial"/>
              </w:rPr>
              <w:t>12.3</w:t>
            </w:r>
          </w:p>
        </w:tc>
        <w:tc>
          <w:tcPr>
            <w:tcW w:w="990" w:type="dxa"/>
          </w:tcPr>
          <w:p w14:paraId="6B224C16" w14:textId="77777777" w:rsidR="00152A78" w:rsidRPr="00E676D9" w:rsidRDefault="00152A78" w:rsidP="00152A78">
            <w:pPr>
              <w:jc w:val="center"/>
              <w:rPr>
                <w:rFonts w:ascii="Arial" w:hAnsi="Arial"/>
              </w:rPr>
            </w:pPr>
            <w:r>
              <w:rPr>
                <w:rFonts w:ascii="Arial" w:hAnsi="Arial"/>
              </w:rPr>
              <w:t>76.1</w:t>
            </w:r>
          </w:p>
        </w:tc>
        <w:tc>
          <w:tcPr>
            <w:tcW w:w="1440" w:type="dxa"/>
          </w:tcPr>
          <w:p w14:paraId="1DCDCD99" w14:textId="77777777" w:rsidR="00152A78" w:rsidRPr="00E676D9" w:rsidRDefault="00152A78" w:rsidP="00152A78">
            <w:pPr>
              <w:jc w:val="center"/>
              <w:rPr>
                <w:rFonts w:ascii="Arial" w:hAnsi="Arial"/>
              </w:rPr>
            </w:pPr>
            <w:r>
              <w:rPr>
                <w:rFonts w:ascii="Arial" w:hAnsi="Arial"/>
              </w:rPr>
              <w:t>121.5</w:t>
            </w:r>
          </w:p>
        </w:tc>
        <w:tc>
          <w:tcPr>
            <w:tcW w:w="1440" w:type="dxa"/>
          </w:tcPr>
          <w:p w14:paraId="7B5525BE" w14:textId="77777777" w:rsidR="00152A78" w:rsidRPr="00E676D9" w:rsidRDefault="00152A78" w:rsidP="00152A78">
            <w:pPr>
              <w:jc w:val="center"/>
              <w:rPr>
                <w:rFonts w:ascii="Arial" w:hAnsi="Arial"/>
              </w:rPr>
            </w:pPr>
            <w:r>
              <w:rPr>
                <w:rFonts w:ascii="Arial" w:hAnsi="Arial"/>
              </w:rPr>
              <w:t>5,500</w:t>
            </w:r>
          </w:p>
        </w:tc>
      </w:tr>
      <w:tr w:rsidR="00152A78" w:rsidRPr="00E676D9" w14:paraId="2FF508FF" w14:textId="77777777" w:rsidTr="00152A78">
        <w:tc>
          <w:tcPr>
            <w:tcW w:w="738" w:type="dxa"/>
          </w:tcPr>
          <w:p w14:paraId="6EFC9CBE" w14:textId="77777777" w:rsidR="00152A78" w:rsidRPr="00E676D9" w:rsidRDefault="00152A78" w:rsidP="00152A78">
            <w:pPr>
              <w:jc w:val="both"/>
              <w:rPr>
                <w:rFonts w:ascii="Arial" w:hAnsi="Arial"/>
              </w:rPr>
            </w:pPr>
            <w:r>
              <w:rPr>
                <w:rFonts w:ascii="Arial" w:hAnsi="Arial"/>
              </w:rPr>
              <w:t>A-7-5</w:t>
            </w:r>
          </w:p>
        </w:tc>
        <w:tc>
          <w:tcPr>
            <w:tcW w:w="450" w:type="dxa"/>
          </w:tcPr>
          <w:p w14:paraId="6C161543" w14:textId="77777777" w:rsidR="00152A78" w:rsidRPr="00E676D9" w:rsidRDefault="00152A78" w:rsidP="00152A78">
            <w:pPr>
              <w:jc w:val="center"/>
              <w:rPr>
                <w:rFonts w:ascii="Arial" w:hAnsi="Arial"/>
              </w:rPr>
            </w:pPr>
            <w:r>
              <w:rPr>
                <w:rFonts w:ascii="Arial" w:hAnsi="Arial"/>
              </w:rPr>
              <w:t>12</w:t>
            </w:r>
          </w:p>
        </w:tc>
        <w:tc>
          <w:tcPr>
            <w:tcW w:w="630" w:type="dxa"/>
          </w:tcPr>
          <w:p w14:paraId="263AAF71" w14:textId="77777777" w:rsidR="00152A78" w:rsidRPr="00E676D9" w:rsidRDefault="00152A78" w:rsidP="00152A78">
            <w:pPr>
              <w:jc w:val="center"/>
              <w:rPr>
                <w:rFonts w:ascii="Arial" w:hAnsi="Arial"/>
              </w:rPr>
            </w:pPr>
            <w:r>
              <w:rPr>
                <w:rFonts w:ascii="Arial" w:hAnsi="Arial"/>
              </w:rPr>
              <w:t>46.0</w:t>
            </w:r>
          </w:p>
        </w:tc>
        <w:tc>
          <w:tcPr>
            <w:tcW w:w="630" w:type="dxa"/>
          </w:tcPr>
          <w:p w14:paraId="34693E85" w14:textId="77777777" w:rsidR="00152A78" w:rsidRPr="00E676D9" w:rsidRDefault="00152A78" w:rsidP="00152A78">
            <w:pPr>
              <w:jc w:val="center"/>
              <w:rPr>
                <w:rFonts w:ascii="Arial" w:hAnsi="Arial"/>
              </w:rPr>
            </w:pPr>
            <w:r>
              <w:rPr>
                <w:rFonts w:ascii="Arial" w:hAnsi="Arial"/>
              </w:rPr>
              <w:t>14.5</w:t>
            </w:r>
          </w:p>
        </w:tc>
        <w:tc>
          <w:tcPr>
            <w:tcW w:w="720" w:type="dxa"/>
          </w:tcPr>
          <w:p w14:paraId="44903E32" w14:textId="77777777" w:rsidR="00152A78" w:rsidRPr="00E676D9" w:rsidRDefault="00152A78" w:rsidP="00152A78">
            <w:pPr>
              <w:jc w:val="center"/>
              <w:rPr>
                <w:rFonts w:ascii="Arial" w:hAnsi="Arial"/>
              </w:rPr>
            </w:pPr>
            <w:r>
              <w:rPr>
                <w:rFonts w:ascii="Arial" w:hAnsi="Arial"/>
              </w:rPr>
              <w:t>100</w:t>
            </w:r>
          </w:p>
        </w:tc>
        <w:tc>
          <w:tcPr>
            <w:tcW w:w="900" w:type="dxa"/>
          </w:tcPr>
          <w:p w14:paraId="6CAEE1BF" w14:textId="77777777" w:rsidR="00152A78" w:rsidRPr="00E676D9" w:rsidRDefault="00152A78" w:rsidP="00152A78">
            <w:pPr>
              <w:jc w:val="center"/>
              <w:rPr>
                <w:rFonts w:ascii="Arial" w:hAnsi="Arial"/>
              </w:rPr>
            </w:pPr>
            <w:r>
              <w:rPr>
                <w:rFonts w:ascii="Arial" w:hAnsi="Arial"/>
              </w:rPr>
              <w:t>57</w:t>
            </w:r>
          </w:p>
        </w:tc>
        <w:tc>
          <w:tcPr>
            <w:tcW w:w="810" w:type="dxa"/>
          </w:tcPr>
          <w:p w14:paraId="0C175793" w14:textId="77777777" w:rsidR="00152A78" w:rsidRPr="00E676D9" w:rsidRDefault="00152A78" w:rsidP="00152A78">
            <w:pPr>
              <w:jc w:val="center"/>
              <w:rPr>
                <w:rFonts w:ascii="Arial" w:hAnsi="Arial"/>
              </w:rPr>
            </w:pPr>
            <w:r>
              <w:rPr>
                <w:rFonts w:ascii="Arial" w:hAnsi="Arial"/>
              </w:rPr>
              <w:t>16.0</w:t>
            </w:r>
          </w:p>
        </w:tc>
        <w:tc>
          <w:tcPr>
            <w:tcW w:w="990" w:type="dxa"/>
          </w:tcPr>
          <w:p w14:paraId="76874730" w14:textId="77777777" w:rsidR="00152A78" w:rsidRPr="00E676D9" w:rsidRDefault="00152A78" w:rsidP="00152A78">
            <w:pPr>
              <w:jc w:val="center"/>
              <w:rPr>
                <w:rFonts w:ascii="Arial" w:hAnsi="Arial"/>
              </w:rPr>
            </w:pPr>
            <w:r>
              <w:rPr>
                <w:rFonts w:ascii="Arial" w:hAnsi="Arial"/>
              </w:rPr>
              <w:t>75.1</w:t>
            </w:r>
          </w:p>
        </w:tc>
        <w:tc>
          <w:tcPr>
            <w:tcW w:w="1440" w:type="dxa"/>
          </w:tcPr>
          <w:p w14:paraId="3EC303C2" w14:textId="77777777" w:rsidR="00152A78" w:rsidRPr="00E676D9" w:rsidRDefault="00152A78" w:rsidP="00152A78">
            <w:pPr>
              <w:jc w:val="center"/>
              <w:rPr>
                <w:rFonts w:ascii="Arial" w:hAnsi="Arial"/>
              </w:rPr>
            </w:pPr>
            <w:r>
              <w:rPr>
                <w:rFonts w:ascii="Arial" w:hAnsi="Arial"/>
              </w:rPr>
              <w:t>114.3</w:t>
            </w:r>
          </w:p>
        </w:tc>
        <w:tc>
          <w:tcPr>
            <w:tcW w:w="1440" w:type="dxa"/>
          </w:tcPr>
          <w:p w14:paraId="5A74051D" w14:textId="77777777" w:rsidR="00152A78" w:rsidRPr="00E676D9" w:rsidRDefault="00152A78" w:rsidP="00152A78">
            <w:pPr>
              <w:jc w:val="center"/>
              <w:rPr>
                <w:rFonts w:ascii="Arial" w:hAnsi="Arial"/>
              </w:rPr>
            </w:pPr>
            <w:r>
              <w:rPr>
                <w:rFonts w:ascii="Arial" w:hAnsi="Arial"/>
              </w:rPr>
              <w:t>8,000</w:t>
            </w:r>
          </w:p>
        </w:tc>
      </w:tr>
      <w:tr w:rsidR="00152A78" w:rsidRPr="00E676D9" w14:paraId="10C18355" w14:textId="77777777" w:rsidTr="00152A78">
        <w:tc>
          <w:tcPr>
            <w:tcW w:w="738" w:type="dxa"/>
          </w:tcPr>
          <w:p w14:paraId="6666E1D8" w14:textId="77777777" w:rsidR="00152A78" w:rsidRPr="00E676D9" w:rsidRDefault="00152A78" w:rsidP="00152A78">
            <w:pPr>
              <w:jc w:val="both"/>
              <w:rPr>
                <w:rFonts w:ascii="Arial" w:hAnsi="Arial"/>
              </w:rPr>
            </w:pPr>
            <w:r>
              <w:rPr>
                <w:rFonts w:ascii="Arial" w:hAnsi="Arial"/>
              </w:rPr>
              <w:t>A-7-6</w:t>
            </w:r>
          </w:p>
        </w:tc>
        <w:tc>
          <w:tcPr>
            <w:tcW w:w="450" w:type="dxa"/>
          </w:tcPr>
          <w:p w14:paraId="13F3190D" w14:textId="77777777" w:rsidR="00152A78" w:rsidRPr="00E676D9" w:rsidRDefault="00152A78" w:rsidP="00152A78">
            <w:pPr>
              <w:jc w:val="center"/>
              <w:rPr>
                <w:rFonts w:ascii="Arial" w:hAnsi="Arial"/>
              </w:rPr>
            </w:pPr>
            <w:r>
              <w:rPr>
                <w:rFonts w:ascii="Arial" w:hAnsi="Arial"/>
              </w:rPr>
              <w:t>6</w:t>
            </w:r>
          </w:p>
        </w:tc>
        <w:tc>
          <w:tcPr>
            <w:tcW w:w="630" w:type="dxa"/>
          </w:tcPr>
          <w:p w14:paraId="7014CBAE" w14:textId="77777777" w:rsidR="00152A78" w:rsidRPr="00E676D9" w:rsidRDefault="00152A78" w:rsidP="00152A78">
            <w:pPr>
              <w:jc w:val="center"/>
              <w:rPr>
                <w:rFonts w:ascii="Arial" w:hAnsi="Arial"/>
              </w:rPr>
            </w:pPr>
            <w:r>
              <w:rPr>
                <w:rFonts w:ascii="Arial" w:hAnsi="Arial"/>
              </w:rPr>
              <w:t>49.5</w:t>
            </w:r>
          </w:p>
        </w:tc>
        <w:tc>
          <w:tcPr>
            <w:tcW w:w="630" w:type="dxa"/>
          </w:tcPr>
          <w:p w14:paraId="68D6C8BF" w14:textId="77777777" w:rsidR="00152A78" w:rsidRPr="00E676D9" w:rsidRDefault="00152A78" w:rsidP="00152A78">
            <w:pPr>
              <w:jc w:val="center"/>
              <w:rPr>
                <w:rFonts w:ascii="Arial" w:hAnsi="Arial"/>
              </w:rPr>
            </w:pPr>
            <w:r>
              <w:rPr>
                <w:rFonts w:ascii="Arial" w:hAnsi="Arial"/>
              </w:rPr>
              <w:t>22.0</w:t>
            </w:r>
          </w:p>
        </w:tc>
        <w:tc>
          <w:tcPr>
            <w:tcW w:w="720" w:type="dxa"/>
          </w:tcPr>
          <w:p w14:paraId="12E02F04" w14:textId="77777777" w:rsidR="00152A78" w:rsidRPr="00E676D9" w:rsidRDefault="00152A78" w:rsidP="00152A78">
            <w:pPr>
              <w:jc w:val="center"/>
              <w:rPr>
                <w:rFonts w:ascii="Arial" w:hAnsi="Arial"/>
              </w:rPr>
            </w:pPr>
            <w:r>
              <w:rPr>
                <w:rFonts w:ascii="Arial" w:hAnsi="Arial"/>
              </w:rPr>
              <w:t>100</w:t>
            </w:r>
          </w:p>
        </w:tc>
        <w:tc>
          <w:tcPr>
            <w:tcW w:w="900" w:type="dxa"/>
          </w:tcPr>
          <w:p w14:paraId="3D7867F2" w14:textId="77777777" w:rsidR="00152A78" w:rsidRPr="00E676D9" w:rsidRDefault="00152A78" w:rsidP="00152A78">
            <w:pPr>
              <w:jc w:val="center"/>
              <w:rPr>
                <w:rFonts w:ascii="Arial" w:hAnsi="Arial"/>
              </w:rPr>
            </w:pPr>
            <w:r>
              <w:rPr>
                <w:rFonts w:ascii="Arial" w:hAnsi="Arial"/>
              </w:rPr>
              <w:t>64</w:t>
            </w:r>
          </w:p>
        </w:tc>
        <w:tc>
          <w:tcPr>
            <w:tcW w:w="810" w:type="dxa"/>
          </w:tcPr>
          <w:p w14:paraId="4F38914B" w14:textId="77777777" w:rsidR="00152A78" w:rsidRPr="00E676D9" w:rsidRDefault="00152A78" w:rsidP="00152A78">
            <w:pPr>
              <w:jc w:val="center"/>
              <w:rPr>
                <w:rFonts w:ascii="Arial" w:hAnsi="Arial"/>
              </w:rPr>
            </w:pPr>
            <w:r>
              <w:rPr>
                <w:rFonts w:ascii="Arial" w:hAnsi="Arial"/>
              </w:rPr>
              <w:t>16.8</w:t>
            </w:r>
          </w:p>
        </w:tc>
        <w:tc>
          <w:tcPr>
            <w:tcW w:w="990" w:type="dxa"/>
          </w:tcPr>
          <w:p w14:paraId="482AD70B" w14:textId="77777777" w:rsidR="00152A78" w:rsidRPr="00E676D9" w:rsidRDefault="00152A78" w:rsidP="00152A78">
            <w:pPr>
              <w:jc w:val="center"/>
              <w:rPr>
                <w:rFonts w:ascii="Arial" w:hAnsi="Arial"/>
              </w:rPr>
            </w:pPr>
            <w:r>
              <w:rPr>
                <w:rFonts w:ascii="Arial" w:hAnsi="Arial"/>
              </w:rPr>
              <w:t>76.8</w:t>
            </w:r>
          </w:p>
        </w:tc>
        <w:tc>
          <w:tcPr>
            <w:tcW w:w="1440" w:type="dxa"/>
          </w:tcPr>
          <w:p w14:paraId="2E8890F2" w14:textId="77777777" w:rsidR="00152A78" w:rsidRPr="00E676D9" w:rsidRDefault="00152A78" w:rsidP="00152A78">
            <w:pPr>
              <w:jc w:val="center"/>
              <w:rPr>
                <w:rFonts w:ascii="Arial" w:hAnsi="Arial"/>
              </w:rPr>
            </w:pPr>
            <w:r>
              <w:rPr>
                <w:rFonts w:ascii="Arial" w:hAnsi="Arial"/>
              </w:rPr>
              <w:t>110.1</w:t>
            </w:r>
          </w:p>
        </w:tc>
        <w:tc>
          <w:tcPr>
            <w:tcW w:w="1440" w:type="dxa"/>
          </w:tcPr>
          <w:p w14:paraId="482D667C" w14:textId="77777777" w:rsidR="00152A78" w:rsidRPr="00E676D9" w:rsidRDefault="00152A78" w:rsidP="00152A78">
            <w:pPr>
              <w:jc w:val="center"/>
              <w:rPr>
                <w:rFonts w:ascii="Arial" w:hAnsi="Arial"/>
              </w:rPr>
            </w:pPr>
            <w:r>
              <w:rPr>
                <w:rFonts w:ascii="Arial" w:hAnsi="Arial"/>
              </w:rPr>
              <w:t>7,500</w:t>
            </w:r>
          </w:p>
        </w:tc>
      </w:tr>
    </w:tbl>
    <w:p w14:paraId="6AD81703" w14:textId="77777777" w:rsidR="00152A78" w:rsidRDefault="00152A78" w:rsidP="00152A78">
      <w:pPr>
        <w:rPr>
          <w:rFonts w:ascii="Arial" w:hAnsi="Arial"/>
        </w:rPr>
      </w:pPr>
    </w:p>
    <w:p w14:paraId="7EF7C4B3" w14:textId="226DA768" w:rsidR="00152A78" w:rsidRDefault="00152A78" w:rsidP="00152A78">
      <w:pPr>
        <w:jc w:val="both"/>
        <w:rPr>
          <w:rFonts w:ascii="Arial" w:hAnsi="Arial"/>
          <w:sz w:val="22"/>
        </w:rPr>
      </w:pPr>
      <w:r w:rsidRPr="00675101">
        <w:rPr>
          <w:rFonts w:ascii="Arial" w:hAnsi="Arial"/>
          <w:sz w:val="22"/>
        </w:rPr>
        <w:t>The M</w:t>
      </w:r>
      <w:r w:rsidRPr="002F7593">
        <w:rPr>
          <w:rFonts w:ascii="Arial" w:hAnsi="Arial"/>
          <w:sz w:val="22"/>
          <w:vertAlign w:val="subscript"/>
        </w:rPr>
        <w:t>r</w:t>
      </w:r>
      <w:r w:rsidRPr="00675101">
        <w:rPr>
          <w:rFonts w:ascii="Arial" w:hAnsi="Arial"/>
          <w:sz w:val="22"/>
        </w:rPr>
        <w:t xml:space="preserve"> values in the table above shall be used when FWD analysis data or laboratory information </w:t>
      </w:r>
      <w:r w:rsidR="003109D7">
        <w:rPr>
          <w:rFonts w:ascii="Arial" w:hAnsi="Arial"/>
          <w:sz w:val="22"/>
        </w:rPr>
        <w:t>is</w:t>
      </w:r>
      <w:r w:rsidR="003109D7" w:rsidRPr="00675101">
        <w:rPr>
          <w:rFonts w:ascii="Arial" w:hAnsi="Arial"/>
          <w:sz w:val="22"/>
        </w:rPr>
        <w:t xml:space="preserve"> </w:t>
      </w:r>
      <w:r w:rsidRPr="00675101">
        <w:rPr>
          <w:rFonts w:ascii="Arial" w:hAnsi="Arial"/>
          <w:sz w:val="22"/>
        </w:rPr>
        <w:t>not available</w:t>
      </w:r>
      <w:r w:rsidR="001C4E4E">
        <w:rPr>
          <w:rFonts w:ascii="Arial" w:hAnsi="Arial"/>
          <w:sz w:val="22"/>
        </w:rPr>
        <w:t>, and when using PMED</w:t>
      </w:r>
      <w:r w:rsidRPr="00675101">
        <w:rPr>
          <w:rFonts w:ascii="Arial" w:hAnsi="Arial"/>
          <w:sz w:val="22"/>
        </w:rPr>
        <w:t xml:space="preserve">.  The subgrade strength is an extremely influential parameter in the AASHTO pavement design process and every effort shall be </w:t>
      </w:r>
      <w:r w:rsidR="003109D7" w:rsidRPr="00FB4841">
        <w:rPr>
          <w:rFonts w:ascii="Arial" w:hAnsi="Arial"/>
          <w:sz w:val="22"/>
        </w:rPr>
        <w:t>made</w:t>
      </w:r>
      <w:r w:rsidR="003109D7" w:rsidRPr="00675101">
        <w:rPr>
          <w:rFonts w:ascii="Arial" w:hAnsi="Arial"/>
          <w:sz w:val="22"/>
        </w:rPr>
        <w:t xml:space="preserve"> </w:t>
      </w:r>
      <w:r w:rsidRPr="00675101">
        <w:rPr>
          <w:rFonts w:ascii="Arial" w:hAnsi="Arial"/>
          <w:sz w:val="22"/>
        </w:rPr>
        <w:t>to obtain an accurate and specific value for each section.</w:t>
      </w:r>
    </w:p>
    <w:p w14:paraId="0241F58D" w14:textId="63BC038A" w:rsidR="00152A78" w:rsidRPr="00F530F1" w:rsidRDefault="00152A78" w:rsidP="002F7593">
      <w:pPr>
        <w:pStyle w:val="Heading3"/>
        <w:tabs>
          <w:tab w:val="left" w:pos="1080"/>
        </w:tabs>
        <w:spacing w:before="200"/>
        <w:ind w:hanging="1980"/>
      </w:pPr>
      <w:bookmarkStart w:id="205" w:name="_Coefficient_of_Thermal_1"/>
      <w:bookmarkEnd w:id="205"/>
      <w:r w:rsidRPr="00F530F1">
        <w:t>Coefficient of Thermal Expansion</w:t>
      </w:r>
      <w:r w:rsidR="003109D7">
        <w:t xml:space="preserve"> (CTE)</w:t>
      </w:r>
    </w:p>
    <w:p w14:paraId="3775D2B4" w14:textId="77777777" w:rsidR="00152A78" w:rsidRPr="00F530F1" w:rsidRDefault="00152A78" w:rsidP="00152A78">
      <w:pPr>
        <w:rPr>
          <w:rFonts w:ascii="Arial" w:hAnsi="Arial" w:cs="Arial"/>
          <w:bCs/>
          <w:sz w:val="16"/>
          <w:szCs w:val="16"/>
        </w:rPr>
      </w:pPr>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Requests_for_Pavement" w:history="1">
        <w:r w:rsidRPr="007066D7">
          <w:rPr>
            <w:rStyle w:val="Hyperlink"/>
            <w:rFonts w:ascii="Arial" w:hAnsi="Arial" w:cs="Arial"/>
            <w:bCs/>
            <w:sz w:val="16"/>
            <w:szCs w:val="16"/>
          </w:rPr>
          <w:t>Requests for Pavement Field Work</w:t>
        </w:r>
      </w:hyperlink>
    </w:p>
    <w:p w14:paraId="3E210AE0" w14:textId="77777777" w:rsidR="00152A78" w:rsidRPr="00F530F1" w:rsidRDefault="00152A78" w:rsidP="00152A78">
      <w:pPr>
        <w:rPr>
          <w:rFonts w:ascii="Arial" w:hAnsi="Arial" w:cs="Arial"/>
          <w:bCs/>
          <w:sz w:val="16"/>
          <w:szCs w:val="16"/>
        </w:rPr>
      </w:pPr>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Pavement_Mechanistic-Empirical_Anal" w:history="1">
        <w:r w:rsidRPr="00F530F1">
          <w:rPr>
            <w:rStyle w:val="Hyperlink"/>
            <w:rFonts w:ascii="Arial" w:hAnsi="Arial" w:cs="Arial"/>
            <w:bCs/>
            <w:sz w:val="16"/>
            <w:szCs w:val="16"/>
          </w:rPr>
          <w:t>Pavement Mechanistic-Empirical Analysis</w:t>
        </w:r>
      </w:hyperlink>
    </w:p>
    <w:p w14:paraId="14AB08CC" w14:textId="77777777" w:rsidR="00152A78" w:rsidRDefault="00152A78" w:rsidP="00152A78">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New_Pavement_Design_2" w:history="1">
        <w:r w:rsidRPr="00F530F1">
          <w:rPr>
            <w:rStyle w:val="Hyperlink"/>
            <w:rFonts w:ascii="Arial" w:hAnsi="Arial" w:cs="Arial"/>
            <w:bCs/>
            <w:sz w:val="16"/>
            <w:szCs w:val="16"/>
          </w:rPr>
          <w:t>New Pavement Design Using AASHTO 1993</w:t>
        </w:r>
      </w:hyperlink>
    </w:p>
    <w:p w14:paraId="007D3049" w14:textId="3EE0BF44" w:rsidR="00152A78" w:rsidRPr="00A66597" w:rsidRDefault="00152A78" w:rsidP="00152A78">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CRCP_steel_reinforcement_1" w:history="1">
        <w:r w:rsidRPr="00A66597">
          <w:rPr>
            <w:rStyle w:val="Hyperlink"/>
            <w:rFonts w:ascii="Arial" w:hAnsi="Arial" w:cs="Arial"/>
            <w:bCs/>
            <w:sz w:val="16"/>
            <w:szCs w:val="16"/>
          </w:rPr>
          <w:t xml:space="preserve">CRCP </w:t>
        </w:r>
        <w:r w:rsidR="00EB3B06" w:rsidRPr="00A66597">
          <w:rPr>
            <w:rStyle w:val="Hyperlink"/>
            <w:rFonts w:ascii="Arial" w:hAnsi="Arial" w:cs="Arial"/>
            <w:bCs/>
            <w:sz w:val="16"/>
            <w:szCs w:val="16"/>
          </w:rPr>
          <w:t>Steel Reinforcement Design In</w:t>
        </w:r>
        <w:r w:rsidRPr="00A66597">
          <w:rPr>
            <w:rStyle w:val="Hyperlink"/>
            <w:rFonts w:ascii="Arial" w:hAnsi="Arial" w:cs="Arial"/>
            <w:bCs/>
            <w:sz w:val="16"/>
            <w:szCs w:val="16"/>
          </w:rPr>
          <w:t>puts – AASHTO 1993</w:t>
        </w:r>
      </w:hyperlink>
    </w:p>
    <w:p w14:paraId="5DB22082" w14:textId="4F167064" w:rsidR="00152A78" w:rsidRDefault="00152A78" w:rsidP="00152A78">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Recommended_Thermal_Cracking" w:history="1">
        <w:r w:rsidRPr="00F530F1">
          <w:rPr>
            <w:rStyle w:val="Hyperlink"/>
            <w:rFonts w:ascii="Arial" w:hAnsi="Arial" w:cs="Arial"/>
            <w:bCs/>
            <w:sz w:val="16"/>
            <w:szCs w:val="16"/>
          </w:rPr>
          <w:t xml:space="preserve">Recommended Thermal Cracking Inputs for </w:t>
        </w:r>
        <w:r w:rsidR="003109D7">
          <w:rPr>
            <w:rStyle w:val="Hyperlink"/>
            <w:rFonts w:ascii="Arial" w:hAnsi="Arial" w:cs="Arial"/>
            <w:bCs/>
            <w:sz w:val="16"/>
            <w:szCs w:val="16"/>
          </w:rPr>
          <w:t>N</w:t>
        </w:r>
        <w:r w:rsidRPr="00F530F1">
          <w:rPr>
            <w:rStyle w:val="Hyperlink"/>
            <w:rFonts w:ascii="Arial" w:hAnsi="Arial" w:cs="Arial"/>
            <w:bCs/>
            <w:sz w:val="16"/>
            <w:szCs w:val="16"/>
          </w:rPr>
          <w:t>ew HMA Layers</w:t>
        </w:r>
      </w:hyperlink>
    </w:p>
    <w:p w14:paraId="1595F9B7" w14:textId="77777777" w:rsidR="00152A78" w:rsidRDefault="00152A78" w:rsidP="00152A78">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Recommended_PCC_Thermal" w:history="1">
        <w:r w:rsidRPr="00C263A6">
          <w:rPr>
            <w:rStyle w:val="Hyperlink"/>
            <w:rFonts w:ascii="Arial" w:hAnsi="Arial" w:cs="Arial"/>
            <w:bCs/>
            <w:sz w:val="16"/>
            <w:szCs w:val="16"/>
          </w:rPr>
          <w:t>Recommended PCC Thermal and Shrinkage Property Inputs</w:t>
        </w:r>
      </w:hyperlink>
    </w:p>
    <w:p w14:paraId="3599A24B" w14:textId="77777777" w:rsidR="00E96760" w:rsidRPr="008F604D" w:rsidRDefault="00E96760" w:rsidP="00E96760">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Pr>
          <w:rFonts w:ascii="Arial" w:eastAsia="Arial" w:hAnsi="Arial" w:cs="Arial"/>
          <w:sz w:val="16"/>
          <w:szCs w:val="16"/>
        </w:rPr>
        <w:t xml:space="preserve"> </w:t>
      </w:r>
      <w:hyperlink w:anchor="_Concrete_Overlay_Design_1" w:history="1">
        <w:r w:rsidRPr="00E96760">
          <w:rPr>
            <w:rStyle w:val="Hyperlink"/>
            <w:rFonts w:ascii="Arial" w:eastAsia="Arial" w:hAnsi="Arial" w:cs="Arial"/>
            <w:sz w:val="16"/>
            <w:szCs w:val="16"/>
          </w:rPr>
          <w:t>Concrete Overlay Design</w:t>
        </w:r>
      </w:hyperlink>
    </w:p>
    <w:p w14:paraId="61F3F5A7" w14:textId="77777777" w:rsidR="00152A78" w:rsidRPr="00F530F1" w:rsidRDefault="00152A78" w:rsidP="00152A78"/>
    <w:p w14:paraId="672402C6" w14:textId="77777777" w:rsidR="00152A78" w:rsidRDefault="00152A78" w:rsidP="00152A78">
      <w:pPr>
        <w:jc w:val="both"/>
        <w:rPr>
          <w:rFonts w:ascii="Arial" w:hAnsi="Arial"/>
          <w:sz w:val="22"/>
        </w:rPr>
      </w:pPr>
      <w:r>
        <w:rPr>
          <w:rFonts w:ascii="Arial" w:hAnsi="Arial"/>
          <w:sz w:val="22"/>
        </w:rPr>
        <w:t xml:space="preserve">The CTE values for the various types of aggregate used below can be used to adjust default CTE values.  </w:t>
      </w:r>
    </w:p>
    <w:p w14:paraId="6B8B507A" w14:textId="77777777" w:rsidR="00152A78" w:rsidRDefault="00152A78" w:rsidP="00152A78">
      <w:pPr>
        <w:jc w:val="both"/>
        <w:rPr>
          <w:rFonts w:ascii="Arial" w:hAnsi="Arial"/>
          <w:sz w:val="22"/>
        </w:rPr>
      </w:pPr>
    </w:p>
    <w:p w14:paraId="5A9B3D66" w14:textId="77777777" w:rsidR="00152A78" w:rsidRPr="00F530F1" w:rsidRDefault="00152A78" w:rsidP="00152A78">
      <w:pPr>
        <w:jc w:val="both"/>
        <w:rPr>
          <w:rFonts w:ascii="Arial" w:hAnsi="Arial"/>
          <w:sz w:val="22"/>
        </w:rPr>
      </w:pPr>
      <w:r>
        <w:rPr>
          <w:rFonts w:ascii="Arial" w:hAnsi="Arial"/>
          <w:sz w:val="22"/>
        </w:rPr>
        <w:t xml:space="preserve">If it is not specifically known which aggregate will be used, it can be estimated by the Region that the project is in.  If a section has more than one type of applicable aggregate, use the aggregate with the higher CTE value. </w:t>
      </w:r>
    </w:p>
    <w:p w14:paraId="108F4D3F" w14:textId="77777777" w:rsidR="00152A78" w:rsidRPr="00F530F1" w:rsidRDefault="00152A78" w:rsidP="00152A78">
      <w:pPr>
        <w:rPr>
          <w:rFonts w:ascii="Arial" w:hAnsi="Arial"/>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0"/>
        <w:gridCol w:w="1473"/>
        <w:gridCol w:w="3482"/>
      </w:tblGrid>
      <w:tr w:rsidR="00152A78" w:rsidRPr="00F530F1" w14:paraId="2B498C73" w14:textId="77777777" w:rsidTr="002F7593">
        <w:trPr>
          <w:trHeight w:val="288"/>
          <w:tblHeader/>
          <w:jc w:val="center"/>
        </w:trPr>
        <w:tc>
          <w:tcPr>
            <w:tcW w:w="3690" w:type="dxa"/>
            <w:shd w:val="pct12" w:color="auto" w:fill="FFFFFF"/>
            <w:vAlign w:val="center"/>
          </w:tcPr>
          <w:p w14:paraId="64931F89" w14:textId="77777777" w:rsidR="00152A78" w:rsidRPr="00F530F1" w:rsidRDefault="00152A78" w:rsidP="00152A78">
            <w:pPr>
              <w:jc w:val="center"/>
              <w:rPr>
                <w:rFonts w:ascii="Arial" w:hAnsi="Arial"/>
                <w:b/>
                <w:sz w:val="22"/>
              </w:rPr>
            </w:pPr>
            <w:r>
              <w:rPr>
                <w:rFonts w:ascii="Arial" w:hAnsi="Arial"/>
                <w:b/>
                <w:sz w:val="22"/>
              </w:rPr>
              <w:t>Region</w:t>
            </w:r>
          </w:p>
        </w:tc>
        <w:tc>
          <w:tcPr>
            <w:tcW w:w="1473" w:type="dxa"/>
            <w:shd w:val="pct12" w:color="auto" w:fill="FFFFFF"/>
            <w:vAlign w:val="center"/>
          </w:tcPr>
          <w:p w14:paraId="7B2DA6B4" w14:textId="77777777" w:rsidR="00152A78" w:rsidRPr="00F530F1" w:rsidRDefault="00152A78" w:rsidP="00152A78">
            <w:pPr>
              <w:jc w:val="center"/>
              <w:rPr>
                <w:rFonts w:ascii="Arial" w:hAnsi="Arial"/>
                <w:b/>
                <w:sz w:val="22"/>
              </w:rPr>
            </w:pPr>
            <w:r w:rsidRPr="00F530F1">
              <w:rPr>
                <w:rFonts w:ascii="Arial" w:hAnsi="Arial"/>
                <w:b/>
                <w:sz w:val="22"/>
              </w:rPr>
              <w:t>Type of Aggregate</w:t>
            </w:r>
          </w:p>
        </w:tc>
        <w:tc>
          <w:tcPr>
            <w:tcW w:w="3482" w:type="dxa"/>
            <w:shd w:val="pct12" w:color="auto" w:fill="FFFFFF"/>
            <w:vAlign w:val="center"/>
          </w:tcPr>
          <w:p w14:paraId="216142BA" w14:textId="2AE27A41" w:rsidR="00152A78" w:rsidRPr="00F530F1" w:rsidRDefault="00152A78" w:rsidP="00152A78">
            <w:pPr>
              <w:jc w:val="center"/>
              <w:rPr>
                <w:rFonts w:ascii="Arial" w:hAnsi="Arial"/>
                <w:b/>
                <w:sz w:val="22"/>
              </w:rPr>
            </w:pPr>
            <w:r w:rsidRPr="00F530F1">
              <w:rPr>
                <w:rFonts w:ascii="Arial" w:hAnsi="Arial"/>
                <w:b/>
                <w:sz w:val="22"/>
              </w:rPr>
              <w:t>Coefficient of Thermal Expansion (1x10</w:t>
            </w:r>
            <w:r w:rsidRPr="00F530F1">
              <w:rPr>
                <w:rFonts w:ascii="Arial" w:hAnsi="Arial"/>
                <w:b/>
                <w:sz w:val="22"/>
                <w:vertAlign w:val="superscript"/>
              </w:rPr>
              <w:t>-6</w:t>
            </w:r>
            <w:r w:rsidRPr="00F530F1">
              <w:rPr>
                <w:rFonts w:ascii="Arial" w:hAnsi="Arial"/>
                <w:b/>
                <w:sz w:val="22"/>
              </w:rPr>
              <w:t xml:space="preserve"> in</w:t>
            </w:r>
            <w:r w:rsidR="00EB3B06">
              <w:rPr>
                <w:rFonts w:ascii="Arial" w:hAnsi="Arial"/>
                <w:b/>
                <w:sz w:val="22"/>
              </w:rPr>
              <w:t>ch</w:t>
            </w:r>
            <w:r w:rsidRPr="00F530F1">
              <w:rPr>
                <w:rFonts w:ascii="Arial" w:hAnsi="Arial"/>
                <w:b/>
                <w:sz w:val="22"/>
              </w:rPr>
              <w:t>/in</w:t>
            </w:r>
            <w:r w:rsidR="00EB3B06">
              <w:rPr>
                <w:rFonts w:ascii="Arial" w:hAnsi="Arial"/>
                <w:b/>
                <w:sz w:val="22"/>
              </w:rPr>
              <w:t>ch</w:t>
            </w:r>
            <w:r w:rsidRPr="00F530F1">
              <w:rPr>
                <w:rFonts w:ascii="Arial" w:hAnsi="Arial"/>
                <w:b/>
                <w:sz w:val="22"/>
              </w:rPr>
              <w:t>/</w:t>
            </w:r>
            <w:r w:rsidRPr="00F530F1">
              <w:rPr>
                <w:rFonts w:ascii="Arial" w:hAnsi="Arial"/>
                <w:b/>
                <w:sz w:val="22"/>
              </w:rPr>
              <w:sym w:font="Symbol" w:char="F0B0"/>
            </w:r>
            <w:r w:rsidRPr="00F530F1">
              <w:rPr>
                <w:rFonts w:ascii="Arial" w:hAnsi="Arial"/>
                <w:b/>
                <w:sz w:val="22"/>
              </w:rPr>
              <w:t>F)</w:t>
            </w:r>
          </w:p>
        </w:tc>
      </w:tr>
      <w:tr w:rsidR="00152A78" w:rsidRPr="00F530F1" w14:paraId="21998E8B" w14:textId="77777777" w:rsidTr="002F7593">
        <w:trPr>
          <w:trHeight w:val="288"/>
          <w:jc w:val="center"/>
        </w:trPr>
        <w:tc>
          <w:tcPr>
            <w:tcW w:w="3690" w:type="dxa"/>
            <w:vAlign w:val="center"/>
          </w:tcPr>
          <w:p w14:paraId="3F9DD811" w14:textId="77777777" w:rsidR="00152A78" w:rsidRPr="00F530F1" w:rsidRDefault="00152A78" w:rsidP="00152A78">
            <w:pPr>
              <w:jc w:val="center"/>
              <w:rPr>
                <w:rFonts w:ascii="Arial" w:hAnsi="Arial"/>
                <w:sz w:val="22"/>
              </w:rPr>
            </w:pPr>
            <w:r>
              <w:rPr>
                <w:rFonts w:ascii="Arial" w:hAnsi="Arial"/>
                <w:sz w:val="22"/>
              </w:rPr>
              <w:t xml:space="preserve">Howard, Montgomery Co. </w:t>
            </w:r>
          </w:p>
        </w:tc>
        <w:tc>
          <w:tcPr>
            <w:tcW w:w="1473" w:type="dxa"/>
            <w:vAlign w:val="center"/>
          </w:tcPr>
          <w:p w14:paraId="2576D82C" w14:textId="77777777" w:rsidR="00152A78" w:rsidRPr="00F530F1" w:rsidRDefault="00152A78" w:rsidP="00152A78">
            <w:pPr>
              <w:jc w:val="center"/>
              <w:rPr>
                <w:rFonts w:ascii="Arial" w:hAnsi="Arial"/>
                <w:sz w:val="22"/>
              </w:rPr>
            </w:pPr>
            <w:r w:rsidRPr="00F530F1">
              <w:rPr>
                <w:rFonts w:ascii="Arial" w:hAnsi="Arial"/>
                <w:sz w:val="22"/>
              </w:rPr>
              <w:t>Basalt</w:t>
            </w:r>
          </w:p>
        </w:tc>
        <w:tc>
          <w:tcPr>
            <w:tcW w:w="3482" w:type="dxa"/>
            <w:vAlign w:val="center"/>
          </w:tcPr>
          <w:p w14:paraId="5B4FDB36" w14:textId="77777777" w:rsidR="00152A78" w:rsidRPr="00F530F1" w:rsidRDefault="00152A78" w:rsidP="00152A78">
            <w:pPr>
              <w:jc w:val="center"/>
              <w:rPr>
                <w:rFonts w:ascii="Arial" w:hAnsi="Arial"/>
                <w:sz w:val="22"/>
              </w:rPr>
            </w:pPr>
            <w:r w:rsidRPr="00F530F1">
              <w:rPr>
                <w:rFonts w:ascii="Arial" w:hAnsi="Arial"/>
                <w:sz w:val="22"/>
              </w:rPr>
              <w:t>4.8</w:t>
            </w:r>
          </w:p>
        </w:tc>
      </w:tr>
      <w:tr w:rsidR="00152A78" w:rsidRPr="00F530F1" w14:paraId="70936A96" w14:textId="77777777" w:rsidTr="002F7593">
        <w:trPr>
          <w:trHeight w:val="288"/>
          <w:jc w:val="center"/>
        </w:trPr>
        <w:tc>
          <w:tcPr>
            <w:tcW w:w="3690" w:type="dxa"/>
            <w:vAlign w:val="center"/>
          </w:tcPr>
          <w:p w14:paraId="1AFE41DD" w14:textId="77777777" w:rsidR="00152A78" w:rsidRPr="00F530F1" w:rsidRDefault="00152A78" w:rsidP="00152A78">
            <w:pPr>
              <w:jc w:val="center"/>
              <w:rPr>
                <w:rFonts w:ascii="Arial" w:hAnsi="Arial"/>
                <w:sz w:val="22"/>
              </w:rPr>
            </w:pPr>
            <w:r>
              <w:rPr>
                <w:rFonts w:ascii="Arial" w:hAnsi="Arial"/>
                <w:sz w:val="22"/>
              </w:rPr>
              <w:t>Eastern Washington Co.</w:t>
            </w:r>
          </w:p>
        </w:tc>
        <w:tc>
          <w:tcPr>
            <w:tcW w:w="1473" w:type="dxa"/>
            <w:vAlign w:val="center"/>
          </w:tcPr>
          <w:p w14:paraId="27318D2F" w14:textId="77777777" w:rsidR="00152A78" w:rsidRPr="00F530F1" w:rsidRDefault="00152A78" w:rsidP="00152A78">
            <w:pPr>
              <w:jc w:val="center"/>
              <w:rPr>
                <w:rFonts w:ascii="Arial" w:hAnsi="Arial"/>
                <w:sz w:val="22"/>
              </w:rPr>
            </w:pPr>
            <w:r w:rsidRPr="00F530F1">
              <w:rPr>
                <w:rFonts w:ascii="Arial" w:hAnsi="Arial"/>
                <w:sz w:val="22"/>
              </w:rPr>
              <w:t>Dolomite</w:t>
            </w:r>
          </w:p>
        </w:tc>
        <w:tc>
          <w:tcPr>
            <w:tcW w:w="3482" w:type="dxa"/>
            <w:vAlign w:val="center"/>
          </w:tcPr>
          <w:p w14:paraId="33020C02" w14:textId="77777777" w:rsidR="00152A78" w:rsidRPr="00F530F1" w:rsidRDefault="00152A78" w:rsidP="00152A78">
            <w:pPr>
              <w:jc w:val="center"/>
              <w:rPr>
                <w:rFonts w:ascii="Arial" w:hAnsi="Arial"/>
                <w:sz w:val="22"/>
              </w:rPr>
            </w:pPr>
            <w:r w:rsidRPr="00F530F1">
              <w:rPr>
                <w:rFonts w:ascii="Arial" w:hAnsi="Arial"/>
                <w:sz w:val="22"/>
              </w:rPr>
              <w:t>5.5</w:t>
            </w:r>
          </w:p>
        </w:tc>
      </w:tr>
      <w:tr w:rsidR="00152A78" w:rsidRPr="00F530F1" w14:paraId="2869DBC8" w14:textId="77777777" w:rsidTr="002F7593">
        <w:trPr>
          <w:trHeight w:val="288"/>
          <w:jc w:val="center"/>
        </w:trPr>
        <w:tc>
          <w:tcPr>
            <w:tcW w:w="3690" w:type="dxa"/>
            <w:vAlign w:val="center"/>
          </w:tcPr>
          <w:p w14:paraId="626CEFBB" w14:textId="77777777" w:rsidR="00152A78" w:rsidRPr="00F530F1" w:rsidRDefault="00152A78" w:rsidP="00152A78">
            <w:pPr>
              <w:jc w:val="center"/>
              <w:rPr>
                <w:rFonts w:ascii="Arial" w:hAnsi="Arial"/>
                <w:sz w:val="22"/>
              </w:rPr>
            </w:pPr>
            <w:r>
              <w:rPr>
                <w:rFonts w:ascii="Arial" w:hAnsi="Arial"/>
                <w:sz w:val="22"/>
              </w:rPr>
              <w:t>Cecil Co.</w:t>
            </w:r>
          </w:p>
        </w:tc>
        <w:tc>
          <w:tcPr>
            <w:tcW w:w="1473" w:type="dxa"/>
            <w:vAlign w:val="center"/>
          </w:tcPr>
          <w:p w14:paraId="0835C0DD" w14:textId="77777777" w:rsidR="00152A78" w:rsidRPr="00F530F1" w:rsidRDefault="00152A78" w:rsidP="00152A78">
            <w:pPr>
              <w:jc w:val="center"/>
              <w:rPr>
                <w:rFonts w:ascii="Arial" w:hAnsi="Arial"/>
                <w:sz w:val="22"/>
              </w:rPr>
            </w:pPr>
            <w:r w:rsidRPr="00F530F1">
              <w:rPr>
                <w:rFonts w:ascii="Arial" w:hAnsi="Arial"/>
                <w:sz w:val="22"/>
              </w:rPr>
              <w:t>Granite</w:t>
            </w:r>
          </w:p>
        </w:tc>
        <w:tc>
          <w:tcPr>
            <w:tcW w:w="3482" w:type="dxa"/>
            <w:vAlign w:val="center"/>
          </w:tcPr>
          <w:p w14:paraId="11348F4B" w14:textId="77777777" w:rsidR="00152A78" w:rsidRPr="00F530F1" w:rsidRDefault="00152A78" w:rsidP="00152A78">
            <w:pPr>
              <w:jc w:val="center"/>
              <w:rPr>
                <w:rFonts w:ascii="Arial" w:hAnsi="Arial"/>
                <w:sz w:val="22"/>
              </w:rPr>
            </w:pPr>
            <w:r w:rsidRPr="00F530F1">
              <w:rPr>
                <w:rFonts w:ascii="Arial" w:hAnsi="Arial"/>
                <w:sz w:val="22"/>
              </w:rPr>
              <w:t>5.3</w:t>
            </w:r>
          </w:p>
        </w:tc>
      </w:tr>
      <w:tr w:rsidR="00152A78" w:rsidRPr="00F530F1" w14:paraId="266D88FD" w14:textId="77777777" w:rsidTr="002F7593">
        <w:trPr>
          <w:trHeight w:val="288"/>
          <w:jc w:val="center"/>
        </w:trPr>
        <w:tc>
          <w:tcPr>
            <w:tcW w:w="3690" w:type="dxa"/>
            <w:vAlign w:val="center"/>
          </w:tcPr>
          <w:p w14:paraId="00214F97" w14:textId="77777777" w:rsidR="00152A78" w:rsidRPr="00F530F1" w:rsidRDefault="00152A78" w:rsidP="00152A78">
            <w:pPr>
              <w:jc w:val="center"/>
              <w:rPr>
                <w:rFonts w:ascii="Arial" w:hAnsi="Arial"/>
                <w:sz w:val="22"/>
              </w:rPr>
            </w:pPr>
            <w:r>
              <w:rPr>
                <w:rFonts w:ascii="Arial" w:hAnsi="Arial"/>
                <w:sz w:val="22"/>
              </w:rPr>
              <w:t>Western Carroll and west</w:t>
            </w:r>
          </w:p>
        </w:tc>
        <w:tc>
          <w:tcPr>
            <w:tcW w:w="1473" w:type="dxa"/>
            <w:vAlign w:val="center"/>
          </w:tcPr>
          <w:p w14:paraId="18F715B8" w14:textId="77777777" w:rsidR="00152A78" w:rsidRPr="00F530F1" w:rsidRDefault="00152A78" w:rsidP="00152A78">
            <w:pPr>
              <w:jc w:val="center"/>
              <w:rPr>
                <w:rFonts w:ascii="Arial" w:hAnsi="Arial"/>
                <w:sz w:val="22"/>
              </w:rPr>
            </w:pPr>
            <w:r w:rsidRPr="00F530F1">
              <w:rPr>
                <w:rFonts w:ascii="Arial" w:hAnsi="Arial"/>
                <w:sz w:val="22"/>
              </w:rPr>
              <w:t>Limestone</w:t>
            </w:r>
          </w:p>
        </w:tc>
        <w:tc>
          <w:tcPr>
            <w:tcW w:w="3482" w:type="dxa"/>
            <w:vAlign w:val="center"/>
          </w:tcPr>
          <w:p w14:paraId="5A0900B8" w14:textId="77777777" w:rsidR="00152A78" w:rsidRPr="00F530F1" w:rsidRDefault="00152A78" w:rsidP="00152A78">
            <w:pPr>
              <w:jc w:val="center"/>
              <w:rPr>
                <w:rFonts w:ascii="Arial" w:hAnsi="Arial"/>
                <w:sz w:val="22"/>
              </w:rPr>
            </w:pPr>
            <w:r w:rsidRPr="00F530F1">
              <w:rPr>
                <w:rFonts w:ascii="Arial" w:hAnsi="Arial"/>
                <w:sz w:val="22"/>
              </w:rPr>
              <w:t>3.8</w:t>
            </w:r>
          </w:p>
        </w:tc>
      </w:tr>
      <w:tr w:rsidR="00152A78" w:rsidRPr="00F530F1" w14:paraId="046D5243" w14:textId="77777777" w:rsidTr="002F7593">
        <w:trPr>
          <w:trHeight w:val="288"/>
          <w:jc w:val="center"/>
        </w:trPr>
        <w:tc>
          <w:tcPr>
            <w:tcW w:w="3690" w:type="dxa"/>
            <w:vAlign w:val="center"/>
          </w:tcPr>
          <w:p w14:paraId="532D1E69" w14:textId="77777777" w:rsidR="00152A78" w:rsidRPr="00F530F1" w:rsidRDefault="00152A78" w:rsidP="00152A78">
            <w:pPr>
              <w:jc w:val="center"/>
              <w:rPr>
                <w:rFonts w:ascii="Arial" w:hAnsi="Arial"/>
                <w:sz w:val="22"/>
              </w:rPr>
            </w:pPr>
            <w:r>
              <w:rPr>
                <w:rFonts w:ascii="Arial" w:hAnsi="Arial"/>
                <w:sz w:val="22"/>
              </w:rPr>
              <w:t>Eastern Carroll, Baltimore, Harford Co.</w:t>
            </w:r>
          </w:p>
        </w:tc>
        <w:tc>
          <w:tcPr>
            <w:tcW w:w="1473" w:type="dxa"/>
            <w:vAlign w:val="center"/>
          </w:tcPr>
          <w:p w14:paraId="04F48D72" w14:textId="77777777" w:rsidR="00152A78" w:rsidRPr="00F530F1" w:rsidRDefault="00152A78" w:rsidP="00152A78">
            <w:pPr>
              <w:jc w:val="center"/>
              <w:rPr>
                <w:rFonts w:ascii="Arial" w:hAnsi="Arial"/>
                <w:sz w:val="22"/>
              </w:rPr>
            </w:pPr>
            <w:r w:rsidRPr="00F530F1">
              <w:rPr>
                <w:rFonts w:ascii="Arial" w:hAnsi="Arial"/>
                <w:sz w:val="22"/>
              </w:rPr>
              <w:t>Marble</w:t>
            </w:r>
          </w:p>
        </w:tc>
        <w:tc>
          <w:tcPr>
            <w:tcW w:w="3482" w:type="dxa"/>
            <w:vAlign w:val="center"/>
          </w:tcPr>
          <w:p w14:paraId="34E30616" w14:textId="77777777" w:rsidR="00152A78" w:rsidRPr="00F530F1" w:rsidRDefault="00152A78" w:rsidP="00152A78">
            <w:pPr>
              <w:jc w:val="center"/>
              <w:rPr>
                <w:rFonts w:ascii="Arial" w:hAnsi="Arial"/>
                <w:sz w:val="22"/>
              </w:rPr>
            </w:pPr>
            <w:r w:rsidRPr="00F530F1">
              <w:rPr>
                <w:rFonts w:ascii="Arial" w:hAnsi="Arial"/>
                <w:sz w:val="22"/>
              </w:rPr>
              <w:t>3.9</w:t>
            </w:r>
          </w:p>
        </w:tc>
      </w:tr>
      <w:tr w:rsidR="00152A78" w:rsidRPr="00F530F1" w14:paraId="0C3EC7D9" w14:textId="77777777" w:rsidTr="002F7593">
        <w:trPr>
          <w:trHeight w:val="288"/>
          <w:jc w:val="center"/>
        </w:trPr>
        <w:tc>
          <w:tcPr>
            <w:tcW w:w="3690" w:type="dxa"/>
            <w:tcBorders>
              <w:top w:val="single" w:sz="4" w:space="0" w:color="auto"/>
              <w:left w:val="single" w:sz="4" w:space="0" w:color="auto"/>
              <w:bottom w:val="single" w:sz="4" w:space="0" w:color="auto"/>
              <w:right w:val="single" w:sz="4" w:space="0" w:color="auto"/>
            </w:tcBorders>
            <w:vAlign w:val="center"/>
          </w:tcPr>
          <w:p w14:paraId="70F986C4" w14:textId="77777777" w:rsidR="00152A78" w:rsidRPr="00F530F1" w:rsidRDefault="00152A78" w:rsidP="00152A78">
            <w:pPr>
              <w:jc w:val="center"/>
              <w:rPr>
                <w:rFonts w:ascii="Arial" w:hAnsi="Arial"/>
                <w:sz w:val="22"/>
              </w:rPr>
            </w:pPr>
            <w:r>
              <w:rPr>
                <w:rFonts w:ascii="Arial" w:hAnsi="Arial"/>
                <w:sz w:val="22"/>
              </w:rPr>
              <w:t>East of I-95</w:t>
            </w:r>
          </w:p>
        </w:tc>
        <w:tc>
          <w:tcPr>
            <w:tcW w:w="1473" w:type="dxa"/>
            <w:tcBorders>
              <w:top w:val="single" w:sz="4" w:space="0" w:color="auto"/>
              <w:left w:val="single" w:sz="4" w:space="0" w:color="auto"/>
              <w:bottom w:val="single" w:sz="4" w:space="0" w:color="auto"/>
              <w:right w:val="single" w:sz="4" w:space="0" w:color="auto"/>
            </w:tcBorders>
            <w:vAlign w:val="center"/>
          </w:tcPr>
          <w:p w14:paraId="2FB3F069" w14:textId="77777777" w:rsidR="00152A78" w:rsidRPr="00F530F1" w:rsidRDefault="00152A78" w:rsidP="00152A78">
            <w:pPr>
              <w:jc w:val="center"/>
              <w:rPr>
                <w:rFonts w:ascii="Arial" w:hAnsi="Arial"/>
                <w:sz w:val="22"/>
              </w:rPr>
            </w:pPr>
            <w:r w:rsidRPr="00F530F1">
              <w:rPr>
                <w:rFonts w:ascii="Arial" w:hAnsi="Arial"/>
                <w:sz w:val="22"/>
              </w:rPr>
              <w:t>Quartz</w:t>
            </w:r>
          </w:p>
        </w:tc>
        <w:tc>
          <w:tcPr>
            <w:tcW w:w="3482" w:type="dxa"/>
            <w:tcBorders>
              <w:top w:val="single" w:sz="4" w:space="0" w:color="auto"/>
              <w:left w:val="single" w:sz="4" w:space="0" w:color="auto"/>
              <w:bottom w:val="single" w:sz="4" w:space="0" w:color="auto"/>
              <w:right w:val="single" w:sz="4" w:space="0" w:color="auto"/>
            </w:tcBorders>
            <w:vAlign w:val="center"/>
          </w:tcPr>
          <w:p w14:paraId="251AB281" w14:textId="77777777" w:rsidR="00152A78" w:rsidRPr="00F530F1" w:rsidRDefault="00152A78" w:rsidP="00152A78">
            <w:pPr>
              <w:jc w:val="center"/>
              <w:rPr>
                <w:rFonts w:ascii="Arial" w:hAnsi="Arial"/>
                <w:sz w:val="22"/>
              </w:rPr>
            </w:pPr>
            <w:r w:rsidRPr="00F530F1">
              <w:rPr>
                <w:rFonts w:ascii="Arial" w:hAnsi="Arial"/>
                <w:sz w:val="22"/>
              </w:rPr>
              <w:t>6.6</w:t>
            </w:r>
          </w:p>
        </w:tc>
      </w:tr>
      <w:tr w:rsidR="00152A78" w:rsidRPr="00F530F1" w14:paraId="65F65BA0" w14:textId="77777777" w:rsidTr="002F7593">
        <w:trPr>
          <w:trHeight w:val="288"/>
          <w:jc w:val="center"/>
        </w:trPr>
        <w:tc>
          <w:tcPr>
            <w:tcW w:w="3690" w:type="dxa"/>
            <w:tcBorders>
              <w:top w:val="single" w:sz="4" w:space="0" w:color="auto"/>
              <w:left w:val="single" w:sz="4" w:space="0" w:color="auto"/>
              <w:bottom w:val="single" w:sz="4" w:space="0" w:color="auto"/>
              <w:right w:val="single" w:sz="4" w:space="0" w:color="auto"/>
            </w:tcBorders>
            <w:vAlign w:val="center"/>
          </w:tcPr>
          <w:p w14:paraId="5F858029" w14:textId="77777777" w:rsidR="00152A78" w:rsidRPr="00F530F1" w:rsidRDefault="00152A78" w:rsidP="00152A78">
            <w:pPr>
              <w:jc w:val="center"/>
              <w:rPr>
                <w:rFonts w:ascii="Arial" w:hAnsi="Arial"/>
                <w:sz w:val="22"/>
              </w:rPr>
            </w:pPr>
            <w:r>
              <w:rPr>
                <w:rFonts w:ascii="Arial" w:hAnsi="Arial"/>
                <w:sz w:val="22"/>
              </w:rPr>
              <w:t>Western Washington Co. and west</w:t>
            </w:r>
          </w:p>
        </w:tc>
        <w:tc>
          <w:tcPr>
            <w:tcW w:w="1473" w:type="dxa"/>
            <w:tcBorders>
              <w:top w:val="single" w:sz="4" w:space="0" w:color="auto"/>
              <w:left w:val="single" w:sz="4" w:space="0" w:color="auto"/>
              <w:bottom w:val="single" w:sz="4" w:space="0" w:color="auto"/>
              <w:right w:val="single" w:sz="4" w:space="0" w:color="auto"/>
            </w:tcBorders>
            <w:vAlign w:val="center"/>
          </w:tcPr>
          <w:p w14:paraId="1F9284CE" w14:textId="77777777" w:rsidR="00152A78" w:rsidRPr="00F530F1" w:rsidRDefault="00152A78" w:rsidP="00152A78">
            <w:pPr>
              <w:jc w:val="center"/>
              <w:rPr>
                <w:rFonts w:ascii="Arial" w:hAnsi="Arial"/>
                <w:sz w:val="22"/>
              </w:rPr>
            </w:pPr>
            <w:r w:rsidRPr="00F530F1">
              <w:rPr>
                <w:rFonts w:ascii="Arial" w:hAnsi="Arial"/>
                <w:sz w:val="22"/>
              </w:rPr>
              <w:t>Sandstone</w:t>
            </w:r>
          </w:p>
        </w:tc>
        <w:tc>
          <w:tcPr>
            <w:tcW w:w="3482" w:type="dxa"/>
            <w:tcBorders>
              <w:top w:val="single" w:sz="4" w:space="0" w:color="auto"/>
              <w:left w:val="single" w:sz="4" w:space="0" w:color="auto"/>
              <w:bottom w:val="single" w:sz="4" w:space="0" w:color="auto"/>
              <w:right w:val="single" w:sz="4" w:space="0" w:color="auto"/>
            </w:tcBorders>
            <w:vAlign w:val="center"/>
          </w:tcPr>
          <w:p w14:paraId="52FD997E" w14:textId="77777777" w:rsidR="00152A78" w:rsidRPr="00F530F1" w:rsidRDefault="00152A78" w:rsidP="00152A78">
            <w:pPr>
              <w:jc w:val="center"/>
              <w:rPr>
                <w:rFonts w:ascii="Arial" w:hAnsi="Arial"/>
                <w:sz w:val="22"/>
              </w:rPr>
            </w:pPr>
            <w:r w:rsidRPr="00F530F1">
              <w:rPr>
                <w:rFonts w:ascii="Arial" w:hAnsi="Arial"/>
                <w:sz w:val="22"/>
              </w:rPr>
              <w:t>6.5</w:t>
            </w:r>
          </w:p>
        </w:tc>
      </w:tr>
    </w:tbl>
    <w:p w14:paraId="3725F5B2" w14:textId="77777777" w:rsidR="00152A78" w:rsidRDefault="00152A78" w:rsidP="00152A78">
      <w:pPr>
        <w:jc w:val="both"/>
        <w:rPr>
          <w:rFonts w:ascii="Arial" w:hAnsi="Arial"/>
          <w:sz w:val="22"/>
        </w:rPr>
      </w:pPr>
    </w:p>
    <w:p w14:paraId="464F8F12" w14:textId="4D78E5DB" w:rsidR="00152A78" w:rsidRPr="00EE5F0E" w:rsidRDefault="00152A78" w:rsidP="00152A78">
      <w:pPr>
        <w:jc w:val="both"/>
        <w:rPr>
          <w:rFonts w:ascii="Arial" w:hAnsi="Arial"/>
          <w:sz w:val="22"/>
        </w:rPr>
      </w:pPr>
      <w:r w:rsidRPr="00F530F1">
        <w:rPr>
          <w:rFonts w:ascii="Arial" w:hAnsi="Arial"/>
          <w:sz w:val="22"/>
        </w:rPr>
        <w:t>The steel coefficient of thermal expansion should be dependent on the steel type manu</w:t>
      </w:r>
      <w:r w:rsidRPr="00EE5F0E">
        <w:rPr>
          <w:rFonts w:ascii="Arial" w:hAnsi="Arial"/>
          <w:sz w:val="22"/>
        </w:rPr>
        <w:t xml:space="preserve">facturer.  Without that knowledge, the designer should use </w:t>
      </w:r>
      <w:r w:rsidR="00B117D7" w:rsidRPr="00EE5F0E">
        <w:rPr>
          <w:rFonts w:ascii="Arial" w:hAnsi="Arial"/>
          <w:b/>
          <w:sz w:val="22"/>
        </w:rPr>
        <w:t>6 X 10</w:t>
      </w:r>
      <w:r w:rsidR="00B117D7" w:rsidRPr="00EE5F0E">
        <w:rPr>
          <w:rFonts w:ascii="Arial" w:hAnsi="Arial"/>
          <w:b/>
          <w:sz w:val="22"/>
          <w:vertAlign w:val="superscript"/>
        </w:rPr>
        <w:t>-6</w:t>
      </w:r>
      <w:r w:rsidR="00B117D7" w:rsidRPr="00EE5F0E">
        <w:rPr>
          <w:rFonts w:ascii="Arial" w:hAnsi="Arial"/>
          <w:b/>
          <w:sz w:val="22"/>
        </w:rPr>
        <w:t xml:space="preserve"> in</w:t>
      </w:r>
      <w:r w:rsidR="00EB3B06">
        <w:rPr>
          <w:rFonts w:ascii="Arial" w:hAnsi="Arial"/>
          <w:b/>
          <w:sz w:val="22"/>
        </w:rPr>
        <w:t>ch</w:t>
      </w:r>
      <w:r w:rsidR="00B117D7" w:rsidRPr="00EE5F0E">
        <w:rPr>
          <w:rFonts w:ascii="Arial" w:hAnsi="Arial"/>
          <w:b/>
          <w:sz w:val="22"/>
        </w:rPr>
        <w:t>/in</w:t>
      </w:r>
      <w:r w:rsidR="00EB3B06">
        <w:rPr>
          <w:rFonts w:ascii="Arial" w:hAnsi="Arial"/>
          <w:b/>
          <w:sz w:val="22"/>
        </w:rPr>
        <w:t>ch</w:t>
      </w:r>
      <w:r w:rsidR="00B117D7" w:rsidRPr="00EE5F0E">
        <w:rPr>
          <w:rFonts w:ascii="Arial" w:hAnsi="Arial"/>
          <w:b/>
          <w:sz w:val="22"/>
        </w:rPr>
        <w:t>/</w:t>
      </w:r>
      <w:r w:rsidR="00B117D7" w:rsidRPr="00EE5F0E">
        <w:sym w:font="Symbol" w:char="F0B0"/>
      </w:r>
      <w:r w:rsidR="00B117D7" w:rsidRPr="00EE5F0E">
        <w:rPr>
          <w:rFonts w:ascii="Arial" w:hAnsi="Arial"/>
          <w:b/>
          <w:sz w:val="22"/>
        </w:rPr>
        <w:t>F</w:t>
      </w:r>
      <w:r w:rsidR="00B117D7" w:rsidRPr="00EE5F0E">
        <w:rPr>
          <w:rFonts w:ascii="Arial" w:hAnsi="Arial"/>
          <w:sz w:val="22"/>
        </w:rPr>
        <w:t xml:space="preserve"> </w:t>
      </w:r>
      <w:r w:rsidRPr="00EE5F0E">
        <w:rPr>
          <w:rFonts w:ascii="Arial" w:hAnsi="Arial"/>
          <w:sz w:val="22"/>
        </w:rPr>
        <w:t>for the reinforcing steel coefficient of expansion</w:t>
      </w:r>
      <w:r w:rsidR="00B117D7">
        <w:rPr>
          <w:rFonts w:ascii="Arial" w:hAnsi="Arial"/>
          <w:sz w:val="22"/>
        </w:rPr>
        <w:t>.</w:t>
      </w:r>
    </w:p>
    <w:p w14:paraId="75308478" w14:textId="77777777" w:rsidR="00152A78" w:rsidRPr="00EE5F0E" w:rsidRDefault="00152A78" w:rsidP="002F7593">
      <w:pPr>
        <w:pStyle w:val="Heading3"/>
        <w:tabs>
          <w:tab w:val="left" w:pos="1080"/>
        </w:tabs>
        <w:ind w:hanging="1980"/>
      </w:pPr>
      <w:bookmarkStart w:id="206" w:name="_General_Ranges_for"/>
      <w:bookmarkEnd w:id="206"/>
      <w:r w:rsidRPr="00EE5F0E">
        <w:lastRenderedPageBreak/>
        <w:t xml:space="preserve">General Ranges for Surface / Base Elastic Modulus </w:t>
      </w:r>
    </w:p>
    <w:p w14:paraId="6156F51D" w14:textId="77777777" w:rsidR="00152A78" w:rsidRPr="00F530F1" w:rsidRDefault="00152A78" w:rsidP="00152A78">
      <w:r w:rsidRPr="00F530F1">
        <w:rPr>
          <w:rFonts w:ascii="Arial" w:eastAsia="Arial" w:hAnsi="Arial" w:cs="Arial"/>
          <w:sz w:val="16"/>
        </w:rPr>
        <w:t>Click to go</w:t>
      </w:r>
      <w:r w:rsidRPr="00F530F1">
        <w:rPr>
          <w:rFonts w:ascii="Arial" w:eastAsia="Arial" w:hAnsi="Arial" w:cs="Arial"/>
          <w:sz w:val="16"/>
          <w:szCs w:val="16"/>
        </w:rPr>
        <w:t xml:space="preserve"> to</w:t>
      </w:r>
      <w:r w:rsidRPr="00F530F1">
        <w:rPr>
          <w:rFonts w:ascii="Arial" w:hAnsi="Arial" w:cs="Arial"/>
          <w:bCs/>
          <w:sz w:val="16"/>
          <w:szCs w:val="16"/>
        </w:rPr>
        <w:t xml:space="preserve"> </w:t>
      </w:r>
      <w:hyperlink w:anchor="_New_Pavement_Design_2" w:history="1">
        <w:r w:rsidRPr="00F530F1">
          <w:rPr>
            <w:rStyle w:val="Hyperlink"/>
            <w:rFonts w:ascii="Arial" w:hAnsi="Arial" w:cs="Arial"/>
            <w:bCs/>
            <w:sz w:val="16"/>
            <w:szCs w:val="16"/>
          </w:rPr>
          <w:t>New Pavement Design Using AASHTO 1993</w:t>
        </w:r>
      </w:hyperlink>
    </w:p>
    <w:p w14:paraId="60064DBF" w14:textId="77777777" w:rsidR="00152A78" w:rsidRDefault="00152A78" w:rsidP="00152A78">
      <w:pPr>
        <w:rPr>
          <w:rStyle w:val="Hyperlink"/>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6CE18E06" w14:textId="77777777" w:rsidR="00BF63E8" w:rsidRPr="008F604D" w:rsidRDefault="00BF63E8" w:rsidP="00BF63E8">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Pr>
          <w:rFonts w:ascii="Arial" w:eastAsia="Arial" w:hAnsi="Arial" w:cs="Arial"/>
          <w:sz w:val="16"/>
          <w:szCs w:val="16"/>
        </w:rPr>
        <w:t xml:space="preserve"> </w:t>
      </w:r>
      <w:hyperlink w:anchor="_Bonded_Concrete_Overlay" w:history="1">
        <w:r w:rsidRPr="00CE7C47">
          <w:rPr>
            <w:rStyle w:val="Hyperlink"/>
            <w:rFonts w:ascii="Arial" w:eastAsia="Arial" w:hAnsi="Arial" w:cs="Arial"/>
            <w:sz w:val="16"/>
            <w:szCs w:val="16"/>
          </w:rPr>
          <w:t>Bonded Concrete Overlay over Asphalt – ACPA</w:t>
        </w:r>
      </w:hyperlink>
      <w:r w:rsidRPr="008F604D">
        <w:t xml:space="preserve"> </w:t>
      </w:r>
    </w:p>
    <w:p w14:paraId="24125CC4" w14:textId="77777777" w:rsidR="00152A78" w:rsidRPr="00EE5F0E" w:rsidRDefault="00152A78" w:rsidP="00152A7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926"/>
        <w:gridCol w:w="1926"/>
        <w:gridCol w:w="1926"/>
      </w:tblGrid>
      <w:tr w:rsidR="00152A78" w:rsidRPr="00EE5F0E" w14:paraId="707BA094" w14:textId="77777777" w:rsidTr="002F7593">
        <w:trPr>
          <w:tblHeader/>
          <w:jc w:val="center"/>
        </w:trPr>
        <w:tc>
          <w:tcPr>
            <w:tcW w:w="3078" w:type="dxa"/>
            <w:shd w:val="pct12" w:color="auto" w:fill="FFFFFF"/>
            <w:vAlign w:val="center"/>
          </w:tcPr>
          <w:p w14:paraId="6F7D83EC" w14:textId="77777777" w:rsidR="00152A78" w:rsidRPr="00EE5F0E" w:rsidRDefault="00152A78" w:rsidP="00152A78">
            <w:pPr>
              <w:jc w:val="center"/>
              <w:rPr>
                <w:rFonts w:ascii="Arial" w:hAnsi="Arial"/>
                <w:b/>
                <w:sz w:val="22"/>
              </w:rPr>
            </w:pPr>
            <w:r w:rsidRPr="00EE5F0E">
              <w:rPr>
                <w:rFonts w:ascii="Arial" w:hAnsi="Arial"/>
                <w:b/>
                <w:sz w:val="22"/>
              </w:rPr>
              <w:t>Material</w:t>
            </w:r>
          </w:p>
        </w:tc>
        <w:tc>
          <w:tcPr>
            <w:tcW w:w="1926" w:type="dxa"/>
            <w:shd w:val="pct12" w:color="auto" w:fill="FFFFFF"/>
            <w:vAlign w:val="center"/>
          </w:tcPr>
          <w:p w14:paraId="3D3AE1D5" w14:textId="77777777" w:rsidR="00152A78" w:rsidRPr="00EE5F0E" w:rsidRDefault="00152A78" w:rsidP="00152A78">
            <w:pPr>
              <w:jc w:val="center"/>
              <w:rPr>
                <w:rFonts w:ascii="Arial" w:hAnsi="Arial"/>
                <w:b/>
                <w:sz w:val="22"/>
              </w:rPr>
            </w:pPr>
            <w:r w:rsidRPr="00EE5F0E">
              <w:rPr>
                <w:rFonts w:ascii="Arial" w:hAnsi="Arial"/>
                <w:b/>
                <w:sz w:val="22"/>
              </w:rPr>
              <w:t>Minimum Modulus (psi)</w:t>
            </w:r>
          </w:p>
        </w:tc>
        <w:tc>
          <w:tcPr>
            <w:tcW w:w="1926" w:type="dxa"/>
            <w:shd w:val="pct12" w:color="auto" w:fill="FFFFFF"/>
            <w:vAlign w:val="center"/>
          </w:tcPr>
          <w:p w14:paraId="16F66DD7" w14:textId="77777777" w:rsidR="00152A78" w:rsidRPr="00EE5F0E" w:rsidRDefault="00152A78" w:rsidP="00152A78">
            <w:pPr>
              <w:jc w:val="center"/>
              <w:rPr>
                <w:rFonts w:ascii="Arial" w:hAnsi="Arial"/>
                <w:b/>
                <w:sz w:val="22"/>
              </w:rPr>
            </w:pPr>
            <w:r w:rsidRPr="00EE5F0E">
              <w:rPr>
                <w:rFonts w:ascii="Arial" w:hAnsi="Arial"/>
                <w:b/>
                <w:sz w:val="22"/>
              </w:rPr>
              <w:t>Typical Modulus (psi)</w:t>
            </w:r>
          </w:p>
        </w:tc>
        <w:tc>
          <w:tcPr>
            <w:tcW w:w="1926" w:type="dxa"/>
            <w:shd w:val="pct12" w:color="auto" w:fill="FFFFFF"/>
            <w:vAlign w:val="center"/>
          </w:tcPr>
          <w:p w14:paraId="06E09332" w14:textId="77777777" w:rsidR="00152A78" w:rsidRPr="00EE5F0E" w:rsidRDefault="00152A78" w:rsidP="00152A78">
            <w:pPr>
              <w:jc w:val="center"/>
              <w:rPr>
                <w:rFonts w:ascii="Arial" w:hAnsi="Arial"/>
                <w:b/>
                <w:sz w:val="22"/>
              </w:rPr>
            </w:pPr>
            <w:r w:rsidRPr="00EE5F0E">
              <w:rPr>
                <w:rFonts w:ascii="Arial" w:hAnsi="Arial"/>
                <w:b/>
                <w:sz w:val="22"/>
              </w:rPr>
              <w:t>Maximum Modulus (psi)</w:t>
            </w:r>
          </w:p>
        </w:tc>
      </w:tr>
      <w:tr w:rsidR="00152A78" w:rsidRPr="0041217B" w14:paraId="21B068FE" w14:textId="77777777" w:rsidTr="002F7593">
        <w:trPr>
          <w:jc w:val="center"/>
        </w:trPr>
        <w:tc>
          <w:tcPr>
            <w:tcW w:w="3078" w:type="dxa"/>
          </w:tcPr>
          <w:p w14:paraId="51CC4F8A" w14:textId="0B9F71E1" w:rsidR="00152A78" w:rsidRPr="0041217B" w:rsidRDefault="00C53D1A" w:rsidP="00152A78">
            <w:pPr>
              <w:rPr>
                <w:rFonts w:ascii="Arial" w:hAnsi="Arial"/>
                <w:sz w:val="22"/>
              </w:rPr>
            </w:pPr>
            <w:r>
              <w:rPr>
                <w:rFonts w:ascii="Arial" w:hAnsi="Arial"/>
                <w:sz w:val="22"/>
              </w:rPr>
              <w:t>Cement Treated</w:t>
            </w:r>
            <w:r w:rsidR="00152A78" w:rsidRPr="0041217B">
              <w:rPr>
                <w:rFonts w:ascii="Arial" w:hAnsi="Arial"/>
                <w:sz w:val="22"/>
              </w:rPr>
              <w:t xml:space="preserve"> Base Course</w:t>
            </w:r>
            <w:r w:rsidR="00152A78">
              <w:rPr>
                <w:rFonts w:ascii="Arial" w:hAnsi="Arial"/>
                <w:sz w:val="22"/>
                <w:vertAlign w:val="superscript"/>
              </w:rPr>
              <w:t>1</w:t>
            </w:r>
          </w:p>
        </w:tc>
        <w:tc>
          <w:tcPr>
            <w:tcW w:w="1926" w:type="dxa"/>
            <w:vAlign w:val="center"/>
          </w:tcPr>
          <w:p w14:paraId="2614520D" w14:textId="77777777" w:rsidR="00152A78" w:rsidRPr="0041217B" w:rsidRDefault="00152A78" w:rsidP="00152A78">
            <w:pPr>
              <w:jc w:val="center"/>
              <w:rPr>
                <w:rFonts w:ascii="Arial" w:hAnsi="Arial"/>
                <w:sz w:val="22"/>
              </w:rPr>
            </w:pPr>
            <w:r w:rsidRPr="0041217B">
              <w:rPr>
                <w:rFonts w:ascii="Arial" w:hAnsi="Arial"/>
                <w:sz w:val="22"/>
              </w:rPr>
              <w:t>15,000</w:t>
            </w:r>
          </w:p>
        </w:tc>
        <w:tc>
          <w:tcPr>
            <w:tcW w:w="1926" w:type="dxa"/>
            <w:vAlign w:val="center"/>
          </w:tcPr>
          <w:p w14:paraId="749C8C4B" w14:textId="77777777" w:rsidR="00152A78" w:rsidRPr="0041217B" w:rsidRDefault="00152A78" w:rsidP="00152A78">
            <w:pPr>
              <w:jc w:val="center"/>
              <w:rPr>
                <w:rFonts w:ascii="Arial" w:hAnsi="Arial"/>
                <w:sz w:val="22"/>
              </w:rPr>
            </w:pPr>
            <w:r w:rsidRPr="0041217B">
              <w:rPr>
                <w:rFonts w:ascii="Arial" w:hAnsi="Arial"/>
                <w:sz w:val="22"/>
              </w:rPr>
              <w:t>400,000</w:t>
            </w:r>
          </w:p>
        </w:tc>
        <w:tc>
          <w:tcPr>
            <w:tcW w:w="1926" w:type="dxa"/>
            <w:vAlign w:val="center"/>
          </w:tcPr>
          <w:p w14:paraId="34BF15B4" w14:textId="77777777" w:rsidR="00152A78" w:rsidRPr="0041217B" w:rsidRDefault="00152A78" w:rsidP="00152A78">
            <w:pPr>
              <w:jc w:val="center"/>
              <w:rPr>
                <w:rFonts w:ascii="Arial" w:hAnsi="Arial"/>
                <w:sz w:val="22"/>
              </w:rPr>
            </w:pPr>
            <w:r w:rsidRPr="0041217B">
              <w:rPr>
                <w:rFonts w:ascii="Arial" w:hAnsi="Arial"/>
                <w:sz w:val="22"/>
              </w:rPr>
              <w:t>750,000</w:t>
            </w:r>
          </w:p>
        </w:tc>
      </w:tr>
      <w:tr w:rsidR="00152A78" w:rsidRPr="0041217B" w14:paraId="3241AFBC" w14:textId="77777777" w:rsidTr="002F7593">
        <w:trPr>
          <w:jc w:val="center"/>
        </w:trPr>
        <w:tc>
          <w:tcPr>
            <w:tcW w:w="3078" w:type="dxa"/>
            <w:tcBorders>
              <w:top w:val="single" w:sz="4" w:space="0" w:color="auto"/>
              <w:left w:val="single" w:sz="4" w:space="0" w:color="auto"/>
              <w:bottom w:val="single" w:sz="4" w:space="0" w:color="auto"/>
              <w:right w:val="single" w:sz="4" w:space="0" w:color="auto"/>
            </w:tcBorders>
          </w:tcPr>
          <w:p w14:paraId="07B8A082" w14:textId="77777777" w:rsidR="00152A78" w:rsidRPr="0041217B" w:rsidRDefault="00152A78" w:rsidP="00152A78">
            <w:pPr>
              <w:rPr>
                <w:rFonts w:ascii="Arial" w:hAnsi="Arial"/>
                <w:sz w:val="22"/>
              </w:rPr>
            </w:pPr>
            <w:r w:rsidRPr="0041217B">
              <w:rPr>
                <w:rFonts w:ascii="Arial" w:hAnsi="Arial"/>
                <w:sz w:val="22"/>
              </w:rPr>
              <w:t>Cement Modified Subgrade</w:t>
            </w:r>
            <w:r>
              <w:rPr>
                <w:rFonts w:ascii="Arial" w:hAnsi="Arial"/>
                <w:sz w:val="22"/>
                <w:vertAlign w:val="superscript"/>
              </w:rPr>
              <w:t>1</w:t>
            </w:r>
          </w:p>
        </w:tc>
        <w:tc>
          <w:tcPr>
            <w:tcW w:w="1926" w:type="dxa"/>
            <w:tcBorders>
              <w:top w:val="single" w:sz="4" w:space="0" w:color="auto"/>
              <w:left w:val="single" w:sz="4" w:space="0" w:color="auto"/>
              <w:bottom w:val="single" w:sz="4" w:space="0" w:color="auto"/>
              <w:right w:val="single" w:sz="4" w:space="0" w:color="auto"/>
            </w:tcBorders>
            <w:vAlign w:val="center"/>
          </w:tcPr>
          <w:p w14:paraId="50F25299" w14:textId="77777777" w:rsidR="00152A78" w:rsidRPr="0041217B" w:rsidRDefault="00152A78" w:rsidP="00152A78">
            <w:pPr>
              <w:jc w:val="center"/>
              <w:rPr>
                <w:rFonts w:ascii="Arial" w:hAnsi="Arial"/>
                <w:sz w:val="22"/>
              </w:rPr>
            </w:pPr>
            <w:r w:rsidRPr="0041217B">
              <w:rPr>
                <w:rFonts w:ascii="Arial" w:hAnsi="Arial"/>
                <w:sz w:val="22"/>
              </w:rPr>
              <w:t>5,000</w:t>
            </w:r>
          </w:p>
        </w:tc>
        <w:tc>
          <w:tcPr>
            <w:tcW w:w="1926" w:type="dxa"/>
            <w:tcBorders>
              <w:top w:val="single" w:sz="4" w:space="0" w:color="auto"/>
              <w:left w:val="single" w:sz="4" w:space="0" w:color="auto"/>
              <w:bottom w:val="single" w:sz="4" w:space="0" w:color="auto"/>
              <w:right w:val="single" w:sz="4" w:space="0" w:color="auto"/>
            </w:tcBorders>
            <w:vAlign w:val="center"/>
          </w:tcPr>
          <w:p w14:paraId="7B579A56" w14:textId="77777777" w:rsidR="00152A78" w:rsidRPr="0041217B" w:rsidRDefault="00152A78" w:rsidP="00152A78">
            <w:pPr>
              <w:jc w:val="center"/>
              <w:rPr>
                <w:rFonts w:ascii="Arial" w:hAnsi="Arial"/>
                <w:sz w:val="22"/>
              </w:rPr>
            </w:pPr>
            <w:r w:rsidRPr="0041217B">
              <w:rPr>
                <w:rFonts w:ascii="Arial" w:hAnsi="Arial"/>
                <w:sz w:val="22"/>
              </w:rPr>
              <w:t>250,000</w:t>
            </w:r>
          </w:p>
        </w:tc>
        <w:tc>
          <w:tcPr>
            <w:tcW w:w="1926" w:type="dxa"/>
            <w:tcBorders>
              <w:top w:val="single" w:sz="4" w:space="0" w:color="auto"/>
              <w:left w:val="single" w:sz="4" w:space="0" w:color="auto"/>
              <w:bottom w:val="single" w:sz="4" w:space="0" w:color="auto"/>
              <w:right w:val="single" w:sz="4" w:space="0" w:color="auto"/>
            </w:tcBorders>
            <w:vAlign w:val="center"/>
          </w:tcPr>
          <w:p w14:paraId="6AC8BE84" w14:textId="77777777" w:rsidR="00152A78" w:rsidRPr="0041217B" w:rsidRDefault="00152A78" w:rsidP="00152A78">
            <w:pPr>
              <w:jc w:val="center"/>
              <w:rPr>
                <w:rFonts w:ascii="Arial" w:hAnsi="Arial"/>
                <w:sz w:val="22"/>
              </w:rPr>
            </w:pPr>
            <w:r w:rsidRPr="0041217B">
              <w:rPr>
                <w:rFonts w:ascii="Arial" w:hAnsi="Arial"/>
                <w:sz w:val="22"/>
              </w:rPr>
              <w:t>500,000</w:t>
            </w:r>
          </w:p>
        </w:tc>
      </w:tr>
      <w:tr w:rsidR="00152A78" w:rsidRPr="00EE5F0E" w14:paraId="334FEB64" w14:textId="77777777" w:rsidTr="002F7593">
        <w:trPr>
          <w:jc w:val="center"/>
        </w:trPr>
        <w:tc>
          <w:tcPr>
            <w:tcW w:w="3078" w:type="dxa"/>
          </w:tcPr>
          <w:p w14:paraId="1CFF9AC9" w14:textId="77777777" w:rsidR="00152A78" w:rsidRPr="00EE5F0E" w:rsidRDefault="00152A78" w:rsidP="00152A78">
            <w:pPr>
              <w:rPr>
                <w:rFonts w:ascii="Arial" w:hAnsi="Arial"/>
                <w:sz w:val="22"/>
              </w:rPr>
            </w:pPr>
            <w:r w:rsidRPr="00EE5F0E">
              <w:rPr>
                <w:rFonts w:ascii="Arial" w:hAnsi="Arial"/>
                <w:sz w:val="22"/>
              </w:rPr>
              <w:t>Break/Crack and Seat Portland Cement Concrete</w:t>
            </w:r>
          </w:p>
        </w:tc>
        <w:tc>
          <w:tcPr>
            <w:tcW w:w="1926" w:type="dxa"/>
            <w:vAlign w:val="center"/>
          </w:tcPr>
          <w:p w14:paraId="14E1E28B" w14:textId="77777777" w:rsidR="00152A78" w:rsidRPr="00EE5F0E" w:rsidRDefault="00152A78" w:rsidP="00152A78">
            <w:pPr>
              <w:jc w:val="center"/>
              <w:rPr>
                <w:rFonts w:ascii="Arial" w:hAnsi="Arial"/>
                <w:sz w:val="22"/>
              </w:rPr>
            </w:pPr>
            <w:r w:rsidRPr="00EE5F0E">
              <w:rPr>
                <w:rFonts w:ascii="Arial" w:hAnsi="Arial"/>
                <w:sz w:val="22"/>
              </w:rPr>
              <w:t>50,000</w:t>
            </w:r>
          </w:p>
        </w:tc>
        <w:tc>
          <w:tcPr>
            <w:tcW w:w="1926" w:type="dxa"/>
            <w:vAlign w:val="center"/>
          </w:tcPr>
          <w:p w14:paraId="38BCB9F3" w14:textId="77777777" w:rsidR="00152A78" w:rsidRPr="00EE5F0E" w:rsidRDefault="00152A78" w:rsidP="00152A78">
            <w:pPr>
              <w:jc w:val="center"/>
              <w:rPr>
                <w:rFonts w:ascii="Arial" w:hAnsi="Arial"/>
                <w:sz w:val="22"/>
              </w:rPr>
            </w:pPr>
            <w:r w:rsidRPr="00EE5F0E">
              <w:rPr>
                <w:rFonts w:ascii="Arial" w:hAnsi="Arial"/>
                <w:sz w:val="22"/>
              </w:rPr>
              <w:t>150,000</w:t>
            </w:r>
          </w:p>
        </w:tc>
        <w:tc>
          <w:tcPr>
            <w:tcW w:w="1926" w:type="dxa"/>
            <w:vAlign w:val="center"/>
          </w:tcPr>
          <w:p w14:paraId="3B3675BF" w14:textId="77777777" w:rsidR="00152A78" w:rsidRPr="00EE5F0E" w:rsidRDefault="00152A78" w:rsidP="00152A78">
            <w:pPr>
              <w:jc w:val="center"/>
              <w:rPr>
                <w:rFonts w:ascii="Arial" w:hAnsi="Arial"/>
                <w:sz w:val="22"/>
              </w:rPr>
            </w:pPr>
            <w:r w:rsidRPr="00EE5F0E">
              <w:rPr>
                <w:rFonts w:ascii="Arial" w:hAnsi="Arial"/>
                <w:sz w:val="22"/>
              </w:rPr>
              <w:t>500,000</w:t>
            </w:r>
          </w:p>
        </w:tc>
      </w:tr>
      <w:tr w:rsidR="00152A78" w:rsidRPr="00EE5F0E" w14:paraId="687D7539" w14:textId="77777777" w:rsidTr="002F7593">
        <w:trPr>
          <w:jc w:val="center"/>
        </w:trPr>
        <w:tc>
          <w:tcPr>
            <w:tcW w:w="3078" w:type="dxa"/>
          </w:tcPr>
          <w:p w14:paraId="1C062E5A" w14:textId="0C396123" w:rsidR="00152A78" w:rsidRPr="00EE5F0E" w:rsidRDefault="00152A78" w:rsidP="00361D31">
            <w:pPr>
              <w:rPr>
                <w:rFonts w:ascii="Arial" w:hAnsi="Arial"/>
                <w:sz w:val="22"/>
              </w:rPr>
            </w:pPr>
            <w:r w:rsidRPr="00361D31">
              <w:rPr>
                <w:rFonts w:ascii="Arial" w:hAnsi="Arial"/>
                <w:sz w:val="22"/>
              </w:rPr>
              <w:t xml:space="preserve">Rubblized Portland Cement </w:t>
            </w:r>
            <w:r w:rsidR="00361D31" w:rsidRPr="00361D31">
              <w:rPr>
                <w:rFonts w:ascii="Arial" w:hAnsi="Arial"/>
                <w:sz w:val="22"/>
              </w:rPr>
              <w:t>Concrete</w:t>
            </w:r>
            <w:r w:rsidR="00361D31" w:rsidRPr="00361D31">
              <w:rPr>
                <w:rFonts w:ascii="Arial" w:hAnsi="Arial"/>
                <w:sz w:val="22"/>
                <w:vertAlign w:val="superscript"/>
              </w:rPr>
              <w:t>1</w:t>
            </w:r>
          </w:p>
        </w:tc>
        <w:tc>
          <w:tcPr>
            <w:tcW w:w="1926" w:type="dxa"/>
            <w:vAlign w:val="center"/>
          </w:tcPr>
          <w:p w14:paraId="342CF010" w14:textId="77777777" w:rsidR="00152A78" w:rsidRPr="00EE5F0E" w:rsidRDefault="00152A78" w:rsidP="00152A78">
            <w:pPr>
              <w:jc w:val="center"/>
              <w:rPr>
                <w:rFonts w:ascii="Arial" w:hAnsi="Arial"/>
                <w:sz w:val="22"/>
              </w:rPr>
            </w:pPr>
            <w:r w:rsidRPr="00EE5F0E">
              <w:rPr>
                <w:rFonts w:ascii="Arial" w:hAnsi="Arial"/>
                <w:sz w:val="22"/>
              </w:rPr>
              <w:t>25,000</w:t>
            </w:r>
          </w:p>
        </w:tc>
        <w:tc>
          <w:tcPr>
            <w:tcW w:w="1926" w:type="dxa"/>
            <w:vAlign w:val="center"/>
          </w:tcPr>
          <w:p w14:paraId="3B026696" w14:textId="77777777" w:rsidR="00152A78" w:rsidRPr="00EE5F0E" w:rsidRDefault="00152A78" w:rsidP="00152A78">
            <w:pPr>
              <w:jc w:val="center"/>
              <w:rPr>
                <w:rFonts w:ascii="Arial" w:hAnsi="Arial"/>
                <w:sz w:val="22"/>
              </w:rPr>
            </w:pPr>
            <w:r w:rsidRPr="00EE5F0E">
              <w:rPr>
                <w:rFonts w:ascii="Arial" w:hAnsi="Arial"/>
                <w:sz w:val="22"/>
              </w:rPr>
              <w:t>75,000</w:t>
            </w:r>
          </w:p>
        </w:tc>
        <w:tc>
          <w:tcPr>
            <w:tcW w:w="1926" w:type="dxa"/>
            <w:vAlign w:val="center"/>
          </w:tcPr>
          <w:p w14:paraId="66265AFC" w14:textId="77777777" w:rsidR="00152A78" w:rsidRPr="00EE5F0E" w:rsidRDefault="00152A78" w:rsidP="00152A78">
            <w:pPr>
              <w:jc w:val="center"/>
              <w:rPr>
                <w:rFonts w:ascii="Arial" w:hAnsi="Arial"/>
                <w:sz w:val="22"/>
              </w:rPr>
            </w:pPr>
            <w:r w:rsidRPr="00EE5F0E">
              <w:rPr>
                <w:rFonts w:ascii="Arial" w:hAnsi="Arial"/>
                <w:sz w:val="22"/>
              </w:rPr>
              <w:t>250,000</w:t>
            </w:r>
          </w:p>
        </w:tc>
      </w:tr>
      <w:tr w:rsidR="00152A78" w:rsidRPr="00EE5F0E" w14:paraId="09AF236A" w14:textId="77777777" w:rsidTr="002F7593">
        <w:trPr>
          <w:jc w:val="center"/>
        </w:trPr>
        <w:tc>
          <w:tcPr>
            <w:tcW w:w="3078" w:type="dxa"/>
          </w:tcPr>
          <w:p w14:paraId="3006F954" w14:textId="77777777" w:rsidR="00152A78" w:rsidRPr="00EE5F0E" w:rsidRDefault="00152A78" w:rsidP="00152A78">
            <w:pPr>
              <w:rPr>
                <w:rFonts w:ascii="Arial" w:hAnsi="Arial"/>
                <w:sz w:val="22"/>
              </w:rPr>
            </w:pPr>
            <w:r w:rsidRPr="00EE5F0E">
              <w:rPr>
                <w:rFonts w:ascii="Arial" w:hAnsi="Arial"/>
                <w:sz w:val="22"/>
              </w:rPr>
              <w:t>Macadam</w:t>
            </w:r>
          </w:p>
        </w:tc>
        <w:tc>
          <w:tcPr>
            <w:tcW w:w="1926" w:type="dxa"/>
            <w:vAlign w:val="center"/>
          </w:tcPr>
          <w:p w14:paraId="1697DB64" w14:textId="77777777" w:rsidR="00152A78" w:rsidRPr="00EE5F0E" w:rsidRDefault="00152A78" w:rsidP="00152A78">
            <w:pPr>
              <w:jc w:val="center"/>
              <w:rPr>
                <w:rFonts w:ascii="Arial" w:hAnsi="Arial"/>
                <w:sz w:val="22"/>
              </w:rPr>
            </w:pPr>
            <w:r w:rsidRPr="00EE5F0E">
              <w:rPr>
                <w:rFonts w:ascii="Arial" w:hAnsi="Arial"/>
                <w:sz w:val="22"/>
              </w:rPr>
              <w:t>25,000</w:t>
            </w:r>
          </w:p>
        </w:tc>
        <w:tc>
          <w:tcPr>
            <w:tcW w:w="1926" w:type="dxa"/>
            <w:vAlign w:val="center"/>
          </w:tcPr>
          <w:p w14:paraId="5AC856EE" w14:textId="77777777" w:rsidR="00152A78" w:rsidRPr="00EE5F0E" w:rsidRDefault="00152A78" w:rsidP="00152A78">
            <w:pPr>
              <w:jc w:val="center"/>
              <w:rPr>
                <w:rFonts w:ascii="Arial" w:hAnsi="Arial"/>
                <w:sz w:val="22"/>
              </w:rPr>
            </w:pPr>
            <w:r w:rsidRPr="00EE5F0E">
              <w:rPr>
                <w:rFonts w:ascii="Arial" w:hAnsi="Arial"/>
                <w:sz w:val="22"/>
              </w:rPr>
              <w:t>30,000</w:t>
            </w:r>
          </w:p>
        </w:tc>
        <w:tc>
          <w:tcPr>
            <w:tcW w:w="1926" w:type="dxa"/>
            <w:vAlign w:val="center"/>
          </w:tcPr>
          <w:p w14:paraId="52BBCCDD" w14:textId="77777777" w:rsidR="00152A78" w:rsidRPr="00EE5F0E" w:rsidRDefault="00152A78" w:rsidP="00152A78">
            <w:pPr>
              <w:jc w:val="center"/>
              <w:rPr>
                <w:rFonts w:ascii="Arial" w:hAnsi="Arial"/>
                <w:sz w:val="22"/>
              </w:rPr>
            </w:pPr>
            <w:r w:rsidRPr="00EE5F0E">
              <w:rPr>
                <w:rFonts w:ascii="Arial" w:hAnsi="Arial"/>
                <w:sz w:val="22"/>
              </w:rPr>
              <w:t>75,000</w:t>
            </w:r>
          </w:p>
        </w:tc>
      </w:tr>
      <w:tr w:rsidR="00152A78" w:rsidRPr="00EE5F0E" w14:paraId="6676678B" w14:textId="77777777" w:rsidTr="002F7593">
        <w:trPr>
          <w:jc w:val="center"/>
        </w:trPr>
        <w:tc>
          <w:tcPr>
            <w:tcW w:w="3078" w:type="dxa"/>
          </w:tcPr>
          <w:p w14:paraId="1EEE46EB" w14:textId="77777777" w:rsidR="00152A78" w:rsidRPr="00EE5F0E" w:rsidRDefault="00152A78" w:rsidP="00152A78">
            <w:pPr>
              <w:rPr>
                <w:rFonts w:ascii="Arial" w:hAnsi="Arial"/>
                <w:sz w:val="22"/>
              </w:rPr>
            </w:pPr>
            <w:r w:rsidRPr="00EE5F0E">
              <w:rPr>
                <w:rFonts w:ascii="Arial" w:hAnsi="Arial"/>
                <w:sz w:val="22"/>
              </w:rPr>
              <w:t>Graded Aggregate Base, Stone</w:t>
            </w:r>
          </w:p>
        </w:tc>
        <w:tc>
          <w:tcPr>
            <w:tcW w:w="1926" w:type="dxa"/>
            <w:vAlign w:val="center"/>
          </w:tcPr>
          <w:p w14:paraId="36235BB2" w14:textId="77777777" w:rsidR="00152A78" w:rsidRPr="00EE5F0E" w:rsidRDefault="00152A78" w:rsidP="00152A78">
            <w:pPr>
              <w:jc w:val="center"/>
              <w:rPr>
                <w:rFonts w:ascii="Arial" w:hAnsi="Arial"/>
                <w:sz w:val="22"/>
              </w:rPr>
            </w:pPr>
            <w:r w:rsidRPr="00EE5F0E">
              <w:rPr>
                <w:rFonts w:ascii="Arial" w:hAnsi="Arial"/>
                <w:sz w:val="22"/>
              </w:rPr>
              <w:t>15,000</w:t>
            </w:r>
          </w:p>
        </w:tc>
        <w:tc>
          <w:tcPr>
            <w:tcW w:w="1926" w:type="dxa"/>
            <w:vAlign w:val="center"/>
          </w:tcPr>
          <w:p w14:paraId="05818998" w14:textId="77777777" w:rsidR="00152A78" w:rsidRPr="00EE5F0E" w:rsidRDefault="00152A78" w:rsidP="00152A78">
            <w:pPr>
              <w:jc w:val="center"/>
              <w:rPr>
                <w:rFonts w:ascii="Arial" w:hAnsi="Arial"/>
                <w:sz w:val="22"/>
              </w:rPr>
            </w:pPr>
            <w:r w:rsidRPr="00EE5F0E">
              <w:rPr>
                <w:rFonts w:ascii="Arial" w:hAnsi="Arial"/>
                <w:sz w:val="22"/>
              </w:rPr>
              <w:t>25,000</w:t>
            </w:r>
          </w:p>
        </w:tc>
        <w:tc>
          <w:tcPr>
            <w:tcW w:w="1926" w:type="dxa"/>
            <w:vAlign w:val="center"/>
          </w:tcPr>
          <w:p w14:paraId="55883C19" w14:textId="77777777" w:rsidR="00152A78" w:rsidRPr="00EE5F0E" w:rsidRDefault="00152A78" w:rsidP="00152A78">
            <w:pPr>
              <w:jc w:val="center"/>
              <w:rPr>
                <w:rFonts w:ascii="Arial" w:hAnsi="Arial"/>
                <w:sz w:val="22"/>
              </w:rPr>
            </w:pPr>
            <w:r w:rsidRPr="00EE5F0E">
              <w:rPr>
                <w:rFonts w:ascii="Arial" w:hAnsi="Arial"/>
                <w:sz w:val="22"/>
              </w:rPr>
              <w:t>45,000</w:t>
            </w:r>
          </w:p>
        </w:tc>
      </w:tr>
      <w:tr w:rsidR="00152A78" w:rsidRPr="00EE5F0E" w14:paraId="1577D938" w14:textId="77777777" w:rsidTr="002F7593">
        <w:trPr>
          <w:jc w:val="center"/>
        </w:trPr>
        <w:tc>
          <w:tcPr>
            <w:tcW w:w="3078" w:type="dxa"/>
          </w:tcPr>
          <w:p w14:paraId="676F1EE1" w14:textId="77777777" w:rsidR="00152A78" w:rsidRPr="00EE5F0E" w:rsidRDefault="00152A78" w:rsidP="00152A78">
            <w:pPr>
              <w:rPr>
                <w:rFonts w:ascii="Arial" w:hAnsi="Arial"/>
                <w:sz w:val="22"/>
              </w:rPr>
            </w:pPr>
            <w:r w:rsidRPr="00EE5F0E">
              <w:rPr>
                <w:rFonts w:ascii="Arial" w:hAnsi="Arial"/>
                <w:sz w:val="22"/>
              </w:rPr>
              <w:t>Gravel</w:t>
            </w:r>
          </w:p>
        </w:tc>
        <w:tc>
          <w:tcPr>
            <w:tcW w:w="1926" w:type="dxa"/>
            <w:vAlign w:val="center"/>
          </w:tcPr>
          <w:p w14:paraId="2D008058" w14:textId="77777777" w:rsidR="00152A78" w:rsidRPr="00EE5F0E" w:rsidRDefault="00152A78" w:rsidP="00152A78">
            <w:pPr>
              <w:jc w:val="center"/>
              <w:rPr>
                <w:rFonts w:ascii="Arial" w:hAnsi="Arial"/>
                <w:sz w:val="22"/>
              </w:rPr>
            </w:pPr>
            <w:r w:rsidRPr="00EE5F0E">
              <w:rPr>
                <w:rFonts w:ascii="Arial" w:hAnsi="Arial"/>
                <w:sz w:val="22"/>
              </w:rPr>
              <w:t>10,000</w:t>
            </w:r>
          </w:p>
        </w:tc>
        <w:tc>
          <w:tcPr>
            <w:tcW w:w="1926" w:type="dxa"/>
            <w:vAlign w:val="center"/>
          </w:tcPr>
          <w:p w14:paraId="07488B4F" w14:textId="77777777" w:rsidR="00152A78" w:rsidRPr="00EE5F0E" w:rsidRDefault="00152A78" w:rsidP="00152A78">
            <w:pPr>
              <w:jc w:val="center"/>
              <w:rPr>
                <w:rFonts w:ascii="Arial" w:hAnsi="Arial"/>
                <w:sz w:val="22"/>
              </w:rPr>
            </w:pPr>
            <w:r w:rsidRPr="00EE5F0E">
              <w:rPr>
                <w:rFonts w:ascii="Arial" w:hAnsi="Arial"/>
                <w:sz w:val="22"/>
              </w:rPr>
              <w:t>15,000</w:t>
            </w:r>
          </w:p>
        </w:tc>
        <w:tc>
          <w:tcPr>
            <w:tcW w:w="1926" w:type="dxa"/>
            <w:vAlign w:val="center"/>
          </w:tcPr>
          <w:p w14:paraId="0515194A" w14:textId="77777777" w:rsidR="00152A78" w:rsidRPr="00EE5F0E" w:rsidRDefault="00152A78" w:rsidP="00152A78">
            <w:pPr>
              <w:jc w:val="center"/>
              <w:rPr>
                <w:rFonts w:ascii="Arial" w:hAnsi="Arial"/>
                <w:sz w:val="22"/>
              </w:rPr>
            </w:pPr>
            <w:r w:rsidRPr="00EE5F0E">
              <w:rPr>
                <w:rFonts w:ascii="Arial" w:hAnsi="Arial"/>
                <w:sz w:val="22"/>
              </w:rPr>
              <w:t>30,000</w:t>
            </w:r>
          </w:p>
        </w:tc>
      </w:tr>
      <w:tr w:rsidR="00152A78" w:rsidRPr="00EE5F0E" w14:paraId="4123DED9" w14:textId="77777777" w:rsidTr="002F7593">
        <w:trPr>
          <w:jc w:val="center"/>
        </w:trPr>
        <w:tc>
          <w:tcPr>
            <w:tcW w:w="3078" w:type="dxa"/>
          </w:tcPr>
          <w:p w14:paraId="31D4E8B3" w14:textId="77777777" w:rsidR="00152A78" w:rsidRPr="00EE5F0E" w:rsidRDefault="00152A78" w:rsidP="00152A78">
            <w:pPr>
              <w:rPr>
                <w:rFonts w:ascii="Arial" w:hAnsi="Arial"/>
                <w:sz w:val="22"/>
              </w:rPr>
            </w:pPr>
            <w:r w:rsidRPr="00EE5F0E">
              <w:rPr>
                <w:rFonts w:ascii="Arial" w:hAnsi="Arial"/>
                <w:sz w:val="22"/>
              </w:rPr>
              <w:t>Soil Contaminated Aggregate Base</w:t>
            </w:r>
          </w:p>
        </w:tc>
        <w:tc>
          <w:tcPr>
            <w:tcW w:w="1926" w:type="dxa"/>
            <w:vAlign w:val="center"/>
          </w:tcPr>
          <w:p w14:paraId="4FEFED13" w14:textId="77777777" w:rsidR="00152A78" w:rsidRPr="00EE5F0E" w:rsidRDefault="00152A78" w:rsidP="00152A78">
            <w:pPr>
              <w:jc w:val="center"/>
              <w:rPr>
                <w:rFonts w:ascii="Arial" w:hAnsi="Arial"/>
                <w:sz w:val="22"/>
              </w:rPr>
            </w:pPr>
            <w:r w:rsidRPr="00EE5F0E">
              <w:rPr>
                <w:rFonts w:ascii="Arial" w:hAnsi="Arial"/>
                <w:sz w:val="22"/>
              </w:rPr>
              <w:t>3,000</w:t>
            </w:r>
          </w:p>
        </w:tc>
        <w:tc>
          <w:tcPr>
            <w:tcW w:w="1926" w:type="dxa"/>
            <w:vAlign w:val="center"/>
          </w:tcPr>
          <w:p w14:paraId="4266C7C5" w14:textId="77777777" w:rsidR="00152A78" w:rsidRPr="00EE5F0E" w:rsidRDefault="00152A78" w:rsidP="00152A78">
            <w:pPr>
              <w:jc w:val="center"/>
              <w:rPr>
                <w:rFonts w:ascii="Arial" w:hAnsi="Arial"/>
                <w:sz w:val="22"/>
              </w:rPr>
            </w:pPr>
            <w:r w:rsidRPr="00EE5F0E">
              <w:rPr>
                <w:rFonts w:ascii="Arial" w:hAnsi="Arial"/>
                <w:sz w:val="22"/>
              </w:rPr>
              <w:t>10,000</w:t>
            </w:r>
          </w:p>
        </w:tc>
        <w:tc>
          <w:tcPr>
            <w:tcW w:w="1926" w:type="dxa"/>
            <w:vAlign w:val="center"/>
          </w:tcPr>
          <w:p w14:paraId="7C0AB08C" w14:textId="77777777" w:rsidR="00152A78" w:rsidRPr="00EE5F0E" w:rsidRDefault="00152A78" w:rsidP="00152A78">
            <w:pPr>
              <w:jc w:val="center"/>
              <w:rPr>
                <w:rFonts w:ascii="Arial" w:hAnsi="Arial"/>
                <w:sz w:val="22"/>
              </w:rPr>
            </w:pPr>
            <w:r w:rsidRPr="00EE5F0E">
              <w:rPr>
                <w:rFonts w:ascii="Arial" w:hAnsi="Arial"/>
                <w:sz w:val="22"/>
              </w:rPr>
              <w:t>20,000</w:t>
            </w:r>
          </w:p>
        </w:tc>
      </w:tr>
      <w:tr w:rsidR="00152A78" w:rsidRPr="00EE5F0E" w14:paraId="480298F0" w14:textId="77777777" w:rsidTr="002F7593">
        <w:trPr>
          <w:jc w:val="center"/>
        </w:trPr>
        <w:tc>
          <w:tcPr>
            <w:tcW w:w="3078" w:type="dxa"/>
          </w:tcPr>
          <w:p w14:paraId="18290B91" w14:textId="77777777" w:rsidR="00152A78" w:rsidRPr="00EE5F0E" w:rsidRDefault="00152A78" w:rsidP="00152A78">
            <w:pPr>
              <w:rPr>
                <w:rFonts w:ascii="Arial" w:hAnsi="Arial"/>
                <w:sz w:val="22"/>
              </w:rPr>
            </w:pPr>
            <w:r w:rsidRPr="00EE5F0E">
              <w:rPr>
                <w:rFonts w:ascii="Arial" w:hAnsi="Arial"/>
                <w:sz w:val="22"/>
              </w:rPr>
              <w:t>Capping Borrow</w:t>
            </w:r>
          </w:p>
        </w:tc>
        <w:tc>
          <w:tcPr>
            <w:tcW w:w="1926" w:type="dxa"/>
            <w:vAlign w:val="center"/>
          </w:tcPr>
          <w:p w14:paraId="79AD8041" w14:textId="77777777" w:rsidR="00152A78" w:rsidRPr="00EE5F0E" w:rsidRDefault="00152A78" w:rsidP="00152A78">
            <w:pPr>
              <w:jc w:val="center"/>
              <w:rPr>
                <w:rFonts w:ascii="Arial" w:hAnsi="Arial"/>
                <w:sz w:val="22"/>
              </w:rPr>
            </w:pPr>
            <w:r w:rsidRPr="00EE5F0E">
              <w:rPr>
                <w:rFonts w:ascii="Arial" w:hAnsi="Arial"/>
                <w:sz w:val="22"/>
              </w:rPr>
              <w:t>10,500</w:t>
            </w:r>
          </w:p>
        </w:tc>
        <w:tc>
          <w:tcPr>
            <w:tcW w:w="1926" w:type="dxa"/>
            <w:vAlign w:val="center"/>
          </w:tcPr>
          <w:p w14:paraId="101E41DD" w14:textId="77777777" w:rsidR="00152A78" w:rsidRPr="00EE5F0E" w:rsidRDefault="00152A78" w:rsidP="00152A78">
            <w:pPr>
              <w:jc w:val="center"/>
              <w:rPr>
                <w:rFonts w:ascii="Arial" w:hAnsi="Arial"/>
                <w:sz w:val="22"/>
              </w:rPr>
            </w:pPr>
            <w:r w:rsidRPr="00EE5F0E">
              <w:rPr>
                <w:rFonts w:ascii="Arial" w:hAnsi="Arial"/>
                <w:sz w:val="22"/>
              </w:rPr>
              <w:t>10,500</w:t>
            </w:r>
          </w:p>
        </w:tc>
        <w:tc>
          <w:tcPr>
            <w:tcW w:w="1926" w:type="dxa"/>
            <w:vAlign w:val="center"/>
          </w:tcPr>
          <w:p w14:paraId="73D185B0" w14:textId="77777777" w:rsidR="00152A78" w:rsidRPr="00EE5F0E" w:rsidRDefault="00152A78" w:rsidP="00152A78">
            <w:pPr>
              <w:jc w:val="center"/>
              <w:rPr>
                <w:rFonts w:ascii="Arial" w:hAnsi="Arial"/>
                <w:sz w:val="22"/>
              </w:rPr>
            </w:pPr>
            <w:r w:rsidRPr="00EE5F0E">
              <w:rPr>
                <w:rFonts w:ascii="Arial" w:hAnsi="Arial"/>
                <w:sz w:val="22"/>
              </w:rPr>
              <w:t>10,500</w:t>
            </w:r>
          </w:p>
        </w:tc>
      </w:tr>
    </w:tbl>
    <w:p w14:paraId="26B20D86" w14:textId="2A5B8532" w:rsidR="00152A78" w:rsidRDefault="00152A78" w:rsidP="00152A78">
      <w:pPr>
        <w:jc w:val="both"/>
        <w:rPr>
          <w:rFonts w:ascii="Arial" w:hAnsi="Arial"/>
          <w:sz w:val="18"/>
        </w:rPr>
      </w:pPr>
      <w:r>
        <w:rPr>
          <w:rFonts w:ascii="Arial" w:hAnsi="Arial"/>
          <w:sz w:val="18"/>
        </w:rPr>
        <w:t>1</w:t>
      </w:r>
      <w:r w:rsidRPr="0041217B">
        <w:rPr>
          <w:rFonts w:ascii="Arial" w:hAnsi="Arial"/>
          <w:sz w:val="18"/>
        </w:rPr>
        <w:t xml:space="preserve"> – Construction/Production dependent</w:t>
      </w:r>
      <w:r w:rsidR="00EB3B06">
        <w:rPr>
          <w:rFonts w:ascii="Arial" w:hAnsi="Arial"/>
          <w:sz w:val="18"/>
        </w:rPr>
        <w:t>.</w:t>
      </w:r>
    </w:p>
    <w:p w14:paraId="17BD9B75" w14:textId="77777777" w:rsidR="00152A78" w:rsidRPr="00EE5F0E" w:rsidRDefault="00152A78" w:rsidP="00152A78">
      <w:pPr>
        <w:jc w:val="both"/>
        <w:rPr>
          <w:rFonts w:ascii="Arial" w:hAnsi="Arial"/>
          <w:sz w:val="22"/>
        </w:rPr>
      </w:pPr>
    </w:p>
    <w:p w14:paraId="60019FCF" w14:textId="77777777" w:rsidR="00152A78" w:rsidRPr="00EE5F0E" w:rsidRDefault="00152A78" w:rsidP="002F7593">
      <w:pPr>
        <w:jc w:val="center"/>
        <w:rPr>
          <w:rFonts w:ascii="Arial" w:hAnsi="Arial"/>
          <w:b/>
          <w:sz w:val="22"/>
        </w:rPr>
      </w:pPr>
      <w:r w:rsidRPr="00EE5F0E">
        <w:rPr>
          <w:rFonts w:ascii="Arial" w:hAnsi="Arial"/>
          <w:b/>
          <w:sz w:val="22"/>
        </w:rPr>
        <w:t xml:space="preserve">Subgrade Resilient Modulus </w:t>
      </w:r>
      <w:r w:rsidR="001C4E4E">
        <w:rPr>
          <w:rFonts w:ascii="Arial" w:hAnsi="Arial"/>
          <w:b/>
          <w:sz w:val="22"/>
        </w:rPr>
        <w:t>(for use with AASHTO 1993)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88"/>
        <w:gridCol w:w="1656"/>
        <w:gridCol w:w="1764"/>
        <w:gridCol w:w="1548"/>
      </w:tblGrid>
      <w:tr w:rsidR="00152A78" w:rsidRPr="00EE5F0E" w14:paraId="31809B5E" w14:textId="77777777" w:rsidTr="002F7593">
        <w:trPr>
          <w:tblHeader/>
          <w:jc w:val="center"/>
        </w:trPr>
        <w:tc>
          <w:tcPr>
            <w:tcW w:w="3888" w:type="dxa"/>
            <w:shd w:val="pct12" w:color="auto" w:fill="FFFFFF"/>
            <w:vAlign w:val="center"/>
          </w:tcPr>
          <w:p w14:paraId="395CACE7" w14:textId="77777777" w:rsidR="00152A78" w:rsidRPr="00EE5F0E" w:rsidRDefault="00152A78" w:rsidP="00152A78">
            <w:pPr>
              <w:jc w:val="center"/>
              <w:rPr>
                <w:rFonts w:ascii="Arial" w:hAnsi="Arial"/>
                <w:b/>
                <w:sz w:val="22"/>
              </w:rPr>
            </w:pPr>
            <w:r w:rsidRPr="00EE5F0E">
              <w:rPr>
                <w:rFonts w:ascii="Arial" w:hAnsi="Arial"/>
                <w:b/>
                <w:sz w:val="22"/>
              </w:rPr>
              <w:t>Material</w:t>
            </w:r>
          </w:p>
        </w:tc>
        <w:tc>
          <w:tcPr>
            <w:tcW w:w="1656" w:type="dxa"/>
            <w:shd w:val="pct12" w:color="auto" w:fill="FFFFFF"/>
            <w:vAlign w:val="center"/>
          </w:tcPr>
          <w:p w14:paraId="3361F88E" w14:textId="77777777" w:rsidR="00152A78" w:rsidRPr="00EE5F0E" w:rsidRDefault="00152A78" w:rsidP="00152A78">
            <w:pPr>
              <w:jc w:val="center"/>
              <w:rPr>
                <w:rFonts w:ascii="Arial" w:hAnsi="Arial"/>
                <w:b/>
                <w:sz w:val="22"/>
              </w:rPr>
            </w:pPr>
            <w:r w:rsidRPr="00EE5F0E">
              <w:rPr>
                <w:rFonts w:ascii="Arial" w:hAnsi="Arial"/>
                <w:b/>
                <w:sz w:val="22"/>
              </w:rPr>
              <w:t>General Strength</w:t>
            </w:r>
          </w:p>
        </w:tc>
        <w:tc>
          <w:tcPr>
            <w:tcW w:w="1764" w:type="dxa"/>
            <w:shd w:val="pct12" w:color="auto" w:fill="FFFFFF"/>
            <w:vAlign w:val="center"/>
          </w:tcPr>
          <w:p w14:paraId="508922DF" w14:textId="77777777" w:rsidR="00152A78" w:rsidRPr="00EE5F0E" w:rsidRDefault="00152A78" w:rsidP="00152A78">
            <w:pPr>
              <w:jc w:val="center"/>
              <w:rPr>
                <w:rFonts w:ascii="Arial" w:hAnsi="Arial"/>
                <w:b/>
                <w:sz w:val="22"/>
              </w:rPr>
            </w:pPr>
            <w:r w:rsidRPr="00EE5F0E">
              <w:rPr>
                <w:rFonts w:ascii="Arial" w:hAnsi="Arial"/>
                <w:b/>
                <w:sz w:val="22"/>
              </w:rPr>
              <w:t>Typical Modulus (psi)</w:t>
            </w:r>
          </w:p>
        </w:tc>
        <w:tc>
          <w:tcPr>
            <w:tcW w:w="1548" w:type="dxa"/>
            <w:shd w:val="pct12" w:color="auto" w:fill="FFFFFF"/>
            <w:vAlign w:val="center"/>
          </w:tcPr>
          <w:p w14:paraId="380BA333" w14:textId="77777777" w:rsidR="00152A78" w:rsidRPr="00EE5F0E" w:rsidRDefault="00152A78" w:rsidP="00152A78">
            <w:pPr>
              <w:jc w:val="center"/>
              <w:rPr>
                <w:rFonts w:ascii="Arial" w:hAnsi="Arial"/>
                <w:b/>
                <w:sz w:val="22"/>
              </w:rPr>
            </w:pPr>
            <w:r w:rsidRPr="00EE5F0E">
              <w:rPr>
                <w:rFonts w:ascii="Arial" w:hAnsi="Arial"/>
                <w:b/>
                <w:sz w:val="22"/>
              </w:rPr>
              <w:t>Typical CBR</w:t>
            </w:r>
          </w:p>
        </w:tc>
      </w:tr>
      <w:tr w:rsidR="00152A78" w:rsidRPr="00EE5F0E" w14:paraId="6176A8D4" w14:textId="77777777" w:rsidTr="002F7593">
        <w:trPr>
          <w:jc w:val="center"/>
        </w:trPr>
        <w:tc>
          <w:tcPr>
            <w:tcW w:w="3888" w:type="dxa"/>
          </w:tcPr>
          <w:p w14:paraId="2DD535B3" w14:textId="77777777" w:rsidR="00152A78" w:rsidRPr="00EE5F0E" w:rsidRDefault="00152A78" w:rsidP="00152A78">
            <w:pPr>
              <w:rPr>
                <w:rFonts w:ascii="Arial" w:hAnsi="Arial"/>
                <w:sz w:val="22"/>
              </w:rPr>
            </w:pPr>
            <w:r w:rsidRPr="00EE5F0E">
              <w:rPr>
                <w:rFonts w:ascii="Arial" w:hAnsi="Arial"/>
                <w:sz w:val="22"/>
              </w:rPr>
              <w:t xml:space="preserve">Silts and Clays </w:t>
            </w:r>
          </w:p>
          <w:p w14:paraId="6779D19E" w14:textId="77777777" w:rsidR="00152A78" w:rsidRPr="00EE5F0E" w:rsidRDefault="00152A78" w:rsidP="00152A78">
            <w:pPr>
              <w:rPr>
                <w:rFonts w:ascii="Arial" w:hAnsi="Arial"/>
                <w:sz w:val="22"/>
              </w:rPr>
            </w:pPr>
            <w:r w:rsidRPr="00EE5F0E">
              <w:rPr>
                <w:rFonts w:ascii="Arial" w:hAnsi="Arial"/>
                <w:sz w:val="22"/>
              </w:rPr>
              <w:t>(w/ high compressibility)</w:t>
            </w:r>
          </w:p>
        </w:tc>
        <w:tc>
          <w:tcPr>
            <w:tcW w:w="1656" w:type="dxa"/>
            <w:vAlign w:val="center"/>
          </w:tcPr>
          <w:p w14:paraId="476B8013" w14:textId="77777777" w:rsidR="00152A78" w:rsidRPr="00EE5F0E" w:rsidRDefault="00152A78" w:rsidP="00152A78">
            <w:pPr>
              <w:jc w:val="center"/>
              <w:rPr>
                <w:rFonts w:ascii="Arial" w:hAnsi="Arial"/>
                <w:sz w:val="22"/>
              </w:rPr>
            </w:pPr>
            <w:r w:rsidRPr="00EE5F0E">
              <w:rPr>
                <w:rFonts w:ascii="Arial" w:hAnsi="Arial"/>
                <w:sz w:val="22"/>
              </w:rPr>
              <w:t>Very Low</w:t>
            </w:r>
          </w:p>
        </w:tc>
        <w:tc>
          <w:tcPr>
            <w:tcW w:w="1764" w:type="dxa"/>
            <w:vAlign w:val="center"/>
          </w:tcPr>
          <w:p w14:paraId="021D4567" w14:textId="77777777" w:rsidR="00152A78" w:rsidRPr="00EE5F0E" w:rsidRDefault="00152A78" w:rsidP="00152A78">
            <w:pPr>
              <w:jc w:val="center"/>
              <w:rPr>
                <w:rFonts w:ascii="Arial" w:hAnsi="Arial"/>
                <w:sz w:val="22"/>
              </w:rPr>
            </w:pPr>
            <w:r w:rsidRPr="00EE5F0E">
              <w:rPr>
                <w:rFonts w:ascii="Arial" w:hAnsi="Arial"/>
                <w:sz w:val="22"/>
              </w:rPr>
              <w:t>1,000 – 2,000</w:t>
            </w:r>
          </w:p>
        </w:tc>
        <w:tc>
          <w:tcPr>
            <w:tcW w:w="1548" w:type="dxa"/>
            <w:vAlign w:val="center"/>
          </w:tcPr>
          <w:p w14:paraId="37FC347E" w14:textId="77777777" w:rsidR="00152A78" w:rsidRPr="00EE5F0E" w:rsidRDefault="00152A78" w:rsidP="00152A78">
            <w:pPr>
              <w:jc w:val="center"/>
              <w:rPr>
                <w:rFonts w:ascii="Arial" w:hAnsi="Arial"/>
                <w:sz w:val="22"/>
              </w:rPr>
            </w:pPr>
            <w:r w:rsidRPr="00EE5F0E">
              <w:rPr>
                <w:rFonts w:ascii="Arial" w:hAnsi="Arial"/>
                <w:sz w:val="22"/>
              </w:rPr>
              <w:t>Less than 2</w:t>
            </w:r>
          </w:p>
        </w:tc>
      </w:tr>
      <w:tr w:rsidR="00152A78" w:rsidRPr="00EE5F0E" w14:paraId="4B1F7120" w14:textId="77777777" w:rsidTr="002F7593">
        <w:trPr>
          <w:jc w:val="center"/>
        </w:trPr>
        <w:tc>
          <w:tcPr>
            <w:tcW w:w="3888" w:type="dxa"/>
          </w:tcPr>
          <w:p w14:paraId="2037C2CE" w14:textId="77777777" w:rsidR="00152A78" w:rsidRPr="00EE5F0E" w:rsidRDefault="00152A78" w:rsidP="00152A78">
            <w:pPr>
              <w:rPr>
                <w:rFonts w:ascii="Arial" w:hAnsi="Arial"/>
                <w:sz w:val="22"/>
              </w:rPr>
            </w:pPr>
            <w:r w:rsidRPr="00EE5F0E">
              <w:rPr>
                <w:rFonts w:ascii="Arial" w:hAnsi="Arial"/>
                <w:sz w:val="22"/>
              </w:rPr>
              <w:t>Fine Grain Soils with Silts and Clays (w/ low compressibility)</w:t>
            </w:r>
          </w:p>
        </w:tc>
        <w:tc>
          <w:tcPr>
            <w:tcW w:w="1656" w:type="dxa"/>
            <w:vAlign w:val="center"/>
          </w:tcPr>
          <w:p w14:paraId="163920FF" w14:textId="77777777" w:rsidR="00152A78" w:rsidRPr="00EE5F0E" w:rsidRDefault="00152A78" w:rsidP="00152A78">
            <w:pPr>
              <w:jc w:val="center"/>
              <w:rPr>
                <w:rFonts w:ascii="Arial" w:hAnsi="Arial"/>
                <w:sz w:val="22"/>
              </w:rPr>
            </w:pPr>
            <w:r w:rsidRPr="00EE5F0E">
              <w:rPr>
                <w:rFonts w:ascii="Arial" w:hAnsi="Arial"/>
                <w:sz w:val="22"/>
              </w:rPr>
              <w:t>Low</w:t>
            </w:r>
          </w:p>
        </w:tc>
        <w:tc>
          <w:tcPr>
            <w:tcW w:w="1764" w:type="dxa"/>
            <w:vAlign w:val="center"/>
          </w:tcPr>
          <w:p w14:paraId="28B3870B" w14:textId="77777777" w:rsidR="00152A78" w:rsidRPr="00EE5F0E" w:rsidRDefault="00152A78" w:rsidP="00152A78">
            <w:pPr>
              <w:jc w:val="center"/>
              <w:rPr>
                <w:rFonts w:ascii="Arial" w:hAnsi="Arial"/>
                <w:sz w:val="22"/>
              </w:rPr>
            </w:pPr>
            <w:r w:rsidRPr="00EE5F0E">
              <w:rPr>
                <w:rFonts w:ascii="Arial" w:hAnsi="Arial"/>
                <w:sz w:val="22"/>
              </w:rPr>
              <w:t>2,000 – 3,000</w:t>
            </w:r>
          </w:p>
        </w:tc>
        <w:tc>
          <w:tcPr>
            <w:tcW w:w="1548" w:type="dxa"/>
            <w:vAlign w:val="center"/>
          </w:tcPr>
          <w:p w14:paraId="0A507183" w14:textId="77777777" w:rsidR="00152A78" w:rsidRPr="00EE5F0E" w:rsidRDefault="00152A78" w:rsidP="00152A78">
            <w:pPr>
              <w:jc w:val="center"/>
              <w:rPr>
                <w:rFonts w:ascii="Arial" w:hAnsi="Arial"/>
                <w:sz w:val="22"/>
              </w:rPr>
            </w:pPr>
            <w:r w:rsidRPr="00EE5F0E">
              <w:rPr>
                <w:rFonts w:ascii="Arial" w:hAnsi="Arial"/>
                <w:sz w:val="22"/>
              </w:rPr>
              <w:t>2 to 2.5</w:t>
            </w:r>
          </w:p>
        </w:tc>
      </w:tr>
      <w:tr w:rsidR="00152A78" w:rsidRPr="00EE5F0E" w14:paraId="4646C2F0" w14:textId="77777777" w:rsidTr="002F7593">
        <w:trPr>
          <w:jc w:val="center"/>
        </w:trPr>
        <w:tc>
          <w:tcPr>
            <w:tcW w:w="3888" w:type="dxa"/>
          </w:tcPr>
          <w:p w14:paraId="1043BDDB" w14:textId="77777777" w:rsidR="00152A78" w:rsidRPr="00EE5F0E" w:rsidRDefault="00152A78" w:rsidP="00152A78">
            <w:pPr>
              <w:rPr>
                <w:rFonts w:ascii="Arial" w:hAnsi="Arial"/>
                <w:sz w:val="22"/>
              </w:rPr>
            </w:pPr>
            <w:r w:rsidRPr="00EE5F0E">
              <w:rPr>
                <w:rFonts w:ascii="Arial" w:hAnsi="Arial"/>
                <w:sz w:val="22"/>
              </w:rPr>
              <w:t xml:space="preserve">Poorly Graded Sands </w:t>
            </w:r>
          </w:p>
        </w:tc>
        <w:tc>
          <w:tcPr>
            <w:tcW w:w="1656" w:type="dxa"/>
            <w:vAlign w:val="center"/>
          </w:tcPr>
          <w:p w14:paraId="11D73D3F" w14:textId="77777777" w:rsidR="00152A78" w:rsidRPr="00EE5F0E" w:rsidRDefault="00152A78" w:rsidP="00152A78">
            <w:pPr>
              <w:jc w:val="center"/>
              <w:rPr>
                <w:rFonts w:ascii="Arial" w:hAnsi="Arial"/>
                <w:sz w:val="22"/>
              </w:rPr>
            </w:pPr>
            <w:r w:rsidRPr="00EE5F0E">
              <w:rPr>
                <w:rFonts w:ascii="Arial" w:hAnsi="Arial"/>
                <w:sz w:val="22"/>
              </w:rPr>
              <w:t>Medium</w:t>
            </w:r>
          </w:p>
        </w:tc>
        <w:tc>
          <w:tcPr>
            <w:tcW w:w="1764" w:type="dxa"/>
            <w:vAlign w:val="center"/>
          </w:tcPr>
          <w:p w14:paraId="095566B1" w14:textId="77777777" w:rsidR="00152A78" w:rsidRPr="00EE5F0E" w:rsidRDefault="00152A78" w:rsidP="00152A78">
            <w:pPr>
              <w:jc w:val="center"/>
              <w:rPr>
                <w:rFonts w:ascii="Arial" w:hAnsi="Arial"/>
                <w:sz w:val="22"/>
              </w:rPr>
            </w:pPr>
            <w:r w:rsidRPr="00EE5F0E">
              <w:rPr>
                <w:rFonts w:ascii="Arial" w:hAnsi="Arial"/>
                <w:sz w:val="22"/>
              </w:rPr>
              <w:t>3,000 – 4,500</w:t>
            </w:r>
          </w:p>
        </w:tc>
        <w:tc>
          <w:tcPr>
            <w:tcW w:w="1548" w:type="dxa"/>
            <w:vAlign w:val="center"/>
          </w:tcPr>
          <w:p w14:paraId="2C514EBF" w14:textId="77777777" w:rsidR="00152A78" w:rsidRPr="00EE5F0E" w:rsidRDefault="00152A78" w:rsidP="00152A78">
            <w:pPr>
              <w:jc w:val="center"/>
              <w:rPr>
                <w:rFonts w:ascii="Arial" w:hAnsi="Arial"/>
                <w:sz w:val="22"/>
              </w:rPr>
            </w:pPr>
            <w:r w:rsidRPr="00EE5F0E">
              <w:rPr>
                <w:rFonts w:ascii="Arial" w:hAnsi="Arial"/>
                <w:sz w:val="22"/>
              </w:rPr>
              <w:t>2.5 to 3</w:t>
            </w:r>
          </w:p>
        </w:tc>
      </w:tr>
      <w:tr w:rsidR="00152A78" w:rsidRPr="00EE5F0E" w14:paraId="1F01891F" w14:textId="77777777" w:rsidTr="002F7593">
        <w:trPr>
          <w:jc w:val="center"/>
        </w:trPr>
        <w:tc>
          <w:tcPr>
            <w:tcW w:w="3888" w:type="dxa"/>
          </w:tcPr>
          <w:p w14:paraId="23B14AF4" w14:textId="77777777" w:rsidR="00152A78" w:rsidRPr="00EE5F0E" w:rsidRDefault="00152A78" w:rsidP="00152A78">
            <w:pPr>
              <w:rPr>
                <w:rFonts w:ascii="Arial" w:hAnsi="Arial"/>
                <w:sz w:val="22"/>
              </w:rPr>
            </w:pPr>
            <w:r w:rsidRPr="00EE5F0E">
              <w:rPr>
                <w:rFonts w:ascii="Arial" w:hAnsi="Arial"/>
                <w:sz w:val="22"/>
              </w:rPr>
              <w:t>Gravely Soils, Well Graded Sands, and Sand/Gravel Mixtures</w:t>
            </w:r>
          </w:p>
        </w:tc>
        <w:tc>
          <w:tcPr>
            <w:tcW w:w="1656" w:type="dxa"/>
            <w:vAlign w:val="center"/>
          </w:tcPr>
          <w:p w14:paraId="63953D58" w14:textId="77777777" w:rsidR="00152A78" w:rsidRPr="00EE5F0E" w:rsidRDefault="00152A78" w:rsidP="00152A78">
            <w:pPr>
              <w:jc w:val="center"/>
              <w:rPr>
                <w:rFonts w:ascii="Arial" w:hAnsi="Arial"/>
                <w:sz w:val="22"/>
              </w:rPr>
            </w:pPr>
            <w:r w:rsidRPr="00EE5F0E">
              <w:rPr>
                <w:rFonts w:ascii="Arial" w:hAnsi="Arial"/>
                <w:sz w:val="22"/>
              </w:rPr>
              <w:t>High</w:t>
            </w:r>
          </w:p>
        </w:tc>
        <w:tc>
          <w:tcPr>
            <w:tcW w:w="1764" w:type="dxa"/>
            <w:vAlign w:val="center"/>
          </w:tcPr>
          <w:p w14:paraId="6F5F367A" w14:textId="77777777" w:rsidR="00152A78" w:rsidRPr="00EE5F0E" w:rsidRDefault="00152A78" w:rsidP="00152A78">
            <w:pPr>
              <w:jc w:val="center"/>
              <w:rPr>
                <w:rFonts w:ascii="Arial" w:hAnsi="Arial"/>
                <w:sz w:val="22"/>
              </w:rPr>
            </w:pPr>
            <w:r w:rsidRPr="00EE5F0E">
              <w:rPr>
                <w:rFonts w:ascii="Arial" w:hAnsi="Arial"/>
                <w:sz w:val="22"/>
              </w:rPr>
              <w:t>4,500 – 10,500</w:t>
            </w:r>
          </w:p>
        </w:tc>
        <w:tc>
          <w:tcPr>
            <w:tcW w:w="1548" w:type="dxa"/>
            <w:vAlign w:val="center"/>
          </w:tcPr>
          <w:p w14:paraId="32B9DA89" w14:textId="77777777" w:rsidR="00152A78" w:rsidRPr="00EE5F0E" w:rsidRDefault="00152A78" w:rsidP="00152A78">
            <w:pPr>
              <w:jc w:val="center"/>
              <w:rPr>
                <w:rFonts w:ascii="Arial" w:hAnsi="Arial"/>
                <w:sz w:val="22"/>
              </w:rPr>
            </w:pPr>
            <w:r w:rsidRPr="00EE5F0E">
              <w:rPr>
                <w:rFonts w:ascii="Arial" w:hAnsi="Arial"/>
                <w:sz w:val="22"/>
              </w:rPr>
              <w:t>3 to 7</w:t>
            </w:r>
          </w:p>
        </w:tc>
      </w:tr>
    </w:tbl>
    <w:p w14:paraId="18F62B74" w14:textId="77777777" w:rsidR="00152A78" w:rsidRPr="00EE5F0E" w:rsidRDefault="00152A78" w:rsidP="00152A78">
      <w:pPr>
        <w:jc w:val="both"/>
        <w:rPr>
          <w:rFonts w:ascii="Arial" w:hAnsi="Arial"/>
          <w:sz w:val="22"/>
        </w:rPr>
      </w:pPr>
    </w:p>
    <w:p w14:paraId="36EDB5AB" w14:textId="77777777" w:rsidR="00152A78" w:rsidRPr="00EE5F0E" w:rsidRDefault="00152A78" w:rsidP="002F7593">
      <w:pPr>
        <w:jc w:val="center"/>
        <w:rPr>
          <w:rFonts w:ascii="Arial" w:hAnsi="Arial"/>
          <w:b/>
          <w:sz w:val="22"/>
        </w:rPr>
      </w:pPr>
      <w:r w:rsidRPr="00EE5F0E">
        <w:rPr>
          <w:rFonts w:ascii="Arial" w:hAnsi="Arial"/>
          <w:b/>
          <w:sz w:val="22"/>
        </w:rPr>
        <w:t xml:space="preserve">Modulus of Subgrade Reaction (k)* </w:t>
      </w:r>
      <w:r w:rsidR="001C4E4E">
        <w:rPr>
          <w:rFonts w:ascii="Arial" w:hAnsi="Arial"/>
          <w:b/>
          <w:sz w:val="22"/>
        </w:rPr>
        <w:t>(for use with AASHTO 1993)</w:t>
      </w:r>
    </w:p>
    <w:tbl>
      <w:tblPr>
        <w:tblW w:w="8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5"/>
        <w:gridCol w:w="1890"/>
        <w:gridCol w:w="1440"/>
        <w:gridCol w:w="1260"/>
        <w:gridCol w:w="1375"/>
      </w:tblGrid>
      <w:tr w:rsidR="00115674" w:rsidRPr="00EE5F0E" w14:paraId="25028DD7" w14:textId="77777777" w:rsidTr="006D7207">
        <w:trPr>
          <w:tblHeader/>
          <w:jc w:val="center"/>
        </w:trPr>
        <w:tc>
          <w:tcPr>
            <w:tcW w:w="2885" w:type="dxa"/>
            <w:shd w:val="pct12" w:color="auto" w:fill="FFFFFF"/>
            <w:vAlign w:val="center"/>
          </w:tcPr>
          <w:p w14:paraId="585F2142" w14:textId="77777777" w:rsidR="00152A78" w:rsidRPr="00EE5F0E" w:rsidRDefault="00152A78" w:rsidP="00152A78">
            <w:pPr>
              <w:jc w:val="center"/>
              <w:rPr>
                <w:rFonts w:ascii="Arial" w:hAnsi="Arial"/>
                <w:b/>
                <w:sz w:val="22"/>
              </w:rPr>
            </w:pPr>
            <w:r w:rsidRPr="00EE5F0E">
              <w:rPr>
                <w:rFonts w:ascii="Arial" w:hAnsi="Arial"/>
                <w:b/>
                <w:sz w:val="22"/>
              </w:rPr>
              <w:t>Material</w:t>
            </w:r>
          </w:p>
        </w:tc>
        <w:tc>
          <w:tcPr>
            <w:tcW w:w="1890" w:type="dxa"/>
            <w:shd w:val="pct12" w:color="auto" w:fill="FFFFFF"/>
            <w:vAlign w:val="center"/>
          </w:tcPr>
          <w:p w14:paraId="548BCD66" w14:textId="105030B1" w:rsidR="00152A78" w:rsidRPr="00EE5F0E" w:rsidRDefault="00152A78" w:rsidP="006D7207">
            <w:pPr>
              <w:jc w:val="center"/>
              <w:rPr>
                <w:rFonts w:ascii="Arial" w:hAnsi="Arial"/>
                <w:b/>
                <w:sz w:val="22"/>
              </w:rPr>
            </w:pPr>
            <w:r w:rsidRPr="00EE5F0E">
              <w:rPr>
                <w:rFonts w:ascii="Arial" w:hAnsi="Arial"/>
                <w:b/>
                <w:sz w:val="22"/>
              </w:rPr>
              <w:t>Aggregate Thickness Greater than 6.0</w:t>
            </w:r>
            <w:r w:rsidR="006D7207">
              <w:rPr>
                <w:rFonts w:ascii="Arial" w:hAnsi="Arial"/>
                <w:b/>
                <w:sz w:val="22"/>
              </w:rPr>
              <w:t>"</w:t>
            </w:r>
          </w:p>
        </w:tc>
        <w:tc>
          <w:tcPr>
            <w:tcW w:w="1440" w:type="dxa"/>
            <w:shd w:val="pct12" w:color="auto" w:fill="FFFFFF"/>
            <w:vAlign w:val="center"/>
          </w:tcPr>
          <w:p w14:paraId="12539587" w14:textId="77777777" w:rsidR="00152A78" w:rsidRPr="00EE5F0E" w:rsidRDefault="00152A78" w:rsidP="00152A78">
            <w:pPr>
              <w:jc w:val="center"/>
              <w:rPr>
                <w:rFonts w:ascii="Arial" w:hAnsi="Arial"/>
                <w:b/>
                <w:sz w:val="22"/>
              </w:rPr>
            </w:pPr>
            <w:r w:rsidRPr="00EE5F0E">
              <w:rPr>
                <w:rFonts w:ascii="Arial" w:hAnsi="Arial"/>
                <w:b/>
                <w:sz w:val="22"/>
              </w:rPr>
              <w:t>Minimum Value (pci)</w:t>
            </w:r>
          </w:p>
        </w:tc>
        <w:tc>
          <w:tcPr>
            <w:tcW w:w="1260" w:type="dxa"/>
            <w:shd w:val="pct12" w:color="auto" w:fill="FFFFFF"/>
            <w:vAlign w:val="center"/>
          </w:tcPr>
          <w:p w14:paraId="2B9C1CDC" w14:textId="77777777" w:rsidR="00152A78" w:rsidRPr="00EE5F0E" w:rsidRDefault="00152A78" w:rsidP="00152A78">
            <w:pPr>
              <w:jc w:val="center"/>
              <w:rPr>
                <w:rFonts w:ascii="Arial" w:hAnsi="Arial"/>
                <w:b/>
                <w:sz w:val="22"/>
              </w:rPr>
            </w:pPr>
            <w:r w:rsidRPr="00EE5F0E">
              <w:rPr>
                <w:rFonts w:ascii="Arial" w:hAnsi="Arial"/>
                <w:b/>
                <w:sz w:val="22"/>
              </w:rPr>
              <w:t>Typical Value (pci)</w:t>
            </w:r>
          </w:p>
        </w:tc>
        <w:tc>
          <w:tcPr>
            <w:tcW w:w="1375" w:type="dxa"/>
            <w:shd w:val="pct12" w:color="auto" w:fill="FFFFFF"/>
            <w:vAlign w:val="center"/>
          </w:tcPr>
          <w:p w14:paraId="1F0BDBF8" w14:textId="77777777" w:rsidR="00152A78" w:rsidRPr="00EE5F0E" w:rsidRDefault="00152A78" w:rsidP="00152A78">
            <w:pPr>
              <w:jc w:val="center"/>
              <w:rPr>
                <w:rFonts w:ascii="Arial" w:hAnsi="Arial"/>
                <w:b/>
                <w:sz w:val="22"/>
              </w:rPr>
            </w:pPr>
            <w:r w:rsidRPr="00EE5F0E">
              <w:rPr>
                <w:rFonts w:ascii="Arial" w:hAnsi="Arial"/>
                <w:b/>
                <w:sz w:val="22"/>
              </w:rPr>
              <w:t>Maximum Value (pci)</w:t>
            </w:r>
          </w:p>
        </w:tc>
      </w:tr>
      <w:tr w:rsidR="00152A78" w:rsidRPr="00EE5F0E" w14:paraId="7C69E2BF" w14:textId="77777777" w:rsidTr="002F7593">
        <w:trPr>
          <w:cantSplit/>
          <w:jc w:val="center"/>
        </w:trPr>
        <w:tc>
          <w:tcPr>
            <w:tcW w:w="2885" w:type="dxa"/>
            <w:vMerge w:val="restart"/>
          </w:tcPr>
          <w:p w14:paraId="6E08354A" w14:textId="77777777" w:rsidR="00152A78" w:rsidRPr="00EE5F0E" w:rsidRDefault="00152A78" w:rsidP="00152A78">
            <w:pPr>
              <w:rPr>
                <w:rFonts w:ascii="Arial" w:hAnsi="Arial"/>
                <w:sz w:val="22"/>
              </w:rPr>
            </w:pPr>
            <w:r w:rsidRPr="00EE5F0E">
              <w:rPr>
                <w:rFonts w:ascii="Arial" w:hAnsi="Arial"/>
                <w:sz w:val="22"/>
              </w:rPr>
              <w:t>Silts and Clays (w/ high compressibility)</w:t>
            </w:r>
          </w:p>
        </w:tc>
        <w:tc>
          <w:tcPr>
            <w:tcW w:w="1890" w:type="dxa"/>
            <w:vAlign w:val="center"/>
          </w:tcPr>
          <w:p w14:paraId="4BF13CF6" w14:textId="77777777" w:rsidR="00152A78" w:rsidRPr="00EE5F0E" w:rsidRDefault="00152A78" w:rsidP="00152A78">
            <w:pPr>
              <w:jc w:val="center"/>
              <w:rPr>
                <w:rFonts w:ascii="Arial" w:hAnsi="Arial"/>
                <w:sz w:val="22"/>
              </w:rPr>
            </w:pPr>
            <w:r w:rsidRPr="00EE5F0E">
              <w:rPr>
                <w:rFonts w:ascii="Arial" w:hAnsi="Arial"/>
                <w:sz w:val="22"/>
              </w:rPr>
              <w:t>No</w:t>
            </w:r>
          </w:p>
        </w:tc>
        <w:tc>
          <w:tcPr>
            <w:tcW w:w="1440" w:type="dxa"/>
            <w:vAlign w:val="center"/>
          </w:tcPr>
          <w:p w14:paraId="00BC848F" w14:textId="77777777" w:rsidR="00152A78" w:rsidRPr="00EE5F0E" w:rsidRDefault="00152A78" w:rsidP="00152A78">
            <w:pPr>
              <w:jc w:val="center"/>
              <w:rPr>
                <w:rFonts w:ascii="Arial" w:hAnsi="Arial"/>
                <w:sz w:val="22"/>
              </w:rPr>
            </w:pPr>
            <w:r w:rsidRPr="00EE5F0E">
              <w:rPr>
                <w:rFonts w:ascii="Arial" w:hAnsi="Arial"/>
                <w:sz w:val="22"/>
              </w:rPr>
              <w:t>50</w:t>
            </w:r>
          </w:p>
        </w:tc>
        <w:tc>
          <w:tcPr>
            <w:tcW w:w="1260" w:type="dxa"/>
            <w:vAlign w:val="center"/>
          </w:tcPr>
          <w:p w14:paraId="5B361799" w14:textId="77777777" w:rsidR="00152A78" w:rsidRPr="00EE5F0E" w:rsidRDefault="00152A78" w:rsidP="00152A78">
            <w:pPr>
              <w:jc w:val="center"/>
              <w:rPr>
                <w:rFonts w:ascii="Arial" w:hAnsi="Arial"/>
                <w:sz w:val="22"/>
              </w:rPr>
            </w:pPr>
            <w:r w:rsidRPr="00EE5F0E">
              <w:rPr>
                <w:rFonts w:ascii="Arial" w:hAnsi="Arial"/>
                <w:sz w:val="22"/>
              </w:rPr>
              <w:t>75</w:t>
            </w:r>
          </w:p>
        </w:tc>
        <w:tc>
          <w:tcPr>
            <w:tcW w:w="1375" w:type="dxa"/>
            <w:vAlign w:val="center"/>
          </w:tcPr>
          <w:p w14:paraId="45342485" w14:textId="77777777" w:rsidR="00152A78" w:rsidRPr="00EE5F0E" w:rsidRDefault="00152A78" w:rsidP="00152A78">
            <w:pPr>
              <w:jc w:val="center"/>
              <w:rPr>
                <w:rFonts w:ascii="Arial" w:hAnsi="Arial"/>
                <w:sz w:val="22"/>
              </w:rPr>
            </w:pPr>
            <w:r w:rsidRPr="00EE5F0E">
              <w:rPr>
                <w:rFonts w:ascii="Arial" w:hAnsi="Arial"/>
                <w:sz w:val="22"/>
              </w:rPr>
              <w:t>100</w:t>
            </w:r>
          </w:p>
        </w:tc>
      </w:tr>
      <w:tr w:rsidR="00152A78" w:rsidRPr="00EE5F0E" w14:paraId="7238A45A" w14:textId="77777777" w:rsidTr="002F7593">
        <w:trPr>
          <w:cantSplit/>
          <w:jc w:val="center"/>
        </w:trPr>
        <w:tc>
          <w:tcPr>
            <w:tcW w:w="2885" w:type="dxa"/>
            <w:vMerge/>
          </w:tcPr>
          <w:p w14:paraId="052CB0D4" w14:textId="77777777" w:rsidR="00152A78" w:rsidRPr="00EE5F0E" w:rsidRDefault="00152A78" w:rsidP="00152A78">
            <w:pPr>
              <w:rPr>
                <w:rFonts w:ascii="Arial" w:hAnsi="Arial"/>
                <w:sz w:val="22"/>
              </w:rPr>
            </w:pPr>
          </w:p>
        </w:tc>
        <w:tc>
          <w:tcPr>
            <w:tcW w:w="1890" w:type="dxa"/>
            <w:vAlign w:val="center"/>
          </w:tcPr>
          <w:p w14:paraId="1E8856D0" w14:textId="77777777" w:rsidR="00152A78" w:rsidRPr="00EE5F0E" w:rsidRDefault="00152A78" w:rsidP="00152A78">
            <w:pPr>
              <w:jc w:val="center"/>
              <w:rPr>
                <w:rFonts w:ascii="Arial" w:hAnsi="Arial"/>
                <w:sz w:val="22"/>
              </w:rPr>
            </w:pPr>
            <w:r w:rsidRPr="00EE5F0E">
              <w:rPr>
                <w:rFonts w:ascii="Arial" w:hAnsi="Arial"/>
                <w:sz w:val="22"/>
              </w:rPr>
              <w:t>Yes</w:t>
            </w:r>
          </w:p>
        </w:tc>
        <w:tc>
          <w:tcPr>
            <w:tcW w:w="1440" w:type="dxa"/>
            <w:vAlign w:val="center"/>
          </w:tcPr>
          <w:p w14:paraId="6F7719F7" w14:textId="77777777" w:rsidR="00152A78" w:rsidRPr="00EE5F0E" w:rsidRDefault="00152A78" w:rsidP="00152A78">
            <w:pPr>
              <w:jc w:val="center"/>
              <w:rPr>
                <w:rFonts w:ascii="Arial" w:hAnsi="Arial"/>
                <w:sz w:val="22"/>
              </w:rPr>
            </w:pPr>
            <w:r w:rsidRPr="00EE5F0E">
              <w:rPr>
                <w:rFonts w:ascii="Arial" w:hAnsi="Arial"/>
                <w:sz w:val="22"/>
              </w:rPr>
              <w:t>75</w:t>
            </w:r>
          </w:p>
        </w:tc>
        <w:tc>
          <w:tcPr>
            <w:tcW w:w="1260" w:type="dxa"/>
            <w:vAlign w:val="center"/>
          </w:tcPr>
          <w:p w14:paraId="472BFF9B" w14:textId="77777777" w:rsidR="00152A78" w:rsidRPr="00EE5F0E" w:rsidRDefault="00152A78" w:rsidP="00152A78">
            <w:pPr>
              <w:jc w:val="center"/>
              <w:rPr>
                <w:rFonts w:ascii="Arial" w:hAnsi="Arial"/>
                <w:sz w:val="22"/>
              </w:rPr>
            </w:pPr>
            <w:r w:rsidRPr="00EE5F0E">
              <w:rPr>
                <w:rFonts w:ascii="Arial" w:hAnsi="Arial"/>
                <w:sz w:val="22"/>
              </w:rPr>
              <w:t>100</w:t>
            </w:r>
          </w:p>
        </w:tc>
        <w:tc>
          <w:tcPr>
            <w:tcW w:w="1375" w:type="dxa"/>
            <w:vAlign w:val="center"/>
          </w:tcPr>
          <w:p w14:paraId="7DF9C648" w14:textId="77777777" w:rsidR="00152A78" w:rsidRPr="00EE5F0E" w:rsidRDefault="00152A78" w:rsidP="00152A78">
            <w:pPr>
              <w:jc w:val="center"/>
              <w:rPr>
                <w:rFonts w:ascii="Arial" w:hAnsi="Arial"/>
                <w:sz w:val="22"/>
              </w:rPr>
            </w:pPr>
            <w:r w:rsidRPr="00EE5F0E">
              <w:rPr>
                <w:rFonts w:ascii="Arial" w:hAnsi="Arial"/>
                <w:sz w:val="22"/>
              </w:rPr>
              <w:t>150</w:t>
            </w:r>
          </w:p>
        </w:tc>
      </w:tr>
      <w:tr w:rsidR="00152A78" w:rsidRPr="00EE5F0E" w14:paraId="676133CA" w14:textId="77777777" w:rsidTr="002F7593">
        <w:trPr>
          <w:cantSplit/>
          <w:jc w:val="center"/>
        </w:trPr>
        <w:tc>
          <w:tcPr>
            <w:tcW w:w="2885" w:type="dxa"/>
            <w:vMerge w:val="restart"/>
          </w:tcPr>
          <w:p w14:paraId="0205F5A1" w14:textId="77777777" w:rsidR="00152A78" w:rsidRPr="00EE5F0E" w:rsidRDefault="00152A78" w:rsidP="00152A78">
            <w:pPr>
              <w:rPr>
                <w:rFonts w:ascii="Arial" w:hAnsi="Arial"/>
                <w:sz w:val="22"/>
              </w:rPr>
            </w:pPr>
            <w:r w:rsidRPr="00EE5F0E">
              <w:rPr>
                <w:rFonts w:ascii="Arial" w:hAnsi="Arial"/>
                <w:sz w:val="22"/>
              </w:rPr>
              <w:t>Fine Grain Soils with Silts and Clays (w/ low compressibility)</w:t>
            </w:r>
          </w:p>
        </w:tc>
        <w:tc>
          <w:tcPr>
            <w:tcW w:w="1890" w:type="dxa"/>
            <w:vAlign w:val="center"/>
          </w:tcPr>
          <w:p w14:paraId="39ACC860" w14:textId="77777777" w:rsidR="00152A78" w:rsidRPr="00EE5F0E" w:rsidRDefault="00152A78" w:rsidP="00152A78">
            <w:pPr>
              <w:jc w:val="center"/>
              <w:rPr>
                <w:rFonts w:ascii="Arial" w:hAnsi="Arial"/>
                <w:sz w:val="22"/>
              </w:rPr>
            </w:pPr>
            <w:r w:rsidRPr="00EE5F0E">
              <w:rPr>
                <w:rFonts w:ascii="Arial" w:hAnsi="Arial"/>
                <w:sz w:val="22"/>
              </w:rPr>
              <w:t>No</w:t>
            </w:r>
          </w:p>
        </w:tc>
        <w:tc>
          <w:tcPr>
            <w:tcW w:w="1440" w:type="dxa"/>
            <w:vAlign w:val="center"/>
          </w:tcPr>
          <w:p w14:paraId="348FEF22" w14:textId="77777777" w:rsidR="00152A78" w:rsidRPr="00EE5F0E" w:rsidRDefault="00152A78" w:rsidP="00152A78">
            <w:pPr>
              <w:jc w:val="center"/>
              <w:rPr>
                <w:rFonts w:ascii="Arial" w:hAnsi="Arial"/>
                <w:sz w:val="22"/>
              </w:rPr>
            </w:pPr>
            <w:r w:rsidRPr="00EE5F0E">
              <w:rPr>
                <w:rFonts w:ascii="Arial" w:hAnsi="Arial"/>
                <w:sz w:val="22"/>
              </w:rPr>
              <w:t>100</w:t>
            </w:r>
          </w:p>
        </w:tc>
        <w:tc>
          <w:tcPr>
            <w:tcW w:w="1260" w:type="dxa"/>
            <w:vAlign w:val="center"/>
          </w:tcPr>
          <w:p w14:paraId="10D5B72F" w14:textId="77777777" w:rsidR="00152A78" w:rsidRPr="00EE5F0E" w:rsidRDefault="00152A78" w:rsidP="00152A78">
            <w:pPr>
              <w:jc w:val="center"/>
              <w:rPr>
                <w:rFonts w:ascii="Arial" w:hAnsi="Arial"/>
                <w:sz w:val="22"/>
              </w:rPr>
            </w:pPr>
            <w:r w:rsidRPr="00EE5F0E">
              <w:rPr>
                <w:rFonts w:ascii="Arial" w:hAnsi="Arial"/>
                <w:sz w:val="22"/>
              </w:rPr>
              <w:t>125</w:t>
            </w:r>
          </w:p>
        </w:tc>
        <w:tc>
          <w:tcPr>
            <w:tcW w:w="1375" w:type="dxa"/>
            <w:vAlign w:val="center"/>
          </w:tcPr>
          <w:p w14:paraId="71E132A7" w14:textId="77777777" w:rsidR="00152A78" w:rsidRPr="00EE5F0E" w:rsidRDefault="00152A78" w:rsidP="00152A78">
            <w:pPr>
              <w:jc w:val="center"/>
              <w:rPr>
                <w:rFonts w:ascii="Arial" w:hAnsi="Arial"/>
                <w:sz w:val="22"/>
              </w:rPr>
            </w:pPr>
            <w:r w:rsidRPr="00EE5F0E">
              <w:rPr>
                <w:rFonts w:ascii="Arial" w:hAnsi="Arial"/>
                <w:sz w:val="22"/>
              </w:rPr>
              <w:t>150</w:t>
            </w:r>
          </w:p>
        </w:tc>
      </w:tr>
      <w:tr w:rsidR="00152A78" w:rsidRPr="00EE5F0E" w14:paraId="24D6C9DD" w14:textId="77777777" w:rsidTr="002F7593">
        <w:trPr>
          <w:cantSplit/>
          <w:jc w:val="center"/>
        </w:trPr>
        <w:tc>
          <w:tcPr>
            <w:tcW w:w="2885" w:type="dxa"/>
            <w:vMerge/>
          </w:tcPr>
          <w:p w14:paraId="170CC7CB" w14:textId="77777777" w:rsidR="00152A78" w:rsidRPr="00EE5F0E" w:rsidRDefault="00152A78" w:rsidP="00152A78">
            <w:pPr>
              <w:rPr>
                <w:rFonts w:ascii="Arial" w:hAnsi="Arial"/>
                <w:sz w:val="22"/>
              </w:rPr>
            </w:pPr>
          </w:p>
        </w:tc>
        <w:tc>
          <w:tcPr>
            <w:tcW w:w="1890" w:type="dxa"/>
            <w:vAlign w:val="center"/>
          </w:tcPr>
          <w:p w14:paraId="60597070" w14:textId="77777777" w:rsidR="00152A78" w:rsidRPr="00EE5F0E" w:rsidRDefault="00152A78" w:rsidP="00152A78">
            <w:pPr>
              <w:jc w:val="center"/>
              <w:rPr>
                <w:rFonts w:ascii="Arial" w:hAnsi="Arial"/>
                <w:sz w:val="22"/>
              </w:rPr>
            </w:pPr>
            <w:r w:rsidRPr="00EE5F0E">
              <w:rPr>
                <w:rFonts w:ascii="Arial" w:hAnsi="Arial"/>
                <w:sz w:val="22"/>
              </w:rPr>
              <w:t>Yes</w:t>
            </w:r>
          </w:p>
        </w:tc>
        <w:tc>
          <w:tcPr>
            <w:tcW w:w="1440" w:type="dxa"/>
            <w:vAlign w:val="center"/>
          </w:tcPr>
          <w:p w14:paraId="623B73A5" w14:textId="77777777" w:rsidR="00152A78" w:rsidRPr="00EE5F0E" w:rsidRDefault="00152A78" w:rsidP="00152A78">
            <w:pPr>
              <w:jc w:val="center"/>
              <w:rPr>
                <w:rFonts w:ascii="Arial" w:hAnsi="Arial"/>
                <w:sz w:val="22"/>
              </w:rPr>
            </w:pPr>
            <w:r w:rsidRPr="00EE5F0E">
              <w:rPr>
                <w:rFonts w:ascii="Arial" w:hAnsi="Arial"/>
                <w:sz w:val="22"/>
              </w:rPr>
              <w:t>125</w:t>
            </w:r>
          </w:p>
        </w:tc>
        <w:tc>
          <w:tcPr>
            <w:tcW w:w="1260" w:type="dxa"/>
            <w:vAlign w:val="center"/>
          </w:tcPr>
          <w:p w14:paraId="1DD05D8E" w14:textId="77777777" w:rsidR="00152A78" w:rsidRPr="00EE5F0E" w:rsidRDefault="00152A78" w:rsidP="00152A78">
            <w:pPr>
              <w:jc w:val="center"/>
              <w:rPr>
                <w:rFonts w:ascii="Arial" w:hAnsi="Arial"/>
                <w:sz w:val="22"/>
              </w:rPr>
            </w:pPr>
            <w:r w:rsidRPr="00EE5F0E">
              <w:rPr>
                <w:rFonts w:ascii="Arial" w:hAnsi="Arial"/>
                <w:sz w:val="22"/>
              </w:rPr>
              <w:t>150</w:t>
            </w:r>
          </w:p>
        </w:tc>
        <w:tc>
          <w:tcPr>
            <w:tcW w:w="1375" w:type="dxa"/>
            <w:vAlign w:val="center"/>
          </w:tcPr>
          <w:p w14:paraId="5DA1D78B" w14:textId="77777777" w:rsidR="00152A78" w:rsidRPr="00EE5F0E" w:rsidRDefault="00152A78" w:rsidP="00152A78">
            <w:pPr>
              <w:jc w:val="center"/>
              <w:rPr>
                <w:rFonts w:ascii="Arial" w:hAnsi="Arial"/>
                <w:sz w:val="22"/>
              </w:rPr>
            </w:pPr>
            <w:r w:rsidRPr="00EE5F0E">
              <w:rPr>
                <w:rFonts w:ascii="Arial" w:hAnsi="Arial"/>
                <w:sz w:val="22"/>
              </w:rPr>
              <w:t>180</w:t>
            </w:r>
          </w:p>
        </w:tc>
      </w:tr>
      <w:tr w:rsidR="00152A78" w:rsidRPr="00EE5F0E" w14:paraId="47A79277" w14:textId="77777777" w:rsidTr="002F7593">
        <w:trPr>
          <w:cantSplit/>
          <w:jc w:val="center"/>
        </w:trPr>
        <w:tc>
          <w:tcPr>
            <w:tcW w:w="2885" w:type="dxa"/>
            <w:vMerge w:val="restart"/>
          </w:tcPr>
          <w:p w14:paraId="5F0AD902" w14:textId="77777777" w:rsidR="00152A78" w:rsidRPr="00EE5F0E" w:rsidRDefault="00152A78" w:rsidP="00152A78">
            <w:pPr>
              <w:rPr>
                <w:rFonts w:ascii="Arial" w:hAnsi="Arial"/>
                <w:sz w:val="22"/>
              </w:rPr>
            </w:pPr>
            <w:r w:rsidRPr="00EE5F0E">
              <w:rPr>
                <w:rFonts w:ascii="Arial" w:hAnsi="Arial"/>
                <w:sz w:val="22"/>
              </w:rPr>
              <w:t xml:space="preserve">Poorly Graded Sands </w:t>
            </w:r>
          </w:p>
        </w:tc>
        <w:tc>
          <w:tcPr>
            <w:tcW w:w="1890" w:type="dxa"/>
            <w:vAlign w:val="center"/>
          </w:tcPr>
          <w:p w14:paraId="3E3404A2" w14:textId="77777777" w:rsidR="00152A78" w:rsidRPr="00EE5F0E" w:rsidRDefault="00152A78" w:rsidP="00152A78">
            <w:pPr>
              <w:jc w:val="center"/>
              <w:rPr>
                <w:rFonts w:ascii="Arial" w:hAnsi="Arial"/>
                <w:sz w:val="22"/>
              </w:rPr>
            </w:pPr>
            <w:r w:rsidRPr="00EE5F0E">
              <w:rPr>
                <w:rFonts w:ascii="Arial" w:hAnsi="Arial"/>
                <w:sz w:val="22"/>
              </w:rPr>
              <w:t>No</w:t>
            </w:r>
          </w:p>
        </w:tc>
        <w:tc>
          <w:tcPr>
            <w:tcW w:w="1440" w:type="dxa"/>
            <w:vAlign w:val="center"/>
          </w:tcPr>
          <w:p w14:paraId="6CA28BB2" w14:textId="77777777" w:rsidR="00152A78" w:rsidRPr="00EE5F0E" w:rsidRDefault="00152A78" w:rsidP="00152A78">
            <w:pPr>
              <w:jc w:val="center"/>
              <w:rPr>
                <w:rFonts w:ascii="Arial" w:hAnsi="Arial"/>
                <w:sz w:val="22"/>
              </w:rPr>
            </w:pPr>
            <w:r w:rsidRPr="00EE5F0E">
              <w:rPr>
                <w:rFonts w:ascii="Arial" w:hAnsi="Arial"/>
                <w:sz w:val="22"/>
              </w:rPr>
              <w:t>150</w:t>
            </w:r>
          </w:p>
        </w:tc>
        <w:tc>
          <w:tcPr>
            <w:tcW w:w="1260" w:type="dxa"/>
            <w:vAlign w:val="center"/>
          </w:tcPr>
          <w:p w14:paraId="32D62B7E" w14:textId="77777777" w:rsidR="00152A78" w:rsidRPr="00EE5F0E" w:rsidRDefault="00152A78" w:rsidP="00152A78">
            <w:pPr>
              <w:jc w:val="center"/>
              <w:rPr>
                <w:rFonts w:ascii="Arial" w:hAnsi="Arial"/>
                <w:sz w:val="22"/>
              </w:rPr>
            </w:pPr>
            <w:r w:rsidRPr="00EE5F0E">
              <w:rPr>
                <w:rFonts w:ascii="Arial" w:hAnsi="Arial"/>
                <w:sz w:val="22"/>
              </w:rPr>
              <w:t>175</w:t>
            </w:r>
          </w:p>
        </w:tc>
        <w:tc>
          <w:tcPr>
            <w:tcW w:w="1375" w:type="dxa"/>
            <w:vAlign w:val="center"/>
          </w:tcPr>
          <w:p w14:paraId="5D4F561E" w14:textId="77777777" w:rsidR="00152A78" w:rsidRPr="00EE5F0E" w:rsidRDefault="00152A78" w:rsidP="00152A78">
            <w:pPr>
              <w:jc w:val="center"/>
              <w:rPr>
                <w:rFonts w:ascii="Arial" w:hAnsi="Arial"/>
                <w:sz w:val="22"/>
              </w:rPr>
            </w:pPr>
            <w:r w:rsidRPr="00EE5F0E">
              <w:rPr>
                <w:rFonts w:ascii="Arial" w:hAnsi="Arial"/>
                <w:sz w:val="22"/>
              </w:rPr>
              <w:t>220</w:t>
            </w:r>
          </w:p>
        </w:tc>
      </w:tr>
      <w:tr w:rsidR="00152A78" w:rsidRPr="00EE5F0E" w14:paraId="18AD8456" w14:textId="77777777" w:rsidTr="002F7593">
        <w:trPr>
          <w:cantSplit/>
          <w:jc w:val="center"/>
        </w:trPr>
        <w:tc>
          <w:tcPr>
            <w:tcW w:w="2885" w:type="dxa"/>
            <w:vMerge/>
          </w:tcPr>
          <w:p w14:paraId="02AAC9B5" w14:textId="77777777" w:rsidR="00152A78" w:rsidRPr="00EE5F0E" w:rsidRDefault="00152A78" w:rsidP="004A4315">
            <w:pPr>
              <w:pStyle w:val="TOC1"/>
            </w:pPr>
          </w:p>
        </w:tc>
        <w:tc>
          <w:tcPr>
            <w:tcW w:w="1890" w:type="dxa"/>
            <w:vAlign w:val="center"/>
          </w:tcPr>
          <w:p w14:paraId="6D08DC80" w14:textId="77777777" w:rsidR="00152A78" w:rsidRPr="00EE5F0E" w:rsidRDefault="00152A78" w:rsidP="00152A78">
            <w:pPr>
              <w:jc w:val="center"/>
              <w:rPr>
                <w:rFonts w:ascii="Arial" w:hAnsi="Arial"/>
                <w:sz w:val="22"/>
              </w:rPr>
            </w:pPr>
            <w:r w:rsidRPr="00EE5F0E">
              <w:rPr>
                <w:rFonts w:ascii="Arial" w:hAnsi="Arial"/>
                <w:sz w:val="22"/>
              </w:rPr>
              <w:t>Yes</w:t>
            </w:r>
          </w:p>
        </w:tc>
        <w:tc>
          <w:tcPr>
            <w:tcW w:w="1440" w:type="dxa"/>
            <w:vAlign w:val="center"/>
          </w:tcPr>
          <w:p w14:paraId="07FFF9BD" w14:textId="77777777" w:rsidR="00152A78" w:rsidRPr="00EE5F0E" w:rsidRDefault="00152A78" w:rsidP="00152A78">
            <w:pPr>
              <w:jc w:val="center"/>
              <w:rPr>
                <w:rFonts w:ascii="Arial" w:hAnsi="Arial"/>
                <w:sz w:val="22"/>
              </w:rPr>
            </w:pPr>
            <w:r w:rsidRPr="00EE5F0E">
              <w:rPr>
                <w:rFonts w:ascii="Arial" w:hAnsi="Arial"/>
                <w:sz w:val="22"/>
              </w:rPr>
              <w:t>175</w:t>
            </w:r>
          </w:p>
        </w:tc>
        <w:tc>
          <w:tcPr>
            <w:tcW w:w="1260" w:type="dxa"/>
            <w:vAlign w:val="center"/>
          </w:tcPr>
          <w:p w14:paraId="021C8CF9" w14:textId="77777777" w:rsidR="00152A78" w:rsidRPr="00EE5F0E" w:rsidRDefault="00152A78" w:rsidP="00152A78">
            <w:pPr>
              <w:jc w:val="center"/>
              <w:rPr>
                <w:rFonts w:ascii="Arial" w:hAnsi="Arial"/>
                <w:sz w:val="22"/>
              </w:rPr>
            </w:pPr>
            <w:r w:rsidRPr="00EE5F0E">
              <w:rPr>
                <w:rFonts w:ascii="Arial" w:hAnsi="Arial"/>
                <w:sz w:val="22"/>
              </w:rPr>
              <w:t>200</w:t>
            </w:r>
          </w:p>
        </w:tc>
        <w:tc>
          <w:tcPr>
            <w:tcW w:w="1375" w:type="dxa"/>
            <w:vAlign w:val="center"/>
          </w:tcPr>
          <w:p w14:paraId="1C58E09C" w14:textId="77777777" w:rsidR="00152A78" w:rsidRPr="00EE5F0E" w:rsidRDefault="00152A78" w:rsidP="00152A78">
            <w:pPr>
              <w:jc w:val="center"/>
              <w:rPr>
                <w:rFonts w:ascii="Arial" w:hAnsi="Arial"/>
                <w:sz w:val="22"/>
              </w:rPr>
            </w:pPr>
            <w:r w:rsidRPr="00EE5F0E">
              <w:rPr>
                <w:rFonts w:ascii="Arial" w:hAnsi="Arial"/>
                <w:sz w:val="22"/>
              </w:rPr>
              <w:t>250</w:t>
            </w:r>
          </w:p>
        </w:tc>
      </w:tr>
      <w:tr w:rsidR="00152A78" w:rsidRPr="00EE5F0E" w14:paraId="4F049D99" w14:textId="77777777" w:rsidTr="002F7593">
        <w:trPr>
          <w:cantSplit/>
          <w:jc w:val="center"/>
        </w:trPr>
        <w:tc>
          <w:tcPr>
            <w:tcW w:w="2885" w:type="dxa"/>
            <w:vMerge w:val="restart"/>
          </w:tcPr>
          <w:p w14:paraId="53BAA28B" w14:textId="77777777" w:rsidR="00152A78" w:rsidRPr="00EE5F0E" w:rsidRDefault="00152A78" w:rsidP="00152A78">
            <w:pPr>
              <w:rPr>
                <w:rFonts w:ascii="Arial" w:hAnsi="Arial"/>
                <w:sz w:val="22"/>
              </w:rPr>
            </w:pPr>
            <w:r w:rsidRPr="00EE5F0E">
              <w:rPr>
                <w:rFonts w:ascii="Arial" w:hAnsi="Arial"/>
                <w:sz w:val="22"/>
              </w:rPr>
              <w:t>Gravely Soils, Well Graded Sands, and Sand/Gravel Mixtures</w:t>
            </w:r>
          </w:p>
        </w:tc>
        <w:tc>
          <w:tcPr>
            <w:tcW w:w="1890" w:type="dxa"/>
            <w:vAlign w:val="center"/>
          </w:tcPr>
          <w:p w14:paraId="39FA9D64" w14:textId="77777777" w:rsidR="00152A78" w:rsidRPr="00EE5F0E" w:rsidRDefault="00152A78" w:rsidP="00152A78">
            <w:pPr>
              <w:jc w:val="center"/>
              <w:rPr>
                <w:rFonts w:ascii="Arial" w:hAnsi="Arial"/>
                <w:sz w:val="22"/>
              </w:rPr>
            </w:pPr>
            <w:r w:rsidRPr="00EE5F0E">
              <w:rPr>
                <w:rFonts w:ascii="Arial" w:hAnsi="Arial"/>
                <w:sz w:val="22"/>
              </w:rPr>
              <w:t>No</w:t>
            </w:r>
          </w:p>
        </w:tc>
        <w:tc>
          <w:tcPr>
            <w:tcW w:w="1440" w:type="dxa"/>
            <w:vAlign w:val="center"/>
          </w:tcPr>
          <w:p w14:paraId="5E74D892" w14:textId="77777777" w:rsidR="00152A78" w:rsidRPr="00EE5F0E" w:rsidRDefault="00152A78" w:rsidP="00152A78">
            <w:pPr>
              <w:jc w:val="center"/>
              <w:rPr>
                <w:rFonts w:ascii="Arial" w:hAnsi="Arial"/>
                <w:sz w:val="22"/>
              </w:rPr>
            </w:pPr>
            <w:r w:rsidRPr="00EE5F0E">
              <w:rPr>
                <w:rFonts w:ascii="Arial" w:hAnsi="Arial"/>
                <w:sz w:val="22"/>
              </w:rPr>
              <w:t>220</w:t>
            </w:r>
          </w:p>
        </w:tc>
        <w:tc>
          <w:tcPr>
            <w:tcW w:w="1260" w:type="dxa"/>
            <w:vAlign w:val="center"/>
          </w:tcPr>
          <w:p w14:paraId="43A551AC" w14:textId="77777777" w:rsidR="00152A78" w:rsidRPr="00EE5F0E" w:rsidRDefault="00152A78" w:rsidP="00152A78">
            <w:pPr>
              <w:jc w:val="center"/>
              <w:rPr>
                <w:rFonts w:ascii="Arial" w:hAnsi="Arial"/>
                <w:sz w:val="22"/>
              </w:rPr>
            </w:pPr>
            <w:r w:rsidRPr="00EE5F0E">
              <w:rPr>
                <w:rFonts w:ascii="Arial" w:hAnsi="Arial"/>
                <w:sz w:val="22"/>
              </w:rPr>
              <w:t>350</w:t>
            </w:r>
          </w:p>
        </w:tc>
        <w:tc>
          <w:tcPr>
            <w:tcW w:w="1375" w:type="dxa"/>
            <w:vAlign w:val="center"/>
          </w:tcPr>
          <w:p w14:paraId="383B1E42" w14:textId="77777777" w:rsidR="00152A78" w:rsidRPr="00EE5F0E" w:rsidRDefault="00152A78" w:rsidP="00152A78">
            <w:pPr>
              <w:jc w:val="center"/>
              <w:rPr>
                <w:rFonts w:ascii="Arial" w:hAnsi="Arial"/>
                <w:sz w:val="22"/>
              </w:rPr>
            </w:pPr>
            <w:r w:rsidRPr="00EE5F0E">
              <w:rPr>
                <w:rFonts w:ascii="Arial" w:hAnsi="Arial"/>
                <w:sz w:val="22"/>
              </w:rPr>
              <w:t>550</w:t>
            </w:r>
          </w:p>
        </w:tc>
      </w:tr>
      <w:tr w:rsidR="00152A78" w:rsidRPr="00EE5F0E" w14:paraId="6ED42B3D" w14:textId="77777777" w:rsidTr="002F7593">
        <w:trPr>
          <w:cantSplit/>
          <w:jc w:val="center"/>
        </w:trPr>
        <w:tc>
          <w:tcPr>
            <w:tcW w:w="2885" w:type="dxa"/>
            <w:vMerge/>
          </w:tcPr>
          <w:p w14:paraId="7F1EC554" w14:textId="77777777" w:rsidR="00152A78" w:rsidRPr="00EE5F0E" w:rsidRDefault="00152A78" w:rsidP="00152A78">
            <w:pPr>
              <w:rPr>
                <w:rFonts w:ascii="Arial" w:hAnsi="Arial"/>
                <w:sz w:val="22"/>
              </w:rPr>
            </w:pPr>
          </w:p>
        </w:tc>
        <w:tc>
          <w:tcPr>
            <w:tcW w:w="1890" w:type="dxa"/>
            <w:vAlign w:val="center"/>
          </w:tcPr>
          <w:p w14:paraId="5A85240C" w14:textId="77777777" w:rsidR="00152A78" w:rsidRPr="00EE5F0E" w:rsidRDefault="00152A78" w:rsidP="00152A78">
            <w:pPr>
              <w:jc w:val="center"/>
              <w:rPr>
                <w:rFonts w:ascii="Arial" w:hAnsi="Arial"/>
                <w:sz w:val="22"/>
              </w:rPr>
            </w:pPr>
            <w:r w:rsidRPr="00EE5F0E">
              <w:rPr>
                <w:rFonts w:ascii="Arial" w:hAnsi="Arial"/>
                <w:sz w:val="22"/>
              </w:rPr>
              <w:t>Yes</w:t>
            </w:r>
          </w:p>
        </w:tc>
        <w:tc>
          <w:tcPr>
            <w:tcW w:w="1440" w:type="dxa"/>
            <w:vAlign w:val="center"/>
          </w:tcPr>
          <w:p w14:paraId="40C4B601" w14:textId="77777777" w:rsidR="00152A78" w:rsidRPr="00EE5F0E" w:rsidRDefault="00152A78" w:rsidP="00152A78">
            <w:pPr>
              <w:jc w:val="center"/>
              <w:rPr>
                <w:rFonts w:ascii="Arial" w:hAnsi="Arial"/>
                <w:sz w:val="22"/>
              </w:rPr>
            </w:pPr>
            <w:r w:rsidRPr="00EE5F0E">
              <w:rPr>
                <w:rFonts w:ascii="Arial" w:hAnsi="Arial"/>
                <w:sz w:val="22"/>
              </w:rPr>
              <w:t>250</w:t>
            </w:r>
          </w:p>
        </w:tc>
        <w:tc>
          <w:tcPr>
            <w:tcW w:w="1260" w:type="dxa"/>
            <w:vAlign w:val="center"/>
          </w:tcPr>
          <w:p w14:paraId="55870F71" w14:textId="77777777" w:rsidR="00152A78" w:rsidRPr="00EE5F0E" w:rsidRDefault="00152A78" w:rsidP="00152A78">
            <w:pPr>
              <w:jc w:val="center"/>
              <w:rPr>
                <w:rFonts w:ascii="Arial" w:hAnsi="Arial"/>
                <w:sz w:val="22"/>
              </w:rPr>
            </w:pPr>
            <w:r w:rsidRPr="00EE5F0E">
              <w:rPr>
                <w:rFonts w:ascii="Arial" w:hAnsi="Arial"/>
                <w:sz w:val="22"/>
              </w:rPr>
              <w:t>400</w:t>
            </w:r>
          </w:p>
        </w:tc>
        <w:tc>
          <w:tcPr>
            <w:tcW w:w="1375" w:type="dxa"/>
            <w:vAlign w:val="center"/>
          </w:tcPr>
          <w:p w14:paraId="39683C0A" w14:textId="77777777" w:rsidR="00152A78" w:rsidRPr="00EE5F0E" w:rsidRDefault="00152A78" w:rsidP="00152A78">
            <w:pPr>
              <w:jc w:val="center"/>
              <w:rPr>
                <w:rFonts w:ascii="Arial" w:hAnsi="Arial"/>
                <w:sz w:val="22"/>
              </w:rPr>
            </w:pPr>
            <w:r w:rsidRPr="00EE5F0E">
              <w:rPr>
                <w:rFonts w:ascii="Arial" w:hAnsi="Arial"/>
                <w:sz w:val="22"/>
              </w:rPr>
              <w:t>600</w:t>
            </w:r>
          </w:p>
        </w:tc>
      </w:tr>
    </w:tbl>
    <w:p w14:paraId="5C8BBAAB" w14:textId="3CF7B4F9" w:rsidR="00152A78" w:rsidRDefault="00152A78" w:rsidP="002F7593">
      <w:pPr>
        <w:tabs>
          <w:tab w:val="left" w:pos="270"/>
        </w:tabs>
        <w:ind w:left="270" w:hanging="270"/>
        <w:jc w:val="both"/>
        <w:rPr>
          <w:rFonts w:ascii="Arial" w:hAnsi="Arial"/>
          <w:sz w:val="18"/>
        </w:rPr>
      </w:pPr>
      <w:r w:rsidRPr="00EE5F0E">
        <w:rPr>
          <w:rFonts w:ascii="Arial" w:hAnsi="Arial"/>
          <w:sz w:val="18"/>
        </w:rPr>
        <w:lastRenderedPageBreak/>
        <w:t xml:space="preserve">* </w:t>
      </w:r>
      <w:r w:rsidR="00EB3B06">
        <w:rPr>
          <w:rFonts w:ascii="Arial" w:hAnsi="Arial"/>
          <w:sz w:val="18"/>
        </w:rPr>
        <w:tab/>
      </w:r>
      <w:r w:rsidRPr="00EE5F0E">
        <w:rPr>
          <w:rFonts w:ascii="Arial" w:hAnsi="Arial"/>
          <w:sz w:val="18"/>
        </w:rPr>
        <w:t xml:space="preserve">Bituminous or Cement treated bases or soils will provide a greater amount </w:t>
      </w:r>
      <w:r w:rsidR="006D7207">
        <w:rPr>
          <w:rFonts w:ascii="Arial" w:hAnsi="Arial"/>
          <w:sz w:val="18"/>
        </w:rPr>
        <w:t xml:space="preserve">of </w:t>
      </w:r>
      <w:r w:rsidRPr="00EE5F0E">
        <w:rPr>
          <w:rFonts w:ascii="Arial" w:hAnsi="Arial"/>
          <w:sz w:val="18"/>
        </w:rPr>
        <w:t>support and a resulting higher k value.</w:t>
      </w:r>
    </w:p>
    <w:p w14:paraId="77852788" w14:textId="77777777" w:rsidR="00152A78" w:rsidRDefault="00152A78" w:rsidP="00152A78">
      <w:pPr>
        <w:jc w:val="both"/>
        <w:rPr>
          <w:rFonts w:ascii="Arial" w:hAnsi="Arial"/>
          <w:sz w:val="18"/>
        </w:rPr>
      </w:pPr>
    </w:p>
    <w:p w14:paraId="4A4A7E72" w14:textId="77777777" w:rsidR="00152A78" w:rsidRPr="00EE5F0E" w:rsidRDefault="00152A78" w:rsidP="002F7593">
      <w:pPr>
        <w:pStyle w:val="Heading3"/>
        <w:tabs>
          <w:tab w:val="left" w:pos="1080"/>
        </w:tabs>
        <w:ind w:hanging="1980"/>
      </w:pPr>
      <w:bookmarkStart w:id="207" w:name="_Geotextile_Properties"/>
      <w:bookmarkEnd w:id="207"/>
      <w:r>
        <w:t>Geotextile Properties</w:t>
      </w:r>
    </w:p>
    <w:p w14:paraId="26E1C6F0" w14:textId="2B7E61D9" w:rsidR="00152A78" w:rsidRDefault="00152A78" w:rsidP="00152A78">
      <w:pPr>
        <w:rPr>
          <w:rStyle w:val="Hyperlink"/>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Geotextiles/Geosynthetics_(Geotexti" w:history="1">
        <w:r w:rsidRPr="00A96EFD">
          <w:rPr>
            <w:rStyle w:val="Hyperlink"/>
            <w:rFonts w:ascii="Arial" w:hAnsi="Arial" w:cs="Arial"/>
            <w:bCs/>
            <w:sz w:val="16"/>
            <w:szCs w:val="16"/>
          </w:rPr>
          <w:t>Geotextiles/Geosynthetics (Geotextile)</w:t>
        </w:r>
      </w:hyperlink>
    </w:p>
    <w:p w14:paraId="2A7C98C0" w14:textId="08FCCC34" w:rsidR="0016588F" w:rsidRDefault="0016588F" w:rsidP="00152A78">
      <w:pPr>
        <w:rPr>
          <w:rStyle w:val="Hyperlink"/>
          <w:rFonts w:ascii="Arial" w:hAnsi="Arial" w:cs="Arial"/>
          <w:bCs/>
          <w:sz w:val="16"/>
          <w:szCs w:val="16"/>
        </w:rPr>
      </w:pPr>
    </w:p>
    <w:p w14:paraId="6532A12F" w14:textId="06B58140" w:rsidR="0016588F" w:rsidRPr="008F604D" w:rsidRDefault="0016588F" w:rsidP="00152A78">
      <w:r>
        <w:rPr>
          <w:rFonts w:ascii="Arial" w:hAnsi="Arial"/>
          <w:sz w:val="22"/>
        </w:rPr>
        <w:t xml:space="preserve">Refer to </w:t>
      </w:r>
      <w:hyperlink r:id="rId138" w:history="1">
        <w:r w:rsidRPr="0016588F">
          <w:rPr>
            <w:rStyle w:val="Hyperlink"/>
            <w:rFonts w:ascii="Arial" w:hAnsi="Arial"/>
            <w:sz w:val="22"/>
          </w:rPr>
          <w:t>Section 919 Geotextiles of the Specifications</w:t>
        </w:r>
      </w:hyperlink>
      <w:r>
        <w:rPr>
          <w:rFonts w:ascii="Arial" w:hAnsi="Arial"/>
          <w:sz w:val="22"/>
        </w:rPr>
        <w:t>.</w:t>
      </w:r>
    </w:p>
    <w:p w14:paraId="3E99B1C4" w14:textId="77777777" w:rsidR="00152A78" w:rsidRDefault="00152A78" w:rsidP="00152A78">
      <w:pPr>
        <w:jc w:val="both"/>
        <w:rPr>
          <w:rFonts w:ascii="Arial" w:hAnsi="Arial"/>
          <w:sz w:val="18"/>
        </w:rPr>
      </w:pPr>
    </w:p>
    <w:p w14:paraId="4C9DF77B" w14:textId="41FDABBD" w:rsidR="00152A78" w:rsidRPr="001130A9" w:rsidRDefault="00E17130" w:rsidP="002F7593">
      <w:pPr>
        <w:pStyle w:val="Heading3"/>
        <w:tabs>
          <w:tab w:val="left" w:pos="1080"/>
        </w:tabs>
        <w:ind w:hanging="1980"/>
      </w:pPr>
      <w:bookmarkStart w:id="208" w:name="_Structural_and_Drainage"/>
      <w:bookmarkEnd w:id="208"/>
      <w:r w:rsidRPr="001130A9">
        <w:t xml:space="preserve">Structural and Drainage Coefficient Factors </w:t>
      </w:r>
      <w:r w:rsidR="00152A78" w:rsidRPr="001130A9">
        <w:t>– AASHTO 1993</w:t>
      </w:r>
    </w:p>
    <w:p w14:paraId="7082E43B" w14:textId="77777777" w:rsidR="00E17130" w:rsidRPr="008F604D" w:rsidRDefault="00E17130" w:rsidP="00E17130">
      <w:r w:rsidRPr="001130A9">
        <w:rPr>
          <w:rFonts w:ascii="Arial" w:eastAsia="Arial" w:hAnsi="Arial" w:cs="Arial"/>
          <w:sz w:val="16"/>
        </w:rPr>
        <w:t>Click to go</w:t>
      </w:r>
      <w:r w:rsidRPr="001130A9">
        <w:rPr>
          <w:rFonts w:ascii="Arial" w:eastAsia="Arial" w:hAnsi="Arial" w:cs="Arial"/>
          <w:sz w:val="16"/>
          <w:szCs w:val="16"/>
        </w:rPr>
        <w:t xml:space="preserve"> to</w:t>
      </w:r>
      <w:r w:rsidRPr="001130A9">
        <w:rPr>
          <w:rFonts w:ascii="Arial" w:hAnsi="Arial" w:cs="Arial"/>
          <w:bCs/>
          <w:sz w:val="16"/>
          <w:szCs w:val="16"/>
        </w:rPr>
        <w:t xml:space="preserve"> </w:t>
      </w:r>
      <w:hyperlink w:anchor="_New_Pavement_Design_2" w:history="1">
        <w:r w:rsidRPr="001130A9">
          <w:rPr>
            <w:rStyle w:val="Hyperlink"/>
            <w:rFonts w:ascii="Arial" w:hAnsi="Arial" w:cs="Arial"/>
            <w:sz w:val="16"/>
            <w:szCs w:val="16"/>
          </w:rPr>
          <w:t>New Pavement Design Using AASHTO 1993</w:t>
        </w:r>
      </w:hyperlink>
    </w:p>
    <w:p w14:paraId="643BF2F9" w14:textId="6AE51B69" w:rsidR="00E17130" w:rsidRDefault="00E17130" w:rsidP="006F13AC">
      <w:pPr>
        <w:jc w:val="both"/>
        <w:rPr>
          <w:rFonts w:ascii="Arial" w:hAnsi="Arial"/>
          <w:sz w:val="22"/>
        </w:rPr>
      </w:pPr>
    </w:p>
    <w:p w14:paraId="75E25660" w14:textId="28BF717A" w:rsidR="006F13AC" w:rsidRDefault="006F13AC" w:rsidP="006F13AC">
      <w:pPr>
        <w:jc w:val="both"/>
        <w:rPr>
          <w:rFonts w:ascii="Arial" w:hAnsi="Arial"/>
          <w:sz w:val="22"/>
        </w:rPr>
      </w:pPr>
      <w:r w:rsidRPr="00EE5F0E">
        <w:rPr>
          <w:rFonts w:ascii="Arial" w:hAnsi="Arial"/>
          <w:sz w:val="22"/>
        </w:rPr>
        <w:t xml:space="preserve">The drainage coefficient or any variation of the structural coefficient based on saturation levels shall only be considered for unbound material layers.  The drainage coefficient for bound materials shall be equal to one (1.0).  </w:t>
      </w:r>
      <w:r w:rsidR="008C7023">
        <w:rPr>
          <w:rFonts w:ascii="Arial" w:hAnsi="Arial"/>
          <w:sz w:val="22"/>
        </w:rPr>
        <w:t>MDOT-SHA</w:t>
      </w:r>
      <w:r w:rsidRPr="00EE5F0E">
        <w:rPr>
          <w:rFonts w:ascii="Arial" w:hAnsi="Arial"/>
          <w:sz w:val="22"/>
        </w:rPr>
        <w:t xml:space="preserve"> has adopted an approach to adjust the structural </w:t>
      </w:r>
      <w:r>
        <w:rPr>
          <w:rFonts w:ascii="Arial" w:hAnsi="Arial"/>
          <w:sz w:val="22"/>
        </w:rPr>
        <w:t xml:space="preserve">and drainage </w:t>
      </w:r>
      <w:r w:rsidRPr="00EE5F0E">
        <w:rPr>
          <w:rFonts w:ascii="Arial" w:hAnsi="Arial"/>
          <w:sz w:val="22"/>
        </w:rPr>
        <w:t>coefficient</w:t>
      </w:r>
      <w:r>
        <w:rPr>
          <w:rFonts w:ascii="Arial" w:hAnsi="Arial"/>
          <w:sz w:val="22"/>
        </w:rPr>
        <w:t>s</w:t>
      </w:r>
      <w:r w:rsidRPr="00EE5F0E">
        <w:rPr>
          <w:rFonts w:ascii="Arial" w:hAnsi="Arial"/>
          <w:sz w:val="22"/>
        </w:rPr>
        <w:t xml:space="preserve"> of </w:t>
      </w:r>
      <w:r>
        <w:rPr>
          <w:rFonts w:ascii="Arial" w:hAnsi="Arial"/>
          <w:sz w:val="22"/>
        </w:rPr>
        <w:t>Graded Aggregate Base</w:t>
      </w:r>
      <w:r w:rsidRPr="00EE5F0E">
        <w:rPr>
          <w:rFonts w:ascii="Arial" w:hAnsi="Arial"/>
          <w:sz w:val="22"/>
        </w:rPr>
        <w:t xml:space="preserve"> based on the </w:t>
      </w:r>
      <w:r>
        <w:rPr>
          <w:rFonts w:ascii="Arial" w:hAnsi="Arial"/>
          <w:sz w:val="22"/>
        </w:rPr>
        <w:t>quarry used.</w:t>
      </w:r>
      <w:r w:rsidRPr="00EE5F0E">
        <w:rPr>
          <w:rFonts w:ascii="Arial" w:hAnsi="Arial"/>
          <w:sz w:val="22"/>
        </w:rPr>
        <w:t xml:space="preserve">   </w:t>
      </w:r>
      <w:r>
        <w:rPr>
          <w:rFonts w:ascii="Arial" w:hAnsi="Arial"/>
          <w:sz w:val="22"/>
        </w:rPr>
        <w:t>Quarry information, which is frequently updated, can be found at:</w:t>
      </w:r>
    </w:p>
    <w:p w14:paraId="07189CF6" w14:textId="1583D737" w:rsidR="006F13AC" w:rsidRDefault="006F13AC" w:rsidP="006F13AC">
      <w:pPr>
        <w:jc w:val="both"/>
        <w:rPr>
          <w:rFonts w:ascii="Arial" w:hAnsi="Arial"/>
          <w:sz w:val="22"/>
        </w:rPr>
      </w:pPr>
      <w:r>
        <w:rPr>
          <w:rFonts w:ascii="Arial" w:hAnsi="Arial"/>
          <w:sz w:val="22"/>
        </w:rPr>
        <w:t xml:space="preserve"> </w:t>
      </w:r>
      <w:hyperlink r:id="rId139" w:history="1">
        <w:r w:rsidR="001A003B" w:rsidRPr="00630590">
          <w:rPr>
            <w:rStyle w:val="Hyperlink"/>
            <w:rFonts w:ascii="Arial" w:hAnsi="Arial"/>
            <w:sz w:val="22"/>
          </w:rPr>
          <w:t>https://maryland.maps.arcgis.com/home/signin.html?returnUrl=http%3A//maryland.maps.arcgis.com/apps/webappviewer/index.html%3Fid%3D6595be786f3e473cb8bb59c56d33f119%26extent%3D-8951562.717%252C4467594.3356%252C-8071008.1512%252C4921936.0318%252C102100</w:t>
        </w:r>
      </w:hyperlink>
    </w:p>
    <w:p w14:paraId="564A350D" w14:textId="77777777" w:rsidR="006F13AC" w:rsidRDefault="006F13AC" w:rsidP="006F13AC">
      <w:pPr>
        <w:jc w:val="both"/>
        <w:rPr>
          <w:rFonts w:ascii="Arial" w:hAnsi="Arial"/>
          <w:sz w:val="22"/>
        </w:rPr>
      </w:pPr>
    </w:p>
    <w:p w14:paraId="77E20996" w14:textId="1D30A10F" w:rsidR="006F13AC" w:rsidRPr="00EE5F0E" w:rsidRDefault="006F13AC" w:rsidP="006F13AC">
      <w:pPr>
        <w:jc w:val="both"/>
        <w:rPr>
          <w:rFonts w:ascii="Arial" w:hAnsi="Arial"/>
          <w:sz w:val="22"/>
        </w:rPr>
      </w:pPr>
      <w:r w:rsidRPr="00EE5F0E">
        <w:rPr>
          <w:rFonts w:ascii="Arial" w:hAnsi="Arial"/>
          <w:sz w:val="22"/>
        </w:rPr>
        <w:t xml:space="preserve">The following equations present the relation between the subgrade strength, degree of saturation, and material type to the structural coefficient of unbound layers.  </w:t>
      </w:r>
      <w:r>
        <w:rPr>
          <w:rFonts w:ascii="Arial" w:hAnsi="Arial"/>
          <w:sz w:val="22"/>
        </w:rPr>
        <w:t xml:space="preserve">Pavement Design Spreadsheet </w:t>
      </w:r>
      <w:hyperlink r:id="rId140" w:history="1">
        <w:r w:rsidRPr="00F82E78">
          <w:rPr>
            <w:rStyle w:val="Hyperlink"/>
            <w:rFonts w:ascii="Arial" w:hAnsi="Arial"/>
            <w:sz w:val="22"/>
          </w:rPr>
          <w:t>PDS-13</w:t>
        </w:r>
      </w:hyperlink>
      <w:r>
        <w:rPr>
          <w:rFonts w:ascii="Arial" w:hAnsi="Arial"/>
          <w:sz w:val="22"/>
        </w:rPr>
        <w:t xml:space="preserve"> performs these calculations.</w:t>
      </w:r>
    </w:p>
    <w:p w14:paraId="3596C5D7" w14:textId="77777777" w:rsidR="006F13AC" w:rsidRPr="00EE5F0E" w:rsidRDefault="006F13AC" w:rsidP="006F13AC">
      <w:pPr>
        <w:jc w:val="both"/>
        <w:rPr>
          <w:rFonts w:ascii="Arial" w:hAnsi="Arial"/>
          <w:sz w:val="22"/>
        </w:rPr>
      </w:pPr>
    </w:p>
    <w:p w14:paraId="743096CE" w14:textId="77777777" w:rsidR="006F13AC" w:rsidRDefault="006F13AC" w:rsidP="006F13AC">
      <w:pPr>
        <w:jc w:val="both"/>
        <w:rPr>
          <w:rFonts w:ascii="Arial" w:hAnsi="Arial"/>
          <w:sz w:val="22"/>
          <w:u w:val="single"/>
        </w:rPr>
      </w:pPr>
      <w:r w:rsidRPr="00EE5F0E">
        <w:rPr>
          <w:rFonts w:ascii="Arial" w:hAnsi="Arial"/>
          <w:sz w:val="22"/>
          <w:u w:val="single"/>
        </w:rPr>
        <w:t>Graded Aggregate Base, Stone</w:t>
      </w:r>
    </w:p>
    <w:p w14:paraId="0716448A" w14:textId="77777777" w:rsidR="006F13AC" w:rsidRDefault="006F13AC" w:rsidP="006F13AC">
      <w:pPr>
        <w:jc w:val="both"/>
        <w:rPr>
          <w:rFonts w:ascii="Arial" w:hAnsi="Arial"/>
          <w:sz w:val="22"/>
          <w:u w:val="single"/>
        </w:rPr>
      </w:pPr>
    </w:p>
    <w:p w14:paraId="7C502497" w14:textId="77777777" w:rsidR="006F13AC" w:rsidRDefault="006F13AC" w:rsidP="006F13AC">
      <w:pPr>
        <w:jc w:val="both"/>
        <w:rPr>
          <w:rFonts w:ascii="Arial" w:hAnsi="Arial"/>
          <w:sz w:val="22"/>
          <w:u w:val="single"/>
        </w:rPr>
      </w:pPr>
      <w:r>
        <w:rPr>
          <w:rFonts w:ascii="Arial" w:hAnsi="Arial"/>
          <w:sz w:val="22"/>
          <w:u w:val="single"/>
        </w:rPr>
        <w:t>Structural Coefficient (a2): Use value provided for the specific quarry.</w:t>
      </w:r>
    </w:p>
    <w:p w14:paraId="2998B97B" w14:textId="77777777" w:rsidR="006F13AC" w:rsidRPr="00EE5F0E" w:rsidRDefault="006F13AC" w:rsidP="006F13AC">
      <w:pPr>
        <w:jc w:val="both"/>
        <w:rPr>
          <w:rFonts w:ascii="Arial" w:hAnsi="Arial"/>
          <w:sz w:val="22"/>
          <w:u w:val="single"/>
        </w:rPr>
      </w:pPr>
      <w:r>
        <w:rPr>
          <w:rFonts w:ascii="Arial" w:hAnsi="Arial"/>
          <w:sz w:val="22"/>
          <w:u w:val="single"/>
        </w:rPr>
        <w:t>Drainage Coefficient (m</w:t>
      </w:r>
      <w:r w:rsidRPr="00AB6CB3">
        <w:rPr>
          <w:rFonts w:ascii="Arial" w:hAnsi="Arial"/>
          <w:sz w:val="22"/>
          <w:u w:val="single"/>
          <w:vertAlign w:val="subscript"/>
        </w:rPr>
        <w:t>2</w:t>
      </w:r>
      <w:r>
        <w:rPr>
          <w:rFonts w:ascii="Arial" w:hAnsi="Arial"/>
          <w:sz w:val="22"/>
          <w:u w:val="single"/>
        </w:rPr>
        <w:t>) calculations.  Use values provided for the specific quarry:</w:t>
      </w:r>
    </w:p>
    <w:p w14:paraId="63106AA4" w14:textId="77777777" w:rsidR="006F13AC" w:rsidRPr="00EE5F0E" w:rsidRDefault="006F13AC" w:rsidP="006F13AC">
      <w:pPr>
        <w:jc w:val="both"/>
        <w:rPr>
          <w:rFonts w:ascii="Arial" w:hAnsi="Arial"/>
          <w:sz w:val="22"/>
        </w:rPr>
      </w:pPr>
    </w:p>
    <w:p w14:paraId="07D7EFF2" w14:textId="77777777" w:rsidR="006F13AC" w:rsidRDefault="006F13AC" w:rsidP="006F13AC">
      <w:pPr>
        <w:jc w:val="both"/>
        <w:rPr>
          <w:rFonts w:ascii="Arial" w:hAnsi="Arial"/>
          <w:sz w:val="22"/>
        </w:rPr>
      </w:pPr>
      <w:r w:rsidRPr="001C5A3B">
        <w:rPr>
          <w:rFonts w:ascii="Arial" w:hAnsi="Arial"/>
          <w:sz w:val="22"/>
        </w:rPr>
        <w:t>N = (1 -  γd/(62.4 * Gsb))</w:t>
      </w:r>
    </w:p>
    <w:p w14:paraId="021CCCA4" w14:textId="77777777" w:rsidR="006F13AC" w:rsidRDefault="006F13AC" w:rsidP="006F13AC">
      <w:pPr>
        <w:jc w:val="both"/>
        <w:rPr>
          <w:rFonts w:ascii="Arial" w:hAnsi="Arial"/>
          <w:sz w:val="22"/>
        </w:rPr>
      </w:pPr>
      <w:r>
        <w:rPr>
          <w:rFonts w:ascii="Arial" w:hAnsi="Arial"/>
          <w:sz w:val="22"/>
        </w:rPr>
        <w:t>Ne = N * WL</w:t>
      </w:r>
    </w:p>
    <w:p w14:paraId="25E36C1F" w14:textId="77777777" w:rsidR="006F13AC" w:rsidRDefault="006F13AC" w:rsidP="006F13AC">
      <w:pPr>
        <w:jc w:val="both"/>
        <w:rPr>
          <w:rFonts w:ascii="Arial" w:hAnsi="Arial"/>
          <w:sz w:val="22"/>
          <w:vertAlign w:val="superscript"/>
        </w:rPr>
      </w:pPr>
      <w:r>
        <w:rPr>
          <w:rFonts w:ascii="Arial" w:hAnsi="Arial"/>
          <w:sz w:val="22"/>
        </w:rPr>
        <w:t>SR = (S</w:t>
      </w:r>
      <w:r w:rsidRPr="001C5A3B">
        <w:rPr>
          <w:rFonts w:ascii="Arial" w:hAnsi="Arial"/>
          <w:sz w:val="22"/>
          <w:vertAlign w:val="superscript"/>
        </w:rPr>
        <w:t>2</w:t>
      </w:r>
      <w:r>
        <w:rPr>
          <w:rFonts w:ascii="Arial" w:hAnsi="Arial"/>
          <w:sz w:val="22"/>
        </w:rPr>
        <w:t xml:space="preserve"> + Sx</w:t>
      </w:r>
      <w:r w:rsidRPr="001C5A3B">
        <w:rPr>
          <w:rFonts w:ascii="Arial" w:hAnsi="Arial"/>
          <w:sz w:val="22"/>
          <w:vertAlign w:val="superscript"/>
        </w:rPr>
        <w:t>2</w:t>
      </w:r>
      <w:r>
        <w:rPr>
          <w:rFonts w:ascii="Arial" w:hAnsi="Arial"/>
          <w:sz w:val="22"/>
        </w:rPr>
        <w:t>)</w:t>
      </w:r>
      <w:r w:rsidRPr="001C5A3B">
        <w:rPr>
          <w:rFonts w:ascii="Arial" w:hAnsi="Arial"/>
          <w:sz w:val="22"/>
          <w:vertAlign w:val="superscript"/>
        </w:rPr>
        <w:t>1/2</w:t>
      </w:r>
    </w:p>
    <w:p w14:paraId="20B7B21D" w14:textId="77777777" w:rsidR="006F13AC" w:rsidRDefault="006F13AC" w:rsidP="006F13AC">
      <w:pPr>
        <w:jc w:val="both"/>
        <w:rPr>
          <w:rFonts w:ascii="Arial" w:hAnsi="Arial"/>
          <w:sz w:val="22"/>
          <w:vertAlign w:val="superscript"/>
        </w:rPr>
      </w:pPr>
      <w:r>
        <w:rPr>
          <w:rFonts w:ascii="Arial" w:hAnsi="Arial"/>
          <w:sz w:val="22"/>
        </w:rPr>
        <w:t>LR = W * [1+(S/Sx)</w:t>
      </w:r>
      <w:r w:rsidRPr="001C5A3B">
        <w:rPr>
          <w:rFonts w:ascii="Arial" w:hAnsi="Arial"/>
          <w:sz w:val="22"/>
          <w:vertAlign w:val="superscript"/>
        </w:rPr>
        <w:t>2</w:t>
      </w:r>
      <w:r>
        <w:rPr>
          <w:rFonts w:ascii="Arial" w:hAnsi="Arial"/>
          <w:sz w:val="22"/>
        </w:rPr>
        <w:t>]</w:t>
      </w:r>
      <w:r w:rsidRPr="001C5A3B">
        <w:rPr>
          <w:rFonts w:ascii="Arial" w:hAnsi="Arial"/>
          <w:sz w:val="22"/>
          <w:vertAlign w:val="superscript"/>
        </w:rPr>
        <w:t>1/2</w:t>
      </w:r>
    </w:p>
    <w:p w14:paraId="4238CCA4" w14:textId="77777777" w:rsidR="006F13AC" w:rsidRDefault="006F13AC" w:rsidP="006F13AC">
      <w:pPr>
        <w:jc w:val="both"/>
        <w:rPr>
          <w:rFonts w:ascii="Arial" w:hAnsi="Arial"/>
          <w:sz w:val="22"/>
        </w:rPr>
      </w:pPr>
      <w:r>
        <w:rPr>
          <w:rFonts w:ascii="Arial" w:hAnsi="Arial"/>
          <w:sz w:val="22"/>
        </w:rPr>
        <w:t>“m” = Ne * LR</w:t>
      </w:r>
      <w:r w:rsidRPr="00334D68">
        <w:rPr>
          <w:rFonts w:ascii="Arial" w:hAnsi="Arial"/>
          <w:sz w:val="22"/>
          <w:vertAlign w:val="superscript"/>
        </w:rPr>
        <w:t>2</w:t>
      </w:r>
      <w:r>
        <w:rPr>
          <w:rFonts w:ascii="Arial" w:hAnsi="Arial"/>
          <w:sz w:val="22"/>
        </w:rPr>
        <w:t>/(K * H)</w:t>
      </w:r>
    </w:p>
    <w:p w14:paraId="180F7BB5" w14:textId="77777777" w:rsidR="006F13AC" w:rsidRDefault="006F13AC" w:rsidP="006F13AC">
      <w:pPr>
        <w:jc w:val="both"/>
        <w:rPr>
          <w:rFonts w:ascii="Arial" w:hAnsi="Arial"/>
          <w:sz w:val="22"/>
        </w:rPr>
      </w:pPr>
      <w:r>
        <w:rPr>
          <w:rFonts w:ascii="Arial" w:hAnsi="Arial"/>
          <w:sz w:val="22"/>
        </w:rPr>
        <w:t>S1 = LR * SR/H</w:t>
      </w:r>
    </w:p>
    <w:p w14:paraId="25099736" w14:textId="77777777" w:rsidR="006F13AC" w:rsidRDefault="006F13AC" w:rsidP="006F13AC">
      <w:pPr>
        <w:jc w:val="both"/>
        <w:rPr>
          <w:rFonts w:ascii="Arial" w:hAnsi="Arial"/>
          <w:sz w:val="22"/>
        </w:rPr>
      </w:pPr>
    </w:p>
    <w:p w14:paraId="7BFABEE4" w14:textId="77777777" w:rsidR="006F13AC" w:rsidRDefault="006F13AC" w:rsidP="006F13AC">
      <w:pPr>
        <w:jc w:val="both"/>
        <w:rPr>
          <w:rFonts w:ascii="Arial" w:hAnsi="Arial"/>
          <w:sz w:val="22"/>
        </w:rPr>
      </w:pPr>
      <w:r>
        <w:rPr>
          <w:rFonts w:ascii="Arial" w:hAnsi="Arial"/>
          <w:sz w:val="22"/>
        </w:rPr>
        <w:t>Where:</w:t>
      </w:r>
    </w:p>
    <w:p w14:paraId="5D7A2D95" w14:textId="77777777" w:rsidR="006F13AC" w:rsidRDefault="006F13AC" w:rsidP="006F13AC">
      <w:pPr>
        <w:jc w:val="both"/>
        <w:rPr>
          <w:rFonts w:ascii="Arial" w:hAnsi="Arial"/>
          <w:sz w:val="22"/>
        </w:rPr>
      </w:pPr>
    </w:p>
    <w:p w14:paraId="3333979A" w14:textId="77777777" w:rsidR="006F13AC" w:rsidRDefault="006F13AC" w:rsidP="006F13AC">
      <w:pPr>
        <w:jc w:val="both"/>
        <w:rPr>
          <w:rFonts w:ascii="Arial" w:hAnsi="Arial"/>
          <w:sz w:val="22"/>
        </w:rPr>
      </w:pPr>
      <w:r w:rsidRPr="001C5A3B">
        <w:rPr>
          <w:rFonts w:ascii="Arial" w:hAnsi="Arial"/>
          <w:sz w:val="22"/>
        </w:rPr>
        <w:t>γd</w:t>
      </w:r>
      <w:r>
        <w:rPr>
          <w:rFonts w:ascii="Arial" w:hAnsi="Arial"/>
          <w:sz w:val="22"/>
        </w:rPr>
        <w:t xml:space="preserve"> = Maximum Dry Density (MDD) in pcf, from quarry.</w:t>
      </w:r>
    </w:p>
    <w:p w14:paraId="5D4BCD0E" w14:textId="77777777" w:rsidR="006F13AC" w:rsidRDefault="006F13AC" w:rsidP="006F13AC">
      <w:pPr>
        <w:jc w:val="both"/>
        <w:rPr>
          <w:rFonts w:ascii="Arial" w:hAnsi="Arial"/>
          <w:sz w:val="22"/>
        </w:rPr>
      </w:pPr>
      <w:r>
        <w:rPr>
          <w:rFonts w:ascii="Arial" w:hAnsi="Arial"/>
          <w:sz w:val="22"/>
        </w:rPr>
        <w:t>Gsb = Specific Gravity of aggregate from quarry.</w:t>
      </w:r>
    </w:p>
    <w:p w14:paraId="40067152" w14:textId="77777777" w:rsidR="006F13AC" w:rsidRDefault="006F13AC" w:rsidP="006F13AC">
      <w:pPr>
        <w:jc w:val="both"/>
        <w:rPr>
          <w:rFonts w:ascii="Arial" w:hAnsi="Arial"/>
          <w:sz w:val="22"/>
        </w:rPr>
      </w:pPr>
      <w:r>
        <w:rPr>
          <w:rFonts w:ascii="Arial" w:hAnsi="Arial"/>
          <w:sz w:val="22"/>
        </w:rPr>
        <w:t>WL = Water Loss (%) from quarry.  Use 80% if no value is available.</w:t>
      </w:r>
    </w:p>
    <w:p w14:paraId="52362B75" w14:textId="77777777" w:rsidR="006F13AC" w:rsidRDefault="006F13AC" w:rsidP="006F13AC">
      <w:pPr>
        <w:jc w:val="both"/>
        <w:rPr>
          <w:rFonts w:ascii="Arial" w:hAnsi="Arial"/>
          <w:sz w:val="22"/>
        </w:rPr>
      </w:pPr>
      <w:r>
        <w:rPr>
          <w:rFonts w:ascii="Arial" w:hAnsi="Arial"/>
          <w:sz w:val="22"/>
        </w:rPr>
        <w:t>N = Porosity</w:t>
      </w:r>
    </w:p>
    <w:p w14:paraId="032E0B16" w14:textId="77777777" w:rsidR="006F13AC" w:rsidRDefault="006F13AC" w:rsidP="006F13AC">
      <w:pPr>
        <w:jc w:val="both"/>
        <w:rPr>
          <w:rFonts w:ascii="Arial" w:hAnsi="Arial"/>
          <w:sz w:val="22"/>
        </w:rPr>
      </w:pPr>
      <w:r>
        <w:rPr>
          <w:rFonts w:ascii="Arial" w:hAnsi="Arial"/>
          <w:sz w:val="22"/>
        </w:rPr>
        <w:t>Ne = Effective Porosity</w:t>
      </w:r>
    </w:p>
    <w:p w14:paraId="186C0DD5" w14:textId="77777777" w:rsidR="006F13AC" w:rsidRDefault="006F13AC" w:rsidP="006F13AC">
      <w:pPr>
        <w:jc w:val="both"/>
        <w:rPr>
          <w:rFonts w:ascii="Arial" w:hAnsi="Arial"/>
          <w:sz w:val="22"/>
        </w:rPr>
      </w:pPr>
      <w:r>
        <w:rPr>
          <w:rFonts w:ascii="Arial" w:hAnsi="Arial"/>
          <w:sz w:val="22"/>
        </w:rPr>
        <w:t>S = Longitudinal Slope of roadway</w:t>
      </w:r>
    </w:p>
    <w:p w14:paraId="045B58C3" w14:textId="77777777" w:rsidR="006F13AC" w:rsidRDefault="006F13AC" w:rsidP="006F13AC">
      <w:pPr>
        <w:jc w:val="both"/>
        <w:rPr>
          <w:rFonts w:ascii="Arial" w:hAnsi="Arial"/>
          <w:sz w:val="22"/>
        </w:rPr>
      </w:pPr>
      <w:r>
        <w:rPr>
          <w:rFonts w:ascii="Arial" w:hAnsi="Arial"/>
          <w:sz w:val="22"/>
        </w:rPr>
        <w:t>Sx = Cross slope</w:t>
      </w:r>
    </w:p>
    <w:p w14:paraId="3F68D3AF" w14:textId="77777777" w:rsidR="006F13AC" w:rsidRDefault="006F13AC" w:rsidP="006F13AC">
      <w:pPr>
        <w:jc w:val="both"/>
        <w:rPr>
          <w:rFonts w:ascii="Arial" w:hAnsi="Arial"/>
          <w:sz w:val="22"/>
        </w:rPr>
      </w:pPr>
      <w:r>
        <w:rPr>
          <w:rFonts w:ascii="Arial" w:hAnsi="Arial"/>
          <w:sz w:val="22"/>
        </w:rPr>
        <w:t>SR = Resultant Base Slope</w:t>
      </w:r>
    </w:p>
    <w:p w14:paraId="338DA5CF" w14:textId="77777777" w:rsidR="006F13AC" w:rsidRDefault="006F13AC" w:rsidP="006F13AC">
      <w:pPr>
        <w:jc w:val="both"/>
        <w:rPr>
          <w:rFonts w:ascii="Arial" w:hAnsi="Arial"/>
          <w:sz w:val="22"/>
        </w:rPr>
      </w:pPr>
      <w:r>
        <w:rPr>
          <w:rFonts w:ascii="Arial" w:hAnsi="Arial"/>
          <w:sz w:val="22"/>
        </w:rPr>
        <w:t>W = Width of layer (feet)</w:t>
      </w:r>
    </w:p>
    <w:p w14:paraId="5C1EC9BE" w14:textId="77777777" w:rsidR="006F13AC" w:rsidRDefault="006F13AC" w:rsidP="006F13AC">
      <w:pPr>
        <w:jc w:val="both"/>
        <w:rPr>
          <w:rFonts w:ascii="Arial" w:hAnsi="Arial"/>
          <w:sz w:val="22"/>
        </w:rPr>
      </w:pPr>
      <w:r>
        <w:rPr>
          <w:rFonts w:ascii="Arial" w:hAnsi="Arial"/>
          <w:sz w:val="22"/>
        </w:rPr>
        <w:lastRenderedPageBreak/>
        <w:t>LR = Resultant Base Length</w:t>
      </w:r>
    </w:p>
    <w:p w14:paraId="242E6C2C" w14:textId="77777777" w:rsidR="006F13AC" w:rsidRDefault="006F13AC" w:rsidP="006F13AC">
      <w:pPr>
        <w:jc w:val="both"/>
        <w:rPr>
          <w:rFonts w:ascii="Arial" w:hAnsi="Arial"/>
          <w:sz w:val="22"/>
        </w:rPr>
      </w:pPr>
      <w:r>
        <w:rPr>
          <w:rFonts w:ascii="Arial" w:hAnsi="Arial"/>
          <w:sz w:val="22"/>
        </w:rPr>
        <w:t>K = Permeability (ft/sec) from quarry.</w:t>
      </w:r>
    </w:p>
    <w:p w14:paraId="23F887E9" w14:textId="77777777" w:rsidR="006F13AC" w:rsidRDefault="006F13AC" w:rsidP="006F13AC">
      <w:pPr>
        <w:jc w:val="both"/>
        <w:rPr>
          <w:rFonts w:ascii="Arial" w:hAnsi="Arial"/>
          <w:sz w:val="22"/>
        </w:rPr>
      </w:pPr>
      <w:r>
        <w:rPr>
          <w:rFonts w:ascii="Arial" w:hAnsi="Arial"/>
          <w:sz w:val="22"/>
        </w:rPr>
        <w:t>H = Thickness of layer (feet)</w:t>
      </w:r>
    </w:p>
    <w:p w14:paraId="1082CAC4" w14:textId="77777777" w:rsidR="006F13AC" w:rsidRDefault="006F13AC" w:rsidP="006F13AC">
      <w:pPr>
        <w:jc w:val="both"/>
        <w:rPr>
          <w:rFonts w:ascii="Arial" w:hAnsi="Arial"/>
          <w:sz w:val="22"/>
        </w:rPr>
      </w:pPr>
      <w:r>
        <w:rPr>
          <w:rFonts w:ascii="Arial" w:hAnsi="Arial"/>
          <w:sz w:val="22"/>
        </w:rPr>
        <w:t>“m” = “m” factor</w:t>
      </w:r>
    </w:p>
    <w:p w14:paraId="04A981DF" w14:textId="77777777" w:rsidR="006F13AC" w:rsidRDefault="006F13AC" w:rsidP="006F13AC">
      <w:pPr>
        <w:jc w:val="both"/>
        <w:rPr>
          <w:rFonts w:ascii="Arial" w:hAnsi="Arial"/>
          <w:sz w:val="22"/>
        </w:rPr>
      </w:pPr>
      <w:r>
        <w:rPr>
          <w:rFonts w:ascii="Arial" w:hAnsi="Arial"/>
          <w:sz w:val="22"/>
        </w:rPr>
        <w:t>S1 = Slope Factor</w:t>
      </w:r>
    </w:p>
    <w:p w14:paraId="75E7F21E" w14:textId="77777777" w:rsidR="006F13AC" w:rsidRDefault="006F13AC" w:rsidP="006F13AC">
      <w:pPr>
        <w:jc w:val="both"/>
        <w:rPr>
          <w:rFonts w:ascii="Arial" w:hAnsi="Arial"/>
          <w:sz w:val="22"/>
        </w:rPr>
      </w:pPr>
    </w:p>
    <w:p w14:paraId="5E406C3F" w14:textId="77777777" w:rsidR="006F13AC" w:rsidRDefault="006F13AC" w:rsidP="006F13AC">
      <w:pPr>
        <w:jc w:val="both"/>
        <w:rPr>
          <w:rFonts w:ascii="Arial" w:hAnsi="Arial"/>
          <w:sz w:val="22"/>
        </w:rPr>
      </w:pPr>
      <w:r>
        <w:rPr>
          <w:rFonts w:ascii="Arial" w:hAnsi="Arial"/>
          <w:sz w:val="22"/>
        </w:rPr>
        <w:t>Use the following chart to interpolate the Time Factor, T:</w:t>
      </w:r>
    </w:p>
    <w:p w14:paraId="688596C2" w14:textId="77777777" w:rsidR="006F13AC" w:rsidRDefault="006F13AC" w:rsidP="006F13AC">
      <w:pPr>
        <w:jc w:val="both"/>
        <w:rPr>
          <w:rFonts w:ascii="Arial" w:hAnsi="Arial"/>
          <w:sz w:val="22"/>
        </w:rPr>
      </w:pPr>
    </w:p>
    <w:tbl>
      <w:tblPr>
        <w:tblW w:w="5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2970"/>
      </w:tblGrid>
      <w:tr w:rsidR="006F13AC" w:rsidRPr="00AB6CB3" w14:paraId="372338A0" w14:textId="77777777" w:rsidTr="00E17130">
        <w:trPr>
          <w:trHeight w:val="300"/>
        </w:trPr>
        <w:tc>
          <w:tcPr>
            <w:tcW w:w="2150" w:type="dxa"/>
            <w:shd w:val="clear" w:color="000000" w:fill="264D73"/>
            <w:hideMark/>
          </w:tcPr>
          <w:p w14:paraId="67F58390" w14:textId="77777777" w:rsidR="006F13AC" w:rsidRPr="00AB6CB3" w:rsidRDefault="006F13AC" w:rsidP="00E81304">
            <w:pPr>
              <w:rPr>
                <w:rFonts w:ascii="Arial" w:hAnsi="Arial" w:cs="Arial"/>
                <w:b/>
                <w:bCs/>
                <w:color w:val="FFFFFF"/>
                <w:sz w:val="22"/>
                <w:szCs w:val="22"/>
              </w:rPr>
            </w:pPr>
            <w:r w:rsidRPr="00AB6CB3">
              <w:rPr>
                <w:rFonts w:ascii="Arial" w:hAnsi="Arial" w:cs="Arial"/>
                <w:b/>
                <w:bCs/>
                <w:color w:val="FFFFFF"/>
                <w:sz w:val="22"/>
                <w:szCs w:val="22"/>
              </w:rPr>
              <w:t>Slope Factor, (S1)</w:t>
            </w:r>
          </w:p>
        </w:tc>
        <w:tc>
          <w:tcPr>
            <w:tcW w:w="2970" w:type="dxa"/>
            <w:shd w:val="clear" w:color="000000" w:fill="264D73"/>
            <w:hideMark/>
          </w:tcPr>
          <w:p w14:paraId="50C52B84" w14:textId="77777777" w:rsidR="006F13AC" w:rsidRPr="00AB6CB3" w:rsidRDefault="006F13AC" w:rsidP="00E81304">
            <w:pPr>
              <w:jc w:val="center"/>
              <w:rPr>
                <w:rFonts w:ascii="Arial" w:hAnsi="Arial" w:cs="Arial"/>
                <w:b/>
                <w:bCs/>
                <w:color w:val="FFFFFF"/>
                <w:sz w:val="22"/>
                <w:szCs w:val="22"/>
              </w:rPr>
            </w:pPr>
            <w:r w:rsidRPr="00AB6CB3">
              <w:rPr>
                <w:rFonts w:ascii="Arial" w:hAnsi="Arial" w:cs="Arial"/>
                <w:b/>
                <w:bCs/>
                <w:color w:val="FFFFFF"/>
                <w:sz w:val="22"/>
                <w:szCs w:val="22"/>
              </w:rPr>
              <w:t xml:space="preserve">Time Factor, (T 50) </w:t>
            </w:r>
          </w:p>
        </w:tc>
      </w:tr>
      <w:tr w:rsidR="006F13AC" w:rsidRPr="00AB6CB3" w14:paraId="784EF176" w14:textId="77777777" w:rsidTr="00E17130">
        <w:trPr>
          <w:trHeight w:val="315"/>
        </w:trPr>
        <w:tc>
          <w:tcPr>
            <w:tcW w:w="2150" w:type="dxa"/>
            <w:hideMark/>
          </w:tcPr>
          <w:p w14:paraId="5D402B83"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w:t>
            </w:r>
          </w:p>
        </w:tc>
        <w:tc>
          <w:tcPr>
            <w:tcW w:w="2970" w:type="dxa"/>
            <w:hideMark/>
          </w:tcPr>
          <w:p w14:paraId="01D2352F"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0.7</w:t>
            </w:r>
          </w:p>
        </w:tc>
      </w:tr>
      <w:tr w:rsidR="006F13AC" w:rsidRPr="00AB6CB3" w14:paraId="3BFFD367" w14:textId="77777777" w:rsidTr="00E17130">
        <w:trPr>
          <w:trHeight w:val="405"/>
        </w:trPr>
        <w:tc>
          <w:tcPr>
            <w:tcW w:w="2150" w:type="dxa"/>
            <w:hideMark/>
          </w:tcPr>
          <w:p w14:paraId="07922E37"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1</w:t>
            </w:r>
          </w:p>
        </w:tc>
        <w:tc>
          <w:tcPr>
            <w:tcW w:w="2970" w:type="dxa"/>
            <w:hideMark/>
          </w:tcPr>
          <w:p w14:paraId="0E039F38"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0.217</w:t>
            </w:r>
          </w:p>
        </w:tc>
      </w:tr>
      <w:tr w:rsidR="006F13AC" w:rsidRPr="00AB6CB3" w14:paraId="51B38DA1" w14:textId="77777777" w:rsidTr="00E17130">
        <w:trPr>
          <w:trHeight w:val="314"/>
        </w:trPr>
        <w:tc>
          <w:tcPr>
            <w:tcW w:w="2150" w:type="dxa"/>
            <w:hideMark/>
          </w:tcPr>
          <w:p w14:paraId="605DE8C3"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2</w:t>
            </w:r>
          </w:p>
        </w:tc>
        <w:tc>
          <w:tcPr>
            <w:tcW w:w="2970" w:type="dxa"/>
            <w:hideMark/>
          </w:tcPr>
          <w:p w14:paraId="0DB77296"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0.14</w:t>
            </w:r>
          </w:p>
        </w:tc>
      </w:tr>
      <w:tr w:rsidR="006F13AC" w:rsidRPr="00AB6CB3" w14:paraId="57ADB789" w14:textId="77777777" w:rsidTr="00E17130">
        <w:trPr>
          <w:trHeight w:val="300"/>
        </w:trPr>
        <w:tc>
          <w:tcPr>
            <w:tcW w:w="2150" w:type="dxa"/>
            <w:hideMark/>
          </w:tcPr>
          <w:p w14:paraId="704D289C"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3</w:t>
            </w:r>
          </w:p>
        </w:tc>
        <w:tc>
          <w:tcPr>
            <w:tcW w:w="2970" w:type="dxa"/>
            <w:hideMark/>
          </w:tcPr>
          <w:p w14:paraId="5B1BE1AE"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0.118</w:t>
            </w:r>
          </w:p>
        </w:tc>
      </w:tr>
      <w:tr w:rsidR="006F13AC" w:rsidRPr="00AB6CB3" w14:paraId="4FCB1A5A" w14:textId="77777777" w:rsidTr="00E17130">
        <w:trPr>
          <w:trHeight w:val="300"/>
        </w:trPr>
        <w:tc>
          <w:tcPr>
            <w:tcW w:w="2150" w:type="dxa"/>
            <w:hideMark/>
          </w:tcPr>
          <w:p w14:paraId="3E66EF1E"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4</w:t>
            </w:r>
          </w:p>
        </w:tc>
        <w:tc>
          <w:tcPr>
            <w:tcW w:w="2970" w:type="dxa"/>
            <w:hideMark/>
          </w:tcPr>
          <w:p w14:paraId="0DF01E67"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0.095</w:t>
            </w:r>
          </w:p>
        </w:tc>
      </w:tr>
      <w:tr w:rsidR="006F13AC" w:rsidRPr="00AB6CB3" w14:paraId="154B4F52" w14:textId="77777777" w:rsidTr="00E17130">
        <w:trPr>
          <w:trHeight w:val="300"/>
        </w:trPr>
        <w:tc>
          <w:tcPr>
            <w:tcW w:w="2150" w:type="dxa"/>
            <w:hideMark/>
          </w:tcPr>
          <w:p w14:paraId="3DBECCBB"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5</w:t>
            </w:r>
          </w:p>
        </w:tc>
        <w:tc>
          <w:tcPr>
            <w:tcW w:w="2970" w:type="dxa"/>
            <w:hideMark/>
          </w:tcPr>
          <w:p w14:paraId="5BC0FA33"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0.083</w:t>
            </w:r>
          </w:p>
        </w:tc>
      </w:tr>
      <w:tr w:rsidR="006F13AC" w:rsidRPr="00AB6CB3" w14:paraId="0EBCDA9A" w14:textId="77777777" w:rsidTr="00E17130">
        <w:trPr>
          <w:trHeight w:val="300"/>
        </w:trPr>
        <w:tc>
          <w:tcPr>
            <w:tcW w:w="2150" w:type="dxa"/>
            <w:hideMark/>
          </w:tcPr>
          <w:p w14:paraId="052EB9A2"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6</w:t>
            </w:r>
          </w:p>
        </w:tc>
        <w:tc>
          <w:tcPr>
            <w:tcW w:w="2970" w:type="dxa"/>
            <w:hideMark/>
          </w:tcPr>
          <w:p w14:paraId="6C944235"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0.074</w:t>
            </w:r>
          </w:p>
        </w:tc>
      </w:tr>
      <w:tr w:rsidR="006F13AC" w:rsidRPr="00AB6CB3" w14:paraId="3BBA9332" w14:textId="77777777" w:rsidTr="00E17130">
        <w:trPr>
          <w:trHeight w:val="315"/>
        </w:trPr>
        <w:tc>
          <w:tcPr>
            <w:tcW w:w="2150" w:type="dxa"/>
            <w:hideMark/>
          </w:tcPr>
          <w:p w14:paraId="7E1AF66C"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7</w:t>
            </w:r>
          </w:p>
        </w:tc>
        <w:tc>
          <w:tcPr>
            <w:tcW w:w="2970" w:type="dxa"/>
            <w:hideMark/>
          </w:tcPr>
          <w:p w14:paraId="6B6C7B14" w14:textId="77777777" w:rsidR="006F13AC" w:rsidRPr="00AB6CB3" w:rsidRDefault="006F13AC" w:rsidP="00E81304">
            <w:pPr>
              <w:jc w:val="center"/>
              <w:rPr>
                <w:rFonts w:ascii="Arial" w:hAnsi="Arial" w:cs="Arial"/>
                <w:color w:val="000000"/>
                <w:sz w:val="22"/>
                <w:szCs w:val="22"/>
              </w:rPr>
            </w:pPr>
            <w:r w:rsidRPr="00AB6CB3">
              <w:rPr>
                <w:rFonts w:ascii="Arial" w:hAnsi="Arial" w:cs="Arial"/>
                <w:color w:val="000000"/>
                <w:sz w:val="22"/>
                <w:szCs w:val="22"/>
              </w:rPr>
              <w:t>0.069</w:t>
            </w:r>
          </w:p>
        </w:tc>
      </w:tr>
    </w:tbl>
    <w:p w14:paraId="7FADB269" w14:textId="77777777" w:rsidR="006F13AC" w:rsidRDefault="006F13AC" w:rsidP="006F13AC">
      <w:pPr>
        <w:jc w:val="both"/>
        <w:rPr>
          <w:rFonts w:ascii="Arial" w:hAnsi="Arial"/>
          <w:sz w:val="22"/>
        </w:rPr>
      </w:pPr>
    </w:p>
    <w:p w14:paraId="45A270C3" w14:textId="77777777" w:rsidR="006F13AC" w:rsidRDefault="006F13AC" w:rsidP="006F13AC">
      <w:pPr>
        <w:jc w:val="both"/>
        <w:rPr>
          <w:rFonts w:ascii="Arial" w:hAnsi="Arial"/>
          <w:sz w:val="22"/>
        </w:rPr>
      </w:pPr>
      <w:r>
        <w:rPr>
          <w:rFonts w:ascii="Arial" w:hAnsi="Arial"/>
          <w:sz w:val="22"/>
        </w:rPr>
        <w:t>t = T * “m” * 24</w:t>
      </w:r>
    </w:p>
    <w:p w14:paraId="03CCC42E" w14:textId="60DD5084" w:rsidR="006F13AC" w:rsidRDefault="006F13AC" w:rsidP="006F13AC">
      <w:pPr>
        <w:jc w:val="both"/>
        <w:rPr>
          <w:rFonts w:ascii="Arial" w:hAnsi="Arial"/>
          <w:sz w:val="22"/>
        </w:rPr>
      </w:pPr>
    </w:p>
    <w:p w14:paraId="2566B4F1" w14:textId="77777777" w:rsidR="00B27F99" w:rsidRDefault="00B27F99" w:rsidP="006F13AC">
      <w:pPr>
        <w:jc w:val="both"/>
        <w:rPr>
          <w:rFonts w:ascii="Arial" w:hAnsi="Arial"/>
          <w:sz w:val="22"/>
        </w:rPr>
      </w:pPr>
    </w:p>
    <w:p w14:paraId="618EDC4B" w14:textId="77777777" w:rsidR="006F13AC" w:rsidRDefault="006F13AC" w:rsidP="006F13AC">
      <w:pPr>
        <w:jc w:val="both"/>
        <w:rPr>
          <w:rFonts w:ascii="Arial" w:hAnsi="Arial"/>
          <w:sz w:val="22"/>
        </w:rPr>
      </w:pPr>
      <w:r>
        <w:rPr>
          <w:rFonts w:ascii="Arial" w:hAnsi="Arial"/>
          <w:sz w:val="22"/>
        </w:rPr>
        <w:t xml:space="preserve">Where </w:t>
      </w:r>
    </w:p>
    <w:p w14:paraId="40A6234E" w14:textId="77777777" w:rsidR="006F13AC" w:rsidRDefault="006F13AC" w:rsidP="006F13AC">
      <w:pPr>
        <w:jc w:val="both"/>
        <w:rPr>
          <w:rFonts w:ascii="Arial" w:hAnsi="Arial"/>
          <w:sz w:val="22"/>
        </w:rPr>
      </w:pPr>
    </w:p>
    <w:p w14:paraId="40A53D0E" w14:textId="77777777" w:rsidR="006F13AC" w:rsidRDefault="006F13AC" w:rsidP="006F13AC">
      <w:pPr>
        <w:jc w:val="both"/>
        <w:rPr>
          <w:rFonts w:ascii="Arial" w:hAnsi="Arial"/>
          <w:sz w:val="22"/>
        </w:rPr>
      </w:pPr>
      <w:r>
        <w:rPr>
          <w:rFonts w:ascii="Arial" w:hAnsi="Arial"/>
          <w:sz w:val="22"/>
        </w:rPr>
        <w:t>t = time to drain (hours)</w:t>
      </w:r>
    </w:p>
    <w:p w14:paraId="1E241423" w14:textId="77777777" w:rsidR="006F13AC" w:rsidRPr="001C5A3B" w:rsidRDefault="006F13AC" w:rsidP="006F13AC">
      <w:pPr>
        <w:jc w:val="both"/>
        <w:rPr>
          <w:rFonts w:ascii="Arial" w:hAnsi="Arial"/>
          <w:sz w:val="22"/>
        </w:rPr>
      </w:pPr>
    </w:p>
    <w:p w14:paraId="69253238" w14:textId="77777777" w:rsidR="006F13AC" w:rsidRDefault="006F13AC" w:rsidP="006F13AC">
      <w:pPr>
        <w:jc w:val="both"/>
        <w:rPr>
          <w:rFonts w:ascii="Arial" w:hAnsi="Arial"/>
          <w:sz w:val="22"/>
        </w:rPr>
      </w:pPr>
      <w:r>
        <w:rPr>
          <w:rFonts w:ascii="Arial" w:hAnsi="Arial"/>
          <w:sz w:val="22"/>
        </w:rPr>
        <w:t>Use the following chart to determine the drainage coefficient, m:</w:t>
      </w:r>
    </w:p>
    <w:p w14:paraId="53046E53" w14:textId="77777777" w:rsidR="006F13AC" w:rsidRDefault="006F13AC" w:rsidP="006F13AC">
      <w:pPr>
        <w:jc w:val="both"/>
        <w:rPr>
          <w:rFonts w:ascii="Arial" w:hAnsi="Arial"/>
          <w:sz w:val="22"/>
        </w:rPr>
      </w:pPr>
    </w:p>
    <w:tbl>
      <w:tblPr>
        <w:tblW w:w="6326" w:type="dxa"/>
        <w:tblLook w:val="04A0" w:firstRow="1" w:lastRow="0" w:firstColumn="1" w:lastColumn="0" w:noHBand="0" w:noVBand="1"/>
      </w:tblPr>
      <w:tblGrid>
        <w:gridCol w:w="2744"/>
        <w:gridCol w:w="1609"/>
        <w:gridCol w:w="1973"/>
      </w:tblGrid>
      <w:tr w:rsidR="006F13AC" w:rsidRPr="00E17130" w14:paraId="51C02232" w14:textId="77777777" w:rsidTr="001130A9">
        <w:trPr>
          <w:trHeight w:val="345"/>
        </w:trPr>
        <w:tc>
          <w:tcPr>
            <w:tcW w:w="2744" w:type="dxa"/>
            <w:tcBorders>
              <w:top w:val="single" w:sz="4" w:space="0" w:color="auto"/>
              <w:left w:val="single" w:sz="4" w:space="0" w:color="auto"/>
              <w:bottom w:val="single" w:sz="4" w:space="0" w:color="auto"/>
              <w:right w:val="single" w:sz="4" w:space="0" w:color="auto"/>
            </w:tcBorders>
            <w:noWrap/>
            <w:vAlign w:val="bottom"/>
            <w:hideMark/>
          </w:tcPr>
          <w:p w14:paraId="6C095A24" w14:textId="77777777" w:rsidR="006F13AC" w:rsidRPr="00E17130" w:rsidRDefault="006F13AC" w:rsidP="00E17130">
            <w:pPr>
              <w:jc w:val="center"/>
              <w:rPr>
                <w:rFonts w:ascii="Arial" w:hAnsi="Arial" w:cs="Arial"/>
                <w:b/>
                <w:bCs/>
                <w:color w:val="000000"/>
                <w:sz w:val="22"/>
                <w:szCs w:val="22"/>
              </w:rPr>
            </w:pPr>
            <w:r w:rsidRPr="00E17130">
              <w:rPr>
                <w:rFonts w:ascii="Arial" w:hAnsi="Arial" w:cs="Arial"/>
                <w:b/>
                <w:bCs/>
                <w:color w:val="000000"/>
                <w:sz w:val="22"/>
                <w:szCs w:val="22"/>
              </w:rPr>
              <w:t>Water Removed</w:t>
            </w:r>
          </w:p>
        </w:tc>
        <w:tc>
          <w:tcPr>
            <w:tcW w:w="1609" w:type="dxa"/>
            <w:tcBorders>
              <w:top w:val="single" w:sz="4" w:space="0" w:color="auto"/>
              <w:left w:val="single" w:sz="4" w:space="0" w:color="auto"/>
              <w:bottom w:val="single" w:sz="4" w:space="0" w:color="auto"/>
              <w:right w:val="single" w:sz="4" w:space="0" w:color="auto"/>
            </w:tcBorders>
            <w:noWrap/>
            <w:vAlign w:val="bottom"/>
            <w:hideMark/>
          </w:tcPr>
          <w:p w14:paraId="3DD3F7D0" w14:textId="77777777" w:rsidR="006F13AC" w:rsidRPr="00E17130" w:rsidRDefault="006F13AC" w:rsidP="00E17130">
            <w:pPr>
              <w:jc w:val="center"/>
              <w:rPr>
                <w:rFonts w:ascii="Arial" w:hAnsi="Arial" w:cs="Arial"/>
                <w:b/>
                <w:bCs/>
                <w:color w:val="000000"/>
                <w:sz w:val="22"/>
                <w:szCs w:val="22"/>
              </w:rPr>
            </w:pPr>
            <w:r w:rsidRPr="00E17130">
              <w:rPr>
                <w:rFonts w:ascii="Arial" w:hAnsi="Arial" w:cs="Arial"/>
                <w:b/>
                <w:bCs/>
                <w:color w:val="000000"/>
                <w:sz w:val="22"/>
                <w:szCs w:val="22"/>
              </w:rPr>
              <w:t>Drainage</w:t>
            </w:r>
          </w:p>
        </w:tc>
        <w:tc>
          <w:tcPr>
            <w:tcW w:w="1973" w:type="dxa"/>
            <w:tcBorders>
              <w:top w:val="single" w:sz="4" w:space="0" w:color="auto"/>
              <w:left w:val="single" w:sz="4" w:space="0" w:color="auto"/>
              <w:bottom w:val="single" w:sz="4" w:space="0" w:color="auto"/>
              <w:right w:val="single" w:sz="4" w:space="0" w:color="auto"/>
            </w:tcBorders>
            <w:noWrap/>
            <w:vAlign w:val="bottom"/>
            <w:hideMark/>
          </w:tcPr>
          <w:p w14:paraId="07D6AD39" w14:textId="77777777" w:rsidR="006F13AC" w:rsidRPr="00E17130" w:rsidRDefault="006F13AC" w:rsidP="00E17130">
            <w:pPr>
              <w:jc w:val="center"/>
              <w:rPr>
                <w:rFonts w:ascii="Arial" w:hAnsi="Arial" w:cs="Arial"/>
                <w:b/>
                <w:bCs/>
                <w:color w:val="000000"/>
                <w:sz w:val="22"/>
                <w:szCs w:val="22"/>
              </w:rPr>
            </w:pPr>
            <w:r w:rsidRPr="00E17130">
              <w:rPr>
                <w:rFonts w:ascii="Arial" w:hAnsi="Arial" w:cs="Arial"/>
                <w:b/>
                <w:bCs/>
                <w:color w:val="000000"/>
                <w:sz w:val="22"/>
                <w:szCs w:val="22"/>
              </w:rPr>
              <w:t>m coefficient</w:t>
            </w:r>
          </w:p>
        </w:tc>
      </w:tr>
      <w:tr w:rsidR="006F13AC" w:rsidRPr="00E17130" w14:paraId="5B36D04F" w14:textId="77777777" w:rsidTr="001130A9">
        <w:trPr>
          <w:trHeight w:val="301"/>
        </w:trPr>
        <w:tc>
          <w:tcPr>
            <w:tcW w:w="2744" w:type="dxa"/>
            <w:tcBorders>
              <w:top w:val="single" w:sz="4" w:space="0" w:color="auto"/>
              <w:left w:val="single" w:sz="4" w:space="0" w:color="auto"/>
              <w:bottom w:val="single" w:sz="4" w:space="0" w:color="auto"/>
              <w:right w:val="single" w:sz="4" w:space="0" w:color="auto"/>
            </w:tcBorders>
            <w:noWrap/>
            <w:vAlign w:val="bottom"/>
            <w:hideMark/>
          </w:tcPr>
          <w:p w14:paraId="52ECC4BC"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2 hours</w:t>
            </w:r>
          </w:p>
        </w:tc>
        <w:tc>
          <w:tcPr>
            <w:tcW w:w="1609" w:type="dxa"/>
            <w:tcBorders>
              <w:top w:val="single" w:sz="4" w:space="0" w:color="auto"/>
              <w:left w:val="single" w:sz="4" w:space="0" w:color="auto"/>
              <w:bottom w:val="single" w:sz="4" w:space="0" w:color="auto"/>
              <w:right w:val="single" w:sz="4" w:space="0" w:color="auto"/>
            </w:tcBorders>
            <w:noWrap/>
            <w:vAlign w:val="bottom"/>
            <w:hideMark/>
          </w:tcPr>
          <w:p w14:paraId="604441B4"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Excellent</w:t>
            </w:r>
          </w:p>
        </w:tc>
        <w:tc>
          <w:tcPr>
            <w:tcW w:w="1973" w:type="dxa"/>
            <w:tcBorders>
              <w:top w:val="single" w:sz="4" w:space="0" w:color="auto"/>
              <w:left w:val="single" w:sz="4" w:space="0" w:color="auto"/>
              <w:bottom w:val="single" w:sz="4" w:space="0" w:color="auto"/>
              <w:right w:val="single" w:sz="4" w:space="0" w:color="auto"/>
            </w:tcBorders>
            <w:noWrap/>
            <w:vAlign w:val="bottom"/>
            <w:hideMark/>
          </w:tcPr>
          <w:p w14:paraId="35997553" w14:textId="77777777" w:rsidR="006F13AC" w:rsidRPr="001130A9" w:rsidRDefault="006F13AC" w:rsidP="00E17130">
            <w:pPr>
              <w:jc w:val="center"/>
              <w:rPr>
                <w:rFonts w:ascii="Arial" w:hAnsi="Arial" w:cs="Arial"/>
                <w:color w:val="000000"/>
                <w:sz w:val="22"/>
                <w:szCs w:val="22"/>
              </w:rPr>
            </w:pPr>
            <w:r w:rsidRPr="001130A9">
              <w:rPr>
                <w:rFonts w:ascii="Arial" w:hAnsi="Arial" w:cs="Arial"/>
                <w:color w:val="000000"/>
                <w:sz w:val="22"/>
                <w:szCs w:val="22"/>
              </w:rPr>
              <w:t>1.2</w:t>
            </w:r>
          </w:p>
        </w:tc>
      </w:tr>
      <w:tr w:rsidR="006F13AC" w:rsidRPr="00E17130" w14:paraId="2917F544" w14:textId="77777777" w:rsidTr="001130A9">
        <w:trPr>
          <w:trHeight w:val="287"/>
        </w:trPr>
        <w:tc>
          <w:tcPr>
            <w:tcW w:w="2744" w:type="dxa"/>
            <w:tcBorders>
              <w:top w:val="single" w:sz="4" w:space="0" w:color="auto"/>
              <w:left w:val="single" w:sz="4" w:space="0" w:color="auto"/>
              <w:bottom w:val="single" w:sz="4" w:space="0" w:color="auto"/>
              <w:right w:val="single" w:sz="4" w:space="0" w:color="auto"/>
            </w:tcBorders>
            <w:noWrap/>
            <w:vAlign w:val="bottom"/>
            <w:hideMark/>
          </w:tcPr>
          <w:p w14:paraId="60E25AC3"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1 day</w:t>
            </w:r>
          </w:p>
        </w:tc>
        <w:tc>
          <w:tcPr>
            <w:tcW w:w="1609" w:type="dxa"/>
            <w:tcBorders>
              <w:top w:val="single" w:sz="4" w:space="0" w:color="auto"/>
              <w:left w:val="single" w:sz="4" w:space="0" w:color="auto"/>
              <w:bottom w:val="single" w:sz="4" w:space="0" w:color="auto"/>
              <w:right w:val="single" w:sz="4" w:space="0" w:color="auto"/>
            </w:tcBorders>
            <w:noWrap/>
            <w:vAlign w:val="bottom"/>
            <w:hideMark/>
          </w:tcPr>
          <w:p w14:paraId="66C0D28A"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Good</w:t>
            </w:r>
          </w:p>
        </w:tc>
        <w:tc>
          <w:tcPr>
            <w:tcW w:w="1973" w:type="dxa"/>
            <w:tcBorders>
              <w:top w:val="single" w:sz="4" w:space="0" w:color="auto"/>
              <w:left w:val="single" w:sz="4" w:space="0" w:color="auto"/>
              <w:bottom w:val="single" w:sz="4" w:space="0" w:color="auto"/>
              <w:right w:val="single" w:sz="4" w:space="0" w:color="auto"/>
            </w:tcBorders>
            <w:noWrap/>
            <w:vAlign w:val="bottom"/>
            <w:hideMark/>
          </w:tcPr>
          <w:p w14:paraId="0E59E0F6" w14:textId="77777777" w:rsidR="006F13AC" w:rsidRPr="001130A9" w:rsidRDefault="006F13AC" w:rsidP="00E17130">
            <w:pPr>
              <w:jc w:val="center"/>
              <w:rPr>
                <w:rFonts w:ascii="Arial" w:hAnsi="Arial" w:cs="Arial"/>
                <w:color w:val="000000"/>
                <w:sz w:val="22"/>
                <w:szCs w:val="22"/>
              </w:rPr>
            </w:pPr>
            <w:r w:rsidRPr="001130A9">
              <w:rPr>
                <w:rFonts w:ascii="Arial" w:hAnsi="Arial" w:cs="Arial"/>
                <w:color w:val="000000"/>
                <w:sz w:val="22"/>
                <w:szCs w:val="22"/>
              </w:rPr>
              <w:t>1</w:t>
            </w:r>
          </w:p>
        </w:tc>
      </w:tr>
      <w:tr w:rsidR="006F13AC" w:rsidRPr="00E17130" w14:paraId="1CD879D1" w14:textId="77777777" w:rsidTr="001130A9">
        <w:trPr>
          <w:trHeight w:val="287"/>
        </w:trPr>
        <w:tc>
          <w:tcPr>
            <w:tcW w:w="2744" w:type="dxa"/>
            <w:tcBorders>
              <w:top w:val="single" w:sz="4" w:space="0" w:color="auto"/>
              <w:left w:val="single" w:sz="4" w:space="0" w:color="auto"/>
              <w:bottom w:val="single" w:sz="4" w:space="0" w:color="auto"/>
              <w:right w:val="single" w:sz="4" w:space="0" w:color="auto"/>
            </w:tcBorders>
            <w:noWrap/>
            <w:vAlign w:val="bottom"/>
            <w:hideMark/>
          </w:tcPr>
          <w:p w14:paraId="1728F883"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1 week</w:t>
            </w:r>
          </w:p>
        </w:tc>
        <w:tc>
          <w:tcPr>
            <w:tcW w:w="1609" w:type="dxa"/>
            <w:tcBorders>
              <w:top w:val="single" w:sz="4" w:space="0" w:color="auto"/>
              <w:left w:val="single" w:sz="4" w:space="0" w:color="auto"/>
              <w:bottom w:val="single" w:sz="4" w:space="0" w:color="auto"/>
              <w:right w:val="single" w:sz="4" w:space="0" w:color="auto"/>
            </w:tcBorders>
            <w:noWrap/>
            <w:vAlign w:val="bottom"/>
            <w:hideMark/>
          </w:tcPr>
          <w:p w14:paraId="19D28605"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Fair</w:t>
            </w:r>
          </w:p>
        </w:tc>
        <w:tc>
          <w:tcPr>
            <w:tcW w:w="1973" w:type="dxa"/>
            <w:tcBorders>
              <w:top w:val="single" w:sz="4" w:space="0" w:color="auto"/>
              <w:left w:val="single" w:sz="4" w:space="0" w:color="auto"/>
              <w:bottom w:val="single" w:sz="4" w:space="0" w:color="auto"/>
              <w:right w:val="single" w:sz="4" w:space="0" w:color="auto"/>
            </w:tcBorders>
            <w:noWrap/>
            <w:vAlign w:val="bottom"/>
            <w:hideMark/>
          </w:tcPr>
          <w:p w14:paraId="3C6C2BC8" w14:textId="77777777" w:rsidR="006F13AC" w:rsidRPr="001130A9" w:rsidRDefault="006F13AC" w:rsidP="00E17130">
            <w:pPr>
              <w:jc w:val="center"/>
              <w:rPr>
                <w:rFonts w:ascii="Arial" w:hAnsi="Arial" w:cs="Arial"/>
                <w:color w:val="000000"/>
                <w:sz w:val="22"/>
                <w:szCs w:val="22"/>
              </w:rPr>
            </w:pPr>
            <w:r w:rsidRPr="001130A9">
              <w:rPr>
                <w:rFonts w:ascii="Arial" w:hAnsi="Arial" w:cs="Arial"/>
                <w:color w:val="000000"/>
                <w:sz w:val="22"/>
                <w:szCs w:val="22"/>
              </w:rPr>
              <w:t>0.8</w:t>
            </w:r>
          </w:p>
        </w:tc>
      </w:tr>
      <w:tr w:rsidR="006F13AC" w:rsidRPr="00E17130" w14:paraId="79D07256" w14:textId="77777777" w:rsidTr="001130A9">
        <w:trPr>
          <w:trHeight w:val="287"/>
        </w:trPr>
        <w:tc>
          <w:tcPr>
            <w:tcW w:w="2744" w:type="dxa"/>
            <w:tcBorders>
              <w:top w:val="single" w:sz="4" w:space="0" w:color="auto"/>
              <w:left w:val="single" w:sz="4" w:space="0" w:color="auto"/>
              <w:bottom w:val="single" w:sz="4" w:space="0" w:color="auto"/>
              <w:right w:val="single" w:sz="4" w:space="0" w:color="auto"/>
            </w:tcBorders>
            <w:noWrap/>
            <w:vAlign w:val="bottom"/>
            <w:hideMark/>
          </w:tcPr>
          <w:p w14:paraId="37C5F874"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1 month</w:t>
            </w:r>
          </w:p>
        </w:tc>
        <w:tc>
          <w:tcPr>
            <w:tcW w:w="1609" w:type="dxa"/>
            <w:tcBorders>
              <w:top w:val="single" w:sz="4" w:space="0" w:color="auto"/>
              <w:left w:val="single" w:sz="4" w:space="0" w:color="auto"/>
              <w:bottom w:val="single" w:sz="4" w:space="0" w:color="auto"/>
              <w:right w:val="single" w:sz="4" w:space="0" w:color="auto"/>
            </w:tcBorders>
            <w:noWrap/>
            <w:vAlign w:val="bottom"/>
            <w:hideMark/>
          </w:tcPr>
          <w:p w14:paraId="40D95674"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Poor</w:t>
            </w:r>
          </w:p>
        </w:tc>
        <w:tc>
          <w:tcPr>
            <w:tcW w:w="1973" w:type="dxa"/>
            <w:tcBorders>
              <w:top w:val="single" w:sz="4" w:space="0" w:color="auto"/>
              <w:left w:val="single" w:sz="4" w:space="0" w:color="auto"/>
              <w:bottom w:val="single" w:sz="4" w:space="0" w:color="auto"/>
              <w:right w:val="single" w:sz="4" w:space="0" w:color="auto"/>
            </w:tcBorders>
            <w:noWrap/>
            <w:vAlign w:val="bottom"/>
            <w:hideMark/>
          </w:tcPr>
          <w:p w14:paraId="6CD67196" w14:textId="77777777" w:rsidR="006F13AC" w:rsidRPr="001130A9" w:rsidRDefault="006F13AC" w:rsidP="00E17130">
            <w:pPr>
              <w:jc w:val="center"/>
              <w:rPr>
                <w:rFonts w:ascii="Arial" w:hAnsi="Arial" w:cs="Arial"/>
                <w:color w:val="000000"/>
                <w:sz w:val="22"/>
                <w:szCs w:val="22"/>
              </w:rPr>
            </w:pPr>
            <w:r w:rsidRPr="001130A9">
              <w:rPr>
                <w:rFonts w:ascii="Arial" w:hAnsi="Arial" w:cs="Arial"/>
                <w:color w:val="000000"/>
                <w:sz w:val="22"/>
                <w:szCs w:val="22"/>
              </w:rPr>
              <w:t>0.6</w:t>
            </w:r>
          </w:p>
        </w:tc>
      </w:tr>
      <w:tr w:rsidR="006F13AC" w:rsidRPr="00E17130" w14:paraId="0D3AFB27" w14:textId="77777777" w:rsidTr="001130A9">
        <w:trPr>
          <w:trHeight w:val="301"/>
        </w:trPr>
        <w:tc>
          <w:tcPr>
            <w:tcW w:w="2744" w:type="dxa"/>
            <w:tcBorders>
              <w:top w:val="single" w:sz="4" w:space="0" w:color="auto"/>
              <w:left w:val="single" w:sz="4" w:space="0" w:color="auto"/>
              <w:bottom w:val="single" w:sz="4" w:space="0" w:color="auto"/>
              <w:right w:val="single" w:sz="4" w:space="0" w:color="auto"/>
            </w:tcBorders>
            <w:noWrap/>
            <w:vAlign w:val="bottom"/>
            <w:hideMark/>
          </w:tcPr>
          <w:p w14:paraId="4CBF4E58"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Longer</w:t>
            </w:r>
          </w:p>
        </w:tc>
        <w:tc>
          <w:tcPr>
            <w:tcW w:w="1609" w:type="dxa"/>
            <w:tcBorders>
              <w:top w:val="single" w:sz="4" w:space="0" w:color="auto"/>
              <w:left w:val="single" w:sz="4" w:space="0" w:color="auto"/>
              <w:bottom w:val="single" w:sz="4" w:space="0" w:color="auto"/>
              <w:right w:val="single" w:sz="4" w:space="0" w:color="auto"/>
            </w:tcBorders>
            <w:noWrap/>
            <w:vAlign w:val="bottom"/>
            <w:hideMark/>
          </w:tcPr>
          <w:p w14:paraId="622D5E9B" w14:textId="77777777" w:rsidR="006F13AC" w:rsidRPr="00E17130" w:rsidRDefault="006F13AC" w:rsidP="00E17130">
            <w:pPr>
              <w:jc w:val="center"/>
              <w:rPr>
                <w:rFonts w:ascii="Arial" w:hAnsi="Arial" w:cs="Arial"/>
                <w:color w:val="000000"/>
                <w:sz w:val="22"/>
                <w:szCs w:val="22"/>
              </w:rPr>
            </w:pPr>
            <w:r w:rsidRPr="00E17130">
              <w:rPr>
                <w:rFonts w:ascii="Arial" w:hAnsi="Arial" w:cs="Arial"/>
                <w:color w:val="000000"/>
                <w:sz w:val="22"/>
                <w:szCs w:val="22"/>
              </w:rPr>
              <w:t>Very Poor</w:t>
            </w:r>
          </w:p>
        </w:tc>
        <w:tc>
          <w:tcPr>
            <w:tcW w:w="1973" w:type="dxa"/>
            <w:tcBorders>
              <w:top w:val="single" w:sz="4" w:space="0" w:color="auto"/>
              <w:left w:val="single" w:sz="4" w:space="0" w:color="auto"/>
              <w:bottom w:val="single" w:sz="4" w:space="0" w:color="auto"/>
              <w:right w:val="single" w:sz="4" w:space="0" w:color="auto"/>
            </w:tcBorders>
            <w:noWrap/>
            <w:vAlign w:val="bottom"/>
            <w:hideMark/>
          </w:tcPr>
          <w:p w14:paraId="01935BF2" w14:textId="77777777" w:rsidR="006F13AC" w:rsidRPr="001130A9" w:rsidRDefault="006F13AC" w:rsidP="00E17130">
            <w:pPr>
              <w:jc w:val="center"/>
              <w:rPr>
                <w:rFonts w:ascii="Arial" w:hAnsi="Arial" w:cs="Arial"/>
                <w:color w:val="000000"/>
                <w:sz w:val="22"/>
                <w:szCs w:val="22"/>
              </w:rPr>
            </w:pPr>
            <w:r w:rsidRPr="001130A9">
              <w:rPr>
                <w:rFonts w:ascii="Arial" w:hAnsi="Arial" w:cs="Arial"/>
                <w:color w:val="000000"/>
                <w:sz w:val="22"/>
                <w:szCs w:val="22"/>
              </w:rPr>
              <w:t>0.4</w:t>
            </w:r>
          </w:p>
        </w:tc>
      </w:tr>
    </w:tbl>
    <w:p w14:paraId="2AC1CF67" w14:textId="77777777" w:rsidR="006F13AC" w:rsidRDefault="006F13AC" w:rsidP="006F13AC">
      <w:pPr>
        <w:jc w:val="both"/>
        <w:rPr>
          <w:rFonts w:ascii="Arial" w:hAnsi="Arial"/>
          <w:sz w:val="22"/>
        </w:rPr>
      </w:pPr>
    </w:p>
    <w:p w14:paraId="683E654A" w14:textId="77777777" w:rsidR="006F13AC" w:rsidRDefault="006F13AC" w:rsidP="006F13AC">
      <w:pPr>
        <w:jc w:val="both"/>
        <w:rPr>
          <w:rFonts w:ascii="Arial" w:hAnsi="Arial"/>
          <w:sz w:val="22"/>
        </w:rPr>
      </w:pPr>
      <w:r>
        <w:rPr>
          <w:rFonts w:ascii="Arial" w:hAnsi="Arial"/>
          <w:sz w:val="22"/>
        </w:rPr>
        <w:t>t must meet or be better than the value in the preceding chart to get the corresponding drainage coefficient.  For example, t must be 2 hours or less to have a drainage coefficient of 1.2.</w:t>
      </w:r>
    </w:p>
    <w:p w14:paraId="3CC0B94A" w14:textId="77777777" w:rsidR="006F13AC" w:rsidRDefault="006F13AC" w:rsidP="006F13AC">
      <w:pPr>
        <w:jc w:val="both"/>
        <w:rPr>
          <w:rFonts w:ascii="Arial" w:hAnsi="Arial"/>
          <w:sz w:val="22"/>
        </w:rPr>
      </w:pPr>
    </w:p>
    <w:p w14:paraId="683E64B3" w14:textId="77777777" w:rsidR="006F13AC" w:rsidRDefault="006F13AC" w:rsidP="006F13AC">
      <w:pPr>
        <w:jc w:val="both"/>
        <w:rPr>
          <w:rFonts w:ascii="Arial" w:hAnsi="Arial"/>
          <w:sz w:val="22"/>
          <w:u w:val="single"/>
        </w:rPr>
      </w:pPr>
    </w:p>
    <w:p w14:paraId="3CAA0CC8" w14:textId="36F49789" w:rsidR="006F13AC" w:rsidRPr="00EE5F0E" w:rsidRDefault="006F13AC" w:rsidP="006F13AC">
      <w:pPr>
        <w:jc w:val="both"/>
        <w:rPr>
          <w:rFonts w:ascii="Arial" w:hAnsi="Arial"/>
          <w:sz w:val="22"/>
          <w:u w:val="single"/>
        </w:rPr>
      </w:pPr>
      <w:r w:rsidRPr="00EE5F0E">
        <w:rPr>
          <w:rFonts w:ascii="Arial" w:hAnsi="Arial"/>
          <w:sz w:val="22"/>
          <w:u w:val="single"/>
        </w:rPr>
        <w:t>Gravel</w:t>
      </w:r>
      <w:r>
        <w:rPr>
          <w:rFonts w:ascii="Arial" w:hAnsi="Arial"/>
          <w:sz w:val="22"/>
          <w:u w:val="single"/>
        </w:rPr>
        <w:t xml:space="preserve">: </w:t>
      </w:r>
      <w:r w:rsidR="008C7023">
        <w:rPr>
          <w:rFonts w:ascii="Arial" w:hAnsi="Arial"/>
          <w:sz w:val="22"/>
        </w:rPr>
        <w:t>MDOT-SHA</w:t>
      </w:r>
      <w:r w:rsidRPr="00EE5F0E">
        <w:rPr>
          <w:rFonts w:ascii="Arial" w:hAnsi="Arial"/>
          <w:sz w:val="22"/>
        </w:rPr>
        <w:t xml:space="preserve"> has adopted an approach to adjust the structural coefficient based on the </w:t>
      </w:r>
      <w:r>
        <w:rPr>
          <w:rFonts w:ascii="Arial" w:hAnsi="Arial"/>
          <w:sz w:val="22"/>
        </w:rPr>
        <w:t>saturation level rather than introduce a drainage coefficient</w:t>
      </w:r>
      <w:r w:rsidRPr="00EE5F0E">
        <w:rPr>
          <w:rFonts w:ascii="Arial" w:hAnsi="Arial"/>
          <w:sz w:val="22"/>
        </w:rPr>
        <w:t xml:space="preserve">.   </w:t>
      </w:r>
    </w:p>
    <w:p w14:paraId="62B921C1" w14:textId="77777777" w:rsidR="006F13AC" w:rsidRPr="00EE5F0E" w:rsidRDefault="006F13AC" w:rsidP="006F13AC">
      <w:pPr>
        <w:jc w:val="both"/>
        <w:rPr>
          <w:rFonts w:ascii="Arial" w:hAnsi="Arial"/>
          <w:sz w:val="22"/>
        </w:rPr>
      </w:pPr>
    </w:p>
    <w:p w14:paraId="7350E5CB" w14:textId="77777777" w:rsidR="006F13AC" w:rsidRPr="00EE5F0E" w:rsidRDefault="006F13AC" w:rsidP="006F13AC">
      <w:pPr>
        <w:jc w:val="both"/>
        <w:rPr>
          <w:rFonts w:ascii="Arial" w:hAnsi="Arial"/>
          <w:sz w:val="22"/>
        </w:rPr>
      </w:pPr>
      <w:r w:rsidRPr="00EE5F0E">
        <w:rPr>
          <w:rFonts w:ascii="Arial" w:hAnsi="Arial"/>
          <w:sz w:val="22"/>
        </w:rPr>
        <w:t>HMA Thickness &lt;= 5.0”</w:t>
      </w:r>
    </w:p>
    <w:p w14:paraId="018C802E" w14:textId="77777777" w:rsidR="006F13AC" w:rsidRPr="00EE5F0E" w:rsidRDefault="006F13AC" w:rsidP="006F13AC">
      <w:pPr>
        <w:jc w:val="both"/>
        <w:rPr>
          <w:rFonts w:ascii="Arial" w:hAnsi="Arial"/>
          <w:sz w:val="22"/>
        </w:rPr>
      </w:pPr>
      <w:r w:rsidRPr="00EE5F0E">
        <w:rPr>
          <w:rFonts w:ascii="Arial" w:hAnsi="Arial"/>
          <w:sz w:val="22"/>
        </w:rPr>
        <w:tab/>
      </w:r>
      <w:r w:rsidRPr="00EE5F0E">
        <w:rPr>
          <w:rFonts w:ascii="Arial" w:hAnsi="Arial"/>
          <w:sz w:val="22"/>
        </w:rPr>
        <w:tab/>
        <w:t>a</w:t>
      </w:r>
      <w:r w:rsidRPr="00EE5F0E">
        <w:rPr>
          <w:rFonts w:ascii="Arial" w:hAnsi="Arial"/>
          <w:sz w:val="22"/>
          <w:vertAlign w:val="subscript"/>
        </w:rPr>
        <w:t>2</w:t>
      </w:r>
      <w:r w:rsidRPr="00EE5F0E">
        <w:rPr>
          <w:rFonts w:ascii="Arial" w:hAnsi="Arial"/>
          <w:sz w:val="22"/>
        </w:rPr>
        <w:t xml:space="preserve"> = (0.08 + 0.0064 * (Subgrade (CBR)) + f</w:t>
      </w:r>
      <w:r w:rsidRPr="00EE5F0E">
        <w:rPr>
          <w:rFonts w:ascii="Arial" w:hAnsi="Arial"/>
          <w:sz w:val="22"/>
          <w:vertAlign w:val="subscript"/>
        </w:rPr>
        <w:t>s</w:t>
      </w:r>
    </w:p>
    <w:p w14:paraId="061E19B0" w14:textId="77777777" w:rsidR="006F13AC" w:rsidRPr="00EE5F0E" w:rsidRDefault="006F13AC" w:rsidP="006F13AC">
      <w:pPr>
        <w:jc w:val="both"/>
        <w:rPr>
          <w:rFonts w:ascii="Arial" w:hAnsi="Arial"/>
          <w:sz w:val="22"/>
        </w:rPr>
      </w:pPr>
      <w:r w:rsidRPr="00EE5F0E">
        <w:rPr>
          <w:rFonts w:ascii="Arial" w:hAnsi="Arial"/>
          <w:sz w:val="22"/>
        </w:rPr>
        <w:t>HMA Thickness &gt; 5.0”</w:t>
      </w:r>
    </w:p>
    <w:p w14:paraId="4BCC3886" w14:textId="77777777" w:rsidR="006F13AC" w:rsidRPr="00EE5F0E" w:rsidRDefault="006F13AC" w:rsidP="006F13AC">
      <w:pPr>
        <w:jc w:val="both"/>
        <w:rPr>
          <w:rFonts w:ascii="Arial" w:hAnsi="Arial"/>
          <w:sz w:val="22"/>
        </w:rPr>
      </w:pPr>
      <w:r w:rsidRPr="00EE5F0E">
        <w:rPr>
          <w:rFonts w:ascii="Arial" w:hAnsi="Arial"/>
          <w:sz w:val="22"/>
        </w:rPr>
        <w:tab/>
      </w:r>
      <w:r w:rsidRPr="00EE5F0E">
        <w:rPr>
          <w:rFonts w:ascii="Arial" w:hAnsi="Arial"/>
          <w:sz w:val="22"/>
        </w:rPr>
        <w:tab/>
        <w:t>a</w:t>
      </w:r>
      <w:r w:rsidRPr="00EE5F0E">
        <w:rPr>
          <w:rFonts w:ascii="Arial" w:hAnsi="Arial"/>
          <w:sz w:val="22"/>
          <w:vertAlign w:val="subscript"/>
        </w:rPr>
        <w:t>2</w:t>
      </w:r>
      <w:r w:rsidRPr="00EE5F0E">
        <w:rPr>
          <w:rFonts w:ascii="Arial" w:hAnsi="Arial"/>
          <w:sz w:val="22"/>
        </w:rPr>
        <w:t xml:space="preserve"> = (0.10 + 0.0021 * (Subgrade (CBR)) + f</w:t>
      </w:r>
      <w:r w:rsidRPr="00EE5F0E">
        <w:rPr>
          <w:rFonts w:ascii="Arial" w:hAnsi="Arial"/>
          <w:sz w:val="22"/>
          <w:vertAlign w:val="subscript"/>
        </w:rPr>
        <w:t>s</w:t>
      </w:r>
    </w:p>
    <w:p w14:paraId="74A14BDE" w14:textId="77777777" w:rsidR="006F13AC" w:rsidRPr="00EE5F0E" w:rsidRDefault="006F13AC" w:rsidP="006F13AC">
      <w:pPr>
        <w:jc w:val="both"/>
        <w:rPr>
          <w:rFonts w:ascii="Arial" w:hAnsi="Arial"/>
          <w:sz w:val="22"/>
        </w:rPr>
      </w:pPr>
    </w:p>
    <w:p w14:paraId="6AE886C5" w14:textId="77777777" w:rsidR="006F13AC" w:rsidRPr="00EE5F0E" w:rsidRDefault="006F13AC" w:rsidP="006F13AC">
      <w:pPr>
        <w:jc w:val="both"/>
        <w:rPr>
          <w:rFonts w:ascii="Arial" w:hAnsi="Arial"/>
          <w:sz w:val="22"/>
        </w:rPr>
      </w:pPr>
      <w:r w:rsidRPr="00EE5F0E">
        <w:rPr>
          <w:rFonts w:ascii="Arial" w:hAnsi="Arial"/>
          <w:sz w:val="22"/>
        </w:rPr>
        <w:tab/>
      </w:r>
      <w:r w:rsidRPr="00EE5F0E">
        <w:rPr>
          <w:rFonts w:ascii="Arial" w:hAnsi="Arial"/>
          <w:sz w:val="22"/>
        </w:rPr>
        <w:tab/>
      </w:r>
      <w:r w:rsidRPr="00EE5F0E">
        <w:rPr>
          <w:rFonts w:ascii="Arial" w:hAnsi="Arial"/>
          <w:sz w:val="22"/>
        </w:rPr>
        <w:tab/>
        <w:t>f</w:t>
      </w:r>
      <w:r w:rsidRPr="00EE5F0E">
        <w:rPr>
          <w:rFonts w:ascii="Arial" w:hAnsi="Arial"/>
          <w:sz w:val="22"/>
          <w:vertAlign w:val="subscript"/>
        </w:rPr>
        <w:t xml:space="preserve">s </w:t>
      </w:r>
      <w:r w:rsidRPr="00EE5F0E">
        <w:rPr>
          <w:rFonts w:ascii="Arial" w:hAnsi="Arial"/>
          <w:sz w:val="22"/>
        </w:rPr>
        <w:t>= 0.0 for dry conditions</w:t>
      </w:r>
    </w:p>
    <w:p w14:paraId="75872EF8" w14:textId="77777777" w:rsidR="006F13AC" w:rsidRPr="00EE5F0E" w:rsidRDefault="006F13AC" w:rsidP="006F13AC">
      <w:pPr>
        <w:jc w:val="both"/>
        <w:rPr>
          <w:rFonts w:ascii="Arial" w:hAnsi="Arial"/>
          <w:sz w:val="22"/>
        </w:rPr>
      </w:pPr>
      <w:r w:rsidRPr="00EE5F0E">
        <w:rPr>
          <w:rFonts w:ascii="Arial" w:hAnsi="Arial"/>
          <w:sz w:val="22"/>
        </w:rPr>
        <w:t>f</w:t>
      </w:r>
      <w:r w:rsidRPr="00EE5F0E">
        <w:rPr>
          <w:rFonts w:ascii="Arial" w:hAnsi="Arial"/>
          <w:sz w:val="22"/>
          <w:vertAlign w:val="subscript"/>
        </w:rPr>
        <w:t xml:space="preserve">s </w:t>
      </w:r>
      <w:r w:rsidRPr="00EE5F0E">
        <w:rPr>
          <w:rFonts w:ascii="Arial" w:hAnsi="Arial"/>
          <w:sz w:val="22"/>
        </w:rPr>
        <w:t>= -0.046 for wet conditions</w:t>
      </w:r>
    </w:p>
    <w:p w14:paraId="5E21E697" w14:textId="77777777" w:rsidR="006F13AC" w:rsidRPr="00EE5F0E" w:rsidRDefault="006F13AC" w:rsidP="006F13AC">
      <w:pPr>
        <w:jc w:val="both"/>
        <w:rPr>
          <w:rFonts w:ascii="Arial" w:hAnsi="Arial"/>
          <w:sz w:val="22"/>
        </w:rPr>
      </w:pPr>
    </w:p>
    <w:p w14:paraId="55980A7E" w14:textId="77777777" w:rsidR="006F13AC" w:rsidRPr="00EE5F0E" w:rsidRDefault="006F13AC" w:rsidP="006F13AC">
      <w:pPr>
        <w:jc w:val="both"/>
        <w:rPr>
          <w:rFonts w:ascii="Arial" w:hAnsi="Arial"/>
          <w:sz w:val="22"/>
        </w:rPr>
      </w:pPr>
      <w:r w:rsidRPr="00EE5F0E">
        <w:rPr>
          <w:rFonts w:ascii="Arial" w:hAnsi="Arial"/>
          <w:sz w:val="22"/>
        </w:rPr>
        <w:t xml:space="preserve">Wet conditions are defined as when the unbound material is saturated more than 60% of the time.  Based on the climatic conditions and the natural soils in </w:t>
      </w:r>
      <w:smartTag w:uri="urn:schemas-microsoft-com:office:smarttags" w:element="State">
        <w:smartTag w:uri="urn:schemas-microsoft-com:office:smarttags" w:element="place">
          <w:r w:rsidRPr="00EE5F0E">
            <w:rPr>
              <w:rFonts w:ascii="Arial" w:hAnsi="Arial"/>
              <w:sz w:val="22"/>
            </w:rPr>
            <w:t>Maryland</w:t>
          </w:r>
        </w:smartTag>
      </w:smartTag>
      <w:r w:rsidRPr="00EE5F0E">
        <w:rPr>
          <w:rFonts w:ascii="Arial" w:hAnsi="Arial"/>
          <w:sz w:val="22"/>
        </w:rPr>
        <w:t>, it is recommended to assume that wet conditions exist unless evidence can be provided to show that the unbound base is dry a majority of the time.  These special cases would only exist where an open-graded base was used or in topographical conditions with good vertical drainage and clean sands/gravel exists for several feet beneath the top of subgrade.</w:t>
      </w:r>
    </w:p>
    <w:p w14:paraId="2C16486A" w14:textId="77777777" w:rsidR="006F13AC" w:rsidRDefault="006F13AC" w:rsidP="00152A78">
      <w:pPr>
        <w:jc w:val="both"/>
        <w:rPr>
          <w:rFonts w:ascii="Arial" w:hAnsi="Arial"/>
          <w:sz w:val="22"/>
        </w:rPr>
      </w:pPr>
    </w:p>
    <w:p w14:paraId="632C09AA" w14:textId="4AD45980" w:rsidR="00152A78" w:rsidRPr="00EE5F0E" w:rsidRDefault="00152A78" w:rsidP="00152A78">
      <w:pPr>
        <w:jc w:val="both"/>
        <w:rPr>
          <w:rFonts w:ascii="Arial" w:hAnsi="Arial"/>
          <w:sz w:val="22"/>
        </w:rPr>
      </w:pPr>
      <w:r w:rsidRPr="00EE5F0E">
        <w:rPr>
          <w:rFonts w:ascii="Arial" w:hAnsi="Arial"/>
          <w:sz w:val="22"/>
        </w:rPr>
        <w:t>The drainage coefficient or any variation of the structural coefficient based on saturation levels shall only be considered for unbound material layers.  The drainage coefficient for bound materials shall be equal to</w:t>
      </w:r>
      <w:r w:rsidR="006D7207">
        <w:rPr>
          <w:rFonts w:ascii="Arial" w:hAnsi="Arial"/>
          <w:sz w:val="22"/>
        </w:rPr>
        <w:t xml:space="preserve"> </w:t>
      </w:r>
      <w:r w:rsidRPr="00EE5F0E">
        <w:rPr>
          <w:rFonts w:ascii="Arial" w:hAnsi="Arial"/>
          <w:sz w:val="22"/>
        </w:rPr>
        <w:t xml:space="preserve">one (1.0)..  </w:t>
      </w:r>
      <w:r w:rsidR="008C7023">
        <w:rPr>
          <w:rFonts w:ascii="Arial" w:hAnsi="Arial"/>
          <w:sz w:val="22"/>
        </w:rPr>
        <w:t>MDOT-SHA</w:t>
      </w:r>
      <w:r w:rsidRPr="00EE5F0E">
        <w:rPr>
          <w:rFonts w:ascii="Arial" w:hAnsi="Arial"/>
          <w:sz w:val="22"/>
        </w:rPr>
        <w:t xml:space="preserve"> has adopted an approach to adjust the structural coefficient of unbound layers based on the saturation level rather than introduce a drainage coefficient.   The following equations present the relation between the subgrade strength, degree of saturation, and material type to the structural coefficient of unbound layers.  </w:t>
      </w:r>
    </w:p>
    <w:p w14:paraId="2B7BB2C0" w14:textId="77777777" w:rsidR="00152A78" w:rsidRPr="00EE5F0E" w:rsidRDefault="00152A78" w:rsidP="00152A78">
      <w:pPr>
        <w:jc w:val="both"/>
        <w:rPr>
          <w:rFonts w:ascii="Arial" w:hAnsi="Arial"/>
          <w:sz w:val="22"/>
        </w:rPr>
      </w:pPr>
    </w:p>
    <w:p w14:paraId="43852A1F" w14:textId="2C38A3DA" w:rsidR="00152A78" w:rsidRPr="00EE5F0E" w:rsidRDefault="00152A78" w:rsidP="00152A78">
      <w:pPr>
        <w:jc w:val="both"/>
        <w:rPr>
          <w:rFonts w:ascii="Arial" w:hAnsi="Arial"/>
          <w:sz w:val="22"/>
          <w:u w:val="single"/>
        </w:rPr>
      </w:pPr>
      <w:r w:rsidRPr="00EE5F0E">
        <w:rPr>
          <w:rFonts w:ascii="Arial" w:hAnsi="Arial"/>
          <w:sz w:val="22"/>
          <w:u w:val="single"/>
        </w:rPr>
        <w:t>Graded Aggregate Base, Stone</w:t>
      </w:r>
    </w:p>
    <w:p w14:paraId="66ADADD8" w14:textId="77777777" w:rsidR="00152A78" w:rsidRPr="00EE5F0E" w:rsidRDefault="00152A78" w:rsidP="00152A78">
      <w:pPr>
        <w:jc w:val="both"/>
        <w:rPr>
          <w:rFonts w:ascii="Arial" w:hAnsi="Arial"/>
          <w:sz w:val="22"/>
        </w:rPr>
      </w:pPr>
    </w:p>
    <w:p w14:paraId="2FF3155B" w14:textId="3912D1BF" w:rsidR="00152A78" w:rsidRPr="00EE5F0E" w:rsidRDefault="00152A78" w:rsidP="00152A78">
      <w:pPr>
        <w:jc w:val="both"/>
        <w:rPr>
          <w:rFonts w:ascii="Arial" w:hAnsi="Arial"/>
          <w:sz w:val="22"/>
        </w:rPr>
      </w:pPr>
      <w:r w:rsidRPr="00EE5F0E">
        <w:rPr>
          <w:rFonts w:ascii="Arial" w:hAnsi="Arial"/>
          <w:sz w:val="22"/>
        </w:rPr>
        <w:t>HMA Thickness &lt;= 5.0</w:t>
      </w:r>
      <w:r w:rsidR="006D7207">
        <w:rPr>
          <w:rFonts w:ascii="Arial" w:hAnsi="Arial"/>
          <w:sz w:val="22"/>
        </w:rPr>
        <w:t>"</w:t>
      </w:r>
    </w:p>
    <w:p w14:paraId="1B870E64" w14:textId="77777777" w:rsidR="00152A78" w:rsidRPr="00EE5F0E" w:rsidRDefault="00152A78" w:rsidP="00152A78">
      <w:pPr>
        <w:jc w:val="both"/>
        <w:rPr>
          <w:rFonts w:ascii="Arial" w:hAnsi="Arial"/>
          <w:sz w:val="22"/>
        </w:rPr>
      </w:pPr>
      <w:r w:rsidRPr="00EE5F0E">
        <w:rPr>
          <w:rFonts w:ascii="Arial" w:hAnsi="Arial"/>
          <w:sz w:val="22"/>
        </w:rPr>
        <w:tab/>
      </w:r>
      <w:r w:rsidRPr="00EE5F0E">
        <w:rPr>
          <w:rFonts w:ascii="Arial" w:hAnsi="Arial"/>
          <w:sz w:val="22"/>
        </w:rPr>
        <w:tab/>
        <w:t>a</w:t>
      </w:r>
      <w:r w:rsidRPr="00EE5F0E">
        <w:rPr>
          <w:rFonts w:ascii="Arial" w:hAnsi="Arial"/>
          <w:sz w:val="22"/>
          <w:vertAlign w:val="subscript"/>
        </w:rPr>
        <w:t>2</w:t>
      </w:r>
      <w:r w:rsidRPr="00EE5F0E">
        <w:rPr>
          <w:rFonts w:ascii="Arial" w:hAnsi="Arial"/>
          <w:sz w:val="22"/>
        </w:rPr>
        <w:t xml:space="preserve"> = (0.14 + 0.0029 * (Subgrade (CBR)) + f</w:t>
      </w:r>
      <w:r w:rsidRPr="00EE5F0E">
        <w:rPr>
          <w:rFonts w:ascii="Arial" w:hAnsi="Arial"/>
          <w:sz w:val="22"/>
          <w:vertAlign w:val="subscript"/>
        </w:rPr>
        <w:t>s</w:t>
      </w:r>
    </w:p>
    <w:p w14:paraId="627EB7D3" w14:textId="77777777" w:rsidR="006D7207" w:rsidRDefault="006D7207" w:rsidP="00152A78">
      <w:pPr>
        <w:jc w:val="both"/>
        <w:rPr>
          <w:rFonts w:ascii="Arial" w:hAnsi="Arial"/>
          <w:sz w:val="22"/>
        </w:rPr>
      </w:pPr>
    </w:p>
    <w:p w14:paraId="273FCD00" w14:textId="22056721" w:rsidR="00152A78" w:rsidRPr="00EE5F0E" w:rsidRDefault="00152A78" w:rsidP="00152A78">
      <w:pPr>
        <w:jc w:val="both"/>
        <w:rPr>
          <w:rFonts w:ascii="Arial" w:hAnsi="Arial"/>
          <w:sz w:val="22"/>
        </w:rPr>
      </w:pPr>
      <w:r w:rsidRPr="00EE5F0E">
        <w:rPr>
          <w:rFonts w:ascii="Arial" w:hAnsi="Arial"/>
          <w:sz w:val="22"/>
        </w:rPr>
        <w:t>HMA Thickness &gt; 5.0</w:t>
      </w:r>
      <w:r w:rsidR="006D7207">
        <w:rPr>
          <w:rFonts w:ascii="Arial" w:hAnsi="Arial"/>
          <w:sz w:val="22"/>
        </w:rPr>
        <w:t>"</w:t>
      </w:r>
    </w:p>
    <w:p w14:paraId="55A83517" w14:textId="77777777" w:rsidR="00152A78" w:rsidRPr="00EE5F0E" w:rsidRDefault="00152A78" w:rsidP="00152A78">
      <w:pPr>
        <w:jc w:val="both"/>
        <w:rPr>
          <w:rFonts w:ascii="Arial" w:hAnsi="Arial"/>
          <w:sz w:val="22"/>
        </w:rPr>
      </w:pPr>
      <w:r w:rsidRPr="00EE5F0E">
        <w:rPr>
          <w:rFonts w:ascii="Arial" w:hAnsi="Arial"/>
          <w:sz w:val="22"/>
        </w:rPr>
        <w:tab/>
      </w:r>
      <w:r w:rsidRPr="00EE5F0E">
        <w:rPr>
          <w:rFonts w:ascii="Arial" w:hAnsi="Arial"/>
          <w:sz w:val="22"/>
        </w:rPr>
        <w:tab/>
        <w:t>a</w:t>
      </w:r>
      <w:r w:rsidRPr="00EE5F0E">
        <w:rPr>
          <w:rFonts w:ascii="Arial" w:hAnsi="Arial"/>
          <w:sz w:val="22"/>
          <w:vertAlign w:val="subscript"/>
        </w:rPr>
        <w:t>2</w:t>
      </w:r>
      <w:r w:rsidRPr="00EE5F0E">
        <w:rPr>
          <w:rFonts w:ascii="Arial" w:hAnsi="Arial"/>
          <w:sz w:val="22"/>
        </w:rPr>
        <w:t xml:space="preserve"> = (0.14 + 0.0029 * (Subgrade (CBR)) – 0.035 + f</w:t>
      </w:r>
      <w:r w:rsidRPr="00EE5F0E">
        <w:rPr>
          <w:rFonts w:ascii="Arial" w:hAnsi="Arial"/>
          <w:sz w:val="22"/>
          <w:vertAlign w:val="subscript"/>
        </w:rPr>
        <w:t>s</w:t>
      </w:r>
    </w:p>
    <w:p w14:paraId="3109A71F" w14:textId="77777777" w:rsidR="00152A78" w:rsidRPr="00EE5F0E" w:rsidRDefault="00152A78" w:rsidP="00152A78">
      <w:pPr>
        <w:jc w:val="both"/>
        <w:rPr>
          <w:rFonts w:ascii="Arial" w:hAnsi="Arial"/>
          <w:sz w:val="22"/>
        </w:rPr>
      </w:pPr>
    </w:p>
    <w:p w14:paraId="5A5D1C16" w14:textId="1B1D991A" w:rsidR="00152A78" w:rsidRPr="00EE5F0E" w:rsidRDefault="00152A78" w:rsidP="002F7593">
      <w:pPr>
        <w:tabs>
          <w:tab w:val="left" w:pos="360"/>
          <w:tab w:val="left" w:pos="720"/>
        </w:tabs>
        <w:jc w:val="both"/>
        <w:rPr>
          <w:rFonts w:ascii="Arial" w:hAnsi="Arial"/>
          <w:sz w:val="22"/>
        </w:rPr>
      </w:pPr>
      <w:r w:rsidRPr="00EE5F0E">
        <w:rPr>
          <w:rFonts w:ascii="Arial" w:hAnsi="Arial"/>
          <w:sz w:val="22"/>
        </w:rPr>
        <w:t>f</w:t>
      </w:r>
      <w:r w:rsidRPr="00EE5F0E">
        <w:rPr>
          <w:rFonts w:ascii="Arial" w:hAnsi="Arial"/>
          <w:sz w:val="22"/>
          <w:vertAlign w:val="subscript"/>
        </w:rPr>
        <w:t xml:space="preserve">s </w:t>
      </w:r>
      <w:r w:rsidR="006D7207">
        <w:rPr>
          <w:rFonts w:ascii="Arial" w:hAnsi="Arial"/>
          <w:sz w:val="22"/>
          <w:vertAlign w:val="subscript"/>
        </w:rPr>
        <w:tab/>
      </w:r>
      <w:r w:rsidRPr="00EE5F0E">
        <w:rPr>
          <w:rFonts w:ascii="Arial" w:hAnsi="Arial"/>
          <w:sz w:val="22"/>
        </w:rPr>
        <w:t xml:space="preserve">= </w:t>
      </w:r>
      <w:r w:rsidR="006D7207">
        <w:rPr>
          <w:rFonts w:ascii="Arial" w:hAnsi="Arial"/>
          <w:sz w:val="22"/>
        </w:rPr>
        <w:tab/>
      </w:r>
      <w:r w:rsidRPr="00EE5F0E">
        <w:rPr>
          <w:rFonts w:ascii="Arial" w:hAnsi="Arial"/>
          <w:sz w:val="22"/>
        </w:rPr>
        <w:t>0.0 for dry conditions</w:t>
      </w:r>
    </w:p>
    <w:p w14:paraId="410B714D" w14:textId="59874D2A" w:rsidR="00152A78" w:rsidRPr="00EE5F0E" w:rsidRDefault="00152A78" w:rsidP="002F7593">
      <w:pPr>
        <w:tabs>
          <w:tab w:val="left" w:pos="360"/>
          <w:tab w:val="left" w:pos="720"/>
        </w:tabs>
        <w:jc w:val="both"/>
        <w:rPr>
          <w:rFonts w:ascii="Arial" w:hAnsi="Arial"/>
          <w:sz w:val="22"/>
        </w:rPr>
      </w:pPr>
      <w:r w:rsidRPr="00EE5F0E">
        <w:rPr>
          <w:rFonts w:ascii="Arial" w:hAnsi="Arial"/>
          <w:sz w:val="22"/>
        </w:rPr>
        <w:t>f</w:t>
      </w:r>
      <w:r w:rsidRPr="00EE5F0E">
        <w:rPr>
          <w:rFonts w:ascii="Arial" w:hAnsi="Arial"/>
          <w:sz w:val="22"/>
          <w:vertAlign w:val="subscript"/>
        </w:rPr>
        <w:t xml:space="preserve">s </w:t>
      </w:r>
      <w:r w:rsidR="006D7207">
        <w:rPr>
          <w:rFonts w:ascii="Arial" w:hAnsi="Arial"/>
          <w:sz w:val="22"/>
          <w:vertAlign w:val="subscript"/>
        </w:rPr>
        <w:tab/>
      </w:r>
      <w:r w:rsidRPr="00EE5F0E">
        <w:rPr>
          <w:rFonts w:ascii="Arial" w:hAnsi="Arial"/>
          <w:sz w:val="22"/>
        </w:rPr>
        <w:t xml:space="preserve">= </w:t>
      </w:r>
      <w:r w:rsidR="006D7207">
        <w:rPr>
          <w:rFonts w:ascii="Arial" w:hAnsi="Arial"/>
          <w:sz w:val="22"/>
        </w:rPr>
        <w:tab/>
      </w:r>
      <w:r w:rsidRPr="00EE5F0E">
        <w:rPr>
          <w:rFonts w:ascii="Arial" w:hAnsi="Arial"/>
          <w:sz w:val="22"/>
        </w:rPr>
        <w:t>-0.033 for wet conditions</w:t>
      </w:r>
    </w:p>
    <w:p w14:paraId="0C875266" w14:textId="77777777" w:rsidR="006D7207" w:rsidRDefault="006D7207" w:rsidP="00152A78">
      <w:pPr>
        <w:jc w:val="both"/>
        <w:rPr>
          <w:rFonts w:ascii="Arial" w:hAnsi="Arial"/>
          <w:sz w:val="22"/>
          <w:u w:val="single"/>
        </w:rPr>
      </w:pPr>
    </w:p>
    <w:p w14:paraId="6F0673BB" w14:textId="77777777" w:rsidR="00152A78" w:rsidRPr="00EE5F0E" w:rsidRDefault="00152A78" w:rsidP="00152A78">
      <w:pPr>
        <w:jc w:val="both"/>
        <w:rPr>
          <w:rFonts w:ascii="Arial" w:hAnsi="Arial"/>
          <w:sz w:val="22"/>
          <w:u w:val="single"/>
        </w:rPr>
      </w:pPr>
      <w:r w:rsidRPr="00EE5F0E">
        <w:rPr>
          <w:rFonts w:ascii="Arial" w:hAnsi="Arial"/>
          <w:sz w:val="22"/>
          <w:u w:val="single"/>
        </w:rPr>
        <w:t>Gravel</w:t>
      </w:r>
    </w:p>
    <w:p w14:paraId="6592C830" w14:textId="77777777" w:rsidR="00152A78" w:rsidRPr="00EE5F0E" w:rsidRDefault="00152A78" w:rsidP="00152A78">
      <w:pPr>
        <w:jc w:val="both"/>
        <w:rPr>
          <w:rFonts w:ascii="Arial" w:hAnsi="Arial"/>
          <w:sz w:val="22"/>
        </w:rPr>
      </w:pPr>
    </w:p>
    <w:p w14:paraId="4B16D1FF" w14:textId="36A8327A" w:rsidR="00152A78" w:rsidRPr="00EE5F0E" w:rsidRDefault="00152A78" w:rsidP="00152A78">
      <w:pPr>
        <w:jc w:val="both"/>
        <w:rPr>
          <w:rFonts w:ascii="Arial" w:hAnsi="Arial"/>
          <w:sz w:val="22"/>
        </w:rPr>
      </w:pPr>
      <w:r w:rsidRPr="00EE5F0E">
        <w:rPr>
          <w:rFonts w:ascii="Arial" w:hAnsi="Arial"/>
          <w:sz w:val="22"/>
        </w:rPr>
        <w:t>HMA Thickness &lt;= 5.0</w:t>
      </w:r>
      <w:r w:rsidR="006D7207">
        <w:rPr>
          <w:rFonts w:ascii="Arial" w:hAnsi="Arial"/>
          <w:sz w:val="22"/>
        </w:rPr>
        <w:t>"</w:t>
      </w:r>
    </w:p>
    <w:p w14:paraId="45830771" w14:textId="77777777" w:rsidR="00152A78" w:rsidRPr="00EE5F0E" w:rsidRDefault="00152A78" w:rsidP="00152A78">
      <w:pPr>
        <w:jc w:val="both"/>
        <w:rPr>
          <w:rFonts w:ascii="Arial" w:hAnsi="Arial"/>
          <w:sz w:val="22"/>
        </w:rPr>
      </w:pPr>
      <w:r w:rsidRPr="00EE5F0E">
        <w:rPr>
          <w:rFonts w:ascii="Arial" w:hAnsi="Arial"/>
          <w:sz w:val="22"/>
        </w:rPr>
        <w:tab/>
      </w:r>
      <w:r w:rsidRPr="00EE5F0E">
        <w:rPr>
          <w:rFonts w:ascii="Arial" w:hAnsi="Arial"/>
          <w:sz w:val="22"/>
        </w:rPr>
        <w:tab/>
        <w:t>a</w:t>
      </w:r>
      <w:r w:rsidRPr="00EE5F0E">
        <w:rPr>
          <w:rFonts w:ascii="Arial" w:hAnsi="Arial"/>
          <w:sz w:val="22"/>
          <w:vertAlign w:val="subscript"/>
        </w:rPr>
        <w:t>2</w:t>
      </w:r>
      <w:r w:rsidRPr="00EE5F0E">
        <w:rPr>
          <w:rFonts w:ascii="Arial" w:hAnsi="Arial"/>
          <w:sz w:val="22"/>
        </w:rPr>
        <w:t xml:space="preserve"> = (0.08 + 0.0064 * (Subgrade (CBR)) + f</w:t>
      </w:r>
      <w:r w:rsidRPr="00EE5F0E">
        <w:rPr>
          <w:rFonts w:ascii="Arial" w:hAnsi="Arial"/>
          <w:sz w:val="22"/>
          <w:vertAlign w:val="subscript"/>
        </w:rPr>
        <w:t>s</w:t>
      </w:r>
    </w:p>
    <w:p w14:paraId="3B64959F" w14:textId="77777777" w:rsidR="006D7207" w:rsidRDefault="006D7207" w:rsidP="00152A78">
      <w:pPr>
        <w:jc w:val="both"/>
        <w:rPr>
          <w:rFonts w:ascii="Arial" w:hAnsi="Arial"/>
          <w:sz w:val="22"/>
        </w:rPr>
      </w:pPr>
    </w:p>
    <w:p w14:paraId="4EC151CB" w14:textId="6DA55393" w:rsidR="00152A78" w:rsidRPr="00EE5F0E" w:rsidRDefault="00152A78" w:rsidP="00152A78">
      <w:pPr>
        <w:jc w:val="both"/>
        <w:rPr>
          <w:rFonts w:ascii="Arial" w:hAnsi="Arial"/>
          <w:sz w:val="22"/>
        </w:rPr>
      </w:pPr>
      <w:r w:rsidRPr="00EE5F0E">
        <w:rPr>
          <w:rFonts w:ascii="Arial" w:hAnsi="Arial"/>
          <w:sz w:val="22"/>
        </w:rPr>
        <w:t>HMA Thickness &gt; 5.0</w:t>
      </w:r>
      <w:r w:rsidR="006D7207">
        <w:rPr>
          <w:rFonts w:ascii="Arial" w:hAnsi="Arial"/>
          <w:sz w:val="22"/>
        </w:rPr>
        <w:t>"</w:t>
      </w:r>
    </w:p>
    <w:p w14:paraId="696BA71E" w14:textId="77777777" w:rsidR="00152A78" w:rsidRPr="00EE5F0E" w:rsidRDefault="00152A78" w:rsidP="00152A78">
      <w:pPr>
        <w:jc w:val="both"/>
        <w:rPr>
          <w:rFonts w:ascii="Arial" w:hAnsi="Arial"/>
          <w:sz w:val="22"/>
        </w:rPr>
      </w:pPr>
      <w:r w:rsidRPr="00EE5F0E">
        <w:rPr>
          <w:rFonts w:ascii="Arial" w:hAnsi="Arial"/>
          <w:sz w:val="22"/>
        </w:rPr>
        <w:tab/>
      </w:r>
      <w:r w:rsidRPr="00EE5F0E">
        <w:rPr>
          <w:rFonts w:ascii="Arial" w:hAnsi="Arial"/>
          <w:sz w:val="22"/>
        </w:rPr>
        <w:tab/>
        <w:t>a</w:t>
      </w:r>
      <w:r w:rsidRPr="00EE5F0E">
        <w:rPr>
          <w:rFonts w:ascii="Arial" w:hAnsi="Arial"/>
          <w:sz w:val="22"/>
          <w:vertAlign w:val="subscript"/>
        </w:rPr>
        <w:t>2</w:t>
      </w:r>
      <w:r w:rsidRPr="00EE5F0E">
        <w:rPr>
          <w:rFonts w:ascii="Arial" w:hAnsi="Arial"/>
          <w:sz w:val="22"/>
        </w:rPr>
        <w:t xml:space="preserve"> = (0.10 + 0.0021 * (Subgrade (CBR)) + f</w:t>
      </w:r>
      <w:r w:rsidRPr="00EE5F0E">
        <w:rPr>
          <w:rFonts w:ascii="Arial" w:hAnsi="Arial"/>
          <w:sz w:val="22"/>
          <w:vertAlign w:val="subscript"/>
        </w:rPr>
        <w:t>s</w:t>
      </w:r>
    </w:p>
    <w:p w14:paraId="61F729F3" w14:textId="77777777" w:rsidR="00152A78" w:rsidRPr="00EE5F0E" w:rsidRDefault="00152A78" w:rsidP="00152A78">
      <w:pPr>
        <w:jc w:val="both"/>
        <w:rPr>
          <w:rFonts w:ascii="Arial" w:hAnsi="Arial"/>
          <w:sz w:val="22"/>
        </w:rPr>
      </w:pPr>
    </w:p>
    <w:p w14:paraId="62113960" w14:textId="3AA99151" w:rsidR="00152A78" w:rsidRPr="00EE5F0E" w:rsidRDefault="00152A78" w:rsidP="002F7593">
      <w:pPr>
        <w:tabs>
          <w:tab w:val="left" w:pos="360"/>
          <w:tab w:val="left" w:pos="720"/>
        </w:tabs>
        <w:jc w:val="both"/>
        <w:rPr>
          <w:rFonts w:ascii="Arial" w:hAnsi="Arial"/>
          <w:sz w:val="22"/>
        </w:rPr>
      </w:pPr>
      <w:r w:rsidRPr="00EE5F0E">
        <w:rPr>
          <w:rFonts w:ascii="Arial" w:hAnsi="Arial"/>
          <w:sz w:val="22"/>
        </w:rPr>
        <w:t>f</w:t>
      </w:r>
      <w:r w:rsidRPr="00EE5F0E">
        <w:rPr>
          <w:rFonts w:ascii="Arial" w:hAnsi="Arial"/>
          <w:sz w:val="22"/>
          <w:vertAlign w:val="subscript"/>
        </w:rPr>
        <w:t xml:space="preserve">s </w:t>
      </w:r>
      <w:r w:rsidR="006D7207">
        <w:rPr>
          <w:rFonts w:ascii="Arial" w:hAnsi="Arial"/>
          <w:sz w:val="22"/>
          <w:vertAlign w:val="subscript"/>
        </w:rPr>
        <w:tab/>
      </w:r>
      <w:r w:rsidRPr="00EE5F0E">
        <w:rPr>
          <w:rFonts w:ascii="Arial" w:hAnsi="Arial"/>
          <w:sz w:val="22"/>
        </w:rPr>
        <w:t xml:space="preserve">= </w:t>
      </w:r>
      <w:r w:rsidR="006D7207">
        <w:rPr>
          <w:rFonts w:ascii="Arial" w:hAnsi="Arial"/>
          <w:sz w:val="22"/>
        </w:rPr>
        <w:tab/>
      </w:r>
      <w:r w:rsidRPr="00EE5F0E">
        <w:rPr>
          <w:rFonts w:ascii="Arial" w:hAnsi="Arial"/>
          <w:sz w:val="22"/>
        </w:rPr>
        <w:t>0.0 for dry conditions</w:t>
      </w:r>
    </w:p>
    <w:p w14:paraId="49D2F982" w14:textId="1638A46C" w:rsidR="00152A78" w:rsidRPr="00EE5F0E" w:rsidRDefault="00152A78" w:rsidP="002F7593">
      <w:pPr>
        <w:tabs>
          <w:tab w:val="left" w:pos="360"/>
          <w:tab w:val="left" w:pos="720"/>
        </w:tabs>
        <w:jc w:val="both"/>
        <w:rPr>
          <w:rFonts w:ascii="Arial" w:hAnsi="Arial"/>
          <w:sz w:val="22"/>
        </w:rPr>
      </w:pPr>
      <w:r w:rsidRPr="00EE5F0E">
        <w:rPr>
          <w:rFonts w:ascii="Arial" w:hAnsi="Arial"/>
          <w:sz w:val="22"/>
        </w:rPr>
        <w:t>f</w:t>
      </w:r>
      <w:r w:rsidRPr="00EE5F0E">
        <w:rPr>
          <w:rFonts w:ascii="Arial" w:hAnsi="Arial"/>
          <w:sz w:val="22"/>
          <w:vertAlign w:val="subscript"/>
        </w:rPr>
        <w:t xml:space="preserve">s </w:t>
      </w:r>
      <w:r w:rsidR="006D7207">
        <w:rPr>
          <w:rFonts w:ascii="Arial" w:hAnsi="Arial"/>
          <w:sz w:val="22"/>
          <w:vertAlign w:val="subscript"/>
        </w:rPr>
        <w:tab/>
      </w:r>
      <w:r w:rsidRPr="00EE5F0E">
        <w:rPr>
          <w:rFonts w:ascii="Arial" w:hAnsi="Arial"/>
          <w:sz w:val="22"/>
        </w:rPr>
        <w:t xml:space="preserve">= </w:t>
      </w:r>
      <w:r w:rsidR="006D7207">
        <w:rPr>
          <w:rFonts w:ascii="Arial" w:hAnsi="Arial"/>
          <w:sz w:val="22"/>
        </w:rPr>
        <w:tab/>
      </w:r>
      <w:r w:rsidRPr="00EE5F0E">
        <w:rPr>
          <w:rFonts w:ascii="Arial" w:hAnsi="Arial"/>
          <w:sz w:val="22"/>
        </w:rPr>
        <w:t>-0.046 for wet conditions</w:t>
      </w:r>
    </w:p>
    <w:p w14:paraId="3DBABDB4" w14:textId="77777777" w:rsidR="00152A78" w:rsidRPr="00EE5F0E" w:rsidRDefault="00152A78" w:rsidP="00152A78">
      <w:pPr>
        <w:jc w:val="both"/>
        <w:rPr>
          <w:rFonts w:ascii="Arial" w:hAnsi="Arial"/>
          <w:sz w:val="22"/>
        </w:rPr>
      </w:pPr>
    </w:p>
    <w:p w14:paraId="400C7530" w14:textId="77777777" w:rsidR="00152A78" w:rsidRPr="00EE5F0E" w:rsidRDefault="00152A78" w:rsidP="00152A78">
      <w:pPr>
        <w:jc w:val="both"/>
        <w:rPr>
          <w:rFonts w:ascii="Arial" w:hAnsi="Arial"/>
          <w:sz w:val="22"/>
        </w:rPr>
      </w:pPr>
      <w:r w:rsidRPr="00EE5F0E">
        <w:rPr>
          <w:rFonts w:ascii="Arial" w:hAnsi="Arial"/>
          <w:sz w:val="22"/>
        </w:rPr>
        <w:t xml:space="preserve">Wet conditions are defined as when the unbound material is saturated more than 60% of the time.  Based on the climatic conditions and the natural soils in </w:t>
      </w:r>
      <w:smartTag w:uri="urn:schemas-microsoft-com:office:smarttags" w:element="State">
        <w:smartTag w:uri="urn:schemas-microsoft-com:office:smarttags" w:element="place">
          <w:r w:rsidRPr="00EE5F0E">
            <w:rPr>
              <w:rFonts w:ascii="Arial" w:hAnsi="Arial"/>
              <w:sz w:val="22"/>
            </w:rPr>
            <w:t>Maryland</w:t>
          </w:r>
        </w:smartTag>
      </w:smartTag>
      <w:r w:rsidRPr="00EE5F0E">
        <w:rPr>
          <w:rFonts w:ascii="Arial" w:hAnsi="Arial"/>
          <w:sz w:val="22"/>
        </w:rPr>
        <w:t>, it is recommended to assume that wet conditions exist unless evidence can be provided to show that the unbound base is dry a majority of the time.  These special cases would only exist where an open-graded base was used or in topographical conditions with good vertical drainage and clean sands/gravel exists for several feet beneath the top of subgrade.</w:t>
      </w:r>
    </w:p>
    <w:p w14:paraId="38F88143" w14:textId="77777777" w:rsidR="007C12D4" w:rsidRDefault="007C12D4" w:rsidP="0049684B">
      <w:pPr>
        <w:pStyle w:val="Heading2"/>
        <w:ind w:hanging="1026"/>
        <w:sectPr w:rsidR="007C12D4" w:rsidSect="00CB714B">
          <w:headerReference w:type="default" r:id="rId141"/>
          <w:footerReference w:type="default" r:id="rId142"/>
          <w:pgSz w:w="12240" w:h="15840"/>
          <w:pgMar w:top="1440" w:right="1800" w:bottom="1440" w:left="1800" w:header="720" w:footer="720" w:gutter="0"/>
          <w:pgNumType w:chapStyle="1"/>
          <w:cols w:space="720"/>
        </w:sectPr>
      </w:pPr>
      <w:bookmarkStart w:id="209" w:name="_Tensile_Strength_Modulus"/>
      <w:bookmarkStart w:id="210" w:name="_Geotechnical_Design_Properties"/>
      <w:bookmarkEnd w:id="209"/>
      <w:bookmarkEnd w:id="210"/>
    </w:p>
    <w:p w14:paraId="3083C47A" w14:textId="5F9AA1C7" w:rsidR="00152A78" w:rsidRPr="00BE15AB" w:rsidRDefault="00152A78" w:rsidP="0049684B">
      <w:pPr>
        <w:pStyle w:val="Heading2"/>
        <w:ind w:hanging="1026"/>
      </w:pPr>
      <w:bookmarkStart w:id="211" w:name="_Geotechnical_Design_Properties_1"/>
      <w:bookmarkStart w:id="212" w:name="_Toc479160094"/>
      <w:bookmarkStart w:id="213" w:name="_Toc514057983"/>
      <w:bookmarkStart w:id="214" w:name="_Toc194932379"/>
      <w:bookmarkEnd w:id="211"/>
      <w:r w:rsidRPr="00BE15AB">
        <w:lastRenderedPageBreak/>
        <w:t>Geotechnical Design Properties</w:t>
      </w:r>
      <w:bookmarkEnd w:id="212"/>
      <w:bookmarkEnd w:id="213"/>
      <w:bookmarkEnd w:id="214"/>
    </w:p>
    <w:p w14:paraId="4A154DB1" w14:textId="77777777" w:rsidR="00152A78" w:rsidRPr="00BE15AB" w:rsidRDefault="00152A78" w:rsidP="00152A78">
      <w:pPr>
        <w:autoSpaceDE w:val="0"/>
        <w:autoSpaceDN w:val="0"/>
        <w:adjustRightInd w:val="0"/>
        <w:rPr>
          <w:rFonts w:ascii="Arial" w:hAnsi="Arial" w:cs="Arial"/>
          <w:sz w:val="22"/>
          <w:szCs w:val="22"/>
        </w:rPr>
      </w:pPr>
      <w:r w:rsidRPr="00BE15AB">
        <w:rPr>
          <w:rFonts w:ascii="Arial" w:hAnsi="Arial" w:cs="Arial"/>
          <w:sz w:val="22"/>
          <w:szCs w:val="22"/>
        </w:rPr>
        <w:t>For typical material properties of soils and aggregates, refer to the following references:</w:t>
      </w:r>
    </w:p>
    <w:p w14:paraId="2E52632E" w14:textId="77777777" w:rsidR="00152A78" w:rsidRPr="00BE15AB" w:rsidRDefault="00152A78" w:rsidP="00152A78">
      <w:pPr>
        <w:autoSpaceDE w:val="0"/>
        <w:autoSpaceDN w:val="0"/>
        <w:adjustRightInd w:val="0"/>
        <w:rPr>
          <w:rFonts w:ascii="Arial" w:hAnsi="Arial" w:cs="Arial"/>
          <w:sz w:val="22"/>
          <w:szCs w:val="22"/>
        </w:rPr>
      </w:pPr>
    </w:p>
    <w:p w14:paraId="29B3BA6C" w14:textId="614E2CCB" w:rsidR="00152A78" w:rsidRPr="00BE15AB" w:rsidRDefault="00152A78" w:rsidP="00172E64">
      <w:pPr>
        <w:numPr>
          <w:ilvl w:val="0"/>
          <w:numId w:val="79"/>
        </w:numPr>
        <w:autoSpaceDE w:val="0"/>
        <w:autoSpaceDN w:val="0"/>
        <w:adjustRightInd w:val="0"/>
        <w:ind w:left="540" w:hanging="540"/>
        <w:jc w:val="both"/>
        <w:rPr>
          <w:rFonts w:ascii="Arial" w:hAnsi="Arial" w:cs="Arial"/>
          <w:bCs/>
          <w:iCs/>
          <w:sz w:val="22"/>
          <w:szCs w:val="22"/>
        </w:rPr>
      </w:pPr>
      <w:r w:rsidRPr="00BE15AB">
        <w:rPr>
          <w:rFonts w:ascii="Arial" w:hAnsi="Arial" w:cs="Arial"/>
          <w:sz w:val="22"/>
          <w:szCs w:val="22"/>
        </w:rPr>
        <w:t>“</w:t>
      </w:r>
      <w:hyperlink r:id="rId143" w:history="1">
        <w:r w:rsidRPr="003737F6">
          <w:rPr>
            <w:rStyle w:val="Hyperlink"/>
            <w:rFonts w:ascii="Arial" w:hAnsi="Arial" w:cs="Arial"/>
            <w:sz w:val="22"/>
            <w:szCs w:val="22"/>
          </w:rPr>
          <w:t>Geotechnical Engineering Circular No. 5</w:t>
        </w:r>
        <w:r w:rsidR="00AF5A17">
          <w:rPr>
            <w:rStyle w:val="Hyperlink"/>
            <w:rFonts w:ascii="Arial" w:hAnsi="Arial" w:cs="Arial"/>
            <w:sz w:val="22"/>
            <w:szCs w:val="22"/>
          </w:rPr>
          <w:t xml:space="preserve"> – </w:t>
        </w:r>
        <w:r w:rsidRPr="003737F6">
          <w:rPr>
            <w:rStyle w:val="Hyperlink"/>
            <w:rFonts w:ascii="Arial" w:hAnsi="Arial" w:cs="Arial"/>
            <w:sz w:val="22"/>
            <w:szCs w:val="22"/>
          </w:rPr>
          <w:t>Evaluation of Soil and Rock Properties</w:t>
        </w:r>
      </w:hyperlink>
      <w:r w:rsidR="006D7207">
        <w:rPr>
          <w:rStyle w:val="Hyperlink"/>
          <w:rFonts w:ascii="Arial" w:hAnsi="Arial" w:cs="Arial"/>
          <w:sz w:val="22"/>
          <w:szCs w:val="22"/>
        </w:rPr>
        <w:t>,</w:t>
      </w:r>
      <w:r w:rsidRPr="00BE15AB">
        <w:rPr>
          <w:rFonts w:ascii="Arial" w:hAnsi="Arial" w:cs="Arial"/>
          <w:sz w:val="22"/>
          <w:szCs w:val="22"/>
        </w:rPr>
        <w:t>” FHWA-IF-02-034</w:t>
      </w:r>
      <w:r w:rsidR="00AF5A17">
        <w:rPr>
          <w:rFonts w:ascii="Arial" w:hAnsi="Arial" w:cs="Arial"/>
          <w:sz w:val="22"/>
          <w:szCs w:val="22"/>
        </w:rPr>
        <w:t>.</w:t>
      </w:r>
    </w:p>
    <w:p w14:paraId="6F038B7C" w14:textId="77777777" w:rsidR="00152A78" w:rsidRPr="00BE15AB" w:rsidRDefault="00152A78" w:rsidP="002F7593">
      <w:pPr>
        <w:autoSpaceDE w:val="0"/>
        <w:autoSpaceDN w:val="0"/>
        <w:adjustRightInd w:val="0"/>
        <w:ind w:left="540" w:hanging="540"/>
        <w:jc w:val="both"/>
        <w:rPr>
          <w:rFonts w:ascii="Arial" w:hAnsi="Arial" w:cs="Arial"/>
          <w:bCs/>
          <w:iCs/>
          <w:sz w:val="22"/>
          <w:szCs w:val="22"/>
        </w:rPr>
      </w:pPr>
    </w:p>
    <w:p w14:paraId="760B1479" w14:textId="0F193F1E" w:rsidR="00152A78" w:rsidRPr="00BE15AB" w:rsidRDefault="00152A78" w:rsidP="00172E64">
      <w:pPr>
        <w:numPr>
          <w:ilvl w:val="0"/>
          <w:numId w:val="79"/>
        </w:numPr>
        <w:autoSpaceDE w:val="0"/>
        <w:autoSpaceDN w:val="0"/>
        <w:adjustRightInd w:val="0"/>
        <w:ind w:left="540" w:hanging="540"/>
        <w:jc w:val="both"/>
        <w:rPr>
          <w:rFonts w:ascii="Arial" w:hAnsi="Arial" w:cs="Arial"/>
          <w:bCs/>
          <w:iCs/>
          <w:sz w:val="22"/>
          <w:szCs w:val="22"/>
        </w:rPr>
      </w:pPr>
      <w:r w:rsidRPr="00BE15AB">
        <w:rPr>
          <w:rFonts w:ascii="Arial" w:hAnsi="Arial" w:cs="Arial"/>
          <w:sz w:val="22"/>
          <w:szCs w:val="22"/>
        </w:rPr>
        <w:t>Federal Highway Administration and National Highway Institute, “</w:t>
      </w:r>
      <w:hyperlink r:id="rId144" w:history="1">
        <w:r w:rsidRPr="00310A24">
          <w:rPr>
            <w:rStyle w:val="Hyperlink"/>
            <w:rFonts w:ascii="Arial" w:hAnsi="Arial" w:cs="Arial"/>
            <w:sz w:val="22"/>
            <w:szCs w:val="22"/>
          </w:rPr>
          <w:t>Geotechnical Aspect of Pavements</w:t>
        </w:r>
      </w:hyperlink>
      <w:r w:rsidR="00AF5A17">
        <w:rPr>
          <w:rStyle w:val="Hyperlink"/>
          <w:rFonts w:ascii="Arial" w:hAnsi="Arial" w:cs="Arial"/>
          <w:sz w:val="22"/>
          <w:szCs w:val="22"/>
        </w:rPr>
        <w:t>,</w:t>
      </w:r>
      <w:r w:rsidRPr="00BE15AB">
        <w:rPr>
          <w:rFonts w:ascii="Arial" w:hAnsi="Arial" w:cs="Arial"/>
          <w:sz w:val="22"/>
          <w:szCs w:val="22"/>
        </w:rPr>
        <w:t>” FHWA NHI 132040. Section 5</w:t>
      </w:r>
      <w:r w:rsidR="00AF5A17">
        <w:rPr>
          <w:rFonts w:ascii="Arial" w:hAnsi="Arial" w:cs="Arial"/>
          <w:sz w:val="22"/>
          <w:szCs w:val="22"/>
        </w:rPr>
        <w:t>.</w:t>
      </w:r>
    </w:p>
    <w:p w14:paraId="221D4CB0" w14:textId="77777777" w:rsidR="00152A78" w:rsidRPr="00BE15AB" w:rsidRDefault="00152A78" w:rsidP="002F7593">
      <w:pPr>
        <w:autoSpaceDE w:val="0"/>
        <w:autoSpaceDN w:val="0"/>
        <w:adjustRightInd w:val="0"/>
        <w:ind w:left="540" w:hanging="540"/>
        <w:jc w:val="both"/>
        <w:rPr>
          <w:rFonts w:ascii="Arial" w:hAnsi="Arial" w:cs="Arial"/>
          <w:bCs/>
          <w:iCs/>
          <w:sz w:val="22"/>
          <w:szCs w:val="22"/>
        </w:rPr>
      </w:pPr>
    </w:p>
    <w:p w14:paraId="5913B09C" w14:textId="6A30A854" w:rsidR="00152A78" w:rsidRPr="003737F6" w:rsidRDefault="00152A78" w:rsidP="00172E64">
      <w:pPr>
        <w:numPr>
          <w:ilvl w:val="0"/>
          <w:numId w:val="79"/>
        </w:numPr>
        <w:autoSpaceDE w:val="0"/>
        <w:autoSpaceDN w:val="0"/>
        <w:adjustRightInd w:val="0"/>
        <w:ind w:left="540" w:hanging="540"/>
        <w:jc w:val="both"/>
        <w:rPr>
          <w:rFonts w:ascii="Arial" w:hAnsi="Arial" w:cs="Arial"/>
          <w:bCs/>
          <w:iCs/>
          <w:sz w:val="22"/>
          <w:szCs w:val="22"/>
        </w:rPr>
      </w:pPr>
      <w:r w:rsidRPr="00BE15AB">
        <w:rPr>
          <w:rFonts w:ascii="Arial" w:hAnsi="Arial" w:cs="Arial"/>
          <w:sz w:val="22"/>
          <w:szCs w:val="22"/>
        </w:rPr>
        <w:t xml:space="preserve">For </w:t>
      </w:r>
      <w:r>
        <w:rPr>
          <w:rFonts w:ascii="Arial" w:hAnsi="Arial" w:cs="Arial"/>
          <w:sz w:val="22"/>
          <w:szCs w:val="22"/>
        </w:rPr>
        <w:t>agg</w:t>
      </w:r>
      <w:r w:rsidRPr="003737F6">
        <w:rPr>
          <w:rFonts w:ascii="Arial" w:hAnsi="Arial" w:cs="Arial"/>
          <w:sz w:val="22"/>
          <w:szCs w:val="22"/>
        </w:rPr>
        <w:t xml:space="preserve">regate gradation requirements, refer to </w:t>
      </w:r>
      <w:hyperlink r:id="rId145" w:history="1">
        <w:r w:rsidRPr="009D5224">
          <w:rPr>
            <w:rStyle w:val="Hyperlink"/>
            <w:rFonts w:ascii="Arial" w:hAnsi="Arial" w:cs="Arial"/>
            <w:sz w:val="22"/>
            <w:szCs w:val="22"/>
          </w:rPr>
          <w:t>Section 901</w:t>
        </w:r>
      </w:hyperlink>
      <w:r w:rsidRPr="003737F6">
        <w:rPr>
          <w:rFonts w:ascii="Arial" w:hAnsi="Arial" w:cs="Arial"/>
          <w:sz w:val="22"/>
          <w:szCs w:val="22"/>
        </w:rPr>
        <w:t xml:space="preserve"> of “Standard Specifications for Construction and Materials</w:t>
      </w:r>
      <w:r w:rsidR="00C67CEF">
        <w:rPr>
          <w:rFonts w:ascii="Arial" w:hAnsi="Arial" w:cs="Arial"/>
          <w:sz w:val="22"/>
          <w:szCs w:val="22"/>
        </w:rPr>
        <w:t>.</w:t>
      </w:r>
      <w:r w:rsidRPr="003737F6">
        <w:rPr>
          <w:rFonts w:ascii="Arial" w:hAnsi="Arial" w:cs="Arial"/>
          <w:sz w:val="22"/>
          <w:szCs w:val="22"/>
        </w:rPr>
        <w:t>”</w:t>
      </w:r>
    </w:p>
    <w:p w14:paraId="636B451C" w14:textId="77777777" w:rsidR="00152A78" w:rsidRPr="003737F6" w:rsidRDefault="00152A78" w:rsidP="002F7593">
      <w:pPr>
        <w:pStyle w:val="ListParagraph"/>
        <w:ind w:left="540" w:hanging="540"/>
        <w:jc w:val="both"/>
        <w:rPr>
          <w:rFonts w:ascii="Arial" w:hAnsi="Arial" w:cs="Arial"/>
          <w:bCs/>
          <w:iCs/>
          <w:sz w:val="22"/>
          <w:szCs w:val="22"/>
        </w:rPr>
      </w:pPr>
    </w:p>
    <w:p w14:paraId="2547275A" w14:textId="06B45CD8" w:rsidR="00152A78" w:rsidRPr="003737F6" w:rsidRDefault="00152A78" w:rsidP="00172E64">
      <w:pPr>
        <w:numPr>
          <w:ilvl w:val="0"/>
          <w:numId w:val="79"/>
        </w:numPr>
        <w:autoSpaceDE w:val="0"/>
        <w:autoSpaceDN w:val="0"/>
        <w:adjustRightInd w:val="0"/>
        <w:ind w:left="540" w:hanging="540"/>
        <w:jc w:val="both"/>
        <w:rPr>
          <w:rFonts w:ascii="Arial" w:hAnsi="Arial" w:cs="Arial"/>
          <w:sz w:val="22"/>
          <w:szCs w:val="22"/>
        </w:rPr>
      </w:pPr>
      <w:r w:rsidRPr="003737F6">
        <w:rPr>
          <w:rFonts w:ascii="Arial" w:hAnsi="Arial" w:cs="Arial"/>
          <w:bCs/>
          <w:iCs/>
          <w:sz w:val="22"/>
          <w:szCs w:val="22"/>
        </w:rPr>
        <w:t xml:space="preserve">For typical material properties of geotextile, refer to </w:t>
      </w:r>
      <w:r w:rsidRPr="003737F6">
        <w:rPr>
          <w:rFonts w:ascii="Arial" w:hAnsi="Arial" w:cs="Arial"/>
          <w:sz w:val="22"/>
          <w:szCs w:val="22"/>
        </w:rPr>
        <w:t>Federal Highway Administration and National Highway Institute, “</w:t>
      </w:r>
      <w:hyperlink r:id="rId146" w:history="1">
        <w:r w:rsidRPr="003737F6">
          <w:rPr>
            <w:rStyle w:val="Hyperlink"/>
            <w:rFonts w:ascii="Arial" w:hAnsi="Arial" w:cs="Arial"/>
            <w:sz w:val="22"/>
            <w:szCs w:val="22"/>
          </w:rPr>
          <w:t>Geosynthetic Design and Construction Guidelines</w:t>
        </w:r>
      </w:hyperlink>
      <w:r w:rsidR="00AF5A17">
        <w:rPr>
          <w:rStyle w:val="Hyperlink"/>
          <w:rFonts w:ascii="Arial" w:hAnsi="Arial" w:cs="Arial"/>
          <w:sz w:val="22"/>
          <w:szCs w:val="22"/>
        </w:rPr>
        <w:t>,</w:t>
      </w:r>
      <w:r w:rsidRPr="003737F6">
        <w:rPr>
          <w:rFonts w:ascii="Arial" w:hAnsi="Arial" w:cs="Arial"/>
          <w:sz w:val="22"/>
          <w:szCs w:val="22"/>
        </w:rPr>
        <w:t>” FHWA HI-95-038.</w:t>
      </w:r>
    </w:p>
    <w:p w14:paraId="35BD7BEA" w14:textId="77777777" w:rsidR="00152A78" w:rsidRPr="002F7593" w:rsidRDefault="00152A78" w:rsidP="002F7593">
      <w:pPr>
        <w:pStyle w:val="ListParagraph"/>
        <w:jc w:val="both"/>
        <w:rPr>
          <w:rFonts w:ascii="Arial" w:hAnsi="Arial"/>
          <w:sz w:val="22"/>
        </w:rPr>
      </w:pPr>
    </w:p>
    <w:p w14:paraId="4147A024" w14:textId="77777777" w:rsidR="00152A78" w:rsidRPr="002F7593" w:rsidRDefault="00152A78" w:rsidP="002F7593">
      <w:pPr>
        <w:pStyle w:val="BodyText"/>
        <w:spacing w:after="0"/>
        <w:jc w:val="both"/>
        <w:rPr>
          <w:highlight w:val="yellow"/>
        </w:rPr>
      </w:pPr>
    </w:p>
    <w:p w14:paraId="78A9BB9C" w14:textId="77777777" w:rsidR="00C97445" w:rsidRPr="00C97445" w:rsidRDefault="00C97445" w:rsidP="00C97445">
      <w:bookmarkStart w:id="215" w:name="_Friction_Factor"/>
      <w:bookmarkEnd w:id="215"/>
    </w:p>
    <w:p w14:paraId="48E07F5D" w14:textId="77777777" w:rsidR="00C97445" w:rsidRPr="00C97445" w:rsidRDefault="00C97445" w:rsidP="00C97445"/>
    <w:p w14:paraId="6782FE74" w14:textId="77777777" w:rsidR="00C97445" w:rsidRPr="00C97445" w:rsidRDefault="00C97445" w:rsidP="00C97445"/>
    <w:p w14:paraId="2768A905" w14:textId="77777777" w:rsidR="00C97445" w:rsidRDefault="00C97445" w:rsidP="00C97445">
      <w:pPr>
        <w:tabs>
          <w:tab w:val="left" w:pos="992"/>
        </w:tabs>
      </w:pPr>
      <w:r>
        <w:tab/>
      </w:r>
    </w:p>
    <w:p w14:paraId="7528E879" w14:textId="77777777" w:rsidR="00152A78" w:rsidRPr="00C97445" w:rsidRDefault="00C97445" w:rsidP="00C97445">
      <w:pPr>
        <w:tabs>
          <w:tab w:val="left" w:pos="992"/>
        </w:tabs>
        <w:sectPr w:rsidR="00152A78" w:rsidRPr="00C97445" w:rsidSect="003D3387">
          <w:headerReference w:type="default" r:id="rId147"/>
          <w:footerReference w:type="default" r:id="rId148"/>
          <w:pgSz w:w="12240" w:h="15840"/>
          <w:pgMar w:top="1440" w:right="1800" w:bottom="1440" w:left="1800" w:header="720" w:footer="720" w:gutter="0"/>
          <w:pgNumType w:chapStyle="1"/>
          <w:cols w:space="720"/>
        </w:sectPr>
      </w:pPr>
      <w:r>
        <w:tab/>
      </w:r>
    </w:p>
    <w:p w14:paraId="3D6B6AFC" w14:textId="56F76A06" w:rsidR="00152A78" w:rsidRDefault="00152A78" w:rsidP="0049684B">
      <w:pPr>
        <w:pStyle w:val="Heading2"/>
        <w:ind w:hanging="1026"/>
      </w:pPr>
      <w:bookmarkStart w:id="216" w:name="_Design_Properties_for"/>
      <w:bookmarkStart w:id="217" w:name="_Toc479160095"/>
      <w:bookmarkStart w:id="218" w:name="_Toc514057984"/>
      <w:bookmarkStart w:id="219" w:name="_Toc194932380"/>
      <w:bookmarkEnd w:id="216"/>
      <w:r>
        <w:lastRenderedPageBreak/>
        <w:t>Design Properties for Pavement Materials – AASHTO 1993</w:t>
      </w:r>
      <w:bookmarkEnd w:id="217"/>
      <w:bookmarkEnd w:id="218"/>
      <w:bookmarkEnd w:id="219"/>
    </w:p>
    <w:p w14:paraId="5CF4174B" w14:textId="77777777" w:rsidR="00152A78" w:rsidRPr="00EC376A" w:rsidRDefault="00152A78" w:rsidP="00152A78">
      <w:pPr>
        <w:pStyle w:val="BodyText"/>
        <w:spacing w:after="0"/>
        <w:rPr>
          <w:sz w:val="16"/>
          <w:szCs w:val="16"/>
        </w:rPr>
      </w:pPr>
      <w:r w:rsidRPr="00EC376A">
        <w:rPr>
          <w:rFonts w:eastAsia="Arial" w:cs="Arial"/>
          <w:sz w:val="16"/>
          <w:szCs w:val="16"/>
        </w:rPr>
        <w:t>Click to go to</w:t>
      </w:r>
      <w:r w:rsidRPr="00EC376A">
        <w:rPr>
          <w:sz w:val="16"/>
          <w:szCs w:val="16"/>
        </w:rPr>
        <w:t xml:space="preserve"> </w:t>
      </w:r>
      <w:hyperlink w:anchor="_Flexible_Pavement" w:history="1">
        <w:r w:rsidRPr="00EC376A">
          <w:rPr>
            <w:rStyle w:val="Hyperlink"/>
            <w:sz w:val="16"/>
            <w:szCs w:val="16"/>
          </w:rPr>
          <w:t>Flexible Pavement</w:t>
        </w:r>
      </w:hyperlink>
      <w:r w:rsidRPr="00EC376A">
        <w:rPr>
          <w:sz w:val="16"/>
          <w:szCs w:val="16"/>
        </w:rPr>
        <w:t xml:space="preserve"> for New Design – AASHTO 1993.</w:t>
      </w:r>
    </w:p>
    <w:p w14:paraId="1B2E789B" w14:textId="77777777" w:rsidR="00152A78" w:rsidRPr="008F604D" w:rsidRDefault="00152A78" w:rsidP="00152A78">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Overlay_Design_–" w:history="1">
        <w:r w:rsidRPr="00EC376A">
          <w:rPr>
            <w:rStyle w:val="Hyperlink"/>
            <w:rFonts w:ascii="Arial" w:hAnsi="Arial" w:cs="Arial"/>
            <w:bCs/>
            <w:sz w:val="16"/>
            <w:szCs w:val="16"/>
          </w:rPr>
          <w:t>Overlay Design – Existing Flexible Pavement</w:t>
        </w:r>
      </w:hyperlink>
      <w:r>
        <w:rPr>
          <w:rFonts w:ascii="Arial" w:hAnsi="Arial" w:cs="Arial"/>
          <w:bCs/>
          <w:sz w:val="16"/>
          <w:szCs w:val="16"/>
        </w:rPr>
        <w:t xml:space="preserve"> – AASHTO 1993</w:t>
      </w:r>
    </w:p>
    <w:p w14:paraId="60D59C69" w14:textId="77777777" w:rsidR="00152A78" w:rsidRDefault="00152A78" w:rsidP="00152A78">
      <w:pPr>
        <w:rPr>
          <w:rFonts w:ascii="Arial" w:hAnsi="Arial"/>
        </w:rPr>
      </w:pPr>
    </w:p>
    <w:p w14:paraId="7DDE5AA2" w14:textId="27808011" w:rsidR="00152A78" w:rsidRDefault="00152A78" w:rsidP="00152A78">
      <w:pPr>
        <w:rPr>
          <w:rFonts w:ascii="Arial" w:hAnsi="Arial"/>
        </w:rPr>
      </w:pPr>
      <w:r>
        <w:rPr>
          <w:rFonts w:ascii="Arial" w:hAnsi="Arial"/>
        </w:rPr>
        <w:t xml:space="preserve">The following table presents numerous design parameters for materials commonly used by </w:t>
      </w:r>
      <w:r w:rsidR="008C7023">
        <w:rPr>
          <w:rFonts w:ascii="Arial" w:hAnsi="Arial"/>
        </w:rPr>
        <w:t>MDOT-SHA</w:t>
      </w:r>
      <w:r>
        <w:rPr>
          <w:rFonts w:ascii="Arial" w:hAnsi="Arial"/>
        </w:rPr>
        <w:t>.</w:t>
      </w:r>
    </w:p>
    <w:p w14:paraId="5647E7AB" w14:textId="77777777" w:rsidR="00152A78" w:rsidRDefault="00152A78" w:rsidP="00152A78">
      <w:pPr>
        <w:rPr>
          <w:rFonts w:ascii="Arial" w:hAnsi="Arial"/>
        </w:rPr>
      </w:pPr>
    </w:p>
    <w:tbl>
      <w:tblPr>
        <w:tblW w:w="13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7"/>
        <w:gridCol w:w="1340"/>
        <w:gridCol w:w="1519"/>
        <w:gridCol w:w="1162"/>
        <w:gridCol w:w="894"/>
        <w:gridCol w:w="984"/>
        <w:gridCol w:w="984"/>
        <w:gridCol w:w="1340"/>
        <w:gridCol w:w="1162"/>
        <w:gridCol w:w="1073"/>
      </w:tblGrid>
      <w:tr w:rsidR="00115674" w14:paraId="04115B3C" w14:textId="77777777" w:rsidTr="00D412CC">
        <w:trPr>
          <w:cantSplit/>
          <w:trHeight w:val="1718"/>
          <w:tblHeader/>
        </w:trPr>
        <w:tc>
          <w:tcPr>
            <w:tcW w:w="2857" w:type="dxa"/>
            <w:shd w:val="pct12" w:color="auto" w:fill="FFFFFF"/>
            <w:textDirection w:val="btLr"/>
            <w:vAlign w:val="center"/>
          </w:tcPr>
          <w:p w14:paraId="1F8F7DD7" w14:textId="505A710E" w:rsidR="00152A78" w:rsidRDefault="00152A78" w:rsidP="002F7593">
            <w:pPr>
              <w:pStyle w:val="TOC1"/>
              <w:ind w:left="144"/>
            </w:pPr>
            <w:r>
              <w:t>Material</w:t>
            </w:r>
          </w:p>
        </w:tc>
        <w:tc>
          <w:tcPr>
            <w:tcW w:w="1340" w:type="dxa"/>
            <w:shd w:val="pct12" w:color="auto" w:fill="FFFFFF"/>
            <w:textDirection w:val="btLr"/>
            <w:vAlign w:val="center"/>
          </w:tcPr>
          <w:p w14:paraId="5EDB581A" w14:textId="77777777" w:rsidR="00152A78" w:rsidRDefault="00152A78" w:rsidP="002F7593">
            <w:pPr>
              <w:ind w:left="144" w:right="113"/>
              <w:rPr>
                <w:rFonts w:ascii="Arial" w:hAnsi="Arial"/>
                <w:b/>
              </w:rPr>
            </w:pPr>
            <w:r>
              <w:rPr>
                <w:rFonts w:ascii="Arial" w:hAnsi="Arial"/>
                <w:b/>
              </w:rPr>
              <w:t>Design Use</w:t>
            </w:r>
          </w:p>
        </w:tc>
        <w:tc>
          <w:tcPr>
            <w:tcW w:w="1519" w:type="dxa"/>
            <w:shd w:val="pct12" w:color="auto" w:fill="FFFFFF"/>
            <w:textDirection w:val="btLr"/>
            <w:vAlign w:val="center"/>
          </w:tcPr>
          <w:p w14:paraId="1FCFC3BA" w14:textId="77777777" w:rsidR="00152A78" w:rsidRDefault="00152A78" w:rsidP="002F7593">
            <w:pPr>
              <w:ind w:left="144" w:right="113"/>
              <w:rPr>
                <w:rFonts w:ascii="Arial" w:hAnsi="Arial"/>
                <w:b/>
              </w:rPr>
            </w:pPr>
            <w:smartTag w:uri="urn:schemas-microsoft-com:office:smarttags" w:element="place">
              <w:smartTag w:uri="urn:schemas-microsoft-com:office:smarttags" w:element="PlaceName">
                <w:r>
                  <w:rPr>
                    <w:rFonts w:ascii="Arial" w:hAnsi="Arial"/>
                    <w:b/>
                  </w:rPr>
                  <w:t>Structural</w:t>
                </w:r>
              </w:smartTag>
              <w:r>
                <w:rPr>
                  <w:rFonts w:ascii="Arial" w:hAnsi="Arial"/>
                  <w:b/>
                </w:rPr>
                <w:t xml:space="preserve"> </w:t>
              </w:r>
              <w:smartTag w:uri="urn:schemas-microsoft-com:office:smarttags" w:element="PlaceName">
                <w:r>
                  <w:rPr>
                    <w:rFonts w:ascii="Arial" w:hAnsi="Arial"/>
                    <w:b/>
                  </w:rPr>
                  <w:t>Coefficient</w:t>
                </w:r>
              </w:smartTag>
              <w:r>
                <w:rPr>
                  <w:rFonts w:ascii="Arial" w:hAnsi="Arial"/>
                  <w:b/>
                </w:rPr>
                <w:t xml:space="preserve"> </w:t>
              </w:r>
              <w:smartTag w:uri="urn:schemas-microsoft-com:office:smarttags" w:element="PlaceType">
                <w:r>
                  <w:rPr>
                    <w:rFonts w:ascii="Arial" w:hAnsi="Arial"/>
                    <w:b/>
                  </w:rPr>
                  <w:t>Range</w:t>
                </w:r>
              </w:smartTag>
            </w:smartTag>
            <w:r>
              <w:rPr>
                <w:rFonts w:ascii="Arial" w:hAnsi="Arial"/>
                <w:b/>
              </w:rPr>
              <w:t xml:space="preserve"> for New Material </w:t>
            </w:r>
          </w:p>
        </w:tc>
        <w:tc>
          <w:tcPr>
            <w:tcW w:w="1162" w:type="dxa"/>
            <w:shd w:val="pct12" w:color="auto" w:fill="FFFFFF"/>
            <w:textDirection w:val="btLr"/>
            <w:vAlign w:val="center"/>
          </w:tcPr>
          <w:p w14:paraId="009467BA" w14:textId="77777777" w:rsidR="00152A78" w:rsidRDefault="00152A78" w:rsidP="002F7593">
            <w:pPr>
              <w:ind w:left="144" w:right="113"/>
              <w:rPr>
                <w:rFonts w:ascii="Arial" w:hAnsi="Arial"/>
                <w:b/>
              </w:rPr>
            </w:pPr>
            <w:r>
              <w:rPr>
                <w:rFonts w:ascii="Arial" w:hAnsi="Arial"/>
                <w:b/>
              </w:rPr>
              <w:t xml:space="preserve">Desired Structural Coefficient </w:t>
            </w:r>
          </w:p>
        </w:tc>
        <w:tc>
          <w:tcPr>
            <w:tcW w:w="894" w:type="dxa"/>
            <w:shd w:val="pct12" w:color="auto" w:fill="FFFFFF"/>
            <w:textDirection w:val="btLr"/>
            <w:vAlign w:val="center"/>
          </w:tcPr>
          <w:p w14:paraId="585C040A" w14:textId="77777777" w:rsidR="00152A78" w:rsidRDefault="00152A78" w:rsidP="002F7593">
            <w:pPr>
              <w:ind w:left="144" w:right="113"/>
              <w:rPr>
                <w:rFonts w:ascii="Arial" w:hAnsi="Arial"/>
                <w:b/>
              </w:rPr>
            </w:pPr>
            <w:r>
              <w:rPr>
                <w:rFonts w:ascii="Arial" w:hAnsi="Arial"/>
                <w:b/>
              </w:rPr>
              <w:t>Min. Lift Thickness</w:t>
            </w:r>
          </w:p>
        </w:tc>
        <w:tc>
          <w:tcPr>
            <w:tcW w:w="984" w:type="dxa"/>
            <w:shd w:val="pct12" w:color="auto" w:fill="FFFFFF"/>
            <w:textDirection w:val="btLr"/>
            <w:vAlign w:val="center"/>
          </w:tcPr>
          <w:p w14:paraId="5D13D9AF" w14:textId="77777777" w:rsidR="00152A78" w:rsidRDefault="00152A78" w:rsidP="002F7593">
            <w:pPr>
              <w:ind w:left="144" w:right="113"/>
              <w:rPr>
                <w:rFonts w:ascii="Arial" w:hAnsi="Arial"/>
                <w:b/>
              </w:rPr>
            </w:pPr>
            <w:r>
              <w:rPr>
                <w:rFonts w:ascii="Arial" w:hAnsi="Arial"/>
                <w:b/>
              </w:rPr>
              <w:t>Desired Lift Thickness</w:t>
            </w:r>
          </w:p>
        </w:tc>
        <w:tc>
          <w:tcPr>
            <w:tcW w:w="984" w:type="dxa"/>
            <w:shd w:val="pct12" w:color="auto" w:fill="FFFFFF"/>
            <w:textDirection w:val="btLr"/>
            <w:vAlign w:val="center"/>
          </w:tcPr>
          <w:p w14:paraId="5D930303" w14:textId="77777777" w:rsidR="00152A78" w:rsidRDefault="00152A78" w:rsidP="002F7593">
            <w:pPr>
              <w:ind w:left="144" w:right="113"/>
              <w:rPr>
                <w:rFonts w:ascii="Arial" w:hAnsi="Arial"/>
                <w:b/>
              </w:rPr>
            </w:pPr>
            <w:r>
              <w:rPr>
                <w:rFonts w:ascii="Arial" w:hAnsi="Arial"/>
                <w:b/>
              </w:rPr>
              <w:t>Max. Lift Thickness</w:t>
            </w:r>
          </w:p>
        </w:tc>
        <w:tc>
          <w:tcPr>
            <w:tcW w:w="1340" w:type="dxa"/>
            <w:shd w:val="pct12" w:color="auto" w:fill="FFFFFF"/>
            <w:textDirection w:val="btLr"/>
            <w:vAlign w:val="center"/>
          </w:tcPr>
          <w:p w14:paraId="6BE76E44" w14:textId="77777777" w:rsidR="00152A78" w:rsidRDefault="00152A78" w:rsidP="002F7593">
            <w:pPr>
              <w:ind w:left="144" w:right="113"/>
              <w:rPr>
                <w:rFonts w:ascii="Arial" w:hAnsi="Arial"/>
                <w:b/>
              </w:rPr>
            </w:pPr>
            <w:smartTag w:uri="urn:schemas-microsoft-com:office:smarttags" w:element="place">
              <w:smartTag w:uri="urn:schemas-microsoft-com:office:smarttags" w:element="PlaceName">
                <w:r>
                  <w:rPr>
                    <w:rFonts w:ascii="Arial" w:hAnsi="Arial"/>
                    <w:b/>
                  </w:rPr>
                  <w:t>Structural</w:t>
                </w:r>
              </w:smartTag>
              <w:r>
                <w:rPr>
                  <w:rFonts w:ascii="Arial" w:hAnsi="Arial"/>
                  <w:b/>
                </w:rPr>
                <w:t xml:space="preserve"> </w:t>
              </w:r>
              <w:smartTag w:uri="urn:schemas-microsoft-com:office:smarttags" w:element="PlaceName">
                <w:r>
                  <w:rPr>
                    <w:rFonts w:ascii="Arial" w:hAnsi="Arial"/>
                    <w:b/>
                  </w:rPr>
                  <w:t>Coefficient</w:t>
                </w:r>
              </w:smartTag>
              <w:r>
                <w:rPr>
                  <w:rFonts w:ascii="Arial" w:hAnsi="Arial"/>
                  <w:b/>
                </w:rPr>
                <w:t xml:space="preserve"> </w:t>
              </w:r>
              <w:smartTag w:uri="urn:schemas-microsoft-com:office:smarttags" w:element="PlaceType">
                <w:r>
                  <w:rPr>
                    <w:rFonts w:ascii="Arial" w:hAnsi="Arial"/>
                    <w:b/>
                  </w:rPr>
                  <w:t>Range</w:t>
                </w:r>
              </w:smartTag>
            </w:smartTag>
            <w:r>
              <w:rPr>
                <w:rFonts w:ascii="Arial" w:hAnsi="Arial"/>
                <w:b/>
              </w:rPr>
              <w:t xml:space="preserve"> After Deterioration</w:t>
            </w:r>
          </w:p>
        </w:tc>
        <w:tc>
          <w:tcPr>
            <w:tcW w:w="1162" w:type="dxa"/>
            <w:shd w:val="pct12" w:color="auto" w:fill="FFFFFF"/>
            <w:textDirection w:val="btLr"/>
            <w:vAlign w:val="center"/>
          </w:tcPr>
          <w:p w14:paraId="287E214A" w14:textId="77777777" w:rsidR="00152A78" w:rsidRDefault="00152A78" w:rsidP="002F7593">
            <w:pPr>
              <w:ind w:left="144" w:right="113"/>
              <w:rPr>
                <w:rFonts w:ascii="Arial" w:hAnsi="Arial"/>
                <w:b/>
              </w:rPr>
            </w:pPr>
            <w:r>
              <w:rPr>
                <w:rFonts w:ascii="Arial" w:hAnsi="Arial"/>
                <w:b/>
              </w:rPr>
              <w:t xml:space="preserve">Structural Coefficient for Deteriorated Material </w:t>
            </w:r>
          </w:p>
        </w:tc>
        <w:tc>
          <w:tcPr>
            <w:tcW w:w="1073" w:type="dxa"/>
            <w:shd w:val="pct12" w:color="auto" w:fill="FFFFFF"/>
            <w:textDirection w:val="btLr"/>
            <w:vAlign w:val="center"/>
          </w:tcPr>
          <w:p w14:paraId="09CFCDA8" w14:textId="77777777" w:rsidR="00152A78" w:rsidRDefault="00152A78" w:rsidP="002F7593">
            <w:pPr>
              <w:ind w:left="144" w:right="113"/>
              <w:rPr>
                <w:rFonts w:ascii="Arial" w:hAnsi="Arial"/>
                <w:b/>
              </w:rPr>
            </w:pPr>
            <w:r>
              <w:rPr>
                <w:rFonts w:ascii="Arial" w:hAnsi="Arial"/>
                <w:b/>
              </w:rPr>
              <w:t>Drainage Coefficient</w:t>
            </w:r>
          </w:p>
        </w:tc>
      </w:tr>
      <w:tr w:rsidR="00152A78" w14:paraId="2A555770" w14:textId="77777777" w:rsidTr="00D412CC">
        <w:tc>
          <w:tcPr>
            <w:tcW w:w="2857" w:type="dxa"/>
            <w:vAlign w:val="center"/>
          </w:tcPr>
          <w:p w14:paraId="28E5BEED" w14:textId="77777777" w:rsidR="00152A78" w:rsidRDefault="00152A78" w:rsidP="00152A78">
            <w:pPr>
              <w:rPr>
                <w:rFonts w:ascii="Arial" w:hAnsi="Arial"/>
              </w:rPr>
            </w:pPr>
            <w:r>
              <w:rPr>
                <w:rFonts w:ascii="Arial" w:hAnsi="Arial"/>
              </w:rPr>
              <w:t>PCC</w:t>
            </w:r>
          </w:p>
        </w:tc>
        <w:tc>
          <w:tcPr>
            <w:tcW w:w="1340" w:type="dxa"/>
            <w:vAlign w:val="center"/>
          </w:tcPr>
          <w:p w14:paraId="10DA516F" w14:textId="77777777" w:rsidR="00152A78" w:rsidRDefault="00152A78" w:rsidP="00152A78">
            <w:pPr>
              <w:jc w:val="center"/>
              <w:rPr>
                <w:rFonts w:ascii="Arial" w:hAnsi="Arial"/>
              </w:rPr>
            </w:pPr>
            <w:r>
              <w:rPr>
                <w:rFonts w:ascii="Arial" w:hAnsi="Arial"/>
              </w:rPr>
              <w:t>Surface</w:t>
            </w:r>
          </w:p>
        </w:tc>
        <w:tc>
          <w:tcPr>
            <w:tcW w:w="1519" w:type="dxa"/>
            <w:vAlign w:val="center"/>
          </w:tcPr>
          <w:p w14:paraId="2272BFCE" w14:textId="77777777" w:rsidR="00152A78" w:rsidRDefault="00152A78" w:rsidP="00152A78">
            <w:pPr>
              <w:jc w:val="center"/>
              <w:rPr>
                <w:rFonts w:ascii="Arial" w:hAnsi="Arial"/>
              </w:rPr>
            </w:pPr>
            <w:r>
              <w:rPr>
                <w:rFonts w:ascii="Arial" w:hAnsi="Arial"/>
              </w:rPr>
              <w:t>N/A</w:t>
            </w:r>
          </w:p>
        </w:tc>
        <w:tc>
          <w:tcPr>
            <w:tcW w:w="1162" w:type="dxa"/>
            <w:vAlign w:val="center"/>
          </w:tcPr>
          <w:p w14:paraId="27350952" w14:textId="77777777" w:rsidR="00152A78" w:rsidRDefault="00152A78" w:rsidP="00152A78">
            <w:pPr>
              <w:jc w:val="center"/>
              <w:rPr>
                <w:rFonts w:ascii="Arial" w:hAnsi="Arial"/>
              </w:rPr>
            </w:pPr>
            <w:r>
              <w:rPr>
                <w:rFonts w:ascii="Arial" w:hAnsi="Arial"/>
              </w:rPr>
              <w:t>N/A</w:t>
            </w:r>
          </w:p>
        </w:tc>
        <w:tc>
          <w:tcPr>
            <w:tcW w:w="894" w:type="dxa"/>
            <w:vAlign w:val="center"/>
          </w:tcPr>
          <w:p w14:paraId="38B34D35" w14:textId="38B014D5" w:rsidR="00152A78" w:rsidRDefault="00152A78" w:rsidP="00152A78">
            <w:pPr>
              <w:jc w:val="center"/>
              <w:rPr>
                <w:rFonts w:ascii="Arial" w:hAnsi="Arial"/>
              </w:rPr>
            </w:pPr>
            <w:r>
              <w:rPr>
                <w:rFonts w:ascii="Arial" w:hAnsi="Arial"/>
              </w:rPr>
              <w:t>6.0</w:t>
            </w:r>
            <w:r w:rsidR="00210549">
              <w:rPr>
                <w:rFonts w:ascii="Arial" w:hAnsi="Arial"/>
              </w:rPr>
              <w:t>"</w:t>
            </w:r>
          </w:p>
        </w:tc>
        <w:tc>
          <w:tcPr>
            <w:tcW w:w="984" w:type="dxa"/>
            <w:vAlign w:val="center"/>
          </w:tcPr>
          <w:p w14:paraId="51A5A97E" w14:textId="77777777" w:rsidR="00152A78" w:rsidRDefault="00152A78" w:rsidP="00152A78">
            <w:pPr>
              <w:jc w:val="center"/>
              <w:rPr>
                <w:rFonts w:ascii="Arial" w:hAnsi="Arial"/>
              </w:rPr>
            </w:pPr>
            <w:r>
              <w:rPr>
                <w:rFonts w:ascii="Arial" w:hAnsi="Arial"/>
              </w:rPr>
              <w:t>N/A</w:t>
            </w:r>
          </w:p>
        </w:tc>
        <w:tc>
          <w:tcPr>
            <w:tcW w:w="984" w:type="dxa"/>
            <w:vAlign w:val="center"/>
          </w:tcPr>
          <w:p w14:paraId="5B642C4D" w14:textId="1D675223" w:rsidR="00152A78" w:rsidRDefault="00152A78" w:rsidP="00152A78">
            <w:pPr>
              <w:jc w:val="center"/>
              <w:rPr>
                <w:rFonts w:ascii="Arial" w:hAnsi="Arial"/>
              </w:rPr>
            </w:pPr>
            <w:r>
              <w:rPr>
                <w:rFonts w:ascii="Arial" w:hAnsi="Arial"/>
              </w:rPr>
              <w:t>14.0</w:t>
            </w:r>
            <w:r w:rsidR="00210549">
              <w:rPr>
                <w:rFonts w:ascii="Arial" w:hAnsi="Arial"/>
              </w:rPr>
              <w:t>"</w:t>
            </w:r>
          </w:p>
        </w:tc>
        <w:tc>
          <w:tcPr>
            <w:tcW w:w="1340" w:type="dxa"/>
            <w:vAlign w:val="center"/>
          </w:tcPr>
          <w:p w14:paraId="2D046489" w14:textId="77777777" w:rsidR="00152A78" w:rsidRDefault="00152A78" w:rsidP="00152A78">
            <w:pPr>
              <w:jc w:val="center"/>
              <w:rPr>
                <w:rFonts w:ascii="Arial" w:hAnsi="Arial"/>
              </w:rPr>
            </w:pPr>
            <w:r>
              <w:rPr>
                <w:rFonts w:ascii="Arial" w:hAnsi="Arial"/>
              </w:rPr>
              <w:t>N/A</w:t>
            </w:r>
          </w:p>
        </w:tc>
        <w:tc>
          <w:tcPr>
            <w:tcW w:w="1162" w:type="dxa"/>
            <w:vAlign w:val="center"/>
          </w:tcPr>
          <w:p w14:paraId="1C919817" w14:textId="77777777" w:rsidR="00152A78" w:rsidRDefault="00152A78" w:rsidP="00152A78">
            <w:pPr>
              <w:jc w:val="center"/>
              <w:rPr>
                <w:rFonts w:ascii="Arial" w:hAnsi="Arial"/>
              </w:rPr>
            </w:pPr>
            <w:r>
              <w:rPr>
                <w:rFonts w:ascii="Arial" w:hAnsi="Arial"/>
              </w:rPr>
              <w:t>N/A</w:t>
            </w:r>
          </w:p>
        </w:tc>
        <w:tc>
          <w:tcPr>
            <w:tcW w:w="1073" w:type="dxa"/>
            <w:vAlign w:val="center"/>
          </w:tcPr>
          <w:p w14:paraId="1884664D" w14:textId="77777777" w:rsidR="00152A78" w:rsidRDefault="00152A78" w:rsidP="00152A78">
            <w:pPr>
              <w:jc w:val="center"/>
              <w:rPr>
                <w:rFonts w:ascii="Arial" w:hAnsi="Arial"/>
              </w:rPr>
            </w:pPr>
            <w:r>
              <w:rPr>
                <w:rFonts w:ascii="Arial" w:hAnsi="Arial"/>
              </w:rPr>
              <w:t>N/A</w:t>
            </w:r>
          </w:p>
        </w:tc>
      </w:tr>
      <w:tr w:rsidR="00152A78" w14:paraId="523F1275" w14:textId="77777777" w:rsidTr="00D412CC">
        <w:tc>
          <w:tcPr>
            <w:tcW w:w="2857" w:type="dxa"/>
            <w:vAlign w:val="center"/>
          </w:tcPr>
          <w:p w14:paraId="270837C2" w14:textId="77777777" w:rsidR="00152A78" w:rsidRDefault="00152A78" w:rsidP="00152A78">
            <w:pPr>
              <w:rPr>
                <w:rFonts w:ascii="Arial" w:hAnsi="Arial"/>
              </w:rPr>
            </w:pPr>
            <w:r>
              <w:rPr>
                <w:rFonts w:ascii="Arial" w:hAnsi="Arial"/>
              </w:rPr>
              <w:t xml:space="preserve">Break/Crack and Seat PCC </w:t>
            </w:r>
          </w:p>
        </w:tc>
        <w:tc>
          <w:tcPr>
            <w:tcW w:w="1340" w:type="dxa"/>
            <w:vAlign w:val="center"/>
          </w:tcPr>
          <w:p w14:paraId="014FDFAD" w14:textId="77777777" w:rsidR="00152A78" w:rsidRDefault="00152A78" w:rsidP="00152A78">
            <w:pPr>
              <w:jc w:val="center"/>
              <w:rPr>
                <w:rFonts w:ascii="Arial" w:hAnsi="Arial"/>
              </w:rPr>
            </w:pPr>
            <w:r>
              <w:rPr>
                <w:rFonts w:ascii="Arial" w:hAnsi="Arial"/>
              </w:rPr>
              <w:t>Base</w:t>
            </w:r>
          </w:p>
        </w:tc>
        <w:tc>
          <w:tcPr>
            <w:tcW w:w="1519" w:type="dxa"/>
            <w:vAlign w:val="center"/>
          </w:tcPr>
          <w:p w14:paraId="7044AD49" w14:textId="77777777" w:rsidR="00152A78" w:rsidRDefault="00152A78" w:rsidP="00152A78">
            <w:pPr>
              <w:jc w:val="center"/>
              <w:rPr>
                <w:rFonts w:ascii="Arial" w:hAnsi="Arial"/>
              </w:rPr>
            </w:pPr>
            <w:r>
              <w:rPr>
                <w:rFonts w:ascii="Arial" w:hAnsi="Arial"/>
              </w:rPr>
              <w:t>0.20 – 0.35</w:t>
            </w:r>
          </w:p>
        </w:tc>
        <w:tc>
          <w:tcPr>
            <w:tcW w:w="1162" w:type="dxa"/>
            <w:vAlign w:val="center"/>
          </w:tcPr>
          <w:p w14:paraId="15B8C7A1" w14:textId="77777777" w:rsidR="00152A78" w:rsidRDefault="00152A78" w:rsidP="00152A78">
            <w:pPr>
              <w:jc w:val="center"/>
              <w:rPr>
                <w:rFonts w:ascii="Arial" w:hAnsi="Arial"/>
              </w:rPr>
            </w:pPr>
            <w:r>
              <w:rPr>
                <w:rFonts w:ascii="Arial" w:hAnsi="Arial"/>
              </w:rPr>
              <w:t>0.25</w:t>
            </w:r>
          </w:p>
        </w:tc>
        <w:tc>
          <w:tcPr>
            <w:tcW w:w="894" w:type="dxa"/>
            <w:vAlign w:val="center"/>
          </w:tcPr>
          <w:p w14:paraId="6CCF1F1D" w14:textId="1FC6DA50" w:rsidR="00152A78" w:rsidRDefault="00152A78" w:rsidP="00152A78">
            <w:pPr>
              <w:jc w:val="center"/>
              <w:rPr>
                <w:rFonts w:ascii="Arial" w:hAnsi="Arial"/>
              </w:rPr>
            </w:pPr>
            <w:r>
              <w:rPr>
                <w:rFonts w:ascii="Arial" w:hAnsi="Arial"/>
              </w:rPr>
              <w:t>6.0</w:t>
            </w:r>
            <w:r w:rsidR="00210549">
              <w:rPr>
                <w:rFonts w:ascii="Arial" w:hAnsi="Arial"/>
              </w:rPr>
              <w:t>"</w:t>
            </w:r>
          </w:p>
        </w:tc>
        <w:tc>
          <w:tcPr>
            <w:tcW w:w="984" w:type="dxa"/>
            <w:vAlign w:val="center"/>
          </w:tcPr>
          <w:p w14:paraId="60E97B24" w14:textId="77777777" w:rsidR="00152A78" w:rsidRDefault="00152A78" w:rsidP="00152A78">
            <w:pPr>
              <w:jc w:val="center"/>
              <w:rPr>
                <w:rFonts w:ascii="Arial" w:hAnsi="Arial"/>
              </w:rPr>
            </w:pPr>
            <w:r>
              <w:rPr>
                <w:rFonts w:ascii="Arial" w:hAnsi="Arial"/>
              </w:rPr>
              <w:t>N/A</w:t>
            </w:r>
          </w:p>
        </w:tc>
        <w:tc>
          <w:tcPr>
            <w:tcW w:w="984" w:type="dxa"/>
            <w:vAlign w:val="center"/>
          </w:tcPr>
          <w:p w14:paraId="78260B96" w14:textId="2AB2017C" w:rsidR="00152A78" w:rsidRDefault="00152A78" w:rsidP="00152A78">
            <w:pPr>
              <w:jc w:val="center"/>
              <w:rPr>
                <w:rFonts w:ascii="Arial" w:hAnsi="Arial"/>
              </w:rPr>
            </w:pPr>
            <w:r>
              <w:rPr>
                <w:rFonts w:ascii="Arial" w:hAnsi="Arial"/>
              </w:rPr>
              <w:t>14.0</w:t>
            </w:r>
            <w:r w:rsidR="00210549">
              <w:rPr>
                <w:rFonts w:ascii="Arial" w:hAnsi="Arial"/>
              </w:rPr>
              <w:t>"</w:t>
            </w:r>
          </w:p>
        </w:tc>
        <w:tc>
          <w:tcPr>
            <w:tcW w:w="1340" w:type="dxa"/>
            <w:vAlign w:val="center"/>
          </w:tcPr>
          <w:p w14:paraId="66976ED4" w14:textId="77777777" w:rsidR="00152A78" w:rsidRDefault="00152A78" w:rsidP="00152A78">
            <w:pPr>
              <w:jc w:val="center"/>
              <w:rPr>
                <w:rFonts w:ascii="Arial" w:hAnsi="Arial"/>
              </w:rPr>
            </w:pPr>
            <w:r>
              <w:rPr>
                <w:rFonts w:ascii="Arial" w:hAnsi="Arial"/>
              </w:rPr>
              <w:t>N/A</w:t>
            </w:r>
          </w:p>
        </w:tc>
        <w:tc>
          <w:tcPr>
            <w:tcW w:w="1162" w:type="dxa"/>
            <w:vAlign w:val="center"/>
          </w:tcPr>
          <w:p w14:paraId="5A83A63D" w14:textId="77777777" w:rsidR="00152A78" w:rsidRDefault="00152A78" w:rsidP="00152A78">
            <w:pPr>
              <w:jc w:val="center"/>
              <w:rPr>
                <w:rFonts w:ascii="Arial" w:hAnsi="Arial"/>
              </w:rPr>
            </w:pPr>
            <w:r>
              <w:rPr>
                <w:rFonts w:ascii="Arial" w:hAnsi="Arial"/>
              </w:rPr>
              <w:t>N/A</w:t>
            </w:r>
          </w:p>
        </w:tc>
        <w:tc>
          <w:tcPr>
            <w:tcW w:w="1073" w:type="dxa"/>
            <w:vAlign w:val="center"/>
          </w:tcPr>
          <w:p w14:paraId="078D493B" w14:textId="77777777" w:rsidR="00152A78" w:rsidRDefault="00152A78" w:rsidP="00152A78">
            <w:pPr>
              <w:jc w:val="center"/>
              <w:rPr>
                <w:rFonts w:ascii="Arial" w:hAnsi="Arial"/>
              </w:rPr>
            </w:pPr>
            <w:r>
              <w:rPr>
                <w:rFonts w:ascii="Arial" w:hAnsi="Arial"/>
              </w:rPr>
              <w:t>1.0</w:t>
            </w:r>
          </w:p>
        </w:tc>
      </w:tr>
      <w:tr w:rsidR="00152A78" w14:paraId="5B3727D0" w14:textId="77777777" w:rsidTr="00D412CC">
        <w:tc>
          <w:tcPr>
            <w:tcW w:w="2857" w:type="dxa"/>
            <w:vAlign w:val="center"/>
          </w:tcPr>
          <w:p w14:paraId="58B3EAEB" w14:textId="09EFC466" w:rsidR="00152A78" w:rsidRDefault="00152A78" w:rsidP="00210549">
            <w:pPr>
              <w:rPr>
                <w:rFonts w:ascii="Arial" w:hAnsi="Arial"/>
              </w:rPr>
            </w:pPr>
            <w:r>
              <w:rPr>
                <w:rFonts w:ascii="Arial" w:hAnsi="Arial"/>
              </w:rPr>
              <w:t>Rubblized PCC</w:t>
            </w:r>
          </w:p>
        </w:tc>
        <w:tc>
          <w:tcPr>
            <w:tcW w:w="1340" w:type="dxa"/>
            <w:vAlign w:val="center"/>
          </w:tcPr>
          <w:p w14:paraId="0948201A" w14:textId="77777777" w:rsidR="00152A78" w:rsidRDefault="00152A78" w:rsidP="00152A78">
            <w:pPr>
              <w:jc w:val="center"/>
              <w:rPr>
                <w:rFonts w:ascii="Arial" w:hAnsi="Arial"/>
              </w:rPr>
            </w:pPr>
            <w:r>
              <w:rPr>
                <w:rFonts w:ascii="Arial" w:hAnsi="Arial"/>
              </w:rPr>
              <w:t>Base</w:t>
            </w:r>
          </w:p>
        </w:tc>
        <w:tc>
          <w:tcPr>
            <w:tcW w:w="1519" w:type="dxa"/>
            <w:vAlign w:val="center"/>
          </w:tcPr>
          <w:p w14:paraId="2F043A0C" w14:textId="77777777" w:rsidR="00152A78" w:rsidRDefault="00152A78" w:rsidP="00152A78">
            <w:pPr>
              <w:jc w:val="center"/>
              <w:rPr>
                <w:rFonts w:ascii="Arial" w:hAnsi="Arial"/>
              </w:rPr>
            </w:pPr>
            <w:r>
              <w:rPr>
                <w:rFonts w:ascii="Arial" w:hAnsi="Arial"/>
              </w:rPr>
              <w:t>0.15 – 0.30</w:t>
            </w:r>
          </w:p>
        </w:tc>
        <w:tc>
          <w:tcPr>
            <w:tcW w:w="1162" w:type="dxa"/>
            <w:vAlign w:val="center"/>
          </w:tcPr>
          <w:p w14:paraId="5033A577" w14:textId="77777777" w:rsidR="00152A78" w:rsidRDefault="00152A78" w:rsidP="00152A78">
            <w:pPr>
              <w:jc w:val="center"/>
              <w:rPr>
                <w:rFonts w:ascii="Arial" w:hAnsi="Arial"/>
              </w:rPr>
            </w:pPr>
            <w:r>
              <w:rPr>
                <w:rFonts w:ascii="Arial" w:hAnsi="Arial"/>
              </w:rPr>
              <w:t>0.20</w:t>
            </w:r>
          </w:p>
        </w:tc>
        <w:tc>
          <w:tcPr>
            <w:tcW w:w="894" w:type="dxa"/>
            <w:vAlign w:val="center"/>
          </w:tcPr>
          <w:p w14:paraId="685FAE87" w14:textId="4E4E2212" w:rsidR="00152A78" w:rsidRDefault="00152A78" w:rsidP="00152A78">
            <w:pPr>
              <w:jc w:val="center"/>
              <w:rPr>
                <w:rFonts w:ascii="Arial" w:hAnsi="Arial"/>
              </w:rPr>
            </w:pPr>
            <w:r>
              <w:rPr>
                <w:rFonts w:ascii="Arial" w:hAnsi="Arial"/>
              </w:rPr>
              <w:t>6.0</w:t>
            </w:r>
            <w:r w:rsidR="00210549">
              <w:rPr>
                <w:rFonts w:ascii="Arial" w:hAnsi="Arial"/>
              </w:rPr>
              <w:t>"</w:t>
            </w:r>
          </w:p>
        </w:tc>
        <w:tc>
          <w:tcPr>
            <w:tcW w:w="984" w:type="dxa"/>
            <w:vAlign w:val="center"/>
          </w:tcPr>
          <w:p w14:paraId="39B76B40" w14:textId="77777777" w:rsidR="00152A78" w:rsidRDefault="00152A78" w:rsidP="00152A78">
            <w:pPr>
              <w:jc w:val="center"/>
              <w:rPr>
                <w:rFonts w:ascii="Arial" w:hAnsi="Arial"/>
              </w:rPr>
            </w:pPr>
            <w:r>
              <w:rPr>
                <w:rFonts w:ascii="Arial" w:hAnsi="Arial"/>
              </w:rPr>
              <w:t>N/A</w:t>
            </w:r>
          </w:p>
        </w:tc>
        <w:tc>
          <w:tcPr>
            <w:tcW w:w="984" w:type="dxa"/>
            <w:vAlign w:val="center"/>
          </w:tcPr>
          <w:p w14:paraId="4C9A59E7" w14:textId="267DDC0A" w:rsidR="00152A78" w:rsidRDefault="00152A78" w:rsidP="00152A78">
            <w:pPr>
              <w:jc w:val="center"/>
              <w:rPr>
                <w:rFonts w:ascii="Arial" w:hAnsi="Arial"/>
              </w:rPr>
            </w:pPr>
            <w:r>
              <w:rPr>
                <w:rFonts w:ascii="Arial" w:hAnsi="Arial"/>
              </w:rPr>
              <w:t>14.0</w:t>
            </w:r>
            <w:r w:rsidR="00210549">
              <w:rPr>
                <w:rFonts w:ascii="Arial" w:hAnsi="Arial"/>
              </w:rPr>
              <w:t>"</w:t>
            </w:r>
          </w:p>
        </w:tc>
        <w:tc>
          <w:tcPr>
            <w:tcW w:w="1340" w:type="dxa"/>
            <w:vAlign w:val="center"/>
          </w:tcPr>
          <w:p w14:paraId="5877E316" w14:textId="77777777" w:rsidR="00152A78" w:rsidRDefault="00152A78" w:rsidP="00152A78">
            <w:pPr>
              <w:jc w:val="center"/>
              <w:rPr>
                <w:rFonts w:ascii="Arial" w:hAnsi="Arial"/>
              </w:rPr>
            </w:pPr>
            <w:r>
              <w:rPr>
                <w:rFonts w:ascii="Arial" w:hAnsi="Arial"/>
              </w:rPr>
              <w:t>N/A</w:t>
            </w:r>
          </w:p>
        </w:tc>
        <w:tc>
          <w:tcPr>
            <w:tcW w:w="1162" w:type="dxa"/>
            <w:vAlign w:val="center"/>
          </w:tcPr>
          <w:p w14:paraId="0A4F999D" w14:textId="77777777" w:rsidR="00152A78" w:rsidRDefault="00152A78" w:rsidP="00152A78">
            <w:pPr>
              <w:jc w:val="center"/>
              <w:rPr>
                <w:rFonts w:ascii="Arial" w:hAnsi="Arial"/>
              </w:rPr>
            </w:pPr>
            <w:r>
              <w:rPr>
                <w:rFonts w:ascii="Arial" w:hAnsi="Arial"/>
              </w:rPr>
              <w:t>N/A</w:t>
            </w:r>
          </w:p>
        </w:tc>
        <w:tc>
          <w:tcPr>
            <w:tcW w:w="1073" w:type="dxa"/>
            <w:vAlign w:val="center"/>
          </w:tcPr>
          <w:p w14:paraId="2AC4CE9D" w14:textId="77777777" w:rsidR="00152A78" w:rsidRDefault="00152A78" w:rsidP="00152A78">
            <w:pPr>
              <w:jc w:val="center"/>
              <w:rPr>
                <w:rFonts w:ascii="Arial" w:hAnsi="Arial"/>
              </w:rPr>
            </w:pPr>
            <w:r>
              <w:rPr>
                <w:rFonts w:ascii="Arial" w:hAnsi="Arial"/>
              </w:rPr>
              <w:t>1.0</w:t>
            </w:r>
          </w:p>
        </w:tc>
      </w:tr>
      <w:tr w:rsidR="00152A78" w14:paraId="1CF8B59F" w14:textId="77777777" w:rsidTr="00D412CC">
        <w:tc>
          <w:tcPr>
            <w:tcW w:w="2857" w:type="dxa"/>
            <w:vAlign w:val="center"/>
          </w:tcPr>
          <w:p w14:paraId="6DFF3B0A" w14:textId="77777777" w:rsidR="00152A78" w:rsidRDefault="00152A78" w:rsidP="00152A78">
            <w:pPr>
              <w:rPr>
                <w:rFonts w:ascii="Arial" w:hAnsi="Arial"/>
              </w:rPr>
            </w:pPr>
            <w:r>
              <w:rPr>
                <w:rFonts w:ascii="Arial" w:hAnsi="Arial"/>
              </w:rPr>
              <w:t>HMA Superpave 4.75 mm</w:t>
            </w:r>
          </w:p>
        </w:tc>
        <w:tc>
          <w:tcPr>
            <w:tcW w:w="1340" w:type="dxa"/>
            <w:vAlign w:val="center"/>
          </w:tcPr>
          <w:p w14:paraId="7388DEB9" w14:textId="25740C9A" w:rsidR="00152A78" w:rsidRDefault="00FA1E42" w:rsidP="00152A78">
            <w:pPr>
              <w:jc w:val="center"/>
              <w:rPr>
                <w:rFonts w:ascii="Arial" w:hAnsi="Arial"/>
              </w:rPr>
            </w:pPr>
            <w:r>
              <w:rPr>
                <w:rFonts w:ascii="Arial" w:hAnsi="Arial"/>
              </w:rPr>
              <w:t>W/L</w:t>
            </w:r>
          </w:p>
        </w:tc>
        <w:tc>
          <w:tcPr>
            <w:tcW w:w="1519" w:type="dxa"/>
            <w:vAlign w:val="center"/>
          </w:tcPr>
          <w:p w14:paraId="64D55538" w14:textId="77777777" w:rsidR="00152A78" w:rsidRDefault="00152A78" w:rsidP="00152A78">
            <w:pPr>
              <w:jc w:val="center"/>
              <w:rPr>
                <w:rFonts w:ascii="Arial" w:hAnsi="Arial"/>
              </w:rPr>
            </w:pPr>
            <w:r>
              <w:rPr>
                <w:rFonts w:ascii="Arial" w:hAnsi="Arial"/>
              </w:rPr>
              <w:t>0.44</w:t>
            </w:r>
          </w:p>
        </w:tc>
        <w:tc>
          <w:tcPr>
            <w:tcW w:w="1162" w:type="dxa"/>
            <w:vAlign w:val="center"/>
          </w:tcPr>
          <w:p w14:paraId="6733227A" w14:textId="77777777" w:rsidR="00152A78" w:rsidRDefault="00152A78" w:rsidP="00152A78">
            <w:pPr>
              <w:jc w:val="center"/>
              <w:rPr>
                <w:rFonts w:ascii="Arial" w:hAnsi="Arial"/>
              </w:rPr>
            </w:pPr>
            <w:r>
              <w:rPr>
                <w:rFonts w:ascii="Arial" w:hAnsi="Arial"/>
              </w:rPr>
              <w:t>0.44</w:t>
            </w:r>
          </w:p>
        </w:tc>
        <w:tc>
          <w:tcPr>
            <w:tcW w:w="894" w:type="dxa"/>
            <w:vAlign w:val="center"/>
          </w:tcPr>
          <w:p w14:paraId="2FBE9A0F" w14:textId="456F3AC2" w:rsidR="00152A78" w:rsidRDefault="00152A78" w:rsidP="00152A78">
            <w:pPr>
              <w:jc w:val="center"/>
              <w:rPr>
                <w:rFonts w:ascii="Arial" w:hAnsi="Arial"/>
              </w:rPr>
            </w:pPr>
            <w:r>
              <w:rPr>
                <w:rFonts w:ascii="Arial" w:hAnsi="Arial"/>
              </w:rPr>
              <w:t>0.5</w:t>
            </w:r>
            <w:r w:rsidR="00210549">
              <w:rPr>
                <w:rFonts w:ascii="Arial" w:hAnsi="Arial"/>
              </w:rPr>
              <w:t>"</w:t>
            </w:r>
          </w:p>
        </w:tc>
        <w:tc>
          <w:tcPr>
            <w:tcW w:w="984" w:type="dxa"/>
            <w:vAlign w:val="center"/>
          </w:tcPr>
          <w:p w14:paraId="3E28EEF7" w14:textId="572DF71F" w:rsidR="00152A78" w:rsidRDefault="00152A78" w:rsidP="00152A78">
            <w:pPr>
              <w:jc w:val="center"/>
              <w:rPr>
                <w:rFonts w:ascii="Arial" w:hAnsi="Arial"/>
              </w:rPr>
            </w:pPr>
            <w:r>
              <w:rPr>
                <w:rFonts w:ascii="Arial" w:hAnsi="Arial"/>
              </w:rPr>
              <w:t>0.75</w:t>
            </w:r>
            <w:r w:rsidR="00210549">
              <w:rPr>
                <w:rFonts w:ascii="Arial" w:hAnsi="Arial"/>
              </w:rPr>
              <w:t>"</w:t>
            </w:r>
          </w:p>
        </w:tc>
        <w:tc>
          <w:tcPr>
            <w:tcW w:w="984" w:type="dxa"/>
            <w:vAlign w:val="center"/>
          </w:tcPr>
          <w:p w14:paraId="43645871" w14:textId="196E4784" w:rsidR="00152A78" w:rsidRDefault="00152A78" w:rsidP="00152A78">
            <w:pPr>
              <w:jc w:val="center"/>
              <w:rPr>
                <w:rFonts w:ascii="Arial" w:hAnsi="Arial"/>
              </w:rPr>
            </w:pPr>
            <w:r>
              <w:rPr>
                <w:rFonts w:ascii="Arial" w:hAnsi="Arial"/>
              </w:rPr>
              <w:t>1.0</w:t>
            </w:r>
            <w:r w:rsidR="00210549">
              <w:rPr>
                <w:rFonts w:ascii="Arial" w:hAnsi="Arial"/>
              </w:rPr>
              <w:t>"</w:t>
            </w:r>
          </w:p>
        </w:tc>
        <w:tc>
          <w:tcPr>
            <w:tcW w:w="1340" w:type="dxa"/>
            <w:vAlign w:val="center"/>
          </w:tcPr>
          <w:p w14:paraId="7BA1B14D" w14:textId="77777777" w:rsidR="00152A78" w:rsidRDefault="00152A78" w:rsidP="00152A78">
            <w:pPr>
              <w:jc w:val="center"/>
              <w:rPr>
                <w:rFonts w:ascii="Arial" w:hAnsi="Arial"/>
              </w:rPr>
            </w:pPr>
            <w:r>
              <w:rPr>
                <w:rFonts w:ascii="Arial" w:hAnsi="Arial"/>
              </w:rPr>
              <w:t>0.3 – 0.44</w:t>
            </w:r>
          </w:p>
        </w:tc>
        <w:tc>
          <w:tcPr>
            <w:tcW w:w="1162" w:type="dxa"/>
            <w:vAlign w:val="center"/>
          </w:tcPr>
          <w:p w14:paraId="051BD767" w14:textId="77777777" w:rsidR="00152A78" w:rsidRDefault="00152A78" w:rsidP="00152A78">
            <w:pPr>
              <w:jc w:val="center"/>
              <w:rPr>
                <w:rFonts w:ascii="Arial" w:hAnsi="Arial"/>
              </w:rPr>
            </w:pPr>
            <w:r>
              <w:rPr>
                <w:rFonts w:ascii="Arial" w:hAnsi="Arial"/>
              </w:rPr>
              <w:t>0.38</w:t>
            </w:r>
          </w:p>
        </w:tc>
        <w:tc>
          <w:tcPr>
            <w:tcW w:w="1073" w:type="dxa"/>
            <w:vAlign w:val="center"/>
          </w:tcPr>
          <w:p w14:paraId="18234AC9" w14:textId="77777777" w:rsidR="00152A78" w:rsidRDefault="00152A78" w:rsidP="00152A78">
            <w:pPr>
              <w:jc w:val="center"/>
              <w:rPr>
                <w:rFonts w:ascii="Arial" w:hAnsi="Arial"/>
              </w:rPr>
            </w:pPr>
            <w:r>
              <w:rPr>
                <w:rFonts w:ascii="Arial" w:hAnsi="Arial"/>
              </w:rPr>
              <w:t>1.0</w:t>
            </w:r>
          </w:p>
        </w:tc>
      </w:tr>
      <w:tr w:rsidR="00152A78" w14:paraId="73DDE4AF" w14:textId="77777777" w:rsidTr="00D412CC">
        <w:tc>
          <w:tcPr>
            <w:tcW w:w="2857" w:type="dxa"/>
            <w:vAlign w:val="center"/>
          </w:tcPr>
          <w:p w14:paraId="0C5C5BDF" w14:textId="561BF4B0" w:rsidR="00152A78" w:rsidRDefault="00152A78" w:rsidP="00152A78">
            <w:pPr>
              <w:rPr>
                <w:rFonts w:ascii="Arial" w:hAnsi="Arial"/>
              </w:rPr>
            </w:pPr>
            <w:r>
              <w:rPr>
                <w:rFonts w:ascii="Arial" w:hAnsi="Arial"/>
              </w:rPr>
              <w:t xml:space="preserve">HMA Superpave 9.5 mm </w:t>
            </w:r>
            <w:r w:rsidR="00DB4495">
              <w:rPr>
                <w:rFonts w:ascii="Arial" w:hAnsi="Arial"/>
              </w:rPr>
              <w:t>Gap</w:t>
            </w:r>
            <w:r>
              <w:rPr>
                <w:rFonts w:ascii="Arial" w:hAnsi="Arial"/>
              </w:rPr>
              <w:t xml:space="preserve"> Graded</w:t>
            </w:r>
          </w:p>
        </w:tc>
        <w:tc>
          <w:tcPr>
            <w:tcW w:w="1340" w:type="dxa"/>
            <w:vAlign w:val="center"/>
          </w:tcPr>
          <w:p w14:paraId="4E3D3BF3" w14:textId="77777777" w:rsidR="00152A78" w:rsidRDefault="00152A78" w:rsidP="00152A78">
            <w:pPr>
              <w:jc w:val="center"/>
              <w:rPr>
                <w:rFonts w:ascii="Arial" w:hAnsi="Arial"/>
              </w:rPr>
            </w:pPr>
            <w:r>
              <w:rPr>
                <w:rFonts w:ascii="Arial" w:hAnsi="Arial"/>
              </w:rPr>
              <w:t>Surface</w:t>
            </w:r>
          </w:p>
        </w:tc>
        <w:tc>
          <w:tcPr>
            <w:tcW w:w="1519" w:type="dxa"/>
            <w:vAlign w:val="center"/>
          </w:tcPr>
          <w:p w14:paraId="1E31AD20" w14:textId="77777777" w:rsidR="00152A78" w:rsidRDefault="00152A78" w:rsidP="00152A78">
            <w:pPr>
              <w:jc w:val="center"/>
              <w:rPr>
                <w:rFonts w:ascii="Arial" w:hAnsi="Arial"/>
              </w:rPr>
            </w:pPr>
            <w:r>
              <w:rPr>
                <w:rFonts w:ascii="Arial" w:hAnsi="Arial"/>
              </w:rPr>
              <w:t>0.44</w:t>
            </w:r>
          </w:p>
        </w:tc>
        <w:tc>
          <w:tcPr>
            <w:tcW w:w="1162" w:type="dxa"/>
            <w:vAlign w:val="center"/>
          </w:tcPr>
          <w:p w14:paraId="72CB61EA" w14:textId="77777777" w:rsidR="00152A78" w:rsidRDefault="00152A78" w:rsidP="00152A78">
            <w:pPr>
              <w:jc w:val="center"/>
              <w:rPr>
                <w:rFonts w:ascii="Arial" w:hAnsi="Arial"/>
              </w:rPr>
            </w:pPr>
            <w:r>
              <w:rPr>
                <w:rFonts w:ascii="Arial" w:hAnsi="Arial"/>
              </w:rPr>
              <w:t>0.44</w:t>
            </w:r>
          </w:p>
        </w:tc>
        <w:tc>
          <w:tcPr>
            <w:tcW w:w="894" w:type="dxa"/>
            <w:vAlign w:val="center"/>
          </w:tcPr>
          <w:p w14:paraId="7F783E2C" w14:textId="36BA51F8" w:rsidR="00152A78" w:rsidRDefault="00152A78" w:rsidP="00152A78">
            <w:pPr>
              <w:jc w:val="center"/>
              <w:rPr>
                <w:rFonts w:ascii="Arial" w:hAnsi="Arial"/>
              </w:rPr>
            </w:pPr>
            <w:r>
              <w:rPr>
                <w:rFonts w:ascii="Arial" w:hAnsi="Arial"/>
              </w:rPr>
              <w:t>1.0</w:t>
            </w:r>
            <w:r w:rsidR="00210549">
              <w:rPr>
                <w:rFonts w:ascii="Arial" w:hAnsi="Arial"/>
              </w:rPr>
              <w:t>"</w:t>
            </w:r>
          </w:p>
        </w:tc>
        <w:tc>
          <w:tcPr>
            <w:tcW w:w="984" w:type="dxa"/>
            <w:vAlign w:val="center"/>
          </w:tcPr>
          <w:p w14:paraId="42F61B0A" w14:textId="24E767B8" w:rsidR="00152A78" w:rsidRDefault="00152A78" w:rsidP="00152A78">
            <w:pPr>
              <w:jc w:val="center"/>
              <w:rPr>
                <w:rFonts w:ascii="Arial" w:hAnsi="Arial"/>
              </w:rPr>
            </w:pPr>
            <w:r>
              <w:rPr>
                <w:rFonts w:ascii="Arial" w:hAnsi="Arial"/>
              </w:rPr>
              <w:t>1.5</w:t>
            </w:r>
            <w:r w:rsidR="00210549">
              <w:rPr>
                <w:rFonts w:ascii="Arial" w:hAnsi="Arial"/>
              </w:rPr>
              <w:t>"</w:t>
            </w:r>
          </w:p>
        </w:tc>
        <w:tc>
          <w:tcPr>
            <w:tcW w:w="984" w:type="dxa"/>
            <w:vAlign w:val="center"/>
          </w:tcPr>
          <w:p w14:paraId="76782E9D" w14:textId="5C82C267" w:rsidR="00152A78" w:rsidRDefault="00152A78" w:rsidP="00152A78">
            <w:pPr>
              <w:jc w:val="center"/>
              <w:rPr>
                <w:rFonts w:ascii="Arial" w:hAnsi="Arial"/>
              </w:rPr>
            </w:pPr>
            <w:r>
              <w:rPr>
                <w:rFonts w:ascii="Arial" w:hAnsi="Arial"/>
              </w:rPr>
              <w:t>1.5</w:t>
            </w:r>
            <w:r w:rsidR="00210549">
              <w:rPr>
                <w:rFonts w:ascii="Arial" w:hAnsi="Arial"/>
              </w:rPr>
              <w:t>"</w:t>
            </w:r>
          </w:p>
        </w:tc>
        <w:tc>
          <w:tcPr>
            <w:tcW w:w="1340" w:type="dxa"/>
            <w:vAlign w:val="center"/>
          </w:tcPr>
          <w:p w14:paraId="7BA13105" w14:textId="77777777" w:rsidR="00152A78" w:rsidRDefault="00152A78" w:rsidP="00152A78">
            <w:pPr>
              <w:jc w:val="center"/>
              <w:rPr>
                <w:rFonts w:ascii="Arial" w:hAnsi="Arial"/>
              </w:rPr>
            </w:pPr>
            <w:r>
              <w:rPr>
                <w:rFonts w:ascii="Arial" w:hAnsi="Arial"/>
              </w:rPr>
              <w:t>0.3 – 0.44</w:t>
            </w:r>
          </w:p>
        </w:tc>
        <w:tc>
          <w:tcPr>
            <w:tcW w:w="1162" w:type="dxa"/>
            <w:vAlign w:val="center"/>
          </w:tcPr>
          <w:p w14:paraId="71E293E9" w14:textId="77777777" w:rsidR="00152A78" w:rsidRDefault="00152A78" w:rsidP="00152A78">
            <w:pPr>
              <w:jc w:val="center"/>
              <w:rPr>
                <w:rFonts w:ascii="Arial" w:hAnsi="Arial"/>
              </w:rPr>
            </w:pPr>
            <w:r>
              <w:rPr>
                <w:rFonts w:ascii="Arial" w:hAnsi="Arial"/>
              </w:rPr>
              <w:t>0.38</w:t>
            </w:r>
          </w:p>
        </w:tc>
        <w:tc>
          <w:tcPr>
            <w:tcW w:w="1073" w:type="dxa"/>
            <w:vAlign w:val="center"/>
          </w:tcPr>
          <w:p w14:paraId="1C513EAB" w14:textId="77777777" w:rsidR="00152A78" w:rsidRDefault="00152A78" w:rsidP="00152A78">
            <w:pPr>
              <w:jc w:val="center"/>
              <w:rPr>
                <w:rFonts w:ascii="Arial" w:hAnsi="Arial"/>
              </w:rPr>
            </w:pPr>
            <w:r>
              <w:rPr>
                <w:rFonts w:ascii="Arial" w:hAnsi="Arial"/>
              </w:rPr>
              <w:t>1.0</w:t>
            </w:r>
          </w:p>
        </w:tc>
      </w:tr>
      <w:tr w:rsidR="00152A78" w14:paraId="18E24DC7" w14:textId="77777777" w:rsidTr="00D412CC">
        <w:tc>
          <w:tcPr>
            <w:tcW w:w="2857" w:type="dxa"/>
            <w:vAlign w:val="center"/>
          </w:tcPr>
          <w:p w14:paraId="229B011E" w14:textId="77777777" w:rsidR="00152A78" w:rsidRDefault="00152A78" w:rsidP="00152A78">
            <w:pPr>
              <w:rPr>
                <w:rFonts w:ascii="Arial" w:hAnsi="Arial"/>
              </w:rPr>
            </w:pPr>
            <w:r>
              <w:rPr>
                <w:rFonts w:ascii="Arial" w:hAnsi="Arial"/>
              </w:rPr>
              <w:t>HMA Superpave 9.5 mm</w:t>
            </w:r>
          </w:p>
        </w:tc>
        <w:tc>
          <w:tcPr>
            <w:tcW w:w="1340" w:type="dxa"/>
            <w:vAlign w:val="center"/>
          </w:tcPr>
          <w:p w14:paraId="2F8692F9" w14:textId="77777777" w:rsidR="00152A78" w:rsidRDefault="00152A78" w:rsidP="00152A78">
            <w:pPr>
              <w:jc w:val="center"/>
              <w:rPr>
                <w:rFonts w:ascii="Arial" w:hAnsi="Arial"/>
              </w:rPr>
            </w:pPr>
            <w:r>
              <w:rPr>
                <w:rFonts w:ascii="Arial" w:hAnsi="Arial"/>
              </w:rPr>
              <w:t>Surface, W/L</w:t>
            </w:r>
          </w:p>
        </w:tc>
        <w:tc>
          <w:tcPr>
            <w:tcW w:w="1519" w:type="dxa"/>
            <w:vAlign w:val="center"/>
          </w:tcPr>
          <w:p w14:paraId="58C12157" w14:textId="77777777" w:rsidR="00152A78" w:rsidRDefault="00152A78" w:rsidP="00152A78">
            <w:pPr>
              <w:jc w:val="center"/>
              <w:rPr>
                <w:rFonts w:ascii="Arial" w:hAnsi="Arial"/>
              </w:rPr>
            </w:pPr>
            <w:r>
              <w:rPr>
                <w:rFonts w:ascii="Arial" w:hAnsi="Arial"/>
              </w:rPr>
              <w:t>0.44</w:t>
            </w:r>
          </w:p>
        </w:tc>
        <w:tc>
          <w:tcPr>
            <w:tcW w:w="1162" w:type="dxa"/>
            <w:vAlign w:val="center"/>
          </w:tcPr>
          <w:p w14:paraId="0428DA01" w14:textId="77777777" w:rsidR="00152A78" w:rsidRDefault="00152A78" w:rsidP="00152A78">
            <w:pPr>
              <w:jc w:val="center"/>
              <w:rPr>
                <w:rFonts w:ascii="Arial" w:hAnsi="Arial"/>
              </w:rPr>
            </w:pPr>
            <w:r>
              <w:rPr>
                <w:rFonts w:ascii="Arial" w:hAnsi="Arial"/>
              </w:rPr>
              <w:t>0.44</w:t>
            </w:r>
          </w:p>
        </w:tc>
        <w:tc>
          <w:tcPr>
            <w:tcW w:w="894" w:type="dxa"/>
            <w:vAlign w:val="center"/>
          </w:tcPr>
          <w:p w14:paraId="2E401236" w14:textId="1F68CAFA" w:rsidR="00152A78" w:rsidRDefault="00152A78" w:rsidP="00152A78">
            <w:pPr>
              <w:jc w:val="center"/>
              <w:rPr>
                <w:rFonts w:ascii="Arial" w:hAnsi="Arial"/>
              </w:rPr>
            </w:pPr>
            <w:r>
              <w:rPr>
                <w:rFonts w:ascii="Arial" w:hAnsi="Arial"/>
              </w:rPr>
              <w:t>1.0</w:t>
            </w:r>
            <w:r w:rsidR="00210549">
              <w:rPr>
                <w:rFonts w:ascii="Arial" w:hAnsi="Arial"/>
              </w:rPr>
              <w:t>"</w:t>
            </w:r>
          </w:p>
        </w:tc>
        <w:tc>
          <w:tcPr>
            <w:tcW w:w="984" w:type="dxa"/>
            <w:vAlign w:val="center"/>
          </w:tcPr>
          <w:p w14:paraId="6B075DC8" w14:textId="123F9F55" w:rsidR="00152A78" w:rsidRDefault="00152A78" w:rsidP="00152A78">
            <w:pPr>
              <w:jc w:val="center"/>
              <w:rPr>
                <w:rFonts w:ascii="Arial" w:hAnsi="Arial"/>
              </w:rPr>
            </w:pPr>
            <w:r>
              <w:rPr>
                <w:rFonts w:ascii="Arial" w:hAnsi="Arial"/>
              </w:rPr>
              <w:t>1.5</w:t>
            </w:r>
            <w:r w:rsidR="00210549">
              <w:rPr>
                <w:rFonts w:ascii="Arial" w:hAnsi="Arial"/>
              </w:rPr>
              <w:t>"</w:t>
            </w:r>
          </w:p>
        </w:tc>
        <w:tc>
          <w:tcPr>
            <w:tcW w:w="984" w:type="dxa"/>
            <w:vAlign w:val="center"/>
          </w:tcPr>
          <w:p w14:paraId="14A5BC64" w14:textId="2DD0306F" w:rsidR="00152A78" w:rsidRDefault="00152A78" w:rsidP="00152A78">
            <w:pPr>
              <w:jc w:val="center"/>
              <w:rPr>
                <w:rFonts w:ascii="Arial" w:hAnsi="Arial"/>
              </w:rPr>
            </w:pPr>
            <w:r>
              <w:rPr>
                <w:rFonts w:ascii="Arial" w:hAnsi="Arial"/>
              </w:rPr>
              <w:t>2.0</w:t>
            </w:r>
            <w:r w:rsidR="00210549">
              <w:rPr>
                <w:rFonts w:ascii="Arial" w:hAnsi="Arial"/>
              </w:rPr>
              <w:t>"</w:t>
            </w:r>
          </w:p>
        </w:tc>
        <w:tc>
          <w:tcPr>
            <w:tcW w:w="1340" w:type="dxa"/>
            <w:vAlign w:val="center"/>
          </w:tcPr>
          <w:p w14:paraId="3539102F" w14:textId="77777777" w:rsidR="00152A78" w:rsidRDefault="00152A78" w:rsidP="00152A78">
            <w:pPr>
              <w:jc w:val="center"/>
              <w:rPr>
                <w:rFonts w:ascii="Arial" w:hAnsi="Arial"/>
              </w:rPr>
            </w:pPr>
            <w:r>
              <w:rPr>
                <w:rFonts w:ascii="Arial" w:hAnsi="Arial"/>
              </w:rPr>
              <w:t>0.3 – 0.44</w:t>
            </w:r>
          </w:p>
        </w:tc>
        <w:tc>
          <w:tcPr>
            <w:tcW w:w="1162" w:type="dxa"/>
            <w:vAlign w:val="center"/>
          </w:tcPr>
          <w:p w14:paraId="692EBC54" w14:textId="77777777" w:rsidR="00152A78" w:rsidRDefault="00152A78" w:rsidP="00152A78">
            <w:pPr>
              <w:jc w:val="center"/>
              <w:rPr>
                <w:rFonts w:ascii="Arial" w:hAnsi="Arial"/>
              </w:rPr>
            </w:pPr>
            <w:r>
              <w:rPr>
                <w:rFonts w:ascii="Arial" w:hAnsi="Arial"/>
              </w:rPr>
              <w:t>0.38</w:t>
            </w:r>
          </w:p>
        </w:tc>
        <w:tc>
          <w:tcPr>
            <w:tcW w:w="1073" w:type="dxa"/>
            <w:vAlign w:val="center"/>
          </w:tcPr>
          <w:p w14:paraId="40FBD9E0" w14:textId="77777777" w:rsidR="00152A78" w:rsidRDefault="00152A78" w:rsidP="00152A78">
            <w:pPr>
              <w:jc w:val="center"/>
              <w:rPr>
                <w:rFonts w:ascii="Arial" w:hAnsi="Arial"/>
              </w:rPr>
            </w:pPr>
            <w:r>
              <w:rPr>
                <w:rFonts w:ascii="Arial" w:hAnsi="Arial"/>
              </w:rPr>
              <w:t>1.0</w:t>
            </w:r>
          </w:p>
        </w:tc>
      </w:tr>
      <w:tr w:rsidR="00152A78" w14:paraId="403AC1A2" w14:textId="77777777" w:rsidTr="00D412CC">
        <w:tc>
          <w:tcPr>
            <w:tcW w:w="2857" w:type="dxa"/>
            <w:vAlign w:val="center"/>
          </w:tcPr>
          <w:p w14:paraId="3CCE983F" w14:textId="0986DE74" w:rsidR="00152A78" w:rsidRDefault="00152A78" w:rsidP="00152A78">
            <w:pPr>
              <w:rPr>
                <w:rFonts w:ascii="Arial" w:hAnsi="Arial"/>
              </w:rPr>
            </w:pPr>
            <w:r>
              <w:rPr>
                <w:rFonts w:ascii="Arial" w:hAnsi="Arial"/>
              </w:rPr>
              <w:t xml:space="preserve">HMA Superpave 12.5 mm </w:t>
            </w:r>
            <w:r w:rsidR="00DB4495">
              <w:rPr>
                <w:rFonts w:ascii="Arial" w:hAnsi="Arial"/>
              </w:rPr>
              <w:t>Gap</w:t>
            </w:r>
            <w:r>
              <w:rPr>
                <w:rFonts w:ascii="Arial" w:hAnsi="Arial"/>
              </w:rPr>
              <w:t xml:space="preserve"> Graded</w:t>
            </w:r>
          </w:p>
        </w:tc>
        <w:tc>
          <w:tcPr>
            <w:tcW w:w="1340" w:type="dxa"/>
            <w:vAlign w:val="center"/>
          </w:tcPr>
          <w:p w14:paraId="5CB37144" w14:textId="77777777" w:rsidR="00152A78" w:rsidRDefault="00152A78" w:rsidP="00152A78">
            <w:pPr>
              <w:jc w:val="center"/>
              <w:rPr>
                <w:rFonts w:ascii="Arial" w:hAnsi="Arial"/>
              </w:rPr>
            </w:pPr>
            <w:r>
              <w:rPr>
                <w:rFonts w:ascii="Arial" w:hAnsi="Arial"/>
              </w:rPr>
              <w:t>Surface</w:t>
            </w:r>
          </w:p>
        </w:tc>
        <w:tc>
          <w:tcPr>
            <w:tcW w:w="1519" w:type="dxa"/>
            <w:vAlign w:val="center"/>
          </w:tcPr>
          <w:p w14:paraId="6B0D295F" w14:textId="77777777" w:rsidR="00152A78" w:rsidRDefault="00152A78" w:rsidP="00152A78">
            <w:pPr>
              <w:jc w:val="center"/>
              <w:rPr>
                <w:rFonts w:ascii="Arial" w:hAnsi="Arial"/>
              </w:rPr>
            </w:pPr>
            <w:r>
              <w:rPr>
                <w:rFonts w:ascii="Arial" w:hAnsi="Arial"/>
              </w:rPr>
              <w:t>0.44</w:t>
            </w:r>
          </w:p>
        </w:tc>
        <w:tc>
          <w:tcPr>
            <w:tcW w:w="1162" w:type="dxa"/>
            <w:vAlign w:val="center"/>
          </w:tcPr>
          <w:p w14:paraId="72F92263" w14:textId="77777777" w:rsidR="00152A78" w:rsidRDefault="00152A78" w:rsidP="00152A78">
            <w:pPr>
              <w:jc w:val="center"/>
              <w:rPr>
                <w:rFonts w:ascii="Arial" w:hAnsi="Arial"/>
              </w:rPr>
            </w:pPr>
            <w:r>
              <w:rPr>
                <w:rFonts w:ascii="Arial" w:hAnsi="Arial"/>
              </w:rPr>
              <w:t>0.44</w:t>
            </w:r>
          </w:p>
        </w:tc>
        <w:tc>
          <w:tcPr>
            <w:tcW w:w="894" w:type="dxa"/>
            <w:vAlign w:val="center"/>
          </w:tcPr>
          <w:p w14:paraId="5AA919FD" w14:textId="26DEE0C7" w:rsidR="00152A78" w:rsidRDefault="00152A78" w:rsidP="00152A78">
            <w:pPr>
              <w:jc w:val="center"/>
              <w:rPr>
                <w:rFonts w:ascii="Arial" w:hAnsi="Arial"/>
              </w:rPr>
            </w:pPr>
            <w:r>
              <w:rPr>
                <w:rFonts w:ascii="Arial" w:hAnsi="Arial"/>
              </w:rPr>
              <w:t>1.5</w:t>
            </w:r>
            <w:r w:rsidR="00210549">
              <w:rPr>
                <w:rFonts w:ascii="Arial" w:hAnsi="Arial"/>
              </w:rPr>
              <w:t>"</w:t>
            </w:r>
          </w:p>
        </w:tc>
        <w:tc>
          <w:tcPr>
            <w:tcW w:w="984" w:type="dxa"/>
            <w:vAlign w:val="center"/>
          </w:tcPr>
          <w:p w14:paraId="2456D9A6" w14:textId="4F61EC96" w:rsidR="00152A78" w:rsidRDefault="00152A78" w:rsidP="00152A78">
            <w:pPr>
              <w:jc w:val="center"/>
              <w:rPr>
                <w:rFonts w:ascii="Arial" w:hAnsi="Arial"/>
              </w:rPr>
            </w:pPr>
            <w:r>
              <w:rPr>
                <w:rFonts w:ascii="Arial" w:hAnsi="Arial"/>
              </w:rPr>
              <w:t>2.0</w:t>
            </w:r>
            <w:r w:rsidR="00210549">
              <w:rPr>
                <w:rFonts w:ascii="Arial" w:hAnsi="Arial"/>
              </w:rPr>
              <w:t>"</w:t>
            </w:r>
          </w:p>
        </w:tc>
        <w:tc>
          <w:tcPr>
            <w:tcW w:w="984" w:type="dxa"/>
            <w:vAlign w:val="center"/>
          </w:tcPr>
          <w:p w14:paraId="32E88DDF" w14:textId="7ABE1C77" w:rsidR="00152A78" w:rsidRDefault="00152A78" w:rsidP="00152A78">
            <w:pPr>
              <w:jc w:val="center"/>
              <w:rPr>
                <w:rFonts w:ascii="Arial" w:hAnsi="Arial"/>
              </w:rPr>
            </w:pPr>
            <w:r>
              <w:rPr>
                <w:rFonts w:ascii="Arial" w:hAnsi="Arial"/>
              </w:rPr>
              <w:t>2.0</w:t>
            </w:r>
            <w:r w:rsidR="00210549">
              <w:rPr>
                <w:rFonts w:ascii="Arial" w:hAnsi="Arial"/>
              </w:rPr>
              <w:t>"</w:t>
            </w:r>
          </w:p>
        </w:tc>
        <w:tc>
          <w:tcPr>
            <w:tcW w:w="1340" w:type="dxa"/>
            <w:vAlign w:val="center"/>
          </w:tcPr>
          <w:p w14:paraId="1E977250" w14:textId="77777777" w:rsidR="00152A78" w:rsidRDefault="00152A78" w:rsidP="00152A78">
            <w:pPr>
              <w:jc w:val="center"/>
              <w:rPr>
                <w:rFonts w:ascii="Arial" w:hAnsi="Arial"/>
              </w:rPr>
            </w:pPr>
            <w:r>
              <w:rPr>
                <w:rFonts w:ascii="Arial" w:hAnsi="Arial"/>
              </w:rPr>
              <w:t>0.3 – 0.44</w:t>
            </w:r>
          </w:p>
        </w:tc>
        <w:tc>
          <w:tcPr>
            <w:tcW w:w="1162" w:type="dxa"/>
            <w:vAlign w:val="center"/>
          </w:tcPr>
          <w:p w14:paraId="330939C9" w14:textId="77777777" w:rsidR="00152A78" w:rsidRDefault="00152A78" w:rsidP="00152A78">
            <w:pPr>
              <w:jc w:val="center"/>
              <w:rPr>
                <w:rFonts w:ascii="Arial" w:hAnsi="Arial"/>
              </w:rPr>
            </w:pPr>
            <w:r>
              <w:rPr>
                <w:rFonts w:ascii="Arial" w:hAnsi="Arial"/>
              </w:rPr>
              <w:t>0.38</w:t>
            </w:r>
          </w:p>
        </w:tc>
        <w:tc>
          <w:tcPr>
            <w:tcW w:w="1073" w:type="dxa"/>
            <w:vAlign w:val="center"/>
          </w:tcPr>
          <w:p w14:paraId="03FA9BE1" w14:textId="77777777" w:rsidR="00152A78" w:rsidRDefault="00152A78" w:rsidP="00152A78">
            <w:pPr>
              <w:jc w:val="center"/>
              <w:rPr>
                <w:rFonts w:ascii="Arial" w:hAnsi="Arial"/>
              </w:rPr>
            </w:pPr>
            <w:r>
              <w:rPr>
                <w:rFonts w:ascii="Arial" w:hAnsi="Arial"/>
              </w:rPr>
              <w:t>1.0</w:t>
            </w:r>
          </w:p>
        </w:tc>
      </w:tr>
      <w:tr w:rsidR="00152A78" w14:paraId="461394B6" w14:textId="77777777" w:rsidTr="00D412CC">
        <w:tc>
          <w:tcPr>
            <w:tcW w:w="2857" w:type="dxa"/>
            <w:vAlign w:val="center"/>
          </w:tcPr>
          <w:p w14:paraId="292334DA" w14:textId="77777777" w:rsidR="00152A78" w:rsidRDefault="00152A78" w:rsidP="00152A78">
            <w:pPr>
              <w:rPr>
                <w:rFonts w:ascii="Arial" w:hAnsi="Arial"/>
              </w:rPr>
            </w:pPr>
            <w:r>
              <w:rPr>
                <w:rFonts w:ascii="Arial" w:hAnsi="Arial"/>
              </w:rPr>
              <w:t>HMA Superpave 12.5 mm</w:t>
            </w:r>
          </w:p>
        </w:tc>
        <w:tc>
          <w:tcPr>
            <w:tcW w:w="1340" w:type="dxa"/>
            <w:vAlign w:val="center"/>
          </w:tcPr>
          <w:p w14:paraId="46AF503C" w14:textId="77777777" w:rsidR="00152A78" w:rsidRDefault="00152A78" w:rsidP="00152A78">
            <w:pPr>
              <w:jc w:val="center"/>
              <w:rPr>
                <w:rFonts w:ascii="Arial" w:hAnsi="Arial"/>
              </w:rPr>
            </w:pPr>
            <w:r>
              <w:rPr>
                <w:rFonts w:ascii="Arial" w:hAnsi="Arial"/>
              </w:rPr>
              <w:t>Surface</w:t>
            </w:r>
          </w:p>
        </w:tc>
        <w:tc>
          <w:tcPr>
            <w:tcW w:w="1519" w:type="dxa"/>
            <w:vAlign w:val="center"/>
          </w:tcPr>
          <w:p w14:paraId="4EA5DABF" w14:textId="77777777" w:rsidR="00152A78" w:rsidRDefault="00152A78" w:rsidP="00152A78">
            <w:pPr>
              <w:jc w:val="center"/>
              <w:rPr>
                <w:rFonts w:ascii="Arial" w:hAnsi="Arial"/>
              </w:rPr>
            </w:pPr>
            <w:r>
              <w:rPr>
                <w:rFonts w:ascii="Arial" w:hAnsi="Arial"/>
              </w:rPr>
              <w:t>0.44</w:t>
            </w:r>
          </w:p>
        </w:tc>
        <w:tc>
          <w:tcPr>
            <w:tcW w:w="1162" w:type="dxa"/>
            <w:vAlign w:val="center"/>
          </w:tcPr>
          <w:p w14:paraId="4BC5C021" w14:textId="77777777" w:rsidR="00152A78" w:rsidRDefault="00152A78" w:rsidP="00152A78">
            <w:pPr>
              <w:jc w:val="center"/>
              <w:rPr>
                <w:rFonts w:ascii="Arial" w:hAnsi="Arial"/>
              </w:rPr>
            </w:pPr>
            <w:r>
              <w:rPr>
                <w:rFonts w:ascii="Arial" w:hAnsi="Arial"/>
              </w:rPr>
              <w:t>0.44</w:t>
            </w:r>
          </w:p>
        </w:tc>
        <w:tc>
          <w:tcPr>
            <w:tcW w:w="894" w:type="dxa"/>
            <w:vAlign w:val="center"/>
          </w:tcPr>
          <w:p w14:paraId="7C689DA8" w14:textId="6A570999" w:rsidR="00152A78" w:rsidRDefault="00152A78" w:rsidP="00152A78">
            <w:pPr>
              <w:jc w:val="center"/>
              <w:rPr>
                <w:rFonts w:ascii="Arial" w:hAnsi="Arial"/>
              </w:rPr>
            </w:pPr>
            <w:r>
              <w:rPr>
                <w:rFonts w:ascii="Arial" w:hAnsi="Arial"/>
              </w:rPr>
              <w:t>1.5</w:t>
            </w:r>
            <w:r w:rsidR="00210549">
              <w:rPr>
                <w:rFonts w:ascii="Arial" w:hAnsi="Arial"/>
              </w:rPr>
              <w:t>"</w:t>
            </w:r>
          </w:p>
        </w:tc>
        <w:tc>
          <w:tcPr>
            <w:tcW w:w="984" w:type="dxa"/>
            <w:vAlign w:val="center"/>
          </w:tcPr>
          <w:p w14:paraId="547536E8" w14:textId="281822E7" w:rsidR="00152A78" w:rsidRDefault="00152A78" w:rsidP="00152A78">
            <w:pPr>
              <w:jc w:val="center"/>
              <w:rPr>
                <w:rFonts w:ascii="Arial" w:hAnsi="Arial"/>
              </w:rPr>
            </w:pPr>
            <w:r>
              <w:rPr>
                <w:rFonts w:ascii="Arial" w:hAnsi="Arial"/>
              </w:rPr>
              <w:t>2.0</w:t>
            </w:r>
            <w:r w:rsidR="00210549">
              <w:rPr>
                <w:rFonts w:ascii="Arial" w:hAnsi="Arial"/>
              </w:rPr>
              <w:t>"</w:t>
            </w:r>
          </w:p>
        </w:tc>
        <w:tc>
          <w:tcPr>
            <w:tcW w:w="984" w:type="dxa"/>
            <w:vAlign w:val="center"/>
          </w:tcPr>
          <w:p w14:paraId="2FC84C4E" w14:textId="40FFB61C" w:rsidR="00152A78" w:rsidRDefault="00152A78" w:rsidP="00152A78">
            <w:pPr>
              <w:jc w:val="center"/>
              <w:rPr>
                <w:rFonts w:ascii="Arial" w:hAnsi="Arial"/>
              </w:rPr>
            </w:pPr>
            <w:r>
              <w:rPr>
                <w:rFonts w:ascii="Arial" w:hAnsi="Arial"/>
              </w:rPr>
              <w:t>3.0</w:t>
            </w:r>
            <w:r w:rsidR="00210549">
              <w:rPr>
                <w:rFonts w:ascii="Arial" w:hAnsi="Arial"/>
              </w:rPr>
              <w:t>"</w:t>
            </w:r>
          </w:p>
        </w:tc>
        <w:tc>
          <w:tcPr>
            <w:tcW w:w="1340" w:type="dxa"/>
            <w:vAlign w:val="center"/>
          </w:tcPr>
          <w:p w14:paraId="32242700" w14:textId="77777777" w:rsidR="00152A78" w:rsidRDefault="00152A78" w:rsidP="00152A78">
            <w:pPr>
              <w:jc w:val="center"/>
              <w:rPr>
                <w:rFonts w:ascii="Arial" w:hAnsi="Arial"/>
              </w:rPr>
            </w:pPr>
            <w:r>
              <w:rPr>
                <w:rFonts w:ascii="Arial" w:hAnsi="Arial"/>
              </w:rPr>
              <w:t>0.3 – 0.44</w:t>
            </w:r>
          </w:p>
        </w:tc>
        <w:tc>
          <w:tcPr>
            <w:tcW w:w="1162" w:type="dxa"/>
            <w:vAlign w:val="center"/>
          </w:tcPr>
          <w:p w14:paraId="2FF8FC99" w14:textId="77777777" w:rsidR="00152A78" w:rsidRDefault="00152A78" w:rsidP="00152A78">
            <w:pPr>
              <w:jc w:val="center"/>
              <w:rPr>
                <w:rFonts w:ascii="Arial" w:hAnsi="Arial"/>
              </w:rPr>
            </w:pPr>
            <w:r>
              <w:rPr>
                <w:rFonts w:ascii="Arial" w:hAnsi="Arial"/>
              </w:rPr>
              <w:t>0.38</w:t>
            </w:r>
          </w:p>
        </w:tc>
        <w:tc>
          <w:tcPr>
            <w:tcW w:w="1073" w:type="dxa"/>
            <w:vAlign w:val="center"/>
          </w:tcPr>
          <w:p w14:paraId="7DFF4C00" w14:textId="77777777" w:rsidR="00152A78" w:rsidRDefault="00152A78" w:rsidP="00152A78">
            <w:pPr>
              <w:jc w:val="center"/>
              <w:rPr>
                <w:rFonts w:ascii="Arial" w:hAnsi="Arial"/>
              </w:rPr>
            </w:pPr>
            <w:r>
              <w:rPr>
                <w:rFonts w:ascii="Arial" w:hAnsi="Arial"/>
              </w:rPr>
              <w:t>1.0</w:t>
            </w:r>
          </w:p>
        </w:tc>
      </w:tr>
      <w:tr w:rsidR="00152A78" w14:paraId="40B0439D" w14:textId="77777777" w:rsidTr="00D412CC">
        <w:tc>
          <w:tcPr>
            <w:tcW w:w="2857" w:type="dxa"/>
            <w:vAlign w:val="center"/>
          </w:tcPr>
          <w:p w14:paraId="783CD591" w14:textId="1610CBCE" w:rsidR="00152A78" w:rsidRDefault="00152A78" w:rsidP="00152A78">
            <w:pPr>
              <w:rPr>
                <w:rFonts w:ascii="Arial" w:hAnsi="Arial"/>
              </w:rPr>
            </w:pPr>
            <w:r>
              <w:rPr>
                <w:rFonts w:ascii="Arial" w:hAnsi="Arial"/>
              </w:rPr>
              <w:t xml:space="preserve">HMA Superpave 19.0 mm </w:t>
            </w:r>
            <w:r w:rsidR="00DB4495">
              <w:rPr>
                <w:rFonts w:ascii="Arial" w:hAnsi="Arial"/>
              </w:rPr>
              <w:t>Gap</w:t>
            </w:r>
            <w:r>
              <w:rPr>
                <w:rFonts w:ascii="Arial" w:hAnsi="Arial"/>
              </w:rPr>
              <w:t xml:space="preserve"> Graded</w:t>
            </w:r>
          </w:p>
        </w:tc>
        <w:tc>
          <w:tcPr>
            <w:tcW w:w="1340" w:type="dxa"/>
            <w:vAlign w:val="center"/>
          </w:tcPr>
          <w:p w14:paraId="50DA1881" w14:textId="77777777" w:rsidR="00152A78" w:rsidRDefault="00152A78" w:rsidP="00152A78">
            <w:pPr>
              <w:jc w:val="center"/>
              <w:rPr>
                <w:rFonts w:ascii="Arial" w:hAnsi="Arial"/>
              </w:rPr>
            </w:pPr>
            <w:r>
              <w:rPr>
                <w:rFonts w:ascii="Arial" w:hAnsi="Arial"/>
              </w:rPr>
              <w:t>Surface</w:t>
            </w:r>
          </w:p>
        </w:tc>
        <w:tc>
          <w:tcPr>
            <w:tcW w:w="1519" w:type="dxa"/>
            <w:vAlign w:val="center"/>
          </w:tcPr>
          <w:p w14:paraId="59EAFE61" w14:textId="77777777" w:rsidR="00152A78" w:rsidRDefault="00152A78" w:rsidP="00152A78">
            <w:pPr>
              <w:jc w:val="center"/>
              <w:rPr>
                <w:rFonts w:ascii="Arial" w:hAnsi="Arial"/>
              </w:rPr>
            </w:pPr>
            <w:r>
              <w:rPr>
                <w:rFonts w:ascii="Arial" w:hAnsi="Arial"/>
              </w:rPr>
              <w:t>0.44</w:t>
            </w:r>
          </w:p>
        </w:tc>
        <w:tc>
          <w:tcPr>
            <w:tcW w:w="1162" w:type="dxa"/>
            <w:vAlign w:val="center"/>
          </w:tcPr>
          <w:p w14:paraId="272DB033" w14:textId="77777777" w:rsidR="00152A78" w:rsidRDefault="00152A78" w:rsidP="00152A78">
            <w:pPr>
              <w:jc w:val="center"/>
              <w:rPr>
                <w:rFonts w:ascii="Arial" w:hAnsi="Arial"/>
              </w:rPr>
            </w:pPr>
            <w:r>
              <w:rPr>
                <w:rFonts w:ascii="Arial" w:hAnsi="Arial"/>
              </w:rPr>
              <w:t>0.44</w:t>
            </w:r>
          </w:p>
        </w:tc>
        <w:tc>
          <w:tcPr>
            <w:tcW w:w="894" w:type="dxa"/>
            <w:vAlign w:val="center"/>
          </w:tcPr>
          <w:p w14:paraId="1ECD49A7" w14:textId="2CFA20DF" w:rsidR="00152A78" w:rsidRDefault="00152A78" w:rsidP="00152A78">
            <w:pPr>
              <w:jc w:val="center"/>
              <w:rPr>
                <w:rFonts w:ascii="Arial" w:hAnsi="Arial"/>
              </w:rPr>
            </w:pPr>
            <w:r>
              <w:rPr>
                <w:rFonts w:ascii="Arial" w:hAnsi="Arial"/>
              </w:rPr>
              <w:t>2.0</w:t>
            </w:r>
            <w:r w:rsidR="00210549">
              <w:rPr>
                <w:rFonts w:ascii="Arial" w:hAnsi="Arial"/>
              </w:rPr>
              <w:t>"</w:t>
            </w:r>
          </w:p>
        </w:tc>
        <w:tc>
          <w:tcPr>
            <w:tcW w:w="984" w:type="dxa"/>
            <w:vAlign w:val="center"/>
          </w:tcPr>
          <w:p w14:paraId="448F5D31" w14:textId="12CBD68B" w:rsidR="00152A78" w:rsidRDefault="00152A78" w:rsidP="00152A78">
            <w:pPr>
              <w:jc w:val="center"/>
              <w:rPr>
                <w:rFonts w:ascii="Arial" w:hAnsi="Arial"/>
              </w:rPr>
            </w:pPr>
            <w:r>
              <w:rPr>
                <w:rFonts w:ascii="Arial" w:hAnsi="Arial"/>
              </w:rPr>
              <w:t>2.5</w:t>
            </w:r>
            <w:r w:rsidR="00210549">
              <w:rPr>
                <w:rFonts w:ascii="Arial" w:hAnsi="Arial"/>
              </w:rPr>
              <w:t>"</w:t>
            </w:r>
          </w:p>
        </w:tc>
        <w:tc>
          <w:tcPr>
            <w:tcW w:w="984" w:type="dxa"/>
            <w:vAlign w:val="center"/>
          </w:tcPr>
          <w:p w14:paraId="4AF6EC41" w14:textId="30F24992" w:rsidR="00152A78" w:rsidRDefault="00152A78" w:rsidP="00152A78">
            <w:pPr>
              <w:jc w:val="center"/>
              <w:rPr>
                <w:rFonts w:ascii="Arial" w:hAnsi="Arial"/>
              </w:rPr>
            </w:pPr>
            <w:r>
              <w:rPr>
                <w:rFonts w:ascii="Arial" w:hAnsi="Arial"/>
              </w:rPr>
              <w:t>2.5</w:t>
            </w:r>
            <w:r w:rsidR="00210549">
              <w:rPr>
                <w:rFonts w:ascii="Arial" w:hAnsi="Arial"/>
              </w:rPr>
              <w:t>"</w:t>
            </w:r>
          </w:p>
        </w:tc>
        <w:tc>
          <w:tcPr>
            <w:tcW w:w="1340" w:type="dxa"/>
            <w:vAlign w:val="center"/>
          </w:tcPr>
          <w:p w14:paraId="7DD25014" w14:textId="77777777" w:rsidR="00152A78" w:rsidRDefault="00152A78" w:rsidP="00152A78">
            <w:pPr>
              <w:jc w:val="center"/>
              <w:rPr>
                <w:rFonts w:ascii="Arial" w:hAnsi="Arial"/>
              </w:rPr>
            </w:pPr>
            <w:r>
              <w:rPr>
                <w:rFonts w:ascii="Arial" w:hAnsi="Arial"/>
              </w:rPr>
              <w:t>0.3 – 0.44</w:t>
            </w:r>
          </w:p>
        </w:tc>
        <w:tc>
          <w:tcPr>
            <w:tcW w:w="1162" w:type="dxa"/>
            <w:vAlign w:val="center"/>
          </w:tcPr>
          <w:p w14:paraId="085700A3" w14:textId="77777777" w:rsidR="00152A78" w:rsidRDefault="00152A78" w:rsidP="00152A78">
            <w:pPr>
              <w:jc w:val="center"/>
              <w:rPr>
                <w:rFonts w:ascii="Arial" w:hAnsi="Arial"/>
              </w:rPr>
            </w:pPr>
            <w:r>
              <w:rPr>
                <w:rFonts w:ascii="Arial" w:hAnsi="Arial"/>
              </w:rPr>
              <w:t>0.38</w:t>
            </w:r>
          </w:p>
        </w:tc>
        <w:tc>
          <w:tcPr>
            <w:tcW w:w="1073" w:type="dxa"/>
            <w:vAlign w:val="center"/>
          </w:tcPr>
          <w:p w14:paraId="0CC019F3" w14:textId="77777777" w:rsidR="00152A78" w:rsidRDefault="00152A78" w:rsidP="00152A78">
            <w:pPr>
              <w:jc w:val="center"/>
              <w:rPr>
                <w:rFonts w:ascii="Arial" w:hAnsi="Arial"/>
              </w:rPr>
            </w:pPr>
            <w:r>
              <w:rPr>
                <w:rFonts w:ascii="Arial" w:hAnsi="Arial"/>
              </w:rPr>
              <w:t>1.0</w:t>
            </w:r>
          </w:p>
        </w:tc>
      </w:tr>
      <w:tr w:rsidR="00152A78" w14:paraId="077807F2" w14:textId="77777777" w:rsidTr="00D412CC">
        <w:tc>
          <w:tcPr>
            <w:tcW w:w="2857" w:type="dxa"/>
            <w:vAlign w:val="center"/>
          </w:tcPr>
          <w:p w14:paraId="451EAAB0" w14:textId="77777777" w:rsidR="00152A78" w:rsidRDefault="00152A78" w:rsidP="00152A78">
            <w:pPr>
              <w:rPr>
                <w:rFonts w:ascii="Arial" w:hAnsi="Arial"/>
              </w:rPr>
            </w:pPr>
            <w:r>
              <w:rPr>
                <w:rFonts w:ascii="Arial" w:hAnsi="Arial"/>
              </w:rPr>
              <w:t xml:space="preserve">HMA Superpave 19.0 mm </w:t>
            </w:r>
          </w:p>
        </w:tc>
        <w:tc>
          <w:tcPr>
            <w:tcW w:w="1340" w:type="dxa"/>
            <w:vAlign w:val="center"/>
          </w:tcPr>
          <w:p w14:paraId="4486F4CF" w14:textId="77777777" w:rsidR="00152A78" w:rsidRDefault="00152A78" w:rsidP="00152A78">
            <w:pPr>
              <w:jc w:val="center"/>
              <w:rPr>
                <w:rFonts w:ascii="Arial" w:hAnsi="Arial"/>
              </w:rPr>
            </w:pPr>
            <w:r>
              <w:rPr>
                <w:rFonts w:ascii="Arial" w:hAnsi="Arial"/>
              </w:rPr>
              <w:t>Base, Surface</w:t>
            </w:r>
          </w:p>
        </w:tc>
        <w:tc>
          <w:tcPr>
            <w:tcW w:w="1519" w:type="dxa"/>
            <w:vAlign w:val="center"/>
          </w:tcPr>
          <w:p w14:paraId="086A7EFF" w14:textId="77777777" w:rsidR="00152A78" w:rsidRDefault="00152A78" w:rsidP="00152A78">
            <w:pPr>
              <w:jc w:val="center"/>
              <w:rPr>
                <w:rFonts w:ascii="Arial" w:hAnsi="Arial"/>
              </w:rPr>
            </w:pPr>
            <w:r>
              <w:rPr>
                <w:rFonts w:ascii="Arial" w:hAnsi="Arial"/>
              </w:rPr>
              <w:t>0.40</w:t>
            </w:r>
          </w:p>
        </w:tc>
        <w:tc>
          <w:tcPr>
            <w:tcW w:w="1162" w:type="dxa"/>
            <w:vAlign w:val="center"/>
          </w:tcPr>
          <w:p w14:paraId="7896AF49" w14:textId="77777777" w:rsidR="00152A78" w:rsidRDefault="00152A78" w:rsidP="00152A78">
            <w:pPr>
              <w:jc w:val="center"/>
              <w:rPr>
                <w:rFonts w:ascii="Arial" w:hAnsi="Arial"/>
              </w:rPr>
            </w:pPr>
            <w:r>
              <w:rPr>
                <w:rFonts w:ascii="Arial" w:hAnsi="Arial"/>
              </w:rPr>
              <w:t>0.40</w:t>
            </w:r>
          </w:p>
        </w:tc>
        <w:tc>
          <w:tcPr>
            <w:tcW w:w="894" w:type="dxa"/>
            <w:vAlign w:val="center"/>
          </w:tcPr>
          <w:p w14:paraId="47CF7BA1" w14:textId="59FD2CEC" w:rsidR="00152A78" w:rsidRDefault="00152A78" w:rsidP="00152A78">
            <w:pPr>
              <w:jc w:val="center"/>
              <w:rPr>
                <w:rFonts w:ascii="Arial" w:hAnsi="Arial"/>
              </w:rPr>
            </w:pPr>
            <w:r>
              <w:rPr>
                <w:rFonts w:ascii="Arial" w:hAnsi="Arial"/>
              </w:rPr>
              <w:t>2.0</w:t>
            </w:r>
            <w:r w:rsidR="00210549">
              <w:rPr>
                <w:rFonts w:ascii="Arial" w:hAnsi="Arial"/>
              </w:rPr>
              <w:t>"</w:t>
            </w:r>
          </w:p>
        </w:tc>
        <w:tc>
          <w:tcPr>
            <w:tcW w:w="984" w:type="dxa"/>
            <w:vAlign w:val="center"/>
          </w:tcPr>
          <w:p w14:paraId="7DC6AFEB" w14:textId="60B12D21" w:rsidR="00152A78" w:rsidRDefault="00152A78" w:rsidP="00152A78">
            <w:pPr>
              <w:jc w:val="center"/>
              <w:rPr>
                <w:rFonts w:ascii="Arial" w:hAnsi="Arial"/>
              </w:rPr>
            </w:pPr>
            <w:r>
              <w:rPr>
                <w:rFonts w:ascii="Arial" w:hAnsi="Arial"/>
              </w:rPr>
              <w:t>3.0</w:t>
            </w:r>
            <w:r w:rsidR="00210549">
              <w:rPr>
                <w:rFonts w:ascii="Arial" w:hAnsi="Arial"/>
              </w:rPr>
              <w:t>"</w:t>
            </w:r>
          </w:p>
        </w:tc>
        <w:tc>
          <w:tcPr>
            <w:tcW w:w="984" w:type="dxa"/>
            <w:vAlign w:val="center"/>
          </w:tcPr>
          <w:p w14:paraId="4A57C1CE" w14:textId="081D2B33" w:rsidR="00152A78" w:rsidRDefault="00152A78" w:rsidP="00152A78">
            <w:pPr>
              <w:jc w:val="center"/>
              <w:rPr>
                <w:rFonts w:ascii="Arial" w:hAnsi="Arial"/>
              </w:rPr>
            </w:pPr>
            <w:r>
              <w:rPr>
                <w:rFonts w:ascii="Arial" w:hAnsi="Arial"/>
              </w:rPr>
              <w:t>4.0</w:t>
            </w:r>
            <w:r w:rsidR="00210549">
              <w:rPr>
                <w:rFonts w:ascii="Arial" w:hAnsi="Arial"/>
              </w:rPr>
              <w:t>"</w:t>
            </w:r>
          </w:p>
        </w:tc>
        <w:tc>
          <w:tcPr>
            <w:tcW w:w="1340" w:type="dxa"/>
            <w:vAlign w:val="center"/>
          </w:tcPr>
          <w:p w14:paraId="23B2EA5B" w14:textId="77777777" w:rsidR="00152A78" w:rsidRDefault="00152A78" w:rsidP="00152A78">
            <w:pPr>
              <w:jc w:val="center"/>
              <w:rPr>
                <w:rFonts w:ascii="Arial" w:hAnsi="Arial"/>
              </w:rPr>
            </w:pPr>
            <w:r>
              <w:rPr>
                <w:rFonts w:ascii="Arial" w:hAnsi="Arial"/>
              </w:rPr>
              <w:t>0.3 – 0.40</w:t>
            </w:r>
          </w:p>
        </w:tc>
        <w:tc>
          <w:tcPr>
            <w:tcW w:w="1162" w:type="dxa"/>
            <w:vAlign w:val="center"/>
          </w:tcPr>
          <w:p w14:paraId="21D57BD4" w14:textId="77777777" w:rsidR="00152A78" w:rsidRDefault="00152A78" w:rsidP="00152A78">
            <w:pPr>
              <w:jc w:val="center"/>
              <w:rPr>
                <w:rFonts w:ascii="Arial" w:hAnsi="Arial"/>
              </w:rPr>
            </w:pPr>
            <w:r>
              <w:rPr>
                <w:rFonts w:ascii="Arial" w:hAnsi="Arial"/>
              </w:rPr>
              <w:t>0.36</w:t>
            </w:r>
          </w:p>
        </w:tc>
        <w:tc>
          <w:tcPr>
            <w:tcW w:w="1073" w:type="dxa"/>
            <w:vAlign w:val="center"/>
          </w:tcPr>
          <w:p w14:paraId="15FC3488" w14:textId="77777777" w:rsidR="00152A78" w:rsidRDefault="00152A78" w:rsidP="00152A78">
            <w:pPr>
              <w:jc w:val="center"/>
              <w:rPr>
                <w:rFonts w:ascii="Arial" w:hAnsi="Arial"/>
              </w:rPr>
            </w:pPr>
            <w:r>
              <w:rPr>
                <w:rFonts w:ascii="Arial" w:hAnsi="Arial"/>
              </w:rPr>
              <w:t>1.0</w:t>
            </w:r>
          </w:p>
        </w:tc>
      </w:tr>
      <w:tr w:rsidR="00152A78" w14:paraId="49E737B5" w14:textId="77777777" w:rsidTr="00D412CC">
        <w:tc>
          <w:tcPr>
            <w:tcW w:w="2857" w:type="dxa"/>
            <w:vAlign w:val="center"/>
          </w:tcPr>
          <w:p w14:paraId="22D58DC8" w14:textId="77777777" w:rsidR="00152A78" w:rsidRDefault="00152A78" w:rsidP="00152A78">
            <w:pPr>
              <w:rPr>
                <w:rFonts w:ascii="Arial" w:hAnsi="Arial"/>
              </w:rPr>
            </w:pPr>
            <w:r>
              <w:rPr>
                <w:rFonts w:ascii="Arial" w:hAnsi="Arial"/>
              </w:rPr>
              <w:t xml:space="preserve">HMA Superpave 25.0 mm </w:t>
            </w:r>
          </w:p>
        </w:tc>
        <w:tc>
          <w:tcPr>
            <w:tcW w:w="1340" w:type="dxa"/>
            <w:vAlign w:val="center"/>
          </w:tcPr>
          <w:p w14:paraId="75ACF457" w14:textId="77777777" w:rsidR="00152A78" w:rsidRDefault="00152A78" w:rsidP="00152A78">
            <w:pPr>
              <w:jc w:val="center"/>
              <w:rPr>
                <w:rFonts w:ascii="Arial" w:hAnsi="Arial"/>
              </w:rPr>
            </w:pPr>
            <w:r>
              <w:rPr>
                <w:rFonts w:ascii="Arial" w:hAnsi="Arial"/>
              </w:rPr>
              <w:t>Base</w:t>
            </w:r>
          </w:p>
        </w:tc>
        <w:tc>
          <w:tcPr>
            <w:tcW w:w="1519" w:type="dxa"/>
            <w:vAlign w:val="center"/>
          </w:tcPr>
          <w:p w14:paraId="0726A0C6" w14:textId="77777777" w:rsidR="00152A78" w:rsidRDefault="00152A78" w:rsidP="00152A78">
            <w:pPr>
              <w:jc w:val="center"/>
              <w:rPr>
                <w:rFonts w:ascii="Arial" w:hAnsi="Arial"/>
              </w:rPr>
            </w:pPr>
            <w:r>
              <w:rPr>
                <w:rFonts w:ascii="Arial" w:hAnsi="Arial"/>
              </w:rPr>
              <w:t>0.40</w:t>
            </w:r>
          </w:p>
        </w:tc>
        <w:tc>
          <w:tcPr>
            <w:tcW w:w="1162" w:type="dxa"/>
            <w:vAlign w:val="center"/>
          </w:tcPr>
          <w:p w14:paraId="6FF28672" w14:textId="77777777" w:rsidR="00152A78" w:rsidRDefault="00152A78" w:rsidP="00152A78">
            <w:pPr>
              <w:jc w:val="center"/>
              <w:rPr>
                <w:rFonts w:ascii="Arial" w:hAnsi="Arial"/>
              </w:rPr>
            </w:pPr>
            <w:r>
              <w:rPr>
                <w:rFonts w:ascii="Arial" w:hAnsi="Arial"/>
              </w:rPr>
              <w:t>0.40</w:t>
            </w:r>
          </w:p>
        </w:tc>
        <w:tc>
          <w:tcPr>
            <w:tcW w:w="894" w:type="dxa"/>
            <w:vAlign w:val="center"/>
          </w:tcPr>
          <w:p w14:paraId="461CBE4C" w14:textId="620EFFB1" w:rsidR="00152A78" w:rsidRDefault="00152A78" w:rsidP="00152A78">
            <w:pPr>
              <w:jc w:val="center"/>
              <w:rPr>
                <w:rFonts w:ascii="Arial" w:hAnsi="Arial"/>
              </w:rPr>
            </w:pPr>
            <w:r>
              <w:rPr>
                <w:rFonts w:ascii="Arial" w:hAnsi="Arial"/>
              </w:rPr>
              <w:t>3.0</w:t>
            </w:r>
            <w:r w:rsidR="00210549">
              <w:rPr>
                <w:rFonts w:ascii="Arial" w:hAnsi="Arial"/>
              </w:rPr>
              <w:t>"</w:t>
            </w:r>
          </w:p>
        </w:tc>
        <w:tc>
          <w:tcPr>
            <w:tcW w:w="984" w:type="dxa"/>
            <w:vAlign w:val="center"/>
          </w:tcPr>
          <w:p w14:paraId="57BD3F40" w14:textId="74742408" w:rsidR="00152A78" w:rsidRDefault="00152A78" w:rsidP="00152A78">
            <w:pPr>
              <w:jc w:val="center"/>
              <w:rPr>
                <w:rFonts w:ascii="Arial" w:hAnsi="Arial"/>
              </w:rPr>
            </w:pPr>
            <w:r>
              <w:rPr>
                <w:rFonts w:ascii="Arial" w:hAnsi="Arial"/>
              </w:rPr>
              <w:t>4.0</w:t>
            </w:r>
            <w:r w:rsidR="00210549">
              <w:rPr>
                <w:rFonts w:ascii="Arial" w:hAnsi="Arial"/>
              </w:rPr>
              <w:t>"</w:t>
            </w:r>
          </w:p>
        </w:tc>
        <w:tc>
          <w:tcPr>
            <w:tcW w:w="984" w:type="dxa"/>
            <w:vAlign w:val="center"/>
          </w:tcPr>
          <w:p w14:paraId="12306BB2" w14:textId="269734FA" w:rsidR="00152A78" w:rsidRDefault="00152A78" w:rsidP="00152A78">
            <w:pPr>
              <w:jc w:val="center"/>
              <w:rPr>
                <w:rFonts w:ascii="Arial" w:hAnsi="Arial"/>
              </w:rPr>
            </w:pPr>
            <w:r>
              <w:rPr>
                <w:rFonts w:ascii="Arial" w:hAnsi="Arial"/>
              </w:rPr>
              <w:t>5.0</w:t>
            </w:r>
            <w:r w:rsidR="00210549">
              <w:rPr>
                <w:rFonts w:ascii="Arial" w:hAnsi="Arial"/>
              </w:rPr>
              <w:t>"</w:t>
            </w:r>
          </w:p>
        </w:tc>
        <w:tc>
          <w:tcPr>
            <w:tcW w:w="1340" w:type="dxa"/>
            <w:vAlign w:val="center"/>
          </w:tcPr>
          <w:p w14:paraId="66A03F4A" w14:textId="77777777" w:rsidR="00152A78" w:rsidRDefault="00152A78" w:rsidP="00152A78">
            <w:pPr>
              <w:jc w:val="center"/>
              <w:rPr>
                <w:rFonts w:ascii="Arial" w:hAnsi="Arial"/>
              </w:rPr>
            </w:pPr>
            <w:r>
              <w:rPr>
                <w:rFonts w:ascii="Arial" w:hAnsi="Arial"/>
              </w:rPr>
              <w:t>0.3 – 0.40</w:t>
            </w:r>
          </w:p>
        </w:tc>
        <w:tc>
          <w:tcPr>
            <w:tcW w:w="1162" w:type="dxa"/>
            <w:vAlign w:val="center"/>
          </w:tcPr>
          <w:p w14:paraId="2CA8D97E" w14:textId="77777777" w:rsidR="00152A78" w:rsidRDefault="00152A78" w:rsidP="00152A78">
            <w:pPr>
              <w:jc w:val="center"/>
              <w:rPr>
                <w:rFonts w:ascii="Arial" w:hAnsi="Arial"/>
              </w:rPr>
            </w:pPr>
            <w:r>
              <w:rPr>
                <w:rFonts w:ascii="Arial" w:hAnsi="Arial"/>
              </w:rPr>
              <w:t>0.36</w:t>
            </w:r>
          </w:p>
        </w:tc>
        <w:tc>
          <w:tcPr>
            <w:tcW w:w="1073" w:type="dxa"/>
            <w:vAlign w:val="center"/>
          </w:tcPr>
          <w:p w14:paraId="64AC87EB" w14:textId="77777777" w:rsidR="00152A78" w:rsidRDefault="00152A78" w:rsidP="00152A78">
            <w:pPr>
              <w:jc w:val="center"/>
              <w:rPr>
                <w:rFonts w:ascii="Arial" w:hAnsi="Arial"/>
              </w:rPr>
            </w:pPr>
            <w:r>
              <w:rPr>
                <w:rFonts w:ascii="Arial" w:hAnsi="Arial"/>
              </w:rPr>
              <w:t>1.0</w:t>
            </w:r>
          </w:p>
        </w:tc>
      </w:tr>
      <w:tr w:rsidR="00152A78" w14:paraId="2665DC98" w14:textId="77777777" w:rsidTr="00D412CC">
        <w:tc>
          <w:tcPr>
            <w:tcW w:w="2857" w:type="dxa"/>
            <w:vAlign w:val="center"/>
          </w:tcPr>
          <w:p w14:paraId="465105D4" w14:textId="77777777" w:rsidR="00152A78" w:rsidRDefault="00152A78" w:rsidP="00152A78">
            <w:pPr>
              <w:rPr>
                <w:rFonts w:ascii="Arial" w:hAnsi="Arial"/>
              </w:rPr>
            </w:pPr>
            <w:r>
              <w:rPr>
                <w:rFonts w:ascii="Arial" w:hAnsi="Arial"/>
              </w:rPr>
              <w:t xml:space="preserve">HMA Superpave 37.5 mm </w:t>
            </w:r>
          </w:p>
        </w:tc>
        <w:tc>
          <w:tcPr>
            <w:tcW w:w="1340" w:type="dxa"/>
            <w:vAlign w:val="center"/>
          </w:tcPr>
          <w:p w14:paraId="2D595F26" w14:textId="77777777" w:rsidR="00152A78" w:rsidRDefault="00152A78" w:rsidP="00152A78">
            <w:pPr>
              <w:jc w:val="center"/>
              <w:rPr>
                <w:rFonts w:ascii="Arial" w:hAnsi="Arial"/>
              </w:rPr>
            </w:pPr>
            <w:r>
              <w:rPr>
                <w:rFonts w:ascii="Arial" w:hAnsi="Arial"/>
              </w:rPr>
              <w:t>Base</w:t>
            </w:r>
          </w:p>
        </w:tc>
        <w:tc>
          <w:tcPr>
            <w:tcW w:w="1519" w:type="dxa"/>
            <w:vAlign w:val="center"/>
          </w:tcPr>
          <w:p w14:paraId="58A3F312" w14:textId="77777777" w:rsidR="00152A78" w:rsidRDefault="00152A78" w:rsidP="00152A78">
            <w:pPr>
              <w:jc w:val="center"/>
              <w:rPr>
                <w:rFonts w:ascii="Arial" w:hAnsi="Arial"/>
              </w:rPr>
            </w:pPr>
            <w:r>
              <w:rPr>
                <w:rFonts w:ascii="Arial" w:hAnsi="Arial"/>
              </w:rPr>
              <w:t>0.38</w:t>
            </w:r>
          </w:p>
        </w:tc>
        <w:tc>
          <w:tcPr>
            <w:tcW w:w="1162" w:type="dxa"/>
            <w:vAlign w:val="center"/>
          </w:tcPr>
          <w:p w14:paraId="24B0D135" w14:textId="77777777" w:rsidR="00152A78" w:rsidRDefault="00152A78" w:rsidP="00152A78">
            <w:pPr>
              <w:jc w:val="center"/>
              <w:rPr>
                <w:rFonts w:ascii="Arial" w:hAnsi="Arial"/>
              </w:rPr>
            </w:pPr>
            <w:r>
              <w:rPr>
                <w:rFonts w:ascii="Arial" w:hAnsi="Arial"/>
              </w:rPr>
              <w:t>0.38</w:t>
            </w:r>
          </w:p>
        </w:tc>
        <w:tc>
          <w:tcPr>
            <w:tcW w:w="894" w:type="dxa"/>
            <w:vAlign w:val="center"/>
          </w:tcPr>
          <w:p w14:paraId="2E56A5A9" w14:textId="11D82E38" w:rsidR="00152A78" w:rsidRDefault="00152A78" w:rsidP="00152A78">
            <w:pPr>
              <w:jc w:val="center"/>
              <w:rPr>
                <w:rFonts w:ascii="Arial" w:hAnsi="Arial"/>
              </w:rPr>
            </w:pPr>
            <w:r>
              <w:rPr>
                <w:rFonts w:ascii="Arial" w:hAnsi="Arial"/>
              </w:rPr>
              <w:t>4.0</w:t>
            </w:r>
            <w:r w:rsidR="00210549">
              <w:rPr>
                <w:rFonts w:ascii="Arial" w:hAnsi="Arial"/>
              </w:rPr>
              <w:t>"</w:t>
            </w:r>
          </w:p>
        </w:tc>
        <w:tc>
          <w:tcPr>
            <w:tcW w:w="984" w:type="dxa"/>
            <w:vAlign w:val="center"/>
          </w:tcPr>
          <w:p w14:paraId="4D1E2234" w14:textId="2D71D431" w:rsidR="00152A78" w:rsidRDefault="00152A78" w:rsidP="00152A78">
            <w:pPr>
              <w:jc w:val="center"/>
              <w:rPr>
                <w:rFonts w:ascii="Arial" w:hAnsi="Arial"/>
              </w:rPr>
            </w:pPr>
            <w:r>
              <w:rPr>
                <w:rFonts w:ascii="Arial" w:hAnsi="Arial"/>
              </w:rPr>
              <w:t>5.0</w:t>
            </w:r>
            <w:r w:rsidR="00210549">
              <w:rPr>
                <w:rFonts w:ascii="Arial" w:hAnsi="Arial"/>
              </w:rPr>
              <w:t>"</w:t>
            </w:r>
          </w:p>
        </w:tc>
        <w:tc>
          <w:tcPr>
            <w:tcW w:w="984" w:type="dxa"/>
            <w:vAlign w:val="center"/>
          </w:tcPr>
          <w:p w14:paraId="18130E9E" w14:textId="02E617F9" w:rsidR="00152A78" w:rsidRDefault="00152A78" w:rsidP="00152A78">
            <w:pPr>
              <w:jc w:val="center"/>
              <w:rPr>
                <w:rFonts w:ascii="Arial" w:hAnsi="Arial"/>
              </w:rPr>
            </w:pPr>
            <w:r>
              <w:rPr>
                <w:rFonts w:ascii="Arial" w:hAnsi="Arial"/>
              </w:rPr>
              <w:t>6.0</w:t>
            </w:r>
            <w:r w:rsidR="00210549">
              <w:rPr>
                <w:rFonts w:ascii="Arial" w:hAnsi="Arial"/>
              </w:rPr>
              <w:t>"</w:t>
            </w:r>
          </w:p>
        </w:tc>
        <w:tc>
          <w:tcPr>
            <w:tcW w:w="1340" w:type="dxa"/>
            <w:vAlign w:val="center"/>
          </w:tcPr>
          <w:p w14:paraId="2E248231" w14:textId="77777777" w:rsidR="00152A78" w:rsidRDefault="00152A78" w:rsidP="00152A78">
            <w:pPr>
              <w:jc w:val="center"/>
              <w:rPr>
                <w:rFonts w:ascii="Arial" w:hAnsi="Arial"/>
              </w:rPr>
            </w:pPr>
            <w:r>
              <w:rPr>
                <w:rFonts w:ascii="Arial" w:hAnsi="Arial"/>
              </w:rPr>
              <w:t>0.3 – 0.38</w:t>
            </w:r>
          </w:p>
        </w:tc>
        <w:tc>
          <w:tcPr>
            <w:tcW w:w="1162" w:type="dxa"/>
            <w:vAlign w:val="center"/>
          </w:tcPr>
          <w:p w14:paraId="49A34D85" w14:textId="77777777" w:rsidR="00152A78" w:rsidRDefault="00152A78" w:rsidP="00152A78">
            <w:pPr>
              <w:jc w:val="center"/>
              <w:rPr>
                <w:rFonts w:ascii="Arial" w:hAnsi="Arial"/>
              </w:rPr>
            </w:pPr>
            <w:r>
              <w:rPr>
                <w:rFonts w:ascii="Arial" w:hAnsi="Arial"/>
              </w:rPr>
              <w:t>0.34</w:t>
            </w:r>
          </w:p>
        </w:tc>
        <w:tc>
          <w:tcPr>
            <w:tcW w:w="1073" w:type="dxa"/>
            <w:vAlign w:val="center"/>
          </w:tcPr>
          <w:p w14:paraId="18E1B83E" w14:textId="77777777" w:rsidR="00152A78" w:rsidRDefault="00152A78" w:rsidP="00152A78">
            <w:pPr>
              <w:jc w:val="center"/>
              <w:rPr>
                <w:rFonts w:ascii="Arial" w:hAnsi="Arial"/>
              </w:rPr>
            </w:pPr>
            <w:r>
              <w:rPr>
                <w:rFonts w:ascii="Arial" w:hAnsi="Arial"/>
              </w:rPr>
              <w:t>1.0</w:t>
            </w:r>
          </w:p>
        </w:tc>
      </w:tr>
      <w:tr w:rsidR="00152A78" w14:paraId="06AB3B29" w14:textId="77777777" w:rsidTr="00D412CC">
        <w:tc>
          <w:tcPr>
            <w:tcW w:w="2857" w:type="dxa"/>
            <w:vAlign w:val="center"/>
          </w:tcPr>
          <w:p w14:paraId="2CCC844B" w14:textId="77777777" w:rsidR="00152A78" w:rsidRDefault="00152A78" w:rsidP="00152A78">
            <w:pPr>
              <w:rPr>
                <w:rFonts w:ascii="Arial" w:hAnsi="Arial"/>
              </w:rPr>
            </w:pPr>
            <w:r>
              <w:rPr>
                <w:rFonts w:ascii="Arial" w:hAnsi="Arial"/>
              </w:rPr>
              <w:t>Asphalt Treated Aggregate Base</w:t>
            </w:r>
          </w:p>
        </w:tc>
        <w:tc>
          <w:tcPr>
            <w:tcW w:w="1340" w:type="dxa"/>
            <w:vAlign w:val="center"/>
          </w:tcPr>
          <w:p w14:paraId="3CFBF941" w14:textId="77777777" w:rsidR="00152A78" w:rsidRDefault="00152A78" w:rsidP="00152A78">
            <w:pPr>
              <w:jc w:val="center"/>
              <w:rPr>
                <w:rFonts w:ascii="Arial" w:hAnsi="Arial"/>
              </w:rPr>
            </w:pPr>
            <w:r>
              <w:rPr>
                <w:rFonts w:ascii="Arial" w:hAnsi="Arial"/>
              </w:rPr>
              <w:t>Base</w:t>
            </w:r>
          </w:p>
        </w:tc>
        <w:tc>
          <w:tcPr>
            <w:tcW w:w="1519" w:type="dxa"/>
            <w:vAlign w:val="center"/>
          </w:tcPr>
          <w:p w14:paraId="2995FB72" w14:textId="77777777" w:rsidR="00152A78" w:rsidRDefault="00152A78" w:rsidP="00152A78">
            <w:pPr>
              <w:jc w:val="center"/>
              <w:rPr>
                <w:rFonts w:ascii="Arial" w:hAnsi="Arial"/>
              </w:rPr>
            </w:pPr>
            <w:r>
              <w:rPr>
                <w:rFonts w:ascii="Arial" w:hAnsi="Arial"/>
              </w:rPr>
              <w:t>0.10 – 0.25</w:t>
            </w:r>
          </w:p>
        </w:tc>
        <w:tc>
          <w:tcPr>
            <w:tcW w:w="1162" w:type="dxa"/>
            <w:vAlign w:val="center"/>
          </w:tcPr>
          <w:p w14:paraId="79DC0D2B" w14:textId="77777777" w:rsidR="00152A78" w:rsidRDefault="00152A78" w:rsidP="00152A78">
            <w:pPr>
              <w:jc w:val="center"/>
              <w:rPr>
                <w:rFonts w:ascii="Arial" w:hAnsi="Arial"/>
              </w:rPr>
            </w:pPr>
            <w:r>
              <w:rPr>
                <w:rFonts w:ascii="Arial" w:hAnsi="Arial"/>
              </w:rPr>
              <w:t>0.20</w:t>
            </w:r>
          </w:p>
        </w:tc>
        <w:tc>
          <w:tcPr>
            <w:tcW w:w="894" w:type="dxa"/>
            <w:vAlign w:val="center"/>
          </w:tcPr>
          <w:p w14:paraId="09F212C6" w14:textId="50325976" w:rsidR="00152A78" w:rsidRDefault="00152A78" w:rsidP="00152A78">
            <w:pPr>
              <w:jc w:val="center"/>
              <w:rPr>
                <w:rFonts w:ascii="Arial" w:hAnsi="Arial"/>
              </w:rPr>
            </w:pPr>
            <w:r>
              <w:rPr>
                <w:rFonts w:ascii="Arial" w:hAnsi="Arial"/>
              </w:rPr>
              <w:t>4.0</w:t>
            </w:r>
            <w:r w:rsidR="00210549">
              <w:rPr>
                <w:rFonts w:ascii="Arial" w:hAnsi="Arial"/>
              </w:rPr>
              <w:t>"</w:t>
            </w:r>
          </w:p>
        </w:tc>
        <w:tc>
          <w:tcPr>
            <w:tcW w:w="984" w:type="dxa"/>
            <w:vAlign w:val="center"/>
          </w:tcPr>
          <w:p w14:paraId="26C6FBFD" w14:textId="369EF1F1" w:rsidR="00152A78" w:rsidRDefault="00152A78" w:rsidP="00152A78">
            <w:pPr>
              <w:jc w:val="center"/>
              <w:rPr>
                <w:rFonts w:ascii="Arial" w:hAnsi="Arial"/>
              </w:rPr>
            </w:pPr>
            <w:r>
              <w:rPr>
                <w:rFonts w:ascii="Arial" w:hAnsi="Arial"/>
              </w:rPr>
              <w:t>6.0</w:t>
            </w:r>
            <w:r w:rsidR="00210549">
              <w:rPr>
                <w:rFonts w:ascii="Arial" w:hAnsi="Arial"/>
              </w:rPr>
              <w:t>"</w:t>
            </w:r>
          </w:p>
        </w:tc>
        <w:tc>
          <w:tcPr>
            <w:tcW w:w="984" w:type="dxa"/>
            <w:vAlign w:val="center"/>
          </w:tcPr>
          <w:p w14:paraId="3ABDEC62" w14:textId="0AB46E84" w:rsidR="00152A78" w:rsidRDefault="00152A78" w:rsidP="00152A78">
            <w:pPr>
              <w:jc w:val="center"/>
              <w:rPr>
                <w:rFonts w:ascii="Arial" w:hAnsi="Arial"/>
              </w:rPr>
            </w:pPr>
            <w:r>
              <w:rPr>
                <w:rFonts w:ascii="Arial" w:hAnsi="Arial"/>
              </w:rPr>
              <w:t>6.0</w:t>
            </w:r>
            <w:r w:rsidR="00210549">
              <w:rPr>
                <w:rFonts w:ascii="Arial" w:hAnsi="Arial"/>
              </w:rPr>
              <w:t>"</w:t>
            </w:r>
          </w:p>
        </w:tc>
        <w:tc>
          <w:tcPr>
            <w:tcW w:w="1340" w:type="dxa"/>
            <w:vAlign w:val="center"/>
          </w:tcPr>
          <w:p w14:paraId="23222C6B" w14:textId="77777777" w:rsidR="00152A78" w:rsidRDefault="00152A78" w:rsidP="00152A78">
            <w:pPr>
              <w:jc w:val="center"/>
              <w:rPr>
                <w:rFonts w:ascii="Arial" w:hAnsi="Arial"/>
              </w:rPr>
            </w:pPr>
            <w:r>
              <w:rPr>
                <w:rFonts w:ascii="Arial" w:hAnsi="Arial"/>
              </w:rPr>
              <w:t>0.10 – 0.25</w:t>
            </w:r>
          </w:p>
        </w:tc>
        <w:tc>
          <w:tcPr>
            <w:tcW w:w="1162" w:type="dxa"/>
            <w:vAlign w:val="center"/>
          </w:tcPr>
          <w:p w14:paraId="710EBCEA" w14:textId="77777777" w:rsidR="00152A78" w:rsidRDefault="00152A78" w:rsidP="00152A78">
            <w:pPr>
              <w:jc w:val="center"/>
              <w:rPr>
                <w:rFonts w:ascii="Arial" w:hAnsi="Arial"/>
              </w:rPr>
            </w:pPr>
            <w:r>
              <w:rPr>
                <w:rFonts w:ascii="Arial" w:hAnsi="Arial"/>
              </w:rPr>
              <w:t>0.20</w:t>
            </w:r>
          </w:p>
        </w:tc>
        <w:tc>
          <w:tcPr>
            <w:tcW w:w="1073" w:type="dxa"/>
            <w:vAlign w:val="center"/>
          </w:tcPr>
          <w:p w14:paraId="5D72581D" w14:textId="77777777" w:rsidR="00152A78" w:rsidRDefault="00152A78" w:rsidP="00152A78">
            <w:pPr>
              <w:jc w:val="center"/>
              <w:rPr>
                <w:rFonts w:ascii="Arial" w:hAnsi="Arial"/>
              </w:rPr>
            </w:pPr>
            <w:r>
              <w:rPr>
                <w:rFonts w:ascii="Arial" w:hAnsi="Arial"/>
              </w:rPr>
              <w:t>1.0</w:t>
            </w:r>
          </w:p>
        </w:tc>
      </w:tr>
      <w:tr w:rsidR="00152A78" w14:paraId="1A9E55A8" w14:textId="77777777" w:rsidTr="00D412CC">
        <w:tc>
          <w:tcPr>
            <w:tcW w:w="2857" w:type="dxa"/>
            <w:vAlign w:val="center"/>
          </w:tcPr>
          <w:p w14:paraId="72095993" w14:textId="77777777" w:rsidR="00152A78" w:rsidRDefault="00152A78" w:rsidP="00152A78">
            <w:pPr>
              <w:rPr>
                <w:rFonts w:ascii="Arial" w:hAnsi="Arial"/>
              </w:rPr>
            </w:pPr>
            <w:r>
              <w:rPr>
                <w:rFonts w:ascii="Arial" w:hAnsi="Arial"/>
              </w:rPr>
              <w:t>Penetration Macadam</w:t>
            </w:r>
          </w:p>
        </w:tc>
        <w:tc>
          <w:tcPr>
            <w:tcW w:w="1340" w:type="dxa"/>
            <w:vAlign w:val="center"/>
          </w:tcPr>
          <w:p w14:paraId="6BBE59C1" w14:textId="77777777" w:rsidR="00152A78" w:rsidRDefault="00152A78" w:rsidP="00152A78">
            <w:pPr>
              <w:jc w:val="center"/>
              <w:rPr>
                <w:rFonts w:ascii="Arial" w:hAnsi="Arial"/>
              </w:rPr>
            </w:pPr>
            <w:r>
              <w:rPr>
                <w:rFonts w:ascii="Arial" w:hAnsi="Arial"/>
              </w:rPr>
              <w:t>Base</w:t>
            </w:r>
          </w:p>
        </w:tc>
        <w:tc>
          <w:tcPr>
            <w:tcW w:w="1519" w:type="dxa"/>
            <w:vAlign w:val="center"/>
          </w:tcPr>
          <w:p w14:paraId="00863CF9" w14:textId="77777777" w:rsidR="00152A78" w:rsidRPr="001130A9" w:rsidRDefault="00152A78" w:rsidP="00152A78">
            <w:pPr>
              <w:jc w:val="center"/>
              <w:rPr>
                <w:rFonts w:ascii="Arial" w:hAnsi="Arial"/>
              </w:rPr>
            </w:pPr>
            <w:r w:rsidRPr="001130A9">
              <w:rPr>
                <w:rFonts w:ascii="Arial" w:hAnsi="Arial"/>
              </w:rPr>
              <w:t>0.10 – 0.25</w:t>
            </w:r>
          </w:p>
        </w:tc>
        <w:tc>
          <w:tcPr>
            <w:tcW w:w="1162" w:type="dxa"/>
            <w:vAlign w:val="center"/>
          </w:tcPr>
          <w:p w14:paraId="38DDD9AD" w14:textId="77777777" w:rsidR="00152A78" w:rsidRPr="001130A9" w:rsidRDefault="00152A78" w:rsidP="00152A78">
            <w:pPr>
              <w:jc w:val="center"/>
              <w:rPr>
                <w:rFonts w:ascii="Arial" w:hAnsi="Arial"/>
              </w:rPr>
            </w:pPr>
            <w:r w:rsidRPr="001130A9">
              <w:rPr>
                <w:rFonts w:ascii="Arial" w:hAnsi="Arial"/>
              </w:rPr>
              <w:t>0.20</w:t>
            </w:r>
          </w:p>
        </w:tc>
        <w:tc>
          <w:tcPr>
            <w:tcW w:w="894" w:type="dxa"/>
            <w:vAlign w:val="center"/>
          </w:tcPr>
          <w:p w14:paraId="31F484B0" w14:textId="470067C3" w:rsidR="00152A78" w:rsidRPr="001130A9" w:rsidRDefault="00152A78" w:rsidP="00152A78">
            <w:pPr>
              <w:jc w:val="center"/>
              <w:rPr>
                <w:rFonts w:ascii="Arial" w:hAnsi="Arial"/>
              </w:rPr>
            </w:pPr>
            <w:r w:rsidRPr="001130A9">
              <w:rPr>
                <w:rFonts w:ascii="Arial" w:hAnsi="Arial"/>
              </w:rPr>
              <w:t>3.0</w:t>
            </w:r>
            <w:r w:rsidR="00210549" w:rsidRPr="001130A9">
              <w:rPr>
                <w:rFonts w:ascii="Arial" w:hAnsi="Arial"/>
              </w:rPr>
              <w:t>"</w:t>
            </w:r>
          </w:p>
        </w:tc>
        <w:tc>
          <w:tcPr>
            <w:tcW w:w="984" w:type="dxa"/>
            <w:vAlign w:val="center"/>
          </w:tcPr>
          <w:p w14:paraId="0C9313C8" w14:textId="75998B50" w:rsidR="00152A78" w:rsidRPr="001130A9" w:rsidRDefault="00152A78" w:rsidP="00152A78">
            <w:pPr>
              <w:jc w:val="center"/>
              <w:rPr>
                <w:rFonts w:ascii="Arial" w:hAnsi="Arial"/>
              </w:rPr>
            </w:pPr>
            <w:r w:rsidRPr="001130A9">
              <w:rPr>
                <w:rFonts w:ascii="Arial" w:hAnsi="Arial"/>
              </w:rPr>
              <w:t>6.0</w:t>
            </w:r>
            <w:r w:rsidR="00210549" w:rsidRPr="001130A9">
              <w:rPr>
                <w:rFonts w:ascii="Arial" w:hAnsi="Arial"/>
              </w:rPr>
              <w:t>"</w:t>
            </w:r>
          </w:p>
        </w:tc>
        <w:tc>
          <w:tcPr>
            <w:tcW w:w="984" w:type="dxa"/>
            <w:vAlign w:val="center"/>
          </w:tcPr>
          <w:p w14:paraId="016A89D8" w14:textId="1E827659" w:rsidR="00152A78" w:rsidRPr="001130A9" w:rsidRDefault="00152A78" w:rsidP="00152A78">
            <w:pPr>
              <w:jc w:val="center"/>
              <w:rPr>
                <w:rFonts w:ascii="Arial" w:hAnsi="Arial"/>
              </w:rPr>
            </w:pPr>
            <w:r w:rsidRPr="001130A9">
              <w:rPr>
                <w:rFonts w:ascii="Arial" w:hAnsi="Arial"/>
              </w:rPr>
              <w:t>8.0</w:t>
            </w:r>
            <w:r w:rsidR="00210549" w:rsidRPr="001130A9">
              <w:rPr>
                <w:rFonts w:ascii="Arial" w:hAnsi="Arial"/>
              </w:rPr>
              <w:t>"</w:t>
            </w:r>
          </w:p>
        </w:tc>
        <w:tc>
          <w:tcPr>
            <w:tcW w:w="1340" w:type="dxa"/>
            <w:vAlign w:val="center"/>
          </w:tcPr>
          <w:p w14:paraId="6F36E10F" w14:textId="77777777" w:rsidR="00152A78" w:rsidRPr="001130A9" w:rsidRDefault="00152A78" w:rsidP="00152A78">
            <w:pPr>
              <w:jc w:val="center"/>
              <w:rPr>
                <w:rFonts w:ascii="Arial" w:hAnsi="Arial"/>
              </w:rPr>
            </w:pPr>
            <w:r w:rsidRPr="001130A9">
              <w:rPr>
                <w:rFonts w:ascii="Arial" w:hAnsi="Arial"/>
              </w:rPr>
              <w:t>0.10 – 0.25</w:t>
            </w:r>
          </w:p>
        </w:tc>
        <w:tc>
          <w:tcPr>
            <w:tcW w:w="1162" w:type="dxa"/>
            <w:vAlign w:val="center"/>
          </w:tcPr>
          <w:p w14:paraId="2764E221" w14:textId="77777777" w:rsidR="00152A78" w:rsidRPr="001130A9" w:rsidRDefault="00152A78" w:rsidP="00152A78">
            <w:pPr>
              <w:jc w:val="center"/>
              <w:rPr>
                <w:rFonts w:ascii="Arial" w:hAnsi="Arial"/>
              </w:rPr>
            </w:pPr>
            <w:r w:rsidRPr="001130A9">
              <w:rPr>
                <w:rFonts w:ascii="Arial" w:hAnsi="Arial"/>
              </w:rPr>
              <w:t>0.20</w:t>
            </w:r>
          </w:p>
        </w:tc>
        <w:tc>
          <w:tcPr>
            <w:tcW w:w="1073" w:type="dxa"/>
            <w:vAlign w:val="center"/>
          </w:tcPr>
          <w:p w14:paraId="6443DDBC" w14:textId="77777777" w:rsidR="00152A78" w:rsidRPr="001130A9" w:rsidRDefault="00152A78" w:rsidP="00152A78">
            <w:pPr>
              <w:jc w:val="center"/>
              <w:rPr>
                <w:rFonts w:ascii="Arial" w:hAnsi="Arial"/>
              </w:rPr>
            </w:pPr>
            <w:r w:rsidRPr="001130A9">
              <w:rPr>
                <w:rFonts w:ascii="Arial" w:hAnsi="Arial"/>
              </w:rPr>
              <w:t>1.0</w:t>
            </w:r>
          </w:p>
        </w:tc>
      </w:tr>
      <w:tr w:rsidR="00152A78" w14:paraId="3AEC0F03" w14:textId="77777777" w:rsidTr="00D412CC">
        <w:tc>
          <w:tcPr>
            <w:tcW w:w="2857" w:type="dxa"/>
            <w:vAlign w:val="center"/>
          </w:tcPr>
          <w:p w14:paraId="4748D823" w14:textId="77777777" w:rsidR="00152A78" w:rsidRDefault="00152A78" w:rsidP="00152A78">
            <w:pPr>
              <w:rPr>
                <w:rFonts w:ascii="Arial" w:hAnsi="Arial"/>
              </w:rPr>
            </w:pPr>
            <w:r>
              <w:rPr>
                <w:rFonts w:ascii="Arial" w:hAnsi="Arial"/>
              </w:rPr>
              <w:t>Macadam</w:t>
            </w:r>
          </w:p>
        </w:tc>
        <w:tc>
          <w:tcPr>
            <w:tcW w:w="1340" w:type="dxa"/>
            <w:vAlign w:val="center"/>
          </w:tcPr>
          <w:p w14:paraId="509882D7" w14:textId="77777777" w:rsidR="00152A78" w:rsidRDefault="00152A78" w:rsidP="00152A78">
            <w:pPr>
              <w:jc w:val="center"/>
              <w:rPr>
                <w:rFonts w:ascii="Arial" w:hAnsi="Arial"/>
              </w:rPr>
            </w:pPr>
            <w:r>
              <w:rPr>
                <w:rFonts w:ascii="Arial" w:hAnsi="Arial"/>
              </w:rPr>
              <w:t>Base</w:t>
            </w:r>
          </w:p>
        </w:tc>
        <w:tc>
          <w:tcPr>
            <w:tcW w:w="1519" w:type="dxa"/>
            <w:vAlign w:val="center"/>
          </w:tcPr>
          <w:p w14:paraId="05E060EE" w14:textId="77777777" w:rsidR="00152A78" w:rsidRPr="001130A9" w:rsidRDefault="00152A78" w:rsidP="00152A78">
            <w:pPr>
              <w:jc w:val="center"/>
              <w:rPr>
                <w:rFonts w:ascii="Arial" w:hAnsi="Arial"/>
              </w:rPr>
            </w:pPr>
            <w:r w:rsidRPr="001130A9">
              <w:rPr>
                <w:rFonts w:ascii="Arial" w:hAnsi="Arial"/>
              </w:rPr>
              <w:t>0.10 – 0.20</w:t>
            </w:r>
          </w:p>
        </w:tc>
        <w:tc>
          <w:tcPr>
            <w:tcW w:w="1162" w:type="dxa"/>
            <w:vAlign w:val="center"/>
          </w:tcPr>
          <w:p w14:paraId="0BF33061" w14:textId="77777777" w:rsidR="00152A78" w:rsidRPr="001130A9" w:rsidRDefault="00152A78" w:rsidP="00152A78">
            <w:pPr>
              <w:jc w:val="center"/>
              <w:rPr>
                <w:rFonts w:ascii="Arial" w:hAnsi="Arial"/>
              </w:rPr>
            </w:pPr>
            <w:r w:rsidRPr="001130A9">
              <w:rPr>
                <w:rFonts w:ascii="Arial" w:hAnsi="Arial"/>
              </w:rPr>
              <w:t>0.15</w:t>
            </w:r>
          </w:p>
        </w:tc>
        <w:tc>
          <w:tcPr>
            <w:tcW w:w="894" w:type="dxa"/>
            <w:vAlign w:val="center"/>
          </w:tcPr>
          <w:p w14:paraId="0B93A945" w14:textId="0E02F898" w:rsidR="00152A78" w:rsidRPr="001130A9" w:rsidRDefault="00152A78" w:rsidP="00152A78">
            <w:pPr>
              <w:jc w:val="center"/>
              <w:rPr>
                <w:rFonts w:ascii="Arial" w:hAnsi="Arial"/>
              </w:rPr>
            </w:pPr>
            <w:r w:rsidRPr="001130A9">
              <w:rPr>
                <w:rFonts w:ascii="Arial" w:hAnsi="Arial"/>
              </w:rPr>
              <w:t>3.0</w:t>
            </w:r>
            <w:r w:rsidR="00210549" w:rsidRPr="001130A9">
              <w:rPr>
                <w:rFonts w:ascii="Arial" w:hAnsi="Arial"/>
              </w:rPr>
              <w:t>"</w:t>
            </w:r>
          </w:p>
        </w:tc>
        <w:tc>
          <w:tcPr>
            <w:tcW w:w="984" w:type="dxa"/>
            <w:vAlign w:val="center"/>
          </w:tcPr>
          <w:p w14:paraId="3AD1801A" w14:textId="2307A4E7" w:rsidR="00152A78" w:rsidRPr="001130A9" w:rsidRDefault="00152A78" w:rsidP="00152A78">
            <w:pPr>
              <w:jc w:val="center"/>
              <w:rPr>
                <w:rFonts w:ascii="Arial" w:hAnsi="Arial"/>
              </w:rPr>
            </w:pPr>
            <w:r w:rsidRPr="001130A9">
              <w:rPr>
                <w:rFonts w:ascii="Arial" w:hAnsi="Arial"/>
              </w:rPr>
              <w:t>6.0</w:t>
            </w:r>
            <w:r w:rsidR="00210549" w:rsidRPr="001130A9">
              <w:rPr>
                <w:rFonts w:ascii="Arial" w:hAnsi="Arial"/>
              </w:rPr>
              <w:t>"</w:t>
            </w:r>
          </w:p>
        </w:tc>
        <w:tc>
          <w:tcPr>
            <w:tcW w:w="984" w:type="dxa"/>
            <w:vAlign w:val="center"/>
          </w:tcPr>
          <w:p w14:paraId="122C3C97" w14:textId="774E08E8" w:rsidR="00152A78" w:rsidRPr="001130A9" w:rsidRDefault="00152A78" w:rsidP="00152A78">
            <w:pPr>
              <w:jc w:val="center"/>
              <w:rPr>
                <w:rFonts w:ascii="Arial" w:hAnsi="Arial"/>
              </w:rPr>
            </w:pPr>
            <w:r w:rsidRPr="001130A9">
              <w:rPr>
                <w:rFonts w:ascii="Arial" w:hAnsi="Arial"/>
              </w:rPr>
              <w:t>8.0</w:t>
            </w:r>
            <w:r w:rsidR="00210549" w:rsidRPr="001130A9">
              <w:rPr>
                <w:rFonts w:ascii="Arial" w:hAnsi="Arial"/>
              </w:rPr>
              <w:t>"</w:t>
            </w:r>
          </w:p>
        </w:tc>
        <w:tc>
          <w:tcPr>
            <w:tcW w:w="1340" w:type="dxa"/>
            <w:vAlign w:val="center"/>
          </w:tcPr>
          <w:p w14:paraId="461D29D9" w14:textId="77777777" w:rsidR="00152A78" w:rsidRPr="001130A9" w:rsidRDefault="00152A78" w:rsidP="00152A78">
            <w:pPr>
              <w:jc w:val="center"/>
              <w:rPr>
                <w:rFonts w:ascii="Arial" w:hAnsi="Arial"/>
              </w:rPr>
            </w:pPr>
            <w:r w:rsidRPr="001130A9">
              <w:rPr>
                <w:rFonts w:ascii="Arial" w:hAnsi="Arial"/>
              </w:rPr>
              <w:t>0.10 – 0.20</w:t>
            </w:r>
          </w:p>
        </w:tc>
        <w:tc>
          <w:tcPr>
            <w:tcW w:w="1162" w:type="dxa"/>
            <w:vAlign w:val="center"/>
          </w:tcPr>
          <w:p w14:paraId="67DB3E20" w14:textId="77777777" w:rsidR="00152A78" w:rsidRPr="001130A9" w:rsidRDefault="00152A78" w:rsidP="00152A78">
            <w:pPr>
              <w:jc w:val="center"/>
              <w:rPr>
                <w:rFonts w:ascii="Arial" w:hAnsi="Arial"/>
              </w:rPr>
            </w:pPr>
            <w:r w:rsidRPr="001130A9">
              <w:rPr>
                <w:rFonts w:ascii="Arial" w:hAnsi="Arial"/>
              </w:rPr>
              <w:t>0.15</w:t>
            </w:r>
          </w:p>
        </w:tc>
        <w:tc>
          <w:tcPr>
            <w:tcW w:w="1073" w:type="dxa"/>
            <w:vAlign w:val="center"/>
          </w:tcPr>
          <w:p w14:paraId="60EB38BA" w14:textId="168668DB" w:rsidR="00152A78" w:rsidRPr="001130A9" w:rsidRDefault="00CF4FA9" w:rsidP="00152A78">
            <w:pPr>
              <w:jc w:val="center"/>
              <w:rPr>
                <w:rFonts w:ascii="Arial" w:hAnsi="Arial"/>
              </w:rPr>
            </w:pPr>
            <w:r w:rsidRPr="001130A9">
              <w:rPr>
                <w:rFonts w:ascii="Arial" w:hAnsi="Arial"/>
              </w:rPr>
              <w:t>1.0</w:t>
            </w:r>
          </w:p>
        </w:tc>
      </w:tr>
      <w:tr w:rsidR="00152A78" w14:paraId="1D1D6860" w14:textId="77777777" w:rsidTr="00D412CC">
        <w:tc>
          <w:tcPr>
            <w:tcW w:w="2857" w:type="dxa"/>
            <w:vAlign w:val="center"/>
          </w:tcPr>
          <w:p w14:paraId="0D08BEF5" w14:textId="7F5E7FDB" w:rsidR="00152A78" w:rsidRDefault="00152A78" w:rsidP="00152A78">
            <w:pPr>
              <w:rPr>
                <w:rFonts w:ascii="Arial" w:hAnsi="Arial"/>
              </w:rPr>
            </w:pPr>
            <w:r>
              <w:rPr>
                <w:rFonts w:ascii="Arial" w:hAnsi="Arial"/>
              </w:rPr>
              <w:t xml:space="preserve">Cement </w:t>
            </w:r>
            <w:r w:rsidR="00C53D1A">
              <w:rPr>
                <w:rFonts w:ascii="Arial" w:hAnsi="Arial"/>
              </w:rPr>
              <w:t xml:space="preserve">Treated </w:t>
            </w:r>
            <w:r>
              <w:rPr>
                <w:rFonts w:ascii="Arial" w:hAnsi="Arial"/>
              </w:rPr>
              <w:t>Base</w:t>
            </w:r>
          </w:p>
        </w:tc>
        <w:tc>
          <w:tcPr>
            <w:tcW w:w="1340" w:type="dxa"/>
            <w:vAlign w:val="center"/>
          </w:tcPr>
          <w:p w14:paraId="239280D1" w14:textId="77777777" w:rsidR="00152A78" w:rsidRDefault="00152A78" w:rsidP="00152A78">
            <w:pPr>
              <w:jc w:val="center"/>
              <w:rPr>
                <w:rFonts w:ascii="Arial" w:hAnsi="Arial"/>
              </w:rPr>
            </w:pPr>
            <w:r>
              <w:rPr>
                <w:rFonts w:ascii="Arial" w:hAnsi="Arial"/>
              </w:rPr>
              <w:t>Base</w:t>
            </w:r>
          </w:p>
        </w:tc>
        <w:tc>
          <w:tcPr>
            <w:tcW w:w="1519" w:type="dxa"/>
            <w:vAlign w:val="center"/>
          </w:tcPr>
          <w:p w14:paraId="4664942A" w14:textId="77777777" w:rsidR="00152A78" w:rsidRPr="001130A9" w:rsidRDefault="00152A78" w:rsidP="00152A78">
            <w:pPr>
              <w:jc w:val="center"/>
              <w:rPr>
                <w:rFonts w:ascii="Arial" w:hAnsi="Arial"/>
              </w:rPr>
            </w:pPr>
            <w:r w:rsidRPr="001130A9">
              <w:rPr>
                <w:rFonts w:ascii="Arial" w:hAnsi="Arial"/>
              </w:rPr>
              <w:t>0.15 – 0.25</w:t>
            </w:r>
          </w:p>
        </w:tc>
        <w:tc>
          <w:tcPr>
            <w:tcW w:w="1162" w:type="dxa"/>
            <w:vAlign w:val="center"/>
          </w:tcPr>
          <w:p w14:paraId="1B94D89D" w14:textId="77777777" w:rsidR="00152A78" w:rsidRPr="001130A9" w:rsidRDefault="00152A78" w:rsidP="00152A78">
            <w:pPr>
              <w:jc w:val="center"/>
              <w:rPr>
                <w:rFonts w:ascii="Arial" w:hAnsi="Arial"/>
              </w:rPr>
            </w:pPr>
            <w:r w:rsidRPr="001130A9">
              <w:rPr>
                <w:rFonts w:ascii="Arial" w:hAnsi="Arial"/>
              </w:rPr>
              <w:t>0.20</w:t>
            </w:r>
          </w:p>
        </w:tc>
        <w:tc>
          <w:tcPr>
            <w:tcW w:w="894" w:type="dxa"/>
            <w:vAlign w:val="center"/>
          </w:tcPr>
          <w:p w14:paraId="3846D235" w14:textId="07B8A811" w:rsidR="00152A78" w:rsidRPr="001130A9" w:rsidRDefault="00152A78" w:rsidP="00152A78">
            <w:pPr>
              <w:jc w:val="center"/>
              <w:rPr>
                <w:rFonts w:ascii="Arial" w:hAnsi="Arial"/>
              </w:rPr>
            </w:pPr>
            <w:r w:rsidRPr="001130A9">
              <w:rPr>
                <w:rFonts w:ascii="Arial" w:hAnsi="Arial"/>
              </w:rPr>
              <w:t>4.0</w:t>
            </w:r>
            <w:r w:rsidR="00210549" w:rsidRPr="001130A9">
              <w:rPr>
                <w:rFonts w:ascii="Arial" w:hAnsi="Arial"/>
              </w:rPr>
              <w:t>"</w:t>
            </w:r>
          </w:p>
        </w:tc>
        <w:tc>
          <w:tcPr>
            <w:tcW w:w="984" w:type="dxa"/>
            <w:vAlign w:val="center"/>
          </w:tcPr>
          <w:p w14:paraId="0FFB068F" w14:textId="52144A59" w:rsidR="00152A78" w:rsidRPr="001130A9" w:rsidRDefault="00152A78" w:rsidP="00152A78">
            <w:pPr>
              <w:jc w:val="center"/>
              <w:rPr>
                <w:rFonts w:ascii="Arial" w:hAnsi="Arial"/>
              </w:rPr>
            </w:pPr>
            <w:r w:rsidRPr="001130A9">
              <w:rPr>
                <w:rFonts w:ascii="Arial" w:hAnsi="Arial"/>
              </w:rPr>
              <w:t>6.0</w:t>
            </w:r>
            <w:r w:rsidR="00210549" w:rsidRPr="001130A9">
              <w:rPr>
                <w:rFonts w:ascii="Arial" w:hAnsi="Arial"/>
              </w:rPr>
              <w:t>"</w:t>
            </w:r>
          </w:p>
        </w:tc>
        <w:tc>
          <w:tcPr>
            <w:tcW w:w="984" w:type="dxa"/>
            <w:vAlign w:val="center"/>
          </w:tcPr>
          <w:p w14:paraId="2C37647B" w14:textId="77777777" w:rsidR="00152A78" w:rsidRPr="001130A9" w:rsidRDefault="00152A78" w:rsidP="00152A78">
            <w:pPr>
              <w:jc w:val="center"/>
              <w:rPr>
                <w:rFonts w:ascii="Arial" w:hAnsi="Arial"/>
              </w:rPr>
            </w:pPr>
            <w:r w:rsidRPr="001130A9">
              <w:rPr>
                <w:rFonts w:ascii="Arial" w:hAnsi="Arial"/>
              </w:rPr>
              <w:t>6.0”</w:t>
            </w:r>
          </w:p>
        </w:tc>
        <w:tc>
          <w:tcPr>
            <w:tcW w:w="1340" w:type="dxa"/>
            <w:vAlign w:val="center"/>
          </w:tcPr>
          <w:p w14:paraId="641695ED" w14:textId="77777777" w:rsidR="00152A78" w:rsidRPr="001130A9" w:rsidRDefault="00152A78" w:rsidP="00152A78">
            <w:pPr>
              <w:jc w:val="center"/>
              <w:rPr>
                <w:rFonts w:ascii="Arial" w:hAnsi="Arial"/>
              </w:rPr>
            </w:pPr>
            <w:r w:rsidRPr="001130A9">
              <w:rPr>
                <w:rFonts w:ascii="Arial" w:hAnsi="Arial"/>
              </w:rPr>
              <w:t>0.15 – 0.25</w:t>
            </w:r>
          </w:p>
        </w:tc>
        <w:tc>
          <w:tcPr>
            <w:tcW w:w="1162" w:type="dxa"/>
            <w:vAlign w:val="center"/>
          </w:tcPr>
          <w:p w14:paraId="51829DBB" w14:textId="77777777" w:rsidR="00152A78" w:rsidRPr="001130A9" w:rsidRDefault="00152A78" w:rsidP="00152A78">
            <w:pPr>
              <w:jc w:val="center"/>
              <w:rPr>
                <w:rFonts w:ascii="Arial" w:hAnsi="Arial"/>
              </w:rPr>
            </w:pPr>
            <w:r w:rsidRPr="001130A9">
              <w:rPr>
                <w:rFonts w:ascii="Arial" w:hAnsi="Arial"/>
              </w:rPr>
              <w:t>0.20</w:t>
            </w:r>
          </w:p>
        </w:tc>
        <w:tc>
          <w:tcPr>
            <w:tcW w:w="1073" w:type="dxa"/>
            <w:vAlign w:val="center"/>
          </w:tcPr>
          <w:p w14:paraId="1AE9F9B6" w14:textId="77777777" w:rsidR="00152A78" w:rsidRPr="001130A9" w:rsidRDefault="00152A78" w:rsidP="00152A78">
            <w:pPr>
              <w:jc w:val="center"/>
              <w:rPr>
                <w:rFonts w:ascii="Arial" w:hAnsi="Arial"/>
              </w:rPr>
            </w:pPr>
            <w:r w:rsidRPr="001130A9">
              <w:rPr>
                <w:rFonts w:ascii="Arial" w:hAnsi="Arial"/>
              </w:rPr>
              <w:t>1.0</w:t>
            </w:r>
          </w:p>
        </w:tc>
      </w:tr>
      <w:tr w:rsidR="00D412CC" w14:paraId="0D346590" w14:textId="77777777" w:rsidTr="00D412CC">
        <w:tc>
          <w:tcPr>
            <w:tcW w:w="2857" w:type="dxa"/>
            <w:vAlign w:val="center"/>
          </w:tcPr>
          <w:p w14:paraId="6E2663FF" w14:textId="77777777" w:rsidR="00D412CC" w:rsidRDefault="00D412CC" w:rsidP="00D412CC">
            <w:pPr>
              <w:rPr>
                <w:rFonts w:ascii="Arial" w:hAnsi="Arial"/>
              </w:rPr>
            </w:pPr>
            <w:r>
              <w:rPr>
                <w:rFonts w:ascii="Arial" w:hAnsi="Arial"/>
              </w:rPr>
              <w:lastRenderedPageBreak/>
              <w:t>Graded Aggregate Base, GAB</w:t>
            </w:r>
          </w:p>
        </w:tc>
        <w:tc>
          <w:tcPr>
            <w:tcW w:w="1340" w:type="dxa"/>
            <w:vAlign w:val="center"/>
          </w:tcPr>
          <w:p w14:paraId="51D7206D" w14:textId="77777777" w:rsidR="00D412CC" w:rsidRDefault="00D412CC" w:rsidP="00D412CC">
            <w:pPr>
              <w:jc w:val="center"/>
              <w:rPr>
                <w:rFonts w:ascii="Arial" w:hAnsi="Arial"/>
              </w:rPr>
            </w:pPr>
            <w:r>
              <w:rPr>
                <w:rFonts w:ascii="Arial" w:hAnsi="Arial"/>
              </w:rPr>
              <w:t>Base</w:t>
            </w:r>
          </w:p>
        </w:tc>
        <w:tc>
          <w:tcPr>
            <w:tcW w:w="1519" w:type="dxa"/>
            <w:vAlign w:val="center"/>
          </w:tcPr>
          <w:p w14:paraId="4503D9ED" w14:textId="42B70CC6" w:rsidR="00D412CC" w:rsidRPr="001130A9" w:rsidRDefault="00D412CC" w:rsidP="00D412CC">
            <w:pPr>
              <w:jc w:val="center"/>
              <w:rPr>
                <w:rFonts w:ascii="Arial" w:hAnsi="Arial"/>
              </w:rPr>
            </w:pPr>
            <w:r w:rsidRPr="001130A9">
              <w:rPr>
                <w:rFonts w:ascii="Arial" w:hAnsi="Arial"/>
              </w:rPr>
              <w:t>0.04 – 0.17*</w:t>
            </w:r>
          </w:p>
        </w:tc>
        <w:tc>
          <w:tcPr>
            <w:tcW w:w="1162" w:type="dxa"/>
            <w:vAlign w:val="center"/>
          </w:tcPr>
          <w:p w14:paraId="3FCC3B41" w14:textId="0371D542" w:rsidR="00D412CC" w:rsidRPr="001130A9" w:rsidRDefault="00D412CC" w:rsidP="00D412CC">
            <w:pPr>
              <w:jc w:val="center"/>
              <w:rPr>
                <w:rFonts w:ascii="Arial" w:hAnsi="Arial"/>
              </w:rPr>
            </w:pPr>
            <w:r w:rsidRPr="001130A9">
              <w:rPr>
                <w:rFonts w:ascii="Arial" w:hAnsi="Arial"/>
              </w:rPr>
              <w:t>0.12*</w:t>
            </w:r>
          </w:p>
        </w:tc>
        <w:tc>
          <w:tcPr>
            <w:tcW w:w="894" w:type="dxa"/>
            <w:vAlign w:val="center"/>
          </w:tcPr>
          <w:p w14:paraId="190A0482" w14:textId="78F92DCE" w:rsidR="00D412CC" w:rsidRPr="001130A9" w:rsidRDefault="00D412CC" w:rsidP="00D412CC">
            <w:pPr>
              <w:jc w:val="center"/>
              <w:rPr>
                <w:rFonts w:ascii="Arial" w:hAnsi="Arial"/>
              </w:rPr>
            </w:pPr>
            <w:r w:rsidRPr="001130A9">
              <w:rPr>
                <w:rFonts w:ascii="Arial" w:hAnsi="Arial"/>
              </w:rPr>
              <w:t>3.0”</w:t>
            </w:r>
          </w:p>
        </w:tc>
        <w:tc>
          <w:tcPr>
            <w:tcW w:w="984" w:type="dxa"/>
            <w:vAlign w:val="center"/>
          </w:tcPr>
          <w:p w14:paraId="305BA52D" w14:textId="025764FD" w:rsidR="00D412CC" w:rsidRPr="001130A9" w:rsidRDefault="00D412CC" w:rsidP="00D412CC">
            <w:pPr>
              <w:jc w:val="center"/>
              <w:rPr>
                <w:rFonts w:ascii="Arial" w:hAnsi="Arial"/>
              </w:rPr>
            </w:pPr>
            <w:r w:rsidRPr="001130A9">
              <w:rPr>
                <w:rFonts w:ascii="Arial" w:hAnsi="Arial"/>
              </w:rPr>
              <w:t>6.0”</w:t>
            </w:r>
          </w:p>
        </w:tc>
        <w:tc>
          <w:tcPr>
            <w:tcW w:w="984" w:type="dxa"/>
            <w:vAlign w:val="center"/>
          </w:tcPr>
          <w:p w14:paraId="46DC80CB" w14:textId="74783494" w:rsidR="00D412CC" w:rsidRPr="001130A9" w:rsidRDefault="00D412CC" w:rsidP="00D412CC">
            <w:pPr>
              <w:jc w:val="center"/>
              <w:rPr>
                <w:rFonts w:ascii="Arial" w:hAnsi="Arial"/>
              </w:rPr>
            </w:pPr>
            <w:r w:rsidRPr="001130A9">
              <w:rPr>
                <w:rFonts w:ascii="Arial" w:hAnsi="Arial"/>
              </w:rPr>
              <w:t>6.0”</w:t>
            </w:r>
          </w:p>
        </w:tc>
        <w:tc>
          <w:tcPr>
            <w:tcW w:w="1340" w:type="dxa"/>
            <w:vAlign w:val="center"/>
          </w:tcPr>
          <w:p w14:paraId="1445D699" w14:textId="4286169D" w:rsidR="00D412CC" w:rsidRPr="001130A9" w:rsidRDefault="00D412CC" w:rsidP="00D412CC">
            <w:pPr>
              <w:jc w:val="center"/>
              <w:rPr>
                <w:rFonts w:ascii="Arial" w:hAnsi="Arial"/>
              </w:rPr>
            </w:pPr>
            <w:r w:rsidRPr="001130A9">
              <w:rPr>
                <w:rFonts w:ascii="Arial" w:hAnsi="Arial"/>
              </w:rPr>
              <w:t>0.03 – 0.14*</w:t>
            </w:r>
          </w:p>
        </w:tc>
        <w:tc>
          <w:tcPr>
            <w:tcW w:w="1162" w:type="dxa"/>
            <w:vAlign w:val="center"/>
          </w:tcPr>
          <w:p w14:paraId="56465FCE" w14:textId="2D1E60D3" w:rsidR="00D412CC" w:rsidRPr="001130A9" w:rsidRDefault="00D412CC" w:rsidP="00D412CC">
            <w:pPr>
              <w:jc w:val="center"/>
              <w:rPr>
                <w:rFonts w:ascii="Arial" w:hAnsi="Arial"/>
              </w:rPr>
            </w:pPr>
            <w:r w:rsidRPr="001130A9">
              <w:rPr>
                <w:rFonts w:ascii="Arial" w:hAnsi="Arial"/>
              </w:rPr>
              <w:t>0.11*</w:t>
            </w:r>
          </w:p>
        </w:tc>
        <w:tc>
          <w:tcPr>
            <w:tcW w:w="1073" w:type="dxa"/>
            <w:vAlign w:val="center"/>
          </w:tcPr>
          <w:p w14:paraId="64D652D3" w14:textId="017545B0" w:rsidR="00D412CC" w:rsidRPr="001130A9" w:rsidRDefault="00D412CC" w:rsidP="00D412CC">
            <w:pPr>
              <w:jc w:val="center"/>
              <w:rPr>
                <w:rFonts w:ascii="Arial" w:hAnsi="Arial"/>
              </w:rPr>
            </w:pPr>
            <w:r w:rsidRPr="001130A9">
              <w:rPr>
                <w:rFonts w:ascii="Arial" w:hAnsi="Arial"/>
              </w:rPr>
              <w:t>*</w:t>
            </w:r>
          </w:p>
        </w:tc>
      </w:tr>
      <w:tr w:rsidR="00D412CC" w14:paraId="3ECA461B" w14:textId="77777777" w:rsidTr="00D412CC">
        <w:tc>
          <w:tcPr>
            <w:tcW w:w="2857" w:type="dxa"/>
            <w:vAlign w:val="center"/>
          </w:tcPr>
          <w:p w14:paraId="2E28F0EC" w14:textId="77777777" w:rsidR="00D412CC" w:rsidRDefault="00D412CC" w:rsidP="00D412CC">
            <w:pPr>
              <w:rPr>
                <w:rFonts w:ascii="Arial" w:hAnsi="Arial"/>
              </w:rPr>
            </w:pPr>
            <w:r>
              <w:rPr>
                <w:rFonts w:ascii="Arial" w:hAnsi="Arial"/>
              </w:rPr>
              <w:t>Bank Run Gravel</w:t>
            </w:r>
          </w:p>
        </w:tc>
        <w:tc>
          <w:tcPr>
            <w:tcW w:w="1340" w:type="dxa"/>
            <w:vAlign w:val="center"/>
          </w:tcPr>
          <w:p w14:paraId="73AF5CA2" w14:textId="77777777" w:rsidR="00D412CC" w:rsidRDefault="00D412CC" w:rsidP="00D412CC">
            <w:pPr>
              <w:jc w:val="center"/>
              <w:rPr>
                <w:rFonts w:ascii="Arial" w:hAnsi="Arial"/>
              </w:rPr>
            </w:pPr>
            <w:r>
              <w:rPr>
                <w:rFonts w:ascii="Arial" w:hAnsi="Arial"/>
              </w:rPr>
              <w:t>Base</w:t>
            </w:r>
          </w:p>
        </w:tc>
        <w:tc>
          <w:tcPr>
            <w:tcW w:w="1519" w:type="dxa"/>
            <w:vAlign w:val="center"/>
          </w:tcPr>
          <w:p w14:paraId="298196F5" w14:textId="0AFF2BE9" w:rsidR="00D412CC" w:rsidRPr="001130A9" w:rsidRDefault="00D412CC" w:rsidP="00D412CC">
            <w:pPr>
              <w:jc w:val="center"/>
              <w:rPr>
                <w:rFonts w:ascii="Arial" w:hAnsi="Arial"/>
              </w:rPr>
            </w:pPr>
            <w:r w:rsidRPr="001130A9">
              <w:rPr>
                <w:rFonts w:ascii="Arial" w:hAnsi="Arial"/>
              </w:rPr>
              <w:t>0.03 – 0.12*</w:t>
            </w:r>
          </w:p>
        </w:tc>
        <w:tc>
          <w:tcPr>
            <w:tcW w:w="1162" w:type="dxa"/>
            <w:vAlign w:val="center"/>
          </w:tcPr>
          <w:p w14:paraId="6B890241" w14:textId="7A443B3F" w:rsidR="00D412CC" w:rsidRPr="001130A9" w:rsidRDefault="00D412CC" w:rsidP="00D412CC">
            <w:pPr>
              <w:jc w:val="center"/>
              <w:rPr>
                <w:rFonts w:ascii="Arial" w:hAnsi="Arial"/>
              </w:rPr>
            </w:pPr>
            <w:r w:rsidRPr="001130A9">
              <w:rPr>
                <w:rFonts w:ascii="Arial" w:hAnsi="Arial"/>
              </w:rPr>
              <w:t>0.10*</w:t>
            </w:r>
          </w:p>
        </w:tc>
        <w:tc>
          <w:tcPr>
            <w:tcW w:w="894" w:type="dxa"/>
            <w:vAlign w:val="center"/>
          </w:tcPr>
          <w:p w14:paraId="02285BDF" w14:textId="28825236" w:rsidR="00D412CC" w:rsidRPr="001130A9" w:rsidRDefault="00D412CC" w:rsidP="00D412CC">
            <w:pPr>
              <w:jc w:val="center"/>
              <w:rPr>
                <w:rFonts w:ascii="Arial" w:hAnsi="Arial"/>
              </w:rPr>
            </w:pPr>
            <w:r w:rsidRPr="001130A9">
              <w:rPr>
                <w:rFonts w:ascii="Arial" w:hAnsi="Arial"/>
              </w:rPr>
              <w:t>3.0”</w:t>
            </w:r>
          </w:p>
        </w:tc>
        <w:tc>
          <w:tcPr>
            <w:tcW w:w="984" w:type="dxa"/>
            <w:vAlign w:val="center"/>
          </w:tcPr>
          <w:p w14:paraId="61592EFC" w14:textId="3BF85BBE" w:rsidR="00D412CC" w:rsidRPr="001130A9" w:rsidRDefault="00D412CC" w:rsidP="00D412CC">
            <w:pPr>
              <w:jc w:val="center"/>
              <w:rPr>
                <w:rFonts w:ascii="Arial" w:hAnsi="Arial"/>
              </w:rPr>
            </w:pPr>
            <w:r w:rsidRPr="001130A9">
              <w:rPr>
                <w:rFonts w:ascii="Arial" w:hAnsi="Arial"/>
              </w:rPr>
              <w:t>6.0”</w:t>
            </w:r>
          </w:p>
        </w:tc>
        <w:tc>
          <w:tcPr>
            <w:tcW w:w="984" w:type="dxa"/>
            <w:vAlign w:val="center"/>
          </w:tcPr>
          <w:p w14:paraId="356C6380" w14:textId="717CCD9A" w:rsidR="00D412CC" w:rsidRPr="001130A9" w:rsidRDefault="00D412CC" w:rsidP="00D412CC">
            <w:pPr>
              <w:jc w:val="center"/>
              <w:rPr>
                <w:rFonts w:ascii="Arial" w:hAnsi="Arial"/>
              </w:rPr>
            </w:pPr>
            <w:r w:rsidRPr="001130A9">
              <w:rPr>
                <w:rFonts w:ascii="Arial" w:hAnsi="Arial"/>
              </w:rPr>
              <w:t>6.0”</w:t>
            </w:r>
          </w:p>
        </w:tc>
        <w:tc>
          <w:tcPr>
            <w:tcW w:w="1340" w:type="dxa"/>
            <w:vAlign w:val="center"/>
          </w:tcPr>
          <w:p w14:paraId="1A31E9D6" w14:textId="5BE87AF0" w:rsidR="00D412CC" w:rsidRPr="001130A9" w:rsidRDefault="00D412CC" w:rsidP="00D412CC">
            <w:pPr>
              <w:jc w:val="center"/>
              <w:rPr>
                <w:rFonts w:ascii="Arial" w:hAnsi="Arial"/>
              </w:rPr>
            </w:pPr>
            <w:r w:rsidRPr="001130A9">
              <w:rPr>
                <w:rFonts w:ascii="Arial" w:hAnsi="Arial"/>
              </w:rPr>
              <w:t>0.02 – 0.12*</w:t>
            </w:r>
          </w:p>
        </w:tc>
        <w:tc>
          <w:tcPr>
            <w:tcW w:w="1162" w:type="dxa"/>
            <w:vAlign w:val="center"/>
          </w:tcPr>
          <w:p w14:paraId="07E48366" w14:textId="00C13BE8" w:rsidR="00D412CC" w:rsidRPr="001130A9" w:rsidRDefault="00D412CC" w:rsidP="00D412CC">
            <w:pPr>
              <w:jc w:val="center"/>
              <w:rPr>
                <w:rFonts w:ascii="Arial" w:hAnsi="Arial"/>
              </w:rPr>
            </w:pPr>
            <w:r w:rsidRPr="001130A9">
              <w:rPr>
                <w:rFonts w:ascii="Arial" w:hAnsi="Arial"/>
              </w:rPr>
              <w:t>0.10*</w:t>
            </w:r>
          </w:p>
        </w:tc>
        <w:tc>
          <w:tcPr>
            <w:tcW w:w="1073" w:type="dxa"/>
            <w:vAlign w:val="center"/>
          </w:tcPr>
          <w:p w14:paraId="64918C8F" w14:textId="1023EA48" w:rsidR="00D412CC" w:rsidRPr="001130A9" w:rsidRDefault="00D412CC" w:rsidP="00D412CC">
            <w:pPr>
              <w:jc w:val="center"/>
              <w:rPr>
                <w:rFonts w:ascii="Arial" w:hAnsi="Arial"/>
              </w:rPr>
            </w:pPr>
            <w:r w:rsidRPr="001130A9">
              <w:rPr>
                <w:rFonts w:ascii="Arial" w:hAnsi="Arial"/>
              </w:rPr>
              <w:t>*</w:t>
            </w:r>
          </w:p>
        </w:tc>
      </w:tr>
      <w:tr w:rsidR="00D412CC" w14:paraId="6F1ED6CA" w14:textId="77777777" w:rsidTr="00D412CC">
        <w:tc>
          <w:tcPr>
            <w:tcW w:w="2857" w:type="dxa"/>
            <w:vAlign w:val="center"/>
          </w:tcPr>
          <w:p w14:paraId="70F052D2" w14:textId="77777777" w:rsidR="00D412CC" w:rsidRDefault="00D412CC" w:rsidP="00D412CC">
            <w:pPr>
              <w:rPr>
                <w:rFonts w:ascii="Arial" w:hAnsi="Arial"/>
              </w:rPr>
            </w:pPr>
            <w:r>
              <w:rPr>
                <w:rFonts w:ascii="Arial" w:hAnsi="Arial"/>
              </w:rPr>
              <w:t>GSS w/ GAB</w:t>
            </w:r>
          </w:p>
        </w:tc>
        <w:tc>
          <w:tcPr>
            <w:tcW w:w="1340" w:type="dxa"/>
            <w:vAlign w:val="center"/>
          </w:tcPr>
          <w:p w14:paraId="4EA63A66" w14:textId="77777777" w:rsidR="00D412CC" w:rsidRDefault="00D412CC" w:rsidP="00D412CC">
            <w:pPr>
              <w:jc w:val="center"/>
              <w:rPr>
                <w:rFonts w:ascii="Arial" w:hAnsi="Arial"/>
              </w:rPr>
            </w:pPr>
            <w:r>
              <w:rPr>
                <w:rFonts w:ascii="Arial" w:hAnsi="Arial"/>
              </w:rPr>
              <w:t>Base</w:t>
            </w:r>
          </w:p>
        </w:tc>
        <w:tc>
          <w:tcPr>
            <w:tcW w:w="1519" w:type="dxa"/>
            <w:vAlign w:val="center"/>
          </w:tcPr>
          <w:p w14:paraId="5A1B3B7C" w14:textId="4CDF8C12" w:rsidR="00D412CC" w:rsidRPr="001130A9" w:rsidRDefault="00D412CC" w:rsidP="00D412CC">
            <w:pPr>
              <w:jc w:val="center"/>
              <w:rPr>
                <w:rFonts w:ascii="Arial" w:hAnsi="Arial"/>
              </w:rPr>
            </w:pPr>
            <w:r w:rsidRPr="001130A9">
              <w:rPr>
                <w:rFonts w:ascii="Arial" w:hAnsi="Arial"/>
              </w:rPr>
              <w:t>0.04 – 0.14*</w:t>
            </w:r>
          </w:p>
        </w:tc>
        <w:tc>
          <w:tcPr>
            <w:tcW w:w="1162" w:type="dxa"/>
            <w:vAlign w:val="center"/>
          </w:tcPr>
          <w:p w14:paraId="61C5FB7B" w14:textId="370D718F" w:rsidR="00D412CC" w:rsidRPr="001130A9" w:rsidRDefault="00D412CC" w:rsidP="00D412CC">
            <w:pPr>
              <w:jc w:val="center"/>
              <w:rPr>
                <w:rFonts w:ascii="Arial" w:hAnsi="Arial"/>
              </w:rPr>
            </w:pPr>
            <w:r w:rsidRPr="001130A9">
              <w:rPr>
                <w:rFonts w:ascii="Arial" w:hAnsi="Arial"/>
              </w:rPr>
              <w:t>0.10*</w:t>
            </w:r>
          </w:p>
        </w:tc>
        <w:tc>
          <w:tcPr>
            <w:tcW w:w="894" w:type="dxa"/>
            <w:vAlign w:val="center"/>
          </w:tcPr>
          <w:p w14:paraId="034D8C0F" w14:textId="7F7A59B4" w:rsidR="00D412CC" w:rsidRPr="001130A9" w:rsidRDefault="00D412CC" w:rsidP="00D412CC">
            <w:pPr>
              <w:jc w:val="center"/>
              <w:rPr>
                <w:rFonts w:ascii="Arial" w:hAnsi="Arial"/>
              </w:rPr>
            </w:pPr>
            <w:r w:rsidRPr="001130A9">
              <w:rPr>
                <w:rFonts w:ascii="Arial" w:hAnsi="Arial"/>
              </w:rPr>
              <w:t>3.0”</w:t>
            </w:r>
          </w:p>
        </w:tc>
        <w:tc>
          <w:tcPr>
            <w:tcW w:w="984" w:type="dxa"/>
            <w:vAlign w:val="center"/>
          </w:tcPr>
          <w:p w14:paraId="5102BDEA" w14:textId="3636737E" w:rsidR="00D412CC" w:rsidRPr="001130A9" w:rsidRDefault="00D412CC" w:rsidP="00D412CC">
            <w:pPr>
              <w:jc w:val="center"/>
              <w:rPr>
                <w:rFonts w:ascii="Arial" w:hAnsi="Arial"/>
              </w:rPr>
            </w:pPr>
            <w:r w:rsidRPr="001130A9">
              <w:rPr>
                <w:rFonts w:ascii="Arial" w:hAnsi="Arial"/>
              </w:rPr>
              <w:t>6.0”</w:t>
            </w:r>
          </w:p>
        </w:tc>
        <w:tc>
          <w:tcPr>
            <w:tcW w:w="984" w:type="dxa"/>
            <w:vAlign w:val="center"/>
          </w:tcPr>
          <w:p w14:paraId="713CA920" w14:textId="3890DB30" w:rsidR="00D412CC" w:rsidRPr="001130A9" w:rsidRDefault="00D412CC" w:rsidP="00D412CC">
            <w:pPr>
              <w:jc w:val="center"/>
              <w:rPr>
                <w:rFonts w:ascii="Arial" w:hAnsi="Arial"/>
              </w:rPr>
            </w:pPr>
            <w:r w:rsidRPr="001130A9">
              <w:rPr>
                <w:rFonts w:ascii="Arial" w:hAnsi="Arial"/>
              </w:rPr>
              <w:t>12.0”</w:t>
            </w:r>
          </w:p>
        </w:tc>
        <w:tc>
          <w:tcPr>
            <w:tcW w:w="1340" w:type="dxa"/>
            <w:vAlign w:val="center"/>
          </w:tcPr>
          <w:p w14:paraId="3F312FC7" w14:textId="28358B5E" w:rsidR="00D412CC" w:rsidRPr="001130A9" w:rsidRDefault="00D412CC" w:rsidP="00D412CC">
            <w:pPr>
              <w:jc w:val="center"/>
              <w:rPr>
                <w:rFonts w:ascii="Arial" w:hAnsi="Arial"/>
              </w:rPr>
            </w:pPr>
            <w:r w:rsidRPr="001130A9">
              <w:rPr>
                <w:rFonts w:ascii="Arial" w:hAnsi="Arial"/>
              </w:rPr>
              <w:t>0.03 – 0.10*</w:t>
            </w:r>
          </w:p>
        </w:tc>
        <w:tc>
          <w:tcPr>
            <w:tcW w:w="1162" w:type="dxa"/>
            <w:vAlign w:val="center"/>
          </w:tcPr>
          <w:p w14:paraId="5D02C892" w14:textId="29306134" w:rsidR="00D412CC" w:rsidRPr="001130A9" w:rsidRDefault="00D412CC" w:rsidP="00D412CC">
            <w:pPr>
              <w:jc w:val="center"/>
              <w:rPr>
                <w:rFonts w:ascii="Arial" w:hAnsi="Arial"/>
              </w:rPr>
            </w:pPr>
            <w:r w:rsidRPr="001130A9">
              <w:rPr>
                <w:rFonts w:ascii="Arial" w:hAnsi="Arial"/>
              </w:rPr>
              <w:t>0.08*</w:t>
            </w:r>
          </w:p>
        </w:tc>
        <w:tc>
          <w:tcPr>
            <w:tcW w:w="1073" w:type="dxa"/>
            <w:vAlign w:val="center"/>
          </w:tcPr>
          <w:p w14:paraId="4ED57CBA" w14:textId="400DC961" w:rsidR="00D412CC" w:rsidRPr="001130A9" w:rsidRDefault="00D412CC" w:rsidP="00D412CC">
            <w:pPr>
              <w:jc w:val="center"/>
              <w:rPr>
                <w:rFonts w:ascii="Arial" w:hAnsi="Arial"/>
              </w:rPr>
            </w:pPr>
            <w:r w:rsidRPr="001130A9">
              <w:rPr>
                <w:rFonts w:ascii="Arial" w:hAnsi="Arial"/>
              </w:rPr>
              <w:t>*</w:t>
            </w:r>
          </w:p>
        </w:tc>
      </w:tr>
      <w:tr w:rsidR="00D412CC" w14:paraId="74C2E115" w14:textId="77777777" w:rsidTr="00D412CC">
        <w:tc>
          <w:tcPr>
            <w:tcW w:w="2857" w:type="dxa"/>
            <w:vAlign w:val="center"/>
          </w:tcPr>
          <w:p w14:paraId="0D2300D1" w14:textId="77777777" w:rsidR="00D412CC" w:rsidRDefault="00D412CC" w:rsidP="00D412CC">
            <w:pPr>
              <w:rPr>
                <w:rFonts w:ascii="Arial" w:hAnsi="Arial"/>
              </w:rPr>
            </w:pPr>
            <w:r>
              <w:rPr>
                <w:rFonts w:ascii="Arial" w:hAnsi="Arial"/>
              </w:rPr>
              <w:t>Soil Contaminated Aggregate Base</w:t>
            </w:r>
          </w:p>
        </w:tc>
        <w:tc>
          <w:tcPr>
            <w:tcW w:w="1340" w:type="dxa"/>
            <w:vAlign w:val="center"/>
          </w:tcPr>
          <w:p w14:paraId="12E3081A" w14:textId="77777777" w:rsidR="00D412CC" w:rsidRDefault="00D412CC" w:rsidP="00D412CC">
            <w:pPr>
              <w:jc w:val="center"/>
              <w:rPr>
                <w:rFonts w:ascii="Arial" w:hAnsi="Arial"/>
              </w:rPr>
            </w:pPr>
            <w:r>
              <w:rPr>
                <w:rFonts w:ascii="Arial" w:hAnsi="Arial"/>
              </w:rPr>
              <w:t>Base</w:t>
            </w:r>
          </w:p>
        </w:tc>
        <w:tc>
          <w:tcPr>
            <w:tcW w:w="1519" w:type="dxa"/>
            <w:vAlign w:val="center"/>
          </w:tcPr>
          <w:p w14:paraId="2ABA8D70" w14:textId="6BF35EA2" w:rsidR="00D412CC" w:rsidRPr="001130A9" w:rsidRDefault="00D412CC" w:rsidP="00D412CC">
            <w:pPr>
              <w:jc w:val="center"/>
              <w:rPr>
                <w:rFonts w:ascii="Arial" w:hAnsi="Arial"/>
              </w:rPr>
            </w:pPr>
            <w:r w:rsidRPr="001130A9">
              <w:rPr>
                <w:rFonts w:ascii="Arial" w:hAnsi="Arial"/>
              </w:rPr>
              <w:t>0.05 – 0.10</w:t>
            </w:r>
          </w:p>
        </w:tc>
        <w:tc>
          <w:tcPr>
            <w:tcW w:w="1162" w:type="dxa"/>
            <w:vAlign w:val="center"/>
          </w:tcPr>
          <w:p w14:paraId="51D0B9CF" w14:textId="7282693B" w:rsidR="00D412CC" w:rsidRPr="001130A9" w:rsidRDefault="00D412CC" w:rsidP="00D412CC">
            <w:pPr>
              <w:jc w:val="center"/>
              <w:rPr>
                <w:rFonts w:ascii="Arial" w:hAnsi="Arial"/>
              </w:rPr>
            </w:pPr>
            <w:r w:rsidRPr="001130A9">
              <w:rPr>
                <w:rFonts w:ascii="Arial" w:hAnsi="Arial"/>
              </w:rPr>
              <w:t>0.08</w:t>
            </w:r>
          </w:p>
        </w:tc>
        <w:tc>
          <w:tcPr>
            <w:tcW w:w="894" w:type="dxa"/>
            <w:vAlign w:val="center"/>
          </w:tcPr>
          <w:p w14:paraId="4F7515E9" w14:textId="342A6A85" w:rsidR="00D412CC" w:rsidRPr="001130A9" w:rsidRDefault="00D412CC" w:rsidP="00D412CC">
            <w:pPr>
              <w:jc w:val="center"/>
              <w:rPr>
                <w:rFonts w:ascii="Arial" w:hAnsi="Arial"/>
              </w:rPr>
            </w:pPr>
            <w:r w:rsidRPr="001130A9">
              <w:rPr>
                <w:rFonts w:ascii="Arial" w:hAnsi="Arial"/>
              </w:rPr>
              <w:t>3.0”</w:t>
            </w:r>
          </w:p>
        </w:tc>
        <w:tc>
          <w:tcPr>
            <w:tcW w:w="984" w:type="dxa"/>
            <w:vAlign w:val="center"/>
          </w:tcPr>
          <w:p w14:paraId="59D67212" w14:textId="2BAB7B33" w:rsidR="00D412CC" w:rsidRPr="001130A9" w:rsidRDefault="00D412CC" w:rsidP="00D412CC">
            <w:pPr>
              <w:jc w:val="center"/>
              <w:rPr>
                <w:rFonts w:ascii="Arial" w:hAnsi="Arial"/>
              </w:rPr>
            </w:pPr>
            <w:r w:rsidRPr="001130A9">
              <w:rPr>
                <w:rFonts w:ascii="Arial" w:hAnsi="Arial"/>
              </w:rPr>
              <w:t>6.0”</w:t>
            </w:r>
          </w:p>
        </w:tc>
        <w:tc>
          <w:tcPr>
            <w:tcW w:w="984" w:type="dxa"/>
            <w:vAlign w:val="center"/>
          </w:tcPr>
          <w:p w14:paraId="12E301FF" w14:textId="24EF9E1B" w:rsidR="00D412CC" w:rsidRPr="001130A9" w:rsidRDefault="00D412CC" w:rsidP="00D412CC">
            <w:pPr>
              <w:jc w:val="center"/>
              <w:rPr>
                <w:rFonts w:ascii="Arial" w:hAnsi="Arial"/>
              </w:rPr>
            </w:pPr>
            <w:r w:rsidRPr="001130A9">
              <w:rPr>
                <w:rFonts w:ascii="Arial" w:hAnsi="Arial"/>
              </w:rPr>
              <w:t>6.0”</w:t>
            </w:r>
          </w:p>
        </w:tc>
        <w:tc>
          <w:tcPr>
            <w:tcW w:w="1340" w:type="dxa"/>
            <w:vAlign w:val="center"/>
          </w:tcPr>
          <w:p w14:paraId="29D044DE" w14:textId="17914176" w:rsidR="00D412CC" w:rsidRPr="001130A9" w:rsidRDefault="00D412CC" w:rsidP="00D412CC">
            <w:pPr>
              <w:jc w:val="center"/>
              <w:rPr>
                <w:rFonts w:ascii="Arial" w:hAnsi="Arial"/>
              </w:rPr>
            </w:pPr>
            <w:r w:rsidRPr="001130A9">
              <w:rPr>
                <w:rFonts w:ascii="Arial" w:hAnsi="Arial"/>
              </w:rPr>
              <w:t>0.05 – 0.10</w:t>
            </w:r>
          </w:p>
        </w:tc>
        <w:tc>
          <w:tcPr>
            <w:tcW w:w="1162" w:type="dxa"/>
            <w:vAlign w:val="center"/>
          </w:tcPr>
          <w:p w14:paraId="35EEB916" w14:textId="3A890291" w:rsidR="00D412CC" w:rsidRPr="001130A9" w:rsidRDefault="00D412CC" w:rsidP="00D412CC">
            <w:pPr>
              <w:jc w:val="center"/>
              <w:rPr>
                <w:rFonts w:ascii="Arial" w:hAnsi="Arial"/>
              </w:rPr>
            </w:pPr>
            <w:r w:rsidRPr="001130A9">
              <w:rPr>
                <w:rFonts w:ascii="Arial" w:hAnsi="Arial"/>
              </w:rPr>
              <w:t>0.08</w:t>
            </w:r>
          </w:p>
        </w:tc>
        <w:tc>
          <w:tcPr>
            <w:tcW w:w="1073" w:type="dxa"/>
            <w:vAlign w:val="center"/>
          </w:tcPr>
          <w:p w14:paraId="223F62ED" w14:textId="35343F15" w:rsidR="00D412CC" w:rsidRPr="001130A9" w:rsidRDefault="00D412CC" w:rsidP="00D412CC">
            <w:pPr>
              <w:jc w:val="center"/>
              <w:rPr>
                <w:rFonts w:ascii="Arial" w:hAnsi="Arial"/>
              </w:rPr>
            </w:pPr>
            <w:r w:rsidRPr="001130A9">
              <w:rPr>
                <w:rFonts w:ascii="Arial" w:hAnsi="Arial"/>
              </w:rPr>
              <w:t>1.0</w:t>
            </w:r>
          </w:p>
        </w:tc>
      </w:tr>
      <w:tr w:rsidR="00D412CC" w14:paraId="015191D4" w14:textId="77777777" w:rsidTr="00D412CC">
        <w:tc>
          <w:tcPr>
            <w:tcW w:w="2857" w:type="dxa"/>
            <w:vAlign w:val="center"/>
          </w:tcPr>
          <w:p w14:paraId="6DAEDA5D" w14:textId="77777777" w:rsidR="00D412CC" w:rsidRDefault="00D412CC" w:rsidP="00D412CC">
            <w:pPr>
              <w:rPr>
                <w:rFonts w:ascii="Arial" w:hAnsi="Arial"/>
              </w:rPr>
            </w:pPr>
            <w:r>
              <w:rPr>
                <w:rFonts w:ascii="Arial" w:hAnsi="Arial"/>
              </w:rPr>
              <w:t>Select Borrow</w:t>
            </w:r>
          </w:p>
        </w:tc>
        <w:tc>
          <w:tcPr>
            <w:tcW w:w="1340" w:type="dxa"/>
            <w:vAlign w:val="center"/>
          </w:tcPr>
          <w:p w14:paraId="67FC03CA" w14:textId="630B141C" w:rsidR="00D412CC" w:rsidRDefault="00D412CC" w:rsidP="00D412CC">
            <w:pPr>
              <w:jc w:val="center"/>
              <w:rPr>
                <w:rFonts w:ascii="Arial" w:hAnsi="Arial"/>
              </w:rPr>
            </w:pPr>
            <w:r>
              <w:rPr>
                <w:rFonts w:ascii="Arial" w:hAnsi="Arial"/>
              </w:rPr>
              <w:t>Sub-base</w:t>
            </w:r>
          </w:p>
        </w:tc>
        <w:tc>
          <w:tcPr>
            <w:tcW w:w="1519" w:type="dxa"/>
            <w:vAlign w:val="center"/>
          </w:tcPr>
          <w:p w14:paraId="4A2A4CB3" w14:textId="25B0710A" w:rsidR="00D412CC" w:rsidRPr="001130A9" w:rsidRDefault="00D412CC" w:rsidP="00D412CC">
            <w:pPr>
              <w:jc w:val="center"/>
              <w:rPr>
                <w:rFonts w:ascii="Arial" w:hAnsi="Arial"/>
              </w:rPr>
            </w:pPr>
            <w:r w:rsidRPr="001130A9">
              <w:rPr>
                <w:rFonts w:ascii="Arial" w:hAnsi="Arial"/>
              </w:rPr>
              <w:t>0.04 – 0.08</w:t>
            </w:r>
          </w:p>
        </w:tc>
        <w:tc>
          <w:tcPr>
            <w:tcW w:w="1162" w:type="dxa"/>
            <w:vAlign w:val="center"/>
          </w:tcPr>
          <w:p w14:paraId="53CD5395" w14:textId="7CED5A68" w:rsidR="00D412CC" w:rsidRPr="001130A9" w:rsidRDefault="00D412CC" w:rsidP="00D412CC">
            <w:pPr>
              <w:jc w:val="center"/>
              <w:rPr>
                <w:rFonts w:ascii="Arial" w:hAnsi="Arial"/>
              </w:rPr>
            </w:pPr>
            <w:r w:rsidRPr="001130A9">
              <w:rPr>
                <w:rFonts w:ascii="Arial" w:hAnsi="Arial"/>
              </w:rPr>
              <w:t>0.05</w:t>
            </w:r>
          </w:p>
        </w:tc>
        <w:tc>
          <w:tcPr>
            <w:tcW w:w="894" w:type="dxa"/>
            <w:vAlign w:val="center"/>
          </w:tcPr>
          <w:p w14:paraId="070C4BD5" w14:textId="27DFBE8F" w:rsidR="00D412CC" w:rsidRPr="001130A9" w:rsidRDefault="00D412CC" w:rsidP="00D412CC">
            <w:pPr>
              <w:jc w:val="center"/>
              <w:rPr>
                <w:rFonts w:ascii="Arial" w:hAnsi="Arial"/>
              </w:rPr>
            </w:pPr>
            <w:r w:rsidRPr="001130A9">
              <w:rPr>
                <w:rFonts w:ascii="Arial" w:hAnsi="Arial"/>
              </w:rPr>
              <w:t>3.0”</w:t>
            </w:r>
          </w:p>
        </w:tc>
        <w:tc>
          <w:tcPr>
            <w:tcW w:w="984" w:type="dxa"/>
            <w:vAlign w:val="center"/>
          </w:tcPr>
          <w:p w14:paraId="7DC5CF8A" w14:textId="491E9DF7" w:rsidR="00D412CC" w:rsidRPr="001130A9" w:rsidRDefault="00D412CC" w:rsidP="00D412CC">
            <w:pPr>
              <w:jc w:val="center"/>
              <w:rPr>
                <w:rFonts w:ascii="Arial" w:hAnsi="Arial"/>
              </w:rPr>
            </w:pPr>
            <w:r w:rsidRPr="001130A9">
              <w:rPr>
                <w:rFonts w:ascii="Arial" w:hAnsi="Arial"/>
              </w:rPr>
              <w:t>6.0”</w:t>
            </w:r>
          </w:p>
        </w:tc>
        <w:tc>
          <w:tcPr>
            <w:tcW w:w="984" w:type="dxa"/>
            <w:vAlign w:val="center"/>
          </w:tcPr>
          <w:p w14:paraId="28B7E4EF" w14:textId="09B55891" w:rsidR="00D412CC" w:rsidRPr="001130A9" w:rsidRDefault="00D412CC" w:rsidP="00D412CC">
            <w:pPr>
              <w:jc w:val="center"/>
              <w:rPr>
                <w:rFonts w:ascii="Arial" w:hAnsi="Arial"/>
              </w:rPr>
            </w:pPr>
            <w:r w:rsidRPr="001130A9">
              <w:rPr>
                <w:rFonts w:ascii="Arial" w:hAnsi="Arial"/>
              </w:rPr>
              <w:t>8.0”</w:t>
            </w:r>
          </w:p>
        </w:tc>
        <w:tc>
          <w:tcPr>
            <w:tcW w:w="1340" w:type="dxa"/>
            <w:vAlign w:val="center"/>
          </w:tcPr>
          <w:p w14:paraId="31D66BC8" w14:textId="0D136E9F" w:rsidR="00D412CC" w:rsidRPr="001130A9" w:rsidRDefault="00D412CC" w:rsidP="00D412CC">
            <w:pPr>
              <w:jc w:val="center"/>
              <w:rPr>
                <w:rFonts w:ascii="Arial" w:hAnsi="Arial"/>
              </w:rPr>
            </w:pPr>
            <w:r w:rsidRPr="001130A9">
              <w:rPr>
                <w:rFonts w:ascii="Arial" w:hAnsi="Arial"/>
              </w:rPr>
              <w:t>0.04 – 0.08</w:t>
            </w:r>
          </w:p>
        </w:tc>
        <w:tc>
          <w:tcPr>
            <w:tcW w:w="1162" w:type="dxa"/>
            <w:vAlign w:val="center"/>
          </w:tcPr>
          <w:p w14:paraId="09F1B206" w14:textId="3D87893A" w:rsidR="00D412CC" w:rsidRPr="001130A9" w:rsidRDefault="00D412CC" w:rsidP="00D412CC">
            <w:pPr>
              <w:jc w:val="center"/>
              <w:rPr>
                <w:rFonts w:ascii="Arial" w:hAnsi="Arial"/>
              </w:rPr>
            </w:pPr>
            <w:r w:rsidRPr="001130A9">
              <w:rPr>
                <w:rFonts w:ascii="Arial" w:hAnsi="Arial"/>
              </w:rPr>
              <w:t>0.05</w:t>
            </w:r>
          </w:p>
        </w:tc>
        <w:tc>
          <w:tcPr>
            <w:tcW w:w="1073" w:type="dxa"/>
            <w:vAlign w:val="center"/>
          </w:tcPr>
          <w:p w14:paraId="184745E8" w14:textId="13A84A25" w:rsidR="00D412CC" w:rsidRPr="001130A9" w:rsidRDefault="00D412CC" w:rsidP="00D412CC">
            <w:pPr>
              <w:jc w:val="center"/>
              <w:rPr>
                <w:rFonts w:ascii="Arial" w:hAnsi="Arial"/>
              </w:rPr>
            </w:pPr>
            <w:r w:rsidRPr="001130A9">
              <w:rPr>
                <w:rFonts w:ascii="Arial" w:hAnsi="Arial"/>
              </w:rPr>
              <w:t>1.0</w:t>
            </w:r>
          </w:p>
        </w:tc>
      </w:tr>
      <w:tr w:rsidR="00D412CC" w14:paraId="5AB0E665" w14:textId="77777777" w:rsidTr="00D412CC">
        <w:tc>
          <w:tcPr>
            <w:tcW w:w="2857" w:type="dxa"/>
            <w:vAlign w:val="center"/>
          </w:tcPr>
          <w:p w14:paraId="31541C80" w14:textId="77777777" w:rsidR="00D412CC" w:rsidRDefault="00D412CC" w:rsidP="00D412CC">
            <w:pPr>
              <w:rPr>
                <w:rFonts w:ascii="Arial" w:hAnsi="Arial"/>
              </w:rPr>
            </w:pPr>
            <w:r>
              <w:rPr>
                <w:rFonts w:ascii="Arial" w:hAnsi="Arial"/>
              </w:rPr>
              <w:t>Capping Borrow</w:t>
            </w:r>
          </w:p>
        </w:tc>
        <w:tc>
          <w:tcPr>
            <w:tcW w:w="1340" w:type="dxa"/>
            <w:vAlign w:val="center"/>
          </w:tcPr>
          <w:p w14:paraId="02D633F8" w14:textId="49BF4F6B" w:rsidR="00D412CC" w:rsidRDefault="00D412CC" w:rsidP="00D412CC">
            <w:pPr>
              <w:jc w:val="center"/>
              <w:rPr>
                <w:rFonts w:ascii="Arial" w:hAnsi="Arial"/>
              </w:rPr>
            </w:pPr>
            <w:r>
              <w:rPr>
                <w:rFonts w:ascii="Arial" w:hAnsi="Arial"/>
              </w:rPr>
              <w:t>Sub-base</w:t>
            </w:r>
          </w:p>
        </w:tc>
        <w:tc>
          <w:tcPr>
            <w:tcW w:w="1519" w:type="dxa"/>
            <w:vAlign w:val="center"/>
          </w:tcPr>
          <w:p w14:paraId="6E946B6C" w14:textId="3A311946" w:rsidR="00D412CC" w:rsidRPr="001130A9" w:rsidRDefault="00D412CC" w:rsidP="00D412CC">
            <w:pPr>
              <w:jc w:val="center"/>
              <w:rPr>
                <w:rFonts w:ascii="Arial" w:hAnsi="Arial"/>
              </w:rPr>
            </w:pPr>
            <w:r w:rsidRPr="001130A9">
              <w:rPr>
                <w:rFonts w:ascii="Arial" w:hAnsi="Arial"/>
              </w:rPr>
              <w:t>0.04 – 0.08</w:t>
            </w:r>
          </w:p>
        </w:tc>
        <w:tc>
          <w:tcPr>
            <w:tcW w:w="1162" w:type="dxa"/>
            <w:vAlign w:val="center"/>
          </w:tcPr>
          <w:p w14:paraId="4EEA0AE1" w14:textId="08A3763D" w:rsidR="00D412CC" w:rsidRPr="001130A9" w:rsidRDefault="00D412CC" w:rsidP="00D412CC">
            <w:pPr>
              <w:jc w:val="center"/>
              <w:rPr>
                <w:rFonts w:ascii="Arial" w:hAnsi="Arial"/>
              </w:rPr>
            </w:pPr>
            <w:r w:rsidRPr="001130A9">
              <w:rPr>
                <w:rFonts w:ascii="Arial" w:hAnsi="Arial"/>
              </w:rPr>
              <w:t>0.06</w:t>
            </w:r>
          </w:p>
        </w:tc>
        <w:tc>
          <w:tcPr>
            <w:tcW w:w="894" w:type="dxa"/>
            <w:vAlign w:val="center"/>
          </w:tcPr>
          <w:p w14:paraId="03B03D9F" w14:textId="30238382" w:rsidR="00D412CC" w:rsidRPr="001130A9" w:rsidRDefault="00D412CC" w:rsidP="00D412CC">
            <w:pPr>
              <w:jc w:val="center"/>
              <w:rPr>
                <w:rFonts w:ascii="Arial" w:hAnsi="Arial"/>
              </w:rPr>
            </w:pPr>
            <w:r w:rsidRPr="001130A9">
              <w:rPr>
                <w:rFonts w:ascii="Arial" w:hAnsi="Arial"/>
              </w:rPr>
              <w:t>3.0”</w:t>
            </w:r>
          </w:p>
        </w:tc>
        <w:tc>
          <w:tcPr>
            <w:tcW w:w="984" w:type="dxa"/>
            <w:vAlign w:val="center"/>
          </w:tcPr>
          <w:p w14:paraId="1B38B51C" w14:textId="02FF711D" w:rsidR="00D412CC" w:rsidRPr="001130A9" w:rsidRDefault="00D412CC" w:rsidP="00D412CC">
            <w:pPr>
              <w:jc w:val="center"/>
              <w:rPr>
                <w:rFonts w:ascii="Arial" w:hAnsi="Arial"/>
              </w:rPr>
            </w:pPr>
            <w:r w:rsidRPr="001130A9">
              <w:rPr>
                <w:rFonts w:ascii="Arial" w:hAnsi="Arial"/>
              </w:rPr>
              <w:t>6.0”</w:t>
            </w:r>
          </w:p>
        </w:tc>
        <w:tc>
          <w:tcPr>
            <w:tcW w:w="984" w:type="dxa"/>
            <w:vAlign w:val="center"/>
          </w:tcPr>
          <w:p w14:paraId="6988BD6C" w14:textId="37D27BF7" w:rsidR="00D412CC" w:rsidRPr="001130A9" w:rsidRDefault="00D412CC" w:rsidP="00D412CC">
            <w:pPr>
              <w:jc w:val="center"/>
              <w:rPr>
                <w:rFonts w:ascii="Arial" w:hAnsi="Arial"/>
              </w:rPr>
            </w:pPr>
            <w:r w:rsidRPr="001130A9">
              <w:rPr>
                <w:rFonts w:ascii="Arial" w:hAnsi="Arial"/>
              </w:rPr>
              <w:t>8.0”</w:t>
            </w:r>
          </w:p>
        </w:tc>
        <w:tc>
          <w:tcPr>
            <w:tcW w:w="1340" w:type="dxa"/>
            <w:vAlign w:val="center"/>
          </w:tcPr>
          <w:p w14:paraId="3DD7D8A9" w14:textId="20EA7618" w:rsidR="00D412CC" w:rsidRPr="001130A9" w:rsidRDefault="00D412CC" w:rsidP="00D412CC">
            <w:pPr>
              <w:jc w:val="center"/>
              <w:rPr>
                <w:rFonts w:ascii="Arial" w:hAnsi="Arial"/>
              </w:rPr>
            </w:pPr>
            <w:r w:rsidRPr="001130A9">
              <w:rPr>
                <w:rFonts w:ascii="Arial" w:hAnsi="Arial"/>
              </w:rPr>
              <w:t>0.04 – 0.08</w:t>
            </w:r>
          </w:p>
        </w:tc>
        <w:tc>
          <w:tcPr>
            <w:tcW w:w="1162" w:type="dxa"/>
            <w:vAlign w:val="center"/>
          </w:tcPr>
          <w:p w14:paraId="1C9FB1F9" w14:textId="5DC13582" w:rsidR="00D412CC" w:rsidRPr="001130A9" w:rsidRDefault="00D412CC" w:rsidP="00D412CC">
            <w:pPr>
              <w:jc w:val="center"/>
              <w:rPr>
                <w:rFonts w:ascii="Arial" w:hAnsi="Arial"/>
              </w:rPr>
            </w:pPr>
            <w:r w:rsidRPr="001130A9">
              <w:rPr>
                <w:rFonts w:ascii="Arial" w:hAnsi="Arial"/>
              </w:rPr>
              <w:t>0.06</w:t>
            </w:r>
          </w:p>
        </w:tc>
        <w:tc>
          <w:tcPr>
            <w:tcW w:w="1073" w:type="dxa"/>
            <w:vAlign w:val="center"/>
          </w:tcPr>
          <w:p w14:paraId="357B6A7C" w14:textId="582E9E4E" w:rsidR="00D412CC" w:rsidRPr="001130A9" w:rsidRDefault="00D412CC" w:rsidP="00D412CC">
            <w:pPr>
              <w:jc w:val="center"/>
              <w:rPr>
                <w:rFonts w:ascii="Arial" w:hAnsi="Arial"/>
              </w:rPr>
            </w:pPr>
            <w:r w:rsidRPr="001130A9">
              <w:rPr>
                <w:rFonts w:ascii="Arial" w:hAnsi="Arial"/>
              </w:rPr>
              <w:t>1.0</w:t>
            </w:r>
          </w:p>
        </w:tc>
      </w:tr>
      <w:tr w:rsidR="00D412CC" w14:paraId="548AD4D1" w14:textId="77777777" w:rsidTr="00D412CC">
        <w:tc>
          <w:tcPr>
            <w:tcW w:w="2857" w:type="dxa"/>
            <w:vAlign w:val="center"/>
          </w:tcPr>
          <w:p w14:paraId="4F83983E" w14:textId="77777777" w:rsidR="00D412CC" w:rsidRDefault="00D412CC" w:rsidP="00D412CC">
            <w:pPr>
              <w:rPr>
                <w:rFonts w:ascii="Arial" w:hAnsi="Arial"/>
              </w:rPr>
            </w:pPr>
            <w:r>
              <w:rPr>
                <w:rFonts w:ascii="Arial" w:hAnsi="Arial"/>
              </w:rPr>
              <w:t>Modified Borrow</w:t>
            </w:r>
          </w:p>
        </w:tc>
        <w:tc>
          <w:tcPr>
            <w:tcW w:w="1340" w:type="dxa"/>
            <w:vAlign w:val="center"/>
          </w:tcPr>
          <w:p w14:paraId="06745D6A" w14:textId="69EFD831" w:rsidR="00D412CC" w:rsidRDefault="00D412CC" w:rsidP="00D412CC">
            <w:pPr>
              <w:jc w:val="center"/>
              <w:rPr>
                <w:rFonts w:ascii="Arial" w:hAnsi="Arial"/>
              </w:rPr>
            </w:pPr>
            <w:r>
              <w:rPr>
                <w:rFonts w:ascii="Arial" w:hAnsi="Arial"/>
              </w:rPr>
              <w:t>Sub-base</w:t>
            </w:r>
          </w:p>
        </w:tc>
        <w:tc>
          <w:tcPr>
            <w:tcW w:w="1519" w:type="dxa"/>
            <w:vAlign w:val="center"/>
          </w:tcPr>
          <w:p w14:paraId="39306BA6" w14:textId="0F7C0DA0" w:rsidR="00D412CC" w:rsidRPr="001130A9" w:rsidRDefault="00D412CC" w:rsidP="00D412CC">
            <w:pPr>
              <w:jc w:val="center"/>
              <w:rPr>
                <w:rFonts w:ascii="Arial" w:hAnsi="Arial"/>
              </w:rPr>
            </w:pPr>
            <w:r w:rsidRPr="001130A9">
              <w:rPr>
                <w:rFonts w:ascii="Arial" w:hAnsi="Arial"/>
              </w:rPr>
              <w:t>0.05 – 0.09</w:t>
            </w:r>
          </w:p>
        </w:tc>
        <w:tc>
          <w:tcPr>
            <w:tcW w:w="1162" w:type="dxa"/>
            <w:vAlign w:val="center"/>
          </w:tcPr>
          <w:p w14:paraId="119E855E" w14:textId="25236D32" w:rsidR="00D412CC" w:rsidRPr="001130A9" w:rsidRDefault="00D412CC" w:rsidP="00D412CC">
            <w:pPr>
              <w:jc w:val="center"/>
              <w:rPr>
                <w:rFonts w:ascii="Arial" w:hAnsi="Arial"/>
              </w:rPr>
            </w:pPr>
            <w:r w:rsidRPr="001130A9">
              <w:rPr>
                <w:rFonts w:ascii="Arial" w:hAnsi="Arial"/>
              </w:rPr>
              <w:t>0.07</w:t>
            </w:r>
          </w:p>
        </w:tc>
        <w:tc>
          <w:tcPr>
            <w:tcW w:w="894" w:type="dxa"/>
            <w:vAlign w:val="center"/>
          </w:tcPr>
          <w:p w14:paraId="096F1442" w14:textId="187A342B" w:rsidR="00D412CC" w:rsidRPr="001130A9" w:rsidRDefault="00D412CC" w:rsidP="00D412CC">
            <w:pPr>
              <w:jc w:val="center"/>
              <w:rPr>
                <w:rFonts w:ascii="Arial" w:hAnsi="Arial"/>
              </w:rPr>
            </w:pPr>
            <w:r w:rsidRPr="001130A9">
              <w:rPr>
                <w:rFonts w:ascii="Arial" w:hAnsi="Arial"/>
              </w:rPr>
              <w:t>3.0”</w:t>
            </w:r>
          </w:p>
        </w:tc>
        <w:tc>
          <w:tcPr>
            <w:tcW w:w="984" w:type="dxa"/>
            <w:vAlign w:val="center"/>
          </w:tcPr>
          <w:p w14:paraId="0568E8CB" w14:textId="080D10E6" w:rsidR="00D412CC" w:rsidRPr="001130A9" w:rsidRDefault="00D412CC" w:rsidP="00D412CC">
            <w:pPr>
              <w:jc w:val="center"/>
              <w:rPr>
                <w:rFonts w:ascii="Arial" w:hAnsi="Arial"/>
              </w:rPr>
            </w:pPr>
            <w:r w:rsidRPr="001130A9">
              <w:rPr>
                <w:rFonts w:ascii="Arial" w:hAnsi="Arial"/>
              </w:rPr>
              <w:t>6.0”</w:t>
            </w:r>
          </w:p>
        </w:tc>
        <w:tc>
          <w:tcPr>
            <w:tcW w:w="984" w:type="dxa"/>
            <w:vAlign w:val="center"/>
          </w:tcPr>
          <w:p w14:paraId="24B76BCB" w14:textId="64C93AE0" w:rsidR="00D412CC" w:rsidRPr="001130A9" w:rsidRDefault="00D412CC" w:rsidP="00D412CC">
            <w:pPr>
              <w:jc w:val="center"/>
              <w:rPr>
                <w:rFonts w:ascii="Arial" w:hAnsi="Arial"/>
              </w:rPr>
            </w:pPr>
            <w:r w:rsidRPr="001130A9">
              <w:rPr>
                <w:rFonts w:ascii="Arial" w:hAnsi="Arial"/>
              </w:rPr>
              <w:t>8.0”</w:t>
            </w:r>
          </w:p>
        </w:tc>
        <w:tc>
          <w:tcPr>
            <w:tcW w:w="1340" w:type="dxa"/>
            <w:vAlign w:val="center"/>
          </w:tcPr>
          <w:p w14:paraId="2BAF1F7E" w14:textId="16E48F59" w:rsidR="00D412CC" w:rsidRPr="001130A9" w:rsidRDefault="00D412CC" w:rsidP="00D412CC">
            <w:pPr>
              <w:jc w:val="center"/>
              <w:rPr>
                <w:rFonts w:ascii="Arial" w:hAnsi="Arial"/>
              </w:rPr>
            </w:pPr>
            <w:r w:rsidRPr="001130A9">
              <w:rPr>
                <w:rFonts w:ascii="Arial" w:hAnsi="Arial"/>
              </w:rPr>
              <w:t>0.05 – 0.09</w:t>
            </w:r>
          </w:p>
        </w:tc>
        <w:tc>
          <w:tcPr>
            <w:tcW w:w="1162" w:type="dxa"/>
            <w:vAlign w:val="center"/>
          </w:tcPr>
          <w:p w14:paraId="7857E8F4" w14:textId="595C195B" w:rsidR="00D412CC" w:rsidRPr="001130A9" w:rsidRDefault="00D412CC" w:rsidP="00D412CC">
            <w:pPr>
              <w:jc w:val="center"/>
              <w:rPr>
                <w:rFonts w:ascii="Arial" w:hAnsi="Arial"/>
              </w:rPr>
            </w:pPr>
            <w:r w:rsidRPr="001130A9">
              <w:rPr>
                <w:rFonts w:ascii="Arial" w:hAnsi="Arial"/>
              </w:rPr>
              <w:t>0.07</w:t>
            </w:r>
          </w:p>
        </w:tc>
        <w:tc>
          <w:tcPr>
            <w:tcW w:w="1073" w:type="dxa"/>
            <w:vAlign w:val="center"/>
          </w:tcPr>
          <w:p w14:paraId="5F90E415" w14:textId="3D459199" w:rsidR="00D412CC" w:rsidRPr="001130A9" w:rsidRDefault="00D412CC" w:rsidP="00D412CC">
            <w:pPr>
              <w:jc w:val="center"/>
              <w:rPr>
                <w:rFonts w:ascii="Arial" w:hAnsi="Arial"/>
              </w:rPr>
            </w:pPr>
            <w:r w:rsidRPr="001130A9">
              <w:rPr>
                <w:rFonts w:ascii="Arial" w:hAnsi="Arial"/>
              </w:rPr>
              <w:t>1.0</w:t>
            </w:r>
          </w:p>
        </w:tc>
      </w:tr>
    </w:tbl>
    <w:p w14:paraId="6D1331EF" w14:textId="77777777" w:rsidR="00152A78" w:rsidRDefault="00152A78" w:rsidP="00152A78">
      <w:pPr>
        <w:rPr>
          <w:rFonts w:ascii="Arial" w:hAnsi="Arial"/>
        </w:rPr>
      </w:pPr>
    </w:p>
    <w:p w14:paraId="7DFE4240" w14:textId="1AA9BF14" w:rsidR="00CF4FA9" w:rsidRDefault="00CF4FA9" w:rsidP="00CF4FA9">
      <w:pPr>
        <w:rPr>
          <w:rFonts w:ascii="Arial" w:hAnsi="Arial"/>
          <w:sz w:val="18"/>
        </w:rPr>
        <w:sectPr w:rsidR="00CF4FA9" w:rsidSect="0049684B">
          <w:headerReference w:type="default" r:id="rId149"/>
          <w:footerReference w:type="default" r:id="rId150"/>
          <w:pgSz w:w="15840" w:h="12240" w:orient="landscape"/>
          <w:pgMar w:top="1800" w:right="1440" w:bottom="1800" w:left="1440" w:header="432" w:footer="720" w:gutter="0"/>
          <w:pgNumType w:chapStyle="1"/>
          <w:cols w:space="720"/>
          <w:docGrid w:linePitch="272"/>
        </w:sectPr>
      </w:pPr>
      <w:r w:rsidRPr="001130A9">
        <w:rPr>
          <w:rFonts w:ascii="Arial" w:hAnsi="Arial"/>
          <w:sz w:val="18"/>
        </w:rPr>
        <w:t xml:space="preserve">* </w:t>
      </w:r>
      <w:r w:rsidR="008C7023">
        <w:rPr>
          <w:rFonts w:ascii="Arial" w:hAnsi="Arial"/>
          <w:sz w:val="18"/>
        </w:rPr>
        <w:t>MDOT-SHA</w:t>
      </w:r>
      <w:r w:rsidRPr="001130A9">
        <w:rPr>
          <w:rFonts w:ascii="Arial" w:hAnsi="Arial"/>
          <w:sz w:val="18"/>
        </w:rPr>
        <w:t xml:space="preserve"> has adopted an approach to adjust the structural and drainage coefficients of certain unbound base layers based on the quarry used.  See </w:t>
      </w:r>
      <w:hyperlink w:anchor="_Structural_and_Drainage" w:history="1">
        <w:r w:rsidRPr="001130A9">
          <w:rPr>
            <w:rStyle w:val="Hyperlink"/>
            <w:rFonts w:ascii="Arial" w:hAnsi="Arial"/>
            <w:sz w:val="18"/>
          </w:rPr>
          <w:t>Structural and Drainage Coefficient Factors – AASHTO 1993</w:t>
        </w:r>
      </w:hyperlink>
      <w:r w:rsidRPr="001130A9">
        <w:rPr>
          <w:rFonts w:ascii="Arial" w:hAnsi="Arial"/>
          <w:sz w:val="18"/>
        </w:rPr>
        <w:t xml:space="preserve"> for further descriptions of this relationship between degree of saturation and the effect on structural coefficient.</w:t>
      </w:r>
    </w:p>
    <w:p w14:paraId="195EC0AC" w14:textId="1021E8BE" w:rsidR="00DE66EF" w:rsidRDefault="00DE66EF" w:rsidP="00BE3F24">
      <w:pPr>
        <w:pStyle w:val="Heading1"/>
        <w:ind w:left="0" w:firstLine="0"/>
      </w:pPr>
      <w:bookmarkStart w:id="220" w:name="_Analysis_Procedures_1"/>
      <w:bookmarkStart w:id="221" w:name="_Toc479160096"/>
      <w:bookmarkStart w:id="222" w:name="_Toc514057985"/>
      <w:bookmarkStart w:id="223" w:name="_Toc194932381"/>
      <w:bookmarkEnd w:id="220"/>
      <w:r>
        <w:lastRenderedPageBreak/>
        <w:t>Analysis Procedures</w:t>
      </w:r>
      <w:bookmarkEnd w:id="221"/>
      <w:bookmarkEnd w:id="222"/>
      <w:bookmarkEnd w:id="223"/>
    </w:p>
    <w:p w14:paraId="6312402D"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4E34F94E" w14:textId="77777777" w:rsidR="003C5A72" w:rsidRDefault="003C5A72" w:rsidP="003C5A7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Preservation_&amp;" w:history="1">
        <w:r w:rsidRPr="003C5A72">
          <w:rPr>
            <w:rStyle w:val="Hyperlink"/>
            <w:rFonts w:ascii="Arial" w:hAnsi="Arial" w:cs="Arial"/>
            <w:bCs/>
            <w:sz w:val="16"/>
            <w:szCs w:val="16"/>
          </w:rPr>
          <w:t>Pavement Preservation &amp; Rehabilitation Design</w:t>
        </w:r>
      </w:hyperlink>
    </w:p>
    <w:p w14:paraId="614D01F2" w14:textId="77777777" w:rsidR="001F32D3" w:rsidRDefault="001F32D3" w:rsidP="001F32D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2" w:history="1">
        <w:r w:rsidRPr="001F32D3">
          <w:rPr>
            <w:rStyle w:val="Hyperlink"/>
            <w:rFonts w:ascii="Arial" w:hAnsi="Arial" w:cs="Arial"/>
            <w:bCs/>
            <w:sz w:val="16"/>
            <w:szCs w:val="16"/>
          </w:rPr>
          <w:t>New Pavement Design Using AASHTO 1993</w:t>
        </w:r>
      </w:hyperlink>
    </w:p>
    <w:p w14:paraId="62508E3C" w14:textId="77777777" w:rsidR="00707989"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476D6E29" w14:textId="77777777" w:rsidR="00E96760" w:rsidRPr="008F604D" w:rsidRDefault="00E96760" w:rsidP="00E96760">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Pr>
          <w:rFonts w:ascii="Arial" w:eastAsia="Arial" w:hAnsi="Arial" w:cs="Arial"/>
          <w:sz w:val="16"/>
          <w:szCs w:val="16"/>
        </w:rPr>
        <w:t xml:space="preserve"> </w:t>
      </w:r>
      <w:hyperlink w:anchor="_Concrete_Overlay_Design_1" w:history="1">
        <w:r w:rsidRPr="00E96760">
          <w:rPr>
            <w:rStyle w:val="Hyperlink"/>
            <w:rFonts w:ascii="Arial" w:eastAsia="Arial" w:hAnsi="Arial" w:cs="Arial"/>
            <w:sz w:val="16"/>
            <w:szCs w:val="16"/>
          </w:rPr>
          <w:t>Concrete Overlay Design</w:t>
        </w:r>
      </w:hyperlink>
    </w:p>
    <w:p w14:paraId="4C27F6FB" w14:textId="57D41BD8" w:rsidR="00DE66EF" w:rsidRDefault="00DE66EF" w:rsidP="001C4C4E">
      <w:pPr>
        <w:pStyle w:val="Heading2"/>
        <w:ind w:left="0" w:firstLine="0"/>
        <w:jc w:val="both"/>
      </w:pPr>
      <w:bookmarkStart w:id="224" w:name="_Traffic_Analysis"/>
      <w:bookmarkStart w:id="225" w:name="_Toc479160097"/>
      <w:bookmarkStart w:id="226" w:name="_Toc514057986"/>
      <w:bookmarkStart w:id="227" w:name="_Toc194932382"/>
      <w:bookmarkEnd w:id="224"/>
      <w:r>
        <w:t>Traffic Analysis</w:t>
      </w:r>
      <w:bookmarkEnd w:id="225"/>
      <w:bookmarkEnd w:id="226"/>
      <w:bookmarkEnd w:id="227"/>
      <w:r>
        <w:t xml:space="preserve"> </w:t>
      </w:r>
    </w:p>
    <w:p w14:paraId="343ADE17" w14:textId="77777777" w:rsidR="00D012DE" w:rsidRDefault="00D012DE" w:rsidP="001C4C4E">
      <w:pPr>
        <w:pStyle w:val="Heading3"/>
        <w:ind w:left="0" w:firstLine="0"/>
        <w:jc w:val="both"/>
      </w:pPr>
      <w:r>
        <w:t>Purpose</w:t>
      </w:r>
    </w:p>
    <w:p w14:paraId="5166E934" w14:textId="77777777" w:rsidR="00D012DE" w:rsidRDefault="00D012DE" w:rsidP="001C4C4E">
      <w:pPr>
        <w:pStyle w:val="BodyText"/>
        <w:jc w:val="both"/>
      </w:pPr>
      <w:r>
        <w:t>Traffic Analysis is performed on new and rehabilitation pavement designs to:</w:t>
      </w:r>
    </w:p>
    <w:p w14:paraId="740D495A" w14:textId="77777777" w:rsidR="00D012DE" w:rsidRPr="00A42B5F" w:rsidRDefault="00D012DE" w:rsidP="00172E64">
      <w:pPr>
        <w:pStyle w:val="ListParagraph"/>
        <w:numPr>
          <w:ilvl w:val="0"/>
          <w:numId w:val="84"/>
        </w:numPr>
        <w:ind w:left="720" w:hanging="720"/>
        <w:jc w:val="both"/>
      </w:pPr>
      <w:r w:rsidRPr="00D86F4E">
        <w:rPr>
          <w:rFonts w:ascii="Arial" w:hAnsi="Arial"/>
          <w:sz w:val="22"/>
        </w:rPr>
        <w:t xml:space="preserve">Develop the expected traffic volumes for a pavement section </w:t>
      </w:r>
    </w:p>
    <w:p w14:paraId="3CC3FD41" w14:textId="77777777" w:rsidR="00D012DE" w:rsidRPr="00A42B5F" w:rsidRDefault="00D012DE" w:rsidP="00172E64">
      <w:pPr>
        <w:pStyle w:val="ListParagraph"/>
        <w:numPr>
          <w:ilvl w:val="0"/>
          <w:numId w:val="84"/>
        </w:numPr>
        <w:ind w:left="720" w:hanging="720"/>
        <w:jc w:val="both"/>
      </w:pPr>
      <w:r w:rsidRPr="00D86F4E">
        <w:rPr>
          <w:rFonts w:ascii="Arial" w:hAnsi="Arial"/>
          <w:sz w:val="22"/>
        </w:rPr>
        <w:t>Develop the expected truck weight characteristics for a pavement section</w:t>
      </w:r>
    </w:p>
    <w:p w14:paraId="45D76E52" w14:textId="77777777" w:rsidR="00D012DE" w:rsidRPr="00A42B5F" w:rsidRDefault="00D012DE" w:rsidP="00172E64">
      <w:pPr>
        <w:pStyle w:val="ListParagraph"/>
        <w:numPr>
          <w:ilvl w:val="0"/>
          <w:numId w:val="84"/>
        </w:numPr>
        <w:ind w:left="720" w:hanging="720"/>
        <w:jc w:val="both"/>
      </w:pPr>
      <w:r w:rsidRPr="00D86F4E">
        <w:rPr>
          <w:rFonts w:ascii="Arial" w:hAnsi="Arial"/>
          <w:sz w:val="22"/>
        </w:rPr>
        <w:t xml:space="preserve">Develop the expected </w:t>
      </w:r>
      <w:r w:rsidR="007A72F3" w:rsidRPr="00D86F4E">
        <w:rPr>
          <w:rFonts w:ascii="Arial" w:hAnsi="Arial"/>
          <w:sz w:val="22"/>
        </w:rPr>
        <w:t>cumulative number of trucks</w:t>
      </w:r>
      <w:r w:rsidRPr="00D86F4E">
        <w:rPr>
          <w:rFonts w:ascii="Arial" w:hAnsi="Arial"/>
          <w:sz w:val="22"/>
        </w:rPr>
        <w:t xml:space="preserve"> over the service life of a pavement section</w:t>
      </w:r>
    </w:p>
    <w:p w14:paraId="74B0131B" w14:textId="77777777" w:rsidR="00D012DE" w:rsidRPr="00A42B5F" w:rsidRDefault="00D012DE" w:rsidP="00172E64">
      <w:pPr>
        <w:pStyle w:val="ListParagraph"/>
        <w:numPr>
          <w:ilvl w:val="0"/>
          <w:numId w:val="84"/>
        </w:numPr>
        <w:ind w:left="720" w:hanging="720"/>
        <w:jc w:val="both"/>
      </w:pPr>
      <w:r w:rsidRPr="00D86F4E">
        <w:rPr>
          <w:rFonts w:ascii="Arial" w:hAnsi="Arial"/>
          <w:sz w:val="22"/>
        </w:rPr>
        <w:t>Develop the expected ESAL for Superpave mix design information</w:t>
      </w:r>
    </w:p>
    <w:p w14:paraId="21D9F26A" w14:textId="77777777" w:rsidR="00D012DE" w:rsidRDefault="00D012DE" w:rsidP="001C4C4E">
      <w:pPr>
        <w:pStyle w:val="Heading3"/>
        <w:ind w:left="0" w:firstLine="0"/>
        <w:jc w:val="both"/>
      </w:pPr>
      <w:r>
        <w:t>Resource Requirements</w:t>
      </w:r>
    </w:p>
    <w:p w14:paraId="41358CDF" w14:textId="77777777" w:rsidR="00D012DE" w:rsidRDefault="00D012DE" w:rsidP="001C4C4E">
      <w:pPr>
        <w:pStyle w:val="BodyText"/>
        <w:jc w:val="both"/>
      </w:pPr>
      <w:r>
        <w:t>The traffic analysis process documented below requires the following staffing needs for a typical job:</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9"/>
        <w:gridCol w:w="2430"/>
        <w:gridCol w:w="1710"/>
        <w:gridCol w:w="1674"/>
      </w:tblGrid>
      <w:tr w:rsidR="00D012DE" w14:paraId="01E9425F" w14:textId="77777777" w:rsidTr="00D86F4E">
        <w:trPr>
          <w:trHeight w:val="288"/>
          <w:jc w:val="center"/>
        </w:trPr>
        <w:tc>
          <w:tcPr>
            <w:tcW w:w="2759" w:type="dxa"/>
            <w:shd w:val="pct15" w:color="auto" w:fill="FFFFFF"/>
            <w:vAlign w:val="center"/>
          </w:tcPr>
          <w:p w14:paraId="3E6A21FA" w14:textId="77777777" w:rsidR="00D012DE" w:rsidRDefault="00D012DE" w:rsidP="00D86F4E">
            <w:pPr>
              <w:jc w:val="center"/>
              <w:rPr>
                <w:rFonts w:ascii="Arial" w:hAnsi="Arial"/>
                <w:b/>
              </w:rPr>
            </w:pPr>
            <w:r>
              <w:rPr>
                <w:rFonts w:ascii="Arial" w:hAnsi="Arial"/>
                <w:b/>
              </w:rPr>
              <w:t>Position</w:t>
            </w:r>
          </w:p>
        </w:tc>
        <w:tc>
          <w:tcPr>
            <w:tcW w:w="2430" w:type="dxa"/>
            <w:shd w:val="pct15" w:color="auto" w:fill="FFFFFF"/>
            <w:vAlign w:val="center"/>
          </w:tcPr>
          <w:p w14:paraId="08A63AEE" w14:textId="77777777" w:rsidR="00D012DE" w:rsidRDefault="00D012DE" w:rsidP="00D86F4E">
            <w:pPr>
              <w:jc w:val="center"/>
              <w:rPr>
                <w:rFonts w:ascii="Arial" w:hAnsi="Arial"/>
                <w:b/>
              </w:rPr>
            </w:pPr>
            <w:r>
              <w:rPr>
                <w:rFonts w:ascii="Arial" w:hAnsi="Arial"/>
                <w:b/>
              </w:rPr>
              <w:t>Function</w:t>
            </w:r>
          </w:p>
        </w:tc>
        <w:tc>
          <w:tcPr>
            <w:tcW w:w="1710" w:type="dxa"/>
            <w:shd w:val="pct15" w:color="auto" w:fill="FFFFFF"/>
            <w:vAlign w:val="center"/>
          </w:tcPr>
          <w:p w14:paraId="6C2F7E65" w14:textId="77777777" w:rsidR="00D012DE" w:rsidRDefault="00D012DE" w:rsidP="00D86F4E">
            <w:pPr>
              <w:jc w:val="center"/>
              <w:rPr>
                <w:rFonts w:ascii="Arial" w:hAnsi="Arial"/>
                <w:b/>
              </w:rPr>
            </w:pPr>
            <w:r>
              <w:rPr>
                <w:rFonts w:ascii="Arial" w:hAnsi="Arial"/>
                <w:b/>
              </w:rPr>
              <w:t>Resources</w:t>
            </w:r>
          </w:p>
        </w:tc>
        <w:tc>
          <w:tcPr>
            <w:tcW w:w="1674" w:type="dxa"/>
            <w:shd w:val="pct15" w:color="auto" w:fill="FFFFFF"/>
            <w:vAlign w:val="center"/>
          </w:tcPr>
          <w:p w14:paraId="7510E2E6" w14:textId="77777777" w:rsidR="00D012DE" w:rsidRDefault="00D012DE" w:rsidP="00D86F4E">
            <w:pPr>
              <w:jc w:val="center"/>
              <w:rPr>
                <w:rFonts w:ascii="Arial" w:hAnsi="Arial"/>
                <w:b/>
              </w:rPr>
            </w:pPr>
            <w:r>
              <w:rPr>
                <w:rFonts w:ascii="Arial" w:hAnsi="Arial"/>
                <w:b/>
              </w:rPr>
              <w:t>Effort Level</w:t>
            </w:r>
          </w:p>
          <w:p w14:paraId="23DD7549" w14:textId="77777777" w:rsidR="00D012DE" w:rsidRDefault="00D012DE" w:rsidP="00D86F4E">
            <w:pPr>
              <w:jc w:val="center"/>
              <w:rPr>
                <w:rFonts w:ascii="Arial" w:hAnsi="Arial"/>
                <w:b/>
              </w:rPr>
            </w:pPr>
            <w:r>
              <w:rPr>
                <w:rFonts w:ascii="Arial" w:hAnsi="Arial"/>
                <w:b/>
              </w:rPr>
              <w:t>(man-hours)</w:t>
            </w:r>
          </w:p>
        </w:tc>
      </w:tr>
      <w:tr w:rsidR="00901B68" w14:paraId="3F984182" w14:textId="77777777" w:rsidTr="00D86F4E">
        <w:trPr>
          <w:trHeight w:val="288"/>
          <w:jc w:val="center"/>
        </w:trPr>
        <w:tc>
          <w:tcPr>
            <w:tcW w:w="2759" w:type="dxa"/>
            <w:vMerge w:val="restart"/>
            <w:vAlign w:val="center"/>
          </w:tcPr>
          <w:p w14:paraId="6CA3E99C" w14:textId="77777777" w:rsidR="00901B68" w:rsidRDefault="00901B68" w:rsidP="00D86F4E">
            <w:pPr>
              <w:jc w:val="center"/>
              <w:rPr>
                <w:rFonts w:ascii="Arial" w:hAnsi="Arial"/>
                <w:sz w:val="18"/>
              </w:rPr>
            </w:pPr>
            <w:r>
              <w:rPr>
                <w:rFonts w:ascii="Arial" w:hAnsi="Arial"/>
                <w:sz w:val="18"/>
              </w:rPr>
              <w:t>Pavement Engineer</w:t>
            </w:r>
          </w:p>
        </w:tc>
        <w:tc>
          <w:tcPr>
            <w:tcW w:w="2430" w:type="dxa"/>
            <w:vAlign w:val="center"/>
          </w:tcPr>
          <w:p w14:paraId="6746013B" w14:textId="77777777" w:rsidR="00901B68" w:rsidRDefault="00901B68" w:rsidP="00D86F4E">
            <w:pPr>
              <w:jc w:val="center"/>
              <w:rPr>
                <w:rFonts w:ascii="Arial" w:hAnsi="Arial"/>
                <w:sz w:val="18"/>
              </w:rPr>
            </w:pPr>
            <w:r>
              <w:rPr>
                <w:rFonts w:ascii="Arial" w:hAnsi="Arial"/>
                <w:sz w:val="18"/>
              </w:rPr>
              <w:t>Data Collection</w:t>
            </w:r>
          </w:p>
        </w:tc>
        <w:tc>
          <w:tcPr>
            <w:tcW w:w="1710" w:type="dxa"/>
            <w:vMerge w:val="restart"/>
            <w:vAlign w:val="center"/>
          </w:tcPr>
          <w:p w14:paraId="226C3FF2" w14:textId="77777777" w:rsidR="00901B68" w:rsidRDefault="00901B68" w:rsidP="00D86F4E">
            <w:pPr>
              <w:jc w:val="center"/>
              <w:rPr>
                <w:rFonts w:ascii="Arial" w:hAnsi="Arial"/>
                <w:sz w:val="18"/>
              </w:rPr>
            </w:pPr>
            <w:r>
              <w:rPr>
                <w:rFonts w:ascii="Arial" w:hAnsi="Arial"/>
                <w:sz w:val="18"/>
              </w:rPr>
              <w:t>1</w:t>
            </w:r>
          </w:p>
        </w:tc>
        <w:tc>
          <w:tcPr>
            <w:tcW w:w="1674" w:type="dxa"/>
            <w:vMerge w:val="restart"/>
            <w:vAlign w:val="center"/>
          </w:tcPr>
          <w:p w14:paraId="3E362E3A" w14:textId="77777777" w:rsidR="00901B68" w:rsidRDefault="00901B68" w:rsidP="00D86F4E">
            <w:pPr>
              <w:jc w:val="center"/>
              <w:rPr>
                <w:rFonts w:ascii="Arial" w:hAnsi="Arial"/>
                <w:sz w:val="18"/>
              </w:rPr>
            </w:pPr>
            <w:r>
              <w:rPr>
                <w:rFonts w:ascii="Arial" w:hAnsi="Arial"/>
                <w:sz w:val="18"/>
              </w:rPr>
              <w:t>4</w:t>
            </w:r>
          </w:p>
        </w:tc>
      </w:tr>
      <w:tr w:rsidR="00901B68" w14:paraId="178B3FF7" w14:textId="77777777" w:rsidTr="00D86F4E">
        <w:trPr>
          <w:trHeight w:val="288"/>
          <w:jc w:val="center"/>
        </w:trPr>
        <w:tc>
          <w:tcPr>
            <w:tcW w:w="2759" w:type="dxa"/>
            <w:vMerge/>
            <w:vAlign w:val="center"/>
          </w:tcPr>
          <w:p w14:paraId="4F15FB48" w14:textId="77777777" w:rsidR="00901B68" w:rsidRDefault="00901B68" w:rsidP="001C4C4E">
            <w:pPr>
              <w:pStyle w:val="BodyText"/>
              <w:spacing w:after="0"/>
              <w:jc w:val="both"/>
              <w:rPr>
                <w:sz w:val="18"/>
              </w:rPr>
            </w:pPr>
          </w:p>
        </w:tc>
        <w:tc>
          <w:tcPr>
            <w:tcW w:w="2430" w:type="dxa"/>
            <w:vAlign w:val="center"/>
          </w:tcPr>
          <w:p w14:paraId="1955D7F1" w14:textId="77777777" w:rsidR="00901B68" w:rsidRDefault="00901B68" w:rsidP="00D86F4E">
            <w:pPr>
              <w:pStyle w:val="BodyText"/>
              <w:spacing w:after="0"/>
              <w:jc w:val="center"/>
              <w:rPr>
                <w:sz w:val="18"/>
              </w:rPr>
            </w:pPr>
            <w:r>
              <w:rPr>
                <w:sz w:val="18"/>
              </w:rPr>
              <w:t>Data QA</w:t>
            </w:r>
          </w:p>
        </w:tc>
        <w:tc>
          <w:tcPr>
            <w:tcW w:w="1710" w:type="dxa"/>
            <w:vMerge/>
            <w:vAlign w:val="center"/>
          </w:tcPr>
          <w:p w14:paraId="0D4A09C7" w14:textId="77777777" w:rsidR="00901B68" w:rsidRDefault="00901B68" w:rsidP="001C4C4E">
            <w:pPr>
              <w:jc w:val="both"/>
              <w:rPr>
                <w:rFonts w:ascii="Arial" w:hAnsi="Arial"/>
                <w:sz w:val="18"/>
              </w:rPr>
            </w:pPr>
          </w:p>
        </w:tc>
        <w:tc>
          <w:tcPr>
            <w:tcW w:w="1674" w:type="dxa"/>
            <w:vMerge/>
            <w:vAlign w:val="center"/>
          </w:tcPr>
          <w:p w14:paraId="6C65C6DF" w14:textId="77777777" w:rsidR="00901B68" w:rsidRDefault="00901B68" w:rsidP="001C4C4E">
            <w:pPr>
              <w:jc w:val="both"/>
              <w:rPr>
                <w:rFonts w:ascii="Arial" w:hAnsi="Arial"/>
                <w:sz w:val="18"/>
              </w:rPr>
            </w:pPr>
          </w:p>
        </w:tc>
      </w:tr>
      <w:tr w:rsidR="00901B68" w14:paraId="57E78C30" w14:textId="77777777" w:rsidTr="00D86F4E">
        <w:trPr>
          <w:trHeight w:val="288"/>
          <w:jc w:val="center"/>
        </w:trPr>
        <w:tc>
          <w:tcPr>
            <w:tcW w:w="2759" w:type="dxa"/>
            <w:vMerge/>
            <w:vAlign w:val="center"/>
          </w:tcPr>
          <w:p w14:paraId="5421B062" w14:textId="77777777" w:rsidR="00901B68" w:rsidRDefault="00901B68" w:rsidP="001C4C4E">
            <w:pPr>
              <w:jc w:val="both"/>
              <w:rPr>
                <w:rFonts w:ascii="Arial" w:hAnsi="Arial"/>
                <w:sz w:val="18"/>
              </w:rPr>
            </w:pPr>
          </w:p>
        </w:tc>
        <w:tc>
          <w:tcPr>
            <w:tcW w:w="2430" w:type="dxa"/>
            <w:vAlign w:val="center"/>
          </w:tcPr>
          <w:p w14:paraId="2B788EA6" w14:textId="77777777" w:rsidR="00901B68" w:rsidRDefault="00901B68" w:rsidP="00D86F4E">
            <w:pPr>
              <w:jc w:val="center"/>
              <w:rPr>
                <w:rFonts w:ascii="Arial" w:hAnsi="Arial"/>
                <w:sz w:val="18"/>
              </w:rPr>
            </w:pPr>
            <w:r>
              <w:rPr>
                <w:rFonts w:ascii="Arial" w:hAnsi="Arial"/>
                <w:sz w:val="18"/>
              </w:rPr>
              <w:t>ADT Calculation</w:t>
            </w:r>
          </w:p>
        </w:tc>
        <w:tc>
          <w:tcPr>
            <w:tcW w:w="1710" w:type="dxa"/>
            <w:vMerge/>
            <w:vAlign w:val="center"/>
          </w:tcPr>
          <w:p w14:paraId="4B053120" w14:textId="77777777" w:rsidR="00901B68" w:rsidRDefault="00901B68" w:rsidP="001C4C4E">
            <w:pPr>
              <w:jc w:val="both"/>
              <w:rPr>
                <w:rFonts w:ascii="Arial" w:hAnsi="Arial"/>
                <w:sz w:val="18"/>
              </w:rPr>
            </w:pPr>
          </w:p>
        </w:tc>
        <w:tc>
          <w:tcPr>
            <w:tcW w:w="1674" w:type="dxa"/>
            <w:vMerge/>
            <w:vAlign w:val="center"/>
          </w:tcPr>
          <w:p w14:paraId="213A62A8" w14:textId="77777777" w:rsidR="00901B68" w:rsidRDefault="00901B68" w:rsidP="001C4C4E">
            <w:pPr>
              <w:jc w:val="both"/>
              <w:rPr>
                <w:rFonts w:ascii="Arial" w:hAnsi="Arial"/>
                <w:sz w:val="18"/>
              </w:rPr>
            </w:pPr>
          </w:p>
        </w:tc>
      </w:tr>
      <w:tr w:rsidR="00901B68" w14:paraId="41418547" w14:textId="77777777" w:rsidTr="00D86F4E">
        <w:trPr>
          <w:trHeight w:val="288"/>
          <w:jc w:val="center"/>
        </w:trPr>
        <w:tc>
          <w:tcPr>
            <w:tcW w:w="2759" w:type="dxa"/>
            <w:vMerge/>
            <w:vAlign w:val="center"/>
          </w:tcPr>
          <w:p w14:paraId="68FA0060" w14:textId="77777777" w:rsidR="00901B68" w:rsidRDefault="00901B68" w:rsidP="001C4C4E">
            <w:pPr>
              <w:jc w:val="both"/>
              <w:rPr>
                <w:rFonts w:ascii="Arial" w:hAnsi="Arial"/>
                <w:sz w:val="18"/>
              </w:rPr>
            </w:pPr>
          </w:p>
        </w:tc>
        <w:tc>
          <w:tcPr>
            <w:tcW w:w="2430" w:type="dxa"/>
            <w:vAlign w:val="center"/>
          </w:tcPr>
          <w:p w14:paraId="59ED5524" w14:textId="77777777" w:rsidR="00901B68" w:rsidRDefault="00901B68" w:rsidP="00D86F4E">
            <w:pPr>
              <w:jc w:val="center"/>
              <w:rPr>
                <w:rFonts w:ascii="Arial" w:hAnsi="Arial"/>
                <w:sz w:val="18"/>
              </w:rPr>
            </w:pPr>
            <w:r>
              <w:rPr>
                <w:rFonts w:ascii="Arial" w:hAnsi="Arial"/>
                <w:sz w:val="18"/>
              </w:rPr>
              <w:t>WIM Site Selection</w:t>
            </w:r>
          </w:p>
        </w:tc>
        <w:tc>
          <w:tcPr>
            <w:tcW w:w="1710" w:type="dxa"/>
            <w:vMerge/>
            <w:vAlign w:val="center"/>
          </w:tcPr>
          <w:p w14:paraId="00E81FFF" w14:textId="77777777" w:rsidR="00901B68" w:rsidRDefault="00901B68" w:rsidP="001C4C4E">
            <w:pPr>
              <w:jc w:val="both"/>
              <w:rPr>
                <w:rFonts w:ascii="Arial" w:hAnsi="Arial"/>
                <w:sz w:val="18"/>
              </w:rPr>
            </w:pPr>
          </w:p>
        </w:tc>
        <w:tc>
          <w:tcPr>
            <w:tcW w:w="1674" w:type="dxa"/>
            <w:vMerge/>
            <w:vAlign w:val="center"/>
          </w:tcPr>
          <w:p w14:paraId="64202BE9" w14:textId="77777777" w:rsidR="00901B68" w:rsidRDefault="00901B68" w:rsidP="001C4C4E">
            <w:pPr>
              <w:jc w:val="both"/>
              <w:rPr>
                <w:rFonts w:ascii="Arial" w:hAnsi="Arial"/>
                <w:sz w:val="18"/>
              </w:rPr>
            </w:pPr>
          </w:p>
        </w:tc>
      </w:tr>
      <w:tr w:rsidR="00901B68" w14:paraId="6884B50F" w14:textId="77777777" w:rsidTr="00D86F4E">
        <w:trPr>
          <w:trHeight w:val="288"/>
          <w:jc w:val="center"/>
        </w:trPr>
        <w:tc>
          <w:tcPr>
            <w:tcW w:w="2759" w:type="dxa"/>
            <w:vMerge/>
            <w:vAlign w:val="center"/>
          </w:tcPr>
          <w:p w14:paraId="09A2CEDC" w14:textId="77777777" w:rsidR="00901B68" w:rsidRDefault="00901B68" w:rsidP="001C4C4E">
            <w:pPr>
              <w:jc w:val="both"/>
              <w:rPr>
                <w:rFonts w:ascii="Arial" w:hAnsi="Arial"/>
                <w:sz w:val="18"/>
              </w:rPr>
            </w:pPr>
          </w:p>
        </w:tc>
        <w:tc>
          <w:tcPr>
            <w:tcW w:w="2430" w:type="dxa"/>
            <w:vAlign w:val="center"/>
          </w:tcPr>
          <w:p w14:paraId="45E68E23" w14:textId="77777777" w:rsidR="00901B68" w:rsidRDefault="00901B68" w:rsidP="00D86F4E">
            <w:pPr>
              <w:jc w:val="center"/>
              <w:rPr>
                <w:rFonts w:ascii="Arial" w:hAnsi="Arial"/>
                <w:sz w:val="18"/>
              </w:rPr>
            </w:pPr>
            <w:r>
              <w:rPr>
                <w:rFonts w:ascii="Arial" w:hAnsi="Arial"/>
                <w:sz w:val="18"/>
              </w:rPr>
              <w:t>Truck Factor Development</w:t>
            </w:r>
          </w:p>
        </w:tc>
        <w:tc>
          <w:tcPr>
            <w:tcW w:w="1710" w:type="dxa"/>
            <w:vMerge/>
            <w:vAlign w:val="center"/>
          </w:tcPr>
          <w:p w14:paraId="38E7A1BE" w14:textId="77777777" w:rsidR="00901B68" w:rsidRDefault="00901B68" w:rsidP="001C4C4E">
            <w:pPr>
              <w:jc w:val="both"/>
              <w:rPr>
                <w:rFonts w:ascii="Arial" w:hAnsi="Arial"/>
                <w:sz w:val="18"/>
              </w:rPr>
            </w:pPr>
          </w:p>
        </w:tc>
        <w:tc>
          <w:tcPr>
            <w:tcW w:w="1674" w:type="dxa"/>
            <w:vMerge/>
            <w:vAlign w:val="center"/>
          </w:tcPr>
          <w:p w14:paraId="2934C560" w14:textId="77777777" w:rsidR="00901B68" w:rsidRDefault="00901B68" w:rsidP="001C4C4E">
            <w:pPr>
              <w:jc w:val="both"/>
              <w:rPr>
                <w:rFonts w:ascii="Arial" w:hAnsi="Arial"/>
                <w:sz w:val="18"/>
              </w:rPr>
            </w:pPr>
          </w:p>
        </w:tc>
      </w:tr>
      <w:tr w:rsidR="00901B68" w14:paraId="6556CF34" w14:textId="77777777" w:rsidTr="00D86F4E">
        <w:trPr>
          <w:trHeight w:val="288"/>
          <w:jc w:val="center"/>
        </w:trPr>
        <w:tc>
          <w:tcPr>
            <w:tcW w:w="2759" w:type="dxa"/>
            <w:vMerge/>
            <w:vAlign w:val="center"/>
          </w:tcPr>
          <w:p w14:paraId="462301B3" w14:textId="77777777" w:rsidR="00901B68" w:rsidRDefault="00901B68" w:rsidP="001C4C4E">
            <w:pPr>
              <w:jc w:val="both"/>
              <w:rPr>
                <w:rFonts w:ascii="Arial" w:hAnsi="Arial"/>
                <w:sz w:val="18"/>
              </w:rPr>
            </w:pPr>
          </w:p>
        </w:tc>
        <w:tc>
          <w:tcPr>
            <w:tcW w:w="2430" w:type="dxa"/>
            <w:vAlign w:val="center"/>
          </w:tcPr>
          <w:p w14:paraId="48051687" w14:textId="77777777" w:rsidR="00901B68" w:rsidRDefault="00901B68" w:rsidP="00D86F4E">
            <w:pPr>
              <w:jc w:val="center"/>
              <w:rPr>
                <w:rFonts w:ascii="Arial" w:hAnsi="Arial"/>
                <w:sz w:val="18"/>
              </w:rPr>
            </w:pPr>
            <w:r>
              <w:rPr>
                <w:rFonts w:ascii="Arial" w:hAnsi="Arial"/>
                <w:sz w:val="18"/>
              </w:rPr>
              <w:t>Future ESAL Calculation</w:t>
            </w:r>
          </w:p>
        </w:tc>
        <w:tc>
          <w:tcPr>
            <w:tcW w:w="1710" w:type="dxa"/>
            <w:vMerge/>
            <w:vAlign w:val="center"/>
          </w:tcPr>
          <w:p w14:paraId="063E2578" w14:textId="77777777" w:rsidR="00901B68" w:rsidRDefault="00901B68" w:rsidP="001C4C4E">
            <w:pPr>
              <w:jc w:val="both"/>
              <w:rPr>
                <w:rFonts w:ascii="Arial" w:hAnsi="Arial"/>
                <w:sz w:val="18"/>
              </w:rPr>
            </w:pPr>
          </w:p>
        </w:tc>
        <w:tc>
          <w:tcPr>
            <w:tcW w:w="1674" w:type="dxa"/>
            <w:vMerge/>
            <w:vAlign w:val="center"/>
          </w:tcPr>
          <w:p w14:paraId="193019B4" w14:textId="77777777" w:rsidR="00901B68" w:rsidRDefault="00901B68" w:rsidP="001C4C4E">
            <w:pPr>
              <w:jc w:val="both"/>
              <w:rPr>
                <w:rFonts w:ascii="Arial" w:hAnsi="Arial"/>
                <w:sz w:val="18"/>
              </w:rPr>
            </w:pPr>
          </w:p>
        </w:tc>
      </w:tr>
    </w:tbl>
    <w:p w14:paraId="4E57DC4D" w14:textId="77777777" w:rsidR="00D012DE" w:rsidRPr="00D86F4E" w:rsidRDefault="00D012DE" w:rsidP="00E37217">
      <w:pPr>
        <w:pStyle w:val="BodyText"/>
        <w:rPr>
          <w:sz w:val="18"/>
        </w:rPr>
      </w:pPr>
      <w:r w:rsidRPr="00D86F4E">
        <w:rPr>
          <w:sz w:val="18"/>
        </w:rPr>
        <w:t>Reference: Federal Highway Administration’s Traffic Monitoring Guide; discussion of vehicle classification system.</w:t>
      </w:r>
    </w:p>
    <w:p w14:paraId="1BAB4AB8" w14:textId="77777777" w:rsidR="00D012DE" w:rsidRDefault="00D012DE" w:rsidP="001C4C4E">
      <w:pPr>
        <w:pStyle w:val="Heading3"/>
        <w:ind w:left="0" w:firstLine="0"/>
        <w:jc w:val="both"/>
      </w:pPr>
      <w:bookmarkStart w:id="228" w:name="_Procedure_1"/>
      <w:bookmarkEnd w:id="228"/>
      <w:r>
        <w:t>Procedure</w:t>
      </w:r>
    </w:p>
    <w:p w14:paraId="155E3908" w14:textId="5DE94346" w:rsidR="00D012DE" w:rsidRDefault="00D012DE" w:rsidP="001C4C4E">
      <w:pPr>
        <w:pStyle w:val="BodyText"/>
        <w:jc w:val="both"/>
      </w:pPr>
      <w:r>
        <w:t xml:space="preserve">The procedure described </w:t>
      </w:r>
      <w:r w:rsidR="00672237">
        <w:t>below</w:t>
      </w:r>
      <w:r>
        <w:t xml:space="preserve"> should be followed to perform traffic analysis.  Numerous steps contained in this procedure can be completed within software applications that </w:t>
      </w:r>
      <w:r w:rsidR="007A72F3">
        <w:t>PAGD</w:t>
      </w:r>
      <w:r>
        <w:t xml:space="preserve"> currently uses and has under development.  The software application tools available to </w:t>
      </w:r>
      <w:r w:rsidR="007A72F3">
        <w:t>PAGD</w:t>
      </w:r>
      <w:r>
        <w:t xml:space="preserve"> that can be principally used to complete traffic analysis at this time are </w:t>
      </w:r>
      <w:r w:rsidR="00762567" w:rsidRPr="00D86F4E">
        <w:rPr>
          <w:i/>
        </w:rPr>
        <w:t xml:space="preserve">AASHTOWare </w:t>
      </w:r>
      <w:r w:rsidR="002D313A" w:rsidRPr="00D86F4E">
        <w:rPr>
          <w:i/>
        </w:rPr>
        <w:t xml:space="preserve">ME </w:t>
      </w:r>
      <w:r w:rsidR="00762567" w:rsidRPr="00D86F4E">
        <w:rPr>
          <w:i/>
        </w:rPr>
        <w:t>Pavement Design</w:t>
      </w:r>
      <w:r w:rsidR="002D313A">
        <w:t xml:space="preserve"> (MEPD)</w:t>
      </w:r>
      <w:r>
        <w:t xml:space="preserve"> and other in-house programs.  The following procedure was written to provide the design engineer with adequate information to complete a traffic analysis with access to </w:t>
      </w:r>
      <w:r w:rsidR="00762567">
        <w:t xml:space="preserve">these </w:t>
      </w:r>
      <w:r>
        <w:t xml:space="preserve">computer software applications.      </w:t>
      </w:r>
    </w:p>
    <w:p w14:paraId="5ABEA69F" w14:textId="77777777" w:rsidR="00D012DE" w:rsidRDefault="00D012DE" w:rsidP="001C4C4E">
      <w:pPr>
        <w:pStyle w:val="Heading4"/>
        <w:jc w:val="both"/>
      </w:pPr>
      <w:bookmarkStart w:id="229" w:name="_Data_Collection"/>
      <w:bookmarkEnd w:id="229"/>
      <w:r>
        <w:t>Data Collection</w:t>
      </w:r>
      <w:r w:rsidR="000B2637">
        <w:t xml:space="preserve"> &amp; QA</w:t>
      </w:r>
    </w:p>
    <w:p w14:paraId="4393F26B" w14:textId="6EE05CF8" w:rsidR="007A550B" w:rsidRDefault="00D012DE" w:rsidP="006E41DE">
      <w:pPr>
        <w:pStyle w:val="ListNumber"/>
        <w:tabs>
          <w:tab w:val="clear" w:pos="720"/>
          <w:tab w:val="clear" w:pos="1872"/>
        </w:tabs>
        <w:spacing w:before="0"/>
        <w:ind w:left="0" w:firstLine="0"/>
        <w:jc w:val="both"/>
      </w:pPr>
      <w:r w:rsidRPr="00C075B0">
        <w:t xml:space="preserve">Retrieve required project-level traffic input data needed to initiate the traffic analysis process.  This data is typically provided by the OPPE, </w:t>
      </w:r>
      <w:r w:rsidR="00762567">
        <w:t>Data Services Engineering Division (DSED)</w:t>
      </w:r>
      <w:r w:rsidRPr="00C075B0">
        <w:t xml:space="preserve">.  If project-level traffic input data is not provided by </w:t>
      </w:r>
      <w:r w:rsidR="00C075B0" w:rsidRPr="00C075B0">
        <w:t>D</w:t>
      </w:r>
      <w:r w:rsidR="00762567">
        <w:t>S</w:t>
      </w:r>
      <w:r w:rsidR="00C075B0" w:rsidRPr="00C075B0">
        <w:t>ED</w:t>
      </w:r>
      <w:r w:rsidRPr="00C075B0">
        <w:t xml:space="preserve">, it needs to be requested.  The traffic input data request is typically handled by the project owner, but on occasion </w:t>
      </w:r>
      <w:r w:rsidR="00762567">
        <w:t>PAGD may need to</w:t>
      </w:r>
      <w:r w:rsidRPr="00C075B0">
        <w:t xml:space="preserve"> make a request.  The type of project-level traffic input data needed is the following: </w:t>
      </w:r>
      <w:r w:rsidR="007A550B">
        <w:br w:type="page"/>
      </w:r>
    </w:p>
    <w:p w14:paraId="1DC7D2EE" w14:textId="77777777" w:rsidR="00D012DE" w:rsidRPr="00A42B5F" w:rsidRDefault="00D012DE" w:rsidP="00172E64">
      <w:pPr>
        <w:pStyle w:val="ListParagraph"/>
        <w:numPr>
          <w:ilvl w:val="0"/>
          <w:numId w:val="84"/>
        </w:numPr>
        <w:ind w:left="720" w:hanging="720"/>
        <w:jc w:val="both"/>
      </w:pPr>
      <w:r w:rsidRPr="006E41DE">
        <w:rPr>
          <w:rFonts w:ascii="Arial" w:hAnsi="Arial"/>
          <w:sz w:val="22"/>
        </w:rPr>
        <w:lastRenderedPageBreak/>
        <w:t>Average Daily Traffic (ADT)</w:t>
      </w:r>
      <w:r w:rsidR="000A5566" w:rsidRPr="006E41DE">
        <w:rPr>
          <w:rFonts w:ascii="Arial" w:hAnsi="Arial"/>
          <w:sz w:val="22"/>
        </w:rPr>
        <w:t xml:space="preserve"> – Current and Future Years</w:t>
      </w:r>
    </w:p>
    <w:p w14:paraId="15F3C90F" w14:textId="77777777" w:rsidR="00D012DE" w:rsidRPr="00A42B5F" w:rsidRDefault="00D012DE" w:rsidP="00172E64">
      <w:pPr>
        <w:pStyle w:val="ListParagraph"/>
        <w:numPr>
          <w:ilvl w:val="0"/>
          <w:numId w:val="84"/>
        </w:numPr>
        <w:ind w:left="720" w:hanging="720"/>
        <w:jc w:val="both"/>
      </w:pPr>
      <w:r w:rsidRPr="006E41DE">
        <w:rPr>
          <w:rFonts w:ascii="Arial" w:hAnsi="Arial"/>
          <w:sz w:val="22"/>
        </w:rPr>
        <w:t>Percent Trucks</w:t>
      </w:r>
    </w:p>
    <w:p w14:paraId="4474FAB3" w14:textId="77777777" w:rsidR="00D012DE" w:rsidRPr="00A42B5F" w:rsidRDefault="00D012DE" w:rsidP="00172E64">
      <w:pPr>
        <w:pStyle w:val="ListParagraph"/>
        <w:numPr>
          <w:ilvl w:val="0"/>
          <w:numId w:val="84"/>
        </w:numPr>
        <w:ind w:left="720" w:hanging="720"/>
        <w:jc w:val="both"/>
      </w:pPr>
      <w:r w:rsidRPr="006E41DE">
        <w:rPr>
          <w:rFonts w:ascii="Arial" w:hAnsi="Arial"/>
          <w:sz w:val="22"/>
        </w:rPr>
        <w:t xml:space="preserve">Directional Distribution </w:t>
      </w:r>
    </w:p>
    <w:p w14:paraId="56C26BFC" w14:textId="77777777" w:rsidR="00D012DE" w:rsidRPr="00A42B5F" w:rsidRDefault="00D012DE" w:rsidP="00172E64">
      <w:pPr>
        <w:pStyle w:val="ListParagraph"/>
        <w:numPr>
          <w:ilvl w:val="0"/>
          <w:numId w:val="84"/>
        </w:numPr>
        <w:ind w:left="720" w:hanging="720"/>
        <w:jc w:val="both"/>
      </w:pPr>
      <w:r w:rsidRPr="006E41DE">
        <w:rPr>
          <w:rFonts w:ascii="Arial" w:hAnsi="Arial"/>
          <w:sz w:val="22"/>
        </w:rPr>
        <w:t xml:space="preserve">Truck Counts – FHWA 13 classes </w:t>
      </w:r>
    </w:p>
    <w:p w14:paraId="7BB57CE8" w14:textId="77777777" w:rsidR="001077A2" w:rsidRPr="00A42B5F" w:rsidRDefault="001077A2" w:rsidP="00172E64">
      <w:pPr>
        <w:pStyle w:val="ListParagraph"/>
        <w:numPr>
          <w:ilvl w:val="0"/>
          <w:numId w:val="84"/>
        </w:numPr>
        <w:ind w:left="720" w:hanging="720"/>
        <w:jc w:val="both"/>
      </w:pPr>
      <w:r w:rsidRPr="006E41DE">
        <w:rPr>
          <w:rFonts w:ascii="Arial" w:hAnsi="Arial"/>
          <w:sz w:val="22"/>
        </w:rPr>
        <w:t xml:space="preserve">% Trucks in the Design Lane.  Refer to </w:t>
      </w:r>
      <w:hyperlink w:anchor="_Traffic_Lane_Distribution" w:history="1">
        <w:r w:rsidRPr="00AC00BE">
          <w:rPr>
            <w:rFonts w:ascii="Arial" w:hAnsi="Arial"/>
            <w:sz w:val="22"/>
          </w:rPr>
          <w:t>Traffic Lane Distribution</w:t>
        </w:r>
      </w:hyperlink>
      <w:r w:rsidRPr="006E41DE">
        <w:rPr>
          <w:rFonts w:ascii="Arial" w:hAnsi="Arial"/>
          <w:sz w:val="22"/>
        </w:rPr>
        <w:t>.</w:t>
      </w:r>
    </w:p>
    <w:p w14:paraId="7C85D2BA" w14:textId="77777777" w:rsidR="00180F97" w:rsidRPr="00A42B5F" w:rsidRDefault="00180F97" w:rsidP="00172E64">
      <w:pPr>
        <w:pStyle w:val="ListParagraph"/>
        <w:numPr>
          <w:ilvl w:val="0"/>
          <w:numId w:val="84"/>
        </w:numPr>
        <w:ind w:left="720" w:hanging="720"/>
        <w:jc w:val="both"/>
      </w:pPr>
      <w:r w:rsidRPr="006E41DE">
        <w:rPr>
          <w:rFonts w:ascii="Arial" w:hAnsi="Arial"/>
          <w:sz w:val="22"/>
        </w:rPr>
        <w:t>Total number of lanes</w:t>
      </w:r>
    </w:p>
    <w:p w14:paraId="34F232EA" w14:textId="77777777" w:rsidR="00180F97" w:rsidRPr="00A42B5F" w:rsidRDefault="00180F97" w:rsidP="00172E64">
      <w:pPr>
        <w:pStyle w:val="ListParagraph"/>
        <w:numPr>
          <w:ilvl w:val="0"/>
          <w:numId w:val="84"/>
        </w:numPr>
        <w:ind w:left="720" w:hanging="720"/>
        <w:jc w:val="both"/>
      </w:pPr>
      <w:r w:rsidRPr="006E41DE">
        <w:rPr>
          <w:rFonts w:ascii="Arial" w:hAnsi="Arial"/>
          <w:sz w:val="22"/>
        </w:rPr>
        <w:t>Operational Speed</w:t>
      </w:r>
    </w:p>
    <w:p w14:paraId="4A9812E6" w14:textId="77777777" w:rsidR="00180F97" w:rsidRPr="00A42B5F" w:rsidRDefault="00180F97" w:rsidP="00172E64">
      <w:pPr>
        <w:pStyle w:val="ListParagraph"/>
        <w:numPr>
          <w:ilvl w:val="0"/>
          <w:numId w:val="84"/>
        </w:numPr>
        <w:ind w:left="720" w:hanging="720"/>
        <w:jc w:val="both"/>
      </w:pPr>
      <w:r w:rsidRPr="006E41DE">
        <w:rPr>
          <w:rFonts w:ascii="Arial" w:hAnsi="Arial"/>
          <w:sz w:val="22"/>
        </w:rPr>
        <w:t>Loadometer data to produce the Truck Factor</w:t>
      </w:r>
    </w:p>
    <w:p w14:paraId="4719DDDE" w14:textId="77777777" w:rsidR="00D012DE" w:rsidRPr="00C075B0" w:rsidRDefault="00D012DE" w:rsidP="006E41DE">
      <w:pPr>
        <w:pStyle w:val="ListNumber"/>
        <w:tabs>
          <w:tab w:val="clear" w:pos="720"/>
        </w:tabs>
        <w:spacing w:after="120"/>
        <w:ind w:left="1080" w:hanging="1080"/>
        <w:jc w:val="both"/>
      </w:pPr>
      <w:r w:rsidRPr="00C075B0">
        <w:t>The following hierarchy should be used to obtain traffic data in order of preference:</w:t>
      </w:r>
    </w:p>
    <w:p w14:paraId="46615F18" w14:textId="77777777" w:rsidR="002D313A" w:rsidRPr="00A42B5F" w:rsidRDefault="00762567" w:rsidP="00172E64">
      <w:pPr>
        <w:pStyle w:val="ListParagraph"/>
        <w:numPr>
          <w:ilvl w:val="0"/>
          <w:numId w:val="84"/>
        </w:numPr>
        <w:ind w:left="720" w:hanging="720"/>
        <w:jc w:val="both"/>
      </w:pPr>
      <w:r w:rsidRPr="006E41DE">
        <w:rPr>
          <w:rFonts w:ascii="Arial" w:hAnsi="Arial"/>
          <w:sz w:val="22"/>
        </w:rPr>
        <w:t>DSED</w:t>
      </w:r>
    </w:p>
    <w:p w14:paraId="208A0692" w14:textId="77777777" w:rsidR="00762567" w:rsidRPr="00A42B5F" w:rsidRDefault="00762567" w:rsidP="00172E64">
      <w:pPr>
        <w:pStyle w:val="ListParagraph"/>
        <w:numPr>
          <w:ilvl w:val="0"/>
          <w:numId w:val="84"/>
        </w:numPr>
        <w:ind w:left="720" w:hanging="720"/>
        <w:jc w:val="both"/>
      </w:pPr>
      <w:r w:rsidRPr="006E41DE">
        <w:rPr>
          <w:rFonts w:ascii="Arial" w:hAnsi="Arial"/>
          <w:sz w:val="22"/>
        </w:rPr>
        <w:t xml:space="preserve">Request from project owner </w:t>
      </w:r>
    </w:p>
    <w:p w14:paraId="6A2AC343" w14:textId="77777777" w:rsidR="00D012DE" w:rsidRPr="00A42B5F" w:rsidRDefault="00D012DE" w:rsidP="00172E64">
      <w:pPr>
        <w:pStyle w:val="ListParagraph"/>
        <w:numPr>
          <w:ilvl w:val="0"/>
          <w:numId w:val="84"/>
        </w:numPr>
        <w:ind w:left="720" w:hanging="720"/>
        <w:jc w:val="both"/>
      </w:pPr>
      <w:r w:rsidRPr="006E41DE">
        <w:rPr>
          <w:rFonts w:ascii="Arial" w:hAnsi="Arial"/>
          <w:sz w:val="22"/>
        </w:rPr>
        <w:t>Adjacent or Older Projects</w:t>
      </w:r>
    </w:p>
    <w:p w14:paraId="0591D256" w14:textId="77777777" w:rsidR="00D012DE" w:rsidRPr="00A42B5F" w:rsidRDefault="00D012DE" w:rsidP="00172E64">
      <w:pPr>
        <w:pStyle w:val="ListParagraph"/>
        <w:numPr>
          <w:ilvl w:val="0"/>
          <w:numId w:val="84"/>
        </w:numPr>
        <w:ind w:left="720" w:hanging="720"/>
        <w:jc w:val="both"/>
      </w:pPr>
      <w:r w:rsidRPr="006E41DE">
        <w:rPr>
          <w:rFonts w:ascii="Arial" w:hAnsi="Arial"/>
          <w:sz w:val="22"/>
        </w:rPr>
        <w:t xml:space="preserve">Highway Location Reference Manual </w:t>
      </w:r>
    </w:p>
    <w:p w14:paraId="463EDD6C" w14:textId="77777777" w:rsidR="00D012DE" w:rsidRPr="00A42B5F" w:rsidRDefault="00D012DE" w:rsidP="00172E64">
      <w:pPr>
        <w:pStyle w:val="ListParagraph"/>
        <w:numPr>
          <w:ilvl w:val="0"/>
          <w:numId w:val="84"/>
        </w:numPr>
        <w:ind w:left="720" w:hanging="720"/>
        <w:jc w:val="both"/>
      </w:pPr>
      <w:r w:rsidRPr="006E41DE">
        <w:rPr>
          <w:rFonts w:ascii="Arial" w:hAnsi="Arial"/>
          <w:sz w:val="22"/>
        </w:rPr>
        <w:t xml:space="preserve">SHA </w:t>
      </w:r>
      <w:smartTag w:uri="urn:schemas-microsoft-com:office:smarttags" w:element="stockticker">
        <w:r w:rsidRPr="006E41DE">
          <w:rPr>
            <w:rFonts w:ascii="Arial" w:hAnsi="Arial"/>
            <w:sz w:val="22"/>
          </w:rPr>
          <w:t>GIS</w:t>
        </w:r>
      </w:smartTag>
      <w:r w:rsidRPr="006E41DE">
        <w:rPr>
          <w:rFonts w:ascii="Arial" w:hAnsi="Arial"/>
          <w:sz w:val="22"/>
        </w:rPr>
        <w:t xml:space="preserve"> </w:t>
      </w:r>
    </w:p>
    <w:p w14:paraId="74C14A34" w14:textId="2135589A" w:rsidR="00C075B0" w:rsidRPr="00C075B0" w:rsidRDefault="00C075B0" w:rsidP="001C4C4E">
      <w:pPr>
        <w:pStyle w:val="ListNumber"/>
        <w:tabs>
          <w:tab w:val="clear" w:pos="720"/>
        </w:tabs>
        <w:ind w:left="1080" w:hanging="1080"/>
        <w:jc w:val="both"/>
        <w:rPr>
          <w:b/>
          <w:i/>
        </w:rPr>
      </w:pPr>
      <w:r w:rsidRPr="00C075B0">
        <w:rPr>
          <w:b/>
          <w:i/>
        </w:rPr>
        <w:t xml:space="preserve">Note: </w:t>
      </w:r>
      <w:r w:rsidR="00672237">
        <w:rPr>
          <w:b/>
          <w:i/>
        </w:rPr>
        <w:tab/>
      </w:r>
      <w:r w:rsidRPr="00C075B0">
        <w:rPr>
          <w:b/>
          <w:i/>
        </w:rPr>
        <w:t>The provided traffic data is typically only for mainline pavement.  If the scope of work includes other pavements, especially turn lanes, it is important to get traffic data for those sections as we</w:t>
      </w:r>
      <w:r w:rsidRPr="00802EFB">
        <w:rPr>
          <w:b/>
          <w:i/>
        </w:rPr>
        <w:t>ll.</w:t>
      </w:r>
      <w:r w:rsidR="00802EFB" w:rsidRPr="00802EFB">
        <w:rPr>
          <w:b/>
          <w:i/>
        </w:rPr>
        <w:t xml:space="preserve">  If data is not available for turn lanes or ramps, the lesser ADT of the intersecting mainline roads shall be used.</w:t>
      </w:r>
    </w:p>
    <w:p w14:paraId="3648A228" w14:textId="3D37DC03" w:rsidR="00762567" w:rsidRDefault="00BE6130" w:rsidP="007B337D">
      <w:pPr>
        <w:pStyle w:val="BodyText"/>
        <w:spacing w:before="240"/>
        <w:jc w:val="both"/>
      </w:pPr>
      <w:r w:rsidRPr="001C4C4E">
        <w:t>If t</w:t>
      </w:r>
      <w:r w:rsidR="00D012DE" w:rsidRPr="001C4C4E">
        <w:t xml:space="preserve">he </w:t>
      </w:r>
      <w:r w:rsidRPr="001C4C4E">
        <w:t xml:space="preserve">data collected does not appear to be correct, </w:t>
      </w:r>
      <w:r w:rsidR="00762567">
        <w:t>the design engineer should ask DSED to re-visit the information and confirm that it is correct.</w:t>
      </w:r>
    </w:p>
    <w:p w14:paraId="06A7DD02" w14:textId="77777777" w:rsidR="00000482" w:rsidRPr="00773656" w:rsidRDefault="00000482" w:rsidP="00172E64">
      <w:pPr>
        <w:pStyle w:val="Heading4"/>
        <w:numPr>
          <w:ilvl w:val="3"/>
          <w:numId w:val="184"/>
        </w:numPr>
        <w:ind w:left="0" w:firstLine="0"/>
      </w:pPr>
      <w:bookmarkStart w:id="230" w:name="_Toc338310061"/>
      <w:bookmarkStart w:id="231" w:name="_Toc338310148"/>
      <w:bookmarkStart w:id="232" w:name="_Toc338310460"/>
      <w:r w:rsidRPr="00773656">
        <w:t>Traffic Lane Distribution</w:t>
      </w:r>
      <w:bookmarkEnd w:id="230"/>
      <w:bookmarkEnd w:id="231"/>
      <w:bookmarkEnd w:id="232"/>
    </w:p>
    <w:p w14:paraId="68E8545E" w14:textId="77777777" w:rsidR="00000482" w:rsidRDefault="00000482" w:rsidP="00000482">
      <w:pPr>
        <w:pStyle w:val="BodyText"/>
        <w:spacing w:after="0"/>
      </w:pPr>
    </w:p>
    <w:p w14:paraId="33F99B8D" w14:textId="77777777" w:rsidR="00000482" w:rsidRDefault="00000482" w:rsidP="00000482">
      <w:pPr>
        <w:pStyle w:val="BodyText"/>
        <w:jc w:val="both"/>
      </w:pPr>
      <w:r w:rsidRPr="00773656">
        <w:t>Use the following table</w:t>
      </w:r>
      <w:r>
        <w:t>s</w:t>
      </w:r>
      <w:r w:rsidRPr="00773656">
        <w:t xml:space="preserve"> to select the appropriate traffic lane distribution factor based on the number </w:t>
      </w:r>
      <w:r>
        <w:t xml:space="preserve">of </w:t>
      </w:r>
      <w:r w:rsidRPr="00773656">
        <w:t>lanes in each (design) direction.</w:t>
      </w:r>
      <w:r>
        <w:t xml:space="preserve">  Refer to </w:t>
      </w:r>
      <w:hyperlink w:anchor="_Data_Collection" w:history="1">
        <w:r>
          <w:rPr>
            <w:rStyle w:val="Hyperlink"/>
          </w:rPr>
          <w:t>Traffic Analysis Data Collection</w:t>
        </w:r>
      </w:hyperlink>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8"/>
        <w:gridCol w:w="3150"/>
        <w:gridCol w:w="2857"/>
      </w:tblGrid>
      <w:tr w:rsidR="00000482" w:rsidRPr="00773656" w14:paraId="4E82FE14" w14:textId="77777777" w:rsidTr="00AC00BE">
        <w:trPr>
          <w:trHeight w:val="288"/>
          <w:jc w:val="center"/>
        </w:trPr>
        <w:tc>
          <w:tcPr>
            <w:tcW w:w="1998" w:type="dxa"/>
            <w:shd w:val="pct15" w:color="auto" w:fill="FFFFFF"/>
            <w:vAlign w:val="center"/>
          </w:tcPr>
          <w:p w14:paraId="09D13E4D" w14:textId="77777777" w:rsidR="00000482" w:rsidRPr="00773656" w:rsidRDefault="00000482" w:rsidP="00AC00BE">
            <w:pPr>
              <w:pStyle w:val="BodyText"/>
              <w:spacing w:after="0"/>
              <w:jc w:val="center"/>
              <w:rPr>
                <w:b/>
              </w:rPr>
            </w:pPr>
            <w:bookmarkStart w:id="233" w:name="_Hlk25308757"/>
            <w:r w:rsidRPr="00773656">
              <w:rPr>
                <w:b/>
              </w:rPr>
              <w:t>Number of Lanes in Design Direction</w:t>
            </w:r>
          </w:p>
        </w:tc>
        <w:tc>
          <w:tcPr>
            <w:tcW w:w="3150" w:type="dxa"/>
            <w:shd w:val="pct15" w:color="auto" w:fill="FFFFFF"/>
            <w:vAlign w:val="center"/>
          </w:tcPr>
          <w:p w14:paraId="3B4FCDCA" w14:textId="77777777" w:rsidR="00000482" w:rsidRPr="00773656" w:rsidRDefault="00000482" w:rsidP="00AC00BE">
            <w:pPr>
              <w:pStyle w:val="BodyText"/>
              <w:spacing w:after="0"/>
              <w:jc w:val="center"/>
              <w:rPr>
                <w:b/>
              </w:rPr>
            </w:pPr>
            <w:r w:rsidRPr="00773656">
              <w:rPr>
                <w:b/>
              </w:rPr>
              <w:t>Range of Percent of ADTT in Design Lane</w:t>
            </w:r>
            <w:r>
              <w:rPr>
                <w:b/>
              </w:rPr>
              <w:t xml:space="preserve"> – New Construction or Right-Side Widening</w:t>
            </w:r>
          </w:p>
        </w:tc>
        <w:tc>
          <w:tcPr>
            <w:tcW w:w="2857" w:type="dxa"/>
            <w:shd w:val="pct15" w:color="auto" w:fill="FFFFFF"/>
            <w:vAlign w:val="center"/>
          </w:tcPr>
          <w:p w14:paraId="7F969299" w14:textId="77777777" w:rsidR="00000482" w:rsidRPr="00773656" w:rsidRDefault="00000482" w:rsidP="00AC00BE">
            <w:pPr>
              <w:pStyle w:val="BodyText"/>
              <w:spacing w:after="0"/>
              <w:jc w:val="center"/>
              <w:rPr>
                <w:b/>
              </w:rPr>
            </w:pPr>
            <w:r w:rsidRPr="00773656">
              <w:rPr>
                <w:b/>
              </w:rPr>
              <w:t>Desired Percent of ADTT in Design Lane</w:t>
            </w:r>
            <w:r>
              <w:rPr>
                <w:b/>
              </w:rPr>
              <w:t xml:space="preserve"> – New Construction or Right-Side Widening</w:t>
            </w:r>
          </w:p>
        </w:tc>
      </w:tr>
      <w:tr w:rsidR="00000482" w:rsidRPr="00773656" w14:paraId="50A573FE" w14:textId="77777777" w:rsidTr="00AC00BE">
        <w:trPr>
          <w:trHeight w:val="288"/>
          <w:jc w:val="center"/>
        </w:trPr>
        <w:tc>
          <w:tcPr>
            <w:tcW w:w="1998" w:type="dxa"/>
            <w:vAlign w:val="center"/>
          </w:tcPr>
          <w:p w14:paraId="125A20E8" w14:textId="77777777" w:rsidR="00000482" w:rsidRPr="00773656" w:rsidRDefault="00000482" w:rsidP="00AC00BE">
            <w:pPr>
              <w:pStyle w:val="BodyText"/>
              <w:spacing w:after="0"/>
              <w:jc w:val="center"/>
            </w:pPr>
            <w:r w:rsidRPr="00773656">
              <w:t>1</w:t>
            </w:r>
          </w:p>
        </w:tc>
        <w:tc>
          <w:tcPr>
            <w:tcW w:w="3150" w:type="dxa"/>
            <w:vAlign w:val="center"/>
          </w:tcPr>
          <w:p w14:paraId="26AD1D61" w14:textId="77777777" w:rsidR="00000482" w:rsidRPr="00773656" w:rsidRDefault="00000482" w:rsidP="00AC00BE">
            <w:pPr>
              <w:pStyle w:val="BodyText"/>
              <w:spacing w:after="0"/>
              <w:jc w:val="center"/>
            </w:pPr>
            <w:r w:rsidRPr="00773656">
              <w:t>100</w:t>
            </w:r>
          </w:p>
        </w:tc>
        <w:tc>
          <w:tcPr>
            <w:tcW w:w="2857" w:type="dxa"/>
            <w:vAlign w:val="center"/>
          </w:tcPr>
          <w:p w14:paraId="5A4CD573" w14:textId="77777777" w:rsidR="00000482" w:rsidRPr="00773656" w:rsidRDefault="00000482" w:rsidP="00AC00BE">
            <w:pPr>
              <w:pStyle w:val="BodyText"/>
              <w:spacing w:after="0"/>
              <w:jc w:val="center"/>
            </w:pPr>
            <w:r w:rsidRPr="00773656">
              <w:t>100</w:t>
            </w:r>
          </w:p>
        </w:tc>
      </w:tr>
      <w:tr w:rsidR="00000482" w:rsidRPr="00773656" w14:paraId="14EC0585" w14:textId="77777777" w:rsidTr="00AC00BE">
        <w:trPr>
          <w:trHeight w:val="288"/>
          <w:jc w:val="center"/>
        </w:trPr>
        <w:tc>
          <w:tcPr>
            <w:tcW w:w="1998" w:type="dxa"/>
            <w:vAlign w:val="center"/>
          </w:tcPr>
          <w:p w14:paraId="765FC198" w14:textId="77777777" w:rsidR="00000482" w:rsidRPr="00773656" w:rsidRDefault="00000482" w:rsidP="00AC00BE">
            <w:pPr>
              <w:pStyle w:val="BodyText"/>
              <w:spacing w:after="0"/>
              <w:jc w:val="center"/>
            </w:pPr>
            <w:r w:rsidRPr="00773656">
              <w:t>2</w:t>
            </w:r>
          </w:p>
        </w:tc>
        <w:tc>
          <w:tcPr>
            <w:tcW w:w="3150" w:type="dxa"/>
            <w:vAlign w:val="center"/>
          </w:tcPr>
          <w:p w14:paraId="5292DAC1" w14:textId="77777777" w:rsidR="00000482" w:rsidRPr="00773656" w:rsidRDefault="00000482" w:rsidP="00AC00BE">
            <w:pPr>
              <w:pStyle w:val="BodyText"/>
              <w:spacing w:after="0"/>
              <w:jc w:val="center"/>
            </w:pPr>
            <w:r w:rsidRPr="00773656">
              <w:t>80 – 100</w:t>
            </w:r>
          </w:p>
        </w:tc>
        <w:tc>
          <w:tcPr>
            <w:tcW w:w="2857" w:type="dxa"/>
            <w:vAlign w:val="center"/>
          </w:tcPr>
          <w:p w14:paraId="66DF05BD" w14:textId="77777777" w:rsidR="00000482" w:rsidRPr="00773656" w:rsidRDefault="00000482" w:rsidP="00AC00BE">
            <w:pPr>
              <w:pStyle w:val="BodyText"/>
              <w:spacing w:after="0"/>
              <w:jc w:val="center"/>
            </w:pPr>
            <w:r w:rsidRPr="00773656">
              <w:t>90</w:t>
            </w:r>
          </w:p>
        </w:tc>
      </w:tr>
      <w:tr w:rsidR="00000482" w:rsidRPr="00773656" w14:paraId="5D36C8AE" w14:textId="77777777" w:rsidTr="00AC00BE">
        <w:trPr>
          <w:trHeight w:val="288"/>
          <w:jc w:val="center"/>
        </w:trPr>
        <w:tc>
          <w:tcPr>
            <w:tcW w:w="1998" w:type="dxa"/>
            <w:vAlign w:val="center"/>
          </w:tcPr>
          <w:p w14:paraId="3D9C7B56" w14:textId="77777777" w:rsidR="00000482" w:rsidRPr="00773656" w:rsidRDefault="00000482" w:rsidP="00AC00BE">
            <w:pPr>
              <w:pStyle w:val="BodyText"/>
              <w:spacing w:after="0"/>
              <w:jc w:val="center"/>
            </w:pPr>
            <w:r w:rsidRPr="00773656">
              <w:t>3</w:t>
            </w:r>
          </w:p>
        </w:tc>
        <w:tc>
          <w:tcPr>
            <w:tcW w:w="3150" w:type="dxa"/>
            <w:vAlign w:val="center"/>
          </w:tcPr>
          <w:p w14:paraId="373458AD" w14:textId="77777777" w:rsidR="00000482" w:rsidRPr="00773656" w:rsidRDefault="00000482" w:rsidP="00AC00BE">
            <w:pPr>
              <w:pStyle w:val="BodyText"/>
              <w:spacing w:after="0"/>
              <w:jc w:val="center"/>
            </w:pPr>
            <w:r w:rsidRPr="00773656">
              <w:t>60 – 80</w:t>
            </w:r>
          </w:p>
        </w:tc>
        <w:tc>
          <w:tcPr>
            <w:tcW w:w="2857" w:type="dxa"/>
            <w:vAlign w:val="center"/>
          </w:tcPr>
          <w:p w14:paraId="6E3AB4CB" w14:textId="77777777" w:rsidR="00000482" w:rsidRPr="00773656" w:rsidRDefault="00000482" w:rsidP="00AC00BE">
            <w:pPr>
              <w:pStyle w:val="BodyText"/>
              <w:spacing w:after="0"/>
              <w:jc w:val="center"/>
            </w:pPr>
            <w:r w:rsidRPr="00773656">
              <w:t>80</w:t>
            </w:r>
          </w:p>
        </w:tc>
      </w:tr>
      <w:tr w:rsidR="00000482" w:rsidRPr="00773656" w14:paraId="0B45DEB3" w14:textId="77777777" w:rsidTr="00AC00BE">
        <w:trPr>
          <w:trHeight w:val="288"/>
          <w:jc w:val="center"/>
        </w:trPr>
        <w:tc>
          <w:tcPr>
            <w:tcW w:w="1998" w:type="dxa"/>
            <w:vAlign w:val="center"/>
          </w:tcPr>
          <w:p w14:paraId="19BD9BA5" w14:textId="77777777" w:rsidR="00000482" w:rsidRPr="00773656" w:rsidRDefault="00000482" w:rsidP="00AC00BE">
            <w:pPr>
              <w:pStyle w:val="BodyText"/>
              <w:spacing w:after="0"/>
              <w:jc w:val="center"/>
            </w:pPr>
            <w:r w:rsidRPr="00773656">
              <w:t>4</w:t>
            </w:r>
          </w:p>
        </w:tc>
        <w:tc>
          <w:tcPr>
            <w:tcW w:w="3150" w:type="dxa"/>
            <w:vAlign w:val="center"/>
          </w:tcPr>
          <w:p w14:paraId="1A08DA04" w14:textId="77777777" w:rsidR="00000482" w:rsidRPr="00773656" w:rsidRDefault="00000482" w:rsidP="00AC00BE">
            <w:pPr>
              <w:pStyle w:val="BodyText"/>
              <w:spacing w:after="0"/>
              <w:jc w:val="center"/>
            </w:pPr>
            <w:r w:rsidRPr="00773656">
              <w:t>50 – 75</w:t>
            </w:r>
          </w:p>
        </w:tc>
        <w:tc>
          <w:tcPr>
            <w:tcW w:w="2857" w:type="dxa"/>
            <w:vAlign w:val="center"/>
          </w:tcPr>
          <w:p w14:paraId="60A09375" w14:textId="77777777" w:rsidR="00000482" w:rsidRPr="00773656" w:rsidRDefault="00000482" w:rsidP="00AC00BE">
            <w:pPr>
              <w:pStyle w:val="BodyText"/>
              <w:spacing w:after="0"/>
              <w:jc w:val="center"/>
            </w:pPr>
            <w:r w:rsidRPr="00773656">
              <w:t>70</w:t>
            </w:r>
          </w:p>
        </w:tc>
      </w:tr>
      <w:tr w:rsidR="00000482" w:rsidRPr="00773656" w14:paraId="605FDBB4" w14:textId="77777777" w:rsidTr="00AC00BE">
        <w:trPr>
          <w:trHeight w:val="288"/>
          <w:jc w:val="center"/>
        </w:trPr>
        <w:tc>
          <w:tcPr>
            <w:tcW w:w="1998" w:type="dxa"/>
            <w:vAlign w:val="center"/>
          </w:tcPr>
          <w:p w14:paraId="127D41C9" w14:textId="77777777" w:rsidR="00000482" w:rsidRPr="00773656" w:rsidRDefault="00000482" w:rsidP="00AC00BE">
            <w:pPr>
              <w:pStyle w:val="BodyText"/>
              <w:spacing w:after="0"/>
              <w:jc w:val="center"/>
            </w:pPr>
            <w:r w:rsidRPr="00773656">
              <w:t>5+</w:t>
            </w:r>
          </w:p>
        </w:tc>
        <w:tc>
          <w:tcPr>
            <w:tcW w:w="3150" w:type="dxa"/>
            <w:vAlign w:val="center"/>
          </w:tcPr>
          <w:p w14:paraId="6A517DCE" w14:textId="77777777" w:rsidR="00000482" w:rsidRPr="00773656" w:rsidRDefault="00000482" w:rsidP="00AC00BE">
            <w:pPr>
              <w:pStyle w:val="BodyText"/>
              <w:spacing w:after="0"/>
              <w:jc w:val="center"/>
            </w:pPr>
            <w:r w:rsidRPr="00773656">
              <w:t>40 – 70</w:t>
            </w:r>
          </w:p>
        </w:tc>
        <w:tc>
          <w:tcPr>
            <w:tcW w:w="2857" w:type="dxa"/>
            <w:vAlign w:val="center"/>
          </w:tcPr>
          <w:p w14:paraId="5354341B" w14:textId="77777777" w:rsidR="00000482" w:rsidRPr="00773656" w:rsidRDefault="00000482" w:rsidP="00AC00BE">
            <w:pPr>
              <w:pStyle w:val="BodyText"/>
              <w:spacing w:after="0"/>
              <w:jc w:val="center"/>
            </w:pPr>
            <w:r w:rsidRPr="00773656">
              <w:t>60</w:t>
            </w:r>
          </w:p>
        </w:tc>
      </w:tr>
    </w:tbl>
    <w:p w14:paraId="587C77CF" w14:textId="77777777" w:rsidR="00000482" w:rsidRDefault="00000482" w:rsidP="00000482">
      <w:pPr>
        <w:pStyle w:val="BodyText"/>
        <w:spacing w:after="0"/>
      </w:pPr>
      <w:bookmarkStart w:id="234" w:name="_Shoulder_Design"/>
      <w:bookmarkEnd w:id="2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5"/>
        <w:gridCol w:w="3150"/>
        <w:gridCol w:w="2890"/>
      </w:tblGrid>
      <w:tr w:rsidR="00000482" w:rsidRPr="00773656" w14:paraId="4B388823" w14:textId="77777777" w:rsidTr="00AC00BE">
        <w:trPr>
          <w:trHeight w:val="288"/>
          <w:jc w:val="center"/>
        </w:trPr>
        <w:tc>
          <w:tcPr>
            <w:tcW w:w="2065" w:type="dxa"/>
            <w:shd w:val="pct15" w:color="auto" w:fill="FFFFFF"/>
            <w:vAlign w:val="center"/>
          </w:tcPr>
          <w:p w14:paraId="3A0D1DDC" w14:textId="77777777" w:rsidR="00000482" w:rsidRPr="00773656" w:rsidRDefault="00000482" w:rsidP="00AC00BE">
            <w:pPr>
              <w:pStyle w:val="BodyText"/>
              <w:spacing w:after="0"/>
              <w:jc w:val="center"/>
              <w:rPr>
                <w:b/>
              </w:rPr>
            </w:pPr>
            <w:r w:rsidRPr="00773656">
              <w:rPr>
                <w:b/>
              </w:rPr>
              <w:t>Number of Lanes in Design Direction</w:t>
            </w:r>
          </w:p>
        </w:tc>
        <w:tc>
          <w:tcPr>
            <w:tcW w:w="3150" w:type="dxa"/>
            <w:shd w:val="pct15" w:color="auto" w:fill="FFFFFF"/>
            <w:vAlign w:val="center"/>
          </w:tcPr>
          <w:p w14:paraId="243F5CB6" w14:textId="77777777" w:rsidR="00000482" w:rsidRPr="00773656" w:rsidRDefault="00000482" w:rsidP="00AC00BE">
            <w:pPr>
              <w:pStyle w:val="BodyText"/>
              <w:spacing w:after="0"/>
              <w:jc w:val="center"/>
              <w:rPr>
                <w:b/>
              </w:rPr>
            </w:pPr>
            <w:r w:rsidRPr="00773656">
              <w:rPr>
                <w:b/>
              </w:rPr>
              <w:t>Range of Percent of ADTT in Design Lane</w:t>
            </w:r>
            <w:r>
              <w:rPr>
                <w:b/>
              </w:rPr>
              <w:t xml:space="preserve"> – Left Side Widening</w:t>
            </w:r>
          </w:p>
        </w:tc>
        <w:tc>
          <w:tcPr>
            <w:tcW w:w="2890" w:type="dxa"/>
            <w:shd w:val="pct15" w:color="auto" w:fill="FFFFFF"/>
            <w:vAlign w:val="center"/>
          </w:tcPr>
          <w:p w14:paraId="2DD47927" w14:textId="77777777" w:rsidR="00000482" w:rsidRPr="00773656" w:rsidRDefault="00000482" w:rsidP="00AC00BE">
            <w:pPr>
              <w:pStyle w:val="BodyText"/>
              <w:spacing w:after="0"/>
              <w:jc w:val="center"/>
              <w:rPr>
                <w:b/>
              </w:rPr>
            </w:pPr>
            <w:r w:rsidRPr="00773656">
              <w:rPr>
                <w:b/>
              </w:rPr>
              <w:t>Desired Percent of ADTT in Design Lane</w:t>
            </w:r>
            <w:r>
              <w:rPr>
                <w:b/>
              </w:rPr>
              <w:t xml:space="preserve"> – Left Side Widening</w:t>
            </w:r>
          </w:p>
        </w:tc>
      </w:tr>
      <w:tr w:rsidR="00000482" w:rsidRPr="00773656" w14:paraId="3B2BD94E" w14:textId="77777777" w:rsidTr="00AC00BE">
        <w:trPr>
          <w:trHeight w:val="288"/>
          <w:jc w:val="center"/>
        </w:trPr>
        <w:tc>
          <w:tcPr>
            <w:tcW w:w="2065" w:type="dxa"/>
            <w:vAlign w:val="center"/>
          </w:tcPr>
          <w:p w14:paraId="52CB7EAE" w14:textId="77777777" w:rsidR="00000482" w:rsidRPr="00773656" w:rsidRDefault="00000482" w:rsidP="00AC00BE">
            <w:pPr>
              <w:pStyle w:val="BodyText"/>
              <w:spacing w:after="0"/>
              <w:jc w:val="center"/>
            </w:pPr>
            <w:r w:rsidRPr="00773656">
              <w:t>2</w:t>
            </w:r>
          </w:p>
        </w:tc>
        <w:tc>
          <w:tcPr>
            <w:tcW w:w="3150" w:type="dxa"/>
            <w:vAlign w:val="center"/>
          </w:tcPr>
          <w:p w14:paraId="63C7BC7D" w14:textId="77777777" w:rsidR="00000482" w:rsidRPr="00773656" w:rsidRDefault="00000482" w:rsidP="00AC00BE">
            <w:pPr>
              <w:pStyle w:val="BodyText"/>
              <w:spacing w:after="0"/>
              <w:jc w:val="center"/>
            </w:pPr>
            <w:r>
              <w:t>3</w:t>
            </w:r>
            <w:r w:rsidRPr="00773656">
              <w:t xml:space="preserve">0 – </w:t>
            </w:r>
            <w:r>
              <w:t>5</w:t>
            </w:r>
            <w:r w:rsidRPr="00773656">
              <w:t>0</w:t>
            </w:r>
          </w:p>
        </w:tc>
        <w:tc>
          <w:tcPr>
            <w:tcW w:w="2890" w:type="dxa"/>
            <w:vAlign w:val="center"/>
          </w:tcPr>
          <w:p w14:paraId="0096FB1B" w14:textId="77777777" w:rsidR="00000482" w:rsidRPr="00773656" w:rsidRDefault="00000482" w:rsidP="00AC00BE">
            <w:pPr>
              <w:pStyle w:val="BodyText"/>
              <w:spacing w:after="0"/>
              <w:jc w:val="center"/>
            </w:pPr>
            <w:r>
              <w:t>40</w:t>
            </w:r>
          </w:p>
        </w:tc>
      </w:tr>
      <w:tr w:rsidR="00000482" w:rsidRPr="00773656" w14:paraId="09DAF140" w14:textId="77777777" w:rsidTr="00AC00BE">
        <w:trPr>
          <w:trHeight w:val="288"/>
          <w:jc w:val="center"/>
        </w:trPr>
        <w:tc>
          <w:tcPr>
            <w:tcW w:w="2065" w:type="dxa"/>
            <w:vAlign w:val="center"/>
          </w:tcPr>
          <w:p w14:paraId="1C3C5C68" w14:textId="77777777" w:rsidR="00000482" w:rsidRPr="00773656" w:rsidRDefault="00000482" w:rsidP="00AC00BE">
            <w:pPr>
              <w:pStyle w:val="BodyText"/>
              <w:spacing w:after="0"/>
              <w:jc w:val="center"/>
            </w:pPr>
            <w:r w:rsidRPr="00773656">
              <w:t>3</w:t>
            </w:r>
          </w:p>
        </w:tc>
        <w:tc>
          <w:tcPr>
            <w:tcW w:w="3150" w:type="dxa"/>
            <w:vAlign w:val="center"/>
          </w:tcPr>
          <w:p w14:paraId="52B1C345" w14:textId="77777777" w:rsidR="00000482" w:rsidRPr="00773656" w:rsidRDefault="00000482" w:rsidP="00AC00BE">
            <w:pPr>
              <w:pStyle w:val="BodyText"/>
              <w:spacing w:after="0"/>
              <w:jc w:val="center"/>
            </w:pPr>
            <w:r>
              <w:t>1</w:t>
            </w:r>
            <w:r w:rsidRPr="00773656">
              <w:t xml:space="preserve">0 – </w:t>
            </w:r>
            <w:r>
              <w:t>3</w:t>
            </w:r>
            <w:r w:rsidRPr="00773656">
              <w:t>0</w:t>
            </w:r>
          </w:p>
        </w:tc>
        <w:tc>
          <w:tcPr>
            <w:tcW w:w="2890" w:type="dxa"/>
            <w:vAlign w:val="center"/>
          </w:tcPr>
          <w:p w14:paraId="089CFE78" w14:textId="77777777" w:rsidR="00000482" w:rsidRPr="00773656" w:rsidRDefault="00000482" w:rsidP="00AC00BE">
            <w:pPr>
              <w:pStyle w:val="BodyText"/>
              <w:spacing w:after="0"/>
              <w:jc w:val="center"/>
            </w:pPr>
            <w:r>
              <w:t>20</w:t>
            </w:r>
          </w:p>
        </w:tc>
      </w:tr>
      <w:tr w:rsidR="00000482" w:rsidRPr="00773656" w14:paraId="4DE5B8A6" w14:textId="77777777" w:rsidTr="00AC00BE">
        <w:trPr>
          <w:trHeight w:val="288"/>
          <w:jc w:val="center"/>
        </w:trPr>
        <w:tc>
          <w:tcPr>
            <w:tcW w:w="2065" w:type="dxa"/>
            <w:vAlign w:val="center"/>
          </w:tcPr>
          <w:p w14:paraId="2F65EBCF" w14:textId="77777777" w:rsidR="00000482" w:rsidRPr="00773656" w:rsidRDefault="00000482" w:rsidP="00AC00BE">
            <w:pPr>
              <w:pStyle w:val="BodyText"/>
              <w:spacing w:after="0"/>
              <w:jc w:val="center"/>
            </w:pPr>
            <w:r w:rsidRPr="00773656">
              <w:t>4</w:t>
            </w:r>
            <w:r>
              <w:t>+</w:t>
            </w:r>
          </w:p>
        </w:tc>
        <w:tc>
          <w:tcPr>
            <w:tcW w:w="3150" w:type="dxa"/>
            <w:vAlign w:val="center"/>
          </w:tcPr>
          <w:p w14:paraId="74142994" w14:textId="77777777" w:rsidR="00000482" w:rsidRPr="00773656" w:rsidRDefault="00000482" w:rsidP="00AC00BE">
            <w:pPr>
              <w:pStyle w:val="BodyText"/>
              <w:spacing w:after="0"/>
              <w:jc w:val="center"/>
            </w:pPr>
            <w:r w:rsidRPr="00773656">
              <w:t xml:space="preserve">5 – </w:t>
            </w:r>
            <w:r>
              <w:t>1</w:t>
            </w:r>
            <w:r w:rsidRPr="00773656">
              <w:t>5</w:t>
            </w:r>
          </w:p>
        </w:tc>
        <w:tc>
          <w:tcPr>
            <w:tcW w:w="2890" w:type="dxa"/>
            <w:vAlign w:val="center"/>
          </w:tcPr>
          <w:p w14:paraId="448C1A9C" w14:textId="77777777" w:rsidR="00000482" w:rsidRPr="00773656" w:rsidRDefault="00000482" w:rsidP="00AC00BE">
            <w:pPr>
              <w:pStyle w:val="BodyText"/>
              <w:spacing w:after="0"/>
              <w:jc w:val="center"/>
            </w:pPr>
            <w:r>
              <w:t>1</w:t>
            </w:r>
            <w:r w:rsidRPr="00773656">
              <w:t>0</w:t>
            </w:r>
          </w:p>
        </w:tc>
      </w:tr>
    </w:tbl>
    <w:p w14:paraId="230046F1" w14:textId="77777777" w:rsidR="00000482" w:rsidRDefault="00000482" w:rsidP="007B337D">
      <w:pPr>
        <w:pStyle w:val="BodyText"/>
        <w:spacing w:before="240"/>
        <w:jc w:val="both"/>
      </w:pPr>
    </w:p>
    <w:bookmarkEnd w:id="233"/>
    <w:p w14:paraId="5571A88D" w14:textId="77777777" w:rsidR="002744D8" w:rsidRPr="00342D04" w:rsidRDefault="000A5566" w:rsidP="00000482">
      <w:pPr>
        <w:pStyle w:val="Heading4"/>
      </w:pPr>
      <w:r>
        <w:lastRenderedPageBreak/>
        <w:t>Growth Rate</w:t>
      </w:r>
      <w:r w:rsidR="00C075B0" w:rsidRPr="00342D04">
        <w:t xml:space="preserve"> Calculation</w:t>
      </w:r>
    </w:p>
    <w:p w14:paraId="045C095C" w14:textId="1759638D" w:rsidR="002744D8" w:rsidRPr="00342D04" w:rsidRDefault="002744D8" w:rsidP="006E41DE">
      <w:pPr>
        <w:pStyle w:val="ListNumber"/>
        <w:numPr>
          <w:ilvl w:val="0"/>
          <w:numId w:val="3"/>
        </w:numPr>
        <w:spacing w:before="240"/>
        <w:ind w:left="1080" w:hanging="1080"/>
        <w:jc w:val="both"/>
      </w:pPr>
      <w:r w:rsidRPr="00342D04">
        <w:t xml:space="preserve">The growth factor is not provided specifically as a single value.  </w:t>
      </w:r>
      <w:r w:rsidR="00342D04" w:rsidRPr="00342D04">
        <w:t>D</w:t>
      </w:r>
      <w:r w:rsidR="00A41235">
        <w:t>S</w:t>
      </w:r>
      <w:r w:rsidR="00342D04" w:rsidRPr="00342D04">
        <w:t>ED</w:t>
      </w:r>
      <w:r w:rsidRPr="00342D04">
        <w:t xml:space="preserve"> generally provides growth rate in terms of the ADT in the expected construction year of the project and the estimated ADT sometime in the future after construction; typically 20 years.  In this case, </w:t>
      </w:r>
      <w:r w:rsidR="00342D04" w:rsidRPr="00342D04">
        <w:t>use</w:t>
      </w:r>
      <w:r w:rsidR="007E3B02">
        <w:t xml:space="preserve"> </w:t>
      </w:r>
      <w:hyperlink r:id="rId151" w:history="1">
        <w:r w:rsidR="007E3B02" w:rsidRPr="007E3B02">
          <w:rPr>
            <w:rStyle w:val="Hyperlink"/>
          </w:rPr>
          <w:t>PDS-02 - Traffic Calculations</w:t>
        </w:r>
      </w:hyperlink>
      <w:r w:rsidR="00342D04" w:rsidRPr="00342D04">
        <w:t xml:space="preserve">, or calculate the </w:t>
      </w:r>
      <w:r w:rsidRPr="00342D04">
        <w:t xml:space="preserve">growth rate with the following equation: </w:t>
      </w:r>
    </w:p>
    <w:p w14:paraId="59DFC39F" w14:textId="2D715537" w:rsidR="002744D8" w:rsidRPr="00342D04" w:rsidRDefault="002744D8" w:rsidP="006E41DE">
      <w:pPr>
        <w:pStyle w:val="ListNumber"/>
        <w:tabs>
          <w:tab w:val="clear" w:pos="720"/>
        </w:tabs>
        <w:ind w:left="1080" w:hanging="1080"/>
        <w:jc w:val="center"/>
      </w:pPr>
      <w:r w:rsidRPr="00342D04">
        <w:t>r = [(FADT / CADT) ^ (1/( FY - CY))] -1</w:t>
      </w:r>
    </w:p>
    <w:p w14:paraId="78608340" w14:textId="77777777" w:rsidR="002744D8" w:rsidRPr="00342D04" w:rsidRDefault="002744D8" w:rsidP="00665507">
      <w:pPr>
        <w:pStyle w:val="BodyText"/>
        <w:ind w:left="2160" w:hanging="1080"/>
        <w:jc w:val="both"/>
      </w:pPr>
      <w:r w:rsidRPr="00342D04">
        <w:t>where:</w:t>
      </w:r>
    </w:p>
    <w:p w14:paraId="29981BF2" w14:textId="57BD24CE" w:rsidR="002744D8" w:rsidRPr="00342D04" w:rsidRDefault="002744D8" w:rsidP="006E41DE">
      <w:pPr>
        <w:pStyle w:val="BodyText"/>
        <w:tabs>
          <w:tab w:val="left" w:pos="1800"/>
        </w:tabs>
        <w:spacing w:after="0"/>
        <w:ind w:left="2160" w:hanging="1080"/>
        <w:jc w:val="both"/>
      </w:pPr>
      <w:r w:rsidRPr="00342D04">
        <w:t xml:space="preserve">r </w:t>
      </w:r>
      <w:r w:rsidR="00672237">
        <w:tab/>
      </w:r>
      <w:r w:rsidRPr="00342D04">
        <w:t xml:space="preserve">= </w:t>
      </w:r>
      <w:r w:rsidR="00672237">
        <w:tab/>
      </w:r>
      <w:r w:rsidRPr="00342D04">
        <w:t>growth rate (in decimal form)</w:t>
      </w:r>
    </w:p>
    <w:p w14:paraId="4B74E9C1" w14:textId="0E39DA2A" w:rsidR="002744D8" w:rsidRPr="00342D04" w:rsidRDefault="002744D8" w:rsidP="006E41DE">
      <w:pPr>
        <w:pStyle w:val="BodyText"/>
        <w:tabs>
          <w:tab w:val="left" w:pos="1800"/>
        </w:tabs>
        <w:spacing w:after="0"/>
        <w:ind w:left="2160" w:hanging="1080"/>
        <w:jc w:val="both"/>
      </w:pPr>
      <w:r w:rsidRPr="00342D04">
        <w:t xml:space="preserve">FY </w:t>
      </w:r>
      <w:r w:rsidR="00672237">
        <w:tab/>
      </w:r>
      <w:r w:rsidRPr="00342D04">
        <w:t xml:space="preserve">= </w:t>
      </w:r>
      <w:r w:rsidR="00672237">
        <w:tab/>
      </w:r>
      <w:r w:rsidRPr="00342D04">
        <w:t>future year</w:t>
      </w:r>
    </w:p>
    <w:p w14:paraId="5F387EF5" w14:textId="5C73433D" w:rsidR="002744D8" w:rsidRPr="00342D04" w:rsidRDefault="002744D8" w:rsidP="006E41DE">
      <w:pPr>
        <w:pStyle w:val="BodyText"/>
        <w:tabs>
          <w:tab w:val="left" w:pos="1800"/>
        </w:tabs>
        <w:spacing w:after="0"/>
        <w:ind w:left="2160" w:hanging="1080"/>
        <w:jc w:val="both"/>
      </w:pPr>
      <w:r w:rsidRPr="00342D04">
        <w:t xml:space="preserve">CY </w:t>
      </w:r>
      <w:r w:rsidR="00672237">
        <w:tab/>
      </w:r>
      <w:r w:rsidRPr="00342D04">
        <w:t xml:space="preserve">= </w:t>
      </w:r>
      <w:r w:rsidR="00672237">
        <w:tab/>
      </w:r>
      <w:r w:rsidRPr="00342D04">
        <w:t>construction year</w:t>
      </w:r>
    </w:p>
    <w:p w14:paraId="156B61C9" w14:textId="4CE76E06" w:rsidR="002744D8" w:rsidRPr="00342D04" w:rsidRDefault="002744D8" w:rsidP="006E41DE">
      <w:pPr>
        <w:pStyle w:val="BodyText"/>
        <w:tabs>
          <w:tab w:val="left" w:pos="1800"/>
        </w:tabs>
        <w:spacing w:after="0"/>
        <w:ind w:left="2160" w:hanging="1080"/>
        <w:jc w:val="both"/>
      </w:pPr>
      <w:r w:rsidRPr="00342D04">
        <w:t xml:space="preserve">FADT </w:t>
      </w:r>
      <w:r w:rsidR="00672237">
        <w:tab/>
      </w:r>
      <w:r w:rsidRPr="00342D04">
        <w:t xml:space="preserve">= </w:t>
      </w:r>
      <w:r w:rsidR="00672237">
        <w:tab/>
      </w:r>
      <w:r w:rsidRPr="00342D04">
        <w:t>future year ADT</w:t>
      </w:r>
    </w:p>
    <w:p w14:paraId="53931B42" w14:textId="6574C77A" w:rsidR="002744D8" w:rsidRPr="00342D04" w:rsidRDefault="002744D8" w:rsidP="006E41DE">
      <w:pPr>
        <w:pStyle w:val="BodyText"/>
        <w:tabs>
          <w:tab w:val="left" w:pos="1800"/>
        </w:tabs>
        <w:spacing w:after="0"/>
        <w:ind w:left="2160" w:hanging="1080"/>
        <w:jc w:val="both"/>
      </w:pPr>
      <w:r w:rsidRPr="00342D04">
        <w:t xml:space="preserve">CADT </w:t>
      </w:r>
      <w:r w:rsidR="00672237">
        <w:tab/>
      </w:r>
      <w:r w:rsidRPr="00342D04">
        <w:t xml:space="preserve">= </w:t>
      </w:r>
      <w:r w:rsidR="00672237">
        <w:tab/>
      </w:r>
      <w:r w:rsidRPr="00342D04">
        <w:t xml:space="preserve">construction year ADT </w:t>
      </w:r>
    </w:p>
    <w:p w14:paraId="4D899881" w14:textId="77777777" w:rsidR="002744D8" w:rsidRPr="00342D04" w:rsidRDefault="002744D8" w:rsidP="006E41DE">
      <w:pPr>
        <w:pStyle w:val="ListNumber"/>
        <w:tabs>
          <w:tab w:val="clear" w:pos="720"/>
        </w:tabs>
        <w:ind w:left="1080" w:firstLine="0"/>
        <w:jc w:val="both"/>
      </w:pPr>
      <w:r w:rsidRPr="00342D04">
        <w:t xml:space="preserve">Occasionally, the growth rate is available and not the future year ADT.  Use the following equation to calculate the future ADT given the growth rate: </w:t>
      </w:r>
    </w:p>
    <w:p w14:paraId="32AC6B6D" w14:textId="4C15715B" w:rsidR="002744D8" w:rsidRPr="00342D04" w:rsidRDefault="002744D8" w:rsidP="006E41DE">
      <w:pPr>
        <w:pStyle w:val="ListNumber"/>
        <w:tabs>
          <w:tab w:val="clear" w:pos="720"/>
        </w:tabs>
        <w:ind w:left="2160" w:hanging="1080"/>
        <w:jc w:val="center"/>
      </w:pPr>
      <w:r w:rsidRPr="00342D04">
        <w:t>FADT = CADT * (1 + r)^ (FY – CY)</w:t>
      </w:r>
    </w:p>
    <w:p w14:paraId="1BA1F0EB" w14:textId="77777777" w:rsidR="002744D8" w:rsidRPr="00342D04" w:rsidRDefault="002744D8" w:rsidP="00665507">
      <w:pPr>
        <w:pStyle w:val="BodyText"/>
        <w:ind w:left="2160" w:hanging="1080"/>
        <w:jc w:val="both"/>
      </w:pPr>
      <w:r w:rsidRPr="00342D04">
        <w:t>where:</w:t>
      </w:r>
    </w:p>
    <w:p w14:paraId="2EA42351" w14:textId="423CB0F1" w:rsidR="002744D8" w:rsidRPr="00342D04" w:rsidRDefault="002744D8" w:rsidP="006E41DE">
      <w:pPr>
        <w:pStyle w:val="BodyText"/>
        <w:tabs>
          <w:tab w:val="left" w:pos="1800"/>
        </w:tabs>
        <w:spacing w:after="0"/>
        <w:ind w:left="2160" w:hanging="1080"/>
        <w:jc w:val="both"/>
      </w:pPr>
      <w:r w:rsidRPr="00342D04">
        <w:t xml:space="preserve">r </w:t>
      </w:r>
      <w:r w:rsidR="00672237">
        <w:tab/>
      </w:r>
      <w:r w:rsidRPr="00342D04">
        <w:t xml:space="preserve">= </w:t>
      </w:r>
      <w:r w:rsidR="00672237">
        <w:tab/>
      </w:r>
      <w:r w:rsidRPr="00342D04">
        <w:t>growth rate (in decimal form)</w:t>
      </w:r>
    </w:p>
    <w:p w14:paraId="69EB99E3" w14:textId="2D5CF0D5" w:rsidR="002744D8" w:rsidRPr="00342D04" w:rsidRDefault="002744D8" w:rsidP="006E41DE">
      <w:pPr>
        <w:pStyle w:val="BodyText"/>
        <w:tabs>
          <w:tab w:val="left" w:pos="1800"/>
        </w:tabs>
        <w:spacing w:after="0"/>
        <w:ind w:left="2160" w:hanging="1080"/>
        <w:jc w:val="both"/>
      </w:pPr>
      <w:r w:rsidRPr="00342D04">
        <w:t xml:space="preserve">FY </w:t>
      </w:r>
      <w:r w:rsidR="00672237">
        <w:tab/>
      </w:r>
      <w:r w:rsidRPr="00342D04">
        <w:t xml:space="preserve">= </w:t>
      </w:r>
      <w:r w:rsidR="00672237">
        <w:tab/>
      </w:r>
      <w:r w:rsidRPr="00342D04">
        <w:t>future year</w:t>
      </w:r>
    </w:p>
    <w:p w14:paraId="0E7B93E7" w14:textId="618FE8B4" w:rsidR="002744D8" w:rsidRPr="00342D04" w:rsidRDefault="002744D8" w:rsidP="006E41DE">
      <w:pPr>
        <w:pStyle w:val="BodyText"/>
        <w:tabs>
          <w:tab w:val="left" w:pos="1800"/>
        </w:tabs>
        <w:spacing w:after="0"/>
        <w:ind w:left="2160" w:hanging="1080"/>
        <w:jc w:val="both"/>
      </w:pPr>
      <w:r w:rsidRPr="00342D04">
        <w:t xml:space="preserve">CY </w:t>
      </w:r>
      <w:r w:rsidR="00672237">
        <w:tab/>
      </w:r>
      <w:r w:rsidRPr="00342D04">
        <w:t xml:space="preserve">= </w:t>
      </w:r>
      <w:r w:rsidR="00672237">
        <w:tab/>
      </w:r>
      <w:r w:rsidRPr="00342D04">
        <w:t>construction year</w:t>
      </w:r>
    </w:p>
    <w:p w14:paraId="35E5B0C1" w14:textId="68DF2C9C" w:rsidR="002744D8" w:rsidRPr="00342D04" w:rsidRDefault="002744D8" w:rsidP="006E41DE">
      <w:pPr>
        <w:pStyle w:val="BodyText"/>
        <w:tabs>
          <w:tab w:val="left" w:pos="1800"/>
        </w:tabs>
        <w:spacing w:after="0"/>
        <w:ind w:left="2160" w:hanging="1080"/>
        <w:jc w:val="both"/>
      </w:pPr>
      <w:r w:rsidRPr="00342D04">
        <w:t xml:space="preserve">FADT </w:t>
      </w:r>
      <w:r w:rsidR="00672237">
        <w:tab/>
      </w:r>
      <w:r w:rsidRPr="00342D04">
        <w:t xml:space="preserve">= </w:t>
      </w:r>
      <w:r w:rsidR="00672237">
        <w:tab/>
      </w:r>
      <w:r w:rsidRPr="00342D04">
        <w:t>future year ADT</w:t>
      </w:r>
    </w:p>
    <w:p w14:paraId="47BA998E" w14:textId="54BF5A1A" w:rsidR="002744D8" w:rsidRPr="00342D04" w:rsidRDefault="002744D8" w:rsidP="006E41DE">
      <w:pPr>
        <w:pStyle w:val="BodyText"/>
        <w:tabs>
          <w:tab w:val="left" w:pos="1800"/>
        </w:tabs>
        <w:spacing w:after="0"/>
        <w:ind w:left="2160" w:hanging="1080"/>
        <w:jc w:val="both"/>
      </w:pPr>
      <w:r w:rsidRPr="00342D04">
        <w:t xml:space="preserve">CADT </w:t>
      </w:r>
      <w:r w:rsidR="00672237">
        <w:tab/>
      </w:r>
      <w:r w:rsidRPr="00342D04">
        <w:t xml:space="preserve">= </w:t>
      </w:r>
      <w:r w:rsidR="00672237">
        <w:tab/>
      </w:r>
      <w:r w:rsidRPr="00342D04">
        <w:t>construction year ADT</w:t>
      </w:r>
    </w:p>
    <w:p w14:paraId="198035F5" w14:textId="77777777" w:rsidR="00672237" w:rsidRDefault="00672237">
      <w:pPr>
        <w:rPr>
          <w:rFonts w:ascii="Arial" w:hAnsi="Arial"/>
          <w:sz w:val="22"/>
        </w:rPr>
      </w:pPr>
      <w:r>
        <w:br w:type="page"/>
      </w:r>
    </w:p>
    <w:p w14:paraId="5CA1B453" w14:textId="36B0036D" w:rsidR="002744D8" w:rsidRPr="00342D04" w:rsidRDefault="002744D8" w:rsidP="00665507">
      <w:pPr>
        <w:pStyle w:val="ListNumber"/>
        <w:tabs>
          <w:tab w:val="clear" w:pos="720"/>
        </w:tabs>
        <w:ind w:left="2160" w:hanging="1080"/>
        <w:jc w:val="both"/>
      </w:pPr>
      <w:r w:rsidRPr="00342D04">
        <w:lastRenderedPageBreak/>
        <w:t xml:space="preserve">Use the following equation to calculate the total cumulative growth factor: </w:t>
      </w:r>
    </w:p>
    <w:p w14:paraId="428FC8E4" w14:textId="4BF073D5" w:rsidR="002744D8" w:rsidRPr="00342D04" w:rsidRDefault="002744D8" w:rsidP="006E41DE">
      <w:pPr>
        <w:pStyle w:val="ListNumber"/>
        <w:tabs>
          <w:tab w:val="clear" w:pos="720"/>
        </w:tabs>
        <w:ind w:left="2160" w:hanging="1080"/>
        <w:jc w:val="center"/>
      </w:pPr>
      <w:r w:rsidRPr="00342D04">
        <w:t>G = [((1 + r )^ (FY – CY)) – 1] / r</w:t>
      </w:r>
    </w:p>
    <w:p w14:paraId="211AAC85" w14:textId="77777777" w:rsidR="002744D8" w:rsidRPr="00342D04" w:rsidRDefault="002744D8" w:rsidP="00665507">
      <w:pPr>
        <w:pStyle w:val="BodyText"/>
        <w:ind w:left="2160" w:hanging="1080"/>
        <w:jc w:val="both"/>
      </w:pPr>
      <w:r w:rsidRPr="00342D04">
        <w:t>where:</w:t>
      </w:r>
    </w:p>
    <w:p w14:paraId="17592E0E" w14:textId="1111747A" w:rsidR="002744D8" w:rsidRPr="00342D04" w:rsidRDefault="002744D8" w:rsidP="006E41DE">
      <w:pPr>
        <w:pStyle w:val="BodyText"/>
        <w:tabs>
          <w:tab w:val="left" w:pos="1440"/>
          <w:tab w:val="left" w:pos="1800"/>
        </w:tabs>
        <w:spacing w:after="0"/>
        <w:ind w:left="2160" w:hanging="1080"/>
        <w:jc w:val="both"/>
      </w:pPr>
      <w:r w:rsidRPr="00342D04">
        <w:t xml:space="preserve">G </w:t>
      </w:r>
      <w:r w:rsidR="00672237">
        <w:tab/>
      </w:r>
      <w:r w:rsidRPr="00342D04">
        <w:t xml:space="preserve">= </w:t>
      </w:r>
      <w:r w:rsidR="00672237">
        <w:tab/>
      </w:r>
      <w:r w:rsidRPr="00342D04">
        <w:t>total cumulative growth factor</w:t>
      </w:r>
    </w:p>
    <w:p w14:paraId="53488A5A" w14:textId="6431C4D7" w:rsidR="002744D8" w:rsidRPr="00342D04" w:rsidRDefault="002744D8" w:rsidP="006E41DE">
      <w:pPr>
        <w:pStyle w:val="BodyText"/>
        <w:tabs>
          <w:tab w:val="left" w:pos="1440"/>
          <w:tab w:val="left" w:pos="1800"/>
        </w:tabs>
        <w:spacing w:after="0"/>
        <w:ind w:left="2160" w:hanging="1080"/>
        <w:jc w:val="both"/>
      </w:pPr>
      <w:r w:rsidRPr="00342D04">
        <w:t xml:space="preserve">r </w:t>
      </w:r>
      <w:r w:rsidR="00672237">
        <w:tab/>
      </w:r>
      <w:r w:rsidRPr="00342D04">
        <w:t xml:space="preserve">= </w:t>
      </w:r>
      <w:r w:rsidR="00672237">
        <w:tab/>
      </w:r>
      <w:r w:rsidRPr="00342D04">
        <w:t>growth rate (in decimal form)</w:t>
      </w:r>
    </w:p>
    <w:p w14:paraId="20F09289" w14:textId="64595467" w:rsidR="002744D8" w:rsidRPr="00342D04" w:rsidRDefault="002744D8" w:rsidP="006E41DE">
      <w:pPr>
        <w:pStyle w:val="BodyText"/>
        <w:tabs>
          <w:tab w:val="left" w:pos="1440"/>
          <w:tab w:val="left" w:pos="1800"/>
        </w:tabs>
        <w:spacing w:after="0"/>
        <w:ind w:left="2160" w:hanging="1080"/>
        <w:jc w:val="both"/>
      </w:pPr>
      <w:r w:rsidRPr="00342D04">
        <w:t xml:space="preserve">FY </w:t>
      </w:r>
      <w:r w:rsidR="00672237">
        <w:tab/>
      </w:r>
      <w:r w:rsidRPr="00342D04">
        <w:t xml:space="preserve">= </w:t>
      </w:r>
      <w:r w:rsidR="00672237">
        <w:tab/>
      </w:r>
      <w:r w:rsidRPr="00342D04">
        <w:t>future year</w:t>
      </w:r>
    </w:p>
    <w:p w14:paraId="48326491" w14:textId="5207EDA0" w:rsidR="002744D8" w:rsidRPr="00342D04" w:rsidRDefault="002744D8" w:rsidP="006E41DE">
      <w:pPr>
        <w:pStyle w:val="BodyText"/>
        <w:tabs>
          <w:tab w:val="left" w:pos="1440"/>
          <w:tab w:val="left" w:pos="1800"/>
        </w:tabs>
        <w:spacing w:after="0"/>
        <w:ind w:left="2160" w:hanging="1080"/>
        <w:jc w:val="both"/>
      </w:pPr>
      <w:r w:rsidRPr="00342D04">
        <w:t>CY</w:t>
      </w:r>
      <w:r w:rsidR="00672237">
        <w:tab/>
      </w:r>
      <w:r w:rsidRPr="00342D04">
        <w:t xml:space="preserve">= </w:t>
      </w:r>
      <w:r w:rsidR="00672237">
        <w:tab/>
      </w:r>
      <w:r w:rsidRPr="00342D04">
        <w:t>construction year</w:t>
      </w:r>
    </w:p>
    <w:p w14:paraId="5048DD80" w14:textId="77777777" w:rsidR="002744D8" w:rsidRDefault="002744D8" w:rsidP="00665507">
      <w:pPr>
        <w:pStyle w:val="ListNumber"/>
        <w:numPr>
          <w:ilvl w:val="12"/>
          <w:numId w:val="0"/>
        </w:numPr>
        <w:tabs>
          <w:tab w:val="clear" w:pos="1872"/>
        </w:tabs>
        <w:ind w:left="1080" w:hanging="1080"/>
        <w:jc w:val="center"/>
        <w:rPr>
          <w:i/>
        </w:rPr>
      </w:pPr>
      <w:r w:rsidRPr="00342D04">
        <w:rPr>
          <w:i/>
        </w:rPr>
        <w:t xml:space="preserve">Responsible Party </w:t>
      </w:r>
      <w:r w:rsidR="00901B68">
        <w:rPr>
          <w:i/>
        </w:rPr>
        <w:t>–</w:t>
      </w:r>
      <w:r w:rsidRPr="00342D04">
        <w:rPr>
          <w:i/>
        </w:rPr>
        <w:t xml:space="preserve"> Engineer</w:t>
      </w:r>
    </w:p>
    <w:p w14:paraId="166654A4" w14:textId="77777777" w:rsidR="00901B68" w:rsidRDefault="00901B68" w:rsidP="00665507">
      <w:pPr>
        <w:pStyle w:val="ListNumber"/>
        <w:numPr>
          <w:ilvl w:val="12"/>
          <w:numId w:val="0"/>
        </w:numPr>
        <w:tabs>
          <w:tab w:val="clear" w:pos="1872"/>
        </w:tabs>
        <w:ind w:left="1080" w:hanging="1080"/>
        <w:jc w:val="center"/>
        <w:rPr>
          <w:i/>
          <w:highlight w:val="yellow"/>
        </w:rPr>
      </w:pPr>
    </w:p>
    <w:p w14:paraId="6EC9C296" w14:textId="77777777" w:rsidR="00901B68" w:rsidRPr="00134B44" w:rsidRDefault="00901B68" w:rsidP="00000482">
      <w:pPr>
        <w:pStyle w:val="Heading4"/>
      </w:pPr>
      <w:bookmarkStart w:id="235" w:name="_Truck_Factor_Development"/>
      <w:bookmarkEnd w:id="235"/>
      <w:r w:rsidRPr="00134B44">
        <w:t>Truck Factor Development</w:t>
      </w:r>
    </w:p>
    <w:p w14:paraId="4D3AD85F" w14:textId="77777777" w:rsidR="008B0B9E" w:rsidRPr="00134B44" w:rsidRDefault="000A5566" w:rsidP="006E41DE">
      <w:pPr>
        <w:pStyle w:val="ListNumber"/>
        <w:tabs>
          <w:tab w:val="clear" w:pos="720"/>
          <w:tab w:val="clear" w:pos="1872"/>
        </w:tabs>
        <w:spacing w:before="0"/>
        <w:ind w:left="0" w:firstLine="0"/>
        <w:jc w:val="both"/>
      </w:pPr>
      <w:r w:rsidRPr="00134B44">
        <w:t xml:space="preserve">While the truck factor (TF) is not used in any pavement design calculations in AASHTO’s MEPD, it is still needed to determine the cumulative 20-year ESALs to determine the correct HMA Superpave compaction level.  Refer to </w:t>
      </w:r>
      <w:hyperlink w:anchor="_Traffic_Level_Selection" w:history="1">
        <w:r w:rsidRPr="00134B44">
          <w:rPr>
            <w:rStyle w:val="Hyperlink"/>
          </w:rPr>
          <w:t>Traffic Level Selection</w:t>
        </w:r>
      </w:hyperlink>
      <w:r w:rsidR="008B0B9E" w:rsidRPr="00134B44">
        <w:t xml:space="preserve">.  </w:t>
      </w:r>
    </w:p>
    <w:p w14:paraId="658B934B" w14:textId="262C8C26" w:rsidR="008B0B9E" w:rsidRPr="00134B44" w:rsidRDefault="008B0B9E" w:rsidP="00901B68">
      <w:pPr>
        <w:pStyle w:val="ListNumber"/>
        <w:tabs>
          <w:tab w:val="clear" w:pos="720"/>
          <w:tab w:val="clear" w:pos="1872"/>
        </w:tabs>
        <w:ind w:left="0" w:firstLine="0"/>
        <w:jc w:val="both"/>
      </w:pPr>
      <w:r w:rsidRPr="00134B44">
        <w:t xml:space="preserve">Use the loadometer data to identify the TF for flexible pavements.  There is a TF corresponding to various structural numbers (SN).  Use the following equations as approximate conversions of existing pavement thickness to SN: </w:t>
      </w:r>
    </w:p>
    <w:p w14:paraId="7DCD1051" w14:textId="77777777" w:rsidR="008B0B9E" w:rsidRPr="00134B44" w:rsidRDefault="008B0B9E" w:rsidP="006E41DE">
      <w:pPr>
        <w:pStyle w:val="ListNumber"/>
        <w:tabs>
          <w:tab w:val="clear" w:pos="720"/>
          <w:tab w:val="clear" w:pos="1872"/>
        </w:tabs>
        <w:ind w:left="0" w:firstLine="0"/>
        <w:jc w:val="center"/>
      </w:pPr>
      <w:r w:rsidRPr="00134B44">
        <w:t>HMA thickness x 0.4</w:t>
      </w:r>
    </w:p>
    <w:p w14:paraId="3EF800BE" w14:textId="77777777" w:rsidR="008B0B9E" w:rsidRPr="00134B44" w:rsidRDefault="008B0B9E" w:rsidP="006E41DE">
      <w:pPr>
        <w:pStyle w:val="ListNumber"/>
        <w:tabs>
          <w:tab w:val="clear" w:pos="720"/>
          <w:tab w:val="clear" w:pos="1872"/>
        </w:tabs>
        <w:ind w:left="0" w:firstLine="0"/>
        <w:jc w:val="center"/>
      </w:pPr>
      <w:r w:rsidRPr="00134B44">
        <w:t>PCC thickness x 1.0</w:t>
      </w:r>
    </w:p>
    <w:p w14:paraId="4B4142AD" w14:textId="77777777" w:rsidR="008B0B9E" w:rsidRPr="00134B44" w:rsidRDefault="008B0B9E" w:rsidP="006E41DE">
      <w:pPr>
        <w:pStyle w:val="ListNumber"/>
        <w:tabs>
          <w:tab w:val="clear" w:pos="720"/>
          <w:tab w:val="clear" w:pos="1872"/>
        </w:tabs>
        <w:ind w:left="0" w:firstLine="0"/>
        <w:jc w:val="center"/>
      </w:pPr>
      <w:r w:rsidRPr="00134B44">
        <w:t>GAB thickness x 0.12</w:t>
      </w:r>
    </w:p>
    <w:p w14:paraId="21A7D5E5" w14:textId="77777777" w:rsidR="002744D8" w:rsidRPr="00134B44" w:rsidRDefault="002744D8" w:rsidP="00665507">
      <w:pPr>
        <w:pStyle w:val="ListNumber"/>
        <w:numPr>
          <w:ilvl w:val="12"/>
          <w:numId w:val="0"/>
        </w:numPr>
        <w:tabs>
          <w:tab w:val="clear" w:pos="1872"/>
        </w:tabs>
        <w:ind w:left="1080" w:hanging="1080"/>
        <w:jc w:val="center"/>
        <w:rPr>
          <w:i/>
        </w:rPr>
      </w:pPr>
      <w:r w:rsidRPr="00134B44">
        <w:rPr>
          <w:i/>
        </w:rPr>
        <w:t>Responsible Party – Engineer</w:t>
      </w:r>
    </w:p>
    <w:p w14:paraId="3EC56D03" w14:textId="77777777" w:rsidR="00901B68" w:rsidRPr="00134B44" w:rsidRDefault="00901B68" w:rsidP="00665507">
      <w:pPr>
        <w:pStyle w:val="ListNumber"/>
        <w:numPr>
          <w:ilvl w:val="12"/>
          <w:numId w:val="0"/>
        </w:numPr>
        <w:tabs>
          <w:tab w:val="clear" w:pos="1872"/>
        </w:tabs>
        <w:ind w:left="1080" w:hanging="1080"/>
        <w:jc w:val="center"/>
      </w:pPr>
    </w:p>
    <w:p w14:paraId="36F3D61F" w14:textId="77777777" w:rsidR="00901B68" w:rsidRPr="00AA46B4" w:rsidRDefault="00901B68" w:rsidP="00901B68">
      <w:pPr>
        <w:pStyle w:val="Heading4"/>
      </w:pPr>
      <w:r w:rsidRPr="00AA46B4">
        <w:t xml:space="preserve">Future </w:t>
      </w:r>
      <w:r w:rsidR="009E01AC" w:rsidRPr="00AA46B4">
        <w:t>Traffic Data</w:t>
      </w:r>
      <w:r w:rsidRPr="00AA46B4">
        <w:t xml:space="preserve"> Calculation</w:t>
      </w:r>
      <w:r w:rsidR="009E01AC" w:rsidRPr="00AA46B4">
        <w:t>s</w:t>
      </w:r>
    </w:p>
    <w:p w14:paraId="436A286C" w14:textId="77777777" w:rsidR="001A15B9" w:rsidRDefault="009E01AC" w:rsidP="00172E64">
      <w:pPr>
        <w:pStyle w:val="ListNumber"/>
        <w:numPr>
          <w:ilvl w:val="0"/>
          <w:numId w:val="89"/>
        </w:numPr>
        <w:tabs>
          <w:tab w:val="clear" w:pos="1872"/>
        </w:tabs>
        <w:spacing w:before="240"/>
        <w:ind w:left="1080" w:hanging="1080"/>
        <w:jc w:val="both"/>
      </w:pPr>
      <w:r w:rsidRPr="00AA46B4">
        <w:t xml:space="preserve">Determine the Construction Year ADT for each of the 13 FHWA classes.  This can be done by taking the current year ADT for each (as collected in </w:t>
      </w:r>
      <w:hyperlink w:anchor="_Data_Collection" w:history="1">
        <w:r w:rsidRPr="00AA46B4">
          <w:rPr>
            <w:rStyle w:val="Hyperlink"/>
          </w:rPr>
          <w:t>Traffic Data Collection</w:t>
        </w:r>
      </w:hyperlink>
      <w:r w:rsidRPr="00AA46B4">
        <w:t xml:space="preserve">) and applying the growth rate.  </w:t>
      </w:r>
    </w:p>
    <w:p w14:paraId="5A9D83CF" w14:textId="77777777" w:rsidR="002744D8" w:rsidRPr="00AA46B4" w:rsidRDefault="009E01AC" w:rsidP="009E01AC">
      <w:pPr>
        <w:pStyle w:val="ListNumber"/>
        <w:tabs>
          <w:tab w:val="clear" w:pos="720"/>
          <w:tab w:val="clear" w:pos="1872"/>
        </w:tabs>
        <w:ind w:left="1080" w:firstLine="0"/>
        <w:jc w:val="both"/>
      </w:pPr>
      <w:r w:rsidRPr="00AA46B4">
        <w:t xml:space="preserve">Use </w:t>
      </w:r>
      <w:hyperlink r:id="rId152" w:history="1">
        <w:r w:rsidR="001D25C1" w:rsidRPr="007E3B02">
          <w:rPr>
            <w:rStyle w:val="Hyperlink"/>
          </w:rPr>
          <w:t>PDS-02 - Traffic Calculations</w:t>
        </w:r>
      </w:hyperlink>
      <w:r w:rsidR="000C7AE1">
        <w:t xml:space="preserve"> </w:t>
      </w:r>
      <w:r w:rsidRPr="00AA46B4">
        <w:t>to input the current year ADT for each class, and the Construction Year ADT for each class will be calculated.</w:t>
      </w:r>
      <w:r w:rsidR="002744D8" w:rsidRPr="00AA46B4">
        <w:t xml:space="preserve"> </w:t>
      </w:r>
    </w:p>
    <w:p w14:paraId="67D68E76" w14:textId="77777777" w:rsidR="002744D8" w:rsidRPr="00AA46B4" w:rsidRDefault="002744D8" w:rsidP="00665507">
      <w:pPr>
        <w:pStyle w:val="ListNumber"/>
        <w:numPr>
          <w:ilvl w:val="12"/>
          <w:numId w:val="0"/>
        </w:numPr>
        <w:tabs>
          <w:tab w:val="clear" w:pos="1872"/>
        </w:tabs>
        <w:ind w:left="1080" w:hanging="1080"/>
        <w:jc w:val="center"/>
      </w:pPr>
      <w:r w:rsidRPr="00AA46B4">
        <w:rPr>
          <w:i/>
        </w:rPr>
        <w:t>Responsible Party – Engineer</w:t>
      </w:r>
    </w:p>
    <w:p w14:paraId="2D244525" w14:textId="77777777" w:rsidR="001A15B9" w:rsidRDefault="002744D8" w:rsidP="00172E64">
      <w:pPr>
        <w:pStyle w:val="ListNumber"/>
        <w:numPr>
          <w:ilvl w:val="0"/>
          <w:numId w:val="89"/>
        </w:numPr>
        <w:tabs>
          <w:tab w:val="clear" w:pos="1872"/>
        </w:tabs>
        <w:ind w:left="1080" w:hanging="1080"/>
        <w:jc w:val="both"/>
      </w:pPr>
      <w:r w:rsidRPr="00AA46B4">
        <w:t xml:space="preserve">Calculate the future cumulative ESAL applications using the following equation: </w:t>
      </w:r>
    </w:p>
    <w:p w14:paraId="637D7514" w14:textId="160962A0" w:rsidR="002744D8" w:rsidRPr="00AA46B4" w:rsidRDefault="002744D8" w:rsidP="00C64CD7">
      <w:pPr>
        <w:pStyle w:val="ListNumber"/>
        <w:tabs>
          <w:tab w:val="clear" w:pos="720"/>
        </w:tabs>
        <w:ind w:left="1080" w:firstLine="0"/>
        <w:jc w:val="center"/>
      </w:pPr>
      <w:r w:rsidRPr="00AA46B4">
        <w:t>Cumulative ESAL = (CADT) * 365 * (%T) * (TF) * (G) * (D) * (L)</w:t>
      </w:r>
    </w:p>
    <w:p w14:paraId="00C0DBF1" w14:textId="77777777" w:rsidR="00C64CD7" w:rsidRDefault="00C64CD7" w:rsidP="006E41DE">
      <w:pPr>
        <w:pStyle w:val="BodyText"/>
        <w:spacing w:after="0"/>
        <w:ind w:left="2160" w:hanging="1080"/>
        <w:jc w:val="both"/>
      </w:pPr>
    </w:p>
    <w:p w14:paraId="5F017BE5" w14:textId="77777777" w:rsidR="002744D8" w:rsidRPr="00AA46B4" w:rsidRDefault="002744D8" w:rsidP="00665507">
      <w:pPr>
        <w:pStyle w:val="BodyText"/>
        <w:ind w:left="2160" w:hanging="1080"/>
        <w:jc w:val="both"/>
      </w:pPr>
      <w:r w:rsidRPr="00AA46B4">
        <w:t>where:</w:t>
      </w:r>
    </w:p>
    <w:p w14:paraId="56FAF527" w14:textId="6F4FDBDE" w:rsidR="002744D8" w:rsidRPr="00AA46B4" w:rsidRDefault="002744D8" w:rsidP="006E41DE">
      <w:pPr>
        <w:pStyle w:val="BodyText"/>
        <w:tabs>
          <w:tab w:val="left" w:pos="1800"/>
        </w:tabs>
        <w:spacing w:after="0"/>
        <w:ind w:left="2160" w:hanging="1080"/>
        <w:jc w:val="both"/>
      </w:pPr>
      <w:r w:rsidRPr="00AA46B4">
        <w:t xml:space="preserve">CADT </w:t>
      </w:r>
      <w:r w:rsidR="00C64CD7">
        <w:tab/>
      </w:r>
      <w:r w:rsidRPr="00AA46B4">
        <w:t xml:space="preserve">= </w:t>
      </w:r>
      <w:r w:rsidR="00C64CD7">
        <w:tab/>
      </w:r>
      <w:r w:rsidRPr="00AA46B4">
        <w:t xml:space="preserve">average daily traffic in construction year </w:t>
      </w:r>
    </w:p>
    <w:p w14:paraId="749BC7C2" w14:textId="65B2D8F2" w:rsidR="002744D8" w:rsidRPr="00AA46B4" w:rsidRDefault="002744D8" w:rsidP="006E41DE">
      <w:pPr>
        <w:pStyle w:val="BodyText"/>
        <w:tabs>
          <w:tab w:val="left" w:pos="1800"/>
        </w:tabs>
        <w:spacing w:after="0"/>
        <w:ind w:left="2160" w:hanging="1080"/>
        <w:jc w:val="both"/>
      </w:pPr>
      <w:r w:rsidRPr="00AA46B4">
        <w:t xml:space="preserve">%T </w:t>
      </w:r>
      <w:r w:rsidR="00C64CD7">
        <w:tab/>
      </w:r>
      <w:r w:rsidRPr="00AA46B4">
        <w:t xml:space="preserve">= </w:t>
      </w:r>
      <w:r w:rsidR="00C64CD7">
        <w:tab/>
      </w:r>
      <w:r w:rsidRPr="00AA46B4">
        <w:t>percent trucks</w:t>
      </w:r>
    </w:p>
    <w:p w14:paraId="174B6194" w14:textId="19399B27" w:rsidR="002744D8" w:rsidRPr="00AA46B4" w:rsidRDefault="002744D8" w:rsidP="006E41DE">
      <w:pPr>
        <w:pStyle w:val="BodyText"/>
        <w:tabs>
          <w:tab w:val="left" w:pos="1800"/>
        </w:tabs>
        <w:spacing w:after="0"/>
        <w:ind w:left="2160" w:hanging="1080"/>
        <w:jc w:val="both"/>
      </w:pPr>
      <w:r w:rsidRPr="00AA46B4">
        <w:t xml:space="preserve">TF </w:t>
      </w:r>
      <w:r w:rsidR="00C64CD7">
        <w:tab/>
      </w:r>
      <w:r w:rsidRPr="00AA46B4">
        <w:t xml:space="preserve">= </w:t>
      </w:r>
      <w:r w:rsidR="00C64CD7">
        <w:tab/>
      </w:r>
      <w:r w:rsidRPr="00AA46B4">
        <w:t>truck factor</w:t>
      </w:r>
    </w:p>
    <w:p w14:paraId="41EB273C" w14:textId="5201D579" w:rsidR="002744D8" w:rsidRPr="00AA46B4" w:rsidRDefault="002744D8" w:rsidP="006E41DE">
      <w:pPr>
        <w:pStyle w:val="BodyText"/>
        <w:tabs>
          <w:tab w:val="left" w:pos="1800"/>
        </w:tabs>
        <w:spacing w:after="0"/>
        <w:ind w:left="2160" w:hanging="1080"/>
        <w:jc w:val="both"/>
      </w:pPr>
      <w:r w:rsidRPr="00AA46B4">
        <w:t xml:space="preserve">G </w:t>
      </w:r>
      <w:r w:rsidR="00C64CD7">
        <w:tab/>
      </w:r>
      <w:r w:rsidRPr="00AA46B4">
        <w:t xml:space="preserve">= </w:t>
      </w:r>
      <w:r w:rsidR="00C64CD7">
        <w:tab/>
      </w:r>
      <w:r w:rsidRPr="00AA46B4">
        <w:t>cumulative growth factor</w:t>
      </w:r>
    </w:p>
    <w:p w14:paraId="754CF2AC" w14:textId="2B67668A" w:rsidR="002744D8" w:rsidRPr="00AA46B4" w:rsidRDefault="002744D8" w:rsidP="006E41DE">
      <w:pPr>
        <w:pStyle w:val="BodyText"/>
        <w:tabs>
          <w:tab w:val="left" w:pos="1800"/>
        </w:tabs>
        <w:spacing w:after="0"/>
        <w:ind w:left="2160" w:hanging="1080"/>
        <w:jc w:val="both"/>
      </w:pPr>
      <w:r w:rsidRPr="00AA46B4">
        <w:t xml:space="preserve">D </w:t>
      </w:r>
      <w:r w:rsidR="00C64CD7">
        <w:tab/>
      </w:r>
      <w:r w:rsidRPr="00AA46B4">
        <w:t xml:space="preserve">= </w:t>
      </w:r>
      <w:r w:rsidR="00C64CD7">
        <w:tab/>
      </w:r>
      <w:r w:rsidRPr="00AA46B4">
        <w:t>directional distribution</w:t>
      </w:r>
    </w:p>
    <w:p w14:paraId="2406B46F" w14:textId="38D57EF8" w:rsidR="002744D8" w:rsidRPr="00AA46B4" w:rsidRDefault="002744D8" w:rsidP="006E41DE">
      <w:pPr>
        <w:pStyle w:val="BodyText"/>
        <w:tabs>
          <w:tab w:val="left" w:pos="1800"/>
        </w:tabs>
        <w:spacing w:after="0"/>
        <w:ind w:left="2160" w:hanging="1080"/>
        <w:jc w:val="both"/>
      </w:pPr>
      <w:r w:rsidRPr="00AA46B4">
        <w:t xml:space="preserve">L </w:t>
      </w:r>
      <w:r w:rsidR="00C64CD7">
        <w:tab/>
      </w:r>
      <w:r w:rsidRPr="00AA46B4">
        <w:t xml:space="preserve">= </w:t>
      </w:r>
      <w:r w:rsidR="00C64CD7">
        <w:tab/>
      </w:r>
      <w:r w:rsidRPr="00AA46B4">
        <w:t xml:space="preserve">Lane distribution </w:t>
      </w:r>
    </w:p>
    <w:p w14:paraId="3044DB38" w14:textId="77777777" w:rsidR="007004DD" w:rsidRPr="00AA46B4" w:rsidRDefault="002744D8" w:rsidP="007004DD">
      <w:pPr>
        <w:pStyle w:val="ListNumber"/>
        <w:tabs>
          <w:tab w:val="clear" w:pos="720"/>
          <w:tab w:val="clear" w:pos="1872"/>
        </w:tabs>
        <w:ind w:left="1080" w:firstLine="0"/>
        <w:jc w:val="both"/>
      </w:pPr>
      <w:r w:rsidRPr="00AA46B4">
        <w:t>The cumulative growth factor (G) in the equation above is a function of the number of years in</w:t>
      </w:r>
      <w:r w:rsidRPr="00DE4B6E">
        <w:t xml:space="preserve">to the future for the analysis, or design life of the pavement.  </w:t>
      </w:r>
      <w:r w:rsidRPr="00DE4B6E">
        <w:lastRenderedPageBreak/>
        <w:t xml:space="preserve">Therefore, a different (G) must be calculated for each ESAL design life needed in the pavement design process and then used in the equation above to develop the cumulative ESAL.  The type of design lives needed for development of cumulative ESAL values are the Design Life </w:t>
      </w:r>
      <w:r w:rsidR="00DE4B6E" w:rsidRPr="00DE4B6E">
        <w:t xml:space="preserve">for the HMA and the 20-year </w:t>
      </w:r>
      <w:r w:rsidRPr="00DE4B6E">
        <w:t>Superpave Mix Design ESAL</w:t>
      </w:r>
      <w:r w:rsidR="002D313A">
        <w:t xml:space="preserve">.  </w:t>
      </w:r>
      <w:r w:rsidR="007004DD" w:rsidRPr="00AA46B4">
        <w:t xml:space="preserve">Use </w:t>
      </w:r>
      <w:hyperlink r:id="rId153" w:history="1">
        <w:r w:rsidR="001D25C1" w:rsidRPr="007E3B02">
          <w:rPr>
            <w:rStyle w:val="Hyperlink"/>
          </w:rPr>
          <w:t>PDS-02 - Traffic Calculations</w:t>
        </w:r>
      </w:hyperlink>
      <w:r w:rsidR="000C7AE1">
        <w:t xml:space="preserve"> </w:t>
      </w:r>
      <w:r w:rsidR="007004DD" w:rsidRPr="00AA46B4">
        <w:t xml:space="preserve">to input the current year ADT for each class, and the Construction Year ADT for each class will be calculated. </w:t>
      </w:r>
    </w:p>
    <w:p w14:paraId="5C9AC577" w14:textId="77777777" w:rsidR="007004DD" w:rsidRPr="00AA46B4" w:rsidRDefault="007004DD" w:rsidP="007004DD">
      <w:pPr>
        <w:pStyle w:val="ListNumber"/>
        <w:numPr>
          <w:ilvl w:val="12"/>
          <w:numId w:val="0"/>
        </w:numPr>
        <w:tabs>
          <w:tab w:val="clear" w:pos="1872"/>
        </w:tabs>
        <w:ind w:left="1080" w:hanging="1080"/>
        <w:jc w:val="center"/>
      </w:pPr>
      <w:r w:rsidRPr="00AA46B4">
        <w:rPr>
          <w:i/>
        </w:rPr>
        <w:t>Responsible Party – Engineer</w:t>
      </w:r>
    </w:p>
    <w:p w14:paraId="38964311" w14:textId="77777777" w:rsidR="001A15B9" w:rsidRDefault="007004DD" w:rsidP="00172E64">
      <w:pPr>
        <w:pStyle w:val="ListNumber"/>
        <w:numPr>
          <w:ilvl w:val="0"/>
          <w:numId w:val="89"/>
        </w:numPr>
        <w:tabs>
          <w:tab w:val="clear" w:pos="1872"/>
        </w:tabs>
        <w:ind w:left="1080" w:hanging="1080"/>
        <w:jc w:val="both"/>
      </w:pPr>
      <w:r>
        <w:t>Determine the Traffic Capacity Cap</w:t>
      </w:r>
      <w:r w:rsidR="00033CDD">
        <w:t>.  Use the following equation:</w:t>
      </w:r>
    </w:p>
    <w:p w14:paraId="7797BF09" w14:textId="233A835E" w:rsidR="007004DD" w:rsidRPr="00033CDD" w:rsidRDefault="00033CDD" w:rsidP="006E41DE">
      <w:pPr>
        <w:pStyle w:val="ListNumber"/>
        <w:tabs>
          <w:tab w:val="clear" w:pos="720"/>
          <w:tab w:val="clear" w:pos="1872"/>
        </w:tabs>
        <w:ind w:left="1080" w:firstLine="0"/>
        <w:jc w:val="center"/>
      </w:pPr>
      <w:r>
        <w:t xml:space="preserve">Number of lanes x </w:t>
      </w:r>
      <w:r w:rsidRPr="00033CDD">
        <w:t>24</w:t>
      </w:r>
      <w:r w:rsidR="004F5528">
        <w:t xml:space="preserve"> </w:t>
      </w:r>
      <w:r w:rsidRPr="00033CDD">
        <w:t>hrs/day x 2600</w:t>
      </w:r>
      <w:r w:rsidR="004F5528">
        <w:t xml:space="preserve"> </w:t>
      </w:r>
      <w:r w:rsidRPr="00033CDD">
        <w:t>vehicles/lane/hour</w:t>
      </w:r>
    </w:p>
    <w:p w14:paraId="1388B0A3" w14:textId="40908030" w:rsidR="001A15B9" w:rsidRDefault="002744D8" w:rsidP="00172E64">
      <w:pPr>
        <w:pStyle w:val="ListNumber"/>
        <w:numPr>
          <w:ilvl w:val="0"/>
          <w:numId w:val="89"/>
        </w:numPr>
        <w:tabs>
          <w:tab w:val="clear" w:pos="1872"/>
        </w:tabs>
        <w:ind w:left="1080" w:hanging="1080"/>
        <w:jc w:val="both"/>
      </w:pPr>
      <w:r w:rsidRPr="00033CDD">
        <w:t>Place results of ESAL calculation and analysis inputs into project file in a summary sheet.</w:t>
      </w:r>
    </w:p>
    <w:p w14:paraId="7DED1422" w14:textId="77777777" w:rsidR="00846F56" w:rsidRDefault="002744D8" w:rsidP="0052524A">
      <w:pPr>
        <w:pStyle w:val="ListNumber"/>
        <w:numPr>
          <w:ilvl w:val="12"/>
          <w:numId w:val="0"/>
        </w:numPr>
        <w:tabs>
          <w:tab w:val="clear" w:pos="1872"/>
        </w:tabs>
        <w:ind w:left="1080" w:hanging="1080"/>
        <w:jc w:val="center"/>
        <w:rPr>
          <w:i/>
        </w:rPr>
      </w:pPr>
      <w:r w:rsidRPr="00033CDD">
        <w:rPr>
          <w:i/>
        </w:rPr>
        <w:t>Responsible Party – Engineer</w:t>
      </w:r>
      <w:bookmarkStart w:id="236" w:name="_Pavement_Rehabilitation_Design"/>
      <w:bookmarkStart w:id="237" w:name="_FWD_Data_Analysis"/>
      <w:bookmarkStart w:id="238" w:name="Section4_02_TOC"/>
      <w:bookmarkEnd w:id="236"/>
      <w:bookmarkEnd w:id="237"/>
    </w:p>
    <w:p w14:paraId="0B2A6207" w14:textId="77777777" w:rsidR="0052524A" w:rsidRDefault="0052524A" w:rsidP="0052524A">
      <w:pPr>
        <w:pStyle w:val="ListNumber"/>
        <w:numPr>
          <w:ilvl w:val="12"/>
          <w:numId w:val="0"/>
        </w:numPr>
        <w:tabs>
          <w:tab w:val="clear" w:pos="1872"/>
        </w:tabs>
        <w:ind w:left="1080" w:hanging="1080"/>
        <w:jc w:val="center"/>
      </w:pPr>
    </w:p>
    <w:p w14:paraId="73FF5BD0" w14:textId="77777777" w:rsidR="006A5FD5" w:rsidRDefault="006A5FD5" w:rsidP="006A5FD5">
      <w:pPr>
        <w:pStyle w:val="Heading4"/>
      </w:pPr>
      <w:bookmarkStart w:id="239" w:name="_Traffic_Analysis_in"/>
      <w:bookmarkStart w:id="240" w:name="_Toc366223793"/>
      <w:bookmarkEnd w:id="239"/>
      <w:r>
        <w:t>Traffic Analysis in MEPD</w:t>
      </w:r>
      <w:bookmarkEnd w:id="240"/>
    </w:p>
    <w:p w14:paraId="26724063" w14:textId="77777777" w:rsidR="00DF4794" w:rsidRPr="008F604D" w:rsidRDefault="00DF4794" w:rsidP="00DF4794">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Mechanistic-Empirical_Anal" w:history="1">
        <w:r w:rsidRPr="00DF4794">
          <w:rPr>
            <w:rStyle w:val="Hyperlink"/>
            <w:rFonts w:ascii="Arial" w:hAnsi="Arial" w:cs="Arial"/>
            <w:bCs/>
            <w:sz w:val="16"/>
            <w:szCs w:val="16"/>
          </w:rPr>
          <w:t>Pavement Mechanistic-Empirical Analysis</w:t>
        </w:r>
      </w:hyperlink>
    </w:p>
    <w:p w14:paraId="081CD954" w14:textId="77777777" w:rsidR="000F30A1" w:rsidRPr="000F30A1" w:rsidRDefault="000F30A1" w:rsidP="000F30A1">
      <w:pPr>
        <w:pStyle w:val="ListNumber"/>
        <w:tabs>
          <w:tab w:val="clear" w:pos="720"/>
          <w:tab w:val="clear" w:pos="1872"/>
        </w:tabs>
        <w:ind w:left="0" w:firstLine="0"/>
        <w:jc w:val="both"/>
      </w:pPr>
      <w:r w:rsidRPr="000F30A1">
        <w:t xml:space="preserve">In the MEPDG software, several traffic inputs are required in the Traffic tab.  The following sections detail the required inputs in each group. </w:t>
      </w:r>
    </w:p>
    <w:p w14:paraId="55CA2A4E" w14:textId="77777777" w:rsidR="000F30A1" w:rsidRPr="000F30A1" w:rsidRDefault="000F30A1" w:rsidP="000F30A1">
      <w:pPr>
        <w:pStyle w:val="Heading4"/>
        <w:numPr>
          <w:ilvl w:val="0"/>
          <w:numId w:val="0"/>
        </w:numPr>
        <w:ind w:left="864" w:hanging="864"/>
      </w:pPr>
    </w:p>
    <w:p w14:paraId="47C5D46B" w14:textId="77777777" w:rsidR="000F30A1" w:rsidRPr="000F30A1" w:rsidRDefault="000F30A1" w:rsidP="006E41DE">
      <w:pPr>
        <w:pStyle w:val="Heading5"/>
        <w:ind w:hanging="1098"/>
      </w:pPr>
      <w:bookmarkStart w:id="241" w:name="_Toc366223794"/>
      <w:r w:rsidRPr="000F30A1">
        <w:t>AADTT</w:t>
      </w:r>
      <w:bookmarkEnd w:id="241"/>
    </w:p>
    <w:p w14:paraId="0B72DDCC" w14:textId="77777777" w:rsidR="000F30A1" w:rsidRPr="000F30A1" w:rsidRDefault="000F30A1" w:rsidP="006E41DE">
      <w:pPr>
        <w:pStyle w:val="ListNumber"/>
        <w:tabs>
          <w:tab w:val="clear" w:pos="720"/>
          <w:tab w:val="clear" w:pos="1872"/>
        </w:tabs>
        <w:spacing w:before="0"/>
        <w:ind w:left="0" w:firstLine="0"/>
        <w:jc w:val="both"/>
      </w:pPr>
      <w:r w:rsidRPr="000F30A1">
        <w:t xml:space="preserve">Under the </w:t>
      </w:r>
      <w:r>
        <w:t>AADTT section, all of the inputs are project-specific, and can be found on</w:t>
      </w:r>
      <w:r w:rsidR="000C7AE1">
        <w:t xml:space="preserve"> </w:t>
      </w:r>
      <w:hyperlink r:id="rId154" w:history="1">
        <w:r w:rsidR="001D25C1" w:rsidRPr="007E3B02">
          <w:rPr>
            <w:rStyle w:val="Hyperlink"/>
          </w:rPr>
          <w:t>PDS-02 - Traffic Calculations</w:t>
        </w:r>
      </w:hyperlink>
      <w:r>
        <w:t>.</w:t>
      </w:r>
    </w:p>
    <w:p w14:paraId="50B3952E" w14:textId="77777777" w:rsidR="000F30A1" w:rsidRPr="000F30A1" w:rsidRDefault="000F30A1" w:rsidP="006E41DE">
      <w:pPr>
        <w:pStyle w:val="ListNumber"/>
        <w:tabs>
          <w:tab w:val="clear" w:pos="720"/>
          <w:tab w:val="clear" w:pos="1872"/>
        </w:tabs>
        <w:spacing w:before="0"/>
        <w:ind w:left="0" w:firstLine="0"/>
        <w:jc w:val="both"/>
      </w:pPr>
      <w:r w:rsidRPr="000F30A1">
        <w:t xml:space="preserve"> </w:t>
      </w:r>
    </w:p>
    <w:p w14:paraId="146ED6C9" w14:textId="77777777" w:rsidR="000C11D4" w:rsidRDefault="000C11D4" w:rsidP="006E41DE">
      <w:pPr>
        <w:pStyle w:val="Heading5"/>
        <w:tabs>
          <w:tab w:val="clear" w:pos="1080"/>
          <w:tab w:val="left" w:pos="1800"/>
        </w:tabs>
        <w:ind w:hanging="1098"/>
      </w:pPr>
      <w:bookmarkStart w:id="242" w:name="_Toc366223795"/>
      <w:r>
        <w:t>Traffic Capacity Cap</w:t>
      </w:r>
      <w:bookmarkEnd w:id="242"/>
    </w:p>
    <w:p w14:paraId="7B32A506" w14:textId="77777777" w:rsidR="000C11D4" w:rsidRPr="00567E1C" w:rsidRDefault="000C11D4" w:rsidP="006E41DE">
      <w:pPr>
        <w:pStyle w:val="ListNumber"/>
        <w:tabs>
          <w:tab w:val="clear" w:pos="720"/>
          <w:tab w:val="clear" w:pos="1872"/>
        </w:tabs>
        <w:spacing w:before="0"/>
        <w:ind w:left="0" w:firstLine="0"/>
        <w:jc w:val="both"/>
      </w:pPr>
      <w:r w:rsidRPr="00567E1C">
        <w:t>Click on the down-arrow to bring up the dialog box.  Click the Enforce Highway Capacity Limits checkbox to yes.  Determine the Traffic Capacity Cap using the following equation:</w:t>
      </w:r>
    </w:p>
    <w:p w14:paraId="60F1C65F" w14:textId="059C2E8E" w:rsidR="000C11D4" w:rsidRPr="00033CDD" w:rsidRDefault="000C11D4" w:rsidP="006E41DE">
      <w:pPr>
        <w:pStyle w:val="ListNumber"/>
        <w:tabs>
          <w:tab w:val="clear" w:pos="720"/>
          <w:tab w:val="clear" w:pos="1872"/>
        </w:tabs>
        <w:ind w:left="0" w:firstLine="0"/>
        <w:jc w:val="center"/>
      </w:pPr>
      <w:r>
        <w:t xml:space="preserve">Number of lanes x </w:t>
      </w:r>
      <w:r w:rsidRPr="00033CDD">
        <w:t>24</w:t>
      </w:r>
      <w:r w:rsidR="004F5528">
        <w:t xml:space="preserve"> </w:t>
      </w:r>
      <w:r w:rsidRPr="00033CDD">
        <w:t>hrs/day x 2600</w:t>
      </w:r>
      <w:r w:rsidR="004F5528">
        <w:t xml:space="preserve"> </w:t>
      </w:r>
      <w:r w:rsidRPr="00033CDD">
        <w:t>vehicles/lane/hour</w:t>
      </w:r>
    </w:p>
    <w:p w14:paraId="365419A2" w14:textId="77777777" w:rsidR="000C11D4" w:rsidRPr="000F30A1" w:rsidRDefault="000C11D4" w:rsidP="000C11D4">
      <w:pPr>
        <w:pStyle w:val="ListNumber"/>
        <w:tabs>
          <w:tab w:val="clear" w:pos="720"/>
          <w:tab w:val="clear" w:pos="1872"/>
        </w:tabs>
        <w:ind w:left="0" w:firstLine="0"/>
        <w:jc w:val="both"/>
      </w:pPr>
      <w:r>
        <w:t>This is calculated on</w:t>
      </w:r>
      <w:r w:rsidR="000C7AE1">
        <w:t xml:space="preserve"> </w:t>
      </w:r>
      <w:hyperlink r:id="rId155" w:history="1">
        <w:r w:rsidR="001D25C1" w:rsidRPr="007E3B02">
          <w:rPr>
            <w:rStyle w:val="Hyperlink"/>
          </w:rPr>
          <w:t>PDS-02 - Traffic Calculations</w:t>
        </w:r>
      </w:hyperlink>
      <w:r>
        <w:t xml:space="preserve">.  Click the User-Specified Capacity Limit checkbox to yes, and input the calculated Cap. </w:t>
      </w:r>
    </w:p>
    <w:p w14:paraId="53681DA3" w14:textId="77777777" w:rsidR="000C11D4" w:rsidRPr="000F30A1" w:rsidRDefault="000C11D4" w:rsidP="006E41DE">
      <w:pPr>
        <w:pStyle w:val="ListNumber"/>
        <w:tabs>
          <w:tab w:val="clear" w:pos="720"/>
          <w:tab w:val="clear" w:pos="1872"/>
        </w:tabs>
        <w:spacing w:before="0"/>
        <w:ind w:left="0" w:firstLine="0"/>
        <w:jc w:val="both"/>
      </w:pPr>
      <w:r w:rsidRPr="000F30A1">
        <w:t xml:space="preserve"> </w:t>
      </w:r>
    </w:p>
    <w:p w14:paraId="5C45E27C" w14:textId="77777777" w:rsidR="000C11D4" w:rsidRPr="000F30A1" w:rsidRDefault="000C11D4" w:rsidP="006E41DE">
      <w:pPr>
        <w:pStyle w:val="Heading5"/>
        <w:tabs>
          <w:tab w:val="clear" w:pos="1080"/>
          <w:tab w:val="left" w:pos="1800"/>
        </w:tabs>
        <w:ind w:hanging="1098"/>
      </w:pPr>
      <w:bookmarkStart w:id="243" w:name="_Toc366223796"/>
      <w:r w:rsidRPr="000F30A1">
        <w:t>A</w:t>
      </w:r>
      <w:r>
        <w:t>xle Configuration</w:t>
      </w:r>
      <w:bookmarkEnd w:id="243"/>
    </w:p>
    <w:p w14:paraId="000E9AF3" w14:textId="77777777" w:rsidR="000C11D4" w:rsidRPr="000F30A1" w:rsidRDefault="000C11D4" w:rsidP="006E41DE">
      <w:pPr>
        <w:pStyle w:val="ListNumber"/>
        <w:tabs>
          <w:tab w:val="clear" w:pos="720"/>
          <w:tab w:val="clear" w:pos="1872"/>
        </w:tabs>
        <w:spacing w:before="0"/>
        <w:ind w:left="0" w:firstLine="0"/>
        <w:jc w:val="both"/>
      </w:pPr>
      <w:r>
        <w:t>Use all of the provided defaults.</w:t>
      </w:r>
    </w:p>
    <w:p w14:paraId="4B5AFEF8" w14:textId="77777777" w:rsidR="000C11D4" w:rsidRPr="000F30A1" w:rsidRDefault="000C11D4" w:rsidP="006E41DE">
      <w:pPr>
        <w:pStyle w:val="ListNumber"/>
        <w:tabs>
          <w:tab w:val="clear" w:pos="720"/>
          <w:tab w:val="clear" w:pos="1872"/>
        </w:tabs>
        <w:spacing w:before="0"/>
        <w:ind w:left="0" w:firstLine="0"/>
        <w:jc w:val="both"/>
      </w:pPr>
      <w:r w:rsidRPr="000F30A1">
        <w:t xml:space="preserve"> </w:t>
      </w:r>
    </w:p>
    <w:p w14:paraId="7CF44DC1" w14:textId="77777777" w:rsidR="000C11D4" w:rsidRPr="000F30A1" w:rsidRDefault="000C11D4" w:rsidP="006E41DE">
      <w:pPr>
        <w:pStyle w:val="Heading5"/>
        <w:tabs>
          <w:tab w:val="clear" w:pos="1080"/>
          <w:tab w:val="left" w:pos="1800"/>
        </w:tabs>
        <w:ind w:hanging="1098"/>
      </w:pPr>
      <w:bookmarkStart w:id="244" w:name="_Toc366223797"/>
      <w:r>
        <w:t>Lateral Wander</w:t>
      </w:r>
      <w:bookmarkEnd w:id="244"/>
    </w:p>
    <w:p w14:paraId="4357CE8A" w14:textId="77777777" w:rsidR="000C11D4" w:rsidRPr="000F30A1" w:rsidRDefault="000C11D4" w:rsidP="006E41DE">
      <w:pPr>
        <w:pStyle w:val="ListNumber"/>
        <w:tabs>
          <w:tab w:val="clear" w:pos="720"/>
          <w:tab w:val="clear" w:pos="1872"/>
        </w:tabs>
        <w:spacing w:before="0"/>
        <w:ind w:left="0" w:firstLine="0"/>
        <w:jc w:val="both"/>
      </w:pPr>
      <w:r>
        <w:t>The Mean wheel location is taken from the pavement right edge.  Use the mean and standard deviation provided defaults unless given specific information stating otherwise.</w:t>
      </w:r>
      <w:r w:rsidR="00E02270">
        <w:t xml:space="preserve">  Update </w:t>
      </w:r>
      <w:r w:rsidR="003251D6">
        <w:t>the Design lane width as appropriate for the project.</w:t>
      </w:r>
    </w:p>
    <w:p w14:paraId="1A9B4D7D" w14:textId="77777777" w:rsidR="000C11D4" w:rsidRPr="000F30A1" w:rsidRDefault="000C11D4" w:rsidP="006E41DE">
      <w:pPr>
        <w:pStyle w:val="ListNumber"/>
        <w:tabs>
          <w:tab w:val="clear" w:pos="720"/>
          <w:tab w:val="clear" w:pos="1872"/>
        </w:tabs>
        <w:spacing w:before="0"/>
        <w:ind w:left="0" w:firstLine="0"/>
        <w:jc w:val="both"/>
      </w:pPr>
      <w:r w:rsidRPr="000F30A1">
        <w:t xml:space="preserve"> </w:t>
      </w:r>
    </w:p>
    <w:p w14:paraId="52F88794" w14:textId="77777777" w:rsidR="003251D6" w:rsidRPr="000F30A1" w:rsidRDefault="003251D6" w:rsidP="006E41DE">
      <w:pPr>
        <w:pStyle w:val="Heading5"/>
        <w:tabs>
          <w:tab w:val="clear" w:pos="1080"/>
          <w:tab w:val="left" w:pos="1800"/>
        </w:tabs>
        <w:ind w:hanging="1098"/>
      </w:pPr>
      <w:bookmarkStart w:id="245" w:name="_Toc366223798"/>
      <w:r>
        <w:t>Wheelbase</w:t>
      </w:r>
      <w:bookmarkEnd w:id="245"/>
    </w:p>
    <w:p w14:paraId="23762A6F" w14:textId="77777777" w:rsidR="003251D6" w:rsidRPr="000F30A1" w:rsidRDefault="003251D6" w:rsidP="006E41DE">
      <w:pPr>
        <w:pStyle w:val="ListNumber"/>
        <w:tabs>
          <w:tab w:val="clear" w:pos="720"/>
          <w:tab w:val="clear" w:pos="1872"/>
        </w:tabs>
        <w:spacing w:before="0"/>
        <w:ind w:left="0" w:firstLine="0"/>
        <w:jc w:val="both"/>
      </w:pPr>
      <w:r>
        <w:t>Use all of the provided defaults.</w:t>
      </w:r>
    </w:p>
    <w:p w14:paraId="0746ACDC" w14:textId="77777777" w:rsidR="003251D6" w:rsidRPr="000F30A1" w:rsidRDefault="003251D6" w:rsidP="006E41DE">
      <w:pPr>
        <w:pStyle w:val="ListNumber"/>
        <w:tabs>
          <w:tab w:val="clear" w:pos="720"/>
          <w:tab w:val="clear" w:pos="1872"/>
        </w:tabs>
        <w:spacing w:before="0"/>
        <w:ind w:left="0" w:firstLine="0"/>
        <w:jc w:val="both"/>
      </w:pPr>
      <w:r w:rsidRPr="000F30A1">
        <w:t xml:space="preserve"> </w:t>
      </w:r>
    </w:p>
    <w:p w14:paraId="3D6220CE" w14:textId="77777777" w:rsidR="003251D6" w:rsidRPr="000F30A1" w:rsidRDefault="003251D6" w:rsidP="006E41DE">
      <w:pPr>
        <w:pStyle w:val="Heading5"/>
        <w:tabs>
          <w:tab w:val="clear" w:pos="1080"/>
          <w:tab w:val="left" w:pos="1800"/>
        </w:tabs>
        <w:ind w:hanging="1098"/>
      </w:pPr>
      <w:bookmarkStart w:id="246" w:name="_Toc366223799"/>
      <w:r>
        <w:t>Identifiers</w:t>
      </w:r>
      <w:bookmarkEnd w:id="246"/>
    </w:p>
    <w:p w14:paraId="7891511B" w14:textId="77777777" w:rsidR="003251D6" w:rsidRPr="000F30A1" w:rsidRDefault="003251D6" w:rsidP="006E41DE">
      <w:pPr>
        <w:pStyle w:val="ListNumber"/>
        <w:tabs>
          <w:tab w:val="clear" w:pos="720"/>
          <w:tab w:val="clear" w:pos="1872"/>
        </w:tabs>
        <w:spacing w:before="0"/>
        <w:ind w:left="0" w:firstLine="0"/>
        <w:jc w:val="both"/>
      </w:pPr>
      <w:r>
        <w:t>Use all of the provided defaults.</w:t>
      </w:r>
    </w:p>
    <w:p w14:paraId="79E16394" w14:textId="77777777" w:rsidR="003251D6" w:rsidRPr="000F30A1" w:rsidRDefault="003251D6" w:rsidP="006E41DE">
      <w:pPr>
        <w:pStyle w:val="ListNumber"/>
        <w:tabs>
          <w:tab w:val="clear" w:pos="720"/>
          <w:tab w:val="clear" w:pos="1872"/>
        </w:tabs>
        <w:spacing w:before="0"/>
        <w:ind w:left="0" w:firstLine="0"/>
        <w:jc w:val="both"/>
      </w:pPr>
      <w:r w:rsidRPr="000F30A1">
        <w:t xml:space="preserve"> </w:t>
      </w:r>
    </w:p>
    <w:p w14:paraId="56B61ED3" w14:textId="77777777" w:rsidR="00B42D10" w:rsidRPr="000F30A1" w:rsidRDefault="00B42D10" w:rsidP="006E41DE">
      <w:pPr>
        <w:pStyle w:val="Heading5"/>
        <w:tabs>
          <w:tab w:val="clear" w:pos="1080"/>
          <w:tab w:val="left" w:pos="1800"/>
        </w:tabs>
        <w:ind w:hanging="1098"/>
      </w:pPr>
      <w:bookmarkStart w:id="247" w:name="_Toc366223800"/>
      <w:r>
        <w:lastRenderedPageBreak/>
        <w:t>Vehicle Class Distribution</w:t>
      </w:r>
      <w:r w:rsidR="007D43A0">
        <w:t xml:space="preserve"> and Growth</w:t>
      </w:r>
      <w:bookmarkEnd w:id="247"/>
    </w:p>
    <w:p w14:paraId="23C95A73" w14:textId="53B2A12D" w:rsidR="007D43A0" w:rsidRDefault="007D43A0" w:rsidP="006E41DE">
      <w:pPr>
        <w:pStyle w:val="ListNumber"/>
        <w:tabs>
          <w:tab w:val="clear" w:pos="720"/>
          <w:tab w:val="clear" w:pos="1872"/>
        </w:tabs>
        <w:spacing w:before="0"/>
        <w:ind w:left="0" w:firstLine="0"/>
        <w:jc w:val="both"/>
      </w:pPr>
      <w:r>
        <w:t>Input the Distribution % for each of Classes 4 through 13.  The sum of these percentages must add to 100%, as they essentially are the distribution of truck traffic.  This is calculated on</w:t>
      </w:r>
      <w:r w:rsidR="000C7AE1">
        <w:t xml:space="preserve"> </w:t>
      </w:r>
      <w:hyperlink r:id="rId156" w:history="1">
        <w:r w:rsidR="001D25C1" w:rsidRPr="007E3B02">
          <w:rPr>
            <w:rStyle w:val="Hyperlink"/>
          </w:rPr>
          <w:t>PDS-02 - Traffic Calculations</w:t>
        </w:r>
      </w:hyperlink>
      <w:r>
        <w:t>, under the column labeled “VCD%</w:t>
      </w:r>
      <w:r w:rsidR="00C64CD7">
        <w:t>.</w:t>
      </w:r>
      <w:r>
        <w:t>”</w:t>
      </w:r>
      <w:r w:rsidR="000D7A07">
        <w:t xml:space="preserve">  In addition, at least one of Classes 8 through 13 must be at least 1%.</w:t>
      </w:r>
    </w:p>
    <w:p w14:paraId="7E9FA06D" w14:textId="127AB19E" w:rsidR="007D43A0" w:rsidRDefault="007D43A0" w:rsidP="00B42D10">
      <w:pPr>
        <w:pStyle w:val="ListNumber"/>
        <w:tabs>
          <w:tab w:val="clear" w:pos="720"/>
          <w:tab w:val="clear" w:pos="1872"/>
        </w:tabs>
        <w:ind w:left="0" w:firstLine="0"/>
        <w:jc w:val="both"/>
      </w:pPr>
      <w:r>
        <w:t>In the absence of distribution data, use the default values</w:t>
      </w:r>
      <w:r w:rsidR="00636E18">
        <w:t xml:space="preserve"> by clicking on “Load Default Distribution</w:t>
      </w:r>
      <w:r>
        <w:t>.</w:t>
      </w:r>
      <w:r w:rsidR="00C64CD7">
        <w:t>”</w:t>
      </w:r>
      <w:r w:rsidR="00636E18">
        <w:t xml:space="preserve">  This will bring up a window called </w:t>
      </w:r>
      <w:hyperlink w:anchor="_Truck_Traffic_Classification" w:history="1">
        <w:r w:rsidR="0051123A">
          <w:rPr>
            <w:rStyle w:val="Hyperlink"/>
          </w:rPr>
          <w:t>Truck Traffic Classification (TTC) Groups</w:t>
        </w:r>
      </w:hyperlink>
      <w:r w:rsidR="00636E18">
        <w:t>.</w:t>
      </w:r>
    </w:p>
    <w:p w14:paraId="4CDA6DB5" w14:textId="77777777" w:rsidR="00B42D10" w:rsidRPr="000F30A1" w:rsidRDefault="007D43A0" w:rsidP="00B42D10">
      <w:pPr>
        <w:pStyle w:val="ListNumber"/>
        <w:tabs>
          <w:tab w:val="clear" w:pos="720"/>
          <w:tab w:val="clear" w:pos="1872"/>
        </w:tabs>
        <w:ind w:left="0" w:firstLine="0"/>
        <w:jc w:val="both"/>
      </w:pPr>
      <w:r>
        <w:t xml:space="preserve">Input the project’s growth rate for each Class.  The Growth Function shall all be Compound.  </w:t>
      </w:r>
    </w:p>
    <w:p w14:paraId="72AF992F" w14:textId="77777777" w:rsidR="00B42D10" w:rsidRPr="000F30A1" w:rsidRDefault="00B42D10" w:rsidP="006E41DE">
      <w:pPr>
        <w:pStyle w:val="ListNumber"/>
        <w:tabs>
          <w:tab w:val="clear" w:pos="720"/>
          <w:tab w:val="clear" w:pos="1872"/>
        </w:tabs>
        <w:spacing w:before="0"/>
        <w:ind w:left="0" w:firstLine="0"/>
        <w:jc w:val="both"/>
      </w:pPr>
      <w:r w:rsidRPr="000F30A1">
        <w:t xml:space="preserve"> </w:t>
      </w:r>
    </w:p>
    <w:p w14:paraId="55949782" w14:textId="77777777" w:rsidR="000B2637" w:rsidRPr="006E41DE" w:rsidRDefault="00636E18" w:rsidP="00636E18">
      <w:pPr>
        <w:pStyle w:val="Heading6"/>
        <w:rPr>
          <w:b/>
        </w:rPr>
      </w:pPr>
      <w:bookmarkStart w:id="248" w:name="_Truck_Traffic_Classification"/>
      <w:bookmarkEnd w:id="248"/>
      <w:r w:rsidRPr="006E41DE">
        <w:rPr>
          <w:b/>
        </w:rPr>
        <w:t>Truck Traffic Classification (TTC) Groups</w:t>
      </w:r>
    </w:p>
    <w:p w14:paraId="408544BF" w14:textId="07FCC5EE" w:rsidR="000B2637" w:rsidRPr="00636E18" w:rsidRDefault="00636E18" w:rsidP="000B2637">
      <w:pPr>
        <w:pStyle w:val="ListNumber"/>
        <w:tabs>
          <w:tab w:val="clear" w:pos="720"/>
          <w:tab w:val="clear" w:pos="1872"/>
        </w:tabs>
        <w:ind w:left="0" w:firstLine="0"/>
        <w:jc w:val="both"/>
      </w:pPr>
      <w:r>
        <w:t>From the General category window, s</w:t>
      </w:r>
      <w:r w:rsidR="000B2637" w:rsidRPr="00636E18">
        <w:t xml:space="preserve">elect </w:t>
      </w:r>
      <w:r>
        <w:t xml:space="preserve">the route type </w:t>
      </w:r>
      <w:r w:rsidR="000B2637" w:rsidRPr="00636E18">
        <w:t xml:space="preserve">that most closely represents the roadway </w:t>
      </w:r>
      <w:r>
        <w:t xml:space="preserve">functional class </w:t>
      </w:r>
      <w:r w:rsidR="000B2637" w:rsidRPr="00636E18">
        <w:t xml:space="preserve">at the project site.  </w:t>
      </w:r>
      <w:r>
        <w:t>Choose the TTC that has a</w:t>
      </w:r>
      <w:r w:rsidR="00C735C1">
        <w:t>n</w:t>
      </w:r>
      <w:r>
        <w:t xml:space="preserve"> * next to it based on engineering judgment and the truck mix description.  Once the TTC has been check</w:t>
      </w:r>
      <w:r w:rsidR="002D313A">
        <w:t>ed</w:t>
      </w:r>
      <w:r>
        <w:t xml:space="preserve"> yes, review the Vehicle Class Distribution to ensure it is reasonable. </w:t>
      </w:r>
    </w:p>
    <w:p w14:paraId="53AB2A27" w14:textId="77777777" w:rsidR="00636E18" w:rsidRDefault="00636E18" w:rsidP="006E41DE">
      <w:pPr>
        <w:pStyle w:val="ListNumber"/>
        <w:numPr>
          <w:ilvl w:val="12"/>
          <w:numId w:val="0"/>
        </w:numPr>
        <w:tabs>
          <w:tab w:val="clear" w:pos="1872"/>
        </w:tabs>
        <w:spacing w:before="0"/>
        <w:ind w:left="1080" w:hanging="1080"/>
        <w:jc w:val="center"/>
        <w:rPr>
          <w:i/>
        </w:rPr>
      </w:pPr>
    </w:p>
    <w:p w14:paraId="687D010B" w14:textId="77777777" w:rsidR="00636E18" w:rsidRPr="000F30A1" w:rsidRDefault="00636E18" w:rsidP="006E41DE">
      <w:pPr>
        <w:pStyle w:val="Heading5"/>
        <w:tabs>
          <w:tab w:val="clear" w:pos="1080"/>
          <w:tab w:val="left" w:pos="1800"/>
        </w:tabs>
        <w:ind w:hanging="1098"/>
      </w:pPr>
      <w:bookmarkStart w:id="249" w:name="_Toc366223801"/>
      <w:r>
        <w:t>Monthly Adjustment</w:t>
      </w:r>
      <w:bookmarkEnd w:id="249"/>
    </w:p>
    <w:p w14:paraId="1E9DEBE6" w14:textId="77777777" w:rsidR="003A1B6A" w:rsidRDefault="003A1B6A" w:rsidP="006E41DE">
      <w:pPr>
        <w:pStyle w:val="ListNumber"/>
        <w:tabs>
          <w:tab w:val="clear" w:pos="720"/>
          <w:tab w:val="clear" w:pos="1872"/>
        </w:tabs>
        <w:spacing w:before="0"/>
        <w:ind w:left="0" w:firstLine="0"/>
        <w:jc w:val="both"/>
      </w:pPr>
      <w:r>
        <w:t>Use all of the provided defaults, unless monthly data is available.  The sum of each column must equal 12.</w:t>
      </w:r>
    </w:p>
    <w:p w14:paraId="2B6F956C" w14:textId="77777777" w:rsidR="003A1B6A" w:rsidRDefault="003A1B6A" w:rsidP="006E41DE">
      <w:pPr>
        <w:pStyle w:val="ListNumber"/>
        <w:tabs>
          <w:tab w:val="clear" w:pos="720"/>
          <w:tab w:val="clear" w:pos="1872"/>
        </w:tabs>
        <w:spacing w:before="0"/>
        <w:ind w:left="0" w:firstLine="0"/>
        <w:jc w:val="both"/>
      </w:pPr>
    </w:p>
    <w:p w14:paraId="72C412EB" w14:textId="52FA7F87" w:rsidR="003A1B6A" w:rsidRPr="000F30A1" w:rsidRDefault="003A1B6A" w:rsidP="006E41DE">
      <w:pPr>
        <w:pStyle w:val="Heading5"/>
        <w:tabs>
          <w:tab w:val="clear" w:pos="1080"/>
          <w:tab w:val="left" w:pos="1800"/>
        </w:tabs>
        <w:ind w:hanging="1098"/>
      </w:pPr>
      <w:bookmarkStart w:id="250" w:name="_Toc366223802"/>
      <w:r>
        <w:t xml:space="preserve">Axles </w:t>
      </w:r>
      <w:r w:rsidR="00C64CD7">
        <w:t>p</w:t>
      </w:r>
      <w:r>
        <w:t>er Truck</w:t>
      </w:r>
      <w:bookmarkEnd w:id="250"/>
    </w:p>
    <w:p w14:paraId="6716B489" w14:textId="77777777" w:rsidR="003A1B6A" w:rsidRDefault="003A1B6A" w:rsidP="006E41DE">
      <w:pPr>
        <w:pStyle w:val="ListNumber"/>
        <w:tabs>
          <w:tab w:val="clear" w:pos="720"/>
          <w:tab w:val="clear" w:pos="1872"/>
        </w:tabs>
        <w:spacing w:before="0"/>
        <w:ind w:left="0" w:firstLine="0"/>
        <w:jc w:val="both"/>
      </w:pPr>
      <w:r>
        <w:t xml:space="preserve">Use all of the provided defaults. </w:t>
      </w:r>
    </w:p>
    <w:p w14:paraId="6D18CCA6" w14:textId="77777777" w:rsidR="001F4E59" w:rsidRDefault="001F4E59" w:rsidP="006E41DE">
      <w:pPr>
        <w:pStyle w:val="ListNumber"/>
        <w:tabs>
          <w:tab w:val="clear" w:pos="720"/>
          <w:tab w:val="clear" w:pos="1872"/>
        </w:tabs>
        <w:spacing w:before="0"/>
        <w:ind w:left="0" w:firstLine="0"/>
        <w:jc w:val="both"/>
      </w:pPr>
    </w:p>
    <w:p w14:paraId="6B6FF72F" w14:textId="6EFB4092" w:rsidR="001F4E59" w:rsidRPr="000F30A1" w:rsidRDefault="001F4E59" w:rsidP="006E41DE">
      <w:pPr>
        <w:pStyle w:val="Heading5"/>
        <w:tabs>
          <w:tab w:val="clear" w:pos="1080"/>
          <w:tab w:val="left" w:pos="1800"/>
        </w:tabs>
        <w:ind w:hanging="1098"/>
      </w:pPr>
      <w:bookmarkStart w:id="251" w:name="_Toc366223803"/>
      <w:r>
        <w:t>Axle Distribution</w:t>
      </w:r>
      <w:bookmarkEnd w:id="251"/>
    </w:p>
    <w:p w14:paraId="416AC215" w14:textId="77777777" w:rsidR="002A6785" w:rsidRDefault="001F4E59" w:rsidP="006E41DE">
      <w:pPr>
        <w:pStyle w:val="ListNumber"/>
        <w:tabs>
          <w:tab w:val="clear" w:pos="720"/>
          <w:tab w:val="clear" w:pos="1872"/>
        </w:tabs>
        <w:spacing w:before="0"/>
        <w:ind w:left="0" w:firstLine="0"/>
        <w:jc w:val="both"/>
      </w:pPr>
      <w:r>
        <w:t>Use all of the provided defaults.  The Single, Double, Tridem and Quad Axle Distributions are shown on the left side of the MEPG main screen, under the Traffic module.  Simply double-click each Axle Distribution.</w:t>
      </w:r>
    </w:p>
    <w:p w14:paraId="37A46AC8" w14:textId="77777777" w:rsidR="002A6785" w:rsidRDefault="002A6785" w:rsidP="006E41DE">
      <w:pPr>
        <w:pStyle w:val="ListNumber"/>
        <w:tabs>
          <w:tab w:val="clear" w:pos="720"/>
          <w:tab w:val="clear" w:pos="1872"/>
        </w:tabs>
        <w:spacing w:before="0"/>
        <w:ind w:left="0" w:firstLine="0"/>
        <w:jc w:val="both"/>
      </w:pPr>
    </w:p>
    <w:p w14:paraId="39A15B9D" w14:textId="77777777" w:rsidR="002A6785" w:rsidRPr="000F30A1" w:rsidRDefault="002A6785" w:rsidP="006E41DE">
      <w:pPr>
        <w:pStyle w:val="Heading5"/>
        <w:tabs>
          <w:tab w:val="clear" w:pos="1080"/>
          <w:tab w:val="left" w:pos="1800"/>
        </w:tabs>
        <w:ind w:hanging="1098"/>
      </w:pPr>
      <w:bookmarkStart w:id="252" w:name="_Toc366223804"/>
      <w:r>
        <w:t>Hourly Adjustment (Composite pavements only)</w:t>
      </w:r>
      <w:bookmarkEnd w:id="252"/>
    </w:p>
    <w:p w14:paraId="7E447185" w14:textId="77777777" w:rsidR="002A6785" w:rsidRPr="000F30A1" w:rsidRDefault="002A6785" w:rsidP="006E41DE">
      <w:pPr>
        <w:pStyle w:val="ListNumber"/>
        <w:tabs>
          <w:tab w:val="clear" w:pos="720"/>
          <w:tab w:val="clear" w:pos="1872"/>
        </w:tabs>
        <w:spacing w:before="0"/>
        <w:ind w:left="0" w:firstLine="0"/>
        <w:jc w:val="both"/>
      </w:pPr>
      <w:r>
        <w:t xml:space="preserve">Use the provided distribution percentage provide by DSED.  If the provided defaults are within 75% of the values provided by DSED, it is acceptable to use the defaults. </w:t>
      </w:r>
    </w:p>
    <w:p w14:paraId="22C3F334" w14:textId="77777777" w:rsidR="001F4E59" w:rsidRPr="000F30A1" w:rsidRDefault="001F4E59" w:rsidP="001F4E59">
      <w:pPr>
        <w:pStyle w:val="ListNumber"/>
        <w:tabs>
          <w:tab w:val="clear" w:pos="720"/>
          <w:tab w:val="clear" w:pos="1872"/>
        </w:tabs>
        <w:ind w:left="0" w:firstLine="0"/>
        <w:jc w:val="both"/>
      </w:pPr>
      <w:r>
        <w:t xml:space="preserve"> </w:t>
      </w:r>
    </w:p>
    <w:p w14:paraId="5255DD58" w14:textId="77777777" w:rsidR="00636E18" w:rsidRDefault="00636E18" w:rsidP="000B2637">
      <w:pPr>
        <w:pStyle w:val="ListNumber"/>
        <w:numPr>
          <w:ilvl w:val="12"/>
          <w:numId w:val="0"/>
        </w:numPr>
        <w:tabs>
          <w:tab w:val="clear" w:pos="1872"/>
        </w:tabs>
        <w:ind w:left="1080" w:hanging="1080"/>
        <w:jc w:val="center"/>
        <w:rPr>
          <w:i/>
        </w:rPr>
      </w:pPr>
    </w:p>
    <w:p w14:paraId="43194F70" w14:textId="77777777" w:rsidR="000B2637" w:rsidRPr="000B2637" w:rsidRDefault="000B2637" w:rsidP="000B2637">
      <w:pPr>
        <w:sectPr w:rsidR="000B2637" w:rsidRPr="000B2637" w:rsidSect="00466A64">
          <w:headerReference w:type="default" r:id="rId157"/>
          <w:footerReference w:type="default" r:id="rId158"/>
          <w:pgSz w:w="12240" w:h="15840"/>
          <w:pgMar w:top="1440" w:right="1800" w:bottom="1440" w:left="1800" w:header="720" w:footer="720" w:gutter="0"/>
          <w:pgNumType w:start="1" w:chapStyle="1"/>
          <w:cols w:space="720"/>
          <w:docGrid w:linePitch="272"/>
        </w:sectPr>
      </w:pPr>
    </w:p>
    <w:p w14:paraId="3D0946B1" w14:textId="77777777" w:rsidR="00D717CB" w:rsidRDefault="00D717CB" w:rsidP="00BE3F24">
      <w:pPr>
        <w:pStyle w:val="Heading2"/>
        <w:ind w:left="0" w:firstLine="0"/>
      </w:pPr>
      <w:bookmarkStart w:id="253" w:name="_FWD_Data_Analysis_2"/>
      <w:bookmarkStart w:id="254" w:name="_Toc479160098"/>
      <w:bookmarkStart w:id="255" w:name="_Toc514057987"/>
      <w:bookmarkStart w:id="256" w:name="_Toc194932383"/>
      <w:bookmarkEnd w:id="253"/>
      <w:r>
        <w:lastRenderedPageBreak/>
        <w:t xml:space="preserve">FWD </w:t>
      </w:r>
      <w:smartTag w:uri="urn:schemas-microsoft-com:office:smarttags" w:element="stockticker">
        <w:r>
          <w:t>Data</w:t>
        </w:r>
      </w:smartTag>
      <w:r>
        <w:t xml:space="preserve"> Analysis</w:t>
      </w:r>
      <w:r w:rsidR="00D6415B">
        <w:t xml:space="preserve"> Procedure</w:t>
      </w:r>
      <w:bookmarkEnd w:id="254"/>
      <w:bookmarkEnd w:id="255"/>
      <w:bookmarkEnd w:id="256"/>
      <w:r>
        <w:t xml:space="preserve"> </w:t>
      </w:r>
    </w:p>
    <w:p w14:paraId="27E9C753"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lab_Stabilization" w:history="1">
        <w:r w:rsidRPr="002D6703">
          <w:rPr>
            <w:rStyle w:val="Hyperlink"/>
            <w:rFonts w:ascii="Arial" w:hAnsi="Arial" w:cs="Arial"/>
            <w:bCs/>
            <w:sz w:val="16"/>
            <w:szCs w:val="16"/>
          </w:rPr>
          <w:t>Slab Stabilization</w:t>
        </w:r>
      </w:hyperlink>
    </w:p>
    <w:p w14:paraId="4E907885" w14:textId="77777777" w:rsidR="00707989" w:rsidRPr="008F604D"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176C5718" w14:textId="77777777" w:rsidR="00D717CB" w:rsidRDefault="00D717CB" w:rsidP="006E41DE">
      <w:pPr>
        <w:pStyle w:val="Heading3"/>
        <w:tabs>
          <w:tab w:val="left" w:pos="1440"/>
        </w:tabs>
        <w:ind w:left="0" w:firstLine="0"/>
        <w:jc w:val="both"/>
      </w:pPr>
      <w:r>
        <w:t>Purpose</w:t>
      </w:r>
      <w:r w:rsidR="003C3CD4">
        <w:t xml:space="preserve"> &amp; </w:t>
      </w:r>
      <w:r>
        <w:t>Resource Requirements</w:t>
      </w:r>
    </w:p>
    <w:p w14:paraId="3255DFDA" w14:textId="77777777" w:rsidR="003C3CD4" w:rsidRDefault="003C3CD4" w:rsidP="00305F2D">
      <w:pPr>
        <w:pStyle w:val="BodyText"/>
        <w:jc w:val="both"/>
      </w:pPr>
      <w:r>
        <w:t xml:space="preserve">Refer to </w:t>
      </w:r>
      <w:hyperlink w:anchor="_FWD_Data_Analysis_1" w:history="1">
        <w:r w:rsidRPr="003C3CD4">
          <w:rPr>
            <w:rStyle w:val="Hyperlink"/>
          </w:rPr>
          <w:t>FWD Data Analysis Background</w:t>
        </w:r>
      </w:hyperlink>
      <w:r>
        <w:t>.</w:t>
      </w:r>
    </w:p>
    <w:p w14:paraId="23798783" w14:textId="77777777" w:rsidR="00D717CB" w:rsidRDefault="00D717CB" w:rsidP="00BE3F24">
      <w:pPr>
        <w:pStyle w:val="Heading3"/>
        <w:ind w:left="0" w:firstLine="0"/>
      </w:pPr>
      <w:r>
        <w:t>Procedure</w:t>
      </w:r>
    </w:p>
    <w:p w14:paraId="085073DA" w14:textId="77777777" w:rsidR="003C3CD4" w:rsidRDefault="003C3CD4" w:rsidP="00305F2D">
      <w:pPr>
        <w:pStyle w:val="BodyText"/>
        <w:jc w:val="both"/>
      </w:pPr>
      <w:r>
        <w:t xml:space="preserve">Refer to </w:t>
      </w:r>
      <w:hyperlink w:anchor="_FWD_Data_Analysis_1" w:history="1">
        <w:r w:rsidRPr="003C3CD4">
          <w:rPr>
            <w:rStyle w:val="Hyperlink"/>
          </w:rPr>
          <w:t>FWD Data Analysis Background</w:t>
        </w:r>
      </w:hyperlink>
      <w:r>
        <w:t xml:space="preserve"> for detailed discussion of the concepts of FWD</w:t>
      </w:r>
      <w:r w:rsidR="00D717CB">
        <w:t xml:space="preserve"> testing </w:t>
      </w:r>
      <w:r>
        <w:t>and analysis.  This section contains the steps necessary to complete FWD analysis using the Deflexus software.</w:t>
      </w:r>
    </w:p>
    <w:p w14:paraId="11791BB5" w14:textId="77777777" w:rsidR="001A15B9" w:rsidRDefault="00503C0D" w:rsidP="00172E64">
      <w:pPr>
        <w:pStyle w:val="ListNumber"/>
        <w:numPr>
          <w:ilvl w:val="0"/>
          <w:numId w:val="90"/>
        </w:numPr>
        <w:tabs>
          <w:tab w:val="clear" w:pos="1872"/>
        </w:tabs>
        <w:ind w:left="1080" w:hanging="1080"/>
        <w:jc w:val="both"/>
      </w:pPr>
      <w:r>
        <w:t>To begin the process of analyzing FWD data, open Deflexus, and import the project FWD data by clicking on the FWD link on the menu bar, then clicking on “Add FWD file” and importing the appropriate FWD data.  SHA uses F25 files (Dynatest F25 files).</w:t>
      </w:r>
    </w:p>
    <w:p w14:paraId="6E28BA5B" w14:textId="7FE4CF05" w:rsidR="00394608" w:rsidRPr="00394608" w:rsidRDefault="00394608" w:rsidP="00172E64">
      <w:pPr>
        <w:pStyle w:val="ListNumber"/>
        <w:numPr>
          <w:ilvl w:val="0"/>
          <w:numId w:val="90"/>
        </w:numPr>
        <w:tabs>
          <w:tab w:val="clear" w:pos="1872"/>
        </w:tabs>
        <w:spacing w:after="120"/>
        <w:ind w:left="1080" w:hanging="1080"/>
        <w:jc w:val="both"/>
      </w:pPr>
      <w:r w:rsidRPr="00394608">
        <w:t>In Deflexus, two grids appear on the left half of the screen.  The top grid contains the FWD testing performed.  Click on the FWD tests that need to be analyzed.</w:t>
      </w:r>
      <w:r w:rsidR="00E92335">
        <w:t xml:space="preserve">  </w:t>
      </w:r>
      <w:r w:rsidRPr="00394608">
        <w:t>In the bottom grid (the Analyses List), right-click “Layer Modulus” then click on “AASHTO93 Flexible</w:t>
      </w:r>
      <w:r w:rsidR="003B4369">
        <w:t>.</w:t>
      </w:r>
      <w:r w:rsidRPr="00394608">
        <w:t xml:space="preserve">”  </w:t>
      </w:r>
    </w:p>
    <w:p w14:paraId="2B821977" w14:textId="77777777" w:rsidR="00394608" w:rsidRPr="00394608" w:rsidRDefault="005972F4" w:rsidP="00394608">
      <w:pPr>
        <w:pStyle w:val="BodyText"/>
        <w:jc w:val="center"/>
      </w:pPr>
      <w:r>
        <w:rPr>
          <w:noProof/>
        </w:rPr>
        <w:drawing>
          <wp:inline distT="0" distB="0" distL="0" distR="0" wp14:anchorId="5F04E36F" wp14:editId="17609E87">
            <wp:extent cx="3552286" cy="4376255"/>
            <wp:effectExtent l="19050" t="0" r="0" b="0"/>
            <wp:docPr id="98" name="Picture 98" descr="Defluxus partial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Defluxus partial screen shot"/>
                    <pic:cNvPicPr>
                      <a:picLocks noChangeAspect="1" noChangeArrowheads="1"/>
                    </pic:cNvPicPr>
                  </pic:nvPicPr>
                  <pic:blipFill>
                    <a:blip r:embed="rId159" cstate="print"/>
                    <a:srcRect r="65430" b="6349"/>
                    <a:stretch>
                      <a:fillRect/>
                    </a:stretch>
                  </pic:blipFill>
                  <pic:spPr bwMode="auto">
                    <a:xfrm>
                      <a:off x="0" y="0"/>
                      <a:ext cx="3552779" cy="4376863"/>
                    </a:xfrm>
                    <a:prstGeom prst="rect">
                      <a:avLst/>
                    </a:prstGeom>
                    <a:noFill/>
                    <a:ln w="9525">
                      <a:noFill/>
                      <a:miter lim="800000"/>
                      <a:headEnd/>
                      <a:tailEnd/>
                    </a:ln>
                  </pic:spPr>
                </pic:pic>
              </a:graphicData>
            </a:graphic>
          </wp:inline>
        </w:drawing>
      </w:r>
    </w:p>
    <w:p w14:paraId="3917ACFE" w14:textId="07E6DCD8" w:rsidR="00394608" w:rsidRPr="00394608" w:rsidRDefault="00394608" w:rsidP="001414A8">
      <w:pPr>
        <w:pStyle w:val="BodyText"/>
        <w:ind w:left="1080"/>
        <w:jc w:val="both"/>
      </w:pPr>
      <w:r w:rsidRPr="00394608">
        <w:t xml:space="preserve">The user may </w:t>
      </w:r>
      <w:r w:rsidR="003B4369" w:rsidRPr="00394608">
        <w:t>op</w:t>
      </w:r>
      <w:r w:rsidR="003B4369">
        <w:t>t</w:t>
      </w:r>
      <w:r w:rsidR="003B4369" w:rsidRPr="00394608">
        <w:t xml:space="preserve"> </w:t>
      </w:r>
      <w:r w:rsidRPr="00394608">
        <w:t>to rename the analysis module</w:t>
      </w:r>
      <w:r>
        <w:t>, then click OK</w:t>
      </w:r>
      <w:r w:rsidRPr="00394608">
        <w:t>.</w:t>
      </w:r>
    </w:p>
    <w:p w14:paraId="5C54600B" w14:textId="77777777" w:rsidR="00394608" w:rsidRDefault="005972F4" w:rsidP="00394608">
      <w:pPr>
        <w:pStyle w:val="BodyText"/>
        <w:jc w:val="center"/>
      </w:pPr>
      <w:r>
        <w:rPr>
          <w:noProof/>
        </w:rPr>
        <w:lastRenderedPageBreak/>
        <w:drawing>
          <wp:inline distT="0" distB="0" distL="0" distR="0" wp14:anchorId="6A255257" wp14:editId="69E633D6">
            <wp:extent cx="2382522" cy="1293962"/>
            <wp:effectExtent l="19050" t="0" r="0" b="0"/>
            <wp:docPr id="101" name="Picture 101" descr="rename analysis filter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rename analysis filter screen shot"/>
                    <pic:cNvPicPr>
                      <a:picLocks noChangeAspect="1" noChangeArrowheads="1"/>
                    </pic:cNvPicPr>
                  </pic:nvPicPr>
                  <pic:blipFill>
                    <a:blip r:embed="rId160" cstate="print"/>
                    <a:srcRect l="39300" t="38755" r="39385" b="42913"/>
                    <a:stretch>
                      <a:fillRect/>
                    </a:stretch>
                  </pic:blipFill>
                  <pic:spPr bwMode="auto">
                    <a:xfrm>
                      <a:off x="0" y="0"/>
                      <a:ext cx="2382912" cy="1294174"/>
                    </a:xfrm>
                    <a:prstGeom prst="rect">
                      <a:avLst/>
                    </a:prstGeom>
                    <a:noFill/>
                    <a:ln w="9525">
                      <a:noFill/>
                      <a:miter lim="800000"/>
                      <a:headEnd/>
                      <a:tailEnd/>
                    </a:ln>
                  </pic:spPr>
                </pic:pic>
              </a:graphicData>
            </a:graphic>
          </wp:inline>
        </w:drawing>
      </w:r>
    </w:p>
    <w:p w14:paraId="2BF562AF" w14:textId="77777777" w:rsidR="00D717CB" w:rsidRPr="007C320C" w:rsidRDefault="00D717CB" w:rsidP="001414A8">
      <w:pPr>
        <w:pStyle w:val="BodyText"/>
        <w:ind w:left="1080"/>
        <w:jc w:val="both"/>
      </w:pPr>
      <w:r w:rsidRPr="00394608">
        <w:t xml:space="preserve">The FWD test points with non-decreasing deflections </w:t>
      </w:r>
      <w:r w:rsidR="00394608">
        <w:t>will be shown in red font</w:t>
      </w:r>
      <w:r w:rsidR="00730E34">
        <w:t xml:space="preserve"> in the Raw Data tab.  These point</w:t>
      </w:r>
      <w:r w:rsidR="007C320C">
        <w:t>s</w:t>
      </w:r>
      <w:r w:rsidR="00730E34">
        <w:t xml:space="preserve"> shall</w:t>
      </w:r>
      <w:r w:rsidRPr="00394608">
        <w:t xml:space="preserve"> be eliminated as outliers </w:t>
      </w:r>
      <w:r w:rsidR="00730E34">
        <w:t xml:space="preserve">by un-checking them </w:t>
      </w:r>
      <w:r w:rsidR="00D105A1">
        <w:t xml:space="preserve">in the Raw Data tab </w:t>
      </w:r>
      <w:r w:rsidR="00730E34">
        <w:t>so that they are</w:t>
      </w:r>
      <w:r w:rsidRPr="00394608">
        <w:t xml:space="preserve"> not used any further in the analysis.  </w:t>
      </w:r>
    </w:p>
    <w:p w14:paraId="7FD7A17F" w14:textId="25A0662A" w:rsidR="001A15B9" w:rsidRDefault="006B422F" w:rsidP="00172E64">
      <w:pPr>
        <w:pStyle w:val="ListNumber"/>
        <w:numPr>
          <w:ilvl w:val="0"/>
          <w:numId w:val="90"/>
        </w:numPr>
        <w:tabs>
          <w:tab w:val="clear" w:pos="1872"/>
        </w:tabs>
        <w:ind w:left="1080" w:hanging="1080"/>
        <w:jc w:val="both"/>
        <w:rPr>
          <w:szCs w:val="22"/>
        </w:rPr>
      </w:pPr>
      <w:r w:rsidRPr="00271BFB">
        <w:rPr>
          <w:szCs w:val="22"/>
        </w:rPr>
        <w:t>To create a station versus deflection plot in Deflexus, add the “Normalized Deflection</w:t>
      </w:r>
      <w:r w:rsidR="003B4369" w:rsidRPr="00271BFB">
        <w:rPr>
          <w:szCs w:val="22"/>
        </w:rPr>
        <w:t>”</w:t>
      </w:r>
      <w:r w:rsidRPr="00271BFB">
        <w:rPr>
          <w:szCs w:val="22"/>
        </w:rPr>
        <w:t xml:space="preserve"> module from the Analyses list by right-clicking on Normalized Deflection, then clicking on Normalized Deflection where it shows up to the immediate right:</w:t>
      </w:r>
    </w:p>
    <w:p w14:paraId="0E5B81BF" w14:textId="77777777" w:rsidR="006B422F" w:rsidRPr="00271BFB" w:rsidRDefault="006B422F" w:rsidP="006B422F">
      <w:pPr>
        <w:pStyle w:val="BodyText"/>
        <w:spacing w:after="0"/>
        <w:jc w:val="center"/>
        <w:rPr>
          <w:szCs w:val="22"/>
        </w:rPr>
      </w:pPr>
    </w:p>
    <w:p w14:paraId="678D328F" w14:textId="77777777" w:rsidR="006B422F" w:rsidRPr="00271BFB" w:rsidRDefault="005972F4" w:rsidP="006B422F">
      <w:pPr>
        <w:pStyle w:val="BodyText"/>
        <w:spacing w:after="0"/>
        <w:jc w:val="center"/>
        <w:rPr>
          <w:szCs w:val="22"/>
        </w:rPr>
      </w:pPr>
      <w:r>
        <w:rPr>
          <w:noProof/>
          <w:szCs w:val="22"/>
        </w:rPr>
        <w:drawing>
          <wp:inline distT="0" distB="0" distL="0" distR="0" wp14:anchorId="603C66FF" wp14:editId="4B298962">
            <wp:extent cx="1802746" cy="1368230"/>
            <wp:effectExtent l="19050" t="0" r="7004" b="0"/>
            <wp:docPr id="154" name="Picture 154"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Deflexus screen shot"/>
                    <pic:cNvPicPr>
                      <a:picLocks noChangeAspect="1" noChangeArrowheads="1"/>
                    </pic:cNvPicPr>
                  </pic:nvPicPr>
                  <pic:blipFill>
                    <a:blip r:embed="rId161" cstate="print"/>
                    <a:srcRect t="64589" r="75339" b="6350"/>
                    <a:stretch>
                      <a:fillRect/>
                    </a:stretch>
                  </pic:blipFill>
                  <pic:spPr bwMode="auto">
                    <a:xfrm>
                      <a:off x="0" y="0"/>
                      <a:ext cx="1794823" cy="1362216"/>
                    </a:xfrm>
                    <a:prstGeom prst="rect">
                      <a:avLst/>
                    </a:prstGeom>
                    <a:noFill/>
                    <a:ln w="9525">
                      <a:noFill/>
                      <a:miter lim="800000"/>
                      <a:headEnd/>
                      <a:tailEnd/>
                    </a:ln>
                  </pic:spPr>
                </pic:pic>
              </a:graphicData>
            </a:graphic>
          </wp:inline>
        </w:drawing>
      </w:r>
    </w:p>
    <w:p w14:paraId="2ED97E4D" w14:textId="77777777" w:rsidR="00D717CB" w:rsidRPr="00271BFB" w:rsidRDefault="00D717CB" w:rsidP="009470AA">
      <w:pPr>
        <w:jc w:val="both"/>
        <w:rPr>
          <w:rFonts w:ascii="Arial" w:hAnsi="Arial"/>
          <w:sz w:val="22"/>
          <w:szCs w:val="22"/>
        </w:rPr>
      </w:pPr>
    </w:p>
    <w:p w14:paraId="68CF2E74" w14:textId="3EB2FED8" w:rsidR="00271BFB" w:rsidRPr="00271BFB" w:rsidRDefault="00742D68" w:rsidP="001414A8">
      <w:pPr>
        <w:ind w:left="1080"/>
        <w:jc w:val="both"/>
        <w:rPr>
          <w:rFonts w:ascii="Arial" w:hAnsi="Arial"/>
          <w:sz w:val="22"/>
          <w:szCs w:val="22"/>
        </w:rPr>
      </w:pPr>
      <w:r w:rsidRPr="00271BFB">
        <w:rPr>
          <w:rFonts w:ascii="Arial" w:hAnsi="Arial"/>
          <w:sz w:val="22"/>
          <w:szCs w:val="22"/>
        </w:rPr>
        <w:t>Check the box for “AC Temperature Correction?” and enter “Layer Thickness 1</w:t>
      </w:r>
      <w:r w:rsidR="003B4369">
        <w:rPr>
          <w:rFonts w:ascii="Arial" w:hAnsi="Arial"/>
          <w:sz w:val="22"/>
          <w:szCs w:val="22"/>
        </w:rPr>
        <w:t>,</w:t>
      </w:r>
      <w:r w:rsidRPr="00271BFB">
        <w:rPr>
          <w:rFonts w:ascii="Arial" w:hAnsi="Arial"/>
          <w:sz w:val="22"/>
          <w:szCs w:val="22"/>
        </w:rPr>
        <w:t xml:space="preserve">” which is the HMA thickness.  Enter the Base Type.  Check the box for “Bells3 AC Temp. Correction” and input the average </w:t>
      </w:r>
      <w:r w:rsidR="00271BFB" w:rsidRPr="00271BFB">
        <w:rPr>
          <w:rFonts w:ascii="Arial" w:hAnsi="Arial"/>
          <w:sz w:val="22"/>
          <w:szCs w:val="22"/>
        </w:rPr>
        <w:t>air temperature from the air temperatures given in the Raw Data tab.  Finally, hit F5 to update the information.</w:t>
      </w:r>
      <w:r w:rsidR="00E92335">
        <w:rPr>
          <w:rFonts w:ascii="Arial" w:hAnsi="Arial"/>
          <w:sz w:val="22"/>
          <w:szCs w:val="22"/>
        </w:rPr>
        <w:t xml:space="preserve">  </w:t>
      </w:r>
      <w:r w:rsidR="00271BFB" w:rsidRPr="00271BFB">
        <w:rPr>
          <w:rFonts w:ascii="Arial" w:hAnsi="Arial"/>
          <w:sz w:val="22"/>
          <w:szCs w:val="22"/>
        </w:rPr>
        <w:t>Go to the “View Plot” tab in the grid on the right, and scroll through the various sensors</w:t>
      </w:r>
      <w:r w:rsidR="00435EAF">
        <w:rPr>
          <w:rFonts w:ascii="Arial" w:hAnsi="Arial"/>
          <w:sz w:val="22"/>
          <w:szCs w:val="22"/>
        </w:rPr>
        <w:t>.</w:t>
      </w:r>
    </w:p>
    <w:p w14:paraId="09989669" w14:textId="77777777" w:rsidR="001A15B9" w:rsidRDefault="00435EAF" w:rsidP="00172E64">
      <w:pPr>
        <w:pStyle w:val="ListNumber"/>
        <w:numPr>
          <w:ilvl w:val="0"/>
          <w:numId w:val="90"/>
        </w:numPr>
        <w:tabs>
          <w:tab w:val="clear" w:pos="1872"/>
        </w:tabs>
        <w:ind w:left="1080" w:hanging="1080"/>
        <w:jc w:val="both"/>
      </w:pPr>
      <w:r w:rsidRPr="00435EAF">
        <w:t xml:space="preserve">In Deflexus, </w:t>
      </w:r>
      <w:r>
        <w:t>add the “Composite Modulus” module, from right-clicking Layer Modulus:</w:t>
      </w:r>
    </w:p>
    <w:p w14:paraId="3DCEF94F" w14:textId="77777777" w:rsidR="00435EAF" w:rsidRDefault="00435EAF" w:rsidP="009470AA">
      <w:pPr>
        <w:pStyle w:val="BodyText"/>
        <w:jc w:val="both"/>
      </w:pPr>
    </w:p>
    <w:p w14:paraId="483F2A42" w14:textId="77777777" w:rsidR="00435EAF" w:rsidRPr="00435EAF" w:rsidRDefault="005972F4" w:rsidP="00435EAF">
      <w:pPr>
        <w:pStyle w:val="BodyText"/>
        <w:jc w:val="center"/>
      </w:pPr>
      <w:r>
        <w:rPr>
          <w:noProof/>
        </w:rPr>
        <w:drawing>
          <wp:inline distT="0" distB="0" distL="0" distR="0" wp14:anchorId="52A0762A" wp14:editId="3072A20D">
            <wp:extent cx="2413515" cy="1397479"/>
            <wp:effectExtent l="19050" t="0" r="5835" b="0"/>
            <wp:docPr id="157" name="Picture 157"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descr="Deflexus screen shot"/>
                    <pic:cNvPicPr>
                      <a:picLocks noChangeAspect="1" noChangeArrowheads="1"/>
                    </pic:cNvPicPr>
                  </pic:nvPicPr>
                  <pic:blipFill>
                    <a:blip r:embed="rId162" cstate="print"/>
                    <a:srcRect t="64493" r="67947" b="6349"/>
                    <a:stretch>
                      <a:fillRect/>
                    </a:stretch>
                  </pic:blipFill>
                  <pic:spPr bwMode="auto">
                    <a:xfrm>
                      <a:off x="0" y="0"/>
                      <a:ext cx="2410734" cy="1395869"/>
                    </a:xfrm>
                    <a:prstGeom prst="rect">
                      <a:avLst/>
                    </a:prstGeom>
                    <a:noFill/>
                    <a:ln w="9525">
                      <a:noFill/>
                      <a:miter lim="800000"/>
                      <a:headEnd/>
                      <a:tailEnd/>
                    </a:ln>
                  </pic:spPr>
                </pic:pic>
              </a:graphicData>
            </a:graphic>
          </wp:inline>
        </w:drawing>
      </w:r>
    </w:p>
    <w:p w14:paraId="3A4508A8" w14:textId="77777777" w:rsidR="00D717CB" w:rsidRDefault="00D717CB" w:rsidP="009470AA">
      <w:pPr>
        <w:jc w:val="both"/>
        <w:rPr>
          <w:rFonts w:ascii="Arial" w:hAnsi="Arial"/>
        </w:rPr>
      </w:pPr>
    </w:p>
    <w:p w14:paraId="0569F757" w14:textId="77777777" w:rsidR="00507712" w:rsidRPr="00271BFB" w:rsidRDefault="00507712" w:rsidP="001414A8">
      <w:pPr>
        <w:ind w:left="1080"/>
        <w:jc w:val="both"/>
        <w:rPr>
          <w:rFonts w:ascii="Arial" w:hAnsi="Arial"/>
          <w:sz w:val="22"/>
          <w:szCs w:val="22"/>
        </w:rPr>
      </w:pPr>
      <w:r w:rsidRPr="00271BFB">
        <w:rPr>
          <w:rFonts w:ascii="Arial" w:hAnsi="Arial"/>
          <w:sz w:val="22"/>
          <w:szCs w:val="22"/>
        </w:rPr>
        <w:t xml:space="preserve">Check the box for “Bells3 AC Temp. Correction” and input the average air temperature from the air temperatures given in the Raw Data tab.  </w:t>
      </w:r>
      <w:r>
        <w:rPr>
          <w:rFonts w:ascii="Arial" w:hAnsi="Arial"/>
          <w:sz w:val="22"/>
          <w:szCs w:val="22"/>
        </w:rPr>
        <w:t xml:space="preserve">Next, click </w:t>
      </w:r>
      <w:r>
        <w:rPr>
          <w:rFonts w:ascii="Arial" w:hAnsi="Arial"/>
          <w:sz w:val="22"/>
          <w:szCs w:val="22"/>
        </w:rPr>
        <w:lastRenderedPageBreak/>
        <w:t>on “Edit Composite Modulus Layers”</w:t>
      </w:r>
      <w:r w:rsidR="00AD191E">
        <w:rPr>
          <w:rFonts w:ascii="Arial" w:hAnsi="Arial"/>
          <w:sz w:val="22"/>
          <w:szCs w:val="22"/>
        </w:rPr>
        <w:t xml:space="preserve"> and input the pavement structure.  </w:t>
      </w:r>
      <w:r w:rsidRPr="00271BFB">
        <w:rPr>
          <w:rFonts w:ascii="Arial" w:hAnsi="Arial"/>
          <w:sz w:val="22"/>
          <w:szCs w:val="22"/>
        </w:rPr>
        <w:t>Finally, hit F5 to update the information.</w:t>
      </w:r>
    </w:p>
    <w:p w14:paraId="4D428412" w14:textId="77777777" w:rsidR="00507712" w:rsidRDefault="00507712" w:rsidP="001414A8">
      <w:pPr>
        <w:ind w:left="1080"/>
        <w:jc w:val="both"/>
        <w:rPr>
          <w:rFonts w:ascii="Arial" w:hAnsi="Arial"/>
        </w:rPr>
      </w:pPr>
    </w:p>
    <w:p w14:paraId="0BD17A9D" w14:textId="48A1C6EF" w:rsidR="00AD191E" w:rsidRDefault="00AD191E" w:rsidP="001414A8">
      <w:pPr>
        <w:ind w:left="1080"/>
        <w:jc w:val="both"/>
        <w:rPr>
          <w:rFonts w:ascii="Arial" w:hAnsi="Arial"/>
          <w:sz w:val="22"/>
          <w:szCs w:val="22"/>
        </w:rPr>
      </w:pPr>
      <w:r w:rsidRPr="00271BFB">
        <w:rPr>
          <w:rFonts w:ascii="Arial" w:hAnsi="Arial"/>
          <w:sz w:val="22"/>
          <w:szCs w:val="22"/>
        </w:rPr>
        <w:t>Go to the “View Plot” tab in the grid on the right, and scroll through the various s</w:t>
      </w:r>
      <w:r>
        <w:rPr>
          <w:rFonts w:ascii="Arial" w:hAnsi="Arial"/>
          <w:sz w:val="22"/>
          <w:szCs w:val="22"/>
        </w:rPr>
        <w:t>tations.  If there is a pattern of non-linear composite modulus plots, then consider eliminating the outermost sensors (i.e 9, 8, 7, etc.) so that the lowest modulus is used.  The outermost sensors can be eliminated in the upper half of the left grid by un-checking the boxes:</w:t>
      </w:r>
    </w:p>
    <w:p w14:paraId="7E5984DD" w14:textId="77777777" w:rsidR="00AD191E" w:rsidRDefault="00AD191E" w:rsidP="00AD191E">
      <w:pPr>
        <w:jc w:val="both"/>
        <w:rPr>
          <w:rFonts w:ascii="Arial" w:hAnsi="Arial"/>
          <w:sz w:val="22"/>
          <w:szCs w:val="22"/>
        </w:rPr>
      </w:pPr>
    </w:p>
    <w:p w14:paraId="4B4B1C74" w14:textId="77777777" w:rsidR="00AD191E" w:rsidRPr="00563535" w:rsidRDefault="005972F4" w:rsidP="00AD191E">
      <w:pPr>
        <w:jc w:val="center"/>
        <w:rPr>
          <w:rFonts w:ascii="Arial" w:hAnsi="Arial"/>
          <w:sz w:val="22"/>
          <w:szCs w:val="22"/>
        </w:rPr>
      </w:pPr>
      <w:r>
        <w:rPr>
          <w:rFonts w:ascii="Arial" w:hAnsi="Arial"/>
          <w:noProof/>
          <w:sz w:val="22"/>
          <w:szCs w:val="22"/>
        </w:rPr>
        <w:drawing>
          <wp:inline distT="0" distB="0" distL="0" distR="0" wp14:anchorId="289AF365" wp14:editId="5481B1EE">
            <wp:extent cx="3001445" cy="2829464"/>
            <wp:effectExtent l="19050" t="0" r="8455" b="0"/>
            <wp:docPr id="160" name="Picture 160"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descr="Deflexus screen shot"/>
                    <pic:cNvPicPr>
                      <a:picLocks noChangeAspect="1" noChangeArrowheads="1"/>
                    </pic:cNvPicPr>
                  </pic:nvPicPr>
                  <pic:blipFill>
                    <a:blip r:embed="rId163" cstate="print"/>
                    <a:srcRect t="19698" r="67632" b="32533"/>
                    <a:stretch>
                      <a:fillRect/>
                    </a:stretch>
                  </pic:blipFill>
                  <pic:spPr bwMode="auto">
                    <a:xfrm>
                      <a:off x="0" y="0"/>
                      <a:ext cx="3003589" cy="2831485"/>
                    </a:xfrm>
                    <a:prstGeom prst="rect">
                      <a:avLst/>
                    </a:prstGeom>
                    <a:noFill/>
                    <a:ln w="9525">
                      <a:noFill/>
                      <a:miter lim="800000"/>
                      <a:headEnd/>
                      <a:tailEnd/>
                    </a:ln>
                  </pic:spPr>
                </pic:pic>
              </a:graphicData>
            </a:graphic>
          </wp:inline>
        </w:drawing>
      </w:r>
    </w:p>
    <w:p w14:paraId="1B8F65E2" w14:textId="77777777" w:rsidR="00AD191E" w:rsidRPr="00563535" w:rsidRDefault="00AD191E" w:rsidP="009470AA">
      <w:pPr>
        <w:jc w:val="both"/>
        <w:rPr>
          <w:rFonts w:ascii="Arial" w:hAnsi="Arial"/>
          <w:sz w:val="22"/>
          <w:szCs w:val="22"/>
        </w:rPr>
      </w:pPr>
    </w:p>
    <w:p w14:paraId="67445D79" w14:textId="77777777" w:rsidR="00507712" w:rsidRPr="00563535" w:rsidRDefault="00563535" w:rsidP="001414A8">
      <w:pPr>
        <w:ind w:left="1080"/>
        <w:jc w:val="both"/>
        <w:rPr>
          <w:rFonts w:ascii="Arial" w:hAnsi="Arial"/>
          <w:sz w:val="22"/>
          <w:szCs w:val="22"/>
        </w:rPr>
      </w:pPr>
      <w:r w:rsidRPr="00563535">
        <w:rPr>
          <w:rFonts w:ascii="Arial" w:hAnsi="Arial"/>
          <w:sz w:val="22"/>
          <w:szCs w:val="22"/>
        </w:rPr>
        <w:t>If there is no pattern of non-linear composite plots, but it occurs on just a few station</w:t>
      </w:r>
      <w:r>
        <w:rPr>
          <w:rFonts w:ascii="Arial" w:hAnsi="Arial"/>
          <w:sz w:val="22"/>
          <w:szCs w:val="22"/>
        </w:rPr>
        <w:t>s</w:t>
      </w:r>
      <w:r w:rsidRPr="00563535">
        <w:rPr>
          <w:rFonts w:ascii="Arial" w:hAnsi="Arial"/>
          <w:sz w:val="22"/>
          <w:szCs w:val="22"/>
        </w:rPr>
        <w:t xml:space="preserve">, consider eliminating those stations altogether. </w:t>
      </w:r>
    </w:p>
    <w:p w14:paraId="04BE95D4" w14:textId="0159A2B5" w:rsidR="00F53742" w:rsidRPr="00E92335" w:rsidRDefault="00F53742" w:rsidP="00172E64">
      <w:pPr>
        <w:pStyle w:val="ListNumber"/>
        <w:numPr>
          <w:ilvl w:val="0"/>
          <w:numId w:val="90"/>
        </w:numPr>
        <w:tabs>
          <w:tab w:val="clear" w:pos="1872"/>
        </w:tabs>
        <w:ind w:left="1080" w:hanging="1080"/>
        <w:jc w:val="both"/>
        <w:rPr>
          <w:szCs w:val="22"/>
        </w:rPr>
      </w:pPr>
      <w:r>
        <w:t>To create the normalized deflection plot in Deflexus, take the same steps as</w:t>
      </w:r>
      <w:r w:rsidR="00F36BA4">
        <w:t xml:space="preserve"> Step 2 t</w:t>
      </w:r>
      <w:r>
        <w:t>o get the AASHTO93 layer modulus.</w:t>
      </w:r>
      <w:r w:rsidR="009F631B">
        <w:t xml:space="preserve">  Input the pavement structure by clicking on “Edit AASHTO93 Flexible Layers.</w:t>
      </w:r>
      <w:r w:rsidR="003B4369" w:rsidRPr="00271BFB">
        <w:rPr>
          <w:szCs w:val="22"/>
        </w:rPr>
        <w:t>”</w:t>
      </w:r>
      <w:r w:rsidR="009F631B">
        <w:t xml:space="preserve">  Finally, hit F5 to save the updates.  </w:t>
      </w:r>
      <w:r w:rsidR="009F631B" w:rsidRPr="00E92335">
        <w:rPr>
          <w:szCs w:val="22"/>
        </w:rPr>
        <w:t>Go to the “View Plot” tab in the grid on the right to see the deflection plot.</w:t>
      </w:r>
    </w:p>
    <w:p w14:paraId="2DE63AFF" w14:textId="77777777" w:rsidR="001A15B9" w:rsidRDefault="005F0F40" w:rsidP="00172E64">
      <w:pPr>
        <w:pStyle w:val="ListNumber"/>
        <w:numPr>
          <w:ilvl w:val="0"/>
          <w:numId w:val="90"/>
        </w:numPr>
        <w:tabs>
          <w:tab w:val="clear" w:pos="1872"/>
        </w:tabs>
        <w:ind w:left="1080" w:hanging="1080"/>
        <w:jc w:val="both"/>
      </w:pPr>
      <w:r>
        <w:t xml:space="preserve">To create the cumulative sum plot, click on “Cumulative Differences” from the Analyses List.  </w:t>
      </w:r>
    </w:p>
    <w:p w14:paraId="4BC0D6DE" w14:textId="77777777" w:rsidR="003B4369" w:rsidRDefault="003B4369" w:rsidP="003B4369">
      <w:pPr>
        <w:pStyle w:val="ListNumber"/>
        <w:tabs>
          <w:tab w:val="clear" w:pos="720"/>
          <w:tab w:val="clear" w:pos="1872"/>
        </w:tabs>
        <w:spacing w:before="0"/>
        <w:ind w:left="1080" w:firstLine="0"/>
        <w:jc w:val="both"/>
      </w:pPr>
    </w:p>
    <w:p w14:paraId="74721B6E" w14:textId="77777777" w:rsidR="005F0F40" w:rsidRDefault="005972F4" w:rsidP="005F0F40">
      <w:pPr>
        <w:pStyle w:val="BodyText"/>
        <w:jc w:val="center"/>
      </w:pPr>
      <w:r>
        <w:rPr>
          <w:noProof/>
        </w:rPr>
        <w:drawing>
          <wp:inline distT="0" distB="0" distL="0" distR="0" wp14:anchorId="2DC9A0D7" wp14:editId="37D9744B">
            <wp:extent cx="2498536" cy="1708030"/>
            <wp:effectExtent l="19050" t="0" r="0" b="0"/>
            <wp:docPr id="163" name="Picture 163"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descr="Deflexus screen shot"/>
                    <pic:cNvPicPr>
                      <a:picLocks noChangeAspect="1" noChangeArrowheads="1"/>
                    </pic:cNvPicPr>
                  </pic:nvPicPr>
                  <pic:blipFill>
                    <a:blip r:embed="rId164" cstate="print"/>
                    <a:srcRect t="64238" r="73766" b="7596"/>
                    <a:stretch>
                      <a:fillRect/>
                    </a:stretch>
                  </pic:blipFill>
                  <pic:spPr bwMode="auto">
                    <a:xfrm>
                      <a:off x="0" y="0"/>
                      <a:ext cx="2493476" cy="1704571"/>
                    </a:xfrm>
                    <a:prstGeom prst="rect">
                      <a:avLst/>
                    </a:prstGeom>
                    <a:noFill/>
                    <a:ln w="9525">
                      <a:noFill/>
                      <a:miter lim="800000"/>
                      <a:headEnd/>
                      <a:tailEnd/>
                    </a:ln>
                  </pic:spPr>
                </pic:pic>
              </a:graphicData>
            </a:graphic>
          </wp:inline>
        </w:drawing>
      </w:r>
    </w:p>
    <w:p w14:paraId="58934026" w14:textId="77777777" w:rsidR="005F0F40" w:rsidRDefault="005F0F40" w:rsidP="005F0F40">
      <w:pPr>
        <w:pStyle w:val="BodyText"/>
        <w:jc w:val="both"/>
      </w:pPr>
    </w:p>
    <w:p w14:paraId="2410CEF1" w14:textId="66C3B219" w:rsidR="005F0F40" w:rsidRDefault="005F0F40" w:rsidP="001414A8">
      <w:pPr>
        <w:pStyle w:val="BodyText"/>
        <w:ind w:left="1080"/>
        <w:jc w:val="both"/>
      </w:pPr>
      <w:r>
        <w:lastRenderedPageBreak/>
        <w:t xml:space="preserve">Next, enter the beginning station in the “Start of Pavement” field in the upper half of the left </w:t>
      </w:r>
      <w:r w:rsidR="00661663">
        <w:t>image</w:t>
      </w:r>
      <w:r>
        <w:t xml:space="preserve">.  The beginning station can be found in the Raw Data tab.  Finally, hit F5 to save the updates.  </w:t>
      </w:r>
    </w:p>
    <w:p w14:paraId="33DFC4ED" w14:textId="77777777" w:rsidR="005F0F40" w:rsidRDefault="005972F4" w:rsidP="005F0F40">
      <w:pPr>
        <w:pStyle w:val="BodyText"/>
        <w:jc w:val="center"/>
      </w:pPr>
      <w:r>
        <w:rPr>
          <w:noProof/>
        </w:rPr>
        <w:drawing>
          <wp:inline distT="0" distB="0" distL="0" distR="0" wp14:anchorId="58E9A991" wp14:editId="7CB91EDD">
            <wp:extent cx="3224482" cy="2294627"/>
            <wp:effectExtent l="19050" t="0" r="0" b="0"/>
            <wp:docPr id="166" name="Picture 166"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descr="Deflexus screen shot"/>
                    <pic:cNvPicPr>
                      <a:picLocks noChangeAspect="1" noChangeArrowheads="1"/>
                    </pic:cNvPicPr>
                  </pic:nvPicPr>
                  <pic:blipFill>
                    <a:blip r:embed="rId165" cstate="print"/>
                    <a:srcRect t="7922" r="55836" b="43069"/>
                    <a:stretch>
                      <a:fillRect/>
                    </a:stretch>
                  </pic:blipFill>
                  <pic:spPr bwMode="auto">
                    <a:xfrm>
                      <a:off x="0" y="0"/>
                      <a:ext cx="3224482" cy="2294627"/>
                    </a:xfrm>
                    <a:prstGeom prst="rect">
                      <a:avLst/>
                    </a:prstGeom>
                    <a:noFill/>
                    <a:ln w="9525">
                      <a:noFill/>
                      <a:miter lim="800000"/>
                      <a:headEnd/>
                      <a:tailEnd/>
                    </a:ln>
                  </pic:spPr>
                </pic:pic>
              </a:graphicData>
            </a:graphic>
          </wp:inline>
        </w:drawing>
      </w:r>
    </w:p>
    <w:p w14:paraId="2A92759E" w14:textId="77777777" w:rsidR="005F0F40" w:rsidRPr="0057745B" w:rsidRDefault="005F0F40" w:rsidP="001414A8">
      <w:pPr>
        <w:pStyle w:val="BodyText"/>
        <w:ind w:left="1080"/>
        <w:jc w:val="both"/>
      </w:pPr>
      <w:r w:rsidRPr="00271BFB">
        <w:rPr>
          <w:szCs w:val="22"/>
        </w:rPr>
        <w:t>Go to the “View Plot” tab in the grid on the right</w:t>
      </w:r>
      <w:r>
        <w:rPr>
          <w:szCs w:val="22"/>
        </w:rPr>
        <w:t xml:space="preserve"> to see the cumulative sums plot.  Review the plots for each sensor; it is quite possible that significant slope changes occur at different locations for the subgrade versus the surface.  When this occurs, </w:t>
      </w:r>
      <w:r w:rsidR="00B72906">
        <w:rPr>
          <w:szCs w:val="22"/>
        </w:rPr>
        <w:t>consider sectioning the paveme</w:t>
      </w:r>
      <w:r w:rsidR="00B72906" w:rsidRPr="0057745B">
        <w:rPr>
          <w:szCs w:val="22"/>
        </w:rPr>
        <w:t>nt and subgrade separately.</w:t>
      </w:r>
    </w:p>
    <w:p w14:paraId="4FB6E6BE" w14:textId="62420D8E" w:rsidR="00EB061A" w:rsidRDefault="00EB061A" w:rsidP="00F36BA4">
      <w:pPr>
        <w:pStyle w:val="BodyText"/>
        <w:ind w:left="1080"/>
        <w:jc w:val="both"/>
      </w:pPr>
      <w:r w:rsidRPr="00EB061A">
        <w:t xml:space="preserve">To obtain the resilient modulus </w:t>
      </w:r>
      <w:r>
        <w:t>and composite pavement modulus</w:t>
      </w:r>
      <w:r w:rsidR="00F36BA4">
        <w:t xml:space="preserve"> for flexible pavements</w:t>
      </w:r>
      <w:r>
        <w:t xml:space="preserve"> </w:t>
      </w:r>
      <w:r w:rsidRPr="00EB061A">
        <w:t>in Deflexus, take th</w:t>
      </w:r>
      <w:r>
        <w:t>e same steps as</w:t>
      </w:r>
      <w:r w:rsidR="00F36BA4">
        <w:t xml:space="preserve"> Step 2</w:t>
      </w:r>
      <w:r>
        <w:t xml:space="preserve"> to get the AASHTO93 layer modulus.  </w:t>
      </w:r>
      <w:r w:rsidRPr="005B3957">
        <w:t xml:space="preserve">Check the box for “Bells3 AC Temp. Correction” and input the average air temperature from the air temperatures given in the Raw Data tab. </w:t>
      </w:r>
      <w:r>
        <w:t xml:space="preserve"> Input the pavement structure by clicking on “Edit AASHTO93 Flexible Layers.  </w:t>
      </w:r>
    </w:p>
    <w:p w14:paraId="36BEF7A4" w14:textId="77777777" w:rsidR="00EB061A" w:rsidRDefault="00EB061A" w:rsidP="00EB061A">
      <w:pPr>
        <w:pStyle w:val="BodyText"/>
        <w:ind w:left="1080"/>
        <w:jc w:val="both"/>
      </w:pPr>
      <w:r>
        <w:t>Finally, hit F5 to save the updates.  This will display the analysis results and change the Update Information (F5) button from red to green.</w:t>
      </w:r>
    </w:p>
    <w:p w14:paraId="572F28A4" w14:textId="77777777" w:rsidR="00450316" w:rsidRDefault="00EB061A" w:rsidP="00BC37A3">
      <w:pPr>
        <w:pStyle w:val="BodyText"/>
        <w:ind w:left="1080"/>
        <w:jc w:val="both"/>
      </w:pPr>
      <w:r>
        <w:t>Go to the “Calculated Data” tab to see the pavement modulus and resilient modulus, as well as any error comments.  The “View Plot” tab shows these results graphically.</w:t>
      </w:r>
    </w:p>
    <w:p w14:paraId="47370228" w14:textId="1B0EDF39" w:rsidR="001A15B9" w:rsidRDefault="00450316" w:rsidP="00172E64">
      <w:pPr>
        <w:pStyle w:val="ListNumber"/>
        <w:numPr>
          <w:ilvl w:val="0"/>
          <w:numId w:val="90"/>
        </w:numPr>
        <w:tabs>
          <w:tab w:val="clear" w:pos="1872"/>
        </w:tabs>
        <w:ind w:left="1080" w:hanging="1080"/>
        <w:jc w:val="both"/>
      </w:pPr>
      <w:r>
        <w:t>To obtain the deflection data in Deflexus,</w:t>
      </w:r>
      <w:r w:rsidR="00CE2303">
        <w:t xml:space="preserve"> right click in the Analyses List grid area and choose “Load Transfer</w:t>
      </w:r>
      <w:r w:rsidR="003B4369">
        <w:t>.</w:t>
      </w:r>
      <w:r w:rsidR="00CE2303">
        <w:t>”</w:t>
      </w:r>
      <w:r>
        <w:t xml:space="preserve"> </w:t>
      </w:r>
    </w:p>
    <w:p w14:paraId="245A858F" w14:textId="77777777" w:rsidR="00450316" w:rsidRDefault="005972F4" w:rsidP="00CE2303">
      <w:pPr>
        <w:pStyle w:val="ListNumber"/>
        <w:tabs>
          <w:tab w:val="clear" w:pos="720"/>
          <w:tab w:val="clear" w:pos="1872"/>
        </w:tabs>
        <w:jc w:val="center"/>
      </w:pPr>
      <w:r>
        <w:rPr>
          <w:noProof/>
        </w:rPr>
        <w:drawing>
          <wp:inline distT="0" distB="0" distL="0" distR="0" wp14:anchorId="056C5A62" wp14:editId="21C23751">
            <wp:extent cx="2322233" cy="1802920"/>
            <wp:effectExtent l="19050" t="0" r="1867" b="0"/>
            <wp:docPr id="232" name="Picture 232"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descr="Deflexus screen shot"/>
                    <pic:cNvPicPr>
                      <a:picLocks noChangeAspect="1" noChangeArrowheads="1"/>
                    </pic:cNvPicPr>
                  </pic:nvPicPr>
                  <pic:blipFill>
                    <a:blip r:embed="rId166" cstate="print"/>
                    <a:srcRect l="439" t="64249" r="75025" b="5850"/>
                    <a:stretch>
                      <a:fillRect/>
                    </a:stretch>
                  </pic:blipFill>
                  <pic:spPr bwMode="auto">
                    <a:xfrm>
                      <a:off x="0" y="0"/>
                      <a:ext cx="2321406" cy="1802278"/>
                    </a:xfrm>
                    <a:prstGeom prst="rect">
                      <a:avLst/>
                    </a:prstGeom>
                    <a:noFill/>
                    <a:ln w="9525">
                      <a:noFill/>
                      <a:miter lim="800000"/>
                      <a:headEnd/>
                      <a:tailEnd/>
                    </a:ln>
                  </pic:spPr>
                </pic:pic>
              </a:graphicData>
            </a:graphic>
          </wp:inline>
        </w:drawing>
      </w:r>
    </w:p>
    <w:p w14:paraId="0DB8FC31" w14:textId="77777777" w:rsidR="003B4369" w:rsidRDefault="003B4369">
      <w:pPr>
        <w:rPr>
          <w:rFonts w:ascii="Arial" w:hAnsi="Arial"/>
          <w:sz w:val="22"/>
        </w:rPr>
      </w:pPr>
      <w:r>
        <w:rPr>
          <w:rFonts w:ascii="Arial" w:hAnsi="Arial"/>
          <w:sz w:val="22"/>
        </w:rPr>
        <w:br w:type="page"/>
      </w:r>
    </w:p>
    <w:p w14:paraId="3FC28E4C" w14:textId="249650FF" w:rsidR="00D717CB" w:rsidRDefault="00CE2303" w:rsidP="00EC4169">
      <w:pPr>
        <w:ind w:left="1080"/>
        <w:jc w:val="both"/>
        <w:rPr>
          <w:rFonts w:ascii="Arial" w:hAnsi="Arial"/>
          <w:sz w:val="22"/>
        </w:rPr>
      </w:pPr>
      <w:r>
        <w:rPr>
          <w:rFonts w:ascii="Arial" w:hAnsi="Arial"/>
          <w:sz w:val="22"/>
        </w:rPr>
        <w:lastRenderedPageBreak/>
        <w:t xml:space="preserve">Next, in the Lane-Tests </w:t>
      </w:r>
      <w:r w:rsidR="003B4369">
        <w:rPr>
          <w:rFonts w:ascii="Arial" w:hAnsi="Arial"/>
          <w:sz w:val="22"/>
        </w:rPr>
        <w:t>S</w:t>
      </w:r>
      <w:r>
        <w:rPr>
          <w:rFonts w:ascii="Arial" w:hAnsi="Arial"/>
          <w:sz w:val="22"/>
        </w:rPr>
        <w:t>elected area, make sure that only Joint tests have a check mark.</w:t>
      </w:r>
    </w:p>
    <w:p w14:paraId="25D9E12A" w14:textId="77777777" w:rsidR="00EC4169" w:rsidRDefault="00EC4169" w:rsidP="00EC4169">
      <w:pPr>
        <w:ind w:left="1080"/>
        <w:jc w:val="both"/>
        <w:rPr>
          <w:rFonts w:ascii="Arial" w:hAnsi="Arial"/>
          <w:sz w:val="22"/>
        </w:rPr>
      </w:pPr>
    </w:p>
    <w:p w14:paraId="329FBCC9" w14:textId="77777777" w:rsidR="00CE2303" w:rsidRDefault="005972F4" w:rsidP="00CE2303">
      <w:pPr>
        <w:jc w:val="center"/>
        <w:rPr>
          <w:rFonts w:ascii="Arial" w:hAnsi="Arial"/>
          <w:sz w:val="22"/>
        </w:rPr>
      </w:pPr>
      <w:r>
        <w:rPr>
          <w:rFonts w:ascii="Arial" w:hAnsi="Arial"/>
          <w:noProof/>
          <w:sz w:val="22"/>
        </w:rPr>
        <w:drawing>
          <wp:inline distT="0" distB="0" distL="0" distR="0" wp14:anchorId="68DDCD18" wp14:editId="6D101268">
            <wp:extent cx="3367322" cy="1155939"/>
            <wp:effectExtent l="19050" t="0" r="4528" b="0"/>
            <wp:docPr id="235" name="Picture 235"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descr="Deflexus screen shot"/>
                    <pic:cNvPicPr>
                      <a:picLocks noChangeAspect="1" noChangeArrowheads="1"/>
                    </pic:cNvPicPr>
                  </pic:nvPicPr>
                  <pic:blipFill>
                    <a:blip r:embed="rId167" cstate="print"/>
                    <a:srcRect l="124" t="48666" r="75496" b="38518"/>
                    <a:stretch>
                      <a:fillRect/>
                    </a:stretch>
                  </pic:blipFill>
                  <pic:spPr bwMode="auto">
                    <a:xfrm>
                      <a:off x="0" y="0"/>
                      <a:ext cx="3367322" cy="1155939"/>
                    </a:xfrm>
                    <a:prstGeom prst="rect">
                      <a:avLst/>
                    </a:prstGeom>
                    <a:noFill/>
                    <a:ln w="9525">
                      <a:noFill/>
                      <a:miter lim="800000"/>
                      <a:headEnd/>
                      <a:tailEnd/>
                    </a:ln>
                  </pic:spPr>
                </pic:pic>
              </a:graphicData>
            </a:graphic>
          </wp:inline>
        </w:drawing>
      </w:r>
    </w:p>
    <w:p w14:paraId="351A2B29" w14:textId="77777777" w:rsidR="00CE2303" w:rsidRDefault="00CE2303" w:rsidP="009470AA">
      <w:pPr>
        <w:jc w:val="both"/>
        <w:rPr>
          <w:rFonts w:ascii="Arial" w:hAnsi="Arial"/>
          <w:sz w:val="22"/>
        </w:rPr>
      </w:pPr>
    </w:p>
    <w:p w14:paraId="47F689F4" w14:textId="77777777" w:rsidR="00F12269" w:rsidRDefault="00F12269" w:rsidP="00F12269">
      <w:pPr>
        <w:pStyle w:val="BodyText"/>
        <w:ind w:left="1080"/>
        <w:jc w:val="both"/>
      </w:pPr>
      <w:r>
        <w:t>Finally, hit F5 to save the updates.  This will display the analysis results and change the Update Information (F5) button from red to green.</w:t>
      </w:r>
    </w:p>
    <w:p w14:paraId="5817291C" w14:textId="77777777" w:rsidR="00F12269" w:rsidRDefault="00F12269" w:rsidP="00F12269">
      <w:pPr>
        <w:pStyle w:val="BodyText"/>
        <w:ind w:left="1080"/>
        <w:jc w:val="both"/>
      </w:pPr>
      <w:r>
        <w:t>On the “Calculated Data” tab, the “DD (mils)” column shows the difference in deflections between the loaded and unloaded sensors.  Identify any locations with high deflections for repair.  The “View Plot” tab can assist with this.</w:t>
      </w:r>
    </w:p>
    <w:p w14:paraId="0B90FE5A" w14:textId="77777777" w:rsidR="00CE2303" w:rsidRDefault="004D64A3" w:rsidP="00F12269">
      <w:pPr>
        <w:jc w:val="center"/>
        <w:rPr>
          <w:rFonts w:ascii="Arial" w:hAnsi="Arial"/>
          <w:sz w:val="22"/>
        </w:rPr>
      </w:pPr>
      <w:r>
        <w:rPr>
          <w:noProof/>
        </w:rPr>
        <mc:AlternateContent>
          <mc:Choice Requires="wps">
            <w:drawing>
              <wp:anchor distT="0" distB="0" distL="114300" distR="114300" simplePos="0" relativeHeight="251834880" behindDoc="0" locked="0" layoutInCell="1" allowOverlap="1" wp14:anchorId="6DAB7A68" wp14:editId="1E9B03E2">
                <wp:simplePos x="0" y="0"/>
                <wp:positionH relativeFrom="column">
                  <wp:posOffset>3014980</wp:posOffset>
                </wp:positionH>
                <wp:positionV relativeFrom="paragraph">
                  <wp:posOffset>951230</wp:posOffset>
                </wp:positionV>
                <wp:extent cx="189865" cy="8890"/>
                <wp:effectExtent l="24130" t="60960" r="5080" b="44450"/>
                <wp:wrapNone/>
                <wp:docPr id="1688" name="AutoShape 4307" descr="Deflexus void detection chart"/>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89865" cy="88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2D1E479" id="_x0000_t32" coordsize="21600,21600" o:spt="32" o:oned="t" path="m,l21600,21600e" filled="f">
                <v:path arrowok="t" fillok="f" o:connecttype="none"/>
                <o:lock v:ext="edit" shapetype="t"/>
              </v:shapetype>
              <v:shape id="AutoShape 4307" o:spid="_x0000_s1026" type="#_x0000_t32" alt="Deflexus void detection chart" style="position:absolute;margin-left:237.4pt;margin-top:74.9pt;width:14.95pt;height:.7pt;flip:x y;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">
                <v:stroke endarrow="block"/>
              </v:shape>
            </w:pict>
          </mc:Fallback>
        </mc:AlternateContent>
      </w:r>
      <w:r>
        <w:rPr>
          <w:noProof/>
        </w:rPr>
        <mc:AlternateContent>
          <mc:Choice Requires="wps">
            <w:drawing>
              <wp:anchor distT="0" distB="0" distL="114300" distR="114300" simplePos="0" relativeHeight="251833856" behindDoc="0" locked="0" layoutInCell="1" allowOverlap="1" wp14:anchorId="6CE3463D" wp14:editId="660A96A2">
                <wp:simplePos x="0" y="0"/>
                <wp:positionH relativeFrom="column">
                  <wp:posOffset>3208020</wp:posOffset>
                </wp:positionH>
                <wp:positionV relativeFrom="paragraph">
                  <wp:posOffset>758190</wp:posOffset>
                </wp:positionV>
                <wp:extent cx="1450340" cy="422275"/>
                <wp:effectExtent l="7620" t="5715" r="8890" b="10160"/>
                <wp:wrapNone/>
                <wp:docPr id="1687" name="Text Box 4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0340" cy="422275"/>
                        </a:xfrm>
                        <a:prstGeom prst="rect">
                          <a:avLst/>
                        </a:prstGeom>
                        <a:solidFill>
                          <a:srgbClr val="FFFFFF"/>
                        </a:solidFill>
                        <a:ln w="9525">
                          <a:solidFill>
                            <a:srgbClr val="000000"/>
                          </a:solidFill>
                          <a:miter lim="800000"/>
                          <a:headEnd/>
                          <a:tailEnd/>
                        </a:ln>
                      </wps:spPr>
                      <wps:txbx>
                        <w:txbxContent>
                          <w:p w14:paraId="2053D568" w14:textId="77777777" w:rsidR="009C1A5C" w:rsidRPr="00F12269" w:rsidRDefault="009C1A5C">
                            <w:pPr>
                              <w:rPr>
                                <w:rFonts w:ascii="Arial" w:hAnsi="Arial" w:cs="Arial"/>
                                <w:sz w:val="22"/>
                                <w:szCs w:val="22"/>
                              </w:rPr>
                            </w:pPr>
                            <w:r w:rsidRPr="00F12269">
                              <w:rPr>
                                <w:rFonts w:ascii="Arial" w:hAnsi="Arial" w:cs="Arial"/>
                                <w:sz w:val="22"/>
                                <w:szCs w:val="22"/>
                              </w:rPr>
                              <w:t>Location with high deflection difference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CE3463D" id="Text Box 4306" o:spid="_x0000_s1068" type="#_x0000_t202" style="position:absolute;left:0;text-align:left;margin-left:252.6pt;margin-top:59.7pt;width:114.2pt;height:33.25pt;z-index:2518338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">
                <v:textbox style="mso-fit-shape-to-text:t">
                  <w:txbxContent>
                    <w:p w14:paraId="2053D568" w14:textId="77777777" w:rsidR="009C1A5C" w:rsidRPr="00F12269" w:rsidRDefault="009C1A5C">
                      <w:pPr>
                        <w:rPr>
                          <w:rFonts w:ascii="Arial" w:hAnsi="Arial" w:cs="Arial"/>
                          <w:sz w:val="22"/>
                          <w:szCs w:val="22"/>
                        </w:rPr>
                      </w:pPr>
                      <w:r w:rsidRPr="00F12269">
                        <w:rPr>
                          <w:rFonts w:ascii="Arial" w:hAnsi="Arial" w:cs="Arial"/>
                          <w:sz w:val="22"/>
                          <w:szCs w:val="22"/>
                        </w:rPr>
                        <w:t>Location with high deflection difference</w:t>
                      </w:r>
                    </w:p>
                  </w:txbxContent>
                </v:textbox>
              </v:shape>
            </w:pict>
          </mc:Fallback>
        </mc:AlternateContent>
      </w:r>
      <w:r>
        <w:rPr>
          <w:rFonts w:ascii="Arial" w:hAnsi="Arial"/>
          <w:noProof/>
          <w:sz w:val="22"/>
        </w:rPr>
        <mc:AlternateContent>
          <mc:Choice Requires="wps">
            <w:drawing>
              <wp:anchor distT="0" distB="0" distL="114300" distR="114300" simplePos="0" relativeHeight="251832832" behindDoc="0" locked="0" layoutInCell="1" allowOverlap="1" wp14:anchorId="3F41A416" wp14:editId="19FEAD43">
                <wp:simplePos x="0" y="0"/>
                <wp:positionH relativeFrom="column">
                  <wp:posOffset>2600960</wp:posOffset>
                </wp:positionH>
                <wp:positionV relativeFrom="paragraph">
                  <wp:posOffset>546100</wp:posOffset>
                </wp:positionV>
                <wp:extent cx="353695" cy="775970"/>
                <wp:effectExtent l="19685" t="27305" r="26670" b="25400"/>
                <wp:wrapNone/>
                <wp:docPr id="1686" name="Oval 4304" descr="Deflexus void detection char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3695" cy="775970"/>
                        </a:xfrm>
                        <a:prstGeom prst="ellipse">
                          <a:avLst/>
                        </a:prstGeom>
                        <a:noFill/>
                        <a:ln w="38100">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487B151" id="Oval 4304" o:spid="_x0000_s1026" alt="Deflexus void detection chart" style="position:absolute;margin-left:204.8pt;margin-top:43pt;width:27.85pt;height:61.1pt;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" filled="f" strokecolor="blue" strokeweight="3pt"/>
            </w:pict>
          </mc:Fallback>
        </mc:AlternateContent>
      </w:r>
      <w:r w:rsidR="005972F4">
        <w:rPr>
          <w:rFonts w:ascii="Arial" w:hAnsi="Arial"/>
          <w:noProof/>
          <w:sz w:val="22"/>
        </w:rPr>
        <w:drawing>
          <wp:inline distT="0" distB="0" distL="0" distR="0" wp14:anchorId="515F9AF9" wp14:editId="75DB9FEB">
            <wp:extent cx="5074907" cy="3071004"/>
            <wp:effectExtent l="19050" t="0" r="0" b="0"/>
            <wp:docPr id="238" name="Picture 238" descr="Deflexus void detection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238" descr="Deflexus void detection chart"/>
                    <pic:cNvPicPr>
                      <a:picLocks noChangeAspect="1" noChangeArrowheads="1"/>
                    </pic:cNvPicPr>
                  </pic:nvPicPr>
                  <pic:blipFill>
                    <a:blip r:embed="rId168" cstate="print"/>
                    <a:srcRect l="26234" t="17625" r="2518" b="15302"/>
                    <a:stretch>
                      <a:fillRect/>
                    </a:stretch>
                  </pic:blipFill>
                  <pic:spPr bwMode="auto">
                    <a:xfrm>
                      <a:off x="0" y="0"/>
                      <a:ext cx="5074493" cy="3070753"/>
                    </a:xfrm>
                    <a:prstGeom prst="rect">
                      <a:avLst/>
                    </a:prstGeom>
                    <a:noFill/>
                    <a:ln w="9525">
                      <a:noFill/>
                      <a:miter lim="800000"/>
                      <a:headEnd/>
                      <a:tailEnd/>
                    </a:ln>
                  </pic:spPr>
                </pic:pic>
              </a:graphicData>
            </a:graphic>
          </wp:inline>
        </w:drawing>
      </w:r>
    </w:p>
    <w:p w14:paraId="547A7ABE" w14:textId="77777777" w:rsidR="00CE2303" w:rsidRDefault="00CE2303" w:rsidP="009470AA">
      <w:pPr>
        <w:jc w:val="both"/>
        <w:rPr>
          <w:rFonts w:ascii="Arial" w:hAnsi="Arial"/>
          <w:sz w:val="22"/>
        </w:rPr>
      </w:pPr>
    </w:p>
    <w:p w14:paraId="79C39FC4" w14:textId="35ADFE76" w:rsidR="00823FC2" w:rsidRDefault="001A4634" w:rsidP="00172E64">
      <w:pPr>
        <w:pStyle w:val="ListNumber"/>
        <w:numPr>
          <w:ilvl w:val="0"/>
          <w:numId w:val="90"/>
        </w:numPr>
        <w:tabs>
          <w:tab w:val="clear" w:pos="1872"/>
        </w:tabs>
        <w:ind w:left="1080" w:hanging="1080"/>
        <w:jc w:val="both"/>
      </w:pPr>
      <w:bookmarkStart w:id="257" w:name="Void_Detection_Deflexus"/>
      <w:bookmarkEnd w:id="257"/>
      <w:r>
        <w:t>To perform the void detection in Deflexus, right click in the Analyses List grid area and choose “Void Detection</w:t>
      </w:r>
      <w:r w:rsidR="003B4369">
        <w:t>.</w:t>
      </w:r>
      <w:r>
        <w:t xml:space="preserve">” </w:t>
      </w:r>
    </w:p>
    <w:p w14:paraId="60D50CC0" w14:textId="77777777" w:rsidR="00823FC2" w:rsidRDefault="00823FC2" w:rsidP="00823FC2">
      <w:pPr>
        <w:rPr>
          <w:rFonts w:ascii="Arial" w:eastAsia="Arial" w:hAnsi="Arial" w:cs="Arial"/>
          <w:sz w:val="16"/>
        </w:rPr>
      </w:pPr>
    </w:p>
    <w:p w14:paraId="685706FA" w14:textId="6F07B4B4" w:rsidR="00823FC2" w:rsidRPr="00823FC2" w:rsidRDefault="00823FC2" w:rsidP="00823FC2">
      <w:pPr>
        <w:rPr>
          <w:rFonts w:ascii="Arial" w:eastAsia="Arial" w:hAnsi="Arial" w:cs="Arial"/>
          <w:sz w:val="16"/>
        </w:rPr>
      </w:pPr>
      <w:r w:rsidRPr="00823FC2">
        <w:rPr>
          <w:rFonts w:ascii="Arial" w:eastAsia="Arial" w:hAnsi="Arial" w:cs="Arial"/>
          <w:sz w:val="16"/>
        </w:rPr>
        <w:t xml:space="preserve">Click to go to </w:t>
      </w:r>
      <w:hyperlink w:anchor="_JPCP_Layer_Properties_1" w:history="1">
        <w:r w:rsidRPr="00823FC2">
          <w:rPr>
            <w:rStyle w:val="Hyperlink"/>
            <w:rFonts w:ascii="Arial" w:eastAsia="Arial" w:hAnsi="Arial" w:cs="Arial"/>
            <w:sz w:val="16"/>
          </w:rPr>
          <w:t>JPCP Layer Properties</w:t>
        </w:r>
      </w:hyperlink>
      <w:r w:rsidRPr="00823FC2">
        <w:rPr>
          <w:rFonts w:ascii="Arial" w:eastAsia="Arial" w:hAnsi="Arial" w:cs="Arial"/>
          <w:sz w:val="16"/>
        </w:rPr>
        <w:t xml:space="preserve"> in the </w:t>
      </w:r>
      <w:r w:rsidRPr="00823FC2">
        <w:rPr>
          <w:rFonts w:ascii="Arial" w:eastAsia="Arial" w:hAnsi="Arial" w:cs="Arial"/>
          <w:i/>
          <w:sz w:val="16"/>
        </w:rPr>
        <w:t>AC overlay over JCP</w:t>
      </w:r>
      <w:r w:rsidRPr="00823FC2">
        <w:rPr>
          <w:rFonts w:ascii="Arial" w:eastAsia="Arial" w:hAnsi="Arial" w:cs="Arial"/>
          <w:sz w:val="16"/>
        </w:rPr>
        <w:t xml:space="preserve"> section</w:t>
      </w:r>
    </w:p>
    <w:p w14:paraId="6DB38DDE" w14:textId="77777777" w:rsidR="001A4634" w:rsidRDefault="005972F4" w:rsidP="001A4634">
      <w:pPr>
        <w:pStyle w:val="ListNumber"/>
        <w:tabs>
          <w:tab w:val="clear" w:pos="720"/>
          <w:tab w:val="clear" w:pos="1872"/>
        </w:tabs>
        <w:jc w:val="center"/>
      </w:pPr>
      <w:r>
        <w:rPr>
          <w:noProof/>
        </w:rPr>
        <w:lastRenderedPageBreak/>
        <w:drawing>
          <wp:inline distT="0" distB="0" distL="0" distR="0" wp14:anchorId="4F9CA6C5" wp14:editId="54F527E0">
            <wp:extent cx="2355016" cy="1820173"/>
            <wp:effectExtent l="19050" t="0" r="7184" b="0"/>
            <wp:docPr id="241" name="Picture 241"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Deflexus screen shot"/>
                    <pic:cNvPicPr>
                      <a:picLocks noChangeAspect="1" noChangeArrowheads="1"/>
                    </pic:cNvPicPr>
                  </pic:nvPicPr>
                  <pic:blipFill>
                    <a:blip r:embed="rId169" cstate="print"/>
                    <a:srcRect l="439" t="65234" r="76160" b="6349"/>
                    <a:stretch>
                      <a:fillRect/>
                    </a:stretch>
                  </pic:blipFill>
                  <pic:spPr bwMode="auto">
                    <a:xfrm>
                      <a:off x="0" y="0"/>
                      <a:ext cx="2355016" cy="1820173"/>
                    </a:xfrm>
                    <a:prstGeom prst="rect">
                      <a:avLst/>
                    </a:prstGeom>
                    <a:noFill/>
                    <a:ln w="9525">
                      <a:noFill/>
                      <a:miter lim="800000"/>
                      <a:headEnd/>
                      <a:tailEnd/>
                    </a:ln>
                  </pic:spPr>
                </pic:pic>
              </a:graphicData>
            </a:graphic>
          </wp:inline>
        </w:drawing>
      </w:r>
    </w:p>
    <w:p w14:paraId="1C5670D1" w14:textId="77777777" w:rsidR="00D717CB" w:rsidRDefault="00D717CB" w:rsidP="009470AA">
      <w:pPr>
        <w:jc w:val="both"/>
        <w:rPr>
          <w:rFonts w:ascii="Arial" w:hAnsi="Arial"/>
          <w:sz w:val="22"/>
        </w:rPr>
      </w:pPr>
    </w:p>
    <w:p w14:paraId="3B32BC72" w14:textId="77777777" w:rsidR="001A4634" w:rsidRDefault="001A4634" w:rsidP="001A4634">
      <w:pPr>
        <w:ind w:left="1080"/>
        <w:jc w:val="both"/>
        <w:rPr>
          <w:rFonts w:ascii="Arial" w:hAnsi="Arial"/>
          <w:sz w:val="22"/>
        </w:rPr>
      </w:pPr>
      <w:r>
        <w:rPr>
          <w:rFonts w:ascii="Arial" w:hAnsi="Arial"/>
          <w:sz w:val="22"/>
        </w:rPr>
        <w:t>Next, ensure that the “Void Threshold” is 2 mils then hit F5 to update.  Go to the “Calculated Data” tab.  Locations with voids are shown in the “Is Void” column.</w:t>
      </w:r>
    </w:p>
    <w:p w14:paraId="1945E778" w14:textId="0F2AF201" w:rsidR="001A15B9" w:rsidRDefault="00604184" w:rsidP="00172E64">
      <w:pPr>
        <w:pStyle w:val="ListNumber"/>
        <w:numPr>
          <w:ilvl w:val="0"/>
          <w:numId w:val="90"/>
        </w:numPr>
        <w:tabs>
          <w:tab w:val="clear" w:pos="1872"/>
          <w:tab w:val="left" w:pos="1080"/>
        </w:tabs>
        <w:ind w:left="1080" w:hanging="1080"/>
        <w:jc w:val="both"/>
      </w:pPr>
      <w:bookmarkStart w:id="258" w:name="Dynamic_K"/>
      <w:bookmarkEnd w:id="258"/>
      <w:r w:rsidRPr="00E67246">
        <w:t>To obtain th</w:t>
      </w:r>
      <w:r>
        <w:t>e PCC Elastic Modulus and Modulus of Subgrade Reaction in Deflexus, right click in the Analyses List grid area and choose “Layer Modulus</w:t>
      </w:r>
      <w:r w:rsidR="003B4369">
        <w:t>,</w:t>
      </w:r>
      <w:r>
        <w:t>” then “Rigid/Composite (K).</w:t>
      </w:r>
      <w:r w:rsidR="003B4369" w:rsidRPr="00271BFB">
        <w:rPr>
          <w:szCs w:val="22"/>
        </w:rPr>
        <w:t>”</w:t>
      </w:r>
      <w:r>
        <w:t xml:space="preserve"> </w:t>
      </w:r>
    </w:p>
    <w:p w14:paraId="29CDB1AC" w14:textId="77777777" w:rsidR="00CD36AA" w:rsidRDefault="00CD36AA" w:rsidP="00CD36AA">
      <w:pPr>
        <w:rPr>
          <w:rFonts w:ascii="Arial" w:eastAsia="Arial" w:hAnsi="Arial" w:cs="Arial"/>
          <w:sz w:val="16"/>
        </w:rPr>
      </w:pPr>
    </w:p>
    <w:p w14:paraId="5325ED79" w14:textId="7D92D6A5" w:rsidR="00CD36AA" w:rsidRDefault="00CD36AA" w:rsidP="00CD36AA">
      <w:pPr>
        <w:rPr>
          <w:rFonts w:ascii="Arial" w:eastAsia="Arial" w:hAnsi="Arial" w:cs="Arial"/>
          <w:sz w:val="16"/>
        </w:rPr>
      </w:pPr>
      <w:r w:rsidRPr="00CD36AA">
        <w:rPr>
          <w:rFonts w:ascii="Arial" w:eastAsia="Arial" w:hAnsi="Arial" w:cs="Arial"/>
          <w:sz w:val="16"/>
        </w:rPr>
        <w:t xml:space="preserve">Click to go to </w:t>
      </w:r>
      <w:hyperlink w:anchor="_Foundation_Support" w:history="1">
        <w:r w:rsidRPr="00CD36AA">
          <w:rPr>
            <w:rStyle w:val="Hyperlink"/>
            <w:rFonts w:ascii="Arial" w:eastAsia="Arial" w:hAnsi="Arial" w:cs="Arial"/>
            <w:sz w:val="16"/>
          </w:rPr>
          <w:t>Foundation Support</w:t>
        </w:r>
      </w:hyperlink>
      <w:r>
        <w:rPr>
          <w:rFonts w:ascii="Arial" w:eastAsia="Arial" w:hAnsi="Arial" w:cs="Arial"/>
          <w:sz w:val="16"/>
        </w:rPr>
        <w:t xml:space="preserve"> </w:t>
      </w:r>
      <w:r w:rsidRPr="00CD36AA">
        <w:rPr>
          <w:rFonts w:ascii="Arial" w:eastAsia="Arial" w:hAnsi="Arial" w:cs="Arial"/>
          <w:sz w:val="16"/>
        </w:rPr>
        <w:t xml:space="preserve">in the </w:t>
      </w:r>
      <w:r w:rsidRPr="00CD36AA">
        <w:rPr>
          <w:rFonts w:ascii="Arial" w:eastAsia="Arial" w:hAnsi="Arial" w:cs="Arial"/>
          <w:i/>
          <w:sz w:val="16"/>
        </w:rPr>
        <w:t>AC overlay over JCP</w:t>
      </w:r>
      <w:r w:rsidRPr="00CD36AA">
        <w:rPr>
          <w:rFonts w:ascii="Arial" w:eastAsia="Arial" w:hAnsi="Arial" w:cs="Arial"/>
          <w:sz w:val="16"/>
        </w:rPr>
        <w:t xml:space="preserve"> section</w:t>
      </w:r>
    </w:p>
    <w:p w14:paraId="71141A90" w14:textId="3818DE51" w:rsidR="00346E9C" w:rsidRDefault="00346E9C" w:rsidP="00346E9C">
      <w:pPr>
        <w:rPr>
          <w:rFonts w:ascii="Arial" w:eastAsia="Arial" w:hAnsi="Arial" w:cs="Arial"/>
          <w:sz w:val="16"/>
        </w:rPr>
      </w:pPr>
      <w:r>
        <w:rPr>
          <w:rFonts w:ascii="Arial" w:eastAsia="Arial" w:hAnsi="Arial" w:cs="Arial"/>
          <w:sz w:val="16"/>
        </w:rPr>
        <w:t xml:space="preserve">Click to go to </w:t>
      </w:r>
      <w:hyperlink w:anchor="_For_the_PCC_1" w:history="1">
        <w:r w:rsidRPr="009B53B3">
          <w:rPr>
            <w:rStyle w:val="Hyperlink"/>
            <w:rFonts w:ascii="Arial" w:eastAsia="Arial" w:hAnsi="Arial" w:cs="Arial"/>
            <w:sz w:val="16"/>
          </w:rPr>
          <w:t>For the PCC Layer</w:t>
        </w:r>
      </w:hyperlink>
      <w:r>
        <w:rPr>
          <w:rFonts w:ascii="Arial" w:eastAsia="Arial" w:hAnsi="Arial" w:cs="Arial"/>
          <w:sz w:val="16"/>
        </w:rPr>
        <w:t xml:space="preserve"> in the </w:t>
      </w:r>
      <w:r w:rsidRPr="00DE7B3D">
        <w:rPr>
          <w:rFonts w:ascii="Arial" w:eastAsia="Arial" w:hAnsi="Arial" w:cs="Arial"/>
          <w:i/>
          <w:sz w:val="16"/>
        </w:rPr>
        <w:t>AC overlay over J</w:t>
      </w:r>
      <w:r w:rsidRPr="002A7742">
        <w:rPr>
          <w:rFonts w:ascii="Arial" w:eastAsia="Arial" w:hAnsi="Arial" w:cs="Arial"/>
          <w:i/>
          <w:sz w:val="16"/>
        </w:rPr>
        <w:t>PCP</w:t>
      </w:r>
      <w:r>
        <w:rPr>
          <w:rFonts w:ascii="Arial" w:eastAsia="Arial" w:hAnsi="Arial" w:cs="Arial"/>
          <w:sz w:val="16"/>
        </w:rPr>
        <w:t xml:space="preserve"> section</w:t>
      </w:r>
    </w:p>
    <w:p w14:paraId="2B4BFDD3" w14:textId="77777777" w:rsidR="00346E9C" w:rsidRPr="00CD36AA" w:rsidRDefault="00346E9C" w:rsidP="00CD36AA">
      <w:pPr>
        <w:rPr>
          <w:rFonts w:ascii="Arial" w:eastAsia="Arial" w:hAnsi="Arial" w:cs="Arial"/>
          <w:sz w:val="16"/>
        </w:rPr>
      </w:pPr>
    </w:p>
    <w:p w14:paraId="1D5556B4" w14:textId="77777777" w:rsidR="00604184" w:rsidRDefault="005972F4" w:rsidP="00604184">
      <w:pPr>
        <w:pStyle w:val="ListNumber"/>
        <w:tabs>
          <w:tab w:val="clear" w:pos="720"/>
          <w:tab w:val="clear" w:pos="1872"/>
        </w:tabs>
        <w:jc w:val="center"/>
      </w:pPr>
      <w:r>
        <w:rPr>
          <w:noProof/>
        </w:rPr>
        <w:drawing>
          <wp:inline distT="0" distB="0" distL="0" distR="0" wp14:anchorId="45F662A7" wp14:editId="68D71DA1">
            <wp:extent cx="3396997" cy="1854679"/>
            <wp:effectExtent l="19050" t="0" r="0" b="0"/>
            <wp:docPr id="15" name="Picture 404"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04" descr="Deflexus screen shot"/>
                    <pic:cNvPicPr>
                      <a:picLocks noChangeAspect="1" noChangeArrowheads="1"/>
                    </pic:cNvPicPr>
                  </pic:nvPicPr>
                  <pic:blipFill>
                    <a:blip r:embed="rId170" cstate="print"/>
                    <a:srcRect l="440" t="64505" r="63228" b="4354"/>
                    <a:stretch>
                      <a:fillRect/>
                    </a:stretch>
                  </pic:blipFill>
                  <pic:spPr bwMode="auto">
                    <a:xfrm>
                      <a:off x="0" y="0"/>
                      <a:ext cx="3397262" cy="1854823"/>
                    </a:xfrm>
                    <a:prstGeom prst="rect">
                      <a:avLst/>
                    </a:prstGeom>
                    <a:noFill/>
                    <a:ln w="9525">
                      <a:noFill/>
                      <a:miter lim="800000"/>
                      <a:headEnd/>
                      <a:tailEnd/>
                    </a:ln>
                  </pic:spPr>
                </pic:pic>
              </a:graphicData>
            </a:graphic>
          </wp:inline>
        </w:drawing>
      </w:r>
    </w:p>
    <w:p w14:paraId="6DEC0311" w14:textId="77777777" w:rsidR="00604184" w:rsidRDefault="00604184" w:rsidP="00604184">
      <w:pPr>
        <w:jc w:val="both"/>
        <w:rPr>
          <w:rFonts w:ascii="Arial" w:hAnsi="Arial"/>
          <w:sz w:val="22"/>
        </w:rPr>
      </w:pPr>
    </w:p>
    <w:p w14:paraId="123E8E8D" w14:textId="77777777" w:rsidR="00604184" w:rsidRDefault="00604184" w:rsidP="00604184">
      <w:pPr>
        <w:ind w:left="1080"/>
        <w:jc w:val="both"/>
        <w:rPr>
          <w:rFonts w:ascii="Arial" w:hAnsi="Arial"/>
          <w:sz w:val="22"/>
        </w:rPr>
      </w:pPr>
      <w:r>
        <w:rPr>
          <w:rFonts w:ascii="Arial" w:hAnsi="Arial"/>
          <w:sz w:val="22"/>
        </w:rPr>
        <w:t>Next, in the Required Inputs area, provide the following:</w:t>
      </w:r>
    </w:p>
    <w:p w14:paraId="04EF75F1" w14:textId="2D158991" w:rsidR="001A15B9" w:rsidRDefault="00604184" w:rsidP="00172E64">
      <w:pPr>
        <w:pStyle w:val="ListParagraph"/>
        <w:numPr>
          <w:ilvl w:val="0"/>
          <w:numId w:val="91"/>
        </w:numPr>
        <w:jc w:val="both"/>
        <w:rPr>
          <w:rFonts w:ascii="Arial" w:hAnsi="Arial"/>
          <w:sz w:val="22"/>
        </w:rPr>
      </w:pPr>
      <w:r>
        <w:rPr>
          <w:rFonts w:ascii="Arial" w:hAnsi="Arial"/>
          <w:sz w:val="22"/>
        </w:rPr>
        <w:t>Sensor Grouping: A</w:t>
      </w:r>
      <w:r w:rsidR="003B4369">
        <w:rPr>
          <w:rFonts w:ascii="Arial" w:hAnsi="Arial"/>
          <w:sz w:val="22"/>
        </w:rPr>
        <w:t>5</w:t>
      </w:r>
      <w:r>
        <w:rPr>
          <w:rFonts w:ascii="Arial" w:hAnsi="Arial"/>
          <w:sz w:val="22"/>
        </w:rPr>
        <w:t>S</w:t>
      </w:r>
    </w:p>
    <w:p w14:paraId="718C534C" w14:textId="77777777" w:rsidR="001A15B9" w:rsidRDefault="00604184" w:rsidP="00172E64">
      <w:pPr>
        <w:pStyle w:val="ListParagraph"/>
        <w:numPr>
          <w:ilvl w:val="0"/>
          <w:numId w:val="91"/>
        </w:numPr>
        <w:jc w:val="both"/>
        <w:rPr>
          <w:rFonts w:ascii="Arial" w:hAnsi="Arial"/>
          <w:sz w:val="22"/>
        </w:rPr>
      </w:pPr>
      <w:r>
        <w:rPr>
          <w:rFonts w:ascii="Arial" w:hAnsi="Arial"/>
          <w:sz w:val="22"/>
        </w:rPr>
        <w:t>Number of Layers: 1 for rigid, 2 for composite pavements.  Layer 1 is the bottom layer.</w:t>
      </w:r>
    </w:p>
    <w:p w14:paraId="2F648605" w14:textId="77777777" w:rsidR="001A15B9" w:rsidRDefault="00604184" w:rsidP="00172E64">
      <w:pPr>
        <w:pStyle w:val="ListParagraph"/>
        <w:numPr>
          <w:ilvl w:val="0"/>
          <w:numId w:val="91"/>
        </w:numPr>
        <w:jc w:val="both"/>
        <w:rPr>
          <w:rFonts w:ascii="Arial" w:hAnsi="Arial"/>
          <w:sz w:val="22"/>
        </w:rPr>
      </w:pPr>
      <w:r>
        <w:rPr>
          <w:rFonts w:ascii="Arial" w:hAnsi="Arial"/>
          <w:sz w:val="22"/>
        </w:rPr>
        <w:t>Input the layer thickness(es)</w:t>
      </w:r>
    </w:p>
    <w:p w14:paraId="3E762796" w14:textId="2E4B45BC" w:rsidR="001A15B9" w:rsidRDefault="00604184" w:rsidP="00172E64">
      <w:pPr>
        <w:pStyle w:val="ListParagraph"/>
        <w:numPr>
          <w:ilvl w:val="0"/>
          <w:numId w:val="91"/>
        </w:numPr>
        <w:jc w:val="both"/>
        <w:rPr>
          <w:rFonts w:ascii="Arial" w:hAnsi="Arial"/>
          <w:sz w:val="22"/>
        </w:rPr>
      </w:pPr>
      <w:r>
        <w:rPr>
          <w:rFonts w:ascii="Arial" w:hAnsi="Arial"/>
          <w:sz w:val="22"/>
        </w:rPr>
        <w:t>Input the Poisson</w:t>
      </w:r>
      <w:r w:rsidR="003B4369">
        <w:rPr>
          <w:rFonts w:ascii="Arial" w:hAnsi="Arial"/>
          <w:sz w:val="22"/>
        </w:rPr>
        <w:t>'s</w:t>
      </w:r>
      <w:r>
        <w:rPr>
          <w:rFonts w:ascii="Arial" w:hAnsi="Arial"/>
          <w:sz w:val="22"/>
        </w:rPr>
        <w:t xml:space="preserve"> ratio</w:t>
      </w:r>
    </w:p>
    <w:p w14:paraId="55D9810E" w14:textId="77777777" w:rsidR="001A15B9" w:rsidRDefault="00604184" w:rsidP="00172E64">
      <w:pPr>
        <w:pStyle w:val="ListParagraph"/>
        <w:numPr>
          <w:ilvl w:val="0"/>
          <w:numId w:val="91"/>
        </w:numPr>
        <w:jc w:val="both"/>
        <w:rPr>
          <w:rFonts w:ascii="Arial" w:hAnsi="Arial"/>
          <w:sz w:val="22"/>
        </w:rPr>
      </w:pPr>
      <w:r>
        <w:rPr>
          <w:rFonts w:ascii="Arial" w:hAnsi="Arial"/>
          <w:sz w:val="22"/>
        </w:rPr>
        <w:t>Check the box for Interface Friction</w:t>
      </w:r>
    </w:p>
    <w:p w14:paraId="1438CE94" w14:textId="77777777" w:rsidR="001A15B9" w:rsidRDefault="00604184" w:rsidP="00172E64">
      <w:pPr>
        <w:pStyle w:val="ListParagraph"/>
        <w:numPr>
          <w:ilvl w:val="0"/>
          <w:numId w:val="91"/>
        </w:numPr>
        <w:jc w:val="both"/>
        <w:rPr>
          <w:rFonts w:ascii="Arial" w:hAnsi="Arial"/>
          <w:sz w:val="22"/>
        </w:rPr>
      </w:pPr>
      <w:r>
        <w:rPr>
          <w:rFonts w:ascii="Arial" w:hAnsi="Arial"/>
          <w:sz w:val="22"/>
        </w:rPr>
        <w:t>Modular Ratio shall be 0.1</w:t>
      </w:r>
    </w:p>
    <w:p w14:paraId="6259CB18" w14:textId="77777777" w:rsidR="001A15B9" w:rsidRDefault="00604184" w:rsidP="00172E64">
      <w:pPr>
        <w:pStyle w:val="ListParagraph"/>
        <w:numPr>
          <w:ilvl w:val="0"/>
          <w:numId w:val="91"/>
        </w:numPr>
        <w:jc w:val="both"/>
        <w:rPr>
          <w:rFonts w:ascii="Arial" w:hAnsi="Arial"/>
          <w:sz w:val="22"/>
        </w:rPr>
      </w:pPr>
      <w:r>
        <w:rPr>
          <w:rFonts w:ascii="Arial" w:hAnsi="Arial"/>
          <w:sz w:val="22"/>
        </w:rPr>
        <w:t>Check the box for Slab Correction</w:t>
      </w:r>
    </w:p>
    <w:p w14:paraId="29D154ED" w14:textId="77777777" w:rsidR="001A15B9" w:rsidRDefault="00604184" w:rsidP="00172E64">
      <w:pPr>
        <w:pStyle w:val="ListParagraph"/>
        <w:numPr>
          <w:ilvl w:val="0"/>
          <w:numId w:val="91"/>
        </w:numPr>
        <w:jc w:val="both"/>
        <w:rPr>
          <w:rFonts w:ascii="Arial" w:hAnsi="Arial"/>
          <w:sz w:val="22"/>
        </w:rPr>
      </w:pPr>
      <w:r>
        <w:rPr>
          <w:rFonts w:ascii="Arial" w:hAnsi="Arial"/>
          <w:sz w:val="22"/>
        </w:rPr>
        <w:t>Input the slab width and length</w:t>
      </w:r>
    </w:p>
    <w:p w14:paraId="5EB3CF94" w14:textId="77777777" w:rsidR="001A15B9" w:rsidRDefault="00604184" w:rsidP="00172E64">
      <w:pPr>
        <w:pStyle w:val="ListParagraph"/>
        <w:numPr>
          <w:ilvl w:val="0"/>
          <w:numId w:val="91"/>
        </w:numPr>
        <w:jc w:val="both"/>
        <w:rPr>
          <w:rFonts w:ascii="Arial" w:hAnsi="Arial"/>
          <w:sz w:val="22"/>
        </w:rPr>
      </w:pPr>
      <w:r>
        <w:rPr>
          <w:rFonts w:ascii="Arial" w:hAnsi="Arial"/>
          <w:sz w:val="22"/>
        </w:rPr>
        <w:t>The Dynamic to Static factor should be 0.5</w:t>
      </w:r>
    </w:p>
    <w:p w14:paraId="332F458C" w14:textId="77777777" w:rsidR="00604184" w:rsidRDefault="00604184" w:rsidP="00604184">
      <w:pPr>
        <w:ind w:left="1080"/>
        <w:jc w:val="both"/>
        <w:rPr>
          <w:rFonts w:ascii="Arial" w:hAnsi="Arial"/>
          <w:sz w:val="22"/>
        </w:rPr>
      </w:pPr>
    </w:p>
    <w:p w14:paraId="378BCB1A" w14:textId="77777777" w:rsidR="00604184" w:rsidRDefault="00604184" w:rsidP="00604184">
      <w:pPr>
        <w:ind w:left="1080"/>
        <w:jc w:val="both"/>
        <w:rPr>
          <w:rFonts w:ascii="Arial" w:hAnsi="Arial"/>
          <w:sz w:val="22"/>
        </w:rPr>
      </w:pPr>
    </w:p>
    <w:p w14:paraId="08FB639D" w14:textId="77777777" w:rsidR="00604184" w:rsidRDefault="005972F4" w:rsidP="00604184">
      <w:pPr>
        <w:ind w:left="1080"/>
        <w:jc w:val="center"/>
        <w:rPr>
          <w:rFonts w:ascii="Arial" w:hAnsi="Arial"/>
          <w:sz w:val="22"/>
        </w:rPr>
      </w:pPr>
      <w:r>
        <w:rPr>
          <w:rFonts w:ascii="Arial" w:hAnsi="Arial"/>
          <w:noProof/>
          <w:sz w:val="22"/>
        </w:rPr>
        <w:lastRenderedPageBreak/>
        <w:drawing>
          <wp:inline distT="0" distB="0" distL="0" distR="0" wp14:anchorId="08DE8B30" wp14:editId="5481179C">
            <wp:extent cx="2910121" cy="2070340"/>
            <wp:effectExtent l="19050" t="0" r="4529" b="0"/>
            <wp:docPr id="20" name="Picture 407"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07" descr="Deflexus screen shot"/>
                    <pic:cNvPicPr>
                      <a:picLocks noChangeAspect="1" noChangeArrowheads="1"/>
                    </pic:cNvPicPr>
                  </pic:nvPicPr>
                  <pic:blipFill>
                    <a:blip r:embed="rId171" cstate="print"/>
                    <a:srcRect l="438" t="36099" r="76126" b="38463"/>
                    <a:stretch>
                      <a:fillRect/>
                    </a:stretch>
                  </pic:blipFill>
                  <pic:spPr bwMode="auto">
                    <a:xfrm>
                      <a:off x="0" y="0"/>
                      <a:ext cx="2910121" cy="2070340"/>
                    </a:xfrm>
                    <a:prstGeom prst="rect">
                      <a:avLst/>
                    </a:prstGeom>
                    <a:noFill/>
                    <a:ln w="9525">
                      <a:noFill/>
                      <a:miter lim="800000"/>
                      <a:headEnd/>
                      <a:tailEnd/>
                    </a:ln>
                  </pic:spPr>
                </pic:pic>
              </a:graphicData>
            </a:graphic>
          </wp:inline>
        </w:drawing>
      </w:r>
    </w:p>
    <w:p w14:paraId="58D658DC" w14:textId="77777777" w:rsidR="003B4369" w:rsidRDefault="003B4369" w:rsidP="00604184">
      <w:pPr>
        <w:ind w:left="1080"/>
        <w:jc w:val="both"/>
        <w:rPr>
          <w:rFonts w:ascii="Arial" w:hAnsi="Arial"/>
          <w:sz w:val="22"/>
        </w:rPr>
      </w:pPr>
    </w:p>
    <w:p w14:paraId="2F29363C" w14:textId="77777777" w:rsidR="00604184" w:rsidRDefault="00604184" w:rsidP="00604184">
      <w:pPr>
        <w:ind w:left="1080"/>
        <w:jc w:val="both"/>
        <w:rPr>
          <w:rFonts w:ascii="Arial" w:hAnsi="Arial"/>
          <w:sz w:val="22"/>
        </w:rPr>
      </w:pPr>
      <w:r>
        <w:rPr>
          <w:rFonts w:ascii="Arial" w:hAnsi="Arial"/>
          <w:sz w:val="22"/>
        </w:rPr>
        <w:t>In the “Lane-Tests Selected” area, make sure that only Basin and Leave Joint tests have a check mark.  Hit F5 to save the updates.</w:t>
      </w:r>
    </w:p>
    <w:p w14:paraId="5B12581D" w14:textId="18BF10C5" w:rsidR="001A15B9" w:rsidRDefault="00E67246" w:rsidP="00172E64">
      <w:pPr>
        <w:pStyle w:val="ListNumber"/>
        <w:numPr>
          <w:ilvl w:val="0"/>
          <w:numId w:val="90"/>
        </w:numPr>
        <w:tabs>
          <w:tab w:val="clear" w:pos="1872"/>
        </w:tabs>
        <w:ind w:left="1080" w:hanging="1080"/>
        <w:jc w:val="both"/>
      </w:pPr>
      <w:r>
        <w:t>To export the results into Excel, right-click “LayerMod1” (or whatever it was re-named), and click on “Export to HTML</w:t>
      </w:r>
      <w:r w:rsidR="003B4369">
        <w:t>.</w:t>
      </w:r>
      <w:r>
        <w:t xml:space="preserve">”  Save this file into the project folder.  </w:t>
      </w:r>
    </w:p>
    <w:p w14:paraId="69CB32D7" w14:textId="77777777" w:rsidR="00E67246" w:rsidRDefault="00E67246" w:rsidP="006E41DE">
      <w:pPr>
        <w:pStyle w:val="BodyText"/>
        <w:spacing w:after="0"/>
        <w:ind w:left="1080"/>
        <w:jc w:val="both"/>
      </w:pPr>
    </w:p>
    <w:p w14:paraId="336A47EF" w14:textId="77777777" w:rsidR="00E67246" w:rsidRPr="00353A67" w:rsidRDefault="005972F4" w:rsidP="00E67246">
      <w:pPr>
        <w:pStyle w:val="BodyText"/>
        <w:ind w:left="1080"/>
        <w:jc w:val="center"/>
      </w:pPr>
      <w:r>
        <w:rPr>
          <w:noProof/>
        </w:rPr>
        <w:drawing>
          <wp:inline distT="0" distB="0" distL="0" distR="0" wp14:anchorId="5EB86CE0" wp14:editId="6D407B82">
            <wp:extent cx="2657928" cy="2087593"/>
            <wp:effectExtent l="19050" t="0" r="9072" b="0"/>
            <wp:docPr id="742" name="Picture 181" descr="Deflexus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Picture 181" descr="Deflexus screen shot"/>
                    <pic:cNvPicPr>
                      <a:picLocks noChangeAspect="1" noChangeArrowheads="1"/>
                    </pic:cNvPicPr>
                  </pic:nvPicPr>
                  <pic:blipFill>
                    <a:blip r:embed="rId172" cstate="print"/>
                    <a:srcRect t="64257" r="74710" b="4603"/>
                    <a:stretch>
                      <a:fillRect/>
                    </a:stretch>
                  </pic:blipFill>
                  <pic:spPr bwMode="auto">
                    <a:xfrm>
                      <a:off x="0" y="0"/>
                      <a:ext cx="2664042" cy="2092395"/>
                    </a:xfrm>
                    <a:prstGeom prst="rect">
                      <a:avLst/>
                    </a:prstGeom>
                    <a:noFill/>
                    <a:ln w="9525">
                      <a:noFill/>
                      <a:miter lim="800000"/>
                      <a:headEnd/>
                      <a:tailEnd/>
                    </a:ln>
                  </pic:spPr>
                </pic:pic>
              </a:graphicData>
            </a:graphic>
          </wp:inline>
        </w:drawing>
      </w:r>
    </w:p>
    <w:p w14:paraId="0F566FE6" w14:textId="77777777" w:rsidR="00E67246" w:rsidRPr="00353A67" w:rsidRDefault="00E67246" w:rsidP="00E67246">
      <w:pPr>
        <w:jc w:val="both"/>
        <w:rPr>
          <w:rFonts w:ascii="Arial" w:hAnsi="Arial"/>
          <w:sz w:val="22"/>
        </w:rPr>
      </w:pPr>
    </w:p>
    <w:p w14:paraId="020F7664" w14:textId="77777777" w:rsidR="00E67246" w:rsidRDefault="00E67246" w:rsidP="00E67246">
      <w:pPr>
        <w:ind w:left="1080"/>
        <w:jc w:val="both"/>
        <w:rPr>
          <w:rFonts w:ascii="Arial" w:hAnsi="Arial"/>
          <w:sz w:val="22"/>
        </w:rPr>
      </w:pPr>
      <w:r w:rsidRPr="00353A67">
        <w:rPr>
          <w:rFonts w:ascii="Arial" w:hAnsi="Arial"/>
          <w:sz w:val="22"/>
        </w:rPr>
        <w:t>Open Excel</w:t>
      </w:r>
      <w:r>
        <w:rPr>
          <w:rFonts w:ascii="Arial" w:hAnsi="Arial"/>
          <w:sz w:val="22"/>
        </w:rPr>
        <w:t xml:space="preserve"> and</w:t>
      </w:r>
      <w:r w:rsidRPr="00353A67">
        <w:rPr>
          <w:rFonts w:ascii="Arial" w:hAnsi="Arial"/>
          <w:sz w:val="22"/>
        </w:rPr>
        <w:t xml:space="preserve"> then open the exported file</w:t>
      </w:r>
      <w:r>
        <w:rPr>
          <w:rFonts w:ascii="Arial" w:hAnsi="Arial"/>
          <w:sz w:val="22"/>
        </w:rPr>
        <w:t xml:space="preserve">.  The “Calc” tab can be used for any desired sectioning and regrouping.  </w:t>
      </w:r>
    </w:p>
    <w:p w14:paraId="263D97C5" w14:textId="2CAE65A6" w:rsidR="001A15B9" w:rsidRDefault="00AE2B2D" w:rsidP="00172E64">
      <w:pPr>
        <w:pStyle w:val="ListNumber"/>
        <w:numPr>
          <w:ilvl w:val="0"/>
          <w:numId w:val="90"/>
        </w:numPr>
        <w:tabs>
          <w:tab w:val="clear" w:pos="1872"/>
        </w:tabs>
        <w:ind w:left="1080" w:hanging="1080"/>
        <w:jc w:val="both"/>
      </w:pPr>
      <w:r>
        <w:t>For flexible pavements, p</w:t>
      </w:r>
      <w:r w:rsidR="00E67246">
        <w:t>rint the “plot1</w:t>
      </w:r>
      <w:r w:rsidR="003B4369">
        <w:t>,</w:t>
      </w:r>
      <w:r w:rsidR="00E67246">
        <w:t>” “plot2</w:t>
      </w:r>
      <w:r w:rsidR="003B4369">
        <w:t>,</w:t>
      </w:r>
      <w:r w:rsidR="00E67246">
        <w:t>” and “stats” worksheets</w:t>
      </w:r>
      <w:r>
        <w:t xml:space="preserve">.  For rigid or composite pavements, print the plots that have K Finite, and whichever ones have E, and the “stats” worksheets.  Before printing, ensure that the plots refer to the correct data (this does not always happen). </w:t>
      </w:r>
      <w:r w:rsidR="00E67246">
        <w:t xml:space="preserve"> </w:t>
      </w:r>
      <w:r>
        <w:t>P</w:t>
      </w:r>
      <w:r w:rsidR="00E67246">
        <w:t>lace in the project folder.</w:t>
      </w:r>
    </w:p>
    <w:p w14:paraId="23F43850" w14:textId="77777777" w:rsidR="001A15B9" w:rsidRDefault="00AE2B2D" w:rsidP="00172E64">
      <w:pPr>
        <w:pStyle w:val="ListNumber"/>
        <w:numPr>
          <w:ilvl w:val="0"/>
          <w:numId w:val="90"/>
        </w:numPr>
        <w:tabs>
          <w:tab w:val="clear" w:pos="1872"/>
        </w:tabs>
        <w:ind w:left="1080" w:hanging="1080"/>
        <w:jc w:val="both"/>
      </w:pPr>
      <w:r>
        <w:t>For flexible pavements, e</w:t>
      </w:r>
      <w:r w:rsidR="00E67246">
        <w:t>yeball the M</w:t>
      </w:r>
      <w:r w:rsidR="00E67246" w:rsidRPr="006E41DE">
        <w:rPr>
          <w:vertAlign w:val="subscript"/>
        </w:rPr>
        <w:t>r</w:t>
      </w:r>
      <w:r w:rsidR="00E67246">
        <w:t xml:space="preserve"> and E</w:t>
      </w:r>
      <w:r w:rsidR="00E67246" w:rsidRPr="006E41DE">
        <w:rPr>
          <w:vertAlign w:val="subscript"/>
        </w:rPr>
        <w:t>p</w:t>
      </w:r>
      <w:r w:rsidR="00E67246">
        <w:t xml:space="preserve"> plots to get the average M</w:t>
      </w:r>
      <w:r w:rsidR="00E67246" w:rsidRPr="006E41DE">
        <w:rPr>
          <w:vertAlign w:val="subscript"/>
        </w:rPr>
        <w:t>r</w:t>
      </w:r>
      <w:r w:rsidR="00E67246">
        <w:t xml:space="preserve"> and E</w:t>
      </w:r>
      <w:r w:rsidR="00E67246" w:rsidRPr="006E41DE">
        <w:rPr>
          <w:vertAlign w:val="subscript"/>
        </w:rPr>
        <w:t>p</w:t>
      </w:r>
      <w:r w:rsidR="00E67246">
        <w:t xml:space="preserve"> values to use in design.  These should be approximate to the median average.  Note the chosen values on the “stats” worksheet. </w:t>
      </w:r>
      <w:r w:rsidR="00E67246" w:rsidRPr="005E2181">
        <w:t xml:space="preserve"> </w:t>
      </w:r>
    </w:p>
    <w:p w14:paraId="6B211413" w14:textId="77777777" w:rsidR="001A15B9" w:rsidRDefault="00AE2B2D" w:rsidP="00172E64">
      <w:pPr>
        <w:pStyle w:val="ListNumber"/>
        <w:numPr>
          <w:ilvl w:val="0"/>
          <w:numId w:val="90"/>
        </w:numPr>
        <w:tabs>
          <w:tab w:val="clear" w:pos="1872"/>
        </w:tabs>
        <w:ind w:left="1080" w:hanging="1080"/>
        <w:jc w:val="both"/>
      </w:pPr>
      <w:r>
        <w:t>For rigid or composite pavements, e</w:t>
      </w:r>
      <w:r w:rsidR="00E67246">
        <w:t xml:space="preserve">yeball the K Finite and E plots to get the average K and E values to use in design.  These should be approximate to the median average.  Note the chosen </w:t>
      </w:r>
      <w:r w:rsidR="00E67246" w:rsidRPr="000E6ED6">
        <w:t>values on the “stats” worksheet.  K Finite shall be used in the design.</w:t>
      </w:r>
    </w:p>
    <w:p w14:paraId="6F0C13E3" w14:textId="77777777" w:rsidR="00E67246" w:rsidRPr="000E6ED6" w:rsidRDefault="00E67246" w:rsidP="00E67246">
      <w:pPr>
        <w:jc w:val="both"/>
        <w:rPr>
          <w:rFonts w:ascii="Arial" w:hAnsi="Arial"/>
          <w:sz w:val="22"/>
        </w:rPr>
      </w:pPr>
    </w:p>
    <w:p w14:paraId="3D63D663" w14:textId="77777777" w:rsidR="00E67246" w:rsidRDefault="00E67246" w:rsidP="00E67246">
      <w:pPr>
        <w:pStyle w:val="BodyText"/>
        <w:jc w:val="both"/>
        <w:sectPr w:rsidR="00E67246" w:rsidSect="003B4369">
          <w:headerReference w:type="default" r:id="rId173"/>
          <w:footerReference w:type="default" r:id="rId174"/>
          <w:pgSz w:w="12240" w:h="15840"/>
          <w:pgMar w:top="1440" w:right="1800" w:bottom="1440" w:left="1800" w:header="720" w:footer="720" w:gutter="0"/>
          <w:pgNumType w:chapStyle="1"/>
          <w:cols w:space="720"/>
          <w:docGrid w:linePitch="272"/>
        </w:sectPr>
      </w:pPr>
    </w:p>
    <w:p w14:paraId="3A247599" w14:textId="1FEEE963" w:rsidR="00A95AF4" w:rsidRDefault="00A95AF4" w:rsidP="00A95AF4">
      <w:pPr>
        <w:pStyle w:val="Heading2"/>
        <w:ind w:left="0" w:firstLine="0"/>
      </w:pPr>
      <w:bookmarkStart w:id="259" w:name="_Processing_Boring/Laboratory_Data_1"/>
      <w:bookmarkStart w:id="260" w:name="_Toc479160099"/>
      <w:bookmarkStart w:id="261" w:name="_Toc514057988"/>
      <w:bookmarkStart w:id="262" w:name="_Toc194932384"/>
      <w:bookmarkEnd w:id="238"/>
      <w:bookmarkEnd w:id="259"/>
      <w:r>
        <w:lastRenderedPageBreak/>
        <w:t>Processing Boring/Laboratory Data</w:t>
      </w:r>
      <w:bookmarkEnd w:id="260"/>
      <w:bookmarkEnd w:id="261"/>
      <w:bookmarkEnd w:id="262"/>
    </w:p>
    <w:p w14:paraId="23C03C0F" w14:textId="77777777" w:rsidR="00A95AF4" w:rsidRPr="008F604D" w:rsidRDefault="00A95AF4" w:rsidP="00A95AF4">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tormwater_Management" w:history="1">
        <w:r w:rsidRPr="00ED4A45">
          <w:rPr>
            <w:rStyle w:val="Hyperlink"/>
            <w:rFonts w:ascii="Arial" w:hAnsi="Arial" w:cs="Arial"/>
            <w:bCs/>
            <w:sz w:val="16"/>
            <w:szCs w:val="16"/>
          </w:rPr>
          <w:t>Stormwater Management</w:t>
        </w:r>
      </w:hyperlink>
    </w:p>
    <w:p w14:paraId="20CCDE3F" w14:textId="77777777" w:rsidR="00A95AF4" w:rsidRPr="00D87366" w:rsidRDefault="00A95AF4" w:rsidP="00A95AF4"/>
    <w:p w14:paraId="6E76E5B5" w14:textId="397E660D" w:rsidR="00A95AF4" w:rsidRDefault="00A95AF4" w:rsidP="00A95AF4">
      <w:pPr>
        <w:pStyle w:val="BodyText"/>
        <w:spacing w:after="0"/>
        <w:jc w:val="both"/>
      </w:pPr>
      <w:r>
        <w:t xml:space="preserve">This section presents the processing of the boring and laboratory data for conventionally advertised projects and Design-Build projects after the drilling and subsequent testing of soil samples </w:t>
      </w:r>
      <w:r w:rsidR="003B4369">
        <w:t xml:space="preserve">are </w:t>
      </w:r>
      <w:r>
        <w:t xml:space="preserve">performed.   </w:t>
      </w:r>
    </w:p>
    <w:p w14:paraId="62575440" w14:textId="77777777" w:rsidR="00A95AF4" w:rsidRDefault="00A95AF4" w:rsidP="00A95AF4">
      <w:pPr>
        <w:pStyle w:val="BodyText"/>
        <w:spacing w:after="0"/>
        <w:jc w:val="both"/>
      </w:pPr>
    </w:p>
    <w:p w14:paraId="4B48130F" w14:textId="2E17DD5C" w:rsidR="00A95AF4" w:rsidRDefault="00A95AF4" w:rsidP="00A95AF4">
      <w:pPr>
        <w:pStyle w:val="BodyText"/>
        <w:spacing w:after="0"/>
        <w:jc w:val="both"/>
      </w:pPr>
      <w:r w:rsidRPr="00CA5C46">
        <w:t>Conventionally Advertised Projects (Design-Bid-Build):</w:t>
      </w:r>
      <w:r>
        <w:t xml:space="preserve"> All projects where design is performed in-house or by the consultants working for the agency. Design typically includes </w:t>
      </w:r>
      <w:r w:rsidR="003B4369">
        <w:t xml:space="preserve">a </w:t>
      </w:r>
      <w:r>
        <w:t xml:space="preserve">wide range of services not limited to geotechnical investigations, pavement design, bridge design, embankments, sinkhole remediation, stormwater management facilities design, etc. After the designs are complete, the project is advertised for bidding and construction. </w:t>
      </w:r>
    </w:p>
    <w:p w14:paraId="2710114C" w14:textId="77777777" w:rsidR="00A95AF4" w:rsidRDefault="00A95AF4" w:rsidP="00A95AF4">
      <w:pPr>
        <w:pStyle w:val="BodyText"/>
        <w:spacing w:after="0"/>
        <w:jc w:val="both"/>
      </w:pPr>
    </w:p>
    <w:p w14:paraId="2E746B33" w14:textId="6B108C9E" w:rsidR="00A95AF4" w:rsidRPr="000E1050" w:rsidRDefault="00A95AF4" w:rsidP="00A95AF4">
      <w:pPr>
        <w:pStyle w:val="BodyText"/>
        <w:spacing w:after="0"/>
        <w:jc w:val="both"/>
        <w:rPr>
          <w:szCs w:val="22"/>
        </w:rPr>
      </w:pPr>
      <w:r>
        <w:t>Design-Build</w:t>
      </w:r>
      <w:r w:rsidRPr="00CA5C46">
        <w:t xml:space="preserve"> Projects:</w:t>
      </w:r>
      <w:r>
        <w:t xml:space="preserve"> </w:t>
      </w:r>
      <w:r w:rsidRPr="00637854">
        <w:rPr>
          <w:rFonts w:cs="Arial"/>
          <w:szCs w:val="22"/>
        </w:rPr>
        <w:t xml:space="preserve">The Office of Highway Development (OHD) has explored the </w:t>
      </w:r>
      <w:r>
        <w:rPr>
          <w:rFonts w:cs="Arial"/>
          <w:szCs w:val="22"/>
        </w:rPr>
        <w:t>Design-Build</w:t>
      </w:r>
      <w:r w:rsidRPr="00637854">
        <w:rPr>
          <w:rFonts w:cs="Arial"/>
          <w:szCs w:val="22"/>
        </w:rPr>
        <w:t xml:space="preserve"> method as a means to deliver projects to meet the demands of more projects, faster and within budget. This method of contracting also provides the benefits of shifting responsibility and risks to a single source -- the design-build team. The design-build method can shorten delivery project time; foster innovation and creativity in design and construction techniques</w:t>
      </w:r>
      <w:r w:rsidR="003B4369">
        <w:rPr>
          <w:rFonts w:cs="Arial"/>
          <w:szCs w:val="22"/>
        </w:rPr>
        <w:t>;</w:t>
      </w:r>
      <w:r w:rsidRPr="00637854">
        <w:rPr>
          <w:rFonts w:cs="Arial"/>
          <w:szCs w:val="22"/>
        </w:rPr>
        <w:t xml:space="preserve"> reduce change orders, disputes and claims</w:t>
      </w:r>
      <w:r w:rsidR="003B4369">
        <w:rPr>
          <w:rFonts w:cs="Arial"/>
          <w:szCs w:val="22"/>
        </w:rPr>
        <w:t>;</w:t>
      </w:r>
      <w:r>
        <w:rPr>
          <w:rFonts w:cs="Arial"/>
          <w:szCs w:val="22"/>
        </w:rPr>
        <w:t xml:space="preserve"> and reduce the urge of the owner</w:t>
      </w:r>
      <w:r w:rsidRPr="00637854">
        <w:rPr>
          <w:rFonts w:cs="Arial"/>
          <w:szCs w:val="22"/>
        </w:rPr>
        <w:t xml:space="preserve"> to make changes. Design-build can allow owners to know the total cost</w:t>
      </w:r>
      <w:r>
        <w:rPr>
          <w:rFonts w:cs="Arial"/>
          <w:szCs w:val="22"/>
        </w:rPr>
        <w:t xml:space="preserve"> up front</w:t>
      </w:r>
      <w:r w:rsidRPr="00637854">
        <w:rPr>
          <w:rFonts w:cs="Arial"/>
          <w:szCs w:val="22"/>
        </w:rPr>
        <w:t>.</w:t>
      </w:r>
      <w:r>
        <w:rPr>
          <w:rFonts w:cs="Arial"/>
          <w:szCs w:val="22"/>
        </w:rPr>
        <w:t xml:space="preserve"> For Design-Build projects, minimal geotechnical investigation is performed to know in advance if any uncertainties are involved which might increase the cost on bidding. Design is not performed by the Client (State)</w:t>
      </w:r>
      <w:r w:rsidR="003B4369">
        <w:rPr>
          <w:rFonts w:cs="Arial"/>
          <w:szCs w:val="22"/>
        </w:rPr>
        <w:t>,</w:t>
      </w:r>
      <w:r>
        <w:rPr>
          <w:rFonts w:cs="Arial"/>
          <w:szCs w:val="22"/>
        </w:rPr>
        <w:t xml:space="preserve"> but the design staff </w:t>
      </w:r>
      <w:r w:rsidRPr="000E1050">
        <w:rPr>
          <w:rFonts w:cs="Arial"/>
          <w:szCs w:val="22"/>
        </w:rPr>
        <w:t>review</w:t>
      </w:r>
      <w:r>
        <w:rPr>
          <w:rFonts w:cs="Arial"/>
          <w:szCs w:val="22"/>
        </w:rPr>
        <w:t>s</w:t>
      </w:r>
      <w:r w:rsidRPr="000E1050">
        <w:rPr>
          <w:rFonts w:cs="Arial"/>
          <w:szCs w:val="22"/>
        </w:rPr>
        <w:t xml:space="preserve"> project designs submitted by the </w:t>
      </w:r>
      <w:r>
        <w:rPr>
          <w:rFonts w:cs="Arial"/>
          <w:szCs w:val="22"/>
        </w:rPr>
        <w:t xml:space="preserve">Design-Build </w:t>
      </w:r>
      <w:r w:rsidRPr="000E1050">
        <w:rPr>
          <w:rFonts w:cs="Arial"/>
          <w:szCs w:val="22"/>
        </w:rPr>
        <w:t>team for compliance with standards and the project IFB</w:t>
      </w:r>
      <w:r>
        <w:rPr>
          <w:rFonts w:cs="Arial"/>
          <w:szCs w:val="22"/>
        </w:rPr>
        <w:t xml:space="preserve">. </w:t>
      </w:r>
      <w:r w:rsidRPr="000E1050">
        <w:rPr>
          <w:rFonts w:cs="Arial"/>
          <w:szCs w:val="22"/>
        </w:rPr>
        <w:t>The construction management staff monitors the project to ensure safety, compliance with project criteria, and oversee the design-build team</w:t>
      </w:r>
      <w:r w:rsidR="003B4369">
        <w:rPr>
          <w:rFonts w:cs="Arial"/>
          <w:szCs w:val="22"/>
        </w:rPr>
        <w:t>'</w:t>
      </w:r>
      <w:r w:rsidRPr="000E1050">
        <w:rPr>
          <w:rFonts w:cs="Arial"/>
          <w:szCs w:val="22"/>
        </w:rPr>
        <w:t>s public relations efforts and payment/progress records.</w:t>
      </w:r>
    </w:p>
    <w:p w14:paraId="43414E28" w14:textId="77777777" w:rsidR="00A95AF4" w:rsidRDefault="00A95AF4" w:rsidP="00A95AF4">
      <w:pPr>
        <w:pStyle w:val="BodyText"/>
        <w:spacing w:after="0"/>
        <w:jc w:val="both"/>
      </w:pPr>
    </w:p>
    <w:p w14:paraId="3B602B13" w14:textId="77777777" w:rsidR="00A95AF4" w:rsidRDefault="00A95AF4" w:rsidP="00A95AF4">
      <w:pPr>
        <w:pStyle w:val="BodyText"/>
        <w:spacing w:after="0"/>
        <w:jc w:val="both"/>
      </w:pPr>
      <w:r>
        <w:t xml:space="preserve">Soils information obtained from borings should be part of the Contract Documents for use by the Contractor. </w:t>
      </w:r>
    </w:p>
    <w:p w14:paraId="736149DF" w14:textId="77777777" w:rsidR="00A95AF4" w:rsidRPr="00675A40" w:rsidRDefault="00A95AF4" w:rsidP="006E41DE">
      <w:pPr>
        <w:pStyle w:val="Heading3"/>
        <w:ind w:left="1440" w:hanging="1440"/>
      </w:pPr>
      <w:bookmarkStart w:id="263" w:name="_Format_–_Soil"/>
      <w:bookmarkEnd w:id="263"/>
      <w:r>
        <w:t>Format – Soil Classifications</w:t>
      </w:r>
    </w:p>
    <w:p w14:paraId="765BE546" w14:textId="74EF845A" w:rsidR="00A95AF4" w:rsidRPr="00910DC7" w:rsidRDefault="00A95AF4" w:rsidP="006E41DE">
      <w:pPr>
        <w:pStyle w:val="BodyText"/>
        <w:spacing w:after="0"/>
        <w:jc w:val="both"/>
        <w:rPr>
          <w:rFonts w:cs="Arial"/>
          <w:szCs w:val="22"/>
        </w:rPr>
      </w:pPr>
      <w:r w:rsidRPr="00910DC7">
        <w:rPr>
          <w:rFonts w:cs="Arial"/>
          <w:szCs w:val="22"/>
        </w:rPr>
        <w:t>This section involves the different soil classification methods used in Maryland for highway</w:t>
      </w:r>
      <w:r w:rsidR="00C735C1">
        <w:rPr>
          <w:rFonts w:cs="Arial"/>
          <w:szCs w:val="22"/>
        </w:rPr>
        <w:t>-</w:t>
      </w:r>
      <w:r w:rsidRPr="00910DC7">
        <w:rPr>
          <w:rFonts w:cs="Arial"/>
          <w:szCs w:val="22"/>
        </w:rPr>
        <w:t xml:space="preserve">related projects. </w:t>
      </w:r>
    </w:p>
    <w:p w14:paraId="3E77929C" w14:textId="77777777" w:rsidR="00A95AF4" w:rsidRPr="00910DC7" w:rsidRDefault="00A95AF4" w:rsidP="006E41DE">
      <w:pPr>
        <w:pStyle w:val="BodyText"/>
        <w:spacing w:after="0"/>
        <w:jc w:val="both"/>
        <w:rPr>
          <w:rFonts w:cs="Arial"/>
          <w:szCs w:val="22"/>
        </w:rPr>
      </w:pPr>
    </w:p>
    <w:p w14:paraId="0C403EF8" w14:textId="03263464" w:rsidR="00A95AF4" w:rsidRPr="00910DC7" w:rsidRDefault="00A95AF4" w:rsidP="006E41DE">
      <w:pPr>
        <w:pStyle w:val="BodyText"/>
        <w:spacing w:after="0"/>
        <w:jc w:val="both"/>
        <w:rPr>
          <w:rFonts w:cs="Arial"/>
          <w:szCs w:val="22"/>
        </w:rPr>
      </w:pPr>
      <w:r w:rsidRPr="00910DC7">
        <w:rPr>
          <w:rFonts w:cs="Arial"/>
          <w:szCs w:val="22"/>
        </w:rPr>
        <w:t>Generally, AASHTO (American Association of State Highway Transportation Official) soils classification is preferred in classifying soils for highway related project</w:t>
      </w:r>
      <w:r w:rsidR="003B4369">
        <w:rPr>
          <w:rFonts w:cs="Arial"/>
          <w:szCs w:val="22"/>
        </w:rPr>
        <w:t>s</w:t>
      </w:r>
      <w:r w:rsidRPr="00910DC7">
        <w:rPr>
          <w:rFonts w:cs="Arial"/>
          <w:szCs w:val="22"/>
        </w:rPr>
        <w:t xml:space="preserve"> as it is widely accepted and used in the Highway Industry. See</w:t>
      </w:r>
      <w:r>
        <w:rPr>
          <w:rFonts w:cs="Arial"/>
          <w:szCs w:val="22"/>
        </w:rPr>
        <w:t xml:space="preserve"> </w:t>
      </w:r>
      <w:hyperlink w:anchor="_AASHTO_Soil_Classification" w:history="1">
        <w:r w:rsidRPr="006062F4">
          <w:rPr>
            <w:rStyle w:val="Hyperlink"/>
            <w:rFonts w:cs="Arial"/>
            <w:szCs w:val="22"/>
          </w:rPr>
          <w:t>AASHTO Soil Classification</w:t>
        </w:r>
      </w:hyperlink>
      <w:r w:rsidRPr="00910DC7">
        <w:rPr>
          <w:rFonts w:cs="Arial"/>
          <w:szCs w:val="22"/>
        </w:rPr>
        <w:t xml:space="preserve"> for soils classifications based on gradations and index properties. </w:t>
      </w:r>
    </w:p>
    <w:p w14:paraId="17BC70D6" w14:textId="77777777" w:rsidR="00A95AF4" w:rsidRPr="00910DC7" w:rsidRDefault="00A95AF4" w:rsidP="003B4369">
      <w:pPr>
        <w:pStyle w:val="BodyText"/>
        <w:spacing w:after="0"/>
        <w:jc w:val="both"/>
        <w:rPr>
          <w:rFonts w:cs="Arial"/>
          <w:szCs w:val="22"/>
        </w:rPr>
      </w:pPr>
    </w:p>
    <w:p w14:paraId="334172D2" w14:textId="77777777" w:rsidR="00A95AF4" w:rsidRPr="00910DC7" w:rsidRDefault="00A95AF4" w:rsidP="003B4369">
      <w:pPr>
        <w:pStyle w:val="BodyText"/>
        <w:spacing w:after="0"/>
        <w:jc w:val="both"/>
        <w:rPr>
          <w:rFonts w:cs="Arial"/>
          <w:szCs w:val="22"/>
        </w:rPr>
      </w:pPr>
      <w:r w:rsidRPr="00910DC7">
        <w:rPr>
          <w:rFonts w:cs="Arial"/>
          <w:szCs w:val="22"/>
        </w:rPr>
        <w:t>USDA (United States Department of Agriculture) method of soil classification is another method which is widely used in design of Storm Water Management Facilities. See</w:t>
      </w:r>
      <w:r>
        <w:rPr>
          <w:rFonts w:cs="Arial"/>
          <w:szCs w:val="22"/>
        </w:rPr>
        <w:t xml:space="preserve"> </w:t>
      </w:r>
      <w:hyperlink w:anchor="_USDA_Soil_Classification" w:history="1">
        <w:r w:rsidRPr="006062F4">
          <w:rPr>
            <w:rStyle w:val="Hyperlink"/>
            <w:rFonts w:cs="Arial"/>
            <w:szCs w:val="22"/>
          </w:rPr>
          <w:t>USDA Soil Classification</w:t>
        </w:r>
      </w:hyperlink>
      <w:r w:rsidRPr="00910DC7">
        <w:rPr>
          <w:rFonts w:cs="Arial"/>
          <w:szCs w:val="22"/>
        </w:rPr>
        <w:t xml:space="preserve"> for soils classifications based on typical grading.</w:t>
      </w:r>
    </w:p>
    <w:p w14:paraId="70DEBB27" w14:textId="77777777" w:rsidR="00A95AF4" w:rsidRPr="00910DC7" w:rsidRDefault="00A95AF4" w:rsidP="003B4369">
      <w:pPr>
        <w:pStyle w:val="BodyText"/>
        <w:spacing w:after="0"/>
        <w:jc w:val="both"/>
        <w:rPr>
          <w:rFonts w:cs="Arial"/>
          <w:szCs w:val="22"/>
        </w:rPr>
      </w:pPr>
    </w:p>
    <w:p w14:paraId="2BBEB158" w14:textId="77777777" w:rsidR="00A95AF4" w:rsidRPr="00910DC7" w:rsidRDefault="00A95AF4" w:rsidP="003B4369">
      <w:pPr>
        <w:pStyle w:val="BodyText"/>
        <w:spacing w:after="0"/>
        <w:jc w:val="both"/>
        <w:rPr>
          <w:rFonts w:cs="Arial"/>
          <w:szCs w:val="22"/>
        </w:rPr>
      </w:pPr>
      <w:r w:rsidRPr="00910DC7">
        <w:rPr>
          <w:rFonts w:cs="Arial"/>
          <w:szCs w:val="22"/>
        </w:rPr>
        <w:t xml:space="preserve">USCS (Unified Soil Classification and Symbol) method of soil classification is another method which is widely used. See </w:t>
      </w:r>
      <w:hyperlink w:anchor="_USCS_Soil_Classification" w:history="1">
        <w:r w:rsidRPr="006062F4">
          <w:rPr>
            <w:rStyle w:val="Hyperlink"/>
            <w:rFonts w:cs="Arial"/>
            <w:szCs w:val="22"/>
          </w:rPr>
          <w:t>USCS Soil Classification</w:t>
        </w:r>
      </w:hyperlink>
      <w:r>
        <w:rPr>
          <w:rFonts w:cs="Arial"/>
          <w:szCs w:val="22"/>
        </w:rPr>
        <w:t xml:space="preserve"> </w:t>
      </w:r>
      <w:r w:rsidRPr="00910DC7">
        <w:rPr>
          <w:rFonts w:cs="Arial"/>
          <w:szCs w:val="22"/>
        </w:rPr>
        <w:t xml:space="preserve">for soils classifications based on typical grading and index properties. </w:t>
      </w:r>
    </w:p>
    <w:p w14:paraId="4DA63F48" w14:textId="77777777" w:rsidR="00A95AF4" w:rsidRPr="00910DC7" w:rsidRDefault="00A95AF4" w:rsidP="00A95AF4">
      <w:pPr>
        <w:jc w:val="both"/>
        <w:rPr>
          <w:rFonts w:ascii="Arial" w:hAnsi="Arial" w:cs="Arial"/>
          <w:sz w:val="22"/>
          <w:szCs w:val="22"/>
        </w:rPr>
      </w:pPr>
    </w:p>
    <w:p w14:paraId="2898A6BC" w14:textId="062B705B" w:rsidR="00A95AF4" w:rsidRPr="006E41DE" w:rsidRDefault="008C7023" w:rsidP="002308EA">
      <w:pPr>
        <w:jc w:val="both"/>
        <w:rPr>
          <w:rFonts w:ascii="Arial" w:hAnsi="Arial"/>
        </w:rPr>
      </w:pPr>
      <w:r>
        <w:rPr>
          <w:rFonts w:ascii="Arial" w:hAnsi="Arial" w:cs="Arial"/>
          <w:sz w:val="22"/>
          <w:szCs w:val="22"/>
        </w:rPr>
        <w:lastRenderedPageBreak/>
        <w:t>MDOT-SHA</w:t>
      </w:r>
      <w:r w:rsidR="00A95AF4" w:rsidRPr="00910DC7">
        <w:rPr>
          <w:rFonts w:ascii="Arial" w:hAnsi="Arial" w:cs="Arial"/>
          <w:sz w:val="22"/>
          <w:szCs w:val="22"/>
        </w:rPr>
        <w:t xml:space="preserve"> </w:t>
      </w:r>
      <w:r w:rsidR="00A95AF4">
        <w:rPr>
          <w:rFonts w:ascii="Arial" w:hAnsi="Arial" w:cs="Arial"/>
          <w:sz w:val="22"/>
          <w:szCs w:val="22"/>
        </w:rPr>
        <w:t xml:space="preserve">previously </w:t>
      </w:r>
      <w:r w:rsidR="00A95AF4" w:rsidRPr="00910DC7">
        <w:rPr>
          <w:rFonts w:ascii="Arial" w:hAnsi="Arial" w:cs="Arial"/>
          <w:sz w:val="22"/>
          <w:szCs w:val="22"/>
        </w:rPr>
        <w:t>use</w:t>
      </w:r>
      <w:r w:rsidR="00A95AF4">
        <w:rPr>
          <w:rFonts w:ascii="Arial" w:hAnsi="Arial" w:cs="Arial"/>
          <w:sz w:val="22"/>
          <w:szCs w:val="22"/>
        </w:rPr>
        <w:t>d</w:t>
      </w:r>
      <w:r w:rsidR="00A95AF4" w:rsidRPr="00910DC7">
        <w:rPr>
          <w:rFonts w:ascii="Arial" w:hAnsi="Arial" w:cs="Arial"/>
          <w:sz w:val="22"/>
          <w:szCs w:val="22"/>
        </w:rPr>
        <w:t xml:space="preserve"> </w:t>
      </w:r>
      <w:r w:rsidR="00A95AF4">
        <w:rPr>
          <w:rFonts w:ascii="Arial" w:hAnsi="Arial" w:cs="Arial"/>
          <w:sz w:val="22"/>
          <w:szCs w:val="22"/>
        </w:rPr>
        <w:t xml:space="preserve">the </w:t>
      </w:r>
      <w:r w:rsidR="00A95AF4" w:rsidRPr="00910DC7">
        <w:rPr>
          <w:rFonts w:ascii="Arial" w:hAnsi="Arial" w:cs="Arial"/>
          <w:sz w:val="22"/>
          <w:szCs w:val="22"/>
        </w:rPr>
        <w:t>MSMT (Maryland Standard Method of Tests) Soils and Soil-Aggregate Mixtures Guide to Classifications for classifying the soils</w:t>
      </w:r>
      <w:r w:rsidR="002308EA">
        <w:rPr>
          <w:rFonts w:ascii="Arial" w:hAnsi="Arial" w:cs="Arial"/>
          <w:sz w:val="22"/>
          <w:szCs w:val="22"/>
        </w:rPr>
        <w:t>,</w:t>
      </w:r>
      <w:r w:rsidR="00A95AF4" w:rsidRPr="00910DC7">
        <w:rPr>
          <w:rFonts w:ascii="Arial" w:hAnsi="Arial" w:cs="Arial"/>
          <w:sz w:val="22"/>
          <w:szCs w:val="22"/>
        </w:rPr>
        <w:t xml:space="preserve"> but is </w:t>
      </w:r>
      <w:r w:rsidR="00A95AF4">
        <w:rPr>
          <w:rFonts w:ascii="Arial" w:hAnsi="Arial" w:cs="Arial"/>
          <w:sz w:val="22"/>
          <w:szCs w:val="22"/>
        </w:rPr>
        <w:t>now using</w:t>
      </w:r>
      <w:r w:rsidR="00A95AF4" w:rsidRPr="00910DC7">
        <w:rPr>
          <w:rFonts w:ascii="Arial" w:hAnsi="Arial" w:cs="Arial"/>
          <w:sz w:val="22"/>
          <w:szCs w:val="22"/>
        </w:rPr>
        <w:t xml:space="preserve"> AASHTO soil classification.  </w:t>
      </w:r>
      <w:r w:rsidR="00A95AF4">
        <w:rPr>
          <w:rFonts w:ascii="Arial" w:hAnsi="Arial" w:cs="Arial"/>
          <w:sz w:val="22"/>
          <w:szCs w:val="22"/>
        </w:rPr>
        <w:t xml:space="preserve">MSMT Classification is still included in archived project files and as-built plans.  </w:t>
      </w:r>
      <w:r w:rsidR="00A95AF4" w:rsidRPr="00910DC7">
        <w:rPr>
          <w:rFonts w:ascii="Arial" w:hAnsi="Arial" w:cs="Arial"/>
          <w:sz w:val="22"/>
          <w:szCs w:val="22"/>
        </w:rPr>
        <w:t xml:space="preserve">See </w:t>
      </w:r>
      <w:hyperlink w:anchor="_MSMT_Soil_Classification" w:history="1">
        <w:r w:rsidR="00A95AF4" w:rsidRPr="00C3648D">
          <w:rPr>
            <w:rStyle w:val="Hyperlink"/>
            <w:rFonts w:ascii="Arial" w:hAnsi="Arial" w:cs="Arial"/>
            <w:sz w:val="22"/>
            <w:szCs w:val="22"/>
          </w:rPr>
          <w:t>MSMT Soil Classification</w:t>
        </w:r>
      </w:hyperlink>
      <w:r w:rsidR="00A95AF4" w:rsidRPr="00910DC7">
        <w:rPr>
          <w:rFonts w:ascii="Arial" w:hAnsi="Arial" w:cs="Arial"/>
          <w:sz w:val="22"/>
          <w:szCs w:val="22"/>
        </w:rPr>
        <w:t xml:space="preserve"> for </w:t>
      </w:r>
      <w:r w:rsidR="00A95AF4">
        <w:rPr>
          <w:rFonts w:ascii="Arial" w:hAnsi="Arial" w:cs="Arial"/>
          <w:sz w:val="22"/>
          <w:szCs w:val="22"/>
        </w:rPr>
        <w:t xml:space="preserve">more information.  </w:t>
      </w:r>
    </w:p>
    <w:p w14:paraId="7A292CB2" w14:textId="0A1871B2" w:rsidR="00A95AF4" w:rsidRDefault="00A95AF4" w:rsidP="006E41DE">
      <w:pPr>
        <w:pStyle w:val="Heading3"/>
        <w:tabs>
          <w:tab w:val="left" w:pos="1440"/>
        </w:tabs>
        <w:ind w:left="0" w:firstLine="0"/>
      </w:pPr>
      <w:bookmarkStart w:id="264" w:name="_gINT_Instructions"/>
      <w:bookmarkStart w:id="265" w:name="_gINT_Instructions_1"/>
      <w:bookmarkEnd w:id="264"/>
      <w:bookmarkEnd w:id="265"/>
      <w:r>
        <w:t>gINT Instructions</w:t>
      </w:r>
      <w:r w:rsidR="007A550B">
        <w:t xml:space="preserve"> – General</w:t>
      </w:r>
    </w:p>
    <w:p w14:paraId="00FD692C" w14:textId="557290C0"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The gINT software is used by </w:t>
      </w:r>
      <w:r w:rsidR="008C7023">
        <w:rPr>
          <w:rFonts w:ascii="Arial" w:hAnsi="Arial" w:cs="Arial"/>
          <w:sz w:val="22"/>
          <w:szCs w:val="22"/>
        </w:rPr>
        <w:t>MDOT-SHA</w:t>
      </w:r>
      <w:r w:rsidRPr="004F154F">
        <w:rPr>
          <w:rFonts w:ascii="Arial" w:hAnsi="Arial" w:cs="Arial"/>
          <w:sz w:val="22"/>
          <w:szCs w:val="22"/>
        </w:rPr>
        <w:t xml:space="preserve"> to store and reproduce the soil information pertaining to a particular project. The soil information contains soil borings, foundation borings, SWM boring</w:t>
      </w:r>
      <w:r w:rsidR="002308EA">
        <w:rPr>
          <w:rFonts w:ascii="Arial" w:hAnsi="Arial" w:cs="Arial"/>
          <w:sz w:val="22"/>
          <w:szCs w:val="22"/>
        </w:rPr>
        <w:t>s</w:t>
      </w:r>
      <w:r w:rsidRPr="004F154F">
        <w:rPr>
          <w:rFonts w:ascii="Arial" w:hAnsi="Arial" w:cs="Arial"/>
          <w:sz w:val="22"/>
          <w:szCs w:val="22"/>
        </w:rPr>
        <w:t xml:space="preserve">, and the lab testing data. </w:t>
      </w:r>
    </w:p>
    <w:p w14:paraId="14B86333" w14:textId="77777777" w:rsidR="00A95AF4" w:rsidRPr="004F154F" w:rsidRDefault="00A95AF4" w:rsidP="00A95AF4">
      <w:pPr>
        <w:jc w:val="both"/>
        <w:rPr>
          <w:rFonts w:ascii="Arial" w:hAnsi="Arial" w:cs="Arial"/>
          <w:sz w:val="22"/>
          <w:szCs w:val="22"/>
        </w:rPr>
      </w:pPr>
    </w:p>
    <w:p w14:paraId="00C2676F" w14:textId="77777777"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Ensure you have the latest gINT software and the template installed on your computer. </w:t>
      </w:r>
    </w:p>
    <w:p w14:paraId="3D06CC60" w14:textId="77777777" w:rsidR="00A95AF4" w:rsidRPr="004F154F" w:rsidRDefault="00A95AF4" w:rsidP="00A95AF4">
      <w:pPr>
        <w:jc w:val="both"/>
        <w:rPr>
          <w:rFonts w:ascii="Arial" w:hAnsi="Arial" w:cs="Arial"/>
          <w:sz w:val="22"/>
          <w:szCs w:val="22"/>
        </w:rPr>
      </w:pPr>
    </w:p>
    <w:p w14:paraId="48DB662A" w14:textId="77777777" w:rsidR="00A95AF4" w:rsidRPr="004F154F" w:rsidRDefault="008E6917" w:rsidP="00A95AF4">
      <w:pPr>
        <w:jc w:val="both"/>
        <w:rPr>
          <w:rFonts w:ascii="Arial" w:hAnsi="Arial" w:cs="Arial"/>
          <w:sz w:val="22"/>
          <w:szCs w:val="22"/>
        </w:rPr>
      </w:pPr>
      <w:r>
        <w:rPr>
          <w:rFonts w:ascii="Arial" w:hAnsi="Arial" w:cs="Arial"/>
          <w:sz w:val="22"/>
          <w:szCs w:val="22"/>
        </w:rPr>
        <w:t xml:space="preserve">Refer to </w:t>
      </w:r>
      <w:hyperlink w:anchor="_Reference_Guidelines" w:history="1">
        <w:r w:rsidRPr="008E6917">
          <w:rPr>
            <w:rStyle w:val="Hyperlink"/>
            <w:rFonts w:ascii="Arial" w:hAnsi="Arial" w:cs="Arial"/>
            <w:sz w:val="22"/>
            <w:szCs w:val="22"/>
          </w:rPr>
          <w:t>Reference Guidelines</w:t>
        </w:r>
      </w:hyperlink>
      <w:r>
        <w:rPr>
          <w:rFonts w:ascii="Arial" w:hAnsi="Arial" w:cs="Arial"/>
          <w:sz w:val="22"/>
          <w:szCs w:val="22"/>
        </w:rPr>
        <w:t xml:space="preserve"> for </w:t>
      </w:r>
      <w:r w:rsidR="00A95AF4" w:rsidRPr="004F154F">
        <w:rPr>
          <w:rFonts w:ascii="Arial" w:hAnsi="Arial" w:cs="Arial"/>
          <w:sz w:val="22"/>
          <w:szCs w:val="22"/>
        </w:rPr>
        <w:t>assist</w:t>
      </w:r>
      <w:r>
        <w:rPr>
          <w:rFonts w:ascii="Arial" w:hAnsi="Arial" w:cs="Arial"/>
          <w:sz w:val="22"/>
          <w:szCs w:val="22"/>
        </w:rPr>
        <w:t>ance</w:t>
      </w:r>
      <w:r w:rsidR="00A95AF4" w:rsidRPr="004F154F">
        <w:rPr>
          <w:rFonts w:ascii="Arial" w:hAnsi="Arial" w:cs="Arial"/>
          <w:sz w:val="22"/>
          <w:szCs w:val="22"/>
        </w:rPr>
        <w:t xml:space="preserve"> in entering the soil information into gINT software. </w:t>
      </w:r>
    </w:p>
    <w:p w14:paraId="122DCB15" w14:textId="16D3A00C" w:rsidR="00A95AF4" w:rsidRPr="00675A40" w:rsidRDefault="00A95AF4" w:rsidP="006E41DE">
      <w:pPr>
        <w:pStyle w:val="Heading3"/>
        <w:ind w:left="1440" w:hanging="1440"/>
      </w:pPr>
      <w:r>
        <w:t>Soil Survey Boring Log Summary Sheets – Conventionally</w:t>
      </w:r>
      <w:r w:rsidR="002308EA">
        <w:t xml:space="preserve"> </w:t>
      </w:r>
      <w:r>
        <w:t>Advertised Projects</w:t>
      </w:r>
    </w:p>
    <w:p w14:paraId="568276F5" w14:textId="77777777" w:rsidR="00A95AF4" w:rsidRPr="004F154F" w:rsidRDefault="00A95AF4" w:rsidP="00A95AF4">
      <w:pPr>
        <w:jc w:val="both"/>
        <w:rPr>
          <w:rFonts w:ascii="Arial" w:hAnsi="Arial" w:cs="Arial"/>
          <w:sz w:val="22"/>
          <w:szCs w:val="22"/>
        </w:rPr>
      </w:pPr>
      <w:r w:rsidRPr="004F154F">
        <w:rPr>
          <w:rFonts w:ascii="Arial" w:hAnsi="Arial" w:cs="Arial"/>
          <w:sz w:val="22"/>
          <w:szCs w:val="22"/>
        </w:rPr>
        <w:t>Design of conventionally advertised projects is generally done in-house or by use of consultants by the respective divisions.</w:t>
      </w:r>
    </w:p>
    <w:p w14:paraId="661A8745" w14:textId="77777777"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 </w:t>
      </w:r>
    </w:p>
    <w:p w14:paraId="22C452FC" w14:textId="4FAFB3EA" w:rsidR="00A95AF4" w:rsidRPr="004F154F" w:rsidRDefault="002308EA" w:rsidP="00A95AF4">
      <w:pPr>
        <w:jc w:val="both"/>
        <w:rPr>
          <w:rFonts w:ascii="Arial" w:hAnsi="Arial" w:cs="Arial"/>
          <w:sz w:val="22"/>
          <w:szCs w:val="22"/>
        </w:rPr>
      </w:pPr>
      <w:r w:rsidRPr="004F154F">
        <w:rPr>
          <w:rFonts w:ascii="Arial" w:hAnsi="Arial" w:cs="Arial"/>
          <w:sz w:val="22"/>
          <w:szCs w:val="22"/>
        </w:rPr>
        <w:t>Th</w:t>
      </w:r>
      <w:r>
        <w:rPr>
          <w:rFonts w:ascii="Arial" w:hAnsi="Arial" w:cs="Arial"/>
          <w:sz w:val="22"/>
          <w:szCs w:val="22"/>
        </w:rPr>
        <w:t>e</w:t>
      </w:r>
      <w:r w:rsidRPr="004F154F">
        <w:rPr>
          <w:rFonts w:ascii="Arial" w:hAnsi="Arial" w:cs="Arial"/>
          <w:sz w:val="22"/>
          <w:szCs w:val="22"/>
        </w:rPr>
        <w:t xml:space="preserve"> </w:t>
      </w:r>
      <w:r w:rsidR="00A95AF4" w:rsidRPr="004F154F">
        <w:rPr>
          <w:rFonts w:ascii="Arial" w:hAnsi="Arial" w:cs="Arial"/>
          <w:sz w:val="22"/>
          <w:szCs w:val="22"/>
        </w:rPr>
        <w:t xml:space="preserve">following table provides general guidelines in reporting the soils information (format) to the PM (client) for conventionally advertised projects. This soils information is obtained by auger boring and is usually done when there is base-widening or new construction or for SWM facilities. Auger borings (soil and pavement typicals) are performed by Soil Survey Crew of FED. Roadway coring is performed by the FED’s SPID crew. </w:t>
      </w:r>
    </w:p>
    <w:p w14:paraId="60B05D1E" w14:textId="77777777" w:rsidR="00A95AF4" w:rsidRPr="004F154F" w:rsidRDefault="00A95AF4" w:rsidP="00A95AF4">
      <w:pPr>
        <w:jc w:val="both"/>
        <w:rPr>
          <w:rFonts w:ascii="Arial" w:hAnsi="Arial" w:cs="Arial"/>
          <w:sz w:val="22"/>
          <w:szCs w:val="22"/>
        </w:rPr>
      </w:pPr>
    </w:p>
    <w:tbl>
      <w:tblPr>
        <w:tblpPr w:leftFromText="180" w:rightFromText="180" w:vertAnchor="text" w:horzAnchor="margin" w:tblpXSpec="center" w:tblpY="16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2159"/>
        <w:gridCol w:w="4290"/>
      </w:tblGrid>
      <w:tr w:rsidR="00A95AF4" w:rsidRPr="004F154F" w14:paraId="2126ACC2" w14:textId="77777777" w:rsidTr="006E41DE">
        <w:trPr>
          <w:trHeight w:val="413"/>
        </w:trPr>
        <w:tc>
          <w:tcPr>
            <w:tcW w:w="4448" w:type="dxa"/>
            <w:gridSpan w:val="2"/>
            <w:shd w:val="pct15" w:color="auto" w:fill="auto"/>
            <w:vAlign w:val="center"/>
          </w:tcPr>
          <w:p w14:paraId="68F1445A" w14:textId="77777777" w:rsidR="00A95AF4" w:rsidRPr="004F154F" w:rsidRDefault="00A95AF4" w:rsidP="00152A78">
            <w:pPr>
              <w:jc w:val="center"/>
              <w:rPr>
                <w:rFonts w:ascii="Arial" w:hAnsi="Arial" w:cs="Arial"/>
                <w:b/>
                <w:sz w:val="22"/>
                <w:szCs w:val="22"/>
              </w:rPr>
            </w:pPr>
            <w:r w:rsidRPr="004F154F">
              <w:rPr>
                <w:rFonts w:ascii="Arial" w:hAnsi="Arial" w:cs="Arial"/>
                <w:b/>
                <w:sz w:val="22"/>
                <w:szCs w:val="22"/>
              </w:rPr>
              <w:t>Project Origination Division</w:t>
            </w:r>
          </w:p>
        </w:tc>
        <w:tc>
          <w:tcPr>
            <w:tcW w:w="4408" w:type="dxa"/>
            <w:shd w:val="pct15" w:color="auto" w:fill="auto"/>
            <w:vAlign w:val="center"/>
          </w:tcPr>
          <w:p w14:paraId="0AD82596" w14:textId="77777777" w:rsidR="00A95AF4" w:rsidRPr="004F154F" w:rsidRDefault="00A95AF4" w:rsidP="00152A78">
            <w:pPr>
              <w:jc w:val="center"/>
              <w:rPr>
                <w:rFonts w:ascii="Arial" w:hAnsi="Arial" w:cs="Arial"/>
                <w:b/>
                <w:sz w:val="22"/>
                <w:szCs w:val="22"/>
              </w:rPr>
            </w:pPr>
            <w:r w:rsidRPr="004F154F">
              <w:rPr>
                <w:rFonts w:ascii="Arial" w:hAnsi="Arial" w:cs="Arial"/>
                <w:b/>
                <w:sz w:val="22"/>
                <w:szCs w:val="22"/>
              </w:rPr>
              <w:t>Transmittal Type</w:t>
            </w:r>
          </w:p>
        </w:tc>
      </w:tr>
      <w:tr w:rsidR="00A95AF4" w:rsidRPr="004F154F" w14:paraId="196CAB10" w14:textId="77777777" w:rsidTr="00152A78">
        <w:trPr>
          <w:trHeight w:val="412"/>
        </w:trPr>
        <w:tc>
          <w:tcPr>
            <w:tcW w:w="2236" w:type="dxa"/>
            <w:vMerge w:val="restart"/>
            <w:vAlign w:val="center"/>
          </w:tcPr>
          <w:p w14:paraId="63BE49F8" w14:textId="77777777" w:rsidR="00A95AF4" w:rsidRPr="004F154F" w:rsidRDefault="00A95AF4" w:rsidP="00152A78">
            <w:pPr>
              <w:jc w:val="center"/>
              <w:rPr>
                <w:rFonts w:ascii="Arial" w:hAnsi="Arial" w:cs="Arial"/>
                <w:sz w:val="22"/>
                <w:szCs w:val="22"/>
              </w:rPr>
            </w:pPr>
            <w:r w:rsidRPr="004F154F">
              <w:rPr>
                <w:rFonts w:ascii="Arial" w:hAnsi="Arial" w:cs="Arial"/>
                <w:sz w:val="22"/>
                <w:szCs w:val="22"/>
              </w:rPr>
              <w:t xml:space="preserve">OHD, </w:t>
            </w:r>
            <w:r>
              <w:rPr>
                <w:rFonts w:ascii="Arial" w:hAnsi="Arial" w:cs="Arial"/>
                <w:sz w:val="22"/>
                <w:szCs w:val="22"/>
              </w:rPr>
              <w:t>OOS</w:t>
            </w:r>
            <w:r w:rsidRPr="004F154F">
              <w:rPr>
                <w:rFonts w:ascii="Arial" w:hAnsi="Arial" w:cs="Arial"/>
                <w:sz w:val="22"/>
                <w:szCs w:val="22"/>
              </w:rPr>
              <w:t>,  District Office</w:t>
            </w:r>
          </w:p>
        </w:tc>
        <w:tc>
          <w:tcPr>
            <w:tcW w:w="2212" w:type="dxa"/>
          </w:tcPr>
          <w:p w14:paraId="1628917A" w14:textId="77777777" w:rsidR="00A95AF4" w:rsidRPr="004F154F" w:rsidRDefault="00A95AF4" w:rsidP="00152A78">
            <w:pPr>
              <w:rPr>
                <w:rFonts w:ascii="Arial" w:hAnsi="Arial" w:cs="Arial"/>
                <w:sz w:val="22"/>
                <w:szCs w:val="22"/>
              </w:rPr>
            </w:pPr>
            <w:r w:rsidRPr="004F154F">
              <w:rPr>
                <w:rFonts w:ascii="Arial" w:hAnsi="Arial" w:cs="Arial"/>
                <w:sz w:val="22"/>
                <w:szCs w:val="22"/>
              </w:rPr>
              <w:t xml:space="preserve">If the PM agrees to using gINT </w:t>
            </w:r>
          </w:p>
        </w:tc>
        <w:tc>
          <w:tcPr>
            <w:tcW w:w="4408" w:type="dxa"/>
          </w:tcPr>
          <w:p w14:paraId="2D61BBC1" w14:textId="77777777" w:rsidR="00A95AF4" w:rsidRPr="004F154F" w:rsidRDefault="00A95AF4" w:rsidP="00152A78">
            <w:pPr>
              <w:rPr>
                <w:rFonts w:ascii="Arial" w:hAnsi="Arial" w:cs="Arial"/>
                <w:sz w:val="22"/>
                <w:szCs w:val="22"/>
              </w:rPr>
            </w:pPr>
            <w:r w:rsidRPr="004F154F">
              <w:rPr>
                <w:rFonts w:ascii="Arial" w:hAnsi="Arial" w:cs="Arial"/>
                <w:sz w:val="22"/>
                <w:szCs w:val="22"/>
              </w:rPr>
              <w:t>Input borings in gINT* and electronically send to PM.</w:t>
            </w:r>
          </w:p>
        </w:tc>
      </w:tr>
      <w:tr w:rsidR="00A95AF4" w:rsidRPr="004F154F" w14:paraId="2C760924" w14:textId="77777777" w:rsidTr="00152A78">
        <w:trPr>
          <w:trHeight w:val="485"/>
        </w:trPr>
        <w:tc>
          <w:tcPr>
            <w:tcW w:w="2236" w:type="dxa"/>
            <w:vMerge/>
            <w:vAlign w:val="center"/>
          </w:tcPr>
          <w:p w14:paraId="78EB5761" w14:textId="77777777" w:rsidR="00A95AF4" w:rsidRPr="004F154F" w:rsidRDefault="00A95AF4" w:rsidP="00152A78">
            <w:pPr>
              <w:jc w:val="center"/>
              <w:rPr>
                <w:rFonts w:ascii="Arial" w:hAnsi="Arial" w:cs="Arial"/>
                <w:sz w:val="22"/>
                <w:szCs w:val="22"/>
              </w:rPr>
            </w:pPr>
          </w:p>
        </w:tc>
        <w:tc>
          <w:tcPr>
            <w:tcW w:w="2212" w:type="dxa"/>
          </w:tcPr>
          <w:p w14:paraId="77842AE2" w14:textId="77777777" w:rsidR="00A95AF4" w:rsidRPr="004F154F" w:rsidRDefault="00A95AF4" w:rsidP="00152A78">
            <w:pPr>
              <w:rPr>
                <w:rFonts w:ascii="Arial" w:hAnsi="Arial" w:cs="Arial"/>
                <w:sz w:val="22"/>
                <w:szCs w:val="22"/>
              </w:rPr>
            </w:pPr>
            <w:r w:rsidRPr="004F154F">
              <w:rPr>
                <w:rFonts w:ascii="Arial" w:hAnsi="Arial" w:cs="Arial"/>
                <w:sz w:val="22"/>
                <w:szCs w:val="22"/>
              </w:rPr>
              <w:t xml:space="preserve">If the PM does not agree to gINT </w:t>
            </w:r>
          </w:p>
        </w:tc>
        <w:tc>
          <w:tcPr>
            <w:tcW w:w="4408" w:type="dxa"/>
          </w:tcPr>
          <w:p w14:paraId="246E09AD" w14:textId="77777777" w:rsidR="00A95AF4" w:rsidRPr="004F154F" w:rsidRDefault="00A95AF4" w:rsidP="00152A78">
            <w:pPr>
              <w:rPr>
                <w:rFonts w:ascii="Arial" w:hAnsi="Arial" w:cs="Arial"/>
                <w:sz w:val="22"/>
                <w:szCs w:val="22"/>
              </w:rPr>
            </w:pPr>
            <w:r w:rsidRPr="004F154F">
              <w:rPr>
                <w:rFonts w:ascii="Arial" w:hAnsi="Arial" w:cs="Arial"/>
                <w:sz w:val="22"/>
                <w:szCs w:val="22"/>
              </w:rPr>
              <w:t>Input borings in Soil Boring Log Summary (See Appendix V).</w:t>
            </w:r>
          </w:p>
        </w:tc>
      </w:tr>
    </w:tbl>
    <w:p w14:paraId="47497502" w14:textId="71507766" w:rsidR="00A95AF4" w:rsidRPr="004F154F" w:rsidRDefault="00A95AF4" w:rsidP="00A95AF4">
      <w:pPr>
        <w:rPr>
          <w:rFonts w:ascii="Arial" w:hAnsi="Arial" w:cs="Arial"/>
          <w:sz w:val="22"/>
          <w:szCs w:val="22"/>
        </w:rPr>
      </w:pPr>
      <w:r w:rsidRPr="004F154F">
        <w:rPr>
          <w:rFonts w:ascii="Arial" w:hAnsi="Arial" w:cs="Arial"/>
          <w:sz w:val="22"/>
          <w:szCs w:val="22"/>
        </w:rPr>
        <w:t xml:space="preserve">     *</w:t>
      </w:r>
      <w:r w:rsidRPr="006E41DE">
        <w:rPr>
          <w:rFonts w:ascii="Arial" w:hAnsi="Arial"/>
          <w:sz w:val="18"/>
        </w:rPr>
        <w:t>Guidelines on how to input soil boring information in gINT is described in VIII.B</w:t>
      </w:r>
      <w:r w:rsidR="00C735C1">
        <w:rPr>
          <w:rFonts w:ascii="Arial" w:hAnsi="Arial" w:cs="Arial"/>
          <w:sz w:val="18"/>
          <w:szCs w:val="18"/>
        </w:rPr>
        <w:t>.</w:t>
      </w:r>
    </w:p>
    <w:p w14:paraId="681A99C7" w14:textId="77777777" w:rsidR="00A95AF4" w:rsidRPr="004F154F" w:rsidRDefault="00A95AF4" w:rsidP="00A95AF4">
      <w:pPr>
        <w:rPr>
          <w:rFonts w:ascii="Arial" w:hAnsi="Arial" w:cs="Arial"/>
          <w:sz w:val="22"/>
          <w:szCs w:val="22"/>
        </w:rPr>
      </w:pPr>
    </w:p>
    <w:p w14:paraId="5F8A4F24" w14:textId="229603C2" w:rsidR="00A95AF4" w:rsidRDefault="00A95AF4" w:rsidP="00A95AF4">
      <w:pPr>
        <w:jc w:val="both"/>
        <w:rPr>
          <w:rFonts w:ascii="Arial" w:hAnsi="Arial" w:cs="Arial"/>
          <w:sz w:val="22"/>
          <w:szCs w:val="22"/>
        </w:rPr>
      </w:pPr>
      <w:r w:rsidRPr="004F154F">
        <w:rPr>
          <w:rFonts w:ascii="Arial" w:hAnsi="Arial" w:cs="Arial"/>
          <w:sz w:val="22"/>
          <w:szCs w:val="22"/>
        </w:rPr>
        <w:t>Note: The PAGD Engineer should emphasize the importance of having boring information in gINT format. Borings from gINT file</w:t>
      </w:r>
      <w:r w:rsidR="002308EA">
        <w:rPr>
          <w:rFonts w:ascii="Arial" w:hAnsi="Arial" w:cs="Arial"/>
          <w:sz w:val="22"/>
          <w:szCs w:val="22"/>
        </w:rPr>
        <w:t>s</w:t>
      </w:r>
      <w:r w:rsidRPr="004F154F">
        <w:rPr>
          <w:rFonts w:ascii="Arial" w:hAnsi="Arial" w:cs="Arial"/>
          <w:sz w:val="22"/>
          <w:szCs w:val="22"/>
        </w:rPr>
        <w:t xml:space="preserve"> can be transferred onto the plan sheets (profiles) which are archived when the project is complete. Soil Boring Log Summary Sheets are included in the Invitation for Bids book, which are not archived and hence cannot be accessed in future.   </w:t>
      </w:r>
    </w:p>
    <w:p w14:paraId="784719CF" w14:textId="77777777" w:rsidR="002308EA" w:rsidRPr="004F154F" w:rsidRDefault="002308EA" w:rsidP="00A95AF4">
      <w:pPr>
        <w:jc w:val="both"/>
        <w:rPr>
          <w:rFonts w:ascii="Arial" w:hAnsi="Arial" w:cs="Arial"/>
          <w:sz w:val="22"/>
          <w:szCs w:val="22"/>
        </w:rPr>
      </w:pPr>
    </w:p>
    <w:p w14:paraId="580B0ED7" w14:textId="701AE498"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If a project has only roadway coring (ex: Fund 77 – Single Ad, pavement rehabilitation projects), the information transmitted to the PM should be in </w:t>
      </w:r>
      <w:r w:rsidR="002308EA">
        <w:rPr>
          <w:rFonts w:ascii="Arial" w:hAnsi="Arial" w:cs="Arial"/>
          <w:sz w:val="22"/>
          <w:szCs w:val="22"/>
        </w:rPr>
        <w:t>E</w:t>
      </w:r>
      <w:r w:rsidRPr="004F154F">
        <w:rPr>
          <w:rFonts w:ascii="Arial" w:hAnsi="Arial" w:cs="Arial"/>
          <w:sz w:val="22"/>
          <w:szCs w:val="22"/>
        </w:rPr>
        <w:t xml:space="preserve">xcel format as provided by SPID with some modifications. Refer to the “Coring Log” in Appendix V for an example transmittal of roadway coring information. </w:t>
      </w:r>
    </w:p>
    <w:p w14:paraId="126F29CF" w14:textId="77777777" w:rsidR="002308EA" w:rsidRDefault="002308EA">
      <w:pPr>
        <w:rPr>
          <w:rFonts w:ascii="Arial" w:hAnsi="Arial"/>
          <w:b/>
          <w:i/>
          <w:sz w:val="24"/>
        </w:rPr>
      </w:pPr>
      <w:bookmarkStart w:id="266" w:name="_Soil_Survey_Borings"/>
      <w:bookmarkEnd w:id="266"/>
      <w:r>
        <w:br w:type="page"/>
      </w:r>
    </w:p>
    <w:p w14:paraId="3B452420" w14:textId="63B784D1" w:rsidR="00A95AF4" w:rsidRPr="00675A40" w:rsidRDefault="00A95AF4" w:rsidP="006E41DE">
      <w:pPr>
        <w:pStyle w:val="Heading3"/>
        <w:tabs>
          <w:tab w:val="left" w:pos="1440"/>
        </w:tabs>
        <w:ind w:left="0" w:firstLine="0"/>
      </w:pPr>
      <w:r>
        <w:lastRenderedPageBreak/>
        <w:t>Soil Survey Borings – Design-Build Projects</w:t>
      </w:r>
    </w:p>
    <w:p w14:paraId="7D257B74" w14:textId="4646D5AD" w:rsidR="00A95AF4" w:rsidRDefault="00A95AF4" w:rsidP="00A95AF4">
      <w:pPr>
        <w:jc w:val="both"/>
        <w:rPr>
          <w:rFonts w:ascii="Arial" w:hAnsi="Arial" w:cs="Arial"/>
          <w:sz w:val="22"/>
          <w:szCs w:val="22"/>
        </w:rPr>
      </w:pPr>
      <w:r w:rsidRPr="004F154F">
        <w:rPr>
          <w:rFonts w:ascii="Arial" w:hAnsi="Arial" w:cs="Arial"/>
          <w:sz w:val="22"/>
          <w:szCs w:val="22"/>
        </w:rPr>
        <w:t xml:space="preserve">Soil survey borings drilled by </w:t>
      </w:r>
      <w:r w:rsidR="008C7023">
        <w:rPr>
          <w:rFonts w:ascii="Arial" w:hAnsi="Arial" w:cs="Arial"/>
          <w:sz w:val="22"/>
          <w:szCs w:val="22"/>
        </w:rPr>
        <w:t>MDOT-SHA</w:t>
      </w:r>
      <w:r w:rsidRPr="004F154F">
        <w:rPr>
          <w:rFonts w:ascii="Arial" w:hAnsi="Arial" w:cs="Arial"/>
          <w:sz w:val="22"/>
          <w:szCs w:val="22"/>
        </w:rPr>
        <w:t xml:space="preserve"> should be entered in gINT</w:t>
      </w:r>
      <w:r w:rsidR="002308EA">
        <w:rPr>
          <w:rFonts w:ascii="Arial" w:hAnsi="Arial" w:cs="Arial"/>
          <w:sz w:val="22"/>
          <w:szCs w:val="22"/>
        </w:rPr>
        <w:t>;</w:t>
      </w:r>
      <w:r w:rsidRPr="004F154F">
        <w:rPr>
          <w:rFonts w:ascii="Arial" w:hAnsi="Arial" w:cs="Arial"/>
          <w:sz w:val="22"/>
          <w:szCs w:val="22"/>
        </w:rPr>
        <w:t xml:space="preserve"> </w:t>
      </w:r>
      <w:r w:rsidR="002308EA">
        <w:rPr>
          <w:rFonts w:ascii="Arial" w:hAnsi="Arial" w:cs="Arial"/>
          <w:sz w:val="22"/>
          <w:szCs w:val="22"/>
        </w:rPr>
        <w:t>r</w:t>
      </w:r>
      <w:r w:rsidRPr="004F154F">
        <w:rPr>
          <w:rFonts w:ascii="Arial" w:hAnsi="Arial" w:cs="Arial"/>
          <w:sz w:val="22"/>
          <w:szCs w:val="22"/>
        </w:rPr>
        <w:t xml:space="preserve">efer to </w:t>
      </w:r>
      <w:hyperlink w:anchor="_gINT_Instructions" w:history="1">
        <w:r w:rsidRPr="00FB4841">
          <w:rPr>
            <w:rStyle w:val="Hyperlink"/>
            <w:rFonts w:ascii="Arial" w:hAnsi="Arial" w:cs="Arial"/>
            <w:sz w:val="22"/>
            <w:szCs w:val="22"/>
          </w:rPr>
          <w:t>gINT Instructions</w:t>
        </w:r>
      </w:hyperlink>
      <w:r w:rsidRPr="00FB4841">
        <w:rPr>
          <w:rFonts w:ascii="Arial" w:hAnsi="Arial" w:cs="Arial"/>
          <w:sz w:val="22"/>
          <w:szCs w:val="22"/>
        </w:rPr>
        <w:t xml:space="preserve">. The soil borings are then printed using the attachment </w:t>
      </w:r>
      <w:r w:rsidR="00CE5D5E" w:rsidRPr="00FB4841">
        <w:rPr>
          <w:rFonts w:ascii="Arial" w:hAnsi="Arial" w:cs="Arial"/>
          <w:sz w:val="22"/>
          <w:szCs w:val="22"/>
        </w:rPr>
        <w:t xml:space="preserve">Guidelines </w:t>
      </w:r>
      <w:r w:rsidR="00FB4841" w:rsidRPr="00FB4841">
        <w:rPr>
          <w:rFonts w:ascii="Arial" w:hAnsi="Arial" w:cs="Arial"/>
          <w:sz w:val="22"/>
          <w:szCs w:val="22"/>
        </w:rPr>
        <w:t>with a</w:t>
      </w:r>
      <w:r w:rsidR="00CE5D5E" w:rsidRPr="00FB4841">
        <w:rPr>
          <w:rFonts w:ascii="Arial" w:hAnsi="Arial" w:cs="Arial"/>
          <w:sz w:val="22"/>
          <w:szCs w:val="22"/>
        </w:rPr>
        <w:t xml:space="preserve"> Microsoft</w:t>
      </w:r>
      <w:r w:rsidR="00CE5D5E" w:rsidRPr="00D249EC">
        <w:rPr>
          <w:rFonts w:ascii="Arial" w:hAnsi="Arial" w:cs="Arial"/>
          <w:sz w:val="22"/>
          <w:szCs w:val="22"/>
        </w:rPr>
        <w:t xml:space="preserve"> Excel Macro for soil survey borings</w:t>
      </w:r>
      <w:r w:rsidR="00D249EC">
        <w:rPr>
          <w:rFonts w:ascii="Arial" w:hAnsi="Arial" w:cs="Arial"/>
          <w:sz w:val="22"/>
          <w:szCs w:val="22"/>
        </w:rPr>
        <w:t xml:space="preserve"> (refer to </w:t>
      </w:r>
      <w:hyperlink w:anchor="_Reference_Guidelines" w:history="1">
        <w:r w:rsidR="00D249EC" w:rsidRPr="008E6917">
          <w:rPr>
            <w:rStyle w:val="Hyperlink"/>
            <w:rFonts w:ascii="Arial" w:hAnsi="Arial" w:cs="Arial"/>
            <w:sz w:val="22"/>
            <w:szCs w:val="22"/>
          </w:rPr>
          <w:t>Reference Guidelines</w:t>
        </w:r>
      </w:hyperlink>
      <w:r w:rsidR="00D249EC">
        <w:t>).</w:t>
      </w:r>
      <w:r w:rsidRPr="004F154F">
        <w:rPr>
          <w:rFonts w:ascii="Arial" w:hAnsi="Arial" w:cs="Arial"/>
          <w:sz w:val="22"/>
          <w:szCs w:val="22"/>
        </w:rPr>
        <w:t xml:space="preserve"> After printing, review individual soil boring with the original soil boring logs for any correction. The final soil survey borings should be included as part of the Contract Document</w:t>
      </w:r>
      <w:r w:rsidR="002308EA">
        <w:rPr>
          <w:rFonts w:ascii="Arial" w:hAnsi="Arial" w:cs="Arial"/>
          <w:sz w:val="22"/>
          <w:szCs w:val="22"/>
        </w:rPr>
        <w:t>s</w:t>
      </w:r>
      <w:r w:rsidRPr="004F154F">
        <w:rPr>
          <w:rFonts w:ascii="Arial" w:hAnsi="Arial" w:cs="Arial"/>
          <w:sz w:val="22"/>
          <w:szCs w:val="22"/>
        </w:rPr>
        <w:t>.</w:t>
      </w:r>
    </w:p>
    <w:p w14:paraId="21FE18FD" w14:textId="77777777" w:rsidR="00A95AF4" w:rsidRPr="004F154F" w:rsidRDefault="00A95AF4" w:rsidP="00A95AF4">
      <w:pPr>
        <w:jc w:val="both"/>
        <w:rPr>
          <w:rFonts w:ascii="Arial" w:hAnsi="Arial" w:cs="Arial"/>
          <w:sz w:val="22"/>
          <w:szCs w:val="22"/>
        </w:rPr>
      </w:pPr>
    </w:p>
    <w:p w14:paraId="2C116187" w14:textId="44B65B2E" w:rsidR="00A95AF4" w:rsidRPr="004F154F" w:rsidRDefault="00A95AF4" w:rsidP="00A95AF4">
      <w:pPr>
        <w:jc w:val="both"/>
        <w:rPr>
          <w:rFonts w:ascii="Arial" w:hAnsi="Arial" w:cs="Arial"/>
          <w:sz w:val="22"/>
          <w:szCs w:val="22"/>
        </w:rPr>
      </w:pPr>
      <w:r w:rsidRPr="004F154F">
        <w:rPr>
          <w:rFonts w:ascii="Arial" w:hAnsi="Arial" w:cs="Arial"/>
          <w:sz w:val="22"/>
          <w:szCs w:val="22"/>
        </w:rPr>
        <w:t>The Design-Build</w:t>
      </w:r>
      <w:r>
        <w:rPr>
          <w:rFonts w:ascii="Arial" w:hAnsi="Arial" w:cs="Arial"/>
          <w:sz w:val="22"/>
          <w:szCs w:val="22"/>
        </w:rPr>
        <w:t>ers</w:t>
      </w:r>
      <w:r w:rsidRPr="004F154F">
        <w:rPr>
          <w:rFonts w:ascii="Arial" w:hAnsi="Arial" w:cs="Arial"/>
          <w:sz w:val="22"/>
          <w:szCs w:val="22"/>
        </w:rPr>
        <w:t xml:space="preserve"> should plot all soils information provided by </w:t>
      </w:r>
      <w:r w:rsidR="008C7023">
        <w:rPr>
          <w:rFonts w:ascii="Arial" w:hAnsi="Arial" w:cs="Arial"/>
          <w:sz w:val="22"/>
          <w:szCs w:val="22"/>
        </w:rPr>
        <w:t>MDOT-SHA</w:t>
      </w:r>
      <w:r w:rsidRPr="004F154F">
        <w:rPr>
          <w:rFonts w:ascii="Arial" w:hAnsi="Arial" w:cs="Arial"/>
          <w:sz w:val="22"/>
          <w:szCs w:val="22"/>
        </w:rPr>
        <w:t xml:space="preserve"> as well as their own soils information on the Contract Documents for submittal to </w:t>
      </w:r>
      <w:r w:rsidR="008C7023">
        <w:rPr>
          <w:rFonts w:ascii="Arial" w:hAnsi="Arial" w:cs="Arial"/>
          <w:sz w:val="22"/>
          <w:szCs w:val="22"/>
        </w:rPr>
        <w:t>MDOT-SHA</w:t>
      </w:r>
      <w:r w:rsidRPr="004F154F">
        <w:rPr>
          <w:rFonts w:ascii="Arial" w:hAnsi="Arial" w:cs="Arial"/>
          <w:sz w:val="22"/>
          <w:szCs w:val="22"/>
        </w:rPr>
        <w:t xml:space="preserve"> for review.</w:t>
      </w:r>
    </w:p>
    <w:p w14:paraId="31D733B0" w14:textId="37DB950B" w:rsidR="00A95AF4" w:rsidRPr="00675A40" w:rsidRDefault="00A95AF4" w:rsidP="00A95AF4">
      <w:pPr>
        <w:pStyle w:val="Heading3"/>
        <w:ind w:left="0" w:firstLine="0"/>
      </w:pPr>
      <w:r>
        <w:t>Structure Borings</w:t>
      </w:r>
      <w:r w:rsidR="002308EA">
        <w:t xml:space="preserve"> – </w:t>
      </w:r>
      <w:r>
        <w:t>Conventionally Advertised Projects</w:t>
      </w:r>
    </w:p>
    <w:p w14:paraId="581CFF61" w14:textId="77777777"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Design of conventionally advertised projects is generally done in-house or by use of consultants by the respective divisions. </w:t>
      </w:r>
    </w:p>
    <w:p w14:paraId="6B7E234C" w14:textId="77777777" w:rsidR="00A95AF4" w:rsidRPr="004F154F" w:rsidRDefault="00A95AF4" w:rsidP="00A95AF4">
      <w:pPr>
        <w:jc w:val="both"/>
        <w:rPr>
          <w:rFonts w:ascii="Arial" w:hAnsi="Arial" w:cs="Arial"/>
          <w:sz w:val="22"/>
          <w:szCs w:val="22"/>
        </w:rPr>
      </w:pPr>
    </w:p>
    <w:p w14:paraId="611D0C80" w14:textId="77777777"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This soils information is obtained by SPT boring and is usually done when Structures are included in the project scope. The borings may be drilled using in-house resources or by using consultant drilling contract services. </w:t>
      </w:r>
    </w:p>
    <w:p w14:paraId="327567F0" w14:textId="77777777" w:rsidR="00A95AF4" w:rsidRPr="004F154F" w:rsidRDefault="00A95AF4" w:rsidP="00A95AF4">
      <w:pPr>
        <w:jc w:val="both"/>
        <w:rPr>
          <w:rFonts w:ascii="Arial" w:hAnsi="Arial" w:cs="Arial"/>
          <w:sz w:val="22"/>
          <w:szCs w:val="22"/>
        </w:rPr>
      </w:pPr>
    </w:p>
    <w:p w14:paraId="5D212911" w14:textId="7DF19930" w:rsidR="00A95AF4" w:rsidRPr="004F154F" w:rsidRDefault="00A95AF4" w:rsidP="00A95AF4">
      <w:pPr>
        <w:jc w:val="both"/>
        <w:rPr>
          <w:rFonts w:ascii="Arial" w:hAnsi="Arial" w:cs="Arial"/>
          <w:sz w:val="22"/>
          <w:szCs w:val="22"/>
        </w:rPr>
      </w:pPr>
      <w:r w:rsidRPr="004F154F">
        <w:rPr>
          <w:rFonts w:ascii="Arial" w:hAnsi="Arial" w:cs="Arial"/>
          <w:sz w:val="22"/>
          <w:szCs w:val="22"/>
        </w:rPr>
        <w:t>During the drilling process, draft copies of the boring logs (already drilled) should be transmitted by fax or e-mail (scanned copy) to the requesting office to facilitate the design process. Once all the borings are completed, FED person</w:t>
      </w:r>
      <w:r w:rsidR="002308EA">
        <w:rPr>
          <w:rFonts w:ascii="Arial" w:hAnsi="Arial" w:cs="Arial"/>
          <w:sz w:val="22"/>
          <w:szCs w:val="22"/>
        </w:rPr>
        <w:t>nel</w:t>
      </w:r>
      <w:r w:rsidRPr="004F154F">
        <w:rPr>
          <w:rFonts w:ascii="Arial" w:hAnsi="Arial" w:cs="Arial"/>
          <w:sz w:val="22"/>
          <w:szCs w:val="22"/>
        </w:rPr>
        <w:t xml:space="preserve"> will enter the boring information in gINT software and provide a completed boring log in gINT format. If requested, FED will provide the boring logs in BLOG format too. BLOG is the format which the </w:t>
      </w:r>
      <w:r>
        <w:rPr>
          <w:rFonts w:ascii="Arial" w:hAnsi="Arial" w:cs="Arial"/>
          <w:sz w:val="22"/>
          <w:szCs w:val="22"/>
        </w:rPr>
        <w:t>OOS</w:t>
      </w:r>
      <w:r w:rsidRPr="004F154F">
        <w:rPr>
          <w:rFonts w:ascii="Arial" w:hAnsi="Arial" w:cs="Arial"/>
          <w:sz w:val="22"/>
          <w:szCs w:val="22"/>
        </w:rPr>
        <w:t xml:space="preserve"> uses in plotting the boring information onto the plans. </w:t>
      </w:r>
    </w:p>
    <w:p w14:paraId="5C316AEF" w14:textId="77777777" w:rsidR="00A95AF4" w:rsidRPr="004F154F" w:rsidRDefault="00A95AF4" w:rsidP="00A95AF4">
      <w:pPr>
        <w:jc w:val="both"/>
        <w:rPr>
          <w:rFonts w:ascii="Arial" w:hAnsi="Arial" w:cs="Arial"/>
          <w:sz w:val="22"/>
          <w:szCs w:val="22"/>
        </w:rPr>
      </w:pPr>
    </w:p>
    <w:p w14:paraId="6EE03308" w14:textId="388ED09B" w:rsidR="00A95AF4" w:rsidRPr="004F154F" w:rsidRDefault="002308EA" w:rsidP="006E41DE">
      <w:pPr>
        <w:spacing w:after="120"/>
        <w:jc w:val="both"/>
        <w:rPr>
          <w:rFonts w:ascii="Arial" w:hAnsi="Arial" w:cs="Arial"/>
          <w:sz w:val="22"/>
          <w:szCs w:val="22"/>
        </w:rPr>
      </w:pPr>
      <w:r w:rsidRPr="004F154F">
        <w:rPr>
          <w:rFonts w:ascii="Arial" w:hAnsi="Arial" w:cs="Arial"/>
          <w:sz w:val="22"/>
          <w:szCs w:val="22"/>
        </w:rPr>
        <w:t>Th</w:t>
      </w:r>
      <w:r>
        <w:rPr>
          <w:rFonts w:ascii="Arial" w:hAnsi="Arial" w:cs="Arial"/>
          <w:sz w:val="22"/>
          <w:szCs w:val="22"/>
        </w:rPr>
        <w:t>e</w:t>
      </w:r>
      <w:r w:rsidRPr="004F154F">
        <w:rPr>
          <w:rFonts w:ascii="Arial" w:hAnsi="Arial" w:cs="Arial"/>
          <w:sz w:val="22"/>
          <w:szCs w:val="22"/>
        </w:rPr>
        <w:t xml:space="preserve"> </w:t>
      </w:r>
      <w:r w:rsidR="00A95AF4" w:rsidRPr="004F154F">
        <w:rPr>
          <w:rFonts w:ascii="Arial" w:hAnsi="Arial" w:cs="Arial"/>
          <w:sz w:val="22"/>
          <w:szCs w:val="22"/>
        </w:rPr>
        <w:t xml:space="preserve">following table provides general guidelines in reporting the soils information (format) to the PM (client) for conventionally advertised projects. </w:t>
      </w:r>
    </w:p>
    <w:tbl>
      <w:tblPr>
        <w:tblpPr w:leftFromText="180" w:rightFromText="180" w:vertAnchor="text" w:horzAnchor="margin" w:tblpXSpec="center" w:tblpY="16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6"/>
        <w:gridCol w:w="4304"/>
      </w:tblGrid>
      <w:tr w:rsidR="00A95AF4" w:rsidRPr="004F154F" w14:paraId="533F17BE" w14:textId="77777777" w:rsidTr="006E41DE">
        <w:trPr>
          <w:trHeight w:val="413"/>
        </w:trPr>
        <w:tc>
          <w:tcPr>
            <w:tcW w:w="4340" w:type="dxa"/>
            <w:shd w:val="pct15" w:color="auto" w:fill="auto"/>
            <w:vAlign w:val="center"/>
          </w:tcPr>
          <w:p w14:paraId="27084922" w14:textId="77777777" w:rsidR="00A95AF4" w:rsidRPr="004F154F" w:rsidRDefault="00A95AF4" w:rsidP="00152A78">
            <w:pPr>
              <w:jc w:val="center"/>
              <w:rPr>
                <w:rFonts w:ascii="Arial" w:hAnsi="Arial" w:cs="Arial"/>
                <w:b/>
                <w:sz w:val="22"/>
                <w:szCs w:val="22"/>
              </w:rPr>
            </w:pPr>
            <w:r w:rsidRPr="004F154F">
              <w:rPr>
                <w:rFonts w:ascii="Arial" w:hAnsi="Arial" w:cs="Arial"/>
                <w:b/>
                <w:sz w:val="22"/>
                <w:szCs w:val="22"/>
              </w:rPr>
              <w:t>Project Origination Division</w:t>
            </w:r>
          </w:p>
        </w:tc>
        <w:tc>
          <w:tcPr>
            <w:tcW w:w="4318" w:type="dxa"/>
            <w:shd w:val="pct15" w:color="auto" w:fill="auto"/>
            <w:vAlign w:val="center"/>
          </w:tcPr>
          <w:p w14:paraId="03EA6C08" w14:textId="77777777" w:rsidR="00A95AF4" w:rsidRPr="004F154F" w:rsidRDefault="00A95AF4" w:rsidP="00152A78">
            <w:pPr>
              <w:jc w:val="center"/>
              <w:rPr>
                <w:rFonts w:ascii="Arial" w:hAnsi="Arial" w:cs="Arial"/>
                <w:b/>
                <w:sz w:val="22"/>
                <w:szCs w:val="22"/>
              </w:rPr>
            </w:pPr>
            <w:r w:rsidRPr="004F154F">
              <w:rPr>
                <w:rFonts w:ascii="Arial" w:hAnsi="Arial" w:cs="Arial"/>
                <w:b/>
                <w:sz w:val="22"/>
                <w:szCs w:val="22"/>
              </w:rPr>
              <w:t>Transmittal Type</w:t>
            </w:r>
          </w:p>
        </w:tc>
      </w:tr>
      <w:tr w:rsidR="00A95AF4" w:rsidRPr="004F154F" w14:paraId="63B6FAB8" w14:textId="77777777" w:rsidTr="00152A78">
        <w:trPr>
          <w:trHeight w:val="412"/>
        </w:trPr>
        <w:tc>
          <w:tcPr>
            <w:tcW w:w="4340" w:type="dxa"/>
            <w:vAlign w:val="center"/>
          </w:tcPr>
          <w:p w14:paraId="367EADA3" w14:textId="77777777" w:rsidR="00A95AF4" w:rsidRPr="004F154F" w:rsidRDefault="00A95AF4" w:rsidP="00152A78">
            <w:pPr>
              <w:jc w:val="center"/>
              <w:rPr>
                <w:rFonts w:ascii="Arial" w:hAnsi="Arial" w:cs="Arial"/>
                <w:sz w:val="22"/>
                <w:szCs w:val="22"/>
              </w:rPr>
            </w:pPr>
            <w:r>
              <w:rPr>
                <w:rFonts w:ascii="Arial" w:hAnsi="Arial" w:cs="Arial"/>
                <w:sz w:val="22"/>
                <w:szCs w:val="22"/>
              </w:rPr>
              <w:t>OOS</w:t>
            </w:r>
          </w:p>
        </w:tc>
        <w:tc>
          <w:tcPr>
            <w:tcW w:w="4318" w:type="dxa"/>
          </w:tcPr>
          <w:p w14:paraId="34D82959" w14:textId="77777777" w:rsidR="00A95AF4" w:rsidRPr="004F154F" w:rsidRDefault="00A95AF4" w:rsidP="00152A78">
            <w:pPr>
              <w:rPr>
                <w:rFonts w:ascii="Arial" w:hAnsi="Arial" w:cs="Arial"/>
                <w:sz w:val="22"/>
                <w:szCs w:val="22"/>
              </w:rPr>
            </w:pPr>
            <w:r w:rsidRPr="004F154F">
              <w:rPr>
                <w:rFonts w:ascii="Arial" w:hAnsi="Arial" w:cs="Arial"/>
                <w:sz w:val="22"/>
                <w:szCs w:val="22"/>
              </w:rPr>
              <w:t>Save the BLOG file on S:Drive and e-mail the link to PM</w:t>
            </w:r>
          </w:p>
        </w:tc>
      </w:tr>
      <w:tr w:rsidR="00A95AF4" w:rsidRPr="004F154F" w14:paraId="48546DE2" w14:textId="77777777" w:rsidTr="00152A78">
        <w:trPr>
          <w:trHeight w:val="485"/>
        </w:trPr>
        <w:tc>
          <w:tcPr>
            <w:tcW w:w="4340" w:type="dxa"/>
            <w:vAlign w:val="center"/>
          </w:tcPr>
          <w:p w14:paraId="7DBD584E" w14:textId="77777777" w:rsidR="00A95AF4" w:rsidRPr="004F154F" w:rsidRDefault="00A95AF4" w:rsidP="00152A78">
            <w:pPr>
              <w:jc w:val="center"/>
              <w:rPr>
                <w:rFonts w:ascii="Arial" w:hAnsi="Arial" w:cs="Arial"/>
                <w:sz w:val="22"/>
                <w:szCs w:val="22"/>
              </w:rPr>
            </w:pPr>
            <w:r w:rsidRPr="004F154F">
              <w:rPr>
                <w:rFonts w:ascii="Arial" w:hAnsi="Arial" w:cs="Arial"/>
                <w:sz w:val="22"/>
                <w:szCs w:val="22"/>
              </w:rPr>
              <w:t>OHD</w:t>
            </w:r>
          </w:p>
        </w:tc>
        <w:tc>
          <w:tcPr>
            <w:tcW w:w="4318" w:type="dxa"/>
          </w:tcPr>
          <w:p w14:paraId="63F1A504" w14:textId="77777777" w:rsidR="00A95AF4" w:rsidRPr="004F154F" w:rsidRDefault="00A95AF4" w:rsidP="00152A78">
            <w:pPr>
              <w:rPr>
                <w:rFonts w:ascii="Arial" w:hAnsi="Arial" w:cs="Arial"/>
                <w:sz w:val="22"/>
                <w:szCs w:val="22"/>
              </w:rPr>
            </w:pPr>
            <w:r w:rsidRPr="004F154F">
              <w:rPr>
                <w:rFonts w:ascii="Arial" w:hAnsi="Arial" w:cs="Arial"/>
                <w:sz w:val="22"/>
                <w:szCs w:val="22"/>
              </w:rPr>
              <w:t>Pdf file of gINT boring logs*</w:t>
            </w:r>
          </w:p>
        </w:tc>
      </w:tr>
      <w:tr w:rsidR="00A95AF4" w:rsidRPr="004F154F" w14:paraId="0226E306" w14:textId="77777777" w:rsidTr="00152A78">
        <w:tc>
          <w:tcPr>
            <w:tcW w:w="4340" w:type="dxa"/>
            <w:vAlign w:val="center"/>
          </w:tcPr>
          <w:p w14:paraId="6A08525D" w14:textId="77777777" w:rsidR="00A95AF4" w:rsidRPr="004F154F" w:rsidRDefault="00A95AF4" w:rsidP="00152A78">
            <w:pPr>
              <w:jc w:val="center"/>
              <w:rPr>
                <w:rFonts w:ascii="Arial" w:hAnsi="Arial" w:cs="Arial"/>
                <w:sz w:val="22"/>
                <w:szCs w:val="22"/>
              </w:rPr>
            </w:pPr>
            <w:r w:rsidRPr="004F154F">
              <w:rPr>
                <w:rFonts w:ascii="Arial" w:hAnsi="Arial" w:cs="Arial"/>
                <w:sz w:val="22"/>
                <w:szCs w:val="22"/>
              </w:rPr>
              <w:t>District Office (rarely)</w:t>
            </w:r>
          </w:p>
        </w:tc>
        <w:tc>
          <w:tcPr>
            <w:tcW w:w="4318" w:type="dxa"/>
          </w:tcPr>
          <w:p w14:paraId="5C4C9CC4" w14:textId="77777777" w:rsidR="00A95AF4" w:rsidRPr="004F154F" w:rsidRDefault="00A95AF4" w:rsidP="00152A78">
            <w:pPr>
              <w:rPr>
                <w:rFonts w:ascii="Arial" w:hAnsi="Arial" w:cs="Arial"/>
                <w:sz w:val="22"/>
                <w:szCs w:val="22"/>
              </w:rPr>
            </w:pPr>
            <w:r w:rsidRPr="004F154F">
              <w:rPr>
                <w:rFonts w:ascii="Arial" w:hAnsi="Arial" w:cs="Arial"/>
                <w:sz w:val="22"/>
                <w:szCs w:val="22"/>
              </w:rPr>
              <w:t>Pdf file of gINT boring logs*</w:t>
            </w:r>
          </w:p>
        </w:tc>
      </w:tr>
    </w:tbl>
    <w:p w14:paraId="28E00C29" w14:textId="59E5A20C" w:rsidR="00A95AF4" w:rsidRPr="006E41DE" w:rsidRDefault="00A95AF4" w:rsidP="006E41DE">
      <w:pPr>
        <w:ind w:left="630" w:hanging="630"/>
        <w:rPr>
          <w:rFonts w:ascii="Arial" w:hAnsi="Arial"/>
          <w:sz w:val="18"/>
        </w:rPr>
      </w:pPr>
      <w:r w:rsidRPr="004F154F">
        <w:rPr>
          <w:rFonts w:ascii="Arial" w:hAnsi="Arial" w:cs="Arial"/>
          <w:sz w:val="22"/>
          <w:szCs w:val="22"/>
        </w:rPr>
        <w:t xml:space="preserve">       *</w:t>
      </w:r>
      <w:r w:rsidR="002308EA">
        <w:rPr>
          <w:rFonts w:ascii="Arial" w:hAnsi="Arial" w:cs="Arial"/>
          <w:sz w:val="22"/>
          <w:szCs w:val="22"/>
        </w:rPr>
        <w:tab/>
      </w:r>
      <w:r w:rsidRPr="006E41DE">
        <w:rPr>
          <w:rFonts w:ascii="Arial" w:hAnsi="Arial"/>
          <w:sz w:val="18"/>
        </w:rPr>
        <w:t xml:space="preserve">Remove the </w:t>
      </w:r>
      <w:r w:rsidRPr="002308EA">
        <w:rPr>
          <w:rFonts w:ascii="Arial" w:hAnsi="Arial" w:cs="Arial"/>
          <w:sz w:val="18"/>
          <w:szCs w:val="18"/>
        </w:rPr>
        <w:t>driller</w:t>
      </w:r>
      <w:r w:rsidR="002308EA">
        <w:rPr>
          <w:rFonts w:ascii="Arial" w:hAnsi="Arial" w:cs="Arial"/>
          <w:sz w:val="18"/>
          <w:szCs w:val="18"/>
        </w:rPr>
        <w:t>'</w:t>
      </w:r>
      <w:r w:rsidRPr="002308EA">
        <w:rPr>
          <w:rFonts w:ascii="Arial" w:hAnsi="Arial" w:cs="Arial"/>
          <w:sz w:val="18"/>
          <w:szCs w:val="18"/>
        </w:rPr>
        <w:t>s</w:t>
      </w:r>
      <w:r w:rsidRPr="006E41DE">
        <w:rPr>
          <w:rFonts w:ascii="Arial" w:hAnsi="Arial"/>
          <w:sz w:val="18"/>
        </w:rPr>
        <w:t xml:space="preserve"> name from the final boring log copy sent to PM to be included in Contract Documents. </w:t>
      </w:r>
    </w:p>
    <w:p w14:paraId="363F5677" w14:textId="77777777" w:rsidR="00A95AF4" w:rsidRPr="004F154F" w:rsidRDefault="00A95AF4" w:rsidP="00A95AF4">
      <w:pPr>
        <w:rPr>
          <w:rFonts w:ascii="Arial" w:hAnsi="Arial" w:cs="Arial"/>
          <w:sz w:val="22"/>
          <w:szCs w:val="22"/>
        </w:rPr>
      </w:pPr>
    </w:p>
    <w:p w14:paraId="36E4EE58" w14:textId="77777777" w:rsidR="00A95AF4" w:rsidRPr="004F154F" w:rsidRDefault="00A95AF4" w:rsidP="00A95AF4">
      <w:pPr>
        <w:jc w:val="both"/>
        <w:rPr>
          <w:rFonts w:ascii="Arial" w:hAnsi="Arial" w:cs="Arial"/>
          <w:sz w:val="22"/>
          <w:szCs w:val="22"/>
        </w:rPr>
      </w:pPr>
      <w:r w:rsidRPr="004F154F">
        <w:rPr>
          <w:rFonts w:ascii="Arial" w:hAnsi="Arial" w:cs="Arial"/>
          <w:sz w:val="22"/>
          <w:szCs w:val="22"/>
        </w:rPr>
        <w:t>Note: The PAGD Engineer should emphasize the importance of having boring information transferred onto the plan sheets (profiles or on separate sheet) and not into the Invitation for Bids (IFB) Book. If the soils information is included in the IFB as part of the Contract Documents, it is not accessible in the future once the project is complete.</w:t>
      </w:r>
    </w:p>
    <w:p w14:paraId="07987B04" w14:textId="77777777" w:rsidR="00A95AF4" w:rsidRPr="00675A40" w:rsidRDefault="00A95AF4" w:rsidP="00A95AF4">
      <w:pPr>
        <w:pStyle w:val="Heading3"/>
        <w:ind w:left="0" w:firstLine="0"/>
      </w:pPr>
      <w:r>
        <w:t>Structure Borings – Design-Build Projects</w:t>
      </w:r>
    </w:p>
    <w:p w14:paraId="37C34066" w14:textId="5A4E5B57" w:rsidR="00A95AF4" w:rsidRDefault="00A95AF4" w:rsidP="00A95AF4">
      <w:pPr>
        <w:jc w:val="both"/>
        <w:rPr>
          <w:rFonts w:ascii="Arial" w:hAnsi="Arial" w:cs="Arial"/>
          <w:sz w:val="22"/>
          <w:szCs w:val="22"/>
        </w:rPr>
      </w:pPr>
      <w:r w:rsidRPr="004F154F">
        <w:rPr>
          <w:rFonts w:ascii="Arial" w:hAnsi="Arial" w:cs="Arial"/>
          <w:sz w:val="22"/>
          <w:szCs w:val="22"/>
        </w:rPr>
        <w:t xml:space="preserve">Structure borings drilled by </w:t>
      </w:r>
      <w:r w:rsidR="008C7023">
        <w:rPr>
          <w:rFonts w:ascii="Arial" w:hAnsi="Arial" w:cs="Arial"/>
          <w:sz w:val="22"/>
          <w:szCs w:val="22"/>
        </w:rPr>
        <w:t>MDOT-SHA</w:t>
      </w:r>
      <w:r w:rsidRPr="004F154F">
        <w:rPr>
          <w:rFonts w:ascii="Arial" w:hAnsi="Arial" w:cs="Arial"/>
          <w:sz w:val="22"/>
          <w:szCs w:val="22"/>
        </w:rPr>
        <w:t xml:space="preserve"> should be entered in gINT</w:t>
      </w:r>
      <w:r w:rsidR="002308EA">
        <w:rPr>
          <w:rFonts w:ascii="Arial" w:hAnsi="Arial" w:cs="Arial"/>
          <w:sz w:val="22"/>
          <w:szCs w:val="22"/>
        </w:rPr>
        <w:t>;</w:t>
      </w:r>
      <w:r w:rsidRPr="004F154F">
        <w:rPr>
          <w:rFonts w:ascii="Arial" w:hAnsi="Arial" w:cs="Arial"/>
          <w:sz w:val="22"/>
          <w:szCs w:val="22"/>
        </w:rPr>
        <w:t xml:space="preserve"> </w:t>
      </w:r>
      <w:r w:rsidR="002308EA">
        <w:rPr>
          <w:rFonts w:ascii="Arial" w:hAnsi="Arial" w:cs="Arial"/>
          <w:sz w:val="22"/>
          <w:szCs w:val="22"/>
        </w:rPr>
        <w:t>r</w:t>
      </w:r>
      <w:r w:rsidRPr="004F154F">
        <w:rPr>
          <w:rFonts w:ascii="Arial" w:hAnsi="Arial" w:cs="Arial"/>
          <w:sz w:val="22"/>
          <w:szCs w:val="22"/>
        </w:rPr>
        <w:t xml:space="preserve">efer to </w:t>
      </w:r>
      <w:hyperlink w:anchor="_gINT_Instructions" w:history="1">
        <w:r w:rsidRPr="004F154F">
          <w:rPr>
            <w:rStyle w:val="Hyperlink"/>
            <w:rFonts w:ascii="Arial" w:hAnsi="Arial" w:cs="Arial"/>
            <w:sz w:val="22"/>
            <w:szCs w:val="22"/>
          </w:rPr>
          <w:t>gINT Instructions</w:t>
        </w:r>
      </w:hyperlink>
      <w:r w:rsidRPr="004F154F">
        <w:rPr>
          <w:rFonts w:ascii="Arial" w:hAnsi="Arial" w:cs="Arial"/>
          <w:sz w:val="22"/>
          <w:szCs w:val="22"/>
        </w:rPr>
        <w:t>. The borings are then printed using gINT. After printing, review individual structure boring with the original structure boring log for any correction. The final structure borings should be included as part of the Contract Document</w:t>
      </w:r>
      <w:r w:rsidR="002308EA">
        <w:rPr>
          <w:rFonts w:ascii="Arial" w:hAnsi="Arial" w:cs="Arial"/>
          <w:sz w:val="22"/>
          <w:szCs w:val="22"/>
        </w:rPr>
        <w:t>s</w:t>
      </w:r>
      <w:r w:rsidRPr="004F154F">
        <w:rPr>
          <w:rFonts w:ascii="Arial" w:hAnsi="Arial" w:cs="Arial"/>
          <w:sz w:val="22"/>
          <w:szCs w:val="22"/>
        </w:rPr>
        <w:t>.</w:t>
      </w:r>
    </w:p>
    <w:p w14:paraId="588A65BD" w14:textId="77777777" w:rsidR="00A95AF4" w:rsidRPr="004F154F" w:rsidRDefault="00A95AF4" w:rsidP="00A95AF4">
      <w:pPr>
        <w:jc w:val="both"/>
        <w:rPr>
          <w:rFonts w:ascii="Arial" w:hAnsi="Arial" w:cs="Arial"/>
          <w:sz w:val="22"/>
          <w:szCs w:val="22"/>
        </w:rPr>
      </w:pPr>
    </w:p>
    <w:p w14:paraId="506DF7F3" w14:textId="194940A4" w:rsidR="00A95AF4" w:rsidRPr="004F154F" w:rsidRDefault="00A95AF4" w:rsidP="00A95AF4">
      <w:pPr>
        <w:jc w:val="both"/>
        <w:rPr>
          <w:rFonts w:ascii="Arial" w:hAnsi="Arial" w:cs="Arial"/>
          <w:sz w:val="22"/>
          <w:szCs w:val="22"/>
        </w:rPr>
      </w:pPr>
      <w:r w:rsidRPr="004F154F">
        <w:rPr>
          <w:rFonts w:ascii="Arial" w:hAnsi="Arial" w:cs="Arial"/>
          <w:sz w:val="22"/>
          <w:szCs w:val="22"/>
        </w:rPr>
        <w:lastRenderedPageBreak/>
        <w:t>The Design-Builder</w:t>
      </w:r>
      <w:r>
        <w:rPr>
          <w:rFonts w:ascii="Arial" w:hAnsi="Arial" w:cs="Arial"/>
          <w:sz w:val="22"/>
          <w:szCs w:val="22"/>
        </w:rPr>
        <w:t>s</w:t>
      </w:r>
      <w:r w:rsidRPr="004F154F">
        <w:rPr>
          <w:rFonts w:ascii="Arial" w:hAnsi="Arial" w:cs="Arial"/>
          <w:sz w:val="22"/>
          <w:szCs w:val="22"/>
        </w:rPr>
        <w:t xml:space="preserve"> should plot all soils information provided by </w:t>
      </w:r>
      <w:r w:rsidR="008C7023">
        <w:rPr>
          <w:rFonts w:ascii="Arial" w:hAnsi="Arial" w:cs="Arial"/>
          <w:sz w:val="22"/>
          <w:szCs w:val="22"/>
        </w:rPr>
        <w:t>MDOT-SHA</w:t>
      </w:r>
      <w:r w:rsidRPr="004F154F">
        <w:rPr>
          <w:rFonts w:ascii="Arial" w:hAnsi="Arial" w:cs="Arial"/>
          <w:sz w:val="22"/>
          <w:szCs w:val="22"/>
        </w:rPr>
        <w:t xml:space="preserve"> as well as their own soils information on the Contract Documents for submittal to </w:t>
      </w:r>
      <w:r w:rsidR="008C7023">
        <w:rPr>
          <w:rFonts w:ascii="Arial" w:hAnsi="Arial" w:cs="Arial"/>
          <w:sz w:val="22"/>
          <w:szCs w:val="22"/>
        </w:rPr>
        <w:t>MDOT-SHA</w:t>
      </w:r>
      <w:r w:rsidRPr="004F154F">
        <w:rPr>
          <w:rFonts w:ascii="Arial" w:hAnsi="Arial" w:cs="Arial"/>
          <w:sz w:val="22"/>
          <w:szCs w:val="22"/>
        </w:rPr>
        <w:t xml:space="preserve"> for review.</w:t>
      </w:r>
    </w:p>
    <w:p w14:paraId="6A36F9C7" w14:textId="77777777" w:rsidR="00A95AF4" w:rsidRPr="00675A40" w:rsidRDefault="00A95AF4" w:rsidP="00A95AF4">
      <w:pPr>
        <w:pStyle w:val="Heading3"/>
        <w:ind w:left="0" w:firstLine="0"/>
      </w:pPr>
      <w:bookmarkStart w:id="267" w:name="_Laboratory_Data_–"/>
      <w:bookmarkEnd w:id="267"/>
      <w:r>
        <w:t>Laboratory Data – Design-Build Projects</w:t>
      </w:r>
    </w:p>
    <w:p w14:paraId="11ED9D75" w14:textId="30B3A931"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The laboratory data for Design-Build projects can be done in </w:t>
      </w:r>
      <w:r w:rsidR="002308EA">
        <w:rPr>
          <w:rFonts w:ascii="Arial" w:hAnsi="Arial" w:cs="Arial"/>
          <w:sz w:val="22"/>
          <w:szCs w:val="22"/>
        </w:rPr>
        <w:t xml:space="preserve">the </w:t>
      </w:r>
      <w:r w:rsidRPr="004F154F">
        <w:rPr>
          <w:rFonts w:ascii="Arial" w:hAnsi="Arial" w:cs="Arial"/>
          <w:sz w:val="22"/>
          <w:szCs w:val="22"/>
        </w:rPr>
        <w:t>following two ways:</w:t>
      </w:r>
    </w:p>
    <w:p w14:paraId="63BE467A" w14:textId="32706D05" w:rsidR="00A95AF4" w:rsidRDefault="00A95AF4" w:rsidP="00172E64">
      <w:pPr>
        <w:numPr>
          <w:ilvl w:val="0"/>
          <w:numId w:val="67"/>
        </w:numPr>
        <w:tabs>
          <w:tab w:val="clear" w:pos="720"/>
        </w:tabs>
        <w:ind w:left="540" w:hanging="540"/>
        <w:jc w:val="both"/>
        <w:rPr>
          <w:rFonts w:ascii="Arial" w:hAnsi="Arial" w:cs="Arial"/>
          <w:sz w:val="22"/>
          <w:szCs w:val="22"/>
        </w:rPr>
      </w:pPr>
      <w:r w:rsidRPr="004F154F">
        <w:rPr>
          <w:rFonts w:ascii="Arial" w:hAnsi="Arial" w:cs="Arial"/>
          <w:sz w:val="22"/>
          <w:szCs w:val="22"/>
        </w:rPr>
        <w:t xml:space="preserve">Laboratory data drilled by </w:t>
      </w:r>
      <w:r w:rsidR="008C7023">
        <w:rPr>
          <w:rFonts w:ascii="Arial" w:hAnsi="Arial" w:cs="Arial"/>
          <w:sz w:val="22"/>
          <w:szCs w:val="22"/>
        </w:rPr>
        <w:t>MDOT-SHA</w:t>
      </w:r>
      <w:r w:rsidRPr="004F154F">
        <w:rPr>
          <w:rFonts w:ascii="Arial" w:hAnsi="Arial" w:cs="Arial"/>
          <w:sz w:val="22"/>
          <w:szCs w:val="22"/>
        </w:rPr>
        <w:t xml:space="preserve"> and entered in gINT. The laboratory data is then printed using the attachment</w:t>
      </w:r>
      <w:r>
        <w:rPr>
          <w:rFonts w:ascii="Arial" w:hAnsi="Arial" w:cs="Arial"/>
          <w:sz w:val="22"/>
          <w:szCs w:val="22"/>
        </w:rPr>
        <w:t xml:space="preserve"> </w:t>
      </w:r>
      <w:r w:rsidR="00CE5D5E" w:rsidRPr="00E05BED">
        <w:rPr>
          <w:rFonts w:ascii="Arial" w:hAnsi="Arial" w:cs="Arial"/>
          <w:sz w:val="22"/>
          <w:szCs w:val="22"/>
        </w:rPr>
        <w:t>Guidelines for Using Microsoft Excel Macro for laboratory data</w:t>
      </w:r>
      <w:r w:rsidR="00E05BED">
        <w:rPr>
          <w:rFonts w:ascii="Arial" w:hAnsi="Arial" w:cs="Arial"/>
          <w:sz w:val="22"/>
          <w:szCs w:val="22"/>
        </w:rPr>
        <w:t xml:space="preserve"> (refer to </w:t>
      </w:r>
      <w:hyperlink w:anchor="_Reference_Guidelines" w:history="1">
        <w:r w:rsidR="00E05BED" w:rsidRPr="00E05BED">
          <w:rPr>
            <w:rStyle w:val="Hyperlink"/>
            <w:rFonts w:ascii="Arial" w:hAnsi="Arial" w:cs="Arial"/>
            <w:sz w:val="22"/>
            <w:szCs w:val="22"/>
          </w:rPr>
          <w:t>Reference Guidelines</w:t>
        </w:r>
      </w:hyperlink>
      <w:r w:rsidR="00E05BED">
        <w:rPr>
          <w:rFonts w:ascii="Arial" w:hAnsi="Arial" w:cs="Arial"/>
          <w:sz w:val="22"/>
          <w:szCs w:val="22"/>
        </w:rPr>
        <w:t>).</w:t>
      </w:r>
      <w:r w:rsidRPr="004F154F">
        <w:rPr>
          <w:rFonts w:ascii="Arial" w:hAnsi="Arial" w:cs="Arial"/>
          <w:sz w:val="22"/>
          <w:szCs w:val="22"/>
        </w:rPr>
        <w:t xml:space="preserve"> </w:t>
      </w:r>
      <w:r w:rsidR="00E05BED">
        <w:rPr>
          <w:rFonts w:ascii="Arial" w:hAnsi="Arial" w:cs="Arial"/>
          <w:sz w:val="22"/>
          <w:szCs w:val="22"/>
        </w:rPr>
        <w:t xml:space="preserve"> </w:t>
      </w:r>
      <w:r w:rsidRPr="004F154F">
        <w:rPr>
          <w:rFonts w:ascii="Arial" w:hAnsi="Arial" w:cs="Arial"/>
          <w:sz w:val="22"/>
          <w:szCs w:val="22"/>
        </w:rPr>
        <w:t>After printing, review the laboratory data with the original data for any correction. The final laboratory data should be included as part of the Contract Document</w:t>
      </w:r>
      <w:r w:rsidR="002308EA">
        <w:rPr>
          <w:rFonts w:ascii="Arial" w:hAnsi="Arial" w:cs="Arial"/>
          <w:sz w:val="22"/>
          <w:szCs w:val="22"/>
        </w:rPr>
        <w:t>s</w:t>
      </w:r>
      <w:r w:rsidRPr="004F154F">
        <w:rPr>
          <w:rFonts w:ascii="Arial" w:hAnsi="Arial" w:cs="Arial"/>
          <w:sz w:val="22"/>
          <w:szCs w:val="22"/>
        </w:rPr>
        <w:t>.</w:t>
      </w:r>
    </w:p>
    <w:p w14:paraId="1AEB4AC4" w14:textId="62687EBE" w:rsidR="00A95AF4" w:rsidRDefault="00A95AF4" w:rsidP="00172E64">
      <w:pPr>
        <w:numPr>
          <w:ilvl w:val="0"/>
          <w:numId w:val="67"/>
        </w:numPr>
        <w:tabs>
          <w:tab w:val="clear" w:pos="720"/>
        </w:tabs>
        <w:spacing w:after="200" w:line="276" w:lineRule="auto"/>
        <w:ind w:left="540" w:hanging="540"/>
        <w:jc w:val="both"/>
        <w:rPr>
          <w:rFonts w:ascii="Arial" w:hAnsi="Arial" w:cs="Arial"/>
          <w:sz w:val="22"/>
          <w:szCs w:val="22"/>
        </w:rPr>
      </w:pPr>
      <w:r w:rsidRPr="004F154F">
        <w:rPr>
          <w:rFonts w:ascii="Arial" w:hAnsi="Arial" w:cs="Arial"/>
          <w:sz w:val="22"/>
          <w:szCs w:val="22"/>
        </w:rPr>
        <w:t xml:space="preserve">The Design-Builder should submit all laboratory data to </w:t>
      </w:r>
      <w:r w:rsidR="008C7023">
        <w:rPr>
          <w:rFonts w:ascii="Arial" w:hAnsi="Arial" w:cs="Arial"/>
          <w:sz w:val="22"/>
          <w:szCs w:val="22"/>
        </w:rPr>
        <w:t>MDOT-SHA</w:t>
      </w:r>
      <w:r w:rsidRPr="004F154F">
        <w:rPr>
          <w:rFonts w:ascii="Arial" w:hAnsi="Arial" w:cs="Arial"/>
          <w:sz w:val="22"/>
          <w:szCs w:val="22"/>
        </w:rPr>
        <w:t xml:space="preserve"> for review as part of the submittal.</w:t>
      </w:r>
    </w:p>
    <w:p w14:paraId="4CC819F5" w14:textId="1CD318D0" w:rsidR="006E41DE" w:rsidRDefault="006E41DE" w:rsidP="006E41DE">
      <w:pPr>
        <w:pStyle w:val="Heading3"/>
        <w:numPr>
          <w:ilvl w:val="0"/>
          <w:numId w:val="0"/>
        </w:numPr>
        <w:tabs>
          <w:tab w:val="left" w:pos="1080"/>
        </w:tabs>
      </w:pPr>
      <w:r>
        <w:t>5.03.08</w:t>
      </w:r>
      <w:r>
        <w:tab/>
      </w:r>
      <w:r w:rsidR="00A95AF4">
        <w:t>Environmental Water/Soil Samples Data</w:t>
      </w:r>
      <w:r w:rsidR="007A550B">
        <w:t xml:space="preserve"> </w:t>
      </w:r>
    </w:p>
    <w:p w14:paraId="4F9FF08F" w14:textId="0D95F441" w:rsidR="00A95AF4" w:rsidRDefault="007A550B" w:rsidP="006E41DE">
      <w:pPr>
        <w:pStyle w:val="Heading3"/>
        <w:numPr>
          <w:ilvl w:val="0"/>
          <w:numId w:val="0"/>
        </w:numPr>
        <w:tabs>
          <w:tab w:val="left" w:pos="1080"/>
        </w:tabs>
      </w:pPr>
      <w:r>
        <w:t xml:space="preserve">General </w:t>
      </w:r>
    </w:p>
    <w:p w14:paraId="7979B7D8" w14:textId="77777777" w:rsidR="00A95AF4" w:rsidRPr="004F154F" w:rsidRDefault="00A95AF4" w:rsidP="00A95AF4">
      <w:pPr>
        <w:jc w:val="both"/>
        <w:rPr>
          <w:rFonts w:ascii="Arial" w:hAnsi="Arial" w:cs="Arial"/>
          <w:sz w:val="22"/>
          <w:szCs w:val="22"/>
        </w:rPr>
      </w:pPr>
      <w:r w:rsidRPr="004F154F">
        <w:rPr>
          <w:rFonts w:ascii="Arial" w:hAnsi="Arial" w:cs="Arial"/>
          <w:sz w:val="22"/>
          <w:szCs w:val="22"/>
        </w:rPr>
        <w:t>Chemical tests are performed to alert the PM about the soil and water problems which will require special treatment by the Contractor. Usually tests are performed on the samples retrieved from any areas on the project where construction will cause a change in the soils that are in contact with existing waters.</w:t>
      </w:r>
    </w:p>
    <w:p w14:paraId="4D8ECD75" w14:textId="77777777" w:rsidR="00A95AF4" w:rsidRPr="004F154F" w:rsidRDefault="00A95AF4" w:rsidP="00A95AF4">
      <w:pPr>
        <w:jc w:val="both"/>
        <w:rPr>
          <w:rFonts w:ascii="Arial" w:hAnsi="Arial" w:cs="Arial"/>
          <w:sz w:val="22"/>
          <w:szCs w:val="22"/>
        </w:rPr>
      </w:pPr>
    </w:p>
    <w:p w14:paraId="7A6CE23C" w14:textId="20CDADEC" w:rsidR="00A95AF4" w:rsidRPr="004F154F" w:rsidRDefault="00A95AF4" w:rsidP="00A95AF4">
      <w:pPr>
        <w:jc w:val="both"/>
        <w:rPr>
          <w:rFonts w:ascii="Arial" w:hAnsi="Arial" w:cs="Arial"/>
          <w:sz w:val="22"/>
          <w:szCs w:val="22"/>
        </w:rPr>
      </w:pPr>
      <w:r w:rsidRPr="004F154F">
        <w:rPr>
          <w:rFonts w:ascii="Arial" w:hAnsi="Arial" w:cs="Arial"/>
          <w:sz w:val="22"/>
          <w:szCs w:val="22"/>
        </w:rPr>
        <w:t>Listed below are the typical chemical tests performed on water samples: pH, Conductivity, Chlorides, Sulfates, Fluorides, Phosphates, Nitrates, Dissolved Solids, Suspended Solids, Turbidity, Aluminum, Iron, Sodium, Calcium, Manganese, Magnesium</w:t>
      </w:r>
      <w:r w:rsidR="004F5528">
        <w:rPr>
          <w:rFonts w:ascii="Arial" w:hAnsi="Arial" w:cs="Arial"/>
          <w:sz w:val="22"/>
          <w:szCs w:val="22"/>
        </w:rPr>
        <w:t>,</w:t>
      </w:r>
      <w:r w:rsidRPr="004F154F">
        <w:rPr>
          <w:rFonts w:ascii="Arial" w:hAnsi="Arial" w:cs="Arial"/>
          <w:sz w:val="22"/>
          <w:szCs w:val="22"/>
        </w:rPr>
        <w:t xml:space="preserve"> </w:t>
      </w:r>
      <w:r w:rsidR="004F5528">
        <w:rPr>
          <w:rFonts w:ascii="Arial" w:hAnsi="Arial" w:cs="Arial"/>
          <w:sz w:val="22"/>
          <w:szCs w:val="22"/>
        </w:rPr>
        <w:t>e</w:t>
      </w:r>
      <w:r w:rsidRPr="004F154F">
        <w:rPr>
          <w:rFonts w:ascii="Arial" w:hAnsi="Arial" w:cs="Arial"/>
          <w:sz w:val="22"/>
          <w:szCs w:val="22"/>
        </w:rPr>
        <w:t>tc.</w:t>
      </w:r>
    </w:p>
    <w:p w14:paraId="3E3004BE" w14:textId="77777777" w:rsidR="00A95AF4" w:rsidRPr="004F154F" w:rsidRDefault="00A95AF4" w:rsidP="00A95AF4">
      <w:pPr>
        <w:jc w:val="both"/>
        <w:rPr>
          <w:rFonts w:ascii="Arial" w:hAnsi="Arial" w:cs="Arial"/>
          <w:sz w:val="22"/>
          <w:szCs w:val="22"/>
        </w:rPr>
      </w:pPr>
    </w:p>
    <w:p w14:paraId="5332CB0F" w14:textId="696BA978" w:rsidR="00A95AF4" w:rsidRPr="004F154F" w:rsidRDefault="00A95AF4" w:rsidP="00A95AF4">
      <w:pPr>
        <w:jc w:val="both"/>
        <w:rPr>
          <w:rFonts w:ascii="Arial" w:hAnsi="Arial" w:cs="Arial"/>
          <w:sz w:val="22"/>
          <w:szCs w:val="22"/>
        </w:rPr>
      </w:pPr>
      <w:r w:rsidRPr="004F154F">
        <w:rPr>
          <w:rFonts w:ascii="Arial" w:hAnsi="Arial" w:cs="Arial"/>
          <w:sz w:val="22"/>
          <w:szCs w:val="22"/>
        </w:rPr>
        <w:t>Listed below are the typical chemical tests performed on soil samples: pH, ORG%, Corrosivity, Resistivity</w:t>
      </w:r>
      <w:r w:rsidR="002308EA">
        <w:rPr>
          <w:rFonts w:ascii="Arial" w:hAnsi="Arial" w:cs="Arial"/>
          <w:sz w:val="22"/>
          <w:szCs w:val="22"/>
        </w:rPr>
        <w:t>,</w:t>
      </w:r>
      <w:r w:rsidRPr="004F154F">
        <w:rPr>
          <w:rFonts w:ascii="Arial" w:hAnsi="Arial" w:cs="Arial"/>
          <w:sz w:val="22"/>
          <w:szCs w:val="22"/>
        </w:rPr>
        <w:t xml:space="preserve"> etc.</w:t>
      </w:r>
    </w:p>
    <w:p w14:paraId="5EA4D6B7" w14:textId="77777777" w:rsidR="00A95AF4" w:rsidRPr="004F154F" w:rsidRDefault="00A95AF4" w:rsidP="00A95AF4">
      <w:pPr>
        <w:jc w:val="both"/>
        <w:rPr>
          <w:rFonts w:ascii="Arial" w:hAnsi="Arial" w:cs="Arial"/>
          <w:sz w:val="22"/>
          <w:szCs w:val="22"/>
        </w:rPr>
      </w:pPr>
    </w:p>
    <w:p w14:paraId="74CE0345" w14:textId="77777777" w:rsidR="00A95AF4" w:rsidRPr="004F154F" w:rsidRDefault="00A95AF4" w:rsidP="00A95AF4">
      <w:pPr>
        <w:jc w:val="both"/>
        <w:rPr>
          <w:rFonts w:ascii="Arial" w:hAnsi="Arial" w:cs="Arial"/>
          <w:sz w:val="22"/>
          <w:szCs w:val="22"/>
        </w:rPr>
      </w:pPr>
      <w:r w:rsidRPr="004F154F">
        <w:rPr>
          <w:rFonts w:ascii="Arial" w:hAnsi="Arial" w:cs="Arial"/>
          <w:sz w:val="22"/>
          <w:szCs w:val="22"/>
        </w:rPr>
        <w:t xml:space="preserve">All test results should be tabulated in an MS-Excel Sheet or in MS-Word corresponding to the location and depth of the sample and be transferred to the PM to be included in the Contract Documents. </w:t>
      </w:r>
    </w:p>
    <w:p w14:paraId="1E605146" w14:textId="77777777" w:rsidR="00A95AF4" w:rsidRPr="004F154F" w:rsidRDefault="00A95AF4" w:rsidP="00A95AF4">
      <w:pPr>
        <w:jc w:val="both"/>
        <w:rPr>
          <w:rFonts w:ascii="Arial" w:hAnsi="Arial" w:cs="Arial"/>
          <w:sz w:val="22"/>
          <w:szCs w:val="22"/>
        </w:rPr>
      </w:pPr>
    </w:p>
    <w:p w14:paraId="07E105AA" w14:textId="62514C7D" w:rsidR="0029193D" w:rsidRDefault="00A95AF4" w:rsidP="00A95AF4">
      <w:pPr>
        <w:jc w:val="both"/>
        <w:rPr>
          <w:rFonts w:ascii="Arial" w:hAnsi="Arial" w:cs="Arial"/>
          <w:sz w:val="22"/>
          <w:szCs w:val="22"/>
        </w:rPr>
      </w:pPr>
      <w:r w:rsidRPr="004F154F">
        <w:rPr>
          <w:rFonts w:ascii="Arial" w:hAnsi="Arial" w:cs="Arial"/>
          <w:sz w:val="22"/>
          <w:szCs w:val="22"/>
        </w:rPr>
        <w:t xml:space="preserve">Refer to </w:t>
      </w:r>
      <w:hyperlink w:anchor="_Example_Memos" w:history="1">
        <w:r w:rsidR="008E6917" w:rsidRPr="008E6917">
          <w:rPr>
            <w:rStyle w:val="Hyperlink"/>
            <w:rFonts w:ascii="Arial" w:hAnsi="Arial" w:cs="Arial"/>
            <w:sz w:val="22"/>
            <w:szCs w:val="22"/>
          </w:rPr>
          <w:t>Example Memos</w:t>
        </w:r>
      </w:hyperlink>
      <w:r w:rsidR="008E6917">
        <w:rPr>
          <w:rFonts w:ascii="Arial" w:hAnsi="Arial" w:cs="Arial"/>
          <w:sz w:val="22"/>
          <w:szCs w:val="22"/>
        </w:rPr>
        <w:t xml:space="preserve"> for </w:t>
      </w:r>
      <w:r w:rsidRPr="004F154F">
        <w:rPr>
          <w:rFonts w:ascii="Arial" w:hAnsi="Arial" w:cs="Arial"/>
          <w:sz w:val="22"/>
          <w:szCs w:val="22"/>
        </w:rPr>
        <w:t>examples.</w:t>
      </w:r>
    </w:p>
    <w:p w14:paraId="301C7D28" w14:textId="77777777" w:rsidR="0029193D" w:rsidRDefault="0029193D" w:rsidP="00A95AF4">
      <w:pPr>
        <w:jc w:val="both"/>
        <w:rPr>
          <w:rFonts w:ascii="Arial" w:hAnsi="Arial" w:cs="Arial"/>
          <w:sz w:val="22"/>
          <w:szCs w:val="22"/>
        </w:rPr>
      </w:pPr>
    </w:p>
    <w:p w14:paraId="4AFCFE5D" w14:textId="5EA30C52" w:rsidR="008E6917" w:rsidRPr="004F154F" w:rsidRDefault="00A95AF4" w:rsidP="00A95AF4">
      <w:pPr>
        <w:jc w:val="both"/>
        <w:rPr>
          <w:rFonts w:ascii="Arial" w:hAnsi="Arial" w:cs="Arial"/>
          <w:sz w:val="22"/>
          <w:szCs w:val="22"/>
        </w:rPr>
        <w:sectPr w:rsidR="008E6917" w:rsidRPr="004F154F" w:rsidSect="00EF7604">
          <w:headerReference w:type="default" r:id="rId175"/>
          <w:footerReference w:type="default" r:id="rId176"/>
          <w:type w:val="continuous"/>
          <w:pgSz w:w="12240" w:h="15840"/>
          <w:pgMar w:top="1440" w:right="1800" w:bottom="1440" w:left="1800" w:header="432" w:footer="720" w:gutter="0"/>
          <w:pgNumType w:chapStyle="1"/>
          <w:cols w:space="720"/>
          <w:docGrid w:linePitch="272"/>
        </w:sectPr>
      </w:pPr>
      <w:r w:rsidRPr="004F154F">
        <w:rPr>
          <w:rFonts w:ascii="Arial" w:hAnsi="Arial" w:cs="Arial"/>
          <w:sz w:val="22"/>
          <w:szCs w:val="22"/>
        </w:rPr>
        <w:t xml:space="preserve">  </w:t>
      </w:r>
    </w:p>
    <w:p w14:paraId="534788B1" w14:textId="15F4870E" w:rsidR="00D717CB" w:rsidRPr="00D87366" w:rsidRDefault="00D717CB" w:rsidP="00172E64">
      <w:pPr>
        <w:pStyle w:val="Heading2"/>
        <w:numPr>
          <w:ilvl w:val="1"/>
          <w:numId w:val="183"/>
        </w:numPr>
        <w:tabs>
          <w:tab w:val="left" w:pos="720"/>
        </w:tabs>
        <w:ind w:left="0" w:firstLine="0"/>
      </w:pPr>
      <w:bookmarkStart w:id="268" w:name="_Geotechnical_Data_Analysis"/>
      <w:bookmarkStart w:id="269" w:name="_Toc479160101"/>
      <w:bookmarkStart w:id="270" w:name="_Toc514057989"/>
      <w:bookmarkStart w:id="271" w:name="_Toc194932385"/>
      <w:bookmarkEnd w:id="268"/>
      <w:r>
        <w:lastRenderedPageBreak/>
        <w:t>Geotechnical Data Analysis</w:t>
      </w:r>
      <w:bookmarkEnd w:id="269"/>
      <w:bookmarkEnd w:id="270"/>
      <w:bookmarkEnd w:id="271"/>
    </w:p>
    <w:p w14:paraId="7C76B022" w14:textId="63F046D4" w:rsidR="003B42FC" w:rsidRPr="00A02D42" w:rsidRDefault="003B42FC" w:rsidP="00172E64">
      <w:pPr>
        <w:pStyle w:val="Heading3"/>
        <w:numPr>
          <w:ilvl w:val="2"/>
          <w:numId w:val="183"/>
        </w:numPr>
        <w:ind w:left="0" w:firstLine="0"/>
      </w:pPr>
      <w:r w:rsidRPr="00A04976">
        <w:t>QA/QC of Field</w:t>
      </w:r>
      <w:r w:rsidR="006375F2">
        <w:t>,</w:t>
      </w:r>
      <w:r w:rsidRPr="00A04976">
        <w:t xml:space="preserve"> Laboratory</w:t>
      </w:r>
      <w:r w:rsidR="00123F3B">
        <w:t xml:space="preserve"> and Geophysical</w:t>
      </w:r>
      <w:r w:rsidRPr="00A04976">
        <w:t xml:space="preserve"> Data</w:t>
      </w:r>
    </w:p>
    <w:p w14:paraId="705002DB" w14:textId="77777777" w:rsidR="003B42FC" w:rsidRPr="00631AD9" w:rsidRDefault="003B42FC" w:rsidP="00172E64">
      <w:pPr>
        <w:pStyle w:val="Heading4"/>
        <w:numPr>
          <w:ilvl w:val="3"/>
          <w:numId w:val="183"/>
        </w:numPr>
        <w:spacing w:before="120"/>
        <w:ind w:left="0" w:firstLine="0"/>
      </w:pPr>
      <w:bookmarkStart w:id="272" w:name="_Purpose"/>
      <w:bookmarkEnd w:id="272"/>
      <w:r w:rsidRPr="00631AD9">
        <w:t>Purpose</w:t>
      </w:r>
    </w:p>
    <w:p w14:paraId="488A8B29" w14:textId="5EFA03A9" w:rsidR="003B42FC" w:rsidRPr="00BF585A" w:rsidRDefault="003B42FC" w:rsidP="0077681B">
      <w:pPr>
        <w:pStyle w:val="BodyText"/>
        <w:jc w:val="both"/>
      </w:pPr>
      <w:r w:rsidRPr="00631AD9">
        <w:t>QA</w:t>
      </w:r>
      <w:r w:rsidRPr="00BF585A">
        <w:t xml:space="preserve">/QC of </w:t>
      </w:r>
      <w:r w:rsidR="006375F2">
        <w:t>f</w:t>
      </w:r>
      <w:r w:rsidRPr="00BF585A">
        <w:t>ield</w:t>
      </w:r>
      <w:r w:rsidR="002308EA">
        <w:t>,</w:t>
      </w:r>
      <w:r w:rsidRPr="00BF585A">
        <w:t xml:space="preserve"> </w:t>
      </w:r>
      <w:r w:rsidR="006375F2">
        <w:t>l</w:t>
      </w:r>
      <w:r w:rsidRPr="00BF585A">
        <w:t>aboratory</w:t>
      </w:r>
      <w:r w:rsidR="002308EA">
        <w:t>,</w:t>
      </w:r>
      <w:r w:rsidRPr="00BF585A">
        <w:t xml:space="preserve"> </w:t>
      </w:r>
      <w:r w:rsidR="006375F2">
        <w:t>and geophysical d</w:t>
      </w:r>
      <w:r w:rsidRPr="00BF585A">
        <w:t xml:space="preserve">ata is conducted to verify all the information requested was obtained and is correct in order to perform design and provide recommendations. </w:t>
      </w:r>
    </w:p>
    <w:p w14:paraId="06098AA0" w14:textId="77777777" w:rsidR="001A15B9" w:rsidRDefault="003B42FC" w:rsidP="00172E64">
      <w:pPr>
        <w:pStyle w:val="BodyText"/>
        <w:numPr>
          <w:ilvl w:val="0"/>
          <w:numId w:val="43"/>
        </w:numPr>
        <w:spacing w:after="0"/>
        <w:ind w:hanging="720"/>
        <w:jc w:val="both"/>
      </w:pPr>
      <w:r w:rsidRPr="005151AE">
        <w:t xml:space="preserve">Verify with the project plans to determine if the boring and lab testing data is sufficient for the design and the recommendations. If not, request additional soil borings and or lab testing after discussion with </w:t>
      </w:r>
      <w:r>
        <w:t xml:space="preserve">the </w:t>
      </w:r>
      <w:r w:rsidRPr="005151AE">
        <w:t xml:space="preserve">PAGD TL and </w:t>
      </w:r>
      <w:r>
        <w:t xml:space="preserve">the </w:t>
      </w:r>
      <w:r w:rsidRPr="005151AE">
        <w:t xml:space="preserve">PAGD ADC-Design. </w:t>
      </w:r>
    </w:p>
    <w:p w14:paraId="3717D0BA" w14:textId="77777777" w:rsidR="001A15B9" w:rsidRDefault="003B42FC" w:rsidP="00172E64">
      <w:pPr>
        <w:pStyle w:val="BodyText"/>
        <w:numPr>
          <w:ilvl w:val="0"/>
          <w:numId w:val="43"/>
        </w:numPr>
        <w:spacing w:after="0"/>
        <w:ind w:hanging="720"/>
        <w:jc w:val="both"/>
      </w:pPr>
      <w:r w:rsidRPr="00631AD9">
        <w:t xml:space="preserve">Verify soils classified by the driller </w:t>
      </w:r>
      <w:r>
        <w:t>correspond with the</w:t>
      </w:r>
      <w:r w:rsidRPr="00631AD9">
        <w:t xml:space="preserve"> laboratory test results. </w:t>
      </w:r>
    </w:p>
    <w:p w14:paraId="2263F53B" w14:textId="1791F7B8" w:rsidR="006375F2" w:rsidRPr="006375F2" w:rsidRDefault="006375F2" w:rsidP="00172E64">
      <w:pPr>
        <w:pStyle w:val="BodyText"/>
        <w:numPr>
          <w:ilvl w:val="0"/>
          <w:numId w:val="43"/>
        </w:numPr>
        <w:spacing w:after="0"/>
        <w:ind w:hanging="720"/>
        <w:jc w:val="both"/>
      </w:pPr>
      <w:r>
        <w:t xml:space="preserve">Verify the geophysical report for completeness.  Refer to the list in </w:t>
      </w:r>
      <w:hyperlink w:anchor="_General" w:history="1">
        <w:r w:rsidRPr="00644388">
          <w:rPr>
            <w:rStyle w:val="Hyperlink"/>
            <w:i/>
          </w:rPr>
          <w:t>Section 3.07.0</w:t>
        </w:r>
        <w:r w:rsidR="00E3383A" w:rsidRPr="00644388">
          <w:rPr>
            <w:rStyle w:val="Hyperlink"/>
            <w:i/>
          </w:rPr>
          <w:t>3</w:t>
        </w:r>
        <w:r w:rsidRPr="00644388">
          <w:rPr>
            <w:rStyle w:val="Hyperlink"/>
            <w:i/>
          </w:rPr>
          <w:t xml:space="preserve"> Geophysical Investigation General</w:t>
        </w:r>
      </w:hyperlink>
      <w:r w:rsidRPr="00644388">
        <w:rPr>
          <w:i/>
        </w:rPr>
        <w:t xml:space="preserve"> </w:t>
      </w:r>
      <w:r w:rsidRPr="00644388">
        <w:t>for more information.</w:t>
      </w:r>
      <w:r>
        <w:t xml:space="preserve"> </w:t>
      </w:r>
      <w:r w:rsidRPr="006375F2">
        <w:t xml:space="preserve">The PAGD engineer should be able to read the geophysical report and have a general understanding of the geophysical technologies conducted, the quality and reliability of the results and interpretations, and be able to use the results for the intended purposes for the project.  </w:t>
      </w:r>
      <w:r>
        <w:t xml:space="preserve"> </w:t>
      </w:r>
    </w:p>
    <w:p w14:paraId="27AF36AE" w14:textId="77777777" w:rsidR="003B42FC" w:rsidRPr="00631AD9" w:rsidRDefault="003B42FC" w:rsidP="00BE3F24">
      <w:pPr>
        <w:pStyle w:val="BodyText"/>
        <w:spacing w:after="0"/>
      </w:pPr>
    </w:p>
    <w:p w14:paraId="07D17327" w14:textId="77777777" w:rsidR="003B42FC" w:rsidRPr="00631AD9" w:rsidRDefault="003B42FC" w:rsidP="00172E64">
      <w:pPr>
        <w:pStyle w:val="Heading4"/>
        <w:numPr>
          <w:ilvl w:val="3"/>
          <w:numId w:val="183"/>
        </w:numPr>
        <w:ind w:left="0" w:firstLine="0"/>
      </w:pPr>
      <w:r w:rsidRPr="00631AD9">
        <w:t>Resource Requirements</w:t>
      </w:r>
    </w:p>
    <w:p w14:paraId="093B4CA7" w14:textId="77777777" w:rsidR="003B42FC" w:rsidRDefault="003B42FC" w:rsidP="00BE3F24">
      <w:pPr>
        <w:pStyle w:val="BodyText"/>
        <w:spacing w:after="0"/>
        <w:jc w:val="both"/>
      </w:pPr>
      <w:r w:rsidRPr="00631AD9">
        <w:t>The QA/QC of Field and Laboratory Data procedure documented below requires the following staffing needs for a typical project:</w:t>
      </w:r>
    </w:p>
    <w:p w14:paraId="42F85FF6" w14:textId="77777777" w:rsidR="003B42FC" w:rsidRPr="00631AD9" w:rsidRDefault="003B42FC" w:rsidP="00BE3F24">
      <w:pPr>
        <w:pStyle w:val="BodyText"/>
        <w:spacing w:after="0"/>
        <w:jc w:val="both"/>
      </w:pPr>
    </w:p>
    <w:tbl>
      <w:tblPr>
        <w:tblW w:w="8486" w:type="dxa"/>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000" w:firstRow="0" w:lastRow="0" w:firstColumn="0" w:lastColumn="0" w:noHBand="0" w:noVBand="0"/>
      </w:tblPr>
      <w:tblGrid>
        <w:gridCol w:w="2690"/>
        <w:gridCol w:w="2286"/>
        <w:gridCol w:w="1926"/>
        <w:gridCol w:w="1584"/>
      </w:tblGrid>
      <w:tr w:rsidR="003B42FC" w:rsidRPr="00631AD9" w14:paraId="34E8D62B" w14:textId="77777777" w:rsidTr="0077681B">
        <w:trPr>
          <w:jc w:val="center"/>
        </w:trPr>
        <w:tc>
          <w:tcPr>
            <w:tcW w:w="2690" w:type="dxa"/>
            <w:shd w:val="pct15" w:color="auto" w:fill="FFFFFF"/>
            <w:vAlign w:val="center"/>
          </w:tcPr>
          <w:p w14:paraId="4D862A2C" w14:textId="77777777" w:rsidR="003B42FC" w:rsidRPr="00631AD9" w:rsidRDefault="003B42FC" w:rsidP="00BE3F24">
            <w:pPr>
              <w:jc w:val="center"/>
              <w:rPr>
                <w:rFonts w:ascii="Arial" w:hAnsi="Arial"/>
                <w:b/>
              </w:rPr>
            </w:pPr>
            <w:r w:rsidRPr="00631AD9">
              <w:rPr>
                <w:rFonts w:ascii="Arial" w:hAnsi="Arial"/>
                <w:b/>
              </w:rPr>
              <w:t>Position</w:t>
            </w:r>
          </w:p>
        </w:tc>
        <w:tc>
          <w:tcPr>
            <w:tcW w:w="2286" w:type="dxa"/>
            <w:shd w:val="pct15" w:color="auto" w:fill="FFFFFF"/>
            <w:vAlign w:val="center"/>
          </w:tcPr>
          <w:p w14:paraId="2F0CB09A" w14:textId="77777777" w:rsidR="003B42FC" w:rsidRPr="00631AD9" w:rsidRDefault="003B42FC" w:rsidP="00BE3F24">
            <w:pPr>
              <w:jc w:val="center"/>
              <w:rPr>
                <w:rFonts w:ascii="Arial" w:hAnsi="Arial"/>
                <w:b/>
              </w:rPr>
            </w:pPr>
            <w:r w:rsidRPr="00631AD9">
              <w:rPr>
                <w:rFonts w:ascii="Arial" w:hAnsi="Arial"/>
                <w:b/>
              </w:rPr>
              <w:t>Function</w:t>
            </w:r>
          </w:p>
        </w:tc>
        <w:tc>
          <w:tcPr>
            <w:tcW w:w="1926" w:type="dxa"/>
            <w:shd w:val="pct15" w:color="auto" w:fill="FFFFFF"/>
            <w:vAlign w:val="center"/>
          </w:tcPr>
          <w:p w14:paraId="14DFDCE3" w14:textId="77777777" w:rsidR="003B42FC" w:rsidRPr="00631AD9" w:rsidRDefault="003B42FC" w:rsidP="00BE3F24">
            <w:pPr>
              <w:jc w:val="center"/>
              <w:rPr>
                <w:rFonts w:ascii="Arial" w:hAnsi="Arial"/>
                <w:b/>
              </w:rPr>
            </w:pPr>
            <w:r w:rsidRPr="00631AD9">
              <w:rPr>
                <w:rFonts w:ascii="Arial" w:hAnsi="Arial"/>
                <w:b/>
              </w:rPr>
              <w:t>Resources</w:t>
            </w:r>
          </w:p>
        </w:tc>
        <w:tc>
          <w:tcPr>
            <w:tcW w:w="1584" w:type="dxa"/>
            <w:shd w:val="pct15" w:color="auto" w:fill="FFFFFF"/>
            <w:vAlign w:val="center"/>
          </w:tcPr>
          <w:p w14:paraId="6B29BB3E" w14:textId="77777777" w:rsidR="003B42FC" w:rsidRPr="00631AD9" w:rsidRDefault="003B42FC" w:rsidP="00BE3F24">
            <w:pPr>
              <w:jc w:val="center"/>
              <w:rPr>
                <w:rFonts w:ascii="Arial" w:hAnsi="Arial"/>
                <w:b/>
              </w:rPr>
            </w:pPr>
            <w:r w:rsidRPr="00631AD9">
              <w:rPr>
                <w:rFonts w:ascii="Arial" w:hAnsi="Arial"/>
                <w:b/>
              </w:rPr>
              <w:t>Effort Level</w:t>
            </w:r>
          </w:p>
          <w:p w14:paraId="3B011E01" w14:textId="77777777" w:rsidR="003B42FC" w:rsidRPr="00631AD9" w:rsidRDefault="003B42FC" w:rsidP="00BE3F24">
            <w:pPr>
              <w:jc w:val="center"/>
              <w:rPr>
                <w:rFonts w:ascii="Arial" w:hAnsi="Arial"/>
                <w:b/>
              </w:rPr>
            </w:pPr>
            <w:r w:rsidRPr="00631AD9">
              <w:rPr>
                <w:rFonts w:ascii="Arial" w:hAnsi="Arial"/>
                <w:b/>
              </w:rPr>
              <w:t>(man-hours)</w:t>
            </w:r>
          </w:p>
        </w:tc>
      </w:tr>
      <w:tr w:rsidR="003B42FC" w:rsidRPr="00631AD9" w14:paraId="07E3552C" w14:textId="77777777" w:rsidTr="0077681B">
        <w:trPr>
          <w:jc w:val="center"/>
        </w:trPr>
        <w:tc>
          <w:tcPr>
            <w:tcW w:w="2690" w:type="dxa"/>
            <w:vAlign w:val="center"/>
          </w:tcPr>
          <w:p w14:paraId="636D063D" w14:textId="77777777" w:rsidR="003B42FC" w:rsidRPr="00631AD9" w:rsidRDefault="003B42FC" w:rsidP="00BE3F24">
            <w:pPr>
              <w:jc w:val="center"/>
              <w:rPr>
                <w:rFonts w:ascii="Arial" w:hAnsi="Arial"/>
                <w:sz w:val="18"/>
              </w:rPr>
            </w:pPr>
            <w:r>
              <w:rPr>
                <w:rFonts w:ascii="Arial" w:hAnsi="Arial"/>
                <w:sz w:val="18"/>
              </w:rPr>
              <w:t xml:space="preserve">PAGD </w:t>
            </w:r>
            <w:r w:rsidRPr="00CC58A7">
              <w:rPr>
                <w:rFonts w:ascii="Arial" w:hAnsi="Arial"/>
                <w:sz w:val="18"/>
              </w:rPr>
              <w:t>Engineer</w:t>
            </w:r>
          </w:p>
        </w:tc>
        <w:tc>
          <w:tcPr>
            <w:tcW w:w="2286" w:type="dxa"/>
            <w:vAlign w:val="center"/>
          </w:tcPr>
          <w:p w14:paraId="68952B19" w14:textId="77777777" w:rsidR="003B42FC" w:rsidRPr="00631AD9" w:rsidRDefault="003B42FC" w:rsidP="00BE3F24">
            <w:pPr>
              <w:jc w:val="center"/>
              <w:rPr>
                <w:rFonts w:ascii="Arial" w:hAnsi="Arial"/>
                <w:sz w:val="18"/>
              </w:rPr>
            </w:pPr>
            <w:r w:rsidRPr="00631AD9">
              <w:rPr>
                <w:rFonts w:ascii="Arial" w:hAnsi="Arial"/>
                <w:sz w:val="18"/>
              </w:rPr>
              <w:t>Review soil boring logs and laboratory results</w:t>
            </w:r>
          </w:p>
        </w:tc>
        <w:tc>
          <w:tcPr>
            <w:tcW w:w="1926" w:type="dxa"/>
            <w:vAlign w:val="center"/>
          </w:tcPr>
          <w:p w14:paraId="3DA34F39" w14:textId="77777777" w:rsidR="003B42FC" w:rsidRPr="00631AD9" w:rsidRDefault="003B42FC" w:rsidP="00BE3F24">
            <w:pPr>
              <w:jc w:val="center"/>
              <w:rPr>
                <w:rFonts w:ascii="Arial" w:hAnsi="Arial"/>
                <w:sz w:val="18"/>
              </w:rPr>
            </w:pPr>
            <w:r w:rsidRPr="00631AD9">
              <w:rPr>
                <w:rFonts w:ascii="Arial" w:hAnsi="Arial"/>
                <w:sz w:val="18"/>
              </w:rPr>
              <w:t>1</w:t>
            </w:r>
          </w:p>
        </w:tc>
        <w:tc>
          <w:tcPr>
            <w:tcW w:w="1584" w:type="dxa"/>
            <w:vAlign w:val="center"/>
          </w:tcPr>
          <w:p w14:paraId="3D232230" w14:textId="77777777" w:rsidR="003B42FC" w:rsidRPr="00631AD9" w:rsidRDefault="003B42FC" w:rsidP="00BE3F24">
            <w:pPr>
              <w:jc w:val="center"/>
              <w:rPr>
                <w:rFonts w:ascii="Arial" w:hAnsi="Arial"/>
                <w:sz w:val="18"/>
              </w:rPr>
            </w:pPr>
            <w:r w:rsidRPr="00631AD9">
              <w:rPr>
                <w:rFonts w:ascii="Arial" w:hAnsi="Arial"/>
                <w:sz w:val="18"/>
              </w:rPr>
              <w:t>2*</w:t>
            </w:r>
          </w:p>
        </w:tc>
      </w:tr>
      <w:tr w:rsidR="003C0D94" w:rsidRPr="00631AD9" w14:paraId="001381E3" w14:textId="77777777" w:rsidTr="00E3383A">
        <w:trPr>
          <w:jc w:val="center"/>
        </w:trPr>
        <w:tc>
          <w:tcPr>
            <w:tcW w:w="2690" w:type="dxa"/>
            <w:vAlign w:val="center"/>
          </w:tcPr>
          <w:p w14:paraId="2D05C1ED" w14:textId="076A8DE7" w:rsidR="003C0D94" w:rsidRDefault="003C0D94" w:rsidP="00BE3F24">
            <w:pPr>
              <w:jc w:val="center"/>
              <w:rPr>
                <w:rFonts w:ascii="Arial" w:hAnsi="Arial"/>
                <w:sz w:val="18"/>
              </w:rPr>
            </w:pPr>
            <w:r>
              <w:rPr>
                <w:rFonts w:ascii="Arial" w:hAnsi="Arial"/>
                <w:sz w:val="18"/>
              </w:rPr>
              <w:t>PAGD Engineer</w:t>
            </w:r>
          </w:p>
        </w:tc>
        <w:tc>
          <w:tcPr>
            <w:tcW w:w="2286" w:type="dxa"/>
            <w:vAlign w:val="center"/>
          </w:tcPr>
          <w:p w14:paraId="50ED7AC9" w14:textId="1DD27F62" w:rsidR="003C0D94" w:rsidRPr="00631AD9" w:rsidRDefault="003C0D94" w:rsidP="00BE3F24">
            <w:pPr>
              <w:jc w:val="center"/>
              <w:rPr>
                <w:rFonts w:ascii="Arial" w:hAnsi="Arial"/>
                <w:sz w:val="18"/>
              </w:rPr>
            </w:pPr>
            <w:r>
              <w:rPr>
                <w:rFonts w:ascii="Arial" w:hAnsi="Arial"/>
                <w:sz w:val="18"/>
              </w:rPr>
              <w:t>Review geophysical report</w:t>
            </w:r>
          </w:p>
        </w:tc>
        <w:tc>
          <w:tcPr>
            <w:tcW w:w="1926" w:type="dxa"/>
            <w:vAlign w:val="center"/>
          </w:tcPr>
          <w:p w14:paraId="418C5B1E" w14:textId="2F6D9708" w:rsidR="003C0D94" w:rsidRPr="00631AD9" w:rsidRDefault="003C0D94" w:rsidP="00BE3F24">
            <w:pPr>
              <w:jc w:val="center"/>
              <w:rPr>
                <w:rFonts w:ascii="Arial" w:hAnsi="Arial"/>
                <w:sz w:val="18"/>
              </w:rPr>
            </w:pPr>
            <w:r>
              <w:rPr>
                <w:rFonts w:ascii="Arial" w:hAnsi="Arial"/>
                <w:sz w:val="18"/>
              </w:rPr>
              <w:t>1</w:t>
            </w:r>
          </w:p>
        </w:tc>
        <w:tc>
          <w:tcPr>
            <w:tcW w:w="1584" w:type="dxa"/>
            <w:vAlign w:val="center"/>
          </w:tcPr>
          <w:p w14:paraId="40906F88" w14:textId="1A47D9A9" w:rsidR="003C0D94" w:rsidRPr="00631AD9" w:rsidRDefault="003C0D94" w:rsidP="00BE3F24">
            <w:pPr>
              <w:jc w:val="center"/>
              <w:rPr>
                <w:rFonts w:ascii="Arial" w:hAnsi="Arial"/>
                <w:sz w:val="18"/>
              </w:rPr>
            </w:pPr>
            <w:r>
              <w:rPr>
                <w:rFonts w:ascii="Arial" w:hAnsi="Arial"/>
                <w:sz w:val="18"/>
              </w:rPr>
              <w:t>2*</w:t>
            </w:r>
          </w:p>
        </w:tc>
      </w:tr>
      <w:tr w:rsidR="003B42FC" w:rsidRPr="00631AD9" w14:paraId="38A0AADA" w14:textId="77777777" w:rsidTr="0077681B">
        <w:trPr>
          <w:jc w:val="center"/>
        </w:trPr>
        <w:tc>
          <w:tcPr>
            <w:tcW w:w="2690" w:type="dxa"/>
            <w:vAlign w:val="center"/>
          </w:tcPr>
          <w:p w14:paraId="37472245" w14:textId="77777777" w:rsidR="003B42FC" w:rsidRPr="00631AD9" w:rsidRDefault="003B42FC" w:rsidP="00BE3F24">
            <w:pPr>
              <w:jc w:val="center"/>
              <w:rPr>
                <w:rFonts w:ascii="Arial" w:hAnsi="Arial"/>
                <w:sz w:val="18"/>
              </w:rPr>
            </w:pPr>
            <w:r>
              <w:rPr>
                <w:rFonts w:ascii="Arial" w:hAnsi="Arial"/>
                <w:sz w:val="18"/>
              </w:rPr>
              <w:t xml:space="preserve">PAGD </w:t>
            </w:r>
            <w:r w:rsidRPr="00CC58A7">
              <w:rPr>
                <w:rFonts w:ascii="Arial" w:hAnsi="Arial"/>
                <w:sz w:val="18"/>
              </w:rPr>
              <w:t>Engineer</w:t>
            </w:r>
          </w:p>
        </w:tc>
        <w:tc>
          <w:tcPr>
            <w:tcW w:w="2286" w:type="dxa"/>
            <w:vAlign w:val="center"/>
          </w:tcPr>
          <w:p w14:paraId="3EFA8E21" w14:textId="77777777" w:rsidR="003B42FC" w:rsidRPr="00631AD9" w:rsidRDefault="003B42FC" w:rsidP="00BE3F24">
            <w:pPr>
              <w:jc w:val="center"/>
              <w:rPr>
                <w:rFonts w:ascii="Arial" w:hAnsi="Arial"/>
                <w:sz w:val="18"/>
              </w:rPr>
            </w:pPr>
            <w:r w:rsidRPr="00631AD9">
              <w:rPr>
                <w:rFonts w:ascii="Arial" w:hAnsi="Arial"/>
                <w:sz w:val="18"/>
              </w:rPr>
              <w:t>Follow up with drillers or lab for data</w:t>
            </w:r>
          </w:p>
        </w:tc>
        <w:tc>
          <w:tcPr>
            <w:tcW w:w="1926" w:type="dxa"/>
            <w:vAlign w:val="center"/>
          </w:tcPr>
          <w:p w14:paraId="2D2B5265" w14:textId="77777777" w:rsidR="003B42FC" w:rsidRPr="00631AD9" w:rsidRDefault="003B42FC" w:rsidP="00BE3F24">
            <w:pPr>
              <w:jc w:val="center"/>
              <w:rPr>
                <w:rFonts w:ascii="Arial" w:hAnsi="Arial"/>
                <w:sz w:val="18"/>
              </w:rPr>
            </w:pPr>
            <w:r w:rsidRPr="00631AD9">
              <w:rPr>
                <w:rFonts w:ascii="Arial" w:hAnsi="Arial"/>
                <w:sz w:val="18"/>
              </w:rPr>
              <w:t>1</w:t>
            </w:r>
          </w:p>
        </w:tc>
        <w:tc>
          <w:tcPr>
            <w:tcW w:w="1584" w:type="dxa"/>
            <w:vAlign w:val="center"/>
          </w:tcPr>
          <w:p w14:paraId="7204AE53" w14:textId="77777777" w:rsidR="003B42FC" w:rsidRPr="00631AD9" w:rsidRDefault="003B42FC" w:rsidP="00BE3F24">
            <w:pPr>
              <w:jc w:val="center"/>
              <w:rPr>
                <w:rFonts w:ascii="Arial" w:hAnsi="Arial"/>
                <w:sz w:val="18"/>
              </w:rPr>
            </w:pPr>
            <w:r w:rsidRPr="00631AD9">
              <w:rPr>
                <w:rFonts w:ascii="Arial" w:hAnsi="Arial"/>
                <w:sz w:val="18"/>
              </w:rPr>
              <w:t>2*</w:t>
            </w:r>
          </w:p>
        </w:tc>
      </w:tr>
    </w:tbl>
    <w:p w14:paraId="06C73B0D" w14:textId="77777777" w:rsidR="003B42FC" w:rsidRPr="00E24C44" w:rsidRDefault="003B42FC" w:rsidP="0077681B">
      <w:pPr>
        <w:ind w:left="450"/>
        <w:rPr>
          <w:rFonts w:ascii="Arial" w:hAnsi="Arial"/>
          <w:sz w:val="18"/>
          <w:szCs w:val="18"/>
        </w:rPr>
      </w:pPr>
      <w:r>
        <w:rPr>
          <w:rFonts w:ascii="Arial" w:hAnsi="Arial"/>
          <w:sz w:val="18"/>
          <w:szCs w:val="18"/>
        </w:rPr>
        <w:t xml:space="preserve">    </w:t>
      </w:r>
      <w:r w:rsidRPr="00E24C44">
        <w:rPr>
          <w:rFonts w:ascii="Arial" w:hAnsi="Arial"/>
          <w:sz w:val="18"/>
          <w:szCs w:val="18"/>
        </w:rPr>
        <w:t>* The time required would vary depending on the size and complexity of a project.</w:t>
      </w:r>
    </w:p>
    <w:p w14:paraId="24310AA3" w14:textId="77777777" w:rsidR="003B42FC" w:rsidRDefault="003B42FC" w:rsidP="00916953"/>
    <w:p w14:paraId="0871C970" w14:textId="77777777" w:rsidR="003B42FC" w:rsidRPr="00631AD9" w:rsidRDefault="003B42FC" w:rsidP="00172E64">
      <w:pPr>
        <w:pStyle w:val="Heading4"/>
        <w:numPr>
          <w:ilvl w:val="3"/>
          <w:numId w:val="183"/>
        </w:numPr>
        <w:ind w:left="0" w:firstLine="0"/>
      </w:pPr>
      <w:r w:rsidRPr="00631AD9">
        <w:t>Procedure</w:t>
      </w:r>
    </w:p>
    <w:p w14:paraId="10498656" w14:textId="252A1D67" w:rsidR="003B42FC" w:rsidRPr="00631AD9" w:rsidRDefault="003B42FC" w:rsidP="00BE3F24">
      <w:pPr>
        <w:pStyle w:val="BodyText"/>
        <w:spacing w:after="0"/>
        <w:jc w:val="both"/>
      </w:pPr>
      <w:r w:rsidRPr="00631AD9">
        <w:t xml:space="preserve">The procedure presented </w:t>
      </w:r>
      <w:r w:rsidRPr="00BA1669">
        <w:t>in the attached flowchart and</w:t>
      </w:r>
      <w:r w:rsidRPr="00631AD9">
        <w:t xml:space="preserve"> described </w:t>
      </w:r>
      <w:r w:rsidR="00E3383A">
        <w:t>below</w:t>
      </w:r>
      <w:r w:rsidRPr="00631AD9">
        <w:t xml:space="preserve"> should be followed for a typical project in QA/QC of Field</w:t>
      </w:r>
      <w:r w:rsidR="00123F3B">
        <w:t>,</w:t>
      </w:r>
      <w:r w:rsidRPr="00631AD9">
        <w:t xml:space="preserve"> Laboratory</w:t>
      </w:r>
      <w:r w:rsidR="00123F3B">
        <w:t>, and Geophysical</w:t>
      </w:r>
      <w:r w:rsidRPr="00631AD9">
        <w:t xml:space="preserve"> Data. The following procedure was written to provide the </w:t>
      </w:r>
      <w:r w:rsidR="00123F3B">
        <w:t>PAGD</w:t>
      </w:r>
      <w:r w:rsidR="00123F3B" w:rsidRPr="00631AD9">
        <w:t xml:space="preserve"> </w:t>
      </w:r>
      <w:r w:rsidRPr="00631AD9">
        <w:t>engineer with adequate information to complete a typical QA/QC of Field</w:t>
      </w:r>
      <w:r w:rsidR="00123F3B">
        <w:t xml:space="preserve">, </w:t>
      </w:r>
      <w:r w:rsidRPr="00631AD9">
        <w:t>Laboratory</w:t>
      </w:r>
      <w:r w:rsidR="00123F3B">
        <w:t>, and Geophysical</w:t>
      </w:r>
      <w:r w:rsidRPr="00631AD9">
        <w:t xml:space="preserve"> Data procedure without specific knowledge or access to computer software applications, but with the assumption that these tools were available. </w:t>
      </w:r>
    </w:p>
    <w:p w14:paraId="6FB35101" w14:textId="77777777" w:rsidR="003B42FC" w:rsidRDefault="003B42FC" w:rsidP="00BE3F24">
      <w:pPr>
        <w:pStyle w:val="BodyText"/>
        <w:spacing w:after="0"/>
        <w:jc w:val="both"/>
      </w:pPr>
    </w:p>
    <w:p w14:paraId="4D37834E" w14:textId="77777777" w:rsidR="003B42FC" w:rsidRDefault="003B42FC" w:rsidP="00BE3F24">
      <w:pPr>
        <w:pStyle w:val="BodyText"/>
        <w:spacing w:after="0"/>
        <w:jc w:val="both"/>
      </w:pPr>
      <w:r w:rsidRPr="00631AD9">
        <w:t xml:space="preserve">QA/QC of Field and Laboratory Data begins when </w:t>
      </w:r>
      <w:r>
        <w:t xml:space="preserve">the </w:t>
      </w:r>
      <w:r w:rsidRPr="00631AD9">
        <w:t>P</w:t>
      </w:r>
      <w:r>
        <w:t>A</w:t>
      </w:r>
      <w:r w:rsidRPr="00631AD9">
        <w:t xml:space="preserve">GD engineer receives the soil boring logs from the driller and related laboratory test results.  </w:t>
      </w:r>
    </w:p>
    <w:p w14:paraId="65B52F8F" w14:textId="77777777" w:rsidR="003B42FC" w:rsidRPr="00631AD9" w:rsidRDefault="003B42FC" w:rsidP="00BE3F24">
      <w:pPr>
        <w:pStyle w:val="BodyText"/>
        <w:spacing w:after="0"/>
        <w:jc w:val="both"/>
      </w:pPr>
    </w:p>
    <w:p w14:paraId="72EE7430" w14:textId="5BB6B303" w:rsidR="003B42FC" w:rsidRPr="00631AD9" w:rsidRDefault="003B42FC" w:rsidP="00BE3F24">
      <w:pPr>
        <w:pStyle w:val="BodyText"/>
        <w:spacing w:after="0"/>
        <w:jc w:val="both"/>
      </w:pPr>
      <w:r w:rsidRPr="00631AD9">
        <w:t xml:space="preserve">Follow the steps below to complete </w:t>
      </w:r>
      <w:r>
        <w:t xml:space="preserve">the </w:t>
      </w:r>
      <w:r w:rsidRPr="00631AD9">
        <w:t>QA/QC of Field</w:t>
      </w:r>
      <w:r w:rsidR="00123F3B">
        <w:t>,</w:t>
      </w:r>
      <w:r w:rsidRPr="00631AD9">
        <w:t xml:space="preserve"> Laboratory</w:t>
      </w:r>
      <w:r w:rsidR="00123F3B">
        <w:t>,</w:t>
      </w:r>
      <w:r w:rsidRPr="00631AD9">
        <w:t xml:space="preserve"> </w:t>
      </w:r>
      <w:r w:rsidR="00123F3B">
        <w:t xml:space="preserve">and Geophysical </w:t>
      </w:r>
      <w:r w:rsidRPr="00631AD9">
        <w:t>Data:</w:t>
      </w:r>
    </w:p>
    <w:p w14:paraId="41F5307C" w14:textId="77777777" w:rsidR="001A15B9" w:rsidRDefault="003B42FC" w:rsidP="00172E64">
      <w:pPr>
        <w:pStyle w:val="BodyText"/>
        <w:numPr>
          <w:ilvl w:val="0"/>
          <w:numId w:val="45"/>
        </w:numPr>
        <w:tabs>
          <w:tab w:val="clear" w:pos="1152"/>
          <w:tab w:val="num" w:pos="1080"/>
        </w:tabs>
        <w:spacing w:before="240" w:after="0"/>
        <w:ind w:left="1080" w:hanging="1080"/>
        <w:jc w:val="both"/>
      </w:pPr>
      <w:r w:rsidRPr="00631AD9">
        <w:t xml:space="preserve">Compare the field boring logs with the laboratory test results and staple like copies together. </w:t>
      </w:r>
    </w:p>
    <w:p w14:paraId="3EF74F98" w14:textId="77777777" w:rsidR="001A15B9" w:rsidRDefault="003B42FC" w:rsidP="00172E64">
      <w:pPr>
        <w:pStyle w:val="ListNumber"/>
        <w:numPr>
          <w:ilvl w:val="0"/>
          <w:numId w:val="45"/>
        </w:numPr>
        <w:tabs>
          <w:tab w:val="clear" w:pos="1872"/>
        </w:tabs>
        <w:ind w:left="1080" w:hanging="1080"/>
        <w:jc w:val="both"/>
      </w:pPr>
      <w:r w:rsidRPr="00631AD9">
        <w:lastRenderedPageBreak/>
        <w:t>Us</w:t>
      </w:r>
      <w:r>
        <w:t xml:space="preserve">ing a </w:t>
      </w:r>
      <w:r w:rsidRPr="00631AD9">
        <w:t>green pencil</w:t>
      </w:r>
      <w:r>
        <w:t xml:space="preserve">, </w:t>
      </w:r>
      <w:r w:rsidRPr="00631AD9">
        <w:t xml:space="preserve">make corrections to the field boring log sheets </w:t>
      </w:r>
      <w:r>
        <w:t xml:space="preserve">based on information obtained </w:t>
      </w:r>
      <w:r w:rsidRPr="00631AD9">
        <w:t xml:space="preserve">from </w:t>
      </w:r>
      <w:r>
        <w:t xml:space="preserve">the </w:t>
      </w:r>
      <w:r w:rsidRPr="00631AD9">
        <w:t xml:space="preserve">laboratory results. </w:t>
      </w:r>
    </w:p>
    <w:p w14:paraId="34EE3193" w14:textId="77777777" w:rsidR="001A15B9" w:rsidRDefault="003B42FC" w:rsidP="00172E64">
      <w:pPr>
        <w:pStyle w:val="BodyText"/>
        <w:numPr>
          <w:ilvl w:val="0"/>
          <w:numId w:val="45"/>
        </w:numPr>
        <w:tabs>
          <w:tab w:val="clear" w:pos="1152"/>
          <w:tab w:val="num" w:pos="1080"/>
        </w:tabs>
        <w:spacing w:before="120" w:after="0"/>
        <w:ind w:left="1080" w:hanging="1080"/>
        <w:jc w:val="both"/>
      </w:pPr>
      <w:r w:rsidRPr="00631AD9">
        <w:t xml:space="preserve">The following information </w:t>
      </w:r>
      <w:r>
        <w:t>should</w:t>
      </w:r>
      <w:r w:rsidRPr="00631AD9">
        <w:t xml:space="preserve"> be transf</w:t>
      </w:r>
      <w:r>
        <w:t>erred</w:t>
      </w:r>
      <w:r w:rsidRPr="00631AD9">
        <w:t xml:space="preserve"> onto the soil boring log sheets from lab</w:t>
      </w:r>
      <w:r>
        <w:t xml:space="preserve"> test </w:t>
      </w:r>
      <w:r w:rsidRPr="00631AD9">
        <w:t xml:space="preserve">results. </w:t>
      </w:r>
    </w:p>
    <w:p w14:paraId="30F09FB5" w14:textId="77777777" w:rsidR="001A15B9" w:rsidRDefault="003B42FC" w:rsidP="00172E64">
      <w:pPr>
        <w:pStyle w:val="BodyText"/>
        <w:numPr>
          <w:ilvl w:val="1"/>
          <w:numId w:val="44"/>
        </w:numPr>
        <w:tabs>
          <w:tab w:val="num" w:pos="1440"/>
        </w:tabs>
        <w:spacing w:after="0"/>
        <w:ind w:left="1440"/>
        <w:jc w:val="both"/>
      </w:pPr>
      <w:r w:rsidRPr="00631AD9">
        <w:t xml:space="preserve"> </w:t>
      </w:r>
      <w:r>
        <w:t xml:space="preserve">AASHTO </w:t>
      </w:r>
      <w:r w:rsidR="001703BF">
        <w:t>Soil Class</w:t>
      </w:r>
    </w:p>
    <w:p w14:paraId="1A2BAB4A" w14:textId="77777777" w:rsidR="001A15B9" w:rsidRDefault="003B42FC" w:rsidP="00172E64">
      <w:pPr>
        <w:pStyle w:val="BodyText"/>
        <w:numPr>
          <w:ilvl w:val="1"/>
          <w:numId w:val="44"/>
        </w:numPr>
        <w:tabs>
          <w:tab w:val="num" w:pos="1440"/>
        </w:tabs>
        <w:spacing w:after="0"/>
        <w:ind w:left="1440"/>
        <w:jc w:val="both"/>
      </w:pPr>
      <w:r w:rsidRPr="00631AD9">
        <w:t xml:space="preserve">Input LL and PI </w:t>
      </w:r>
    </w:p>
    <w:p w14:paraId="1856E2C5" w14:textId="77777777" w:rsidR="001A15B9" w:rsidRDefault="003B42FC" w:rsidP="00172E64">
      <w:pPr>
        <w:pStyle w:val="BodyText"/>
        <w:numPr>
          <w:ilvl w:val="1"/>
          <w:numId w:val="44"/>
        </w:numPr>
        <w:tabs>
          <w:tab w:val="num" w:pos="1440"/>
        </w:tabs>
        <w:spacing w:after="0"/>
        <w:ind w:left="1440"/>
        <w:jc w:val="both"/>
      </w:pPr>
      <w:r w:rsidRPr="00631AD9">
        <w:t>Input USDA Soil Class (If any)</w:t>
      </w:r>
    </w:p>
    <w:p w14:paraId="58464B79" w14:textId="77777777" w:rsidR="001A15B9" w:rsidRDefault="003B42FC" w:rsidP="00172E64">
      <w:pPr>
        <w:pStyle w:val="BodyText"/>
        <w:numPr>
          <w:ilvl w:val="1"/>
          <w:numId w:val="44"/>
        </w:numPr>
        <w:tabs>
          <w:tab w:val="num" w:pos="1440"/>
        </w:tabs>
        <w:spacing w:after="0"/>
        <w:ind w:left="1440"/>
        <w:jc w:val="both"/>
      </w:pPr>
      <w:r>
        <w:t xml:space="preserve">Input Moisture Content (If any).  </w:t>
      </w:r>
      <w:r w:rsidRPr="00631AD9">
        <w:t xml:space="preserve">Note </w:t>
      </w:r>
      <w:r>
        <w:t xml:space="preserve">saturated or liquefied conditions if </w:t>
      </w:r>
      <w:r w:rsidRPr="00631AD9">
        <w:t xml:space="preserve">moisture samples </w:t>
      </w:r>
      <w:r>
        <w:t xml:space="preserve">were </w:t>
      </w:r>
      <w:r w:rsidRPr="00631AD9">
        <w:t>not obtained</w:t>
      </w:r>
      <w:r>
        <w:t>.</w:t>
      </w:r>
    </w:p>
    <w:p w14:paraId="1BCA4BBB" w14:textId="77777777" w:rsidR="001A15B9" w:rsidRDefault="003B42FC" w:rsidP="00172E64">
      <w:pPr>
        <w:pStyle w:val="BodyText"/>
        <w:numPr>
          <w:ilvl w:val="1"/>
          <w:numId w:val="44"/>
        </w:numPr>
        <w:tabs>
          <w:tab w:val="num" w:pos="1440"/>
        </w:tabs>
        <w:spacing w:after="0"/>
        <w:ind w:left="1440"/>
        <w:jc w:val="both"/>
      </w:pPr>
      <w:r w:rsidRPr="00631AD9">
        <w:t xml:space="preserve">Determine if gravel </w:t>
      </w:r>
      <w:r>
        <w:t xml:space="preserve">(MSMT) </w:t>
      </w:r>
      <w:r w:rsidRPr="00631AD9">
        <w:t xml:space="preserve">is present </w:t>
      </w:r>
      <w:r>
        <w:t>based on the following:</w:t>
      </w:r>
      <w:r w:rsidRPr="00631AD9">
        <w:t xml:space="preserve"> </w:t>
      </w:r>
    </w:p>
    <w:p w14:paraId="3AC8188E" w14:textId="323B49A4" w:rsidR="001A15B9" w:rsidRDefault="003B42FC" w:rsidP="00172E64">
      <w:pPr>
        <w:pStyle w:val="BodyText"/>
        <w:numPr>
          <w:ilvl w:val="0"/>
          <w:numId w:val="169"/>
        </w:numPr>
        <w:tabs>
          <w:tab w:val="clear" w:pos="3600"/>
          <w:tab w:val="num" w:pos="1800"/>
          <w:tab w:val="num" w:pos="4320"/>
        </w:tabs>
        <w:spacing w:after="0"/>
        <w:ind w:left="1800"/>
        <w:jc w:val="both"/>
      </w:pPr>
      <w:r w:rsidRPr="00631AD9">
        <w:t>If more than 10% is retained on the #4 sieve, then</w:t>
      </w:r>
      <w:r>
        <w:t xml:space="preserve"> note as</w:t>
      </w:r>
      <w:r w:rsidRPr="00631AD9">
        <w:t xml:space="preserve">: </w:t>
      </w:r>
      <w:r>
        <w:t>Soil Type “</w:t>
      </w:r>
      <w:r>
        <w:rPr>
          <w:b/>
        </w:rPr>
        <w:t>w/ G</w:t>
      </w:r>
      <w:r w:rsidRPr="00631AD9">
        <w:rPr>
          <w:b/>
        </w:rPr>
        <w:t>ravel</w:t>
      </w:r>
      <w:r w:rsidRPr="00D22CC1">
        <w:t>”</w:t>
      </w:r>
      <w:r>
        <w:rPr>
          <w:b/>
        </w:rPr>
        <w:t xml:space="preserve"> </w:t>
      </w:r>
      <w:r w:rsidRPr="00631AD9">
        <w:rPr>
          <w:b/>
        </w:rPr>
        <w:t xml:space="preserve"> </w:t>
      </w:r>
      <w:r w:rsidRPr="00D22CC1">
        <w:t>or</w:t>
      </w:r>
      <w:r w:rsidRPr="00D22CC1">
        <w:rPr>
          <w:b/>
        </w:rPr>
        <w:t xml:space="preserve"> </w:t>
      </w:r>
      <w:r w:rsidRPr="00D22CC1">
        <w:t>“</w:t>
      </w:r>
      <w:r>
        <w:rPr>
          <w:b/>
        </w:rPr>
        <w:t>w/ Rock F</w:t>
      </w:r>
      <w:r w:rsidRPr="00631AD9">
        <w:rPr>
          <w:b/>
        </w:rPr>
        <w:t>rag</w:t>
      </w:r>
      <w:r>
        <w:rPr>
          <w:b/>
        </w:rPr>
        <w:t>ments</w:t>
      </w:r>
      <w:r w:rsidRPr="00D22CC1">
        <w:t>”</w:t>
      </w:r>
    </w:p>
    <w:p w14:paraId="2962CE56" w14:textId="314690B3" w:rsidR="001A15B9" w:rsidRDefault="003B42FC" w:rsidP="00172E64">
      <w:pPr>
        <w:pStyle w:val="BodyText"/>
        <w:numPr>
          <w:ilvl w:val="0"/>
          <w:numId w:val="169"/>
        </w:numPr>
        <w:tabs>
          <w:tab w:val="clear" w:pos="3600"/>
          <w:tab w:val="num" w:pos="1800"/>
          <w:tab w:val="num" w:pos="4320"/>
        </w:tabs>
        <w:spacing w:after="0"/>
        <w:ind w:left="1800"/>
        <w:jc w:val="both"/>
      </w:pPr>
      <w:r w:rsidRPr="00631AD9">
        <w:t>If more than 50% is retained on the #4 sieve, then</w:t>
      </w:r>
      <w:r>
        <w:t xml:space="preserve"> note as</w:t>
      </w:r>
      <w:r w:rsidRPr="00631AD9">
        <w:t xml:space="preserve">: </w:t>
      </w:r>
      <w:r>
        <w:t>“</w:t>
      </w:r>
      <w:r>
        <w:rPr>
          <w:b/>
        </w:rPr>
        <w:t>G</w:t>
      </w:r>
      <w:r w:rsidRPr="00631AD9">
        <w:rPr>
          <w:b/>
        </w:rPr>
        <w:t>ravel</w:t>
      </w:r>
      <w:r>
        <w:rPr>
          <w:b/>
        </w:rPr>
        <w:t xml:space="preserve"> w/</w:t>
      </w:r>
      <w:r w:rsidRPr="00D22CC1">
        <w:t>”</w:t>
      </w:r>
      <w:r>
        <w:rPr>
          <w:b/>
        </w:rPr>
        <w:t xml:space="preserve"> </w:t>
      </w:r>
      <w:r w:rsidRPr="00631AD9">
        <w:rPr>
          <w:b/>
        </w:rPr>
        <w:t xml:space="preserve"> </w:t>
      </w:r>
      <w:r w:rsidRPr="00D22CC1">
        <w:t>or</w:t>
      </w:r>
      <w:r w:rsidRPr="00D22CC1">
        <w:rPr>
          <w:b/>
        </w:rPr>
        <w:t xml:space="preserve"> </w:t>
      </w:r>
      <w:r w:rsidRPr="00D22CC1">
        <w:t>“</w:t>
      </w:r>
      <w:r>
        <w:rPr>
          <w:b/>
        </w:rPr>
        <w:t>Rock F</w:t>
      </w:r>
      <w:r w:rsidRPr="00631AD9">
        <w:rPr>
          <w:b/>
        </w:rPr>
        <w:t>rag</w:t>
      </w:r>
      <w:r>
        <w:rPr>
          <w:b/>
        </w:rPr>
        <w:t>ments w/</w:t>
      </w:r>
      <w:r w:rsidRPr="00D22CC1">
        <w:t>”</w:t>
      </w:r>
      <w:r>
        <w:t xml:space="preserve">  Soil Type</w:t>
      </w:r>
    </w:p>
    <w:p w14:paraId="4E928F69" w14:textId="77777777" w:rsidR="001A15B9" w:rsidRDefault="003B42FC" w:rsidP="00172E64">
      <w:pPr>
        <w:pStyle w:val="BodyText"/>
        <w:numPr>
          <w:ilvl w:val="1"/>
          <w:numId w:val="44"/>
        </w:numPr>
        <w:tabs>
          <w:tab w:val="clear" w:pos="4320"/>
          <w:tab w:val="num" w:pos="1440"/>
        </w:tabs>
        <w:spacing w:after="0"/>
        <w:ind w:left="1440"/>
        <w:jc w:val="both"/>
      </w:pPr>
      <w:r w:rsidRPr="00631AD9">
        <w:t xml:space="preserve">Input Proctor Test Results (if any). Proctor tests are run only if the field boring logs are marked for Proctors. Usually T-180 is the test </w:t>
      </w:r>
      <w:r>
        <w:t>performed on bulk (</w:t>
      </w:r>
      <w:r w:rsidRPr="00631AD9">
        <w:t>bag</w:t>
      </w:r>
      <w:r>
        <w:t>)</w:t>
      </w:r>
      <w:r w:rsidRPr="00631AD9">
        <w:t xml:space="preserve"> samples retrieved. However, in cases of very fine grained soils and clays, T-99 may be run and the results </w:t>
      </w:r>
      <w:r>
        <w:t>should</w:t>
      </w:r>
      <w:r w:rsidRPr="00631AD9">
        <w:t xml:space="preserve"> be used with </w:t>
      </w:r>
      <w:r>
        <w:t>discretion.</w:t>
      </w:r>
    </w:p>
    <w:p w14:paraId="47B144B8" w14:textId="2429954A" w:rsidR="001A15B9" w:rsidRDefault="003B42FC" w:rsidP="00172E64">
      <w:pPr>
        <w:pStyle w:val="ListNumber"/>
        <w:numPr>
          <w:ilvl w:val="0"/>
          <w:numId w:val="45"/>
        </w:numPr>
        <w:tabs>
          <w:tab w:val="clear" w:pos="1872"/>
        </w:tabs>
        <w:ind w:left="1080" w:hanging="1080"/>
        <w:jc w:val="both"/>
      </w:pPr>
      <w:r w:rsidRPr="00631AD9">
        <w:t xml:space="preserve">If </w:t>
      </w:r>
      <w:r w:rsidR="00123F3B">
        <w:t>t</w:t>
      </w:r>
      <w:r>
        <w:t>opsoil samples were obtained</w:t>
      </w:r>
      <w:r w:rsidR="00E3383A">
        <w:t>,</w:t>
      </w:r>
      <w:r>
        <w:t xml:space="preserve"> ensure that lab</w:t>
      </w:r>
      <w:r w:rsidRPr="00631AD9">
        <w:t xml:space="preserve"> tests </w:t>
      </w:r>
      <w:r>
        <w:t xml:space="preserve">have been performed </w:t>
      </w:r>
      <w:r w:rsidRPr="00631AD9">
        <w:t xml:space="preserve">on those samples for pH, Organic </w:t>
      </w:r>
      <w:r>
        <w:t xml:space="preserve">Content </w:t>
      </w:r>
      <w:r w:rsidRPr="00631AD9">
        <w:t xml:space="preserve">and USDA Classification. For topsoil samples, no tests are </w:t>
      </w:r>
      <w:r>
        <w:t>required for Atterberg L</w:t>
      </w:r>
      <w:r w:rsidRPr="00631AD9">
        <w:t xml:space="preserve">imits, and </w:t>
      </w:r>
      <w:r>
        <w:t xml:space="preserve">AASHTO or </w:t>
      </w:r>
      <w:r w:rsidRPr="00631AD9">
        <w:t>MSMT soil classification.</w:t>
      </w:r>
    </w:p>
    <w:p w14:paraId="5F829CC3" w14:textId="77777777" w:rsidR="001A15B9" w:rsidRDefault="003B42FC" w:rsidP="00172E64">
      <w:pPr>
        <w:pStyle w:val="ListNumber"/>
        <w:numPr>
          <w:ilvl w:val="0"/>
          <w:numId w:val="45"/>
        </w:numPr>
        <w:tabs>
          <w:tab w:val="clear" w:pos="1872"/>
        </w:tabs>
        <w:ind w:left="1080" w:hanging="1080"/>
        <w:jc w:val="both"/>
      </w:pPr>
      <w:r w:rsidRPr="00631AD9">
        <w:t xml:space="preserve">If </w:t>
      </w:r>
      <w:r>
        <w:t xml:space="preserve">soil samples were obtained for </w:t>
      </w:r>
      <w:r w:rsidRPr="00631AD9">
        <w:t xml:space="preserve">chemical testing, </w:t>
      </w:r>
      <w:r>
        <w:t xml:space="preserve">ensure that lab tests have been performed for </w:t>
      </w:r>
      <w:r w:rsidRPr="00631AD9">
        <w:t xml:space="preserve">pH, Sulfates, Chlorides, and Resistivity. </w:t>
      </w:r>
      <w:r>
        <w:t>I</w:t>
      </w:r>
      <w:r w:rsidRPr="00631AD9">
        <w:t>n</w:t>
      </w:r>
      <w:r>
        <w:t xml:space="preserve"> some cases the laboratory may perform soil </w:t>
      </w:r>
      <w:r w:rsidRPr="00631AD9">
        <w:t>classification</w:t>
      </w:r>
      <w:r>
        <w:t xml:space="preserve"> testing</w:t>
      </w:r>
      <w:r w:rsidRPr="00631AD9">
        <w:t xml:space="preserve">. </w:t>
      </w:r>
    </w:p>
    <w:p w14:paraId="069A6D79" w14:textId="77777777" w:rsidR="001A15B9" w:rsidRDefault="003B42FC" w:rsidP="00172E64">
      <w:pPr>
        <w:pStyle w:val="ListNumber"/>
        <w:numPr>
          <w:ilvl w:val="0"/>
          <w:numId w:val="45"/>
        </w:numPr>
        <w:tabs>
          <w:tab w:val="clear" w:pos="1872"/>
        </w:tabs>
        <w:ind w:left="1080" w:hanging="1080"/>
        <w:jc w:val="both"/>
      </w:pPr>
      <w:r w:rsidRPr="00631AD9">
        <w:t xml:space="preserve">If </w:t>
      </w:r>
      <w:r>
        <w:t xml:space="preserve">water samples were obtained for </w:t>
      </w:r>
      <w:r w:rsidRPr="00631AD9">
        <w:t xml:space="preserve">chemical testing, </w:t>
      </w:r>
      <w:r>
        <w:t>ensure that lab tests have been performed for</w:t>
      </w:r>
      <w:r w:rsidRPr="00631AD9">
        <w:t xml:space="preserve"> Aluminum, Calcium, Iron, Magnesium, Manganese, Sodium, Sodium Chloride, Chloride, Dissolved Solids, Fluoride, Detergent, Nitrate, pH, Phosphate, Sulfate, Suspended Solids, and Turbidity. </w:t>
      </w:r>
    </w:p>
    <w:p w14:paraId="18EC635C" w14:textId="390BB577" w:rsidR="0058077E" w:rsidRDefault="0058077E" w:rsidP="00172E64">
      <w:pPr>
        <w:pStyle w:val="ListNumber"/>
        <w:numPr>
          <w:ilvl w:val="0"/>
          <w:numId w:val="45"/>
        </w:numPr>
        <w:tabs>
          <w:tab w:val="clear" w:pos="1872"/>
        </w:tabs>
        <w:ind w:left="1080" w:hanging="1080"/>
        <w:jc w:val="both"/>
      </w:pPr>
      <w:r>
        <w:t>If geophysics w</w:t>
      </w:r>
      <w:r w:rsidR="00E3383A">
        <w:t>ere</w:t>
      </w:r>
      <w:r>
        <w:t xml:space="preserve"> performed</w:t>
      </w:r>
      <w:r w:rsidR="00E3383A">
        <w:t>,</w:t>
      </w:r>
      <w:r>
        <w:t xml:space="preserve"> </w:t>
      </w:r>
      <w:r w:rsidR="00123F3B">
        <w:t>check that the results are presented on design drawings and are indicated as the results of a geophysical investigation.  General notes should be included on the drawings that explain the accuracy, and limitations of the data.</w:t>
      </w:r>
    </w:p>
    <w:p w14:paraId="0E70A0F2" w14:textId="77777777" w:rsidR="003B42FC" w:rsidRDefault="003B42FC" w:rsidP="00172E64">
      <w:pPr>
        <w:pStyle w:val="Heading3"/>
        <w:numPr>
          <w:ilvl w:val="2"/>
          <w:numId w:val="183"/>
        </w:numPr>
        <w:ind w:left="0" w:firstLine="0"/>
      </w:pPr>
      <w:bookmarkStart w:id="273" w:name="_Surface_and_Subsurface"/>
      <w:bookmarkEnd w:id="273"/>
      <w:r w:rsidRPr="00A04976">
        <w:t>Surface and Subsurface Conditions</w:t>
      </w:r>
    </w:p>
    <w:p w14:paraId="11DB2960" w14:textId="77777777" w:rsidR="00ED4A45" w:rsidRPr="008F604D" w:rsidRDefault="00ED4A45" w:rsidP="00ED4A4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Geotextiles/Geosynthetics_(Geotexti" w:history="1">
        <w:r w:rsidRPr="00ED4A45">
          <w:rPr>
            <w:rStyle w:val="Hyperlink"/>
            <w:rFonts w:ascii="Arial" w:hAnsi="Arial" w:cs="Arial"/>
            <w:bCs/>
            <w:sz w:val="16"/>
            <w:szCs w:val="16"/>
          </w:rPr>
          <w:t>Geotextiles/Geosynthetics (Geotextile)</w:t>
        </w:r>
      </w:hyperlink>
    </w:p>
    <w:p w14:paraId="1FCF09F7" w14:textId="77777777" w:rsidR="00ED4A45" w:rsidRDefault="00ED4A45" w:rsidP="00BE3F24">
      <w:pPr>
        <w:autoSpaceDE w:val="0"/>
        <w:autoSpaceDN w:val="0"/>
        <w:adjustRightInd w:val="0"/>
        <w:jc w:val="both"/>
        <w:rPr>
          <w:rFonts w:ascii="Arial" w:hAnsi="Arial" w:cs="Arial"/>
          <w:sz w:val="22"/>
          <w:szCs w:val="22"/>
        </w:rPr>
      </w:pPr>
    </w:p>
    <w:p w14:paraId="64BE0426" w14:textId="6A51025C" w:rsidR="003B42FC" w:rsidRPr="009310B0" w:rsidRDefault="003B42FC" w:rsidP="00BE3F24">
      <w:pPr>
        <w:autoSpaceDE w:val="0"/>
        <w:autoSpaceDN w:val="0"/>
        <w:adjustRightInd w:val="0"/>
        <w:jc w:val="both"/>
        <w:rPr>
          <w:rFonts w:ascii="Arial" w:hAnsi="Arial" w:cs="Arial"/>
          <w:sz w:val="22"/>
          <w:szCs w:val="22"/>
        </w:rPr>
      </w:pPr>
      <w:r w:rsidRPr="009310B0">
        <w:rPr>
          <w:rFonts w:ascii="Arial" w:hAnsi="Arial" w:cs="Arial"/>
          <w:sz w:val="22"/>
          <w:szCs w:val="22"/>
        </w:rPr>
        <w:t>Surface and Subsurface Conditions are included in the Final Geotechnical Report (FGR). The following are the typical topics addressed in the FGR</w:t>
      </w:r>
      <w:r w:rsidR="00E3383A">
        <w:rPr>
          <w:rFonts w:ascii="Arial" w:hAnsi="Arial" w:cs="Arial"/>
          <w:sz w:val="22"/>
          <w:szCs w:val="22"/>
        </w:rPr>
        <w:t>:</w:t>
      </w:r>
      <w:r w:rsidRPr="009310B0">
        <w:rPr>
          <w:rFonts w:ascii="Arial" w:hAnsi="Arial" w:cs="Arial"/>
          <w:sz w:val="22"/>
          <w:szCs w:val="22"/>
        </w:rPr>
        <w:t xml:space="preserve"> soil conditions, moisture conditions, rock conditions, special areas and treatment, swamps, low saturated areas, and active springs.</w:t>
      </w:r>
    </w:p>
    <w:p w14:paraId="68B20137" w14:textId="77777777" w:rsidR="003B42FC" w:rsidRPr="00A04976" w:rsidRDefault="003B42FC" w:rsidP="00BE3F24">
      <w:pPr>
        <w:autoSpaceDE w:val="0"/>
        <w:autoSpaceDN w:val="0"/>
        <w:adjustRightInd w:val="0"/>
        <w:jc w:val="both"/>
        <w:rPr>
          <w:rFonts w:ascii="Arial" w:hAnsi="Arial" w:cs="Arial"/>
        </w:rPr>
      </w:pPr>
      <w:r w:rsidRPr="00A04976">
        <w:rPr>
          <w:rFonts w:ascii="Arial" w:hAnsi="Arial" w:cs="Arial"/>
        </w:rPr>
        <w:t xml:space="preserve"> </w:t>
      </w:r>
    </w:p>
    <w:p w14:paraId="0FE58BE7" w14:textId="77777777" w:rsidR="009310B0" w:rsidRDefault="003B42FC" w:rsidP="00172E64">
      <w:pPr>
        <w:pStyle w:val="Heading4"/>
        <w:numPr>
          <w:ilvl w:val="3"/>
          <w:numId w:val="183"/>
        </w:numPr>
        <w:ind w:left="0" w:firstLine="0"/>
      </w:pPr>
      <w:r w:rsidRPr="00A04976">
        <w:t>Purpose</w:t>
      </w:r>
    </w:p>
    <w:p w14:paraId="7434C620" w14:textId="77777777" w:rsidR="003B42FC" w:rsidRPr="009310B0" w:rsidRDefault="003B42FC" w:rsidP="00BE3F24">
      <w:pPr>
        <w:autoSpaceDE w:val="0"/>
        <w:autoSpaceDN w:val="0"/>
        <w:adjustRightInd w:val="0"/>
        <w:jc w:val="both"/>
        <w:rPr>
          <w:rFonts w:ascii="Arial" w:hAnsi="Arial" w:cs="Arial"/>
          <w:sz w:val="22"/>
          <w:szCs w:val="22"/>
        </w:rPr>
      </w:pPr>
      <w:r w:rsidRPr="009310B0">
        <w:rPr>
          <w:rFonts w:ascii="Arial" w:hAnsi="Arial" w:cs="Arial"/>
          <w:sz w:val="22"/>
          <w:szCs w:val="22"/>
        </w:rPr>
        <w:t>Soil information (soil types and moisture conditions) are submitted to the PM to show the basis for the recommendations. This data is also included in the Contract Documents to provide the Contractor an insight into conditions to be expected on the project.</w:t>
      </w:r>
    </w:p>
    <w:p w14:paraId="27A1B615" w14:textId="77777777" w:rsidR="003B42FC" w:rsidRPr="00A04976" w:rsidRDefault="003B42FC" w:rsidP="00BE3F24">
      <w:pPr>
        <w:pStyle w:val="BodyText"/>
        <w:spacing w:after="0"/>
        <w:jc w:val="both"/>
      </w:pPr>
    </w:p>
    <w:p w14:paraId="01D3123C" w14:textId="77777777" w:rsidR="003B42FC" w:rsidRPr="00A04976" w:rsidRDefault="003B42FC" w:rsidP="00172E64">
      <w:pPr>
        <w:pStyle w:val="Heading4"/>
        <w:numPr>
          <w:ilvl w:val="3"/>
          <w:numId w:val="183"/>
        </w:numPr>
        <w:ind w:left="0" w:firstLine="0"/>
      </w:pPr>
      <w:r w:rsidRPr="00A04976">
        <w:lastRenderedPageBreak/>
        <w:t>Resource Requirements</w:t>
      </w:r>
    </w:p>
    <w:p w14:paraId="196F29AB" w14:textId="77777777" w:rsidR="003B42FC" w:rsidRDefault="003B42FC" w:rsidP="00BE3F24">
      <w:pPr>
        <w:pStyle w:val="BodyText"/>
        <w:spacing w:after="0"/>
        <w:jc w:val="both"/>
      </w:pPr>
      <w:r w:rsidRPr="00A04976">
        <w:rPr>
          <w:rFonts w:cs="Arial"/>
          <w:szCs w:val="22"/>
        </w:rPr>
        <w:t xml:space="preserve">Surface and Subsurface </w:t>
      </w:r>
      <w:r>
        <w:rPr>
          <w:rFonts w:cs="Arial"/>
          <w:szCs w:val="22"/>
        </w:rPr>
        <w:t>C</w:t>
      </w:r>
      <w:r w:rsidRPr="00A04976">
        <w:rPr>
          <w:rFonts w:cs="Arial"/>
          <w:szCs w:val="22"/>
        </w:rPr>
        <w:t>onditions</w:t>
      </w:r>
      <w:r w:rsidRPr="00A04976">
        <w:t xml:space="preserve"> procedure documented below requires the following staffing needs for a typical project:</w:t>
      </w:r>
    </w:p>
    <w:p w14:paraId="2716000C" w14:textId="77777777" w:rsidR="003B42FC" w:rsidRPr="00631AD9" w:rsidRDefault="003B42FC" w:rsidP="00BE3F24">
      <w:pPr>
        <w:pStyle w:val="BodyText"/>
        <w:spacing w:after="0"/>
        <w:jc w:val="both"/>
      </w:pPr>
    </w:p>
    <w:tbl>
      <w:tblPr>
        <w:tblW w:w="8576" w:type="dxa"/>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000" w:firstRow="0" w:lastRow="0" w:firstColumn="0" w:lastColumn="0" w:noHBand="0" w:noVBand="0"/>
      </w:tblPr>
      <w:tblGrid>
        <w:gridCol w:w="2780"/>
        <w:gridCol w:w="2781"/>
        <w:gridCol w:w="1431"/>
        <w:gridCol w:w="1584"/>
      </w:tblGrid>
      <w:tr w:rsidR="003B42FC" w:rsidRPr="00631AD9" w14:paraId="561E06DC" w14:textId="77777777" w:rsidTr="00A66C6C">
        <w:trPr>
          <w:trHeight w:val="687"/>
          <w:jc w:val="center"/>
        </w:trPr>
        <w:tc>
          <w:tcPr>
            <w:tcW w:w="2780" w:type="dxa"/>
            <w:shd w:val="pct15" w:color="auto" w:fill="FFFFFF"/>
            <w:vAlign w:val="center"/>
          </w:tcPr>
          <w:p w14:paraId="120C9412" w14:textId="77777777" w:rsidR="003B42FC" w:rsidRPr="00631AD9" w:rsidRDefault="003B42FC" w:rsidP="00BE3F24">
            <w:pPr>
              <w:jc w:val="center"/>
              <w:rPr>
                <w:rFonts w:ascii="Arial" w:hAnsi="Arial"/>
                <w:b/>
              </w:rPr>
            </w:pPr>
            <w:r w:rsidRPr="00631AD9">
              <w:rPr>
                <w:rFonts w:ascii="Arial" w:hAnsi="Arial"/>
                <w:b/>
              </w:rPr>
              <w:t>Position</w:t>
            </w:r>
          </w:p>
        </w:tc>
        <w:tc>
          <w:tcPr>
            <w:tcW w:w="2781" w:type="dxa"/>
            <w:shd w:val="pct15" w:color="auto" w:fill="FFFFFF"/>
            <w:vAlign w:val="center"/>
          </w:tcPr>
          <w:p w14:paraId="07992380" w14:textId="77777777" w:rsidR="003B42FC" w:rsidRPr="00631AD9" w:rsidRDefault="003B42FC" w:rsidP="00BE3F24">
            <w:pPr>
              <w:jc w:val="center"/>
              <w:rPr>
                <w:rFonts w:ascii="Arial" w:hAnsi="Arial"/>
                <w:b/>
              </w:rPr>
            </w:pPr>
            <w:r w:rsidRPr="00631AD9">
              <w:rPr>
                <w:rFonts w:ascii="Arial" w:hAnsi="Arial"/>
                <w:b/>
              </w:rPr>
              <w:t>Function</w:t>
            </w:r>
          </w:p>
        </w:tc>
        <w:tc>
          <w:tcPr>
            <w:tcW w:w="1431" w:type="dxa"/>
            <w:shd w:val="pct15" w:color="auto" w:fill="FFFFFF"/>
            <w:vAlign w:val="center"/>
          </w:tcPr>
          <w:p w14:paraId="18F39861" w14:textId="77777777" w:rsidR="003B42FC" w:rsidRPr="00631AD9" w:rsidRDefault="003B42FC" w:rsidP="00BE3F24">
            <w:pPr>
              <w:jc w:val="center"/>
              <w:rPr>
                <w:rFonts w:ascii="Arial" w:hAnsi="Arial"/>
                <w:b/>
              </w:rPr>
            </w:pPr>
            <w:r w:rsidRPr="00631AD9">
              <w:rPr>
                <w:rFonts w:ascii="Arial" w:hAnsi="Arial"/>
                <w:b/>
              </w:rPr>
              <w:t>Resources</w:t>
            </w:r>
          </w:p>
        </w:tc>
        <w:tc>
          <w:tcPr>
            <w:tcW w:w="1584" w:type="dxa"/>
            <w:shd w:val="pct15" w:color="auto" w:fill="FFFFFF"/>
            <w:vAlign w:val="center"/>
          </w:tcPr>
          <w:p w14:paraId="54298187" w14:textId="77777777" w:rsidR="003B42FC" w:rsidRPr="00631AD9" w:rsidRDefault="003B42FC" w:rsidP="00BE3F24">
            <w:pPr>
              <w:jc w:val="center"/>
              <w:rPr>
                <w:rFonts w:ascii="Arial" w:hAnsi="Arial"/>
                <w:b/>
              </w:rPr>
            </w:pPr>
            <w:r w:rsidRPr="00631AD9">
              <w:rPr>
                <w:rFonts w:ascii="Arial" w:hAnsi="Arial"/>
                <w:b/>
              </w:rPr>
              <w:t>Effort Level</w:t>
            </w:r>
          </w:p>
          <w:p w14:paraId="575AEC09" w14:textId="77777777" w:rsidR="003B42FC" w:rsidRPr="00631AD9" w:rsidRDefault="003B42FC" w:rsidP="00BE3F24">
            <w:pPr>
              <w:jc w:val="center"/>
              <w:rPr>
                <w:rFonts w:ascii="Arial" w:hAnsi="Arial"/>
                <w:b/>
              </w:rPr>
            </w:pPr>
            <w:r w:rsidRPr="00631AD9">
              <w:rPr>
                <w:rFonts w:ascii="Arial" w:hAnsi="Arial"/>
                <w:b/>
              </w:rPr>
              <w:t>(man-hours)</w:t>
            </w:r>
          </w:p>
        </w:tc>
      </w:tr>
      <w:tr w:rsidR="003B42FC" w:rsidRPr="00631AD9" w14:paraId="5A53BB44" w14:textId="77777777" w:rsidTr="00A66C6C">
        <w:trPr>
          <w:jc w:val="center"/>
        </w:trPr>
        <w:tc>
          <w:tcPr>
            <w:tcW w:w="2780" w:type="dxa"/>
            <w:vAlign w:val="center"/>
          </w:tcPr>
          <w:p w14:paraId="58FA0DD9" w14:textId="77777777" w:rsidR="003B42FC" w:rsidRPr="00631AD9" w:rsidRDefault="003B42FC" w:rsidP="00BE3F24">
            <w:pPr>
              <w:jc w:val="center"/>
              <w:rPr>
                <w:rFonts w:ascii="Arial" w:hAnsi="Arial"/>
                <w:sz w:val="18"/>
              </w:rPr>
            </w:pPr>
            <w:r>
              <w:rPr>
                <w:rFonts w:ascii="Arial" w:hAnsi="Arial"/>
                <w:sz w:val="18"/>
              </w:rPr>
              <w:t xml:space="preserve">PAGD </w:t>
            </w:r>
            <w:r w:rsidRPr="00CC58A7">
              <w:rPr>
                <w:rFonts w:ascii="Arial" w:hAnsi="Arial"/>
                <w:sz w:val="18"/>
              </w:rPr>
              <w:t>Engineer</w:t>
            </w:r>
          </w:p>
        </w:tc>
        <w:tc>
          <w:tcPr>
            <w:tcW w:w="2781" w:type="dxa"/>
            <w:vAlign w:val="center"/>
          </w:tcPr>
          <w:p w14:paraId="0BF21534" w14:textId="77777777" w:rsidR="003B42FC" w:rsidRPr="00631AD9" w:rsidRDefault="003B42FC" w:rsidP="00BE3F24">
            <w:pPr>
              <w:jc w:val="center"/>
              <w:rPr>
                <w:rFonts w:ascii="Arial" w:hAnsi="Arial"/>
                <w:sz w:val="18"/>
              </w:rPr>
            </w:pPr>
            <w:r w:rsidRPr="00631AD9">
              <w:rPr>
                <w:rFonts w:ascii="Arial" w:hAnsi="Arial"/>
                <w:sz w:val="18"/>
              </w:rPr>
              <w:t>Review boring logs, lab data, QA/QC of lab data</w:t>
            </w:r>
          </w:p>
        </w:tc>
        <w:tc>
          <w:tcPr>
            <w:tcW w:w="1431" w:type="dxa"/>
            <w:vAlign w:val="center"/>
          </w:tcPr>
          <w:p w14:paraId="6124176C" w14:textId="77777777" w:rsidR="003B42FC" w:rsidRPr="00631AD9" w:rsidRDefault="003B42FC" w:rsidP="00BE3F24">
            <w:pPr>
              <w:jc w:val="center"/>
              <w:rPr>
                <w:rFonts w:ascii="Arial" w:hAnsi="Arial"/>
                <w:sz w:val="18"/>
              </w:rPr>
            </w:pPr>
            <w:r w:rsidRPr="00631AD9">
              <w:rPr>
                <w:rFonts w:ascii="Arial" w:hAnsi="Arial"/>
                <w:sz w:val="18"/>
              </w:rPr>
              <w:t>1</w:t>
            </w:r>
          </w:p>
        </w:tc>
        <w:tc>
          <w:tcPr>
            <w:tcW w:w="1584" w:type="dxa"/>
            <w:vAlign w:val="center"/>
          </w:tcPr>
          <w:p w14:paraId="40A37887" w14:textId="77777777" w:rsidR="003B42FC" w:rsidRPr="00631AD9" w:rsidRDefault="003B42FC" w:rsidP="00BE3F24">
            <w:pPr>
              <w:jc w:val="center"/>
              <w:rPr>
                <w:rFonts w:ascii="Arial" w:hAnsi="Arial"/>
                <w:sz w:val="18"/>
              </w:rPr>
            </w:pPr>
            <w:r w:rsidRPr="00631AD9">
              <w:rPr>
                <w:rFonts w:ascii="Arial" w:hAnsi="Arial"/>
                <w:sz w:val="18"/>
              </w:rPr>
              <w:t>4*</w:t>
            </w:r>
          </w:p>
        </w:tc>
      </w:tr>
      <w:tr w:rsidR="003B42FC" w:rsidRPr="00631AD9" w14:paraId="20172845" w14:textId="77777777" w:rsidTr="00A66C6C">
        <w:trPr>
          <w:jc w:val="center"/>
        </w:trPr>
        <w:tc>
          <w:tcPr>
            <w:tcW w:w="2780" w:type="dxa"/>
            <w:vAlign w:val="center"/>
          </w:tcPr>
          <w:p w14:paraId="594412F1" w14:textId="77777777" w:rsidR="003B42FC" w:rsidRPr="00631AD9" w:rsidRDefault="003B42FC" w:rsidP="00BE3F24">
            <w:pPr>
              <w:jc w:val="center"/>
              <w:rPr>
                <w:rFonts w:ascii="Arial" w:hAnsi="Arial"/>
                <w:sz w:val="18"/>
              </w:rPr>
            </w:pPr>
            <w:r>
              <w:rPr>
                <w:rFonts w:ascii="Arial" w:hAnsi="Arial"/>
                <w:sz w:val="18"/>
              </w:rPr>
              <w:t xml:space="preserve">PAGD </w:t>
            </w:r>
            <w:r w:rsidRPr="00CC58A7">
              <w:rPr>
                <w:rFonts w:ascii="Arial" w:hAnsi="Arial"/>
                <w:sz w:val="18"/>
              </w:rPr>
              <w:t>Engineer</w:t>
            </w:r>
          </w:p>
        </w:tc>
        <w:tc>
          <w:tcPr>
            <w:tcW w:w="2781" w:type="dxa"/>
            <w:vAlign w:val="center"/>
          </w:tcPr>
          <w:p w14:paraId="23978F54" w14:textId="77777777" w:rsidR="003B42FC" w:rsidRPr="00631AD9" w:rsidRDefault="003B42FC" w:rsidP="00BE3F24">
            <w:pPr>
              <w:jc w:val="center"/>
              <w:rPr>
                <w:rFonts w:ascii="Arial" w:hAnsi="Arial"/>
                <w:sz w:val="18"/>
              </w:rPr>
            </w:pPr>
            <w:r w:rsidRPr="00631AD9">
              <w:rPr>
                <w:rFonts w:ascii="Arial" w:hAnsi="Arial"/>
                <w:sz w:val="18"/>
              </w:rPr>
              <w:t>Plot soil boring information on roadway plan sheets</w:t>
            </w:r>
            <w:r>
              <w:rPr>
                <w:rFonts w:ascii="Arial" w:hAnsi="Arial"/>
                <w:sz w:val="18"/>
              </w:rPr>
              <w:t xml:space="preserve"> and cross-sections</w:t>
            </w:r>
          </w:p>
        </w:tc>
        <w:tc>
          <w:tcPr>
            <w:tcW w:w="1431" w:type="dxa"/>
            <w:vAlign w:val="center"/>
          </w:tcPr>
          <w:p w14:paraId="086252F3" w14:textId="77777777" w:rsidR="003B42FC" w:rsidRPr="00631AD9" w:rsidRDefault="003B42FC" w:rsidP="00BE3F24">
            <w:pPr>
              <w:jc w:val="center"/>
              <w:rPr>
                <w:rFonts w:ascii="Arial" w:hAnsi="Arial"/>
                <w:sz w:val="18"/>
              </w:rPr>
            </w:pPr>
            <w:r w:rsidRPr="00631AD9">
              <w:rPr>
                <w:rFonts w:ascii="Arial" w:hAnsi="Arial"/>
                <w:sz w:val="18"/>
              </w:rPr>
              <w:t>1</w:t>
            </w:r>
          </w:p>
        </w:tc>
        <w:tc>
          <w:tcPr>
            <w:tcW w:w="1584" w:type="dxa"/>
            <w:vAlign w:val="center"/>
          </w:tcPr>
          <w:p w14:paraId="3F14E80E" w14:textId="77777777" w:rsidR="003B42FC" w:rsidRPr="00631AD9" w:rsidRDefault="003B42FC" w:rsidP="00BE3F24">
            <w:pPr>
              <w:jc w:val="center"/>
              <w:rPr>
                <w:rFonts w:ascii="Arial" w:hAnsi="Arial"/>
                <w:sz w:val="18"/>
              </w:rPr>
            </w:pPr>
            <w:r w:rsidRPr="00631AD9">
              <w:rPr>
                <w:rFonts w:ascii="Arial" w:hAnsi="Arial"/>
                <w:sz w:val="18"/>
              </w:rPr>
              <w:t>4*</w:t>
            </w:r>
          </w:p>
        </w:tc>
      </w:tr>
    </w:tbl>
    <w:p w14:paraId="3370A7F9" w14:textId="77777777" w:rsidR="003B42FC" w:rsidRDefault="003B42FC" w:rsidP="00BE3F24">
      <w:pPr>
        <w:jc w:val="both"/>
        <w:rPr>
          <w:rFonts w:ascii="Arial" w:hAnsi="Arial"/>
          <w:sz w:val="18"/>
          <w:szCs w:val="18"/>
        </w:rPr>
      </w:pPr>
      <w:r>
        <w:rPr>
          <w:rFonts w:ascii="Arial" w:hAnsi="Arial"/>
          <w:sz w:val="18"/>
          <w:szCs w:val="18"/>
        </w:rPr>
        <w:t xml:space="preserve">      </w:t>
      </w:r>
      <w:r w:rsidRPr="00702B7F">
        <w:rPr>
          <w:rFonts w:ascii="Arial" w:hAnsi="Arial"/>
          <w:sz w:val="18"/>
          <w:szCs w:val="18"/>
        </w:rPr>
        <w:t>* The time required would vary depending on the size and complexity of a project.</w:t>
      </w:r>
    </w:p>
    <w:p w14:paraId="03E8CB2F" w14:textId="77777777" w:rsidR="009310B0" w:rsidRPr="00702B7F" w:rsidRDefault="009310B0" w:rsidP="00BE3F24">
      <w:pPr>
        <w:jc w:val="both"/>
        <w:rPr>
          <w:rFonts w:ascii="Arial" w:hAnsi="Arial"/>
          <w:sz w:val="18"/>
          <w:szCs w:val="18"/>
        </w:rPr>
      </w:pPr>
    </w:p>
    <w:p w14:paraId="14C787BE" w14:textId="77777777" w:rsidR="003B42FC" w:rsidRPr="00631AD9" w:rsidRDefault="003B42FC" w:rsidP="00172E64">
      <w:pPr>
        <w:pStyle w:val="Heading4"/>
        <w:numPr>
          <w:ilvl w:val="3"/>
          <w:numId w:val="183"/>
        </w:numPr>
        <w:ind w:left="0" w:firstLine="0"/>
      </w:pPr>
      <w:r w:rsidRPr="00631AD9">
        <w:t>Procedure</w:t>
      </w:r>
    </w:p>
    <w:p w14:paraId="45AF4A4E" w14:textId="2778BF17" w:rsidR="003B42FC" w:rsidRPr="00631AD9" w:rsidRDefault="003B42FC" w:rsidP="00BE3F24">
      <w:pPr>
        <w:pStyle w:val="BodyText"/>
        <w:jc w:val="both"/>
      </w:pPr>
      <w:r w:rsidRPr="00631AD9">
        <w:t xml:space="preserve">The procedure presented in </w:t>
      </w:r>
      <w:r w:rsidRPr="00BA1669">
        <w:t>the attached flowchart and</w:t>
      </w:r>
      <w:r w:rsidRPr="00631AD9">
        <w:t xml:space="preserve"> described </w:t>
      </w:r>
      <w:r w:rsidR="00E3383A">
        <w:t>below</w:t>
      </w:r>
      <w:r w:rsidRPr="00631AD9">
        <w:t xml:space="preserve"> should be followed for a typical project in analyzing Surface and Subsurface Conditions. The following procedure was written to provide the </w:t>
      </w:r>
      <w:r w:rsidR="00123F3B">
        <w:t>PAGD</w:t>
      </w:r>
      <w:r w:rsidR="00123F3B" w:rsidRPr="00631AD9">
        <w:t xml:space="preserve"> </w:t>
      </w:r>
      <w:r w:rsidRPr="00631AD9">
        <w:t xml:space="preserve">engineer with adequate information to complete a typical Surface and Subsurface Conditions procedure without specific knowledge or access to computer software applications, but with the assumption that these tools were available. </w:t>
      </w:r>
    </w:p>
    <w:p w14:paraId="70C27AB5" w14:textId="5E47A574" w:rsidR="003B42FC" w:rsidRPr="00631AD9" w:rsidRDefault="003B42FC" w:rsidP="00BE3F24">
      <w:pPr>
        <w:pStyle w:val="BodyText"/>
        <w:jc w:val="both"/>
      </w:pPr>
      <w:r w:rsidRPr="00631AD9">
        <w:t>Surface and Subsurface Conditions begin when</w:t>
      </w:r>
      <w:r>
        <w:t xml:space="preserve"> the</w:t>
      </w:r>
      <w:r w:rsidRPr="00631AD9">
        <w:t xml:space="preserve"> </w:t>
      </w:r>
      <w:r w:rsidRPr="009D1DEB">
        <w:t>PAGD Engineer receives</w:t>
      </w:r>
      <w:r w:rsidRPr="00631AD9">
        <w:t xml:space="preserve"> the </w:t>
      </w:r>
      <w:r w:rsidR="00123F3B">
        <w:t xml:space="preserve">geophysical results, if applicable, the </w:t>
      </w:r>
      <w:r w:rsidRPr="00631AD9">
        <w:t>soil boring logs from the driller</w:t>
      </w:r>
      <w:r w:rsidR="00123F3B">
        <w:t>,</w:t>
      </w:r>
      <w:r w:rsidRPr="00631AD9">
        <w:t xml:space="preserve"> and related laboratory test results.  </w:t>
      </w:r>
    </w:p>
    <w:p w14:paraId="6FEA72ED" w14:textId="77777777" w:rsidR="003B42FC" w:rsidRPr="00631AD9" w:rsidRDefault="003B42FC" w:rsidP="00A66C6C">
      <w:pPr>
        <w:pStyle w:val="BodyText"/>
        <w:spacing w:after="240"/>
        <w:jc w:val="both"/>
      </w:pPr>
      <w:r w:rsidRPr="00631AD9">
        <w:t>Follow the steps below to complete Surface and Subsurface Conditions:</w:t>
      </w:r>
    </w:p>
    <w:p w14:paraId="1047F3FF" w14:textId="7DA333A5" w:rsidR="001A15B9" w:rsidRDefault="003B42FC" w:rsidP="00172E64">
      <w:pPr>
        <w:pStyle w:val="ListNumber"/>
        <w:numPr>
          <w:ilvl w:val="0"/>
          <w:numId w:val="46"/>
        </w:numPr>
        <w:tabs>
          <w:tab w:val="clear" w:pos="1872"/>
          <w:tab w:val="num" w:pos="1080"/>
        </w:tabs>
        <w:ind w:left="1080" w:hanging="1080"/>
        <w:jc w:val="both"/>
      </w:pPr>
      <w:r w:rsidRPr="00631AD9">
        <w:t xml:space="preserve">Review </w:t>
      </w:r>
      <w:r w:rsidR="00123F3B">
        <w:t xml:space="preserve">geophysical results, </w:t>
      </w:r>
      <w:r w:rsidRPr="00631AD9">
        <w:t>soil boring logs</w:t>
      </w:r>
      <w:r w:rsidR="00123F3B">
        <w:t>,</w:t>
      </w:r>
      <w:r w:rsidRPr="00631AD9">
        <w:t xml:space="preserve"> and relative laboratory test results to find the predominant soils, moisture contents of the soils, groundwater levels, soft cohesive soils, muck, low wet areas, springs, topography tabulation, </w:t>
      </w:r>
      <w:r w:rsidR="00123F3B">
        <w:t xml:space="preserve">and </w:t>
      </w:r>
      <w:r w:rsidRPr="00631AD9">
        <w:t xml:space="preserve">other notable conditions like </w:t>
      </w:r>
      <w:r w:rsidR="00123F3B">
        <w:t xml:space="preserve">voids, </w:t>
      </w:r>
      <w:r w:rsidRPr="00631AD9">
        <w:t>surface dumps, unconsolidated fills, existing wells, underground storage tanks, petroleum contaminated soils, and rock encountered</w:t>
      </w:r>
      <w:r w:rsidR="00E3383A">
        <w:t>,</w:t>
      </w:r>
      <w:r w:rsidRPr="00631AD9">
        <w:t xml:space="preserve"> if any</w:t>
      </w:r>
      <w:r w:rsidR="00E3383A">
        <w:t>,</w:t>
      </w:r>
      <w:r w:rsidRPr="00631AD9">
        <w:t xml:space="preserve"> within the project limits. </w:t>
      </w:r>
      <w:r w:rsidRPr="009D1DEB">
        <w:rPr>
          <w:i/>
        </w:rPr>
        <w:t xml:space="preserve">  </w:t>
      </w:r>
    </w:p>
    <w:p w14:paraId="336847E4" w14:textId="79013F58" w:rsidR="001A15B9" w:rsidRDefault="003B42FC" w:rsidP="00172E64">
      <w:pPr>
        <w:pStyle w:val="ListNumber"/>
        <w:numPr>
          <w:ilvl w:val="0"/>
          <w:numId w:val="46"/>
        </w:numPr>
        <w:tabs>
          <w:tab w:val="clear" w:pos="1872"/>
          <w:tab w:val="num" w:pos="1152"/>
        </w:tabs>
        <w:ind w:left="1080" w:hanging="1080"/>
        <w:jc w:val="both"/>
      </w:pPr>
      <w:r w:rsidRPr="00631AD9">
        <w:t xml:space="preserve">After reviewing the boring logs and relative laboratory test results, </w:t>
      </w:r>
      <w:r>
        <w:t xml:space="preserve">determine </w:t>
      </w:r>
      <w:r w:rsidRPr="00631AD9">
        <w:t xml:space="preserve">the predominant </w:t>
      </w:r>
      <w:r>
        <w:t>soils in cuts, fills</w:t>
      </w:r>
      <w:r w:rsidR="00E3383A">
        <w:t>,</w:t>
      </w:r>
      <w:r>
        <w:t xml:space="preserve"> and at proposed</w:t>
      </w:r>
      <w:r w:rsidRPr="00631AD9">
        <w:t xml:space="preserve"> subgrade</w:t>
      </w:r>
      <w:r>
        <w:t>.</w:t>
      </w:r>
      <w:r w:rsidRPr="00631AD9">
        <w:t xml:space="preserve">  There can be more than one predominant soil encountered within the project limits. </w:t>
      </w:r>
    </w:p>
    <w:p w14:paraId="429ACFE4" w14:textId="71EE0D3B" w:rsidR="001A15B9" w:rsidRDefault="003B42FC" w:rsidP="00172E64">
      <w:pPr>
        <w:pStyle w:val="ListNumber"/>
        <w:numPr>
          <w:ilvl w:val="0"/>
          <w:numId w:val="46"/>
        </w:numPr>
        <w:tabs>
          <w:tab w:val="clear" w:pos="1872"/>
        </w:tabs>
        <w:ind w:left="1080" w:hanging="1080"/>
        <w:jc w:val="both"/>
      </w:pPr>
      <w:r>
        <w:t>Di</w:t>
      </w:r>
      <w:r w:rsidRPr="00631AD9">
        <w:t xml:space="preserve">atomaceous and river bottom material </w:t>
      </w:r>
      <w:r>
        <w:t xml:space="preserve">(A-6) </w:t>
      </w:r>
      <w:r w:rsidRPr="00631AD9">
        <w:t>encountered at locations and depths shown on the soil plans</w:t>
      </w:r>
      <w:r>
        <w:t xml:space="preserve"> should n</w:t>
      </w:r>
      <w:r w:rsidRPr="00631AD9">
        <w:t xml:space="preserve">ot be permitted as embankment material within the limits of the </w:t>
      </w:r>
      <w:r>
        <w:t xml:space="preserve">roadway typical </w:t>
      </w:r>
      <w:r w:rsidRPr="00631AD9">
        <w:t xml:space="preserve">section. </w:t>
      </w:r>
      <w:r>
        <w:t xml:space="preserve">Note this in a </w:t>
      </w:r>
      <w:r w:rsidRPr="00631AD9">
        <w:t>Special Provision</w:t>
      </w:r>
      <w:r>
        <w:t xml:space="preserve"> (SP).  Soils with a M</w:t>
      </w:r>
      <w:r w:rsidRPr="00631AD9">
        <w:rPr>
          <w:rFonts w:cs="Arial"/>
          <w:szCs w:val="22"/>
        </w:rPr>
        <w:t xml:space="preserve">aximum </w:t>
      </w:r>
      <w:r>
        <w:rPr>
          <w:rFonts w:cs="Arial"/>
          <w:szCs w:val="22"/>
        </w:rPr>
        <w:t>Dry D</w:t>
      </w:r>
      <w:r w:rsidRPr="00631AD9">
        <w:rPr>
          <w:rFonts w:cs="Arial"/>
          <w:szCs w:val="22"/>
        </w:rPr>
        <w:t xml:space="preserve">ensity less than 100 </w:t>
      </w:r>
      <w:r>
        <w:rPr>
          <w:rFonts w:cs="Arial"/>
          <w:szCs w:val="22"/>
        </w:rPr>
        <w:t xml:space="preserve">pounds per cubic foot (pcf) should not be used as embankment material and should be noted in the FGR and in </w:t>
      </w:r>
      <w:r w:rsidR="00E3383A">
        <w:rPr>
          <w:rFonts w:cs="Arial"/>
          <w:szCs w:val="22"/>
        </w:rPr>
        <w:t xml:space="preserve">the </w:t>
      </w:r>
      <w:r>
        <w:rPr>
          <w:rFonts w:cs="Arial"/>
          <w:szCs w:val="22"/>
        </w:rPr>
        <w:t>SP.</w:t>
      </w:r>
      <w:r w:rsidRPr="00631AD9">
        <w:rPr>
          <w:rFonts w:cs="Arial"/>
          <w:szCs w:val="22"/>
        </w:rPr>
        <w:t xml:space="preserve"> </w:t>
      </w:r>
    </w:p>
    <w:p w14:paraId="48264468" w14:textId="3FE7FD4B" w:rsidR="001A15B9" w:rsidRDefault="003B42FC" w:rsidP="00172E64">
      <w:pPr>
        <w:pStyle w:val="ListNumber"/>
        <w:numPr>
          <w:ilvl w:val="0"/>
          <w:numId w:val="46"/>
        </w:numPr>
        <w:tabs>
          <w:tab w:val="clear" w:pos="1872"/>
          <w:tab w:val="num" w:pos="1152"/>
        </w:tabs>
        <w:ind w:left="1080" w:hanging="1080"/>
        <w:jc w:val="both"/>
      </w:pPr>
      <w:r>
        <w:t>I</w:t>
      </w:r>
      <w:r w:rsidRPr="00631AD9">
        <w:t>f very fine grained soils (clay and clayey silts) are encountered throughout the project</w:t>
      </w:r>
      <w:r>
        <w:t xml:space="preserve"> site during the field investigation, then</w:t>
      </w:r>
      <w:r w:rsidRPr="00631AD9">
        <w:t xml:space="preserve"> c</w:t>
      </w:r>
      <w:r w:rsidRPr="00631AD9">
        <w:rPr>
          <w:rFonts w:cs="Arial"/>
          <w:szCs w:val="22"/>
        </w:rPr>
        <w:t xml:space="preserve">ompaction difficulties </w:t>
      </w:r>
      <w:r>
        <w:rPr>
          <w:rFonts w:cs="Arial"/>
          <w:szCs w:val="22"/>
        </w:rPr>
        <w:t>should be</w:t>
      </w:r>
      <w:r w:rsidRPr="00631AD9">
        <w:rPr>
          <w:rFonts w:cs="Arial"/>
          <w:szCs w:val="22"/>
        </w:rPr>
        <w:t xml:space="preserve"> expected </w:t>
      </w:r>
      <w:r w:rsidRPr="00631AD9">
        <w:t>due to the high percentage of fine grained soils and their inherent water retention characteristics.</w:t>
      </w:r>
      <w:r>
        <w:t xml:space="preserve"> In such cases</w:t>
      </w:r>
      <w:r>
        <w:rPr>
          <w:rFonts w:cs="Arial"/>
          <w:szCs w:val="22"/>
        </w:rPr>
        <w:t>,</w:t>
      </w:r>
      <w:r w:rsidRPr="00631AD9">
        <w:rPr>
          <w:rFonts w:cs="Arial"/>
          <w:szCs w:val="22"/>
        </w:rPr>
        <w:t xml:space="preserve"> an adjustment to the compaction requirements and/or moisture tolerance may be required and s</w:t>
      </w:r>
      <w:r>
        <w:rPr>
          <w:rFonts w:cs="Arial"/>
          <w:szCs w:val="22"/>
        </w:rPr>
        <w:t>tated</w:t>
      </w:r>
      <w:r w:rsidRPr="00631AD9">
        <w:rPr>
          <w:rFonts w:cs="Arial"/>
          <w:szCs w:val="22"/>
        </w:rPr>
        <w:t xml:space="preserve"> in the </w:t>
      </w:r>
      <w:r>
        <w:rPr>
          <w:rFonts w:cs="Arial"/>
          <w:szCs w:val="22"/>
        </w:rPr>
        <w:t>S</w:t>
      </w:r>
      <w:r w:rsidRPr="00631AD9">
        <w:rPr>
          <w:rFonts w:cs="Arial"/>
          <w:szCs w:val="22"/>
        </w:rPr>
        <w:t>pec</w:t>
      </w:r>
      <w:r>
        <w:rPr>
          <w:rFonts w:cs="Arial"/>
          <w:szCs w:val="22"/>
        </w:rPr>
        <w:t>ifications</w:t>
      </w:r>
      <w:r w:rsidRPr="00631AD9">
        <w:rPr>
          <w:rFonts w:cs="Arial"/>
          <w:szCs w:val="22"/>
        </w:rPr>
        <w:t xml:space="preserve">. </w:t>
      </w:r>
    </w:p>
    <w:p w14:paraId="7F1B16CE" w14:textId="3AB92E38" w:rsidR="001A15B9" w:rsidRDefault="003B42FC" w:rsidP="00172E64">
      <w:pPr>
        <w:pStyle w:val="ListNumber"/>
        <w:numPr>
          <w:ilvl w:val="0"/>
          <w:numId w:val="46"/>
        </w:numPr>
        <w:tabs>
          <w:tab w:val="clear" w:pos="1872"/>
          <w:tab w:val="num" w:pos="1152"/>
        </w:tabs>
        <w:ind w:left="1080" w:hanging="1080"/>
        <w:jc w:val="both"/>
      </w:pPr>
      <w:r w:rsidRPr="00631AD9">
        <w:t xml:space="preserve">If </w:t>
      </w:r>
      <w:r>
        <w:t>SPT borings reveal cohesive soils (with N</w:t>
      </w:r>
      <w:r w:rsidR="00E3383A">
        <w:t>-</w:t>
      </w:r>
      <w:r>
        <w:t xml:space="preserve">values &lt; 4 bpf) below the finished subgrade, settlement of the structures (roadway embankments, bridge </w:t>
      </w:r>
      <w:r>
        <w:lastRenderedPageBreak/>
        <w:t xml:space="preserve">approaches, etc.) may occur.  Stability and settlement analysis may be warranted </w:t>
      </w:r>
      <w:r w:rsidRPr="009D1DEB">
        <w:t>(See VI.C and VI.D).</w:t>
      </w:r>
      <w:r>
        <w:t xml:space="preserve">  The treatment of these areas should be noted in the FGR and in </w:t>
      </w:r>
      <w:r w:rsidR="00E3383A">
        <w:t xml:space="preserve">the </w:t>
      </w:r>
      <w:r>
        <w:t xml:space="preserve">SP.  </w:t>
      </w:r>
    </w:p>
    <w:p w14:paraId="4D46D28C" w14:textId="3BD95214" w:rsidR="001A15B9" w:rsidRDefault="003B42FC" w:rsidP="00172E64">
      <w:pPr>
        <w:pStyle w:val="ListNumber"/>
        <w:numPr>
          <w:ilvl w:val="0"/>
          <w:numId w:val="46"/>
        </w:numPr>
        <w:tabs>
          <w:tab w:val="clear" w:pos="1872"/>
          <w:tab w:val="num" w:pos="1152"/>
        </w:tabs>
        <w:ind w:left="1080" w:hanging="1080"/>
        <w:jc w:val="both"/>
      </w:pPr>
      <w:r w:rsidRPr="00631AD9">
        <w:t>If A-5 micaceous silt with moisture content above optimum</w:t>
      </w:r>
      <w:r>
        <w:t xml:space="preserve"> moisture content </w:t>
      </w:r>
      <w:r w:rsidRPr="00631AD9">
        <w:t>with hig</w:t>
      </w:r>
      <w:r>
        <w:t>h water table is noted,</w:t>
      </w:r>
      <w:r w:rsidRPr="00631AD9">
        <w:t xml:space="preserve"> it </w:t>
      </w:r>
      <w:r>
        <w:t xml:space="preserve">should be anticipated that </w:t>
      </w:r>
      <w:r w:rsidRPr="00631AD9">
        <w:t xml:space="preserve">soil and moisture conditions will present construction difficulties which cannot be completely avoided or corrected, irrespective of final grade or </w:t>
      </w:r>
      <w:r>
        <w:t>construction restrictions. This should be noted in the FGR and the Contractor should</w:t>
      </w:r>
      <w:r w:rsidRPr="00631AD9">
        <w:t xml:space="preserve"> be alerted of th</w:t>
      </w:r>
      <w:r>
        <w:t>is</w:t>
      </w:r>
      <w:r w:rsidRPr="00631AD9">
        <w:t xml:space="preserve"> situation </w:t>
      </w:r>
      <w:r>
        <w:t>via a</w:t>
      </w:r>
      <w:r w:rsidR="00E3383A">
        <w:t>n</w:t>
      </w:r>
      <w:r>
        <w:t xml:space="preserve"> SP.</w:t>
      </w:r>
      <w:r w:rsidRPr="00631AD9">
        <w:t xml:space="preserve"> </w:t>
      </w:r>
    </w:p>
    <w:p w14:paraId="31082C7D" w14:textId="5F5D7C23" w:rsidR="001A15B9" w:rsidRDefault="003B42FC" w:rsidP="00172E64">
      <w:pPr>
        <w:pStyle w:val="ListNumber"/>
        <w:numPr>
          <w:ilvl w:val="0"/>
          <w:numId w:val="46"/>
        </w:numPr>
        <w:tabs>
          <w:tab w:val="clear" w:pos="1872"/>
          <w:tab w:val="num" w:pos="1152"/>
        </w:tabs>
        <w:ind w:left="1080" w:hanging="1080"/>
        <w:jc w:val="both"/>
        <w:rPr>
          <w:b/>
          <w:u w:val="single"/>
        </w:rPr>
      </w:pPr>
      <w:r w:rsidRPr="00631AD9">
        <w:t xml:space="preserve">If high </w:t>
      </w:r>
      <w:r>
        <w:t>ground</w:t>
      </w:r>
      <w:r w:rsidRPr="00631AD9">
        <w:t>water tables occur throughout the project, location</w:t>
      </w:r>
      <w:r>
        <w:t>s</w:t>
      </w:r>
      <w:r w:rsidRPr="00631AD9">
        <w:t xml:space="preserve"> and depths </w:t>
      </w:r>
      <w:r>
        <w:t>should</w:t>
      </w:r>
      <w:r w:rsidRPr="00631AD9">
        <w:t xml:space="preserve"> be reported. </w:t>
      </w:r>
      <w:r>
        <w:t>Also, the moisture conditions of the soils within the project limits should be reported (ex</w:t>
      </w:r>
      <w:r w:rsidR="00E3383A">
        <w:t xml:space="preserve">: </w:t>
      </w:r>
      <w:r>
        <w:t xml:space="preserve">below optimum to </w:t>
      </w:r>
      <w:r w:rsidR="004F5528">
        <w:t>liquefied</w:t>
      </w:r>
      <w:r>
        <w:t xml:space="preserve">). Based on the data from </w:t>
      </w:r>
      <w:r w:rsidR="00123F3B">
        <w:t xml:space="preserve">geophysics or </w:t>
      </w:r>
      <w:r>
        <w:t xml:space="preserve">borings, groundwater may or may not impact the excavation with an exception of some isolated areas. </w:t>
      </w:r>
      <w:r w:rsidRPr="00631AD9">
        <w:t xml:space="preserve">Provisions for drainage, drying of wet materials and wasting of some excavation </w:t>
      </w:r>
      <w:r>
        <w:t>should</w:t>
      </w:r>
      <w:r w:rsidRPr="00631AD9">
        <w:t xml:space="preserve"> be considered</w:t>
      </w:r>
      <w:r>
        <w:t>. The Contract</w:t>
      </w:r>
      <w:r w:rsidRPr="00631AD9">
        <w:t>or sh</w:t>
      </w:r>
      <w:r>
        <w:t xml:space="preserve">ould </w:t>
      </w:r>
      <w:r w:rsidRPr="00631AD9">
        <w:t>be alerted of</w:t>
      </w:r>
      <w:r>
        <w:t xml:space="preserve"> </w:t>
      </w:r>
      <w:r w:rsidRPr="00631AD9">
        <w:t xml:space="preserve">the situation </w:t>
      </w:r>
      <w:r>
        <w:t xml:space="preserve">in an SP </w:t>
      </w:r>
      <w:r w:rsidRPr="00BA1669">
        <w:t>attached</w:t>
      </w:r>
      <w:r w:rsidRPr="00631AD9">
        <w:t xml:space="preserve"> </w:t>
      </w:r>
      <w:r w:rsidR="00917475">
        <w:t>to</w:t>
      </w:r>
      <w:r w:rsidR="00917475" w:rsidRPr="00631AD9">
        <w:t xml:space="preserve"> </w:t>
      </w:r>
      <w:r w:rsidRPr="00631AD9">
        <w:t>the report</w:t>
      </w:r>
      <w:r>
        <w:t xml:space="preserve">.  A percentage of the </w:t>
      </w:r>
      <w:r w:rsidRPr="00631AD9">
        <w:t>total Class 1 Excavation sh</w:t>
      </w:r>
      <w:r>
        <w:t xml:space="preserve">ould </w:t>
      </w:r>
      <w:r w:rsidRPr="00631AD9">
        <w:t xml:space="preserve">be treated as unsuitable </w:t>
      </w:r>
      <w:r>
        <w:t xml:space="preserve">material </w:t>
      </w:r>
      <w:r w:rsidRPr="00631AD9">
        <w:t>for embankment construction due to high moisture contents</w:t>
      </w:r>
      <w:r>
        <w:t xml:space="preserve"> and wasted.</w:t>
      </w:r>
    </w:p>
    <w:p w14:paraId="7D07EA4C" w14:textId="77342560" w:rsidR="001A15B9" w:rsidRDefault="003B42FC" w:rsidP="00172E64">
      <w:pPr>
        <w:pStyle w:val="ListNumber"/>
        <w:numPr>
          <w:ilvl w:val="0"/>
          <w:numId w:val="46"/>
        </w:numPr>
        <w:tabs>
          <w:tab w:val="num" w:pos="360"/>
          <w:tab w:val="num" w:pos="2412"/>
        </w:tabs>
        <w:ind w:left="1080" w:hanging="1080"/>
        <w:jc w:val="both"/>
      </w:pPr>
      <w:r w:rsidRPr="00631AD9">
        <w:t xml:space="preserve">Swamp areas encountered within the project limits are investigated to the depths and limits of A-8 muck. </w:t>
      </w:r>
      <w:r w:rsidRPr="00631AD9">
        <w:rPr>
          <w:rFonts w:cs="Arial"/>
        </w:rPr>
        <w:t xml:space="preserve">This information </w:t>
      </w:r>
      <w:r>
        <w:rPr>
          <w:rFonts w:cs="Arial"/>
        </w:rPr>
        <w:t xml:space="preserve">should be </w:t>
      </w:r>
      <w:r w:rsidRPr="00631AD9">
        <w:rPr>
          <w:rFonts w:cs="Arial"/>
        </w:rPr>
        <w:t xml:space="preserve">shown on the plans, noted in the </w:t>
      </w:r>
      <w:r>
        <w:rPr>
          <w:rFonts w:cs="Arial"/>
        </w:rPr>
        <w:t>FGR</w:t>
      </w:r>
      <w:r w:rsidR="00917475">
        <w:rPr>
          <w:rFonts w:cs="Arial"/>
        </w:rPr>
        <w:t>,</w:t>
      </w:r>
      <w:r>
        <w:rPr>
          <w:rFonts w:cs="Arial"/>
        </w:rPr>
        <w:t xml:space="preserve"> </w:t>
      </w:r>
      <w:r w:rsidRPr="00631AD9">
        <w:rPr>
          <w:rFonts w:cs="Arial"/>
        </w:rPr>
        <w:t>and used as a basis for recom</w:t>
      </w:r>
      <w:r w:rsidRPr="00631AD9">
        <w:rPr>
          <w:rFonts w:cs="Arial"/>
        </w:rPr>
        <w:softHyphen/>
        <w:t xml:space="preserve">mendations; and in the case where material is to be wasted, to assist the </w:t>
      </w:r>
      <w:r w:rsidRPr="009D1DEB">
        <w:rPr>
          <w:rFonts w:cs="Arial"/>
        </w:rPr>
        <w:t>PM</w:t>
      </w:r>
      <w:r w:rsidRPr="00631AD9">
        <w:rPr>
          <w:rFonts w:cs="Arial"/>
        </w:rPr>
        <w:t xml:space="preserve"> in adjusting quantities. </w:t>
      </w:r>
    </w:p>
    <w:p w14:paraId="33B45268" w14:textId="77777777" w:rsidR="003B42FC" w:rsidRPr="00631AD9" w:rsidRDefault="003B42FC" w:rsidP="000A34FB">
      <w:pPr>
        <w:pStyle w:val="ListNumber"/>
        <w:tabs>
          <w:tab w:val="clear" w:pos="720"/>
          <w:tab w:val="clear" w:pos="1872"/>
        </w:tabs>
        <w:spacing w:before="0"/>
        <w:ind w:left="1080" w:hanging="1080"/>
        <w:jc w:val="both"/>
        <w:rPr>
          <w:rFonts w:cs="Arial"/>
        </w:rPr>
      </w:pPr>
    </w:p>
    <w:p w14:paraId="27CA2FBB" w14:textId="77777777" w:rsidR="003B42FC" w:rsidRPr="009310B0" w:rsidRDefault="003B42FC" w:rsidP="000A34FB">
      <w:pPr>
        <w:ind w:left="1080"/>
        <w:jc w:val="both"/>
        <w:rPr>
          <w:rFonts w:ascii="Arial" w:hAnsi="Arial" w:cs="Arial"/>
          <w:sz w:val="22"/>
          <w:szCs w:val="22"/>
        </w:rPr>
      </w:pPr>
      <w:r w:rsidRPr="009310B0">
        <w:rPr>
          <w:rFonts w:ascii="Arial" w:hAnsi="Arial" w:cs="Arial"/>
          <w:sz w:val="22"/>
          <w:szCs w:val="22"/>
        </w:rPr>
        <w:t xml:space="preserve">Considerations: </w:t>
      </w:r>
    </w:p>
    <w:p w14:paraId="1295EB82" w14:textId="268AC6D1" w:rsidR="003B42FC" w:rsidRPr="009310B0" w:rsidRDefault="003B42FC" w:rsidP="000A34FB">
      <w:pPr>
        <w:ind w:left="1080"/>
        <w:jc w:val="both"/>
        <w:rPr>
          <w:rFonts w:ascii="Arial" w:hAnsi="Arial" w:cs="Arial"/>
          <w:sz w:val="22"/>
          <w:szCs w:val="22"/>
        </w:rPr>
      </w:pPr>
      <w:r w:rsidRPr="009310B0">
        <w:rPr>
          <w:rFonts w:ascii="Arial" w:hAnsi="Arial" w:cs="Arial"/>
          <w:sz w:val="22"/>
          <w:szCs w:val="22"/>
        </w:rPr>
        <w:t>Muck Removal:  When swamp removal is recommenced due to the presence of A-8 muck or unsuitable material (the usual procedure), the soil report should include length, width</w:t>
      </w:r>
      <w:r w:rsidR="00917475">
        <w:rPr>
          <w:rFonts w:ascii="Arial" w:hAnsi="Arial" w:cs="Arial"/>
          <w:sz w:val="22"/>
          <w:szCs w:val="22"/>
        </w:rPr>
        <w:t>,</w:t>
      </w:r>
      <w:r w:rsidRPr="009310B0">
        <w:rPr>
          <w:rFonts w:ascii="Arial" w:hAnsi="Arial" w:cs="Arial"/>
          <w:sz w:val="22"/>
          <w:szCs w:val="22"/>
        </w:rPr>
        <w:t xml:space="preserve"> and depth of the removal as well as clas</w:t>
      </w:r>
      <w:r w:rsidRPr="009310B0">
        <w:rPr>
          <w:rFonts w:ascii="Arial" w:hAnsi="Arial" w:cs="Arial"/>
          <w:sz w:val="22"/>
          <w:szCs w:val="22"/>
        </w:rPr>
        <w:softHyphen/>
        <w:t xml:space="preserve">sifications of removal:  Class 1 Excavation or Class 1-A Excavation and Backfill Material.  This area should be plotted on the roadway plans and the FGR should also include a sketch showing details of cross-section removal and backfilling. </w:t>
      </w:r>
    </w:p>
    <w:p w14:paraId="1C789426" w14:textId="77777777" w:rsidR="009310B0" w:rsidRPr="009310B0" w:rsidRDefault="009310B0" w:rsidP="000A34FB">
      <w:pPr>
        <w:ind w:left="1080"/>
        <w:jc w:val="both"/>
        <w:rPr>
          <w:rFonts w:ascii="Arial" w:hAnsi="Arial" w:cs="Arial"/>
          <w:sz w:val="22"/>
          <w:szCs w:val="22"/>
        </w:rPr>
      </w:pPr>
    </w:p>
    <w:p w14:paraId="58D838F0" w14:textId="207032A5" w:rsidR="009310B0" w:rsidRPr="009310B0" w:rsidRDefault="003B42FC" w:rsidP="000A34FB">
      <w:pPr>
        <w:ind w:left="1080"/>
        <w:jc w:val="both"/>
        <w:rPr>
          <w:rFonts w:ascii="Arial" w:hAnsi="Arial" w:cs="Arial"/>
          <w:sz w:val="22"/>
          <w:szCs w:val="22"/>
        </w:rPr>
      </w:pPr>
      <w:r w:rsidRPr="009310B0">
        <w:rPr>
          <w:rFonts w:ascii="Arial" w:hAnsi="Arial" w:cs="Arial"/>
          <w:sz w:val="22"/>
          <w:szCs w:val="22"/>
        </w:rPr>
        <w:t xml:space="preserve">Surcharge: When economics </w:t>
      </w:r>
      <w:r w:rsidR="00917475">
        <w:rPr>
          <w:rFonts w:ascii="Arial" w:hAnsi="Arial" w:cs="Arial"/>
          <w:sz w:val="22"/>
          <w:szCs w:val="22"/>
        </w:rPr>
        <w:t>are</w:t>
      </w:r>
      <w:r w:rsidR="00917475" w:rsidRPr="009310B0">
        <w:rPr>
          <w:rFonts w:ascii="Arial" w:hAnsi="Arial" w:cs="Arial"/>
          <w:sz w:val="22"/>
          <w:szCs w:val="22"/>
        </w:rPr>
        <w:t xml:space="preserve"> </w:t>
      </w:r>
      <w:r w:rsidRPr="009310B0">
        <w:rPr>
          <w:rFonts w:ascii="Arial" w:hAnsi="Arial" w:cs="Arial"/>
          <w:sz w:val="22"/>
          <w:szCs w:val="22"/>
        </w:rPr>
        <w:t>a prime consideration and deposition of existing material is extensive to a depth that is not practical for excavation and removal, it may be feasible and desirable to surcharge the muck and program the settlement as indicated by consolidation tests. Periodic checks can be made in the subsequent construction through readings on settlement plates</w:t>
      </w:r>
      <w:r w:rsidR="009310B0">
        <w:rPr>
          <w:rFonts w:ascii="Arial" w:hAnsi="Arial" w:cs="Arial"/>
          <w:sz w:val="22"/>
          <w:szCs w:val="22"/>
        </w:rPr>
        <w:t>.</w:t>
      </w:r>
    </w:p>
    <w:p w14:paraId="6A3B918D" w14:textId="0B5394F3" w:rsidR="001A15B9" w:rsidRDefault="003B42FC" w:rsidP="00172E64">
      <w:pPr>
        <w:pStyle w:val="ListNumber"/>
        <w:numPr>
          <w:ilvl w:val="0"/>
          <w:numId w:val="46"/>
        </w:numPr>
        <w:tabs>
          <w:tab w:val="clear" w:pos="1872"/>
          <w:tab w:val="num" w:pos="360"/>
          <w:tab w:val="num" w:pos="1800"/>
        </w:tabs>
        <w:ind w:left="1080" w:hanging="1080"/>
        <w:jc w:val="both"/>
      </w:pPr>
      <w:r w:rsidRPr="009D1DEB">
        <w:rPr>
          <w:rFonts w:cs="Arial"/>
          <w:szCs w:val="22"/>
        </w:rPr>
        <w:t xml:space="preserve">Low saturated areas encountered during </w:t>
      </w:r>
      <w:r>
        <w:rPr>
          <w:rFonts w:cs="Arial"/>
          <w:szCs w:val="22"/>
        </w:rPr>
        <w:t xml:space="preserve">the field investigation </w:t>
      </w:r>
      <w:r w:rsidRPr="009D1DEB">
        <w:rPr>
          <w:rFonts w:cs="Arial"/>
          <w:szCs w:val="22"/>
        </w:rPr>
        <w:t>may require undercutting or other special treatment and should be noted and addressed in the FGR and in a</w:t>
      </w:r>
      <w:r w:rsidR="00917475">
        <w:rPr>
          <w:rFonts w:cs="Arial"/>
          <w:szCs w:val="22"/>
        </w:rPr>
        <w:t>n</w:t>
      </w:r>
      <w:r w:rsidRPr="009D1DEB">
        <w:rPr>
          <w:rFonts w:cs="Arial"/>
          <w:szCs w:val="22"/>
        </w:rPr>
        <w:t xml:space="preserve"> SP. </w:t>
      </w:r>
    </w:p>
    <w:p w14:paraId="17BF8E58" w14:textId="2085D9D0" w:rsidR="001A15B9" w:rsidRDefault="003B42FC" w:rsidP="00172E64">
      <w:pPr>
        <w:pStyle w:val="ListNumber"/>
        <w:numPr>
          <w:ilvl w:val="0"/>
          <w:numId w:val="46"/>
        </w:numPr>
        <w:tabs>
          <w:tab w:val="num" w:pos="360"/>
        </w:tabs>
        <w:ind w:left="1080" w:hanging="1080"/>
        <w:jc w:val="both"/>
      </w:pPr>
      <w:r w:rsidRPr="00ED3BD7">
        <w:t xml:space="preserve">Active spring locations encountered during </w:t>
      </w:r>
      <w:r>
        <w:t xml:space="preserve">the field investigation may require </w:t>
      </w:r>
      <w:r w:rsidRPr="00ED3BD7">
        <w:t>increasing the quantity of und</w:t>
      </w:r>
      <w:r>
        <w:t xml:space="preserve">erdrain pipe for spring control and </w:t>
      </w:r>
      <w:r>
        <w:rPr>
          <w:rFonts w:cs="Arial"/>
          <w:szCs w:val="22"/>
        </w:rPr>
        <w:t xml:space="preserve">should be noted and addressed in </w:t>
      </w:r>
      <w:r w:rsidRPr="009D1DEB">
        <w:rPr>
          <w:rFonts w:cs="Arial"/>
          <w:szCs w:val="22"/>
        </w:rPr>
        <w:t>the FGR and in a</w:t>
      </w:r>
      <w:r w:rsidR="00917475">
        <w:rPr>
          <w:rFonts w:cs="Arial"/>
          <w:szCs w:val="22"/>
        </w:rPr>
        <w:t>n</w:t>
      </w:r>
      <w:r w:rsidRPr="009D1DEB">
        <w:rPr>
          <w:rFonts w:cs="Arial"/>
          <w:szCs w:val="22"/>
        </w:rPr>
        <w:t xml:space="preserve"> SP.  A note should be placed on the plans identifying the locations of active</w:t>
      </w:r>
      <w:r>
        <w:rPr>
          <w:rFonts w:cs="Arial"/>
          <w:szCs w:val="22"/>
        </w:rPr>
        <w:t xml:space="preserve"> springs.  </w:t>
      </w:r>
      <w:r w:rsidRPr="00631AD9">
        <w:rPr>
          <w:rFonts w:cs="Arial"/>
          <w:szCs w:val="22"/>
        </w:rPr>
        <w:t xml:space="preserve"> </w:t>
      </w:r>
    </w:p>
    <w:p w14:paraId="4F6B10F7" w14:textId="4A01C87E" w:rsidR="00E92335" w:rsidRDefault="003B42FC" w:rsidP="00172E64">
      <w:pPr>
        <w:pStyle w:val="ListNumber"/>
        <w:numPr>
          <w:ilvl w:val="0"/>
          <w:numId w:val="46"/>
        </w:numPr>
        <w:tabs>
          <w:tab w:val="clear" w:pos="1872"/>
          <w:tab w:val="num" w:pos="360"/>
        </w:tabs>
        <w:ind w:left="1080" w:hanging="1080"/>
        <w:jc w:val="both"/>
      </w:pPr>
      <w:r w:rsidRPr="0008778F">
        <w:t xml:space="preserve">Topsoil: </w:t>
      </w:r>
      <w:r w:rsidRPr="002D03BD">
        <w:t xml:space="preserve">The following criteria should be followed to report if </w:t>
      </w:r>
      <w:r w:rsidR="00917475">
        <w:t>t</w:t>
      </w:r>
      <w:r w:rsidRPr="002D03BD">
        <w:t>opsoil may be salvaged or not:</w:t>
      </w:r>
    </w:p>
    <w:p w14:paraId="377D9C44" w14:textId="77777777" w:rsidR="003B42FC" w:rsidRPr="002D03BD" w:rsidRDefault="003B42FC" w:rsidP="00A66C6C">
      <w:pPr>
        <w:pStyle w:val="ListNumber"/>
        <w:tabs>
          <w:tab w:val="clear" w:pos="720"/>
          <w:tab w:val="clear" w:pos="1872"/>
        </w:tabs>
        <w:spacing w:before="0"/>
        <w:ind w:left="1080" w:firstLine="0"/>
        <w:jc w:val="both"/>
      </w:pPr>
    </w:p>
    <w:tbl>
      <w:tblPr>
        <w:tblW w:w="4950" w:type="dxa"/>
        <w:tblInd w:w="1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2322"/>
      </w:tblGrid>
      <w:tr w:rsidR="003B42FC" w:rsidRPr="002D03BD" w14:paraId="44E211A9" w14:textId="77777777" w:rsidTr="00A66C6C">
        <w:trPr>
          <w:trHeight w:val="386"/>
        </w:trPr>
        <w:tc>
          <w:tcPr>
            <w:tcW w:w="2628" w:type="dxa"/>
          </w:tcPr>
          <w:p w14:paraId="68E0AC80" w14:textId="77777777" w:rsidR="003B42FC" w:rsidRPr="002D03BD" w:rsidRDefault="003B42FC" w:rsidP="000A34FB">
            <w:pPr>
              <w:pStyle w:val="ListNumber"/>
              <w:tabs>
                <w:tab w:val="clear" w:pos="720"/>
                <w:tab w:val="clear" w:pos="1872"/>
              </w:tabs>
              <w:ind w:left="1080" w:hanging="1080"/>
              <w:jc w:val="center"/>
            </w:pPr>
            <w:r w:rsidRPr="002D03BD">
              <w:lastRenderedPageBreak/>
              <w:t>Organic Content (%)</w:t>
            </w:r>
          </w:p>
        </w:tc>
        <w:tc>
          <w:tcPr>
            <w:tcW w:w="2322" w:type="dxa"/>
          </w:tcPr>
          <w:p w14:paraId="0E469580" w14:textId="77777777" w:rsidR="003B42FC" w:rsidRPr="002D03BD" w:rsidRDefault="003B42FC" w:rsidP="000A34FB">
            <w:pPr>
              <w:pStyle w:val="ListNumber"/>
              <w:tabs>
                <w:tab w:val="clear" w:pos="720"/>
                <w:tab w:val="clear" w:pos="1872"/>
              </w:tabs>
              <w:ind w:left="1080" w:hanging="1080"/>
              <w:jc w:val="center"/>
            </w:pPr>
            <w:r w:rsidRPr="002D03BD">
              <w:t>pH</w:t>
            </w:r>
          </w:p>
        </w:tc>
      </w:tr>
      <w:tr w:rsidR="003B42FC" w:rsidRPr="002D03BD" w14:paraId="73660239" w14:textId="77777777" w:rsidTr="00A66C6C">
        <w:trPr>
          <w:trHeight w:val="371"/>
        </w:trPr>
        <w:tc>
          <w:tcPr>
            <w:tcW w:w="2628" w:type="dxa"/>
          </w:tcPr>
          <w:p w14:paraId="2FCC6925" w14:textId="77777777" w:rsidR="003B42FC" w:rsidRPr="002D03BD" w:rsidRDefault="003B42FC" w:rsidP="000A34FB">
            <w:pPr>
              <w:pStyle w:val="ListNumber"/>
              <w:tabs>
                <w:tab w:val="clear" w:pos="720"/>
                <w:tab w:val="clear" w:pos="1872"/>
              </w:tabs>
              <w:ind w:left="1080" w:hanging="1080"/>
              <w:jc w:val="center"/>
            </w:pPr>
            <w:r w:rsidRPr="002D03BD">
              <w:t>&lt; 0.9 – Bad</w:t>
            </w:r>
          </w:p>
        </w:tc>
        <w:tc>
          <w:tcPr>
            <w:tcW w:w="2322" w:type="dxa"/>
          </w:tcPr>
          <w:p w14:paraId="4FEA87BB" w14:textId="77777777" w:rsidR="003B42FC" w:rsidRPr="002D03BD" w:rsidRDefault="003B42FC" w:rsidP="000A34FB">
            <w:pPr>
              <w:pStyle w:val="ListNumber"/>
              <w:tabs>
                <w:tab w:val="clear" w:pos="720"/>
                <w:tab w:val="clear" w:pos="1872"/>
              </w:tabs>
              <w:ind w:left="1080" w:hanging="1080"/>
              <w:jc w:val="center"/>
            </w:pPr>
            <w:r w:rsidRPr="002D03BD">
              <w:t>-</w:t>
            </w:r>
          </w:p>
        </w:tc>
      </w:tr>
      <w:tr w:rsidR="003B42FC" w:rsidRPr="002D03BD" w14:paraId="081870CF" w14:textId="77777777" w:rsidTr="00A66C6C">
        <w:trPr>
          <w:trHeight w:val="386"/>
        </w:trPr>
        <w:tc>
          <w:tcPr>
            <w:tcW w:w="2628" w:type="dxa"/>
          </w:tcPr>
          <w:p w14:paraId="2B703720" w14:textId="77777777" w:rsidR="003B42FC" w:rsidRPr="002D03BD" w:rsidRDefault="003B42FC" w:rsidP="000A34FB">
            <w:pPr>
              <w:pStyle w:val="ListNumber"/>
              <w:tabs>
                <w:tab w:val="clear" w:pos="720"/>
                <w:tab w:val="clear" w:pos="1872"/>
              </w:tabs>
              <w:ind w:left="1080" w:hanging="1080"/>
              <w:jc w:val="center"/>
            </w:pPr>
            <w:r w:rsidRPr="002D03BD">
              <w:t>1.0 – 1.4 – Amendable</w:t>
            </w:r>
          </w:p>
        </w:tc>
        <w:tc>
          <w:tcPr>
            <w:tcW w:w="2322" w:type="dxa"/>
          </w:tcPr>
          <w:p w14:paraId="0AFF8831" w14:textId="77777777" w:rsidR="003B42FC" w:rsidRPr="002D03BD" w:rsidRDefault="003B42FC" w:rsidP="000A34FB">
            <w:pPr>
              <w:pStyle w:val="ListNumber"/>
              <w:tabs>
                <w:tab w:val="clear" w:pos="720"/>
                <w:tab w:val="clear" w:pos="1872"/>
              </w:tabs>
              <w:ind w:left="1080" w:hanging="1080"/>
              <w:jc w:val="center"/>
            </w:pPr>
            <w:r w:rsidRPr="002D03BD">
              <w:t>-</w:t>
            </w:r>
          </w:p>
        </w:tc>
      </w:tr>
      <w:tr w:rsidR="003B42FC" w14:paraId="03659D4D" w14:textId="77777777" w:rsidTr="00A66C6C">
        <w:trPr>
          <w:trHeight w:val="386"/>
        </w:trPr>
        <w:tc>
          <w:tcPr>
            <w:tcW w:w="2628" w:type="dxa"/>
          </w:tcPr>
          <w:p w14:paraId="2CAC60BC" w14:textId="77777777" w:rsidR="003B42FC" w:rsidRPr="002D03BD" w:rsidRDefault="003B42FC" w:rsidP="000A34FB">
            <w:pPr>
              <w:pStyle w:val="ListNumber"/>
              <w:tabs>
                <w:tab w:val="clear" w:pos="720"/>
                <w:tab w:val="clear" w:pos="1872"/>
              </w:tabs>
              <w:ind w:left="1080" w:hanging="1080"/>
              <w:jc w:val="center"/>
            </w:pPr>
            <w:r w:rsidRPr="002D03BD">
              <w:t>1.5 – 10 – OK</w:t>
            </w:r>
          </w:p>
        </w:tc>
        <w:tc>
          <w:tcPr>
            <w:tcW w:w="2322" w:type="dxa"/>
          </w:tcPr>
          <w:p w14:paraId="6C07D43A" w14:textId="51A336E0" w:rsidR="003B42FC" w:rsidRDefault="003B42FC" w:rsidP="00917475">
            <w:pPr>
              <w:pStyle w:val="ListNumber"/>
              <w:tabs>
                <w:tab w:val="clear" w:pos="720"/>
                <w:tab w:val="clear" w:pos="1872"/>
              </w:tabs>
              <w:ind w:left="1080" w:hanging="1080"/>
              <w:jc w:val="center"/>
            </w:pPr>
            <w:r>
              <w:t>6</w:t>
            </w:r>
            <w:r w:rsidR="00917475" w:rsidRPr="002D03BD">
              <w:t xml:space="preserve"> – </w:t>
            </w:r>
            <w:r>
              <w:t>7</w:t>
            </w:r>
            <w:r w:rsidR="00917475" w:rsidRPr="002D03BD">
              <w:t xml:space="preserve"> – </w:t>
            </w:r>
            <w:r>
              <w:t>OK</w:t>
            </w:r>
          </w:p>
        </w:tc>
      </w:tr>
    </w:tbl>
    <w:p w14:paraId="022654DE" w14:textId="3F0053B9" w:rsidR="00917475" w:rsidRDefault="003B42FC" w:rsidP="00917475">
      <w:pPr>
        <w:pStyle w:val="ListNumber"/>
        <w:tabs>
          <w:tab w:val="clear" w:pos="720"/>
          <w:tab w:val="clear" w:pos="1872"/>
        </w:tabs>
        <w:ind w:left="1080" w:firstLine="0"/>
        <w:jc w:val="both"/>
      </w:pPr>
      <w:r w:rsidRPr="0008778F">
        <w:t xml:space="preserve">Use the following statements in the report while mentioning topsoil. </w:t>
      </w:r>
    </w:p>
    <w:p w14:paraId="6C50398F" w14:textId="0696BA5F" w:rsidR="009310B0" w:rsidRDefault="003B42FC" w:rsidP="00A66C6C">
      <w:pPr>
        <w:pStyle w:val="ListNumber"/>
        <w:tabs>
          <w:tab w:val="clear" w:pos="720"/>
          <w:tab w:val="clear" w:pos="1872"/>
        </w:tabs>
        <w:ind w:left="1080" w:firstLine="0"/>
        <w:jc w:val="both"/>
      </w:pPr>
      <w:r w:rsidRPr="0008778F">
        <w:t>“Topsoil is not available for salvage on this project” when the topography tabulation submitted by driller does not mention any topsoil encountered during the soil survey. Root</w:t>
      </w:r>
      <w:r>
        <w:t xml:space="preserve"> M</w:t>
      </w:r>
      <w:r w:rsidRPr="0008778F">
        <w:t xml:space="preserve">at encountered within project limits </w:t>
      </w:r>
      <w:r>
        <w:t>should</w:t>
      </w:r>
      <w:r w:rsidRPr="0008778F">
        <w:t xml:space="preserve"> not be salvaged.</w:t>
      </w:r>
    </w:p>
    <w:p w14:paraId="5CBD11B1" w14:textId="31907D86" w:rsidR="009310B0" w:rsidRDefault="003B42FC" w:rsidP="00A66C6C">
      <w:pPr>
        <w:pStyle w:val="ListNumber"/>
        <w:tabs>
          <w:tab w:val="clear" w:pos="720"/>
          <w:tab w:val="clear" w:pos="1872"/>
        </w:tabs>
        <w:ind w:left="1080" w:firstLine="0"/>
        <w:jc w:val="both"/>
      </w:pPr>
      <w:r w:rsidRPr="0008778F">
        <w:t>“Limited topsoil is available for salvage on this project” when the topography tabulation submitted by driller mention</w:t>
      </w:r>
      <w:r w:rsidR="00917475">
        <w:t>s</w:t>
      </w:r>
      <w:r w:rsidRPr="0008778F">
        <w:t xml:space="preserve"> topsoil being encountered during the soil survey. Look for depths of topsoil being encountered (&gt;=6</w:t>
      </w:r>
      <w:r w:rsidR="00917475">
        <w:t>"</w:t>
      </w:r>
      <w:r w:rsidRPr="0008778F">
        <w:t>).</w:t>
      </w:r>
    </w:p>
    <w:p w14:paraId="5C5C9F1F" w14:textId="6A11EE68" w:rsidR="009310B0" w:rsidRDefault="003B42FC" w:rsidP="00A66C6C">
      <w:pPr>
        <w:pStyle w:val="ListNumber"/>
        <w:tabs>
          <w:tab w:val="clear" w:pos="720"/>
          <w:tab w:val="clear" w:pos="1872"/>
        </w:tabs>
        <w:ind w:left="1080" w:firstLine="0"/>
        <w:jc w:val="both"/>
      </w:pPr>
      <w:r w:rsidRPr="0008778F">
        <w:t>“Very limited topsoil is available for salvage on this project” when the topography tabulation submitted by driller mention</w:t>
      </w:r>
      <w:r w:rsidR="00917475">
        <w:t>s</w:t>
      </w:r>
      <w:r w:rsidRPr="0008778F">
        <w:t xml:space="preserve"> topsoil being encountered during the soil </w:t>
      </w:r>
      <w:r w:rsidRPr="002D03BD">
        <w:t>survey. Look for depths of topsoil being encountered (&lt;=6</w:t>
      </w:r>
      <w:r w:rsidR="00917475">
        <w:t>"</w:t>
      </w:r>
      <w:r w:rsidRPr="002D03BD">
        <w:t>).</w:t>
      </w:r>
    </w:p>
    <w:p w14:paraId="685150B6" w14:textId="4CF40CF5" w:rsidR="009310B0" w:rsidRDefault="003B42FC" w:rsidP="00A66C6C">
      <w:pPr>
        <w:pStyle w:val="ListNumber"/>
        <w:tabs>
          <w:tab w:val="clear" w:pos="720"/>
          <w:tab w:val="clear" w:pos="1872"/>
        </w:tabs>
        <w:ind w:left="1080" w:firstLine="0"/>
        <w:jc w:val="both"/>
      </w:pPr>
      <w:r w:rsidRPr="002D03BD">
        <w:t xml:space="preserve">The depth of the topsoil </w:t>
      </w:r>
      <w:r>
        <w:t>should</w:t>
      </w:r>
      <w:r w:rsidRPr="002D03BD">
        <w:t xml:space="preserve"> be mentioned in the report based on topsoil depths mentioned in the topography tabulation. </w:t>
      </w:r>
    </w:p>
    <w:p w14:paraId="129237E7" w14:textId="77777777" w:rsidR="003B42FC" w:rsidRPr="0008778F" w:rsidRDefault="003B42FC" w:rsidP="000A34FB">
      <w:pPr>
        <w:pStyle w:val="ListNumber"/>
        <w:tabs>
          <w:tab w:val="clear" w:pos="720"/>
          <w:tab w:val="clear" w:pos="1872"/>
        </w:tabs>
        <w:ind w:left="1080" w:firstLine="0"/>
        <w:jc w:val="both"/>
      </w:pPr>
      <w:r w:rsidRPr="002D03BD">
        <w:rPr>
          <w:i/>
        </w:rPr>
        <w:t>Note: Salvaged soils are either stockpiled or stored for future use or they are immediately used for converting re</w:t>
      </w:r>
      <w:r w:rsidR="009310B0">
        <w:rPr>
          <w:i/>
        </w:rPr>
        <w:t>-g</w:t>
      </w:r>
      <w:r w:rsidRPr="002D03BD">
        <w:rPr>
          <w:i/>
        </w:rPr>
        <w:t>raded surfaces in a different location.</w:t>
      </w:r>
      <w:r>
        <w:t xml:space="preserve">  </w:t>
      </w:r>
    </w:p>
    <w:p w14:paraId="0E774DF8" w14:textId="77777777" w:rsidR="001A15B9" w:rsidRDefault="003B42FC" w:rsidP="00172E64">
      <w:pPr>
        <w:pStyle w:val="ListNumber"/>
        <w:numPr>
          <w:ilvl w:val="0"/>
          <w:numId w:val="46"/>
        </w:numPr>
        <w:tabs>
          <w:tab w:val="num" w:pos="360"/>
        </w:tabs>
        <w:ind w:left="1080" w:hanging="1080"/>
        <w:jc w:val="both"/>
      </w:pPr>
      <w:r w:rsidRPr="00FC14C4">
        <w:t xml:space="preserve">If topsoil is available within the project limits, the soil surveyor will </w:t>
      </w:r>
      <w:r>
        <w:t>obtain</w:t>
      </w:r>
      <w:r w:rsidRPr="00FC14C4">
        <w:t xml:space="preserve"> samples</w:t>
      </w:r>
      <w:r>
        <w:t xml:space="preserve">/combined </w:t>
      </w:r>
      <w:r w:rsidRPr="00FC14C4">
        <w:t xml:space="preserve">sample for laboratory testing. Upon receiving the </w:t>
      </w:r>
      <w:r w:rsidRPr="006F18BF">
        <w:t xml:space="preserve">laboratory test results for topsoil samples, submit a copy of the test results along with the Topography Tabulation to Landscape Division so that they can </w:t>
      </w:r>
      <w:r>
        <w:t xml:space="preserve">develop </w:t>
      </w:r>
      <w:r w:rsidRPr="006F18BF">
        <w:t xml:space="preserve">a </w:t>
      </w:r>
      <w:r>
        <w:t>Nutrient Management Plan</w:t>
      </w:r>
      <w:r w:rsidRPr="006F18BF">
        <w:t xml:space="preserve"> for the project.</w:t>
      </w:r>
    </w:p>
    <w:p w14:paraId="4907C8E1" w14:textId="49A1F28A" w:rsidR="001A15B9" w:rsidRDefault="003B42FC" w:rsidP="00172E64">
      <w:pPr>
        <w:pStyle w:val="ListNumber"/>
        <w:numPr>
          <w:ilvl w:val="0"/>
          <w:numId w:val="46"/>
        </w:numPr>
        <w:tabs>
          <w:tab w:val="clear" w:pos="1872"/>
          <w:tab w:val="num" w:pos="360"/>
        </w:tabs>
        <w:ind w:left="1080" w:hanging="1080"/>
        <w:jc w:val="both"/>
      </w:pPr>
      <w:r w:rsidRPr="006F18BF">
        <w:t>If surface dumps (include but not limited to rusted tanks, appliances, trash, etc.) are encountered during t</w:t>
      </w:r>
      <w:r>
        <w:t>he</w:t>
      </w:r>
      <w:r w:rsidR="00E71D54">
        <w:t xml:space="preserve"> geophysical or </w:t>
      </w:r>
      <w:r>
        <w:t xml:space="preserve">soil survey, their locations should </w:t>
      </w:r>
      <w:r w:rsidRPr="006F18BF">
        <w:t xml:space="preserve">be </w:t>
      </w:r>
      <w:r>
        <w:t xml:space="preserve">mentioned </w:t>
      </w:r>
      <w:r w:rsidRPr="00C243F1">
        <w:t>in the FGR with</w:t>
      </w:r>
      <w:r>
        <w:t xml:space="preserve"> station and offsets.  Treatment of these areas should be </w:t>
      </w:r>
      <w:r w:rsidRPr="006F18BF">
        <w:t>remov</w:t>
      </w:r>
      <w:r>
        <w:t>al</w:t>
      </w:r>
      <w:r w:rsidRPr="006F18BF">
        <w:t xml:space="preserve"> during construction</w:t>
      </w:r>
      <w:r>
        <w:t xml:space="preserve"> and backfill with borrow material</w:t>
      </w:r>
      <w:r w:rsidRPr="006F18BF">
        <w:t xml:space="preserve">. </w:t>
      </w:r>
      <w:r>
        <w:t xml:space="preserve">An SP </w:t>
      </w:r>
      <w:r w:rsidRPr="006F18BF">
        <w:t xml:space="preserve">for this item should be included in the </w:t>
      </w:r>
      <w:r>
        <w:t>Contract Documents.</w:t>
      </w:r>
      <w:r w:rsidRPr="006F18BF">
        <w:t xml:space="preserve"> </w:t>
      </w:r>
    </w:p>
    <w:p w14:paraId="31C7FAE8" w14:textId="5BE26A28" w:rsidR="001A15B9" w:rsidRDefault="003B42FC" w:rsidP="00172E64">
      <w:pPr>
        <w:pStyle w:val="ListNumber"/>
        <w:numPr>
          <w:ilvl w:val="0"/>
          <w:numId w:val="46"/>
        </w:numPr>
        <w:tabs>
          <w:tab w:val="num" w:pos="360"/>
        </w:tabs>
        <w:ind w:left="1080" w:hanging="1080"/>
        <w:jc w:val="both"/>
      </w:pPr>
      <w:r w:rsidRPr="00A97C56">
        <w:t xml:space="preserve">If contaminated soils are encountered during </w:t>
      </w:r>
      <w:r>
        <w:t xml:space="preserve">the </w:t>
      </w:r>
      <w:r w:rsidR="00E71D54">
        <w:t xml:space="preserve">geophysics or </w:t>
      </w:r>
      <w:r w:rsidRPr="00A97C56">
        <w:t xml:space="preserve">soil survey, </w:t>
      </w:r>
      <w:r>
        <w:t xml:space="preserve">EGD should be contacted for recommendations. </w:t>
      </w:r>
      <w:r w:rsidRPr="00A97C56">
        <w:t xml:space="preserve"> Usually, contaminated soils encountered within project limits should be removed and backfilled with aggregate or other suitable material</w:t>
      </w:r>
      <w:r>
        <w:t>. In the FGR, note the locations where contaminated soils may be encountered during construction along with recommended treatments. A</w:t>
      </w:r>
      <w:r w:rsidR="00917475">
        <w:t>n</w:t>
      </w:r>
      <w:r>
        <w:t xml:space="preserve"> SP should be included in the Contract Documents. </w:t>
      </w:r>
    </w:p>
    <w:p w14:paraId="48B8515A" w14:textId="5DB00C96" w:rsidR="001A15B9" w:rsidRDefault="003B42FC" w:rsidP="00172E64">
      <w:pPr>
        <w:pStyle w:val="ListNumber"/>
        <w:numPr>
          <w:ilvl w:val="0"/>
          <w:numId w:val="46"/>
        </w:numPr>
        <w:tabs>
          <w:tab w:val="num" w:pos="360"/>
        </w:tabs>
        <w:ind w:left="1080" w:hanging="1080"/>
        <w:jc w:val="both"/>
      </w:pPr>
      <w:r w:rsidRPr="00A97C56">
        <w:t xml:space="preserve">If </w:t>
      </w:r>
      <w:r>
        <w:t>Underground Storage Tanks (USTs)</w:t>
      </w:r>
      <w:r w:rsidRPr="00A97C56">
        <w:t xml:space="preserve"> are encountered during </w:t>
      </w:r>
      <w:r w:rsidR="00E71D54">
        <w:t xml:space="preserve">geophysics or </w:t>
      </w:r>
      <w:r w:rsidRPr="00A97C56">
        <w:t xml:space="preserve">soil survey, </w:t>
      </w:r>
      <w:r>
        <w:t xml:space="preserve">the EGD should be contacted for recommendations. </w:t>
      </w:r>
      <w:r w:rsidRPr="00A97C56">
        <w:t xml:space="preserve"> Usually, </w:t>
      </w:r>
      <w:r>
        <w:t>USTs</w:t>
      </w:r>
      <w:r w:rsidRPr="00A97C56">
        <w:t xml:space="preserve"> encountered within project </w:t>
      </w:r>
      <w:r w:rsidRPr="00C243F1">
        <w:t>limits should be removed and backfilled with aggregate or other suitable material.  In the FGR, note the locations where USTs may be encountered during construction along with recommended treatments.  A</w:t>
      </w:r>
      <w:r w:rsidR="00917475">
        <w:t>n</w:t>
      </w:r>
      <w:r w:rsidRPr="00C243F1">
        <w:t xml:space="preserve"> SP should be included in the </w:t>
      </w:r>
      <w:r>
        <w:t>Contract</w:t>
      </w:r>
      <w:r w:rsidRPr="00C243F1">
        <w:t xml:space="preserve"> </w:t>
      </w:r>
      <w:r>
        <w:t>Document</w:t>
      </w:r>
      <w:r w:rsidRPr="00C243F1">
        <w:t xml:space="preserve">s. </w:t>
      </w:r>
    </w:p>
    <w:p w14:paraId="7942E1B2" w14:textId="45DFC96F" w:rsidR="001A15B9" w:rsidRDefault="003B42FC" w:rsidP="00172E64">
      <w:pPr>
        <w:pStyle w:val="ListNumber"/>
        <w:numPr>
          <w:ilvl w:val="0"/>
          <w:numId w:val="46"/>
        </w:numPr>
        <w:tabs>
          <w:tab w:val="num" w:pos="360"/>
        </w:tabs>
        <w:ind w:left="1080" w:hanging="1080"/>
        <w:jc w:val="both"/>
      </w:pPr>
      <w:r w:rsidRPr="00A97C56">
        <w:lastRenderedPageBreak/>
        <w:t xml:space="preserve">If </w:t>
      </w:r>
      <w:r>
        <w:t>existing wells</w:t>
      </w:r>
      <w:r w:rsidRPr="00A97C56">
        <w:t xml:space="preserve"> are encountered during soil survey, </w:t>
      </w:r>
      <w:r>
        <w:t xml:space="preserve">the EGD should be contacted for </w:t>
      </w:r>
      <w:r w:rsidRPr="00C243F1">
        <w:t>recommendations for wells which may be impacted by construction.  Well may be backfilled and abandoned or removed.  These recommendations should be noted in the FGR with the locations of the wells.  A</w:t>
      </w:r>
      <w:r w:rsidR="00CB0D12">
        <w:t>n</w:t>
      </w:r>
      <w:r w:rsidRPr="00C243F1">
        <w:t xml:space="preserve"> SP should be included in the </w:t>
      </w:r>
      <w:r>
        <w:t>Contract</w:t>
      </w:r>
      <w:r w:rsidRPr="00C243F1">
        <w:t xml:space="preserve"> </w:t>
      </w:r>
      <w:r>
        <w:t>Document</w:t>
      </w:r>
      <w:r w:rsidRPr="00C243F1">
        <w:t>s.</w:t>
      </w:r>
      <w:r>
        <w:t xml:space="preserve"> </w:t>
      </w:r>
    </w:p>
    <w:p w14:paraId="4F43CC77" w14:textId="262AD2BF" w:rsidR="001A15B9" w:rsidRDefault="003B42FC" w:rsidP="00172E64">
      <w:pPr>
        <w:pStyle w:val="ListNumber"/>
        <w:numPr>
          <w:ilvl w:val="0"/>
          <w:numId w:val="46"/>
        </w:numPr>
        <w:tabs>
          <w:tab w:val="clear" w:pos="1872"/>
          <w:tab w:val="num" w:pos="360"/>
        </w:tabs>
        <w:ind w:left="1080" w:hanging="1080"/>
        <w:jc w:val="both"/>
        <w:rPr>
          <w:rFonts w:cs="Arial"/>
        </w:rPr>
      </w:pPr>
      <w:r>
        <w:t xml:space="preserve">If </w:t>
      </w:r>
      <w:r w:rsidR="00E71D54">
        <w:t xml:space="preserve">geophysics or </w:t>
      </w:r>
      <w:r w:rsidRPr="00DA7BC0">
        <w:t xml:space="preserve">soil borings </w:t>
      </w:r>
      <w:r>
        <w:t>reveal rock at subgrade level or at shallower depths</w:t>
      </w:r>
      <w:r w:rsidRPr="00DA7BC0">
        <w:t xml:space="preserve">, mention the </w:t>
      </w:r>
      <w:r w:rsidR="00E71D54">
        <w:t xml:space="preserve">area and </w:t>
      </w:r>
      <w:r w:rsidRPr="00DA7BC0">
        <w:t xml:space="preserve">number of borings where rock </w:t>
      </w:r>
      <w:r>
        <w:t xml:space="preserve">is </w:t>
      </w:r>
      <w:r w:rsidRPr="00DA7BC0">
        <w:t xml:space="preserve">encountered along with the depths (elevations) in </w:t>
      </w:r>
      <w:r w:rsidRPr="00C243F1">
        <w:t>the FGR. Also, mention the type of rock encountered (Auger Refusal or Rock Penetrated by Power</w:t>
      </w:r>
      <w:r w:rsidRPr="00DA7BC0">
        <w:t xml:space="preserve"> Soil Auger </w:t>
      </w:r>
      <w:r w:rsidR="00424778">
        <w:t>[</w:t>
      </w:r>
      <w:r w:rsidRPr="00DA7BC0">
        <w:t>RPPSA</w:t>
      </w:r>
      <w:r w:rsidR="00424778">
        <w:t>]</w:t>
      </w:r>
      <w:r w:rsidRPr="00DA7BC0">
        <w:t xml:space="preserve">). </w:t>
      </w:r>
      <w:r>
        <w:t>Contact the EGD if rock is encountered on the project.  R</w:t>
      </w:r>
      <w:r w:rsidRPr="00DA7BC0">
        <w:t xml:space="preserve">eview the boring logs to </w:t>
      </w:r>
      <w:r>
        <w:t xml:space="preserve">verify </w:t>
      </w:r>
      <w:r w:rsidRPr="00DA7BC0">
        <w:t xml:space="preserve">if </w:t>
      </w:r>
      <w:r>
        <w:t>th</w:t>
      </w:r>
      <w:r w:rsidRPr="00DA7BC0">
        <w:t xml:space="preserve">e presence </w:t>
      </w:r>
      <w:r>
        <w:t xml:space="preserve">of rock (elevations) will </w:t>
      </w:r>
      <w:r w:rsidRPr="00DA7BC0">
        <w:t xml:space="preserve">impact the proposed </w:t>
      </w:r>
      <w:r>
        <w:t xml:space="preserve">roadway </w:t>
      </w:r>
      <w:r w:rsidRPr="00DA7BC0">
        <w:t xml:space="preserve">construction within the project limits. </w:t>
      </w:r>
      <w:r>
        <w:t xml:space="preserve"> </w:t>
      </w:r>
      <w:r w:rsidRPr="00DA7BC0">
        <w:t xml:space="preserve">If </w:t>
      </w:r>
      <w:r>
        <w:t xml:space="preserve">the </w:t>
      </w:r>
      <w:r w:rsidRPr="00DA7BC0">
        <w:t>rock encountered impact</w:t>
      </w:r>
      <w:r>
        <w:t>s</w:t>
      </w:r>
      <w:r w:rsidRPr="00DA7BC0">
        <w:t xml:space="preserve"> roadway construction, methods for removal </w:t>
      </w:r>
      <w:r>
        <w:t>should</w:t>
      </w:r>
      <w:r w:rsidRPr="00DA7BC0">
        <w:t xml:space="preserve"> be </w:t>
      </w:r>
      <w:r>
        <w:t xml:space="preserve">provided </w:t>
      </w:r>
      <w:r w:rsidRPr="00DA7BC0">
        <w:t xml:space="preserve">in the </w:t>
      </w:r>
      <w:r>
        <w:t>FGR</w:t>
      </w:r>
      <w:r w:rsidRPr="00DA7BC0">
        <w:t xml:space="preserve">. Depending on the rock conditions, rock </w:t>
      </w:r>
      <w:r>
        <w:t>may</w:t>
      </w:r>
      <w:r w:rsidRPr="00DA7BC0">
        <w:t xml:space="preserve"> be excavated with conventional equipment or methods such as blasting or jack hammering</w:t>
      </w:r>
      <w:r>
        <w:t>.  A</w:t>
      </w:r>
      <w:r w:rsidR="00424778">
        <w:t>n</w:t>
      </w:r>
      <w:r>
        <w:t xml:space="preserve"> SP noting where rock is encountered and the methods for removal should be included in the Contract Documents.  </w:t>
      </w:r>
    </w:p>
    <w:p w14:paraId="7707D87B" w14:textId="53E3A0F2" w:rsidR="009310B0" w:rsidRDefault="003B42FC" w:rsidP="008D4DB6">
      <w:pPr>
        <w:pStyle w:val="ListNumber"/>
        <w:tabs>
          <w:tab w:val="clear" w:pos="720"/>
          <w:tab w:val="clear" w:pos="1872"/>
        </w:tabs>
        <w:ind w:left="1080" w:firstLine="0"/>
        <w:jc w:val="both"/>
      </w:pPr>
      <w:r>
        <w:t>Special attention should be given to the cut slope areas revealing rock at the limits of slope. Contact the EGD for further recommendations.</w:t>
      </w:r>
    </w:p>
    <w:p w14:paraId="03895284" w14:textId="2B8DB04C" w:rsidR="001A15B9" w:rsidRDefault="003B42FC" w:rsidP="00172E64">
      <w:pPr>
        <w:pStyle w:val="ListNumber"/>
        <w:numPr>
          <w:ilvl w:val="0"/>
          <w:numId w:val="46"/>
        </w:numPr>
        <w:tabs>
          <w:tab w:val="num" w:pos="360"/>
        </w:tabs>
        <w:ind w:left="1080" w:hanging="1080"/>
        <w:jc w:val="both"/>
      </w:pPr>
      <w:r>
        <w:t>If Johnson</w:t>
      </w:r>
      <w:r w:rsidRPr="009655AD">
        <w:t>grass has been identified in the vicinity of th</w:t>
      </w:r>
      <w:r>
        <w:t>e</w:t>
      </w:r>
      <w:r w:rsidRPr="009655AD">
        <w:t xml:space="preserve"> project</w:t>
      </w:r>
      <w:r>
        <w:t>,</w:t>
      </w:r>
      <w:r w:rsidRPr="009655AD">
        <w:t xml:space="preserve"> </w:t>
      </w:r>
      <w:r w:rsidR="00424778">
        <w:t>t</w:t>
      </w:r>
      <w:r w:rsidRPr="009655AD">
        <w:t>opsoil and roo</w:t>
      </w:r>
      <w:r>
        <w:t>t mat contaminated with Johnson</w:t>
      </w:r>
      <w:r w:rsidRPr="009655AD">
        <w:t xml:space="preserve">grass </w:t>
      </w:r>
      <w:r>
        <w:t>should</w:t>
      </w:r>
      <w:r w:rsidRPr="009655AD">
        <w:t xml:space="preserve"> be buried within roadway embankment or other suitable on-site location approved by the Eng</w:t>
      </w:r>
      <w:r>
        <w:t>ineer.  Johnson</w:t>
      </w:r>
      <w:r w:rsidRPr="009655AD">
        <w:t>grass</w:t>
      </w:r>
      <w:r w:rsidR="00424778">
        <w:t>-</w:t>
      </w:r>
      <w:r w:rsidRPr="009655AD">
        <w:t xml:space="preserve">contaminated topsoil or root mat </w:t>
      </w:r>
      <w:r>
        <w:t>should</w:t>
      </w:r>
      <w:r w:rsidRPr="009655AD">
        <w:t xml:space="preserve"> not be buried within stormwater management pond embankment.  If buried within roadway embankment, contaminated material </w:t>
      </w:r>
      <w:r>
        <w:t>should</w:t>
      </w:r>
      <w:r w:rsidRPr="009655AD">
        <w:t xml:space="preserve"> be placed at least 8 ft</w:t>
      </w:r>
      <w:r w:rsidR="00CB50E3">
        <w:t>.</w:t>
      </w:r>
      <w:r w:rsidRPr="009655AD">
        <w:t xml:space="preserve"> below the Top of Subgrade with a minimum of 2</w:t>
      </w:r>
      <w:r w:rsidR="00424778">
        <w:t>-</w:t>
      </w:r>
      <w:r w:rsidRPr="009655AD">
        <w:t>ft</w:t>
      </w:r>
      <w:r w:rsidR="00357924">
        <w:t>.</w:t>
      </w:r>
      <w:r w:rsidRPr="009655AD">
        <w:t xml:space="preserve"> cover of uncontaminated material on embankment side slopes.  Contaminated material </w:t>
      </w:r>
      <w:r>
        <w:t>should</w:t>
      </w:r>
      <w:r w:rsidRPr="009655AD">
        <w:t xml:space="preserve"> be placed in maximum 6</w:t>
      </w:r>
      <w:r w:rsidR="00424778">
        <w:t>-</w:t>
      </w:r>
      <w:r w:rsidRPr="009655AD">
        <w:t xml:space="preserve">in. layers with alternating layers of a minimum of 6 in. of uncontaminated material.  Compaction of the contaminated material </w:t>
      </w:r>
      <w:r>
        <w:t>should</w:t>
      </w:r>
      <w:r w:rsidRPr="009655AD">
        <w:t xml:space="preserve"> be to the satisfaction of the Engineer.  Uncontaminated material </w:t>
      </w:r>
      <w:r>
        <w:t>should</w:t>
      </w:r>
      <w:r w:rsidRPr="009655AD">
        <w:t xml:space="preserve"> be compacted to Specification requirements.  If buried at an approved, on-site, non-roadway embankment </w:t>
      </w:r>
      <w:r w:rsidRPr="002D03BD">
        <w:t xml:space="preserve">location, the contaminated material </w:t>
      </w:r>
      <w:r>
        <w:t>should</w:t>
      </w:r>
      <w:r w:rsidRPr="002D03BD">
        <w:t xml:space="preserve"> be covered with at least 2 ft</w:t>
      </w:r>
      <w:r w:rsidR="00CB50E3">
        <w:t>.</w:t>
      </w:r>
      <w:r w:rsidRPr="002D03BD">
        <w:t xml:space="preserve"> of uncontaminated soil. The presence of Johnsongrass should be noted in the </w:t>
      </w:r>
      <w:r>
        <w:t>FGR and a</w:t>
      </w:r>
      <w:r w:rsidR="00424778">
        <w:t>n</w:t>
      </w:r>
      <w:r>
        <w:t xml:space="preserve"> SP addressing Johnson</w:t>
      </w:r>
      <w:r w:rsidRPr="002D03BD">
        <w:t xml:space="preserve">grass should be included in the </w:t>
      </w:r>
      <w:r>
        <w:t>Contract</w:t>
      </w:r>
      <w:r w:rsidRPr="002D03BD">
        <w:t xml:space="preserve"> </w:t>
      </w:r>
      <w:r>
        <w:t>Document</w:t>
      </w:r>
      <w:r w:rsidRPr="002D03BD">
        <w:t xml:space="preserve">s. </w:t>
      </w:r>
    </w:p>
    <w:p w14:paraId="623FABF3" w14:textId="55B94E4A" w:rsidR="006375F2" w:rsidRPr="0029193D" w:rsidRDefault="003B42FC" w:rsidP="00172E64">
      <w:pPr>
        <w:pStyle w:val="ListNumber"/>
        <w:numPr>
          <w:ilvl w:val="0"/>
          <w:numId w:val="46"/>
        </w:numPr>
        <w:tabs>
          <w:tab w:val="clear" w:pos="1872"/>
          <w:tab w:val="num" w:pos="360"/>
          <w:tab w:val="num" w:pos="1800"/>
        </w:tabs>
        <w:ind w:left="1080" w:hanging="1080"/>
        <w:jc w:val="both"/>
      </w:pPr>
      <w:r w:rsidRPr="00E92335">
        <w:rPr>
          <w:szCs w:val="22"/>
        </w:rPr>
        <w:t xml:space="preserve">Check if expansive soils or soils with swell potential (Refer to </w:t>
      </w:r>
      <w:r w:rsidRPr="00E92335">
        <w:rPr>
          <w:rFonts w:cs="Arial"/>
          <w:szCs w:val="22"/>
        </w:rPr>
        <w:t>Federal Highway Administration and National Highway Institute, “Geotechnical Aspect of Pavements” FHWA NHI 132040) are present within the project limits.  These soils may require undercutting or other special treatment and should be noted and addressed in the FGR and in a</w:t>
      </w:r>
      <w:r w:rsidR="00424778">
        <w:rPr>
          <w:rFonts w:cs="Arial"/>
          <w:szCs w:val="22"/>
        </w:rPr>
        <w:t>n</w:t>
      </w:r>
      <w:r w:rsidRPr="00E92335">
        <w:rPr>
          <w:rFonts w:cs="Arial"/>
          <w:szCs w:val="22"/>
        </w:rPr>
        <w:t xml:space="preserve"> SP</w:t>
      </w:r>
      <w:r w:rsidRPr="00E92335">
        <w:rPr>
          <w:szCs w:val="22"/>
        </w:rPr>
        <w:t>.</w:t>
      </w:r>
      <w:r>
        <w:t xml:space="preserve">     </w:t>
      </w:r>
    </w:p>
    <w:p w14:paraId="5EB7C02A" w14:textId="3FB47F5E" w:rsidR="006375F2" w:rsidRDefault="006375F2" w:rsidP="006375F2"/>
    <w:p w14:paraId="6FC04CAE" w14:textId="0625E29B" w:rsidR="00C2266D" w:rsidRPr="006375F2" w:rsidRDefault="00C2266D" w:rsidP="008D4DB6">
      <w:pPr>
        <w:tabs>
          <w:tab w:val="left" w:pos="1210"/>
        </w:tabs>
        <w:sectPr w:rsidR="00C2266D" w:rsidRPr="006375F2" w:rsidSect="00466A64">
          <w:headerReference w:type="even" r:id="rId177"/>
          <w:headerReference w:type="default" r:id="rId178"/>
          <w:footerReference w:type="default" r:id="rId179"/>
          <w:headerReference w:type="first" r:id="rId180"/>
          <w:pgSz w:w="12240" w:h="15840"/>
          <w:pgMar w:top="1440" w:right="1800" w:bottom="1440" w:left="1800" w:header="720" w:footer="720" w:gutter="0"/>
          <w:pgNumType w:chapStyle="1"/>
          <w:cols w:space="720"/>
          <w:docGrid w:linePitch="272"/>
        </w:sectPr>
      </w:pPr>
    </w:p>
    <w:p w14:paraId="072F616A" w14:textId="49E4DCB6" w:rsidR="00D717CB" w:rsidRDefault="00E86920" w:rsidP="00172E64">
      <w:pPr>
        <w:pStyle w:val="Heading2"/>
        <w:numPr>
          <w:ilvl w:val="1"/>
          <w:numId w:val="183"/>
        </w:numPr>
        <w:ind w:left="0" w:firstLine="0"/>
      </w:pPr>
      <w:bookmarkStart w:id="274" w:name="_Pavement_Mechanistic-Empirical_Anal"/>
      <w:bookmarkStart w:id="275" w:name="_Toc479160102"/>
      <w:bookmarkStart w:id="276" w:name="_Toc514057990"/>
      <w:bookmarkStart w:id="277" w:name="_Toc194932386"/>
      <w:bookmarkEnd w:id="274"/>
      <w:r>
        <w:lastRenderedPageBreak/>
        <w:t>Pavement Mechanistic-Empirical</w:t>
      </w:r>
      <w:r w:rsidR="00D316B0">
        <w:t xml:space="preserve"> Anal</w:t>
      </w:r>
      <w:r w:rsidR="006B41DE">
        <w:t>y</w:t>
      </w:r>
      <w:r w:rsidR="00D316B0">
        <w:t>sis</w:t>
      </w:r>
      <w:bookmarkEnd w:id="275"/>
      <w:bookmarkEnd w:id="276"/>
      <w:bookmarkEnd w:id="277"/>
    </w:p>
    <w:p w14:paraId="3FB8CB44" w14:textId="77777777" w:rsidR="00E86920" w:rsidRDefault="00E86920" w:rsidP="00E86920">
      <w:pPr>
        <w:rPr>
          <w:rFonts w:ascii="Arial" w:eastAsia="Arial" w:hAnsi="Arial" w:cs="Arial"/>
          <w:sz w:val="16"/>
        </w:rPr>
      </w:pPr>
      <w:r>
        <w:rPr>
          <w:rFonts w:ascii="Arial" w:eastAsia="Arial" w:hAnsi="Arial" w:cs="Arial"/>
          <w:sz w:val="16"/>
        </w:rPr>
        <w:t xml:space="preserve">Click to go to </w:t>
      </w:r>
      <w:hyperlink w:anchor="_New_Pavement_Design_3" w:history="1">
        <w:r w:rsidR="008C2A13" w:rsidRPr="008C2A13">
          <w:rPr>
            <w:rStyle w:val="Hyperlink"/>
            <w:rFonts w:ascii="Arial" w:eastAsia="Arial" w:hAnsi="Arial" w:cs="Arial"/>
            <w:sz w:val="16"/>
          </w:rPr>
          <w:t>New Pavement Design</w:t>
        </w:r>
      </w:hyperlink>
    </w:p>
    <w:p w14:paraId="2F5ACC8A" w14:textId="77777777" w:rsidR="00E86920" w:rsidRDefault="00E86920" w:rsidP="00E86920">
      <w:r>
        <w:rPr>
          <w:rFonts w:ascii="Arial" w:eastAsia="Arial" w:hAnsi="Arial" w:cs="Arial"/>
          <w:sz w:val="16"/>
        </w:rPr>
        <w:t xml:space="preserve">Click to go to </w:t>
      </w:r>
      <w:hyperlink w:anchor="_Pavement_Preservation_&amp;" w:history="1">
        <w:r w:rsidR="008C2A13" w:rsidRPr="008C2A13">
          <w:rPr>
            <w:rStyle w:val="Hyperlink"/>
            <w:rFonts w:ascii="Arial" w:eastAsia="Arial" w:hAnsi="Arial" w:cs="Arial"/>
            <w:sz w:val="16"/>
          </w:rPr>
          <w:t>Pavement Preservation &amp; Rehabilitation Design</w:t>
        </w:r>
      </w:hyperlink>
    </w:p>
    <w:p w14:paraId="4965A5FF"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Application_for_Removal" w:history="1">
        <w:r w:rsidRPr="002D6703">
          <w:rPr>
            <w:rStyle w:val="Hyperlink"/>
            <w:rFonts w:ascii="Arial" w:hAnsi="Arial" w:cs="Arial"/>
            <w:bCs/>
            <w:sz w:val="16"/>
            <w:szCs w:val="16"/>
          </w:rPr>
          <w:t>Application for Removal (Milling/Grinding)</w:t>
        </w:r>
      </w:hyperlink>
    </w:p>
    <w:p w14:paraId="5B9DF5A3" w14:textId="77777777" w:rsidR="003E40B5" w:rsidRDefault="003E40B5"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maining_Service_Life" w:history="1">
        <w:r w:rsidRPr="003E40B5">
          <w:rPr>
            <w:rStyle w:val="Hyperlink"/>
            <w:rFonts w:ascii="Arial" w:hAnsi="Arial" w:cs="Arial"/>
            <w:bCs/>
            <w:sz w:val="16"/>
            <w:szCs w:val="16"/>
          </w:rPr>
          <w:t>Remaining Service Life Analysis</w:t>
        </w:r>
      </w:hyperlink>
    </w:p>
    <w:p w14:paraId="55E54B6D" w14:textId="77777777" w:rsidR="003A343F" w:rsidRDefault="003A343F" w:rsidP="003A343F">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reliminary_Pavement_Recommendation" w:history="1">
        <w:r w:rsidRPr="003A343F">
          <w:rPr>
            <w:rStyle w:val="Hyperlink"/>
            <w:rFonts w:ascii="Arial" w:hAnsi="Arial" w:cs="Arial"/>
            <w:bCs/>
            <w:sz w:val="16"/>
            <w:szCs w:val="16"/>
          </w:rPr>
          <w:t>Preliminary Pavement Recommendation</w:t>
        </w:r>
      </w:hyperlink>
    </w:p>
    <w:p w14:paraId="588B6CF0" w14:textId="77777777" w:rsidR="00D717CB" w:rsidRDefault="00D717CB" w:rsidP="00172E64">
      <w:pPr>
        <w:pStyle w:val="Heading3"/>
        <w:numPr>
          <w:ilvl w:val="2"/>
          <w:numId w:val="184"/>
        </w:numPr>
        <w:tabs>
          <w:tab w:val="left" w:pos="1080"/>
        </w:tabs>
        <w:ind w:hanging="1980"/>
      </w:pPr>
      <w:r>
        <w:t>Purpose</w:t>
      </w:r>
    </w:p>
    <w:p w14:paraId="77DF12F1" w14:textId="77777777" w:rsidR="00E86920" w:rsidRDefault="00E86920" w:rsidP="00E86920">
      <w:pPr>
        <w:spacing w:after="120"/>
        <w:jc w:val="both"/>
        <w:rPr>
          <w:rFonts w:ascii="Arial" w:eastAsia="Arial" w:hAnsi="Arial" w:cs="Arial"/>
        </w:rPr>
      </w:pPr>
      <w:r>
        <w:rPr>
          <w:rFonts w:ascii="Arial" w:eastAsia="Arial" w:hAnsi="Arial" w:cs="Arial"/>
          <w:sz w:val="22"/>
        </w:rPr>
        <w:t>Pavement Mechanistic-Empirical (ME) Analysis is conducted to determine the future structural and functional performance of a pavement structure over time.  ME analysis and design can be used interchangeably, to also be known as pavement ME design (PMED).</w:t>
      </w:r>
    </w:p>
    <w:p w14:paraId="43E6AD00" w14:textId="77777777" w:rsidR="00E86920" w:rsidRDefault="00E86920" w:rsidP="00E86920">
      <w:pPr>
        <w:jc w:val="both"/>
        <w:rPr>
          <w:rFonts w:ascii="Arial" w:eastAsia="Arial" w:hAnsi="Arial" w:cs="Arial"/>
          <w:sz w:val="22"/>
        </w:rPr>
      </w:pPr>
      <w:r>
        <w:rPr>
          <w:rFonts w:ascii="Arial" w:eastAsia="Arial" w:hAnsi="Arial" w:cs="Arial"/>
          <w:sz w:val="22"/>
        </w:rPr>
        <w:t>Prior to the implementation of PMED, the pavement design methodology involved treating design life as an input, and pavement thickness needed to meet that life was an output.  With PMED, the pavement structure is an input, and performance over time is the output.</w:t>
      </w:r>
    </w:p>
    <w:p w14:paraId="03879FD0" w14:textId="77777777" w:rsidR="00D87069" w:rsidRDefault="00D87069" w:rsidP="00E86920">
      <w:pPr>
        <w:jc w:val="both"/>
        <w:rPr>
          <w:rFonts w:ascii="Arial" w:eastAsia="Arial" w:hAnsi="Arial" w:cs="Arial"/>
          <w:sz w:val="22"/>
        </w:rPr>
      </w:pPr>
    </w:p>
    <w:p w14:paraId="050A94A1" w14:textId="77777777" w:rsidR="00D87069" w:rsidRDefault="00D87069" w:rsidP="00E86920">
      <w:pPr>
        <w:jc w:val="both"/>
        <w:rPr>
          <w:rFonts w:ascii="Arial" w:eastAsia="Arial" w:hAnsi="Arial" w:cs="Arial"/>
          <w:sz w:val="22"/>
        </w:rPr>
      </w:pPr>
      <w:r>
        <w:rPr>
          <w:rFonts w:ascii="Arial" w:eastAsia="Arial" w:hAnsi="Arial" w:cs="Arial"/>
          <w:sz w:val="22"/>
        </w:rPr>
        <w:t>The following analyses are contained herein:</w:t>
      </w:r>
    </w:p>
    <w:p w14:paraId="01F4A275" w14:textId="77777777" w:rsidR="00D87069" w:rsidRDefault="00D87069" w:rsidP="00E86920">
      <w:pPr>
        <w:jc w:val="both"/>
        <w:rPr>
          <w:rFonts w:ascii="Arial" w:eastAsia="Arial" w:hAnsi="Arial" w:cs="Arial"/>
          <w:sz w:val="22"/>
        </w:rPr>
      </w:pPr>
    </w:p>
    <w:p w14:paraId="21091E4D" w14:textId="77777777" w:rsidR="00D87069" w:rsidRPr="00D87069" w:rsidRDefault="00D87069" w:rsidP="00172E64">
      <w:pPr>
        <w:pStyle w:val="ListParagraph"/>
        <w:numPr>
          <w:ilvl w:val="0"/>
          <w:numId w:val="118"/>
        </w:numPr>
        <w:ind w:hanging="720"/>
        <w:jc w:val="both"/>
        <w:rPr>
          <w:rFonts w:ascii="Arial" w:eastAsia="Arial" w:hAnsi="Arial" w:cs="Arial"/>
          <w:sz w:val="22"/>
          <w:szCs w:val="22"/>
        </w:rPr>
      </w:pPr>
      <w:hyperlink w:anchor="_Flexible_Pavements" w:history="1">
        <w:r w:rsidRPr="00D87069">
          <w:rPr>
            <w:rStyle w:val="Hyperlink"/>
            <w:rFonts w:ascii="Arial" w:eastAsia="Arial" w:hAnsi="Arial" w:cs="Arial"/>
            <w:sz w:val="22"/>
            <w:szCs w:val="22"/>
          </w:rPr>
          <w:t>Flexible Pavements</w:t>
        </w:r>
      </w:hyperlink>
    </w:p>
    <w:p w14:paraId="75DC2180" w14:textId="77777777" w:rsidR="00D87069" w:rsidRPr="00D87069" w:rsidRDefault="00D87069" w:rsidP="00172E64">
      <w:pPr>
        <w:pStyle w:val="ListParagraph"/>
        <w:numPr>
          <w:ilvl w:val="0"/>
          <w:numId w:val="118"/>
        </w:numPr>
        <w:ind w:hanging="720"/>
        <w:jc w:val="both"/>
        <w:rPr>
          <w:rFonts w:ascii="Arial" w:eastAsia="Arial" w:hAnsi="Arial" w:cs="Arial"/>
          <w:sz w:val="22"/>
          <w:szCs w:val="22"/>
        </w:rPr>
      </w:pPr>
      <w:hyperlink w:anchor="_Jointed_Plain_Concrete" w:history="1">
        <w:r w:rsidRPr="00D87069">
          <w:rPr>
            <w:rStyle w:val="Hyperlink"/>
            <w:rFonts w:ascii="Arial" w:eastAsia="Arial" w:hAnsi="Arial" w:cs="Arial"/>
            <w:sz w:val="22"/>
            <w:szCs w:val="22"/>
          </w:rPr>
          <w:t>Jointed Plain Concrete Pavement</w:t>
        </w:r>
      </w:hyperlink>
    </w:p>
    <w:p w14:paraId="18FE1ED1" w14:textId="77777777" w:rsidR="00D87069" w:rsidRPr="00D87069" w:rsidRDefault="00D87069" w:rsidP="00172E64">
      <w:pPr>
        <w:pStyle w:val="ListParagraph"/>
        <w:numPr>
          <w:ilvl w:val="0"/>
          <w:numId w:val="118"/>
        </w:numPr>
        <w:ind w:hanging="720"/>
        <w:jc w:val="both"/>
        <w:rPr>
          <w:rFonts w:ascii="Arial" w:eastAsia="Arial" w:hAnsi="Arial" w:cs="Arial"/>
          <w:sz w:val="22"/>
          <w:szCs w:val="22"/>
        </w:rPr>
      </w:pPr>
      <w:hyperlink w:anchor="_Continuous_Reinforced_Concrete" w:history="1">
        <w:r w:rsidRPr="00D87069">
          <w:rPr>
            <w:rStyle w:val="Hyperlink"/>
            <w:rFonts w:ascii="Arial" w:eastAsia="Arial" w:hAnsi="Arial" w:cs="Arial"/>
            <w:sz w:val="22"/>
            <w:szCs w:val="22"/>
          </w:rPr>
          <w:t>Continuous Reinforced Concrete Pavement</w:t>
        </w:r>
      </w:hyperlink>
    </w:p>
    <w:p w14:paraId="67F10061" w14:textId="77777777" w:rsidR="00D87069" w:rsidRPr="00D87069" w:rsidRDefault="00D87069" w:rsidP="00172E64">
      <w:pPr>
        <w:pStyle w:val="ListParagraph"/>
        <w:numPr>
          <w:ilvl w:val="0"/>
          <w:numId w:val="118"/>
        </w:numPr>
        <w:ind w:hanging="720"/>
        <w:jc w:val="both"/>
        <w:rPr>
          <w:rFonts w:ascii="Arial" w:eastAsia="Arial" w:hAnsi="Arial" w:cs="Arial"/>
          <w:sz w:val="22"/>
          <w:szCs w:val="22"/>
        </w:rPr>
      </w:pPr>
      <w:hyperlink w:anchor="_Asphalt_Overlay_over" w:history="1">
        <w:r w:rsidRPr="00D87069">
          <w:rPr>
            <w:rStyle w:val="Hyperlink"/>
            <w:rFonts w:ascii="Arial" w:eastAsia="Arial" w:hAnsi="Arial" w:cs="Arial"/>
            <w:sz w:val="22"/>
            <w:szCs w:val="22"/>
          </w:rPr>
          <w:t>Asphalt Overlay over JCP</w:t>
        </w:r>
      </w:hyperlink>
    </w:p>
    <w:p w14:paraId="23A87BE1" w14:textId="77777777" w:rsidR="00D87069" w:rsidRPr="009D0732" w:rsidRDefault="00D87069" w:rsidP="00172E64">
      <w:pPr>
        <w:pStyle w:val="ListParagraph"/>
        <w:numPr>
          <w:ilvl w:val="0"/>
          <w:numId w:val="118"/>
        </w:numPr>
        <w:ind w:hanging="720"/>
        <w:jc w:val="both"/>
        <w:rPr>
          <w:rFonts w:ascii="Arial" w:eastAsia="Arial" w:hAnsi="Arial" w:cs="Arial"/>
          <w:sz w:val="22"/>
          <w:szCs w:val="22"/>
        </w:rPr>
      </w:pPr>
      <w:hyperlink w:anchor="_Asphalt_Overlay_over_1" w:history="1">
        <w:r w:rsidRPr="00D87069">
          <w:rPr>
            <w:rStyle w:val="Hyperlink"/>
            <w:rFonts w:ascii="Arial" w:eastAsia="Arial" w:hAnsi="Arial" w:cs="Arial"/>
            <w:sz w:val="22"/>
            <w:szCs w:val="22"/>
          </w:rPr>
          <w:t>Asphalt Overlay over CRCP</w:t>
        </w:r>
      </w:hyperlink>
    </w:p>
    <w:p w14:paraId="11A53D22" w14:textId="77777777" w:rsidR="009D0732" w:rsidRDefault="009D0732" w:rsidP="00172E64">
      <w:pPr>
        <w:pStyle w:val="ListParagraph"/>
        <w:numPr>
          <w:ilvl w:val="0"/>
          <w:numId w:val="118"/>
        </w:numPr>
        <w:ind w:hanging="720"/>
        <w:jc w:val="both"/>
        <w:rPr>
          <w:rFonts w:ascii="Arial" w:eastAsia="Arial" w:hAnsi="Arial" w:cs="Arial"/>
          <w:sz w:val="22"/>
          <w:szCs w:val="22"/>
        </w:rPr>
      </w:pPr>
      <w:hyperlink w:anchor="_JPCP_Restoration" w:history="1">
        <w:r w:rsidRPr="009D0732">
          <w:rPr>
            <w:rStyle w:val="Hyperlink"/>
            <w:rFonts w:ascii="Arial" w:eastAsia="Arial" w:hAnsi="Arial" w:cs="Arial"/>
            <w:sz w:val="22"/>
            <w:szCs w:val="22"/>
          </w:rPr>
          <w:t>JPCP Restoration</w:t>
        </w:r>
      </w:hyperlink>
    </w:p>
    <w:p w14:paraId="0B270564" w14:textId="77777777" w:rsidR="000A6278" w:rsidRDefault="000A6278" w:rsidP="000A6278">
      <w:pPr>
        <w:jc w:val="both"/>
        <w:rPr>
          <w:rFonts w:ascii="Arial" w:eastAsia="Arial" w:hAnsi="Arial" w:cs="Arial"/>
          <w:sz w:val="22"/>
          <w:szCs w:val="22"/>
        </w:rPr>
      </w:pPr>
    </w:p>
    <w:p w14:paraId="73067E1B" w14:textId="0CCC792E" w:rsidR="000A6278" w:rsidRPr="000A6278" w:rsidRDefault="000A6278" w:rsidP="000A6278">
      <w:pPr>
        <w:jc w:val="both"/>
        <w:rPr>
          <w:rFonts w:ascii="Arial" w:eastAsia="Arial" w:hAnsi="Arial" w:cs="Arial"/>
          <w:sz w:val="22"/>
          <w:szCs w:val="22"/>
        </w:rPr>
      </w:pPr>
      <w:r>
        <w:rPr>
          <w:rFonts w:ascii="Arial" w:eastAsia="Arial" w:hAnsi="Arial" w:cs="Arial"/>
          <w:sz w:val="22"/>
          <w:szCs w:val="22"/>
        </w:rPr>
        <w:t xml:space="preserve">These analyses </w:t>
      </w:r>
      <w:r w:rsidR="00C064A4">
        <w:rPr>
          <w:rFonts w:ascii="Arial" w:eastAsia="Arial" w:hAnsi="Arial" w:cs="Arial"/>
          <w:sz w:val="22"/>
          <w:szCs w:val="22"/>
        </w:rPr>
        <w:t xml:space="preserve">are based on version 2.6 and </w:t>
      </w:r>
      <w:r>
        <w:rPr>
          <w:rFonts w:ascii="Arial" w:eastAsia="Arial" w:hAnsi="Arial" w:cs="Arial"/>
          <w:sz w:val="22"/>
          <w:szCs w:val="22"/>
        </w:rPr>
        <w:t>can be used for both new design and rehabilitation or preservation design, as the procedures for new versus existing are very similar.</w:t>
      </w:r>
    </w:p>
    <w:p w14:paraId="5B20B52A" w14:textId="77777777" w:rsidR="00E86920" w:rsidRDefault="00E86920" w:rsidP="00172E64">
      <w:pPr>
        <w:pStyle w:val="Heading3"/>
        <w:numPr>
          <w:ilvl w:val="2"/>
          <w:numId w:val="184"/>
        </w:numPr>
        <w:tabs>
          <w:tab w:val="left" w:pos="1080"/>
        </w:tabs>
        <w:ind w:hanging="1980"/>
        <w:rPr>
          <w:rFonts w:eastAsia="Arial"/>
        </w:rPr>
      </w:pPr>
      <w:r>
        <w:rPr>
          <w:rFonts w:eastAsia="Arial"/>
        </w:rPr>
        <w:t>Resource Requirements</w:t>
      </w:r>
    </w:p>
    <w:p w14:paraId="10D2E0B5" w14:textId="77777777" w:rsidR="00E86920" w:rsidRDefault="00E86920" w:rsidP="00E86920">
      <w:pPr>
        <w:spacing w:after="120"/>
        <w:jc w:val="both"/>
        <w:rPr>
          <w:rFonts w:ascii="Arial" w:eastAsia="Arial" w:hAnsi="Arial" w:cs="Arial"/>
        </w:rPr>
      </w:pPr>
      <w:r>
        <w:rPr>
          <w:rFonts w:ascii="Arial" w:eastAsia="Arial" w:hAnsi="Arial" w:cs="Arial"/>
          <w:sz w:val="22"/>
        </w:rPr>
        <w:t>The pavement ME analysis procedure documented below requires the following staffing needs for a typical job:</w:t>
      </w:r>
    </w:p>
    <w:tbl>
      <w:tblPr>
        <w:tblW w:w="0" w:type="auto"/>
        <w:jc w:val="center"/>
        <w:tblCellMar>
          <w:left w:w="10" w:type="dxa"/>
          <w:right w:w="10" w:type="dxa"/>
        </w:tblCellMar>
        <w:tblLook w:val="0000" w:firstRow="0" w:lastRow="0" w:firstColumn="0" w:lastColumn="0" w:noHBand="0" w:noVBand="0"/>
      </w:tblPr>
      <w:tblGrid>
        <w:gridCol w:w="2726"/>
        <w:gridCol w:w="2253"/>
        <w:gridCol w:w="1909"/>
        <w:gridCol w:w="1564"/>
      </w:tblGrid>
      <w:tr w:rsidR="00E86920" w14:paraId="0486C592" w14:textId="77777777" w:rsidTr="008D4DB6">
        <w:trPr>
          <w:trHeight w:val="288"/>
          <w:jc w:val="center"/>
        </w:trPr>
        <w:tc>
          <w:tcPr>
            <w:tcW w:w="2726" w:type="dxa"/>
            <w:tcBorders>
              <w:top w:val="single" w:sz="6" w:space="0" w:color="808080"/>
              <w:left w:val="single" w:sz="6" w:space="0" w:color="808080"/>
              <w:bottom w:val="single" w:sz="6" w:space="0" w:color="808080"/>
              <w:right w:val="single" w:sz="6" w:space="0" w:color="808080"/>
            </w:tcBorders>
            <w:shd w:val="pct15" w:color="auto" w:fill="FFFFFF"/>
            <w:tcMar>
              <w:left w:w="108" w:type="dxa"/>
              <w:right w:w="108" w:type="dxa"/>
            </w:tcMar>
            <w:vAlign w:val="center"/>
          </w:tcPr>
          <w:p w14:paraId="05032812" w14:textId="77777777" w:rsidR="00E86920" w:rsidRDefault="00E86920" w:rsidP="002A595A">
            <w:pPr>
              <w:jc w:val="center"/>
            </w:pPr>
            <w:r>
              <w:rPr>
                <w:rFonts w:ascii="Arial" w:eastAsia="Arial" w:hAnsi="Arial" w:cs="Arial"/>
                <w:b/>
                <w:sz w:val="22"/>
              </w:rPr>
              <w:t>Position</w:t>
            </w:r>
          </w:p>
        </w:tc>
        <w:tc>
          <w:tcPr>
            <w:tcW w:w="2253" w:type="dxa"/>
            <w:tcBorders>
              <w:top w:val="single" w:sz="6" w:space="0" w:color="808080"/>
              <w:left w:val="single" w:sz="6" w:space="0" w:color="808080"/>
              <w:bottom w:val="single" w:sz="6" w:space="0" w:color="808080"/>
              <w:right w:val="single" w:sz="6" w:space="0" w:color="808080"/>
            </w:tcBorders>
            <w:shd w:val="pct15" w:color="auto" w:fill="FFFFFF"/>
            <w:tcMar>
              <w:left w:w="108" w:type="dxa"/>
              <w:right w:w="108" w:type="dxa"/>
            </w:tcMar>
            <w:vAlign w:val="center"/>
          </w:tcPr>
          <w:p w14:paraId="6524E35F" w14:textId="77777777" w:rsidR="00E86920" w:rsidRDefault="00E86920" w:rsidP="002A595A">
            <w:pPr>
              <w:jc w:val="center"/>
            </w:pPr>
            <w:r>
              <w:rPr>
                <w:rFonts w:ascii="Arial" w:eastAsia="Arial" w:hAnsi="Arial" w:cs="Arial"/>
                <w:b/>
                <w:sz w:val="22"/>
              </w:rPr>
              <w:t>Function</w:t>
            </w:r>
          </w:p>
        </w:tc>
        <w:tc>
          <w:tcPr>
            <w:tcW w:w="1909" w:type="dxa"/>
            <w:tcBorders>
              <w:top w:val="single" w:sz="6" w:space="0" w:color="808080"/>
              <w:left w:val="single" w:sz="6" w:space="0" w:color="808080"/>
              <w:bottom w:val="single" w:sz="6" w:space="0" w:color="808080"/>
              <w:right w:val="single" w:sz="6" w:space="0" w:color="808080"/>
            </w:tcBorders>
            <w:shd w:val="pct15" w:color="auto" w:fill="FFFFFF"/>
            <w:tcMar>
              <w:left w:w="108" w:type="dxa"/>
              <w:right w:w="108" w:type="dxa"/>
            </w:tcMar>
            <w:vAlign w:val="center"/>
          </w:tcPr>
          <w:p w14:paraId="5333B37D" w14:textId="77777777" w:rsidR="00E86920" w:rsidRDefault="00E86920" w:rsidP="002A595A">
            <w:pPr>
              <w:jc w:val="center"/>
            </w:pPr>
            <w:r>
              <w:rPr>
                <w:rFonts w:ascii="Arial" w:eastAsia="Arial" w:hAnsi="Arial" w:cs="Arial"/>
                <w:b/>
                <w:sz w:val="22"/>
              </w:rPr>
              <w:t>Resources</w:t>
            </w:r>
          </w:p>
        </w:tc>
        <w:tc>
          <w:tcPr>
            <w:tcW w:w="1564" w:type="dxa"/>
            <w:tcBorders>
              <w:top w:val="single" w:sz="6" w:space="0" w:color="808080"/>
              <w:left w:val="single" w:sz="6" w:space="0" w:color="808080"/>
              <w:bottom w:val="single" w:sz="6" w:space="0" w:color="808080"/>
              <w:right w:val="single" w:sz="6" w:space="0" w:color="808080"/>
            </w:tcBorders>
            <w:shd w:val="pct15" w:color="auto" w:fill="FFFFFF"/>
            <w:tcMar>
              <w:left w:w="108" w:type="dxa"/>
              <w:right w:w="108" w:type="dxa"/>
            </w:tcMar>
            <w:vAlign w:val="center"/>
          </w:tcPr>
          <w:p w14:paraId="0179A58B" w14:textId="77777777" w:rsidR="00E86920" w:rsidRDefault="00E86920" w:rsidP="002A595A">
            <w:pPr>
              <w:jc w:val="center"/>
              <w:rPr>
                <w:rFonts w:ascii="Arial" w:eastAsia="Arial" w:hAnsi="Arial" w:cs="Arial"/>
                <w:b/>
              </w:rPr>
            </w:pPr>
            <w:r>
              <w:rPr>
                <w:rFonts w:ascii="Arial" w:eastAsia="Arial" w:hAnsi="Arial" w:cs="Arial"/>
                <w:b/>
                <w:sz w:val="22"/>
              </w:rPr>
              <w:t>Effort Level</w:t>
            </w:r>
          </w:p>
          <w:p w14:paraId="32D084E3" w14:textId="77777777" w:rsidR="00E86920" w:rsidRDefault="00E86920" w:rsidP="002A595A">
            <w:pPr>
              <w:jc w:val="center"/>
            </w:pPr>
            <w:r>
              <w:rPr>
                <w:rFonts w:ascii="Arial" w:eastAsia="Arial" w:hAnsi="Arial" w:cs="Arial"/>
                <w:b/>
                <w:sz w:val="22"/>
              </w:rPr>
              <w:t>(man-hours)</w:t>
            </w:r>
          </w:p>
        </w:tc>
      </w:tr>
      <w:tr w:rsidR="00E86920" w14:paraId="6C4DD934" w14:textId="77777777" w:rsidTr="008D4DB6">
        <w:trPr>
          <w:trHeight w:val="288"/>
          <w:jc w:val="center"/>
        </w:trPr>
        <w:tc>
          <w:tcPr>
            <w:tcW w:w="2726" w:type="dxa"/>
            <w:tcBorders>
              <w:top w:val="single" w:sz="6" w:space="0" w:color="808080"/>
              <w:left w:val="single" w:sz="6" w:space="0" w:color="808080"/>
              <w:bottom w:val="single" w:sz="6" w:space="0" w:color="808080"/>
              <w:right w:val="single" w:sz="6" w:space="0" w:color="808080"/>
            </w:tcBorders>
            <w:shd w:val="clear" w:color="000000" w:fill="FFFFFF"/>
            <w:tcMar>
              <w:left w:w="108" w:type="dxa"/>
              <w:right w:w="108" w:type="dxa"/>
            </w:tcMar>
            <w:vAlign w:val="center"/>
          </w:tcPr>
          <w:p w14:paraId="41562D7F" w14:textId="77777777" w:rsidR="00E86920" w:rsidRDefault="00E86920" w:rsidP="002A595A">
            <w:pPr>
              <w:jc w:val="center"/>
            </w:pPr>
            <w:r>
              <w:rPr>
                <w:rFonts w:ascii="Arial" w:eastAsia="Arial" w:hAnsi="Arial" w:cs="Arial"/>
                <w:sz w:val="18"/>
              </w:rPr>
              <w:t>Pavement Engineer</w:t>
            </w:r>
          </w:p>
        </w:tc>
        <w:tc>
          <w:tcPr>
            <w:tcW w:w="2253" w:type="dxa"/>
            <w:tcBorders>
              <w:top w:val="single" w:sz="6" w:space="0" w:color="808080"/>
              <w:left w:val="single" w:sz="6" w:space="0" w:color="808080"/>
              <w:bottom w:val="single" w:sz="6" w:space="0" w:color="808080"/>
              <w:right w:val="single" w:sz="6" w:space="0" w:color="808080"/>
            </w:tcBorders>
            <w:shd w:val="clear" w:color="000000" w:fill="FFFFFF"/>
            <w:tcMar>
              <w:left w:w="108" w:type="dxa"/>
              <w:right w:w="108" w:type="dxa"/>
            </w:tcMar>
            <w:vAlign w:val="center"/>
          </w:tcPr>
          <w:p w14:paraId="221C2CDB" w14:textId="77777777" w:rsidR="00E86920" w:rsidRDefault="00E86920" w:rsidP="002A595A">
            <w:pPr>
              <w:jc w:val="center"/>
            </w:pPr>
            <w:r>
              <w:rPr>
                <w:rFonts w:ascii="Arial" w:eastAsia="Arial" w:hAnsi="Arial" w:cs="Arial"/>
                <w:sz w:val="18"/>
              </w:rPr>
              <w:t>Data Analysis</w:t>
            </w:r>
          </w:p>
        </w:tc>
        <w:tc>
          <w:tcPr>
            <w:tcW w:w="1909" w:type="dxa"/>
            <w:tcBorders>
              <w:top w:val="single" w:sz="6" w:space="0" w:color="808080"/>
              <w:left w:val="single" w:sz="6" w:space="0" w:color="808080"/>
              <w:bottom w:val="single" w:sz="6" w:space="0" w:color="808080"/>
              <w:right w:val="single" w:sz="6" w:space="0" w:color="808080"/>
            </w:tcBorders>
            <w:shd w:val="clear" w:color="000000" w:fill="FFFFFF"/>
            <w:tcMar>
              <w:left w:w="108" w:type="dxa"/>
              <w:right w:w="108" w:type="dxa"/>
            </w:tcMar>
            <w:vAlign w:val="center"/>
          </w:tcPr>
          <w:p w14:paraId="2DF182E9" w14:textId="77777777" w:rsidR="00E86920" w:rsidRDefault="00E86920" w:rsidP="002A595A">
            <w:pPr>
              <w:jc w:val="center"/>
            </w:pPr>
            <w:r>
              <w:rPr>
                <w:rFonts w:ascii="Arial" w:eastAsia="Arial" w:hAnsi="Arial" w:cs="Arial"/>
                <w:sz w:val="18"/>
              </w:rPr>
              <w:t>1</w:t>
            </w:r>
          </w:p>
        </w:tc>
        <w:tc>
          <w:tcPr>
            <w:tcW w:w="1564" w:type="dxa"/>
            <w:tcBorders>
              <w:top w:val="single" w:sz="6" w:space="0" w:color="808080"/>
              <w:left w:val="single" w:sz="6" w:space="0" w:color="808080"/>
              <w:bottom w:val="single" w:sz="6" w:space="0" w:color="808080"/>
              <w:right w:val="single" w:sz="6" w:space="0" w:color="808080"/>
            </w:tcBorders>
            <w:shd w:val="clear" w:color="000000" w:fill="FFFFFF"/>
            <w:tcMar>
              <w:left w:w="108" w:type="dxa"/>
              <w:right w:w="108" w:type="dxa"/>
            </w:tcMar>
            <w:vAlign w:val="center"/>
          </w:tcPr>
          <w:p w14:paraId="2537E4B6" w14:textId="77777777" w:rsidR="00E86920" w:rsidRDefault="00E86920" w:rsidP="002A595A">
            <w:pPr>
              <w:jc w:val="center"/>
            </w:pPr>
            <w:r>
              <w:rPr>
                <w:rFonts w:ascii="Arial" w:eastAsia="Arial" w:hAnsi="Arial" w:cs="Arial"/>
                <w:sz w:val="18"/>
              </w:rPr>
              <w:t>16</w:t>
            </w:r>
          </w:p>
        </w:tc>
      </w:tr>
    </w:tbl>
    <w:p w14:paraId="01929DD9" w14:textId="77777777" w:rsidR="00E86920" w:rsidRDefault="00E86920" w:rsidP="00172E64">
      <w:pPr>
        <w:pStyle w:val="Heading3"/>
        <w:numPr>
          <w:ilvl w:val="2"/>
          <w:numId w:val="184"/>
        </w:numPr>
        <w:tabs>
          <w:tab w:val="left" w:pos="1080"/>
        </w:tabs>
        <w:ind w:hanging="1980"/>
        <w:rPr>
          <w:rFonts w:eastAsia="Arial"/>
        </w:rPr>
      </w:pPr>
      <w:r>
        <w:rPr>
          <w:rFonts w:eastAsia="Arial"/>
        </w:rPr>
        <w:t>Procedure</w:t>
      </w:r>
    </w:p>
    <w:p w14:paraId="70BE4E58" w14:textId="77777777" w:rsidR="00E86920" w:rsidRDefault="00E86920" w:rsidP="00E86920">
      <w:pPr>
        <w:spacing w:after="120"/>
        <w:jc w:val="both"/>
        <w:rPr>
          <w:rFonts w:ascii="Arial" w:eastAsia="Arial" w:hAnsi="Arial" w:cs="Arial"/>
        </w:rPr>
      </w:pPr>
      <w:r>
        <w:rPr>
          <w:rFonts w:ascii="Arial" w:eastAsia="Arial" w:hAnsi="Arial" w:cs="Arial"/>
          <w:sz w:val="22"/>
        </w:rPr>
        <w:t xml:space="preserve">The procedure described in the following text should be followed in a typical pavement analysis.  Reference to specific design inputs for analysis can be located in </w:t>
      </w:r>
      <w:hyperlink w:anchor="_Design_Input_Policies_1" w:history="1">
        <w:r w:rsidR="00DF4794" w:rsidRPr="00DF4794">
          <w:rPr>
            <w:rStyle w:val="Hyperlink"/>
            <w:rFonts w:ascii="Arial" w:eastAsia="Arial" w:hAnsi="Arial" w:cs="Arial"/>
            <w:sz w:val="22"/>
          </w:rPr>
          <w:t>Design Input Policies</w:t>
        </w:r>
      </w:hyperlink>
      <w:r>
        <w:rPr>
          <w:rFonts w:ascii="Arial" w:eastAsia="Arial" w:hAnsi="Arial" w:cs="Arial"/>
          <w:sz w:val="22"/>
        </w:rPr>
        <w:t>.  The following procedure was written to provide the design engineer with adequate information to complete a new design using PMED.  For pavement designs using AASHTO 1993 procedures (such as for Design-Build), refer to</w:t>
      </w:r>
      <w:r w:rsidR="00DF4794">
        <w:rPr>
          <w:rFonts w:ascii="Arial" w:eastAsia="Arial" w:hAnsi="Arial" w:cs="Arial"/>
          <w:sz w:val="22"/>
        </w:rPr>
        <w:t xml:space="preserve"> </w:t>
      </w:r>
      <w:hyperlink w:anchor="_New_Pavement_Design_2" w:history="1">
        <w:r w:rsidR="00DF4794" w:rsidRPr="00DF4794">
          <w:rPr>
            <w:rStyle w:val="Hyperlink"/>
            <w:rFonts w:ascii="Arial" w:eastAsia="Arial" w:hAnsi="Arial" w:cs="Arial"/>
            <w:sz w:val="22"/>
          </w:rPr>
          <w:t>New Pavement Design Using AASHTO 1993</w:t>
        </w:r>
      </w:hyperlink>
      <w:r w:rsidR="000A6278">
        <w:rPr>
          <w:rFonts w:ascii="Arial" w:eastAsia="Arial" w:hAnsi="Arial" w:cs="Arial"/>
          <w:sz w:val="22"/>
        </w:rPr>
        <w:t xml:space="preserve"> or </w:t>
      </w:r>
      <w:hyperlink w:anchor="_Pavement_Preservation_and_1" w:history="1">
        <w:r w:rsidR="000A6278" w:rsidRPr="000A6278">
          <w:rPr>
            <w:rStyle w:val="Hyperlink"/>
            <w:rFonts w:ascii="Arial" w:eastAsia="Arial" w:hAnsi="Arial" w:cs="Arial"/>
            <w:sz w:val="22"/>
          </w:rPr>
          <w:t>Pavement Preservation and Rehabilitation Design Using AASHTO 1993</w:t>
        </w:r>
      </w:hyperlink>
      <w:r w:rsidR="000A6278">
        <w:rPr>
          <w:rFonts w:ascii="Arial" w:eastAsia="Arial" w:hAnsi="Arial" w:cs="Arial"/>
          <w:sz w:val="22"/>
        </w:rPr>
        <w:t>.</w:t>
      </w:r>
      <w:r>
        <w:rPr>
          <w:rFonts w:ascii="Arial" w:eastAsia="Arial" w:hAnsi="Arial" w:cs="Arial"/>
          <w:sz w:val="22"/>
        </w:rPr>
        <w:t xml:space="preserve">      </w:t>
      </w:r>
    </w:p>
    <w:p w14:paraId="4FD06EDE" w14:textId="77777777" w:rsidR="00E86920" w:rsidRPr="00572F29" w:rsidRDefault="00E86920" w:rsidP="00E86920">
      <w:pPr>
        <w:spacing w:after="120"/>
        <w:jc w:val="both"/>
        <w:rPr>
          <w:rFonts w:ascii="Arial" w:eastAsia="Arial" w:hAnsi="Arial" w:cs="Arial"/>
        </w:rPr>
      </w:pPr>
      <w:r>
        <w:rPr>
          <w:rFonts w:ascii="Arial" w:eastAsia="Arial" w:hAnsi="Arial" w:cs="Arial"/>
          <w:sz w:val="22"/>
        </w:rPr>
        <w:t>With the AASHTO 1993 meth</w:t>
      </w:r>
      <w:r w:rsidRPr="00572F29">
        <w:rPr>
          <w:rFonts w:ascii="Arial" w:eastAsia="Arial" w:hAnsi="Arial" w:cs="Arial"/>
          <w:sz w:val="22"/>
        </w:rPr>
        <w:t>odology, a required structural value was the output that could be used by the engineer to develop a pavement section.  With the PMED methodology, the engineer will have to develop a pavement section independently (AASHTO 1993 may be used as a starting point), and then the PMED software will analyze that section to predict performance over time.</w:t>
      </w:r>
    </w:p>
    <w:p w14:paraId="0A3A2B6B" w14:textId="77777777" w:rsidR="00E86920" w:rsidRDefault="00E86920" w:rsidP="00172E64">
      <w:pPr>
        <w:pStyle w:val="Heading4"/>
        <w:numPr>
          <w:ilvl w:val="3"/>
          <w:numId w:val="184"/>
        </w:numPr>
        <w:ind w:left="864"/>
      </w:pPr>
      <w:bookmarkStart w:id="278" w:name="_Flexible_Pavements"/>
      <w:bookmarkEnd w:id="278"/>
      <w:r w:rsidRPr="00AE56EA">
        <w:lastRenderedPageBreak/>
        <w:t>Flexible Pavement</w:t>
      </w:r>
      <w:r w:rsidR="00572F29" w:rsidRPr="00AE56EA">
        <w:t>s</w:t>
      </w:r>
    </w:p>
    <w:p w14:paraId="74A06981" w14:textId="77777777" w:rsidR="00A5637D" w:rsidRDefault="00A5637D" w:rsidP="00A5637D"/>
    <w:p w14:paraId="48FC7E90" w14:textId="77777777" w:rsidR="00A5637D" w:rsidRDefault="00A5637D" w:rsidP="00172E64">
      <w:pPr>
        <w:pStyle w:val="Heading5"/>
        <w:numPr>
          <w:ilvl w:val="4"/>
          <w:numId w:val="184"/>
        </w:numPr>
        <w:ind w:left="1098" w:hanging="1098"/>
      </w:pPr>
      <w:r>
        <w:t>Open PMED</w:t>
      </w:r>
    </w:p>
    <w:p w14:paraId="1990282A" w14:textId="5060CF70" w:rsidR="00B01C2C" w:rsidRPr="00572F29" w:rsidRDefault="00B01C2C" w:rsidP="00A5637D">
      <w:pPr>
        <w:pStyle w:val="ListNumber"/>
        <w:tabs>
          <w:tab w:val="clear" w:pos="720"/>
          <w:tab w:val="clear" w:pos="1872"/>
        </w:tabs>
        <w:ind w:left="0" w:firstLine="0"/>
        <w:jc w:val="both"/>
      </w:pPr>
      <w:r w:rsidRPr="00572F29">
        <w:t xml:space="preserve">Open PMED and create a new project or open an existing one (as appropriate).  Input the General Information as required.  The “Design Type” shall be </w:t>
      </w:r>
      <w:r w:rsidR="008D583C">
        <w:t>“</w:t>
      </w:r>
      <w:r w:rsidRPr="00572F29">
        <w:t>New Pavement</w:t>
      </w:r>
      <w:r w:rsidR="008D583C">
        <w:t>”</w:t>
      </w:r>
      <w:r w:rsidRPr="00572F29">
        <w:t xml:space="preserve"> and the “Pavement Type” shall be Flexible</w:t>
      </w:r>
      <w:r w:rsidR="008D583C">
        <w:t>.  For rehabilitation or preservation</w:t>
      </w:r>
      <w:r w:rsidR="000A6278">
        <w:t>, it shall be “Overlay” and the “Pavement Type” shall be “AC over AC</w:t>
      </w:r>
      <w:r w:rsidR="00466A64">
        <w:t>.</w:t>
      </w:r>
      <w:r w:rsidR="000A6278">
        <w:t>”</w:t>
      </w:r>
    </w:p>
    <w:p w14:paraId="4A61A288" w14:textId="1ABD9A92" w:rsidR="00B01C2C" w:rsidRDefault="00B01C2C" w:rsidP="00B01C2C">
      <w:pPr>
        <w:pStyle w:val="ListNumber"/>
        <w:tabs>
          <w:tab w:val="clear" w:pos="720"/>
          <w:tab w:val="clear" w:pos="1872"/>
        </w:tabs>
        <w:ind w:left="1152" w:firstLine="0"/>
        <w:jc w:val="both"/>
      </w:pPr>
      <w:r w:rsidRPr="00572F29">
        <w:rPr>
          <w:noProof/>
        </w:rPr>
        <w:drawing>
          <wp:inline distT="0" distB="0" distL="0" distR="0" wp14:anchorId="7B65033E" wp14:editId="043CA97E">
            <wp:extent cx="3517780" cy="2142870"/>
            <wp:effectExtent l="19050" t="0" r="6470" b="0"/>
            <wp:docPr id="68" name="Picture 194"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94" descr="Pavement design PMED screen shot"/>
                    <pic:cNvPicPr>
                      <a:picLocks noChangeAspect="1" noChangeArrowheads="1"/>
                    </pic:cNvPicPr>
                  </pic:nvPicPr>
                  <pic:blipFill>
                    <a:blip r:embed="rId181" cstate="print"/>
                    <a:srcRect r="64487" b="65700"/>
                    <a:stretch>
                      <a:fillRect/>
                    </a:stretch>
                  </pic:blipFill>
                  <pic:spPr bwMode="auto">
                    <a:xfrm>
                      <a:off x="0" y="0"/>
                      <a:ext cx="3525560" cy="2147609"/>
                    </a:xfrm>
                    <a:prstGeom prst="rect">
                      <a:avLst/>
                    </a:prstGeom>
                    <a:noFill/>
                    <a:ln w="9525">
                      <a:noFill/>
                      <a:miter lim="800000"/>
                      <a:headEnd/>
                      <a:tailEnd/>
                    </a:ln>
                  </pic:spPr>
                </pic:pic>
              </a:graphicData>
            </a:graphic>
          </wp:inline>
        </w:drawing>
      </w:r>
    </w:p>
    <w:p w14:paraId="1EA51BFE" w14:textId="77777777" w:rsidR="00A5637D" w:rsidRPr="00572F29" w:rsidRDefault="00A5637D" w:rsidP="00B01C2C">
      <w:pPr>
        <w:pStyle w:val="ListNumber"/>
        <w:tabs>
          <w:tab w:val="clear" w:pos="720"/>
          <w:tab w:val="clear" w:pos="1872"/>
        </w:tabs>
        <w:ind w:left="1152" w:firstLine="0"/>
        <w:jc w:val="both"/>
      </w:pPr>
    </w:p>
    <w:p w14:paraId="3F2F97EB" w14:textId="77777777" w:rsidR="00A5637D" w:rsidRPr="001130A9" w:rsidRDefault="00A5637D" w:rsidP="00172E64">
      <w:pPr>
        <w:pStyle w:val="Heading5"/>
        <w:numPr>
          <w:ilvl w:val="4"/>
          <w:numId w:val="184"/>
        </w:numPr>
        <w:ind w:left="1098" w:hanging="1098"/>
      </w:pPr>
      <w:r w:rsidRPr="001130A9">
        <w:t>Performance Criteria</w:t>
      </w:r>
    </w:p>
    <w:p w14:paraId="1FE3F880" w14:textId="77777777" w:rsidR="00C47056" w:rsidRPr="00E55052" w:rsidRDefault="00B01C2C" w:rsidP="00172E64">
      <w:pPr>
        <w:pStyle w:val="ListNumber"/>
        <w:numPr>
          <w:ilvl w:val="0"/>
          <w:numId w:val="96"/>
        </w:numPr>
        <w:tabs>
          <w:tab w:val="clear" w:pos="1152"/>
          <w:tab w:val="clear" w:pos="1872"/>
          <w:tab w:val="num" w:pos="1080"/>
        </w:tabs>
        <w:spacing w:before="240"/>
        <w:ind w:left="1080" w:hanging="1080"/>
        <w:jc w:val="both"/>
        <w:rPr>
          <w:b/>
        </w:rPr>
      </w:pPr>
      <w:r w:rsidRPr="00572F29">
        <w:t xml:space="preserve">Input the Design Life, Performance Criteria and Reliability as per </w:t>
      </w:r>
      <w:hyperlink w:anchor="_Pavement_Preservation,_Rehabilitati_1" w:history="1">
        <w:r w:rsidRPr="00572F29">
          <w:rPr>
            <w:rStyle w:val="Hyperlink"/>
          </w:rPr>
          <w:t>New, Rehabilitation and Preservation Pavement Design</w:t>
        </w:r>
      </w:hyperlink>
      <w:r w:rsidRPr="00572F29">
        <w:t>.</w:t>
      </w:r>
      <w:r w:rsidR="000A6278">
        <w:t xml:space="preserve">  </w:t>
      </w:r>
      <w:r w:rsidR="000A6278" w:rsidRPr="00E55052">
        <w:rPr>
          <w:b/>
        </w:rPr>
        <w:t>For rehabilitation designs, ensure that the Design Life is sufficiently long enough to determine when at least one of the performance criteria fails.</w:t>
      </w:r>
    </w:p>
    <w:p w14:paraId="07C11015" w14:textId="7B7FEE6A" w:rsidR="00C47056" w:rsidRDefault="00C86C97" w:rsidP="00172E64">
      <w:pPr>
        <w:pStyle w:val="ListNumber"/>
        <w:numPr>
          <w:ilvl w:val="0"/>
          <w:numId w:val="96"/>
        </w:numPr>
        <w:tabs>
          <w:tab w:val="clear" w:pos="1152"/>
          <w:tab w:val="clear" w:pos="1872"/>
          <w:tab w:val="num" w:pos="1080"/>
        </w:tabs>
        <w:ind w:left="1080" w:hanging="1080"/>
        <w:jc w:val="both"/>
      </w:pPr>
      <w:r>
        <w:t xml:space="preserve">The fatigue cracking performance criteria values shall equal </w:t>
      </w:r>
      <w:r w:rsidR="00B01C2C" w:rsidRPr="00572F29">
        <w:t xml:space="preserve">the Structural Crack </w:t>
      </w:r>
      <w:r w:rsidR="00B063D7">
        <w:t>Density</w:t>
      </w:r>
      <w:r w:rsidR="00B01C2C" w:rsidRPr="00572F29">
        <w:t xml:space="preserve"> (SC</w:t>
      </w:r>
      <w:r w:rsidR="006924B8">
        <w:t>D</w:t>
      </w:r>
      <w:r w:rsidR="00B01C2C" w:rsidRPr="00572F29">
        <w:t>) i value</w:t>
      </w:r>
      <w:r>
        <w:t xml:space="preserve"> from the</w:t>
      </w:r>
      <w:r w:rsidR="00B01C2C" w:rsidRPr="00572F29">
        <w:t xml:space="preserve"> </w:t>
      </w:r>
      <w:hyperlink w:anchor="_Remaining_Service_Life" w:history="1">
        <w:r w:rsidR="00B01C2C" w:rsidRPr="00572F29">
          <w:rPr>
            <w:rStyle w:val="Hyperlink"/>
          </w:rPr>
          <w:t>Remaining Service Life Analysis</w:t>
        </w:r>
      </w:hyperlink>
      <w:r w:rsidR="00B01C2C" w:rsidRPr="00572F29">
        <w:t xml:space="preserve">.  </w:t>
      </w:r>
    </w:p>
    <w:p w14:paraId="1492B758" w14:textId="306C8C11" w:rsidR="00C47056" w:rsidRDefault="007B561C" w:rsidP="008D4DB6">
      <w:pPr>
        <w:pStyle w:val="ListNumber"/>
        <w:tabs>
          <w:tab w:val="clear" w:pos="720"/>
          <w:tab w:val="clear" w:pos="1872"/>
          <w:tab w:val="num" w:pos="1080"/>
        </w:tabs>
        <w:ind w:left="1080" w:hanging="1080"/>
        <w:jc w:val="both"/>
      </w:pPr>
      <w:r>
        <w:tab/>
      </w:r>
    </w:p>
    <w:p w14:paraId="5B9069E8" w14:textId="44DCEC46" w:rsidR="00C47056" w:rsidRDefault="00266A9A" w:rsidP="00172E64">
      <w:pPr>
        <w:pStyle w:val="ListNumber"/>
        <w:numPr>
          <w:ilvl w:val="0"/>
          <w:numId w:val="96"/>
        </w:numPr>
        <w:tabs>
          <w:tab w:val="clear" w:pos="1152"/>
          <w:tab w:val="clear" w:pos="1872"/>
          <w:tab w:val="num" w:pos="1080"/>
        </w:tabs>
        <w:ind w:left="1080" w:hanging="1080"/>
        <w:jc w:val="both"/>
      </w:pPr>
      <w:r>
        <w:t xml:space="preserve">The AC Thermal Cracking and AC Total Transverse Cracking performance criteria values each shall equal </w:t>
      </w:r>
      <w:r w:rsidR="00B01C2C" w:rsidRPr="00572F29">
        <w:t xml:space="preserve">the Functional Crack </w:t>
      </w:r>
      <w:r w:rsidR="00B063D7">
        <w:t>Density</w:t>
      </w:r>
      <w:r w:rsidR="00B01C2C" w:rsidRPr="00572F29">
        <w:t xml:space="preserve"> (FC</w:t>
      </w:r>
      <w:r w:rsidR="006924B8">
        <w:t>D</w:t>
      </w:r>
      <w:r w:rsidR="00B01C2C" w:rsidRPr="00572F29">
        <w:t>)</w:t>
      </w:r>
      <w:r>
        <w:t>, but expressed in units of ft/mile.  R</w:t>
      </w:r>
      <w:r w:rsidR="00B01C2C" w:rsidRPr="00572F29">
        <w:t xml:space="preserve">efer to </w:t>
      </w:r>
      <w:hyperlink w:anchor="_Remaining_Service_Life" w:history="1">
        <w:r w:rsidR="00B01C2C" w:rsidRPr="00572F29">
          <w:rPr>
            <w:rStyle w:val="Hyperlink"/>
          </w:rPr>
          <w:t>Remaining Service Life Analysis</w:t>
        </w:r>
      </w:hyperlink>
      <w:r>
        <w:rPr>
          <w:rStyle w:val="Hyperlink"/>
        </w:rPr>
        <w:t xml:space="preserve"> to convert the FCD into units of ft/mile.</w:t>
      </w:r>
    </w:p>
    <w:p w14:paraId="4E3BD94C" w14:textId="77777777" w:rsidR="00B01C2C" w:rsidRPr="00572F29" w:rsidRDefault="00B01C2C" w:rsidP="00172E64">
      <w:pPr>
        <w:pStyle w:val="ListNumber"/>
        <w:numPr>
          <w:ilvl w:val="0"/>
          <w:numId w:val="96"/>
        </w:numPr>
        <w:tabs>
          <w:tab w:val="clear" w:pos="1152"/>
          <w:tab w:val="clear" w:pos="1872"/>
          <w:tab w:val="num" w:pos="1080"/>
        </w:tabs>
        <w:ind w:left="1080" w:hanging="1080"/>
        <w:jc w:val="both"/>
      </w:pPr>
      <w:r w:rsidRPr="00572F29">
        <w:t>The Rutting limit shall be used for Permanent Deformation – total pavement</w:t>
      </w:r>
      <w:r w:rsidR="00572F29" w:rsidRPr="00572F29">
        <w:t xml:space="preserve"> </w:t>
      </w:r>
      <w:r w:rsidR="00572F29" w:rsidRPr="00C47056">
        <w:rPr>
          <w:i/>
        </w:rPr>
        <w:t>and</w:t>
      </w:r>
      <w:r w:rsidR="00572F29" w:rsidRPr="00572F29">
        <w:t xml:space="preserve"> AC only</w:t>
      </w:r>
      <w:r w:rsidRPr="00572F29">
        <w:t>.</w:t>
      </w:r>
    </w:p>
    <w:p w14:paraId="690C27A7" w14:textId="4591566B" w:rsidR="00B01C2C" w:rsidRPr="00572F29" w:rsidRDefault="00C86C97" w:rsidP="00B01C2C">
      <w:pPr>
        <w:pStyle w:val="ListNumber"/>
        <w:tabs>
          <w:tab w:val="clear" w:pos="720"/>
          <w:tab w:val="clear" w:pos="1872"/>
        </w:tabs>
        <w:jc w:val="center"/>
      </w:pPr>
      <w:r>
        <w:rPr>
          <w:noProof/>
        </w:rPr>
        <w:lastRenderedPageBreak/>
        <w:drawing>
          <wp:inline distT="0" distB="0" distL="0" distR="0" wp14:anchorId="73AD2427" wp14:editId="28A1A68E">
            <wp:extent cx="3716215" cy="2280138"/>
            <wp:effectExtent l="0" t="0" r="0" b="6350"/>
            <wp:docPr id="1666" name="Picture 1666" descr="Pavement design PMED screen shot"/>
            <wp:cNvGraphicFramePr/>
            <a:graphic xmlns:a="http://schemas.openxmlformats.org/drawingml/2006/main">
              <a:graphicData uri="http://schemas.openxmlformats.org/drawingml/2006/picture">
                <pic:pic xmlns:pic="http://schemas.openxmlformats.org/drawingml/2006/picture">
                  <pic:nvPicPr>
                    <pic:cNvPr id="1666" name="Picture 1666" descr="Pavement design PMED screen shot"/>
                    <pic:cNvPicPr/>
                  </pic:nvPicPr>
                  <pic:blipFill>
                    <a:blip r:embed="rId182"/>
                    <a:stretch>
                      <a:fillRect/>
                    </a:stretch>
                  </pic:blipFill>
                  <pic:spPr>
                    <a:xfrm>
                      <a:off x="0" y="0"/>
                      <a:ext cx="3764010" cy="2309463"/>
                    </a:xfrm>
                    <a:prstGeom prst="rect">
                      <a:avLst/>
                    </a:prstGeom>
                  </pic:spPr>
                </pic:pic>
              </a:graphicData>
            </a:graphic>
          </wp:inline>
        </w:drawing>
      </w:r>
    </w:p>
    <w:p w14:paraId="125A12DA" w14:textId="77777777" w:rsidR="00B01C2C" w:rsidRPr="00572F29" w:rsidRDefault="00B01C2C" w:rsidP="00B01C2C">
      <w:pPr>
        <w:pStyle w:val="Heading4"/>
        <w:numPr>
          <w:ilvl w:val="0"/>
          <w:numId w:val="0"/>
        </w:numPr>
        <w:ind w:left="864"/>
      </w:pPr>
    </w:p>
    <w:p w14:paraId="2491FF3A" w14:textId="77777777" w:rsidR="00A5637D" w:rsidRDefault="00A5637D" w:rsidP="00172E64">
      <w:pPr>
        <w:pStyle w:val="Heading5"/>
        <w:numPr>
          <w:ilvl w:val="4"/>
          <w:numId w:val="184"/>
        </w:numPr>
        <w:ind w:left="1098" w:hanging="1098"/>
      </w:pPr>
      <w:bookmarkStart w:id="279" w:name="_Traffic_1"/>
      <w:bookmarkEnd w:id="279"/>
      <w:r>
        <w:t>Traffic</w:t>
      </w:r>
    </w:p>
    <w:p w14:paraId="0FF9193B" w14:textId="77777777" w:rsidR="002A7742" w:rsidRDefault="002A7742" w:rsidP="002A7742">
      <w:pPr>
        <w:rPr>
          <w:rFonts w:ascii="Arial" w:eastAsia="Arial" w:hAnsi="Arial" w:cs="Arial"/>
          <w:sz w:val="16"/>
        </w:rPr>
      </w:pPr>
      <w:r>
        <w:rPr>
          <w:rFonts w:ascii="Arial" w:eastAsia="Arial" w:hAnsi="Arial" w:cs="Arial"/>
          <w:sz w:val="16"/>
        </w:rPr>
        <w:t xml:space="preserve">Click to go to </w:t>
      </w:r>
      <w:hyperlink w:anchor="_Traffic" w:history="1">
        <w:r w:rsidRPr="002A7742">
          <w:rPr>
            <w:rStyle w:val="Hyperlink"/>
            <w:rFonts w:ascii="Arial" w:eastAsia="Arial" w:hAnsi="Arial" w:cs="Arial"/>
            <w:sz w:val="16"/>
          </w:rPr>
          <w:t>Traffic</w:t>
        </w:r>
      </w:hyperlink>
      <w:r>
        <w:rPr>
          <w:rFonts w:ascii="Arial" w:eastAsia="Arial" w:hAnsi="Arial" w:cs="Arial"/>
          <w:sz w:val="16"/>
        </w:rPr>
        <w:t xml:space="preserve"> in the </w:t>
      </w:r>
      <w:r w:rsidRPr="002A7742">
        <w:rPr>
          <w:rFonts w:ascii="Arial" w:eastAsia="Arial" w:hAnsi="Arial" w:cs="Arial"/>
          <w:i/>
          <w:sz w:val="16"/>
        </w:rPr>
        <w:t>JPCP</w:t>
      </w:r>
      <w:r>
        <w:rPr>
          <w:rFonts w:ascii="Arial" w:eastAsia="Arial" w:hAnsi="Arial" w:cs="Arial"/>
          <w:sz w:val="16"/>
        </w:rPr>
        <w:t xml:space="preserve"> section.</w:t>
      </w:r>
    </w:p>
    <w:p w14:paraId="6249B902" w14:textId="77777777" w:rsidR="00F266F8" w:rsidRDefault="00F266F8" w:rsidP="00F266F8">
      <w:pPr>
        <w:rPr>
          <w:rFonts w:ascii="Arial" w:eastAsia="Arial" w:hAnsi="Arial" w:cs="Arial"/>
          <w:sz w:val="16"/>
        </w:rPr>
      </w:pPr>
      <w:r>
        <w:rPr>
          <w:rFonts w:ascii="Arial" w:eastAsia="Arial" w:hAnsi="Arial" w:cs="Arial"/>
          <w:sz w:val="16"/>
        </w:rPr>
        <w:t xml:space="preserve">Click to go to </w:t>
      </w:r>
      <w:hyperlink w:anchor="_Traffic_2" w:history="1">
        <w:r w:rsidRPr="00F266F8">
          <w:rPr>
            <w:rStyle w:val="Hyperlink"/>
            <w:rFonts w:ascii="Arial" w:eastAsia="Arial" w:hAnsi="Arial" w:cs="Arial"/>
            <w:sz w:val="16"/>
          </w:rPr>
          <w:t>Traffic</w:t>
        </w:r>
      </w:hyperlink>
      <w:r>
        <w:rPr>
          <w:rFonts w:ascii="Arial" w:eastAsia="Arial" w:hAnsi="Arial" w:cs="Arial"/>
          <w:sz w:val="16"/>
        </w:rPr>
        <w:t xml:space="preserve"> in the </w:t>
      </w:r>
      <w:r w:rsidRPr="00F266F8">
        <w:rPr>
          <w:rFonts w:ascii="Arial" w:eastAsia="Arial" w:hAnsi="Arial" w:cs="Arial"/>
          <w:i/>
          <w:sz w:val="16"/>
        </w:rPr>
        <w:t>CR</w:t>
      </w:r>
      <w:r w:rsidRPr="002A7742">
        <w:rPr>
          <w:rFonts w:ascii="Arial" w:eastAsia="Arial" w:hAnsi="Arial" w:cs="Arial"/>
          <w:i/>
          <w:sz w:val="16"/>
        </w:rPr>
        <w:t>CP</w:t>
      </w:r>
      <w:r>
        <w:rPr>
          <w:rFonts w:ascii="Arial" w:eastAsia="Arial" w:hAnsi="Arial" w:cs="Arial"/>
          <w:sz w:val="16"/>
        </w:rPr>
        <w:t xml:space="preserve"> section.</w:t>
      </w:r>
    </w:p>
    <w:p w14:paraId="414B73FE" w14:textId="6A73F300" w:rsidR="00EF3C70" w:rsidRDefault="00EF3C70" w:rsidP="00EF3C70">
      <w:pPr>
        <w:rPr>
          <w:rFonts w:ascii="Arial" w:eastAsia="Arial" w:hAnsi="Arial" w:cs="Arial"/>
          <w:sz w:val="16"/>
        </w:rPr>
      </w:pPr>
      <w:r>
        <w:rPr>
          <w:rFonts w:ascii="Arial" w:eastAsia="Arial" w:hAnsi="Arial" w:cs="Arial"/>
          <w:sz w:val="16"/>
        </w:rPr>
        <w:t xml:space="preserve">Click to go to </w:t>
      </w:r>
      <w:hyperlink w:anchor="_Traffic_3" w:history="1">
        <w:r w:rsidRPr="00EF3C70">
          <w:rPr>
            <w:rStyle w:val="Hyperlink"/>
            <w:rFonts w:ascii="Arial" w:eastAsia="Arial" w:hAnsi="Arial" w:cs="Arial"/>
            <w:sz w:val="16"/>
          </w:rPr>
          <w:t>Traffic</w:t>
        </w:r>
      </w:hyperlink>
      <w:r>
        <w:rPr>
          <w:rFonts w:ascii="Arial" w:eastAsia="Arial" w:hAnsi="Arial" w:cs="Arial"/>
          <w:sz w:val="16"/>
        </w:rPr>
        <w:t xml:space="preserve"> in the AC overlay over </w:t>
      </w:r>
      <w:r w:rsidRPr="0065723C">
        <w:rPr>
          <w:rFonts w:ascii="Arial" w:eastAsia="Arial" w:hAnsi="Arial" w:cs="Arial"/>
          <w:i/>
          <w:sz w:val="16"/>
        </w:rPr>
        <w:t>J</w:t>
      </w:r>
      <w:r w:rsidRPr="002A7742">
        <w:rPr>
          <w:rFonts w:ascii="Arial" w:eastAsia="Arial" w:hAnsi="Arial" w:cs="Arial"/>
          <w:i/>
          <w:sz w:val="16"/>
        </w:rPr>
        <w:t>CP</w:t>
      </w:r>
      <w:r>
        <w:rPr>
          <w:rFonts w:ascii="Arial" w:eastAsia="Arial" w:hAnsi="Arial" w:cs="Arial"/>
          <w:sz w:val="16"/>
        </w:rPr>
        <w:t xml:space="preserve"> section.</w:t>
      </w:r>
    </w:p>
    <w:p w14:paraId="06ADB131" w14:textId="77777777" w:rsidR="0065723C" w:rsidRDefault="0065723C" w:rsidP="0065723C">
      <w:pPr>
        <w:rPr>
          <w:rFonts w:ascii="Arial" w:eastAsia="Arial" w:hAnsi="Arial" w:cs="Arial"/>
          <w:sz w:val="16"/>
        </w:rPr>
      </w:pPr>
      <w:r>
        <w:rPr>
          <w:rFonts w:ascii="Arial" w:eastAsia="Arial" w:hAnsi="Arial" w:cs="Arial"/>
          <w:sz w:val="16"/>
        </w:rPr>
        <w:t xml:space="preserve">Click to go to </w:t>
      </w:r>
      <w:hyperlink w:anchor="_Traffic_4" w:history="1">
        <w:r w:rsidRPr="0065723C">
          <w:rPr>
            <w:rStyle w:val="Hyperlink"/>
            <w:rFonts w:ascii="Arial" w:eastAsia="Arial" w:hAnsi="Arial" w:cs="Arial"/>
            <w:sz w:val="16"/>
          </w:rPr>
          <w:t>Traffic</w:t>
        </w:r>
      </w:hyperlink>
      <w:r>
        <w:rPr>
          <w:rFonts w:ascii="Arial" w:eastAsia="Arial" w:hAnsi="Arial" w:cs="Arial"/>
          <w:sz w:val="16"/>
        </w:rPr>
        <w:t xml:space="preserve"> in the AC overlay over </w:t>
      </w:r>
      <w:r w:rsidRPr="002A7742">
        <w:rPr>
          <w:rFonts w:ascii="Arial" w:eastAsia="Arial" w:hAnsi="Arial" w:cs="Arial"/>
          <w:i/>
          <w:sz w:val="16"/>
        </w:rPr>
        <w:t>C</w:t>
      </w:r>
      <w:r>
        <w:rPr>
          <w:rFonts w:ascii="Arial" w:eastAsia="Arial" w:hAnsi="Arial" w:cs="Arial"/>
          <w:i/>
          <w:sz w:val="16"/>
        </w:rPr>
        <w:t>RC</w:t>
      </w:r>
      <w:r w:rsidRPr="002A7742">
        <w:rPr>
          <w:rFonts w:ascii="Arial" w:eastAsia="Arial" w:hAnsi="Arial" w:cs="Arial"/>
          <w:i/>
          <w:sz w:val="16"/>
        </w:rPr>
        <w:t>P</w:t>
      </w:r>
      <w:r>
        <w:rPr>
          <w:rFonts w:ascii="Arial" w:eastAsia="Arial" w:hAnsi="Arial" w:cs="Arial"/>
          <w:sz w:val="16"/>
        </w:rPr>
        <w:t xml:space="preserve"> section.</w:t>
      </w:r>
    </w:p>
    <w:p w14:paraId="50735714" w14:textId="77777777" w:rsidR="00F266F8" w:rsidRDefault="00F266F8" w:rsidP="002A7742">
      <w:pPr>
        <w:rPr>
          <w:rFonts w:ascii="Arial" w:eastAsia="Arial" w:hAnsi="Arial" w:cs="Arial"/>
          <w:sz w:val="16"/>
        </w:rPr>
      </w:pPr>
    </w:p>
    <w:p w14:paraId="73E06F88" w14:textId="77777777" w:rsidR="00B01C2C" w:rsidRPr="00572F29" w:rsidRDefault="00B01C2C" w:rsidP="00A5637D">
      <w:pPr>
        <w:pStyle w:val="ListNumber"/>
        <w:tabs>
          <w:tab w:val="clear" w:pos="720"/>
          <w:tab w:val="clear" w:pos="1872"/>
        </w:tabs>
        <w:ind w:left="0" w:firstLine="0"/>
        <w:jc w:val="both"/>
      </w:pPr>
      <w:r w:rsidRPr="00572F29">
        <w:t xml:space="preserve">Double-click on the “Traffic” button in the left menu, and enter all of the traffic information as per </w:t>
      </w:r>
      <w:hyperlink w:anchor="_Traffic_Analysis_in" w:history="1">
        <w:r w:rsidRPr="00572F29">
          <w:rPr>
            <w:rStyle w:val="Hyperlink"/>
          </w:rPr>
          <w:t>Traffic Analysis in MEPD</w:t>
        </w:r>
      </w:hyperlink>
      <w:r w:rsidRPr="00572F29">
        <w:t>.  Once traffic is complete, all of the traffic items should have a green circle.</w:t>
      </w:r>
    </w:p>
    <w:p w14:paraId="0423A960" w14:textId="1934086F" w:rsidR="00B01C2C" w:rsidRDefault="00B01C2C" w:rsidP="00B01C2C">
      <w:pPr>
        <w:pStyle w:val="ListNumber"/>
        <w:tabs>
          <w:tab w:val="clear" w:pos="720"/>
          <w:tab w:val="clear" w:pos="1872"/>
        </w:tabs>
        <w:ind w:left="1152" w:firstLine="0"/>
        <w:jc w:val="center"/>
      </w:pPr>
      <w:r w:rsidRPr="00572F29">
        <w:rPr>
          <w:noProof/>
        </w:rPr>
        <w:drawing>
          <wp:inline distT="0" distB="0" distL="0" distR="0" wp14:anchorId="351328B7" wp14:editId="56B0A43F">
            <wp:extent cx="3114840" cy="2191109"/>
            <wp:effectExtent l="19050" t="0" r="9360" b="0"/>
            <wp:docPr id="88" name="Picture 208"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208" descr="Pavement design PMED screen shot"/>
                    <pic:cNvPicPr>
                      <a:picLocks noChangeAspect="1" noChangeArrowheads="1"/>
                    </pic:cNvPicPr>
                  </pic:nvPicPr>
                  <pic:blipFill>
                    <a:blip r:embed="rId183" cstate="print"/>
                    <a:srcRect r="68576" b="64688"/>
                    <a:stretch>
                      <a:fillRect/>
                    </a:stretch>
                  </pic:blipFill>
                  <pic:spPr bwMode="auto">
                    <a:xfrm>
                      <a:off x="0" y="0"/>
                      <a:ext cx="3113682" cy="2190295"/>
                    </a:xfrm>
                    <a:prstGeom prst="rect">
                      <a:avLst/>
                    </a:prstGeom>
                    <a:noFill/>
                    <a:ln w="9525">
                      <a:noFill/>
                      <a:miter lim="800000"/>
                      <a:headEnd/>
                      <a:tailEnd/>
                    </a:ln>
                  </pic:spPr>
                </pic:pic>
              </a:graphicData>
            </a:graphic>
          </wp:inline>
        </w:drawing>
      </w:r>
    </w:p>
    <w:p w14:paraId="672569D1" w14:textId="77777777" w:rsidR="00A5637D" w:rsidRPr="00572F29" w:rsidRDefault="00A5637D" w:rsidP="00B01C2C">
      <w:pPr>
        <w:pStyle w:val="ListNumber"/>
        <w:tabs>
          <w:tab w:val="clear" w:pos="720"/>
          <w:tab w:val="clear" w:pos="1872"/>
        </w:tabs>
        <w:ind w:left="1152" w:firstLine="0"/>
        <w:jc w:val="center"/>
      </w:pPr>
    </w:p>
    <w:p w14:paraId="21595BA2" w14:textId="77777777" w:rsidR="00A5637D" w:rsidRDefault="00A5637D" w:rsidP="00172E64">
      <w:pPr>
        <w:pStyle w:val="Heading5"/>
        <w:numPr>
          <w:ilvl w:val="4"/>
          <w:numId w:val="184"/>
        </w:numPr>
        <w:ind w:left="1098" w:hanging="1098"/>
      </w:pPr>
      <w:bookmarkStart w:id="280" w:name="_Climate"/>
      <w:bookmarkEnd w:id="280"/>
      <w:r>
        <w:t>Climate</w:t>
      </w:r>
    </w:p>
    <w:p w14:paraId="7C1D0E1F" w14:textId="77777777" w:rsidR="002A7742" w:rsidRDefault="002A7742" w:rsidP="002A7742">
      <w:pPr>
        <w:rPr>
          <w:rFonts w:ascii="Arial" w:eastAsia="Arial" w:hAnsi="Arial" w:cs="Arial"/>
          <w:sz w:val="16"/>
        </w:rPr>
      </w:pPr>
      <w:r>
        <w:rPr>
          <w:rFonts w:ascii="Arial" w:eastAsia="Arial" w:hAnsi="Arial" w:cs="Arial"/>
          <w:sz w:val="16"/>
        </w:rPr>
        <w:t xml:space="preserve">Click to go to </w:t>
      </w:r>
      <w:hyperlink w:anchor="_Climate_1" w:history="1">
        <w:r w:rsidRPr="002A7742">
          <w:rPr>
            <w:rStyle w:val="Hyperlink"/>
            <w:rFonts w:ascii="Arial" w:eastAsia="Arial" w:hAnsi="Arial" w:cs="Arial"/>
            <w:sz w:val="16"/>
          </w:rPr>
          <w:t>Climate</w:t>
        </w:r>
      </w:hyperlink>
      <w:r>
        <w:rPr>
          <w:rFonts w:ascii="Arial" w:eastAsia="Arial" w:hAnsi="Arial" w:cs="Arial"/>
          <w:sz w:val="16"/>
        </w:rPr>
        <w:t xml:space="preserve"> in the </w:t>
      </w:r>
      <w:r w:rsidRPr="002A7742">
        <w:rPr>
          <w:rFonts w:ascii="Arial" w:eastAsia="Arial" w:hAnsi="Arial" w:cs="Arial"/>
          <w:i/>
          <w:sz w:val="16"/>
        </w:rPr>
        <w:t>JPCP</w:t>
      </w:r>
      <w:r>
        <w:rPr>
          <w:rFonts w:ascii="Arial" w:eastAsia="Arial" w:hAnsi="Arial" w:cs="Arial"/>
          <w:sz w:val="16"/>
        </w:rPr>
        <w:t xml:space="preserve"> section.</w:t>
      </w:r>
    </w:p>
    <w:p w14:paraId="01B3A4EA" w14:textId="77777777" w:rsidR="00F266F8" w:rsidRDefault="00F266F8" w:rsidP="00F266F8">
      <w:pPr>
        <w:rPr>
          <w:rFonts w:ascii="Arial" w:eastAsia="Arial" w:hAnsi="Arial" w:cs="Arial"/>
          <w:sz w:val="16"/>
        </w:rPr>
      </w:pPr>
      <w:r>
        <w:rPr>
          <w:rFonts w:ascii="Arial" w:eastAsia="Arial" w:hAnsi="Arial" w:cs="Arial"/>
          <w:sz w:val="16"/>
        </w:rPr>
        <w:t xml:space="preserve">Click to go to </w:t>
      </w:r>
      <w:hyperlink w:anchor="_Climate_2" w:history="1">
        <w:r w:rsidRPr="00F266F8">
          <w:rPr>
            <w:rStyle w:val="Hyperlink"/>
            <w:rFonts w:ascii="Arial" w:eastAsia="Arial" w:hAnsi="Arial" w:cs="Arial"/>
            <w:sz w:val="16"/>
          </w:rPr>
          <w:t>Climate</w:t>
        </w:r>
      </w:hyperlink>
      <w:r>
        <w:rPr>
          <w:rFonts w:ascii="Arial" w:eastAsia="Arial" w:hAnsi="Arial" w:cs="Arial"/>
          <w:sz w:val="16"/>
        </w:rPr>
        <w:t xml:space="preserve"> in the </w:t>
      </w:r>
      <w:r>
        <w:rPr>
          <w:rFonts w:ascii="Arial" w:eastAsia="Arial" w:hAnsi="Arial" w:cs="Arial"/>
          <w:i/>
          <w:sz w:val="16"/>
        </w:rPr>
        <w:t>CR</w:t>
      </w:r>
      <w:r w:rsidRPr="002A7742">
        <w:rPr>
          <w:rFonts w:ascii="Arial" w:eastAsia="Arial" w:hAnsi="Arial" w:cs="Arial"/>
          <w:i/>
          <w:sz w:val="16"/>
        </w:rPr>
        <w:t>CP</w:t>
      </w:r>
      <w:r>
        <w:rPr>
          <w:rFonts w:ascii="Arial" w:eastAsia="Arial" w:hAnsi="Arial" w:cs="Arial"/>
          <w:sz w:val="16"/>
        </w:rPr>
        <w:t xml:space="preserve"> section.</w:t>
      </w:r>
    </w:p>
    <w:p w14:paraId="63CA5CFA" w14:textId="176D8BFA" w:rsidR="00EF3C70" w:rsidRDefault="00EF3C70" w:rsidP="00EF3C70">
      <w:pPr>
        <w:rPr>
          <w:rFonts w:ascii="Arial" w:eastAsia="Arial" w:hAnsi="Arial" w:cs="Arial"/>
          <w:sz w:val="16"/>
        </w:rPr>
      </w:pPr>
      <w:r>
        <w:rPr>
          <w:rFonts w:ascii="Arial" w:eastAsia="Arial" w:hAnsi="Arial" w:cs="Arial"/>
          <w:sz w:val="16"/>
        </w:rPr>
        <w:t xml:space="preserve">Click to go to </w:t>
      </w:r>
      <w:hyperlink w:anchor="_Climate_3" w:history="1">
        <w:r w:rsidRPr="00EF3C70">
          <w:rPr>
            <w:rStyle w:val="Hyperlink"/>
            <w:rFonts w:ascii="Arial" w:eastAsia="Arial" w:hAnsi="Arial" w:cs="Arial"/>
            <w:sz w:val="16"/>
          </w:rPr>
          <w:t>Climate</w:t>
        </w:r>
      </w:hyperlink>
      <w:r>
        <w:rPr>
          <w:rFonts w:ascii="Arial" w:eastAsia="Arial" w:hAnsi="Arial" w:cs="Arial"/>
          <w:sz w:val="16"/>
        </w:rPr>
        <w:t xml:space="preserve"> in the AC overlay over J</w:t>
      </w:r>
      <w:r w:rsidRPr="002A7742">
        <w:rPr>
          <w:rFonts w:ascii="Arial" w:eastAsia="Arial" w:hAnsi="Arial" w:cs="Arial"/>
          <w:i/>
          <w:sz w:val="16"/>
        </w:rPr>
        <w:t>CP</w:t>
      </w:r>
      <w:r>
        <w:rPr>
          <w:rFonts w:ascii="Arial" w:eastAsia="Arial" w:hAnsi="Arial" w:cs="Arial"/>
          <w:sz w:val="16"/>
        </w:rPr>
        <w:t xml:space="preserve"> section.</w:t>
      </w:r>
    </w:p>
    <w:p w14:paraId="655DD6F6" w14:textId="77777777" w:rsidR="0065723C" w:rsidRDefault="0065723C" w:rsidP="0065723C">
      <w:pPr>
        <w:rPr>
          <w:rFonts w:ascii="Arial" w:eastAsia="Arial" w:hAnsi="Arial" w:cs="Arial"/>
          <w:sz w:val="16"/>
        </w:rPr>
      </w:pPr>
      <w:r>
        <w:rPr>
          <w:rFonts w:ascii="Arial" w:eastAsia="Arial" w:hAnsi="Arial" w:cs="Arial"/>
          <w:sz w:val="16"/>
        </w:rPr>
        <w:t xml:space="preserve">Click to go to </w:t>
      </w:r>
      <w:hyperlink w:anchor="_Climate_4" w:history="1">
        <w:r w:rsidRPr="0065723C">
          <w:rPr>
            <w:rStyle w:val="Hyperlink"/>
            <w:rFonts w:ascii="Arial" w:eastAsia="Arial" w:hAnsi="Arial" w:cs="Arial"/>
            <w:sz w:val="16"/>
          </w:rPr>
          <w:t>Climate</w:t>
        </w:r>
      </w:hyperlink>
      <w:r>
        <w:rPr>
          <w:rFonts w:ascii="Arial" w:eastAsia="Arial" w:hAnsi="Arial" w:cs="Arial"/>
          <w:sz w:val="16"/>
        </w:rPr>
        <w:t xml:space="preserve"> in the AC overlay over </w:t>
      </w:r>
      <w:r w:rsidRPr="002A7742">
        <w:rPr>
          <w:rFonts w:ascii="Arial" w:eastAsia="Arial" w:hAnsi="Arial" w:cs="Arial"/>
          <w:i/>
          <w:sz w:val="16"/>
        </w:rPr>
        <w:t>C</w:t>
      </w:r>
      <w:r>
        <w:rPr>
          <w:rFonts w:ascii="Arial" w:eastAsia="Arial" w:hAnsi="Arial" w:cs="Arial"/>
          <w:i/>
          <w:sz w:val="16"/>
        </w:rPr>
        <w:t>RC</w:t>
      </w:r>
      <w:r w:rsidRPr="002A7742">
        <w:rPr>
          <w:rFonts w:ascii="Arial" w:eastAsia="Arial" w:hAnsi="Arial" w:cs="Arial"/>
          <w:i/>
          <w:sz w:val="16"/>
        </w:rPr>
        <w:t>P</w:t>
      </w:r>
      <w:r>
        <w:rPr>
          <w:rFonts w:ascii="Arial" w:eastAsia="Arial" w:hAnsi="Arial" w:cs="Arial"/>
          <w:sz w:val="16"/>
        </w:rPr>
        <w:t xml:space="preserve"> section.</w:t>
      </w:r>
    </w:p>
    <w:p w14:paraId="5C0C7AAD" w14:textId="77777777" w:rsidR="001D2BA0" w:rsidRDefault="00B01C2C" w:rsidP="00172E64">
      <w:pPr>
        <w:pStyle w:val="ListNumber"/>
        <w:numPr>
          <w:ilvl w:val="0"/>
          <w:numId w:val="113"/>
        </w:numPr>
        <w:tabs>
          <w:tab w:val="clear" w:pos="1152"/>
          <w:tab w:val="clear" w:pos="1872"/>
          <w:tab w:val="num" w:pos="1080"/>
        </w:tabs>
        <w:spacing w:before="240"/>
        <w:ind w:left="1080" w:hanging="1080"/>
        <w:jc w:val="both"/>
      </w:pPr>
      <w:r w:rsidRPr="00572F29">
        <w:t xml:space="preserve">Double-click on the “Climate” button in the left menu. </w:t>
      </w:r>
    </w:p>
    <w:p w14:paraId="65CB1A7C" w14:textId="4FE024A9" w:rsidR="001D2BA0" w:rsidRDefault="002F6364" w:rsidP="00172E64">
      <w:pPr>
        <w:pStyle w:val="ListNumber"/>
        <w:numPr>
          <w:ilvl w:val="0"/>
          <w:numId w:val="113"/>
        </w:numPr>
        <w:tabs>
          <w:tab w:val="clear" w:pos="1152"/>
          <w:tab w:val="clear" w:pos="1872"/>
          <w:tab w:val="num" w:pos="1080"/>
        </w:tabs>
        <w:ind w:left="1080" w:hanging="1080"/>
        <w:jc w:val="both"/>
      </w:pPr>
      <w:r>
        <w:t>On the map, double-click the area where the project is located.</w:t>
      </w:r>
      <w:r w:rsidR="00AE56EA">
        <w:t xml:space="preserve"> </w:t>
      </w:r>
    </w:p>
    <w:p w14:paraId="3BC3E682" w14:textId="67DACD7F" w:rsidR="008D2BB6" w:rsidRDefault="002F6364" w:rsidP="008D2BB6">
      <w:pPr>
        <w:pStyle w:val="ListNumber"/>
        <w:tabs>
          <w:tab w:val="clear" w:pos="720"/>
          <w:tab w:val="clear" w:pos="1872"/>
        </w:tabs>
        <w:jc w:val="center"/>
      </w:pPr>
      <w:r>
        <w:rPr>
          <w:noProof/>
        </w:rPr>
        <w:lastRenderedPageBreak/>
        <w:drawing>
          <wp:inline distT="0" distB="0" distL="0" distR="0" wp14:anchorId="500A7CEB" wp14:editId="4DF2DAD9">
            <wp:extent cx="5486400" cy="5450205"/>
            <wp:effectExtent l="0" t="0" r="0" b="0"/>
            <wp:docPr id="1" name="Picture 1"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avement design PMED screen shot"/>
                    <pic:cNvPicPr/>
                  </pic:nvPicPr>
                  <pic:blipFill>
                    <a:blip r:embed="rId184"/>
                    <a:stretch>
                      <a:fillRect/>
                    </a:stretch>
                  </pic:blipFill>
                  <pic:spPr>
                    <a:xfrm>
                      <a:off x="0" y="0"/>
                      <a:ext cx="5486400" cy="5450205"/>
                    </a:xfrm>
                    <a:prstGeom prst="rect">
                      <a:avLst/>
                    </a:prstGeom>
                  </pic:spPr>
                </pic:pic>
              </a:graphicData>
            </a:graphic>
          </wp:inline>
        </w:drawing>
      </w:r>
    </w:p>
    <w:p w14:paraId="656ECC6F" w14:textId="77777777" w:rsidR="008D2BB6" w:rsidRDefault="008D2BB6" w:rsidP="008D2BB6">
      <w:pPr>
        <w:pStyle w:val="ListNumber"/>
        <w:tabs>
          <w:tab w:val="clear" w:pos="720"/>
          <w:tab w:val="clear" w:pos="1872"/>
        </w:tabs>
        <w:jc w:val="both"/>
      </w:pPr>
    </w:p>
    <w:p w14:paraId="7F26773D" w14:textId="3DEA9DD3" w:rsidR="001D2BA0" w:rsidRDefault="00E354C6" w:rsidP="00172E64">
      <w:pPr>
        <w:pStyle w:val="ListNumber"/>
        <w:numPr>
          <w:ilvl w:val="0"/>
          <w:numId w:val="113"/>
        </w:numPr>
        <w:tabs>
          <w:tab w:val="clear" w:pos="1152"/>
          <w:tab w:val="clear" w:pos="1872"/>
          <w:tab w:val="num" w:pos="1080"/>
        </w:tabs>
        <w:ind w:left="1080" w:hanging="1080"/>
        <w:jc w:val="both"/>
      </w:pPr>
      <w:r>
        <w:t>Weather Stations: If the project is close to a weather station, i</w:t>
      </w:r>
      <w:r w:rsidR="00FA430A">
        <w:t>t</w:t>
      </w:r>
      <w:r>
        <w:t xml:space="preserve"> is sufficient to use one station.  </w:t>
      </w:r>
      <w:r w:rsidR="002F6364">
        <w:t xml:space="preserve">Click on the nearest station, to turn it from blue to green.  </w:t>
      </w:r>
      <w:r>
        <w:t xml:space="preserve">If the project is not close, </w:t>
      </w:r>
      <w:r w:rsidR="002F6364">
        <w:t xml:space="preserve">click on multiple stations as appropriate to turn them from blue to green.  This will create a </w:t>
      </w:r>
      <w:r w:rsidR="001B1001">
        <w:t>v</w:t>
      </w:r>
      <w:r>
        <w:t xml:space="preserve">irtual </w:t>
      </w:r>
      <w:r w:rsidR="001B1001">
        <w:t>w</w:t>
      </w:r>
      <w:r>
        <w:t xml:space="preserve">eather </w:t>
      </w:r>
      <w:r w:rsidR="001B1001">
        <w:t>s</w:t>
      </w:r>
      <w:r>
        <w:t>tation</w:t>
      </w:r>
      <w:r w:rsidR="00FA430A">
        <w:t>.</w:t>
      </w:r>
      <w:r>
        <w:t xml:space="preserve">  When determining which stations to use, judge relevance by distance and elevation.  </w:t>
      </w:r>
    </w:p>
    <w:p w14:paraId="6CB587B5" w14:textId="77777777" w:rsidR="002F6364" w:rsidRDefault="002F6364" w:rsidP="008A6801">
      <w:pPr>
        <w:pStyle w:val="ListNumber"/>
        <w:tabs>
          <w:tab w:val="clear" w:pos="720"/>
          <w:tab w:val="clear" w:pos="1872"/>
        </w:tabs>
        <w:ind w:left="1080" w:firstLine="0"/>
        <w:jc w:val="both"/>
      </w:pPr>
    </w:p>
    <w:p w14:paraId="1037D2E5" w14:textId="7C1C3B34" w:rsidR="002F6364" w:rsidRDefault="002F6364" w:rsidP="002F6364">
      <w:pPr>
        <w:pStyle w:val="ListNumber"/>
        <w:tabs>
          <w:tab w:val="clear" w:pos="720"/>
          <w:tab w:val="clear" w:pos="1872"/>
        </w:tabs>
        <w:ind w:left="1080" w:firstLine="0"/>
        <w:jc w:val="both"/>
      </w:pPr>
      <w:r>
        <w:rPr>
          <w:noProof/>
        </w:rPr>
        <w:lastRenderedPageBreak/>
        <w:drawing>
          <wp:inline distT="0" distB="0" distL="0" distR="0" wp14:anchorId="621821AA" wp14:editId="566A56A4">
            <wp:extent cx="3629025" cy="3714750"/>
            <wp:effectExtent l="0" t="0" r="9525" b="0"/>
            <wp:docPr id="1665" name="Picture 1665" descr="Maryland weather station location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 name="Picture 1665" descr="Maryland weather station location map"/>
                    <pic:cNvPicPr/>
                  </pic:nvPicPr>
                  <pic:blipFill>
                    <a:blip r:embed="rId185"/>
                    <a:stretch>
                      <a:fillRect/>
                    </a:stretch>
                  </pic:blipFill>
                  <pic:spPr>
                    <a:xfrm>
                      <a:off x="0" y="0"/>
                      <a:ext cx="3629025" cy="3714750"/>
                    </a:xfrm>
                    <a:prstGeom prst="rect">
                      <a:avLst/>
                    </a:prstGeom>
                  </pic:spPr>
                </pic:pic>
              </a:graphicData>
            </a:graphic>
          </wp:inline>
        </w:drawing>
      </w:r>
    </w:p>
    <w:p w14:paraId="63B51475" w14:textId="6A6101E2" w:rsidR="008A6801" w:rsidRDefault="008A6801" w:rsidP="00172E64">
      <w:pPr>
        <w:pStyle w:val="ListNumber"/>
        <w:numPr>
          <w:ilvl w:val="0"/>
          <w:numId w:val="113"/>
        </w:numPr>
        <w:tabs>
          <w:tab w:val="clear" w:pos="1152"/>
          <w:tab w:val="clear" w:pos="1872"/>
          <w:tab w:val="num" w:pos="1080"/>
        </w:tabs>
        <w:ind w:left="1080" w:hanging="1080"/>
        <w:jc w:val="both"/>
      </w:pPr>
      <w:r>
        <w:t xml:space="preserve">Click the Select Climate button in the </w:t>
      </w:r>
      <w:r w:rsidR="00CB3519">
        <w:t>upper</w:t>
      </w:r>
      <w:r>
        <w:t xml:space="preserve"> left corner of the map.  This will populate the climate data for the project, and the Climate section on the left side of the program in the Explorer Window will turn green. </w:t>
      </w:r>
    </w:p>
    <w:p w14:paraId="67AC8A8A" w14:textId="77777777" w:rsidR="002F6364" w:rsidRDefault="002F6364" w:rsidP="00172E64">
      <w:pPr>
        <w:pStyle w:val="ListNumber"/>
        <w:numPr>
          <w:ilvl w:val="0"/>
          <w:numId w:val="113"/>
        </w:numPr>
        <w:tabs>
          <w:tab w:val="clear" w:pos="1152"/>
          <w:tab w:val="clear" w:pos="1872"/>
          <w:tab w:val="num" w:pos="1080"/>
        </w:tabs>
        <w:ind w:left="1080" w:hanging="1080"/>
        <w:jc w:val="both"/>
      </w:pPr>
      <w:r>
        <w:t xml:space="preserve">The water table depth can be obtained from </w:t>
      </w:r>
      <w:hyperlink r:id="rId186" w:history="1">
        <w:r w:rsidRPr="00E354C6">
          <w:rPr>
            <w:rStyle w:val="Hyperlink"/>
          </w:rPr>
          <w:t>USGS groundwater watch</w:t>
        </w:r>
      </w:hyperlink>
      <w:r w:rsidRPr="00E354C6">
        <w:t xml:space="preserve"> and click</w:t>
      </w:r>
      <w:r>
        <w:t>ing</w:t>
      </w:r>
      <w:r w:rsidRPr="00E354C6">
        <w:t xml:space="preserve"> on the Google Earth version to access water tables by location.  This can be used in conjunction with boring information to determine the </w:t>
      </w:r>
      <w:r>
        <w:t>annual</w:t>
      </w:r>
      <w:r w:rsidRPr="00E354C6">
        <w:t xml:space="preserve"> water table.</w:t>
      </w:r>
    </w:p>
    <w:p w14:paraId="3E19754A" w14:textId="77777777" w:rsidR="00760476" w:rsidRDefault="00760476" w:rsidP="00A478A0">
      <w:pPr>
        <w:pStyle w:val="ListNumber"/>
        <w:tabs>
          <w:tab w:val="clear" w:pos="720"/>
          <w:tab w:val="clear" w:pos="1872"/>
          <w:tab w:val="num" w:pos="1080"/>
        </w:tabs>
        <w:ind w:left="1080" w:hanging="1080"/>
        <w:jc w:val="both"/>
      </w:pPr>
    </w:p>
    <w:p w14:paraId="71B579BD" w14:textId="77777777" w:rsidR="00760476" w:rsidRDefault="00760476" w:rsidP="00172E64">
      <w:pPr>
        <w:pStyle w:val="Heading5"/>
        <w:numPr>
          <w:ilvl w:val="4"/>
          <w:numId w:val="184"/>
        </w:numPr>
        <w:ind w:left="1098" w:hanging="1098"/>
      </w:pPr>
      <w:r>
        <w:t>AC Layer Properties</w:t>
      </w:r>
    </w:p>
    <w:p w14:paraId="5A0C410B" w14:textId="77777777" w:rsidR="00B87154" w:rsidRDefault="00B01C2C" w:rsidP="001D2BA0">
      <w:pPr>
        <w:pStyle w:val="ListNumber"/>
        <w:tabs>
          <w:tab w:val="clear" w:pos="720"/>
          <w:tab w:val="clear" w:pos="1872"/>
        </w:tabs>
        <w:ind w:left="0" w:firstLine="0"/>
        <w:jc w:val="both"/>
      </w:pPr>
      <w:r w:rsidRPr="00572F29">
        <w:t xml:space="preserve">Double-click on the “AC Layer Properties” button.  </w:t>
      </w:r>
    </w:p>
    <w:p w14:paraId="232826BA" w14:textId="77777777" w:rsidR="00B87154" w:rsidRDefault="00B87154" w:rsidP="00B87154">
      <w:pPr>
        <w:pStyle w:val="Heading7"/>
        <w:numPr>
          <w:ilvl w:val="0"/>
          <w:numId w:val="0"/>
        </w:numPr>
        <w:ind w:left="1296"/>
        <w:rPr>
          <w:color w:val="auto"/>
          <w:sz w:val="22"/>
          <w:szCs w:val="22"/>
        </w:rPr>
      </w:pPr>
    </w:p>
    <w:p w14:paraId="56627E58" w14:textId="6D979026" w:rsidR="00B87154" w:rsidRDefault="00B87154" w:rsidP="00172E64">
      <w:pPr>
        <w:pStyle w:val="Heading7"/>
        <w:numPr>
          <w:ilvl w:val="6"/>
          <w:numId w:val="184"/>
        </w:numPr>
        <w:rPr>
          <w:color w:val="auto"/>
          <w:sz w:val="22"/>
          <w:szCs w:val="22"/>
        </w:rPr>
      </w:pPr>
      <w:bookmarkStart w:id="281" w:name="_AC_Layer_Properties."/>
      <w:bookmarkEnd w:id="281"/>
      <w:r>
        <w:rPr>
          <w:color w:val="auto"/>
          <w:sz w:val="22"/>
          <w:szCs w:val="22"/>
        </w:rPr>
        <w:t>AC Layer Properties</w:t>
      </w:r>
    </w:p>
    <w:p w14:paraId="1B95C878" w14:textId="77777777" w:rsidR="00DE7B3D" w:rsidRDefault="00DE7B3D" w:rsidP="00DE7B3D">
      <w:pPr>
        <w:rPr>
          <w:rFonts w:ascii="Arial" w:eastAsia="Arial" w:hAnsi="Arial" w:cs="Arial"/>
          <w:sz w:val="16"/>
        </w:rPr>
      </w:pPr>
      <w:r>
        <w:rPr>
          <w:rFonts w:ascii="Arial" w:eastAsia="Arial" w:hAnsi="Arial" w:cs="Arial"/>
          <w:sz w:val="16"/>
        </w:rPr>
        <w:t xml:space="preserve">Click to go to </w:t>
      </w:r>
      <w:hyperlink w:anchor="_AC_Layer_Properties" w:history="1">
        <w:r w:rsidRPr="00DE7B3D">
          <w:rPr>
            <w:rStyle w:val="Hyperlink"/>
            <w:rFonts w:ascii="Arial" w:eastAsia="Arial" w:hAnsi="Arial" w:cs="Arial"/>
            <w:sz w:val="16"/>
          </w:rPr>
          <w:t>AC Layer Properties</w:t>
        </w:r>
      </w:hyperlink>
      <w:r>
        <w:rPr>
          <w:rFonts w:ascii="Arial" w:eastAsia="Arial" w:hAnsi="Arial" w:cs="Arial"/>
          <w:sz w:val="16"/>
        </w:rPr>
        <w:t xml:space="preserve"> in the </w:t>
      </w:r>
      <w:r w:rsidRPr="00DE7B3D">
        <w:rPr>
          <w:rFonts w:ascii="Arial" w:eastAsia="Arial" w:hAnsi="Arial" w:cs="Arial"/>
          <w:i/>
          <w:sz w:val="16"/>
        </w:rPr>
        <w:t>AC overlay over J</w:t>
      </w:r>
      <w:r w:rsidRPr="002A7742">
        <w:rPr>
          <w:rFonts w:ascii="Arial" w:eastAsia="Arial" w:hAnsi="Arial" w:cs="Arial"/>
          <w:i/>
          <w:sz w:val="16"/>
        </w:rPr>
        <w:t>PCP</w:t>
      </w:r>
      <w:r>
        <w:rPr>
          <w:rFonts w:ascii="Arial" w:eastAsia="Arial" w:hAnsi="Arial" w:cs="Arial"/>
          <w:sz w:val="16"/>
        </w:rPr>
        <w:t xml:space="preserve"> section.</w:t>
      </w:r>
    </w:p>
    <w:p w14:paraId="5C38568B" w14:textId="77777777" w:rsidR="00D46330" w:rsidRDefault="00D46330" w:rsidP="00D46330">
      <w:pPr>
        <w:rPr>
          <w:rFonts w:ascii="Arial" w:eastAsia="Arial" w:hAnsi="Arial" w:cs="Arial"/>
          <w:sz w:val="16"/>
        </w:rPr>
      </w:pPr>
      <w:r>
        <w:rPr>
          <w:rFonts w:ascii="Arial" w:eastAsia="Arial" w:hAnsi="Arial" w:cs="Arial"/>
          <w:sz w:val="16"/>
        </w:rPr>
        <w:t xml:space="preserve">Click to go to </w:t>
      </w:r>
      <w:hyperlink w:anchor="_AC_Layer_Properties_1" w:history="1">
        <w:r w:rsidRPr="00D46330">
          <w:rPr>
            <w:rStyle w:val="Hyperlink"/>
            <w:rFonts w:ascii="Arial" w:eastAsia="Arial" w:hAnsi="Arial" w:cs="Arial"/>
            <w:sz w:val="16"/>
          </w:rPr>
          <w:t>AC Layer Properties</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785D001D" w14:textId="77777777" w:rsidR="00D46330" w:rsidRDefault="00D46330" w:rsidP="00DE7B3D">
      <w:pPr>
        <w:rPr>
          <w:rFonts w:ascii="Arial" w:eastAsia="Arial" w:hAnsi="Arial" w:cs="Arial"/>
          <w:sz w:val="16"/>
        </w:rPr>
      </w:pPr>
    </w:p>
    <w:p w14:paraId="22DA4EC6" w14:textId="77777777" w:rsidR="000D761F" w:rsidRDefault="000D761F" w:rsidP="00172E64">
      <w:pPr>
        <w:pStyle w:val="ListNumber"/>
        <w:numPr>
          <w:ilvl w:val="0"/>
          <w:numId w:val="114"/>
        </w:numPr>
        <w:tabs>
          <w:tab w:val="clear" w:pos="1152"/>
          <w:tab w:val="clear" w:pos="1872"/>
          <w:tab w:val="num" w:pos="1080"/>
        </w:tabs>
        <w:ind w:left="1080" w:hanging="1080"/>
        <w:jc w:val="both"/>
      </w:pPr>
      <w:r>
        <w:t>AC surface shortwave absorptivity</w:t>
      </w:r>
      <w:r w:rsidR="00B87154">
        <w:t xml:space="preserve">: Use the default value.  </w:t>
      </w:r>
    </w:p>
    <w:p w14:paraId="242ABDB5" w14:textId="77777777" w:rsidR="00CB3519" w:rsidRDefault="00CB3519" w:rsidP="00172E64">
      <w:pPr>
        <w:pStyle w:val="ListNumber"/>
        <w:numPr>
          <w:ilvl w:val="0"/>
          <w:numId w:val="114"/>
        </w:numPr>
        <w:tabs>
          <w:tab w:val="clear" w:pos="1152"/>
          <w:tab w:val="clear" w:pos="1872"/>
          <w:tab w:val="num" w:pos="1080"/>
        </w:tabs>
        <w:ind w:left="1080" w:hanging="1080"/>
        <w:jc w:val="both"/>
      </w:pPr>
      <w:r>
        <w:t xml:space="preserve">Layer Interface: For new pavement, give 1. </w:t>
      </w:r>
      <w:r w:rsidRPr="000D761F">
        <w:rPr>
          <w:b/>
        </w:rPr>
        <w:t>For rehabilitation or preservation design,</w:t>
      </w:r>
      <w:r>
        <w:t xml:space="preserve"> the “Layer Interface” should be adjusted based on the bond between existing layers.  Click on the dropdown arrow to the right, and give 0 for no bond, 1 for full bond, and somewhere between for partial bond, which can be estimated based on core results and percentage of low severity alligator cracking in the wheel paths.</w:t>
      </w:r>
    </w:p>
    <w:p w14:paraId="023B7E8E" w14:textId="77777777" w:rsidR="000D761F" w:rsidRDefault="000D761F" w:rsidP="00172E64">
      <w:pPr>
        <w:pStyle w:val="ListNumber"/>
        <w:numPr>
          <w:ilvl w:val="0"/>
          <w:numId w:val="114"/>
        </w:numPr>
        <w:tabs>
          <w:tab w:val="clear" w:pos="1152"/>
          <w:tab w:val="clear" w:pos="1872"/>
          <w:tab w:val="num" w:pos="1080"/>
        </w:tabs>
        <w:ind w:left="1080" w:hanging="1080"/>
        <w:jc w:val="both"/>
      </w:pPr>
      <w:r>
        <w:t>Endurance limit: Use the default value.</w:t>
      </w:r>
    </w:p>
    <w:p w14:paraId="1C14759B" w14:textId="52674BDF" w:rsidR="00CB3519" w:rsidRDefault="00CB3519" w:rsidP="00172E64">
      <w:pPr>
        <w:pStyle w:val="ListNumber"/>
        <w:numPr>
          <w:ilvl w:val="0"/>
          <w:numId w:val="114"/>
        </w:numPr>
        <w:tabs>
          <w:tab w:val="clear" w:pos="1152"/>
          <w:tab w:val="clear" w:pos="1872"/>
          <w:tab w:val="num" w:pos="1080"/>
        </w:tabs>
        <w:ind w:left="1080" w:hanging="1080"/>
        <w:jc w:val="both"/>
      </w:pPr>
      <w:r>
        <w:t>Endurance Limit applied: Make False.</w:t>
      </w:r>
    </w:p>
    <w:p w14:paraId="5FD69888" w14:textId="0253319E" w:rsidR="00CB3519" w:rsidRDefault="00CB3519" w:rsidP="00172E64">
      <w:pPr>
        <w:pStyle w:val="ListNumber"/>
        <w:numPr>
          <w:ilvl w:val="0"/>
          <w:numId w:val="114"/>
        </w:numPr>
        <w:tabs>
          <w:tab w:val="clear" w:pos="1152"/>
          <w:tab w:val="clear" w:pos="1872"/>
          <w:tab w:val="num" w:pos="1080"/>
        </w:tabs>
        <w:ind w:left="1080" w:hanging="1080"/>
        <w:jc w:val="both"/>
      </w:pPr>
      <w:r>
        <w:lastRenderedPageBreak/>
        <w:t>Uses Multi-Layer Rutting Calibration: Make False</w:t>
      </w:r>
    </w:p>
    <w:p w14:paraId="31738855" w14:textId="77777777" w:rsidR="00B87154" w:rsidRDefault="00B87154" w:rsidP="00A478A0">
      <w:pPr>
        <w:pStyle w:val="ListNumber"/>
        <w:tabs>
          <w:tab w:val="clear" w:pos="720"/>
          <w:tab w:val="clear" w:pos="1872"/>
          <w:tab w:val="num" w:pos="1080"/>
        </w:tabs>
        <w:ind w:left="1080" w:hanging="1080"/>
        <w:jc w:val="both"/>
      </w:pPr>
    </w:p>
    <w:p w14:paraId="3841EB2A" w14:textId="6A81E0A9" w:rsidR="00B87154" w:rsidRPr="003265FB" w:rsidRDefault="00B87154" w:rsidP="00172E64">
      <w:pPr>
        <w:pStyle w:val="Heading7"/>
        <w:numPr>
          <w:ilvl w:val="6"/>
          <w:numId w:val="184"/>
        </w:numPr>
        <w:rPr>
          <w:color w:val="auto"/>
          <w:sz w:val="22"/>
          <w:szCs w:val="22"/>
        </w:rPr>
      </w:pPr>
      <w:r>
        <w:rPr>
          <w:color w:val="auto"/>
          <w:sz w:val="22"/>
          <w:szCs w:val="22"/>
        </w:rPr>
        <w:t>Rehabilitation</w:t>
      </w:r>
    </w:p>
    <w:p w14:paraId="53E76C45" w14:textId="77777777" w:rsidR="00DD0F8A" w:rsidRDefault="000D761F" w:rsidP="00172E64">
      <w:pPr>
        <w:pStyle w:val="ListNumber"/>
        <w:numPr>
          <w:ilvl w:val="0"/>
          <w:numId w:val="127"/>
        </w:numPr>
        <w:tabs>
          <w:tab w:val="clear" w:pos="1152"/>
          <w:tab w:val="clear" w:pos="1872"/>
          <w:tab w:val="num" w:pos="1080"/>
        </w:tabs>
        <w:jc w:val="both"/>
      </w:pPr>
      <w:r>
        <w:t>Condition of existing flexible pavement: Choose</w:t>
      </w:r>
      <w:r w:rsidR="00DD0F8A">
        <w:t>:</w:t>
      </w:r>
    </w:p>
    <w:p w14:paraId="70316DE0" w14:textId="4A8148D7" w:rsidR="00DD0F8A" w:rsidRDefault="00DD0F8A" w:rsidP="00172E64">
      <w:pPr>
        <w:pStyle w:val="ListNumber"/>
        <w:numPr>
          <w:ilvl w:val="1"/>
          <w:numId w:val="127"/>
        </w:numPr>
        <w:tabs>
          <w:tab w:val="clear" w:pos="720"/>
          <w:tab w:val="clear" w:pos="1872"/>
          <w:tab w:val="num" w:pos="1080"/>
        </w:tabs>
        <w:ind w:left="1620" w:hanging="540"/>
        <w:jc w:val="both"/>
      </w:pPr>
      <w:r>
        <w:t xml:space="preserve">Level </w:t>
      </w:r>
      <w:r w:rsidR="000D761F">
        <w:t>1</w:t>
      </w:r>
      <w:r>
        <w:t xml:space="preserve"> if FWD is available</w:t>
      </w:r>
      <w:r w:rsidR="00C9630F">
        <w:t>.</w:t>
      </w:r>
    </w:p>
    <w:p w14:paraId="33513046" w14:textId="5CD43F30" w:rsidR="000D761F" w:rsidRDefault="00DD0F8A" w:rsidP="00172E64">
      <w:pPr>
        <w:pStyle w:val="ListNumber"/>
        <w:numPr>
          <w:ilvl w:val="1"/>
          <w:numId w:val="127"/>
        </w:numPr>
        <w:tabs>
          <w:tab w:val="clear" w:pos="720"/>
          <w:tab w:val="clear" w:pos="1872"/>
          <w:tab w:val="num" w:pos="1080"/>
        </w:tabs>
        <w:ind w:left="1620" w:hanging="540"/>
        <w:jc w:val="both"/>
      </w:pPr>
      <w:r>
        <w:t>Level 2 i</w:t>
      </w:r>
      <w:r w:rsidR="002B3D63">
        <w:t>f</w:t>
      </w:r>
      <w:r>
        <w:t xml:space="preserve"> FWD is not available or if you feel the % fatigue cracking should control</w:t>
      </w:r>
      <w:r w:rsidR="00C9630F">
        <w:t>.</w:t>
      </w:r>
    </w:p>
    <w:p w14:paraId="4CB5B7AF" w14:textId="77777777" w:rsidR="00DD0F8A" w:rsidRDefault="00DD0F8A" w:rsidP="00172E64">
      <w:pPr>
        <w:pStyle w:val="ListNumber"/>
        <w:numPr>
          <w:ilvl w:val="1"/>
          <w:numId w:val="127"/>
        </w:numPr>
        <w:tabs>
          <w:tab w:val="clear" w:pos="720"/>
          <w:tab w:val="clear" w:pos="1872"/>
          <w:tab w:val="num" w:pos="1080"/>
        </w:tabs>
        <w:ind w:left="1620" w:hanging="540"/>
        <w:jc w:val="both"/>
      </w:pPr>
      <w:r>
        <w:t>Level 3 if FWD is not available and % fatigue cracking should not control the design.</w:t>
      </w:r>
    </w:p>
    <w:p w14:paraId="72548EA3" w14:textId="77777777" w:rsidR="000D761F" w:rsidRPr="00DD0F8A" w:rsidRDefault="000D761F" w:rsidP="00172E64">
      <w:pPr>
        <w:pStyle w:val="ListNumber"/>
        <w:numPr>
          <w:ilvl w:val="0"/>
          <w:numId w:val="127"/>
        </w:numPr>
        <w:tabs>
          <w:tab w:val="clear" w:pos="1152"/>
          <w:tab w:val="clear" w:pos="1872"/>
          <w:tab w:val="num" w:pos="1080"/>
        </w:tabs>
        <w:jc w:val="both"/>
      </w:pPr>
      <w:r w:rsidRPr="00DD0F8A">
        <w:t xml:space="preserve">Click on the </w:t>
      </w:r>
      <w:r w:rsidR="00DD0F8A" w:rsidRPr="00DD0F8A">
        <w:t>dropdown</w:t>
      </w:r>
      <w:r w:rsidRPr="00DD0F8A">
        <w:t xml:space="preserve"> arrow to the right.</w:t>
      </w:r>
    </w:p>
    <w:p w14:paraId="30F0E9CB" w14:textId="26F2F697" w:rsidR="00DD0F8A" w:rsidRPr="00DD0F8A" w:rsidRDefault="00DD0F8A" w:rsidP="00172E64">
      <w:pPr>
        <w:pStyle w:val="ListNumber"/>
        <w:numPr>
          <w:ilvl w:val="1"/>
          <w:numId w:val="127"/>
        </w:numPr>
        <w:tabs>
          <w:tab w:val="clear" w:pos="720"/>
          <w:tab w:val="clear" w:pos="1872"/>
          <w:tab w:val="num" w:pos="1080"/>
        </w:tabs>
        <w:ind w:left="1620" w:hanging="540"/>
        <w:jc w:val="both"/>
      </w:pPr>
      <w:r w:rsidRPr="00DD0F8A">
        <w:t>Input the milled thickness, if applicable</w:t>
      </w:r>
      <w:r w:rsidR="00C9630F">
        <w:t>.</w:t>
      </w:r>
    </w:p>
    <w:p w14:paraId="2545DDD9" w14:textId="55890188" w:rsidR="00DD0F8A" w:rsidRDefault="00DD0F8A" w:rsidP="00172E64">
      <w:pPr>
        <w:pStyle w:val="ListNumber"/>
        <w:numPr>
          <w:ilvl w:val="1"/>
          <w:numId w:val="127"/>
        </w:numPr>
        <w:tabs>
          <w:tab w:val="clear" w:pos="720"/>
          <w:tab w:val="clear" w:pos="1872"/>
          <w:tab w:val="num" w:pos="1080"/>
        </w:tabs>
        <w:ind w:left="1620" w:hanging="540"/>
        <w:jc w:val="both"/>
      </w:pPr>
      <w:r w:rsidRPr="00DD0F8A">
        <w:t>Input the rut depth of the surface only.  If any layers get removed from</w:t>
      </w:r>
      <w:r>
        <w:t xml:space="preserve"> </w:t>
      </w:r>
      <w:r w:rsidR="00B913D8">
        <w:t>mill</w:t>
      </w:r>
      <w:r>
        <w:t>ing, the rut depth of the newly exposed surface will be zero.</w:t>
      </w:r>
    </w:p>
    <w:p w14:paraId="045CA427" w14:textId="77777777" w:rsidR="00DD0F8A" w:rsidRDefault="00DD0F8A" w:rsidP="00172E64">
      <w:pPr>
        <w:pStyle w:val="ListNumber"/>
        <w:numPr>
          <w:ilvl w:val="1"/>
          <w:numId w:val="127"/>
        </w:numPr>
        <w:tabs>
          <w:tab w:val="clear" w:pos="720"/>
          <w:tab w:val="clear" w:pos="1872"/>
          <w:tab w:val="num" w:pos="1080"/>
        </w:tabs>
        <w:ind w:left="1620" w:hanging="540"/>
        <w:jc w:val="both"/>
      </w:pPr>
      <w:r>
        <w:t>If Level 2 is chosen, input the %</w:t>
      </w:r>
      <w:r w:rsidR="00BA6982">
        <w:t xml:space="preserve"> </w:t>
      </w:r>
      <w:r>
        <w:t>fatigue cracking, combining all severity levels.</w:t>
      </w:r>
    </w:p>
    <w:p w14:paraId="7112293B" w14:textId="77777777" w:rsidR="00DD0F8A" w:rsidRDefault="00DD0F8A" w:rsidP="00172E64">
      <w:pPr>
        <w:pStyle w:val="ListNumber"/>
        <w:numPr>
          <w:ilvl w:val="1"/>
          <w:numId w:val="127"/>
        </w:numPr>
        <w:tabs>
          <w:tab w:val="clear" w:pos="720"/>
          <w:tab w:val="clear" w:pos="1872"/>
          <w:tab w:val="num" w:pos="1080"/>
        </w:tabs>
        <w:ind w:left="1620" w:hanging="540"/>
        <w:jc w:val="both"/>
      </w:pPr>
      <w:r>
        <w:t>If Level 3 is chosen, input the general pavement condition.</w:t>
      </w:r>
    </w:p>
    <w:p w14:paraId="60C4BE0F" w14:textId="77777777" w:rsidR="000A6278" w:rsidRDefault="000A6278" w:rsidP="00DD0F8A">
      <w:pPr>
        <w:pStyle w:val="ListNumber"/>
        <w:tabs>
          <w:tab w:val="clear" w:pos="720"/>
          <w:tab w:val="clear" w:pos="1872"/>
        </w:tabs>
        <w:ind w:left="1530" w:firstLine="0"/>
        <w:jc w:val="both"/>
      </w:pPr>
    </w:p>
    <w:p w14:paraId="76BC2894" w14:textId="77777777" w:rsidR="000A6278" w:rsidRDefault="000A6278" w:rsidP="00172E64">
      <w:pPr>
        <w:pStyle w:val="Heading5"/>
        <w:numPr>
          <w:ilvl w:val="4"/>
          <w:numId w:val="184"/>
        </w:numPr>
        <w:tabs>
          <w:tab w:val="left" w:pos="2160"/>
        </w:tabs>
        <w:ind w:left="1098" w:hanging="1098"/>
      </w:pPr>
      <w:r>
        <w:t>Pavement Structure</w:t>
      </w:r>
    </w:p>
    <w:p w14:paraId="2B6D9B85" w14:textId="71529B45" w:rsidR="00A61A07" w:rsidRDefault="000A6278" w:rsidP="001D2BA0">
      <w:pPr>
        <w:pStyle w:val="ListNumber"/>
        <w:tabs>
          <w:tab w:val="clear" w:pos="720"/>
          <w:tab w:val="clear" w:pos="1872"/>
        </w:tabs>
        <w:ind w:left="0" w:firstLine="0"/>
        <w:jc w:val="both"/>
      </w:pPr>
      <w:r>
        <w:t>C</w:t>
      </w:r>
      <w:r w:rsidR="00B01C2C" w:rsidRPr="00572F29">
        <w:t>lick in the asphalt picture to edit the asphalt layer</w:t>
      </w:r>
      <w:r w:rsidR="007541BE">
        <w:t xml:space="preserve">.  </w:t>
      </w:r>
      <w:r w:rsidR="00A61A07" w:rsidRPr="00572F29">
        <w:t xml:space="preserve">For each layer under the AC </w:t>
      </w:r>
      <w:r w:rsidR="00A61A07">
        <w:t xml:space="preserve">surface layer, </w:t>
      </w:r>
      <w:r w:rsidR="00A61A07" w:rsidRPr="00572F29">
        <w:t xml:space="preserve">click on the green </w:t>
      </w:r>
      <w:r w:rsidR="00E348F8" w:rsidRPr="006B087A">
        <w:rPr>
          <w:b/>
          <w:color w:val="006100"/>
          <w:sz w:val="24"/>
          <w:szCs w:val="2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A61A07" w:rsidRPr="00572F29">
        <w:t xml:space="preserve"> button to add a layer.</w:t>
      </w:r>
      <w:r w:rsidR="00756E81">
        <w:t xml:space="preserve">  For the subgrade, choose the AASHTO description provided by the lab results.  Ensure that AASHTO</w:t>
      </w:r>
      <w:r w:rsidR="00CB3519">
        <w:t xml:space="preserve"> rather than </w:t>
      </w:r>
      <w:r w:rsidR="00756E81">
        <w:t>MSMT descriptions are used.</w:t>
      </w:r>
    </w:p>
    <w:p w14:paraId="1D3DE1C8" w14:textId="77777777" w:rsidR="00E403A5" w:rsidRDefault="00E403A5" w:rsidP="001D2BA0">
      <w:pPr>
        <w:pStyle w:val="ListNumber"/>
        <w:tabs>
          <w:tab w:val="clear" w:pos="720"/>
          <w:tab w:val="clear" w:pos="1872"/>
        </w:tabs>
        <w:ind w:left="0" w:firstLine="0"/>
        <w:jc w:val="both"/>
      </w:pPr>
    </w:p>
    <w:p w14:paraId="26F40A92" w14:textId="796866D1" w:rsidR="00A61A07" w:rsidRDefault="00A61A07" w:rsidP="00A61A07">
      <w:pPr>
        <w:pStyle w:val="ListNumber"/>
        <w:tabs>
          <w:tab w:val="clear" w:pos="720"/>
          <w:tab w:val="clear" w:pos="1872"/>
        </w:tabs>
        <w:ind w:left="1152" w:firstLine="0"/>
        <w:jc w:val="both"/>
      </w:pPr>
      <w:r w:rsidRPr="00A61A07">
        <w:rPr>
          <w:noProof/>
        </w:rPr>
        <w:drawing>
          <wp:inline distT="0" distB="0" distL="0" distR="0" wp14:anchorId="6ECECF2A" wp14:editId="1EA2C6E2">
            <wp:extent cx="4509280" cy="2717283"/>
            <wp:effectExtent l="19050" t="0" r="5570" b="0"/>
            <wp:docPr id="744" name="Picture 211"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Picture 211" descr="Pavement design PMED screen shot"/>
                    <pic:cNvPicPr>
                      <a:picLocks noChangeAspect="1" noChangeArrowheads="1"/>
                    </pic:cNvPicPr>
                  </pic:nvPicPr>
                  <pic:blipFill>
                    <a:blip r:embed="rId187" cstate="print"/>
                    <a:srcRect t="24453" r="43091" b="20718"/>
                    <a:stretch>
                      <a:fillRect/>
                    </a:stretch>
                  </pic:blipFill>
                  <pic:spPr bwMode="auto">
                    <a:xfrm>
                      <a:off x="0" y="0"/>
                      <a:ext cx="4510624" cy="2718093"/>
                    </a:xfrm>
                    <a:prstGeom prst="rect">
                      <a:avLst/>
                    </a:prstGeom>
                    <a:noFill/>
                    <a:ln w="9525">
                      <a:noFill/>
                      <a:miter lim="800000"/>
                      <a:headEnd/>
                      <a:tailEnd/>
                    </a:ln>
                  </pic:spPr>
                </pic:pic>
              </a:graphicData>
            </a:graphic>
          </wp:inline>
        </w:drawing>
      </w:r>
    </w:p>
    <w:p w14:paraId="7B4640ED" w14:textId="77777777" w:rsidR="001D2BA0" w:rsidRDefault="001D2BA0" w:rsidP="00A61A07">
      <w:pPr>
        <w:pStyle w:val="ListNumber"/>
        <w:tabs>
          <w:tab w:val="clear" w:pos="720"/>
          <w:tab w:val="clear" w:pos="1872"/>
        </w:tabs>
        <w:ind w:left="1152" w:firstLine="0"/>
        <w:jc w:val="both"/>
      </w:pPr>
    </w:p>
    <w:p w14:paraId="007CC08A" w14:textId="77777777" w:rsidR="00C9630F" w:rsidRDefault="00C9630F">
      <w:pPr>
        <w:rPr>
          <w:rFonts w:ascii="Arial" w:hAnsi="Arial"/>
          <w:b/>
          <w:i/>
          <w:sz w:val="22"/>
        </w:rPr>
      </w:pPr>
      <w:bookmarkStart w:id="282" w:name="_For_each_AC"/>
      <w:bookmarkEnd w:id="282"/>
      <w:r>
        <w:rPr>
          <w:b/>
        </w:rPr>
        <w:br w:type="page"/>
      </w:r>
    </w:p>
    <w:p w14:paraId="5135C5A6" w14:textId="76148F3D" w:rsidR="001D2BA0" w:rsidRDefault="001D2BA0" w:rsidP="00172E64">
      <w:pPr>
        <w:pStyle w:val="Heading6"/>
        <w:numPr>
          <w:ilvl w:val="5"/>
          <w:numId w:val="184"/>
        </w:numPr>
        <w:ind w:left="1152"/>
        <w:rPr>
          <w:b/>
        </w:rPr>
      </w:pPr>
      <w:r w:rsidRPr="003265FB">
        <w:rPr>
          <w:b/>
        </w:rPr>
        <w:lastRenderedPageBreak/>
        <w:t xml:space="preserve">For </w:t>
      </w:r>
      <w:r w:rsidR="00E403A5">
        <w:rPr>
          <w:b/>
        </w:rPr>
        <w:t>E</w:t>
      </w:r>
      <w:r w:rsidRPr="003265FB">
        <w:rPr>
          <w:b/>
        </w:rPr>
        <w:t>ach AC Layer</w:t>
      </w:r>
    </w:p>
    <w:p w14:paraId="16EC4D65" w14:textId="0DC81E8F" w:rsidR="009B53B3" w:rsidRDefault="009B53B3" w:rsidP="009B53B3">
      <w:pPr>
        <w:rPr>
          <w:rFonts w:ascii="Arial" w:eastAsia="Arial" w:hAnsi="Arial" w:cs="Arial"/>
          <w:sz w:val="16"/>
        </w:rPr>
      </w:pPr>
      <w:r>
        <w:rPr>
          <w:rFonts w:ascii="Arial" w:eastAsia="Arial" w:hAnsi="Arial" w:cs="Arial"/>
          <w:sz w:val="16"/>
        </w:rPr>
        <w:t xml:space="preserve">Click to go to </w:t>
      </w:r>
      <w:hyperlink w:anchor="_For_each_AC_1" w:history="1">
        <w:r w:rsidRPr="009B53B3">
          <w:rPr>
            <w:rStyle w:val="Hyperlink"/>
            <w:rFonts w:ascii="Arial" w:eastAsia="Arial" w:hAnsi="Arial" w:cs="Arial"/>
            <w:sz w:val="16"/>
          </w:rPr>
          <w:t>For each AC Layer</w:t>
        </w:r>
      </w:hyperlink>
      <w:r>
        <w:rPr>
          <w:rFonts w:ascii="Arial" w:eastAsia="Arial" w:hAnsi="Arial" w:cs="Arial"/>
          <w:sz w:val="16"/>
        </w:rPr>
        <w:t xml:space="preserve"> in the </w:t>
      </w:r>
      <w:r w:rsidRPr="00DE7B3D">
        <w:rPr>
          <w:rFonts w:ascii="Arial" w:eastAsia="Arial" w:hAnsi="Arial" w:cs="Arial"/>
          <w:i/>
          <w:sz w:val="16"/>
        </w:rPr>
        <w:t>AC overlay over J</w:t>
      </w:r>
      <w:r w:rsidRPr="002A7742">
        <w:rPr>
          <w:rFonts w:ascii="Arial" w:eastAsia="Arial" w:hAnsi="Arial" w:cs="Arial"/>
          <w:i/>
          <w:sz w:val="16"/>
        </w:rPr>
        <w:t>PCP</w:t>
      </w:r>
      <w:r>
        <w:rPr>
          <w:rFonts w:ascii="Arial" w:eastAsia="Arial" w:hAnsi="Arial" w:cs="Arial"/>
          <w:sz w:val="16"/>
        </w:rPr>
        <w:t xml:space="preserve"> section.</w:t>
      </w:r>
    </w:p>
    <w:p w14:paraId="0261D83D" w14:textId="5149101E" w:rsidR="006E1F7A" w:rsidRDefault="006E1F7A" w:rsidP="006E1F7A">
      <w:pPr>
        <w:rPr>
          <w:rFonts w:ascii="Arial" w:eastAsia="Arial" w:hAnsi="Arial" w:cs="Arial"/>
          <w:sz w:val="16"/>
        </w:rPr>
      </w:pPr>
      <w:r>
        <w:rPr>
          <w:rFonts w:ascii="Arial" w:eastAsia="Arial" w:hAnsi="Arial" w:cs="Arial"/>
          <w:sz w:val="16"/>
        </w:rPr>
        <w:t xml:space="preserve">Click to go to </w:t>
      </w:r>
      <w:hyperlink w:anchor="_For_each_AC_2" w:history="1">
        <w:r w:rsidRPr="006E1F7A">
          <w:rPr>
            <w:rStyle w:val="Hyperlink"/>
            <w:rFonts w:ascii="Arial" w:eastAsia="Arial" w:hAnsi="Arial" w:cs="Arial"/>
            <w:sz w:val="16"/>
          </w:rPr>
          <w:t>For each AC Layer</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7EB146A4" w14:textId="77777777" w:rsidR="006E1F7A" w:rsidRDefault="006E1F7A" w:rsidP="006E1F7A">
      <w:pPr>
        <w:pStyle w:val="Heading7"/>
        <w:numPr>
          <w:ilvl w:val="0"/>
          <w:numId w:val="0"/>
        </w:numPr>
        <w:ind w:left="1296"/>
        <w:rPr>
          <w:color w:val="auto"/>
          <w:sz w:val="22"/>
          <w:szCs w:val="22"/>
        </w:rPr>
      </w:pPr>
    </w:p>
    <w:p w14:paraId="71F00168" w14:textId="7AFC2344" w:rsidR="0092229B" w:rsidRPr="003265FB" w:rsidRDefault="007541BE" w:rsidP="00172E64">
      <w:pPr>
        <w:pStyle w:val="Heading7"/>
        <w:numPr>
          <w:ilvl w:val="6"/>
          <w:numId w:val="184"/>
        </w:numPr>
        <w:rPr>
          <w:color w:val="auto"/>
          <w:sz w:val="22"/>
          <w:szCs w:val="22"/>
        </w:rPr>
      </w:pPr>
      <w:r w:rsidRPr="003265FB">
        <w:rPr>
          <w:color w:val="auto"/>
          <w:sz w:val="22"/>
          <w:szCs w:val="22"/>
        </w:rPr>
        <w:t xml:space="preserve">Asphalt Layer: Enter the </w:t>
      </w:r>
      <w:r w:rsidR="00C9630F" w:rsidRPr="003265FB">
        <w:rPr>
          <w:color w:val="auto"/>
          <w:sz w:val="22"/>
          <w:szCs w:val="22"/>
        </w:rPr>
        <w:t>Surface Layer Thickness</w:t>
      </w:r>
    </w:p>
    <w:p w14:paraId="1F72DF0E" w14:textId="77777777" w:rsidR="0092229B" w:rsidRPr="003265FB" w:rsidRDefault="0092229B" w:rsidP="0092229B">
      <w:pPr>
        <w:rPr>
          <w:sz w:val="22"/>
          <w:szCs w:val="22"/>
        </w:rPr>
      </w:pPr>
    </w:p>
    <w:p w14:paraId="14E3E1B3" w14:textId="35E1D5C6" w:rsidR="0087120E" w:rsidRPr="003265FB" w:rsidRDefault="007541BE" w:rsidP="00172E64">
      <w:pPr>
        <w:pStyle w:val="Heading7"/>
        <w:numPr>
          <w:ilvl w:val="6"/>
          <w:numId w:val="184"/>
        </w:numPr>
        <w:rPr>
          <w:color w:val="auto"/>
          <w:sz w:val="22"/>
          <w:szCs w:val="22"/>
        </w:rPr>
      </w:pPr>
      <w:bookmarkStart w:id="283" w:name="_Mixture_Volumetrics:"/>
      <w:bookmarkStart w:id="284" w:name="mix_volumetrics"/>
      <w:bookmarkEnd w:id="283"/>
      <w:r w:rsidRPr="003265FB">
        <w:rPr>
          <w:color w:val="auto"/>
          <w:sz w:val="22"/>
          <w:szCs w:val="22"/>
        </w:rPr>
        <w:t>Mixture Volumetrics</w:t>
      </w:r>
      <w:bookmarkEnd w:id="284"/>
      <w:r w:rsidRPr="003265FB">
        <w:rPr>
          <w:color w:val="auto"/>
          <w:sz w:val="22"/>
          <w:szCs w:val="22"/>
        </w:rPr>
        <w:t xml:space="preserve"> </w:t>
      </w:r>
    </w:p>
    <w:p w14:paraId="291AA09B" w14:textId="77777777" w:rsidR="00D60424" w:rsidRDefault="00D60424" w:rsidP="00172E64">
      <w:pPr>
        <w:pStyle w:val="ListNumber"/>
        <w:numPr>
          <w:ilvl w:val="0"/>
          <w:numId w:val="127"/>
        </w:numPr>
        <w:tabs>
          <w:tab w:val="clear" w:pos="1152"/>
          <w:tab w:val="clear" w:pos="1872"/>
          <w:tab w:val="num" w:pos="1080"/>
        </w:tabs>
        <w:ind w:left="1080" w:hanging="1080"/>
        <w:jc w:val="both"/>
      </w:pPr>
      <w:r>
        <w:t xml:space="preserve">Air void (%): Depends on the mix, refer to </w:t>
      </w:r>
      <w:hyperlink w:anchor="_Aggregate_Gradation_and" w:history="1">
        <w:r w:rsidRPr="009237A5">
          <w:rPr>
            <w:rStyle w:val="Hyperlink"/>
          </w:rPr>
          <w:t>Aggregate Gradation and Volumetric Properties</w:t>
        </w:r>
      </w:hyperlink>
      <w:r>
        <w:t xml:space="preserve">.  These </w:t>
      </w:r>
      <w:r w:rsidRPr="007F3DEA">
        <w:t xml:space="preserve">should be used only if Level 1 data is not available. </w:t>
      </w:r>
      <w:r w:rsidRPr="006B087A">
        <w:rPr>
          <w:b/>
          <w:bCs/>
          <w:color w:val="A20000"/>
        </w:rPr>
        <w:t>These are sensitive inputs</w:t>
      </w:r>
      <w:r w:rsidRPr="007F3DEA">
        <w:t xml:space="preserve">, </w:t>
      </w:r>
      <w:r>
        <w:t>so</w:t>
      </w:r>
      <w:r w:rsidRPr="007F3DEA">
        <w:t xml:space="preserve"> </w:t>
      </w:r>
      <w:r>
        <w:t>L</w:t>
      </w:r>
      <w:r w:rsidRPr="007F3DEA">
        <w:t>evel 1 is recommended.</w:t>
      </w:r>
    </w:p>
    <w:p w14:paraId="57EFEE7A" w14:textId="33D2E053" w:rsidR="007541BE" w:rsidRDefault="0087120E" w:rsidP="00172E64">
      <w:pPr>
        <w:pStyle w:val="ListNumber"/>
        <w:numPr>
          <w:ilvl w:val="0"/>
          <w:numId w:val="127"/>
        </w:numPr>
        <w:tabs>
          <w:tab w:val="clear" w:pos="1152"/>
          <w:tab w:val="clear" w:pos="1872"/>
          <w:tab w:val="num" w:pos="1080"/>
        </w:tabs>
        <w:ind w:left="1080" w:hanging="1080"/>
        <w:jc w:val="both"/>
      </w:pPr>
      <w:r>
        <w:t xml:space="preserve">Effective binder content (%): Depends on the mix, refer to </w:t>
      </w:r>
      <w:hyperlink w:anchor="_Aggregate_Gradation_and" w:history="1">
        <w:r w:rsidR="009237A5" w:rsidRPr="009237A5">
          <w:rPr>
            <w:rStyle w:val="Hyperlink"/>
          </w:rPr>
          <w:t>Aggregate Gradation and Volumetric Properties</w:t>
        </w:r>
      </w:hyperlink>
      <w:r w:rsidR="007541BE">
        <w:t>.</w:t>
      </w:r>
      <w:r w:rsidR="007F3DEA">
        <w:t xml:space="preserve">  These </w:t>
      </w:r>
      <w:r w:rsidR="007F3DEA" w:rsidRPr="007F3DEA">
        <w:t xml:space="preserve">should be used only if Level 1 data is not available. </w:t>
      </w:r>
      <w:r w:rsidR="007F3DEA" w:rsidRPr="006B087A">
        <w:rPr>
          <w:b/>
          <w:bCs/>
          <w:color w:val="A20000"/>
        </w:rPr>
        <w:t>These are sensitive inputs</w:t>
      </w:r>
      <w:r w:rsidR="007F3DEA" w:rsidRPr="007F3DEA">
        <w:t xml:space="preserve">, </w:t>
      </w:r>
      <w:r w:rsidR="007F3DEA">
        <w:t>so</w:t>
      </w:r>
      <w:r w:rsidR="007F3DEA" w:rsidRPr="007F3DEA">
        <w:t xml:space="preserve"> </w:t>
      </w:r>
      <w:r w:rsidR="00C9630F">
        <w:t>L</w:t>
      </w:r>
      <w:r w:rsidR="007F3DEA" w:rsidRPr="007F3DEA">
        <w:t>evel 1 is recommended.</w:t>
      </w:r>
    </w:p>
    <w:p w14:paraId="2627058E" w14:textId="245454EA" w:rsidR="00D60424" w:rsidRDefault="00D60424" w:rsidP="00172E64">
      <w:pPr>
        <w:pStyle w:val="ListNumber"/>
        <w:numPr>
          <w:ilvl w:val="0"/>
          <w:numId w:val="127"/>
        </w:numPr>
        <w:tabs>
          <w:tab w:val="clear" w:pos="1152"/>
          <w:tab w:val="clear" w:pos="1872"/>
          <w:tab w:val="num" w:pos="1080"/>
        </w:tabs>
        <w:ind w:left="1080" w:hanging="1080"/>
        <w:jc w:val="both"/>
      </w:pPr>
      <w:bookmarkStart w:id="285" w:name="_Hlk67551261"/>
      <w:r>
        <w:t>Percent asphalt content by weight of mix (%).</w:t>
      </w:r>
    </w:p>
    <w:bookmarkEnd w:id="285"/>
    <w:p w14:paraId="66A44FC3" w14:textId="41FEC202" w:rsidR="00D60424" w:rsidRDefault="00D60424" w:rsidP="00172E64">
      <w:pPr>
        <w:pStyle w:val="ListNumber"/>
        <w:numPr>
          <w:ilvl w:val="0"/>
          <w:numId w:val="127"/>
        </w:numPr>
        <w:tabs>
          <w:tab w:val="clear" w:pos="1152"/>
          <w:tab w:val="clear" w:pos="1872"/>
          <w:tab w:val="num" w:pos="1080"/>
        </w:tabs>
        <w:ind w:left="1080" w:hanging="1080"/>
        <w:jc w:val="both"/>
      </w:pPr>
      <w:r>
        <w:t xml:space="preserve">Aggregate Gradation: Depends on the mix, refer to </w:t>
      </w:r>
      <w:hyperlink w:anchor="_Aggregate_Gradation_and" w:history="1">
        <w:r w:rsidRPr="009237A5">
          <w:rPr>
            <w:rStyle w:val="Hyperlink"/>
          </w:rPr>
          <w:t>Aggregate Gradation and Volumetric Properties</w:t>
        </w:r>
      </w:hyperlink>
      <w:r>
        <w:t>.</w:t>
      </w:r>
    </w:p>
    <w:p w14:paraId="54DF4A8E" w14:textId="19943AE6" w:rsidR="0087120E" w:rsidRDefault="0087120E" w:rsidP="00172E64">
      <w:pPr>
        <w:pStyle w:val="ListNumber"/>
        <w:numPr>
          <w:ilvl w:val="0"/>
          <w:numId w:val="127"/>
        </w:numPr>
        <w:tabs>
          <w:tab w:val="clear" w:pos="1152"/>
          <w:tab w:val="clear" w:pos="1872"/>
          <w:tab w:val="num" w:pos="1080"/>
        </w:tabs>
        <w:ind w:left="1080" w:hanging="1080"/>
        <w:jc w:val="both"/>
      </w:pPr>
      <w:r>
        <w:t>Poisson’s ratio: Use the de</w:t>
      </w:r>
      <w:r w:rsidRPr="00657043">
        <w:t>fault value.</w:t>
      </w:r>
      <w:r w:rsidR="009237A5" w:rsidRPr="00657043">
        <w:t xml:space="preserve">  Refer to </w:t>
      </w:r>
      <w:hyperlink w:anchor="_Poisson_Ratio" w:history="1">
        <w:r w:rsidR="009237A5" w:rsidRPr="00657043">
          <w:rPr>
            <w:rStyle w:val="Hyperlink"/>
          </w:rPr>
          <w:t>Poisson</w:t>
        </w:r>
        <w:r w:rsidR="00C9630F">
          <w:rPr>
            <w:rStyle w:val="Hyperlink"/>
          </w:rPr>
          <w:t>'s</w:t>
        </w:r>
        <w:r w:rsidR="009237A5" w:rsidRPr="00657043">
          <w:rPr>
            <w:rStyle w:val="Hyperlink"/>
          </w:rPr>
          <w:t xml:space="preserve"> Ratio</w:t>
        </w:r>
      </w:hyperlink>
      <w:r w:rsidR="009237A5" w:rsidRPr="00657043">
        <w:t>.</w:t>
      </w:r>
    </w:p>
    <w:p w14:paraId="45AE48BC" w14:textId="77777777" w:rsidR="00D60424" w:rsidRDefault="00D60424" w:rsidP="00172E64">
      <w:pPr>
        <w:pStyle w:val="ListNumber"/>
        <w:numPr>
          <w:ilvl w:val="0"/>
          <w:numId w:val="127"/>
        </w:numPr>
        <w:tabs>
          <w:tab w:val="clear" w:pos="1152"/>
          <w:tab w:val="clear" w:pos="1872"/>
          <w:tab w:val="num" w:pos="1080"/>
        </w:tabs>
        <w:spacing w:before="240"/>
        <w:ind w:left="1080" w:hanging="1080"/>
        <w:jc w:val="both"/>
      </w:pPr>
      <w:r>
        <w:t xml:space="preserve">Unit Weight: Use the default value.  Refer to </w:t>
      </w:r>
      <w:hyperlink w:anchor="_HMA_Unit_Weight" w:history="1">
        <w:r w:rsidRPr="009237A5">
          <w:rPr>
            <w:rStyle w:val="Hyperlink"/>
          </w:rPr>
          <w:t>HMA Unit Weight</w:t>
        </w:r>
      </w:hyperlink>
      <w:r>
        <w:t>.</w:t>
      </w:r>
    </w:p>
    <w:p w14:paraId="3DDF96F0" w14:textId="77777777" w:rsidR="00D60424" w:rsidRPr="00657043" w:rsidRDefault="00D60424" w:rsidP="00D60424">
      <w:pPr>
        <w:pStyle w:val="ListNumber"/>
        <w:tabs>
          <w:tab w:val="clear" w:pos="720"/>
          <w:tab w:val="clear" w:pos="1872"/>
        </w:tabs>
        <w:ind w:left="1080" w:firstLine="0"/>
        <w:jc w:val="both"/>
      </w:pPr>
    </w:p>
    <w:p w14:paraId="153C1CAE" w14:textId="77777777" w:rsidR="0092229B" w:rsidRPr="00657043" w:rsidRDefault="0092229B" w:rsidP="0092229B">
      <w:pPr>
        <w:pStyle w:val="Heading7"/>
        <w:numPr>
          <w:ilvl w:val="0"/>
          <w:numId w:val="0"/>
        </w:numPr>
        <w:ind w:left="1296"/>
        <w:rPr>
          <w:color w:val="auto"/>
        </w:rPr>
      </w:pPr>
    </w:p>
    <w:p w14:paraId="3E24F2B0" w14:textId="7251B402" w:rsidR="007F3DEA" w:rsidRDefault="007F3DEA" w:rsidP="00172E64">
      <w:pPr>
        <w:pStyle w:val="Heading7"/>
        <w:numPr>
          <w:ilvl w:val="6"/>
          <w:numId w:val="184"/>
        </w:numPr>
        <w:rPr>
          <w:color w:val="auto"/>
          <w:sz w:val="22"/>
          <w:szCs w:val="22"/>
        </w:rPr>
      </w:pPr>
      <w:bookmarkStart w:id="286" w:name="_Mechanical_Properties:"/>
      <w:bookmarkEnd w:id="286"/>
      <w:r w:rsidRPr="00657043">
        <w:rPr>
          <w:color w:val="auto"/>
          <w:sz w:val="22"/>
          <w:szCs w:val="22"/>
        </w:rPr>
        <w:t>Mechanical Properties</w:t>
      </w:r>
    </w:p>
    <w:p w14:paraId="2A7F1B9C" w14:textId="77777777" w:rsidR="00DE7B3D" w:rsidRDefault="00DE7B3D" w:rsidP="00DE7B3D">
      <w:pPr>
        <w:rPr>
          <w:rFonts w:ascii="Arial" w:eastAsia="Arial" w:hAnsi="Arial" w:cs="Arial"/>
          <w:sz w:val="16"/>
        </w:rPr>
      </w:pPr>
      <w:r>
        <w:rPr>
          <w:rFonts w:ascii="Arial" w:eastAsia="Arial" w:hAnsi="Arial" w:cs="Arial"/>
          <w:sz w:val="16"/>
        </w:rPr>
        <w:t xml:space="preserve">Click to go to </w:t>
      </w:r>
      <w:hyperlink w:anchor="_Thermal_Cracking" w:history="1">
        <w:r w:rsidRPr="00DE7B3D">
          <w:rPr>
            <w:rStyle w:val="Hyperlink"/>
            <w:rFonts w:ascii="Arial" w:eastAsia="Arial" w:hAnsi="Arial" w:cs="Arial"/>
            <w:sz w:val="16"/>
          </w:rPr>
          <w:t>Thermal Cracking</w:t>
        </w:r>
      </w:hyperlink>
      <w:r>
        <w:rPr>
          <w:rFonts w:ascii="Arial" w:eastAsia="Arial" w:hAnsi="Arial" w:cs="Arial"/>
          <w:sz w:val="16"/>
        </w:rPr>
        <w:t xml:space="preserve"> in the </w:t>
      </w:r>
      <w:r w:rsidRPr="00DE7B3D">
        <w:rPr>
          <w:rFonts w:ascii="Arial" w:eastAsia="Arial" w:hAnsi="Arial" w:cs="Arial"/>
          <w:i/>
          <w:sz w:val="16"/>
        </w:rPr>
        <w:t>AC overlay over J</w:t>
      </w:r>
      <w:r w:rsidRPr="002A7742">
        <w:rPr>
          <w:rFonts w:ascii="Arial" w:eastAsia="Arial" w:hAnsi="Arial" w:cs="Arial"/>
          <w:i/>
          <w:sz w:val="16"/>
        </w:rPr>
        <w:t>PCP</w:t>
      </w:r>
      <w:r>
        <w:rPr>
          <w:rFonts w:ascii="Arial" w:eastAsia="Arial" w:hAnsi="Arial" w:cs="Arial"/>
          <w:sz w:val="16"/>
        </w:rPr>
        <w:t xml:space="preserve"> section.</w:t>
      </w:r>
    </w:p>
    <w:p w14:paraId="6953090F" w14:textId="77777777" w:rsidR="00DE7B3D" w:rsidRPr="00DE7B3D" w:rsidRDefault="00DE7B3D" w:rsidP="00DE7B3D"/>
    <w:p w14:paraId="318F790A" w14:textId="015B0ED6" w:rsidR="0092229B" w:rsidRPr="00657043" w:rsidRDefault="0092229B" w:rsidP="0092229B">
      <w:pPr>
        <w:rPr>
          <w:rFonts w:ascii="Arial" w:hAnsi="Arial" w:cs="Arial"/>
          <w:sz w:val="22"/>
          <w:szCs w:val="22"/>
        </w:rPr>
      </w:pPr>
      <w:r w:rsidRPr="00657043">
        <w:rPr>
          <w:rFonts w:ascii="Arial" w:hAnsi="Arial" w:cs="Arial"/>
          <w:sz w:val="22"/>
          <w:szCs w:val="22"/>
        </w:rPr>
        <w:t xml:space="preserve">Refer to </w:t>
      </w:r>
      <w:hyperlink w:anchor="_Recommended_Thermal_Cracking" w:history="1">
        <w:r w:rsidRPr="00657043">
          <w:rPr>
            <w:rStyle w:val="Hyperlink"/>
            <w:rFonts w:ascii="Arial" w:hAnsi="Arial" w:cs="Arial"/>
            <w:sz w:val="22"/>
            <w:szCs w:val="22"/>
          </w:rPr>
          <w:t>Recommended Thermal Cracking Inputs for new HMA Layers</w:t>
        </w:r>
      </w:hyperlink>
      <w:r w:rsidR="00E403A5" w:rsidRPr="00E403A5">
        <w:rPr>
          <w:rStyle w:val="Hyperlink"/>
          <w:rFonts w:ascii="Arial" w:hAnsi="Arial" w:cs="Arial"/>
          <w:color w:val="auto"/>
          <w:sz w:val="22"/>
          <w:szCs w:val="22"/>
          <w:u w:val="none"/>
        </w:rPr>
        <w:t>.</w:t>
      </w:r>
    </w:p>
    <w:p w14:paraId="0D9618E3" w14:textId="77777777" w:rsidR="00687CFA" w:rsidRDefault="00687CFA" w:rsidP="00172E64">
      <w:pPr>
        <w:pStyle w:val="ListNumber"/>
        <w:numPr>
          <w:ilvl w:val="0"/>
          <w:numId w:val="115"/>
        </w:numPr>
        <w:tabs>
          <w:tab w:val="clear" w:pos="1152"/>
          <w:tab w:val="clear" w:pos="1872"/>
          <w:tab w:val="num" w:pos="1080"/>
        </w:tabs>
        <w:ind w:left="1080" w:hanging="1080"/>
        <w:jc w:val="both"/>
      </w:pPr>
      <w:r>
        <w:t>Asphalt Binder: Enter the PG binder.  For existing AC pavement that is not Superpave, assume PG 64-22.</w:t>
      </w:r>
    </w:p>
    <w:p w14:paraId="06A155E9" w14:textId="77777777" w:rsidR="00687CFA" w:rsidRDefault="00687CFA" w:rsidP="00172E64">
      <w:pPr>
        <w:pStyle w:val="ListNumber"/>
        <w:numPr>
          <w:ilvl w:val="0"/>
          <w:numId w:val="115"/>
        </w:numPr>
        <w:tabs>
          <w:tab w:val="clear" w:pos="1152"/>
          <w:tab w:val="clear" w:pos="1872"/>
          <w:tab w:val="num" w:pos="1080"/>
        </w:tabs>
        <w:ind w:left="1080" w:hanging="1080"/>
        <w:jc w:val="both"/>
      </w:pPr>
      <w:r>
        <w:t xml:space="preserve">Creep </w:t>
      </w:r>
      <w:r w:rsidRPr="00EC36E8">
        <w:t>Compliance: Use the default value.</w:t>
      </w:r>
    </w:p>
    <w:p w14:paraId="68234062" w14:textId="43739ECC" w:rsidR="007F3DEA" w:rsidRPr="00657043" w:rsidRDefault="007F3DEA" w:rsidP="00172E64">
      <w:pPr>
        <w:pStyle w:val="ListNumber"/>
        <w:numPr>
          <w:ilvl w:val="0"/>
          <w:numId w:val="115"/>
        </w:numPr>
        <w:tabs>
          <w:tab w:val="clear" w:pos="1152"/>
          <w:tab w:val="clear" w:pos="1872"/>
          <w:tab w:val="num" w:pos="1080"/>
        </w:tabs>
        <w:spacing w:before="240"/>
        <w:ind w:left="1080" w:hanging="1080"/>
        <w:jc w:val="both"/>
      </w:pPr>
      <w:r w:rsidRPr="00657043">
        <w:t>Dynamic Modulus (E*): Leave as Level</w:t>
      </w:r>
      <w:r w:rsidR="00C9630F">
        <w:t xml:space="preserve"> </w:t>
      </w:r>
      <w:r w:rsidRPr="00657043">
        <w:t>3</w:t>
      </w:r>
      <w:r w:rsidR="00CC6110" w:rsidRPr="00657043">
        <w:t>.  Click on the dropdown to the right</w:t>
      </w:r>
      <w:r w:rsidRPr="00657043">
        <w:t xml:space="preserve">, and adjust the gradation </w:t>
      </w:r>
      <w:r w:rsidR="00657043" w:rsidRPr="00657043">
        <w:t>to match the chosen mix type</w:t>
      </w:r>
      <w:r w:rsidR="00E55052" w:rsidRPr="00E55052">
        <w:t xml:space="preserve"> </w:t>
      </w:r>
      <w:r w:rsidR="00E55052">
        <w:t>if the provided gradation is not within 75% of the gradation as per</w:t>
      </w:r>
      <w:r w:rsidR="00657043" w:rsidRPr="00657043">
        <w:t xml:space="preserve"> </w:t>
      </w:r>
      <w:hyperlink w:anchor="_Aggregate_Gradation_and" w:history="1">
        <w:r w:rsidR="00657043" w:rsidRPr="00657043">
          <w:rPr>
            <w:rStyle w:val="Hyperlink"/>
          </w:rPr>
          <w:t>Aggregate Gradation and Volumetric Properties</w:t>
        </w:r>
      </w:hyperlink>
      <w:r w:rsidR="00657043" w:rsidRPr="00657043">
        <w:t>.</w:t>
      </w:r>
    </w:p>
    <w:p w14:paraId="2B69E1F2" w14:textId="459FCB81" w:rsidR="007F3DEA" w:rsidRDefault="00B13950" w:rsidP="00172E64">
      <w:pPr>
        <w:pStyle w:val="ListNumber"/>
        <w:numPr>
          <w:ilvl w:val="0"/>
          <w:numId w:val="115"/>
        </w:numPr>
        <w:tabs>
          <w:tab w:val="clear" w:pos="1152"/>
          <w:tab w:val="clear" w:pos="1872"/>
          <w:tab w:val="num" w:pos="1080"/>
        </w:tabs>
        <w:ind w:left="1080" w:hanging="1080"/>
        <w:jc w:val="both"/>
      </w:pPr>
      <w:r w:rsidRPr="00657043">
        <w:t xml:space="preserve">Select HMA E* </w:t>
      </w:r>
      <w:r w:rsidR="00C9630F" w:rsidRPr="00657043">
        <w:t>Predictive M</w:t>
      </w:r>
      <w:r w:rsidRPr="00657043">
        <w:t xml:space="preserve">odel: </w:t>
      </w:r>
      <w:r w:rsidR="007F3DEA" w:rsidRPr="00657043">
        <w:t>Use the defa</w:t>
      </w:r>
      <w:r w:rsidR="007F3DEA">
        <w:t xml:space="preserve">ult value. </w:t>
      </w:r>
      <w:r>
        <w:t xml:space="preserve"> Make G* false.</w:t>
      </w:r>
    </w:p>
    <w:p w14:paraId="180DBB70" w14:textId="77777777" w:rsidR="00B13950" w:rsidRDefault="00B13950" w:rsidP="00172E64">
      <w:pPr>
        <w:pStyle w:val="ListNumber"/>
        <w:numPr>
          <w:ilvl w:val="0"/>
          <w:numId w:val="115"/>
        </w:numPr>
        <w:tabs>
          <w:tab w:val="clear" w:pos="1152"/>
          <w:tab w:val="clear" w:pos="1872"/>
          <w:tab w:val="num" w:pos="1080"/>
        </w:tabs>
        <w:ind w:left="1080" w:hanging="1080"/>
        <w:jc w:val="both"/>
      </w:pPr>
      <w:r>
        <w:t>Reference Temperature: Use the default value.</w:t>
      </w:r>
    </w:p>
    <w:p w14:paraId="5F3BE51C" w14:textId="77777777" w:rsidR="00B13950" w:rsidRDefault="00B13950" w:rsidP="00172E64">
      <w:pPr>
        <w:pStyle w:val="ListNumber"/>
        <w:numPr>
          <w:ilvl w:val="0"/>
          <w:numId w:val="115"/>
        </w:numPr>
        <w:tabs>
          <w:tab w:val="clear" w:pos="1152"/>
          <w:tab w:val="clear" w:pos="1872"/>
          <w:tab w:val="num" w:pos="1080"/>
        </w:tabs>
        <w:ind w:left="1080" w:hanging="1080"/>
        <w:jc w:val="both"/>
      </w:pPr>
      <w:r>
        <w:t>Indirect Tensile Strength: Use the default value.</w:t>
      </w:r>
    </w:p>
    <w:p w14:paraId="54A7E506" w14:textId="77777777" w:rsidR="0092229B" w:rsidRPr="00EC36E8" w:rsidRDefault="0092229B" w:rsidP="0092229B">
      <w:pPr>
        <w:pStyle w:val="ListNumber"/>
        <w:tabs>
          <w:tab w:val="clear" w:pos="720"/>
          <w:tab w:val="clear" w:pos="1872"/>
        </w:tabs>
        <w:ind w:left="1152" w:firstLine="0"/>
        <w:jc w:val="both"/>
      </w:pPr>
    </w:p>
    <w:p w14:paraId="4809F6CA" w14:textId="77777777" w:rsidR="0092229B" w:rsidRDefault="00EC36E8" w:rsidP="00172E64">
      <w:pPr>
        <w:pStyle w:val="Heading7"/>
        <w:numPr>
          <w:ilvl w:val="6"/>
          <w:numId w:val="184"/>
        </w:numPr>
        <w:rPr>
          <w:color w:val="auto"/>
          <w:sz w:val="22"/>
          <w:szCs w:val="22"/>
        </w:rPr>
      </w:pPr>
      <w:bookmarkStart w:id="287" w:name="_Thermal"/>
      <w:bookmarkEnd w:id="287"/>
      <w:r w:rsidRPr="0092229B">
        <w:rPr>
          <w:color w:val="auto"/>
          <w:sz w:val="22"/>
          <w:szCs w:val="22"/>
        </w:rPr>
        <w:t>Thermal</w:t>
      </w:r>
      <w:r w:rsidR="00E63422" w:rsidRPr="0092229B">
        <w:rPr>
          <w:color w:val="auto"/>
          <w:sz w:val="22"/>
          <w:szCs w:val="22"/>
        </w:rPr>
        <w:t xml:space="preserve">  </w:t>
      </w:r>
    </w:p>
    <w:p w14:paraId="414D7488" w14:textId="77777777" w:rsidR="00DE7B3D" w:rsidRDefault="00DE7B3D" w:rsidP="00DE7B3D">
      <w:pPr>
        <w:rPr>
          <w:rFonts w:ascii="Arial" w:eastAsia="Arial" w:hAnsi="Arial" w:cs="Arial"/>
          <w:sz w:val="16"/>
        </w:rPr>
      </w:pPr>
      <w:r>
        <w:rPr>
          <w:rFonts w:ascii="Arial" w:eastAsia="Arial" w:hAnsi="Arial" w:cs="Arial"/>
          <w:sz w:val="16"/>
        </w:rPr>
        <w:t xml:space="preserve">Click to go to </w:t>
      </w:r>
      <w:hyperlink w:anchor="_Thermal_Cracking" w:history="1">
        <w:r w:rsidRPr="00DE7B3D">
          <w:rPr>
            <w:rStyle w:val="Hyperlink"/>
            <w:rFonts w:ascii="Arial" w:eastAsia="Arial" w:hAnsi="Arial" w:cs="Arial"/>
            <w:sz w:val="16"/>
          </w:rPr>
          <w:t>Thermal Cracking</w:t>
        </w:r>
      </w:hyperlink>
      <w:r>
        <w:rPr>
          <w:rFonts w:ascii="Arial" w:eastAsia="Arial" w:hAnsi="Arial" w:cs="Arial"/>
          <w:sz w:val="16"/>
        </w:rPr>
        <w:t xml:space="preserve"> in the </w:t>
      </w:r>
      <w:r w:rsidRPr="00DE7B3D">
        <w:rPr>
          <w:rFonts w:ascii="Arial" w:eastAsia="Arial" w:hAnsi="Arial" w:cs="Arial"/>
          <w:i/>
          <w:sz w:val="16"/>
        </w:rPr>
        <w:t>AC overlay over J</w:t>
      </w:r>
      <w:r w:rsidRPr="002A7742">
        <w:rPr>
          <w:rFonts w:ascii="Arial" w:eastAsia="Arial" w:hAnsi="Arial" w:cs="Arial"/>
          <w:i/>
          <w:sz w:val="16"/>
        </w:rPr>
        <w:t>PCP</w:t>
      </w:r>
      <w:r>
        <w:rPr>
          <w:rFonts w:ascii="Arial" w:eastAsia="Arial" w:hAnsi="Arial" w:cs="Arial"/>
          <w:sz w:val="16"/>
        </w:rPr>
        <w:t xml:space="preserve"> section.</w:t>
      </w:r>
    </w:p>
    <w:p w14:paraId="537C5461" w14:textId="77777777" w:rsidR="00EC36E8" w:rsidRPr="00EC36E8" w:rsidRDefault="00E63422" w:rsidP="0092229B">
      <w:pPr>
        <w:pStyle w:val="ListNumber"/>
        <w:tabs>
          <w:tab w:val="clear" w:pos="720"/>
          <w:tab w:val="clear" w:pos="1872"/>
        </w:tabs>
        <w:ind w:left="0" w:firstLine="0"/>
        <w:jc w:val="both"/>
      </w:pPr>
      <w:r w:rsidRPr="00E63422">
        <w:t>Refer to</w:t>
      </w:r>
      <w:r>
        <w:t xml:space="preserve"> </w:t>
      </w:r>
      <w:hyperlink w:anchor="_Recommended_Thermal_Cracking" w:history="1">
        <w:r w:rsidRPr="00E63422">
          <w:rPr>
            <w:rStyle w:val="Hyperlink"/>
          </w:rPr>
          <w:t>Recommended Thermal Cracking Inputs for new HMA Layers</w:t>
        </w:r>
      </w:hyperlink>
      <w:r>
        <w:t>.</w:t>
      </w:r>
    </w:p>
    <w:p w14:paraId="09AC481D" w14:textId="77777777" w:rsidR="00687CFA" w:rsidRPr="00EC36E8" w:rsidRDefault="00687CFA" w:rsidP="00172E64">
      <w:pPr>
        <w:pStyle w:val="ListNumber"/>
        <w:numPr>
          <w:ilvl w:val="0"/>
          <w:numId w:val="116"/>
        </w:numPr>
        <w:tabs>
          <w:tab w:val="clear" w:pos="1152"/>
          <w:tab w:val="clear" w:pos="1872"/>
          <w:tab w:val="num" w:pos="1080"/>
        </w:tabs>
        <w:ind w:left="1080" w:hanging="1080"/>
        <w:jc w:val="both"/>
      </w:pPr>
      <w:r>
        <w:t>Heat Capacity: Use the default value</w:t>
      </w:r>
    </w:p>
    <w:p w14:paraId="63BDF84F" w14:textId="77777777" w:rsidR="00EC36E8" w:rsidRDefault="00EC36E8" w:rsidP="00172E64">
      <w:pPr>
        <w:pStyle w:val="ListNumber"/>
        <w:numPr>
          <w:ilvl w:val="0"/>
          <w:numId w:val="116"/>
        </w:numPr>
        <w:tabs>
          <w:tab w:val="clear" w:pos="1152"/>
          <w:tab w:val="clear" w:pos="1872"/>
          <w:tab w:val="num" w:pos="1080"/>
        </w:tabs>
        <w:spacing w:before="240"/>
        <w:ind w:left="1080" w:hanging="1080"/>
        <w:jc w:val="both"/>
      </w:pPr>
      <w:r w:rsidRPr="00EC36E8">
        <w:t>Thermal Conductivity: Use the default value.</w:t>
      </w:r>
    </w:p>
    <w:p w14:paraId="38B7E26E" w14:textId="77777777" w:rsidR="00EC36E8" w:rsidRPr="00EC36E8" w:rsidRDefault="00EC36E8" w:rsidP="00172E64">
      <w:pPr>
        <w:pStyle w:val="ListNumber"/>
        <w:numPr>
          <w:ilvl w:val="0"/>
          <w:numId w:val="116"/>
        </w:numPr>
        <w:tabs>
          <w:tab w:val="clear" w:pos="1152"/>
          <w:tab w:val="clear" w:pos="1872"/>
          <w:tab w:val="num" w:pos="1080"/>
        </w:tabs>
        <w:ind w:left="1080" w:hanging="1080"/>
        <w:jc w:val="both"/>
      </w:pPr>
      <w:r>
        <w:t xml:space="preserve">Thermal Contraction: Use the default </w:t>
      </w:r>
      <w:r w:rsidR="00756E81">
        <w:t xml:space="preserve">calculated </w:t>
      </w:r>
      <w:r>
        <w:t>value.</w:t>
      </w:r>
    </w:p>
    <w:p w14:paraId="01766DA2" w14:textId="77777777" w:rsidR="00B01C2C" w:rsidRPr="00572F29" w:rsidRDefault="00B01C2C" w:rsidP="00B01C2C">
      <w:pPr>
        <w:pStyle w:val="ListNumber"/>
        <w:tabs>
          <w:tab w:val="clear" w:pos="720"/>
          <w:tab w:val="clear" w:pos="1872"/>
        </w:tabs>
        <w:jc w:val="both"/>
      </w:pPr>
    </w:p>
    <w:p w14:paraId="17BC7595" w14:textId="5FE0DB96" w:rsidR="00C9630F" w:rsidRDefault="00C9630F">
      <w:pPr>
        <w:rPr>
          <w:rFonts w:ascii="Arial" w:hAnsi="Arial"/>
          <w:b/>
          <w:i/>
          <w:sz w:val="22"/>
        </w:rPr>
      </w:pPr>
      <w:bookmarkStart w:id="288" w:name="_GAB"/>
      <w:bookmarkEnd w:id="288"/>
    </w:p>
    <w:p w14:paraId="375880E5" w14:textId="1DEFE8A3" w:rsidR="0092229B" w:rsidRDefault="00963EBE" w:rsidP="00172E64">
      <w:pPr>
        <w:pStyle w:val="Heading6"/>
        <w:numPr>
          <w:ilvl w:val="5"/>
          <w:numId w:val="184"/>
        </w:numPr>
        <w:ind w:left="1152"/>
        <w:rPr>
          <w:b/>
        </w:rPr>
      </w:pPr>
      <w:r w:rsidRPr="003265FB">
        <w:rPr>
          <w:b/>
        </w:rPr>
        <w:t xml:space="preserve">GAB </w:t>
      </w:r>
    </w:p>
    <w:p w14:paraId="5955AF00" w14:textId="77777777" w:rsidR="004D3C4C" w:rsidRDefault="004D3C4C" w:rsidP="004D3C4C">
      <w:pPr>
        <w:rPr>
          <w:rFonts w:ascii="Arial" w:eastAsia="Arial" w:hAnsi="Arial" w:cs="Arial"/>
          <w:sz w:val="16"/>
        </w:rPr>
      </w:pPr>
      <w:r>
        <w:rPr>
          <w:rFonts w:ascii="Arial" w:eastAsia="Arial" w:hAnsi="Arial" w:cs="Arial"/>
          <w:sz w:val="16"/>
        </w:rPr>
        <w:t xml:space="preserve">Click to go to </w:t>
      </w:r>
      <w:hyperlink w:anchor="_GAB_1" w:history="1">
        <w:r w:rsidRPr="004D3C4C">
          <w:rPr>
            <w:rStyle w:val="Hyperlink"/>
            <w:rFonts w:ascii="Arial" w:eastAsia="Arial" w:hAnsi="Arial" w:cs="Arial"/>
            <w:sz w:val="16"/>
          </w:rPr>
          <w:t>GAB</w:t>
        </w:r>
      </w:hyperlink>
      <w:r>
        <w:rPr>
          <w:rFonts w:ascii="Arial" w:eastAsia="Arial" w:hAnsi="Arial" w:cs="Arial"/>
          <w:sz w:val="16"/>
        </w:rPr>
        <w:t xml:space="preserve"> in the </w:t>
      </w:r>
      <w:r w:rsidRPr="002A7742">
        <w:rPr>
          <w:rFonts w:ascii="Arial" w:eastAsia="Arial" w:hAnsi="Arial" w:cs="Arial"/>
          <w:i/>
          <w:sz w:val="16"/>
        </w:rPr>
        <w:t>JPCP</w:t>
      </w:r>
      <w:r>
        <w:rPr>
          <w:rFonts w:ascii="Arial" w:eastAsia="Arial" w:hAnsi="Arial" w:cs="Arial"/>
          <w:sz w:val="16"/>
        </w:rPr>
        <w:t xml:space="preserve"> section.</w:t>
      </w:r>
    </w:p>
    <w:p w14:paraId="47278830" w14:textId="77777777" w:rsidR="00EC4F22" w:rsidRDefault="00EC4F22" w:rsidP="00EC4F22">
      <w:pPr>
        <w:rPr>
          <w:rFonts w:ascii="Arial" w:eastAsia="Arial" w:hAnsi="Arial" w:cs="Arial"/>
          <w:sz w:val="16"/>
        </w:rPr>
      </w:pPr>
      <w:r>
        <w:rPr>
          <w:rFonts w:ascii="Arial" w:eastAsia="Arial" w:hAnsi="Arial" w:cs="Arial"/>
          <w:sz w:val="16"/>
        </w:rPr>
        <w:t xml:space="preserve">Click to go to </w:t>
      </w:r>
      <w:hyperlink w:anchor="_GAB_2" w:history="1">
        <w:r w:rsidRPr="00EC4F22">
          <w:rPr>
            <w:rStyle w:val="Hyperlink"/>
            <w:rFonts w:ascii="Arial" w:eastAsia="Arial" w:hAnsi="Arial" w:cs="Arial"/>
            <w:sz w:val="16"/>
          </w:rPr>
          <w:t>GAB</w:t>
        </w:r>
      </w:hyperlink>
      <w:r>
        <w:rPr>
          <w:rFonts w:ascii="Arial" w:eastAsia="Arial" w:hAnsi="Arial" w:cs="Arial"/>
          <w:sz w:val="16"/>
        </w:rPr>
        <w:t xml:space="preserve"> in the </w:t>
      </w:r>
      <w:r w:rsidRPr="00EC4F22">
        <w:rPr>
          <w:rFonts w:ascii="Arial" w:eastAsia="Arial" w:hAnsi="Arial" w:cs="Arial"/>
          <w:i/>
          <w:sz w:val="16"/>
        </w:rPr>
        <w:t>CR</w:t>
      </w:r>
      <w:r w:rsidRPr="002A7742">
        <w:rPr>
          <w:rFonts w:ascii="Arial" w:eastAsia="Arial" w:hAnsi="Arial" w:cs="Arial"/>
          <w:i/>
          <w:sz w:val="16"/>
        </w:rPr>
        <w:t>CP</w:t>
      </w:r>
      <w:r>
        <w:rPr>
          <w:rFonts w:ascii="Arial" w:eastAsia="Arial" w:hAnsi="Arial" w:cs="Arial"/>
          <w:sz w:val="16"/>
        </w:rPr>
        <w:t xml:space="preserve"> section.</w:t>
      </w:r>
    </w:p>
    <w:p w14:paraId="52A07693" w14:textId="77777777" w:rsidR="00CA6888" w:rsidRDefault="00CA6888" w:rsidP="00CA6888">
      <w:pPr>
        <w:rPr>
          <w:rFonts w:ascii="Arial" w:eastAsia="Arial" w:hAnsi="Arial" w:cs="Arial"/>
          <w:sz w:val="16"/>
        </w:rPr>
      </w:pPr>
      <w:r>
        <w:rPr>
          <w:rFonts w:ascii="Arial" w:eastAsia="Arial" w:hAnsi="Arial" w:cs="Arial"/>
          <w:sz w:val="16"/>
        </w:rPr>
        <w:t xml:space="preserve">Click to go to </w:t>
      </w:r>
      <w:hyperlink w:anchor="_GAB_2" w:history="1">
        <w:r w:rsidRPr="00CA6888">
          <w:rPr>
            <w:rStyle w:val="Hyperlink"/>
            <w:rFonts w:ascii="Arial" w:eastAsia="Arial" w:hAnsi="Arial" w:cs="Arial"/>
            <w:sz w:val="16"/>
          </w:rPr>
          <w:t>GAB</w:t>
        </w:r>
      </w:hyperlink>
      <w:r>
        <w:rPr>
          <w:rFonts w:ascii="Arial" w:eastAsia="Arial" w:hAnsi="Arial" w:cs="Arial"/>
          <w:sz w:val="16"/>
        </w:rPr>
        <w:t xml:space="preserve"> in the </w:t>
      </w:r>
      <w:r w:rsidRPr="00DE7B3D">
        <w:rPr>
          <w:rFonts w:ascii="Arial" w:eastAsia="Arial" w:hAnsi="Arial" w:cs="Arial"/>
          <w:i/>
          <w:sz w:val="16"/>
        </w:rPr>
        <w:t>AC overlay over J</w:t>
      </w:r>
      <w:r w:rsidRPr="002A7742">
        <w:rPr>
          <w:rFonts w:ascii="Arial" w:eastAsia="Arial" w:hAnsi="Arial" w:cs="Arial"/>
          <w:i/>
          <w:sz w:val="16"/>
        </w:rPr>
        <w:t>PCP</w:t>
      </w:r>
      <w:r>
        <w:rPr>
          <w:rFonts w:ascii="Arial" w:eastAsia="Arial" w:hAnsi="Arial" w:cs="Arial"/>
          <w:sz w:val="16"/>
        </w:rPr>
        <w:t xml:space="preserve"> section.</w:t>
      </w:r>
    </w:p>
    <w:p w14:paraId="70F1B6C6" w14:textId="77777777" w:rsidR="003A4CF2" w:rsidRDefault="003A4CF2" w:rsidP="003A4CF2">
      <w:pPr>
        <w:rPr>
          <w:rFonts w:ascii="Arial" w:eastAsia="Arial" w:hAnsi="Arial" w:cs="Arial"/>
          <w:sz w:val="16"/>
        </w:rPr>
      </w:pPr>
      <w:r>
        <w:rPr>
          <w:rFonts w:ascii="Arial" w:eastAsia="Arial" w:hAnsi="Arial" w:cs="Arial"/>
          <w:sz w:val="16"/>
        </w:rPr>
        <w:t xml:space="preserve">Click to go to </w:t>
      </w:r>
      <w:hyperlink w:anchor="_GAB_3" w:history="1">
        <w:r w:rsidRPr="003A4CF2">
          <w:rPr>
            <w:rStyle w:val="Hyperlink"/>
            <w:rFonts w:ascii="Arial" w:eastAsia="Arial" w:hAnsi="Arial" w:cs="Arial"/>
            <w:sz w:val="16"/>
          </w:rPr>
          <w:t>GAB</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03FDADD0" w14:textId="77777777" w:rsidR="003A4CF2" w:rsidRDefault="003A4CF2" w:rsidP="00CA6888">
      <w:pPr>
        <w:rPr>
          <w:rFonts w:ascii="Arial" w:eastAsia="Arial" w:hAnsi="Arial" w:cs="Arial"/>
          <w:sz w:val="16"/>
        </w:rPr>
      </w:pPr>
    </w:p>
    <w:p w14:paraId="7BBBE0C4" w14:textId="77777777" w:rsidR="00ED3E37" w:rsidRDefault="00ED3E37" w:rsidP="0092229B">
      <w:pPr>
        <w:pStyle w:val="ListNumber"/>
        <w:tabs>
          <w:tab w:val="clear" w:pos="720"/>
          <w:tab w:val="clear" w:pos="1872"/>
        </w:tabs>
        <w:ind w:left="0" w:firstLine="0"/>
        <w:jc w:val="both"/>
      </w:pPr>
      <w:r>
        <w:t xml:space="preserve">In PMED, Graded Aggregate Base </w:t>
      </w:r>
      <w:r w:rsidRPr="000A6278">
        <w:t>(GAB) is non-stabilized base (gravel) A-1-a.</w:t>
      </w:r>
      <w:r>
        <w:t xml:space="preserve">  </w:t>
      </w:r>
    </w:p>
    <w:p w14:paraId="71AABB82" w14:textId="77777777" w:rsidR="00ED3E37" w:rsidRPr="00963EBE" w:rsidRDefault="00ED3E37" w:rsidP="0092229B">
      <w:pPr>
        <w:pStyle w:val="ListNumber"/>
        <w:tabs>
          <w:tab w:val="clear" w:pos="720"/>
          <w:tab w:val="clear" w:pos="1872"/>
        </w:tabs>
        <w:ind w:left="0" w:firstLine="0"/>
        <w:jc w:val="both"/>
      </w:pPr>
      <w:r w:rsidRPr="00963EBE">
        <w:t xml:space="preserve">For each </w:t>
      </w:r>
      <w:r w:rsidR="0071742C" w:rsidRPr="00963EBE">
        <w:t>GAB layer</w:t>
      </w:r>
      <w:r w:rsidR="00963EBE" w:rsidRPr="00963EBE">
        <w:t>, use the default values.</w:t>
      </w:r>
    </w:p>
    <w:p w14:paraId="3DE85141" w14:textId="77777777" w:rsidR="00B01C2C" w:rsidRDefault="00B01C2C" w:rsidP="00B01C2C"/>
    <w:p w14:paraId="1481FB2A" w14:textId="77777777" w:rsidR="0092229B" w:rsidRDefault="00963EBE" w:rsidP="00172E64">
      <w:pPr>
        <w:pStyle w:val="Heading6"/>
        <w:numPr>
          <w:ilvl w:val="5"/>
          <w:numId w:val="184"/>
        </w:numPr>
        <w:ind w:left="1152"/>
        <w:rPr>
          <w:b/>
        </w:rPr>
      </w:pPr>
      <w:bookmarkStart w:id="289" w:name="_Subgrade"/>
      <w:bookmarkEnd w:id="289"/>
      <w:r w:rsidRPr="003265FB">
        <w:rPr>
          <w:b/>
        </w:rPr>
        <w:t>Subgrade</w:t>
      </w:r>
    </w:p>
    <w:p w14:paraId="598D37D9" w14:textId="77777777" w:rsidR="004D3C4C" w:rsidRDefault="004D3C4C" w:rsidP="004D3C4C">
      <w:pPr>
        <w:rPr>
          <w:rFonts w:ascii="Arial" w:eastAsia="Arial" w:hAnsi="Arial" w:cs="Arial"/>
          <w:sz w:val="16"/>
        </w:rPr>
      </w:pPr>
      <w:r>
        <w:rPr>
          <w:rFonts w:ascii="Arial" w:eastAsia="Arial" w:hAnsi="Arial" w:cs="Arial"/>
          <w:sz w:val="16"/>
        </w:rPr>
        <w:t xml:space="preserve">Click to go to </w:t>
      </w:r>
      <w:hyperlink w:anchor="_Subgrade_1" w:history="1">
        <w:r w:rsidRPr="004D3C4C">
          <w:rPr>
            <w:rStyle w:val="Hyperlink"/>
            <w:rFonts w:ascii="Arial" w:eastAsia="Arial" w:hAnsi="Arial" w:cs="Arial"/>
            <w:sz w:val="16"/>
          </w:rPr>
          <w:t>Subgrade</w:t>
        </w:r>
      </w:hyperlink>
      <w:r>
        <w:rPr>
          <w:rFonts w:ascii="Arial" w:eastAsia="Arial" w:hAnsi="Arial" w:cs="Arial"/>
          <w:sz w:val="16"/>
        </w:rPr>
        <w:t xml:space="preserve"> in the </w:t>
      </w:r>
      <w:r w:rsidRPr="002A7742">
        <w:rPr>
          <w:rFonts w:ascii="Arial" w:eastAsia="Arial" w:hAnsi="Arial" w:cs="Arial"/>
          <w:i/>
          <w:sz w:val="16"/>
        </w:rPr>
        <w:t>JPCP</w:t>
      </w:r>
      <w:r>
        <w:rPr>
          <w:rFonts w:ascii="Arial" w:eastAsia="Arial" w:hAnsi="Arial" w:cs="Arial"/>
          <w:sz w:val="16"/>
        </w:rPr>
        <w:t xml:space="preserve"> section.</w:t>
      </w:r>
    </w:p>
    <w:p w14:paraId="19A46583" w14:textId="77777777" w:rsidR="00EC4F22" w:rsidRDefault="00EC4F22" w:rsidP="00EC4F22">
      <w:pPr>
        <w:rPr>
          <w:rFonts w:ascii="Arial" w:eastAsia="Arial" w:hAnsi="Arial" w:cs="Arial"/>
          <w:sz w:val="16"/>
        </w:rPr>
      </w:pPr>
      <w:r>
        <w:rPr>
          <w:rFonts w:ascii="Arial" w:eastAsia="Arial" w:hAnsi="Arial" w:cs="Arial"/>
          <w:sz w:val="16"/>
        </w:rPr>
        <w:t xml:space="preserve">Click to go to </w:t>
      </w:r>
      <w:hyperlink w:anchor="_Subgrade_2" w:history="1">
        <w:r w:rsidRPr="00EC4F22">
          <w:rPr>
            <w:rStyle w:val="Hyperlink"/>
            <w:rFonts w:ascii="Arial" w:eastAsia="Arial" w:hAnsi="Arial" w:cs="Arial"/>
            <w:sz w:val="16"/>
          </w:rPr>
          <w:t>Subgrade</w:t>
        </w:r>
      </w:hyperlink>
      <w:r>
        <w:rPr>
          <w:rFonts w:ascii="Arial" w:eastAsia="Arial" w:hAnsi="Arial" w:cs="Arial"/>
          <w:sz w:val="16"/>
        </w:rPr>
        <w:t xml:space="preserve"> in the </w:t>
      </w:r>
      <w:r w:rsidRPr="00EC4F22">
        <w:rPr>
          <w:rFonts w:ascii="Arial" w:eastAsia="Arial" w:hAnsi="Arial" w:cs="Arial"/>
          <w:i/>
          <w:sz w:val="16"/>
        </w:rPr>
        <w:t>CR</w:t>
      </w:r>
      <w:r w:rsidRPr="002A7742">
        <w:rPr>
          <w:rFonts w:ascii="Arial" w:eastAsia="Arial" w:hAnsi="Arial" w:cs="Arial"/>
          <w:i/>
          <w:sz w:val="16"/>
        </w:rPr>
        <w:t>CP</w:t>
      </w:r>
      <w:r>
        <w:rPr>
          <w:rFonts w:ascii="Arial" w:eastAsia="Arial" w:hAnsi="Arial" w:cs="Arial"/>
          <w:sz w:val="16"/>
        </w:rPr>
        <w:t xml:space="preserve"> section.</w:t>
      </w:r>
    </w:p>
    <w:p w14:paraId="52D718B9" w14:textId="77777777" w:rsidR="00CA6888" w:rsidRDefault="00CA6888" w:rsidP="00CA6888">
      <w:pPr>
        <w:rPr>
          <w:rFonts w:ascii="Arial" w:eastAsia="Arial" w:hAnsi="Arial" w:cs="Arial"/>
          <w:sz w:val="16"/>
        </w:rPr>
      </w:pPr>
      <w:r>
        <w:rPr>
          <w:rFonts w:ascii="Arial" w:eastAsia="Arial" w:hAnsi="Arial" w:cs="Arial"/>
          <w:sz w:val="16"/>
        </w:rPr>
        <w:t xml:space="preserve">Click to go to </w:t>
      </w:r>
      <w:hyperlink w:anchor="_Subgrade_2" w:history="1">
        <w:r w:rsidRPr="00CA6888">
          <w:rPr>
            <w:rStyle w:val="Hyperlink"/>
            <w:rFonts w:ascii="Arial" w:eastAsia="Arial" w:hAnsi="Arial" w:cs="Arial"/>
            <w:sz w:val="16"/>
          </w:rPr>
          <w:t>Subgrade</w:t>
        </w:r>
      </w:hyperlink>
      <w:r>
        <w:rPr>
          <w:rFonts w:ascii="Arial" w:eastAsia="Arial" w:hAnsi="Arial" w:cs="Arial"/>
          <w:sz w:val="16"/>
        </w:rPr>
        <w:t xml:space="preserve"> in the </w:t>
      </w:r>
      <w:r w:rsidRPr="00DE7B3D">
        <w:rPr>
          <w:rFonts w:ascii="Arial" w:eastAsia="Arial" w:hAnsi="Arial" w:cs="Arial"/>
          <w:i/>
          <w:sz w:val="16"/>
        </w:rPr>
        <w:t>AC overlay over J</w:t>
      </w:r>
      <w:r w:rsidRPr="002A7742">
        <w:rPr>
          <w:rFonts w:ascii="Arial" w:eastAsia="Arial" w:hAnsi="Arial" w:cs="Arial"/>
          <w:i/>
          <w:sz w:val="16"/>
        </w:rPr>
        <w:t>PCP</w:t>
      </w:r>
      <w:r>
        <w:rPr>
          <w:rFonts w:ascii="Arial" w:eastAsia="Arial" w:hAnsi="Arial" w:cs="Arial"/>
          <w:sz w:val="16"/>
        </w:rPr>
        <w:t xml:space="preserve"> section.</w:t>
      </w:r>
    </w:p>
    <w:p w14:paraId="20DC4BA6" w14:textId="77777777" w:rsidR="003A4CF2" w:rsidRDefault="003A4CF2" w:rsidP="003A4CF2">
      <w:pPr>
        <w:rPr>
          <w:rFonts w:ascii="Arial" w:eastAsia="Arial" w:hAnsi="Arial" w:cs="Arial"/>
          <w:sz w:val="16"/>
        </w:rPr>
      </w:pPr>
      <w:r>
        <w:rPr>
          <w:rFonts w:ascii="Arial" w:eastAsia="Arial" w:hAnsi="Arial" w:cs="Arial"/>
          <w:sz w:val="16"/>
        </w:rPr>
        <w:t xml:space="preserve">Click to go to </w:t>
      </w:r>
      <w:hyperlink w:anchor="_Subgrade_3" w:history="1">
        <w:r w:rsidRPr="003A4CF2">
          <w:rPr>
            <w:rStyle w:val="Hyperlink"/>
            <w:rFonts w:ascii="Arial" w:eastAsia="Arial" w:hAnsi="Arial" w:cs="Arial"/>
            <w:sz w:val="16"/>
          </w:rPr>
          <w:t>Subgrade</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3E4EDBFF" w14:textId="77777777" w:rsidR="00EC4F22" w:rsidRDefault="00EC4F22" w:rsidP="004D3C4C">
      <w:pPr>
        <w:rPr>
          <w:rFonts w:ascii="Arial" w:eastAsia="Arial" w:hAnsi="Arial" w:cs="Arial"/>
          <w:sz w:val="16"/>
        </w:rPr>
      </w:pPr>
    </w:p>
    <w:p w14:paraId="725AA46B" w14:textId="0B1F215B" w:rsidR="00963EBE" w:rsidRDefault="00963EBE" w:rsidP="0092229B">
      <w:pPr>
        <w:pStyle w:val="ListNumber"/>
        <w:tabs>
          <w:tab w:val="clear" w:pos="720"/>
          <w:tab w:val="clear" w:pos="1872"/>
        </w:tabs>
        <w:ind w:left="0" w:firstLine="0"/>
        <w:jc w:val="both"/>
      </w:pPr>
      <w:r>
        <w:t>In PMED, there must be at least one unbound layer in the analysis, so if there are only bound materials directly on the subgrade, then a 12</w:t>
      </w:r>
      <w:r w:rsidR="00C9630F">
        <w:t>"-</w:t>
      </w:r>
      <w:r>
        <w:t>subgrade layer should be inserted above the infinite subgrade layer.</w:t>
      </w:r>
      <w:r w:rsidR="003265FB">
        <w:t xml:space="preserve">  Refer to </w:t>
      </w:r>
      <w:hyperlink w:anchor="_Material_Properties_–" w:history="1">
        <w:r w:rsidR="003265FB" w:rsidRPr="003265FB">
          <w:rPr>
            <w:rStyle w:val="Hyperlink"/>
          </w:rPr>
          <w:t>Material Properties – Unbound Layers</w:t>
        </w:r>
      </w:hyperlink>
      <w:r w:rsidR="003265FB">
        <w:t>.</w:t>
      </w:r>
    </w:p>
    <w:p w14:paraId="1B90D428" w14:textId="77777777" w:rsidR="00C9630F" w:rsidRDefault="00C9630F" w:rsidP="00A478A0">
      <w:pPr>
        <w:pStyle w:val="ListNumber"/>
        <w:tabs>
          <w:tab w:val="clear" w:pos="720"/>
          <w:tab w:val="clear" w:pos="1872"/>
        </w:tabs>
        <w:spacing w:before="0"/>
        <w:ind w:left="0" w:firstLine="0"/>
        <w:jc w:val="both"/>
      </w:pPr>
    </w:p>
    <w:p w14:paraId="52E62272" w14:textId="444F4D04" w:rsidR="00963EBE" w:rsidRPr="0092229B" w:rsidRDefault="00963EBE" w:rsidP="00172E64">
      <w:pPr>
        <w:pStyle w:val="Heading7"/>
        <w:numPr>
          <w:ilvl w:val="6"/>
          <w:numId w:val="184"/>
        </w:numPr>
        <w:rPr>
          <w:color w:val="auto"/>
          <w:sz w:val="22"/>
          <w:szCs w:val="22"/>
        </w:rPr>
      </w:pPr>
      <w:r w:rsidRPr="0092229B">
        <w:rPr>
          <w:color w:val="auto"/>
          <w:sz w:val="22"/>
          <w:szCs w:val="22"/>
        </w:rPr>
        <w:t xml:space="preserve">For </w:t>
      </w:r>
      <w:r w:rsidR="00C9630F" w:rsidRPr="0092229B">
        <w:rPr>
          <w:color w:val="auto"/>
          <w:sz w:val="22"/>
          <w:szCs w:val="22"/>
        </w:rPr>
        <w:t>Each Subgrade La</w:t>
      </w:r>
      <w:r w:rsidRPr="0092229B">
        <w:rPr>
          <w:color w:val="auto"/>
          <w:sz w:val="22"/>
          <w:szCs w:val="22"/>
        </w:rPr>
        <w:t>yer</w:t>
      </w:r>
    </w:p>
    <w:p w14:paraId="11BE3A4A" w14:textId="77777777" w:rsidR="00687CFA" w:rsidRDefault="00687CFA" w:rsidP="00687CFA">
      <w:pPr>
        <w:pStyle w:val="ListNumber"/>
        <w:tabs>
          <w:tab w:val="clear" w:pos="720"/>
          <w:tab w:val="clear" w:pos="1872"/>
        </w:tabs>
        <w:ind w:left="0" w:firstLine="0"/>
        <w:jc w:val="both"/>
      </w:pPr>
      <w:r w:rsidRPr="00AE0B09">
        <w:rPr>
          <w:b/>
        </w:rPr>
        <w:t>Lateral Earth Coefficient:</w:t>
      </w:r>
      <w:r>
        <w:t xml:space="preserve"> Use the default.  Refer to </w:t>
      </w:r>
      <w:hyperlink w:anchor="_Coefficient_of_Lateral" w:history="1">
        <w:r w:rsidRPr="003265FB">
          <w:rPr>
            <w:rStyle w:val="Hyperlink"/>
          </w:rPr>
          <w:t>Coefficient of Lateral Pressure</w:t>
        </w:r>
      </w:hyperlink>
      <w:r>
        <w:rPr>
          <w:rStyle w:val="Hyperlink"/>
        </w:rPr>
        <w:t>.</w:t>
      </w:r>
    </w:p>
    <w:p w14:paraId="61C4565D" w14:textId="314A6BB2" w:rsidR="00963EBE" w:rsidRDefault="00AE0B09" w:rsidP="0092229B">
      <w:pPr>
        <w:pStyle w:val="ListNumber"/>
        <w:tabs>
          <w:tab w:val="clear" w:pos="720"/>
          <w:tab w:val="clear" w:pos="1872"/>
        </w:tabs>
        <w:ind w:left="0" w:firstLine="0"/>
        <w:jc w:val="both"/>
      </w:pPr>
      <w:r w:rsidRPr="00AE0B09">
        <w:rPr>
          <w:b/>
        </w:rPr>
        <w:t>Thickness:</w:t>
      </w:r>
      <w:r>
        <w:t xml:space="preserve"> </w:t>
      </w:r>
      <w:r w:rsidR="00963EBE">
        <w:t>Enter the layer thickness (12</w:t>
      </w:r>
      <w:r w:rsidR="00C9630F">
        <w:t>"</w:t>
      </w:r>
      <w:r w:rsidR="00963EBE">
        <w:t xml:space="preserve"> if not infinite).</w:t>
      </w:r>
    </w:p>
    <w:p w14:paraId="44321DA7" w14:textId="4BF8A3A3" w:rsidR="00963EBE" w:rsidRDefault="00963EBE" w:rsidP="0092229B">
      <w:pPr>
        <w:pStyle w:val="ListNumber"/>
        <w:tabs>
          <w:tab w:val="clear" w:pos="720"/>
          <w:tab w:val="clear" w:pos="1872"/>
        </w:tabs>
        <w:ind w:left="0" w:firstLine="0"/>
        <w:jc w:val="both"/>
      </w:pPr>
      <w:r w:rsidRPr="00AE0B09">
        <w:rPr>
          <w:b/>
        </w:rPr>
        <w:t xml:space="preserve">Poisson’s </w:t>
      </w:r>
      <w:r w:rsidR="00101E98">
        <w:rPr>
          <w:b/>
        </w:rPr>
        <w:t>R</w:t>
      </w:r>
      <w:r w:rsidRPr="00AE0B09">
        <w:rPr>
          <w:b/>
        </w:rPr>
        <w:t>atio:</w:t>
      </w:r>
      <w:r>
        <w:t xml:space="preserve"> Use the default value.</w:t>
      </w:r>
      <w:r w:rsidR="003265FB">
        <w:t xml:space="preserve">  Refer to </w:t>
      </w:r>
      <w:hyperlink w:anchor="_Poisson_Ratio_1" w:history="1">
        <w:r w:rsidR="003265FB" w:rsidRPr="003265FB">
          <w:rPr>
            <w:rStyle w:val="Hyperlink"/>
          </w:rPr>
          <w:t>Poisson</w:t>
        </w:r>
        <w:r w:rsidR="00C9630F">
          <w:rPr>
            <w:rStyle w:val="Hyperlink"/>
          </w:rPr>
          <w:t>'s</w:t>
        </w:r>
        <w:r w:rsidR="003265FB" w:rsidRPr="003265FB">
          <w:rPr>
            <w:rStyle w:val="Hyperlink"/>
          </w:rPr>
          <w:t xml:space="preserve"> Ratio</w:t>
        </w:r>
      </w:hyperlink>
      <w:r w:rsidR="00C9630F">
        <w:rPr>
          <w:rStyle w:val="Hyperlink"/>
        </w:rPr>
        <w:t>.</w:t>
      </w:r>
    </w:p>
    <w:p w14:paraId="45FB455B" w14:textId="745BACAC" w:rsidR="00963EBE" w:rsidRDefault="00963EBE" w:rsidP="0092229B">
      <w:pPr>
        <w:pStyle w:val="ListNumber"/>
        <w:tabs>
          <w:tab w:val="clear" w:pos="720"/>
          <w:tab w:val="clear" w:pos="1872"/>
        </w:tabs>
        <w:ind w:left="0" w:firstLine="0"/>
        <w:jc w:val="both"/>
        <w:rPr>
          <w:highlight w:val="yellow"/>
        </w:rPr>
      </w:pPr>
      <w:r w:rsidRPr="00AE0B09">
        <w:rPr>
          <w:b/>
        </w:rPr>
        <w:t>Resilient Modulus (M</w:t>
      </w:r>
      <w:r w:rsidRPr="00A478A0">
        <w:rPr>
          <w:b/>
          <w:vertAlign w:val="subscript"/>
        </w:rPr>
        <w:t>r</w:t>
      </w:r>
      <w:r w:rsidRPr="00AE0B09">
        <w:rPr>
          <w:b/>
        </w:rPr>
        <w:t>):</w:t>
      </w:r>
      <w:r>
        <w:t xml:space="preserve"> Refer to </w:t>
      </w:r>
      <w:hyperlink w:anchor="_Unbound_Materials_Properties" w:history="1">
        <w:r w:rsidR="003265FB" w:rsidRPr="003265FB">
          <w:rPr>
            <w:rStyle w:val="Hyperlink"/>
          </w:rPr>
          <w:t>Unbound Materials Properties</w:t>
        </w:r>
      </w:hyperlink>
      <w:r w:rsidR="00C9630F">
        <w:rPr>
          <w:rStyle w:val="Hyperlink"/>
        </w:rPr>
        <w:t>.</w:t>
      </w:r>
    </w:p>
    <w:p w14:paraId="4EF53ECF" w14:textId="191CC443" w:rsidR="00963EBE" w:rsidRPr="003265FB" w:rsidRDefault="00AE0B09" w:rsidP="00A478A0">
      <w:pPr>
        <w:pStyle w:val="Heading7"/>
        <w:numPr>
          <w:ilvl w:val="0"/>
          <w:numId w:val="0"/>
        </w:numPr>
        <w:spacing w:before="120"/>
        <w:ind w:left="1296" w:hanging="1296"/>
        <w:rPr>
          <w:b w:val="0"/>
          <w:color w:val="auto"/>
          <w:sz w:val="22"/>
          <w:szCs w:val="22"/>
        </w:rPr>
      </w:pPr>
      <w:r w:rsidRPr="003265FB">
        <w:rPr>
          <w:color w:val="auto"/>
          <w:sz w:val="22"/>
          <w:szCs w:val="22"/>
        </w:rPr>
        <w:t>Gradation:</w:t>
      </w:r>
      <w:r w:rsidR="00CD2A1A" w:rsidRPr="003265FB">
        <w:rPr>
          <w:color w:val="auto"/>
          <w:sz w:val="22"/>
          <w:szCs w:val="22"/>
        </w:rPr>
        <w:t xml:space="preserve"> </w:t>
      </w:r>
      <w:hyperlink w:anchor="_Unbound_Materials_Properties" w:history="1">
        <w:r w:rsidR="003265FB" w:rsidRPr="003265FB">
          <w:rPr>
            <w:rStyle w:val="Hyperlink"/>
            <w:b w:val="0"/>
            <w:sz w:val="22"/>
            <w:szCs w:val="22"/>
          </w:rPr>
          <w:t>Unbound Materials Properties</w:t>
        </w:r>
      </w:hyperlink>
      <w:r w:rsidR="00C9630F">
        <w:rPr>
          <w:rStyle w:val="Hyperlink"/>
          <w:b w:val="0"/>
          <w:sz w:val="22"/>
          <w:szCs w:val="22"/>
        </w:rPr>
        <w:t>.</w:t>
      </w:r>
    </w:p>
    <w:p w14:paraId="31775AA0" w14:textId="77777777" w:rsidR="00CB2D90" w:rsidRPr="00EC36E8" w:rsidRDefault="00AE0B09" w:rsidP="00172E64">
      <w:pPr>
        <w:pStyle w:val="ListNumber"/>
        <w:numPr>
          <w:ilvl w:val="0"/>
          <w:numId w:val="117"/>
        </w:numPr>
        <w:tabs>
          <w:tab w:val="clear" w:pos="1152"/>
          <w:tab w:val="clear" w:pos="1872"/>
          <w:tab w:val="num" w:pos="1080"/>
        </w:tabs>
        <w:spacing w:before="240"/>
        <w:ind w:left="1080" w:hanging="1080"/>
        <w:jc w:val="both"/>
      </w:pPr>
      <w:r>
        <w:t xml:space="preserve">Use lab results to adjust the gradation.  </w:t>
      </w:r>
    </w:p>
    <w:p w14:paraId="4ADC7448" w14:textId="77777777" w:rsidR="00CB2D90" w:rsidRDefault="00CB2D90" w:rsidP="00172E64">
      <w:pPr>
        <w:pStyle w:val="ListNumber"/>
        <w:numPr>
          <w:ilvl w:val="0"/>
          <w:numId w:val="117"/>
        </w:numPr>
        <w:tabs>
          <w:tab w:val="clear" w:pos="1152"/>
          <w:tab w:val="clear" w:pos="1872"/>
          <w:tab w:val="num" w:pos="1080"/>
        </w:tabs>
        <w:ind w:left="1080" w:hanging="1080"/>
        <w:jc w:val="both"/>
      </w:pPr>
      <w:r>
        <w:t xml:space="preserve">Adjust the LL and PI from the lab results.  </w:t>
      </w:r>
      <w:r w:rsidR="00CD2A1A">
        <w:t>If the provided defaults are within 75% of the lab results, it is acceptable to use the defaults.</w:t>
      </w:r>
      <w:r>
        <w:t xml:space="preserve">  </w:t>
      </w:r>
    </w:p>
    <w:p w14:paraId="0665C4ED" w14:textId="77777777" w:rsidR="00AE0B09" w:rsidRDefault="00CB2D90" w:rsidP="00172E64">
      <w:pPr>
        <w:pStyle w:val="ListNumber"/>
        <w:numPr>
          <w:ilvl w:val="0"/>
          <w:numId w:val="117"/>
        </w:numPr>
        <w:tabs>
          <w:tab w:val="clear" w:pos="1152"/>
          <w:tab w:val="clear" w:pos="1872"/>
          <w:tab w:val="num" w:pos="1080"/>
        </w:tabs>
        <w:ind w:left="1080" w:hanging="1080"/>
        <w:jc w:val="both"/>
      </w:pPr>
      <w:r>
        <w:t>Layer Compacted</w:t>
      </w:r>
      <w:r w:rsidR="00AE0B09">
        <w:t xml:space="preserve">: </w:t>
      </w:r>
      <w:r>
        <w:t>Ensure that the check box is checked yes.</w:t>
      </w:r>
    </w:p>
    <w:p w14:paraId="0940789D" w14:textId="77777777" w:rsidR="00F771B4" w:rsidRPr="00EC36E8" w:rsidRDefault="00F771B4" w:rsidP="00172E64">
      <w:pPr>
        <w:pStyle w:val="ListNumber"/>
        <w:numPr>
          <w:ilvl w:val="0"/>
          <w:numId w:val="117"/>
        </w:numPr>
        <w:tabs>
          <w:tab w:val="clear" w:pos="1152"/>
          <w:tab w:val="clear" w:pos="1872"/>
          <w:tab w:val="num" w:pos="1080"/>
        </w:tabs>
        <w:ind w:left="1080" w:hanging="1080"/>
        <w:jc w:val="both"/>
      </w:pPr>
      <w:r>
        <w:t>All other values: Use the default value.</w:t>
      </w:r>
    </w:p>
    <w:p w14:paraId="3E5D8345" w14:textId="77777777" w:rsidR="00963EBE" w:rsidRPr="00A478A0" w:rsidRDefault="00963EBE" w:rsidP="00A478A0"/>
    <w:p w14:paraId="2481B0C1" w14:textId="77777777" w:rsidR="00B01C2C" w:rsidRPr="00572F29" w:rsidRDefault="00B01C2C" w:rsidP="00172E64">
      <w:pPr>
        <w:pStyle w:val="Heading4"/>
        <w:numPr>
          <w:ilvl w:val="3"/>
          <w:numId w:val="184"/>
        </w:numPr>
        <w:ind w:left="864"/>
      </w:pPr>
      <w:bookmarkStart w:id="290" w:name="_Jointed_Plain_Concrete"/>
      <w:bookmarkEnd w:id="290"/>
      <w:r w:rsidRPr="00572F29">
        <w:t>Jointed Plain Concrete Pavement</w:t>
      </w:r>
    </w:p>
    <w:p w14:paraId="1E66A8EB" w14:textId="77777777" w:rsidR="002A7742" w:rsidRPr="002A7742" w:rsidRDefault="002A7742" w:rsidP="00E71B93">
      <w:pPr>
        <w:pStyle w:val="ListBullet"/>
      </w:pPr>
    </w:p>
    <w:p w14:paraId="636AF9D0" w14:textId="1CAA6F72" w:rsidR="002A7742" w:rsidRPr="002A7742" w:rsidRDefault="002A7742" w:rsidP="00172E64">
      <w:pPr>
        <w:pStyle w:val="Heading5"/>
        <w:numPr>
          <w:ilvl w:val="4"/>
          <w:numId w:val="184"/>
        </w:numPr>
        <w:ind w:left="1098" w:hanging="1098"/>
      </w:pPr>
      <w:r w:rsidRPr="002A7742">
        <w:t>Open PMED</w:t>
      </w:r>
    </w:p>
    <w:p w14:paraId="19FE947B" w14:textId="7B7A08E7" w:rsidR="008D583C" w:rsidRPr="00572F29" w:rsidRDefault="00101E98" w:rsidP="008D583C">
      <w:pPr>
        <w:pStyle w:val="ListNumber"/>
        <w:tabs>
          <w:tab w:val="clear" w:pos="720"/>
          <w:tab w:val="clear" w:pos="1872"/>
        </w:tabs>
        <w:ind w:left="0" w:firstLine="0"/>
        <w:jc w:val="both"/>
      </w:pPr>
      <w:r w:rsidRPr="002A7742">
        <w:rPr>
          <w:noProof/>
        </w:rPr>
        <w:drawing>
          <wp:anchor distT="0" distB="0" distL="114300" distR="114300" simplePos="0" relativeHeight="251838976" behindDoc="0" locked="0" layoutInCell="1" allowOverlap="1" wp14:anchorId="322737BE" wp14:editId="7D9482F6">
            <wp:simplePos x="0" y="0"/>
            <wp:positionH relativeFrom="column">
              <wp:posOffset>812800</wp:posOffset>
            </wp:positionH>
            <wp:positionV relativeFrom="paragraph">
              <wp:posOffset>610235</wp:posOffset>
            </wp:positionV>
            <wp:extent cx="3785616" cy="1408176"/>
            <wp:effectExtent l="0" t="0" r="5715" b="1905"/>
            <wp:wrapTopAndBottom/>
            <wp:docPr id="31" name="Picture 194"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94" descr="Pavement design PMED screen shot"/>
                    <pic:cNvPicPr>
                      <a:picLocks noChangeAspect="1" noChangeArrowheads="1"/>
                    </pic:cNvPicPr>
                  </pic:nvPicPr>
                  <pic:blipFill>
                    <a:blip r:embed="rId181" cstate="print">
                      <a:extLst>
                        <a:ext uri="{28A0092B-C50C-407E-A947-70E740481C1C}">
                          <a14:useLocalDpi xmlns:a14="http://schemas.microsoft.com/office/drawing/2010/main" val="0"/>
                        </a:ext>
                      </a:extLst>
                    </a:blip>
                    <a:srcRect t="9605" r="64487" b="69508"/>
                    <a:stretch>
                      <a:fillRect/>
                    </a:stretch>
                  </pic:blipFill>
                  <pic:spPr bwMode="auto">
                    <a:xfrm>
                      <a:off x="0" y="0"/>
                      <a:ext cx="3785616" cy="140817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01C2C" w:rsidRPr="002A7742">
        <w:t>Open PMED and create a new project or open an existing one (as appropriate).  Input the General Information as required.  The “Design Type” shall be New Pavement, and the “Pavement Type” shall be Jointed Plain Concrete Pavement.</w:t>
      </w:r>
      <w:r w:rsidR="008D583C">
        <w:t xml:space="preserve"> </w:t>
      </w:r>
      <w:r w:rsidR="008D583C" w:rsidRPr="008D583C">
        <w:t xml:space="preserve"> </w:t>
      </w:r>
    </w:p>
    <w:p w14:paraId="675A7232" w14:textId="77777777" w:rsidR="002A7742" w:rsidRDefault="002A7742" w:rsidP="00172E64">
      <w:pPr>
        <w:pStyle w:val="Heading5"/>
        <w:numPr>
          <w:ilvl w:val="4"/>
          <w:numId w:val="184"/>
        </w:numPr>
        <w:tabs>
          <w:tab w:val="left" w:pos="1800"/>
        </w:tabs>
        <w:ind w:left="1098" w:hanging="1098"/>
      </w:pPr>
      <w:bookmarkStart w:id="291" w:name="_Performance_Criteria"/>
      <w:bookmarkEnd w:id="291"/>
      <w:r w:rsidRPr="002A7742">
        <w:lastRenderedPageBreak/>
        <w:t>Performance Criteria</w:t>
      </w:r>
    </w:p>
    <w:p w14:paraId="13DBDDCE" w14:textId="61F83BE8" w:rsidR="00BA6982" w:rsidRDefault="00BA6982" w:rsidP="00BA6982">
      <w:pPr>
        <w:rPr>
          <w:rFonts w:ascii="Arial" w:eastAsia="Arial" w:hAnsi="Arial" w:cs="Arial"/>
          <w:sz w:val="16"/>
        </w:rPr>
      </w:pPr>
      <w:r>
        <w:rPr>
          <w:rFonts w:ascii="Arial" w:eastAsia="Arial" w:hAnsi="Arial" w:cs="Arial"/>
          <w:sz w:val="16"/>
        </w:rPr>
        <w:t xml:space="preserve">Click to go to </w:t>
      </w:r>
      <w:hyperlink w:anchor="_Performance_Criteria_1" w:history="1">
        <w:r w:rsidRPr="00BA6982">
          <w:rPr>
            <w:rStyle w:val="Hyperlink"/>
            <w:rFonts w:ascii="Arial" w:eastAsia="Arial" w:hAnsi="Arial" w:cs="Arial"/>
            <w:sz w:val="16"/>
          </w:rPr>
          <w:t>Performance Criteria</w:t>
        </w:r>
      </w:hyperlink>
      <w:r>
        <w:rPr>
          <w:rFonts w:ascii="Arial" w:eastAsia="Arial" w:hAnsi="Arial" w:cs="Arial"/>
          <w:sz w:val="16"/>
        </w:rPr>
        <w:t xml:space="preserve"> in the </w:t>
      </w:r>
      <w:r w:rsidRPr="00DE4165">
        <w:rPr>
          <w:rFonts w:ascii="Arial" w:eastAsia="Arial" w:hAnsi="Arial" w:cs="Arial"/>
          <w:i/>
          <w:sz w:val="16"/>
        </w:rPr>
        <w:t xml:space="preserve">AC overlay over </w:t>
      </w:r>
      <w:r w:rsidR="00EF3C70" w:rsidRPr="00DE4165">
        <w:rPr>
          <w:rFonts w:ascii="Arial" w:eastAsia="Arial" w:hAnsi="Arial" w:cs="Arial"/>
          <w:i/>
          <w:sz w:val="16"/>
        </w:rPr>
        <w:t>J</w:t>
      </w:r>
      <w:r w:rsidR="00E403A5">
        <w:rPr>
          <w:rFonts w:ascii="Arial" w:eastAsia="Arial" w:hAnsi="Arial" w:cs="Arial"/>
          <w:i/>
          <w:sz w:val="16"/>
        </w:rPr>
        <w:t>P</w:t>
      </w:r>
      <w:r w:rsidRPr="00DE4165">
        <w:rPr>
          <w:rFonts w:ascii="Arial" w:eastAsia="Arial" w:hAnsi="Arial" w:cs="Arial"/>
          <w:i/>
          <w:sz w:val="16"/>
        </w:rPr>
        <w:t>C</w:t>
      </w:r>
      <w:r w:rsidRPr="002A7742">
        <w:rPr>
          <w:rFonts w:ascii="Arial" w:eastAsia="Arial" w:hAnsi="Arial" w:cs="Arial"/>
          <w:i/>
          <w:sz w:val="16"/>
        </w:rPr>
        <w:t>P</w:t>
      </w:r>
      <w:r>
        <w:rPr>
          <w:rFonts w:ascii="Arial" w:eastAsia="Arial" w:hAnsi="Arial" w:cs="Arial"/>
          <w:sz w:val="16"/>
        </w:rPr>
        <w:t xml:space="preserve"> section.</w:t>
      </w:r>
    </w:p>
    <w:p w14:paraId="74D8E20D" w14:textId="77777777" w:rsidR="000A6278" w:rsidRDefault="00B01C2C" w:rsidP="000A6278">
      <w:pPr>
        <w:pStyle w:val="ListNumber"/>
        <w:tabs>
          <w:tab w:val="clear" w:pos="720"/>
          <w:tab w:val="clear" w:pos="1872"/>
        </w:tabs>
        <w:ind w:left="0" w:firstLine="0"/>
        <w:jc w:val="both"/>
      </w:pPr>
      <w:r w:rsidRPr="002A7742">
        <w:t xml:space="preserve">Input the Design Life, Performance Criteria and Reliability as per </w:t>
      </w:r>
      <w:hyperlink w:anchor="_New,_Rehabilitation_and" w:history="1">
        <w:r w:rsidRPr="002A7742">
          <w:rPr>
            <w:rStyle w:val="Hyperlink"/>
          </w:rPr>
          <w:t>New, Rehabilitation and Preservation Pavement Design</w:t>
        </w:r>
      </w:hyperlink>
      <w:r w:rsidRPr="002A7742">
        <w:t xml:space="preserve">.  </w:t>
      </w:r>
    </w:p>
    <w:p w14:paraId="3F651218" w14:textId="77777777" w:rsidR="00B01C2C" w:rsidRPr="002A7742" w:rsidRDefault="00B01C2C" w:rsidP="002A7742">
      <w:pPr>
        <w:pStyle w:val="ListNumber"/>
        <w:tabs>
          <w:tab w:val="clear" w:pos="720"/>
          <w:tab w:val="clear" w:pos="1872"/>
        </w:tabs>
        <w:ind w:left="0" w:firstLine="0"/>
        <w:jc w:val="both"/>
      </w:pPr>
      <w:r w:rsidRPr="002A7742">
        <w:t>Until unique criteria are developed</w:t>
      </w:r>
      <w:r w:rsidR="000D7A07">
        <w:t xml:space="preserve"> for JPCP transverse cracking and Mean joint faulting</w:t>
      </w:r>
      <w:r w:rsidRPr="002A7742">
        <w:t>, use the default criteria given in PMED.</w:t>
      </w:r>
    </w:p>
    <w:p w14:paraId="237408D9" w14:textId="77777777" w:rsidR="00B01C2C" w:rsidRPr="002A7742" w:rsidRDefault="00B01C2C" w:rsidP="00A478A0">
      <w:pPr>
        <w:pStyle w:val="ListNumber"/>
        <w:tabs>
          <w:tab w:val="clear" w:pos="720"/>
          <w:tab w:val="clear" w:pos="1872"/>
          <w:tab w:val="num" w:pos="1170"/>
        </w:tabs>
        <w:spacing w:before="0"/>
        <w:ind w:left="720" w:firstLine="0"/>
        <w:jc w:val="both"/>
      </w:pPr>
    </w:p>
    <w:p w14:paraId="3584366A" w14:textId="012A96B9" w:rsidR="00B01C2C" w:rsidRPr="002A7742" w:rsidRDefault="00B01C2C" w:rsidP="00A478A0">
      <w:pPr>
        <w:pStyle w:val="ListNumber"/>
        <w:tabs>
          <w:tab w:val="clear" w:pos="720"/>
          <w:tab w:val="clear" w:pos="1872"/>
        </w:tabs>
        <w:ind w:hanging="1872"/>
        <w:jc w:val="center"/>
      </w:pPr>
      <w:r w:rsidRPr="002A7742">
        <w:rPr>
          <w:noProof/>
        </w:rPr>
        <w:drawing>
          <wp:inline distT="0" distB="0" distL="0" distR="0" wp14:anchorId="68E71660" wp14:editId="33F105D8">
            <wp:extent cx="3849187" cy="1259457"/>
            <wp:effectExtent l="19050" t="0" r="0" b="0"/>
            <wp:docPr id="97" name="Picture 245"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45" descr="Pavement design PMED screen shot"/>
                    <pic:cNvPicPr>
                      <a:picLocks noChangeAspect="1" noChangeArrowheads="1"/>
                    </pic:cNvPicPr>
                  </pic:nvPicPr>
                  <pic:blipFill>
                    <a:blip r:embed="rId188" cstate="print"/>
                    <a:srcRect l="32840" r="14792" b="72693"/>
                    <a:stretch>
                      <a:fillRect/>
                    </a:stretch>
                  </pic:blipFill>
                  <pic:spPr bwMode="auto">
                    <a:xfrm>
                      <a:off x="0" y="0"/>
                      <a:ext cx="3851986" cy="1260373"/>
                    </a:xfrm>
                    <a:prstGeom prst="rect">
                      <a:avLst/>
                    </a:prstGeom>
                    <a:noFill/>
                    <a:ln w="9525">
                      <a:noFill/>
                      <a:miter lim="800000"/>
                      <a:headEnd/>
                      <a:tailEnd/>
                    </a:ln>
                  </pic:spPr>
                </pic:pic>
              </a:graphicData>
            </a:graphic>
          </wp:inline>
        </w:drawing>
      </w:r>
    </w:p>
    <w:p w14:paraId="2C284239" w14:textId="77777777" w:rsidR="00B01C2C" w:rsidRPr="002A7742" w:rsidRDefault="00B01C2C" w:rsidP="00B01C2C">
      <w:pPr>
        <w:pStyle w:val="Heading4"/>
        <w:numPr>
          <w:ilvl w:val="0"/>
          <w:numId w:val="0"/>
        </w:numPr>
        <w:ind w:left="864"/>
      </w:pPr>
    </w:p>
    <w:p w14:paraId="1F8143A6" w14:textId="77777777" w:rsidR="002A7742" w:rsidRPr="002A7742" w:rsidRDefault="002A7742" w:rsidP="00172E64">
      <w:pPr>
        <w:pStyle w:val="Heading5"/>
        <w:numPr>
          <w:ilvl w:val="4"/>
          <w:numId w:val="184"/>
        </w:numPr>
        <w:tabs>
          <w:tab w:val="left" w:pos="1800"/>
        </w:tabs>
        <w:ind w:left="1098" w:hanging="1098"/>
      </w:pPr>
      <w:bookmarkStart w:id="292" w:name="_Traffic"/>
      <w:bookmarkEnd w:id="292"/>
      <w:r w:rsidRPr="002A7742">
        <w:t>Traffic</w:t>
      </w:r>
    </w:p>
    <w:p w14:paraId="3D0D00F6" w14:textId="77777777" w:rsidR="00CC4472" w:rsidRDefault="00CC4472" w:rsidP="00CC4472">
      <w:pPr>
        <w:pStyle w:val="ListNumber"/>
        <w:tabs>
          <w:tab w:val="clear" w:pos="720"/>
          <w:tab w:val="clear" w:pos="1872"/>
        </w:tabs>
        <w:ind w:left="0" w:firstLine="0"/>
      </w:pPr>
      <w:r>
        <w:t xml:space="preserve">Refer to </w:t>
      </w:r>
      <w:hyperlink w:anchor="_Traffic_1" w:history="1">
        <w:r w:rsidRPr="00CC4472">
          <w:rPr>
            <w:rStyle w:val="Hyperlink"/>
          </w:rPr>
          <w:t>Traffic</w:t>
        </w:r>
      </w:hyperlink>
      <w:r>
        <w:t xml:space="preserve"> from the </w:t>
      </w:r>
      <w:r w:rsidRPr="002A7742">
        <w:rPr>
          <w:i/>
        </w:rPr>
        <w:t>Flexible Pavement</w:t>
      </w:r>
      <w:r>
        <w:t xml:space="preserve"> section.</w:t>
      </w:r>
    </w:p>
    <w:p w14:paraId="1BC46B50" w14:textId="77777777" w:rsidR="00101E98" w:rsidRDefault="00101E98" w:rsidP="00A478A0">
      <w:pPr>
        <w:pStyle w:val="ListNumber"/>
        <w:tabs>
          <w:tab w:val="clear" w:pos="720"/>
          <w:tab w:val="clear" w:pos="1872"/>
        </w:tabs>
        <w:spacing w:before="0"/>
        <w:ind w:left="0" w:firstLine="0"/>
      </w:pPr>
    </w:p>
    <w:p w14:paraId="62F0FB8A" w14:textId="77777777" w:rsidR="002A7742" w:rsidRDefault="002A7742" w:rsidP="00172E64">
      <w:pPr>
        <w:pStyle w:val="Heading5"/>
        <w:numPr>
          <w:ilvl w:val="4"/>
          <w:numId w:val="184"/>
        </w:numPr>
        <w:tabs>
          <w:tab w:val="left" w:pos="1800"/>
        </w:tabs>
        <w:ind w:left="1098" w:hanging="1098"/>
      </w:pPr>
      <w:bookmarkStart w:id="293" w:name="_Climate_1"/>
      <w:bookmarkEnd w:id="293"/>
      <w:r>
        <w:t>Climate</w:t>
      </w:r>
    </w:p>
    <w:p w14:paraId="51EECD86" w14:textId="77777777" w:rsidR="002A7742" w:rsidRPr="00BB4346" w:rsidRDefault="002A7742" w:rsidP="002A7742">
      <w:pPr>
        <w:pStyle w:val="ListNumber"/>
        <w:tabs>
          <w:tab w:val="clear" w:pos="720"/>
          <w:tab w:val="clear" w:pos="1872"/>
        </w:tabs>
        <w:ind w:left="0" w:firstLine="0"/>
      </w:pPr>
      <w:r>
        <w:t xml:space="preserve">Refer to </w:t>
      </w:r>
      <w:hyperlink w:anchor="_Climate" w:history="1">
        <w:r w:rsidRPr="002A7742">
          <w:rPr>
            <w:rStyle w:val="Hyperlink"/>
          </w:rPr>
          <w:t>Climate</w:t>
        </w:r>
      </w:hyperlink>
      <w:r>
        <w:t xml:space="preserve"> from the </w:t>
      </w:r>
      <w:r w:rsidRPr="00BB4346">
        <w:rPr>
          <w:i/>
        </w:rPr>
        <w:t>Flexible Pavement</w:t>
      </w:r>
      <w:r w:rsidRPr="00BB4346">
        <w:t xml:space="preserve"> section.</w:t>
      </w:r>
    </w:p>
    <w:p w14:paraId="514F7933" w14:textId="77777777" w:rsidR="00CC4472" w:rsidRPr="00BB4346" w:rsidRDefault="00CC4472" w:rsidP="00CC4472">
      <w:pPr>
        <w:pStyle w:val="Heading5"/>
        <w:numPr>
          <w:ilvl w:val="0"/>
          <w:numId w:val="0"/>
        </w:numPr>
        <w:ind w:left="1008"/>
      </w:pPr>
    </w:p>
    <w:p w14:paraId="70E98C77" w14:textId="77777777" w:rsidR="00CC4472" w:rsidRDefault="00F266F8" w:rsidP="00172E64">
      <w:pPr>
        <w:pStyle w:val="Heading5"/>
        <w:numPr>
          <w:ilvl w:val="4"/>
          <w:numId w:val="184"/>
        </w:numPr>
        <w:tabs>
          <w:tab w:val="left" w:pos="1800"/>
        </w:tabs>
        <w:ind w:left="1098" w:hanging="1098"/>
      </w:pPr>
      <w:bookmarkStart w:id="294" w:name="_JPCP_Layer_Properties"/>
      <w:bookmarkEnd w:id="294"/>
      <w:r w:rsidRPr="00BB4346">
        <w:t>JPCP</w:t>
      </w:r>
      <w:r w:rsidR="00CC4472" w:rsidRPr="00BB4346">
        <w:t xml:space="preserve"> Layer Properties</w:t>
      </w:r>
    </w:p>
    <w:p w14:paraId="4ABEA37F" w14:textId="635C597E" w:rsidR="00DE4165" w:rsidRDefault="00DE4165" w:rsidP="00DE4165">
      <w:pPr>
        <w:rPr>
          <w:rFonts w:ascii="Arial" w:eastAsia="Arial" w:hAnsi="Arial" w:cs="Arial"/>
          <w:sz w:val="16"/>
        </w:rPr>
      </w:pPr>
      <w:r>
        <w:rPr>
          <w:rFonts w:ascii="Arial" w:eastAsia="Arial" w:hAnsi="Arial" w:cs="Arial"/>
          <w:sz w:val="16"/>
        </w:rPr>
        <w:t xml:space="preserve">Click to go to </w:t>
      </w:r>
      <w:hyperlink w:anchor="_JPCP_Layer_Properties_1" w:history="1">
        <w:r w:rsidRPr="00DE4165">
          <w:rPr>
            <w:rStyle w:val="Hyperlink"/>
            <w:rFonts w:ascii="Arial" w:eastAsia="Arial" w:hAnsi="Arial" w:cs="Arial"/>
            <w:sz w:val="16"/>
          </w:rPr>
          <w:t>JPCP Layer Properties</w:t>
        </w:r>
      </w:hyperlink>
      <w:r>
        <w:rPr>
          <w:rFonts w:ascii="Arial" w:eastAsia="Arial" w:hAnsi="Arial" w:cs="Arial"/>
          <w:sz w:val="16"/>
        </w:rPr>
        <w:t xml:space="preserve"> in the </w:t>
      </w:r>
      <w:r w:rsidRPr="00DE4165">
        <w:rPr>
          <w:rFonts w:ascii="Arial" w:eastAsia="Arial" w:hAnsi="Arial" w:cs="Arial"/>
          <w:i/>
          <w:sz w:val="16"/>
        </w:rPr>
        <w:t>AC overlay over J</w:t>
      </w:r>
      <w:r w:rsidR="00E403A5">
        <w:rPr>
          <w:rFonts w:ascii="Arial" w:eastAsia="Arial" w:hAnsi="Arial" w:cs="Arial"/>
          <w:i/>
          <w:sz w:val="16"/>
        </w:rPr>
        <w:t>P</w:t>
      </w:r>
      <w:r w:rsidRPr="00DE4165">
        <w:rPr>
          <w:rFonts w:ascii="Arial" w:eastAsia="Arial" w:hAnsi="Arial" w:cs="Arial"/>
          <w:i/>
          <w:sz w:val="16"/>
        </w:rPr>
        <w:t>C</w:t>
      </w:r>
      <w:r w:rsidRPr="002A7742">
        <w:rPr>
          <w:rFonts w:ascii="Arial" w:eastAsia="Arial" w:hAnsi="Arial" w:cs="Arial"/>
          <w:i/>
          <w:sz w:val="16"/>
        </w:rPr>
        <w:t>P</w:t>
      </w:r>
      <w:r>
        <w:rPr>
          <w:rFonts w:ascii="Arial" w:eastAsia="Arial" w:hAnsi="Arial" w:cs="Arial"/>
          <w:sz w:val="16"/>
        </w:rPr>
        <w:t xml:space="preserve"> section.</w:t>
      </w:r>
    </w:p>
    <w:p w14:paraId="71162519" w14:textId="45BAD0A7" w:rsidR="00101E98" w:rsidRDefault="00B01C2C" w:rsidP="00101E98">
      <w:pPr>
        <w:pStyle w:val="ListNumber"/>
        <w:tabs>
          <w:tab w:val="clear" w:pos="720"/>
          <w:tab w:val="clear" w:pos="1872"/>
        </w:tabs>
        <w:ind w:left="0" w:firstLine="0"/>
      </w:pPr>
      <w:r w:rsidRPr="00BB4346">
        <w:t xml:space="preserve">Double-click on the “JPCP Design Properties” button.  </w:t>
      </w:r>
    </w:p>
    <w:p w14:paraId="0E931921" w14:textId="293067BD" w:rsidR="00BB4346" w:rsidRPr="00BB4346" w:rsidRDefault="00AB2889" w:rsidP="00A478A0">
      <w:pPr>
        <w:pStyle w:val="ListNumber"/>
        <w:tabs>
          <w:tab w:val="clear" w:pos="720"/>
          <w:tab w:val="clear" w:pos="1872"/>
        </w:tabs>
        <w:ind w:left="0" w:firstLine="0"/>
        <w:jc w:val="center"/>
      </w:pPr>
      <w:r>
        <w:rPr>
          <w:noProof/>
        </w:rPr>
        <w:drawing>
          <wp:inline distT="0" distB="0" distL="0" distR="0" wp14:anchorId="41088A76" wp14:editId="3F19647D">
            <wp:extent cx="5486400" cy="3609340"/>
            <wp:effectExtent l="0" t="0" r="0" b="0"/>
            <wp:docPr id="1667" name="Picture 1667"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 name="Picture 1667" descr="Pavement design PMED screen shot"/>
                    <pic:cNvPicPr/>
                  </pic:nvPicPr>
                  <pic:blipFill>
                    <a:blip r:embed="rId189"/>
                    <a:stretch>
                      <a:fillRect/>
                    </a:stretch>
                  </pic:blipFill>
                  <pic:spPr>
                    <a:xfrm>
                      <a:off x="0" y="0"/>
                      <a:ext cx="5486400" cy="3609340"/>
                    </a:xfrm>
                    <a:prstGeom prst="rect">
                      <a:avLst/>
                    </a:prstGeom>
                  </pic:spPr>
                </pic:pic>
              </a:graphicData>
            </a:graphic>
          </wp:inline>
        </w:drawing>
      </w:r>
    </w:p>
    <w:p w14:paraId="41D68EF2" w14:textId="77777777" w:rsidR="0088425E" w:rsidRDefault="00BB4346" w:rsidP="00172E64">
      <w:pPr>
        <w:pStyle w:val="ListNumber"/>
        <w:numPr>
          <w:ilvl w:val="0"/>
          <w:numId w:val="119"/>
        </w:numPr>
        <w:tabs>
          <w:tab w:val="clear" w:pos="1872"/>
        </w:tabs>
        <w:spacing w:before="240"/>
        <w:ind w:left="1080" w:hanging="1080"/>
        <w:jc w:val="both"/>
      </w:pPr>
      <w:r w:rsidRPr="00BB4346">
        <w:lastRenderedPageBreak/>
        <w:t>PCC surface shortwave absorptivity: Use the default value</w:t>
      </w:r>
      <w:r w:rsidR="00EE769E">
        <w:t xml:space="preserve"> (0</w:t>
      </w:r>
      <w:r w:rsidRPr="00BB4346">
        <w:t>.</w:t>
      </w:r>
      <w:r w:rsidR="00EE769E">
        <w:t>85).</w:t>
      </w:r>
    </w:p>
    <w:p w14:paraId="72530537" w14:textId="77777777" w:rsidR="00AB2889" w:rsidRDefault="00AB2889" w:rsidP="00172E64">
      <w:pPr>
        <w:pStyle w:val="ListNumber"/>
        <w:numPr>
          <w:ilvl w:val="0"/>
          <w:numId w:val="119"/>
        </w:numPr>
        <w:tabs>
          <w:tab w:val="clear" w:pos="1152"/>
          <w:tab w:val="clear" w:pos="1872"/>
          <w:tab w:val="num" w:pos="1080"/>
        </w:tabs>
        <w:ind w:left="1080" w:hanging="1080"/>
        <w:jc w:val="both"/>
      </w:pPr>
      <w:r w:rsidRPr="00EA2350">
        <w:t xml:space="preserve">Doweled joints: </w:t>
      </w:r>
      <w:r>
        <w:t xml:space="preserve">Refer to </w:t>
      </w:r>
      <w:hyperlink w:anchor="_Jointed_Plain_Concrete_1" w:history="1">
        <w:r w:rsidRPr="0088425E">
          <w:rPr>
            <w:rStyle w:val="Hyperlink"/>
          </w:rPr>
          <w:t>Jointed Plain Concrete Pavement Design</w:t>
        </w:r>
      </w:hyperlink>
      <w:r>
        <w:t>.</w:t>
      </w:r>
      <w:r w:rsidRPr="00EA2350">
        <w:t xml:space="preserve">  </w:t>
      </w:r>
    </w:p>
    <w:p w14:paraId="2BEB4735" w14:textId="77777777" w:rsidR="00AB2889" w:rsidRDefault="00AB2889" w:rsidP="00172E64">
      <w:pPr>
        <w:pStyle w:val="ListNumber"/>
        <w:numPr>
          <w:ilvl w:val="0"/>
          <w:numId w:val="119"/>
        </w:numPr>
        <w:tabs>
          <w:tab w:val="clear" w:pos="1152"/>
          <w:tab w:val="clear" w:pos="1872"/>
          <w:tab w:val="num" w:pos="1080"/>
        </w:tabs>
        <w:ind w:left="1080" w:hanging="1080"/>
        <w:jc w:val="both"/>
      </w:pPr>
      <w:r>
        <w:t>Erodibility Index: Choose Extremely Erosion Resistant for new designs.</w:t>
      </w:r>
    </w:p>
    <w:p w14:paraId="6B6E5784" w14:textId="77777777" w:rsidR="00AB2889" w:rsidRDefault="00AB2889" w:rsidP="00172E64">
      <w:pPr>
        <w:pStyle w:val="ListNumber"/>
        <w:numPr>
          <w:ilvl w:val="0"/>
          <w:numId w:val="119"/>
        </w:numPr>
        <w:tabs>
          <w:tab w:val="clear" w:pos="1152"/>
          <w:tab w:val="clear" w:pos="1872"/>
          <w:tab w:val="num" w:pos="1080"/>
        </w:tabs>
        <w:ind w:left="1080" w:hanging="1080"/>
        <w:jc w:val="both"/>
      </w:pPr>
      <w:r>
        <w:t>PCC-base contact friction: True for new designs.  The months until loss should match the design life.</w:t>
      </w:r>
    </w:p>
    <w:p w14:paraId="5F36A8E3" w14:textId="317CA749" w:rsidR="0088425E" w:rsidRPr="00BB4346" w:rsidRDefault="00BB4346" w:rsidP="00172E64">
      <w:pPr>
        <w:pStyle w:val="ListNumber"/>
        <w:numPr>
          <w:ilvl w:val="0"/>
          <w:numId w:val="119"/>
        </w:numPr>
        <w:tabs>
          <w:tab w:val="clear" w:pos="1872"/>
          <w:tab w:val="left" w:pos="90"/>
        </w:tabs>
        <w:ind w:left="1080" w:hanging="1080"/>
        <w:jc w:val="both"/>
      </w:pPr>
      <w:r w:rsidRPr="00BB4346">
        <w:t xml:space="preserve">PCC joint spacing: </w:t>
      </w:r>
      <w:r w:rsidRPr="0088425E">
        <w:rPr>
          <w:szCs w:val="22"/>
        </w:rPr>
        <w:t xml:space="preserve">15 feet.  </w:t>
      </w:r>
      <w:r w:rsidR="0088425E">
        <w:t xml:space="preserve">Refer to </w:t>
      </w:r>
      <w:hyperlink w:anchor="_Jointed_Plain_Concrete_1" w:history="1">
        <w:r w:rsidR="0088425E" w:rsidRPr="0088425E">
          <w:rPr>
            <w:rStyle w:val="Hyperlink"/>
          </w:rPr>
          <w:t>Jointed Plain Concrete Pavement Design</w:t>
        </w:r>
      </w:hyperlink>
      <w:r w:rsidR="0088425E">
        <w:t>.</w:t>
      </w:r>
    </w:p>
    <w:p w14:paraId="20C6F9CB" w14:textId="77777777" w:rsidR="00AB2889" w:rsidRPr="00657043" w:rsidRDefault="00AB2889" w:rsidP="00172E64">
      <w:pPr>
        <w:pStyle w:val="ListNumber"/>
        <w:numPr>
          <w:ilvl w:val="0"/>
          <w:numId w:val="119"/>
        </w:numPr>
        <w:tabs>
          <w:tab w:val="clear" w:pos="1152"/>
          <w:tab w:val="clear" w:pos="1872"/>
          <w:tab w:val="num" w:pos="1080"/>
        </w:tabs>
        <w:ind w:left="1080" w:hanging="1080"/>
        <w:jc w:val="both"/>
      </w:pPr>
      <w:r>
        <w:t>Permanent curl/warp effective temperature difference: Use default (-10).</w:t>
      </w:r>
    </w:p>
    <w:p w14:paraId="4EF9F789" w14:textId="77777777" w:rsidR="00EA2350" w:rsidRPr="00EA2350" w:rsidRDefault="00BB4346" w:rsidP="00172E64">
      <w:pPr>
        <w:pStyle w:val="ListNumber"/>
        <w:numPr>
          <w:ilvl w:val="0"/>
          <w:numId w:val="119"/>
        </w:numPr>
        <w:tabs>
          <w:tab w:val="clear" w:pos="1152"/>
          <w:tab w:val="clear" w:pos="1872"/>
          <w:tab w:val="num" w:pos="1080"/>
        </w:tabs>
        <w:ind w:left="1080" w:hanging="1080"/>
        <w:jc w:val="both"/>
      </w:pPr>
      <w:r w:rsidRPr="00EA2350">
        <w:t xml:space="preserve">Sealant type: </w:t>
      </w:r>
      <w:r w:rsidR="00EA2350" w:rsidRPr="00EA2350">
        <w:t>No Sealant.</w:t>
      </w:r>
    </w:p>
    <w:p w14:paraId="618ABAA8" w14:textId="77777777" w:rsidR="00AB2889" w:rsidRDefault="00AB2889" w:rsidP="00172E64">
      <w:pPr>
        <w:pStyle w:val="ListNumber"/>
        <w:numPr>
          <w:ilvl w:val="0"/>
          <w:numId w:val="119"/>
        </w:numPr>
        <w:tabs>
          <w:tab w:val="clear" w:pos="1152"/>
          <w:tab w:val="clear" w:pos="1872"/>
          <w:tab w:val="num" w:pos="1080"/>
        </w:tabs>
        <w:ind w:left="1080" w:hanging="1080"/>
        <w:jc w:val="both"/>
      </w:pPr>
      <w:r>
        <w:t>Tied shoulders: If the shoulder is concrete, this should be “True,” and the Load Transfer Efficiency should be 100%.</w:t>
      </w:r>
    </w:p>
    <w:p w14:paraId="448718F8" w14:textId="77777777" w:rsidR="00BB4346" w:rsidRDefault="00EA2350" w:rsidP="00172E64">
      <w:pPr>
        <w:pStyle w:val="ListNumber"/>
        <w:numPr>
          <w:ilvl w:val="0"/>
          <w:numId w:val="119"/>
        </w:numPr>
        <w:tabs>
          <w:tab w:val="clear" w:pos="1152"/>
          <w:tab w:val="clear" w:pos="1872"/>
          <w:tab w:val="num" w:pos="1080"/>
        </w:tabs>
        <w:ind w:left="1080" w:hanging="1080"/>
        <w:jc w:val="both"/>
      </w:pPr>
      <w:r>
        <w:t>Widened slab:</w:t>
      </w:r>
      <w:r w:rsidR="00BB4346">
        <w:t xml:space="preserve"> </w:t>
      </w:r>
      <w:r w:rsidR="0088425E">
        <w:t xml:space="preserve">Refer to </w:t>
      </w:r>
      <w:hyperlink w:anchor="_Jointed_Plain_Concrete_1" w:history="1">
        <w:r w:rsidR="0088425E" w:rsidRPr="0088425E">
          <w:rPr>
            <w:rStyle w:val="Hyperlink"/>
          </w:rPr>
          <w:t>Jointed Plain Concrete Pavement Design</w:t>
        </w:r>
      </w:hyperlink>
      <w:r w:rsidR="0088425E">
        <w:t xml:space="preserve">.  </w:t>
      </w:r>
      <w:r>
        <w:t>The widened slab should be checked “True” only if the longitudinal joint is at least one foot wider than the paint line.</w:t>
      </w:r>
    </w:p>
    <w:p w14:paraId="0797801F" w14:textId="77777777" w:rsidR="000D7A07" w:rsidRDefault="000D7A07" w:rsidP="00101E98">
      <w:pPr>
        <w:pStyle w:val="ListNumber"/>
        <w:tabs>
          <w:tab w:val="clear" w:pos="720"/>
          <w:tab w:val="clear" w:pos="1872"/>
        </w:tabs>
        <w:ind w:left="0" w:firstLine="0"/>
        <w:jc w:val="both"/>
      </w:pPr>
    </w:p>
    <w:p w14:paraId="5A1AE0FA" w14:textId="77777777" w:rsidR="000D7A07" w:rsidRDefault="000D7A07" w:rsidP="00172E64">
      <w:pPr>
        <w:pStyle w:val="Heading5"/>
        <w:numPr>
          <w:ilvl w:val="4"/>
          <w:numId w:val="184"/>
        </w:numPr>
        <w:tabs>
          <w:tab w:val="left" w:pos="1800"/>
        </w:tabs>
        <w:ind w:left="1098" w:hanging="1098"/>
      </w:pPr>
      <w:bookmarkStart w:id="295" w:name="_Pavement_Structure"/>
      <w:bookmarkEnd w:id="295"/>
      <w:r>
        <w:t>Pavement Structure</w:t>
      </w:r>
    </w:p>
    <w:p w14:paraId="5435CE1B" w14:textId="049E2BAC" w:rsidR="000D7A07" w:rsidRDefault="000D7A07" w:rsidP="000D7A07">
      <w:pPr>
        <w:pStyle w:val="ListNumber"/>
        <w:tabs>
          <w:tab w:val="clear" w:pos="720"/>
          <w:tab w:val="clear" w:pos="1872"/>
        </w:tabs>
        <w:ind w:left="0" w:firstLine="0"/>
        <w:jc w:val="both"/>
      </w:pPr>
      <w:r>
        <w:t>C</w:t>
      </w:r>
      <w:r w:rsidRPr="00572F29">
        <w:t xml:space="preserve">lick in the </w:t>
      </w:r>
      <w:r>
        <w:t>concrete</w:t>
      </w:r>
      <w:r w:rsidRPr="00572F29">
        <w:t xml:space="preserve"> picture to edit the </w:t>
      </w:r>
      <w:r w:rsidR="00EE769E">
        <w:t>concrete</w:t>
      </w:r>
      <w:r w:rsidRPr="00572F29">
        <w:t xml:space="preserve"> layer</w:t>
      </w:r>
      <w:r>
        <w:t xml:space="preserve">.  </w:t>
      </w:r>
      <w:r w:rsidRPr="00572F29">
        <w:t xml:space="preserve">For each layer under the </w:t>
      </w:r>
      <w:r w:rsidR="00EE769E">
        <w:t>PCC</w:t>
      </w:r>
      <w:r w:rsidRPr="00572F29">
        <w:t xml:space="preserve"> </w:t>
      </w:r>
      <w:r>
        <w:t xml:space="preserve">surface layer, </w:t>
      </w:r>
      <w:r w:rsidRPr="00572F29">
        <w:t xml:space="preserve">click on the green </w:t>
      </w:r>
      <w:r w:rsidRPr="006B087A">
        <w:rPr>
          <w:b/>
          <w:color w:val="006100"/>
          <w:sz w:val="24"/>
          <w:szCs w:val="2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Pr="00572F29">
        <w:t xml:space="preserve"> button to add a layer.</w:t>
      </w:r>
      <w:r>
        <w:t xml:space="preserve">  For the subgrade, choose the AASHTO description provided by the lab results.  Ensure that AASHTO</w:t>
      </w:r>
      <w:r w:rsidR="009321C3">
        <w:t xml:space="preserve"> rathern than</w:t>
      </w:r>
      <w:r>
        <w:t xml:space="preserve"> MSMT descriptions are used.</w:t>
      </w:r>
    </w:p>
    <w:p w14:paraId="7C989598" w14:textId="63CCA5AC" w:rsidR="00B01C2C" w:rsidRDefault="009321C3" w:rsidP="00101E98">
      <w:pPr>
        <w:pStyle w:val="ListNumber"/>
        <w:tabs>
          <w:tab w:val="clear" w:pos="720"/>
          <w:tab w:val="clear" w:pos="1872"/>
        </w:tabs>
        <w:ind w:left="0" w:firstLine="0"/>
        <w:jc w:val="center"/>
        <w:rPr>
          <w:highlight w:val="yellow"/>
        </w:rPr>
      </w:pPr>
      <w:r>
        <w:rPr>
          <w:noProof/>
        </w:rPr>
        <w:drawing>
          <wp:inline distT="0" distB="0" distL="0" distR="0" wp14:anchorId="3CFCAA33" wp14:editId="62656F08">
            <wp:extent cx="5486400" cy="2774315"/>
            <wp:effectExtent l="0" t="0" r="0" b="6985"/>
            <wp:docPr id="322" name="Picture 322"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descr="Pavement design PMED screen shot"/>
                    <pic:cNvPicPr/>
                  </pic:nvPicPr>
                  <pic:blipFill>
                    <a:blip r:embed="rId190"/>
                    <a:stretch>
                      <a:fillRect/>
                    </a:stretch>
                  </pic:blipFill>
                  <pic:spPr>
                    <a:xfrm>
                      <a:off x="0" y="0"/>
                      <a:ext cx="5486400" cy="2774315"/>
                    </a:xfrm>
                    <a:prstGeom prst="rect">
                      <a:avLst/>
                    </a:prstGeom>
                  </pic:spPr>
                </pic:pic>
              </a:graphicData>
            </a:graphic>
          </wp:inline>
        </w:drawing>
      </w:r>
    </w:p>
    <w:p w14:paraId="4525ABE1" w14:textId="77777777" w:rsidR="00101E98" w:rsidRDefault="00101E98" w:rsidP="00101E98">
      <w:pPr>
        <w:pStyle w:val="ListNumber"/>
        <w:tabs>
          <w:tab w:val="clear" w:pos="720"/>
          <w:tab w:val="clear" w:pos="1872"/>
        </w:tabs>
        <w:spacing w:before="0"/>
        <w:ind w:left="0" w:firstLine="0"/>
        <w:jc w:val="center"/>
        <w:rPr>
          <w:highlight w:val="yellow"/>
        </w:rPr>
      </w:pPr>
    </w:p>
    <w:p w14:paraId="04AFD698" w14:textId="7AC4E71A" w:rsidR="00EE769E" w:rsidRDefault="00EE769E" w:rsidP="00172E64">
      <w:pPr>
        <w:pStyle w:val="Heading6"/>
        <w:numPr>
          <w:ilvl w:val="5"/>
          <w:numId w:val="184"/>
        </w:numPr>
        <w:ind w:left="1800" w:hanging="1800"/>
        <w:rPr>
          <w:b/>
        </w:rPr>
      </w:pPr>
      <w:bookmarkStart w:id="296" w:name="_For_the_PCC"/>
      <w:bookmarkEnd w:id="296"/>
      <w:r w:rsidRPr="0026333C">
        <w:rPr>
          <w:b/>
        </w:rPr>
        <w:t>For the PCC Layer</w:t>
      </w:r>
    </w:p>
    <w:p w14:paraId="68C827C2" w14:textId="6EE2C734" w:rsidR="009B53B3" w:rsidRDefault="009B53B3" w:rsidP="009B53B3">
      <w:pPr>
        <w:rPr>
          <w:rFonts w:ascii="Arial" w:eastAsia="Arial" w:hAnsi="Arial" w:cs="Arial"/>
          <w:sz w:val="16"/>
        </w:rPr>
      </w:pPr>
      <w:r>
        <w:rPr>
          <w:rFonts w:ascii="Arial" w:eastAsia="Arial" w:hAnsi="Arial" w:cs="Arial"/>
          <w:sz w:val="16"/>
        </w:rPr>
        <w:t xml:space="preserve">Click to go to </w:t>
      </w:r>
      <w:hyperlink w:anchor="_For_the_PCC_1" w:history="1">
        <w:r w:rsidRPr="009B53B3">
          <w:rPr>
            <w:rStyle w:val="Hyperlink"/>
            <w:rFonts w:ascii="Arial" w:eastAsia="Arial" w:hAnsi="Arial" w:cs="Arial"/>
            <w:sz w:val="16"/>
          </w:rPr>
          <w:t>For the PCC Layer</w:t>
        </w:r>
      </w:hyperlink>
      <w:r>
        <w:rPr>
          <w:rFonts w:ascii="Arial" w:eastAsia="Arial" w:hAnsi="Arial" w:cs="Arial"/>
          <w:sz w:val="16"/>
        </w:rPr>
        <w:t xml:space="preserve"> in the </w:t>
      </w:r>
      <w:r w:rsidRPr="00DE7B3D">
        <w:rPr>
          <w:rFonts w:ascii="Arial" w:eastAsia="Arial" w:hAnsi="Arial" w:cs="Arial"/>
          <w:i/>
          <w:sz w:val="16"/>
        </w:rPr>
        <w:t>AC overlay over J</w:t>
      </w:r>
      <w:r w:rsidRPr="002A7742">
        <w:rPr>
          <w:rFonts w:ascii="Arial" w:eastAsia="Arial" w:hAnsi="Arial" w:cs="Arial"/>
          <w:i/>
          <w:sz w:val="16"/>
        </w:rPr>
        <w:t>PCP</w:t>
      </w:r>
      <w:r>
        <w:rPr>
          <w:rFonts w:ascii="Arial" w:eastAsia="Arial" w:hAnsi="Arial" w:cs="Arial"/>
          <w:sz w:val="16"/>
        </w:rPr>
        <w:t xml:space="preserve"> section.</w:t>
      </w:r>
    </w:p>
    <w:p w14:paraId="61AA3390" w14:textId="0D01125A" w:rsidR="003A4CF2" w:rsidRDefault="003A4CF2" w:rsidP="003A4CF2">
      <w:pPr>
        <w:rPr>
          <w:rFonts w:ascii="Arial" w:eastAsia="Arial" w:hAnsi="Arial" w:cs="Arial"/>
          <w:sz w:val="16"/>
        </w:rPr>
      </w:pPr>
      <w:r>
        <w:rPr>
          <w:rFonts w:ascii="Arial" w:eastAsia="Arial" w:hAnsi="Arial" w:cs="Arial"/>
          <w:sz w:val="16"/>
        </w:rPr>
        <w:t xml:space="preserve">Click to go to </w:t>
      </w:r>
      <w:hyperlink w:anchor="_For_the_PCC_2" w:history="1">
        <w:r w:rsidRPr="003A4CF2">
          <w:rPr>
            <w:rStyle w:val="Hyperlink"/>
            <w:rFonts w:ascii="Arial" w:eastAsia="Arial" w:hAnsi="Arial" w:cs="Arial"/>
            <w:sz w:val="16"/>
          </w:rPr>
          <w:t>For the PCC Layer</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5988FF57" w14:textId="77777777" w:rsidR="00EE769E" w:rsidRPr="0026333C" w:rsidRDefault="00EE769E" w:rsidP="00EE769E"/>
    <w:p w14:paraId="5380B4BF" w14:textId="39C17A88" w:rsidR="009D3CFA" w:rsidRDefault="009D3CFA" w:rsidP="009D3CFA">
      <w:pPr>
        <w:pStyle w:val="Heading7"/>
        <w:numPr>
          <w:ilvl w:val="0"/>
          <w:numId w:val="0"/>
        </w:numPr>
        <w:ind w:left="1296" w:hanging="1296"/>
        <w:rPr>
          <w:color w:val="auto"/>
          <w:sz w:val="22"/>
          <w:szCs w:val="22"/>
        </w:rPr>
      </w:pPr>
      <w:bookmarkStart w:id="297" w:name="_PCC."/>
      <w:bookmarkEnd w:id="297"/>
    </w:p>
    <w:p w14:paraId="4E8689DF" w14:textId="1A642161" w:rsidR="009D3CFA" w:rsidRDefault="009D3CFA" w:rsidP="009D3CFA"/>
    <w:p w14:paraId="0E615943" w14:textId="47AA1CB5" w:rsidR="009D3CFA" w:rsidRDefault="009D3CFA" w:rsidP="009D3CFA"/>
    <w:p w14:paraId="641C1C86" w14:textId="77777777" w:rsidR="009D3CFA" w:rsidRPr="009D3CFA" w:rsidRDefault="009D3CFA" w:rsidP="009D3CFA"/>
    <w:p w14:paraId="77B89940" w14:textId="2E462185" w:rsidR="00EE769E" w:rsidRPr="0026333C" w:rsidRDefault="00EE769E" w:rsidP="00172E64">
      <w:pPr>
        <w:pStyle w:val="Heading7"/>
        <w:numPr>
          <w:ilvl w:val="6"/>
          <w:numId w:val="184"/>
        </w:numPr>
        <w:ind w:left="2160" w:hanging="2160"/>
        <w:rPr>
          <w:color w:val="auto"/>
          <w:sz w:val="22"/>
          <w:szCs w:val="22"/>
        </w:rPr>
      </w:pPr>
      <w:r w:rsidRPr="0026333C">
        <w:rPr>
          <w:color w:val="auto"/>
          <w:sz w:val="22"/>
          <w:szCs w:val="22"/>
        </w:rPr>
        <w:lastRenderedPageBreak/>
        <w:t>PCC</w:t>
      </w:r>
    </w:p>
    <w:p w14:paraId="252D014E" w14:textId="77777777" w:rsidR="009321C3" w:rsidRPr="0026333C" w:rsidRDefault="009321C3" w:rsidP="00172E64">
      <w:pPr>
        <w:pStyle w:val="ListNumber"/>
        <w:numPr>
          <w:ilvl w:val="0"/>
          <w:numId w:val="121"/>
        </w:numPr>
        <w:tabs>
          <w:tab w:val="clear" w:pos="1872"/>
        </w:tabs>
        <w:jc w:val="both"/>
      </w:pPr>
      <w:r w:rsidRPr="0026333C">
        <w:t xml:space="preserve">Poisson’s ratio: Use the default value.  Refer to </w:t>
      </w:r>
      <w:hyperlink w:anchor="_Poisson_Ratio_2" w:history="1">
        <w:r w:rsidRPr="0026333C">
          <w:rPr>
            <w:rStyle w:val="Hyperlink"/>
          </w:rPr>
          <w:t>Poisson</w:t>
        </w:r>
        <w:r>
          <w:rPr>
            <w:rStyle w:val="Hyperlink"/>
          </w:rPr>
          <w:t>'s</w:t>
        </w:r>
        <w:r w:rsidRPr="0026333C">
          <w:rPr>
            <w:rStyle w:val="Hyperlink"/>
          </w:rPr>
          <w:t xml:space="preserve"> Ratio</w:t>
        </w:r>
      </w:hyperlink>
      <w:r w:rsidRPr="0026333C">
        <w:t>.</w:t>
      </w:r>
    </w:p>
    <w:p w14:paraId="7FDC149F" w14:textId="77777777" w:rsidR="00EE769E" w:rsidRPr="0026333C" w:rsidRDefault="00EE769E" w:rsidP="00172E64">
      <w:pPr>
        <w:pStyle w:val="ListNumber"/>
        <w:numPr>
          <w:ilvl w:val="0"/>
          <w:numId w:val="121"/>
        </w:numPr>
        <w:tabs>
          <w:tab w:val="clear" w:pos="1872"/>
        </w:tabs>
        <w:spacing w:before="240"/>
        <w:jc w:val="both"/>
      </w:pPr>
      <w:r w:rsidRPr="0026333C">
        <w:t>Thickness.  Enter the thickness in inches.</w:t>
      </w:r>
    </w:p>
    <w:p w14:paraId="39101904" w14:textId="77777777" w:rsidR="00EE769E" w:rsidRPr="0026333C" w:rsidRDefault="00EE769E" w:rsidP="00172E64">
      <w:pPr>
        <w:pStyle w:val="ListNumber"/>
        <w:numPr>
          <w:ilvl w:val="0"/>
          <w:numId w:val="121"/>
        </w:numPr>
        <w:tabs>
          <w:tab w:val="clear" w:pos="1872"/>
        </w:tabs>
        <w:jc w:val="both"/>
      </w:pPr>
      <w:r w:rsidRPr="0026333C">
        <w:t>Unit Weight: Use the default value</w:t>
      </w:r>
      <w:r w:rsidR="00DD165E">
        <w:t>, 150 pcf</w:t>
      </w:r>
      <w:r w:rsidRPr="0026333C">
        <w:t xml:space="preserve">.  </w:t>
      </w:r>
    </w:p>
    <w:p w14:paraId="414E6326" w14:textId="77777777" w:rsidR="00EE769E" w:rsidRPr="0026333C" w:rsidRDefault="00EE769E" w:rsidP="00EE769E">
      <w:pPr>
        <w:rPr>
          <w:sz w:val="22"/>
          <w:szCs w:val="22"/>
        </w:rPr>
      </w:pPr>
    </w:p>
    <w:p w14:paraId="773E7827" w14:textId="77777777" w:rsidR="0026333C" w:rsidRPr="0026333C" w:rsidRDefault="0026333C" w:rsidP="00172E64">
      <w:pPr>
        <w:pStyle w:val="Heading7"/>
        <w:numPr>
          <w:ilvl w:val="6"/>
          <w:numId w:val="184"/>
        </w:numPr>
        <w:ind w:left="2160" w:hanging="2160"/>
        <w:rPr>
          <w:color w:val="auto"/>
          <w:sz w:val="22"/>
          <w:szCs w:val="22"/>
        </w:rPr>
      </w:pPr>
      <w:r w:rsidRPr="0026333C">
        <w:rPr>
          <w:color w:val="auto"/>
          <w:sz w:val="22"/>
          <w:szCs w:val="22"/>
        </w:rPr>
        <w:t xml:space="preserve">Thermal  </w:t>
      </w:r>
    </w:p>
    <w:p w14:paraId="329457B8" w14:textId="77777777" w:rsidR="0026333C" w:rsidRPr="0026333C" w:rsidRDefault="0026333C" w:rsidP="00172E64">
      <w:pPr>
        <w:pStyle w:val="ListNumber"/>
        <w:numPr>
          <w:ilvl w:val="0"/>
          <w:numId w:val="122"/>
        </w:numPr>
        <w:tabs>
          <w:tab w:val="clear" w:pos="1872"/>
        </w:tabs>
        <w:spacing w:before="240"/>
        <w:jc w:val="both"/>
      </w:pPr>
      <w:r w:rsidRPr="0026333C">
        <w:t>PCC coefficient of thermal expansion</w:t>
      </w:r>
      <w:r w:rsidR="00032ACC">
        <w:t xml:space="preserve"> (CTE)</w:t>
      </w:r>
      <w:r w:rsidRPr="0026333C">
        <w:t xml:space="preserve">: Refer to </w:t>
      </w:r>
      <w:hyperlink w:anchor="_Recommended_PCC_Thermal" w:history="1">
        <w:r w:rsidR="00DD165E" w:rsidRPr="00DD165E">
          <w:rPr>
            <w:rStyle w:val="Hyperlink"/>
          </w:rPr>
          <w:t>Recommended PCC Thermal and Shrinkage Property Inputs</w:t>
        </w:r>
      </w:hyperlink>
      <w:r w:rsidRPr="0026333C">
        <w:t>.</w:t>
      </w:r>
      <w:r w:rsidR="007066D7">
        <w:t xml:space="preserve">  If more than one type of aggregate is likely to be used, choose the aggregate with the highest CTE.</w:t>
      </w:r>
      <w:r w:rsidRPr="0026333C">
        <w:t xml:space="preserve">  </w:t>
      </w:r>
    </w:p>
    <w:p w14:paraId="6D872294" w14:textId="77777777" w:rsidR="009321C3" w:rsidRPr="00C455A5" w:rsidRDefault="009321C3" w:rsidP="00172E64">
      <w:pPr>
        <w:pStyle w:val="ListNumber"/>
        <w:numPr>
          <w:ilvl w:val="0"/>
          <w:numId w:val="122"/>
        </w:numPr>
        <w:tabs>
          <w:tab w:val="clear" w:pos="1872"/>
        </w:tabs>
        <w:jc w:val="both"/>
      </w:pPr>
      <w:r w:rsidRPr="0026333C">
        <w:t xml:space="preserve">PCC </w:t>
      </w:r>
      <w:r w:rsidRPr="00C455A5">
        <w:t>Heat Capacity: Use the default value</w:t>
      </w:r>
      <w:r>
        <w:t>.</w:t>
      </w:r>
    </w:p>
    <w:p w14:paraId="7FF608E1" w14:textId="77777777" w:rsidR="0026333C" w:rsidRPr="0026333C" w:rsidRDefault="0026333C" w:rsidP="00172E64">
      <w:pPr>
        <w:pStyle w:val="ListNumber"/>
        <w:numPr>
          <w:ilvl w:val="0"/>
          <w:numId w:val="122"/>
        </w:numPr>
        <w:tabs>
          <w:tab w:val="clear" w:pos="1872"/>
        </w:tabs>
        <w:jc w:val="both"/>
      </w:pPr>
      <w:r w:rsidRPr="0026333C">
        <w:t>PCC thermal conductivity: Use the default value.</w:t>
      </w:r>
    </w:p>
    <w:p w14:paraId="7CA466AC" w14:textId="77777777" w:rsidR="0026333C" w:rsidRPr="00C455A5" w:rsidRDefault="0026333C" w:rsidP="0026333C">
      <w:pPr>
        <w:pStyle w:val="ListNumber"/>
        <w:tabs>
          <w:tab w:val="clear" w:pos="720"/>
          <w:tab w:val="clear" w:pos="1872"/>
        </w:tabs>
        <w:ind w:left="1152" w:firstLine="0"/>
        <w:jc w:val="both"/>
      </w:pPr>
    </w:p>
    <w:p w14:paraId="4A03DD01" w14:textId="0F9C29D3" w:rsidR="00EE769E" w:rsidRDefault="00EE769E" w:rsidP="00172E64">
      <w:pPr>
        <w:pStyle w:val="Heading7"/>
        <w:numPr>
          <w:ilvl w:val="6"/>
          <w:numId w:val="184"/>
        </w:numPr>
        <w:ind w:left="2160" w:hanging="2160"/>
        <w:rPr>
          <w:color w:val="auto"/>
          <w:sz w:val="22"/>
          <w:szCs w:val="22"/>
        </w:rPr>
      </w:pPr>
      <w:bookmarkStart w:id="298" w:name="_Mix:"/>
      <w:bookmarkEnd w:id="298"/>
      <w:r w:rsidRPr="00C455A5">
        <w:rPr>
          <w:color w:val="auto"/>
          <w:sz w:val="22"/>
          <w:szCs w:val="22"/>
        </w:rPr>
        <w:t>Mix</w:t>
      </w:r>
    </w:p>
    <w:p w14:paraId="11424768" w14:textId="52C661E2" w:rsidR="00C263A6" w:rsidRPr="00C263A6" w:rsidRDefault="00C263A6" w:rsidP="00A478A0">
      <w:pPr>
        <w:spacing w:before="120"/>
        <w:rPr>
          <w:rFonts w:ascii="Arial" w:hAnsi="Arial" w:cs="Arial"/>
          <w:sz w:val="22"/>
          <w:szCs w:val="22"/>
        </w:rPr>
      </w:pPr>
      <w:r w:rsidRPr="00C263A6">
        <w:rPr>
          <w:rFonts w:ascii="Arial" w:hAnsi="Arial" w:cs="Arial"/>
          <w:sz w:val="22"/>
          <w:szCs w:val="22"/>
        </w:rPr>
        <w:t>Refer</w:t>
      </w:r>
      <w:r>
        <w:rPr>
          <w:rFonts w:ascii="Arial" w:hAnsi="Arial" w:cs="Arial"/>
          <w:sz w:val="22"/>
          <w:szCs w:val="22"/>
        </w:rPr>
        <w:t xml:space="preserve"> to </w:t>
      </w:r>
      <w:hyperlink w:anchor="_Recommended_PCC_Mix" w:history="1">
        <w:r w:rsidRPr="00C263A6">
          <w:rPr>
            <w:rStyle w:val="Hyperlink"/>
            <w:rFonts w:ascii="Arial" w:hAnsi="Arial" w:cs="Arial"/>
            <w:sz w:val="22"/>
            <w:szCs w:val="22"/>
          </w:rPr>
          <w:t>Recommended PCC Mix Property Inputs</w:t>
        </w:r>
      </w:hyperlink>
      <w:r w:rsidR="00101E98">
        <w:rPr>
          <w:rStyle w:val="Hyperlink"/>
          <w:rFonts w:ascii="Arial" w:hAnsi="Arial" w:cs="Arial"/>
          <w:sz w:val="22"/>
          <w:szCs w:val="22"/>
        </w:rPr>
        <w:t>.</w:t>
      </w:r>
    </w:p>
    <w:p w14:paraId="169FFEE2" w14:textId="77777777" w:rsidR="009321C3" w:rsidRDefault="009321C3" w:rsidP="00172E64">
      <w:pPr>
        <w:pStyle w:val="ListNumber"/>
        <w:numPr>
          <w:ilvl w:val="0"/>
          <w:numId w:val="123"/>
        </w:numPr>
        <w:tabs>
          <w:tab w:val="clear" w:pos="1872"/>
        </w:tabs>
        <w:jc w:val="both"/>
      </w:pPr>
      <w:r>
        <w:t xml:space="preserve">Aggregate Type: Use the type that was used to determine the PCC CTE. </w:t>
      </w:r>
    </w:p>
    <w:p w14:paraId="753291FB" w14:textId="77777777" w:rsidR="009321C3" w:rsidRDefault="009321C3" w:rsidP="00172E64">
      <w:pPr>
        <w:pStyle w:val="ListNumber"/>
        <w:numPr>
          <w:ilvl w:val="0"/>
          <w:numId w:val="123"/>
        </w:numPr>
        <w:tabs>
          <w:tab w:val="clear" w:pos="1872"/>
        </w:tabs>
        <w:jc w:val="both"/>
      </w:pPr>
      <w:r w:rsidRPr="00C455A5">
        <w:t>Cementitious material content:</w:t>
      </w:r>
      <w:r>
        <w:t xml:space="preserve"> Use the default value.</w:t>
      </w:r>
    </w:p>
    <w:p w14:paraId="36BA24AB" w14:textId="77777777" w:rsidR="00EE769E" w:rsidRPr="00C455A5" w:rsidRDefault="00C455A5" w:rsidP="00172E64">
      <w:pPr>
        <w:pStyle w:val="ListNumber"/>
        <w:numPr>
          <w:ilvl w:val="0"/>
          <w:numId w:val="123"/>
        </w:numPr>
        <w:tabs>
          <w:tab w:val="clear" w:pos="1872"/>
        </w:tabs>
        <w:spacing w:before="240"/>
        <w:jc w:val="both"/>
      </w:pPr>
      <w:r w:rsidRPr="00C455A5">
        <w:t>Cement type</w:t>
      </w:r>
      <w:r w:rsidR="00EE769E" w:rsidRPr="00C455A5">
        <w:t xml:space="preserve">: Use </w:t>
      </w:r>
      <w:r w:rsidRPr="00C455A5">
        <w:t>Type I.</w:t>
      </w:r>
    </w:p>
    <w:p w14:paraId="6C5DC4BF" w14:textId="328ECF46" w:rsidR="00C455A5" w:rsidRDefault="00C455A5" w:rsidP="00172E64">
      <w:pPr>
        <w:pStyle w:val="ListNumber"/>
        <w:numPr>
          <w:ilvl w:val="0"/>
          <w:numId w:val="123"/>
        </w:numPr>
        <w:tabs>
          <w:tab w:val="clear" w:pos="1872"/>
        </w:tabs>
        <w:jc w:val="both"/>
      </w:pPr>
      <w:r>
        <w:t>Water</w:t>
      </w:r>
      <w:r w:rsidR="00101E98">
        <w:t>-</w:t>
      </w:r>
      <w:r>
        <w:t>to</w:t>
      </w:r>
      <w:r w:rsidR="00101E98">
        <w:t>-</w:t>
      </w:r>
      <w:r>
        <w:t>cement ratio:</w:t>
      </w:r>
      <w:r w:rsidR="00032ACC">
        <w:t xml:space="preserve"> Use the default value</w:t>
      </w:r>
      <w:r w:rsidR="00101E98">
        <w:t>.</w:t>
      </w:r>
    </w:p>
    <w:p w14:paraId="28373BDA" w14:textId="77777777" w:rsidR="009321C3" w:rsidRPr="00032ACC" w:rsidRDefault="009321C3" w:rsidP="00172E64">
      <w:pPr>
        <w:pStyle w:val="ListNumber"/>
        <w:numPr>
          <w:ilvl w:val="0"/>
          <w:numId w:val="123"/>
        </w:numPr>
        <w:tabs>
          <w:tab w:val="clear" w:pos="1872"/>
        </w:tabs>
        <w:jc w:val="both"/>
      </w:pPr>
      <w:r>
        <w:t xml:space="preserve">Curing </w:t>
      </w:r>
      <w:r w:rsidRPr="00032ACC">
        <w:t>method: Use Curing Compound.</w:t>
      </w:r>
    </w:p>
    <w:p w14:paraId="6BE06A3F" w14:textId="77777777" w:rsidR="009321C3" w:rsidRDefault="009321C3" w:rsidP="00172E64">
      <w:pPr>
        <w:pStyle w:val="ListNumber"/>
        <w:numPr>
          <w:ilvl w:val="0"/>
          <w:numId w:val="123"/>
        </w:numPr>
        <w:tabs>
          <w:tab w:val="clear" w:pos="1872"/>
        </w:tabs>
        <w:jc w:val="both"/>
      </w:pPr>
      <w:r>
        <w:t>Reversible shrinkage:</w:t>
      </w:r>
      <w:r w:rsidRPr="00032ACC">
        <w:t xml:space="preserve"> </w:t>
      </w:r>
      <w:r>
        <w:t>Use the default value.</w:t>
      </w:r>
    </w:p>
    <w:p w14:paraId="313DA478" w14:textId="77777777" w:rsidR="00032ACC" w:rsidRDefault="00032ACC" w:rsidP="00172E64">
      <w:pPr>
        <w:pStyle w:val="ListNumber"/>
        <w:numPr>
          <w:ilvl w:val="0"/>
          <w:numId w:val="123"/>
        </w:numPr>
        <w:tabs>
          <w:tab w:val="clear" w:pos="1872"/>
        </w:tabs>
        <w:jc w:val="both"/>
      </w:pPr>
      <w:r>
        <w:t>PCC zero-stress temperature:</w:t>
      </w:r>
      <w:r w:rsidRPr="00032ACC">
        <w:t xml:space="preserve"> </w:t>
      </w:r>
      <w:r>
        <w:t>Use the default value.</w:t>
      </w:r>
    </w:p>
    <w:p w14:paraId="1F337416" w14:textId="77777777" w:rsidR="009321C3" w:rsidRDefault="009321C3" w:rsidP="00172E64">
      <w:pPr>
        <w:pStyle w:val="ListNumber"/>
        <w:numPr>
          <w:ilvl w:val="0"/>
          <w:numId w:val="123"/>
        </w:numPr>
        <w:tabs>
          <w:tab w:val="clear" w:pos="1872"/>
        </w:tabs>
        <w:jc w:val="both"/>
      </w:pPr>
      <w:r>
        <w:t>Time to develop 50% of ultimate shrinkage: Use the default value.</w:t>
      </w:r>
    </w:p>
    <w:p w14:paraId="24DB4A7D" w14:textId="77777777" w:rsidR="00032ACC" w:rsidRDefault="00032ACC" w:rsidP="00172E64">
      <w:pPr>
        <w:pStyle w:val="ListNumber"/>
        <w:numPr>
          <w:ilvl w:val="0"/>
          <w:numId w:val="123"/>
        </w:numPr>
        <w:tabs>
          <w:tab w:val="clear" w:pos="1872"/>
        </w:tabs>
        <w:jc w:val="both"/>
      </w:pPr>
      <w:r>
        <w:t>Ultimate shrinkage:</w:t>
      </w:r>
      <w:r w:rsidRPr="00032ACC">
        <w:t xml:space="preserve"> </w:t>
      </w:r>
      <w:r>
        <w:t>Use the default value.</w:t>
      </w:r>
    </w:p>
    <w:p w14:paraId="1AC597ED" w14:textId="77777777" w:rsidR="00EE769E" w:rsidRPr="00A478A0" w:rsidRDefault="00EE769E" w:rsidP="00EE769E">
      <w:pPr>
        <w:pStyle w:val="Heading7"/>
        <w:numPr>
          <w:ilvl w:val="0"/>
          <w:numId w:val="0"/>
        </w:numPr>
        <w:ind w:left="1296"/>
        <w:rPr>
          <w:color w:val="auto"/>
          <w:sz w:val="22"/>
        </w:rPr>
      </w:pPr>
    </w:p>
    <w:p w14:paraId="29622468" w14:textId="2BB26BD9" w:rsidR="00EE769E" w:rsidRPr="00032ACC" w:rsidRDefault="00032ACC" w:rsidP="00172E64">
      <w:pPr>
        <w:pStyle w:val="Heading7"/>
        <w:numPr>
          <w:ilvl w:val="6"/>
          <w:numId w:val="184"/>
        </w:numPr>
        <w:ind w:left="2160" w:hanging="2160"/>
        <w:rPr>
          <w:color w:val="auto"/>
          <w:sz w:val="22"/>
          <w:szCs w:val="22"/>
        </w:rPr>
      </w:pPr>
      <w:bookmarkStart w:id="299" w:name="_Strength:"/>
      <w:bookmarkEnd w:id="299"/>
      <w:r w:rsidRPr="00032ACC">
        <w:rPr>
          <w:color w:val="auto"/>
          <w:sz w:val="22"/>
          <w:szCs w:val="22"/>
        </w:rPr>
        <w:t>Strength</w:t>
      </w:r>
      <w:r w:rsidR="00EE769E" w:rsidRPr="00032ACC">
        <w:rPr>
          <w:color w:val="auto"/>
          <w:sz w:val="22"/>
          <w:szCs w:val="22"/>
        </w:rPr>
        <w:t xml:space="preserve"> </w:t>
      </w:r>
    </w:p>
    <w:p w14:paraId="351B844C" w14:textId="77777777" w:rsidR="00EE769E" w:rsidRPr="00032ACC" w:rsidRDefault="00032ACC" w:rsidP="00032ACC">
      <w:pPr>
        <w:pStyle w:val="ListNumber"/>
        <w:tabs>
          <w:tab w:val="clear" w:pos="720"/>
          <w:tab w:val="clear" w:pos="1872"/>
        </w:tabs>
        <w:ind w:left="1152"/>
        <w:jc w:val="both"/>
      </w:pPr>
      <w:r w:rsidRPr="00032ACC">
        <w:t>PCC Strength and modulus:</w:t>
      </w:r>
    </w:p>
    <w:p w14:paraId="7BAF1B44" w14:textId="77777777" w:rsidR="00EE769E" w:rsidRPr="00032ACC" w:rsidRDefault="00032ACC" w:rsidP="00172E64">
      <w:pPr>
        <w:pStyle w:val="ListNumber"/>
        <w:numPr>
          <w:ilvl w:val="0"/>
          <w:numId w:val="124"/>
        </w:numPr>
        <w:tabs>
          <w:tab w:val="clear" w:pos="1872"/>
        </w:tabs>
        <w:jc w:val="both"/>
      </w:pPr>
      <w:r w:rsidRPr="00032ACC">
        <w:t>Use the dropdown button, choose Level 3</w:t>
      </w:r>
      <w:r w:rsidR="00EE769E" w:rsidRPr="00032ACC">
        <w:t>.</w:t>
      </w:r>
    </w:p>
    <w:p w14:paraId="07B600BC" w14:textId="77777777" w:rsidR="00EE769E" w:rsidRPr="00032ACC" w:rsidRDefault="00032ACC" w:rsidP="00172E64">
      <w:pPr>
        <w:pStyle w:val="ListNumber"/>
        <w:numPr>
          <w:ilvl w:val="0"/>
          <w:numId w:val="124"/>
        </w:numPr>
        <w:tabs>
          <w:tab w:val="clear" w:pos="1872"/>
        </w:tabs>
        <w:jc w:val="both"/>
      </w:pPr>
      <w:r w:rsidRPr="00032ACC">
        <w:t>Click on 28-day compressive strength.  Refer</w:t>
      </w:r>
      <w:r w:rsidR="0041217B">
        <w:t xml:space="preserve"> </w:t>
      </w:r>
      <w:r w:rsidRPr="00032ACC">
        <w:t>to</w:t>
      </w:r>
      <w:r w:rsidR="00AE6B85">
        <w:t xml:space="preserve"> </w:t>
      </w:r>
      <w:hyperlink w:anchor="_Strength_and_Stiffness" w:history="1">
        <w:r w:rsidR="00AE6B85" w:rsidRPr="00AE6B85">
          <w:rPr>
            <w:rStyle w:val="Hyperlink"/>
          </w:rPr>
          <w:t>Strength and Stiffness Properties</w:t>
        </w:r>
      </w:hyperlink>
      <w:r>
        <w:t>.</w:t>
      </w:r>
    </w:p>
    <w:p w14:paraId="6C46D7AE" w14:textId="77777777" w:rsidR="004D3C4C" w:rsidRPr="004D3C4C" w:rsidRDefault="0041217B" w:rsidP="00172E64">
      <w:pPr>
        <w:pStyle w:val="ListNumber"/>
        <w:numPr>
          <w:ilvl w:val="0"/>
          <w:numId w:val="124"/>
        </w:numPr>
        <w:tabs>
          <w:tab w:val="clear" w:pos="1872"/>
        </w:tabs>
        <w:jc w:val="both"/>
      </w:pPr>
      <w:r>
        <w:t>C</w:t>
      </w:r>
      <w:r w:rsidRPr="004D3C4C">
        <w:t xml:space="preserve">heck the box for 28-day PCC elastic modulus.  </w:t>
      </w:r>
      <w:r w:rsidR="004D3C4C" w:rsidRPr="004D3C4C">
        <w:t>Refer to</w:t>
      </w:r>
      <w:r w:rsidR="00AE6B85">
        <w:t xml:space="preserve"> </w:t>
      </w:r>
      <w:hyperlink w:anchor="_Strength_and_Stiffness" w:history="1">
        <w:r w:rsidR="00AE6B85" w:rsidRPr="00AE6B85">
          <w:rPr>
            <w:rStyle w:val="Hyperlink"/>
          </w:rPr>
          <w:t>Strength and Stiffness Properties</w:t>
        </w:r>
      </w:hyperlink>
      <w:r w:rsidR="00AE6B85">
        <w:t>.</w:t>
      </w:r>
    </w:p>
    <w:p w14:paraId="74CD0E91" w14:textId="77777777" w:rsidR="00EE769E" w:rsidRPr="004D3C4C" w:rsidRDefault="00EE769E" w:rsidP="00EE769E">
      <w:pPr>
        <w:pStyle w:val="ListNumber"/>
        <w:tabs>
          <w:tab w:val="clear" w:pos="720"/>
          <w:tab w:val="clear" w:pos="1872"/>
        </w:tabs>
        <w:jc w:val="both"/>
      </w:pPr>
    </w:p>
    <w:p w14:paraId="79B4C14A" w14:textId="77777777" w:rsidR="00EE769E" w:rsidRPr="004D3C4C" w:rsidRDefault="00EE769E" w:rsidP="00172E64">
      <w:pPr>
        <w:pStyle w:val="Heading6"/>
        <w:numPr>
          <w:ilvl w:val="5"/>
          <w:numId w:val="184"/>
        </w:numPr>
        <w:ind w:left="1800" w:hanging="1800"/>
        <w:rPr>
          <w:b/>
        </w:rPr>
      </w:pPr>
      <w:bookmarkStart w:id="300" w:name="_GAB_1"/>
      <w:bookmarkEnd w:id="300"/>
      <w:r w:rsidRPr="004D3C4C">
        <w:rPr>
          <w:b/>
        </w:rPr>
        <w:t xml:space="preserve">GAB </w:t>
      </w:r>
    </w:p>
    <w:p w14:paraId="26683463" w14:textId="77777777" w:rsidR="004D3C4C" w:rsidRPr="004D3C4C" w:rsidRDefault="004D3C4C" w:rsidP="004D3C4C">
      <w:pPr>
        <w:pStyle w:val="ListNumber"/>
        <w:tabs>
          <w:tab w:val="clear" w:pos="720"/>
          <w:tab w:val="clear" w:pos="1872"/>
        </w:tabs>
        <w:ind w:left="0" w:firstLine="0"/>
      </w:pPr>
      <w:r w:rsidRPr="004D3C4C">
        <w:t xml:space="preserve">Refer to </w:t>
      </w:r>
      <w:hyperlink w:anchor="_GAB" w:history="1">
        <w:r w:rsidRPr="004D3C4C">
          <w:rPr>
            <w:rStyle w:val="Hyperlink"/>
          </w:rPr>
          <w:t>GAB</w:t>
        </w:r>
      </w:hyperlink>
      <w:r w:rsidRPr="004D3C4C">
        <w:t xml:space="preserve"> from the </w:t>
      </w:r>
      <w:r w:rsidRPr="004D3C4C">
        <w:rPr>
          <w:i/>
        </w:rPr>
        <w:t>Flexible Pavement</w:t>
      </w:r>
      <w:r w:rsidRPr="004D3C4C">
        <w:t xml:space="preserve"> section.</w:t>
      </w:r>
    </w:p>
    <w:p w14:paraId="06AE813A" w14:textId="77777777" w:rsidR="00EE769E" w:rsidRPr="004D3C4C" w:rsidRDefault="00EE769E" w:rsidP="00EE769E"/>
    <w:p w14:paraId="6FA03794" w14:textId="77777777" w:rsidR="00EE769E" w:rsidRPr="004D3C4C" w:rsidRDefault="00EE769E" w:rsidP="00172E64">
      <w:pPr>
        <w:pStyle w:val="Heading6"/>
        <w:numPr>
          <w:ilvl w:val="5"/>
          <w:numId w:val="184"/>
        </w:numPr>
        <w:ind w:left="1800" w:hanging="1800"/>
        <w:rPr>
          <w:b/>
        </w:rPr>
      </w:pPr>
      <w:bookmarkStart w:id="301" w:name="_Subgrade_1"/>
      <w:bookmarkEnd w:id="301"/>
      <w:r w:rsidRPr="004D3C4C">
        <w:rPr>
          <w:b/>
        </w:rPr>
        <w:t>Subgrade</w:t>
      </w:r>
    </w:p>
    <w:p w14:paraId="70811ABB" w14:textId="77777777" w:rsidR="004D3C4C" w:rsidRPr="004D3C4C" w:rsidRDefault="004D3C4C" w:rsidP="004D3C4C">
      <w:pPr>
        <w:pStyle w:val="ListNumber"/>
        <w:tabs>
          <w:tab w:val="clear" w:pos="720"/>
          <w:tab w:val="clear" w:pos="1872"/>
        </w:tabs>
        <w:ind w:left="0" w:firstLine="0"/>
      </w:pPr>
      <w:r w:rsidRPr="004D3C4C">
        <w:t xml:space="preserve">Refer to </w:t>
      </w:r>
      <w:hyperlink w:anchor="_Subgrade" w:history="1">
        <w:r w:rsidRPr="004D3C4C">
          <w:rPr>
            <w:rStyle w:val="Hyperlink"/>
          </w:rPr>
          <w:t>Subgrade</w:t>
        </w:r>
      </w:hyperlink>
      <w:r w:rsidRPr="004D3C4C">
        <w:t xml:space="preserve"> from the </w:t>
      </w:r>
      <w:r w:rsidRPr="004D3C4C">
        <w:rPr>
          <w:i/>
        </w:rPr>
        <w:t>Flexible Pavement</w:t>
      </w:r>
      <w:r w:rsidRPr="004D3C4C">
        <w:t xml:space="preserve"> section.</w:t>
      </w:r>
    </w:p>
    <w:p w14:paraId="23EB5C6A" w14:textId="5054EEA5" w:rsidR="00EE769E" w:rsidRDefault="00EE769E" w:rsidP="00EE769E">
      <w:pPr>
        <w:pStyle w:val="ListNumber"/>
        <w:tabs>
          <w:tab w:val="clear" w:pos="720"/>
          <w:tab w:val="clear" w:pos="1872"/>
        </w:tabs>
        <w:ind w:left="0" w:firstLine="0"/>
        <w:jc w:val="both"/>
      </w:pPr>
    </w:p>
    <w:p w14:paraId="5FFC4D91" w14:textId="77777777" w:rsidR="009D3CFA" w:rsidRPr="004D3C4C" w:rsidRDefault="009D3CFA" w:rsidP="00EE769E">
      <w:pPr>
        <w:pStyle w:val="ListNumber"/>
        <w:tabs>
          <w:tab w:val="clear" w:pos="720"/>
          <w:tab w:val="clear" w:pos="1872"/>
        </w:tabs>
        <w:ind w:left="0" w:firstLine="0"/>
        <w:jc w:val="both"/>
      </w:pPr>
    </w:p>
    <w:p w14:paraId="17451851" w14:textId="77777777" w:rsidR="00B01C2C" w:rsidRDefault="00B01C2C" w:rsidP="00172E64">
      <w:pPr>
        <w:pStyle w:val="Heading4"/>
        <w:numPr>
          <w:ilvl w:val="3"/>
          <w:numId w:val="184"/>
        </w:numPr>
        <w:tabs>
          <w:tab w:val="clear" w:pos="1080"/>
          <w:tab w:val="left" w:pos="1800"/>
        </w:tabs>
        <w:ind w:left="1800" w:hanging="1800"/>
      </w:pPr>
      <w:bookmarkStart w:id="302" w:name="_Continuous_Reinforced_Concrete"/>
      <w:bookmarkEnd w:id="302"/>
      <w:r w:rsidRPr="004D3C4C">
        <w:t>Continuous Reinforced Concrete Pavement</w:t>
      </w:r>
    </w:p>
    <w:p w14:paraId="50C28BAE" w14:textId="77777777" w:rsidR="00F062AE" w:rsidRPr="00F062AE" w:rsidRDefault="00F062AE" w:rsidP="00F062AE"/>
    <w:p w14:paraId="52756B26" w14:textId="77777777" w:rsidR="00F266F8" w:rsidRPr="002A7742" w:rsidRDefault="00F266F8" w:rsidP="00172E64">
      <w:pPr>
        <w:pStyle w:val="Heading5"/>
        <w:numPr>
          <w:ilvl w:val="4"/>
          <w:numId w:val="184"/>
        </w:numPr>
        <w:tabs>
          <w:tab w:val="clear" w:pos="1080"/>
          <w:tab w:val="left" w:pos="1800"/>
        </w:tabs>
        <w:ind w:left="1098" w:hanging="1098"/>
      </w:pPr>
      <w:r w:rsidRPr="002A7742">
        <w:t>Open PMED</w:t>
      </w:r>
    </w:p>
    <w:p w14:paraId="7D9C81F1" w14:textId="77777777" w:rsidR="00B01C2C" w:rsidRPr="00F266F8" w:rsidRDefault="00B01C2C" w:rsidP="00F266F8">
      <w:pPr>
        <w:pStyle w:val="ListNumber"/>
        <w:tabs>
          <w:tab w:val="clear" w:pos="720"/>
          <w:tab w:val="clear" w:pos="1872"/>
        </w:tabs>
        <w:ind w:left="0" w:firstLine="0"/>
        <w:jc w:val="both"/>
      </w:pPr>
      <w:r w:rsidRPr="00F266F8">
        <w:t>Open PMED and create a new project or open an existing one (as appropriate).  Input the General Information as required.  The “Design Type” shall be New Pavement, and the “Pavement Type” shall be Continuously Reinforced Concrete Pavement.</w:t>
      </w:r>
    </w:p>
    <w:p w14:paraId="78320564" w14:textId="0EA0770C" w:rsidR="00B01C2C" w:rsidRDefault="00B01C2C" w:rsidP="00A478A0">
      <w:pPr>
        <w:pStyle w:val="ListNumber"/>
        <w:tabs>
          <w:tab w:val="clear" w:pos="720"/>
          <w:tab w:val="clear" w:pos="1872"/>
        </w:tabs>
        <w:ind w:left="0" w:firstLine="0"/>
        <w:jc w:val="center"/>
      </w:pPr>
      <w:r w:rsidRPr="00F266F8">
        <w:rPr>
          <w:noProof/>
        </w:rPr>
        <w:drawing>
          <wp:inline distT="0" distB="0" distL="0" distR="0" wp14:anchorId="26A8A540" wp14:editId="7B323A6A">
            <wp:extent cx="3517780" cy="2142870"/>
            <wp:effectExtent l="19050" t="0" r="6470" b="0"/>
            <wp:docPr id="104" name="Picture 194"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94" descr="Pavement design PMED screen shot"/>
                    <pic:cNvPicPr>
                      <a:picLocks noChangeAspect="1" noChangeArrowheads="1"/>
                    </pic:cNvPicPr>
                  </pic:nvPicPr>
                  <pic:blipFill>
                    <a:blip r:embed="rId181" cstate="print"/>
                    <a:srcRect r="64487" b="65700"/>
                    <a:stretch>
                      <a:fillRect/>
                    </a:stretch>
                  </pic:blipFill>
                  <pic:spPr bwMode="auto">
                    <a:xfrm>
                      <a:off x="0" y="0"/>
                      <a:ext cx="3525560" cy="2147609"/>
                    </a:xfrm>
                    <a:prstGeom prst="rect">
                      <a:avLst/>
                    </a:prstGeom>
                    <a:noFill/>
                    <a:ln w="9525">
                      <a:noFill/>
                      <a:miter lim="800000"/>
                      <a:headEnd/>
                      <a:tailEnd/>
                    </a:ln>
                  </pic:spPr>
                </pic:pic>
              </a:graphicData>
            </a:graphic>
          </wp:inline>
        </w:drawing>
      </w:r>
    </w:p>
    <w:p w14:paraId="3205BD7F" w14:textId="77777777" w:rsidR="00F266F8" w:rsidRDefault="00F266F8" w:rsidP="00B01C2C">
      <w:pPr>
        <w:pStyle w:val="ListNumber"/>
        <w:tabs>
          <w:tab w:val="clear" w:pos="720"/>
          <w:tab w:val="clear" w:pos="1872"/>
        </w:tabs>
        <w:ind w:left="1152" w:firstLine="0"/>
        <w:jc w:val="both"/>
      </w:pPr>
    </w:p>
    <w:p w14:paraId="214387D5" w14:textId="77777777" w:rsidR="00F266F8" w:rsidRDefault="00F266F8" w:rsidP="00172E64">
      <w:pPr>
        <w:pStyle w:val="Heading5"/>
        <w:numPr>
          <w:ilvl w:val="4"/>
          <w:numId w:val="184"/>
        </w:numPr>
        <w:tabs>
          <w:tab w:val="clear" w:pos="1080"/>
          <w:tab w:val="left" w:pos="1800"/>
        </w:tabs>
        <w:ind w:left="1098" w:hanging="1098"/>
      </w:pPr>
      <w:bookmarkStart w:id="303" w:name="_Performance_Criteria_2"/>
      <w:bookmarkEnd w:id="303"/>
      <w:r w:rsidRPr="002A7742">
        <w:t>Performance Criteria</w:t>
      </w:r>
    </w:p>
    <w:p w14:paraId="36BEAFED" w14:textId="77777777" w:rsidR="0065723C" w:rsidRDefault="0065723C" w:rsidP="0065723C">
      <w:pPr>
        <w:rPr>
          <w:rFonts w:ascii="Arial" w:eastAsia="Arial" w:hAnsi="Arial" w:cs="Arial"/>
          <w:sz w:val="16"/>
        </w:rPr>
      </w:pPr>
      <w:r>
        <w:rPr>
          <w:rFonts w:ascii="Arial" w:eastAsia="Arial" w:hAnsi="Arial" w:cs="Arial"/>
          <w:sz w:val="16"/>
        </w:rPr>
        <w:t xml:space="preserve">Click to go to </w:t>
      </w:r>
      <w:hyperlink w:anchor="_Performance_Criteria_3" w:history="1">
        <w:r w:rsidRPr="0065723C">
          <w:rPr>
            <w:rStyle w:val="Hyperlink"/>
            <w:rFonts w:ascii="Arial" w:eastAsia="Arial" w:hAnsi="Arial" w:cs="Arial"/>
            <w:sz w:val="16"/>
          </w:rPr>
          <w:t>Performance Criteria</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4C6FDDC1" w14:textId="5B33CE30" w:rsidR="000A6278" w:rsidRDefault="00F266F8" w:rsidP="000A6278">
      <w:pPr>
        <w:pStyle w:val="ListNumber"/>
        <w:tabs>
          <w:tab w:val="clear" w:pos="720"/>
          <w:tab w:val="clear" w:pos="1872"/>
        </w:tabs>
        <w:ind w:left="0" w:firstLine="0"/>
        <w:jc w:val="both"/>
      </w:pPr>
      <w:r w:rsidRPr="002A7742">
        <w:t>Input the Design Life, Performance Criteria</w:t>
      </w:r>
      <w:r w:rsidR="00E339A9">
        <w:t>,</w:t>
      </w:r>
      <w:r w:rsidRPr="002A7742">
        <w:t xml:space="preserve"> and Reliability as per </w:t>
      </w:r>
      <w:hyperlink w:anchor="_New,_Rehabilitation_and" w:history="1">
        <w:r w:rsidRPr="002A7742">
          <w:rPr>
            <w:rStyle w:val="Hyperlink"/>
          </w:rPr>
          <w:t>New, Rehabilitation and Preservation Pavement Design</w:t>
        </w:r>
      </w:hyperlink>
      <w:r w:rsidRPr="002A7742">
        <w:t xml:space="preserve">.  </w:t>
      </w:r>
      <w:r w:rsidR="000A6278">
        <w:t>For rehabilitation designs, ensure that the Design Life is sufficiently long enough to determine when at least one of the performance criteria fails.</w:t>
      </w:r>
    </w:p>
    <w:p w14:paraId="7A9B19F7" w14:textId="77777777" w:rsidR="00F266F8" w:rsidRPr="002A7742" w:rsidRDefault="00F266F8" w:rsidP="00F266F8">
      <w:pPr>
        <w:pStyle w:val="ListNumber"/>
        <w:tabs>
          <w:tab w:val="clear" w:pos="720"/>
          <w:tab w:val="clear" w:pos="1872"/>
        </w:tabs>
        <w:ind w:left="0" w:firstLine="0"/>
        <w:jc w:val="both"/>
      </w:pPr>
      <w:r w:rsidRPr="002A7742">
        <w:t>Until unique criteria are developed, use the default criteria given in PMED</w:t>
      </w:r>
      <w:r w:rsidR="00EC4F22">
        <w:t xml:space="preserve"> for CRCP punchouts</w:t>
      </w:r>
      <w:r w:rsidRPr="002A7742">
        <w:t>.</w:t>
      </w:r>
    </w:p>
    <w:p w14:paraId="2B40054E" w14:textId="77777777" w:rsidR="00F266F8" w:rsidRPr="002A7742" w:rsidRDefault="00F266F8" w:rsidP="00A478A0">
      <w:pPr>
        <w:pStyle w:val="ListNumber"/>
        <w:tabs>
          <w:tab w:val="clear" w:pos="720"/>
          <w:tab w:val="clear" w:pos="1872"/>
          <w:tab w:val="num" w:pos="1170"/>
        </w:tabs>
        <w:spacing w:before="0"/>
        <w:ind w:left="720" w:firstLine="0"/>
        <w:jc w:val="both"/>
      </w:pPr>
    </w:p>
    <w:p w14:paraId="52183C74" w14:textId="6F000B07" w:rsidR="00F266F8" w:rsidRPr="002A7742" w:rsidRDefault="00EF0648" w:rsidP="00A478A0">
      <w:pPr>
        <w:pStyle w:val="ListNumber"/>
        <w:tabs>
          <w:tab w:val="clear" w:pos="720"/>
          <w:tab w:val="clear" w:pos="1872"/>
        </w:tabs>
        <w:ind w:hanging="1872"/>
        <w:jc w:val="center"/>
      </w:pPr>
      <w:r>
        <w:rPr>
          <w:noProof/>
        </w:rPr>
        <w:drawing>
          <wp:inline distT="0" distB="0" distL="0" distR="0" wp14:anchorId="3CD08E32" wp14:editId="3DEA8E4A">
            <wp:extent cx="5268030" cy="1038225"/>
            <wp:effectExtent l="19050" t="0" r="8820" b="0"/>
            <wp:docPr id="760" name="Picture 43"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Picture 43" descr="Pavement design PMED screen shot"/>
                    <pic:cNvPicPr>
                      <a:picLocks noChangeAspect="1" noChangeArrowheads="1"/>
                    </pic:cNvPicPr>
                  </pic:nvPicPr>
                  <pic:blipFill>
                    <a:blip r:embed="rId191" cstate="print"/>
                    <a:srcRect l="38194" t="10278" r="14236" b="74722"/>
                    <a:stretch>
                      <a:fillRect/>
                    </a:stretch>
                  </pic:blipFill>
                  <pic:spPr bwMode="auto">
                    <a:xfrm>
                      <a:off x="0" y="0"/>
                      <a:ext cx="5268030" cy="1038225"/>
                    </a:xfrm>
                    <a:prstGeom prst="rect">
                      <a:avLst/>
                    </a:prstGeom>
                    <a:noFill/>
                    <a:ln w="9525">
                      <a:noFill/>
                      <a:miter lim="800000"/>
                      <a:headEnd/>
                      <a:tailEnd/>
                    </a:ln>
                  </pic:spPr>
                </pic:pic>
              </a:graphicData>
            </a:graphic>
          </wp:inline>
        </w:drawing>
      </w:r>
    </w:p>
    <w:p w14:paraId="06D4140C" w14:textId="77777777" w:rsidR="00F266F8" w:rsidRPr="002A7742" w:rsidRDefault="00F266F8" w:rsidP="00F266F8">
      <w:pPr>
        <w:pStyle w:val="Heading4"/>
        <w:numPr>
          <w:ilvl w:val="0"/>
          <w:numId w:val="0"/>
        </w:numPr>
        <w:ind w:left="864"/>
      </w:pPr>
    </w:p>
    <w:p w14:paraId="1111C50A" w14:textId="77777777" w:rsidR="00F266F8" w:rsidRPr="002A7742" w:rsidRDefault="00F266F8" w:rsidP="00172E64">
      <w:pPr>
        <w:pStyle w:val="Heading5"/>
        <w:numPr>
          <w:ilvl w:val="4"/>
          <w:numId w:val="184"/>
        </w:numPr>
        <w:tabs>
          <w:tab w:val="clear" w:pos="1080"/>
          <w:tab w:val="left" w:pos="1800"/>
        </w:tabs>
        <w:ind w:left="1098" w:hanging="1098"/>
      </w:pPr>
      <w:bookmarkStart w:id="304" w:name="_Traffic_2"/>
      <w:bookmarkEnd w:id="304"/>
      <w:r w:rsidRPr="002A7742">
        <w:t>Traffic</w:t>
      </w:r>
    </w:p>
    <w:p w14:paraId="71C0B858" w14:textId="77777777" w:rsidR="00F266F8" w:rsidRDefault="00F266F8" w:rsidP="00F266F8">
      <w:pPr>
        <w:pStyle w:val="ListNumber"/>
        <w:tabs>
          <w:tab w:val="clear" w:pos="720"/>
          <w:tab w:val="clear" w:pos="1872"/>
        </w:tabs>
        <w:ind w:left="0" w:firstLine="0"/>
      </w:pPr>
      <w:r>
        <w:t xml:space="preserve">Refer to </w:t>
      </w:r>
      <w:hyperlink w:anchor="_Traffic_1" w:history="1">
        <w:r w:rsidRPr="00CC4472">
          <w:rPr>
            <w:rStyle w:val="Hyperlink"/>
          </w:rPr>
          <w:t>Traffic</w:t>
        </w:r>
      </w:hyperlink>
      <w:r>
        <w:t xml:space="preserve"> from the </w:t>
      </w:r>
      <w:r w:rsidRPr="002A7742">
        <w:rPr>
          <w:i/>
        </w:rPr>
        <w:t>Flexible Pavement</w:t>
      </w:r>
      <w:r>
        <w:t xml:space="preserve"> section.</w:t>
      </w:r>
    </w:p>
    <w:p w14:paraId="096CEC27" w14:textId="77777777" w:rsidR="00F266F8" w:rsidRDefault="00F266F8" w:rsidP="00A478A0">
      <w:pPr>
        <w:pStyle w:val="ListNumber"/>
        <w:tabs>
          <w:tab w:val="clear" w:pos="720"/>
          <w:tab w:val="clear" w:pos="1872"/>
        </w:tabs>
        <w:spacing w:before="0"/>
        <w:ind w:left="0" w:firstLine="0"/>
        <w:jc w:val="both"/>
      </w:pPr>
    </w:p>
    <w:p w14:paraId="32AC421A" w14:textId="77777777" w:rsidR="00F266F8" w:rsidRDefault="00F266F8" w:rsidP="00172E64">
      <w:pPr>
        <w:pStyle w:val="Heading5"/>
        <w:numPr>
          <w:ilvl w:val="4"/>
          <w:numId w:val="184"/>
        </w:numPr>
        <w:tabs>
          <w:tab w:val="clear" w:pos="1080"/>
          <w:tab w:val="left" w:pos="1800"/>
        </w:tabs>
        <w:ind w:left="1098" w:hanging="1098"/>
      </w:pPr>
      <w:bookmarkStart w:id="305" w:name="_Climate_2"/>
      <w:bookmarkEnd w:id="305"/>
      <w:r>
        <w:t>Climate</w:t>
      </w:r>
    </w:p>
    <w:p w14:paraId="1570A030" w14:textId="77777777" w:rsidR="00F266F8" w:rsidRDefault="00F266F8" w:rsidP="00F266F8">
      <w:pPr>
        <w:pStyle w:val="ListNumber"/>
        <w:tabs>
          <w:tab w:val="clear" w:pos="720"/>
          <w:tab w:val="clear" w:pos="1872"/>
        </w:tabs>
        <w:ind w:left="0" w:firstLine="0"/>
      </w:pPr>
      <w:r>
        <w:t xml:space="preserve">Refer to </w:t>
      </w:r>
      <w:hyperlink w:anchor="_Climate" w:history="1">
        <w:r w:rsidRPr="002A7742">
          <w:rPr>
            <w:rStyle w:val="Hyperlink"/>
          </w:rPr>
          <w:t>Climate</w:t>
        </w:r>
      </w:hyperlink>
      <w:r>
        <w:t xml:space="preserve"> from the </w:t>
      </w:r>
      <w:r w:rsidRPr="002A7742">
        <w:rPr>
          <w:i/>
        </w:rPr>
        <w:t>Flexible Pavement</w:t>
      </w:r>
      <w:r>
        <w:t xml:space="preserve"> section.</w:t>
      </w:r>
    </w:p>
    <w:p w14:paraId="1CBE0285" w14:textId="77777777" w:rsidR="00F266F8" w:rsidRDefault="00F266F8" w:rsidP="00F266F8">
      <w:pPr>
        <w:pStyle w:val="Heading5"/>
        <w:numPr>
          <w:ilvl w:val="0"/>
          <w:numId w:val="0"/>
        </w:numPr>
        <w:ind w:left="1008"/>
      </w:pPr>
    </w:p>
    <w:p w14:paraId="40735AD2" w14:textId="77777777" w:rsidR="00F266F8" w:rsidRDefault="005E3BE1" w:rsidP="00172E64">
      <w:pPr>
        <w:pStyle w:val="Heading5"/>
        <w:numPr>
          <w:ilvl w:val="4"/>
          <w:numId w:val="184"/>
        </w:numPr>
        <w:tabs>
          <w:tab w:val="clear" w:pos="1080"/>
          <w:tab w:val="left" w:pos="1800"/>
        </w:tabs>
        <w:ind w:left="1098" w:hanging="1098"/>
      </w:pPr>
      <w:bookmarkStart w:id="306" w:name="_CRCP_Layer_Properties"/>
      <w:bookmarkEnd w:id="306"/>
      <w:r>
        <w:t>CR</w:t>
      </w:r>
      <w:r w:rsidR="00F266F8">
        <w:t>CP Layer Properties</w:t>
      </w:r>
    </w:p>
    <w:p w14:paraId="246FEE1A" w14:textId="77777777" w:rsidR="00BD202E" w:rsidRDefault="00BD202E" w:rsidP="00BD202E">
      <w:pPr>
        <w:rPr>
          <w:rFonts w:ascii="Arial" w:eastAsia="Arial" w:hAnsi="Arial" w:cs="Arial"/>
          <w:sz w:val="16"/>
        </w:rPr>
      </w:pPr>
      <w:r>
        <w:rPr>
          <w:rFonts w:ascii="Arial" w:eastAsia="Arial" w:hAnsi="Arial" w:cs="Arial"/>
          <w:sz w:val="16"/>
        </w:rPr>
        <w:t xml:space="preserve">Click to go to </w:t>
      </w:r>
      <w:hyperlink w:anchor="_CRCP_Layer_Properties_1" w:history="1">
        <w:r w:rsidRPr="00BD202E">
          <w:rPr>
            <w:rStyle w:val="Hyperlink"/>
            <w:rFonts w:ascii="Arial" w:eastAsia="Arial" w:hAnsi="Arial" w:cs="Arial"/>
            <w:sz w:val="16"/>
          </w:rPr>
          <w:t>CRCP Layer Properties</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750E1DAE" w14:textId="77777777" w:rsidR="00A66597" w:rsidRDefault="00A66597" w:rsidP="00A66597">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CRCP_steel_reinforcement_1" w:history="1">
        <w:r w:rsidRPr="00A66597">
          <w:rPr>
            <w:rStyle w:val="Hyperlink"/>
            <w:rFonts w:ascii="Arial" w:hAnsi="Arial" w:cs="Arial"/>
            <w:bCs/>
            <w:sz w:val="16"/>
            <w:szCs w:val="16"/>
          </w:rPr>
          <w:t>CRCP steel reinforcement design inputs – AASHTO 1993</w:t>
        </w:r>
      </w:hyperlink>
    </w:p>
    <w:p w14:paraId="3925FCB5" w14:textId="257F398A" w:rsidR="00407D40" w:rsidRDefault="00EC4F22" w:rsidP="00EC4F22">
      <w:pPr>
        <w:pStyle w:val="ListNumber"/>
        <w:tabs>
          <w:tab w:val="clear" w:pos="720"/>
          <w:tab w:val="clear" w:pos="1872"/>
        </w:tabs>
        <w:ind w:left="0" w:firstLine="0"/>
      </w:pPr>
      <w:r w:rsidRPr="002C2454">
        <w:lastRenderedPageBreak/>
        <w:t xml:space="preserve">Double-click on the “CRCP Design Properties” button.  </w:t>
      </w:r>
      <w:r w:rsidR="00050A04" w:rsidRPr="002C2454">
        <w:t xml:space="preserve">Refer to </w:t>
      </w:r>
      <w:hyperlink w:anchor="_Continuous_Reinforced_Concrete_1" w:history="1">
        <w:r w:rsidR="00050A04" w:rsidRPr="002C2454">
          <w:rPr>
            <w:rStyle w:val="Hyperlink"/>
          </w:rPr>
          <w:t>Continuous Reinforced Concrete Pavement Design</w:t>
        </w:r>
      </w:hyperlink>
      <w:r w:rsidR="00050A04" w:rsidRPr="002C2454">
        <w:t>.</w:t>
      </w:r>
    </w:p>
    <w:p w14:paraId="1CCF3C73" w14:textId="77777777" w:rsidR="009D3CFA" w:rsidRDefault="009D3CFA" w:rsidP="00EC4F22">
      <w:pPr>
        <w:pStyle w:val="ListNumber"/>
        <w:tabs>
          <w:tab w:val="clear" w:pos="720"/>
          <w:tab w:val="clear" w:pos="1872"/>
        </w:tabs>
        <w:ind w:left="0" w:firstLine="0"/>
      </w:pPr>
    </w:p>
    <w:p w14:paraId="015C7E08" w14:textId="476C76EF" w:rsidR="00EC4F22" w:rsidRPr="002C2454" w:rsidRDefault="009321C3" w:rsidP="00A478A0">
      <w:pPr>
        <w:pStyle w:val="ListNumber"/>
        <w:tabs>
          <w:tab w:val="clear" w:pos="720"/>
          <w:tab w:val="clear" w:pos="1872"/>
        </w:tabs>
        <w:ind w:left="0" w:firstLine="0"/>
        <w:jc w:val="center"/>
      </w:pPr>
      <w:r>
        <w:rPr>
          <w:noProof/>
        </w:rPr>
        <w:drawing>
          <wp:inline distT="0" distB="0" distL="0" distR="0" wp14:anchorId="271B8811" wp14:editId="624B8760">
            <wp:extent cx="5486400" cy="1518920"/>
            <wp:effectExtent l="0" t="0" r="0" b="5080"/>
            <wp:docPr id="3308" name="Picture 3308"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8" name="Picture 3308" descr="Pavement design PMED screen shot"/>
                    <pic:cNvPicPr/>
                  </pic:nvPicPr>
                  <pic:blipFill>
                    <a:blip r:embed="rId192"/>
                    <a:stretch>
                      <a:fillRect/>
                    </a:stretch>
                  </pic:blipFill>
                  <pic:spPr>
                    <a:xfrm>
                      <a:off x="0" y="0"/>
                      <a:ext cx="5486400" cy="1518920"/>
                    </a:xfrm>
                    <a:prstGeom prst="rect">
                      <a:avLst/>
                    </a:prstGeom>
                  </pic:spPr>
                </pic:pic>
              </a:graphicData>
            </a:graphic>
          </wp:inline>
        </w:drawing>
      </w:r>
    </w:p>
    <w:p w14:paraId="58BAE243" w14:textId="77777777" w:rsidR="00EC4F22" w:rsidRPr="002C2454" w:rsidRDefault="00EC4F22" w:rsidP="00172E64">
      <w:pPr>
        <w:pStyle w:val="ListNumber"/>
        <w:numPr>
          <w:ilvl w:val="0"/>
          <w:numId w:val="126"/>
        </w:numPr>
        <w:tabs>
          <w:tab w:val="clear" w:pos="1152"/>
          <w:tab w:val="clear" w:pos="1872"/>
          <w:tab w:val="num" w:pos="1080"/>
        </w:tabs>
        <w:spacing w:before="240"/>
        <w:jc w:val="both"/>
      </w:pPr>
      <w:r w:rsidRPr="002C2454">
        <w:t>PCC surface shortwave absorptivity: Use the default value (0.85).</w:t>
      </w:r>
    </w:p>
    <w:p w14:paraId="3BFF8435" w14:textId="77777777" w:rsidR="009321C3" w:rsidRPr="002C2454" w:rsidRDefault="009321C3" w:rsidP="00172E64">
      <w:pPr>
        <w:pStyle w:val="ListNumber"/>
        <w:numPr>
          <w:ilvl w:val="0"/>
          <w:numId w:val="126"/>
        </w:numPr>
        <w:tabs>
          <w:tab w:val="clear" w:pos="1872"/>
          <w:tab w:val="left" w:pos="90"/>
        </w:tabs>
        <w:ind w:left="1080" w:hanging="1080"/>
        <w:jc w:val="both"/>
      </w:pPr>
      <w:r>
        <w:t>Bar diameter:</w:t>
      </w:r>
      <w:r w:rsidRPr="002C2454">
        <w:t xml:space="preserve"> </w:t>
      </w:r>
      <w:r>
        <w:t xml:space="preserve">Typically, #5 and #6 bars are used.  </w:t>
      </w:r>
    </w:p>
    <w:p w14:paraId="3BD41103" w14:textId="77777777" w:rsidR="009321C3" w:rsidRPr="002C2454" w:rsidRDefault="009321C3" w:rsidP="00172E64">
      <w:pPr>
        <w:pStyle w:val="ListNumber"/>
        <w:numPr>
          <w:ilvl w:val="0"/>
          <w:numId w:val="126"/>
        </w:numPr>
        <w:tabs>
          <w:tab w:val="clear" w:pos="1872"/>
        </w:tabs>
        <w:ind w:left="1080" w:hanging="1080"/>
        <w:jc w:val="both"/>
      </w:pPr>
      <w:r>
        <w:t xml:space="preserve">Base/slab friction coefficient: Use the high values for new designs.  Refer to </w:t>
      </w:r>
      <w:hyperlink w:anchor="_Base/Slab_Friction_Coefficient" w:history="1">
        <w:r w:rsidRPr="00965B0F">
          <w:rPr>
            <w:rStyle w:val="Hyperlink"/>
          </w:rPr>
          <w:t>Base/Slab Friction Coefficient</w:t>
        </w:r>
      </w:hyperlink>
      <w:r>
        <w:t xml:space="preserve">. </w:t>
      </w:r>
    </w:p>
    <w:p w14:paraId="519D6B8B" w14:textId="77777777" w:rsidR="009321C3" w:rsidRDefault="009321C3" w:rsidP="00172E64">
      <w:pPr>
        <w:pStyle w:val="ListNumber"/>
        <w:numPr>
          <w:ilvl w:val="0"/>
          <w:numId w:val="126"/>
        </w:numPr>
        <w:tabs>
          <w:tab w:val="clear" w:pos="1872"/>
        </w:tabs>
        <w:ind w:left="1080" w:hanging="1080"/>
        <w:jc w:val="both"/>
      </w:pPr>
      <w:r>
        <w:t>Crack Spacing</w:t>
      </w:r>
      <w:r w:rsidRPr="002C2454">
        <w:t xml:space="preserve">: </w:t>
      </w:r>
      <w:r>
        <w:t>Use default value.  Generate should equal True.</w:t>
      </w:r>
    </w:p>
    <w:p w14:paraId="485B32D5" w14:textId="77777777" w:rsidR="009321C3" w:rsidRPr="002C2454" w:rsidRDefault="009321C3" w:rsidP="00172E64">
      <w:pPr>
        <w:pStyle w:val="ListNumber"/>
        <w:numPr>
          <w:ilvl w:val="0"/>
          <w:numId w:val="126"/>
        </w:numPr>
        <w:tabs>
          <w:tab w:val="clear" w:pos="1872"/>
          <w:tab w:val="left" w:pos="90"/>
        </w:tabs>
        <w:ind w:left="1080" w:hanging="1080"/>
        <w:jc w:val="both"/>
      </w:pPr>
      <w:r w:rsidRPr="002C2454">
        <w:t xml:space="preserve">Steel %: </w:t>
      </w:r>
      <w:r>
        <w:t>0.6% to 0.8%.</w:t>
      </w:r>
    </w:p>
    <w:p w14:paraId="19E05BBD" w14:textId="77777777" w:rsidR="00050A04" w:rsidRPr="002C2454" w:rsidRDefault="002C2454" w:rsidP="00172E64">
      <w:pPr>
        <w:pStyle w:val="ListNumber"/>
        <w:numPr>
          <w:ilvl w:val="0"/>
          <w:numId w:val="126"/>
        </w:numPr>
        <w:tabs>
          <w:tab w:val="clear" w:pos="1872"/>
          <w:tab w:val="left" w:pos="90"/>
        </w:tabs>
        <w:ind w:left="1080" w:hanging="1080"/>
        <w:jc w:val="both"/>
      </w:pPr>
      <w:r w:rsidRPr="002C2454">
        <w:t>Permanent curl/warp effective temperature difference: Use default (-10).</w:t>
      </w:r>
    </w:p>
    <w:p w14:paraId="3B9A0A35" w14:textId="77777777" w:rsidR="009321C3" w:rsidRPr="002C2454" w:rsidRDefault="009321C3" w:rsidP="00172E64">
      <w:pPr>
        <w:pStyle w:val="ListNumber"/>
        <w:numPr>
          <w:ilvl w:val="0"/>
          <w:numId w:val="126"/>
        </w:numPr>
        <w:tabs>
          <w:tab w:val="clear" w:pos="1872"/>
          <w:tab w:val="left" w:pos="90"/>
        </w:tabs>
        <w:ind w:left="1080" w:hanging="1080"/>
        <w:jc w:val="both"/>
      </w:pPr>
      <w:r w:rsidRPr="002C2454">
        <w:t>Shoulder type: If there is a concrete shoulder, choose “Tied PCC – Separate.</w:t>
      </w:r>
      <w:r>
        <w:t>”</w:t>
      </w:r>
      <w:r w:rsidRPr="002C2454">
        <w:t xml:space="preserve">  If the shoulder will be asphalt, choose asphalt.</w:t>
      </w:r>
    </w:p>
    <w:p w14:paraId="00B2891A" w14:textId="13E71E72" w:rsidR="003D5F59" w:rsidRPr="002C2454" w:rsidRDefault="003D5F59" w:rsidP="00172E64">
      <w:pPr>
        <w:pStyle w:val="ListNumber"/>
        <w:numPr>
          <w:ilvl w:val="0"/>
          <w:numId w:val="126"/>
        </w:numPr>
        <w:tabs>
          <w:tab w:val="clear" w:pos="1872"/>
          <w:tab w:val="left" w:pos="90"/>
        </w:tabs>
        <w:ind w:left="1080" w:hanging="1080"/>
        <w:jc w:val="both"/>
      </w:pPr>
      <w:r>
        <w:t>Steel Depth:</w:t>
      </w:r>
      <w:r w:rsidRPr="002C2454">
        <w:t xml:space="preserve"> </w:t>
      </w:r>
      <w:r w:rsidR="00314FCA">
        <w:t>Use 3</w:t>
      </w:r>
      <w:r w:rsidR="00E339A9">
        <w:t>"</w:t>
      </w:r>
      <w:r w:rsidR="00314FCA">
        <w:t>.</w:t>
      </w:r>
    </w:p>
    <w:p w14:paraId="1DC1A543" w14:textId="77777777" w:rsidR="00EC4F22" w:rsidRPr="00A37C11" w:rsidRDefault="00EC4F22" w:rsidP="00A478A0">
      <w:pPr>
        <w:pStyle w:val="ListNumber"/>
        <w:tabs>
          <w:tab w:val="clear" w:pos="720"/>
          <w:tab w:val="clear" w:pos="1872"/>
        </w:tabs>
        <w:spacing w:before="0"/>
        <w:ind w:left="0" w:firstLine="0"/>
        <w:jc w:val="both"/>
      </w:pPr>
    </w:p>
    <w:p w14:paraId="28EDB8B5" w14:textId="77777777" w:rsidR="00EC4F22" w:rsidRPr="00A37C11" w:rsidRDefault="00EC4F22" w:rsidP="00172E64">
      <w:pPr>
        <w:pStyle w:val="Heading5"/>
        <w:numPr>
          <w:ilvl w:val="4"/>
          <w:numId w:val="184"/>
        </w:numPr>
        <w:ind w:left="1800" w:hanging="1800"/>
      </w:pPr>
      <w:r w:rsidRPr="00A37C11">
        <w:t>Pavement Structure</w:t>
      </w:r>
    </w:p>
    <w:p w14:paraId="42D3C887" w14:textId="77777777" w:rsidR="00EC4F22" w:rsidRPr="003C20AA" w:rsidRDefault="00A37C11" w:rsidP="00A37C11">
      <w:pPr>
        <w:pStyle w:val="ListNumber"/>
        <w:tabs>
          <w:tab w:val="clear" w:pos="720"/>
          <w:tab w:val="clear" w:pos="1872"/>
        </w:tabs>
        <w:ind w:left="0" w:firstLine="0"/>
        <w:jc w:val="both"/>
      </w:pPr>
      <w:r w:rsidRPr="00A37C11">
        <w:t xml:space="preserve">Refer to </w:t>
      </w:r>
      <w:hyperlink w:anchor="_Pavement_Structure" w:history="1">
        <w:r w:rsidRPr="00A37C11">
          <w:rPr>
            <w:rStyle w:val="Hyperlink"/>
          </w:rPr>
          <w:t>Pavement Structure</w:t>
        </w:r>
      </w:hyperlink>
      <w:r w:rsidRPr="00A37C11">
        <w:t xml:space="preserve"> from the </w:t>
      </w:r>
      <w:r w:rsidRPr="003C20AA">
        <w:rPr>
          <w:i/>
        </w:rPr>
        <w:t>JPCP</w:t>
      </w:r>
      <w:r w:rsidRPr="003C20AA">
        <w:t xml:space="preserve"> section. </w:t>
      </w:r>
    </w:p>
    <w:p w14:paraId="51C0B58A" w14:textId="77777777" w:rsidR="00E86920" w:rsidRPr="003C20AA" w:rsidRDefault="00E86920" w:rsidP="00E86920">
      <w:pPr>
        <w:tabs>
          <w:tab w:val="left" w:pos="1800"/>
        </w:tabs>
        <w:ind w:left="1440"/>
        <w:jc w:val="both"/>
        <w:rPr>
          <w:rFonts w:ascii="Arial" w:eastAsia="Arial" w:hAnsi="Arial" w:cs="Arial"/>
          <w:shd w:val="clear" w:color="auto" w:fill="FFFF00"/>
        </w:rPr>
      </w:pPr>
      <w:r w:rsidRPr="003C20AA">
        <w:rPr>
          <w:rFonts w:ascii="Arial" w:eastAsia="Arial" w:hAnsi="Arial" w:cs="Arial"/>
          <w:sz w:val="22"/>
          <w:shd w:val="clear" w:color="auto" w:fill="FFFF00"/>
        </w:rPr>
        <w:t xml:space="preserve"> </w:t>
      </w:r>
    </w:p>
    <w:p w14:paraId="69014872" w14:textId="77777777" w:rsidR="00E86920" w:rsidRPr="00B621C3" w:rsidRDefault="00E86920" w:rsidP="00172E64">
      <w:pPr>
        <w:pStyle w:val="Heading4"/>
        <w:numPr>
          <w:ilvl w:val="3"/>
          <w:numId w:val="184"/>
        </w:numPr>
        <w:tabs>
          <w:tab w:val="clear" w:pos="1080"/>
          <w:tab w:val="left" w:pos="1800"/>
        </w:tabs>
        <w:ind w:left="864"/>
      </w:pPr>
      <w:bookmarkStart w:id="307" w:name="_Asphalt_Overlay_over"/>
      <w:bookmarkEnd w:id="307"/>
      <w:r w:rsidRPr="00B621C3">
        <w:t>Asphalt Overlay over JCP</w:t>
      </w:r>
    </w:p>
    <w:p w14:paraId="71452B08" w14:textId="2487A4B4" w:rsidR="009B23BC" w:rsidRDefault="009B23BC" w:rsidP="009B23BC">
      <w:pPr>
        <w:rPr>
          <w:rFonts w:ascii="Arial" w:eastAsia="Arial" w:hAnsi="Arial" w:cs="Arial"/>
          <w:sz w:val="16"/>
        </w:rPr>
      </w:pPr>
      <w:r>
        <w:rPr>
          <w:rFonts w:ascii="Arial" w:eastAsia="Arial" w:hAnsi="Arial" w:cs="Arial"/>
          <w:sz w:val="16"/>
        </w:rPr>
        <w:t xml:space="preserve">Click to go to </w:t>
      </w:r>
      <w:hyperlink w:anchor="_JPCP_Restoration" w:history="1">
        <w:r w:rsidRPr="009B23BC">
          <w:rPr>
            <w:rStyle w:val="Hyperlink"/>
            <w:rFonts w:ascii="Arial" w:eastAsia="Arial" w:hAnsi="Arial" w:cs="Arial"/>
            <w:sz w:val="16"/>
          </w:rPr>
          <w:t>JPCP Restoration</w:t>
        </w:r>
      </w:hyperlink>
    </w:p>
    <w:p w14:paraId="0590C826" w14:textId="77777777" w:rsidR="009B23BC" w:rsidRDefault="009B23BC" w:rsidP="00BA6982">
      <w:pPr>
        <w:pStyle w:val="Heading5"/>
        <w:numPr>
          <w:ilvl w:val="0"/>
          <w:numId w:val="0"/>
        </w:numPr>
        <w:rPr>
          <w:b w:val="0"/>
        </w:rPr>
      </w:pPr>
    </w:p>
    <w:p w14:paraId="1E5AFF32" w14:textId="77777777" w:rsidR="00BA6982" w:rsidRPr="00EF3C70" w:rsidRDefault="00BA6982" w:rsidP="00BA6982">
      <w:pPr>
        <w:pStyle w:val="Heading5"/>
        <w:numPr>
          <w:ilvl w:val="0"/>
          <w:numId w:val="0"/>
        </w:numPr>
        <w:rPr>
          <w:b w:val="0"/>
        </w:rPr>
      </w:pPr>
      <w:r w:rsidRPr="003C20AA">
        <w:rPr>
          <w:b w:val="0"/>
        </w:rPr>
        <w:t>The following section applies for both JPCP and JRCP.</w:t>
      </w:r>
    </w:p>
    <w:p w14:paraId="23FCED25" w14:textId="77777777" w:rsidR="00BA6982" w:rsidRPr="00EF3C70" w:rsidRDefault="00BA6982" w:rsidP="00BA6982"/>
    <w:p w14:paraId="39225EF6" w14:textId="77777777" w:rsidR="00BA6982" w:rsidRPr="00EF3C70" w:rsidRDefault="00BA6982" w:rsidP="00172E64">
      <w:pPr>
        <w:pStyle w:val="Heading5"/>
        <w:numPr>
          <w:ilvl w:val="4"/>
          <w:numId w:val="184"/>
        </w:numPr>
        <w:tabs>
          <w:tab w:val="clear" w:pos="1080"/>
          <w:tab w:val="left" w:pos="1800"/>
        </w:tabs>
        <w:ind w:left="1098" w:hanging="1098"/>
      </w:pPr>
      <w:r w:rsidRPr="00EF3C70">
        <w:t>Open PMED</w:t>
      </w:r>
    </w:p>
    <w:p w14:paraId="76A1D7E2" w14:textId="77777777" w:rsidR="00BA6982" w:rsidRPr="00EF3C70" w:rsidRDefault="00BA6982" w:rsidP="00BA6982">
      <w:pPr>
        <w:pStyle w:val="ListNumber"/>
        <w:tabs>
          <w:tab w:val="clear" w:pos="720"/>
          <w:tab w:val="clear" w:pos="1872"/>
        </w:tabs>
        <w:ind w:left="0" w:firstLine="0"/>
        <w:jc w:val="both"/>
      </w:pPr>
      <w:r w:rsidRPr="00EF3C70">
        <w:t xml:space="preserve">Open PMED and create a new project or open an existing one (as appropriate).  Input the General Information as required.  The “Design Type” shall be Overlay, and the “Pavement Type” shall be AC over JPCP.  </w:t>
      </w:r>
    </w:p>
    <w:p w14:paraId="39E3F51C" w14:textId="77777777" w:rsidR="00BA6982" w:rsidRPr="00EF3C70" w:rsidRDefault="00BA6982" w:rsidP="00BA6982">
      <w:pPr>
        <w:pStyle w:val="Heading5"/>
        <w:numPr>
          <w:ilvl w:val="0"/>
          <w:numId w:val="0"/>
        </w:numPr>
        <w:ind w:left="1008"/>
      </w:pPr>
    </w:p>
    <w:p w14:paraId="793EFE52" w14:textId="77777777" w:rsidR="00BA6982" w:rsidRPr="00EF3C70" w:rsidRDefault="00BA6982" w:rsidP="00172E64">
      <w:pPr>
        <w:pStyle w:val="Heading5"/>
        <w:numPr>
          <w:ilvl w:val="4"/>
          <w:numId w:val="184"/>
        </w:numPr>
        <w:tabs>
          <w:tab w:val="clear" w:pos="1080"/>
          <w:tab w:val="left" w:pos="1800"/>
        </w:tabs>
        <w:ind w:left="1098" w:hanging="1098"/>
      </w:pPr>
      <w:bookmarkStart w:id="308" w:name="_Performance_Criteria_1"/>
      <w:bookmarkEnd w:id="308"/>
      <w:r w:rsidRPr="00EF3C70">
        <w:t>Performance Criteria</w:t>
      </w:r>
    </w:p>
    <w:p w14:paraId="00AF971D" w14:textId="7A7DD08B" w:rsidR="00BA6982" w:rsidRPr="00EF3C70" w:rsidRDefault="00BA6982" w:rsidP="00BA6982">
      <w:pPr>
        <w:pStyle w:val="ListNumber"/>
        <w:tabs>
          <w:tab w:val="clear" w:pos="720"/>
          <w:tab w:val="clear" w:pos="1872"/>
        </w:tabs>
        <w:ind w:left="0" w:firstLine="0"/>
        <w:jc w:val="both"/>
      </w:pPr>
      <w:r w:rsidRPr="00EF3C70">
        <w:t>Input the Design Life, Performance Criteria</w:t>
      </w:r>
      <w:r w:rsidR="00E339A9">
        <w:t>,</w:t>
      </w:r>
      <w:r w:rsidRPr="00EF3C70">
        <w:t xml:space="preserve"> and Reliability as per </w:t>
      </w:r>
      <w:hyperlink w:anchor="_New,_Rehabilitation_and" w:history="1">
        <w:r w:rsidRPr="00EF3C70">
          <w:rPr>
            <w:rStyle w:val="Hyperlink"/>
          </w:rPr>
          <w:t>New, Rehabilitation and Preservation Pavement Design</w:t>
        </w:r>
      </w:hyperlink>
      <w:r w:rsidRPr="00EF3C70">
        <w:t>.  Ensure that the Design Life is sufficiently long enough to determine when at least one of the performance criteria fails.</w:t>
      </w:r>
    </w:p>
    <w:p w14:paraId="6B44E8CF" w14:textId="77777777" w:rsidR="00BA6982" w:rsidRPr="00EF3C70" w:rsidRDefault="00BA6982" w:rsidP="00BA6982">
      <w:pPr>
        <w:pStyle w:val="ListNumber"/>
        <w:tabs>
          <w:tab w:val="clear" w:pos="720"/>
          <w:tab w:val="clear" w:pos="1872"/>
        </w:tabs>
        <w:ind w:left="0" w:firstLine="0"/>
        <w:jc w:val="both"/>
      </w:pPr>
      <w:r w:rsidRPr="00EF3C70">
        <w:t xml:space="preserve">Refer to </w:t>
      </w:r>
      <w:hyperlink w:anchor="_Performance_Criteria" w:history="1">
        <w:r w:rsidRPr="00EF3C70">
          <w:rPr>
            <w:rStyle w:val="Hyperlink"/>
          </w:rPr>
          <w:t>Performance Criteria</w:t>
        </w:r>
      </w:hyperlink>
      <w:r w:rsidRPr="00EF3C70">
        <w:t xml:space="preserve"> from the </w:t>
      </w:r>
      <w:r w:rsidRPr="00DE4165">
        <w:rPr>
          <w:i/>
        </w:rPr>
        <w:t>Jointed Plain Concrete Pavement</w:t>
      </w:r>
      <w:r w:rsidRPr="00EF3C70">
        <w:t xml:space="preserve"> section for additional direction.</w:t>
      </w:r>
    </w:p>
    <w:p w14:paraId="4DA42CA9" w14:textId="77777777" w:rsidR="00BA6982" w:rsidRPr="00EF3C70" w:rsidRDefault="00BA6982" w:rsidP="00BA6982">
      <w:pPr>
        <w:pStyle w:val="Heading4"/>
        <w:numPr>
          <w:ilvl w:val="0"/>
          <w:numId w:val="0"/>
        </w:numPr>
        <w:ind w:left="864"/>
      </w:pPr>
    </w:p>
    <w:p w14:paraId="2E521E25" w14:textId="77777777" w:rsidR="00BA6982" w:rsidRPr="00EF3C70" w:rsidRDefault="00BA6982" w:rsidP="00172E64">
      <w:pPr>
        <w:pStyle w:val="Heading5"/>
        <w:numPr>
          <w:ilvl w:val="4"/>
          <w:numId w:val="184"/>
        </w:numPr>
        <w:tabs>
          <w:tab w:val="clear" w:pos="1080"/>
          <w:tab w:val="left" w:pos="1800"/>
        </w:tabs>
        <w:ind w:left="1098" w:hanging="1098"/>
      </w:pPr>
      <w:bookmarkStart w:id="309" w:name="_Traffic_3"/>
      <w:bookmarkEnd w:id="309"/>
      <w:r w:rsidRPr="00EF3C70">
        <w:t>Traffic</w:t>
      </w:r>
    </w:p>
    <w:p w14:paraId="1F5B479C" w14:textId="77777777" w:rsidR="00BA6982" w:rsidRPr="00EF3C70" w:rsidRDefault="00BA6982" w:rsidP="00BA6982">
      <w:pPr>
        <w:pStyle w:val="ListNumber"/>
        <w:tabs>
          <w:tab w:val="clear" w:pos="720"/>
          <w:tab w:val="clear" w:pos="1872"/>
        </w:tabs>
        <w:ind w:left="0" w:firstLine="0"/>
      </w:pPr>
      <w:r w:rsidRPr="00EF3C70">
        <w:t xml:space="preserve">Refer to </w:t>
      </w:r>
      <w:hyperlink w:anchor="_Traffic_1" w:history="1">
        <w:r w:rsidRPr="00EF3C70">
          <w:rPr>
            <w:rStyle w:val="Hyperlink"/>
          </w:rPr>
          <w:t>Traffic</w:t>
        </w:r>
      </w:hyperlink>
      <w:r w:rsidRPr="00EF3C70">
        <w:t xml:space="preserve"> from the </w:t>
      </w:r>
      <w:r w:rsidRPr="00EF3C70">
        <w:rPr>
          <w:i/>
        </w:rPr>
        <w:t>Flexible Pavement</w:t>
      </w:r>
      <w:r w:rsidRPr="00EF3C70">
        <w:t xml:space="preserve"> section.</w:t>
      </w:r>
    </w:p>
    <w:p w14:paraId="244F649A" w14:textId="77777777" w:rsidR="00CD6D37" w:rsidRDefault="00CD6D37" w:rsidP="00CD6D37">
      <w:pPr>
        <w:pStyle w:val="Heading5"/>
        <w:numPr>
          <w:ilvl w:val="0"/>
          <w:numId w:val="0"/>
        </w:numPr>
        <w:tabs>
          <w:tab w:val="clear" w:pos="1080"/>
          <w:tab w:val="left" w:pos="1800"/>
        </w:tabs>
        <w:ind w:left="1098"/>
      </w:pPr>
      <w:bookmarkStart w:id="310" w:name="_Climate_3"/>
      <w:bookmarkEnd w:id="310"/>
    </w:p>
    <w:p w14:paraId="52548BC3" w14:textId="2FD89EC3" w:rsidR="00BA6982" w:rsidRPr="00EF3C70" w:rsidRDefault="00BA6982" w:rsidP="00172E64">
      <w:pPr>
        <w:pStyle w:val="Heading5"/>
        <w:numPr>
          <w:ilvl w:val="4"/>
          <w:numId w:val="184"/>
        </w:numPr>
        <w:tabs>
          <w:tab w:val="clear" w:pos="1080"/>
          <w:tab w:val="left" w:pos="1800"/>
        </w:tabs>
        <w:ind w:left="1098" w:hanging="1098"/>
      </w:pPr>
      <w:r w:rsidRPr="00EF3C70">
        <w:t>Climate</w:t>
      </w:r>
    </w:p>
    <w:p w14:paraId="10829A13" w14:textId="77777777" w:rsidR="00BA6982" w:rsidRDefault="00BA6982" w:rsidP="00BA6982">
      <w:pPr>
        <w:pStyle w:val="ListNumber"/>
        <w:tabs>
          <w:tab w:val="clear" w:pos="720"/>
          <w:tab w:val="clear" w:pos="1872"/>
        </w:tabs>
        <w:ind w:left="0" w:firstLine="0"/>
      </w:pPr>
      <w:r w:rsidRPr="00EF3C70">
        <w:t xml:space="preserve">Refer to </w:t>
      </w:r>
      <w:hyperlink w:anchor="_Climate" w:history="1">
        <w:r w:rsidRPr="00EF3C70">
          <w:rPr>
            <w:rStyle w:val="Hyperlink"/>
          </w:rPr>
          <w:t>Climate</w:t>
        </w:r>
      </w:hyperlink>
      <w:r w:rsidRPr="00EF3C70">
        <w:t xml:space="preserve"> from the </w:t>
      </w:r>
      <w:r w:rsidRPr="00EF3C70">
        <w:rPr>
          <w:i/>
        </w:rPr>
        <w:t>Flexible Pavement</w:t>
      </w:r>
      <w:r w:rsidRPr="00EF3C70">
        <w:t xml:space="preserve"> section.</w:t>
      </w:r>
    </w:p>
    <w:p w14:paraId="7D5D8365" w14:textId="77777777" w:rsidR="0082361B" w:rsidRDefault="0082361B" w:rsidP="00BA6982">
      <w:pPr>
        <w:pStyle w:val="ListNumber"/>
        <w:tabs>
          <w:tab w:val="clear" w:pos="720"/>
          <w:tab w:val="clear" w:pos="1872"/>
        </w:tabs>
        <w:ind w:left="0" w:firstLine="0"/>
      </w:pPr>
    </w:p>
    <w:p w14:paraId="0786B840" w14:textId="77777777" w:rsidR="0082361B" w:rsidRPr="00DE7B3D" w:rsidRDefault="0082361B" w:rsidP="00172E64">
      <w:pPr>
        <w:pStyle w:val="Heading5"/>
        <w:numPr>
          <w:ilvl w:val="4"/>
          <w:numId w:val="184"/>
        </w:numPr>
        <w:tabs>
          <w:tab w:val="clear" w:pos="1080"/>
          <w:tab w:val="left" w:pos="1800"/>
        </w:tabs>
        <w:ind w:left="1098" w:hanging="1098"/>
      </w:pPr>
      <w:bookmarkStart w:id="311" w:name="_AC_Layer_Properties"/>
      <w:bookmarkEnd w:id="311"/>
      <w:r>
        <w:t>AC Lay</w:t>
      </w:r>
      <w:r w:rsidRPr="00DE7B3D">
        <w:t>er Properties</w:t>
      </w:r>
    </w:p>
    <w:p w14:paraId="56571AC8" w14:textId="02C64418" w:rsidR="00DE7B3D" w:rsidRDefault="0082361B" w:rsidP="0082361B">
      <w:pPr>
        <w:pStyle w:val="ListNumber"/>
        <w:tabs>
          <w:tab w:val="clear" w:pos="720"/>
          <w:tab w:val="clear" w:pos="1872"/>
        </w:tabs>
        <w:ind w:left="0" w:firstLine="0"/>
        <w:jc w:val="both"/>
      </w:pPr>
      <w:r w:rsidRPr="00DE7B3D">
        <w:t xml:space="preserve">Double-click on the “AC Layer Properties” button.  </w:t>
      </w:r>
      <w:r w:rsidR="00DE7B3D" w:rsidRPr="00DE7B3D">
        <w:t xml:space="preserve">Refer to </w:t>
      </w:r>
      <w:hyperlink w:anchor="_AC_Layer_Properties." w:history="1">
        <w:r w:rsidR="00CB50E3">
          <w:rPr>
            <w:rStyle w:val="Hyperlink"/>
          </w:rPr>
          <w:t>AC Layer Properties</w:t>
        </w:r>
      </w:hyperlink>
      <w:r w:rsidR="00DE7B3D" w:rsidRPr="00DE7B3D">
        <w:t xml:space="preserve"> from the </w:t>
      </w:r>
      <w:r w:rsidR="00DE7B3D" w:rsidRPr="00DE7B3D">
        <w:rPr>
          <w:i/>
        </w:rPr>
        <w:t>Flexible Pavement</w:t>
      </w:r>
      <w:r w:rsidR="00DE7B3D" w:rsidRPr="00EF3C70">
        <w:t xml:space="preserve"> section.</w:t>
      </w:r>
    </w:p>
    <w:p w14:paraId="66AB58F3" w14:textId="77777777" w:rsidR="00DE7B3D" w:rsidRDefault="00DE7B3D" w:rsidP="00DE7B3D">
      <w:pPr>
        <w:pStyle w:val="Heading5"/>
        <w:numPr>
          <w:ilvl w:val="0"/>
          <w:numId w:val="0"/>
        </w:numPr>
        <w:ind w:left="1008"/>
      </w:pPr>
    </w:p>
    <w:p w14:paraId="56804A80" w14:textId="77777777" w:rsidR="00DE7B3D" w:rsidRDefault="00DE7B3D" w:rsidP="00172E64">
      <w:pPr>
        <w:pStyle w:val="Heading5"/>
        <w:numPr>
          <w:ilvl w:val="4"/>
          <w:numId w:val="184"/>
        </w:numPr>
        <w:tabs>
          <w:tab w:val="clear" w:pos="1080"/>
          <w:tab w:val="left" w:pos="1800"/>
        </w:tabs>
        <w:ind w:left="1098" w:hanging="1098"/>
      </w:pPr>
      <w:bookmarkStart w:id="312" w:name="_Thermal_Cracking"/>
      <w:bookmarkEnd w:id="312"/>
      <w:r>
        <w:t>Thermal Cracking</w:t>
      </w:r>
    </w:p>
    <w:p w14:paraId="12B703BE" w14:textId="77777777" w:rsidR="00D46330" w:rsidRDefault="00D46330" w:rsidP="00D46330">
      <w:pPr>
        <w:rPr>
          <w:rFonts w:ascii="Arial" w:eastAsia="Arial" w:hAnsi="Arial" w:cs="Arial"/>
          <w:sz w:val="16"/>
        </w:rPr>
      </w:pPr>
      <w:r>
        <w:rPr>
          <w:rFonts w:ascii="Arial" w:eastAsia="Arial" w:hAnsi="Arial" w:cs="Arial"/>
          <w:sz w:val="16"/>
        </w:rPr>
        <w:t xml:space="preserve">Click to go to </w:t>
      </w:r>
      <w:hyperlink w:anchor="_Thermal_Cracking_1" w:history="1">
        <w:r w:rsidRPr="00D46330">
          <w:rPr>
            <w:rStyle w:val="Hyperlink"/>
            <w:rFonts w:ascii="Arial" w:eastAsia="Arial" w:hAnsi="Arial" w:cs="Arial"/>
            <w:sz w:val="16"/>
          </w:rPr>
          <w:t>Thermal Cracking</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12175170" w14:textId="0B2EF0C3" w:rsidR="00DE7B3D" w:rsidRDefault="00DE7B3D" w:rsidP="00DE7B3D">
      <w:pPr>
        <w:pStyle w:val="ListNumber"/>
        <w:tabs>
          <w:tab w:val="clear" w:pos="720"/>
          <w:tab w:val="clear" w:pos="1872"/>
        </w:tabs>
        <w:ind w:left="0" w:firstLine="0"/>
        <w:jc w:val="both"/>
      </w:pPr>
      <w:r>
        <w:t xml:space="preserve">Use the drop-down arrow on the right to find Thermal Cracking.  Use all of the default values.  </w:t>
      </w:r>
      <w:r w:rsidRPr="00DE7B3D">
        <w:t>Refer t</w:t>
      </w:r>
      <w:r w:rsidRPr="00DE4165">
        <w:t xml:space="preserve">o </w:t>
      </w:r>
      <w:hyperlink w:anchor="_Mechanical_Properties:" w:history="1">
        <w:r w:rsidRPr="00DE4165">
          <w:rPr>
            <w:rStyle w:val="Hyperlink"/>
          </w:rPr>
          <w:t>Mechanical Properties</w:t>
        </w:r>
      </w:hyperlink>
      <w:r w:rsidRPr="00DE4165">
        <w:t xml:space="preserve"> and </w:t>
      </w:r>
      <w:hyperlink w:anchor="_Thermal" w:history="1">
        <w:r w:rsidRPr="00DE4165">
          <w:rPr>
            <w:rStyle w:val="Hyperlink"/>
          </w:rPr>
          <w:t>Thermal</w:t>
        </w:r>
      </w:hyperlink>
      <w:r w:rsidRPr="00DE4165">
        <w:t xml:space="preserve"> from the </w:t>
      </w:r>
      <w:r w:rsidRPr="00DE4165">
        <w:rPr>
          <w:i/>
        </w:rPr>
        <w:t>Flexible Pavement</w:t>
      </w:r>
      <w:r w:rsidRPr="00DE4165">
        <w:t xml:space="preserve"> section.</w:t>
      </w:r>
    </w:p>
    <w:p w14:paraId="239BFF1F" w14:textId="77777777" w:rsidR="00CD36AA" w:rsidRDefault="00CD36AA" w:rsidP="00CD36AA">
      <w:pPr>
        <w:pStyle w:val="Heading5"/>
        <w:numPr>
          <w:ilvl w:val="0"/>
          <w:numId w:val="0"/>
        </w:numPr>
        <w:ind w:left="1008"/>
      </w:pPr>
    </w:p>
    <w:p w14:paraId="3296FC0A" w14:textId="77777777" w:rsidR="00CD36AA" w:rsidRDefault="00CD36AA" w:rsidP="00172E64">
      <w:pPr>
        <w:pStyle w:val="Heading5"/>
        <w:numPr>
          <w:ilvl w:val="4"/>
          <w:numId w:val="184"/>
        </w:numPr>
        <w:tabs>
          <w:tab w:val="clear" w:pos="1080"/>
          <w:tab w:val="left" w:pos="1800"/>
        </w:tabs>
        <w:ind w:left="1098" w:hanging="1098"/>
      </w:pPr>
      <w:bookmarkStart w:id="313" w:name="_Foundation_Support"/>
      <w:bookmarkEnd w:id="313"/>
      <w:r>
        <w:t>Foundation Support</w:t>
      </w:r>
    </w:p>
    <w:p w14:paraId="654FD2D0" w14:textId="77777777" w:rsidR="00D46330" w:rsidRDefault="00D46330" w:rsidP="00D46330">
      <w:pPr>
        <w:rPr>
          <w:rFonts w:ascii="Arial" w:eastAsia="Arial" w:hAnsi="Arial" w:cs="Arial"/>
          <w:sz w:val="16"/>
        </w:rPr>
      </w:pPr>
      <w:r>
        <w:rPr>
          <w:rFonts w:ascii="Arial" w:eastAsia="Arial" w:hAnsi="Arial" w:cs="Arial"/>
          <w:sz w:val="16"/>
        </w:rPr>
        <w:t xml:space="preserve">Click to go to </w:t>
      </w:r>
      <w:hyperlink w:anchor="_Foundation_Support_1" w:history="1">
        <w:r w:rsidRPr="00D46330">
          <w:rPr>
            <w:rStyle w:val="Hyperlink"/>
            <w:rFonts w:ascii="Arial" w:eastAsia="Arial" w:hAnsi="Arial" w:cs="Arial"/>
            <w:sz w:val="16"/>
          </w:rPr>
          <w:t>Foundation Support</w:t>
        </w:r>
      </w:hyperlink>
      <w:r>
        <w:rPr>
          <w:rFonts w:ascii="Arial" w:eastAsia="Arial" w:hAnsi="Arial" w:cs="Arial"/>
          <w:sz w:val="16"/>
        </w:rPr>
        <w:t xml:space="preserve"> in the </w:t>
      </w:r>
      <w:r>
        <w:rPr>
          <w:rFonts w:ascii="Arial" w:eastAsia="Arial" w:hAnsi="Arial" w:cs="Arial"/>
          <w:i/>
          <w:sz w:val="16"/>
        </w:rPr>
        <w:t>AC overlay over CR</w:t>
      </w:r>
      <w:r w:rsidRPr="002A7742">
        <w:rPr>
          <w:rFonts w:ascii="Arial" w:eastAsia="Arial" w:hAnsi="Arial" w:cs="Arial"/>
          <w:i/>
          <w:sz w:val="16"/>
        </w:rPr>
        <w:t>CP</w:t>
      </w:r>
      <w:r>
        <w:rPr>
          <w:rFonts w:ascii="Arial" w:eastAsia="Arial" w:hAnsi="Arial" w:cs="Arial"/>
          <w:sz w:val="16"/>
        </w:rPr>
        <w:t xml:space="preserve"> section.</w:t>
      </w:r>
    </w:p>
    <w:p w14:paraId="2DC40F1B" w14:textId="22D72A7B" w:rsidR="00CD36AA" w:rsidRPr="00DE4165" w:rsidRDefault="00CD36AA" w:rsidP="00CD36AA">
      <w:pPr>
        <w:pStyle w:val="ListNumber"/>
        <w:tabs>
          <w:tab w:val="clear" w:pos="720"/>
          <w:tab w:val="clear" w:pos="1872"/>
        </w:tabs>
        <w:ind w:left="0" w:firstLine="0"/>
      </w:pPr>
      <w:r w:rsidRPr="00DE4165">
        <w:t>Double-click on the “</w:t>
      </w:r>
      <w:r>
        <w:t>Foundation Support</w:t>
      </w:r>
      <w:r w:rsidRPr="00DE4165">
        <w:t xml:space="preserve">” button.  </w:t>
      </w:r>
    </w:p>
    <w:p w14:paraId="55843C79" w14:textId="77777777" w:rsidR="00A430DE" w:rsidRPr="00EA4724" w:rsidRDefault="00CD36AA" w:rsidP="00A430DE">
      <w:pPr>
        <w:pStyle w:val="ListNumber"/>
        <w:tabs>
          <w:tab w:val="clear" w:pos="720"/>
          <w:tab w:val="clear" w:pos="1872"/>
        </w:tabs>
        <w:ind w:left="0" w:firstLine="0"/>
        <w:jc w:val="both"/>
      </w:pPr>
      <w:r>
        <w:t xml:space="preserve">If FWD data was obtained, click the modulus of subgrade reaction box to be true, and enter the </w:t>
      </w:r>
      <w:hyperlink w:anchor="Dynamic_K" w:history="1">
        <w:r w:rsidRPr="00CD36AA">
          <w:rPr>
            <w:rStyle w:val="Hyperlink"/>
          </w:rPr>
          <w:t>dynamic modulus of subgrade reaction</w:t>
        </w:r>
      </w:hyperlink>
      <w:r>
        <w:t xml:space="preserve"> and month FWD data was collected.</w:t>
      </w:r>
      <w:r w:rsidR="00A430DE">
        <w:t xml:space="preserve">  If no FWD data was obtained, click the modulus of subgrade reaction box to be false.  Refer to </w:t>
      </w:r>
      <w:hyperlink w:anchor="_Modulus_of_Subgrade" w:history="1">
        <w:r w:rsidR="00A430DE" w:rsidRPr="00A430DE">
          <w:rPr>
            <w:rStyle w:val="Hyperlink"/>
          </w:rPr>
          <w:t>Modulus of Subgrade Reaction (k)</w:t>
        </w:r>
      </w:hyperlink>
      <w:r w:rsidR="00A430DE">
        <w:t>.</w:t>
      </w:r>
    </w:p>
    <w:p w14:paraId="4D10DA9A" w14:textId="77777777" w:rsidR="00BA6982" w:rsidRPr="00DE4165" w:rsidRDefault="00BA6982" w:rsidP="00BA6982">
      <w:pPr>
        <w:pStyle w:val="Heading5"/>
        <w:numPr>
          <w:ilvl w:val="0"/>
          <w:numId w:val="0"/>
        </w:numPr>
        <w:ind w:left="1008"/>
      </w:pPr>
    </w:p>
    <w:p w14:paraId="1A9F2E53" w14:textId="77777777" w:rsidR="00BA6982" w:rsidRPr="00DE4165" w:rsidRDefault="00BA6982" w:rsidP="00172E64">
      <w:pPr>
        <w:pStyle w:val="Heading5"/>
        <w:numPr>
          <w:ilvl w:val="4"/>
          <w:numId w:val="184"/>
        </w:numPr>
        <w:tabs>
          <w:tab w:val="clear" w:pos="1080"/>
          <w:tab w:val="left" w:pos="1800"/>
        </w:tabs>
        <w:ind w:left="1098" w:hanging="1098"/>
      </w:pPr>
      <w:bookmarkStart w:id="314" w:name="_JPCP_Layer_Properties_1"/>
      <w:bookmarkEnd w:id="314"/>
      <w:r w:rsidRPr="00DE4165">
        <w:t>JPCP Layer Properties</w:t>
      </w:r>
    </w:p>
    <w:p w14:paraId="67C0DA9A" w14:textId="14D31F8C" w:rsidR="00BA6982" w:rsidRDefault="00BA6982" w:rsidP="00A478A0">
      <w:pPr>
        <w:pStyle w:val="ListNumber"/>
        <w:tabs>
          <w:tab w:val="clear" w:pos="720"/>
          <w:tab w:val="clear" w:pos="1872"/>
        </w:tabs>
        <w:ind w:left="0" w:firstLine="0"/>
        <w:jc w:val="both"/>
      </w:pPr>
      <w:r w:rsidRPr="00DE4165">
        <w:t xml:space="preserve">Double-click on the “JPCP Design Properties” button.  </w:t>
      </w:r>
      <w:r w:rsidR="00DE4165" w:rsidRPr="00DE4165">
        <w:t xml:space="preserve">Refer to </w:t>
      </w:r>
      <w:hyperlink w:anchor="_JPCP_Layer_Properties" w:history="1">
        <w:r w:rsidR="00DE4165" w:rsidRPr="00DE4165">
          <w:rPr>
            <w:rStyle w:val="Hyperlink"/>
          </w:rPr>
          <w:t>JPCP Layer Properties</w:t>
        </w:r>
      </w:hyperlink>
      <w:r w:rsidR="00DE4165" w:rsidRPr="00DE4165">
        <w:t xml:space="preserve"> from the </w:t>
      </w:r>
      <w:r w:rsidR="00DE4165" w:rsidRPr="00DE4165">
        <w:rPr>
          <w:i/>
        </w:rPr>
        <w:t xml:space="preserve">Jointed Plain Concrete Pavement </w:t>
      </w:r>
      <w:r w:rsidR="00DE4165" w:rsidRPr="00DE4165">
        <w:t>section.</w:t>
      </w:r>
    </w:p>
    <w:p w14:paraId="026DE8CC" w14:textId="7155C881" w:rsidR="00CD6D37" w:rsidRPr="00DE4165" w:rsidRDefault="00CD6D37" w:rsidP="00A478A0">
      <w:pPr>
        <w:pStyle w:val="ListNumber"/>
        <w:tabs>
          <w:tab w:val="clear" w:pos="720"/>
          <w:tab w:val="clear" w:pos="1872"/>
        </w:tabs>
        <w:ind w:left="0" w:firstLine="0"/>
        <w:jc w:val="both"/>
      </w:pPr>
      <w:r>
        <w:rPr>
          <w:noProof/>
        </w:rPr>
        <w:lastRenderedPageBreak/>
        <w:drawing>
          <wp:inline distT="0" distB="0" distL="0" distR="0" wp14:anchorId="02FA02D7" wp14:editId="09B7B8C8">
            <wp:extent cx="5486400" cy="3550920"/>
            <wp:effectExtent l="0" t="0" r="0" b="0"/>
            <wp:docPr id="3310" name="Picture 3310"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0" name="Picture 3310" descr="Pavement design PMED screen shot"/>
                    <pic:cNvPicPr/>
                  </pic:nvPicPr>
                  <pic:blipFill>
                    <a:blip r:embed="rId193"/>
                    <a:stretch>
                      <a:fillRect/>
                    </a:stretch>
                  </pic:blipFill>
                  <pic:spPr>
                    <a:xfrm>
                      <a:off x="0" y="0"/>
                      <a:ext cx="5486400" cy="3550920"/>
                    </a:xfrm>
                    <a:prstGeom prst="rect">
                      <a:avLst/>
                    </a:prstGeom>
                  </pic:spPr>
                </pic:pic>
              </a:graphicData>
            </a:graphic>
          </wp:inline>
        </w:drawing>
      </w:r>
    </w:p>
    <w:p w14:paraId="6C8F257A" w14:textId="77777777" w:rsidR="00BA6982" w:rsidRPr="00EA4724" w:rsidRDefault="00BA6982" w:rsidP="00172E64">
      <w:pPr>
        <w:pStyle w:val="ListNumber"/>
        <w:numPr>
          <w:ilvl w:val="0"/>
          <w:numId w:val="128"/>
        </w:numPr>
        <w:tabs>
          <w:tab w:val="clear" w:pos="1152"/>
          <w:tab w:val="clear" w:pos="1872"/>
        </w:tabs>
        <w:spacing w:before="240"/>
        <w:ind w:left="1080" w:hanging="1080"/>
        <w:jc w:val="both"/>
      </w:pPr>
      <w:r w:rsidRPr="00DE4165">
        <w:t xml:space="preserve">PCC surface </w:t>
      </w:r>
      <w:r w:rsidRPr="00EA4724">
        <w:t>shortwave absorptivity: Use the default value (0.85).</w:t>
      </w:r>
    </w:p>
    <w:p w14:paraId="49C64006" w14:textId="77777777" w:rsidR="00CD6D37" w:rsidRPr="00EA4724" w:rsidRDefault="00CD6D37" w:rsidP="00172E64">
      <w:pPr>
        <w:pStyle w:val="ListNumber"/>
        <w:numPr>
          <w:ilvl w:val="0"/>
          <w:numId w:val="128"/>
        </w:numPr>
        <w:tabs>
          <w:tab w:val="clear" w:pos="1872"/>
        </w:tabs>
        <w:ind w:left="1080" w:hanging="1080"/>
        <w:jc w:val="both"/>
      </w:pPr>
      <w:r w:rsidRPr="00EA4724">
        <w:t xml:space="preserve">Doweled joints: Unless it is known that dowels are not present, assume that they are, as that has been the standard practice in Maryland.  If dowel information is not known, use the default values.    </w:t>
      </w:r>
    </w:p>
    <w:p w14:paraId="07D01A1A" w14:textId="77777777" w:rsidR="00CD6D37" w:rsidRPr="009D58F8" w:rsidRDefault="00CD6D37" w:rsidP="00172E64">
      <w:pPr>
        <w:pStyle w:val="ListNumber"/>
        <w:numPr>
          <w:ilvl w:val="0"/>
          <w:numId w:val="128"/>
        </w:numPr>
        <w:tabs>
          <w:tab w:val="clear" w:pos="1872"/>
        </w:tabs>
        <w:ind w:left="1080" w:hanging="1080"/>
        <w:jc w:val="both"/>
      </w:pPr>
      <w:r w:rsidRPr="009D58F8">
        <w:t>Erodibility Index: Choose the following:</w:t>
      </w:r>
    </w:p>
    <w:p w14:paraId="55860F1E" w14:textId="77777777" w:rsidR="00CD6D37" w:rsidRPr="009D58F8" w:rsidRDefault="00CD6D37" w:rsidP="00172E64">
      <w:pPr>
        <w:pStyle w:val="ListNumber"/>
        <w:numPr>
          <w:ilvl w:val="1"/>
          <w:numId w:val="128"/>
        </w:numPr>
        <w:tabs>
          <w:tab w:val="clear" w:pos="720"/>
          <w:tab w:val="clear" w:pos="1872"/>
          <w:tab w:val="num" w:pos="1710"/>
        </w:tabs>
        <w:ind w:left="1440"/>
        <w:jc w:val="both"/>
      </w:pPr>
      <w:r w:rsidRPr="009D58F8">
        <w:t>If there is a GAB base layer: Extremely Erosion Resistant (1).</w:t>
      </w:r>
    </w:p>
    <w:p w14:paraId="12FECA2B" w14:textId="77777777" w:rsidR="00CD6D37" w:rsidRPr="009D58F8" w:rsidRDefault="00CD6D37" w:rsidP="00172E64">
      <w:pPr>
        <w:pStyle w:val="ListNumber"/>
        <w:numPr>
          <w:ilvl w:val="1"/>
          <w:numId w:val="128"/>
        </w:numPr>
        <w:tabs>
          <w:tab w:val="clear" w:pos="720"/>
          <w:tab w:val="clear" w:pos="1872"/>
          <w:tab w:val="num" w:pos="1710"/>
        </w:tabs>
        <w:ind w:left="1440"/>
        <w:jc w:val="both"/>
      </w:pPr>
      <w:r w:rsidRPr="009D58F8">
        <w:t xml:space="preserve">If there is no GAB, use </w:t>
      </w:r>
      <w:hyperlink w:anchor="Void_Detection_Deflexus" w:history="1">
        <w:r w:rsidRPr="009D58F8">
          <w:rPr>
            <w:rStyle w:val="Hyperlink"/>
          </w:rPr>
          <w:t>Void Detection</w:t>
        </w:r>
      </w:hyperlink>
      <w:r w:rsidRPr="009D58F8">
        <w:t xml:space="preserve"> analysis to determine the appropriate Erodibility Index.</w:t>
      </w:r>
    </w:p>
    <w:p w14:paraId="539E860C" w14:textId="77777777" w:rsidR="00CD6D37" w:rsidRPr="009D58F8" w:rsidRDefault="00CD6D37" w:rsidP="00172E64">
      <w:pPr>
        <w:pStyle w:val="ListNumber"/>
        <w:numPr>
          <w:ilvl w:val="1"/>
          <w:numId w:val="128"/>
        </w:numPr>
        <w:tabs>
          <w:tab w:val="clear" w:pos="720"/>
          <w:tab w:val="clear" w:pos="1872"/>
          <w:tab w:val="num" w:pos="1710"/>
        </w:tabs>
        <w:ind w:left="1440"/>
        <w:jc w:val="both"/>
      </w:pPr>
      <w:r w:rsidRPr="009D58F8">
        <w:t>If there is no GAB and no FWD, choose: Erosion Resistant (3) if there is no evidence of erosion; Fairly Erodible (4) if there is some evidence; and Very Erodible (5) if there is significant evidence of erosion.</w:t>
      </w:r>
    </w:p>
    <w:p w14:paraId="68BBBA75" w14:textId="77777777" w:rsidR="00CD6D37" w:rsidRPr="009D58F8" w:rsidRDefault="00CD6D37" w:rsidP="00172E64">
      <w:pPr>
        <w:pStyle w:val="ListNumber"/>
        <w:numPr>
          <w:ilvl w:val="0"/>
          <w:numId w:val="128"/>
        </w:numPr>
        <w:tabs>
          <w:tab w:val="clear" w:pos="1872"/>
        </w:tabs>
        <w:ind w:left="1080" w:hanging="1080"/>
        <w:jc w:val="both"/>
      </w:pPr>
      <w:r w:rsidRPr="009D58F8">
        <w:t xml:space="preserve">PCC-base contact friction: False for rehabilitation. </w:t>
      </w:r>
    </w:p>
    <w:p w14:paraId="4A9DA9DD" w14:textId="5542D2AF" w:rsidR="00BA6982" w:rsidRPr="00EA4724" w:rsidRDefault="00BA6982" w:rsidP="00172E64">
      <w:pPr>
        <w:pStyle w:val="ListNumber"/>
        <w:numPr>
          <w:ilvl w:val="0"/>
          <w:numId w:val="128"/>
        </w:numPr>
        <w:tabs>
          <w:tab w:val="clear" w:pos="1872"/>
          <w:tab w:val="left" w:pos="90"/>
        </w:tabs>
        <w:ind w:left="1080" w:hanging="1080"/>
        <w:jc w:val="both"/>
      </w:pPr>
      <w:r w:rsidRPr="00EA4724">
        <w:t xml:space="preserve">PCC joint spacing: </w:t>
      </w:r>
      <w:r w:rsidR="00DE4165" w:rsidRPr="00EA4724">
        <w:t>Input the existing joint spacing.  If the existing spacing is greater than 30</w:t>
      </w:r>
      <w:r w:rsidR="00E339A9">
        <w:t>'</w:t>
      </w:r>
      <w:r w:rsidR="00DE4165" w:rsidRPr="00EA4724">
        <w:t>, limit the spacing to 30</w:t>
      </w:r>
      <w:r w:rsidR="00E339A9">
        <w:t>'</w:t>
      </w:r>
      <w:r w:rsidR="00DE4165" w:rsidRPr="00EA4724">
        <w:t xml:space="preserve"> to enable the software to run.</w:t>
      </w:r>
    </w:p>
    <w:p w14:paraId="5E8AF53A" w14:textId="77777777" w:rsidR="00CD6D37" w:rsidRPr="009D58F8" w:rsidRDefault="00CD6D37" w:rsidP="00172E64">
      <w:pPr>
        <w:pStyle w:val="ListNumber"/>
        <w:numPr>
          <w:ilvl w:val="0"/>
          <w:numId w:val="128"/>
        </w:numPr>
        <w:tabs>
          <w:tab w:val="clear" w:pos="1872"/>
        </w:tabs>
        <w:ind w:left="1080" w:hanging="1080"/>
        <w:jc w:val="both"/>
      </w:pPr>
      <w:r w:rsidRPr="009D58F8">
        <w:t>Permanent curl/warp effective temperature difference: Use default (-10).</w:t>
      </w:r>
    </w:p>
    <w:p w14:paraId="1D8A5688" w14:textId="77777777" w:rsidR="00BA6982" w:rsidRPr="00EA4724" w:rsidRDefault="00BA6982" w:rsidP="00172E64">
      <w:pPr>
        <w:pStyle w:val="ListNumber"/>
        <w:numPr>
          <w:ilvl w:val="0"/>
          <w:numId w:val="128"/>
        </w:numPr>
        <w:tabs>
          <w:tab w:val="clear" w:pos="1872"/>
        </w:tabs>
        <w:ind w:left="1080" w:hanging="1080"/>
        <w:jc w:val="both"/>
      </w:pPr>
      <w:r w:rsidRPr="00EA4724">
        <w:t xml:space="preserve">Sealant type: </w:t>
      </w:r>
      <w:r w:rsidR="00EA4724" w:rsidRPr="00EA4724">
        <w:t xml:space="preserve">If the sealant is visible, input the sealant type.  Otherwise, input </w:t>
      </w:r>
      <w:r w:rsidRPr="00EA4724">
        <w:t>No Sealant.</w:t>
      </w:r>
    </w:p>
    <w:p w14:paraId="54C533C2" w14:textId="77777777" w:rsidR="00CD6D37" w:rsidRPr="009D58F8" w:rsidRDefault="00CD6D37" w:rsidP="00172E64">
      <w:pPr>
        <w:pStyle w:val="ListNumber"/>
        <w:numPr>
          <w:ilvl w:val="0"/>
          <w:numId w:val="128"/>
        </w:numPr>
        <w:tabs>
          <w:tab w:val="clear" w:pos="1872"/>
        </w:tabs>
        <w:ind w:left="1080" w:hanging="1080"/>
        <w:jc w:val="both"/>
      </w:pPr>
      <w:r w:rsidRPr="009D58F8">
        <w:t>Tied shoulders: Unless it is known that the shoulder is concrete and tied to the concrete mainline, check “False</w:t>
      </w:r>
      <w:r>
        <w:t>.</w:t>
      </w:r>
      <w:r w:rsidRPr="009D58F8">
        <w:t>”  When checking “True” the Load Transfer Efficiency should be 50%</w:t>
      </w:r>
    </w:p>
    <w:p w14:paraId="60E3E49E" w14:textId="77777777" w:rsidR="00BA6982" w:rsidRPr="009D58F8" w:rsidRDefault="00BA6982" w:rsidP="00172E64">
      <w:pPr>
        <w:pStyle w:val="ListNumber"/>
        <w:numPr>
          <w:ilvl w:val="0"/>
          <w:numId w:val="128"/>
        </w:numPr>
        <w:tabs>
          <w:tab w:val="clear" w:pos="1872"/>
        </w:tabs>
        <w:ind w:left="1080" w:hanging="1080"/>
        <w:jc w:val="both"/>
      </w:pPr>
      <w:r w:rsidRPr="00EA4724">
        <w:t xml:space="preserve">Widened slab: </w:t>
      </w:r>
      <w:r w:rsidR="00EA4724" w:rsidRPr="00EA4724">
        <w:t xml:space="preserve">Unless it is known that the slab is widened, check “False” and input the lane width.  </w:t>
      </w:r>
      <w:r w:rsidRPr="00EA4724">
        <w:t>The widened slab should be checked “True” only if the longit</w:t>
      </w:r>
      <w:r w:rsidRPr="009D58F8">
        <w:t>udinal joint is at least one foot wider than the paint line.</w:t>
      </w:r>
    </w:p>
    <w:p w14:paraId="0222446D" w14:textId="77777777" w:rsidR="00DF6C4E" w:rsidRDefault="00DF6C4E" w:rsidP="00DF6C4E">
      <w:pPr>
        <w:pStyle w:val="Heading5"/>
        <w:numPr>
          <w:ilvl w:val="0"/>
          <w:numId w:val="0"/>
        </w:numPr>
        <w:ind w:left="1008"/>
      </w:pPr>
    </w:p>
    <w:p w14:paraId="77A7B50E" w14:textId="77777777" w:rsidR="00DF6C4E" w:rsidRPr="00DE4165" w:rsidRDefault="00DF6C4E" w:rsidP="00172E64">
      <w:pPr>
        <w:pStyle w:val="Heading5"/>
        <w:numPr>
          <w:ilvl w:val="4"/>
          <w:numId w:val="184"/>
        </w:numPr>
        <w:tabs>
          <w:tab w:val="clear" w:pos="1080"/>
          <w:tab w:val="left" w:pos="1800"/>
        </w:tabs>
        <w:ind w:left="1098" w:hanging="1098"/>
      </w:pPr>
      <w:r w:rsidRPr="00DE4165">
        <w:t xml:space="preserve">JPCP </w:t>
      </w:r>
      <w:r>
        <w:t>Rehabilitation</w:t>
      </w:r>
    </w:p>
    <w:p w14:paraId="77D9C169" w14:textId="3D51C2A9" w:rsidR="00DF6C4E" w:rsidRPr="00DE4165" w:rsidRDefault="00DF6C4E" w:rsidP="00DF6C4E">
      <w:pPr>
        <w:pStyle w:val="ListNumber"/>
        <w:tabs>
          <w:tab w:val="clear" w:pos="720"/>
          <w:tab w:val="clear" w:pos="1872"/>
        </w:tabs>
        <w:ind w:left="0" w:firstLine="0"/>
      </w:pPr>
      <w:r w:rsidRPr="00DE4165">
        <w:t>Double-click on the “JPCP</w:t>
      </w:r>
      <w:r>
        <w:t xml:space="preserve"> Rehabilitatio</w:t>
      </w:r>
      <w:r w:rsidR="000E0B35">
        <w:t>n</w:t>
      </w:r>
      <w:r w:rsidRPr="00DE4165">
        <w:t>” button.</w:t>
      </w:r>
    </w:p>
    <w:p w14:paraId="77DDDC7E" w14:textId="77777777" w:rsidR="00DF6C4E" w:rsidRDefault="000E0B35" w:rsidP="00172E64">
      <w:pPr>
        <w:pStyle w:val="ListNumber"/>
        <w:numPr>
          <w:ilvl w:val="0"/>
          <w:numId w:val="129"/>
        </w:numPr>
        <w:tabs>
          <w:tab w:val="clear" w:pos="1872"/>
        </w:tabs>
        <w:spacing w:before="240"/>
        <w:jc w:val="both"/>
      </w:pPr>
      <w:r>
        <w:t xml:space="preserve">Slabs distressed/replaced before restoration (%): Input the percent of slabs that are broken and fixed.  If the existing pavement is composite, this value is determined by taking the sum of all joints with medium and high severity joint reflection cracking, and dividing that into the total number of joints, which can be determined by dividing the project length by the joint spacing. </w:t>
      </w:r>
    </w:p>
    <w:p w14:paraId="1560B7A6" w14:textId="7FC2DFBB" w:rsidR="000E0B35" w:rsidRDefault="000E0B35" w:rsidP="00172E64">
      <w:pPr>
        <w:pStyle w:val="ListNumber"/>
        <w:numPr>
          <w:ilvl w:val="0"/>
          <w:numId w:val="129"/>
        </w:numPr>
        <w:tabs>
          <w:tab w:val="clear" w:pos="1872"/>
        </w:tabs>
        <w:jc w:val="both"/>
      </w:pPr>
      <w:r>
        <w:t>Slabs repaired/replaced after restoration (%): Input the percent of slabs that are fixed.  If the existing pavement is composite, this value is the percentage of fu</w:t>
      </w:r>
      <w:r w:rsidRPr="006D67BB">
        <w:t>ll-depth patching</w:t>
      </w:r>
      <w:r w:rsidR="00300BC5" w:rsidRPr="006D67BB">
        <w:t>, if the concrete is patched in kind</w:t>
      </w:r>
      <w:r w:rsidRPr="006D67BB">
        <w:t>.</w:t>
      </w:r>
    </w:p>
    <w:p w14:paraId="720E084F" w14:textId="7CEA2681" w:rsidR="00CD6D37" w:rsidRPr="006D67BB" w:rsidRDefault="00CD6D37" w:rsidP="00172E64">
      <w:pPr>
        <w:pStyle w:val="ListNumber"/>
        <w:numPr>
          <w:ilvl w:val="0"/>
          <w:numId w:val="129"/>
        </w:numPr>
        <w:tabs>
          <w:tab w:val="clear" w:pos="1872"/>
        </w:tabs>
        <w:jc w:val="both"/>
      </w:pPr>
      <w:r>
        <w:t xml:space="preserve">Transverse joint load transfer efficiency: Input the load trasnsfer efficiency from FWD results.  If FWD testing was not performed, </w:t>
      </w:r>
      <w:r w:rsidR="00DF5F46">
        <w:t>estimate based on observed distresses.</w:t>
      </w:r>
    </w:p>
    <w:p w14:paraId="3A72281B" w14:textId="77777777" w:rsidR="00BA6982" w:rsidRPr="006D67BB" w:rsidRDefault="00BA6982" w:rsidP="00BA6982">
      <w:pPr>
        <w:pStyle w:val="ListNumber"/>
        <w:tabs>
          <w:tab w:val="clear" w:pos="720"/>
          <w:tab w:val="clear" w:pos="1872"/>
        </w:tabs>
        <w:ind w:left="0" w:firstLine="0"/>
        <w:jc w:val="both"/>
      </w:pPr>
    </w:p>
    <w:p w14:paraId="4879749E" w14:textId="77777777" w:rsidR="00BA6982" w:rsidRPr="003A4CF2" w:rsidRDefault="00BA6982" w:rsidP="00172E64">
      <w:pPr>
        <w:pStyle w:val="Heading5"/>
        <w:numPr>
          <w:ilvl w:val="4"/>
          <w:numId w:val="184"/>
        </w:numPr>
        <w:tabs>
          <w:tab w:val="clear" w:pos="1080"/>
          <w:tab w:val="left" w:pos="1800"/>
        </w:tabs>
        <w:ind w:left="1098" w:hanging="1098"/>
      </w:pPr>
      <w:r w:rsidRPr="003A4CF2">
        <w:t>Pavement Structure</w:t>
      </w:r>
    </w:p>
    <w:p w14:paraId="767B9EF2" w14:textId="77777777" w:rsidR="00BA6982" w:rsidRPr="003A4CF2" w:rsidRDefault="00BA6982" w:rsidP="00BA6982">
      <w:pPr>
        <w:pStyle w:val="ListNumber"/>
        <w:tabs>
          <w:tab w:val="clear" w:pos="720"/>
          <w:tab w:val="clear" w:pos="1872"/>
        </w:tabs>
        <w:ind w:left="0" w:firstLine="0"/>
        <w:jc w:val="both"/>
      </w:pPr>
      <w:r w:rsidRPr="003A4CF2">
        <w:t>Click in the picture to edit the layer</w:t>
      </w:r>
      <w:r w:rsidR="006D67BB" w:rsidRPr="003A4CF2">
        <w:t>s</w:t>
      </w:r>
      <w:r w:rsidRPr="003A4CF2">
        <w:t xml:space="preserve">.  For each layer under the PCC surface layer, click on the green </w:t>
      </w:r>
      <w:r w:rsidRPr="006B087A">
        <w:rPr>
          <w:b/>
          <w:color w:val="006100"/>
          <w:sz w:val="24"/>
          <w:szCs w:val="2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Pr="003A4CF2">
        <w:t xml:space="preserve"> button to add a layer.  For the subgrade, choose the AASHTO description provided by the lab results.  Ensure that AASHTO, not MSMT, descriptions are used.</w:t>
      </w:r>
    </w:p>
    <w:p w14:paraId="7F8DAA0A" w14:textId="77777777" w:rsidR="006D67BB" w:rsidRPr="003A4CF2" w:rsidRDefault="006D67BB" w:rsidP="006D67BB">
      <w:pPr>
        <w:pStyle w:val="Heading6"/>
        <w:numPr>
          <w:ilvl w:val="0"/>
          <w:numId w:val="0"/>
        </w:numPr>
        <w:ind w:left="1152"/>
        <w:rPr>
          <w:b/>
        </w:rPr>
      </w:pPr>
    </w:p>
    <w:p w14:paraId="78C132D9" w14:textId="5FCE9455" w:rsidR="006D67BB" w:rsidRPr="003A4CF2" w:rsidRDefault="006D67BB" w:rsidP="00172E64">
      <w:pPr>
        <w:pStyle w:val="Heading6"/>
        <w:numPr>
          <w:ilvl w:val="5"/>
          <w:numId w:val="184"/>
        </w:numPr>
        <w:tabs>
          <w:tab w:val="left" w:pos="1800"/>
        </w:tabs>
        <w:ind w:left="1152"/>
        <w:rPr>
          <w:b/>
        </w:rPr>
      </w:pPr>
      <w:bookmarkStart w:id="315" w:name="_For_each_AC_1"/>
      <w:bookmarkEnd w:id="315"/>
      <w:r w:rsidRPr="003A4CF2">
        <w:rPr>
          <w:b/>
        </w:rPr>
        <w:t xml:space="preserve">For </w:t>
      </w:r>
      <w:r w:rsidR="00CD7295">
        <w:rPr>
          <w:b/>
        </w:rPr>
        <w:t>E</w:t>
      </w:r>
      <w:r w:rsidRPr="003A4CF2">
        <w:rPr>
          <w:b/>
        </w:rPr>
        <w:t>ach AC Layer</w:t>
      </w:r>
    </w:p>
    <w:p w14:paraId="26C89A5B" w14:textId="6AE5B737" w:rsidR="009B53B3" w:rsidRPr="003A4CF2" w:rsidRDefault="009B53B3" w:rsidP="009B53B3">
      <w:pPr>
        <w:pStyle w:val="ListNumber"/>
        <w:tabs>
          <w:tab w:val="clear" w:pos="720"/>
          <w:tab w:val="clear" w:pos="1872"/>
        </w:tabs>
        <w:ind w:left="0" w:firstLine="0"/>
      </w:pPr>
      <w:r w:rsidRPr="003A4CF2">
        <w:t xml:space="preserve">Refer to </w:t>
      </w:r>
      <w:hyperlink w:anchor="_For_each_AC" w:history="1">
        <w:r w:rsidRPr="003A4CF2">
          <w:rPr>
            <w:rStyle w:val="Hyperlink"/>
          </w:rPr>
          <w:t xml:space="preserve">For </w:t>
        </w:r>
        <w:r w:rsidR="00D67DC3">
          <w:rPr>
            <w:rStyle w:val="Hyperlink"/>
          </w:rPr>
          <w:t>E</w:t>
        </w:r>
        <w:r w:rsidRPr="003A4CF2">
          <w:rPr>
            <w:rStyle w:val="Hyperlink"/>
          </w:rPr>
          <w:t>ach AC Layer</w:t>
        </w:r>
      </w:hyperlink>
      <w:r w:rsidRPr="003A4CF2">
        <w:t xml:space="preserve"> from the </w:t>
      </w:r>
      <w:r w:rsidRPr="003A4CF2">
        <w:rPr>
          <w:i/>
        </w:rPr>
        <w:t>Flexible Pavement</w:t>
      </w:r>
      <w:r w:rsidRPr="003A4CF2">
        <w:t xml:space="preserve"> section.</w:t>
      </w:r>
    </w:p>
    <w:p w14:paraId="78D661B5" w14:textId="77777777" w:rsidR="00BA6982" w:rsidRPr="003A4CF2" w:rsidRDefault="00BA6982" w:rsidP="00A478A0">
      <w:pPr>
        <w:pStyle w:val="ListNumber"/>
        <w:tabs>
          <w:tab w:val="clear" w:pos="720"/>
          <w:tab w:val="clear" w:pos="1872"/>
        </w:tabs>
        <w:spacing w:before="0"/>
        <w:ind w:left="0" w:firstLine="0"/>
        <w:jc w:val="both"/>
      </w:pPr>
    </w:p>
    <w:p w14:paraId="536F55FD" w14:textId="09B2B8E3" w:rsidR="00BA6982" w:rsidRPr="003A4CF2" w:rsidRDefault="00BA6982" w:rsidP="00172E64">
      <w:pPr>
        <w:pStyle w:val="Heading6"/>
        <w:numPr>
          <w:ilvl w:val="5"/>
          <w:numId w:val="184"/>
        </w:numPr>
        <w:tabs>
          <w:tab w:val="left" w:pos="1800"/>
        </w:tabs>
        <w:ind w:left="1152"/>
        <w:rPr>
          <w:b/>
        </w:rPr>
      </w:pPr>
      <w:bookmarkStart w:id="316" w:name="_For_the_PCC_1"/>
      <w:bookmarkEnd w:id="316"/>
      <w:r w:rsidRPr="003A4CF2">
        <w:rPr>
          <w:b/>
        </w:rPr>
        <w:t>For the PCC Layer</w:t>
      </w:r>
    </w:p>
    <w:p w14:paraId="7142A0DA" w14:textId="286B9257" w:rsidR="009B53B3" w:rsidRPr="003A4CF2" w:rsidRDefault="009B53B3" w:rsidP="00A478A0">
      <w:pPr>
        <w:pStyle w:val="ListNumber"/>
        <w:tabs>
          <w:tab w:val="clear" w:pos="720"/>
          <w:tab w:val="clear" w:pos="1872"/>
        </w:tabs>
        <w:ind w:left="0" w:firstLine="0"/>
        <w:jc w:val="both"/>
      </w:pPr>
      <w:r w:rsidRPr="003A4CF2">
        <w:t xml:space="preserve">Refer to </w:t>
      </w:r>
      <w:hyperlink w:anchor="_For_the_PCC" w:history="1">
        <w:r w:rsidRPr="003A4CF2">
          <w:rPr>
            <w:rStyle w:val="Hyperlink"/>
          </w:rPr>
          <w:t>For the PCC Layer</w:t>
        </w:r>
      </w:hyperlink>
      <w:r w:rsidRPr="003A4CF2">
        <w:t xml:space="preserve"> from the</w:t>
      </w:r>
      <w:r w:rsidRPr="003A4CF2">
        <w:rPr>
          <w:i/>
        </w:rPr>
        <w:t xml:space="preserve"> Jointed Plain Concrete Pavement</w:t>
      </w:r>
      <w:r w:rsidRPr="003A4CF2">
        <w:t xml:space="preserve"> section.  Use </w:t>
      </w:r>
      <w:hyperlink w:anchor="Dynamic_K" w:history="1">
        <w:r w:rsidRPr="003A4CF2">
          <w:rPr>
            <w:rStyle w:val="Hyperlink"/>
          </w:rPr>
          <w:t xml:space="preserve">FWD results for the </w:t>
        </w:r>
        <w:r w:rsidR="00346E9C" w:rsidRPr="003A4CF2">
          <w:rPr>
            <w:rStyle w:val="Hyperlink"/>
          </w:rPr>
          <w:t>PCC modulus</w:t>
        </w:r>
      </w:hyperlink>
      <w:r w:rsidR="00812993" w:rsidRPr="00812993">
        <w:rPr>
          <w:rStyle w:val="Hyperlink"/>
          <w:color w:val="auto"/>
          <w:u w:val="none"/>
        </w:rPr>
        <w:t>,</w:t>
      </w:r>
      <w:r w:rsidR="00346E9C" w:rsidRPr="003A4CF2">
        <w:t xml:space="preserve"> if available.</w:t>
      </w:r>
    </w:p>
    <w:p w14:paraId="2421B226" w14:textId="77777777" w:rsidR="00BA6982" w:rsidRPr="003A4CF2" w:rsidRDefault="00BA6982" w:rsidP="00A478A0">
      <w:pPr>
        <w:pStyle w:val="ListNumber"/>
        <w:tabs>
          <w:tab w:val="clear" w:pos="720"/>
          <w:tab w:val="clear" w:pos="1872"/>
        </w:tabs>
        <w:spacing w:before="0"/>
        <w:jc w:val="both"/>
      </w:pPr>
    </w:p>
    <w:p w14:paraId="3BBC2576" w14:textId="77777777" w:rsidR="00BA6982" w:rsidRPr="003A4CF2" w:rsidRDefault="00BA6982" w:rsidP="00172E64">
      <w:pPr>
        <w:pStyle w:val="Heading6"/>
        <w:numPr>
          <w:ilvl w:val="5"/>
          <w:numId w:val="184"/>
        </w:numPr>
        <w:tabs>
          <w:tab w:val="left" w:pos="1800"/>
        </w:tabs>
        <w:ind w:left="1152"/>
        <w:rPr>
          <w:b/>
        </w:rPr>
      </w:pPr>
      <w:bookmarkStart w:id="317" w:name="_GAB_2"/>
      <w:bookmarkEnd w:id="317"/>
      <w:r w:rsidRPr="003A4CF2">
        <w:rPr>
          <w:b/>
        </w:rPr>
        <w:t xml:space="preserve">GAB </w:t>
      </w:r>
    </w:p>
    <w:p w14:paraId="3BF5E88C" w14:textId="77777777" w:rsidR="00BA6982" w:rsidRPr="003A4CF2" w:rsidRDefault="00BA6982" w:rsidP="00BA6982">
      <w:pPr>
        <w:pStyle w:val="ListNumber"/>
        <w:tabs>
          <w:tab w:val="clear" w:pos="720"/>
          <w:tab w:val="clear" w:pos="1872"/>
        </w:tabs>
        <w:ind w:left="0" w:firstLine="0"/>
      </w:pPr>
      <w:r w:rsidRPr="003A4CF2">
        <w:t xml:space="preserve">Refer to </w:t>
      </w:r>
      <w:hyperlink w:anchor="_GAB" w:history="1">
        <w:r w:rsidRPr="003A4CF2">
          <w:rPr>
            <w:rStyle w:val="Hyperlink"/>
          </w:rPr>
          <w:t>GAB</w:t>
        </w:r>
      </w:hyperlink>
      <w:r w:rsidRPr="003A4CF2">
        <w:t xml:space="preserve"> from the </w:t>
      </w:r>
      <w:r w:rsidRPr="003A4CF2">
        <w:rPr>
          <w:i/>
        </w:rPr>
        <w:t>Flexible Pavement</w:t>
      </w:r>
      <w:r w:rsidRPr="003A4CF2">
        <w:t xml:space="preserve"> section.</w:t>
      </w:r>
    </w:p>
    <w:p w14:paraId="63E7240A" w14:textId="77777777" w:rsidR="00BA6982" w:rsidRPr="003A4CF2" w:rsidRDefault="00BA6982" w:rsidP="00BA6982"/>
    <w:p w14:paraId="355E8407" w14:textId="77777777" w:rsidR="00BA6982" w:rsidRPr="003A4CF2" w:rsidRDefault="00BA6982" w:rsidP="00172E64">
      <w:pPr>
        <w:pStyle w:val="Heading6"/>
        <w:numPr>
          <w:ilvl w:val="5"/>
          <w:numId w:val="184"/>
        </w:numPr>
        <w:tabs>
          <w:tab w:val="left" w:pos="1800"/>
        </w:tabs>
        <w:ind w:left="1152"/>
        <w:rPr>
          <w:b/>
        </w:rPr>
      </w:pPr>
      <w:bookmarkStart w:id="318" w:name="_Subgrade_2"/>
      <w:bookmarkEnd w:id="318"/>
      <w:r w:rsidRPr="003A4CF2">
        <w:rPr>
          <w:b/>
        </w:rPr>
        <w:t>Subgrade</w:t>
      </w:r>
    </w:p>
    <w:p w14:paraId="05FBC5B5" w14:textId="77777777" w:rsidR="00BA6982" w:rsidRPr="005F5A61" w:rsidRDefault="00BA6982" w:rsidP="00BA6982">
      <w:pPr>
        <w:pStyle w:val="ListNumber"/>
        <w:tabs>
          <w:tab w:val="clear" w:pos="720"/>
          <w:tab w:val="clear" w:pos="1872"/>
        </w:tabs>
        <w:ind w:left="0" w:firstLine="0"/>
      </w:pPr>
      <w:r w:rsidRPr="003A4CF2">
        <w:t xml:space="preserve">Refer to </w:t>
      </w:r>
      <w:hyperlink w:anchor="_Subgrade" w:history="1">
        <w:r w:rsidRPr="003A4CF2">
          <w:rPr>
            <w:rStyle w:val="Hyperlink"/>
          </w:rPr>
          <w:t>Subgrade</w:t>
        </w:r>
      </w:hyperlink>
      <w:r w:rsidRPr="003A4CF2">
        <w:t xml:space="preserve"> fro</w:t>
      </w:r>
      <w:r w:rsidRPr="005F5A61">
        <w:t xml:space="preserve">m the </w:t>
      </w:r>
      <w:r w:rsidRPr="005F5A61">
        <w:rPr>
          <w:i/>
        </w:rPr>
        <w:t>Flexible Pavement</w:t>
      </w:r>
      <w:r w:rsidRPr="005F5A61">
        <w:t xml:space="preserve"> section.</w:t>
      </w:r>
    </w:p>
    <w:p w14:paraId="26DC56F8" w14:textId="77777777" w:rsidR="005F5A61" w:rsidRDefault="005F5A61" w:rsidP="00A478A0">
      <w:pPr>
        <w:pStyle w:val="ListNumber"/>
        <w:tabs>
          <w:tab w:val="clear" w:pos="720"/>
          <w:tab w:val="clear" w:pos="1872"/>
        </w:tabs>
        <w:spacing w:before="0"/>
        <w:ind w:left="0" w:firstLine="0"/>
      </w:pPr>
    </w:p>
    <w:p w14:paraId="1E40F78E" w14:textId="77777777" w:rsidR="00E86920" w:rsidRPr="00B621C3" w:rsidRDefault="00E86920" w:rsidP="00172E64">
      <w:pPr>
        <w:pStyle w:val="Heading4"/>
        <w:numPr>
          <w:ilvl w:val="3"/>
          <w:numId w:val="184"/>
        </w:numPr>
        <w:tabs>
          <w:tab w:val="clear" w:pos="1080"/>
          <w:tab w:val="left" w:pos="1800"/>
        </w:tabs>
        <w:ind w:left="864"/>
      </w:pPr>
      <w:bookmarkStart w:id="319" w:name="_Asphalt_Overlay_over_1"/>
      <w:bookmarkEnd w:id="319"/>
      <w:r w:rsidRPr="00B621C3">
        <w:t>Asphalt Overlay over CRCP</w:t>
      </w:r>
    </w:p>
    <w:p w14:paraId="3D65D130" w14:textId="77777777" w:rsidR="003C20AA" w:rsidRPr="005F5A61" w:rsidRDefault="003C20AA" w:rsidP="003C20AA"/>
    <w:p w14:paraId="0616E6AC" w14:textId="77777777" w:rsidR="003C20AA" w:rsidRPr="005F5A61" w:rsidRDefault="003C20AA" w:rsidP="00172E64">
      <w:pPr>
        <w:pStyle w:val="Heading5"/>
        <w:numPr>
          <w:ilvl w:val="4"/>
          <w:numId w:val="184"/>
        </w:numPr>
        <w:tabs>
          <w:tab w:val="clear" w:pos="1080"/>
          <w:tab w:val="left" w:pos="1800"/>
        </w:tabs>
        <w:ind w:left="1098" w:hanging="1098"/>
      </w:pPr>
      <w:r w:rsidRPr="005F5A61">
        <w:t>Open PMED</w:t>
      </w:r>
    </w:p>
    <w:p w14:paraId="379C0BDB" w14:textId="77777777" w:rsidR="003C20AA" w:rsidRPr="005F5A61" w:rsidRDefault="003C20AA" w:rsidP="003C20AA">
      <w:pPr>
        <w:pStyle w:val="ListNumber"/>
        <w:tabs>
          <w:tab w:val="clear" w:pos="720"/>
          <w:tab w:val="clear" w:pos="1872"/>
        </w:tabs>
        <w:ind w:left="0" w:firstLine="0"/>
        <w:jc w:val="both"/>
      </w:pPr>
      <w:r w:rsidRPr="005F5A61">
        <w:t xml:space="preserve">Open PMED and create a new project or open an existing one (as appropriate).  Input the General Information as required.  The “Design Type” shall be Overlay, and the “Pavement Type” shall be AC over </w:t>
      </w:r>
      <w:r w:rsidR="0065723C" w:rsidRPr="005F5A61">
        <w:t>CR</w:t>
      </w:r>
      <w:r w:rsidRPr="005F5A61">
        <w:t xml:space="preserve">CP.  </w:t>
      </w:r>
    </w:p>
    <w:p w14:paraId="0D637F96" w14:textId="77777777" w:rsidR="00DF5F46" w:rsidRDefault="00DF5F46" w:rsidP="00DF5F46">
      <w:pPr>
        <w:pStyle w:val="Heading5"/>
        <w:numPr>
          <w:ilvl w:val="0"/>
          <w:numId w:val="0"/>
        </w:numPr>
        <w:tabs>
          <w:tab w:val="left" w:pos="1800"/>
        </w:tabs>
        <w:ind w:left="1098"/>
      </w:pPr>
      <w:bookmarkStart w:id="320" w:name="_Performance_Criteria_3"/>
      <w:bookmarkEnd w:id="320"/>
    </w:p>
    <w:p w14:paraId="560EED56" w14:textId="3DD41CD9" w:rsidR="003C20AA" w:rsidRPr="005F5A61" w:rsidRDefault="003C20AA" w:rsidP="00172E64">
      <w:pPr>
        <w:pStyle w:val="Heading5"/>
        <w:numPr>
          <w:ilvl w:val="4"/>
          <w:numId w:val="184"/>
        </w:numPr>
        <w:tabs>
          <w:tab w:val="left" w:pos="1800"/>
        </w:tabs>
        <w:ind w:left="1098" w:hanging="1098"/>
      </w:pPr>
      <w:r w:rsidRPr="005F5A61">
        <w:t>Performance Criteria</w:t>
      </w:r>
    </w:p>
    <w:p w14:paraId="15B3DE07" w14:textId="771A8E3A" w:rsidR="003C20AA" w:rsidRPr="005F5A61" w:rsidRDefault="003C20AA" w:rsidP="003C20AA">
      <w:pPr>
        <w:pStyle w:val="ListNumber"/>
        <w:tabs>
          <w:tab w:val="clear" w:pos="720"/>
          <w:tab w:val="clear" w:pos="1872"/>
        </w:tabs>
        <w:ind w:left="0" w:firstLine="0"/>
        <w:jc w:val="both"/>
      </w:pPr>
      <w:r w:rsidRPr="005F5A61">
        <w:t>Input the Design Life, Performance Criteria</w:t>
      </w:r>
      <w:r w:rsidR="00812993">
        <w:t>,</w:t>
      </w:r>
      <w:r w:rsidRPr="005F5A61">
        <w:t xml:space="preserve"> and Reliability as per </w:t>
      </w:r>
      <w:hyperlink w:anchor="_New,_Rehabilitation_and" w:history="1">
        <w:r w:rsidRPr="005F5A61">
          <w:rPr>
            <w:rStyle w:val="Hyperlink"/>
          </w:rPr>
          <w:t>New, Rehabilitation and Preservation Pavement Design</w:t>
        </w:r>
      </w:hyperlink>
      <w:r w:rsidRPr="005F5A61">
        <w:t>.  Ensure that the Design Life is sufficiently long enough to determine when at least one of the performance criteria fails.</w:t>
      </w:r>
    </w:p>
    <w:p w14:paraId="30596798" w14:textId="77777777" w:rsidR="003C20AA" w:rsidRPr="005F5A61" w:rsidRDefault="003C20AA" w:rsidP="003C20AA">
      <w:pPr>
        <w:pStyle w:val="ListNumber"/>
        <w:tabs>
          <w:tab w:val="clear" w:pos="720"/>
          <w:tab w:val="clear" w:pos="1872"/>
        </w:tabs>
        <w:ind w:left="0" w:firstLine="0"/>
        <w:jc w:val="both"/>
      </w:pPr>
      <w:r w:rsidRPr="005F5A61">
        <w:lastRenderedPageBreak/>
        <w:t xml:space="preserve">Refer to </w:t>
      </w:r>
      <w:hyperlink w:anchor="_Performance_Criteria_2" w:history="1">
        <w:r w:rsidR="0065723C" w:rsidRPr="005F5A61">
          <w:rPr>
            <w:rStyle w:val="Hyperlink"/>
          </w:rPr>
          <w:t>Performance Criteria</w:t>
        </w:r>
      </w:hyperlink>
      <w:r w:rsidR="0065723C" w:rsidRPr="005F5A61">
        <w:t xml:space="preserve"> </w:t>
      </w:r>
      <w:r w:rsidRPr="005F5A61">
        <w:t xml:space="preserve">from the </w:t>
      </w:r>
      <w:r w:rsidR="0065723C" w:rsidRPr="005F5A61">
        <w:rPr>
          <w:i/>
        </w:rPr>
        <w:t>Continuous Reinforced</w:t>
      </w:r>
      <w:r w:rsidRPr="005F5A61">
        <w:rPr>
          <w:i/>
        </w:rPr>
        <w:t xml:space="preserve"> Concrete Pavement</w:t>
      </w:r>
      <w:r w:rsidRPr="005F5A61">
        <w:t xml:space="preserve"> section for additional direction.</w:t>
      </w:r>
    </w:p>
    <w:p w14:paraId="70E7FCC5" w14:textId="77777777" w:rsidR="003C20AA" w:rsidRPr="005F5A61" w:rsidRDefault="003C20AA" w:rsidP="003C20AA">
      <w:pPr>
        <w:pStyle w:val="Heading4"/>
        <w:numPr>
          <w:ilvl w:val="0"/>
          <w:numId w:val="0"/>
        </w:numPr>
        <w:ind w:left="864"/>
      </w:pPr>
    </w:p>
    <w:p w14:paraId="0ED90782" w14:textId="77777777" w:rsidR="003C20AA" w:rsidRPr="005F5A61" w:rsidRDefault="003C20AA" w:rsidP="00172E64">
      <w:pPr>
        <w:pStyle w:val="Heading5"/>
        <w:numPr>
          <w:ilvl w:val="4"/>
          <w:numId w:val="184"/>
        </w:numPr>
        <w:tabs>
          <w:tab w:val="clear" w:pos="1080"/>
          <w:tab w:val="left" w:pos="1800"/>
        </w:tabs>
        <w:ind w:left="1098" w:hanging="1098"/>
      </w:pPr>
      <w:bookmarkStart w:id="321" w:name="_Traffic_4"/>
      <w:bookmarkEnd w:id="321"/>
      <w:r w:rsidRPr="005F5A61">
        <w:t>Traffic</w:t>
      </w:r>
    </w:p>
    <w:p w14:paraId="3701B61B" w14:textId="77777777" w:rsidR="003C20AA" w:rsidRPr="005F5A61" w:rsidRDefault="003C20AA" w:rsidP="003C20AA">
      <w:pPr>
        <w:pStyle w:val="ListNumber"/>
        <w:tabs>
          <w:tab w:val="clear" w:pos="720"/>
          <w:tab w:val="clear" w:pos="1872"/>
        </w:tabs>
        <w:ind w:left="0" w:firstLine="0"/>
      </w:pPr>
      <w:r w:rsidRPr="005F5A61">
        <w:t xml:space="preserve">Refer to </w:t>
      </w:r>
      <w:hyperlink w:anchor="_Traffic_1" w:history="1">
        <w:r w:rsidRPr="005F5A61">
          <w:rPr>
            <w:rStyle w:val="Hyperlink"/>
          </w:rPr>
          <w:t>Traffic</w:t>
        </w:r>
      </w:hyperlink>
      <w:r w:rsidRPr="005F5A61">
        <w:t xml:space="preserve"> from the </w:t>
      </w:r>
      <w:r w:rsidRPr="005F5A61">
        <w:rPr>
          <w:i/>
        </w:rPr>
        <w:t>Flexible Pavement</w:t>
      </w:r>
      <w:r w:rsidRPr="005F5A61">
        <w:t xml:space="preserve"> section.</w:t>
      </w:r>
    </w:p>
    <w:p w14:paraId="57B40645" w14:textId="77777777" w:rsidR="003C20AA" w:rsidRPr="005F5A61" w:rsidRDefault="003C20AA" w:rsidP="00A478A0">
      <w:pPr>
        <w:pStyle w:val="ListNumber"/>
        <w:tabs>
          <w:tab w:val="clear" w:pos="720"/>
          <w:tab w:val="clear" w:pos="1872"/>
        </w:tabs>
        <w:spacing w:before="0"/>
        <w:ind w:left="0" w:firstLine="0"/>
        <w:jc w:val="both"/>
      </w:pPr>
    </w:p>
    <w:p w14:paraId="30616474" w14:textId="77777777" w:rsidR="003C20AA" w:rsidRPr="005F5A61" w:rsidRDefault="003C20AA" w:rsidP="00172E64">
      <w:pPr>
        <w:pStyle w:val="Heading5"/>
        <w:numPr>
          <w:ilvl w:val="4"/>
          <w:numId w:val="184"/>
        </w:numPr>
        <w:tabs>
          <w:tab w:val="left" w:pos="1800"/>
        </w:tabs>
        <w:ind w:left="1098" w:hanging="1098"/>
      </w:pPr>
      <w:bookmarkStart w:id="322" w:name="_Climate_4"/>
      <w:bookmarkEnd w:id="322"/>
      <w:r w:rsidRPr="005F5A61">
        <w:t>Climate</w:t>
      </w:r>
    </w:p>
    <w:p w14:paraId="23577263" w14:textId="77777777" w:rsidR="003C20AA" w:rsidRPr="005F5A61" w:rsidRDefault="003C20AA" w:rsidP="003C20AA">
      <w:pPr>
        <w:pStyle w:val="ListNumber"/>
        <w:tabs>
          <w:tab w:val="clear" w:pos="720"/>
          <w:tab w:val="clear" w:pos="1872"/>
        </w:tabs>
        <w:ind w:left="0" w:firstLine="0"/>
      </w:pPr>
      <w:r w:rsidRPr="005F5A61">
        <w:t xml:space="preserve">Refer to </w:t>
      </w:r>
      <w:hyperlink w:anchor="_Climate" w:history="1">
        <w:r w:rsidRPr="005F5A61">
          <w:rPr>
            <w:rStyle w:val="Hyperlink"/>
          </w:rPr>
          <w:t>Climate</w:t>
        </w:r>
      </w:hyperlink>
      <w:r w:rsidRPr="005F5A61">
        <w:t xml:space="preserve"> from the </w:t>
      </w:r>
      <w:r w:rsidRPr="005F5A61">
        <w:rPr>
          <w:i/>
        </w:rPr>
        <w:t>Flexible Pavement</w:t>
      </w:r>
      <w:r w:rsidRPr="005F5A61">
        <w:t xml:space="preserve"> section.</w:t>
      </w:r>
    </w:p>
    <w:p w14:paraId="6CCBF4F0" w14:textId="77777777" w:rsidR="003C20AA" w:rsidRPr="005F5A61" w:rsidRDefault="003C20AA" w:rsidP="00A478A0">
      <w:pPr>
        <w:pStyle w:val="ListNumber"/>
        <w:tabs>
          <w:tab w:val="clear" w:pos="720"/>
          <w:tab w:val="clear" w:pos="1872"/>
        </w:tabs>
        <w:spacing w:before="0"/>
        <w:ind w:left="0" w:firstLine="0"/>
      </w:pPr>
    </w:p>
    <w:p w14:paraId="67808522" w14:textId="77777777" w:rsidR="003C20AA" w:rsidRPr="005F5A61" w:rsidRDefault="003C20AA" w:rsidP="00172E64">
      <w:pPr>
        <w:pStyle w:val="Heading5"/>
        <w:numPr>
          <w:ilvl w:val="4"/>
          <w:numId w:val="184"/>
        </w:numPr>
        <w:tabs>
          <w:tab w:val="left" w:pos="1800"/>
        </w:tabs>
        <w:ind w:left="1098" w:hanging="1098"/>
      </w:pPr>
      <w:bookmarkStart w:id="323" w:name="_AC_Layer_Properties_1"/>
      <w:bookmarkEnd w:id="323"/>
      <w:r w:rsidRPr="005F5A61">
        <w:t>AC Layer Properties</w:t>
      </w:r>
    </w:p>
    <w:p w14:paraId="4880638F" w14:textId="41D9DE16" w:rsidR="003C20AA" w:rsidRPr="005F5A61" w:rsidRDefault="003C20AA" w:rsidP="003C20AA">
      <w:pPr>
        <w:pStyle w:val="ListNumber"/>
        <w:tabs>
          <w:tab w:val="clear" w:pos="720"/>
          <w:tab w:val="clear" w:pos="1872"/>
        </w:tabs>
        <w:ind w:left="0" w:firstLine="0"/>
        <w:jc w:val="both"/>
      </w:pPr>
      <w:r w:rsidRPr="005F5A61">
        <w:t xml:space="preserve">Double-click on the “AC Layer Properties” button.  Refer to </w:t>
      </w:r>
      <w:hyperlink w:anchor="_AC_Layer_Properties." w:history="1">
        <w:r w:rsidRPr="005F5A61">
          <w:rPr>
            <w:rStyle w:val="Hyperlink"/>
          </w:rPr>
          <w:t>AC Layer Properties</w:t>
        </w:r>
      </w:hyperlink>
      <w:r w:rsidRPr="005F5A61">
        <w:t xml:space="preserve"> from the </w:t>
      </w:r>
      <w:r w:rsidRPr="005F5A61">
        <w:rPr>
          <w:i/>
        </w:rPr>
        <w:t>Flexible Pavement</w:t>
      </w:r>
      <w:r w:rsidRPr="005F5A61">
        <w:t xml:space="preserve"> section.</w:t>
      </w:r>
    </w:p>
    <w:p w14:paraId="0078489C" w14:textId="77777777" w:rsidR="003C20AA" w:rsidRPr="005F5A61" w:rsidRDefault="003C20AA" w:rsidP="003C20AA">
      <w:pPr>
        <w:pStyle w:val="Heading5"/>
        <w:numPr>
          <w:ilvl w:val="0"/>
          <w:numId w:val="0"/>
        </w:numPr>
        <w:ind w:left="1008"/>
      </w:pPr>
    </w:p>
    <w:p w14:paraId="21862C1D" w14:textId="77777777" w:rsidR="003C20AA" w:rsidRPr="005F5A61" w:rsidRDefault="003C20AA" w:rsidP="00172E64">
      <w:pPr>
        <w:pStyle w:val="Heading5"/>
        <w:numPr>
          <w:ilvl w:val="4"/>
          <w:numId w:val="184"/>
        </w:numPr>
        <w:tabs>
          <w:tab w:val="left" w:pos="1800"/>
        </w:tabs>
        <w:ind w:left="1098" w:hanging="1098"/>
      </w:pPr>
      <w:bookmarkStart w:id="324" w:name="_Thermal_Cracking_1"/>
      <w:bookmarkEnd w:id="324"/>
      <w:r w:rsidRPr="005F5A61">
        <w:t>Thermal Cracking</w:t>
      </w:r>
    </w:p>
    <w:p w14:paraId="33572B28" w14:textId="77777777" w:rsidR="003C20AA" w:rsidRPr="005F5A61" w:rsidRDefault="003C20AA" w:rsidP="003C20AA">
      <w:pPr>
        <w:pStyle w:val="ListNumber"/>
        <w:tabs>
          <w:tab w:val="clear" w:pos="720"/>
          <w:tab w:val="clear" w:pos="1872"/>
        </w:tabs>
        <w:ind w:left="0" w:firstLine="0"/>
        <w:jc w:val="both"/>
      </w:pPr>
      <w:r w:rsidRPr="005F5A61">
        <w:t xml:space="preserve">Use the drop-down arrow on the right to find Thermal Cracking.  </w:t>
      </w:r>
      <w:r w:rsidR="00D46330" w:rsidRPr="005F5A61">
        <w:t xml:space="preserve">Refer to </w:t>
      </w:r>
      <w:hyperlink w:anchor="_Thermal_Cracking" w:history="1">
        <w:r w:rsidR="00D46330" w:rsidRPr="005F5A61">
          <w:rPr>
            <w:rStyle w:val="Hyperlink"/>
          </w:rPr>
          <w:t>Thermal Cracking</w:t>
        </w:r>
      </w:hyperlink>
      <w:r w:rsidR="00D46330" w:rsidRPr="005F5A61">
        <w:t xml:space="preserve"> from </w:t>
      </w:r>
      <w:r w:rsidRPr="005F5A61">
        <w:t xml:space="preserve">the </w:t>
      </w:r>
      <w:r w:rsidR="00D46330" w:rsidRPr="005F5A61">
        <w:rPr>
          <w:i/>
        </w:rPr>
        <w:t>AC Overlay over JPCP</w:t>
      </w:r>
      <w:r w:rsidRPr="005F5A61">
        <w:t xml:space="preserve"> section.</w:t>
      </w:r>
    </w:p>
    <w:p w14:paraId="321F5B9C" w14:textId="77777777" w:rsidR="003C20AA" w:rsidRPr="005F5A61" w:rsidRDefault="003C20AA" w:rsidP="003C20AA">
      <w:pPr>
        <w:pStyle w:val="Heading5"/>
        <w:numPr>
          <w:ilvl w:val="0"/>
          <w:numId w:val="0"/>
        </w:numPr>
        <w:ind w:left="1008"/>
      </w:pPr>
    </w:p>
    <w:p w14:paraId="780A4918" w14:textId="77777777" w:rsidR="003C20AA" w:rsidRPr="005F5A61" w:rsidRDefault="003C20AA" w:rsidP="00172E64">
      <w:pPr>
        <w:pStyle w:val="Heading5"/>
        <w:numPr>
          <w:ilvl w:val="4"/>
          <w:numId w:val="184"/>
        </w:numPr>
        <w:tabs>
          <w:tab w:val="left" w:pos="1800"/>
        </w:tabs>
        <w:ind w:left="1098" w:hanging="1098"/>
      </w:pPr>
      <w:bookmarkStart w:id="325" w:name="_Foundation_Support_1"/>
      <w:bookmarkEnd w:id="325"/>
      <w:r w:rsidRPr="005F5A61">
        <w:t>Foundation Support</w:t>
      </w:r>
    </w:p>
    <w:p w14:paraId="3DA328F9" w14:textId="5E29BA99" w:rsidR="00D46330" w:rsidRPr="005F5A61" w:rsidRDefault="003C20AA" w:rsidP="00D46330">
      <w:pPr>
        <w:pStyle w:val="ListNumber"/>
        <w:tabs>
          <w:tab w:val="clear" w:pos="720"/>
          <w:tab w:val="clear" w:pos="1872"/>
        </w:tabs>
        <w:ind w:left="0" w:firstLine="0"/>
        <w:jc w:val="both"/>
      </w:pPr>
      <w:r w:rsidRPr="005F5A61">
        <w:t xml:space="preserve">Double-click on the “Foundation Support” button.  </w:t>
      </w:r>
      <w:r w:rsidR="00D46330" w:rsidRPr="005F5A61">
        <w:t xml:space="preserve">Refer to </w:t>
      </w:r>
      <w:hyperlink w:anchor="_Foundation_Support" w:history="1">
        <w:r w:rsidR="00D46330" w:rsidRPr="005F5A61">
          <w:rPr>
            <w:rStyle w:val="Hyperlink"/>
          </w:rPr>
          <w:t>Foundation Support</w:t>
        </w:r>
      </w:hyperlink>
      <w:r w:rsidR="00D46330" w:rsidRPr="005F5A61">
        <w:t xml:space="preserve"> from the </w:t>
      </w:r>
      <w:r w:rsidR="00D46330" w:rsidRPr="005F5A61">
        <w:rPr>
          <w:i/>
        </w:rPr>
        <w:t>AC Overlay over JPCP</w:t>
      </w:r>
      <w:r w:rsidR="00D46330" w:rsidRPr="005F5A61">
        <w:t xml:space="preserve"> section.</w:t>
      </w:r>
    </w:p>
    <w:p w14:paraId="3767B572" w14:textId="77777777" w:rsidR="003C20AA" w:rsidRPr="005F5A61" w:rsidRDefault="003C20AA" w:rsidP="003C20AA">
      <w:pPr>
        <w:pStyle w:val="Heading5"/>
        <w:numPr>
          <w:ilvl w:val="0"/>
          <w:numId w:val="0"/>
        </w:numPr>
        <w:ind w:left="1008"/>
      </w:pPr>
    </w:p>
    <w:p w14:paraId="20A899DA" w14:textId="77777777" w:rsidR="003C20AA" w:rsidRPr="005F5A61" w:rsidRDefault="00BD202E" w:rsidP="00172E64">
      <w:pPr>
        <w:pStyle w:val="Heading5"/>
        <w:numPr>
          <w:ilvl w:val="4"/>
          <w:numId w:val="184"/>
        </w:numPr>
        <w:tabs>
          <w:tab w:val="left" w:pos="1800"/>
        </w:tabs>
        <w:ind w:left="1098" w:hanging="1098"/>
      </w:pPr>
      <w:bookmarkStart w:id="326" w:name="_CRCP_Layer_Properties_1"/>
      <w:bookmarkEnd w:id="326"/>
      <w:r w:rsidRPr="005F5A61">
        <w:t>CR</w:t>
      </w:r>
      <w:r w:rsidR="003C20AA" w:rsidRPr="005F5A61">
        <w:t>CP Layer Properties</w:t>
      </w:r>
    </w:p>
    <w:p w14:paraId="7F2305F3" w14:textId="37B35E44" w:rsidR="003C20AA" w:rsidRDefault="003C20AA" w:rsidP="00A478A0">
      <w:pPr>
        <w:pStyle w:val="ListNumber"/>
        <w:tabs>
          <w:tab w:val="clear" w:pos="720"/>
          <w:tab w:val="clear" w:pos="1872"/>
        </w:tabs>
        <w:ind w:left="0" w:firstLine="0"/>
        <w:jc w:val="both"/>
      </w:pPr>
      <w:r w:rsidRPr="005F5A61">
        <w:t>Double-click on the “</w:t>
      </w:r>
      <w:r w:rsidR="00BD202E" w:rsidRPr="005F5A61">
        <w:t>CR</w:t>
      </w:r>
      <w:r w:rsidRPr="005F5A61">
        <w:t xml:space="preserve">CP Design Properties” button.  Refer to </w:t>
      </w:r>
      <w:hyperlink w:anchor="_CRCP_Layer_Properties" w:history="1">
        <w:r w:rsidR="00BD202E" w:rsidRPr="005F5A61">
          <w:rPr>
            <w:rStyle w:val="Hyperlink"/>
          </w:rPr>
          <w:t>CRCP Layer Properties</w:t>
        </w:r>
      </w:hyperlink>
      <w:r w:rsidR="00BD202E" w:rsidRPr="005F5A61">
        <w:t xml:space="preserve"> </w:t>
      </w:r>
      <w:r w:rsidRPr="005F5A61">
        <w:t xml:space="preserve">from the </w:t>
      </w:r>
      <w:r w:rsidR="00BD202E" w:rsidRPr="005F5A61">
        <w:rPr>
          <w:i/>
        </w:rPr>
        <w:t>Continuous Reinforced</w:t>
      </w:r>
      <w:r w:rsidRPr="005F5A61">
        <w:rPr>
          <w:i/>
        </w:rPr>
        <w:t xml:space="preserve"> Concrete Pavement </w:t>
      </w:r>
      <w:r w:rsidRPr="005F5A61">
        <w:t>section.</w:t>
      </w:r>
    </w:p>
    <w:p w14:paraId="77343782" w14:textId="335B0B7F" w:rsidR="00DF5F46" w:rsidRPr="005F5A61" w:rsidRDefault="00DF5F46" w:rsidP="00A478A0">
      <w:pPr>
        <w:pStyle w:val="ListNumber"/>
        <w:tabs>
          <w:tab w:val="clear" w:pos="720"/>
          <w:tab w:val="clear" w:pos="1872"/>
        </w:tabs>
        <w:ind w:left="0" w:firstLine="0"/>
        <w:jc w:val="both"/>
      </w:pPr>
      <w:r>
        <w:rPr>
          <w:noProof/>
        </w:rPr>
        <w:drawing>
          <wp:inline distT="0" distB="0" distL="0" distR="0" wp14:anchorId="46D4E087" wp14:editId="622BF389">
            <wp:extent cx="5486400" cy="1484630"/>
            <wp:effectExtent l="0" t="0" r="0" b="1270"/>
            <wp:docPr id="3313" name="Picture 3313" descr="Pavement design PMED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3" name="Picture 3313" descr="Pavement design PMED screen shot"/>
                    <pic:cNvPicPr/>
                  </pic:nvPicPr>
                  <pic:blipFill>
                    <a:blip r:embed="rId194"/>
                    <a:stretch>
                      <a:fillRect/>
                    </a:stretch>
                  </pic:blipFill>
                  <pic:spPr>
                    <a:xfrm>
                      <a:off x="0" y="0"/>
                      <a:ext cx="5486400" cy="1484630"/>
                    </a:xfrm>
                    <a:prstGeom prst="rect">
                      <a:avLst/>
                    </a:prstGeom>
                  </pic:spPr>
                </pic:pic>
              </a:graphicData>
            </a:graphic>
          </wp:inline>
        </w:drawing>
      </w:r>
    </w:p>
    <w:p w14:paraId="7DA83F99" w14:textId="77777777" w:rsidR="00BD202E" w:rsidRPr="005F5A61" w:rsidRDefault="00BD202E" w:rsidP="00172E64">
      <w:pPr>
        <w:pStyle w:val="ListNumber"/>
        <w:numPr>
          <w:ilvl w:val="0"/>
          <w:numId w:val="130"/>
        </w:numPr>
        <w:tabs>
          <w:tab w:val="clear" w:pos="1152"/>
          <w:tab w:val="clear" w:pos="1872"/>
          <w:tab w:val="num" w:pos="1080"/>
        </w:tabs>
        <w:spacing w:before="240"/>
        <w:jc w:val="both"/>
      </w:pPr>
      <w:r w:rsidRPr="005F5A61">
        <w:t>PCC surface shortwave absorptivity: Use the default value (0.85).</w:t>
      </w:r>
    </w:p>
    <w:p w14:paraId="103A443E" w14:textId="77777777" w:rsidR="00DF5F46" w:rsidRPr="005F5A61" w:rsidRDefault="00DF5F46" w:rsidP="00172E64">
      <w:pPr>
        <w:pStyle w:val="ListNumber"/>
        <w:numPr>
          <w:ilvl w:val="0"/>
          <w:numId w:val="130"/>
        </w:numPr>
        <w:tabs>
          <w:tab w:val="clear" w:pos="1872"/>
          <w:tab w:val="left" w:pos="90"/>
        </w:tabs>
        <w:ind w:left="1080" w:hanging="1080"/>
        <w:jc w:val="both"/>
      </w:pPr>
      <w:r w:rsidRPr="005F5A61">
        <w:t xml:space="preserve">Bar diameter: Input the longitudinal steel diameter from As-Builts.  Typically, #5 and #6 bars are used.  </w:t>
      </w:r>
    </w:p>
    <w:p w14:paraId="64D8922E" w14:textId="77777777" w:rsidR="00DF5F46" w:rsidRPr="005F5A61" w:rsidRDefault="00DF5F46" w:rsidP="00172E64">
      <w:pPr>
        <w:pStyle w:val="ListNumber"/>
        <w:numPr>
          <w:ilvl w:val="0"/>
          <w:numId w:val="130"/>
        </w:numPr>
        <w:tabs>
          <w:tab w:val="clear" w:pos="1872"/>
        </w:tabs>
        <w:ind w:left="1080" w:hanging="1080"/>
        <w:jc w:val="both"/>
      </w:pPr>
      <w:r w:rsidRPr="005F5A61">
        <w:t xml:space="preserve">Base/slab friction coefficient: Use the low values for existing pavement.  Refer to </w:t>
      </w:r>
      <w:hyperlink w:anchor="_Base/Slab_Friction_Coefficient" w:history="1">
        <w:r w:rsidRPr="005F5A61">
          <w:rPr>
            <w:rStyle w:val="Hyperlink"/>
          </w:rPr>
          <w:t>Base/Slab Friction Coefficient</w:t>
        </w:r>
      </w:hyperlink>
      <w:r w:rsidRPr="005F5A61">
        <w:t xml:space="preserve">. </w:t>
      </w:r>
    </w:p>
    <w:p w14:paraId="636CCC98" w14:textId="77777777" w:rsidR="00DF5F46" w:rsidRPr="005F5A61" w:rsidRDefault="00DF5F46" w:rsidP="00172E64">
      <w:pPr>
        <w:pStyle w:val="ListNumber"/>
        <w:numPr>
          <w:ilvl w:val="0"/>
          <w:numId w:val="130"/>
        </w:numPr>
        <w:tabs>
          <w:tab w:val="clear" w:pos="1872"/>
        </w:tabs>
        <w:ind w:left="1080" w:hanging="1080"/>
        <w:jc w:val="both"/>
      </w:pPr>
      <w:r w:rsidRPr="005F5A61">
        <w:t>Crack Spacing: Use default value.  Generate should equal True.</w:t>
      </w:r>
    </w:p>
    <w:p w14:paraId="48894130" w14:textId="77777777" w:rsidR="00DF5F46" w:rsidRPr="005F5A61" w:rsidRDefault="00DF5F46" w:rsidP="00172E64">
      <w:pPr>
        <w:pStyle w:val="ListNumber"/>
        <w:numPr>
          <w:ilvl w:val="0"/>
          <w:numId w:val="130"/>
        </w:numPr>
        <w:tabs>
          <w:tab w:val="clear" w:pos="1872"/>
          <w:tab w:val="left" w:pos="90"/>
        </w:tabs>
        <w:ind w:left="1080" w:hanging="1080"/>
        <w:jc w:val="both"/>
      </w:pPr>
      <w:r w:rsidRPr="005F5A61">
        <w:t xml:space="preserve">Steel %: Input the steel percentage from As-Builts.  </w:t>
      </w:r>
      <w:r w:rsidRPr="005F5A61">
        <w:rPr>
          <w:rFonts w:cs="Arial"/>
          <w:szCs w:val="22"/>
        </w:rPr>
        <w:t xml:space="preserve">Refer to </w:t>
      </w:r>
      <w:hyperlink r:id="rId195" w:history="1">
        <w:r w:rsidRPr="009C3BFF">
          <w:rPr>
            <w:rStyle w:val="Hyperlink"/>
            <w:rFonts w:cs="Arial"/>
            <w:szCs w:val="22"/>
          </w:rPr>
          <w:t>How to Access AsBuilts 1-2-3</w:t>
        </w:r>
      </w:hyperlink>
      <w:r w:rsidRPr="005F5A61">
        <w:t>.  The typical range is 0.6% to 0.8%.</w:t>
      </w:r>
    </w:p>
    <w:p w14:paraId="2BC08F41" w14:textId="77777777" w:rsidR="00BD202E" w:rsidRPr="005F5A61" w:rsidRDefault="00BD202E" w:rsidP="00172E64">
      <w:pPr>
        <w:pStyle w:val="ListNumber"/>
        <w:numPr>
          <w:ilvl w:val="0"/>
          <w:numId w:val="130"/>
        </w:numPr>
        <w:tabs>
          <w:tab w:val="clear" w:pos="1872"/>
          <w:tab w:val="left" w:pos="90"/>
        </w:tabs>
        <w:ind w:left="1080" w:hanging="1080"/>
        <w:jc w:val="both"/>
      </w:pPr>
      <w:r w:rsidRPr="005F5A61">
        <w:t>Permanent curl/warp effective temperature difference: Use default (-10).</w:t>
      </w:r>
    </w:p>
    <w:p w14:paraId="4FE8DF2C" w14:textId="77777777" w:rsidR="00DF5F46" w:rsidRPr="005F5A61" w:rsidRDefault="00DF5F46" w:rsidP="00172E64">
      <w:pPr>
        <w:pStyle w:val="ListNumber"/>
        <w:numPr>
          <w:ilvl w:val="0"/>
          <w:numId w:val="130"/>
        </w:numPr>
        <w:tabs>
          <w:tab w:val="clear" w:pos="1872"/>
          <w:tab w:val="left" w:pos="90"/>
        </w:tabs>
        <w:ind w:left="1080" w:hanging="1080"/>
        <w:jc w:val="both"/>
      </w:pPr>
      <w:r w:rsidRPr="005F5A61">
        <w:lastRenderedPageBreak/>
        <w:t>Shoulder type: If there is a concrete shoulder, choose “Tied PCC – Separate.</w:t>
      </w:r>
      <w:r>
        <w:t>”</w:t>
      </w:r>
      <w:r w:rsidRPr="005F5A61">
        <w:t xml:space="preserve">  If the shoulder is asphalt, choose asphalt.</w:t>
      </w:r>
    </w:p>
    <w:p w14:paraId="04E9B8AD" w14:textId="77777777" w:rsidR="00BD202E" w:rsidRPr="005F5A61" w:rsidRDefault="00BD202E" w:rsidP="00172E64">
      <w:pPr>
        <w:pStyle w:val="ListNumber"/>
        <w:numPr>
          <w:ilvl w:val="0"/>
          <w:numId w:val="130"/>
        </w:numPr>
        <w:tabs>
          <w:tab w:val="clear" w:pos="1872"/>
          <w:tab w:val="left" w:pos="90"/>
        </w:tabs>
        <w:ind w:left="1080" w:hanging="1080"/>
        <w:jc w:val="both"/>
      </w:pPr>
      <w:r w:rsidRPr="005F5A61">
        <w:t xml:space="preserve">Steel Depth: </w:t>
      </w:r>
      <w:r w:rsidR="00DA3EFD" w:rsidRPr="005F5A61">
        <w:t>Input the steel depth from As-Builts.</w:t>
      </w:r>
    </w:p>
    <w:p w14:paraId="67FC321A" w14:textId="77777777" w:rsidR="00DF5F46" w:rsidRDefault="00DF5F46" w:rsidP="00DF5F46">
      <w:pPr>
        <w:pStyle w:val="Heading5"/>
        <w:numPr>
          <w:ilvl w:val="0"/>
          <w:numId w:val="0"/>
        </w:numPr>
        <w:tabs>
          <w:tab w:val="left" w:pos="1800"/>
        </w:tabs>
        <w:ind w:left="1098"/>
      </w:pPr>
    </w:p>
    <w:p w14:paraId="2A1FCE67" w14:textId="3D224D4C" w:rsidR="003C20AA" w:rsidRPr="005F5A61" w:rsidRDefault="006E1F7A" w:rsidP="00172E64">
      <w:pPr>
        <w:pStyle w:val="Heading5"/>
        <w:numPr>
          <w:ilvl w:val="4"/>
          <w:numId w:val="184"/>
        </w:numPr>
        <w:tabs>
          <w:tab w:val="left" w:pos="1800"/>
        </w:tabs>
        <w:ind w:left="1098" w:hanging="1098"/>
      </w:pPr>
      <w:r w:rsidRPr="005F5A61">
        <w:t>CR</w:t>
      </w:r>
      <w:r w:rsidR="003C20AA" w:rsidRPr="005F5A61">
        <w:t>CP Rehabilitation</w:t>
      </w:r>
    </w:p>
    <w:p w14:paraId="213E0F60" w14:textId="5A3B9020" w:rsidR="003C20AA" w:rsidRPr="005F5A61" w:rsidRDefault="003C20AA" w:rsidP="00A478A0">
      <w:pPr>
        <w:pStyle w:val="ListNumber"/>
        <w:tabs>
          <w:tab w:val="clear" w:pos="720"/>
          <w:tab w:val="clear" w:pos="1872"/>
        </w:tabs>
        <w:ind w:left="0" w:firstLine="0"/>
        <w:jc w:val="both"/>
      </w:pPr>
      <w:r w:rsidRPr="005F5A61">
        <w:t>Double-click on the “</w:t>
      </w:r>
      <w:r w:rsidR="006E1F7A" w:rsidRPr="005F5A61">
        <w:t>CR</w:t>
      </w:r>
      <w:r w:rsidRPr="005F5A61">
        <w:t>CP Rehabilitation” button.</w:t>
      </w:r>
      <w:r w:rsidR="006E1F7A" w:rsidRPr="005F5A61">
        <w:t xml:space="preserve">  Input the number of punchouts and full-depth repairs per mile.  Estimate 10 if the CRCP has been overlaid with asphalt.</w:t>
      </w:r>
    </w:p>
    <w:p w14:paraId="64E09410" w14:textId="77777777" w:rsidR="003C20AA" w:rsidRPr="005F5A61" w:rsidRDefault="003C20AA" w:rsidP="00A478A0">
      <w:pPr>
        <w:pStyle w:val="ListNumber"/>
        <w:tabs>
          <w:tab w:val="clear" w:pos="720"/>
          <w:tab w:val="clear" w:pos="1872"/>
        </w:tabs>
        <w:spacing w:before="0"/>
        <w:ind w:left="0" w:firstLine="0"/>
        <w:jc w:val="both"/>
      </w:pPr>
    </w:p>
    <w:p w14:paraId="169D20E0" w14:textId="77777777" w:rsidR="003C20AA" w:rsidRPr="005F5A61" w:rsidRDefault="003C20AA" w:rsidP="00172E64">
      <w:pPr>
        <w:pStyle w:val="Heading5"/>
        <w:numPr>
          <w:ilvl w:val="4"/>
          <w:numId w:val="184"/>
        </w:numPr>
        <w:tabs>
          <w:tab w:val="left" w:pos="1800"/>
        </w:tabs>
        <w:ind w:left="1098" w:hanging="1098"/>
      </w:pPr>
      <w:r w:rsidRPr="005F5A61">
        <w:t>Pavement Structure</w:t>
      </w:r>
    </w:p>
    <w:p w14:paraId="2502FCE8" w14:textId="77777777" w:rsidR="003C20AA" w:rsidRPr="005F5A61" w:rsidRDefault="003C20AA" w:rsidP="003C20AA">
      <w:pPr>
        <w:pStyle w:val="ListNumber"/>
        <w:tabs>
          <w:tab w:val="clear" w:pos="720"/>
          <w:tab w:val="clear" w:pos="1872"/>
        </w:tabs>
        <w:ind w:left="0" w:firstLine="0"/>
        <w:jc w:val="both"/>
      </w:pPr>
      <w:r w:rsidRPr="005F5A61">
        <w:t xml:space="preserve">Click in the picture to edit the layers.  For each layer under the PCC surface layer, click on the green </w:t>
      </w:r>
      <w:r w:rsidRPr="006B087A">
        <w:rPr>
          <w:b/>
          <w:color w:val="006100"/>
          <w:sz w:val="24"/>
          <w:szCs w:val="2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Pr="005F5A61">
        <w:t xml:space="preserve"> button to add a layer.  For the subgrade, choose the AASHTO description provided by the lab results.  Ensure that AASHTO, not MSMT, descriptions are used.</w:t>
      </w:r>
    </w:p>
    <w:p w14:paraId="7EAD075A" w14:textId="77777777" w:rsidR="003C20AA" w:rsidRPr="005F5A61" w:rsidRDefault="003C20AA" w:rsidP="003C20AA">
      <w:pPr>
        <w:pStyle w:val="Heading6"/>
        <w:numPr>
          <w:ilvl w:val="0"/>
          <w:numId w:val="0"/>
        </w:numPr>
        <w:ind w:left="1152"/>
        <w:rPr>
          <w:b/>
        </w:rPr>
      </w:pPr>
    </w:p>
    <w:p w14:paraId="4EFFF4F1" w14:textId="53167103" w:rsidR="003C20AA" w:rsidRPr="005F5A61" w:rsidRDefault="003C20AA" w:rsidP="00172E64">
      <w:pPr>
        <w:pStyle w:val="Heading6"/>
        <w:numPr>
          <w:ilvl w:val="5"/>
          <w:numId w:val="184"/>
        </w:numPr>
        <w:tabs>
          <w:tab w:val="left" w:pos="1800"/>
        </w:tabs>
        <w:ind w:left="1152"/>
        <w:rPr>
          <w:b/>
        </w:rPr>
      </w:pPr>
      <w:bookmarkStart w:id="327" w:name="_For_each_AC_2"/>
      <w:bookmarkEnd w:id="327"/>
      <w:r w:rsidRPr="005F5A61">
        <w:rPr>
          <w:b/>
        </w:rPr>
        <w:t xml:space="preserve">For </w:t>
      </w:r>
      <w:r w:rsidR="00CD7295">
        <w:rPr>
          <w:b/>
        </w:rPr>
        <w:t>E</w:t>
      </w:r>
      <w:r w:rsidRPr="005F5A61">
        <w:rPr>
          <w:b/>
        </w:rPr>
        <w:t>ach AC Layer</w:t>
      </w:r>
    </w:p>
    <w:p w14:paraId="4C649518" w14:textId="053372D1" w:rsidR="003C20AA" w:rsidRPr="005F5A61" w:rsidRDefault="003C20AA" w:rsidP="003C20AA">
      <w:pPr>
        <w:pStyle w:val="ListNumber"/>
        <w:tabs>
          <w:tab w:val="clear" w:pos="720"/>
          <w:tab w:val="clear" w:pos="1872"/>
        </w:tabs>
        <w:ind w:left="0" w:firstLine="0"/>
      </w:pPr>
      <w:r w:rsidRPr="005F5A61">
        <w:t xml:space="preserve">Refer to </w:t>
      </w:r>
      <w:hyperlink w:anchor="_For_each_AC" w:history="1">
        <w:r w:rsidRPr="005F5A61">
          <w:rPr>
            <w:rStyle w:val="Hyperlink"/>
          </w:rPr>
          <w:t xml:space="preserve">For </w:t>
        </w:r>
        <w:r w:rsidR="00D67DC3">
          <w:rPr>
            <w:rStyle w:val="Hyperlink"/>
          </w:rPr>
          <w:t>E</w:t>
        </w:r>
        <w:r w:rsidRPr="005F5A61">
          <w:rPr>
            <w:rStyle w:val="Hyperlink"/>
          </w:rPr>
          <w:t>ach AC Layer</w:t>
        </w:r>
      </w:hyperlink>
      <w:r w:rsidRPr="005F5A61">
        <w:t xml:space="preserve"> from the </w:t>
      </w:r>
      <w:r w:rsidRPr="005F5A61">
        <w:rPr>
          <w:i/>
        </w:rPr>
        <w:t>Flexible Pavement</w:t>
      </w:r>
      <w:r w:rsidRPr="005F5A61">
        <w:t xml:space="preserve"> section.</w:t>
      </w:r>
    </w:p>
    <w:p w14:paraId="49B8A7DD" w14:textId="77777777" w:rsidR="003C20AA" w:rsidRPr="005F5A61" w:rsidRDefault="003C20AA" w:rsidP="00A478A0">
      <w:pPr>
        <w:pStyle w:val="ListNumber"/>
        <w:tabs>
          <w:tab w:val="clear" w:pos="720"/>
          <w:tab w:val="clear" w:pos="1872"/>
        </w:tabs>
        <w:spacing w:before="0"/>
        <w:ind w:left="0" w:firstLine="0"/>
        <w:jc w:val="both"/>
      </w:pPr>
    </w:p>
    <w:p w14:paraId="4C0CA393" w14:textId="21C87E2A" w:rsidR="003C20AA" w:rsidRPr="005F5A61" w:rsidRDefault="003C20AA" w:rsidP="00172E64">
      <w:pPr>
        <w:pStyle w:val="Heading6"/>
        <w:numPr>
          <w:ilvl w:val="5"/>
          <w:numId w:val="184"/>
        </w:numPr>
        <w:tabs>
          <w:tab w:val="left" w:pos="1800"/>
        </w:tabs>
        <w:ind w:left="1152"/>
        <w:rPr>
          <w:b/>
        </w:rPr>
      </w:pPr>
      <w:bookmarkStart w:id="328" w:name="_For_the_PCC_2"/>
      <w:bookmarkEnd w:id="328"/>
      <w:r w:rsidRPr="005F5A61">
        <w:rPr>
          <w:b/>
        </w:rPr>
        <w:t>For the PCC Layer</w:t>
      </w:r>
    </w:p>
    <w:p w14:paraId="1BEC1386" w14:textId="239CDA9D" w:rsidR="003C20AA" w:rsidRPr="005F5A61" w:rsidRDefault="003C20AA" w:rsidP="00A478A0">
      <w:pPr>
        <w:pStyle w:val="ListNumber"/>
        <w:tabs>
          <w:tab w:val="clear" w:pos="720"/>
          <w:tab w:val="clear" w:pos="1872"/>
        </w:tabs>
        <w:ind w:left="0" w:firstLine="0"/>
        <w:jc w:val="both"/>
      </w:pPr>
      <w:r w:rsidRPr="005F5A61">
        <w:t xml:space="preserve">Refer to </w:t>
      </w:r>
      <w:hyperlink w:anchor="_For_the_PCC" w:history="1">
        <w:r w:rsidRPr="005F5A61">
          <w:rPr>
            <w:rStyle w:val="Hyperlink"/>
          </w:rPr>
          <w:t>For the PCC Layer</w:t>
        </w:r>
      </w:hyperlink>
      <w:r w:rsidRPr="005F5A61">
        <w:t xml:space="preserve"> from the</w:t>
      </w:r>
      <w:r w:rsidRPr="005F5A61">
        <w:rPr>
          <w:i/>
        </w:rPr>
        <w:t xml:space="preserve"> Jointed Plain Concrete Pavement</w:t>
      </w:r>
      <w:r w:rsidRPr="005F5A61">
        <w:t xml:space="preserve"> section.  Use </w:t>
      </w:r>
      <w:hyperlink w:anchor="Dynamic_K" w:history="1">
        <w:r w:rsidRPr="005F5A61">
          <w:rPr>
            <w:rStyle w:val="Hyperlink"/>
          </w:rPr>
          <w:t>FWD results for the PCC modulus</w:t>
        </w:r>
      </w:hyperlink>
      <w:r w:rsidRPr="005F5A61">
        <w:t xml:space="preserve"> if available.</w:t>
      </w:r>
    </w:p>
    <w:p w14:paraId="4AB5BC58" w14:textId="77777777" w:rsidR="003C20AA" w:rsidRPr="005F5A61" w:rsidRDefault="003C20AA" w:rsidP="00A478A0">
      <w:pPr>
        <w:pStyle w:val="ListNumber"/>
        <w:tabs>
          <w:tab w:val="clear" w:pos="720"/>
          <w:tab w:val="clear" w:pos="1872"/>
        </w:tabs>
        <w:spacing w:before="0"/>
        <w:jc w:val="both"/>
      </w:pPr>
    </w:p>
    <w:p w14:paraId="39074C71" w14:textId="77777777" w:rsidR="003C20AA" w:rsidRPr="005F5A61" w:rsidRDefault="003C20AA" w:rsidP="00172E64">
      <w:pPr>
        <w:pStyle w:val="Heading6"/>
        <w:numPr>
          <w:ilvl w:val="5"/>
          <w:numId w:val="184"/>
        </w:numPr>
        <w:tabs>
          <w:tab w:val="left" w:pos="1800"/>
        </w:tabs>
        <w:ind w:left="1152"/>
        <w:rPr>
          <w:b/>
        </w:rPr>
      </w:pPr>
      <w:bookmarkStart w:id="329" w:name="_GAB_3"/>
      <w:bookmarkEnd w:id="329"/>
      <w:r w:rsidRPr="005F5A61">
        <w:rPr>
          <w:b/>
        </w:rPr>
        <w:t xml:space="preserve">GAB </w:t>
      </w:r>
    </w:p>
    <w:p w14:paraId="680C6809" w14:textId="77777777" w:rsidR="003C20AA" w:rsidRPr="005F5A61" w:rsidRDefault="003C20AA" w:rsidP="003C20AA">
      <w:pPr>
        <w:pStyle w:val="ListNumber"/>
        <w:tabs>
          <w:tab w:val="clear" w:pos="720"/>
          <w:tab w:val="clear" w:pos="1872"/>
        </w:tabs>
        <w:ind w:left="0" w:firstLine="0"/>
      </w:pPr>
      <w:r w:rsidRPr="005F5A61">
        <w:t xml:space="preserve">Refer to </w:t>
      </w:r>
      <w:hyperlink w:anchor="_GAB" w:history="1">
        <w:r w:rsidRPr="005F5A61">
          <w:rPr>
            <w:rStyle w:val="Hyperlink"/>
          </w:rPr>
          <w:t>GAB</w:t>
        </w:r>
      </w:hyperlink>
      <w:r w:rsidRPr="005F5A61">
        <w:t xml:space="preserve"> from the </w:t>
      </w:r>
      <w:r w:rsidRPr="005F5A61">
        <w:rPr>
          <w:i/>
        </w:rPr>
        <w:t>Flexible Pavement</w:t>
      </w:r>
      <w:r w:rsidRPr="005F5A61">
        <w:t xml:space="preserve"> section.</w:t>
      </w:r>
    </w:p>
    <w:p w14:paraId="3F000B12" w14:textId="77777777" w:rsidR="003C20AA" w:rsidRPr="005F5A61" w:rsidRDefault="003C20AA" w:rsidP="003C20AA"/>
    <w:p w14:paraId="7FB5774B" w14:textId="77777777" w:rsidR="003C20AA" w:rsidRPr="005F5A61" w:rsidRDefault="003C20AA" w:rsidP="00172E64">
      <w:pPr>
        <w:pStyle w:val="Heading6"/>
        <w:numPr>
          <w:ilvl w:val="5"/>
          <w:numId w:val="184"/>
        </w:numPr>
        <w:tabs>
          <w:tab w:val="left" w:pos="1800"/>
        </w:tabs>
        <w:ind w:left="1152"/>
        <w:rPr>
          <w:b/>
        </w:rPr>
      </w:pPr>
      <w:bookmarkStart w:id="330" w:name="_Subgrade_3"/>
      <w:bookmarkEnd w:id="330"/>
      <w:r w:rsidRPr="005F5A61">
        <w:rPr>
          <w:b/>
        </w:rPr>
        <w:t>Subgrade</w:t>
      </w:r>
    </w:p>
    <w:p w14:paraId="6FAE7C91" w14:textId="77777777" w:rsidR="003C20AA" w:rsidRPr="009B23BC" w:rsidRDefault="003C20AA" w:rsidP="003C20AA">
      <w:pPr>
        <w:pStyle w:val="ListNumber"/>
        <w:tabs>
          <w:tab w:val="clear" w:pos="720"/>
          <w:tab w:val="clear" w:pos="1872"/>
        </w:tabs>
        <w:ind w:left="0" w:firstLine="0"/>
      </w:pPr>
      <w:r w:rsidRPr="005F5A61">
        <w:t xml:space="preserve">Refer to </w:t>
      </w:r>
      <w:hyperlink w:anchor="_Subgrade" w:history="1">
        <w:r w:rsidRPr="005F5A61">
          <w:rPr>
            <w:rStyle w:val="Hyperlink"/>
          </w:rPr>
          <w:t>Subgrade</w:t>
        </w:r>
      </w:hyperlink>
      <w:r w:rsidRPr="005F5A61">
        <w:t xml:space="preserve"> from </w:t>
      </w:r>
      <w:r w:rsidRPr="009B23BC">
        <w:t xml:space="preserve">the </w:t>
      </w:r>
      <w:r w:rsidRPr="009B23BC">
        <w:rPr>
          <w:i/>
        </w:rPr>
        <w:t>Flexible Pavement</w:t>
      </w:r>
      <w:r w:rsidRPr="009B23BC">
        <w:t xml:space="preserve"> section.</w:t>
      </w:r>
    </w:p>
    <w:p w14:paraId="13EDBE7D" w14:textId="77777777" w:rsidR="00E86920" w:rsidRPr="009B23BC" w:rsidRDefault="00E86920" w:rsidP="00A478A0">
      <w:pPr>
        <w:tabs>
          <w:tab w:val="left" w:pos="720"/>
          <w:tab w:val="left" w:pos="1872"/>
        </w:tabs>
        <w:ind w:left="1440" w:hanging="1440"/>
        <w:jc w:val="center"/>
        <w:rPr>
          <w:rFonts w:ascii="Arial" w:eastAsia="Arial" w:hAnsi="Arial" w:cs="Arial"/>
          <w:shd w:val="clear" w:color="auto" w:fill="FFFF00"/>
        </w:rPr>
      </w:pPr>
    </w:p>
    <w:p w14:paraId="22B185F9" w14:textId="77777777" w:rsidR="008D583C" w:rsidRPr="009D0732" w:rsidRDefault="008D583C" w:rsidP="00172E64">
      <w:pPr>
        <w:pStyle w:val="Heading4"/>
        <w:numPr>
          <w:ilvl w:val="3"/>
          <w:numId w:val="184"/>
        </w:numPr>
        <w:tabs>
          <w:tab w:val="left" w:pos="1800"/>
        </w:tabs>
        <w:ind w:left="864"/>
      </w:pPr>
      <w:bookmarkStart w:id="331" w:name="_JPCP_Restoration"/>
      <w:bookmarkEnd w:id="331"/>
      <w:r w:rsidRPr="009D0732">
        <w:t>JPCP Restoration</w:t>
      </w:r>
    </w:p>
    <w:p w14:paraId="0F6D5CA7" w14:textId="77777777" w:rsidR="008D583C" w:rsidRPr="009B23BC" w:rsidRDefault="008D583C" w:rsidP="008D583C">
      <w:pPr>
        <w:tabs>
          <w:tab w:val="left" w:pos="1800"/>
        </w:tabs>
        <w:ind w:left="1440"/>
        <w:jc w:val="both"/>
        <w:rPr>
          <w:rFonts w:ascii="Arial" w:eastAsia="Arial" w:hAnsi="Arial" w:cs="Arial"/>
          <w:shd w:val="clear" w:color="auto" w:fill="FFFF00"/>
        </w:rPr>
      </w:pPr>
    </w:p>
    <w:p w14:paraId="7188392C" w14:textId="77777777" w:rsidR="009B23BC" w:rsidRPr="009B23BC" w:rsidRDefault="009B23BC" w:rsidP="00172E64">
      <w:pPr>
        <w:pStyle w:val="Heading5"/>
        <w:numPr>
          <w:ilvl w:val="4"/>
          <w:numId w:val="184"/>
        </w:numPr>
        <w:tabs>
          <w:tab w:val="left" w:pos="1800"/>
        </w:tabs>
        <w:ind w:left="1098" w:hanging="1098"/>
      </w:pPr>
      <w:r w:rsidRPr="009B23BC">
        <w:t>Open PMED</w:t>
      </w:r>
    </w:p>
    <w:p w14:paraId="12064A45" w14:textId="77777777" w:rsidR="009B23BC" w:rsidRDefault="009B23BC" w:rsidP="009B23BC">
      <w:pPr>
        <w:pStyle w:val="ListNumber"/>
        <w:tabs>
          <w:tab w:val="clear" w:pos="720"/>
          <w:tab w:val="clear" w:pos="1872"/>
        </w:tabs>
        <w:ind w:left="0" w:firstLine="0"/>
        <w:jc w:val="both"/>
      </w:pPr>
      <w:r w:rsidRPr="009B23BC">
        <w:t>Open PMED and creat</w:t>
      </w:r>
      <w:r w:rsidRPr="00EF3C70">
        <w:t xml:space="preserve">e a new project or open an existing one (as appropriate).  Input the General Information as required.  The “Design Type” shall be </w:t>
      </w:r>
      <w:r>
        <w:t>Restoration</w:t>
      </w:r>
      <w:r w:rsidRPr="00EF3C70">
        <w:t xml:space="preserve">, and the “Pavement Type” shall be </w:t>
      </w:r>
      <w:r>
        <w:t>JPCP Restoration</w:t>
      </w:r>
      <w:r w:rsidRPr="00EF3C70">
        <w:t xml:space="preserve">.  </w:t>
      </w:r>
    </w:p>
    <w:p w14:paraId="165BE128" w14:textId="77777777" w:rsidR="009B23BC" w:rsidRPr="00EF3C70" w:rsidRDefault="009B23BC" w:rsidP="009B23BC">
      <w:pPr>
        <w:pStyle w:val="ListNumber"/>
        <w:tabs>
          <w:tab w:val="clear" w:pos="720"/>
          <w:tab w:val="clear" w:pos="1872"/>
        </w:tabs>
        <w:ind w:left="0" w:firstLine="0"/>
        <w:jc w:val="both"/>
      </w:pPr>
      <w:r>
        <w:t xml:space="preserve">Refer to </w:t>
      </w:r>
      <w:hyperlink w:anchor="_Asphalt_Overlay_over" w:history="1">
        <w:r w:rsidRPr="009B23BC">
          <w:rPr>
            <w:rStyle w:val="Hyperlink"/>
          </w:rPr>
          <w:t>Asphalt Overlay over JCP</w:t>
        </w:r>
      </w:hyperlink>
      <w:r>
        <w:t xml:space="preserve"> for all inputs, except that there are no AC layer inputs.</w:t>
      </w:r>
    </w:p>
    <w:p w14:paraId="5DD975D3" w14:textId="77777777" w:rsidR="00D81436" w:rsidRPr="00D81436" w:rsidRDefault="00D81436" w:rsidP="00D81436">
      <w:pPr>
        <w:sectPr w:rsidR="00D81436" w:rsidRPr="00D81436" w:rsidSect="008D4DB6">
          <w:headerReference w:type="default" r:id="rId196"/>
          <w:footerReference w:type="default" r:id="rId197"/>
          <w:pgSz w:w="12240" w:h="15840"/>
          <w:pgMar w:top="1440" w:right="1800" w:bottom="1296" w:left="1800" w:header="720" w:footer="720" w:gutter="0"/>
          <w:pgNumType w:chapStyle="1"/>
          <w:cols w:space="720"/>
          <w:docGrid w:linePitch="272"/>
        </w:sectPr>
      </w:pPr>
    </w:p>
    <w:p w14:paraId="5D0D1174" w14:textId="77777777" w:rsidR="008445BF" w:rsidRDefault="008445BF" w:rsidP="008445BF">
      <w:pPr>
        <w:pStyle w:val="Heading1"/>
        <w:numPr>
          <w:ilvl w:val="0"/>
          <w:numId w:val="0"/>
        </w:numPr>
        <w:sectPr w:rsidR="008445BF" w:rsidSect="00D23B5E">
          <w:headerReference w:type="default" r:id="rId198"/>
          <w:footerReference w:type="default" r:id="rId199"/>
          <w:type w:val="continuous"/>
          <w:pgSz w:w="12240" w:h="15840"/>
          <w:pgMar w:top="1440" w:right="1800" w:bottom="1440" w:left="1800" w:header="432" w:footer="720" w:gutter="0"/>
          <w:pgNumType w:start="1" w:chapStyle="1"/>
          <w:cols w:space="720"/>
        </w:sectPr>
      </w:pPr>
      <w:bookmarkStart w:id="332" w:name="_Processing_Boring/Laboratory_Data"/>
      <w:bookmarkStart w:id="333" w:name="_Pavement_Preservation,_Rehabilitati"/>
      <w:bookmarkEnd w:id="332"/>
      <w:bookmarkEnd w:id="333"/>
    </w:p>
    <w:p w14:paraId="7A8A05A0" w14:textId="265D1C22" w:rsidR="00A95AF4" w:rsidRDefault="00A95AF4" w:rsidP="008445BF">
      <w:pPr>
        <w:pStyle w:val="Heading1"/>
        <w:numPr>
          <w:ilvl w:val="0"/>
          <w:numId w:val="0"/>
        </w:numPr>
        <w:sectPr w:rsidR="00A95AF4" w:rsidSect="00D23B5E">
          <w:type w:val="continuous"/>
          <w:pgSz w:w="12240" w:h="15840"/>
          <w:pgMar w:top="1440" w:right="1800" w:bottom="1440" w:left="1800" w:header="432" w:footer="720" w:gutter="0"/>
          <w:pgNumType w:start="1" w:chapStyle="1"/>
          <w:cols w:space="720"/>
        </w:sectPr>
      </w:pPr>
    </w:p>
    <w:p w14:paraId="1C06D37F" w14:textId="4DAA3104" w:rsidR="00D316B0" w:rsidRDefault="004F154F" w:rsidP="008445BF">
      <w:pPr>
        <w:pStyle w:val="Heading1"/>
      </w:pPr>
      <w:bookmarkStart w:id="334" w:name="_Pavement_Preservation,_Rehabilitati_1"/>
      <w:bookmarkStart w:id="335" w:name="_Toc479160103"/>
      <w:bookmarkStart w:id="336" w:name="_Toc514057991"/>
      <w:bookmarkStart w:id="337" w:name="_Toc194932387"/>
      <w:bookmarkEnd w:id="334"/>
      <w:r>
        <w:lastRenderedPageBreak/>
        <w:t>P</w:t>
      </w:r>
      <w:r w:rsidR="00D316B0">
        <w:t>avement Preservation, Rehabilitation &amp; Design</w:t>
      </w:r>
      <w:bookmarkEnd w:id="335"/>
      <w:bookmarkEnd w:id="336"/>
      <w:bookmarkEnd w:id="337"/>
    </w:p>
    <w:p w14:paraId="4CEC7917" w14:textId="77777777" w:rsidR="00D316B0" w:rsidRPr="00410C46" w:rsidRDefault="00D316B0" w:rsidP="00172E64">
      <w:pPr>
        <w:pStyle w:val="Heading2"/>
        <w:numPr>
          <w:ilvl w:val="1"/>
          <w:numId w:val="184"/>
        </w:numPr>
        <w:ind w:left="0" w:firstLine="0"/>
      </w:pPr>
      <w:bookmarkStart w:id="338" w:name="_Design_Input_Policies_1"/>
      <w:bookmarkStart w:id="339" w:name="_Design_Input_Policies"/>
      <w:bookmarkStart w:id="340" w:name="_Toc338309984"/>
      <w:bookmarkStart w:id="341" w:name="_Toc338310053"/>
      <w:bookmarkStart w:id="342" w:name="_Toc479160104"/>
      <w:bookmarkStart w:id="343" w:name="_Toc514057992"/>
      <w:bookmarkStart w:id="344" w:name="_Toc194932388"/>
      <w:bookmarkStart w:id="345" w:name="Section5_01_TOC"/>
      <w:bookmarkEnd w:id="338"/>
      <w:bookmarkEnd w:id="339"/>
      <w:r w:rsidRPr="00410C46">
        <w:t>Design Input Policies</w:t>
      </w:r>
      <w:bookmarkEnd w:id="340"/>
      <w:bookmarkEnd w:id="341"/>
      <w:bookmarkEnd w:id="342"/>
      <w:bookmarkEnd w:id="343"/>
      <w:bookmarkEnd w:id="344"/>
    </w:p>
    <w:p w14:paraId="26EE4BE9" w14:textId="77777777" w:rsidR="00DD61F7" w:rsidRDefault="00DD61F7" w:rsidP="00BE3F24">
      <w:pPr>
        <w:pStyle w:val="BodyText"/>
        <w:spacing w:after="0"/>
        <w:rPr>
          <w:rFonts w:cs="Arial"/>
          <w:bCs/>
          <w:sz w:val="16"/>
          <w:szCs w:val="16"/>
        </w:rPr>
      </w:pPr>
      <w:r>
        <w:rPr>
          <w:rFonts w:eastAsia="Arial" w:cs="Arial"/>
          <w:sz w:val="16"/>
        </w:rPr>
        <w:t>Click to go</w:t>
      </w:r>
      <w:r w:rsidRPr="00982DB5">
        <w:rPr>
          <w:rFonts w:eastAsia="Arial" w:cs="Arial"/>
          <w:sz w:val="16"/>
          <w:szCs w:val="16"/>
        </w:rPr>
        <w:t xml:space="preserve"> to</w:t>
      </w:r>
      <w:r w:rsidRPr="00982DB5">
        <w:rPr>
          <w:rFonts w:cs="Arial"/>
          <w:bCs/>
          <w:sz w:val="16"/>
          <w:szCs w:val="16"/>
        </w:rPr>
        <w:t xml:space="preserve"> </w:t>
      </w:r>
      <w:hyperlink w:anchor="_Initial_Treatment_Identification" w:history="1">
        <w:r w:rsidRPr="007E1D5E">
          <w:rPr>
            <w:rStyle w:val="Hyperlink"/>
            <w:rFonts w:cs="Arial"/>
            <w:bCs/>
            <w:sz w:val="16"/>
            <w:szCs w:val="16"/>
          </w:rPr>
          <w:t>Initial Treatment Identification – Pavement Preservation Guide</w:t>
        </w:r>
      </w:hyperlink>
    </w:p>
    <w:p w14:paraId="1EE2FA58" w14:textId="77777777" w:rsidR="00DF4794" w:rsidRDefault="00DF4794" w:rsidP="00DF4794">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Mechanistic-Empirical_Anal" w:history="1">
        <w:r w:rsidRPr="00DF4794">
          <w:rPr>
            <w:rStyle w:val="Hyperlink"/>
            <w:rFonts w:ascii="Arial" w:hAnsi="Arial" w:cs="Arial"/>
            <w:bCs/>
            <w:sz w:val="16"/>
            <w:szCs w:val="16"/>
          </w:rPr>
          <w:t>Pavement Mechanistic-Empirical Analysis</w:t>
        </w:r>
      </w:hyperlink>
    </w:p>
    <w:p w14:paraId="04AACD80" w14:textId="77777777" w:rsidR="003C5A72" w:rsidRDefault="003C5A72" w:rsidP="003C5A7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Preservation_&amp;" w:history="1">
        <w:r w:rsidRPr="003C5A72">
          <w:rPr>
            <w:rStyle w:val="Hyperlink"/>
            <w:rFonts w:ascii="Arial" w:hAnsi="Arial" w:cs="Arial"/>
            <w:bCs/>
            <w:sz w:val="16"/>
            <w:szCs w:val="16"/>
          </w:rPr>
          <w:t>Pavement Preservation &amp; Rehabilitation Design</w:t>
        </w:r>
      </w:hyperlink>
    </w:p>
    <w:p w14:paraId="279A5E93" w14:textId="77777777" w:rsidR="001F32D3" w:rsidRDefault="001F32D3" w:rsidP="001F32D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orms,_Spreadsheets_&amp;" w:history="1">
        <w:r w:rsidRPr="001F32D3">
          <w:rPr>
            <w:rStyle w:val="Hyperlink"/>
            <w:rFonts w:ascii="Arial" w:hAnsi="Arial" w:cs="Arial"/>
            <w:bCs/>
            <w:sz w:val="16"/>
            <w:szCs w:val="16"/>
          </w:rPr>
          <w:t>Forms, Spreadsheets &amp; Guidelines</w:t>
        </w:r>
      </w:hyperlink>
    </w:p>
    <w:p w14:paraId="682AF448" w14:textId="77777777" w:rsidR="001F32D3" w:rsidRDefault="001F32D3" w:rsidP="001F32D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Unit_Costs" w:history="1">
        <w:r w:rsidRPr="001F32D3">
          <w:rPr>
            <w:rStyle w:val="Hyperlink"/>
            <w:rFonts w:ascii="Arial" w:hAnsi="Arial" w:cs="Arial"/>
            <w:bCs/>
            <w:sz w:val="16"/>
            <w:szCs w:val="16"/>
          </w:rPr>
          <w:t>Unit Costs</w:t>
        </w:r>
      </w:hyperlink>
    </w:p>
    <w:p w14:paraId="52EA67EA" w14:textId="77777777" w:rsidR="001F32D3" w:rsidRDefault="001F32D3" w:rsidP="001F32D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2" w:history="1">
        <w:r w:rsidRPr="001F32D3">
          <w:rPr>
            <w:rStyle w:val="Hyperlink"/>
            <w:rFonts w:ascii="Arial" w:hAnsi="Arial" w:cs="Arial"/>
            <w:bCs/>
            <w:sz w:val="16"/>
            <w:szCs w:val="16"/>
          </w:rPr>
          <w:t>New Pavement Design Using AASHTO 1993</w:t>
        </w:r>
      </w:hyperlink>
    </w:p>
    <w:p w14:paraId="05A15C38" w14:textId="77777777" w:rsidR="00707989"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1A5B8C84" w14:textId="77777777" w:rsidR="00E96760" w:rsidRPr="008F604D" w:rsidRDefault="00E96760"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Pr>
          <w:rFonts w:ascii="Arial" w:eastAsia="Arial" w:hAnsi="Arial" w:cs="Arial"/>
          <w:sz w:val="16"/>
          <w:szCs w:val="16"/>
        </w:rPr>
        <w:t xml:space="preserve"> </w:t>
      </w:r>
      <w:hyperlink w:anchor="_Concrete_Overlay_Design_1" w:history="1">
        <w:r w:rsidRPr="00E96760">
          <w:rPr>
            <w:rStyle w:val="Hyperlink"/>
            <w:rFonts w:ascii="Arial" w:eastAsia="Arial" w:hAnsi="Arial" w:cs="Arial"/>
            <w:sz w:val="16"/>
            <w:szCs w:val="16"/>
          </w:rPr>
          <w:t>Concrete Overlay Design</w:t>
        </w:r>
      </w:hyperlink>
    </w:p>
    <w:p w14:paraId="452A51F6" w14:textId="77777777" w:rsidR="00DD61F7" w:rsidRDefault="00DD61F7" w:rsidP="00BE3F24">
      <w:pPr>
        <w:pStyle w:val="BodyText"/>
        <w:spacing w:after="0"/>
      </w:pPr>
    </w:p>
    <w:p w14:paraId="03971214" w14:textId="2B475A55" w:rsidR="00397B23" w:rsidRPr="00410C46" w:rsidRDefault="00397B23" w:rsidP="004774C1">
      <w:pPr>
        <w:pStyle w:val="BodyText"/>
        <w:spacing w:after="0"/>
        <w:jc w:val="both"/>
      </w:pPr>
      <w:r w:rsidRPr="00410C46">
        <w:t xml:space="preserve">The </w:t>
      </w:r>
      <w:r w:rsidR="008C7023">
        <w:t>MDOT-SHA</w:t>
      </w:r>
      <w:r w:rsidRPr="00410C46">
        <w:t xml:space="preserve"> pavement design process requires several AASHTO and </w:t>
      </w:r>
      <w:r w:rsidR="008C7023">
        <w:t>MDOT-SHA</w:t>
      </w:r>
      <w:r w:rsidRPr="00410C46">
        <w:t xml:space="preserve"> standard design inputs.  These inputs vary depending on the type of design that is developed, such as new, rehabilitation or preservation design; </w:t>
      </w:r>
      <w:r>
        <w:t xml:space="preserve">roadway functional class, </w:t>
      </w:r>
      <w:r w:rsidRPr="00410C46">
        <w:t>mainline versus shoulder; or permanent versus temporary road design.  These design inputs will provide a level of consistency between designers and across the state of Maryland.</w:t>
      </w:r>
    </w:p>
    <w:p w14:paraId="559D3639" w14:textId="77777777" w:rsidR="00397B23" w:rsidRDefault="00397B23" w:rsidP="004774C1">
      <w:pPr>
        <w:pStyle w:val="BodyText"/>
        <w:spacing w:after="0"/>
        <w:jc w:val="both"/>
      </w:pPr>
    </w:p>
    <w:p w14:paraId="0B3601F3" w14:textId="77777777" w:rsidR="004E7F81" w:rsidRDefault="004E7F81" w:rsidP="004774C1">
      <w:pPr>
        <w:pStyle w:val="BodyText"/>
        <w:spacing w:after="0"/>
        <w:jc w:val="both"/>
      </w:pPr>
      <w:r>
        <w:t>The following is a list of the current pavement design and material policies and their appropriate sections:</w:t>
      </w:r>
    </w:p>
    <w:p w14:paraId="31F58791" w14:textId="77777777" w:rsidR="004E7F81" w:rsidRDefault="004E7F81" w:rsidP="00BE3F24">
      <w:pPr>
        <w:pStyle w:val="BodyText"/>
        <w:spacing w:after="0"/>
      </w:pPr>
    </w:p>
    <w:p w14:paraId="14173FAD" w14:textId="134F2ED7" w:rsidR="004E7F81" w:rsidRDefault="004E7F81" w:rsidP="00A95AF4">
      <w:pPr>
        <w:pStyle w:val="BodyText"/>
        <w:spacing w:after="0"/>
        <w:ind w:left="720"/>
      </w:pPr>
    </w:p>
    <w:p w14:paraId="5AF294B5" w14:textId="26122C34" w:rsidR="00D316B0" w:rsidRPr="001B5854" w:rsidRDefault="00D316B0" w:rsidP="00172E64">
      <w:pPr>
        <w:pStyle w:val="Heading3"/>
        <w:numPr>
          <w:ilvl w:val="2"/>
          <w:numId w:val="184"/>
        </w:numPr>
        <w:spacing w:before="0"/>
        <w:ind w:left="0" w:firstLine="0"/>
      </w:pPr>
      <w:bookmarkStart w:id="346" w:name="_Toc338309985"/>
      <w:bookmarkStart w:id="347" w:name="_Toc338310054"/>
      <w:bookmarkStart w:id="348" w:name="_Toc338310141"/>
      <w:bookmarkStart w:id="349" w:name="_Toc338310453"/>
      <w:r w:rsidRPr="001B5854">
        <w:t>New, Rehabilitation and Preservation Pavement Design</w:t>
      </w:r>
      <w:bookmarkEnd w:id="346"/>
      <w:bookmarkEnd w:id="347"/>
      <w:bookmarkEnd w:id="348"/>
      <w:bookmarkEnd w:id="349"/>
    </w:p>
    <w:p w14:paraId="273FBAD3" w14:textId="77777777" w:rsidR="00DF4794" w:rsidRPr="008F604D" w:rsidRDefault="00DF4794" w:rsidP="00DF4794">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Mechanistic-Empirical_Anal" w:history="1">
        <w:r w:rsidRPr="00DF4794">
          <w:rPr>
            <w:rStyle w:val="Hyperlink"/>
            <w:rFonts w:ascii="Arial" w:hAnsi="Arial" w:cs="Arial"/>
            <w:bCs/>
            <w:sz w:val="16"/>
            <w:szCs w:val="16"/>
          </w:rPr>
          <w:t>Pavement Mechanistic-Empirical Analysis</w:t>
        </w:r>
      </w:hyperlink>
    </w:p>
    <w:p w14:paraId="52EEE6AD" w14:textId="77777777" w:rsidR="00DF4794" w:rsidRDefault="00DF4794" w:rsidP="00D17369">
      <w:pPr>
        <w:pStyle w:val="BodyText"/>
        <w:spacing w:after="0"/>
        <w:jc w:val="both"/>
      </w:pPr>
    </w:p>
    <w:p w14:paraId="32145344" w14:textId="72C88847" w:rsidR="00D316B0" w:rsidRPr="008B0A8A" w:rsidRDefault="00D316B0" w:rsidP="00D17369">
      <w:pPr>
        <w:pStyle w:val="BodyText"/>
        <w:jc w:val="both"/>
        <w:rPr>
          <w:rFonts w:cs="Arial"/>
        </w:rPr>
      </w:pPr>
      <w:r w:rsidRPr="002634B6">
        <w:t xml:space="preserve">The design inputs required for pavement design vary depending on the existing conditions at the project site, the functional classification of the roadway, and the pavement type.  </w:t>
      </w:r>
      <w:r>
        <w:t>Beginning with the implementation of the MEPDG, design life or life extension will also be dependent on structural and functional distresses.  The design structural distresses for HMA pavements a</w:t>
      </w:r>
      <w:r w:rsidRPr="008B0A8A">
        <w:rPr>
          <w:rFonts w:cs="Arial"/>
        </w:rPr>
        <w:t xml:space="preserve">re </w:t>
      </w:r>
      <w:r w:rsidRPr="00D17369">
        <w:rPr>
          <w:b/>
          <w:color w:val="008000"/>
        </w:rPr>
        <w:t>alligator cracking</w:t>
      </w:r>
      <w:r w:rsidRPr="008B0A8A">
        <w:rPr>
          <w:rFonts w:cs="Arial"/>
        </w:rPr>
        <w:t xml:space="preserve"> (bottom up) and </w:t>
      </w:r>
      <w:r w:rsidRPr="00D17369">
        <w:rPr>
          <w:b/>
          <w:color w:val="008000"/>
        </w:rPr>
        <w:t>longitudinal top-down cracking</w:t>
      </w:r>
      <w:r w:rsidRPr="008B0A8A">
        <w:rPr>
          <w:rFonts w:cs="Arial"/>
        </w:rPr>
        <w:t xml:space="preserve">. The design structural distresses for PCC pavements are </w:t>
      </w:r>
      <w:r w:rsidRPr="00D17369">
        <w:rPr>
          <w:b/>
          <w:color w:val="008000"/>
        </w:rPr>
        <w:t>transverse joint faulting, transverse cracking</w:t>
      </w:r>
      <w:r w:rsidRPr="008B0A8A">
        <w:rPr>
          <w:rFonts w:cs="Arial"/>
        </w:rPr>
        <w:t xml:space="preserve"> and </w:t>
      </w:r>
      <w:r w:rsidRPr="00D17369">
        <w:rPr>
          <w:b/>
          <w:color w:val="008000"/>
        </w:rPr>
        <w:t>punchouts</w:t>
      </w:r>
      <w:r w:rsidRPr="008B0A8A">
        <w:rPr>
          <w:rFonts w:cs="Arial"/>
        </w:rPr>
        <w:t xml:space="preserve">.  </w:t>
      </w:r>
    </w:p>
    <w:p w14:paraId="50CB1811" w14:textId="33D391A3" w:rsidR="00D316B0" w:rsidRPr="008B0A8A" w:rsidRDefault="00D316B0" w:rsidP="00D17369">
      <w:pPr>
        <w:pStyle w:val="BodyText"/>
        <w:jc w:val="both"/>
        <w:rPr>
          <w:rFonts w:cs="Arial"/>
        </w:rPr>
      </w:pPr>
      <w:r w:rsidRPr="008B0A8A">
        <w:rPr>
          <w:rFonts w:cs="Arial"/>
        </w:rPr>
        <w:t xml:space="preserve">The design functional distresses for HMA pavements are </w:t>
      </w:r>
      <w:r w:rsidRPr="00D17369">
        <w:rPr>
          <w:b/>
          <w:color w:val="008000"/>
        </w:rPr>
        <w:t>ride quality, rutting, transverse cracking</w:t>
      </w:r>
      <w:r w:rsidR="00C80BFE" w:rsidRPr="008B0A8A">
        <w:rPr>
          <w:rFonts w:cs="Arial"/>
          <w:b/>
          <w:color w:val="008000"/>
          <w:szCs w:val="22"/>
        </w:rPr>
        <w:t>,</w:t>
      </w:r>
      <w:r w:rsidRPr="00D17369">
        <w:rPr>
          <w:b/>
          <w:color w:val="008000"/>
        </w:rPr>
        <w:t xml:space="preserve"> and skid resistance</w:t>
      </w:r>
      <w:r w:rsidRPr="008B0A8A">
        <w:rPr>
          <w:rFonts w:cs="Arial"/>
        </w:rPr>
        <w:t xml:space="preserve">.  The design functional distresses for PCC pavements are </w:t>
      </w:r>
      <w:r w:rsidRPr="00D17369">
        <w:rPr>
          <w:b/>
          <w:color w:val="008000"/>
        </w:rPr>
        <w:t>ride quality and skid resistance</w:t>
      </w:r>
      <w:r w:rsidRPr="008B0A8A">
        <w:rPr>
          <w:rFonts w:cs="Arial"/>
        </w:rPr>
        <w:t>.</w:t>
      </w:r>
    </w:p>
    <w:p w14:paraId="1A671F24" w14:textId="77777777" w:rsidR="00D316B0" w:rsidRDefault="00D316B0" w:rsidP="00D17369">
      <w:pPr>
        <w:pStyle w:val="BodyText"/>
        <w:spacing w:after="0"/>
        <w:jc w:val="both"/>
      </w:pPr>
      <w:r w:rsidRPr="002634B6">
        <w:t xml:space="preserve">These design inputs follow the same guidelines as those developed by AASHTO, but modified for local conditions.  The design inputs in </w:t>
      </w:r>
      <w:r>
        <w:t>this s</w:t>
      </w:r>
      <w:r w:rsidRPr="002634B6">
        <w:t>e</w:t>
      </w:r>
      <w:r w:rsidRPr="006910FD">
        <w:t>ction are nee</w:t>
      </w:r>
      <w:r w:rsidRPr="00231AF2">
        <w:t>ded to develop pavement design recommendations.</w:t>
      </w:r>
    </w:p>
    <w:p w14:paraId="01226F30" w14:textId="77777777" w:rsidR="00D316B0" w:rsidRPr="00231AF2" w:rsidRDefault="00D316B0" w:rsidP="00BE3F24">
      <w:pPr>
        <w:pStyle w:val="BodyText"/>
        <w:spacing w:after="0"/>
      </w:pPr>
    </w:p>
    <w:p w14:paraId="21104660" w14:textId="77777777" w:rsidR="00D316B0" w:rsidRPr="00231AF2" w:rsidRDefault="00D316B0" w:rsidP="00172E64">
      <w:pPr>
        <w:pStyle w:val="Heading4"/>
        <w:numPr>
          <w:ilvl w:val="3"/>
          <w:numId w:val="184"/>
        </w:numPr>
        <w:ind w:left="0" w:firstLine="0"/>
      </w:pPr>
      <w:bookmarkStart w:id="350" w:name="_Toc338310055"/>
      <w:bookmarkStart w:id="351" w:name="_Toc338310142"/>
      <w:bookmarkStart w:id="352" w:name="_Toc338310454"/>
      <w:r w:rsidRPr="00231AF2">
        <w:t>Design Life – New Pavement</w:t>
      </w:r>
      <w:bookmarkEnd w:id="350"/>
      <w:bookmarkEnd w:id="351"/>
      <w:bookmarkEnd w:id="352"/>
    </w:p>
    <w:p w14:paraId="0868A4BA" w14:textId="63FF36E5" w:rsidR="00D316B0" w:rsidRPr="00231AF2" w:rsidRDefault="00D316B0" w:rsidP="00D17369">
      <w:pPr>
        <w:pStyle w:val="BodyText"/>
        <w:spacing w:before="120"/>
        <w:jc w:val="both"/>
      </w:pPr>
      <w:r w:rsidRPr="00231AF2">
        <w:t xml:space="preserve">The structural design life for all new pavements shall be 25 years.  It is recognized that the surface of many HMA pavements does not last 25 years; however, it is critical that the pavement is structurally sufficient to meet sustainability needs, as structural distress </w:t>
      </w:r>
      <w:r w:rsidR="00C80BFE">
        <w:t>is</w:t>
      </w:r>
      <w:r w:rsidRPr="00231AF2">
        <w:t xml:space="preserve"> typically more expensive to repair and </w:t>
      </w:r>
      <w:r w:rsidR="00C80BFE">
        <w:t>it</w:t>
      </w:r>
      <w:r w:rsidR="00C80BFE" w:rsidRPr="00231AF2">
        <w:t xml:space="preserve"> </w:t>
      </w:r>
      <w:r w:rsidRPr="00231AF2">
        <w:t>reduce</w:t>
      </w:r>
      <w:r w:rsidR="00C80BFE">
        <w:t>s</w:t>
      </w:r>
      <w:r w:rsidRPr="00231AF2">
        <w:t xml:space="preserve"> the life-cycle of the pavement more than functional distress.  </w:t>
      </w:r>
      <w:r>
        <w:t>The functional design life for all new pavements shall be 15 years for HMA and 25 years for new PCC.</w:t>
      </w:r>
    </w:p>
    <w:p w14:paraId="31841600" w14:textId="77777777" w:rsidR="00D316B0" w:rsidRPr="00231AF2" w:rsidRDefault="00D316B0" w:rsidP="00172E64">
      <w:pPr>
        <w:pStyle w:val="Heading4"/>
        <w:numPr>
          <w:ilvl w:val="3"/>
          <w:numId w:val="184"/>
        </w:numPr>
        <w:ind w:left="1440" w:hanging="1440"/>
      </w:pPr>
      <w:bookmarkStart w:id="353" w:name="_Life_Extension_(Preservation/Rehabi"/>
      <w:bookmarkStart w:id="354" w:name="_Toc338310056"/>
      <w:bookmarkStart w:id="355" w:name="_Toc338310143"/>
      <w:bookmarkStart w:id="356" w:name="_Toc338310455"/>
      <w:bookmarkEnd w:id="353"/>
      <w:r w:rsidRPr="00231AF2">
        <w:lastRenderedPageBreak/>
        <w:t>Life Extension (Preservation/Rehabilitation): Non-System Preservation Projects</w:t>
      </w:r>
      <w:bookmarkEnd w:id="354"/>
      <w:bookmarkEnd w:id="355"/>
      <w:bookmarkEnd w:id="356"/>
    </w:p>
    <w:p w14:paraId="334CD674" w14:textId="77777777" w:rsidR="00D316B0" w:rsidRDefault="00D316B0" w:rsidP="00D17369">
      <w:pPr>
        <w:pStyle w:val="BodyText"/>
        <w:spacing w:before="120"/>
        <w:jc w:val="both"/>
      </w:pPr>
      <w:r w:rsidRPr="00231AF2">
        <w:t xml:space="preserve">For non-Fund 77 projects, the </w:t>
      </w:r>
      <w:r>
        <w:t>midpoint of the range listed in</w:t>
      </w:r>
      <w:r w:rsidR="00D83099">
        <w:t xml:space="preserve"> </w:t>
      </w:r>
      <w:hyperlink w:anchor="_Supplemental_Treatment_Information_1" w:history="1">
        <w:r w:rsidR="00D83099" w:rsidRPr="00D83099">
          <w:rPr>
            <w:rStyle w:val="Hyperlink"/>
          </w:rPr>
          <w:t>Supplemental Treatment Information</w:t>
        </w:r>
      </w:hyperlink>
      <w:r>
        <w:t xml:space="preserve"> shall be used for the Design Structural Life Extension, and the minimum of the range given shall be used for the Minimum Structural Life Extension.  The functional life extension shall be the lesser of 15 years and the structural life extension.</w:t>
      </w:r>
    </w:p>
    <w:p w14:paraId="25CBF72C" w14:textId="77777777" w:rsidR="00D316B0" w:rsidRPr="00231AF2" w:rsidRDefault="00D316B0" w:rsidP="00172E64">
      <w:pPr>
        <w:pStyle w:val="Heading4"/>
        <w:numPr>
          <w:ilvl w:val="3"/>
          <w:numId w:val="184"/>
        </w:numPr>
        <w:tabs>
          <w:tab w:val="clear" w:pos="1080"/>
          <w:tab w:val="left" w:pos="1440"/>
        </w:tabs>
        <w:ind w:left="1440" w:hanging="1440"/>
      </w:pPr>
      <w:bookmarkStart w:id="357" w:name="_Life_Extension_(Preservation/Rehabi_1"/>
      <w:bookmarkStart w:id="358" w:name="_Toc338310057"/>
      <w:bookmarkStart w:id="359" w:name="_Toc338310144"/>
      <w:bookmarkStart w:id="360" w:name="_Toc338310456"/>
      <w:bookmarkEnd w:id="357"/>
      <w:r>
        <w:t>Life Extension</w:t>
      </w:r>
      <w:r w:rsidRPr="00231AF2">
        <w:t xml:space="preserve"> (Preservation/Rehabilitation): System Preservation Projects</w:t>
      </w:r>
      <w:bookmarkEnd w:id="358"/>
      <w:bookmarkEnd w:id="359"/>
      <w:bookmarkEnd w:id="360"/>
    </w:p>
    <w:p w14:paraId="1CD618B5" w14:textId="0DDC3045" w:rsidR="00D316B0" w:rsidRPr="00231AF2" w:rsidRDefault="00D316B0" w:rsidP="00D17369">
      <w:pPr>
        <w:pStyle w:val="BodyText"/>
        <w:spacing w:before="120"/>
        <w:jc w:val="both"/>
      </w:pPr>
      <w:r>
        <w:t xml:space="preserve">For Fund 77 projects, there will be no established life extension, since the appropriate fix will dictate the life, rather than the other way around.  The appropriate fix will be determined by the District and PAGD through discussion/coordination, based on optimization targets and suggestions as well as </w:t>
      </w:r>
      <w:r w:rsidR="008C7023">
        <w:t>MDOT-SHA</w:t>
      </w:r>
      <w:r w:rsidRPr="006910FD">
        <w:t>’s Pavement Preservation Guide. Given the existing conditions, proposed fix, and the design terminal condition values (</w:t>
      </w:r>
      <w:r>
        <w:t xml:space="preserve">formerly </w:t>
      </w:r>
      <w:r w:rsidRPr="006910FD">
        <w:t>serviceabilities) described in</w:t>
      </w:r>
      <w:r w:rsidR="00D83099">
        <w:t xml:space="preserve"> </w:t>
      </w:r>
      <w:hyperlink w:anchor="_Performance_Criteria_–_1" w:history="1">
        <w:r w:rsidR="00D83099" w:rsidRPr="00D83099">
          <w:rPr>
            <w:rStyle w:val="Hyperlink"/>
          </w:rPr>
          <w:t>Performance Criteria – Terminal Performance Targets</w:t>
        </w:r>
      </w:hyperlink>
      <w:r w:rsidRPr="006910FD">
        <w:t>, the e</w:t>
      </w:r>
      <w:r>
        <w:t xml:space="preserve">stimated life extension will be calculated. </w:t>
      </w:r>
    </w:p>
    <w:p w14:paraId="5C7E9F0C" w14:textId="77777777" w:rsidR="00D316B0" w:rsidRPr="00F9658B" w:rsidRDefault="00D316B0" w:rsidP="00172E64">
      <w:pPr>
        <w:pStyle w:val="Heading4"/>
        <w:numPr>
          <w:ilvl w:val="3"/>
          <w:numId w:val="184"/>
        </w:numPr>
        <w:ind w:left="0" w:firstLine="0"/>
      </w:pPr>
      <w:bookmarkStart w:id="361" w:name="_Toc338310058"/>
      <w:bookmarkStart w:id="362" w:name="_Toc338310145"/>
      <w:bookmarkStart w:id="363" w:name="_Toc338310457"/>
      <w:r w:rsidRPr="00F9658B">
        <w:t>Reliability, R (New, Rehabilitation/Preservation)</w:t>
      </w:r>
      <w:bookmarkEnd w:id="361"/>
      <w:bookmarkEnd w:id="362"/>
      <w:bookmarkEnd w:id="363"/>
    </w:p>
    <w:p w14:paraId="00A875E7" w14:textId="1FE93130" w:rsidR="00D316B0" w:rsidRPr="00F9658B" w:rsidRDefault="00D316B0" w:rsidP="00D17369">
      <w:pPr>
        <w:pStyle w:val="BodyText"/>
        <w:spacing w:before="120"/>
        <w:jc w:val="both"/>
      </w:pPr>
      <w:r w:rsidRPr="00F9658B">
        <w:t xml:space="preserve">At </w:t>
      </w:r>
      <w:r w:rsidR="008C7023">
        <w:t>MDOT-SHA</w:t>
      </w:r>
      <w:r w:rsidRPr="00F9658B">
        <w:t>, Reliability has historically been based on functional class as a way to distinguish risk.  With the implementation of MEPDG, risk will be accounted for through the use of variable terminal serviceabilities that are based on functional class.  Reliability will now be based on whether the scope of work is for new pavement, or rehabilitation/</w:t>
      </w:r>
      <w:r w:rsidR="00B02F4A">
        <w:t xml:space="preserve"> </w:t>
      </w:r>
      <w:r w:rsidRPr="00F9658B">
        <w:t xml:space="preserve">preservation of existing pavement.  New pavement will still have a high Reliability, as it is important for the new pavement to last at least as long as predicted.  </w:t>
      </w:r>
      <w:r w:rsidR="001F3D7C">
        <w:t>An exception to this rule is for ride quality, since MEPDG applies an unrealistically high initial IRI value at the conclusion of paving when a high Reliability is applied.  Since the ride specification is in place, it is significantly more likely that the actual expected value (i.e.</w:t>
      </w:r>
      <w:r w:rsidR="00C80BFE">
        <w:t>,</w:t>
      </w:r>
      <w:r w:rsidR="001F3D7C">
        <w:t xml:space="preserve"> that expected for Reliability = 50) will be attained.</w:t>
      </w:r>
    </w:p>
    <w:p w14:paraId="59BFD551" w14:textId="77777777" w:rsidR="00D316B0" w:rsidRPr="003D375A" w:rsidRDefault="00D316B0" w:rsidP="00D17369">
      <w:pPr>
        <w:pStyle w:val="BodyText"/>
        <w:jc w:val="both"/>
      </w:pPr>
      <w:r w:rsidRPr="00F9658B">
        <w:t xml:space="preserve">However, for treating existing pavement, Reliability will be dropped significantly, since the goal in pavement design will be to predict the life extension as accurately as possible.  Using a high </w:t>
      </w:r>
      <w:r>
        <w:t>R</w:t>
      </w:r>
      <w:r w:rsidRPr="00F9658B">
        <w:t>eliability in rehabilitation/preservation design historically led to customer misper</w:t>
      </w:r>
      <w:r w:rsidRPr="003D375A">
        <w:t xml:space="preserve">ception of </w:t>
      </w:r>
      <w:r>
        <w:t>life extension</w:t>
      </w:r>
      <w:r w:rsidRPr="003D375A">
        <w:t>.</w:t>
      </w:r>
    </w:p>
    <w:p w14:paraId="2F675952" w14:textId="77777777" w:rsidR="00D316B0" w:rsidRPr="003D375A" w:rsidRDefault="00D316B0" w:rsidP="00D17369">
      <w:pPr>
        <w:pStyle w:val="BodyText"/>
        <w:jc w:val="both"/>
      </w:pPr>
      <w:r w:rsidRPr="003D375A">
        <w:t>Use the following table to select the appropriate Reliability based on the project type:</w:t>
      </w:r>
    </w:p>
    <w:tbl>
      <w:tblPr>
        <w:tblW w:w="5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1"/>
        <w:gridCol w:w="1440"/>
      </w:tblGrid>
      <w:tr w:rsidR="00D316B0" w:rsidRPr="003D375A" w14:paraId="1AE243B2" w14:textId="77777777" w:rsidTr="00D17369">
        <w:trPr>
          <w:trHeight w:val="288"/>
          <w:jc w:val="center"/>
        </w:trPr>
        <w:tc>
          <w:tcPr>
            <w:tcW w:w="5861" w:type="dxa"/>
            <w:gridSpan w:val="2"/>
            <w:shd w:val="pct15" w:color="auto" w:fill="FFFFFF"/>
            <w:vAlign w:val="center"/>
          </w:tcPr>
          <w:p w14:paraId="2ADA7C60" w14:textId="77777777" w:rsidR="00D316B0" w:rsidRPr="003D375A" w:rsidRDefault="00D316B0" w:rsidP="00D17369">
            <w:pPr>
              <w:pStyle w:val="BodyText"/>
              <w:spacing w:after="0"/>
              <w:jc w:val="center"/>
              <w:rPr>
                <w:b/>
              </w:rPr>
            </w:pPr>
            <w:r w:rsidRPr="003D375A">
              <w:rPr>
                <w:b/>
              </w:rPr>
              <w:t>Reliability</w:t>
            </w:r>
          </w:p>
        </w:tc>
      </w:tr>
      <w:tr w:rsidR="00D316B0" w:rsidRPr="003D375A" w14:paraId="4B43A1BD" w14:textId="77777777" w:rsidTr="00D17369">
        <w:trPr>
          <w:trHeight w:val="288"/>
          <w:jc w:val="center"/>
        </w:trPr>
        <w:tc>
          <w:tcPr>
            <w:tcW w:w="4421" w:type="dxa"/>
            <w:vAlign w:val="center"/>
          </w:tcPr>
          <w:p w14:paraId="754BCED0" w14:textId="77777777" w:rsidR="00D316B0" w:rsidRPr="003D375A" w:rsidRDefault="00D316B0" w:rsidP="00D17369">
            <w:pPr>
              <w:pStyle w:val="BodyText"/>
              <w:spacing w:after="0"/>
              <w:jc w:val="center"/>
              <w:rPr>
                <w:b/>
              </w:rPr>
            </w:pPr>
            <w:r w:rsidRPr="003D375A">
              <w:rPr>
                <w:b/>
              </w:rPr>
              <w:t>New Pavement</w:t>
            </w:r>
            <w:r w:rsidR="001F3D7C">
              <w:rPr>
                <w:b/>
              </w:rPr>
              <w:t xml:space="preserve"> (Ride only)</w:t>
            </w:r>
          </w:p>
        </w:tc>
        <w:tc>
          <w:tcPr>
            <w:tcW w:w="1440" w:type="dxa"/>
            <w:vAlign w:val="center"/>
          </w:tcPr>
          <w:p w14:paraId="784A08E1" w14:textId="77777777" w:rsidR="00D316B0" w:rsidRPr="001F3D7C" w:rsidRDefault="001F3D7C" w:rsidP="00D17369">
            <w:pPr>
              <w:pStyle w:val="BodyText"/>
              <w:spacing w:after="0"/>
              <w:jc w:val="center"/>
              <w:rPr>
                <w:b/>
              </w:rPr>
            </w:pPr>
            <w:r w:rsidRPr="001F3D7C">
              <w:rPr>
                <w:b/>
              </w:rPr>
              <w:t>50</w:t>
            </w:r>
          </w:p>
        </w:tc>
      </w:tr>
      <w:tr w:rsidR="001F3D7C" w:rsidRPr="003D375A" w14:paraId="00849238" w14:textId="77777777" w:rsidTr="00D17369">
        <w:trPr>
          <w:trHeight w:val="288"/>
          <w:jc w:val="center"/>
        </w:trPr>
        <w:tc>
          <w:tcPr>
            <w:tcW w:w="4421" w:type="dxa"/>
            <w:vAlign w:val="center"/>
          </w:tcPr>
          <w:p w14:paraId="7CA0AF31" w14:textId="77777777" w:rsidR="001F3D7C" w:rsidRPr="003D375A" w:rsidRDefault="001F3D7C" w:rsidP="00D17369">
            <w:pPr>
              <w:pStyle w:val="BodyText"/>
              <w:spacing w:after="0"/>
              <w:jc w:val="center"/>
              <w:rPr>
                <w:b/>
              </w:rPr>
            </w:pPr>
            <w:r w:rsidRPr="003D375A">
              <w:rPr>
                <w:b/>
              </w:rPr>
              <w:t>New Pavement</w:t>
            </w:r>
            <w:r>
              <w:rPr>
                <w:b/>
              </w:rPr>
              <w:t xml:space="preserve"> (all other distresses)</w:t>
            </w:r>
          </w:p>
        </w:tc>
        <w:tc>
          <w:tcPr>
            <w:tcW w:w="1440" w:type="dxa"/>
            <w:vAlign w:val="center"/>
          </w:tcPr>
          <w:p w14:paraId="3B6DDB58" w14:textId="77777777" w:rsidR="001F3D7C" w:rsidRPr="001F3D7C" w:rsidRDefault="001F3D7C" w:rsidP="00D17369">
            <w:pPr>
              <w:pStyle w:val="BodyText"/>
              <w:spacing w:after="0"/>
              <w:jc w:val="center"/>
              <w:rPr>
                <w:b/>
              </w:rPr>
            </w:pPr>
            <w:r w:rsidRPr="001F3D7C">
              <w:rPr>
                <w:b/>
              </w:rPr>
              <w:t>90</w:t>
            </w:r>
          </w:p>
        </w:tc>
      </w:tr>
      <w:tr w:rsidR="001F3D7C" w:rsidRPr="003D375A" w14:paraId="74876969" w14:textId="77777777" w:rsidTr="00D17369">
        <w:trPr>
          <w:trHeight w:val="288"/>
          <w:jc w:val="center"/>
        </w:trPr>
        <w:tc>
          <w:tcPr>
            <w:tcW w:w="4421" w:type="dxa"/>
            <w:vAlign w:val="center"/>
          </w:tcPr>
          <w:p w14:paraId="78EA1A40" w14:textId="77777777" w:rsidR="001F3D7C" w:rsidRPr="003D375A" w:rsidRDefault="001F3D7C" w:rsidP="00D17369">
            <w:pPr>
              <w:pStyle w:val="BodyText"/>
              <w:spacing w:after="0"/>
              <w:jc w:val="center"/>
            </w:pPr>
            <w:r w:rsidRPr="003D375A">
              <w:rPr>
                <w:b/>
              </w:rPr>
              <w:t>Existing Pavement</w:t>
            </w:r>
          </w:p>
        </w:tc>
        <w:tc>
          <w:tcPr>
            <w:tcW w:w="1440" w:type="dxa"/>
            <w:vAlign w:val="center"/>
          </w:tcPr>
          <w:p w14:paraId="47FDF406" w14:textId="77777777" w:rsidR="001F3D7C" w:rsidRPr="001F3D7C" w:rsidRDefault="001F3D7C" w:rsidP="00D17369">
            <w:pPr>
              <w:pStyle w:val="BodyText"/>
              <w:spacing w:after="0"/>
              <w:jc w:val="center"/>
              <w:rPr>
                <w:b/>
              </w:rPr>
            </w:pPr>
            <w:r w:rsidRPr="001F3D7C">
              <w:rPr>
                <w:b/>
              </w:rPr>
              <w:t>50</w:t>
            </w:r>
          </w:p>
        </w:tc>
      </w:tr>
    </w:tbl>
    <w:p w14:paraId="09E3DC2E" w14:textId="77777777" w:rsidR="00D316B0" w:rsidRPr="003D375A" w:rsidRDefault="00D316B0" w:rsidP="00D17369">
      <w:pPr>
        <w:pStyle w:val="BodyText"/>
        <w:spacing w:after="0"/>
      </w:pPr>
    </w:p>
    <w:p w14:paraId="05828E15" w14:textId="77777777" w:rsidR="00D316B0" w:rsidRPr="0032321F" w:rsidRDefault="00D316B0" w:rsidP="00172E64">
      <w:pPr>
        <w:pStyle w:val="Heading4"/>
        <w:numPr>
          <w:ilvl w:val="3"/>
          <w:numId w:val="184"/>
        </w:numPr>
        <w:ind w:left="0" w:firstLine="0"/>
      </w:pPr>
      <w:bookmarkStart w:id="364" w:name="_Toc338310059"/>
      <w:bookmarkStart w:id="365" w:name="_Toc338310146"/>
      <w:bookmarkStart w:id="366" w:name="_Toc338310458"/>
      <w:r w:rsidRPr="0032321F">
        <w:t xml:space="preserve">Performance Criteria – Initial </w:t>
      </w:r>
      <w:r>
        <w:t>Performance Targets</w:t>
      </w:r>
      <w:bookmarkEnd w:id="364"/>
      <w:bookmarkEnd w:id="365"/>
      <w:bookmarkEnd w:id="366"/>
    </w:p>
    <w:p w14:paraId="7C916609" w14:textId="77777777" w:rsidR="003C5A72" w:rsidRDefault="003C5A72" w:rsidP="003C5A7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Preservation_&amp;" w:history="1">
        <w:r w:rsidRPr="003C5A72">
          <w:rPr>
            <w:rStyle w:val="Hyperlink"/>
            <w:rFonts w:ascii="Arial" w:hAnsi="Arial" w:cs="Arial"/>
            <w:bCs/>
            <w:sz w:val="16"/>
            <w:szCs w:val="16"/>
          </w:rPr>
          <w:t>Pavement Preservation &amp; Rehabilitation Design</w:t>
        </w:r>
      </w:hyperlink>
    </w:p>
    <w:p w14:paraId="71046020" w14:textId="77777777" w:rsidR="003E40B5" w:rsidRPr="008F604D" w:rsidRDefault="003E40B5"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maining_Service_Life" w:history="1">
        <w:r w:rsidRPr="003E40B5">
          <w:rPr>
            <w:rStyle w:val="Hyperlink"/>
            <w:rFonts w:ascii="Arial" w:hAnsi="Arial" w:cs="Arial"/>
            <w:bCs/>
            <w:sz w:val="16"/>
            <w:szCs w:val="16"/>
          </w:rPr>
          <w:t>Remaining Service Life Analysis</w:t>
        </w:r>
      </w:hyperlink>
    </w:p>
    <w:p w14:paraId="4FE8AB61" w14:textId="77777777" w:rsidR="003C5A72" w:rsidRDefault="003C5A72" w:rsidP="00D17369">
      <w:pPr>
        <w:pStyle w:val="BodyText"/>
        <w:spacing w:after="0"/>
      </w:pPr>
    </w:p>
    <w:p w14:paraId="2C03768A" w14:textId="77777777" w:rsidR="00D316B0" w:rsidRPr="0032321F" w:rsidRDefault="00D316B0" w:rsidP="00D17369">
      <w:pPr>
        <w:pStyle w:val="BodyText"/>
        <w:jc w:val="both"/>
      </w:pPr>
      <w:r w:rsidRPr="0032321F">
        <w:t xml:space="preserve">The </w:t>
      </w:r>
      <w:r>
        <w:t>I</w:t>
      </w:r>
      <w:r w:rsidRPr="0032321F">
        <w:t xml:space="preserve">nitial </w:t>
      </w:r>
      <w:r>
        <w:t>P</w:t>
      </w:r>
      <w:r w:rsidRPr="0032321F">
        <w:t xml:space="preserve">erformance </w:t>
      </w:r>
      <w:r>
        <w:t>Targets</w:t>
      </w:r>
      <w:r w:rsidRPr="0032321F">
        <w:t xml:space="preserve"> (similar to initial serviceability) are based on a combination of the existing condition and the proposed fix.</w:t>
      </w:r>
    </w:p>
    <w:p w14:paraId="162EBF6B" w14:textId="0744EB36" w:rsidR="00D316B0" w:rsidRPr="00410C46" w:rsidRDefault="00D316B0" w:rsidP="007205B3">
      <w:pPr>
        <w:pStyle w:val="BodyText"/>
        <w:jc w:val="both"/>
        <w:rPr>
          <w:highlight w:val="yellow"/>
        </w:rPr>
      </w:pPr>
      <w:r>
        <w:t>The Init</w:t>
      </w:r>
      <w:r w:rsidRPr="0032321F">
        <w:t xml:space="preserve">ial Performance </w:t>
      </w:r>
      <w:r>
        <w:t>Targets</w:t>
      </w:r>
      <w:r w:rsidRPr="0032321F">
        <w:t xml:space="preserve"> </w:t>
      </w:r>
      <w:r>
        <w:t xml:space="preserve">shall be </w:t>
      </w:r>
      <w:r w:rsidRPr="0032321F">
        <w:t>based on the resulting pavement surface material, the type of construction, the use of the ride incentive specification, and the required ride quality after resurfacing of the project</w:t>
      </w:r>
      <w:r w:rsidRPr="00A02D42">
        <w:rPr>
          <w:rFonts w:cs="Arial"/>
        </w:rPr>
        <w:t xml:space="preserve">.  </w:t>
      </w:r>
    </w:p>
    <w:p w14:paraId="1A7226C4" w14:textId="77777777" w:rsidR="00D316B0" w:rsidRDefault="00D316B0" w:rsidP="00D17369">
      <w:pPr>
        <w:pStyle w:val="BodyText"/>
        <w:spacing w:after="0"/>
        <w:jc w:val="both"/>
      </w:pPr>
      <w:r w:rsidRPr="0032321F">
        <w:lastRenderedPageBreak/>
        <w:t>Use the following table</w:t>
      </w:r>
      <w:r>
        <w:t>s</w:t>
      </w:r>
      <w:r w:rsidRPr="0032321F">
        <w:t xml:space="preserve"> to select the appropriate Initial Performance </w:t>
      </w:r>
      <w:r>
        <w:t>Targets:</w:t>
      </w:r>
    </w:p>
    <w:p w14:paraId="2845FE34" w14:textId="77777777" w:rsidR="00D316B0" w:rsidRDefault="00D316B0" w:rsidP="00D17369">
      <w:pPr>
        <w:pStyle w:val="BodyText"/>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3307"/>
        <w:gridCol w:w="1913"/>
        <w:gridCol w:w="2047"/>
      </w:tblGrid>
      <w:tr w:rsidR="00D316B0" w:rsidRPr="00004A9A" w14:paraId="48B3B73A" w14:textId="77777777" w:rsidTr="00D17369">
        <w:trPr>
          <w:jc w:val="center"/>
        </w:trPr>
        <w:tc>
          <w:tcPr>
            <w:tcW w:w="1098" w:type="dxa"/>
            <w:shd w:val="pct15" w:color="auto" w:fill="FFFFFF"/>
            <w:vAlign w:val="center"/>
          </w:tcPr>
          <w:p w14:paraId="2035D1EE" w14:textId="77777777" w:rsidR="00D316B0" w:rsidRPr="00004A9A" w:rsidRDefault="00D316B0" w:rsidP="00D17369">
            <w:pPr>
              <w:pStyle w:val="BodyText"/>
              <w:spacing w:after="0"/>
              <w:jc w:val="center"/>
              <w:rPr>
                <w:b/>
              </w:rPr>
            </w:pPr>
            <w:r w:rsidRPr="00004A9A">
              <w:rPr>
                <w:b/>
              </w:rPr>
              <w:t>Final Surface Material</w:t>
            </w:r>
          </w:p>
        </w:tc>
        <w:tc>
          <w:tcPr>
            <w:tcW w:w="3307" w:type="dxa"/>
            <w:shd w:val="pct15" w:color="auto" w:fill="FFFFFF"/>
            <w:vAlign w:val="center"/>
          </w:tcPr>
          <w:p w14:paraId="4BC36469" w14:textId="77777777" w:rsidR="00D316B0" w:rsidRPr="00004A9A" w:rsidRDefault="00D316B0" w:rsidP="00D17369">
            <w:pPr>
              <w:pStyle w:val="BodyText"/>
              <w:spacing w:after="0"/>
              <w:jc w:val="center"/>
              <w:rPr>
                <w:b/>
              </w:rPr>
            </w:pPr>
            <w:r w:rsidRPr="00004A9A">
              <w:rPr>
                <w:b/>
              </w:rPr>
              <w:t>Type of Construction</w:t>
            </w:r>
          </w:p>
        </w:tc>
        <w:tc>
          <w:tcPr>
            <w:tcW w:w="1913" w:type="dxa"/>
            <w:shd w:val="pct15" w:color="auto" w:fill="FFFFFF"/>
            <w:vAlign w:val="center"/>
          </w:tcPr>
          <w:p w14:paraId="21EFFEE4" w14:textId="77777777" w:rsidR="00D316B0" w:rsidRPr="00004A9A" w:rsidRDefault="00D316B0" w:rsidP="00D17369">
            <w:pPr>
              <w:pStyle w:val="BodyText"/>
              <w:spacing w:after="0"/>
              <w:jc w:val="center"/>
              <w:rPr>
                <w:b/>
              </w:rPr>
            </w:pPr>
            <w:r>
              <w:rPr>
                <w:b/>
              </w:rPr>
              <w:t>Threshold to Design for</w:t>
            </w:r>
            <w:r w:rsidRPr="00004A9A">
              <w:rPr>
                <w:b/>
              </w:rPr>
              <w:t xml:space="preserve"> IRI</w:t>
            </w:r>
          </w:p>
        </w:tc>
        <w:tc>
          <w:tcPr>
            <w:tcW w:w="2047" w:type="dxa"/>
            <w:shd w:val="pct15" w:color="auto" w:fill="FFFFFF"/>
            <w:vAlign w:val="center"/>
          </w:tcPr>
          <w:p w14:paraId="0F123624" w14:textId="77777777" w:rsidR="00D316B0" w:rsidRPr="00004A9A" w:rsidRDefault="00D316B0" w:rsidP="00D17369">
            <w:pPr>
              <w:pStyle w:val="BodyText"/>
              <w:spacing w:after="0"/>
              <w:jc w:val="center"/>
              <w:rPr>
                <w:b/>
              </w:rPr>
            </w:pPr>
            <w:r w:rsidRPr="00004A9A">
              <w:rPr>
                <w:b/>
              </w:rPr>
              <w:t>Initial IRI</w:t>
            </w:r>
          </w:p>
        </w:tc>
      </w:tr>
      <w:tr w:rsidR="00D316B0" w:rsidRPr="00004A9A" w14:paraId="53EB787E" w14:textId="77777777" w:rsidTr="00D17369">
        <w:trPr>
          <w:jc w:val="center"/>
        </w:trPr>
        <w:tc>
          <w:tcPr>
            <w:tcW w:w="1098" w:type="dxa"/>
            <w:vAlign w:val="center"/>
          </w:tcPr>
          <w:p w14:paraId="31891618" w14:textId="77777777" w:rsidR="00D316B0" w:rsidRPr="00004A9A" w:rsidRDefault="00D316B0" w:rsidP="00D17369">
            <w:pPr>
              <w:pStyle w:val="BodyText"/>
              <w:spacing w:after="0"/>
              <w:jc w:val="center"/>
            </w:pPr>
            <w:r w:rsidRPr="00004A9A">
              <w:t>HMA</w:t>
            </w:r>
          </w:p>
        </w:tc>
        <w:tc>
          <w:tcPr>
            <w:tcW w:w="3307" w:type="dxa"/>
            <w:vAlign w:val="center"/>
          </w:tcPr>
          <w:p w14:paraId="73217161" w14:textId="77777777" w:rsidR="00D316B0" w:rsidRPr="00004A9A" w:rsidRDefault="00D316B0" w:rsidP="00D17369">
            <w:pPr>
              <w:pStyle w:val="BodyText"/>
              <w:spacing w:after="0"/>
              <w:jc w:val="center"/>
            </w:pPr>
            <w:r w:rsidRPr="00004A9A">
              <w:t>New, Major Rehabilitation</w:t>
            </w:r>
          </w:p>
        </w:tc>
        <w:tc>
          <w:tcPr>
            <w:tcW w:w="1913" w:type="dxa"/>
            <w:vAlign w:val="center"/>
          </w:tcPr>
          <w:p w14:paraId="65078E32" w14:textId="77777777" w:rsidR="00D316B0" w:rsidRPr="00004A9A" w:rsidRDefault="00D316B0" w:rsidP="00D17369">
            <w:pPr>
              <w:pStyle w:val="BodyText"/>
              <w:spacing w:after="0"/>
              <w:jc w:val="center"/>
            </w:pPr>
            <w:r>
              <w:t>Always Design</w:t>
            </w:r>
          </w:p>
        </w:tc>
        <w:tc>
          <w:tcPr>
            <w:tcW w:w="2047" w:type="dxa"/>
            <w:vAlign w:val="center"/>
          </w:tcPr>
          <w:p w14:paraId="6DE70D05" w14:textId="77777777" w:rsidR="00D316B0" w:rsidRPr="00004A9A" w:rsidRDefault="00D316B0" w:rsidP="00D17369">
            <w:pPr>
              <w:pStyle w:val="BodyText"/>
              <w:spacing w:after="0"/>
              <w:jc w:val="center"/>
            </w:pPr>
            <w:r w:rsidRPr="00004A9A">
              <w:t>60</w:t>
            </w:r>
          </w:p>
        </w:tc>
      </w:tr>
      <w:tr w:rsidR="00D316B0" w:rsidRPr="00004A9A" w14:paraId="06D7B62A" w14:textId="77777777" w:rsidTr="00D17369">
        <w:trPr>
          <w:jc w:val="center"/>
        </w:trPr>
        <w:tc>
          <w:tcPr>
            <w:tcW w:w="1098" w:type="dxa"/>
            <w:vAlign w:val="center"/>
          </w:tcPr>
          <w:p w14:paraId="0B7A6766" w14:textId="77777777" w:rsidR="00D316B0" w:rsidRPr="00004A9A" w:rsidRDefault="00D316B0" w:rsidP="00D17369">
            <w:pPr>
              <w:pStyle w:val="BodyText"/>
              <w:spacing w:after="0"/>
              <w:jc w:val="center"/>
            </w:pPr>
            <w:r w:rsidRPr="00004A9A">
              <w:t>HMA</w:t>
            </w:r>
          </w:p>
        </w:tc>
        <w:tc>
          <w:tcPr>
            <w:tcW w:w="3307" w:type="dxa"/>
            <w:vAlign w:val="center"/>
          </w:tcPr>
          <w:p w14:paraId="71DD5D90" w14:textId="3BC64DE6" w:rsidR="00D316B0" w:rsidRPr="00004A9A" w:rsidRDefault="00D316B0" w:rsidP="00D17369">
            <w:pPr>
              <w:pStyle w:val="BodyText"/>
              <w:spacing w:after="0"/>
              <w:jc w:val="center"/>
            </w:pPr>
            <w:r w:rsidRPr="00004A9A">
              <w:t>Structural Overlay, Minor Rehabilitation</w:t>
            </w:r>
            <w:r w:rsidR="007205B3">
              <w:t>, Preventive Maintenance &gt; 0.5” thick</w:t>
            </w:r>
          </w:p>
        </w:tc>
        <w:tc>
          <w:tcPr>
            <w:tcW w:w="1913" w:type="dxa"/>
            <w:vAlign w:val="center"/>
          </w:tcPr>
          <w:p w14:paraId="545B4F47" w14:textId="77777777" w:rsidR="00D316B0" w:rsidRPr="00004A9A" w:rsidRDefault="00D316B0" w:rsidP="00D17369">
            <w:pPr>
              <w:pStyle w:val="BodyText"/>
              <w:spacing w:after="0"/>
              <w:jc w:val="center"/>
            </w:pPr>
            <w:r>
              <w:t>Always Design</w:t>
            </w:r>
          </w:p>
        </w:tc>
        <w:tc>
          <w:tcPr>
            <w:tcW w:w="2047" w:type="dxa"/>
            <w:vAlign w:val="center"/>
          </w:tcPr>
          <w:p w14:paraId="4DFD3B45" w14:textId="33C2A17F" w:rsidR="00D316B0" w:rsidRPr="00004A9A" w:rsidRDefault="00D316B0" w:rsidP="00D17369">
            <w:pPr>
              <w:pStyle w:val="BodyText"/>
              <w:spacing w:after="0"/>
              <w:jc w:val="center"/>
            </w:pPr>
            <w:r>
              <w:t>Calculated</w:t>
            </w:r>
            <w:r w:rsidR="00D038D3" w:rsidRPr="00D038D3">
              <w:rPr>
                <w:vertAlign w:val="superscript"/>
              </w:rPr>
              <w:t>1</w:t>
            </w:r>
          </w:p>
        </w:tc>
      </w:tr>
      <w:tr w:rsidR="00D316B0" w:rsidRPr="00004A9A" w14:paraId="22BCFE00" w14:textId="77777777" w:rsidTr="00D17369">
        <w:trPr>
          <w:jc w:val="center"/>
        </w:trPr>
        <w:tc>
          <w:tcPr>
            <w:tcW w:w="1098" w:type="dxa"/>
            <w:vAlign w:val="center"/>
          </w:tcPr>
          <w:p w14:paraId="1C74128C" w14:textId="77777777" w:rsidR="00D316B0" w:rsidRPr="00004A9A" w:rsidRDefault="00D316B0" w:rsidP="00D17369">
            <w:pPr>
              <w:pStyle w:val="BodyText"/>
              <w:spacing w:after="0"/>
              <w:jc w:val="center"/>
            </w:pPr>
            <w:r w:rsidRPr="00004A9A">
              <w:t>HMA</w:t>
            </w:r>
          </w:p>
        </w:tc>
        <w:tc>
          <w:tcPr>
            <w:tcW w:w="3307" w:type="dxa"/>
            <w:vAlign w:val="center"/>
          </w:tcPr>
          <w:p w14:paraId="2BF83B8F" w14:textId="322B9D39" w:rsidR="00D316B0" w:rsidRPr="00004A9A" w:rsidRDefault="007205B3" w:rsidP="00D17369">
            <w:pPr>
              <w:pStyle w:val="BodyText"/>
              <w:spacing w:after="0"/>
              <w:jc w:val="center"/>
            </w:pPr>
            <w:r>
              <w:t xml:space="preserve">All other </w:t>
            </w:r>
            <w:r w:rsidR="00D316B0" w:rsidRPr="00004A9A">
              <w:t>Preventive Maintenance</w:t>
            </w:r>
          </w:p>
        </w:tc>
        <w:tc>
          <w:tcPr>
            <w:tcW w:w="1913" w:type="dxa"/>
            <w:vAlign w:val="center"/>
          </w:tcPr>
          <w:p w14:paraId="6D11A75A" w14:textId="77777777" w:rsidR="00D316B0" w:rsidRPr="00004A9A" w:rsidRDefault="00D316B0" w:rsidP="00D17369">
            <w:pPr>
              <w:pStyle w:val="BodyText"/>
              <w:spacing w:after="0"/>
              <w:jc w:val="center"/>
            </w:pPr>
            <w:r>
              <w:t>NA – do not design for</w:t>
            </w:r>
          </w:p>
        </w:tc>
        <w:tc>
          <w:tcPr>
            <w:tcW w:w="2047" w:type="dxa"/>
            <w:vAlign w:val="center"/>
          </w:tcPr>
          <w:p w14:paraId="594E0FB2" w14:textId="77777777" w:rsidR="00D316B0" w:rsidRPr="00004A9A" w:rsidRDefault="00D316B0" w:rsidP="00D17369">
            <w:pPr>
              <w:pStyle w:val="BodyText"/>
              <w:spacing w:after="0"/>
              <w:jc w:val="center"/>
            </w:pPr>
            <w:r>
              <w:t xml:space="preserve">NA </w:t>
            </w:r>
          </w:p>
        </w:tc>
      </w:tr>
      <w:tr w:rsidR="00D316B0" w:rsidRPr="00004A9A" w14:paraId="1C2F5BD2" w14:textId="77777777" w:rsidTr="00D17369">
        <w:trPr>
          <w:jc w:val="center"/>
        </w:trPr>
        <w:tc>
          <w:tcPr>
            <w:tcW w:w="1098" w:type="dxa"/>
            <w:vAlign w:val="center"/>
          </w:tcPr>
          <w:p w14:paraId="476913C7" w14:textId="77777777" w:rsidR="00D316B0" w:rsidRPr="00004A9A" w:rsidRDefault="00D316B0" w:rsidP="00D17369">
            <w:pPr>
              <w:pStyle w:val="BodyText"/>
              <w:spacing w:after="0"/>
              <w:jc w:val="center"/>
            </w:pPr>
            <w:r w:rsidRPr="00004A9A">
              <w:t>PCC</w:t>
            </w:r>
          </w:p>
        </w:tc>
        <w:tc>
          <w:tcPr>
            <w:tcW w:w="3307" w:type="dxa"/>
            <w:vAlign w:val="center"/>
          </w:tcPr>
          <w:p w14:paraId="2528819A" w14:textId="77777777" w:rsidR="00D316B0" w:rsidRPr="00004A9A" w:rsidRDefault="00D316B0" w:rsidP="00D17369">
            <w:pPr>
              <w:pStyle w:val="BodyText"/>
              <w:spacing w:after="0"/>
              <w:jc w:val="center"/>
            </w:pPr>
            <w:r w:rsidRPr="00004A9A">
              <w:t>New, Major Rehabilitation</w:t>
            </w:r>
          </w:p>
        </w:tc>
        <w:tc>
          <w:tcPr>
            <w:tcW w:w="1913" w:type="dxa"/>
            <w:vAlign w:val="center"/>
          </w:tcPr>
          <w:p w14:paraId="1E00AF4A" w14:textId="77777777" w:rsidR="00D316B0" w:rsidRPr="00004A9A" w:rsidRDefault="00D316B0" w:rsidP="00D17369">
            <w:pPr>
              <w:pStyle w:val="BodyText"/>
              <w:spacing w:after="0"/>
              <w:jc w:val="center"/>
            </w:pPr>
            <w:r>
              <w:t>Always Design</w:t>
            </w:r>
          </w:p>
        </w:tc>
        <w:tc>
          <w:tcPr>
            <w:tcW w:w="2047" w:type="dxa"/>
            <w:vAlign w:val="center"/>
          </w:tcPr>
          <w:p w14:paraId="1B516228" w14:textId="77777777" w:rsidR="00D316B0" w:rsidRPr="00004A9A" w:rsidRDefault="00D316B0" w:rsidP="00D17369">
            <w:pPr>
              <w:pStyle w:val="BodyText"/>
              <w:spacing w:after="0"/>
              <w:jc w:val="center"/>
            </w:pPr>
            <w:r w:rsidRPr="00004A9A">
              <w:t>60</w:t>
            </w:r>
          </w:p>
        </w:tc>
      </w:tr>
      <w:tr w:rsidR="00D316B0" w:rsidRPr="00004A9A" w14:paraId="089BF01E" w14:textId="77777777" w:rsidTr="00D17369">
        <w:trPr>
          <w:jc w:val="center"/>
        </w:trPr>
        <w:tc>
          <w:tcPr>
            <w:tcW w:w="1098" w:type="dxa"/>
            <w:vAlign w:val="center"/>
          </w:tcPr>
          <w:p w14:paraId="5FE23F1C" w14:textId="77777777" w:rsidR="00D316B0" w:rsidRPr="00004A9A" w:rsidRDefault="00D316B0" w:rsidP="00D17369">
            <w:pPr>
              <w:pStyle w:val="BodyText"/>
              <w:spacing w:after="0"/>
              <w:jc w:val="center"/>
            </w:pPr>
            <w:r w:rsidRPr="00004A9A">
              <w:t>PCC</w:t>
            </w:r>
          </w:p>
        </w:tc>
        <w:tc>
          <w:tcPr>
            <w:tcW w:w="3307" w:type="dxa"/>
            <w:vAlign w:val="center"/>
          </w:tcPr>
          <w:p w14:paraId="059BFB61" w14:textId="77777777" w:rsidR="00D316B0" w:rsidRPr="00004A9A" w:rsidRDefault="00D316B0" w:rsidP="00D17369">
            <w:pPr>
              <w:pStyle w:val="BodyText"/>
              <w:spacing w:after="0"/>
              <w:jc w:val="center"/>
            </w:pPr>
            <w:r w:rsidRPr="00004A9A">
              <w:t>Structural Overlay, Minor Rehabilitation</w:t>
            </w:r>
          </w:p>
        </w:tc>
        <w:tc>
          <w:tcPr>
            <w:tcW w:w="1913" w:type="dxa"/>
            <w:vAlign w:val="center"/>
          </w:tcPr>
          <w:p w14:paraId="4C07626C" w14:textId="77777777" w:rsidR="00D316B0" w:rsidRPr="00004A9A" w:rsidRDefault="00D316B0" w:rsidP="00D17369">
            <w:pPr>
              <w:pStyle w:val="BodyText"/>
              <w:spacing w:after="0"/>
              <w:jc w:val="center"/>
            </w:pPr>
            <w:r>
              <w:t>Always Design</w:t>
            </w:r>
          </w:p>
        </w:tc>
        <w:tc>
          <w:tcPr>
            <w:tcW w:w="2047" w:type="dxa"/>
            <w:vAlign w:val="center"/>
          </w:tcPr>
          <w:p w14:paraId="5257AD30" w14:textId="65AA39E7" w:rsidR="00D316B0" w:rsidRPr="00004A9A" w:rsidRDefault="00D316B0" w:rsidP="00D17369">
            <w:pPr>
              <w:pStyle w:val="BodyText"/>
              <w:spacing w:after="0"/>
              <w:jc w:val="center"/>
            </w:pPr>
            <w:r>
              <w:t>Calculated</w:t>
            </w:r>
            <w:r w:rsidR="00D038D3" w:rsidRPr="00D038D3">
              <w:rPr>
                <w:vertAlign w:val="superscript"/>
              </w:rPr>
              <w:t>1</w:t>
            </w:r>
          </w:p>
        </w:tc>
      </w:tr>
      <w:tr w:rsidR="00D316B0" w:rsidRPr="00004A9A" w14:paraId="2FB779B2" w14:textId="77777777" w:rsidTr="00D17369">
        <w:trPr>
          <w:jc w:val="center"/>
        </w:trPr>
        <w:tc>
          <w:tcPr>
            <w:tcW w:w="1098" w:type="dxa"/>
            <w:vAlign w:val="center"/>
          </w:tcPr>
          <w:p w14:paraId="61577508" w14:textId="77777777" w:rsidR="00D316B0" w:rsidRPr="00004A9A" w:rsidRDefault="00D316B0" w:rsidP="00D17369">
            <w:pPr>
              <w:pStyle w:val="BodyText"/>
              <w:spacing w:after="0"/>
              <w:jc w:val="center"/>
            </w:pPr>
            <w:r w:rsidRPr="00004A9A">
              <w:t>PCC</w:t>
            </w:r>
          </w:p>
        </w:tc>
        <w:tc>
          <w:tcPr>
            <w:tcW w:w="3307" w:type="dxa"/>
            <w:vAlign w:val="center"/>
          </w:tcPr>
          <w:p w14:paraId="73318E58" w14:textId="77777777" w:rsidR="00D316B0" w:rsidRPr="00004A9A" w:rsidRDefault="00D316B0" w:rsidP="00D17369">
            <w:pPr>
              <w:pStyle w:val="BodyText"/>
              <w:spacing w:after="0"/>
              <w:jc w:val="center"/>
            </w:pPr>
            <w:r w:rsidRPr="00004A9A">
              <w:t>Preventive Maintenance</w:t>
            </w:r>
          </w:p>
        </w:tc>
        <w:tc>
          <w:tcPr>
            <w:tcW w:w="1913" w:type="dxa"/>
            <w:vAlign w:val="center"/>
          </w:tcPr>
          <w:p w14:paraId="4F2EA906" w14:textId="77777777" w:rsidR="00D316B0" w:rsidRPr="00004A9A" w:rsidRDefault="00D316B0" w:rsidP="00D17369">
            <w:pPr>
              <w:pStyle w:val="BodyText"/>
              <w:spacing w:after="0"/>
              <w:jc w:val="center"/>
            </w:pPr>
            <w:r>
              <w:t>NA</w:t>
            </w:r>
          </w:p>
        </w:tc>
        <w:tc>
          <w:tcPr>
            <w:tcW w:w="2047" w:type="dxa"/>
            <w:vAlign w:val="center"/>
          </w:tcPr>
          <w:p w14:paraId="4C172A1D" w14:textId="77777777" w:rsidR="00D316B0" w:rsidRPr="00004A9A" w:rsidRDefault="00D316B0" w:rsidP="00D17369">
            <w:pPr>
              <w:pStyle w:val="BodyText"/>
              <w:spacing w:after="0"/>
              <w:jc w:val="center"/>
            </w:pPr>
            <w:r>
              <w:t>NA</w:t>
            </w:r>
          </w:p>
        </w:tc>
      </w:tr>
    </w:tbl>
    <w:p w14:paraId="2CC46F5E" w14:textId="52994E8D" w:rsidR="00D316B0" w:rsidRPr="00C80BFE" w:rsidRDefault="00C80BFE" w:rsidP="00DF33CD">
      <w:pPr>
        <w:pStyle w:val="BodyText"/>
        <w:ind w:left="990" w:right="180" w:hanging="720"/>
        <w:rPr>
          <w:sz w:val="18"/>
          <w:szCs w:val="18"/>
        </w:rPr>
      </w:pPr>
      <w:r w:rsidRPr="00C80BFE">
        <w:rPr>
          <w:sz w:val="18"/>
          <w:szCs w:val="18"/>
        </w:rPr>
        <w:t>Note 1:</w:t>
      </w:r>
      <w:r w:rsidR="00DF33CD">
        <w:rPr>
          <w:sz w:val="18"/>
          <w:szCs w:val="18"/>
        </w:rPr>
        <w:tab/>
      </w:r>
      <w:r w:rsidRPr="00C80BFE">
        <w:rPr>
          <w:sz w:val="18"/>
          <w:szCs w:val="18"/>
        </w:rPr>
        <w:t>Initial IRI is a function of the existing (pre-treatment) IRI, types of pre-overlay fixes, and number of HMA lifts placed.  It can be calculated/estimated using PD-11, which is the worksheet that determines ride specification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2947"/>
        <w:gridCol w:w="2340"/>
        <w:gridCol w:w="2093"/>
      </w:tblGrid>
      <w:tr w:rsidR="00D316B0" w:rsidRPr="00004A9A" w14:paraId="1ECF027A" w14:textId="77777777" w:rsidTr="00D17369">
        <w:trPr>
          <w:trHeight w:val="288"/>
          <w:jc w:val="center"/>
        </w:trPr>
        <w:tc>
          <w:tcPr>
            <w:tcW w:w="1098" w:type="dxa"/>
            <w:shd w:val="pct15" w:color="auto" w:fill="FFFFFF"/>
            <w:vAlign w:val="center"/>
          </w:tcPr>
          <w:p w14:paraId="6CF7BFDE" w14:textId="77777777" w:rsidR="00D316B0" w:rsidRPr="00004A9A" w:rsidRDefault="00D316B0" w:rsidP="00D17369">
            <w:pPr>
              <w:pStyle w:val="BodyText"/>
              <w:spacing w:after="0"/>
              <w:jc w:val="center"/>
              <w:rPr>
                <w:b/>
              </w:rPr>
            </w:pPr>
            <w:r w:rsidRPr="00004A9A">
              <w:rPr>
                <w:b/>
              </w:rPr>
              <w:t>Final Surface Material</w:t>
            </w:r>
          </w:p>
        </w:tc>
        <w:tc>
          <w:tcPr>
            <w:tcW w:w="2947" w:type="dxa"/>
            <w:shd w:val="pct15" w:color="auto" w:fill="FFFFFF"/>
            <w:vAlign w:val="center"/>
          </w:tcPr>
          <w:p w14:paraId="7788AC45" w14:textId="77777777" w:rsidR="00D316B0" w:rsidRPr="00004A9A" w:rsidRDefault="00D316B0" w:rsidP="00D17369">
            <w:pPr>
              <w:pStyle w:val="BodyText"/>
              <w:spacing w:after="0"/>
              <w:jc w:val="center"/>
              <w:rPr>
                <w:b/>
              </w:rPr>
            </w:pPr>
            <w:r w:rsidRPr="00004A9A">
              <w:rPr>
                <w:b/>
              </w:rPr>
              <w:t>Type of Construction</w:t>
            </w:r>
          </w:p>
        </w:tc>
        <w:tc>
          <w:tcPr>
            <w:tcW w:w="2340" w:type="dxa"/>
            <w:shd w:val="pct15" w:color="auto" w:fill="FFFFFF"/>
            <w:vAlign w:val="center"/>
          </w:tcPr>
          <w:p w14:paraId="5145C063" w14:textId="4E7C3752" w:rsidR="00D316B0" w:rsidRPr="00004A9A" w:rsidRDefault="00D316B0" w:rsidP="00D17369">
            <w:pPr>
              <w:pStyle w:val="BodyText"/>
              <w:spacing w:after="0"/>
              <w:jc w:val="center"/>
              <w:rPr>
                <w:b/>
              </w:rPr>
            </w:pPr>
            <w:r>
              <w:rPr>
                <w:b/>
              </w:rPr>
              <w:t>Threshold to Design for</w:t>
            </w:r>
            <w:r w:rsidRPr="00004A9A">
              <w:rPr>
                <w:b/>
              </w:rPr>
              <w:t xml:space="preserve"> Cracking/Faulting/ Punchouts</w:t>
            </w:r>
          </w:p>
        </w:tc>
        <w:tc>
          <w:tcPr>
            <w:tcW w:w="2093" w:type="dxa"/>
            <w:shd w:val="pct15" w:color="auto" w:fill="FFFFFF"/>
            <w:vAlign w:val="center"/>
          </w:tcPr>
          <w:p w14:paraId="7BF27066" w14:textId="77777777" w:rsidR="00D316B0" w:rsidRPr="00004A9A" w:rsidRDefault="00D316B0" w:rsidP="00D17369">
            <w:pPr>
              <w:pStyle w:val="BodyText"/>
              <w:spacing w:after="0"/>
              <w:jc w:val="center"/>
              <w:rPr>
                <w:b/>
              </w:rPr>
            </w:pPr>
            <w:r>
              <w:rPr>
                <w:b/>
              </w:rPr>
              <w:t xml:space="preserve">Occurrences of </w:t>
            </w:r>
            <w:r w:rsidRPr="00004A9A">
              <w:rPr>
                <w:b/>
              </w:rPr>
              <w:t>Initial Cracking/ Faulting/ Punchouts</w:t>
            </w:r>
          </w:p>
        </w:tc>
      </w:tr>
      <w:tr w:rsidR="00D316B0" w:rsidRPr="00004A9A" w14:paraId="65450356" w14:textId="77777777" w:rsidTr="00D17369">
        <w:trPr>
          <w:trHeight w:val="288"/>
          <w:jc w:val="center"/>
        </w:trPr>
        <w:tc>
          <w:tcPr>
            <w:tcW w:w="1098" w:type="dxa"/>
            <w:vAlign w:val="center"/>
          </w:tcPr>
          <w:p w14:paraId="069EBAE5" w14:textId="77777777" w:rsidR="00D316B0" w:rsidRPr="00004A9A" w:rsidRDefault="00D316B0" w:rsidP="00D17369">
            <w:pPr>
              <w:pStyle w:val="BodyText"/>
              <w:spacing w:after="0"/>
              <w:jc w:val="center"/>
            </w:pPr>
            <w:r w:rsidRPr="00004A9A">
              <w:t>HMA</w:t>
            </w:r>
          </w:p>
        </w:tc>
        <w:tc>
          <w:tcPr>
            <w:tcW w:w="2947" w:type="dxa"/>
            <w:vAlign w:val="center"/>
          </w:tcPr>
          <w:p w14:paraId="12749BFD" w14:textId="77777777" w:rsidR="00D316B0" w:rsidRPr="00004A9A" w:rsidRDefault="00D316B0" w:rsidP="00D17369">
            <w:pPr>
              <w:pStyle w:val="BodyText"/>
              <w:spacing w:after="0"/>
              <w:jc w:val="center"/>
            </w:pPr>
            <w:r w:rsidRPr="00004A9A">
              <w:t>New, Major Rehabilitation</w:t>
            </w:r>
          </w:p>
        </w:tc>
        <w:tc>
          <w:tcPr>
            <w:tcW w:w="2340" w:type="dxa"/>
            <w:vAlign w:val="center"/>
          </w:tcPr>
          <w:p w14:paraId="1E91069D" w14:textId="77777777" w:rsidR="00D316B0" w:rsidRPr="00004A9A" w:rsidRDefault="00D316B0" w:rsidP="00D17369">
            <w:pPr>
              <w:pStyle w:val="BodyText"/>
              <w:spacing w:after="0"/>
              <w:jc w:val="center"/>
            </w:pPr>
            <w:r>
              <w:t>Always Design</w:t>
            </w:r>
          </w:p>
        </w:tc>
        <w:tc>
          <w:tcPr>
            <w:tcW w:w="2093" w:type="dxa"/>
            <w:vAlign w:val="center"/>
          </w:tcPr>
          <w:p w14:paraId="3CB77660" w14:textId="77777777" w:rsidR="00D316B0" w:rsidRPr="00004A9A" w:rsidRDefault="00D316B0" w:rsidP="00D17369">
            <w:pPr>
              <w:pStyle w:val="BodyText"/>
              <w:spacing w:after="0"/>
              <w:jc w:val="center"/>
            </w:pPr>
            <w:r w:rsidRPr="00004A9A">
              <w:t>0</w:t>
            </w:r>
          </w:p>
        </w:tc>
      </w:tr>
      <w:tr w:rsidR="00D316B0" w:rsidRPr="00004A9A" w14:paraId="40B4899D" w14:textId="77777777" w:rsidTr="00D17369">
        <w:trPr>
          <w:trHeight w:val="288"/>
          <w:jc w:val="center"/>
        </w:trPr>
        <w:tc>
          <w:tcPr>
            <w:tcW w:w="1098" w:type="dxa"/>
            <w:vAlign w:val="center"/>
          </w:tcPr>
          <w:p w14:paraId="239DD881" w14:textId="77777777" w:rsidR="00D316B0" w:rsidRPr="00004A9A" w:rsidRDefault="00D316B0" w:rsidP="00D17369">
            <w:pPr>
              <w:pStyle w:val="BodyText"/>
              <w:spacing w:after="0"/>
              <w:jc w:val="center"/>
            </w:pPr>
            <w:r w:rsidRPr="00004A9A">
              <w:t>HMA</w:t>
            </w:r>
          </w:p>
        </w:tc>
        <w:tc>
          <w:tcPr>
            <w:tcW w:w="2947" w:type="dxa"/>
            <w:vAlign w:val="center"/>
          </w:tcPr>
          <w:p w14:paraId="798793AB" w14:textId="77777777" w:rsidR="00D316B0" w:rsidRPr="00004A9A" w:rsidRDefault="00D316B0" w:rsidP="00D17369">
            <w:pPr>
              <w:pStyle w:val="BodyText"/>
              <w:spacing w:after="0"/>
              <w:jc w:val="center"/>
            </w:pPr>
            <w:r w:rsidRPr="00004A9A">
              <w:t>Structural Overlay, Minor Rehabilitation</w:t>
            </w:r>
          </w:p>
        </w:tc>
        <w:tc>
          <w:tcPr>
            <w:tcW w:w="2340" w:type="dxa"/>
            <w:vAlign w:val="center"/>
          </w:tcPr>
          <w:p w14:paraId="6138F9E9" w14:textId="77777777" w:rsidR="00D316B0" w:rsidRPr="00004A9A" w:rsidRDefault="00D316B0" w:rsidP="00D17369">
            <w:pPr>
              <w:pStyle w:val="BodyText"/>
              <w:spacing w:after="0"/>
              <w:jc w:val="center"/>
            </w:pPr>
            <w:r>
              <w:t>Always Design</w:t>
            </w:r>
          </w:p>
        </w:tc>
        <w:tc>
          <w:tcPr>
            <w:tcW w:w="2093" w:type="dxa"/>
            <w:vAlign w:val="center"/>
          </w:tcPr>
          <w:p w14:paraId="61D843F9" w14:textId="77777777" w:rsidR="00D316B0" w:rsidRPr="00004A9A" w:rsidRDefault="00D316B0" w:rsidP="00D17369">
            <w:pPr>
              <w:pStyle w:val="BodyText"/>
              <w:spacing w:after="0"/>
              <w:jc w:val="center"/>
            </w:pPr>
            <w:r>
              <w:t>0</w:t>
            </w:r>
          </w:p>
        </w:tc>
      </w:tr>
      <w:tr w:rsidR="00D316B0" w:rsidRPr="00004A9A" w14:paraId="656A7AFA" w14:textId="77777777" w:rsidTr="00D17369">
        <w:trPr>
          <w:trHeight w:val="288"/>
          <w:jc w:val="center"/>
        </w:trPr>
        <w:tc>
          <w:tcPr>
            <w:tcW w:w="1098" w:type="dxa"/>
            <w:vAlign w:val="center"/>
          </w:tcPr>
          <w:p w14:paraId="691023ED" w14:textId="77777777" w:rsidR="00D316B0" w:rsidRPr="00004A9A" w:rsidRDefault="00D316B0" w:rsidP="00D17369">
            <w:pPr>
              <w:pStyle w:val="BodyText"/>
              <w:spacing w:after="0"/>
              <w:jc w:val="center"/>
            </w:pPr>
            <w:r w:rsidRPr="00004A9A">
              <w:t>HMA</w:t>
            </w:r>
          </w:p>
        </w:tc>
        <w:tc>
          <w:tcPr>
            <w:tcW w:w="2947" w:type="dxa"/>
            <w:vAlign w:val="center"/>
          </w:tcPr>
          <w:p w14:paraId="2B3F1769" w14:textId="77777777" w:rsidR="00D316B0" w:rsidRPr="00004A9A" w:rsidRDefault="00D316B0" w:rsidP="00D17369">
            <w:pPr>
              <w:pStyle w:val="BodyText"/>
              <w:spacing w:after="0"/>
              <w:jc w:val="center"/>
            </w:pPr>
            <w:r w:rsidRPr="00004A9A">
              <w:t>Preventive Maintenance</w:t>
            </w:r>
          </w:p>
        </w:tc>
        <w:tc>
          <w:tcPr>
            <w:tcW w:w="2340" w:type="dxa"/>
            <w:vAlign w:val="center"/>
          </w:tcPr>
          <w:p w14:paraId="2E71E898" w14:textId="69BA4BF6" w:rsidR="00D316B0" w:rsidRPr="00004A9A" w:rsidRDefault="00D316B0" w:rsidP="00D17369">
            <w:pPr>
              <w:pStyle w:val="BodyText"/>
              <w:spacing w:after="0"/>
              <w:jc w:val="center"/>
            </w:pPr>
            <w:r>
              <w:t>Design</w:t>
            </w:r>
            <w:r w:rsidR="00D038D3" w:rsidRPr="00D038D3">
              <w:rPr>
                <w:vertAlign w:val="superscript"/>
              </w:rPr>
              <w:t>2</w:t>
            </w:r>
          </w:p>
        </w:tc>
        <w:tc>
          <w:tcPr>
            <w:tcW w:w="2093" w:type="dxa"/>
            <w:vAlign w:val="center"/>
          </w:tcPr>
          <w:p w14:paraId="62F4D3B4" w14:textId="798D861B" w:rsidR="00D316B0" w:rsidRPr="00004A9A" w:rsidRDefault="00D316B0" w:rsidP="00D17369">
            <w:pPr>
              <w:pStyle w:val="BodyText"/>
              <w:spacing w:after="0"/>
              <w:jc w:val="center"/>
            </w:pPr>
            <w:r>
              <w:t>0 to Existing</w:t>
            </w:r>
            <w:r w:rsidR="00C80BFE" w:rsidRPr="00C80BFE">
              <w:rPr>
                <w:vertAlign w:val="superscript"/>
              </w:rPr>
              <w:t>3</w:t>
            </w:r>
          </w:p>
        </w:tc>
      </w:tr>
      <w:tr w:rsidR="00D316B0" w:rsidRPr="00004A9A" w14:paraId="55CB0EB0" w14:textId="77777777" w:rsidTr="00D17369">
        <w:trPr>
          <w:trHeight w:val="288"/>
          <w:jc w:val="center"/>
        </w:trPr>
        <w:tc>
          <w:tcPr>
            <w:tcW w:w="1098" w:type="dxa"/>
            <w:vAlign w:val="center"/>
          </w:tcPr>
          <w:p w14:paraId="40FCB9D0" w14:textId="77777777" w:rsidR="00D316B0" w:rsidRPr="00004A9A" w:rsidRDefault="00D316B0" w:rsidP="00D17369">
            <w:pPr>
              <w:pStyle w:val="BodyText"/>
              <w:spacing w:after="0"/>
              <w:jc w:val="center"/>
            </w:pPr>
            <w:r w:rsidRPr="00004A9A">
              <w:t>PCC</w:t>
            </w:r>
          </w:p>
        </w:tc>
        <w:tc>
          <w:tcPr>
            <w:tcW w:w="2947" w:type="dxa"/>
            <w:vAlign w:val="center"/>
          </w:tcPr>
          <w:p w14:paraId="3A71371B" w14:textId="77777777" w:rsidR="00D316B0" w:rsidRPr="00004A9A" w:rsidRDefault="00D316B0" w:rsidP="00D17369">
            <w:pPr>
              <w:pStyle w:val="BodyText"/>
              <w:spacing w:after="0"/>
              <w:jc w:val="center"/>
            </w:pPr>
            <w:r w:rsidRPr="00004A9A">
              <w:t>New, Major Rehabilitation</w:t>
            </w:r>
          </w:p>
        </w:tc>
        <w:tc>
          <w:tcPr>
            <w:tcW w:w="2340" w:type="dxa"/>
            <w:vAlign w:val="center"/>
          </w:tcPr>
          <w:p w14:paraId="245BD8C8" w14:textId="77777777" w:rsidR="00D316B0" w:rsidRPr="00004A9A" w:rsidRDefault="00D316B0" w:rsidP="00D17369">
            <w:pPr>
              <w:pStyle w:val="BodyText"/>
              <w:spacing w:after="0"/>
              <w:jc w:val="center"/>
            </w:pPr>
            <w:r>
              <w:t>Always Design</w:t>
            </w:r>
          </w:p>
        </w:tc>
        <w:tc>
          <w:tcPr>
            <w:tcW w:w="2093" w:type="dxa"/>
            <w:vAlign w:val="center"/>
          </w:tcPr>
          <w:p w14:paraId="72983F8E" w14:textId="77777777" w:rsidR="00D316B0" w:rsidRPr="00004A9A" w:rsidRDefault="00D316B0" w:rsidP="00D17369">
            <w:pPr>
              <w:pStyle w:val="BodyText"/>
              <w:spacing w:after="0"/>
              <w:jc w:val="center"/>
            </w:pPr>
            <w:r w:rsidRPr="00004A9A">
              <w:t>0</w:t>
            </w:r>
          </w:p>
        </w:tc>
      </w:tr>
      <w:tr w:rsidR="00D316B0" w:rsidRPr="00004A9A" w14:paraId="4F5EE819" w14:textId="77777777" w:rsidTr="00D17369">
        <w:trPr>
          <w:trHeight w:val="288"/>
          <w:jc w:val="center"/>
        </w:trPr>
        <w:tc>
          <w:tcPr>
            <w:tcW w:w="1098" w:type="dxa"/>
            <w:vAlign w:val="center"/>
          </w:tcPr>
          <w:p w14:paraId="69FF698D" w14:textId="77777777" w:rsidR="00D316B0" w:rsidRPr="00004A9A" w:rsidRDefault="00D316B0" w:rsidP="00D17369">
            <w:pPr>
              <w:pStyle w:val="BodyText"/>
              <w:spacing w:after="0"/>
              <w:jc w:val="center"/>
            </w:pPr>
            <w:r w:rsidRPr="00004A9A">
              <w:t>PCC</w:t>
            </w:r>
          </w:p>
        </w:tc>
        <w:tc>
          <w:tcPr>
            <w:tcW w:w="2947" w:type="dxa"/>
            <w:vAlign w:val="center"/>
          </w:tcPr>
          <w:p w14:paraId="06812A7B" w14:textId="77777777" w:rsidR="00D316B0" w:rsidRPr="00004A9A" w:rsidRDefault="00D316B0" w:rsidP="00D17369">
            <w:pPr>
              <w:pStyle w:val="BodyText"/>
              <w:spacing w:after="0"/>
              <w:jc w:val="center"/>
            </w:pPr>
            <w:r w:rsidRPr="00004A9A">
              <w:t>Structural Overlay, Minor Rehabilitation</w:t>
            </w:r>
          </w:p>
        </w:tc>
        <w:tc>
          <w:tcPr>
            <w:tcW w:w="2340" w:type="dxa"/>
            <w:vAlign w:val="center"/>
          </w:tcPr>
          <w:p w14:paraId="24476583" w14:textId="77777777" w:rsidR="00D316B0" w:rsidRPr="00004A9A" w:rsidRDefault="00D316B0" w:rsidP="00D17369">
            <w:pPr>
              <w:pStyle w:val="BodyText"/>
              <w:spacing w:after="0"/>
              <w:jc w:val="center"/>
            </w:pPr>
            <w:r>
              <w:t>Always Design</w:t>
            </w:r>
          </w:p>
        </w:tc>
        <w:tc>
          <w:tcPr>
            <w:tcW w:w="2093" w:type="dxa"/>
            <w:vAlign w:val="center"/>
          </w:tcPr>
          <w:p w14:paraId="620E083D" w14:textId="77777777" w:rsidR="00D316B0" w:rsidRPr="00004A9A" w:rsidRDefault="00D316B0" w:rsidP="00D17369">
            <w:pPr>
              <w:pStyle w:val="BodyText"/>
              <w:spacing w:after="0"/>
              <w:jc w:val="center"/>
            </w:pPr>
            <w:r>
              <w:t>0</w:t>
            </w:r>
          </w:p>
        </w:tc>
      </w:tr>
      <w:tr w:rsidR="00D316B0" w:rsidRPr="00004A9A" w14:paraId="484E3476" w14:textId="77777777" w:rsidTr="00D17369">
        <w:trPr>
          <w:trHeight w:val="288"/>
          <w:jc w:val="center"/>
        </w:trPr>
        <w:tc>
          <w:tcPr>
            <w:tcW w:w="1098" w:type="dxa"/>
            <w:vAlign w:val="center"/>
          </w:tcPr>
          <w:p w14:paraId="06FADC0E" w14:textId="77777777" w:rsidR="00D316B0" w:rsidRPr="00004A9A" w:rsidRDefault="00D316B0" w:rsidP="00D17369">
            <w:pPr>
              <w:pStyle w:val="BodyText"/>
              <w:spacing w:after="0"/>
              <w:jc w:val="center"/>
            </w:pPr>
            <w:r w:rsidRPr="00004A9A">
              <w:t>PCC</w:t>
            </w:r>
          </w:p>
        </w:tc>
        <w:tc>
          <w:tcPr>
            <w:tcW w:w="2947" w:type="dxa"/>
            <w:vAlign w:val="center"/>
          </w:tcPr>
          <w:p w14:paraId="60D8B7D0" w14:textId="77777777" w:rsidR="00D316B0" w:rsidRPr="00004A9A" w:rsidRDefault="00D316B0" w:rsidP="00D17369">
            <w:pPr>
              <w:pStyle w:val="BodyText"/>
              <w:spacing w:after="0"/>
              <w:jc w:val="center"/>
            </w:pPr>
            <w:r w:rsidRPr="00004A9A">
              <w:t>Preventive Maintenance</w:t>
            </w:r>
          </w:p>
        </w:tc>
        <w:tc>
          <w:tcPr>
            <w:tcW w:w="2340" w:type="dxa"/>
            <w:vAlign w:val="center"/>
          </w:tcPr>
          <w:p w14:paraId="75107F46" w14:textId="3BD72C59" w:rsidR="00D316B0" w:rsidRPr="00004A9A" w:rsidRDefault="00D316B0" w:rsidP="00D17369">
            <w:pPr>
              <w:pStyle w:val="BodyText"/>
              <w:spacing w:after="0"/>
              <w:jc w:val="center"/>
            </w:pPr>
            <w:r>
              <w:t>Design</w:t>
            </w:r>
            <w:r w:rsidR="00D038D3" w:rsidRPr="00D038D3">
              <w:rPr>
                <w:vertAlign w:val="superscript"/>
              </w:rPr>
              <w:t>2</w:t>
            </w:r>
            <w:r w:rsidR="00D038D3" w:rsidRPr="00004A9A">
              <w:t xml:space="preserve"> </w:t>
            </w:r>
          </w:p>
        </w:tc>
        <w:tc>
          <w:tcPr>
            <w:tcW w:w="2093" w:type="dxa"/>
            <w:vAlign w:val="center"/>
          </w:tcPr>
          <w:p w14:paraId="14EFA308" w14:textId="775077B6" w:rsidR="00D316B0" w:rsidRPr="00004A9A" w:rsidRDefault="00D316B0" w:rsidP="00D17369">
            <w:pPr>
              <w:pStyle w:val="BodyText"/>
              <w:spacing w:after="0"/>
              <w:jc w:val="center"/>
            </w:pPr>
            <w:r>
              <w:t>0 to Existing</w:t>
            </w:r>
            <w:r w:rsidR="00D038D3" w:rsidRPr="00D038D3">
              <w:rPr>
                <w:vertAlign w:val="superscript"/>
              </w:rPr>
              <w:t>3</w:t>
            </w:r>
          </w:p>
        </w:tc>
      </w:tr>
    </w:tbl>
    <w:p w14:paraId="2F2F1DCC" w14:textId="383B6757" w:rsidR="00C80BFE" w:rsidRPr="00DF33CD" w:rsidRDefault="00C80BFE" w:rsidP="00C80BFE">
      <w:pPr>
        <w:pStyle w:val="FootnoteText"/>
        <w:ind w:left="900" w:right="180" w:hanging="630"/>
        <w:rPr>
          <w:rFonts w:ascii="Arial" w:hAnsi="Arial" w:cs="Arial"/>
          <w:sz w:val="18"/>
          <w:szCs w:val="18"/>
        </w:rPr>
      </w:pPr>
      <w:r w:rsidRPr="00DF33CD">
        <w:rPr>
          <w:rFonts w:ascii="Arial" w:hAnsi="Arial" w:cs="Arial"/>
          <w:sz w:val="18"/>
          <w:szCs w:val="18"/>
        </w:rPr>
        <w:t xml:space="preserve">Note </w:t>
      </w:r>
      <w:r w:rsidR="00F4125F" w:rsidRPr="00DF33CD">
        <w:rPr>
          <w:rFonts w:ascii="Arial" w:hAnsi="Arial" w:cs="Arial"/>
          <w:sz w:val="18"/>
          <w:szCs w:val="18"/>
        </w:rPr>
        <w:t>2</w:t>
      </w:r>
      <w:r w:rsidRPr="00DF33CD">
        <w:rPr>
          <w:rFonts w:ascii="Arial" w:hAnsi="Arial" w:cs="Arial"/>
          <w:sz w:val="18"/>
          <w:szCs w:val="18"/>
        </w:rPr>
        <w:t>:</w:t>
      </w:r>
      <w:r w:rsidRPr="00DF33CD">
        <w:rPr>
          <w:rFonts w:ascii="Arial" w:hAnsi="Arial" w:cs="Arial"/>
          <w:sz w:val="18"/>
          <w:szCs w:val="18"/>
        </w:rPr>
        <w:tab/>
        <w:t>Only for Preventive Maintenance treatments that are intended to improve cracking/faulting/ punchouts.</w:t>
      </w:r>
    </w:p>
    <w:p w14:paraId="3D96E00B" w14:textId="71B2B583" w:rsidR="00C80BFE" w:rsidRPr="00DF33CD" w:rsidRDefault="00F4125F" w:rsidP="00C80BFE">
      <w:pPr>
        <w:pStyle w:val="FootnoteText"/>
        <w:ind w:left="900" w:right="180" w:hanging="630"/>
        <w:rPr>
          <w:rFonts w:ascii="Arial" w:hAnsi="Arial" w:cs="Arial"/>
          <w:sz w:val="18"/>
          <w:szCs w:val="18"/>
        </w:rPr>
      </w:pPr>
      <w:r w:rsidRPr="00DF33CD">
        <w:rPr>
          <w:rFonts w:ascii="Arial" w:hAnsi="Arial" w:cs="Arial"/>
          <w:sz w:val="18"/>
          <w:szCs w:val="18"/>
        </w:rPr>
        <w:t>Note 3</w:t>
      </w:r>
      <w:r w:rsidR="00C80BFE" w:rsidRPr="00DF33CD">
        <w:rPr>
          <w:rFonts w:ascii="Arial" w:hAnsi="Arial" w:cs="Arial"/>
          <w:sz w:val="18"/>
          <w:szCs w:val="18"/>
        </w:rPr>
        <w:t>:</w:t>
      </w:r>
      <w:r w:rsidR="00C80BFE" w:rsidRPr="00DF33CD">
        <w:rPr>
          <w:rFonts w:ascii="Arial" w:hAnsi="Arial" w:cs="Arial"/>
          <w:sz w:val="18"/>
          <w:szCs w:val="18"/>
        </w:rPr>
        <w:tab/>
        <w:t>Preventive Maintenance treatments may</w:t>
      </w:r>
      <w:r w:rsidR="008B0A8A">
        <w:rPr>
          <w:rFonts w:ascii="Arial" w:hAnsi="Arial" w:cs="Arial"/>
          <w:sz w:val="18"/>
          <w:szCs w:val="18"/>
        </w:rPr>
        <w:t xml:space="preserve"> not improve cracking/faulting/</w:t>
      </w:r>
      <w:r w:rsidR="00C80BFE" w:rsidRPr="00DF33CD">
        <w:rPr>
          <w:rFonts w:ascii="Arial" w:hAnsi="Arial" w:cs="Arial"/>
          <w:sz w:val="18"/>
          <w:szCs w:val="18"/>
        </w:rPr>
        <w:t xml:space="preserve">punchouts or rutting.  Refer </w:t>
      </w:r>
      <w:r w:rsidR="007205B3">
        <w:rPr>
          <w:rFonts w:ascii="Arial" w:hAnsi="Arial" w:cs="Arial"/>
          <w:sz w:val="18"/>
          <w:szCs w:val="18"/>
        </w:rPr>
        <w:t xml:space="preserve">to </w:t>
      </w:r>
      <w:hyperlink w:anchor="_Supplemental_Treatment_Information_1" w:history="1">
        <w:r w:rsidR="007205B3" w:rsidRPr="007205B3">
          <w:rPr>
            <w:rStyle w:val="Hyperlink"/>
            <w:rFonts w:ascii="Arial" w:hAnsi="Arial" w:cs="Arial"/>
            <w:sz w:val="18"/>
            <w:szCs w:val="18"/>
          </w:rPr>
          <w:t>2.09</w:t>
        </w:r>
      </w:hyperlink>
      <w:r w:rsidR="00C80BFE" w:rsidRPr="00DF33CD">
        <w:rPr>
          <w:rFonts w:ascii="Arial" w:hAnsi="Arial" w:cs="Arial"/>
          <w:sz w:val="18"/>
          <w:szCs w:val="18"/>
        </w:rPr>
        <w:t>.</w:t>
      </w:r>
    </w:p>
    <w:p w14:paraId="7B3F6270" w14:textId="77777777" w:rsidR="00D316B0" w:rsidRPr="00D17369" w:rsidRDefault="00D316B0" w:rsidP="00D17369">
      <w:pPr>
        <w:pStyle w:val="BodyText"/>
        <w:spacing w:after="0"/>
        <w:rPr>
          <w:sz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2947"/>
        <w:gridCol w:w="2340"/>
        <w:gridCol w:w="2093"/>
      </w:tblGrid>
      <w:tr w:rsidR="00D316B0" w:rsidRPr="00004A9A" w14:paraId="27810698" w14:textId="77777777" w:rsidTr="00D17369">
        <w:trPr>
          <w:trHeight w:val="288"/>
          <w:jc w:val="center"/>
        </w:trPr>
        <w:tc>
          <w:tcPr>
            <w:tcW w:w="1098" w:type="dxa"/>
            <w:shd w:val="pct15" w:color="auto" w:fill="FFFFFF"/>
            <w:vAlign w:val="center"/>
          </w:tcPr>
          <w:p w14:paraId="49B05F25" w14:textId="77777777" w:rsidR="00D316B0" w:rsidRPr="00004A9A" w:rsidRDefault="00D316B0" w:rsidP="00D17369">
            <w:pPr>
              <w:pStyle w:val="BodyText"/>
              <w:spacing w:after="0"/>
              <w:jc w:val="center"/>
              <w:rPr>
                <w:b/>
              </w:rPr>
            </w:pPr>
            <w:r w:rsidRPr="00004A9A">
              <w:rPr>
                <w:b/>
              </w:rPr>
              <w:t>Final Surface Material</w:t>
            </w:r>
          </w:p>
        </w:tc>
        <w:tc>
          <w:tcPr>
            <w:tcW w:w="2947" w:type="dxa"/>
            <w:shd w:val="pct15" w:color="auto" w:fill="FFFFFF"/>
            <w:vAlign w:val="center"/>
          </w:tcPr>
          <w:p w14:paraId="0E3EDD0B" w14:textId="77777777" w:rsidR="00D316B0" w:rsidRPr="00004A9A" w:rsidRDefault="00D316B0" w:rsidP="00D17369">
            <w:pPr>
              <w:pStyle w:val="BodyText"/>
              <w:spacing w:after="0"/>
              <w:jc w:val="center"/>
              <w:rPr>
                <w:b/>
              </w:rPr>
            </w:pPr>
            <w:r w:rsidRPr="00004A9A">
              <w:rPr>
                <w:b/>
              </w:rPr>
              <w:t>Type of Construction</w:t>
            </w:r>
          </w:p>
        </w:tc>
        <w:tc>
          <w:tcPr>
            <w:tcW w:w="2340" w:type="dxa"/>
            <w:shd w:val="pct15" w:color="auto" w:fill="FFFFFF"/>
            <w:vAlign w:val="center"/>
          </w:tcPr>
          <w:p w14:paraId="1CB2B73B" w14:textId="77777777" w:rsidR="00D316B0" w:rsidRPr="00004A9A" w:rsidRDefault="00D316B0" w:rsidP="00D17369">
            <w:pPr>
              <w:pStyle w:val="BodyText"/>
              <w:spacing w:after="0"/>
              <w:jc w:val="center"/>
              <w:rPr>
                <w:b/>
              </w:rPr>
            </w:pPr>
            <w:r>
              <w:rPr>
                <w:b/>
              </w:rPr>
              <w:t>Threshold to Design for</w:t>
            </w:r>
            <w:r w:rsidRPr="00004A9A">
              <w:rPr>
                <w:b/>
              </w:rPr>
              <w:t xml:space="preserve"> Rutting</w:t>
            </w:r>
          </w:p>
        </w:tc>
        <w:tc>
          <w:tcPr>
            <w:tcW w:w="2093" w:type="dxa"/>
            <w:shd w:val="pct15" w:color="auto" w:fill="FFFFFF"/>
            <w:vAlign w:val="center"/>
          </w:tcPr>
          <w:p w14:paraId="0F2C09CF" w14:textId="77777777" w:rsidR="00D316B0" w:rsidRPr="00004A9A" w:rsidRDefault="00D316B0" w:rsidP="00D17369">
            <w:pPr>
              <w:pStyle w:val="BodyText"/>
              <w:spacing w:after="0"/>
              <w:jc w:val="center"/>
              <w:rPr>
                <w:b/>
              </w:rPr>
            </w:pPr>
            <w:r w:rsidRPr="00004A9A">
              <w:rPr>
                <w:b/>
              </w:rPr>
              <w:t>Initial Rutting</w:t>
            </w:r>
            <w:r>
              <w:rPr>
                <w:b/>
              </w:rPr>
              <w:t xml:space="preserve"> (inches)</w:t>
            </w:r>
          </w:p>
        </w:tc>
      </w:tr>
      <w:tr w:rsidR="00D316B0" w:rsidRPr="00004A9A" w14:paraId="2A33D3E7" w14:textId="77777777" w:rsidTr="00D17369">
        <w:trPr>
          <w:trHeight w:val="288"/>
          <w:jc w:val="center"/>
        </w:trPr>
        <w:tc>
          <w:tcPr>
            <w:tcW w:w="1098" w:type="dxa"/>
            <w:vAlign w:val="center"/>
          </w:tcPr>
          <w:p w14:paraId="1BE6B822" w14:textId="77777777" w:rsidR="00D316B0" w:rsidRPr="00004A9A" w:rsidRDefault="00D316B0" w:rsidP="00D17369">
            <w:pPr>
              <w:pStyle w:val="BodyText"/>
              <w:spacing w:after="0"/>
              <w:jc w:val="center"/>
            </w:pPr>
            <w:r w:rsidRPr="00004A9A">
              <w:t>HMA</w:t>
            </w:r>
          </w:p>
        </w:tc>
        <w:tc>
          <w:tcPr>
            <w:tcW w:w="2947" w:type="dxa"/>
            <w:vAlign w:val="center"/>
          </w:tcPr>
          <w:p w14:paraId="7D32ABB1" w14:textId="77777777" w:rsidR="00D316B0" w:rsidRPr="00004A9A" w:rsidRDefault="00D316B0" w:rsidP="00D17369">
            <w:pPr>
              <w:pStyle w:val="BodyText"/>
              <w:spacing w:after="0"/>
              <w:jc w:val="center"/>
            </w:pPr>
            <w:r w:rsidRPr="00004A9A">
              <w:t>New, Major Rehabilitation</w:t>
            </w:r>
          </w:p>
        </w:tc>
        <w:tc>
          <w:tcPr>
            <w:tcW w:w="2340" w:type="dxa"/>
            <w:vAlign w:val="center"/>
          </w:tcPr>
          <w:p w14:paraId="1BF1A01C" w14:textId="77777777" w:rsidR="00D316B0" w:rsidRPr="00004A9A" w:rsidRDefault="00D316B0" w:rsidP="00D17369">
            <w:pPr>
              <w:pStyle w:val="BodyText"/>
              <w:spacing w:after="0"/>
              <w:jc w:val="center"/>
            </w:pPr>
            <w:r>
              <w:t>Always Design</w:t>
            </w:r>
          </w:p>
        </w:tc>
        <w:tc>
          <w:tcPr>
            <w:tcW w:w="2093" w:type="dxa"/>
            <w:vAlign w:val="center"/>
          </w:tcPr>
          <w:p w14:paraId="1F9820EC" w14:textId="77777777" w:rsidR="00D316B0" w:rsidRPr="00004A9A" w:rsidRDefault="00D316B0" w:rsidP="00D17369">
            <w:pPr>
              <w:pStyle w:val="BodyText"/>
              <w:spacing w:after="0"/>
              <w:jc w:val="center"/>
            </w:pPr>
            <w:r w:rsidRPr="00004A9A">
              <w:t>0</w:t>
            </w:r>
            <w:r>
              <w:t>.15</w:t>
            </w:r>
          </w:p>
        </w:tc>
      </w:tr>
      <w:tr w:rsidR="00D316B0" w:rsidRPr="00004A9A" w14:paraId="7F01ADAD" w14:textId="77777777" w:rsidTr="00D17369">
        <w:trPr>
          <w:trHeight w:val="288"/>
          <w:jc w:val="center"/>
        </w:trPr>
        <w:tc>
          <w:tcPr>
            <w:tcW w:w="1098" w:type="dxa"/>
            <w:vAlign w:val="center"/>
          </w:tcPr>
          <w:p w14:paraId="21551A6A" w14:textId="77777777" w:rsidR="00D316B0" w:rsidRPr="00004A9A" w:rsidRDefault="00D316B0" w:rsidP="00D17369">
            <w:pPr>
              <w:pStyle w:val="BodyText"/>
              <w:spacing w:after="0"/>
              <w:jc w:val="center"/>
            </w:pPr>
            <w:r w:rsidRPr="00004A9A">
              <w:t>HMA</w:t>
            </w:r>
          </w:p>
        </w:tc>
        <w:tc>
          <w:tcPr>
            <w:tcW w:w="2947" w:type="dxa"/>
            <w:vAlign w:val="center"/>
          </w:tcPr>
          <w:p w14:paraId="58E311A6" w14:textId="58E342B7" w:rsidR="00D316B0" w:rsidRPr="00004A9A" w:rsidRDefault="00D316B0" w:rsidP="00D17369">
            <w:pPr>
              <w:pStyle w:val="BodyText"/>
              <w:spacing w:after="0"/>
              <w:jc w:val="center"/>
            </w:pPr>
            <w:r w:rsidRPr="00004A9A">
              <w:t>Structural Overlay, Minor Rehabilitation</w:t>
            </w:r>
            <w:r w:rsidR="007205B3">
              <w:t>, Preventive Maintenance &gt; 0.5” thick</w:t>
            </w:r>
          </w:p>
        </w:tc>
        <w:tc>
          <w:tcPr>
            <w:tcW w:w="2340" w:type="dxa"/>
            <w:vAlign w:val="center"/>
          </w:tcPr>
          <w:p w14:paraId="1A28EF8A" w14:textId="77777777" w:rsidR="00D316B0" w:rsidRPr="00004A9A" w:rsidRDefault="00D316B0" w:rsidP="00D17369">
            <w:pPr>
              <w:pStyle w:val="BodyText"/>
              <w:spacing w:after="0"/>
              <w:jc w:val="center"/>
            </w:pPr>
            <w:r>
              <w:t>Always Design</w:t>
            </w:r>
          </w:p>
        </w:tc>
        <w:tc>
          <w:tcPr>
            <w:tcW w:w="2093" w:type="dxa"/>
            <w:vAlign w:val="center"/>
          </w:tcPr>
          <w:p w14:paraId="2F7A39A1" w14:textId="77777777" w:rsidR="00D316B0" w:rsidRPr="00004A9A" w:rsidRDefault="00D316B0" w:rsidP="00D17369">
            <w:pPr>
              <w:pStyle w:val="BodyText"/>
              <w:spacing w:after="0"/>
              <w:jc w:val="center"/>
            </w:pPr>
            <w:r>
              <w:t>0.15</w:t>
            </w:r>
          </w:p>
        </w:tc>
      </w:tr>
      <w:tr w:rsidR="00D316B0" w:rsidRPr="00004A9A" w14:paraId="63419FB8" w14:textId="77777777" w:rsidTr="00D17369">
        <w:trPr>
          <w:trHeight w:val="288"/>
          <w:jc w:val="center"/>
        </w:trPr>
        <w:tc>
          <w:tcPr>
            <w:tcW w:w="1098" w:type="dxa"/>
            <w:vAlign w:val="center"/>
          </w:tcPr>
          <w:p w14:paraId="7E70BE07" w14:textId="77777777" w:rsidR="00D316B0" w:rsidRPr="00004A9A" w:rsidRDefault="00D316B0" w:rsidP="00D17369">
            <w:pPr>
              <w:pStyle w:val="BodyText"/>
              <w:spacing w:after="0"/>
              <w:jc w:val="center"/>
            </w:pPr>
            <w:r w:rsidRPr="00004A9A">
              <w:t>HMA</w:t>
            </w:r>
          </w:p>
        </w:tc>
        <w:tc>
          <w:tcPr>
            <w:tcW w:w="2947" w:type="dxa"/>
            <w:vAlign w:val="center"/>
          </w:tcPr>
          <w:p w14:paraId="4637203B" w14:textId="77777777" w:rsidR="00D316B0" w:rsidRPr="00004A9A" w:rsidRDefault="00D316B0" w:rsidP="00D17369">
            <w:pPr>
              <w:pStyle w:val="BodyText"/>
              <w:spacing w:after="0"/>
              <w:jc w:val="center"/>
            </w:pPr>
            <w:r w:rsidRPr="00004A9A">
              <w:t>Preventive Maintenance</w:t>
            </w:r>
          </w:p>
        </w:tc>
        <w:tc>
          <w:tcPr>
            <w:tcW w:w="2340" w:type="dxa"/>
            <w:vAlign w:val="center"/>
          </w:tcPr>
          <w:p w14:paraId="4BDC63DB" w14:textId="77777777" w:rsidR="00D316B0" w:rsidRPr="00004A9A" w:rsidRDefault="00D316B0" w:rsidP="00D17369">
            <w:pPr>
              <w:pStyle w:val="BodyText"/>
              <w:spacing w:after="0"/>
              <w:jc w:val="center"/>
            </w:pPr>
            <w:r>
              <w:t>Design only if micro</w:t>
            </w:r>
            <w:r w:rsidR="004D4F2E">
              <w:t>-</w:t>
            </w:r>
            <w:r>
              <w:t>surfacing</w:t>
            </w:r>
          </w:p>
        </w:tc>
        <w:tc>
          <w:tcPr>
            <w:tcW w:w="2093" w:type="dxa"/>
            <w:vAlign w:val="center"/>
          </w:tcPr>
          <w:p w14:paraId="60EF9C07" w14:textId="537189BD" w:rsidR="00D316B0" w:rsidRPr="00004A9A" w:rsidRDefault="00D316B0" w:rsidP="00D17369">
            <w:pPr>
              <w:pStyle w:val="BodyText"/>
              <w:spacing w:after="0"/>
              <w:jc w:val="center"/>
            </w:pPr>
            <w:r>
              <w:t>0.15 to Existing</w:t>
            </w:r>
            <w:r w:rsidR="00D038D3" w:rsidRPr="00D038D3">
              <w:rPr>
                <w:vertAlign w:val="superscript"/>
              </w:rPr>
              <w:t>3</w:t>
            </w:r>
          </w:p>
        </w:tc>
      </w:tr>
      <w:tr w:rsidR="00D316B0" w:rsidRPr="00004A9A" w14:paraId="204CB6D2" w14:textId="77777777" w:rsidTr="00D17369">
        <w:trPr>
          <w:trHeight w:val="288"/>
          <w:jc w:val="center"/>
        </w:trPr>
        <w:tc>
          <w:tcPr>
            <w:tcW w:w="1098" w:type="dxa"/>
            <w:vAlign w:val="center"/>
          </w:tcPr>
          <w:p w14:paraId="67993440" w14:textId="77777777" w:rsidR="00D316B0" w:rsidRPr="00004A9A" w:rsidRDefault="00D316B0" w:rsidP="00D17369">
            <w:pPr>
              <w:pStyle w:val="BodyText"/>
              <w:spacing w:after="0"/>
              <w:jc w:val="center"/>
            </w:pPr>
            <w:r w:rsidRPr="00004A9A">
              <w:t>PCC</w:t>
            </w:r>
          </w:p>
        </w:tc>
        <w:tc>
          <w:tcPr>
            <w:tcW w:w="2947" w:type="dxa"/>
            <w:vAlign w:val="center"/>
          </w:tcPr>
          <w:p w14:paraId="7B76765B" w14:textId="77777777" w:rsidR="00D316B0" w:rsidRPr="00004A9A" w:rsidRDefault="00D316B0" w:rsidP="00D17369">
            <w:pPr>
              <w:pStyle w:val="BodyText"/>
              <w:spacing w:after="0"/>
              <w:jc w:val="center"/>
            </w:pPr>
            <w:r w:rsidRPr="00004A9A">
              <w:t>New, Major Rehabilitation</w:t>
            </w:r>
          </w:p>
        </w:tc>
        <w:tc>
          <w:tcPr>
            <w:tcW w:w="2340" w:type="dxa"/>
            <w:vAlign w:val="center"/>
          </w:tcPr>
          <w:p w14:paraId="0AA76B9C" w14:textId="77777777" w:rsidR="00D316B0" w:rsidRPr="00004A9A" w:rsidRDefault="00D316B0" w:rsidP="00D17369">
            <w:pPr>
              <w:pStyle w:val="BodyText"/>
              <w:spacing w:after="0"/>
              <w:jc w:val="center"/>
            </w:pPr>
            <w:r>
              <w:t>NA – do not design for</w:t>
            </w:r>
          </w:p>
        </w:tc>
        <w:tc>
          <w:tcPr>
            <w:tcW w:w="2093" w:type="dxa"/>
            <w:vAlign w:val="center"/>
          </w:tcPr>
          <w:p w14:paraId="53D7FE89" w14:textId="77777777" w:rsidR="00D316B0" w:rsidRPr="00004A9A" w:rsidRDefault="00D316B0" w:rsidP="00D17369">
            <w:pPr>
              <w:pStyle w:val="BodyText"/>
              <w:spacing w:after="0"/>
              <w:jc w:val="center"/>
            </w:pPr>
            <w:r>
              <w:t>NA</w:t>
            </w:r>
          </w:p>
        </w:tc>
      </w:tr>
      <w:tr w:rsidR="00D316B0" w:rsidRPr="00004A9A" w14:paraId="0088BE97" w14:textId="77777777" w:rsidTr="00D17369">
        <w:trPr>
          <w:trHeight w:val="288"/>
          <w:jc w:val="center"/>
        </w:trPr>
        <w:tc>
          <w:tcPr>
            <w:tcW w:w="1098" w:type="dxa"/>
            <w:vAlign w:val="center"/>
          </w:tcPr>
          <w:p w14:paraId="3A0E6317" w14:textId="77777777" w:rsidR="00D316B0" w:rsidRPr="00004A9A" w:rsidRDefault="00D316B0" w:rsidP="00D17369">
            <w:pPr>
              <w:pStyle w:val="BodyText"/>
              <w:spacing w:after="0"/>
              <w:jc w:val="center"/>
            </w:pPr>
            <w:r w:rsidRPr="00004A9A">
              <w:t>PCC</w:t>
            </w:r>
          </w:p>
        </w:tc>
        <w:tc>
          <w:tcPr>
            <w:tcW w:w="2947" w:type="dxa"/>
            <w:vAlign w:val="center"/>
          </w:tcPr>
          <w:p w14:paraId="54FC4A29" w14:textId="77777777" w:rsidR="00D316B0" w:rsidRPr="00004A9A" w:rsidRDefault="00D316B0" w:rsidP="00D17369">
            <w:pPr>
              <w:pStyle w:val="BodyText"/>
              <w:spacing w:after="0"/>
              <w:jc w:val="center"/>
            </w:pPr>
            <w:r w:rsidRPr="00004A9A">
              <w:t>Structural Overlay, Minor Rehabilitation</w:t>
            </w:r>
          </w:p>
        </w:tc>
        <w:tc>
          <w:tcPr>
            <w:tcW w:w="2340" w:type="dxa"/>
            <w:vAlign w:val="center"/>
          </w:tcPr>
          <w:p w14:paraId="6DB5FACE" w14:textId="77777777" w:rsidR="00D316B0" w:rsidRPr="00004A9A" w:rsidRDefault="00D316B0" w:rsidP="00D17369">
            <w:pPr>
              <w:pStyle w:val="BodyText"/>
              <w:spacing w:after="0"/>
              <w:jc w:val="center"/>
            </w:pPr>
            <w:r>
              <w:t>NA – do not design for</w:t>
            </w:r>
          </w:p>
        </w:tc>
        <w:tc>
          <w:tcPr>
            <w:tcW w:w="2093" w:type="dxa"/>
            <w:vAlign w:val="center"/>
          </w:tcPr>
          <w:p w14:paraId="7963B0F6" w14:textId="77777777" w:rsidR="00D316B0" w:rsidRPr="00004A9A" w:rsidRDefault="00D316B0" w:rsidP="00D17369">
            <w:pPr>
              <w:pStyle w:val="BodyText"/>
              <w:spacing w:after="0"/>
              <w:jc w:val="center"/>
            </w:pPr>
            <w:r>
              <w:t>NA</w:t>
            </w:r>
          </w:p>
        </w:tc>
      </w:tr>
      <w:tr w:rsidR="00D316B0" w:rsidRPr="00004A9A" w14:paraId="342BFD67" w14:textId="77777777" w:rsidTr="00D17369">
        <w:trPr>
          <w:trHeight w:val="288"/>
          <w:jc w:val="center"/>
        </w:trPr>
        <w:tc>
          <w:tcPr>
            <w:tcW w:w="1098" w:type="dxa"/>
            <w:vAlign w:val="center"/>
          </w:tcPr>
          <w:p w14:paraId="190445A7" w14:textId="77777777" w:rsidR="00D316B0" w:rsidRPr="00004A9A" w:rsidRDefault="00D316B0" w:rsidP="00D17369">
            <w:pPr>
              <w:pStyle w:val="BodyText"/>
              <w:spacing w:after="0"/>
              <w:jc w:val="center"/>
            </w:pPr>
            <w:r w:rsidRPr="00004A9A">
              <w:t>PCC</w:t>
            </w:r>
          </w:p>
        </w:tc>
        <w:tc>
          <w:tcPr>
            <w:tcW w:w="2947" w:type="dxa"/>
            <w:vAlign w:val="center"/>
          </w:tcPr>
          <w:p w14:paraId="53F0E43F" w14:textId="77777777" w:rsidR="00D316B0" w:rsidRPr="00004A9A" w:rsidRDefault="00D316B0" w:rsidP="00D17369">
            <w:pPr>
              <w:pStyle w:val="BodyText"/>
              <w:spacing w:after="0"/>
              <w:jc w:val="center"/>
            </w:pPr>
            <w:r w:rsidRPr="00004A9A">
              <w:t>Preventive Maintenance</w:t>
            </w:r>
          </w:p>
        </w:tc>
        <w:tc>
          <w:tcPr>
            <w:tcW w:w="2340" w:type="dxa"/>
            <w:vAlign w:val="center"/>
          </w:tcPr>
          <w:p w14:paraId="5B711C4A" w14:textId="77777777" w:rsidR="00D316B0" w:rsidRPr="00004A9A" w:rsidRDefault="00D316B0" w:rsidP="00D17369">
            <w:pPr>
              <w:pStyle w:val="BodyText"/>
              <w:spacing w:after="0"/>
              <w:jc w:val="center"/>
            </w:pPr>
            <w:r>
              <w:t>NA – do not design for</w:t>
            </w:r>
          </w:p>
        </w:tc>
        <w:tc>
          <w:tcPr>
            <w:tcW w:w="2093" w:type="dxa"/>
            <w:vAlign w:val="center"/>
          </w:tcPr>
          <w:p w14:paraId="1D572B7C" w14:textId="77777777" w:rsidR="00D316B0" w:rsidRPr="00004A9A" w:rsidRDefault="00D316B0" w:rsidP="00D17369">
            <w:pPr>
              <w:pStyle w:val="BodyText"/>
              <w:spacing w:after="0"/>
              <w:jc w:val="center"/>
            </w:pPr>
            <w:r>
              <w:t>NA</w:t>
            </w:r>
          </w:p>
        </w:tc>
      </w:tr>
    </w:tbl>
    <w:p w14:paraId="16A52B97" w14:textId="77777777" w:rsidR="00D316B0" w:rsidRPr="00D17369" w:rsidRDefault="00D316B0" w:rsidP="00E37217">
      <w:pPr>
        <w:pStyle w:val="BodyText"/>
        <w:spacing w:after="0"/>
        <w:rPr>
          <w:sz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2947"/>
        <w:gridCol w:w="2340"/>
        <w:gridCol w:w="2093"/>
      </w:tblGrid>
      <w:tr w:rsidR="00D316B0" w:rsidRPr="00004A9A" w14:paraId="4A8C8CAA" w14:textId="77777777" w:rsidTr="00D17369">
        <w:trPr>
          <w:trHeight w:val="288"/>
          <w:jc w:val="center"/>
        </w:trPr>
        <w:tc>
          <w:tcPr>
            <w:tcW w:w="1098" w:type="dxa"/>
            <w:shd w:val="pct15" w:color="auto" w:fill="FFFFFF"/>
            <w:vAlign w:val="center"/>
          </w:tcPr>
          <w:p w14:paraId="3588E4D8" w14:textId="77777777" w:rsidR="00D316B0" w:rsidRPr="00004A9A" w:rsidRDefault="00D316B0" w:rsidP="00E37217">
            <w:pPr>
              <w:pStyle w:val="BodyText"/>
              <w:spacing w:after="0"/>
              <w:jc w:val="center"/>
              <w:rPr>
                <w:b/>
              </w:rPr>
            </w:pPr>
            <w:r w:rsidRPr="00004A9A">
              <w:rPr>
                <w:b/>
              </w:rPr>
              <w:t>Final Surface Material</w:t>
            </w:r>
          </w:p>
        </w:tc>
        <w:tc>
          <w:tcPr>
            <w:tcW w:w="2947" w:type="dxa"/>
            <w:shd w:val="pct15" w:color="auto" w:fill="FFFFFF"/>
            <w:vAlign w:val="center"/>
          </w:tcPr>
          <w:p w14:paraId="5FC004BD" w14:textId="77777777" w:rsidR="00D316B0" w:rsidRPr="00004A9A" w:rsidRDefault="00D316B0" w:rsidP="00E37217">
            <w:pPr>
              <w:pStyle w:val="BodyText"/>
              <w:spacing w:after="0"/>
              <w:jc w:val="center"/>
              <w:rPr>
                <w:b/>
              </w:rPr>
            </w:pPr>
            <w:r w:rsidRPr="00004A9A">
              <w:rPr>
                <w:b/>
              </w:rPr>
              <w:t>Type of Construction</w:t>
            </w:r>
          </w:p>
        </w:tc>
        <w:tc>
          <w:tcPr>
            <w:tcW w:w="2340" w:type="dxa"/>
            <w:shd w:val="pct15" w:color="auto" w:fill="FFFFFF"/>
            <w:vAlign w:val="center"/>
          </w:tcPr>
          <w:p w14:paraId="6482B16E" w14:textId="77777777" w:rsidR="00D316B0" w:rsidRPr="00004A9A" w:rsidRDefault="00D316B0" w:rsidP="00E37217">
            <w:pPr>
              <w:pStyle w:val="BodyText"/>
              <w:spacing w:after="0"/>
              <w:jc w:val="center"/>
              <w:rPr>
                <w:b/>
              </w:rPr>
            </w:pPr>
            <w:r>
              <w:rPr>
                <w:b/>
              </w:rPr>
              <w:t>Threshold to Design for</w:t>
            </w:r>
            <w:r w:rsidRPr="00004A9A">
              <w:rPr>
                <w:b/>
              </w:rPr>
              <w:t xml:space="preserve"> Skid Number</w:t>
            </w:r>
          </w:p>
        </w:tc>
        <w:tc>
          <w:tcPr>
            <w:tcW w:w="2093" w:type="dxa"/>
            <w:shd w:val="pct15" w:color="auto" w:fill="FFFFFF"/>
            <w:vAlign w:val="center"/>
          </w:tcPr>
          <w:p w14:paraId="04DDC2F3" w14:textId="77777777" w:rsidR="00D316B0" w:rsidRPr="00004A9A" w:rsidRDefault="00D316B0" w:rsidP="00E37217">
            <w:pPr>
              <w:pStyle w:val="BodyText"/>
              <w:spacing w:after="0"/>
              <w:jc w:val="center"/>
              <w:rPr>
                <w:b/>
              </w:rPr>
            </w:pPr>
            <w:r w:rsidRPr="00004A9A">
              <w:rPr>
                <w:b/>
              </w:rPr>
              <w:t>Initial Skid Number</w:t>
            </w:r>
          </w:p>
        </w:tc>
      </w:tr>
      <w:tr w:rsidR="00D316B0" w:rsidRPr="00004A9A" w14:paraId="6C058086" w14:textId="77777777" w:rsidTr="00D17369">
        <w:trPr>
          <w:trHeight w:val="288"/>
          <w:jc w:val="center"/>
        </w:trPr>
        <w:tc>
          <w:tcPr>
            <w:tcW w:w="1098" w:type="dxa"/>
            <w:vAlign w:val="center"/>
          </w:tcPr>
          <w:p w14:paraId="0CFD2BEE" w14:textId="77777777" w:rsidR="00D316B0" w:rsidRPr="00004A9A" w:rsidRDefault="00D316B0" w:rsidP="00D17369">
            <w:pPr>
              <w:pStyle w:val="BodyText"/>
              <w:spacing w:after="0"/>
              <w:jc w:val="center"/>
            </w:pPr>
            <w:r w:rsidRPr="00004A9A">
              <w:t>HMA</w:t>
            </w:r>
          </w:p>
        </w:tc>
        <w:tc>
          <w:tcPr>
            <w:tcW w:w="2947" w:type="dxa"/>
            <w:vAlign w:val="center"/>
          </w:tcPr>
          <w:p w14:paraId="678AF897" w14:textId="77777777" w:rsidR="00D316B0" w:rsidRPr="00004A9A" w:rsidRDefault="00D316B0" w:rsidP="00D17369">
            <w:pPr>
              <w:pStyle w:val="BodyText"/>
              <w:spacing w:after="0"/>
              <w:jc w:val="center"/>
            </w:pPr>
            <w:r w:rsidRPr="00004A9A">
              <w:t>New, Major Rehabilitation</w:t>
            </w:r>
          </w:p>
        </w:tc>
        <w:tc>
          <w:tcPr>
            <w:tcW w:w="2340" w:type="dxa"/>
            <w:vAlign w:val="center"/>
          </w:tcPr>
          <w:p w14:paraId="596F9C5C" w14:textId="530683FA" w:rsidR="00D316B0" w:rsidRPr="00004A9A" w:rsidRDefault="007205B3" w:rsidP="00D17369">
            <w:pPr>
              <w:pStyle w:val="BodyText"/>
              <w:spacing w:after="0"/>
              <w:jc w:val="center"/>
            </w:pPr>
            <w:r>
              <w:t xml:space="preserve">Always </w:t>
            </w:r>
            <w:r w:rsidR="00D316B0">
              <w:t>Design</w:t>
            </w:r>
          </w:p>
        </w:tc>
        <w:tc>
          <w:tcPr>
            <w:tcW w:w="2093" w:type="dxa"/>
            <w:vAlign w:val="center"/>
          </w:tcPr>
          <w:p w14:paraId="29CE57A8" w14:textId="77777777" w:rsidR="00D316B0" w:rsidRPr="00004A9A" w:rsidRDefault="00A24668" w:rsidP="00D17369">
            <w:pPr>
              <w:pStyle w:val="BodyText"/>
              <w:spacing w:after="0"/>
              <w:jc w:val="center"/>
            </w:pPr>
            <w:r>
              <w:t>See Following Chart</w:t>
            </w:r>
          </w:p>
        </w:tc>
      </w:tr>
      <w:tr w:rsidR="00A24668" w:rsidRPr="00004A9A" w14:paraId="4F8E975D" w14:textId="77777777" w:rsidTr="00D17369">
        <w:trPr>
          <w:trHeight w:val="288"/>
          <w:jc w:val="center"/>
        </w:trPr>
        <w:tc>
          <w:tcPr>
            <w:tcW w:w="1098" w:type="dxa"/>
            <w:vAlign w:val="center"/>
          </w:tcPr>
          <w:p w14:paraId="2A20933C" w14:textId="77777777" w:rsidR="00A24668" w:rsidRPr="00004A9A" w:rsidRDefault="00A24668" w:rsidP="00D17369">
            <w:pPr>
              <w:pStyle w:val="BodyText"/>
              <w:spacing w:after="0"/>
              <w:jc w:val="center"/>
            </w:pPr>
            <w:r w:rsidRPr="00004A9A">
              <w:t>HMA</w:t>
            </w:r>
          </w:p>
        </w:tc>
        <w:tc>
          <w:tcPr>
            <w:tcW w:w="2947" w:type="dxa"/>
            <w:vAlign w:val="center"/>
          </w:tcPr>
          <w:p w14:paraId="3EBD36B2" w14:textId="77777777" w:rsidR="00A24668" w:rsidRPr="00004A9A" w:rsidRDefault="00A24668" w:rsidP="00D17369">
            <w:pPr>
              <w:pStyle w:val="BodyText"/>
              <w:spacing w:after="0"/>
              <w:jc w:val="center"/>
            </w:pPr>
            <w:r w:rsidRPr="00004A9A">
              <w:t>Structural Overlay, Minor Rehabilitation</w:t>
            </w:r>
          </w:p>
        </w:tc>
        <w:tc>
          <w:tcPr>
            <w:tcW w:w="2340" w:type="dxa"/>
            <w:vAlign w:val="center"/>
          </w:tcPr>
          <w:p w14:paraId="7BE81298" w14:textId="33E85ECE" w:rsidR="00A24668" w:rsidRPr="00004A9A" w:rsidRDefault="007205B3" w:rsidP="00D17369">
            <w:pPr>
              <w:pStyle w:val="BodyText"/>
              <w:spacing w:after="0"/>
              <w:jc w:val="center"/>
            </w:pPr>
            <w:r>
              <w:t xml:space="preserve">Always </w:t>
            </w:r>
            <w:r w:rsidR="00A24668">
              <w:t>Design</w:t>
            </w:r>
          </w:p>
        </w:tc>
        <w:tc>
          <w:tcPr>
            <w:tcW w:w="2093" w:type="dxa"/>
            <w:vAlign w:val="center"/>
          </w:tcPr>
          <w:p w14:paraId="111E3972" w14:textId="77777777" w:rsidR="00A24668" w:rsidRPr="00004A9A" w:rsidRDefault="00A24668" w:rsidP="00D17369">
            <w:pPr>
              <w:pStyle w:val="BodyText"/>
              <w:spacing w:after="0"/>
              <w:jc w:val="center"/>
            </w:pPr>
            <w:r>
              <w:t>See Following Chart</w:t>
            </w:r>
          </w:p>
        </w:tc>
      </w:tr>
      <w:tr w:rsidR="00A24668" w:rsidRPr="00004A9A" w14:paraId="4582CD46" w14:textId="77777777" w:rsidTr="00D17369">
        <w:trPr>
          <w:trHeight w:val="288"/>
          <w:jc w:val="center"/>
        </w:trPr>
        <w:tc>
          <w:tcPr>
            <w:tcW w:w="1098" w:type="dxa"/>
            <w:vAlign w:val="center"/>
          </w:tcPr>
          <w:p w14:paraId="2C51B988" w14:textId="77777777" w:rsidR="00A24668" w:rsidRPr="00004A9A" w:rsidRDefault="00A24668" w:rsidP="00E37217">
            <w:pPr>
              <w:pStyle w:val="BodyText"/>
              <w:spacing w:after="0"/>
              <w:jc w:val="center"/>
            </w:pPr>
            <w:r w:rsidRPr="00004A9A">
              <w:t>HMA</w:t>
            </w:r>
          </w:p>
        </w:tc>
        <w:tc>
          <w:tcPr>
            <w:tcW w:w="2947" w:type="dxa"/>
            <w:vAlign w:val="center"/>
          </w:tcPr>
          <w:p w14:paraId="56475BB7" w14:textId="77777777" w:rsidR="00A24668" w:rsidRPr="00004A9A" w:rsidRDefault="00A24668" w:rsidP="00E37217">
            <w:pPr>
              <w:pStyle w:val="BodyText"/>
              <w:spacing w:after="0"/>
              <w:jc w:val="center"/>
            </w:pPr>
            <w:r w:rsidRPr="00004A9A">
              <w:t>Preventive Maintenance</w:t>
            </w:r>
          </w:p>
        </w:tc>
        <w:tc>
          <w:tcPr>
            <w:tcW w:w="2340" w:type="dxa"/>
            <w:vAlign w:val="center"/>
          </w:tcPr>
          <w:p w14:paraId="0A9655FF" w14:textId="57027799" w:rsidR="00A24668" w:rsidRPr="00004A9A" w:rsidRDefault="00A24668" w:rsidP="00E37217">
            <w:pPr>
              <w:pStyle w:val="BodyText"/>
              <w:spacing w:after="0"/>
              <w:jc w:val="center"/>
            </w:pPr>
            <w:r>
              <w:t>Design if</w:t>
            </w:r>
            <w:r w:rsidR="007205B3">
              <w:t xml:space="preserve"> affects skid</w:t>
            </w:r>
          </w:p>
        </w:tc>
        <w:tc>
          <w:tcPr>
            <w:tcW w:w="2093" w:type="dxa"/>
            <w:vAlign w:val="center"/>
          </w:tcPr>
          <w:p w14:paraId="446DDB4C" w14:textId="4BBA9DFF" w:rsidR="00A24668" w:rsidRPr="00004A9A" w:rsidRDefault="0084504C" w:rsidP="00D17369">
            <w:pPr>
              <w:pStyle w:val="BodyText"/>
              <w:jc w:val="center"/>
            </w:pPr>
            <w:r>
              <w:t>See Following Chart</w:t>
            </w:r>
            <w:r w:rsidR="00D038D3" w:rsidRPr="00D038D3">
              <w:rPr>
                <w:vertAlign w:val="superscript"/>
              </w:rPr>
              <w:t>4</w:t>
            </w:r>
          </w:p>
        </w:tc>
      </w:tr>
      <w:tr w:rsidR="007205B3" w:rsidRPr="00004A9A" w14:paraId="0B269DD5" w14:textId="77777777" w:rsidTr="00D17369">
        <w:trPr>
          <w:trHeight w:val="288"/>
          <w:jc w:val="center"/>
        </w:trPr>
        <w:tc>
          <w:tcPr>
            <w:tcW w:w="1098" w:type="dxa"/>
            <w:vAlign w:val="center"/>
          </w:tcPr>
          <w:p w14:paraId="4609C807" w14:textId="77777777" w:rsidR="007205B3" w:rsidRPr="00004A9A" w:rsidRDefault="007205B3" w:rsidP="007205B3">
            <w:pPr>
              <w:pStyle w:val="BodyText"/>
              <w:spacing w:after="0"/>
              <w:jc w:val="center"/>
            </w:pPr>
            <w:r w:rsidRPr="00004A9A">
              <w:t>PCC</w:t>
            </w:r>
          </w:p>
        </w:tc>
        <w:tc>
          <w:tcPr>
            <w:tcW w:w="2947" w:type="dxa"/>
            <w:vAlign w:val="center"/>
          </w:tcPr>
          <w:p w14:paraId="004B86F8" w14:textId="77777777" w:rsidR="007205B3" w:rsidRPr="00004A9A" w:rsidRDefault="007205B3" w:rsidP="007205B3">
            <w:pPr>
              <w:pStyle w:val="BodyText"/>
              <w:spacing w:after="0"/>
              <w:jc w:val="center"/>
            </w:pPr>
            <w:r w:rsidRPr="00004A9A">
              <w:t>New, Major Rehabilitation</w:t>
            </w:r>
          </w:p>
        </w:tc>
        <w:tc>
          <w:tcPr>
            <w:tcW w:w="2340" w:type="dxa"/>
            <w:vAlign w:val="center"/>
          </w:tcPr>
          <w:p w14:paraId="6C858413" w14:textId="53F0CD66" w:rsidR="007205B3" w:rsidRPr="00004A9A" w:rsidRDefault="007205B3" w:rsidP="007205B3">
            <w:pPr>
              <w:pStyle w:val="BodyText"/>
              <w:spacing w:after="0"/>
              <w:jc w:val="center"/>
            </w:pPr>
            <w:r>
              <w:t>Always Design</w:t>
            </w:r>
          </w:p>
        </w:tc>
        <w:tc>
          <w:tcPr>
            <w:tcW w:w="2093" w:type="dxa"/>
            <w:vAlign w:val="center"/>
          </w:tcPr>
          <w:p w14:paraId="5928BEA5" w14:textId="77777777" w:rsidR="007205B3" w:rsidRPr="00004A9A" w:rsidRDefault="007205B3" w:rsidP="007205B3">
            <w:pPr>
              <w:pStyle w:val="BodyText"/>
              <w:spacing w:after="0"/>
              <w:jc w:val="center"/>
            </w:pPr>
            <w:r>
              <w:t>See Following Chart</w:t>
            </w:r>
          </w:p>
        </w:tc>
      </w:tr>
      <w:tr w:rsidR="007205B3" w:rsidRPr="00004A9A" w14:paraId="1C8F0FDA" w14:textId="77777777" w:rsidTr="00D17369">
        <w:trPr>
          <w:trHeight w:val="288"/>
          <w:jc w:val="center"/>
        </w:trPr>
        <w:tc>
          <w:tcPr>
            <w:tcW w:w="1098" w:type="dxa"/>
            <w:vAlign w:val="center"/>
          </w:tcPr>
          <w:p w14:paraId="63819858" w14:textId="77777777" w:rsidR="007205B3" w:rsidRPr="00004A9A" w:rsidRDefault="007205B3" w:rsidP="007205B3">
            <w:pPr>
              <w:pStyle w:val="BodyText"/>
              <w:spacing w:after="0"/>
              <w:jc w:val="center"/>
            </w:pPr>
            <w:r w:rsidRPr="00004A9A">
              <w:t>PCC</w:t>
            </w:r>
          </w:p>
        </w:tc>
        <w:tc>
          <w:tcPr>
            <w:tcW w:w="2947" w:type="dxa"/>
            <w:vAlign w:val="center"/>
          </w:tcPr>
          <w:p w14:paraId="7DBE48FF" w14:textId="77777777" w:rsidR="007205B3" w:rsidRPr="00004A9A" w:rsidRDefault="007205B3" w:rsidP="007205B3">
            <w:pPr>
              <w:pStyle w:val="BodyText"/>
              <w:spacing w:after="0"/>
              <w:jc w:val="center"/>
            </w:pPr>
            <w:r w:rsidRPr="00004A9A">
              <w:t>Structural Overlay, Minor Rehabilitation</w:t>
            </w:r>
          </w:p>
        </w:tc>
        <w:tc>
          <w:tcPr>
            <w:tcW w:w="2340" w:type="dxa"/>
            <w:vAlign w:val="center"/>
          </w:tcPr>
          <w:p w14:paraId="08036776" w14:textId="4686B337" w:rsidR="007205B3" w:rsidRPr="00004A9A" w:rsidRDefault="007205B3" w:rsidP="007205B3">
            <w:pPr>
              <w:pStyle w:val="BodyText"/>
              <w:spacing w:after="0"/>
              <w:jc w:val="center"/>
            </w:pPr>
            <w:r>
              <w:t>Always Design</w:t>
            </w:r>
          </w:p>
        </w:tc>
        <w:tc>
          <w:tcPr>
            <w:tcW w:w="2093" w:type="dxa"/>
            <w:vAlign w:val="center"/>
          </w:tcPr>
          <w:p w14:paraId="05A4C10F" w14:textId="77777777" w:rsidR="007205B3" w:rsidRPr="00004A9A" w:rsidRDefault="007205B3" w:rsidP="007205B3">
            <w:pPr>
              <w:pStyle w:val="BodyText"/>
              <w:spacing w:after="0"/>
              <w:jc w:val="center"/>
            </w:pPr>
            <w:r>
              <w:t>See Following Chart</w:t>
            </w:r>
          </w:p>
        </w:tc>
      </w:tr>
      <w:tr w:rsidR="007205B3" w:rsidRPr="007749B2" w14:paraId="15325C62" w14:textId="77777777" w:rsidTr="00D17369">
        <w:trPr>
          <w:trHeight w:val="288"/>
          <w:jc w:val="center"/>
        </w:trPr>
        <w:tc>
          <w:tcPr>
            <w:tcW w:w="1098" w:type="dxa"/>
            <w:vAlign w:val="center"/>
          </w:tcPr>
          <w:p w14:paraId="375FE8E6" w14:textId="77777777" w:rsidR="007205B3" w:rsidRPr="007749B2" w:rsidRDefault="007205B3" w:rsidP="007205B3">
            <w:pPr>
              <w:pStyle w:val="BodyText"/>
              <w:spacing w:after="0"/>
              <w:jc w:val="center"/>
            </w:pPr>
            <w:r w:rsidRPr="007749B2">
              <w:t>PCC</w:t>
            </w:r>
          </w:p>
        </w:tc>
        <w:tc>
          <w:tcPr>
            <w:tcW w:w="2947" w:type="dxa"/>
            <w:vAlign w:val="center"/>
          </w:tcPr>
          <w:p w14:paraId="75769D10" w14:textId="77777777" w:rsidR="007205B3" w:rsidRPr="007749B2" w:rsidRDefault="007205B3" w:rsidP="007205B3">
            <w:pPr>
              <w:pStyle w:val="BodyText"/>
              <w:spacing w:after="0"/>
              <w:jc w:val="center"/>
            </w:pPr>
            <w:r w:rsidRPr="007749B2">
              <w:t>Preventive Maintenance</w:t>
            </w:r>
          </w:p>
        </w:tc>
        <w:tc>
          <w:tcPr>
            <w:tcW w:w="2340" w:type="dxa"/>
            <w:vAlign w:val="center"/>
          </w:tcPr>
          <w:p w14:paraId="62746306" w14:textId="6F746F20" w:rsidR="007205B3" w:rsidRPr="007749B2" w:rsidRDefault="007205B3" w:rsidP="007205B3">
            <w:pPr>
              <w:pStyle w:val="BodyText"/>
              <w:spacing w:after="0"/>
              <w:jc w:val="center"/>
            </w:pPr>
            <w:r>
              <w:t>Design if affects skid</w:t>
            </w:r>
          </w:p>
        </w:tc>
        <w:tc>
          <w:tcPr>
            <w:tcW w:w="2093" w:type="dxa"/>
            <w:vAlign w:val="center"/>
          </w:tcPr>
          <w:p w14:paraId="2607D2E5" w14:textId="048339CF" w:rsidR="007205B3" w:rsidRPr="007749B2" w:rsidRDefault="007205B3" w:rsidP="007205B3">
            <w:pPr>
              <w:pStyle w:val="BodyText"/>
              <w:spacing w:after="0"/>
              <w:jc w:val="center"/>
            </w:pPr>
            <w:r>
              <w:t xml:space="preserve">See Following </w:t>
            </w:r>
            <w:proofErr w:type="spellStart"/>
            <w:r w:rsidRPr="00AD6741">
              <w:t>Chart</w:t>
            </w:r>
            <w:r w:rsidRPr="00AD6741">
              <w:rPr>
                <w:vertAlign w:val="superscript"/>
              </w:rPr>
              <w:fldChar w:fldCharType="begin"/>
            </w:r>
            <w:r w:rsidRPr="00AD6741">
              <w:rPr>
                <w:vertAlign w:val="superscript"/>
              </w:rPr>
              <w:instrText xml:space="preserve"> NOTEREF _Ref295474593 \h  \* MERGEFORMAT </w:instrText>
            </w:r>
            <w:r w:rsidRPr="00AD6741">
              <w:rPr>
                <w:vertAlign w:val="superscript"/>
              </w:rPr>
            </w:r>
            <w:r w:rsidRPr="00AD6741">
              <w:rPr>
                <w:vertAlign w:val="superscript"/>
              </w:rPr>
              <w:fldChar w:fldCharType="separate"/>
            </w:r>
            <w:r w:rsidR="00624A9D">
              <w:rPr>
                <w:b/>
                <w:bCs/>
                <w:vertAlign w:val="superscript"/>
              </w:rPr>
              <w:t>Error</w:t>
            </w:r>
            <w:proofErr w:type="spellEnd"/>
            <w:r w:rsidR="00624A9D">
              <w:rPr>
                <w:b/>
                <w:bCs/>
                <w:vertAlign w:val="superscript"/>
              </w:rPr>
              <w:t>! Bookmark not defined.</w:t>
            </w:r>
            <w:r w:rsidRPr="00AD6741">
              <w:rPr>
                <w:vertAlign w:val="superscript"/>
              </w:rPr>
              <w:fldChar w:fldCharType="end"/>
            </w:r>
          </w:p>
        </w:tc>
      </w:tr>
    </w:tbl>
    <w:p w14:paraId="480ED020" w14:textId="5B2A0E3F" w:rsidR="00D316B0" w:rsidRPr="00F4125F" w:rsidRDefault="00F4125F" w:rsidP="00F4125F">
      <w:pPr>
        <w:pStyle w:val="BodyText"/>
        <w:ind w:left="900" w:hanging="720"/>
        <w:rPr>
          <w:sz w:val="18"/>
          <w:szCs w:val="18"/>
        </w:rPr>
      </w:pPr>
      <w:r w:rsidRPr="00F4125F">
        <w:rPr>
          <w:sz w:val="18"/>
          <w:szCs w:val="18"/>
        </w:rPr>
        <w:t>Note 4:</w:t>
      </w:r>
      <w:r w:rsidRPr="00F4125F">
        <w:rPr>
          <w:sz w:val="18"/>
          <w:szCs w:val="18"/>
        </w:rPr>
        <w:tab/>
        <w:t xml:space="preserve">Preventive Maintenance treatments may make friction worse or better, depending on the treatment.  Refer to </w:t>
      </w:r>
      <w:hyperlink w:anchor="_Supplemental_Treatment_Information_1" w:history="1">
        <w:r w:rsidR="007205B3" w:rsidRPr="007205B3">
          <w:rPr>
            <w:rStyle w:val="Hyperlink"/>
            <w:rFonts w:cs="Arial"/>
            <w:sz w:val="18"/>
            <w:szCs w:val="18"/>
          </w:rPr>
          <w:t>2.09</w:t>
        </w:r>
      </w:hyperlink>
      <w:r w:rsidRPr="00F4125F">
        <w:rPr>
          <w:sz w:val="18"/>
          <w:szCs w:val="18"/>
        </w:rPr>
        <w:t>.</w:t>
      </w:r>
    </w:p>
    <w:p w14:paraId="7B534220" w14:textId="2EB6178A" w:rsidR="00E92335" w:rsidRPr="00A13E0F" w:rsidRDefault="00A13E0F" w:rsidP="00D17369">
      <w:pPr>
        <w:pStyle w:val="BodyText"/>
        <w:spacing w:after="0"/>
        <w:rPr>
          <w:b/>
          <w:bCs/>
        </w:rPr>
      </w:pPr>
      <w:r>
        <w:tab/>
      </w:r>
      <w:r>
        <w:tab/>
      </w:r>
      <w:r>
        <w:tab/>
      </w:r>
      <w:r>
        <w:tab/>
      </w:r>
      <w:r>
        <w:tab/>
      </w:r>
      <w:r w:rsidRPr="00A13E0F">
        <w:rPr>
          <w:b/>
          <w:bCs/>
        </w:rPr>
        <w:t>FUNCTIONAL CLASS</w:t>
      </w:r>
    </w:p>
    <w:tbl>
      <w:tblPr>
        <w:tblStyle w:val="TableGrid"/>
        <w:tblW w:w="0" w:type="auto"/>
        <w:tblLook w:val="04A0" w:firstRow="1" w:lastRow="0" w:firstColumn="1" w:lastColumn="0" w:noHBand="0" w:noVBand="1"/>
      </w:tblPr>
      <w:tblGrid>
        <w:gridCol w:w="1905"/>
        <w:gridCol w:w="1756"/>
        <w:gridCol w:w="2205"/>
        <w:gridCol w:w="1424"/>
        <w:gridCol w:w="1340"/>
      </w:tblGrid>
      <w:tr w:rsidR="00A13E0F" w:rsidRPr="007749B2" w14:paraId="2ABDFD3C" w14:textId="77777777" w:rsidTr="00A13E0F">
        <w:trPr>
          <w:trHeight w:val="288"/>
        </w:trPr>
        <w:tc>
          <w:tcPr>
            <w:tcW w:w="1905" w:type="dxa"/>
            <w:shd w:val="pct15" w:color="auto" w:fill="auto"/>
            <w:vAlign w:val="center"/>
          </w:tcPr>
          <w:p w14:paraId="2A9A6D1A" w14:textId="7E7F459F" w:rsidR="00A13E0F" w:rsidRPr="00D17369" w:rsidRDefault="00A13E0F" w:rsidP="00A13E0F">
            <w:pPr>
              <w:pStyle w:val="BodyText"/>
              <w:spacing w:after="0"/>
              <w:jc w:val="center"/>
              <w:rPr>
                <w:b/>
              </w:rPr>
            </w:pPr>
            <w:bookmarkStart w:id="367" w:name="Initial_Friction_Values"/>
            <w:r w:rsidRPr="00D17369">
              <w:rPr>
                <w:b/>
              </w:rPr>
              <w:t>Initial Skid Values by Surface Material</w:t>
            </w:r>
            <w:bookmarkEnd w:id="367"/>
          </w:p>
        </w:tc>
        <w:tc>
          <w:tcPr>
            <w:tcW w:w="1756" w:type="dxa"/>
            <w:shd w:val="pct15" w:color="auto" w:fill="auto"/>
            <w:vAlign w:val="center"/>
          </w:tcPr>
          <w:p w14:paraId="01585391" w14:textId="77777777" w:rsidR="00A13E0F" w:rsidRPr="00D17369" w:rsidRDefault="00A13E0F" w:rsidP="00A13E0F">
            <w:pPr>
              <w:pStyle w:val="BodyText"/>
              <w:spacing w:after="0"/>
              <w:jc w:val="center"/>
              <w:rPr>
                <w:b/>
              </w:rPr>
            </w:pPr>
            <w:r w:rsidRPr="00D17369">
              <w:rPr>
                <w:b/>
              </w:rPr>
              <w:t>Urban Interstates, Freeways and Collectors (11,12,17)</w:t>
            </w:r>
          </w:p>
        </w:tc>
        <w:tc>
          <w:tcPr>
            <w:tcW w:w="2205" w:type="dxa"/>
            <w:shd w:val="pct15" w:color="auto" w:fill="auto"/>
            <w:vAlign w:val="center"/>
          </w:tcPr>
          <w:p w14:paraId="348AA257" w14:textId="20AB0964" w:rsidR="00A13E0F" w:rsidRPr="00D17369" w:rsidRDefault="00A13E0F" w:rsidP="00A13E0F">
            <w:pPr>
              <w:pStyle w:val="BodyText"/>
              <w:spacing w:after="0"/>
              <w:jc w:val="center"/>
              <w:rPr>
                <w:b/>
              </w:rPr>
            </w:pPr>
            <w:r w:rsidRPr="00D17369">
              <w:rPr>
                <w:b/>
              </w:rPr>
              <w:t>Rural Interstates, Arterials and Major Collectors; Urban Locals (1,2,</w:t>
            </w:r>
            <w:r>
              <w:rPr>
                <w:b/>
              </w:rPr>
              <w:t>3,</w:t>
            </w:r>
            <w:r w:rsidRPr="00D17369">
              <w:rPr>
                <w:b/>
              </w:rPr>
              <w:t>6,7,</w:t>
            </w:r>
            <w:r>
              <w:rPr>
                <w:b/>
              </w:rPr>
              <w:t>18,</w:t>
            </w:r>
            <w:r w:rsidRPr="00D17369">
              <w:rPr>
                <w:b/>
              </w:rPr>
              <w:t>19)</w:t>
            </w:r>
          </w:p>
        </w:tc>
        <w:tc>
          <w:tcPr>
            <w:tcW w:w="1424" w:type="dxa"/>
            <w:shd w:val="pct15" w:color="auto" w:fill="auto"/>
            <w:vAlign w:val="center"/>
          </w:tcPr>
          <w:p w14:paraId="4582B414" w14:textId="77777777" w:rsidR="00A13E0F" w:rsidRPr="00D17369" w:rsidRDefault="00A13E0F" w:rsidP="00A13E0F">
            <w:pPr>
              <w:pStyle w:val="BodyText"/>
              <w:spacing w:after="0"/>
              <w:jc w:val="center"/>
              <w:rPr>
                <w:b/>
              </w:rPr>
            </w:pPr>
            <w:r w:rsidRPr="00D17369">
              <w:rPr>
                <w:b/>
              </w:rPr>
              <w:t>Rural Minor Collectors and Locals (8,9)</w:t>
            </w:r>
          </w:p>
        </w:tc>
        <w:tc>
          <w:tcPr>
            <w:tcW w:w="1340" w:type="dxa"/>
            <w:shd w:val="pct15" w:color="auto" w:fill="auto"/>
            <w:vAlign w:val="center"/>
          </w:tcPr>
          <w:p w14:paraId="42434BC1" w14:textId="77777777" w:rsidR="00A13E0F" w:rsidRPr="00D17369" w:rsidRDefault="00A13E0F" w:rsidP="00A13E0F">
            <w:pPr>
              <w:pStyle w:val="BodyText"/>
              <w:spacing w:after="0"/>
              <w:jc w:val="center"/>
              <w:rPr>
                <w:b/>
              </w:rPr>
            </w:pPr>
            <w:r w:rsidRPr="00D17369">
              <w:rPr>
                <w:b/>
              </w:rPr>
              <w:t>Urban Non-Freeway Arterials (14,16)</w:t>
            </w:r>
          </w:p>
        </w:tc>
      </w:tr>
      <w:tr w:rsidR="00A13E0F" w:rsidRPr="007749B2" w14:paraId="39D2742A" w14:textId="77777777" w:rsidTr="00A13E0F">
        <w:trPr>
          <w:trHeight w:val="288"/>
        </w:trPr>
        <w:tc>
          <w:tcPr>
            <w:tcW w:w="1905" w:type="dxa"/>
            <w:vAlign w:val="center"/>
          </w:tcPr>
          <w:p w14:paraId="55A8C3A2" w14:textId="77777777" w:rsidR="00A13E0F" w:rsidRPr="007749B2" w:rsidRDefault="00A13E0F" w:rsidP="00A13E0F">
            <w:pPr>
              <w:pStyle w:val="BodyText"/>
              <w:spacing w:after="0"/>
              <w:jc w:val="center"/>
            </w:pPr>
            <w:r w:rsidRPr="007749B2">
              <w:t>Dense-Graded HMA</w:t>
            </w:r>
          </w:p>
        </w:tc>
        <w:tc>
          <w:tcPr>
            <w:tcW w:w="1756" w:type="dxa"/>
            <w:vAlign w:val="center"/>
          </w:tcPr>
          <w:p w14:paraId="4665F9B7" w14:textId="77777777" w:rsidR="00A13E0F" w:rsidRPr="007749B2" w:rsidRDefault="00A13E0F" w:rsidP="00A13E0F">
            <w:pPr>
              <w:pStyle w:val="BodyText"/>
              <w:spacing w:after="0"/>
              <w:jc w:val="center"/>
            </w:pPr>
            <w:r w:rsidRPr="007749B2">
              <w:t>46</w:t>
            </w:r>
          </w:p>
        </w:tc>
        <w:tc>
          <w:tcPr>
            <w:tcW w:w="2205" w:type="dxa"/>
            <w:vAlign w:val="center"/>
          </w:tcPr>
          <w:p w14:paraId="5129AF7B" w14:textId="77777777" w:rsidR="00A13E0F" w:rsidRPr="007749B2" w:rsidRDefault="00A13E0F" w:rsidP="00A13E0F">
            <w:pPr>
              <w:pStyle w:val="BodyText"/>
              <w:spacing w:after="0"/>
              <w:jc w:val="center"/>
            </w:pPr>
            <w:r w:rsidRPr="007749B2">
              <w:t>49</w:t>
            </w:r>
          </w:p>
        </w:tc>
        <w:tc>
          <w:tcPr>
            <w:tcW w:w="1424" w:type="dxa"/>
            <w:vAlign w:val="center"/>
          </w:tcPr>
          <w:p w14:paraId="473DDEE5" w14:textId="77777777" w:rsidR="00A13E0F" w:rsidRPr="007749B2" w:rsidRDefault="00A13E0F" w:rsidP="00A13E0F">
            <w:pPr>
              <w:pStyle w:val="BodyText"/>
              <w:spacing w:after="0"/>
              <w:jc w:val="center"/>
            </w:pPr>
            <w:r w:rsidRPr="007749B2">
              <w:t>53</w:t>
            </w:r>
          </w:p>
        </w:tc>
        <w:tc>
          <w:tcPr>
            <w:tcW w:w="1340" w:type="dxa"/>
            <w:vAlign w:val="center"/>
          </w:tcPr>
          <w:p w14:paraId="2B9CCF89" w14:textId="77777777" w:rsidR="00A13E0F" w:rsidRPr="007749B2" w:rsidRDefault="00A13E0F" w:rsidP="00A13E0F">
            <w:pPr>
              <w:pStyle w:val="BodyText"/>
              <w:spacing w:after="0"/>
              <w:jc w:val="center"/>
            </w:pPr>
            <w:r w:rsidRPr="007749B2">
              <w:t>42</w:t>
            </w:r>
          </w:p>
        </w:tc>
      </w:tr>
      <w:tr w:rsidR="00A13E0F" w:rsidRPr="007749B2" w14:paraId="4115489A" w14:textId="77777777" w:rsidTr="00A13E0F">
        <w:trPr>
          <w:trHeight w:val="288"/>
        </w:trPr>
        <w:tc>
          <w:tcPr>
            <w:tcW w:w="1905" w:type="dxa"/>
            <w:vAlign w:val="center"/>
          </w:tcPr>
          <w:p w14:paraId="59BF4E57" w14:textId="77777777" w:rsidR="00A13E0F" w:rsidRPr="007749B2" w:rsidRDefault="00A13E0F" w:rsidP="00A13E0F">
            <w:pPr>
              <w:pStyle w:val="BodyText"/>
              <w:spacing w:after="0"/>
              <w:jc w:val="center"/>
            </w:pPr>
            <w:r w:rsidRPr="007749B2">
              <w:t>Gap-Graded HMA</w:t>
            </w:r>
          </w:p>
        </w:tc>
        <w:tc>
          <w:tcPr>
            <w:tcW w:w="1756" w:type="dxa"/>
            <w:vAlign w:val="center"/>
          </w:tcPr>
          <w:p w14:paraId="1B2D4CB4" w14:textId="77777777" w:rsidR="00A13E0F" w:rsidRPr="007749B2" w:rsidRDefault="00A13E0F" w:rsidP="00A13E0F">
            <w:pPr>
              <w:pStyle w:val="BodyText"/>
              <w:spacing w:after="0"/>
              <w:jc w:val="center"/>
            </w:pPr>
            <w:r w:rsidRPr="007749B2">
              <w:t>52</w:t>
            </w:r>
          </w:p>
        </w:tc>
        <w:tc>
          <w:tcPr>
            <w:tcW w:w="2205" w:type="dxa"/>
            <w:vAlign w:val="center"/>
          </w:tcPr>
          <w:p w14:paraId="33E45ADA" w14:textId="77777777" w:rsidR="00A13E0F" w:rsidRPr="007749B2" w:rsidRDefault="00A13E0F" w:rsidP="00A13E0F">
            <w:pPr>
              <w:pStyle w:val="BodyText"/>
              <w:spacing w:after="0"/>
              <w:jc w:val="center"/>
            </w:pPr>
            <w:r w:rsidRPr="007749B2">
              <w:t>55</w:t>
            </w:r>
          </w:p>
        </w:tc>
        <w:tc>
          <w:tcPr>
            <w:tcW w:w="1424" w:type="dxa"/>
            <w:vAlign w:val="center"/>
          </w:tcPr>
          <w:p w14:paraId="5A7E1F48" w14:textId="77777777" w:rsidR="00A13E0F" w:rsidRPr="007749B2" w:rsidRDefault="00A13E0F" w:rsidP="00A13E0F">
            <w:pPr>
              <w:pStyle w:val="BodyText"/>
              <w:spacing w:after="0"/>
              <w:jc w:val="center"/>
            </w:pPr>
            <w:r w:rsidRPr="007749B2">
              <w:t>59</w:t>
            </w:r>
          </w:p>
        </w:tc>
        <w:tc>
          <w:tcPr>
            <w:tcW w:w="1340" w:type="dxa"/>
            <w:vAlign w:val="center"/>
          </w:tcPr>
          <w:p w14:paraId="3382EEF0" w14:textId="77777777" w:rsidR="00A13E0F" w:rsidRPr="007749B2" w:rsidRDefault="00A13E0F" w:rsidP="00A13E0F">
            <w:pPr>
              <w:pStyle w:val="BodyText"/>
              <w:spacing w:after="0"/>
              <w:jc w:val="center"/>
            </w:pPr>
            <w:r w:rsidRPr="007749B2">
              <w:t>48</w:t>
            </w:r>
          </w:p>
        </w:tc>
      </w:tr>
      <w:tr w:rsidR="00A13E0F" w:rsidRPr="007749B2" w14:paraId="63F36B2C" w14:textId="77777777" w:rsidTr="00A13E0F">
        <w:trPr>
          <w:trHeight w:val="288"/>
        </w:trPr>
        <w:tc>
          <w:tcPr>
            <w:tcW w:w="1905" w:type="dxa"/>
            <w:vAlign w:val="center"/>
          </w:tcPr>
          <w:p w14:paraId="688F067F" w14:textId="77777777" w:rsidR="00A13E0F" w:rsidRPr="007749B2" w:rsidRDefault="00A13E0F" w:rsidP="00A13E0F">
            <w:pPr>
              <w:pStyle w:val="BodyText"/>
              <w:spacing w:after="0"/>
              <w:jc w:val="center"/>
            </w:pPr>
            <w:r w:rsidRPr="007749B2">
              <w:t>Micro-Surfacing</w:t>
            </w:r>
          </w:p>
        </w:tc>
        <w:tc>
          <w:tcPr>
            <w:tcW w:w="1756" w:type="dxa"/>
            <w:vAlign w:val="center"/>
          </w:tcPr>
          <w:p w14:paraId="51F92C13" w14:textId="77777777" w:rsidR="00A13E0F" w:rsidRPr="007749B2" w:rsidRDefault="00A13E0F" w:rsidP="00A13E0F">
            <w:pPr>
              <w:pStyle w:val="BodyText"/>
              <w:spacing w:after="0"/>
              <w:jc w:val="center"/>
            </w:pPr>
            <w:r w:rsidRPr="007749B2">
              <w:t>54</w:t>
            </w:r>
          </w:p>
        </w:tc>
        <w:tc>
          <w:tcPr>
            <w:tcW w:w="2205" w:type="dxa"/>
            <w:vAlign w:val="center"/>
          </w:tcPr>
          <w:p w14:paraId="5F1CAAFE" w14:textId="77777777" w:rsidR="00A13E0F" w:rsidRPr="007749B2" w:rsidRDefault="00A13E0F" w:rsidP="00A13E0F">
            <w:pPr>
              <w:pStyle w:val="BodyText"/>
              <w:spacing w:after="0"/>
              <w:jc w:val="center"/>
            </w:pPr>
            <w:r w:rsidRPr="007749B2">
              <w:t>57</w:t>
            </w:r>
          </w:p>
        </w:tc>
        <w:tc>
          <w:tcPr>
            <w:tcW w:w="1424" w:type="dxa"/>
            <w:vAlign w:val="center"/>
          </w:tcPr>
          <w:p w14:paraId="69D8C729" w14:textId="77777777" w:rsidR="00A13E0F" w:rsidRPr="007749B2" w:rsidRDefault="00A13E0F" w:rsidP="00A13E0F">
            <w:pPr>
              <w:pStyle w:val="BodyText"/>
              <w:spacing w:after="0"/>
              <w:jc w:val="center"/>
            </w:pPr>
            <w:r w:rsidRPr="007749B2">
              <w:t>61</w:t>
            </w:r>
          </w:p>
        </w:tc>
        <w:tc>
          <w:tcPr>
            <w:tcW w:w="1340" w:type="dxa"/>
            <w:vAlign w:val="center"/>
          </w:tcPr>
          <w:p w14:paraId="3C5D5785" w14:textId="77777777" w:rsidR="00A13E0F" w:rsidRPr="007749B2" w:rsidRDefault="00A13E0F" w:rsidP="00A13E0F">
            <w:pPr>
              <w:pStyle w:val="BodyText"/>
              <w:spacing w:after="0"/>
              <w:jc w:val="center"/>
            </w:pPr>
            <w:r w:rsidRPr="007749B2">
              <w:t>50</w:t>
            </w:r>
          </w:p>
        </w:tc>
      </w:tr>
      <w:tr w:rsidR="00A13E0F" w:rsidRPr="007749B2" w14:paraId="049C87AF" w14:textId="77777777" w:rsidTr="00A13E0F">
        <w:trPr>
          <w:trHeight w:val="288"/>
        </w:trPr>
        <w:tc>
          <w:tcPr>
            <w:tcW w:w="1905" w:type="dxa"/>
            <w:vAlign w:val="center"/>
          </w:tcPr>
          <w:p w14:paraId="0C63595E" w14:textId="77777777" w:rsidR="00A13E0F" w:rsidRPr="007749B2" w:rsidRDefault="00A13E0F" w:rsidP="00A13E0F">
            <w:pPr>
              <w:pStyle w:val="BodyText"/>
              <w:spacing w:after="0"/>
              <w:jc w:val="center"/>
            </w:pPr>
            <w:r w:rsidRPr="007749B2">
              <w:t>High Friction Surface</w:t>
            </w:r>
          </w:p>
        </w:tc>
        <w:tc>
          <w:tcPr>
            <w:tcW w:w="1756" w:type="dxa"/>
            <w:vAlign w:val="center"/>
          </w:tcPr>
          <w:p w14:paraId="5A683194" w14:textId="77777777" w:rsidR="00A13E0F" w:rsidRPr="007749B2" w:rsidRDefault="00A13E0F" w:rsidP="00A13E0F">
            <w:pPr>
              <w:pStyle w:val="BodyText"/>
              <w:spacing w:after="0"/>
              <w:jc w:val="center"/>
            </w:pPr>
            <w:r w:rsidRPr="007749B2">
              <w:t>71</w:t>
            </w:r>
          </w:p>
        </w:tc>
        <w:tc>
          <w:tcPr>
            <w:tcW w:w="2205" w:type="dxa"/>
            <w:vAlign w:val="center"/>
          </w:tcPr>
          <w:p w14:paraId="6A42F113" w14:textId="77777777" w:rsidR="00A13E0F" w:rsidRPr="007749B2" w:rsidRDefault="00A13E0F" w:rsidP="00A13E0F">
            <w:pPr>
              <w:pStyle w:val="BodyText"/>
              <w:spacing w:after="0"/>
              <w:jc w:val="center"/>
            </w:pPr>
            <w:r w:rsidRPr="007749B2">
              <w:t>74</w:t>
            </w:r>
          </w:p>
        </w:tc>
        <w:tc>
          <w:tcPr>
            <w:tcW w:w="1424" w:type="dxa"/>
            <w:vAlign w:val="center"/>
          </w:tcPr>
          <w:p w14:paraId="25275ED7" w14:textId="77777777" w:rsidR="00A13E0F" w:rsidRPr="007749B2" w:rsidRDefault="00A13E0F" w:rsidP="00A13E0F">
            <w:pPr>
              <w:pStyle w:val="BodyText"/>
              <w:spacing w:after="0"/>
              <w:jc w:val="center"/>
            </w:pPr>
            <w:r w:rsidRPr="007749B2">
              <w:t>78</w:t>
            </w:r>
          </w:p>
        </w:tc>
        <w:tc>
          <w:tcPr>
            <w:tcW w:w="1340" w:type="dxa"/>
            <w:vAlign w:val="center"/>
          </w:tcPr>
          <w:p w14:paraId="726E1806" w14:textId="77777777" w:rsidR="00A13E0F" w:rsidRPr="007749B2" w:rsidRDefault="00A13E0F" w:rsidP="00A13E0F">
            <w:pPr>
              <w:pStyle w:val="BodyText"/>
              <w:spacing w:after="0"/>
              <w:jc w:val="center"/>
            </w:pPr>
            <w:r w:rsidRPr="007749B2">
              <w:t>67</w:t>
            </w:r>
          </w:p>
        </w:tc>
      </w:tr>
      <w:tr w:rsidR="00F35BBB" w:rsidRPr="007749B2" w14:paraId="046BF614" w14:textId="77777777" w:rsidTr="00F35BBB">
        <w:trPr>
          <w:trHeight w:val="288"/>
        </w:trPr>
        <w:tc>
          <w:tcPr>
            <w:tcW w:w="1905" w:type="dxa"/>
            <w:vAlign w:val="center"/>
          </w:tcPr>
          <w:p w14:paraId="040DEE77" w14:textId="77777777" w:rsidR="00F35BBB" w:rsidRPr="007749B2" w:rsidRDefault="00F35BBB" w:rsidP="00A13E0F">
            <w:pPr>
              <w:pStyle w:val="BodyText"/>
              <w:spacing w:after="0"/>
              <w:jc w:val="center"/>
            </w:pPr>
            <w:r w:rsidRPr="007749B2">
              <w:t>Surface Abrasion</w:t>
            </w:r>
          </w:p>
        </w:tc>
        <w:tc>
          <w:tcPr>
            <w:tcW w:w="1756" w:type="dxa"/>
            <w:vAlign w:val="center"/>
          </w:tcPr>
          <w:p w14:paraId="69F06A72" w14:textId="77777777" w:rsidR="00F35BBB" w:rsidRPr="007749B2" w:rsidRDefault="00F35BBB" w:rsidP="00A13E0F">
            <w:pPr>
              <w:pStyle w:val="BodyText"/>
              <w:spacing w:after="0"/>
              <w:jc w:val="center"/>
            </w:pPr>
            <w:r>
              <w:t>Add 4</w:t>
            </w:r>
          </w:p>
        </w:tc>
        <w:tc>
          <w:tcPr>
            <w:tcW w:w="2205" w:type="dxa"/>
            <w:vAlign w:val="center"/>
          </w:tcPr>
          <w:p w14:paraId="47308D6D" w14:textId="322CA4AA" w:rsidR="00F35BBB" w:rsidRPr="007749B2" w:rsidRDefault="00F35BBB" w:rsidP="00A13E0F">
            <w:pPr>
              <w:pStyle w:val="BodyText"/>
              <w:spacing w:after="0"/>
              <w:jc w:val="center"/>
            </w:pPr>
            <w:r>
              <w:t>Add 4</w:t>
            </w:r>
          </w:p>
        </w:tc>
        <w:tc>
          <w:tcPr>
            <w:tcW w:w="1424" w:type="dxa"/>
            <w:vAlign w:val="center"/>
          </w:tcPr>
          <w:p w14:paraId="2CAE6BA9" w14:textId="75B5D963" w:rsidR="00F35BBB" w:rsidRPr="007749B2" w:rsidRDefault="00F35BBB" w:rsidP="00A13E0F">
            <w:pPr>
              <w:pStyle w:val="BodyText"/>
              <w:spacing w:after="0"/>
              <w:jc w:val="center"/>
            </w:pPr>
            <w:r>
              <w:t>Add 4</w:t>
            </w:r>
          </w:p>
        </w:tc>
        <w:tc>
          <w:tcPr>
            <w:tcW w:w="1340" w:type="dxa"/>
            <w:vAlign w:val="center"/>
          </w:tcPr>
          <w:p w14:paraId="2581ECF3" w14:textId="5C6196C9" w:rsidR="00F35BBB" w:rsidRPr="007749B2" w:rsidRDefault="00F35BBB" w:rsidP="00A13E0F">
            <w:pPr>
              <w:pStyle w:val="BodyText"/>
              <w:spacing w:after="0"/>
              <w:jc w:val="center"/>
            </w:pPr>
            <w:r>
              <w:t>Add 4</w:t>
            </w:r>
          </w:p>
        </w:tc>
      </w:tr>
      <w:tr w:rsidR="00A13E0F" w:rsidRPr="007749B2" w14:paraId="41BDAA42" w14:textId="77777777" w:rsidTr="00A13E0F">
        <w:trPr>
          <w:trHeight w:val="288"/>
        </w:trPr>
        <w:tc>
          <w:tcPr>
            <w:tcW w:w="1905" w:type="dxa"/>
            <w:vAlign w:val="center"/>
          </w:tcPr>
          <w:p w14:paraId="3CCC21E7" w14:textId="77777777" w:rsidR="00A13E0F" w:rsidRPr="007749B2" w:rsidRDefault="00A13E0F" w:rsidP="00A13E0F">
            <w:pPr>
              <w:pStyle w:val="BodyText"/>
              <w:spacing w:after="0"/>
              <w:jc w:val="center"/>
            </w:pPr>
            <w:r w:rsidRPr="007749B2">
              <w:t>Diamond Grinding</w:t>
            </w:r>
          </w:p>
        </w:tc>
        <w:tc>
          <w:tcPr>
            <w:tcW w:w="1756" w:type="dxa"/>
            <w:vAlign w:val="center"/>
          </w:tcPr>
          <w:p w14:paraId="7E3D5D14" w14:textId="77777777" w:rsidR="00A13E0F" w:rsidRPr="007749B2" w:rsidRDefault="00A13E0F" w:rsidP="00A13E0F">
            <w:pPr>
              <w:pStyle w:val="BodyText"/>
              <w:spacing w:after="0"/>
              <w:jc w:val="center"/>
            </w:pPr>
            <w:r w:rsidRPr="007749B2">
              <w:t>51</w:t>
            </w:r>
          </w:p>
        </w:tc>
        <w:tc>
          <w:tcPr>
            <w:tcW w:w="2205" w:type="dxa"/>
            <w:vAlign w:val="center"/>
          </w:tcPr>
          <w:p w14:paraId="1328B105" w14:textId="77777777" w:rsidR="00A13E0F" w:rsidRPr="007749B2" w:rsidRDefault="00A13E0F" w:rsidP="00A13E0F">
            <w:pPr>
              <w:pStyle w:val="BodyText"/>
              <w:spacing w:after="0"/>
              <w:jc w:val="center"/>
            </w:pPr>
            <w:r w:rsidRPr="007749B2">
              <w:t>54</w:t>
            </w:r>
          </w:p>
        </w:tc>
        <w:tc>
          <w:tcPr>
            <w:tcW w:w="1424" w:type="dxa"/>
            <w:vAlign w:val="center"/>
          </w:tcPr>
          <w:p w14:paraId="1B1BBDE6" w14:textId="77777777" w:rsidR="00A13E0F" w:rsidRPr="007749B2" w:rsidRDefault="00A13E0F" w:rsidP="00A13E0F">
            <w:pPr>
              <w:pStyle w:val="BodyText"/>
              <w:spacing w:after="0"/>
              <w:jc w:val="center"/>
            </w:pPr>
            <w:r w:rsidRPr="007749B2">
              <w:t>58</w:t>
            </w:r>
          </w:p>
        </w:tc>
        <w:tc>
          <w:tcPr>
            <w:tcW w:w="1340" w:type="dxa"/>
            <w:vAlign w:val="center"/>
          </w:tcPr>
          <w:p w14:paraId="1250D30F" w14:textId="77777777" w:rsidR="00A13E0F" w:rsidRPr="007749B2" w:rsidRDefault="00A13E0F" w:rsidP="00A13E0F">
            <w:pPr>
              <w:pStyle w:val="BodyText"/>
              <w:spacing w:after="0"/>
              <w:jc w:val="center"/>
            </w:pPr>
            <w:r w:rsidRPr="007749B2">
              <w:t>47</w:t>
            </w:r>
          </w:p>
        </w:tc>
      </w:tr>
    </w:tbl>
    <w:p w14:paraId="24398E94" w14:textId="1342E99F" w:rsidR="000658FF" w:rsidRPr="00D17369" w:rsidRDefault="00543549" w:rsidP="00D17369">
      <w:pPr>
        <w:pStyle w:val="BodyText"/>
        <w:ind w:left="900" w:right="90" w:hanging="720"/>
        <w:rPr>
          <w:b/>
          <w:sz w:val="18"/>
        </w:rPr>
      </w:pPr>
      <w:r w:rsidRPr="00F4125F">
        <w:rPr>
          <w:sz w:val="18"/>
          <w:szCs w:val="18"/>
        </w:rPr>
        <w:t xml:space="preserve">Note: </w:t>
      </w:r>
      <w:r w:rsidR="00F4125F" w:rsidRPr="00F4125F">
        <w:rPr>
          <w:sz w:val="18"/>
          <w:szCs w:val="18"/>
        </w:rPr>
        <w:tab/>
      </w:r>
      <w:r w:rsidR="006A1C0F" w:rsidRPr="00D17369">
        <w:rPr>
          <w:sz w:val="18"/>
        </w:rPr>
        <w:t xml:space="preserve">The designer may adjust the initial skid values based on localized knowledge, with Team Leader/ADC approval.  </w:t>
      </w:r>
      <w:r w:rsidRPr="00D17369">
        <w:rPr>
          <w:sz w:val="18"/>
        </w:rPr>
        <w:t xml:space="preserve">Refer to </w:t>
      </w:r>
      <w:hyperlink w:anchor="_Friction_Design_1" w:history="1">
        <w:r w:rsidRPr="00D17369">
          <w:rPr>
            <w:rStyle w:val="Hyperlink"/>
            <w:sz w:val="18"/>
          </w:rPr>
          <w:t>Friction Design</w:t>
        </w:r>
      </w:hyperlink>
      <w:r w:rsidRPr="00D17369">
        <w:rPr>
          <w:sz w:val="18"/>
        </w:rPr>
        <w:t xml:space="preserve"> for guidance on determining the rate of Skid Number deterioration.</w:t>
      </w:r>
    </w:p>
    <w:p w14:paraId="4F1F8D1F" w14:textId="77777777" w:rsidR="00543549" w:rsidRPr="007749B2" w:rsidRDefault="00543549" w:rsidP="00D17369">
      <w:pPr>
        <w:pStyle w:val="BodyText"/>
        <w:spacing w:after="0"/>
      </w:pPr>
    </w:p>
    <w:p w14:paraId="0875B170" w14:textId="77777777" w:rsidR="00D316B0" w:rsidRPr="007749B2" w:rsidRDefault="00D316B0" w:rsidP="00172E64">
      <w:pPr>
        <w:pStyle w:val="Heading4"/>
        <w:numPr>
          <w:ilvl w:val="3"/>
          <w:numId w:val="184"/>
        </w:numPr>
        <w:ind w:left="0" w:firstLine="0"/>
      </w:pPr>
      <w:bookmarkStart w:id="368" w:name="_Performance_Criteria_–"/>
      <w:bookmarkStart w:id="369" w:name="_Toc338310060"/>
      <w:bookmarkStart w:id="370" w:name="_Toc338310147"/>
      <w:bookmarkStart w:id="371" w:name="_Toc338310459"/>
      <w:bookmarkEnd w:id="368"/>
      <w:r w:rsidRPr="007749B2">
        <w:t>Performance Criteria – Terminal Performance Targets</w:t>
      </w:r>
      <w:bookmarkEnd w:id="369"/>
      <w:bookmarkEnd w:id="370"/>
      <w:bookmarkEnd w:id="371"/>
    </w:p>
    <w:p w14:paraId="2624BAA1" w14:textId="77777777" w:rsidR="003C5A72" w:rsidRDefault="003C5A72" w:rsidP="003C5A7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Preservation_&amp;" w:history="1">
        <w:r w:rsidRPr="003C5A72">
          <w:rPr>
            <w:rStyle w:val="Hyperlink"/>
            <w:rFonts w:ascii="Arial" w:hAnsi="Arial" w:cs="Arial"/>
            <w:bCs/>
            <w:sz w:val="16"/>
            <w:szCs w:val="16"/>
          </w:rPr>
          <w:t>Pavement Preservation &amp; Rehabilitation Design</w:t>
        </w:r>
      </w:hyperlink>
    </w:p>
    <w:p w14:paraId="6A187B04" w14:textId="77777777" w:rsidR="003E40B5" w:rsidRPr="008F604D" w:rsidRDefault="003E40B5"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maining_Service_Life" w:history="1">
        <w:r w:rsidRPr="003E40B5">
          <w:rPr>
            <w:rStyle w:val="Hyperlink"/>
            <w:rFonts w:ascii="Arial" w:hAnsi="Arial" w:cs="Arial"/>
            <w:bCs/>
            <w:sz w:val="16"/>
            <w:szCs w:val="16"/>
          </w:rPr>
          <w:t>Remaining Service Life Analysis</w:t>
        </w:r>
      </w:hyperlink>
    </w:p>
    <w:p w14:paraId="48344210" w14:textId="77777777" w:rsidR="003C5A72" w:rsidRDefault="003C5A72" w:rsidP="00D17369">
      <w:pPr>
        <w:pStyle w:val="BodyText"/>
        <w:spacing w:after="0"/>
      </w:pPr>
    </w:p>
    <w:p w14:paraId="17D73216" w14:textId="5302FD19" w:rsidR="00D316B0" w:rsidRPr="007749B2" w:rsidRDefault="00D316B0" w:rsidP="00D17369">
      <w:pPr>
        <w:pStyle w:val="BodyText"/>
        <w:jc w:val="both"/>
      </w:pPr>
      <w:r w:rsidRPr="007749B2">
        <w:t>The Terminal Performance Targets (similar to terminal serviceability) are based on a combination of the roadway functional class, existing condition</w:t>
      </w:r>
      <w:r w:rsidR="00F4125F">
        <w:t>,</w:t>
      </w:r>
      <w:r w:rsidRPr="007749B2">
        <w:t xml:space="preserve"> and the proposed fix.</w:t>
      </w:r>
    </w:p>
    <w:p w14:paraId="35A93A67" w14:textId="153B7793" w:rsidR="00D316B0" w:rsidRDefault="00D316B0" w:rsidP="00D17369">
      <w:pPr>
        <w:pStyle w:val="BodyText"/>
        <w:jc w:val="both"/>
      </w:pPr>
      <w:r w:rsidRPr="007749B2">
        <w:t>In general, the terminal targets wi</w:t>
      </w:r>
      <w:r>
        <w:t>ll vary depending on functional class, where the classes with higher Business Plan targets will have better values; e.g.</w:t>
      </w:r>
      <w:r w:rsidR="00F4125F">
        <w:t>,</w:t>
      </w:r>
      <w:r>
        <w:t xml:space="preserve"> the terminal IRI for interstates will be smoother than the terminal IRI for local roads.  A caveat with this concept is that unless the existing Remaining Service Life (RSL)</w:t>
      </w:r>
      <w:r w:rsidR="00D17369">
        <w:rPr>
          <w:vertAlign w:val="superscript"/>
        </w:rPr>
        <w:t>5</w:t>
      </w:r>
      <w:r>
        <w:t xml:space="preserve"> is at the maximum, the terminal </w:t>
      </w:r>
      <w:r>
        <w:lastRenderedPageBreak/>
        <w:t>targets cannot be worse than the existing values, e.g.</w:t>
      </w:r>
      <w:r w:rsidR="00DA71FA">
        <w:t>,</w:t>
      </w:r>
      <w:r>
        <w:t xml:space="preserve"> if an existing IRI is 80 in</w:t>
      </w:r>
      <w:r w:rsidR="00353543">
        <w:t>.</w:t>
      </w:r>
      <w:r>
        <w:t>/mile, then the terminal IRI cannot be higher than 80 in</w:t>
      </w:r>
      <w:r w:rsidR="00F100B3">
        <w:t>ch</w:t>
      </w:r>
      <w:r>
        <w:t>/mile.</w:t>
      </w:r>
    </w:p>
    <w:p w14:paraId="3832550A" w14:textId="77777777" w:rsidR="00D316B0" w:rsidRPr="00F100B3" w:rsidRDefault="00D316B0" w:rsidP="00D17369">
      <w:pPr>
        <w:pStyle w:val="BodyText"/>
        <w:jc w:val="both"/>
        <w:rPr>
          <w:rFonts w:cs="Arial"/>
          <w:highlight w:val="yellow"/>
        </w:rPr>
      </w:pPr>
      <w:r>
        <w:t>The Terminal</w:t>
      </w:r>
      <w:r w:rsidRPr="0032321F">
        <w:t xml:space="preserve"> Performance </w:t>
      </w:r>
      <w:r>
        <w:t>Targets</w:t>
      </w:r>
      <w:r w:rsidRPr="00060529">
        <w:rPr>
          <w:rFonts w:ascii="Calibri" w:hAnsi="Calibri"/>
          <w:b/>
          <w:color w:val="008000"/>
          <w:szCs w:val="22"/>
        </w:rPr>
        <w:t xml:space="preserve"> </w:t>
      </w:r>
      <w:r w:rsidRPr="00D17369">
        <w:rPr>
          <w:b/>
          <w:color w:val="008000"/>
        </w:rPr>
        <w:t>shall only be used in design if the Initial targets are used as per the previous section.</w:t>
      </w:r>
      <w:r w:rsidRPr="00F100B3">
        <w:rPr>
          <w:rFonts w:cs="Arial"/>
        </w:rPr>
        <w:t xml:space="preserve">  </w:t>
      </w:r>
    </w:p>
    <w:p w14:paraId="7DF52F61" w14:textId="0FB25616" w:rsidR="00D316B0" w:rsidRDefault="00D316B0" w:rsidP="00D17369">
      <w:pPr>
        <w:pStyle w:val="BodyText"/>
        <w:jc w:val="both"/>
      </w:pPr>
      <w:r>
        <w:t>The terminal performance targets will be calculated using the following steps</w:t>
      </w:r>
      <w:r w:rsidR="00002D1D">
        <w:t>, which can be done using</w:t>
      </w:r>
      <w:r w:rsidR="007E3B02">
        <w:t xml:space="preserve"> </w:t>
      </w:r>
      <w:hyperlink r:id="rId200" w:history="1">
        <w:r w:rsidR="007E3B02" w:rsidRPr="007E3B02">
          <w:rPr>
            <w:rStyle w:val="Hyperlink"/>
          </w:rPr>
          <w:t>PDS-08</w:t>
        </w:r>
        <w:r w:rsidR="00DA71FA">
          <w:rPr>
            <w:rStyle w:val="Hyperlink"/>
          </w:rPr>
          <w:t xml:space="preserve"> – </w:t>
        </w:r>
        <w:r w:rsidR="007E3B02" w:rsidRPr="007E3B02">
          <w:rPr>
            <w:rStyle w:val="Hyperlink"/>
          </w:rPr>
          <w:t>Project-Level RSL Calculation</w:t>
        </w:r>
      </w:hyperlink>
      <w:r>
        <w:t>:</w:t>
      </w:r>
    </w:p>
    <w:p w14:paraId="422798C5" w14:textId="77777777" w:rsidR="00D252E3" w:rsidRDefault="00D316B0" w:rsidP="00172E64">
      <w:pPr>
        <w:pStyle w:val="ListNumber"/>
        <w:numPr>
          <w:ilvl w:val="0"/>
          <w:numId w:val="95"/>
        </w:numPr>
        <w:tabs>
          <w:tab w:val="clear" w:pos="1872"/>
          <w:tab w:val="num" w:pos="1080"/>
        </w:tabs>
        <w:spacing w:before="240"/>
        <w:ind w:left="1080" w:hanging="1080"/>
        <w:jc w:val="both"/>
      </w:pPr>
      <w:r>
        <w:t>Determine the existing RSL condition value as appropriate for each distress type.  If the existing condition is worse than the value given for RSL = 0, then the RSL is considered to be zero.  If the existing value is better than the value given for RSL = 50, then the RSL is considered to be 50.  Otherwise, interpolate as necessary.</w:t>
      </w:r>
    </w:p>
    <w:p w14:paraId="46E1ECA9" w14:textId="77777777" w:rsidR="008B0A8A" w:rsidRDefault="008B0A8A" w:rsidP="00F100B3">
      <w:pPr>
        <w:pStyle w:val="ListNumber"/>
        <w:tabs>
          <w:tab w:val="clear" w:pos="720"/>
          <w:tab w:val="clear" w:pos="1872"/>
        </w:tabs>
        <w:spacing w:before="0"/>
        <w:ind w:left="1080" w:firstLine="0"/>
        <w:jc w:val="both"/>
      </w:pPr>
    </w:p>
    <w:p w14:paraId="56DFBC4E" w14:textId="01C03C9C" w:rsidR="008B0A8A" w:rsidRDefault="008B0A8A" w:rsidP="008B0A8A">
      <w:pPr>
        <w:pStyle w:val="FootnoteText"/>
        <w:rPr>
          <w:rFonts w:ascii="Arial" w:hAnsi="Arial" w:cs="Arial"/>
          <w:sz w:val="18"/>
          <w:szCs w:val="18"/>
          <w:vertAlign w:val="superscript"/>
        </w:rPr>
      </w:pPr>
      <w:r>
        <w:rPr>
          <w:rFonts w:ascii="Arial" w:hAnsi="Arial" w:cs="Arial"/>
          <w:sz w:val="18"/>
          <w:szCs w:val="18"/>
          <w:vertAlign w:val="superscript"/>
        </w:rPr>
        <w:t>________________________________________</w:t>
      </w:r>
    </w:p>
    <w:p w14:paraId="1E74AC49" w14:textId="3BE94731" w:rsidR="008B0A8A" w:rsidRPr="008B0A8A" w:rsidRDefault="004909D5" w:rsidP="008B0A8A">
      <w:pPr>
        <w:pStyle w:val="FootnoteText"/>
        <w:rPr>
          <w:rFonts w:ascii="Arial" w:hAnsi="Arial" w:cs="Arial"/>
          <w:sz w:val="18"/>
          <w:szCs w:val="18"/>
        </w:rPr>
      </w:pPr>
      <w:r>
        <w:rPr>
          <w:rFonts w:ascii="Arial" w:hAnsi="Arial" w:cs="Arial"/>
          <w:sz w:val="18"/>
          <w:szCs w:val="18"/>
          <w:vertAlign w:val="superscript"/>
        </w:rPr>
        <w:t>5</w:t>
      </w:r>
      <w:r w:rsidR="008B0A8A">
        <w:rPr>
          <w:rFonts w:ascii="Arial" w:hAnsi="Arial" w:cs="Arial"/>
          <w:sz w:val="18"/>
          <w:szCs w:val="18"/>
        </w:rPr>
        <w:t xml:space="preserve"> </w:t>
      </w:r>
      <w:r w:rsidR="008B0A8A" w:rsidRPr="008B0A8A">
        <w:rPr>
          <w:rFonts w:ascii="Arial" w:hAnsi="Arial" w:cs="Arial"/>
          <w:sz w:val="18"/>
          <w:szCs w:val="18"/>
        </w:rPr>
        <w:t xml:space="preserve">RSL should not be confused with design life extension.  RSL gives an indication, </w:t>
      </w:r>
      <w:r w:rsidR="008B0A8A" w:rsidRPr="008B0A8A">
        <w:rPr>
          <w:rFonts w:ascii="Arial" w:hAnsi="Arial" w:cs="Arial"/>
          <w:i/>
          <w:sz w:val="18"/>
          <w:szCs w:val="18"/>
        </w:rPr>
        <w:t>on average</w:t>
      </w:r>
      <w:r w:rsidR="008B0A8A" w:rsidRPr="008B0A8A">
        <w:rPr>
          <w:rFonts w:ascii="Arial" w:hAnsi="Arial" w:cs="Arial"/>
          <w:sz w:val="18"/>
          <w:szCs w:val="18"/>
        </w:rPr>
        <w:t xml:space="preserve">, of how much life is left based on the existing condition.  However, not all pavements are created equal, as some deteriorate more quickly than others.  Refer to </w:t>
      </w:r>
      <w:hyperlink r:id="rId201" w:history="1">
        <w:r w:rsidR="008B0A8A" w:rsidRPr="008B0A8A">
          <w:rPr>
            <w:rStyle w:val="Hyperlink"/>
            <w:rFonts w:ascii="Arial" w:hAnsi="Arial" w:cs="Arial"/>
            <w:i/>
            <w:sz w:val="18"/>
            <w:szCs w:val="18"/>
          </w:rPr>
          <w:t>Integrating Pavement Preservation into Fund 77</w:t>
        </w:r>
      </w:hyperlink>
      <w:r w:rsidR="008B0A8A" w:rsidRPr="008B0A8A">
        <w:rPr>
          <w:rFonts w:ascii="Arial" w:hAnsi="Arial" w:cs="Arial"/>
          <w:i/>
          <w:sz w:val="18"/>
          <w:szCs w:val="18"/>
        </w:rPr>
        <w:t xml:space="preserve"> </w:t>
      </w:r>
      <w:r w:rsidR="008B0A8A" w:rsidRPr="008B0A8A">
        <w:rPr>
          <w:rFonts w:ascii="Arial" w:hAnsi="Arial" w:cs="Arial"/>
          <w:sz w:val="18"/>
          <w:szCs w:val="18"/>
        </w:rPr>
        <w:t>for RSL explanation.</w:t>
      </w:r>
    </w:p>
    <w:p w14:paraId="574849B2" w14:textId="63054098" w:rsidR="00D252E3" w:rsidRDefault="00D316B0" w:rsidP="00172E64">
      <w:pPr>
        <w:pStyle w:val="ListNumber"/>
        <w:numPr>
          <w:ilvl w:val="0"/>
          <w:numId w:val="95"/>
        </w:numPr>
        <w:tabs>
          <w:tab w:val="clear" w:pos="1872"/>
          <w:tab w:val="num" w:pos="1080"/>
        </w:tabs>
        <w:spacing w:before="0"/>
        <w:ind w:left="1080" w:hanging="1080"/>
        <w:jc w:val="both"/>
      </w:pPr>
      <w:r>
        <w:t>Calculate the overall existing RSL Condition, where it is equal to the minimum RSL Condition calculated for any individual distress type.</w:t>
      </w:r>
    </w:p>
    <w:p w14:paraId="0B400BA8" w14:textId="77777777" w:rsidR="00D252E3" w:rsidRDefault="00D252E3" w:rsidP="00D252E3">
      <w:pPr>
        <w:pStyle w:val="ListParagraph"/>
      </w:pPr>
    </w:p>
    <w:p w14:paraId="330BE547" w14:textId="7209C889" w:rsidR="00327A5E" w:rsidRDefault="00D316B0" w:rsidP="00172E64">
      <w:pPr>
        <w:pStyle w:val="ListNumber"/>
        <w:numPr>
          <w:ilvl w:val="0"/>
          <w:numId w:val="95"/>
        </w:numPr>
        <w:tabs>
          <w:tab w:val="clear" w:pos="1872"/>
          <w:tab w:val="num" w:pos="1800"/>
        </w:tabs>
        <w:spacing w:before="0"/>
        <w:ind w:left="1080" w:hanging="1080"/>
        <w:jc w:val="both"/>
        <w:rPr>
          <w:rFonts w:cs="Arial"/>
        </w:rPr>
      </w:pPr>
      <w:r>
        <w:t>Calculate the Design Terminal Performance Target for each distress type, base</w:t>
      </w:r>
      <w:r w:rsidRPr="00773656">
        <w:t xml:space="preserve">d on the </w:t>
      </w:r>
      <w:r w:rsidR="00C326ED">
        <w:t>overall</w:t>
      </w:r>
      <w:r w:rsidRPr="00773656">
        <w:t xml:space="preserve"> RSL derived in Step </w:t>
      </w:r>
      <w:r w:rsidR="00C326ED">
        <w:t>2, the functional class</w:t>
      </w:r>
      <w:r w:rsidRPr="00773656">
        <w:t xml:space="preserve"> and using the following tables</w:t>
      </w:r>
      <w:r w:rsidR="00C326ED">
        <w:t>.</w:t>
      </w:r>
      <w:r w:rsidR="00C326ED" w:rsidRPr="00F100B3">
        <w:rPr>
          <w:rFonts w:cs="Arial"/>
        </w:rPr>
        <w:t xml:space="preserve">  </w:t>
      </w:r>
      <w:r w:rsidR="00C326ED" w:rsidRPr="00D17369">
        <w:rPr>
          <w:b/>
          <w:color w:val="008000"/>
        </w:rPr>
        <w:t>The RSL=20 values shall be used as the terminal targets for new pavements</w:t>
      </w:r>
      <w:r w:rsidR="00C326ED" w:rsidRPr="00F100B3">
        <w:rPr>
          <w:rFonts w:cs="Arial"/>
        </w:rPr>
        <w:t>.</w:t>
      </w:r>
    </w:p>
    <w:p w14:paraId="7C5F2A0D" w14:textId="77777777" w:rsidR="00327A5E" w:rsidRDefault="00327A5E">
      <w:pPr>
        <w:rPr>
          <w:rFonts w:ascii="Arial" w:hAnsi="Arial" w:cs="Arial"/>
          <w:sz w:val="22"/>
        </w:rPr>
      </w:pPr>
      <w:r>
        <w:rPr>
          <w:rFonts w:cs="Arial"/>
        </w:rPr>
        <w:br w:type="page"/>
      </w:r>
    </w:p>
    <w:p w14:paraId="0D5E3451" w14:textId="77777777" w:rsidR="00D316B0" w:rsidRPr="00F100B3" w:rsidRDefault="00D316B0" w:rsidP="00327A5E">
      <w:pPr>
        <w:pStyle w:val="ListNumber"/>
        <w:tabs>
          <w:tab w:val="clear" w:pos="720"/>
          <w:tab w:val="clear" w:pos="1872"/>
        </w:tabs>
        <w:spacing w:before="0"/>
        <w:ind w:left="1080" w:firstLine="0"/>
        <w:jc w:val="both"/>
        <w:rPr>
          <w:rFonts w:cs="Arial"/>
        </w:rPr>
      </w:pPr>
    </w:p>
    <w:p w14:paraId="6A67A5F0" w14:textId="77777777" w:rsidR="00C326ED" w:rsidRDefault="00C326ED" w:rsidP="00C326ED">
      <w:pPr>
        <w:pStyle w:val="ListParagraph"/>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28"/>
        <w:gridCol w:w="989"/>
        <w:gridCol w:w="989"/>
        <w:gridCol w:w="1059"/>
      </w:tblGrid>
      <w:tr w:rsidR="007205B3" w:rsidRPr="00EB34C7" w14:paraId="7393DD3E" w14:textId="77777777" w:rsidTr="00C064A4">
        <w:trPr>
          <w:trHeight w:val="270"/>
          <w:jc w:val="center"/>
        </w:trPr>
        <w:tc>
          <w:tcPr>
            <w:tcW w:w="1330" w:type="dxa"/>
            <w:vMerge w:val="restart"/>
            <w:shd w:val="pct15" w:color="auto" w:fill="auto"/>
            <w:vAlign w:val="center"/>
          </w:tcPr>
          <w:p w14:paraId="2555DD87" w14:textId="77777777" w:rsidR="007205B3" w:rsidRPr="00D17369" w:rsidRDefault="007205B3" w:rsidP="00BE3F24">
            <w:pPr>
              <w:jc w:val="center"/>
              <w:rPr>
                <w:rFonts w:ascii="Arial" w:hAnsi="Arial"/>
                <w:b/>
                <w:sz w:val="22"/>
              </w:rPr>
            </w:pPr>
            <w:r w:rsidRPr="00D17369">
              <w:rPr>
                <w:rFonts w:ascii="Arial" w:hAnsi="Arial"/>
                <w:b/>
                <w:sz w:val="22"/>
              </w:rPr>
              <w:t>Functional Class</w:t>
            </w:r>
          </w:p>
        </w:tc>
        <w:tc>
          <w:tcPr>
            <w:tcW w:w="4065" w:type="dxa"/>
            <w:gridSpan w:val="4"/>
            <w:shd w:val="pct15" w:color="auto" w:fill="auto"/>
            <w:vAlign w:val="center"/>
          </w:tcPr>
          <w:p w14:paraId="485C96DD" w14:textId="0E80666E" w:rsidR="007205B3" w:rsidRPr="00D17369" w:rsidRDefault="007205B3" w:rsidP="00BE3F24">
            <w:pPr>
              <w:jc w:val="center"/>
              <w:rPr>
                <w:rFonts w:ascii="Arial" w:hAnsi="Arial"/>
                <w:b/>
                <w:sz w:val="22"/>
              </w:rPr>
            </w:pPr>
            <w:r w:rsidRPr="00D17369">
              <w:rPr>
                <w:rFonts w:ascii="Arial" w:hAnsi="Arial"/>
                <w:b/>
                <w:sz w:val="22"/>
              </w:rPr>
              <w:t>RSL = 0</w:t>
            </w:r>
          </w:p>
        </w:tc>
      </w:tr>
      <w:tr w:rsidR="007205B3" w:rsidRPr="00EB34C7" w14:paraId="6F3F9F79" w14:textId="77777777" w:rsidTr="007205B3">
        <w:trPr>
          <w:trHeight w:val="332"/>
          <w:jc w:val="center"/>
        </w:trPr>
        <w:tc>
          <w:tcPr>
            <w:tcW w:w="1330" w:type="dxa"/>
            <w:vMerge/>
            <w:shd w:val="pct15" w:color="auto" w:fill="auto"/>
            <w:vAlign w:val="center"/>
          </w:tcPr>
          <w:p w14:paraId="0A9B7828" w14:textId="77777777" w:rsidR="007205B3" w:rsidRPr="00D17369" w:rsidRDefault="007205B3" w:rsidP="00BE3F24">
            <w:pPr>
              <w:jc w:val="center"/>
              <w:rPr>
                <w:rFonts w:ascii="Arial" w:hAnsi="Arial"/>
                <w:b/>
                <w:sz w:val="22"/>
              </w:rPr>
            </w:pPr>
          </w:p>
        </w:tc>
        <w:tc>
          <w:tcPr>
            <w:tcW w:w="1028" w:type="dxa"/>
            <w:shd w:val="pct15" w:color="auto" w:fill="auto"/>
            <w:vAlign w:val="center"/>
            <w:hideMark/>
          </w:tcPr>
          <w:p w14:paraId="095D47EA" w14:textId="77777777" w:rsidR="007205B3" w:rsidRPr="00D17369" w:rsidRDefault="007205B3" w:rsidP="00BE3F24">
            <w:pPr>
              <w:jc w:val="center"/>
              <w:rPr>
                <w:rFonts w:ascii="Arial" w:hAnsi="Arial"/>
                <w:b/>
                <w:sz w:val="22"/>
              </w:rPr>
            </w:pPr>
            <w:r w:rsidRPr="00D17369">
              <w:rPr>
                <w:rFonts w:ascii="Arial" w:hAnsi="Arial"/>
                <w:b/>
                <w:sz w:val="22"/>
              </w:rPr>
              <w:t>IRI</w:t>
            </w:r>
          </w:p>
        </w:tc>
        <w:tc>
          <w:tcPr>
            <w:tcW w:w="989" w:type="dxa"/>
            <w:shd w:val="pct15" w:color="auto" w:fill="auto"/>
            <w:vAlign w:val="center"/>
          </w:tcPr>
          <w:p w14:paraId="5A9C8405" w14:textId="7B12FD79" w:rsidR="007205B3" w:rsidRPr="00D17369" w:rsidRDefault="007205B3" w:rsidP="004E784A">
            <w:pPr>
              <w:jc w:val="center"/>
              <w:rPr>
                <w:rFonts w:ascii="Arial" w:hAnsi="Arial"/>
                <w:b/>
                <w:sz w:val="22"/>
              </w:rPr>
            </w:pPr>
            <w:r w:rsidRPr="006924B8">
              <w:rPr>
                <w:rFonts w:ascii="Calibri" w:hAnsi="Calibri"/>
                <w:b/>
                <w:bCs/>
                <w:sz w:val="22"/>
                <w:szCs w:val="22"/>
              </w:rPr>
              <w:t>SC</w:t>
            </w:r>
            <w:r>
              <w:rPr>
                <w:rFonts w:ascii="Calibri" w:hAnsi="Calibri"/>
                <w:b/>
                <w:bCs/>
                <w:sz w:val="22"/>
                <w:szCs w:val="22"/>
              </w:rPr>
              <w:t>D</w:t>
            </w:r>
          </w:p>
        </w:tc>
        <w:tc>
          <w:tcPr>
            <w:tcW w:w="989" w:type="dxa"/>
            <w:shd w:val="pct15" w:color="auto" w:fill="auto"/>
            <w:vAlign w:val="center"/>
          </w:tcPr>
          <w:p w14:paraId="41818D81" w14:textId="2293149A" w:rsidR="007205B3" w:rsidRPr="00B1155E" w:rsidRDefault="007205B3" w:rsidP="00BE3F24">
            <w:pPr>
              <w:jc w:val="center"/>
              <w:rPr>
                <w:rFonts w:ascii="Arial" w:hAnsi="Arial"/>
                <w:b/>
                <w:sz w:val="22"/>
              </w:rPr>
            </w:pPr>
            <w:r w:rsidRPr="006924B8">
              <w:rPr>
                <w:rFonts w:ascii="Calibri" w:hAnsi="Calibri"/>
                <w:b/>
                <w:bCs/>
                <w:sz w:val="22"/>
                <w:szCs w:val="22"/>
              </w:rPr>
              <w:t>FC</w:t>
            </w:r>
            <w:r>
              <w:rPr>
                <w:rFonts w:ascii="Calibri" w:hAnsi="Calibri"/>
                <w:b/>
                <w:bCs/>
                <w:sz w:val="22"/>
                <w:szCs w:val="22"/>
              </w:rPr>
              <w:t>D</w:t>
            </w:r>
          </w:p>
        </w:tc>
        <w:tc>
          <w:tcPr>
            <w:tcW w:w="1059" w:type="dxa"/>
            <w:shd w:val="pct15" w:color="auto" w:fill="auto"/>
            <w:vAlign w:val="center"/>
          </w:tcPr>
          <w:p w14:paraId="221E77F7" w14:textId="77777777" w:rsidR="007205B3" w:rsidRPr="00B1155E" w:rsidRDefault="007205B3" w:rsidP="00BE3F24">
            <w:pPr>
              <w:jc w:val="center"/>
              <w:rPr>
                <w:rFonts w:ascii="Arial" w:hAnsi="Arial"/>
                <w:b/>
                <w:sz w:val="22"/>
              </w:rPr>
            </w:pPr>
            <w:r w:rsidRPr="00B1155E">
              <w:rPr>
                <w:rFonts w:ascii="Arial" w:hAnsi="Arial"/>
                <w:b/>
                <w:sz w:val="22"/>
              </w:rPr>
              <w:t>Rut</w:t>
            </w:r>
          </w:p>
        </w:tc>
      </w:tr>
      <w:tr w:rsidR="007205B3" w:rsidRPr="00EB34C7" w14:paraId="689D4501" w14:textId="77777777" w:rsidTr="007205B3">
        <w:trPr>
          <w:trHeight w:val="300"/>
          <w:jc w:val="center"/>
        </w:trPr>
        <w:tc>
          <w:tcPr>
            <w:tcW w:w="1330" w:type="dxa"/>
            <w:vAlign w:val="center"/>
          </w:tcPr>
          <w:p w14:paraId="76D5DE1D"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w:t>
            </w:r>
          </w:p>
        </w:tc>
        <w:tc>
          <w:tcPr>
            <w:tcW w:w="1028" w:type="dxa"/>
            <w:noWrap/>
            <w:vAlign w:val="center"/>
            <w:hideMark/>
          </w:tcPr>
          <w:p w14:paraId="05B6F3CD"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170</w:t>
            </w:r>
          </w:p>
        </w:tc>
        <w:tc>
          <w:tcPr>
            <w:tcW w:w="989" w:type="dxa"/>
            <w:vAlign w:val="center"/>
          </w:tcPr>
          <w:p w14:paraId="56B3BD4A" w14:textId="6A74C153"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15</w:t>
            </w:r>
          </w:p>
        </w:tc>
        <w:tc>
          <w:tcPr>
            <w:tcW w:w="989" w:type="dxa"/>
            <w:vAlign w:val="center"/>
          </w:tcPr>
          <w:p w14:paraId="4871941A" w14:textId="1C297AC6"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25</w:t>
            </w:r>
          </w:p>
        </w:tc>
        <w:tc>
          <w:tcPr>
            <w:tcW w:w="1059" w:type="dxa"/>
            <w:vAlign w:val="center"/>
          </w:tcPr>
          <w:p w14:paraId="484B8994"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0.30</w:t>
            </w:r>
          </w:p>
        </w:tc>
      </w:tr>
      <w:tr w:rsidR="007205B3" w:rsidRPr="00EB34C7" w14:paraId="7793B69F" w14:textId="77777777" w:rsidTr="007205B3">
        <w:trPr>
          <w:trHeight w:val="300"/>
          <w:jc w:val="center"/>
        </w:trPr>
        <w:tc>
          <w:tcPr>
            <w:tcW w:w="1330" w:type="dxa"/>
            <w:vAlign w:val="center"/>
          </w:tcPr>
          <w:p w14:paraId="746D250E"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2</w:t>
            </w:r>
          </w:p>
        </w:tc>
        <w:tc>
          <w:tcPr>
            <w:tcW w:w="1028" w:type="dxa"/>
            <w:noWrap/>
            <w:vAlign w:val="center"/>
            <w:hideMark/>
          </w:tcPr>
          <w:p w14:paraId="1A33874B"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180</w:t>
            </w:r>
          </w:p>
        </w:tc>
        <w:tc>
          <w:tcPr>
            <w:tcW w:w="989" w:type="dxa"/>
            <w:vAlign w:val="center"/>
          </w:tcPr>
          <w:p w14:paraId="45DA0FCD" w14:textId="7E57CDCD"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vAlign w:val="center"/>
          </w:tcPr>
          <w:p w14:paraId="599D1738" w14:textId="097F2371"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1059" w:type="dxa"/>
            <w:vAlign w:val="center"/>
          </w:tcPr>
          <w:p w14:paraId="7A90A0D2"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0.35</w:t>
            </w:r>
          </w:p>
        </w:tc>
      </w:tr>
      <w:tr w:rsidR="007205B3" w:rsidRPr="00BB3B5C" w14:paraId="43E53371" w14:textId="77777777" w:rsidTr="007205B3">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1330" w:type="dxa"/>
            <w:tcBorders>
              <w:top w:val="nil"/>
              <w:left w:val="single" w:sz="4" w:space="0" w:color="auto"/>
              <w:bottom w:val="single" w:sz="4" w:space="0" w:color="auto"/>
              <w:right w:val="single" w:sz="4" w:space="0" w:color="auto"/>
            </w:tcBorders>
            <w:vAlign w:val="bottom"/>
          </w:tcPr>
          <w:p w14:paraId="7E2E12AE"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3</w:t>
            </w:r>
          </w:p>
        </w:tc>
        <w:tc>
          <w:tcPr>
            <w:tcW w:w="1028" w:type="dxa"/>
            <w:tcBorders>
              <w:top w:val="single" w:sz="4" w:space="0" w:color="auto"/>
              <w:left w:val="single" w:sz="4" w:space="0" w:color="auto"/>
              <w:bottom w:val="single" w:sz="4" w:space="0" w:color="auto"/>
              <w:right w:val="single" w:sz="4" w:space="0" w:color="auto"/>
            </w:tcBorders>
            <w:noWrap/>
            <w:vAlign w:val="bottom"/>
          </w:tcPr>
          <w:p w14:paraId="488FA6C7"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180</w:t>
            </w:r>
          </w:p>
        </w:tc>
        <w:tc>
          <w:tcPr>
            <w:tcW w:w="989" w:type="dxa"/>
            <w:tcBorders>
              <w:top w:val="single" w:sz="4" w:space="0" w:color="auto"/>
              <w:left w:val="single" w:sz="4" w:space="0" w:color="auto"/>
              <w:bottom w:val="single" w:sz="4" w:space="0" w:color="auto"/>
              <w:right w:val="single" w:sz="4" w:space="0" w:color="auto"/>
            </w:tcBorders>
            <w:vAlign w:val="bottom"/>
          </w:tcPr>
          <w:p w14:paraId="49FE0D03"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tcBorders>
              <w:top w:val="single" w:sz="4" w:space="0" w:color="auto"/>
              <w:left w:val="single" w:sz="4" w:space="0" w:color="auto"/>
              <w:bottom w:val="single" w:sz="4" w:space="0" w:color="auto"/>
              <w:right w:val="single" w:sz="4" w:space="0" w:color="auto"/>
            </w:tcBorders>
            <w:vAlign w:val="bottom"/>
          </w:tcPr>
          <w:p w14:paraId="32461B6F"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35</w:t>
            </w:r>
          </w:p>
        </w:tc>
        <w:tc>
          <w:tcPr>
            <w:tcW w:w="1059" w:type="dxa"/>
            <w:tcBorders>
              <w:top w:val="single" w:sz="4" w:space="0" w:color="auto"/>
              <w:left w:val="single" w:sz="4" w:space="0" w:color="auto"/>
              <w:bottom w:val="single" w:sz="4" w:space="0" w:color="auto"/>
              <w:right w:val="single" w:sz="4" w:space="0" w:color="auto"/>
            </w:tcBorders>
            <w:vAlign w:val="bottom"/>
          </w:tcPr>
          <w:p w14:paraId="46974804"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0.35</w:t>
            </w:r>
          </w:p>
        </w:tc>
      </w:tr>
      <w:tr w:rsidR="007205B3" w:rsidRPr="00EB34C7" w14:paraId="0E7FB216" w14:textId="77777777" w:rsidTr="007205B3">
        <w:trPr>
          <w:trHeight w:val="300"/>
          <w:jc w:val="center"/>
        </w:trPr>
        <w:tc>
          <w:tcPr>
            <w:tcW w:w="1330" w:type="dxa"/>
            <w:vAlign w:val="center"/>
          </w:tcPr>
          <w:p w14:paraId="78D1E632"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6</w:t>
            </w:r>
          </w:p>
        </w:tc>
        <w:tc>
          <w:tcPr>
            <w:tcW w:w="1028" w:type="dxa"/>
            <w:noWrap/>
            <w:vAlign w:val="center"/>
            <w:hideMark/>
          </w:tcPr>
          <w:p w14:paraId="277916DC"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250</w:t>
            </w:r>
          </w:p>
        </w:tc>
        <w:tc>
          <w:tcPr>
            <w:tcW w:w="989" w:type="dxa"/>
            <w:vAlign w:val="center"/>
          </w:tcPr>
          <w:p w14:paraId="6B6EB1CA" w14:textId="4B328F5A"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vAlign w:val="center"/>
          </w:tcPr>
          <w:p w14:paraId="10A7713F" w14:textId="6DB23F5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1059" w:type="dxa"/>
            <w:vAlign w:val="center"/>
          </w:tcPr>
          <w:p w14:paraId="02B02FDE"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0.40</w:t>
            </w:r>
          </w:p>
        </w:tc>
      </w:tr>
      <w:tr w:rsidR="007205B3" w:rsidRPr="00EB34C7" w14:paraId="41EB1CFF" w14:textId="77777777" w:rsidTr="007205B3">
        <w:trPr>
          <w:trHeight w:val="300"/>
          <w:jc w:val="center"/>
        </w:trPr>
        <w:tc>
          <w:tcPr>
            <w:tcW w:w="1330" w:type="dxa"/>
            <w:vAlign w:val="center"/>
          </w:tcPr>
          <w:p w14:paraId="53DFAD5D"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7</w:t>
            </w:r>
          </w:p>
        </w:tc>
        <w:tc>
          <w:tcPr>
            <w:tcW w:w="1028" w:type="dxa"/>
            <w:noWrap/>
            <w:vAlign w:val="center"/>
            <w:hideMark/>
          </w:tcPr>
          <w:p w14:paraId="470AAB8A"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265</w:t>
            </w:r>
          </w:p>
        </w:tc>
        <w:tc>
          <w:tcPr>
            <w:tcW w:w="989" w:type="dxa"/>
            <w:vAlign w:val="center"/>
          </w:tcPr>
          <w:p w14:paraId="7F63B667" w14:textId="0BE92D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vAlign w:val="center"/>
          </w:tcPr>
          <w:p w14:paraId="2F59957D" w14:textId="0B81D772"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45</w:t>
            </w:r>
          </w:p>
        </w:tc>
        <w:tc>
          <w:tcPr>
            <w:tcW w:w="1059" w:type="dxa"/>
            <w:vAlign w:val="center"/>
          </w:tcPr>
          <w:p w14:paraId="1AC8B0DB"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0.45</w:t>
            </w:r>
          </w:p>
        </w:tc>
      </w:tr>
      <w:tr w:rsidR="007205B3" w:rsidRPr="00EB34C7" w14:paraId="23E786F0" w14:textId="77777777" w:rsidTr="007205B3">
        <w:trPr>
          <w:trHeight w:val="300"/>
          <w:jc w:val="center"/>
        </w:trPr>
        <w:tc>
          <w:tcPr>
            <w:tcW w:w="1330" w:type="dxa"/>
            <w:vAlign w:val="center"/>
          </w:tcPr>
          <w:p w14:paraId="73C43C40"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8</w:t>
            </w:r>
          </w:p>
        </w:tc>
        <w:tc>
          <w:tcPr>
            <w:tcW w:w="1028" w:type="dxa"/>
            <w:noWrap/>
            <w:vAlign w:val="center"/>
            <w:hideMark/>
          </w:tcPr>
          <w:p w14:paraId="4A484661"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280</w:t>
            </w:r>
          </w:p>
        </w:tc>
        <w:tc>
          <w:tcPr>
            <w:tcW w:w="989" w:type="dxa"/>
            <w:vAlign w:val="center"/>
          </w:tcPr>
          <w:p w14:paraId="51C0DD11"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vAlign w:val="center"/>
          </w:tcPr>
          <w:p w14:paraId="6EEDA93E" w14:textId="0F32E026"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45</w:t>
            </w:r>
          </w:p>
        </w:tc>
        <w:tc>
          <w:tcPr>
            <w:tcW w:w="1059" w:type="dxa"/>
            <w:vAlign w:val="center"/>
          </w:tcPr>
          <w:p w14:paraId="2E82A816"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0.50</w:t>
            </w:r>
          </w:p>
        </w:tc>
      </w:tr>
      <w:tr w:rsidR="007205B3" w:rsidRPr="00EB34C7" w14:paraId="0D8BFFCE" w14:textId="77777777" w:rsidTr="007205B3">
        <w:trPr>
          <w:trHeight w:val="300"/>
          <w:jc w:val="center"/>
        </w:trPr>
        <w:tc>
          <w:tcPr>
            <w:tcW w:w="1330" w:type="dxa"/>
            <w:vAlign w:val="center"/>
          </w:tcPr>
          <w:p w14:paraId="04306F72"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9</w:t>
            </w:r>
          </w:p>
        </w:tc>
        <w:tc>
          <w:tcPr>
            <w:tcW w:w="1028" w:type="dxa"/>
            <w:noWrap/>
            <w:vAlign w:val="center"/>
            <w:hideMark/>
          </w:tcPr>
          <w:p w14:paraId="51301C1D"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325</w:t>
            </w:r>
          </w:p>
        </w:tc>
        <w:tc>
          <w:tcPr>
            <w:tcW w:w="989" w:type="dxa"/>
            <w:vAlign w:val="center"/>
          </w:tcPr>
          <w:p w14:paraId="3DB36B1D" w14:textId="2DCDB9F8"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40</w:t>
            </w:r>
          </w:p>
        </w:tc>
        <w:tc>
          <w:tcPr>
            <w:tcW w:w="989" w:type="dxa"/>
            <w:vAlign w:val="center"/>
          </w:tcPr>
          <w:p w14:paraId="27210490" w14:textId="4864205B"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50</w:t>
            </w:r>
          </w:p>
        </w:tc>
        <w:tc>
          <w:tcPr>
            <w:tcW w:w="1059" w:type="dxa"/>
            <w:vAlign w:val="center"/>
          </w:tcPr>
          <w:p w14:paraId="38B8D7AA"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0.50</w:t>
            </w:r>
          </w:p>
        </w:tc>
      </w:tr>
      <w:tr w:rsidR="007205B3" w:rsidRPr="00EB34C7" w14:paraId="0E65172A" w14:textId="77777777" w:rsidTr="007205B3">
        <w:trPr>
          <w:trHeight w:val="300"/>
          <w:jc w:val="center"/>
        </w:trPr>
        <w:tc>
          <w:tcPr>
            <w:tcW w:w="1330" w:type="dxa"/>
            <w:vAlign w:val="center"/>
          </w:tcPr>
          <w:p w14:paraId="4EE141F9"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11</w:t>
            </w:r>
          </w:p>
        </w:tc>
        <w:tc>
          <w:tcPr>
            <w:tcW w:w="1028" w:type="dxa"/>
            <w:noWrap/>
            <w:vAlign w:val="center"/>
            <w:hideMark/>
          </w:tcPr>
          <w:p w14:paraId="32ACD9E1"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170</w:t>
            </w:r>
          </w:p>
        </w:tc>
        <w:tc>
          <w:tcPr>
            <w:tcW w:w="989" w:type="dxa"/>
            <w:vAlign w:val="center"/>
          </w:tcPr>
          <w:p w14:paraId="2C2F6036" w14:textId="443A24EA"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15</w:t>
            </w:r>
          </w:p>
        </w:tc>
        <w:tc>
          <w:tcPr>
            <w:tcW w:w="989" w:type="dxa"/>
            <w:vAlign w:val="center"/>
          </w:tcPr>
          <w:p w14:paraId="308AB86E" w14:textId="05A70764"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25</w:t>
            </w:r>
          </w:p>
        </w:tc>
        <w:tc>
          <w:tcPr>
            <w:tcW w:w="1059" w:type="dxa"/>
            <w:vAlign w:val="center"/>
          </w:tcPr>
          <w:p w14:paraId="54D2325F"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0.30</w:t>
            </w:r>
          </w:p>
        </w:tc>
      </w:tr>
      <w:tr w:rsidR="007205B3" w:rsidRPr="00EB34C7" w14:paraId="65DF22C6" w14:textId="77777777" w:rsidTr="007205B3">
        <w:trPr>
          <w:trHeight w:val="300"/>
          <w:jc w:val="center"/>
        </w:trPr>
        <w:tc>
          <w:tcPr>
            <w:tcW w:w="1330" w:type="dxa"/>
            <w:vAlign w:val="center"/>
          </w:tcPr>
          <w:p w14:paraId="573664F9"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12</w:t>
            </w:r>
          </w:p>
        </w:tc>
        <w:tc>
          <w:tcPr>
            <w:tcW w:w="1028" w:type="dxa"/>
            <w:noWrap/>
            <w:vAlign w:val="center"/>
            <w:hideMark/>
          </w:tcPr>
          <w:p w14:paraId="5CCC7F92"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180</w:t>
            </w:r>
          </w:p>
        </w:tc>
        <w:tc>
          <w:tcPr>
            <w:tcW w:w="989" w:type="dxa"/>
            <w:vAlign w:val="center"/>
          </w:tcPr>
          <w:p w14:paraId="2C46D916" w14:textId="73D34DC2"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vAlign w:val="center"/>
          </w:tcPr>
          <w:p w14:paraId="3502DAB0" w14:textId="0C5B01CB"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1059" w:type="dxa"/>
            <w:vAlign w:val="center"/>
          </w:tcPr>
          <w:p w14:paraId="498C6688"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0.35</w:t>
            </w:r>
          </w:p>
        </w:tc>
      </w:tr>
      <w:tr w:rsidR="007205B3" w:rsidRPr="00EB34C7" w14:paraId="6F6033A3" w14:textId="77777777" w:rsidTr="007205B3">
        <w:trPr>
          <w:trHeight w:val="300"/>
          <w:jc w:val="center"/>
        </w:trPr>
        <w:tc>
          <w:tcPr>
            <w:tcW w:w="1330" w:type="dxa"/>
            <w:vAlign w:val="center"/>
          </w:tcPr>
          <w:p w14:paraId="3C45E04B"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14</w:t>
            </w:r>
          </w:p>
        </w:tc>
        <w:tc>
          <w:tcPr>
            <w:tcW w:w="1028" w:type="dxa"/>
            <w:noWrap/>
            <w:vAlign w:val="center"/>
            <w:hideMark/>
          </w:tcPr>
          <w:p w14:paraId="5FBA7955"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250</w:t>
            </w:r>
          </w:p>
        </w:tc>
        <w:tc>
          <w:tcPr>
            <w:tcW w:w="989" w:type="dxa"/>
            <w:vAlign w:val="center"/>
          </w:tcPr>
          <w:p w14:paraId="0FCD94CA" w14:textId="1A607508"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vAlign w:val="center"/>
          </w:tcPr>
          <w:p w14:paraId="5CD1B3DE" w14:textId="017674CC"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1059" w:type="dxa"/>
            <w:vAlign w:val="center"/>
          </w:tcPr>
          <w:p w14:paraId="73EE251C"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0.40</w:t>
            </w:r>
          </w:p>
        </w:tc>
      </w:tr>
      <w:tr w:rsidR="007205B3" w:rsidRPr="00EB34C7" w14:paraId="568C8955" w14:textId="77777777" w:rsidTr="007205B3">
        <w:trPr>
          <w:trHeight w:val="300"/>
          <w:jc w:val="center"/>
        </w:trPr>
        <w:tc>
          <w:tcPr>
            <w:tcW w:w="1330" w:type="dxa"/>
            <w:vAlign w:val="center"/>
          </w:tcPr>
          <w:p w14:paraId="58A9EDE6"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16</w:t>
            </w:r>
          </w:p>
        </w:tc>
        <w:tc>
          <w:tcPr>
            <w:tcW w:w="1028" w:type="dxa"/>
            <w:noWrap/>
            <w:vAlign w:val="center"/>
            <w:hideMark/>
          </w:tcPr>
          <w:p w14:paraId="0A1869CC"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265</w:t>
            </w:r>
          </w:p>
        </w:tc>
        <w:tc>
          <w:tcPr>
            <w:tcW w:w="989" w:type="dxa"/>
            <w:vAlign w:val="center"/>
          </w:tcPr>
          <w:p w14:paraId="659F7765" w14:textId="386B7520"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vAlign w:val="center"/>
          </w:tcPr>
          <w:p w14:paraId="31B4580D" w14:textId="0D791D41"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1059" w:type="dxa"/>
            <w:vAlign w:val="center"/>
          </w:tcPr>
          <w:p w14:paraId="6EA2B5F3"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0.45</w:t>
            </w:r>
          </w:p>
        </w:tc>
      </w:tr>
      <w:tr w:rsidR="007205B3" w:rsidRPr="00EB34C7" w14:paraId="3C357B5D" w14:textId="77777777" w:rsidTr="007205B3">
        <w:trPr>
          <w:trHeight w:val="300"/>
          <w:jc w:val="center"/>
        </w:trPr>
        <w:tc>
          <w:tcPr>
            <w:tcW w:w="1330" w:type="dxa"/>
            <w:vAlign w:val="center"/>
          </w:tcPr>
          <w:p w14:paraId="687D5AD1"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17</w:t>
            </w:r>
          </w:p>
        </w:tc>
        <w:tc>
          <w:tcPr>
            <w:tcW w:w="1028" w:type="dxa"/>
            <w:noWrap/>
            <w:vAlign w:val="center"/>
            <w:hideMark/>
          </w:tcPr>
          <w:p w14:paraId="2C11F512"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280</w:t>
            </w:r>
          </w:p>
        </w:tc>
        <w:tc>
          <w:tcPr>
            <w:tcW w:w="989" w:type="dxa"/>
            <w:vAlign w:val="center"/>
          </w:tcPr>
          <w:p w14:paraId="47F371A8"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vAlign w:val="center"/>
          </w:tcPr>
          <w:p w14:paraId="615C03C2" w14:textId="7A63F045"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45</w:t>
            </w:r>
          </w:p>
        </w:tc>
        <w:tc>
          <w:tcPr>
            <w:tcW w:w="1059" w:type="dxa"/>
            <w:vAlign w:val="center"/>
          </w:tcPr>
          <w:p w14:paraId="22091F7E"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0.50</w:t>
            </w:r>
          </w:p>
        </w:tc>
      </w:tr>
      <w:tr w:rsidR="007205B3" w:rsidRPr="00BB3B5C" w14:paraId="7E021056" w14:textId="77777777" w:rsidTr="007205B3">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1330" w:type="dxa"/>
            <w:tcBorders>
              <w:top w:val="nil"/>
              <w:left w:val="single" w:sz="4" w:space="0" w:color="auto"/>
              <w:bottom w:val="single" w:sz="8" w:space="0" w:color="auto"/>
              <w:right w:val="single" w:sz="4" w:space="0" w:color="auto"/>
            </w:tcBorders>
            <w:vAlign w:val="bottom"/>
          </w:tcPr>
          <w:p w14:paraId="355ECE1B"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18</w:t>
            </w:r>
          </w:p>
        </w:tc>
        <w:tc>
          <w:tcPr>
            <w:tcW w:w="1028" w:type="dxa"/>
            <w:tcBorders>
              <w:top w:val="single" w:sz="4" w:space="0" w:color="auto"/>
              <w:left w:val="single" w:sz="4" w:space="0" w:color="auto"/>
              <w:bottom w:val="single" w:sz="4" w:space="0" w:color="auto"/>
              <w:right w:val="single" w:sz="4" w:space="0" w:color="auto"/>
            </w:tcBorders>
            <w:noWrap/>
            <w:vAlign w:val="bottom"/>
          </w:tcPr>
          <w:p w14:paraId="1115AE50"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280</w:t>
            </w:r>
          </w:p>
        </w:tc>
        <w:tc>
          <w:tcPr>
            <w:tcW w:w="989" w:type="dxa"/>
            <w:tcBorders>
              <w:top w:val="single" w:sz="4" w:space="0" w:color="auto"/>
              <w:left w:val="single" w:sz="4" w:space="0" w:color="auto"/>
              <w:bottom w:val="single" w:sz="4" w:space="0" w:color="auto"/>
              <w:right w:val="single" w:sz="4" w:space="0" w:color="auto"/>
            </w:tcBorders>
            <w:vAlign w:val="bottom"/>
          </w:tcPr>
          <w:p w14:paraId="07CCF800"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35</w:t>
            </w:r>
          </w:p>
        </w:tc>
        <w:tc>
          <w:tcPr>
            <w:tcW w:w="989" w:type="dxa"/>
            <w:tcBorders>
              <w:top w:val="single" w:sz="4" w:space="0" w:color="auto"/>
              <w:left w:val="single" w:sz="4" w:space="0" w:color="auto"/>
              <w:bottom w:val="single" w:sz="4" w:space="0" w:color="auto"/>
              <w:right w:val="single" w:sz="4" w:space="0" w:color="auto"/>
            </w:tcBorders>
            <w:vAlign w:val="bottom"/>
          </w:tcPr>
          <w:p w14:paraId="5D52CFAC"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45</w:t>
            </w:r>
          </w:p>
        </w:tc>
        <w:tc>
          <w:tcPr>
            <w:tcW w:w="1059" w:type="dxa"/>
            <w:tcBorders>
              <w:top w:val="single" w:sz="4" w:space="0" w:color="auto"/>
              <w:left w:val="single" w:sz="4" w:space="0" w:color="auto"/>
              <w:bottom w:val="single" w:sz="4" w:space="0" w:color="auto"/>
              <w:right w:val="single" w:sz="4" w:space="0" w:color="auto"/>
            </w:tcBorders>
            <w:vAlign w:val="bottom"/>
          </w:tcPr>
          <w:p w14:paraId="4CF5D1C0"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0.50</w:t>
            </w:r>
          </w:p>
        </w:tc>
      </w:tr>
      <w:tr w:rsidR="007205B3" w:rsidRPr="00EB34C7" w14:paraId="0579858E" w14:textId="77777777" w:rsidTr="007205B3">
        <w:trPr>
          <w:trHeight w:val="315"/>
          <w:jc w:val="center"/>
        </w:trPr>
        <w:tc>
          <w:tcPr>
            <w:tcW w:w="1330" w:type="dxa"/>
            <w:vAlign w:val="center"/>
          </w:tcPr>
          <w:p w14:paraId="6ACA606C"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19</w:t>
            </w:r>
          </w:p>
        </w:tc>
        <w:tc>
          <w:tcPr>
            <w:tcW w:w="1028" w:type="dxa"/>
            <w:noWrap/>
            <w:vAlign w:val="center"/>
            <w:hideMark/>
          </w:tcPr>
          <w:p w14:paraId="70E1ED91"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325</w:t>
            </w:r>
          </w:p>
        </w:tc>
        <w:tc>
          <w:tcPr>
            <w:tcW w:w="989" w:type="dxa"/>
            <w:vAlign w:val="center"/>
          </w:tcPr>
          <w:p w14:paraId="2663C7E4" w14:textId="670586F8"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40</w:t>
            </w:r>
          </w:p>
        </w:tc>
        <w:tc>
          <w:tcPr>
            <w:tcW w:w="989" w:type="dxa"/>
            <w:vAlign w:val="center"/>
          </w:tcPr>
          <w:p w14:paraId="5CF8452D" w14:textId="5A17B454"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50</w:t>
            </w:r>
          </w:p>
        </w:tc>
        <w:tc>
          <w:tcPr>
            <w:tcW w:w="1059" w:type="dxa"/>
            <w:vAlign w:val="center"/>
          </w:tcPr>
          <w:p w14:paraId="3B82B6E6" w14:textId="77777777" w:rsidR="007205B3" w:rsidRPr="00A7365E" w:rsidRDefault="007205B3" w:rsidP="00BE3F24">
            <w:pPr>
              <w:jc w:val="center"/>
              <w:rPr>
                <w:rFonts w:ascii="Arial" w:hAnsi="Arial" w:cs="Arial"/>
                <w:color w:val="000000"/>
                <w:sz w:val="22"/>
                <w:szCs w:val="22"/>
              </w:rPr>
            </w:pPr>
            <w:r w:rsidRPr="00A7365E">
              <w:rPr>
                <w:rFonts w:ascii="Arial" w:hAnsi="Arial" w:cs="Arial"/>
                <w:color w:val="000000"/>
                <w:sz w:val="22"/>
                <w:szCs w:val="22"/>
              </w:rPr>
              <w:t>0.50</w:t>
            </w:r>
          </w:p>
        </w:tc>
      </w:tr>
    </w:tbl>
    <w:p w14:paraId="692AEFAD" w14:textId="77777777" w:rsidR="006924B8" w:rsidRDefault="006924B8" w:rsidP="00BE3F24">
      <w:pPr>
        <w:pStyle w:val="BodyText"/>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28"/>
        <w:gridCol w:w="989"/>
        <w:gridCol w:w="989"/>
        <w:gridCol w:w="1059"/>
      </w:tblGrid>
      <w:tr w:rsidR="007205B3" w:rsidRPr="00EB34C7" w14:paraId="46D1EA33" w14:textId="77777777" w:rsidTr="00C064A4">
        <w:trPr>
          <w:trHeight w:val="270"/>
          <w:jc w:val="center"/>
        </w:trPr>
        <w:tc>
          <w:tcPr>
            <w:tcW w:w="1330" w:type="dxa"/>
            <w:vMerge w:val="restart"/>
            <w:shd w:val="pct15" w:color="auto" w:fill="auto"/>
            <w:vAlign w:val="center"/>
          </w:tcPr>
          <w:p w14:paraId="430CB369" w14:textId="53C0277B" w:rsidR="007205B3" w:rsidRPr="00B1155E" w:rsidRDefault="007205B3" w:rsidP="004E784A">
            <w:pPr>
              <w:jc w:val="center"/>
              <w:rPr>
                <w:rFonts w:ascii="Arial" w:hAnsi="Arial"/>
                <w:b/>
                <w:sz w:val="22"/>
              </w:rPr>
            </w:pPr>
            <w:bookmarkStart w:id="372" w:name="_Hlk23148542"/>
            <w:r>
              <w:br w:type="page"/>
            </w:r>
            <w:r w:rsidRPr="00B1155E">
              <w:rPr>
                <w:rFonts w:ascii="Arial" w:hAnsi="Arial"/>
                <w:b/>
                <w:sz w:val="22"/>
              </w:rPr>
              <w:t>Functional Class</w:t>
            </w:r>
          </w:p>
        </w:tc>
        <w:tc>
          <w:tcPr>
            <w:tcW w:w="4065" w:type="dxa"/>
            <w:gridSpan w:val="4"/>
            <w:shd w:val="pct15" w:color="auto" w:fill="auto"/>
            <w:vAlign w:val="center"/>
          </w:tcPr>
          <w:p w14:paraId="32F6BC33" w14:textId="067724DE" w:rsidR="007205B3" w:rsidRPr="00B1155E" w:rsidRDefault="007205B3" w:rsidP="004E784A">
            <w:pPr>
              <w:jc w:val="center"/>
              <w:rPr>
                <w:rFonts w:ascii="Arial" w:hAnsi="Arial"/>
                <w:b/>
                <w:sz w:val="22"/>
              </w:rPr>
            </w:pPr>
            <w:r w:rsidRPr="00B1155E">
              <w:rPr>
                <w:rFonts w:ascii="Arial" w:hAnsi="Arial"/>
                <w:b/>
                <w:sz w:val="22"/>
              </w:rPr>
              <w:t>RSL = 20</w:t>
            </w:r>
          </w:p>
        </w:tc>
      </w:tr>
      <w:tr w:rsidR="007205B3" w:rsidRPr="00EB34C7" w14:paraId="788295A8" w14:textId="77777777" w:rsidTr="007205B3">
        <w:trPr>
          <w:trHeight w:val="332"/>
          <w:jc w:val="center"/>
        </w:trPr>
        <w:tc>
          <w:tcPr>
            <w:tcW w:w="1330" w:type="dxa"/>
            <w:vMerge/>
            <w:shd w:val="pct15" w:color="auto" w:fill="auto"/>
            <w:vAlign w:val="center"/>
          </w:tcPr>
          <w:p w14:paraId="7E127B45" w14:textId="77777777" w:rsidR="007205B3" w:rsidRPr="00B1155E" w:rsidRDefault="007205B3" w:rsidP="004E784A">
            <w:pPr>
              <w:jc w:val="center"/>
              <w:rPr>
                <w:rFonts w:ascii="Arial" w:hAnsi="Arial"/>
                <w:b/>
                <w:sz w:val="22"/>
              </w:rPr>
            </w:pPr>
          </w:p>
        </w:tc>
        <w:tc>
          <w:tcPr>
            <w:tcW w:w="1028" w:type="dxa"/>
            <w:shd w:val="pct15" w:color="auto" w:fill="auto"/>
            <w:vAlign w:val="center"/>
            <w:hideMark/>
          </w:tcPr>
          <w:p w14:paraId="260FF09E" w14:textId="77777777" w:rsidR="007205B3" w:rsidRPr="00B1155E" w:rsidRDefault="007205B3" w:rsidP="004E784A">
            <w:pPr>
              <w:jc w:val="center"/>
              <w:rPr>
                <w:rFonts w:ascii="Arial" w:hAnsi="Arial"/>
                <w:b/>
                <w:sz w:val="22"/>
              </w:rPr>
            </w:pPr>
            <w:r w:rsidRPr="00B1155E">
              <w:rPr>
                <w:rFonts w:ascii="Arial" w:hAnsi="Arial"/>
                <w:b/>
                <w:sz w:val="22"/>
              </w:rPr>
              <w:t>IRI</w:t>
            </w:r>
          </w:p>
        </w:tc>
        <w:tc>
          <w:tcPr>
            <w:tcW w:w="989" w:type="dxa"/>
            <w:shd w:val="pct15" w:color="auto" w:fill="auto"/>
            <w:vAlign w:val="center"/>
          </w:tcPr>
          <w:p w14:paraId="4C8E9C43" w14:textId="27BEA7A1" w:rsidR="007205B3" w:rsidRPr="00B1155E" w:rsidRDefault="007205B3" w:rsidP="004E784A">
            <w:pPr>
              <w:jc w:val="center"/>
              <w:rPr>
                <w:rFonts w:ascii="Arial" w:hAnsi="Arial"/>
                <w:b/>
                <w:sz w:val="22"/>
              </w:rPr>
            </w:pPr>
            <w:r w:rsidRPr="006924B8">
              <w:rPr>
                <w:rFonts w:asciiTheme="minorHAnsi" w:hAnsiTheme="minorHAnsi"/>
                <w:b/>
                <w:bCs/>
                <w:sz w:val="22"/>
                <w:szCs w:val="22"/>
              </w:rPr>
              <w:t>SCD</w:t>
            </w:r>
          </w:p>
        </w:tc>
        <w:tc>
          <w:tcPr>
            <w:tcW w:w="989" w:type="dxa"/>
            <w:shd w:val="pct15" w:color="auto" w:fill="auto"/>
            <w:vAlign w:val="center"/>
          </w:tcPr>
          <w:p w14:paraId="160D9F64" w14:textId="58319045" w:rsidR="007205B3" w:rsidRPr="00B1155E" w:rsidRDefault="007205B3" w:rsidP="004E784A">
            <w:pPr>
              <w:jc w:val="center"/>
              <w:rPr>
                <w:rFonts w:ascii="Arial" w:hAnsi="Arial"/>
                <w:b/>
                <w:sz w:val="22"/>
              </w:rPr>
            </w:pPr>
            <w:r w:rsidRPr="006924B8">
              <w:rPr>
                <w:rFonts w:asciiTheme="minorHAnsi" w:hAnsiTheme="minorHAnsi"/>
                <w:b/>
                <w:bCs/>
                <w:sz w:val="22"/>
                <w:szCs w:val="22"/>
              </w:rPr>
              <w:t>FCD</w:t>
            </w:r>
          </w:p>
        </w:tc>
        <w:tc>
          <w:tcPr>
            <w:tcW w:w="1059" w:type="dxa"/>
            <w:shd w:val="pct15" w:color="auto" w:fill="auto"/>
            <w:vAlign w:val="center"/>
          </w:tcPr>
          <w:p w14:paraId="23A88C22" w14:textId="77777777" w:rsidR="007205B3" w:rsidRPr="00B1155E" w:rsidRDefault="007205B3" w:rsidP="004E784A">
            <w:pPr>
              <w:jc w:val="center"/>
              <w:rPr>
                <w:rFonts w:ascii="Arial" w:hAnsi="Arial"/>
                <w:b/>
                <w:sz w:val="22"/>
              </w:rPr>
            </w:pPr>
            <w:r w:rsidRPr="00B1155E">
              <w:rPr>
                <w:rFonts w:ascii="Arial" w:hAnsi="Arial"/>
                <w:b/>
                <w:sz w:val="22"/>
              </w:rPr>
              <w:t>Rut</w:t>
            </w:r>
          </w:p>
        </w:tc>
      </w:tr>
      <w:tr w:rsidR="007205B3" w:rsidRPr="00EB34C7" w14:paraId="6F55AA0F" w14:textId="77777777" w:rsidTr="007205B3">
        <w:trPr>
          <w:trHeight w:val="300"/>
          <w:jc w:val="center"/>
        </w:trPr>
        <w:tc>
          <w:tcPr>
            <w:tcW w:w="1330" w:type="dxa"/>
            <w:vAlign w:val="center"/>
          </w:tcPr>
          <w:p w14:paraId="44B44E29"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1</w:t>
            </w:r>
          </w:p>
        </w:tc>
        <w:tc>
          <w:tcPr>
            <w:tcW w:w="1028" w:type="dxa"/>
            <w:noWrap/>
            <w:vAlign w:val="center"/>
            <w:hideMark/>
          </w:tcPr>
          <w:p w14:paraId="542745BF"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108</w:t>
            </w:r>
          </w:p>
        </w:tc>
        <w:tc>
          <w:tcPr>
            <w:tcW w:w="989" w:type="dxa"/>
            <w:vAlign w:val="center"/>
          </w:tcPr>
          <w:p w14:paraId="01AB9BD7" w14:textId="00789D88"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3</w:t>
            </w:r>
          </w:p>
        </w:tc>
        <w:tc>
          <w:tcPr>
            <w:tcW w:w="989" w:type="dxa"/>
            <w:vAlign w:val="center"/>
          </w:tcPr>
          <w:p w14:paraId="2F86265A" w14:textId="2E40248D"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7</w:t>
            </w:r>
          </w:p>
        </w:tc>
        <w:tc>
          <w:tcPr>
            <w:tcW w:w="1059" w:type="dxa"/>
            <w:vAlign w:val="center"/>
          </w:tcPr>
          <w:p w14:paraId="487A1AB9"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0.19</w:t>
            </w:r>
          </w:p>
        </w:tc>
      </w:tr>
      <w:tr w:rsidR="007205B3" w:rsidRPr="00EB34C7" w14:paraId="6F047539" w14:textId="77777777" w:rsidTr="007205B3">
        <w:trPr>
          <w:trHeight w:val="300"/>
          <w:jc w:val="center"/>
        </w:trPr>
        <w:tc>
          <w:tcPr>
            <w:tcW w:w="1330" w:type="dxa"/>
            <w:vAlign w:val="center"/>
          </w:tcPr>
          <w:p w14:paraId="4469EC26"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2</w:t>
            </w:r>
          </w:p>
        </w:tc>
        <w:tc>
          <w:tcPr>
            <w:tcW w:w="1028" w:type="dxa"/>
            <w:noWrap/>
            <w:vAlign w:val="center"/>
            <w:hideMark/>
          </w:tcPr>
          <w:p w14:paraId="2E953A75"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115</w:t>
            </w:r>
          </w:p>
        </w:tc>
        <w:tc>
          <w:tcPr>
            <w:tcW w:w="989" w:type="dxa"/>
            <w:vAlign w:val="center"/>
          </w:tcPr>
          <w:p w14:paraId="2DF06D60" w14:textId="6DC70D43"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4</w:t>
            </w:r>
          </w:p>
        </w:tc>
        <w:tc>
          <w:tcPr>
            <w:tcW w:w="989" w:type="dxa"/>
            <w:vAlign w:val="center"/>
          </w:tcPr>
          <w:p w14:paraId="7BA0D1AA" w14:textId="0854B918"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8</w:t>
            </w:r>
          </w:p>
        </w:tc>
        <w:tc>
          <w:tcPr>
            <w:tcW w:w="1059" w:type="dxa"/>
            <w:vAlign w:val="center"/>
          </w:tcPr>
          <w:p w14:paraId="63986622"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0.21</w:t>
            </w:r>
          </w:p>
        </w:tc>
      </w:tr>
      <w:tr w:rsidR="007205B3" w:rsidRPr="00BB3B5C" w14:paraId="2BAE796C" w14:textId="77777777" w:rsidTr="007205B3">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1330" w:type="dxa"/>
            <w:tcBorders>
              <w:top w:val="nil"/>
              <w:left w:val="single" w:sz="4" w:space="0" w:color="auto"/>
              <w:bottom w:val="single" w:sz="4" w:space="0" w:color="auto"/>
              <w:right w:val="single" w:sz="4" w:space="0" w:color="auto"/>
            </w:tcBorders>
            <w:vAlign w:val="bottom"/>
          </w:tcPr>
          <w:p w14:paraId="2C5BDB58"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3</w:t>
            </w:r>
          </w:p>
        </w:tc>
        <w:tc>
          <w:tcPr>
            <w:tcW w:w="1028" w:type="dxa"/>
            <w:tcBorders>
              <w:top w:val="single" w:sz="4" w:space="0" w:color="auto"/>
              <w:left w:val="single" w:sz="4" w:space="0" w:color="auto"/>
              <w:bottom w:val="single" w:sz="4" w:space="0" w:color="auto"/>
              <w:right w:val="single" w:sz="4" w:space="0" w:color="auto"/>
            </w:tcBorders>
            <w:noWrap/>
            <w:vAlign w:val="bottom"/>
          </w:tcPr>
          <w:p w14:paraId="5AFA9762"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115</w:t>
            </w:r>
          </w:p>
        </w:tc>
        <w:tc>
          <w:tcPr>
            <w:tcW w:w="989" w:type="dxa"/>
            <w:tcBorders>
              <w:top w:val="single" w:sz="4" w:space="0" w:color="auto"/>
              <w:left w:val="single" w:sz="4" w:space="0" w:color="auto"/>
              <w:bottom w:val="single" w:sz="4" w:space="0" w:color="auto"/>
              <w:right w:val="single" w:sz="4" w:space="0" w:color="auto"/>
            </w:tcBorders>
            <w:vAlign w:val="bottom"/>
          </w:tcPr>
          <w:p w14:paraId="5A8E7154"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4</w:t>
            </w:r>
          </w:p>
        </w:tc>
        <w:tc>
          <w:tcPr>
            <w:tcW w:w="989" w:type="dxa"/>
            <w:tcBorders>
              <w:top w:val="single" w:sz="4" w:space="0" w:color="auto"/>
              <w:left w:val="single" w:sz="4" w:space="0" w:color="auto"/>
              <w:bottom w:val="single" w:sz="4" w:space="0" w:color="auto"/>
              <w:right w:val="single" w:sz="4" w:space="0" w:color="auto"/>
            </w:tcBorders>
            <w:vAlign w:val="bottom"/>
          </w:tcPr>
          <w:p w14:paraId="259E7E7B"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8</w:t>
            </w:r>
          </w:p>
        </w:tc>
        <w:tc>
          <w:tcPr>
            <w:tcW w:w="1059" w:type="dxa"/>
            <w:tcBorders>
              <w:top w:val="single" w:sz="4" w:space="0" w:color="auto"/>
              <w:left w:val="single" w:sz="4" w:space="0" w:color="auto"/>
              <w:bottom w:val="single" w:sz="4" w:space="0" w:color="auto"/>
              <w:right w:val="single" w:sz="4" w:space="0" w:color="auto"/>
            </w:tcBorders>
            <w:vAlign w:val="bottom"/>
          </w:tcPr>
          <w:p w14:paraId="4C66FBCA"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0.21</w:t>
            </w:r>
          </w:p>
        </w:tc>
      </w:tr>
      <w:tr w:rsidR="007205B3" w:rsidRPr="00EB34C7" w14:paraId="75B12478" w14:textId="77777777" w:rsidTr="007205B3">
        <w:trPr>
          <w:trHeight w:val="300"/>
          <w:jc w:val="center"/>
        </w:trPr>
        <w:tc>
          <w:tcPr>
            <w:tcW w:w="1330" w:type="dxa"/>
            <w:vAlign w:val="center"/>
          </w:tcPr>
          <w:p w14:paraId="1911FC2D"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6</w:t>
            </w:r>
          </w:p>
        </w:tc>
        <w:tc>
          <w:tcPr>
            <w:tcW w:w="1028" w:type="dxa"/>
            <w:noWrap/>
            <w:vAlign w:val="center"/>
            <w:hideMark/>
          </w:tcPr>
          <w:p w14:paraId="6204168C"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153</w:t>
            </w:r>
          </w:p>
        </w:tc>
        <w:tc>
          <w:tcPr>
            <w:tcW w:w="989" w:type="dxa"/>
            <w:vAlign w:val="center"/>
          </w:tcPr>
          <w:p w14:paraId="51E1EEA5" w14:textId="79177032"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4</w:t>
            </w:r>
          </w:p>
        </w:tc>
        <w:tc>
          <w:tcPr>
            <w:tcW w:w="989" w:type="dxa"/>
            <w:vAlign w:val="center"/>
          </w:tcPr>
          <w:p w14:paraId="638D1E75" w14:textId="133825FA"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8</w:t>
            </w:r>
          </w:p>
        </w:tc>
        <w:tc>
          <w:tcPr>
            <w:tcW w:w="1059" w:type="dxa"/>
            <w:vAlign w:val="center"/>
          </w:tcPr>
          <w:p w14:paraId="37D66BA3"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0.24</w:t>
            </w:r>
          </w:p>
        </w:tc>
      </w:tr>
      <w:tr w:rsidR="007205B3" w:rsidRPr="00EB34C7" w14:paraId="64475E8B" w14:textId="77777777" w:rsidTr="007205B3">
        <w:trPr>
          <w:trHeight w:val="300"/>
          <w:jc w:val="center"/>
        </w:trPr>
        <w:tc>
          <w:tcPr>
            <w:tcW w:w="1330" w:type="dxa"/>
            <w:vAlign w:val="center"/>
          </w:tcPr>
          <w:p w14:paraId="27D0F4D3"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7</w:t>
            </w:r>
          </w:p>
        </w:tc>
        <w:tc>
          <w:tcPr>
            <w:tcW w:w="1028" w:type="dxa"/>
            <w:noWrap/>
            <w:vAlign w:val="center"/>
            <w:hideMark/>
          </w:tcPr>
          <w:p w14:paraId="164D056B"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163</w:t>
            </w:r>
          </w:p>
        </w:tc>
        <w:tc>
          <w:tcPr>
            <w:tcW w:w="989" w:type="dxa"/>
            <w:vAlign w:val="center"/>
          </w:tcPr>
          <w:p w14:paraId="23D58748" w14:textId="1682E6CC"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6</w:t>
            </w:r>
          </w:p>
        </w:tc>
        <w:tc>
          <w:tcPr>
            <w:tcW w:w="989" w:type="dxa"/>
            <w:vAlign w:val="center"/>
          </w:tcPr>
          <w:p w14:paraId="51B38B7A" w14:textId="36DCE6C5"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8</w:t>
            </w:r>
          </w:p>
        </w:tc>
        <w:tc>
          <w:tcPr>
            <w:tcW w:w="1059" w:type="dxa"/>
            <w:vAlign w:val="center"/>
          </w:tcPr>
          <w:p w14:paraId="6FFABB9B"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0.26</w:t>
            </w:r>
          </w:p>
        </w:tc>
      </w:tr>
      <w:tr w:rsidR="007205B3" w:rsidRPr="00EB34C7" w14:paraId="19F4FB20" w14:textId="77777777" w:rsidTr="007205B3">
        <w:trPr>
          <w:trHeight w:val="300"/>
          <w:jc w:val="center"/>
        </w:trPr>
        <w:tc>
          <w:tcPr>
            <w:tcW w:w="1330" w:type="dxa"/>
            <w:vAlign w:val="center"/>
          </w:tcPr>
          <w:p w14:paraId="2102E0DA"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8</w:t>
            </w:r>
          </w:p>
        </w:tc>
        <w:tc>
          <w:tcPr>
            <w:tcW w:w="1028" w:type="dxa"/>
            <w:noWrap/>
            <w:vAlign w:val="center"/>
            <w:hideMark/>
          </w:tcPr>
          <w:p w14:paraId="0678CEC9"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175</w:t>
            </w:r>
          </w:p>
        </w:tc>
        <w:tc>
          <w:tcPr>
            <w:tcW w:w="989" w:type="dxa"/>
            <w:vAlign w:val="center"/>
          </w:tcPr>
          <w:p w14:paraId="63A1A259" w14:textId="538DD20E"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6</w:t>
            </w:r>
          </w:p>
        </w:tc>
        <w:tc>
          <w:tcPr>
            <w:tcW w:w="989" w:type="dxa"/>
            <w:vAlign w:val="center"/>
          </w:tcPr>
          <w:p w14:paraId="4ADE2C6A" w14:textId="02C04FA9"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8</w:t>
            </w:r>
          </w:p>
        </w:tc>
        <w:tc>
          <w:tcPr>
            <w:tcW w:w="1059" w:type="dxa"/>
            <w:vAlign w:val="center"/>
          </w:tcPr>
          <w:p w14:paraId="485AB08E"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0.29</w:t>
            </w:r>
          </w:p>
        </w:tc>
      </w:tr>
      <w:tr w:rsidR="007205B3" w:rsidRPr="00EB34C7" w14:paraId="3C6D8895" w14:textId="77777777" w:rsidTr="007205B3">
        <w:trPr>
          <w:trHeight w:val="300"/>
          <w:jc w:val="center"/>
        </w:trPr>
        <w:tc>
          <w:tcPr>
            <w:tcW w:w="1330" w:type="dxa"/>
            <w:vAlign w:val="center"/>
          </w:tcPr>
          <w:p w14:paraId="6652C840"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9</w:t>
            </w:r>
          </w:p>
        </w:tc>
        <w:tc>
          <w:tcPr>
            <w:tcW w:w="1028" w:type="dxa"/>
            <w:noWrap/>
            <w:vAlign w:val="center"/>
            <w:hideMark/>
          </w:tcPr>
          <w:p w14:paraId="10D91FFC"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198</w:t>
            </w:r>
          </w:p>
        </w:tc>
        <w:tc>
          <w:tcPr>
            <w:tcW w:w="989" w:type="dxa"/>
            <w:vAlign w:val="center"/>
          </w:tcPr>
          <w:p w14:paraId="74ACCD20" w14:textId="26BCC171"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7</w:t>
            </w:r>
          </w:p>
        </w:tc>
        <w:tc>
          <w:tcPr>
            <w:tcW w:w="989" w:type="dxa"/>
            <w:vAlign w:val="center"/>
          </w:tcPr>
          <w:p w14:paraId="244648E0" w14:textId="3255C4A0"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9</w:t>
            </w:r>
          </w:p>
        </w:tc>
        <w:tc>
          <w:tcPr>
            <w:tcW w:w="1059" w:type="dxa"/>
            <w:vAlign w:val="center"/>
          </w:tcPr>
          <w:p w14:paraId="376683C8"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0.29</w:t>
            </w:r>
          </w:p>
        </w:tc>
      </w:tr>
      <w:tr w:rsidR="007205B3" w:rsidRPr="00EB34C7" w14:paraId="41BC64F4" w14:textId="77777777" w:rsidTr="007205B3">
        <w:trPr>
          <w:trHeight w:val="300"/>
          <w:jc w:val="center"/>
        </w:trPr>
        <w:tc>
          <w:tcPr>
            <w:tcW w:w="1330" w:type="dxa"/>
            <w:vAlign w:val="center"/>
          </w:tcPr>
          <w:p w14:paraId="511D89FB"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11</w:t>
            </w:r>
          </w:p>
        </w:tc>
        <w:tc>
          <w:tcPr>
            <w:tcW w:w="1028" w:type="dxa"/>
            <w:noWrap/>
            <w:vAlign w:val="center"/>
            <w:hideMark/>
          </w:tcPr>
          <w:p w14:paraId="75433174"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108</w:t>
            </w:r>
          </w:p>
        </w:tc>
        <w:tc>
          <w:tcPr>
            <w:tcW w:w="989" w:type="dxa"/>
            <w:vAlign w:val="center"/>
          </w:tcPr>
          <w:p w14:paraId="2DCD3617" w14:textId="1F64FDED"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3</w:t>
            </w:r>
          </w:p>
        </w:tc>
        <w:tc>
          <w:tcPr>
            <w:tcW w:w="989" w:type="dxa"/>
            <w:vAlign w:val="center"/>
          </w:tcPr>
          <w:p w14:paraId="34A0C914" w14:textId="006E31BC"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7</w:t>
            </w:r>
          </w:p>
        </w:tc>
        <w:tc>
          <w:tcPr>
            <w:tcW w:w="1059" w:type="dxa"/>
            <w:vAlign w:val="center"/>
          </w:tcPr>
          <w:p w14:paraId="174ECB00"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0.19</w:t>
            </w:r>
          </w:p>
        </w:tc>
      </w:tr>
      <w:tr w:rsidR="007205B3" w:rsidRPr="00EB34C7" w14:paraId="4DF922A1" w14:textId="77777777" w:rsidTr="007205B3">
        <w:trPr>
          <w:trHeight w:val="300"/>
          <w:jc w:val="center"/>
        </w:trPr>
        <w:tc>
          <w:tcPr>
            <w:tcW w:w="1330" w:type="dxa"/>
            <w:vAlign w:val="center"/>
          </w:tcPr>
          <w:p w14:paraId="7379C66B"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12</w:t>
            </w:r>
          </w:p>
        </w:tc>
        <w:tc>
          <w:tcPr>
            <w:tcW w:w="1028" w:type="dxa"/>
            <w:noWrap/>
            <w:vAlign w:val="center"/>
            <w:hideMark/>
          </w:tcPr>
          <w:p w14:paraId="21BDF8A6"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115</w:t>
            </w:r>
          </w:p>
        </w:tc>
        <w:tc>
          <w:tcPr>
            <w:tcW w:w="989" w:type="dxa"/>
            <w:vAlign w:val="center"/>
          </w:tcPr>
          <w:p w14:paraId="0FF8C2DD" w14:textId="1E76BB76"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4</w:t>
            </w:r>
          </w:p>
        </w:tc>
        <w:tc>
          <w:tcPr>
            <w:tcW w:w="989" w:type="dxa"/>
            <w:vAlign w:val="center"/>
          </w:tcPr>
          <w:p w14:paraId="5558417F" w14:textId="4C026041"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8</w:t>
            </w:r>
          </w:p>
        </w:tc>
        <w:tc>
          <w:tcPr>
            <w:tcW w:w="1059" w:type="dxa"/>
            <w:vAlign w:val="center"/>
          </w:tcPr>
          <w:p w14:paraId="35D57B3B"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0.21</w:t>
            </w:r>
          </w:p>
        </w:tc>
      </w:tr>
      <w:tr w:rsidR="007205B3" w:rsidRPr="00EB34C7" w14:paraId="1411D4FB" w14:textId="77777777" w:rsidTr="007205B3">
        <w:trPr>
          <w:trHeight w:val="300"/>
          <w:jc w:val="center"/>
        </w:trPr>
        <w:tc>
          <w:tcPr>
            <w:tcW w:w="1330" w:type="dxa"/>
            <w:vAlign w:val="center"/>
          </w:tcPr>
          <w:p w14:paraId="69B25C58"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14</w:t>
            </w:r>
          </w:p>
        </w:tc>
        <w:tc>
          <w:tcPr>
            <w:tcW w:w="1028" w:type="dxa"/>
            <w:noWrap/>
            <w:vAlign w:val="center"/>
            <w:hideMark/>
          </w:tcPr>
          <w:p w14:paraId="7A8D7E59"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153</w:t>
            </w:r>
          </w:p>
        </w:tc>
        <w:tc>
          <w:tcPr>
            <w:tcW w:w="989" w:type="dxa"/>
            <w:vAlign w:val="center"/>
          </w:tcPr>
          <w:p w14:paraId="21350921" w14:textId="12338069"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4</w:t>
            </w:r>
          </w:p>
        </w:tc>
        <w:tc>
          <w:tcPr>
            <w:tcW w:w="989" w:type="dxa"/>
            <w:vAlign w:val="center"/>
          </w:tcPr>
          <w:p w14:paraId="0AAC06F1" w14:textId="5CD1EF65"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8</w:t>
            </w:r>
          </w:p>
        </w:tc>
        <w:tc>
          <w:tcPr>
            <w:tcW w:w="1059" w:type="dxa"/>
            <w:vAlign w:val="center"/>
          </w:tcPr>
          <w:p w14:paraId="0492F7C3"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0.24</w:t>
            </w:r>
          </w:p>
        </w:tc>
      </w:tr>
      <w:tr w:rsidR="007205B3" w:rsidRPr="00EB34C7" w14:paraId="649868D9" w14:textId="77777777" w:rsidTr="007205B3">
        <w:trPr>
          <w:trHeight w:val="300"/>
          <w:jc w:val="center"/>
        </w:trPr>
        <w:tc>
          <w:tcPr>
            <w:tcW w:w="1330" w:type="dxa"/>
            <w:vAlign w:val="center"/>
          </w:tcPr>
          <w:p w14:paraId="0B244B12"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16</w:t>
            </w:r>
          </w:p>
        </w:tc>
        <w:tc>
          <w:tcPr>
            <w:tcW w:w="1028" w:type="dxa"/>
            <w:noWrap/>
            <w:vAlign w:val="center"/>
            <w:hideMark/>
          </w:tcPr>
          <w:p w14:paraId="0A60B9A0"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163</w:t>
            </w:r>
          </w:p>
        </w:tc>
        <w:tc>
          <w:tcPr>
            <w:tcW w:w="989" w:type="dxa"/>
            <w:vAlign w:val="center"/>
          </w:tcPr>
          <w:p w14:paraId="3BBDD890" w14:textId="7CD9D8D1"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4</w:t>
            </w:r>
          </w:p>
        </w:tc>
        <w:tc>
          <w:tcPr>
            <w:tcW w:w="989" w:type="dxa"/>
            <w:vAlign w:val="center"/>
          </w:tcPr>
          <w:p w14:paraId="7D29D0F2" w14:textId="4C5FD60B"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8</w:t>
            </w:r>
          </w:p>
        </w:tc>
        <w:tc>
          <w:tcPr>
            <w:tcW w:w="1059" w:type="dxa"/>
            <w:vAlign w:val="center"/>
          </w:tcPr>
          <w:p w14:paraId="4841BC70"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0.26</w:t>
            </w:r>
          </w:p>
        </w:tc>
      </w:tr>
      <w:tr w:rsidR="007205B3" w:rsidRPr="00EB34C7" w14:paraId="430B36E4" w14:textId="77777777" w:rsidTr="007205B3">
        <w:trPr>
          <w:trHeight w:val="300"/>
          <w:jc w:val="center"/>
        </w:trPr>
        <w:tc>
          <w:tcPr>
            <w:tcW w:w="1330" w:type="dxa"/>
            <w:vAlign w:val="center"/>
          </w:tcPr>
          <w:p w14:paraId="45FB3A01"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17</w:t>
            </w:r>
          </w:p>
        </w:tc>
        <w:tc>
          <w:tcPr>
            <w:tcW w:w="1028" w:type="dxa"/>
            <w:noWrap/>
            <w:vAlign w:val="center"/>
            <w:hideMark/>
          </w:tcPr>
          <w:p w14:paraId="51ED04CA"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175</w:t>
            </w:r>
          </w:p>
        </w:tc>
        <w:tc>
          <w:tcPr>
            <w:tcW w:w="989" w:type="dxa"/>
            <w:vAlign w:val="center"/>
          </w:tcPr>
          <w:p w14:paraId="0CDD9DB7" w14:textId="13A33140"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6</w:t>
            </w:r>
          </w:p>
        </w:tc>
        <w:tc>
          <w:tcPr>
            <w:tcW w:w="989" w:type="dxa"/>
            <w:vAlign w:val="center"/>
          </w:tcPr>
          <w:p w14:paraId="2CF83146" w14:textId="76A52223"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8</w:t>
            </w:r>
          </w:p>
        </w:tc>
        <w:tc>
          <w:tcPr>
            <w:tcW w:w="1059" w:type="dxa"/>
            <w:vAlign w:val="center"/>
          </w:tcPr>
          <w:p w14:paraId="48872252"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0.29</w:t>
            </w:r>
          </w:p>
        </w:tc>
      </w:tr>
      <w:tr w:rsidR="007205B3" w:rsidRPr="00BB3B5C" w14:paraId="4193227E" w14:textId="77777777" w:rsidTr="007205B3">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1330" w:type="dxa"/>
            <w:tcBorders>
              <w:top w:val="nil"/>
              <w:left w:val="single" w:sz="4" w:space="0" w:color="auto"/>
              <w:bottom w:val="single" w:sz="8" w:space="0" w:color="auto"/>
              <w:right w:val="single" w:sz="4" w:space="0" w:color="auto"/>
            </w:tcBorders>
            <w:vAlign w:val="bottom"/>
          </w:tcPr>
          <w:p w14:paraId="69B0F0D9"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18</w:t>
            </w:r>
          </w:p>
        </w:tc>
        <w:tc>
          <w:tcPr>
            <w:tcW w:w="1028" w:type="dxa"/>
            <w:tcBorders>
              <w:top w:val="single" w:sz="4" w:space="0" w:color="auto"/>
              <w:left w:val="single" w:sz="4" w:space="0" w:color="auto"/>
              <w:bottom w:val="single" w:sz="4" w:space="0" w:color="auto"/>
              <w:right w:val="single" w:sz="4" w:space="0" w:color="auto"/>
            </w:tcBorders>
            <w:noWrap/>
            <w:vAlign w:val="bottom"/>
          </w:tcPr>
          <w:p w14:paraId="44149C15"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175</w:t>
            </w:r>
          </w:p>
        </w:tc>
        <w:tc>
          <w:tcPr>
            <w:tcW w:w="989" w:type="dxa"/>
            <w:tcBorders>
              <w:top w:val="single" w:sz="4" w:space="0" w:color="auto"/>
              <w:left w:val="single" w:sz="4" w:space="0" w:color="auto"/>
              <w:bottom w:val="single" w:sz="4" w:space="0" w:color="auto"/>
              <w:right w:val="single" w:sz="4" w:space="0" w:color="auto"/>
            </w:tcBorders>
            <w:vAlign w:val="bottom"/>
          </w:tcPr>
          <w:p w14:paraId="65B4B701"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6</w:t>
            </w:r>
          </w:p>
        </w:tc>
        <w:tc>
          <w:tcPr>
            <w:tcW w:w="989" w:type="dxa"/>
            <w:tcBorders>
              <w:top w:val="single" w:sz="4" w:space="0" w:color="auto"/>
              <w:left w:val="single" w:sz="4" w:space="0" w:color="auto"/>
              <w:bottom w:val="single" w:sz="4" w:space="0" w:color="auto"/>
              <w:right w:val="single" w:sz="4" w:space="0" w:color="auto"/>
            </w:tcBorders>
            <w:vAlign w:val="bottom"/>
          </w:tcPr>
          <w:p w14:paraId="60DD9859"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8</w:t>
            </w:r>
          </w:p>
        </w:tc>
        <w:tc>
          <w:tcPr>
            <w:tcW w:w="1059" w:type="dxa"/>
            <w:tcBorders>
              <w:top w:val="single" w:sz="4" w:space="0" w:color="auto"/>
              <w:left w:val="single" w:sz="4" w:space="0" w:color="auto"/>
              <w:bottom w:val="single" w:sz="4" w:space="0" w:color="auto"/>
              <w:right w:val="single" w:sz="4" w:space="0" w:color="auto"/>
            </w:tcBorders>
            <w:vAlign w:val="bottom"/>
          </w:tcPr>
          <w:p w14:paraId="302A7942"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0.29</w:t>
            </w:r>
          </w:p>
        </w:tc>
      </w:tr>
      <w:tr w:rsidR="007205B3" w:rsidRPr="00EB34C7" w14:paraId="23AA7A49" w14:textId="77777777" w:rsidTr="007205B3">
        <w:trPr>
          <w:trHeight w:val="315"/>
          <w:jc w:val="center"/>
        </w:trPr>
        <w:tc>
          <w:tcPr>
            <w:tcW w:w="1330" w:type="dxa"/>
            <w:vAlign w:val="center"/>
          </w:tcPr>
          <w:p w14:paraId="2045B3AE" w14:textId="77777777" w:rsidR="007205B3" w:rsidRPr="00A7365E" w:rsidRDefault="007205B3" w:rsidP="004E784A">
            <w:pPr>
              <w:jc w:val="center"/>
              <w:rPr>
                <w:rFonts w:ascii="Arial" w:hAnsi="Arial" w:cs="Arial"/>
                <w:color w:val="000000"/>
                <w:sz w:val="22"/>
                <w:szCs w:val="22"/>
              </w:rPr>
            </w:pPr>
            <w:r w:rsidRPr="00A7365E">
              <w:rPr>
                <w:rFonts w:ascii="Arial" w:hAnsi="Arial" w:cs="Arial"/>
                <w:color w:val="000000"/>
                <w:sz w:val="22"/>
                <w:szCs w:val="22"/>
              </w:rPr>
              <w:t>19</w:t>
            </w:r>
          </w:p>
        </w:tc>
        <w:tc>
          <w:tcPr>
            <w:tcW w:w="1028" w:type="dxa"/>
            <w:noWrap/>
            <w:vAlign w:val="center"/>
            <w:hideMark/>
          </w:tcPr>
          <w:p w14:paraId="2D0AE571" w14:textId="77777777" w:rsidR="007205B3" w:rsidRPr="00A7365E" w:rsidRDefault="007205B3" w:rsidP="001379A6">
            <w:pPr>
              <w:jc w:val="center"/>
              <w:rPr>
                <w:rFonts w:ascii="Arial" w:hAnsi="Arial" w:cs="Arial"/>
                <w:color w:val="000000"/>
                <w:sz w:val="22"/>
                <w:szCs w:val="22"/>
              </w:rPr>
            </w:pPr>
            <w:r w:rsidRPr="00A7365E">
              <w:rPr>
                <w:rFonts w:ascii="Arial" w:hAnsi="Arial" w:cs="Arial"/>
                <w:color w:val="000000"/>
                <w:sz w:val="22"/>
                <w:szCs w:val="22"/>
              </w:rPr>
              <w:t>198</w:t>
            </w:r>
          </w:p>
        </w:tc>
        <w:tc>
          <w:tcPr>
            <w:tcW w:w="989" w:type="dxa"/>
            <w:vAlign w:val="center"/>
          </w:tcPr>
          <w:p w14:paraId="1610E19E" w14:textId="381B9A44"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7</w:t>
            </w:r>
          </w:p>
        </w:tc>
        <w:tc>
          <w:tcPr>
            <w:tcW w:w="989" w:type="dxa"/>
            <w:vAlign w:val="center"/>
          </w:tcPr>
          <w:p w14:paraId="20AC1B67" w14:textId="15F9FECB" w:rsidR="007205B3" w:rsidRPr="00A7365E" w:rsidRDefault="007205B3">
            <w:pPr>
              <w:jc w:val="center"/>
              <w:rPr>
                <w:rFonts w:ascii="Arial" w:eastAsiaTheme="minorHAnsi" w:hAnsi="Arial" w:cs="Arial"/>
                <w:sz w:val="22"/>
                <w:szCs w:val="22"/>
              </w:rPr>
            </w:pPr>
            <w:r w:rsidRPr="00A7365E">
              <w:rPr>
                <w:rFonts w:ascii="Arial" w:hAnsi="Arial" w:cs="Arial"/>
                <w:color w:val="000000"/>
                <w:sz w:val="22"/>
                <w:szCs w:val="22"/>
              </w:rPr>
              <w:t>9</w:t>
            </w:r>
          </w:p>
        </w:tc>
        <w:tc>
          <w:tcPr>
            <w:tcW w:w="1059" w:type="dxa"/>
            <w:vAlign w:val="center"/>
          </w:tcPr>
          <w:p w14:paraId="05A41052" w14:textId="77777777" w:rsidR="007205B3" w:rsidRPr="00A7365E" w:rsidRDefault="007205B3">
            <w:pPr>
              <w:jc w:val="center"/>
              <w:rPr>
                <w:rFonts w:ascii="Arial" w:hAnsi="Arial" w:cs="Arial"/>
                <w:color w:val="000000"/>
                <w:sz w:val="22"/>
                <w:szCs w:val="22"/>
              </w:rPr>
            </w:pPr>
            <w:r w:rsidRPr="00A7365E">
              <w:rPr>
                <w:rFonts w:ascii="Arial" w:hAnsi="Arial" w:cs="Arial"/>
                <w:color w:val="000000"/>
                <w:sz w:val="22"/>
                <w:szCs w:val="22"/>
              </w:rPr>
              <w:t>0.29</w:t>
            </w:r>
          </w:p>
        </w:tc>
      </w:tr>
      <w:bookmarkEnd w:id="372"/>
    </w:tbl>
    <w:p w14:paraId="6262ECC1" w14:textId="3E4FC5F3" w:rsidR="00EB34C7" w:rsidRDefault="00EB34C7" w:rsidP="00BE3F24">
      <w:pPr>
        <w:pStyle w:val="BodyText"/>
      </w:pPr>
    </w:p>
    <w:p w14:paraId="1569DC63" w14:textId="5A853C57" w:rsidR="00327A5E" w:rsidRDefault="00327A5E" w:rsidP="00BE3F24">
      <w:pPr>
        <w:pStyle w:val="BodyText"/>
      </w:pPr>
    </w:p>
    <w:p w14:paraId="4468C95F" w14:textId="0CDF73C1" w:rsidR="00327A5E" w:rsidRDefault="00327A5E" w:rsidP="00BE3F24">
      <w:pPr>
        <w:pStyle w:val="BodyText"/>
      </w:pPr>
    </w:p>
    <w:p w14:paraId="73687C9D" w14:textId="0F0B3B3B" w:rsidR="00327A5E" w:rsidRDefault="00327A5E" w:rsidP="00BE3F24">
      <w:pPr>
        <w:pStyle w:val="BodyText"/>
      </w:pPr>
    </w:p>
    <w:p w14:paraId="3CEC1269" w14:textId="77777777" w:rsidR="00327A5E" w:rsidRDefault="00327A5E" w:rsidP="00BE3F24">
      <w:pPr>
        <w:pStyle w:val="BodyText"/>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28"/>
        <w:gridCol w:w="989"/>
        <w:gridCol w:w="989"/>
        <w:gridCol w:w="1059"/>
      </w:tblGrid>
      <w:tr w:rsidR="007205B3" w:rsidRPr="00EB34C7" w14:paraId="06B272C1" w14:textId="77777777" w:rsidTr="00C064A4">
        <w:trPr>
          <w:trHeight w:val="270"/>
          <w:jc w:val="center"/>
        </w:trPr>
        <w:tc>
          <w:tcPr>
            <w:tcW w:w="1330" w:type="dxa"/>
            <w:vMerge w:val="restart"/>
            <w:shd w:val="pct15" w:color="auto" w:fill="auto"/>
            <w:vAlign w:val="center"/>
          </w:tcPr>
          <w:p w14:paraId="5BB59478" w14:textId="77777777" w:rsidR="007205B3" w:rsidRPr="00B1155E" w:rsidRDefault="007205B3" w:rsidP="00EB34C7">
            <w:pPr>
              <w:jc w:val="center"/>
              <w:rPr>
                <w:rFonts w:ascii="Arial" w:hAnsi="Arial"/>
                <w:b/>
                <w:sz w:val="22"/>
              </w:rPr>
            </w:pPr>
            <w:r w:rsidRPr="00B1155E">
              <w:rPr>
                <w:rFonts w:ascii="Arial" w:hAnsi="Arial"/>
                <w:sz w:val="22"/>
              </w:rPr>
              <w:lastRenderedPageBreak/>
              <w:br w:type="page"/>
            </w:r>
            <w:r w:rsidRPr="00B1155E">
              <w:rPr>
                <w:rFonts w:ascii="Arial" w:hAnsi="Arial"/>
                <w:b/>
                <w:sz w:val="22"/>
              </w:rPr>
              <w:t>Functional Class</w:t>
            </w:r>
          </w:p>
        </w:tc>
        <w:tc>
          <w:tcPr>
            <w:tcW w:w="4065" w:type="dxa"/>
            <w:gridSpan w:val="4"/>
            <w:shd w:val="pct15" w:color="auto" w:fill="auto"/>
            <w:vAlign w:val="center"/>
          </w:tcPr>
          <w:p w14:paraId="5B84FC10" w14:textId="3039EFBF" w:rsidR="007205B3" w:rsidRPr="00B1155E" w:rsidRDefault="007205B3" w:rsidP="00EB34C7">
            <w:pPr>
              <w:jc w:val="center"/>
              <w:rPr>
                <w:rFonts w:ascii="Arial" w:hAnsi="Arial"/>
                <w:b/>
                <w:sz w:val="22"/>
              </w:rPr>
            </w:pPr>
            <w:r w:rsidRPr="00B1155E">
              <w:rPr>
                <w:rFonts w:ascii="Arial" w:hAnsi="Arial"/>
                <w:b/>
                <w:sz w:val="22"/>
              </w:rPr>
              <w:t>RSL = 50</w:t>
            </w:r>
          </w:p>
        </w:tc>
      </w:tr>
      <w:tr w:rsidR="007205B3" w:rsidRPr="00EB34C7" w14:paraId="770F5075" w14:textId="77777777" w:rsidTr="007205B3">
        <w:trPr>
          <w:trHeight w:val="332"/>
          <w:jc w:val="center"/>
        </w:trPr>
        <w:tc>
          <w:tcPr>
            <w:tcW w:w="1330" w:type="dxa"/>
            <w:vMerge/>
            <w:shd w:val="pct15" w:color="auto" w:fill="auto"/>
            <w:vAlign w:val="center"/>
          </w:tcPr>
          <w:p w14:paraId="06E91D39" w14:textId="77777777" w:rsidR="007205B3" w:rsidRPr="00B1155E" w:rsidRDefault="007205B3" w:rsidP="00EB34C7">
            <w:pPr>
              <w:jc w:val="center"/>
              <w:rPr>
                <w:rFonts w:ascii="Arial" w:hAnsi="Arial"/>
                <w:b/>
                <w:sz w:val="22"/>
              </w:rPr>
            </w:pPr>
          </w:p>
        </w:tc>
        <w:tc>
          <w:tcPr>
            <w:tcW w:w="1028" w:type="dxa"/>
            <w:shd w:val="pct15" w:color="auto" w:fill="auto"/>
            <w:vAlign w:val="center"/>
            <w:hideMark/>
          </w:tcPr>
          <w:p w14:paraId="3812D5A5" w14:textId="77777777" w:rsidR="007205B3" w:rsidRPr="00B1155E" w:rsidRDefault="007205B3" w:rsidP="00EB34C7">
            <w:pPr>
              <w:jc w:val="center"/>
              <w:rPr>
                <w:rFonts w:ascii="Arial" w:hAnsi="Arial"/>
                <w:b/>
                <w:sz w:val="22"/>
              </w:rPr>
            </w:pPr>
            <w:r w:rsidRPr="00B1155E">
              <w:rPr>
                <w:rFonts w:ascii="Arial" w:hAnsi="Arial"/>
                <w:b/>
                <w:sz w:val="22"/>
              </w:rPr>
              <w:t>IRI</w:t>
            </w:r>
          </w:p>
        </w:tc>
        <w:tc>
          <w:tcPr>
            <w:tcW w:w="989" w:type="dxa"/>
            <w:shd w:val="pct15" w:color="auto" w:fill="auto"/>
            <w:vAlign w:val="center"/>
          </w:tcPr>
          <w:p w14:paraId="459AEEC9" w14:textId="32B06E4A" w:rsidR="007205B3" w:rsidRPr="00B1155E" w:rsidRDefault="007205B3" w:rsidP="00EB34C7">
            <w:pPr>
              <w:jc w:val="center"/>
              <w:rPr>
                <w:rFonts w:ascii="Arial" w:hAnsi="Arial"/>
                <w:b/>
                <w:sz w:val="22"/>
              </w:rPr>
            </w:pPr>
            <w:r w:rsidRPr="006924B8">
              <w:rPr>
                <w:rFonts w:asciiTheme="minorHAnsi" w:hAnsiTheme="minorHAnsi"/>
                <w:b/>
                <w:bCs/>
                <w:sz w:val="22"/>
                <w:szCs w:val="22"/>
              </w:rPr>
              <w:t>SCD</w:t>
            </w:r>
          </w:p>
        </w:tc>
        <w:tc>
          <w:tcPr>
            <w:tcW w:w="989" w:type="dxa"/>
            <w:shd w:val="pct15" w:color="auto" w:fill="auto"/>
            <w:vAlign w:val="center"/>
          </w:tcPr>
          <w:p w14:paraId="63C778AC" w14:textId="3583DDBB" w:rsidR="007205B3" w:rsidRPr="00B1155E" w:rsidRDefault="007205B3" w:rsidP="00EB34C7">
            <w:pPr>
              <w:jc w:val="center"/>
              <w:rPr>
                <w:rFonts w:ascii="Arial" w:hAnsi="Arial"/>
                <w:b/>
                <w:sz w:val="22"/>
              </w:rPr>
            </w:pPr>
            <w:r w:rsidRPr="006924B8">
              <w:rPr>
                <w:rFonts w:asciiTheme="minorHAnsi" w:hAnsiTheme="minorHAnsi"/>
                <w:b/>
                <w:bCs/>
                <w:sz w:val="22"/>
                <w:szCs w:val="22"/>
              </w:rPr>
              <w:t>FCD</w:t>
            </w:r>
          </w:p>
        </w:tc>
        <w:tc>
          <w:tcPr>
            <w:tcW w:w="1059" w:type="dxa"/>
            <w:shd w:val="pct15" w:color="auto" w:fill="auto"/>
            <w:vAlign w:val="center"/>
          </w:tcPr>
          <w:p w14:paraId="766D4EA6" w14:textId="77777777" w:rsidR="007205B3" w:rsidRPr="00B1155E" w:rsidRDefault="007205B3" w:rsidP="00EB34C7">
            <w:pPr>
              <w:jc w:val="center"/>
              <w:rPr>
                <w:rFonts w:ascii="Arial" w:hAnsi="Arial"/>
                <w:b/>
                <w:sz w:val="22"/>
              </w:rPr>
            </w:pPr>
            <w:r w:rsidRPr="00B1155E">
              <w:rPr>
                <w:rFonts w:ascii="Arial" w:hAnsi="Arial"/>
                <w:b/>
                <w:sz w:val="22"/>
              </w:rPr>
              <w:t>Rut</w:t>
            </w:r>
          </w:p>
        </w:tc>
      </w:tr>
      <w:tr w:rsidR="007205B3" w:rsidRPr="00EB34C7" w14:paraId="54F64918" w14:textId="77777777" w:rsidTr="007205B3">
        <w:trPr>
          <w:trHeight w:val="300"/>
          <w:jc w:val="center"/>
        </w:trPr>
        <w:tc>
          <w:tcPr>
            <w:tcW w:w="1330" w:type="dxa"/>
            <w:vAlign w:val="center"/>
          </w:tcPr>
          <w:p w14:paraId="218E89A6"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1</w:t>
            </w:r>
          </w:p>
        </w:tc>
        <w:tc>
          <w:tcPr>
            <w:tcW w:w="1028" w:type="dxa"/>
            <w:noWrap/>
            <w:vAlign w:val="center"/>
            <w:hideMark/>
          </w:tcPr>
          <w:p w14:paraId="74436391"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45</w:t>
            </w:r>
          </w:p>
        </w:tc>
        <w:tc>
          <w:tcPr>
            <w:tcW w:w="989" w:type="dxa"/>
            <w:vAlign w:val="center"/>
          </w:tcPr>
          <w:p w14:paraId="584FAFB4" w14:textId="1EDE2866"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04147A50" w14:textId="4BC0A63F"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20A51473"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4FD467AE" w14:textId="77777777" w:rsidTr="007205B3">
        <w:trPr>
          <w:trHeight w:val="300"/>
          <w:jc w:val="center"/>
        </w:trPr>
        <w:tc>
          <w:tcPr>
            <w:tcW w:w="1330" w:type="dxa"/>
            <w:vAlign w:val="center"/>
          </w:tcPr>
          <w:p w14:paraId="075EF8C3"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2</w:t>
            </w:r>
          </w:p>
        </w:tc>
        <w:tc>
          <w:tcPr>
            <w:tcW w:w="1028" w:type="dxa"/>
            <w:noWrap/>
            <w:vAlign w:val="center"/>
            <w:hideMark/>
          </w:tcPr>
          <w:p w14:paraId="6179F88D"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50</w:t>
            </w:r>
          </w:p>
        </w:tc>
        <w:tc>
          <w:tcPr>
            <w:tcW w:w="989" w:type="dxa"/>
            <w:vAlign w:val="center"/>
          </w:tcPr>
          <w:p w14:paraId="1F411D67" w14:textId="38B6ACE2"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2011CCA4" w14:textId="53132674"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65E46959"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BB3B5C" w14:paraId="705D53BA" w14:textId="77777777" w:rsidTr="007205B3">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1330" w:type="dxa"/>
            <w:tcBorders>
              <w:top w:val="nil"/>
              <w:left w:val="single" w:sz="4" w:space="0" w:color="auto"/>
              <w:bottom w:val="single" w:sz="4" w:space="0" w:color="auto"/>
              <w:right w:val="single" w:sz="4" w:space="0" w:color="auto"/>
            </w:tcBorders>
            <w:vAlign w:val="bottom"/>
          </w:tcPr>
          <w:p w14:paraId="20C1D20D"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3</w:t>
            </w:r>
          </w:p>
        </w:tc>
        <w:tc>
          <w:tcPr>
            <w:tcW w:w="1028" w:type="dxa"/>
            <w:tcBorders>
              <w:top w:val="single" w:sz="4" w:space="0" w:color="auto"/>
              <w:left w:val="single" w:sz="4" w:space="0" w:color="auto"/>
              <w:bottom w:val="single" w:sz="4" w:space="0" w:color="auto"/>
              <w:right w:val="single" w:sz="4" w:space="0" w:color="auto"/>
            </w:tcBorders>
            <w:noWrap/>
            <w:vAlign w:val="bottom"/>
          </w:tcPr>
          <w:p w14:paraId="46A3F3CB"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50</w:t>
            </w:r>
          </w:p>
        </w:tc>
        <w:tc>
          <w:tcPr>
            <w:tcW w:w="989" w:type="dxa"/>
            <w:tcBorders>
              <w:top w:val="single" w:sz="4" w:space="0" w:color="auto"/>
              <w:left w:val="single" w:sz="4" w:space="0" w:color="auto"/>
              <w:bottom w:val="single" w:sz="4" w:space="0" w:color="auto"/>
              <w:right w:val="single" w:sz="4" w:space="0" w:color="auto"/>
            </w:tcBorders>
            <w:vAlign w:val="bottom"/>
          </w:tcPr>
          <w:p w14:paraId="1ACC9FFE"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w:t>
            </w:r>
          </w:p>
        </w:tc>
        <w:tc>
          <w:tcPr>
            <w:tcW w:w="989" w:type="dxa"/>
            <w:tcBorders>
              <w:top w:val="single" w:sz="4" w:space="0" w:color="auto"/>
              <w:left w:val="single" w:sz="4" w:space="0" w:color="auto"/>
              <w:bottom w:val="single" w:sz="4" w:space="0" w:color="auto"/>
              <w:right w:val="single" w:sz="4" w:space="0" w:color="auto"/>
            </w:tcBorders>
            <w:vAlign w:val="bottom"/>
          </w:tcPr>
          <w:p w14:paraId="3722A6AB"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tcBorders>
              <w:top w:val="single" w:sz="4" w:space="0" w:color="auto"/>
              <w:left w:val="single" w:sz="4" w:space="0" w:color="auto"/>
              <w:bottom w:val="single" w:sz="4" w:space="0" w:color="auto"/>
              <w:right w:val="single" w:sz="4" w:space="0" w:color="auto"/>
            </w:tcBorders>
            <w:vAlign w:val="bottom"/>
          </w:tcPr>
          <w:p w14:paraId="4760CE54"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77AC1A71" w14:textId="77777777" w:rsidTr="007205B3">
        <w:trPr>
          <w:trHeight w:val="300"/>
          <w:jc w:val="center"/>
        </w:trPr>
        <w:tc>
          <w:tcPr>
            <w:tcW w:w="1330" w:type="dxa"/>
            <w:vAlign w:val="center"/>
          </w:tcPr>
          <w:p w14:paraId="229A6BE8"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6</w:t>
            </w:r>
          </w:p>
        </w:tc>
        <w:tc>
          <w:tcPr>
            <w:tcW w:w="1028" w:type="dxa"/>
            <w:noWrap/>
            <w:vAlign w:val="center"/>
            <w:hideMark/>
          </w:tcPr>
          <w:p w14:paraId="192A7A20"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55</w:t>
            </w:r>
          </w:p>
        </w:tc>
        <w:tc>
          <w:tcPr>
            <w:tcW w:w="989" w:type="dxa"/>
            <w:vAlign w:val="center"/>
          </w:tcPr>
          <w:p w14:paraId="0D9BE51C" w14:textId="20B70D81"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30B12197" w14:textId="298DCDC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16625D19"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2E042CBA" w14:textId="77777777" w:rsidTr="007205B3">
        <w:trPr>
          <w:trHeight w:val="300"/>
          <w:jc w:val="center"/>
        </w:trPr>
        <w:tc>
          <w:tcPr>
            <w:tcW w:w="1330" w:type="dxa"/>
            <w:vAlign w:val="center"/>
          </w:tcPr>
          <w:p w14:paraId="207F6A19"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7</w:t>
            </w:r>
          </w:p>
        </w:tc>
        <w:tc>
          <w:tcPr>
            <w:tcW w:w="1028" w:type="dxa"/>
            <w:noWrap/>
            <w:vAlign w:val="center"/>
            <w:hideMark/>
          </w:tcPr>
          <w:p w14:paraId="5315FD19"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60</w:t>
            </w:r>
          </w:p>
        </w:tc>
        <w:tc>
          <w:tcPr>
            <w:tcW w:w="989" w:type="dxa"/>
            <w:vAlign w:val="center"/>
          </w:tcPr>
          <w:p w14:paraId="0D9B94E2" w14:textId="401C22CF"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24AB4BB0" w14:textId="12703F09"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5A837182"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7BCCAA77" w14:textId="77777777" w:rsidTr="007205B3">
        <w:trPr>
          <w:trHeight w:val="300"/>
          <w:jc w:val="center"/>
        </w:trPr>
        <w:tc>
          <w:tcPr>
            <w:tcW w:w="1330" w:type="dxa"/>
            <w:vAlign w:val="center"/>
          </w:tcPr>
          <w:p w14:paraId="7134ABD1"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8</w:t>
            </w:r>
          </w:p>
        </w:tc>
        <w:tc>
          <w:tcPr>
            <w:tcW w:w="1028" w:type="dxa"/>
            <w:noWrap/>
            <w:vAlign w:val="center"/>
            <w:hideMark/>
          </w:tcPr>
          <w:p w14:paraId="0CB05F60"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70</w:t>
            </w:r>
          </w:p>
        </w:tc>
        <w:tc>
          <w:tcPr>
            <w:tcW w:w="989" w:type="dxa"/>
            <w:vAlign w:val="center"/>
          </w:tcPr>
          <w:p w14:paraId="65478F75" w14:textId="772EFBF5"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05577471" w14:textId="6084CEFA"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071ACCF9"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2B627AAA" w14:textId="77777777" w:rsidTr="007205B3">
        <w:trPr>
          <w:trHeight w:val="300"/>
          <w:jc w:val="center"/>
        </w:trPr>
        <w:tc>
          <w:tcPr>
            <w:tcW w:w="1330" w:type="dxa"/>
            <w:vAlign w:val="center"/>
          </w:tcPr>
          <w:p w14:paraId="75B485AC"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9</w:t>
            </w:r>
          </w:p>
        </w:tc>
        <w:tc>
          <w:tcPr>
            <w:tcW w:w="1028" w:type="dxa"/>
            <w:noWrap/>
            <w:vAlign w:val="center"/>
            <w:hideMark/>
          </w:tcPr>
          <w:p w14:paraId="29790DCC"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70</w:t>
            </w:r>
          </w:p>
        </w:tc>
        <w:tc>
          <w:tcPr>
            <w:tcW w:w="989" w:type="dxa"/>
            <w:vAlign w:val="center"/>
          </w:tcPr>
          <w:p w14:paraId="24131DC2" w14:textId="6205391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0C695C5E" w14:textId="7D6C1340"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4109412A"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17C1167B" w14:textId="77777777" w:rsidTr="007205B3">
        <w:trPr>
          <w:trHeight w:val="300"/>
          <w:jc w:val="center"/>
        </w:trPr>
        <w:tc>
          <w:tcPr>
            <w:tcW w:w="1330" w:type="dxa"/>
            <w:vAlign w:val="center"/>
          </w:tcPr>
          <w:p w14:paraId="7C0886F3"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11</w:t>
            </w:r>
          </w:p>
        </w:tc>
        <w:tc>
          <w:tcPr>
            <w:tcW w:w="1028" w:type="dxa"/>
            <w:noWrap/>
            <w:vAlign w:val="center"/>
            <w:hideMark/>
          </w:tcPr>
          <w:p w14:paraId="6E2E0525"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45</w:t>
            </w:r>
          </w:p>
        </w:tc>
        <w:tc>
          <w:tcPr>
            <w:tcW w:w="989" w:type="dxa"/>
            <w:vAlign w:val="center"/>
          </w:tcPr>
          <w:p w14:paraId="768859CB" w14:textId="362B6DAB"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67E9BC9A" w14:textId="083661BE"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0CF54387"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652BB99F" w14:textId="77777777" w:rsidTr="007205B3">
        <w:trPr>
          <w:trHeight w:val="300"/>
          <w:jc w:val="center"/>
        </w:trPr>
        <w:tc>
          <w:tcPr>
            <w:tcW w:w="1330" w:type="dxa"/>
            <w:vAlign w:val="center"/>
          </w:tcPr>
          <w:p w14:paraId="65881EE2"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12</w:t>
            </w:r>
          </w:p>
        </w:tc>
        <w:tc>
          <w:tcPr>
            <w:tcW w:w="1028" w:type="dxa"/>
            <w:noWrap/>
            <w:vAlign w:val="center"/>
            <w:hideMark/>
          </w:tcPr>
          <w:p w14:paraId="3215B8C4"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50</w:t>
            </w:r>
          </w:p>
        </w:tc>
        <w:tc>
          <w:tcPr>
            <w:tcW w:w="989" w:type="dxa"/>
            <w:vAlign w:val="center"/>
          </w:tcPr>
          <w:p w14:paraId="065E09EE" w14:textId="1948B251"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60AF90F4" w14:textId="14ED905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4A58C1E6"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4AB37DCD" w14:textId="77777777" w:rsidTr="007205B3">
        <w:trPr>
          <w:trHeight w:val="300"/>
          <w:jc w:val="center"/>
        </w:trPr>
        <w:tc>
          <w:tcPr>
            <w:tcW w:w="1330" w:type="dxa"/>
            <w:vAlign w:val="center"/>
          </w:tcPr>
          <w:p w14:paraId="597CFC13"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14</w:t>
            </w:r>
          </w:p>
        </w:tc>
        <w:tc>
          <w:tcPr>
            <w:tcW w:w="1028" w:type="dxa"/>
            <w:noWrap/>
            <w:vAlign w:val="center"/>
            <w:hideMark/>
          </w:tcPr>
          <w:p w14:paraId="2ADF53A6"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55</w:t>
            </w:r>
          </w:p>
        </w:tc>
        <w:tc>
          <w:tcPr>
            <w:tcW w:w="989" w:type="dxa"/>
            <w:vAlign w:val="center"/>
          </w:tcPr>
          <w:p w14:paraId="5498CC9D" w14:textId="78C714F2"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04EE7D8D" w14:textId="087B82BA"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4C534DE2"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68CB43C4" w14:textId="77777777" w:rsidTr="007205B3">
        <w:trPr>
          <w:trHeight w:val="300"/>
          <w:jc w:val="center"/>
        </w:trPr>
        <w:tc>
          <w:tcPr>
            <w:tcW w:w="1330" w:type="dxa"/>
            <w:vAlign w:val="center"/>
          </w:tcPr>
          <w:p w14:paraId="62EDF3E4"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16</w:t>
            </w:r>
          </w:p>
        </w:tc>
        <w:tc>
          <w:tcPr>
            <w:tcW w:w="1028" w:type="dxa"/>
            <w:noWrap/>
            <w:vAlign w:val="center"/>
            <w:hideMark/>
          </w:tcPr>
          <w:p w14:paraId="5DB26A89"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60</w:t>
            </w:r>
          </w:p>
        </w:tc>
        <w:tc>
          <w:tcPr>
            <w:tcW w:w="989" w:type="dxa"/>
            <w:vAlign w:val="center"/>
          </w:tcPr>
          <w:p w14:paraId="20ADFB83" w14:textId="0552C1F6"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4D96A017" w14:textId="52E7AA2C"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2688617B"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64D7A11B" w14:textId="77777777" w:rsidTr="007205B3">
        <w:trPr>
          <w:trHeight w:val="300"/>
          <w:jc w:val="center"/>
        </w:trPr>
        <w:tc>
          <w:tcPr>
            <w:tcW w:w="1330" w:type="dxa"/>
            <w:vAlign w:val="center"/>
          </w:tcPr>
          <w:p w14:paraId="58F39B94"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17</w:t>
            </w:r>
          </w:p>
        </w:tc>
        <w:tc>
          <w:tcPr>
            <w:tcW w:w="1028" w:type="dxa"/>
            <w:noWrap/>
            <w:vAlign w:val="center"/>
            <w:hideMark/>
          </w:tcPr>
          <w:p w14:paraId="14A473C1"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70</w:t>
            </w:r>
          </w:p>
        </w:tc>
        <w:tc>
          <w:tcPr>
            <w:tcW w:w="989" w:type="dxa"/>
            <w:vAlign w:val="center"/>
          </w:tcPr>
          <w:p w14:paraId="03F977AD" w14:textId="1C782F7B"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1470E30B" w14:textId="49C23ED3"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49C2E381"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BB3B5C" w14:paraId="11A438F2" w14:textId="77777777" w:rsidTr="007205B3">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1330" w:type="dxa"/>
            <w:tcBorders>
              <w:top w:val="nil"/>
              <w:left w:val="single" w:sz="4" w:space="0" w:color="auto"/>
              <w:bottom w:val="single" w:sz="8" w:space="0" w:color="auto"/>
              <w:right w:val="single" w:sz="4" w:space="0" w:color="auto"/>
            </w:tcBorders>
            <w:vAlign w:val="bottom"/>
          </w:tcPr>
          <w:p w14:paraId="1D7509AB"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18</w:t>
            </w:r>
          </w:p>
        </w:tc>
        <w:tc>
          <w:tcPr>
            <w:tcW w:w="1028" w:type="dxa"/>
            <w:tcBorders>
              <w:top w:val="single" w:sz="4" w:space="0" w:color="auto"/>
              <w:left w:val="single" w:sz="4" w:space="0" w:color="auto"/>
              <w:bottom w:val="single" w:sz="4" w:space="0" w:color="auto"/>
              <w:right w:val="single" w:sz="4" w:space="0" w:color="auto"/>
            </w:tcBorders>
            <w:noWrap/>
            <w:vAlign w:val="bottom"/>
          </w:tcPr>
          <w:p w14:paraId="2E00A9FB"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70</w:t>
            </w:r>
          </w:p>
        </w:tc>
        <w:tc>
          <w:tcPr>
            <w:tcW w:w="989" w:type="dxa"/>
            <w:tcBorders>
              <w:top w:val="single" w:sz="4" w:space="0" w:color="auto"/>
              <w:left w:val="single" w:sz="4" w:space="0" w:color="auto"/>
              <w:bottom w:val="single" w:sz="4" w:space="0" w:color="auto"/>
              <w:right w:val="single" w:sz="4" w:space="0" w:color="auto"/>
            </w:tcBorders>
            <w:vAlign w:val="bottom"/>
          </w:tcPr>
          <w:p w14:paraId="6A85D93F"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w:t>
            </w:r>
          </w:p>
        </w:tc>
        <w:tc>
          <w:tcPr>
            <w:tcW w:w="989" w:type="dxa"/>
            <w:tcBorders>
              <w:top w:val="single" w:sz="4" w:space="0" w:color="auto"/>
              <w:left w:val="single" w:sz="4" w:space="0" w:color="auto"/>
              <w:bottom w:val="single" w:sz="4" w:space="0" w:color="auto"/>
              <w:right w:val="single" w:sz="4" w:space="0" w:color="auto"/>
            </w:tcBorders>
            <w:vAlign w:val="bottom"/>
          </w:tcPr>
          <w:p w14:paraId="2BEC48A3"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tcBorders>
              <w:top w:val="single" w:sz="4" w:space="0" w:color="auto"/>
              <w:left w:val="single" w:sz="4" w:space="0" w:color="auto"/>
              <w:bottom w:val="single" w:sz="4" w:space="0" w:color="auto"/>
              <w:right w:val="single" w:sz="4" w:space="0" w:color="auto"/>
            </w:tcBorders>
            <w:vAlign w:val="bottom"/>
          </w:tcPr>
          <w:p w14:paraId="22AB6DA2" w14:textId="77777777" w:rsidR="007205B3" w:rsidRPr="00A7365E" w:rsidRDefault="007205B3" w:rsidP="006924B8">
            <w:pPr>
              <w:jc w:val="center"/>
              <w:rPr>
                <w:rFonts w:ascii="Arial" w:hAnsi="Arial" w:cs="Arial"/>
                <w:color w:val="000000"/>
                <w:sz w:val="22"/>
                <w:szCs w:val="22"/>
              </w:rPr>
            </w:pPr>
            <w:r w:rsidRPr="00A7365E">
              <w:rPr>
                <w:rFonts w:ascii="Arial" w:hAnsi="Arial" w:cs="Arial"/>
                <w:color w:val="000000"/>
                <w:sz w:val="22"/>
                <w:szCs w:val="22"/>
              </w:rPr>
              <w:t>0.07</w:t>
            </w:r>
          </w:p>
        </w:tc>
      </w:tr>
      <w:tr w:rsidR="007205B3" w:rsidRPr="00EB34C7" w14:paraId="21545968" w14:textId="77777777" w:rsidTr="007205B3">
        <w:trPr>
          <w:trHeight w:val="315"/>
          <w:jc w:val="center"/>
        </w:trPr>
        <w:tc>
          <w:tcPr>
            <w:tcW w:w="1330" w:type="dxa"/>
            <w:vAlign w:val="center"/>
          </w:tcPr>
          <w:p w14:paraId="3F4C6977"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19</w:t>
            </w:r>
          </w:p>
        </w:tc>
        <w:tc>
          <w:tcPr>
            <w:tcW w:w="1028" w:type="dxa"/>
            <w:noWrap/>
            <w:vAlign w:val="center"/>
            <w:hideMark/>
          </w:tcPr>
          <w:p w14:paraId="7176E035"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70</w:t>
            </w:r>
          </w:p>
        </w:tc>
        <w:tc>
          <w:tcPr>
            <w:tcW w:w="989" w:type="dxa"/>
            <w:vAlign w:val="center"/>
          </w:tcPr>
          <w:p w14:paraId="78843342" w14:textId="3BF106E2"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989" w:type="dxa"/>
            <w:vAlign w:val="center"/>
          </w:tcPr>
          <w:p w14:paraId="02AF5B4C" w14:textId="28A1EAF6"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w:t>
            </w:r>
          </w:p>
        </w:tc>
        <w:tc>
          <w:tcPr>
            <w:tcW w:w="1059" w:type="dxa"/>
            <w:vAlign w:val="center"/>
          </w:tcPr>
          <w:p w14:paraId="1C4E30E1" w14:textId="77777777" w:rsidR="007205B3" w:rsidRPr="00A7365E" w:rsidRDefault="007205B3" w:rsidP="00EB34C7">
            <w:pPr>
              <w:jc w:val="center"/>
              <w:rPr>
                <w:rFonts w:ascii="Arial" w:hAnsi="Arial" w:cs="Arial"/>
                <w:color w:val="000000"/>
                <w:sz w:val="22"/>
                <w:szCs w:val="22"/>
              </w:rPr>
            </w:pPr>
            <w:r w:rsidRPr="00A7365E">
              <w:rPr>
                <w:rFonts w:ascii="Arial" w:hAnsi="Arial" w:cs="Arial"/>
                <w:color w:val="000000"/>
                <w:sz w:val="22"/>
                <w:szCs w:val="22"/>
              </w:rPr>
              <w:t>0.07</w:t>
            </w:r>
          </w:p>
        </w:tc>
      </w:tr>
    </w:tbl>
    <w:p w14:paraId="3BF6BF87" w14:textId="77777777" w:rsidR="00D316B0" w:rsidRDefault="00D316B0" w:rsidP="00BE3F24"/>
    <w:tbl>
      <w:tblPr>
        <w:tblW w:w="6290" w:type="dxa"/>
        <w:tblInd w:w="1235" w:type="dxa"/>
        <w:tblCellMar>
          <w:left w:w="0" w:type="dxa"/>
          <w:right w:w="0" w:type="dxa"/>
        </w:tblCellMar>
        <w:tblLook w:val="04A0" w:firstRow="1" w:lastRow="0" w:firstColumn="1" w:lastColumn="0" w:noHBand="0" w:noVBand="1"/>
      </w:tblPr>
      <w:tblGrid>
        <w:gridCol w:w="1572"/>
        <w:gridCol w:w="1573"/>
        <w:gridCol w:w="1572"/>
        <w:gridCol w:w="1573"/>
      </w:tblGrid>
      <w:tr w:rsidR="007205B3" w:rsidRPr="006855B4" w14:paraId="7D9C01A1" w14:textId="77777777" w:rsidTr="00C064A4">
        <w:trPr>
          <w:trHeight w:val="415"/>
        </w:trPr>
        <w:tc>
          <w:tcPr>
            <w:tcW w:w="157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08" w:type="dxa"/>
              <w:bottom w:w="0" w:type="dxa"/>
              <w:right w:w="108" w:type="dxa"/>
            </w:tcMar>
            <w:vAlign w:val="bottom"/>
            <w:hideMark/>
          </w:tcPr>
          <w:p w14:paraId="54B7C30C" w14:textId="77777777" w:rsidR="007205B3" w:rsidRPr="006855B4" w:rsidRDefault="007205B3" w:rsidP="00C064A4">
            <w:pPr>
              <w:jc w:val="center"/>
              <w:rPr>
                <w:rFonts w:ascii="Arial" w:hAnsi="Arial"/>
                <w:b/>
                <w:sz w:val="22"/>
              </w:rPr>
            </w:pPr>
            <w:r>
              <w:rPr>
                <w:rFonts w:ascii="Arial" w:hAnsi="Arial"/>
                <w:b/>
                <w:sz w:val="22"/>
              </w:rPr>
              <w:t xml:space="preserve">Friction </w:t>
            </w:r>
            <w:r w:rsidRPr="006855B4">
              <w:rPr>
                <w:rFonts w:ascii="Arial" w:hAnsi="Arial"/>
                <w:b/>
                <w:sz w:val="22"/>
              </w:rPr>
              <w:t>Site Category</w:t>
            </w:r>
          </w:p>
        </w:tc>
        <w:tc>
          <w:tcPr>
            <w:tcW w:w="157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08" w:type="dxa"/>
              <w:bottom w:w="0" w:type="dxa"/>
              <w:right w:w="108" w:type="dxa"/>
            </w:tcMar>
            <w:vAlign w:val="bottom"/>
            <w:hideMark/>
          </w:tcPr>
          <w:p w14:paraId="28C2994C" w14:textId="77777777" w:rsidR="007205B3" w:rsidRPr="006855B4" w:rsidRDefault="007205B3" w:rsidP="00C064A4">
            <w:pPr>
              <w:jc w:val="center"/>
              <w:rPr>
                <w:rFonts w:ascii="Arial" w:hAnsi="Arial"/>
                <w:b/>
                <w:sz w:val="22"/>
              </w:rPr>
            </w:pPr>
            <w:r w:rsidRPr="006855B4">
              <w:rPr>
                <w:rFonts w:ascii="Arial" w:hAnsi="Arial"/>
                <w:b/>
                <w:sz w:val="22"/>
              </w:rPr>
              <w:t xml:space="preserve"> RSL = 0</w:t>
            </w:r>
          </w:p>
        </w:tc>
        <w:tc>
          <w:tcPr>
            <w:tcW w:w="157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08" w:type="dxa"/>
              <w:bottom w:w="0" w:type="dxa"/>
              <w:right w:w="108" w:type="dxa"/>
            </w:tcMar>
            <w:vAlign w:val="bottom"/>
            <w:hideMark/>
          </w:tcPr>
          <w:p w14:paraId="4C7FCEB4" w14:textId="77777777" w:rsidR="007205B3" w:rsidRPr="006855B4" w:rsidRDefault="007205B3" w:rsidP="00C064A4">
            <w:pPr>
              <w:jc w:val="center"/>
              <w:rPr>
                <w:rFonts w:ascii="Arial" w:hAnsi="Arial"/>
                <w:b/>
                <w:sz w:val="22"/>
              </w:rPr>
            </w:pPr>
            <w:r w:rsidRPr="006855B4">
              <w:rPr>
                <w:rFonts w:ascii="Arial" w:hAnsi="Arial"/>
                <w:b/>
                <w:sz w:val="22"/>
              </w:rPr>
              <w:t>RSL = 25</w:t>
            </w:r>
          </w:p>
        </w:tc>
        <w:tc>
          <w:tcPr>
            <w:tcW w:w="157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08" w:type="dxa"/>
              <w:bottom w:w="0" w:type="dxa"/>
              <w:right w:w="108" w:type="dxa"/>
            </w:tcMar>
            <w:vAlign w:val="bottom"/>
            <w:hideMark/>
          </w:tcPr>
          <w:p w14:paraId="5E299DEA" w14:textId="77777777" w:rsidR="007205B3" w:rsidRPr="006855B4" w:rsidRDefault="007205B3" w:rsidP="00C064A4">
            <w:pPr>
              <w:jc w:val="center"/>
              <w:rPr>
                <w:rFonts w:ascii="Arial" w:hAnsi="Arial"/>
                <w:b/>
                <w:sz w:val="22"/>
              </w:rPr>
            </w:pPr>
            <w:r w:rsidRPr="006855B4">
              <w:rPr>
                <w:rFonts w:ascii="Arial" w:hAnsi="Arial"/>
                <w:b/>
                <w:sz w:val="22"/>
              </w:rPr>
              <w:t>RSL = 50</w:t>
            </w:r>
          </w:p>
        </w:tc>
      </w:tr>
      <w:tr w:rsidR="007205B3" w:rsidRPr="006855B4" w14:paraId="1466C818" w14:textId="77777777" w:rsidTr="00C064A4">
        <w:trPr>
          <w:trHeight w:val="415"/>
        </w:trPr>
        <w:tc>
          <w:tcPr>
            <w:tcW w:w="15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64F785B5" w14:textId="77777777" w:rsidR="007205B3" w:rsidRPr="006855B4" w:rsidRDefault="007205B3" w:rsidP="00C064A4">
            <w:pPr>
              <w:jc w:val="center"/>
              <w:rPr>
                <w:rFonts w:ascii="Arial" w:hAnsi="Arial" w:cs="Arial"/>
                <w:color w:val="000000"/>
                <w:sz w:val="22"/>
                <w:szCs w:val="22"/>
              </w:rPr>
            </w:pPr>
            <w:r w:rsidRPr="006855B4">
              <w:rPr>
                <w:rFonts w:ascii="Arial" w:hAnsi="Arial" w:cs="Arial"/>
                <w:color w:val="000000"/>
                <w:sz w:val="22"/>
                <w:szCs w:val="22"/>
              </w:rPr>
              <w:t>1</w:t>
            </w:r>
          </w:p>
        </w:tc>
        <w:tc>
          <w:tcPr>
            <w:tcW w:w="157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06D1534A" w14:textId="77777777" w:rsidR="007205B3" w:rsidRPr="006855B4" w:rsidRDefault="007205B3" w:rsidP="00C064A4">
            <w:pPr>
              <w:jc w:val="center"/>
              <w:rPr>
                <w:rFonts w:ascii="Arial" w:hAnsi="Arial" w:cs="Arial"/>
                <w:color w:val="000000"/>
                <w:sz w:val="22"/>
                <w:szCs w:val="22"/>
              </w:rPr>
            </w:pPr>
            <w:r w:rsidRPr="006855B4">
              <w:rPr>
                <w:rFonts w:ascii="Arial" w:hAnsi="Arial" w:cs="Arial"/>
                <w:color w:val="000000"/>
                <w:sz w:val="22"/>
                <w:szCs w:val="22"/>
              </w:rPr>
              <w:t>45</w:t>
            </w:r>
          </w:p>
        </w:tc>
        <w:tc>
          <w:tcPr>
            <w:tcW w:w="15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2774EBE4" w14:textId="77777777" w:rsidR="007205B3" w:rsidRPr="006855B4" w:rsidRDefault="007205B3" w:rsidP="00C064A4">
            <w:pPr>
              <w:jc w:val="center"/>
              <w:rPr>
                <w:rFonts w:ascii="Arial" w:hAnsi="Arial" w:cs="Arial"/>
                <w:color w:val="000000"/>
                <w:sz w:val="22"/>
                <w:szCs w:val="22"/>
              </w:rPr>
            </w:pPr>
            <w:r w:rsidRPr="006855B4">
              <w:rPr>
                <w:rFonts w:ascii="Arial" w:hAnsi="Arial" w:cs="Arial"/>
                <w:color w:val="000000"/>
                <w:sz w:val="22"/>
                <w:szCs w:val="22"/>
              </w:rPr>
              <w:t>55</w:t>
            </w:r>
          </w:p>
        </w:tc>
        <w:tc>
          <w:tcPr>
            <w:tcW w:w="157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4B8A5189" w14:textId="77777777" w:rsidR="007205B3" w:rsidRPr="006855B4" w:rsidRDefault="007205B3" w:rsidP="00C064A4">
            <w:pPr>
              <w:jc w:val="center"/>
              <w:rPr>
                <w:rFonts w:ascii="Arial" w:hAnsi="Arial" w:cs="Arial"/>
                <w:color w:val="000000"/>
                <w:sz w:val="22"/>
                <w:szCs w:val="22"/>
              </w:rPr>
            </w:pPr>
            <w:r w:rsidRPr="006855B4">
              <w:rPr>
                <w:rFonts w:ascii="Arial" w:hAnsi="Arial" w:cs="Arial"/>
                <w:color w:val="000000"/>
                <w:sz w:val="22"/>
                <w:szCs w:val="22"/>
              </w:rPr>
              <w:t>65</w:t>
            </w:r>
          </w:p>
        </w:tc>
      </w:tr>
      <w:tr w:rsidR="007205B3" w:rsidRPr="006855B4" w14:paraId="2F8DEE70" w14:textId="77777777" w:rsidTr="00C064A4">
        <w:trPr>
          <w:trHeight w:val="415"/>
        </w:trPr>
        <w:tc>
          <w:tcPr>
            <w:tcW w:w="15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4616F398" w14:textId="77777777" w:rsidR="007205B3" w:rsidRPr="006855B4" w:rsidRDefault="007205B3" w:rsidP="00C064A4">
            <w:pPr>
              <w:jc w:val="center"/>
              <w:rPr>
                <w:rFonts w:ascii="Arial" w:hAnsi="Arial" w:cs="Arial"/>
                <w:color w:val="000000"/>
                <w:sz w:val="22"/>
                <w:szCs w:val="22"/>
              </w:rPr>
            </w:pPr>
            <w:r w:rsidRPr="006855B4">
              <w:rPr>
                <w:rFonts w:ascii="Arial" w:hAnsi="Arial" w:cs="Arial"/>
                <w:color w:val="000000"/>
                <w:sz w:val="22"/>
                <w:szCs w:val="22"/>
              </w:rPr>
              <w:t>2</w:t>
            </w:r>
          </w:p>
        </w:tc>
        <w:tc>
          <w:tcPr>
            <w:tcW w:w="157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798BF4DE" w14:textId="4059906A" w:rsidR="007205B3" w:rsidRPr="006855B4" w:rsidRDefault="003C31AB" w:rsidP="00C064A4">
            <w:pPr>
              <w:jc w:val="center"/>
              <w:rPr>
                <w:rFonts w:ascii="Arial" w:hAnsi="Arial" w:cs="Arial"/>
                <w:color w:val="000000"/>
                <w:sz w:val="22"/>
                <w:szCs w:val="22"/>
              </w:rPr>
            </w:pPr>
            <w:r>
              <w:rPr>
                <w:rFonts w:ascii="Arial" w:hAnsi="Arial" w:cs="Arial"/>
                <w:color w:val="000000"/>
                <w:sz w:val="22"/>
                <w:szCs w:val="22"/>
              </w:rPr>
              <w:t>35</w:t>
            </w:r>
          </w:p>
        </w:tc>
        <w:tc>
          <w:tcPr>
            <w:tcW w:w="15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093DE303" w14:textId="11B9CE43" w:rsidR="007205B3" w:rsidRPr="006855B4" w:rsidRDefault="003C31AB" w:rsidP="00C064A4">
            <w:pPr>
              <w:jc w:val="center"/>
              <w:rPr>
                <w:rFonts w:ascii="Arial" w:hAnsi="Arial" w:cs="Arial"/>
                <w:color w:val="000000"/>
                <w:sz w:val="22"/>
                <w:szCs w:val="22"/>
              </w:rPr>
            </w:pPr>
            <w:r>
              <w:rPr>
                <w:rFonts w:ascii="Arial" w:hAnsi="Arial" w:cs="Arial"/>
                <w:color w:val="000000"/>
                <w:sz w:val="22"/>
                <w:szCs w:val="22"/>
              </w:rPr>
              <w:t>45</w:t>
            </w:r>
          </w:p>
        </w:tc>
        <w:tc>
          <w:tcPr>
            <w:tcW w:w="157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263A8F08" w14:textId="42731C36" w:rsidR="007205B3" w:rsidRPr="006855B4" w:rsidRDefault="003C31AB" w:rsidP="00C064A4">
            <w:pPr>
              <w:jc w:val="center"/>
              <w:rPr>
                <w:rFonts w:ascii="Arial" w:hAnsi="Arial" w:cs="Arial"/>
                <w:color w:val="000000"/>
                <w:sz w:val="22"/>
                <w:szCs w:val="22"/>
              </w:rPr>
            </w:pPr>
            <w:r>
              <w:rPr>
                <w:rFonts w:ascii="Arial" w:hAnsi="Arial" w:cs="Arial"/>
                <w:color w:val="000000"/>
                <w:sz w:val="22"/>
                <w:szCs w:val="22"/>
              </w:rPr>
              <w:t>55</w:t>
            </w:r>
          </w:p>
        </w:tc>
      </w:tr>
      <w:tr w:rsidR="007205B3" w:rsidRPr="006855B4" w14:paraId="06BA7160" w14:textId="77777777" w:rsidTr="00C064A4">
        <w:trPr>
          <w:trHeight w:val="415"/>
        </w:trPr>
        <w:tc>
          <w:tcPr>
            <w:tcW w:w="15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730111EE" w14:textId="77777777" w:rsidR="007205B3" w:rsidRPr="006855B4" w:rsidRDefault="007205B3" w:rsidP="00C064A4">
            <w:pPr>
              <w:jc w:val="center"/>
              <w:rPr>
                <w:rFonts w:ascii="Arial" w:hAnsi="Arial" w:cs="Arial"/>
                <w:color w:val="000000"/>
                <w:sz w:val="22"/>
                <w:szCs w:val="22"/>
              </w:rPr>
            </w:pPr>
            <w:r w:rsidRPr="006855B4">
              <w:rPr>
                <w:rFonts w:ascii="Arial" w:hAnsi="Arial" w:cs="Arial"/>
                <w:color w:val="000000"/>
                <w:sz w:val="22"/>
                <w:szCs w:val="22"/>
              </w:rPr>
              <w:t>3</w:t>
            </w:r>
          </w:p>
        </w:tc>
        <w:tc>
          <w:tcPr>
            <w:tcW w:w="157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0B19D019" w14:textId="6AB6203F" w:rsidR="007205B3" w:rsidRPr="006855B4" w:rsidRDefault="003C31AB" w:rsidP="00C064A4">
            <w:pPr>
              <w:jc w:val="center"/>
              <w:rPr>
                <w:rFonts w:ascii="Arial" w:hAnsi="Arial" w:cs="Arial"/>
                <w:color w:val="000000"/>
                <w:sz w:val="22"/>
                <w:szCs w:val="22"/>
              </w:rPr>
            </w:pPr>
            <w:r>
              <w:rPr>
                <w:rFonts w:ascii="Arial" w:hAnsi="Arial" w:cs="Arial"/>
                <w:color w:val="000000"/>
                <w:sz w:val="22"/>
                <w:szCs w:val="22"/>
              </w:rPr>
              <w:t>30</w:t>
            </w:r>
          </w:p>
        </w:tc>
        <w:tc>
          <w:tcPr>
            <w:tcW w:w="157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785113A3" w14:textId="772D7F50" w:rsidR="007205B3" w:rsidRPr="006855B4" w:rsidRDefault="003C31AB" w:rsidP="00C064A4">
            <w:pPr>
              <w:jc w:val="center"/>
              <w:rPr>
                <w:rFonts w:ascii="Arial" w:hAnsi="Arial" w:cs="Arial"/>
                <w:color w:val="000000"/>
                <w:sz w:val="22"/>
                <w:szCs w:val="22"/>
              </w:rPr>
            </w:pPr>
            <w:r>
              <w:rPr>
                <w:rFonts w:ascii="Arial" w:hAnsi="Arial" w:cs="Arial"/>
                <w:color w:val="000000"/>
                <w:sz w:val="22"/>
                <w:szCs w:val="22"/>
              </w:rPr>
              <w:t>40</w:t>
            </w:r>
          </w:p>
        </w:tc>
        <w:tc>
          <w:tcPr>
            <w:tcW w:w="157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596B5C22" w14:textId="7D0DAADF" w:rsidR="007205B3" w:rsidRPr="006855B4" w:rsidRDefault="003C31AB" w:rsidP="00C064A4">
            <w:pPr>
              <w:jc w:val="center"/>
              <w:rPr>
                <w:rFonts w:ascii="Arial" w:hAnsi="Arial" w:cs="Arial"/>
                <w:color w:val="000000"/>
                <w:sz w:val="22"/>
                <w:szCs w:val="22"/>
              </w:rPr>
            </w:pPr>
            <w:r>
              <w:rPr>
                <w:rFonts w:ascii="Arial" w:hAnsi="Arial" w:cs="Arial"/>
                <w:color w:val="000000"/>
                <w:sz w:val="22"/>
                <w:szCs w:val="22"/>
              </w:rPr>
              <w:t>50</w:t>
            </w:r>
          </w:p>
        </w:tc>
      </w:tr>
    </w:tbl>
    <w:p w14:paraId="22412FC6" w14:textId="77777777" w:rsidR="007205B3" w:rsidRDefault="007205B3" w:rsidP="00D83099">
      <w:pPr>
        <w:jc w:val="both"/>
        <w:rPr>
          <w:rFonts w:ascii="Arial" w:hAnsi="Arial" w:cs="Arial"/>
          <w:b/>
          <w:sz w:val="22"/>
          <w:szCs w:val="22"/>
        </w:rPr>
      </w:pPr>
    </w:p>
    <w:p w14:paraId="041E623B" w14:textId="4BAC0B7A" w:rsidR="001C186B" w:rsidRPr="001C186B" w:rsidRDefault="001C186B" w:rsidP="00D83099">
      <w:pPr>
        <w:jc w:val="both"/>
        <w:rPr>
          <w:rFonts w:ascii="Arial" w:hAnsi="Arial" w:cs="Arial"/>
          <w:b/>
          <w:sz w:val="22"/>
          <w:szCs w:val="22"/>
        </w:rPr>
      </w:pPr>
      <w:r w:rsidRPr="001C186B">
        <w:rPr>
          <w:rFonts w:ascii="Arial" w:hAnsi="Arial" w:cs="Arial"/>
          <w:b/>
          <w:sz w:val="22"/>
          <w:szCs w:val="22"/>
        </w:rPr>
        <w:t>To determine the RSL for other values, interpolate between the values given.</w:t>
      </w:r>
    </w:p>
    <w:p w14:paraId="1CAB3027" w14:textId="77777777" w:rsidR="001C186B" w:rsidRDefault="001C186B" w:rsidP="00D83099">
      <w:pPr>
        <w:jc w:val="both"/>
        <w:rPr>
          <w:rFonts w:ascii="Arial" w:hAnsi="Arial" w:cs="Arial"/>
          <w:sz w:val="22"/>
          <w:szCs w:val="22"/>
        </w:rPr>
      </w:pPr>
    </w:p>
    <w:p w14:paraId="668D986A" w14:textId="4B96FEE4" w:rsidR="00D316B0" w:rsidRPr="00D83099" w:rsidRDefault="00D316B0" w:rsidP="00D83099">
      <w:pPr>
        <w:jc w:val="both"/>
        <w:rPr>
          <w:rFonts w:ascii="Arial" w:hAnsi="Arial" w:cs="Arial"/>
          <w:sz w:val="22"/>
          <w:szCs w:val="22"/>
        </w:rPr>
      </w:pPr>
      <w:r w:rsidRPr="00D83099">
        <w:rPr>
          <w:rFonts w:ascii="Arial" w:hAnsi="Arial" w:cs="Arial"/>
          <w:sz w:val="22"/>
          <w:szCs w:val="22"/>
        </w:rPr>
        <w:t xml:space="preserve">Note: </w:t>
      </w:r>
      <w:r w:rsidR="00EB34C7">
        <w:rPr>
          <w:rFonts w:ascii="Arial" w:hAnsi="Arial" w:cs="Arial"/>
          <w:sz w:val="22"/>
          <w:szCs w:val="22"/>
        </w:rPr>
        <w:t>T</w:t>
      </w:r>
      <w:r w:rsidRPr="00D83099">
        <w:rPr>
          <w:rFonts w:ascii="Arial" w:hAnsi="Arial" w:cs="Arial"/>
          <w:sz w:val="22"/>
          <w:szCs w:val="22"/>
        </w:rPr>
        <w:t>he procedure to determine the actual fix life (in calendar years, from the initial to the final performance targets), using a combination of MEPDG and performance data</w:t>
      </w:r>
      <w:r w:rsidR="00EB34C7">
        <w:rPr>
          <w:rFonts w:ascii="Arial" w:hAnsi="Arial" w:cs="Arial"/>
          <w:sz w:val="22"/>
          <w:szCs w:val="22"/>
        </w:rPr>
        <w:t>,</w:t>
      </w:r>
      <w:r w:rsidRPr="00D83099">
        <w:rPr>
          <w:rFonts w:ascii="Arial" w:hAnsi="Arial" w:cs="Arial"/>
          <w:sz w:val="22"/>
          <w:szCs w:val="22"/>
        </w:rPr>
        <w:t xml:space="preserve"> is detailed in</w:t>
      </w:r>
      <w:r w:rsidR="00D83099">
        <w:rPr>
          <w:rFonts w:ascii="Arial" w:hAnsi="Arial" w:cs="Arial"/>
          <w:sz w:val="22"/>
          <w:szCs w:val="22"/>
        </w:rPr>
        <w:t xml:space="preserve"> </w:t>
      </w:r>
      <w:hyperlink w:anchor="_Pavement_Preservation_&amp;" w:history="1">
        <w:r w:rsidR="00D83099" w:rsidRPr="00D83099">
          <w:rPr>
            <w:rStyle w:val="Hyperlink"/>
            <w:rFonts w:ascii="Arial" w:hAnsi="Arial" w:cs="Arial"/>
            <w:sz w:val="22"/>
            <w:szCs w:val="22"/>
          </w:rPr>
          <w:t>Pavement Preservation &amp; Rehabilitation Design</w:t>
        </w:r>
      </w:hyperlink>
      <w:r w:rsidRPr="00D83099">
        <w:rPr>
          <w:rFonts w:ascii="Arial" w:hAnsi="Arial" w:cs="Arial"/>
          <w:sz w:val="22"/>
          <w:szCs w:val="22"/>
        </w:rPr>
        <w:t xml:space="preserve">.  This value will be used to compare </w:t>
      </w:r>
      <w:r w:rsidR="00EB34C7">
        <w:rPr>
          <w:rFonts w:ascii="Arial" w:hAnsi="Arial" w:cs="Arial"/>
          <w:sz w:val="22"/>
          <w:szCs w:val="22"/>
        </w:rPr>
        <w:t xml:space="preserve">with </w:t>
      </w:r>
      <w:r w:rsidR="00EB34C7" w:rsidRPr="00D83099">
        <w:rPr>
          <w:rFonts w:ascii="Arial" w:hAnsi="Arial" w:cs="Arial"/>
          <w:sz w:val="22"/>
          <w:szCs w:val="22"/>
        </w:rPr>
        <w:t>the</w:t>
      </w:r>
      <w:r w:rsidR="00EB34C7">
        <w:rPr>
          <w:rFonts w:ascii="Arial" w:hAnsi="Arial" w:cs="Arial"/>
          <w:sz w:val="22"/>
          <w:szCs w:val="22"/>
        </w:rPr>
        <w:t xml:space="preserve"> </w:t>
      </w:r>
      <w:r w:rsidRPr="00D83099">
        <w:rPr>
          <w:rFonts w:ascii="Arial" w:hAnsi="Arial" w:cs="Arial"/>
          <w:sz w:val="22"/>
          <w:szCs w:val="22"/>
        </w:rPr>
        <w:t>LMY targets required for the Districts for Fund 77 projects.</w:t>
      </w:r>
    </w:p>
    <w:p w14:paraId="449832B3" w14:textId="77777777" w:rsidR="00D316B0" w:rsidRPr="009F492B" w:rsidRDefault="00D316B0" w:rsidP="00172E64">
      <w:pPr>
        <w:pStyle w:val="Heading3"/>
        <w:numPr>
          <w:ilvl w:val="2"/>
          <w:numId w:val="184"/>
        </w:numPr>
        <w:ind w:left="0" w:firstLine="0"/>
      </w:pPr>
      <w:bookmarkStart w:id="373" w:name="_Traffic_Lane_Distribution"/>
      <w:bookmarkStart w:id="374" w:name="_Shoulder_Design_1"/>
      <w:bookmarkStart w:id="375" w:name="_Toc338309993"/>
      <w:bookmarkStart w:id="376" w:name="_Toc338310062"/>
      <w:bookmarkStart w:id="377" w:name="_Toc338310149"/>
      <w:bookmarkStart w:id="378" w:name="_Toc338310461"/>
      <w:bookmarkEnd w:id="373"/>
      <w:bookmarkEnd w:id="374"/>
      <w:r w:rsidRPr="009F492B">
        <w:t>Shoulder Design</w:t>
      </w:r>
      <w:bookmarkEnd w:id="375"/>
      <w:bookmarkEnd w:id="376"/>
      <w:bookmarkEnd w:id="377"/>
      <w:bookmarkEnd w:id="378"/>
    </w:p>
    <w:p w14:paraId="1DDDE495" w14:textId="77777777" w:rsidR="002D6703" w:rsidRPr="008F604D" w:rsidRDefault="002D6703" w:rsidP="002D670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6496DCA7" w14:textId="77777777" w:rsidR="002D6703" w:rsidRDefault="002D6703" w:rsidP="00BE3F24">
      <w:pPr>
        <w:pStyle w:val="BodyText"/>
        <w:spacing w:after="0"/>
      </w:pPr>
    </w:p>
    <w:p w14:paraId="0A9BD92C" w14:textId="77777777" w:rsidR="00A51D5D" w:rsidRPr="00A51D5D" w:rsidRDefault="00A51D5D" w:rsidP="00B1155E">
      <w:pPr>
        <w:pStyle w:val="BodyText"/>
        <w:spacing w:after="0"/>
        <w:jc w:val="both"/>
      </w:pPr>
      <w:r w:rsidRPr="00A51D5D">
        <w:t>The design inputs for shoulder pavement design are identical to those for new design of mainline pavement with the exception of the truck adjustment factor.</w:t>
      </w:r>
    </w:p>
    <w:p w14:paraId="17E7330C" w14:textId="77777777" w:rsidR="00D316B0" w:rsidRPr="009F492B" w:rsidRDefault="00D316B0" w:rsidP="00BE3F24">
      <w:pPr>
        <w:rPr>
          <w:rFonts w:ascii="Arial" w:hAnsi="Arial"/>
        </w:rPr>
      </w:pPr>
    </w:p>
    <w:p w14:paraId="1B9E0078" w14:textId="77777777" w:rsidR="00D316B0" w:rsidRPr="009F492B" w:rsidRDefault="00D316B0" w:rsidP="00172E64">
      <w:pPr>
        <w:pStyle w:val="Heading4"/>
        <w:numPr>
          <w:ilvl w:val="3"/>
          <w:numId w:val="184"/>
        </w:numPr>
        <w:ind w:left="0" w:firstLine="0"/>
      </w:pPr>
      <w:bookmarkStart w:id="379" w:name="_Truck_Adjustment_Factor"/>
      <w:bookmarkStart w:id="380" w:name="_Toc338310063"/>
      <w:bookmarkStart w:id="381" w:name="_Toc338310150"/>
      <w:bookmarkStart w:id="382" w:name="_Toc338310462"/>
      <w:bookmarkEnd w:id="379"/>
      <w:r>
        <w:t>Truck</w:t>
      </w:r>
      <w:r w:rsidRPr="009F492B">
        <w:t xml:space="preserve"> Adjustment Factor (Shoulder)</w:t>
      </w:r>
      <w:bookmarkEnd w:id="380"/>
      <w:bookmarkEnd w:id="381"/>
      <w:bookmarkEnd w:id="382"/>
    </w:p>
    <w:p w14:paraId="1784BC69" w14:textId="77777777" w:rsidR="00A51D5D" w:rsidRDefault="00A51D5D" w:rsidP="00B1155E">
      <w:pPr>
        <w:pStyle w:val="BodyText"/>
        <w:spacing w:before="120"/>
        <w:jc w:val="both"/>
      </w:pPr>
      <w:bookmarkStart w:id="383" w:name="_Toc338309995"/>
      <w:bookmarkStart w:id="384" w:name="_Toc338310064"/>
      <w:bookmarkStart w:id="385" w:name="_Toc338310151"/>
      <w:bookmarkStart w:id="386" w:name="_Toc338310463"/>
      <w:r w:rsidRPr="009F492B">
        <w:t xml:space="preserve">The design ADTT for the pavement design of the shoulder will be based on </w:t>
      </w:r>
      <w:r>
        <w:t xml:space="preserve">using 10% of the </w:t>
      </w:r>
      <w:r w:rsidRPr="009F492B">
        <w:t>design ADTT for the mainline roadway</w:t>
      </w:r>
      <w:r>
        <w:t>, with the following exceptions:</w:t>
      </w:r>
    </w:p>
    <w:p w14:paraId="5A3CC031" w14:textId="5BCA8AE5" w:rsidR="00A51D5D" w:rsidRDefault="00A51D5D" w:rsidP="00172E64">
      <w:pPr>
        <w:pStyle w:val="BodyText"/>
        <w:numPr>
          <w:ilvl w:val="0"/>
          <w:numId w:val="141"/>
        </w:numPr>
        <w:ind w:hanging="720"/>
      </w:pPr>
      <w:r>
        <w:t>Bridge Approaches, within 500</w:t>
      </w:r>
      <w:r w:rsidR="001B4E91">
        <w:t>'</w:t>
      </w:r>
      <w:r>
        <w:t xml:space="preserve"> of bridge</w:t>
      </w:r>
    </w:p>
    <w:p w14:paraId="67A5EC8B" w14:textId="043F4757" w:rsidR="00A51D5D" w:rsidRDefault="00A51D5D" w:rsidP="00172E64">
      <w:pPr>
        <w:pStyle w:val="BodyText"/>
        <w:numPr>
          <w:ilvl w:val="0"/>
          <w:numId w:val="141"/>
        </w:numPr>
        <w:ind w:hanging="720"/>
      </w:pPr>
      <w:r>
        <w:t>Intersections, within 500</w:t>
      </w:r>
      <w:r w:rsidR="001B4E91">
        <w:t>'</w:t>
      </w:r>
      <w:r>
        <w:t xml:space="preserve"> of intersection</w:t>
      </w:r>
    </w:p>
    <w:p w14:paraId="63707B0B" w14:textId="0AA08769" w:rsidR="00A51D5D" w:rsidRDefault="00A51D5D" w:rsidP="00172E64">
      <w:pPr>
        <w:pStyle w:val="BodyText"/>
        <w:numPr>
          <w:ilvl w:val="0"/>
          <w:numId w:val="141"/>
        </w:numPr>
        <w:ind w:hanging="720"/>
      </w:pPr>
      <w:r>
        <w:t>Shoulders less than 6</w:t>
      </w:r>
      <w:r w:rsidR="001B4E91">
        <w:t>'</w:t>
      </w:r>
      <w:r>
        <w:t xml:space="preserve"> wide</w:t>
      </w:r>
    </w:p>
    <w:p w14:paraId="6D2D3A12" w14:textId="77777777" w:rsidR="00A51D5D" w:rsidRDefault="00A51D5D" w:rsidP="00A51D5D">
      <w:pPr>
        <w:pStyle w:val="BodyText"/>
      </w:pPr>
      <w:r>
        <w:lastRenderedPageBreak/>
        <w:t>For these exceptions, use 100% of the design ADTT.</w:t>
      </w:r>
    </w:p>
    <w:p w14:paraId="7B19C603" w14:textId="1E0D7BBB" w:rsidR="00A51D5D" w:rsidRDefault="00A51D5D" w:rsidP="00B1155E">
      <w:pPr>
        <w:pStyle w:val="BodyText"/>
        <w:jc w:val="both"/>
      </w:pPr>
      <w:r w:rsidRPr="009F492B">
        <w:t>For pavement design purposes, any auxiliary, acceleration, deceleration</w:t>
      </w:r>
      <w:r w:rsidR="001B4E91">
        <w:t>,</w:t>
      </w:r>
      <w:r w:rsidRPr="009F492B">
        <w:t xml:space="preserve"> and ramp lanes that are directly adjacent to mainline pavement shall be considered to be part of the mainline </w:t>
      </w:r>
      <w:r w:rsidRPr="00BF17B3">
        <w:t>pavement until those lanes split off at the gore area.</w:t>
      </w:r>
    </w:p>
    <w:p w14:paraId="26CE5C80" w14:textId="77777777" w:rsidR="00A51D5D" w:rsidRDefault="00A51D5D" w:rsidP="00B1155E">
      <w:pPr>
        <w:pStyle w:val="BodyText"/>
        <w:jc w:val="both"/>
      </w:pPr>
      <w:r w:rsidRPr="00A51D5D">
        <w:t>Where an additional lane is considered imminent, the shoulder should be designed for 100% traffic, with the width desired for future lane use.  Ramp shoulders should be consistent with the mainline.</w:t>
      </w:r>
    </w:p>
    <w:p w14:paraId="55BF5445" w14:textId="77777777" w:rsidR="00A51D5D" w:rsidRPr="00B43EE3" w:rsidRDefault="00A51D5D" w:rsidP="00B1155E">
      <w:pPr>
        <w:pStyle w:val="BodyText"/>
        <w:jc w:val="both"/>
      </w:pPr>
      <w:r>
        <w:t>C</w:t>
      </w:r>
      <w:r w:rsidRPr="00B43EE3">
        <w:t>onsideration should be given to match the mainline roadway overall pavement thickness (asphalt/concrete + aggregate base) by increasing the aggregate thickness when drainage issues are or are likely to be present.</w:t>
      </w:r>
    </w:p>
    <w:p w14:paraId="306C1A84" w14:textId="2AFE2192" w:rsidR="00EB3788" w:rsidRPr="009F492B" w:rsidRDefault="00700064" w:rsidP="00EB3788">
      <w:pPr>
        <w:pStyle w:val="Heading4"/>
        <w:numPr>
          <w:ilvl w:val="3"/>
          <w:numId w:val="184"/>
        </w:numPr>
        <w:ind w:left="0" w:firstLine="0"/>
        <w:jc w:val="both"/>
      </w:pPr>
      <w:r>
        <w:t>Shoulder Evaluation – C</w:t>
      </w:r>
      <w:r w:rsidR="00EB3788">
        <w:t>onversion of existing Shoulder to Travel Lane, Auxiliary Lane, or Turn Lane</w:t>
      </w:r>
    </w:p>
    <w:p w14:paraId="3E41F9DE" w14:textId="253DE183" w:rsidR="00EB3788" w:rsidRDefault="00EB3788" w:rsidP="00EB3788">
      <w:pPr>
        <w:pStyle w:val="BodyText"/>
        <w:jc w:val="both"/>
      </w:pPr>
      <w:r>
        <w:t xml:space="preserve">When existing shoulders are to be converted into lanes that will carry more traffic, they shall be </w:t>
      </w:r>
      <w:r w:rsidR="00700064">
        <w:t xml:space="preserve">evaluated </w:t>
      </w:r>
      <w:r>
        <w:t>to determine whether they are structurally adequate to carry that traffic for a period of 25 years using a Reliability = 90.  In addition, specific traffic information for the new situation should be requested and used.  All other inputs remain the same.</w:t>
      </w:r>
    </w:p>
    <w:p w14:paraId="2810B6A1" w14:textId="77777777" w:rsidR="00A51D5D" w:rsidRPr="009F492B" w:rsidRDefault="00A51D5D" w:rsidP="00172E64">
      <w:pPr>
        <w:pStyle w:val="Heading4"/>
        <w:numPr>
          <w:ilvl w:val="3"/>
          <w:numId w:val="184"/>
        </w:numPr>
        <w:ind w:left="0" w:firstLine="0"/>
        <w:jc w:val="both"/>
      </w:pPr>
      <w:r>
        <w:t>Use of Permeable Pavement on Shoulder</w:t>
      </w:r>
    </w:p>
    <w:p w14:paraId="243B16FB" w14:textId="4B778077" w:rsidR="00A51D5D" w:rsidRDefault="00A51D5D" w:rsidP="00B1155E">
      <w:pPr>
        <w:pStyle w:val="BodyText"/>
        <w:jc w:val="both"/>
      </w:pPr>
      <w:r>
        <w:t xml:space="preserve">Permeable pavements may be considered where significant right-of-way or other SWM costs exist on the project.  This should be discussed with the project manager.  Permeable shoulder pavements shall not be used where the speed limit will be greater than </w:t>
      </w:r>
      <w:r w:rsidR="004F5528">
        <w:t>35 mph</w:t>
      </w:r>
      <w:r>
        <w:t xml:space="preserve">.  </w:t>
      </w:r>
      <w:r w:rsidRPr="00A51D5D">
        <w:t>Permeable pavements should only be considered in areas where the underlying subgrade drainage is good (typically sandy material), and provisions for routine maintenance must be made</w:t>
      </w:r>
      <w:r>
        <w:t>.</w:t>
      </w:r>
    </w:p>
    <w:p w14:paraId="09ED6285" w14:textId="77777777" w:rsidR="00D316B0" w:rsidRPr="00BF17B3" w:rsidRDefault="00D316B0" w:rsidP="00172E64">
      <w:pPr>
        <w:pStyle w:val="Heading3"/>
        <w:numPr>
          <w:ilvl w:val="2"/>
          <w:numId w:val="184"/>
        </w:numPr>
        <w:spacing w:before="120"/>
        <w:ind w:left="0" w:firstLine="0"/>
      </w:pPr>
      <w:r w:rsidRPr="00BF17B3">
        <w:t>Temporary</w:t>
      </w:r>
      <w:r>
        <w:t>/Detour</w:t>
      </w:r>
      <w:r w:rsidRPr="00BF17B3">
        <w:t xml:space="preserve"> Road Design</w:t>
      </w:r>
      <w:bookmarkEnd w:id="383"/>
      <w:bookmarkEnd w:id="384"/>
      <w:bookmarkEnd w:id="385"/>
      <w:bookmarkEnd w:id="386"/>
    </w:p>
    <w:p w14:paraId="72E938CB" w14:textId="4C832E98" w:rsidR="00D316B0" w:rsidRPr="00BF17B3" w:rsidRDefault="00D316B0" w:rsidP="00B1155E">
      <w:pPr>
        <w:pStyle w:val="BodyText"/>
        <w:jc w:val="both"/>
      </w:pPr>
      <w:r w:rsidRPr="00BF17B3">
        <w:t>The design inputs required for temporary / detour road pavements vary depending on the existing conditions at the project site, the functional classification of the roadway, the pavement type</w:t>
      </w:r>
      <w:r>
        <w:t>, and whether the road will be removed or left in service</w:t>
      </w:r>
      <w:r w:rsidRPr="00BF17B3">
        <w:t xml:space="preserve">.  These design inputs follow the same guidelines as those developed by </w:t>
      </w:r>
      <w:r w:rsidR="00D17816" w:rsidRPr="00BF17B3">
        <w:t>AASHTO but</w:t>
      </w:r>
      <w:r w:rsidRPr="00BF17B3">
        <w:t xml:space="preserve"> modified for local conditions.  </w:t>
      </w:r>
    </w:p>
    <w:p w14:paraId="7834B196" w14:textId="77777777" w:rsidR="00D316B0" w:rsidRPr="00BF17B3" w:rsidRDefault="00D316B0" w:rsidP="00172E64">
      <w:pPr>
        <w:pStyle w:val="Heading4"/>
        <w:numPr>
          <w:ilvl w:val="3"/>
          <w:numId w:val="184"/>
        </w:numPr>
        <w:ind w:left="0" w:firstLine="0"/>
        <w:jc w:val="both"/>
      </w:pPr>
      <w:bookmarkStart w:id="387" w:name="_Toc338310065"/>
      <w:bookmarkStart w:id="388" w:name="_Toc338310152"/>
      <w:bookmarkStart w:id="389" w:name="_Toc338310464"/>
      <w:r w:rsidRPr="00BF17B3">
        <w:t>Design Life (Temporary</w:t>
      </w:r>
      <w:r>
        <w:t>/Detour</w:t>
      </w:r>
      <w:r w:rsidRPr="00BF17B3">
        <w:t>)</w:t>
      </w:r>
      <w:bookmarkEnd w:id="387"/>
      <w:bookmarkEnd w:id="388"/>
      <w:bookmarkEnd w:id="389"/>
    </w:p>
    <w:p w14:paraId="188DD2C9" w14:textId="77777777" w:rsidR="00D316B0" w:rsidRPr="00292E5D" w:rsidRDefault="00D316B0" w:rsidP="00B1155E">
      <w:pPr>
        <w:pStyle w:val="BodyText"/>
        <w:jc w:val="both"/>
      </w:pPr>
      <w:r w:rsidRPr="00BF17B3">
        <w:t xml:space="preserve">The design life for a temporary or detour road shall be the </w:t>
      </w:r>
      <w:r w:rsidRPr="00292E5D">
        <w:t>MOT construction duration</w:t>
      </w:r>
      <w:r>
        <w:t xml:space="preserve"> (</w:t>
      </w:r>
      <w:r w:rsidRPr="00292E5D">
        <w:t>verify with highway design and construction inspection</w:t>
      </w:r>
      <w:r>
        <w:t xml:space="preserve">), or if that information is not available, </w:t>
      </w:r>
      <w:r w:rsidRPr="00292E5D">
        <w:t>2 years</w:t>
      </w:r>
      <w:r>
        <w:t>.</w:t>
      </w:r>
    </w:p>
    <w:p w14:paraId="021AD953" w14:textId="77777777" w:rsidR="00D316B0" w:rsidRPr="006268C7" w:rsidRDefault="00D316B0" w:rsidP="00172E64">
      <w:pPr>
        <w:pStyle w:val="Heading4"/>
        <w:numPr>
          <w:ilvl w:val="3"/>
          <w:numId w:val="184"/>
        </w:numPr>
        <w:ind w:left="0" w:firstLine="0"/>
        <w:jc w:val="both"/>
      </w:pPr>
      <w:bookmarkStart w:id="390" w:name="_Toc338310066"/>
      <w:bookmarkStart w:id="391" w:name="_Toc338310153"/>
      <w:bookmarkStart w:id="392" w:name="_Toc338310465"/>
      <w:r w:rsidRPr="006268C7">
        <w:t>Reliability, R (Temporary</w:t>
      </w:r>
      <w:r>
        <w:t>/Detour</w:t>
      </w:r>
      <w:r w:rsidRPr="006268C7">
        <w:t>)</w:t>
      </w:r>
      <w:bookmarkEnd w:id="390"/>
      <w:bookmarkEnd w:id="391"/>
      <w:bookmarkEnd w:id="392"/>
    </w:p>
    <w:p w14:paraId="5B0FF9FA" w14:textId="77777777" w:rsidR="00D316B0" w:rsidRPr="004D2264" w:rsidRDefault="00D316B0" w:rsidP="00B1155E">
      <w:pPr>
        <w:pStyle w:val="BodyText"/>
        <w:jc w:val="both"/>
        <w:rPr>
          <w:b/>
        </w:rPr>
      </w:pPr>
      <w:r w:rsidRPr="006268C7">
        <w:t>Temporary</w:t>
      </w:r>
      <w:r>
        <w:t xml:space="preserve"> or detour</w:t>
      </w:r>
      <w:r w:rsidRPr="006268C7">
        <w:t xml:space="preserve"> roads </w:t>
      </w:r>
      <w:r>
        <w:t xml:space="preserve">that are to be removed </w:t>
      </w:r>
      <w:r w:rsidRPr="006268C7">
        <w:t xml:space="preserve">shall be designed with a Reliability of </w:t>
      </w:r>
      <w:r w:rsidRPr="006268C7">
        <w:rPr>
          <w:b/>
        </w:rPr>
        <w:t>75%.</w:t>
      </w:r>
      <w:r>
        <w:rPr>
          <w:b/>
        </w:rPr>
        <w:t xml:space="preserve">  </w:t>
      </w:r>
      <w:r w:rsidRPr="004D2264">
        <w:t xml:space="preserve">Temporary or detour roads that are to be left in service shall be designed with a Reliability of </w:t>
      </w:r>
      <w:r w:rsidRPr="004D2264">
        <w:rPr>
          <w:b/>
        </w:rPr>
        <w:t xml:space="preserve">90%.  </w:t>
      </w:r>
    </w:p>
    <w:p w14:paraId="0EF5C7D7" w14:textId="77777777" w:rsidR="00D316B0" w:rsidRPr="004D2264" w:rsidRDefault="00D316B0" w:rsidP="00172E64">
      <w:pPr>
        <w:pStyle w:val="Heading4"/>
        <w:numPr>
          <w:ilvl w:val="3"/>
          <w:numId w:val="184"/>
        </w:numPr>
        <w:ind w:left="0" w:firstLine="0"/>
        <w:jc w:val="both"/>
      </w:pPr>
      <w:bookmarkStart w:id="393" w:name="_Toc338310067"/>
      <w:bookmarkStart w:id="394" w:name="_Toc338310154"/>
      <w:bookmarkStart w:id="395" w:name="_Toc338310466"/>
      <w:r w:rsidRPr="004D2264">
        <w:t xml:space="preserve">Performance Criteria – Initial </w:t>
      </w:r>
      <w:r>
        <w:t>Targets</w:t>
      </w:r>
      <w:r w:rsidRPr="004D2264">
        <w:t xml:space="preserve"> (Temporary/Detour)</w:t>
      </w:r>
      <w:bookmarkEnd w:id="393"/>
      <w:bookmarkEnd w:id="394"/>
      <w:bookmarkEnd w:id="395"/>
      <w:r w:rsidRPr="004D2264">
        <w:t xml:space="preserve"> </w:t>
      </w:r>
    </w:p>
    <w:p w14:paraId="06002953" w14:textId="77777777" w:rsidR="00D316B0" w:rsidRDefault="00D316B0" w:rsidP="00B1155E">
      <w:pPr>
        <w:pStyle w:val="BodyText"/>
        <w:jc w:val="both"/>
      </w:pPr>
      <w:r w:rsidRPr="004D2264">
        <w:t xml:space="preserve">The Initial </w:t>
      </w:r>
      <w:r>
        <w:t>Targets for t</w:t>
      </w:r>
      <w:r w:rsidRPr="006268C7">
        <w:t>emporary</w:t>
      </w:r>
      <w:r>
        <w:t xml:space="preserve"> or detour</w:t>
      </w:r>
      <w:r w:rsidRPr="006268C7">
        <w:t xml:space="preserve"> roads </w:t>
      </w:r>
      <w:r>
        <w:t>shall be determined using the same procedures as used for permanent mainline pavement.</w:t>
      </w:r>
    </w:p>
    <w:p w14:paraId="4F3DFAB1" w14:textId="42882D59" w:rsidR="00D316B0" w:rsidRPr="00FB3F8D" w:rsidRDefault="00D316B0" w:rsidP="00172E64">
      <w:pPr>
        <w:pStyle w:val="Heading4"/>
        <w:numPr>
          <w:ilvl w:val="3"/>
          <w:numId w:val="184"/>
        </w:numPr>
        <w:ind w:left="0" w:firstLine="0"/>
        <w:jc w:val="both"/>
      </w:pPr>
      <w:bookmarkStart w:id="396" w:name="_Toc338310068"/>
      <w:bookmarkStart w:id="397" w:name="_Toc338310155"/>
      <w:bookmarkStart w:id="398" w:name="_Toc338310467"/>
      <w:r w:rsidRPr="00FB3F8D">
        <w:t xml:space="preserve">Performance Criteria – Terminal </w:t>
      </w:r>
      <w:r>
        <w:t>Targets</w:t>
      </w:r>
      <w:r w:rsidRPr="00FB3F8D">
        <w:t xml:space="preserve"> (Temporary/Detour)</w:t>
      </w:r>
      <w:bookmarkEnd w:id="396"/>
      <w:bookmarkEnd w:id="397"/>
      <w:bookmarkEnd w:id="398"/>
    </w:p>
    <w:p w14:paraId="17C73238" w14:textId="77777777" w:rsidR="00D316B0" w:rsidRDefault="00D316B0" w:rsidP="00B1155E">
      <w:pPr>
        <w:pStyle w:val="BodyText"/>
        <w:jc w:val="both"/>
      </w:pPr>
      <w:r w:rsidRPr="00FB3F8D">
        <w:t xml:space="preserve">The Terminal </w:t>
      </w:r>
      <w:r>
        <w:t>Targets</w:t>
      </w:r>
      <w:r w:rsidRPr="00FB3F8D">
        <w:t xml:space="preserve"> for temporary or detour roads that are to be removed shall correspond to a</w:t>
      </w:r>
      <w:r>
        <w:t>n RSL = 0 years.</w:t>
      </w:r>
    </w:p>
    <w:p w14:paraId="4FDE409F" w14:textId="77777777" w:rsidR="00D316B0" w:rsidRPr="000D5F6D" w:rsidRDefault="00D316B0" w:rsidP="00B1155E">
      <w:pPr>
        <w:pStyle w:val="BodyText"/>
        <w:jc w:val="both"/>
      </w:pPr>
      <w:r w:rsidRPr="004D2264">
        <w:lastRenderedPageBreak/>
        <w:t xml:space="preserve">The </w:t>
      </w:r>
      <w:r>
        <w:t>Terminal</w:t>
      </w:r>
      <w:r w:rsidRPr="004D2264">
        <w:t xml:space="preserve"> </w:t>
      </w:r>
      <w:r>
        <w:t xml:space="preserve">Targets </w:t>
      </w:r>
      <w:r w:rsidRPr="000D5F6D">
        <w:t>for temporary or detour roads that are to remain in service shall be determined using the same procedures as for permanent mainline pavement.</w:t>
      </w:r>
    </w:p>
    <w:p w14:paraId="1C61E908" w14:textId="77777777" w:rsidR="00D316B0" w:rsidRPr="000D5F6D" w:rsidRDefault="00D316B0" w:rsidP="00172E64">
      <w:pPr>
        <w:pStyle w:val="Heading4"/>
        <w:numPr>
          <w:ilvl w:val="3"/>
          <w:numId w:val="184"/>
        </w:numPr>
        <w:ind w:left="0" w:firstLine="0"/>
        <w:jc w:val="both"/>
      </w:pPr>
      <w:bookmarkStart w:id="399" w:name="_Toc338310069"/>
      <w:bookmarkStart w:id="400" w:name="_Toc338310156"/>
      <w:bookmarkStart w:id="401" w:name="_Toc338310468"/>
      <w:r w:rsidRPr="000D5F6D">
        <w:t>Other Factors (Temporary</w:t>
      </w:r>
      <w:r>
        <w:t>/Detour</w:t>
      </w:r>
      <w:r w:rsidRPr="000D5F6D">
        <w:t>)</w:t>
      </w:r>
      <w:bookmarkEnd w:id="399"/>
      <w:bookmarkEnd w:id="400"/>
      <w:bookmarkEnd w:id="401"/>
    </w:p>
    <w:p w14:paraId="7335A681" w14:textId="2D9C4886" w:rsidR="00D316B0" w:rsidRPr="000D5F6D" w:rsidRDefault="00D316B0" w:rsidP="00B1155E">
      <w:pPr>
        <w:pStyle w:val="BodyText"/>
        <w:jc w:val="both"/>
      </w:pPr>
      <w:r w:rsidRPr="000D5F6D">
        <w:t xml:space="preserve">Temporary / detour roads shall be designed with the goal to minimize the amount of HMA material placed in the temporary pavement structure.  </w:t>
      </w:r>
      <w:r>
        <w:t>The minimum HMA thickness shall be 4</w:t>
      </w:r>
      <w:r w:rsidR="001B4E91">
        <w:t>"</w:t>
      </w:r>
      <w:r>
        <w:t xml:space="preserve">.  </w:t>
      </w:r>
      <w:r w:rsidRPr="000D5F6D">
        <w:t>The goal should be to utilize graded aggregate base to the fullest exten</w:t>
      </w:r>
      <w:r w:rsidR="001B4E91">
        <w:t>t</w:t>
      </w:r>
      <w:r w:rsidRPr="000D5F6D">
        <w:t xml:space="preserve"> to keep material costs for a temporary pavement structure to a minimum.</w:t>
      </w:r>
    </w:p>
    <w:p w14:paraId="6C419174" w14:textId="77777777" w:rsidR="00D316B0" w:rsidRPr="000D5F6D" w:rsidRDefault="00D316B0" w:rsidP="00172E64">
      <w:pPr>
        <w:pStyle w:val="Heading4"/>
        <w:numPr>
          <w:ilvl w:val="3"/>
          <w:numId w:val="184"/>
        </w:numPr>
        <w:ind w:left="0" w:firstLine="0"/>
        <w:jc w:val="both"/>
      </w:pPr>
      <w:bookmarkStart w:id="402" w:name="_Traffic_Lane_Distribution_1"/>
      <w:bookmarkStart w:id="403" w:name="_Toc338310070"/>
      <w:bookmarkStart w:id="404" w:name="_Toc338310157"/>
      <w:bookmarkStart w:id="405" w:name="_Toc338310469"/>
      <w:bookmarkEnd w:id="402"/>
      <w:r w:rsidRPr="000D5F6D">
        <w:t>Traffic Lane Distribution (Temporary/Detour)</w:t>
      </w:r>
      <w:bookmarkEnd w:id="403"/>
      <w:bookmarkEnd w:id="404"/>
      <w:bookmarkEnd w:id="405"/>
    </w:p>
    <w:p w14:paraId="2A76133E" w14:textId="2E1AD04C" w:rsidR="00D316B0" w:rsidRDefault="00D316B0" w:rsidP="00B1155E">
      <w:pPr>
        <w:pStyle w:val="BodyText"/>
        <w:spacing w:after="240"/>
        <w:jc w:val="both"/>
      </w:pPr>
      <w:r w:rsidRPr="000D5F6D">
        <w:t xml:space="preserve">Use the following table to select the appropriate traffic lane distribution factor based on the number </w:t>
      </w:r>
      <w:r w:rsidR="001B4E91">
        <w:t xml:space="preserve">of </w:t>
      </w:r>
      <w:r w:rsidRPr="000D5F6D">
        <w:t xml:space="preserve">lanes in each (design) direction.  The </w:t>
      </w:r>
      <w:r w:rsidRPr="006910FD">
        <w:t xml:space="preserve">ADTT is increased by </w:t>
      </w:r>
      <w:r>
        <w:t xml:space="preserve">approximately </w:t>
      </w:r>
      <w:r w:rsidRPr="006910FD">
        <w:t>25% over the</w:t>
      </w:r>
      <w:r w:rsidRPr="000D5F6D">
        <w:t xml:space="preserve"> typical mainline distribution for Temporary / Detour roads to account for the increase in heavy construction traffic.</w:t>
      </w:r>
    </w:p>
    <w:p w14:paraId="55B5CCA0" w14:textId="77777777" w:rsidR="00544C02" w:rsidRPr="000D5F6D" w:rsidRDefault="00544C02" w:rsidP="00B1155E">
      <w:pPr>
        <w:pStyle w:val="BodyText"/>
        <w:spacing w:after="240"/>
        <w:jc w:val="both"/>
      </w:pP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7"/>
        <w:gridCol w:w="2888"/>
        <w:gridCol w:w="2700"/>
      </w:tblGrid>
      <w:tr w:rsidR="00D316B0" w:rsidRPr="000D5F6D" w14:paraId="7DDB4CEE" w14:textId="77777777" w:rsidTr="00B1155E">
        <w:trPr>
          <w:trHeight w:val="288"/>
          <w:jc w:val="center"/>
        </w:trPr>
        <w:tc>
          <w:tcPr>
            <w:tcW w:w="2417" w:type="dxa"/>
            <w:shd w:val="pct15" w:color="auto" w:fill="FFFFFF"/>
            <w:vAlign w:val="center"/>
          </w:tcPr>
          <w:p w14:paraId="0ECCEDFE" w14:textId="77777777" w:rsidR="00D316B0" w:rsidRPr="000D5F6D" w:rsidRDefault="00D316B0" w:rsidP="00B1155E">
            <w:pPr>
              <w:pStyle w:val="BodyText"/>
              <w:spacing w:after="0"/>
              <w:jc w:val="center"/>
              <w:rPr>
                <w:b/>
              </w:rPr>
            </w:pPr>
            <w:r w:rsidRPr="000D5F6D">
              <w:rPr>
                <w:b/>
              </w:rPr>
              <w:t>Number of Lanes in Design Direction</w:t>
            </w:r>
          </w:p>
        </w:tc>
        <w:tc>
          <w:tcPr>
            <w:tcW w:w="2888" w:type="dxa"/>
            <w:shd w:val="pct15" w:color="auto" w:fill="FFFFFF"/>
            <w:vAlign w:val="center"/>
          </w:tcPr>
          <w:p w14:paraId="66D2F327" w14:textId="77777777" w:rsidR="00D316B0" w:rsidRPr="000D5F6D" w:rsidRDefault="00D316B0" w:rsidP="00B1155E">
            <w:pPr>
              <w:pStyle w:val="BodyText"/>
              <w:spacing w:after="0"/>
              <w:jc w:val="center"/>
              <w:rPr>
                <w:b/>
              </w:rPr>
            </w:pPr>
            <w:r w:rsidRPr="000D5F6D">
              <w:rPr>
                <w:b/>
              </w:rPr>
              <w:t>Range of Percent of ADTT in Design Lane</w:t>
            </w:r>
          </w:p>
        </w:tc>
        <w:tc>
          <w:tcPr>
            <w:tcW w:w="2700" w:type="dxa"/>
            <w:shd w:val="pct15" w:color="auto" w:fill="FFFFFF"/>
            <w:vAlign w:val="center"/>
          </w:tcPr>
          <w:p w14:paraId="45C6FCC1" w14:textId="77777777" w:rsidR="00D316B0" w:rsidRPr="000D5F6D" w:rsidRDefault="00D316B0" w:rsidP="00B1155E">
            <w:pPr>
              <w:pStyle w:val="BodyText"/>
              <w:spacing w:after="0"/>
              <w:jc w:val="center"/>
              <w:rPr>
                <w:b/>
              </w:rPr>
            </w:pPr>
            <w:r w:rsidRPr="000D5F6D">
              <w:rPr>
                <w:b/>
              </w:rPr>
              <w:t>Desired Percent of ADTT in Design Lane</w:t>
            </w:r>
          </w:p>
        </w:tc>
      </w:tr>
      <w:tr w:rsidR="00D316B0" w:rsidRPr="000D5F6D" w14:paraId="69096F11" w14:textId="77777777" w:rsidTr="00B1155E">
        <w:trPr>
          <w:trHeight w:val="288"/>
          <w:jc w:val="center"/>
        </w:trPr>
        <w:tc>
          <w:tcPr>
            <w:tcW w:w="2417" w:type="dxa"/>
            <w:vAlign w:val="center"/>
          </w:tcPr>
          <w:p w14:paraId="612337FA" w14:textId="77777777" w:rsidR="00D316B0" w:rsidRPr="000D5F6D" w:rsidRDefault="00D316B0" w:rsidP="00B1155E">
            <w:pPr>
              <w:pStyle w:val="BodyText"/>
              <w:spacing w:after="0"/>
              <w:jc w:val="center"/>
            </w:pPr>
            <w:r w:rsidRPr="000D5F6D">
              <w:t>1</w:t>
            </w:r>
          </w:p>
        </w:tc>
        <w:tc>
          <w:tcPr>
            <w:tcW w:w="2888" w:type="dxa"/>
            <w:vAlign w:val="center"/>
          </w:tcPr>
          <w:p w14:paraId="1F2752DB" w14:textId="77777777" w:rsidR="00D316B0" w:rsidRPr="000D5F6D" w:rsidRDefault="00D316B0" w:rsidP="00B1155E">
            <w:pPr>
              <w:pStyle w:val="BodyText"/>
              <w:spacing w:after="0"/>
              <w:jc w:val="center"/>
            </w:pPr>
            <w:r w:rsidRPr="000D5F6D">
              <w:t>1</w:t>
            </w:r>
            <w:r>
              <w:t>25</w:t>
            </w:r>
          </w:p>
        </w:tc>
        <w:tc>
          <w:tcPr>
            <w:tcW w:w="2700" w:type="dxa"/>
            <w:vAlign w:val="center"/>
          </w:tcPr>
          <w:p w14:paraId="42A257A7" w14:textId="77777777" w:rsidR="00D316B0" w:rsidRPr="000D5F6D" w:rsidRDefault="00D316B0" w:rsidP="00B1155E">
            <w:pPr>
              <w:pStyle w:val="BodyText"/>
              <w:spacing w:after="0"/>
              <w:jc w:val="center"/>
            </w:pPr>
            <w:r w:rsidRPr="000D5F6D">
              <w:t>1</w:t>
            </w:r>
            <w:r>
              <w:t>25</w:t>
            </w:r>
          </w:p>
        </w:tc>
      </w:tr>
      <w:tr w:rsidR="00D316B0" w:rsidRPr="000D5F6D" w14:paraId="46B7CABA" w14:textId="77777777" w:rsidTr="00B1155E">
        <w:trPr>
          <w:trHeight w:val="288"/>
          <w:jc w:val="center"/>
        </w:trPr>
        <w:tc>
          <w:tcPr>
            <w:tcW w:w="2417" w:type="dxa"/>
            <w:vAlign w:val="center"/>
          </w:tcPr>
          <w:p w14:paraId="29F6D15E" w14:textId="77777777" w:rsidR="00D316B0" w:rsidRPr="000D5F6D" w:rsidRDefault="00D316B0" w:rsidP="00B1155E">
            <w:pPr>
              <w:pStyle w:val="BodyText"/>
              <w:spacing w:after="0"/>
              <w:jc w:val="center"/>
            </w:pPr>
            <w:r w:rsidRPr="000D5F6D">
              <w:t>2</w:t>
            </w:r>
          </w:p>
        </w:tc>
        <w:tc>
          <w:tcPr>
            <w:tcW w:w="2888" w:type="dxa"/>
            <w:vAlign w:val="center"/>
          </w:tcPr>
          <w:p w14:paraId="7CCAD617" w14:textId="77777777" w:rsidR="00D316B0" w:rsidRPr="000D5F6D" w:rsidRDefault="00D316B0" w:rsidP="00B1155E">
            <w:pPr>
              <w:pStyle w:val="BodyText"/>
              <w:spacing w:after="0"/>
              <w:jc w:val="center"/>
            </w:pPr>
            <w:r>
              <w:t>100</w:t>
            </w:r>
            <w:r w:rsidRPr="000D5F6D">
              <w:t xml:space="preserve"> – 1</w:t>
            </w:r>
            <w:r>
              <w:t>25</w:t>
            </w:r>
          </w:p>
        </w:tc>
        <w:tc>
          <w:tcPr>
            <w:tcW w:w="2700" w:type="dxa"/>
            <w:vAlign w:val="center"/>
          </w:tcPr>
          <w:p w14:paraId="0C84337C" w14:textId="77777777" w:rsidR="00D316B0" w:rsidRPr="000D5F6D" w:rsidRDefault="00D316B0" w:rsidP="00B1155E">
            <w:pPr>
              <w:pStyle w:val="BodyText"/>
              <w:spacing w:after="0"/>
              <w:jc w:val="center"/>
            </w:pPr>
            <w:r>
              <w:t>11</w:t>
            </w:r>
            <w:r w:rsidRPr="000D5F6D">
              <w:t>0</w:t>
            </w:r>
          </w:p>
        </w:tc>
      </w:tr>
      <w:tr w:rsidR="00D316B0" w:rsidRPr="000D5F6D" w14:paraId="6C6DCD7A" w14:textId="77777777" w:rsidTr="00B1155E">
        <w:trPr>
          <w:trHeight w:val="288"/>
          <w:jc w:val="center"/>
        </w:trPr>
        <w:tc>
          <w:tcPr>
            <w:tcW w:w="2417" w:type="dxa"/>
            <w:vAlign w:val="center"/>
          </w:tcPr>
          <w:p w14:paraId="13E921A2" w14:textId="77777777" w:rsidR="00D316B0" w:rsidRPr="000D5F6D" w:rsidRDefault="00D316B0" w:rsidP="00B1155E">
            <w:pPr>
              <w:pStyle w:val="BodyText"/>
              <w:spacing w:after="0"/>
              <w:jc w:val="center"/>
            </w:pPr>
            <w:r w:rsidRPr="000D5F6D">
              <w:t>3</w:t>
            </w:r>
          </w:p>
        </w:tc>
        <w:tc>
          <w:tcPr>
            <w:tcW w:w="2888" w:type="dxa"/>
            <w:vAlign w:val="center"/>
          </w:tcPr>
          <w:p w14:paraId="71BBF214" w14:textId="77777777" w:rsidR="00D316B0" w:rsidRPr="000D5F6D" w:rsidRDefault="00D316B0" w:rsidP="00B1155E">
            <w:pPr>
              <w:pStyle w:val="BodyText"/>
              <w:spacing w:after="0"/>
              <w:jc w:val="center"/>
            </w:pPr>
            <w:r>
              <w:t>75</w:t>
            </w:r>
            <w:r w:rsidRPr="000D5F6D">
              <w:t xml:space="preserve"> – </w:t>
            </w:r>
            <w:r>
              <w:t>10</w:t>
            </w:r>
            <w:r w:rsidRPr="000D5F6D">
              <w:t>0</w:t>
            </w:r>
          </w:p>
        </w:tc>
        <w:tc>
          <w:tcPr>
            <w:tcW w:w="2700" w:type="dxa"/>
            <w:vAlign w:val="center"/>
          </w:tcPr>
          <w:p w14:paraId="5242EC3D" w14:textId="77777777" w:rsidR="00D316B0" w:rsidRPr="000D5F6D" w:rsidRDefault="00D316B0" w:rsidP="00B1155E">
            <w:pPr>
              <w:pStyle w:val="BodyText"/>
              <w:spacing w:after="0"/>
              <w:jc w:val="center"/>
            </w:pPr>
            <w:r>
              <w:t>10</w:t>
            </w:r>
            <w:r w:rsidRPr="000D5F6D">
              <w:t>0</w:t>
            </w:r>
          </w:p>
        </w:tc>
      </w:tr>
      <w:tr w:rsidR="00D316B0" w:rsidRPr="000D5F6D" w14:paraId="23A6B86C" w14:textId="77777777" w:rsidTr="00B1155E">
        <w:trPr>
          <w:trHeight w:val="288"/>
          <w:jc w:val="center"/>
        </w:trPr>
        <w:tc>
          <w:tcPr>
            <w:tcW w:w="2417" w:type="dxa"/>
            <w:vAlign w:val="center"/>
          </w:tcPr>
          <w:p w14:paraId="4B70C20C" w14:textId="77777777" w:rsidR="00D316B0" w:rsidRPr="000D5F6D" w:rsidRDefault="00D316B0" w:rsidP="00B1155E">
            <w:pPr>
              <w:pStyle w:val="BodyText"/>
              <w:spacing w:after="0"/>
              <w:jc w:val="center"/>
            </w:pPr>
            <w:r w:rsidRPr="000D5F6D">
              <w:t>4</w:t>
            </w:r>
          </w:p>
        </w:tc>
        <w:tc>
          <w:tcPr>
            <w:tcW w:w="2888" w:type="dxa"/>
            <w:vAlign w:val="center"/>
          </w:tcPr>
          <w:p w14:paraId="3FD12299" w14:textId="77777777" w:rsidR="00D316B0" w:rsidRPr="000D5F6D" w:rsidRDefault="00D316B0" w:rsidP="00B1155E">
            <w:pPr>
              <w:pStyle w:val="BodyText"/>
              <w:spacing w:after="0"/>
              <w:jc w:val="center"/>
            </w:pPr>
            <w:r>
              <w:t>6</w:t>
            </w:r>
            <w:r w:rsidRPr="000D5F6D">
              <w:t xml:space="preserve">0 – </w:t>
            </w:r>
            <w:r>
              <w:t>90</w:t>
            </w:r>
          </w:p>
        </w:tc>
        <w:tc>
          <w:tcPr>
            <w:tcW w:w="2700" w:type="dxa"/>
            <w:vAlign w:val="center"/>
          </w:tcPr>
          <w:p w14:paraId="5529120F" w14:textId="77777777" w:rsidR="00D316B0" w:rsidRPr="000D5F6D" w:rsidRDefault="00D316B0" w:rsidP="00B1155E">
            <w:pPr>
              <w:pStyle w:val="BodyText"/>
              <w:spacing w:after="0"/>
              <w:jc w:val="center"/>
            </w:pPr>
            <w:r>
              <w:t>85</w:t>
            </w:r>
          </w:p>
        </w:tc>
      </w:tr>
      <w:tr w:rsidR="00D316B0" w:rsidRPr="000D5F6D" w14:paraId="127FA22C" w14:textId="77777777" w:rsidTr="00B1155E">
        <w:trPr>
          <w:trHeight w:val="288"/>
          <w:jc w:val="center"/>
        </w:trPr>
        <w:tc>
          <w:tcPr>
            <w:tcW w:w="2417" w:type="dxa"/>
            <w:vAlign w:val="center"/>
          </w:tcPr>
          <w:p w14:paraId="4DFDBB16" w14:textId="77777777" w:rsidR="00D316B0" w:rsidRPr="000D5F6D" w:rsidRDefault="00D316B0" w:rsidP="00B1155E">
            <w:pPr>
              <w:pStyle w:val="BodyText"/>
              <w:spacing w:after="0"/>
              <w:jc w:val="center"/>
            </w:pPr>
            <w:r w:rsidRPr="000D5F6D">
              <w:t>5+</w:t>
            </w:r>
          </w:p>
        </w:tc>
        <w:tc>
          <w:tcPr>
            <w:tcW w:w="2888" w:type="dxa"/>
            <w:vAlign w:val="center"/>
          </w:tcPr>
          <w:p w14:paraId="19FF0925" w14:textId="77777777" w:rsidR="00D316B0" w:rsidRPr="000D5F6D" w:rsidRDefault="00D316B0" w:rsidP="00B1155E">
            <w:pPr>
              <w:pStyle w:val="BodyText"/>
              <w:spacing w:after="0"/>
              <w:jc w:val="center"/>
            </w:pPr>
            <w:r>
              <w:t>5</w:t>
            </w:r>
            <w:r w:rsidRPr="000D5F6D">
              <w:t xml:space="preserve">0 – </w:t>
            </w:r>
            <w:r>
              <w:t>85</w:t>
            </w:r>
          </w:p>
        </w:tc>
        <w:tc>
          <w:tcPr>
            <w:tcW w:w="2700" w:type="dxa"/>
            <w:vAlign w:val="center"/>
          </w:tcPr>
          <w:p w14:paraId="680E9539" w14:textId="77777777" w:rsidR="00D316B0" w:rsidRPr="000D5F6D" w:rsidRDefault="00D316B0" w:rsidP="00B1155E">
            <w:pPr>
              <w:pStyle w:val="BodyText"/>
              <w:spacing w:after="0"/>
              <w:jc w:val="center"/>
            </w:pPr>
            <w:r>
              <w:t>75</w:t>
            </w:r>
          </w:p>
        </w:tc>
      </w:tr>
    </w:tbl>
    <w:p w14:paraId="457D2C21" w14:textId="77777777" w:rsidR="00D316B0" w:rsidRPr="000D5F6D" w:rsidRDefault="00D316B0" w:rsidP="00BE3F24">
      <w:pPr>
        <w:rPr>
          <w:rFonts w:ascii="Arial" w:hAnsi="Arial"/>
        </w:rPr>
      </w:pPr>
    </w:p>
    <w:p w14:paraId="6E12C607" w14:textId="77777777" w:rsidR="00D316B0" w:rsidRPr="00092647" w:rsidRDefault="00D316B0" w:rsidP="00172E64">
      <w:pPr>
        <w:pStyle w:val="Heading4"/>
        <w:numPr>
          <w:ilvl w:val="3"/>
          <w:numId w:val="184"/>
        </w:numPr>
        <w:ind w:left="0" w:firstLine="0"/>
      </w:pPr>
      <w:bookmarkStart w:id="406" w:name="_Toc338310071"/>
      <w:bookmarkStart w:id="407" w:name="_Toc338310158"/>
      <w:bookmarkStart w:id="408" w:name="_Toc338310470"/>
      <w:r w:rsidRPr="00092647">
        <w:t>Subgrade Resilient Modulus (Temporary/Detour)</w:t>
      </w:r>
      <w:bookmarkEnd w:id="406"/>
      <w:bookmarkEnd w:id="407"/>
      <w:bookmarkEnd w:id="408"/>
    </w:p>
    <w:p w14:paraId="6143E4CA" w14:textId="77777777" w:rsidR="00D316B0" w:rsidRDefault="00D316B0" w:rsidP="00B1155E">
      <w:pPr>
        <w:pStyle w:val="BodyText"/>
        <w:jc w:val="both"/>
      </w:pPr>
      <w:r w:rsidRPr="00092647">
        <w:t>The subgrade resilient modulus for</w:t>
      </w:r>
      <w:r>
        <w:t xml:space="preserve"> new</w:t>
      </w:r>
      <w:r w:rsidRPr="00092647">
        <w:t xml:space="preserve"> temporary / detour roads shall be a maximum of 4,500 psi unless a higher value can be justified due to presence of rock and field verified during construction.  Passing test rolling at the Top of Subgrade shall be equivalent as reaching 4,500 psi.</w:t>
      </w:r>
      <w:r>
        <w:t xml:space="preserve">   </w:t>
      </w:r>
    </w:p>
    <w:p w14:paraId="04AD091B" w14:textId="77777777" w:rsidR="00D316B0" w:rsidRDefault="00D316B0" w:rsidP="00B1155E">
      <w:pPr>
        <w:pStyle w:val="BodyText"/>
        <w:jc w:val="both"/>
      </w:pPr>
      <w:r>
        <w:t>The subgrade resilient modulus for existing roads/shoulders that will be used as detour roads will be 4,500 psi unless shown to be different as a result of testing (FWD, borings).</w:t>
      </w:r>
    </w:p>
    <w:p w14:paraId="113F26E9" w14:textId="77777777" w:rsidR="002A595A" w:rsidRDefault="002A595A" w:rsidP="00BE3F24">
      <w:pPr>
        <w:pStyle w:val="BodyText"/>
      </w:pPr>
    </w:p>
    <w:p w14:paraId="09F8A28C" w14:textId="63F60AE1" w:rsidR="00DF6A27" w:rsidRPr="00092647" w:rsidRDefault="00DF6A27" w:rsidP="00DF6A27">
      <w:pPr>
        <w:pStyle w:val="Heading4"/>
        <w:numPr>
          <w:ilvl w:val="3"/>
          <w:numId w:val="184"/>
        </w:numPr>
        <w:ind w:left="0" w:firstLine="0"/>
      </w:pPr>
      <w:r>
        <w:t>Minimum Thicknesses</w:t>
      </w:r>
    </w:p>
    <w:p w14:paraId="66A44617" w14:textId="14566BC6" w:rsidR="00B01974" w:rsidRDefault="00E01451" w:rsidP="00DF6A27">
      <w:pPr>
        <w:pStyle w:val="BodyText"/>
      </w:pPr>
      <w:r>
        <w:t>In a</w:t>
      </w:r>
      <w:r w:rsidR="00DF6A27">
        <w:t>ll cases except for temporary/detour roads</w:t>
      </w:r>
      <w:r w:rsidR="00B01974">
        <w:t>,</w:t>
      </w:r>
      <w:r w:rsidR="00DF6A27">
        <w:t xml:space="preserve"> meet the following minimums:</w:t>
      </w:r>
    </w:p>
    <w:p w14:paraId="4F828D8F" w14:textId="34CE095E" w:rsidR="00DF6A27" w:rsidRDefault="00DF6A27" w:rsidP="00B01974">
      <w:pPr>
        <w:pStyle w:val="BodyText"/>
        <w:numPr>
          <w:ilvl w:val="0"/>
          <w:numId w:val="195"/>
        </w:numPr>
      </w:pPr>
      <w:r>
        <w:t>50,000 ESALs.</w:t>
      </w:r>
    </w:p>
    <w:p w14:paraId="287F14E8" w14:textId="7804B3C3" w:rsidR="00B01974" w:rsidRDefault="00E01451" w:rsidP="00B01974">
      <w:pPr>
        <w:pStyle w:val="BodyText"/>
        <w:numPr>
          <w:ilvl w:val="0"/>
          <w:numId w:val="195"/>
        </w:numPr>
      </w:pPr>
      <w:r>
        <w:t xml:space="preserve">Flexible Pavements: </w:t>
      </w:r>
      <w:r w:rsidR="00B01974">
        <w:t>5” asphalt mix</w:t>
      </w:r>
      <w:r>
        <w:t xml:space="preserve"> and 4” graded aggregate base</w:t>
      </w:r>
    </w:p>
    <w:p w14:paraId="0CCA25E2" w14:textId="7FEE6C3E" w:rsidR="00B01974" w:rsidRDefault="00E01451" w:rsidP="00B01974">
      <w:pPr>
        <w:pStyle w:val="BodyText"/>
        <w:numPr>
          <w:ilvl w:val="0"/>
          <w:numId w:val="195"/>
        </w:numPr>
      </w:pPr>
      <w:r>
        <w:t xml:space="preserve">Rigid Pavements: </w:t>
      </w:r>
      <w:r w:rsidR="00B01974">
        <w:t>6” concrete</w:t>
      </w:r>
      <w:r>
        <w:t xml:space="preserve"> and 4” graded aggregate base</w:t>
      </w:r>
    </w:p>
    <w:p w14:paraId="7D42FD9D" w14:textId="20C10627" w:rsidR="00E01451" w:rsidRDefault="00E01451" w:rsidP="00E01451">
      <w:pPr>
        <w:pStyle w:val="BodyText"/>
        <w:sectPr w:rsidR="00E01451" w:rsidSect="0049074E">
          <w:headerReference w:type="default" r:id="rId202"/>
          <w:footerReference w:type="default" r:id="rId203"/>
          <w:pgSz w:w="12240" w:h="15840"/>
          <w:pgMar w:top="1440" w:right="1800" w:bottom="1440" w:left="1800" w:header="720" w:footer="720" w:gutter="0"/>
          <w:pgNumType w:start="1" w:chapStyle="1"/>
          <w:cols w:space="720"/>
          <w:docGrid w:linePitch="272"/>
        </w:sectPr>
      </w:pPr>
      <w:r>
        <w:t>All other design requirements must be met.</w:t>
      </w:r>
    </w:p>
    <w:p w14:paraId="0E0861B4" w14:textId="0C928838" w:rsidR="00D316B0" w:rsidRDefault="00D316B0" w:rsidP="00172E64">
      <w:pPr>
        <w:pStyle w:val="Heading2"/>
        <w:numPr>
          <w:ilvl w:val="1"/>
          <w:numId w:val="184"/>
        </w:numPr>
        <w:ind w:left="0" w:firstLine="0"/>
      </w:pPr>
      <w:bookmarkStart w:id="409" w:name="_Material_Selection_Policies"/>
      <w:bookmarkEnd w:id="345"/>
      <w:bookmarkEnd w:id="409"/>
      <w:r>
        <w:lastRenderedPageBreak/>
        <w:t xml:space="preserve"> </w:t>
      </w:r>
      <w:bookmarkStart w:id="410" w:name="_Toc479160105"/>
      <w:bookmarkStart w:id="411" w:name="_Toc514057993"/>
      <w:bookmarkStart w:id="412" w:name="_Toc194932389"/>
      <w:r>
        <w:t>Material Selection Policies</w:t>
      </w:r>
      <w:bookmarkEnd w:id="410"/>
      <w:bookmarkEnd w:id="411"/>
      <w:bookmarkEnd w:id="412"/>
      <w:r>
        <w:t xml:space="preserve"> </w:t>
      </w:r>
    </w:p>
    <w:p w14:paraId="7298FEFE" w14:textId="07C4C6A2" w:rsidR="00D316B0" w:rsidRDefault="00D316B0" w:rsidP="00BE3F24">
      <w:pPr>
        <w:pStyle w:val="BodyText"/>
        <w:spacing w:after="0"/>
        <w:jc w:val="both"/>
      </w:pPr>
      <w:r>
        <w:t xml:space="preserve">There was a need to develop a section of material selection policies because of the numerous pavement material designations available to an </w:t>
      </w:r>
      <w:r w:rsidR="008C7023">
        <w:t>MDOT-SHA</w:t>
      </w:r>
      <w:r>
        <w:t xml:space="preserve"> pavement designer.  Policies for material selection provide both guidance to and consistency between </w:t>
      </w:r>
      <w:r w:rsidR="008C7023">
        <w:t>MDOT-SHA</w:t>
      </w:r>
      <w:r>
        <w:t xml:space="preserve"> pavement designers.  This need is especially true with the adoption of the Superpave HMA mix design criteria and the numerous types of HMA mixes that were generated.  In addition, policy and guidance for wearing course selection and reflective crack control are also addressed in this section.</w:t>
      </w:r>
    </w:p>
    <w:p w14:paraId="727B56D9" w14:textId="77777777" w:rsidR="004E7F81" w:rsidRDefault="004E7F81" w:rsidP="00BE3F24">
      <w:pPr>
        <w:pStyle w:val="BodyText"/>
        <w:spacing w:after="0"/>
        <w:jc w:val="both"/>
      </w:pPr>
    </w:p>
    <w:p w14:paraId="00BFB75A" w14:textId="77777777" w:rsidR="00D97A19" w:rsidRDefault="00D97A19" w:rsidP="00D97A19">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uperpave_HMA_Criteria" w:history="1">
        <w:r w:rsidRPr="00D97A19">
          <w:rPr>
            <w:rStyle w:val="Hyperlink"/>
            <w:rFonts w:ascii="Arial" w:hAnsi="Arial" w:cs="Arial"/>
            <w:bCs/>
            <w:sz w:val="16"/>
            <w:szCs w:val="16"/>
          </w:rPr>
          <w:t>Superpave HMA Criteria</w:t>
        </w:r>
      </w:hyperlink>
    </w:p>
    <w:p w14:paraId="55E99631" w14:textId="77777777" w:rsidR="00D97A19" w:rsidRPr="008F604D" w:rsidRDefault="00D97A19" w:rsidP="00D97A19">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HMA_Mix_Selection" w:history="1">
        <w:r w:rsidRPr="00D97A19">
          <w:rPr>
            <w:rStyle w:val="Hyperlink"/>
            <w:rFonts w:ascii="Arial" w:hAnsi="Arial" w:cs="Arial"/>
            <w:bCs/>
            <w:sz w:val="16"/>
            <w:szCs w:val="16"/>
          </w:rPr>
          <w:t>HMA Mix Selection</w:t>
        </w:r>
      </w:hyperlink>
    </w:p>
    <w:p w14:paraId="7D33ACDD" w14:textId="77777777" w:rsidR="00D97A19" w:rsidRPr="008F604D" w:rsidRDefault="00D97A19" w:rsidP="00D97A19">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Wearing_Surface_Selection" w:history="1">
        <w:r w:rsidRPr="00D97A19">
          <w:rPr>
            <w:rStyle w:val="Hyperlink"/>
            <w:rFonts w:ascii="Arial" w:hAnsi="Arial" w:cs="Arial"/>
            <w:bCs/>
            <w:sz w:val="16"/>
            <w:szCs w:val="16"/>
          </w:rPr>
          <w:t>Wearing Surface Selection</w:t>
        </w:r>
      </w:hyperlink>
    </w:p>
    <w:p w14:paraId="427BA880" w14:textId="77777777" w:rsidR="00D97A19" w:rsidRDefault="00D97A19" w:rsidP="00D97A19">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flective_Crack_Control" w:history="1">
        <w:r w:rsidRPr="00D97A19">
          <w:rPr>
            <w:rStyle w:val="Hyperlink"/>
            <w:rFonts w:ascii="Arial" w:hAnsi="Arial" w:cs="Arial"/>
            <w:bCs/>
            <w:sz w:val="16"/>
            <w:szCs w:val="16"/>
          </w:rPr>
          <w:t>Reflective Crack Control</w:t>
        </w:r>
      </w:hyperlink>
    </w:p>
    <w:p w14:paraId="1CFC070D" w14:textId="77777777" w:rsidR="00D97A19" w:rsidRDefault="00D97A19" w:rsidP="00172E64">
      <w:pPr>
        <w:pStyle w:val="Heading3"/>
        <w:numPr>
          <w:ilvl w:val="2"/>
          <w:numId w:val="184"/>
        </w:numPr>
        <w:ind w:left="0" w:firstLine="0"/>
        <w:jc w:val="both"/>
      </w:pPr>
      <w:r>
        <w:t>PCC Criteria</w:t>
      </w:r>
    </w:p>
    <w:p w14:paraId="0BA73B51" w14:textId="77777777" w:rsidR="00D97A19" w:rsidRDefault="00D97A19" w:rsidP="00D97A19">
      <w:pPr>
        <w:rPr>
          <w:rFonts w:ascii="Arial" w:hAnsi="Arial"/>
          <w:sz w:val="22"/>
        </w:rPr>
      </w:pPr>
      <w:r>
        <w:rPr>
          <w:rFonts w:ascii="Arial" w:hAnsi="Arial"/>
          <w:sz w:val="22"/>
        </w:rPr>
        <w:t>PCC mixes shall be specified per the following uses:</w:t>
      </w:r>
    </w:p>
    <w:p w14:paraId="299B51BE" w14:textId="77777777" w:rsidR="00D97A19" w:rsidRDefault="00D97A19" w:rsidP="00D97A19">
      <w:pPr>
        <w:rPr>
          <w:rFonts w:ascii="Arial" w:hAnsi="Arial"/>
          <w:sz w:val="22"/>
        </w:rPr>
      </w:pPr>
    </w:p>
    <w:tbl>
      <w:tblPr>
        <w:tblStyle w:val="TableGrid"/>
        <w:tblW w:w="0" w:type="auto"/>
        <w:jc w:val="center"/>
        <w:tblLook w:val="01E0" w:firstRow="1" w:lastRow="1" w:firstColumn="1" w:lastColumn="1" w:noHBand="0" w:noVBand="0"/>
      </w:tblPr>
      <w:tblGrid>
        <w:gridCol w:w="1182"/>
        <w:gridCol w:w="5743"/>
        <w:gridCol w:w="1671"/>
      </w:tblGrid>
      <w:tr w:rsidR="00D97A19" w:rsidRPr="00D97A19" w14:paraId="00DD3D98" w14:textId="77777777" w:rsidTr="00DF4341">
        <w:trPr>
          <w:jc w:val="center"/>
        </w:trPr>
        <w:tc>
          <w:tcPr>
            <w:tcW w:w="1182" w:type="dxa"/>
            <w:shd w:val="pct15" w:color="auto" w:fill="auto"/>
            <w:vAlign w:val="center"/>
          </w:tcPr>
          <w:p w14:paraId="469BAC28" w14:textId="77777777" w:rsidR="00D97A19" w:rsidRPr="00D97A19" w:rsidRDefault="00D97A19" w:rsidP="003810D5">
            <w:pPr>
              <w:jc w:val="center"/>
              <w:rPr>
                <w:rFonts w:ascii="Arial" w:hAnsi="Arial" w:cs="Arial"/>
                <w:b/>
                <w:sz w:val="22"/>
                <w:szCs w:val="22"/>
              </w:rPr>
            </w:pPr>
            <w:r w:rsidRPr="00D97A19">
              <w:rPr>
                <w:rFonts w:ascii="Arial" w:hAnsi="Arial" w:cs="Arial"/>
                <w:b/>
                <w:sz w:val="22"/>
                <w:szCs w:val="22"/>
              </w:rPr>
              <w:t>SHA MIX NUMBER</w:t>
            </w:r>
          </w:p>
        </w:tc>
        <w:tc>
          <w:tcPr>
            <w:tcW w:w="5743" w:type="dxa"/>
            <w:shd w:val="pct15" w:color="auto" w:fill="auto"/>
            <w:vAlign w:val="center"/>
          </w:tcPr>
          <w:p w14:paraId="5D2854F8" w14:textId="77777777" w:rsidR="00D97A19" w:rsidRPr="00D97A19" w:rsidRDefault="00D97A19" w:rsidP="003810D5">
            <w:pPr>
              <w:jc w:val="center"/>
              <w:rPr>
                <w:rFonts w:ascii="Arial" w:hAnsi="Arial" w:cs="Arial"/>
                <w:b/>
                <w:sz w:val="22"/>
                <w:szCs w:val="22"/>
              </w:rPr>
            </w:pPr>
            <w:r w:rsidRPr="00D97A19">
              <w:rPr>
                <w:rFonts w:ascii="Arial" w:hAnsi="Arial" w:cs="Arial"/>
                <w:b/>
                <w:sz w:val="22"/>
                <w:szCs w:val="22"/>
              </w:rPr>
              <w:t>PROPOSED USES</w:t>
            </w:r>
          </w:p>
        </w:tc>
        <w:tc>
          <w:tcPr>
            <w:tcW w:w="1620" w:type="dxa"/>
            <w:shd w:val="pct15" w:color="auto" w:fill="auto"/>
            <w:vAlign w:val="center"/>
          </w:tcPr>
          <w:p w14:paraId="6F509125" w14:textId="77777777" w:rsidR="00D97A19" w:rsidRPr="00D97A19" w:rsidRDefault="00D97A19" w:rsidP="003810D5">
            <w:pPr>
              <w:jc w:val="center"/>
              <w:rPr>
                <w:rFonts w:ascii="Arial" w:hAnsi="Arial" w:cs="Arial"/>
                <w:b/>
                <w:sz w:val="22"/>
                <w:szCs w:val="22"/>
              </w:rPr>
            </w:pPr>
            <w:r w:rsidRPr="00D97A19">
              <w:rPr>
                <w:rFonts w:ascii="Arial" w:hAnsi="Arial" w:cs="Arial"/>
                <w:b/>
                <w:sz w:val="22"/>
                <w:szCs w:val="22"/>
              </w:rPr>
              <w:t>REMARKS</w:t>
            </w:r>
          </w:p>
        </w:tc>
      </w:tr>
      <w:tr w:rsidR="00D97A19" w:rsidRPr="00D97A19" w14:paraId="7055932C" w14:textId="77777777" w:rsidTr="00DF4341">
        <w:trPr>
          <w:jc w:val="center"/>
        </w:trPr>
        <w:tc>
          <w:tcPr>
            <w:tcW w:w="1182" w:type="dxa"/>
          </w:tcPr>
          <w:p w14:paraId="42909B27"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1</w:t>
            </w:r>
          </w:p>
        </w:tc>
        <w:tc>
          <w:tcPr>
            <w:tcW w:w="5743" w:type="dxa"/>
          </w:tcPr>
          <w:p w14:paraId="409D0415" w14:textId="36B60C3D" w:rsidR="00D97A19" w:rsidRPr="00D97A19" w:rsidRDefault="00DF4341" w:rsidP="001B4E91">
            <w:pPr>
              <w:rPr>
                <w:rFonts w:ascii="Arial" w:hAnsi="Arial" w:cs="Arial"/>
                <w:sz w:val="22"/>
                <w:szCs w:val="22"/>
              </w:rPr>
            </w:pPr>
            <w:r>
              <w:rPr>
                <w:rFonts w:ascii="Arial" w:hAnsi="Arial" w:cs="Arial"/>
                <w:sz w:val="22"/>
                <w:szCs w:val="22"/>
              </w:rPr>
              <w:t>Subfoundations, B</w:t>
            </w:r>
            <w:r w:rsidR="00D97A19" w:rsidRPr="00D97A19">
              <w:rPr>
                <w:rFonts w:ascii="Arial" w:hAnsi="Arial" w:cs="Arial"/>
                <w:sz w:val="22"/>
                <w:szCs w:val="22"/>
              </w:rPr>
              <w:t>ackfill material</w:t>
            </w:r>
            <w:r>
              <w:rPr>
                <w:rFonts w:ascii="Arial" w:hAnsi="Arial" w:cs="Arial"/>
                <w:sz w:val="22"/>
                <w:szCs w:val="22"/>
              </w:rPr>
              <w:t>, Slopes</w:t>
            </w:r>
          </w:p>
        </w:tc>
        <w:tc>
          <w:tcPr>
            <w:tcW w:w="1620" w:type="dxa"/>
          </w:tcPr>
          <w:p w14:paraId="62B2618F" w14:textId="77777777" w:rsidR="00D97A19" w:rsidRPr="00D97A19" w:rsidRDefault="00D97A19" w:rsidP="001B4E91">
            <w:pPr>
              <w:rPr>
                <w:rFonts w:ascii="Arial" w:hAnsi="Arial" w:cs="Arial"/>
                <w:sz w:val="22"/>
                <w:szCs w:val="22"/>
              </w:rPr>
            </w:pPr>
          </w:p>
        </w:tc>
      </w:tr>
      <w:tr w:rsidR="00D97A19" w:rsidRPr="00D97A19" w14:paraId="0201583F" w14:textId="77777777" w:rsidTr="00DF4341">
        <w:trPr>
          <w:jc w:val="center"/>
        </w:trPr>
        <w:tc>
          <w:tcPr>
            <w:tcW w:w="1182" w:type="dxa"/>
          </w:tcPr>
          <w:p w14:paraId="1DFBF23A"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2</w:t>
            </w:r>
          </w:p>
        </w:tc>
        <w:tc>
          <w:tcPr>
            <w:tcW w:w="5743" w:type="dxa"/>
          </w:tcPr>
          <w:p w14:paraId="65885CA1" w14:textId="772F910C" w:rsidR="00D97A19" w:rsidRPr="00D97A19" w:rsidRDefault="00DF4341" w:rsidP="001B4E91">
            <w:pPr>
              <w:rPr>
                <w:rFonts w:ascii="Arial" w:hAnsi="Arial" w:cs="Arial"/>
                <w:sz w:val="22"/>
                <w:szCs w:val="22"/>
              </w:rPr>
            </w:pPr>
            <w:r>
              <w:rPr>
                <w:rFonts w:ascii="Arial" w:hAnsi="Arial" w:cs="Arial"/>
                <w:sz w:val="22"/>
                <w:szCs w:val="22"/>
              </w:rPr>
              <w:t>Footers, Drainage, Misc Structures</w:t>
            </w:r>
          </w:p>
        </w:tc>
        <w:tc>
          <w:tcPr>
            <w:tcW w:w="1620" w:type="dxa"/>
          </w:tcPr>
          <w:p w14:paraId="3B568A38" w14:textId="77777777" w:rsidR="00D97A19" w:rsidRPr="00D97A19" w:rsidRDefault="00D97A19" w:rsidP="001B4E91">
            <w:pPr>
              <w:rPr>
                <w:rFonts w:ascii="Arial" w:hAnsi="Arial" w:cs="Arial"/>
                <w:sz w:val="22"/>
                <w:szCs w:val="22"/>
              </w:rPr>
            </w:pPr>
          </w:p>
        </w:tc>
      </w:tr>
      <w:tr w:rsidR="00D97A19" w:rsidRPr="00D97A19" w14:paraId="1B5FAD51" w14:textId="77777777" w:rsidTr="00DF4341">
        <w:trPr>
          <w:jc w:val="center"/>
        </w:trPr>
        <w:tc>
          <w:tcPr>
            <w:tcW w:w="1182" w:type="dxa"/>
          </w:tcPr>
          <w:p w14:paraId="08A30A75" w14:textId="77777777" w:rsidR="00D97A19" w:rsidRPr="00DF4341" w:rsidRDefault="00D97A19" w:rsidP="001B4E91">
            <w:pPr>
              <w:jc w:val="center"/>
              <w:rPr>
                <w:rFonts w:ascii="Arial" w:hAnsi="Arial" w:cs="Arial"/>
                <w:b/>
                <w:sz w:val="22"/>
                <w:szCs w:val="22"/>
              </w:rPr>
            </w:pPr>
            <w:r w:rsidRPr="00DF4341">
              <w:rPr>
                <w:rFonts w:ascii="Arial" w:hAnsi="Arial" w:cs="Arial"/>
                <w:b/>
                <w:sz w:val="22"/>
                <w:szCs w:val="22"/>
              </w:rPr>
              <w:t>3</w:t>
            </w:r>
          </w:p>
        </w:tc>
        <w:tc>
          <w:tcPr>
            <w:tcW w:w="5743" w:type="dxa"/>
          </w:tcPr>
          <w:p w14:paraId="71D4EC5E" w14:textId="57BC0D3E" w:rsidR="00D97A19" w:rsidRPr="00DF4341" w:rsidRDefault="00D97A19" w:rsidP="001B4E91">
            <w:pPr>
              <w:rPr>
                <w:rFonts w:ascii="Arial" w:hAnsi="Arial" w:cs="Arial"/>
                <w:b/>
                <w:sz w:val="22"/>
                <w:szCs w:val="22"/>
              </w:rPr>
            </w:pPr>
            <w:r w:rsidRPr="00DF4341">
              <w:rPr>
                <w:rFonts w:ascii="Arial" w:hAnsi="Arial" w:cs="Arial"/>
                <w:b/>
                <w:sz w:val="22"/>
                <w:szCs w:val="22"/>
              </w:rPr>
              <w:t xml:space="preserve">Piers, </w:t>
            </w:r>
            <w:r w:rsidR="00DF4341" w:rsidRPr="00DF4341">
              <w:rPr>
                <w:rFonts w:ascii="Arial" w:hAnsi="Arial" w:cs="Arial"/>
                <w:b/>
                <w:sz w:val="22"/>
                <w:szCs w:val="22"/>
              </w:rPr>
              <w:t>C</w:t>
            </w:r>
            <w:r w:rsidRPr="00DF4341">
              <w:rPr>
                <w:rFonts w:ascii="Arial" w:hAnsi="Arial" w:cs="Arial"/>
                <w:b/>
                <w:sz w:val="22"/>
                <w:szCs w:val="22"/>
              </w:rPr>
              <w:t xml:space="preserve">olumns, </w:t>
            </w:r>
            <w:r w:rsidR="00DF4341" w:rsidRPr="00DF4341">
              <w:rPr>
                <w:rFonts w:ascii="Arial" w:hAnsi="Arial" w:cs="Arial"/>
                <w:b/>
                <w:sz w:val="22"/>
                <w:szCs w:val="22"/>
              </w:rPr>
              <w:t>C</w:t>
            </w:r>
            <w:r w:rsidRPr="00DF4341">
              <w:rPr>
                <w:rFonts w:ascii="Arial" w:hAnsi="Arial" w:cs="Arial"/>
                <w:b/>
                <w:sz w:val="22"/>
                <w:szCs w:val="22"/>
              </w:rPr>
              <w:t xml:space="preserve">aissons, </w:t>
            </w:r>
            <w:r w:rsidR="00DF4341" w:rsidRPr="00DF4341">
              <w:rPr>
                <w:rFonts w:ascii="Arial" w:hAnsi="Arial" w:cs="Arial"/>
                <w:b/>
                <w:sz w:val="22"/>
                <w:szCs w:val="22"/>
              </w:rPr>
              <w:t>S</w:t>
            </w:r>
            <w:r w:rsidRPr="00DF4341">
              <w:rPr>
                <w:rFonts w:ascii="Arial" w:hAnsi="Arial" w:cs="Arial"/>
                <w:b/>
                <w:sz w:val="22"/>
                <w:szCs w:val="22"/>
              </w:rPr>
              <w:t xml:space="preserve">idewalks, </w:t>
            </w:r>
            <w:r w:rsidR="00DF4341" w:rsidRPr="00DF4341">
              <w:rPr>
                <w:rFonts w:ascii="Arial" w:hAnsi="Arial" w:cs="Arial"/>
                <w:b/>
                <w:sz w:val="22"/>
                <w:szCs w:val="22"/>
              </w:rPr>
              <w:t>C</w:t>
            </w:r>
            <w:r w:rsidRPr="00DF4341">
              <w:rPr>
                <w:rFonts w:ascii="Arial" w:hAnsi="Arial" w:cs="Arial"/>
                <w:b/>
                <w:sz w:val="22"/>
                <w:szCs w:val="22"/>
              </w:rPr>
              <w:t xml:space="preserve">urb &amp; </w:t>
            </w:r>
            <w:r w:rsidR="00DF4341" w:rsidRPr="00DF4341">
              <w:rPr>
                <w:rFonts w:ascii="Arial" w:hAnsi="Arial" w:cs="Arial"/>
                <w:b/>
                <w:sz w:val="22"/>
                <w:szCs w:val="22"/>
              </w:rPr>
              <w:t>G</w:t>
            </w:r>
            <w:r w:rsidRPr="00DF4341">
              <w:rPr>
                <w:rFonts w:ascii="Arial" w:hAnsi="Arial" w:cs="Arial"/>
                <w:b/>
                <w:sz w:val="22"/>
                <w:szCs w:val="22"/>
              </w:rPr>
              <w:t>utter</w:t>
            </w:r>
            <w:r w:rsidR="00DF4341" w:rsidRPr="00DF4341">
              <w:rPr>
                <w:rFonts w:ascii="Arial" w:hAnsi="Arial" w:cs="Arial"/>
                <w:b/>
                <w:sz w:val="22"/>
                <w:szCs w:val="22"/>
              </w:rPr>
              <w:t>, Piling, Barriers, Foundations, Misc Structures</w:t>
            </w:r>
          </w:p>
        </w:tc>
        <w:tc>
          <w:tcPr>
            <w:tcW w:w="1620" w:type="dxa"/>
          </w:tcPr>
          <w:p w14:paraId="107CB606" w14:textId="77777777" w:rsidR="00D97A19" w:rsidRPr="00D97A19" w:rsidRDefault="00D97A19" w:rsidP="001B4E91">
            <w:pPr>
              <w:rPr>
                <w:rFonts w:ascii="Arial" w:hAnsi="Arial" w:cs="Arial"/>
                <w:b/>
                <w:sz w:val="22"/>
                <w:szCs w:val="22"/>
              </w:rPr>
            </w:pPr>
          </w:p>
        </w:tc>
      </w:tr>
      <w:tr w:rsidR="00D97A19" w:rsidRPr="00D97A19" w14:paraId="72A9BDEE" w14:textId="77777777" w:rsidTr="00DF4341">
        <w:trPr>
          <w:jc w:val="center"/>
        </w:trPr>
        <w:tc>
          <w:tcPr>
            <w:tcW w:w="1182" w:type="dxa"/>
          </w:tcPr>
          <w:p w14:paraId="4088CB8D"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4</w:t>
            </w:r>
          </w:p>
        </w:tc>
        <w:tc>
          <w:tcPr>
            <w:tcW w:w="5743" w:type="dxa"/>
          </w:tcPr>
          <w:p w14:paraId="5AF5B2DE" w14:textId="77777777" w:rsidR="00D97A19" w:rsidRPr="00D97A19" w:rsidRDefault="00D97A19" w:rsidP="001B4E91">
            <w:pPr>
              <w:rPr>
                <w:rFonts w:ascii="Arial" w:hAnsi="Arial" w:cs="Arial"/>
                <w:sz w:val="22"/>
                <w:szCs w:val="22"/>
              </w:rPr>
            </w:pPr>
            <w:r w:rsidRPr="00D97A19">
              <w:rPr>
                <w:rFonts w:ascii="Arial" w:hAnsi="Arial" w:cs="Arial"/>
                <w:sz w:val="22"/>
                <w:szCs w:val="22"/>
              </w:rPr>
              <w:t>Underwater (tremie), Ca</w:t>
            </w:r>
            <w:r>
              <w:rPr>
                <w:rFonts w:ascii="Arial" w:hAnsi="Arial" w:cs="Arial"/>
                <w:sz w:val="22"/>
                <w:szCs w:val="22"/>
              </w:rPr>
              <w:t>i</w:t>
            </w:r>
            <w:r w:rsidRPr="00D97A19">
              <w:rPr>
                <w:rFonts w:ascii="Arial" w:hAnsi="Arial" w:cs="Arial"/>
                <w:sz w:val="22"/>
                <w:szCs w:val="22"/>
              </w:rPr>
              <w:t>ssons below frost line</w:t>
            </w:r>
          </w:p>
        </w:tc>
        <w:tc>
          <w:tcPr>
            <w:tcW w:w="1620" w:type="dxa"/>
          </w:tcPr>
          <w:p w14:paraId="1EDBD5E7" w14:textId="77777777" w:rsidR="00D97A19" w:rsidRPr="00D97A19" w:rsidRDefault="00D97A19" w:rsidP="001B4E91">
            <w:pPr>
              <w:rPr>
                <w:rFonts w:ascii="Arial" w:hAnsi="Arial" w:cs="Arial"/>
                <w:sz w:val="22"/>
                <w:szCs w:val="22"/>
              </w:rPr>
            </w:pPr>
          </w:p>
        </w:tc>
      </w:tr>
      <w:tr w:rsidR="00D97A19" w:rsidRPr="00D97A19" w14:paraId="778A04D9" w14:textId="77777777" w:rsidTr="00DF4341">
        <w:trPr>
          <w:jc w:val="center"/>
        </w:trPr>
        <w:tc>
          <w:tcPr>
            <w:tcW w:w="1182" w:type="dxa"/>
          </w:tcPr>
          <w:p w14:paraId="74E84A72"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5</w:t>
            </w:r>
          </w:p>
        </w:tc>
        <w:tc>
          <w:tcPr>
            <w:tcW w:w="5743" w:type="dxa"/>
          </w:tcPr>
          <w:p w14:paraId="0E7CE257" w14:textId="083692BB" w:rsidR="00D97A19" w:rsidRPr="00D97A19" w:rsidRDefault="00D97A19" w:rsidP="001B4E91">
            <w:pPr>
              <w:rPr>
                <w:rFonts w:ascii="Arial" w:hAnsi="Arial" w:cs="Arial"/>
                <w:sz w:val="22"/>
                <w:szCs w:val="22"/>
              </w:rPr>
            </w:pPr>
            <w:r w:rsidRPr="00D97A19">
              <w:rPr>
                <w:rFonts w:ascii="Arial" w:hAnsi="Arial" w:cs="Arial"/>
                <w:sz w:val="22"/>
                <w:szCs w:val="22"/>
              </w:rPr>
              <w:t>S</w:t>
            </w:r>
            <w:r w:rsidR="00DF4341">
              <w:rPr>
                <w:rFonts w:ascii="Arial" w:hAnsi="Arial" w:cs="Arial"/>
                <w:sz w:val="22"/>
                <w:szCs w:val="22"/>
              </w:rPr>
              <w:t>imilar uses as Mix 3, but when smaller sized coarse aggregate is required (i.e. tight rebar configuration)</w:t>
            </w:r>
          </w:p>
        </w:tc>
        <w:tc>
          <w:tcPr>
            <w:tcW w:w="1620" w:type="dxa"/>
          </w:tcPr>
          <w:p w14:paraId="6803DEDF" w14:textId="0269F23F" w:rsidR="00D97A19" w:rsidRPr="00D97A19" w:rsidRDefault="00DF4341" w:rsidP="001B4E91">
            <w:pPr>
              <w:rPr>
                <w:rFonts w:ascii="Arial" w:hAnsi="Arial" w:cs="Arial"/>
                <w:sz w:val="22"/>
                <w:szCs w:val="22"/>
              </w:rPr>
            </w:pPr>
            <w:r>
              <w:rPr>
                <w:rFonts w:ascii="Arial" w:hAnsi="Arial" w:cs="Arial"/>
                <w:sz w:val="22"/>
                <w:szCs w:val="22"/>
              </w:rPr>
              <w:t>#7 size aggregate</w:t>
            </w:r>
          </w:p>
        </w:tc>
      </w:tr>
      <w:tr w:rsidR="00D97A19" w:rsidRPr="00D97A19" w14:paraId="57F5179B" w14:textId="77777777" w:rsidTr="00DF4341">
        <w:trPr>
          <w:jc w:val="center"/>
        </w:trPr>
        <w:tc>
          <w:tcPr>
            <w:tcW w:w="1182" w:type="dxa"/>
          </w:tcPr>
          <w:p w14:paraId="04E8F1FF"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6</w:t>
            </w:r>
          </w:p>
        </w:tc>
        <w:tc>
          <w:tcPr>
            <w:tcW w:w="5743" w:type="dxa"/>
          </w:tcPr>
          <w:p w14:paraId="77986C2B" w14:textId="563AF90E" w:rsidR="00D97A19" w:rsidRPr="00D97A19" w:rsidRDefault="00DF4341" w:rsidP="001B4E91">
            <w:pPr>
              <w:rPr>
                <w:rFonts w:ascii="Arial" w:hAnsi="Arial" w:cs="Arial"/>
                <w:sz w:val="22"/>
                <w:szCs w:val="22"/>
              </w:rPr>
            </w:pPr>
            <w:r>
              <w:rPr>
                <w:rFonts w:ascii="Arial" w:hAnsi="Arial" w:cs="Arial"/>
                <w:sz w:val="22"/>
                <w:szCs w:val="22"/>
              </w:rPr>
              <w:t>Supers</w:t>
            </w:r>
            <w:r w:rsidR="00D97A19" w:rsidRPr="00D97A19">
              <w:rPr>
                <w:rFonts w:ascii="Arial" w:hAnsi="Arial" w:cs="Arial"/>
                <w:sz w:val="22"/>
                <w:szCs w:val="22"/>
              </w:rPr>
              <w:t xml:space="preserve">tructures, </w:t>
            </w:r>
            <w:r>
              <w:rPr>
                <w:rFonts w:ascii="Arial" w:hAnsi="Arial" w:cs="Arial"/>
                <w:sz w:val="22"/>
                <w:szCs w:val="22"/>
              </w:rPr>
              <w:t>B</w:t>
            </w:r>
            <w:r w:rsidR="00D97A19" w:rsidRPr="00D97A19">
              <w:rPr>
                <w:rFonts w:ascii="Arial" w:hAnsi="Arial" w:cs="Arial"/>
                <w:sz w:val="22"/>
                <w:szCs w:val="22"/>
              </w:rPr>
              <w:t xml:space="preserve">ridge </w:t>
            </w:r>
            <w:r>
              <w:rPr>
                <w:rFonts w:ascii="Arial" w:hAnsi="Arial" w:cs="Arial"/>
                <w:sz w:val="22"/>
                <w:szCs w:val="22"/>
              </w:rPr>
              <w:t>D</w:t>
            </w:r>
            <w:r w:rsidR="00D97A19" w:rsidRPr="00D97A19">
              <w:rPr>
                <w:rFonts w:ascii="Arial" w:hAnsi="Arial" w:cs="Arial"/>
                <w:sz w:val="22"/>
                <w:szCs w:val="22"/>
              </w:rPr>
              <w:t xml:space="preserve">ecks, </w:t>
            </w:r>
            <w:r>
              <w:rPr>
                <w:rFonts w:ascii="Arial" w:hAnsi="Arial" w:cs="Arial"/>
                <w:sz w:val="22"/>
                <w:szCs w:val="22"/>
              </w:rPr>
              <w:t>P</w:t>
            </w:r>
            <w:r w:rsidR="00D97A19" w:rsidRPr="00D97A19">
              <w:rPr>
                <w:rFonts w:ascii="Arial" w:hAnsi="Arial" w:cs="Arial"/>
                <w:sz w:val="22"/>
                <w:szCs w:val="22"/>
              </w:rPr>
              <w:t xml:space="preserve">arapets, </w:t>
            </w:r>
            <w:r>
              <w:rPr>
                <w:rFonts w:ascii="Arial" w:hAnsi="Arial" w:cs="Arial"/>
                <w:sz w:val="22"/>
                <w:szCs w:val="22"/>
              </w:rPr>
              <w:t>P</w:t>
            </w:r>
            <w:r w:rsidR="00D97A19" w:rsidRPr="00D97A19">
              <w:rPr>
                <w:rFonts w:ascii="Arial" w:hAnsi="Arial" w:cs="Arial"/>
                <w:sz w:val="22"/>
                <w:szCs w:val="22"/>
              </w:rPr>
              <w:t xml:space="preserve">recast </w:t>
            </w:r>
            <w:r>
              <w:rPr>
                <w:rFonts w:ascii="Arial" w:hAnsi="Arial" w:cs="Arial"/>
                <w:sz w:val="22"/>
                <w:szCs w:val="22"/>
              </w:rPr>
              <w:t>N</w:t>
            </w:r>
            <w:r w:rsidR="00D97A19" w:rsidRPr="00D97A19">
              <w:rPr>
                <w:rFonts w:ascii="Arial" w:hAnsi="Arial" w:cs="Arial"/>
                <w:sz w:val="22"/>
                <w:szCs w:val="22"/>
              </w:rPr>
              <w:t xml:space="preserve">oise </w:t>
            </w:r>
            <w:r>
              <w:rPr>
                <w:rFonts w:ascii="Arial" w:hAnsi="Arial" w:cs="Arial"/>
                <w:sz w:val="22"/>
                <w:szCs w:val="22"/>
              </w:rPr>
              <w:t>W</w:t>
            </w:r>
            <w:r w:rsidR="00D97A19" w:rsidRPr="00D97A19">
              <w:rPr>
                <w:rFonts w:ascii="Arial" w:hAnsi="Arial" w:cs="Arial"/>
                <w:sz w:val="22"/>
                <w:szCs w:val="22"/>
              </w:rPr>
              <w:t xml:space="preserve">alls, </w:t>
            </w:r>
            <w:r>
              <w:rPr>
                <w:rFonts w:ascii="Arial" w:hAnsi="Arial" w:cs="Arial"/>
                <w:sz w:val="22"/>
                <w:szCs w:val="22"/>
              </w:rPr>
              <w:t>Misc. S</w:t>
            </w:r>
            <w:r w:rsidR="00D97A19" w:rsidRPr="00D97A19">
              <w:rPr>
                <w:rFonts w:ascii="Arial" w:hAnsi="Arial" w:cs="Arial"/>
                <w:sz w:val="22"/>
                <w:szCs w:val="22"/>
              </w:rPr>
              <w:t xml:space="preserve">tructures, </w:t>
            </w:r>
            <w:r>
              <w:rPr>
                <w:rFonts w:ascii="Arial" w:hAnsi="Arial" w:cs="Arial"/>
                <w:sz w:val="22"/>
                <w:szCs w:val="22"/>
              </w:rPr>
              <w:t>Barrier Walls, D</w:t>
            </w:r>
            <w:r w:rsidR="00D97A19" w:rsidRPr="00D97A19">
              <w:rPr>
                <w:rFonts w:ascii="Arial" w:hAnsi="Arial" w:cs="Arial"/>
                <w:sz w:val="22"/>
                <w:szCs w:val="22"/>
              </w:rPr>
              <w:t>riveway</w:t>
            </w:r>
            <w:r>
              <w:rPr>
                <w:rFonts w:ascii="Arial" w:hAnsi="Arial" w:cs="Arial"/>
                <w:sz w:val="22"/>
                <w:szCs w:val="22"/>
              </w:rPr>
              <w:t>s</w:t>
            </w:r>
          </w:p>
        </w:tc>
        <w:tc>
          <w:tcPr>
            <w:tcW w:w="1620" w:type="dxa"/>
          </w:tcPr>
          <w:p w14:paraId="2D7AB817" w14:textId="77777777" w:rsidR="00D97A19" w:rsidRPr="00D97A19" w:rsidRDefault="00D97A19" w:rsidP="001B4E91">
            <w:pPr>
              <w:rPr>
                <w:rFonts w:ascii="Arial" w:hAnsi="Arial" w:cs="Arial"/>
                <w:sz w:val="22"/>
                <w:szCs w:val="22"/>
              </w:rPr>
            </w:pPr>
          </w:p>
        </w:tc>
      </w:tr>
      <w:tr w:rsidR="00D97A19" w:rsidRPr="00D97A19" w14:paraId="06BC837A" w14:textId="77777777" w:rsidTr="00DF4341">
        <w:trPr>
          <w:jc w:val="center"/>
        </w:trPr>
        <w:tc>
          <w:tcPr>
            <w:tcW w:w="1182" w:type="dxa"/>
          </w:tcPr>
          <w:p w14:paraId="7097798F" w14:textId="77777777" w:rsidR="00D97A19" w:rsidRPr="00D97A19" w:rsidRDefault="00D97A19" w:rsidP="001B4E91">
            <w:pPr>
              <w:jc w:val="center"/>
              <w:rPr>
                <w:rFonts w:ascii="Arial" w:hAnsi="Arial" w:cs="Arial"/>
                <w:b/>
                <w:sz w:val="22"/>
                <w:szCs w:val="22"/>
              </w:rPr>
            </w:pPr>
            <w:r w:rsidRPr="00D97A19">
              <w:rPr>
                <w:rFonts w:ascii="Arial" w:hAnsi="Arial" w:cs="Arial"/>
                <w:b/>
                <w:sz w:val="22"/>
                <w:szCs w:val="22"/>
              </w:rPr>
              <w:t>7</w:t>
            </w:r>
          </w:p>
        </w:tc>
        <w:tc>
          <w:tcPr>
            <w:tcW w:w="5743" w:type="dxa"/>
          </w:tcPr>
          <w:p w14:paraId="7E1F647F" w14:textId="1D30C0D5" w:rsidR="00D97A19" w:rsidRPr="00D97A19" w:rsidRDefault="00D97A19" w:rsidP="001B4E91">
            <w:pPr>
              <w:rPr>
                <w:rFonts w:ascii="Arial" w:hAnsi="Arial" w:cs="Arial"/>
                <w:b/>
                <w:sz w:val="22"/>
                <w:szCs w:val="22"/>
              </w:rPr>
            </w:pPr>
            <w:r w:rsidRPr="00D97A19">
              <w:rPr>
                <w:rFonts w:ascii="Arial" w:hAnsi="Arial" w:cs="Arial"/>
                <w:b/>
                <w:sz w:val="22"/>
                <w:szCs w:val="22"/>
              </w:rPr>
              <w:t>Pav</w:t>
            </w:r>
            <w:r w:rsidR="00DF4341">
              <w:rPr>
                <w:rFonts w:ascii="Arial" w:hAnsi="Arial" w:cs="Arial"/>
                <w:b/>
                <w:sz w:val="22"/>
                <w:szCs w:val="22"/>
              </w:rPr>
              <w:t>ement, Ramps, Roundabouts</w:t>
            </w:r>
          </w:p>
        </w:tc>
        <w:tc>
          <w:tcPr>
            <w:tcW w:w="1620" w:type="dxa"/>
          </w:tcPr>
          <w:p w14:paraId="155F5E97" w14:textId="77777777" w:rsidR="00D97A19" w:rsidRPr="00D97A19" w:rsidRDefault="00D97A19" w:rsidP="001B4E91">
            <w:pPr>
              <w:rPr>
                <w:rFonts w:ascii="Arial" w:hAnsi="Arial" w:cs="Arial"/>
                <w:b/>
                <w:sz w:val="22"/>
                <w:szCs w:val="22"/>
              </w:rPr>
            </w:pPr>
          </w:p>
        </w:tc>
      </w:tr>
      <w:tr w:rsidR="00D97A19" w:rsidRPr="00D97A19" w14:paraId="0B33041D" w14:textId="77777777" w:rsidTr="00DF4341">
        <w:trPr>
          <w:jc w:val="center"/>
        </w:trPr>
        <w:tc>
          <w:tcPr>
            <w:tcW w:w="1182" w:type="dxa"/>
          </w:tcPr>
          <w:p w14:paraId="090C90C7"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8</w:t>
            </w:r>
          </w:p>
        </w:tc>
        <w:tc>
          <w:tcPr>
            <w:tcW w:w="5743" w:type="dxa"/>
          </w:tcPr>
          <w:p w14:paraId="421AD146" w14:textId="68468D07" w:rsidR="00D97A19" w:rsidRPr="00D97A19" w:rsidRDefault="00D97A19" w:rsidP="001B4E91">
            <w:pPr>
              <w:rPr>
                <w:rFonts w:ascii="Arial" w:hAnsi="Arial" w:cs="Arial"/>
                <w:sz w:val="22"/>
                <w:szCs w:val="22"/>
              </w:rPr>
            </w:pPr>
            <w:r w:rsidRPr="00D97A19">
              <w:rPr>
                <w:rFonts w:ascii="Arial" w:hAnsi="Arial" w:cs="Arial"/>
                <w:sz w:val="22"/>
                <w:szCs w:val="22"/>
              </w:rPr>
              <w:t xml:space="preserve">Overlay </w:t>
            </w:r>
            <w:r w:rsidR="00DF4341">
              <w:rPr>
                <w:rFonts w:ascii="Arial" w:hAnsi="Arial" w:cs="Arial"/>
                <w:sz w:val="22"/>
                <w:szCs w:val="22"/>
              </w:rPr>
              <w:t>B</w:t>
            </w:r>
            <w:r w:rsidRPr="00D97A19">
              <w:rPr>
                <w:rFonts w:ascii="Arial" w:hAnsi="Arial" w:cs="Arial"/>
                <w:sz w:val="22"/>
                <w:szCs w:val="22"/>
              </w:rPr>
              <w:t xml:space="preserve">ridge </w:t>
            </w:r>
            <w:r w:rsidR="00DF4341">
              <w:rPr>
                <w:rFonts w:ascii="Arial" w:hAnsi="Arial" w:cs="Arial"/>
                <w:sz w:val="22"/>
                <w:szCs w:val="22"/>
              </w:rPr>
              <w:t>F</w:t>
            </w:r>
            <w:r w:rsidRPr="00D97A19">
              <w:rPr>
                <w:rFonts w:ascii="Arial" w:hAnsi="Arial" w:cs="Arial"/>
                <w:sz w:val="22"/>
                <w:szCs w:val="22"/>
              </w:rPr>
              <w:t>ecks</w:t>
            </w:r>
          </w:p>
        </w:tc>
        <w:tc>
          <w:tcPr>
            <w:tcW w:w="1620" w:type="dxa"/>
          </w:tcPr>
          <w:p w14:paraId="19DB4000" w14:textId="77777777" w:rsidR="00D97A19" w:rsidRPr="00D97A19" w:rsidRDefault="00D97A19" w:rsidP="001B4E91">
            <w:pPr>
              <w:rPr>
                <w:rFonts w:ascii="Arial" w:hAnsi="Arial" w:cs="Arial"/>
                <w:sz w:val="22"/>
                <w:szCs w:val="22"/>
              </w:rPr>
            </w:pPr>
          </w:p>
        </w:tc>
      </w:tr>
      <w:tr w:rsidR="00D97A19" w:rsidRPr="00D97A19" w14:paraId="209DEF38" w14:textId="77777777" w:rsidTr="00DF4341">
        <w:trPr>
          <w:jc w:val="center"/>
        </w:trPr>
        <w:tc>
          <w:tcPr>
            <w:tcW w:w="1182" w:type="dxa"/>
          </w:tcPr>
          <w:p w14:paraId="3F318448" w14:textId="77777777" w:rsidR="00D97A19" w:rsidRPr="00D97A19" w:rsidRDefault="00D97A19" w:rsidP="001B4E91">
            <w:pPr>
              <w:jc w:val="center"/>
              <w:rPr>
                <w:rFonts w:ascii="Arial" w:hAnsi="Arial" w:cs="Arial"/>
                <w:b/>
                <w:sz w:val="22"/>
                <w:szCs w:val="22"/>
              </w:rPr>
            </w:pPr>
            <w:r w:rsidRPr="00D97A19">
              <w:rPr>
                <w:rFonts w:ascii="Arial" w:hAnsi="Arial" w:cs="Arial"/>
                <w:b/>
                <w:sz w:val="22"/>
                <w:szCs w:val="22"/>
              </w:rPr>
              <w:t>9</w:t>
            </w:r>
          </w:p>
        </w:tc>
        <w:tc>
          <w:tcPr>
            <w:tcW w:w="5743" w:type="dxa"/>
          </w:tcPr>
          <w:p w14:paraId="69AC9D63" w14:textId="63211176" w:rsidR="00D97A19" w:rsidRPr="00D97A19" w:rsidRDefault="00DF4341" w:rsidP="001B4E91">
            <w:pPr>
              <w:rPr>
                <w:rFonts w:ascii="Arial" w:hAnsi="Arial" w:cs="Arial"/>
                <w:b/>
                <w:sz w:val="22"/>
                <w:szCs w:val="22"/>
              </w:rPr>
            </w:pPr>
            <w:r>
              <w:rPr>
                <w:rFonts w:ascii="Arial" w:hAnsi="Arial" w:cs="Arial"/>
                <w:b/>
                <w:sz w:val="22"/>
                <w:szCs w:val="22"/>
              </w:rPr>
              <w:t>Concrete Pavement Repairs “Patching”</w:t>
            </w:r>
          </w:p>
        </w:tc>
        <w:tc>
          <w:tcPr>
            <w:tcW w:w="1620" w:type="dxa"/>
          </w:tcPr>
          <w:p w14:paraId="1E1EDA00" w14:textId="70031819" w:rsidR="00D97A19" w:rsidRPr="00D97A19" w:rsidRDefault="00D97A19" w:rsidP="001B4E91">
            <w:pPr>
              <w:rPr>
                <w:rFonts w:ascii="Arial" w:hAnsi="Arial" w:cs="Arial"/>
                <w:b/>
                <w:sz w:val="22"/>
                <w:szCs w:val="22"/>
              </w:rPr>
            </w:pPr>
          </w:p>
        </w:tc>
      </w:tr>
      <w:tr w:rsidR="00D97A19" w:rsidRPr="00D97A19" w14:paraId="027E1B46" w14:textId="77777777" w:rsidTr="00DF4341">
        <w:trPr>
          <w:jc w:val="center"/>
        </w:trPr>
        <w:tc>
          <w:tcPr>
            <w:tcW w:w="1182" w:type="dxa"/>
          </w:tcPr>
          <w:p w14:paraId="65EEFA2E"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10</w:t>
            </w:r>
          </w:p>
        </w:tc>
        <w:tc>
          <w:tcPr>
            <w:tcW w:w="5743" w:type="dxa"/>
          </w:tcPr>
          <w:p w14:paraId="1C009174" w14:textId="323DF861" w:rsidR="00D97A19" w:rsidRPr="00D97A19" w:rsidRDefault="00D97A19" w:rsidP="001B4E91">
            <w:pPr>
              <w:rPr>
                <w:rFonts w:ascii="Arial" w:hAnsi="Arial" w:cs="Arial"/>
                <w:sz w:val="22"/>
                <w:szCs w:val="22"/>
              </w:rPr>
            </w:pPr>
            <w:r w:rsidRPr="00D97A19">
              <w:rPr>
                <w:rFonts w:ascii="Arial" w:hAnsi="Arial" w:cs="Arial"/>
                <w:sz w:val="22"/>
                <w:szCs w:val="22"/>
              </w:rPr>
              <w:t xml:space="preserve">Standard Lightweight </w:t>
            </w:r>
            <w:r w:rsidR="00DF4341">
              <w:rPr>
                <w:rFonts w:ascii="Arial" w:hAnsi="Arial" w:cs="Arial"/>
                <w:sz w:val="22"/>
                <w:szCs w:val="22"/>
              </w:rPr>
              <w:t>B</w:t>
            </w:r>
            <w:r w:rsidRPr="00D97A19">
              <w:rPr>
                <w:rFonts w:ascii="Arial" w:hAnsi="Arial" w:cs="Arial"/>
                <w:sz w:val="22"/>
                <w:szCs w:val="22"/>
              </w:rPr>
              <w:t xml:space="preserve">ridge </w:t>
            </w:r>
            <w:r w:rsidR="00DF4341">
              <w:rPr>
                <w:rFonts w:ascii="Arial" w:hAnsi="Arial" w:cs="Arial"/>
                <w:sz w:val="22"/>
                <w:szCs w:val="22"/>
              </w:rPr>
              <w:t>D</w:t>
            </w:r>
            <w:r w:rsidRPr="00D97A19">
              <w:rPr>
                <w:rFonts w:ascii="Arial" w:hAnsi="Arial" w:cs="Arial"/>
                <w:sz w:val="22"/>
                <w:szCs w:val="22"/>
              </w:rPr>
              <w:t>ecks</w:t>
            </w:r>
          </w:p>
        </w:tc>
        <w:tc>
          <w:tcPr>
            <w:tcW w:w="1620" w:type="dxa"/>
          </w:tcPr>
          <w:p w14:paraId="5CD8C157" w14:textId="77777777" w:rsidR="00D97A19" w:rsidRPr="00D97A19" w:rsidRDefault="00D97A19" w:rsidP="001B4E91">
            <w:pPr>
              <w:rPr>
                <w:rFonts w:ascii="Arial" w:hAnsi="Arial" w:cs="Arial"/>
                <w:sz w:val="22"/>
                <w:szCs w:val="22"/>
              </w:rPr>
            </w:pPr>
          </w:p>
        </w:tc>
      </w:tr>
      <w:tr w:rsidR="00D97A19" w:rsidRPr="00D97A19" w14:paraId="1B00302B" w14:textId="77777777" w:rsidTr="00DF4341">
        <w:trPr>
          <w:jc w:val="center"/>
        </w:trPr>
        <w:tc>
          <w:tcPr>
            <w:tcW w:w="1182" w:type="dxa"/>
          </w:tcPr>
          <w:p w14:paraId="3AE8F8CA"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11</w:t>
            </w:r>
          </w:p>
        </w:tc>
        <w:tc>
          <w:tcPr>
            <w:tcW w:w="5743" w:type="dxa"/>
          </w:tcPr>
          <w:p w14:paraId="169D253F" w14:textId="090F867F" w:rsidR="00D97A19" w:rsidRPr="00D97A19" w:rsidRDefault="00D97A19" w:rsidP="001B4E91">
            <w:pPr>
              <w:rPr>
                <w:rFonts w:ascii="Arial" w:hAnsi="Arial" w:cs="Arial"/>
                <w:sz w:val="22"/>
                <w:szCs w:val="22"/>
              </w:rPr>
            </w:pPr>
            <w:r w:rsidRPr="00D97A19">
              <w:rPr>
                <w:rFonts w:ascii="Arial" w:hAnsi="Arial" w:cs="Arial"/>
                <w:sz w:val="22"/>
                <w:szCs w:val="22"/>
              </w:rPr>
              <w:t xml:space="preserve">High </w:t>
            </w:r>
            <w:r w:rsidR="00DF4341">
              <w:rPr>
                <w:rFonts w:ascii="Arial" w:hAnsi="Arial" w:cs="Arial"/>
                <w:sz w:val="22"/>
                <w:szCs w:val="22"/>
              </w:rPr>
              <w:t>P</w:t>
            </w:r>
            <w:r w:rsidRPr="00D97A19">
              <w:rPr>
                <w:rFonts w:ascii="Arial" w:hAnsi="Arial" w:cs="Arial"/>
                <w:sz w:val="22"/>
                <w:szCs w:val="22"/>
              </w:rPr>
              <w:t xml:space="preserve">erformance </w:t>
            </w:r>
            <w:r w:rsidR="00DF4341">
              <w:rPr>
                <w:rFonts w:ascii="Arial" w:hAnsi="Arial" w:cs="Arial"/>
                <w:sz w:val="22"/>
                <w:szCs w:val="22"/>
              </w:rPr>
              <w:t>C</w:t>
            </w:r>
            <w:r w:rsidRPr="00D97A19">
              <w:rPr>
                <w:rFonts w:ascii="Arial" w:hAnsi="Arial" w:cs="Arial"/>
                <w:sz w:val="22"/>
                <w:szCs w:val="22"/>
              </w:rPr>
              <w:t xml:space="preserve">oncrete </w:t>
            </w:r>
            <w:r w:rsidR="00DF4341">
              <w:rPr>
                <w:rFonts w:ascii="Arial" w:hAnsi="Arial" w:cs="Arial"/>
                <w:sz w:val="22"/>
                <w:szCs w:val="22"/>
              </w:rPr>
              <w:t>D</w:t>
            </w:r>
            <w:r w:rsidRPr="00D97A19">
              <w:rPr>
                <w:rFonts w:ascii="Arial" w:hAnsi="Arial" w:cs="Arial"/>
                <w:sz w:val="22"/>
                <w:szCs w:val="22"/>
              </w:rPr>
              <w:t>ecks (HPC)</w:t>
            </w:r>
          </w:p>
        </w:tc>
        <w:tc>
          <w:tcPr>
            <w:tcW w:w="1620" w:type="dxa"/>
          </w:tcPr>
          <w:p w14:paraId="25AA8D6C" w14:textId="77777777" w:rsidR="00D97A19" w:rsidRPr="00D97A19" w:rsidRDefault="00D97A19" w:rsidP="001B4E91">
            <w:pPr>
              <w:rPr>
                <w:rFonts w:ascii="Arial" w:hAnsi="Arial" w:cs="Arial"/>
                <w:sz w:val="22"/>
                <w:szCs w:val="22"/>
              </w:rPr>
            </w:pPr>
          </w:p>
        </w:tc>
      </w:tr>
      <w:tr w:rsidR="00D97A19" w:rsidRPr="00D97A19" w14:paraId="29DC93D6" w14:textId="77777777" w:rsidTr="00DF4341">
        <w:trPr>
          <w:jc w:val="center"/>
        </w:trPr>
        <w:tc>
          <w:tcPr>
            <w:tcW w:w="1182" w:type="dxa"/>
          </w:tcPr>
          <w:p w14:paraId="7144A37B" w14:textId="77777777" w:rsidR="00D97A19" w:rsidRPr="00D97A19" w:rsidRDefault="00D97A19" w:rsidP="001B4E91">
            <w:pPr>
              <w:jc w:val="center"/>
              <w:rPr>
                <w:rFonts w:ascii="Arial" w:hAnsi="Arial" w:cs="Arial"/>
                <w:sz w:val="22"/>
                <w:szCs w:val="22"/>
              </w:rPr>
            </w:pPr>
            <w:r w:rsidRPr="00D97A19">
              <w:rPr>
                <w:rFonts w:ascii="Arial" w:hAnsi="Arial" w:cs="Arial"/>
                <w:sz w:val="22"/>
                <w:szCs w:val="22"/>
              </w:rPr>
              <w:t>12</w:t>
            </w:r>
          </w:p>
        </w:tc>
        <w:tc>
          <w:tcPr>
            <w:tcW w:w="5743" w:type="dxa"/>
          </w:tcPr>
          <w:p w14:paraId="714098EC" w14:textId="75490E77" w:rsidR="00D97A19" w:rsidRPr="00D97A19" w:rsidRDefault="00D97A19" w:rsidP="001B4E91">
            <w:pPr>
              <w:rPr>
                <w:rFonts w:ascii="Arial" w:hAnsi="Arial" w:cs="Arial"/>
                <w:sz w:val="22"/>
                <w:szCs w:val="22"/>
              </w:rPr>
            </w:pPr>
            <w:r w:rsidRPr="00D97A19">
              <w:rPr>
                <w:rFonts w:ascii="Arial" w:hAnsi="Arial" w:cs="Arial"/>
                <w:sz w:val="22"/>
                <w:szCs w:val="22"/>
              </w:rPr>
              <w:t xml:space="preserve">High </w:t>
            </w:r>
            <w:r w:rsidR="00DF4341">
              <w:rPr>
                <w:rFonts w:ascii="Arial" w:hAnsi="Arial" w:cs="Arial"/>
                <w:sz w:val="22"/>
                <w:szCs w:val="22"/>
              </w:rPr>
              <w:t>P</w:t>
            </w:r>
            <w:r w:rsidRPr="00D97A19">
              <w:rPr>
                <w:rFonts w:ascii="Arial" w:hAnsi="Arial" w:cs="Arial"/>
                <w:sz w:val="22"/>
                <w:szCs w:val="22"/>
              </w:rPr>
              <w:t xml:space="preserve">erformance </w:t>
            </w:r>
            <w:r w:rsidR="00DF4341">
              <w:rPr>
                <w:rFonts w:ascii="Arial" w:hAnsi="Arial" w:cs="Arial"/>
                <w:sz w:val="22"/>
                <w:szCs w:val="22"/>
              </w:rPr>
              <w:t>L</w:t>
            </w:r>
            <w:r w:rsidRPr="00D97A19">
              <w:rPr>
                <w:rFonts w:ascii="Arial" w:hAnsi="Arial" w:cs="Arial"/>
                <w:sz w:val="22"/>
                <w:szCs w:val="22"/>
              </w:rPr>
              <w:t xml:space="preserve">ightweight </w:t>
            </w:r>
            <w:r w:rsidR="00DF4341">
              <w:rPr>
                <w:rFonts w:ascii="Arial" w:hAnsi="Arial" w:cs="Arial"/>
                <w:sz w:val="22"/>
                <w:szCs w:val="22"/>
              </w:rPr>
              <w:t>C</w:t>
            </w:r>
            <w:r w:rsidRPr="00D97A19">
              <w:rPr>
                <w:rFonts w:ascii="Arial" w:hAnsi="Arial" w:cs="Arial"/>
                <w:sz w:val="22"/>
                <w:szCs w:val="22"/>
              </w:rPr>
              <w:t xml:space="preserve">oncrete </w:t>
            </w:r>
            <w:r w:rsidR="00DF4341">
              <w:rPr>
                <w:rFonts w:ascii="Arial" w:hAnsi="Arial" w:cs="Arial"/>
                <w:sz w:val="22"/>
                <w:szCs w:val="22"/>
              </w:rPr>
              <w:t>D</w:t>
            </w:r>
            <w:r w:rsidRPr="00D97A19">
              <w:rPr>
                <w:rFonts w:ascii="Arial" w:hAnsi="Arial" w:cs="Arial"/>
                <w:sz w:val="22"/>
                <w:szCs w:val="22"/>
              </w:rPr>
              <w:t>eck (HPLC)</w:t>
            </w:r>
          </w:p>
        </w:tc>
        <w:tc>
          <w:tcPr>
            <w:tcW w:w="1620" w:type="dxa"/>
          </w:tcPr>
          <w:p w14:paraId="56377DA9" w14:textId="77777777" w:rsidR="00D97A19" w:rsidRPr="00D97A19" w:rsidRDefault="00D97A19" w:rsidP="001B4E91">
            <w:pPr>
              <w:rPr>
                <w:rFonts w:ascii="Arial" w:hAnsi="Arial" w:cs="Arial"/>
                <w:sz w:val="22"/>
                <w:szCs w:val="22"/>
              </w:rPr>
            </w:pPr>
            <w:r w:rsidRPr="00D97A19">
              <w:rPr>
                <w:rFonts w:ascii="Arial" w:hAnsi="Arial" w:cs="Arial"/>
                <w:sz w:val="22"/>
                <w:szCs w:val="22"/>
              </w:rPr>
              <w:t>Repair of bridge decks</w:t>
            </w:r>
          </w:p>
        </w:tc>
      </w:tr>
      <w:tr w:rsidR="00A561CD" w:rsidRPr="00D97A19" w14:paraId="14502EB3" w14:textId="77777777" w:rsidTr="00DF4341">
        <w:trPr>
          <w:jc w:val="center"/>
        </w:trPr>
        <w:tc>
          <w:tcPr>
            <w:tcW w:w="1182" w:type="dxa"/>
          </w:tcPr>
          <w:p w14:paraId="31D564E5" w14:textId="4F945827" w:rsidR="00A561CD" w:rsidRPr="00D97A19" w:rsidRDefault="00A561CD" w:rsidP="001B4E91">
            <w:pPr>
              <w:jc w:val="center"/>
              <w:rPr>
                <w:rFonts w:ascii="Arial" w:hAnsi="Arial" w:cs="Arial"/>
                <w:sz w:val="22"/>
                <w:szCs w:val="22"/>
              </w:rPr>
            </w:pPr>
            <w:r>
              <w:rPr>
                <w:rFonts w:ascii="Arial" w:hAnsi="Arial" w:cs="Arial"/>
                <w:sz w:val="22"/>
                <w:szCs w:val="22"/>
              </w:rPr>
              <w:t>13</w:t>
            </w:r>
          </w:p>
        </w:tc>
        <w:tc>
          <w:tcPr>
            <w:tcW w:w="5743" w:type="dxa"/>
          </w:tcPr>
          <w:p w14:paraId="628C7510" w14:textId="697464A4" w:rsidR="00A561CD" w:rsidRPr="00D97A19" w:rsidRDefault="00A561CD" w:rsidP="001B4E91">
            <w:pPr>
              <w:rPr>
                <w:rFonts w:ascii="Arial" w:hAnsi="Arial" w:cs="Arial"/>
                <w:sz w:val="22"/>
                <w:szCs w:val="22"/>
              </w:rPr>
            </w:pPr>
            <w:r>
              <w:rPr>
                <w:rFonts w:ascii="Arial" w:hAnsi="Arial" w:cs="Arial"/>
                <w:sz w:val="22"/>
                <w:szCs w:val="22"/>
              </w:rPr>
              <w:t>Sidewalks, Curb &amp; Gutter (Sections 602, 603, 604)</w:t>
            </w:r>
          </w:p>
        </w:tc>
        <w:tc>
          <w:tcPr>
            <w:tcW w:w="1620" w:type="dxa"/>
          </w:tcPr>
          <w:p w14:paraId="4173D8C7" w14:textId="77777777" w:rsidR="00A561CD" w:rsidRPr="00D97A19" w:rsidRDefault="00A561CD" w:rsidP="001B4E91">
            <w:pPr>
              <w:rPr>
                <w:rFonts w:ascii="Arial" w:hAnsi="Arial" w:cs="Arial"/>
                <w:sz w:val="22"/>
                <w:szCs w:val="22"/>
              </w:rPr>
            </w:pPr>
          </w:p>
        </w:tc>
      </w:tr>
      <w:tr w:rsidR="00DF4341" w:rsidRPr="00DF4341" w14:paraId="51CF61D8" w14:textId="77777777" w:rsidTr="00DF4341">
        <w:tblPrEx>
          <w:tblLook w:val="04A0" w:firstRow="1" w:lastRow="0" w:firstColumn="1" w:lastColumn="0" w:noHBand="0" w:noVBand="1"/>
        </w:tblPrEx>
        <w:trPr>
          <w:jc w:val="center"/>
        </w:trPr>
        <w:tc>
          <w:tcPr>
            <w:tcW w:w="1182" w:type="dxa"/>
          </w:tcPr>
          <w:p w14:paraId="4C61128F" w14:textId="6A315C3C" w:rsidR="00DF4341" w:rsidRPr="00DF4341" w:rsidRDefault="00DF4341" w:rsidP="001B4E91">
            <w:pPr>
              <w:jc w:val="center"/>
              <w:rPr>
                <w:rFonts w:ascii="Arial" w:hAnsi="Arial" w:cs="Arial"/>
                <w:b/>
                <w:bCs/>
                <w:sz w:val="22"/>
                <w:szCs w:val="22"/>
              </w:rPr>
            </w:pPr>
            <w:r w:rsidRPr="00DF4341">
              <w:rPr>
                <w:rFonts w:ascii="Arial" w:hAnsi="Arial" w:cs="Arial"/>
                <w:b/>
                <w:bCs/>
                <w:sz w:val="22"/>
                <w:szCs w:val="22"/>
              </w:rPr>
              <w:t>HE</w:t>
            </w:r>
          </w:p>
        </w:tc>
        <w:tc>
          <w:tcPr>
            <w:tcW w:w="5743" w:type="dxa"/>
          </w:tcPr>
          <w:p w14:paraId="4311C9FF" w14:textId="14437D84" w:rsidR="00DF4341" w:rsidRPr="00DF4341" w:rsidRDefault="00DF4341" w:rsidP="001B4E91">
            <w:pPr>
              <w:rPr>
                <w:rFonts w:ascii="Arial" w:hAnsi="Arial" w:cs="Arial"/>
                <w:b/>
                <w:bCs/>
                <w:sz w:val="22"/>
                <w:szCs w:val="22"/>
              </w:rPr>
            </w:pPr>
            <w:r w:rsidRPr="00DF4341">
              <w:rPr>
                <w:rFonts w:ascii="Arial" w:hAnsi="Arial" w:cs="Arial"/>
                <w:b/>
                <w:bCs/>
                <w:sz w:val="22"/>
                <w:szCs w:val="22"/>
              </w:rPr>
              <w:t>High Early Concrete Pavement Repairs</w:t>
            </w:r>
          </w:p>
        </w:tc>
        <w:tc>
          <w:tcPr>
            <w:tcW w:w="1620" w:type="dxa"/>
          </w:tcPr>
          <w:p w14:paraId="1C7F1182" w14:textId="03778050" w:rsidR="00DF4341" w:rsidRPr="00DF4341" w:rsidRDefault="00DF4341" w:rsidP="001B4E91">
            <w:pPr>
              <w:rPr>
                <w:rFonts w:ascii="Arial" w:hAnsi="Arial" w:cs="Arial"/>
                <w:b/>
                <w:bCs/>
                <w:sz w:val="22"/>
                <w:szCs w:val="22"/>
              </w:rPr>
            </w:pPr>
            <w:r w:rsidRPr="00DF4341">
              <w:rPr>
                <w:rFonts w:ascii="Arial" w:hAnsi="Arial" w:cs="Arial"/>
                <w:b/>
                <w:bCs/>
                <w:sz w:val="22"/>
                <w:szCs w:val="22"/>
              </w:rPr>
              <w:t>Match Curing Req’d</w:t>
            </w:r>
          </w:p>
        </w:tc>
      </w:tr>
      <w:tr w:rsidR="00DF4341" w:rsidRPr="00DF4341" w14:paraId="08269DCC" w14:textId="77777777" w:rsidTr="00DF4341">
        <w:tblPrEx>
          <w:tblLook w:val="04A0" w:firstRow="1" w:lastRow="0" w:firstColumn="1" w:lastColumn="0" w:noHBand="0" w:noVBand="1"/>
        </w:tblPrEx>
        <w:trPr>
          <w:jc w:val="center"/>
        </w:trPr>
        <w:tc>
          <w:tcPr>
            <w:tcW w:w="1182" w:type="dxa"/>
          </w:tcPr>
          <w:p w14:paraId="23597441" w14:textId="0E8FFB30" w:rsidR="00DF4341" w:rsidRPr="00DF4341" w:rsidRDefault="00DF4341" w:rsidP="001B4E91">
            <w:pPr>
              <w:jc w:val="center"/>
              <w:rPr>
                <w:rFonts w:ascii="Arial" w:hAnsi="Arial" w:cs="Arial"/>
                <w:b/>
                <w:bCs/>
                <w:sz w:val="22"/>
                <w:szCs w:val="22"/>
              </w:rPr>
            </w:pPr>
            <w:r w:rsidRPr="00DF4341">
              <w:rPr>
                <w:rFonts w:ascii="Arial" w:hAnsi="Arial" w:cs="Arial"/>
                <w:b/>
                <w:bCs/>
                <w:sz w:val="22"/>
                <w:szCs w:val="22"/>
              </w:rPr>
              <w:t>PC</w:t>
            </w:r>
          </w:p>
        </w:tc>
        <w:tc>
          <w:tcPr>
            <w:tcW w:w="5743" w:type="dxa"/>
          </w:tcPr>
          <w:p w14:paraId="39CDB981" w14:textId="38BA44C1" w:rsidR="00DF4341" w:rsidRPr="00DF4341" w:rsidRDefault="00DF4341" w:rsidP="001B4E91">
            <w:pPr>
              <w:rPr>
                <w:rFonts w:ascii="Arial" w:hAnsi="Arial" w:cs="Arial"/>
                <w:b/>
                <w:bCs/>
                <w:sz w:val="22"/>
                <w:szCs w:val="22"/>
              </w:rPr>
            </w:pPr>
            <w:r w:rsidRPr="00DF4341">
              <w:rPr>
                <w:rFonts w:ascii="Arial" w:hAnsi="Arial" w:cs="Arial"/>
                <w:b/>
                <w:bCs/>
                <w:sz w:val="22"/>
                <w:szCs w:val="22"/>
              </w:rPr>
              <w:t>Pervious Concrete for Sidewalks, Parking Lots, Hiker/Biker Trails</w:t>
            </w:r>
          </w:p>
        </w:tc>
        <w:tc>
          <w:tcPr>
            <w:tcW w:w="1620" w:type="dxa"/>
          </w:tcPr>
          <w:p w14:paraId="2452662D" w14:textId="77777777" w:rsidR="00DF4341" w:rsidRPr="00DF4341" w:rsidRDefault="00DF4341" w:rsidP="001B4E91">
            <w:pPr>
              <w:rPr>
                <w:rFonts w:ascii="Arial" w:hAnsi="Arial" w:cs="Arial"/>
                <w:b/>
                <w:bCs/>
                <w:sz w:val="22"/>
                <w:szCs w:val="22"/>
              </w:rPr>
            </w:pPr>
          </w:p>
        </w:tc>
      </w:tr>
      <w:tr w:rsidR="00D97A19" w:rsidRPr="00DF4341" w14:paraId="3F422DE0" w14:textId="77777777" w:rsidTr="00DF4341">
        <w:tblPrEx>
          <w:tblLook w:val="04A0" w:firstRow="1" w:lastRow="0" w:firstColumn="1" w:lastColumn="0" w:noHBand="0" w:noVBand="1"/>
        </w:tblPrEx>
        <w:trPr>
          <w:jc w:val="center"/>
        </w:trPr>
        <w:tc>
          <w:tcPr>
            <w:tcW w:w="1182" w:type="dxa"/>
          </w:tcPr>
          <w:p w14:paraId="0E20519C" w14:textId="77777777" w:rsidR="00D97A19" w:rsidRPr="00DF4341" w:rsidRDefault="00D97A19" w:rsidP="001B4E91">
            <w:pPr>
              <w:jc w:val="center"/>
              <w:rPr>
                <w:rFonts w:ascii="Arial" w:hAnsi="Arial" w:cs="Arial"/>
                <w:b/>
                <w:bCs/>
                <w:sz w:val="22"/>
                <w:szCs w:val="22"/>
              </w:rPr>
            </w:pPr>
            <w:bookmarkStart w:id="413" w:name="_Superpave_HMA_Criteria"/>
            <w:bookmarkStart w:id="414" w:name="_Toc364322309"/>
            <w:bookmarkEnd w:id="413"/>
            <w:r w:rsidRPr="00DF4341">
              <w:rPr>
                <w:rFonts w:ascii="Arial" w:hAnsi="Arial" w:cs="Arial"/>
                <w:b/>
                <w:bCs/>
                <w:sz w:val="22"/>
                <w:szCs w:val="22"/>
              </w:rPr>
              <w:t>WT</w:t>
            </w:r>
          </w:p>
        </w:tc>
        <w:tc>
          <w:tcPr>
            <w:tcW w:w="5743" w:type="dxa"/>
          </w:tcPr>
          <w:p w14:paraId="08E7917C" w14:textId="1870210F" w:rsidR="00D97A19" w:rsidRPr="00DF4341" w:rsidRDefault="00D97A19" w:rsidP="001B4E91">
            <w:pPr>
              <w:rPr>
                <w:rFonts w:ascii="Arial" w:hAnsi="Arial" w:cs="Arial"/>
                <w:b/>
                <w:bCs/>
                <w:sz w:val="22"/>
                <w:szCs w:val="22"/>
              </w:rPr>
            </w:pPr>
            <w:r w:rsidRPr="00DF4341">
              <w:rPr>
                <w:rFonts w:ascii="Arial" w:hAnsi="Arial" w:cs="Arial"/>
                <w:b/>
                <w:bCs/>
                <w:sz w:val="22"/>
                <w:szCs w:val="22"/>
              </w:rPr>
              <w:t xml:space="preserve">Concrete </w:t>
            </w:r>
            <w:r w:rsidR="00DF4341" w:rsidRPr="00DF4341">
              <w:rPr>
                <w:rFonts w:ascii="Arial" w:hAnsi="Arial" w:cs="Arial"/>
                <w:b/>
                <w:bCs/>
                <w:sz w:val="22"/>
                <w:szCs w:val="22"/>
              </w:rPr>
              <w:t>O</w:t>
            </w:r>
            <w:r w:rsidRPr="00DF4341">
              <w:rPr>
                <w:rFonts w:ascii="Arial" w:hAnsi="Arial" w:cs="Arial"/>
                <w:b/>
                <w:bCs/>
                <w:sz w:val="22"/>
                <w:szCs w:val="22"/>
              </w:rPr>
              <w:t>verlays (white-topping)</w:t>
            </w:r>
            <w:r w:rsidR="00DF4341" w:rsidRPr="00DF4341">
              <w:rPr>
                <w:rFonts w:ascii="Arial" w:hAnsi="Arial" w:cs="Arial"/>
                <w:b/>
                <w:bCs/>
                <w:sz w:val="22"/>
                <w:szCs w:val="22"/>
              </w:rPr>
              <w:t>, Stop Pads</w:t>
            </w:r>
          </w:p>
        </w:tc>
        <w:tc>
          <w:tcPr>
            <w:tcW w:w="1620" w:type="dxa"/>
          </w:tcPr>
          <w:p w14:paraId="36C50449" w14:textId="6B084D5F" w:rsidR="00D97A19" w:rsidRPr="00DF4341" w:rsidRDefault="00DF4341" w:rsidP="001B4E91">
            <w:pPr>
              <w:rPr>
                <w:rFonts w:ascii="Arial" w:hAnsi="Arial" w:cs="Arial"/>
                <w:b/>
                <w:bCs/>
                <w:sz w:val="22"/>
                <w:szCs w:val="22"/>
              </w:rPr>
            </w:pPr>
            <w:r w:rsidRPr="00DF4341">
              <w:rPr>
                <w:rFonts w:ascii="Arial" w:hAnsi="Arial" w:cs="Arial"/>
                <w:b/>
                <w:bCs/>
                <w:sz w:val="22"/>
                <w:szCs w:val="22"/>
              </w:rPr>
              <w:t>Fast Track Pavement Rehabilitation</w:t>
            </w:r>
          </w:p>
        </w:tc>
      </w:tr>
    </w:tbl>
    <w:p w14:paraId="68E6BD8B" w14:textId="6BC1C939" w:rsidR="00D316B0" w:rsidRDefault="00D316B0" w:rsidP="00172E64">
      <w:pPr>
        <w:pStyle w:val="Heading3"/>
        <w:numPr>
          <w:ilvl w:val="2"/>
          <w:numId w:val="184"/>
        </w:numPr>
        <w:ind w:left="0" w:firstLine="0"/>
        <w:jc w:val="both"/>
      </w:pPr>
      <w:r>
        <w:t>Superpave HMA Criteria</w:t>
      </w:r>
      <w:bookmarkEnd w:id="414"/>
    </w:p>
    <w:p w14:paraId="77026F29" w14:textId="565B6175" w:rsidR="00D316B0" w:rsidRDefault="00D316B0" w:rsidP="00BE3F24">
      <w:pPr>
        <w:pStyle w:val="BodyText"/>
        <w:spacing w:after="0"/>
        <w:jc w:val="both"/>
      </w:pPr>
      <w:r>
        <w:t>The adoption of the Superpave HMA mix design criteria</w:t>
      </w:r>
      <w:r w:rsidR="001B4E91">
        <w:t>,</w:t>
      </w:r>
      <w:r>
        <w:t xml:space="preserve"> and the numerous types of HMA mixes that were generated</w:t>
      </w:r>
      <w:r w:rsidR="001B4E91">
        <w:t>,</w:t>
      </w:r>
      <w:r>
        <w:t xml:space="preserve"> sparked the need for policy in material selection.  Material selection items crucial to the Superpave HMA mix criteria include the performance grade binder, traffic level or compaction level (ESAL category), and HMA mix size.  In addition, </w:t>
      </w:r>
      <w:r>
        <w:lastRenderedPageBreak/>
        <w:t>policies regarding the type and number of HMA mixes on a typical construction project are also provided.</w:t>
      </w:r>
    </w:p>
    <w:p w14:paraId="06CF8DCC" w14:textId="74537212" w:rsidR="001B4E91" w:rsidRDefault="001B4E91">
      <w:pPr>
        <w:rPr>
          <w:rFonts w:ascii="Arial" w:hAnsi="Arial"/>
          <w:b/>
          <w:i/>
          <w:sz w:val="24"/>
        </w:rPr>
      </w:pPr>
      <w:bookmarkStart w:id="415" w:name="_Performance_Grade_Binder"/>
      <w:bookmarkStart w:id="416" w:name="_Toc364322310"/>
      <w:bookmarkEnd w:id="415"/>
    </w:p>
    <w:p w14:paraId="53C726A1" w14:textId="4EF0CC04" w:rsidR="00D316B0" w:rsidRDefault="00D316B0" w:rsidP="00172E64">
      <w:pPr>
        <w:pStyle w:val="Heading4"/>
        <w:numPr>
          <w:ilvl w:val="3"/>
          <w:numId w:val="184"/>
        </w:numPr>
        <w:ind w:left="0" w:firstLine="0"/>
        <w:jc w:val="both"/>
      </w:pPr>
      <w:r>
        <w:t>Performance Grade Binder Selection</w:t>
      </w:r>
      <w:bookmarkEnd w:id="416"/>
      <w:r>
        <w:t xml:space="preserve"> </w:t>
      </w:r>
    </w:p>
    <w:p w14:paraId="1A21C0C3" w14:textId="4910DF53" w:rsidR="00527730" w:rsidRDefault="00527730" w:rsidP="00527730">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commended_Material_Property" w:history="1">
        <w:r w:rsidRPr="00527730">
          <w:rPr>
            <w:rStyle w:val="Hyperlink"/>
            <w:rFonts w:ascii="Arial" w:hAnsi="Arial" w:cs="Arial"/>
            <w:bCs/>
            <w:sz w:val="16"/>
            <w:szCs w:val="16"/>
          </w:rPr>
          <w:t xml:space="preserve">Recommended Material Property Inputs for </w:t>
        </w:r>
        <w:r w:rsidR="001B4E91">
          <w:rPr>
            <w:rStyle w:val="Hyperlink"/>
            <w:rFonts w:ascii="Arial" w:hAnsi="Arial" w:cs="Arial"/>
            <w:bCs/>
            <w:sz w:val="16"/>
            <w:szCs w:val="16"/>
          </w:rPr>
          <w:t>N</w:t>
        </w:r>
        <w:r w:rsidRPr="00527730">
          <w:rPr>
            <w:rStyle w:val="Hyperlink"/>
            <w:rFonts w:ascii="Arial" w:hAnsi="Arial" w:cs="Arial"/>
            <w:bCs/>
            <w:sz w:val="16"/>
            <w:szCs w:val="16"/>
          </w:rPr>
          <w:t>ew HMA Layers</w:t>
        </w:r>
      </w:hyperlink>
    </w:p>
    <w:p w14:paraId="1BECBD40" w14:textId="77777777" w:rsidR="00E838DF" w:rsidRPr="008F604D" w:rsidRDefault="00E838DF" w:rsidP="00E838DF">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commended_Material_Property_1" w:history="1">
        <w:r w:rsidRPr="00E838DF">
          <w:rPr>
            <w:rStyle w:val="Hyperlink"/>
            <w:rFonts w:ascii="Arial" w:hAnsi="Arial" w:cs="Arial"/>
            <w:bCs/>
            <w:sz w:val="16"/>
            <w:szCs w:val="16"/>
          </w:rPr>
          <w:t>Recommended Material Property Inputs for Existing HMA Layers</w:t>
        </w:r>
      </w:hyperlink>
    </w:p>
    <w:p w14:paraId="642513DE" w14:textId="77777777" w:rsidR="00E838DF" w:rsidRDefault="00E838DF" w:rsidP="005B46B9">
      <w:pPr>
        <w:pStyle w:val="BodyText"/>
        <w:spacing w:after="0"/>
        <w:jc w:val="both"/>
      </w:pPr>
    </w:p>
    <w:p w14:paraId="7D7820C2" w14:textId="2E0B27F3" w:rsidR="00D316B0" w:rsidRDefault="00D316B0" w:rsidP="00BE3F24">
      <w:pPr>
        <w:pStyle w:val="BodyText"/>
        <w:jc w:val="both"/>
      </w:pPr>
      <w:r>
        <w:t>The base performance grade (PG) Binder for the state of Maryland is PG 64</w:t>
      </w:r>
      <w:r w:rsidR="00CE3E36">
        <w:t>S</w:t>
      </w:r>
      <w:r>
        <w:t>-22.  All HMA mixes, with the exception of the wearing course, shall always be designed with PG 64</w:t>
      </w:r>
      <w:r w:rsidR="00CE3E36">
        <w:t>S</w:t>
      </w:r>
      <w:r>
        <w:t>-22 as the binder, unless the Pavement Design Policies</w:t>
      </w:r>
      <w:r w:rsidR="001B4E91">
        <w:t>,</w:t>
      </w:r>
      <w:r>
        <w:t xml:space="preserve"> or the Asphalt Technology Division</w:t>
      </w:r>
      <w:r w:rsidR="001B4E91">
        <w:t>,</w:t>
      </w:r>
      <w:r>
        <w:t xml:space="preserve"> or site conditions dictate otherwise.  All base, wedge/level, and patching HMA mixes shall be PG 64</w:t>
      </w:r>
      <w:r w:rsidR="00CE3E36">
        <w:t>S</w:t>
      </w:r>
      <w:r>
        <w:t xml:space="preserve">-22 unless unusual circumstances exist that warrant a different binder.  An example of these unusual circumstances may be a base or wedge/level that will be subjected to significant maintenance of traffic conditions during construction.      </w:t>
      </w:r>
    </w:p>
    <w:p w14:paraId="048DAF03" w14:textId="66C74D34" w:rsidR="00D316B0" w:rsidRDefault="00D316B0" w:rsidP="00BE3F24">
      <w:pPr>
        <w:pStyle w:val="BodyText"/>
        <w:jc w:val="both"/>
      </w:pPr>
      <w:r>
        <w:t>Only the wearing course or HMA surface layer would be eligible for adjustment of the PG binder.  The wearing course PG binder can vary from PG 64</w:t>
      </w:r>
      <w:r w:rsidR="00CE3E36">
        <w:t>S</w:t>
      </w:r>
      <w:r>
        <w:t xml:space="preserve">-22 based on the following conditions: </w:t>
      </w:r>
      <w:r w:rsidR="00756F96">
        <w:t xml:space="preserve">existing pavement type, </w:t>
      </w:r>
      <w:r>
        <w:t>traffic level</w:t>
      </w:r>
      <w:r w:rsidR="001B4E91">
        <w:t>,</w:t>
      </w:r>
      <w:r>
        <w:t xml:space="preserve"> and rutting conditions.  There is one exception to this policy for </w:t>
      </w:r>
      <w:r w:rsidR="00DB4495">
        <w:t>Gap</w:t>
      </w:r>
      <w:r>
        <w:t xml:space="preserve"> Graded HMA mixes.  All </w:t>
      </w:r>
      <w:r w:rsidR="00DB4495">
        <w:t>Gap</w:t>
      </w:r>
      <w:r>
        <w:t xml:space="preserve"> Graded HMA mixes shall be PG </w:t>
      </w:r>
      <w:r w:rsidR="00CE3E36">
        <w:t>64E</w:t>
      </w:r>
      <w:r>
        <w:t>-22.</w:t>
      </w:r>
      <w:r w:rsidR="00756F96">
        <w:t xml:space="preserve">  See</w:t>
      </w:r>
      <w:r>
        <w:t xml:space="preserve"> </w:t>
      </w:r>
      <w:hyperlink w:anchor="_Wearing_Surface_Selection" w:history="1">
        <w:r w:rsidR="00756F96" w:rsidRPr="00756F96">
          <w:rPr>
            <w:rStyle w:val="Hyperlink"/>
          </w:rPr>
          <w:t>Wearing Surface Selection</w:t>
        </w:r>
      </w:hyperlink>
      <w:r w:rsidR="00756F96">
        <w:t xml:space="preserve"> for additional details.  </w:t>
      </w:r>
      <w:r>
        <w:t>All other wearing course mixes shall be selected using the PG matrix tables below.  Use the following table to select the appropriate PG binder for the project:</w:t>
      </w:r>
    </w:p>
    <w:p w14:paraId="205DC898" w14:textId="06E9B736" w:rsidR="00D316B0" w:rsidRPr="005B46B9" w:rsidRDefault="00D316B0" w:rsidP="005B46B9">
      <w:pPr>
        <w:pStyle w:val="BodyText"/>
        <w:jc w:val="center"/>
        <w:rPr>
          <w:b/>
        </w:rPr>
      </w:pPr>
      <w:r w:rsidRPr="005B46B9">
        <w:rPr>
          <w:b/>
        </w:rPr>
        <w:t>Wearing Surface for All Counties</w:t>
      </w:r>
    </w:p>
    <w:tbl>
      <w:tblPr>
        <w:tblW w:w="7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5"/>
        <w:gridCol w:w="1024"/>
        <w:gridCol w:w="902"/>
        <w:gridCol w:w="1264"/>
        <w:gridCol w:w="1080"/>
        <w:gridCol w:w="983"/>
        <w:gridCol w:w="1109"/>
      </w:tblGrid>
      <w:tr w:rsidR="00C7478E" w14:paraId="40DCEEE8" w14:textId="77777777" w:rsidTr="005B46B9">
        <w:trPr>
          <w:cantSplit/>
          <w:trHeight w:val="288"/>
          <w:jc w:val="center"/>
        </w:trPr>
        <w:tc>
          <w:tcPr>
            <w:tcW w:w="1485" w:type="dxa"/>
            <w:vMerge w:val="restart"/>
            <w:vAlign w:val="center"/>
          </w:tcPr>
          <w:p w14:paraId="48E522D8" w14:textId="77777777" w:rsidR="00C7478E" w:rsidRPr="005B46B9" w:rsidRDefault="00C7478E" w:rsidP="005B46B9">
            <w:pPr>
              <w:jc w:val="center"/>
              <w:rPr>
                <w:rFonts w:ascii="Arial" w:hAnsi="Arial"/>
                <w:b/>
              </w:rPr>
            </w:pPr>
            <w:r w:rsidRPr="005B46B9">
              <w:rPr>
                <w:rFonts w:ascii="Arial" w:hAnsi="Arial"/>
                <w:b/>
              </w:rPr>
              <w:t>Traffic Speed</w:t>
            </w:r>
          </w:p>
        </w:tc>
        <w:tc>
          <w:tcPr>
            <w:tcW w:w="1926" w:type="dxa"/>
            <w:gridSpan w:val="2"/>
            <w:shd w:val="pct15" w:color="auto" w:fill="FFFFFF"/>
            <w:vAlign w:val="center"/>
          </w:tcPr>
          <w:p w14:paraId="19769814" w14:textId="77777777" w:rsidR="00C7478E" w:rsidRPr="005B46B9" w:rsidRDefault="00C7478E" w:rsidP="005B46B9">
            <w:pPr>
              <w:jc w:val="center"/>
              <w:rPr>
                <w:rFonts w:ascii="Arial" w:hAnsi="Arial"/>
                <w:b/>
              </w:rPr>
            </w:pPr>
            <w:r w:rsidRPr="005B46B9">
              <w:rPr>
                <w:rFonts w:ascii="Arial" w:hAnsi="Arial"/>
                <w:b/>
              </w:rPr>
              <w:t>&lt; 300,000 ESALs</w:t>
            </w:r>
          </w:p>
        </w:tc>
        <w:tc>
          <w:tcPr>
            <w:tcW w:w="2344" w:type="dxa"/>
            <w:gridSpan w:val="2"/>
            <w:shd w:val="pct15" w:color="auto" w:fill="FFFFFF"/>
            <w:vAlign w:val="center"/>
          </w:tcPr>
          <w:p w14:paraId="75B50869" w14:textId="77777777" w:rsidR="00C7478E" w:rsidRPr="005B46B9" w:rsidRDefault="00C7478E" w:rsidP="005B46B9">
            <w:pPr>
              <w:jc w:val="center"/>
              <w:rPr>
                <w:rFonts w:ascii="Arial" w:hAnsi="Arial"/>
                <w:b/>
              </w:rPr>
            </w:pPr>
            <w:r w:rsidRPr="005B46B9">
              <w:rPr>
                <w:rFonts w:ascii="Arial" w:hAnsi="Arial"/>
                <w:b/>
              </w:rPr>
              <w:t>300,000 to 30,000,000</w:t>
            </w:r>
          </w:p>
        </w:tc>
        <w:tc>
          <w:tcPr>
            <w:tcW w:w="2092" w:type="dxa"/>
            <w:gridSpan w:val="2"/>
            <w:shd w:val="pct15" w:color="auto" w:fill="FFFFFF"/>
            <w:vAlign w:val="center"/>
          </w:tcPr>
          <w:p w14:paraId="3D10997C" w14:textId="77777777" w:rsidR="00C7478E" w:rsidRPr="005B46B9" w:rsidRDefault="00C7478E" w:rsidP="005B46B9">
            <w:pPr>
              <w:jc w:val="center"/>
              <w:rPr>
                <w:rFonts w:ascii="Arial" w:hAnsi="Arial"/>
                <w:b/>
              </w:rPr>
            </w:pPr>
            <w:r w:rsidRPr="005B46B9">
              <w:rPr>
                <w:rFonts w:ascii="Arial" w:hAnsi="Arial"/>
                <w:b/>
              </w:rPr>
              <w:t>30,000,000 ESALs</w:t>
            </w:r>
          </w:p>
        </w:tc>
      </w:tr>
      <w:tr w:rsidR="00115674" w14:paraId="6C78A622" w14:textId="77777777" w:rsidTr="003810D5">
        <w:trPr>
          <w:cantSplit/>
          <w:trHeight w:val="288"/>
          <w:jc w:val="center"/>
        </w:trPr>
        <w:tc>
          <w:tcPr>
            <w:tcW w:w="1485" w:type="dxa"/>
            <w:vMerge/>
            <w:vAlign w:val="center"/>
          </w:tcPr>
          <w:p w14:paraId="76C61158" w14:textId="77777777" w:rsidR="00C7478E" w:rsidRPr="005B46B9" w:rsidRDefault="00C7478E" w:rsidP="005B46B9">
            <w:pPr>
              <w:jc w:val="center"/>
              <w:rPr>
                <w:rFonts w:ascii="Arial" w:hAnsi="Arial"/>
                <w:b/>
              </w:rPr>
            </w:pPr>
          </w:p>
        </w:tc>
        <w:tc>
          <w:tcPr>
            <w:tcW w:w="1024" w:type="dxa"/>
            <w:shd w:val="pct15" w:color="auto" w:fill="FFFFFF"/>
            <w:vAlign w:val="center"/>
          </w:tcPr>
          <w:p w14:paraId="27945FB8" w14:textId="77777777" w:rsidR="00C7478E" w:rsidRPr="005B46B9" w:rsidRDefault="00C7478E" w:rsidP="005B46B9">
            <w:pPr>
              <w:jc w:val="center"/>
              <w:rPr>
                <w:rFonts w:ascii="Arial" w:hAnsi="Arial"/>
                <w:b/>
              </w:rPr>
            </w:pPr>
            <w:r w:rsidRPr="005B46B9">
              <w:rPr>
                <w:rFonts w:ascii="Arial" w:hAnsi="Arial"/>
                <w:b/>
              </w:rPr>
              <w:t>No Rut</w:t>
            </w:r>
          </w:p>
        </w:tc>
        <w:tc>
          <w:tcPr>
            <w:tcW w:w="902" w:type="dxa"/>
            <w:shd w:val="pct15" w:color="auto" w:fill="FFFFFF"/>
            <w:vAlign w:val="center"/>
          </w:tcPr>
          <w:p w14:paraId="0228EE57" w14:textId="77777777" w:rsidR="00C7478E" w:rsidRPr="005B46B9" w:rsidRDefault="00C7478E" w:rsidP="005B46B9">
            <w:pPr>
              <w:jc w:val="center"/>
              <w:rPr>
                <w:rFonts w:ascii="Arial" w:hAnsi="Arial"/>
                <w:b/>
              </w:rPr>
            </w:pPr>
            <w:r w:rsidRPr="005B46B9">
              <w:rPr>
                <w:rFonts w:ascii="Arial" w:hAnsi="Arial"/>
                <w:b/>
              </w:rPr>
              <w:t>Rut</w:t>
            </w:r>
          </w:p>
        </w:tc>
        <w:tc>
          <w:tcPr>
            <w:tcW w:w="1264" w:type="dxa"/>
            <w:shd w:val="pct15" w:color="auto" w:fill="FFFFFF"/>
            <w:vAlign w:val="center"/>
          </w:tcPr>
          <w:p w14:paraId="774C2092" w14:textId="77777777" w:rsidR="00C7478E" w:rsidRPr="005B46B9" w:rsidRDefault="00C7478E" w:rsidP="005B46B9">
            <w:pPr>
              <w:jc w:val="center"/>
              <w:rPr>
                <w:rFonts w:ascii="Arial" w:hAnsi="Arial"/>
                <w:b/>
              </w:rPr>
            </w:pPr>
            <w:r w:rsidRPr="005B46B9">
              <w:rPr>
                <w:rFonts w:ascii="Arial" w:hAnsi="Arial"/>
                <w:b/>
              </w:rPr>
              <w:t>No Rut</w:t>
            </w:r>
          </w:p>
        </w:tc>
        <w:tc>
          <w:tcPr>
            <w:tcW w:w="1080" w:type="dxa"/>
            <w:shd w:val="pct15" w:color="auto" w:fill="FFFFFF"/>
            <w:vAlign w:val="center"/>
          </w:tcPr>
          <w:p w14:paraId="3E8A7E3F" w14:textId="77777777" w:rsidR="00C7478E" w:rsidRPr="005B46B9" w:rsidRDefault="00C7478E" w:rsidP="005B46B9">
            <w:pPr>
              <w:jc w:val="center"/>
              <w:rPr>
                <w:rFonts w:ascii="Arial" w:hAnsi="Arial"/>
                <w:b/>
              </w:rPr>
            </w:pPr>
            <w:r w:rsidRPr="005B46B9">
              <w:rPr>
                <w:rFonts w:ascii="Arial" w:hAnsi="Arial"/>
                <w:b/>
              </w:rPr>
              <w:t>Rut</w:t>
            </w:r>
          </w:p>
        </w:tc>
        <w:tc>
          <w:tcPr>
            <w:tcW w:w="983" w:type="dxa"/>
            <w:shd w:val="pct15" w:color="auto" w:fill="FFFFFF"/>
            <w:vAlign w:val="center"/>
          </w:tcPr>
          <w:p w14:paraId="621A155F" w14:textId="77777777" w:rsidR="00C7478E" w:rsidRPr="005B46B9" w:rsidRDefault="00C7478E" w:rsidP="005B46B9">
            <w:pPr>
              <w:jc w:val="center"/>
              <w:rPr>
                <w:rFonts w:ascii="Arial" w:hAnsi="Arial"/>
                <w:b/>
              </w:rPr>
            </w:pPr>
            <w:r w:rsidRPr="005B46B9">
              <w:rPr>
                <w:rFonts w:ascii="Arial" w:hAnsi="Arial"/>
                <w:b/>
              </w:rPr>
              <w:t>No Rut</w:t>
            </w:r>
          </w:p>
        </w:tc>
        <w:tc>
          <w:tcPr>
            <w:tcW w:w="1109" w:type="dxa"/>
            <w:shd w:val="pct15" w:color="auto" w:fill="FFFFFF"/>
            <w:vAlign w:val="center"/>
          </w:tcPr>
          <w:p w14:paraId="1DB2B93A" w14:textId="77777777" w:rsidR="00C7478E" w:rsidRPr="005B46B9" w:rsidRDefault="00C7478E" w:rsidP="005B46B9">
            <w:pPr>
              <w:jc w:val="center"/>
              <w:rPr>
                <w:rFonts w:ascii="Arial" w:hAnsi="Arial"/>
                <w:b/>
              </w:rPr>
            </w:pPr>
            <w:r w:rsidRPr="005B46B9">
              <w:rPr>
                <w:rFonts w:ascii="Arial" w:hAnsi="Arial"/>
                <w:b/>
              </w:rPr>
              <w:t>Rut</w:t>
            </w:r>
          </w:p>
        </w:tc>
      </w:tr>
      <w:tr w:rsidR="00C7478E" w14:paraId="02AF1F6E" w14:textId="77777777" w:rsidTr="005B46B9">
        <w:trPr>
          <w:cantSplit/>
          <w:trHeight w:val="288"/>
          <w:jc w:val="center"/>
        </w:trPr>
        <w:tc>
          <w:tcPr>
            <w:tcW w:w="1485" w:type="dxa"/>
            <w:shd w:val="pct15" w:color="auto" w:fill="FFFFFF"/>
            <w:vAlign w:val="center"/>
          </w:tcPr>
          <w:p w14:paraId="6B8A4BCD" w14:textId="77777777" w:rsidR="00C7478E" w:rsidRDefault="00C7478E" w:rsidP="005B46B9">
            <w:pPr>
              <w:jc w:val="center"/>
              <w:rPr>
                <w:rFonts w:ascii="Arial" w:hAnsi="Arial"/>
              </w:rPr>
            </w:pPr>
            <w:r>
              <w:rPr>
                <w:rFonts w:ascii="Arial" w:hAnsi="Arial"/>
              </w:rPr>
              <w:t>&lt; 15 mph</w:t>
            </w:r>
          </w:p>
        </w:tc>
        <w:tc>
          <w:tcPr>
            <w:tcW w:w="1024" w:type="dxa"/>
            <w:vAlign w:val="center"/>
          </w:tcPr>
          <w:p w14:paraId="338AF594" w14:textId="77777777" w:rsidR="00C7478E" w:rsidRDefault="00C7478E" w:rsidP="005B46B9">
            <w:pPr>
              <w:jc w:val="center"/>
              <w:rPr>
                <w:rFonts w:ascii="Arial" w:hAnsi="Arial"/>
              </w:rPr>
            </w:pPr>
            <w:r>
              <w:rPr>
                <w:rFonts w:ascii="Arial" w:hAnsi="Arial"/>
              </w:rPr>
              <w:t>64</w:t>
            </w:r>
            <w:r w:rsidR="00CE3E36">
              <w:rPr>
                <w:rFonts w:ascii="Arial" w:hAnsi="Arial"/>
              </w:rPr>
              <w:t>S</w:t>
            </w:r>
            <w:r>
              <w:rPr>
                <w:rFonts w:ascii="Arial" w:hAnsi="Arial"/>
              </w:rPr>
              <w:t>-22</w:t>
            </w:r>
          </w:p>
        </w:tc>
        <w:tc>
          <w:tcPr>
            <w:tcW w:w="902" w:type="dxa"/>
            <w:vAlign w:val="center"/>
          </w:tcPr>
          <w:p w14:paraId="74FBFD36" w14:textId="77777777" w:rsidR="00C7478E" w:rsidRDefault="00CE3E36" w:rsidP="005B46B9">
            <w:pPr>
              <w:jc w:val="center"/>
              <w:rPr>
                <w:rFonts w:ascii="Arial" w:hAnsi="Arial"/>
              </w:rPr>
            </w:pPr>
            <w:r>
              <w:rPr>
                <w:rFonts w:ascii="Arial" w:hAnsi="Arial"/>
              </w:rPr>
              <w:t>64E</w:t>
            </w:r>
            <w:r w:rsidR="00C7478E">
              <w:rPr>
                <w:rFonts w:ascii="Arial" w:hAnsi="Arial"/>
              </w:rPr>
              <w:t>-22</w:t>
            </w:r>
          </w:p>
        </w:tc>
        <w:tc>
          <w:tcPr>
            <w:tcW w:w="1264" w:type="dxa"/>
            <w:vAlign w:val="center"/>
          </w:tcPr>
          <w:p w14:paraId="022E07A4" w14:textId="77777777" w:rsidR="00C7478E" w:rsidRDefault="00CE3E36" w:rsidP="005B46B9">
            <w:pPr>
              <w:jc w:val="center"/>
              <w:rPr>
                <w:rFonts w:ascii="Arial" w:hAnsi="Arial"/>
              </w:rPr>
            </w:pPr>
            <w:r>
              <w:rPr>
                <w:rFonts w:ascii="Arial" w:hAnsi="Arial"/>
              </w:rPr>
              <w:t>64E-22</w:t>
            </w:r>
          </w:p>
        </w:tc>
        <w:tc>
          <w:tcPr>
            <w:tcW w:w="1080" w:type="dxa"/>
            <w:vAlign w:val="center"/>
          </w:tcPr>
          <w:p w14:paraId="3AE7DE58" w14:textId="77777777" w:rsidR="00C7478E" w:rsidRDefault="00CE3E36" w:rsidP="005B46B9">
            <w:pPr>
              <w:jc w:val="center"/>
              <w:rPr>
                <w:rFonts w:ascii="Arial" w:hAnsi="Arial"/>
              </w:rPr>
            </w:pPr>
            <w:r>
              <w:rPr>
                <w:rFonts w:ascii="Arial" w:hAnsi="Arial"/>
              </w:rPr>
              <w:t>64E-22</w:t>
            </w:r>
          </w:p>
        </w:tc>
        <w:tc>
          <w:tcPr>
            <w:tcW w:w="983" w:type="dxa"/>
            <w:vAlign w:val="center"/>
          </w:tcPr>
          <w:p w14:paraId="6C499F8C" w14:textId="77777777" w:rsidR="00C7478E" w:rsidRDefault="00CE3E36" w:rsidP="005B46B9">
            <w:pPr>
              <w:jc w:val="center"/>
              <w:rPr>
                <w:rFonts w:ascii="Arial" w:hAnsi="Arial"/>
              </w:rPr>
            </w:pPr>
            <w:r>
              <w:rPr>
                <w:rFonts w:ascii="Arial" w:hAnsi="Arial"/>
              </w:rPr>
              <w:t>64E-22</w:t>
            </w:r>
          </w:p>
        </w:tc>
        <w:tc>
          <w:tcPr>
            <w:tcW w:w="1109" w:type="dxa"/>
            <w:vAlign w:val="center"/>
          </w:tcPr>
          <w:p w14:paraId="5F7ABCF0" w14:textId="77777777" w:rsidR="00C7478E" w:rsidRDefault="00CE3E36" w:rsidP="005B46B9">
            <w:pPr>
              <w:jc w:val="center"/>
              <w:rPr>
                <w:rFonts w:ascii="Arial" w:hAnsi="Arial"/>
              </w:rPr>
            </w:pPr>
            <w:r>
              <w:rPr>
                <w:rFonts w:ascii="Arial" w:hAnsi="Arial"/>
              </w:rPr>
              <w:t>64E-22</w:t>
            </w:r>
          </w:p>
        </w:tc>
      </w:tr>
      <w:tr w:rsidR="00C7478E" w14:paraId="2D57E3A3" w14:textId="77777777" w:rsidTr="005B46B9">
        <w:trPr>
          <w:cantSplit/>
          <w:trHeight w:val="288"/>
          <w:jc w:val="center"/>
        </w:trPr>
        <w:tc>
          <w:tcPr>
            <w:tcW w:w="1485" w:type="dxa"/>
            <w:shd w:val="pct15" w:color="auto" w:fill="FFFFFF"/>
            <w:vAlign w:val="center"/>
          </w:tcPr>
          <w:p w14:paraId="13556314" w14:textId="77777777" w:rsidR="00C7478E" w:rsidRDefault="00C7478E" w:rsidP="005B46B9">
            <w:pPr>
              <w:jc w:val="center"/>
              <w:rPr>
                <w:rFonts w:ascii="Arial" w:hAnsi="Arial"/>
              </w:rPr>
            </w:pPr>
            <w:r>
              <w:rPr>
                <w:rFonts w:ascii="Arial" w:hAnsi="Arial"/>
              </w:rPr>
              <w:t>12 to 45 mph</w:t>
            </w:r>
          </w:p>
        </w:tc>
        <w:tc>
          <w:tcPr>
            <w:tcW w:w="1024" w:type="dxa"/>
            <w:vAlign w:val="center"/>
          </w:tcPr>
          <w:p w14:paraId="4DC6BEDF" w14:textId="77777777" w:rsidR="00C7478E" w:rsidRDefault="00C7478E" w:rsidP="005B46B9">
            <w:pPr>
              <w:jc w:val="center"/>
              <w:rPr>
                <w:rFonts w:ascii="Arial" w:hAnsi="Arial"/>
              </w:rPr>
            </w:pPr>
            <w:r>
              <w:rPr>
                <w:rFonts w:ascii="Arial" w:hAnsi="Arial"/>
              </w:rPr>
              <w:t>64</w:t>
            </w:r>
            <w:r w:rsidR="00CE3E36">
              <w:rPr>
                <w:rFonts w:ascii="Arial" w:hAnsi="Arial"/>
              </w:rPr>
              <w:t>S</w:t>
            </w:r>
            <w:r>
              <w:rPr>
                <w:rFonts w:ascii="Arial" w:hAnsi="Arial"/>
              </w:rPr>
              <w:t>-22</w:t>
            </w:r>
          </w:p>
        </w:tc>
        <w:tc>
          <w:tcPr>
            <w:tcW w:w="902" w:type="dxa"/>
            <w:vAlign w:val="center"/>
          </w:tcPr>
          <w:p w14:paraId="5C95623A" w14:textId="77777777" w:rsidR="00C7478E" w:rsidRDefault="00C7478E" w:rsidP="005B46B9">
            <w:pPr>
              <w:jc w:val="center"/>
              <w:rPr>
                <w:rFonts w:ascii="Arial" w:hAnsi="Arial"/>
              </w:rPr>
            </w:pPr>
            <w:r>
              <w:rPr>
                <w:rFonts w:ascii="Arial" w:hAnsi="Arial"/>
              </w:rPr>
              <w:t>64</w:t>
            </w:r>
            <w:r w:rsidR="00CE3E36">
              <w:rPr>
                <w:rFonts w:ascii="Arial" w:hAnsi="Arial"/>
              </w:rPr>
              <w:t>S</w:t>
            </w:r>
            <w:r>
              <w:rPr>
                <w:rFonts w:ascii="Arial" w:hAnsi="Arial"/>
              </w:rPr>
              <w:t>-22</w:t>
            </w:r>
          </w:p>
        </w:tc>
        <w:tc>
          <w:tcPr>
            <w:tcW w:w="1264" w:type="dxa"/>
            <w:vAlign w:val="center"/>
          </w:tcPr>
          <w:p w14:paraId="69E63684" w14:textId="77777777" w:rsidR="00C7478E" w:rsidRDefault="00C7478E" w:rsidP="005B46B9">
            <w:pPr>
              <w:jc w:val="center"/>
              <w:rPr>
                <w:rFonts w:ascii="Arial" w:hAnsi="Arial"/>
              </w:rPr>
            </w:pPr>
            <w:r>
              <w:rPr>
                <w:rFonts w:ascii="Arial" w:hAnsi="Arial"/>
              </w:rPr>
              <w:t>64</w:t>
            </w:r>
            <w:r w:rsidR="00CE3E36">
              <w:rPr>
                <w:rFonts w:ascii="Arial" w:hAnsi="Arial"/>
              </w:rPr>
              <w:t>S</w:t>
            </w:r>
            <w:r>
              <w:rPr>
                <w:rFonts w:ascii="Arial" w:hAnsi="Arial"/>
              </w:rPr>
              <w:t>-22</w:t>
            </w:r>
          </w:p>
        </w:tc>
        <w:tc>
          <w:tcPr>
            <w:tcW w:w="1080" w:type="dxa"/>
            <w:vAlign w:val="center"/>
          </w:tcPr>
          <w:p w14:paraId="3FC651ED" w14:textId="77777777" w:rsidR="00C7478E" w:rsidRDefault="00CE3E36" w:rsidP="005B46B9">
            <w:pPr>
              <w:jc w:val="center"/>
              <w:rPr>
                <w:rFonts w:ascii="Arial" w:hAnsi="Arial"/>
              </w:rPr>
            </w:pPr>
            <w:r>
              <w:rPr>
                <w:rFonts w:ascii="Arial" w:hAnsi="Arial"/>
              </w:rPr>
              <w:t>64E-22</w:t>
            </w:r>
          </w:p>
        </w:tc>
        <w:tc>
          <w:tcPr>
            <w:tcW w:w="983" w:type="dxa"/>
            <w:vAlign w:val="center"/>
          </w:tcPr>
          <w:p w14:paraId="3641C11F" w14:textId="77777777" w:rsidR="00C7478E" w:rsidRDefault="00CE3E36" w:rsidP="005B46B9">
            <w:pPr>
              <w:jc w:val="center"/>
              <w:rPr>
                <w:rFonts w:ascii="Arial" w:hAnsi="Arial"/>
              </w:rPr>
            </w:pPr>
            <w:r>
              <w:rPr>
                <w:rFonts w:ascii="Arial" w:hAnsi="Arial"/>
              </w:rPr>
              <w:t>64E-22</w:t>
            </w:r>
          </w:p>
        </w:tc>
        <w:tc>
          <w:tcPr>
            <w:tcW w:w="1109" w:type="dxa"/>
            <w:vAlign w:val="center"/>
          </w:tcPr>
          <w:p w14:paraId="139A9BCE" w14:textId="77777777" w:rsidR="00C7478E" w:rsidRDefault="00CE3E36" w:rsidP="005B46B9">
            <w:pPr>
              <w:jc w:val="center"/>
              <w:rPr>
                <w:rFonts w:ascii="Arial" w:hAnsi="Arial"/>
              </w:rPr>
            </w:pPr>
            <w:r>
              <w:rPr>
                <w:rFonts w:ascii="Arial" w:hAnsi="Arial"/>
              </w:rPr>
              <w:t>64E-22</w:t>
            </w:r>
          </w:p>
        </w:tc>
      </w:tr>
      <w:tr w:rsidR="00C7478E" w14:paraId="107ACB79" w14:textId="77777777" w:rsidTr="005B46B9">
        <w:trPr>
          <w:cantSplit/>
          <w:trHeight w:val="288"/>
          <w:jc w:val="center"/>
        </w:trPr>
        <w:tc>
          <w:tcPr>
            <w:tcW w:w="1485" w:type="dxa"/>
            <w:shd w:val="pct15" w:color="auto" w:fill="FFFFFF"/>
            <w:vAlign w:val="center"/>
          </w:tcPr>
          <w:p w14:paraId="1FC4A7BA" w14:textId="77777777" w:rsidR="00C7478E" w:rsidRPr="00C7478E" w:rsidRDefault="00C7478E" w:rsidP="005B46B9">
            <w:pPr>
              <w:jc w:val="center"/>
              <w:rPr>
                <w:rFonts w:ascii="Arial" w:hAnsi="Arial"/>
              </w:rPr>
            </w:pPr>
            <w:r w:rsidRPr="00C7478E">
              <w:rPr>
                <w:rFonts w:ascii="Arial" w:hAnsi="Arial"/>
              </w:rPr>
              <w:t>&gt;45 mph</w:t>
            </w:r>
          </w:p>
        </w:tc>
        <w:tc>
          <w:tcPr>
            <w:tcW w:w="1024" w:type="dxa"/>
            <w:vAlign w:val="center"/>
          </w:tcPr>
          <w:p w14:paraId="5663574C" w14:textId="77777777" w:rsidR="00C7478E" w:rsidRDefault="00C7478E" w:rsidP="005B46B9">
            <w:pPr>
              <w:jc w:val="center"/>
              <w:rPr>
                <w:rFonts w:ascii="Arial" w:hAnsi="Arial"/>
              </w:rPr>
            </w:pPr>
            <w:r>
              <w:rPr>
                <w:rFonts w:ascii="Arial" w:hAnsi="Arial"/>
              </w:rPr>
              <w:t>64</w:t>
            </w:r>
            <w:r w:rsidR="00CE3E36">
              <w:rPr>
                <w:rFonts w:ascii="Arial" w:hAnsi="Arial"/>
              </w:rPr>
              <w:t>S</w:t>
            </w:r>
            <w:r>
              <w:rPr>
                <w:rFonts w:ascii="Arial" w:hAnsi="Arial"/>
              </w:rPr>
              <w:t>-22</w:t>
            </w:r>
          </w:p>
        </w:tc>
        <w:tc>
          <w:tcPr>
            <w:tcW w:w="902" w:type="dxa"/>
            <w:vAlign w:val="center"/>
          </w:tcPr>
          <w:p w14:paraId="3C18D873" w14:textId="77777777" w:rsidR="00C7478E" w:rsidRDefault="00D13DCC" w:rsidP="005B46B9">
            <w:pPr>
              <w:jc w:val="center"/>
              <w:rPr>
                <w:rFonts w:ascii="Arial" w:hAnsi="Arial"/>
              </w:rPr>
            </w:pPr>
            <w:r>
              <w:rPr>
                <w:rFonts w:ascii="Arial" w:hAnsi="Arial"/>
              </w:rPr>
              <w:t>64</w:t>
            </w:r>
            <w:r w:rsidR="00CE3E36">
              <w:rPr>
                <w:rFonts w:ascii="Arial" w:hAnsi="Arial"/>
              </w:rPr>
              <w:t>S</w:t>
            </w:r>
            <w:r w:rsidR="00C7478E">
              <w:rPr>
                <w:rFonts w:ascii="Arial" w:hAnsi="Arial"/>
              </w:rPr>
              <w:t>-22</w:t>
            </w:r>
          </w:p>
        </w:tc>
        <w:tc>
          <w:tcPr>
            <w:tcW w:w="1264" w:type="dxa"/>
            <w:vAlign w:val="center"/>
          </w:tcPr>
          <w:p w14:paraId="20348574" w14:textId="77777777" w:rsidR="00C7478E" w:rsidRDefault="00D13DCC" w:rsidP="005B46B9">
            <w:pPr>
              <w:jc w:val="center"/>
              <w:rPr>
                <w:rFonts w:ascii="Arial" w:hAnsi="Arial"/>
              </w:rPr>
            </w:pPr>
            <w:r>
              <w:rPr>
                <w:rFonts w:ascii="Arial" w:hAnsi="Arial"/>
              </w:rPr>
              <w:t>64</w:t>
            </w:r>
            <w:r w:rsidR="00CE3E36">
              <w:rPr>
                <w:rFonts w:ascii="Arial" w:hAnsi="Arial"/>
              </w:rPr>
              <w:t>S</w:t>
            </w:r>
            <w:r w:rsidR="00C7478E">
              <w:rPr>
                <w:rFonts w:ascii="Arial" w:hAnsi="Arial"/>
              </w:rPr>
              <w:t>-22</w:t>
            </w:r>
          </w:p>
        </w:tc>
        <w:tc>
          <w:tcPr>
            <w:tcW w:w="1080" w:type="dxa"/>
            <w:vAlign w:val="center"/>
          </w:tcPr>
          <w:p w14:paraId="19F0662B" w14:textId="77777777" w:rsidR="00C7478E" w:rsidRDefault="00CE3E36" w:rsidP="005B46B9">
            <w:pPr>
              <w:jc w:val="center"/>
              <w:rPr>
                <w:rFonts w:ascii="Arial" w:hAnsi="Arial"/>
              </w:rPr>
            </w:pPr>
            <w:r>
              <w:rPr>
                <w:rFonts w:ascii="Arial" w:hAnsi="Arial"/>
              </w:rPr>
              <w:t>64E-22</w:t>
            </w:r>
          </w:p>
        </w:tc>
        <w:tc>
          <w:tcPr>
            <w:tcW w:w="983" w:type="dxa"/>
            <w:vAlign w:val="center"/>
          </w:tcPr>
          <w:p w14:paraId="368C4DD9" w14:textId="77777777" w:rsidR="00C7478E" w:rsidRDefault="00D13DCC" w:rsidP="005B46B9">
            <w:pPr>
              <w:jc w:val="center"/>
              <w:rPr>
                <w:rFonts w:ascii="Arial" w:hAnsi="Arial"/>
              </w:rPr>
            </w:pPr>
            <w:r>
              <w:rPr>
                <w:rFonts w:ascii="Arial" w:hAnsi="Arial"/>
              </w:rPr>
              <w:t>64</w:t>
            </w:r>
            <w:r w:rsidR="00CE3E36">
              <w:rPr>
                <w:rFonts w:ascii="Arial" w:hAnsi="Arial"/>
              </w:rPr>
              <w:t>S</w:t>
            </w:r>
            <w:r w:rsidR="00C7478E">
              <w:rPr>
                <w:rFonts w:ascii="Arial" w:hAnsi="Arial"/>
              </w:rPr>
              <w:t>-22</w:t>
            </w:r>
          </w:p>
        </w:tc>
        <w:tc>
          <w:tcPr>
            <w:tcW w:w="1109" w:type="dxa"/>
            <w:vAlign w:val="center"/>
          </w:tcPr>
          <w:p w14:paraId="3F934996" w14:textId="77777777" w:rsidR="00C7478E" w:rsidRDefault="00CE3E36" w:rsidP="005B46B9">
            <w:pPr>
              <w:jc w:val="center"/>
              <w:rPr>
                <w:rFonts w:ascii="Arial" w:hAnsi="Arial"/>
              </w:rPr>
            </w:pPr>
            <w:r>
              <w:rPr>
                <w:rFonts w:ascii="Arial" w:hAnsi="Arial"/>
              </w:rPr>
              <w:t>64E-22</w:t>
            </w:r>
          </w:p>
        </w:tc>
      </w:tr>
    </w:tbl>
    <w:p w14:paraId="51DC9B7A" w14:textId="77777777" w:rsidR="00D316B0" w:rsidRDefault="00D316B0" w:rsidP="00BE3F24">
      <w:pPr>
        <w:pStyle w:val="BodyText"/>
        <w:spacing w:after="60"/>
        <w:jc w:val="both"/>
      </w:pPr>
    </w:p>
    <w:p w14:paraId="17456BD8" w14:textId="286FDFD5" w:rsidR="00D316B0" w:rsidRDefault="00D316B0" w:rsidP="00172E64">
      <w:pPr>
        <w:pStyle w:val="Heading4"/>
        <w:numPr>
          <w:ilvl w:val="3"/>
          <w:numId w:val="184"/>
        </w:numPr>
        <w:ind w:left="0" w:firstLine="0"/>
        <w:jc w:val="both"/>
      </w:pPr>
      <w:bookmarkStart w:id="417" w:name="_Traffic_Level_Selection"/>
      <w:bookmarkStart w:id="418" w:name="_Toc364322311"/>
      <w:bookmarkEnd w:id="417"/>
      <w:r>
        <w:t>Traffic Level Selection</w:t>
      </w:r>
      <w:bookmarkEnd w:id="418"/>
      <w:r>
        <w:t xml:space="preserve"> </w:t>
      </w:r>
    </w:p>
    <w:p w14:paraId="5D46ECBF" w14:textId="77777777" w:rsidR="0073075A" w:rsidRPr="008F604D" w:rsidRDefault="0073075A" w:rsidP="0073075A">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Traffic_Analysis" w:history="1">
        <w:r w:rsidRPr="0073075A">
          <w:rPr>
            <w:rStyle w:val="Hyperlink"/>
            <w:rFonts w:ascii="Arial" w:hAnsi="Arial" w:cs="Arial"/>
            <w:bCs/>
            <w:sz w:val="16"/>
            <w:szCs w:val="16"/>
          </w:rPr>
          <w:t>Traffic Analysis</w:t>
        </w:r>
      </w:hyperlink>
    </w:p>
    <w:p w14:paraId="04F54CD5" w14:textId="77777777" w:rsidR="0073075A" w:rsidRDefault="0073075A" w:rsidP="00BE3F24">
      <w:pPr>
        <w:pStyle w:val="BodyText"/>
        <w:spacing w:after="0"/>
        <w:jc w:val="both"/>
      </w:pPr>
    </w:p>
    <w:p w14:paraId="51913B01" w14:textId="45AA25A9" w:rsidR="00D316B0" w:rsidRDefault="00D316B0" w:rsidP="00BE3F24">
      <w:pPr>
        <w:pStyle w:val="BodyText"/>
        <w:spacing w:after="0"/>
        <w:jc w:val="both"/>
      </w:pPr>
      <w:r>
        <w:t>There are five traffic levels or compaction levels in the HMA Superpave mix design process.  The different traffic levels represent a specified number of gyrations in the gyratory compactor in HMA Superpave mix design.  From a practical and engineering standpoint, each traffic level indicates a</w:t>
      </w:r>
      <w:r w:rsidR="00BA12DF">
        <w:t>n</w:t>
      </w:r>
      <w:r>
        <w:t xml:space="preserve"> HMA designed for a certain volume and type of traffic loading.  The selections of the traffic level for Superpave mix designs are based on the cumulative 20-year design ESAL from traffic analysis.  The category code system is established with every Superpave traffic level; it is broken into five levels: 1, 2, 3, 4 &amp; 5.  </w:t>
      </w:r>
      <w:r w:rsidR="00C7478E">
        <w:t xml:space="preserve">However, </w:t>
      </w:r>
      <w:r w:rsidR="002C0DA2">
        <w:t>based on several years</w:t>
      </w:r>
      <w:r w:rsidR="006C7C93">
        <w:t>’</w:t>
      </w:r>
      <w:r w:rsidR="002C0DA2">
        <w:t xml:space="preserve"> performance, MDOT-SHA</w:t>
      </w:r>
      <w:r w:rsidR="00C7478E">
        <w:t xml:space="preserve"> has elected to eliminate </w:t>
      </w:r>
      <w:r w:rsidR="00BA12DF">
        <w:t>L</w:t>
      </w:r>
      <w:r w:rsidR="00C7478E">
        <w:t>evels 3</w:t>
      </w:r>
      <w:r w:rsidR="002C0DA2">
        <w:t>, 4,</w:t>
      </w:r>
      <w:r w:rsidR="00C7478E">
        <w:t xml:space="preserve"> and 5.  Anything that would have been </w:t>
      </w:r>
      <w:r w:rsidR="00BA12DF">
        <w:t>L</w:t>
      </w:r>
      <w:r w:rsidR="00C7478E">
        <w:t>evel 3</w:t>
      </w:r>
      <w:r w:rsidR="002C0DA2">
        <w:t>-</w:t>
      </w:r>
      <w:r w:rsidR="00C7478E">
        <w:t xml:space="preserve"> is changed to </w:t>
      </w:r>
      <w:r w:rsidR="00BA12DF">
        <w:t>L</w:t>
      </w:r>
      <w:r w:rsidR="00C7478E">
        <w:t xml:space="preserve">evel 2 or 4, and anything requiring </w:t>
      </w:r>
      <w:r w:rsidR="00BA12DF">
        <w:t>L</w:t>
      </w:r>
      <w:r w:rsidR="00C7478E">
        <w:t xml:space="preserve">evel 5 is changed to </w:t>
      </w:r>
      <w:r w:rsidR="00BA12DF">
        <w:t>L</w:t>
      </w:r>
      <w:r w:rsidR="00C7478E">
        <w:t>evel 4.</w:t>
      </w:r>
    </w:p>
    <w:p w14:paraId="4B9174F9" w14:textId="77777777" w:rsidR="00D316B0" w:rsidRDefault="00D316B0" w:rsidP="00BE3F24">
      <w:pPr>
        <w:pStyle w:val="BodyText"/>
        <w:spacing w:after="0"/>
        <w:jc w:val="both"/>
      </w:pPr>
    </w:p>
    <w:p w14:paraId="2641459B" w14:textId="2B738FED" w:rsidR="00D316B0" w:rsidRDefault="00D316B0" w:rsidP="00BE3F24">
      <w:pPr>
        <w:pStyle w:val="BodyText"/>
        <w:spacing w:after="0"/>
        <w:jc w:val="both"/>
      </w:pPr>
      <w:r>
        <w:t xml:space="preserve">Traffic-level selection impacts the </w:t>
      </w:r>
      <w:r w:rsidR="002C0DA2">
        <w:t>mix volumetrics and</w:t>
      </w:r>
      <w:r>
        <w:t xml:space="preserve"> amount of liquid asphalt in an HMA mix.  More liquid asphalt can be included in HMA as you decrease the selection of traffic level (the lower the traffic level, the more liquid asphalt is in the mix).  The ability to achieve density and provide a good workable HMA mix </w:t>
      </w:r>
      <w:r w:rsidR="00BA12DF">
        <w:t xml:space="preserve">are </w:t>
      </w:r>
      <w:r>
        <w:t xml:space="preserve">greatly influenced by the asphalt content in an HMA mix.  For long-term durability performance, it is desired to have an </w:t>
      </w:r>
      <w:r>
        <w:lastRenderedPageBreak/>
        <w:t xml:space="preserve">optimum amount of liquid asphalt in the HMA mix.  These ideas and concepts need to be considered carefully in the traffic level selection process for an HMA mix. </w:t>
      </w:r>
    </w:p>
    <w:p w14:paraId="31181A49" w14:textId="77777777" w:rsidR="00D316B0" w:rsidRDefault="00D316B0" w:rsidP="00BE3F24">
      <w:pPr>
        <w:pStyle w:val="BodyText"/>
        <w:spacing w:after="0"/>
        <w:jc w:val="both"/>
      </w:pPr>
    </w:p>
    <w:p w14:paraId="04B5273C" w14:textId="0E1832C7" w:rsidR="00D316B0" w:rsidRDefault="00D316B0" w:rsidP="00BE3F24">
      <w:pPr>
        <w:pStyle w:val="BodyText"/>
        <w:spacing w:after="0"/>
        <w:jc w:val="both"/>
      </w:pPr>
      <w:r>
        <w:t xml:space="preserve">The traffic level selection criterion has been altered in an effort to develop a list of preferred HMA mixes to be used on the majority of </w:t>
      </w:r>
      <w:r w:rsidR="008C7023">
        <w:t>MDOT-SHA</w:t>
      </w:r>
      <w:r>
        <w:t xml:space="preserve"> sections.  The details of the traffic level section process and policies for preferred mixes are documented in</w:t>
      </w:r>
      <w:r w:rsidR="00A027B4">
        <w:t xml:space="preserve"> </w:t>
      </w:r>
      <w:hyperlink w:anchor="_List_of_Preferred" w:history="1">
        <w:r w:rsidR="00A027B4" w:rsidRPr="00A027B4">
          <w:rPr>
            <w:rStyle w:val="Hyperlink"/>
          </w:rPr>
          <w:t>List of Preferred HMA Mixes</w:t>
        </w:r>
      </w:hyperlink>
      <w:r>
        <w:t xml:space="preserve">. </w:t>
      </w:r>
    </w:p>
    <w:p w14:paraId="34AECB91" w14:textId="77777777" w:rsidR="00D316B0" w:rsidRDefault="00D316B0" w:rsidP="00BE3F24">
      <w:pPr>
        <w:pStyle w:val="BodyText"/>
        <w:spacing w:after="0"/>
        <w:jc w:val="both"/>
      </w:pPr>
    </w:p>
    <w:p w14:paraId="30C437F1" w14:textId="77777777" w:rsidR="00D316B0" w:rsidRDefault="00D316B0" w:rsidP="00BE3F24">
      <w:pPr>
        <w:pStyle w:val="BodyText"/>
        <w:spacing w:after="0"/>
        <w:jc w:val="both"/>
      </w:pPr>
      <w:r>
        <w:t>The Superpave mix design traffic level is determined by 20-year cumulative ESAL as seen in the following table:</w:t>
      </w:r>
    </w:p>
    <w:p w14:paraId="72A2F037" w14:textId="77777777" w:rsidR="00D316B0" w:rsidRDefault="00D316B0" w:rsidP="00BE3F24">
      <w:pPr>
        <w:jc w:val="both"/>
        <w:rPr>
          <w:rFonts w:ascii="Arial" w:hAnsi="Arial"/>
        </w:rPr>
      </w:pPr>
    </w:p>
    <w:p w14:paraId="57C6E201" w14:textId="77777777" w:rsidR="00D316B0" w:rsidRDefault="00D316B0" w:rsidP="00BE3F24">
      <w:pPr>
        <w:jc w:val="both"/>
        <w:rPr>
          <w:rFonts w:ascii="Arial" w:hAnsi="Arial"/>
        </w:rPr>
      </w:pP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83"/>
        <w:gridCol w:w="1232"/>
        <w:gridCol w:w="900"/>
        <w:gridCol w:w="900"/>
        <w:gridCol w:w="810"/>
        <w:gridCol w:w="3510"/>
      </w:tblGrid>
      <w:tr w:rsidR="00D316B0" w14:paraId="7983E19E" w14:textId="77777777" w:rsidTr="005B46B9">
        <w:trPr>
          <w:gridBefore w:val="2"/>
          <w:gridAfter w:val="1"/>
          <w:wBefore w:w="2515" w:type="dxa"/>
          <w:wAfter w:w="3510" w:type="dxa"/>
          <w:tblHeader/>
          <w:jc w:val="center"/>
        </w:trPr>
        <w:tc>
          <w:tcPr>
            <w:tcW w:w="2610" w:type="dxa"/>
            <w:gridSpan w:val="3"/>
            <w:shd w:val="pct15" w:color="auto" w:fill="FFFFFF"/>
          </w:tcPr>
          <w:p w14:paraId="735AB2A2" w14:textId="77777777" w:rsidR="00D316B0" w:rsidRDefault="00D316B0" w:rsidP="00AA4342">
            <w:pPr>
              <w:jc w:val="both"/>
              <w:rPr>
                <w:rFonts w:ascii="Arial" w:hAnsi="Arial"/>
                <w:b/>
              </w:rPr>
            </w:pPr>
            <w:r>
              <w:rPr>
                <w:rFonts w:ascii="Arial" w:hAnsi="Arial"/>
                <w:b/>
              </w:rPr>
              <w:t xml:space="preserve">Compaction </w:t>
            </w:r>
            <w:r w:rsidR="00AA4342">
              <w:rPr>
                <w:rFonts w:ascii="Arial" w:hAnsi="Arial"/>
                <w:b/>
              </w:rPr>
              <w:t>P</w:t>
            </w:r>
            <w:r>
              <w:rPr>
                <w:rFonts w:ascii="Arial" w:hAnsi="Arial"/>
                <w:b/>
              </w:rPr>
              <w:t>arameters</w:t>
            </w:r>
          </w:p>
        </w:tc>
      </w:tr>
      <w:tr w:rsidR="00115674" w14:paraId="2B09E246" w14:textId="77777777" w:rsidTr="00BA12DF">
        <w:trPr>
          <w:tblHeader/>
          <w:jc w:val="center"/>
        </w:trPr>
        <w:tc>
          <w:tcPr>
            <w:tcW w:w="1283" w:type="dxa"/>
            <w:shd w:val="pct15" w:color="auto" w:fill="FFFFFF"/>
            <w:vAlign w:val="center"/>
          </w:tcPr>
          <w:p w14:paraId="53735279" w14:textId="77777777" w:rsidR="00D316B0" w:rsidRPr="005B46B9" w:rsidRDefault="00D316B0" w:rsidP="005B46B9">
            <w:pPr>
              <w:jc w:val="center"/>
              <w:rPr>
                <w:rFonts w:ascii="Arial" w:hAnsi="Arial"/>
                <w:b/>
                <w:sz w:val="18"/>
              </w:rPr>
            </w:pPr>
            <w:r w:rsidRPr="005B46B9">
              <w:rPr>
                <w:rFonts w:ascii="Arial" w:hAnsi="Arial"/>
                <w:b/>
                <w:sz w:val="18"/>
              </w:rPr>
              <w:t>Compaction Level</w:t>
            </w:r>
          </w:p>
        </w:tc>
        <w:tc>
          <w:tcPr>
            <w:tcW w:w="1232" w:type="dxa"/>
            <w:shd w:val="pct15" w:color="auto" w:fill="FFFFFF"/>
            <w:vAlign w:val="center"/>
          </w:tcPr>
          <w:p w14:paraId="0A2FD157" w14:textId="77777777" w:rsidR="00D316B0" w:rsidRPr="005B46B9" w:rsidRDefault="00D316B0" w:rsidP="005B46B9">
            <w:pPr>
              <w:jc w:val="center"/>
              <w:rPr>
                <w:rFonts w:ascii="Arial" w:hAnsi="Arial"/>
                <w:b/>
                <w:sz w:val="18"/>
              </w:rPr>
            </w:pPr>
            <w:r w:rsidRPr="005B46B9">
              <w:rPr>
                <w:rFonts w:ascii="Arial" w:hAnsi="Arial"/>
                <w:b/>
                <w:sz w:val="18"/>
              </w:rPr>
              <w:t>Design ESALs</w:t>
            </w:r>
            <w:r w:rsidRPr="005B46B9">
              <w:rPr>
                <w:rFonts w:ascii="Arial" w:hAnsi="Arial"/>
                <w:b/>
                <w:sz w:val="18"/>
                <w:vertAlign w:val="superscript"/>
              </w:rPr>
              <w:t>1</w:t>
            </w:r>
            <w:r w:rsidRPr="005B46B9">
              <w:rPr>
                <w:rFonts w:ascii="Arial" w:hAnsi="Arial"/>
                <w:b/>
                <w:sz w:val="18"/>
              </w:rPr>
              <w:t xml:space="preserve"> (Millions)</w:t>
            </w:r>
          </w:p>
        </w:tc>
        <w:tc>
          <w:tcPr>
            <w:tcW w:w="900" w:type="dxa"/>
            <w:shd w:val="pct15" w:color="auto" w:fill="FFFFFF"/>
            <w:vAlign w:val="center"/>
          </w:tcPr>
          <w:p w14:paraId="677EA0DD" w14:textId="77777777" w:rsidR="00D316B0" w:rsidRPr="005B46B9" w:rsidRDefault="00D316B0" w:rsidP="005B46B9">
            <w:pPr>
              <w:jc w:val="center"/>
              <w:rPr>
                <w:rFonts w:ascii="Arial" w:hAnsi="Arial"/>
                <w:b/>
                <w:sz w:val="18"/>
              </w:rPr>
            </w:pPr>
            <w:r w:rsidRPr="005B46B9">
              <w:rPr>
                <w:rFonts w:ascii="Arial" w:hAnsi="Arial"/>
                <w:b/>
                <w:sz w:val="18"/>
              </w:rPr>
              <w:t>N</w:t>
            </w:r>
            <w:r w:rsidRPr="005B46B9">
              <w:rPr>
                <w:rFonts w:ascii="Arial" w:hAnsi="Arial"/>
                <w:b/>
                <w:sz w:val="18"/>
                <w:vertAlign w:val="subscript"/>
              </w:rPr>
              <w:t>initial</w:t>
            </w:r>
          </w:p>
        </w:tc>
        <w:tc>
          <w:tcPr>
            <w:tcW w:w="900" w:type="dxa"/>
            <w:shd w:val="pct15" w:color="auto" w:fill="FFFFFF"/>
            <w:vAlign w:val="center"/>
          </w:tcPr>
          <w:p w14:paraId="7FEE2934" w14:textId="77777777" w:rsidR="00D316B0" w:rsidRPr="005B46B9" w:rsidRDefault="00D316B0" w:rsidP="005B46B9">
            <w:pPr>
              <w:jc w:val="center"/>
              <w:rPr>
                <w:rFonts w:ascii="Arial" w:hAnsi="Arial"/>
                <w:b/>
                <w:sz w:val="18"/>
              </w:rPr>
            </w:pPr>
            <w:r w:rsidRPr="005B46B9">
              <w:rPr>
                <w:rFonts w:ascii="Arial" w:hAnsi="Arial"/>
                <w:b/>
                <w:sz w:val="18"/>
              </w:rPr>
              <w:t>N</w:t>
            </w:r>
            <w:r w:rsidRPr="005B46B9">
              <w:rPr>
                <w:rFonts w:ascii="Arial" w:hAnsi="Arial"/>
                <w:b/>
                <w:sz w:val="18"/>
                <w:vertAlign w:val="subscript"/>
              </w:rPr>
              <w:t>design</w:t>
            </w:r>
          </w:p>
        </w:tc>
        <w:tc>
          <w:tcPr>
            <w:tcW w:w="810" w:type="dxa"/>
            <w:shd w:val="pct15" w:color="auto" w:fill="FFFFFF"/>
            <w:vAlign w:val="center"/>
          </w:tcPr>
          <w:p w14:paraId="6EAFB7CF" w14:textId="77777777" w:rsidR="00D316B0" w:rsidRPr="005B46B9" w:rsidRDefault="00D316B0" w:rsidP="005B46B9">
            <w:pPr>
              <w:jc w:val="center"/>
              <w:rPr>
                <w:rFonts w:ascii="Arial" w:hAnsi="Arial"/>
                <w:b/>
                <w:sz w:val="18"/>
              </w:rPr>
            </w:pPr>
            <w:r w:rsidRPr="005B46B9">
              <w:rPr>
                <w:rFonts w:ascii="Arial" w:hAnsi="Arial"/>
                <w:b/>
                <w:sz w:val="18"/>
              </w:rPr>
              <w:t>N</w:t>
            </w:r>
            <w:r w:rsidRPr="005B46B9">
              <w:rPr>
                <w:rFonts w:ascii="Arial" w:hAnsi="Arial"/>
                <w:b/>
                <w:sz w:val="18"/>
                <w:vertAlign w:val="subscript"/>
              </w:rPr>
              <w:t>max</w:t>
            </w:r>
          </w:p>
        </w:tc>
        <w:tc>
          <w:tcPr>
            <w:tcW w:w="3510" w:type="dxa"/>
            <w:shd w:val="pct15" w:color="auto" w:fill="FFFFFF"/>
            <w:vAlign w:val="center"/>
          </w:tcPr>
          <w:p w14:paraId="662B6D38" w14:textId="03D9231F" w:rsidR="00D316B0" w:rsidRPr="005B46B9" w:rsidRDefault="00D316B0" w:rsidP="005B46B9">
            <w:pPr>
              <w:jc w:val="center"/>
              <w:rPr>
                <w:rFonts w:ascii="Arial" w:hAnsi="Arial"/>
                <w:b/>
                <w:sz w:val="18"/>
              </w:rPr>
            </w:pPr>
            <w:r>
              <w:rPr>
                <w:rFonts w:ascii="Arial" w:hAnsi="Arial"/>
                <w:b/>
              </w:rPr>
              <w:t xml:space="preserve">    </w:t>
            </w:r>
            <w:r w:rsidRPr="005B46B9">
              <w:rPr>
                <w:rFonts w:ascii="Arial" w:hAnsi="Arial"/>
                <w:b/>
                <w:sz w:val="18"/>
              </w:rPr>
              <w:t xml:space="preserve">Typical Roadway Application </w:t>
            </w:r>
            <w:r w:rsidRPr="005B46B9">
              <w:rPr>
                <w:rFonts w:ascii="Arial" w:hAnsi="Arial"/>
                <w:b/>
                <w:sz w:val="18"/>
                <w:vertAlign w:val="superscript"/>
              </w:rPr>
              <w:t>2</w:t>
            </w:r>
          </w:p>
        </w:tc>
      </w:tr>
      <w:tr w:rsidR="00D316B0" w14:paraId="6EBC0DB2" w14:textId="77777777" w:rsidTr="005B46B9">
        <w:trPr>
          <w:jc w:val="center"/>
        </w:trPr>
        <w:tc>
          <w:tcPr>
            <w:tcW w:w="1283" w:type="dxa"/>
            <w:vAlign w:val="center"/>
          </w:tcPr>
          <w:p w14:paraId="353A649B" w14:textId="77777777" w:rsidR="00D316B0" w:rsidRPr="005B46B9" w:rsidRDefault="00D316B0" w:rsidP="005B46B9">
            <w:pPr>
              <w:jc w:val="center"/>
              <w:rPr>
                <w:rFonts w:ascii="Arial" w:hAnsi="Arial"/>
                <w:sz w:val="18"/>
              </w:rPr>
            </w:pPr>
            <w:r w:rsidRPr="005B46B9">
              <w:rPr>
                <w:rFonts w:ascii="Arial" w:hAnsi="Arial"/>
                <w:sz w:val="18"/>
              </w:rPr>
              <w:t>1</w:t>
            </w:r>
          </w:p>
        </w:tc>
        <w:tc>
          <w:tcPr>
            <w:tcW w:w="1232" w:type="dxa"/>
            <w:vAlign w:val="center"/>
          </w:tcPr>
          <w:p w14:paraId="1C326B99" w14:textId="77777777" w:rsidR="00D316B0" w:rsidRPr="005B46B9" w:rsidRDefault="00D316B0" w:rsidP="005B46B9">
            <w:pPr>
              <w:jc w:val="center"/>
              <w:rPr>
                <w:rFonts w:ascii="Arial" w:hAnsi="Arial"/>
                <w:sz w:val="18"/>
                <w:vertAlign w:val="subscript"/>
              </w:rPr>
            </w:pPr>
            <w:r w:rsidRPr="005B46B9">
              <w:rPr>
                <w:rFonts w:ascii="Arial" w:hAnsi="Arial"/>
                <w:sz w:val="18"/>
              </w:rPr>
              <w:t>&lt; 0.3</w:t>
            </w:r>
          </w:p>
        </w:tc>
        <w:tc>
          <w:tcPr>
            <w:tcW w:w="900" w:type="dxa"/>
            <w:vAlign w:val="center"/>
          </w:tcPr>
          <w:p w14:paraId="55568587" w14:textId="77777777" w:rsidR="00D316B0" w:rsidRPr="005B46B9" w:rsidRDefault="00D316B0" w:rsidP="005B46B9">
            <w:pPr>
              <w:jc w:val="center"/>
              <w:rPr>
                <w:rFonts w:ascii="Arial" w:hAnsi="Arial"/>
                <w:sz w:val="18"/>
              </w:rPr>
            </w:pPr>
            <w:r w:rsidRPr="005B46B9">
              <w:rPr>
                <w:rFonts w:ascii="Arial" w:hAnsi="Arial"/>
                <w:sz w:val="18"/>
              </w:rPr>
              <w:t>6</w:t>
            </w:r>
          </w:p>
        </w:tc>
        <w:tc>
          <w:tcPr>
            <w:tcW w:w="900" w:type="dxa"/>
            <w:vAlign w:val="center"/>
          </w:tcPr>
          <w:p w14:paraId="734D67AD" w14:textId="77777777" w:rsidR="00D316B0" w:rsidRPr="005B46B9" w:rsidRDefault="00D316B0" w:rsidP="005B46B9">
            <w:pPr>
              <w:jc w:val="center"/>
              <w:rPr>
                <w:rFonts w:ascii="Arial" w:hAnsi="Arial"/>
                <w:sz w:val="18"/>
              </w:rPr>
            </w:pPr>
            <w:r w:rsidRPr="005B46B9">
              <w:rPr>
                <w:rFonts w:ascii="Arial" w:hAnsi="Arial"/>
                <w:sz w:val="18"/>
              </w:rPr>
              <w:t>50</w:t>
            </w:r>
          </w:p>
        </w:tc>
        <w:tc>
          <w:tcPr>
            <w:tcW w:w="810" w:type="dxa"/>
            <w:vAlign w:val="center"/>
          </w:tcPr>
          <w:p w14:paraId="7B8F5DAB" w14:textId="77777777" w:rsidR="00D316B0" w:rsidRPr="005B46B9" w:rsidRDefault="00D316B0" w:rsidP="005B46B9">
            <w:pPr>
              <w:jc w:val="center"/>
              <w:rPr>
                <w:rFonts w:ascii="Arial" w:hAnsi="Arial"/>
                <w:sz w:val="18"/>
              </w:rPr>
            </w:pPr>
            <w:r w:rsidRPr="005B46B9">
              <w:rPr>
                <w:rFonts w:ascii="Arial" w:hAnsi="Arial"/>
                <w:sz w:val="18"/>
              </w:rPr>
              <w:t>75</w:t>
            </w:r>
          </w:p>
        </w:tc>
        <w:tc>
          <w:tcPr>
            <w:tcW w:w="3510" w:type="dxa"/>
          </w:tcPr>
          <w:p w14:paraId="460952D8" w14:textId="194023CE" w:rsidR="00D316B0" w:rsidRPr="00BA12DF" w:rsidRDefault="00D316B0" w:rsidP="005B46B9">
            <w:pPr>
              <w:rPr>
                <w:rFonts w:ascii="Arial" w:hAnsi="Arial"/>
                <w:sz w:val="18"/>
                <w:szCs w:val="18"/>
              </w:rPr>
            </w:pPr>
            <w:r w:rsidRPr="00BA12DF">
              <w:rPr>
                <w:rFonts w:ascii="Arial" w:hAnsi="Arial"/>
                <w:sz w:val="18"/>
                <w:szCs w:val="18"/>
              </w:rPr>
              <w:t>Applications include roadways with very light traffic volumes such as local roads, county roads, and city streets where truck traffic is prohibited or at a very minimal level.  Traffic on these roadways would be considered local in nature, not regional, intrastate, or interstate.  Special purpose roadways serving recreational sites or areas, parking lots</w:t>
            </w:r>
            <w:r w:rsidR="00BA12DF">
              <w:rPr>
                <w:rFonts w:ascii="Arial" w:hAnsi="Arial"/>
                <w:sz w:val="18"/>
                <w:szCs w:val="18"/>
              </w:rPr>
              <w:t>,</w:t>
            </w:r>
            <w:r w:rsidRPr="00BA12DF">
              <w:rPr>
                <w:rFonts w:ascii="Arial" w:hAnsi="Arial"/>
                <w:sz w:val="18"/>
                <w:szCs w:val="18"/>
              </w:rPr>
              <w:t xml:space="preserve"> and driveways may also be applicable to this level.</w:t>
            </w:r>
          </w:p>
        </w:tc>
      </w:tr>
      <w:tr w:rsidR="00D316B0" w14:paraId="63601A38" w14:textId="77777777" w:rsidTr="005B46B9">
        <w:trPr>
          <w:jc w:val="center"/>
        </w:trPr>
        <w:tc>
          <w:tcPr>
            <w:tcW w:w="1283" w:type="dxa"/>
            <w:vAlign w:val="center"/>
          </w:tcPr>
          <w:p w14:paraId="035021E5" w14:textId="0B652E2C" w:rsidR="00D316B0" w:rsidRPr="005B46B9" w:rsidRDefault="00D316B0" w:rsidP="005B46B9">
            <w:pPr>
              <w:pStyle w:val="BodyText2"/>
              <w:rPr>
                <w:b w:val="0"/>
                <w:sz w:val="18"/>
              </w:rPr>
            </w:pPr>
            <w:r>
              <w:rPr>
                <w:b w:val="0"/>
                <w:sz w:val="20"/>
              </w:rPr>
              <w:t>2</w:t>
            </w:r>
          </w:p>
        </w:tc>
        <w:tc>
          <w:tcPr>
            <w:tcW w:w="1232" w:type="dxa"/>
            <w:vAlign w:val="center"/>
          </w:tcPr>
          <w:p w14:paraId="3430F6BB" w14:textId="43A914DE" w:rsidR="00D316B0" w:rsidRPr="005B46B9" w:rsidRDefault="00D316B0" w:rsidP="005B46B9">
            <w:pPr>
              <w:pStyle w:val="BodyText2"/>
              <w:rPr>
                <w:b w:val="0"/>
                <w:sz w:val="18"/>
              </w:rPr>
            </w:pPr>
            <w:r>
              <w:rPr>
                <w:b w:val="0"/>
                <w:sz w:val="20"/>
              </w:rPr>
              <w:t>0.3</w:t>
            </w:r>
            <w:r w:rsidRPr="005B46B9">
              <w:rPr>
                <w:b w:val="0"/>
                <w:sz w:val="18"/>
              </w:rPr>
              <w:t xml:space="preserve"> to &lt; 30</w:t>
            </w:r>
          </w:p>
        </w:tc>
        <w:tc>
          <w:tcPr>
            <w:tcW w:w="900" w:type="dxa"/>
            <w:vAlign w:val="center"/>
          </w:tcPr>
          <w:p w14:paraId="557621AD" w14:textId="48925C0B" w:rsidR="00D316B0" w:rsidRPr="005B46B9" w:rsidRDefault="00D316B0" w:rsidP="005B46B9">
            <w:pPr>
              <w:pStyle w:val="BodyText2"/>
              <w:rPr>
                <w:b w:val="0"/>
                <w:sz w:val="18"/>
              </w:rPr>
            </w:pPr>
            <w:r>
              <w:rPr>
                <w:b w:val="0"/>
                <w:sz w:val="20"/>
              </w:rPr>
              <w:t>7</w:t>
            </w:r>
          </w:p>
        </w:tc>
        <w:tc>
          <w:tcPr>
            <w:tcW w:w="900" w:type="dxa"/>
            <w:vAlign w:val="center"/>
          </w:tcPr>
          <w:p w14:paraId="2FF6CE1A" w14:textId="31E1F235" w:rsidR="00D316B0" w:rsidRPr="005B46B9" w:rsidRDefault="00D455CF" w:rsidP="005B46B9">
            <w:pPr>
              <w:pStyle w:val="BodyText2"/>
              <w:rPr>
                <w:b w:val="0"/>
                <w:sz w:val="18"/>
              </w:rPr>
            </w:pPr>
            <w:r>
              <w:rPr>
                <w:b w:val="0"/>
                <w:sz w:val="20"/>
              </w:rPr>
              <w:t>65</w:t>
            </w:r>
          </w:p>
        </w:tc>
        <w:tc>
          <w:tcPr>
            <w:tcW w:w="810" w:type="dxa"/>
            <w:vAlign w:val="center"/>
          </w:tcPr>
          <w:p w14:paraId="2A4D96A2" w14:textId="4415976C" w:rsidR="00D316B0" w:rsidRPr="005B46B9" w:rsidRDefault="00D316B0" w:rsidP="005B46B9">
            <w:pPr>
              <w:pStyle w:val="BodyText2"/>
              <w:rPr>
                <w:b w:val="0"/>
                <w:sz w:val="18"/>
              </w:rPr>
            </w:pPr>
            <w:r>
              <w:rPr>
                <w:b w:val="0"/>
                <w:sz w:val="20"/>
              </w:rPr>
              <w:t>115</w:t>
            </w:r>
          </w:p>
        </w:tc>
        <w:tc>
          <w:tcPr>
            <w:tcW w:w="3510" w:type="dxa"/>
          </w:tcPr>
          <w:p w14:paraId="7D98A0DC" w14:textId="0B5EDE9B" w:rsidR="00D316B0" w:rsidRPr="00BA12DF" w:rsidRDefault="00D316B0" w:rsidP="005B46B9">
            <w:pPr>
              <w:pStyle w:val="BodyText2"/>
              <w:jc w:val="left"/>
              <w:rPr>
                <w:b w:val="0"/>
                <w:sz w:val="18"/>
                <w:szCs w:val="18"/>
              </w:rPr>
            </w:pPr>
            <w:r w:rsidRPr="00BA12DF">
              <w:rPr>
                <w:b w:val="0"/>
                <w:sz w:val="18"/>
                <w:szCs w:val="18"/>
              </w:rPr>
              <w:t xml:space="preserve">Applications include many collector roads or access streets.  </w:t>
            </w:r>
            <w:r>
              <w:rPr>
                <w:b w:val="0"/>
                <w:sz w:val="18"/>
              </w:rPr>
              <w:t>Medium traffic city streets and</w:t>
            </w:r>
            <w:r w:rsidR="006C7C93">
              <w:rPr>
                <w:b w:val="0"/>
                <w:sz w:val="18"/>
              </w:rPr>
              <w:t xml:space="preserve"> most</w:t>
            </w:r>
            <w:r>
              <w:rPr>
                <w:b w:val="0"/>
                <w:sz w:val="18"/>
              </w:rPr>
              <w:t xml:space="preserve"> county roadways may be applicable to this level.</w:t>
            </w:r>
            <w:r w:rsidR="002C0DA2">
              <w:rPr>
                <w:b w:val="0"/>
                <w:sz w:val="18"/>
              </w:rPr>
              <w:t xml:space="preserve">  They also</w:t>
            </w:r>
            <w:r w:rsidRPr="00BA12DF">
              <w:rPr>
                <w:b w:val="0"/>
                <w:sz w:val="18"/>
                <w:szCs w:val="18"/>
              </w:rPr>
              <w:t xml:space="preserve"> include many two-lane, multilane, divided, and partially or completely controlled access roadways.  Among these are medium to highly trafficked city streets, many state routes, and US highways.</w:t>
            </w:r>
          </w:p>
        </w:tc>
      </w:tr>
      <w:tr w:rsidR="00D316B0" w14:paraId="199DB0FA" w14:textId="77777777" w:rsidTr="005B46B9">
        <w:trPr>
          <w:jc w:val="center"/>
        </w:trPr>
        <w:tc>
          <w:tcPr>
            <w:tcW w:w="1283" w:type="dxa"/>
            <w:vAlign w:val="center"/>
          </w:tcPr>
          <w:p w14:paraId="78DAD1BF" w14:textId="26209C39" w:rsidR="00D316B0" w:rsidRPr="005B46B9" w:rsidRDefault="00D316B0" w:rsidP="005B46B9">
            <w:pPr>
              <w:pStyle w:val="BodyText2"/>
              <w:rPr>
                <w:b w:val="0"/>
                <w:sz w:val="18"/>
              </w:rPr>
            </w:pPr>
            <w:smartTag w:uri="urn:schemas-microsoft-com:office:smarttags" w:element="stockticker">
              <w:r w:rsidRPr="005B46B9">
                <w:rPr>
                  <w:b w:val="0"/>
                  <w:sz w:val="18"/>
                </w:rPr>
                <w:t>GAP</w:t>
              </w:r>
              <w:r w:rsidR="002C0DA2">
                <w:rPr>
                  <w:b w:val="0"/>
                  <w:sz w:val="20"/>
                </w:rPr>
                <w:t xml:space="preserve"> (5)</w:t>
              </w:r>
            </w:smartTag>
          </w:p>
        </w:tc>
        <w:tc>
          <w:tcPr>
            <w:tcW w:w="1232" w:type="dxa"/>
            <w:vAlign w:val="center"/>
          </w:tcPr>
          <w:p w14:paraId="7DAD92CE" w14:textId="77777777" w:rsidR="00D316B0" w:rsidRPr="005B46B9" w:rsidRDefault="00D316B0" w:rsidP="005B46B9">
            <w:pPr>
              <w:pStyle w:val="BodyText2"/>
              <w:rPr>
                <w:b w:val="0"/>
                <w:sz w:val="18"/>
              </w:rPr>
            </w:pPr>
            <w:r w:rsidRPr="005B46B9">
              <w:rPr>
                <w:b w:val="0"/>
                <w:sz w:val="18"/>
              </w:rPr>
              <w:t>&gt; 30</w:t>
            </w:r>
          </w:p>
        </w:tc>
        <w:tc>
          <w:tcPr>
            <w:tcW w:w="900" w:type="dxa"/>
            <w:vAlign w:val="center"/>
          </w:tcPr>
          <w:p w14:paraId="06E5E3F2" w14:textId="77777777" w:rsidR="00D316B0" w:rsidRPr="005B46B9" w:rsidRDefault="00D316B0" w:rsidP="005B46B9">
            <w:pPr>
              <w:pStyle w:val="BodyText2"/>
              <w:rPr>
                <w:b w:val="0"/>
                <w:sz w:val="18"/>
              </w:rPr>
            </w:pPr>
            <w:r w:rsidRPr="005B46B9">
              <w:rPr>
                <w:b w:val="0"/>
                <w:sz w:val="18"/>
              </w:rPr>
              <w:t>8</w:t>
            </w:r>
          </w:p>
        </w:tc>
        <w:tc>
          <w:tcPr>
            <w:tcW w:w="900" w:type="dxa"/>
            <w:vAlign w:val="center"/>
          </w:tcPr>
          <w:p w14:paraId="3C667F2D" w14:textId="77777777" w:rsidR="00D316B0" w:rsidRPr="005B46B9" w:rsidRDefault="00D316B0" w:rsidP="005B46B9">
            <w:pPr>
              <w:pStyle w:val="BodyText2"/>
              <w:rPr>
                <w:b w:val="0"/>
                <w:sz w:val="18"/>
              </w:rPr>
            </w:pPr>
            <w:r w:rsidRPr="005B46B9">
              <w:rPr>
                <w:b w:val="0"/>
                <w:sz w:val="18"/>
              </w:rPr>
              <w:t>100</w:t>
            </w:r>
          </w:p>
        </w:tc>
        <w:tc>
          <w:tcPr>
            <w:tcW w:w="810" w:type="dxa"/>
            <w:vAlign w:val="center"/>
          </w:tcPr>
          <w:p w14:paraId="4329A708" w14:textId="77777777" w:rsidR="00D316B0" w:rsidRPr="005B46B9" w:rsidRDefault="00D316B0" w:rsidP="005B46B9">
            <w:pPr>
              <w:pStyle w:val="BodyText2"/>
              <w:rPr>
                <w:b w:val="0"/>
                <w:sz w:val="18"/>
              </w:rPr>
            </w:pPr>
            <w:r w:rsidRPr="005B46B9">
              <w:rPr>
                <w:b w:val="0"/>
                <w:sz w:val="18"/>
              </w:rPr>
              <w:t>160</w:t>
            </w:r>
          </w:p>
        </w:tc>
        <w:tc>
          <w:tcPr>
            <w:tcW w:w="3510" w:type="dxa"/>
          </w:tcPr>
          <w:p w14:paraId="2FF9B4E6" w14:textId="518EA804" w:rsidR="00D316B0" w:rsidRPr="00BA12DF" w:rsidRDefault="00DB4495" w:rsidP="005B46B9">
            <w:pPr>
              <w:pStyle w:val="BodyText2"/>
              <w:jc w:val="left"/>
              <w:rPr>
                <w:b w:val="0"/>
                <w:sz w:val="18"/>
                <w:szCs w:val="18"/>
              </w:rPr>
            </w:pPr>
            <w:r>
              <w:rPr>
                <w:b w:val="0"/>
                <w:sz w:val="18"/>
                <w:szCs w:val="18"/>
              </w:rPr>
              <w:t>Gap</w:t>
            </w:r>
            <w:r w:rsidR="00D316B0">
              <w:rPr>
                <w:b w:val="0"/>
                <w:sz w:val="18"/>
              </w:rPr>
              <w:t xml:space="preserve"> Graded</w:t>
            </w:r>
            <w:r w:rsidR="00D316B0" w:rsidRPr="00BA12DF">
              <w:rPr>
                <w:b w:val="0"/>
                <w:sz w:val="18"/>
                <w:szCs w:val="18"/>
              </w:rPr>
              <w:t xml:space="preserve"> mixes are used for special application final wearing surfaces.  Applications include many two-lane, multilane, divided, and partially or completely controlled access roadways.  Among these are medium</w:t>
            </w:r>
            <w:r w:rsidR="00754814" w:rsidRPr="00BA12DF">
              <w:rPr>
                <w:b w:val="0"/>
                <w:sz w:val="18"/>
                <w:szCs w:val="18"/>
              </w:rPr>
              <w:t>-</w:t>
            </w:r>
            <w:r w:rsidR="00D316B0" w:rsidRPr="00BA12DF">
              <w:rPr>
                <w:b w:val="0"/>
                <w:sz w:val="18"/>
                <w:szCs w:val="18"/>
              </w:rPr>
              <w:t xml:space="preserve"> to highly</w:t>
            </w:r>
            <w:r w:rsidR="00754814" w:rsidRPr="00BA12DF">
              <w:rPr>
                <w:b w:val="0"/>
                <w:sz w:val="18"/>
                <w:szCs w:val="18"/>
              </w:rPr>
              <w:t>-</w:t>
            </w:r>
            <w:r w:rsidR="00D316B0" w:rsidRPr="00BA12DF">
              <w:rPr>
                <w:b w:val="0"/>
                <w:sz w:val="18"/>
                <w:szCs w:val="18"/>
              </w:rPr>
              <w:t>trafficked state routes</w:t>
            </w:r>
            <w:r w:rsidR="00754814" w:rsidRPr="00BA12DF">
              <w:rPr>
                <w:b w:val="0"/>
                <w:sz w:val="18"/>
                <w:szCs w:val="18"/>
              </w:rPr>
              <w:t>,</w:t>
            </w:r>
            <w:r w:rsidR="00D316B0" w:rsidRPr="00BA12DF">
              <w:rPr>
                <w:b w:val="0"/>
                <w:sz w:val="18"/>
                <w:szCs w:val="18"/>
              </w:rPr>
              <w:t xml:space="preserve"> interstates and US highways.</w:t>
            </w:r>
          </w:p>
        </w:tc>
      </w:tr>
    </w:tbl>
    <w:p w14:paraId="00A614AA" w14:textId="77777777" w:rsidR="00D316B0" w:rsidRDefault="00D316B0" w:rsidP="00BE3F24">
      <w:pPr>
        <w:pStyle w:val="BodyTextIndent2"/>
        <w:ind w:left="0"/>
        <w:jc w:val="both"/>
        <w:rPr>
          <w:sz w:val="20"/>
        </w:rPr>
      </w:pPr>
    </w:p>
    <w:p w14:paraId="46B422A0" w14:textId="201CA92C" w:rsidR="00D316B0" w:rsidRPr="005B46B9" w:rsidRDefault="00D316B0" w:rsidP="005B46B9">
      <w:pPr>
        <w:pStyle w:val="BodyTextIndent2"/>
        <w:ind w:left="810" w:right="90" w:hanging="720"/>
        <w:rPr>
          <w:sz w:val="18"/>
        </w:rPr>
      </w:pPr>
      <w:r w:rsidRPr="005B46B9">
        <w:rPr>
          <w:sz w:val="18"/>
        </w:rPr>
        <w:t>Note 1</w:t>
      </w:r>
      <w:r w:rsidR="00BA12DF">
        <w:rPr>
          <w:sz w:val="18"/>
          <w:szCs w:val="18"/>
        </w:rPr>
        <w:t>:</w:t>
      </w:r>
      <w:r w:rsidR="00BA12DF">
        <w:rPr>
          <w:sz w:val="18"/>
          <w:szCs w:val="18"/>
        </w:rPr>
        <w:tab/>
      </w:r>
      <w:r w:rsidRPr="005B46B9">
        <w:rPr>
          <w:sz w:val="18"/>
        </w:rPr>
        <w:t>Design ESALs are the anticipated project traffic level expected on the design lane over a 20</w:t>
      </w:r>
      <w:r w:rsidR="00BA12DF">
        <w:rPr>
          <w:sz w:val="18"/>
          <w:szCs w:val="18"/>
        </w:rPr>
        <w:t>-</w:t>
      </w:r>
      <w:r w:rsidRPr="005B46B9">
        <w:rPr>
          <w:sz w:val="18"/>
        </w:rPr>
        <w:t>year period.  Regardless of the actual design life of the roadway, determine the cumulative design ESALs for 20 years, and choose the appropriate N</w:t>
      </w:r>
      <w:r w:rsidRPr="005B46B9">
        <w:rPr>
          <w:sz w:val="18"/>
          <w:vertAlign w:val="subscript"/>
        </w:rPr>
        <w:t>design</w:t>
      </w:r>
      <w:r w:rsidRPr="005B46B9">
        <w:rPr>
          <w:sz w:val="18"/>
        </w:rPr>
        <w:t xml:space="preserve"> level.</w:t>
      </w:r>
      <w:r w:rsidR="000A5566" w:rsidRPr="005B46B9">
        <w:rPr>
          <w:sz w:val="18"/>
        </w:rPr>
        <w:t xml:space="preserve">  Refer to </w:t>
      </w:r>
      <w:hyperlink w:anchor="_Truck_Factor_Development" w:history="1">
        <w:r w:rsidR="000A5566" w:rsidRPr="005B46B9">
          <w:rPr>
            <w:rStyle w:val="Hyperlink"/>
            <w:sz w:val="18"/>
          </w:rPr>
          <w:t>Truck Factor Development</w:t>
        </w:r>
      </w:hyperlink>
      <w:r w:rsidR="000A5566" w:rsidRPr="005B46B9">
        <w:rPr>
          <w:sz w:val="18"/>
        </w:rPr>
        <w:t xml:space="preserve"> for 20-year ESAL calculation.</w:t>
      </w:r>
    </w:p>
    <w:p w14:paraId="4E1F6662" w14:textId="07684459" w:rsidR="00D316B0" w:rsidRPr="005B46B9" w:rsidRDefault="00D316B0" w:rsidP="005B46B9">
      <w:pPr>
        <w:pStyle w:val="BodyTextIndent2"/>
        <w:ind w:left="810" w:right="90" w:hanging="720"/>
        <w:rPr>
          <w:sz w:val="18"/>
        </w:rPr>
      </w:pPr>
      <w:r w:rsidRPr="005B46B9">
        <w:rPr>
          <w:sz w:val="18"/>
        </w:rPr>
        <w:t>Note 2</w:t>
      </w:r>
      <w:r w:rsidR="00BA12DF">
        <w:rPr>
          <w:sz w:val="18"/>
          <w:szCs w:val="18"/>
        </w:rPr>
        <w:t>:</w:t>
      </w:r>
      <w:r w:rsidR="00BA12DF">
        <w:rPr>
          <w:sz w:val="18"/>
          <w:szCs w:val="18"/>
        </w:rPr>
        <w:tab/>
      </w:r>
      <w:r w:rsidRPr="005B46B9">
        <w:rPr>
          <w:sz w:val="18"/>
        </w:rPr>
        <w:t xml:space="preserve">When </w:t>
      </w:r>
      <w:r w:rsidRPr="00BA12DF">
        <w:rPr>
          <w:sz w:val="18"/>
          <w:szCs w:val="18"/>
        </w:rPr>
        <w:t>the majority</w:t>
      </w:r>
      <w:r w:rsidRPr="005B46B9">
        <w:rPr>
          <w:sz w:val="18"/>
        </w:rPr>
        <w:t xml:space="preserve"> of a</w:t>
      </w:r>
      <w:r w:rsidR="00BA12DF" w:rsidRPr="005B46B9">
        <w:rPr>
          <w:sz w:val="18"/>
        </w:rPr>
        <w:t>n</w:t>
      </w:r>
      <w:r w:rsidRPr="005B46B9">
        <w:rPr>
          <w:sz w:val="18"/>
        </w:rPr>
        <w:t xml:space="preserve"> HMA mix is to be placed </w:t>
      </w:r>
      <w:r w:rsidRPr="005B46B9">
        <w:rPr>
          <w:sz w:val="18"/>
        </w:rPr>
        <w:sym w:font="Symbol" w:char="F0B3"/>
      </w:r>
      <w:r w:rsidRPr="005B46B9">
        <w:rPr>
          <w:sz w:val="18"/>
        </w:rPr>
        <w:t xml:space="preserve"> 100 mm (4</w:t>
      </w:r>
      <w:r w:rsidR="00BA12DF">
        <w:rPr>
          <w:sz w:val="18"/>
          <w:szCs w:val="18"/>
        </w:rPr>
        <w:t>"</w:t>
      </w:r>
      <w:r w:rsidRPr="00BA12DF">
        <w:rPr>
          <w:sz w:val="18"/>
          <w:szCs w:val="18"/>
        </w:rPr>
        <w:t>)</w:t>
      </w:r>
      <w:r w:rsidRPr="005B46B9">
        <w:rPr>
          <w:sz w:val="18"/>
        </w:rPr>
        <w:t xml:space="preserve"> from the pavement surface, then decrease the traffic level for that HMA mix by one level.  If less than 25% of </w:t>
      </w:r>
      <w:r w:rsidRPr="00BA12DF">
        <w:rPr>
          <w:sz w:val="18"/>
          <w:szCs w:val="18"/>
        </w:rPr>
        <w:t>a</w:t>
      </w:r>
      <w:r w:rsidR="00BA12DF">
        <w:rPr>
          <w:sz w:val="18"/>
          <w:szCs w:val="18"/>
        </w:rPr>
        <w:t>n</w:t>
      </w:r>
      <w:r w:rsidRPr="005B46B9">
        <w:rPr>
          <w:sz w:val="18"/>
        </w:rPr>
        <w:t xml:space="preserve"> HMA layer is within 100 mm (4</w:t>
      </w:r>
      <w:r w:rsidR="00BA12DF">
        <w:rPr>
          <w:sz w:val="18"/>
          <w:szCs w:val="18"/>
        </w:rPr>
        <w:t>"</w:t>
      </w:r>
      <w:r w:rsidRPr="00BA12DF">
        <w:rPr>
          <w:sz w:val="18"/>
          <w:szCs w:val="18"/>
        </w:rPr>
        <w:t>)</w:t>
      </w:r>
      <w:r w:rsidRPr="005B46B9">
        <w:rPr>
          <w:sz w:val="18"/>
        </w:rPr>
        <w:t xml:space="preserve"> of the surface, the layer should be considered to be below </w:t>
      </w:r>
      <w:r w:rsidR="002C0DA2">
        <w:rPr>
          <w:sz w:val="20"/>
        </w:rPr>
        <w:t xml:space="preserve">the </w:t>
      </w:r>
      <w:r w:rsidRPr="005B46B9">
        <w:rPr>
          <w:sz w:val="18"/>
        </w:rPr>
        <w:t>100 mm (4</w:t>
      </w:r>
      <w:r w:rsidR="00BA12DF">
        <w:rPr>
          <w:sz w:val="18"/>
          <w:szCs w:val="18"/>
        </w:rPr>
        <w:t>"</w:t>
      </w:r>
      <w:r w:rsidRPr="00BA12DF">
        <w:rPr>
          <w:sz w:val="18"/>
          <w:szCs w:val="18"/>
        </w:rPr>
        <w:t>)</w:t>
      </w:r>
      <w:r w:rsidRPr="005B46B9">
        <w:rPr>
          <w:sz w:val="18"/>
        </w:rPr>
        <w:t xml:space="preserve"> threshold and the traffic level can be lowered.  When it is expected that a lower HMA layer will be exposed to significant traffic during construction phasing, consideration should be given to maintaining the traffic level depending on the length of time it will be exposed and the type of traffic.  </w:t>
      </w:r>
    </w:p>
    <w:p w14:paraId="25A7A408" w14:textId="77777777" w:rsidR="00D316B0" w:rsidRDefault="00D316B0" w:rsidP="00BE3F24">
      <w:pPr>
        <w:pStyle w:val="BodyText"/>
        <w:spacing w:after="0"/>
        <w:jc w:val="both"/>
      </w:pPr>
    </w:p>
    <w:p w14:paraId="2B4C85FF" w14:textId="635F83B8" w:rsidR="00D316B0" w:rsidRDefault="00D316B0" w:rsidP="00BE3F24">
      <w:pPr>
        <w:pStyle w:val="BodyText"/>
        <w:spacing w:after="0"/>
        <w:jc w:val="both"/>
      </w:pPr>
      <w:r>
        <w:lastRenderedPageBreak/>
        <w:t xml:space="preserve">The traffic level also defines the aggregate consensus properties in the HMA mix.  The higher the traffic level, the higher the qualities of aggregate properties </w:t>
      </w:r>
      <w:r w:rsidR="00BA12DF">
        <w:t xml:space="preserve">that </w:t>
      </w:r>
      <w:r>
        <w:t>are required.  Generally, the aggregate properties modified across traffic levels are the amount of crushed faces (angularity), flat and elongated percentages, and percentage of sand in the HMA mix.  Therefore</w:t>
      </w:r>
      <w:r w:rsidR="00BA12DF">
        <w:t>,</w:t>
      </w:r>
      <w:r>
        <w:t xml:space="preserve"> as the traffic level increases, the amount of asphalt liquid in the HMA mix decreases and the aggregate quality increases.  Then as the traffic level decreases, the amount of asphalt liquid in the HMA mix increases and the aggregate quality decreases.   </w:t>
      </w:r>
    </w:p>
    <w:p w14:paraId="31BD5F3B" w14:textId="77777777" w:rsidR="00D316B0" w:rsidRDefault="00D316B0" w:rsidP="00BE3F24">
      <w:pPr>
        <w:pStyle w:val="BodyText"/>
        <w:spacing w:after="0"/>
        <w:jc w:val="both"/>
      </w:pPr>
      <w:r>
        <w:t xml:space="preserve"> </w:t>
      </w:r>
    </w:p>
    <w:p w14:paraId="3C34F3D5" w14:textId="04B4352F" w:rsidR="00D316B0" w:rsidRPr="00991DA8" w:rsidRDefault="00D316B0" w:rsidP="00172E64">
      <w:pPr>
        <w:pStyle w:val="Heading3"/>
        <w:numPr>
          <w:ilvl w:val="2"/>
          <w:numId w:val="184"/>
        </w:numPr>
        <w:ind w:left="0" w:firstLine="0"/>
        <w:jc w:val="both"/>
        <w:rPr>
          <w:bCs/>
          <w:iCs/>
        </w:rPr>
      </w:pPr>
      <w:bookmarkStart w:id="419" w:name="_HMA_Mix_Selection"/>
      <w:bookmarkStart w:id="420" w:name="_Toc364322312"/>
      <w:bookmarkEnd w:id="419"/>
      <w:r w:rsidRPr="00991DA8">
        <w:rPr>
          <w:bCs/>
          <w:iCs/>
        </w:rPr>
        <w:t>HMA Mix Selection</w:t>
      </w:r>
      <w:bookmarkEnd w:id="420"/>
      <w:r w:rsidRPr="00991DA8">
        <w:rPr>
          <w:bCs/>
          <w:iCs/>
        </w:rPr>
        <w:t xml:space="preserve"> </w:t>
      </w:r>
    </w:p>
    <w:p w14:paraId="567B0865" w14:textId="77777777" w:rsidR="00D316B0" w:rsidRDefault="00D316B0" w:rsidP="00BE3F24">
      <w:pPr>
        <w:pStyle w:val="BodyText"/>
        <w:jc w:val="both"/>
      </w:pPr>
      <w:r>
        <w:t xml:space="preserve">There are well over 300 different combinations of PG Binder, traffic level, mix size, mix type, and construction application strictly following the Superpave criteria.  The following table provides a matrix of Superpave HMA mixes for selecting the appropriate HMA for a given application: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3"/>
        <w:gridCol w:w="1260"/>
        <w:gridCol w:w="1260"/>
        <w:gridCol w:w="1260"/>
        <w:gridCol w:w="1170"/>
        <w:gridCol w:w="2032"/>
      </w:tblGrid>
      <w:tr w:rsidR="00D316B0" w14:paraId="4DA8E899" w14:textId="77777777" w:rsidTr="005B46B9">
        <w:trPr>
          <w:cantSplit/>
          <w:trHeight w:val="288"/>
          <w:jc w:val="center"/>
        </w:trPr>
        <w:tc>
          <w:tcPr>
            <w:tcW w:w="5003" w:type="dxa"/>
            <w:gridSpan w:val="4"/>
            <w:shd w:val="pct15" w:color="auto" w:fill="FFFFFF"/>
            <w:vAlign w:val="center"/>
          </w:tcPr>
          <w:p w14:paraId="48FDF89C" w14:textId="77777777" w:rsidR="00D316B0" w:rsidRDefault="00D316B0" w:rsidP="005B46B9">
            <w:pPr>
              <w:jc w:val="center"/>
              <w:rPr>
                <w:rFonts w:ascii="Arial" w:hAnsi="Arial"/>
                <w:b/>
              </w:rPr>
            </w:pPr>
            <w:r>
              <w:rPr>
                <w:rFonts w:ascii="Arial" w:hAnsi="Arial"/>
                <w:b/>
              </w:rPr>
              <w:t>Lift Thickness</w:t>
            </w:r>
          </w:p>
        </w:tc>
        <w:tc>
          <w:tcPr>
            <w:tcW w:w="1170" w:type="dxa"/>
            <w:vMerge w:val="restart"/>
            <w:shd w:val="pct15" w:color="auto" w:fill="FFFFFF"/>
            <w:vAlign w:val="center"/>
          </w:tcPr>
          <w:p w14:paraId="5237646B" w14:textId="7D62E0C5" w:rsidR="00D316B0" w:rsidRDefault="00D316B0" w:rsidP="005B46B9">
            <w:pPr>
              <w:jc w:val="center"/>
              <w:rPr>
                <w:rFonts w:ascii="Arial" w:hAnsi="Arial"/>
                <w:b/>
              </w:rPr>
            </w:pPr>
            <w:r>
              <w:rPr>
                <w:rFonts w:ascii="Arial" w:hAnsi="Arial"/>
                <w:b/>
              </w:rPr>
              <w:t>Mix Size</w:t>
            </w:r>
            <w:r w:rsidR="00BA12DF">
              <w:rPr>
                <w:rFonts w:ascii="Arial" w:hAnsi="Arial"/>
                <w:b/>
              </w:rPr>
              <w:t xml:space="preserve"> (mm)</w:t>
            </w:r>
          </w:p>
        </w:tc>
        <w:tc>
          <w:tcPr>
            <w:tcW w:w="2032" w:type="dxa"/>
            <w:vMerge w:val="restart"/>
            <w:shd w:val="pct15" w:color="auto" w:fill="FFFFFF"/>
            <w:vAlign w:val="center"/>
          </w:tcPr>
          <w:p w14:paraId="32143E5B" w14:textId="77777777" w:rsidR="00D316B0" w:rsidRDefault="00D316B0" w:rsidP="005B46B9">
            <w:pPr>
              <w:jc w:val="center"/>
              <w:rPr>
                <w:rFonts w:ascii="Arial" w:hAnsi="Arial"/>
                <w:b/>
              </w:rPr>
            </w:pPr>
            <w:r>
              <w:rPr>
                <w:rFonts w:ascii="Arial" w:hAnsi="Arial"/>
                <w:b/>
              </w:rPr>
              <w:t>Design Application</w:t>
            </w:r>
          </w:p>
        </w:tc>
      </w:tr>
      <w:tr w:rsidR="00115674" w14:paraId="3F344C6A" w14:textId="77777777" w:rsidTr="00BA12DF">
        <w:trPr>
          <w:cantSplit/>
          <w:trHeight w:val="288"/>
          <w:jc w:val="center"/>
        </w:trPr>
        <w:tc>
          <w:tcPr>
            <w:tcW w:w="1223" w:type="dxa"/>
            <w:shd w:val="pct15" w:color="auto" w:fill="FFFFFF"/>
            <w:vAlign w:val="center"/>
          </w:tcPr>
          <w:p w14:paraId="75B8F941" w14:textId="77777777" w:rsidR="00D316B0" w:rsidRDefault="00D316B0" w:rsidP="00BA12DF">
            <w:pPr>
              <w:jc w:val="center"/>
              <w:rPr>
                <w:rFonts w:ascii="Arial" w:hAnsi="Arial"/>
                <w:b/>
              </w:rPr>
            </w:pPr>
            <w:r>
              <w:rPr>
                <w:rFonts w:ascii="Arial" w:hAnsi="Arial"/>
                <w:b/>
              </w:rPr>
              <w:t>Minimum</w:t>
            </w:r>
          </w:p>
          <w:p w14:paraId="63F0109E" w14:textId="543F2986" w:rsidR="00BA12DF" w:rsidRDefault="00BA12DF" w:rsidP="005B46B9">
            <w:pPr>
              <w:jc w:val="center"/>
              <w:rPr>
                <w:rFonts w:ascii="Arial" w:hAnsi="Arial"/>
                <w:b/>
              </w:rPr>
            </w:pPr>
            <w:r>
              <w:rPr>
                <w:rFonts w:ascii="Arial" w:hAnsi="Arial"/>
                <w:b/>
              </w:rPr>
              <w:t>(inches)</w:t>
            </w:r>
          </w:p>
        </w:tc>
        <w:tc>
          <w:tcPr>
            <w:tcW w:w="1260" w:type="dxa"/>
            <w:shd w:val="pct15" w:color="auto" w:fill="FFFFFF"/>
            <w:vAlign w:val="center"/>
          </w:tcPr>
          <w:p w14:paraId="0BBA71D7" w14:textId="1628DDB6" w:rsidR="00D316B0" w:rsidRDefault="00D316B0" w:rsidP="005B46B9">
            <w:pPr>
              <w:jc w:val="center"/>
              <w:rPr>
                <w:rFonts w:ascii="Arial" w:hAnsi="Arial"/>
                <w:b/>
              </w:rPr>
            </w:pPr>
            <w:r>
              <w:rPr>
                <w:rFonts w:ascii="Arial" w:hAnsi="Arial"/>
                <w:b/>
              </w:rPr>
              <w:t>Preferred</w:t>
            </w:r>
            <w:r w:rsidR="00BA12DF">
              <w:rPr>
                <w:rFonts w:ascii="Arial" w:hAnsi="Arial"/>
                <w:b/>
              </w:rPr>
              <w:t xml:space="preserve"> (inches)</w:t>
            </w:r>
          </w:p>
        </w:tc>
        <w:tc>
          <w:tcPr>
            <w:tcW w:w="1260" w:type="dxa"/>
            <w:shd w:val="pct15" w:color="auto" w:fill="FFFFFF"/>
            <w:vAlign w:val="center"/>
          </w:tcPr>
          <w:p w14:paraId="0AAE02ED" w14:textId="38CE5567" w:rsidR="00D316B0" w:rsidRDefault="00D316B0" w:rsidP="005B46B9">
            <w:pPr>
              <w:jc w:val="center"/>
              <w:rPr>
                <w:rFonts w:ascii="Arial" w:hAnsi="Arial"/>
                <w:b/>
              </w:rPr>
            </w:pPr>
            <w:r>
              <w:rPr>
                <w:rFonts w:ascii="Arial" w:hAnsi="Arial"/>
                <w:b/>
              </w:rPr>
              <w:t>Maximum</w:t>
            </w:r>
            <w:r w:rsidR="00BA12DF">
              <w:rPr>
                <w:rFonts w:ascii="Arial" w:hAnsi="Arial"/>
                <w:b/>
              </w:rPr>
              <w:t xml:space="preserve"> (inches)</w:t>
            </w:r>
          </w:p>
        </w:tc>
        <w:tc>
          <w:tcPr>
            <w:tcW w:w="1260" w:type="dxa"/>
            <w:shd w:val="pct15" w:color="auto" w:fill="FFFFFF"/>
            <w:vAlign w:val="center"/>
          </w:tcPr>
          <w:p w14:paraId="50B2EBF4" w14:textId="5EAF126E" w:rsidR="00D316B0" w:rsidRDefault="00D316B0" w:rsidP="005B46B9">
            <w:pPr>
              <w:jc w:val="center"/>
              <w:rPr>
                <w:rFonts w:ascii="Arial" w:hAnsi="Arial"/>
                <w:b/>
              </w:rPr>
            </w:pPr>
            <w:r>
              <w:rPr>
                <w:rFonts w:ascii="Arial" w:hAnsi="Arial"/>
                <w:b/>
              </w:rPr>
              <w:t>Total Maximum</w:t>
            </w:r>
            <w:r w:rsidR="00BA12DF">
              <w:rPr>
                <w:rFonts w:ascii="Arial" w:hAnsi="Arial"/>
                <w:b/>
              </w:rPr>
              <w:t xml:space="preserve"> (inches)</w:t>
            </w:r>
          </w:p>
        </w:tc>
        <w:tc>
          <w:tcPr>
            <w:tcW w:w="1170" w:type="dxa"/>
            <w:vMerge/>
            <w:shd w:val="pct15" w:color="auto" w:fill="FFFFFF"/>
            <w:vAlign w:val="center"/>
          </w:tcPr>
          <w:p w14:paraId="7B12CFC5" w14:textId="77777777" w:rsidR="00D316B0" w:rsidRDefault="00D316B0" w:rsidP="005B46B9">
            <w:pPr>
              <w:jc w:val="center"/>
              <w:rPr>
                <w:rFonts w:ascii="Arial" w:hAnsi="Arial"/>
                <w:b/>
              </w:rPr>
            </w:pPr>
          </w:p>
        </w:tc>
        <w:tc>
          <w:tcPr>
            <w:tcW w:w="2032" w:type="dxa"/>
            <w:vMerge/>
            <w:shd w:val="pct15" w:color="auto" w:fill="FFFFFF"/>
            <w:vAlign w:val="center"/>
          </w:tcPr>
          <w:p w14:paraId="1BB9BA7F" w14:textId="77777777" w:rsidR="00D316B0" w:rsidRDefault="00D316B0" w:rsidP="005B46B9">
            <w:pPr>
              <w:jc w:val="center"/>
              <w:rPr>
                <w:rFonts w:ascii="Arial" w:hAnsi="Arial"/>
                <w:b/>
              </w:rPr>
            </w:pPr>
          </w:p>
        </w:tc>
      </w:tr>
      <w:tr w:rsidR="00D316B0" w14:paraId="6FB32F83" w14:textId="77777777" w:rsidTr="005B46B9">
        <w:trPr>
          <w:cantSplit/>
          <w:trHeight w:val="288"/>
          <w:jc w:val="center"/>
        </w:trPr>
        <w:tc>
          <w:tcPr>
            <w:tcW w:w="1223" w:type="dxa"/>
            <w:vAlign w:val="center"/>
          </w:tcPr>
          <w:p w14:paraId="546453C6" w14:textId="496FF7A8" w:rsidR="00D316B0" w:rsidRDefault="00D316B0" w:rsidP="005B46B9">
            <w:pPr>
              <w:jc w:val="center"/>
              <w:rPr>
                <w:rFonts w:ascii="Arial" w:hAnsi="Arial"/>
              </w:rPr>
            </w:pPr>
            <w:r>
              <w:rPr>
                <w:rFonts w:ascii="Arial" w:hAnsi="Arial"/>
              </w:rPr>
              <w:t>4</w:t>
            </w:r>
          </w:p>
        </w:tc>
        <w:tc>
          <w:tcPr>
            <w:tcW w:w="1260" w:type="dxa"/>
            <w:vAlign w:val="center"/>
          </w:tcPr>
          <w:p w14:paraId="27EEC7E5" w14:textId="677CBDBF" w:rsidR="00D316B0" w:rsidRDefault="00D316B0" w:rsidP="005B46B9">
            <w:pPr>
              <w:jc w:val="center"/>
              <w:rPr>
                <w:rFonts w:ascii="Arial" w:hAnsi="Arial"/>
              </w:rPr>
            </w:pPr>
            <w:r>
              <w:rPr>
                <w:rFonts w:ascii="Arial" w:hAnsi="Arial"/>
              </w:rPr>
              <w:t>5</w:t>
            </w:r>
          </w:p>
        </w:tc>
        <w:tc>
          <w:tcPr>
            <w:tcW w:w="1260" w:type="dxa"/>
            <w:vAlign w:val="center"/>
          </w:tcPr>
          <w:p w14:paraId="0E77646D" w14:textId="378840CC" w:rsidR="00D316B0" w:rsidRDefault="00D316B0" w:rsidP="005B46B9">
            <w:pPr>
              <w:jc w:val="center"/>
              <w:rPr>
                <w:rFonts w:ascii="Arial" w:hAnsi="Arial"/>
              </w:rPr>
            </w:pPr>
            <w:r>
              <w:rPr>
                <w:rFonts w:ascii="Arial" w:hAnsi="Arial"/>
              </w:rPr>
              <w:t>6</w:t>
            </w:r>
          </w:p>
        </w:tc>
        <w:tc>
          <w:tcPr>
            <w:tcW w:w="1260" w:type="dxa"/>
            <w:vAlign w:val="center"/>
          </w:tcPr>
          <w:p w14:paraId="155460F9" w14:textId="77777777" w:rsidR="00D316B0" w:rsidRDefault="00D316B0" w:rsidP="005B46B9">
            <w:pPr>
              <w:jc w:val="center"/>
              <w:rPr>
                <w:rFonts w:ascii="Arial" w:hAnsi="Arial"/>
              </w:rPr>
            </w:pPr>
          </w:p>
        </w:tc>
        <w:tc>
          <w:tcPr>
            <w:tcW w:w="1170" w:type="dxa"/>
            <w:vAlign w:val="center"/>
          </w:tcPr>
          <w:p w14:paraId="6118ECD9" w14:textId="012AA7FB" w:rsidR="00D316B0" w:rsidRDefault="00D316B0" w:rsidP="005B46B9">
            <w:pPr>
              <w:jc w:val="center"/>
              <w:rPr>
                <w:rFonts w:ascii="Arial" w:hAnsi="Arial"/>
              </w:rPr>
            </w:pPr>
            <w:r>
              <w:rPr>
                <w:rFonts w:ascii="Arial" w:hAnsi="Arial"/>
              </w:rPr>
              <w:t>37.5</w:t>
            </w:r>
          </w:p>
        </w:tc>
        <w:tc>
          <w:tcPr>
            <w:tcW w:w="2032" w:type="dxa"/>
            <w:vAlign w:val="center"/>
          </w:tcPr>
          <w:p w14:paraId="14432A1C" w14:textId="77777777" w:rsidR="00D316B0" w:rsidRDefault="00D316B0" w:rsidP="005B46B9">
            <w:pPr>
              <w:jc w:val="center"/>
              <w:rPr>
                <w:rFonts w:ascii="Arial" w:hAnsi="Arial"/>
              </w:rPr>
            </w:pPr>
            <w:r>
              <w:rPr>
                <w:rFonts w:ascii="Arial" w:hAnsi="Arial"/>
              </w:rPr>
              <w:t>Base, Deep Patching</w:t>
            </w:r>
          </w:p>
        </w:tc>
      </w:tr>
      <w:tr w:rsidR="00D316B0" w14:paraId="47B2D7DB" w14:textId="77777777" w:rsidTr="005B46B9">
        <w:trPr>
          <w:cantSplit/>
          <w:trHeight w:val="288"/>
          <w:jc w:val="center"/>
        </w:trPr>
        <w:tc>
          <w:tcPr>
            <w:tcW w:w="1223" w:type="dxa"/>
            <w:vAlign w:val="center"/>
          </w:tcPr>
          <w:p w14:paraId="4832AF66" w14:textId="5C7B01CD" w:rsidR="00D316B0" w:rsidRDefault="00D316B0" w:rsidP="005B46B9">
            <w:pPr>
              <w:jc w:val="center"/>
              <w:rPr>
                <w:rFonts w:ascii="Arial" w:hAnsi="Arial"/>
              </w:rPr>
            </w:pPr>
            <w:r>
              <w:rPr>
                <w:rFonts w:ascii="Arial" w:hAnsi="Arial"/>
              </w:rPr>
              <w:t>3</w:t>
            </w:r>
          </w:p>
        </w:tc>
        <w:tc>
          <w:tcPr>
            <w:tcW w:w="1260" w:type="dxa"/>
            <w:vAlign w:val="center"/>
          </w:tcPr>
          <w:p w14:paraId="5B7FAACE" w14:textId="76010976" w:rsidR="00D316B0" w:rsidRDefault="00D316B0" w:rsidP="005B46B9">
            <w:pPr>
              <w:jc w:val="center"/>
              <w:rPr>
                <w:rFonts w:ascii="Arial" w:hAnsi="Arial"/>
              </w:rPr>
            </w:pPr>
            <w:r>
              <w:rPr>
                <w:rFonts w:ascii="Arial" w:hAnsi="Arial"/>
              </w:rPr>
              <w:t>4</w:t>
            </w:r>
          </w:p>
        </w:tc>
        <w:tc>
          <w:tcPr>
            <w:tcW w:w="1260" w:type="dxa"/>
            <w:vAlign w:val="center"/>
          </w:tcPr>
          <w:p w14:paraId="4BC87701" w14:textId="20D4E011" w:rsidR="00D316B0" w:rsidRDefault="00D316B0" w:rsidP="005B46B9">
            <w:pPr>
              <w:jc w:val="center"/>
              <w:rPr>
                <w:rFonts w:ascii="Arial" w:hAnsi="Arial"/>
              </w:rPr>
            </w:pPr>
            <w:r>
              <w:rPr>
                <w:rFonts w:ascii="Arial" w:hAnsi="Arial"/>
              </w:rPr>
              <w:t>5</w:t>
            </w:r>
          </w:p>
        </w:tc>
        <w:tc>
          <w:tcPr>
            <w:tcW w:w="1260" w:type="dxa"/>
            <w:vAlign w:val="center"/>
          </w:tcPr>
          <w:p w14:paraId="648A36DB" w14:textId="16635FE7" w:rsidR="00D316B0" w:rsidRDefault="00D316B0" w:rsidP="005B46B9">
            <w:pPr>
              <w:jc w:val="center"/>
              <w:rPr>
                <w:rFonts w:ascii="Arial" w:hAnsi="Arial"/>
              </w:rPr>
            </w:pPr>
          </w:p>
        </w:tc>
        <w:tc>
          <w:tcPr>
            <w:tcW w:w="1170" w:type="dxa"/>
            <w:vAlign w:val="center"/>
          </w:tcPr>
          <w:p w14:paraId="25675311" w14:textId="45370833" w:rsidR="00D316B0" w:rsidRDefault="00D316B0" w:rsidP="005B46B9">
            <w:pPr>
              <w:jc w:val="center"/>
              <w:rPr>
                <w:rFonts w:ascii="Arial" w:hAnsi="Arial"/>
              </w:rPr>
            </w:pPr>
            <w:r>
              <w:rPr>
                <w:rFonts w:ascii="Arial" w:hAnsi="Arial"/>
              </w:rPr>
              <w:t>25.0</w:t>
            </w:r>
          </w:p>
        </w:tc>
        <w:tc>
          <w:tcPr>
            <w:tcW w:w="2032" w:type="dxa"/>
            <w:vAlign w:val="center"/>
          </w:tcPr>
          <w:p w14:paraId="07EA6F0C" w14:textId="77777777" w:rsidR="00D316B0" w:rsidRDefault="00D316B0" w:rsidP="005B46B9">
            <w:pPr>
              <w:jc w:val="center"/>
              <w:rPr>
                <w:rFonts w:ascii="Arial" w:hAnsi="Arial"/>
              </w:rPr>
            </w:pPr>
            <w:r>
              <w:rPr>
                <w:rFonts w:ascii="Arial" w:hAnsi="Arial"/>
              </w:rPr>
              <w:t>Base, Patching</w:t>
            </w:r>
          </w:p>
        </w:tc>
      </w:tr>
      <w:tr w:rsidR="00D316B0" w14:paraId="44121503" w14:textId="77777777" w:rsidTr="005B46B9">
        <w:trPr>
          <w:cantSplit/>
          <w:trHeight w:val="288"/>
          <w:jc w:val="center"/>
        </w:trPr>
        <w:tc>
          <w:tcPr>
            <w:tcW w:w="1223" w:type="dxa"/>
            <w:vAlign w:val="center"/>
          </w:tcPr>
          <w:p w14:paraId="330FC4C0" w14:textId="6B4269D0" w:rsidR="00D316B0" w:rsidRDefault="00D316B0" w:rsidP="005B46B9">
            <w:pPr>
              <w:jc w:val="center"/>
              <w:rPr>
                <w:rFonts w:ascii="Arial" w:hAnsi="Arial"/>
              </w:rPr>
            </w:pPr>
            <w:r>
              <w:rPr>
                <w:rFonts w:ascii="Arial" w:hAnsi="Arial"/>
              </w:rPr>
              <w:t>2</w:t>
            </w:r>
          </w:p>
        </w:tc>
        <w:tc>
          <w:tcPr>
            <w:tcW w:w="1260" w:type="dxa"/>
            <w:vAlign w:val="center"/>
          </w:tcPr>
          <w:p w14:paraId="7EFBCB91" w14:textId="6DE22FDE" w:rsidR="00D316B0" w:rsidRDefault="00D316B0" w:rsidP="005B46B9">
            <w:pPr>
              <w:jc w:val="center"/>
              <w:rPr>
                <w:rFonts w:ascii="Arial" w:hAnsi="Arial"/>
              </w:rPr>
            </w:pPr>
            <w:r>
              <w:rPr>
                <w:rFonts w:ascii="Arial" w:hAnsi="Arial"/>
              </w:rPr>
              <w:t>3</w:t>
            </w:r>
          </w:p>
        </w:tc>
        <w:tc>
          <w:tcPr>
            <w:tcW w:w="1260" w:type="dxa"/>
            <w:vAlign w:val="center"/>
          </w:tcPr>
          <w:p w14:paraId="1CBD875E" w14:textId="195359A7" w:rsidR="00D316B0" w:rsidRDefault="00D316B0" w:rsidP="005B46B9">
            <w:pPr>
              <w:jc w:val="center"/>
              <w:rPr>
                <w:rFonts w:ascii="Arial" w:hAnsi="Arial"/>
              </w:rPr>
            </w:pPr>
            <w:r>
              <w:rPr>
                <w:rFonts w:ascii="Arial" w:hAnsi="Arial"/>
              </w:rPr>
              <w:t>4</w:t>
            </w:r>
          </w:p>
        </w:tc>
        <w:tc>
          <w:tcPr>
            <w:tcW w:w="1260" w:type="dxa"/>
            <w:vAlign w:val="center"/>
          </w:tcPr>
          <w:p w14:paraId="2DFEE735" w14:textId="2DA314D7" w:rsidR="00D316B0" w:rsidRDefault="00D316B0" w:rsidP="005B46B9">
            <w:pPr>
              <w:jc w:val="center"/>
              <w:rPr>
                <w:rFonts w:ascii="Arial" w:hAnsi="Arial"/>
              </w:rPr>
            </w:pPr>
            <w:r>
              <w:rPr>
                <w:rFonts w:ascii="Arial" w:hAnsi="Arial"/>
              </w:rPr>
              <w:t>9</w:t>
            </w:r>
          </w:p>
        </w:tc>
        <w:tc>
          <w:tcPr>
            <w:tcW w:w="1170" w:type="dxa"/>
            <w:vAlign w:val="center"/>
          </w:tcPr>
          <w:p w14:paraId="26F8AFBA" w14:textId="64634648" w:rsidR="00D316B0" w:rsidRDefault="00D316B0" w:rsidP="005B46B9">
            <w:pPr>
              <w:jc w:val="center"/>
              <w:rPr>
                <w:rFonts w:ascii="Arial" w:hAnsi="Arial"/>
              </w:rPr>
            </w:pPr>
            <w:r>
              <w:rPr>
                <w:rFonts w:ascii="Arial" w:hAnsi="Arial"/>
              </w:rPr>
              <w:t>19.0</w:t>
            </w:r>
          </w:p>
        </w:tc>
        <w:tc>
          <w:tcPr>
            <w:tcW w:w="2032" w:type="dxa"/>
            <w:vAlign w:val="center"/>
          </w:tcPr>
          <w:p w14:paraId="2D7A3362" w14:textId="77777777" w:rsidR="00D316B0" w:rsidRDefault="00D316B0" w:rsidP="005B46B9">
            <w:pPr>
              <w:jc w:val="center"/>
              <w:rPr>
                <w:rFonts w:ascii="Arial" w:hAnsi="Arial"/>
              </w:rPr>
            </w:pPr>
            <w:r>
              <w:rPr>
                <w:rFonts w:ascii="Arial" w:hAnsi="Arial"/>
              </w:rPr>
              <w:t>Surface, Base, Patching</w:t>
            </w:r>
          </w:p>
        </w:tc>
      </w:tr>
      <w:tr w:rsidR="00D316B0" w14:paraId="36BA99FC" w14:textId="77777777" w:rsidTr="005B46B9">
        <w:trPr>
          <w:cantSplit/>
          <w:trHeight w:val="288"/>
          <w:jc w:val="center"/>
        </w:trPr>
        <w:tc>
          <w:tcPr>
            <w:tcW w:w="1223" w:type="dxa"/>
            <w:vAlign w:val="center"/>
          </w:tcPr>
          <w:p w14:paraId="04BCE8D6" w14:textId="4F8C319D" w:rsidR="00D316B0" w:rsidRDefault="00D316B0" w:rsidP="005B46B9">
            <w:pPr>
              <w:jc w:val="center"/>
              <w:rPr>
                <w:rFonts w:ascii="Arial" w:hAnsi="Arial"/>
              </w:rPr>
            </w:pPr>
            <w:r>
              <w:rPr>
                <w:rFonts w:ascii="Arial" w:hAnsi="Arial"/>
              </w:rPr>
              <w:t>2</w:t>
            </w:r>
          </w:p>
        </w:tc>
        <w:tc>
          <w:tcPr>
            <w:tcW w:w="1260" w:type="dxa"/>
            <w:vAlign w:val="center"/>
          </w:tcPr>
          <w:p w14:paraId="5E3D1DED" w14:textId="50583EBB" w:rsidR="00D316B0" w:rsidRDefault="00D316B0" w:rsidP="005B46B9">
            <w:pPr>
              <w:jc w:val="center"/>
              <w:rPr>
                <w:rFonts w:ascii="Arial" w:hAnsi="Arial"/>
              </w:rPr>
            </w:pPr>
            <w:r>
              <w:rPr>
                <w:rFonts w:ascii="Arial" w:hAnsi="Arial"/>
              </w:rPr>
              <w:t>2.5</w:t>
            </w:r>
          </w:p>
        </w:tc>
        <w:tc>
          <w:tcPr>
            <w:tcW w:w="1260" w:type="dxa"/>
            <w:vAlign w:val="center"/>
          </w:tcPr>
          <w:p w14:paraId="69B1F22C" w14:textId="646B7EF2" w:rsidR="00D316B0" w:rsidRDefault="00D316B0" w:rsidP="005B46B9">
            <w:pPr>
              <w:jc w:val="center"/>
              <w:rPr>
                <w:rFonts w:ascii="Arial" w:hAnsi="Arial"/>
              </w:rPr>
            </w:pPr>
            <w:r>
              <w:rPr>
                <w:rFonts w:ascii="Arial" w:hAnsi="Arial"/>
              </w:rPr>
              <w:t>2.5</w:t>
            </w:r>
          </w:p>
        </w:tc>
        <w:tc>
          <w:tcPr>
            <w:tcW w:w="1260" w:type="dxa"/>
            <w:vAlign w:val="center"/>
          </w:tcPr>
          <w:p w14:paraId="6AA48375" w14:textId="0AF20327" w:rsidR="00D316B0" w:rsidRDefault="00D316B0" w:rsidP="005B46B9">
            <w:pPr>
              <w:jc w:val="center"/>
              <w:rPr>
                <w:rFonts w:ascii="Arial" w:hAnsi="Arial"/>
              </w:rPr>
            </w:pPr>
            <w:r>
              <w:rPr>
                <w:rFonts w:ascii="Arial" w:hAnsi="Arial"/>
              </w:rPr>
              <w:t>3</w:t>
            </w:r>
          </w:p>
        </w:tc>
        <w:tc>
          <w:tcPr>
            <w:tcW w:w="1170" w:type="dxa"/>
            <w:vAlign w:val="center"/>
          </w:tcPr>
          <w:p w14:paraId="44541AE9" w14:textId="016F9E9A" w:rsidR="00D316B0" w:rsidRDefault="00D316B0" w:rsidP="005B46B9">
            <w:pPr>
              <w:jc w:val="center"/>
              <w:rPr>
                <w:rFonts w:ascii="Arial" w:hAnsi="Arial"/>
              </w:rPr>
            </w:pPr>
            <w:r>
              <w:rPr>
                <w:rFonts w:ascii="Arial" w:hAnsi="Arial"/>
              </w:rPr>
              <w:t>19.0</w:t>
            </w:r>
          </w:p>
        </w:tc>
        <w:tc>
          <w:tcPr>
            <w:tcW w:w="2032" w:type="dxa"/>
            <w:vAlign w:val="center"/>
          </w:tcPr>
          <w:p w14:paraId="69993CB3" w14:textId="32242C99" w:rsidR="00D316B0" w:rsidRDefault="00D316B0" w:rsidP="005B46B9">
            <w:pPr>
              <w:jc w:val="center"/>
              <w:rPr>
                <w:rFonts w:ascii="Arial" w:hAnsi="Arial"/>
              </w:rPr>
            </w:pPr>
            <w:r>
              <w:rPr>
                <w:rFonts w:ascii="Arial" w:hAnsi="Arial"/>
              </w:rPr>
              <w:t>Gap</w:t>
            </w:r>
            <w:r w:rsidR="003810D5">
              <w:rPr>
                <w:rFonts w:ascii="Arial" w:hAnsi="Arial"/>
              </w:rPr>
              <w:t>-</w:t>
            </w:r>
            <w:r>
              <w:rPr>
                <w:rFonts w:ascii="Arial" w:hAnsi="Arial"/>
              </w:rPr>
              <w:t>Graded</w:t>
            </w:r>
          </w:p>
        </w:tc>
      </w:tr>
      <w:tr w:rsidR="00D316B0" w14:paraId="789929B3" w14:textId="77777777" w:rsidTr="005B46B9">
        <w:trPr>
          <w:cantSplit/>
          <w:trHeight w:val="288"/>
          <w:jc w:val="center"/>
        </w:trPr>
        <w:tc>
          <w:tcPr>
            <w:tcW w:w="1223" w:type="dxa"/>
            <w:vAlign w:val="center"/>
          </w:tcPr>
          <w:p w14:paraId="2FB23529" w14:textId="30CFBB55" w:rsidR="00D316B0" w:rsidRDefault="00D316B0" w:rsidP="005B46B9">
            <w:pPr>
              <w:jc w:val="center"/>
              <w:rPr>
                <w:rFonts w:ascii="Arial" w:hAnsi="Arial"/>
              </w:rPr>
            </w:pPr>
            <w:r>
              <w:rPr>
                <w:rFonts w:ascii="Arial" w:hAnsi="Arial"/>
              </w:rPr>
              <w:t>1.5</w:t>
            </w:r>
          </w:p>
        </w:tc>
        <w:tc>
          <w:tcPr>
            <w:tcW w:w="1260" w:type="dxa"/>
            <w:vAlign w:val="center"/>
          </w:tcPr>
          <w:p w14:paraId="62AE2CDA" w14:textId="2C527160" w:rsidR="00D316B0" w:rsidRDefault="00D316B0" w:rsidP="005B46B9">
            <w:pPr>
              <w:jc w:val="center"/>
              <w:rPr>
                <w:rFonts w:ascii="Arial" w:hAnsi="Arial"/>
              </w:rPr>
            </w:pPr>
            <w:r>
              <w:rPr>
                <w:rFonts w:ascii="Arial" w:hAnsi="Arial"/>
              </w:rPr>
              <w:t>2</w:t>
            </w:r>
          </w:p>
        </w:tc>
        <w:tc>
          <w:tcPr>
            <w:tcW w:w="1260" w:type="dxa"/>
            <w:vAlign w:val="center"/>
          </w:tcPr>
          <w:p w14:paraId="4EFB818F" w14:textId="71D448A0" w:rsidR="00D316B0" w:rsidRDefault="00D316B0" w:rsidP="005B46B9">
            <w:pPr>
              <w:jc w:val="center"/>
              <w:rPr>
                <w:rFonts w:ascii="Arial" w:hAnsi="Arial"/>
              </w:rPr>
            </w:pPr>
            <w:r>
              <w:rPr>
                <w:rFonts w:ascii="Arial" w:hAnsi="Arial"/>
              </w:rPr>
              <w:t>3</w:t>
            </w:r>
          </w:p>
        </w:tc>
        <w:tc>
          <w:tcPr>
            <w:tcW w:w="1260" w:type="dxa"/>
            <w:vAlign w:val="center"/>
          </w:tcPr>
          <w:p w14:paraId="21A6270A" w14:textId="77F31506" w:rsidR="00D316B0" w:rsidRDefault="00D316B0" w:rsidP="005B46B9">
            <w:pPr>
              <w:jc w:val="center"/>
              <w:rPr>
                <w:rFonts w:ascii="Arial" w:hAnsi="Arial"/>
              </w:rPr>
            </w:pPr>
            <w:r>
              <w:rPr>
                <w:rFonts w:ascii="Arial" w:hAnsi="Arial"/>
              </w:rPr>
              <w:t>4</w:t>
            </w:r>
          </w:p>
        </w:tc>
        <w:tc>
          <w:tcPr>
            <w:tcW w:w="1170" w:type="dxa"/>
            <w:vAlign w:val="center"/>
          </w:tcPr>
          <w:p w14:paraId="7E34672C" w14:textId="437A892E" w:rsidR="00D316B0" w:rsidRDefault="00D316B0" w:rsidP="005B46B9">
            <w:pPr>
              <w:jc w:val="center"/>
              <w:rPr>
                <w:rFonts w:ascii="Arial" w:hAnsi="Arial"/>
              </w:rPr>
            </w:pPr>
            <w:r>
              <w:rPr>
                <w:rFonts w:ascii="Arial" w:hAnsi="Arial"/>
              </w:rPr>
              <w:t>12.5</w:t>
            </w:r>
          </w:p>
        </w:tc>
        <w:tc>
          <w:tcPr>
            <w:tcW w:w="2032" w:type="dxa"/>
            <w:vAlign w:val="center"/>
          </w:tcPr>
          <w:p w14:paraId="3B66FA32" w14:textId="77777777" w:rsidR="00D316B0" w:rsidRDefault="00D316B0" w:rsidP="005B46B9">
            <w:pPr>
              <w:jc w:val="center"/>
              <w:rPr>
                <w:rFonts w:ascii="Arial" w:hAnsi="Arial"/>
              </w:rPr>
            </w:pPr>
            <w:r>
              <w:rPr>
                <w:rFonts w:ascii="Arial" w:hAnsi="Arial"/>
              </w:rPr>
              <w:t>Surface</w:t>
            </w:r>
          </w:p>
        </w:tc>
      </w:tr>
      <w:tr w:rsidR="00D316B0" w14:paraId="7ECB2A7F" w14:textId="77777777" w:rsidTr="005B46B9">
        <w:trPr>
          <w:cantSplit/>
          <w:trHeight w:val="288"/>
          <w:jc w:val="center"/>
        </w:trPr>
        <w:tc>
          <w:tcPr>
            <w:tcW w:w="1223" w:type="dxa"/>
            <w:vAlign w:val="center"/>
          </w:tcPr>
          <w:p w14:paraId="26E1BA8E" w14:textId="4EED893E" w:rsidR="00D316B0" w:rsidRDefault="00D316B0" w:rsidP="005B46B9">
            <w:pPr>
              <w:jc w:val="center"/>
              <w:rPr>
                <w:rFonts w:ascii="Arial" w:hAnsi="Arial"/>
              </w:rPr>
            </w:pPr>
            <w:r>
              <w:rPr>
                <w:rFonts w:ascii="Arial" w:hAnsi="Arial"/>
              </w:rPr>
              <w:t>1.5</w:t>
            </w:r>
          </w:p>
        </w:tc>
        <w:tc>
          <w:tcPr>
            <w:tcW w:w="1260" w:type="dxa"/>
            <w:vAlign w:val="center"/>
          </w:tcPr>
          <w:p w14:paraId="3CBE9D3F" w14:textId="09B70012" w:rsidR="00D316B0" w:rsidRDefault="00D316B0" w:rsidP="005B46B9">
            <w:pPr>
              <w:jc w:val="center"/>
              <w:rPr>
                <w:rFonts w:ascii="Arial" w:hAnsi="Arial"/>
              </w:rPr>
            </w:pPr>
            <w:r>
              <w:rPr>
                <w:rFonts w:ascii="Arial" w:hAnsi="Arial"/>
              </w:rPr>
              <w:t>2</w:t>
            </w:r>
          </w:p>
        </w:tc>
        <w:tc>
          <w:tcPr>
            <w:tcW w:w="1260" w:type="dxa"/>
            <w:vAlign w:val="center"/>
          </w:tcPr>
          <w:p w14:paraId="77A3548C" w14:textId="4C8A5F45" w:rsidR="00D316B0" w:rsidRDefault="00D316B0" w:rsidP="005B46B9">
            <w:pPr>
              <w:jc w:val="center"/>
              <w:rPr>
                <w:rFonts w:ascii="Arial" w:hAnsi="Arial"/>
              </w:rPr>
            </w:pPr>
            <w:r>
              <w:rPr>
                <w:rFonts w:ascii="Arial" w:hAnsi="Arial"/>
              </w:rPr>
              <w:t>2</w:t>
            </w:r>
          </w:p>
        </w:tc>
        <w:tc>
          <w:tcPr>
            <w:tcW w:w="1260" w:type="dxa"/>
            <w:vAlign w:val="center"/>
          </w:tcPr>
          <w:p w14:paraId="4FEF76D2" w14:textId="7375C4C3" w:rsidR="00D316B0" w:rsidRDefault="00D316B0" w:rsidP="005B46B9">
            <w:pPr>
              <w:jc w:val="center"/>
              <w:rPr>
                <w:rFonts w:ascii="Arial" w:hAnsi="Arial"/>
              </w:rPr>
            </w:pPr>
            <w:r>
              <w:rPr>
                <w:rFonts w:ascii="Arial" w:hAnsi="Arial"/>
              </w:rPr>
              <w:t>2</w:t>
            </w:r>
          </w:p>
        </w:tc>
        <w:tc>
          <w:tcPr>
            <w:tcW w:w="1170" w:type="dxa"/>
            <w:vAlign w:val="center"/>
          </w:tcPr>
          <w:p w14:paraId="30AE28C9" w14:textId="080A5FDC" w:rsidR="00D316B0" w:rsidRDefault="00D316B0" w:rsidP="005B46B9">
            <w:pPr>
              <w:jc w:val="center"/>
              <w:rPr>
                <w:rFonts w:ascii="Arial" w:hAnsi="Arial"/>
              </w:rPr>
            </w:pPr>
            <w:r>
              <w:rPr>
                <w:rFonts w:ascii="Arial" w:hAnsi="Arial"/>
              </w:rPr>
              <w:t>12.5</w:t>
            </w:r>
          </w:p>
        </w:tc>
        <w:tc>
          <w:tcPr>
            <w:tcW w:w="2032" w:type="dxa"/>
            <w:vAlign w:val="center"/>
          </w:tcPr>
          <w:p w14:paraId="245F8056" w14:textId="110C2782" w:rsidR="00D316B0" w:rsidRDefault="00D316B0" w:rsidP="005B46B9">
            <w:pPr>
              <w:jc w:val="center"/>
              <w:rPr>
                <w:rFonts w:ascii="Arial" w:hAnsi="Arial"/>
              </w:rPr>
            </w:pPr>
            <w:r>
              <w:rPr>
                <w:rFonts w:ascii="Arial" w:hAnsi="Arial"/>
              </w:rPr>
              <w:t>Gap</w:t>
            </w:r>
            <w:r w:rsidR="003810D5">
              <w:rPr>
                <w:rFonts w:ascii="Arial" w:hAnsi="Arial"/>
              </w:rPr>
              <w:t>-</w:t>
            </w:r>
            <w:r>
              <w:rPr>
                <w:rFonts w:ascii="Arial" w:hAnsi="Arial"/>
              </w:rPr>
              <w:t>Graded</w:t>
            </w:r>
          </w:p>
        </w:tc>
      </w:tr>
      <w:tr w:rsidR="00AD35E3" w14:paraId="3BDFD178" w14:textId="77777777" w:rsidTr="00AC00BE">
        <w:trPr>
          <w:cantSplit/>
          <w:trHeight w:val="288"/>
          <w:jc w:val="center"/>
        </w:trPr>
        <w:tc>
          <w:tcPr>
            <w:tcW w:w="1223" w:type="dxa"/>
            <w:vAlign w:val="center"/>
          </w:tcPr>
          <w:p w14:paraId="4BA5FF4B" w14:textId="0C472BEA" w:rsidR="00AD35E3" w:rsidRDefault="00AD35E3" w:rsidP="00AC00BE">
            <w:pPr>
              <w:jc w:val="center"/>
              <w:rPr>
                <w:rFonts w:ascii="Arial" w:hAnsi="Arial"/>
              </w:rPr>
            </w:pPr>
            <w:r>
              <w:rPr>
                <w:rFonts w:ascii="Arial" w:hAnsi="Arial"/>
              </w:rPr>
              <w:t>1.25</w:t>
            </w:r>
          </w:p>
        </w:tc>
        <w:tc>
          <w:tcPr>
            <w:tcW w:w="1260" w:type="dxa"/>
            <w:vAlign w:val="center"/>
          </w:tcPr>
          <w:p w14:paraId="3A3FC6D3" w14:textId="77777777" w:rsidR="00AD35E3" w:rsidRDefault="00AD35E3" w:rsidP="00AC00BE">
            <w:pPr>
              <w:jc w:val="center"/>
              <w:rPr>
                <w:rFonts w:ascii="Arial" w:hAnsi="Arial"/>
              </w:rPr>
            </w:pPr>
            <w:r>
              <w:rPr>
                <w:rFonts w:ascii="Arial" w:hAnsi="Arial"/>
              </w:rPr>
              <w:t>1.5</w:t>
            </w:r>
          </w:p>
        </w:tc>
        <w:tc>
          <w:tcPr>
            <w:tcW w:w="1260" w:type="dxa"/>
            <w:vAlign w:val="center"/>
          </w:tcPr>
          <w:p w14:paraId="3BBB59AE" w14:textId="77777777" w:rsidR="00AD35E3" w:rsidRDefault="00AD35E3" w:rsidP="00AC00BE">
            <w:pPr>
              <w:jc w:val="center"/>
              <w:rPr>
                <w:rFonts w:ascii="Arial" w:hAnsi="Arial"/>
              </w:rPr>
            </w:pPr>
            <w:r>
              <w:rPr>
                <w:rFonts w:ascii="Arial" w:hAnsi="Arial"/>
              </w:rPr>
              <w:t>2</w:t>
            </w:r>
          </w:p>
        </w:tc>
        <w:tc>
          <w:tcPr>
            <w:tcW w:w="1260" w:type="dxa"/>
            <w:vAlign w:val="center"/>
          </w:tcPr>
          <w:p w14:paraId="1D6C3790" w14:textId="77777777" w:rsidR="00AD35E3" w:rsidRDefault="00AD35E3" w:rsidP="00AC00BE">
            <w:pPr>
              <w:jc w:val="center"/>
              <w:rPr>
                <w:rFonts w:ascii="Arial" w:hAnsi="Arial"/>
              </w:rPr>
            </w:pPr>
            <w:r>
              <w:rPr>
                <w:rFonts w:ascii="Arial" w:hAnsi="Arial"/>
              </w:rPr>
              <w:t>3</w:t>
            </w:r>
          </w:p>
        </w:tc>
        <w:tc>
          <w:tcPr>
            <w:tcW w:w="1170" w:type="dxa"/>
            <w:vAlign w:val="center"/>
          </w:tcPr>
          <w:p w14:paraId="5B9C5080" w14:textId="77777777" w:rsidR="00AD35E3" w:rsidRDefault="00AD35E3" w:rsidP="00AC00BE">
            <w:pPr>
              <w:jc w:val="center"/>
              <w:rPr>
                <w:rFonts w:ascii="Arial" w:hAnsi="Arial"/>
              </w:rPr>
            </w:pPr>
            <w:r>
              <w:rPr>
                <w:rFonts w:ascii="Arial" w:hAnsi="Arial"/>
              </w:rPr>
              <w:t>9.5</w:t>
            </w:r>
          </w:p>
        </w:tc>
        <w:tc>
          <w:tcPr>
            <w:tcW w:w="2032" w:type="dxa"/>
            <w:vAlign w:val="center"/>
          </w:tcPr>
          <w:p w14:paraId="16C91964" w14:textId="580F15FB" w:rsidR="00AD35E3" w:rsidRDefault="00AD35E3" w:rsidP="00AC00BE">
            <w:pPr>
              <w:jc w:val="center"/>
              <w:rPr>
                <w:rFonts w:ascii="Arial" w:hAnsi="Arial"/>
              </w:rPr>
            </w:pPr>
            <w:r>
              <w:rPr>
                <w:rFonts w:ascii="Arial" w:hAnsi="Arial"/>
              </w:rPr>
              <w:t>Surface</w:t>
            </w:r>
          </w:p>
        </w:tc>
      </w:tr>
      <w:tr w:rsidR="00D316B0" w14:paraId="3992AC03" w14:textId="77777777" w:rsidTr="005B46B9">
        <w:trPr>
          <w:cantSplit/>
          <w:trHeight w:val="288"/>
          <w:jc w:val="center"/>
        </w:trPr>
        <w:tc>
          <w:tcPr>
            <w:tcW w:w="1223" w:type="dxa"/>
            <w:vAlign w:val="center"/>
          </w:tcPr>
          <w:p w14:paraId="532A405F" w14:textId="386BF5AE" w:rsidR="00D316B0" w:rsidRDefault="00D316B0" w:rsidP="005B46B9">
            <w:pPr>
              <w:jc w:val="center"/>
              <w:rPr>
                <w:rFonts w:ascii="Arial" w:hAnsi="Arial"/>
              </w:rPr>
            </w:pPr>
            <w:r>
              <w:rPr>
                <w:rFonts w:ascii="Arial" w:hAnsi="Arial"/>
              </w:rPr>
              <w:t>1</w:t>
            </w:r>
          </w:p>
        </w:tc>
        <w:tc>
          <w:tcPr>
            <w:tcW w:w="1260" w:type="dxa"/>
            <w:vAlign w:val="center"/>
          </w:tcPr>
          <w:p w14:paraId="16F46EA1" w14:textId="1A545CA1" w:rsidR="00D316B0" w:rsidRDefault="00D316B0" w:rsidP="005B46B9">
            <w:pPr>
              <w:jc w:val="center"/>
              <w:rPr>
                <w:rFonts w:ascii="Arial" w:hAnsi="Arial"/>
              </w:rPr>
            </w:pPr>
            <w:r>
              <w:rPr>
                <w:rFonts w:ascii="Arial" w:hAnsi="Arial"/>
              </w:rPr>
              <w:t>1.5</w:t>
            </w:r>
          </w:p>
        </w:tc>
        <w:tc>
          <w:tcPr>
            <w:tcW w:w="1260" w:type="dxa"/>
            <w:vAlign w:val="center"/>
          </w:tcPr>
          <w:p w14:paraId="3A44E277" w14:textId="31723B05" w:rsidR="00D316B0" w:rsidRDefault="00D316B0" w:rsidP="005B46B9">
            <w:pPr>
              <w:jc w:val="center"/>
              <w:rPr>
                <w:rFonts w:ascii="Arial" w:hAnsi="Arial"/>
              </w:rPr>
            </w:pPr>
            <w:r>
              <w:rPr>
                <w:rFonts w:ascii="Arial" w:hAnsi="Arial"/>
              </w:rPr>
              <w:t>2</w:t>
            </w:r>
          </w:p>
        </w:tc>
        <w:tc>
          <w:tcPr>
            <w:tcW w:w="1260" w:type="dxa"/>
            <w:vAlign w:val="center"/>
          </w:tcPr>
          <w:p w14:paraId="7FB0D01C" w14:textId="064F00F1" w:rsidR="00D316B0" w:rsidRDefault="00D316B0" w:rsidP="005B46B9">
            <w:pPr>
              <w:jc w:val="center"/>
              <w:rPr>
                <w:rFonts w:ascii="Arial" w:hAnsi="Arial"/>
              </w:rPr>
            </w:pPr>
            <w:r>
              <w:rPr>
                <w:rFonts w:ascii="Arial" w:hAnsi="Arial"/>
              </w:rPr>
              <w:t>3</w:t>
            </w:r>
          </w:p>
        </w:tc>
        <w:tc>
          <w:tcPr>
            <w:tcW w:w="1170" w:type="dxa"/>
            <w:vAlign w:val="center"/>
          </w:tcPr>
          <w:p w14:paraId="3D2CBD0E" w14:textId="1FE3D407" w:rsidR="00D316B0" w:rsidRDefault="00D316B0" w:rsidP="005B46B9">
            <w:pPr>
              <w:jc w:val="center"/>
              <w:rPr>
                <w:rFonts w:ascii="Arial" w:hAnsi="Arial"/>
              </w:rPr>
            </w:pPr>
            <w:r>
              <w:rPr>
                <w:rFonts w:ascii="Arial" w:hAnsi="Arial"/>
              </w:rPr>
              <w:t>9.5</w:t>
            </w:r>
          </w:p>
        </w:tc>
        <w:tc>
          <w:tcPr>
            <w:tcW w:w="2032" w:type="dxa"/>
            <w:vAlign w:val="center"/>
          </w:tcPr>
          <w:p w14:paraId="785D97BA" w14:textId="78E65C32" w:rsidR="00D316B0" w:rsidRDefault="00D316B0" w:rsidP="005B46B9">
            <w:pPr>
              <w:jc w:val="center"/>
              <w:rPr>
                <w:rFonts w:ascii="Arial" w:hAnsi="Arial"/>
              </w:rPr>
            </w:pPr>
            <w:r>
              <w:rPr>
                <w:rFonts w:ascii="Arial" w:hAnsi="Arial"/>
              </w:rPr>
              <w:t>Leveling</w:t>
            </w:r>
          </w:p>
        </w:tc>
      </w:tr>
      <w:tr w:rsidR="00D316B0" w14:paraId="26B60842" w14:textId="77777777" w:rsidTr="005B46B9">
        <w:trPr>
          <w:cantSplit/>
          <w:trHeight w:val="288"/>
          <w:jc w:val="center"/>
        </w:trPr>
        <w:tc>
          <w:tcPr>
            <w:tcW w:w="1223" w:type="dxa"/>
            <w:vAlign w:val="center"/>
          </w:tcPr>
          <w:p w14:paraId="4ADDC93A" w14:textId="20BCF672" w:rsidR="00D316B0" w:rsidRDefault="00D316B0" w:rsidP="005B46B9">
            <w:pPr>
              <w:jc w:val="center"/>
              <w:rPr>
                <w:rFonts w:ascii="Arial" w:hAnsi="Arial"/>
              </w:rPr>
            </w:pPr>
            <w:r>
              <w:rPr>
                <w:rFonts w:ascii="Arial" w:hAnsi="Arial"/>
              </w:rPr>
              <w:t>1</w:t>
            </w:r>
            <w:r w:rsidR="00DC2296">
              <w:rPr>
                <w:rFonts w:ascii="Arial" w:hAnsi="Arial"/>
              </w:rPr>
              <w:t>.5</w:t>
            </w:r>
          </w:p>
        </w:tc>
        <w:tc>
          <w:tcPr>
            <w:tcW w:w="1260" w:type="dxa"/>
            <w:vAlign w:val="center"/>
          </w:tcPr>
          <w:p w14:paraId="397DA39E" w14:textId="216C61D6" w:rsidR="00D316B0" w:rsidRDefault="00DC2296" w:rsidP="005B46B9">
            <w:pPr>
              <w:jc w:val="center"/>
              <w:rPr>
                <w:rFonts w:ascii="Arial" w:hAnsi="Arial"/>
              </w:rPr>
            </w:pPr>
            <w:r>
              <w:rPr>
                <w:rFonts w:ascii="Arial" w:hAnsi="Arial"/>
              </w:rPr>
              <w:t>2</w:t>
            </w:r>
          </w:p>
        </w:tc>
        <w:tc>
          <w:tcPr>
            <w:tcW w:w="1260" w:type="dxa"/>
            <w:vAlign w:val="center"/>
          </w:tcPr>
          <w:p w14:paraId="23FAAD4E" w14:textId="55F22090" w:rsidR="00D316B0" w:rsidRDefault="00DC2296" w:rsidP="005B46B9">
            <w:pPr>
              <w:jc w:val="center"/>
              <w:rPr>
                <w:rFonts w:ascii="Arial" w:hAnsi="Arial"/>
              </w:rPr>
            </w:pPr>
            <w:r>
              <w:rPr>
                <w:rFonts w:ascii="Arial" w:hAnsi="Arial"/>
              </w:rPr>
              <w:t>2</w:t>
            </w:r>
          </w:p>
        </w:tc>
        <w:tc>
          <w:tcPr>
            <w:tcW w:w="1260" w:type="dxa"/>
            <w:vAlign w:val="center"/>
          </w:tcPr>
          <w:p w14:paraId="62D7590F" w14:textId="44D81BA3" w:rsidR="00D316B0" w:rsidRDefault="00DC2296" w:rsidP="005B46B9">
            <w:pPr>
              <w:jc w:val="center"/>
              <w:rPr>
                <w:rFonts w:ascii="Arial" w:hAnsi="Arial"/>
              </w:rPr>
            </w:pPr>
            <w:r>
              <w:rPr>
                <w:rFonts w:ascii="Arial" w:hAnsi="Arial"/>
              </w:rPr>
              <w:t>2</w:t>
            </w:r>
          </w:p>
        </w:tc>
        <w:tc>
          <w:tcPr>
            <w:tcW w:w="1170" w:type="dxa"/>
            <w:vAlign w:val="center"/>
          </w:tcPr>
          <w:p w14:paraId="7A80787A" w14:textId="27ED842D" w:rsidR="00D316B0" w:rsidRDefault="00D316B0" w:rsidP="005B46B9">
            <w:pPr>
              <w:jc w:val="center"/>
              <w:rPr>
                <w:rFonts w:ascii="Arial" w:hAnsi="Arial"/>
              </w:rPr>
            </w:pPr>
            <w:r>
              <w:rPr>
                <w:rFonts w:ascii="Arial" w:hAnsi="Arial"/>
              </w:rPr>
              <w:t>9.5</w:t>
            </w:r>
          </w:p>
        </w:tc>
        <w:tc>
          <w:tcPr>
            <w:tcW w:w="2032" w:type="dxa"/>
            <w:vAlign w:val="center"/>
          </w:tcPr>
          <w:p w14:paraId="2D9ACCF8" w14:textId="5DF4890A" w:rsidR="00D316B0" w:rsidRDefault="00D316B0" w:rsidP="005B46B9">
            <w:pPr>
              <w:jc w:val="center"/>
              <w:rPr>
                <w:rFonts w:ascii="Arial" w:hAnsi="Arial"/>
              </w:rPr>
            </w:pPr>
            <w:r>
              <w:rPr>
                <w:rFonts w:ascii="Arial" w:hAnsi="Arial"/>
              </w:rPr>
              <w:t>Gap</w:t>
            </w:r>
            <w:r w:rsidR="003810D5">
              <w:rPr>
                <w:rFonts w:ascii="Arial" w:hAnsi="Arial"/>
              </w:rPr>
              <w:t>-</w:t>
            </w:r>
            <w:r>
              <w:rPr>
                <w:rFonts w:ascii="Arial" w:hAnsi="Arial"/>
              </w:rPr>
              <w:t>Graded</w:t>
            </w:r>
          </w:p>
        </w:tc>
      </w:tr>
      <w:tr w:rsidR="00D316B0" w14:paraId="51E21963" w14:textId="77777777" w:rsidTr="005B46B9">
        <w:trPr>
          <w:cantSplit/>
          <w:trHeight w:val="288"/>
          <w:jc w:val="center"/>
        </w:trPr>
        <w:tc>
          <w:tcPr>
            <w:tcW w:w="1223" w:type="dxa"/>
            <w:vAlign w:val="center"/>
          </w:tcPr>
          <w:p w14:paraId="30678E5D" w14:textId="093A248B" w:rsidR="00D316B0" w:rsidRDefault="00D316B0" w:rsidP="005B46B9">
            <w:pPr>
              <w:jc w:val="center"/>
              <w:rPr>
                <w:rFonts w:ascii="Arial" w:hAnsi="Arial"/>
              </w:rPr>
            </w:pPr>
            <w:r>
              <w:rPr>
                <w:rFonts w:ascii="Arial" w:hAnsi="Arial"/>
              </w:rPr>
              <w:t>0.5</w:t>
            </w:r>
          </w:p>
        </w:tc>
        <w:tc>
          <w:tcPr>
            <w:tcW w:w="1260" w:type="dxa"/>
            <w:vAlign w:val="center"/>
          </w:tcPr>
          <w:p w14:paraId="0FCD5D14" w14:textId="1698AF28" w:rsidR="00D316B0" w:rsidRDefault="00D316B0" w:rsidP="005B46B9">
            <w:pPr>
              <w:jc w:val="center"/>
              <w:rPr>
                <w:rFonts w:ascii="Arial" w:hAnsi="Arial"/>
              </w:rPr>
            </w:pPr>
            <w:r>
              <w:rPr>
                <w:rFonts w:ascii="Arial" w:hAnsi="Arial"/>
              </w:rPr>
              <w:t>0.75</w:t>
            </w:r>
          </w:p>
        </w:tc>
        <w:tc>
          <w:tcPr>
            <w:tcW w:w="1260" w:type="dxa"/>
            <w:vAlign w:val="center"/>
          </w:tcPr>
          <w:p w14:paraId="54789331" w14:textId="7A845005" w:rsidR="00D316B0" w:rsidRDefault="00D316B0" w:rsidP="005B46B9">
            <w:pPr>
              <w:jc w:val="center"/>
              <w:rPr>
                <w:rFonts w:ascii="Arial" w:hAnsi="Arial"/>
              </w:rPr>
            </w:pPr>
            <w:r>
              <w:rPr>
                <w:rFonts w:ascii="Arial" w:hAnsi="Arial"/>
              </w:rPr>
              <w:t>1</w:t>
            </w:r>
          </w:p>
        </w:tc>
        <w:tc>
          <w:tcPr>
            <w:tcW w:w="1260" w:type="dxa"/>
            <w:vAlign w:val="center"/>
          </w:tcPr>
          <w:p w14:paraId="30B3B138" w14:textId="40FEBC63" w:rsidR="00D316B0" w:rsidRDefault="00D316B0" w:rsidP="005B46B9">
            <w:pPr>
              <w:jc w:val="center"/>
              <w:rPr>
                <w:rFonts w:ascii="Arial" w:hAnsi="Arial"/>
              </w:rPr>
            </w:pPr>
            <w:r>
              <w:rPr>
                <w:rFonts w:ascii="Arial" w:hAnsi="Arial"/>
              </w:rPr>
              <w:t>1</w:t>
            </w:r>
          </w:p>
        </w:tc>
        <w:tc>
          <w:tcPr>
            <w:tcW w:w="1170" w:type="dxa"/>
            <w:vAlign w:val="center"/>
          </w:tcPr>
          <w:p w14:paraId="78A272D4" w14:textId="078E0373" w:rsidR="00D316B0" w:rsidRDefault="00D316B0" w:rsidP="005B46B9">
            <w:pPr>
              <w:jc w:val="center"/>
              <w:rPr>
                <w:rFonts w:ascii="Arial" w:hAnsi="Arial"/>
              </w:rPr>
            </w:pPr>
            <w:r>
              <w:rPr>
                <w:rFonts w:ascii="Arial" w:hAnsi="Arial"/>
              </w:rPr>
              <w:t>4.75</w:t>
            </w:r>
          </w:p>
        </w:tc>
        <w:tc>
          <w:tcPr>
            <w:tcW w:w="2032" w:type="dxa"/>
            <w:vAlign w:val="center"/>
          </w:tcPr>
          <w:p w14:paraId="0B1C25C8" w14:textId="3D3F6D42" w:rsidR="00D316B0" w:rsidRDefault="00D316B0" w:rsidP="005B46B9">
            <w:pPr>
              <w:jc w:val="center"/>
              <w:rPr>
                <w:rFonts w:ascii="Arial" w:hAnsi="Arial"/>
              </w:rPr>
            </w:pPr>
            <w:r>
              <w:rPr>
                <w:rFonts w:ascii="Arial" w:hAnsi="Arial"/>
              </w:rPr>
              <w:t>Leveling</w:t>
            </w:r>
          </w:p>
        </w:tc>
      </w:tr>
    </w:tbl>
    <w:p w14:paraId="69F4B97D" w14:textId="77777777" w:rsidR="00D316B0" w:rsidRDefault="00D316B0" w:rsidP="00BE3F24">
      <w:pPr>
        <w:pStyle w:val="BodyText"/>
        <w:jc w:val="both"/>
      </w:pPr>
    </w:p>
    <w:p w14:paraId="6C7CD809" w14:textId="5F2E8192" w:rsidR="00D316B0" w:rsidRDefault="00D316B0" w:rsidP="00172E64">
      <w:pPr>
        <w:pStyle w:val="Heading4"/>
        <w:numPr>
          <w:ilvl w:val="3"/>
          <w:numId w:val="184"/>
        </w:numPr>
        <w:ind w:left="0" w:firstLine="0"/>
        <w:jc w:val="both"/>
      </w:pPr>
      <w:bookmarkStart w:id="421" w:name="_List_of_Preferred"/>
      <w:bookmarkStart w:id="422" w:name="_Toc364322313"/>
      <w:bookmarkEnd w:id="421"/>
      <w:r>
        <w:t>List of Preferred HMA Mixes</w:t>
      </w:r>
      <w:bookmarkEnd w:id="422"/>
      <w:r>
        <w:t xml:space="preserve">  </w:t>
      </w:r>
    </w:p>
    <w:p w14:paraId="0C78B321" w14:textId="77777777" w:rsidR="00C124A0" w:rsidRPr="008F604D" w:rsidRDefault="00C124A0" w:rsidP="00C124A0">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Traffic_Level_Selection" w:history="1">
        <w:r w:rsidRPr="00C124A0">
          <w:rPr>
            <w:rStyle w:val="Hyperlink"/>
            <w:rFonts w:ascii="Arial" w:hAnsi="Arial" w:cs="Arial"/>
            <w:bCs/>
            <w:sz w:val="16"/>
            <w:szCs w:val="16"/>
          </w:rPr>
          <w:t>Traffic Level Selection</w:t>
        </w:r>
      </w:hyperlink>
    </w:p>
    <w:p w14:paraId="0D7CB529" w14:textId="789F80A3" w:rsidR="00D316B0" w:rsidRDefault="00D316B0" w:rsidP="005B46B9">
      <w:pPr>
        <w:pStyle w:val="BodyText"/>
        <w:spacing w:before="120"/>
        <w:jc w:val="both"/>
      </w:pPr>
      <w:r>
        <w:t xml:space="preserve">Through the early implementation years of Superpave HMA design system in </w:t>
      </w:r>
      <w:r w:rsidR="008C7023">
        <w:t>MDOT-SHA</w:t>
      </w:r>
      <w:r>
        <w:t xml:space="preserve">, many lessons were learned about the construction placement and practicality of producing multiple HMA mixes from a single plant.  Those lessons learned were used to improve the system and evaluate the list of potential HMA mixes on a typical construction project.  It became apparent that although Superpave provided an excellent system to design and build a HMA mix specific </w:t>
      </w:r>
      <w:r w:rsidR="00BA12DF">
        <w:t xml:space="preserve">to </w:t>
      </w:r>
      <w:r>
        <w:t xml:space="preserve">the unique conditions of each project, the practicality of keeping a significant number of HMA mixes available for every project-specific condition created a challenge for the HMA industry in production and for </w:t>
      </w:r>
      <w:r w:rsidR="008C7023">
        <w:t>MDOT-SHA</w:t>
      </w:r>
      <w:r>
        <w:t xml:space="preserve"> in monitoring.</w:t>
      </w:r>
    </w:p>
    <w:p w14:paraId="043E93E8" w14:textId="7DCFA5E8" w:rsidR="00D316B0" w:rsidRPr="00E749D4" w:rsidRDefault="00D316B0" w:rsidP="00BE3F24">
      <w:pPr>
        <w:pStyle w:val="BodyText"/>
        <w:jc w:val="both"/>
      </w:pPr>
      <w:r>
        <w:t xml:space="preserve">Therefore, </w:t>
      </w:r>
      <w:r w:rsidR="008C7023">
        <w:t>MDOT-SHA</w:t>
      </w:r>
      <w:r>
        <w:t xml:space="preserve"> and the Asphalt industry partnered to evaluate the use of HMA mixes and the applications over several construction seasons.  The goal </w:t>
      </w:r>
      <w:r w:rsidR="002C0DA2">
        <w:t>i</w:t>
      </w:r>
      <w:r>
        <w:t xml:space="preserve">s to develop a list of preferred HMA mixes that would be used on </w:t>
      </w:r>
      <w:r w:rsidR="002C0DA2">
        <w:t xml:space="preserve">most MDOT-SHA </w:t>
      </w:r>
      <w:r>
        <w:t xml:space="preserve">projects </w:t>
      </w:r>
      <w:r w:rsidR="002C0DA2">
        <w:t>which consider</w:t>
      </w:r>
      <w:r w:rsidR="006C7C93">
        <w:t>s</w:t>
      </w:r>
      <w:r>
        <w:t xml:space="preserve"> the production and storage demands of a typical HMA industry producer.  This </w:t>
      </w:r>
      <w:r>
        <w:lastRenderedPageBreak/>
        <w:t>preferred list focuse</w:t>
      </w:r>
      <w:r w:rsidR="002C0DA2">
        <w:t>s</w:t>
      </w:r>
      <w:r>
        <w:t xml:space="preserve"> on using HMA mixes that provide high quality long</w:t>
      </w:r>
      <w:r w:rsidR="00437FFE">
        <w:t>-</w:t>
      </w:r>
      <w:r>
        <w:t xml:space="preserve">term performance and yield consistent production results.  </w:t>
      </w:r>
      <w:r w:rsidRPr="00E749D4">
        <w:t>The following is the preferred list of HMA mixes:</w:t>
      </w:r>
    </w:p>
    <w:p w14:paraId="37DC6412" w14:textId="77777777" w:rsidR="006C7C93" w:rsidRDefault="006C7C93" w:rsidP="00BE3F24">
      <w:pPr>
        <w:pStyle w:val="BodyText"/>
        <w:jc w:val="both"/>
      </w:pPr>
    </w:p>
    <w:p w14:paraId="1CF7DC2F" w14:textId="77777777" w:rsidR="006C7C93" w:rsidRDefault="006C7C93" w:rsidP="00BE3F24">
      <w:pPr>
        <w:pStyle w:val="BodyText"/>
        <w:jc w:val="both"/>
      </w:pPr>
    </w:p>
    <w:tbl>
      <w:tblPr>
        <w:tblW w:w="5220" w:type="dxa"/>
        <w:jc w:val="center"/>
        <w:tblLook w:val="0000" w:firstRow="0" w:lastRow="0" w:firstColumn="0" w:lastColumn="0" w:noHBand="0" w:noVBand="0"/>
      </w:tblPr>
      <w:tblGrid>
        <w:gridCol w:w="1023"/>
        <w:gridCol w:w="4197"/>
      </w:tblGrid>
      <w:tr w:rsidR="00D316B0" w:rsidRPr="00BC3AB9" w14:paraId="3FC293A7" w14:textId="77777777" w:rsidTr="005B46B9">
        <w:trPr>
          <w:trHeight w:val="288"/>
          <w:jc w:val="center"/>
        </w:trPr>
        <w:tc>
          <w:tcPr>
            <w:tcW w:w="5220" w:type="dxa"/>
            <w:gridSpan w:val="2"/>
            <w:tcBorders>
              <w:top w:val="nil"/>
              <w:left w:val="nil"/>
              <w:bottom w:val="single" w:sz="4" w:space="0" w:color="auto"/>
              <w:right w:val="nil"/>
            </w:tcBorders>
            <w:noWrap/>
            <w:vAlign w:val="center"/>
          </w:tcPr>
          <w:p w14:paraId="3902E972" w14:textId="77777777" w:rsidR="00D316B0" w:rsidRPr="00BC3AB9" w:rsidRDefault="00D316B0" w:rsidP="005B46B9">
            <w:pPr>
              <w:jc w:val="center"/>
              <w:rPr>
                <w:rFonts w:ascii="Arial" w:hAnsi="Arial" w:cs="Arial"/>
                <w:b/>
                <w:bCs/>
                <w:sz w:val="28"/>
                <w:szCs w:val="28"/>
              </w:rPr>
            </w:pPr>
            <w:r>
              <w:rPr>
                <w:rFonts w:ascii="Arial" w:hAnsi="Arial" w:cs="Arial"/>
                <w:b/>
                <w:bCs/>
                <w:sz w:val="28"/>
                <w:szCs w:val="28"/>
              </w:rPr>
              <w:t xml:space="preserve">Preferred </w:t>
            </w:r>
            <w:r w:rsidRPr="00BC3AB9">
              <w:rPr>
                <w:rFonts w:ascii="Arial" w:hAnsi="Arial" w:cs="Arial"/>
                <w:b/>
                <w:bCs/>
                <w:sz w:val="28"/>
                <w:szCs w:val="28"/>
              </w:rPr>
              <w:t>HMA Mixes</w:t>
            </w:r>
          </w:p>
        </w:tc>
      </w:tr>
      <w:tr w:rsidR="00D316B0" w:rsidRPr="00BC3AB9" w14:paraId="3BFD6740"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6A75452" w14:textId="77777777" w:rsidR="00D316B0" w:rsidRPr="00981E7E" w:rsidRDefault="00D316B0" w:rsidP="005B46B9">
            <w:pPr>
              <w:jc w:val="center"/>
              <w:rPr>
                <w:rFonts w:ascii="Arial" w:hAnsi="Arial" w:cs="Arial"/>
                <w:b/>
                <w:color w:val="000000"/>
                <w:sz w:val="22"/>
                <w:szCs w:val="22"/>
              </w:rPr>
            </w:pPr>
            <w:r w:rsidRPr="00981E7E">
              <w:rPr>
                <w:rFonts w:ascii="Arial" w:hAnsi="Arial" w:cs="Arial"/>
                <w:b/>
                <w:color w:val="000000"/>
                <w:sz w:val="22"/>
                <w:szCs w:val="22"/>
              </w:rPr>
              <w:t>#</w:t>
            </w:r>
          </w:p>
        </w:tc>
        <w:tc>
          <w:tcPr>
            <w:tcW w:w="4197" w:type="dxa"/>
            <w:tcBorders>
              <w:top w:val="single" w:sz="4" w:space="0" w:color="auto"/>
              <w:left w:val="nil"/>
              <w:bottom w:val="single" w:sz="4" w:space="0" w:color="auto"/>
              <w:right w:val="single" w:sz="4" w:space="0" w:color="auto"/>
            </w:tcBorders>
            <w:shd w:val="clear" w:color="000000" w:fill="C0C0C0"/>
            <w:noWrap/>
            <w:vAlign w:val="center"/>
          </w:tcPr>
          <w:p w14:paraId="7C5AA1C8" w14:textId="77777777" w:rsidR="00D316B0" w:rsidRPr="00981E7E" w:rsidRDefault="00D316B0" w:rsidP="00DF33CD">
            <w:pPr>
              <w:jc w:val="both"/>
              <w:rPr>
                <w:rFonts w:ascii="Arial" w:hAnsi="Arial" w:cs="Arial"/>
                <w:b/>
                <w:color w:val="000000"/>
                <w:sz w:val="22"/>
                <w:szCs w:val="22"/>
              </w:rPr>
            </w:pPr>
            <w:r w:rsidRPr="00981E7E">
              <w:rPr>
                <w:rFonts w:ascii="Arial" w:hAnsi="Arial" w:cs="Arial"/>
                <w:b/>
                <w:color w:val="000000"/>
                <w:sz w:val="22"/>
                <w:szCs w:val="22"/>
              </w:rPr>
              <w:t>Mix Designation</w:t>
            </w:r>
          </w:p>
        </w:tc>
      </w:tr>
      <w:tr w:rsidR="00CE3E36" w:rsidRPr="00BC3AB9" w14:paraId="7767515B"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036EC3D1" w14:textId="77777777" w:rsidR="00CE3E36" w:rsidRPr="00981E7E" w:rsidRDefault="00CE3E36" w:rsidP="005B46B9">
            <w:pPr>
              <w:jc w:val="center"/>
              <w:rPr>
                <w:rFonts w:ascii="Arial" w:hAnsi="Arial" w:cs="Arial"/>
                <w:sz w:val="22"/>
                <w:szCs w:val="22"/>
              </w:rPr>
            </w:pPr>
            <w:r w:rsidRPr="00981E7E">
              <w:rPr>
                <w:rFonts w:ascii="Arial" w:hAnsi="Arial" w:cs="Arial"/>
                <w:sz w:val="22"/>
                <w:szCs w:val="22"/>
              </w:rPr>
              <w:t>1</w:t>
            </w:r>
          </w:p>
        </w:tc>
        <w:tc>
          <w:tcPr>
            <w:tcW w:w="4197" w:type="dxa"/>
            <w:tcBorders>
              <w:top w:val="single" w:sz="4" w:space="0" w:color="auto"/>
              <w:left w:val="nil"/>
              <w:bottom w:val="single" w:sz="4" w:space="0" w:color="auto"/>
              <w:right w:val="single" w:sz="4" w:space="0" w:color="auto"/>
            </w:tcBorders>
            <w:noWrap/>
            <w:vAlign w:val="center"/>
          </w:tcPr>
          <w:p w14:paraId="4B5AD9EE" w14:textId="578B9CBC" w:rsidR="00CE3E36" w:rsidRPr="00981E7E" w:rsidRDefault="00437FFE" w:rsidP="00DF33CD">
            <w:pPr>
              <w:jc w:val="both"/>
              <w:rPr>
                <w:rFonts w:ascii="Arial" w:hAnsi="Arial" w:cs="Arial"/>
                <w:sz w:val="22"/>
                <w:szCs w:val="22"/>
              </w:rPr>
            </w:pPr>
            <w:r>
              <w:rPr>
                <w:rFonts w:ascii="Arial" w:hAnsi="Arial" w:cs="Arial"/>
                <w:sz w:val="22"/>
                <w:szCs w:val="22"/>
              </w:rPr>
              <w:t>UTBWC (Ultra-Thin Bonded Wearing Course)</w:t>
            </w:r>
          </w:p>
        </w:tc>
      </w:tr>
      <w:tr w:rsidR="00CE3E36" w:rsidRPr="00BC3AB9" w14:paraId="41D3EC9C"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51A8FE5A" w14:textId="77777777" w:rsidR="00CE3E36" w:rsidRPr="00981E7E" w:rsidRDefault="00CE3E36" w:rsidP="005B46B9">
            <w:pPr>
              <w:jc w:val="center"/>
              <w:rPr>
                <w:rFonts w:ascii="Arial" w:hAnsi="Arial" w:cs="Arial"/>
                <w:sz w:val="22"/>
                <w:szCs w:val="22"/>
              </w:rPr>
            </w:pPr>
            <w:r w:rsidRPr="00981E7E">
              <w:rPr>
                <w:rFonts w:ascii="Arial" w:hAnsi="Arial" w:cs="Arial"/>
                <w:sz w:val="22"/>
                <w:szCs w:val="22"/>
              </w:rPr>
              <w:t>2</w:t>
            </w:r>
          </w:p>
        </w:tc>
        <w:tc>
          <w:tcPr>
            <w:tcW w:w="4197" w:type="dxa"/>
            <w:tcBorders>
              <w:top w:val="single" w:sz="4" w:space="0" w:color="auto"/>
              <w:left w:val="nil"/>
              <w:bottom w:val="single" w:sz="4" w:space="0" w:color="auto"/>
              <w:right w:val="single" w:sz="4" w:space="0" w:color="auto"/>
            </w:tcBorders>
            <w:noWrap/>
            <w:vAlign w:val="center"/>
          </w:tcPr>
          <w:p w14:paraId="5B32AAEB" w14:textId="6A7402C3" w:rsidR="00CE3E36" w:rsidRPr="00981E7E" w:rsidRDefault="00CE3E36" w:rsidP="00DF33CD">
            <w:pPr>
              <w:jc w:val="both"/>
              <w:rPr>
                <w:rFonts w:ascii="Arial" w:hAnsi="Arial" w:cs="Arial"/>
                <w:sz w:val="22"/>
                <w:szCs w:val="22"/>
              </w:rPr>
            </w:pPr>
            <w:r>
              <w:rPr>
                <w:rFonts w:ascii="Arial" w:hAnsi="Arial" w:cs="Arial"/>
                <w:sz w:val="22"/>
                <w:szCs w:val="22"/>
              </w:rPr>
              <w:t xml:space="preserve">  </w:t>
            </w:r>
            <w:r w:rsidRPr="00981E7E">
              <w:rPr>
                <w:rFonts w:ascii="Arial" w:hAnsi="Arial" w:cs="Arial"/>
                <w:sz w:val="22"/>
                <w:szCs w:val="22"/>
              </w:rPr>
              <w:t>9.5 mm PG 64</w:t>
            </w:r>
            <w:r>
              <w:rPr>
                <w:rFonts w:ascii="Arial" w:hAnsi="Arial" w:cs="Arial"/>
                <w:sz w:val="22"/>
                <w:szCs w:val="22"/>
              </w:rPr>
              <w:t>S</w:t>
            </w:r>
            <w:r w:rsidRPr="00981E7E">
              <w:rPr>
                <w:rFonts w:ascii="Arial" w:hAnsi="Arial" w:cs="Arial"/>
                <w:sz w:val="22"/>
                <w:szCs w:val="22"/>
              </w:rPr>
              <w:t xml:space="preserve">-22  Level </w:t>
            </w:r>
            <w:r w:rsidR="00D560B4">
              <w:rPr>
                <w:rFonts w:ascii="Arial" w:hAnsi="Arial" w:cs="Arial"/>
                <w:sz w:val="22"/>
                <w:szCs w:val="22"/>
              </w:rPr>
              <w:t>2</w:t>
            </w:r>
          </w:p>
        </w:tc>
      </w:tr>
      <w:tr w:rsidR="00CE3E36" w:rsidRPr="00BC3AB9" w14:paraId="17E2C065"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7A290472" w14:textId="77777777" w:rsidR="00CE3E36" w:rsidRPr="00981E7E" w:rsidRDefault="00CE3E36" w:rsidP="005B46B9">
            <w:pPr>
              <w:jc w:val="center"/>
              <w:rPr>
                <w:rFonts w:ascii="Arial" w:hAnsi="Arial" w:cs="Arial"/>
                <w:sz w:val="22"/>
                <w:szCs w:val="22"/>
              </w:rPr>
            </w:pPr>
            <w:r w:rsidRPr="00981E7E">
              <w:rPr>
                <w:rFonts w:ascii="Arial" w:hAnsi="Arial" w:cs="Arial"/>
                <w:sz w:val="22"/>
                <w:szCs w:val="22"/>
              </w:rPr>
              <w:t>3</w:t>
            </w:r>
          </w:p>
        </w:tc>
        <w:tc>
          <w:tcPr>
            <w:tcW w:w="4197" w:type="dxa"/>
            <w:tcBorders>
              <w:top w:val="single" w:sz="4" w:space="0" w:color="auto"/>
              <w:left w:val="nil"/>
              <w:bottom w:val="single" w:sz="4" w:space="0" w:color="auto"/>
              <w:right w:val="single" w:sz="4" w:space="0" w:color="auto"/>
            </w:tcBorders>
            <w:noWrap/>
            <w:vAlign w:val="center"/>
          </w:tcPr>
          <w:p w14:paraId="129C7936" w14:textId="77777777" w:rsidR="00CE3E36" w:rsidRPr="00981E7E" w:rsidRDefault="00CE3E36" w:rsidP="00DF33CD">
            <w:pPr>
              <w:jc w:val="both"/>
              <w:rPr>
                <w:rFonts w:ascii="Arial" w:hAnsi="Arial" w:cs="Arial"/>
                <w:sz w:val="22"/>
                <w:szCs w:val="22"/>
              </w:rPr>
            </w:pPr>
            <w:r w:rsidRPr="00981E7E">
              <w:rPr>
                <w:rFonts w:ascii="Arial" w:hAnsi="Arial" w:cs="Arial"/>
                <w:sz w:val="22"/>
                <w:szCs w:val="22"/>
              </w:rPr>
              <w:t xml:space="preserve">  9.5 mm PG 64</w:t>
            </w:r>
            <w:r>
              <w:rPr>
                <w:rFonts w:ascii="Arial" w:hAnsi="Arial" w:cs="Arial"/>
                <w:sz w:val="22"/>
                <w:szCs w:val="22"/>
              </w:rPr>
              <w:t>E</w:t>
            </w:r>
            <w:r w:rsidRPr="00981E7E">
              <w:rPr>
                <w:rFonts w:ascii="Arial" w:hAnsi="Arial" w:cs="Arial"/>
                <w:sz w:val="22"/>
                <w:szCs w:val="22"/>
              </w:rPr>
              <w:t xml:space="preserve">-22  Level 2 </w:t>
            </w:r>
          </w:p>
        </w:tc>
      </w:tr>
      <w:tr w:rsidR="00CE3E36" w:rsidRPr="00BC3AB9" w14:paraId="1C97F394"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454307A4" w14:textId="46DF89C3" w:rsidR="00CE3E36" w:rsidRPr="00981E7E" w:rsidRDefault="00437FFE" w:rsidP="005B46B9">
            <w:pPr>
              <w:jc w:val="center"/>
              <w:rPr>
                <w:rFonts w:ascii="Arial" w:hAnsi="Arial" w:cs="Arial"/>
                <w:sz w:val="22"/>
                <w:szCs w:val="22"/>
              </w:rPr>
            </w:pPr>
            <w:r>
              <w:rPr>
                <w:rFonts w:ascii="Arial" w:hAnsi="Arial" w:cs="Arial"/>
                <w:sz w:val="22"/>
                <w:szCs w:val="22"/>
              </w:rPr>
              <w:t>4</w:t>
            </w:r>
          </w:p>
        </w:tc>
        <w:tc>
          <w:tcPr>
            <w:tcW w:w="4197" w:type="dxa"/>
            <w:tcBorders>
              <w:top w:val="single" w:sz="4" w:space="0" w:color="auto"/>
              <w:left w:val="nil"/>
              <w:bottom w:val="single" w:sz="4" w:space="0" w:color="auto"/>
              <w:right w:val="single" w:sz="4" w:space="0" w:color="auto"/>
            </w:tcBorders>
            <w:noWrap/>
            <w:vAlign w:val="center"/>
          </w:tcPr>
          <w:p w14:paraId="3788F7D2" w14:textId="77777777" w:rsidR="00CE3E36" w:rsidRPr="00981E7E" w:rsidRDefault="00CE3E36" w:rsidP="00DF33CD">
            <w:pPr>
              <w:jc w:val="both"/>
              <w:rPr>
                <w:rFonts w:ascii="Arial" w:hAnsi="Arial" w:cs="Arial"/>
                <w:sz w:val="22"/>
                <w:szCs w:val="22"/>
              </w:rPr>
            </w:pPr>
            <w:r w:rsidRPr="00981E7E">
              <w:rPr>
                <w:rFonts w:ascii="Arial" w:hAnsi="Arial" w:cs="Arial"/>
                <w:sz w:val="22"/>
                <w:szCs w:val="22"/>
              </w:rPr>
              <w:t xml:space="preserve">  9.5 mm PG 64</w:t>
            </w:r>
            <w:r>
              <w:rPr>
                <w:rFonts w:ascii="Arial" w:hAnsi="Arial" w:cs="Arial"/>
                <w:sz w:val="22"/>
                <w:szCs w:val="22"/>
              </w:rPr>
              <w:t>S</w:t>
            </w:r>
            <w:r w:rsidRPr="00981E7E">
              <w:rPr>
                <w:rFonts w:ascii="Arial" w:hAnsi="Arial" w:cs="Arial"/>
                <w:sz w:val="22"/>
                <w:szCs w:val="22"/>
              </w:rPr>
              <w:t xml:space="preserve">-22  Level 2 </w:t>
            </w:r>
            <w:r>
              <w:rPr>
                <w:rFonts w:ascii="Arial" w:hAnsi="Arial" w:cs="Arial"/>
                <w:sz w:val="22"/>
                <w:szCs w:val="22"/>
              </w:rPr>
              <w:t>HDFV</w:t>
            </w:r>
          </w:p>
        </w:tc>
      </w:tr>
      <w:tr w:rsidR="00CE3E36" w:rsidRPr="00BC3AB9" w14:paraId="2CD82BCD"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1E206CD0" w14:textId="08B4C83F" w:rsidR="00CE3E36" w:rsidRPr="00981E7E" w:rsidRDefault="00437FFE" w:rsidP="005B46B9">
            <w:pPr>
              <w:jc w:val="center"/>
              <w:rPr>
                <w:rFonts w:ascii="Arial" w:hAnsi="Arial" w:cs="Arial"/>
                <w:sz w:val="22"/>
                <w:szCs w:val="22"/>
              </w:rPr>
            </w:pPr>
            <w:r>
              <w:rPr>
                <w:rFonts w:ascii="Arial" w:hAnsi="Arial" w:cs="Arial"/>
                <w:sz w:val="22"/>
                <w:szCs w:val="22"/>
              </w:rPr>
              <w:t>5</w:t>
            </w:r>
          </w:p>
        </w:tc>
        <w:tc>
          <w:tcPr>
            <w:tcW w:w="4197" w:type="dxa"/>
            <w:tcBorders>
              <w:top w:val="single" w:sz="4" w:space="0" w:color="auto"/>
              <w:left w:val="nil"/>
              <w:bottom w:val="single" w:sz="4" w:space="0" w:color="auto"/>
              <w:right w:val="single" w:sz="4" w:space="0" w:color="auto"/>
            </w:tcBorders>
            <w:noWrap/>
            <w:vAlign w:val="center"/>
          </w:tcPr>
          <w:p w14:paraId="5CFB3975" w14:textId="77777777" w:rsidR="00CE3E36" w:rsidRPr="00981E7E" w:rsidRDefault="00CE3E36" w:rsidP="00DF33CD">
            <w:pPr>
              <w:jc w:val="both"/>
              <w:rPr>
                <w:rFonts w:ascii="Arial" w:hAnsi="Arial" w:cs="Arial"/>
                <w:sz w:val="22"/>
                <w:szCs w:val="22"/>
              </w:rPr>
            </w:pPr>
            <w:r w:rsidRPr="00981E7E">
              <w:rPr>
                <w:rFonts w:ascii="Arial" w:hAnsi="Arial" w:cs="Arial"/>
                <w:sz w:val="22"/>
                <w:szCs w:val="22"/>
              </w:rPr>
              <w:t xml:space="preserve">  9.5 mm PG 64</w:t>
            </w:r>
            <w:r>
              <w:rPr>
                <w:rFonts w:ascii="Arial" w:hAnsi="Arial" w:cs="Arial"/>
                <w:sz w:val="22"/>
                <w:szCs w:val="22"/>
              </w:rPr>
              <w:t>E</w:t>
            </w:r>
            <w:r w:rsidRPr="00981E7E">
              <w:rPr>
                <w:rFonts w:ascii="Arial" w:hAnsi="Arial" w:cs="Arial"/>
                <w:sz w:val="22"/>
                <w:szCs w:val="22"/>
              </w:rPr>
              <w:t xml:space="preserve">-22  Level 2 </w:t>
            </w:r>
            <w:r>
              <w:rPr>
                <w:rFonts w:ascii="Arial" w:hAnsi="Arial" w:cs="Arial"/>
                <w:sz w:val="22"/>
                <w:szCs w:val="22"/>
              </w:rPr>
              <w:t>HDFV</w:t>
            </w:r>
          </w:p>
        </w:tc>
      </w:tr>
      <w:tr w:rsidR="00CE3E36" w:rsidRPr="00BC3AB9" w14:paraId="28565A6A"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16AF3106" w14:textId="1A72DA87" w:rsidR="00CE3E36" w:rsidRPr="00981E7E" w:rsidRDefault="00437FFE" w:rsidP="005B46B9">
            <w:pPr>
              <w:jc w:val="center"/>
              <w:rPr>
                <w:rFonts w:ascii="Arial" w:hAnsi="Arial" w:cs="Arial"/>
                <w:sz w:val="22"/>
                <w:szCs w:val="22"/>
              </w:rPr>
            </w:pPr>
            <w:r>
              <w:rPr>
                <w:rFonts w:ascii="Arial" w:hAnsi="Arial" w:cs="Arial"/>
                <w:sz w:val="22"/>
                <w:szCs w:val="22"/>
              </w:rPr>
              <w:t>6</w:t>
            </w:r>
          </w:p>
        </w:tc>
        <w:tc>
          <w:tcPr>
            <w:tcW w:w="4197" w:type="dxa"/>
            <w:tcBorders>
              <w:top w:val="single" w:sz="4" w:space="0" w:color="auto"/>
              <w:left w:val="nil"/>
              <w:bottom w:val="single" w:sz="4" w:space="0" w:color="auto"/>
              <w:right w:val="single" w:sz="4" w:space="0" w:color="auto"/>
            </w:tcBorders>
            <w:noWrap/>
            <w:vAlign w:val="center"/>
          </w:tcPr>
          <w:p w14:paraId="59F85EB6" w14:textId="77777777" w:rsidR="00CE3E36" w:rsidRPr="00981E7E" w:rsidRDefault="00CE3E36" w:rsidP="00DF33CD">
            <w:pPr>
              <w:jc w:val="both"/>
              <w:rPr>
                <w:rFonts w:ascii="Arial" w:hAnsi="Arial" w:cs="Arial"/>
                <w:sz w:val="22"/>
                <w:szCs w:val="22"/>
              </w:rPr>
            </w:pPr>
            <w:r w:rsidRPr="00981E7E">
              <w:rPr>
                <w:rFonts w:ascii="Arial" w:hAnsi="Arial" w:cs="Arial"/>
                <w:sz w:val="22"/>
                <w:szCs w:val="22"/>
              </w:rPr>
              <w:t xml:space="preserve">  9.5 mm PG </w:t>
            </w:r>
            <w:r>
              <w:rPr>
                <w:rFonts w:ascii="Arial" w:hAnsi="Arial" w:cs="Arial"/>
                <w:sz w:val="22"/>
                <w:szCs w:val="22"/>
              </w:rPr>
              <w:t>64E</w:t>
            </w:r>
            <w:r w:rsidRPr="00981E7E">
              <w:rPr>
                <w:rFonts w:ascii="Arial" w:hAnsi="Arial" w:cs="Arial"/>
                <w:sz w:val="22"/>
                <w:szCs w:val="22"/>
              </w:rPr>
              <w:t xml:space="preserve">-22  Level </w:t>
            </w:r>
            <w:r w:rsidR="00746580">
              <w:rPr>
                <w:rFonts w:ascii="Arial" w:hAnsi="Arial" w:cs="Arial"/>
                <w:sz w:val="22"/>
                <w:szCs w:val="22"/>
              </w:rPr>
              <w:t>5</w:t>
            </w:r>
            <w:r w:rsidRPr="00981E7E">
              <w:rPr>
                <w:rFonts w:ascii="Arial" w:hAnsi="Arial" w:cs="Arial"/>
                <w:sz w:val="22"/>
                <w:szCs w:val="22"/>
              </w:rPr>
              <w:t xml:space="preserve"> </w:t>
            </w:r>
            <w:smartTag w:uri="urn:schemas-microsoft-com:office:smarttags" w:element="stockticker">
              <w:r w:rsidRPr="00981E7E">
                <w:rPr>
                  <w:rFonts w:ascii="Arial" w:hAnsi="Arial" w:cs="Arial"/>
                  <w:sz w:val="22"/>
                  <w:szCs w:val="22"/>
                </w:rPr>
                <w:t>GAP</w:t>
              </w:r>
            </w:smartTag>
            <w:r w:rsidRPr="00981E7E">
              <w:rPr>
                <w:rFonts w:ascii="Arial" w:hAnsi="Arial" w:cs="Arial"/>
                <w:sz w:val="22"/>
                <w:szCs w:val="22"/>
              </w:rPr>
              <w:t xml:space="preserve"> </w:t>
            </w:r>
          </w:p>
        </w:tc>
      </w:tr>
      <w:tr w:rsidR="00CE3E36" w:rsidRPr="00BC3AB9" w14:paraId="2FD488BE"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13D7565F" w14:textId="43362504" w:rsidR="00CE3E36" w:rsidRPr="00981E7E" w:rsidRDefault="00437FFE" w:rsidP="005B46B9">
            <w:pPr>
              <w:jc w:val="center"/>
              <w:rPr>
                <w:rFonts w:ascii="Arial" w:hAnsi="Arial" w:cs="Arial"/>
                <w:sz w:val="22"/>
                <w:szCs w:val="22"/>
              </w:rPr>
            </w:pPr>
            <w:r>
              <w:rPr>
                <w:rFonts w:ascii="Arial" w:hAnsi="Arial" w:cs="Arial"/>
                <w:sz w:val="22"/>
                <w:szCs w:val="22"/>
              </w:rPr>
              <w:t>7</w:t>
            </w:r>
          </w:p>
        </w:tc>
        <w:tc>
          <w:tcPr>
            <w:tcW w:w="4197" w:type="dxa"/>
            <w:tcBorders>
              <w:top w:val="single" w:sz="4" w:space="0" w:color="auto"/>
              <w:left w:val="nil"/>
              <w:bottom w:val="single" w:sz="4" w:space="0" w:color="auto"/>
              <w:right w:val="single" w:sz="4" w:space="0" w:color="auto"/>
            </w:tcBorders>
            <w:noWrap/>
            <w:vAlign w:val="center"/>
          </w:tcPr>
          <w:p w14:paraId="47194763" w14:textId="77777777" w:rsidR="00CE3E36" w:rsidRPr="00981E7E" w:rsidRDefault="00CE3E36" w:rsidP="00DF33CD">
            <w:pPr>
              <w:jc w:val="both"/>
              <w:rPr>
                <w:rFonts w:ascii="Arial" w:hAnsi="Arial" w:cs="Arial"/>
                <w:sz w:val="22"/>
                <w:szCs w:val="22"/>
              </w:rPr>
            </w:pPr>
            <w:r>
              <w:rPr>
                <w:rFonts w:ascii="Arial" w:hAnsi="Arial" w:cs="Arial"/>
                <w:sz w:val="22"/>
                <w:szCs w:val="22"/>
              </w:rPr>
              <w:t>12</w:t>
            </w:r>
            <w:r w:rsidRPr="00981E7E">
              <w:rPr>
                <w:rFonts w:ascii="Arial" w:hAnsi="Arial" w:cs="Arial"/>
                <w:sz w:val="22"/>
                <w:szCs w:val="22"/>
              </w:rPr>
              <w:t>.5 mm PG 64</w:t>
            </w:r>
            <w:r>
              <w:rPr>
                <w:rFonts w:ascii="Arial" w:hAnsi="Arial" w:cs="Arial"/>
                <w:sz w:val="22"/>
                <w:szCs w:val="22"/>
              </w:rPr>
              <w:t>S</w:t>
            </w:r>
            <w:r w:rsidRPr="00981E7E">
              <w:rPr>
                <w:rFonts w:ascii="Arial" w:hAnsi="Arial" w:cs="Arial"/>
                <w:sz w:val="22"/>
                <w:szCs w:val="22"/>
              </w:rPr>
              <w:t xml:space="preserve">-22  Level 2 </w:t>
            </w:r>
          </w:p>
        </w:tc>
      </w:tr>
      <w:tr w:rsidR="00CE3E36" w:rsidRPr="00BC3AB9" w14:paraId="5D740317"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0BD1ED84" w14:textId="0F36D83B" w:rsidR="00CE3E36" w:rsidRPr="00981E7E" w:rsidRDefault="00437FFE" w:rsidP="005B46B9">
            <w:pPr>
              <w:jc w:val="center"/>
              <w:rPr>
                <w:rFonts w:ascii="Arial" w:hAnsi="Arial" w:cs="Arial"/>
                <w:sz w:val="22"/>
                <w:szCs w:val="22"/>
              </w:rPr>
            </w:pPr>
            <w:r>
              <w:rPr>
                <w:rFonts w:ascii="Arial" w:hAnsi="Arial" w:cs="Arial"/>
                <w:sz w:val="22"/>
                <w:szCs w:val="22"/>
              </w:rPr>
              <w:t>8</w:t>
            </w:r>
          </w:p>
        </w:tc>
        <w:tc>
          <w:tcPr>
            <w:tcW w:w="4197" w:type="dxa"/>
            <w:tcBorders>
              <w:top w:val="single" w:sz="4" w:space="0" w:color="auto"/>
              <w:left w:val="nil"/>
              <w:bottom w:val="single" w:sz="4" w:space="0" w:color="auto"/>
              <w:right w:val="single" w:sz="4" w:space="0" w:color="auto"/>
            </w:tcBorders>
            <w:noWrap/>
            <w:vAlign w:val="center"/>
          </w:tcPr>
          <w:p w14:paraId="0F918A51" w14:textId="77777777" w:rsidR="00CE3E36" w:rsidRPr="00981E7E" w:rsidRDefault="00CE3E36" w:rsidP="00DF33CD">
            <w:pPr>
              <w:jc w:val="both"/>
              <w:rPr>
                <w:rFonts w:ascii="Arial" w:hAnsi="Arial" w:cs="Arial"/>
                <w:sz w:val="22"/>
                <w:szCs w:val="22"/>
              </w:rPr>
            </w:pPr>
            <w:r>
              <w:rPr>
                <w:rFonts w:ascii="Arial" w:hAnsi="Arial" w:cs="Arial"/>
                <w:sz w:val="22"/>
                <w:szCs w:val="22"/>
              </w:rPr>
              <w:t>12</w:t>
            </w:r>
            <w:r w:rsidRPr="00981E7E">
              <w:rPr>
                <w:rFonts w:ascii="Arial" w:hAnsi="Arial" w:cs="Arial"/>
                <w:sz w:val="22"/>
                <w:szCs w:val="22"/>
              </w:rPr>
              <w:t>.5 mm PG 64</w:t>
            </w:r>
            <w:r>
              <w:rPr>
                <w:rFonts w:ascii="Arial" w:hAnsi="Arial" w:cs="Arial"/>
                <w:sz w:val="22"/>
                <w:szCs w:val="22"/>
              </w:rPr>
              <w:t>E</w:t>
            </w:r>
            <w:r w:rsidRPr="00981E7E">
              <w:rPr>
                <w:rFonts w:ascii="Arial" w:hAnsi="Arial" w:cs="Arial"/>
                <w:sz w:val="22"/>
                <w:szCs w:val="22"/>
              </w:rPr>
              <w:t xml:space="preserve">-22  Level 2 </w:t>
            </w:r>
          </w:p>
        </w:tc>
      </w:tr>
      <w:tr w:rsidR="00CE3E36" w:rsidRPr="00BC3AB9" w14:paraId="4D6DFBAE"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52F9DE78" w14:textId="461217BD" w:rsidR="00CE3E36" w:rsidRPr="00981E7E" w:rsidRDefault="00437FFE" w:rsidP="005B46B9">
            <w:pPr>
              <w:jc w:val="center"/>
              <w:rPr>
                <w:rFonts w:ascii="Arial" w:hAnsi="Arial" w:cs="Arial"/>
                <w:sz w:val="22"/>
                <w:szCs w:val="22"/>
              </w:rPr>
            </w:pPr>
            <w:r>
              <w:rPr>
                <w:rFonts w:ascii="Arial" w:hAnsi="Arial" w:cs="Arial"/>
                <w:sz w:val="22"/>
                <w:szCs w:val="22"/>
              </w:rPr>
              <w:t>9</w:t>
            </w:r>
          </w:p>
        </w:tc>
        <w:tc>
          <w:tcPr>
            <w:tcW w:w="4197" w:type="dxa"/>
            <w:tcBorders>
              <w:top w:val="single" w:sz="4" w:space="0" w:color="auto"/>
              <w:left w:val="nil"/>
              <w:bottom w:val="single" w:sz="4" w:space="0" w:color="auto"/>
              <w:right w:val="single" w:sz="4" w:space="0" w:color="auto"/>
            </w:tcBorders>
            <w:noWrap/>
            <w:vAlign w:val="center"/>
          </w:tcPr>
          <w:p w14:paraId="56D89236" w14:textId="77777777" w:rsidR="00CE3E36" w:rsidRPr="00981E7E" w:rsidRDefault="00CE3E36" w:rsidP="00DF33CD">
            <w:pPr>
              <w:jc w:val="both"/>
              <w:rPr>
                <w:rFonts w:ascii="Arial" w:hAnsi="Arial" w:cs="Arial"/>
                <w:sz w:val="22"/>
                <w:szCs w:val="22"/>
              </w:rPr>
            </w:pPr>
            <w:r>
              <w:rPr>
                <w:rFonts w:ascii="Arial" w:hAnsi="Arial" w:cs="Arial"/>
                <w:sz w:val="22"/>
                <w:szCs w:val="22"/>
              </w:rPr>
              <w:t>12</w:t>
            </w:r>
            <w:r w:rsidRPr="00981E7E">
              <w:rPr>
                <w:rFonts w:ascii="Arial" w:hAnsi="Arial" w:cs="Arial"/>
                <w:sz w:val="22"/>
                <w:szCs w:val="22"/>
              </w:rPr>
              <w:t>.5 mm PG 64</w:t>
            </w:r>
            <w:r>
              <w:rPr>
                <w:rFonts w:ascii="Arial" w:hAnsi="Arial" w:cs="Arial"/>
                <w:sz w:val="22"/>
                <w:szCs w:val="22"/>
              </w:rPr>
              <w:t>S</w:t>
            </w:r>
            <w:r w:rsidRPr="00981E7E">
              <w:rPr>
                <w:rFonts w:ascii="Arial" w:hAnsi="Arial" w:cs="Arial"/>
                <w:sz w:val="22"/>
                <w:szCs w:val="22"/>
              </w:rPr>
              <w:t xml:space="preserve">-22  Level 2 </w:t>
            </w:r>
            <w:r>
              <w:rPr>
                <w:rFonts w:ascii="Arial" w:hAnsi="Arial" w:cs="Arial"/>
                <w:sz w:val="22"/>
                <w:szCs w:val="22"/>
              </w:rPr>
              <w:t>HDFV</w:t>
            </w:r>
          </w:p>
        </w:tc>
      </w:tr>
      <w:tr w:rsidR="00CE3E36" w:rsidRPr="00BC3AB9" w14:paraId="68E6E722"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4C4D3253" w14:textId="3F25925D" w:rsidR="00CE3E36" w:rsidRPr="00981E7E" w:rsidRDefault="00CE3E36" w:rsidP="005B46B9">
            <w:pPr>
              <w:jc w:val="center"/>
              <w:rPr>
                <w:rFonts w:ascii="Arial" w:hAnsi="Arial" w:cs="Arial"/>
                <w:sz w:val="22"/>
                <w:szCs w:val="22"/>
              </w:rPr>
            </w:pPr>
            <w:r w:rsidRPr="00981E7E">
              <w:rPr>
                <w:rFonts w:ascii="Arial" w:hAnsi="Arial" w:cs="Arial"/>
                <w:sz w:val="22"/>
                <w:szCs w:val="22"/>
              </w:rPr>
              <w:t>1</w:t>
            </w:r>
            <w:r w:rsidR="00437FFE">
              <w:rPr>
                <w:rFonts w:ascii="Arial" w:hAnsi="Arial" w:cs="Arial"/>
                <w:sz w:val="22"/>
                <w:szCs w:val="22"/>
              </w:rPr>
              <w:t>0</w:t>
            </w:r>
          </w:p>
        </w:tc>
        <w:tc>
          <w:tcPr>
            <w:tcW w:w="4197" w:type="dxa"/>
            <w:tcBorders>
              <w:top w:val="single" w:sz="4" w:space="0" w:color="auto"/>
              <w:left w:val="nil"/>
              <w:bottom w:val="single" w:sz="4" w:space="0" w:color="auto"/>
              <w:right w:val="single" w:sz="4" w:space="0" w:color="auto"/>
            </w:tcBorders>
            <w:noWrap/>
            <w:vAlign w:val="center"/>
          </w:tcPr>
          <w:p w14:paraId="4890750A" w14:textId="77777777" w:rsidR="00CE3E36" w:rsidRPr="00981E7E" w:rsidRDefault="00CE3E36" w:rsidP="00DF33CD">
            <w:pPr>
              <w:jc w:val="both"/>
              <w:rPr>
                <w:rFonts w:ascii="Arial" w:hAnsi="Arial" w:cs="Arial"/>
                <w:sz w:val="22"/>
                <w:szCs w:val="22"/>
              </w:rPr>
            </w:pPr>
            <w:r>
              <w:rPr>
                <w:rFonts w:ascii="Arial" w:hAnsi="Arial" w:cs="Arial"/>
                <w:sz w:val="22"/>
                <w:szCs w:val="22"/>
              </w:rPr>
              <w:t>12</w:t>
            </w:r>
            <w:r w:rsidRPr="00981E7E">
              <w:rPr>
                <w:rFonts w:ascii="Arial" w:hAnsi="Arial" w:cs="Arial"/>
                <w:sz w:val="22"/>
                <w:szCs w:val="22"/>
              </w:rPr>
              <w:t>.5 mm PG 64</w:t>
            </w:r>
            <w:r>
              <w:rPr>
                <w:rFonts w:ascii="Arial" w:hAnsi="Arial" w:cs="Arial"/>
                <w:sz w:val="22"/>
                <w:szCs w:val="22"/>
              </w:rPr>
              <w:t>E</w:t>
            </w:r>
            <w:r w:rsidRPr="00981E7E">
              <w:rPr>
                <w:rFonts w:ascii="Arial" w:hAnsi="Arial" w:cs="Arial"/>
                <w:sz w:val="22"/>
                <w:szCs w:val="22"/>
              </w:rPr>
              <w:t xml:space="preserve">-22  Level 2 </w:t>
            </w:r>
            <w:r>
              <w:rPr>
                <w:rFonts w:ascii="Arial" w:hAnsi="Arial" w:cs="Arial"/>
                <w:sz w:val="22"/>
                <w:szCs w:val="22"/>
              </w:rPr>
              <w:t>HDFV</w:t>
            </w:r>
          </w:p>
        </w:tc>
      </w:tr>
      <w:tr w:rsidR="00CE3E36" w:rsidRPr="00BC3AB9" w14:paraId="30092892"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6A874795" w14:textId="1F6CD86C" w:rsidR="00CE3E36" w:rsidRPr="00981E7E" w:rsidRDefault="00CE3E36" w:rsidP="005B46B9">
            <w:pPr>
              <w:jc w:val="center"/>
              <w:rPr>
                <w:rFonts w:ascii="Arial" w:hAnsi="Arial" w:cs="Arial"/>
                <w:sz w:val="22"/>
                <w:szCs w:val="22"/>
              </w:rPr>
            </w:pPr>
            <w:r w:rsidRPr="00981E7E">
              <w:rPr>
                <w:rFonts w:ascii="Arial" w:hAnsi="Arial" w:cs="Arial"/>
                <w:sz w:val="22"/>
                <w:szCs w:val="22"/>
              </w:rPr>
              <w:t>1</w:t>
            </w:r>
            <w:r w:rsidR="00437FFE">
              <w:rPr>
                <w:rFonts w:ascii="Arial" w:hAnsi="Arial" w:cs="Arial"/>
                <w:sz w:val="22"/>
                <w:szCs w:val="22"/>
              </w:rPr>
              <w:t>1</w:t>
            </w:r>
          </w:p>
        </w:tc>
        <w:tc>
          <w:tcPr>
            <w:tcW w:w="4197" w:type="dxa"/>
            <w:tcBorders>
              <w:top w:val="single" w:sz="4" w:space="0" w:color="auto"/>
              <w:left w:val="nil"/>
              <w:bottom w:val="single" w:sz="4" w:space="0" w:color="auto"/>
              <w:right w:val="single" w:sz="4" w:space="0" w:color="auto"/>
            </w:tcBorders>
            <w:noWrap/>
            <w:vAlign w:val="center"/>
          </w:tcPr>
          <w:p w14:paraId="62D211FE" w14:textId="77777777" w:rsidR="00CE3E36" w:rsidRPr="00981E7E" w:rsidRDefault="00CE3E36" w:rsidP="00DF33CD">
            <w:pPr>
              <w:jc w:val="both"/>
              <w:rPr>
                <w:rFonts w:ascii="Arial" w:hAnsi="Arial" w:cs="Arial"/>
                <w:sz w:val="22"/>
                <w:szCs w:val="22"/>
              </w:rPr>
            </w:pPr>
            <w:r>
              <w:rPr>
                <w:rFonts w:ascii="Arial" w:hAnsi="Arial" w:cs="Arial"/>
                <w:sz w:val="22"/>
                <w:szCs w:val="22"/>
              </w:rPr>
              <w:t>12</w:t>
            </w:r>
            <w:r w:rsidRPr="00981E7E">
              <w:rPr>
                <w:rFonts w:ascii="Arial" w:hAnsi="Arial" w:cs="Arial"/>
                <w:sz w:val="22"/>
                <w:szCs w:val="22"/>
              </w:rPr>
              <w:t xml:space="preserve">.5 mm PG </w:t>
            </w:r>
            <w:r>
              <w:rPr>
                <w:rFonts w:ascii="Arial" w:hAnsi="Arial" w:cs="Arial"/>
                <w:sz w:val="22"/>
                <w:szCs w:val="22"/>
              </w:rPr>
              <w:t>64E</w:t>
            </w:r>
            <w:r w:rsidRPr="00981E7E">
              <w:rPr>
                <w:rFonts w:ascii="Arial" w:hAnsi="Arial" w:cs="Arial"/>
                <w:sz w:val="22"/>
                <w:szCs w:val="22"/>
              </w:rPr>
              <w:t xml:space="preserve">-22  Level </w:t>
            </w:r>
            <w:r w:rsidR="00746580">
              <w:rPr>
                <w:rFonts w:ascii="Arial" w:hAnsi="Arial" w:cs="Arial"/>
                <w:sz w:val="22"/>
                <w:szCs w:val="22"/>
              </w:rPr>
              <w:t>5</w:t>
            </w:r>
            <w:r w:rsidRPr="00981E7E">
              <w:rPr>
                <w:rFonts w:ascii="Arial" w:hAnsi="Arial" w:cs="Arial"/>
                <w:sz w:val="22"/>
                <w:szCs w:val="22"/>
              </w:rPr>
              <w:t xml:space="preserve"> </w:t>
            </w:r>
            <w:smartTag w:uri="urn:schemas-microsoft-com:office:smarttags" w:element="stockticker">
              <w:r w:rsidRPr="00981E7E">
                <w:rPr>
                  <w:rFonts w:ascii="Arial" w:hAnsi="Arial" w:cs="Arial"/>
                  <w:sz w:val="22"/>
                  <w:szCs w:val="22"/>
                </w:rPr>
                <w:t>GAP</w:t>
              </w:r>
            </w:smartTag>
            <w:r w:rsidRPr="00981E7E">
              <w:rPr>
                <w:rFonts w:ascii="Arial" w:hAnsi="Arial" w:cs="Arial"/>
                <w:sz w:val="22"/>
                <w:szCs w:val="22"/>
              </w:rPr>
              <w:t xml:space="preserve"> </w:t>
            </w:r>
          </w:p>
        </w:tc>
      </w:tr>
      <w:tr w:rsidR="00CE3E36" w:rsidRPr="00BC3AB9" w14:paraId="49C55669"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6A664712" w14:textId="2DB76A85" w:rsidR="00CE3E36" w:rsidRPr="00981E7E" w:rsidRDefault="00CE3E36" w:rsidP="005B46B9">
            <w:pPr>
              <w:jc w:val="center"/>
              <w:rPr>
                <w:rFonts w:ascii="Arial" w:hAnsi="Arial" w:cs="Arial"/>
                <w:sz w:val="22"/>
                <w:szCs w:val="22"/>
              </w:rPr>
            </w:pPr>
            <w:r w:rsidRPr="00981E7E">
              <w:rPr>
                <w:rFonts w:ascii="Arial" w:hAnsi="Arial" w:cs="Arial"/>
                <w:sz w:val="22"/>
                <w:szCs w:val="22"/>
              </w:rPr>
              <w:t>1</w:t>
            </w:r>
            <w:r w:rsidR="00437FFE">
              <w:rPr>
                <w:rFonts w:ascii="Arial" w:hAnsi="Arial" w:cs="Arial"/>
                <w:sz w:val="22"/>
                <w:szCs w:val="22"/>
              </w:rPr>
              <w:t>2</w:t>
            </w:r>
          </w:p>
        </w:tc>
        <w:tc>
          <w:tcPr>
            <w:tcW w:w="4197" w:type="dxa"/>
            <w:tcBorders>
              <w:top w:val="single" w:sz="4" w:space="0" w:color="auto"/>
              <w:left w:val="nil"/>
              <w:bottom w:val="single" w:sz="4" w:space="0" w:color="auto"/>
              <w:right w:val="single" w:sz="4" w:space="0" w:color="auto"/>
            </w:tcBorders>
            <w:noWrap/>
            <w:vAlign w:val="center"/>
          </w:tcPr>
          <w:p w14:paraId="70C17C2A" w14:textId="77777777" w:rsidR="00CE3E36" w:rsidRPr="00981E7E" w:rsidRDefault="00CE3E36" w:rsidP="00DF33CD">
            <w:pPr>
              <w:jc w:val="both"/>
              <w:rPr>
                <w:rFonts w:ascii="Arial" w:hAnsi="Arial" w:cs="Arial"/>
                <w:sz w:val="22"/>
                <w:szCs w:val="22"/>
              </w:rPr>
            </w:pPr>
            <w:r>
              <w:rPr>
                <w:rFonts w:ascii="Arial" w:hAnsi="Arial" w:cs="Arial"/>
                <w:sz w:val="22"/>
                <w:szCs w:val="22"/>
              </w:rPr>
              <w:t>19.0</w:t>
            </w:r>
            <w:r w:rsidRPr="00981E7E">
              <w:rPr>
                <w:rFonts w:ascii="Arial" w:hAnsi="Arial" w:cs="Arial"/>
                <w:sz w:val="22"/>
                <w:szCs w:val="22"/>
              </w:rPr>
              <w:t xml:space="preserve"> mm PG 64</w:t>
            </w:r>
            <w:r>
              <w:rPr>
                <w:rFonts w:ascii="Arial" w:hAnsi="Arial" w:cs="Arial"/>
                <w:sz w:val="22"/>
                <w:szCs w:val="22"/>
              </w:rPr>
              <w:t>S</w:t>
            </w:r>
            <w:r w:rsidRPr="00981E7E">
              <w:rPr>
                <w:rFonts w:ascii="Arial" w:hAnsi="Arial" w:cs="Arial"/>
                <w:sz w:val="22"/>
                <w:szCs w:val="22"/>
              </w:rPr>
              <w:t xml:space="preserve">-22  Level 2 </w:t>
            </w:r>
          </w:p>
        </w:tc>
      </w:tr>
      <w:tr w:rsidR="00CE3E36" w:rsidRPr="00BC3AB9" w14:paraId="51B827F5" w14:textId="77777777" w:rsidTr="005B46B9">
        <w:trPr>
          <w:trHeight w:val="288"/>
          <w:jc w:val="center"/>
        </w:trPr>
        <w:tc>
          <w:tcPr>
            <w:tcW w:w="1023" w:type="dxa"/>
            <w:tcBorders>
              <w:top w:val="single" w:sz="4" w:space="0" w:color="auto"/>
              <w:left w:val="single" w:sz="4" w:space="0" w:color="auto"/>
              <w:bottom w:val="single" w:sz="4" w:space="0" w:color="auto"/>
              <w:right w:val="single" w:sz="4" w:space="0" w:color="auto"/>
            </w:tcBorders>
            <w:noWrap/>
            <w:vAlign w:val="center"/>
          </w:tcPr>
          <w:p w14:paraId="3290DD6D" w14:textId="707E4E80" w:rsidR="00CE3E36" w:rsidRPr="00981E7E" w:rsidRDefault="00437FFE" w:rsidP="005B46B9">
            <w:pPr>
              <w:jc w:val="center"/>
              <w:rPr>
                <w:rFonts w:ascii="Arial" w:hAnsi="Arial" w:cs="Arial"/>
                <w:sz w:val="22"/>
                <w:szCs w:val="22"/>
              </w:rPr>
            </w:pPr>
            <w:r>
              <w:rPr>
                <w:rFonts w:ascii="Arial" w:hAnsi="Arial" w:cs="Arial"/>
                <w:sz w:val="22"/>
                <w:szCs w:val="22"/>
              </w:rPr>
              <w:t>13</w:t>
            </w:r>
          </w:p>
        </w:tc>
        <w:tc>
          <w:tcPr>
            <w:tcW w:w="4197" w:type="dxa"/>
            <w:tcBorders>
              <w:top w:val="single" w:sz="4" w:space="0" w:color="auto"/>
              <w:left w:val="nil"/>
              <w:bottom w:val="single" w:sz="4" w:space="0" w:color="auto"/>
              <w:right w:val="single" w:sz="4" w:space="0" w:color="auto"/>
            </w:tcBorders>
            <w:noWrap/>
            <w:vAlign w:val="center"/>
          </w:tcPr>
          <w:p w14:paraId="7A8B6BEC" w14:textId="77777777" w:rsidR="00CE3E36" w:rsidRPr="00981E7E" w:rsidRDefault="00CE3E36" w:rsidP="00DF33CD">
            <w:pPr>
              <w:jc w:val="both"/>
              <w:rPr>
                <w:rFonts w:ascii="Arial" w:hAnsi="Arial" w:cs="Arial"/>
                <w:sz w:val="22"/>
                <w:szCs w:val="22"/>
              </w:rPr>
            </w:pPr>
            <w:r>
              <w:rPr>
                <w:rFonts w:ascii="Arial" w:hAnsi="Arial" w:cs="Arial"/>
                <w:sz w:val="22"/>
                <w:szCs w:val="22"/>
              </w:rPr>
              <w:t>25.0</w:t>
            </w:r>
            <w:r w:rsidRPr="00981E7E">
              <w:rPr>
                <w:rFonts w:ascii="Arial" w:hAnsi="Arial" w:cs="Arial"/>
                <w:sz w:val="22"/>
                <w:szCs w:val="22"/>
              </w:rPr>
              <w:t xml:space="preserve"> mm PG 64</w:t>
            </w:r>
            <w:r>
              <w:rPr>
                <w:rFonts w:ascii="Arial" w:hAnsi="Arial" w:cs="Arial"/>
                <w:sz w:val="22"/>
                <w:szCs w:val="22"/>
              </w:rPr>
              <w:t>S</w:t>
            </w:r>
            <w:r w:rsidRPr="00981E7E">
              <w:rPr>
                <w:rFonts w:ascii="Arial" w:hAnsi="Arial" w:cs="Arial"/>
                <w:sz w:val="22"/>
                <w:szCs w:val="22"/>
              </w:rPr>
              <w:t xml:space="preserve">-22  Level 2 </w:t>
            </w:r>
          </w:p>
        </w:tc>
      </w:tr>
    </w:tbl>
    <w:p w14:paraId="20E1B926" w14:textId="77777777" w:rsidR="00D316B0" w:rsidRPr="00BC3AB9" w:rsidRDefault="00D316B0" w:rsidP="00BE3F24">
      <w:pPr>
        <w:jc w:val="both"/>
        <w:rPr>
          <w:rFonts w:ascii="Arial" w:hAnsi="Arial" w:cs="Arial"/>
        </w:rPr>
      </w:pPr>
    </w:p>
    <w:p w14:paraId="0E88A3CD" w14:textId="412C1613" w:rsidR="00D316B0" w:rsidRDefault="00D316B0" w:rsidP="00BE3F24">
      <w:pPr>
        <w:pStyle w:val="BodyText"/>
        <w:jc w:val="both"/>
        <w:rPr>
          <w:rFonts w:cs="Arial"/>
        </w:rPr>
      </w:pPr>
      <w:r w:rsidRPr="00436BAE">
        <w:rPr>
          <w:rFonts w:cs="Arial"/>
        </w:rPr>
        <w:t xml:space="preserve">The preferred list does not prohibit other HMA mixes from being utilized on projects that require specific material selection </w:t>
      </w:r>
      <w:r>
        <w:rPr>
          <w:rFonts w:cs="Arial"/>
        </w:rPr>
        <w:t>properties</w:t>
      </w:r>
      <w:r w:rsidRPr="00E749D4">
        <w:rPr>
          <w:rFonts w:cs="Arial"/>
        </w:rPr>
        <w:t xml:space="preserve">.  </w:t>
      </w:r>
      <w:r>
        <w:rPr>
          <w:rFonts w:cs="Arial"/>
        </w:rPr>
        <w:t xml:space="preserve">However, this list shall be used on the </w:t>
      </w:r>
      <w:r w:rsidR="006C7C93">
        <w:rPr>
          <w:rFonts w:cs="Arial"/>
        </w:rPr>
        <w:t>clear</w:t>
      </w:r>
      <w:r>
        <w:rPr>
          <w:rFonts w:cs="Arial"/>
        </w:rPr>
        <w:t xml:space="preserve"> majority of all </w:t>
      </w:r>
      <w:r w:rsidR="008C7023">
        <w:rPr>
          <w:rFonts w:cs="Arial"/>
        </w:rPr>
        <w:t>MDOT-SHA</w:t>
      </w:r>
      <w:r>
        <w:rPr>
          <w:rFonts w:cs="Arial"/>
        </w:rPr>
        <w:t xml:space="preserve"> projects. </w:t>
      </w:r>
    </w:p>
    <w:p w14:paraId="2B009D68" w14:textId="2DBF3DE3" w:rsidR="00D316B0" w:rsidRPr="00D560B4" w:rsidRDefault="00D316B0" w:rsidP="00D560B4">
      <w:pPr>
        <w:pStyle w:val="BodyText"/>
        <w:numPr>
          <w:ilvl w:val="0"/>
          <w:numId w:val="8"/>
        </w:numPr>
        <w:ind w:hanging="720"/>
        <w:jc w:val="both"/>
      </w:pPr>
      <w:r w:rsidRPr="00D560B4">
        <w:t xml:space="preserve">A </w:t>
      </w:r>
      <w:r w:rsidR="00DB4495" w:rsidRPr="00D560B4">
        <w:t>Gap</w:t>
      </w:r>
      <w:r w:rsidRPr="00D560B4">
        <w:t xml:space="preserve"> </w:t>
      </w:r>
      <w:r w:rsidRPr="006C7C93">
        <w:t>Graded</w:t>
      </w:r>
      <w:r w:rsidRPr="00D560B4">
        <w:t xml:space="preserve"> surface shall be used in conditions with greater than 30 million cumulative 20-year ESALs</w:t>
      </w:r>
      <w:r w:rsidR="006C7C93" w:rsidRPr="006C7C93">
        <w:t xml:space="preserve"> or to address specific pavement distresses or other performance issues for which the properties of gap graded mixes are desirable (e.g. joint reflective cracking).</w:t>
      </w:r>
      <w:r>
        <w:t xml:space="preserve">  </w:t>
      </w:r>
    </w:p>
    <w:p w14:paraId="51A35F85" w14:textId="69207FD4" w:rsidR="00D316B0" w:rsidRDefault="00D316B0" w:rsidP="00172E64">
      <w:pPr>
        <w:pStyle w:val="Heading4"/>
        <w:numPr>
          <w:ilvl w:val="3"/>
          <w:numId w:val="184"/>
        </w:numPr>
        <w:ind w:left="0" w:firstLine="0"/>
        <w:jc w:val="both"/>
      </w:pPr>
      <w:bookmarkStart w:id="423" w:name="_Toc364322314"/>
      <w:r>
        <w:t>Number of Traffic Levels per Mix</w:t>
      </w:r>
      <w:bookmarkEnd w:id="423"/>
      <w:r>
        <w:t xml:space="preserve"> </w:t>
      </w:r>
    </w:p>
    <w:p w14:paraId="039448C3" w14:textId="0D741653" w:rsidR="00D316B0" w:rsidRDefault="00D316B0" w:rsidP="00BE3F24">
      <w:pPr>
        <w:pStyle w:val="BodyText"/>
        <w:jc w:val="both"/>
      </w:pPr>
      <w:r>
        <w:t xml:space="preserve">One (1) traffic level will be specified for each mix within a contract.  Exceptions to this policy will be granted if the quantity of the mixes exceed 5,000 tons for each traffic level.    </w:t>
      </w:r>
    </w:p>
    <w:p w14:paraId="6AB81357" w14:textId="72D65BE6" w:rsidR="00D316B0" w:rsidRDefault="00D316B0" w:rsidP="00172E64">
      <w:pPr>
        <w:pStyle w:val="Heading4"/>
        <w:numPr>
          <w:ilvl w:val="3"/>
          <w:numId w:val="184"/>
        </w:numPr>
        <w:ind w:left="0" w:firstLine="0"/>
        <w:jc w:val="both"/>
      </w:pPr>
      <w:bookmarkStart w:id="424" w:name="_Toc364322315"/>
      <w:r>
        <w:t>Number of PG Binders per Contract</w:t>
      </w:r>
      <w:bookmarkEnd w:id="424"/>
      <w:r>
        <w:t xml:space="preserve">  </w:t>
      </w:r>
    </w:p>
    <w:p w14:paraId="32CADAC8" w14:textId="77777777" w:rsidR="00D316B0" w:rsidRDefault="00D316B0" w:rsidP="00BE3F24">
      <w:pPr>
        <w:pStyle w:val="BodyText"/>
        <w:jc w:val="both"/>
      </w:pPr>
      <w:r>
        <w:t xml:space="preserve">A maximum of two (2) PG binders will be specified within a contract.  If a minimum PG binder can be specified for a particular project, the contractor can provide a higher grade PG binder without objection.  The temperature range for the PG Binder has to be the same or greater than that specified in the contract specifications.  </w:t>
      </w:r>
    </w:p>
    <w:p w14:paraId="2B37ECE5" w14:textId="069A4EFC" w:rsidR="00D316B0" w:rsidRDefault="00D316B0" w:rsidP="00172E64">
      <w:pPr>
        <w:pStyle w:val="Heading4"/>
        <w:numPr>
          <w:ilvl w:val="3"/>
          <w:numId w:val="184"/>
        </w:numPr>
        <w:ind w:left="0" w:firstLine="0"/>
        <w:jc w:val="both"/>
      </w:pPr>
      <w:bookmarkStart w:id="425" w:name="_Toc364322316"/>
      <w:r>
        <w:t>Number of HMA Mix Sizes per Contract</w:t>
      </w:r>
      <w:bookmarkEnd w:id="425"/>
      <w:r>
        <w:t xml:space="preserve">  </w:t>
      </w:r>
    </w:p>
    <w:p w14:paraId="1B87D68C" w14:textId="077F2EF5" w:rsidR="00D316B0" w:rsidRDefault="00D316B0" w:rsidP="00BE3F24">
      <w:pPr>
        <w:pStyle w:val="BodyText"/>
        <w:jc w:val="both"/>
      </w:pPr>
      <w:r>
        <w:t>The goal is to have a maximum of three (3) HMA Superpave mix sizes per contract.  Exceptions to this policy will be granted if the quantity of the mixes exceed 5,000 tons for a HMA mix.</w:t>
      </w:r>
    </w:p>
    <w:p w14:paraId="453E8C08" w14:textId="3192A4CD" w:rsidR="00D316B0" w:rsidRDefault="00D316B0" w:rsidP="00172E64">
      <w:pPr>
        <w:pStyle w:val="Heading4"/>
        <w:numPr>
          <w:ilvl w:val="3"/>
          <w:numId w:val="184"/>
        </w:numPr>
        <w:ind w:left="0" w:firstLine="0"/>
        <w:jc w:val="both"/>
      </w:pPr>
      <w:bookmarkStart w:id="426" w:name="_Toc364322317"/>
      <w:r>
        <w:t>Placement of Final Surface Material</w:t>
      </w:r>
      <w:bookmarkEnd w:id="426"/>
    </w:p>
    <w:p w14:paraId="0B8EDA36" w14:textId="353913BE" w:rsidR="00D316B0" w:rsidRDefault="00D316B0" w:rsidP="00BE3F24">
      <w:pPr>
        <w:pStyle w:val="BodyText"/>
        <w:jc w:val="both"/>
      </w:pPr>
      <w:r>
        <w:t xml:space="preserve">An effort shall be made to place the final surface layer on an HMA Superpave 19.0 mm base layer or finer material when </w:t>
      </w:r>
      <w:r w:rsidR="00B913D8">
        <w:t>mill</w:t>
      </w:r>
      <w:r>
        <w:t xml:space="preserve">ing is not included in the project.  This surface layer </w:t>
      </w:r>
      <w:r>
        <w:lastRenderedPageBreak/>
        <w:t>policy also includes the placement of the surface layer over full-depth and partial-depth patch areas.  The goal is to provide the best opportunity for optimum final ride quality.</w:t>
      </w:r>
    </w:p>
    <w:p w14:paraId="02561227" w14:textId="5E41B73D" w:rsidR="00D316B0" w:rsidRDefault="00D316B0" w:rsidP="00172E64">
      <w:pPr>
        <w:pStyle w:val="Heading3"/>
        <w:numPr>
          <w:ilvl w:val="2"/>
          <w:numId w:val="184"/>
        </w:numPr>
        <w:tabs>
          <w:tab w:val="left" w:pos="1440"/>
        </w:tabs>
        <w:ind w:left="0" w:firstLine="0"/>
        <w:jc w:val="both"/>
      </w:pPr>
      <w:bookmarkStart w:id="427" w:name="_Wearing_Surface_Selection"/>
      <w:bookmarkStart w:id="428" w:name="_Toc364322318"/>
      <w:bookmarkEnd w:id="427"/>
      <w:r>
        <w:t>Wearing Surface Selection</w:t>
      </w:r>
      <w:bookmarkEnd w:id="428"/>
    </w:p>
    <w:p w14:paraId="3B030F0D" w14:textId="77777777" w:rsidR="00C124A0" w:rsidRPr="008F604D" w:rsidRDefault="00C124A0" w:rsidP="00C124A0">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erformance_Grade_Binder" w:history="1">
        <w:r w:rsidRPr="00C124A0">
          <w:rPr>
            <w:rStyle w:val="Hyperlink"/>
            <w:rFonts w:ascii="Arial" w:hAnsi="Arial" w:cs="Arial"/>
            <w:bCs/>
            <w:sz w:val="16"/>
            <w:szCs w:val="16"/>
          </w:rPr>
          <w:t>Performance Grade Binder Selection</w:t>
        </w:r>
      </w:hyperlink>
    </w:p>
    <w:p w14:paraId="7F6537FE" w14:textId="34AC8B09" w:rsidR="00D316B0" w:rsidRDefault="00D316B0" w:rsidP="00D560B4">
      <w:pPr>
        <w:spacing w:before="120"/>
        <w:jc w:val="both"/>
        <w:rPr>
          <w:rFonts w:ascii="Arial" w:hAnsi="Arial"/>
          <w:sz w:val="22"/>
        </w:rPr>
      </w:pPr>
      <w:r>
        <w:rPr>
          <w:rFonts w:ascii="Arial" w:hAnsi="Arial"/>
          <w:sz w:val="22"/>
        </w:rPr>
        <w:t>The wearing surface in a HMA pavement can vary depending on the existing site conditions, anticipated traffic conditions, and material availability.  Some of the decisions made about the wearing course selection can greatly alter the performance and the cost of the materials in a particular project.  For that reason and to provide a level of consistency through the state, material selection policies were developed for a wearing course.</w:t>
      </w:r>
    </w:p>
    <w:p w14:paraId="69220D0C" w14:textId="77777777" w:rsidR="00D316B0" w:rsidRDefault="00D316B0" w:rsidP="00BE3F24">
      <w:pPr>
        <w:jc w:val="both"/>
        <w:rPr>
          <w:rFonts w:ascii="Arial" w:hAnsi="Arial"/>
          <w:sz w:val="22"/>
        </w:rPr>
      </w:pPr>
    </w:p>
    <w:p w14:paraId="5A5B7646" w14:textId="5A5EB388" w:rsidR="00D316B0" w:rsidRDefault="00D316B0" w:rsidP="00172E64">
      <w:pPr>
        <w:pStyle w:val="Heading4"/>
        <w:numPr>
          <w:ilvl w:val="3"/>
          <w:numId w:val="184"/>
        </w:numPr>
        <w:ind w:left="0" w:firstLine="0"/>
        <w:jc w:val="both"/>
      </w:pPr>
      <w:bookmarkStart w:id="429" w:name="_Specifying_Gap_Graded"/>
      <w:bookmarkStart w:id="430" w:name="_Toc364322319"/>
      <w:bookmarkEnd w:id="429"/>
      <w:r>
        <w:t xml:space="preserve">Specifying </w:t>
      </w:r>
      <w:r w:rsidR="00DB4495">
        <w:t>Gap</w:t>
      </w:r>
      <w:r>
        <w:t xml:space="preserve"> Graded Mixes</w:t>
      </w:r>
      <w:bookmarkEnd w:id="430"/>
    </w:p>
    <w:p w14:paraId="01D5515F" w14:textId="51CAECC8" w:rsidR="00F6695E" w:rsidRDefault="00D316B0" w:rsidP="00BE3F24">
      <w:pPr>
        <w:pStyle w:val="BodyText"/>
        <w:jc w:val="both"/>
      </w:pPr>
      <w:r>
        <w:t xml:space="preserve">All </w:t>
      </w:r>
      <w:r w:rsidR="00DB4495">
        <w:t>Gap</w:t>
      </w:r>
      <w:r>
        <w:t xml:space="preserve"> Graded mixes shall be PG </w:t>
      </w:r>
      <w:r w:rsidR="00824EAD">
        <w:t>64E</w:t>
      </w:r>
      <w:r>
        <w:t xml:space="preserve">-22 and traffic </w:t>
      </w:r>
      <w:r w:rsidR="00DF33CD">
        <w:t>L</w:t>
      </w:r>
      <w:r>
        <w:t xml:space="preserve">evel </w:t>
      </w:r>
      <w:r w:rsidR="007710D6">
        <w:t>5</w:t>
      </w:r>
      <w:r>
        <w:t xml:space="preserve">.  </w:t>
      </w:r>
    </w:p>
    <w:p w14:paraId="6F9F593D" w14:textId="70EA89FF" w:rsidR="00F6695E" w:rsidRDefault="00DB4495" w:rsidP="00172E64">
      <w:pPr>
        <w:pStyle w:val="Heading5"/>
        <w:numPr>
          <w:ilvl w:val="4"/>
          <w:numId w:val="184"/>
        </w:numPr>
        <w:tabs>
          <w:tab w:val="left" w:pos="1800"/>
        </w:tabs>
        <w:ind w:left="1098" w:hanging="1098"/>
      </w:pPr>
      <w:r>
        <w:t>Gap</w:t>
      </w:r>
      <w:r w:rsidR="00F6695E">
        <w:t xml:space="preserve"> Graded Asphalt Mixes</w:t>
      </w:r>
    </w:p>
    <w:p w14:paraId="4F2F6E0D" w14:textId="71F79845" w:rsidR="00D316B0" w:rsidRDefault="00D316B0" w:rsidP="00BE3F24">
      <w:pPr>
        <w:pStyle w:val="BodyText"/>
        <w:jc w:val="both"/>
      </w:pPr>
      <w:r>
        <w:t xml:space="preserve">The following conditions need to </w:t>
      </w:r>
      <w:r w:rsidR="00DF33CD">
        <w:t xml:space="preserve">be </w:t>
      </w:r>
      <w:r>
        <w:t xml:space="preserve">present prior to considering the selection of a </w:t>
      </w:r>
      <w:r w:rsidR="00DB4495">
        <w:t>Gap</w:t>
      </w:r>
      <w:r>
        <w:t xml:space="preserve"> Graded HMA mix for the wearing course: </w:t>
      </w:r>
    </w:p>
    <w:p w14:paraId="699DC110" w14:textId="4EDFA6BD" w:rsidR="00D316B0" w:rsidRDefault="00D316B0" w:rsidP="00EC46AC">
      <w:pPr>
        <w:pStyle w:val="BodyText"/>
        <w:numPr>
          <w:ilvl w:val="0"/>
          <w:numId w:val="8"/>
        </w:numPr>
        <w:ind w:left="0" w:firstLine="0"/>
        <w:jc w:val="both"/>
        <w:rPr>
          <w:b/>
        </w:rPr>
      </w:pPr>
      <w:r>
        <w:rPr>
          <w:b/>
        </w:rPr>
        <w:t xml:space="preserve">Traffic </w:t>
      </w:r>
      <w:r w:rsidR="00DF33CD">
        <w:rPr>
          <w:b/>
        </w:rPr>
        <w:t>L</w:t>
      </w:r>
      <w:r>
        <w:rPr>
          <w:b/>
        </w:rPr>
        <w:t>evel 4</w:t>
      </w:r>
      <w:r w:rsidR="00BC4C94">
        <w:rPr>
          <w:b/>
        </w:rPr>
        <w:t xml:space="preserve"> (approximately 6.5 million ESALs over 20 years)</w:t>
      </w:r>
      <w:r>
        <w:rPr>
          <w:b/>
        </w:rPr>
        <w:t xml:space="preserve"> or higher</w:t>
      </w:r>
    </w:p>
    <w:p w14:paraId="64046292" w14:textId="08578587" w:rsidR="00756F96" w:rsidRDefault="00DF33CD" w:rsidP="00EC46AC">
      <w:pPr>
        <w:pStyle w:val="BodyText"/>
        <w:numPr>
          <w:ilvl w:val="0"/>
          <w:numId w:val="8"/>
        </w:numPr>
        <w:ind w:left="0" w:firstLine="0"/>
        <w:jc w:val="both"/>
        <w:rPr>
          <w:b/>
        </w:rPr>
      </w:pPr>
      <w:r>
        <w:rPr>
          <w:b/>
        </w:rPr>
        <w:t>A</w:t>
      </w:r>
      <w:r w:rsidR="00D316B0">
        <w:rPr>
          <w:b/>
        </w:rPr>
        <w:t xml:space="preserve"> functional class of </w:t>
      </w:r>
      <w:r w:rsidR="00756F96">
        <w:rPr>
          <w:b/>
        </w:rPr>
        <w:t>Principal Arterial</w:t>
      </w:r>
      <w:r w:rsidR="00D316B0">
        <w:rPr>
          <w:b/>
        </w:rPr>
        <w:t xml:space="preserve"> or greater</w:t>
      </w:r>
    </w:p>
    <w:p w14:paraId="17465A20" w14:textId="104A39D6" w:rsidR="00AB3BBA" w:rsidRDefault="00756F96" w:rsidP="00AB3BBA">
      <w:pPr>
        <w:pStyle w:val="BodyText"/>
        <w:spacing w:after="0"/>
        <w:jc w:val="both"/>
      </w:pPr>
      <w:r w:rsidRPr="00756F96">
        <w:t xml:space="preserve">In addition, </w:t>
      </w:r>
      <w:r w:rsidR="005547C4">
        <w:t>minor arterials</w:t>
      </w:r>
      <w:r w:rsidRPr="00756F96">
        <w:t xml:space="preserve"> can be considered for </w:t>
      </w:r>
      <w:r w:rsidR="00DB4495">
        <w:t>Gap</w:t>
      </w:r>
      <w:r w:rsidRPr="00756F96">
        <w:t xml:space="preserve"> Graded mixes if </w:t>
      </w:r>
      <w:r w:rsidR="00E40083">
        <w:t xml:space="preserve">joint reflection cracking is an issue, since performance data and laboratory testing have shown that </w:t>
      </w:r>
      <w:r w:rsidR="00DB4495">
        <w:t>Gap</w:t>
      </w:r>
      <w:r w:rsidR="00E40083">
        <w:t xml:space="preserve"> Graded mixes perform significantly better than dense graded mixes in inhibiting joint reflection cracks.</w:t>
      </w:r>
      <w:r w:rsidR="005547C4">
        <w:t xml:space="preserve">  Refer to </w:t>
      </w:r>
      <w:hyperlink w:anchor="_Gap_Graded_Stone" w:history="1">
        <w:r w:rsidR="00DB4495">
          <w:rPr>
            <w:rStyle w:val="Hyperlink"/>
          </w:rPr>
          <w:t>Gap</w:t>
        </w:r>
        <w:r w:rsidR="005547C4" w:rsidRPr="005547C4">
          <w:rPr>
            <w:rStyle w:val="Hyperlink"/>
          </w:rPr>
          <w:t xml:space="preserve"> Graded Stone Matrix Asphalt (SMA) Mixtures:</w:t>
        </w:r>
      </w:hyperlink>
      <w:r w:rsidR="005547C4">
        <w:t xml:space="preserve"> for further discussion on reflective crack control.</w:t>
      </w:r>
      <w:bookmarkStart w:id="431" w:name="_Toc364322320"/>
    </w:p>
    <w:p w14:paraId="0A99750D" w14:textId="29B33275" w:rsidR="0004318F" w:rsidRDefault="0004318F" w:rsidP="00AB3BBA">
      <w:pPr>
        <w:pStyle w:val="BodyText"/>
        <w:spacing w:after="0"/>
        <w:jc w:val="both"/>
      </w:pPr>
    </w:p>
    <w:p w14:paraId="5AA36CCC" w14:textId="758490E7" w:rsidR="0004318F" w:rsidRDefault="0004318F" w:rsidP="00AB3BBA">
      <w:pPr>
        <w:pStyle w:val="BodyText"/>
        <w:spacing w:after="0"/>
        <w:jc w:val="both"/>
      </w:pPr>
      <w:r>
        <w:t>Note: Industry prefers that Gap Graded projects be at least 4 lane-miles because of impacts on plant operations.  Projects smaller than this should be considered more carefully.</w:t>
      </w:r>
    </w:p>
    <w:p w14:paraId="00FC445D" w14:textId="77777777" w:rsidR="00AB3BBA" w:rsidRDefault="00AB3BBA" w:rsidP="00AB3BBA">
      <w:pPr>
        <w:pStyle w:val="BodyText"/>
        <w:spacing w:after="0"/>
        <w:jc w:val="both"/>
      </w:pPr>
    </w:p>
    <w:p w14:paraId="68D742E1" w14:textId="48ED2BE7" w:rsidR="00F6695E" w:rsidRDefault="00F6695E" w:rsidP="00172E64">
      <w:pPr>
        <w:pStyle w:val="Heading5"/>
        <w:numPr>
          <w:ilvl w:val="4"/>
          <w:numId w:val="184"/>
        </w:numPr>
        <w:tabs>
          <w:tab w:val="left" w:pos="1800"/>
        </w:tabs>
        <w:ind w:left="1098" w:hanging="1098"/>
      </w:pPr>
      <w:r>
        <w:t xml:space="preserve">Asphalt Rubber </w:t>
      </w:r>
      <w:r w:rsidR="00DB4495">
        <w:t>Gap</w:t>
      </w:r>
      <w:r>
        <w:t xml:space="preserve"> Mixes</w:t>
      </w:r>
    </w:p>
    <w:p w14:paraId="252D9A31" w14:textId="060B21C8" w:rsidR="00F6695E" w:rsidRPr="00F6695E" w:rsidRDefault="00C74841" w:rsidP="00D560B4">
      <w:pPr>
        <w:pStyle w:val="BodyText"/>
        <w:jc w:val="both"/>
      </w:pPr>
      <w:r>
        <w:t xml:space="preserve">Asphalt Rubber </w:t>
      </w:r>
      <w:r w:rsidR="00DB4495">
        <w:t>Gap</w:t>
      </w:r>
      <w:r>
        <w:t xml:space="preserve"> Graded</w:t>
      </w:r>
      <w:r w:rsidR="00DF33CD">
        <w:t xml:space="preserve"> </w:t>
      </w:r>
      <w:r>
        <w:t>mixes last longer</w:t>
      </w:r>
      <w:r w:rsidRPr="00C74841">
        <w:t xml:space="preserve"> than conventional </w:t>
      </w:r>
      <w:r w:rsidR="00DB4495">
        <w:t>gap-graded</w:t>
      </w:r>
      <w:r w:rsidRPr="00C74841">
        <w:t xml:space="preserve"> mixes. </w:t>
      </w:r>
      <w:r>
        <w:t xml:space="preserve"> The higher as</w:t>
      </w:r>
      <w:r w:rsidRPr="00C74841">
        <w:t>phalt content results in better crack resistance</w:t>
      </w:r>
      <w:r w:rsidR="00DF33CD">
        <w:t>;</w:t>
      </w:r>
      <w:r>
        <w:t xml:space="preserve"> however</w:t>
      </w:r>
      <w:r w:rsidR="00DF33CD">
        <w:t>,</w:t>
      </w:r>
      <w:r>
        <w:t xml:space="preserve"> it also </w:t>
      </w:r>
      <w:r w:rsidRPr="00C74841">
        <w:t xml:space="preserve">results in higher costs. </w:t>
      </w:r>
      <w:r>
        <w:t>ARGG is c</w:t>
      </w:r>
      <w:r w:rsidRPr="00C74841">
        <w:t>ost</w:t>
      </w:r>
      <w:r w:rsidR="009C1A5C">
        <w:t>-</w:t>
      </w:r>
      <w:r w:rsidRPr="00C74841">
        <w:t xml:space="preserve">effective for projects of &gt;5,000 tons. Special asphalt binder and rubber blending equipment </w:t>
      </w:r>
      <w:r w:rsidR="00DF33CD">
        <w:t>is</w:t>
      </w:r>
      <w:r w:rsidR="00DF33CD" w:rsidRPr="00C74841">
        <w:t xml:space="preserve"> </w:t>
      </w:r>
      <w:r w:rsidRPr="00C74841">
        <w:t>required.</w:t>
      </w:r>
      <w:r>
        <w:t xml:space="preserve">  </w:t>
      </w:r>
      <w:r w:rsidR="00F6695E" w:rsidRPr="00F6695E">
        <w:t xml:space="preserve">The following conditions need to </w:t>
      </w:r>
      <w:r w:rsidR="00DF33CD">
        <w:t>b</w:t>
      </w:r>
      <w:r w:rsidR="00DF33CD" w:rsidRPr="00F6695E">
        <w:t xml:space="preserve">e </w:t>
      </w:r>
      <w:r w:rsidR="00F6695E" w:rsidRPr="00F6695E">
        <w:t xml:space="preserve">present prior to considering the selection of an ARGG mix for the wearing course: </w:t>
      </w:r>
    </w:p>
    <w:p w14:paraId="618110AE" w14:textId="24AA4B2B" w:rsidR="00F6695E" w:rsidRPr="00F6695E" w:rsidRDefault="00F6695E" w:rsidP="00EC46AC">
      <w:pPr>
        <w:pStyle w:val="BodyText"/>
        <w:numPr>
          <w:ilvl w:val="0"/>
          <w:numId w:val="8"/>
        </w:numPr>
        <w:ind w:left="0" w:firstLine="0"/>
        <w:jc w:val="both"/>
        <w:rPr>
          <w:b/>
        </w:rPr>
      </w:pPr>
      <w:r w:rsidRPr="00F6695E">
        <w:rPr>
          <w:b/>
        </w:rPr>
        <w:t xml:space="preserve">Traffic </w:t>
      </w:r>
      <w:r w:rsidR="0042351A">
        <w:rPr>
          <w:b/>
        </w:rPr>
        <w:t>L</w:t>
      </w:r>
      <w:r w:rsidRPr="00F6695E">
        <w:rPr>
          <w:b/>
        </w:rPr>
        <w:t>evel 4 or higher</w:t>
      </w:r>
    </w:p>
    <w:p w14:paraId="2F69DCF9" w14:textId="34126F0A" w:rsidR="00F6695E" w:rsidRPr="00F6695E" w:rsidRDefault="0042351A" w:rsidP="00EC46AC">
      <w:pPr>
        <w:pStyle w:val="BodyText"/>
        <w:numPr>
          <w:ilvl w:val="0"/>
          <w:numId w:val="8"/>
        </w:numPr>
        <w:ind w:left="0" w:firstLine="0"/>
        <w:jc w:val="both"/>
        <w:rPr>
          <w:b/>
        </w:rPr>
      </w:pPr>
      <w:r>
        <w:rPr>
          <w:b/>
        </w:rPr>
        <w:t>A</w:t>
      </w:r>
      <w:r w:rsidR="00F6695E" w:rsidRPr="00F6695E">
        <w:rPr>
          <w:b/>
        </w:rPr>
        <w:t xml:space="preserve"> functional class of Interstates and Freeways</w:t>
      </w:r>
    </w:p>
    <w:p w14:paraId="0B4EF64E" w14:textId="423A91DF" w:rsidR="00F6695E" w:rsidRPr="00F6695E" w:rsidRDefault="00F6695E" w:rsidP="00D560B4">
      <w:pPr>
        <w:pStyle w:val="BodyText"/>
        <w:numPr>
          <w:ilvl w:val="0"/>
          <w:numId w:val="8"/>
        </w:numPr>
        <w:spacing w:after="0"/>
        <w:ind w:left="0" w:firstLine="0"/>
        <w:jc w:val="both"/>
        <w:rPr>
          <w:b/>
        </w:rPr>
      </w:pPr>
      <w:r w:rsidRPr="00F6695E">
        <w:rPr>
          <w:b/>
        </w:rPr>
        <w:t>Composite pavements where premature reflective cracking occurs</w:t>
      </w:r>
    </w:p>
    <w:p w14:paraId="6F4BCA80" w14:textId="77777777" w:rsidR="00F6695E" w:rsidRDefault="00F6695E" w:rsidP="00AB3BBA">
      <w:pPr>
        <w:pStyle w:val="BodyText"/>
        <w:spacing w:after="0"/>
        <w:jc w:val="both"/>
      </w:pPr>
    </w:p>
    <w:p w14:paraId="49A48B3B" w14:textId="77777777" w:rsidR="00AB3BBA" w:rsidRDefault="00AB3BBA" w:rsidP="00172E64">
      <w:pPr>
        <w:pStyle w:val="Heading4"/>
        <w:numPr>
          <w:ilvl w:val="3"/>
          <w:numId w:val="184"/>
        </w:numPr>
        <w:ind w:left="0" w:firstLine="0"/>
        <w:jc w:val="both"/>
      </w:pPr>
      <w:r>
        <w:t>HiMA (Highly Modified Asphalt)</w:t>
      </w:r>
    </w:p>
    <w:p w14:paraId="487E44A7" w14:textId="5652D6FC" w:rsidR="001965C3" w:rsidRDefault="00AB3BBA" w:rsidP="00AB3BBA">
      <w:pPr>
        <w:pStyle w:val="BodyText"/>
        <w:jc w:val="both"/>
      </w:pPr>
      <w:r>
        <w:t>HiMA (</w:t>
      </w:r>
      <w:r w:rsidRPr="00AB3BBA">
        <w:t>Hi</w:t>
      </w:r>
      <w:r>
        <w:t xml:space="preserve">ghly </w:t>
      </w:r>
      <w:r w:rsidRPr="00AB3BBA">
        <w:t>M</w:t>
      </w:r>
      <w:r>
        <w:t xml:space="preserve">odified </w:t>
      </w:r>
      <w:r w:rsidRPr="00AB3BBA">
        <w:t>A</w:t>
      </w:r>
      <w:r>
        <w:t>sphalt) is a heavily polymer-modified asphalt mix. The HiMA modifier is designed to increase the viscosity of the virgin asphalt binders without adversely affecting the workability of the mixtures. The asphalt binder in this mix will have performance grade of PG</w:t>
      </w:r>
      <w:r w:rsidRPr="00BE741C">
        <w:rPr>
          <w:b/>
          <w:u w:val="single"/>
        </w:rPr>
        <w:t>76E-2</w:t>
      </w:r>
      <w:r w:rsidR="00BE741C" w:rsidRPr="00BE741C">
        <w:rPr>
          <w:b/>
          <w:u w:val="single"/>
        </w:rPr>
        <w:t>8</w:t>
      </w:r>
      <w:r>
        <w:t>.  That is not a misprint.  In a conventional PG64E-22 binder, the styrene-butadiene-styrene (SBS) polymer content is 2% to 3%, whereas in PG76E-2</w:t>
      </w:r>
      <w:r w:rsidR="00C064FE">
        <w:t>8</w:t>
      </w:r>
      <w:r>
        <w:t xml:space="preserve">, the specialty SBS polymer content is about 7.5%.  This mix shall meet the AASHTO M 332 Standard. </w:t>
      </w:r>
      <w:r w:rsidR="00A978B8">
        <w:t xml:space="preserve"> </w:t>
      </w:r>
    </w:p>
    <w:p w14:paraId="2F1C9BED" w14:textId="31676FB1" w:rsidR="00AB3BBA" w:rsidRDefault="001965C3" w:rsidP="00AB3BBA">
      <w:pPr>
        <w:pStyle w:val="BodyText"/>
        <w:jc w:val="both"/>
      </w:pPr>
      <w:r>
        <w:lastRenderedPageBreak/>
        <w:t xml:space="preserve">HiMA can be specified if all the criteria for specifying </w:t>
      </w:r>
      <w:r w:rsidR="00DB4495">
        <w:t>Gap</w:t>
      </w:r>
      <w:r>
        <w:t xml:space="preserve"> Graded mixes are met, but the project</w:t>
      </w:r>
      <w:r w:rsidR="0028469E">
        <w:t xml:space="preserve"> has areas (typically urban areas) where workability (such as handwork) is an issue and paving is difficult.  </w:t>
      </w:r>
      <w:r w:rsidR="00AB3BBA">
        <w:t xml:space="preserve">If this mix is being placed in a project, then the pavement engineer can use the </w:t>
      </w:r>
      <w:r w:rsidR="00A978B8">
        <w:t xml:space="preserve">same description as for dense graded </w:t>
      </w:r>
      <w:r w:rsidR="001C5A32">
        <w:t>mixes but</w:t>
      </w:r>
      <w:r w:rsidR="00A978B8">
        <w:t xml:space="preserve"> </w:t>
      </w:r>
      <w:r w:rsidR="00912679">
        <w:t xml:space="preserve">should </w:t>
      </w:r>
      <w:r w:rsidR="00A978B8">
        <w:t>chang</w:t>
      </w:r>
      <w:r w:rsidR="00912679">
        <w:t xml:space="preserve">e </w:t>
      </w:r>
      <w:r w:rsidR="00A978B8">
        <w:t>the binder designation to P</w:t>
      </w:r>
      <w:r w:rsidR="00AB3BBA">
        <w:t>G 76E-2</w:t>
      </w:r>
      <w:r w:rsidR="007710D6">
        <w:t>8</w:t>
      </w:r>
      <w:r w:rsidR="00A978B8">
        <w:t>.</w:t>
      </w:r>
      <w:r w:rsidR="00AB3BBA">
        <w:t xml:space="preserve"> </w:t>
      </w:r>
    </w:p>
    <w:p w14:paraId="7796A418" w14:textId="3838075C" w:rsidR="00D316B0" w:rsidRDefault="00D316B0" w:rsidP="00172E64">
      <w:pPr>
        <w:pStyle w:val="Heading4"/>
        <w:numPr>
          <w:ilvl w:val="3"/>
          <w:numId w:val="184"/>
        </w:numPr>
        <w:ind w:left="0" w:firstLine="0"/>
        <w:jc w:val="both"/>
      </w:pPr>
      <w:r>
        <w:t>Specifying High Dynamic Friction Value HMA Mixes</w:t>
      </w:r>
      <w:bookmarkEnd w:id="431"/>
    </w:p>
    <w:p w14:paraId="6922141E" w14:textId="1CDCA836" w:rsidR="00D316B0" w:rsidRDefault="00D316B0" w:rsidP="00BE3F24">
      <w:pPr>
        <w:pStyle w:val="BodyText"/>
        <w:jc w:val="both"/>
      </w:pPr>
      <w:r>
        <w:t xml:space="preserve">The following conditions need to </w:t>
      </w:r>
      <w:r w:rsidR="0042351A">
        <w:t xml:space="preserve">be </w:t>
      </w:r>
      <w:r>
        <w:t xml:space="preserve">present prior to considering the selection of a High Dynamic Friction HMA mix for the wearing course: </w:t>
      </w:r>
    </w:p>
    <w:p w14:paraId="5B6AB636" w14:textId="77777777" w:rsidR="00D316B0" w:rsidRPr="00D560B4" w:rsidRDefault="00D316B0" w:rsidP="00E37217">
      <w:pPr>
        <w:pStyle w:val="BodyText"/>
        <w:jc w:val="both"/>
      </w:pPr>
      <w:r w:rsidRPr="00D560B4">
        <w:t>At least 1 of the following items:</w:t>
      </w:r>
    </w:p>
    <w:p w14:paraId="27DD245D" w14:textId="582DE35A" w:rsidR="00D316B0" w:rsidRDefault="00D316B0" w:rsidP="00EC46AC">
      <w:pPr>
        <w:pStyle w:val="BodyText"/>
        <w:numPr>
          <w:ilvl w:val="0"/>
          <w:numId w:val="8"/>
        </w:numPr>
        <w:tabs>
          <w:tab w:val="num" w:pos="720"/>
        </w:tabs>
        <w:ind w:left="0" w:firstLine="0"/>
        <w:jc w:val="both"/>
        <w:rPr>
          <w:b/>
        </w:rPr>
      </w:pPr>
      <w:r>
        <w:rPr>
          <w:b/>
        </w:rPr>
        <w:t>Greater than 25,000 ADT (Two-way) in the design year, or</w:t>
      </w:r>
    </w:p>
    <w:p w14:paraId="69C8C917" w14:textId="77777777" w:rsidR="00D316B0" w:rsidRDefault="00D316B0" w:rsidP="00EC46AC">
      <w:pPr>
        <w:pStyle w:val="BodyText"/>
        <w:numPr>
          <w:ilvl w:val="0"/>
          <w:numId w:val="8"/>
        </w:numPr>
        <w:tabs>
          <w:tab w:val="num" w:pos="720"/>
        </w:tabs>
        <w:ind w:left="0" w:firstLine="0"/>
        <w:jc w:val="both"/>
        <w:rPr>
          <w:b/>
        </w:rPr>
      </w:pPr>
      <w:r>
        <w:rPr>
          <w:b/>
        </w:rPr>
        <w:t>Skid Number values &lt; 40, or</w:t>
      </w:r>
    </w:p>
    <w:p w14:paraId="378EB620" w14:textId="77777777" w:rsidR="003D3A66" w:rsidRPr="00A00775" w:rsidRDefault="00D316B0" w:rsidP="00EC46AC">
      <w:pPr>
        <w:pStyle w:val="BodyText"/>
        <w:numPr>
          <w:ilvl w:val="0"/>
          <w:numId w:val="8"/>
        </w:numPr>
        <w:tabs>
          <w:tab w:val="num" w:pos="720"/>
        </w:tabs>
        <w:ind w:hanging="720"/>
        <w:jc w:val="both"/>
        <w:rPr>
          <w:b/>
        </w:rPr>
      </w:pPr>
      <w:r>
        <w:rPr>
          <w:b/>
        </w:rPr>
        <w:t>Greater t</w:t>
      </w:r>
      <w:r w:rsidRPr="00A00775">
        <w:rPr>
          <w:b/>
        </w:rPr>
        <w:t>han 25% of the mainline area is exhibiting polished aggregate as a distress</w:t>
      </w:r>
      <w:r w:rsidR="003D3A66" w:rsidRPr="00A00775">
        <w:rPr>
          <w:b/>
        </w:rPr>
        <w:t>, or</w:t>
      </w:r>
    </w:p>
    <w:p w14:paraId="56D7783B" w14:textId="69CA6FEC" w:rsidR="00D316B0" w:rsidRPr="00A00775" w:rsidRDefault="003D3A66" w:rsidP="00EC46AC">
      <w:pPr>
        <w:pStyle w:val="BodyText"/>
        <w:numPr>
          <w:ilvl w:val="0"/>
          <w:numId w:val="8"/>
        </w:numPr>
        <w:tabs>
          <w:tab w:val="num" w:pos="720"/>
        </w:tabs>
        <w:ind w:hanging="720"/>
        <w:jc w:val="both"/>
        <w:rPr>
          <w:b/>
        </w:rPr>
      </w:pPr>
      <w:bookmarkStart w:id="432" w:name="_Hlk173485365"/>
      <w:r w:rsidRPr="00A00775">
        <w:rPr>
          <w:b/>
        </w:rPr>
        <w:t>If there is a wet accident history</w:t>
      </w:r>
      <w:r w:rsidR="00A00775" w:rsidRPr="00A00775">
        <w:rPr>
          <w:b/>
        </w:rPr>
        <w:t xml:space="preserve">, </w:t>
      </w:r>
      <w:r w:rsidRPr="00A00775">
        <w:rPr>
          <w:b/>
        </w:rPr>
        <w:t xml:space="preserve">defined in this situation as at least </w:t>
      </w:r>
      <w:r w:rsidR="002F6562" w:rsidRPr="00A00775">
        <w:rPr>
          <w:b/>
        </w:rPr>
        <w:t>3</w:t>
      </w:r>
      <w:r w:rsidR="000B66AE" w:rsidRPr="00A00775">
        <w:rPr>
          <w:b/>
        </w:rPr>
        <w:t>0</w:t>
      </w:r>
      <w:r w:rsidRPr="00A00775">
        <w:rPr>
          <w:b/>
        </w:rPr>
        <w:t xml:space="preserve">% wet accidents with a minimum of </w:t>
      </w:r>
      <w:r w:rsidR="000B66AE" w:rsidRPr="00A00775">
        <w:rPr>
          <w:b/>
        </w:rPr>
        <w:t>10</w:t>
      </w:r>
      <w:r w:rsidRPr="00A00775">
        <w:rPr>
          <w:b/>
        </w:rPr>
        <w:t xml:space="preserve"> wet accidents over the past </w:t>
      </w:r>
      <w:r w:rsidR="00AC6A8C">
        <w:rPr>
          <w:b/>
        </w:rPr>
        <w:t>5</w:t>
      </w:r>
      <w:r w:rsidRPr="00A00775">
        <w:rPr>
          <w:b/>
        </w:rPr>
        <w:t xml:space="preserve"> years.</w:t>
      </w:r>
    </w:p>
    <w:p w14:paraId="7770B82A" w14:textId="2388946D" w:rsidR="00D316B0" w:rsidRPr="00A00775" w:rsidRDefault="00D316B0" w:rsidP="00172E64">
      <w:pPr>
        <w:pStyle w:val="Heading4"/>
        <w:numPr>
          <w:ilvl w:val="3"/>
          <w:numId w:val="184"/>
        </w:numPr>
        <w:ind w:left="0" w:firstLine="0"/>
        <w:jc w:val="both"/>
      </w:pPr>
      <w:bookmarkStart w:id="433" w:name="_Toc364322321"/>
      <w:bookmarkEnd w:id="432"/>
      <w:r w:rsidRPr="00A00775">
        <w:t>Specifying HMA Superpave 4.75 mm Mix</w:t>
      </w:r>
      <w:bookmarkEnd w:id="433"/>
      <w:r w:rsidRPr="00A00775">
        <w:t xml:space="preserve"> </w:t>
      </w:r>
    </w:p>
    <w:p w14:paraId="3A561B38" w14:textId="77777777" w:rsidR="00CE3E36" w:rsidRDefault="00D316B0" w:rsidP="00BE3F24">
      <w:pPr>
        <w:pStyle w:val="BodyText"/>
        <w:jc w:val="both"/>
      </w:pPr>
      <w:r w:rsidRPr="00A00775">
        <w:t>The HMA Superpave</w:t>
      </w:r>
      <w:r>
        <w:t xml:space="preserve"> 4.75 mm mix </w:t>
      </w:r>
      <w:r w:rsidR="00CE3E36">
        <w:t>shall not be used, as it historically has had poor, short-lived performance.</w:t>
      </w:r>
    </w:p>
    <w:p w14:paraId="60B366BF" w14:textId="77777777" w:rsidR="00945B20" w:rsidRDefault="00945B20" w:rsidP="00945B20">
      <w:pPr>
        <w:pStyle w:val="Heading4"/>
        <w:numPr>
          <w:ilvl w:val="3"/>
          <w:numId w:val="184"/>
        </w:numPr>
        <w:ind w:left="0" w:firstLine="0"/>
        <w:jc w:val="both"/>
      </w:pPr>
      <w:r>
        <w:t xml:space="preserve">Specifying Fibers for Reinforcement in HMA Superpave Mix </w:t>
      </w:r>
    </w:p>
    <w:p w14:paraId="5D799E3A" w14:textId="77777777" w:rsidR="00945B20" w:rsidRDefault="00945B20" w:rsidP="00945B20">
      <w:pPr>
        <w:pStyle w:val="ListParagraph"/>
        <w:ind w:left="0"/>
        <w:jc w:val="both"/>
        <w:rPr>
          <w:rFonts w:ascii="Arial" w:hAnsi="Arial"/>
          <w:sz w:val="22"/>
        </w:rPr>
      </w:pPr>
      <w:r>
        <w:rPr>
          <w:rFonts w:ascii="Arial" w:hAnsi="Arial"/>
          <w:sz w:val="22"/>
        </w:rPr>
        <w:t>Monofilament aramid fibers are added to the aggregates before injection of the liquid asphalt during the asphalt mixing process.  These mixes have a similar performance to gap-graded mixes in terms of ride quality, cracking, and rutting, typically at a significantly reduced cost.  Fiber mixes should be considered as an alternative to gap-graded mixes for situations where:</w:t>
      </w:r>
    </w:p>
    <w:p w14:paraId="1DB8060B" w14:textId="77777777" w:rsidR="00945B20" w:rsidRDefault="00945B20" w:rsidP="00945B20">
      <w:pPr>
        <w:pStyle w:val="ListParagraph"/>
        <w:ind w:left="0"/>
        <w:jc w:val="both"/>
        <w:rPr>
          <w:rFonts w:ascii="Arial" w:hAnsi="Arial"/>
          <w:sz w:val="22"/>
        </w:rPr>
      </w:pPr>
    </w:p>
    <w:p w14:paraId="37CC87D9" w14:textId="77777777" w:rsidR="00945B20" w:rsidRPr="001A2577" w:rsidRDefault="00945B20" w:rsidP="00945B20">
      <w:pPr>
        <w:pStyle w:val="ListParagraph"/>
        <w:numPr>
          <w:ilvl w:val="0"/>
          <w:numId w:val="199"/>
        </w:numPr>
        <w:spacing w:line="360" w:lineRule="auto"/>
        <w:jc w:val="both"/>
        <w:rPr>
          <w:rFonts w:ascii="Arial" w:hAnsi="Arial"/>
          <w:b/>
          <w:bCs/>
          <w:sz w:val="22"/>
        </w:rPr>
      </w:pPr>
      <w:r w:rsidRPr="001A2577">
        <w:rPr>
          <w:rFonts w:ascii="Arial" w:hAnsi="Arial"/>
          <w:b/>
          <w:bCs/>
          <w:sz w:val="22"/>
        </w:rPr>
        <w:t>Cracking and rutting performance similar to gap-graded are desired</w:t>
      </w:r>
    </w:p>
    <w:p w14:paraId="3C845DFC" w14:textId="77777777" w:rsidR="00945B20" w:rsidRPr="001A2577" w:rsidRDefault="00945B20" w:rsidP="00945B20">
      <w:pPr>
        <w:pStyle w:val="ListParagraph"/>
        <w:numPr>
          <w:ilvl w:val="0"/>
          <w:numId w:val="199"/>
        </w:numPr>
        <w:spacing w:line="360" w:lineRule="auto"/>
        <w:jc w:val="both"/>
        <w:rPr>
          <w:rFonts w:ascii="Arial" w:hAnsi="Arial"/>
          <w:b/>
          <w:bCs/>
          <w:sz w:val="22"/>
        </w:rPr>
      </w:pPr>
      <w:r w:rsidRPr="001A2577">
        <w:rPr>
          <w:rFonts w:ascii="Arial" w:hAnsi="Arial"/>
          <w:b/>
          <w:bCs/>
          <w:sz w:val="22"/>
        </w:rPr>
        <w:t>There is insufficient tonnage</w:t>
      </w:r>
      <w:r>
        <w:rPr>
          <w:rFonts w:ascii="Arial" w:hAnsi="Arial"/>
          <w:b/>
          <w:bCs/>
          <w:sz w:val="22"/>
        </w:rPr>
        <w:t xml:space="preserve"> for gap-graded</w:t>
      </w:r>
      <w:r w:rsidRPr="001A2577">
        <w:rPr>
          <w:rFonts w:ascii="Arial" w:hAnsi="Arial"/>
          <w:b/>
          <w:bCs/>
          <w:sz w:val="22"/>
        </w:rPr>
        <w:t xml:space="preserve"> (less than 4 lane-miles)</w:t>
      </w:r>
    </w:p>
    <w:p w14:paraId="3D165155" w14:textId="77777777" w:rsidR="00945B20" w:rsidRDefault="00945B20" w:rsidP="00945B20">
      <w:pPr>
        <w:pStyle w:val="ListParagraph"/>
        <w:numPr>
          <w:ilvl w:val="0"/>
          <w:numId w:val="199"/>
        </w:numPr>
        <w:spacing w:line="360" w:lineRule="auto"/>
        <w:jc w:val="both"/>
        <w:rPr>
          <w:rFonts w:ascii="Arial" w:hAnsi="Arial"/>
          <w:b/>
          <w:bCs/>
          <w:sz w:val="22"/>
        </w:rPr>
      </w:pPr>
      <w:r w:rsidRPr="001A2577">
        <w:rPr>
          <w:rFonts w:ascii="Arial" w:hAnsi="Arial"/>
          <w:b/>
          <w:bCs/>
          <w:sz w:val="22"/>
        </w:rPr>
        <w:t>A not insignificant amount of handwork would be required</w:t>
      </w:r>
    </w:p>
    <w:p w14:paraId="1C3AF9FB" w14:textId="77777777" w:rsidR="00945B20" w:rsidRPr="001A2577" w:rsidRDefault="00945B20" w:rsidP="00945B20">
      <w:pPr>
        <w:pStyle w:val="ListParagraph"/>
        <w:numPr>
          <w:ilvl w:val="0"/>
          <w:numId w:val="199"/>
        </w:numPr>
        <w:spacing w:line="360" w:lineRule="auto"/>
        <w:jc w:val="both"/>
        <w:rPr>
          <w:rFonts w:ascii="Arial" w:hAnsi="Arial"/>
          <w:b/>
          <w:bCs/>
          <w:sz w:val="22"/>
        </w:rPr>
      </w:pPr>
      <w:r>
        <w:rPr>
          <w:rFonts w:ascii="Arial" w:hAnsi="Arial"/>
          <w:b/>
          <w:bCs/>
          <w:sz w:val="22"/>
        </w:rPr>
        <w:t>There are lower traffic levels than typically required for gap-graded</w:t>
      </w:r>
    </w:p>
    <w:p w14:paraId="145F05D8" w14:textId="7B80F4EA" w:rsidR="00D316B0" w:rsidRDefault="00D316B0" w:rsidP="00172E64">
      <w:pPr>
        <w:pStyle w:val="Heading3"/>
        <w:numPr>
          <w:ilvl w:val="2"/>
          <w:numId w:val="184"/>
        </w:numPr>
        <w:ind w:left="0" w:firstLine="0"/>
        <w:jc w:val="both"/>
      </w:pPr>
      <w:bookmarkStart w:id="434" w:name="_Reflective_Crack_Control"/>
      <w:bookmarkStart w:id="435" w:name="_Toc364322322"/>
      <w:bookmarkEnd w:id="434"/>
      <w:r>
        <w:t>Reflective Crack Control</w:t>
      </w:r>
      <w:bookmarkEnd w:id="435"/>
    </w:p>
    <w:p w14:paraId="1C6FE26C" w14:textId="669B4611" w:rsidR="00D316B0" w:rsidRDefault="00D316B0" w:rsidP="0064578A">
      <w:pPr>
        <w:pStyle w:val="BodyText"/>
        <w:spacing w:after="0"/>
        <w:jc w:val="both"/>
      </w:pPr>
      <w:r>
        <w:t xml:space="preserve">Composite pavements make up the second largest pavement type percentage of </w:t>
      </w:r>
      <w:r w:rsidR="008C7023">
        <w:t>MDOT-SHA</w:t>
      </w:r>
      <w:r>
        <w:t xml:space="preserve">’s pavement network.  Reflective cracking is the most predominant distress present in composite pavements in </w:t>
      </w:r>
      <w:smartTag w:uri="urn:schemas-microsoft-com:office:smarttags" w:element="State">
        <w:smartTag w:uri="urn:schemas-microsoft-com:office:smarttags" w:element="place">
          <w:r>
            <w:t>Maryland</w:t>
          </w:r>
        </w:smartTag>
      </w:smartTag>
      <w:r>
        <w:t xml:space="preserve">.  For this reason, several </w:t>
      </w:r>
      <w:r w:rsidR="007675DB">
        <w:t>materials and repair strategies</w:t>
      </w:r>
      <w:r>
        <w:t xml:space="preserve"> were developed in an attempt to limit the amount of reflective cracking in Maryland’s composite pavements.    </w:t>
      </w:r>
    </w:p>
    <w:p w14:paraId="0B4E107F" w14:textId="77777777" w:rsidR="00BA5643" w:rsidRDefault="00BA5643" w:rsidP="0064578A">
      <w:pPr>
        <w:pStyle w:val="BodyText"/>
        <w:spacing w:after="0"/>
        <w:jc w:val="both"/>
      </w:pPr>
    </w:p>
    <w:p w14:paraId="4CDB81A6" w14:textId="40F1D496" w:rsidR="00BA5643" w:rsidRPr="0064578A" w:rsidRDefault="00BA5643" w:rsidP="0064578A">
      <w:pPr>
        <w:pStyle w:val="BodyText"/>
        <w:spacing w:after="0"/>
        <w:jc w:val="both"/>
      </w:pPr>
      <w:r w:rsidRPr="0064578A">
        <w:t xml:space="preserve">HMA overlays </w:t>
      </w:r>
      <w:r w:rsidR="0064578A" w:rsidRPr="0064578A">
        <w:t>may be</w:t>
      </w:r>
      <w:r w:rsidRPr="0064578A">
        <w:t xml:space="preserve"> applied to an existing pavement (flexible or rigid) when the structural or functional conditions of the pavement have reached an unacceptable level of deterioration. Most of the overlays are designed to increase the pavement resistance to fatigue and rutting. However, pavements that are structurally sound after the placement of the overlay, and that are adequately designed against rutting and fatigue, may show </w:t>
      </w:r>
      <w:r w:rsidRPr="0064578A">
        <w:lastRenderedPageBreak/>
        <w:t>cracking patterns similar to existing ones in the old pavement after a short period of time. This pattern is known as “reflective cracking</w:t>
      </w:r>
      <w:r w:rsidR="0042351A">
        <w:t>.</w:t>
      </w:r>
      <w:r w:rsidRPr="0064578A">
        <w:t xml:space="preserve">” </w:t>
      </w:r>
    </w:p>
    <w:p w14:paraId="1C0988E9" w14:textId="77777777" w:rsidR="00BA5643" w:rsidRPr="0064578A" w:rsidRDefault="00BA5643" w:rsidP="0064578A">
      <w:pPr>
        <w:pStyle w:val="BodyText"/>
        <w:spacing w:after="0"/>
        <w:jc w:val="both"/>
      </w:pPr>
    </w:p>
    <w:p w14:paraId="134AF2B4" w14:textId="30945476" w:rsidR="00BA5643" w:rsidRDefault="00BA5643" w:rsidP="0064578A">
      <w:pPr>
        <w:pStyle w:val="BodyText"/>
        <w:spacing w:after="0"/>
        <w:jc w:val="both"/>
      </w:pPr>
      <w:r w:rsidRPr="0064578A">
        <w:t xml:space="preserve">Field experiences indicate that reflective cracks </w:t>
      </w:r>
      <w:r w:rsidR="007675DB">
        <w:t xml:space="preserve">in standard asphalt mixes </w:t>
      </w:r>
      <w:r w:rsidRPr="0064578A">
        <w:t xml:space="preserve">usually propagate to the pavement surface at a rate of approximately 1 inch every 1 to 3 years and appear at the surface.  </w:t>
      </w:r>
    </w:p>
    <w:p w14:paraId="47D485E6" w14:textId="77777777" w:rsidR="0042351A" w:rsidRPr="0064578A" w:rsidRDefault="0042351A" w:rsidP="0064578A">
      <w:pPr>
        <w:pStyle w:val="BodyText"/>
        <w:spacing w:after="0"/>
        <w:jc w:val="both"/>
      </w:pPr>
    </w:p>
    <w:p w14:paraId="3D4D90CC" w14:textId="4C6E3584" w:rsidR="00BA5643" w:rsidRPr="0064578A" w:rsidRDefault="00BA5643" w:rsidP="0064578A">
      <w:pPr>
        <w:jc w:val="both"/>
        <w:rPr>
          <w:rFonts w:ascii="Arial" w:hAnsi="Arial"/>
          <w:sz w:val="22"/>
        </w:rPr>
      </w:pPr>
      <w:r w:rsidRPr="0064578A">
        <w:rPr>
          <w:rFonts w:ascii="Arial" w:hAnsi="Arial"/>
          <w:sz w:val="22"/>
        </w:rPr>
        <w:t>Reflective cracks should be minimized to retain the structural integrity of the HMA overlays, prevent water intrusion and thereby preserve the bearing capacity of the underlying layers, prevent pumping of soil particles, increase user safety</w:t>
      </w:r>
      <w:r w:rsidR="007675DB">
        <w:rPr>
          <w:rFonts w:ascii="Arial" w:hAnsi="Arial"/>
          <w:sz w:val="22"/>
        </w:rPr>
        <w:t>,</w:t>
      </w:r>
      <w:r w:rsidRPr="0064578A">
        <w:rPr>
          <w:rFonts w:ascii="Arial" w:hAnsi="Arial"/>
          <w:sz w:val="22"/>
        </w:rPr>
        <w:t xml:space="preserve"> and maintain a smooth riding surface. Before any attempt can be made to prevent these cracks, it is important to understand the </w:t>
      </w:r>
      <w:r w:rsidRPr="0064578A">
        <w:rPr>
          <w:rFonts w:ascii="Arial" w:hAnsi="Arial"/>
          <w:i/>
          <w:sz w:val="22"/>
        </w:rPr>
        <w:t>type</w:t>
      </w:r>
      <w:r w:rsidRPr="0064578A">
        <w:rPr>
          <w:rFonts w:ascii="Arial" w:hAnsi="Arial"/>
          <w:sz w:val="22"/>
        </w:rPr>
        <w:t xml:space="preserve"> of reflection cracking for a given project, so that the appropriate mitigation strategy can be designed</w:t>
      </w:r>
      <w:r w:rsidR="007675DB">
        <w:rPr>
          <w:rFonts w:ascii="Arial" w:hAnsi="Arial"/>
          <w:sz w:val="22"/>
        </w:rPr>
        <w:t>,</w:t>
      </w:r>
      <w:r w:rsidRPr="0064578A">
        <w:rPr>
          <w:rFonts w:ascii="Arial" w:hAnsi="Arial"/>
          <w:sz w:val="22"/>
        </w:rPr>
        <w:t xml:space="preserve"> and an economical determination of material properties and treatments can be established. </w:t>
      </w:r>
    </w:p>
    <w:p w14:paraId="63B8BECB" w14:textId="404C0C68" w:rsidR="00BA5643" w:rsidRDefault="00BA5643" w:rsidP="0064578A">
      <w:pPr>
        <w:jc w:val="both"/>
        <w:rPr>
          <w:rFonts w:ascii="Arial" w:hAnsi="Arial"/>
          <w:sz w:val="22"/>
        </w:rPr>
      </w:pPr>
    </w:p>
    <w:p w14:paraId="4084D2F7" w14:textId="77777777" w:rsidR="00DF4341" w:rsidRPr="0064578A" w:rsidRDefault="00DF4341" w:rsidP="0064578A">
      <w:pPr>
        <w:jc w:val="both"/>
        <w:rPr>
          <w:rFonts w:ascii="Arial" w:hAnsi="Arial"/>
          <w:sz w:val="22"/>
        </w:rPr>
      </w:pPr>
    </w:p>
    <w:p w14:paraId="417C6609" w14:textId="25E6C2DB" w:rsidR="00BA5643" w:rsidRPr="0064578A" w:rsidRDefault="00BA5643" w:rsidP="00172E64">
      <w:pPr>
        <w:pStyle w:val="Heading4"/>
        <w:numPr>
          <w:ilvl w:val="3"/>
          <w:numId w:val="184"/>
        </w:numPr>
        <w:ind w:left="864"/>
        <w:jc w:val="both"/>
      </w:pPr>
      <w:bookmarkStart w:id="436" w:name="_Toc364322323"/>
      <w:r w:rsidRPr="0064578A">
        <w:t>Types of Reflective Cracking</w:t>
      </w:r>
      <w:bookmarkEnd w:id="436"/>
      <w:r w:rsidRPr="0064578A">
        <w:t xml:space="preserve"> </w:t>
      </w:r>
    </w:p>
    <w:p w14:paraId="5C633D83" w14:textId="77777777" w:rsidR="00BA5643" w:rsidRPr="0064578A" w:rsidRDefault="00BA5643" w:rsidP="0064578A">
      <w:pPr>
        <w:jc w:val="both"/>
        <w:rPr>
          <w:rFonts w:ascii="Arial" w:hAnsi="Arial"/>
          <w:sz w:val="22"/>
        </w:rPr>
      </w:pPr>
    </w:p>
    <w:p w14:paraId="663BA70D" w14:textId="5B089C1B" w:rsidR="0064578A" w:rsidRPr="006C0857" w:rsidRDefault="00BA5643" w:rsidP="00172E64">
      <w:pPr>
        <w:pStyle w:val="Heading5"/>
        <w:numPr>
          <w:ilvl w:val="4"/>
          <w:numId w:val="184"/>
        </w:numPr>
        <w:tabs>
          <w:tab w:val="left" w:pos="1800"/>
        </w:tabs>
        <w:ind w:left="1098" w:hanging="1098"/>
      </w:pPr>
      <w:r w:rsidRPr="006C0857">
        <w:t>Thermally-induced Reflective Cracking</w:t>
      </w:r>
    </w:p>
    <w:p w14:paraId="19847D1C" w14:textId="3B4D49F6" w:rsidR="00BA5643" w:rsidRPr="0064578A" w:rsidRDefault="00BA5643" w:rsidP="0064578A">
      <w:pPr>
        <w:pStyle w:val="Heading5"/>
        <w:numPr>
          <w:ilvl w:val="0"/>
          <w:numId w:val="0"/>
        </w:numPr>
        <w:jc w:val="both"/>
        <w:rPr>
          <w:b w:val="0"/>
          <w:i/>
          <w:u w:val="single"/>
        </w:rPr>
      </w:pPr>
      <w:r w:rsidRPr="0064578A">
        <w:rPr>
          <w:b w:val="0"/>
        </w:rPr>
        <w:t>The most common</w:t>
      </w:r>
      <w:r w:rsidR="0042351A">
        <w:rPr>
          <w:b w:val="0"/>
        </w:rPr>
        <w:t>ly</w:t>
      </w:r>
      <w:r w:rsidRPr="0064578A">
        <w:rPr>
          <w:b w:val="0"/>
        </w:rPr>
        <w:t xml:space="preserve"> accepted cause of reflective cracking is from horizontal movements concentrated at joints and cracks in the existing pavement, and is referred to as thermally-induced reflective cracking. These horizontal movements are caused by temperature changes in the PCC slab and from temperature changes in the HMA layers that exhibit transverse cracks. The critical condition for reflective cracks due to horizontal slab movements occurs when the temperature drops. The tensile stresses and strains resulting from joint movements become critical in the areas of construction joints and cracks, because of the bond between the overlay and the existing pavement as shown in Figure </w:t>
      </w:r>
      <w:r w:rsidR="0042351A">
        <w:rPr>
          <w:b w:val="0"/>
        </w:rPr>
        <w:t>9</w:t>
      </w:r>
      <w:r w:rsidRPr="0064578A">
        <w:rPr>
          <w:b w:val="0"/>
        </w:rPr>
        <w:t>. The movement of transverse cracking due to thermal forces (daily and seasonal) is very important to understand</w:t>
      </w:r>
      <w:r w:rsidR="002917AA">
        <w:rPr>
          <w:b w:val="0"/>
        </w:rPr>
        <w:t>,</w:t>
      </w:r>
      <w:r w:rsidRPr="0064578A">
        <w:rPr>
          <w:b w:val="0"/>
        </w:rPr>
        <w:t xml:space="preserve"> i</w:t>
      </w:r>
      <w:r w:rsidR="002917AA">
        <w:rPr>
          <w:b w:val="0"/>
        </w:rPr>
        <w:t>.</w:t>
      </w:r>
      <w:r w:rsidRPr="0064578A">
        <w:rPr>
          <w:b w:val="0"/>
        </w:rPr>
        <w:t>e., whether they initiate at the surface of a pavement (overlay) and grow downwards</w:t>
      </w:r>
      <w:r w:rsidR="0042351A">
        <w:rPr>
          <w:b w:val="0"/>
        </w:rPr>
        <w:t>,</w:t>
      </w:r>
      <w:r w:rsidRPr="0064578A">
        <w:rPr>
          <w:b w:val="0"/>
        </w:rPr>
        <w:t xml:space="preserve"> or they originate and propagate from an old crack or joint in the existing pavement structure upwards. This will dictate the optimum or cost-effective maintenance strategy.</w:t>
      </w:r>
    </w:p>
    <w:p w14:paraId="0AC0576B" w14:textId="77777777" w:rsidR="00BA5643" w:rsidRPr="0064578A" w:rsidRDefault="00BA5643" w:rsidP="0064578A">
      <w:pPr>
        <w:pStyle w:val="ListParagraph"/>
        <w:ind w:left="360"/>
        <w:jc w:val="both"/>
        <w:rPr>
          <w:rFonts w:ascii="Arial" w:hAnsi="Arial"/>
          <w:sz w:val="22"/>
        </w:rPr>
      </w:pPr>
    </w:p>
    <w:p w14:paraId="0FE658D9" w14:textId="77777777" w:rsidR="00BA5643" w:rsidRPr="0064578A" w:rsidRDefault="00BA5643" w:rsidP="0064578A">
      <w:pPr>
        <w:pStyle w:val="ListParagraph"/>
        <w:ind w:left="0"/>
        <w:jc w:val="both"/>
        <w:rPr>
          <w:rFonts w:ascii="Arial" w:hAnsi="Arial"/>
          <w:i/>
          <w:sz w:val="22"/>
          <w:u w:val="single"/>
        </w:rPr>
      </w:pPr>
      <w:r w:rsidRPr="0064578A">
        <w:rPr>
          <w:rFonts w:ascii="Arial" w:hAnsi="Arial"/>
          <w:sz w:val="22"/>
        </w:rPr>
        <w:t xml:space="preserve">Reflective cracks are those that initiate at the bottom of the overlay and eventually propagate to the surface with time. These cracks become more severe and eventually cause spalling when heavy thermal variations and traffic loads act upon them. Spalling allows for water infiltration to the underlying layers, thereby reducing the bearing capacity of the subgrade soils. </w:t>
      </w:r>
      <w:r w:rsidRPr="0064578A">
        <w:rPr>
          <w:rFonts w:ascii="Arial" w:hAnsi="Arial"/>
          <w:sz w:val="22"/>
        </w:rPr>
        <w:tab/>
      </w:r>
    </w:p>
    <w:p w14:paraId="12EB406C" w14:textId="77777777" w:rsidR="00BA5643" w:rsidRPr="0064578A" w:rsidRDefault="00BA5643" w:rsidP="0064578A">
      <w:pPr>
        <w:pStyle w:val="ListParagraph"/>
        <w:ind w:left="360"/>
        <w:jc w:val="both"/>
        <w:rPr>
          <w:rFonts w:ascii="Arial" w:hAnsi="Arial"/>
          <w:i/>
          <w:sz w:val="22"/>
          <w:u w:val="single"/>
        </w:rPr>
      </w:pPr>
    </w:p>
    <w:p w14:paraId="66131C90" w14:textId="535BCADD" w:rsidR="00BA5643" w:rsidRPr="0064578A" w:rsidRDefault="00BA5643" w:rsidP="0064578A">
      <w:pPr>
        <w:pStyle w:val="ListParagraph"/>
        <w:ind w:left="0"/>
        <w:jc w:val="both"/>
        <w:rPr>
          <w:rFonts w:ascii="Arial" w:hAnsi="Arial"/>
          <w:i/>
          <w:sz w:val="22"/>
          <w:u w:val="single"/>
        </w:rPr>
      </w:pPr>
      <w:r w:rsidRPr="0064578A">
        <w:rPr>
          <w:rFonts w:ascii="Arial" w:hAnsi="Arial"/>
          <w:sz w:val="22"/>
        </w:rPr>
        <w:t>Transverse, thermal cracks look similar to reflective cracks, yet are not. They are caused by aging of the asphalt, which occurs because the pavement surface is exposed to traffic, environment</w:t>
      </w:r>
      <w:r w:rsidR="0042351A">
        <w:rPr>
          <w:rFonts w:ascii="Arial" w:hAnsi="Arial"/>
          <w:sz w:val="22"/>
        </w:rPr>
        <w:t>,</w:t>
      </w:r>
      <w:r w:rsidRPr="0064578A">
        <w:rPr>
          <w:rFonts w:ascii="Arial" w:hAnsi="Arial"/>
          <w:sz w:val="22"/>
        </w:rPr>
        <w:t xml:space="preserve"> and other climatic factors. This results in the initiation of a crack on the surface and propagates from the surface downwards. This can</w:t>
      </w:r>
      <w:r w:rsidR="007675DB">
        <w:rPr>
          <w:rFonts w:ascii="Arial" w:hAnsi="Arial"/>
          <w:sz w:val="22"/>
        </w:rPr>
        <w:t xml:space="preserve"> </w:t>
      </w:r>
      <w:r w:rsidRPr="0064578A">
        <w:rPr>
          <w:rFonts w:ascii="Arial" w:hAnsi="Arial"/>
          <w:sz w:val="22"/>
        </w:rPr>
        <w:t xml:space="preserve">occur in old pavements </w:t>
      </w:r>
      <w:r w:rsidR="007675DB">
        <w:rPr>
          <w:rFonts w:ascii="Arial" w:hAnsi="Arial"/>
          <w:sz w:val="22"/>
        </w:rPr>
        <w:t>and</w:t>
      </w:r>
      <w:r w:rsidRPr="0064578A">
        <w:rPr>
          <w:rFonts w:ascii="Arial" w:hAnsi="Arial"/>
          <w:sz w:val="22"/>
        </w:rPr>
        <w:t xml:space="preserve"> also in new pavements. </w:t>
      </w:r>
    </w:p>
    <w:p w14:paraId="063BBC66" w14:textId="77777777" w:rsidR="00BA5643" w:rsidRPr="0064578A" w:rsidRDefault="00BA5643" w:rsidP="0064578A">
      <w:pPr>
        <w:pStyle w:val="ListParagraph"/>
        <w:ind w:left="360"/>
        <w:jc w:val="both"/>
        <w:rPr>
          <w:rFonts w:ascii="Arial" w:hAnsi="Arial"/>
          <w:i/>
          <w:sz w:val="22"/>
          <w:u w:val="single"/>
        </w:rPr>
      </w:pPr>
    </w:p>
    <w:p w14:paraId="3CB740BD" w14:textId="31D9D201" w:rsidR="00BA5643" w:rsidRPr="0064578A" w:rsidRDefault="00BA5643" w:rsidP="0067267A">
      <w:pPr>
        <w:pStyle w:val="ListParagraph"/>
        <w:ind w:left="0"/>
        <w:jc w:val="center"/>
        <w:rPr>
          <w:rFonts w:ascii="Arial" w:hAnsi="Arial"/>
          <w:sz w:val="22"/>
        </w:rPr>
      </w:pPr>
      <w:r w:rsidRPr="0064578A">
        <w:rPr>
          <w:noProof/>
        </w:rPr>
        <w:lastRenderedPageBreak/>
        <w:drawing>
          <wp:inline distT="0" distB="0" distL="0" distR="0" wp14:anchorId="4C6AFCFE" wp14:editId="348B0381">
            <wp:extent cx="5138935" cy="1660071"/>
            <wp:effectExtent l="19050" t="0" r="4565" b="0"/>
            <wp:docPr id="2" name="Picture 46" descr="Thermally-induced reflective cracking; Horizontal mov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6" descr="Thermally-induced reflective cracking; Horizontal movements"/>
                    <pic:cNvPicPr>
                      <a:picLocks noChangeAspect="1" noChangeArrowheads="1"/>
                    </pic:cNvPicPr>
                  </pic:nvPicPr>
                  <pic:blipFill>
                    <a:blip r:embed="rId204" cstate="print"/>
                    <a:srcRect l="1041" t="5413" r="992" b="3704"/>
                    <a:stretch>
                      <a:fillRect/>
                    </a:stretch>
                  </pic:blipFill>
                  <pic:spPr bwMode="auto">
                    <a:xfrm>
                      <a:off x="0" y="0"/>
                      <a:ext cx="5138935" cy="1660071"/>
                    </a:xfrm>
                    <a:prstGeom prst="rect">
                      <a:avLst/>
                    </a:prstGeom>
                    <a:noFill/>
                    <a:ln w="9525">
                      <a:noFill/>
                      <a:miter lim="800000"/>
                      <a:headEnd/>
                      <a:tailEnd/>
                    </a:ln>
                  </pic:spPr>
                </pic:pic>
              </a:graphicData>
            </a:graphic>
          </wp:inline>
        </w:drawing>
      </w:r>
    </w:p>
    <w:p w14:paraId="4B25E307" w14:textId="12B71EE4" w:rsidR="00BA5643" w:rsidRPr="0067267A" w:rsidRDefault="00BA5643" w:rsidP="0067267A">
      <w:pPr>
        <w:pStyle w:val="ListParagraph"/>
        <w:ind w:left="360"/>
        <w:jc w:val="center"/>
        <w:rPr>
          <w:rFonts w:ascii="Arial" w:hAnsi="Arial"/>
          <w:b/>
          <w:sz w:val="22"/>
        </w:rPr>
      </w:pPr>
      <w:r w:rsidRPr="0067267A">
        <w:rPr>
          <w:rFonts w:ascii="Arial" w:hAnsi="Arial"/>
          <w:b/>
          <w:sz w:val="22"/>
        </w:rPr>
        <w:t xml:space="preserve">Figure </w:t>
      </w:r>
      <w:r w:rsidR="0042351A" w:rsidRPr="0042351A">
        <w:rPr>
          <w:rFonts w:ascii="Arial" w:hAnsi="Arial"/>
          <w:b/>
          <w:sz w:val="22"/>
        </w:rPr>
        <w:t>9:</w:t>
      </w:r>
      <w:r w:rsidRPr="0067267A">
        <w:rPr>
          <w:rFonts w:ascii="Arial" w:hAnsi="Arial"/>
          <w:b/>
          <w:sz w:val="22"/>
        </w:rPr>
        <w:t xml:space="preserve"> Thermally-Induced Reflective Cracking; Horizontal Movements</w:t>
      </w:r>
    </w:p>
    <w:p w14:paraId="0783512C" w14:textId="77777777" w:rsidR="00BA5643" w:rsidRPr="0064578A" w:rsidRDefault="00BA5643" w:rsidP="0064578A">
      <w:pPr>
        <w:pStyle w:val="ListParagraph"/>
        <w:ind w:left="360"/>
        <w:jc w:val="both"/>
        <w:rPr>
          <w:rFonts w:ascii="Arial" w:hAnsi="Arial"/>
          <w:sz w:val="22"/>
        </w:rPr>
      </w:pPr>
    </w:p>
    <w:p w14:paraId="53CDBF5A" w14:textId="1628DE75" w:rsidR="0064578A" w:rsidRPr="006C0857" w:rsidRDefault="00BA5643" w:rsidP="00172E64">
      <w:pPr>
        <w:pStyle w:val="Heading5"/>
        <w:numPr>
          <w:ilvl w:val="4"/>
          <w:numId w:val="184"/>
        </w:numPr>
        <w:tabs>
          <w:tab w:val="left" w:pos="1800"/>
        </w:tabs>
        <w:ind w:left="1098" w:hanging="1098"/>
      </w:pPr>
      <w:r w:rsidRPr="006C0857">
        <w:t xml:space="preserve">Traffic-induced Reflective Cracking </w:t>
      </w:r>
    </w:p>
    <w:p w14:paraId="1732CCA5" w14:textId="38EAF73E" w:rsidR="00BA5643" w:rsidRPr="0064578A" w:rsidRDefault="00BA5643" w:rsidP="0064578A">
      <w:pPr>
        <w:pStyle w:val="Heading5"/>
        <w:numPr>
          <w:ilvl w:val="0"/>
          <w:numId w:val="0"/>
        </w:numPr>
        <w:jc w:val="both"/>
        <w:rPr>
          <w:b w:val="0"/>
        </w:rPr>
      </w:pPr>
      <w:r w:rsidRPr="0064578A">
        <w:rPr>
          <w:b w:val="0"/>
        </w:rPr>
        <w:t xml:space="preserve">Apart from weather conditions, traffic loading is an active mechanism for pavements to develop reflective cracking. Differential vertical deflections concentrated at the joints and cracks are caused by wheel loads that depress abutting slabs or crack faces resulting in shear-stress concentrations in the HMA overlay at the joints and cracks (Figure </w:t>
      </w:r>
      <w:r w:rsidR="0042351A">
        <w:rPr>
          <w:b w:val="0"/>
        </w:rPr>
        <w:t>10</w:t>
      </w:r>
      <w:r w:rsidRPr="0064578A">
        <w:rPr>
          <w:b w:val="0"/>
        </w:rPr>
        <w:t>). The differential vertical deflections can be caused by the gradual reduction in the load transfer at the joints and cracks in the PCC pavement</w:t>
      </w:r>
      <w:r w:rsidR="0042351A">
        <w:rPr>
          <w:b w:val="0"/>
        </w:rPr>
        <w:t>,</w:t>
      </w:r>
      <w:r w:rsidRPr="0064578A">
        <w:rPr>
          <w:b w:val="0"/>
        </w:rPr>
        <w:t xml:space="preserve"> or the development of voids beneath the PCC at the joints and cracks. Hence, reflective cracking caused by differential vertical deflections is a shear-fatigue phenomenon and is dependent on the magnitude of the differential vertical deflections across the joint or crack. The factors which are important include the magnitude of the wheel load, amount of load transfer across the joint or crack, and the differential subgrade support under the slab. Subgrade modulus also has a significant role in influencing the magnitudes of stresses caused by traffic loads. </w:t>
      </w:r>
    </w:p>
    <w:p w14:paraId="12E18D77" w14:textId="066798CA" w:rsidR="00BA5643" w:rsidRPr="0064578A" w:rsidRDefault="00BA5643" w:rsidP="0067267A">
      <w:pPr>
        <w:jc w:val="center"/>
        <w:rPr>
          <w:rFonts w:ascii="Arial" w:hAnsi="Arial"/>
          <w:sz w:val="22"/>
        </w:rPr>
      </w:pPr>
      <w:r w:rsidRPr="0064578A">
        <w:rPr>
          <w:rFonts w:ascii="Arial" w:hAnsi="Arial"/>
          <w:noProof/>
          <w:sz w:val="22"/>
        </w:rPr>
        <w:drawing>
          <wp:inline distT="0" distB="0" distL="0" distR="0" wp14:anchorId="0BCDE2E8" wp14:editId="531560BB">
            <wp:extent cx="3523089" cy="3481754"/>
            <wp:effectExtent l="19050" t="0" r="1161" b="0"/>
            <wp:docPr id="32" name="Picture 48" descr="Mechanism of traffic-induced reflective cracks of HMA over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48" descr="Mechanism of traffic-induced reflective cracks of HMA overlays"/>
                    <pic:cNvPicPr>
                      <a:picLocks noChangeAspect="1" noChangeArrowheads="1"/>
                    </pic:cNvPicPr>
                  </pic:nvPicPr>
                  <pic:blipFill>
                    <a:blip r:embed="rId205" cstate="print"/>
                    <a:srcRect l="1507" t="971" r="1384" b="1820"/>
                    <a:stretch>
                      <a:fillRect/>
                    </a:stretch>
                  </pic:blipFill>
                  <pic:spPr bwMode="auto">
                    <a:xfrm>
                      <a:off x="0" y="0"/>
                      <a:ext cx="3521309" cy="3479995"/>
                    </a:xfrm>
                    <a:prstGeom prst="rect">
                      <a:avLst/>
                    </a:prstGeom>
                    <a:noFill/>
                    <a:ln w="9525">
                      <a:noFill/>
                      <a:miter lim="800000"/>
                      <a:headEnd/>
                      <a:tailEnd/>
                    </a:ln>
                  </pic:spPr>
                </pic:pic>
              </a:graphicData>
            </a:graphic>
          </wp:inline>
        </w:drawing>
      </w:r>
    </w:p>
    <w:p w14:paraId="71FCD88E" w14:textId="2AE72872" w:rsidR="00BA5643" w:rsidRPr="0067267A" w:rsidRDefault="00BA5643" w:rsidP="0067267A">
      <w:pPr>
        <w:ind w:left="1620" w:right="1710"/>
        <w:jc w:val="center"/>
        <w:rPr>
          <w:rFonts w:ascii="Arial" w:hAnsi="Arial"/>
          <w:b/>
          <w:sz w:val="22"/>
        </w:rPr>
      </w:pPr>
      <w:r w:rsidRPr="0067267A">
        <w:rPr>
          <w:rFonts w:ascii="Arial" w:hAnsi="Arial"/>
          <w:b/>
          <w:sz w:val="22"/>
        </w:rPr>
        <w:t xml:space="preserve">Figure </w:t>
      </w:r>
      <w:r w:rsidR="0042351A" w:rsidRPr="0042351A">
        <w:rPr>
          <w:rFonts w:ascii="Arial" w:hAnsi="Arial"/>
          <w:b/>
          <w:sz w:val="22"/>
        </w:rPr>
        <w:t>10:</w:t>
      </w:r>
      <w:r w:rsidRPr="0067267A">
        <w:rPr>
          <w:rFonts w:ascii="Arial" w:hAnsi="Arial"/>
          <w:b/>
          <w:sz w:val="22"/>
        </w:rPr>
        <w:t xml:space="preserve"> Mechanism of Traffic</w:t>
      </w:r>
      <w:r w:rsidR="00C317A9">
        <w:rPr>
          <w:rFonts w:ascii="Arial" w:hAnsi="Arial"/>
          <w:b/>
          <w:sz w:val="22"/>
        </w:rPr>
        <w:t>-i</w:t>
      </w:r>
      <w:r w:rsidRPr="0042351A">
        <w:rPr>
          <w:rFonts w:ascii="Arial" w:hAnsi="Arial"/>
          <w:b/>
          <w:sz w:val="22"/>
        </w:rPr>
        <w:t>nduced</w:t>
      </w:r>
      <w:r w:rsidRPr="0067267A">
        <w:rPr>
          <w:rFonts w:ascii="Arial" w:hAnsi="Arial"/>
          <w:b/>
          <w:sz w:val="22"/>
        </w:rPr>
        <w:t xml:space="preserve"> Reflective Cracks of HMA Overlays</w:t>
      </w:r>
    </w:p>
    <w:p w14:paraId="0C0CC6FC" w14:textId="77777777" w:rsidR="00754814" w:rsidRPr="0067267A" w:rsidRDefault="00754814" w:rsidP="0067267A">
      <w:pPr>
        <w:ind w:left="1620" w:right="1710"/>
        <w:jc w:val="center"/>
        <w:rPr>
          <w:rFonts w:ascii="Arial" w:hAnsi="Arial"/>
          <w:b/>
          <w:sz w:val="22"/>
        </w:rPr>
      </w:pPr>
    </w:p>
    <w:p w14:paraId="613A6DB6" w14:textId="123B1B0B" w:rsidR="0064578A" w:rsidRPr="006C0857" w:rsidRDefault="00BA5643" w:rsidP="00172E64">
      <w:pPr>
        <w:pStyle w:val="Heading5"/>
        <w:numPr>
          <w:ilvl w:val="4"/>
          <w:numId w:val="184"/>
        </w:numPr>
        <w:tabs>
          <w:tab w:val="left" w:pos="1800"/>
        </w:tabs>
        <w:ind w:left="1098" w:hanging="1098"/>
      </w:pPr>
      <w:r w:rsidRPr="006C0857">
        <w:lastRenderedPageBreak/>
        <w:t xml:space="preserve">Cracking due to </w:t>
      </w:r>
      <w:r w:rsidR="0042351A">
        <w:t>C</w:t>
      </w:r>
      <w:r w:rsidRPr="006C0857">
        <w:t xml:space="preserve">urling of PCC </w:t>
      </w:r>
      <w:r w:rsidR="0042351A">
        <w:t>S</w:t>
      </w:r>
      <w:r w:rsidRPr="006C0857">
        <w:t xml:space="preserve">labs </w:t>
      </w:r>
    </w:p>
    <w:p w14:paraId="198FD9DA" w14:textId="5CA71A2B" w:rsidR="00BA5643" w:rsidRPr="0064578A" w:rsidRDefault="00BA5643" w:rsidP="0064578A">
      <w:pPr>
        <w:pStyle w:val="Heading5"/>
        <w:numPr>
          <w:ilvl w:val="0"/>
          <w:numId w:val="0"/>
        </w:numPr>
        <w:jc w:val="both"/>
        <w:rPr>
          <w:b w:val="0"/>
        </w:rPr>
      </w:pPr>
      <w:r w:rsidRPr="0064578A">
        <w:rPr>
          <w:b w:val="0"/>
        </w:rPr>
        <w:t xml:space="preserve">A third mechanism that causes reflective cracks is the curling of PCC slabs during colder temperatures when the HMA overlay is stiff and brittle. Reflective cracks caused by this mechanism initiate at the surface where the majority of </w:t>
      </w:r>
      <w:r w:rsidRPr="0030340B">
        <w:rPr>
          <w:b w:val="0"/>
        </w:rPr>
        <w:t>the mixture aging takes place and propagate</w:t>
      </w:r>
      <w:r w:rsidR="0042351A" w:rsidRPr="0030340B">
        <w:rPr>
          <w:b w:val="0"/>
        </w:rPr>
        <w:t>s</w:t>
      </w:r>
      <w:r w:rsidRPr="0030340B">
        <w:rPr>
          <w:b w:val="0"/>
        </w:rPr>
        <w:t xml:space="preserve"> downward (Figure </w:t>
      </w:r>
      <w:r w:rsidR="0042351A" w:rsidRPr="0030340B">
        <w:rPr>
          <w:b w:val="0"/>
        </w:rPr>
        <w:t>11</w:t>
      </w:r>
      <w:r w:rsidRPr="0030340B">
        <w:rPr>
          <w:b w:val="0"/>
        </w:rPr>
        <w:t>). The upward curl between adjacent slabs result</w:t>
      </w:r>
      <w:r w:rsidR="0042351A" w:rsidRPr="0030340B">
        <w:rPr>
          <w:b w:val="0"/>
        </w:rPr>
        <w:t>s</w:t>
      </w:r>
      <w:r w:rsidRPr="0030340B">
        <w:rPr>
          <w:b w:val="0"/>
        </w:rPr>
        <w:t xml:space="preserve"> in tensile stresses at the surface of the overlay</w:t>
      </w:r>
      <w:r w:rsidR="0030340B" w:rsidRPr="0030340B">
        <w:rPr>
          <w:b w:val="0"/>
        </w:rPr>
        <w:t>.  W</w:t>
      </w:r>
      <w:r w:rsidRPr="0030340B">
        <w:rPr>
          <w:b w:val="0"/>
        </w:rPr>
        <w:t>hen the tensile stress exceeds the tensile strength, a crack develops above the joint. HMA mixtures</w:t>
      </w:r>
      <w:r w:rsidRPr="0064578A">
        <w:rPr>
          <w:b w:val="0"/>
        </w:rPr>
        <w:t xml:space="preserve"> with higher air voids will age faster, resulting in higher modulus values but lower tensile strains at failure; in other words</w:t>
      </w:r>
      <w:r w:rsidR="0042351A">
        <w:rPr>
          <w:b w:val="0"/>
        </w:rPr>
        <w:t>,</w:t>
      </w:r>
      <w:r w:rsidRPr="0064578A">
        <w:rPr>
          <w:b w:val="0"/>
        </w:rPr>
        <w:t xml:space="preserve"> brittle mixtures are more susceptible to cracking.</w:t>
      </w:r>
    </w:p>
    <w:p w14:paraId="3EA547E7" w14:textId="77777777" w:rsidR="00BA5643" w:rsidRPr="0064578A" w:rsidRDefault="00BA5643" w:rsidP="0064578A">
      <w:pPr>
        <w:jc w:val="both"/>
        <w:rPr>
          <w:rFonts w:ascii="Arial" w:hAnsi="Arial"/>
          <w:sz w:val="22"/>
        </w:rPr>
      </w:pPr>
    </w:p>
    <w:p w14:paraId="65C43C3C" w14:textId="70BA1C8C" w:rsidR="00BA5643" w:rsidRPr="0064578A" w:rsidRDefault="00BA5643" w:rsidP="0067267A">
      <w:pPr>
        <w:jc w:val="center"/>
        <w:rPr>
          <w:rFonts w:ascii="Arial" w:hAnsi="Arial"/>
          <w:sz w:val="22"/>
        </w:rPr>
      </w:pPr>
      <w:r w:rsidRPr="0064578A">
        <w:rPr>
          <w:noProof/>
        </w:rPr>
        <w:drawing>
          <wp:inline distT="0" distB="0" distL="0" distR="0" wp14:anchorId="6CEE0A7A" wp14:editId="3C370408">
            <wp:extent cx="5110066" cy="1905000"/>
            <wp:effectExtent l="19050" t="0" r="0" b="0"/>
            <wp:docPr id="33" name="Picture 49" descr="Thermally-induced cracking; Curling of PCC sl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49" descr="Thermally-induced cracking; Curling of PCC slab"/>
                    <pic:cNvPicPr>
                      <a:picLocks noChangeAspect="1" noChangeArrowheads="1"/>
                    </pic:cNvPicPr>
                  </pic:nvPicPr>
                  <pic:blipFill>
                    <a:blip r:embed="rId206" cstate="print"/>
                    <a:srcRect l="764" t="3571" r="880" b="2143"/>
                    <a:stretch>
                      <a:fillRect/>
                    </a:stretch>
                  </pic:blipFill>
                  <pic:spPr bwMode="auto">
                    <a:xfrm>
                      <a:off x="0" y="0"/>
                      <a:ext cx="5110066" cy="1905000"/>
                    </a:xfrm>
                    <a:prstGeom prst="rect">
                      <a:avLst/>
                    </a:prstGeom>
                    <a:noFill/>
                    <a:ln w="9525">
                      <a:noFill/>
                      <a:miter lim="800000"/>
                      <a:headEnd/>
                      <a:tailEnd/>
                    </a:ln>
                  </pic:spPr>
                </pic:pic>
              </a:graphicData>
            </a:graphic>
          </wp:inline>
        </w:drawing>
      </w:r>
    </w:p>
    <w:p w14:paraId="3447C967" w14:textId="77B967C8" w:rsidR="00BA5643" w:rsidRPr="0067267A" w:rsidRDefault="00BA5643" w:rsidP="0067267A">
      <w:pPr>
        <w:jc w:val="center"/>
        <w:rPr>
          <w:rFonts w:ascii="Arial" w:hAnsi="Arial"/>
          <w:b/>
          <w:sz w:val="22"/>
        </w:rPr>
      </w:pPr>
      <w:r w:rsidRPr="0067267A">
        <w:rPr>
          <w:rFonts w:ascii="Arial" w:hAnsi="Arial"/>
          <w:b/>
          <w:sz w:val="22"/>
        </w:rPr>
        <w:t xml:space="preserve">Figure </w:t>
      </w:r>
      <w:r w:rsidR="0042351A" w:rsidRPr="0042351A">
        <w:rPr>
          <w:rFonts w:ascii="Arial" w:hAnsi="Arial"/>
          <w:b/>
          <w:sz w:val="22"/>
        </w:rPr>
        <w:t>11:</w:t>
      </w:r>
      <w:r w:rsidRPr="0067267A">
        <w:rPr>
          <w:rFonts w:ascii="Arial" w:hAnsi="Arial"/>
          <w:b/>
          <w:sz w:val="22"/>
        </w:rPr>
        <w:t xml:space="preserve"> Thermally</w:t>
      </w:r>
      <w:r w:rsidR="00C317A9">
        <w:rPr>
          <w:rFonts w:ascii="Arial" w:hAnsi="Arial"/>
          <w:b/>
          <w:sz w:val="22"/>
        </w:rPr>
        <w:t>-i</w:t>
      </w:r>
      <w:r w:rsidRPr="0042351A">
        <w:rPr>
          <w:rFonts w:ascii="Arial" w:hAnsi="Arial"/>
          <w:b/>
          <w:sz w:val="22"/>
        </w:rPr>
        <w:t>nduced</w:t>
      </w:r>
      <w:r w:rsidRPr="0067267A">
        <w:rPr>
          <w:rFonts w:ascii="Arial" w:hAnsi="Arial"/>
          <w:b/>
          <w:sz w:val="22"/>
        </w:rPr>
        <w:t xml:space="preserve"> Cracking; Curling of PCC </w:t>
      </w:r>
      <w:r w:rsidR="0042351A" w:rsidRPr="0042351A">
        <w:rPr>
          <w:rFonts w:ascii="Arial" w:hAnsi="Arial"/>
          <w:b/>
          <w:sz w:val="22"/>
        </w:rPr>
        <w:t>S</w:t>
      </w:r>
      <w:r w:rsidRPr="0042351A">
        <w:rPr>
          <w:rFonts w:ascii="Arial" w:hAnsi="Arial"/>
          <w:b/>
          <w:sz w:val="22"/>
        </w:rPr>
        <w:t>lab</w:t>
      </w:r>
    </w:p>
    <w:p w14:paraId="410634B5" w14:textId="77777777" w:rsidR="00BA5643" w:rsidRPr="0064578A" w:rsidRDefault="00BA5643" w:rsidP="0064578A">
      <w:pPr>
        <w:jc w:val="both"/>
        <w:rPr>
          <w:rFonts w:ascii="Arial" w:hAnsi="Arial"/>
          <w:sz w:val="22"/>
        </w:rPr>
      </w:pPr>
    </w:p>
    <w:p w14:paraId="5501ABFA" w14:textId="15172205" w:rsidR="0064578A" w:rsidRPr="006C0857" w:rsidRDefault="00BA5643" w:rsidP="00172E64">
      <w:pPr>
        <w:pStyle w:val="Heading5"/>
        <w:numPr>
          <w:ilvl w:val="4"/>
          <w:numId w:val="184"/>
        </w:numPr>
        <w:tabs>
          <w:tab w:val="left" w:pos="1800"/>
        </w:tabs>
        <w:ind w:left="1098" w:hanging="1098"/>
      </w:pPr>
      <w:r w:rsidRPr="006C0857">
        <w:t xml:space="preserve">Reflective </w:t>
      </w:r>
      <w:r w:rsidR="0042351A">
        <w:t>C</w:t>
      </w:r>
      <w:r w:rsidRPr="006C0857">
        <w:t xml:space="preserve">racking in Semi-rigid </w:t>
      </w:r>
      <w:r w:rsidR="0042351A">
        <w:t>P</w:t>
      </w:r>
      <w:r w:rsidRPr="006C0857">
        <w:t xml:space="preserve">avements </w:t>
      </w:r>
    </w:p>
    <w:p w14:paraId="3C2F7DBF" w14:textId="3380D3D0" w:rsidR="00BA5643" w:rsidRPr="006C0857" w:rsidRDefault="00BA5643" w:rsidP="0064578A">
      <w:pPr>
        <w:jc w:val="both"/>
        <w:rPr>
          <w:rFonts w:ascii="Arial" w:hAnsi="Arial"/>
          <w:sz w:val="22"/>
        </w:rPr>
      </w:pPr>
      <w:r w:rsidRPr="0064578A">
        <w:rPr>
          <w:rFonts w:ascii="Arial" w:hAnsi="Arial"/>
          <w:sz w:val="22"/>
        </w:rPr>
        <w:t xml:space="preserve">Semi-rigid pavements consist of HMA overlays on top of a cement-treated aggregate base, which is placed on a subgrade. Newly constructed semi-rigid pavements experience reflective cracking as one of the early distresses. The state of stress at the bottom of the subgrade is found to be in compression when there are no cracks in the cement-treated aggregate base; shrinkage creates initial cracking in the base course, which shifts the </w:t>
      </w:r>
      <w:r w:rsidRPr="006C0857">
        <w:rPr>
          <w:rFonts w:ascii="Arial" w:hAnsi="Arial"/>
          <w:sz w:val="22"/>
        </w:rPr>
        <w:t xml:space="preserve">compression state to high tensile stresses and strains in the vicinity of cracks. </w:t>
      </w:r>
      <w:r w:rsidR="00664A98">
        <w:rPr>
          <w:rFonts w:ascii="Arial" w:hAnsi="Arial"/>
          <w:sz w:val="22"/>
        </w:rPr>
        <w:t>U</w:t>
      </w:r>
      <w:r w:rsidR="00664A98" w:rsidRPr="006C0857">
        <w:rPr>
          <w:rFonts w:ascii="Arial" w:hAnsi="Arial"/>
          <w:sz w:val="22"/>
        </w:rPr>
        <w:t>nder repetitive traffic loads</w:t>
      </w:r>
      <w:r w:rsidR="00664A98">
        <w:rPr>
          <w:rFonts w:ascii="Arial" w:hAnsi="Arial"/>
          <w:sz w:val="22"/>
        </w:rPr>
        <w:t>, t</w:t>
      </w:r>
      <w:r w:rsidRPr="006C0857">
        <w:rPr>
          <w:rFonts w:ascii="Arial" w:hAnsi="Arial"/>
          <w:sz w:val="22"/>
        </w:rPr>
        <w:t xml:space="preserve">hese cracks will lead to fatigue cracking at the bottom, which will eventually propagate to the surface as reflective cracks. </w:t>
      </w:r>
    </w:p>
    <w:p w14:paraId="04F7DFC2" w14:textId="77777777" w:rsidR="00BA5643" w:rsidRPr="006C0857" w:rsidRDefault="00BA5643" w:rsidP="0064578A">
      <w:pPr>
        <w:jc w:val="both"/>
        <w:rPr>
          <w:rFonts w:ascii="Arial" w:hAnsi="Arial"/>
          <w:sz w:val="22"/>
        </w:rPr>
      </w:pPr>
    </w:p>
    <w:p w14:paraId="344FC103" w14:textId="74E325BF" w:rsidR="00BA5643" w:rsidRPr="006C0857" w:rsidRDefault="00BA5643" w:rsidP="00172E64">
      <w:pPr>
        <w:pStyle w:val="Heading4"/>
        <w:numPr>
          <w:ilvl w:val="3"/>
          <w:numId w:val="184"/>
        </w:numPr>
        <w:spacing w:after="60"/>
        <w:ind w:left="864"/>
      </w:pPr>
      <w:bookmarkStart w:id="437" w:name="_Toc364322324"/>
      <w:r w:rsidRPr="006C0857">
        <w:t>Reflective Cracking Mitigation Strategies</w:t>
      </w:r>
      <w:bookmarkEnd w:id="437"/>
    </w:p>
    <w:p w14:paraId="72AC5805" w14:textId="704A9CAA" w:rsidR="00BA5643" w:rsidRDefault="00BA5643" w:rsidP="00BA5643">
      <w:pPr>
        <w:rPr>
          <w:rFonts w:ascii="Arial" w:hAnsi="Arial"/>
          <w:sz w:val="22"/>
        </w:rPr>
      </w:pPr>
      <w:r w:rsidRPr="006C0857">
        <w:rPr>
          <w:rFonts w:ascii="Arial" w:hAnsi="Arial"/>
          <w:sz w:val="22"/>
        </w:rPr>
        <w:t>Numerous materials and methods with varying degrees of success are available to mitigate reflective cracking, as follows:</w:t>
      </w:r>
    </w:p>
    <w:p w14:paraId="66A1F128" w14:textId="77777777" w:rsidR="007675DB" w:rsidRDefault="007675DB" w:rsidP="00BA5643">
      <w:pPr>
        <w:rPr>
          <w:rFonts w:ascii="Arial" w:hAnsi="Arial"/>
          <w:sz w:val="22"/>
        </w:rPr>
      </w:pPr>
    </w:p>
    <w:tbl>
      <w:tblPr>
        <w:tblStyle w:val="TableGrid"/>
        <w:tblW w:w="0" w:type="auto"/>
        <w:jc w:val="center"/>
        <w:tblLook w:val="04A0" w:firstRow="1" w:lastRow="0" w:firstColumn="1" w:lastColumn="0" w:noHBand="0" w:noVBand="1"/>
      </w:tblPr>
      <w:tblGrid>
        <w:gridCol w:w="1963"/>
        <w:gridCol w:w="2145"/>
        <w:gridCol w:w="2379"/>
        <w:gridCol w:w="2143"/>
      </w:tblGrid>
      <w:tr w:rsidR="00F81D66" w14:paraId="7B2087DB" w14:textId="77777777" w:rsidTr="00F81D66">
        <w:trPr>
          <w:trHeight w:val="288"/>
          <w:tblHeader/>
          <w:jc w:val="center"/>
        </w:trPr>
        <w:tc>
          <w:tcPr>
            <w:tcW w:w="1963" w:type="dxa"/>
            <w:shd w:val="pct15" w:color="auto" w:fill="auto"/>
            <w:vAlign w:val="center"/>
          </w:tcPr>
          <w:p w14:paraId="5EAAF3CC" w14:textId="2E4B5674" w:rsidR="00F81D66" w:rsidRPr="0067267A" w:rsidRDefault="00F81D66" w:rsidP="00907E6F">
            <w:pPr>
              <w:jc w:val="center"/>
              <w:rPr>
                <w:rFonts w:ascii="Arial" w:hAnsi="Arial"/>
                <w:b/>
              </w:rPr>
            </w:pPr>
            <w:r w:rsidRPr="0067267A">
              <w:rPr>
                <w:rFonts w:ascii="Arial" w:hAnsi="Arial"/>
                <w:b/>
              </w:rPr>
              <w:t>Product</w:t>
            </w:r>
          </w:p>
        </w:tc>
        <w:tc>
          <w:tcPr>
            <w:tcW w:w="2145" w:type="dxa"/>
            <w:shd w:val="pct15" w:color="auto" w:fill="auto"/>
            <w:vAlign w:val="center"/>
          </w:tcPr>
          <w:p w14:paraId="5F57C0CF" w14:textId="77777777" w:rsidR="00F81D66" w:rsidRPr="0067267A" w:rsidRDefault="00F81D66" w:rsidP="00907E6F">
            <w:pPr>
              <w:jc w:val="center"/>
              <w:rPr>
                <w:rFonts w:ascii="Arial" w:hAnsi="Arial"/>
                <w:b/>
              </w:rPr>
            </w:pPr>
            <w:r w:rsidRPr="0067267A">
              <w:rPr>
                <w:rFonts w:ascii="Arial" w:hAnsi="Arial"/>
                <w:b/>
              </w:rPr>
              <w:t>Rigid Pavement</w:t>
            </w:r>
          </w:p>
        </w:tc>
        <w:tc>
          <w:tcPr>
            <w:tcW w:w="2379" w:type="dxa"/>
            <w:shd w:val="pct15" w:color="auto" w:fill="auto"/>
            <w:vAlign w:val="center"/>
          </w:tcPr>
          <w:p w14:paraId="448CAE06" w14:textId="77777777" w:rsidR="00F81D66" w:rsidRPr="0067267A" w:rsidRDefault="00F81D66" w:rsidP="00907E6F">
            <w:pPr>
              <w:jc w:val="center"/>
              <w:rPr>
                <w:rFonts w:ascii="Arial" w:hAnsi="Arial"/>
                <w:b/>
              </w:rPr>
            </w:pPr>
            <w:r w:rsidRPr="0067267A">
              <w:rPr>
                <w:rFonts w:ascii="Arial" w:hAnsi="Arial"/>
                <w:b/>
              </w:rPr>
              <w:t>Composite Pavement</w:t>
            </w:r>
          </w:p>
        </w:tc>
        <w:tc>
          <w:tcPr>
            <w:tcW w:w="2143" w:type="dxa"/>
            <w:shd w:val="pct15" w:color="auto" w:fill="auto"/>
            <w:vAlign w:val="center"/>
          </w:tcPr>
          <w:p w14:paraId="63FCFA70" w14:textId="77777777" w:rsidR="00F81D66" w:rsidRPr="0067267A" w:rsidRDefault="00F81D66" w:rsidP="00907E6F">
            <w:pPr>
              <w:jc w:val="center"/>
              <w:rPr>
                <w:rFonts w:ascii="Arial" w:hAnsi="Arial"/>
                <w:b/>
              </w:rPr>
            </w:pPr>
            <w:r w:rsidRPr="0067267A">
              <w:rPr>
                <w:rFonts w:ascii="Arial" w:hAnsi="Arial"/>
                <w:b/>
              </w:rPr>
              <w:t>Flexible Pavement w/CTB</w:t>
            </w:r>
          </w:p>
        </w:tc>
      </w:tr>
      <w:tr w:rsidR="007675DB" w14:paraId="21CC67D9" w14:textId="77777777" w:rsidTr="00F81D66">
        <w:trPr>
          <w:trHeight w:val="288"/>
          <w:jc w:val="center"/>
        </w:trPr>
        <w:tc>
          <w:tcPr>
            <w:tcW w:w="1963" w:type="dxa"/>
            <w:vAlign w:val="center"/>
          </w:tcPr>
          <w:p w14:paraId="2A08CF5A" w14:textId="77777777" w:rsidR="007675DB" w:rsidRPr="0067267A" w:rsidRDefault="007675DB" w:rsidP="00907E6F">
            <w:pPr>
              <w:jc w:val="center"/>
              <w:rPr>
                <w:rFonts w:ascii="Arial" w:hAnsi="Arial"/>
              </w:rPr>
            </w:pPr>
            <w:r>
              <w:rPr>
                <w:rFonts w:ascii="Arial" w:hAnsi="Arial"/>
              </w:rPr>
              <w:t>Fibers for Reinforcement of Asphalt Mix</w:t>
            </w:r>
          </w:p>
        </w:tc>
        <w:tc>
          <w:tcPr>
            <w:tcW w:w="2145" w:type="dxa"/>
            <w:vAlign w:val="center"/>
          </w:tcPr>
          <w:p w14:paraId="2F076DAA" w14:textId="77777777" w:rsidR="007675DB" w:rsidRPr="0067267A" w:rsidRDefault="007675DB" w:rsidP="00907E6F">
            <w:pPr>
              <w:jc w:val="center"/>
              <w:rPr>
                <w:rFonts w:ascii="Arial" w:hAnsi="Arial"/>
              </w:rPr>
            </w:pPr>
            <w:r w:rsidRPr="0067267A">
              <w:rPr>
                <w:rFonts w:ascii="Arial" w:hAnsi="Arial"/>
              </w:rPr>
              <w:t>Recommended</w:t>
            </w:r>
          </w:p>
        </w:tc>
        <w:tc>
          <w:tcPr>
            <w:tcW w:w="2379" w:type="dxa"/>
            <w:vAlign w:val="center"/>
          </w:tcPr>
          <w:p w14:paraId="4B06CE8D" w14:textId="77777777" w:rsidR="007675DB" w:rsidRPr="0067267A" w:rsidRDefault="007675DB" w:rsidP="00907E6F">
            <w:pPr>
              <w:jc w:val="center"/>
              <w:rPr>
                <w:rFonts w:ascii="Arial" w:hAnsi="Arial"/>
              </w:rPr>
            </w:pPr>
            <w:r w:rsidRPr="0067267A">
              <w:rPr>
                <w:rFonts w:ascii="Arial" w:hAnsi="Arial"/>
              </w:rPr>
              <w:t>Recommended</w:t>
            </w:r>
          </w:p>
        </w:tc>
        <w:tc>
          <w:tcPr>
            <w:tcW w:w="2143" w:type="dxa"/>
            <w:vAlign w:val="center"/>
          </w:tcPr>
          <w:p w14:paraId="5F2ECF1D" w14:textId="77777777" w:rsidR="007675DB" w:rsidRPr="0067267A" w:rsidRDefault="007675DB" w:rsidP="00907E6F">
            <w:pPr>
              <w:jc w:val="center"/>
              <w:rPr>
                <w:rFonts w:ascii="Arial" w:hAnsi="Arial"/>
              </w:rPr>
            </w:pPr>
            <w:r w:rsidRPr="0067267A">
              <w:rPr>
                <w:rFonts w:ascii="Arial" w:hAnsi="Arial"/>
              </w:rPr>
              <w:t>Recommended</w:t>
            </w:r>
          </w:p>
        </w:tc>
      </w:tr>
      <w:tr w:rsidR="007675DB" w14:paraId="5E79CEA9" w14:textId="77777777" w:rsidTr="00F81D66">
        <w:trPr>
          <w:trHeight w:val="288"/>
          <w:jc w:val="center"/>
        </w:trPr>
        <w:tc>
          <w:tcPr>
            <w:tcW w:w="1963" w:type="dxa"/>
            <w:vAlign w:val="center"/>
          </w:tcPr>
          <w:p w14:paraId="39B8C148" w14:textId="77777777" w:rsidR="007675DB" w:rsidRPr="0067267A" w:rsidRDefault="007675DB" w:rsidP="00907E6F">
            <w:pPr>
              <w:jc w:val="center"/>
              <w:rPr>
                <w:rFonts w:ascii="Arial" w:hAnsi="Arial"/>
              </w:rPr>
            </w:pPr>
            <w:r w:rsidRPr="0067267A">
              <w:rPr>
                <w:rFonts w:ascii="Arial" w:hAnsi="Arial"/>
              </w:rPr>
              <w:t>Gap-Graded Stone Matrix Asphalt</w:t>
            </w:r>
          </w:p>
        </w:tc>
        <w:tc>
          <w:tcPr>
            <w:tcW w:w="2145" w:type="dxa"/>
            <w:vAlign w:val="center"/>
          </w:tcPr>
          <w:p w14:paraId="7FDBABA3" w14:textId="77777777" w:rsidR="007675DB" w:rsidRPr="0067267A" w:rsidRDefault="007675DB" w:rsidP="00907E6F">
            <w:pPr>
              <w:jc w:val="center"/>
              <w:rPr>
                <w:rFonts w:ascii="Arial" w:hAnsi="Arial"/>
              </w:rPr>
            </w:pPr>
            <w:r w:rsidRPr="0067267A">
              <w:rPr>
                <w:rFonts w:ascii="Arial" w:hAnsi="Arial"/>
              </w:rPr>
              <w:t>Recommended</w:t>
            </w:r>
          </w:p>
        </w:tc>
        <w:tc>
          <w:tcPr>
            <w:tcW w:w="2379" w:type="dxa"/>
            <w:vAlign w:val="center"/>
          </w:tcPr>
          <w:p w14:paraId="29548D2B" w14:textId="77777777" w:rsidR="007675DB" w:rsidRPr="0067267A" w:rsidRDefault="007675DB" w:rsidP="00907E6F">
            <w:pPr>
              <w:jc w:val="center"/>
              <w:rPr>
                <w:rFonts w:ascii="Arial" w:hAnsi="Arial"/>
              </w:rPr>
            </w:pPr>
            <w:r w:rsidRPr="0067267A">
              <w:rPr>
                <w:rFonts w:ascii="Arial" w:hAnsi="Arial"/>
              </w:rPr>
              <w:t>Recommended</w:t>
            </w:r>
          </w:p>
        </w:tc>
        <w:tc>
          <w:tcPr>
            <w:tcW w:w="2143" w:type="dxa"/>
            <w:vAlign w:val="center"/>
          </w:tcPr>
          <w:p w14:paraId="2BB87553" w14:textId="77777777" w:rsidR="007675DB" w:rsidRPr="0067267A" w:rsidRDefault="007675DB" w:rsidP="00907E6F">
            <w:pPr>
              <w:jc w:val="center"/>
              <w:rPr>
                <w:rFonts w:ascii="Arial" w:hAnsi="Arial"/>
              </w:rPr>
            </w:pPr>
            <w:r w:rsidRPr="0067267A">
              <w:rPr>
                <w:rFonts w:ascii="Arial" w:hAnsi="Arial"/>
              </w:rPr>
              <w:t>Recommended</w:t>
            </w:r>
          </w:p>
        </w:tc>
      </w:tr>
      <w:tr w:rsidR="007675DB" w14:paraId="1AD8B0DE" w14:textId="77777777" w:rsidTr="00F81D66">
        <w:trPr>
          <w:trHeight w:val="288"/>
          <w:jc w:val="center"/>
        </w:trPr>
        <w:tc>
          <w:tcPr>
            <w:tcW w:w="1963" w:type="dxa"/>
            <w:vAlign w:val="center"/>
          </w:tcPr>
          <w:p w14:paraId="01FA1D9D" w14:textId="77777777" w:rsidR="007675DB" w:rsidRPr="0067267A" w:rsidRDefault="007675DB" w:rsidP="00907E6F">
            <w:pPr>
              <w:jc w:val="center"/>
              <w:rPr>
                <w:rFonts w:ascii="Arial" w:hAnsi="Arial"/>
              </w:rPr>
            </w:pPr>
            <w:r w:rsidRPr="0067267A">
              <w:rPr>
                <w:rFonts w:ascii="Arial" w:hAnsi="Arial"/>
              </w:rPr>
              <w:t>High Elasticity Grade Binder</w:t>
            </w:r>
          </w:p>
        </w:tc>
        <w:tc>
          <w:tcPr>
            <w:tcW w:w="2145" w:type="dxa"/>
            <w:vAlign w:val="center"/>
          </w:tcPr>
          <w:p w14:paraId="734EB8F1" w14:textId="77777777" w:rsidR="007675DB" w:rsidRPr="0067267A" w:rsidRDefault="007675DB" w:rsidP="00907E6F">
            <w:pPr>
              <w:jc w:val="center"/>
              <w:rPr>
                <w:rFonts w:ascii="Arial" w:hAnsi="Arial"/>
              </w:rPr>
            </w:pPr>
            <w:r w:rsidRPr="0067267A">
              <w:rPr>
                <w:rFonts w:ascii="Arial" w:hAnsi="Arial"/>
              </w:rPr>
              <w:t>Not Recommended</w:t>
            </w:r>
          </w:p>
        </w:tc>
        <w:tc>
          <w:tcPr>
            <w:tcW w:w="2379" w:type="dxa"/>
            <w:vAlign w:val="center"/>
          </w:tcPr>
          <w:p w14:paraId="2E19FC80" w14:textId="77777777" w:rsidR="007675DB" w:rsidRPr="0067267A" w:rsidRDefault="007675DB" w:rsidP="00907E6F">
            <w:pPr>
              <w:jc w:val="center"/>
              <w:rPr>
                <w:rFonts w:ascii="Arial" w:hAnsi="Arial"/>
              </w:rPr>
            </w:pPr>
            <w:r w:rsidRPr="0067267A">
              <w:rPr>
                <w:rFonts w:ascii="Arial" w:hAnsi="Arial"/>
              </w:rPr>
              <w:t>Not Recommended</w:t>
            </w:r>
          </w:p>
        </w:tc>
        <w:tc>
          <w:tcPr>
            <w:tcW w:w="2143" w:type="dxa"/>
            <w:vAlign w:val="center"/>
          </w:tcPr>
          <w:p w14:paraId="35F88A26" w14:textId="77777777" w:rsidR="007675DB" w:rsidRPr="0067267A" w:rsidRDefault="007675DB" w:rsidP="00907E6F">
            <w:pPr>
              <w:jc w:val="center"/>
              <w:rPr>
                <w:rFonts w:ascii="Arial" w:hAnsi="Arial"/>
              </w:rPr>
            </w:pPr>
            <w:r w:rsidRPr="0067267A">
              <w:rPr>
                <w:rFonts w:ascii="Arial" w:hAnsi="Arial"/>
              </w:rPr>
              <w:t>Allowable</w:t>
            </w:r>
          </w:p>
        </w:tc>
      </w:tr>
      <w:tr w:rsidR="007675DB" w14:paraId="6BCD1FBC" w14:textId="77777777" w:rsidTr="00F81D66">
        <w:trPr>
          <w:trHeight w:val="288"/>
          <w:jc w:val="center"/>
        </w:trPr>
        <w:tc>
          <w:tcPr>
            <w:tcW w:w="1963" w:type="dxa"/>
            <w:vAlign w:val="center"/>
          </w:tcPr>
          <w:p w14:paraId="0605FF0E" w14:textId="77777777" w:rsidR="007675DB" w:rsidRPr="0067267A" w:rsidRDefault="007675DB" w:rsidP="00907E6F">
            <w:pPr>
              <w:jc w:val="center"/>
              <w:rPr>
                <w:rFonts w:ascii="Arial" w:hAnsi="Arial"/>
              </w:rPr>
            </w:pPr>
            <w:r w:rsidRPr="0067267A">
              <w:rPr>
                <w:rFonts w:ascii="Arial" w:hAnsi="Arial"/>
              </w:rPr>
              <w:t>Ultra-Thin Bonded Wearing Course</w:t>
            </w:r>
          </w:p>
        </w:tc>
        <w:tc>
          <w:tcPr>
            <w:tcW w:w="2145" w:type="dxa"/>
            <w:vAlign w:val="center"/>
          </w:tcPr>
          <w:p w14:paraId="2F167DB9" w14:textId="77777777" w:rsidR="007675DB" w:rsidRPr="0067267A" w:rsidRDefault="007675DB" w:rsidP="00907E6F">
            <w:pPr>
              <w:jc w:val="center"/>
              <w:rPr>
                <w:rFonts w:ascii="Arial" w:hAnsi="Arial"/>
              </w:rPr>
            </w:pPr>
            <w:r w:rsidRPr="0067267A">
              <w:rPr>
                <w:rFonts w:ascii="Arial" w:hAnsi="Arial"/>
              </w:rPr>
              <w:t>Not Recommended</w:t>
            </w:r>
          </w:p>
        </w:tc>
        <w:tc>
          <w:tcPr>
            <w:tcW w:w="2379" w:type="dxa"/>
            <w:vAlign w:val="center"/>
          </w:tcPr>
          <w:p w14:paraId="0CE2008C" w14:textId="77777777" w:rsidR="007675DB" w:rsidRPr="0067267A" w:rsidRDefault="007675DB" w:rsidP="00907E6F">
            <w:pPr>
              <w:jc w:val="center"/>
              <w:rPr>
                <w:rFonts w:ascii="Arial" w:hAnsi="Arial"/>
              </w:rPr>
            </w:pPr>
            <w:r w:rsidRPr="0067267A">
              <w:rPr>
                <w:rFonts w:ascii="Arial" w:hAnsi="Arial"/>
              </w:rPr>
              <w:t>Recommended</w:t>
            </w:r>
          </w:p>
        </w:tc>
        <w:tc>
          <w:tcPr>
            <w:tcW w:w="2143" w:type="dxa"/>
            <w:vAlign w:val="center"/>
          </w:tcPr>
          <w:p w14:paraId="553BA245" w14:textId="77777777" w:rsidR="007675DB" w:rsidRPr="0067267A" w:rsidRDefault="007675DB" w:rsidP="00907E6F">
            <w:pPr>
              <w:jc w:val="center"/>
              <w:rPr>
                <w:rFonts w:ascii="Arial" w:hAnsi="Arial"/>
              </w:rPr>
            </w:pPr>
            <w:r w:rsidRPr="0067267A">
              <w:rPr>
                <w:rFonts w:ascii="Arial" w:hAnsi="Arial"/>
              </w:rPr>
              <w:t>Recommended</w:t>
            </w:r>
          </w:p>
        </w:tc>
      </w:tr>
    </w:tbl>
    <w:p w14:paraId="34EAC793" w14:textId="74E61927" w:rsidR="007675DB" w:rsidRDefault="007675DB" w:rsidP="00BA5643">
      <w:pPr>
        <w:rPr>
          <w:rFonts w:ascii="Arial" w:hAnsi="Arial"/>
          <w:sz w:val="22"/>
        </w:rPr>
      </w:pPr>
    </w:p>
    <w:p w14:paraId="5A7E0B78" w14:textId="77777777" w:rsidR="00190AE9" w:rsidRDefault="00190AE9" w:rsidP="00162BFE">
      <w:pPr>
        <w:ind w:left="360"/>
        <w:jc w:val="both"/>
        <w:rPr>
          <w:rFonts w:ascii="Arial" w:hAnsi="Arial"/>
          <w:sz w:val="22"/>
          <w:highlight w:val="cyan"/>
        </w:rPr>
      </w:pPr>
    </w:p>
    <w:p w14:paraId="308ADF60" w14:textId="35C4A058" w:rsidR="00BA5643" w:rsidRPr="00162BFE" w:rsidRDefault="007C6265" w:rsidP="00172E64">
      <w:pPr>
        <w:pStyle w:val="Heading5"/>
        <w:numPr>
          <w:ilvl w:val="4"/>
          <w:numId w:val="184"/>
        </w:numPr>
        <w:tabs>
          <w:tab w:val="clear" w:pos="1080"/>
          <w:tab w:val="left" w:pos="1800"/>
        </w:tabs>
        <w:ind w:left="0" w:firstLine="0"/>
        <w:jc w:val="both"/>
      </w:pPr>
      <w:bookmarkStart w:id="438" w:name="_Ultrathin_Bonded_Wearing"/>
      <w:bookmarkEnd w:id="438"/>
      <w:r>
        <w:lastRenderedPageBreak/>
        <w:t>Fibers for Reinforcement of Asphalt Mix</w:t>
      </w:r>
    </w:p>
    <w:p w14:paraId="5AA8251D" w14:textId="77777777" w:rsidR="00BA5643" w:rsidRPr="00162BFE" w:rsidRDefault="00BA5643" w:rsidP="00162BFE">
      <w:pPr>
        <w:jc w:val="both"/>
        <w:rPr>
          <w:rFonts w:ascii="Arial" w:hAnsi="Arial"/>
          <w:sz w:val="22"/>
        </w:rPr>
      </w:pPr>
    </w:p>
    <w:p w14:paraId="7FA4AF0F" w14:textId="77777777" w:rsidR="00162BFE" w:rsidRPr="00162BFE" w:rsidRDefault="00162BFE" w:rsidP="00172E64">
      <w:pPr>
        <w:pStyle w:val="Heading6"/>
        <w:numPr>
          <w:ilvl w:val="5"/>
          <w:numId w:val="184"/>
        </w:numPr>
        <w:tabs>
          <w:tab w:val="left" w:pos="1800"/>
        </w:tabs>
        <w:ind w:left="1152"/>
        <w:jc w:val="both"/>
        <w:rPr>
          <w:b/>
        </w:rPr>
      </w:pPr>
      <w:r w:rsidRPr="00162BFE">
        <w:rPr>
          <w:b/>
        </w:rPr>
        <w:t>Description</w:t>
      </w:r>
    </w:p>
    <w:p w14:paraId="6BDCD75F" w14:textId="1AACC3F1" w:rsidR="00894571" w:rsidRDefault="007C6265" w:rsidP="00162BFE">
      <w:pPr>
        <w:jc w:val="both"/>
        <w:rPr>
          <w:rFonts w:ascii="Arial" w:hAnsi="Arial"/>
          <w:sz w:val="22"/>
        </w:rPr>
      </w:pPr>
      <w:r>
        <w:rPr>
          <w:rFonts w:ascii="Arial" w:hAnsi="Arial"/>
          <w:sz w:val="22"/>
        </w:rPr>
        <w:t>Monofilament aramid fibers that are added to the aggregates before injection of the liquid asphalt during the asphalt mixing process.  These mixes delay the appearance of reflective cracks, and when reflective cracks appear, the cracks remain tight without raveling.</w:t>
      </w:r>
    </w:p>
    <w:p w14:paraId="123F3A58" w14:textId="77777777" w:rsidR="00BA5643" w:rsidRDefault="00BA5643" w:rsidP="00162BFE">
      <w:pPr>
        <w:jc w:val="both"/>
        <w:rPr>
          <w:rFonts w:ascii="Arial" w:hAnsi="Arial"/>
          <w:sz w:val="22"/>
        </w:rPr>
      </w:pPr>
    </w:p>
    <w:p w14:paraId="1EAE0BED" w14:textId="77777777" w:rsidR="00162BFE" w:rsidRPr="006C0857" w:rsidRDefault="00162BFE" w:rsidP="00172E64">
      <w:pPr>
        <w:pStyle w:val="Heading6"/>
        <w:numPr>
          <w:ilvl w:val="5"/>
          <w:numId w:val="184"/>
        </w:numPr>
        <w:tabs>
          <w:tab w:val="left" w:pos="1800"/>
        </w:tabs>
        <w:ind w:left="1152"/>
        <w:rPr>
          <w:b/>
        </w:rPr>
      </w:pPr>
      <w:r>
        <w:rPr>
          <w:b/>
        </w:rPr>
        <w:t>Placement Location</w:t>
      </w:r>
    </w:p>
    <w:p w14:paraId="160C414B" w14:textId="5DFE801B" w:rsidR="00162BFE" w:rsidRDefault="007C6265" w:rsidP="00162BFE">
      <w:pPr>
        <w:pStyle w:val="ListParagraph"/>
        <w:ind w:left="0"/>
        <w:jc w:val="both"/>
        <w:rPr>
          <w:rFonts w:ascii="Arial" w:hAnsi="Arial"/>
          <w:sz w:val="22"/>
        </w:rPr>
      </w:pPr>
      <w:r>
        <w:rPr>
          <w:rFonts w:ascii="Arial" w:hAnsi="Arial"/>
          <w:sz w:val="22"/>
        </w:rPr>
        <w:t>P</w:t>
      </w:r>
      <w:r w:rsidR="00162BFE">
        <w:rPr>
          <w:rFonts w:ascii="Arial" w:hAnsi="Arial"/>
          <w:sz w:val="22"/>
        </w:rPr>
        <w:t>laced continuously</w:t>
      </w:r>
      <w:r>
        <w:rPr>
          <w:rFonts w:ascii="Arial" w:hAnsi="Arial"/>
          <w:sz w:val="22"/>
        </w:rPr>
        <w:t xml:space="preserve"> as</w:t>
      </w:r>
      <w:r w:rsidR="00162BFE">
        <w:rPr>
          <w:rFonts w:ascii="Arial" w:hAnsi="Arial"/>
          <w:sz w:val="22"/>
        </w:rPr>
        <w:t xml:space="preserve"> the surface.</w:t>
      </w:r>
      <w:r>
        <w:rPr>
          <w:rFonts w:ascii="Arial" w:hAnsi="Arial"/>
          <w:sz w:val="22"/>
        </w:rPr>
        <w:t xml:space="preserve">  A 2” lift generally performs better than a 1.5” lift.</w:t>
      </w:r>
    </w:p>
    <w:p w14:paraId="6F318494" w14:textId="77777777" w:rsidR="00162BFE" w:rsidRPr="00C35F49" w:rsidRDefault="00162BFE" w:rsidP="00162BFE">
      <w:pPr>
        <w:pStyle w:val="ListParagraph"/>
        <w:ind w:left="360"/>
        <w:jc w:val="both"/>
        <w:rPr>
          <w:rFonts w:ascii="Arial" w:hAnsi="Arial"/>
          <w:sz w:val="22"/>
        </w:rPr>
      </w:pPr>
    </w:p>
    <w:p w14:paraId="59B813A8" w14:textId="77777777" w:rsidR="00162BFE" w:rsidRPr="006C0857" w:rsidRDefault="00162BFE" w:rsidP="00172E64">
      <w:pPr>
        <w:pStyle w:val="Heading6"/>
        <w:numPr>
          <w:ilvl w:val="5"/>
          <w:numId w:val="184"/>
        </w:numPr>
        <w:tabs>
          <w:tab w:val="left" w:pos="1800"/>
        </w:tabs>
        <w:ind w:left="1152"/>
        <w:rPr>
          <w:b/>
        </w:rPr>
      </w:pPr>
      <w:r>
        <w:rPr>
          <w:b/>
        </w:rPr>
        <w:t>Conditions for Application</w:t>
      </w:r>
    </w:p>
    <w:p w14:paraId="05D6F179" w14:textId="3F8CD77D" w:rsidR="007C6265" w:rsidRPr="00544B36" w:rsidRDefault="007C6265" w:rsidP="007C6265">
      <w:pPr>
        <w:pStyle w:val="ListParagraph"/>
        <w:ind w:left="0"/>
        <w:jc w:val="both"/>
        <w:rPr>
          <w:rFonts w:ascii="Arial" w:hAnsi="Arial"/>
          <w:sz w:val="22"/>
        </w:rPr>
      </w:pPr>
      <w:r w:rsidRPr="007C6265">
        <w:rPr>
          <w:rFonts w:ascii="Arial" w:hAnsi="Arial"/>
          <w:sz w:val="22"/>
        </w:rPr>
        <w:t>Recommended for all cases with reflective cracking</w:t>
      </w:r>
      <w:r>
        <w:rPr>
          <w:rFonts w:ascii="Arial" w:hAnsi="Arial"/>
          <w:sz w:val="22"/>
        </w:rPr>
        <w:t>.</w:t>
      </w:r>
      <w:r w:rsidRPr="007C6265">
        <w:rPr>
          <w:rFonts w:ascii="Arial" w:hAnsi="Arial"/>
          <w:sz w:val="22"/>
        </w:rPr>
        <w:t xml:space="preserve"> </w:t>
      </w:r>
    </w:p>
    <w:p w14:paraId="7E5222AF" w14:textId="77777777" w:rsidR="00162BFE" w:rsidRDefault="00162BFE" w:rsidP="00162BFE">
      <w:pPr>
        <w:jc w:val="both"/>
        <w:rPr>
          <w:rFonts w:ascii="Arial" w:hAnsi="Arial"/>
          <w:sz w:val="22"/>
        </w:rPr>
      </w:pPr>
    </w:p>
    <w:p w14:paraId="30099C78" w14:textId="77777777" w:rsidR="00162BFE" w:rsidRPr="00190AE9" w:rsidRDefault="00162BFE" w:rsidP="00172E64">
      <w:pPr>
        <w:pStyle w:val="Heading6"/>
        <w:numPr>
          <w:ilvl w:val="5"/>
          <w:numId w:val="184"/>
        </w:numPr>
        <w:tabs>
          <w:tab w:val="left" w:pos="1800"/>
        </w:tabs>
        <w:ind w:left="1152"/>
        <w:rPr>
          <w:b/>
        </w:rPr>
      </w:pPr>
      <w:r w:rsidRPr="00190AE9">
        <w:rPr>
          <w:b/>
        </w:rPr>
        <w:t>Required Resurfacing</w:t>
      </w:r>
    </w:p>
    <w:p w14:paraId="7BC47C09" w14:textId="77777777" w:rsidR="00162BFE" w:rsidRPr="00190AE9" w:rsidRDefault="00B918FB" w:rsidP="00162BFE">
      <w:pPr>
        <w:jc w:val="both"/>
        <w:rPr>
          <w:rFonts w:ascii="Arial" w:hAnsi="Arial"/>
          <w:sz w:val="22"/>
        </w:rPr>
      </w:pPr>
      <w:r>
        <w:rPr>
          <w:rFonts w:ascii="Arial" w:hAnsi="Arial"/>
          <w:sz w:val="22"/>
        </w:rPr>
        <w:t>N</w:t>
      </w:r>
      <w:r w:rsidR="00162BFE" w:rsidRPr="00190AE9">
        <w:rPr>
          <w:rFonts w:ascii="Arial" w:hAnsi="Arial"/>
          <w:sz w:val="22"/>
        </w:rPr>
        <w:t xml:space="preserve">A. </w:t>
      </w:r>
    </w:p>
    <w:p w14:paraId="3BD75A4F" w14:textId="77777777" w:rsidR="00162BFE" w:rsidRDefault="00162BFE" w:rsidP="00162BFE">
      <w:pPr>
        <w:jc w:val="both"/>
        <w:rPr>
          <w:rFonts w:ascii="Arial" w:hAnsi="Arial"/>
          <w:sz w:val="22"/>
        </w:rPr>
      </w:pPr>
    </w:p>
    <w:p w14:paraId="4FB0580C" w14:textId="3D8E17EA" w:rsidR="00BA5643" w:rsidRPr="002C1BF2" w:rsidRDefault="00DB4495" w:rsidP="00172E64">
      <w:pPr>
        <w:pStyle w:val="Heading5"/>
        <w:numPr>
          <w:ilvl w:val="4"/>
          <w:numId w:val="184"/>
        </w:numPr>
        <w:tabs>
          <w:tab w:val="left" w:pos="1800"/>
        </w:tabs>
        <w:ind w:left="0" w:firstLine="0"/>
      </w:pPr>
      <w:bookmarkStart w:id="439" w:name="_Gap_Graded_Stone"/>
      <w:bookmarkEnd w:id="439"/>
      <w:r>
        <w:t>Gap</w:t>
      </w:r>
      <w:r w:rsidR="00BA5643" w:rsidRPr="002C1BF2">
        <w:t xml:space="preserve"> Graded Stone Matrix Asphalt (SMA) Mixtures </w:t>
      </w:r>
    </w:p>
    <w:p w14:paraId="3B2EABE9" w14:textId="77777777" w:rsidR="00BA5643" w:rsidRPr="002C1BF2" w:rsidRDefault="00BA5643" w:rsidP="00BA5643">
      <w:pPr>
        <w:pStyle w:val="ListParagraph"/>
        <w:ind w:left="0"/>
        <w:rPr>
          <w:rFonts w:ascii="Arial" w:hAnsi="Arial"/>
          <w:sz w:val="22"/>
        </w:rPr>
      </w:pPr>
    </w:p>
    <w:p w14:paraId="0885E489" w14:textId="77777777" w:rsidR="00811A3D" w:rsidRPr="002C1BF2" w:rsidRDefault="00811A3D" w:rsidP="00172E64">
      <w:pPr>
        <w:pStyle w:val="Heading6"/>
        <w:numPr>
          <w:ilvl w:val="5"/>
          <w:numId w:val="184"/>
        </w:numPr>
        <w:tabs>
          <w:tab w:val="left" w:pos="1800"/>
        </w:tabs>
        <w:ind w:left="1152"/>
        <w:jc w:val="both"/>
        <w:rPr>
          <w:b/>
        </w:rPr>
      </w:pPr>
      <w:r w:rsidRPr="002C1BF2">
        <w:rPr>
          <w:b/>
        </w:rPr>
        <w:t>Description</w:t>
      </w:r>
    </w:p>
    <w:p w14:paraId="139D1BE9" w14:textId="77777777" w:rsidR="00811A3D" w:rsidRPr="002C1BF2" w:rsidRDefault="00811A3D" w:rsidP="0067267A">
      <w:pPr>
        <w:pStyle w:val="ListParagraph"/>
        <w:ind w:left="0"/>
        <w:jc w:val="both"/>
        <w:rPr>
          <w:rFonts w:ascii="Arial" w:hAnsi="Arial"/>
          <w:sz w:val="22"/>
        </w:rPr>
      </w:pPr>
      <w:r w:rsidRPr="002C1BF2">
        <w:rPr>
          <w:rFonts w:ascii="Arial" w:hAnsi="Arial"/>
          <w:sz w:val="22"/>
        </w:rPr>
        <w:t xml:space="preserve">Refer to </w:t>
      </w:r>
      <w:hyperlink w:anchor="_Material_Description" w:history="1">
        <w:r w:rsidRPr="002C1BF2">
          <w:rPr>
            <w:rStyle w:val="Hyperlink"/>
            <w:rFonts w:ascii="Arial" w:hAnsi="Arial"/>
            <w:sz w:val="22"/>
          </w:rPr>
          <w:t>Material Description</w:t>
        </w:r>
      </w:hyperlink>
      <w:r w:rsidRPr="002C1BF2">
        <w:rPr>
          <w:rFonts w:ascii="Arial" w:hAnsi="Arial"/>
          <w:sz w:val="22"/>
        </w:rPr>
        <w:t xml:space="preserve">.  In the laboratory and field, use of SMA appeared to reduce reflective cracking by a factor of 5, and even when reflective cracks appeared, these few cracks remained tight and were not raveling. This could be attributed to the high asphalt content and to the use of polymers, which allow SMA to remain adjacent to the cracks. </w:t>
      </w:r>
    </w:p>
    <w:p w14:paraId="0D447FB5" w14:textId="77777777" w:rsidR="00811A3D" w:rsidRPr="002C1BF2" w:rsidRDefault="00811A3D" w:rsidP="0067267A">
      <w:pPr>
        <w:pStyle w:val="ListParagraph"/>
        <w:ind w:left="0"/>
        <w:jc w:val="both"/>
        <w:rPr>
          <w:rFonts w:ascii="Arial" w:hAnsi="Arial"/>
          <w:sz w:val="22"/>
        </w:rPr>
      </w:pPr>
    </w:p>
    <w:p w14:paraId="17E3EFDD" w14:textId="77777777" w:rsidR="00811A3D" w:rsidRPr="006C0857" w:rsidRDefault="00811A3D" w:rsidP="00172E64">
      <w:pPr>
        <w:pStyle w:val="Heading6"/>
        <w:numPr>
          <w:ilvl w:val="5"/>
          <w:numId w:val="184"/>
        </w:numPr>
        <w:tabs>
          <w:tab w:val="left" w:pos="1800"/>
        </w:tabs>
        <w:ind w:left="1152"/>
        <w:jc w:val="both"/>
        <w:rPr>
          <w:b/>
        </w:rPr>
      </w:pPr>
      <w:r>
        <w:rPr>
          <w:b/>
        </w:rPr>
        <w:t>Placement Location</w:t>
      </w:r>
    </w:p>
    <w:p w14:paraId="1E75B21A" w14:textId="77777777" w:rsidR="00811A3D" w:rsidRDefault="002C1BF2" w:rsidP="0083553A">
      <w:pPr>
        <w:pStyle w:val="ListParagraph"/>
        <w:ind w:left="0"/>
        <w:jc w:val="both"/>
        <w:rPr>
          <w:rFonts w:ascii="Arial" w:hAnsi="Arial"/>
          <w:sz w:val="22"/>
        </w:rPr>
      </w:pPr>
      <w:r>
        <w:rPr>
          <w:rFonts w:ascii="Arial" w:hAnsi="Arial"/>
          <w:sz w:val="22"/>
        </w:rPr>
        <w:t>SMA</w:t>
      </w:r>
      <w:r w:rsidR="00811A3D">
        <w:rPr>
          <w:rFonts w:ascii="Arial" w:hAnsi="Arial"/>
          <w:sz w:val="22"/>
        </w:rPr>
        <w:t xml:space="preserve"> shall be placed continuously, and is the surface.</w:t>
      </w:r>
    </w:p>
    <w:p w14:paraId="243E477E" w14:textId="77777777" w:rsidR="00811A3D" w:rsidRPr="00C35F49" w:rsidRDefault="00811A3D" w:rsidP="0083553A">
      <w:pPr>
        <w:pStyle w:val="ListParagraph"/>
        <w:ind w:left="360"/>
        <w:jc w:val="both"/>
        <w:rPr>
          <w:rFonts w:ascii="Arial" w:hAnsi="Arial"/>
          <w:sz w:val="22"/>
        </w:rPr>
      </w:pPr>
    </w:p>
    <w:p w14:paraId="04498185" w14:textId="77777777" w:rsidR="00811A3D" w:rsidRPr="006C0857" w:rsidRDefault="00811A3D" w:rsidP="00172E64">
      <w:pPr>
        <w:pStyle w:val="Heading6"/>
        <w:numPr>
          <w:ilvl w:val="5"/>
          <w:numId w:val="184"/>
        </w:numPr>
        <w:tabs>
          <w:tab w:val="left" w:pos="1800"/>
        </w:tabs>
        <w:ind w:left="1152"/>
        <w:jc w:val="both"/>
        <w:rPr>
          <w:b/>
        </w:rPr>
      </w:pPr>
      <w:r>
        <w:rPr>
          <w:b/>
        </w:rPr>
        <w:t>Conditions for Application</w:t>
      </w:r>
    </w:p>
    <w:p w14:paraId="12FA8F81" w14:textId="02E97688" w:rsidR="00811A3D" w:rsidRPr="005547C4" w:rsidRDefault="002C1BF2" w:rsidP="0083553A">
      <w:pPr>
        <w:jc w:val="both"/>
        <w:rPr>
          <w:rFonts w:ascii="Arial" w:hAnsi="Arial"/>
          <w:sz w:val="22"/>
        </w:rPr>
      </w:pPr>
      <w:r w:rsidRPr="005547C4">
        <w:rPr>
          <w:rFonts w:ascii="Arial" w:hAnsi="Arial"/>
          <w:sz w:val="22"/>
        </w:rPr>
        <w:t>R</w:t>
      </w:r>
      <w:r w:rsidR="00811A3D" w:rsidRPr="005547C4">
        <w:rPr>
          <w:rFonts w:ascii="Arial" w:hAnsi="Arial"/>
          <w:sz w:val="22"/>
        </w:rPr>
        <w:t>ecommended</w:t>
      </w:r>
      <w:r w:rsidR="005547C4" w:rsidRPr="005547C4">
        <w:rPr>
          <w:rFonts w:ascii="Arial" w:hAnsi="Arial"/>
          <w:sz w:val="22"/>
        </w:rPr>
        <w:t xml:space="preserve"> for all cases with reflective cracking</w:t>
      </w:r>
      <w:r w:rsidRPr="005547C4">
        <w:rPr>
          <w:rFonts w:ascii="Arial" w:hAnsi="Arial"/>
          <w:sz w:val="22"/>
        </w:rPr>
        <w:t>, provided sufficient ADT exists.</w:t>
      </w:r>
      <w:r w:rsidR="005547C4">
        <w:rPr>
          <w:rFonts w:ascii="Arial" w:hAnsi="Arial"/>
          <w:sz w:val="22"/>
        </w:rPr>
        <w:t xml:space="preserve">  Refer to </w:t>
      </w:r>
      <w:hyperlink w:anchor="_Specifying_Gap_Graded" w:history="1">
        <w:r w:rsidR="005547C4" w:rsidRPr="005547C4">
          <w:rPr>
            <w:rStyle w:val="Hyperlink"/>
            <w:rFonts w:ascii="Arial" w:hAnsi="Arial"/>
            <w:sz w:val="22"/>
          </w:rPr>
          <w:t xml:space="preserve">Specifying </w:t>
        </w:r>
        <w:r w:rsidR="00DB4495">
          <w:rPr>
            <w:rStyle w:val="Hyperlink"/>
            <w:rFonts w:ascii="Arial" w:hAnsi="Arial"/>
            <w:sz w:val="22"/>
          </w:rPr>
          <w:t>Gap</w:t>
        </w:r>
        <w:r w:rsidR="005547C4" w:rsidRPr="005547C4">
          <w:rPr>
            <w:rStyle w:val="Hyperlink"/>
            <w:rFonts w:ascii="Arial" w:hAnsi="Arial"/>
            <w:sz w:val="22"/>
          </w:rPr>
          <w:t xml:space="preserve"> Graded HMA Mixes</w:t>
        </w:r>
      </w:hyperlink>
      <w:r w:rsidR="005547C4">
        <w:rPr>
          <w:rFonts w:ascii="Arial" w:hAnsi="Arial"/>
          <w:sz w:val="22"/>
        </w:rPr>
        <w:t>.</w:t>
      </w:r>
    </w:p>
    <w:p w14:paraId="31600694" w14:textId="77777777" w:rsidR="00811A3D" w:rsidRDefault="00811A3D" w:rsidP="00811A3D">
      <w:pPr>
        <w:jc w:val="both"/>
        <w:rPr>
          <w:rFonts w:ascii="Arial" w:hAnsi="Arial"/>
          <w:sz w:val="22"/>
        </w:rPr>
      </w:pPr>
    </w:p>
    <w:p w14:paraId="4BE936E1" w14:textId="77777777" w:rsidR="00811A3D" w:rsidRPr="00190AE9" w:rsidRDefault="00811A3D" w:rsidP="00172E64">
      <w:pPr>
        <w:pStyle w:val="Heading6"/>
        <w:numPr>
          <w:ilvl w:val="5"/>
          <w:numId w:val="184"/>
        </w:numPr>
        <w:tabs>
          <w:tab w:val="left" w:pos="1800"/>
        </w:tabs>
        <w:ind w:left="1152"/>
        <w:rPr>
          <w:b/>
        </w:rPr>
      </w:pPr>
      <w:r w:rsidRPr="00190AE9">
        <w:rPr>
          <w:b/>
        </w:rPr>
        <w:t>Required Resurfacing</w:t>
      </w:r>
    </w:p>
    <w:p w14:paraId="4CEB2AC8" w14:textId="77777777" w:rsidR="00811A3D" w:rsidRPr="00190AE9" w:rsidRDefault="00811A3D" w:rsidP="00811A3D">
      <w:pPr>
        <w:jc w:val="both"/>
        <w:rPr>
          <w:rFonts w:ascii="Arial" w:hAnsi="Arial"/>
          <w:sz w:val="22"/>
        </w:rPr>
      </w:pPr>
      <w:r>
        <w:rPr>
          <w:rFonts w:ascii="Arial" w:hAnsi="Arial"/>
          <w:sz w:val="22"/>
        </w:rPr>
        <w:t>N</w:t>
      </w:r>
      <w:r w:rsidRPr="00190AE9">
        <w:rPr>
          <w:rFonts w:ascii="Arial" w:hAnsi="Arial"/>
          <w:sz w:val="22"/>
        </w:rPr>
        <w:t xml:space="preserve">A. </w:t>
      </w:r>
    </w:p>
    <w:p w14:paraId="6DA4BED1" w14:textId="77777777" w:rsidR="00BA5643" w:rsidRPr="00F47D9B" w:rsidRDefault="00BA5643" w:rsidP="00F47D9B">
      <w:pPr>
        <w:jc w:val="both"/>
        <w:rPr>
          <w:rFonts w:ascii="Arial" w:hAnsi="Arial"/>
          <w:sz w:val="22"/>
        </w:rPr>
      </w:pPr>
      <w:bookmarkStart w:id="440" w:name="_Application_of_Saw"/>
      <w:bookmarkStart w:id="441" w:name="_Saw_and_Seal"/>
      <w:bookmarkEnd w:id="440"/>
      <w:bookmarkEnd w:id="441"/>
    </w:p>
    <w:p w14:paraId="6439446C" w14:textId="77777777" w:rsidR="00BA5643" w:rsidRPr="00F47D9B" w:rsidRDefault="00BA5643" w:rsidP="00172E64">
      <w:pPr>
        <w:pStyle w:val="Heading5"/>
        <w:numPr>
          <w:ilvl w:val="4"/>
          <w:numId w:val="184"/>
        </w:numPr>
        <w:tabs>
          <w:tab w:val="left" w:pos="1800"/>
        </w:tabs>
        <w:ind w:left="1098" w:hanging="1098"/>
        <w:jc w:val="both"/>
      </w:pPr>
      <w:r w:rsidRPr="00F47D9B">
        <w:t xml:space="preserve">Application of </w:t>
      </w:r>
      <w:r w:rsidR="000E118B">
        <w:t>H</w:t>
      </w:r>
      <w:r w:rsidRPr="00F47D9B">
        <w:t xml:space="preserve">igh </w:t>
      </w:r>
      <w:r w:rsidR="000E118B">
        <w:t>E</w:t>
      </w:r>
      <w:r w:rsidRPr="00F47D9B">
        <w:t xml:space="preserve">lasticity </w:t>
      </w:r>
      <w:r w:rsidR="000E118B">
        <w:t>G</w:t>
      </w:r>
      <w:r w:rsidRPr="00F47D9B">
        <w:t xml:space="preserve">rade </w:t>
      </w:r>
      <w:r w:rsidR="000E118B">
        <w:t>B</w:t>
      </w:r>
      <w:r w:rsidRPr="00F47D9B">
        <w:t>inder</w:t>
      </w:r>
    </w:p>
    <w:p w14:paraId="0402BDAD" w14:textId="77777777" w:rsidR="00BA5643" w:rsidRPr="00F47D9B" w:rsidRDefault="00BA5643" w:rsidP="00F47D9B">
      <w:pPr>
        <w:pStyle w:val="ListParagraph"/>
        <w:ind w:left="0"/>
        <w:jc w:val="both"/>
        <w:rPr>
          <w:rFonts w:ascii="Arial" w:hAnsi="Arial"/>
          <w:sz w:val="22"/>
        </w:rPr>
      </w:pPr>
    </w:p>
    <w:p w14:paraId="78335289" w14:textId="77777777" w:rsidR="008E5961" w:rsidRPr="002C1BF2" w:rsidRDefault="008E5961" w:rsidP="00172E64">
      <w:pPr>
        <w:pStyle w:val="Heading6"/>
        <w:numPr>
          <w:ilvl w:val="5"/>
          <w:numId w:val="184"/>
        </w:numPr>
        <w:tabs>
          <w:tab w:val="left" w:pos="1800"/>
        </w:tabs>
        <w:ind w:left="1152"/>
        <w:jc w:val="both"/>
        <w:rPr>
          <w:b/>
        </w:rPr>
      </w:pPr>
      <w:r w:rsidRPr="002C1BF2">
        <w:rPr>
          <w:b/>
        </w:rPr>
        <w:t>Description</w:t>
      </w:r>
    </w:p>
    <w:p w14:paraId="63F256EA" w14:textId="77777777" w:rsidR="008E5961" w:rsidRPr="00F47D9B" w:rsidRDefault="008E5961" w:rsidP="008E5961">
      <w:pPr>
        <w:pStyle w:val="ListParagraph"/>
        <w:ind w:left="0"/>
        <w:jc w:val="both"/>
        <w:rPr>
          <w:rFonts w:ascii="Arial" w:hAnsi="Arial"/>
          <w:sz w:val="22"/>
        </w:rPr>
      </w:pPr>
      <w:r w:rsidRPr="00F47D9B">
        <w:rPr>
          <w:rFonts w:ascii="Arial" w:hAnsi="Arial"/>
          <w:sz w:val="22"/>
        </w:rPr>
        <w:t xml:space="preserve">This technique could be used to mitigate reflective cracking in semi-rigid pavements. </w:t>
      </w:r>
    </w:p>
    <w:p w14:paraId="62FD46AB" w14:textId="77777777" w:rsidR="008E5961" w:rsidRPr="00F47D9B" w:rsidRDefault="008E5961" w:rsidP="008E5961">
      <w:pPr>
        <w:pStyle w:val="ListParagraph"/>
        <w:ind w:left="0"/>
        <w:jc w:val="both"/>
        <w:rPr>
          <w:rFonts w:ascii="Arial" w:hAnsi="Arial"/>
          <w:sz w:val="22"/>
        </w:rPr>
      </w:pPr>
    </w:p>
    <w:p w14:paraId="298CEB09" w14:textId="618A7FC8" w:rsidR="008E5961" w:rsidRPr="00F47D9B" w:rsidRDefault="008E5961" w:rsidP="008E5961">
      <w:pPr>
        <w:pStyle w:val="ListParagraph"/>
        <w:ind w:left="0"/>
        <w:jc w:val="both"/>
        <w:rPr>
          <w:rFonts w:ascii="Arial" w:hAnsi="Arial"/>
          <w:sz w:val="22"/>
        </w:rPr>
      </w:pPr>
      <w:r w:rsidRPr="00F47D9B">
        <w:rPr>
          <w:rFonts w:ascii="Arial" w:hAnsi="Arial"/>
          <w:sz w:val="22"/>
        </w:rPr>
        <w:t xml:space="preserve">Usage of high elasticity grade binder with low nominal maximum aggregate size (NMAS) could significantly delay the reflective crack propagation rate in semi-rigid pavements. </w:t>
      </w:r>
      <w:r w:rsidR="00F33714">
        <w:rPr>
          <w:rFonts w:ascii="Arial" w:hAnsi="Arial"/>
          <w:sz w:val="22"/>
        </w:rPr>
        <w:t xml:space="preserve">Refer to </w:t>
      </w:r>
      <w:hyperlink w:anchor="_Gap_Graded_Stone" w:history="1">
        <w:r w:rsidR="00DB4495">
          <w:rPr>
            <w:rStyle w:val="Hyperlink"/>
            <w:rFonts w:ascii="Arial" w:hAnsi="Arial"/>
            <w:sz w:val="22"/>
          </w:rPr>
          <w:t>Gap-</w:t>
        </w:r>
        <w:r w:rsidR="0067267A">
          <w:rPr>
            <w:rStyle w:val="Hyperlink"/>
            <w:rFonts w:ascii="Arial" w:hAnsi="Arial"/>
            <w:sz w:val="22"/>
          </w:rPr>
          <w:t>G</w:t>
        </w:r>
        <w:r w:rsidR="00DB4495">
          <w:rPr>
            <w:rStyle w:val="Hyperlink"/>
            <w:rFonts w:ascii="Arial" w:hAnsi="Arial"/>
            <w:sz w:val="22"/>
          </w:rPr>
          <w:t>raded</w:t>
        </w:r>
        <w:r w:rsidR="00F33714">
          <w:rPr>
            <w:rStyle w:val="Hyperlink"/>
            <w:rFonts w:ascii="Arial" w:hAnsi="Arial"/>
            <w:sz w:val="22"/>
          </w:rPr>
          <w:t xml:space="preserve"> Stone Matrix Asphalt (SMA) Mixtures</w:t>
        </w:r>
      </w:hyperlink>
      <w:r w:rsidR="00F33714">
        <w:rPr>
          <w:rFonts w:ascii="Arial" w:hAnsi="Arial"/>
          <w:sz w:val="22"/>
        </w:rPr>
        <w:t xml:space="preserve">.  </w:t>
      </w:r>
      <w:r w:rsidRPr="00F47D9B">
        <w:rPr>
          <w:rFonts w:ascii="Arial" w:hAnsi="Arial"/>
          <w:sz w:val="22"/>
        </w:rPr>
        <w:t>In general, a cement-treated base (base modified temporarily with cement to support construction activity) tends to produce better resistance to transverse cracking when compared to a cement-stabilized base (base modified permanently with cement)</w:t>
      </w:r>
      <w:r w:rsidR="0083553A">
        <w:rPr>
          <w:rFonts w:ascii="Arial" w:hAnsi="Arial"/>
          <w:sz w:val="22"/>
        </w:rPr>
        <w:t>.</w:t>
      </w:r>
    </w:p>
    <w:p w14:paraId="1E2174BD" w14:textId="77777777" w:rsidR="008E5961" w:rsidRPr="002C1BF2" w:rsidRDefault="008E5961" w:rsidP="008E5961">
      <w:pPr>
        <w:pStyle w:val="ListParagraph"/>
        <w:ind w:left="0"/>
        <w:jc w:val="both"/>
        <w:rPr>
          <w:rFonts w:ascii="Arial" w:hAnsi="Arial"/>
          <w:sz w:val="22"/>
        </w:rPr>
      </w:pPr>
    </w:p>
    <w:p w14:paraId="0488408B" w14:textId="77777777" w:rsidR="008E5961" w:rsidRPr="006C0857" w:rsidRDefault="008E5961" w:rsidP="00172E64">
      <w:pPr>
        <w:pStyle w:val="Heading6"/>
        <w:numPr>
          <w:ilvl w:val="5"/>
          <w:numId w:val="184"/>
        </w:numPr>
        <w:tabs>
          <w:tab w:val="left" w:pos="1800"/>
        </w:tabs>
        <w:ind w:left="1152"/>
        <w:rPr>
          <w:b/>
        </w:rPr>
      </w:pPr>
      <w:r>
        <w:rPr>
          <w:b/>
        </w:rPr>
        <w:t>Placement Location</w:t>
      </w:r>
    </w:p>
    <w:p w14:paraId="7A20CBB7" w14:textId="77777777" w:rsidR="00F33714" w:rsidRDefault="000E118B" w:rsidP="00F33714">
      <w:pPr>
        <w:pStyle w:val="ListParagraph"/>
        <w:ind w:left="0"/>
        <w:jc w:val="both"/>
        <w:rPr>
          <w:rFonts w:ascii="Arial" w:hAnsi="Arial"/>
          <w:sz w:val="22"/>
        </w:rPr>
      </w:pPr>
      <w:r>
        <w:rPr>
          <w:rFonts w:ascii="Arial" w:hAnsi="Arial"/>
          <w:sz w:val="22"/>
        </w:rPr>
        <w:t>High Elasticity Grade Binder</w:t>
      </w:r>
      <w:r w:rsidR="00F33714">
        <w:rPr>
          <w:rFonts w:ascii="Arial" w:hAnsi="Arial"/>
          <w:sz w:val="22"/>
        </w:rPr>
        <w:t xml:space="preserve"> shall be placed continuously, and is the surface.</w:t>
      </w:r>
    </w:p>
    <w:p w14:paraId="5527E737" w14:textId="77777777" w:rsidR="008E5961" w:rsidRDefault="0043017B" w:rsidP="008E5961">
      <w:pPr>
        <w:pStyle w:val="ListParagraph"/>
        <w:ind w:left="0"/>
        <w:jc w:val="both"/>
        <w:rPr>
          <w:rFonts w:ascii="Arial" w:hAnsi="Arial"/>
          <w:sz w:val="22"/>
        </w:rPr>
      </w:pPr>
      <w:r>
        <w:rPr>
          <w:rFonts w:ascii="Arial" w:hAnsi="Arial"/>
          <w:sz w:val="22"/>
        </w:rPr>
        <w:t>Surface Layer</w:t>
      </w:r>
    </w:p>
    <w:p w14:paraId="06BC12EA" w14:textId="77777777" w:rsidR="008E5961" w:rsidRPr="00C35F49" w:rsidRDefault="008E5961" w:rsidP="008E5961">
      <w:pPr>
        <w:pStyle w:val="ListParagraph"/>
        <w:ind w:left="360"/>
        <w:jc w:val="both"/>
        <w:rPr>
          <w:rFonts w:ascii="Arial" w:hAnsi="Arial"/>
          <w:sz w:val="22"/>
        </w:rPr>
      </w:pPr>
    </w:p>
    <w:p w14:paraId="782E5599" w14:textId="77777777" w:rsidR="008E5961" w:rsidRPr="006C0857" w:rsidRDefault="008E5961" w:rsidP="00172E64">
      <w:pPr>
        <w:pStyle w:val="Heading6"/>
        <w:numPr>
          <w:ilvl w:val="5"/>
          <w:numId w:val="184"/>
        </w:numPr>
        <w:tabs>
          <w:tab w:val="left" w:pos="1800"/>
        </w:tabs>
        <w:ind w:left="1152"/>
        <w:rPr>
          <w:b/>
        </w:rPr>
      </w:pPr>
      <w:r>
        <w:rPr>
          <w:b/>
        </w:rPr>
        <w:t>Conditions for Application</w:t>
      </w:r>
    </w:p>
    <w:p w14:paraId="5393719C" w14:textId="0F52D964" w:rsidR="0083553A" w:rsidRDefault="008E5961" w:rsidP="0067267A">
      <w:pPr>
        <w:jc w:val="both"/>
        <w:rPr>
          <w:rFonts w:ascii="Arial" w:hAnsi="Arial"/>
          <w:sz w:val="22"/>
        </w:rPr>
      </w:pPr>
      <w:r w:rsidRPr="0083553A">
        <w:rPr>
          <w:rFonts w:ascii="Arial" w:hAnsi="Arial"/>
          <w:sz w:val="22"/>
        </w:rPr>
        <w:t>Recommended for all cases with reflective cracking, provided sufficient ADT exists</w:t>
      </w:r>
      <w:r w:rsidR="0083553A">
        <w:rPr>
          <w:rFonts w:ascii="Arial" w:hAnsi="Arial"/>
          <w:sz w:val="22"/>
        </w:rPr>
        <w:t>:</w:t>
      </w:r>
      <w:r w:rsidRPr="0083553A">
        <w:rPr>
          <w:rFonts w:ascii="Arial" w:hAnsi="Arial"/>
          <w:sz w:val="22"/>
        </w:rPr>
        <w:t xml:space="preserve">  </w:t>
      </w:r>
    </w:p>
    <w:p w14:paraId="2496D06F" w14:textId="3A440D65" w:rsidR="001A15B9" w:rsidRPr="0083553A" w:rsidRDefault="008E5961" w:rsidP="00172E64">
      <w:pPr>
        <w:pStyle w:val="ListParagraph"/>
        <w:numPr>
          <w:ilvl w:val="1"/>
          <w:numId w:val="87"/>
        </w:numPr>
        <w:ind w:left="720" w:hanging="720"/>
        <w:jc w:val="both"/>
        <w:rPr>
          <w:rFonts w:ascii="Arial" w:hAnsi="Arial"/>
          <w:sz w:val="22"/>
        </w:rPr>
      </w:pPr>
      <w:r w:rsidRPr="0083553A">
        <w:rPr>
          <w:rFonts w:ascii="Arial" w:hAnsi="Arial"/>
          <w:i/>
          <w:sz w:val="22"/>
          <w:u w:val="single"/>
        </w:rPr>
        <w:t>On concrete pavements:</w:t>
      </w:r>
      <w:r w:rsidRPr="0083553A">
        <w:rPr>
          <w:rFonts w:ascii="Arial" w:hAnsi="Arial"/>
          <w:sz w:val="22"/>
        </w:rPr>
        <w:t xml:space="preserve"> </w:t>
      </w:r>
      <w:r w:rsidR="0083553A">
        <w:rPr>
          <w:rFonts w:ascii="Arial" w:hAnsi="Arial"/>
          <w:sz w:val="22"/>
        </w:rPr>
        <w:t xml:space="preserve"> </w:t>
      </w:r>
      <w:r w:rsidR="0043017B" w:rsidRPr="0083553A">
        <w:rPr>
          <w:rFonts w:ascii="Arial" w:hAnsi="Arial"/>
          <w:sz w:val="22"/>
        </w:rPr>
        <w:t>NA</w:t>
      </w:r>
    </w:p>
    <w:p w14:paraId="48C703EC" w14:textId="77777777" w:rsidR="001A15B9" w:rsidRDefault="008E5961" w:rsidP="00172E64">
      <w:pPr>
        <w:pStyle w:val="ListParagraph"/>
        <w:numPr>
          <w:ilvl w:val="1"/>
          <w:numId w:val="87"/>
        </w:numPr>
        <w:ind w:left="720" w:hanging="720"/>
        <w:jc w:val="both"/>
        <w:rPr>
          <w:rFonts w:ascii="Arial" w:hAnsi="Arial"/>
          <w:sz w:val="22"/>
        </w:rPr>
      </w:pPr>
      <w:r w:rsidRPr="00F47D9B">
        <w:rPr>
          <w:rFonts w:ascii="Arial" w:hAnsi="Arial"/>
          <w:i/>
          <w:sz w:val="22"/>
          <w:u w:val="single"/>
        </w:rPr>
        <w:t>On composite pavements:</w:t>
      </w:r>
      <w:r w:rsidRPr="00F47D9B">
        <w:rPr>
          <w:rFonts w:ascii="Arial" w:hAnsi="Arial"/>
          <w:sz w:val="22"/>
        </w:rPr>
        <w:t xml:space="preserve">  </w:t>
      </w:r>
      <w:r w:rsidR="0043017B">
        <w:rPr>
          <w:rFonts w:ascii="Arial" w:hAnsi="Arial"/>
          <w:sz w:val="22"/>
        </w:rPr>
        <w:t>NA</w:t>
      </w:r>
    </w:p>
    <w:p w14:paraId="15EE4729" w14:textId="5FC2AE09" w:rsidR="001A15B9" w:rsidRDefault="008E5961" w:rsidP="00172E64">
      <w:pPr>
        <w:pStyle w:val="ListParagraph"/>
        <w:numPr>
          <w:ilvl w:val="1"/>
          <w:numId w:val="87"/>
        </w:numPr>
        <w:ind w:left="720" w:hanging="720"/>
        <w:jc w:val="both"/>
        <w:rPr>
          <w:rFonts w:ascii="Arial" w:hAnsi="Arial"/>
          <w:sz w:val="22"/>
        </w:rPr>
      </w:pPr>
      <w:r w:rsidRPr="00F47D9B">
        <w:rPr>
          <w:rFonts w:ascii="Arial" w:hAnsi="Arial"/>
          <w:i/>
          <w:sz w:val="22"/>
          <w:u w:val="single"/>
        </w:rPr>
        <w:t>On flexible pavements (with cement-treated bases):</w:t>
      </w:r>
      <w:r w:rsidR="0043017B">
        <w:rPr>
          <w:rFonts w:ascii="Arial" w:hAnsi="Arial"/>
          <w:sz w:val="22"/>
        </w:rPr>
        <w:t xml:space="preserve"> </w:t>
      </w:r>
      <w:r w:rsidR="0083553A">
        <w:rPr>
          <w:rFonts w:ascii="Arial" w:hAnsi="Arial"/>
          <w:sz w:val="22"/>
        </w:rPr>
        <w:t xml:space="preserve"> </w:t>
      </w:r>
      <w:r w:rsidR="0043017B">
        <w:rPr>
          <w:rFonts w:ascii="Arial" w:hAnsi="Arial"/>
          <w:sz w:val="22"/>
        </w:rPr>
        <w:t>Recommended</w:t>
      </w:r>
    </w:p>
    <w:p w14:paraId="712C9BE0" w14:textId="77777777" w:rsidR="008E5961" w:rsidRDefault="008E5961" w:rsidP="008E5961">
      <w:pPr>
        <w:jc w:val="both"/>
        <w:rPr>
          <w:rFonts w:ascii="Arial" w:hAnsi="Arial"/>
          <w:sz w:val="22"/>
        </w:rPr>
      </w:pPr>
    </w:p>
    <w:p w14:paraId="5764D21D" w14:textId="77777777" w:rsidR="008E5961" w:rsidRPr="00190AE9" w:rsidRDefault="008E5961" w:rsidP="00172E64">
      <w:pPr>
        <w:pStyle w:val="Heading6"/>
        <w:numPr>
          <w:ilvl w:val="5"/>
          <w:numId w:val="184"/>
        </w:numPr>
        <w:tabs>
          <w:tab w:val="left" w:pos="1800"/>
        </w:tabs>
        <w:ind w:left="1152"/>
        <w:rPr>
          <w:b/>
        </w:rPr>
      </w:pPr>
      <w:r w:rsidRPr="00190AE9">
        <w:rPr>
          <w:b/>
        </w:rPr>
        <w:t>Required Resurfacing</w:t>
      </w:r>
    </w:p>
    <w:p w14:paraId="51DD988C" w14:textId="77777777" w:rsidR="008E5961" w:rsidRDefault="0043017B" w:rsidP="008E5961">
      <w:pPr>
        <w:jc w:val="both"/>
        <w:rPr>
          <w:rFonts w:ascii="Arial" w:hAnsi="Arial"/>
          <w:sz w:val="22"/>
        </w:rPr>
      </w:pPr>
      <w:r>
        <w:rPr>
          <w:rFonts w:ascii="Arial" w:hAnsi="Arial"/>
          <w:sz w:val="22"/>
        </w:rPr>
        <w:t>Thickness of the overlay as determined by design.</w:t>
      </w:r>
    </w:p>
    <w:p w14:paraId="023A230B" w14:textId="77777777" w:rsidR="007C6265" w:rsidRDefault="007C6265" w:rsidP="008E5961">
      <w:pPr>
        <w:jc w:val="both"/>
        <w:rPr>
          <w:rFonts w:ascii="Arial" w:hAnsi="Arial"/>
          <w:sz w:val="22"/>
        </w:rPr>
      </w:pPr>
    </w:p>
    <w:p w14:paraId="3582499F" w14:textId="77777777" w:rsidR="007C6265" w:rsidRPr="00162BFE" w:rsidRDefault="007C6265" w:rsidP="007C6265">
      <w:pPr>
        <w:pStyle w:val="Heading5"/>
        <w:numPr>
          <w:ilvl w:val="4"/>
          <w:numId w:val="184"/>
        </w:numPr>
        <w:tabs>
          <w:tab w:val="clear" w:pos="1080"/>
          <w:tab w:val="left" w:pos="1800"/>
        </w:tabs>
        <w:ind w:left="0" w:firstLine="0"/>
        <w:jc w:val="both"/>
      </w:pPr>
      <w:r w:rsidRPr="00162BFE">
        <w:t>Ultrathin Bonded Wearing Course</w:t>
      </w:r>
    </w:p>
    <w:p w14:paraId="624F2F01" w14:textId="77777777" w:rsidR="007C6265" w:rsidRPr="00162BFE" w:rsidRDefault="007C6265" w:rsidP="007C6265">
      <w:pPr>
        <w:jc w:val="both"/>
        <w:rPr>
          <w:rFonts w:ascii="Arial" w:hAnsi="Arial"/>
          <w:sz w:val="22"/>
        </w:rPr>
      </w:pPr>
    </w:p>
    <w:p w14:paraId="12CB15D4" w14:textId="77777777" w:rsidR="007C6265" w:rsidRPr="00162BFE" w:rsidRDefault="007C6265" w:rsidP="007C6265">
      <w:pPr>
        <w:pStyle w:val="Heading6"/>
        <w:numPr>
          <w:ilvl w:val="5"/>
          <w:numId w:val="184"/>
        </w:numPr>
        <w:tabs>
          <w:tab w:val="left" w:pos="1800"/>
        </w:tabs>
        <w:ind w:left="1152"/>
        <w:jc w:val="both"/>
        <w:rPr>
          <w:b/>
        </w:rPr>
      </w:pPr>
      <w:r w:rsidRPr="00162BFE">
        <w:rPr>
          <w:b/>
        </w:rPr>
        <w:t>Description</w:t>
      </w:r>
    </w:p>
    <w:p w14:paraId="14111F0A" w14:textId="77777777" w:rsidR="007C6265" w:rsidRDefault="007C6265" w:rsidP="007C6265">
      <w:pPr>
        <w:jc w:val="both"/>
        <w:rPr>
          <w:rFonts w:ascii="Arial" w:hAnsi="Arial"/>
          <w:sz w:val="22"/>
        </w:rPr>
      </w:pPr>
      <w:r>
        <w:rPr>
          <w:rFonts w:ascii="Arial" w:hAnsi="Arial"/>
          <w:sz w:val="22"/>
        </w:rPr>
        <w:t xml:space="preserve">Refer to the Ultrathin Bonded Wearing Course section in </w:t>
      </w:r>
      <w:hyperlink w:anchor="_HMA_Overlay:" w:history="1">
        <w:r w:rsidRPr="00894571">
          <w:rPr>
            <w:rStyle w:val="Hyperlink"/>
            <w:rFonts w:ascii="Arial" w:hAnsi="Arial"/>
            <w:sz w:val="22"/>
          </w:rPr>
          <w:t>HMA Overlay</w:t>
        </w:r>
      </w:hyperlink>
      <w:r w:rsidRPr="0067267A">
        <w:rPr>
          <w:rStyle w:val="Hyperlink"/>
          <w:color w:val="auto"/>
          <w:u w:val="none"/>
        </w:rPr>
        <w:t>.</w:t>
      </w:r>
    </w:p>
    <w:p w14:paraId="6FE07EDF" w14:textId="77777777" w:rsidR="007C6265" w:rsidRDefault="007C6265" w:rsidP="007C6265">
      <w:pPr>
        <w:jc w:val="both"/>
        <w:rPr>
          <w:rFonts w:ascii="Arial" w:hAnsi="Arial"/>
          <w:sz w:val="22"/>
        </w:rPr>
      </w:pPr>
    </w:p>
    <w:p w14:paraId="127032B7" w14:textId="77777777" w:rsidR="007C6265" w:rsidRPr="006C0857" w:rsidRDefault="007C6265" w:rsidP="007C6265">
      <w:pPr>
        <w:pStyle w:val="Heading6"/>
        <w:numPr>
          <w:ilvl w:val="5"/>
          <w:numId w:val="184"/>
        </w:numPr>
        <w:tabs>
          <w:tab w:val="left" w:pos="1800"/>
        </w:tabs>
        <w:ind w:left="1152"/>
        <w:rPr>
          <w:b/>
        </w:rPr>
      </w:pPr>
      <w:r>
        <w:rPr>
          <w:b/>
        </w:rPr>
        <w:t>Placement Location</w:t>
      </w:r>
    </w:p>
    <w:p w14:paraId="75565A23" w14:textId="77777777" w:rsidR="007C6265" w:rsidRDefault="007C6265" w:rsidP="007C6265">
      <w:pPr>
        <w:pStyle w:val="ListParagraph"/>
        <w:ind w:left="0"/>
        <w:jc w:val="both"/>
        <w:rPr>
          <w:rFonts w:ascii="Arial" w:hAnsi="Arial"/>
          <w:sz w:val="22"/>
        </w:rPr>
      </w:pPr>
      <w:r>
        <w:rPr>
          <w:rFonts w:ascii="Arial" w:hAnsi="Arial"/>
          <w:sz w:val="22"/>
        </w:rPr>
        <w:t>Ultrathin Bonded Wearing Course shall be placed continuously, and is the surface.</w:t>
      </w:r>
    </w:p>
    <w:p w14:paraId="0CCCF1BF" w14:textId="77777777" w:rsidR="007C6265" w:rsidRPr="00C35F49" w:rsidRDefault="007C6265" w:rsidP="007C6265">
      <w:pPr>
        <w:pStyle w:val="ListParagraph"/>
        <w:ind w:left="360"/>
        <w:jc w:val="both"/>
        <w:rPr>
          <w:rFonts w:ascii="Arial" w:hAnsi="Arial"/>
          <w:sz w:val="22"/>
        </w:rPr>
      </w:pPr>
    </w:p>
    <w:p w14:paraId="2D62D7C6" w14:textId="77777777" w:rsidR="007C6265" w:rsidRPr="006C0857" w:rsidRDefault="007C6265" w:rsidP="007C6265">
      <w:pPr>
        <w:pStyle w:val="Heading6"/>
        <w:numPr>
          <w:ilvl w:val="5"/>
          <w:numId w:val="184"/>
        </w:numPr>
        <w:tabs>
          <w:tab w:val="left" w:pos="1800"/>
        </w:tabs>
        <w:ind w:left="1152"/>
        <w:rPr>
          <w:b/>
        </w:rPr>
      </w:pPr>
      <w:r>
        <w:rPr>
          <w:b/>
        </w:rPr>
        <w:t>Conditions for Application</w:t>
      </w:r>
    </w:p>
    <w:p w14:paraId="43FC80ED" w14:textId="77777777" w:rsidR="007C6265" w:rsidRDefault="007C6265" w:rsidP="007C6265">
      <w:pPr>
        <w:pStyle w:val="ListParagraph"/>
        <w:numPr>
          <w:ilvl w:val="1"/>
          <w:numId w:val="87"/>
        </w:numPr>
        <w:ind w:left="720" w:hanging="720"/>
        <w:jc w:val="both"/>
        <w:rPr>
          <w:rFonts w:ascii="Arial" w:hAnsi="Arial"/>
          <w:sz w:val="22"/>
        </w:rPr>
      </w:pPr>
      <w:r w:rsidRPr="00544B36">
        <w:rPr>
          <w:rFonts w:ascii="Arial" w:hAnsi="Arial"/>
          <w:i/>
          <w:sz w:val="22"/>
          <w:u w:val="single"/>
        </w:rPr>
        <w:t>On concrete pavements:</w:t>
      </w:r>
      <w:r w:rsidRPr="00544B36">
        <w:rPr>
          <w:rFonts w:ascii="Arial" w:hAnsi="Arial"/>
          <w:sz w:val="22"/>
        </w:rPr>
        <w:t xml:space="preserve"> </w:t>
      </w:r>
      <w:r>
        <w:rPr>
          <w:rFonts w:ascii="Arial" w:hAnsi="Arial"/>
          <w:sz w:val="22"/>
        </w:rPr>
        <w:t xml:space="preserve"> </w:t>
      </w:r>
      <w:r w:rsidRPr="00544B36">
        <w:rPr>
          <w:rFonts w:ascii="Arial" w:hAnsi="Arial"/>
          <w:sz w:val="22"/>
        </w:rPr>
        <w:t>Not recommended</w:t>
      </w:r>
    </w:p>
    <w:p w14:paraId="48EACE34" w14:textId="77777777" w:rsidR="007C6265" w:rsidRDefault="007C6265" w:rsidP="007C6265">
      <w:pPr>
        <w:pStyle w:val="ListParagraph"/>
        <w:numPr>
          <w:ilvl w:val="1"/>
          <w:numId w:val="87"/>
        </w:numPr>
        <w:ind w:left="720" w:hanging="720"/>
        <w:jc w:val="both"/>
        <w:rPr>
          <w:rFonts w:ascii="Arial" w:hAnsi="Arial"/>
          <w:sz w:val="22"/>
        </w:rPr>
      </w:pPr>
      <w:r w:rsidRPr="00544B36">
        <w:rPr>
          <w:rFonts w:ascii="Arial" w:hAnsi="Arial"/>
          <w:i/>
          <w:sz w:val="22"/>
          <w:u w:val="single"/>
        </w:rPr>
        <w:t>On composite pavements:</w:t>
      </w:r>
      <w:r w:rsidRPr="00544B36">
        <w:rPr>
          <w:rFonts w:ascii="Arial" w:hAnsi="Arial"/>
          <w:sz w:val="22"/>
        </w:rPr>
        <w:t xml:space="preserve">  </w:t>
      </w:r>
      <w:r>
        <w:rPr>
          <w:rFonts w:ascii="Arial" w:hAnsi="Arial"/>
          <w:sz w:val="22"/>
        </w:rPr>
        <w:t>R</w:t>
      </w:r>
      <w:r w:rsidRPr="00544B36">
        <w:rPr>
          <w:rFonts w:ascii="Arial" w:hAnsi="Arial"/>
          <w:sz w:val="22"/>
        </w:rPr>
        <w:t>ecommended</w:t>
      </w:r>
    </w:p>
    <w:p w14:paraId="72F56D04" w14:textId="77777777" w:rsidR="007C6265" w:rsidRDefault="007C6265" w:rsidP="007C6265">
      <w:pPr>
        <w:pStyle w:val="ListParagraph"/>
        <w:numPr>
          <w:ilvl w:val="1"/>
          <w:numId w:val="87"/>
        </w:numPr>
        <w:ind w:left="720" w:hanging="720"/>
        <w:jc w:val="both"/>
        <w:rPr>
          <w:rFonts w:ascii="Arial" w:hAnsi="Arial"/>
          <w:sz w:val="22"/>
        </w:rPr>
      </w:pPr>
      <w:r w:rsidRPr="001A604B">
        <w:rPr>
          <w:rFonts w:ascii="Arial" w:hAnsi="Arial"/>
          <w:i/>
          <w:sz w:val="22"/>
          <w:u w:val="single"/>
        </w:rPr>
        <w:t>On flexible pavements (with cement-treated bases):</w:t>
      </w:r>
      <w:r w:rsidRPr="001A604B">
        <w:rPr>
          <w:rFonts w:ascii="Arial" w:hAnsi="Arial"/>
          <w:sz w:val="22"/>
        </w:rPr>
        <w:t xml:space="preserve"> </w:t>
      </w:r>
      <w:r>
        <w:rPr>
          <w:rFonts w:ascii="Arial" w:hAnsi="Arial"/>
          <w:sz w:val="22"/>
        </w:rPr>
        <w:t xml:space="preserve"> R</w:t>
      </w:r>
      <w:r w:rsidRPr="00544B36">
        <w:rPr>
          <w:rFonts w:ascii="Arial" w:hAnsi="Arial"/>
          <w:sz w:val="22"/>
        </w:rPr>
        <w:t>ecommended</w:t>
      </w:r>
    </w:p>
    <w:p w14:paraId="4C642146" w14:textId="77777777" w:rsidR="007C6265" w:rsidRDefault="007C6265" w:rsidP="007C6265">
      <w:pPr>
        <w:jc w:val="both"/>
        <w:rPr>
          <w:rFonts w:ascii="Arial" w:hAnsi="Arial"/>
          <w:sz w:val="22"/>
        </w:rPr>
      </w:pPr>
    </w:p>
    <w:p w14:paraId="385D46C8" w14:textId="77777777" w:rsidR="007C6265" w:rsidRPr="00190AE9" w:rsidRDefault="007C6265" w:rsidP="007C6265">
      <w:pPr>
        <w:pStyle w:val="Heading6"/>
        <w:numPr>
          <w:ilvl w:val="5"/>
          <w:numId w:val="184"/>
        </w:numPr>
        <w:tabs>
          <w:tab w:val="left" w:pos="1800"/>
        </w:tabs>
        <w:ind w:left="1152"/>
        <w:rPr>
          <w:b/>
        </w:rPr>
      </w:pPr>
      <w:r w:rsidRPr="00190AE9">
        <w:rPr>
          <w:b/>
        </w:rPr>
        <w:t>Required Resurfacing</w:t>
      </w:r>
    </w:p>
    <w:p w14:paraId="6D714404" w14:textId="77777777" w:rsidR="007C6265" w:rsidRPr="00190AE9" w:rsidRDefault="007C6265" w:rsidP="007C6265">
      <w:pPr>
        <w:jc w:val="both"/>
        <w:rPr>
          <w:rFonts w:ascii="Arial" w:hAnsi="Arial"/>
          <w:sz w:val="22"/>
        </w:rPr>
      </w:pPr>
      <w:r>
        <w:rPr>
          <w:rFonts w:ascii="Arial" w:hAnsi="Arial"/>
          <w:sz w:val="22"/>
        </w:rPr>
        <w:t>N</w:t>
      </w:r>
      <w:r w:rsidRPr="00190AE9">
        <w:rPr>
          <w:rFonts w:ascii="Arial" w:hAnsi="Arial"/>
          <w:sz w:val="22"/>
        </w:rPr>
        <w:t xml:space="preserve">A. </w:t>
      </w:r>
    </w:p>
    <w:p w14:paraId="58D9C5B3" w14:textId="77777777" w:rsidR="007C6265" w:rsidRPr="00190AE9" w:rsidRDefault="007C6265" w:rsidP="008E5961">
      <w:pPr>
        <w:jc w:val="both"/>
        <w:rPr>
          <w:rFonts w:ascii="Arial" w:hAnsi="Arial"/>
          <w:sz w:val="22"/>
        </w:rPr>
      </w:pPr>
    </w:p>
    <w:p w14:paraId="787D174F" w14:textId="5402EDD6" w:rsidR="00BA5643" w:rsidRPr="00F47D9B" w:rsidRDefault="00BA5643" w:rsidP="00172E64">
      <w:pPr>
        <w:pStyle w:val="Heading4"/>
        <w:numPr>
          <w:ilvl w:val="3"/>
          <w:numId w:val="184"/>
        </w:numPr>
        <w:ind w:left="864"/>
        <w:jc w:val="both"/>
      </w:pPr>
      <w:bookmarkStart w:id="442" w:name="_Toc364322326"/>
      <w:r w:rsidRPr="00F47D9B">
        <w:t>Minimum HMA Overlay Thickness on Rigid Pavement</w:t>
      </w:r>
      <w:bookmarkEnd w:id="442"/>
      <w:r w:rsidRPr="00F47D9B">
        <w:t xml:space="preserve"> </w:t>
      </w:r>
    </w:p>
    <w:p w14:paraId="3D0940AC" w14:textId="7457343B" w:rsidR="00BA5643" w:rsidRDefault="00BA5643" w:rsidP="0067267A">
      <w:pPr>
        <w:pStyle w:val="BodyText"/>
        <w:jc w:val="both"/>
      </w:pPr>
      <w:r>
        <w:t>Four inches is the minimum thickness for a plain HMA overlay on bare jointed concrete pavement, without the use of any other material to limit reflective cracking. CRCP pavements can have a 3</w:t>
      </w:r>
      <w:r w:rsidR="00353543">
        <w:t xml:space="preserve">" </w:t>
      </w:r>
      <w:r>
        <w:t>overlay.</w:t>
      </w:r>
    </w:p>
    <w:p w14:paraId="2702DED4" w14:textId="77777777" w:rsidR="00B323FD" w:rsidRPr="00F47D9B" w:rsidRDefault="00B323FD" w:rsidP="00172E64">
      <w:pPr>
        <w:pStyle w:val="Heading3"/>
        <w:numPr>
          <w:ilvl w:val="2"/>
          <w:numId w:val="184"/>
        </w:numPr>
        <w:tabs>
          <w:tab w:val="left" w:pos="1440"/>
        </w:tabs>
        <w:ind w:hanging="1980"/>
        <w:jc w:val="both"/>
      </w:pPr>
      <w:r>
        <w:t>GAB vs. Capping Borrow</w:t>
      </w:r>
      <w:r w:rsidRPr="00F47D9B">
        <w:t xml:space="preserve"> </w:t>
      </w:r>
    </w:p>
    <w:p w14:paraId="7620AF3A" w14:textId="77777777" w:rsidR="00B323FD" w:rsidRDefault="00B323FD" w:rsidP="0067267A">
      <w:pPr>
        <w:pStyle w:val="BodyText"/>
        <w:jc w:val="both"/>
      </w:pPr>
      <w:r>
        <w:t>In general, Graded Aggregate Base is the preferred base type.  However, Capping Borrow should be strongly considered in southern Maryland on either side of the Chesapeake: areas where sandy material is common and GAB would have to be shipped long distances.  For these areas, consult with the District to determine their preference.</w:t>
      </w:r>
    </w:p>
    <w:p w14:paraId="5176DF49" w14:textId="748860CF" w:rsidR="005B32E5" w:rsidRDefault="005B32E5" w:rsidP="00172E64">
      <w:pPr>
        <w:pStyle w:val="Heading3"/>
        <w:numPr>
          <w:ilvl w:val="2"/>
          <w:numId w:val="184"/>
        </w:numPr>
        <w:tabs>
          <w:tab w:val="left" w:pos="1440"/>
        </w:tabs>
        <w:ind w:hanging="1980"/>
        <w:jc w:val="both"/>
      </w:pPr>
      <w:r>
        <w:t>Pavement Markings</w:t>
      </w:r>
      <w:r w:rsidRPr="00F47D9B">
        <w:t xml:space="preserve"> </w:t>
      </w:r>
    </w:p>
    <w:p w14:paraId="2EF6D54B" w14:textId="77777777" w:rsidR="005B32E5" w:rsidRPr="005B32E5" w:rsidRDefault="005B32E5" w:rsidP="005B32E5"/>
    <w:p w14:paraId="5860C6B0" w14:textId="1A756AC5" w:rsidR="005B32E5" w:rsidRPr="00F47D9B" w:rsidRDefault="005B32E5" w:rsidP="005B32E5">
      <w:pPr>
        <w:pStyle w:val="Heading4"/>
      </w:pPr>
      <w:r>
        <w:t>Existing Markings</w:t>
      </w:r>
      <w:r w:rsidRPr="00F47D9B">
        <w:t xml:space="preserve"> </w:t>
      </w:r>
    </w:p>
    <w:p w14:paraId="21082C7F" w14:textId="77777777" w:rsidR="005B32E5" w:rsidRDefault="005B32E5" w:rsidP="005B32E5">
      <w:pPr>
        <w:pStyle w:val="BodyText"/>
        <w:jc w:val="both"/>
      </w:pPr>
    </w:p>
    <w:p w14:paraId="2B2A88A8" w14:textId="77777777" w:rsidR="005B32E5" w:rsidRDefault="005B32E5" w:rsidP="005B32E5">
      <w:pPr>
        <w:pStyle w:val="BodyText"/>
        <w:jc w:val="both"/>
      </w:pPr>
      <w:r>
        <w:t>Removal of existing markings is handled in the specifications in Section 558.03.05, which refers to ASTM D 913.  In general, markings should be removed if more than 20% of the material remains.</w:t>
      </w:r>
    </w:p>
    <w:p w14:paraId="5D1FD02B" w14:textId="77777777" w:rsidR="005B32E5" w:rsidRDefault="005B32E5" w:rsidP="005B32E5">
      <w:pPr>
        <w:pStyle w:val="BodyText"/>
        <w:jc w:val="both"/>
      </w:pPr>
    </w:p>
    <w:p w14:paraId="79410240" w14:textId="77777777" w:rsidR="005B32E5" w:rsidRDefault="005B32E5" w:rsidP="005B32E5">
      <w:pPr>
        <w:pStyle w:val="BodyText"/>
        <w:jc w:val="both"/>
      </w:pPr>
      <w:r>
        <w:rPr>
          <w:noProof/>
        </w:rPr>
        <w:lastRenderedPageBreak/>
        <w:drawing>
          <wp:inline distT="0" distB="0" distL="0" distR="0" wp14:anchorId="02319D62" wp14:editId="6E2439A8">
            <wp:extent cx="4829810" cy="3060903"/>
            <wp:effectExtent l="0" t="0" r="8890" b="6350"/>
            <wp:docPr id="527" name="Picture 527" descr="Pavement marking wear percent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Picture 527" descr="Pavement marking wear percentages"/>
                    <pic:cNvPicPr>
                      <a:picLocks noChangeAspect="1" noChangeArrowheads="1"/>
                    </pic:cNvPicPr>
                  </pic:nvPicPr>
                  <pic:blipFill>
                    <a:blip r:embed="rId207" r:link="rId208">
                      <a:extLst>
                        <a:ext uri="{28A0092B-C50C-407E-A947-70E740481C1C}">
                          <a14:useLocalDpi xmlns:a14="http://schemas.microsoft.com/office/drawing/2010/main" val="0"/>
                        </a:ext>
                      </a:extLst>
                    </a:blip>
                    <a:srcRect/>
                    <a:stretch>
                      <a:fillRect/>
                    </a:stretch>
                  </pic:blipFill>
                  <pic:spPr bwMode="auto">
                    <a:xfrm>
                      <a:off x="0" y="0"/>
                      <a:ext cx="4847547" cy="3072144"/>
                    </a:xfrm>
                    <a:prstGeom prst="rect">
                      <a:avLst/>
                    </a:prstGeom>
                    <a:noFill/>
                    <a:ln>
                      <a:noFill/>
                    </a:ln>
                  </pic:spPr>
                </pic:pic>
              </a:graphicData>
            </a:graphic>
          </wp:inline>
        </w:drawing>
      </w:r>
    </w:p>
    <w:p w14:paraId="675DAD8F" w14:textId="29885F80" w:rsidR="00477745" w:rsidRDefault="00477745" w:rsidP="001777C7">
      <w:pPr>
        <w:pStyle w:val="Heading4"/>
        <w:numPr>
          <w:ilvl w:val="0"/>
          <w:numId w:val="0"/>
        </w:numPr>
        <w:ind w:left="864"/>
      </w:pPr>
    </w:p>
    <w:p w14:paraId="2F177F8B" w14:textId="1D1C7267" w:rsidR="005B32E5" w:rsidRPr="00F47D9B" w:rsidRDefault="005B32E5" w:rsidP="005B32E5">
      <w:pPr>
        <w:pStyle w:val="Heading4"/>
      </w:pPr>
      <w:r>
        <w:t>New Markings</w:t>
      </w:r>
      <w:r w:rsidRPr="00F47D9B">
        <w:t xml:space="preserve"> </w:t>
      </w:r>
    </w:p>
    <w:p w14:paraId="3384B277" w14:textId="77777777" w:rsidR="005B32E5" w:rsidRDefault="005B32E5" w:rsidP="005B32E5">
      <w:pPr>
        <w:pStyle w:val="BodyText"/>
        <w:jc w:val="both"/>
      </w:pPr>
    </w:p>
    <w:p w14:paraId="04BF5733" w14:textId="6CFA83C6" w:rsidR="005B32E5" w:rsidRDefault="006235D5" w:rsidP="005B32E5">
      <w:pPr>
        <w:pStyle w:val="BodyText"/>
        <w:jc w:val="both"/>
      </w:pPr>
      <w:r>
        <w:t xml:space="preserve">The pavement markings that are allowed on a new </w:t>
      </w:r>
      <w:r w:rsidR="00477745">
        <w:t xml:space="preserve">surface </w:t>
      </w:r>
      <w:r>
        <w:t>depends on the marking type, roadway functional class, and pavement surface</w:t>
      </w:r>
      <w:r w:rsidR="00477745">
        <w:t xml:space="preserve"> type.  Use the following guidelines:</w:t>
      </w:r>
    </w:p>
    <w:p w14:paraId="7EE4920E" w14:textId="77777777" w:rsidR="00477745" w:rsidRPr="00D16FC4" w:rsidRDefault="00477745" w:rsidP="00477745">
      <w:pPr>
        <w:pStyle w:val="ListNumber"/>
        <w:tabs>
          <w:tab w:val="clear" w:pos="720"/>
          <w:tab w:val="clear" w:pos="1872"/>
        </w:tabs>
        <w:ind w:left="0" w:firstLine="0"/>
      </w:pPr>
    </w:p>
    <w:tbl>
      <w:tblPr>
        <w:tblStyle w:val="TableGrid"/>
        <w:tblW w:w="0" w:type="auto"/>
        <w:tblLook w:val="04A0" w:firstRow="1" w:lastRow="0" w:firstColumn="1" w:lastColumn="0" w:noHBand="0" w:noVBand="1"/>
      </w:tblPr>
      <w:tblGrid>
        <w:gridCol w:w="897"/>
        <w:gridCol w:w="3056"/>
        <w:gridCol w:w="1589"/>
        <w:gridCol w:w="3088"/>
      </w:tblGrid>
      <w:tr w:rsidR="00477745" w14:paraId="1FACE46C" w14:textId="77777777" w:rsidTr="00D54FFF">
        <w:tc>
          <w:tcPr>
            <w:tcW w:w="918" w:type="dxa"/>
            <w:vAlign w:val="bottom"/>
          </w:tcPr>
          <w:p w14:paraId="21C41AAC"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FC</w:t>
            </w:r>
          </w:p>
        </w:tc>
        <w:tc>
          <w:tcPr>
            <w:tcW w:w="3150" w:type="dxa"/>
            <w:vAlign w:val="bottom"/>
          </w:tcPr>
          <w:p w14:paraId="7B400E6D"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Functional Class</w:t>
            </w:r>
          </w:p>
        </w:tc>
        <w:tc>
          <w:tcPr>
            <w:tcW w:w="1620" w:type="dxa"/>
            <w:vAlign w:val="bottom"/>
          </w:tcPr>
          <w:p w14:paraId="6376528C"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New PCC</w:t>
            </w:r>
          </w:p>
        </w:tc>
        <w:tc>
          <w:tcPr>
            <w:tcW w:w="3168" w:type="dxa"/>
            <w:vAlign w:val="bottom"/>
          </w:tcPr>
          <w:p w14:paraId="4D49B4E0"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New Asphalt</w:t>
            </w:r>
          </w:p>
        </w:tc>
      </w:tr>
      <w:tr w:rsidR="00477745" w14:paraId="6FF22598" w14:textId="77777777" w:rsidTr="00D54FFF">
        <w:tc>
          <w:tcPr>
            <w:tcW w:w="918" w:type="dxa"/>
            <w:vAlign w:val="bottom"/>
          </w:tcPr>
          <w:p w14:paraId="46C3BE0E" w14:textId="4ED38CC1"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 xml:space="preserve">1, </w:t>
            </w:r>
            <w:r w:rsidR="001B76DF">
              <w:rPr>
                <w:rFonts w:ascii="Calibri" w:hAnsi="Calibri" w:cs="Calibri"/>
                <w:color w:val="000000"/>
                <w:szCs w:val="22"/>
              </w:rPr>
              <w:t xml:space="preserve">2, </w:t>
            </w:r>
            <w:r>
              <w:rPr>
                <w:rFonts w:ascii="Calibri" w:hAnsi="Calibri" w:cs="Calibri"/>
                <w:color w:val="000000"/>
                <w:szCs w:val="22"/>
              </w:rPr>
              <w:t>11, 12</w:t>
            </w:r>
          </w:p>
        </w:tc>
        <w:tc>
          <w:tcPr>
            <w:tcW w:w="3150" w:type="dxa"/>
            <w:vAlign w:val="bottom"/>
          </w:tcPr>
          <w:p w14:paraId="5E5EE91D" w14:textId="465A792E"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Interstates, Principal Arterial - Other Freeways</w:t>
            </w:r>
          </w:p>
        </w:tc>
        <w:tc>
          <w:tcPr>
            <w:tcW w:w="1620" w:type="dxa"/>
            <w:vAlign w:val="bottom"/>
          </w:tcPr>
          <w:p w14:paraId="7A21E90E"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Contrast Tape</w:t>
            </w:r>
          </w:p>
        </w:tc>
        <w:tc>
          <w:tcPr>
            <w:tcW w:w="3168" w:type="dxa"/>
            <w:vAlign w:val="bottom"/>
          </w:tcPr>
          <w:p w14:paraId="01F6B108"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Inlaid Tape</w:t>
            </w:r>
          </w:p>
        </w:tc>
      </w:tr>
      <w:tr w:rsidR="00477745" w14:paraId="1B3DE667" w14:textId="77777777" w:rsidTr="00D54FFF">
        <w:tc>
          <w:tcPr>
            <w:tcW w:w="918" w:type="dxa"/>
            <w:vAlign w:val="bottom"/>
          </w:tcPr>
          <w:p w14:paraId="37992013" w14:textId="77777777" w:rsidR="00477745" w:rsidRDefault="00477745" w:rsidP="00D54FFF">
            <w:pPr>
              <w:pStyle w:val="ListNumber"/>
              <w:tabs>
                <w:tab w:val="clear" w:pos="720"/>
                <w:tab w:val="clear" w:pos="1872"/>
              </w:tabs>
              <w:ind w:left="0" w:firstLine="0"/>
              <w:rPr>
                <w:highlight w:val="yellow"/>
              </w:rPr>
            </w:pPr>
          </w:p>
        </w:tc>
        <w:tc>
          <w:tcPr>
            <w:tcW w:w="3150" w:type="dxa"/>
            <w:vAlign w:val="bottom"/>
          </w:tcPr>
          <w:p w14:paraId="08703A05" w14:textId="77777777" w:rsidR="00477745" w:rsidRPr="003C16CF" w:rsidRDefault="00477745" w:rsidP="00D54FFF">
            <w:pPr>
              <w:pStyle w:val="ListNumber"/>
              <w:tabs>
                <w:tab w:val="clear" w:pos="720"/>
                <w:tab w:val="clear" w:pos="1872"/>
              </w:tabs>
              <w:ind w:left="0" w:firstLine="0"/>
              <w:rPr>
                <w:rFonts w:ascii="Calibri" w:hAnsi="Calibri" w:cs="Calibri"/>
                <w:color w:val="000000"/>
                <w:szCs w:val="22"/>
              </w:rPr>
            </w:pPr>
            <w:r w:rsidRPr="003C16CF">
              <w:rPr>
                <w:rFonts w:ascii="Calibri" w:hAnsi="Calibri" w:cs="Calibri"/>
                <w:color w:val="000000"/>
                <w:szCs w:val="22"/>
              </w:rPr>
              <w:t>All Others</w:t>
            </w:r>
          </w:p>
        </w:tc>
        <w:tc>
          <w:tcPr>
            <w:tcW w:w="1620" w:type="dxa"/>
            <w:vAlign w:val="bottom"/>
          </w:tcPr>
          <w:p w14:paraId="546E7F5F"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Contrast Tape</w:t>
            </w:r>
          </w:p>
        </w:tc>
        <w:tc>
          <w:tcPr>
            <w:tcW w:w="3168" w:type="dxa"/>
            <w:vAlign w:val="bottom"/>
          </w:tcPr>
          <w:p w14:paraId="2E194A23" w14:textId="17933381"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Inlaid Tape, Thermoplastic, or Epoxy</w:t>
            </w:r>
          </w:p>
        </w:tc>
      </w:tr>
    </w:tbl>
    <w:p w14:paraId="30BCAE0C" w14:textId="77777777" w:rsidR="00477745" w:rsidRDefault="00477745" w:rsidP="00477745">
      <w:pPr>
        <w:pStyle w:val="ListNumber"/>
        <w:tabs>
          <w:tab w:val="clear" w:pos="720"/>
          <w:tab w:val="clear" w:pos="1872"/>
        </w:tabs>
        <w:ind w:left="0" w:firstLine="0"/>
        <w:rPr>
          <w:highlight w:val="yellow"/>
        </w:rPr>
      </w:pPr>
    </w:p>
    <w:tbl>
      <w:tblPr>
        <w:tblStyle w:val="TableGrid"/>
        <w:tblW w:w="0" w:type="auto"/>
        <w:tblLook w:val="04A0" w:firstRow="1" w:lastRow="0" w:firstColumn="1" w:lastColumn="0" w:noHBand="0" w:noVBand="1"/>
      </w:tblPr>
      <w:tblGrid>
        <w:gridCol w:w="887"/>
        <w:gridCol w:w="2256"/>
        <w:gridCol w:w="2196"/>
        <w:gridCol w:w="1864"/>
        <w:gridCol w:w="1427"/>
      </w:tblGrid>
      <w:tr w:rsidR="00477745" w14:paraId="386BAC86" w14:textId="77777777" w:rsidTr="00D54FFF">
        <w:tc>
          <w:tcPr>
            <w:tcW w:w="918" w:type="dxa"/>
            <w:vAlign w:val="bottom"/>
          </w:tcPr>
          <w:p w14:paraId="516DD7C7"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FC</w:t>
            </w:r>
          </w:p>
        </w:tc>
        <w:tc>
          <w:tcPr>
            <w:tcW w:w="2340" w:type="dxa"/>
            <w:vAlign w:val="bottom"/>
          </w:tcPr>
          <w:p w14:paraId="7DFBC9D3"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Functional Class</w:t>
            </w:r>
          </w:p>
        </w:tc>
        <w:tc>
          <w:tcPr>
            <w:tcW w:w="2250" w:type="dxa"/>
            <w:vAlign w:val="bottom"/>
          </w:tcPr>
          <w:p w14:paraId="3F7AB05E"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New UTBWC</w:t>
            </w:r>
          </w:p>
        </w:tc>
        <w:tc>
          <w:tcPr>
            <w:tcW w:w="1890" w:type="dxa"/>
            <w:vAlign w:val="bottom"/>
          </w:tcPr>
          <w:p w14:paraId="60CCE4C8"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New Micro Surface</w:t>
            </w:r>
          </w:p>
        </w:tc>
        <w:tc>
          <w:tcPr>
            <w:tcW w:w="1458" w:type="dxa"/>
            <w:vAlign w:val="bottom"/>
          </w:tcPr>
          <w:p w14:paraId="2F71B64E" w14:textId="77777777" w:rsidR="00477745" w:rsidRDefault="00477745" w:rsidP="00D54FFF">
            <w:pPr>
              <w:pStyle w:val="ListNumber"/>
              <w:tabs>
                <w:tab w:val="clear" w:pos="720"/>
                <w:tab w:val="clear" w:pos="1872"/>
              </w:tabs>
              <w:ind w:left="0" w:firstLine="0"/>
              <w:rPr>
                <w:highlight w:val="yellow"/>
              </w:rPr>
            </w:pPr>
            <w:r>
              <w:rPr>
                <w:rFonts w:ascii="Calibri" w:hAnsi="Calibri" w:cs="Calibri"/>
                <w:b/>
                <w:bCs/>
                <w:color w:val="000000"/>
                <w:szCs w:val="22"/>
              </w:rPr>
              <w:t>New Chip Seal</w:t>
            </w:r>
          </w:p>
        </w:tc>
      </w:tr>
      <w:tr w:rsidR="00477745" w14:paraId="219C6162" w14:textId="77777777" w:rsidTr="00D54FFF">
        <w:tc>
          <w:tcPr>
            <w:tcW w:w="918" w:type="dxa"/>
          </w:tcPr>
          <w:p w14:paraId="15C65086" w14:textId="49185AA6"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 xml:space="preserve">1, </w:t>
            </w:r>
            <w:r w:rsidR="001B76DF">
              <w:rPr>
                <w:rFonts w:ascii="Calibri" w:hAnsi="Calibri" w:cs="Calibri"/>
                <w:color w:val="000000"/>
                <w:szCs w:val="22"/>
              </w:rPr>
              <w:t xml:space="preserve">2, </w:t>
            </w:r>
            <w:r>
              <w:rPr>
                <w:rFonts w:ascii="Calibri" w:hAnsi="Calibri" w:cs="Calibri"/>
                <w:color w:val="000000"/>
                <w:szCs w:val="22"/>
              </w:rPr>
              <w:t>11, 12</w:t>
            </w:r>
          </w:p>
        </w:tc>
        <w:tc>
          <w:tcPr>
            <w:tcW w:w="2340" w:type="dxa"/>
          </w:tcPr>
          <w:p w14:paraId="740BCEDD" w14:textId="17E7C29D"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Interstates, Principal Arterial - Other Freeways</w:t>
            </w:r>
          </w:p>
        </w:tc>
        <w:tc>
          <w:tcPr>
            <w:tcW w:w="2250" w:type="dxa"/>
          </w:tcPr>
          <w:p w14:paraId="040BD83E"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20 mil thick polyurea all-weather; groove 100 mils</w:t>
            </w:r>
          </w:p>
        </w:tc>
        <w:tc>
          <w:tcPr>
            <w:tcW w:w="1890" w:type="dxa"/>
          </w:tcPr>
          <w:p w14:paraId="557381FD" w14:textId="0C2D67A9"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Polyurea, Thermoplastic, or Epoxy</w:t>
            </w:r>
          </w:p>
        </w:tc>
        <w:tc>
          <w:tcPr>
            <w:tcW w:w="1458" w:type="dxa"/>
          </w:tcPr>
          <w:p w14:paraId="4B4E9AFB"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NA</w:t>
            </w:r>
          </w:p>
        </w:tc>
      </w:tr>
      <w:tr w:rsidR="00477745" w14:paraId="57479A13" w14:textId="77777777" w:rsidTr="00D54FFF">
        <w:tc>
          <w:tcPr>
            <w:tcW w:w="918" w:type="dxa"/>
          </w:tcPr>
          <w:p w14:paraId="0750AA0C" w14:textId="0224B90F"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3, 6, 14, 16</w:t>
            </w:r>
          </w:p>
        </w:tc>
        <w:tc>
          <w:tcPr>
            <w:tcW w:w="2340" w:type="dxa"/>
          </w:tcPr>
          <w:p w14:paraId="3C983FBD" w14:textId="3121BFE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Principal Arterials – Other, Minor Arterials</w:t>
            </w:r>
          </w:p>
        </w:tc>
        <w:tc>
          <w:tcPr>
            <w:tcW w:w="2250" w:type="dxa"/>
          </w:tcPr>
          <w:p w14:paraId="37D20409" w14:textId="1ACEA48C"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Polyurea, Thermoplastic, or Epoxy</w:t>
            </w:r>
          </w:p>
        </w:tc>
        <w:tc>
          <w:tcPr>
            <w:tcW w:w="1890" w:type="dxa"/>
          </w:tcPr>
          <w:p w14:paraId="0EF1A6F6" w14:textId="4A4514B5"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Polyurea, Thermoplastic, or Epoxy</w:t>
            </w:r>
          </w:p>
        </w:tc>
        <w:tc>
          <w:tcPr>
            <w:tcW w:w="1458" w:type="dxa"/>
          </w:tcPr>
          <w:p w14:paraId="679EEF1A"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NA</w:t>
            </w:r>
          </w:p>
        </w:tc>
      </w:tr>
      <w:tr w:rsidR="00477745" w14:paraId="7372CBC3" w14:textId="77777777" w:rsidTr="00D54FFF">
        <w:tc>
          <w:tcPr>
            <w:tcW w:w="918" w:type="dxa"/>
          </w:tcPr>
          <w:p w14:paraId="70EEBEBD" w14:textId="77777777" w:rsidR="00477745" w:rsidRDefault="00477745" w:rsidP="00D54FFF">
            <w:pPr>
              <w:pStyle w:val="ListNumber"/>
              <w:tabs>
                <w:tab w:val="clear" w:pos="720"/>
                <w:tab w:val="clear" w:pos="1872"/>
              </w:tabs>
              <w:ind w:left="0" w:firstLine="0"/>
              <w:rPr>
                <w:rFonts w:ascii="Calibri" w:hAnsi="Calibri" w:cs="Calibri"/>
                <w:color w:val="000000"/>
                <w:szCs w:val="22"/>
              </w:rPr>
            </w:pPr>
            <w:r>
              <w:rPr>
                <w:rFonts w:ascii="Calibri" w:hAnsi="Calibri" w:cs="Calibri"/>
                <w:color w:val="000000"/>
                <w:szCs w:val="22"/>
              </w:rPr>
              <w:t xml:space="preserve">7-9, </w:t>
            </w:r>
          </w:p>
          <w:p w14:paraId="121851D3"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17-19</w:t>
            </w:r>
          </w:p>
        </w:tc>
        <w:tc>
          <w:tcPr>
            <w:tcW w:w="2340" w:type="dxa"/>
          </w:tcPr>
          <w:p w14:paraId="4A07B430"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Collectors, Locals</w:t>
            </w:r>
          </w:p>
        </w:tc>
        <w:tc>
          <w:tcPr>
            <w:tcW w:w="2250" w:type="dxa"/>
          </w:tcPr>
          <w:p w14:paraId="2498798B" w14:textId="033CD0D5"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Polyurea, Thermoplastic, or Epoxy</w:t>
            </w:r>
          </w:p>
        </w:tc>
        <w:tc>
          <w:tcPr>
            <w:tcW w:w="1890" w:type="dxa"/>
          </w:tcPr>
          <w:p w14:paraId="087B96C0" w14:textId="01CAF804"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Polyurea, Thermoplastic, or Epoxy</w:t>
            </w:r>
          </w:p>
        </w:tc>
        <w:tc>
          <w:tcPr>
            <w:tcW w:w="1458" w:type="dxa"/>
          </w:tcPr>
          <w:p w14:paraId="085301A5" w14:textId="77777777" w:rsidR="00477745" w:rsidRDefault="00477745" w:rsidP="00D54FFF">
            <w:pPr>
              <w:pStyle w:val="ListNumber"/>
              <w:tabs>
                <w:tab w:val="clear" w:pos="720"/>
                <w:tab w:val="clear" w:pos="1872"/>
              </w:tabs>
              <w:ind w:left="0" w:firstLine="0"/>
              <w:rPr>
                <w:highlight w:val="yellow"/>
              </w:rPr>
            </w:pPr>
            <w:r>
              <w:rPr>
                <w:rFonts w:ascii="Calibri" w:hAnsi="Calibri" w:cs="Calibri"/>
                <w:color w:val="000000"/>
                <w:szCs w:val="22"/>
              </w:rPr>
              <w:t>Polyurea, Thermo, or Epoxy</w:t>
            </w:r>
          </w:p>
        </w:tc>
      </w:tr>
    </w:tbl>
    <w:p w14:paraId="05B7FFFF" w14:textId="77777777" w:rsidR="00477745" w:rsidRDefault="00477745" w:rsidP="005B32E5">
      <w:pPr>
        <w:pStyle w:val="BodyText"/>
        <w:jc w:val="both"/>
      </w:pPr>
    </w:p>
    <w:p w14:paraId="193E0415" w14:textId="4E003833" w:rsidR="005B32E5" w:rsidRPr="005B32E5" w:rsidRDefault="005B32E5" w:rsidP="005B32E5">
      <w:pPr>
        <w:pStyle w:val="BodyText"/>
        <w:jc w:val="both"/>
        <w:sectPr w:rsidR="005B32E5" w:rsidRPr="005B32E5" w:rsidSect="008445BF">
          <w:headerReference w:type="default" r:id="rId209"/>
          <w:footerReference w:type="default" r:id="rId210"/>
          <w:pgSz w:w="12240" w:h="15840"/>
          <w:pgMar w:top="1440" w:right="1800" w:bottom="1440" w:left="1800" w:header="720" w:footer="720" w:gutter="0"/>
          <w:pgNumType w:chapStyle="1"/>
          <w:cols w:space="720"/>
          <w:docGrid w:linePitch="272"/>
        </w:sectPr>
      </w:pPr>
    </w:p>
    <w:p w14:paraId="7B2F5BB6" w14:textId="0AEB6BAC" w:rsidR="00847624" w:rsidRDefault="00847624" w:rsidP="00172E64">
      <w:pPr>
        <w:pStyle w:val="Heading2"/>
        <w:numPr>
          <w:ilvl w:val="1"/>
          <w:numId w:val="184"/>
        </w:numPr>
        <w:ind w:left="0" w:firstLine="0"/>
      </w:pPr>
      <w:bookmarkStart w:id="443" w:name="_New_Pavement_Design_3"/>
      <w:bookmarkStart w:id="444" w:name="_Toc479160106"/>
      <w:bookmarkStart w:id="445" w:name="_Toc514057994"/>
      <w:bookmarkStart w:id="446" w:name="_Toc194932390"/>
      <w:bookmarkEnd w:id="443"/>
      <w:r>
        <w:lastRenderedPageBreak/>
        <w:t>New Pavement Design</w:t>
      </w:r>
      <w:bookmarkEnd w:id="444"/>
      <w:bookmarkEnd w:id="445"/>
      <w:bookmarkEnd w:id="446"/>
    </w:p>
    <w:p w14:paraId="62DE5D43" w14:textId="77777777" w:rsidR="00DF4794" w:rsidRDefault="00DF4794" w:rsidP="00DF4794">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Mechanistic-Empirical_Anal" w:history="1">
        <w:r w:rsidRPr="00DF4794">
          <w:rPr>
            <w:rStyle w:val="Hyperlink"/>
            <w:rFonts w:ascii="Arial" w:hAnsi="Arial" w:cs="Arial"/>
            <w:bCs/>
            <w:sz w:val="16"/>
            <w:szCs w:val="16"/>
          </w:rPr>
          <w:t>Pavement Mechanistic-Empirical Analysis</w:t>
        </w:r>
      </w:hyperlink>
    </w:p>
    <w:p w14:paraId="07ACAED5" w14:textId="77777777" w:rsidR="003C5A72" w:rsidRDefault="003C5A72" w:rsidP="003C5A7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Preservation_&amp;" w:history="1">
        <w:r w:rsidRPr="003C5A72">
          <w:rPr>
            <w:rStyle w:val="Hyperlink"/>
            <w:rFonts w:ascii="Arial" w:hAnsi="Arial" w:cs="Arial"/>
            <w:bCs/>
            <w:sz w:val="16"/>
            <w:szCs w:val="16"/>
          </w:rPr>
          <w:t>Pavement Preservation &amp; Rehabilitation Design</w:t>
        </w:r>
      </w:hyperlink>
    </w:p>
    <w:p w14:paraId="06BBCC8B" w14:textId="77777777" w:rsidR="003E40B5" w:rsidRDefault="003E40B5"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tandard_Pavement_Designs" w:history="1">
        <w:r w:rsidRPr="003E40B5">
          <w:rPr>
            <w:rStyle w:val="Hyperlink"/>
            <w:rFonts w:ascii="Arial" w:hAnsi="Arial" w:cs="Arial"/>
            <w:bCs/>
            <w:sz w:val="16"/>
            <w:szCs w:val="16"/>
          </w:rPr>
          <w:t>Standard Pavement Designs</w:t>
        </w:r>
      </w:hyperlink>
    </w:p>
    <w:p w14:paraId="6DA29595" w14:textId="77777777" w:rsidR="003A343F" w:rsidRDefault="003A343F" w:rsidP="003A343F">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reliminary_Pavement_Recommendation" w:history="1">
        <w:r w:rsidRPr="003A343F">
          <w:rPr>
            <w:rStyle w:val="Hyperlink"/>
            <w:rFonts w:ascii="Arial" w:hAnsi="Arial" w:cs="Arial"/>
            <w:bCs/>
            <w:sz w:val="16"/>
            <w:szCs w:val="16"/>
          </w:rPr>
          <w:t>Preliminary Pavement Recommendation</w:t>
        </w:r>
      </w:hyperlink>
    </w:p>
    <w:p w14:paraId="115171F6" w14:textId="77777777" w:rsidR="001F32D3" w:rsidRPr="008F604D" w:rsidRDefault="001F32D3"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2" w:history="1">
        <w:r w:rsidRPr="001F32D3">
          <w:rPr>
            <w:rStyle w:val="Hyperlink"/>
            <w:rFonts w:ascii="Arial" w:hAnsi="Arial" w:cs="Arial"/>
            <w:bCs/>
            <w:sz w:val="16"/>
            <w:szCs w:val="16"/>
          </w:rPr>
          <w:t>New Pavement Design Using AASHTO 1993</w:t>
        </w:r>
      </w:hyperlink>
    </w:p>
    <w:p w14:paraId="7C8DB584" w14:textId="77777777" w:rsidR="00847624" w:rsidRDefault="00847624" w:rsidP="00172E64">
      <w:pPr>
        <w:pStyle w:val="Heading3"/>
        <w:numPr>
          <w:ilvl w:val="2"/>
          <w:numId w:val="184"/>
        </w:numPr>
        <w:ind w:left="0" w:firstLine="0"/>
      </w:pPr>
      <w:r>
        <w:t>Purpose</w:t>
      </w:r>
    </w:p>
    <w:p w14:paraId="63799046" w14:textId="77777777" w:rsidR="00847624" w:rsidRDefault="00847624" w:rsidP="00BE3F24">
      <w:pPr>
        <w:pStyle w:val="BodyText"/>
      </w:pPr>
      <w:r>
        <w:t>New pavement designs are conducted to:</w:t>
      </w:r>
    </w:p>
    <w:p w14:paraId="49A0A911" w14:textId="77777777" w:rsidR="00847624" w:rsidRPr="00A42B5F" w:rsidRDefault="00657527" w:rsidP="00172E64">
      <w:pPr>
        <w:pStyle w:val="ListParagraph"/>
        <w:numPr>
          <w:ilvl w:val="0"/>
          <w:numId w:val="84"/>
        </w:numPr>
        <w:ind w:left="720" w:hanging="720"/>
        <w:jc w:val="both"/>
      </w:pPr>
      <w:r w:rsidRPr="0067267A">
        <w:rPr>
          <w:rFonts w:ascii="Arial" w:hAnsi="Arial"/>
          <w:sz w:val="22"/>
        </w:rPr>
        <w:t>Create a pavement system that will meet</w:t>
      </w:r>
      <w:r w:rsidR="00847624" w:rsidRPr="0067267A">
        <w:rPr>
          <w:rFonts w:ascii="Arial" w:hAnsi="Arial"/>
          <w:sz w:val="22"/>
        </w:rPr>
        <w:t xml:space="preserve"> the future structural and functional demands of the expected traffic volumes</w:t>
      </w:r>
    </w:p>
    <w:p w14:paraId="3382D0A3" w14:textId="31C6687F" w:rsidR="00847624" w:rsidRDefault="00847624" w:rsidP="00172E64">
      <w:pPr>
        <w:pStyle w:val="ListParagraph"/>
        <w:numPr>
          <w:ilvl w:val="0"/>
          <w:numId w:val="84"/>
        </w:numPr>
        <w:ind w:left="720" w:hanging="720"/>
        <w:jc w:val="both"/>
      </w:pPr>
      <w:r w:rsidRPr="0067267A">
        <w:rPr>
          <w:rFonts w:ascii="Arial" w:hAnsi="Arial"/>
          <w:sz w:val="22"/>
        </w:rPr>
        <w:t>Identify the material requirements to provide a structurally and functionally adequate pavement system</w:t>
      </w:r>
    </w:p>
    <w:p w14:paraId="3C8AC06D" w14:textId="77777777" w:rsidR="00847624" w:rsidRDefault="00847624" w:rsidP="00172E64">
      <w:pPr>
        <w:pStyle w:val="Heading3"/>
        <w:numPr>
          <w:ilvl w:val="2"/>
          <w:numId w:val="184"/>
        </w:numPr>
        <w:ind w:left="0" w:firstLine="0"/>
      </w:pPr>
      <w:r>
        <w:t>Resource Requirements</w:t>
      </w:r>
    </w:p>
    <w:p w14:paraId="3204ECD1" w14:textId="77777777" w:rsidR="00847624" w:rsidRDefault="00847624" w:rsidP="00D007B1">
      <w:pPr>
        <w:pStyle w:val="BodyText"/>
        <w:jc w:val="both"/>
      </w:pPr>
      <w:r>
        <w:t>The new pavement design procedure documented below requires the following staffing needs for a typical job:</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77"/>
        <w:gridCol w:w="2286"/>
        <w:gridCol w:w="1926"/>
        <w:gridCol w:w="1584"/>
      </w:tblGrid>
      <w:tr w:rsidR="00847624" w14:paraId="18076468" w14:textId="77777777" w:rsidTr="0067267A">
        <w:trPr>
          <w:trHeight w:val="288"/>
          <w:jc w:val="center"/>
        </w:trPr>
        <w:tc>
          <w:tcPr>
            <w:tcW w:w="2777" w:type="dxa"/>
            <w:shd w:val="pct15" w:color="auto" w:fill="FFFFFF"/>
            <w:vAlign w:val="center"/>
          </w:tcPr>
          <w:p w14:paraId="01FDD1E4" w14:textId="77777777" w:rsidR="00847624" w:rsidRDefault="00847624" w:rsidP="001005CD">
            <w:pPr>
              <w:jc w:val="center"/>
              <w:rPr>
                <w:rFonts w:ascii="Arial" w:hAnsi="Arial"/>
                <w:b/>
              </w:rPr>
            </w:pPr>
            <w:r>
              <w:rPr>
                <w:rFonts w:ascii="Arial" w:hAnsi="Arial"/>
                <w:b/>
              </w:rPr>
              <w:t>Position</w:t>
            </w:r>
          </w:p>
        </w:tc>
        <w:tc>
          <w:tcPr>
            <w:tcW w:w="2286" w:type="dxa"/>
            <w:shd w:val="pct15" w:color="auto" w:fill="FFFFFF"/>
            <w:vAlign w:val="center"/>
          </w:tcPr>
          <w:p w14:paraId="0169C1A4" w14:textId="77777777" w:rsidR="00847624" w:rsidRDefault="00847624" w:rsidP="001005CD">
            <w:pPr>
              <w:jc w:val="center"/>
              <w:rPr>
                <w:rFonts w:ascii="Arial" w:hAnsi="Arial"/>
                <w:b/>
              </w:rPr>
            </w:pPr>
            <w:r>
              <w:rPr>
                <w:rFonts w:ascii="Arial" w:hAnsi="Arial"/>
                <w:b/>
              </w:rPr>
              <w:t>Function</w:t>
            </w:r>
          </w:p>
        </w:tc>
        <w:tc>
          <w:tcPr>
            <w:tcW w:w="1926" w:type="dxa"/>
            <w:shd w:val="pct15" w:color="auto" w:fill="FFFFFF"/>
            <w:vAlign w:val="center"/>
          </w:tcPr>
          <w:p w14:paraId="513671B1" w14:textId="77777777" w:rsidR="00847624" w:rsidRDefault="00847624" w:rsidP="001005CD">
            <w:pPr>
              <w:jc w:val="center"/>
              <w:rPr>
                <w:rFonts w:ascii="Arial" w:hAnsi="Arial"/>
                <w:b/>
              </w:rPr>
            </w:pPr>
            <w:r>
              <w:rPr>
                <w:rFonts w:ascii="Arial" w:hAnsi="Arial"/>
                <w:b/>
              </w:rPr>
              <w:t>Resources</w:t>
            </w:r>
          </w:p>
        </w:tc>
        <w:tc>
          <w:tcPr>
            <w:tcW w:w="1584" w:type="dxa"/>
            <w:shd w:val="pct15" w:color="auto" w:fill="FFFFFF"/>
            <w:vAlign w:val="center"/>
          </w:tcPr>
          <w:p w14:paraId="30B47E38" w14:textId="77777777" w:rsidR="00847624" w:rsidRDefault="00847624" w:rsidP="001005CD">
            <w:pPr>
              <w:jc w:val="center"/>
              <w:rPr>
                <w:rFonts w:ascii="Arial" w:hAnsi="Arial"/>
                <w:b/>
              </w:rPr>
            </w:pPr>
            <w:r>
              <w:rPr>
                <w:rFonts w:ascii="Arial" w:hAnsi="Arial"/>
                <w:b/>
              </w:rPr>
              <w:t>Effort Level</w:t>
            </w:r>
          </w:p>
          <w:p w14:paraId="175AF8CC" w14:textId="77777777" w:rsidR="00847624" w:rsidRDefault="00847624" w:rsidP="001005CD">
            <w:pPr>
              <w:jc w:val="center"/>
              <w:rPr>
                <w:rFonts w:ascii="Arial" w:hAnsi="Arial"/>
                <w:b/>
              </w:rPr>
            </w:pPr>
            <w:r>
              <w:rPr>
                <w:rFonts w:ascii="Arial" w:hAnsi="Arial"/>
                <w:b/>
              </w:rPr>
              <w:t>(man-hours)</w:t>
            </w:r>
          </w:p>
        </w:tc>
      </w:tr>
      <w:tr w:rsidR="00D007B1" w14:paraId="7335895B" w14:textId="77777777" w:rsidTr="0067267A">
        <w:trPr>
          <w:trHeight w:val="288"/>
          <w:jc w:val="center"/>
        </w:trPr>
        <w:tc>
          <w:tcPr>
            <w:tcW w:w="2777" w:type="dxa"/>
            <w:vAlign w:val="center"/>
          </w:tcPr>
          <w:p w14:paraId="6EA3A965" w14:textId="77777777" w:rsidR="00D007B1" w:rsidRDefault="00D007B1" w:rsidP="001005CD">
            <w:pPr>
              <w:jc w:val="center"/>
              <w:rPr>
                <w:rFonts w:ascii="Arial" w:hAnsi="Arial"/>
                <w:sz w:val="18"/>
              </w:rPr>
            </w:pPr>
            <w:r>
              <w:rPr>
                <w:rFonts w:ascii="Arial" w:hAnsi="Arial"/>
                <w:sz w:val="18"/>
              </w:rPr>
              <w:t>Pavement Engineer</w:t>
            </w:r>
          </w:p>
        </w:tc>
        <w:tc>
          <w:tcPr>
            <w:tcW w:w="2286" w:type="dxa"/>
            <w:vAlign w:val="center"/>
          </w:tcPr>
          <w:p w14:paraId="17A669B3" w14:textId="77777777" w:rsidR="00D007B1" w:rsidRDefault="00D007B1" w:rsidP="001005CD">
            <w:pPr>
              <w:jc w:val="center"/>
              <w:rPr>
                <w:rFonts w:ascii="Arial" w:hAnsi="Arial"/>
                <w:sz w:val="18"/>
              </w:rPr>
            </w:pPr>
            <w:r>
              <w:rPr>
                <w:rFonts w:ascii="Arial" w:hAnsi="Arial"/>
                <w:sz w:val="18"/>
              </w:rPr>
              <w:t>New Design</w:t>
            </w:r>
          </w:p>
        </w:tc>
        <w:tc>
          <w:tcPr>
            <w:tcW w:w="1926" w:type="dxa"/>
            <w:vAlign w:val="center"/>
          </w:tcPr>
          <w:p w14:paraId="6631C1FB" w14:textId="77777777" w:rsidR="00D007B1" w:rsidRDefault="00D007B1" w:rsidP="001005CD">
            <w:pPr>
              <w:jc w:val="center"/>
              <w:rPr>
                <w:rFonts w:ascii="Arial" w:hAnsi="Arial"/>
                <w:sz w:val="18"/>
              </w:rPr>
            </w:pPr>
            <w:r>
              <w:rPr>
                <w:rFonts w:ascii="Arial" w:hAnsi="Arial"/>
                <w:sz w:val="18"/>
              </w:rPr>
              <w:t>1</w:t>
            </w:r>
          </w:p>
        </w:tc>
        <w:tc>
          <w:tcPr>
            <w:tcW w:w="1584" w:type="dxa"/>
            <w:vAlign w:val="center"/>
          </w:tcPr>
          <w:p w14:paraId="1DEB9EBD" w14:textId="77777777" w:rsidR="00D007B1" w:rsidRDefault="004E633C" w:rsidP="001005CD">
            <w:pPr>
              <w:jc w:val="center"/>
              <w:rPr>
                <w:rFonts w:ascii="Arial" w:hAnsi="Arial"/>
                <w:sz w:val="18"/>
              </w:rPr>
            </w:pPr>
            <w:r>
              <w:rPr>
                <w:rFonts w:ascii="Arial" w:hAnsi="Arial"/>
                <w:sz w:val="18"/>
              </w:rPr>
              <w:t>24</w:t>
            </w:r>
          </w:p>
        </w:tc>
      </w:tr>
    </w:tbl>
    <w:p w14:paraId="67E359F3" w14:textId="77777777" w:rsidR="00847624" w:rsidRDefault="00847624" w:rsidP="00172E64">
      <w:pPr>
        <w:pStyle w:val="Heading3"/>
        <w:numPr>
          <w:ilvl w:val="2"/>
          <w:numId w:val="184"/>
        </w:numPr>
        <w:ind w:left="0" w:firstLine="0"/>
        <w:jc w:val="both"/>
      </w:pPr>
      <w:r>
        <w:t>Procedure</w:t>
      </w:r>
    </w:p>
    <w:p w14:paraId="17FE9CB7" w14:textId="23A39B24" w:rsidR="00847624" w:rsidRDefault="00847624" w:rsidP="00D007B1">
      <w:pPr>
        <w:pStyle w:val="BodyText"/>
        <w:jc w:val="both"/>
      </w:pPr>
      <w:r>
        <w:t xml:space="preserve">The procedure described </w:t>
      </w:r>
      <w:r w:rsidR="001005CD">
        <w:t>below</w:t>
      </w:r>
      <w:r>
        <w:t xml:space="preserve"> should be followed in a typical new pavement design recommendation.  The following procedure was written to provide the design engineer with adequate information to complete a new design </w:t>
      </w:r>
      <w:r w:rsidR="00D007B1">
        <w:t xml:space="preserve">using PMED.  </w:t>
      </w:r>
      <w:r w:rsidR="00657527">
        <w:t>For pavement designs using AASHTO 1993 procedures (such as for Design-Build), r</w:t>
      </w:r>
      <w:r w:rsidR="00D007B1">
        <w:t xml:space="preserve">efer to </w:t>
      </w:r>
      <w:hyperlink w:anchor="_New_Pavement_Design_2" w:history="1">
        <w:r w:rsidR="00657527" w:rsidRPr="00657527">
          <w:rPr>
            <w:rStyle w:val="Hyperlink"/>
          </w:rPr>
          <w:t>New Pavement Design Using AASHTO 1993</w:t>
        </w:r>
      </w:hyperlink>
      <w:r>
        <w:t xml:space="preserve">.      </w:t>
      </w:r>
    </w:p>
    <w:p w14:paraId="1DCEDF5D" w14:textId="77777777" w:rsidR="004E633C" w:rsidRDefault="00847624" w:rsidP="00D007B1">
      <w:pPr>
        <w:pStyle w:val="BodyText"/>
        <w:jc w:val="both"/>
      </w:pPr>
      <w:r>
        <w:t xml:space="preserve">Certain steps in the new pavement design process and other processes overlap.  It is important to keep in mind that although these processes are broken out and written in separate sections, they are a part of an overall process to provide logically and technically sound recommendations. </w:t>
      </w:r>
    </w:p>
    <w:p w14:paraId="245BC62F" w14:textId="56838719" w:rsidR="002D5CDD" w:rsidRDefault="00847624" w:rsidP="00D007B1">
      <w:pPr>
        <w:pStyle w:val="BodyText"/>
        <w:jc w:val="both"/>
      </w:pPr>
      <w:r>
        <w:t>In most cases, a new pavement design is completed in conjunction with a pavement rehabilitation design; i.e.</w:t>
      </w:r>
      <w:r w:rsidR="001005CD">
        <w:t>,</w:t>
      </w:r>
      <w:r>
        <w:t xml:space="preserve"> “widening and resurfacing.”  Therefore, the new and rehabilitation design process </w:t>
      </w:r>
      <w:r w:rsidR="00657527">
        <w:t>may</w:t>
      </w:r>
      <w:r>
        <w:t xml:space="preserve"> occur concurrently and use the same data and information.  The basic difference is that pavement rehabilitation design requires the evaluation and assessment of the existing roadway, both structurally and functionally.  </w:t>
      </w:r>
    </w:p>
    <w:p w14:paraId="6FCEB2EB" w14:textId="0EE2ADD1" w:rsidR="0005101D" w:rsidRPr="002D5CDD" w:rsidRDefault="00847624" w:rsidP="00D007B1">
      <w:pPr>
        <w:pStyle w:val="BodyText"/>
        <w:jc w:val="both"/>
      </w:pPr>
      <w:r>
        <w:t>New pavement design does not take into account any of the existing conditions of the pavement other than geotechnical and drainage conditions because it is a new design.  It is the design engineer</w:t>
      </w:r>
      <w:r w:rsidR="002D5CDD">
        <w:t>’</w:t>
      </w:r>
      <w:r>
        <w:t xml:space="preserve">s responsibility to use both design processes concurrently where needed and take care to monitor </w:t>
      </w:r>
      <w:r w:rsidRPr="002D5CDD">
        <w:t>that both designs are agreeable with one another for design and for construction</w:t>
      </w:r>
      <w:r w:rsidR="001005CD">
        <w:t>-</w:t>
      </w:r>
      <w:r w:rsidRPr="002D5CDD">
        <w:t>related reasons.</w:t>
      </w:r>
    </w:p>
    <w:p w14:paraId="67B2C3E6" w14:textId="77777777" w:rsidR="0005101D" w:rsidRDefault="0005101D" w:rsidP="00172E64">
      <w:pPr>
        <w:pStyle w:val="Heading4"/>
        <w:numPr>
          <w:ilvl w:val="3"/>
          <w:numId w:val="184"/>
        </w:numPr>
        <w:tabs>
          <w:tab w:val="clear" w:pos="1080"/>
          <w:tab w:val="left" w:pos="1440"/>
        </w:tabs>
        <w:ind w:left="864"/>
      </w:pPr>
      <w:r>
        <w:t>Preliminary Steps</w:t>
      </w:r>
    </w:p>
    <w:p w14:paraId="5012495D" w14:textId="73951DA8" w:rsidR="001A15B9" w:rsidRDefault="00F07917" w:rsidP="0067267A">
      <w:pPr>
        <w:pStyle w:val="ListNumber"/>
        <w:numPr>
          <w:ilvl w:val="0"/>
          <w:numId w:val="27"/>
        </w:numPr>
        <w:spacing w:before="240"/>
        <w:ind w:left="1080" w:hanging="1080"/>
        <w:jc w:val="both"/>
      </w:pPr>
      <w:r w:rsidRPr="002D5CDD">
        <w:t xml:space="preserve">Enter the project and pertinent project information into the </w:t>
      </w:r>
      <w:hyperlink r:id="rId211" w:history="1">
        <w:r w:rsidRPr="002D5CDD">
          <w:rPr>
            <w:rStyle w:val="Hyperlink"/>
          </w:rPr>
          <w:t>DesignProjects</w:t>
        </w:r>
      </w:hyperlink>
      <w:r w:rsidRPr="002D5CDD">
        <w:t xml:space="preserve"> database so the project can be tracked.  Also, create a folder on the network </w:t>
      </w:r>
      <w:r w:rsidRPr="002D5CDD">
        <w:lastRenderedPageBreak/>
        <w:t xml:space="preserve">server under the ‘Projects’ folder under the appropriate District and county.  Refer to </w:t>
      </w:r>
      <w:hyperlink w:anchor="_Electronic_File_Storage" w:history="1">
        <w:r w:rsidRPr="002D5CDD">
          <w:rPr>
            <w:rStyle w:val="Hyperlink"/>
          </w:rPr>
          <w:t>Electronic File Storage</w:t>
        </w:r>
      </w:hyperlink>
      <w:r w:rsidRPr="00AC47BA">
        <w:t xml:space="preserve">.  </w:t>
      </w:r>
    </w:p>
    <w:p w14:paraId="68954375" w14:textId="77777777" w:rsidR="001A15B9" w:rsidRDefault="009C3BFF" w:rsidP="00557A8B">
      <w:pPr>
        <w:pStyle w:val="ListNumber"/>
        <w:numPr>
          <w:ilvl w:val="0"/>
          <w:numId w:val="27"/>
        </w:numPr>
        <w:ind w:left="1080" w:hanging="1080"/>
        <w:jc w:val="both"/>
      </w:pPr>
      <w:r>
        <w:t xml:space="preserve">Conduct the steps as detailed in </w:t>
      </w:r>
      <w:hyperlink w:anchor="_Pavement_Design_Procedures" w:history="1">
        <w:r w:rsidRPr="009C3BFF">
          <w:rPr>
            <w:rStyle w:val="Hyperlink"/>
          </w:rPr>
          <w:t>Preliminary Procedures</w:t>
        </w:r>
      </w:hyperlink>
      <w:r>
        <w:t>.</w:t>
      </w:r>
    </w:p>
    <w:p w14:paraId="4149D511" w14:textId="77777777" w:rsidR="001A15B9" w:rsidRDefault="00F07917" w:rsidP="00557A8B">
      <w:pPr>
        <w:pStyle w:val="ListNumber"/>
        <w:numPr>
          <w:ilvl w:val="0"/>
          <w:numId w:val="27"/>
        </w:numPr>
        <w:ind w:left="1080" w:hanging="1080"/>
        <w:jc w:val="both"/>
      </w:pPr>
      <w:r>
        <w:t xml:space="preserve">Conduct the steps as detailed in </w:t>
      </w:r>
      <w:hyperlink w:anchor="_Testing_&amp;_Data" w:history="1">
        <w:r w:rsidRPr="00F07917">
          <w:rPr>
            <w:rStyle w:val="Hyperlink"/>
          </w:rPr>
          <w:t>Testing &amp; Data Collection</w:t>
        </w:r>
      </w:hyperlink>
      <w:r>
        <w:t>.</w:t>
      </w:r>
    </w:p>
    <w:p w14:paraId="487FC6CA" w14:textId="77777777" w:rsidR="001A15B9" w:rsidRDefault="00F07917" w:rsidP="00557A8B">
      <w:pPr>
        <w:pStyle w:val="ListNumber"/>
        <w:numPr>
          <w:ilvl w:val="0"/>
          <w:numId w:val="27"/>
        </w:numPr>
        <w:ind w:left="1080" w:hanging="1080"/>
        <w:jc w:val="both"/>
      </w:pPr>
      <w:r>
        <w:t xml:space="preserve">Conduct the steps as detailed in </w:t>
      </w:r>
      <w:hyperlink w:anchor="_Analysis_Procedures" w:history="1">
        <w:r w:rsidRPr="00F07917">
          <w:rPr>
            <w:rStyle w:val="Hyperlink"/>
          </w:rPr>
          <w:t>Analysis Procedures</w:t>
        </w:r>
      </w:hyperlink>
      <w:r>
        <w:t>.</w:t>
      </w:r>
    </w:p>
    <w:p w14:paraId="68FA1683" w14:textId="77777777" w:rsidR="00375886" w:rsidRDefault="00375886" w:rsidP="0067267A">
      <w:pPr>
        <w:pStyle w:val="Heading4"/>
        <w:numPr>
          <w:ilvl w:val="0"/>
          <w:numId w:val="0"/>
        </w:numPr>
        <w:tabs>
          <w:tab w:val="clear" w:pos="1080"/>
          <w:tab w:val="left" w:pos="1440"/>
        </w:tabs>
        <w:ind w:left="864"/>
      </w:pPr>
    </w:p>
    <w:p w14:paraId="5D3E8557" w14:textId="77777777" w:rsidR="0088425E" w:rsidRDefault="0088425E" w:rsidP="00172E64">
      <w:pPr>
        <w:pStyle w:val="Heading4"/>
        <w:numPr>
          <w:ilvl w:val="3"/>
          <w:numId w:val="184"/>
        </w:numPr>
        <w:tabs>
          <w:tab w:val="clear" w:pos="1080"/>
          <w:tab w:val="left" w:pos="1440"/>
        </w:tabs>
        <w:ind w:left="864"/>
      </w:pPr>
      <w:r>
        <w:t>New Pavement ME Design</w:t>
      </w:r>
    </w:p>
    <w:p w14:paraId="6855DEDB" w14:textId="77777777" w:rsidR="0088425E" w:rsidRDefault="0088425E" w:rsidP="00172E64">
      <w:pPr>
        <w:pStyle w:val="ListNumber"/>
        <w:numPr>
          <w:ilvl w:val="0"/>
          <w:numId w:val="120"/>
        </w:numPr>
        <w:tabs>
          <w:tab w:val="clear" w:pos="1872"/>
        </w:tabs>
        <w:spacing w:before="240"/>
        <w:jc w:val="both"/>
      </w:pPr>
      <w:r>
        <w:t xml:space="preserve">Create a pavement structure and analyze it per </w:t>
      </w:r>
      <w:hyperlink w:anchor="_Pavement_Mechanistic-Empirical_Anal" w:history="1">
        <w:r>
          <w:rPr>
            <w:rStyle w:val="Hyperlink"/>
          </w:rPr>
          <w:t>Pavement Mechanistic-Empirical Analysis</w:t>
        </w:r>
      </w:hyperlink>
      <w:r>
        <w:t xml:space="preserve">. </w:t>
      </w:r>
    </w:p>
    <w:p w14:paraId="41535AFD" w14:textId="77777777" w:rsidR="0088425E" w:rsidRPr="004E633C" w:rsidRDefault="0088425E" w:rsidP="00172E64">
      <w:pPr>
        <w:pStyle w:val="ListNumber"/>
        <w:numPr>
          <w:ilvl w:val="0"/>
          <w:numId w:val="120"/>
        </w:numPr>
        <w:tabs>
          <w:tab w:val="clear" w:pos="1872"/>
        </w:tabs>
        <w:jc w:val="both"/>
      </w:pPr>
      <w:r>
        <w:t xml:space="preserve">Ideally, the </w:t>
      </w:r>
      <w:r>
        <w:rPr>
          <w:rFonts w:eastAsia="Arial" w:cs="Arial"/>
        </w:rPr>
        <w:t>various distresses that are analyzed will reach their respective terminal thresholds at around the same time.  If that is the case, the design is good.  If they do not, repeat Step 1 as needed using different designs by varying layer types and thicknesses.</w:t>
      </w:r>
    </w:p>
    <w:p w14:paraId="35D6772C" w14:textId="77777777" w:rsidR="0088425E" w:rsidRPr="0088425E" w:rsidRDefault="0088425E" w:rsidP="0088425E"/>
    <w:p w14:paraId="7FA6B5F6" w14:textId="77777777" w:rsidR="00617EEA" w:rsidRDefault="00617EEA" w:rsidP="00172E64">
      <w:pPr>
        <w:pStyle w:val="Heading5"/>
        <w:numPr>
          <w:ilvl w:val="4"/>
          <w:numId w:val="184"/>
        </w:numPr>
        <w:tabs>
          <w:tab w:val="left" w:pos="1800"/>
        </w:tabs>
        <w:ind w:left="1098" w:hanging="1098"/>
      </w:pPr>
      <w:r>
        <w:t>Flexible Pavement Design</w:t>
      </w:r>
    </w:p>
    <w:p w14:paraId="399F9C8C" w14:textId="77777777" w:rsidR="0088425E" w:rsidRDefault="0088425E" w:rsidP="0088425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lexible_Pavements" w:history="1">
        <w:r w:rsidRPr="0088425E">
          <w:rPr>
            <w:rStyle w:val="Hyperlink"/>
            <w:rFonts w:ascii="Arial" w:hAnsi="Arial" w:cs="Arial"/>
            <w:bCs/>
            <w:sz w:val="16"/>
            <w:szCs w:val="16"/>
          </w:rPr>
          <w:t>Flexible Pavements</w:t>
        </w:r>
      </w:hyperlink>
    </w:p>
    <w:p w14:paraId="3B457C34" w14:textId="2932D556" w:rsidR="00617EEA" w:rsidRDefault="00617EEA" w:rsidP="00617EEA">
      <w:pPr>
        <w:pStyle w:val="ListNumber"/>
        <w:tabs>
          <w:tab w:val="clear" w:pos="720"/>
          <w:tab w:val="clear" w:pos="1872"/>
        </w:tabs>
        <w:ind w:left="0" w:firstLine="0"/>
        <w:jc w:val="both"/>
      </w:pPr>
      <w:r w:rsidRPr="00083504">
        <w:t>Flexible pavements must have a minimum 4</w:t>
      </w:r>
      <w:r w:rsidR="001005CD">
        <w:t>"</w:t>
      </w:r>
      <w:r w:rsidR="00C317A9">
        <w:t>-</w:t>
      </w:r>
      <w:r w:rsidRPr="00083504">
        <w:t>drainage layer.</w:t>
      </w:r>
    </w:p>
    <w:p w14:paraId="73BAAC75" w14:textId="77777777" w:rsidR="00617EEA" w:rsidRPr="00617EEA" w:rsidRDefault="00617EEA" w:rsidP="00617EEA"/>
    <w:p w14:paraId="5B76EEFA" w14:textId="77777777" w:rsidR="0005101D" w:rsidRDefault="00617EEA" w:rsidP="00172E64">
      <w:pPr>
        <w:pStyle w:val="Heading5"/>
        <w:numPr>
          <w:ilvl w:val="4"/>
          <w:numId w:val="184"/>
        </w:numPr>
        <w:tabs>
          <w:tab w:val="clear" w:pos="1080"/>
          <w:tab w:val="left" w:pos="1800"/>
        </w:tabs>
        <w:ind w:left="1098" w:hanging="1098"/>
      </w:pPr>
      <w:bookmarkStart w:id="447" w:name="_Jointed_Plain_Concrete_1"/>
      <w:bookmarkEnd w:id="447"/>
      <w:r>
        <w:t xml:space="preserve">Jointed Plain Concrete </w:t>
      </w:r>
      <w:r w:rsidR="004E633C">
        <w:t>P</w:t>
      </w:r>
      <w:r w:rsidR="0005101D">
        <w:t>avement</w:t>
      </w:r>
      <w:r w:rsidR="004E633C">
        <w:t xml:space="preserve"> Design</w:t>
      </w:r>
    </w:p>
    <w:p w14:paraId="7CBACB00" w14:textId="77777777" w:rsidR="0088425E" w:rsidRDefault="0088425E" w:rsidP="0088425E">
      <w:pPr>
        <w:rPr>
          <w:rFonts w:ascii="Arial" w:eastAsia="Arial" w:hAnsi="Arial" w:cs="Arial"/>
          <w:i/>
          <w:sz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Jointed_Plain_Concrete" w:history="1">
        <w:r w:rsidRPr="0088425E">
          <w:rPr>
            <w:rStyle w:val="Hyperlink"/>
            <w:rFonts w:ascii="Arial" w:hAnsi="Arial" w:cs="Arial"/>
            <w:bCs/>
            <w:sz w:val="16"/>
            <w:szCs w:val="16"/>
          </w:rPr>
          <w:t>Jointed Plain Concrete Pavement</w:t>
        </w:r>
      </w:hyperlink>
      <w:r w:rsidR="000904C4">
        <w:t xml:space="preserve"> </w:t>
      </w:r>
      <w:r w:rsidR="000904C4" w:rsidRPr="000904C4">
        <w:rPr>
          <w:rFonts w:ascii="Arial" w:eastAsia="Arial" w:hAnsi="Arial" w:cs="Arial"/>
          <w:sz w:val="16"/>
        </w:rPr>
        <w:t xml:space="preserve">in </w:t>
      </w:r>
      <w:r w:rsidR="000904C4" w:rsidRPr="000904C4">
        <w:rPr>
          <w:rFonts w:ascii="Arial" w:eastAsia="Arial" w:hAnsi="Arial" w:cs="Arial"/>
          <w:i/>
          <w:sz w:val="16"/>
        </w:rPr>
        <w:t>PMED</w:t>
      </w:r>
    </w:p>
    <w:p w14:paraId="250ACB91" w14:textId="77777777" w:rsidR="000904C4" w:rsidRPr="000904C4" w:rsidRDefault="000904C4" w:rsidP="000904C4">
      <w:pPr>
        <w:rPr>
          <w:rFonts w:ascii="Arial" w:eastAsia="Arial" w:hAnsi="Arial" w:cs="Arial"/>
          <w:sz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Jointed_Plain_Concrete_2" w:history="1">
        <w:r w:rsidRPr="000904C4">
          <w:rPr>
            <w:rStyle w:val="Hyperlink"/>
            <w:rFonts w:ascii="Arial" w:hAnsi="Arial" w:cs="Arial"/>
            <w:bCs/>
            <w:sz w:val="16"/>
            <w:szCs w:val="16"/>
          </w:rPr>
          <w:t>Jointed Plain Concrete Pavement</w:t>
        </w:r>
      </w:hyperlink>
      <w:r>
        <w:rPr>
          <w:rFonts w:ascii="Arial" w:hAnsi="Arial" w:cs="Arial"/>
          <w:bCs/>
          <w:sz w:val="16"/>
          <w:szCs w:val="16"/>
        </w:rPr>
        <w:t xml:space="preserve"> </w:t>
      </w:r>
      <w:r w:rsidRPr="000904C4">
        <w:rPr>
          <w:rFonts w:ascii="Arial" w:eastAsia="Arial" w:hAnsi="Arial" w:cs="Arial"/>
          <w:sz w:val="16"/>
        </w:rPr>
        <w:t xml:space="preserve">in </w:t>
      </w:r>
      <w:r w:rsidRPr="000904C4">
        <w:rPr>
          <w:rFonts w:ascii="Arial" w:eastAsia="Arial" w:hAnsi="Arial" w:cs="Arial"/>
          <w:i/>
          <w:sz w:val="16"/>
        </w:rPr>
        <w:t>AASHTO 1993</w:t>
      </w:r>
    </w:p>
    <w:p w14:paraId="2A304A3A" w14:textId="77777777" w:rsidR="000904C4" w:rsidRPr="000904C4" w:rsidRDefault="003E03FC" w:rsidP="0088425E">
      <w:pPr>
        <w:rPr>
          <w:rFonts w:ascii="Arial" w:eastAsia="Arial" w:hAnsi="Arial" w:cs="Arial"/>
          <w:sz w:val="16"/>
        </w:rPr>
      </w:pPr>
      <w:r>
        <w:rPr>
          <w:rFonts w:ascii="Arial" w:eastAsia="Arial" w:hAnsi="Arial" w:cs="Arial"/>
          <w:sz w:val="16"/>
        </w:rPr>
        <w:t>Click to go</w:t>
      </w:r>
      <w:r w:rsidRPr="00982DB5">
        <w:rPr>
          <w:rFonts w:ascii="Arial" w:eastAsia="Arial" w:hAnsi="Arial" w:cs="Arial"/>
          <w:sz w:val="16"/>
          <w:szCs w:val="16"/>
        </w:rPr>
        <w:t xml:space="preserve"> to</w:t>
      </w:r>
      <w:r>
        <w:rPr>
          <w:rFonts w:ascii="Arial" w:eastAsia="Arial" w:hAnsi="Arial" w:cs="Arial"/>
          <w:sz w:val="16"/>
          <w:szCs w:val="16"/>
        </w:rPr>
        <w:t xml:space="preserve"> </w:t>
      </w:r>
      <w:hyperlink w:anchor="_Concrete_Overlay_Design_1" w:history="1">
        <w:r w:rsidR="00083504" w:rsidRPr="00E96760">
          <w:rPr>
            <w:rStyle w:val="Hyperlink"/>
            <w:rFonts w:ascii="Arial" w:eastAsia="Arial" w:hAnsi="Arial" w:cs="Arial"/>
            <w:sz w:val="16"/>
            <w:szCs w:val="16"/>
          </w:rPr>
          <w:t>Concrete Overlay Design</w:t>
        </w:r>
      </w:hyperlink>
    </w:p>
    <w:p w14:paraId="199C50AA" w14:textId="1E2F16BE" w:rsidR="00617EEA" w:rsidRDefault="00617EEA" w:rsidP="00172E64">
      <w:pPr>
        <w:pStyle w:val="ListNumber"/>
        <w:numPr>
          <w:ilvl w:val="0"/>
          <w:numId w:val="109"/>
        </w:numPr>
        <w:tabs>
          <w:tab w:val="clear" w:pos="1152"/>
          <w:tab w:val="clear" w:pos="1872"/>
          <w:tab w:val="num" w:pos="1080"/>
        </w:tabs>
        <w:spacing w:before="240"/>
        <w:ind w:left="1080" w:hanging="1080"/>
        <w:jc w:val="both"/>
      </w:pPr>
      <w:r>
        <w:t>JPC pavements must have a minimum 4</w:t>
      </w:r>
      <w:r w:rsidR="001005CD">
        <w:t>"</w:t>
      </w:r>
      <w:r w:rsidR="00C317A9">
        <w:t>-</w:t>
      </w:r>
      <w:r>
        <w:t>drainage layer.</w:t>
      </w:r>
    </w:p>
    <w:p w14:paraId="1CCF4913" w14:textId="7928062F" w:rsidR="00617EEA" w:rsidRPr="00EA2350" w:rsidRDefault="00617EEA" w:rsidP="00172E64">
      <w:pPr>
        <w:pStyle w:val="ListNumber"/>
        <w:numPr>
          <w:ilvl w:val="0"/>
          <w:numId w:val="109"/>
        </w:numPr>
        <w:tabs>
          <w:tab w:val="clear" w:pos="1152"/>
          <w:tab w:val="clear" w:pos="1872"/>
          <w:tab w:val="num" w:pos="1080"/>
        </w:tabs>
        <w:ind w:left="1080" w:hanging="1080"/>
        <w:jc w:val="both"/>
        <w:rPr>
          <w:szCs w:val="22"/>
        </w:rPr>
      </w:pPr>
      <w:r w:rsidRPr="0067267A">
        <w:rPr>
          <w:u w:val="single"/>
        </w:rPr>
        <w:t xml:space="preserve">PCC </w:t>
      </w:r>
      <w:r w:rsidR="001005CD" w:rsidRPr="001005CD">
        <w:rPr>
          <w:u w:val="single"/>
        </w:rPr>
        <w:t>Joint Spa</w:t>
      </w:r>
      <w:r w:rsidRPr="001005CD">
        <w:rPr>
          <w:u w:val="single"/>
        </w:rPr>
        <w:t>cing</w:t>
      </w:r>
      <w:r w:rsidRPr="00BB4346">
        <w:t xml:space="preserve">: </w:t>
      </w:r>
      <w:r w:rsidRPr="00BB4346">
        <w:rPr>
          <w:szCs w:val="22"/>
        </w:rPr>
        <w:t xml:space="preserve">The </w:t>
      </w:r>
      <w:r w:rsidR="00D270F3">
        <w:rPr>
          <w:szCs w:val="22"/>
        </w:rPr>
        <w:t xml:space="preserve">transverse </w:t>
      </w:r>
      <w:r w:rsidRPr="00BB4346">
        <w:rPr>
          <w:szCs w:val="22"/>
        </w:rPr>
        <w:t xml:space="preserve">joint spacing shall not be greater than 15 ft.  A general guideline is that the joint spacing in feet should be twice the slab thickness in </w:t>
      </w:r>
      <w:r w:rsidRPr="00EA2350">
        <w:rPr>
          <w:szCs w:val="22"/>
        </w:rPr>
        <w:t xml:space="preserve">inches.  Consistently spaced joints shall be used in the design of rigid pavement for </w:t>
      </w:r>
      <w:r w:rsidR="008C7023">
        <w:rPr>
          <w:szCs w:val="22"/>
        </w:rPr>
        <w:t>MDOT-SHA</w:t>
      </w:r>
      <w:r w:rsidRPr="00EA2350">
        <w:rPr>
          <w:szCs w:val="22"/>
        </w:rPr>
        <w:t>.  Skewed joints shall not be used.</w:t>
      </w:r>
    </w:p>
    <w:p w14:paraId="57332409" w14:textId="10805A44" w:rsidR="000D5CB0" w:rsidRPr="000D5CB0" w:rsidRDefault="00617EEA" w:rsidP="00172E64">
      <w:pPr>
        <w:pStyle w:val="ListNumber"/>
        <w:numPr>
          <w:ilvl w:val="0"/>
          <w:numId w:val="109"/>
        </w:numPr>
        <w:tabs>
          <w:tab w:val="clear" w:pos="1152"/>
          <w:tab w:val="clear" w:pos="1872"/>
          <w:tab w:val="num" w:pos="1080"/>
        </w:tabs>
        <w:ind w:left="1080" w:hanging="1080"/>
        <w:jc w:val="both"/>
        <w:rPr>
          <w:szCs w:val="22"/>
        </w:rPr>
      </w:pPr>
      <w:r w:rsidRPr="0067267A">
        <w:rPr>
          <w:u w:val="single"/>
        </w:rPr>
        <w:t xml:space="preserve">Sealant </w:t>
      </w:r>
      <w:r w:rsidR="001005CD">
        <w:rPr>
          <w:u w:val="single"/>
        </w:rPr>
        <w:t>T</w:t>
      </w:r>
      <w:r w:rsidRPr="001005CD">
        <w:rPr>
          <w:u w:val="single"/>
        </w:rPr>
        <w:t>ype</w:t>
      </w:r>
      <w:r w:rsidRPr="00EA2350">
        <w:t xml:space="preserve">: </w:t>
      </w:r>
      <w:r w:rsidR="008C7023">
        <w:t>MDOT-SHA</w:t>
      </w:r>
      <w:r w:rsidRPr="00EA2350">
        <w:t xml:space="preserve"> does not recommend the use of sealant in transverse joints.  </w:t>
      </w:r>
    </w:p>
    <w:p w14:paraId="5FFA47B5" w14:textId="79385D5A" w:rsidR="000D5CB0" w:rsidRPr="000D5CB0" w:rsidRDefault="000D5CB0" w:rsidP="00172E64">
      <w:pPr>
        <w:pStyle w:val="ListNumber"/>
        <w:numPr>
          <w:ilvl w:val="0"/>
          <w:numId w:val="109"/>
        </w:numPr>
        <w:tabs>
          <w:tab w:val="clear" w:pos="1152"/>
          <w:tab w:val="clear" w:pos="1872"/>
          <w:tab w:val="num" w:pos="1080"/>
        </w:tabs>
        <w:ind w:left="1080" w:hanging="1080"/>
        <w:jc w:val="both"/>
        <w:rPr>
          <w:szCs w:val="22"/>
        </w:rPr>
      </w:pPr>
      <w:r w:rsidRPr="001005CD">
        <w:rPr>
          <w:szCs w:val="22"/>
          <w:u w:val="single"/>
        </w:rPr>
        <w:t xml:space="preserve">Transverse </w:t>
      </w:r>
      <w:r w:rsidR="001005CD" w:rsidRPr="001005CD">
        <w:rPr>
          <w:szCs w:val="22"/>
          <w:u w:val="single"/>
        </w:rPr>
        <w:t>J</w:t>
      </w:r>
      <w:r w:rsidRPr="001005CD">
        <w:rPr>
          <w:szCs w:val="22"/>
          <w:u w:val="single"/>
        </w:rPr>
        <w:t>oints</w:t>
      </w:r>
      <w:r w:rsidRPr="000D5CB0">
        <w:rPr>
          <w:szCs w:val="22"/>
        </w:rPr>
        <w:t xml:space="preserve">: The depth of the transverse joint should be </w:t>
      </w:r>
      <w:r w:rsidR="001F5CD7">
        <w:rPr>
          <w:rFonts w:cs="Arial"/>
          <w:szCs w:val="22"/>
        </w:rPr>
        <w:t>⅓</w:t>
      </w:r>
      <w:r w:rsidRPr="000D5CB0">
        <w:rPr>
          <w:szCs w:val="22"/>
        </w:rPr>
        <w:t xml:space="preserve"> of the slab thickness.  Sawing should be </w:t>
      </w:r>
      <w:r w:rsidR="00237FA6">
        <w:rPr>
          <w:szCs w:val="22"/>
        </w:rPr>
        <w:t>1/8</w:t>
      </w:r>
      <w:r w:rsidR="001005CD">
        <w:rPr>
          <w:szCs w:val="22"/>
        </w:rPr>
        <w:t>"</w:t>
      </w:r>
      <w:r w:rsidR="00C317A9">
        <w:rPr>
          <w:szCs w:val="22"/>
        </w:rPr>
        <w:t xml:space="preserve"> </w:t>
      </w:r>
      <w:r w:rsidR="00237FA6">
        <w:rPr>
          <w:szCs w:val="22"/>
        </w:rPr>
        <w:t xml:space="preserve">wide and </w:t>
      </w:r>
      <w:r w:rsidRPr="000D5CB0">
        <w:rPr>
          <w:szCs w:val="22"/>
        </w:rPr>
        <w:t xml:space="preserve">done as soon as possible after adequate compressive strength </w:t>
      </w:r>
      <w:r w:rsidR="002917AA" w:rsidRPr="000D5CB0">
        <w:rPr>
          <w:szCs w:val="22"/>
        </w:rPr>
        <w:t>has</w:t>
      </w:r>
      <w:r w:rsidRPr="000D5CB0">
        <w:rPr>
          <w:szCs w:val="22"/>
        </w:rPr>
        <w:t xml:space="preserve"> been achieved by the </w:t>
      </w:r>
      <w:smartTag w:uri="urn:schemas-microsoft-com:office:smarttags" w:element="stockticker">
        <w:r w:rsidRPr="000D5CB0">
          <w:rPr>
            <w:szCs w:val="22"/>
          </w:rPr>
          <w:t>PCC</w:t>
        </w:r>
      </w:smartTag>
      <w:r w:rsidRPr="000D5CB0">
        <w:rPr>
          <w:szCs w:val="22"/>
        </w:rPr>
        <w:t xml:space="preserve"> slab.  </w:t>
      </w:r>
    </w:p>
    <w:p w14:paraId="1F9DCDD0" w14:textId="5F7E7565" w:rsidR="00617EEA" w:rsidRPr="00617EEA" w:rsidRDefault="001005CD" w:rsidP="0067267A">
      <w:pPr>
        <w:pStyle w:val="ListNumber"/>
        <w:tabs>
          <w:tab w:val="clear" w:pos="720"/>
          <w:tab w:val="clear" w:pos="1872"/>
          <w:tab w:val="num" w:pos="1080"/>
        </w:tabs>
        <w:ind w:left="1080" w:hanging="1080"/>
        <w:jc w:val="both"/>
      </w:pPr>
      <w:r w:rsidRPr="001005CD">
        <w:tab/>
      </w:r>
      <w:r w:rsidR="00617EEA" w:rsidRPr="001005CD">
        <w:rPr>
          <w:u w:val="single"/>
        </w:rPr>
        <w:t xml:space="preserve">Dowel </w:t>
      </w:r>
      <w:r>
        <w:rPr>
          <w:u w:val="single"/>
        </w:rPr>
        <w:t>J</w:t>
      </w:r>
      <w:r w:rsidR="00617EEA" w:rsidRPr="001005CD">
        <w:rPr>
          <w:u w:val="single"/>
        </w:rPr>
        <w:t>oints</w:t>
      </w:r>
      <w:r w:rsidR="00617EEA" w:rsidRPr="00EA2350">
        <w:t xml:space="preserve">: A load transfer mechanism </w:t>
      </w:r>
      <w:r w:rsidR="000D5CB0">
        <w:t xml:space="preserve">at all transverse joints </w:t>
      </w:r>
      <w:r w:rsidR="00617EEA" w:rsidRPr="00EA2350">
        <w:t xml:space="preserve">using dowel bars </w:t>
      </w:r>
      <w:r>
        <w:t>is</w:t>
      </w:r>
      <w:r w:rsidRPr="00EA2350">
        <w:t xml:space="preserve"> </w:t>
      </w:r>
      <w:r w:rsidR="00617EEA" w:rsidRPr="00EA2350">
        <w:t>r</w:t>
      </w:r>
      <w:r w:rsidR="00617EEA" w:rsidRPr="00617EEA">
        <w:t xml:space="preserve">equired for all JPCP pavement designs.  Dowels shall be round smooth steel bars.  </w:t>
      </w:r>
    </w:p>
    <w:p w14:paraId="03ED5CFD" w14:textId="3D673BB1" w:rsidR="00617EEA" w:rsidRPr="00617EEA" w:rsidRDefault="001005CD" w:rsidP="0067267A">
      <w:pPr>
        <w:pStyle w:val="ListNumber"/>
        <w:tabs>
          <w:tab w:val="clear" w:pos="720"/>
          <w:tab w:val="clear" w:pos="1872"/>
          <w:tab w:val="num" w:pos="1080"/>
        </w:tabs>
        <w:ind w:left="1080" w:hanging="1080"/>
        <w:jc w:val="both"/>
      </w:pPr>
      <w:r>
        <w:tab/>
      </w:r>
      <w:r w:rsidR="00617EEA" w:rsidRPr="00617EEA">
        <w:t xml:space="preserve">As a guideline, the dowel diameter should be approximately 1/8 that of the slab thickness.  </w:t>
      </w:r>
      <w:r w:rsidR="00270997">
        <w:t>Refer to Standard No. MD 572.21 for dowel size per slab thickness.</w:t>
      </w:r>
      <w:r w:rsidR="00617EEA" w:rsidRPr="00617EEA">
        <w:t xml:space="preserve">  Dowel bars shall be 18 inches long, spaced 12 inches on center.  Dowels shall be coated with epoxy to retard corrosion in the steel.  Dowels are placed mid-depth of the </w:t>
      </w:r>
      <w:smartTag w:uri="urn:schemas-microsoft-com:office:smarttags" w:element="stockticker">
        <w:r w:rsidR="00617EEA" w:rsidRPr="00617EEA">
          <w:t>PCC</w:t>
        </w:r>
      </w:smartTag>
      <w:r w:rsidR="00617EEA" w:rsidRPr="00617EEA">
        <w:t xml:space="preserve"> slab.  </w:t>
      </w:r>
    </w:p>
    <w:p w14:paraId="441500C5" w14:textId="3C69C254" w:rsidR="00617EEA" w:rsidRPr="00617EEA" w:rsidRDefault="00617EEA" w:rsidP="00172E64">
      <w:pPr>
        <w:pStyle w:val="ListNumber"/>
        <w:numPr>
          <w:ilvl w:val="0"/>
          <w:numId w:val="109"/>
        </w:numPr>
        <w:tabs>
          <w:tab w:val="clear" w:pos="1152"/>
          <w:tab w:val="clear" w:pos="1872"/>
          <w:tab w:val="num" w:pos="1080"/>
        </w:tabs>
        <w:ind w:left="1080"/>
        <w:jc w:val="both"/>
      </w:pPr>
      <w:r w:rsidRPr="0067267A">
        <w:rPr>
          <w:u w:val="single"/>
        </w:rPr>
        <w:t xml:space="preserve">Widened </w:t>
      </w:r>
      <w:r w:rsidR="001005CD">
        <w:rPr>
          <w:u w:val="single"/>
        </w:rPr>
        <w:t>S</w:t>
      </w:r>
      <w:r w:rsidRPr="001005CD">
        <w:rPr>
          <w:u w:val="single"/>
        </w:rPr>
        <w:t>lab</w:t>
      </w:r>
      <w:r w:rsidRPr="00617EEA">
        <w:t>: The widened slab should be checked “True” only if the longitudinal joint is at least one foot wider than the paint line.</w:t>
      </w:r>
      <w:r w:rsidR="00D270F3">
        <w:t xml:space="preserve">  Where feasible, </w:t>
      </w:r>
      <w:r w:rsidR="00D270F3" w:rsidRPr="003E5EC6">
        <w:rPr>
          <w:b/>
        </w:rPr>
        <w:t xml:space="preserve">it is recommended to have a widened slab, one foot wider than the travel </w:t>
      </w:r>
      <w:r w:rsidR="00D270F3" w:rsidRPr="003E5EC6">
        <w:rPr>
          <w:b/>
        </w:rPr>
        <w:lastRenderedPageBreak/>
        <w:t>lane.</w:t>
      </w:r>
      <w:r w:rsidR="00D270F3">
        <w:t xml:space="preserve">  Where this occurs, it is not necessary to </w:t>
      </w:r>
      <w:r w:rsidR="002E2E74">
        <w:t>tie the longitudinal joints.  If a widened slab is not feasible, it is recommended to tie the longitudinal joints.</w:t>
      </w:r>
    </w:p>
    <w:p w14:paraId="3882712E" w14:textId="36530F70" w:rsidR="00617EEA" w:rsidRPr="00617EEA" w:rsidRDefault="002E2E74" w:rsidP="00A42B5F">
      <w:pPr>
        <w:pStyle w:val="ListBullet"/>
      </w:pPr>
      <w:r w:rsidRPr="001005CD">
        <w:rPr>
          <w:u w:val="single"/>
        </w:rPr>
        <w:t>L</w:t>
      </w:r>
      <w:r w:rsidR="00617EEA" w:rsidRPr="001005CD">
        <w:rPr>
          <w:u w:val="single"/>
        </w:rPr>
        <w:t xml:space="preserve">ongitudinal </w:t>
      </w:r>
      <w:r w:rsidR="001005CD">
        <w:rPr>
          <w:u w:val="single"/>
        </w:rPr>
        <w:t>J</w:t>
      </w:r>
      <w:r w:rsidR="00617EEA" w:rsidRPr="001005CD">
        <w:rPr>
          <w:u w:val="single"/>
        </w:rPr>
        <w:t>oints</w:t>
      </w:r>
      <w:r w:rsidR="00617EEA" w:rsidRPr="001005CD">
        <w:t>:</w:t>
      </w:r>
      <w:r w:rsidR="00617EEA" w:rsidRPr="000D5CB0">
        <w:t xml:space="preserve"> Longitudinal joints are typically formed during </w:t>
      </w:r>
      <w:smartTag w:uri="urn:schemas-microsoft-com:office:smarttags" w:element="stockticker">
        <w:r w:rsidR="00617EEA" w:rsidRPr="000D5CB0">
          <w:t>PCC</w:t>
        </w:r>
      </w:smartTag>
      <w:r w:rsidR="00617EEA" w:rsidRPr="000D5CB0">
        <w:t xml:space="preserve"> placement when lanes are paved in separate passes.  </w:t>
      </w:r>
      <w:r w:rsidR="00617EEA" w:rsidRPr="00617EEA">
        <w:t xml:space="preserve">  </w:t>
      </w:r>
    </w:p>
    <w:p w14:paraId="7F3CBB5D" w14:textId="77777777" w:rsidR="00617EEA" w:rsidRPr="000D5CB0" w:rsidRDefault="002E2E74" w:rsidP="0067267A">
      <w:pPr>
        <w:pStyle w:val="ListNumber"/>
        <w:tabs>
          <w:tab w:val="clear" w:pos="720"/>
          <w:tab w:val="clear" w:pos="1872"/>
        </w:tabs>
        <w:ind w:left="1080" w:firstLine="0"/>
        <w:jc w:val="both"/>
      </w:pPr>
      <w:r>
        <w:t>When slabs need to be tied, a</w:t>
      </w:r>
      <w:r w:rsidR="00617EEA" w:rsidRPr="000D5CB0">
        <w:t xml:space="preserve"> tie bar steel design is required.  Use the following guidelines to design the tie bar steel reinforcement for longitudinal joints:</w:t>
      </w:r>
    </w:p>
    <w:p w14:paraId="57ECCDD4" w14:textId="77777777" w:rsidR="00617EEA" w:rsidRPr="000D5CB0" w:rsidRDefault="00617EEA" w:rsidP="00A42B5F">
      <w:pPr>
        <w:pStyle w:val="ListBullet"/>
      </w:pPr>
    </w:p>
    <w:p w14:paraId="32A11F59" w14:textId="4050DFDD" w:rsidR="00617EEA" w:rsidRPr="000D5CB0" w:rsidRDefault="00617EEA" w:rsidP="00172E64">
      <w:pPr>
        <w:pStyle w:val="BodyText"/>
        <w:numPr>
          <w:ilvl w:val="0"/>
          <w:numId w:val="132"/>
        </w:numPr>
        <w:ind w:left="1620" w:hanging="540"/>
        <w:jc w:val="both"/>
        <w:rPr>
          <w:szCs w:val="22"/>
        </w:rPr>
      </w:pPr>
      <w:r w:rsidRPr="000D5CB0">
        <w:rPr>
          <w:szCs w:val="22"/>
          <w:u w:val="single"/>
        </w:rPr>
        <w:t>Steel Grade</w:t>
      </w:r>
      <w:r w:rsidRPr="000D5CB0">
        <w:rPr>
          <w:szCs w:val="22"/>
        </w:rPr>
        <w:t xml:space="preserve">: Use Grade 40.  Yield strength for Grade 40 steel is 40 </w:t>
      </w:r>
      <w:r w:rsidR="003D377D">
        <w:rPr>
          <w:szCs w:val="22"/>
        </w:rPr>
        <w:t>thousand pounds per square inch (</w:t>
      </w:r>
      <w:r w:rsidRPr="000D5CB0">
        <w:rPr>
          <w:szCs w:val="22"/>
        </w:rPr>
        <w:t>ksi</w:t>
      </w:r>
      <w:r w:rsidR="003D377D">
        <w:rPr>
          <w:szCs w:val="22"/>
        </w:rPr>
        <w:t>)</w:t>
      </w:r>
      <w:r w:rsidRPr="000D5CB0">
        <w:rPr>
          <w:szCs w:val="22"/>
        </w:rPr>
        <w:t>.</w:t>
      </w:r>
    </w:p>
    <w:p w14:paraId="6A3C714C" w14:textId="64C4D4A1" w:rsidR="00617EEA" w:rsidRPr="000D5CB0" w:rsidRDefault="00617EEA" w:rsidP="00172E64">
      <w:pPr>
        <w:pStyle w:val="BodyText"/>
        <w:numPr>
          <w:ilvl w:val="0"/>
          <w:numId w:val="132"/>
        </w:numPr>
        <w:ind w:left="1620" w:hanging="540"/>
        <w:jc w:val="both"/>
        <w:rPr>
          <w:szCs w:val="22"/>
        </w:rPr>
      </w:pPr>
      <w:r w:rsidRPr="000D5CB0">
        <w:rPr>
          <w:szCs w:val="22"/>
          <w:u w:val="single"/>
        </w:rPr>
        <w:t>Bar Diameter</w:t>
      </w:r>
      <w:r w:rsidRPr="000D5CB0">
        <w:rPr>
          <w:szCs w:val="22"/>
        </w:rPr>
        <w:t>: The bar diameter is the dimension of interest for steel design of rigid pavement.  Use #4 (0.5</w:t>
      </w:r>
      <w:r w:rsidR="001005CD">
        <w:rPr>
          <w:szCs w:val="22"/>
        </w:rPr>
        <w:t>"</w:t>
      </w:r>
      <w:r w:rsidR="00387A68">
        <w:rPr>
          <w:szCs w:val="22"/>
        </w:rPr>
        <w:t xml:space="preserve"> </w:t>
      </w:r>
      <w:r w:rsidRPr="000D5CB0">
        <w:rPr>
          <w:szCs w:val="22"/>
        </w:rPr>
        <w:t>diameter) or #5 (0.625</w:t>
      </w:r>
      <w:r w:rsidR="001005CD">
        <w:rPr>
          <w:szCs w:val="22"/>
        </w:rPr>
        <w:t>"</w:t>
      </w:r>
      <w:r w:rsidR="00387A68">
        <w:rPr>
          <w:szCs w:val="22"/>
        </w:rPr>
        <w:t xml:space="preserve"> </w:t>
      </w:r>
      <w:r w:rsidRPr="000D5CB0">
        <w:rPr>
          <w:szCs w:val="22"/>
        </w:rPr>
        <w:t xml:space="preserve">diameter) size bars.  Refer to </w:t>
      </w:r>
      <w:hyperlink w:anchor="_Steel_Reinforcement_Bar" w:history="1">
        <w:r w:rsidRPr="000D5CB0">
          <w:rPr>
            <w:rStyle w:val="Hyperlink"/>
            <w:szCs w:val="22"/>
          </w:rPr>
          <w:t>Steel Reinforcement Bar Dimensions</w:t>
        </w:r>
      </w:hyperlink>
      <w:r w:rsidRPr="000D5CB0">
        <w:rPr>
          <w:szCs w:val="22"/>
        </w:rPr>
        <w:t xml:space="preserve">. </w:t>
      </w:r>
    </w:p>
    <w:p w14:paraId="2BD353E4" w14:textId="6E1E0B10" w:rsidR="00617EEA" w:rsidRPr="003E5EC6" w:rsidRDefault="00617EEA" w:rsidP="00172E64">
      <w:pPr>
        <w:pStyle w:val="BodyText"/>
        <w:numPr>
          <w:ilvl w:val="0"/>
          <w:numId w:val="132"/>
        </w:numPr>
        <w:ind w:left="1620" w:hanging="540"/>
        <w:jc w:val="both"/>
        <w:rPr>
          <w:szCs w:val="22"/>
          <w:u w:val="single"/>
        </w:rPr>
      </w:pPr>
      <w:r w:rsidRPr="003E5EC6">
        <w:rPr>
          <w:szCs w:val="22"/>
          <w:u w:val="single"/>
        </w:rPr>
        <w:t>Tie Bar Spacing</w:t>
      </w:r>
      <w:r w:rsidRPr="0067267A">
        <w:t xml:space="preserve">: </w:t>
      </w:r>
      <w:r w:rsidR="00C317A9">
        <w:rPr>
          <w:szCs w:val="22"/>
        </w:rPr>
        <w:t xml:space="preserve"> </w:t>
      </w:r>
      <w:r w:rsidRPr="0067267A">
        <w:t>36</w:t>
      </w:r>
      <w:r w:rsidR="001005CD">
        <w:rPr>
          <w:szCs w:val="22"/>
        </w:rPr>
        <w:t>"</w:t>
      </w:r>
    </w:p>
    <w:p w14:paraId="65461F27" w14:textId="119B5835" w:rsidR="00617EEA" w:rsidRPr="003E5EC6" w:rsidRDefault="00617EEA" w:rsidP="00172E64">
      <w:pPr>
        <w:pStyle w:val="BodyText"/>
        <w:numPr>
          <w:ilvl w:val="0"/>
          <w:numId w:val="132"/>
        </w:numPr>
        <w:ind w:left="1620" w:hanging="540"/>
        <w:jc w:val="both"/>
        <w:rPr>
          <w:szCs w:val="22"/>
          <w:u w:val="single"/>
        </w:rPr>
      </w:pPr>
      <w:r w:rsidRPr="003E5EC6">
        <w:rPr>
          <w:szCs w:val="22"/>
          <w:u w:val="single"/>
        </w:rPr>
        <w:t>Tie Bar Length</w:t>
      </w:r>
      <w:r w:rsidRPr="0067267A">
        <w:t xml:space="preserve">: </w:t>
      </w:r>
      <w:r w:rsidR="00C317A9">
        <w:rPr>
          <w:szCs w:val="22"/>
        </w:rPr>
        <w:t xml:space="preserve"> </w:t>
      </w:r>
      <w:r w:rsidRPr="0067267A">
        <w:t>36</w:t>
      </w:r>
      <w:r w:rsidR="001005CD">
        <w:rPr>
          <w:szCs w:val="22"/>
        </w:rPr>
        <w:t>"</w:t>
      </w:r>
    </w:p>
    <w:p w14:paraId="4E260664" w14:textId="77777777" w:rsidR="007039AC" w:rsidRDefault="007039AC" w:rsidP="00A42B5F">
      <w:pPr>
        <w:pStyle w:val="ListBullet"/>
      </w:pPr>
    </w:p>
    <w:p w14:paraId="23D00166" w14:textId="77777777" w:rsidR="007039AC" w:rsidRDefault="007039AC" w:rsidP="00172E64">
      <w:pPr>
        <w:pStyle w:val="Heading5"/>
        <w:numPr>
          <w:ilvl w:val="4"/>
          <w:numId w:val="184"/>
        </w:numPr>
        <w:tabs>
          <w:tab w:val="clear" w:pos="1080"/>
          <w:tab w:val="left" w:pos="1800"/>
        </w:tabs>
        <w:ind w:left="1098" w:hanging="1098"/>
      </w:pPr>
      <w:bookmarkStart w:id="448" w:name="_Continuous_Reinforced_Concrete_1"/>
      <w:bookmarkEnd w:id="448"/>
      <w:r>
        <w:t>Continuous Reinforced Concrete Pavement Design</w:t>
      </w:r>
    </w:p>
    <w:p w14:paraId="7DD25C13" w14:textId="77777777" w:rsidR="007039AC" w:rsidRDefault="007039AC" w:rsidP="007039AC">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Continuous_Reinforced_Concrete" w:history="1">
        <w:r w:rsidRPr="007039AC">
          <w:rPr>
            <w:rStyle w:val="Hyperlink"/>
            <w:rFonts w:ascii="Arial" w:hAnsi="Arial" w:cs="Arial"/>
            <w:bCs/>
            <w:sz w:val="16"/>
            <w:szCs w:val="16"/>
          </w:rPr>
          <w:t>Continuous Reinforced Concrete Pavement</w:t>
        </w:r>
      </w:hyperlink>
    </w:p>
    <w:p w14:paraId="0A2343AF" w14:textId="0F93923E" w:rsidR="00EE5F0E" w:rsidRPr="00A66597" w:rsidRDefault="00EE5F0E" w:rsidP="00EE5F0E">
      <w:r w:rsidRPr="00A66597">
        <w:rPr>
          <w:rFonts w:ascii="Arial" w:eastAsia="Arial" w:hAnsi="Arial" w:cs="Arial"/>
          <w:sz w:val="16"/>
        </w:rPr>
        <w:t>Click to go</w:t>
      </w:r>
      <w:r w:rsidRPr="00A66597">
        <w:rPr>
          <w:rFonts w:ascii="Arial" w:eastAsia="Arial" w:hAnsi="Arial" w:cs="Arial"/>
          <w:sz w:val="16"/>
          <w:szCs w:val="16"/>
        </w:rPr>
        <w:t xml:space="preserve"> to</w:t>
      </w:r>
      <w:r w:rsidRPr="00A66597">
        <w:rPr>
          <w:rFonts w:ascii="Arial" w:hAnsi="Arial" w:cs="Arial"/>
          <w:bCs/>
          <w:sz w:val="16"/>
          <w:szCs w:val="16"/>
        </w:rPr>
        <w:t xml:space="preserve"> </w:t>
      </w:r>
      <w:hyperlink w:anchor="_CRCP_steel_reinforcement_1" w:history="1">
        <w:r w:rsidRPr="00A66597">
          <w:rPr>
            <w:rStyle w:val="Hyperlink"/>
            <w:rFonts w:ascii="Arial" w:hAnsi="Arial" w:cs="Arial"/>
            <w:bCs/>
            <w:sz w:val="16"/>
            <w:szCs w:val="16"/>
          </w:rPr>
          <w:t>CRCP</w:t>
        </w:r>
        <w:r w:rsidR="001005CD" w:rsidRPr="00A66597">
          <w:rPr>
            <w:rStyle w:val="Hyperlink"/>
            <w:rFonts w:ascii="Arial" w:hAnsi="Arial" w:cs="Arial"/>
            <w:bCs/>
            <w:sz w:val="16"/>
            <w:szCs w:val="16"/>
          </w:rPr>
          <w:t xml:space="preserve"> Steel Reinforcement Design Inpu</w:t>
        </w:r>
        <w:r w:rsidRPr="00A66597">
          <w:rPr>
            <w:rStyle w:val="Hyperlink"/>
            <w:rFonts w:ascii="Arial" w:hAnsi="Arial" w:cs="Arial"/>
            <w:bCs/>
            <w:sz w:val="16"/>
            <w:szCs w:val="16"/>
          </w:rPr>
          <w:t>ts – AASHTO 1993</w:t>
        </w:r>
      </w:hyperlink>
    </w:p>
    <w:p w14:paraId="595C9744" w14:textId="26D666EF" w:rsidR="009A234B" w:rsidRDefault="009A234B" w:rsidP="00172E64">
      <w:pPr>
        <w:pStyle w:val="ListNumber"/>
        <w:numPr>
          <w:ilvl w:val="0"/>
          <w:numId w:val="125"/>
        </w:numPr>
        <w:tabs>
          <w:tab w:val="clear" w:pos="1152"/>
          <w:tab w:val="clear" w:pos="1872"/>
          <w:tab w:val="num" w:pos="1080"/>
        </w:tabs>
        <w:spacing w:before="240"/>
        <w:jc w:val="both"/>
      </w:pPr>
      <w:r>
        <w:t>The</w:t>
      </w:r>
      <w:r w:rsidRPr="00BB2D1E">
        <w:t xml:space="preserve"> </w:t>
      </w:r>
      <w:smartTag w:uri="urn:schemas-microsoft-com:office:smarttags" w:element="stockticker">
        <w:r w:rsidRPr="00BB2D1E">
          <w:t>PCC</w:t>
        </w:r>
      </w:smartTag>
      <w:r w:rsidRPr="00BB2D1E">
        <w:t xml:space="preserve"> mix </w:t>
      </w:r>
      <w:r>
        <w:t xml:space="preserve">shall have </w:t>
      </w:r>
      <w:r w:rsidRPr="00BB2D1E">
        <w:t>equivalent or better long-term performance than SHA Mix #7 per Section 902</w:t>
      </w:r>
      <w:r>
        <w:t>.</w:t>
      </w:r>
    </w:p>
    <w:p w14:paraId="3C75E227" w14:textId="2B5E15B6" w:rsidR="007039AC" w:rsidRPr="007A50AF" w:rsidRDefault="007039AC" w:rsidP="00172E64">
      <w:pPr>
        <w:pStyle w:val="ListNumber"/>
        <w:numPr>
          <w:ilvl w:val="0"/>
          <w:numId w:val="125"/>
        </w:numPr>
        <w:tabs>
          <w:tab w:val="clear" w:pos="1152"/>
          <w:tab w:val="clear" w:pos="1872"/>
          <w:tab w:val="num" w:pos="1080"/>
        </w:tabs>
        <w:spacing w:before="240"/>
        <w:jc w:val="both"/>
      </w:pPr>
      <w:r>
        <w:t>C</w:t>
      </w:r>
      <w:r w:rsidRPr="007A50AF">
        <w:t>RC pavements must have a minimum 4</w:t>
      </w:r>
      <w:r w:rsidR="001005CD">
        <w:t>"</w:t>
      </w:r>
      <w:r w:rsidR="00C317A9">
        <w:t>-</w:t>
      </w:r>
      <w:r w:rsidRPr="007A50AF">
        <w:t>drainage layer.</w:t>
      </w:r>
    </w:p>
    <w:p w14:paraId="1171B947" w14:textId="77777777" w:rsidR="007A50AF" w:rsidRPr="00314FCA" w:rsidRDefault="002C2454" w:rsidP="00172E64">
      <w:pPr>
        <w:pStyle w:val="ListNumber"/>
        <w:numPr>
          <w:ilvl w:val="0"/>
          <w:numId w:val="125"/>
        </w:numPr>
        <w:tabs>
          <w:tab w:val="clear" w:pos="1152"/>
          <w:tab w:val="clear" w:pos="1872"/>
          <w:tab w:val="num" w:pos="1080"/>
        </w:tabs>
        <w:ind w:left="1080" w:hanging="1080"/>
        <w:jc w:val="both"/>
      </w:pPr>
      <w:r w:rsidRPr="007A50AF">
        <w:t>The shou</w:t>
      </w:r>
      <w:r w:rsidRPr="00314FCA">
        <w:t>lder should be concrete.  If for some reason that is not chosen, HMA is the secondary choice.</w:t>
      </w:r>
    </w:p>
    <w:p w14:paraId="52DD9ABB" w14:textId="1AE686DE" w:rsidR="00314FCA" w:rsidRPr="00E35E5F" w:rsidRDefault="003B46EA" w:rsidP="00172E64">
      <w:pPr>
        <w:pStyle w:val="ListNumber"/>
        <w:numPr>
          <w:ilvl w:val="0"/>
          <w:numId w:val="125"/>
        </w:numPr>
        <w:tabs>
          <w:tab w:val="clear" w:pos="1152"/>
          <w:tab w:val="clear" w:pos="1872"/>
          <w:tab w:val="num" w:pos="1080"/>
        </w:tabs>
        <w:ind w:left="1080" w:hanging="1080"/>
        <w:jc w:val="both"/>
      </w:pPr>
      <w:r w:rsidRPr="00314FCA">
        <w:t>For the steel percentage, less steel equals higher crack spacing and larger crack widths.  Ideally, crack spacing should be between 3 and 6 ft</w:t>
      </w:r>
      <w:r w:rsidR="00C317A9">
        <w:t>.</w:t>
      </w:r>
      <w:r w:rsidRPr="00314FCA">
        <w:t>,</w:t>
      </w:r>
      <w:r w:rsidRPr="00314FCA">
        <w:rPr>
          <w:b/>
        </w:rPr>
        <w:t xml:space="preserve"> and most importantly, the maximum crack width should be 0.02 inches.</w:t>
      </w:r>
      <w:r w:rsidRPr="00314FCA">
        <w:t xml:space="preserve"> </w:t>
      </w:r>
      <w:r w:rsidR="00314FCA" w:rsidRPr="00314FCA">
        <w:t xml:space="preserve"> Typical steel </w:t>
      </w:r>
      <w:r w:rsidR="00314FCA" w:rsidRPr="00E35E5F">
        <w:t>percentage should be between 0.</w:t>
      </w:r>
      <w:r w:rsidR="00E35E5F" w:rsidRPr="00E35E5F">
        <w:t>7</w:t>
      </w:r>
      <w:r w:rsidR="00314FCA" w:rsidRPr="00E35E5F">
        <w:t>% and 0.8%</w:t>
      </w:r>
      <w:r w:rsidR="00E35E5F" w:rsidRPr="00E35E5F">
        <w:t>, but may go as low as 0</w:t>
      </w:r>
      <w:r w:rsidR="001005CD">
        <w:t>.</w:t>
      </w:r>
      <w:r w:rsidR="00E35E5F" w:rsidRPr="00E35E5F">
        <w:t>6%</w:t>
      </w:r>
      <w:r w:rsidR="00314FCA" w:rsidRPr="00E35E5F">
        <w:t>.</w:t>
      </w:r>
    </w:p>
    <w:p w14:paraId="1A85CBC8" w14:textId="72572C82" w:rsidR="00314FCA" w:rsidRDefault="0060362B" w:rsidP="00172E64">
      <w:pPr>
        <w:pStyle w:val="ListNumber"/>
        <w:numPr>
          <w:ilvl w:val="0"/>
          <w:numId w:val="125"/>
        </w:numPr>
        <w:tabs>
          <w:tab w:val="clear" w:pos="1152"/>
          <w:tab w:val="clear" w:pos="1872"/>
          <w:tab w:val="num" w:pos="1080"/>
        </w:tabs>
        <w:ind w:left="1080" w:hanging="1080"/>
        <w:jc w:val="both"/>
      </w:pPr>
      <w:r w:rsidRPr="0067267A">
        <w:rPr>
          <w:u w:val="single"/>
        </w:rPr>
        <w:t>Longitudinal Steel</w:t>
      </w:r>
      <w:r>
        <w:rPr>
          <w:szCs w:val="22"/>
        </w:rPr>
        <w:t xml:space="preserve">: </w:t>
      </w:r>
      <w:r w:rsidR="00C317A9">
        <w:rPr>
          <w:szCs w:val="22"/>
        </w:rPr>
        <w:t xml:space="preserve"> </w:t>
      </w:r>
      <w:r w:rsidR="000C7A6A">
        <w:rPr>
          <w:szCs w:val="22"/>
        </w:rPr>
        <w:t>F</w:t>
      </w:r>
      <w:r w:rsidR="00E35E5F" w:rsidRPr="00E35E5F">
        <w:rPr>
          <w:szCs w:val="22"/>
        </w:rPr>
        <w:t>or the reinforcing steel size and spacing, target 5</w:t>
      </w:r>
      <w:r w:rsidR="000C7A6A">
        <w:rPr>
          <w:szCs w:val="22"/>
        </w:rPr>
        <w:t>"-</w:t>
      </w:r>
      <w:r w:rsidR="00E35E5F" w:rsidRPr="00E35E5F">
        <w:rPr>
          <w:szCs w:val="22"/>
        </w:rPr>
        <w:t xml:space="preserve"> to 6</w:t>
      </w:r>
      <w:r w:rsidR="000C7A6A">
        <w:rPr>
          <w:szCs w:val="22"/>
        </w:rPr>
        <w:t>"-</w:t>
      </w:r>
      <w:r w:rsidR="00E35E5F" w:rsidRPr="00E35E5F">
        <w:rPr>
          <w:szCs w:val="22"/>
        </w:rPr>
        <w:t xml:space="preserve">spacing, which combined with the steel percentage will help determine rebar size.  Refer to </w:t>
      </w:r>
      <w:hyperlink w:anchor="_Steel_Reinforcement_Bar" w:history="1">
        <w:r w:rsidR="00E35E5F" w:rsidRPr="00E35E5F">
          <w:rPr>
            <w:rStyle w:val="Hyperlink"/>
            <w:szCs w:val="22"/>
          </w:rPr>
          <w:t>Steel Reinforcement Bar Dimensions</w:t>
        </w:r>
      </w:hyperlink>
      <w:r w:rsidR="00E35E5F" w:rsidRPr="00E35E5F">
        <w:t>.  All rebar should be placed on chairs.  Avoid splices along the same line; splices should be skewed or staggered to avoid rebar/concrete interference.</w:t>
      </w:r>
    </w:p>
    <w:p w14:paraId="19E774F3" w14:textId="15537256" w:rsidR="0060362B" w:rsidRPr="00E35E5F" w:rsidRDefault="0060362B" w:rsidP="00172E64">
      <w:pPr>
        <w:pStyle w:val="ListNumber"/>
        <w:numPr>
          <w:ilvl w:val="0"/>
          <w:numId w:val="125"/>
        </w:numPr>
        <w:tabs>
          <w:tab w:val="clear" w:pos="1152"/>
          <w:tab w:val="clear" w:pos="1872"/>
          <w:tab w:val="num" w:pos="1080"/>
        </w:tabs>
        <w:ind w:left="1080" w:hanging="1080"/>
        <w:jc w:val="both"/>
      </w:pPr>
      <w:r w:rsidRPr="0067267A">
        <w:rPr>
          <w:u w:val="single"/>
        </w:rPr>
        <w:t>Transverse Steel</w:t>
      </w:r>
      <w:r>
        <w:t xml:space="preserve">: </w:t>
      </w:r>
      <w:r w:rsidR="00C317A9">
        <w:t xml:space="preserve"> </w:t>
      </w:r>
      <w:r>
        <w:t>Specify #5 bars at 36</w:t>
      </w:r>
      <w:r w:rsidR="00C317A9">
        <w:t xml:space="preserve">" </w:t>
      </w:r>
      <w:r>
        <w:t>spacing.</w:t>
      </w:r>
    </w:p>
    <w:p w14:paraId="5F7E5815" w14:textId="77777777" w:rsidR="007A50AF" w:rsidRPr="00314FCA" w:rsidRDefault="007A50AF" w:rsidP="00E71B93">
      <w:pPr>
        <w:pStyle w:val="ListBullet"/>
      </w:pPr>
    </w:p>
    <w:p w14:paraId="3877EDD4" w14:textId="6CE8543B" w:rsidR="000971A8" w:rsidRPr="00C317A9" w:rsidRDefault="00314FCA" w:rsidP="00172E64">
      <w:pPr>
        <w:pStyle w:val="BodyText"/>
        <w:numPr>
          <w:ilvl w:val="0"/>
          <w:numId w:val="132"/>
        </w:numPr>
        <w:ind w:left="1620" w:hanging="540"/>
        <w:jc w:val="both"/>
        <w:rPr>
          <w:szCs w:val="22"/>
        </w:rPr>
      </w:pPr>
      <w:r w:rsidRPr="00C317A9">
        <w:rPr>
          <w:szCs w:val="22"/>
        </w:rPr>
        <w:t>Historical performance and PMED modeling have shown the best performance when s</w:t>
      </w:r>
      <w:r w:rsidR="007039AC" w:rsidRPr="00C317A9">
        <w:rPr>
          <w:szCs w:val="22"/>
        </w:rPr>
        <w:t xml:space="preserve">teel reinforcement </w:t>
      </w:r>
      <w:r w:rsidRPr="00C317A9">
        <w:rPr>
          <w:szCs w:val="22"/>
        </w:rPr>
        <w:t>is</w:t>
      </w:r>
      <w:r w:rsidR="007039AC" w:rsidRPr="00C317A9">
        <w:rPr>
          <w:szCs w:val="22"/>
        </w:rPr>
        <w:t xml:space="preserve"> placed </w:t>
      </w:r>
      <w:r w:rsidR="003B46EA" w:rsidRPr="00C317A9">
        <w:rPr>
          <w:szCs w:val="22"/>
        </w:rPr>
        <w:t>as shallow as possible, without compromising minimum cover depth.</w:t>
      </w:r>
      <w:r w:rsidRPr="00C317A9">
        <w:rPr>
          <w:szCs w:val="22"/>
        </w:rPr>
        <w:t xml:space="preserve">  </w:t>
      </w:r>
      <w:r w:rsidR="007039AC" w:rsidRPr="00C317A9">
        <w:rPr>
          <w:szCs w:val="22"/>
        </w:rPr>
        <w:t xml:space="preserve">  </w:t>
      </w:r>
    </w:p>
    <w:p w14:paraId="6BEBA8CB" w14:textId="3D561181" w:rsidR="000971A8" w:rsidRPr="003D5F59" w:rsidRDefault="000971A8" w:rsidP="00172E64">
      <w:pPr>
        <w:pStyle w:val="BodyText"/>
        <w:numPr>
          <w:ilvl w:val="0"/>
          <w:numId w:val="132"/>
        </w:numPr>
        <w:ind w:left="1620" w:hanging="540"/>
        <w:jc w:val="both"/>
      </w:pPr>
      <w:r w:rsidRPr="0067267A">
        <w:rPr>
          <w:u w:val="single"/>
        </w:rPr>
        <w:t>Tie-Bar Spacing and Length</w:t>
      </w:r>
      <w:r>
        <w:t>: 36</w:t>
      </w:r>
      <w:r w:rsidR="000C7A6A">
        <w:t>"</w:t>
      </w:r>
      <w:r>
        <w:t xml:space="preserve">.  Use Grade 40 steel. </w:t>
      </w:r>
    </w:p>
    <w:p w14:paraId="4AB7583A" w14:textId="77777777" w:rsidR="003D5F59" w:rsidRPr="003D5F59" w:rsidRDefault="003D5F59" w:rsidP="007039AC">
      <w:pPr>
        <w:pStyle w:val="BodyText"/>
        <w:jc w:val="both"/>
        <w:rPr>
          <w:szCs w:val="22"/>
        </w:rPr>
      </w:pPr>
    </w:p>
    <w:p w14:paraId="76C072DF" w14:textId="77777777" w:rsidR="00787D78" w:rsidRPr="00787D78" w:rsidRDefault="00787D78" w:rsidP="00172E64">
      <w:pPr>
        <w:pStyle w:val="Heading4"/>
        <w:numPr>
          <w:ilvl w:val="3"/>
          <w:numId w:val="184"/>
        </w:numPr>
        <w:tabs>
          <w:tab w:val="clear" w:pos="1080"/>
          <w:tab w:val="left" w:pos="1440"/>
        </w:tabs>
        <w:ind w:left="1440" w:hanging="1440"/>
      </w:pPr>
      <w:bookmarkStart w:id="449" w:name="_CRCP_steel_reinforcement"/>
      <w:bookmarkEnd w:id="449"/>
      <w:r>
        <w:t>Shoulder Design</w:t>
      </w:r>
    </w:p>
    <w:p w14:paraId="5003D1FE" w14:textId="77777777" w:rsidR="00EA1AEE" w:rsidRPr="006C3991" w:rsidRDefault="00EA1AEE" w:rsidP="00EA1AEE">
      <w:pPr>
        <w:pStyle w:val="BodyText"/>
        <w:jc w:val="both"/>
      </w:pPr>
      <w:r w:rsidRPr="006C3991">
        <w:t>The following guidelines should be considered when designing the shoulders:</w:t>
      </w:r>
    </w:p>
    <w:p w14:paraId="3D9BD637" w14:textId="29EA478C" w:rsidR="00EA1AEE" w:rsidRPr="006C3991" w:rsidRDefault="00EA1AEE" w:rsidP="0067267A">
      <w:pPr>
        <w:pStyle w:val="BodyText"/>
        <w:numPr>
          <w:ilvl w:val="0"/>
          <w:numId w:val="7"/>
        </w:numPr>
        <w:tabs>
          <w:tab w:val="clear" w:pos="360"/>
          <w:tab w:val="num" w:pos="720"/>
        </w:tabs>
        <w:ind w:left="720" w:hanging="720"/>
        <w:jc w:val="both"/>
      </w:pPr>
      <w:r w:rsidRPr="006C3991">
        <w:lastRenderedPageBreak/>
        <w:t>Median shoulders less than 4</w:t>
      </w:r>
      <w:r w:rsidR="000C7A6A">
        <w:t>'</w:t>
      </w:r>
      <w:r w:rsidRPr="006C3991">
        <w:t xml:space="preserve"> in width are designed with the same pavement structure as the mainline roadway.</w:t>
      </w:r>
    </w:p>
    <w:p w14:paraId="1E75C6C3" w14:textId="53D92C9D" w:rsidR="00EA1AEE" w:rsidRPr="006C3991" w:rsidRDefault="00EA1AEE" w:rsidP="0067267A">
      <w:pPr>
        <w:pStyle w:val="BodyText"/>
        <w:numPr>
          <w:ilvl w:val="0"/>
          <w:numId w:val="7"/>
        </w:numPr>
        <w:tabs>
          <w:tab w:val="clear" w:pos="360"/>
          <w:tab w:val="num" w:pos="720"/>
        </w:tabs>
        <w:ind w:left="720" w:hanging="720"/>
        <w:jc w:val="both"/>
      </w:pPr>
      <w:r w:rsidRPr="006C3991">
        <w:t>Median shoulders greater than 4</w:t>
      </w:r>
      <w:r w:rsidR="000C7A6A">
        <w:t>'</w:t>
      </w:r>
      <w:r w:rsidRPr="006C3991">
        <w:t xml:space="preserve"> in width are designed with 2</w:t>
      </w:r>
      <w:r w:rsidR="000C7A6A">
        <w:t>'</w:t>
      </w:r>
      <w:r w:rsidRPr="006C3991">
        <w:t xml:space="preserve"> of the shoulder next to the mainline having the same pavement structure as the mainline roadway.  The remaining width of the shoulder is designed following shoulder design guidelines.</w:t>
      </w:r>
      <w:r w:rsidR="00BC5973" w:rsidRPr="006C3991">
        <w:t xml:space="preserve">  Refer to </w:t>
      </w:r>
      <w:hyperlink w:anchor="_Shoulder_Design_1" w:history="1">
        <w:r w:rsidR="00BC5973" w:rsidRPr="006C3991">
          <w:rPr>
            <w:rStyle w:val="Hyperlink"/>
          </w:rPr>
          <w:t>Shoulder Design</w:t>
        </w:r>
      </w:hyperlink>
      <w:r w:rsidR="00BC5973" w:rsidRPr="006C3991">
        <w:t>.</w:t>
      </w:r>
    </w:p>
    <w:p w14:paraId="2756E4F5" w14:textId="5D0C4A64" w:rsidR="00BC5973" w:rsidRDefault="00EA1AEE" w:rsidP="0067267A">
      <w:pPr>
        <w:pStyle w:val="BodyText"/>
        <w:numPr>
          <w:ilvl w:val="0"/>
          <w:numId w:val="7"/>
        </w:numPr>
        <w:tabs>
          <w:tab w:val="clear" w:pos="360"/>
          <w:tab w:val="num" w:pos="720"/>
        </w:tabs>
        <w:ind w:left="720" w:hanging="720"/>
        <w:jc w:val="both"/>
      </w:pPr>
      <w:r w:rsidRPr="006C3991">
        <w:t>Outside shoulders requiring a traffic level of 4 (greater than 10 million ESAL) or greater for Superpave mix design shall be designed with 2</w:t>
      </w:r>
      <w:r w:rsidR="000C7A6A">
        <w:t>'</w:t>
      </w:r>
      <w:r w:rsidRPr="006C3991">
        <w:t xml:space="preserve"> of the shoulder next to the mainline match</w:t>
      </w:r>
      <w:r w:rsidR="000C7A6A">
        <w:t>ing</w:t>
      </w:r>
      <w:r w:rsidRPr="006C3991">
        <w:t xml:space="preserve"> the pavement structure of the mainline roadway.  The remaining width of the shoulder is designed following shoulder design guidelines. </w:t>
      </w:r>
      <w:r w:rsidR="00BC5973" w:rsidRPr="006C3991">
        <w:t xml:space="preserve"> Refer to </w:t>
      </w:r>
      <w:hyperlink w:anchor="_Shoulder_Design_1" w:history="1">
        <w:r w:rsidR="00BC5973" w:rsidRPr="006C3991">
          <w:rPr>
            <w:rStyle w:val="Hyperlink"/>
          </w:rPr>
          <w:t>Shoulder Design</w:t>
        </w:r>
      </w:hyperlink>
      <w:r w:rsidR="00BC5973" w:rsidRPr="006C3991">
        <w:t>.</w:t>
      </w:r>
    </w:p>
    <w:p w14:paraId="7AB17FF1" w14:textId="77777777" w:rsidR="00A702A6" w:rsidRDefault="00A702A6" w:rsidP="00172E64">
      <w:pPr>
        <w:pStyle w:val="Heading4"/>
        <w:numPr>
          <w:ilvl w:val="3"/>
          <w:numId w:val="184"/>
        </w:numPr>
        <w:tabs>
          <w:tab w:val="clear" w:pos="1080"/>
          <w:tab w:val="left" w:pos="1890"/>
        </w:tabs>
        <w:spacing w:before="240" w:after="60"/>
        <w:ind w:left="1800" w:hanging="1800"/>
      </w:pPr>
      <w:r>
        <w:t xml:space="preserve">Permeable Pavement Systems </w:t>
      </w:r>
    </w:p>
    <w:p w14:paraId="67EA985F" w14:textId="3B8EBCD0" w:rsidR="00A702A6" w:rsidRDefault="00A702A6" w:rsidP="00A702A6">
      <w:pPr>
        <w:jc w:val="both"/>
        <w:rPr>
          <w:rFonts w:ascii="Arial" w:hAnsi="Arial"/>
          <w:sz w:val="22"/>
        </w:rPr>
      </w:pPr>
      <w:r>
        <w:rPr>
          <w:rFonts w:ascii="Arial" w:hAnsi="Arial"/>
          <w:sz w:val="22"/>
        </w:rPr>
        <w:t xml:space="preserve">MDE defines permeable pavement systems as alternatives that may be used to reduce pavement imperviousness. Permeable pavement systems may be divided into two types based on the kind of surface material: porous asphalt and pervious concrete. This section will attempt to address some of the basic concepts of permeable pavement systems. </w:t>
      </w:r>
    </w:p>
    <w:p w14:paraId="2DE46A73" w14:textId="77777777" w:rsidR="00A702A6" w:rsidRDefault="00A702A6" w:rsidP="00A702A6">
      <w:pPr>
        <w:jc w:val="both"/>
        <w:rPr>
          <w:rFonts w:ascii="Arial" w:hAnsi="Arial"/>
          <w:sz w:val="22"/>
        </w:rPr>
      </w:pPr>
    </w:p>
    <w:p w14:paraId="2ED493DF" w14:textId="133B1C37" w:rsidR="00A702A6" w:rsidRDefault="00A702A6" w:rsidP="00A702A6">
      <w:pPr>
        <w:jc w:val="both"/>
        <w:rPr>
          <w:rFonts w:ascii="Arial" w:hAnsi="Arial"/>
          <w:sz w:val="22"/>
        </w:rPr>
      </w:pPr>
      <w:r>
        <w:rPr>
          <w:rFonts w:ascii="Arial" w:hAnsi="Arial"/>
          <w:sz w:val="22"/>
        </w:rPr>
        <w:t>Permeable pavements may only be used for sidewalks, hiker/biker trails</w:t>
      </w:r>
      <w:r w:rsidR="000C7A6A">
        <w:rPr>
          <w:rFonts w:ascii="Arial" w:hAnsi="Arial"/>
          <w:sz w:val="22"/>
        </w:rPr>
        <w:t>,</w:t>
      </w:r>
      <w:r>
        <w:rPr>
          <w:rFonts w:ascii="Arial" w:hAnsi="Arial"/>
          <w:sz w:val="22"/>
        </w:rPr>
        <w:t xml:space="preserve"> or parking lots.</w:t>
      </w:r>
    </w:p>
    <w:p w14:paraId="2C39A08A" w14:textId="77777777" w:rsidR="00A702A6" w:rsidRDefault="00A702A6" w:rsidP="00A702A6">
      <w:pPr>
        <w:jc w:val="both"/>
        <w:rPr>
          <w:rFonts w:ascii="Arial" w:hAnsi="Arial"/>
          <w:sz w:val="22"/>
        </w:rPr>
      </w:pPr>
    </w:p>
    <w:p w14:paraId="39D08F65" w14:textId="53AEAAA2" w:rsidR="00A702A6" w:rsidRDefault="00A702A6" w:rsidP="00A702A6">
      <w:pPr>
        <w:jc w:val="both"/>
        <w:rPr>
          <w:rFonts w:ascii="Arial" w:hAnsi="Arial"/>
          <w:sz w:val="22"/>
        </w:rPr>
      </w:pPr>
      <w:r>
        <w:rPr>
          <w:rFonts w:ascii="Arial" w:hAnsi="Arial"/>
          <w:sz w:val="22"/>
        </w:rPr>
        <w:t>In general, permeable pavements consist of a porous surface course and an open-graded stone base or sand drainage system placed on native soils. The main purpose of the permeable pavement systems is to capture stormwater and infiltrate it into the surrounding soils to reduce the amount of runoff and the need for stormwater management facilities. Permeable pavement systems also improve water quality, provide groundwater recharge benefits</w:t>
      </w:r>
      <w:r w:rsidR="000C7A6A">
        <w:rPr>
          <w:rFonts w:ascii="Arial" w:hAnsi="Arial"/>
          <w:sz w:val="22"/>
        </w:rPr>
        <w:t>,</w:t>
      </w:r>
      <w:r>
        <w:rPr>
          <w:rFonts w:ascii="Arial" w:hAnsi="Arial"/>
          <w:sz w:val="22"/>
        </w:rPr>
        <w:t xml:space="preserve"> and help remove surface water. Refer to </w:t>
      </w:r>
      <w:hyperlink r:id="rId212" w:history="1">
        <w:r w:rsidRPr="00A702A6">
          <w:rPr>
            <w:rStyle w:val="Hyperlink"/>
            <w:rFonts w:ascii="Arial" w:hAnsi="Arial"/>
            <w:sz w:val="22"/>
          </w:rPr>
          <w:t>Standard MD 580.10</w:t>
        </w:r>
      </w:hyperlink>
      <w:r>
        <w:rPr>
          <w:rFonts w:ascii="Arial" w:hAnsi="Arial"/>
          <w:sz w:val="22"/>
        </w:rPr>
        <w:t xml:space="preserve"> for a typical permeable pavement system.  Refer to </w:t>
      </w:r>
      <w:hyperlink r:id="rId213" w:history="1">
        <w:r w:rsidRPr="002606DB">
          <w:rPr>
            <w:rStyle w:val="Hyperlink"/>
            <w:rFonts w:ascii="Arial" w:hAnsi="Arial"/>
            <w:sz w:val="22"/>
          </w:rPr>
          <w:t>Figure 5.3 of Chapter 5 of MDE's Environmental Site Design, Page 49</w:t>
        </w:r>
      </w:hyperlink>
      <w:r>
        <w:rPr>
          <w:rFonts w:ascii="Arial" w:hAnsi="Arial"/>
          <w:sz w:val="22"/>
        </w:rPr>
        <w:t xml:space="preserve"> for additional examples.</w:t>
      </w:r>
    </w:p>
    <w:p w14:paraId="1119F78D" w14:textId="77777777" w:rsidR="00A702A6" w:rsidRDefault="00A702A6" w:rsidP="00A702A6">
      <w:pPr>
        <w:jc w:val="center"/>
        <w:rPr>
          <w:rFonts w:ascii="Arial" w:hAnsi="Arial"/>
          <w:sz w:val="22"/>
        </w:rPr>
      </w:pPr>
    </w:p>
    <w:p w14:paraId="2C3A983E" w14:textId="77777777" w:rsidR="00A702A6" w:rsidRDefault="00A702A6" w:rsidP="00172E64">
      <w:pPr>
        <w:pStyle w:val="Heading5"/>
        <w:numPr>
          <w:ilvl w:val="4"/>
          <w:numId w:val="184"/>
        </w:numPr>
        <w:tabs>
          <w:tab w:val="left" w:pos="1800"/>
        </w:tabs>
        <w:ind w:left="1098" w:hanging="1098"/>
      </w:pPr>
      <w:r>
        <w:t>Porous Asphalt Pavement</w:t>
      </w:r>
    </w:p>
    <w:p w14:paraId="5EEF48F4" w14:textId="77777777" w:rsidR="00A702A6" w:rsidRDefault="00A702A6" w:rsidP="00C6729A">
      <w:pPr>
        <w:jc w:val="both"/>
        <w:rPr>
          <w:rFonts w:ascii="Arial" w:hAnsi="Arial"/>
          <w:b/>
          <w:sz w:val="22"/>
        </w:rPr>
      </w:pPr>
      <w:r w:rsidRPr="009735C0">
        <w:rPr>
          <w:rFonts w:ascii="Arial" w:hAnsi="Arial"/>
          <w:sz w:val="22"/>
        </w:rPr>
        <w:t>Porous</w:t>
      </w:r>
      <w:r>
        <w:rPr>
          <w:rFonts w:ascii="Arial" w:hAnsi="Arial"/>
          <w:sz w:val="22"/>
        </w:rPr>
        <w:t xml:space="preserve"> asphalt is an open-graded asphalt concrete surface course containing few fines, a modified binder, and approximately 18% air voids.  Porous asphalt mixes are also known as Open-Graded Friction Courses (OGFC) or Permeable Friction Courses (PFC). </w:t>
      </w:r>
      <w:r w:rsidR="00C6729A">
        <w:rPr>
          <w:rFonts w:ascii="Arial" w:hAnsi="Arial"/>
          <w:sz w:val="22"/>
        </w:rPr>
        <w:t xml:space="preserve">Refer to </w:t>
      </w:r>
      <w:hyperlink r:id="rId214" w:history="1">
        <w:r w:rsidR="00C6729A" w:rsidRPr="00A702A6">
          <w:rPr>
            <w:rStyle w:val="Hyperlink"/>
            <w:rFonts w:ascii="Arial" w:hAnsi="Arial"/>
            <w:sz w:val="22"/>
          </w:rPr>
          <w:t>Standard MD 580.10</w:t>
        </w:r>
      </w:hyperlink>
      <w:r w:rsidR="00C6729A">
        <w:rPr>
          <w:rFonts w:ascii="Arial" w:hAnsi="Arial"/>
          <w:sz w:val="22"/>
        </w:rPr>
        <w:t xml:space="preserve"> for t</w:t>
      </w:r>
      <w:r>
        <w:rPr>
          <w:rFonts w:ascii="Arial" w:hAnsi="Arial"/>
          <w:sz w:val="22"/>
        </w:rPr>
        <w:t xml:space="preserve">he recommended thickness of the porous asphalt layer. </w:t>
      </w:r>
    </w:p>
    <w:p w14:paraId="1CCEAEF4" w14:textId="77777777" w:rsidR="00A702A6" w:rsidRDefault="00A702A6" w:rsidP="00A702A6">
      <w:pPr>
        <w:rPr>
          <w:rFonts w:ascii="Arial" w:hAnsi="Arial"/>
          <w:b/>
          <w:sz w:val="22"/>
        </w:rPr>
      </w:pPr>
    </w:p>
    <w:p w14:paraId="401A9936" w14:textId="77777777" w:rsidR="00A702A6" w:rsidRDefault="00A702A6" w:rsidP="00172E64">
      <w:pPr>
        <w:pStyle w:val="Heading5"/>
        <w:numPr>
          <w:ilvl w:val="4"/>
          <w:numId w:val="184"/>
        </w:numPr>
        <w:tabs>
          <w:tab w:val="left" w:pos="1800"/>
        </w:tabs>
        <w:ind w:left="1098" w:hanging="1098"/>
      </w:pPr>
      <w:r>
        <w:t>Pervious Concrete</w:t>
      </w:r>
    </w:p>
    <w:p w14:paraId="57748CE6" w14:textId="77777777" w:rsidR="00A702A6" w:rsidRDefault="00A702A6" w:rsidP="00A702A6">
      <w:pPr>
        <w:jc w:val="both"/>
        <w:rPr>
          <w:rFonts w:ascii="Arial" w:hAnsi="Arial"/>
          <w:sz w:val="22"/>
        </w:rPr>
      </w:pPr>
      <w:r w:rsidRPr="00CC66B4">
        <w:rPr>
          <w:rFonts w:ascii="Arial" w:hAnsi="Arial"/>
          <w:sz w:val="22"/>
        </w:rPr>
        <w:t xml:space="preserve">Pervious concrete generally consists of a uniform open-graded aggregate Portland Cement Concrete </w:t>
      </w:r>
      <w:r>
        <w:rPr>
          <w:rFonts w:ascii="Arial" w:hAnsi="Arial"/>
          <w:sz w:val="22"/>
        </w:rPr>
        <w:t xml:space="preserve">mix </w:t>
      </w:r>
      <w:r w:rsidRPr="00CC66B4">
        <w:rPr>
          <w:rFonts w:ascii="Arial" w:hAnsi="Arial"/>
          <w:sz w:val="22"/>
        </w:rPr>
        <w:t xml:space="preserve">with </w:t>
      </w:r>
      <w:r>
        <w:rPr>
          <w:rFonts w:ascii="Arial" w:hAnsi="Arial"/>
          <w:sz w:val="22"/>
        </w:rPr>
        <w:t xml:space="preserve">no fines and </w:t>
      </w:r>
      <w:r w:rsidRPr="00CC66B4">
        <w:rPr>
          <w:rFonts w:ascii="Arial" w:hAnsi="Arial"/>
          <w:sz w:val="22"/>
        </w:rPr>
        <w:t xml:space="preserve">high </w:t>
      </w:r>
      <w:r>
        <w:rPr>
          <w:rFonts w:ascii="Arial" w:hAnsi="Arial"/>
          <w:sz w:val="22"/>
        </w:rPr>
        <w:t>porosity (approximately 20%)</w:t>
      </w:r>
      <w:r w:rsidRPr="00CC66B4">
        <w:rPr>
          <w:rFonts w:ascii="Arial" w:hAnsi="Arial"/>
          <w:sz w:val="22"/>
        </w:rPr>
        <w:t>.</w:t>
      </w:r>
      <w:r>
        <w:rPr>
          <w:rFonts w:ascii="Arial" w:hAnsi="Arial"/>
          <w:sz w:val="22"/>
        </w:rPr>
        <w:t xml:space="preserve"> Porous concrete is mixed in conventional dense concrete plants. </w:t>
      </w:r>
      <w:r w:rsidR="00C6729A">
        <w:rPr>
          <w:rFonts w:ascii="Arial" w:hAnsi="Arial"/>
          <w:sz w:val="22"/>
        </w:rPr>
        <w:t xml:space="preserve">Refer to </w:t>
      </w:r>
      <w:hyperlink r:id="rId215" w:history="1">
        <w:r w:rsidR="00C6729A" w:rsidRPr="00A702A6">
          <w:rPr>
            <w:rStyle w:val="Hyperlink"/>
            <w:rFonts w:ascii="Arial" w:hAnsi="Arial"/>
            <w:sz w:val="22"/>
          </w:rPr>
          <w:t>Standard MD 580.10</w:t>
        </w:r>
      </w:hyperlink>
      <w:r w:rsidR="00C6729A">
        <w:rPr>
          <w:rFonts w:ascii="Arial" w:hAnsi="Arial"/>
          <w:sz w:val="22"/>
        </w:rPr>
        <w:t xml:space="preserve"> for t</w:t>
      </w:r>
      <w:r>
        <w:rPr>
          <w:rFonts w:ascii="Arial" w:hAnsi="Arial"/>
          <w:sz w:val="22"/>
        </w:rPr>
        <w:t>he recommended thickness of the pervious concrete</w:t>
      </w:r>
      <w:r w:rsidR="00C6729A">
        <w:rPr>
          <w:rFonts w:ascii="Arial" w:hAnsi="Arial"/>
          <w:sz w:val="22"/>
        </w:rPr>
        <w:t>.</w:t>
      </w:r>
    </w:p>
    <w:p w14:paraId="2D4E3D0E" w14:textId="77777777" w:rsidR="00A702A6" w:rsidRDefault="00A702A6" w:rsidP="00A702A6">
      <w:pPr>
        <w:rPr>
          <w:rFonts w:ascii="Arial" w:hAnsi="Arial"/>
          <w:sz w:val="22"/>
        </w:rPr>
      </w:pPr>
    </w:p>
    <w:p w14:paraId="2D891256" w14:textId="6AFD8ADB" w:rsidR="00A702A6" w:rsidRDefault="00A702A6" w:rsidP="00172E64">
      <w:pPr>
        <w:pStyle w:val="Heading5"/>
        <w:numPr>
          <w:ilvl w:val="4"/>
          <w:numId w:val="184"/>
        </w:numPr>
        <w:tabs>
          <w:tab w:val="left" w:pos="1800"/>
        </w:tabs>
        <w:ind w:left="1098" w:hanging="1098"/>
      </w:pPr>
      <w:r>
        <w:t xml:space="preserve">Choker, </w:t>
      </w:r>
      <w:r w:rsidR="000C7A6A">
        <w:t>R</w:t>
      </w:r>
      <w:r>
        <w:t xml:space="preserve">eservoir, and </w:t>
      </w:r>
      <w:r w:rsidR="000C7A6A">
        <w:t>F</w:t>
      </w:r>
      <w:r>
        <w:t xml:space="preserve">ilter </w:t>
      </w:r>
      <w:r w:rsidR="000C7A6A">
        <w:t>L</w:t>
      </w:r>
      <w:r>
        <w:t>ayers</w:t>
      </w:r>
    </w:p>
    <w:p w14:paraId="7E913552" w14:textId="77777777" w:rsidR="00A702A6" w:rsidRPr="002F2BBF" w:rsidRDefault="00A702A6" w:rsidP="00A702A6"/>
    <w:p w14:paraId="23B780F4" w14:textId="77777777" w:rsidR="00A702A6" w:rsidRPr="0067267A" w:rsidRDefault="00A702A6" w:rsidP="00172E64">
      <w:pPr>
        <w:pStyle w:val="Heading6"/>
        <w:numPr>
          <w:ilvl w:val="5"/>
          <w:numId w:val="184"/>
        </w:numPr>
        <w:tabs>
          <w:tab w:val="left" w:pos="1800"/>
        </w:tabs>
        <w:ind w:left="1152"/>
        <w:rPr>
          <w:b/>
        </w:rPr>
      </w:pPr>
      <w:r w:rsidRPr="0067267A">
        <w:rPr>
          <w:b/>
        </w:rPr>
        <w:t>Choker Layer</w:t>
      </w:r>
    </w:p>
    <w:p w14:paraId="51DAD559" w14:textId="77777777" w:rsidR="00A702A6" w:rsidRDefault="00A702A6" w:rsidP="00A702A6">
      <w:pPr>
        <w:jc w:val="both"/>
        <w:rPr>
          <w:rFonts w:ascii="Arial" w:hAnsi="Arial"/>
          <w:sz w:val="22"/>
        </w:rPr>
      </w:pPr>
      <w:r>
        <w:rPr>
          <w:rFonts w:ascii="Arial" w:hAnsi="Arial"/>
          <w:sz w:val="22"/>
        </w:rPr>
        <w:t>The main goal of the choker (or bedding) layer is to fill the voids of the aggregate reservoir and provide a smoother base for the placement of the surface course material.</w:t>
      </w:r>
    </w:p>
    <w:p w14:paraId="5337A6D3" w14:textId="77777777" w:rsidR="00A702A6" w:rsidRDefault="00A702A6" w:rsidP="00A702A6">
      <w:pPr>
        <w:jc w:val="both"/>
        <w:rPr>
          <w:rFonts w:ascii="Arial" w:hAnsi="Arial"/>
          <w:sz w:val="22"/>
        </w:rPr>
      </w:pPr>
    </w:p>
    <w:p w14:paraId="1907D149" w14:textId="77777777" w:rsidR="00A702A6" w:rsidRPr="0067267A" w:rsidRDefault="00A702A6" w:rsidP="00172E64">
      <w:pPr>
        <w:pStyle w:val="Heading6"/>
        <w:numPr>
          <w:ilvl w:val="5"/>
          <w:numId w:val="184"/>
        </w:numPr>
        <w:tabs>
          <w:tab w:val="left" w:pos="1800"/>
        </w:tabs>
        <w:ind w:left="1152"/>
        <w:rPr>
          <w:b/>
        </w:rPr>
      </w:pPr>
      <w:r w:rsidRPr="0067267A">
        <w:rPr>
          <w:b/>
        </w:rPr>
        <w:lastRenderedPageBreak/>
        <w:t>Reservoir Layer</w:t>
      </w:r>
    </w:p>
    <w:p w14:paraId="5BF48ED2" w14:textId="1BC4D917" w:rsidR="00A702A6" w:rsidRDefault="00A702A6" w:rsidP="00A702A6">
      <w:pPr>
        <w:jc w:val="both"/>
        <w:rPr>
          <w:rFonts w:ascii="Arial" w:hAnsi="Arial"/>
          <w:sz w:val="22"/>
        </w:rPr>
      </w:pPr>
      <w:r>
        <w:rPr>
          <w:rFonts w:ascii="Arial" w:hAnsi="Arial"/>
          <w:sz w:val="22"/>
        </w:rPr>
        <w:t xml:space="preserve">In addition to providing structure to the permeable pavement system, the purpose of the reservoir is to store the runoff stormwater so it can infiltrate into the soil. The thickness of the reservoir must be determined based on the particular design hydraulic event (established by the Highway Hydraulics Division (HHD) using a typical retention time from 24 to 72 hrs; however, it must also meet structural </w:t>
      </w:r>
      <w:r w:rsidRPr="00803722">
        <w:rPr>
          <w:rFonts w:ascii="Arial" w:hAnsi="Arial"/>
          <w:sz w:val="22"/>
        </w:rPr>
        <w:t>requirements</w:t>
      </w:r>
      <w:r>
        <w:rPr>
          <w:rFonts w:ascii="Arial" w:hAnsi="Arial"/>
          <w:sz w:val="22"/>
        </w:rPr>
        <w:t xml:space="preserve">.  The thickness design shall be performed by HHD.  </w:t>
      </w:r>
    </w:p>
    <w:p w14:paraId="5017FC0F" w14:textId="77777777" w:rsidR="00A702A6" w:rsidRDefault="00A702A6" w:rsidP="00A702A6">
      <w:pPr>
        <w:jc w:val="both"/>
        <w:rPr>
          <w:rFonts w:ascii="Arial" w:hAnsi="Arial"/>
          <w:sz w:val="22"/>
        </w:rPr>
      </w:pPr>
    </w:p>
    <w:p w14:paraId="432DA942" w14:textId="77777777" w:rsidR="00A702A6" w:rsidRPr="0067267A" w:rsidRDefault="00A702A6" w:rsidP="00172E64">
      <w:pPr>
        <w:pStyle w:val="Heading6"/>
        <w:numPr>
          <w:ilvl w:val="5"/>
          <w:numId w:val="184"/>
        </w:numPr>
        <w:tabs>
          <w:tab w:val="left" w:pos="1800"/>
        </w:tabs>
        <w:ind w:left="1152"/>
        <w:rPr>
          <w:b/>
        </w:rPr>
      </w:pPr>
      <w:r w:rsidRPr="0067267A">
        <w:rPr>
          <w:b/>
        </w:rPr>
        <w:t>Filter Course</w:t>
      </w:r>
    </w:p>
    <w:p w14:paraId="49C332B3" w14:textId="77777777" w:rsidR="00A702A6" w:rsidRPr="00FF7CFF" w:rsidRDefault="00A702A6" w:rsidP="00A702A6">
      <w:pPr>
        <w:jc w:val="both"/>
        <w:rPr>
          <w:rFonts w:ascii="Arial" w:hAnsi="Arial"/>
          <w:sz w:val="22"/>
        </w:rPr>
      </w:pPr>
      <w:r>
        <w:rPr>
          <w:rFonts w:ascii="Arial" w:hAnsi="Arial"/>
          <w:sz w:val="22"/>
        </w:rPr>
        <w:t>An optional filter course may be included in the permeable pavement system to allow for additional filtration. In some cases, the thickness of this layer may be increased for frost/heaving protection.  The decision of whether to use the Filter Course rests with HHD.</w:t>
      </w:r>
    </w:p>
    <w:p w14:paraId="607CE22E" w14:textId="77777777" w:rsidR="00A702A6" w:rsidRPr="009B604A" w:rsidRDefault="00A702A6" w:rsidP="00A702A6">
      <w:pPr>
        <w:jc w:val="both"/>
        <w:rPr>
          <w:rFonts w:ascii="Arial" w:hAnsi="Arial"/>
          <w:b/>
          <w:sz w:val="22"/>
        </w:rPr>
      </w:pPr>
    </w:p>
    <w:p w14:paraId="31FDE0CB" w14:textId="77777777" w:rsidR="00A702A6" w:rsidRPr="0067267A" w:rsidRDefault="00A702A6" w:rsidP="00172E64">
      <w:pPr>
        <w:pStyle w:val="Heading6"/>
        <w:numPr>
          <w:ilvl w:val="5"/>
          <w:numId w:val="184"/>
        </w:numPr>
        <w:tabs>
          <w:tab w:val="left" w:pos="1800"/>
        </w:tabs>
        <w:ind w:left="1152"/>
        <w:rPr>
          <w:b/>
        </w:rPr>
      </w:pPr>
      <w:r w:rsidRPr="0067267A">
        <w:rPr>
          <w:b/>
        </w:rPr>
        <w:t>Filter Fabric</w:t>
      </w:r>
    </w:p>
    <w:p w14:paraId="73A59CAA" w14:textId="77777777" w:rsidR="00A702A6" w:rsidRDefault="00A702A6" w:rsidP="00A702A6">
      <w:pPr>
        <w:jc w:val="both"/>
        <w:rPr>
          <w:rFonts w:ascii="Arial" w:hAnsi="Arial"/>
          <w:sz w:val="22"/>
        </w:rPr>
      </w:pPr>
      <w:r w:rsidRPr="00FF7CFF">
        <w:rPr>
          <w:rFonts w:ascii="Arial" w:hAnsi="Arial"/>
          <w:sz w:val="22"/>
        </w:rPr>
        <w:t xml:space="preserve">Non-woven geotextiles are </w:t>
      </w:r>
      <w:r>
        <w:rPr>
          <w:rFonts w:ascii="Arial" w:hAnsi="Arial"/>
          <w:sz w:val="22"/>
        </w:rPr>
        <w:t>norma</w:t>
      </w:r>
      <w:r w:rsidRPr="00FF7CFF">
        <w:rPr>
          <w:rFonts w:ascii="Arial" w:hAnsi="Arial"/>
          <w:sz w:val="22"/>
        </w:rPr>
        <w:t>lly recommended to prevent subgrade fines from migrating into the aggregate layers.</w:t>
      </w:r>
      <w:r>
        <w:rPr>
          <w:rFonts w:ascii="Arial" w:hAnsi="Arial"/>
          <w:sz w:val="22"/>
        </w:rPr>
        <w:t xml:space="preserve">  The decision of whether to use Filter Fabric rests with HHD.</w:t>
      </w:r>
    </w:p>
    <w:p w14:paraId="33782C8E" w14:textId="77777777" w:rsidR="00A702A6" w:rsidRDefault="00A702A6" w:rsidP="00A702A6">
      <w:pPr>
        <w:jc w:val="both"/>
        <w:rPr>
          <w:rFonts w:ascii="Arial" w:hAnsi="Arial"/>
          <w:sz w:val="22"/>
        </w:rPr>
      </w:pPr>
    </w:p>
    <w:p w14:paraId="245214BC" w14:textId="77777777" w:rsidR="00A702A6" w:rsidRPr="0067267A" w:rsidRDefault="00A702A6" w:rsidP="00172E64">
      <w:pPr>
        <w:pStyle w:val="Heading6"/>
        <w:numPr>
          <w:ilvl w:val="5"/>
          <w:numId w:val="184"/>
        </w:numPr>
        <w:tabs>
          <w:tab w:val="left" w:pos="1800"/>
        </w:tabs>
        <w:ind w:left="1152"/>
        <w:rPr>
          <w:b/>
        </w:rPr>
      </w:pPr>
      <w:r w:rsidRPr="0067267A">
        <w:rPr>
          <w:b/>
        </w:rPr>
        <w:t>Longitudinal Underdrains</w:t>
      </w:r>
    </w:p>
    <w:p w14:paraId="7BF23F45" w14:textId="77777777" w:rsidR="00A702A6" w:rsidRPr="00FF7CFF" w:rsidRDefault="00A702A6" w:rsidP="00A702A6">
      <w:pPr>
        <w:jc w:val="both"/>
        <w:rPr>
          <w:rFonts w:ascii="Arial" w:hAnsi="Arial"/>
          <w:sz w:val="22"/>
        </w:rPr>
      </w:pPr>
      <w:r>
        <w:rPr>
          <w:rFonts w:ascii="Arial" w:hAnsi="Arial"/>
          <w:sz w:val="22"/>
        </w:rPr>
        <w:t>Some designs may require the installation of longitudinal underdrains and outlets underneath the surface material to prevent overflowing.  The decision of whether to use Longitudinal Underdrains rests with HHD.</w:t>
      </w:r>
    </w:p>
    <w:p w14:paraId="17722524" w14:textId="77777777" w:rsidR="00A702A6" w:rsidRDefault="00A702A6" w:rsidP="00A702A6">
      <w:pPr>
        <w:jc w:val="both"/>
        <w:rPr>
          <w:rFonts w:ascii="Arial" w:hAnsi="Arial"/>
        </w:rPr>
      </w:pPr>
    </w:p>
    <w:p w14:paraId="11079F49" w14:textId="69C8FFA0" w:rsidR="00A702A6" w:rsidRDefault="00A702A6" w:rsidP="00172E64">
      <w:pPr>
        <w:pStyle w:val="Heading5"/>
        <w:numPr>
          <w:ilvl w:val="4"/>
          <w:numId w:val="184"/>
        </w:numPr>
        <w:tabs>
          <w:tab w:val="left" w:pos="1800"/>
        </w:tabs>
        <w:ind w:left="1098" w:hanging="1098"/>
      </w:pPr>
      <w:r>
        <w:t xml:space="preserve">General </w:t>
      </w:r>
      <w:r w:rsidR="000C7A6A">
        <w:t>Design Consi</w:t>
      </w:r>
      <w:r>
        <w:t>derations</w:t>
      </w:r>
    </w:p>
    <w:p w14:paraId="6C7678C0" w14:textId="77777777" w:rsidR="00A702A6" w:rsidRPr="002F2BBF" w:rsidRDefault="00A702A6" w:rsidP="00A702A6">
      <w:pPr>
        <w:jc w:val="both"/>
      </w:pPr>
    </w:p>
    <w:p w14:paraId="180357A9" w14:textId="77777777" w:rsidR="00A702A6" w:rsidRPr="0067267A" w:rsidRDefault="00A702A6" w:rsidP="00172E64">
      <w:pPr>
        <w:pStyle w:val="Heading6"/>
        <w:numPr>
          <w:ilvl w:val="5"/>
          <w:numId w:val="184"/>
        </w:numPr>
        <w:tabs>
          <w:tab w:val="left" w:pos="1800"/>
        </w:tabs>
        <w:ind w:left="1152"/>
        <w:rPr>
          <w:b/>
        </w:rPr>
      </w:pPr>
      <w:r w:rsidRPr="0067267A">
        <w:rPr>
          <w:b/>
        </w:rPr>
        <w:t>Soil, Topography, and Climate</w:t>
      </w:r>
    </w:p>
    <w:p w14:paraId="5346B640" w14:textId="67BE9C27" w:rsidR="00A702A6" w:rsidRDefault="00A702A6" w:rsidP="00A702A6">
      <w:pPr>
        <w:jc w:val="both"/>
        <w:rPr>
          <w:rFonts w:ascii="Arial" w:hAnsi="Arial"/>
          <w:sz w:val="22"/>
        </w:rPr>
      </w:pPr>
      <w:r w:rsidRPr="00414CAB">
        <w:rPr>
          <w:rFonts w:ascii="Arial" w:hAnsi="Arial"/>
          <w:sz w:val="22"/>
        </w:rPr>
        <w:t xml:space="preserve">Conducive site conditions </w:t>
      </w:r>
      <w:r>
        <w:rPr>
          <w:rFonts w:ascii="Arial" w:hAnsi="Arial"/>
          <w:sz w:val="22"/>
        </w:rPr>
        <w:t xml:space="preserve">for pervious pavement systems </w:t>
      </w:r>
      <w:r w:rsidRPr="00414CAB">
        <w:rPr>
          <w:rFonts w:ascii="Arial" w:hAnsi="Arial"/>
          <w:sz w:val="22"/>
        </w:rPr>
        <w:t>should include gentle slopes</w:t>
      </w:r>
      <w:r>
        <w:rPr>
          <w:rFonts w:ascii="Arial" w:hAnsi="Arial"/>
          <w:sz w:val="22"/>
        </w:rPr>
        <w:t xml:space="preserve"> (should not exceed 5%), preferably flat, and permeable soils (field infiltration tests are necessary during the site evaluation – MDE recommends Hydrologic Soil Groups A, B, or C) </w:t>
      </w:r>
      <w:r w:rsidRPr="00414CAB">
        <w:rPr>
          <w:rFonts w:ascii="Arial" w:hAnsi="Arial"/>
          <w:sz w:val="22"/>
        </w:rPr>
        <w:t>t</w:t>
      </w:r>
      <w:r>
        <w:rPr>
          <w:rFonts w:ascii="Arial" w:hAnsi="Arial"/>
          <w:sz w:val="22"/>
        </w:rPr>
        <w:t>o assure the infiltration of storm</w:t>
      </w:r>
      <w:r w:rsidRPr="00414CAB">
        <w:rPr>
          <w:rFonts w:ascii="Arial" w:hAnsi="Arial"/>
          <w:sz w:val="22"/>
        </w:rPr>
        <w:t>water</w:t>
      </w:r>
      <w:r>
        <w:rPr>
          <w:rFonts w:ascii="Arial" w:hAnsi="Arial"/>
          <w:sz w:val="22"/>
        </w:rPr>
        <w:t>.  Optimum conditions also require a relatively deep water table (minimum 3</w:t>
      </w:r>
      <w:r w:rsidR="002917AA">
        <w:rPr>
          <w:rFonts w:ascii="Arial" w:hAnsi="Arial"/>
          <w:sz w:val="22"/>
        </w:rPr>
        <w:t xml:space="preserve"> </w:t>
      </w:r>
      <w:r>
        <w:rPr>
          <w:rFonts w:ascii="Arial" w:hAnsi="Arial"/>
          <w:sz w:val="22"/>
        </w:rPr>
        <w:t>ft</w:t>
      </w:r>
      <w:r w:rsidR="003D377D">
        <w:rPr>
          <w:rFonts w:ascii="Arial" w:hAnsi="Arial"/>
          <w:sz w:val="22"/>
        </w:rPr>
        <w:t>.</w:t>
      </w:r>
      <w:r>
        <w:rPr>
          <w:rFonts w:ascii="Arial" w:hAnsi="Arial"/>
          <w:sz w:val="22"/>
        </w:rPr>
        <w:t xml:space="preserve"> of vertical separation from the water table) to prevent overflowing.  Refer to </w:t>
      </w:r>
      <w:hyperlink r:id="rId216" w:history="1">
        <w:r w:rsidRPr="00EB3978">
          <w:rPr>
            <w:rStyle w:val="Hyperlink"/>
            <w:rFonts w:ascii="Arial" w:hAnsi="Arial"/>
            <w:sz w:val="22"/>
          </w:rPr>
          <w:t>USGS groundwater watch</w:t>
        </w:r>
      </w:hyperlink>
      <w:r>
        <w:rPr>
          <w:rFonts w:ascii="Arial" w:hAnsi="Arial"/>
          <w:sz w:val="22"/>
        </w:rPr>
        <w:t xml:space="preserve"> and click on the Google Earth version to access water tables by location.  This can be used in conjunction with boring information to determine the seasonal high water table.</w:t>
      </w:r>
    </w:p>
    <w:p w14:paraId="5ACA9681" w14:textId="77777777" w:rsidR="00A702A6" w:rsidRDefault="00A702A6" w:rsidP="00A702A6">
      <w:pPr>
        <w:jc w:val="both"/>
        <w:rPr>
          <w:rFonts w:ascii="Arial" w:hAnsi="Arial"/>
          <w:sz w:val="22"/>
        </w:rPr>
      </w:pPr>
    </w:p>
    <w:p w14:paraId="28FCCA3A" w14:textId="2556381E" w:rsidR="00A702A6" w:rsidRDefault="00A702A6" w:rsidP="00A702A6">
      <w:pPr>
        <w:jc w:val="both"/>
        <w:rPr>
          <w:rFonts w:ascii="Arial" w:hAnsi="Arial"/>
          <w:sz w:val="22"/>
        </w:rPr>
      </w:pPr>
      <w:r>
        <w:rPr>
          <w:rFonts w:ascii="Arial" w:hAnsi="Arial"/>
          <w:sz w:val="22"/>
        </w:rPr>
        <w:t>The presence of rock in the area should be taken into account for both design purposes and karst potential. Permeable pavement systems in karst terrain are not typically recommended; however, some literature indicates that pervious pavement systems can be lined to minimize the likelihood of sinkhole development. At the same time, lining the pervious pavement system would defeat the purpose of infiltrating the runoff. If karst topography is found, the site conditions and needs have to be discussed with the hydraulics and geology contacts.  If rock is present, it should be at least 4</w:t>
      </w:r>
      <w:r w:rsidR="000C7A6A">
        <w:rPr>
          <w:rFonts w:ascii="Arial" w:hAnsi="Arial"/>
          <w:sz w:val="22"/>
        </w:rPr>
        <w:t>'</w:t>
      </w:r>
      <w:r>
        <w:rPr>
          <w:rFonts w:ascii="Arial" w:hAnsi="Arial"/>
          <w:sz w:val="22"/>
        </w:rPr>
        <w:t xml:space="preserve"> below the permeable pavement system.</w:t>
      </w:r>
    </w:p>
    <w:p w14:paraId="04E6D41D" w14:textId="77777777" w:rsidR="00A702A6" w:rsidRDefault="00A702A6" w:rsidP="00A702A6">
      <w:pPr>
        <w:jc w:val="both"/>
        <w:rPr>
          <w:rFonts w:ascii="Arial" w:hAnsi="Arial"/>
          <w:sz w:val="22"/>
        </w:rPr>
      </w:pPr>
    </w:p>
    <w:p w14:paraId="26640320" w14:textId="4437CA7A" w:rsidR="00A702A6" w:rsidRDefault="00A702A6" w:rsidP="00A702A6">
      <w:pPr>
        <w:jc w:val="both"/>
        <w:rPr>
          <w:rFonts w:ascii="Arial" w:hAnsi="Arial"/>
          <w:sz w:val="22"/>
        </w:rPr>
      </w:pPr>
      <w:r>
        <w:rPr>
          <w:rFonts w:ascii="Arial" w:hAnsi="Arial"/>
          <w:sz w:val="22"/>
        </w:rPr>
        <w:t>The prevalent climate of the site will affect the design of the pervious pavement system</w:t>
      </w:r>
      <w:r w:rsidR="000C7A6A">
        <w:rPr>
          <w:rFonts w:ascii="Arial" w:hAnsi="Arial"/>
          <w:sz w:val="22"/>
        </w:rPr>
        <w:t>,</w:t>
      </w:r>
      <w:r>
        <w:rPr>
          <w:rFonts w:ascii="Arial" w:hAnsi="Arial"/>
          <w:sz w:val="22"/>
        </w:rPr>
        <w:t xml:space="preserve"> since the volume of the reservoir will be based on the amount of expected rainfall. Frost/heave effects must also be considered in the design of the system’s layers.</w:t>
      </w:r>
    </w:p>
    <w:p w14:paraId="65D8AB01" w14:textId="77777777" w:rsidR="00A702A6" w:rsidRDefault="00A702A6" w:rsidP="00A702A6">
      <w:pPr>
        <w:jc w:val="both"/>
        <w:rPr>
          <w:rFonts w:ascii="Arial" w:hAnsi="Arial"/>
          <w:sz w:val="22"/>
        </w:rPr>
      </w:pPr>
    </w:p>
    <w:p w14:paraId="44253109" w14:textId="77777777" w:rsidR="00A702A6" w:rsidRDefault="00A702A6" w:rsidP="00A702A6">
      <w:pPr>
        <w:jc w:val="both"/>
        <w:rPr>
          <w:rFonts w:ascii="Arial" w:hAnsi="Arial"/>
          <w:sz w:val="22"/>
        </w:rPr>
      </w:pPr>
      <w:r>
        <w:rPr>
          <w:rFonts w:ascii="Arial" w:hAnsi="Arial"/>
          <w:sz w:val="22"/>
        </w:rPr>
        <w:t>As much as possible, the subgrade shall be uncompacted.</w:t>
      </w:r>
    </w:p>
    <w:p w14:paraId="61D700C8" w14:textId="77777777" w:rsidR="00A702A6" w:rsidRDefault="00A702A6" w:rsidP="00A702A6">
      <w:pPr>
        <w:jc w:val="both"/>
        <w:rPr>
          <w:rFonts w:ascii="Arial" w:hAnsi="Arial"/>
          <w:sz w:val="22"/>
        </w:rPr>
      </w:pPr>
    </w:p>
    <w:p w14:paraId="1045E2AF" w14:textId="77777777" w:rsidR="00A702A6" w:rsidRPr="0067267A" w:rsidRDefault="00A702A6" w:rsidP="00172E64">
      <w:pPr>
        <w:pStyle w:val="Heading6"/>
        <w:numPr>
          <w:ilvl w:val="5"/>
          <w:numId w:val="184"/>
        </w:numPr>
        <w:tabs>
          <w:tab w:val="left" w:pos="1800"/>
        </w:tabs>
        <w:ind w:left="1152"/>
        <w:rPr>
          <w:b/>
        </w:rPr>
      </w:pPr>
      <w:r w:rsidRPr="0067267A">
        <w:rPr>
          <w:b/>
        </w:rPr>
        <w:lastRenderedPageBreak/>
        <w:t>Permeable Pavement Systems in Fill Embankments</w:t>
      </w:r>
    </w:p>
    <w:p w14:paraId="641607DF" w14:textId="77B396BC" w:rsidR="00A702A6" w:rsidRPr="001844F3" w:rsidRDefault="00A702A6" w:rsidP="00A702A6">
      <w:pPr>
        <w:jc w:val="both"/>
        <w:rPr>
          <w:rFonts w:ascii="Arial" w:hAnsi="Arial"/>
          <w:sz w:val="22"/>
        </w:rPr>
      </w:pPr>
      <w:r w:rsidRPr="001844F3">
        <w:rPr>
          <w:rFonts w:ascii="Arial" w:hAnsi="Arial"/>
          <w:sz w:val="22"/>
        </w:rPr>
        <w:t xml:space="preserve">Permeable pavement systems are </w:t>
      </w:r>
      <w:r>
        <w:rPr>
          <w:rFonts w:ascii="Arial" w:hAnsi="Arial"/>
          <w:sz w:val="22"/>
        </w:rPr>
        <w:t xml:space="preserve">generally </w:t>
      </w:r>
      <w:r w:rsidRPr="001844F3">
        <w:rPr>
          <w:rFonts w:ascii="Arial" w:hAnsi="Arial"/>
          <w:sz w:val="22"/>
        </w:rPr>
        <w:t>not recommended in fill embankments. Depending on the height</w:t>
      </w:r>
      <w:r>
        <w:rPr>
          <w:rFonts w:ascii="Arial" w:hAnsi="Arial"/>
          <w:sz w:val="22"/>
        </w:rPr>
        <w:t xml:space="preserve"> of the embankments</w:t>
      </w:r>
      <w:r w:rsidRPr="001844F3">
        <w:rPr>
          <w:rFonts w:ascii="Arial" w:hAnsi="Arial"/>
          <w:sz w:val="22"/>
        </w:rPr>
        <w:t xml:space="preserve">, the water may affect the </w:t>
      </w:r>
      <w:r>
        <w:rPr>
          <w:rFonts w:ascii="Arial" w:hAnsi="Arial"/>
          <w:sz w:val="22"/>
        </w:rPr>
        <w:t>stability</w:t>
      </w:r>
      <w:r w:rsidRPr="001844F3">
        <w:rPr>
          <w:rFonts w:ascii="Arial" w:hAnsi="Arial"/>
          <w:sz w:val="22"/>
        </w:rPr>
        <w:t xml:space="preserve"> </w:t>
      </w:r>
      <w:r>
        <w:rPr>
          <w:rFonts w:ascii="Arial" w:hAnsi="Arial"/>
          <w:sz w:val="22"/>
        </w:rPr>
        <w:t>of the embankment. Additionally, the water might</w:t>
      </w:r>
      <w:r w:rsidRPr="001844F3">
        <w:rPr>
          <w:rFonts w:ascii="Arial" w:hAnsi="Arial"/>
          <w:sz w:val="22"/>
        </w:rPr>
        <w:t xml:space="preserve"> not infiltrate </w:t>
      </w:r>
      <w:r>
        <w:rPr>
          <w:rFonts w:ascii="Arial" w:hAnsi="Arial"/>
          <w:sz w:val="22"/>
        </w:rPr>
        <w:t xml:space="preserve">all the way </w:t>
      </w:r>
      <w:r w:rsidRPr="001844F3">
        <w:rPr>
          <w:rFonts w:ascii="Arial" w:hAnsi="Arial"/>
          <w:sz w:val="22"/>
        </w:rPr>
        <w:t>into the surrounding native soil</w:t>
      </w:r>
      <w:r>
        <w:rPr>
          <w:rFonts w:ascii="Arial" w:hAnsi="Arial"/>
          <w:sz w:val="22"/>
        </w:rPr>
        <w:t xml:space="preserve"> and stay within the fill material</w:t>
      </w:r>
      <w:r w:rsidRPr="001844F3">
        <w:rPr>
          <w:rFonts w:ascii="Arial" w:hAnsi="Arial"/>
          <w:sz w:val="22"/>
        </w:rPr>
        <w:t xml:space="preserve">. </w:t>
      </w:r>
      <w:r>
        <w:rPr>
          <w:rFonts w:ascii="Arial" w:hAnsi="Arial"/>
          <w:sz w:val="22"/>
        </w:rPr>
        <w:t>Slope stability</w:t>
      </w:r>
      <w:r w:rsidRPr="001844F3">
        <w:rPr>
          <w:rFonts w:ascii="Arial" w:hAnsi="Arial"/>
          <w:sz w:val="22"/>
        </w:rPr>
        <w:t xml:space="preserve"> </w:t>
      </w:r>
      <w:r>
        <w:rPr>
          <w:rFonts w:ascii="Arial" w:hAnsi="Arial"/>
          <w:sz w:val="22"/>
        </w:rPr>
        <w:t>must</w:t>
      </w:r>
      <w:r w:rsidRPr="001844F3">
        <w:rPr>
          <w:rFonts w:ascii="Arial" w:hAnsi="Arial"/>
          <w:sz w:val="22"/>
        </w:rPr>
        <w:t xml:space="preserve"> be verified and/or other</w:t>
      </w:r>
      <w:r>
        <w:rPr>
          <w:rFonts w:ascii="Arial" w:hAnsi="Arial"/>
          <w:b/>
          <w:sz w:val="22"/>
        </w:rPr>
        <w:t xml:space="preserve"> </w:t>
      </w:r>
      <w:r w:rsidRPr="001844F3">
        <w:rPr>
          <w:rFonts w:ascii="Arial" w:hAnsi="Arial"/>
          <w:sz w:val="22"/>
        </w:rPr>
        <w:t xml:space="preserve">drainage systems </w:t>
      </w:r>
      <w:r>
        <w:rPr>
          <w:rFonts w:ascii="Arial" w:hAnsi="Arial"/>
          <w:sz w:val="22"/>
        </w:rPr>
        <w:t>must</w:t>
      </w:r>
      <w:r w:rsidRPr="001844F3">
        <w:rPr>
          <w:rFonts w:ascii="Arial" w:hAnsi="Arial"/>
          <w:sz w:val="22"/>
        </w:rPr>
        <w:t xml:space="preserve"> be considered </w:t>
      </w:r>
      <w:r>
        <w:rPr>
          <w:rFonts w:ascii="Arial" w:hAnsi="Arial"/>
          <w:sz w:val="22"/>
        </w:rPr>
        <w:t>in fill area</w:t>
      </w:r>
      <w:r w:rsidR="000C7A6A">
        <w:rPr>
          <w:rFonts w:ascii="Arial" w:hAnsi="Arial"/>
          <w:sz w:val="22"/>
        </w:rPr>
        <w:t>s</w:t>
      </w:r>
      <w:r>
        <w:rPr>
          <w:rFonts w:ascii="Arial" w:hAnsi="Arial"/>
          <w:sz w:val="22"/>
        </w:rPr>
        <w:t xml:space="preserve"> </w:t>
      </w:r>
      <w:r w:rsidRPr="001844F3">
        <w:rPr>
          <w:rFonts w:ascii="Arial" w:hAnsi="Arial"/>
          <w:sz w:val="22"/>
        </w:rPr>
        <w:t xml:space="preserve">on a project </w:t>
      </w:r>
      <w:r>
        <w:rPr>
          <w:rFonts w:ascii="Arial" w:hAnsi="Arial"/>
          <w:sz w:val="22"/>
        </w:rPr>
        <w:t xml:space="preserve">specific </w:t>
      </w:r>
      <w:r w:rsidRPr="001844F3">
        <w:rPr>
          <w:rFonts w:ascii="Arial" w:hAnsi="Arial"/>
          <w:sz w:val="22"/>
        </w:rPr>
        <w:t>basis.</w:t>
      </w:r>
    </w:p>
    <w:p w14:paraId="3C38EDF9" w14:textId="77777777" w:rsidR="00A702A6" w:rsidRDefault="00A702A6" w:rsidP="00A702A6">
      <w:pPr>
        <w:jc w:val="both"/>
        <w:rPr>
          <w:rFonts w:ascii="Arial" w:hAnsi="Arial"/>
          <w:b/>
          <w:sz w:val="22"/>
        </w:rPr>
      </w:pPr>
    </w:p>
    <w:p w14:paraId="6F0E3BE0" w14:textId="77777777" w:rsidR="00A702A6" w:rsidRPr="0067267A" w:rsidRDefault="00A702A6" w:rsidP="00172E64">
      <w:pPr>
        <w:pStyle w:val="Heading6"/>
        <w:numPr>
          <w:ilvl w:val="5"/>
          <w:numId w:val="184"/>
        </w:numPr>
        <w:tabs>
          <w:tab w:val="left" w:pos="1800"/>
        </w:tabs>
        <w:ind w:left="1152"/>
        <w:rPr>
          <w:b/>
        </w:rPr>
      </w:pPr>
      <w:r w:rsidRPr="0067267A">
        <w:rPr>
          <w:b/>
        </w:rPr>
        <w:t>Maintenance</w:t>
      </w:r>
    </w:p>
    <w:p w14:paraId="101BF916" w14:textId="77777777" w:rsidR="00A702A6" w:rsidRDefault="00A702A6" w:rsidP="00A702A6">
      <w:pPr>
        <w:jc w:val="both"/>
        <w:rPr>
          <w:rFonts w:ascii="Arial" w:hAnsi="Arial"/>
          <w:sz w:val="22"/>
        </w:rPr>
      </w:pPr>
      <w:r w:rsidRPr="00F50DEC">
        <w:rPr>
          <w:rFonts w:ascii="Arial" w:hAnsi="Arial"/>
          <w:sz w:val="22"/>
        </w:rPr>
        <w:t xml:space="preserve">Permeable pavement systems </w:t>
      </w:r>
      <w:r>
        <w:rPr>
          <w:rFonts w:ascii="Arial" w:hAnsi="Arial"/>
          <w:sz w:val="22"/>
        </w:rPr>
        <w:t>should only</w:t>
      </w:r>
      <w:r w:rsidRPr="00F50DEC">
        <w:rPr>
          <w:rFonts w:ascii="Arial" w:hAnsi="Arial"/>
          <w:sz w:val="22"/>
        </w:rPr>
        <w:t xml:space="preserve"> be used on sites where regular maintenance can be performed to ensure long-term performance. Inspections shall be schedule</w:t>
      </w:r>
      <w:r>
        <w:rPr>
          <w:rFonts w:ascii="Arial" w:hAnsi="Arial"/>
          <w:sz w:val="22"/>
        </w:rPr>
        <w:t>d</w:t>
      </w:r>
      <w:r w:rsidRPr="00F50DEC">
        <w:rPr>
          <w:rFonts w:ascii="Arial" w:hAnsi="Arial"/>
          <w:sz w:val="22"/>
        </w:rPr>
        <w:t xml:space="preserve"> on a regular basis, especially after storm events</w:t>
      </w:r>
      <w:r>
        <w:rPr>
          <w:rFonts w:ascii="Arial" w:hAnsi="Arial"/>
          <w:sz w:val="22"/>
        </w:rPr>
        <w:t>,</w:t>
      </w:r>
      <w:r w:rsidRPr="00F50DEC">
        <w:rPr>
          <w:rFonts w:ascii="Arial" w:hAnsi="Arial"/>
          <w:sz w:val="22"/>
        </w:rPr>
        <w:t xml:space="preserve"> to make sure that there is no surface clogging. </w:t>
      </w:r>
    </w:p>
    <w:p w14:paraId="1C2F8C73" w14:textId="77777777" w:rsidR="00A702A6" w:rsidRDefault="00A702A6" w:rsidP="00A702A6">
      <w:pPr>
        <w:jc w:val="both"/>
        <w:rPr>
          <w:rFonts w:ascii="Arial" w:hAnsi="Arial"/>
          <w:sz w:val="22"/>
        </w:rPr>
      </w:pPr>
    </w:p>
    <w:p w14:paraId="672BC7E1" w14:textId="77777777" w:rsidR="00A702A6" w:rsidRPr="00F50DEC" w:rsidRDefault="00A702A6" w:rsidP="00A702A6">
      <w:pPr>
        <w:jc w:val="both"/>
        <w:rPr>
          <w:rFonts w:ascii="Arial" w:hAnsi="Arial"/>
          <w:sz w:val="22"/>
        </w:rPr>
      </w:pPr>
      <w:r w:rsidRPr="00F50DEC">
        <w:rPr>
          <w:rFonts w:ascii="Arial" w:hAnsi="Arial"/>
          <w:sz w:val="22"/>
        </w:rPr>
        <w:t xml:space="preserve">It is recommended that the surface </w:t>
      </w:r>
      <w:r>
        <w:rPr>
          <w:rFonts w:ascii="Arial" w:hAnsi="Arial"/>
          <w:sz w:val="22"/>
        </w:rPr>
        <w:t xml:space="preserve">course </w:t>
      </w:r>
      <w:r w:rsidRPr="00F50DEC">
        <w:rPr>
          <w:rFonts w:ascii="Arial" w:hAnsi="Arial"/>
          <w:sz w:val="22"/>
        </w:rPr>
        <w:t xml:space="preserve">be </w:t>
      </w:r>
      <w:r>
        <w:rPr>
          <w:rFonts w:ascii="Arial" w:hAnsi="Arial"/>
          <w:sz w:val="22"/>
        </w:rPr>
        <w:t>vacuum</w:t>
      </w:r>
      <w:r w:rsidRPr="00F50DEC">
        <w:rPr>
          <w:rFonts w:ascii="Arial" w:hAnsi="Arial"/>
          <w:sz w:val="22"/>
        </w:rPr>
        <w:t xml:space="preserve">ed </w:t>
      </w:r>
      <w:r>
        <w:rPr>
          <w:rFonts w:ascii="Arial" w:hAnsi="Arial"/>
          <w:sz w:val="22"/>
        </w:rPr>
        <w:t xml:space="preserve">at least twice a year with a commercial cleaning unit. Pressure washing (not high-pressure) may also be used in addition to vacuuming. Repairs may be carried out with traditional methods; however, it should not exceed 10% of the surfaced area. Sand shall not be used for winter maintenance. </w:t>
      </w:r>
    </w:p>
    <w:p w14:paraId="159FF41C" w14:textId="77777777" w:rsidR="00A702A6" w:rsidRDefault="00A702A6" w:rsidP="00A702A6">
      <w:pPr>
        <w:jc w:val="both"/>
        <w:rPr>
          <w:rFonts w:ascii="Arial" w:hAnsi="Arial"/>
          <w:sz w:val="22"/>
        </w:rPr>
      </w:pPr>
    </w:p>
    <w:p w14:paraId="346482D5" w14:textId="77777777" w:rsidR="00A702A6" w:rsidRPr="0067267A" w:rsidRDefault="00A702A6" w:rsidP="00172E64">
      <w:pPr>
        <w:pStyle w:val="Heading6"/>
        <w:numPr>
          <w:ilvl w:val="5"/>
          <w:numId w:val="184"/>
        </w:numPr>
        <w:tabs>
          <w:tab w:val="left" w:pos="1800"/>
        </w:tabs>
        <w:ind w:left="1152"/>
        <w:rPr>
          <w:b/>
        </w:rPr>
      </w:pPr>
      <w:r w:rsidRPr="0067267A">
        <w:rPr>
          <w:b/>
        </w:rPr>
        <w:t>Special Provisions</w:t>
      </w:r>
    </w:p>
    <w:p w14:paraId="0EFBE2C0" w14:textId="05B3C4F6" w:rsidR="00A702A6" w:rsidRPr="003E1032" w:rsidRDefault="00A702A6" w:rsidP="00A702A6">
      <w:pPr>
        <w:jc w:val="both"/>
        <w:rPr>
          <w:rFonts w:ascii="Arial" w:hAnsi="Arial"/>
          <w:sz w:val="22"/>
        </w:rPr>
      </w:pPr>
      <w:r>
        <w:rPr>
          <w:rFonts w:ascii="Arial" w:hAnsi="Arial"/>
          <w:sz w:val="22"/>
        </w:rPr>
        <w:t xml:space="preserve">Refer to </w:t>
      </w:r>
      <w:hyperlink r:id="rId217" w:history="1">
        <w:r>
          <w:rPr>
            <w:rStyle w:val="Hyperlink"/>
            <w:rFonts w:ascii="Arial" w:hAnsi="Arial"/>
            <w:sz w:val="22"/>
          </w:rPr>
          <w:t>Specifications</w:t>
        </w:r>
      </w:hyperlink>
      <w:r>
        <w:rPr>
          <w:rFonts w:ascii="Arial" w:hAnsi="Arial"/>
          <w:sz w:val="22"/>
        </w:rPr>
        <w:t xml:space="preserve"> for t</w:t>
      </w:r>
      <w:r w:rsidRPr="003E1032">
        <w:rPr>
          <w:rFonts w:ascii="Arial" w:hAnsi="Arial"/>
          <w:sz w:val="22"/>
        </w:rPr>
        <w:t xml:space="preserve">he latest </w:t>
      </w:r>
      <w:r>
        <w:rPr>
          <w:rFonts w:ascii="Arial" w:hAnsi="Arial"/>
          <w:sz w:val="22"/>
        </w:rPr>
        <w:t xml:space="preserve">versions of the </w:t>
      </w:r>
      <w:r w:rsidRPr="003E1032">
        <w:rPr>
          <w:rFonts w:ascii="Arial" w:hAnsi="Arial"/>
          <w:sz w:val="22"/>
        </w:rPr>
        <w:t>Special Provisions for permeable pavement systems</w:t>
      </w:r>
      <w:r>
        <w:rPr>
          <w:rFonts w:ascii="Arial" w:hAnsi="Arial"/>
          <w:sz w:val="22"/>
        </w:rPr>
        <w:t>, materials,</w:t>
      </w:r>
      <w:r w:rsidRPr="003E1032">
        <w:rPr>
          <w:rFonts w:ascii="Arial" w:hAnsi="Arial"/>
          <w:sz w:val="22"/>
        </w:rPr>
        <w:t xml:space="preserve"> and associated construction procedures</w:t>
      </w:r>
      <w:r>
        <w:rPr>
          <w:rFonts w:ascii="Arial" w:hAnsi="Arial"/>
          <w:sz w:val="22"/>
        </w:rPr>
        <w:t xml:space="preserve">.  These should </w:t>
      </w:r>
      <w:r w:rsidRPr="003E1032">
        <w:rPr>
          <w:rFonts w:ascii="Arial" w:hAnsi="Arial"/>
          <w:sz w:val="22"/>
        </w:rPr>
        <w:t>be revie</w:t>
      </w:r>
      <w:r>
        <w:rPr>
          <w:rFonts w:ascii="Arial" w:hAnsi="Arial"/>
          <w:sz w:val="22"/>
        </w:rPr>
        <w:t xml:space="preserve">wed by the pavement designer </w:t>
      </w:r>
      <w:r w:rsidRPr="003E1032">
        <w:rPr>
          <w:rFonts w:ascii="Arial" w:hAnsi="Arial"/>
          <w:sz w:val="22"/>
        </w:rPr>
        <w:t xml:space="preserve">before including </w:t>
      </w:r>
      <w:r>
        <w:rPr>
          <w:rFonts w:ascii="Arial" w:hAnsi="Arial"/>
          <w:sz w:val="22"/>
        </w:rPr>
        <w:t xml:space="preserve">permeable pavements </w:t>
      </w:r>
      <w:r w:rsidRPr="003E1032">
        <w:rPr>
          <w:rFonts w:ascii="Arial" w:hAnsi="Arial"/>
          <w:sz w:val="22"/>
        </w:rPr>
        <w:t>in any project.</w:t>
      </w:r>
    </w:p>
    <w:p w14:paraId="70368A28" w14:textId="77777777" w:rsidR="00A702A6" w:rsidRPr="00A702A6" w:rsidRDefault="00A702A6" w:rsidP="00A702A6"/>
    <w:p w14:paraId="775F1963" w14:textId="77777777" w:rsidR="000E1873" w:rsidRPr="006C3991" w:rsidRDefault="000E1873" w:rsidP="00172E64">
      <w:pPr>
        <w:pStyle w:val="Heading4"/>
        <w:numPr>
          <w:ilvl w:val="3"/>
          <w:numId w:val="184"/>
        </w:numPr>
        <w:ind w:left="864"/>
      </w:pPr>
      <w:r w:rsidRPr="006C3991">
        <w:t>Design QA</w:t>
      </w:r>
    </w:p>
    <w:p w14:paraId="165DEAB8" w14:textId="3FAAA135" w:rsidR="000E1873" w:rsidRDefault="00F6603E" w:rsidP="000E1873">
      <w:pPr>
        <w:pStyle w:val="ListNumber"/>
        <w:tabs>
          <w:tab w:val="clear" w:pos="720"/>
          <w:tab w:val="clear" w:pos="1872"/>
        </w:tabs>
        <w:ind w:left="0" w:firstLine="0"/>
        <w:jc w:val="both"/>
      </w:pPr>
      <w:r>
        <w:t>The new pavement design shall be checked for constructability issues.  For base widening and new pavement designs, care shall be taken to ensure that the new section does not affect the performance of the existing roadway; i.e.</w:t>
      </w:r>
      <w:r w:rsidR="000C7A6A">
        <w:t>,</w:t>
      </w:r>
      <w:r>
        <w:t xml:space="preserve"> drainage problems from a “bathtub” effect or poor construction joint from different pavement types, etc.  </w:t>
      </w:r>
    </w:p>
    <w:p w14:paraId="2C026325" w14:textId="468620D9" w:rsidR="00F6603E" w:rsidRPr="00382D11" w:rsidRDefault="00F6603E" w:rsidP="000E1873">
      <w:pPr>
        <w:pStyle w:val="ListNumber"/>
        <w:tabs>
          <w:tab w:val="clear" w:pos="720"/>
          <w:tab w:val="clear" w:pos="1872"/>
        </w:tabs>
        <w:ind w:left="0" w:firstLine="0"/>
        <w:jc w:val="both"/>
      </w:pPr>
      <w:r>
        <w:t>For new construction or re</w:t>
      </w:r>
      <w:r w:rsidRPr="00382D11">
        <w:t>construction, care shall be taken to ensure that the pavement design can be constructed and perform well over the pavement service life; geometric and grade demands</w:t>
      </w:r>
      <w:r w:rsidR="000C7A6A">
        <w:t>;</w:t>
      </w:r>
      <w:r w:rsidRPr="00382D11">
        <w:t xml:space="preserve"> </w:t>
      </w:r>
      <w:smartTag w:uri="urn:schemas-microsoft-com:office:smarttags" w:element="stockticker">
        <w:r w:rsidRPr="00382D11">
          <w:t>MOT</w:t>
        </w:r>
      </w:smartTag>
      <w:r w:rsidRPr="00382D11">
        <w:t xml:space="preserve"> constraints</w:t>
      </w:r>
      <w:r w:rsidR="000C7A6A">
        <w:t>;</w:t>
      </w:r>
      <w:r w:rsidRPr="00382D11">
        <w:t xml:space="preserve"> regional material constraints</w:t>
      </w:r>
      <w:r w:rsidR="000C7A6A">
        <w:t>;</w:t>
      </w:r>
      <w:r w:rsidRPr="00382D11">
        <w:t xml:space="preserve"> etc.</w:t>
      </w:r>
    </w:p>
    <w:p w14:paraId="72A25529" w14:textId="77777777" w:rsidR="001A15B9" w:rsidRPr="00382D11" w:rsidRDefault="00847624" w:rsidP="00172E64">
      <w:pPr>
        <w:pStyle w:val="ListNumber"/>
        <w:numPr>
          <w:ilvl w:val="0"/>
          <w:numId w:val="94"/>
        </w:numPr>
        <w:tabs>
          <w:tab w:val="clear" w:pos="1152"/>
          <w:tab w:val="clear" w:pos="1872"/>
          <w:tab w:val="num" w:pos="1080"/>
        </w:tabs>
        <w:spacing w:before="240"/>
        <w:ind w:left="1080" w:hanging="1080"/>
        <w:jc w:val="both"/>
      </w:pPr>
      <w:r w:rsidRPr="00382D11">
        <w:t xml:space="preserve">Develop a cost estimate </w:t>
      </w:r>
      <w:r w:rsidR="00FB7C73" w:rsidRPr="00382D11">
        <w:t xml:space="preserve">as per </w:t>
      </w:r>
      <w:hyperlink w:anchor="_New_Pavement_Design" w:history="1">
        <w:r w:rsidR="00FB7C73" w:rsidRPr="00382D11">
          <w:rPr>
            <w:rStyle w:val="Hyperlink"/>
          </w:rPr>
          <w:t>Quantity &amp; Cost Development</w:t>
        </w:r>
      </w:hyperlink>
      <w:r w:rsidRPr="00382D11">
        <w:t>.</w:t>
      </w:r>
    </w:p>
    <w:p w14:paraId="58A9F41D" w14:textId="77777777" w:rsidR="00847624" w:rsidRPr="00382D11" w:rsidRDefault="00847624" w:rsidP="00172E64">
      <w:pPr>
        <w:pStyle w:val="ListNumber"/>
        <w:numPr>
          <w:ilvl w:val="0"/>
          <w:numId w:val="94"/>
        </w:numPr>
        <w:tabs>
          <w:tab w:val="clear" w:pos="1152"/>
          <w:tab w:val="clear" w:pos="1872"/>
          <w:tab w:val="num" w:pos="1080"/>
        </w:tabs>
        <w:ind w:left="1080" w:hanging="1080"/>
        <w:jc w:val="both"/>
      </w:pPr>
      <w:r w:rsidRPr="00382D11">
        <w:t xml:space="preserve">Discuss </w:t>
      </w:r>
      <w:r w:rsidR="00A607DE" w:rsidRPr="00382D11">
        <w:t xml:space="preserve">the </w:t>
      </w:r>
      <w:r w:rsidRPr="00382D11">
        <w:t xml:space="preserve">new pavement design alternative with </w:t>
      </w:r>
      <w:r w:rsidR="00A607DE" w:rsidRPr="00382D11">
        <w:t xml:space="preserve">the Team Leader and </w:t>
      </w:r>
      <w:r w:rsidRPr="00382D11">
        <w:t xml:space="preserve">Assistant Division Chief.  </w:t>
      </w:r>
      <w:r w:rsidR="00A607DE" w:rsidRPr="00382D11">
        <w:t>Determine i</w:t>
      </w:r>
      <w:r w:rsidRPr="00382D11">
        <w:t xml:space="preserve">f the project meets the criteria established in </w:t>
      </w:r>
      <w:hyperlink w:anchor="_Pavement_Type_Selection" w:history="1">
        <w:r w:rsidR="00A607DE" w:rsidRPr="00382D11">
          <w:rPr>
            <w:rStyle w:val="Hyperlink"/>
          </w:rPr>
          <w:t>Pavement Type Selection</w:t>
        </w:r>
      </w:hyperlink>
      <w:r w:rsidRPr="00382D11">
        <w:t xml:space="preserve">. </w:t>
      </w:r>
    </w:p>
    <w:p w14:paraId="0B06DDDF" w14:textId="77777777" w:rsidR="00847624" w:rsidRPr="00382D11" w:rsidRDefault="00847624" w:rsidP="00172E64">
      <w:pPr>
        <w:pStyle w:val="ListNumber"/>
        <w:numPr>
          <w:ilvl w:val="0"/>
          <w:numId w:val="94"/>
        </w:numPr>
        <w:tabs>
          <w:tab w:val="clear" w:pos="1152"/>
          <w:tab w:val="clear" w:pos="1872"/>
          <w:tab w:val="num" w:pos="1080"/>
        </w:tabs>
        <w:ind w:left="1080" w:hanging="1080"/>
        <w:jc w:val="both"/>
      </w:pPr>
      <w:r w:rsidRPr="00382D11">
        <w:t xml:space="preserve">Discuss new pavement design alternatives with </w:t>
      </w:r>
      <w:r w:rsidR="00382D11" w:rsidRPr="00382D11">
        <w:t xml:space="preserve">the </w:t>
      </w:r>
      <w:r w:rsidRPr="00382D11">
        <w:t xml:space="preserve">project owner and to select </w:t>
      </w:r>
      <w:r w:rsidR="00382D11" w:rsidRPr="00382D11">
        <w:t xml:space="preserve">the </w:t>
      </w:r>
      <w:r w:rsidRPr="00382D11">
        <w:t>final design alternative.  The discussion with the project owner should involve input from Construction regarding constructability issues with each alternative.</w:t>
      </w:r>
    </w:p>
    <w:p w14:paraId="217A659E" w14:textId="77777777" w:rsidR="00847624" w:rsidRPr="00382D11" w:rsidRDefault="00847624" w:rsidP="00172E64">
      <w:pPr>
        <w:pStyle w:val="ListNumber"/>
        <w:numPr>
          <w:ilvl w:val="0"/>
          <w:numId w:val="94"/>
        </w:numPr>
        <w:tabs>
          <w:tab w:val="clear" w:pos="1152"/>
          <w:tab w:val="clear" w:pos="1872"/>
          <w:tab w:val="num" w:pos="1080"/>
        </w:tabs>
        <w:ind w:left="1080" w:hanging="1080"/>
        <w:jc w:val="both"/>
      </w:pPr>
      <w:r w:rsidRPr="00382D11">
        <w:t xml:space="preserve">Prepare a memorandum </w:t>
      </w:r>
      <w:r w:rsidR="00382D11" w:rsidRPr="00382D11">
        <w:t xml:space="preserve">and details as per </w:t>
      </w:r>
      <w:hyperlink w:anchor="_Final_Pavement_&amp;" w:history="1">
        <w:r w:rsidR="00382D11" w:rsidRPr="00382D11">
          <w:rPr>
            <w:rStyle w:val="Hyperlink"/>
          </w:rPr>
          <w:t>Final Pavement &amp; Geotechnical Report</w:t>
        </w:r>
      </w:hyperlink>
      <w:r w:rsidRPr="00382D11">
        <w:t xml:space="preserve">. </w:t>
      </w:r>
    </w:p>
    <w:p w14:paraId="6F991B50" w14:textId="77777777" w:rsidR="00847624" w:rsidRPr="00382D11" w:rsidRDefault="00847624" w:rsidP="00172E64">
      <w:pPr>
        <w:pStyle w:val="ListNumber"/>
        <w:numPr>
          <w:ilvl w:val="0"/>
          <w:numId w:val="94"/>
        </w:numPr>
        <w:tabs>
          <w:tab w:val="clear" w:pos="1152"/>
          <w:tab w:val="clear" w:pos="1872"/>
          <w:tab w:val="num" w:pos="1080"/>
        </w:tabs>
        <w:ind w:left="1080" w:hanging="1080"/>
        <w:jc w:val="both"/>
      </w:pPr>
      <w:r w:rsidRPr="00382D11">
        <w:t xml:space="preserve">Gather the appropriate Special Provisions and Detail Specifications to be attached to the recommendation memorandum.  Refer to </w:t>
      </w:r>
      <w:hyperlink w:anchor="_Construction_and_Material" w:history="1">
        <w:r w:rsidR="00382D11" w:rsidRPr="00382D11">
          <w:rPr>
            <w:rStyle w:val="Hyperlink"/>
          </w:rPr>
          <w:t>Construction and Material Specifications</w:t>
        </w:r>
      </w:hyperlink>
      <w:r w:rsidR="00382D11" w:rsidRPr="00382D11">
        <w:t>.  T</w:t>
      </w:r>
      <w:r w:rsidRPr="00382D11">
        <w:t xml:space="preserve">he engineer should be familiar with the appropriate Special Provisions Inserts that need to be included in the contract documents.  </w:t>
      </w:r>
    </w:p>
    <w:p w14:paraId="5FB9BFC0" w14:textId="77777777" w:rsidR="00847624" w:rsidRDefault="00847624" w:rsidP="00172E64">
      <w:pPr>
        <w:pStyle w:val="ListNumber"/>
        <w:numPr>
          <w:ilvl w:val="0"/>
          <w:numId w:val="94"/>
        </w:numPr>
        <w:tabs>
          <w:tab w:val="clear" w:pos="1152"/>
          <w:tab w:val="clear" w:pos="1872"/>
          <w:tab w:val="num" w:pos="1080"/>
        </w:tabs>
        <w:ind w:left="1080" w:hanging="1080"/>
        <w:jc w:val="both"/>
      </w:pPr>
      <w:r w:rsidRPr="00382D11">
        <w:lastRenderedPageBreak/>
        <w:t xml:space="preserve">Complete the appropriate </w:t>
      </w:r>
      <w:r w:rsidR="00382D11" w:rsidRPr="00382D11">
        <w:t xml:space="preserve">forms review process as per </w:t>
      </w:r>
      <w:hyperlink w:anchor="_Management_Review_&amp;" w:history="1">
        <w:r w:rsidR="00382D11" w:rsidRPr="00382D11">
          <w:rPr>
            <w:rStyle w:val="Hyperlink"/>
          </w:rPr>
          <w:t>Management Review &amp; QA</w:t>
        </w:r>
      </w:hyperlink>
      <w:r w:rsidRPr="00382D11">
        <w:t xml:space="preserve">.  Place forms in project file.  </w:t>
      </w:r>
    </w:p>
    <w:p w14:paraId="75510E85" w14:textId="22A6FFA6" w:rsidR="00847624" w:rsidRDefault="00847624" w:rsidP="00D007B1">
      <w:pPr>
        <w:pStyle w:val="Heading3"/>
        <w:numPr>
          <w:ilvl w:val="0"/>
          <w:numId w:val="0"/>
        </w:numPr>
        <w:jc w:val="both"/>
        <w:sectPr w:rsidR="00847624" w:rsidSect="008445BF">
          <w:headerReference w:type="default" r:id="rId218"/>
          <w:footerReference w:type="default" r:id="rId219"/>
          <w:pgSz w:w="12240" w:h="15840"/>
          <w:pgMar w:top="1440" w:right="1800" w:bottom="1440" w:left="1800" w:header="720" w:footer="720" w:gutter="0"/>
          <w:pgNumType w:chapStyle="1"/>
          <w:cols w:space="720"/>
          <w:docGrid w:linePitch="272"/>
        </w:sectPr>
      </w:pPr>
    </w:p>
    <w:p w14:paraId="41A70737" w14:textId="43C72E39" w:rsidR="002E3FE9" w:rsidRDefault="002E3FE9" w:rsidP="00172E64">
      <w:pPr>
        <w:pStyle w:val="Heading2"/>
        <w:numPr>
          <w:ilvl w:val="1"/>
          <w:numId w:val="184"/>
        </w:numPr>
        <w:ind w:left="0" w:firstLine="0"/>
        <w:jc w:val="both"/>
      </w:pPr>
      <w:bookmarkStart w:id="450" w:name="_Pavement_Drainage"/>
      <w:bookmarkStart w:id="451" w:name="_Toc479160107"/>
      <w:bookmarkStart w:id="452" w:name="Section_6_04"/>
      <w:bookmarkStart w:id="453" w:name="_Toc514057995"/>
      <w:bookmarkStart w:id="454" w:name="_Toc194932391"/>
      <w:bookmarkEnd w:id="450"/>
      <w:r>
        <w:lastRenderedPageBreak/>
        <w:t>Pavement Drainage</w:t>
      </w:r>
      <w:bookmarkEnd w:id="451"/>
      <w:bookmarkEnd w:id="452"/>
      <w:bookmarkEnd w:id="453"/>
      <w:bookmarkEnd w:id="454"/>
      <w:r>
        <w:t xml:space="preserve">  </w:t>
      </w:r>
    </w:p>
    <w:p w14:paraId="3FCCAF68" w14:textId="77777777" w:rsidR="001F32D3" w:rsidRDefault="001F32D3" w:rsidP="001F32D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2" w:history="1">
        <w:r w:rsidRPr="001F32D3">
          <w:rPr>
            <w:rStyle w:val="Hyperlink"/>
            <w:rFonts w:ascii="Arial" w:hAnsi="Arial" w:cs="Arial"/>
            <w:bCs/>
            <w:sz w:val="16"/>
            <w:szCs w:val="16"/>
          </w:rPr>
          <w:t>New Pavement Design Using AASHTO 1993</w:t>
        </w:r>
      </w:hyperlink>
    </w:p>
    <w:p w14:paraId="2A720E3C" w14:textId="77777777" w:rsidR="00707989" w:rsidRPr="008F604D"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7498EB63" w14:textId="77777777" w:rsidR="001F32D3" w:rsidRDefault="001F32D3" w:rsidP="00D007B1">
      <w:pPr>
        <w:jc w:val="both"/>
        <w:rPr>
          <w:rFonts w:ascii="Arial" w:hAnsi="Arial"/>
          <w:sz w:val="22"/>
          <w:szCs w:val="22"/>
        </w:rPr>
      </w:pPr>
    </w:p>
    <w:p w14:paraId="298B1BC5" w14:textId="7BAA3C79" w:rsidR="00D454BD" w:rsidRDefault="002E3FE9">
      <w:pPr>
        <w:jc w:val="both"/>
        <w:rPr>
          <w:rFonts w:ascii="Arial" w:hAnsi="Arial"/>
          <w:sz w:val="22"/>
          <w:szCs w:val="22"/>
        </w:rPr>
      </w:pPr>
      <w:r>
        <w:rPr>
          <w:rFonts w:ascii="Arial" w:hAnsi="Arial"/>
          <w:sz w:val="22"/>
          <w:szCs w:val="22"/>
        </w:rPr>
        <w:t>Pavement drainage is a type of subsurface drainage for a specific reason</w:t>
      </w:r>
      <w:r w:rsidR="00D26370">
        <w:rPr>
          <w:rFonts w:ascii="Arial" w:hAnsi="Arial"/>
          <w:sz w:val="22"/>
          <w:szCs w:val="22"/>
        </w:rPr>
        <w:t>:</w:t>
      </w:r>
      <w:r>
        <w:rPr>
          <w:rFonts w:ascii="Arial" w:hAnsi="Arial"/>
          <w:sz w:val="22"/>
          <w:szCs w:val="22"/>
        </w:rPr>
        <w:t xml:space="preserve"> to drain the pavement section.  </w:t>
      </w:r>
      <w:r w:rsidR="000362D1">
        <w:rPr>
          <w:rFonts w:ascii="Arial" w:hAnsi="Arial"/>
          <w:sz w:val="22"/>
          <w:szCs w:val="22"/>
        </w:rPr>
        <w:t>Pavement drainage is intended to address the water that enters into the pavement structure from the surface</w:t>
      </w:r>
      <w:r w:rsidR="0066673D">
        <w:rPr>
          <w:rFonts w:ascii="Arial" w:hAnsi="Arial"/>
          <w:sz w:val="22"/>
          <w:szCs w:val="22"/>
        </w:rPr>
        <w:t xml:space="preserve"> and is intended to </w:t>
      </w:r>
      <w:r>
        <w:rPr>
          <w:rFonts w:ascii="Arial" w:hAnsi="Arial"/>
          <w:sz w:val="22"/>
          <w:szCs w:val="22"/>
        </w:rPr>
        <w:t>only drain the base and sub-base layers of the pavement structure.  Existing groundwater, underground springs, or wet soil conditions are not going to be addressed through pavement drainage.  Other drainage techniques need to be utilized in th</w:t>
      </w:r>
      <w:r w:rsidR="0066673D">
        <w:rPr>
          <w:rFonts w:ascii="Arial" w:hAnsi="Arial"/>
          <w:sz w:val="22"/>
          <w:szCs w:val="22"/>
        </w:rPr>
        <w:t>e</w:t>
      </w:r>
      <w:r>
        <w:rPr>
          <w:rFonts w:ascii="Arial" w:hAnsi="Arial"/>
          <w:sz w:val="22"/>
          <w:szCs w:val="22"/>
        </w:rPr>
        <w:t xml:space="preserve">se cases.  </w:t>
      </w:r>
      <w:r w:rsidR="0066673D">
        <w:rPr>
          <w:rFonts w:ascii="Arial" w:hAnsi="Arial"/>
          <w:sz w:val="22"/>
          <w:szCs w:val="22"/>
        </w:rPr>
        <w:t xml:space="preserve">Refer to </w:t>
      </w:r>
      <w:hyperlink w:anchor="_Subsurface_Drainage" w:history="1">
        <w:r w:rsidR="00A43BA3" w:rsidRPr="00A43BA3">
          <w:rPr>
            <w:rStyle w:val="Hyperlink"/>
            <w:rFonts w:ascii="Arial" w:hAnsi="Arial"/>
            <w:sz w:val="22"/>
            <w:szCs w:val="22"/>
          </w:rPr>
          <w:t>Subsurface Drainage</w:t>
        </w:r>
      </w:hyperlink>
      <w:r w:rsidR="0066673D">
        <w:rPr>
          <w:rFonts w:ascii="Arial" w:hAnsi="Arial"/>
          <w:sz w:val="22"/>
          <w:szCs w:val="22"/>
        </w:rPr>
        <w:t xml:space="preserve"> for more information on these cases.</w:t>
      </w:r>
      <w:r>
        <w:rPr>
          <w:rFonts w:ascii="Arial" w:hAnsi="Arial"/>
          <w:sz w:val="22"/>
          <w:szCs w:val="22"/>
        </w:rPr>
        <w:t xml:space="preserve">  The following </w:t>
      </w:r>
      <w:r w:rsidR="00A40DBC">
        <w:rPr>
          <w:rFonts w:ascii="Arial" w:hAnsi="Arial"/>
          <w:sz w:val="22"/>
          <w:szCs w:val="22"/>
        </w:rPr>
        <w:t xml:space="preserve">section </w:t>
      </w:r>
      <w:r>
        <w:rPr>
          <w:rFonts w:ascii="Arial" w:hAnsi="Arial"/>
          <w:sz w:val="22"/>
          <w:szCs w:val="22"/>
        </w:rPr>
        <w:t>provide</w:t>
      </w:r>
      <w:r w:rsidR="00A40DBC">
        <w:rPr>
          <w:rFonts w:ascii="Arial" w:hAnsi="Arial"/>
          <w:sz w:val="22"/>
          <w:szCs w:val="22"/>
        </w:rPr>
        <w:t>s</w:t>
      </w:r>
      <w:r>
        <w:rPr>
          <w:rFonts w:ascii="Arial" w:hAnsi="Arial"/>
          <w:sz w:val="22"/>
          <w:szCs w:val="22"/>
        </w:rPr>
        <w:t xml:space="preserve"> pavement drainage guidelines for new construction and widening projects.</w:t>
      </w:r>
    </w:p>
    <w:p w14:paraId="58B51022" w14:textId="77777777" w:rsidR="00A40DBC" w:rsidRDefault="00A43BA3" w:rsidP="00172E64">
      <w:pPr>
        <w:pStyle w:val="Heading3"/>
        <w:numPr>
          <w:ilvl w:val="2"/>
          <w:numId w:val="184"/>
        </w:numPr>
        <w:ind w:left="0" w:firstLine="0"/>
      </w:pPr>
      <w:r>
        <w:t>Purpose</w:t>
      </w:r>
    </w:p>
    <w:p w14:paraId="3538D1B4" w14:textId="33EA57CF" w:rsidR="00A40DBC" w:rsidRDefault="000D782E" w:rsidP="00A40DBC">
      <w:pPr>
        <w:pStyle w:val="BodyText"/>
        <w:spacing w:after="0"/>
        <w:jc w:val="both"/>
      </w:pPr>
      <w:r>
        <w:t xml:space="preserve">Pavement drainage is essential </w:t>
      </w:r>
      <w:r w:rsidR="00D26370">
        <w:t xml:space="preserve">to </w:t>
      </w:r>
      <w:r>
        <w:t xml:space="preserve">drain the base and sub-base layers in order to prevent premature </w:t>
      </w:r>
      <w:r w:rsidR="00A40DBC">
        <w:t>deteriorat</w:t>
      </w:r>
      <w:r>
        <w:t>ion</w:t>
      </w:r>
      <w:r w:rsidR="00A40DBC">
        <w:t xml:space="preserve"> </w:t>
      </w:r>
      <w:r>
        <w:t>and failures of the r</w:t>
      </w:r>
      <w:r w:rsidR="00A40DBC">
        <w:t>oadway pavement</w:t>
      </w:r>
      <w:r>
        <w:t xml:space="preserve"> structure</w:t>
      </w:r>
      <w:r w:rsidR="00A40DBC" w:rsidRPr="00895218">
        <w:t>.</w:t>
      </w:r>
    </w:p>
    <w:p w14:paraId="5FD1A8B3" w14:textId="77777777" w:rsidR="00A40DBC" w:rsidRPr="00CC58A7" w:rsidRDefault="00A40DBC" w:rsidP="00172E64">
      <w:pPr>
        <w:pStyle w:val="Heading3"/>
        <w:numPr>
          <w:ilvl w:val="2"/>
          <w:numId w:val="184"/>
        </w:numPr>
        <w:ind w:left="0" w:firstLine="0"/>
      </w:pPr>
      <w:r w:rsidRPr="00CC58A7">
        <w:t>Resource Requirements</w:t>
      </w:r>
    </w:p>
    <w:p w14:paraId="0941D1B8" w14:textId="77777777" w:rsidR="00A40DBC" w:rsidRDefault="00A40DBC" w:rsidP="00A40DBC">
      <w:pPr>
        <w:pStyle w:val="BodyText"/>
        <w:spacing w:after="0"/>
        <w:jc w:val="both"/>
      </w:pPr>
      <w:r>
        <w:t xml:space="preserve">An </w:t>
      </w:r>
      <w:r w:rsidR="006B788A">
        <w:t xml:space="preserve">evaluation </w:t>
      </w:r>
      <w:r>
        <w:t xml:space="preserve">of </w:t>
      </w:r>
      <w:r w:rsidR="006B788A">
        <w:t xml:space="preserve">the current conditions/features and proposed scope is necessary </w:t>
      </w:r>
      <w:r>
        <w:t xml:space="preserve">to determine which </w:t>
      </w:r>
      <w:r w:rsidR="006B788A">
        <w:t xml:space="preserve">pavement </w:t>
      </w:r>
      <w:r>
        <w:t xml:space="preserve">drainage tool(s) can be most beneficial and practical for the specific project. </w:t>
      </w:r>
      <w:r w:rsidRPr="00CC58A7">
        <w:t>Th</w:t>
      </w:r>
      <w:r>
        <w:t xml:space="preserve">is procedure </w:t>
      </w:r>
      <w:r w:rsidRPr="00CC58A7">
        <w:t xml:space="preserve">documented below requires the following staffing needs for a typical </w:t>
      </w:r>
      <w:r>
        <w:t>project:</w:t>
      </w:r>
    </w:p>
    <w:p w14:paraId="3D172888" w14:textId="77777777" w:rsidR="00A40DBC" w:rsidRDefault="00A40DBC" w:rsidP="00A40DBC">
      <w:pPr>
        <w:pStyle w:val="BodyText"/>
        <w:spacing w:after="0"/>
        <w:jc w:val="both"/>
      </w:pP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7"/>
        <w:gridCol w:w="2286"/>
        <w:gridCol w:w="1926"/>
        <w:gridCol w:w="1584"/>
      </w:tblGrid>
      <w:tr w:rsidR="00A40DBC" w:rsidRPr="00206137" w14:paraId="42BA74E2" w14:textId="77777777" w:rsidTr="0067267A">
        <w:trPr>
          <w:trHeight w:val="288"/>
          <w:jc w:val="center"/>
        </w:trPr>
        <w:tc>
          <w:tcPr>
            <w:tcW w:w="2687" w:type="dxa"/>
            <w:shd w:val="pct15" w:color="auto" w:fill="FFFFFF"/>
            <w:vAlign w:val="center"/>
          </w:tcPr>
          <w:p w14:paraId="3C7AB516" w14:textId="77777777" w:rsidR="00A40DBC" w:rsidRPr="00206137" w:rsidRDefault="00A40DBC" w:rsidP="00D26370">
            <w:pPr>
              <w:jc w:val="center"/>
              <w:rPr>
                <w:rFonts w:ascii="Arial" w:hAnsi="Arial" w:cs="Arial"/>
                <w:b/>
                <w:bCs/>
              </w:rPr>
            </w:pPr>
            <w:r w:rsidRPr="00206137">
              <w:rPr>
                <w:rFonts w:ascii="Arial" w:hAnsi="Arial" w:cs="Arial"/>
                <w:b/>
                <w:bCs/>
              </w:rPr>
              <w:t>Position</w:t>
            </w:r>
          </w:p>
        </w:tc>
        <w:tc>
          <w:tcPr>
            <w:tcW w:w="2286" w:type="dxa"/>
            <w:shd w:val="pct15" w:color="auto" w:fill="FFFFFF"/>
            <w:vAlign w:val="center"/>
          </w:tcPr>
          <w:p w14:paraId="4A81D200" w14:textId="77777777" w:rsidR="00A40DBC" w:rsidRPr="00206137" w:rsidRDefault="00A40DBC" w:rsidP="00D26370">
            <w:pPr>
              <w:jc w:val="center"/>
              <w:rPr>
                <w:rFonts w:ascii="Arial" w:hAnsi="Arial" w:cs="Arial"/>
                <w:b/>
                <w:bCs/>
              </w:rPr>
            </w:pPr>
            <w:r w:rsidRPr="00206137">
              <w:rPr>
                <w:rFonts w:ascii="Arial" w:hAnsi="Arial" w:cs="Arial"/>
                <w:b/>
                <w:bCs/>
              </w:rPr>
              <w:t>Function</w:t>
            </w:r>
          </w:p>
        </w:tc>
        <w:tc>
          <w:tcPr>
            <w:tcW w:w="1926" w:type="dxa"/>
            <w:shd w:val="pct15" w:color="auto" w:fill="FFFFFF"/>
            <w:vAlign w:val="center"/>
          </w:tcPr>
          <w:p w14:paraId="71622F00" w14:textId="77777777" w:rsidR="00A40DBC" w:rsidRPr="00206137" w:rsidRDefault="00A40DBC" w:rsidP="00D26370">
            <w:pPr>
              <w:jc w:val="center"/>
              <w:rPr>
                <w:rFonts w:ascii="Arial" w:hAnsi="Arial" w:cs="Arial"/>
                <w:b/>
                <w:bCs/>
              </w:rPr>
            </w:pPr>
            <w:r w:rsidRPr="00206137">
              <w:rPr>
                <w:rFonts w:ascii="Arial" w:hAnsi="Arial" w:cs="Arial"/>
                <w:b/>
                <w:bCs/>
              </w:rPr>
              <w:t>Resources</w:t>
            </w:r>
          </w:p>
        </w:tc>
        <w:tc>
          <w:tcPr>
            <w:tcW w:w="1584" w:type="dxa"/>
            <w:shd w:val="pct15" w:color="auto" w:fill="FFFFFF"/>
            <w:vAlign w:val="center"/>
          </w:tcPr>
          <w:p w14:paraId="5EB20D82" w14:textId="77777777" w:rsidR="00A40DBC" w:rsidRPr="00206137" w:rsidRDefault="00A40DBC" w:rsidP="00D26370">
            <w:pPr>
              <w:jc w:val="center"/>
              <w:rPr>
                <w:rFonts w:ascii="Arial" w:hAnsi="Arial" w:cs="Arial"/>
                <w:b/>
                <w:bCs/>
              </w:rPr>
            </w:pPr>
            <w:r w:rsidRPr="00206137">
              <w:rPr>
                <w:rFonts w:ascii="Arial" w:hAnsi="Arial" w:cs="Arial"/>
                <w:b/>
                <w:bCs/>
              </w:rPr>
              <w:t>Effort Level</w:t>
            </w:r>
          </w:p>
          <w:p w14:paraId="6FBD0D77" w14:textId="77777777" w:rsidR="00A40DBC" w:rsidRPr="00206137" w:rsidRDefault="00A40DBC" w:rsidP="00D26370">
            <w:pPr>
              <w:jc w:val="center"/>
              <w:rPr>
                <w:rFonts w:ascii="Arial" w:hAnsi="Arial" w:cs="Arial"/>
                <w:b/>
                <w:bCs/>
              </w:rPr>
            </w:pPr>
            <w:r w:rsidRPr="00206137">
              <w:rPr>
                <w:rFonts w:ascii="Arial" w:hAnsi="Arial" w:cs="Arial"/>
                <w:b/>
                <w:bCs/>
              </w:rPr>
              <w:t>(man-hours)</w:t>
            </w:r>
          </w:p>
        </w:tc>
      </w:tr>
      <w:tr w:rsidR="00A40DBC" w:rsidRPr="00206137" w14:paraId="4027F0F3" w14:textId="77777777" w:rsidTr="0067267A">
        <w:trPr>
          <w:trHeight w:val="288"/>
          <w:jc w:val="center"/>
        </w:trPr>
        <w:tc>
          <w:tcPr>
            <w:tcW w:w="2687" w:type="dxa"/>
            <w:vAlign w:val="center"/>
          </w:tcPr>
          <w:p w14:paraId="0622D640" w14:textId="77777777" w:rsidR="00A40DBC" w:rsidRPr="00206137" w:rsidRDefault="00A40DBC" w:rsidP="00D26370">
            <w:pPr>
              <w:jc w:val="center"/>
              <w:rPr>
                <w:rFonts w:ascii="Arial" w:hAnsi="Arial" w:cs="Arial"/>
                <w:sz w:val="18"/>
                <w:szCs w:val="18"/>
              </w:rPr>
            </w:pPr>
            <w:r>
              <w:rPr>
                <w:rFonts w:ascii="Arial" w:hAnsi="Arial" w:cs="Arial"/>
                <w:sz w:val="18"/>
                <w:szCs w:val="18"/>
              </w:rPr>
              <w:t>PAGD Engineer</w:t>
            </w:r>
          </w:p>
        </w:tc>
        <w:tc>
          <w:tcPr>
            <w:tcW w:w="2286" w:type="dxa"/>
            <w:vAlign w:val="center"/>
          </w:tcPr>
          <w:p w14:paraId="0182080E" w14:textId="77777777" w:rsidR="00A40DBC" w:rsidRPr="00895218" w:rsidRDefault="00A40DBC" w:rsidP="00D26370">
            <w:pPr>
              <w:jc w:val="center"/>
              <w:rPr>
                <w:rFonts w:ascii="Arial" w:hAnsi="Arial"/>
                <w:sz w:val="18"/>
              </w:rPr>
            </w:pPr>
            <w:r w:rsidRPr="00895218">
              <w:rPr>
                <w:rFonts w:ascii="Arial" w:hAnsi="Arial"/>
                <w:sz w:val="18"/>
              </w:rPr>
              <w:t>Records Review</w:t>
            </w:r>
          </w:p>
        </w:tc>
        <w:tc>
          <w:tcPr>
            <w:tcW w:w="1926" w:type="dxa"/>
            <w:vAlign w:val="center"/>
          </w:tcPr>
          <w:p w14:paraId="747BBA67" w14:textId="77777777" w:rsidR="00A40DBC" w:rsidRPr="00206137" w:rsidRDefault="00A40DBC" w:rsidP="00D26370">
            <w:pPr>
              <w:jc w:val="center"/>
              <w:rPr>
                <w:rFonts w:ascii="Arial" w:hAnsi="Arial" w:cs="Arial"/>
                <w:sz w:val="18"/>
                <w:szCs w:val="18"/>
              </w:rPr>
            </w:pPr>
            <w:r w:rsidRPr="00206137">
              <w:rPr>
                <w:rFonts w:ascii="Arial" w:hAnsi="Arial" w:cs="Arial"/>
                <w:sz w:val="18"/>
                <w:szCs w:val="18"/>
              </w:rPr>
              <w:t>1</w:t>
            </w:r>
          </w:p>
        </w:tc>
        <w:tc>
          <w:tcPr>
            <w:tcW w:w="1584" w:type="dxa"/>
            <w:vAlign w:val="center"/>
          </w:tcPr>
          <w:p w14:paraId="49AAFFE6" w14:textId="77777777" w:rsidR="00A40DBC" w:rsidRPr="00206137" w:rsidRDefault="000D782E" w:rsidP="00D26370">
            <w:pPr>
              <w:jc w:val="center"/>
              <w:rPr>
                <w:rFonts w:ascii="Arial" w:hAnsi="Arial" w:cs="Arial"/>
                <w:sz w:val="18"/>
                <w:szCs w:val="18"/>
              </w:rPr>
            </w:pPr>
            <w:r>
              <w:rPr>
                <w:rFonts w:ascii="Arial" w:hAnsi="Arial" w:cs="Arial"/>
                <w:sz w:val="18"/>
                <w:szCs w:val="18"/>
              </w:rPr>
              <w:t>4</w:t>
            </w:r>
            <w:r w:rsidR="00A40DBC" w:rsidRPr="00206137">
              <w:rPr>
                <w:rFonts w:ascii="Arial" w:hAnsi="Arial" w:cs="Arial"/>
                <w:sz w:val="18"/>
                <w:szCs w:val="18"/>
              </w:rPr>
              <w:t>*</w:t>
            </w:r>
          </w:p>
        </w:tc>
      </w:tr>
      <w:tr w:rsidR="00A40DBC" w:rsidRPr="00206137" w14:paraId="59195CD0" w14:textId="77777777" w:rsidTr="0067267A">
        <w:trPr>
          <w:trHeight w:val="288"/>
          <w:jc w:val="center"/>
        </w:trPr>
        <w:tc>
          <w:tcPr>
            <w:tcW w:w="2687" w:type="dxa"/>
            <w:vAlign w:val="center"/>
          </w:tcPr>
          <w:p w14:paraId="57535E50" w14:textId="77777777" w:rsidR="00A40DBC" w:rsidRPr="00206137" w:rsidRDefault="00A40DBC" w:rsidP="00D26370">
            <w:pPr>
              <w:jc w:val="center"/>
              <w:rPr>
                <w:rFonts w:ascii="Arial" w:hAnsi="Arial" w:cs="Arial"/>
                <w:sz w:val="18"/>
                <w:szCs w:val="18"/>
              </w:rPr>
            </w:pPr>
            <w:r>
              <w:rPr>
                <w:rFonts w:ascii="Arial" w:hAnsi="Arial" w:cs="Arial"/>
                <w:sz w:val="18"/>
                <w:szCs w:val="18"/>
              </w:rPr>
              <w:t>PAGD Engineer</w:t>
            </w:r>
          </w:p>
        </w:tc>
        <w:tc>
          <w:tcPr>
            <w:tcW w:w="2286" w:type="dxa"/>
            <w:vAlign w:val="center"/>
          </w:tcPr>
          <w:p w14:paraId="3455FA35" w14:textId="77777777" w:rsidR="00A40DBC" w:rsidRPr="00895218" w:rsidRDefault="00A40DBC" w:rsidP="00D26370">
            <w:pPr>
              <w:jc w:val="center"/>
              <w:rPr>
                <w:rFonts w:ascii="Arial" w:hAnsi="Arial"/>
                <w:sz w:val="18"/>
              </w:rPr>
            </w:pPr>
            <w:r w:rsidRPr="00895218">
              <w:rPr>
                <w:rFonts w:ascii="Arial" w:hAnsi="Arial"/>
                <w:sz w:val="18"/>
              </w:rPr>
              <w:t xml:space="preserve">Prepare </w:t>
            </w:r>
            <w:r w:rsidR="000D782E">
              <w:rPr>
                <w:rFonts w:ascii="Arial" w:hAnsi="Arial"/>
                <w:sz w:val="18"/>
              </w:rPr>
              <w:t xml:space="preserve">Recommendation and </w:t>
            </w:r>
            <w:r w:rsidRPr="00895218">
              <w:rPr>
                <w:rFonts w:ascii="Arial" w:hAnsi="Arial"/>
                <w:sz w:val="18"/>
              </w:rPr>
              <w:t>Details</w:t>
            </w:r>
          </w:p>
        </w:tc>
        <w:tc>
          <w:tcPr>
            <w:tcW w:w="1926" w:type="dxa"/>
            <w:vAlign w:val="center"/>
          </w:tcPr>
          <w:p w14:paraId="616C803E" w14:textId="77777777" w:rsidR="00A40DBC" w:rsidRPr="00206137" w:rsidRDefault="00A40DBC" w:rsidP="00D26370">
            <w:pPr>
              <w:jc w:val="center"/>
              <w:rPr>
                <w:rFonts w:ascii="Arial" w:hAnsi="Arial" w:cs="Arial"/>
                <w:sz w:val="18"/>
                <w:szCs w:val="18"/>
              </w:rPr>
            </w:pPr>
            <w:r w:rsidRPr="00206137">
              <w:rPr>
                <w:rFonts w:ascii="Arial" w:hAnsi="Arial" w:cs="Arial"/>
                <w:sz w:val="18"/>
                <w:szCs w:val="18"/>
              </w:rPr>
              <w:t>1</w:t>
            </w:r>
          </w:p>
        </w:tc>
        <w:tc>
          <w:tcPr>
            <w:tcW w:w="1584" w:type="dxa"/>
            <w:vAlign w:val="center"/>
          </w:tcPr>
          <w:p w14:paraId="1A80C52F" w14:textId="77777777" w:rsidR="00A40DBC" w:rsidRPr="00206137" w:rsidRDefault="00A40DBC" w:rsidP="00D26370">
            <w:pPr>
              <w:jc w:val="center"/>
              <w:rPr>
                <w:rFonts w:ascii="Arial" w:hAnsi="Arial" w:cs="Arial"/>
                <w:sz w:val="18"/>
                <w:szCs w:val="18"/>
              </w:rPr>
            </w:pPr>
            <w:r w:rsidRPr="00206137">
              <w:rPr>
                <w:rFonts w:ascii="Arial" w:hAnsi="Arial" w:cs="Arial"/>
                <w:sz w:val="18"/>
                <w:szCs w:val="18"/>
              </w:rPr>
              <w:t>4*</w:t>
            </w:r>
          </w:p>
        </w:tc>
      </w:tr>
    </w:tbl>
    <w:p w14:paraId="3D0A6F01" w14:textId="77777777" w:rsidR="00A40DBC" w:rsidRDefault="00A40DBC" w:rsidP="00A40DBC">
      <w:r w:rsidRPr="00895218">
        <w:rPr>
          <w:rFonts w:ascii="Arial" w:hAnsi="Arial"/>
          <w:sz w:val="18"/>
          <w:szCs w:val="18"/>
        </w:rPr>
        <w:t xml:space="preserve">      * The time required would vary depending on the size and complexity of a project.</w:t>
      </w:r>
    </w:p>
    <w:p w14:paraId="5451523A" w14:textId="77777777" w:rsidR="00A40DBC" w:rsidRPr="00CC58A7" w:rsidRDefault="00A40DBC" w:rsidP="00172E64">
      <w:pPr>
        <w:pStyle w:val="Heading3"/>
        <w:numPr>
          <w:ilvl w:val="2"/>
          <w:numId w:val="184"/>
        </w:numPr>
        <w:ind w:left="0" w:firstLine="0"/>
      </w:pPr>
      <w:r w:rsidRPr="00CC58A7">
        <w:t>Procedure</w:t>
      </w:r>
    </w:p>
    <w:p w14:paraId="4ECC653E" w14:textId="4CDEDE80" w:rsidR="00A40DBC" w:rsidRDefault="00A40DBC" w:rsidP="006B788A">
      <w:pPr>
        <w:pStyle w:val="BodyText"/>
        <w:spacing w:after="0"/>
        <w:jc w:val="both"/>
      </w:pPr>
      <w:r w:rsidRPr="00CC58A7">
        <w:t xml:space="preserve">The procedure </w:t>
      </w:r>
      <w:r w:rsidRPr="00004850">
        <w:t>described</w:t>
      </w:r>
      <w:r w:rsidR="00D26370">
        <w:t xml:space="preserve"> below</w:t>
      </w:r>
      <w:r w:rsidRPr="00004850">
        <w:t xml:space="preserve"> should be followed when </w:t>
      </w:r>
      <w:r>
        <w:t xml:space="preserve">selecting </w:t>
      </w:r>
      <w:r w:rsidR="006B788A">
        <w:t>pavement drainage methods</w:t>
      </w:r>
      <w:r w:rsidRPr="00004850">
        <w:t xml:space="preserve">. </w:t>
      </w:r>
    </w:p>
    <w:p w14:paraId="5DC068FA" w14:textId="06EF79E0" w:rsidR="00A40DBC" w:rsidRDefault="00A40DBC" w:rsidP="00172E64">
      <w:pPr>
        <w:pStyle w:val="ListNumber"/>
        <w:numPr>
          <w:ilvl w:val="0"/>
          <w:numId w:val="63"/>
        </w:numPr>
        <w:tabs>
          <w:tab w:val="clear" w:pos="1872"/>
          <w:tab w:val="num" w:pos="1152"/>
        </w:tabs>
        <w:spacing w:before="240"/>
        <w:ind w:left="1080" w:hanging="1080"/>
        <w:jc w:val="both"/>
      </w:pPr>
      <w:r w:rsidRPr="0021416D">
        <w:t xml:space="preserve">Review </w:t>
      </w:r>
      <w:r>
        <w:t xml:space="preserve">proposed </w:t>
      </w:r>
      <w:r w:rsidRPr="0021416D">
        <w:t>plans</w:t>
      </w:r>
      <w:r w:rsidR="00097D66">
        <w:t>, profiles</w:t>
      </w:r>
      <w:r w:rsidR="00D26370">
        <w:t>,</w:t>
      </w:r>
      <w:r w:rsidR="00097D66">
        <w:t xml:space="preserve"> and typicals</w:t>
      </w:r>
      <w:r w:rsidRPr="0021416D">
        <w:t xml:space="preserve"> thoroughly and make notes.</w:t>
      </w:r>
      <w:r>
        <w:t xml:space="preserve">  </w:t>
      </w:r>
      <w:r w:rsidR="00097D66">
        <w:t>Note low points, areas of pavement superelevation, potential existing and proposed conflict with utilities and guardrail.  Review as-builts for the possible existence of previous underdrain construction.</w:t>
      </w:r>
    </w:p>
    <w:p w14:paraId="39E6C65D" w14:textId="77777777" w:rsidR="00A40DBC" w:rsidRDefault="00097D66" w:rsidP="00172E64">
      <w:pPr>
        <w:pStyle w:val="ListNumber"/>
        <w:numPr>
          <w:ilvl w:val="0"/>
          <w:numId w:val="63"/>
        </w:numPr>
        <w:tabs>
          <w:tab w:val="clear" w:pos="1872"/>
          <w:tab w:val="num" w:pos="1152"/>
        </w:tabs>
        <w:ind w:left="1080" w:hanging="1080"/>
        <w:jc w:val="both"/>
      </w:pPr>
      <w:r>
        <w:t xml:space="preserve">Select an appropriate pavement drainage tool listed below and explained later in this section.  Longitudinal Underdrain is the default method for pavement drainage.  </w:t>
      </w:r>
    </w:p>
    <w:p w14:paraId="7B7D44AB" w14:textId="77777777" w:rsidR="00A40DBC" w:rsidRDefault="00A40DBC" w:rsidP="00172E64">
      <w:pPr>
        <w:pStyle w:val="ListNumber"/>
        <w:numPr>
          <w:ilvl w:val="0"/>
          <w:numId w:val="63"/>
        </w:numPr>
        <w:tabs>
          <w:tab w:val="clear" w:pos="1872"/>
          <w:tab w:val="num" w:pos="1152"/>
        </w:tabs>
        <w:ind w:left="1080" w:hanging="1080"/>
        <w:jc w:val="both"/>
      </w:pPr>
      <w:r>
        <w:t xml:space="preserve">Once a </w:t>
      </w:r>
      <w:r w:rsidRPr="00BC76F2">
        <w:t>method(s)</w:t>
      </w:r>
      <w:r>
        <w:t xml:space="preserve"> has been selected, </w:t>
      </w:r>
      <w:r w:rsidR="005B58A9">
        <w:t>i</w:t>
      </w:r>
      <w:r>
        <w:t xml:space="preserve">nclude the </w:t>
      </w:r>
      <w:r w:rsidR="005B58A9">
        <w:t xml:space="preserve">recommendation for pavement drainage </w:t>
      </w:r>
      <w:r>
        <w:t xml:space="preserve">as part of the </w:t>
      </w:r>
      <w:r w:rsidRPr="00BC76F2">
        <w:t>F</w:t>
      </w:r>
      <w:r>
        <w:t xml:space="preserve">inal Pavement and </w:t>
      </w:r>
      <w:r w:rsidRPr="00BC76F2">
        <w:t>G</w:t>
      </w:r>
      <w:r>
        <w:t xml:space="preserve">eotechnical </w:t>
      </w:r>
      <w:r w:rsidRPr="00BC76F2">
        <w:t>R</w:t>
      </w:r>
      <w:r>
        <w:t>eport</w:t>
      </w:r>
      <w:r w:rsidR="005B58A9">
        <w:t xml:space="preserve"> and Pavement Details</w:t>
      </w:r>
      <w:r>
        <w:t>.</w:t>
      </w:r>
    </w:p>
    <w:p w14:paraId="5F4D7309" w14:textId="1D0AA7BF" w:rsidR="00A40DBC" w:rsidRDefault="00A40DBC" w:rsidP="00172E64">
      <w:pPr>
        <w:pStyle w:val="ListNumber"/>
        <w:numPr>
          <w:ilvl w:val="0"/>
          <w:numId w:val="63"/>
        </w:numPr>
        <w:tabs>
          <w:tab w:val="clear" w:pos="1872"/>
          <w:tab w:val="num" w:pos="1152"/>
        </w:tabs>
        <w:ind w:left="1080" w:hanging="1080"/>
        <w:jc w:val="both"/>
      </w:pPr>
      <w:r w:rsidRPr="00BC76F2">
        <w:t xml:space="preserve">Review the Final Review plans.  The Final Review plans should show </w:t>
      </w:r>
      <w:r w:rsidR="005B58A9">
        <w:t>detail</w:t>
      </w:r>
      <w:r w:rsidR="00A43BA3">
        <w:t>e</w:t>
      </w:r>
      <w:r w:rsidR="005B58A9">
        <w:t xml:space="preserve">d construction notes for pavement drainage and outletting as noted from the </w:t>
      </w:r>
      <w:r w:rsidR="005B58A9">
        <w:lastRenderedPageBreak/>
        <w:t>FPGR. Pavement Details and pavement typical should show pavement drainage where applicable.</w:t>
      </w:r>
      <w:r w:rsidRPr="00BC76F2">
        <w:t xml:space="preserve"> </w:t>
      </w:r>
    </w:p>
    <w:p w14:paraId="394301D4" w14:textId="77777777" w:rsidR="00A40DBC" w:rsidRDefault="00A40DBC" w:rsidP="00BE3F24">
      <w:pPr>
        <w:rPr>
          <w:rFonts w:ascii="Arial" w:hAnsi="Arial"/>
          <w:sz w:val="22"/>
          <w:szCs w:val="22"/>
        </w:rPr>
      </w:pPr>
    </w:p>
    <w:p w14:paraId="5AA9E886" w14:textId="3777BD3C" w:rsidR="006058C6" w:rsidRDefault="006058C6" w:rsidP="006058C6">
      <w:pPr>
        <w:pStyle w:val="BodyText"/>
        <w:spacing w:after="0"/>
        <w:jc w:val="both"/>
      </w:pPr>
      <w:r w:rsidRPr="00CC58A7">
        <w:t xml:space="preserve">The </w:t>
      </w:r>
      <w:r w:rsidR="000D782E">
        <w:t>drai</w:t>
      </w:r>
      <w:r>
        <w:t xml:space="preserve">nage tools listed below are used to address </w:t>
      </w:r>
      <w:r w:rsidR="000D782E">
        <w:t xml:space="preserve">pavement drainage </w:t>
      </w:r>
      <w:r>
        <w:t>for a specific project</w:t>
      </w:r>
      <w:r w:rsidR="00952A23">
        <w:t>.</w:t>
      </w:r>
      <w:r w:rsidR="004609BC">
        <w:t xml:space="preserve"> </w:t>
      </w:r>
      <w:r w:rsidR="004609BC" w:rsidRPr="004609BC">
        <w:t xml:space="preserve"> </w:t>
      </w:r>
      <w:r w:rsidR="004609BC">
        <w:t xml:space="preserve">Longitudinal Underdrain is the primary tool used by </w:t>
      </w:r>
      <w:r w:rsidR="008C7023">
        <w:t>MDOT-SHA</w:t>
      </w:r>
      <w:r w:rsidR="004609BC">
        <w:t xml:space="preserve"> to address pavement drainage.  </w:t>
      </w:r>
    </w:p>
    <w:p w14:paraId="434A3399" w14:textId="77777777" w:rsidR="006058C6" w:rsidRDefault="006058C6" w:rsidP="006058C6">
      <w:pPr>
        <w:pStyle w:val="BodyText"/>
        <w:spacing w:after="0"/>
        <w:jc w:val="both"/>
      </w:pPr>
    </w:p>
    <w:p w14:paraId="10AA4309" w14:textId="77777777" w:rsidR="006058C6" w:rsidRDefault="007822F3" w:rsidP="00172E64">
      <w:pPr>
        <w:pStyle w:val="BodyText"/>
        <w:numPr>
          <w:ilvl w:val="0"/>
          <w:numId w:val="62"/>
        </w:numPr>
        <w:tabs>
          <w:tab w:val="clear" w:pos="1170"/>
          <w:tab w:val="num" w:pos="540"/>
        </w:tabs>
        <w:spacing w:after="0"/>
        <w:ind w:left="0" w:firstLine="0"/>
        <w:jc w:val="both"/>
      </w:pPr>
      <w:r>
        <w:t>Longitudinal Underdrain</w:t>
      </w:r>
    </w:p>
    <w:p w14:paraId="6EDA6A90" w14:textId="77777777" w:rsidR="006058C6" w:rsidRDefault="006058C6" w:rsidP="00172E64">
      <w:pPr>
        <w:pStyle w:val="BodyText"/>
        <w:numPr>
          <w:ilvl w:val="0"/>
          <w:numId w:val="62"/>
        </w:numPr>
        <w:tabs>
          <w:tab w:val="clear" w:pos="1170"/>
          <w:tab w:val="num" w:pos="540"/>
        </w:tabs>
        <w:spacing w:after="0"/>
        <w:ind w:left="0" w:firstLine="0"/>
        <w:jc w:val="both"/>
      </w:pPr>
      <w:r>
        <w:t>Pre-fabricated Edge Drain</w:t>
      </w:r>
    </w:p>
    <w:p w14:paraId="4C36FC4A" w14:textId="77777777" w:rsidR="006058C6" w:rsidRDefault="006058C6" w:rsidP="00172E64">
      <w:pPr>
        <w:pStyle w:val="BodyText"/>
        <w:numPr>
          <w:ilvl w:val="0"/>
          <w:numId w:val="62"/>
        </w:numPr>
        <w:tabs>
          <w:tab w:val="clear" w:pos="1170"/>
          <w:tab w:val="num" w:pos="540"/>
        </w:tabs>
        <w:spacing w:after="0"/>
        <w:ind w:left="0" w:firstLine="0"/>
        <w:jc w:val="both"/>
      </w:pPr>
      <w:r>
        <w:t>Open Graded Base</w:t>
      </w:r>
    </w:p>
    <w:p w14:paraId="74EEC8A6" w14:textId="77777777" w:rsidR="00703966" w:rsidRPr="00CC58A7" w:rsidRDefault="00703966" w:rsidP="00172E64">
      <w:pPr>
        <w:pStyle w:val="Heading3"/>
        <w:numPr>
          <w:ilvl w:val="2"/>
          <w:numId w:val="184"/>
        </w:numPr>
        <w:tabs>
          <w:tab w:val="left" w:pos="1440"/>
        </w:tabs>
        <w:ind w:left="0" w:firstLine="0"/>
      </w:pPr>
      <w:r>
        <w:t>Longitudinal Underdrain</w:t>
      </w:r>
    </w:p>
    <w:p w14:paraId="6942A997" w14:textId="40CA5D4B" w:rsidR="006058C6" w:rsidRDefault="006058C6" w:rsidP="00952A23">
      <w:pPr>
        <w:jc w:val="both"/>
        <w:rPr>
          <w:rFonts w:ascii="Arial" w:hAnsi="Arial"/>
          <w:sz w:val="22"/>
          <w:szCs w:val="22"/>
        </w:rPr>
      </w:pPr>
      <w:r>
        <w:rPr>
          <w:rFonts w:ascii="Arial" w:hAnsi="Arial"/>
          <w:sz w:val="22"/>
          <w:szCs w:val="22"/>
        </w:rPr>
        <w:t xml:space="preserve">Longitudinal underdrain is a pavement drainage underdrain technique used specifically to drain the pavement section.  Longitudinal underdrain is not </w:t>
      </w:r>
      <w:r w:rsidR="00A16700">
        <w:rPr>
          <w:rFonts w:ascii="Arial" w:hAnsi="Arial"/>
          <w:sz w:val="22"/>
          <w:szCs w:val="22"/>
        </w:rPr>
        <w:t>inten</w:t>
      </w:r>
      <w:r>
        <w:rPr>
          <w:rFonts w:ascii="Arial" w:hAnsi="Arial"/>
          <w:sz w:val="22"/>
          <w:szCs w:val="22"/>
        </w:rPr>
        <w:t>de</w:t>
      </w:r>
      <w:r w:rsidR="00A16700">
        <w:rPr>
          <w:rFonts w:ascii="Arial" w:hAnsi="Arial"/>
          <w:sz w:val="22"/>
          <w:szCs w:val="22"/>
        </w:rPr>
        <w:t>d</w:t>
      </w:r>
      <w:r>
        <w:rPr>
          <w:rFonts w:ascii="Arial" w:hAnsi="Arial"/>
          <w:sz w:val="22"/>
          <w:szCs w:val="22"/>
        </w:rPr>
        <w:t xml:space="preserve"> to address wet soils or correct other high watertable issues.  It is used to remove water that enters the pavement structure.  Longitudinal underdrain by definition is placed longitudinally at the edge of the roadway.  Longitudinal underdrain is to be used in conditions when water entering the pavement structure may not have an easy path away from the pavement structure either because of the geometry of the roadway or because of the draining capacity of the subgrade.  </w:t>
      </w:r>
    </w:p>
    <w:p w14:paraId="3D70FB32" w14:textId="77777777" w:rsidR="006058C6" w:rsidRDefault="006058C6" w:rsidP="00952A23">
      <w:pPr>
        <w:jc w:val="both"/>
        <w:rPr>
          <w:rFonts w:ascii="Arial" w:hAnsi="Arial"/>
          <w:sz w:val="22"/>
          <w:szCs w:val="22"/>
        </w:rPr>
      </w:pPr>
    </w:p>
    <w:p w14:paraId="326171E0" w14:textId="2C95F6E2" w:rsidR="006058C6" w:rsidRDefault="006058C6" w:rsidP="00952A23">
      <w:pPr>
        <w:jc w:val="both"/>
        <w:rPr>
          <w:rFonts w:ascii="Arial" w:hAnsi="Arial"/>
          <w:sz w:val="22"/>
          <w:szCs w:val="22"/>
        </w:rPr>
      </w:pPr>
      <w:r>
        <w:rPr>
          <w:rFonts w:ascii="Arial" w:hAnsi="Arial"/>
          <w:sz w:val="22"/>
          <w:szCs w:val="22"/>
        </w:rPr>
        <w:t>Longitudinal underdrain is u</w:t>
      </w:r>
      <w:r w:rsidRPr="0096701D">
        <w:rPr>
          <w:rFonts w:ascii="Arial" w:hAnsi="Arial"/>
          <w:sz w:val="22"/>
          <w:szCs w:val="22"/>
        </w:rPr>
        <w:t>sed for roadways in areas with fine grain</w:t>
      </w:r>
      <w:r w:rsidR="00A16700">
        <w:rPr>
          <w:rFonts w:ascii="Arial" w:hAnsi="Arial"/>
          <w:sz w:val="22"/>
          <w:szCs w:val="22"/>
        </w:rPr>
        <w:t>ed,</w:t>
      </w:r>
      <w:r w:rsidRPr="0096701D">
        <w:rPr>
          <w:rFonts w:ascii="Arial" w:hAnsi="Arial"/>
          <w:sz w:val="22"/>
          <w:szCs w:val="22"/>
        </w:rPr>
        <w:t xml:space="preserve"> frost</w:t>
      </w:r>
      <w:r w:rsidR="00A16700">
        <w:rPr>
          <w:rFonts w:ascii="Arial" w:hAnsi="Arial"/>
          <w:sz w:val="22"/>
          <w:szCs w:val="22"/>
        </w:rPr>
        <w:t>-</w:t>
      </w:r>
      <w:r w:rsidRPr="0096701D">
        <w:rPr>
          <w:rFonts w:ascii="Arial" w:hAnsi="Arial"/>
          <w:sz w:val="22"/>
          <w:szCs w:val="22"/>
        </w:rPr>
        <w:t>susceptible or high capillary soils.</w:t>
      </w:r>
      <w:r>
        <w:rPr>
          <w:rFonts w:ascii="Arial" w:hAnsi="Arial"/>
          <w:sz w:val="22"/>
          <w:szCs w:val="22"/>
        </w:rPr>
        <w:t xml:space="preserve">  </w:t>
      </w:r>
      <w:r w:rsidR="00D26370">
        <w:rPr>
          <w:rFonts w:ascii="Arial" w:hAnsi="Arial"/>
          <w:sz w:val="22"/>
          <w:szCs w:val="22"/>
        </w:rPr>
        <w:t xml:space="preserve">It is </w:t>
      </w:r>
      <w:r>
        <w:rPr>
          <w:rFonts w:ascii="Arial" w:hAnsi="Arial"/>
          <w:sz w:val="22"/>
          <w:szCs w:val="22"/>
        </w:rPr>
        <w:t xml:space="preserve">placed </w:t>
      </w:r>
      <w:r w:rsidRPr="0096701D">
        <w:rPr>
          <w:rFonts w:ascii="Arial" w:hAnsi="Arial"/>
          <w:sz w:val="22"/>
          <w:szCs w:val="22"/>
        </w:rPr>
        <w:t>continuously through all cuts and fills.</w:t>
      </w:r>
      <w:r>
        <w:rPr>
          <w:rFonts w:ascii="Arial" w:hAnsi="Arial"/>
          <w:sz w:val="22"/>
          <w:szCs w:val="22"/>
        </w:rPr>
        <w:t xml:space="preserve">  U</w:t>
      </w:r>
      <w:r w:rsidRPr="0096701D">
        <w:rPr>
          <w:rFonts w:ascii="Arial" w:hAnsi="Arial"/>
          <w:sz w:val="22"/>
          <w:szCs w:val="22"/>
        </w:rPr>
        <w:t xml:space="preserve">se </w:t>
      </w:r>
      <w:r>
        <w:rPr>
          <w:rFonts w:ascii="Arial" w:hAnsi="Arial"/>
          <w:sz w:val="22"/>
          <w:szCs w:val="22"/>
        </w:rPr>
        <w:t xml:space="preserve">four </w:t>
      </w:r>
      <w:r w:rsidRPr="0096701D">
        <w:rPr>
          <w:rFonts w:ascii="Arial" w:hAnsi="Arial"/>
          <w:sz w:val="22"/>
          <w:szCs w:val="22"/>
        </w:rPr>
        <w:t>lines</w:t>
      </w:r>
      <w:r>
        <w:rPr>
          <w:rFonts w:ascii="Arial" w:hAnsi="Arial"/>
          <w:sz w:val="22"/>
          <w:szCs w:val="22"/>
        </w:rPr>
        <w:t xml:space="preserve"> of longitudinal underdrain o</w:t>
      </w:r>
      <w:r w:rsidRPr="0096701D">
        <w:rPr>
          <w:rFonts w:ascii="Arial" w:hAnsi="Arial"/>
          <w:sz w:val="22"/>
          <w:szCs w:val="22"/>
        </w:rPr>
        <w:t>n divided highways</w:t>
      </w:r>
      <w:r>
        <w:rPr>
          <w:rFonts w:ascii="Arial" w:hAnsi="Arial"/>
          <w:sz w:val="22"/>
          <w:szCs w:val="22"/>
        </w:rPr>
        <w:t xml:space="preserve"> with an unpaved median by placing one at each pavement edge.  Use the three lines with a </w:t>
      </w:r>
      <w:r w:rsidRPr="0096701D">
        <w:rPr>
          <w:rFonts w:ascii="Arial" w:hAnsi="Arial"/>
          <w:sz w:val="22"/>
          <w:szCs w:val="22"/>
        </w:rPr>
        <w:t xml:space="preserve">paved median </w:t>
      </w:r>
      <w:r>
        <w:rPr>
          <w:rFonts w:ascii="Arial" w:hAnsi="Arial"/>
          <w:sz w:val="22"/>
          <w:szCs w:val="22"/>
        </w:rPr>
        <w:t xml:space="preserve">with </w:t>
      </w:r>
      <w:r w:rsidRPr="0096701D">
        <w:rPr>
          <w:rFonts w:ascii="Arial" w:hAnsi="Arial"/>
          <w:sz w:val="22"/>
          <w:szCs w:val="22"/>
        </w:rPr>
        <w:t xml:space="preserve">one </w:t>
      </w:r>
      <w:r>
        <w:rPr>
          <w:rFonts w:ascii="Arial" w:hAnsi="Arial"/>
          <w:sz w:val="22"/>
          <w:szCs w:val="22"/>
        </w:rPr>
        <w:t xml:space="preserve">line </w:t>
      </w:r>
      <w:r w:rsidRPr="0096701D">
        <w:rPr>
          <w:rFonts w:ascii="Arial" w:hAnsi="Arial"/>
          <w:sz w:val="22"/>
          <w:szCs w:val="22"/>
        </w:rPr>
        <w:t xml:space="preserve">under </w:t>
      </w:r>
      <w:r>
        <w:rPr>
          <w:rFonts w:ascii="Arial" w:hAnsi="Arial"/>
          <w:sz w:val="22"/>
          <w:szCs w:val="22"/>
        </w:rPr>
        <w:t xml:space="preserve">the </w:t>
      </w:r>
      <w:r w:rsidRPr="0096701D">
        <w:rPr>
          <w:rFonts w:ascii="Arial" w:hAnsi="Arial"/>
          <w:sz w:val="22"/>
          <w:szCs w:val="22"/>
        </w:rPr>
        <w:t>barrier.</w:t>
      </w:r>
      <w:r>
        <w:rPr>
          <w:rFonts w:ascii="Arial" w:hAnsi="Arial"/>
          <w:sz w:val="22"/>
          <w:szCs w:val="22"/>
        </w:rPr>
        <w:t xml:space="preserve">  F</w:t>
      </w:r>
      <w:r w:rsidRPr="0096701D">
        <w:rPr>
          <w:rFonts w:ascii="Arial" w:hAnsi="Arial"/>
          <w:sz w:val="22"/>
          <w:szCs w:val="22"/>
        </w:rPr>
        <w:t>or closed sections</w:t>
      </w:r>
      <w:r>
        <w:rPr>
          <w:rFonts w:ascii="Arial" w:hAnsi="Arial"/>
          <w:sz w:val="22"/>
          <w:szCs w:val="22"/>
        </w:rPr>
        <w:t>,</w:t>
      </w:r>
      <w:r w:rsidRPr="0096701D">
        <w:rPr>
          <w:rFonts w:ascii="Arial" w:hAnsi="Arial"/>
          <w:sz w:val="22"/>
          <w:szCs w:val="22"/>
        </w:rPr>
        <w:t xml:space="preserve"> place </w:t>
      </w:r>
      <w:r>
        <w:rPr>
          <w:rFonts w:ascii="Arial" w:hAnsi="Arial"/>
          <w:sz w:val="22"/>
          <w:szCs w:val="22"/>
        </w:rPr>
        <w:t xml:space="preserve">longitudinal underdrain </w:t>
      </w:r>
      <w:r w:rsidRPr="0096701D">
        <w:rPr>
          <w:rFonts w:ascii="Arial" w:hAnsi="Arial"/>
          <w:sz w:val="22"/>
          <w:szCs w:val="22"/>
        </w:rPr>
        <w:t>only through non-piped areas, opposite the storm drains.</w:t>
      </w:r>
      <w:r>
        <w:rPr>
          <w:rFonts w:ascii="Arial" w:hAnsi="Arial"/>
          <w:sz w:val="22"/>
          <w:szCs w:val="22"/>
        </w:rPr>
        <w:t xml:space="preserve">  </w:t>
      </w:r>
      <w:r w:rsidRPr="0096701D">
        <w:rPr>
          <w:rFonts w:ascii="Arial" w:hAnsi="Arial"/>
          <w:sz w:val="22"/>
          <w:szCs w:val="22"/>
        </w:rPr>
        <w:t xml:space="preserve">Always use </w:t>
      </w:r>
      <w:r>
        <w:rPr>
          <w:rFonts w:ascii="Arial" w:hAnsi="Arial"/>
          <w:sz w:val="22"/>
          <w:szCs w:val="22"/>
        </w:rPr>
        <w:t xml:space="preserve">longitudinal underdrain </w:t>
      </w:r>
      <w:r w:rsidRPr="0096701D">
        <w:rPr>
          <w:rFonts w:ascii="Arial" w:hAnsi="Arial"/>
          <w:sz w:val="22"/>
          <w:szCs w:val="22"/>
        </w:rPr>
        <w:t xml:space="preserve">on </w:t>
      </w:r>
      <w:smartTag w:uri="urn:schemas-microsoft-com:office:smarttags" w:element="stockticker">
        <w:r w:rsidRPr="0096701D">
          <w:rPr>
            <w:rFonts w:ascii="Arial" w:hAnsi="Arial"/>
            <w:sz w:val="22"/>
            <w:szCs w:val="22"/>
          </w:rPr>
          <w:t>PCC</w:t>
        </w:r>
      </w:smartTag>
      <w:r w:rsidRPr="0096701D">
        <w:rPr>
          <w:rFonts w:ascii="Arial" w:hAnsi="Arial"/>
          <w:sz w:val="22"/>
          <w:szCs w:val="22"/>
        </w:rPr>
        <w:t xml:space="preserve"> pavements, pavements </w:t>
      </w:r>
      <w:r>
        <w:rPr>
          <w:rFonts w:ascii="Arial" w:hAnsi="Arial"/>
          <w:sz w:val="22"/>
          <w:szCs w:val="22"/>
        </w:rPr>
        <w:t xml:space="preserve">with </w:t>
      </w:r>
      <w:r w:rsidRPr="0096701D">
        <w:rPr>
          <w:rFonts w:ascii="Arial" w:hAnsi="Arial"/>
          <w:sz w:val="22"/>
          <w:szCs w:val="22"/>
        </w:rPr>
        <w:t>open graded base courses</w:t>
      </w:r>
      <w:r w:rsidR="00D26370">
        <w:rPr>
          <w:rFonts w:ascii="Arial" w:hAnsi="Arial"/>
          <w:sz w:val="22"/>
          <w:szCs w:val="22"/>
        </w:rPr>
        <w:t>,</w:t>
      </w:r>
      <w:r w:rsidRPr="0096701D">
        <w:rPr>
          <w:rFonts w:ascii="Arial" w:hAnsi="Arial"/>
          <w:sz w:val="22"/>
          <w:szCs w:val="22"/>
        </w:rPr>
        <w:t xml:space="preserve"> and </w:t>
      </w:r>
      <w:r>
        <w:rPr>
          <w:rFonts w:ascii="Arial" w:hAnsi="Arial"/>
          <w:sz w:val="22"/>
          <w:szCs w:val="22"/>
        </w:rPr>
        <w:t>i</w:t>
      </w:r>
      <w:r w:rsidRPr="0096701D">
        <w:rPr>
          <w:rFonts w:ascii="Arial" w:hAnsi="Arial"/>
          <w:sz w:val="22"/>
          <w:szCs w:val="22"/>
        </w:rPr>
        <w:t>nterstate pavements.</w:t>
      </w:r>
      <w:r>
        <w:rPr>
          <w:rFonts w:ascii="Arial" w:hAnsi="Arial"/>
          <w:sz w:val="22"/>
          <w:szCs w:val="22"/>
        </w:rPr>
        <w:t xml:space="preserve">  Be aware of the superel</w:t>
      </w:r>
      <w:r w:rsidR="00952A23">
        <w:rPr>
          <w:rFonts w:ascii="Arial" w:hAnsi="Arial"/>
          <w:sz w:val="22"/>
          <w:szCs w:val="22"/>
        </w:rPr>
        <w:t>e</w:t>
      </w:r>
      <w:r>
        <w:rPr>
          <w:rFonts w:ascii="Arial" w:hAnsi="Arial"/>
          <w:sz w:val="22"/>
          <w:szCs w:val="22"/>
        </w:rPr>
        <w:t xml:space="preserve">vation on high speed roadways because placing longitudinal underdrain at the high side of the </w:t>
      </w:r>
      <w:r w:rsidRPr="00C22551">
        <w:rPr>
          <w:rFonts w:ascii="Arial" w:hAnsi="Arial"/>
          <w:sz w:val="22"/>
          <w:szCs w:val="22"/>
        </w:rPr>
        <w:t>super</w:t>
      </w:r>
      <w:r>
        <w:rPr>
          <w:rFonts w:ascii="Arial" w:hAnsi="Arial"/>
          <w:sz w:val="22"/>
          <w:szCs w:val="22"/>
        </w:rPr>
        <w:t xml:space="preserve"> is not always logical.  Longitudinal underdrain should not be used generally </w:t>
      </w:r>
      <w:r w:rsidRPr="0096701D">
        <w:rPr>
          <w:rFonts w:ascii="Arial" w:hAnsi="Arial"/>
          <w:sz w:val="22"/>
          <w:szCs w:val="22"/>
        </w:rPr>
        <w:t>in rock cuts</w:t>
      </w:r>
      <w:r>
        <w:rPr>
          <w:rFonts w:ascii="Arial" w:hAnsi="Arial"/>
          <w:sz w:val="22"/>
          <w:szCs w:val="22"/>
        </w:rPr>
        <w:t>, p</w:t>
      </w:r>
      <w:r w:rsidRPr="0096701D">
        <w:rPr>
          <w:rFonts w:ascii="Arial" w:hAnsi="Arial"/>
          <w:sz w:val="22"/>
          <w:szCs w:val="22"/>
        </w:rPr>
        <w:t>rojects that are mostly fill and have low water tables</w:t>
      </w:r>
      <w:r>
        <w:rPr>
          <w:rFonts w:ascii="Arial" w:hAnsi="Arial"/>
          <w:sz w:val="22"/>
          <w:szCs w:val="22"/>
        </w:rPr>
        <w:t>, p</w:t>
      </w:r>
      <w:r w:rsidRPr="0096701D">
        <w:rPr>
          <w:rFonts w:ascii="Arial" w:hAnsi="Arial"/>
          <w:sz w:val="22"/>
          <w:szCs w:val="22"/>
        </w:rPr>
        <w:t>rojects that are very dry and have easily drainable soils</w:t>
      </w:r>
      <w:r>
        <w:rPr>
          <w:rFonts w:ascii="Arial" w:hAnsi="Arial"/>
          <w:sz w:val="22"/>
          <w:szCs w:val="22"/>
        </w:rPr>
        <w:t>, p</w:t>
      </w:r>
      <w:r w:rsidRPr="0096701D">
        <w:rPr>
          <w:rFonts w:ascii="Arial" w:hAnsi="Arial"/>
          <w:sz w:val="22"/>
          <w:szCs w:val="22"/>
        </w:rPr>
        <w:t>rojects located where sand capping material is available and moisture conditions are not extreme</w:t>
      </w:r>
      <w:r>
        <w:rPr>
          <w:rFonts w:ascii="Arial" w:hAnsi="Arial"/>
          <w:sz w:val="22"/>
          <w:szCs w:val="22"/>
        </w:rPr>
        <w:t>, or p</w:t>
      </w:r>
      <w:r w:rsidRPr="0096701D">
        <w:rPr>
          <w:rFonts w:ascii="Arial" w:hAnsi="Arial"/>
          <w:sz w:val="22"/>
          <w:szCs w:val="22"/>
        </w:rPr>
        <w:t>rojects with poor topography (i.e.</w:t>
      </w:r>
      <w:r w:rsidR="00D26370">
        <w:rPr>
          <w:rFonts w:ascii="Arial" w:hAnsi="Arial"/>
          <w:sz w:val="22"/>
          <w:szCs w:val="22"/>
        </w:rPr>
        <w:t>,</w:t>
      </w:r>
      <w:r w:rsidRPr="0096701D">
        <w:rPr>
          <w:rFonts w:ascii="Arial" w:hAnsi="Arial"/>
          <w:sz w:val="22"/>
          <w:szCs w:val="22"/>
        </w:rPr>
        <w:t xml:space="preserve"> flat)</w:t>
      </w:r>
      <w:r>
        <w:rPr>
          <w:rFonts w:ascii="Arial" w:hAnsi="Arial"/>
          <w:sz w:val="22"/>
          <w:szCs w:val="22"/>
        </w:rPr>
        <w:t xml:space="preserve">.  </w:t>
      </w:r>
    </w:p>
    <w:p w14:paraId="5F5A6781" w14:textId="77777777" w:rsidR="006058C6" w:rsidRDefault="006058C6" w:rsidP="00952A23">
      <w:pPr>
        <w:jc w:val="both"/>
        <w:rPr>
          <w:rFonts w:ascii="Arial" w:hAnsi="Arial"/>
          <w:sz w:val="22"/>
          <w:szCs w:val="22"/>
        </w:rPr>
      </w:pPr>
    </w:p>
    <w:p w14:paraId="2A41A47E" w14:textId="63100974" w:rsidR="00A40DBC" w:rsidRDefault="00A40DBC" w:rsidP="00952A23">
      <w:pPr>
        <w:jc w:val="both"/>
        <w:rPr>
          <w:rFonts w:ascii="Arial" w:hAnsi="Arial"/>
          <w:sz w:val="22"/>
          <w:szCs w:val="22"/>
        </w:rPr>
      </w:pPr>
      <w:r>
        <w:rPr>
          <w:rFonts w:ascii="Arial" w:hAnsi="Arial"/>
          <w:sz w:val="22"/>
          <w:szCs w:val="22"/>
        </w:rPr>
        <w:t>The following two tables provide</w:t>
      </w:r>
      <w:r w:rsidR="00703966">
        <w:rPr>
          <w:rFonts w:ascii="Arial" w:hAnsi="Arial"/>
          <w:sz w:val="22"/>
          <w:szCs w:val="22"/>
        </w:rPr>
        <w:t xml:space="preserve"> g</w:t>
      </w:r>
      <w:r>
        <w:rPr>
          <w:rFonts w:ascii="Arial" w:hAnsi="Arial"/>
          <w:sz w:val="22"/>
          <w:szCs w:val="22"/>
        </w:rPr>
        <w:t xml:space="preserve">uidelines </w:t>
      </w:r>
      <w:r w:rsidR="00703966">
        <w:rPr>
          <w:rFonts w:ascii="Arial" w:hAnsi="Arial"/>
          <w:sz w:val="22"/>
          <w:szCs w:val="22"/>
        </w:rPr>
        <w:t xml:space="preserve">for pavement base drainage (primarily </w:t>
      </w:r>
      <w:r w:rsidR="002917AA">
        <w:rPr>
          <w:rFonts w:ascii="Arial" w:hAnsi="Arial"/>
          <w:sz w:val="22"/>
          <w:szCs w:val="22"/>
        </w:rPr>
        <w:t>through</w:t>
      </w:r>
      <w:r w:rsidR="00703966">
        <w:rPr>
          <w:rFonts w:ascii="Arial" w:hAnsi="Arial"/>
          <w:sz w:val="22"/>
          <w:szCs w:val="22"/>
        </w:rPr>
        <w:t xml:space="preserve"> the use of Longitudinal Underdrains – LU) </w:t>
      </w:r>
      <w:r>
        <w:rPr>
          <w:rFonts w:ascii="Arial" w:hAnsi="Arial"/>
          <w:sz w:val="22"/>
          <w:szCs w:val="22"/>
        </w:rPr>
        <w:t>for new construction and widening projects</w:t>
      </w:r>
      <w:r w:rsidR="00952A23">
        <w:rPr>
          <w:rFonts w:ascii="Arial" w:hAnsi="Arial"/>
          <w:sz w:val="22"/>
          <w:szCs w:val="22"/>
        </w:rPr>
        <w:t>:</w:t>
      </w:r>
    </w:p>
    <w:p w14:paraId="33504D71" w14:textId="77777777" w:rsidR="00952A23" w:rsidRDefault="00952A23" w:rsidP="00952A23">
      <w:pPr>
        <w:jc w:val="both"/>
        <w:rPr>
          <w:rFonts w:ascii="Arial" w:hAnsi="Arial"/>
          <w:sz w:val="22"/>
          <w:szCs w:val="22"/>
        </w:rPr>
      </w:pPr>
    </w:p>
    <w:p w14:paraId="2AB7AF76" w14:textId="77777777" w:rsidR="00952A23" w:rsidRDefault="00952A23" w:rsidP="00952A23">
      <w:pPr>
        <w:jc w:val="both"/>
        <w:rPr>
          <w:rFonts w:ascii="Arial" w:hAnsi="Arial"/>
          <w:sz w:val="22"/>
          <w:szCs w:val="22"/>
        </w:rPr>
      </w:pPr>
    </w:p>
    <w:p w14:paraId="63D2F950" w14:textId="77777777" w:rsidR="00952A23" w:rsidRDefault="00952A23" w:rsidP="00952A23">
      <w:pPr>
        <w:jc w:val="both"/>
        <w:rPr>
          <w:rFonts w:ascii="Arial" w:hAnsi="Arial"/>
          <w:sz w:val="22"/>
          <w:szCs w:val="22"/>
        </w:rPr>
      </w:pPr>
    </w:p>
    <w:p w14:paraId="2FB35BCA" w14:textId="77777777" w:rsidR="00F21218" w:rsidRDefault="00F21218" w:rsidP="00952A23">
      <w:pPr>
        <w:jc w:val="both"/>
        <w:rPr>
          <w:rFonts w:ascii="Arial" w:hAnsi="Arial"/>
          <w:sz w:val="22"/>
          <w:szCs w:val="22"/>
        </w:rPr>
      </w:pPr>
    </w:p>
    <w:p w14:paraId="0ED5132D" w14:textId="77777777" w:rsidR="00F21218" w:rsidRDefault="00F21218" w:rsidP="00952A23">
      <w:pPr>
        <w:jc w:val="both"/>
        <w:rPr>
          <w:rFonts w:ascii="Arial" w:hAnsi="Arial"/>
          <w:sz w:val="22"/>
          <w:szCs w:val="22"/>
        </w:rPr>
      </w:pPr>
    </w:p>
    <w:p w14:paraId="1F4D6111" w14:textId="77777777" w:rsidR="00952A23" w:rsidRDefault="00952A23" w:rsidP="00952A23">
      <w:pPr>
        <w:jc w:val="both"/>
        <w:rPr>
          <w:rFonts w:ascii="Arial" w:hAnsi="Arial"/>
          <w:sz w:val="22"/>
          <w:szCs w:val="22"/>
        </w:rPr>
      </w:pPr>
    </w:p>
    <w:p w14:paraId="76919A18" w14:textId="77777777" w:rsidR="00952A23" w:rsidRDefault="00952A23" w:rsidP="00952A23">
      <w:pPr>
        <w:jc w:val="both"/>
        <w:rPr>
          <w:rFonts w:ascii="Arial" w:hAnsi="Arial"/>
          <w:sz w:val="22"/>
          <w:szCs w:val="22"/>
        </w:rPr>
      </w:pPr>
    </w:p>
    <w:p w14:paraId="4AD19184" w14:textId="77777777" w:rsidR="00A40DBC" w:rsidRDefault="00A40DBC" w:rsidP="00952A23">
      <w:pPr>
        <w:jc w:val="both"/>
        <w:rPr>
          <w:rFonts w:ascii="Arial" w:hAnsi="Arial"/>
          <w:sz w:val="22"/>
          <w:szCs w:val="22"/>
        </w:rPr>
      </w:pPr>
    </w:p>
    <w:p w14:paraId="64C84619" w14:textId="77777777" w:rsidR="00A40DBC" w:rsidRPr="00DA39D5" w:rsidRDefault="00A40DBC" w:rsidP="00952A23">
      <w:pPr>
        <w:jc w:val="both"/>
        <w:rPr>
          <w:rFonts w:ascii="Arial" w:hAnsi="Arial"/>
          <w:sz w:val="22"/>
          <w:szCs w:val="22"/>
        </w:rPr>
      </w:pPr>
    </w:p>
    <w:tbl>
      <w:tblPr>
        <w:tblW w:w="8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3"/>
        <w:gridCol w:w="1862"/>
        <w:gridCol w:w="1800"/>
        <w:gridCol w:w="1980"/>
        <w:gridCol w:w="1530"/>
      </w:tblGrid>
      <w:tr w:rsidR="002E3FE9" w:rsidRPr="008D170F" w14:paraId="4262061F" w14:textId="77777777" w:rsidTr="0067267A">
        <w:trPr>
          <w:trHeight w:val="288"/>
          <w:tblHeader/>
          <w:jc w:val="center"/>
        </w:trPr>
        <w:tc>
          <w:tcPr>
            <w:tcW w:w="8905" w:type="dxa"/>
            <w:gridSpan w:val="5"/>
            <w:shd w:val="clear" w:color="auto" w:fill="D9D9D9"/>
            <w:vAlign w:val="center"/>
          </w:tcPr>
          <w:p w14:paraId="7236226B"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lastRenderedPageBreak/>
              <w:t>MINIMUM PAVEMENT BASE DRAINAGE GUIDELINES</w:t>
            </w:r>
          </w:p>
          <w:p w14:paraId="21D34DF2" w14:textId="77777777" w:rsidR="002E3FE9" w:rsidRPr="008D170F" w:rsidRDefault="002E3FE9" w:rsidP="00D26370">
            <w:pPr>
              <w:jc w:val="center"/>
              <w:rPr>
                <w:rFonts w:ascii="Arial" w:hAnsi="Arial" w:cs="Arial"/>
                <w:b/>
                <w:sz w:val="22"/>
                <w:szCs w:val="22"/>
              </w:rPr>
            </w:pPr>
            <w:smartTag w:uri="urn:schemas-microsoft-com:office:smarttags" w:element="stockticker">
              <w:r w:rsidRPr="008D170F">
                <w:rPr>
                  <w:rFonts w:ascii="Arial" w:hAnsi="Arial" w:cs="Arial"/>
                  <w:b/>
                  <w:sz w:val="22"/>
                  <w:szCs w:val="22"/>
                </w:rPr>
                <w:t>NEW</w:t>
              </w:r>
            </w:smartTag>
            <w:r w:rsidRPr="008D170F">
              <w:rPr>
                <w:rFonts w:ascii="Arial" w:hAnsi="Arial" w:cs="Arial"/>
                <w:b/>
                <w:sz w:val="22"/>
                <w:szCs w:val="22"/>
              </w:rPr>
              <w:t xml:space="preserve"> CONSTRUCTION</w:t>
            </w:r>
          </w:p>
        </w:tc>
      </w:tr>
      <w:tr w:rsidR="00115674" w:rsidRPr="008D170F" w14:paraId="18B74296" w14:textId="77777777" w:rsidTr="00D26370">
        <w:trPr>
          <w:trHeight w:val="288"/>
          <w:tblHeader/>
          <w:jc w:val="center"/>
        </w:trPr>
        <w:tc>
          <w:tcPr>
            <w:tcW w:w="1733" w:type="dxa"/>
            <w:shd w:val="clear" w:color="auto" w:fill="D9D9D9"/>
            <w:vAlign w:val="center"/>
          </w:tcPr>
          <w:p w14:paraId="4591987F"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Functional Class</w:t>
            </w:r>
          </w:p>
        </w:tc>
        <w:tc>
          <w:tcPr>
            <w:tcW w:w="1862" w:type="dxa"/>
            <w:shd w:val="clear" w:color="auto" w:fill="D9D9D9"/>
            <w:vAlign w:val="center"/>
          </w:tcPr>
          <w:p w14:paraId="7D9413AE"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Lane Configuration</w:t>
            </w:r>
          </w:p>
        </w:tc>
        <w:tc>
          <w:tcPr>
            <w:tcW w:w="1800" w:type="dxa"/>
            <w:shd w:val="clear" w:color="auto" w:fill="D9D9D9"/>
            <w:vAlign w:val="center"/>
          </w:tcPr>
          <w:p w14:paraId="34C3E85B"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Pavement Type</w:t>
            </w:r>
          </w:p>
        </w:tc>
        <w:tc>
          <w:tcPr>
            <w:tcW w:w="1980" w:type="dxa"/>
            <w:shd w:val="clear" w:color="auto" w:fill="D9D9D9"/>
            <w:vAlign w:val="center"/>
          </w:tcPr>
          <w:p w14:paraId="5AB5C57F"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Drainage</w:t>
            </w:r>
          </w:p>
        </w:tc>
        <w:tc>
          <w:tcPr>
            <w:tcW w:w="1530" w:type="dxa"/>
            <w:shd w:val="clear" w:color="auto" w:fill="D9D9D9"/>
            <w:vAlign w:val="center"/>
          </w:tcPr>
          <w:p w14:paraId="0A667C32"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Applicable Notes</w:t>
            </w:r>
          </w:p>
        </w:tc>
      </w:tr>
      <w:tr w:rsidR="002E3FE9" w:rsidRPr="008D170F" w14:paraId="695AD774" w14:textId="77777777" w:rsidTr="0067267A">
        <w:trPr>
          <w:trHeight w:val="288"/>
          <w:jc w:val="center"/>
        </w:trPr>
        <w:tc>
          <w:tcPr>
            <w:tcW w:w="1733" w:type="dxa"/>
            <w:vAlign w:val="center"/>
          </w:tcPr>
          <w:p w14:paraId="498245B7"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Interstate and Freeways</w:t>
            </w:r>
          </w:p>
        </w:tc>
        <w:tc>
          <w:tcPr>
            <w:tcW w:w="1862" w:type="dxa"/>
            <w:vAlign w:val="center"/>
          </w:tcPr>
          <w:p w14:paraId="25B9536D"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800" w:type="dxa"/>
            <w:vAlign w:val="center"/>
          </w:tcPr>
          <w:p w14:paraId="51C23D2F"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 Rigid</w:t>
            </w:r>
          </w:p>
        </w:tc>
        <w:tc>
          <w:tcPr>
            <w:tcW w:w="1980" w:type="dxa"/>
            <w:vAlign w:val="center"/>
          </w:tcPr>
          <w:p w14:paraId="23B223F2"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Continuous LU</w:t>
            </w:r>
          </w:p>
        </w:tc>
        <w:tc>
          <w:tcPr>
            <w:tcW w:w="1530" w:type="dxa"/>
            <w:vAlign w:val="center"/>
          </w:tcPr>
          <w:p w14:paraId="0419B5A9"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1, 2, and 7</w:t>
            </w:r>
          </w:p>
        </w:tc>
      </w:tr>
      <w:tr w:rsidR="002E3FE9" w:rsidRPr="008D170F" w14:paraId="43CCDD26" w14:textId="77777777" w:rsidTr="0067267A">
        <w:trPr>
          <w:trHeight w:val="288"/>
          <w:jc w:val="center"/>
        </w:trPr>
        <w:tc>
          <w:tcPr>
            <w:tcW w:w="1733" w:type="dxa"/>
            <w:vAlign w:val="center"/>
          </w:tcPr>
          <w:p w14:paraId="5D086CC8"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Arterials, Collectors</w:t>
            </w:r>
          </w:p>
        </w:tc>
        <w:tc>
          <w:tcPr>
            <w:tcW w:w="1862" w:type="dxa"/>
            <w:vAlign w:val="center"/>
          </w:tcPr>
          <w:p w14:paraId="27422739"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800" w:type="dxa"/>
            <w:vAlign w:val="center"/>
          </w:tcPr>
          <w:p w14:paraId="2FE78522"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Rigid</w:t>
            </w:r>
          </w:p>
        </w:tc>
        <w:tc>
          <w:tcPr>
            <w:tcW w:w="1980" w:type="dxa"/>
            <w:vAlign w:val="center"/>
          </w:tcPr>
          <w:p w14:paraId="5FEB3182" w14:textId="77777777" w:rsidR="002E3FE9" w:rsidRPr="008D170F" w:rsidRDefault="002E3FE9" w:rsidP="00D26370">
            <w:pPr>
              <w:jc w:val="center"/>
              <w:rPr>
                <w:rFonts w:ascii="Arial" w:hAnsi="Arial"/>
                <w:sz w:val="22"/>
                <w:szCs w:val="22"/>
              </w:rPr>
            </w:pPr>
            <w:r w:rsidRPr="008D170F">
              <w:rPr>
                <w:rFonts w:ascii="Arial" w:hAnsi="Arial" w:cs="Arial"/>
                <w:sz w:val="22"/>
                <w:szCs w:val="22"/>
              </w:rPr>
              <w:t>Continuous LU</w:t>
            </w:r>
          </w:p>
        </w:tc>
        <w:tc>
          <w:tcPr>
            <w:tcW w:w="1530" w:type="dxa"/>
            <w:vAlign w:val="center"/>
          </w:tcPr>
          <w:p w14:paraId="5CD71EFE"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1, 2, and 7</w:t>
            </w:r>
          </w:p>
        </w:tc>
      </w:tr>
      <w:tr w:rsidR="002E3FE9" w:rsidRPr="008D170F" w14:paraId="171685F5" w14:textId="77777777" w:rsidTr="0067267A">
        <w:trPr>
          <w:trHeight w:val="288"/>
          <w:jc w:val="center"/>
        </w:trPr>
        <w:tc>
          <w:tcPr>
            <w:tcW w:w="1733" w:type="dxa"/>
            <w:vAlign w:val="center"/>
          </w:tcPr>
          <w:p w14:paraId="254CE3B5"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Arterials, Collectors</w:t>
            </w:r>
          </w:p>
        </w:tc>
        <w:tc>
          <w:tcPr>
            <w:tcW w:w="1862" w:type="dxa"/>
            <w:vAlign w:val="center"/>
          </w:tcPr>
          <w:p w14:paraId="11C8559F"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Dual Roadways</w:t>
            </w:r>
          </w:p>
        </w:tc>
        <w:tc>
          <w:tcPr>
            <w:tcW w:w="1800" w:type="dxa"/>
            <w:vAlign w:val="center"/>
          </w:tcPr>
          <w:p w14:paraId="4D897773"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w:t>
            </w:r>
          </w:p>
        </w:tc>
        <w:tc>
          <w:tcPr>
            <w:tcW w:w="1980" w:type="dxa"/>
            <w:vAlign w:val="center"/>
          </w:tcPr>
          <w:p w14:paraId="2DB84395" w14:textId="77777777" w:rsidR="002E3FE9" w:rsidRPr="008D170F" w:rsidRDefault="002E3FE9" w:rsidP="00D26370">
            <w:pPr>
              <w:jc w:val="center"/>
              <w:rPr>
                <w:rFonts w:ascii="Arial" w:hAnsi="Arial"/>
                <w:sz w:val="22"/>
                <w:szCs w:val="22"/>
              </w:rPr>
            </w:pPr>
            <w:r w:rsidRPr="008D170F">
              <w:rPr>
                <w:rFonts w:ascii="Arial" w:hAnsi="Arial" w:cs="Arial"/>
                <w:sz w:val="22"/>
                <w:szCs w:val="22"/>
              </w:rPr>
              <w:t>Continuous LU</w:t>
            </w:r>
          </w:p>
        </w:tc>
        <w:tc>
          <w:tcPr>
            <w:tcW w:w="1530" w:type="dxa"/>
            <w:vAlign w:val="center"/>
          </w:tcPr>
          <w:p w14:paraId="11056593"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1, 2, 3, 4, 7, and 8</w:t>
            </w:r>
          </w:p>
        </w:tc>
      </w:tr>
      <w:tr w:rsidR="002E3FE9" w:rsidRPr="008D170F" w14:paraId="4CC496F8" w14:textId="77777777" w:rsidTr="0067267A">
        <w:trPr>
          <w:trHeight w:val="288"/>
          <w:jc w:val="center"/>
        </w:trPr>
        <w:tc>
          <w:tcPr>
            <w:tcW w:w="1733" w:type="dxa"/>
            <w:vAlign w:val="center"/>
          </w:tcPr>
          <w:p w14:paraId="561DBB67"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Arterials</w:t>
            </w:r>
          </w:p>
        </w:tc>
        <w:tc>
          <w:tcPr>
            <w:tcW w:w="1862" w:type="dxa"/>
            <w:vAlign w:val="center"/>
          </w:tcPr>
          <w:p w14:paraId="4DAB4F7C"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2 or more Lanes/Direction</w:t>
            </w:r>
          </w:p>
        </w:tc>
        <w:tc>
          <w:tcPr>
            <w:tcW w:w="1800" w:type="dxa"/>
            <w:vAlign w:val="center"/>
          </w:tcPr>
          <w:p w14:paraId="4015258F"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w:t>
            </w:r>
          </w:p>
        </w:tc>
        <w:tc>
          <w:tcPr>
            <w:tcW w:w="1980" w:type="dxa"/>
            <w:vAlign w:val="center"/>
          </w:tcPr>
          <w:p w14:paraId="064EACCE" w14:textId="77777777" w:rsidR="002E3FE9" w:rsidRPr="008D170F" w:rsidRDefault="002E3FE9" w:rsidP="00D26370">
            <w:pPr>
              <w:jc w:val="center"/>
              <w:rPr>
                <w:rFonts w:ascii="Arial" w:hAnsi="Arial"/>
                <w:sz w:val="22"/>
                <w:szCs w:val="22"/>
              </w:rPr>
            </w:pPr>
            <w:r w:rsidRPr="008D170F">
              <w:rPr>
                <w:rFonts w:ascii="Arial" w:hAnsi="Arial" w:cs="Arial"/>
                <w:sz w:val="22"/>
                <w:szCs w:val="22"/>
              </w:rPr>
              <w:t>Continuous LU</w:t>
            </w:r>
          </w:p>
        </w:tc>
        <w:tc>
          <w:tcPr>
            <w:tcW w:w="1530" w:type="dxa"/>
            <w:vAlign w:val="center"/>
          </w:tcPr>
          <w:p w14:paraId="134803C0" w14:textId="79479C40" w:rsidR="002E3FE9" w:rsidRPr="008D170F" w:rsidRDefault="002E3FE9" w:rsidP="00D26370">
            <w:pPr>
              <w:jc w:val="center"/>
              <w:rPr>
                <w:rFonts w:ascii="Arial" w:hAnsi="Arial" w:cs="Arial"/>
                <w:sz w:val="22"/>
                <w:szCs w:val="22"/>
              </w:rPr>
            </w:pPr>
            <w:r w:rsidRPr="008D170F">
              <w:rPr>
                <w:rFonts w:ascii="Arial" w:hAnsi="Arial" w:cs="Arial"/>
                <w:sz w:val="22"/>
                <w:szCs w:val="22"/>
              </w:rPr>
              <w:t>1, 2, 3, 4, 7, and 8</w:t>
            </w:r>
          </w:p>
        </w:tc>
      </w:tr>
      <w:tr w:rsidR="002E3FE9" w:rsidRPr="008D170F" w14:paraId="4BA1CBCF" w14:textId="77777777" w:rsidTr="0067267A">
        <w:trPr>
          <w:trHeight w:val="288"/>
          <w:jc w:val="center"/>
        </w:trPr>
        <w:tc>
          <w:tcPr>
            <w:tcW w:w="1733" w:type="dxa"/>
            <w:vAlign w:val="center"/>
          </w:tcPr>
          <w:p w14:paraId="2CE0871B"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Arterials</w:t>
            </w:r>
          </w:p>
        </w:tc>
        <w:tc>
          <w:tcPr>
            <w:tcW w:w="1862" w:type="dxa"/>
            <w:vAlign w:val="center"/>
          </w:tcPr>
          <w:p w14:paraId="3CABD693"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Single Lane/Direction</w:t>
            </w:r>
          </w:p>
        </w:tc>
        <w:tc>
          <w:tcPr>
            <w:tcW w:w="1800" w:type="dxa"/>
            <w:vAlign w:val="center"/>
          </w:tcPr>
          <w:p w14:paraId="27538EFC"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w:t>
            </w:r>
          </w:p>
        </w:tc>
        <w:tc>
          <w:tcPr>
            <w:tcW w:w="1980" w:type="dxa"/>
            <w:vAlign w:val="center"/>
          </w:tcPr>
          <w:p w14:paraId="4BA11B42"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LU at Low Points</w:t>
            </w:r>
          </w:p>
        </w:tc>
        <w:tc>
          <w:tcPr>
            <w:tcW w:w="1530" w:type="dxa"/>
            <w:vAlign w:val="center"/>
          </w:tcPr>
          <w:p w14:paraId="7E9F9847"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2, 3, 4, 5, 6, and 8</w:t>
            </w:r>
          </w:p>
        </w:tc>
      </w:tr>
      <w:tr w:rsidR="002E3FE9" w:rsidRPr="008D170F" w14:paraId="7FBFD5B0" w14:textId="77777777" w:rsidTr="0067267A">
        <w:trPr>
          <w:trHeight w:val="288"/>
          <w:jc w:val="center"/>
        </w:trPr>
        <w:tc>
          <w:tcPr>
            <w:tcW w:w="1733" w:type="dxa"/>
            <w:vAlign w:val="center"/>
          </w:tcPr>
          <w:p w14:paraId="1914B352"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Collectors</w:t>
            </w:r>
          </w:p>
        </w:tc>
        <w:tc>
          <w:tcPr>
            <w:tcW w:w="1862" w:type="dxa"/>
            <w:vAlign w:val="center"/>
          </w:tcPr>
          <w:p w14:paraId="4A301293"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800" w:type="dxa"/>
            <w:vAlign w:val="center"/>
          </w:tcPr>
          <w:p w14:paraId="31457DAD"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w:t>
            </w:r>
          </w:p>
        </w:tc>
        <w:tc>
          <w:tcPr>
            <w:tcW w:w="1980" w:type="dxa"/>
            <w:vAlign w:val="center"/>
          </w:tcPr>
          <w:p w14:paraId="51F31B61" w14:textId="77777777" w:rsidR="002E3FE9" w:rsidRPr="008D170F" w:rsidRDefault="002E3FE9" w:rsidP="00D26370">
            <w:pPr>
              <w:jc w:val="center"/>
              <w:rPr>
                <w:rFonts w:ascii="Arial" w:hAnsi="Arial"/>
                <w:sz w:val="22"/>
                <w:szCs w:val="22"/>
              </w:rPr>
            </w:pPr>
            <w:r w:rsidRPr="008D170F">
              <w:rPr>
                <w:rFonts w:ascii="Arial" w:hAnsi="Arial" w:cs="Arial"/>
                <w:sz w:val="22"/>
                <w:szCs w:val="22"/>
              </w:rPr>
              <w:t>LU at Low Points</w:t>
            </w:r>
          </w:p>
        </w:tc>
        <w:tc>
          <w:tcPr>
            <w:tcW w:w="1530" w:type="dxa"/>
            <w:vAlign w:val="center"/>
          </w:tcPr>
          <w:p w14:paraId="766E47A7"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2, 3, 4, 5, 6, 7, and 8</w:t>
            </w:r>
          </w:p>
        </w:tc>
      </w:tr>
      <w:tr w:rsidR="002E3FE9" w:rsidRPr="008D170F" w14:paraId="6643233B" w14:textId="77777777" w:rsidTr="0067267A">
        <w:trPr>
          <w:trHeight w:val="288"/>
          <w:jc w:val="center"/>
        </w:trPr>
        <w:tc>
          <w:tcPr>
            <w:tcW w:w="1733" w:type="dxa"/>
            <w:vAlign w:val="center"/>
          </w:tcPr>
          <w:p w14:paraId="7D75C33C"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Local</w:t>
            </w:r>
          </w:p>
        </w:tc>
        <w:tc>
          <w:tcPr>
            <w:tcW w:w="1862" w:type="dxa"/>
            <w:vAlign w:val="center"/>
          </w:tcPr>
          <w:p w14:paraId="24733B07"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800" w:type="dxa"/>
            <w:vAlign w:val="center"/>
          </w:tcPr>
          <w:p w14:paraId="73AC30BD"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w:t>
            </w:r>
          </w:p>
        </w:tc>
        <w:tc>
          <w:tcPr>
            <w:tcW w:w="1980" w:type="dxa"/>
            <w:vAlign w:val="center"/>
          </w:tcPr>
          <w:p w14:paraId="2FD6C184" w14:textId="77777777" w:rsidR="002E3FE9" w:rsidRPr="008D170F" w:rsidRDefault="002E3FE9" w:rsidP="00D26370">
            <w:pPr>
              <w:jc w:val="center"/>
              <w:rPr>
                <w:rFonts w:ascii="Arial" w:hAnsi="Arial"/>
                <w:sz w:val="22"/>
                <w:szCs w:val="22"/>
              </w:rPr>
            </w:pPr>
            <w:r w:rsidRPr="008D170F">
              <w:rPr>
                <w:rFonts w:ascii="Arial" w:hAnsi="Arial" w:cs="Arial"/>
                <w:sz w:val="22"/>
                <w:szCs w:val="22"/>
              </w:rPr>
              <w:t>LU at Low Points</w:t>
            </w:r>
          </w:p>
        </w:tc>
        <w:tc>
          <w:tcPr>
            <w:tcW w:w="1530" w:type="dxa"/>
            <w:vAlign w:val="center"/>
          </w:tcPr>
          <w:p w14:paraId="5CCAAC5C"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2, 3, 4, 5, 6, 7, and 8</w:t>
            </w:r>
          </w:p>
        </w:tc>
      </w:tr>
      <w:tr w:rsidR="002E3FE9" w:rsidRPr="008D170F" w14:paraId="4EE24DF9" w14:textId="77777777" w:rsidTr="0067267A">
        <w:trPr>
          <w:trHeight w:val="288"/>
          <w:jc w:val="center"/>
        </w:trPr>
        <w:tc>
          <w:tcPr>
            <w:tcW w:w="1733" w:type="dxa"/>
            <w:vAlign w:val="center"/>
          </w:tcPr>
          <w:p w14:paraId="38AB7828"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Local</w:t>
            </w:r>
          </w:p>
        </w:tc>
        <w:tc>
          <w:tcPr>
            <w:tcW w:w="1862" w:type="dxa"/>
            <w:vAlign w:val="center"/>
          </w:tcPr>
          <w:p w14:paraId="252D7BB0"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800" w:type="dxa"/>
            <w:vAlign w:val="center"/>
          </w:tcPr>
          <w:p w14:paraId="5CEECAA7"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Rigid</w:t>
            </w:r>
          </w:p>
        </w:tc>
        <w:tc>
          <w:tcPr>
            <w:tcW w:w="1980" w:type="dxa"/>
            <w:vAlign w:val="center"/>
          </w:tcPr>
          <w:p w14:paraId="4FE15FF4" w14:textId="77777777" w:rsidR="002E3FE9" w:rsidRPr="008D170F" w:rsidRDefault="002E3FE9" w:rsidP="00D26370">
            <w:pPr>
              <w:jc w:val="center"/>
              <w:rPr>
                <w:rFonts w:ascii="Arial" w:hAnsi="Arial"/>
                <w:sz w:val="22"/>
                <w:szCs w:val="22"/>
              </w:rPr>
            </w:pPr>
            <w:r w:rsidRPr="008D170F">
              <w:rPr>
                <w:rFonts w:ascii="Arial" w:hAnsi="Arial" w:cs="Arial"/>
                <w:sz w:val="22"/>
                <w:szCs w:val="22"/>
              </w:rPr>
              <w:t>LU at Low Points</w:t>
            </w:r>
          </w:p>
        </w:tc>
        <w:tc>
          <w:tcPr>
            <w:tcW w:w="1530" w:type="dxa"/>
            <w:vAlign w:val="center"/>
          </w:tcPr>
          <w:p w14:paraId="142AF414"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2, 3, 5, 6, and 7</w:t>
            </w:r>
          </w:p>
        </w:tc>
      </w:tr>
      <w:tr w:rsidR="002E3FE9" w:rsidRPr="008D170F" w14:paraId="7EA20EBA" w14:textId="77777777" w:rsidTr="0067267A">
        <w:trPr>
          <w:trHeight w:val="288"/>
          <w:jc w:val="center"/>
        </w:trPr>
        <w:tc>
          <w:tcPr>
            <w:tcW w:w="1733" w:type="dxa"/>
            <w:vAlign w:val="center"/>
          </w:tcPr>
          <w:p w14:paraId="5AD637D3"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Maintenance Facilities, P&amp;R Lots, etc.</w:t>
            </w:r>
          </w:p>
        </w:tc>
        <w:tc>
          <w:tcPr>
            <w:tcW w:w="1862" w:type="dxa"/>
            <w:vAlign w:val="center"/>
          </w:tcPr>
          <w:p w14:paraId="672888D8"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800" w:type="dxa"/>
            <w:vAlign w:val="center"/>
          </w:tcPr>
          <w:p w14:paraId="1916B597"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 Rigid</w:t>
            </w:r>
          </w:p>
        </w:tc>
        <w:tc>
          <w:tcPr>
            <w:tcW w:w="1980" w:type="dxa"/>
            <w:vAlign w:val="center"/>
          </w:tcPr>
          <w:p w14:paraId="174123A5" w14:textId="77777777" w:rsidR="002E3FE9" w:rsidRPr="008D170F" w:rsidRDefault="002E3FE9" w:rsidP="00D26370">
            <w:pPr>
              <w:jc w:val="center"/>
              <w:rPr>
                <w:rFonts w:ascii="Arial" w:hAnsi="Arial"/>
                <w:sz w:val="22"/>
                <w:szCs w:val="22"/>
              </w:rPr>
            </w:pPr>
            <w:r w:rsidRPr="008D170F">
              <w:rPr>
                <w:rFonts w:ascii="Arial" w:hAnsi="Arial" w:cs="Arial"/>
                <w:sz w:val="22"/>
                <w:szCs w:val="22"/>
              </w:rPr>
              <w:t>LU at Low Points</w:t>
            </w:r>
          </w:p>
        </w:tc>
        <w:tc>
          <w:tcPr>
            <w:tcW w:w="1530" w:type="dxa"/>
            <w:vAlign w:val="center"/>
          </w:tcPr>
          <w:p w14:paraId="390136DA"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2, 3, 4, 5, 6, and 8</w:t>
            </w:r>
          </w:p>
        </w:tc>
      </w:tr>
    </w:tbl>
    <w:p w14:paraId="2A1BE4FE" w14:textId="77777777" w:rsidR="002E3FE9" w:rsidRPr="00766EBF" w:rsidRDefault="002E3FE9" w:rsidP="00BE3F24">
      <w:pPr>
        <w:rPr>
          <w:rFonts w:ascii="Arial" w:hAnsi="Arial"/>
        </w:rPr>
      </w:pPr>
    </w:p>
    <w:p w14:paraId="0B2C9BA6" w14:textId="77777777" w:rsidR="002E3FE9" w:rsidRPr="0067267A" w:rsidRDefault="002E3FE9" w:rsidP="00BE3F24">
      <w:pPr>
        <w:rPr>
          <w:rFonts w:ascii="Arial" w:hAnsi="Arial"/>
          <w:sz w:val="18"/>
        </w:rPr>
      </w:pPr>
      <w:r w:rsidRPr="0067267A">
        <w:rPr>
          <w:rFonts w:ascii="Arial" w:hAnsi="Arial"/>
          <w:sz w:val="18"/>
        </w:rPr>
        <w:t>LU – Longitudinal Underdrain</w:t>
      </w:r>
    </w:p>
    <w:p w14:paraId="495BEBB2" w14:textId="77777777" w:rsidR="002E3FE9" w:rsidRPr="0067267A" w:rsidRDefault="002E3FE9" w:rsidP="00BE3F24">
      <w:pPr>
        <w:rPr>
          <w:rFonts w:ascii="Arial" w:hAnsi="Arial"/>
          <w:sz w:val="18"/>
        </w:rPr>
      </w:pPr>
    </w:p>
    <w:p w14:paraId="666DF4F0" w14:textId="77777777" w:rsidR="002E3FE9" w:rsidRPr="0067267A" w:rsidRDefault="002E3FE9" w:rsidP="00BE3F24">
      <w:pPr>
        <w:rPr>
          <w:rFonts w:ascii="Arial" w:hAnsi="Arial"/>
          <w:sz w:val="18"/>
        </w:rPr>
      </w:pPr>
      <w:r w:rsidRPr="0067267A">
        <w:rPr>
          <w:rFonts w:ascii="Arial" w:hAnsi="Arial"/>
          <w:sz w:val="18"/>
          <w:u w:val="single"/>
        </w:rPr>
        <w:t>NOTES for New Construction</w:t>
      </w:r>
      <w:r w:rsidRPr="0067267A">
        <w:rPr>
          <w:rFonts w:ascii="Arial" w:hAnsi="Arial"/>
          <w:sz w:val="18"/>
        </w:rPr>
        <w:t>:</w:t>
      </w:r>
    </w:p>
    <w:p w14:paraId="235A7CE5" w14:textId="77777777" w:rsidR="001A15B9" w:rsidRPr="0067267A" w:rsidRDefault="002E3FE9" w:rsidP="00557A8B">
      <w:pPr>
        <w:numPr>
          <w:ilvl w:val="0"/>
          <w:numId w:val="25"/>
        </w:numPr>
        <w:ind w:hanging="720"/>
        <w:rPr>
          <w:rFonts w:ascii="Arial" w:hAnsi="Arial"/>
          <w:sz w:val="18"/>
        </w:rPr>
      </w:pPr>
      <w:r w:rsidRPr="0067267A">
        <w:rPr>
          <w:rFonts w:ascii="Arial" w:hAnsi="Arial"/>
          <w:sz w:val="18"/>
        </w:rPr>
        <w:t>All pavements utilizing Open-Graded Base shall have continuous longitudinal underdrain.  The use of permanent subgrade drains or drainable layer to provide an outlet for the Open-Graded Base is not allowed.</w:t>
      </w:r>
    </w:p>
    <w:p w14:paraId="617631A2" w14:textId="77777777" w:rsidR="001A15B9" w:rsidRPr="0067267A" w:rsidRDefault="002E3FE9" w:rsidP="00557A8B">
      <w:pPr>
        <w:numPr>
          <w:ilvl w:val="0"/>
          <w:numId w:val="25"/>
        </w:numPr>
        <w:ind w:hanging="720"/>
        <w:rPr>
          <w:rFonts w:ascii="Arial" w:hAnsi="Arial"/>
          <w:sz w:val="18"/>
        </w:rPr>
      </w:pPr>
      <w:r w:rsidRPr="0067267A">
        <w:rPr>
          <w:rFonts w:ascii="Arial" w:hAnsi="Arial"/>
          <w:sz w:val="18"/>
        </w:rPr>
        <w:t>Permanent subgrade drains may be used in place of longitudinal underdrain in areas where rock is encountered at subgrade.</w:t>
      </w:r>
    </w:p>
    <w:p w14:paraId="0E5B08E5" w14:textId="77777777" w:rsidR="001A15B9" w:rsidRPr="0067267A" w:rsidRDefault="002E3FE9" w:rsidP="00557A8B">
      <w:pPr>
        <w:numPr>
          <w:ilvl w:val="0"/>
          <w:numId w:val="25"/>
        </w:numPr>
        <w:ind w:hanging="720"/>
        <w:rPr>
          <w:rFonts w:ascii="Arial" w:hAnsi="Arial"/>
          <w:sz w:val="18"/>
        </w:rPr>
      </w:pPr>
      <w:r w:rsidRPr="0067267A">
        <w:rPr>
          <w:rFonts w:ascii="Arial" w:hAnsi="Arial"/>
          <w:sz w:val="18"/>
        </w:rPr>
        <w:t>Permanent subgrade drains may be used in place of longitudinal underdrain in areas where suitable outlets for longitudinal underdrain cannot be provided (insufficient side ditch depth).</w:t>
      </w:r>
    </w:p>
    <w:p w14:paraId="5570E207" w14:textId="54BFA20D" w:rsidR="001A15B9" w:rsidRPr="00336358" w:rsidRDefault="002E3FE9" w:rsidP="00557A8B">
      <w:pPr>
        <w:numPr>
          <w:ilvl w:val="0"/>
          <w:numId w:val="25"/>
        </w:numPr>
        <w:ind w:hanging="720"/>
        <w:rPr>
          <w:rFonts w:ascii="Arial" w:hAnsi="Arial"/>
          <w:sz w:val="18"/>
        </w:rPr>
      </w:pPr>
      <w:r w:rsidRPr="0067267A">
        <w:rPr>
          <w:rFonts w:ascii="Arial" w:hAnsi="Arial"/>
          <w:sz w:val="18"/>
        </w:rPr>
        <w:t xml:space="preserve">A </w:t>
      </w:r>
      <w:r w:rsidRPr="00D26370">
        <w:rPr>
          <w:rFonts w:ascii="Arial" w:hAnsi="Arial"/>
          <w:sz w:val="18"/>
          <w:szCs w:val="18"/>
        </w:rPr>
        <w:t>daylighted</w:t>
      </w:r>
      <w:r w:rsidRPr="00336358">
        <w:rPr>
          <w:rFonts w:ascii="Arial" w:hAnsi="Arial"/>
          <w:sz w:val="18"/>
        </w:rPr>
        <w:t xml:space="preserve">, continuous layer of drainable material (Select Borrow, Capping Borrow, etc.) may be used in place of longitudinal underdrain. </w:t>
      </w:r>
    </w:p>
    <w:p w14:paraId="669C0028" w14:textId="6A034602" w:rsidR="001A15B9" w:rsidRPr="00336358" w:rsidRDefault="002E3FE9" w:rsidP="00557A8B">
      <w:pPr>
        <w:numPr>
          <w:ilvl w:val="0"/>
          <w:numId w:val="25"/>
        </w:numPr>
        <w:ind w:hanging="720"/>
        <w:rPr>
          <w:rFonts w:ascii="Arial" w:hAnsi="Arial"/>
          <w:sz w:val="18"/>
        </w:rPr>
      </w:pPr>
      <w:r w:rsidRPr="00336358">
        <w:rPr>
          <w:rFonts w:ascii="Arial" w:hAnsi="Arial"/>
          <w:sz w:val="18"/>
        </w:rPr>
        <w:t xml:space="preserve">Longitudinal </w:t>
      </w:r>
      <w:r w:rsidR="00D26370">
        <w:rPr>
          <w:rFonts w:ascii="Arial" w:hAnsi="Arial"/>
          <w:sz w:val="18"/>
          <w:szCs w:val="18"/>
        </w:rPr>
        <w:t>u</w:t>
      </w:r>
      <w:r w:rsidRPr="00D26370">
        <w:rPr>
          <w:rFonts w:ascii="Arial" w:hAnsi="Arial"/>
          <w:sz w:val="18"/>
          <w:szCs w:val="18"/>
        </w:rPr>
        <w:t>nderdrain</w:t>
      </w:r>
      <w:r w:rsidRPr="00336358">
        <w:rPr>
          <w:rFonts w:ascii="Arial" w:hAnsi="Arial"/>
          <w:sz w:val="18"/>
        </w:rPr>
        <w:t xml:space="preserve"> shall extend a distance of 200-400 ft</w:t>
      </w:r>
      <w:r w:rsidR="00CF65CA">
        <w:rPr>
          <w:rFonts w:ascii="Arial" w:hAnsi="Arial"/>
          <w:sz w:val="18"/>
          <w:szCs w:val="18"/>
        </w:rPr>
        <w:t>.</w:t>
      </w:r>
      <w:r w:rsidRPr="00336358">
        <w:rPr>
          <w:rFonts w:ascii="Arial" w:hAnsi="Arial"/>
          <w:sz w:val="18"/>
        </w:rPr>
        <w:t xml:space="preserve"> from the low point in both directions along the centerline.</w:t>
      </w:r>
    </w:p>
    <w:p w14:paraId="09BEE1AA" w14:textId="08BB7E46" w:rsidR="001A15B9" w:rsidRPr="00336358" w:rsidRDefault="002E3FE9" w:rsidP="00557A8B">
      <w:pPr>
        <w:numPr>
          <w:ilvl w:val="0"/>
          <w:numId w:val="25"/>
        </w:numPr>
        <w:ind w:hanging="720"/>
        <w:rPr>
          <w:rFonts w:ascii="Arial" w:hAnsi="Arial"/>
          <w:sz w:val="18"/>
        </w:rPr>
      </w:pPr>
      <w:r w:rsidRPr="00336358">
        <w:rPr>
          <w:rFonts w:ascii="Arial" w:hAnsi="Arial"/>
          <w:sz w:val="18"/>
        </w:rPr>
        <w:t>Open-Graded Base</w:t>
      </w:r>
      <w:r w:rsidR="00D26370">
        <w:rPr>
          <w:rFonts w:ascii="Arial" w:hAnsi="Arial"/>
          <w:sz w:val="18"/>
          <w:szCs w:val="18"/>
        </w:rPr>
        <w:t xml:space="preserve"> is</w:t>
      </w:r>
      <w:r w:rsidRPr="00336358">
        <w:rPr>
          <w:rFonts w:ascii="Arial" w:hAnsi="Arial"/>
          <w:sz w:val="18"/>
        </w:rPr>
        <w:t xml:space="preserve"> generally not used.</w:t>
      </w:r>
    </w:p>
    <w:p w14:paraId="7AE3F625" w14:textId="77777777" w:rsidR="001A15B9" w:rsidRPr="00336358" w:rsidRDefault="002E3FE9" w:rsidP="00557A8B">
      <w:pPr>
        <w:numPr>
          <w:ilvl w:val="0"/>
          <w:numId w:val="25"/>
        </w:numPr>
        <w:ind w:hanging="720"/>
        <w:rPr>
          <w:rFonts w:ascii="Arial" w:hAnsi="Arial"/>
          <w:sz w:val="18"/>
        </w:rPr>
      </w:pPr>
      <w:r w:rsidRPr="00336358">
        <w:rPr>
          <w:rFonts w:ascii="Arial" w:hAnsi="Arial"/>
          <w:sz w:val="18"/>
        </w:rPr>
        <w:t>Roadways with a closed section, raised grass median shall have 1 or 2 lines of continuous longitudinal underdrain (depending on width of median) placed behind the curbs in the median.  This additional pavement drainage is not required if a daylighted layer of drainable material (Select Borrow, Capping Borrow, etc.) is utilized.</w:t>
      </w:r>
    </w:p>
    <w:p w14:paraId="1666DCE9" w14:textId="77777777" w:rsidR="001A15B9" w:rsidRPr="00336358" w:rsidRDefault="002E3FE9" w:rsidP="00557A8B">
      <w:pPr>
        <w:numPr>
          <w:ilvl w:val="0"/>
          <w:numId w:val="25"/>
        </w:numPr>
        <w:ind w:hanging="720"/>
        <w:rPr>
          <w:rFonts w:ascii="Arial" w:hAnsi="Arial"/>
          <w:sz w:val="18"/>
        </w:rPr>
      </w:pPr>
      <w:r w:rsidRPr="00336358">
        <w:rPr>
          <w:rFonts w:ascii="Arial" w:hAnsi="Arial"/>
          <w:sz w:val="18"/>
        </w:rPr>
        <w:t xml:space="preserve">Roadways having good vertical drainage at subgrade elevation (sand of considerable depth in cut and no cut/no fill areas and embankments constructed of sand) do not require additional pavement drainage. </w:t>
      </w:r>
    </w:p>
    <w:p w14:paraId="033586AD" w14:textId="77777777" w:rsidR="002E3FE9" w:rsidRDefault="002E3FE9" w:rsidP="00BE3F24">
      <w:pPr>
        <w:rPr>
          <w:rFonts w:ascii="Arial" w:hAnsi="Arial" w:cs="Arial"/>
        </w:rPr>
      </w:pPr>
    </w:p>
    <w:p w14:paraId="377C5EE2" w14:textId="77777777" w:rsidR="002E3FE9" w:rsidRDefault="002E3FE9" w:rsidP="00BE3F24">
      <w:pPr>
        <w:rPr>
          <w:rFonts w:ascii="Arial" w:hAnsi="Arial" w:cs="Arial"/>
        </w:rPr>
      </w:pPr>
    </w:p>
    <w:p w14:paraId="3950DB3F" w14:textId="77777777" w:rsidR="002E3FE9" w:rsidRDefault="002E3FE9" w:rsidP="00BE3F24">
      <w:pPr>
        <w:rPr>
          <w:rFonts w:ascii="Arial" w:hAnsi="Arial" w:cs="Arial"/>
        </w:rPr>
      </w:pPr>
    </w:p>
    <w:p w14:paraId="6DF7D3E1" w14:textId="77777777" w:rsidR="002E3FE9" w:rsidRPr="00766EBF" w:rsidRDefault="002E3FE9" w:rsidP="00BE3F24">
      <w:pPr>
        <w:rPr>
          <w:rFonts w:ascii="Arial" w:hAnsi="Arial" w:cs="Arial"/>
        </w:rPr>
      </w:pPr>
    </w:p>
    <w:p w14:paraId="57885054" w14:textId="77777777" w:rsidR="002E3FE9" w:rsidRPr="00DA39D5" w:rsidRDefault="002E3FE9" w:rsidP="00BE3F24">
      <w:pPr>
        <w:rPr>
          <w:rFonts w:ascii="Arial" w:hAnsi="Arial"/>
          <w:sz w:val="22"/>
          <w:szCs w:val="22"/>
        </w:rPr>
      </w:pP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3"/>
        <w:gridCol w:w="1440"/>
        <w:gridCol w:w="1682"/>
        <w:gridCol w:w="2070"/>
        <w:gridCol w:w="1980"/>
      </w:tblGrid>
      <w:tr w:rsidR="002E3FE9" w:rsidRPr="008D170F" w14:paraId="1F8546C5" w14:textId="77777777" w:rsidTr="00336358">
        <w:trPr>
          <w:trHeight w:val="288"/>
          <w:tblHeader/>
          <w:jc w:val="center"/>
        </w:trPr>
        <w:tc>
          <w:tcPr>
            <w:tcW w:w="8815" w:type="dxa"/>
            <w:gridSpan w:val="5"/>
            <w:shd w:val="clear" w:color="auto" w:fill="D9D9D9"/>
            <w:vAlign w:val="center"/>
          </w:tcPr>
          <w:p w14:paraId="237E8E71"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lastRenderedPageBreak/>
              <w:t>MINIMUM PAVEMENT BASE DRAINAGE GUIDELINES</w:t>
            </w:r>
          </w:p>
          <w:p w14:paraId="492B5C6B"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WIDENINGS</w:t>
            </w:r>
          </w:p>
        </w:tc>
      </w:tr>
      <w:tr w:rsidR="00115674" w:rsidRPr="008D170F" w14:paraId="05C207A7" w14:textId="77777777" w:rsidTr="00D26370">
        <w:trPr>
          <w:trHeight w:val="288"/>
          <w:tblHeader/>
          <w:jc w:val="center"/>
        </w:trPr>
        <w:tc>
          <w:tcPr>
            <w:tcW w:w="1643" w:type="dxa"/>
            <w:shd w:val="clear" w:color="auto" w:fill="D9D9D9"/>
            <w:vAlign w:val="center"/>
          </w:tcPr>
          <w:p w14:paraId="56F8BB7F"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Functional Class</w:t>
            </w:r>
          </w:p>
        </w:tc>
        <w:tc>
          <w:tcPr>
            <w:tcW w:w="1440" w:type="dxa"/>
            <w:shd w:val="clear" w:color="auto" w:fill="D9D9D9"/>
            <w:vAlign w:val="center"/>
          </w:tcPr>
          <w:p w14:paraId="1F3DDF5D"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Widening Type</w:t>
            </w:r>
          </w:p>
        </w:tc>
        <w:tc>
          <w:tcPr>
            <w:tcW w:w="1682" w:type="dxa"/>
            <w:shd w:val="clear" w:color="auto" w:fill="D9D9D9"/>
            <w:vAlign w:val="center"/>
          </w:tcPr>
          <w:p w14:paraId="23AEBFAA"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Widening Pavement Type</w:t>
            </w:r>
          </w:p>
        </w:tc>
        <w:tc>
          <w:tcPr>
            <w:tcW w:w="2070" w:type="dxa"/>
            <w:shd w:val="clear" w:color="auto" w:fill="D9D9D9"/>
            <w:vAlign w:val="center"/>
          </w:tcPr>
          <w:p w14:paraId="01FB9E2D"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Drainage</w:t>
            </w:r>
          </w:p>
        </w:tc>
        <w:tc>
          <w:tcPr>
            <w:tcW w:w="1980" w:type="dxa"/>
            <w:shd w:val="clear" w:color="auto" w:fill="D9D9D9"/>
            <w:vAlign w:val="center"/>
          </w:tcPr>
          <w:p w14:paraId="2CEFC76A" w14:textId="77777777" w:rsidR="002E3FE9" w:rsidRPr="008D170F" w:rsidRDefault="002E3FE9" w:rsidP="00D26370">
            <w:pPr>
              <w:jc w:val="center"/>
              <w:rPr>
                <w:rFonts w:ascii="Arial" w:hAnsi="Arial" w:cs="Arial"/>
                <w:b/>
                <w:sz w:val="22"/>
                <w:szCs w:val="22"/>
              </w:rPr>
            </w:pPr>
            <w:r w:rsidRPr="008D170F">
              <w:rPr>
                <w:rFonts w:ascii="Arial" w:hAnsi="Arial" w:cs="Arial"/>
                <w:b/>
                <w:sz w:val="22"/>
                <w:szCs w:val="22"/>
              </w:rPr>
              <w:t>Applicable Notes</w:t>
            </w:r>
          </w:p>
        </w:tc>
      </w:tr>
      <w:tr w:rsidR="002E3FE9" w:rsidRPr="008D170F" w14:paraId="5DF04CD5" w14:textId="77777777" w:rsidTr="00336358">
        <w:trPr>
          <w:trHeight w:val="288"/>
          <w:tblHeader/>
          <w:jc w:val="center"/>
        </w:trPr>
        <w:tc>
          <w:tcPr>
            <w:tcW w:w="1643" w:type="dxa"/>
            <w:vAlign w:val="center"/>
          </w:tcPr>
          <w:p w14:paraId="7FAC497C"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Interstate and Freeways</w:t>
            </w:r>
          </w:p>
        </w:tc>
        <w:tc>
          <w:tcPr>
            <w:tcW w:w="1440" w:type="dxa"/>
            <w:vAlign w:val="center"/>
          </w:tcPr>
          <w:p w14:paraId="0F8C269E"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682" w:type="dxa"/>
            <w:vAlign w:val="center"/>
          </w:tcPr>
          <w:p w14:paraId="0EB22596"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 Rigid</w:t>
            </w:r>
          </w:p>
        </w:tc>
        <w:tc>
          <w:tcPr>
            <w:tcW w:w="2070" w:type="dxa"/>
            <w:vAlign w:val="center"/>
          </w:tcPr>
          <w:p w14:paraId="6358A915"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Continuous LU</w:t>
            </w:r>
          </w:p>
        </w:tc>
        <w:tc>
          <w:tcPr>
            <w:tcW w:w="1980" w:type="dxa"/>
            <w:vAlign w:val="center"/>
          </w:tcPr>
          <w:p w14:paraId="5B5B704E"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2, 3, 7, and 9</w:t>
            </w:r>
          </w:p>
        </w:tc>
      </w:tr>
      <w:tr w:rsidR="002E3FE9" w:rsidRPr="008D170F" w14:paraId="426396FE" w14:textId="77777777" w:rsidTr="00336358">
        <w:trPr>
          <w:trHeight w:val="288"/>
          <w:tblHeader/>
          <w:jc w:val="center"/>
        </w:trPr>
        <w:tc>
          <w:tcPr>
            <w:tcW w:w="1643" w:type="dxa"/>
            <w:vAlign w:val="center"/>
          </w:tcPr>
          <w:p w14:paraId="66C061D1"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Arterials, Collectors</w:t>
            </w:r>
          </w:p>
        </w:tc>
        <w:tc>
          <w:tcPr>
            <w:tcW w:w="1440" w:type="dxa"/>
            <w:vAlign w:val="center"/>
          </w:tcPr>
          <w:p w14:paraId="7D7571FA"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682" w:type="dxa"/>
            <w:vAlign w:val="center"/>
          </w:tcPr>
          <w:p w14:paraId="1DA288F8"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Rigid</w:t>
            </w:r>
          </w:p>
        </w:tc>
        <w:tc>
          <w:tcPr>
            <w:tcW w:w="2070" w:type="dxa"/>
            <w:vAlign w:val="center"/>
          </w:tcPr>
          <w:p w14:paraId="7F6D6363" w14:textId="77777777" w:rsidR="002E3FE9" w:rsidRPr="008D170F" w:rsidRDefault="002E3FE9" w:rsidP="00D26370">
            <w:pPr>
              <w:jc w:val="center"/>
              <w:rPr>
                <w:rFonts w:ascii="Arial" w:hAnsi="Arial"/>
                <w:sz w:val="22"/>
                <w:szCs w:val="22"/>
              </w:rPr>
            </w:pPr>
            <w:r w:rsidRPr="008D170F">
              <w:rPr>
                <w:rFonts w:ascii="Arial" w:hAnsi="Arial" w:cs="Arial"/>
                <w:sz w:val="22"/>
                <w:szCs w:val="22"/>
              </w:rPr>
              <w:t>Continuous LU</w:t>
            </w:r>
          </w:p>
        </w:tc>
        <w:tc>
          <w:tcPr>
            <w:tcW w:w="1980" w:type="dxa"/>
            <w:vAlign w:val="center"/>
          </w:tcPr>
          <w:p w14:paraId="228AD03E"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2, 3, 7, and 9</w:t>
            </w:r>
          </w:p>
        </w:tc>
      </w:tr>
      <w:tr w:rsidR="002E3FE9" w:rsidRPr="008D170F" w14:paraId="13F19824" w14:textId="77777777" w:rsidTr="00336358">
        <w:trPr>
          <w:trHeight w:val="288"/>
          <w:tblHeader/>
          <w:jc w:val="center"/>
        </w:trPr>
        <w:tc>
          <w:tcPr>
            <w:tcW w:w="1643" w:type="dxa"/>
            <w:vAlign w:val="center"/>
          </w:tcPr>
          <w:p w14:paraId="01A45828"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Arterials, Collectors</w:t>
            </w:r>
          </w:p>
        </w:tc>
        <w:tc>
          <w:tcPr>
            <w:tcW w:w="1440" w:type="dxa"/>
            <w:vAlign w:val="center"/>
          </w:tcPr>
          <w:p w14:paraId="18D6ADC2"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Continuous</w:t>
            </w:r>
          </w:p>
        </w:tc>
        <w:tc>
          <w:tcPr>
            <w:tcW w:w="1682" w:type="dxa"/>
            <w:vAlign w:val="center"/>
          </w:tcPr>
          <w:p w14:paraId="7ED499EE"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w:t>
            </w:r>
          </w:p>
        </w:tc>
        <w:tc>
          <w:tcPr>
            <w:tcW w:w="2070" w:type="dxa"/>
            <w:vAlign w:val="center"/>
          </w:tcPr>
          <w:p w14:paraId="3D223C7B"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Continuous LU to</w:t>
            </w:r>
          </w:p>
          <w:p w14:paraId="65770409" w14:textId="77777777" w:rsidR="002E3FE9" w:rsidRPr="008D170F" w:rsidRDefault="002E3FE9" w:rsidP="00D26370">
            <w:pPr>
              <w:jc w:val="center"/>
              <w:rPr>
                <w:rFonts w:ascii="Arial" w:hAnsi="Arial"/>
                <w:sz w:val="22"/>
                <w:szCs w:val="22"/>
              </w:rPr>
            </w:pPr>
            <w:r w:rsidRPr="008D170F">
              <w:rPr>
                <w:rFonts w:ascii="Arial" w:hAnsi="Arial" w:cs="Arial"/>
                <w:sz w:val="22"/>
                <w:szCs w:val="22"/>
              </w:rPr>
              <w:t>LU at Low Points</w:t>
            </w:r>
          </w:p>
        </w:tc>
        <w:tc>
          <w:tcPr>
            <w:tcW w:w="1980" w:type="dxa"/>
            <w:vAlign w:val="center"/>
          </w:tcPr>
          <w:p w14:paraId="21E2C6CE"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r>
      <w:tr w:rsidR="002E3FE9" w:rsidRPr="008D170F" w14:paraId="24004CAD" w14:textId="77777777" w:rsidTr="00336358">
        <w:trPr>
          <w:trHeight w:val="288"/>
          <w:tblHeader/>
          <w:jc w:val="center"/>
        </w:trPr>
        <w:tc>
          <w:tcPr>
            <w:tcW w:w="1643" w:type="dxa"/>
            <w:vAlign w:val="center"/>
          </w:tcPr>
          <w:p w14:paraId="3666659C"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Arterials, Collectors</w:t>
            </w:r>
          </w:p>
        </w:tc>
        <w:tc>
          <w:tcPr>
            <w:tcW w:w="1440" w:type="dxa"/>
            <w:vAlign w:val="center"/>
          </w:tcPr>
          <w:p w14:paraId="1154E4EC"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Limited</w:t>
            </w:r>
          </w:p>
        </w:tc>
        <w:tc>
          <w:tcPr>
            <w:tcW w:w="1682" w:type="dxa"/>
            <w:vAlign w:val="center"/>
          </w:tcPr>
          <w:p w14:paraId="00DEDDA6"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w:t>
            </w:r>
          </w:p>
        </w:tc>
        <w:tc>
          <w:tcPr>
            <w:tcW w:w="2070" w:type="dxa"/>
            <w:vAlign w:val="center"/>
          </w:tcPr>
          <w:p w14:paraId="00E9C75B" w14:textId="77777777" w:rsidR="002E3FE9" w:rsidRPr="008D170F" w:rsidRDefault="002E3FE9" w:rsidP="00D26370">
            <w:pPr>
              <w:jc w:val="center"/>
              <w:rPr>
                <w:rFonts w:ascii="Arial" w:hAnsi="Arial"/>
                <w:sz w:val="22"/>
                <w:szCs w:val="22"/>
              </w:rPr>
            </w:pPr>
            <w:r w:rsidRPr="008D170F">
              <w:rPr>
                <w:rFonts w:ascii="Arial" w:hAnsi="Arial" w:cs="Arial"/>
                <w:sz w:val="22"/>
                <w:szCs w:val="22"/>
              </w:rPr>
              <w:t>LU at Low Points</w:t>
            </w:r>
          </w:p>
        </w:tc>
        <w:tc>
          <w:tcPr>
            <w:tcW w:w="1980" w:type="dxa"/>
            <w:vAlign w:val="center"/>
          </w:tcPr>
          <w:p w14:paraId="23919B52"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r>
      <w:tr w:rsidR="002E3FE9" w:rsidRPr="008D170F" w14:paraId="4DCF775B" w14:textId="77777777" w:rsidTr="00336358">
        <w:trPr>
          <w:trHeight w:val="288"/>
          <w:tblHeader/>
          <w:jc w:val="center"/>
        </w:trPr>
        <w:tc>
          <w:tcPr>
            <w:tcW w:w="1643" w:type="dxa"/>
            <w:vAlign w:val="center"/>
          </w:tcPr>
          <w:p w14:paraId="3A8A56A9"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Local</w:t>
            </w:r>
          </w:p>
        </w:tc>
        <w:tc>
          <w:tcPr>
            <w:tcW w:w="1440" w:type="dxa"/>
            <w:vAlign w:val="center"/>
          </w:tcPr>
          <w:p w14:paraId="682B705D"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682" w:type="dxa"/>
            <w:vAlign w:val="center"/>
          </w:tcPr>
          <w:p w14:paraId="65829592"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 Rigid</w:t>
            </w:r>
          </w:p>
        </w:tc>
        <w:tc>
          <w:tcPr>
            <w:tcW w:w="2070" w:type="dxa"/>
            <w:vAlign w:val="center"/>
          </w:tcPr>
          <w:p w14:paraId="5DB0F08F" w14:textId="77777777" w:rsidR="002E3FE9" w:rsidRPr="008D170F" w:rsidRDefault="002E3FE9" w:rsidP="00D26370">
            <w:pPr>
              <w:jc w:val="center"/>
              <w:rPr>
                <w:rFonts w:ascii="Arial" w:hAnsi="Arial"/>
                <w:sz w:val="22"/>
                <w:szCs w:val="22"/>
              </w:rPr>
            </w:pPr>
            <w:r w:rsidRPr="008D170F">
              <w:rPr>
                <w:rFonts w:ascii="Arial" w:hAnsi="Arial" w:cs="Arial"/>
                <w:sz w:val="22"/>
                <w:szCs w:val="22"/>
              </w:rPr>
              <w:t>LU at Low Points</w:t>
            </w:r>
          </w:p>
        </w:tc>
        <w:tc>
          <w:tcPr>
            <w:tcW w:w="1980" w:type="dxa"/>
            <w:vAlign w:val="center"/>
          </w:tcPr>
          <w:p w14:paraId="680974B7"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r>
      <w:tr w:rsidR="002E3FE9" w:rsidRPr="008D170F" w14:paraId="64B878E9" w14:textId="77777777" w:rsidTr="00336358">
        <w:trPr>
          <w:trHeight w:val="288"/>
          <w:tblHeader/>
          <w:jc w:val="center"/>
        </w:trPr>
        <w:tc>
          <w:tcPr>
            <w:tcW w:w="1643" w:type="dxa"/>
            <w:vAlign w:val="center"/>
          </w:tcPr>
          <w:p w14:paraId="2B22C6F6"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Maintenance Facilities, P&amp;R Lots, etc.</w:t>
            </w:r>
          </w:p>
        </w:tc>
        <w:tc>
          <w:tcPr>
            <w:tcW w:w="1440" w:type="dxa"/>
            <w:vAlign w:val="center"/>
          </w:tcPr>
          <w:p w14:paraId="70378A3B"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All</w:t>
            </w:r>
          </w:p>
        </w:tc>
        <w:tc>
          <w:tcPr>
            <w:tcW w:w="1682" w:type="dxa"/>
            <w:vAlign w:val="center"/>
          </w:tcPr>
          <w:p w14:paraId="1DBEE27C"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Flexible, Rigid</w:t>
            </w:r>
          </w:p>
        </w:tc>
        <w:tc>
          <w:tcPr>
            <w:tcW w:w="2070" w:type="dxa"/>
            <w:vAlign w:val="center"/>
          </w:tcPr>
          <w:p w14:paraId="3F037C00" w14:textId="77777777" w:rsidR="002E3FE9" w:rsidRPr="008D170F" w:rsidRDefault="002E3FE9" w:rsidP="00D26370">
            <w:pPr>
              <w:jc w:val="center"/>
              <w:rPr>
                <w:rFonts w:ascii="Arial" w:hAnsi="Arial"/>
                <w:sz w:val="22"/>
                <w:szCs w:val="22"/>
              </w:rPr>
            </w:pPr>
            <w:r w:rsidRPr="008D170F">
              <w:rPr>
                <w:rFonts w:ascii="Arial" w:hAnsi="Arial" w:cs="Arial"/>
                <w:sz w:val="22"/>
                <w:szCs w:val="22"/>
              </w:rPr>
              <w:t>LU at Low Points</w:t>
            </w:r>
          </w:p>
        </w:tc>
        <w:tc>
          <w:tcPr>
            <w:tcW w:w="1980" w:type="dxa"/>
            <w:vAlign w:val="center"/>
          </w:tcPr>
          <w:p w14:paraId="03B8D462" w14:textId="77777777" w:rsidR="002E3FE9" w:rsidRPr="008D170F" w:rsidRDefault="002E3FE9" w:rsidP="00D26370">
            <w:pPr>
              <w:jc w:val="center"/>
              <w:rPr>
                <w:rFonts w:ascii="Arial" w:hAnsi="Arial" w:cs="Arial"/>
                <w:sz w:val="22"/>
                <w:szCs w:val="22"/>
              </w:rPr>
            </w:pPr>
            <w:r w:rsidRPr="008D170F">
              <w:rPr>
                <w:rFonts w:ascii="Arial" w:hAnsi="Arial" w:cs="Arial"/>
                <w:sz w:val="22"/>
                <w:szCs w:val="22"/>
              </w:rPr>
              <w:t>1, 2, 3, 4, 5, 6, 7, 8, and 10</w:t>
            </w:r>
          </w:p>
        </w:tc>
      </w:tr>
    </w:tbl>
    <w:p w14:paraId="14035D29" w14:textId="77777777" w:rsidR="002E3FE9" w:rsidRPr="00766EBF" w:rsidRDefault="002E3FE9" w:rsidP="00BE3F24">
      <w:pPr>
        <w:rPr>
          <w:rFonts w:ascii="Arial" w:hAnsi="Arial"/>
        </w:rPr>
      </w:pPr>
    </w:p>
    <w:p w14:paraId="6019B18E" w14:textId="77777777" w:rsidR="002E3FE9" w:rsidRPr="00336358" w:rsidRDefault="002E3FE9" w:rsidP="00BE3F24">
      <w:pPr>
        <w:rPr>
          <w:rFonts w:ascii="Arial" w:hAnsi="Arial"/>
          <w:sz w:val="18"/>
        </w:rPr>
      </w:pPr>
      <w:r w:rsidRPr="00336358">
        <w:rPr>
          <w:rFonts w:ascii="Arial" w:hAnsi="Arial"/>
          <w:sz w:val="18"/>
        </w:rPr>
        <w:t>LU – Longitudinal Underdrain</w:t>
      </w:r>
    </w:p>
    <w:p w14:paraId="54BD6F40" w14:textId="77777777" w:rsidR="002E3FE9" w:rsidRPr="00336358" w:rsidRDefault="002E3FE9" w:rsidP="00BE3F24">
      <w:pPr>
        <w:rPr>
          <w:rFonts w:ascii="Arial" w:hAnsi="Arial"/>
          <w:sz w:val="18"/>
        </w:rPr>
      </w:pPr>
    </w:p>
    <w:p w14:paraId="0261BBDA" w14:textId="77777777" w:rsidR="002E3FE9" w:rsidRPr="00336358" w:rsidRDefault="002E3FE9" w:rsidP="00BE3F24">
      <w:pPr>
        <w:rPr>
          <w:rFonts w:ascii="Arial" w:hAnsi="Arial"/>
          <w:sz w:val="18"/>
        </w:rPr>
      </w:pPr>
      <w:r w:rsidRPr="00336358">
        <w:rPr>
          <w:rFonts w:ascii="Arial" w:hAnsi="Arial"/>
          <w:sz w:val="18"/>
          <w:u w:val="single"/>
        </w:rPr>
        <w:t>NOTES for Widening</w:t>
      </w:r>
      <w:r w:rsidRPr="00336358">
        <w:rPr>
          <w:rFonts w:ascii="Arial" w:hAnsi="Arial"/>
          <w:sz w:val="18"/>
        </w:rPr>
        <w:t>:</w:t>
      </w:r>
    </w:p>
    <w:p w14:paraId="7A704640" w14:textId="77777777" w:rsidR="001A15B9" w:rsidRPr="00336358" w:rsidRDefault="002E3FE9" w:rsidP="00557A8B">
      <w:pPr>
        <w:numPr>
          <w:ilvl w:val="0"/>
          <w:numId w:val="26"/>
        </w:numPr>
        <w:ind w:hanging="720"/>
        <w:rPr>
          <w:rFonts w:ascii="Arial" w:hAnsi="Arial"/>
          <w:sz w:val="18"/>
        </w:rPr>
      </w:pPr>
      <w:r w:rsidRPr="00336358">
        <w:rPr>
          <w:rFonts w:ascii="Arial" w:hAnsi="Arial"/>
          <w:sz w:val="18"/>
        </w:rPr>
        <w:t>At a minimum, new drainage for widening should mimic the drainage of the existing pavement.</w:t>
      </w:r>
    </w:p>
    <w:p w14:paraId="4043FDF6" w14:textId="102D1379" w:rsidR="001A15B9" w:rsidRPr="00336358" w:rsidRDefault="002E3FE9" w:rsidP="00557A8B">
      <w:pPr>
        <w:numPr>
          <w:ilvl w:val="0"/>
          <w:numId w:val="26"/>
        </w:numPr>
        <w:ind w:hanging="720"/>
        <w:rPr>
          <w:rFonts w:ascii="Arial" w:hAnsi="Arial"/>
          <w:sz w:val="18"/>
        </w:rPr>
      </w:pPr>
      <w:r w:rsidRPr="00336358">
        <w:rPr>
          <w:rFonts w:ascii="Arial" w:hAnsi="Arial"/>
          <w:sz w:val="18"/>
        </w:rPr>
        <w:t>Provisions shall be made to provide outlets for any existing longitudinal underdrains or remove the underdrain.</w:t>
      </w:r>
    </w:p>
    <w:p w14:paraId="0B72A8C0" w14:textId="1AA1A6A0" w:rsidR="001A15B9" w:rsidRPr="00336358" w:rsidRDefault="002E3FE9" w:rsidP="00557A8B">
      <w:pPr>
        <w:numPr>
          <w:ilvl w:val="0"/>
          <w:numId w:val="26"/>
        </w:numPr>
        <w:ind w:hanging="720"/>
        <w:rPr>
          <w:rFonts w:ascii="Arial" w:hAnsi="Arial"/>
          <w:sz w:val="18"/>
        </w:rPr>
      </w:pPr>
      <w:r w:rsidRPr="00336358">
        <w:rPr>
          <w:rFonts w:ascii="Arial" w:hAnsi="Arial"/>
          <w:sz w:val="18"/>
        </w:rPr>
        <w:t xml:space="preserve">Permanent subgrade drains may be used in place of longitudinal </w:t>
      </w:r>
      <w:r w:rsidRPr="00D26370">
        <w:rPr>
          <w:rFonts w:ascii="Arial" w:hAnsi="Arial"/>
          <w:sz w:val="18"/>
          <w:szCs w:val="18"/>
        </w:rPr>
        <w:t>underdrain</w:t>
      </w:r>
      <w:r w:rsidR="00D26370">
        <w:rPr>
          <w:rFonts w:ascii="Arial" w:hAnsi="Arial"/>
          <w:sz w:val="18"/>
          <w:szCs w:val="18"/>
        </w:rPr>
        <w:t>s</w:t>
      </w:r>
      <w:r w:rsidRPr="00336358">
        <w:rPr>
          <w:rFonts w:ascii="Arial" w:hAnsi="Arial"/>
          <w:sz w:val="18"/>
        </w:rPr>
        <w:t xml:space="preserve"> in areas where rock is encountered at subgrade.</w:t>
      </w:r>
    </w:p>
    <w:p w14:paraId="48C0942F" w14:textId="4682112E" w:rsidR="001A15B9" w:rsidRPr="00336358" w:rsidRDefault="002E3FE9" w:rsidP="00557A8B">
      <w:pPr>
        <w:numPr>
          <w:ilvl w:val="0"/>
          <w:numId w:val="26"/>
        </w:numPr>
        <w:ind w:hanging="720"/>
        <w:rPr>
          <w:rFonts w:ascii="Arial" w:hAnsi="Arial"/>
          <w:sz w:val="18"/>
        </w:rPr>
      </w:pPr>
      <w:r w:rsidRPr="00336358">
        <w:rPr>
          <w:rFonts w:ascii="Arial" w:hAnsi="Arial"/>
          <w:sz w:val="18"/>
        </w:rPr>
        <w:t xml:space="preserve">Permanent subgrade drains may be used in place of longitudinal </w:t>
      </w:r>
      <w:r w:rsidRPr="00D26370">
        <w:rPr>
          <w:rFonts w:ascii="Arial" w:hAnsi="Arial"/>
          <w:sz w:val="18"/>
          <w:szCs w:val="18"/>
        </w:rPr>
        <w:t>underdrain</w:t>
      </w:r>
      <w:r w:rsidR="00D26370">
        <w:rPr>
          <w:rFonts w:ascii="Arial" w:hAnsi="Arial"/>
          <w:sz w:val="18"/>
          <w:szCs w:val="18"/>
        </w:rPr>
        <w:t>s</w:t>
      </w:r>
      <w:r w:rsidRPr="00336358">
        <w:rPr>
          <w:rFonts w:ascii="Arial" w:hAnsi="Arial"/>
          <w:sz w:val="18"/>
        </w:rPr>
        <w:t xml:space="preserve"> in areas where suitable outlets for longitudinal underdrain cannot be provided (insufficient side ditch depth).</w:t>
      </w:r>
    </w:p>
    <w:p w14:paraId="1F019F06" w14:textId="110FB002" w:rsidR="001A15B9" w:rsidRPr="00336358" w:rsidRDefault="002E3FE9" w:rsidP="00557A8B">
      <w:pPr>
        <w:numPr>
          <w:ilvl w:val="0"/>
          <w:numId w:val="26"/>
        </w:numPr>
        <w:ind w:hanging="720"/>
        <w:rPr>
          <w:rFonts w:ascii="Arial" w:hAnsi="Arial"/>
          <w:sz w:val="18"/>
        </w:rPr>
      </w:pPr>
      <w:r w:rsidRPr="00336358">
        <w:rPr>
          <w:rFonts w:ascii="Arial" w:hAnsi="Arial"/>
          <w:sz w:val="18"/>
        </w:rPr>
        <w:t xml:space="preserve">A </w:t>
      </w:r>
      <w:r w:rsidRPr="00D26370">
        <w:rPr>
          <w:rFonts w:ascii="Arial" w:hAnsi="Arial"/>
          <w:sz w:val="18"/>
          <w:szCs w:val="18"/>
        </w:rPr>
        <w:t>daylighted</w:t>
      </w:r>
      <w:r w:rsidRPr="00336358">
        <w:rPr>
          <w:rFonts w:ascii="Arial" w:hAnsi="Arial"/>
          <w:sz w:val="18"/>
        </w:rPr>
        <w:t xml:space="preserve">, continuous layer of drainable material (Select Borrow, Capping Borrow, etc.) may be used in place of longitudinal underdrain. </w:t>
      </w:r>
    </w:p>
    <w:p w14:paraId="1C3E7BC1" w14:textId="77777777" w:rsidR="001A15B9" w:rsidRPr="00336358" w:rsidRDefault="002E3FE9" w:rsidP="00557A8B">
      <w:pPr>
        <w:numPr>
          <w:ilvl w:val="0"/>
          <w:numId w:val="26"/>
        </w:numPr>
        <w:ind w:hanging="720"/>
        <w:rPr>
          <w:rFonts w:ascii="Arial" w:hAnsi="Arial"/>
          <w:sz w:val="18"/>
        </w:rPr>
      </w:pPr>
      <w:r w:rsidRPr="00336358">
        <w:rPr>
          <w:rFonts w:ascii="Arial" w:hAnsi="Arial"/>
          <w:sz w:val="18"/>
        </w:rPr>
        <w:t xml:space="preserve">See MINIMUM PAVEMENT BASE DRAINAGE GUIDELINES - </w:t>
      </w:r>
      <w:smartTag w:uri="urn:schemas-microsoft-com:office:smarttags" w:element="stockticker">
        <w:r w:rsidRPr="00336358">
          <w:rPr>
            <w:rFonts w:ascii="Arial" w:hAnsi="Arial"/>
            <w:sz w:val="18"/>
          </w:rPr>
          <w:t>NEW</w:t>
        </w:r>
      </w:smartTag>
      <w:r w:rsidRPr="00336358">
        <w:rPr>
          <w:rFonts w:ascii="Arial" w:hAnsi="Arial"/>
          <w:sz w:val="18"/>
        </w:rPr>
        <w:t xml:space="preserve"> CONSTRUCTION above for additional guidance.</w:t>
      </w:r>
    </w:p>
    <w:p w14:paraId="241E5509" w14:textId="51C2E8A8" w:rsidR="001A15B9" w:rsidRPr="00336358" w:rsidRDefault="002E3FE9" w:rsidP="00557A8B">
      <w:pPr>
        <w:numPr>
          <w:ilvl w:val="0"/>
          <w:numId w:val="26"/>
        </w:numPr>
        <w:ind w:hanging="720"/>
        <w:rPr>
          <w:rFonts w:ascii="Arial" w:hAnsi="Arial"/>
          <w:sz w:val="18"/>
        </w:rPr>
      </w:pPr>
      <w:r w:rsidRPr="00336358">
        <w:rPr>
          <w:rFonts w:ascii="Arial" w:hAnsi="Arial"/>
          <w:sz w:val="18"/>
        </w:rPr>
        <w:t>Open-Graded Base layers shall be extended when utilized in the existing pavement. All pavements utilizing Open-Graded Base shall have continuous longitudinal underdrain.  The use of permanent subgrade drains or</w:t>
      </w:r>
      <w:r w:rsidRPr="00D26370">
        <w:rPr>
          <w:rFonts w:ascii="Arial" w:hAnsi="Arial"/>
          <w:sz w:val="18"/>
          <w:szCs w:val="18"/>
        </w:rPr>
        <w:t xml:space="preserve"> </w:t>
      </w:r>
      <w:r w:rsidR="00D26370">
        <w:rPr>
          <w:rFonts w:ascii="Arial" w:hAnsi="Arial"/>
          <w:sz w:val="18"/>
          <w:szCs w:val="18"/>
        </w:rPr>
        <w:t>a</w:t>
      </w:r>
      <w:r w:rsidR="00D26370" w:rsidRPr="00336358">
        <w:rPr>
          <w:rFonts w:ascii="Arial" w:hAnsi="Arial"/>
          <w:sz w:val="18"/>
        </w:rPr>
        <w:t xml:space="preserve"> </w:t>
      </w:r>
      <w:r w:rsidRPr="00336358">
        <w:rPr>
          <w:rFonts w:ascii="Arial" w:hAnsi="Arial"/>
          <w:sz w:val="18"/>
        </w:rPr>
        <w:t>drainable layer to provide an outlet for the Open-Graded Base is not allowed.</w:t>
      </w:r>
    </w:p>
    <w:p w14:paraId="3AB0FD68" w14:textId="21DFF7B3" w:rsidR="001A15B9" w:rsidRPr="00336358" w:rsidRDefault="002E3FE9" w:rsidP="00557A8B">
      <w:pPr>
        <w:numPr>
          <w:ilvl w:val="0"/>
          <w:numId w:val="26"/>
        </w:numPr>
        <w:ind w:hanging="720"/>
        <w:rPr>
          <w:rFonts w:ascii="Arial" w:hAnsi="Arial"/>
          <w:sz w:val="18"/>
        </w:rPr>
      </w:pPr>
      <w:r w:rsidRPr="00336358">
        <w:rPr>
          <w:rFonts w:ascii="Arial" w:hAnsi="Arial"/>
          <w:sz w:val="18"/>
        </w:rPr>
        <w:t xml:space="preserve">Longitudinal </w:t>
      </w:r>
      <w:r w:rsidR="00D26370">
        <w:rPr>
          <w:rFonts w:ascii="Arial" w:hAnsi="Arial"/>
          <w:sz w:val="18"/>
          <w:szCs w:val="18"/>
        </w:rPr>
        <w:t>u</w:t>
      </w:r>
      <w:r w:rsidRPr="00D26370">
        <w:rPr>
          <w:rFonts w:ascii="Arial" w:hAnsi="Arial"/>
          <w:sz w:val="18"/>
          <w:szCs w:val="18"/>
        </w:rPr>
        <w:t>nderdrain</w:t>
      </w:r>
      <w:r w:rsidRPr="00336358">
        <w:rPr>
          <w:rFonts w:ascii="Arial" w:hAnsi="Arial"/>
          <w:sz w:val="18"/>
        </w:rPr>
        <w:t xml:space="preserve"> shall extend a distance of 200-400 ft</w:t>
      </w:r>
      <w:r w:rsidR="00CF65CA">
        <w:rPr>
          <w:rFonts w:ascii="Arial" w:hAnsi="Arial"/>
          <w:sz w:val="18"/>
          <w:szCs w:val="18"/>
        </w:rPr>
        <w:t>.</w:t>
      </w:r>
      <w:r w:rsidRPr="00336358">
        <w:rPr>
          <w:rFonts w:ascii="Arial" w:hAnsi="Arial"/>
          <w:sz w:val="18"/>
        </w:rPr>
        <w:t xml:space="preserve"> from the low point in both directions along the centerline.</w:t>
      </w:r>
    </w:p>
    <w:p w14:paraId="32F64F08" w14:textId="77777777" w:rsidR="001A15B9" w:rsidRPr="00336358" w:rsidRDefault="002E3FE9" w:rsidP="00557A8B">
      <w:pPr>
        <w:numPr>
          <w:ilvl w:val="0"/>
          <w:numId w:val="26"/>
        </w:numPr>
        <w:ind w:hanging="720"/>
        <w:rPr>
          <w:rFonts w:ascii="Arial" w:hAnsi="Arial"/>
          <w:sz w:val="18"/>
        </w:rPr>
      </w:pPr>
      <w:r w:rsidRPr="00336358">
        <w:rPr>
          <w:rFonts w:ascii="Arial" w:hAnsi="Arial"/>
          <w:sz w:val="18"/>
        </w:rPr>
        <w:t>Roadways with a closed section, raised grass median shall have 1 or 2 lines of continuous longitudinal underdrain (depending on width of median) placed behind the curbs in the median.  This additional pavement drainage is not required if a daylighted layer of drainable material (Select Borrow, Capping Borrow, etc.) is utilized.</w:t>
      </w:r>
    </w:p>
    <w:p w14:paraId="2E42ADFD" w14:textId="77777777" w:rsidR="001A15B9" w:rsidRPr="00336358" w:rsidRDefault="002E3FE9" w:rsidP="00557A8B">
      <w:pPr>
        <w:numPr>
          <w:ilvl w:val="0"/>
          <w:numId w:val="26"/>
        </w:numPr>
        <w:ind w:hanging="720"/>
        <w:rPr>
          <w:rFonts w:ascii="Arial" w:hAnsi="Arial"/>
          <w:sz w:val="18"/>
        </w:rPr>
      </w:pPr>
      <w:r w:rsidRPr="00336358">
        <w:rPr>
          <w:rFonts w:ascii="Arial" w:hAnsi="Arial"/>
          <w:sz w:val="18"/>
        </w:rPr>
        <w:t xml:space="preserve">Roadways having good vertical drainage at subgrade elevation (sand of considerable depth in cut and no cut/no fill areas and embankments constructed of sand) do not require additional pavement drainage. </w:t>
      </w:r>
    </w:p>
    <w:p w14:paraId="4F1992B5" w14:textId="77777777" w:rsidR="002E3FE9" w:rsidRDefault="002E3FE9" w:rsidP="00BE3F24">
      <w:pPr>
        <w:rPr>
          <w:rFonts w:ascii="Arial" w:hAnsi="Arial"/>
        </w:rPr>
      </w:pPr>
    </w:p>
    <w:p w14:paraId="231E14C1" w14:textId="77777777" w:rsidR="002E3FE9" w:rsidRDefault="002E3FE9" w:rsidP="00BE3F24">
      <w:pPr>
        <w:rPr>
          <w:rFonts w:ascii="Arial" w:hAnsi="Arial"/>
          <w:u w:val="single"/>
        </w:rPr>
      </w:pPr>
    </w:p>
    <w:p w14:paraId="540EF246" w14:textId="77777777" w:rsidR="002E3FE9" w:rsidRDefault="002E3FE9" w:rsidP="00BE3F24">
      <w:pPr>
        <w:rPr>
          <w:rFonts w:ascii="Arial" w:hAnsi="Arial"/>
          <w:u w:val="single"/>
        </w:rPr>
      </w:pPr>
      <w:r>
        <w:rPr>
          <w:rFonts w:ascii="Arial" w:hAnsi="Arial"/>
          <w:u w:val="single"/>
        </w:rPr>
        <w:br w:type="page"/>
      </w:r>
    </w:p>
    <w:p w14:paraId="5C71502E" w14:textId="77777777" w:rsidR="002E3FE9" w:rsidRPr="00336358" w:rsidRDefault="002E3FE9" w:rsidP="00BE3F24">
      <w:pPr>
        <w:rPr>
          <w:rFonts w:ascii="Arial" w:hAnsi="Arial"/>
          <w:b/>
          <w:u w:val="single"/>
        </w:rPr>
      </w:pPr>
      <w:r w:rsidRPr="00336358">
        <w:rPr>
          <w:rFonts w:ascii="Arial" w:hAnsi="Arial"/>
          <w:b/>
          <w:u w:val="single"/>
        </w:rPr>
        <w:lastRenderedPageBreak/>
        <w:t>Typical Section</w:t>
      </w:r>
    </w:p>
    <w:p w14:paraId="021DCC02" w14:textId="6DB7747D" w:rsidR="002E3FE9" w:rsidRDefault="002E3FE9" w:rsidP="00BE3F24">
      <w:pPr>
        <w:rPr>
          <w:rFonts w:ascii="Arial" w:hAnsi="Arial"/>
        </w:rPr>
      </w:pPr>
      <w:r>
        <w:rPr>
          <w:rFonts w:ascii="Arial" w:hAnsi="Arial"/>
          <w:noProof/>
        </w:rPr>
        <w:drawing>
          <wp:anchor distT="0" distB="0" distL="114300" distR="114300" simplePos="0" relativeHeight="251665920" behindDoc="0" locked="0" layoutInCell="1" allowOverlap="1" wp14:anchorId="5BF335E8" wp14:editId="33174DB4">
            <wp:simplePos x="0" y="0"/>
            <wp:positionH relativeFrom="column">
              <wp:posOffset>-266700</wp:posOffset>
            </wp:positionH>
            <wp:positionV relativeFrom="paragraph">
              <wp:posOffset>45720</wp:posOffset>
            </wp:positionV>
            <wp:extent cx="6419850" cy="1538605"/>
            <wp:effectExtent l="19050" t="0" r="0" b="0"/>
            <wp:wrapNone/>
            <wp:docPr id="36" name="Picture 1018" descr="Roadway section drainag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018" descr="Roadway section drainage diagram"/>
                    <pic:cNvPicPr>
                      <a:picLocks noChangeAspect="1" noChangeArrowheads="1"/>
                    </pic:cNvPicPr>
                  </pic:nvPicPr>
                  <pic:blipFill>
                    <a:blip r:embed="rId220" cstate="print"/>
                    <a:srcRect/>
                    <a:stretch>
                      <a:fillRect/>
                    </a:stretch>
                  </pic:blipFill>
                  <pic:spPr bwMode="auto">
                    <a:xfrm>
                      <a:off x="0" y="0"/>
                      <a:ext cx="6419850" cy="1538605"/>
                    </a:xfrm>
                    <a:prstGeom prst="rect">
                      <a:avLst/>
                    </a:prstGeom>
                    <a:noFill/>
                    <a:ln w="9525">
                      <a:noFill/>
                      <a:miter lim="800000"/>
                      <a:headEnd/>
                      <a:tailEnd/>
                    </a:ln>
                    <a:effectLst/>
                  </pic:spPr>
                </pic:pic>
              </a:graphicData>
            </a:graphic>
          </wp:anchor>
        </w:drawing>
      </w:r>
    </w:p>
    <w:p w14:paraId="4C280D4B" w14:textId="77777777" w:rsidR="002E3FE9" w:rsidRDefault="002E3FE9" w:rsidP="00BE3F24">
      <w:pPr>
        <w:rPr>
          <w:rFonts w:ascii="Arial" w:hAnsi="Arial"/>
        </w:rPr>
      </w:pPr>
    </w:p>
    <w:p w14:paraId="3792C24D" w14:textId="77777777" w:rsidR="002E3FE9" w:rsidRDefault="002E3FE9" w:rsidP="00BE3F24">
      <w:pPr>
        <w:rPr>
          <w:rFonts w:ascii="Arial" w:hAnsi="Arial"/>
        </w:rPr>
      </w:pPr>
    </w:p>
    <w:p w14:paraId="1434DC77" w14:textId="77777777" w:rsidR="002E3FE9" w:rsidRDefault="002E3FE9" w:rsidP="00BE3F24">
      <w:pPr>
        <w:rPr>
          <w:rFonts w:ascii="Arial" w:hAnsi="Arial"/>
        </w:rPr>
      </w:pPr>
    </w:p>
    <w:p w14:paraId="4AFA8890" w14:textId="77777777" w:rsidR="002E3FE9" w:rsidRDefault="002E3FE9" w:rsidP="00BE3F24">
      <w:pPr>
        <w:rPr>
          <w:rFonts w:ascii="Arial" w:hAnsi="Arial"/>
        </w:rPr>
      </w:pPr>
    </w:p>
    <w:p w14:paraId="0855D328" w14:textId="77777777" w:rsidR="002E3FE9" w:rsidRDefault="002E3FE9" w:rsidP="00BE3F24">
      <w:pPr>
        <w:rPr>
          <w:rFonts w:ascii="Arial" w:hAnsi="Arial"/>
        </w:rPr>
      </w:pPr>
    </w:p>
    <w:p w14:paraId="5F926D03" w14:textId="77777777" w:rsidR="002E3FE9" w:rsidRDefault="002E3FE9" w:rsidP="00BE3F24">
      <w:pPr>
        <w:rPr>
          <w:rFonts w:ascii="Arial" w:hAnsi="Arial"/>
        </w:rPr>
      </w:pPr>
    </w:p>
    <w:p w14:paraId="0F6CF0DF" w14:textId="77777777" w:rsidR="002E3FE9" w:rsidRDefault="002E3FE9" w:rsidP="00BE3F24">
      <w:pPr>
        <w:rPr>
          <w:rFonts w:ascii="Arial" w:hAnsi="Arial"/>
        </w:rPr>
      </w:pPr>
    </w:p>
    <w:p w14:paraId="61615A40" w14:textId="77777777" w:rsidR="002E3FE9" w:rsidRDefault="002E3FE9" w:rsidP="00BE3F24">
      <w:pPr>
        <w:rPr>
          <w:rFonts w:ascii="Arial" w:hAnsi="Arial"/>
        </w:rPr>
      </w:pPr>
    </w:p>
    <w:p w14:paraId="6ED02EC6" w14:textId="77777777" w:rsidR="002E3FE9" w:rsidRDefault="002E3FE9" w:rsidP="00BE3F24">
      <w:pPr>
        <w:rPr>
          <w:rFonts w:ascii="Arial" w:hAnsi="Arial"/>
        </w:rPr>
      </w:pPr>
    </w:p>
    <w:p w14:paraId="439F66DA" w14:textId="77777777" w:rsidR="002E3FE9" w:rsidRDefault="002E3FE9" w:rsidP="00BE3F24">
      <w:pPr>
        <w:rPr>
          <w:rFonts w:ascii="Arial" w:hAnsi="Arial"/>
        </w:rPr>
      </w:pPr>
    </w:p>
    <w:p w14:paraId="55399C06" w14:textId="77777777" w:rsidR="002E3FE9" w:rsidRDefault="002E3FE9" w:rsidP="00BE3F24">
      <w:pPr>
        <w:rPr>
          <w:rFonts w:ascii="Arial" w:hAnsi="Arial"/>
        </w:rPr>
      </w:pPr>
    </w:p>
    <w:p w14:paraId="1E23826D" w14:textId="77777777" w:rsidR="002E3FE9" w:rsidRDefault="002E3FE9" w:rsidP="00BE3F24">
      <w:pPr>
        <w:rPr>
          <w:rFonts w:ascii="Arial" w:hAnsi="Arial"/>
        </w:rPr>
      </w:pPr>
    </w:p>
    <w:p w14:paraId="534F46D2" w14:textId="77777777" w:rsidR="002E3FE9" w:rsidRPr="00336358" w:rsidRDefault="002E3FE9" w:rsidP="00BE3F24">
      <w:pPr>
        <w:rPr>
          <w:rFonts w:ascii="Arial" w:hAnsi="Arial"/>
          <w:b/>
          <w:u w:val="single"/>
        </w:rPr>
      </w:pPr>
      <w:r w:rsidRPr="00336358">
        <w:rPr>
          <w:rFonts w:ascii="Arial" w:hAnsi="Arial"/>
          <w:b/>
          <w:u w:val="single"/>
        </w:rPr>
        <w:t xml:space="preserve">Typical Section- Super-elevated </w:t>
      </w:r>
    </w:p>
    <w:p w14:paraId="235CBB1C" w14:textId="77777777" w:rsidR="002E3FE9" w:rsidRDefault="002E3FE9" w:rsidP="00BE3F24">
      <w:pPr>
        <w:rPr>
          <w:rFonts w:ascii="Arial" w:hAnsi="Arial"/>
        </w:rPr>
      </w:pPr>
    </w:p>
    <w:p w14:paraId="3782EC53" w14:textId="3D8FEAEE" w:rsidR="002E3FE9" w:rsidRDefault="002E3FE9" w:rsidP="00BE3F24">
      <w:pPr>
        <w:rPr>
          <w:rFonts w:ascii="Arial" w:hAnsi="Arial"/>
        </w:rPr>
      </w:pPr>
      <w:r>
        <w:rPr>
          <w:rFonts w:ascii="Arial" w:hAnsi="Arial"/>
          <w:noProof/>
        </w:rPr>
        <w:drawing>
          <wp:anchor distT="0" distB="0" distL="114300" distR="114300" simplePos="0" relativeHeight="251672064" behindDoc="0" locked="0" layoutInCell="1" allowOverlap="1" wp14:anchorId="5C6B05F1" wp14:editId="54B0BD3C">
            <wp:simplePos x="0" y="0"/>
            <wp:positionH relativeFrom="column">
              <wp:posOffset>-219075</wp:posOffset>
            </wp:positionH>
            <wp:positionV relativeFrom="paragraph">
              <wp:posOffset>28575</wp:posOffset>
            </wp:positionV>
            <wp:extent cx="6353175" cy="1594485"/>
            <wp:effectExtent l="19050" t="0" r="9525" b="0"/>
            <wp:wrapNone/>
            <wp:docPr id="37" name="Picture 1023" descr="Roadway section drainag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023" descr="Roadway section drainage diagram"/>
                    <pic:cNvPicPr>
                      <a:picLocks noChangeAspect="1" noChangeArrowheads="1"/>
                    </pic:cNvPicPr>
                  </pic:nvPicPr>
                  <pic:blipFill>
                    <a:blip r:embed="rId221" cstate="print"/>
                    <a:srcRect/>
                    <a:stretch>
                      <a:fillRect/>
                    </a:stretch>
                  </pic:blipFill>
                  <pic:spPr bwMode="auto">
                    <a:xfrm>
                      <a:off x="0" y="0"/>
                      <a:ext cx="6353175" cy="1594485"/>
                    </a:xfrm>
                    <a:prstGeom prst="rect">
                      <a:avLst/>
                    </a:prstGeom>
                    <a:noFill/>
                    <a:ln w="9525">
                      <a:noFill/>
                      <a:miter lim="800000"/>
                      <a:headEnd/>
                      <a:tailEnd/>
                    </a:ln>
                    <a:effectLst/>
                  </pic:spPr>
                </pic:pic>
              </a:graphicData>
            </a:graphic>
          </wp:anchor>
        </w:drawing>
      </w:r>
    </w:p>
    <w:p w14:paraId="34B10D1C" w14:textId="77777777" w:rsidR="002E3FE9" w:rsidRDefault="002E3FE9" w:rsidP="00BE3F24">
      <w:pPr>
        <w:rPr>
          <w:rFonts w:ascii="Arial" w:hAnsi="Arial"/>
        </w:rPr>
      </w:pPr>
    </w:p>
    <w:p w14:paraId="0750C6AA" w14:textId="77777777" w:rsidR="002E3FE9" w:rsidRDefault="002E3FE9" w:rsidP="00BE3F24">
      <w:pPr>
        <w:rPr>
          <w:rFonts w:ascii="Arial" w:hAnsi="Arial"/>
        </w:rPr>
      </w:pPr>
    </w:p>
    <w:p w14:paraId="40E212EB" w14:textId="77777777" w:rsidR="002E3FE9" w:rsidRDefault="002E3FE9" w:rsidP="00BE3F24">
      <w:pPr>
        <w:rPr>
          <w:rFonts w:ascii="Arial" w:hAnsi="Arial"/>
        </w:rPr>
      </w:pPr>
    </w:p>
    <w:p w14:paraId="3BFC8CD3" w14:textId="77777777" w:rsidR="002E3FE9" w:rsidRDefault="002E3FE9" w:rsidP="00BE3F24">
      <w:pPr>
        <w:rPr>
          <w:rFonts w:ascii="Arial" w:hAnsi="Arial"/>
        </w:rPr>
      </w:pPr>
    </w:p>
    <w:p w14:paraId="62B3511E" w14:textId="77777777" w:rsidR="002E3FE9" w:rsidRDefault="002E3FE9" w:rsidP="00BE3F24">
      <w:pPr>
        <w:rPr>
          <w:rFonts w:ascii="Arial" w:hAnsi="Arial"/>
        </w:rPr>
      </w:pPr>
    </w:p>
    <w:p w14:paraId="143BDD45" w14:textId="77777777" w:rsidR="002E3FE9" w:rsidRDefault="002E3FE9" w:rsidP="00BE3F24">
      <w:pPr>
        <w:rPr>
          <w:rFonts w:ascii="Arial" w:hAnsi="Arial"/>
        </w:rPr>
      </w:pPr>
    </w:p>
    <w:p w14:paraId="57A44CB9" w14:textId="77777777" w:rsidR="002E3FE9" w:rsidRDefault="002E3FE9" w:rsidP="00BE3F24">
      <w:pPr>
        <w:rPr>
          <w:rFonts w:ascii="Arial" w:hAnsi="Arial"/>
        </w:rPr>
      </w:pPr>
    </w:p>
    <w:p w14:paraId="552038F0" w14:textId="77777777" w:rsidR="002E3FE9" w:rsidRDefault="002E3FE9" w:rsidP="00BE3F24">
      <w:pPr>
        <w:rPr>
          <w:rFonts w:ascii="Arial" w:hAnsi="Arial"/>
        </w:rPr>
      </w:pPr>
    </w:p>
    <w:p w14:paraId="50351FF6" w14:textId="77777777" w:rsidR="002E3FE9" w:rsidRDefault="002E3FE9" w:rsidP="00BE3F24">
      <w:pPr>
        <w:rPr>
          <w:rFonts w:ascii="Arial" w:hAnsi="Arial"/>
        </w:rPr>
      </w:pPr>
    </w:p>
    <w:p w14:paraId="2117F2DE" w14:textId="77777777" w:rsidR="002E3FE9" w:rsidRDefault="002E3FE9" w:rsidP="00BE3F24">
      <w:pPr>
        <w:rPr>
          <w:rFonts w:ascii="Arial" w:hAnsi="Arial"/>
        </w:rPr>
      </w:pPr>
    </w:p>
    <w:p w14:paraId="2ECCE19A" w14:textId="77777777" w:rsidR="002E3FE9" w:rsidRDefault="002E3FE9" w:rsidP="00BE3F24">
      <w:pPr>
        <w:rPr>
          <w:rFonts w:ascii="Arial" w:hAnsi="Arial"/>
        </w:rPr>
      </w:pPr>
    </w:p>
    <w:p w14:paraId="04F79835" w14:textId="77777777" w:rsidR="002E3FE9" w:rsidRDefault="002E3FE9" w:rsidP="00BE3F24">
      <w:pPr>
        <w:rPr>
          <w:rFonts w:ascii="Arial" w:hAnsi="Arial"/>
        </w:rPr>
      </w:pPr>
    </w:p>
    <w:p w14:paraId="2996D2C4" w14:textId="77777777" w:rsidR="002E3FE9" w:rsidRPr="00336358" w:rsidRDefault="002E3FE9" w:rsidP="00BE3F24">
      <w:pPr>
        <w:rPr>
          <w:rFonts w:ascii="Arial" w:hAnsi="Arial"/>
          <w:b/>
          <w:u w:val="single"/>
        </w:rPr>
      </w:pPr>
      <w:r w:rsidRPr="00336358">
        <w:rPr>
          <w:rFonts w:ascii="Arial" w:hAnsi="Arial"/>
          <w:b/>
          <w:u w:val="single"/>
        </w:rPr>
        <w:t xml:space="preserve">Typical Section- Super-elevated with Shoulder Break </w:t>
      </w:r>
    </w:p>
    <w:p w14:paraId="1A2074CF" w14:textId="228D9693" w:rsidR="002E3FE9" w:rsidRDefault="002E3FE9" w:rsidP="00BE3F24">
      <w:pPr>
        <w:rPr>
          <w:rFonts w:ascii="Arial" w:hAnsi="Arial"/>
        </w:rPr>
      </w:pPr>
      <w:r>
        <w:rPr>
          <w:rFonts w:ascii="Arial" w:hAnsi="Arial"/>
          <w:noProof/>
        </w:rPr>
        <w:drawing>
          <wp:anchor distT="0" distB="0" distL="114300" distR="114300" simplePos="0" relativeHeight="251675136" behindDoc="0" locked="0" layoutInCell="1" allowOverlap="1" wp14:anchorId="12E7C0B9" wp14:editId="76D0820C">
            <wp:simplePos x="0" y="0"/>
            <wp:positionH relativeFrom="column">
              <wp:posOffset>-190500</wp:posOffset>
            </wp:positionH>
            <wp:positionV relativeFrom="paragraph">
              <wp:posOffset>77470</wp:posOffset>
            </wp:positionV>
            <wp:extent cx="6334125" cy="1661795"/>
            <wp:effectExtent l="19050" t="0" r="9525" b="0"/>
            <wp:wrapNone/>
            <wp:docPr id="38" name="Picture 1024" descr="Roadway section drainag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024" descr="Roadway section drainage diagram"/>
                    <pic:cNvPicPr>
                      <a:picLocks noChangeAspect="1" noChangeArrowheads="1"/>
                    </pic:cNvPicPr>
                  </pic:nvPicPr>
                  <pic:blipFill>
                    <a:blip r:embed="rId222" cstate="print"/>
                    <a:srcRect/>
                    <a:stretch>
                      <a:fillRect/>
                    </a:stretch>
                  </pic:blipFill>
                  <pic:spPr bwMode="auto">
                    <a:xfrm>
                      <a:off x="0" y="0"/>
                      <a:ext cx="6334125" cy="1661795"/>
                    </a:xfrm>
                    <a:prstGeom prst="rect">
                      <a:avLst/>
                    </a:prstGeom>
                    <a:noFill/>
                    <a:ln w="9525">
                      <a:noFill/>
                      <a:miter lim="800000"/>
                      <a:headEnd/>
                      <a:tailEnd/>
                    </a:ln>
                    <a:effectLst/>
                  </pic:spPr>
                </pic:pic>
              </a:graphicData>
            </a:graphic>
          </wp:anchor>
        </w:drawing>
      </w:r>
    </w:p>
    <w:p w14:paraId="6A2DE73D" w14:textId="77777777" w:rsidR="002E3FE9" w:rsidRDefault="002E3FE9" w:rsidP="00BE3F24">
      <w:pPr>
        <w:rPr>
          <w:rFonts w:ascii="Arial" w:hAnsi="Arial"/>
        </w:rPr>
      </w:pPr>
    </w:p>
    <w:p w14:paraId="7E0CF848" w14:textId="77777777" w:rsidR="002E3FE9" w:rsidRDefault="002E3FE9" w:rsidP="00BE3F24">
      <w:pPr>
        <w:rPr>
          <w:rFonts w:ascii="Arial" w:hAnsi="Arial"/>
        </w:rPr>
      </w:pPr>
    </w:p>
    <w:p w14:paraId="529DDC4A" w14:textId="77777777" w:rsidR="002E3FE9" w:rsidRDefault="002E3FE9" w:rsidP="00BE3F24">
      <w:pPr>
        <w:rPr>
          <w:rFonts w:ascii="Arial" w:hAnsi="Arial"/>
        </w:rPr>
      </w:pPr>
    </w:p>
    <w:p w14:paraId="0D18DFB9" w14:textId="77777777" w:rsidR="002E3FE9" w:rsidRDefault="002E3FE9" w:rsidP="00BE3F24">
      <w:pPr>
        <w:rPr>
          <w:rFonts w:ascii="Arial" w:hAnsi="Arial"/>
        </w:rPr>
      </w:pPr>
    </w:p>
    <w:p w14:paraId="0E4B71B6" w14:textId="77777777" w:rsidR="002E3FE9" w:rsidRDefault="002E3FE9" w:rsidP="00BE3F24">
      <w:pPr>
        <w:rPr>
          <w:rFonts w:ascii="Arial" w:hAnsi="Arial"/>
        </w:rPr>
      </w:pPr>
    </w:p>
    <w:p w14:paraId="7F55FAC0" w14:textId="77777777" w:rsidR="002E3FE9" w:rsidRDefault="002E3FE9" w:rsidP="00BE3F24">
      <w:pPr>
        <w:rPr>
          <w:rFonts w:ascii="Arial" w:hAnsi="Arial"/>
        </w:rPr>
      </w:pPr>
    </w:p>
    <w:p w14:paraId="20819B54" w14:textId="77777777" w:rsidR="002E3FE9" w:rsidRDefault="002E3FE9" w:rsidP="00BE3F24">
      <w:pPr>
        <w:rPr>
          <w:rFonts w:ascii="Arial" w:hAnsi="Arial"/>
        </w:rPr>
      </w:pPr>
    </w:p>
    <w:p w14:paraId="2730977F" w14:textId="77777777" w:rsidR="002E3FE9" w:rsidRDefault="002E3FE9" w:rsidP="00BE3F24">
      <w:pPr>
        <w:rPr>
          <w:rFonts w:ascii="Arial" w:hAnsi="Arial"/>
        </w:rPr>
      </w:pPr>
    </w:p>
    <w:p w14:paraId="0E309C89" w14:textId="77777777" w:rsidR="002E3FE9" w:rsidRDefault="002E3FE9" w:rsidP="00BE3F24">
      <w:pPr>
        <w:rPr>
          <w:rFonts w:ascii="Arial" w:hAnsi="Arial"/>
        </w:rPr>
      </w:pPr>
    </w:p>
    <w:p w14:paraId="79F1EC7D" w14:textId="77777777" w:rsidR="002E3FE9" w:rsidRDefault="002E3FE9" w:rsidP="00BE3F24">
      <w:pPr>
        <w:rPr>
          <w:rFonts w:ascii="Arial" w:hAnsi="Arial"/>
        </w:rPr>
      </w:pPr>
    </w:p>
    <w:p w14:paraId="510A6481" w14:textId="77777777" w:rsidR="002E3FE9" w:rsidRDefault="002E3FE9" w:rsidP="00BE3F24">
      <w:pPr>
        <w:rPr>
          <w:rFonts w:ascii="Arial" w:hAnsi="Arial"/>
        </w:rPr>
      </w:pPr>
    </w:p>
    <w:p w14:paraId="16BE94B0" w14:textId="77777777" w:rsidR="002E3FE9" w:rsidRDefault="002E3FE9" w:rsidP="00BE3F24">
      <w:pPr>
        <w:rPr>
          <w:rFonts w:ascii="Arial" w:hAnsi="Arial"/>
        </w:rPr>
      </w:pPr>
    </w:p>
    <w:p w14:paraId="285AE607" w14:textId="77777777" w:rsidR="002E3FE9" w:rsidRPr="00336358" w:rsidRDefault="002E3FE9" w:rsidP="00BE3F24">
      <w:pPr>
        <w:rPr>
          <w:rFonts w:ascii="Arial" w:hAnsi="Arial"/>
          <w:b/>
          <w:u w:val="single"/>
        </w:rPr>
      </w:pPr>
      <w:r w:rsidRPr="00336358">
        <w:rPr>
          <w:rFonts w:ascii="Arial" w:hAnsi="Arial"/>
          <w:b/>
          <w:u w:val="single"/>
        </w:rPr>
        <w:t>Typical Section- Divided Roadway</w:t>
      </w:r>
    </w:p>
    <w:p w14:paraId="423755F6" w14:textId="6EBC63F2" w:rsidR="002E3FE9" w:rsidRDefault="002E3FE9" w:rsidP="00BE3F24">
      <w:pPr>
        <w:rPr>
          <w:rFonts w:ascii="Arial" w:hAnsi="Arial"/>
        </w:rPr>
      </w:pPr>
      <w:r>
        <w:rPr>
          <w:rFonts w:ascii="Arial" w:hAnsi="Arial"/>
          <w:noProof/>
        </w:rPr>
        <w:drawing>
          <wp:anchor distT="0" distB="0" distL="114300" distR="114300" simplePos="0" relativeHeight="251668992" behindDoc="0" locked="0" layoutInCell="1" allowOverlap="1" wp14:anchorId="28075918" wp14:editId="3CD26DD4">
            <wp:simplePos x="0" y="0"/>
            <wp:positionH relativeFrom="column">
              <wp:posOffset>-224790</wp:posOffset>
            </wp:positionH>
            <wp:positionV relativeFrom="paragraph">
              <wp:posOffset>122555</wp:posOffset>
            </wp:positionV>
            <wp:extent cx="6379210" cy="1400810"/>
            <wp:effectExtent l="19050" t="0" r="2540" b="0"/>
            <wp:wrapNone/>
            <wp:docPr id="39" name="Picture 1020" descr="Roadway section drainag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020" descr="Roadway section drainage diagram"/>
                    <pic:cNvPicPr>
                      <a:picLocks noChangeAspect="1" noChangeArrowheads="1"/>
                    </pic:cNvPicPr>
                  </pic:nvPicPr>
                  <pic:blipFill>
                    <a:blip r:embed="rId223" cstate="print"/>
                    <a:srcRect/>
                    <a:stretch>
                      <a:fillRect/>
                    </a:stretch>
                  </pic:blipFill>
                  <pic:spPr bwMode="auto">
                    <a:xfrm>
                      <a:off x="0" y="0"/>
                      <a:ext cx="6379210" cy="1400810"/>
                    </a:xfrm>
                    <a:prstGeom prst="rect">
                      <a:avLst/>
                    </a:prstGeom>
                    <a:noFill/>
                    <a:ln w="9525">
                      <a:noFill/>
                      <a:miter lim="800000"/>
                      <a:headEnd/>
                      <a:tailEnd/>
                    </a:ln>
                    <a:effectLst/>
                  </pic:spPr>
                </pic:pic>
              </a:graphicData>
            </a:graphic>
          </wp:anchor>
        </w:drawing>
      </w:r>
    </w:p>
    <w:p w14:paraId="5FE999C7" w14:textId="77777777" w:rsidR="002E3FE9" w:rsidRDefault="002E3FE9" w:rsidP="00BE3F24">
      <w:pPr>
        <w:rPr>
          <w:rFonts w:ascii="Arial" w:hAnsi="Arial"/>
        </w:rPr>
      </w:pPr>
    </w:p>
    <w:p w14:paraId="1FBD5836" w14:textId="77777777" w:rsidR="002E3FE9" w:rsidRDefault="002E3FE9" w:rsidP="00BE3F24">
      <w:pPr>
        <w:rPr>
          <w:rFonts w:ascii="Arial" w:hAnsi="Arial"/>
        </w:rPr>
      </w:pPr>
    </w:p>
    <w:p w14:paraId="3DEDDF31" w14:textId="77777777" w:rsidR="002E3FE9" w:rsidRDefault="002E3FE9" w:rsidP="00BE3F24">
      <w:pPr>
        <w:rPr>
          <w:rFonts w:ascii="Arial" w:hAnsi="Arial"/>
        </w:rPr>
      </w:pPr>
    </w:p>
    <w:p w14:paraId="699830E4" w14:textId="77777777" w:rsidR="002E3FE9" w:rsidRDefault="002E3FE9" w:rsidP="00BE3F24">
      <w:pPr>
        <w:rPr>
          <w:rFonts w:ascii="Arial" w:hAnsi="Arial"/>
        </w:rPr>
      </w:pPr>
    </w:p>
    <w:p w14:paraId="0E988FB8" w14:textId="77777777" w:rsidR="002E3FE9" w:rsidRDefault="002E3FE9" w:rsidP="00BE3F24">
      <w:pPr>
        <w:rPr>
          <w:rFonts w:ascii="Arial" w:hAnsi="Arial"/>
        </w:rPr>
      </w:pPr>
    </w:p>
    <w:p w14:paraId="0DCE471C" w14:textId="77777777" w:rsidR="002E3FE9" w:rsidRDefault="002E3FE9" w:rsidP="00BE3F24">
      <w:pPr>
        <w:rPr>
          <w:rFonts w:ascii="Arial" w:hAnsi="Arial"/>
        </w:rPr>
      </w:pPr>
    </w:p>
    <w:p w14:paraId="3D8AB8AA" w14:textId="77777777" w:rsidR="002E3FE9" w:rsidRDefault="002E3FE9" w:rsidP="00BE3F24">
      <w:pPr>
        <w:rPr>
          <w:rFonts w:ascii="Arial" w:hAnsi="Arial"/>
        </w:rPr>
      </w:pPr>
    </w:p>
    <w:p w14:paraId="0DDB3424" w14:textId="77777777" w:rsidR="002E3FE9" w:rsidRDefault="002E3FE9" w:rsidP="00BE3F24">
      <w:pPr>
        <w:rPr>
          <w:rFonts w:ascii="Arial" w:hAnsi="Arial"/>
        </w:rPr>
      </w:pPr>
    </w:p>
    <w:p w14:paraId="2D6C0F83" w14:textId="77777777" w:rsidR="002E3FE9" w:rsidRDefault="002E3FE9" w:rsidP="00BE3F24">
      <w:pPr>
        <w:rPr>
          <w:rFonts w:ascii="Arial" w:hAnsi="Arial"/>
        </w:rPr>
      </w:pPr>
    </w:p>
    <w:p w14:paraId="259BE48A" w14:textId="77777777" w:rsidR="002E3FE9" w:rsidRDefault="002E3FE9" w:rsidP="00BE3F24">
      <w:pPr>
        <w:rPr>
          <w:rFonts w:ascii="Arial" w:hAnsi="Arial"/>
        </w:rPr>
      </w:pPr>
    </w:p>
    <w:p w14:paraId="689B54B4" w14:textId="77777777" w:rsidR="002E3FE9" w:rsidRDefault="002E3FE9" w:rsidP="00BE3F24">
      <w:pPr>
        <w:rPr>
          <w:rFonts w:ascii="Arial" w:hAnsi="Arial"/>
        </w:rPr>
      </w:pPr>
    </w:p>
    <w:p w14:paraId="2A0D5DAD" w14:textId="77777777" w:rsidR="002E3FE9" w:rsidRPr="00336358" w:rsidRDefault="002E3FE9" w:rsidP="00BE3F24">
      <w:pPr>
        <w:rPr>
          <w:rFonts w:ascii="Arial" w:hAnsi="Arial"/>
          <w:b/>
          <w:u w:val="single"/>
        </w:rPr>
      </w:pPr>
      <w:r w:rsidRPr="00336358">
        <w:rPr>
          <w:rFonts w:ascii="Arial" w:hAnsi="Arial"/>
          <w:b/>
          <w:u w:val="single"/>
        </w:rPr>
        <w:t>Typical Section- Divided Roadway and Super-elevated</w:t>
      </w:r>
    </w:p>
    <w:p w14:paraId="5DCF78FB" w14:textId="7747F617" w:rsidR="002E3FE9" w:rsidRDefault="002E3FE9" w:rsidP="00BE3F24">
      <w:pPr>
        <w:rPr>
          <w:rFonts w:ascii="Arial" w:hAnsi="Arial"/>
        </w:rPr>
      </w:pPr>
      <w:r>
        <w:rPr>
          <w:rFonts w:ascii="Arial" w:hAnsi="Arial"/>
          <w:noProof/>
        </w:rPr>
        <w:drawing>
          <wp:anchor distT="0" distB="0" distL="114300" distR="114300" simplePos="0" relativeHeight="251678208" behindDoc="0" locked="0" layoutInCell="1" allowOverlap="1" wp14:anchorId="216D970A" wp14:editId="388C0B39">
            <wp:simplePos x="0" y="0"/>
            <wp:positionH relativeFrom="column">
              <wp:posOffset>-228600</wp:posOffset>
            </wp:positionH>
            <wp:positionV relativeFrom="paragraph">
              <wp:posOffset>139701</wp:posOffset>
            </wp:positionV>
            <wp:extent cx="6306652" cy="1181100"/>
            <wp:effectExtent l="19050" t="0" r="0" b="0"/>
            <wp:wrapNone/>
            <wp:docPr id="40" name="Picture 1025" descr="Roadway section drainag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025" descr="Roadway section drainage diagram"/>
                    <pic:cNvPicPr>
                      <a:picLocks noChangeAspect="1" noChangeArrowheads="1"/>
                    </pic:cNvPicPr>
                  </pic:nvPicPr>
                  <pic:blipFill>
                    <a:blip r:embed="rId224" cstate="print"/>
                    <a:srcRect/>
                    <a:stretch>
                      <a:fillRect/>
                    </a:stretch>
                  </pic:blipFill>
                  <pic:spPr bwMode="auto">
                    <a:xfrm>
                      <a:off x="0" y="0"/>
                      <a:ext cx="6318250" cy="1183272"/>
                    </a:xfrm>
                    <a:prstGeom prst="rect">
                      <a:avLst/>
                    </a:prstGeom>
                    <a:noFill/>
                    <a:ln w="9525">
                      <a:noFill/>
                      <a:miter lim="800000"/>
                      <a:headEnd/>
                      <a:tailEnd/>
                    </a:ln>
                    <a:effectLst/>
                  </pic:spPr>
                </pic:pic>
              </a:graphicData>
            </a:graphic>
          </wp:anchor>
        </w:drawing>
      </w:r>
    </w:p>
    <w:p w14:paraId="7B612BCB" w14:textId="77777777" w:rsidR="002E3FE9" w:rsidRDefault="002E3FE9" w:rsidP="00BE3F24">
      <w:pPr>
        <w:rPr>
          <w:rFonts w:ascii="Arial" w:hAnsi="Arial"/>
        </w:rPr>
      </w:pPr>
    </w:p>
    <w:p w14:paraId="59D9F930" w14:textId="77777777" w:rsidR="002E3FE9" w:rsidRDefault="002E3FE9" w:rsidP="00BE3F24">
      <w:pPr>
        <w:rPr>
          <w:rFonts w:ascii="Arial" w:hAnsi="Arial"/>
        </w:rPr>
      </w:pPr>
    </w:p>
    <w:p w14:paraId="1A399CC0" w14:textId="77777777" w:rsidR="002E3FE9" w:rsidRDefault="002E3FE9" w:rsidP="00BE3F24">
      <w:pPr>
        <w:rPr>
          <w:rFonts w:ascii="Arial" w:hAnsi="Arial"/>
        </w:rPr>
      </w:pPr>
    </w:p>
    <w:p w14:paraId="2F3F4453" w14:textId="77777777" w:rsidR="002E3FE9" w:rsidRDefault="002E3FE9" w:rsidP="00BE3F24">
      <w:pPr>
        <w:rPr>
          <w:rFonts w:ascii="Arial" w:hAnsi="Arial"/>
        </w:rPr>
      </w:pPr>
    </w:p>
    <w:p w14:paraId="292CDE13" w14:textId="77777777" w:rsidR="002E3FE9" w:rsidRDefault="002E3FE9" w:rsidP="00BE3F24">
      <w:pPr>
        <w:rPr>
          <w:rFonts w:ascii="Arial" w:hAnsi="Arial"/>
        </w:rPr>
      </w:pPr>
    </w:p>
    <w:p w14:paraId="3950420A" w14:textId="77777777" w:rsidR="002E3FE9" w:rsidRDefault="002E3FE9" w:rsidP="00BE3F24">
      <w:pPr>
        <w:rPr>
          <w:rFonts w:ascii="Arial" w:hAnsi="Arial"/>
        </w:rPr>
      </w:pPr>
    </w:p>
    <w:p w14:paraId="570249E1" w14:textId="77777777" w:rsidR="002E3FE9" w:rsidRDefault="002E3FE9" w:rsidP="00BE3F24">
      <w:pPr>
        <w:rPr>
          <w:rFonts w:ascii="Arial" w:hAnsi="Arial"/>
        </w:rPr>
      </w:pPr>
    </w:p>
    <w:p w14:paraId="0DD92B30" w14:textId="77777777" w:rsidR="002E3FE9" w:rsidRDefault="002E3FE9" w:rsidP="00BE3F24">
      <w:pPr>
        <w:rPr>
          <w:rFonts w:ascii="Arial" w:hAnsi="Arial"/>
        </w:rPr>
      </w:pPr>
    </w:p>
    <w:p w14:paraId="5F5A79DF" w14:textId="77777777" w:rsidR="002E3FE9" w:rsidRDefault="002E3FE9" w:rsidP="00BE3F24">
      <w:pPr>
        <w:rPr>
          <w:rFonts w:ascii="Arial" w:hAnsi="Arial"/>
        </w:rPr>
      </w:pPr>
    </w:p>
    <w:p w14:paraId="2D024B03" w14:textId="77777777" w:rsidR="002E3FE9" w:rsidRPr="00336358" w:rsidRDefault="002E3FE9" w:rsidP="00BE3F24">
      <w:pPr>
        <w:rPr>
          <w:rFonts w:ascii="Arial" w:hAnsi="Arial"/>
          <w:b/>
          <w:u w:val="single"/>
        </w:rPr>
      </w:pPr>
      <w:r w:rsidRPr="00336358">
        <w:rPr>
          <w:rFonts w:ascii="Arial" w:hAnsi="Arial"/>
          <w:b/>
          <w:u w:val="single"/>
        </w:rPr>
        <w:t>Typical Section- Divided Roadway, Super-elevated with Shoulder Break</w:t>
      </w:r>
    </w:p>
    <w:p w14:paraId="4C047440" w14:textId="77777777" w:rsidR="002E3FE9" w:rsidRDefault="002E3FE9" w:rsidP="00BE3F24">
      <w:pPr>
        <w:rPr>
          <w:rFonts w:ascii="Arial" w:hAnsi="Arial"/>
        </w:rPr>
      </w:pPr>
    </w:p>
    <w:p w14:paraId="61ECA3FF" w14:textId="32FDAB82" w:rsidR="002E3FE9" w:rsidRDefault="002E3FE9" w:rsidP="00BE3F24">
      <w:pPr>
        <w:rPr>
          <w:rFonts w:ascii="Arial" w:hAnsi="Arial"/>
        </w:rPr>
      </w:pPr>
      <w:r>
        <w:rPr>
          <w:rFonts w:ascii="Arial" w:hAnsi="Arial"/>
          <w:noProof/>
        </w:rPr>
        <w:drawing>
          <wp:anchor distT="0" distB="0" distL="114300" distR="114300" simplePos="0" relativeHeight="251681280" behindDoc="0" locked="0" layoutInCell="1" allowOverlap="1" wp14:anchorId="5D0CC5ED" wp14:editId="7C5F4ADB">
            <wp:simplePos x="0" y="0"/>
            <wp:positionH relativeFrom="column">
              <wp:posOffset>-295275</wp:posOffset>
            </wp:positionH>
            <wp:positionV relativeFrom="paragraph">
              <wp:posOffset>51435</wp:posOffset>
            </wp:positionV>
            <wp:extent cx="6416040" cy="1580515"/>
            <wp:effectExtent l="19050" t="0" r="3810" b="0"/>
            <wp:wrapNone/>
            <wp:docPr id="41" name="Picture 1026" descr="Roadway section drainag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026" descr="Roadway section drainage diagram"/>
                    <pic:cNvPicPr>
                      <a:picLocks noChangeAspect="1" noChangeArrowheads="1"/>
                    </pic:cNvPicPr>
                  </pic:nvPicPr>
                  <pic:blipFill>
                    <a:blip r:embed="rId225" cstate="print"/>
                    <a:srcRect/>
                    <a:stretch>
                      <a:fillRect/>
                    </a:stretch>
                  </pic:blipFill>
                  <pic:spPr bwMode="auto">
                    <a:xfrm>
                      <a:off x="0" y="0"/>
                      <a:ext cx="6416040" cy="1580515"/>
                    </a:xfrm>
                    <a:prstGeom prst="rect">
                      <a:avLst/>
                    </a:prstGeom>
                    <a:noFill/>
                    <a:ln w="9525">
                      <a:noFill/>
                      <a:miter lim="800000"/>
                      <a:headEnd/>
                      <a:tailEnd/>
                    </a:ln>
                    <a:effectLst/>
                  </pic:spPr>
                </pic:pic>
              </a:graphicData>
            </a:graphic>
          </wp:anchor>
        </w:drawing>
      </w:r>
    </w:p>
    <w:p w14:paraId="4E5C6B4A" w14:textId="77777777" w:rsidR="002E3FE9" w:rsidRDefault="002E3FE9" w:rsidP="00BE3F24">
      <w:pPr>
        <w:rPr>
          <w:rFonts w:ascii="Arial" w:hAnsi="Arial"/>
        </w:rPr>
      </w:pPr>
    </w:p>
    <w:p w14:paraId="4A8CE72D" w14:textId="77777777" w:rsidR="002E3FE9" w:rsidRDefault="002E3FE9" w:rsidP="00BE3F24">
      <w:pPr>
        <w:rPr>
          <w:rFonts w:ascii="Arial" w:hAnsi="Arial"/>
        </w:rPr>
      </w:pPr>
    </w:p>
    <w:p w14:paraId="1A8D7567" w14:textId="77777777" w:rsidR="002E3FE9" w:rsidRDefault="002E3FE9" w:rsidP="00BE3F24">
      <w:pPr>
        <w:rPr>
          <w:rFonts w:ascii="Arial" w:hAnsi="Arial"/>
        </w:rPr>
      </w:pPr>
    </w:p>
    <w:p w14:paraId="3FDDB1E8" w14:textId="77777777" w:rsidR="002E3FE9" w:rsidRDefault="002E3FE9" w:rsidP="00BE3F24">
      <w:pPr>
        <w:rPr>
          <w:rFonts w:ascii="Arial" w:hAnsi="Arial"/>
        </w:rPr>
      </w:pPr>
    </w:p>
    <w:p w14:paraId="36FEE1AE" w14:textId="77777777" w:rsidR="002E3FE9" w:rsidRDefault="002E3FE9" w:rsidP="00BE3F24">
      <w:pPr>
        <w:rPr>
          <w:rFonts w:ascii="Arial" w:hAnsi="Arial"/>
        </w:rPr>
      </w:pPr>
    </w:p>
    <w:p w14:paraId="6B24A63A" w14:textId="77777777" w:rsidR="002E3FE9" w:rsidRDefault="002E3FE9" w:rsidP="00BE3F24">
      <w:pPr>
        <w:rPr>
          <w:rFonts w:ascii="Arial" w:hAnsi="Arial"/>
        </w:rPr>
      </w:pPr>
    </w:p>
    <w:p w14:paraId="7809ECFD" w14:textId="77777777" w:rsidR="002E3FE9" w:rsidRDefault="002E3FE9" w:rsidP="00BE3F24">
      <w:pPr>
        <w:rPr>
          <w:rFonts w:ascii="Arial" w:hAnsi="Arial"/>
        </w:rPr>
      </w:pPr>
    </w:p>
    <w:p w14:paraId="2FD591BC" w14:textId="77777777" w:rsidR="002E3FE9" w:rsidRDefault="002E3FE9" w:rsidP="00BE3F24">
      <w:pPr>
        <w:rPr>
          <w:rFonts w:ascii="Arial" w:hAnsi="Arial"/>
        </w:rPr>
      </w:pPr>
    </w:p>
    <w:p w14:paraId="2F449B76" w14:textId="77777777" w:rsidR="002E3FE9" w:rsidRDefault="002E3FE9" w:rsidP="00BE3F24">
      <w:pPr>
        <w:rPr>
          <w:rFonts w:ascii="Arial" w:hAnsi="Arial"/>
        </w:rPr>
      </w:pPr>
    </w:p>
    <w:p w14:paraId="760CC040" w14:textId="77777777" w:rsidR="002E3FE9" w:rsidRDefault="002E3FE9" w:rsidP="00BE3F24">
      <w:pPr>
        <w:rPr>
          <w:rFonts w:ascii="Arial" w:hAnsi="Arial"/>
        </w:rPr>
      </w:pPr>
    </w:p>
    <w:p w14:paraId="623854E7" w14:textId="77777777" w:rsidR="00D454BD" w:rsidRDefault="002E3FE9" w:rsidP="00172E64">
      <w:pPr>
        <w:pStyle w:val="Heading3"/>
        <w:numPr>
          <w:ilvl w:val="2"/>
          <w:numId w:val="184"/>
        </w:numPr>
        <w:tabs>
          <w:tab w:val="left" w:pos="1440"/>
        </w:tabs>
        <w:ind w:left="0" w:firstLine="0"/>
      </w:pPr>
      <w:r>
        <w:t xml:space="preserve">Karst Topography </w:t>
      </w:r>
    </w:p>
    <w:p w14:paraId="261E1349" w14:textId="27E0E0E5" w:rsidR="002E3FE9" w:rsidRDefault="002E3FE9" w:rsidP="00F22558">
      <w:pPr>
        <w:jc w:val="both"/>
        <w:rPr>
          <w:rFonts w:ascii="Arial" w:hAnsi="Arial"/>
        </w:rPr>
      </w:pPr>
      <w:r>
        <w:rPr>
          <w:rFonts w:ascii="Arial" w:hAnsi="Arial"/>
          <w:sz w:val="22"/>
          <w:szCs w:val="22"/>
        </w:rPr>
        <w:t>Karst topography poses some interesting challenges with any type of pavement drainage, especially pavement drainage.  The introduction of collected water from a pavement structure into a water</w:t>
      </w:r>
      <w:r w:rsidR="00921EA3">
        <w:rPr>
          <w:rFonts w:ascii="Arial" w:hAnsi="Arial"/>
          <w:sz w:val="22"/>
          <w:szCs w:val="22"/>
        </w:rPr>
        <w:t>-</w:t>
      </w:r>
      <w:r>
        <w:rPr>
          <w:rFonts w:ascii="Arial" w:hAnsi="Arial"/>
          <w:sz w:val="22"/>
          <w:szCs w:val="22"/>
        </w:rPr>
        <w:t xml:space="preserve">sensitive area of karst creates the potential increase of sinkholes.  The engineer should develop and design the subsurface drainage needs of the roadway based on the needs of the facility.  The potential risk and remediation needs for karst topography need to be coordinated with </w:t>
      </w:r>
      <w:r w:rsidR="00921EA3">
        <w:rPr>
          <w:rFonts w:ascii="Arial" w:hAnsi="Arial"/>
          <w:sz w:val="22"/>
          <w:szCs w:val="22"/>
        </w:rPr>
        <w:t xml:space="preserve">the </w:t>
      </w:r>
      <w:r>
        <w:rPr>
          <w:rFonts w:ascii="Arial" w:hAnsi="Arial"/>
          <w:sz w:val="22"/>
          <w:szCs w:val="22"/>
        </w:rPr>
        <w:t>Engineering Geology Division.  Therefore</w:t>
      </w:r>
      <w:r w:rsidR="00921EA3">
        <w:rPr>
          <w:rFonts w:ascii="Arial" w:hAnsi="Arial"/>
          <w:sz w:val="22"/>
          <w:szCs w:val="22"/>
        </w:rPr>
        <w:t>,</w:t>
      </w:r>
      <w:r>
        <w:rPr>
          <w:rFonts w:ascii="Arial" w:hAnsi="Arial"/>
          <w:sz w:val="22"/>
          <w:szCs w:val="22"/>
        </w:rPr>
        <w:t xml:space="preserve"> coordination and review by representatives from the Engineering Geology Division are required.  </w:t>
      </w:r>
    </w:p>
    <w:p w14:paraId="6AD6AA8A" w14:textId="77777777" w:rsidR="00D454BD" w:rsidRDefault="002E3FE9" w:rsidP="00172E64">
      <w:pPr>
        <w:pStyle w:val="Heading3"/>
        <w:numPr>
          <w:ilvl w:val="2"/>
          <w:numId w:val="184"/>
        </w:numPr>
        <w:ind w:left="0" w:firstLine="0"/>
      </w:pPr>
      <w:r>
        <w:t xml:space="preserve">Raised Grass Median </w:t>
      </w:r>
    </w:p>
    <w:p w14:paraId="485953DD" w14:textId="5D7A2C90" w:rsidR="002E3FE9" w:rsidRDefault="002E3FE9" w:rsidP="00F22558">
      <w:pPr>
        <w:jc w:val="both"/>
        <w:rPr>
          <w:rFonts w:ascii="Arial" w:hAnsi="Arial"/>
        </w:rPr>
      </w:pPr>
      <w:r>
        <w:rPr>
          <w:rFonts w:ascii="Arial" w:hAnsi="Arial"/>
          <w:sz w:val="22"/>
          <w:szCs w:val="22"/>
        </w:rPr>
        <w:t xml:space="preserve">A raised grass median presents an interesting challenge for pavement drainage during the winter months.  Snow and ice plowed from the roadway </w:t>
      </w:r>
      <w:r w:rsidR="00921EA3">
        <w:rPr>
          <w:rFonts w:ascii="Arial" w:hAnsi="Arial"/>
          <w:sz w:val="22"/>
          <w:szCs w:val="22"/>
        </w:rPr>
        <w:t xml:space="preserve">are </w:t>
      </w:r>
      <w:r>
        <w:rPr>
          <w:rFonts w:ascii="Arial" w:hAnsi="Arial"/>
          <w:sz w:val="22"/>
          <w:szCs w:val="22"/>
        </w:rPr>
        <w:t>piled onto the grass median area.  The melting snow in the median poses icy hazardous conditions because the water has nowhere to drain during times when the subgrade is frozen and has low permeability.  The water from the melting snow makes its way across the pavement surface and then may freeze.  Longitudinal underdrain</w:t>
      </w:r>
      <w:r w:rsidR="00921EA3">
        <w:rPr>
          <w:rFonts w:ascii="Arial" w:hAnsi="Arial"/>
          <w:sz w:val="22"/>
          <w:szCs w:val="22"/>
        </w:rPr>
        <w:t>s</w:t>
      </w:r>
      <w:r>
        <w:rPr>
          <w:rFonts w:ascii="Arial" w:hAnsi="Arial"/>
          <w:sz w:val="22"/>
          <w:szCs w:val="22"/>
        </w:rPr>
        <w:t xml:space="preserve"> should be placed in raised grass medians to prevent this situation from occurring.  The number of lines will be depende</w:t>
      </w:r>
      <w:r w:rsidR="00921EA3">
        <w:rPr>
          <w:rFonts w:ascii="Arial" w:hAnsi="Arial"/>
          <w:sz w:val="22"/>
          <w:szCs w:val="22"/>
        </w:rPr>
        <w:t>nt</w:t>
      </w:r>
      <w:r>
        <w:rPr>
          <w:rFonts w:ascii="Arial" w:hAnsi="Arial"/>
          <w:sz w:val="22"/>
          <w:szCs w:val="22"/>
        </w:rPr>
        <w:t xml:space="preserve"> on the width of the median and the availability of drainage structures </w:t>
      </w:r>
      <w:r w:rsidRPr="00C22551">
        <w:rPr>
          <w:rFonts w:ascii="Arial" w:hAnsi="Arial"/>
          <w:sz w:val="22"/>
          <w:szCs w:val="22"/>
        </w:rPr>
        <w:t>to outlet pipes.</w:t>
      </w:r>
      <w:r>
        <w:rPr>
          <w:rFonts w:ascii="Arial" w:hAnsi="Arial"/>
          <w:sz w:val="22"/>
          <w:szCs w:val="22"/>
        </w:rPr>
        <w:t xml:space="preserve">  The line should be placed behind the curb and</w:t>
      </w:r>
      <w:r w:rsidR="00921EA3">
        <w:rPr>
          <w:rFonts w:ascii="Arial" w:hAnsi="Arial"/>
          <w:sz w:val="22"/>
          <w:szCs w:val="22"/>
        </w:rPr>
        <w:t xml:space="preserve"> a</w:t>
      </w:r>
      <w:r>
        <w:rPr>
          <w:rFonts w:ascii="Arial" w:hAnsi="Arial"/>
          <w:sz w:val="22"/>
          <w:szCs w:val="22"/>
        </w:rPr>
        <w:t xml:space="preserve"> single line down the center of the median.    </w:t>
      </w:r>
    </w:p>
    <w:p w14:paraId="25F31622" w14:textId="77777777" w:rsidR="00D454BD" w:rsidRDefault="002E3FE9" w:rsidP="00172E64">
      <w:pPr>
        <w:pStyle w:val="Heading3"/>
        <w:numPr>
          <w:ilvl w:val="2"/>
          <w:numId w:val="184"/>
        </w:numPr>
        <w:ind w:left="0" w:firstLine="0"/>
      </w:pPr>
      <w:r>
        <w:t xml:space="preserve">Guardrail Placement </w:t>
      </w:r>
    </w:p>
    <w:p w14:paraId="79A4EFD0" w14:textId="77777777" w:rsidR="002E3FE9" w:rsidRDefault="002E3FE9" w:rsidP="00F22558">
      <w:pPr>
        <w:jc w:val="both"/>
        <w:rPr>
          <w:rFonts w:ascii="Arial" w:hAnsi="Arial"/>
          <w:sz w:val="22"/>
          <w:szCs w:val="22"/>
        </w:rPr>
      </w:pPr>
      <w:r>
        <w:rPr>
          <w:rFonts w:ascii="Arial" w:hAnsi="Arial"/>
          <w:sz w:val="22"/>
          <w:szCs w:val="22"/>
        </w:rPr>
        <w:t xml:space="preserve">In cases where longitudinal underdrain is to placed, care must be taken to ensure guardrail posts are not driven through the pipe of the underdrain.  This is especially challenging in limited space condition cases with a closed section and guardrail.  The longitudinal underdrain can be moved to under the curb if space is limited. </w:t>
      </w:r>
    </w:p>
    <w:p w14:paraId="4790FA1E" w14:textId="77777777" w:rsidR="00703966" w:rsidRPr="00035C82" w:rsidRDefault="00703966" w:rsidP="00172E64">
      <w:pPr>
        <w:pStyle w:val="Heading3"/>
        <w:numPr>
          <w:ilvl w:val="2"/>
          <w:numId w:val="184"/>
        </w:numPr>
        <w:ind w:left="0" w:firstLine="0"/>
      </w:pPr>
      <w:r>
        <w:lastRenderedPageBreak/>
        <w:t>Pre-Fabricat</w:t>
      </w:r>
      <w:r w:rsidR="004609BC">
        <w:t>ed</w:t>
      </w:r>
      <w:r>
        <w:t xml:space="preserve"> Edge Drains</w:t>
      </w:r>
    </w:p>
    <w:p w14:paraId="1FD83EF8" w14:textId="7E00AF75" w:rsidR="00703966" w:rsidRDefault="00703966" w:rsidP="00F22558">
      <w:pPr>
        <w:jc w:val="both"/>
        <w:rPr>
          <w:rFonts w:ascii="Arial" w:hAnsi="Arial"/>
          <w:sz w:val="22"/>
          <w:szCs w:val="22"/>
        </w:rPr>
      </w:pPr>
      <w:r>
        <w:rPr>
          <w:rFonts w:ascii="Arial" w:hAnsi="Arial"/>
          <w:sz w:val="22"/>
          <w:szCs w:val="22"/>
        </w:rPr>
        <w:t>Pre</w:t>
      </w:r>
      <w:r w:rsidR="00921EA3">
        <w:rPr>
          <w:rFonts w:ascii="Arial" w:hAnsi="Arial"/>
          <w:sz w:val="22"/>
          <w:szCs w:val="22"/>
        </w:rPr>
        <w:t>-</w:t>
      </w:r>
      <w:r>
        <w:rPr>
          <w:rFonts w:ascii="Arial" w:hAnsi="Arial"/>
          <w:sz w:val="22"/>
          <w:szCs w:val="22"/>
        </w:rPr>
        <w:t>fabricated edge drains are a type of pavement drainage that function</w:t>
      </w:r>
      <w:r w:rsidR="00921EA3">
        <w:rPr>
          <w:rFonts w:ascii="Arial" w:hAnsi="Arial"/>
          <w:sz w:val="22"/>
          <w:szCs w:val="22"/>
        </w:rPr>
        <w:t>s</w:t>
      </w:r>
      <w:r>
        <w:rPr>
          <w:rFonts w:ascii="Arial" w:hAnsi="Arial"/>
          <w:sz w:val="22"/>
          <w:szCs w:val="22"/>
        </w:rPr>
        <w:t xml:space="preserve"> in the same manner as longitudinal underdrain in that they are designed to only drain the pavement.  A pre-fabricated edge drain is generally placed after construction and after the pavement has been in service.  They are generally used to handle conditions where the water amount is low.  </w:t>
      </w:r>
    </w:p>
    <w:p w14:paraId="45F4836A" w14:textId="77777777" w:rsidR="00703966" w:rsidRPr="00035C82" w:rsidRDefault="00703966" w:rsidP="00172E64">
      <w:pPr>
        <w:pStyle w:val="Heading3"/>
        <w:numPr>
          <w:ilvl w:val="2"/>
          <w:numId w:val="184"/>
        </w:numPr>
        <w:ind w:left="0" w:firstLine="0"/>
      </w:pPr>
      <w:r>
        <w:t>Open Graded Base</w:t>
      </w:r>
    </w:p>
    <w:p w14:paraId="506252BF" w14:textId="67E22607" w:rsidR="00703966" w:rsidRDefault="00703966" w:rsidP="00F22558">
      <w:pPr>
        <w:jc w:val="both"/>
        <w:rPr>
          <w:rFonts w:ascii="Arial" w:hAnsi="Arial"/>
          <w:sz w:val="22"/>
          <w:szCs w:val="22"/>
        </w:rPr>
      </w:pPr>
      <w:r>
        <w:rPr>
          <w:rFonts w:ascii="Arial" w:hAnsi="Arial"/>
          <w:sz w:val="22"/>
          <w:szCs w:val="22"/>
        </w:rPr>
        <w:t xml:space="preserve">An open graded base (OGB) is a free draining pavement base layer used for pavement drainage.  </w:t>
      </w:r>
      <w:r w:rsidRPr="00EE1E8F">
        <w:rPr>
          <w:rFonts w:ascii="Arial" w:hAnsi="Arial"/>
          <w:sz w:val="22"/>
          <w:szCs w:val="22"/>
        </w:rPr>
        <w:t>OGB is a stabilized mix using either asphalt or cement concrete</w:t>
      </w:r>
      <w:r>
        <w:rPr>
          <w:rFonts w:ascii="Arial" w:hAnsi="Arial"/>
          <w:sz w:val="22"/>
          <w:szCs w:val="22"/>
        </w:rPr>
        <w:t xml:space="preserve">.  </w:t>
      </w:r>
      <w:r w:rsidRPr="00EE1E8F">
        <w:rPr>
          <w:rFonts w:ascii="Arial" w:hAnsi="Arial"/>
          <w:sz w:val="22"/>
          <w:szCs w:val="22"/>
        </w:rPr>
        <w:t>OGB should be used to control water infiltrating through the pavement surface only</w:t>
      </w:r>
      <w:r w:rsidR="00921EA3">
        <w:rPr>
          <w:rFonts w:ascii="Arial" w:hAnsi="Arial"/>
          <w:sz w:val="22"/>
          <w:szCs w:val="22"/>
        </w:rPr>
        <w:t>,</w:t>
      </w:r>
      <w:r>
        <w:rPr>
          <w:rFonts w:ascii="Arial" w:hAnsi="Arial"/>
          <w:sz w:val="22"/>
          <w:szCs w:val="22"/>
        </w:rPr>
        <w:t xml:space="preserve"> and it</w:t>
      </w:r>
      <w:r w:rsidRPr="00EE1E8F">
        <w:rPr>
          <w:rFonts w:ascii="Arial" w:hAnsi="Arial"/>
          <w:sz w:val="22"/>
          <w:szCs w:val="22"/>
        </w:rPr>
        <w:t xml:space="preserve"> should not be used to correct a high water table problem.</w:t>
      </w:r>
      <w:r>
        <w:rPr>
          <w:rFonts w:ascii="Arial" w:hAnsi="Arial"/>
          <w:sz w:val="22"/>
          <w:szCs w:val="22"/>
        </w:rPr>
        <w:t xml:space="preserve">  </w:t>
      </w:r>
      <w:r w:rsidRPr="00EE1E8F">
        <w:rPr>
          <w:rFonts w:ascii="Arial" w:hAnsi="Arial"/>
          <w:sz w:val="22"/>
          <w:szCs w:val="22"/>
        </w:rPr>
        <w:t xml:space="preserve">All </w:t>
      </w:r>
      <w:smartTag w:uri="urn:schemas-microsoft-com:office:smarttags" w:element="stockticker">
        <w:r w:rsidRPr="00EE1E8F">
          <w:rPr>
            <w:rFonts w:ascii="Arial" w:hAnsi="Arial"/>
            <w:sz w:val="22"/>
            <w:szCs w:val="22"/>
          </w:rPr>
          <w:t>PCC</w:t>
        </w:r>
      </w:smartTag>
      <w:r w:rsidRPr="00EE1E8F">
        <w:rPr>
          <w:rFonts w:ascii="Arial" w:hAnsi="Arial"/>
          <w:sz w:val="22"/>
          <w:szCs w:val="22"/>
        </w:rPr>
        <w:t xml:space="preserve"> pavements will be considered for OGB and </w:t>
      </w:r>
      <w:r>
        <w:rPr>
          <w:rFonts w:ascii="Arial" w:hAnsi="Arial"/>
          <w:sz w:val="22"/>
          <w:szCs w:val="22"/>
        </w:rPr>
        <w:t>l</w:t>
      </w:r>
      <w:r w:rsidRPr="00EE1E8F">
        <w:rPr>
          <w:rFonts w:ascii="Arial" w:hAnsi="Arial"/>
          <w:sz w:val="22"/>
          <w:szCs w:val="22"/>
        </w:rPr>
        <w:t xml:space="preserve">ongitudinal </w:t>
      </w:r>
      <w:r>
        <w:rPr>
          <w:rFonts w:ascii="Arial" w:hAnsi="Arial"/>
          <w:sz w:val="22"/>
          <w:szCs w:val="22"/>
        </w:rPr>
        <w:t>u</w:t>
      </w:r>
      <w:r w:rsidRPr="00EE1E8F">
        <w:rPr>
          <w:rFonts w:ascii="Arial" w:hAnsi="Arial"/>
          <w:sz w:val="22"/>
          <w:szCs w:val="22"/>
        </w:rPr>
        <w:t>nderdrain.  Generally OGB shall not be used with flexible pavements.</w:t>
      </w:r>
      <w:r>
        <w:rPr>
          <w:rFonts w:ascii="Arial" w:hAnsi="Arial"/>
          <w:sz w:val="22"/>
          <w:szCs w:val="22"/>
        </w:rPr>
        <w:t xml:space="preserve">  </w:t>
      </w:r>
      <w:r w:rsidRPr="00EE1E8F">
        <w:rPr>
          <w:rFonts w:ascii="Arial" w:hAnsi="Arial"/>
          <w:sz w:val="22"/>
          <w:szCs w:val="22"/>
        </w:rPr>
        <w:t xml:space="preserve">Truck traffic and </w:t>
      </w:r>
      <w:r>
        <w:rPr>
          <w:rFonts w:ascii="Arial" w:hAnsi="Arial"/>
          <w:sz w:val="22"/>
          <w:szCs w:val="22"/>
        </w:rPr>
        <w:t>s</w:t>
      </w:r>
      <w:r w:rsidRPr="00EE1E8F">
        <w:rPr>
          <w:rFonts w:ascii="Arial" w:hAnsi="Arial"/>
          <w:sz w:val="22"/>
          <w:szCs w:val="22"/>
        </w:rPr>
        <w:t>oil type shall also be considered when evaluating the need for OGB.  Silty and clayey soils are prime candidates for use of OGB.</w:t>
      </w:r>
      <w:r>
        <w:rPr>
          <w:rFonts w:ascii="Arial" w:hAnsi="Arial"/>
          <w:sz w:val="22"/>
          <w:szCs w:val="22"/>
        </w:rPr>
        <w:t xml:space="preserve">  The presence of g</w:t>
      </w:r>
      <w:r w:rsidRPr="00EE1E8F">
        <w:rPr>
          <w:rFonts w:ascii="Arial" w:hAnsi="Arial"/>
          <w:sz w:val="22"/>
          <w:szCs w:val="22"/>
        </w:rPr>
        <w:t>ood vertical drainage</w:t>
      </w:r>
      <w:r>
        <w:rPr>
          <w:rFonts w:ascii="Arial" w:hAnsi="Arial"/>
          <w:sz w:val="22"/>
          <w:szCs w:val="22"/>
        </w:rPr>
        <w:t xml:space="preserve"> from </w:t>
      </w:r>
      <w:r w:rsidRPr="00EE1E8F">
        <w:rPr>
          <w:rFonts w:ascii="Arial" w:hAnsi="Arial"/>
          <w:sz w:val="22"/>
          <w:szCs w:val="22"/>
        </w:rPr>
        <w:t xml:space="preserve">clean sands and gravels for a considerable depth at </w:t>
      </w:r>
      <w:r>
        <w:rPr>
          <w:rFonts w:ascii="Arial" w:hAnsi="Arial"/>
          <w:sz w:val="22"/>
          <w:szCs w:val="22"/>
        </w:rPr>
        <w:t xml:space="preserve">the top of </w:t>
      </w:r>
      <w:r w:rsidRPr="00EE1E8F">
        <w:rPr>
          <w:rFonts w:ascii="Arial" w:hAnsi="Arial"/>
          <w:sz w:val="22"/>
          <w:szCs w:val="22"/>
        </w:rPr>
        <w:t>subgrade may diminish the need for OGB provided that the base course used is not erodible and permeable (greater than 1x10</w:t>
      </w:r>
      <w:r w:rsidRPr="00336358">
        <w:rPr>
          <w:rFonts w:ascii="Arial" w:hAnsi="Arial"/>
          <w:sz w:val="22"/>
          <w:vertAlign w:val="superscript"/>
        </w:rPr>
        <w:t>-3</w:t>
      </w:r>
      <w:r w:rsidRPr="00EE1E8F">
        <w:rPr>
          <w:rFonts w:ascii="Arial" w:hAnsi="Arial"/>
          <w:sz w:val="22"/>
          <w:szCs w:val="22"/>
        </w:rPr>
        <w:t xml:space="preserve"> cm/sec).</w:t>
      </w:r>
      <w:r>
        <w:rPr>
          <w:rFonts w:ascii="Arial" w:hAnsi="Arial"/>
          <w:sz w:val="22"/>
          <w:szCs w:val="22"/>
        </w:rPr>
        <w:t xml:space="preserve">  When OGB is used</w:t>
      </w:r>
      <w:r w:rsidR="00921EA3">
        <w:rPr>
          <w:rFonts w:ascii="Arial" w:hAnsi="Arial"/>
          <w:sz w:val="22"/>
          <w:szCs w:val="22"/>
        </w:rPr>
        <w:t>,</w:t>
      </w:r>
      <w:r>
        <w:rPr>
          <w:rFonts w:ascii="Arial" w:hAnsi="Arial"/>
          <w:sz w:val="22"/>
          <w:szCs w:val="22"/>
        </w:rPr>
        <w:t xml:space="preserve"> it shall be a </w:t>
      </w:r>
      <w:r w:rsidRPr="00EE1E8F">
        <w:rPr>
          <w:rFonts w:ascii="Arial" w:hAnsi="Arial"/>
          <w:sz w:val="22"/>
          <w:szCs w:val="22"/>
        </w:rPr>
        <w:t>4</w:t>
      </w:r>
      <w:r w:rsidR="006834C7">
        <w:rPr>
          <w:rFonts w:ascii="Arial" w:hAnsi="Arial"/>
          <w:sz w:val="22"/>
          <w:szCs w:val="22"/>
        </w:rPr>
        <w:t xml:space="preserve">" </w:t>
      </w:r>
      <w:r w:rsidRPr="00EE1E8F">
        <w:rPr>
          <w:rFonts w:ascii="Arial" w:hAnsi="Arial"/>
          <w:sz w:val="22"/>
          <w:szCs w:val="22"/>
        </w:rPr>
        <w:t xml:space="preserve">layer beneath </w:t>
      </w:r>
      <w:smartTag w:uri="urn:schemas-microsoft-com:office:smarttags" w:element="stockticker">
        <w:r w:rsidRPr="00EE1E8F">
          <w:rPr>
            <w:rFonts w:ascii="Arial" w:hAnsi="Arial"/>
            <w:sz w:val="22"/>
            <w:szCs w:val="22"/>
          </w:rPr>
          <w:t>PCC</w:t>
        </w:r>
      </w:smartTag>
      <w:r w:rsidRPr="00EE1E8F">
        <w:rPr>
          <w:rFonts w:ascii="Arial" w:hAnsi="Arial"/>
          <w:sz w:val="22"/>
          <w:szCs w:val="22"/>
        </w:rPr>
        <w:t xml:space="preserve"> roadway placed on a Graded Aggrega</w:t>
      </w:r>
      <w:r>
        <w:rPr>
          <w:rFonts w:ascii="Arial" w:hAnsi="Arial"/>
          <w:sz w:val="22"/>
          <w:szCs w:val="22"/>
        </w:rPr>
        <w:t xml:space="preserve">te Base coupled with the use of </w:t>
      </w:r>
      <w:r w:rsidRPr="00EE1E8F">
        <w:rPr>
          <w:rFonts w:ascii="Arial" w:hAnsi="Arial"/>
          <w:sz w:val="22"/>
          <w:szCs w:val="22"/>
        </w:rPr>
        <w:t>longitudinal underdrain to provide an outlet for water.</w:t>
      </w:r>
      <w:r>
        <w:rPr>
          <w:rFonts w:ascii="Arial" w:hAnsi="Arial"/>
          <w:sz w:val="22"/>
          <w:szCs w:val="22"/>
        </w:rPr>
        <w:t xml:space="preserve">    </w:t>
      </w:r>
    </w:p>
    <w:p w14:paraId="670D5009" w14:textId="77777777" w:rsidR="00703966" w:rsidRDefault="00703966" w:rsidP="00F22558">
      <w:pPr>
        <w:jc w:val="both"/>
        <w:rPr>
          <w:rFonts w:ascii="Arial" w:hAnsi="Arial"/>
          <w:sz w:val="22"/>
          <w:szCs w:val="22"/>
        </w:rPr>
      </w:pPr>
    </w:p>
    <w:p w14:paraId="04C463A2" w14:textId="77777777" w:rsidR="00703966" w:rsidRDefault="00703966" w:rsidP="00BE3F24">
      <w:pPr>
        <w:rPr>
          <w:rFonts w:ascii="Arial" w:hAnsi="Arial"/>
          <w:sz w:val="22"/>
          <w:szCs w:val="22"/>
        </w:rPr>
      </w:pPr>
    </w:p>
    <w:p w14:paraId="7D2EE2B6" w14:textId="77777777" w:rsidR="00703966" w:rsidRDefault="00703966" w:rsidP="00BE3F24">
      <w:pPr>
        <w:rPr>
          <w:rFonts w:ascii="Arial" w:hAnsi="Arial"/>
          <w:sz w:val="22"/>
          <w:szCs w:val="22"/>
        </w:rPr>
        <w:sectPr w:rsidR="00703966" w:rsidSect="008445BF">
          <w:headerReference w:type="default" r:id="rId226"/>
          <w:footerReference w:type="default" r:id="rId227"/>
          <w:pgSz w:w="12240" w:h="15840"/>
          <w:pgMar w:top="1440" w:right="1800" w:bottom="1440" w:left="1800" w:header="720" w:footer="720" w:gutter="0"/>
          <w:pgNumType w:chapStyle="1"/>
          <w:cols w:space="720"/>
          <w:docGrid w:linePitch="272"/>
        </w:sectPr>
      </w:pPr>
    </w:p>
    <w:p w14:paraId="0ABC6E69" w14:textId="44CEFCD6" w:rsidR="002E3FE9" w:rsidRDefault="002E3FE9" w:rsidP="00172E64">
      <w:pPr>
        <w:pStyle w:val="Heading2"/>
        <w:numPr>
          <w:ilvl w:val="1"/>
          <w:numId w:val="184"/>
        </w:numPr>
        <w:ind w:left="0" w:firstLine="0"/>
      </w:pPr>
      <w:bookmarkStart w:id="455" w:name="_Pre-Overlay_Repair_Guidelines"/>
      <w:bookmarkStart w:id="456" w:name="_Toc479160108"/>
      <w:bookmarkStart w:id="457" w:name="_Toc514057996"/>
      <w:bookmarkStart w:id="458" w:name="_Toc194932392"/>
      <w:bookmarkEnd w:id="455"/>
      <w:r>
        <w:lastRenderedPageBreak/>
        <w:t>Pre-Overlay Repair Guidelines</w:t>
      </w:r>
      <w:bookmarkEnd w:id="456"/>
      <w:bookmarkEnd w:id="457"/>
      <w:bookmarkEnd w:id="458"/>
      <w:r>
        <w:t xml:space="preserve"> </w:t>
      </w:r>
    </w:p>
    <w:p w14:paraId="79E46338" w14:textId="77777777" w:rsidR="003E40B5" w:rsidRDefault="003E40B5" w:rsidP="003E40B5">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 w:history="1">
        <w:r w:rsidRPr="003E40B5">
          <w:rPr>
            <w:rStyle w:val="Hyperlink"/>
            <w:rFonts w:ascii="Arial" w:hAnsi="Arial" w:cs="Arial"/>
            <w:bCs/>
            <w:sz w:val="16"/>
            <w:szCs w:val="16"/>
          </w:rPr>
          <w:t>Quantity &amp; Cost Development</w:t>
        </w:r>
      </w:hyperlink>
    </w:p>
    <w:p w14:paraId="49BF5A92" w14:textId="77777777" w:rsidR="00707989" w:rsidRPr="008F604D"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4D027D5D" w14:textId="158E16FE" w:rsidR="002E3FE9" w:rsidRDefault="002E3FE9" w:rsidP="00172E64">
      <w:pPr>
        <w:pStyle w:val="Heading3"/>
        <w:numPr>
          <w:ilvl w:val="2"/>
          <w:numId w:val="184"/>
        </w:numPr>
        <w:ind w:left="0" w:firstLine="0"/>
      </w:pPr>
      <w:bookmarkStart w:id="459" w:name="_Application_for_Removal"/>
      <w:bookmarkEnd w:id="459"/>
      <w:r>
        <w:t>Application for Removal (Milling)</w:t>
      </w:r>
    </w:p>
    <w:p w14:paraId="739028F5" w14:textId="4F21996A" w:rsidR="002E3FE9" w:rsidRPr="00C00EB1" w:rsidRDefault="002E3FE9" w:rsidP="00BE3F24">
      <w:pPr>
        <w:pStyle w:val="BodyText"/>
        <w:spacing w:after="0"/>
        <w:jc w:val="both"/>
      </w:pPr>
      <w:r w:rsidRPr="00C00EB1">
        <w:t xml:space="preserve">That patching operations shall precede all other pavement rehabilitation operations is the basic assumption that shall be followed when considering criteria to determine the need for removal.  So, patching is expected to be done before any </w:t>
      </w:r>
      <w:r w:rsidR="00B913D8">
        <w:t>milling</w:t>
      </w:r>
      <w:r w:rsidRPr="00C00EB1">
        <w:t xml:space="preserve"> operations or wedge/level.  Therefore, some distress types will be repaired and changed through patching operations and </w:t>
      </w:r>
      <w:r>
        <w:t>will</w:t>
      </w:r>
      <w:r w:rsidRPr="00C00EB1">
        <w:t xml:space="preserve"> affect the total distress quantities used in the guidelines for removal (milling) criteria below</w:t>
      </w:r>
      <w:r>
        <w:t>:</w:t>
      </w:r>
    </w:p>
    <w:p w14:paraId="7C80267A" w14:textId="77777777" w:rsidR="002E3FE9" w:rsidRPr="00C00EB1" w:rsidRDefault="002E3FE9" w:rsidP="00BE3F24">
      <w:pPr>
        <w:rPr>
          <w:rFonts w:ascii="Arial" w:hAnsi="Arial"/>
        </w:rPr>
      </w:pP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3"/>
        <w:gridCol w:w="2947"/>
      </w:tblGrid>
      <w:tr w:rsidR="002E3FE9" w:rsidRPr="00C00EB1" w14:paraId="38A8C67C" w14:textId="77777777" w:rsidTr="00200E0F">
        <w:trPr>
          <w:trHeight w:val="360"/>
          <w:jc w:val="center"/>
        </w:trPr>
        <w:tc>
          <w:tcPr>
            <w:tcW w:w="5693" w:type="dxa"/>
            <w:shd w:val="pct15" w:color="auto" w:fill="FFFFFF"/>
            <w:vAlign w:val="center"/>
          </w:tcPr>
          <w:p w14:paraId="5B5110AD" w14:textId="77777777" w:rsidR="002E3FE9" w:rsidRPr="00C00EB1" w:rsidRDefault="002E3FE9" w:rsidP="00213662">
            <w:pPr>
              <w:jc w:val="center"/>
              <w:rPr>
                <w:rFonts w:ascii="Arial" w:hAnsi="Arial"/>
                <w:b/>
                <w:sz w:val="22"/>
              </w:rPr>
            </w:pPr>
            <w:r w:rsidRPr="00C00EB1">
              <w:rPr>
                <w:rFonts w:ascii="Arial" w:hAnsi="Arial"/>
                <w:b/>
                <w:sz w:val="22"/>
              </w:rPr>
              <w:t>Criteria</w:t>
            </w:r>
          </w:p>
        </w:tc>
        <w:tc>
          <w:tcPr>
            <w:tcW w:w="2947" w:type="dxa"/>
            <w:shd w:val="pct15" w:color="auto" w:fill="FFFFFF"/>
            <w:vAlign w:val="center"/>
          </w:tcPr>
          <w:p w14:paraId="4FF9AE83" w14:textId="77777777" w:rsidR="002E3FE9" w:rsidRPr="00C00EB1" w:rsidRDefault="002E3FE9" w:rsidP="00213662">
            <w:pPr>
              <w:jc w:val="center"/>
              <w:rPr>
                <w:rFonts w:ascii="Arial" w:hAnsi="Arial"/>
                <w:b/>
                <w:sz w:val="22"/>
              </w:rPr>
            </w:pPr>
            <w:r w:rsidRPr="00C00EB1">
              <w:rPr>
                <w:rFonts w:ascii="Arial" w:hAnsi="Arial"/>
                <w:b/>
                <w:sz w:val="22"/>
              </w:rPr>
              <w:t>Depth of Removal</w:t>
            </w:r>
          </w:p>
        </w:tc>
      </w:tr>
      <w:tr w:rsidR="002E3FE9" w:rsidRPr="00C00EB1" w14:paraId="4084ABBA" w14:textId="77777777" w:rsidTr="00200E0F">
        <w:trPr>
          <w:trHeight w:val="360"/>
          <w:jc w:val="center"/>
        </w:trPr>
        <w:tc>
          <w:tcPr>
            <w:tcW w:w="5693" w:type="dxa"/>
            <w:vAlign w:val="center"/>
          </w:tcPr>
          <w:p w14:paraId="3DD3564B" w14:textId="77777777" w:rsidR="002E3FE9" w:rsidRPr="00C00EB1" w:rsidRDefault="002E3FE9" w:rsidP="00213662">
            <w:pPr>
              <w:rPr>
                <w:rFonts w:ascii="Arial" w:hAnsi="Arial"/>
                <w:sz w:val="22"/>
              </w:rPr>
            </w:pPr>
            <w:r w:rsidRPr="00C00EB1">
              <w:rPr>
                <w:rFonts w:ascii="Arial" w:hAnsi="Arial"/>
                <w:sz w:val="22"/>
              </w:rPr>
              <w:t>h</w:t>
            </w:r>
            <w:r w:rsidRPr="00C00EB1">
              <w:rPr>
                <w:rFonts w:ascii="Arial" w:hAnsi="Arial"/>
                <w:sz w:val="22"/>
                <w:vertAlign w:val="subscript"/>
              </w:rPr>
              <w:t>ol</w:t>
            </w:r>
            <w:r w:rsidRPr="00C00EB1">
              <w:rPr>
                <w:rFonts w:ascii="Arial" w:hAnsi="Arial"/>
                <w:sz w:val="22"/>
              </w:rPr>
              <w:t xml:space="preserve"> &gt; proposed roadway elevation </w:t>
            </w:r>
          </w:p>
        </w:tc>
        <w:tc>
          <w:tcPr>
            <w:tcW w:w="2947" w:type="dxa"/>
            <w:vAlign w:val="center"/>
          </w:tcPr>
          <w:p w14:paraId="6FA24D84" w14:textId="77777777" w:rsidR="002E3FE9" w:rsidRPr="00C00EB1" w:rsidRDefault="002E3FE9" w:rsidP="00213662">
            <w:pPr>
              <w:jc w:val="center"/>
              <w:rPr>
                <w:rFonts w:ascii="Arial" w:hAnsi="Arial"/>
                <w:sz w:val="22"/>
              </w:rPr>
            </w:pPr>
            <w:r w:rsidRPr="00C00EB1">
              <w:rPr>
                <w:rFonts w:ascii="Arial" w:hAnsi="Arial"/>
                <w:sz w:val="22"/>
              </w:rPr>
              <w:t>Overlay thickness</w:t>
            </w:r>
          </w:p>
        </w:tc>
      </w:tr>
      <w:tr w:rsidR="00C95939" w:rsidRPr="00C00EB1" w14:paraId="22A91148" w14:textId="77777777" w:rsidTr="00200E0F">
        <w:trPr>
          <w:trHeight w:val="360"/>
          <w:jc w:val="center"/>
        </w:trPr>
        <w:tc>
          <w:tcPr>
            <w:tcW w:w="5693" w:type="dxa"/>
            <w:vAlign w:val="center"/>
          </w:tcPr>
          <w:p w14:paraId="3CBCD244" w14:textId="77777777" w:rsidR="00C95939" w:rsidRPr="00C00EB1" w:rsidRDefault="00C95939" w:rsidP="00213662">
            <w:pPr>
              <w:rPr>
                <w:rFonts w:ascii="Arial" w:hAnsi="Arial"/>
                <w:sz w:val="22"/>
              </w:rPr>
            </w:pPr>
            <w:r>
              <w:rPr>
                <w:rFonts w:ascii="Arial" w:hAnsi="Arial"/>
                <w:sz w:val="22"/>
              </w:rPr>
              <w:t>Surface is Plant Mix Seal</w:t>
            </w:r>
          </w:p>
        </w:tc>
        <w:tc>
          <w:tcPr>
            <w:tcW w:w="2947" w:type="dxa"/>
            <w:vAlign w:val="center"/>
          </w:tcPr>
          <w:p w14:paraId="32DB506C" w14:textId="77777777" w:rsidR="00C95939" w:rsidRPr="00C00EB1" w:rsidRDefault="00C95939" w:rsidP="00213662">
            <w:pPr>
              <w:jc w:val="center"/>
              <w:rPr>
                <w:rFonts w:ascii="Arial" w:hAnsi="Arial"/>
                <w:sz w:val="22"/>
              </w:rPr>
            </w:pPr>
            <w:r w:rsidRPr="00C00EB1">
              <w:rPr>
                <w:rFonts w:ascii="Arial" w:hAnsi="Arial"/>
                <w:sz w:val="22"/>
              </w:rPr>
              <w:t>Depth of last surface layer</w:t>
            </w:r>
            <w:r>
              <w:rPr>
                <w:rFonts w:ascii="Arial" w:hAnsi="Arial"/>
                <w:sz w:val="22"/>
                <w:vertAlign w:val="superscript"/>
              </w:rPr>
              <w:t>4</w:t>
            </w:r>
          </w:p>
        </w:tc>
      </w:tr>
      <w:tr w:rsidR="00C95939" w:rsidRPr="00C00EB1" w14:paraId="56B9FBE2" w14:textId="77777777" w:rsidTr="00200E0F">
        <w:trPr>
          <w:trHeight w:val="360"/>
          <w:jc w:val="center"/>
        </w:trPr>
        <w:tc>
          <w:tcPr>
            <w:tcW w:w="5693" w:type="dxa"/>
            <w:vAlign w:val="center"/>
          </w:tcPr>
          <w:p w14:paraId="4B08CD06" w14:textId="77777777" w:rsidR="00C95939" w:rsidRPr="00C00EB1" w:rsidRDefault="00C95939" w:rsidP="00213662">
            <w:pPr>
              <w:rPr>
                <w:rFonts w:ascii="Arial" w:hAnsi="Arial"/>
                <w:sz w:val="22"/>
              </w:rPr>
            </w:pPr>
            <w:r w:rsidRPr="00C00EB1">
              <w:rPr>
                <w:rFonts w:ascii="Arial" w:hAnsi="Arial"/>
                <w:sz w:val="22"/>
              </w:rPr>
              <w:t>Medium and high severity rutting &gt; 30% of the length</w:t>
            </w:r>
            <w:r>
              <w:rPr>
                <w:rFonts w:ascii="Arial" w:hAnsi="Arial"/>
                <w:sz w:val="22"/>
                <w:vertAlign w:val="superscript"/>
              </w:rPr>
              <w:t>1</w:t>
            </w:r>
          </w:p>
        </w:tc>
        <w:tc>
          <w:tcPr>
            <w:tcW w:w="2947" w:type="dxa"/>
            <w:vAlign w:val="center"/>
          </w:tcPr>
          <w:p w14:paraId="2BAE3F2A" w14:textId="77777777" w:rsidR="00C95939" w:rsidRPr="00C00EB1" w:rsidRDefault="00C95939" w:rsidP="00213662">
            <w:pPr>
              <w:jc w:val="center"/>
              <w:rPr>
                <w:rFonts w:ascii="Arial" w:hAnsi="Arial"/>
                <w:sz w:val="22"/>
              </w:rPr>
            </w:pPr>
            <w:r w:rsidRPr="00C00EB1">
              <w:rPr>
                <w:rFonts w:ascii="Arial" w:hAnsi="Arial"/>
                <w:sz w:val="22"/>
              </w:rPr>
              <w:t>Depth of max rutting</w:t>
            </w:r>
            <w:r>
              <w:rPr>
                <w:rFonts w:ascii="Arial" w:hAnsi="Arial"/>
                <w:sz w:val="22"/>
                <w:vertAlign w:val="superscript"/>
              </w:rPr>
              <w:t>4</w:t>
            </w:r>
          </w:p>
        </w:tc>
      </w:tr>
      <w:tr w:rsidR="00C95939" w:rsidRPr="00C00EB1" w14:paraId="1D26DB0A" w14:textId="77777777" w:rsidTr="00200E0F">
        <w:trPr>
          <w:trHeight w:val="360"/>
          <w:jc w:val="center"/>
        </w:trPr>
        <w:tc>
          <w:tcPr>
            <w:tcW w:w="5693" w:type="dxa"/>
            <w:vAlign w:val="center"/>
          </w:tcPr>
          <w:p w14:paraId="3800EDD6" w14:textId="24E7DF3B" w:rsidR="00C95939" w:rsidRPr="00C00EB1" w:rsidRDefault="00C95939" w:rsidP="00213662">
            <w:pPr>
              <w:rPr>
                <w:rFonts w:ascii="Arial" w:hAnsi="Arial"/>
                <w:sz w:val="22"/>
              </w:rPr>
            </w:pPr>
            <w:r>
              <w:rPr>
                <w:rFonts w:ascii="Arial" w:hAnsi="Arial"/>
                <w:sz w:val="22"/>
              </w:rPr>
              <w:t>Surface layer de-bonding</w:t>
            </w:r>
            <w:r w:rsidRPr="00C00EB1">
              <w:rPr>
                <w:rFonts w:ascii="Arial" w:hAnsi="Arial"/>
                <w:sz w:val="22"/>
                <w:vertAlign w:val="superscript"/>
              </w:rPr>
              <w:t xml:space="preserve"> </w:t>
            </w:r>
            <w:r w:rsidRPr="00C00EB1">
              <w:rPr>
                <w:rFonts w:ascii="Arial" w:hAnsi="Arial"/>
                <w:sz w:val="22"/>
              </w:rPr>
              <w:t>&gt; 50% of area</w:t>
            </w:r>
            <w:r>
              <w:rPr>
                <w:rFonts w:ascii="Arial" w:hAnsi="Arial"/>
                <w:sz w:val="22"/>
                <w:vertAlign w:val="superscript"/>
              </w:rPr>
              <w:t>2</w:t>
            </w:r>
          </w:p>
        </w:tc>
        <w:tc>
          <w:tcPr>
            <w:tcW w:w="2947" w:type="dxa"/>
            <w:vAlign w:val="center"/>
          </w:tcPr>
          <w:p w14:paraId="16B0F154" w14:textId="77777777" w:rsidR="00C95939" w:rsidRPr="00C00EB1" w:rsidRDefault="00C95939" w:rsidP="00213662">
            <w:pPr>
              <w:jc w:val="center"/>
              <w:rPr>
                <w:rFonts w:ascii="Arial" w:hAnsi="Arial"/>
                <w:sz w:val="22"/>
              </w:rPr>
            </w:pPr>
            <w:r w:rsidRPr="00C00EB1">
              <w:rPr>
                <w:rFonts w:ascii="Arial" w:hAnsi="Arial"/>
                <w:sz w:val="22"/>
              </w:rPr>
              <w:t>Depth of last surface layer</w:t>
            </w:r>
            <w:r>
              <w:rPr>
                <w:rFonts w:ascii="Arial" w:hAnsi="Arial"/>
                <w:sz w:val="22"/>
                <w:vertAlign w:val="superscript"/>
              </w:rPr>
              <w:t>4</w:t>
            </w:r>
          </w:p>
        </w:tc>
      </w:tr>
      <w:tr w:rsidR="00C95939" w:rsidRPr="00C00EB1" w14:paraId="0D58C997" w14:textId="77777777" w:rsidTr="00200E0F">
        <w:trPr>
          <w:trHeight w:val="360"/>
          <w:jc w:val="center"/>
        </w:trPr>
        <w:tc>
          <w:tcPr>
            <w:tcW w:w="5693" w:type="dxa"/>
            <w:vAlign w:val="center"/>
          </w:tcPr>
          <w:p w14:paraId="76ADD8F5" w14:textId="6E6BA74F" w:rsidR="00C95939" w:rsidRPr="00C00EB1" w:rsidRDefault="00C95939" w:rsidP="00213662">
            <w:pPr>
              <w:rPr>
                <w:rFonts w:ascii="Arial" w:hAnsi="Arial"/>
                <w:sz w:val="22"/>
              </w:rPr>
            </w:pPr>
            <w:r w:rsidRPr="00C00EB1">
              <w:rPr>
                <w:rFonts w:ascii="Arial" w:hAnsi="Arial"/>
                <w:sz w:val="22"/>
              </w:rPr>
              <w:t>Functional distress &gt; 50% of area</w:t>
            </w:r>
            <w:r>
              <w:rPr>
                <w:rFonts w:ascii="Arial" w:hAnsi="Arial"/>
                <w:sz w:val="22"/>
                <w:vertAlign w:val="superscript"/>
              </w:rPr>
              <w:t>3</w:t>
            </w:r>
          </w:p>
        </w:tc>
        <w:tc>
          <w:tcPr>
            <w:tcW w:w="2947" w:type="dxa"/>
            <w:vAlign w:val="center"/>
          </w:tcPr>
          <w:p w14:paraId="06693667" w14:textId="77777777" w:rsidR="00C95939" w:rsidRPr="00C00EB1" w:rsidRDefault="00C95939" w:rsidP="00213662">
            <w:pPr>
              <w:jc w:val="center"/>
              <w:rPr>
                <w:rFonts w:ascii="Arial" w:hAnsi="Arial"/>
                <w:sz w:val="22"/>
              </w:rPr>
            </w:pPr>
            <w:r w:rsidRPr="00C00EB1">
              <w:rPr>
                <w:rFonts w:ascii="Arial" w:hAnsi="Arial"/>
                <w:sz w:val="22"/>
              </w:rPr>
              <w:t>Depth of last surface layer</w:t>
            </w:r>
            <w:r>
              <w:rPr>
                <w:rFonts w:ascii="Arial" w:hAnsi="Arial"/>
                <w:sz w:val="22"/>
                <w:vertAlign w:val="superscript"/>
              </w:rPr>
              <w:t>4</w:t>
            </w:r>
          </w:p>
        </w:tc>
      </w:tr>
      <w:tr w:rsidR="00C95939" w:rsidRPr="00C00EB1" w14:paraId="26EF3F98" w14:textId="77777777" w:rsidTr="00200E0F">
        <w:trPr>
          <w:trHeight w:val="360"/>
          <w:jc w:val="center"/>
        </w:trPr>
        <w:tc>
          <w:tcPr>
            <w:tcW w:w="5693" w:type="dxa"/>
            <w:vAlign w:val="center"/>
          </w:tcPr>
          <w:p w14:paraId="223A53DD" w14:textId="57075983" w:rsidR="00C95939" w:rsidRPr="00C00EB1" w:rsidRDefault="00C95939" w:rsidP="00213662">
            <w:pPr>
              <w:rPr>
                <w:rFonts w:ascii="Arial" w:hAnsi="Arial"/>
                <w:sz w:val="22"/>
              </w:rPr>
            </w:pPr>
            <w:r w:rsidRPr="00C00EB1">
              <w:rPr>
                <w:rFonts w:ascii="Arial" w:hAnsi="Arial"/>
                <w:sz w:val="22"/>
              </w:rPr>
              <w:t>&gt; 30% of joints are medium or high severity joint reflection cracking</w:t>
            </w:r>
            <w:r>
              <w:rPr>
                <w:rFonts w:ascii="Arial" w:hAnsi="Arial"/>
                <w:sz w:val="22"/>
              </w:rPr>
              <w:t>, or have faulting &gt; 0.25</w:t>
            </w:r>
            <w:r w:rsidR="00213662">
              <w:rPr>
                <w:rFonts w:ascii="Arial" w:hAnsi="Arial"/>
                <w:sz w:val="22"/>
              </w:rPr>
              <w:t>"</w:t>
            </w:r>
            <w:r w:rsidRPr="00C00EB1">
              <w:rPr>
                <w:rFonts w:ascii="Arial" w:hAnsi="Arial"/>
                <w:sz w:val="22"/>
                <w:vertAlign w:val="superscript"/>
              </w:rPr>
              <w:t xml:space="preserve"> </w:t>
            </w:r>
          </w:p>
        </w:tc>
        <w:tc>
          <w:tcPr>
            <w:tcW w:w="2947" w:type="dxa"/>
            <w:vAlign w:val="center"/>
          </w:tcPr>
          <w:p w14:paraId="32B00CFE" w14:textId="77777777" w:rsidR="00C95939" w:rsidRPr="00C00EB1" w:rsidRDefault="00C95939" w:rsidP="00213662">
            <w:pPr>
              <w:jc w:val="center"/>
              <w:rPr>
                <w:rFonts w:ascii="Arial" w:hAnsi="Arial"/>
                <w:sz w:val="22"/>
              </w:rPr>
            </w:pPr>
            <w:r w:rsidRPr="00C00EB1">
              <w:rPr>
                <w:rFonts w:ascii="Arial" w:hAnsi="Arial"/>
                <w:sz w:val="22"/>
              </w:rPr>
              <w:t>Depth of last surface layer</w:t>
            </w:r>
            <w:r>
              <w:rPr>
                <w:rFonts w:ascii="Arial" w:hAnsi="Arial"/>
                <w:sz w:val="22"/>
                <w:vertAlign w:val="superscript"/>
              </w:rPr>
              <w:t>4</w:t>
            </w:r>
          </w:p>
        </w:tc>
      </w:tr>
      <w:tr w:rsidR="00C95939" w:rsidRPr="00C00EB1" w14:paraId="0E980087" w14:textId="77777777" w:rsidTr="00200E0F">
        <w:trPr>
          <w:trHeight w:val="360"/>
          <w:jc w:val="center"/>
        </w:trPr>
        <w:tc>
          <w:tcPr>
            <w:tcW w:w="5693" w:type="dxa"/>
            <w:vAlign w:val="center"/>
          </w:tcPr>
          <w:p w14:paraId="43678375" w14:textId="77777777" w:rsidR="00C95939" w:rsidRPr="00C00EB1" w:rsidRDefault="00C95939" w:rsidP="00213662">
            <w:pPr>
              <w:rPr>
                <w:rFonts w:ascii="Arial" w:hAnsi="Arial"/>
                <w:sz w:val="22"/>
              </w:rPr>
            </w:pPr>
            <w:r w:rsidRPr="00C00EB1">
              <w:rPr>
                <w:rFonts w:ascii="Arial" w:hAnsi="Arial"/>
                <w:sz w:val="22"/>
              </w:rPr>
              <w:t xml:space="preserve">Patching &gt; 25% of </w:t>
            </w:r>
            <w:r>
              <w:rPr>
                <w:rFonts w:ascii="Arial" w:hAnsi="Arial"/>
                <w:sz w:val="22"/>
              </w:rPr>
              <w:t xml:space="preserve">mainline </w:t>
            </w:r>
            <w:r w:rsidRPr="00C00EB1">
              <w:rPr>
                <w:rFonts w:ascii="Arial" w:hAnsi="Arial"/>
                <w:sz w:val="22"/>
              </w:rPr>
              <w:t>area</w:t>
            </w:r>
          </w:p>
        </w:tc>
        <w:tc>
          <w:tcPr>
            <w:tcW w:w="2947" w:type="dxa"/>
            <w:vAlign w:val="center"/>
          </w:tcPr>
          <w:p w14:paraId="752B0627" w14:textId="77777777" w:rsidR="00C95939" w:rsidRPr="00C00EB1" w:rsidRDefault="00C95939" w:rsidP="00213662">
            <w:pPr>
              <w:jc w:val="center"/>
              <w:rPr>
                <w:rFonts w:ascii="Arial" w:hAnsi="Arial"/>
                <w:sz w:val="22"/>
              </w:rPr>
            </w:pPr>
            <w:r w:rsidRPr="00C00EB1">
              <w:rPr>
                <w:rFonts w:ascii="Arial" w:hAnsi="Arial"/>
                <w:sz w:val="22"/>
              </w:rPr>
              <w:t>Depth of last surface layer</w:t>
            </w:r>
            <w:r>
              <w:rPr>
                <w:rFonts w:ascii="Arial" w:hAnsi="Arial"/>
                <w:sz w:val="22"/>
                <w:vertAlign w:val="superscript"/>
              </w:rPr>
              <w:t>4</w:t>
            </w:r>
          </w:p>
        </w:tc>
      </w:tr>
      <w:tr w:rsidR="00C95939" w:rsidRPr="00C00EB1" w14:paraId="05728D89" w14:textId="77777777" w:rsidTr="00200E0F">
        <w:trPr>
          <w:trHeight w:val="360"/>
          <w:jc w:val="center"/>
        </w:trPr>
        <w:tc>
          <w:tcPr>
            <w:tcW w:w="5693" w:type="dxa"/>
            <w:vAlign w:val="center"/>
          </w:tcPr>
          <w:p w14:paraId="78590658" w14:textId="5001E6E8" w:rsidR="00C95939" w:rsidRPr="00C00EB1" w:rsidRDefault="00C95939" w:rsidP="00213662">
            <w:pPr>
              <w:rPr>
                <w:rFonts w:ascii="Arial" w:hAnsi="Arial"/>
                <w:sz w:val="22"/>
              </w:rPr>
            </w:pPr>
            <w:smartTag w:uri="urn:schemas-microsoft-com:office:smarttags" w:element="stockticker">
              <w:r w:rsidRPr="00C00EB1">
                <w:rPr>
                  <w:rFonts w:ascii="Arial" w:hAnsi="Arial"/>
                  <w:sz w:val="22"/>
                </w:rPr>
                <w:t>IRI</w:t>
              </w:r>
            </w:smartTag>
            <w:r w:rsidRPr="00C00EB1">
              <w:rPr>
                <w:rFonts w:ascii="Arial" w:hAnsi="Arial"/>
                <w:sz w:val="22"/>
              </w:rPr>
              <w:t xml:space="preserve"> &gt; 170 in</w:t>
            </w:r>
            <w:r w:rsidR="006834C7">
              <w:rPr>
                <w:rFonts w:ascii="Arial" w:hAnsi="Arial"/>
                <w:sz w:val="22"/>
              </w:rPr>
              <w:t>ch</w:t>
            </w:r>
            <w:r w:rsidRPr="00C00EB1">
              <w:rPr>
                <w:rFonts w:ascii="Arial" w:hAnsi="Arial"/>
                <w:sz w:val="22"/>
              </w:rPr>
              <w:t xml:space="preserve">/mile </w:t>
            </w:r>
          </w:p>
        </w:tc>
        <w:tc>
          <w:tcPr>
            <w:tcW w:w="2947" w:type="dxa"/>
            <w:vAlign w:val="center"/>
          </w:tcPr>
          <w:p w14:paraId="0A554CDE" w14:textId="77777777" w:rsidR="00C95939" w:rsidRPr="00C00EB1" w:rsidRDefault="00C95939" w:rsidP="00213662">
            <w:pPr>
              <w:jc w:val="center"/>
              <w:rPr>
                <w:rFonts w:ascii="Arial" w:hAnsi="Arial"/>
                <w:sz w:val="22"/>
              </w:rPr>
            </w:pPr>
            <w:r w:rsidRPr="00C00EB1">
              <w:rPr>
                <w:rFonts w:ascii="Arial" w:hAnsi="Arial"/>
                <w:sz w:val="22"/>
              </w:rPr>
              <w:t>Depth of last surface layer</w:t>
            </w:r>
            <w:r>
              <w:rPr>
                <w:rFonts w:ascii="Arial" w:hAnsi="Arial"/>
                <w:sz w:val="22"/>
                <w:vertAlign w:val="superscript"/>
              </w:rPr>
              <w:t>4</w:t>
            </w:r>
          </w:p>
        </w:tc>
      </w:tr>
    </w:tbl>
    <w:p w14:paraId="65D2ED49" w14:textId="740436D5" w:rsidR="00213662" w:rsidRDefault="00213662" w:rsidP="00213662">
      <w:pPr>
        <w:pStyle w:val="BodyText3"/>
        <w:ind w:left="90" w:right="90"/>
        <w:jc w:val="both"/>
      </w:pPr>
      <w:r>
        <w:t>Notes:</w:t>
      </w:r>
    </w:p>
    <w:p w14:paraId="16AC6CAE" w14:textId="41AE6E3A" w:rsidR="002E3FE9" w:rsidRDefault="002E3FE9" w:rsidP="00172E64">
      <w:pPr>
        <w:pStyle w:val="BodyText3"/>
        <w:numPr>
          <w:ilvl w:val="2"/>
          <w:numId w:val="87"/>
        </w:numPr>
        <w:ind w:left="360" w:right="90" w:hanging="270"/>
      </w:pPr>
      <w:r>
        <w:t xml:space="preserve">Consider localized </w:t>
      </w:r>
      <w:r w:rsidR="00B913D8">
        <w:t>mill</w:t>
      </w:r>
      <w:r>
        <w:t>ing as necessary for rutting, such as at an intersection.</w:t>
      </w:r>
    </w:p>
    <w:p w14:paraId="6FD2139E" w14:textId="5BC789AD" w:rsidR="002E3FE9" w:rsidRDefault="002E3FE9" w:rsidP="00172E64">
      <w:pPr>
        <w:pStyle w:val="BodyText3"/>
        <w:numPr>
          <w:ilvl w:val="2"/>
          <w:numId w:val="87"/>
        </w:numPr>
        <w:ind w:left="360" w:right="90" w:hanging="270"/>
      </w:pPr>
      <w:r>
        <w:t>Area should be estimated based on core results, visual survey, and engineering judgment.</w:t>
      </w:r>
    </w:p>
    <w:p w14:paraId="69478E61" w14:textId="35D3FCC4" w:rsidR="002E3FE9" w:rsidRPr="00C00EB1" w:rsidRDefault="002E3FE9" w:rsidP="00172E64">
      <w:pPr>
        <w:pStyle w:val="BodyText3"/>
        <w:numPr>
          <w:ilvl w:val="2"/>
          <w:numId w:val="87"/>
        </w:numPr>
        <w:ind w:left="360" w:right="90" w:hanging="270"/>
      </w:pPr>
      <w:r w:rsidRPr="00C00EB1">
        <w:t>Functional distress to be removed consists of high severity block cracking (sf), bumps/sags [(lf) * 6</w:t>
      </w:r>
      <w:r w:rsidR="002917AA">
        <w:t xml:space="preserve"> </w:t>
      </w:r>
      <w:r w:rsidR="00357924">
        <w:t>ft.</w:t>
      </w:r>
      <w:r w:rsidRPr="00C00EB1">
        <w:t xml:space="preserve">] = (sf), depression (sf), medium or high severity joint reflective </w:t>
      </w:r>
      <w:r w:rsidR="002917AA" w:rsidRPr="00C00EB1">
        <w:t>cracking [</w:t>
      </w:r>
      <w:r w:rsidRPr="00C00EB1">
        <w:t>(lf) * 6</w:t>
      </w:r>
      <w:r w:rsidR="002917AA">
        <w:t xml:space="preserve"> </w:t>
      </w:r>
      <w:r w:rsidR="00357924">
        <w:t>ft.</w:t>
      </w:r>
      <w:r w:rsidRPr="00C00EB1">
        <w:t>] = (sf), swell (sf), and weathering and raveling (sf).</w:t>
      </w:r>
    </w:p>
    <w:p w14:paraId="792E1459" w14:textId="64A4031F" w:rsidR="002E3FE9" w:rsidRPr="004A4196" w:rsidRDefault="00213662" w:rsidP="00172E64">
      <w:pPr>
        <w:pStyle w:val="BodyText3"/>
        <w:numPr>
          <w:ilvl w:val="2"/>
          <w:numId w:val="87"/>
        </w:numPr>
        <w:ind w:left="360" w:right="90" w:hanging="270"/>
      </w:pPr>
      <w:r w:rsidRPr="00115674">
        <w:t>T</w:t>
      </w:r>
      <w:r w:rsidR="002E3FE9" w:rsidRPr="004A4196">
        <w:t>he depth of removal could be increased based on the depth of the cracks and the thickness of the existing HMA.  I</w:t>
      </w:r>
      <w:r w:rsidR="002E3FE9" w:rsidRPr="00702874">
        <w:t>t is not recommended to leave less than 1.5</w:t>
      </w:r>
      <w:r>
        <w:t>"</w:t>
      </w:r>
      <w:r w:rsidR="002E3FE9" w:rsidRPr="00115674">
        <w:t xml:space="preserve"> of HMA material above </w:t>
      </w:r>
      <w:smartTag w:uri="urn:schemas-microsoft-com:office:smarttags" w:element="stockticker">
        <w:r w:rsidR="002E3FE9" w:rsidRPr="00115674">
          <w:t>PCC</w:t>
        </w:r>
      </w:smartTag>
      <w:r w:rsidR="002E3FE9" w:rsidRPr="00115674">
        <w:t xml:space="preserve"> pavement.  If less than 1.5</w:t>
      </w:r>
      <w:r>
        <w:t>"</w:t>
      </w:r>
      <w:r w:rsidR="002E3FE9" w:rsidRPr="00115674">
        <w:t xml:space="preserve"> of HMA materi</w:t>
      </w:r>
      <w:r w:rsidR="002E3FE9" w:rsidRPr="004A4196">
        <w:t>al will be left following required removal, all of the HMA material should be removed to the bare concrete surface.</w:t>
      </w:r>
      <w:r w:rsidR="002E3FE9" w:rsidRPr="00702874">
        <w:t xml:space="preserve">  In addition, if less tha</w:t>
      </w:r>
      <w:r w:rsidR="002E3FE9" w:rsidRPr="003B0918">
        <w:t>n 0.5</w:t>
      </w:r>
      <w:r>
        <w:t>"</w:t>
      </w:r>
      <w:r w:rsidR="002E3FE9" w:rsidRPr="00115674">
        <w:t xml:space="preserve"> of a lift would be left in place after removal, the entire lift should be removed.</w:t>
      </w:r>
    </w:p>
    <w:p w14:paraId="77CF96DC" w14:textId="77777777" w:rsidR="002E3FE9" w:rsidRPr="00C00EB1" w:rsidRDefault="002E3FE9" w:rsidP="00BE3F24">
      <w:pPr>
        <w:jc w:val="both"/>
        <w:rPr>
          <w:rFonts w:ascii="Arial" w:hAnsi="Arial"/>
          <w:sz w:val="18"/>
        </w:rPr>
      </w:pPr>
    </w:p>
    <w:p w14:paraId="71DB71ED" w14:textId="03189A4D" w:rsidR="002E3FE9" w:rsidRPr="00A85139" w:rsidRDefault="002E3FE9" w:rsidP="00BE3F24">
      <w:pPr>
        <w:jc w:val="both"/>
        <w:rPr>
          <w:rFonts w:ascii="Arial" w:hAnsi="Arial"/>
          <w:sz w:val="22"/>
        </w:rPr>
      </w:pPr>
      <w:r w:rsidRPr="00A85139">
        <w:rPr>
          <w:rFonts w:ascii="Arial" w:hAnsi="Arial"/>
          <w:sz w:val="22"/>
        </w:rPr>
        <w:t xml:space="preserve">The thickness of the existing shoulders should be considered when determining the depth of removal.  Shoulders with thin </w:t>
      </w:r>
      <w:r>
        <w:rPr>
          <w:rFonts w:ascii="Arial" w:hAnsi="Arial"/>
          <w:sz w:val="22"/>
        </w:rPr>
        <w:t>(&lt;4</w:t>
      </w:r>
      <w:r w:rsidR="00213662">
        <w:rPr>
          <w:rFonts w:ascii="Arial" w:hAnsi="Arial"/>
          <w:sz w:val="22"/>
        </w:rPr>
        <w:t>"</w:t>
      </w:r>
      <w:r>
        <w:rPr>
          <w:rFonts w:ascii="Arial" w:hAnsi="Arial"/>
          <w:sz w:val="22"/>
        </w:rPr>
        <w:t xml:space="preserve">) </w:t>
      </w:r>
      <w:r w:rsidRPr="00A85139">
        <w:rPr>
          <w:rFonts w:ascii="Arial" w:hAnsi="Arial"/>
          <w:sz w:val="22"/>
        </w:rPr>
        <w:t>pavement structures may dictate m</w:t>
      </w:r>
      <w:r>
        <w:rPr>
          <w:rFonts w:ascii="Arial" w:hAnsi="Arial"/>
          <w:sz w:val="22"/>
        </w:rPr>
        <w:t xml:space="preserve">aximum </w:t>
      </w:r>
      <w:r w:rsidRPr="00A85139">
        <w:rPr>
          <w:rFonts w:ascii="Arial" w:hAnsi="Arial"/>
          <w:sz w:val="22"/>
        </w:rPr>
        <w:t>removal depths or the need for other alternative rehabilitation techniques</w:t>
      </w:r>
      <w:r w:rsidR="0043452C">
        <w:rPr>
          <w:rFonts w:ascii="Arial" w:hAnsi="Arial"/>
          <w:sz w:val="22"/>
        </w:rPr>
        <w:t>, as the milling machine can contribute to further deterioration on very thin pavements</w:t>
      </w:r>
      <w:r w:rsidRPr="00A85139">
        <w:rPr>
          <w:rFonts w:ascii="Arial" w:hAnsi="Arial"/>
          <w:sz w:val="22"/>
        </w:rPr>
        <w:t xml:space="preserve">. </w:t>
      </w:r>
    </w:p>
    <w:p w14:paraId="0AAE829E" w14:textId="77777777" w:rsidR="002E3FE9" w:rsidRPr="00A85139" w:rsidRDefault="002E3FE9" w:rsidP="00BE3F24">
      <w:pPr>
        <w:jc w:val="both"/>
        <w:rPr>
          <w:rFonts w:ascii="Arial" w:hAnsi="Arial"/>
          <w:sz w:val="22"/>
        </w:rPr>
      </w:pPr>
    </w:p>
    <w:p w14:paraId="63D5A211" w14:textId="4ED4B3C5" w:rsidR="002E3FE9" w:rsidRPr="005F3A0F" w:rsidRDefault="00640C68" w:rsidP="00BE3F24">
      <w:pPr>
        <w:tabs>
          <w:tab w:val="left" w:pos="7668"/>
        </w:tabs>
        <w:jc w:val="both"/>
        <w:rPr>
          <w:rFonts w:ascii="Arial" w:hAnsi="Arial"/>
          <w:b/>
          <w:sz w:val="22"/>
        </w:rPr>
      </w:pPr>
      <w:r>
        <w:rPr>
          <w:rFonts w:ascii="Arial" w:hAnsi="Arial"/>
          <w:b/>
          <w:sz w:val="22"/>
        </w:rPr>
        <w:t xml:space="preserve">Micro Milling versus </w:t>
      </w:r>
      <w:r w:rsidR="00B913D8">
        <w:rPr>
          <w:rFonts w:ascii="Arial" w:hAnsi="Arial"/>
          <w:b/>
          <w:sz w:val="22"/>
        </w:rPr>
        <w:t>Fine Milling</w:t>
      </w:r>
      <w:r w:rsidR="002E3FE9">
        <w:rPr>
          <w:rFonts w:ascii="Arial" w:hAnsi="Arial"/>
          <w:b/>
          <w:sz w:val="22"/>
        </w:rPr>
        <w:t xml:space="preserve"> versus </w:t>
      </w:r>
      <w:r w:rsidR="00B913D8">
        <w:rPr>
          <w:rFonts w:ascii="Arial" w:hAnsi="Arial"/>
          <w:b/>
          <w:sz w:val="22"/>
        </w:rPr>
        <w:t xml:space="preserve">Standard </w:t>
      </w:r>
      <w:r w:rsidR="002E3FE9">
        <w:rPr>
          <w:rFonts w:ascii="Arial" w:hAnsi="Arial"/>
          <w:b/>
          <w:sz w:val="22"/>
        </w:rPr>
        <w:t>Milling</w:t>
      </w:r>
    </w:p>
    <w:p w14:paraId="15B748A2" w14:textId="77777777" w:rsidR="002E3FE9" w:rsidRDefault="002E3FE9" w:rsidP="00BE3F24">
      <w:pPr>
        <w:jc w:val="both"/>
        <w:rPr>
          <w:rFonts w:ascii="Arial" w:hAnsi="Arial"/>
          <w:sz w:val="22"/>
        </w:rPr>
      </w:pPr>
    </w:p>
    <w:p w14:paraId="336A3C41" w14:textId="0FCE2ADC" w:rsidR="002E3FE9" w:rsidRPr="00A85139" w:rsidRDefault="00640C68" w:rsidP="00BE3F24">
      <w:pPr>
        <w:jc w:val="both"/>
        <w:rPr>
          <w:rFonts w:ascii="Arial" w:hAnsi="Arial"/>
          <w:sz w:val="22"/>
        </w:rPr>
      </w:pPr>
      <w:r>
        <w:rPr>
          <w:rFonts w:ascii="Arial" w:hAnsi="Arial"/>
          <w:sz w:val="22"/>
        </w:rPr>
        <w:t>Fine milling is typically used.  Standard milling can be used if multiple lifts will be placed above the removal area and if the milled section is to be opened to traffic.  Micro milling should be used when a smoother pre-overlay surface is needed, for materials such as UTBWC, micro-suracing, or chip seal.</w:t>
      </w:r>
    </w:p>
    <w:p w14:paraId="17AD36F4" w14:textId="77777777" w:rsidR="002E3FE9" w:rsidRPr="00A85139" w:rsidRDefault="002E3FE9" w:rsidP="00BE3F24">
      <w:pPr>
        <w:jc w:val="both"/>
        <w:rPr>
          <w:rFonts w:ascii="Arial" w:hAnsi="Arial"/>
          <w:sz w:val="22"/>
        </w:rPr>
      </w:pPr>
    </w:p>
    <w:p w14:paraId="6B21DA79" w14:textId="0979E373" w:rsidR="002E3FE9" w:rsidRPr="005F3A0F" w:rsidRDefault="002E3FE9" w:rsidP="00BE3F24">
      <w:pPr>
        <w:jc w:val="both"/>
        <w:rPr>
          <w:rFonts w:ascii="Arial" w:hAnsi="Arial"/>
          <w:sz w:val="22"/>
        </w:rPr>
      </w:pPr>
      <w:r>
        <w:rPr>
          <w:rFonts w:ascii="Arial" w:hAnsi="Arial"/>
          <w:sz w:val="22"/>
        </w:rPr>
        <w:t>Please keep in mind that r</w:t>
      </w:r>
      <w:r w:rsidRPr="00A85139">
        <w:rPr>
          <w:rFonts w:ascii="Arial" w:hAnsi="Arial"/>
          <w:sz w:val="22"/>
        </w:rPr>
        <w:t xml:space="preserve">emoval of the pavement by milling affects the existing condition of the pavement in addition to affecting the existing structural capacity of the pavement.  </w:t>
      </w:r>
      <w:r w:rsidRPr="00A85139">
        <w:rPr>
          <w:rFonts w:ascii="Arial" w:hAnsi="Arial"/>
          <w:sz w:val="22"/>
        </w:rPr>
        <w:lastRenderedPageBreak/>
        <w:t xml:space="preserve">Specific distresses are reduced or eliminated by removal of the pavement.  Please refer to </w:t>
      </w:r>
      <w:hyperlink w:anchor="_Pre-Rehabilitation_Effect_on" w:history="1">
        <w:r w:rsidR="00D932A0">
          <w:rPr>
            <w:rStyle w:val="Hyperlink"/>
            <w:rFonts w:ascii="Arial" w:hAnsi="Arial"/>
            <w:sz w:val="22"/>
          </w:rPr>
          <w:t>Pre-Rehabilitation Effect on RSL Calculations</w:t>
        </w:r>
      </w:hyperlink>
      <w:r w:rsidR="00D932A0">
        <w:rPr>
          <w:rFonts w:ascii="Arial" w:hAnsi="Arial"/>
          <w:sz w:val="22"/>
        </w:rPr>
        <w:t xml:space="preserve"> </w:t>
      </w:r>
      <w:r w:rsidRPr="00A85139">
        <w:rPr>
          <w:rFonts w:ascii="Arial" w:hAnsi="Arial"/>
          <w:sz w:val="22"/>
        </w:rPr>
        <w:t xml:space="preserve">for information regarding the effect pavement removal has on distresses.  In addition, the original structural capacity </w:t>
      </w:r>
      <w:r w:rsidRPr="005F3A0F">
        <w:rPr>
          <w:rFonts w:ascii="Arial" w:hAnsi="Arial"/>
          <w:sz w:val="22"/>
        </w:rPr>
        <w:t xml:space="preserve">of the pavement is reduced </w:t>
      </w:r>
      <w:r w:rsidR="00B913D8" w:rsidRPr="005F3A0F">
        <w:rPr>
          <w:rFonts w:ascii="Arial" w:hAnsi="Arial"/>
          <w:sz w:val="22"/>
        </w:rPr>
        <w:t>because</w:t>
      </w:r>
      <w:r w:rsidRPr="005F3A0F">
        <w:rPr>
          <w:rFonts w:ascii="Arial" w:hAnsi="Arial"/>
          <w:sz w:val="22"/>
        </w:rPr>
        <w:t xml:space="preserve"> of milling.  </w:t>
      </w:r>
      <w:r w:rsidR="0044607E">
        <w:rPr>
          <w:rFonts w:ascii="Arial" w:hAnsi="Arial"/>
          <w:sz w:val="22"/>
        </w:rPr>
        <w:t xml:space="preserve">If </w:t>
      </w:r>
      <w:r w:rsidR="00213662">
        <w:rPr>
          <w:rFonts w:ascii="Arial" w:hAnsi="Arial"/>
          <w:sz w:val="22"/>
        </w:rPr>
        <w:t>t</w:t>
      </w:r>
      <w:r w:rsidR="0044607E">
        <w:rPr>
          <w:rFonts w:ascii="Arial" w:hAnsi="Arial"/>
          <w:sz w:val="22"/>
        </w:rPr>
        <w:t xml:space="preserve">his occurs, re-analyze the adjusted pavement structure as per </w:t>
      </w:r>
      <w:hyperlink w:anchor="_Pavement_Mechanistic-Empirical_Anal" w:history="1">
        <w:r w:rsidR="0044607E" w:rsidRPr="0044607E">
          <w:rPr>
            <w:rStyle w:val="Hyperlink"/>
            <w:rFonts w:ascii="Arial" w:hAnsi="Arial"/>
            <w:sz w:val="22"/>
          </w:rPr>
          <w:t>Pavement Mechanistic-Empirical Analysis</w:t>
        </w:r>
      </w:hyperlink>
      <w:r w:rsidRPr="005F3A0F">
        <w:rPr>
          <w:rFonts w:ascii="Arial" w:hAnsi="Arial"/>
          <w:sz w:val="22"/>
        </w:rPr>
        <w:t>.</w:t>
      </w:r>
    </w:p>
    <w:p w14:paraId="0CC737C4" w14:textId="77777777" w:rsidR="002E3FE9" w:rsidRPr="005F3A0F" w:rsidRDefault="002E3FE9" w:rsidP="00172E64">
      <w:pPr>
        <w:pStyle w:val="Heading3"/>
        <w:numPr>
          <w:ilvl w:val="2"/>
          <w:numId w:val="184"/>
        </w:numPr>
        <w:ind w:left="0" w:firstLine="0"/>
      </w:pPr>
      <w:r w:rsidRPr="005F3A0F">
        <w:t>Wedge/Level Guidelines</w:t>
      </w:r>
    </w:p>
    <w:p w14:paraId="51B30B95" w14:textId="77777777" w:rsidR="002E3FE9" w:rsidRPr="005F3A0F" w:rsidRDefault="002E3FE9" w:rsidP="00BE3F24">
      <w:pPr>
        <w:tabs>
          <w:tab w:val="left" w:pos="7668"/>
        </w:tabs>
        <w:rPr>
          <w:rFonts w:ascii="Arial" w:hAnsi="Arial"/>
          <w:b/>
        </w:rPr>
      </w:pPr>
    </w:p>
    <w:p w14:paraId="5CD02181" w14:textId="77777777" w:rsidR="002E3FE9" w:rsidRPr="005F3A0F" w:rsidRDefault="002E3FE9" w:rsidP="00200E0F">
      <w:pPr>
        <w:tabs>
          <w:tab w:val="left" w:pos="7668"/>
        </w:tabs>
        <w:jc w:val="center"/>
        <w:rPr>
          <w:rFonts w:ascii="Arial" w:hAnsi="Arial"/>
          <w:b/>
          <w:sz w:val="22"/>
        </w:rPr>
      </w:pPr>
      <w:r w:rsidRPr="005F3A0F">
        <w:rPr>
          <w:rFonts w:ascii="Arial" w:hAnsi="Arial"/>
          <w:b/>
          <w:sz w:val="22"/>
        </w:rPr>
        <w:t>Applications for Wedge/Level Layer</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23"/>
        <w:gridCol w:w="3150"/>
      </w:tblGrid>
      <w:tr w:rsidR="002E3FE9" w:rsidRPr="005F3A0F" w14:paraId="0D4015B7" w14:textId="77777777" w:rsidTr="00200E0F">
        <w:trPr>
          <w:cantSplit/>
          <w:trHeight w:val="360"/>
          <w:jc w:val="center"/>
        </w:trPr>
        <w:tc>
          <w:tcPr>
            <w:tcW w:w="5423" w:type="dxa"/>
            <w:shd w:val="pct15" w:color="auto" w:fill="FFFFFF"/>
            <w:vAlign w:val="center"/>
          </w:tcPr>
          <w:p w14:paraId="636DAA52" w14:textId="77777777" w:rsidR="002E3FE9" w:rsidRPr="00200E0F" w:rsidRDefault="002E3FE9" w:rsidP="00213662">
            <w:pPr>
              <w:tabs>
                <w:tab w:val="left" w:pos="7668"/>
              </w:tabs>
              <w:jc w:val="center"/>
              <w:rPr>
                <w:rFonts w:ascii="Arial" w:hAnsi="Arial"/>
                <w:b/>
                <w:sz w:val="22"/>
              </w:rPr>
            </w:pPr>
            <w:r w:rsidRPr="00200E0F">
              <w:rPr>
                <w:rFonts w:ascii="Arial" w:hAnsi="Arial"/>
                <w:b/>
                <w:sz w:val="22"/>
              </w:rPr>
              <w:t>Criteria</w:t>
            </w:r>
          </w:p>
        </w:tc>
        <w:tc>
          <w:tcPr>
            <w:tcW w:w="3150" w:type="dxa"/>
            <w:shd w:val="pct15" w:color="auto" w:fill="FFFFFF"/>
            <w:vAlign w:val="center"/>
          </w:tcPr>
          <w:p w14:paraId="012BED6D" w14:textId="77777777" w:rsidR="002E3FE9" w:rsidRPr="00200E0F" w:rsidRDefault="002E3FE9" w:rsidP="00213662">
            <w:pPr>
              <w:tabs>
                <w:tab w:val="left" w:pos="7668"/>
              </w:tabs>
              <w:jc w:val="center"/>
              <w:rPr>
                <w:rFonts w:ascii="Arial" w:hAnsi="Arial"/>
                <w:b/>
                <w:sz w:val="22"/>
              </w:rPr>
            </w:pPr>
            <w:r w:rsidRPr="00200E0F">
              <w:rPr>
                <w:rFonts w:ascii="Arial" w:hAnsi="Arial"/>
                <w:b/>
                <w:sz w:val="22"/>
              </w:rPr>
              <w:t>Comments</w:t>
            </w:r>
          </w:p>
        </w:tc>
      </w:tr>
      <w:tr w:rsidR="002E3FE9" w:rsidRPr="005F3A0F" w14:paraId="0E3F48B4" w14:textId="77777777" w:rsidTr="00200E0F">
        <w:trPr>
          <w:cantSplit/>
          <w:trHeight w:val="360"/>
          <w:jc w:val="center"/>
        </w:trPr>
        <w:tc>
          <w:tcPr>
            <w:tcW w:w="5423" w:type="dxa"/>
            <w:vAlign w:val="center"/>
          </w:tcPr>
          <w:p w14:paraId="6E8DB9E9" w14:textId="77777777" w:rsidR="002E3FE9" w:rsidRPr="005F3A0F" w:rsidRDefault="002E3FE9" w:rsidP="00213662">
            <w:pPr>
              <w:tabs>
                <w:tab w:val="left" w:pos="7668"/>
              </w:tabs>
              <w:rPr>
                <w:rFonts w:ascii="Arial" w:hAnsi="Arial"/>
                <w:sz w:val="22"/>
              </w:rPr>
            </w:pPr>
            <w:r w:rsidRPr="005F3A0F">
              <w:rPr>
                <w:rFonts w:ascii="Arial" w:hAnsi="Arial"/>
                <w:sz w:val="22"/>
              </w:rPr>
              <w:t>Patching &gt; 25%</w:t>
            </w:r>
            <w:r w:rsidRPr="005F3A0F">
              <w:rPr>
                <w:rFonts w:ascii="Arial" w:hAnsi="Arial"/>
                <w:sz w:val="22"/>
                <w:vertAlign w:val="superscript"/>
              </w:rPr>
              <w:t xml:space="preserve"> </w:t>
            </w:r>
            <w:r w:rsidRPr="005F3A0F">
              <w:rPr>
                <w:rFonts w:ascii="Arial" w:hAnsi="Arial"/>
                <w:sz w:val="22"/>
              </w:rPr>
              <w:t xml:space="preserve">of </w:t>
            </w:r>
            <w:r>
              <w:rPr>
                <w:rFonts w:ascii="Arial" w:hAnsi="Arial"/>
                <w:sz w:val="22"/>
              </w:rPr>
              <w:t>mainline</w:t>
            </w:r>
            <w:r w:rsidRPr="005F3A0F">
              <w:rPr>
                <w:rFonts w:ascii="Arial" w:hAnsi="Arial"/>
                <w:sz w:val="22"/>
              </w:rPr>
              <w:t xml:space="preserve"> area</w:t>
            </w:r>
          </w:p>
        </w:tc>
        <w:tc>
          <w:tcPr>
            <w:tcW w:w="3150" w:type="dxa"/>
            <w:vAlign w:val="center"/>
          </w:tcPr>
          <w:p w14:paraId="4E222055" w14:textId="77777777" w:rsidR="002E3FE9" w:rsidRPr="005F3A0F" w:rsidRDefault="002E3FE9" w:rsidP="00213662">
            <w:pPr>
              <w:tabs>
                <w:tab w:val="left" w:pos="7668"/>
              </w:tabs>
              <w:rPr>
                <w:rFonts w:ascii="Arial" w:hAnsi="Arial"/>
                <w:sz w:val="22"/>
              </w:rPr>
            </w:pPr>
            <w:r w:rsidRPr="005F3A0F">
              <w:rPr>
                <w:rFonts w:ascii="Arial" w:hAnsi="Arial"/>
                <w:sz w:val="22"/>
              </w:rPr>
              <w:t>Full-depth and partial-depth</w:t>
            </w:r>
          </w:p>
        </w:tc>
      </w:tr>
      <w:tr w:rsidR="002E3FE9" w:rsidRPr="005F3A0F" w14:paraId="515C3DDB" w14:textId="77777777" w:rsidTr="00200E0F">
        <w:trPr>
          <w:cantSplit/>
          <w:trHeight w:val="360"/>
          <w:jc w:val="center"/>
        </w:trPr>
        <w:tc>
          <w:tcPr>
            <w:tcW w:w="5423" w:type="dxa"/>
            <w:vAlign w:val="center"/>
          </w:tcPr>
          <w:p w14:paraId="2CD4E37B" w14:textId="77777777" w:rsidR="002E3FE9" w:rsidRPr="005F3A0F" w:rsidRDefault="002E3FE9" w:rsidP="00213662">
            <w:pPr>
              <w:tabs>
                <w:tab w:val="left" w:pos="7668"/>
              </w:tabs>
              <w:rPr>
                <w:rFonts w:ascii="Arial" w:hAnsi="Arial"/>
                <w:sz w:val="22"/>
              </w:rPr>
            </w:pPr>
            <w:r w:rsidRPr="005F3A0F">
              <w:rPr>
                <w:rFonts w:ascii="Arial" w:hAnsi="Arial"/>
                <w:sz w:val="22"/>
              </w:rPr>
              <w:t>Any severity rutting &gt; 30%</w:t>
            </w:r>
            <w:r w:rsidRPr="005F3A0F">
              <w:rPr>
                <w:rFonts w:ascii="Arial" w:hAnsi="Arial"/>
                <w:sz w:val="22"/>
                <w:vertAlign w:val="superscript"/>
              </w:rPr>
              <w:t xml:space="preserve"> </w:t>
            </w:r>
            <w:r w:rsidRPr="005F3A0F">
              <w:rPr>
                <w:rFonts w:ascii="Arial" w:hAnsi="Arial"/>
                <w:sz w:val="22"/>
              </w:rPr>
              <w:t xml:space="preserve">of </w:t>
            </w:r>
            <w:r>
              <w:rPr>
                <w:rFonts w:ascii="Arial" w:hAnsi="Arial"/>
                <w:sz w:val="22"/>
              </w:rPr>
              <w:t>length</w:t>
            </w:r>
          </w:p>
        </w:tc>
        <w:tc>
          <w:tcPr>
            <w:tcW w:w="3150" w:type="dxa"/>
            <w:vAlign w:val="center"/>
          </w:tcPr>
          <w:p w14:paraId="7E27A119" w14:textId="77777777" w:rsidR="002E3FE9" w:rsidRPr="005F3A0F" w:rsidRDefault="002E3FE9" w:rsidP="00213662">
            <w:pPr>
              <w:tabs>
                <w:tab w:val="left" w:pos="7668"/>
              </w:tabs>
              <w:rPr>
                <w:rFonts w:ascii="Arial" w:hAnsi="Arial"/>
                <w:sz w:val="22"/>
              </w:rPr>
            </w:pPr>
          </w:p>
        </w:tc>
      </w:tr>
      <w:tr w:rsidR="002E3FE9" w:rsidRPr="005F3A0F" w14:paraId="5D810548" w14:textId="77777777" w:rsidTr="00200E0F">
        <w:trPr>
          <w:cantSplit/>
          <w:trHeight w:val="360"/>
          <w:jc w:val="center"/>
        </w:trPr>
        <w:tc>
          <w:tcPr>
            <w:tcW w:w="5423" w:type="dxa"/>
            <w:vAlign w:val="center"/>
          </w:tcPr>
          <w:p w14:paraId="5ABDEB79" w14:textId="77777777" w:rsidR="002E3FE9" w:rsidRPr="005F3A0F" w:rsidRDefault="002E3FE9" w:rsidP="00213662">
            <w:pPr>
              <w:tabs>
                <w:tab w:val="left" w:pos="7668"/>
              </w:tabs>
              <w:rPr>
                <w:rFonts w:ascii="Arial" w:hAnsi="Arial"/>
                <w:sz w:val="22"/>
              </w:rPr>
            </w:pPr>
            <w:r w:rsidRPr="005F3A0F">
              <w:rPr>
                <w:rFonts w:ascii="Arial" w:hAnsi="Arial"/>
                <w:sz w:val="22"/>
              </w:rPr>
              <w:t>Joint tape is used with a single HMA lift</w:t>
            </w:r>
            <w:r w:rsidRPr="005F3A0F">
              <w:rPr>
                <w:rFonts w:ascii="Arial" w:hAnsi="Arial"/>
                <w:sz w:val="22"/>
                <w:vertAlign w:val="superscript"/>
              </w:rPr>
              <w:t>1</w:t>
            </w:r>
          </w:p>
        </w:tc>
        <w:tc>
          <w:tcPr>
            <w:tcW w:w="3150" w:type="dxa"/>
            <w:vAlign w:val="center"/>
          </w:tcPr>
          <w:p w14:paraId="42FF76E5" w14:textId="77777777" w:rsidR="002E3FE9" w:rsidRPr="005F3A0F" w:rsidRDefault="002E3FE9" w:rsidP="00213662">
            <w:pPr>
              <w:tabs>
                <w:tab w:val="left" w:pos="7668"/>
              </w:tabs>
              <w:rPr>
                <w:rFonts w:ascii="Arial" w:hAnsi="Arial"/>
                <w:sz w:val="22"/>
              </w:rPr>
            </w:pPr>
          </w:p>
        </w:tc>
      </w:tr>
      <w:tr w:rsidR="002E3FE9" w:rsidRPr="005F3A0F" w14:paraId="2570FE9F" w14:textId="77777777" w:rsidTr="00200E0F">
        <w:trPr>
          <w:cantSplit/>
          <w:trHeight w:val="360"/>
          <w:jc w:val="center"/>
        </w:trPr>
        <w:tc>
          <w:tcPr>
            <w:tcW w:w="5423" w:type="dxa"/>
            <w:vAlign w:val="center"/>
          </w:tcPr>
          <w:p w14:paraId="39B4900C" w14:textId="77777777" w:rsidR="002E3FE9" w:rsidRPr="005F3A0F" w:rsidRDefault="002E3FE9" w:rsidP="00213662">
            <w:pPr>
              <w:tabs>
                <w:tab w:val="left" w:pos="7668"/>
              </w:tabs>
              <w:rPr>
                <w:rFonts w:ascii="Arial" w:hAnsi="Arial"/>
                <w:sz w:val="22"/>
              </w:rPr>
            </w:pPr>
            <w:r w:rsidRPr="005F3A0F">
              <w:rPr>
                <w:rFonts w:ascii="Arial" w:hAnsi="Arial"/>
                <w:sz w:val="22"/>
              </w:rPr>
              <w:t>Designed elevation increase in roadway</w:t>
            </w:r>
            <w:r w:rsidRPr="005F3A0F">
              <w:rPr>
                <w:rFonts w:ascii="Arial" w:hAnsi="Arial"/>
                <w:sz w:val="22"/>
                <w:vertAlign w:val="superscript"/>
              </w:rPr>
              <w:t>2</w:t>
            </w:r>
            <w:r w:rsidRPr="005F3A0F">
              <w:rPr>
                <w:rFonts w:ascii="Arial" w:hAnsi="Arial"/>
                <w:sz w:val="22"/>
              </w:rPr>
              <w:t xml:space="preserve"> </w:t>
            </w:r>
          </w:p>
        </w:tc>
        <w:tc>
          <w:tcPr>
            <w:tcW w:w="3150" w:type="dxa"/>
            <w:vAlign w:val="center"/>
          </w:tcPr>
          <w:p w14:paraId="5F06DD9F" w14:textId="77777777" w:rsidR="002E3FE9" w:rsidRPr="005F3A0F" w:rsidRDefault="002E3FE9" w:rsidP="00213662">
            <w:pPr>
              <w:tabs>
                <w:tab w:val="left" w:pos="7668"/>
              </w:tabs>
              <w:rPr>
                <w:rFonts w:ascii="Arial" w:hAnsi="Arial"/>
                <w:sz w:val="22"/>
              </w:rPr>
            </w:pPr>
            <w:r w:rsidRPr="005F3A0F">
              <w:rPr>
                <w:rFonts w:ascii="Arial" w:hAnsi="Arial"/>
                <w:sz w:val="22"/>
              </w:rPr>
              <w:t>Super</w:t>
            </w:r>
            <w:r>
              <w:rPr>
                <w:rFonts w:ascii="Arial" w:hAnsi="Arial"/>
                <w:sz w:val="22"/>
              </w:rPr>
              <w:t>-</w:t>
            </w:r>
            <w:r w:rsidRPr="005F3A0F">
              <w:rPr>
                <w:rFonts w:ascii="Arial" w:hAnsi="Arial"/>
                <w:sz w:val="22"/>
              </w:rPr>
              <w:t>elevation or cross slope</w:t>
            </w:r>
          </w:p>
        </w:tc>
      </w:tr>
      <w:tr w:rsidR="002E3FE9" w:rsidRPr="005F3A0F" w14:paraId="2BDDE24E" w14:textId="77777777" w:rsidTr="00200E0F">
        <w:trPr>
          <w:cantSplit/>
          <w:trHeight w:val="360"/>
          <w:jc w:val="center"/>
        </w:trPr>
        <w:tc>
          <w:tcPr>
            <w:tcW w:w="5423" w:type="dxa"/>
            <w:vAlign w:val="center"/>
          </w:tcPr>
          <w:p w14:paraId="7AE4D5C7" w14:textId="77777777" w:rsidR="002E3FE9" w:rsidRPr="005F3A0F" w:rsidRDefault="002E3FE9" w:rsidP="00213662">
            <w:pPr>
              <w:tabs>
                <w:tab w:val="left" w:pos="7668"/>
              </w:tabs>
              <w:rPr>
                <w:rFonts w:ascii="Arial" w:hAnsi="Arial"/>
                <w:sz w:val="22"/>
              </w:rPr>
            </w:pPr>
            <w:r>
              <w:rPr>
                <w:rFonts w:ascii="Arial" w:hAnsi="Arial"/>
                <w:sz w:val="22"/>
              </w:rPr>
              <w:t>Use as a thin base layer</w:t>
            </w:r>
            <w:r>
              <w:rPr>
                <w:rFonts w:ascii="Arial" w:hAnsi="Arial"/>
                <w:sz w:val="22"/>
                <w:vertAlign w:val="superscript"/>
              </w:rPr>
              <w:t>3</w:t>
            </w:r>
          </w:p>
        </w:tc>
        <w:tc>
          <w:tcPr>
            <w:tcW w:w="3150" w:type="dxa"/>
            <w:vAlign w:val="center"/>
          </w:tcPr>
          <w:p w14:paraId="37EA2017" w14:textId="77777777" w:rsidR="002E3FE9" w:rsidRPr="005F3A0F" w:rsidRDefault="002E3FE9" w:rsidP="00213662">
            <w:pPr>
              <w:tabs>
                <w:tab w:val="left" w:pos="7668"/>
              </w:tabs>
              <w:rPr>
                <w:rFonts w:ascii="Arial" w:hAnsi="Arial"/>
                <w:sz w:val="22"/>
              </w:rPr>
            </w:pPr>
          </w:p>
        </w:tc>
      </w:tr>
      <w:tr w:rsidR="002E3FE9" w:rsidRPr="005F3A0F" w14:paraId="63E68DE2" w14:textId="77777777" w:rsidTr="00200E0F">
        <w:trPr>
          <w:cantSplit/>
          <w:trHeight w:val="360"/>
          <w:jc w:val="center"/>
        </w:trPr>
        <w:tc>
          <w:tcPr>
            <w:tcW w:w="5423" w:type="dxa"/>
            <w:vAlign w:val="center"/>
          </w:tcPr>
          <w:p w14:paraId="7A3F9CE7" w14:textId="77777777" w:rsidR="002E3FE9" w:rsidRPr="005F3A0F" w:rsidRDefault="002E3FE9" w:rsidP="00213662">
            <w:pPr>
              <w:tabs>
                <w:tab w:val="left" w:pos="7668"/>
              </w:tabs>
              <w:rPr>
                <w:rFonts w:ascii="Arial" w:hAnsi="Arial"/>
                <w:sz w:val="22"/>
              </w:rPr>
            </w:pPr>
            <w:r w:rsidRPr="005F3A0F">
              <w:rPr>
                <w:rFonts w:ascii="Arial" w:hAnsi="Arial"/>
                <w:sz w:val="22"/>
              </w:rPr>
              <w:t>&gt; 30% of joints are medium or high severity joint reflection cracking</w:t>
            </w:r>
          </w:p>
        </w:tc>
        <w:tc>
          <w:tcPr>
            <w:tcW w:w="3150" w:type="dxa"/>
            <w:vAlign w:val="center"/>
          </w:tcPr>
          <w:p w14:paraId="75735090" w14:textId="77777777" w:rsidR="002E3FE9" w:rsidRPr="005F3A0F" w:rsidRDefault="002E3FE9" w:rsidP="00213662">
            <w:pPr>
              <w:tabs>
                <w:tab w:val="left" w:pos="7668"/>
              </w:tabs>
              <w:rPr>
                <w:rFonts w:ascii="Arial" w:hAnsi="Arial"/>
                <w:sz w:val="22"/>
              </w:rPr>
            </w:pPr>
            <w:r w:rsidRPr="005F3A0F">
              <w:rPr>
                <w:rFonts w:ascii="Arial" w:hAnsi="Arial"/>
                <w:sz w:val="22"/>
              </w:rPr>
              <w:t>Compared to total # of joints</w:t>
            </w:r>
          </w:p>
        </w:tc>
      </w:tr>
      <w:tr w:rsidR="002E3FE9" w:rsidRPr="005F3A0F" w14:paraId="4D415ED5" w14:textId="77777777" w:rsidTr="00200E0F">
        <w:trPr>
          <w:cantSplit/>
          <w:trHeight w:val="360"/>
          <w:jc w:val="center"/>
        </w:trPr>
        <w:tc>
          <w:tcPr>
            <w:tcW w:w="5423" w:type="dxa"/>
            <w:vAlign w:val="center"/>
          </w:tcPr>
          <w:p w14:paraId="1EDE14C2" w14:textId="5D4680E8" w:rsidR="002E3FE9" w:rsidRPr="005F3A0F" w:rsidRDefault="002E3FE9" w:rsidP="00213662">
            <w:pPr>
              <w:tabs>
                <w:tab w:val="left" w:pos="7668"/>
              </w:tabs>
              <w:rPr>
                <w:rFonts w:ascii="Arial" w:hAnsi="Arial"/>
                <w:sz w:val="22"/>
              </w:rPr>
            </w:pPr>
            <w:smartTag w:uri="urn:schemas-microsoft-com:office:smarttags" w:element="stockticker">
              <w:r w:rsidRPr="005F3A0F">
                <w:rPr>
                  <w:rFonts w:ascii="Arial" w:hAnsi="Arial"/>
                  <w:sz w:val="22"/>
                </w:rPr>
                <w:t>IRI</w:t>
              </w:r>
            </w:smartTag>
            <w:r w:rsidRPr="005F3A0F">
              <w:rPr>
                <w:rFonts w:ascii="Arial" w:hAnsi="Arial"/>
                <w:sz w:val="22"/>
              </w:rPr>
              <w:t xml:space="preserve"> &gt; 170 in</w:t>
            </w:r>
            <w:r w:rsidR="006834C7">
              <w:rPr>
                <w:rFonts w:ascii="Arial" w:hAnsi="Arial"/>
                <w:sz w:val="22"/>
              </w:rPr>
              <w:t>ch</w:t>
            </w:r>
            <w:r w:rsidRPr="005F3A0F">
              <w:rPr>
                <w:rFonts w:ascii="Arial" w:hAnsi="Arial"/>
                <w:sz w:val="22"/>
              </w:rPr>
              <w:t xml:space="preserve">/mile </w:t>
            </w:r>
          </w:p>
        </w:tc>
        <w:tc>
          <w:tcPr>
            <w:tcW w:w="3150" w:type="dxa"/>
            <w:vAlign w:val="center"/>
          </w:tcPr>
          <w:p w14:paraId="48CF2168" w14:textId="77777777" w:rsidR="002E3FE9" w:rsidRPr="005F3A0F" w:rsidRDefault="002E3FE9" w:rsidP="00213662">
            <w:pPr>
              <w:tabs>
                <w:tab w:val="left" w:pos="7668"/>
              </w:tabs>
              <w:rPr>
                <w:rFonts w:ascii="Arial" w:hAnsi="Arial"/>
                <w:sz w:val="22"/>
              </w:rPr>
            </w:pPr>
          </w:p>
        </w:tc>
      </w:tr>
    </w:tbl>
    <w:p w14:paraId="285991C6" w14:textId="74CC19FF" w:rsidR="00213662" w:rsidRDefault="00213662" w:rsidP="00213662">
      <w:pPr>
        <w:ind w:left="90" w:right="180"/>
        <w:jc w:val="both"/>
        <w:rPr>
          <w:rFonts w:ascii="Arial" w:hAnsi="Arial"/>
          <w:sz w:val="18"/>
        </w:rPr>
      </w:pPr>
      <w:r>
        <w:rPr>
          <w:rFonts w:ascii="Arial" w:hAnsi="Arial"/>
          <w:sz w:val="18"/>
        </w:rPr>
        <w:t>Notes:</w:t>
      </w:r>
    </w:p>
    <w:p w14:paraId="5FDFF93A" w14:textId="7EE64597" w:rsidR="002E3FE9" w:rsidRPr="00213662" w:rsidRDefault="002E3FE9" w:rsidP="00172E64">
      <w:pPr>
        <w:pStyle w:val="ListParagraph"/>
        <w:numPr>
          <w:ilvl w:val="0"/>
          <w:numId w:val="170"/>
        </w:numPr>
        <w:ind w:right="180"/>
        <w:rPr>
          <w:rFonts w:ascii="Arial" w:hAnsi="Arial"/>
          <w:sz w:val="18"/>
        </w:rPr>
      </w:pPr>
      <w:r w:rsidRPr="00213662">
        <w:rPr>
          <w:rFonts w:ascii="Arial" w:hAnsi="Arial"/>
          <w:sz w:val="18"/>
        </w:rPr>
        <w:t xml:space="preserve">The wedge/level layer is intended to provide an additional layer between the joint tape and the final HMA overlay layer, resulting in two lifts of HMA between the joint tape and the final roadway surface.  </w:t>
      </w:r>
    </w:p>
    <w:p w14:paraId="2E691CD5" w14:textId="582F839A" w:rsidR="002E3FE9" w:rsidRPr="00213662" w:rsidRDefault="002E3FE9" w:rsidP="00172E64">
      <w:pPr>
        <w:pStyle w:val="ListParagraph"/>
        <w:numPr>
          <w:ilvl w:val="0"/>
          <w:numId w:val="170"/>
        </w:numPr>
        <w:ind w:right="180"/>
        <w:rPr>
          <w:rFonts w:ascii="Arial" w:hAnsi="Arial"/>
          <w:sz w:val="18"/>
        </w:rPr>
      </w:pPr>
      <w:r w:rsidRPr="00213662">
        <w:rPr>
          <w:rFonts w:ascii="Arial" w:hAnsi="Arial"/>
          <w:sz w:val="18"/>
        </w:rPr>
        <w:t>If a significant increase in elevation is required (&gt;2</w:t>
      </w:r>
      <w:r w:rsidR="00213662">
        <w:rPr>
          <w:rFonts w:ascii="Arial" w:hAnsi="Arial"/>
          <w:sz w:val="18"/>
        </w:rPr>
        <w:t>"</w:t>
      </w:r>
      <w:r w:rsidRPr="00213662">
        <w:rPr>
          <w:rFonts w:ascii="Arial" w:hAnsi="Arial"/>
          <w:sz w:val="18"/>
        </w:rPr>
        <w:t xml:space="preserve">), then the 19.0 mm should also be used in combination with the 9.5 mm for wedge/level, depending on the total increase in elevation.  </w:t>
      </w:r>
    </w:p>
    <w:p w14:paraId="1183ED66" w14:textId="5B81B825" w:rsidR="002E3FE9" w:rsidRPr="00213662" w:rsidRDefault="002E3FE9" w:rsidP="00172E64">
      <w:pPr>
        <w:pStyle w:val="ListParagraph"/>
        <w:numPr>
          <w:ilvl w:val="0"/>
          <w:numId w:val="170"/>
        </w:numPr>
        <w:ind w:right="180"/>
        <w:rPr>
          <w:rFonts w:ascii="Arial" w:hAnsi="Arial"/>
          <w:sz w:val="18"/>
        </w:rPr>
      </w:pPr>
      <w:r w:rsidRPr="00213662">
        <w:rPr>
          <w:rFonts w:ascii="Arial" w:hAnsi="Arial"/>
          <w:sz w:val="18"/>
        </w:rPr>
        <w:t xml:space="preserve">For situations where a base layer is desired in the travel lanes, but not in the shoulder.  </w:t>
      </w:r>
    </w:p>
    <w:p w14:paraId="0D37299D" w14:textId="77777777" w:rsidR="002E3FE9" w:rsidRPr="005F3A0F" w:rsidRDefault="002E3FE9" w:rsidP="00BE3F24">
      <w:pPr>
        <w:jc w:val="both"/>
        <w:rPr>
          <w:rFonts w:ascii="Arial" w:hAnsi="Arial"/>
          <w:sz w:val="18"/>
        </w:rPr>
      </w:pPr>
    </w:p>
    <w:p w14:paraId="1844316C" w14:textId="65411E9C" w:rsidR="002E3FE9" w:rsidRPr="005F3A0F" w:rsidRDefault="002E3FE9" w:rsidP="00BE3F24">
      <w:pPr>
        <w:jc w:val="both"/>
        <w:rPr>
          <w:rFonts w:ascii="Arial" w:hAnsi="Arial"/>
          <w:sz w:val="22"/>
        </w:rPr>
      </w:pPr>
      <w:r w:rsidRPr="005F3A0F">
        <w:rPr>
          <w:rFonts w:ascii="Arial" w:hAnsi="Arial"/>
          <w:sz w:val="22"/>
        </w:rPr>
        <w:t xml:space="preserve">The use a wedge/level layer is dictated by the amount the roadway elevation can be raised.  If there </w:t>
      </w:r>
      <w:r>
        <w:rPr>
          <w:rFonts w:ascii="Arial" w:hAnsi="Arial"/>
          <w:sz w:val="22"/>
        </w:rPr>
        <w:t>are</w:t>
      </w:r>
      <w:r w:rsidRPr="005F3A0F">
        <w:rPr>
          <w:rFonts w:ascii="Arial" w:hAnsi="Arial"/>
          <w:sz w:val="22"/>
        </w:rPr>
        <w:t xml:space="preserve"> restrictions regarding the roadway elevation, milling should be the selected alternative.  </w:t>
      </w:r>
      <w:r>
        <w:rPr>
          <w:rFonts w:ascii="Arial" w:hAnsi="Arial"/>
          <w:sz w:val="22"/>
        </w:rPr>
        <w:t>I</w:t>
      </w:r>
      <w:r w:rsidRPr="005F3A0F">
        <w:rPr>
          <w:rFonts w:ascii="Arial" w:hAnsi="Arial"/>
          <w:sz w:val="22"/>
        </w:rPr>
        <w:t>f there are no roadway elevation restrictions, wedge/</w:t>
      </w:r>
      <w:r w:rsidR="006834C7">
        <w:rPr>
          <w:rFonts w:ascii="Arial" w:hAnsi="Arial"/>
          <w:sz w:val="22"/>
        </w:rPr>
        <w:t xml:space="preserve"> </w:t>
      </w:r>
      <w:r w:rsidRPr="005F3A0F">
        <w:rPr>
          <w:rFonts w:ascii="Arial" w:hAnsi="Arial"/>
          <w:sz w:val="22"/>
        </w:rPr>
        <w:t>level is the preferred alternative</w:t>
      </w:r>
      <w:r>
        <w:rPr>
          <w:rFonts w:ascii="Arial" w:hAnsi="Arial"/>
          <w:sz w:val="22"/>
        </w:rPr>
        <w:t>, if the anticipated costs are similar</w:t>
      </w:r>
      <w:r w:rsidRPr="005F3A0F">
        <w:rPr>
          <w:rFonts w:ascii="Arial" w:hAnsi="Arial"/>
          <w:sz w:val="22"/>
        </w:rPr>
        <w:t>.  District Construction should be consulted to confirm the preference of removal versus wedge/level.</w:t>
      </w:r>
    </w:p>
    <w:p w14:paraId="0B28B75B" w14:textId="77777777" w:rsidR="002E3FE9" w:rsidRPr="005F3A0F" w:rsidRDefault="002E3FE9" w:rsidP="00BE3F24">
      <w:pPr>
        <w:rPr>
          <w:rFonts w:ascii="Arial" w:hAnsi="Arial"/>
          <w:sz w:val="22"/>
        </w:rPr>
      </w:pPr>
    </w:p>
    <w:p w14:paraId="340EDD99" w14:textId="77777777" w:rsidR="002E3FE9" w:rsidRPr="00C32ED0" w:rsidRDefault="002E3FE9" w:rsidP="00BE3F24">
      <w:pPr>
        <w:rPr>
          <w:rFonts w:ascii="Arial" w:hAnsi="Arial"/>
        </w:rPr>
      </w:pPr>
    </w:p>
    <w:p w14:paraId="3958119F" w14:textId="77777777" w:rsidR="002E3FE9" w:rsidRPr="00C32ED0" w:rsidRDefault="002E3FE9" w:rsidP="00172E64">
      <w:pPr>
        <w:pStyle w:val="Heading3"/>
        <w:numPr>
          <w:ilvl w:val="2"/>
          <w:numId w:val="184"/>
        </w:numPr>
        <w:ind w:left="0" w:firstLine="0"/>
      </w:pPr>
      <w:bookmarkStart w:id="460" w:name="_Patching_and_Joint"/>
      <w:bookmarkEnd w:id="460"/>
      <w:r>
        <w:br w:type="page"/>
      </w:r>
      <w:r w:rsidRPr="00C32ED0">
        <w:lastRenderedPageBreak/>
        <w:t xml:space="preserve">Patching Guidelines for </w:t>
      </w:r>
      <w:smartTag w:uri="urn:schemas-microsoft-com:office:smarttags" w:element="stockticker">
        <w:r w:rsidRPr="00C32ED0">
          <w:t>PCC</w:t>
        </w:r>
      </w:smartTag>
      <w:r w:rsidRPr="00C32ED0">
        <w:t xml:space="preserve"> Surfaces</w:t>
      </w: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673"/>
        <w:gridCol w:w="1010"/>
        <w:gridCol w:w="1404"/>
        <w:gridCol w:w="1356"/>
        <w:gridCol w:w="3372"/>
      </w:tblGrid>
      <w:tr w:rsidR="00934C57" w:rsidRPr="00C32ED0" w14:paraId="2D62B7C7" w14:textId="77777777" w:rsidTr="00200E0F">
        <w:trPr>
          <w:trHeight w:val="288"/>
          <w:tblHeader/>
          <w:jc w:val="center"/>
        </w:trPr>
        <w:tc>
          <w:tcPr>
            <w:tcW w:w="1673" w:type="dxa"/>
            <w:vMerge w:val="restart"/>
            <w:shd w:val="pct15" w:color="auto" w:fill="auto"/>
            <w:vAlign w:val="center"/>
          </w:tcPr>
          <w:p w14:paraId="02A8CED7" w14:textId="77777777" w:rsidR="00934C57" w:rsidRPr="00C32ED0" w:rsidRDefault="00934C57" w:rsidP="00200E0F">
            <w:pPr>
              <w:jc w:val="center"/>
              <w:rPr>
                <w:rFonts w:ascii="Arial" w:hAnsi="Arial"/>
                <w:b/>
                <w:snapToGrid w:val="0"/>
                <w:color w:val="000000"/>
                <w:sz w:val="22"/>
              </w:rPr>
            </w:pPr>
            <w:r w:rsidRPr="00C32ED0">
              <w:rPr>
                <w:rFonts w:ascii="Arial" w:hAnsi="Arial"/>
                <w:b/>
                <w:snapToGrid w:val="0"/>
                <w:color w:val="000000"/>
                <w:sz w:val="22"/>
              </w:rPr>
              <w:t>Distress</w:t>
            </w:r>
          </w:p>
        </w:tc>
        <w:tc>
          <w:tcPr>
            <w:tcW w:w="3770" w:type="dxa"/>
            <w:gridSpan w:val="3"/>
            <w:shd w:val="pct15" w:color="auto" w:fill="auto"/>
            <w:vAlign w:val="center"/>
          </w:tcPr>
          <w:p w14:paraId="2113CBEC" w14:textId="77777777" w:rsidR="00934C57" w:rsidRPr="00C32ED0" w:rsidRDefault="00934C57" w:rsidP="00934C57">
            <w:pPr>
              <w:jc w:val="center"/>
              <w:rPr>
                <w:rFonts w:ascii="Arial" w:hAnsi="Arial"/>
                <w:b/>
                <w:snapToGrid w:val="0"/>
                <w:color w:val="000000"/>
                <w:sz w:val="22"/>
              </w:rPr>
            </w:pPr>
            <w:r w:rsidRPr="00C32ED0">
              <w:rPr>
                <w:rFonts w:ascii="Arial" w:hAnsi="Arial"/>
                <w:b/>
                <w:snapToGrid w:val="0"/>
                <w:color w:val="000000"/>
                <w:sz w:val="22"/>
              </w:rPr>
              <w:t>Severity</w:t>
            </w:r>
          </w:p>
        </w:tc>
        <w:tc>
          <w:tcPr>
            <w:tcW w:w="3372" w:type="dxa"/>
            <w:vMerge w:val="restart"/>
            <w:shd w:val="pct15" w:color="auto" w:fill="auto"/>
            <w:vAlign w:val="center"/>
          </w:tcPr>
          <w:p w14:paraId="0F82F0F6" w14:textId="77777777" w:rsidR="00934C57" w:rsidRPr="00C32ED0" w:rsidRDefault="00934C57" w:rsidP="00200E0F">
            <w:pPr>
              <w:jc w:val="center"/>
              <w:rPr>
                <w:rFonts w:ascii="Arial" w:hAnsi="Arial"/>
                <w:b/>
                <w:snapToGrid w:val="0"/>
                <w:color w:val="000000"/>
                <w:sz w:val="22"/>
              </w:rPr>
            </w:pPr>
            <w:r w:rsidRPr="00C32ED0">
              <w:rPr>
                <w:rFonts w:ascii="Arial" w:hAnsi="Arial"/>
                <w:b/>
                <w:snapToGrid w:val="0"/>
                <w:color w:val="000000"/>
                <w:sz w:val="22"/>
              </w:rPr>
              <w:t>Comments</w:t>
            </w:r>
          </w:p>
        </w:tc>
      </w:tr>
      <w:tr w:rsidR="00934C57" w:rsidRPr="00C32ED0" w14:paraId="7A908AA6" w14:textId="77777777" w:rsidTr="00200E0F">
        <w:trPr>
          <w:trHeight w:val="288"/>
          <w:tblHeader/>
          <w:jc w:val="center"/>
        </w:trPr>
        <w:tc>
          <w:tcPr>
            <w:tcW w:w="1673" w:type="dxa"/>
            <w:vMerge/>
            <w:vAlign w:val="center"/>
          </w:tcPr>
          <w:p w14:paraId="3F311FCA" w14:textId="77777777" w:rsidR="00934C57" w:rsidRPr="00C32ED0" w:rsidRDefault="00934C57" w:rsidP="00BE3F24">
            <w:pPr>
              <w:jc w:val="right"/>
              <w:rPr>
                <w:rFonts w:ascii="Arial" w:hAnsi="Arial"/>
                <w:b/>
                <w:snapToGrid w:val="0"/>
                <w:color w:val="000000"/>
                <w:sz w:val="22"/>
              </w:rPr>
            </w:pPr>
          </w:p>
        </w:tc>
        <w:tc>
          <w:tcPr>
            <w:tcW w:w="1010" w:type="dxa"/>
            <w:vAlign w:val="center"/>
          </w:tcPr>
          <w:p w14:paraId="5A9D61B2" w14:textId="77777777" w:rsidR="00934C57" w:rsidRPr="00C32ED0" w:rsidRDefault="00934C57" w:rsidP="00BE3F24">
            <w:pPr>
              <w:jc w:val="center"/>
              <w:rPr>
                <w:rFonts w:ascii="Arial" w:hAnsi="Arial"/>
                <w:b/>
                <w:snapToGrid w:val="0"/>
                <w:color w:val="000000"/>
                <w:sz w:val="22"/>
              </w:rPr>
            </w:pPr>
            <w:r w:rsidRPr="00C32ED0">
              <w:rPr>
                <w:rFonts w:ascii="Arial" w:hAnsi="Arial"/>
                <w:b/>
                <w:snapToGrid w:val="0"/>
                <w:color w:val="000000"/>
                <w:sz w:val="22"/>
              </w:rPr>
              <w:t>Low</w:t>
            </w:r>
          </w:p>
        </w:tc>
        <w:tc>
          <w:tcPr>
            <w:tcW w:w="1404" w:type="dxa"/>
            <w:vAlign w:val="center"/>
          </w:tcPr>
          <w:p w14:paraId="62B9D748" w14:textId="77777777" w:rsidR="00934C57" w:rsidRPr="00C32ED0" w:rsidRDefault="00934C57" w:rsidP="00BE3F24">
            <w:pPr>
              <w:jc w:val="center"/>
              <w:rPr>
                <w:rFonts w:ascii="Arial" w:hAnsi="Arial"/>
                <w:b/>
                <w:snapToGrid w:val="0"/>
                <w:color w:val="000000"/>
                <w:sz w:val="22"/>
              </w:rPr>
            </w:pPr>
            <w:r w:rsidRPr="00C32ED0">
              <w:rPr>
                <w:rFonts w:ascii="Arial" w:hAnsi="Arial"/>
                <w:b/>
                <w:snapToGrid w:val="0"/>
                <w:color w:val="000000"/>
                <w:sz w:val="22"/>
              </w:rPr>
              <w:t>Medium</w:t>
            </w:r>
          </w:p>
        </w:tc>
        <w:tc>
          <w:tcPr>
            <w:tcW w:w="1356" w:type="dxa"/>
            <w:vAlign w:val="center"/>
          </w:tcPr>
          <w:p w14:paraId="0E84DB65" w14:textId="77777777" w:rsidR="00934C57" w:rsidRPr="00C32ED0" w:rsidRDefault="00934C57" w:rsidP="00BE3F24">
            <w:pPr>
              <w:jc w:val="center"/>
              <w:rPr>
                <w:rFonts w:ascii="Arial" w:hAnsi="Arial"/>
                <w:b/>
                <w:snapToGrid w:val="0"/>
                <w:color w:val="000000"/>
                <w:sz w:val="22"/>
              </w:rPr>
            </w:pPr>
            <w:r w:rsidRPr="00C32ED0">
              <w:rPr>
                <w:rFonts w:ascii="Arial" w:hAnsi="Arial"/>
                <w:b/>
                <w:snapToGrid w:val="0"/>
                <w:color w:val="000000"/>
                <w:sz w:val="22"/>
              </w:rPr>
              <w:t>High</w:t>
            </w:r>
          </w:p>
        </w:tc>
        <w:tc>
          <w:tcPr>
            <w:tcW w:w="3372" w:type="dxa"/>
            <w:vMerge/>
            <w:vAlign w:val="center"/>
          </w:tcPr>
          <w:p w14:paraId="19E17D4C" w14:textId="77777777" w:rsidR="00934C57" w:rsidRPr="00C32ED0" w:rsidRDefault="00934C57" w:rsidP="00BE3F24">
            <w:pPr>
              <w:jc w:val="right"/>
              <w:rPr>
                <w:rFonts w:ascii="Arial" w:hAnsi="Arial"/>
                <w:b/>
                <w:snapToGrid w:val="0"/>
                <w:color w:val="000000"/>
                <w:sz w:val="22"/>
              </w:rPr>
            </w:pPr>
          </w:p>
        </w:tc>
      </w:tr>
      <w:tr w:rsidR="00934C57" w:rsidRPr="00C32ED0" w14:paraId="4D0AEB53" w14:textId="77777777" w:rsidTr="00200E0F">
        <w:trPr>
          <w:trHeight w:val="288"/>
          <w:jc w:val="center"/>
        </w:trPr>
        <w:tc>
          <w:tcPr>
            <w:tcW w:w="1673" w:type="dxa"/>
            <w:vAlign w:val="center"/>
          </w:tcPr>
          <w:p w14:paraId="1623EB6F" w14:textId="77777777" w:rsidR="00934C57" w:rsidRPr="00D01712" w:rsidRDefault="00934C57" w:rsidP="00BE3F24">
            <w:pPr>
              <w:rPr>
                <w:rFonts w:ascii="Arial" w:hAnsi="Arial"/>
                <w:b/>
                <w:snapToGrid w:val="0"/>
                <w:color w:val="000000"/>
                <w:sz w:val="18"/>
                <w:szCs w:val="16"/>
              </w:rPr>
            </w:pPr>
            <w:r w:rsidRPr="00D01712">
              <w:rPr>
                <w:rFonts w:ascii="Arial" w:hAnsi="Arial"/>
                <w:b/>
                <w:snapToGrid w:val="0"/>
                <w:color w:val="000000"/>
                <w:sz w:val="18"/>
                <w:szCs w:val="16"/>
              </w:rPr>
              <w:t>Blow-Up</w:t>
            </w:r>
          </w:p>
        </w:tc>
        <w:tc>
          <w:tcPr>
            <w:tcW w:w="1010" w:type="dxa"/>
            <w:vAlign w:val="center"/>
          </w:tcPr>
          <w:p w14:paraId="7B0BAECD"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404" w:type="dxa"/>
            <w:vAlign w:val="center"/>
          </w:tcPr>
          <w:p w14:paraId="0A3DF87F"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356" w:type="dxa"/>
            <w:vAlign w:val="center"/>
          </w:tcPr>
          <w:p w14:paraId="0672C3BB"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Merge w:val="restart"/>
            <w:vAlign w:val="center"/>
          </w:tcPr>
          <w:p w14:paraId="7BCB9B1F" w14:textId="77777777" w:rsidR="00934C57" w:rsidRPr="00C32ED0" w:rsidRDefault="00934C57" w:rsidP="00BE3F24">
            <w:pPr>
              <w:jc w:val="right"/>
              <w:rPr>
                <w:rFonts w:ascii="Arial" w:hAnsi="Arial"/>
                <w:snapToGrid w:val="0"/>
                <w:color w:val="000000"/>
                <w:sz w:val="22"/>
              </w:rPr>
            </w:pPr>
          </w:p>
        </w:tc>
      </w:tr>
      <w:tr w:rsidR="00934C57" w:rsidRPr="00C32ED0" w14:paraId="0EDB47EF" w14:textId="77777777" w:rsidTr="00200E0F">
        <w:trPr>
          <w:trHeight w:val="288"/>
          <w:jc w:val="center"/>
        </w:trPr>
        <w:tc>
          <w:tcPr>
            <w:tcW w:w="1673" w:type="dxa"/>
            <w:vAlign w:val="center"/>
          </w:tcPr>
          <w:p w14:paraId="36F29AC2" w14:textId="77777777" w:rsidR="00934C57" w:rsidRPr="00D01712" w:rsidRDefault="00934C57" w:rsidP="00BE3F24">
            <w:pPr>
              <w:rPr>
                <w:rFonts w:ascii="Arial" w:hAnsi="Arial"/>
                <w:b/>
                <w:snapToGrid w:val="0"/>
                <w:color w:val="000000"/>
                <w:sz w:val="18"/>
                <w:szCs w:val="16"/>
              </w:rPr>
            </w:pPr>
            <w:r w:rsidRPr="00D01712">
              <w:rPr>
                <w:rFonts w:ascii="Arial" w:hAnsi="Arial"/>
                <w:b/>
                <w:snapToGrid w:val="0"/>
                <w:color w:val="000000"/>
                <w:sz w:val="18"/>
                <w:szCs w:val="16"/>
              </w:rPr>
              <w:t>Divided Slab</w:t>
            </w:r>
          </w:p>
        </w:tc>
        <w:tc>
          <w:tcPr>
            <w:tcW w:w="1010" w:type="dxa"/>
            <w:vAlign w:val="center"/>
          </w:tcPr>
          <w:p w14:paraId="1427C285"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404" w:type="dxa"/>
            <w:vAlign w:val="center"/>
          </w:tcPr>
          <w:p w14:paraId="545E2B14"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356" w:type="dxa"/>
            <w:vAlign w:val="center"/>
          </w:tcPr>
          <w:p w14:paraId="3BA77209"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Merge/>
            <w:vAlign w:val="center"/>
          </w:tcPr>
          <w:p w14:paraId="21CE9FF5" w14:textId="77777777" w:rsidR="00934C57" w:rsidRPr="00C32ED0" w:rsidRDefault="00934C57" w:rsidP="00BE3F24">
            <w:pPr>
              <w:jc w:val="right"/>
              <w:rPr>
                <w:rFonts w:ascii="Arial" w:hAnsi="Arial"/>
                <w:snapToGrid w:val="0"/>
                <w:color w:val="000000"/>
                <w:sz w:val="22"/>
              </w:rPr>
            </w:pPr>
          </w:p>
        </w:tc>
      </w:tr>
      <w:tr w:rsidR="00934C57" w:rsidRPr="00C32ED0" w14:paraId="10B25FC9" w14:textId="77777777" w:rsidTr="00200E0F">
        <w:trPr>
          <w:trHeight w:val="288"/>
          <w:jc w:val="center"/>
        </w:trPr>
        <w:tc>
          <w:tcPr>
            <w:tcW w:w="1673" w:type="dxa"/>
            <w:vAlign w:val="center"/>
          </w:tcPr>
          <w:p w14:paraId="0D634BB5" w14:textId="77777777" w:rsidR="00934C57" w:rsidRPr="00D01712" w:rsidRDefault="00934C57" w:rsidP="00BE3F24">
            <w:pPr>
              <w:rPr>
                <w:rFonts w:ascii="Arial" w:hAnsi="Arial"/>
                <w:b/>
                <w:snapToGrid w:val="0"/>
                <w:color w:val="000000"/>
                <w:sz w:val="18"/>
                <w:szCs w:val="16"/>
              </w:rPr>
            </w:pPr>
            <w:r w:rsidRPr="00D01712">
              <w:rPr>
                <w:rFonts w:ascii="Arial" w:hAnsi="Arial"/>
                <w:b/>
                <w:snapToGrid w:val="0"/>
                <w:color w:val="000000"/>
                <w:sz w:val="18"/>
                <w:szCs w:val="16"/>
              </w:rPr>
              <w:t>Corner Break</w:t>
            </w:r>
          </w:p>
        </w:tc>
        <w:tc>
          <w:tcPr>
            <w:tcW w:w="1010" w:type="dxa"/>
            <w:vAlign w:val="center"/>
          </w:tcPr>
          <w:p w14:paraId="355C14DA"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404" w:type="dxa"/>
            <w:vAlign w:val="center"/>
          </w:tcPr>
          <w:p w14:paraId="2898CE95"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356" w:type="dxa"/>
            <w:vAlign w:val="center"/>
          </w:tcPr>
          <w:p w14:paraId="0939E660"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Merge/>
            <w:vAlign w:val="center"/>
          </w:tcPr>
          <w:p w14:paraId="0D47A5DA" w14:textId="77777777" w:rsidR="00934C57" w:rsidRPr="00C32ED0" w:rsidRDefault="00934C57" w:rsidP="00BE3F24">
            <w:pPr>
              <w:jc w:val="right"/>
              <w:rPr>
                <w:rFonts w:ascii="Arial" w:hAnsi="Arial"/>
                <w:snapToGrid w:val="0"/>
                <w:color w:val="000000"/>
                <w:sz w:val="22"/>
              </w:rPr>
            </w:pPr>
          </w:p>
        </w:tc>
      </w:tr>
      <w:tr w:rsidR="00934C57" w:rsidRPr="00C32ED0" w14:paraId="027C9D6A" w14:textId="77777777" w:rsidTr="00200E0F">
        <w:trPr>
          <w:trHeight w:val="288"/>
          <w:jc w:val="center"/>
        </w:trPr>
        <w:tc>
          <w:tcPr>
            <w:tcW w:w="1673" w:type="dxa"/>
            <w:vAlign w:val="center"/>
          </w:tcPr>
          <w:p w14:paraId="26114F5A" w14:textId="77777777" w:rsidR="00934C57" w:rsidRPr="00D01712" w:rsidRDefault="00934C57" w:rsidP="00BE3F24">
            <w:pPr>
              <w:rPr>
                <w:rFonts w:ascii="Arial" w:hAnsi="Arial"/>
                <w:b/>
                <w:snapToGrid w:val="0"/>
                <w:color w:val="000000"/>
                <w:sz w:val="18"/>
                <w:szCs w:val="16"/>
              </w:rPr>
            </w:pPr>
            <w:r w:rsidRPr="00D01712">
              <w:rPr>
                <w:rFonts w:ascii="Arial" w:hAnsi="Arial"/>
                <w:b/>
                <w:snapToGrid w:val="0"/>
                <w:color w:val="000000"/>
                <w:sz w:val="18"/>
                <w:szCs w:val="16"/>
              </w:rPr>
              <w:t>Durability</w:t>
            </w:r>
          </w:p>
        </w:tc>
        <w:tc>
          <w:tcPr>
            <w:tcW w:w="1010" w:type="dxa"/>
            <w:vAlign w:val="center"/>
          </w:tcPr>
          <w:p w14:paraId="011E056B"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404" w:type="dxa"/>
            <w:vAlign w:val="center"/>
          </w:tcPr>
          <w:p w14:paraId="77C2858D"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356" w:type="dxa"/>
            <w:vAlign w:val="center"/>
          </w:tcPr>
          <w:p w14:paraId="7C8A6E74" w14:textId="77777777" w:rsidR="00934C57" w:rsidRPr="00D01712" w:rsidRDefault="00934C57"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Merge/>
            <w:vAlign w:val="center"/>
          </w:tcPr>
          <w:p w14:paraId="65BC43A9" w14:textId="77777777" w:rsidR="00934C57" w:rsidRPr="00C32ED0" w:rsidRDefault="00934C57" w:rsidP="00BE3F24">
            <w:pPr>
              <w:jc w:val="right"/>
              <w:rPr>
                <w:rFonts w:ascii="Arial" w:hAnsi="Arial"/>
                <w:snapToGrid w:val="0"/>
                <w:color w:val="000000"/>
                <w:sz w:val="22"/>
              </w:rPr>
            </w:pPr>
          </w:p>
        </w:tc>
      </w:tr>
      <w:tr w:rsidR="002E3FE9" w:rsidRPr="00C32ED0" w14:paraId="1B771B63" w14:textId="77777777" w:rsidTr="00200E0F">
        <w:trPr>
          <w:trHeight w:val="288"/>
          <w:jc w:val="center"/>
        </w:trPr>
        <w:tc>
          <w:tcPr>
            <w:tcW w:w="1673" w:type="dxa"/>
            <w:vAlign w:val="center"/>
          </w:tcPr>
          <w:p w14:paraId="01AF9805" w14:textId="77777777" w:rsidR="002E3FE9" w:rsidRPr="00D01712" w:rsidRDefault="002E3FE9" w:rsidP="00BE3F24">
            <w:pPr>
              <w:rPr>
                <w:rFonts w:ascii="Arial" w:hAnsi="Arial"/>
                <w:b/>
                <w:snapToGrid w:val="0"/>
                <w:color w:val="000000"/>
                <w:sz w:val="18"/>
                <w:szCs w:val="16"/>
              </w:rPr>
            </w:pPr>
            <w:r w:rsidRPr="00D01712">
              <w:rPr>
                <w:rFonts w:ascii="Arial" w:hAnsi="Arial"/>
                <w:b/>
                <w:snapToGrid w:val="0"/>
                <w:color w:val="000000"/>
                <w:sz w:val="18"/>
                <w:szCs w:val="16"/>
              </w:rPr>
              <w:t>Faulting</w:t>
            </w:r>
          </w:p>
        </w:tc>
        <w:tc>
          <w:tcPr>
            <w:tcW w:w="1010" w:type="dxa"/>
            <w:vAlign w:val="center"/>
          </w:tcPr>
          <w:p w14:paraId="4867A740"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404" w:type="dxa"/>
            <w:vAlign w:val="center"/>
          </w:tcPr>
          <w:p w14:paraId="4B880BE6"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356" w:type="dxa"/>
            <w:vAlign w:val="center"/>
          </w:tcPr>
          <w:p w14:paraId="3D3D5DF5"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Align w:val="center"/>
          </w:tcPr>
          <w:p w14:paraId="764A4CF4" w14:textId="0E403831" w:rsidR="002E3FE9" w:rsidRPr="00D01712" w:rsidRDefault="002E3FE9" w:rsidP="00BE3F24">
            <w:pPr>
              <w:rPr>
                <w:rFonts w:ascii="Arial" w:hAnsi="Arial"/>
                <w:snapToGrid w:val="0"/>
                <w:color w:val="000000"/>
                <w:sz w:val="18"/>
                <w:szCs w:val="16"/>
              </w:rPr>
            </w:pPr>
            <w:r w:rsidRPr="00D01712">
              <w:rPr>
                <w:rFonts w:ascii="Arial" w:hAnsi="Arial"/>
                <w:snapToGrid w:val="0"/>
                <w:color w:val="000000"/>
                <w:sz w:val="18"/>
                <w:szCs w:val="16"/>
              </w:rPr>
              <w:t>Consider grinding or under-sealing the joint to remove fault</w:t>
            </w:r>
          </w:p>
        </w:tc>
      </w:tr>
      <w:tr w:rsidR="002E3FE9" w:rsidRPr="00C32ED0" w14:paraId="26078B2A" w14:textId="77777777" w:rsidTr="00200E0F">
        <w:trPr>
          <w:trHeight w:val="288"/>
          <w:jc w:val="center"/>
        </w:trPr>
        <w:tc>
          <w:tcPr>
            <w:tcW w:w="1673" w:type="dxa"/>
            <w:vAlign w:val="center"/>
          </w:tcPr>
          <w:p w14:paraId="43626A6C" w14:textId="77777777" w:rsidR="002E3FE9" w:rsidRPr="00D01712" w:rsidRDefault="002E3FE9" w:rsidP="00BE3F24">
            <w:pPr>
              <w:rPr>
                <w:rFonts w:ascii="Arial" w:hAnsi="Arial"/>
                <w:b/>
                <w:snapToGrid w:val="0"/>
                <w:color w:val="000000"/>
                <w:sz w:val="18"/>
                <w:szCs w:val="16"/>
              </w:rPr>
            </w:pPr>
            <w:r w:rsidRPr="00D01712">
              <w:rPr>
                <w:rFonts w:ascii="Arial" w:hAnsi="Arial"/>
                <w:b/>
                <w:snapToGrid w:val="0"/>
                <w:color w:val="000000"/>
                <w:sz w:val="18"/>
                <w:szCs w:val="16"/>
              </w:rPr>
              <w:t>Linear Cracking</w:t>
            </w:r>
          </w:p>
        </w:tc>
        <w:tc>
          <w:tcPr>
            <w:tcW w:w="1010" w:type="dxa"/>
            <w:vAlign w:val="center"/>
          </w:tcPr>
          <w:p w14:paraId="319999B0"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404" w:type="dxa"/>
            <w:vAlign w:val="center"/>
          </w:tcPr>
          <w:p w14:paraId="6CA9B05A"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356" w:type="dxa"/>
            <w:vAlign w:val="center"/>
          </w:tcPr>
          <w:p w14:paraId="44DF6E79"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Align w:val="center"/>
          </w:tcPr>
          <w:p w14:paraId="4A9DE283" w14:textId="4DD6802E" w:rsidR="002E3FE9" w:rsidRPr="00D01712" w:rsidRDefault="002E3FE9" w:rsidP="006834C7">
            <w:pPr>
              <w:rPr>
                <w:rFonts w:ascii="Arial" w:hAnsi="Arial"/>
                <w:snapToGrid w:val="0"/>
                <w:color w:val="000000"/>
                <w:sz w:val="18"/>
                <w:szCs w:val="16"/>
              </w:rPr>
            </w:pPr>
            <w:r w:rsidRPr="00D01712">
              <w:rPr>
                <w:rFonts w:ascii="Arial" w:hAnsi="Arial"/>
                <w:snapToGrid w:val="0"/>
                <w:color w:val="000000"/>
                <w:sz w:val="18"/>
                <w:szCs w:val="16"/>
              </w:rPr>
              <w:t>Consider grinding, under-sealing or crack sealing for Low and Medium Severity.</w:t>
            </w:r>
            <w:r w:rsidR="00F538FE" w:rsidRPr="00D01712">
              <w:rPr>
                <w:rFonts w:ascii="Arial" w:hAnsi="Arial"/>
                <w:snapToGrid w:val="0"/>
                <w:color w:val="000000"/>
                <w:sz w:val="18"/>
                <w:szCs w:val="16"/>
              </w:rPr>
              <w:t xml:space="preserve">  Consider dowel bar retrofit for mid-slab cracking</w:t>
            </w:r>
          </w:p>
        </w:tc>
      </w:tr>
      <w:tr w:rsidR="002E3FE9" w:rsidRPr="00C32ED0" w14:paraId="78052AD3" w14:textId="77777777" w:rsidTr="00200E0F">
        <w:trPr>
          <w:trHeight w:val="288"/>
          <w:jc w:val="center"/>
        </w:trPr>
        <w:tc>
          <w:tcPr>
            <w:tcW w:w="1673" w:type="dxa"/>
            <w:vAlign w:val="center"/>
          </w:tcPr>
          <w:p w14:paraId="0A72A05B" w14:textId="77777777" w:rsidR="002E3FE9" w:rsidRPr="00D01712" w:rsidRDefault="002E3FE9" w:rsidP="00BE3F24">
            <w:pPr>
              <w:rPr>
                <w:rFonts w:ascii="Arial" w:hAnsi="Arial"/>
                <w:b/>
                <w:snapToGrid w:val="0"/>
                <w:color w:val="000000"/>
                <w:sz w:val="18"/>
                <w:szCs w:val="16"/>
              </w:rPr>
            </w:pPr>
            <w:r w:rsidRPr="00D01712">
              <w:rPr>
                <w:rFonts w:ascii="Arial" w:hAnsi="Arial"/>
                <w:b/>
                <w:snapToGrid w:val="0"/>
                <w:color w:val="000000"/>
                <w:sz w:val="18"/>
                <w:szCs w:val="16"/>
              </w:rPr>
              <w:t>Patching</w:t>
            </w:r>
          </w:p>
        </w:tc>
        <w:tc>
          <w:tcPr>
            <w:tcW w:w="1010" w:type="dxa"/>
            <w:vAlign w:val="center"/>
          </w:tcPr>
          <w:p w14:paraId="6A7E6B38"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404" w:type="dxa"/>
            <w:vAlign w:val="center"/>
          </w:tcPr>
          <w:p w14:paraId="0EE42AF9"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356" w:type="dxa"/>
            <w:vAlign w:val="center"/>
          </w:tcPr>
          <w:p w14:paraId="62514DF3"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Align w:val="center"/>
          </w:tcPr>
          <w:p w14:paraId="642845A8" w14:textId="77777777" w:rsidR="002E3FE9" w:rsidRPr="00D01712" w:rsidRDefault="002E3FE9" w:rsidP="00BE3F24">
            <w:pPr>
              <w:rPr>
                <w:rFonts w:ascii="Arial" w:hAnsi="Arial"/>
                <w:snapToGrid w:val="0"/>
                <w:color w:val="000000"/>
                <w:sz w:val="18"/>
                <w:szCs w:val="16"/>
              </w:rPr>
            </w:pPr>
          </w:p>
        </w:tc>
      </w:tr>
      <w:tr w:rsidR="002E3FE9" w:rsidRPr="00C32ED0" w14:paraId="3E4805B7" w14:textId="77777777" w:rsidTr="00200E0F">
        <w:trPr>
          <w:trHeight w:val="288"/>
          <w:jc w:val="center"/>
        </w:trPr>
        <w:tc>
          <w:tcPr>
            <w:tcW w:w="1673" w:type="dxa"/>
            <w:vAlign w:val="center"/>
          </w:tcPr>
          <w:p w14:paraId="7948D6F6" w14:textId="77777777" w:rsidR="002E3FE9" w:rsidRPr="00D01712" w:rsidRDefault="002E3FE9" w:rsidP="00BE3F24">
            <w:pPr>
              <w:rPr>
                <w:rFonts w:ascii="Arial" w:hAnsi="Arial"/>
                <w:b/>
                <w:snapToGrid w:val="0"/>
                <w:color w:val="000000"/>
                <w:sz w:val="18"/>
                <w:szCs w:val="16"/>
              </w:rPr>
            </w:pPr>
            <w:r w:rsidRPr="00D01712">
              <w:rPr>
                <w:rFonts w:ascii="Arial" w:hAnsi="Arial"/>
                <w:b/>
                <w:snapToGrid w:val="0"/>
                <w:color w:val="000000"/>
                <w:sz w:val="18"/>
                <w:szCs w:val="16"/>
              </w:rPr>
              <w:t>Pumping</w:t>
            </w:r>
          </w:p>
        </w:tc>
        <w:tc>
          <w:tcPr>
            <w:tcW w:w="1010" w:type="dxa"/>
            <w:vAlign w:val="center"/>
          </w:tcPr>
          <w:p w14:paraId="7A6B9460"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404" w:type="dxa"/>
            <w:vAlign w:val="center"/>
          </w:tcPr>
          <w:p w14:paraId="0C280E34"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356" w:type="dxa"/>
            <w:vAlign w:val="center"/>
          </w:tcPr>
          <w:p w14:paraId="77B5A6F2"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Align w:val="center"/>
          </w:tcPr>
          <w:p w14:paraId="0ED28BC0" w14:textId="3900363C" w:rsidR="002E3FE9" w:rsidRPr="00D01712" w:rsidRDefault="002E3FE9" w:rsidP="00BE3F24">
            <w:pPr>
              <w:rPr>
                <w:rFonts w:ascii="Arial" w:hAnsi="Arial"/>
                <w:snapToGrid w:val="0"/>
                <w:color w:val="000000"/>
                <w:sz w:val="18"/>
                <w:szCs w:val="16"/>
              </w:rPr>
            </w:pPr>
            <w:r w:rsidRPr="00D01712">
              <w:rPr>
                <w:rFonts w:ascii="Arial" w:hAnsi="Arial"/>
                <w:snapToGrid w:val="0"/>
                <w:color w:val="000000"/>
                <w:sz w:val="18"/>
                <w:szCs w:val="16"/>
              </w:rPr>
              <w:t xml:space="preserve">Consider under-sealing to correct </w:t>
            </w:r>
            <w:r w:rsidR="00934C57" w:rsidRPr="00D01712">
              <w:rPr>
                <w:rFonts w:ascii="Arial" w:hAnsi="Arial"/>
                <w:snapToGrid w:val="0"/>
                <w:color w:val="000000"/>
                <w:sz w:val="18"/>
                <w:szCs w:val="16"/>
              </w:rPr>
              <w:t>p</w:t>
            </w:r>
            <w:r w:rsidRPr="00D01712">
              <w:rPr>
                <w:rFonts w:ascii="Arial" w:hAnsi="Arial"/>
                <w:snapToGrid w:val="0"/>
                <w:color w:val="000000"/>
                <w:sz w:val="18"/>
                <w:szCs w:val="16"/>
              </w:rPr>
              <w:t>umping</w:t>
            </w:r>
          </w:p>
        </w:tc>
      </w:tr>
      <w:tr w:rsidR="002E3FE9" w:rsidRPr="00C32ED0" w14:paraId="768ED1E9" w14:textId="77777777" w:rsidTr="00200E0F">
        <w:trPr>
          <w:trHeight w:val="288"/>
          <w:jc w:val="center"/>
        </w:trPr>
        <w:tc>
          <w:tcPr>
            <w:tcW w:w="1673" w:type="dxa"/>
            <w:vAlign w:val="center"/>
          </w:tcPr>
          <w:p w14:paraId="6C100376" w14:textId="77777777" w:rsidR="002E3FE9" w:rsidRPr="00D01712" w:rsidRDefault="002E3FE9" w:rsidP="00BE3F24">
            <w:pPr>
              <w:rPr>
                <w:rFonts w:ascii="Arial" w:hAnsi="Arial"/>
                <w:b/>
                <w:snapToGrid w:val="0"/>
                <w:color w:val="000000"/>
                <w:sz w:val="18"/>
                <w:szCs w:val="16"/>
              </w:rPr>
            </w:pPr>
            <w:r w:rsidRPr="00D01712">
              <w:rPr>
                <w:rFonts w:ascii="Arial" w:hAnsi="Arial"/>
                <w:b/>
                <w:snapToGrid w:val="0"/>
                <w:color w:val="000000"/>
                <w:sz w:val="18"/>
                <w:szCs w:val="16"/>
              </w:rPr>
              <w:t>Punchout</w:t>
            </w:r>
          </w:p>
        </w:tc>
        <w:tc>
          <w:tcPr>
            <w:tcW w:w="1010" w:type="dxa"/>
            <w:vAlign w:val="center"/>
          </w:tcPr>
          <w:p w14:paraId="3D61B8BC"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404" w:type="dxa"/>
            <w:vAlign w:val="center"/>
          </w:tcPr>
          <w:p w14:paraId="68F8C94E"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1356" w:type="dxa"/>
            <w:vAlign w:val="center"/>
          </w:tcPr>
          <w:p w14:paraId="2B4F9A57"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Align w:val="center"/>
          </w:tcPr>
          <w:p w14:paraId="27E0CFC0" w14:textId="3BBDB2E2" w:rsidR="002E3FE9" w:rsidRPr="00D01712" w:rsidRDefault="002E3FE9" w:rsidP="00934C57">
            <w:pPr>
              <w:rPr>
                <w:rFonts w:ascii="Arial" w:hAnsi="Arial"/>
                <w:snapToGrid w:val="0"/>
                <w:color w:val="000000"/>
                <w:sz w:val="18"/>
                <w:szCs w:val="16"/>
              </w:rPr>
            </w:pPr>
            <w:r w:rsidRPr="00D01712">
              <w:rPr>
                <w:rFonts w:ascii="Arial" w:hAnsi="Arial"/>
                <w:snapToGrid w:val="0"/>
                <w:color w:val="000000"/>
                <w:sz w:val="18"/>
                <w:szCs w:val="16"/>
              </w:rPr>
              <w:t>Type II patch if punchout greater that 6</w:t>
            </w:r>
            <w:r w:rsidR="00934C57" w:rsidRPr="00D01712">
              <w:rPr>
                <w:rFonts w:ascii="Arial" w:hAnsi="Arial"/>
                <w:snapToGrid w:val="0"/>
                <w:color w:val="000000"/>
                <w:sz w:val="18"/>
                <w:szCs w:val="16"/>
              </w:rPr>
              <w:t>'</w:t>
            </w:r>
            <w:r w:rsidRPr="00D01712">
              <w:rPr>
                <w:rFonts w:ascii="Arial" w:hAnsi="Arial"/>
                <w:snapToGrid w:val="0"/>
                <w:color w:val="000000"/>
                <w:sz w:val="18"/>
                <w:szCs w:val="16"/>
              </w:rPr>
              <w:t xml:space="preserve"> long</w:t>
            </w:r>
            <w:r w:rsidRPr="00D01712">
              <w:rPr>
                <w:rFonts w:ascii="Arial" w:hAnsi="Arial"/>
                <w:sz w:val="18"/>
                <w:szCs w:val="16"/>
                <w:vertAlign w:val="superscript"/>
              </w:rPr>
              <w:t>1</w:t>
            </w:r>
          </w:p>
        </w:tc>
      </w:tr>
      <w:tr w:rsidR="00F538FE" w:rsidRPr="00C32ED0" w14:paraId="3A395EF9" w14:textId="77777777" w:rsidTr="00200E0F">
        <w:trPr>
          <w:trHeight w:val="288"/>
          <w:jc w:val="center"/>
        </w:trPr>
        <w:tc>
          <w:tcPr>
            <w:tcW w:w="1673" w:type="dxa"/>
            <w:vAlign w:val="center"/>
          </w:tcPr>
          <w:p w14:paraId="6017DDB1" w14:textId="77777777" w:rsidR="00F538FE" w:rsidRPr="00D01712" w:rsidRDefault="00F538FE" w:rsidP="00F538FE">
            <w:pPr>
              <w:rPr>
                <w:rFonts w:ascii="Arial" w:hAnsi="Arial"/>
                <w:b/>
                <w:snapToGrid w:val="0"/>
                <w:color w:val="000000"/>
                <w:sz w:val="18"/>
                <w:szCs w:val="16"/>
              </w:rPr>
            </w:pPr>
            <w:r w:rsidRPr="00D01712">
              <w:rPr>
                <w:rFonts w:ascii="Arial" w:hAnsi="Arial"/>
                <w:b/>
                <w:snapToGrid w:val="0"/>
                <w:color w:val="000000"/>
                <w:sz w:val="18"/>
                <w:szCs w:val="16"/>
              </w:rPr>
              <w:t>Spalling</w:t>
            </w:r>
          </w:p>
        </w:tc>
        <w:tc>
          <w:tcPr>
            <w:tcW w:w="1010" w:type="dxa"/>
            <w:vAlign w:val="center"/>
          </w:tcPr>
          <w:p w14:paraId="0EA0A77F" w14:textId="582D6740" w:rsidR="00F538FE" w:rsidRPr="00D01712" w:rsidRDefault="00F538FE" w:rsidP="00F538FE">
            <w:pPr>
              <w:jc w:val="center"/>
              <w:rPr>
                <w:rFonts w:ascii="Arial" w:hAnsi="Arial"/>
                <w:snapToGrid w:val="0"/>
                <w:color w:val="000000"/>
                <w:sz w:val="18"/>
                <w:szCs w:val="16"/>
              </w:rPr>
            </w:pPr>
            <w:r w:rsidRPr="00D01712">
              <w:rPr>
                <w:rFonts w:ascii="Arial" w:hAnsi="Arial"/>
                <w:snapToGrid w:val="0"/>
                <w:color w:val="000000"/>
                <w:sz w:val="18"/>
                <w:szCs w:val="16"/>
              </w:rPr>
              <w:t>Partial</w:t>
            </w:r>
            <w:r w:rsidR="0030340B" w:rsidRPr="00D01712">
              <w:rPr>
                <w:rFonts w:ascii="Arial" w:hAnsi="Arial"/>
                <w:snapToGrid w:val="0"/>
                <w:color w:val="000000"/>
                <w:sz w:val="18"/>
                <w:szCs w:val="16"/>
                <w:vertAlign w:val="superscript"/>
              </w:rPr>
              <w:t>2</w:t>
            </w:r>
          </w:p>
        </w:tc>
        <w:tc>
          <w:tcPr>
            <w:tcW w:w="1404" w:type="dxa"/>
            <w:vAlign w:val="center"/>
          </w:tcPr>
          <w:p w14:paraId="44465E98" w14:textId="60DED8B7" w:rsidR="00F538FE" w:rsidRPr="00D01712" w:rsidRDefault="00F538FE" w:rsidP="00F538FE">
            <w:pPr>
              <w:jc w:val="center"/>
              <w:rPr>
                <w:rFonts w:ascii="Arial" w:hAnsi="Arial"/>
                <w:snapToGrid w:val="0"/>
                <w:color w:val="000000"/>
                <w:sz w:val="18"/>
                <w:szCs w:val="16"/>
              </w:rPr>
            </w:pPr>
            <w:r w:rsidRPr="00D01712">
              <w:rPr>
                <w:rFonts w:ascii="Arial" w:hAnsi="Arial"/>
                <w:snapToGrid w:val="0"/>
                <w:color w:val="000000"/>
                <w:sz w:val="18"/>
                <w:szCs w:val="16"/>
              </w:rPr>
              <w:t>Partial</w:t>
            </w:r>
            <w:r w:rsidR="0030340B" w:rsidRPr="00D01712">
              <w:rPr>
                <w:rFonts w:ascii="Arial" w:hAnsi="Arial"/>
                <w:snapToGrid w:val="0"/>
                <w:color w:val="000000"/>
                <w:sz w:val="18"/>
                <w:szCs w:val="16"/>
                <w:vertAlign w:val="superscript"/>
              </w:rPr>
              <w:t>2</w:t>
            </w:r>
          </w:p>
        </w:tc>
        <w:tc>
          <w:tcPr>
            <w:tcW w:w="1356" w:type="dxa"/>
            <w:vAlign w:val="center"/>
          </w:tcPr>
          <w:p w14:paraId="5AA7D48B" w14:textId="77777777" w:rsidR="00F538FE" w:rsidRPr="00D01712" w:rsidRDefault="00F538FE" w:rsidP="00F538FE">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Align w:val="center"/>
          </w:tcPr>
          <w:p w14:paraId="7391C4D7" w14:textId="77777777" w:rsidR="00F538FE" w:rsidRPr="00D01712" w:rsidRDefault="00F538FE" w:rsidP="00F538FE">
            <w:pPr>
              <w:rPr>
                <w:rFonts w:ascii="Arial" w:hAnsi="Arial"/>
                <w:snapToGrid w:val="0"/>
                <w:color w:val="000000"/>
                <w:sz w:val="18"/>
                <w:szCs w:val="16"/>
              </w:rPr>
            </w:pPr>
          </w:p>
        </w:tc>
      </w:tr>
      <w:tr w:rsidR="002E3FE9" w:rsidRPr="00C32ED0" w14:paraId="7078331D" w14:textId="77777777" w:rsidTr="00200E0F">
        <w:trPr>
          <w:trHeight w:val="288"/>
          <w:jc w:val="center"/>
        </w:trPr>
        <w:tc>
          <w:tcPr>
            <w:tcW w:w="1673" w:type="dxa"/>
            <w:vAlign w:val="center"/>
          </w:tcPr>
          <w:p w14:paraId="45FD3B77" w14:textId="77777777" w:rsidR="002E3FE9" w:rsidRPr="00D01712" w:rsidRDefault="00F538FE" w:rsidP="00F538FE">
            <w:pPr>
              <w:rPr>
                <w:rFonts w:ascii="Arial" w:hAnsi="Arial"/>
                <w:b/>
                <w:snapToGrid w:val="0"/>
                <w:color w:val="000000"/>
                <w:sz w:val="18"/>
                <w:szCs w:val="16"/>
              </w:rPr>
            </w:pPr>
            <w:r w:rsidRPr="00D01712">
              <w:rPr>
                <w:rFonts w:ascii="Arial" w:hAnsi="Arial"/>
                <w:b/>
                <w:snapToGrid w:val="0"/>
                <w:color w:val="000000"/>
                <w:sz w:val="18"/>
                <w:szCs w:val="16"/>
              </w:rPr>
              <w:t>Terminal Joint Repair</w:t>
            </w:r>
          </w:p>
        </w:tc>
        <w:tc>
          <w:tcPr>
            <w:tcW w:w="1010" w:type="dxa"/>
            <w:vAlign w:val="center"/>
          </w:tcPr>
          <w:p w14:paraId="1EDF293C" w14:textId="77777777" w:rsidR="002E3FE9" w:rsidRPr="00D01712" w:rsidRDefault="00F538FE"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404" w:type="dxa"/>
            <w:vAlign w:val="center"/>
          </w:tcPr>
          <w:p w14:paraId="723DB6F0" w14:textId="77777777" w:rsidR="002E3FE9" w:rsidRPr="00D01712" w:rsidRDefault="00F538FE" w:rsidP="00BE3F24">
            <w:pPr>
              <w:jc w:val="center"/>
              <w:rPr>
                <w:rFonts w:ascii="Arial" w:hAnsi="Arial"/>
                <w:snapToGrid w:val="0"/>
                <w:color w:val="000000"/>
                <w:sz w:val="18"/>
                <w:szCs w:val="16"/>
              </w:rPr>
            </w:pPr>
            <w:r w:rsidRPr="00D01712">
              <w:rPr>
                <w:rFonts w:ascii="Arial" w:hAnsi="Arial"/>
                <w:snapToGrid w:val="0"/>
                <w:color w:val="000000"/>
                <w:sz w:val="18"/>
                <w:szCs w:val="16"/>
              </w:rPr>
              <w:t>None</w:t>
            </w:r>
          </w:p>
        </w:tc>
        <w:tc>
          <w:tcPr>
            <w:tcW w:w="1356" w:type="dxa"/>
            <w:vAlign w:val="center"/>
          </w:tcPr>
          <w:p w14:paraId="44A014B7" w14:textId="77777777" w:rsidR="002E3FE9" w:rsidRPr="00D01712" w:rsidRDefault="002E3FE9" w:rsidP="00BE3F24">
            <w:pPr>
              <w:jc w:val="center"/>
              <w:rPr>
                <w:rFonts w:ascii="Arial" w:hAnsi="Arial"/>
                <w:snapToGrid w:val="0"/>
                <w:color w:val="000000"/>
                <w:sz w:val="18"/>
                <w:szCs w:val="16"/>
              </w:rPr>
            </w:pPr>
            <w:r w:rsidRPr="00D01712">
              <w:rPr>
                <w:rFonts w:ascii="Arial" w:hAnsi="Arial"/>
                <w:snapToGrid w:val="0"/>
                <w:color w:val="000000"/>
                <w:sz w:val="18"/>
                <w:szCs w:val="16"/>
              </w:rPr>
              <w:t>Full</w:t>
            </w:r>
          </w:p>
        </w:tc>
        <w:tc>
          <w:tcPr>
            <w:tcW w:w="3372" w:type="dxa"/>
            <w:vAlign w:val="center"/>
          </w:tcPr>
          <w:p w14:paraId="4C479050" w14:textId="602CD5D8" w:rsidR="002E3FE9" w:rsidRPr="00D01712" w:rsidRDefault="00F538FE" w:rsidP="00BE3F24">
            <w:pPr>
              <w:rPr>
                <w:rFonts w:ascii="Arial" w:hAnsi="Arial"/>
                <w:snapToGrid w:val="0"/>
                <w:color w:val="000000"/>
                <w:sz w:val="18"/>
                <w:szCs w:val="16"/>
              </w:rPr>
            </w:pPr>
            <w:r w:rsidRPr="00D01712">
              <w:rPr>
                <w:rFonts w:ascii="Arial" w:hAnsi="Arial"/>
                <w:snapToGrid w:val="0"/>
                <w:color w:val="000000"/>
                <w:sz w:val="18"/>
                <w:szCs w:val="16"/>
              </w:rPr>
              <w:t>Repair by replacing in-kind or creating an expansion joint</w:t>
            </w:r>
          </w:p>
        </w:tc>
      </w:tr>
    </w:tbl>
    <w:p w14:paraId="2B0341CC" w14:textId="77777777" w:rsidR="00934C57" w:rsidRDefault="002E3FE9" w:rsidP="00BE3F24">
      <w:pPr>
        <w:jc w:val="both"/>
        <w:rPr>
          <w:rFonts w:ascii="Arial" w:hAnsi="Arial"/>
          <w:snapToGrid w:val="0"/>
          <w:color w:val="000000"/>
          <w:sz w:val="18"/>
        </w:rPr>
      </w:pPr>
      <w:r w:rsidRPr="00C32ED0">
        <w:rPr>
          <w:rFonts w:ascii="Arial" w:hAnsi="Arial"/>
          <w:snapToGrid w:val="0"/>
          <w:color w:val="000000"/>
          <w:sz w:val="18"/>
          <w:u w:val="single"/>
        </w:rPr>
        <w:t>Notes:</w:t>
      </w:r>
      <w:r w:rsidRPr="00C32ED0">
        <w:rPr>
          <w:rFonts w:ascii="Arial" w:hAnsi="Arial"/>
          <w:snapToGrid w:val="0"/>
          <w:color w:val="000000"/>
          <w:sz w:val="18"/>
        </w:rPr>
        <w:t xml:space="preserve"> </w:t>
      </w:r>
      <w:r w:rsidRPr="00C32ED0">
        <w:rPr>
          <w:rFonts w:ascii="Arial" w:hAnsi="Arial"/>
          <w:snapToGrid w:val="0"/>
          <w:color w:val="000000"/>
          <w:sz w:val="18"/>
        </w:rPr>
        <w:tab/>
      </w:r>
    </w:p>
    <w:p w14:paraId="16A94C5C" w14:textId="1647AF4F" w:rsidR="00934C57" w:rsidRPr="0030340B" w:rsidRDefault="00934C57" w:rsidP="00934C57">
      <w:pPr>
        <w:ind w:left="360" w:hanging="360"/>
        <w:jc w:val="both"/>
        <w:rPr>
          <w:rFonts w:ascii="Arial" w:hAnsi="Arial"/>
          <w:snapToGrid w:val="0"/>
          <w:color w:val="000000"/>
          <w:sz w:val="18"/>
        </w:rPr>
      </w:pPr>
      <w:r>
        <w:rPr>
          <w:rFonts w:ascii="Arial" w:hAnsi="Arial"/>
          <w:snapToGrid w:val="0"/>
          <w:color w:val="000000"/>
          <w:sz w:val="18"/>
        </w:rPr>
        <w:t>1.</w:t>
      </w:r>
      <w:r>
        <w:rPr>
          <w:rFonts w:ascii="Arial" w:hAnsi="Arial"/>
          <w:snapToGrid w:val="0"/>
          <w:color w:val="000000"/>
          <w:sz w:val="18"/>
        </w:rPr>
        <w:tab/>
      </w:r>
      <w:r w:rsidRPr="00C32ED0">
        <w:rPr>
          <w:rFonts w:ascii="Arial" w:hAnsi="Arial"/>
          <w:snapToGrid w:val="0"/>
          <w:color w:val="000000"/>
          <w:sz w:val="18"/>
        </w:rPr>
        <w:t xml:space="preserve">Type I </w:t>
      </w:r>
      <w:smartTag w:uri="urn:schemas-microsoft-com:office:smarttags" w:element="stockticker">
        <w:r w:rsidRPr="00C32ED0">
          <w:rPr>
            <w:rFonts w:ascii="Arial" w:hAnsi="Arial"/>
            <w:snapToGrid w:val="0"/>
            <w:color w:val="000000"/>
            <w:sz w:val="18"/>
          </w:rPr>
          <w:t>PCC</w:t>
        </w:r>
      </w:smartTag>
      <w:r w:rsidRPr="00C32ED0">
        <w:rPr>
          <w:rFonts w:ascii="Arial" w:hAnsi="Arial"/>
          <w:snapToGrid w:val="0"/>
          <w:color w:val="000000"/>
          <w:sz w:val="18"/>
        </w:rPr>
        <w:t xml:space="preserve"> Patch is less than </w:t>
      </w:r>
      <w:r w:rsidRPr="0030340B">
        <w:rPr>
          <w:rFonts w:ascii="Arial" w:hAnsi="Arial"/>
          <w:snapToGrid w:val="0"/>
          <w:color w:val="000000"/>
          <w:sz w:val="18"/>
        </w:rPr>
        <w:t>15 ft</w:t>
      </w:r>
      <w:r w:rsidR="006834C7">
        <w:rPr>
          <w:rFonts w:ascii="Arial" w:hAnsi="Arial"/>
          <w:snapToGrid w:val="0"/>
          <w:color w:val="000000"/>
          <w:sz w:val="18"/>
        </w:rPr>
        <w:t>.</w:t>
      </w:r>
      <w:r w:rsidRPr="0030340B">
        <w:rPr>
          <w:rFonts w:ascii="Arial" w:hAnsi="Arial"/>
          <w:snapToGrid w:val="0"/>
          <w:color w:val="000000"/>
          <w:sz w:val="18"/>
        </w:rPr>
        <w:t xml:space="preserve"> in length.  Type II </w:t>
      </w:r>
      <w:smartTag w:uri="urn:schemas-microsoft-com:office:smarttags" w:element="stockticker">
        <w:r w:rsidRPr="0030340B">
          <w:rPr>
            <w:rFonts w:ascii="Arial" w:hAnsi="Arial"/>
            <w:snapToGrid w:val="0"/>
            <w:color w:val="000000"/>
            <w:sz w:val="18"/>
          </w:rPr>
          <w:t>PCC</w:t>
        </w:r>
      </w:smartTag>
      <w:r w:rsidRPr="0030340B">
        <w:rPr>
          <w:rFonts w:ascii="Arial" w:hAnsi="Arial"/>
          <w:snapToGrid w:val="0"/>
          <w:color w:val="000000"/>
          <w:sz w:val="18"/>
        </w:rPr>
        <w:t xml:space="preserve"> Patch is greater than 15 ft</w:t>
      </w:r>
      <w:r w:rsidR="006834C7">
        <w:rPr>
          <w:rFonts w:ascii="Arial" w:hAnsi="Arial"/>
          <w:snapToGrid w:val="0"/>
          <w:color w:val="000000"/>
          <w:sz w:val="18"/>
        </w:rPr>
        <w:t>.</w:t>
      </w:r>
      <w:r w:rsidRPr="0030340B">
        <w:rPr>
          <w:rFonts w:ascii="Arial" w:hAnsi="Arial"/>
          <w:snapToGrid w:val="0"/>
          <w:color w:val="000000"/>
          <w:sz w:val="18"/>
        </w:rPr>
        <w:t xml:space="preserve"> in length.</w:t>
      </w:r>
    </w:p>
    <w:p w14:paraId="5D0FFCA5" w14:textId="4751916D" w:rsidR="00934C57" w:rsidRDefault="00934C57" w:rsidP="006834C7">
      <w:pPr>
        <w:ind w:left="360" w:hanging="360"/>
        <w:rPr>
          <w:rFonts w:ascii="Arial" w:hAnsi="Arial"/>
          <w:snapToGrid w:val="0"/>
          <w:color w:val="000000"/>
          <w:sz w:val="18"/>
        </w:rPr>
      </w:pPr>
      <w:r w:rsidRPr="0030340B">
        <w:rPr>
          <w:rFonts w:ascii="Arial" w:hAnsi="Arial"/>
          <w:snapToGrid w:val="0"/>
          <w:color w:val="000000"/>
          <w:sz w:val="18"/>
        </w:rPr>
        <w:t>2.</w:t>
      </w:r>
      <w:r w:rsidRPr="0030340B">
        <w:rPr>
          <w:rFonts w:ascii="Arial" w:hAnsi="Arial"/>
          <w:snapToGrid w:val="0"/>
          <w:color w:val="000000"/>
          <w:sz w:val="18"/>
        </w:rPr>
        <w:tab/>
        <w:t xml:space="preserve">Partial </w:t>
      </w:r>
      <w:smartTag w:uri="urn:schemas-microsoft-com:office:smarttags" w:element="stockticker">
        <w:r w:rsidRPr="0030340B">
          <w:rPr>
            <w:rFonts w:ascii="Arial" w:hAnsi="Arial"/>
            <w:snapToGrid w:val="0"/>
            <w:color w:val="000000"/>
            <w:sz w:val="18"/>
          </w:rPr>
          <w:t>PCC</w:t>
        </w:r>
      </w:smartTag>
      <w:r w:rsidRPr="0030340B">
        <w:rPr>
          <w:rFonts w:ascii="Arial" w:hAnsi="Arial"/>
          <w:snapToGrid w:val="0"/>
          <w:color w:val="000000"/>
          <w:sz w:val="18"/>
        </w:rPr>
        <w:t xml:space="preserve"> Patch is also called Spall Repair.</w:t>
      </w:r>
    </w:p>
    <w:p w14:paraId="07FB14DA" w14:textId="37000414" w:rsidR="002E3FE9" w:rsidRPr="00C32ED0" w:rsidRDefault="002E3FE9" w:rsidP="00200E0F">
      <w:pPr>
        <w:rPr>
          <w:rFonts w:ascii="Arial" w:hAnsi="Arial"/>
          <w:snapToGrid w:val="0"/>
          <w:color w:val="000000"/>
          <w:sz w:val="18"/>
        </w:rPr>
      </w:pPr>
      <w:r w:rsidRPr="00C32ED0">
        <w:rPr>
          <w:rFonts w:ascii="Arial" w:hAnsi="Arial"/>
          <w:snapToGrid w:val="0"/>
          <w:color w:val="000000"/>
          <w:sz w:val="18"/>
        </w:rPr>
        <w:t xml:space="preserve">Joint sealant damage, lane/shoulder drop off, polished aggregate, popouts, RR Xing, Map Cracking, and shrinkage cracking are not patched. </w:t>
      </w:r>
    </w:p>
    <w:p w14:paraId="465BA3A5" w14:textId="77777777" w:rsidR="002E3FE9" w:rsidRPr="00C32ED0" w:rsidRDefault="002E3FE9" w:rsidP="00BE3F24">
      <w:pPr>
        <w:jc w:val="both"/>
        <w:rPr>
          <w:rFonts w:ascii="Arial" w:hAnsi="Arial"/>
          <w:snapToGrid w:val="0"/>
          <w:color w:val="000000"/>
          <w:sz w:val="18"/>
        </w:rPr>
      </w:pPr>
      <w:r w:rsidRPr="00C32ED0">
        <w:rPr>
          <w:rFonts w:ascii="Arial" w:hAnsi="Arial"/>
          <w:snapToGrid w:val="0"/>
          <w:color w:val="000000"/>
          <w:sz w:val="18"/>
        </w:rPr>
        <w:t>A flexible full-depth patch is not recommended (Use rigid patch).</w:t>
      </w:r>
    </w:p>
    <w:p w14:paraId="44A1D07A" w14:textId="3314B8DB" w:rsidR="002E3FE9" w:rsidRPr="00C32ED0" w:rsidRDefault="002E3FE9" w:rsidP="00BE3F24">
      <w:pPr>
        <w:jc w:val="both"/>
        <w:rPr>
          <w:rFonts w:ascii="Arial" w:hAnsi="Arial"/>
          <w:snapToGrid w:val="0"/>
          <w:color w:val="000000"/>
          <w:sz w:val="18"/>
        </w:rPr>
      </w:pPr>
      <w:r w:rsidRPr="00C32ED0">
        <w:rPr>
          <w:rFonts w:ascii="Arial" w:hAnsi="Arial"/>
          <w:snapToGrid w:val="0"/>
          <w:color w:val="000000"/>
          <w:sz w:val="18"/>
        </w:rPr>
        <w:t>If M</w:t>
      </w:r>
      <w:r w:rsidRPr="00C32ED0">
        <w:rPr>
          <w:rFonts w:ascii="Arial" w:hAnsi="Arial"/>
          <w:snapToGrid w:val="0"/>
          <w:color w:val="000000"/>
          <w:sz w:val="18"/>
          <w:vertAlign w:val="subscript"/>
        </w:rPr>
        <w:t>r</w:t>
      </w:r>
      <w:r w:rsidRPr="00C32ED0">
        <w:rPr>
          <w:rFonts w:ascii="Arial" w:hAnsi="Arial"/>
          <w:snapToGrid w:val="0"/>
          <w:color w:val="000000"/>
          <w:sz w:val="18"/>
        </w:rPr>
        <w:t xml:space="preserve"> subgrade is weak</w:t>
      </w:r>
      <w:r w:rsidR="00934C57">
        <w:rPr>
          <w:rFonts w:ascii="Arial" w:hAnsi="Arial"/>
          <w:snapToGrid w:val="0"/>
          <w:color w:val="000000"/>
          <w:sz w:val="18"/>
        </w:rPr>
        <w:t xml:space="preserve">, </w:t>
      </w:r>
      <w:smartTag w:uri="urn:schemas-microsoft-com:office:smarttags" w:element="stockticker">
        <w:r w:rsidRPr="00C32ED0">
          <w:rPr>
            <w:rFonts w:ascii="Arial" w:hAnsi="Arial"/>
            <w:snapToGrid w:val="0"/>
            <w:color w:val="000000"/>
            <w:sz w:val="18"/>
          </w:rPr>
          <w:t>PCC</w:t>
        </w:r>
      </w:smartTag>
      <w:r w:rsidRPr="00C32ED0">
        <w:rPr>
          <w:rFonts w:ascii="Arial" w:hAnsi="Arial"/>
          <w:snapToGrid w:val="0"/>
          <w:color w:val="000000"/>
          <w:sz w:val="18"/>
        </w:rPr>
        <w:t xml:space="preserve"> patch required.</w:t>
      </w:r>
    </w:p>
    <w:p w14:paraId="0EC7A281" w14:textId="6CED62DE" w:rsidR="002E3FE9" w:rsidRPr="00C00EB1" w:rsidRDefault="002E3FE9" w:rsidP="00BE3F24">
      <w:pPr>
        <w:jc w:val="both"/>
        <w:rPr>
          <w:rFonts w:ascii="Arial" w:hAnsi="Arial"/>
          <w:highlight w:val="yellow"/>
        </w:rPr>
      </w:pPr>
      <w:r w:rsidRPr="00C32ED0">
        <w:rPr>
          <w:rFonts w:ascii="Arial" w:hAnsi="Arial"/>
          <w:snapToGrid w:val="0"/>
          <w:color w:val="000000"/>
          <w:sz w:val="18"/>
        </w:rPr>
        <w:t xml:space="preserve">If </w:t>
      </w:r>
      <w:r w:rsidR="006834C7">
        <w:rPr>
          <w:rFonts w:ascii="Arial" w:hAnsi="Arial"/>
          <w:snapToGrid w:val="0"/>
          <w:color w:val="000000"/>
          <w:sz w:val="18"/>
        </w:rPr>
        <w:t>p</w:t>
      </w:r>
      <w:r w:rsidRPr="00C32ED0">
        <w:rPr>
          <w:rFonts w:ascii="Arial" w:hAnsi="Arial"/>
          <w:snapToGrid w:val="0"/>
          <w:color w:val="000000"/>
          <w:sz w:val="18"/>
        </w:rPr>
        <w:t>umping is evident</w:t>
      </w:r>
      <w:r w:rsidR="00934C57">
        <w:rPr>
          <w:rFonts w:ascii="Arial" w:hAnsi="Arial"/>
          <w:snapToGrid w:val="0"/>
          <w:color w:val="000000"/>
          <w:sz w:val="18"/>
        </w:rPr>
        <w:t xml:space="preserve">, </w:t>
      </w:r>
      <w:smartTag w:uri="urn:schemas-microsoft-com:office:smarttags" w:element="stockticker">
        <w:r w:rsidRPr="00C32ED0">
          <w:rPr>
            <w:rFonts w:ascii="Arial" w:hAnsi="Arial"/>
            <w:snapToGrid w:val="0"/>
            <w:color w:val="000000"/>
            <w:sz w:val="18"/>
          </w:rPr>
          <w:t>PCC</w:t>
        </w:r>
      </w:smartTag>
      <w:r w:rsidRPr="00C32ED0">
        <w:rPr>
          <w:rFonts w:ascii="Arial" w:hAnsi="Arial"/>
          <w:snapToGrid w:val="0"/>
          <w:color w:val="000000"/>
          <w:sz w:val="18"/>
        </w:rPr>
        <w:t xml:space="preserve"> patch required.</w:t>
      </w:r>
    </w:p>
    <w:p w14:paraId="1BB1DB99" w14:textId="77777777" w:rsidR="002E3FE9" w:rsidRPr="00FD7ECA" w:rsidRDefault="002E3FE9" w:rsidP="00172E64">
      <w:pPr>
        <w:pStyle w:val="Heading3"/>
        <w:numPr>
          <w:ilvl w:val="2"/>
          <w:numId w:val="184"/>
        </w:numPr>
        <w:ind w:left="0" w:firstLine="0"/>
        <w:jc w:val="both"/>
      </w:pPr>
      <w:bookmarkStart w:id="461" w:name="_Patching_and_Joint_1"/>
      <w:bookmarkStart w:id="462" w:name="_Patching_Guidelines_for"/>
      <w:bookmarkEnd w:id="461"/>
      <w:bookmarkEnd w:id="462"/>
      <w:r w:rsidRPr="00FD7ECA">
        <w:t>Patching Guidelines for AC Surfaces</w:t>
      </w:r>
    </w:p>
    <w:p w14:paraId="114240EB" w14:textId="77777777" w:rsidR="00777D44" w:rsidRDefault="00777D44" w:rsidP="00777D44">
      <w:r>
        <w:rPr>
          <w:rFonts w:ascii="Arial" w:eastAsia="Arial" w:hAnsi="Arial" w:cs="Arial"/>
          <w:sz w:val="16"/>
        </w:rPr>
        <w:t>Click to go</w:t>
      </w:r>
      <w:r w:rsidRPr="00982DB5">
        <w:rPr>
          <w:rFonts w:ascii="Arial" w:eastAsia="Arial" w:hAnsi="Arial" w:cs="Arial"/>
          <w:sz w:val="16"/>
          <w:szCs w:val="16"/>
        </w:rPr>
        <w:t xml:space="preserve"> to</w:t>
      </w:r>
      <w:r>
        <w:rPr>
          <w:rFonts w:ascii="Arial" w:eastAsia="Arial" w:hAnsi="Arial" w:cs="Arial"/>
          <w:sz w:val="16"/>
          <w:szCs w:val="16"/>
        </w:rPr>
        <w:t xml:space="preserve"> </w:t>
      </w:r>
      <w:hyperlink w:anchor="_Patching_Survey" w:history="1">
        <w:r w:rsidRPr="00777D44">
          <w:rPr>
            <w:rStyle w:val="Hyperlink"/>
            <w:rFonts w:ascii="Arial" w:eastAsia="Arial" w:hAnsi="Arial" w:cs="Arial"/>
            <w:sz w:val="16"/>
            <w:szCs w:val="16"/>
          </w:rPr>
          <w:t>Patching Survey</w:t>
        </w:r>
      </w:hyperlink>
      <w:r w:rsidRPr="008F604D">
        <w:t xml:space="preserve"> </w:t>
      </w:r>
    </w:p>
    <w:p w14:paraId="35C14406" w14:textId="77777777" w:rsidR="001F32D3" w:rsidRPr="008F604D" w:rsidRDefault="001F32D3" w:rsidP="001F32D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Load_Transfer" w:history="1">
        <w:r w:rsidRPr="001F32D3">
          <w:rPr>
            <w:rStyle w:val="Hyperlink"/>
            <w:rFonts w:ascii="Arial" w:hAnsi="Arial" w:cs="Arial"/>
            <w:bCs/>
            <w:sz w:val="16"/>
            <w:szCs w:val="16"/>
          </w:rPr>
          <w:t>Load Transfer</w:t>
        </w:r>
      </w:hyperlink>
    </w:p>
    <w:p w14:paraId="525B6D0D" w14:textId="77777777" w:rsidR="002E3FE9" w:rsidRPr="00FD7ECA" w:rsidRDefault="002E3FE9" w:rsidP="00BE3F24">
      <w:pPr>
        <w:jc w:val="both"/>
      </w:pPr>
    </w:p>
    <w:p w14:paraId="18736185" w14:textId="77777777" w:rsidR="002E3FE9" w:rsidRDefault="002E3FE9" w:rsidP="00BE3F24">
      <w:pPr>
        <w:jc w:val="both"/>
        <w:rPr>
          <w:rFonts w:ascii="Arial" w:hAnsi="Arial"/>
          <w:sz w:val="22"/>
        </w:rPr>
      </w:pPr>
      <w:r>
        <w:rPr>
          <w:rFonts w:ascii="Arial" w:hAnsi="Arial"/>
          <w:sz w:val="22"/>
        </w:rPr>
        <w:t>Although patching operations typically occur first in the sequence of construction, t</w:t>
      </w:r>
      <w:r w:rsidRPr="00FD7ECA">
        <w:rPr>
          <w:rFonts w:ascii="Arial" w:hAnsi="Arial"/>
          <w:sz w:val="22"/>
        </w:rPr>
        <w:t xml:space="preserve">he thickness of partial-depth and full-depth patches should be evaluated following the determination for the need for removal process.  The need for partial-depth patching could vary depending on the results of the removal selection process.  The thickness of partial-depth and full-depth patches could vary depending on the results of the removal selection process, especially in composite pavements. </w:t>
      </w:r>
    </w:p>
    <w:p w14:paraId="1D70DDF8" w14:textId="77777777" w:rsidR="002E3FE9" w:rsidRDefault="002E3FE9" w:rsidP="00200E0F">
      <w:pPr>
        <w:rPr>
          <w:rFonts w:ascii="Arial" w:hAnsi="Arial"/>
          <w:sz w:val="22"/>
        </w:rPr>
      </w:pPr>
    </w:p>
    <w:p w14:paraId="3D47457B" w14:textId="77777777" w:rsidR="0043452C" w:rsidRPr="0043452C" w:rsidRDefault="0043452C" w:rsidP="0043452C">
      <w:pPr>
        <w:rPr>
          <w:rFonts w:ascii="Arial" w:hAnsi="Arial" w:cs="Arial"/>
          <w:sz w:val="22"/>
          <w:szCs w:val="22"/>
        </w:rPr>
      </w:pPr>
      <w:r w:rsidRPr="0043452C">
        <w:rPr>
          <w:rFonts w:ascii="Arial" w:hAnsi="Arial" w:cs="Arial"/>
          <w:sz w:val="22"/>
          <w:szCs w:val="22"/>
        </w:rPr>
        <w:t xml:space="preserve">Generally, for situations where: </w:t>
      </w:r>
    </w:p>
    <w:p w14:paraId="14D6CE47" w14:textId="77777777" w:rsidR="007E629B" w:rsidRDefault="007E629B" w:rsidP="00172E64">
      <w:pPr>
        <w:pStyle w:val="xmsolistparagraph"/>
        <w:numPr>
          <w:ilvl w:val="0"/>
          <w:numId w:val="193"/>
        </w:numPr>
        <w:rPr>
          <w:rFonts w:eastAsia="Times New Roman"/>
        </w:rPr>
      </w:pPr>
      <w:r>
        <w:rPr>
          <w:rFonts w:ascii="Arial" w:eastAsia="Times New Roman" w:hAnsi="Arial" w:cs="Arial"/>
          <w:sz w:val="22"/>
          <w:szCs w:val="22"/>
        </w:rPr>
        <w:t>Patching up to 3” in one lift: Minimum patch width shall be 2’.</w:t>
      </w:r>
    </w:p>
    <w:p w14:paraId="0FB445C6" w14:textId="77777777" w:rsidR="007E629B" w:rsidRDefault="007E629B" w:rsidP="00172E64">
      <w:pPr>
        <w:pStyle w:val="xmsolistparagraph"/>
        <w:numPr>
          <w:ilvl w:val="0"/>
          <w:numId w:val="193"/>
        </w:numPr>
        <w:rPr>
          <w:rFonts w:eastAsia="Times New Roman"/>
        </w:rPr>
      </w:pPr>
      <w:r>
        <w:rPr>
          <w:rFonts w:ascii="Arial" w:eastAsia="Times New Roman" w:hAnsi="Arial" w:cs="Arial"/>
          <w:sz w:val="22"/>
          <w:szCs w:val="22"/>
        </w:rPr>
        <w:t>Patching on Primary Roads (Interstates, Principal Arterials): Minimum patch width shall be 6’.</w:t>
      </w:r>
    </w:p>
    <w:p w14:paraId="11E57774" w14:textId="77777777" w:rsidR="007E629B" w:rsidRDefault="007E629B" w:rsidP="00172E64">
      <w:pPr>
        <w:pStyle w:val="xmsolistparagraph"/>
        <w:numPr>
          <w:ilvl w:val="0"/>
          <w:numId w:val="193"/>
        </w:numPr>
        <w:jc w:val="both"/>
        <w:rPr>
          <w:rFonts w:eastAsia="Times New Roman"/>
        </w:rPr>
      </w:pPr>
      <w:r>
        <w:rPr>
          <w:rFonts w:ascii="Arial" w:eastAsia="Times New Roman" w:hAnsi="Arial" w:cs="Arial"/>
          <w:sz w:val="22"/>
          <w:szCs w:val="22"/>
        </w:rPr>
        <w:t>Patching on Secondary Roads (all other functional classes): Minimum patch width shall be 4’.</w:t>
      </w:r>
    </w:p>
    <w:p w14:paraId="2B244B4C" w14:textId="77777777" w:rsidR="007E629B" w:rsidRDefault="007E629B" w:rsidP="007E629B">
      <w:pPr>
        <w:pStyle w:val="xmsonormal"/>
        <w:jc w:val="both"/>
      </w:pPr>
      <w:r>
        <w:rPr>
          <w:rFonts w:ascii="Arial" w:hAnsi="Arial" w:cs="Arial"/>
        </w:rPr>
        <w:t> </w:t>
      </w:r>
    </w:p>
    <w:p w14:paraId="2A697841" w14:textId="77777777" w:rsidR="007E629B" w:rsidRDefault="007E629B" w:rsidP="007E629B">
      <w:pPr>
        <w:pStyle w:val="xmsonormal"/>
        <w:jc w:val="both"/>
        <w:rPr>
          <w:rFonts w:ascii="Arial" w:hAnsi="Arial" w:cs="Arial"/>
        </w:rPr>
      </w:pPr>
      <w:r>
        <w:rPr>
          <w:rFonts w:ascii="Arial" w:hAnsi="Arial" w:cs="Arial"/>
        </w:rPr>
        <w:t>Notes: (1) For longitudinal patches, connect distressed areas that are less than 50’ apart. (2) In considering width, do not leave a relatively small sliver between the patch and the existing longitudinal construction joint.</w:t>
      </w:r>
    </w:p>
    <w:p w14:paraId="72475F5B" w14:textId="77777777" w:rsidR="00D01712" w:rsidRDefault="00D01712" w:rsidP="007E629B">
      <w:pPr>
        <w:pStyle w:val="xmsonormal"/>
        <w:jc w:val="both"/>
      </w:pPr>
    </w:p>
    <w:p w14:paraId="3B5DCC77" w14:textId="2B3720B1" w:rsidR="002E3FE9" w:rsidRPr="00200E0F" w:rsidRDefault="002E3FE9" w:rsidP="00E37217">
      <w:pPr>
        <w:jc w:val="center"/>
        <w:rPr>
          <w:rFonts w:ascii="Arial" w:hAnsi="Arial"/>
          <w:b/>
          <w:sz w:val="24"/>
        </w:rPr>
      </w:pPr>
      <w:r w:rsidRPr="00200E0F">
        <w:rPr>
          <w:rFonts w:ascii="Arial" w:hAnsi="Arial"/>
          <w:b/>
          <w:sz w:val="24"/>
        </w:rPr>
        <w:lastRenderedPageBreak/>
        <w:t>Travel Lanes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485"/>
        <w:gridCol w:w="1080"/>
        <w:gridCol w:w="810"/>
        <w:gridCol w:w="810"/>
        <w:gridCol w:w="990"/>
        <w:gridCol w:w="1170"/>
        <w:gridCol w:w="2290"/>
      </w:tblGrid>
      <w:tr w:rsidR="00115674" w:rsidRPr="002F1A46" w14:paraId="660DBC70" w14:textId="77777777" w:rsidTr="006834C7">
        <w:trPr>
          <w:cantSplit/>
          <w:trHeight w:val="288"/>
          <w:tblHeader/>
          <w:jc w:val="center"/>
        </w:trPr>
        <w:tc>
          <w:tcPr>
            <w:tcW w:w="1485" w:type="dxa"/>
            <w:vMerge w:val="restart"/>
            <w:shd w:val="pct15" w:color="auto" w:fill="auto"/>
            <w:vAlign w:val="center"/>
          </w:tcPr>
          <w:p w14:paraId="11149E5F" w14:textId="77777777" w:rsidR="002F1A46" w:rsidRPr="00200E0F" w:rsidRDefault="002F1A46" w:rsidP="00E37217">
            <w:pPr>
              <w:jc w:val="center"/>
              <w:rPr>
                <w:rFonts w:ascii="Arial" w:hAnsi="Arial"/>
                <w:b/>
                <w:color w:val="000000"/>
                <w:sz w:val="18"/>
              </w:rPr>
            </w:pPr>
            <w:r w:rsidRPr="00200E0F">
              <w:rPr>
                <w:rFonts w:ascii="Arial" w:hAnsi="Arial"/>
                <w:b/>
                <w:color w:val="000000"/>
                <w:sz w:val="18"/>
              </w:rPr>
              <w:t>Distress</w:t>
            </w:r>
          </w:p>
        </w:tc>
        <w:tc>
          <w:tcPr>
            <w:tcW w:w="1080" w:type="dxa"/>
            <w:vMerge w:val="restart"/>
            <w:shd w:val="pct15" w:color="auto" w:fill="auto"/>
            <w:vAlign w:val="center"/>
          </w:tcPr>
          <w:p w14:paraId="5F0C6AF7"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Severity</w:t>
            </w:r>
          </w:p>
        </w:tc>
        <w:tc>
          <w:tcPr>
            <w:tcW w:w="1620" w:type="dxa"/>
            <w:gridSpan w:val="2"/>
            <w:shd w:val="pct15" w:color="auto" w:fill="auto"/>
            <w:vAlign w:val="center"/>
          </w:tcPr>
          <w:p w14:paraId="7A70785E"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No Milling</w:t>
            </w:r>
          </w:p>
        </w:tc>
        <w:tc>
          <w:tcPr>
            <w:tcW w:w="2160" w:type="dxa"/>
            <w:gridSpan w:val="2"/>
            <w:shd w:val="pct15" w:color="auto" w:fill="auto"/>
            <w:vAlign w:val="center"/>
          </w:tcPr>
          <w:p w14:paraId="47C6AAE7" w14:textId="3DB66F9E" w:rsidR="002F1A46" w:rsidRPr="00200E0F" w:rsidRDefault="002F1A46" w:rsidP="008E2312">
            <w:pPr>
              <w:jc w:val="center"/>
              <w:rPr>
                <w:rFonts w:ascii="Arial" w:hAnsi="Arial"/>
                <w:b/>
                <w:color w:val="000000"/>
                <w:sz w:val="18"/>
              </w:rPr>
            </w:pPr>
            <w:r w:rsidRPr="00200E0F">
              <w:rPr>
                <w:rFonts w:ascii="Arial" w:hAnsi="Arial"/>
                <w:b/>
                <w:color w:val="000000"/>
                <w:sz w:val="18"/>
              </w:rPr>
              <w:t>Milling (1"</w:t>
            </w:r>
            <w:r w:rsidRPr="00200E0F">
              <w:rPr>
                <w:rFonts w:ascii="Arial" w:hAnsi="Arial"/>
                <w:color w:val="000000"/>
                <w:sz w:val="18"/>
              </w:rPr>
              <w:t xml:space="preserve"> </w:t>
            </w:r>
            <w:r w:rsidRPr="002F1A46">
              <w:rPr>
                <w:rFonts w:ascii="Arial" w:hAnsi="Arial" w:cs="Arial"/>
                <w:snapToGrid w:val="0"/>
                <w:color w:val="000000"/>
                <w:sz w:val="18"/>
                <w:szCs w:val="18"/>
              </w:rPr>
              <w:t>–</w:t>
            </w:r>
            <w:r w:rsidRPr="00200E0F">
              <w:rPr>
                <w:rFonts w:ascii="Arial" w:hAnsi="Arial"/>
                <w:color w:val="000000"/>
                <w:sz w:val="18"/>
              </w:rPr>
              <w:t xml:space="preserve"> </w:t>
            </w:r>
            <w:r w:rsidRPr="00200E0F">
              <w:rPr>
                <w:rFonts w:ascii="Arial" w:hAnsi="Arial"/>
                <w:b/>
                <w:color w:val="000000"/>
                <w:sz w:val="18"/>
              </w:rPr>
              <w:t>2")</w:t>
            </w:r>
          </w:p>
        </w:tc>
        <w:tc>
          <w:tcPr>
            <w:tcW w:w="2290" w:type="dxa"/>
            <w:vMerge w:val="restart"/>
            <w:shd w:val="pct15" w:color="auto" w:fill="auto"/>
            <w:vAlign w:val="center"/>
          </w:tcPr>
          <w:p w14:paraId="2B974A65" w14:textId="77777777" w:rsidR="002F1A46" w:rsidRPr="00200E0F" w:rsidRDefault="002F1A46" w:rsidP="008E2312">
            <w:pPr>
              <w:jc w:val="center"/>
              <w:rPr>
                <w:rFonts w:ascii="Arial" w:hAnsi="Arial"/>
                <w:color w:val="000000"/>
                <w:sz w:val="18"/>
              </w:rPr>
            </w:pPr>
            <w:r w:rsidRPr="00200E0F">
              <w:rPr>
                <w:rFonts w:ascii="Arial" w:hAnsi="Arial"/>
                <w:b/>
                <w:color w:val="000000"/>
                <w:sz w:val="18"/>
              </w:rPr>
              <w:t>Comments</w:t>
            </w:r>
          </w:p>
        </w:tc>
      </w:tr>
      <w:tr w:rsidR="002F1A46" w:rsidRPr="002F1A46" w14:paraId="224DEE7C" w14:textId="77777777" w:rsidTr="00E37217">
        <w:trPr>
          <w:cantSplit/>
          <w:trHeight w:val="288"/>
          <w:tblHeader/>
          <w:jc w:val="center"/>
        </w:trPr>
        <w:tc>
          <w:tcPr>
            <w:tcW w:w="1485" w:type="dxa"/>
            <w:vMerge/>
            <w:shd w:val="pct15" w:color="auto" w:fill="auto"/>
            <w:vAlign w:val="center"/>
          </w:tcPr>
          <w:p w14:paraId="3802F3EC" w14:textId="77777777" w:rsidR="002F1A46" w:rsidRPr="00200E0F" w:rsidRDefault="002F1A46" w:rsidP="008E2312">
            <w:pPr>
              <w:jc w:val="right"/>
              <w:rPr>
                <w:rFonts w:ascii="Arial" w:hAnsi="Arial"/>
                <w:b/>
                <w:color w:val="000000"/>
                <w:sz w:val="18"/>
              </w:rPr>
            </w:pPr>
          </w:p>
        </w:tc>
        <w:tc>
          <w:tcPr>
            <w:tcW w:w="1080" w:type="dxa"/>
            <w:vMerge/>
            <w:shd w:val="pct15" w:color="auto" w:fill="auto"/>
            <w:vAlign w:val="center"/>
          </w:tcPr>
          <w:p w14:paraId="64547967" w14:textId="77777777" w:rsidR="002F1A46" w:rsidRPr="00200E0F" w:rsidRDefault="002F1A46" w:rsidP="008E2312">
            <w:pPr>
              <w:jc w:val="center"/>
              <w:rPr>
                <w:rFonts w:ascii="Arial" w:hAnsi="Arial"/>
                <w:b/>
                <w:color w:val="000000"/>
                <w:sz w:val="18"/>
              </w:rPr>
            </w:pPr>
          </w:p>
        </w:tc>
        <w:tc>
          <w:tcPr>
            <w:tcW w:w="3780" w:type="dxa"/>
            <w:gridSpan w:val="4"/>
            <w:shd w:val="pct15" w:color="auto" w:fill="auto"/>
            <w:vAlign w:val="center"/>
          </w:tcPr>
          <w:p w14:paraId="17C24800"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AC Material Thickness*</w:t>
            </w:r>
          </w:p>
        </w:tc>
        <w:tc>
          <w:tcPr>
            <w:tcW w:w="2290" w:type="dxa"/>
            <w:vMerge/>
            <w:shd w:val="pct15" w:color="auto" w:fill="auto"/>
            <w:vAlign w:val="center"/>
          </w:tcPr>
          <w:p w14:paraId="1350EAD7" w14:textId="77777777" w:rsidR="002F1A46" w:rsidRPr="00200E0F" w:rsidRDefault="002F1A46" w:rsidP="008E2312">
            <w:pPr>
              <w:jc w:val="right"/>
              <w:rPr>
                <w:rFonts w:ascii="Arial" w:hAnsi="Arial"/>
                <w:color w:val="000000"/>
                <w:sz w:val="18"/>
              </w:rPr>
            </w:pPr>
          </w:p>
        </w:tc>
      </w:tr>
      <w:tr w:rsidR="00115674" w:rsidRPr="002F1A46" w14:paraId="09AAACB5" w14:textId="77777777" w:rsidTr="006834C7">
        <w:trPr>
          <w:cantSplit/>
          <w:trHeight w:val="288"/>
          <w:tblHeader/>
          <w:jc w:val="center"/>
        </w:trPr>
        <w:tc>
          <w:tcPr>
            <w:tcW w:w="1485" w:type="dxa"/>
            <w:vMerge/>
            <w:shd w:val="pct15" w:color="auto" w:fill="auto"/>
            <w:vAlign w:val="center"/>
          </w:tcPr>
          <w:p w14:paraId="22C2BD40" w14:textId="77777777" w:rsidR="002F1A46" w:rsidRPr="00200E0F" w:rsidRDefault="002F1A46" w:rsidP="008E2312">
            <w:pPr>
              <w:jc w:val="right"/>
              <w:rPr>
                <w:rFonts w:ascii="Arial" w:hAnsi="Arial"/>
                <w:b/>
                <w:color w:val="000000"/>
                <w:sz w:val="18"/>
              </w:rPr>
            </w:pPr>
          </w:p>
        </w:tc>
        <w:tc>
          <w:tcPr>
            <w:tcW w:w="1080" w:type="dxa"/>
            <w:vMerge/>
            <w:shd w:val="pct15" w:color="auto" w:fill="auto"/>
            <w:vAlign w:val="center"/>
          </w:tcPr>
          <w:p w14:paraId="23E30E8D" w14:textId="77777777" w:rsidR="002F1A46" w:rsidRPr="00200E0F" w:rsidRDefault="002F1A46" w:rsidP="008E2312">
            <w:pPr>
              <w:jc w:val="center"/>
              <w:rPr>
                <w:rFonts w:ascii="Arial" w:hAnsi="Arial"/>
                <w:b/>
                <w:color w:val="000000"/>
                <w:sz w:val="18"/>
              </w:rPr>
            </w:pPr>
          </w:p>
        </w:tc>
        <w:tc>
          <w:tcPr>
            <w:tcW w:w="810" w:type="dxa"/>
            <w:shd w:val="pct15" w:color="auto" w:fill="auto"/>
            <w:vAlign w:val="center"/>
          </w:tcPr>
          <w:p w14:paraId="58B209F1"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&gt; 6"</w:t>
            </w:r>
          </w:p>
        </w:tc>
        <w:tc>
          <w:tcPr>
            <w:tcW w:w="810" w:type="dxa"/>
            <w:shd w:val="pct15" w:color="auto" w:fill="auto"/>
            <w:vAlign w:val="center"/>
          </w:tcPr>
          <w:p w14:paraId="413450C5"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&lt; 6"</w:t>
            </w:r>
          </w:p>
        </w:tc>
        <w:tc>
          <w:tcPr>
            <w:tcW w:w="990" w:type="dxa"/>
            <w:shd w:val="pct15" w:color="auto" w:fill="auto"/>
            <w:vAlign w:val="center"/>
          </w:tcPr>
          <w:p w14:paraId="0F0B76D4"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&gt; 6"</w:t>
            </w:r>
          </w:p>
        </w:tc>
        <w:tc>
          <w:tcPr>
            <w:tcW w:w="1170" w:type="dxa"/>
            <w:shd w:val="pct15" w:color="auto" w:fill="auto"/>
            <w:vAlign w:val="center"/>
          </w:tcPr>
          <w:p w14:paraId="45DA4DA6" w14:textId="2896CEB1" w:rsidR="002F1A46" w:rsidRPr="00200E0F" w:rsidRDefault="002F1A46" w:rsidP="008E2312">
            <w:pPr>
              <w:jc w:val="center"/>
              <w:rPr>
                <w:rFonts w:ascii="Arial" w:hAnsi="Arial"/>
                <w:b/>
                <w:color w:val="000000"/>
                <w:sz w:val="18"/>
              </w:rPr>
            </w:pPr>
            <w:r w:rsidRPr="00200E0F">
              <w:rPr>
                <w:rFonts w:ascii="Arial" w:hAnsi="Arial"/>
                <w:b/>
                <w:color w:val="000000"/>
                <w:sz w:val="18"/>
              </w:rPr>
              <w:t>&lt; 6"</w:t>
            </w:r>
          </w:p>
        </w:tc>
        <w:tc>
          <w:tcPr>
            <w:tcW w:w="2290" w:type="dxa"/>
            <w:shd w:val="pct15" w:color="auto" w:fill="auto"/>
            <w:vAlign w:val="center"/>
          </w:tcPr>
          <w:p w14:paraId="62E1C0B4" w14:textId="38090535" w:rsidR="002F1A46" w:rsidRPr="00200E0F" w:rsidRDefault="002F1A46" w:rsidP="002F1A46">
            <w:pPr>
              <w:rPr>
                <w:rFonts w:ascii="Arial" w:hAnsi="Arial"/>
                <w:color w:val="000000"/>
                <w:sz w:val="18"/>
              </w:rPr>
            </w:pPr>
            <w:r w:rsidRPr="00200E0F">
              <w:rPr>
                <w:rFonts w:ascii="Arial" w:hAnsi="Arial"/>
                <w:color w:val="000000"/>
                <w:sz w:val="18"/>
              </w:rPr>
              <w:t>*After HMA removal</w:t>
            </w:r>
          </w:p>
        </w:tc>
      </w:tr>
      <w:tr w:rsidR="00F606D8" w:rsidRPr="002F1A46" w14:paraId="68FD81DD" w14:textId="77777777" w:rsidTr="00E37217">
        <w:trPr>
          <w:cantSplit/>
          <w:trHeight w:val="288"/>
          <w:jc w:val="center"/>
        </w:trPr>
        <w:tc>
          <w:tcPr>
            <w:tcW w:w="1485" w:type="dxa"/>
            <w:vMerge w:val="restart"/>
            <w:vAlign w:val="center"/>
          </w:tcPr>
          <w:p w14:paraId="73B06422" w14:textId="77777777" w:rsidR="00F606D8" w:rsidRPr="00200E0F" w:rsidRDefault="00F606D8" w:rsidP="008E2312">
            <w:pPr>
              <w:rPr>
                <w:rFonts w:ascii="Arial" w:hAnsi="Arial"/>
                <w:b/>
                <w:color w:val="000000"/>
                <w:sz w:val="18"/>
              </w:rPr>
            </w:pPr>
            <w:r w:rsidRPr="00200E0F">
              <w:rPr>
                <w:rFonts w:ascii="Arial" w:hAnsi="Arial"/>
                <w:b/>
                <w:color w:val="000000"/>
                <w:sz w:val="18"/>
              </w:rPr>
              <w:t xml:space="preserve">Non-wheel-path Cracking  </w:t>
            </w:r>
          </w:p>
        </w:tc>
        <w:tc>
          <w:tcPr>
            <w:tcW w:w="1080" w:type="dxa"/>
            <w:vAlign w:val="center"/>
          </w:tcPr>
          <w:p w14:paraId="50FE5806" w14:textId="77777777" w:rsidR="00F606D8" w:rsidRPr="00200E0F" w:rsidRDefault="00F606D8" w:rsidP="008E2312">
            <w:pPr>
              <w:jc w:val="center"/>
              <w:rPr>
                <w:rFonts w:ascii="Arial" w:hAnsi="Arial"/>
                <w:b/>
                <w:color w:val="000000"/>
                <w:sz w:val="18"/>
              </w:rPr>
            </w:pPr>
            <w:r w:rsidRPr="00200E0F">
              <w:rPr>
                <w:rFonts w:ascii="Arial" w:hAnsi="Arial"/>
                <w:b/>
                <w:color w:val="000000"/>
                <w:sz w:val="18"/>
              </w:rPr>
              <w:t>Low and Medium</w:t>
            </w:r>
          </w:p>
        </w:tc>
        <w:tc>
          <w:tcPr>
            <w:tcW w:w="810" w:type="dxa"/>
            <w:vAlign w:val="center"/>
          </w:tcPr>
          <w:p w14:paraId="4883B8C5" w14:textId="77777777" w:rsidR="00F606D8" w:rsidRPr="00200E0F" w:rsidRDefault="00F606D8"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00542833" w14:textId="77777777" w:rsidR="00F606D8" w:rsidRPr="00200E0F" w:rsidRDefault="00F606D8"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3796DCB5" w14:textId="77777777" w:rsidR="00F606D8" w:rsidRPr="00200E0F" w:rsidRDefault="00F606D8"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319DDDBA" w14:textId="77777777" w:rsidR="00F606D8" w:rsidRPr="00200E0F" w:rsidRDefault="00F606D8" w:rsidP="008E2312">
            <w:pPr>
              <w:jc w:val="center"/>
              <w:rPr>
                <w:rFonts w:ascii="Arial" w:hAnsi="Arial"/>
                <w:color w:val="000000"/>
                <w:sz w:val="18"/>
              </w:rPr>
            </w:pPr>
            <w:r w:rsidRPr="00200E0F">
              <w:rPr>
                <w:rFonts w:ascii="Arial" w:hAnsi="Arial"/>
                <w:color w:val="000000"/>
                <w:sz w:val="18"/>
              </w:rPr>
              <w:t>None</w:t>
            </w:r>
          </w:p>
        </w:tc>
        <w:tc>
          <w:tcPr>
            <w:tcW w:w="2290" w:type="dxa"/>
            <w:vMerge w:val="restart"/>
            <w:vAlign w:val="center"/>
          </w:tcPr>
          <w:p w14:paraId="105005DC" w14:textId="77777777" w:rsidR="00F606D8" w:rsidRPr="00200E0F" w:rsidRDefault="00F606D8" w:rsidP="008E2312">
            <w:pPr>
              <w:rPr>
                <w:rFonts w:ascii="Arial" w:hAnsi="Arial"/>
                <w:color w:val="000000"/>
                <w:sz w:val="18"/>
              </w:rPr>
            </w:pPr>
            <w:r w:rsidRPr="00200E0F">
              <w:rPr>
                <w:rFonts w:ascii="Arial" w:hAnsi="Arial"/>
                <w:color w:val="000000"/>
                <w:sz w:val="18"/>
              </w:rPr>
              <w:t>Crack seal/fill medium severity when using surface treatments such as micro-surfacing or UTBWC.</w:t>
            </w:r>
          </w:p>
        </w:tc>
      </w:tr>
      <w:tr w:rsidR="00115674" w:rsidRPr="002F1A46" w14:paraId="625F97D0" w14:textId="77777777" w:rsidTr="002F1A46">
        <w:trPr>
          <w:cantSplit/>
          <w:trHeight w:val="288"/>
          <w:jc w:val="center"/>
        </w:trPr>
        <w:tc>
          <w:tcPr>
            <w:tcW w:w="1485" w:type="dxa"/>
            <w:vMerge/>
            <w:vAlign w:val="center"/>
          </w:tcPr>
          <w:p w14:paraId="606BFD49" w14:textId="77777777" w:rsidR="00F606D8" w:rsidRPr="00200E0F" w:rsidRDefault="00F606D8" w:rsidP="008E2312">
            <w:pPr>
              <w:rPr>
                <w:rFonts w:ascii="Arial" w:hAnsi="Arial"/>
                <w:b/>
                <w:color w:val="000000"/>
                <w:sz w:val="18"/>
              </w:rPr>
            </w:pPr>
          </w:p>
        </w:tc>
        <w:tc>
          <w:tcPr>
            <w:tcW w:w="1080" w:type="dxa"/>
            <w:vAlign w:val="center"/>
          </w:tcPr>
          <w:p w14:paraId="29E0B8FB" w14:textId="77777777" w:rsidR="00F606D8" w:rsidRPr="00200E0F" w:rsidRDefault="00F606D8" w:rsidP="008E2312">
            <w:pPr>
              <w:jc w:val="center"/>
              <w:rPr>
                <w:rFonts w:ascii="Arial" w:hAnsi="Arial"/>
                <w:b/>
                <w:color w:val="000000"/>
                <w:sz w:val="18"/>
                <w:vertAlign w:val="superscript"/>
              </w:rPr>
            </w:pPr>
            <w:r w:rsidRPr="00200E0F">
              <w:rPr>
                <w:rFonts w:ascii="Arial" w:hAnsi="Arial"/>
                <w:b/>
                <w:color w:val="000000"/>
                <w:sz w:val="18"/>
              </w:rPr>
              <w:t>High</w:t>
            </w:r>
          </w:p>
        </w:tc>
        <w:tc>
          <w:tcPr>
            <w:tcW w:w="810" w:type="dxa"/>
            <w:shd w:val="clear" w:color="auto" w:fill="D9D9D9" w:themeFill="background1" w:themeFillShade="D9"/>
            <w:vAlign w:val="center"/>
          </w:tcPr>
          <w:p w14:paraId="2D253865" w14:textId="77777777" w:rsidR="00F606D8" w:rsidRPr="00200E0F" w:rsidRDefault="00F606D8" w:rsidP="008E2312">
            <w:pPr>
              <w:jc w:val="center"/>
              <w:rPr>
                <w:rFonts w:ascii="Arial" w:hAnsi="Arial"/>
                <w:color w:val="000000"/>
                <w:sz w:val="18"/>
              </w:rPr>
            </w:pPr>
            <w:r w:rsidRPr="00200E0F">
              <w:rPr>
                <w:rFonts w:ascii="Arial" w:hAnsi="Arial"/>
                <w:color w:val="000000"/>
                <w:sz w:val="18"/>
              </w:rPr>
              <w:t>Mastic</w:t>
            </w:r>
          </w:p>
        </w:tc>
        <w:tc>
          <w:tcPr>
            <w:tcW w:w="810" w:type="dxa"/>
            <w:shd w:val="clear" w:color="auto" w:fill="D9D9D9" w:themeFill="background1" w:themeFillShade="D9"/>
            <w:vAlign w:val="center"/>
          </w:tcPr>
          <w:p w14:paraId="07F151E9" w14:textId="77777777" w:rsidR="00F606D8" w:rsidRPr="00200E0F" w:rsidRDefault="00F606D8" w:rsidP="008E2312">
            <w:pPr>
              <w:jc w:val="center"/>
              <w:rPr>
                <w:rFonts w:ascii="Arial" w:hAnsi="Arial"/>
                <w:color w:val="000000"/>
                <w:sz w:val="18"/>
              </w:rPr>
            </w:pPr>
            <w:r w:rsidRPr="00200E0F">
              <w:rPr>
                <w:rFonts w:ascii="Arial" w:hAnsi="Arial"/>
                <w:color w:val="000000"/>
                <w:sz w:val="18"/>
              </w:rPr>
              <w:t>Mastic</w:t>
            </w:r>
          </w:p>
        </w:tc>
        <w:tc>
          <w:tcPr>
            <w:tcW w:w="990" w:type="dxa"/>
            <w:shd w:val="clear" w:color="auto" w:fill="D9D9D9" w:themeFill="background1" w:themeFillShade="D9"/>
            <w:vAlign w:val="center"/>
          </w:tcPr>
          <w:p w14:paraId="4FE01B9B" w14:textId="77777777" w:rsidR="00F606D8" w:rsidRPr="00200E0F" w:rsidRDefault="00F606D8" w:rsidP="008E2312">
            <w:pPr>
              <w:jc w:val="center"/>
              <w:rPr>
                <w:rFonts w:ascii="Arial" w:hAnsi="Arial"/>
                <w:color w:val="000000"/>
                <w:sz w:val="18"/>
              </w:rPr>
            </w:pPr>
            <w:r w:rsidRPr="00200E0F">
              <w:rPr>
                <w:rFonts w:ascii="Arial" w:hAnsi="Arial"/>
                <w:color w:val="000000"/>
                <w:sz w:val="18"/>
              </w:rPr>
              <w:t>Mastic</w:t>
            </w:r>
          </w:p>
        </w:tc>
        <w:tc>
          <w:tcPr>
            <w:tcW w:w="1170" w:type="dxa"/>
            <w:shd w:val="clear" w:color="auto" w:fill="D9D9D9" w:themeFill="background1" w:themeFillShade="D9"/>
            <w:vAlign w:val="center"/>
          </w:tcPr>
          <w:p w14:paraId="638FD97B" w14:textId="77777777" w:rsidR="00F606D8" w:rsidRPr="00200E0F" w:rsidRDefault="00F606D8" w:rsidP="008E2312">
            <w:pPr>
              <w:jc w:val="center"/>
              <w:rPr>
                <w:rFonts w:ascii="Arial" w:hAnsi="Arial"/>
                <w:color w:val="000000"/>
                <w:sz w:val="18"/>
              </w:rPr>
            </w:pPr>
            <w:r w:rsidRPr="00200E0F">
              <w:rPr>
                <w:rFonts w:ascii="Arial" w:hAnsi="Arial"/>
                <w:color w:val="000000"/>
                <w:sz w:val="18"/>
              </w:rPr>
              <w:t>Mastic</w:t>
            </w:r>
          </w:p>
        </w:tc>
        <w:tc>
          <w:tcPr>
            <w:tcW w:w="2290" w:type="dxa"/>
            <w:vMerge/>
            <w:vAlign w:val="center"/>
          </w:tcPr>
          <w:p w14:paraId="20972B29" w14:textId="77777777" w:rsidR="00F606D8" w:rsidRPr="00200E0F" w:rsidRDefault="00F606D8" w:rsidP="008E2312">
            <w:pPr>
              <w:rPr>
                <w:rFonts w:ascii="Arial" w:hAnsi="Arial"/>
                <w:color w:val="000000"/>
                <w:sz w:val="18"/>
              </w:rPr>
            </w:pPr>
          </w:p>
        </w:tc>
      </w:tr>
      <w:tr w:rsidR="00F606D8" w:rsidRPr="002F1A46" w14:paraId="15958501" w14:textId="77777777" w:rsidTr="00E37217">
        <w:trPr>
          <w:cantSplit/>
          <w:trHeight w:val="288"/>
          <w:jc w:val="center"/>
        </w:trPr>
        <w:tc>
          <w:tcPr>
            <w:tcW w:w="1485" w:type="dxa"/>
            <w:vMerge w:val="restart"/>
            <w:vAlign w:val="center"/>
          </w:tcPr>
          <w:p w14:paraId="084FF130" w14:textId="77777777" w:rsidR="00F606D8" w:rsidRPr="00200E0F" w:rsidRDefault="00F606D8" w:rsidP="008E2312">
            <w:pPr>
              <w:rPr>
                <w:rFonts w:ascii="Arial" w:hAnsi="Arial"/>
                <w:b/>
                <w:color w:val="000000"/>
                <w:sz w:val="18"/>
              </w:rPr>
            </w:pPr>
            <w:r w:rsidRPr="00200E0F">
              <w:rPr>
                <w:rFonts w:ascii="Arial" w:hAnsi="Arial"/>
                <w:b/>
                <w:color w:val="000000"/>
                <w:sz w:val="18"/>
              </w:rPr>
              <w:t>Edge Cracking</w:t>
            </w:r>
          </w:p>
        </w:tc>
        <w:tc>
          <w:tcPr>
            <w:tcW w:w="1080" w:type="dxa"/>
            <w:vAlign w:val="center"/>
          </w:tcPr>
          <w:p w14:paraId="7DE4841E" w14:textId="77777777" w:rsidR="00F606D8" w:rsidRPr="00200E0F" w:rsidRDefault="00F606D8" w:rsidP="008E2312">
            <w:pPr>
              <w:jc w:val="center"/>
              <w:rPr>
                <w:rFonts w:ascii="Arial" w:hAnsi="Arial"/>
                <w:b/>
                <w:color w:val="000000"/>
                <w:sz w:val="18"/>
              </w:rPr>
            </w:pPr>
            <w:r w:rsidRPr="00200E0F">
              <w:rPr>
                <w:rFonts w:ascii="Arial" w:hAnsi="Arial"/>
                <w:b/>
                <w:color w:val="000000"/>
                <w:sz w:val="18"/>
              </w:rPr>
              <w:t>Low and Medium</w:t>
            </w:r>
          </w:p>
        </w:tc>
        <w:tc>
          <w:tcPr>
            <w:tcW w:w="810" w:type="dxa"/>
            <w:vAlign w:val="center"/>
          </w:tcPr>
          <w:p w14:paraId="42AD7041" w14:textId="77777777" w:rsidR="00F606D8" w:rsidRPr="00200E0F" w:rsidRDefault="00F606D8"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12B8431C" w14:textId="77777777" w:rsidR="00F606D8" w:rsidRPr="00200E0F" w:rsidRDefault="00F606D8"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41F34650" w14:textId="77777777" w:rsidR="00F606D8" w:rsidRPr="00200E0F" w:rsidRDefault="00F606D8"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2CDD4D4C" w14:textId="77777777" w:rsidR="00F606D8" w:rsidRPr="00200E0F" w:rsidRDefault="00F606D8" w:rsidP="008E2312">
            <w:pPr>
              <w:jc w:val="center"/>
              <w:rPr>
                <w:rFonts w:ascii="Arial" w:hAnsi="Arial"/>
                <w:color w:val="000000"/>
                <w:sz w:val="18"/>
              </w:rPr>
            </w:pPr>
            <w:r w:rsidRPr="00200E0F">
              <w:rPr>
                <w:rFonts w:ascii="Arial" w:hAnsi="Arial"/>
                <w:color w:val="000000"/>
                <w:sz w:val="18"/>
              </w:rPr>
              <w:t>None</w:t>
            </w:r>
          </w:p>
        </w:tc>
        <w:tc>
          <w:tcPr>
            <w:tcW w:w="2290" w:type="dxa"/>
            <w:vMerge w:val="restart"/>
            <w:vAlign w:val="center"/>
          </w:tcPr>
          <w:p w14:paraId="40EB151B" w14:textId="77777777" w:rsidR="00F606D8" w:rsidRPr="00200E0F" w:rsidRDefault="00F606D8" w:rsidP="008E2312">
            <w:pPr>
              <w:rPr>
                <w:rFonts w:ascii="Arial" w:hAnsi="Arial"/>
                <w:color w:val="000000"/>
                <w:sz w:val="18"/>
              </w:rPr>
            </w:pPr>
            <w:r w:rsidRPr="00200E0F">
              <w:rPr>
                <w:rFonts w:ascii="Arial" w:hAnsi="Arial"/>
                <w:color w:val="000000"/>
                <w:sz w:val="18"/>
              </w:rPr>
              <w:t>If the crack depth is greater than ½ HMA thickness, then use full-depth patch.  Crack seal/fill medium severity when using surface treatments such as micro-surfacing or UTBWC.</w:t>
            </w:r>
          </w:p>
        </w:tc>
      </w:tr>
      <w:tr w:rsidR="00115674" w:rsidRPr="002F1A46" w14:paraId="7C6AC36B" w14:textId="77777777" w:rsidTr="002F1A46">
        <w:trPr>
          <w:cantSplit/>
          <w:trHeight w:val="288"/>
          <w:jc w:val="center"/>
        </w:trPr>
        <w:tc>
          <w:tcPr>
            <w:tcW w:w="1485" w:type="dxa"/>
            <w:vMerge/>
            <w:vAlign w:val="center"/>
          </w:tcPr>
          <w:p w14:paraId="241C22D3" w14:textId="77777777" w:rsidR="00F606D8" w:rsidRPr="00200E0F" w:rsidRDefault="00F606D8" w:rsidP="008E2312">
            <w:pPr>
              <w:rPr>
                <w:rFonts w:ascii="Arial" w:hAnsi="Arial"/>
                <w:b/>
                <w:color w:val="000000"/>
                <w:sz w:val="18"/>
              </w:rPr>
            </w:pPr>
          </w:p>
        </w:tc>
        <w:tc>
          <w:tcPr>
            <w:tcW w:w="1080" w:type="dxa"/>
            <w:vAlign w:val="center"/>
          </w:tcPr>
          <w:p w14:paraId="6670B99D" w14:textId="77777777" w:rsidR="00F606D8" w:rsidRPr="00200E0F" w:rsidRDefault="00F606D8" w:rsidP="008E2312">
            <w:pPr>
              <w:jc w:val="center"/>
              <w:rPr>
                <w:rFonts w:ascii="Arial" w:hAnsi="Arial"/>
                <w:b/>
                <w:color w:val="000000"/>
                <w:sz w:val="18"/>
                <w:vertAlign w:val="superscript"/>
              </w:rPr>
            </w:pPr>
            <w:r w:rsidRPr="00200E0F">
              <w:rPr>
                <w:rFonts w:ascii="Arial" w:hAnsi="Arial"/>
                <w:b/>
                <w:color w:val="000000"/>
                <w:sz w:val="18"/>
              </w:rPr>
              <w:t>High</w:t>
            </w:r>
          </w:p>
        </w:tc>
        <w:tc>
          <w:tcPr>
            <w:tcW w:w="810" w:type="dxa"/>
            <w:shd w:val="pct15" w:color="auto" w:fill="FFFFFF"/>
            <w:vAlign w:val="center"/>
          </w:tcPr>
          <w:p w14:paraId="0D8DA863" w14:textId="77777777" w:rsidR="00F606D8" w:rsidRPr="00200E0F" w:rsidRDefault="00F606D8" w:rsidP="008E2312">
            <w:pPr>
              <w:jc w:val="center"/>
              <w:rPr>
                <w:rFonts w:ascii="Arial" w:hAnsi="Arial"/>
                <w:color w:val="000000"/>
                <w:sz w:val="18"/>
              </w:rPr>
            </w:pPr>
            <w:r w:rsidRPr="00200E0F">
              <w:rPr>
                <w:rFonts w:ascii="Arial" w:hAnsi="Arial"/>
                <w:color w:val="000000"/>
                <w:sz w:val="18"/>
              </w:rPr>
              <w:t>Partial</w:t>
            </w:r>
          </w:p>
        </w:tc>
        <w:tc>
          <w:tcPr>
            <w:tcW w:w="810" w:type="dxa"/>
            <w:shd w:val="pct35" w:color="auto" w:fill="FFFFFF"/>
            <w:vAlign w:val="center"/>
          </w:tcPr>
          <w:p w14:paraId="0E81841B" w14:textId="77777777" w:rsidR="00F606D8" w:rsidRPr="00200E0F" w:rsidRDefault="00F606D8" w:rsidP="008E2312">
            <w:pPr>
              <w:jc w:val="center"/>
              <w:rPr>
                <w:rFonts w:ascii="Arial" w:hAnsi="Arial"/>
                <w:color w:val="000000"/>
                <w:sz w:val="18"/>
              </w:rPr>
            </w:pPr>
            <w:r w:rsidRPr="00200E0F">
              <w:rPr>
                <w:rFonts w:ascii="Arial" w:hAnsi="Arial"/>
                <w:color w:val="000000"/>
                <w:sz w:val="18"/>
              </w:rPr>
              <w:t>Full</w:t>
            </w:r>
          </w:p>
        </w:tc>
        <w:tc>
          <w:tcPr>
            <w:tcW w:w="990" w:type="dxa"/>
            <w:shd w:val="pct15" w:color="auto" w:fill="FFFFFF"/>
            <w:vAlign w:val="center"/>
          </w:tcPr>
          <w:p w14:paraId="19B5C4BF" w14:textId="77777777" w:rsidR="00F606D8" w:rsidRPr="00200E0F" w:rsidRDefault="00F606D8" w:rsidP="008E2312">
            <w:pPr>
              <w:jc w:val="center"/>
              <w:rPr>
                <w:rFonts w:ascii="Arial" w:hAnsi="Arial"/>
                <w:color w:val="000000"/>
                <w:sz w:val="18"/>
              </w:rPr>
            </w:pPr>
            <w:r w:rsidRPr="00200E0F">
              <w:rPr>
                <w:rFonts w:ascii="Arial" w:hAnsi="Arial"/>
                <w:color w:val="000000"/>
                <w:sz w:val="18"/>
              </w:rPr>
              <w:t>Partial</w:t>
            </w:r>
          </w:p>
        </w:tc>
        <w:tc>
          <w:tcPr>
            <w:tcW w:w="1170" w:type="dxa"/>
            <w:shd w:val="pct35" w:color="auto" w:fill="FFFFFF"/>
            <w:vAlign w:val="center"/>
          </w:tcPr>
          <w:p w14:paraId="6D498B0E" w14:textId="77777777" w:rsidR="00F606D8" w:rsidRPr="00200E0F" w:rsidRDefault="00F606D8" w:rsidP="008E2312">
            <w:pPr>
              <w:jc w:val="center"/>
              <w:rPr>
                <w:rFonts w:ascii="Arial" w:hAnsi="Arial"/>
                <w:color w:val="000000"/>
                <w:sz w:val="18"/>
              </w:rPr>
            </w:pPr>
            <w:r w:rsidRPr="00200E0F">
              <w:rPr>
                <w:rFonts w:ascii="Arial" w:hAnsi="Arial"/>
                <w:color w:val="000000"/>
                <w:sz w:val="18"/>
              </w:rPr>
              <w:t>Full</w:t>
            </w:r>
          </w:p>
        </w:tc>
        <w:tc>
          <w:tcPr>
            <w:tcW w:w="2290" w:type="dxa"/>
            <w:vMerge/>
            <w:vAlign w:val="center"/>
          </w:tcPr>
          <w:p w14:paraId="396896B7" w14:textId="77777777" w:rsidR="00F606D8" w:rsidRPr="00200E0F" w:rsidRDefault="00F606D8" w:rsidP="008E2312">
            <w:pPr>
              <w:rPr>
                <w:rFonts w:ascii="Arial" w:hAnsi="Arial"/>
                <w:color w:val="000000"/>
                <w:sz w:val="18"/>
              </w:rPr>
            </w:pPr>
          </w:p>
        </w:tc>
      </w:tr>
      <w:tr w:rsidR="002F1A46" w:rsidRPr="002F1A46" w14:paraId="432626BB" w14:textId="77777777" w:rsidTr="00E37217">
        <w:trPr>
          <w:cantSplit/>
          <w:trHeight w:val="288"/>
          <w:jc w:val="center"/>
        </w:trPr>
        <w:tc>
          <w:tcPr>
            <w:tcW w:w="1485" w:type="dxa"/>
            <w:vMerge w:val="restart"/>
            <w:vAlign w:val="center"/>
          </w:tcPr>
          <w:p w14:paraId="26D7D104" w14:textId="77777777" w:rsidR="002F1A46" w:rsidRPr="00200E0F" w:rsidRDefault="002F1A46" w:rsidP="008E2312">
            <w:pPr>
              <w:rPr>
                <w:rFonts w:ascii="Arial" w:hAnsi="Arial"/>
                <w:b/>
                <w:color w:val="000000"/>
                <w:sz w:val="18"/>
              </w:rPr>
            </w:pPr>
            <w:r w:rsidRPr="00200E0F">
              <w:rPr>
                <w:rFonts w:ascii="Arial" w:hAnsi="Arial"/>
                <w:b/>
                <w:color w:val="000000"/>
                <w:sz w:val="18"/>
              </w:rPr>
              <w:t>Fatigue Cracking</w:t>
            </w:r>
          </w:p>
        </w:tc>
        <w:tc>
          <w:tcPr>
            <w:tcW w:w="1080" w:type="dxa"/>
            <w:vAlign w:val="center"/>
          </w:tcPr>
          <w:p w14:paraId="407A44B8"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Low</w:t>
            </w:r>
          </w:p>
        </w:tc>
        <w:tc>
          <w:tcPr>
            <w:tcW w:w="810" w:type="dxa"/>
            <w:vAlign w:val="center"/>
          </w:tcPr>
          <w:p w14:paraId="2DAB1E83"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18BE4F00"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57E96A72"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30A58124"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Align w:val="center"/>
          </w:tcPr>
          <w:p w14:paraId="585800DE" w14:textId="77777777" w:rsidR="002F1A46" w:rsidRPr="00200E0F" w:rsidRDefault="002F1A46" w:rsidP="008E2312">
            <w:pPr>
              <w:rPr>
                <w:rFonts w:ascii="Arial" w:hAnsi="Arial"/>
                <w:color w:val="000000"/>
                <w:sz w:val="18"/>
              </w:rPr>
            </w:pPr>
            <w:r w:rsidRPr="00200E0F">
              <w:rPr>
                <w:rFonts w:ascii="Arial" w:hAnsi="Arial"/>
                <w:color w:val="000000"/>
                <w:sz w:val="18"/>
              </w:rPr>
              <w:t>Investigate whether surface has de-bonded from base; if so, then remove surface.</w:t>
            </w:r>
          </w:p>
        </w:tc>
      </w:tr>
      <w:tr w:rsidR="00115674" w:rsidRPr="002F1A46" w14:paraId="071D26CD" w14:textId="77777777" w:rsidTr="002F1A46">
        <w:trPr>
          <w:cantSplit/>
          <w:trHeight w:val="288"/>
          <w:jc w:val="center"/>
        </w:trPr>
        <w:tc>
          <w:tcPr>
            <w:tcW w:w="1485" w:type="dxa"/>
            <w:vMerge/>
            <w:vAlign w:val="center"/>
          </w:tcPr>
          <w:p w14:paraId="29A8A4DC" w14:textId="77777777" w:rsidR="002F1A46" w:rsidRPr="00200E0F" w:rsidRDefault="002F1A46" w:rsidP="008E2312">
            <w:pPr>
              <w:rPr>
                <w:rFonts w:ascii="Arial" w:hAnsi="Arial"/>
                <w:b/>
                <w:color w:val="000000"/>
                <w:sz w:val="18"/>
              </w:rPr>
            </w:pPr>
          </w:p>
        </w:tc>
        <w:tc>
          <w:tcPr>
            <w:tcW w:w="1080" w:type="dxa"/>
            <w:vAlign w:val="center"/>
          </w:tcPr>
          <w:p w14:paraId="45C945FE"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Medium</w:t>
            </w:r>
          </w:p>
        </w:tc>
        <w:tc>
          <w:tcPr>
            <w:tcW w:w="810" w:type="dxa"/>
            <w:shd w:val="pct15" w:color="auto" w:fill="FFFFFF"/>
            <w:vAlign w:val="center"/>
          </w:tcPr>
          <w:p w14:paraId="558EF258"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810" w:type="dxa"/>
            <w:shd w:val="pct35" w:color="auto" w:fill="FFFFFF"/>
            <w:vAlign w:val="center"/>
          </w:tcPr>
          <w:p w14:paraId="67F40856"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990" w:type="dxa"/>
            <w:shd w:val="pct15" w:color="auto" w:fill="FFFFFF"/>
            <w:vAlign w:val="center"/>
          </w:tcPr>
          <w:p w14:paraId="17F0BA70"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1170" w:type="dxa"/>
            <w:shd w:val="pct35" w:color="auto" w:fill="FFFFFF"/>
            <w:vAlign w:val="center"/>
          </w:tcPr>
          <w:p w14:paraId="092D2372"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2290" w:type="dxa"/>
            <w:vAlign w:val="center"/>
          </w:tcPr>
          <w:p w14:paraId="23B58E34" w14:textId="77777777" w:rsidR="002F1A46" w:rsidRPr="00200E0F" w:rsidRDefault="002F1A46" w:rsidP="008E2312">
            <w:pPr>
              <w:rPr>
                <w:rFonts w:ascii="Arial" w:hAnsi="Arial"/>
                <w:color w:val="000000"/>
                <w:sz w:val="18"/>
              </w:rPr>
            </w:pPr>
            <w:r w:rsidRPr="00200E0F">
              <w:rPr>
                <w:rFonts w:ascii="Arial" w:hAnsi="Arial"/>
                <w:color w:val="000000"/>
                <w:sz w:val="18"/>
              </w:rPr>
              <w:t>Investigate whether surface has de-bonded from base, and whether cracking is limited to surface; if so, remove surface rather than patch.</w:t>
            </w:r>
          </w:p>
        </w:tc>
      </w:tr>
      <w:tr w:rsidR="00115674" w:rsidRPr="002F1A46" w14:paraId="5076B5CF" w14:textId="77777777" w:rsidTr="002F1A46">
        <w:trPr>
          <w:cantSplit/>
          <w:trHeight w:val="288"/>
          <w:jc w:val="center"/>
        </w:trPr>
        <w:tc>
          <w:tcPr>
            <w:tcW w:w="1485" w:type="dxa"/>
            <w:vMerge/>
            <w:vAlign w:val="center"/>
          </w:tcPr>
          <w:p w14:paraId="04664C03" w14:textId="77777777" w:rsidR="002F1A46" w:rsidRPr="00200E0F" w:rsidRDefault="002F1A46" w:rsidP="008E2312">
            <w:pPr>
              <w:jc w:val="right"/>
              <w:rPr>
                <w:rFonts w:ascii="Arial" w:hAnsi="Arial"/>
                <w:b/>
                <w:color w:val="000000"/>
                <w:sz w:val="18"/>
              </w:rPr>
            </w:pPr>
          </w:p>
        </w:tc>
        <w:tc>
          <w:tcPr>
            <w:tcW w:w="1080" w:type="dxa"/>
            <w:vAlign w:val="center"/>
          </w:tcPr>
          <w:p w14:paraId="637EB1C8"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High</w:t>
            </w:r>
          </w:p>
        </w:tc>
        <w:tc>
          <w:tcPr>
            <w:tcW w:w="810" w:type="dxa"/>
            <w:shd w:val="pct35" w:color="auto" w:fill="FFFFFF"/>
            <w:vAlign w:val="center"/>
          </w:tcPr>
          <w:p w14:paraId="0E772352"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810" w:type="dxa"/>
            <w:shd w:val="clear" w:color="auto" w:fill="A6A6A6"/>
            <w:vAlign w:val="center"/>
          </w:tcPr>
          <w:p w14:paraId="0B92B637"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16652304"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1170" w:type="dxa"/>
            <w:shd w:val="pct35" w:color="auto" w:fill="FFFFFF"/>
            <w:vAlign w:val="center"/>
          </w:tcPr>
          <w:p w14:paraId="40FD0B6C"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2290" w:type="dxa"/>
            <w:vMerge w:val="restart"/>
            <w:vAlign w:val="center"/>
          </w:tcPr>
          <w:p w14:paraId="46AC0633" w14:textId="77777777" w:rsidR="002F1A46" w:rsidRPr="00200E0F" w:rsidRDefault="002F1A46" w:rsidP="008E2312">
            <w:pPr>
              <w:rPr>
                <w:rFonts w:ascii="Arial" w:hAnsi="Arial"/>
                <w:color w:val="000000"/>
                <w:sz w:val="18"/>
              </w:rPr>
            </w:pPr>
          </w:p>
        </w:tc>
      </w:tr>
      <w:tr w:rsidR="00115674" w:rsidRPr="002F1A46" w14:paraId="2C389281" w14:textId="77777777" w:rsidTr="002F1A46">
        <w:trPr>
          <w:cantSplit/>
          <w:trHeight w:val="288"/>
          <w:jc w:val="center"/>
        </w:trPr>
        <w:tc>
          <w:tcPr>
            <w:tcW w:w="1485" w:type="dxa"/>
            <w:vMerge w:val="restart"/>
            <w:vAlign w:val="center"/>
          </w:tcPr>
          <w:p w14:paraId="75299386" w14:textId="77777777" w:rsidR="002F1A46" w:rsidRPr="00200E0F" w:rsidRDefault="002F1A46" w:rsidP="008E2312">
            <w:pPr>
              <w:rPr>
                <w:rFonts w:ascii="Arial" w:hAnsi="Arial"/>
                <w:b/>
                <w:color w:val="000000"/>
                <w:sz w:val="18"/>
              </w:rPr>
            </w:pPr>
            <w:r w:rsidRPr="00200E0F">
              <w:rPr>
                <w:rFonts w:ascii="Arial" w:hAnsi="Arial"/>
                <w:b/>
                <w:color w:val="000000"/>
                <w:sz w:val="18"/>
              </w:rPr>
              <w:t>Potholes/</w:t>
            </w:r>
          </w:p>
          <w:p w14:paraId="570D66E7" w14:textId="77777777" w:rsidR="002F1A46" w:rsidRPr="00200E0F" w:rsidRDefault="002F1A46" w:rsidP="008E2312">
            <w:pPr>
              <w:rPr>
                <w:rFonts w:ascii="Arial" w:hAnsi="Arial"/>
                <w:b/>
                <w:color w:val="000000"/>
                <w:sz w:val="18"/>
              </w:rPr>
            </w:pPr>
            <w:r w:rsidRPr="00200E0F">
              <w:rPr>
                <w:rFonts w:ascii="Arial" w:hAnsi="Arial"/>
                <w:b/>
                <w:color w:val="000000"/>
                <w:sz w:val="18"/>
              </w:rPr>
              <w:t>Failures</w:t>
            </w:r>
          </w:p>
        </w:tc>
        <w:tc>
          <w:tcPr>
            <w:tcW w:w="1080" w:type="dxa"/>
            <w:vAlign w:val="center"/>
          </w:tcPr>
          <w:p w14:paraId="3831830F"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Low</w:t>
            </w:r>
          </w:p>
        </w:tc>
        <w:tc>
          <w:tcPr>
            <w:tcW w:w="810" w:type="dxa"/>
            <w:shd w:val="pct15" w:color="auto" w:fill="FFFFFF"/>
            <w:vAlign w:val="center"/>
          </w:tcPr>
          <w:p w14:paraId="5E7DB9CD" w14:textId="77777777" w:rsidR="002F1A46" w:rsidRPr="00200E0F" w:rsidRDefault="002F1A46" w:rsidP="008E2312">
            <w:pPr>
              <w:jc w:val="center"/>
              <w:rPr>
                <w:rFonts w:ascii="Arial" w:hAnsi="Arial"/>
                <w:color w:val="000000"/>
                <w:sz w:val="18"/>
              </w:rPr>
            </w:pPr>
            <w:r w:rsidRPr="00200E0F">
              <w:rPr>
                <w:rFonts w:ascii="Arial" w:hAnsi="Arial"/>
                <w:color w:val="000000"/>
                <w:sz w:val="18"/>
              </w:rPr>
              <w:t xml:space="preserve">Partial </w:t>
            </w:r>
          </w:p>
        </w:tc>
        <w:tc>
          <w:tcPr>
            <w:tcW w:w="810" w:type="dxa"/>
            <w:shd w:val="pct15" w:color="auto" w:fill="FFFFFF"/>
            <w:vAlign w:val="center"/>
          </w:tcPr>
          <w:p w14:paraId="184DE822"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990" w:type="dxa"/>
            <w:vAlign w:val="center"/>
          </w:tcPr>
          <w:p w14:paraId="7FCF2116"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483546CC"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ign w:val="center"/>
          </w:tcPr>
          <w:p w14:paraId="3EE9D90D" w14:textId="77777777" w:rsidR="002F1A46" w:rsidRPr="00200E0F" w:rsidRDefault="002F1A46" w:rsidP="008E2312">
            <w:pPr>
              <w:rPr>
                <w:rFonts w:ascii="Arial" w:hAnsi="Arial"/>
                <w:color w:val="000000"/>
                <w:sz w:val="18"/>
              </w:rPr>
            </w:pPr>
          </w:p>
        </w:tc>
      </w:tr>
      <w:tr w:rsidR="00115674" w:rsidRPr="002F1A46" w14:paraId="001972A1" w14:textId="77777777" w:rsidTr="002F1A46">
        <w:trPr>
          <w:cantSplit/>
          <w:trHeight w:val="288"/>
          <w:jc w:val="center"/>
        </w:trPr>
        <w:tc>
          <w:tcPr>
            <w:tcW w:w="1485" w:type="dxa"/>
            <w:vMerge/>
            <w:vAlign w:val="center"/>
          </w:tcPr>
          <w:p w14:paraId="11591CFB" w14:textId="77777777" w:rsidR="002F1A46" w:rsidRPr="00200E0F" w:rsidRDefault="002F1A46" w:rsidP="008E2312">
            <w:pPr>
              <w:jc w:val="right"/>
              <w:rPr>
                <w:rFonts w:ascii="Arial" w:hAnsi="Arial"/>
                <w:b/>
                <w:color w:val="000000"/>
                <w:sz w:val="18"/>
              </w:rPr>
            </w:pPr>
          </w:p>
        </w:tc>
        <w:tc>
          <w:tcPr>
            <w:tcW w:w="1080" w:type="dxa"/>
            <w:vAlign w:val="center"/>
          </w:tcPr>
          <w:p w14:paraId="22B992EA"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Medium</w:t>
            </w:r>
          </w:p>
        </w:tc>
        <w:tc>
          <w:tcPr>
            <w:tcW w:w="810" w:type="dxa"/>
            <w:shd w:val="pct15" w:color="auto" w:fill="FFFFFF"/>
            <w:vAlign w:val="center"/>
          </w:tcPr>
          <w:p w14:paraId="4445EAA8"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810" w:type="dxa"/>
            <w:shd w:val="pct15" w:color="auto" w:fill="FFFFFF"/>
            <w:vAlign w:val="center"/>
          </w:tcPr>
          <w:p w14:paraId="49480C18"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990" w:type="dxa"/>
            <w:shd w:val="pct15" w:color="auto" w:fill="FFFFFF"/>
            <w:vAlign w:val="center"/>
          </w:tcPr>
          <w:p w14:paraId="6C04BF1F"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1170" w:type="dxa"/>
            <w:shd w:val="pct15" w:color="auto" w:fill="FFFFFF"/>
            <w:vAlign w:val="center"/>
          </w:tcPr>
          <w:p w14:paraId="0D24F044"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2290" w:type="dxa"/>
            <w:vMerge/>
            <w:vAlign w:val="center"/>
          </w:tcPr>
          <w:p w14:paraId="5D2218AC" w14:textId="77777777" w:rsidR="002F1A46" w:rsidRPr="00200E0F" w:rsidRDefault="002F1A46" w:rsidP="008E2312">
            <w:pPr>
              <w:rPr>
                <w:rFonts w:ascii="Arial" w:hAnsi="Arial"/>
                <w:color w:val="000000"/>
                <w:sz w:val="18"/>
              </w:rPr>
            </w:pPr>
          </w:p>
        </w:tc>
      </w:tr>
      <w:tr w:rsidR="00115674" w:rsidRPr="002F1A46" w14:paraId="0181EC57" w14:textId="77777777" w:rsidTr="002F1A46">
        <w:trPr>
          <w:cantSplit/>
          <w:trHeight w:val="288"/>
          <w:jc w:val="center"/>
        </w:trPr>
        <w:tc>
          <w:tcPr>
            <w:tcW w:w="1485" w:type="dxa"/>
            <w:vMerge/>
            <w:vAlign w:val="center"/>
          </w:tcPr>
          <w:p w14:paraId="6B4F2C6E" w14:textId="77777777" w:rsidR="002F1A46" w:rsidRPr="00200E0F" w:rsidRDefault="002F1A46" w:rsidP="008E2312">
            <w:pPr>
              <w:jc w:val="right"/>
              <w:rPr>
                <w:rFonts w:ascii="Arial" w:hAnsi="Arial"/>
                <w:b/>
                <w:color w:val="000000"/>
                <w:sz w:val="18"/>
              </w:rPr>
            </w:pPr>
          </w:p>
        </w:tc>
        <w:tc>
          <w:tcPr>
            <w:tcW w:w="1080" w:type="dxa"/>
            <w:vAlign w:val="center"/>
          </w:tcPr>
          <w:p w14:paraId="57685CAA"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High</w:t>
            </w:r>
          </w:p>
        </w:tc>
        <w:tc>
          <w:tcPr>
            <w:tcW w:w="810" w:type="dxa"/>
            <w:shd w:val="pct35" w:color="auto" w:fill="FFFFFF"/>
            <w:vAlign w:val="center"/>
          </w:tcPr>
          <w:p w14:paraId="59B7D22E"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810" w:type="dxa"/>
            <w:shd w:val="pct35" w:color="auto" w:fill="FFFFFF"/>
            <w:vAlign w:val="center"/>
          </w:tcPr>
          <w:p w14:paraId="7C07022D"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33EB85E3"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1170" w:type="dxa"/>
            <w:shd w:val="pct35" w:color="auto" w:fill="FFFFFF"/>
            <w:vAlign w:val="center"/>
          </w:tcPr>
          <w:p w14:paraId="6D7C33F2"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2290" w:type="dxa"/>
            <w:vMerge/>
            <w:vAlign w:val="center"/>
          </w:tcPr>
          <w:p w14:paraId="50E1CCFD" w14:textId="77777777" w:rsidR="002F1A46" w:rsidRPr="00200E0F" w:rsidRDefault="002F1A46" w:rsidP="008E2312">
            <w:pPr>
              <w:rPr>
                <w:rFonts w:ascii="Arial" w:hAnsi="Arial"/>
                <w:color w:val="000000"/>
                <w:sz w:val="18"/>
              </w:rPr>
            </w:pPr>
          </w:p>
        </w:tc>
      </w:tr>
      <w:tr w:rsidR="002F1A46" w:rsidRPr="002F1A46" w14:paraId="58C4A413" w14:textId="77777777" w:rsidTr="00200E0F">
        <w:trPr>
          <w:cantSplit/>
          <w:trHeight w:val="288"/>
          <w:jc w:val="center"/>
        </w:trPr>
        <w:tc>
          <w:tcPr>
            <w:tcW w:w="1485" w:type="dxa"/>
            <w:vMerge w:val="restart"/>
            <w:vAlign w:val="center"/>
          </w:tcPr>
          <w:p w14:paraId="3CEB035C" w14:textId="77777777" w:rsidR="002F1A46" w:rsidRPr="002F1A46" w:rsidRDefault="002F1A46" w:rsidP="008E2312">
            <w:pPr>
              <w:rPr>
                <w:rFonts w:ascii="Arial" w:hAnsi="Arial" w:cs="Arial"/>
                <w:b/>
                <w:snapToGrid w:val="0"/>
                <w:color w:val="000000"/>
                <w:sz w:val="18"/>
                <w:szCs w:val="18"/>
              </w:rPr>
            </w:pPr>
            <w:r w:rsidRPr="00200E0F">
              <w:rPr>
                <w:rFonts w:ascii="Arial" w:hAnsi="Arial"/>
                <w:b/>
                <w:color w:val="000000"/>
                <w:sz w:val="18"/>
              </w:rPr>
              <w:t>Slippage Crack</w:t>
            </w:r>
          </w:p>
          <w:p w14:paraId="1EECA4E9" w14:textId="77777777" w:rsidR="002F1A46" w:rsidRPr="002F1A46" w:rsidRDefault="002F1A46" w:rsidP="008E2312">
            <w:pPr>
              <w:rPr>
                <w:rFonts w:ascii="Arial" w:hAnsi="Arial" w:cs="Arial"/>
                <w:b/>
                <w:snapToGrid w:val="0"/>
                <w:color w:val="000000"/>
                <w:sz w:val="18"/>
                <w:szCs w:val="18"/>
              </w:rPr>
            </w:pPr>
            <w:r w:rsidRPr="00200E0F">
              <w:rPr>
                <w:rFonts w:ascii="Arial" w:hAnsi="Arial"/>
                <w:b/>
                <w:color w:val="000000"/>
                <w:sz w:val="18"/>
              </w:rPr>
              <w:t>Shoving</w:t>
            </w:r>
          </w:p>
          <w:p w14:paraId="705484B1" w14:textId="777F32DE" w:rsidR="002F1A46" w:rsidRPr="00200E0F" w:rsidRDefault="002F1A46" w:rsidP="008E2312">
            <w:pPr>
              <w:rPr>
                <w:rFonts w:ascii="Arial" w:hAnsi="Arial"/>
                <w:b/>
                <w:color w:val="000000"/>
                <w:sz w:val="18"/>
              </w:rPr>
            </w:pPr>
            <w:r w:rsidRPr="00200E0F">
              <w:rPr>
                <w:rFonts w:ascii="Arial" w:hAnsi="Arial"/>
                <w:b/>
                <w:color w:val="000000"/>
                <w:sz w:val="18"/>
              </w:rPr>
              <w:t>Corrugation</w:t>
            </w:r>
          </w:p>
        </w:tc>
        <w:tc>
          <w:tcPr>
            <w:tcW w:w="1080" w:type="dxa"/>
            <w:vAlign w:val="center"/>
          </w:tcPr>
          <w:p w14:paraId="75737841"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Low</w:t>
            </w:r>
          </w:p>
        </w:tc>
        <w:tc>
          <w:tcPr>
            <w:tcW w:w="810" w:type="dxa"/>
            <w:vAlign w:val="center"/>
          </w:tcPr>
          <w:p w14:paraId="69D94807"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4FAD1C78"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3F29FEF6"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4926F543"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restart"/>
            <w:vAlign w:val="center"/>
          </w:tcPr>
          <w:p w14:paraId="769BF9A2" w14:textId="5C0E137E" w:rsidR="002F1A46" w:rsidRPr="00200E0F" w:rsidRDefault="002F1A46" w:rsidP="008E2312">
            <w:pPr>
              <w:rPr>
                <w:rFonts w:ascii="Arial" w:hAnsi="Arial"/>
                <w:color w:val="000000"/>
                <w:sz w:val="18"/>
              </w:rPr>
            </w:pPr>
            <w:r w:rsidRPr="00200E0F">
              <w:rPr>
                <w:rFonts w:ascii="Arial" w:hAnsi="Arial"/>
                <w:color w:val="000000"/>
                <w:sz w:val="18"/>
              </w:rPr>
              <w:t xml:space="preserve">Full-depth patching may be required if distress is significantly deep </w:t>
            </w:r>
            <w:r w:rsidRPr="002F1A46">
              <w:rPr>
                <w:rFonts w:ascii="Arial" w:hAnsi="Arial" w:cs="Arial"/>
                <w:snapToGrid w:val="0"/>
                <w:color w:val="000000"/>
                <w:sz w:val="18"/>
                <w:szCs w:val="18"/>
              </w:rPr>
              <w:t>(&gt;½</w:t>
            </w:r>
            <w:r w:rsidRPr="00200E0F">
              <w:rPr>
                <w:rFonts w:ascii="Arial" w:hAnsi="Arial"/>
                <w:color w:val="000000"/>
                <w:sz w:val="18"/>
              </w:rPr>
              <w:t xml:space="preserve"> total HMA thickness).</w:t>
            </w:r>
          </w:p>
        </w:tc>
      </w:tr>
      <w:tr w:rsidR="002F1A46" w:rsidRPr="002F1A46" w14:paraId="2A4506AA" w14:textId="77777777" w:rsidTr="00200E0F">
        <w:trPr>
          <w:cantSplit/>
          <w:trHeight w:val="288"/>
          <w:jc w:val="center"/>
        </w:trPr>
        <w:tc>
          <w:tcPr>
            <w:tcW w:w="1485" w:type="dxa"/>
            <w:vMerge/>
            <w:vAlign w:val="center"/>
          </w:tcPr>
          <w:p w14:paraId="0AD76038" w14:textId="1AE4CEA0" w:rsidR="002F1A46" w:rsidRPr="00200E0F" w:rsidRDefault="002F1A46" w:rsidP="008E2312">
            <w:pPr>
              <w:rPr>
                <w:rFonts w:ascii="Arial" w:hAnsi="Arial"/>
                <w:b/>
                <w:color w:val="000000"/>
                <w:sz w:val="18"/>
              </w:rPr>
            </w:pPr>
          </w:p>
        </w:tc>
        <w:tc>
          <w:tcPr>
            <w:tcW w:w="1080" w:type="dxa"/>
            <w:vAlign w:val="center"/>
          </w:tcPr>
          <w:p w14:paraId="03930CBA"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Medium</w:t>
            </w:r>
          </w:p>
        </w:tc>
        <w:tc>
          <w:tcPr>
            <w:tcW w:w="810" w:type="dxa"/>
            <w:shd w:val="pct15" w:color="auto" w:fill="FFFFFF"/>
            <w:vAlign w:val="center"/>
          </w:tcPr>
          <w:p w14:paraId="3B5C00E1" w14:textId="77777777" w:rsidR="002F1A46" w:rsidRPr="00200E0F" w:rsidRDefault="002F1A46" w:rsidP="008E2312">
            <w:pPr>
              <w:jc w:val="center"/>
              <w:rPr>
                <w:rFonts w:ascii="Arial" w:hAnsi="Arial"/>
                <w:color w:val="000000"/>
                <w:sz w:val="18"/>
              </w:rPr>
            </w:pPr>
            <w:r w:rsidRPr="00200E0F">
              <w:rPr>
                <w:rFonts w:ascii="Arial" w:hAnsi="Arial"/>
                <w:color w:val="000000"/>
                <w:sz w:val="18"/>
              </w:rPr>
              <w:t xml:space="preserve">Partial </w:t>
            </w:r>
          </w:p>
        </w:tc>
        <w:tc>
          <w:tcPr>
            <w:tcW w:w="810" w:type="dxa"/>
            <w:shd w:val="pct15" w:color="auto" w:fill="FFFFFF"/>
            <w:vAlign w:val="center"/>
          </w:tcPr>
          <w:p w14:paraId="539A9240"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990" w:type="dxa"/>
            <w:vAlign w:val="center"/>
          </w:tcPr>
          <w:p w14:paraId="6BE98B45"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7990D717"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ign w:val="center"/>
          </w:tcPr>
          <w:p w14:paraId="44988577" w14:textId="77777777" w:rsidR="002F1A46" w:rsidRPr="00200E0F" w:rsidRDefault="002F1A46" w:rsidP="008E2312">
            <w:pPr>
              <w:rPr>
                <w:rFonts w:ascii="Arial" w:hAnsi="Arial"/>
                <w:color w:val="000000"/>
                <w:sz w:val="18"/>
              </w:rPr>
            </w:pPr>
          </w:p>
        </w:tc>
      </w:tr>
      <w:tr w:rsidR="00115674" w:rsidRPr="002F1A46" w14:paraId="4FAFFDF4" w14:textId="77777777" w:rsidTr="002F1A46">
        <w:trPr>
          <w:cantSplit/>
          <w:trHeight w:val="288"/>
          <w:jc w:val="center"/>
        </w:trPr>
        <w:tc>
          <w:tcPr>
            <w:tcW w:w="1485" w:type="dxa"/>
            <w:vMerge/>
            <w:vAlign w:val="center"/>
          </w:tcPr>
          <w:p w14:paraId="351D78D5" w14:textId="43B69F4E" w:rsidR="002F1A46" w:rsidRPr="00200E0F" w:rsidRDefault="002F1A46" w:rsidP="008E2312">
            <w:pPr>
              <w:rPr>
                <w:rFonts w:ascii="Arial" w:hAnsi="Arial"/>
                <w:b/>
                <w:color w:val="000000"/>
                <w:sz w:val="18"/>
              </w:rPr>
            </w:pPr>
          </w:p>
        </w:tc>
        <w:tc>
          <w:tcPr>
            <w:tcW w:w="1080" w:type="dxa"/>
            <w:vAlign w:val="center"/>
          </w:tcPr>
          <w:p w14:paraId="46B14B63"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High</w:t>
            </w:r>
          </w:p>
        </w:tc>
        <w:tc>
          <w:tcPr>
            <w:tcW w:w="810" w:type="dxa"/>
            <w:shd w:val="pct15" w:color="auto" w:fill="FFFFFF"/>
            <w:vAlign w:val="center"/>
          </w:tcPr>
          <w:p w14:paraId="1AA5DDCC"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810" w:type="dxa"/>
            <w:shd w:val="pct15" w:color="auto" w:fill="FFFFFF"/>
            <w:vAlign w:val="center"/>
          </w:tcPr>
          <w:p w14:paraId="683AA3DD"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990" w:type="dxa"/>
            <w:vAlign w:val="center"/>
          </w:tcPr>
          <w:p w14:paraId="2CAD3D70"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0D1AB799"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ign w:val="center"/>
          </w:tcPr>
          <w:p w14:paraId="55022E1D" w14:textId="77777777" w:rsidR="002F1A46" w:rsidRPr="00200E0F" w:rsidRDefault="002F1A46" w:rsidP="008E2312">
            <w:pPr>
              <w:rPr>
                <w:rFonts w:ascii="Arial" w:hAnsi="Arial"/>
                <w:color w:val="000000"/>
                <w:sz w:val="18"/>
              </w:rPr>
            </w:pPr>
          </w:p>
        </w:tc>
      </w:tr>
      <w:tr w:rsidR="002F1A46" w:rsidRPr="002F1A46" w14:paraId="499F6E93" w14:textId="77777777" w:rsidTr="00200E0F">
        <w:trPr>
          <w:cantSplit/>
          <w:trHeight w:val="288"/>
          <w:jc w:val="center"/>
        </w:trPr>
        <w:tc>
          <w:tcPr>
            <w:tcW w:w="1485" w:type="dxa"/>
            <w:vMerge w:val="restart"/>
            <w:vAlign w:val="center"/>
          </w:tcPr>
          <w:p w14:paraId="4F454F45" w14:textId="77777777" w:rsidR="002F1A46" w:rsidRPr="002F1A46" w:rsidRDefault="002F1A46" w:rsidP="008E2312">
            <w:pPr>
              <w:rPr>
                <w:rFonts w:ascii="Arial" w:hAnsi="Arial" w:cs="Arial"/>
                <w:b/>
                <w:snapToGrid w:val="0"/>
                <w:color w:val="000000"/>
                <w:sz w:val="18"/>
                <w:szCs w:val="18"/>
              </w:rPr>
            </w:pPr>
            <w:r w:rsidRPr="00200E0F">
              <w:rPr>
                <w:rFonts w:ascii="Arial" w:hAnsi="Arial"/>
                <w:b/>
                <w:color w:val="000000"/>
                <w:sz w:val="18"/>
              </w:rPr>
              <w:t>Depression</w:t>
            </w:r>
          </w:p>
          <w:p w14:paraId="30FEEF98" w14:textId="77777777" w:rsidR="002F1A46" w:rsidRPr="002F1A46" w:rsidRDefault="002F1A46" w:rsidP="008E2312">
            <w:pPr>
              <w:rPr>
                <w:rFonts w:ascii="Arial" w:hAnsi="Arial" w:cs="Arial"/>
                <w:b/>
                <w:snapToGrid w:val="0"/>
                <w:color w:val="000000"/>
                <w:sz w:val="18"/>
                <w:szCs w:val="18"/>
              </w:rPr>
            </w:pPr>
            <w:r w:rsidRPr="00200E0F">
              <w:rPr>
                <w:rFonts w:ascii="Arial" w:hAnsi="Arial"/>
                <w:b/>
                <w:color w:val="000000"/>
                <w:sz w:val="18"/>
              </w:rPr>
              <w:t>Bumps/Sags</w:t>
            </w:r>
          </w:p>
          <w:p w14:paraId="2DAE574D" w14:textId="3F3A78C7" w:rsidR="002F1A46" w:rsidRPr="00200E0F" w:rsidRDefault="002F1A46" w:rsidP="008E2312">
            <w:pPr>
              <w:rPr>
                <w:rFonts w:ascii="Arial" w:hAnsi="Arial"/>
                <w:b/>
                <w:color w:val="000000"/>
                <w:sz w:val="18"/>
              </w:rPr>
            </w:pPr>
            <w:r w:rsidRPr="00200E0F">
              <w:rPr>
                <w:rFonts w:ascii="Arial" w:hAnsi="Arial"/>
                <w:b/>
                <w:color w:val="000000"/>
                <w:sz w:val="18"/>
              </w:rPr>
              <w:t>Swelling</w:t>
            </w:r>
          </w:p>
        </w:tc>
        <w:tc>
          <w:tcPr>
            <w:tcW w:w="1080" w:type="dxa"/>
            <w:vAlign w:val="center"/>
          </w:tcPr>
          <w:p w14:paraId="145800C3"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Low</w:t>
            </w:r>
          </w:p>
        </w:tc>
        <w:tc>
          <w:tcPr>
            <w:tcW w:w="810" w:type="dxa"/>
            <w:vAlign w:val="center"/>
          </w:tcPr>
          <w:p w14:paraId="0F21FFE0"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2661EF58"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1627DAF0"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1206E61B"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restart"/>
            <w:vAlign w:val="center"/>
          </w:tcPr>
          <w:p w14:paraId="2DB66723" w14:textId="77777777" w:rsidR="002F1A46" w:rsidRPr="00200E0F" w:rsidRDefault="002F1A46" w:rsidP="008E2312">
            <w:pPr>
              <w:rPr>
                <w:rFonts w:ascii="Arial" w:hAnsi="Arial"/>
                <w:color w:val="000000"/>
                <w:sz w:val="18"/>
              </w:rPr>
            </w:pPr>
            <w:r w:rsidRPr="00200E0F">
              <w:rPr>
                <w:rFonts w:ascii="Arial" w:hAnsi="Arial"/>
                <w:color w:val="000000"/>
                <w:sz w:val="18"/>
              </w:rPr>
              <w:t>Soil/Subgrade could be cause of depression, bumps/sags, and swelling.</w:t>
            </w:r>
          </w:p>
        </w:tc>
      </w:tr>
      <w:tr w:rsidR="00115674" w:rsidRPr="002F1A46" w14:paraId="1B21D936" w14:textId="77777777" w:rsidTr="002F1A46">
        <w:trPr>
          <w:cantSplit/>
          <w:trHeight w:val="288"/>
          <w:jc w:val="center"/>
        </w:trPr>
        <w:tc>
          <w:tcPr>
            <w:tcW w:w="1485" w:type="dxa"/>
            <w:vMerge/>
            <w:vAlign w:val="center"/>
          </w:tcPr>
          <w:p w14:paraId="0461D479" w14:textId="72115A1F" w:rsidR="002F1A46" w:rsidRPr="00200E0F" w:rsidRDefault="002F1A46" w:rsidP="008E2312">
            <w:pPr>
              <w:rPr>
                <w:rFonts w:ascii="Arial" w:hAnsi="Arial"/>
                <w:b/>
                <w:color w:val="000000"/>
                <w:sz w:val="18"/>
              </w:rPr>
            </w:pPr>
          </w:p>
        </w:tc>
        <w:tc>
          <w:tcPr>
            <w:tcW w:w="1080" w:type="dxa"/>
            <w:vAlign w:val="center"/>
          </w:tcPr>
          <w:p w14:paraId="3820DBFB"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Medium</w:t>
            </w:r>
          </w:p>
        </w:tc>
        <w:tc>
          <w:tcPr>
            <w:tcW w:w="810" w:type="dxa"/>
            <w:shd w:val="pct15" w:color="auto" w:fill="FFFFFF"/>
            <w:vAlign w:val="center"/>
          </w:tcPr>
          <w:p w14:paraId="5FA40499"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810" w:type="dxa"/>
            <w:shd w:val="pct15" w:color="auto" w:fill="FFFFFF"/>
            <w:vAlign w:val="center"/>
          </w:tcPr>
          <w:p w14:paraId="3251484F"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990" w:type="dxa"/>
            <w:vAlign w:val="center"/>
          </w:tcPr>
          <w:p w14:paraId="734FD9A9"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595E15DD"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ign w:val="center"/>
          </w:tcPr>
          <w:p w14:paraId="0979A7AA" w14:textId="77777777" w:rsidR="002F1A46" w:rsidRPr="00200E0F" w:rsidRDefault="002F1A46" w:rsidP="008E2312">
            <w:pPr>
              <w:rPr>
                <w:rFonts w:ascii="Arial" w:hAnsi="Arial"/>
                <w:color w:val="000000"/>
                <w:sz w:val="18"/>
              </w:rPr>
            </w:pPr>
          </w:p>
        </w:tc>
      </w:tr>
      <w:tr w:rsidR="00115674" w:rsidRPr="002F1A46" w14:paraId="00FA1B06" w14:textId="77777777" w:rsidTr="002F1A46">
        <w:trPr>
          <w:cantSplit/>
          <w:trHeight w:val="288"/>
          <w:jc w:val="center"/>
        </w:trPr>
        <w:tc>
          <w:tcPr>
            <w:tcW w:w="1485" w:type="dxa"/>
            <w:vMerge/>
            <w:vAlign w:val="center"/>
          </w:tcPr>
          <w:p w14:paraId="7C96A5C9" w14:textId="66F1FB4B" w:rsidR="002F1A46" w:rsidRPr="00200E0F" w:rsidRDefault="002F1A46" w:rsidP="008E2312">
            <w:pPr>
              <w:rPr>
                <w:rFonts w:ascii="Arial" w:hAnsi="Arial"/>
                <w:b/>
                <w:color w:val="000000"/>
                <w:sz w:val="18"/>
              </w:rPr>
            </w:pPr>
          </w:p>
        </w:tc>
        <w:tc>
          <w:tcPr>
            <w:tcW w:w="1080" w:type="dxa"/>
            <w:vAlign w:val="center"/>
          </w:tcPr>
          <w:p w14:paraId="3A630090"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High</w:t>
            </w:r>
          </w:p>
        </w:tc>
        <w:tc>
          <w:tcPr>
            <w:tcW w:w="810" w:type="dxa"/>
            <w:shd w:val="pct15" w:color="auto" w:fill="FFFFFF"/>
            <w:vAlign w:val="center"/>
          </w:tcPr>
          <w:p w14:paraId="03196790"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810" w:type="dxa"/>
            <w:shd w:val="pct35" w:color="auto" w:fill="FFFFFF"/>
            <w:vAlign w:val="center"/>
          </w:tcPr>
          <w:p w14:paraId="00A6AB3A"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990" w:type="dxa"/>
            <w:shd w:val="pct15" w:color="auto" w:fill="FFFFFF"/>
            <w:vAlign w:val="center"/>
          </w:tcPr>
          <w:p w14:paraId="15036E1F"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1170" w:type="dxa"/>
            <w:shd w:val="pct35" w:color="auto" w:fill="FFFFFF"/>
            <w:vAlign w:val="center"/>
          </w:tcPr>
          <w:p w14:paraId="3FA45F84"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2290" w:type="dxa"/>
            <w:vMerge/>
            <w:vAlign w:val="center"/>
          </w:tcPr>
          <w:p w14:paraId="1FF123E0" w14:textId="77777777" w:rsidR="002F1A46" w:rsidRPr="00200E0F" w:rsidRDefault="002F1A46" w:rsidP="008E2312">
            <w:pPr>
              <w:rPr>
                <w:rFonts w:ascii="Arial" w:hAnsi="Arial"/>
                <w:color w:val="000000"/>
                <w:sz w:val="18"/>
              </w:rPr>
            </w:pPr>
          </w:p>
        </w:tc>
      </w:tr>
      <w:tr w:rsidR="002F1A46" w:rsidRPr="002F1A46" w14:paraId="2E78CAAA" w14:textId="77777777" w:rsidTr="00200E0F">
        <w:trPr>
          <w:cantSplit/>
          <w:trHeight w:val="288"/>
          <w:jc w:val="center"/>
        </w:trPr>
        <w:tc>
          <w:tcPr>
            <w:tcW w:w="1485" w:type="dxa"/>
            <w:vMerge w:val="restart"/>
            <w:vAlign w:val="center"/>
          </w:tcPr>
          <w:p w14:paraId="15EB7612" w14:textId="77777777" w:rsidR="002F1A46" w:rsidRPr="00200E0F" w:rsidRDefault="002F1A46" w:rsidP="008E2312">
            <w:pPr>
              <w:rPr>
                <w:rFonts w:ascii="Arial" w:hAnsi="Arial"/>
                <w:b/>
                <w:color w:val="000000"/>
                <w:sz w:val="18"/>
              </w:rPr>
            </w:pPr>
            <w:r w:rsidRPr="00200E0F">
              <w:rPr>
                <w:rFonts w:ascii="Arial" w:hAnsi="Arial"/>
                <w:b/>
                <w:color w:val="000000"/>
                <w:sz w:val="18"/>
              </w:rPr>
              <w:t>Patches</w:t>
            </w:r>
          </w:p>
        </w:tc>
        <w:tc>
          <w:tcPr>
            <w:tcW w:w="1080" w:type="dxa"/>
            <w:vAlign w:val="center"/>
          </w:tcPr>
          <w:p w14:paraId="051D4F8F"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Low</w:t>
            </w:r>
          </w:p>
        </w:tc>
        <w:tc>
          <w:tcPr>
            <w:tcW w:w="810" w:type="dxa"/>
            <w:vAlign w:val="center"/>
          </w:tcPr>
          <w:p w14:paraId="5081D6B6"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2016D754"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274F6D29"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2D1B87DA"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restart"/>
            <w:vAlign w:val="center"/>
          </w:tcPr>
          <w:p w14:paraId="14377464" w14:textId="77777777" w:rsidR="002F1A46" w:rsidRPr="00200E0F" w:rsidRDefault="002F1A46" w:rsidP="008E2312">
            <w:pPr>
              <w:rPr>
                <w:rFonts w:ascii="Arial" w:hAnsi="Arial"/>
                <w:color w:val="000000"/>
                <w:sz w:val="18"/>
              </w:rPr>
            </w:pPr>
          </w:p>
        </w:tc>
      </w:tr>
      <w:tr w:rsidR="00115674" w:rsidRPr="002F1A46" w14:paraId="5B7C88A0" w14:textId="77777777" w:rsidTr="002F1A46">
        <w:trPr>
          <w:cantSplit/>
          <w:trHeight w:val="288"/>
          <w:jc w:val="center"/>
        </w:trPr>
        <w:tc>
          <w:tcPr>
            <w:tcW w:w="1485" w:type="dxa"/>
            <w:vMerge/>
            <w:vAlign w:val="center"/>
          </w:tcPr>
          <w:p w14:paraId="6B03A749" w14:textId="77777777" w:rsidR="002F1A46" w:rsidRPr="00200E0F" w:rsidRDefault="002F1A46" w:rsidP="008E2312">
            <w:pPr>
              <w:jc w:val="right"/>
              <w:rPr>
                <w:rFonts w:ascii="Arial" w:hAnsi="Arial"/>
                <w:b/>
                <w:color w:val="000000"/>
                <w:sz w:val="18"/>
              </w:rPr>
            </w:pPr>
          </w:p>
        </w:tc>
        <w:tc>
          <w:tcPr>
            <w:tcW w:w="1080" w:type="dxa"/>
            <w:vAlign w:val="center"/>
          </w:tcPr>
          <w:p w14:paraId="063578F5"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Medium</w:t>
            </w:r>
          </w:p>
        </w:tc>
        <w:tc>
          <w:tcPr>
            <w:tcW w:w="810" w:type="dxa"/>
            <w:shd w:val="pct15" w:color="auto" w:fill="FFFFFF"/>
            <w:vAlign w:val="center"/>
          </w:tcPr>
          <w:p w14:paraId="4C6E15F6"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810" w:type="dxa"/>
            <w:shd w:val="pct35" w:color="auto" w:fill="FFFFFF"/>
            <w:vAlign w:val="center"/>
          </w:tcPr>
          <w:p w14:paraId="364D58BB"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990" w:type="dxa"/>
            <w:shd w:val="pct15" w:color="auto" w:fill="FFFFFF"/>
            <w:vAlign w:val="center"/>
          </w:tcPr>
          <w:p w14:paraId="5051DA05"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1170" w:type="dxa"/>
            <w:shd w:val="pct35" w:color="auto" w:fill="FFFFFF"/>
            <w:vAlign w:val="center"/>
          </w:tcPr>
          <w:p w14:paraId="6F25D4B8"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2290" w:type="dxa"/>
            <w:vMerge/>
            <w:vAlign w:val="center"/>
          </w:tcPr>
          <w:p w14:paraId="195E8E0F" w14:textId="77777777" w:rsidR="002F1A46" w:rsidRPr="00200E0F" w:rsidRDefault="002F1A46" w:rsidP="008E2312">
            <w:pPr>
              <w:rPr>
                <w:rFonts w:ascii="Arial" w:hAnsi="Arial"/>
                <w:color w:val="000000"/>
                <w:sz w:val="18"/>
              </w:rPr>
            </w:pPr>
          </w:p>
        </w:tc>
      </w:tr>
      <w:tr w:rsidR="00115674" w:rsidRPr="002F1A46" w14:paraId="76D64248" w14:textId="77777777" w:rsidTr="002F1A46">
        <w:trPr>
          <w:cantSplit/>
          <w:trHeight w:val="288"/>
          <w:jc w:val="center"/>
        </w:trPr>
        <w:tc>
          <w:tcPr>
            <w:tcW w:w="1485" w:type="dxa"/>
            <w:vMerge/>
            <w:vAlign w:val="center"/>
          </w:tcPr>
          <w:p w14:paraId="53923E49" w14:textId="77777777" w:rsidR="002F1A46" w:rsidRPr="00200E0F" w:rsidRDefault="002F1A46" w:rsidP="008E2312">
            <w:pPr>
              <w:jc w:val="right"/>
              <w:rPr>
                <w:rFonts w:ascii="Arial" w:hAnsi="Arial"/>
                <w:b/>
                <w:color w:val="000000"/>
                <w:sz w:val="18"/>
              </w:rPr>
            </w:pPr>
          </w:p>
        </w:tc>
        <w:tc>
          <w:tcPr>
            <w:tcW w:w="1080" w:type="dxa"/>
            <w:vAlign w:val="center"/>
          </w:tcPr>
          <w:p w14:paraId="2C6C6065"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High</w:t>
            </w:r>
          </w:p>
        </w:tc>
        <w:tc>
          <w:tcPr>
            <w:tcW w:w="810" w:type="dxa"/>
            <w:shd w:val="pct35" w:color="auto" w:fill="FFFFFF"/>
            <w:vAlign w:val="center"/>
          </w:tcPr>
          <w:p w14:paraId="54BACF6B"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810" w:type="dxa"/>
            <w:shd w:val="pct35" w:color="auto" w:fill="FFFFFF"/>
            <w:vAlign w:val="center"/>
          </w:tcPr>
          <w:p w14:paraId="1DB415B6"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20B1B8CB"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1170" w:type="dxa"/>
            <w:shd w:val="pct35" w:color="auto" w:fill="FFFFFF"/>
            <w:vAlign w:val="center"/>
          </w:tcPr>
          <w:p w14:paraId="5D0AF6C5"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2290" w:type="dxa"/>
            <w:vMerge/>
            <w:vAlign w:val="center"/>
          </w:tcPr>
          <w:p w14:paraId="08A9D829" w14:textId="77777777" w:rsidR="002F1A46" w:rsidRPr="00200E0F" w:rsidRDefault="002F1A46" w:rsidP="008E2312">
            <w:pPr>
              <w:rPr>
                <w:rFonts w:ascii="Arial" w:hAnsi="Arial"/>
                <w:color w:val="000000"/>
                <w:sz w:val="18"/>
              </w:rPr>
            </w:pPr>
          </w:p>
        </w:tc>
      </w:tr>
      <w:tr w:rsidR="002F1A46" w:rsidRPr="002F1A46" w14:paraId="045302B4" w14:textId="77777777" w:rsidTr="00200E0F">
        <w:trPr>
          <w:cantSplit/>
          <w:trHeight w:val="288"/>
          <w:jc w:val="center"/>
        </w:trPr>
        <w:tc>
          <w:tcPr>
            <w:tcW w:w="1485" w:type="dxa"/>
            <w:vMerge w:val="restart"/>
            <w:vAlign w:val="center"/>
          </w:tcPr>
          <w:p w14:paraId="7CCD7D37" w14:textId="77777777" w:rsidR="002F1A46" w:rsidRPr="002F1A46" w:rsidRDefault="002F1A46" w:rsidP="008E2312">
            <w:pPr>
              <w:rPr>
                <w:rFonts w:ascii="Arial" w:hAnsi="Arial" w:cs="Arial"/>
                <w:b/>
                <w:snapToGrid w:val="0"/>
                <w:color w:val="000000"/>
                <w:sz w:val="18"/>
                <w:szCs w:val="18"/>
              </w:rPr>
            </w:pPr>
            <w:r w:rsidRPr="00200E0F">
              <w:rPr>
                <w:rFonts w:ascii="Arial" w:hAnsi="Arial"/>
                <w:b/>
                <w:color w:val="000000"/>
                <w:sz w:val="18"/>
              </w:rPr>
              <w:t>Joint Reflection</w:t>
            </w:r>
          </w:p>
          <w:p w14:paraId="72499918" w14:textId="77777777" w:rsidR="002F1A46" w:rsidRPr="002F1A46" w:rsidRDefault="002F1A46" w:rsidP="008E2312">
            <w:pPr>
              <w:rPr>
                <w:rFonts w:ascii="Arial" w:hAnsi="Arial" w:cs="Arial"/>
                <w:b/>
                <w:snapToGrid w:val="0"/>
                <w:color w:val="000000"/>
                <w:sz w:val="18"/>
                <w:szCs w:val="18"/>
                <w:vertAlign w:val="superscript"/>
              </w:rPr>
            </w:pPr>
            <w:r w:rsidRPr="00200E0F">
              <w:rPr>
                <w:rFonts w:ascii="Arial" w:hAnsi="Arial"/>
                <w:b/>
                <w:color w:val="000000"/>
                <w:sz w:val="18"/>
              </w:rPr>
              <w:t xml:space="preserve">Cracking </w:t>
            </w:r>
          </w:p>
          <w:p w14:paraId="14B9B680" w14:textId="3F609360" w:rsidR="002F1A46" w:rsidRPr="00200E0F" w:rsidRDefault="002F1A46" w:rsidP="008E2312">
            <w:pPr>
              <w:rPr>
                <w:rFonts w:ascii="Arial" w:hAnsi="Arial"/>
                <w:b/>
                <w:color w:val="000000"/>
                <w:sz w:val="18"/>
              </w:rPr>
            </w:pPr>
            <w:r w:rsidRPr="00200E0F">
              <w:rPr>
                <w:rFonts w:ascii="Arial" w:hAnsi="Arial"/>
                <w:color w:val="000000"/>
                <w:sz w:val="18"/>
              </w:rPr>
              <w:t xml:space="preserve">∆ of loaded and unloaded slabs &lt;16 mils </w:t>
            </w:r>
            <w:r w:rsidR="00402869">
              <w:rPr>
                <w:rFonts w:ascii="Arial" w:hAnsi="Arial"/>
                <w:color w:val="000000"/>
                <w:sz w:val="18"/>
              </w:rPr>
              <w:t>or no bumps</w:t>
            </w:r>
          </w:p>
        </w:tc>
        <w:tc>
          <w:tcPr>
            <w:tcW w:w="1080" w:type="dxa"/>
            <w:vAlign w:val="center"/>
          </w:tcPr>
          <w:p w14:paraId="339B072C"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Low</w:t>
            </w:r>
          </w:p>
        </w:tc>
        <w:tc>
          <w:tcPr>
            <w:tcW w:w="810" w:type="dxa"/>
            <w:vAlign w:val="center"/>
          </w:tcPr>
          <w:p w14:paraId="5D6EDF13"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0170CFAC"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5FDB9EF2"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076DA33A"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ign w:val="center"/>
          </w:tcPr>
          <w:p w14:paraId="141BA9EF" w14:textId="77777777" w:rsidR="002F1A46" w:rsidRPr="00200E0F" w:rsidRDefault="002F1A46" w:rsidP="008E2312">
            <w:pPr>
              <w:rPr>
                <w:rFonts w:ascii="Arial" w:hAnsi="Arial"/>
                <w:color w:val="000000"/>
                <w:sz w:val="18"/>
              </w:rPr>
            </w:pPr>
          </w:p>
        </w:tc>
      </w:tr>
      <w:tr w:rsidR="002F1A46" w:rsidRPr="002F1A46" w14:paraId="3380822C" w14:textId="77777777" w:rsidTr="00200E0F">
        <w:trPr>
          <w:cantSplit/>
          <w:trHeight w:val="288"/>
          <w:jc w:val="center"/>
        </w:trPr>
        <w:tc>
          <w:tcPr>
            <w:tcW w:w="1485" w:type="dxa"/>
            <w:vMerge/>
            <w:vAlign w:val="center"/>
          </w:tcPr>
          <w:p w14:paraId="7F9B74CD" w14:textId="71C9581C" w:rsidR="002F1A46" w:rsidRPr="00200E0F" w:rsidRDefault="002F1A46" w:rsidP="008E2312">
            <w:pPr>
              <w:rPr>
                <w:rFonts w:ascii="Arial" w:hAnsi="Arial"/>
                <w:b/>
                <w:color w:val="000000"/>
                <w:sz w:val="18"/>
                <w:vertAlign w:val="superscript"/>
              </w:rPr>
            </w:pPr>
          </w:p>
        </w:tc>
        <w:tc>
          <w:tcPr>
            <w:tcW w:w="1080" w:type="dxa"/>
            <w:vAlign w:val="center"/>
          </w:tcPr>
          <w:p w14:paraId="09DCCC45"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Medium</w:t>
            </w:r>
          </w:p>
        </w:tc>
        <w:tc>
          <w:tcPr>
            <w:tcW w:w="810" w:type="dxa"/>
            <w:vAlign w:val="center"/>
          </w:tcPr>
          <w:p w14:paraId="769526D7"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52FFF3A6"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403316B9"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02FB94DF"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restart"/>
            <w:vAlign w:val="center"/>
          </w:tcPr>
          <w:p w14:paraId="30BD7C24" w14:textId="77777777" w:rsidR="002F1A46" w:rsidRDefault="002F1A46" w:rsidP="008E2312">
            <w:pPr>
              <w:rPr>
                <w:rFonts w:ascii="Arial" w:hAnsi="Arial"/>
                <w:color w:val="000000"/>
                <w:sz w:val="18"/>
              </w:rPr>
            </w:pPr>
            <w:r w:rsidRPr="00200E0F">
              <w:rPr>
                <w:rFonts w:ascii="Arial" w:hAnsi="Arial"/>
                <w:color w:val="000000"/>
                <w:sz w:val="18"/>
              </w:rPr>
              <w:t>**Consider for Patch-Only projects.</w:t>
            </w:r>
          </w:p>
          <w:p w14:paraId="64421B3F" w14:textId="77777777" w:rsidR="00402869" w:rsidRDefault="00402869" w:rsidP="008E2312">
            <w:pPr>
              <w:rPr>
                <w:rFonts w:ascii="Arial" w:hAnsi="Arial"/>
                <w:color w:val="000000"/>
                <w:sz w:val="18"/>
              </w:rPr>
            </w:pPr>
            <w:r>
              <w:rPr>
                <w:rFonts w:ascii="Arial" w:hAnsi="Arial"/>
                <w:color w:val="000000"/>
                <w:sz w:val="18"/>
              </w:rPr>
              <w:t>Consider mastic for cases with wide cracks and minimal secondary cracking</w:t>
            </w:r>
          </w:p>
          <w:p w14:paraId="536A63B9" w14:textId="259E74D8" w:rsidR="00D01712" w:rsidRPr="00200E0F" w:rsidRDefault="00D01712" w:rsidP="008E2312">
            <w:pPr>
              <w:rPr>
                <w:rFonts w:ascii="Arial" w:hAnsi="Arial"/>
                <w:color w:val="000000"/>
                <w:sz w:val="18"/>
              </w:rPr>
            </w:pPr>
            <w:r>
              <w:rPr>
                <w:rFonts w:ascii="Arial" w:hAnsi="Arial"/>
                <w:color w:val="000000"/>
                <w:sz w:val="18"/>
              </w:rPr>
              <w:t>***No patching needed if reflective crack control surface mix used</w:t>
            </w:r>
          </w:p>
        </w:tc>
      </w:tr>
      <w:tr w:rsidR="00115674" w:rsidRPr="002F1A46" w14:paraId="2B3BF7A1" w14:textId="77777777" w:rsidTr="002F1A46">
        <w:trPr>
          <w:cantSplit/>
          <w:trHeight w:val="288"/>
          <w:jc w:val="center"/>
        </w:trPr>
        <w:tc>
          <w:tcPr>
            <w:tcW w:w="1485" w:type="dxa"/>
            <w:vMerge/>
            <w:vAlign w:val="center"/>
          </w:tcPr>
          <w:p w14:paraId="640E9199" w14:textId="54462487" w:rsidR="002F1A46" w:rsidRPr="00200E0F" w:rsidRDefault="002F1A46" w:rsidP="008E2312">
            <w:pPr>
              <w:rPr>
                <w:rFonts w:ascii="Arial" w:hAnsi="Arial"/>
                <w:b/>
                <w:color w:val="000000"/>
                <w:sz w:val="18"/>
              </w:rPr>
            </w:pPr>
          </w:p>
        </w:tc>
        <w:tc>
          <w:tcPr>
            <w:tcW w:w="1080" w:type="dxa"/>
            <w:vAlign w:val="center"/>
          </w:tcPr>
          <w:p w14:paraId="1DF47C97" w14:textId="77777777" w:rsidR="002F1A46" w:rsidRPr="00200E0F" w:rsidRDefault="002F1A46" w:rsidP="008E2312">
            <w:pPr>
              <w:jc w:val="center"/>
              <w:rPr>
                <w:rFonts w:ascii="Arial" w:hAnsi="Arial"/>
                <w:b/>
                <w:color w:val="000000"/>
                <w:sz w:val="18"/>
                <w:vertAlign w:val="superscript"/>
              </w:rPr>
            </w:pPr>
            <w:r w:rsidRPr="00200E0F">
              <w:rPr>
                <w:rFonts w:ascii="Arial" w:hAnsi="Arial"/>
                <w:b/>
                <w:color w:val="000000"/>
                <w:sz w:val="18"/>
              </w:rPr>
              <w:t xml:space="preserve">High </w:t>
            </w:r>
          </w:p>
        </w:tc>
        <w:tc>
          <w:tcPr>
            <w:tcW w:w="810" w:type="dxa"/>
            <w:shd w:val="pct15" w:color="auto" w:fill="FFFFFF"/>
            <w:vAlign w:val="center"/>
          </w:tcPr>
          <w:p w14:paraId="475C76CF" w14:textId="77777777" w:rsidR="002F1A46" w:rsidRPr="00200E0F" w:rsidRDefault="002F1A46" w:rsidP="008E2312">
            <w:pPr>
              <w:jc w:val="center"/>
              <w:rPr>
                <w:rFonts w:ascii="Arial" w:hAnsi="Arial"/>
                <w:color w:val="000000"/>
                <w:sz w:val="18"/>
                <w:vertAlign w:val="superscript"/>
              </w:rPr>
            </w:pPr>
            <w:r w:rsidRPr="00200E0F">
              <w:rPr>
                <w:rFonts w:ascii="Arial" w:hAnsi="Arial"/>
                <w:color w:val="000000"/>
                <w:sz w:val="18"/>
              </w:rPr>
              <w:t>Partial</w:t>
            </w:r>
          </w:p>
        </w:tc>
        <w:tc>
          <w:tcPr>
            <w:tcW w:w="810" w:type="dxa"/>
            <w:shd w:val="pct15" w:color="auto" w:fill="FFFFFF"/>
            <w:vAlign w:val="center"/>
          </w:tcPr>
          <w:p w14:paraId="4146C7C1" w14:textId="77777777" w:rsidR="002F1A46" w:rsidRPr="00200E0F" w:rsidRDefault="002F1A46" w:rsidP="008E2312">
            <w:pPr>
              <w:jc w:val="center"/>
              <w:rPr>
                <w:rFonts w:ascii="Arial" w:hAnsi="Arial"/>
                <w:color w:val="000000"/>
                <w:sz w:val="18"/>
                <w:vertAlign w:val="superscript"/>
              </w:rPr>
            </w:pPr>
            <w:r w:rsidRPr="00200E0F">
              <w:rPr>
                <w:rFonts w:ascii="Arial" w:hAnsi="Arial"/>
                <w:color w:val="000000"/>
                <w:sz w:val="18"/>
              </w:rPr>
              <w:t>Partial</w:t>
            </w:r>
          </w:p>
        </w:tc>
        <w:tc>
          <w:tcPr>
            <w:tcW w:w="990" w:type="dxa"/>
            <w:shd w:val="pct15" w:color="auto" w:fill="FFFFFF"/>
            <w:vAlign w:val="center"/>
          </w:tcPr>
          <w:p w14:paraId="536A07CF" w14:textId="6E70E149" w:rsidR="002F1A46" w:rsidRPr="00200E0F" w:rsidRDefault="002F1A46" w:rsidP="008E2312">
            <w:pPr>
              <w:jc w:val="center"/>
              <w:rPr>
                <w:rFonts w:ascii="Arial" w:hAnsi="Arial"/>
                <w:color w:val="000000"/>
                <w:sz w:val="18"/>
                <w:vertAlign w:val="superscript"/>
              </w:rPr>
            </w:pPr>
            <w:r w:rsidRPr="00200E0F">
              <w:rPr>
                <w:rFonts w:ascii="Arial" w:hAnsi="Arial"/>
                <w:color w:val="000000"/>
                <w:sz w:val="18"/>
              </w:rPr>
              <w:t>Partial</w:t>
            </w:r>
            <w:r w:rsidR="00D01712">
              <w:rPr>
                <w:rFonts w:ascii="Arial" w:hAnsi="Arial"/>
                <w:color w:val="000000"/>
                <w:sz w:val="18"/>
              </w:rPr>
              <w:t>***</w:t>
            </w:r>
          </w:p>
        </w:tc>
        <w:tc>
          <w:tcPr>
            <w:tcW w:w="1170" w:type="dxa"/>
            <w:shd w:val="pct15" w:color="auto" w:fill="FFFFFF"/>
            <w:vAlign w:val="center"/>
          </w:tcPr>
          <w:p w14:paraId="25BA8218" w14:textId="409EB98A" w:rsidR="002F1A46" w:rsidRPr="00200E0F" w:rsidRDefault="002F1A46" w:rsidP="008E2312">
            <w:pPr>
              <w:jc w:val="center"/>
              <w:rPr>
                <w:rFonts w:ascii="Arial" w:hAnsi="Arial"/>
                <w:color w:val="000000"/>
                <w:sz w:val="18"/>
                <w:vertAlign w:val="superscript"/>
              </w:rPr>
            </w:pPr>
            <w:r w:rsidRPr="00200E0F">
              <w:rPr>
                <w:rFonts w:ascii="Arial" w:hAnsi="Arial"/>
                <w:color w:val="000000"/>
                <w:sz w:val="18"/>
              </w:rPr>
              <w:t>Partial</w:t>
            </w:r>
            <w:r w:rsidR="00D01712">
              <w:rPr>
                <w:rFonts w:ascii="Arial" w:hAnsi="Arial"/>
                <w:color w:val="000000"/>
                <w:sz w:val="18"/>
              </w:rPr>
              <w:t>***</w:t>
            </w:r>
          </w:p>
        </w:tc>
        <w:tc>
          <w:tcPr>
            <w:tcW w:w="2290" w:type="dxa"/>
            <w:vMerge/>
            <w:vAlign w:val="center"/>
          </w:tcPr>
          <w:p w14:paraId="7F1D89CA" w14:textId="77777777" w:rsidR="002F1A46" w:rsidRPr="00200E0F" w:rsidRDefault="002F1A46" w:rsidP="008E2312">
            <w:pPr>
              <w:rPr>
                <w:rFonts w:ascii="Arial" w:hAnsi="Arial"/>
                <w:color w:val="000000"/>
                <w:sz w:val="18"/>
              </w:rPr>
            </w:pPr>
          </w:p>
        </w:tc>
      </w:tr>
      <w:tr w:rsidR="002F1A46" w:rsidRPr="002F1A46" w14:paraId="2C1F6354" w14:textId="77777777" w:rsidTr="00200E0F">
        <w:trPr>
          <w:cantSplit/>
          <w:trHeight w:val="288"/>
          <w:jc w:val="center"/>
        </w:trPr>
        <w:tc>
          <w:tcPr>
            <w:tcW w:w="1485" w:type="dxa"/>
            <w:vMerge w:val="restart"/>
            <w:vAlign w:val="center"/>
          </w:tcPr>
          <w:p w14:paraId="01CE2258" w14:textId="77777777" w:rsidR="002F1A46" w:rsidRPr="002F1A46" w:rsidRDefault="002F1A46" w:rsidP="008E2312">
            <w:pPr>
              <w:rPr>
                <w:rFonts w:ascii="Arial" w:hAnsi="Arial" w:cs="Arial"/>
                <w:b/>
                <w:snapToGrid w:val="0"/>
                <w:color w:val="000000"/>
                <w:sz w:val="18"/>
                <w:szCs w:val="18"/>
              </w:rPr>
            </w:pPr>
            <w:r w:rsidRPr="00200E0F">
              <w:rPr>
                <w:rFonts w:ascii="Arial" w:hAnsi="Arial"/>
                <w:b/>
                <w:color w:val="000000"/>
                <w:sz w:val="18"/>
              </w:rPr>
              <w:t>Joint Reflection</w:t>
            </w:r>
          </w:p>
          <w:p w14:paraId="5C082CE2" w14:textId="77777777" w:rsidR="002F1A46" w:rsidRPr="002F1A46" w:rsidRDefault="002F1A46" w:rsidP="008E2312">
            <w:pPr>
              <w:rPr>
                <w:rFonts w:ascii="Arial" w:hAnsi="Arial" w:cs="Arial"/>
                <w:b/>
                <w:snapToGrid w:val="0"/>
                <w:color w:val="000000"/>
                <w:sz w:val="18"/>
                <w:szCs w:val="18"/>
                <w:vertAlign w:val="superscript"/>
              </w:rPr>
            </w:pPr>
            <w:r w:rsidRPr="00200E0F">
              <w:rPr>
                <w:rFonts w:ascii="Arial" w:hAnsi="Arial"/>
                <w:b/>
                <w:color w:val="000000"/>
                <w:sz w:val="18"/>
              </w:rPr>
              <w:t xml:space="preserve">Cracking </w:t>
            </w:r>
          </w:p>
          <w:p w14:paraId="3697AF09" w14:textId="62D086A9" w:rsidR="002F1A46" w:rsidRPr="00200E0F" w:rsidRDefault="002F1A46" w:rsidP="008E2312">
            <w:pPr>
              <w:rPr>
                <w:rFonts w:ascii="Arial" w:hAnsi="Arial"/>
                <w:b/>
                <w:color w:val="000000"/>
                <w:sz w:val="18"/>
              </w:rPr>
            </w:pPr>
            <w:r w:rsidRPr="002F1A46">
              <w:rPr>
                <w:rFonts w:ascii="Arial" w:hAnsi="Arial" w:cs="Arial"/>
                <w:snapToGrid w:val="0"/>
                <w:color w:val="000000"/>
                <w:sz w:val="18"/>
                <w:szCs w:val="18"/>
              </w:rPr>
              <w:t xml:space="preserve">∆ of loaded and unloaded slabs &gt; 16 mils </w:t>
            </w:r>
            <w:r w:rsidR="00402869">
              <w:rPr>
                <w:rFonts w:ascii="Arial" w:hAnsi="Arial" w:cs="Arial"/>
                <w:snapToGrid w:val="0"/>
                <w:color w:val="000000"/>
                <w:sz w:val="18"/>
                <w:szCs w:val="18"/>
              </w:rPr>
              <w:t>or bumps or depressions</w:t>
            </w:r>
          </w:p>
        </w:tc>
        <w:tc>
          <w:tcPr>
            <w:tcW w:w="1080" w:type="dxa"/>
            <w:vAlign w:val="center"/>
          </w:tcPr>
          <w:p w14:paraId="7422B40C"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Low</w:t>
            </w:r>
          </w:p>
        </w:tc>
        <w:tc>
          <w:tcPr>
            <w:tcW w:w="810" w:type="dxa"/>
            <w:vAlign w:val="center"/>
          </w:tcPr>
          <w:p w14:paraId="72623102"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810" w:type="dxa"/>
            <w:vAlign w:val="center"/>
          </w:tcPr>
          <w:p w14:paraId="3BFF1549"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990" w:type="dxa"/>
            <w:vAlign w:val="center"/>
          </w:tcPr>
          <w:p w14:paraId="43E0593A"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1170" w:type="dxa"/>
            <w:vAlign w:val="center"/>
          </w:tcPr>
          <w:p w14:paraId="10CBD965" w14:textId="77777777" w:rsidR="002F1A46" w:rsidRPr="00200E0F" w:rsidRDefault="002F1A46" w:rsidP="008E2312">
            <w:pPr>
              <w:jc w:val="center"/>
              <w:rPr>
                <w:rFonts w:ascii="Arial" w:hAnsi="Arial"/>
                <w:color w:val="000000"/>
                <w:sz w:val="18"/>
              </w:rPr>
            </w:pPr>
            <w:r w:rsidRPr="00200E0F">
              <w:rPr>
                <w:rFonts w:ascii="Arial" w:hAnsi="Arial"/>
                <w:color w:val="000000"/>
                <w:sz w:val="18"/>
              </w:rPr>
              <w:t>None</w:t>
            </w:r>
          </w:p>
        </w:tc>
        <w:tc>
          <w:tcPr>
            <w:tcW w:w="2290" w:type="dxa"/>
            <w:vMerge w:val="restart"/>
            <w:vAlign w:val="center"/>
          </w:tcPr>
          <w:p w14:paraId="0BD02992" w14:textId="77777777" w:rsidR="00402869" w:rsidRDefault="00402869" w:rsidP="008E2312">
            <w:pPr>
              <w:rPr>
                <w:rFonts w:ascii="Arial" w:hAnsi="Arial"/>
                <w:color w:val="000000"/>
                <w:sz w:val="18"/>
              </w:rPr>
            </w:pPr>
            <w:r>
              <w:rPr>
                <w:rFonts w:ascii="Arial" w:hAnsi="Arial"/>
                <w:color w:val="000000"/>
                <w:sz w:val="18"/>
              </w:rPr>
              <w:t>For 2” to 3” HMA, do FDP for medium severity.</w:t>
            </w:r>
          </w:p>
          <w:p w14:paraId="775FAA91" w14:textId="4D8BEB56" w:rsidR="002F1A46" w:rsidRPr="00200E0F" w:rsidRDefault="002F1A46" w:rsidP="008E2312">
            <w:pPr>
              <w:rPr>
                <w:rFonts w:ascii="Arial" w:hAnsi="Arial"/>
                <w:color w:val="000000"/>
                <w:sz w:val="18"/>
              </w:rPr>
            </w:pPr>
            <w:r w:rsidRPr="00200E0F">
              <w:rPr>
                <w:rFonts w:ascii="Arial" w:hAnsi="Arial"/>
                <w:color w:val="000000"/>
                <w:sz w:val="18"/>
              </w:rPr>
              <w:t xml:space="preserve">Patch </w:t>
            </w:r>
            <w:smartTag w:uri="urn:schemas-microsoft-com:office:smarttags" w:element="stockticker">
              <w:r w:rsidRPr="00200E0F">
                <w:rPr>
                  <w:rFonts w:ascii="Arial" w:hAnsi="Arial"/>
                  <w:color w:val="000000"/>
                  <w:sz w:val="18"/>
                </w:rPr>
                <w:t>PCC</w:t>
              </w:r>
            </w:smartTag>
            <w:r w:rsidRPr="00200E0F">
              <w:rPr>
                <w:rFonts w:ascii="Arial" w:hAnsi="Arial"/>
                <w:color w:val="000000"/>
                <w:sz w:val="18"/>
              </w:rPr>
              <w:t xml:space="preserve"> in kind with </w:t>
            </w:r>
            <w:smartTag w:uri="urn:schemas-microsoft-com:office:smarttags" w:element="stockticker">
              <w:r w:rsidRPr="00200E0F">
                <w:rPr>
                  <w:rFonts w:ascii="Arial" w:hAnsi="Arial"/>
                  <w:color w:val="000000"/>
                  <w:sz w:val="18"/>
                </w:rPr>
                <w:t>PCC</w:t>
              </w:r>
              <w:r w:rsidRPr="002F1A46">
                <w:rPr>
                  <w:rFonts w:ascii="Arial" w:hAnsi="Arial" w:cs="Arial"/>
                  <w:snapToGrid w:val="0"/>
                  <w:color w:val="000000"/>
                  <w:sz w:val="18"/>
                  <w:szCs w:val="18"/>
                </w:rPr>
                <w:t>.</w:t>
              </w:r>
            </w:smartTag>
          </w:p>
        </w:tc>
      </w:tr>
      <w:tr w:rsidR="00115674" w:rsidRPr="002F1A46" w14:paraId="0AD62676" w14:textId="77777777" w:rsidTr="002F1A46">
        <w:trPr>
          <w:cantSplit/>
          <w:trHeight w:val="288"/>
          <w:jc w:val="center"/>
        </w:trPr>
        <w:tc>
          <w:tcPr>
            <w:tcW w:w="1485" w:type="dxa"/>
            <w:vMerge/>
            <w:vAlign w:val="center"/>
          </w:tcPr>
          <w:p w14:paraId="4B3261A9" w14:textId="22F4387F" w:rsidR="002F1A46" w:rsidRPr="00200E0F" w:rsidRDefault="002F1A46" w:rsidP="008E2312">
            <w:pPr>
              <w:rPr>
                <w:rFonts w:ascii="Arial" w:hAnsi="Arial"/>
                <w:b/>
                <w:color w:val="000000"/>
                <w:sz w:val="18"/>
                <w:vertAlign w:val="superscript"/>
              </w:rPr>
            </w:pPr>
          </w:p>
        </w:tc>
        <w:tc>
          <w:tcPr>
            <w:tcW w:w="1080" w:type="dxa"/>
            <w:vAlign w:val="center"/>
          </w:tcPr>
          <w:p w14:paraId="66D9698F"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Medium</w:t>
            </w:r>
          </w:p>
        </w:tc>
        <w:tc>
          <w:tcPr>
            <w:tcW w:w="810" w:type="dxa"/>
            <w:shd w:val="pct15" w:color="auto" w:fill="FFFFFF"/>
            <w:vAlign w:val="center"/>
          </w:tcPr>
          <w:p w14:paraId="3DB372A2"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810" w:type="dxa"/>
            <w:shd w:val="pct15" w:color="auto" w:fill="FFFFFF"/>
            <w:vAlign w:val="center"/>
          </w:tcPr>
          <w:p w14:paraId="284188F8"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990" w:type="dxa"/>
            <w:shd w:val="pct15" w:color="auto" w:fill="FFFFFF"/>
            <w:vAlign w:val="center"/>
          </w:tcPr>
          <w:p w14:paraId="75305CF2" w14:textId="77777777" w:rsidR="002F1A46" w:rsidRPr="00200E0F" w:rsidRDefault="002F1A46" w:rsidP="008E2312">
            <w:pPr>
              <w:jc w:val="center"/>
              <w:rPr>
                <w:rFonts w:ascii="Arial" w:hAnsi="Arial"/>
                <w:color w:val="000000"/>
                <w:sz w:val="18"/>
              </w:rPr>
            </w:pPr>
            <w:r w:rsidRPr="00200E0F">
              <w:rPr>
                <w:rFonts w:ascii="Arial" w:hAnsi="Arial"/>
                <w:color w:val="000000"/>
                <w:sz w:val="18"/>
              </w:rPr>
              <w:t>Partial</w:t>
            </w:r>
          </w:p>
        </w:tc>
        <w:tc>
          <w:tcPr>
            <w:tcW w:w="1170" w:type="dxa"/>
            <w:shd w:val="pct15" w:color="auto" w:fill="FFFFFF"/>
            <w:vAlign w:val="center"/>
          </w:tcPr>
          <w:p w14:paraId="5B6A9B5C" w14:textId="77777777" w:rsidR="002F1A46" w:rsidRPr="00200E0F" w:rsidRDefault="002F1A46" w:rsidP="008E2312">
            <w:pPr>
              <w:jc w:val="center"/>
              <w:rPr>
                <w:rFonts w:ascii="Arial" w:hAnsi="Arial"/>
                <w:color w:val="000000"/>
                <w:sz w:val="18"/>
                <w:vertAlign w:val="superscript"/>
              </w:rPr>
            </w:pPr>
            <w:r w:rsidRPr="00200E0F">
              <w:rPr>
                <w:rFonts w:ascii="Arial" w:hAnsi="Arial"/>
                <w:color w:val="000000"/>
                <w:sz w:val="18"/>
              </w:rPr>
              <w:t>Partial</w:t>
            </w:r>
          </w:p>
        </w:tc>
        <w:tc>
          <w:tcPr>
            <w:tcW w:w="2290" w:type="dxa"/>
            <w:vMerge/>
            <w:vAlign w:val="center"/>
          </w:tcPr>
          <w:p w14:paraId="23D7048C" w14:textId="77777777" w:rsidR="002F1A46" w:rsidRPr="00200E0F" w:rsidRDefault="002F1A46" w:rsidP="008E2312">
            <w:pPr>
              <w:rPr>
                <w:rFonts w:ascii="Arial" w:hAnsi="Arial"/>
                <w:color w:val="000000"/>
                <w:sz w:val="18"/>
              </w:rPr>
            </w:pPr>
          </w:p>
        </w:tc>
      </w:tr>
      <w:tr w:rsidR="00115674" w:rsidRPr="002F1A46" w14:paraId="082B22C3" w14:textId="77777777" w:rsidTr="002F1A46">
        <w:trPr>
          <w:cantSplit/>
          <w:trHeight w:val="288"/>
          <w:jc w:val="center"/>
        </w:trPr>
        <w:tc>
          <w:tcPr>
            <w:tcW w:w="1485" w:type="dxa"/>
            <w:vMerge/>
            <w:vAlign w:val="center"/>
          </w:tcPr>
          <w:p w14:paraId="548E27CD" w14:textId="17135770" w:rsidR="002F1A46" w:rsidRPr="00200E0F" w:rsidRDefault="002F1A46" w:rsidP="008E2312">
            <w:pPr>
              <w:rPr>
                <w:rFonts w:ascii="Arial" w:hAnsi="Arial"/>
                <w:b/>
                <w:color w:val="000000"/>
                <w:sz w:val="18"/>
              </w:rPr>
            </w:pPr>
          </w:p>
        </w:tc>
        <w:tc>
          <w:tcPr>
            <w:tcW w:w="1080" w:type="dxa"/>
            <w:vAlign w:val="center"/>
          </w:tcPr>
          <w:p w14:paraId="6C99C062" w14:textId="77777777" w:rsidR="002F1A46" w:rsidRPr="00200E0F" w:rsidRDefault="002F1A46" w:rsidP="008E2312">
            <w:pPr>
              <w:jc w:val="center"/>
              <w:rPr>
                <w:rFonts w:ascii="Arial" w:hAnsi="Arial"/>
                <w:b/>
                <w:color w:val="000000"/>
                <w:sz w:val="18"/>
              </w:rPr>
            </w:pPr>
            <w:r w:rsidRPr="00200E0F">
              <w:rPr>
                <w:rFonts w:ascii="Arial" w:hAnsi="Arial"/>
                <w:b/>
                <w:color w:val="000000"/>
                <w:sz w:val="18"/>
              </w:rPr>
              <w:t>High</w:t>
            </w:r>
          </w:p>
        </w:tc>
        <w:tc>
          <w:tcPr>
            <w:tcW w:w="810" w:type="dxa"/>
            <w:shd w:val="pct35" w:color="auto" w:fill="FFFFFF"/>
            <w:vAlign w:val="center"/>
          </w:tcPr>
          <w:p w14:paraId="6176526E" w14:textId="4E17E15C" w:rsidR="002F1A46" w:rsidRPr="00200E0F" w:rsidRDefault="00402869" w:rsidP="008E2312">
            <w:pPr>
              <w:jc w:val="center"/>
              <w:rPr>
                <w:rFonts w:ascii="Arial" w:hAnsi="Arial"/>
                <w:color w:val="000000"/>
                <w:sz w:val="18"/>
              </w:rPr>
            </w:pPr>
            <w:r>
              <w:rPr>
                <w:rFonts w:ascii="Arial" w:hAnsi="Arial"/>
                <w:color w:val="000000"/>
                <w:sz w:val="18"/>
              </w:rPr>
              <w:t>Partial</w:t>
            </w:r>
          </w:p>
        </w:tc>
        <w:tc>
          <w:tcPr>
            <w:tcW w:w="810" w:type="dxa"/>
            <w:shd w:val="pct35" w:color="auto" w:fill="FFFFFF"/>
            <w:vAlign w:val="center"/>
          </w:tcPr>
          <w:p w14:paraId="13453648"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61402658" w14:textId="5D759B99" w:rsidR="002F1A46" w:rsidRPr="00200E0F" w:rsidRDefault="00402869" w:rsidP="008E2312">
            <w:pPr>
              <w:jc w:val="center"/>
              <w:rPr>
                <w:rFonts w:ascii="Arial" w:hAnsi="Arial"/>
                <w:color w:val="000000"/>
                <w:sz w:val="18"/>
              </w:rPr>
            </w:pPr>
            <w:r>
              <w:rPr>
                <w:rFonts w:ascii="Arial" w:hAnsi="Arial"/>
                <w:color w:val="000000"/>
                <w:sz w:val="18"/>
              </w:rPr>
              <w:t>Partial</w:t>
            </w:r>
          </w:p>
        </w:tc>
        <w:tc>
          <w:tcPr>
            <w:tcW w:w="1170" w:type="dxa"/>
            <w:shd w:val="pct35" w:color="auto" w:fill="FFFFFF"/>
            <w:vAlign w:val="center"/>
          </w:tcPr>
          <w:p w14:paraId="750BF507" w14:textId="77777777" w:rsidR="002F1A46" w:rsidRPr="00200E0F" w:rsidRDefault="002F1A46" w:rsidP="008E2312">
            <w:pPr>
              <w:jc w:val="center"/>
              <w:rPr>
                <w:rFonts w:ascii="Arial" w:hAnsi="Arial"/>
                <w:color w:val="000000"/>
                <w:sz w:val="18"/>
              </w:rPr>
            </w:pPr>
            <w:r w:rsidRPr="00200E0F">
              <w:rPr>
                <w:rFonts w:ascii="Arial" w:hAnsi="Arial"/>
                <w:color w:val="000000"/>
                <w:sz w:val="18"/>
              </w:rPr>
              <w:t>Full</w:t>
            </w:r>
          </w:p>
        </w:tc>
        <w:tc>
          <w:tcPr>
            <w:tcW w:w="2290" w:type="dxa"/>
            <w:vMerge/>
            <w:vAlign w:val="center"/>
          </w:tcPr>
          <w:p w14:paraId="66C3FF6F" w14:textId="77777777" w:rsidR="002F1A46" w:rsidRPr="00200E0F" w:rsidRDefault="002F1A46" w:rsidP="008E2312">
            <w:pPr>
              <w:jc w:val="right"/>
              <w:rPr>
                <w:rFonts w:ascii="Arial" w:hAnsi="Arial"/>
                <w:color w:val="000000"/>
                <w:sz w:val="18"/>
              </w:rPr>
            </w:pPr>
          </w:p>
        </w:tc>
      </w:tr>
    </w:tbl>
    <w:p w14:paraId="3DBCD7F5" w14:textId="05A4F473" w:rsidR="002F1A46" w:rsidRDefault="002F1A46">
      <w:pPr>
        <w:rPr>
          <w:rFonts w:ascii="Arial" w:hAnsi="Arial"/>
          <w:b/>
          <w:sz w:val="24"/>
          <w:szCs w:val="24"/>
          <w:u w:val="single"/>
        </w:rPr>
      </w:pPr>
    </w:p>
    <w:p w14:paraId="6730CCEB" w14:textId="6B771C7B" w:rsidR="00402869" w:rsidRPr="00402869" w:rsidRDefault="00402869" w:rsidP="00402869">
      <w:pPr>
        <w:pStyle w:val="xmsonormal"/>
        <w:jc w:val="both"/>
        <w:rPr>
          <w:rFonts w:ascii="Arial" w:hAnsi="Arial" w:cs="Arial"/>
        </w:rPr>
      </w:pPr>
      <w:r w:rsidRPr="00402869">
        <w:rPr>
          <w:rFonts w:ascii="Arial" w:hAnsi="Arial" w:cs="Arial"/>
        </w:rPr>
        <w:lastRenderedPageBreak/>
        <w:t xml:space="preserve">Note: For pavements with asphalt overlays less than 3” thick and </w:t>
      </w:r>
      <w:r>
        <w:rPr>
          <w:rFonts w:ascii="Arial" w:hAnsi="Arial" w:cs="Arial"/>
        </w:rPr>
        <w:t xml:space="preserve">a </w:t>
      </w:r>
      <w:r w:rsidRPr="00402869">
        <w:rPr>
          <w:rFonts w:ascii="Arial" w:hAnsi="Arial" w:cs="Arial"/>
        </w:rPr>
        <w:t xml:space="preserve">considerable number of joints with medium and high severity (&gt; 30% of cracks), </w:t>
      </w:r>
      <w:r w:rsidR="0088244B">
        <w:rPr>
          <w:rFonts w:ascii="Arial" w:hAnsi="Arial" w:cs="Arial"/>
        </w:rPr>
        <w:t>m</w:t>
      </w:r>
      <w:r w:rsidRPr="00402869">
        <w:rPr>
          <w:rFonts w:ascii="Arial" w:hAnsi="Arial" w:cs="Arial"/>
        </w:rPr>
        <w:t>illing of the entire asphalt surface must be considered as an alternative. Having the concrete pavement exposed will aid with a more accurate patching identification process. However, additional attention should be paid to the age of the existing concrete and potential consequences of exposing the concrete surface to traffic and weather conditions. Extra coordination with the District and/or design lead division is also needed to develop a plan is this option is pursued (i.e.: milling sections of the road at a time and patching to minimize the exposure of the concrete to traffic and weather).</w:t>
      </w:r>
    </w:p>
    <w:p w14:paraId="57C4348E" w14:textId="77777777" w:rsidR="00BD2660" w:rsidRDefault="00BD2660" w:rsidP="00E37217">
      <w:pPr>
        <w:jc w:val="center"/>
        <w:rPr>
          <w:rFonts w:ascii="Arial" w:hAnsi="Arial"/>
          <w:b/>
          <w:sz w:val="24"/>
        </w:rPr>
      </w:pPr>
    </w:p>
    <w:p w14:paraId="553BE19A" w14:textId="39454641" w:rsidR="002E3FE9" w:rsidRPr="00200E0F" w:rsidRDefault="002E3FE9" w:rsidP="00E37217">
      <w:pPr>
        <w:jc w:val="center"/>
        <w:rPr>
          <w:rFonts w:ascii="Arial" w:hAnsi="Arial"/>
          <w:b/>
          <w:sz w:val="24"/>
        </w:rPr>
      </w:pPr>
      <w:r w:rsidRPr="00200E0F">
        <w:rPr>
          <w:rFonts w:ascii="Arial" w:hAnsi="Arial"/>
          <w:b/>
          <w:sz w:val="24"/>
        </w:rPr>
        <w:t>Shoulders</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522"/>
        <w:gridCol w:w="1170"/>
        <w:gridCol w:w="810"/>
        <w:gridCol w:w="990"/>
        <w:gridCol w:w="990"/>
        <w:gridCol w:w="990"/>
        <w:gridCol w:w="2340"/>
      </w:tblGrid>
      <w:tr w:rsidR="00115674" w:rsidRPr="002F1A46" w14:paraId="66D366F0" w14:textId="77777777" w:rsidTr="006834C7">
        <w:trPr>
          <w:cantSplit/>
          <w:trHeight w:val="288"/>
          <w:tblHeader/>
          <w:jc w:val="center"/>
        </w:trPr>
        <w:tc>
          <w:tcPr>
            <w:tcW w:w="1522" w:type="dxa"/>
            <w:vMerge w:val="restart"/>
            <w:shd w:val="pct15" w:color="auto" w:fill="auto"/>
            <w:vAlign w:val="center"/>
          </w:tcPr>
          <w:p w14:paraId="4D7DE792" w14:textId="77777777" w:rsidR="002F1A46" w:rsidRPr="00200E0F" w:rsidRDefault="002F1A46" w:rsidP="00E37217">
            <w:pPr>
              <w:jc w:val="center"/>
              <w:rPr>
                <w:rFonts w:ascii="Arial" w:hAnsi="Arial"/>
                <w:b/>
                <w:color w:val="000000"/>
                <w:sz w:val="18"/>
              </w:rPr>
            </w:pPr>
            <w:r w:rsidRPr="00200E0F">
              <w:rPr>
                <w:rFonts w:ascii="Arial" w:hAnsi="Arial"/>
                <w:b/>
                <w:color w:val="000000"/>
                <w:sz w:val="18"/>
              </w:rPr>
              <w:t>Distress</w:t>
            </w:r>
          </w:p>
        </w:tc>
        <w:tc>
          <w:tcPr>
            <w:tcW w:w="1170" w:type="dxa"/>
            <w:vMerge w:val="restart"/>
            <w:shd w:val="pct15" w:color="auto" w:fill="auto"/>
            <w:vAlign w:val="center"/>
          </w:tcPr>
          <w:p w14:paraId="72299C49"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Severity</w:t>
            </w:r>
          </w:p>
        </w:tc>
        <w:tc>
          <w:tcPr>
            <w:tcW w:w="1800" w:type="dxa"/>
            <w:gridSpan w:val="2"/>
            <w:shd w:val="pct15" w:color="auto" w:fill="auto"/>
            <w:vAlign w:val="center"/>
          </w:tcPr>
          <w:p w14:paraId="415D8AF7"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No Milling</w:t>
            </w:r>
          </w:p>
        </w:tc>
        <w:tc>
          <w:tcPr>
            <w:tcW w:w="1980" w:type="dxa"/>
            <w:gridSpan w:val="2"/>
            <w:shd w:val="pct15" w:color="auto" w:fill="auto"/>
            <w:vAlign w:val="center"/>
          </w:tcPr>
          <w:p w14:paraId="3CA8F5AE" w14:textId="54B7BFFC" w:rsidR="002F1A46" w:rsidRPr="00200E0F" w:rsidRDefault="002F1A46" w:rsidP="002F1A46">
            <w:pPr>
              <w:jc w:val="center"/>
              <w:rPr>
                <w:rFonts w:ascii="Arial" w:hAnsi="Arial"/>
                <w:b/>
                <w:color w:val="000000"/>
                <w:sz w:val="18"/>
              </w:rPr>
            </w:pPr>
            <w:r w:rsidRPr="00200E0F">
              <w:rPr>
                <w:rFonts w:ascii="Arial" w:hAnsi="Arial"/>
                <w:b/>
                <w:color w:val="000000"/>
                <w:sz w:val="18"/>
              </w:rPr>
              <w:t>Milling (1"</w:t>
            </w:r>
            <w:r w:rsidRPr="00200E0F">
              <w:rPr>
                <w:rFonts w:ascii="Arial" w:hAnsi="Arial"/>
                <w:color w:val="000000"/>
                <w:sz w:val="18"/>
              </w:rPr>
              <w:t xml:space="preserve"> </w:t>
            </w:r>
            <w:r w:rsidRPr="002F1A46">
              <w:rPr>
                <w:rFonts w:ascii="Arial" w:hAnsi="Arial" w:cs="Arial"/>
                <w:snapToGrid w:val="0"/>
                <w:color w:val="000000"/>
                <w:sz w:val="18"/>
                <w:szCs w:val="18"/>
              </w:rPr>
              <w:t>–</w:t>
            </w:r>
            <w:r w:rsidRPr="00200E0F">
              <w:rPr>
                <w:rFonts w:ascii="Arial" w:hAnsi="Arial"/>
                <w:color w:val="000000"/>
                <w:sz w:val="18"/>
              </w:rPr>
              <w:t xml:space="preserve"> </w:t>
            </w:r>
            <w:r w:rsidRPr="00200E0F">
              <w:rPr>
                <w:rFonts w:ascii="Arial" w:hAnsi="Arial"/>
                <w:b/>
                <w:color w:val="000000"/>
                <w:sz w:val="18"/>
              </w:rPr>
              <w:t>2")</w:t>
            </w:r>
          </w:p>
        </w:tc>
        <w:tc>
          <w:tcPr>
            <w:tcW w:w="2340" w:type="dxa"/>
            <w:vMerge w:val="restart"/>
            <w:shd w:val="pct15" w:color="auto" w:fill="auto"/>
            <w:vAlign w:val="center"/>
          </w:tcPr>
          <w:p w14:paraId="38E5E6C8" w14:textId="77777777" w:rsidR="002F1A46" w:rsidRPr="00200E0F" w:rsidRDefault="002F1A46" w:rsidP="002F1A46">
            <w:pPr>
              <w:jc w:val="center"/>
              <w:rPr>
                <w:rFonts w:ascii="Arial" w:hAnsi="Arial"/>
                <w:color w:val="000000"/>
                <w:sz w:val="18"/>
              </w:rPr>
            </w:pPr>
            <w:r w:rsidRPr="00200E0F">
              <w:rPr>
                <w:rFonts w:ascii="Arial" w:hAnsi="Arial"/>
                <w:b/>
                <w:color w:val="000000"/>
                <w:sz w:val="18"/>
              </w:rPr>
              <w:t>Comments</w:t>
            </w:r>
          </w:p>
        </w:tc>
      </w:tr>
      <w:tr w:rsidR="00115674" w:rsidRPr="002F1A46" w14:paraId="71960888" w14:textId="77777777" w:rsidTr="006834C7">
        <w:trPr>
          <w:cantSplit/>
          <w:trHeight w:val="288"/>
          <w:tblHeader/>
          <w:jc w:val="center"/>
        </w:trPr>
        <w:tc>
          <w:tcPr>
            <w:tcW w:w="1522" w:type="dxa"/>
            <w:vMerge/>
            <w:shd w:val="pct15" w:color="auto" w:fill="auto"/>
            <w:vAlign w:val="center"/>
          </w:tcPr>
          <w:p w14:paraId="5720EEAF" w14:textId="77777777" w:rsidR="002F1A46" w:rsidRPr="00200E0F" w:rsidRDefault="002F1A46" w:rsidP="002F1A46">
            <w:pPr>
              <w:jc w:val="right"/>
              <w:rPr>
                <w:rFonts w:ascii="Arial" w:hAnsi="Arial"/>
                <w:b/>
                <w:color w:val="000000"/>
                <w:sz w:val="18"/>
              </w:rPr>
            </w:pPr>
          </w:p>
        </w:tc>
        <w:tc>
          <w:tcPr>
            <w:tcW w:w="1170" w:type="dxa"/>
            <w:vMerge/>
            <w:shd w:val="pct15" w:color="auto" w:fill="auto"/>
            <w:vAlign w:val="center"/>
          </w:tcPr>
          <w:p w14:paraId="2571A630" w14:textId="77777777" w:rsidR="002F1A46" w:rsidRPr="00200E0F" w:rsidRDefault="002F1A46" w:rsidP="002F1A46">
            <w:pPr>
              <w:jc w:val="center"/>
              <w:rPr>
                <w:rFonts w:ascii="Arial" w:hAnsi="Arial"/>
                <w:b/>
                <w:color w:val="000000"/>
                <w:sz w:val="18"/>
              </w:rPr>
            </w:pPr>
          </w:p>
        </w:tc>
        <w:tc>
          <w:tcPr>
            <w:tcW w:w="3780" w:type="dxa"/>
            <w:gridSpan w:val="4"/>
            <w:shd w:val="pct15" w:color="auto" w:fill="auto"/>
            <w:vAlign w:val="center"/>
          </w:tcPr>
          <w:p w14:paraId="14014786"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AC Material Thickness*</w:t>
            </w:r>
          </w:p>
        </w:tc>
        <w:tc>
          <w:tcPr>
            <w:tcW w:w="2340" w:type="dxa"/>
            <w:vMerge/>
            <w:shd w:val="pct15" w:color="auto" w:fill="auto"/>
            <w:vAlign w:val="center"/>
          </w:tcPr>
          <w:p w14:paraId="1021891E" w14:textId="77777777" w:rsidR="002F1A46" w:rsidRPr="00200E0F" w:rsidRDefault="002F1A46" w:rsidP="002F1A46">
            <w:pPr>
              <w:jc w:val="right"/>
              <w:rPr>
                <w:rFonts w:ascii="Arial" w:hAnsi="Arial"/>
                <w:color w:val="000000"/>
                <w:sz w:val="18"/>
              </w:rPr>
            </w:pPr>
          </w:p>
        </w:tc>
      </w:tr>
      <w:tr w:rsidR="00115674" w:rsidRPr="002F1A46" w14:paraId="4CA58787" w14:textId="77777777" w:rsidTr="006834C7">
        <w:trPr>
          <w:cantSplit/>
          <w:trHeight w:val="288"/>
          <w:tblHeader/>
          <w:jc w:val="center"/>
        </w:trPr>
        <w:tc>
          <w:tcPr>
            <w:tcW w:w="1522" w:type="dxa"/>
            <w:vMerge/>
            <w:shd w:val="pct15" w:color="auto" w:fill="auto"/>
            <w:vAlign w:val="center"/>
          </w:tcPr>
          <w:p w14:paraId="23D231EF" w14:textId="77777777" w:rsidR="002F1A46" w:rsidRPr="00200E0F" w:rsidRDefault="002F1A46" w:rsidP="002F1A46">
            <w:pPr>
              <w:jc w:val="right"/>
              <w:rPr>
                <w:rFonts w:ascii="Arial" w:hAnsi="Arial"/>
                <w:b/>
                <w:color w:val="000000"/>
                <w:sz w:val="18"/>
              </w:rPr>
            </w:pPr>
          </w:p>
        </w:tc>
        <w:tc>
          <w:tcPr>
            <w:tcW w:w="1170" w:type="dxa"/>
            <w:vMerge/>
            <w:shd w:val="pct15" w:color="auto" w:fill="auto"/>
            <w:vAlign w:val="center"/>
          </w:tcPr>
          <w:p w14:paraId="51D26049" w14:textId="77777777" w:rsidR="002F1A46" w:rsidRPr="00200E0F" w:rsidRDefault="002F1A46" w:rsidP="002F1A46">
            <w:pPr>
              <w:jc w:val="center"/>
              <w:rPr>
                <w:rFonts w:ascii="Arial" w:hAnsi="Arial"/>
                <w:b/>
                <w:color w:val="000000"/>
                <w:sz w:val="18"/>
              </w:rPr>
            </w:pPr>
          </w:p>
        </w:tc>
        <w:tc>
          <w:tcPr>
            <w:tcW w:w="810" w:type="dxa"/>
            <w:shd w:val="pct15" w:color="auto" w:fill="auto"/>
            <w:vAlign w:val="center"/>
          </w:tcPr>
          <w:p w14:paraId="0EC4AEC8"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&gt; 6"</w:t>
            </w:r>
          </w:p>
        </w:tc>
        <w:tc>
          <w:tcPr>
            <w:tcW w:w="990" w:type="dxa"/>
            <w:shd w:val="pct15" w:color="auto" w:fill="auto"/>
            <w:vAlign w:val="center"/>
          </w:tcPr>
          <w:p w14:paraId="2A71F577"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&lt; 6"</w:t>
            </w:r>
          </w:p>
        </w:tc>
        <w:tc>
          <w:tcPr>
            <w:tcW w:w="990" w:type="dxa"/>
            <w:shd w:val="pct15" w:color="auto" w:fill="auto"/>
            <w:vAlign w:val="center"/>
          </w:tcPr>
          <w:p w14:paraId="70E2A2A8"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&gt; 6"</w:t>
            </w:r>
          </w:p>
        </w:tc>
        <w:tc>
          <w:tcPr>
            <w:tcW w:w="990" w:type="dxa"/>
            <w:shd w:val="pct15" w:color="auto" w:fill="auto"/>
            <w:vAlign w:val="center"/>
          </w:tcPr>
          <w:p w14:paraId="4186EB5C"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&lt; 6"</w:t>
            </w:r>
          </w:p>
        </w:tc>
        <w:tc>
          <w:tcPr>
            <w:tcW w:w="2340" w:type="dxa"/>
            <w:shd w:val="pct15" w:color="auto" w:fill="auto"/>
            <w:vAlign w:val="center"/>
          </w:tcPr>
          <w:p w14:paraId="70000AA6" w14:textId="77777777" w:rsidR="002F1A46" w:rsidRPr="00200E0F" w:rsidRDefault="002F1A46" w:rsidP="002F1A46">
            <w:pPr>
              <w:rPr>
                <w:rFonts w:ascii="Arial" w:hAnsi="Arial"/>
                <w:color w:val="000000"/>
                <w:sz w:val="18"/>
              </w:rPr>
            </w:pPr>
            <w:r w:rsidRPr="00200E0F">
              <w:rPr>
                <w:rFonts w:ascii="Arial" w:hAnsi="Arial"/>
                <w:color w:val="000000"/>
                <w:sz w:val="18"/>
              </w:rPr>
              <w:t>*Thickness is after HMA removal</w:t>
            </w:r>
          </w:p>
        </w:tc>
      </w:tr>
      <w:tr w:rsidR="00D01712" w:rsidRPr="002F1A46" w14:paraId="74301E80" w14:textId="77777777" w:rsidTr="00992513">
        <w:trPr>
          <w:cantSplit/>
          <w:trHeight w:val="288"/>
          <w:jc w:val="center"/>
        </w:trPr>
        <w:tc>
          <w:tcPr>
            <w:tcW w:w="1522" w:type="dxa"/>
            <w:vAlign w:val="center"/>
          </w:tcPr>
          <w:p w14:paraId="37CB7726" w14:textId="4C87D3A1" w:rsidR="00D01712" w:rsidRPr="00200E0F" w:rsidRDefault="00D01712" w:rsidP="002F1A46">
            <w:pPr>
              <w:rPr>
                <w:rFonts w:ascii="Arial" w:hAnsi="Arial"/>
                <w:b/>
                <w:color w:val="000000"/>
                <w:sz w:val="18"/>
              </w:rPr>
            </w:pPr>
            <w:r>
              <w:rPr>
                <w:rFonts w:ascii="Arial" w:hAnsi="Arial"/>
                <w:b/>
                <w:color w:val="000000"/>
                <w:sz w:val="18"/>
              </w:rPr>
              <w:t>Non-wheelpath Cracking</w:t>
            </w:r>
          </w:p>
        </w:tc>
        <w:tc>
          <w:tcPr>
            <w:tcW w:w="7290" w:type="dxa"/>
            <w:gridSpan w:val="6"/>
            <w:vAlign w:val="center"/>
          </w:tcPr>
          <w:p w14:paraId="5CF6693D" w14:textId="4E7E574B" w:rsidR="00D01712" w:rsidRPr="00200E0F" w:rsidRDefault="00D01712" w:rsidP="00D01712">
            <w:pPr>
              <w:jc w:val="center"/>
              <w:rPr>
                <w:rFonts w:ascii="Arial" w:hAnsi="Arial"/>
                <w:color w:val="000000"/>
                <w:sz w:val="18"/>
              </w:rPr>
            </w:pPr>
            <w:r>
              <w:rPr>
                <w:rFonts w:ascii="Arial" w:hAnsi="Arial"/>
                <w:color w:val="000000"/>
                <w:sz w:val="18"/>
              </w:rPr>
              <w:t>Same as for Travel Lanes</w:t>
            </w:r>
          </w:p>
        </w:tc>
      </w:tr>
      <w:tr w:rsidR="00D01712" w:rsidRPr="002F1A46" w14:paraId="1DDE57B5" w14:textId="77777777" w:rsidTr="00992513">
        <w:trPr>
          <w:cantSplit/>
          <w:trHeight w:val="288"/>
          <w:jc w:val="center"/>
        </w:trPr>
        <w:tc>
          <w:tcPr>
            <w:tcW w:w="1522" w:type="dxa"/>
            <w:vAlign w:val="center"/>
          </w:tcPr>
          <w:p w14:paraId="31F8E635" w14:textId="65BAD2F2" w:rsidR="00D01712" w:rsidRDefault="00D01712" w:rsidP="002F1A46">
            <w:pPr>
              <w:rPr>
                <w:rFonts w:ascii="Arial" w:hAnsi="Arial"/>
                <w:b/>
                <w:color w:val="000000"/>
                <w:sz w:val="18"/>
              </w:rPr>
            </w:pPr>
            <w:r w:rsidRPr="00200E0F">
              <w:rPr>
                <w:rFonts w:ascii="Arial" w:hAnsi="Arial"/>
                <w:b/>
                <w:color w:val="000000"/>
                <w:sz w:val="18"/>
              </w:rPr>
              <w:t>Edge Cracking</w:t>
            </w:r>
          </w:p>
        </w:tc>
        <w:tc>
          <w:tcPr>
            <w:tcW w:w="7290" w:type="dxa"/>
            <w:gridSpan w:val="6"/>
            <w:vAlign w:val="center"/>
          </w:tcPr>
          <w:p w14:paraId="34A44B02" w14:textId="5E7E1E8D" w:rsidR="00D01712" w:rsidRDefault="00D01712" w:rsidP="00D01712">
            <w:pPr>
              <w:jc w:val="center"/>
              <w:rPr>
                <w:rFonts w:ascii="Arial" w:hAnsi="Arial"/>
                <w:color w:val="000000"/>
                <w:sz w:val="18"/>
              </w:rPr>
            </w:pPr>
            <w:r>
              <w:rPr>
                <w:rFonts w:ascii="Arial" w:hAnsi="Arial"/>
                <w:color w:val="000000"/>
                <w:sz w:val="18"/>
              </w:rPr>
              <w:t>Same as for Travel Lanes</w:t>
            </w:r>
          </w:p>
        </w:tc>
      </w:tr>
      <w:tr w:rsidR="002F1A46" w:rsidRPr="002F1A46" w14:paraId="6281DDDA" w14:textId="77777777" w:rsidTr="00200E0F">
        <w:trPr>
          <w:cantSplit/>
          <w:trHeight w:val="288"/>
          <w:jc w:val="center"/>
        </w:trPr>
        <w:tc>
          <w:tcPr>
            <w:tcW w:w="1522" w:type="dxa"/>
            <w:vMerge w:val="restart"/>
            <w:vAlign w:val="center"/>
          </w:tcPr>
          <w:p w14:paraId="054D1E63" w14:textId="77777777" w:rsidR="002F1A46" w:rsidRPr="00200E0F" w:rsidRDefault="002F1A46" w:rsidP="002F1A46">
            <w:pPr>
              <w:rPr>
                <w:rFonts w:ascii="Arial" w:hAnsi="Arial"/>
                <w:b/>
                <w:color w:val="000000"/>
                <w:sz w:val="18"/>
              </w:rPr>
            </w:pPr>
            <w:r w:rsidRPr="00200E0F">
              <w:rPr>
                <w:rFonts w:ascii="Arial" w:hAnsi="Arial"/>
                <w:b/>
                <w:color w:val="000000"/>
                <w:sz w:val="18"/>
              </w:rPr>
              <w:t>Fatigue Cracking</w:t>
            </w:r>
          </w:p>
        </w:tc>
        <w:tc>
          <w:tcPr>
            <w:tcW w:w="1170" w:type="dxa"/>
            <w:vAlign w:val="center"/>
          </w:tcPr>
          <w:p w14:paraId="7A93755B"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Low</w:t>
            </w:r>
          </w:p>
        </w:tc>
        <w:tc>
          <w:tcPr>
            <w:tcW w:w="810" w:type="dxa"/>
            <w:vAlign w:val="center"/>
          </w:tcPr>
          <w:p w14:paraId="060A2982"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4EE72709"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14D150B3"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3D11A0FE"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2340" w:type="dxa"/>
            <w:vMerge w:val="restart"/>
            <w:vAlign w:val="center"/>
          </w:tcPr>
          <w:p w14:paraId="685A126D" w14:textId="77777777" w:rsidR="002F1A46" w:rsidRPr="00200E0F" w:rsidRDefault="002F1A46" w:rsidP="002F1A46">
            <w:pPr>
              <w:rPr>
                <w:rFonts w:ascii="Arial" w:hAnsi="Arial"/>
                <w:color w:val="000000"/>
                <w:sz w:val="18"/>
              </w:rPr>
            </w:pPr>
          </w:p>
        </w:tc>
      </w:tr>
      <w:tr w:rsidR="00115674" w:rsidRPr="002F1A46" w14:paraId="21AF75E3" w14:textId="77777777" w:rsidTr="002F1A46">
        <w:trPr>
          <w:cantSplit/>
          <w:trHeight w:val="288"/>
          <w:jc w:val="center"/>
        </w:trPr>
        <w:tc>
          <w:tcPr>
            <w:tcW w:w="1522" w:type="dxa"/>
            <w:vMerge/>
            <w:vAlign w:val="center"/>
          </w:tcPr>
          <w:p w14:paraId="2B28D082" w14:textId="77777777" w:rsidR="002F1A46" w:rsidRPr="00200E0F" w:rsidRDefault="002F1A46" w:rsidP="002F1A46">
            <w:pPr>
              <w:rPr>
                <w:rFonts w:ascii="Arial" w:hAnsi="Arial"/>
                <w:b/>
                <w:color w:val="000000"/>
                <w:sz w:val="18"/>
              </w:rPr>
            </w:pPr>
          </w:p>
        </w:tc>
        <w:tc>
          <w:tcPr>
            <w:tcW w:w="1170" w:type="dxa"/>
            <w:vAlign w:val="center"/>
          </w:tcPr>
          <w:p w14:paraId="57D3DCAC"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Medium</w:t>
            </w:r>
          </w:p>
        </w:tc>
        <w:tc>
          <w:tcPr>
            <w:tcW w:w="810" w:type="dxa"/>
            <w:vAlign w:val="center"/>
          </w:tcPr>
          <w:p w14:paraId="75C59D54"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3931A078"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3FE5E64C"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71C0CF1E"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2340" w:type="dxa"/>
            <w:vMerge/>
            <w:vAlign w:val="center"/>
          </w:tcPr>
          <w:p w14:paraId="0CD6A61E" w14:textId="77777777" w:rsidR="002F1A46" w:rsidRPr="00200E0F" w:rsidRDefault="002F1A46" w:rsidP="002F1A46">
            <w:pPr>
              <w:rPr>
                <w:rFonts w:ascii="Arial" w:hAnsi="Arial"/>
                <w:color w:val="000000"/>
                <w:sz w:val="18"/>
              </w:rPr>
            </w:pPr>
          </w:p>
        </w:tc>
      </w:tr>
      <w:tr w:rsidR="00115674" w:rsidRPr="002F1A46" w14:paraId="2050B50D" w14:textId="77777777" w:rsidTr="002F1A46">
        <w:trPr>
          <w:cantSplit/>
          <w:trHeight w:val="288"/>
          <w:jc w:val="center"/>
        </w:trPr>
        <w:tc>
          <w:tcPr>
            <w:tcW w:w="1522" w:type="dxa"/>
            <w:vMerge/>
            <w:vAlign w:val="center"/>
          </w:tcPr>
          <w:p w14:paraId="634A46A7" w14:textId="77777777" w:rsidR="002F1A46" w:rsidRPr="00200E0F" w:rsidRDefault="002F1A46" w:rsidP="002F1A46">
            <w:pPr>
              <w:jc w:val="right"/>
              <w:rPr>
                <w:rFonts w:ascii="Arial" w:hAnsi="Arial"/>
                <w:b/>
                <w:color w:val="000000"/>
                <w:sz w:val="18"/>
              </w:rPr>
            </w:pPr>
          </w:p>
        </w:tc>
        <w:tc>
          <w:tcPr>
            <w:tcW w:w="1170" w:type="dxa"/>
            <w:vAlign w:val="center"/>
          </w:tcPr>
          <w:p w14:paraId="33854F8F"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High</w:t>
            </w:r>
          </w:p>
        </w:tc>
        <w:tc>
          <w:tcPr>
            <w:tcW w:w="810" w:type="dxa"/>
            <w:shd w:val="pct35" w:color="auto" w:fill="FFFFFF"/>
            <w:vAlign w:val="center"/>
          </w:tcPr>
          <w:p w14:paraId="1C49E117"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594CF56A"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786FB6FA"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70CB7BFE"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2340" w:type="dxa"/>
            <w:vMerge/>
            <w:vAlign w:val="center"/>
          </w:tcPr>
          <w:p w14:paraId="4960C41F" w14:textId="77777777" w:rsidR="002F1A46" w:rsidRPr="00200E0F" w:rsidRDefault="002F1A46" w:rsidP="002F1A46">
            <w:pPr>
              <w:rPr>
                <w:rFonts w:ascii="Arial" w:hAnsi="Arial"/>
                <w:color w:val="000000"/>
                <w:sz w:val="18"/>
              </w:rPr>
            </w:pPr>
          </w:p>
        </w:tc>
      </w:tr>
      <w:tr w:rsidR="00D01712" w:rsidRPr="002F1A46" w14:paraId="67D6626A" w14:textId="77777777" w:rsidTr="00A15AEE">
        <w:trPr>
          <w:cantSplit/>
          <w:trHeight w:val="602"/>
          <w:jc w:val="center"/>
        </w:trPr>
        <w:tc>
          <w:tcPr>
            <w:tcW w:w="1522" w:type="dxa"/>
            <w:vAlign w:val="center"/>
          </w:tcPr>
          <w:p w14:paraId="75C70247" w14:textId="1372E691" w:rsidR="00D01712" w:rsidRPr="00200E0F" w:rsidRDefault="00D01712" w:rsidP="002F1A46">
            <w:pPr>
              <w:rPr>
                <w:rFonts w:ascii="Arial" w:hAnsi="Arial"/>
                <w:b/>
                <w:color w:val="000000"/>
                <w:sz w:val="18"/>
              </w:rPr>
            </w:pPr>
            <w:r w:rsidRPr="00200E0F">
              <w:rPr>
                <w:rFonts w:ascii="Arial" w:hAnsi="Arial"/>
                <w:b/>
                <w:color w:val="000000"/>
                <w:sz w:val="18"/>
              </w:rPr>
              <w:t>Potholes/</w:t>
            </w:r>
            <w:r>
              <w:rPr>
                <w:rFonts w:ascii="Arial" w:hAnsi="Arial" w:cs="Arial"/>
                <w:b/>
                <w:snapToGrid w:val="0"/>
                <w:color w:val="000000"/>
                <w:sz w:val="18"/>
                <w:szCs w:val="18"/>
              </w:rPr>
              <w:t xml:space="preserve"> </w:t>
            </w:r>
            <w:r w:rsidRPr="00200E0F">
              <w:rPr>
                <w:rFonts w:ascii="Arial" w:hAnsi="Arial"/>
                <w:b/>
                <w:color w:val="000000"/>
                <w:sz w:val="18"/>
              </w:rPr>
              <w:t>Failures</w:t>
            </w:r>
          </w:p>
        </w:tc>
        <w:tc>
          <w:tcPr>
            <w:tcW w:w="7290" w:type="dxa"/>
            <w:gridSpan w:val="6"/>
            <w:vAlign w:val="center"/>
          </w:tcPr>
          <w:p w14:paraId="4FC230C9" w14:textId="544071FE" w:rsidR="00D01712" w:rsidRPr="00200E0F" w:rsidRDefault="00D01712" w:rsidP="00D01712">
            <w:pPr>
              <w:jc w:val="center"/>
              <w:rPr>
                <w:rFonts w:ascii="Arial" w:hAnsi="Arial"/>
                <w:color w:val="000000"/>
                <w:sz w:val="18"/>
              </w:rPr>
            </w:pPr>
            <w:r>
              <w:rPr>
                <w:rFonts w:ascii="Arial" w:hAnsi="Arial"/>
                <w:color w:val="000000"/>
                <w:sz w:val="18"/>
              </w:rPr>
              <w:t>Same as for Travel Lanes</w:t>
            </w:r>
          </w:p>
        </w:tc>
      </w:tr>
      <w:tr w:rsidR="006A71EC" w:rsidRPr="002F1A46" w14:paraId="719F677A" w14:textId="77777777" w:rsidTr="00A15AEE">
        <w:trPr>
          <w:cantSplit/>
          <w:trHeight w:val="602"/>
          <w:jc w:val="center"/>
        </w:trPr>
        <w:tc>
          <w:tcPr>
            <w:tcW w:w="1522" w:type="dxa"/>
            <w:vAlign w:val="center"/>
          </w:tcPr>
          <w:p w14:paraId="378E2E30" w14:textId="77777777" w:rsidR="006A71EC" w:rsidRPr="002F1A46" w:rsidRDefault="006A71EC" w:rsidP="006A71EC">
            <w:pPr>
              <w:rPr>
                <w:rFonts w:ascii="Arial" w:hAnsi="Arial" w:cs="Arial"/>
                <w:b/>
                <w:snapToGrid w:val="0"/>
                <w:color w:val="000000"/>
                <w:sz w:val="18"/>
                <w:szCs w:val="18"/>
              </w:rPr>
            </w:pPr>
            <w:r w:rsidRPr="00200E0F">
              <w:rPr>
                <w:rFonts w:ascii="Arial" w:hAnsi="Arial"/>
                <w:b/>
                <w:color w:val="000000"/>
                <w:sz w:val="18"/>
              </w:rPr>
              <w:t>Slippage Crack</w:t>
            </w:r>
          </w:p>
          <w:p w14:paraId="648EB2BD" w14:textId="77777777" w:rsidR="006A71EC" w:rsidRPr="002F1A46" w:rsidRDefault="006A71EC" w:rsidP="006A71EC">
            <w:pPr>
              <w:rPr>
                <w:rFonts w:ascii="Arial" w:hAnsi="Arial" w:cs="Arial"/>
                <w:b/>
                <w:snapToGrid w:val="0"/>
                <w:color w:val="000000"/>
                <w:sz w:val="18"/>
                <w:szCs w:val="18"/>
              </w:rPr>
            </w:pPr>
            <w:r w:rsidRPr="00200E0F">
              <w:rPr>
                <w:rFonts w:ascii="Arial" w:hAnsi="Arial"/>
                <w:b/>
                <w:color w:val="000000"/>
                <w:sz w:val="18"/>
              </w:rPr>
              <w:t>Shoving</w:t>
            </w:r>
          </w:p>
          <w:p w14:paraId="6EB68040" w14:textId="516BEB8E" w:rsidR="006A71EC" w:rsidRPr="00200E0F" w:rsidRDefault="006A71EC" w:rsidP="006A71EC">
            <w:pPr>
              <w:rPr>
                <w:rFonts w:ascii="Arial" w:hAnsi="Arial"/>
                <w:b/>
                <w:color w:val="000000"/>
                <w:sz w:val="18"/>
              </w:rPr>
            </w:pPr>
            <w:r w:rsidRPr="00200E0F">
              <w:rPr>
                <w:rFonts w:ascii="Arial" w:hAnsi="Arial"/>
                <w:b/>
                <w:color w:val="000000"/>
                <w:sz w:val="18"/>
              </w:rPr>
              <w:t>Corrugation</w:t>
            </w:r>
          </w:p>
        </w:tc>
        <w:tc>
          <w:tcPr>
            <w:tcW w:w="7290" w:type="dxa"/>
            <w:gridSpan w:val="6"/>
            <w:vAlign w:val="center"/>
          </w:tcPr>
          <w:p w14:paraId="6A62F6B5" w14:textId="334BC5C0" w:rsidR="006A71EC" w:rsidRDefault="006A71EC" w:rsidP="006A71EC">
            <w:pPr>
              <w:jc w:val="center"/>
              <w:rPr>
                <w:rFonts w:ascii="Arial" w:hAnsi="Arial"/>
                <w:color w:val="000000"/>
                <w:sz w:val="18"/>
              </w:rPr>
            </w:pPr>
            <w:r>
              <w:rPr>
                <w:rFonts w:ascii="Arial" w:hAnsi="Arial"/>
                <w:color w:val="000000"/>
                <w:sz w:val="18"/>
              </w:rPr>
              <w:t>Same as for Travel Lanes</w:t>
            </w:r>
          </w:p>
        </w:tc>
      </w:tr>
      <w:tr w:rsidR="006A71EC" w:rsidRPr="002F1A46" w14:paraId="3444D985" w14:textId="77777777" w:rsidTr="00A15AEE">
        <w:trPr>
          <w:cantSplit/>
          <w:trHeight w:val="602"/>
          <w:jc w:val="center"/>
        </w:trPr>
        <w:tc>
          <w:tcPr>
            <w:tcW w:w="1522" w:type="dxa"/>
            <w:vAlign w:val="center"/>
          </w:tcPr>
          <w:p w14:paraId="533853F6" w14:textId="77777777" w:rsidR="006A71EC" w:rsidRPr="002F1A46" w:rsidRDefault="006A71EC" w:rsidP="006A71EC">
            <w:pPr>
              <w:rPr>
                <w:rFonts w:ascii="Arial" w:hAnsi="Arial" w:cs="Arial"/>
                <w:b/>
                <w:snapToGrid w:val="0"/>
                <w:color w:val="000000"/>
                <w:sz w:val="18"/>
                <w:szCs w:val="18"/>
              </w:rPr>
            </w:pPr>
            <w:r w:rsidRPr="00200E0F">
              <w:rPr>
                <w:rFonts w:ascii="Arial" w:hAnsi="Arial"/>
                <w:b/>
                <w:color w:val="000000"/>
                <w:sz w:val="18"/>
              </w:rPr>
              <w:t>Depression</w:t>
            </w:r>
          </w:p>
          <w:p w14:paraId="32F9DA16" w14:textId="77777777" w:rsidR="006A71EC" w:rsidRPr="002F1A46" w:rsidRDefault="006A71EC" w:rsidP="006A71EC">
            <w:pPr>
              <w:rPr>
                <w:rFonts w:ascii="Arial" w:hAnsi="Arial" w:cs="Arial"/>
                <w:b/>
                <w:snapToGrid w:val="0"/>
                <w:color w:val="000000"/>
                <w:sz w:val="18"/>
                <w:szCs w:val="18"/>
              </w:rPr>
            </w:pPr>
            <w:r w:rsidRPr="00200E0F">
              <w:rPr>
                <w:rFonts w:ascii="Arial" w:hAnsi="Arial"/>
                <w:b/>
                <w:color w:val="000000"/>
                <w:sz w:val="18"/>
              </w:rPr>
              <w:t>Bumps/Sags</w:t>
            </w:r>
          </w:p>
          <w:p w14:paraId="5BA867D2" w14:textId="5521CCB0" w:rsidR="006A71EC" w:rsidRPr="00200E0F" w:rsidRDefault="006A71EC" w:rsidP="006A71EC">
            <w:pPr>
              <w:rPr>
                <w:rFonts w:ascii="Arial" w:hAnsi="Arial"/>
                <w:b/>
                <w:color w:val="000000"/>
                <w:sz w:val="18"/>
              </w:rPr>
            </w:pPr>
            <w:r w:rsidRPr="00200E0F">
              <w:rPr>
                <w:rFonts w:ascii="Arial" w:hAnsi="Arial"/>
                <w:b/>
                <w:color w:val="000000"/>
                <w:sz w:val="18"/>
              </w:rPr>
              <w:t>Swellin</w:t>
            </w:r>
            <w:r>
              <w:rPr>
                <w:rFonts w:ascii="Arial" w:hAnsi="Arial"/>
                <w:b/>
                <w:color w:val="000000"/>
                <w:sz w:val="18"/>
              </w:rPr>
              <w:t>g</w:t>
            </w:r>
          </w:p>
        </w:tc>
        <w:tc>
          <w:tcPr>
            <w:tcW w:w="7290" w:type="dxa"/>
            <w:gridSpan w:val="6"/>
            <w:vAlign w:val="center"/>
          </w:tcPr>
          <w:p w14:paraId="66A3C837" w14:textId="7CEE1829" w:rsidR="006A71EC" w:rsidRDefault="006A71EC" w:rsidP="006A71EC">
            <w:pPr>
              <w:jc w:val="center"/>
              <w:rPr>
                <w:rFonts w:ascii="Arial" w:hAnsi="Arial"/>
                <w:color w:val="000000"/>
                <w:sz w:val="18"/>
              </w:rPr>
            </w:pPr>
            <w:r>
              <w:rPr>
                <w:rFonts w:ascii="Arial" w:hAnsi="Arial"/>
                <w:color w:val="000000"/>
                <w:sz w:val="18"/>
              </w:rPr>
              <w:t>Same as for Travel Lanes</w:t>
            </w:r>
          </w:p>
        </w:tc>
      </w:tr>
      <w:tr w:rsidR="002F1A46" w:rsidRPr="002F1A46" w14:paraId="37ACE350" w14:textId="77777777" w:rsidTr="00E37217">
        <w:trPr>
          <w:cantSplit/>
          <w:trHeight w:val="288"/>
          <w:jc w:val="center"/>
        </w:trPr>
        <w:tc>
          <w:tcPr>
            <w:tcW w:w="1522" w:type="dxa"/>
            <w:vMerge w:val="restart"/>
            <w:vAlign w:val="center"/>
          </w:tcPr>
          <w:p w14:paraId="2ADEFBFB" w14:textId="77777777" w:rsidR="002F1A46" w:rsidRPr="00200E0F" w:rsidRDefault="002F1A46" w:rsidP="002F1A46">
            <w:pPr>
              <w:rPr>
                <w:rFonts w:ascii="Arial" w:hAnsi="Arial"/>
                <w:b/>
                <w:color w:val="000000"/>
                <w:sz w:val="18"/>
              </w:rPr>
            </w:pPr>
            <w:r w:rsidRPr="00200E0F">
              <w:rPr>
                <w:rFonts w:ascii="Arial" w:hAnsi="Arial"/>
                <w:b/>
                <w:color w:val="000000"/>
                <w:sz w:val="18"/>
              </w:rPr>
              <w:t>Patches</w:t>
            </w:r>
          </w:p>
        </w:tc>
        <w:tc>
          <w:tcPr>
            <w:tcW w:w="1170" w:type="dxa"/>
            <w:vAlign w:val="center"/>
          </w:tcPr>
          <w:p w14:paraId="4775A832"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Low</w:t>
            </w:r>
          </w:p>
        </w:tc>
        <w:tc>
          <w:tcPr>
            <w:tcW w:w="810" w:type="dxa"/>
            <w:vAlign w:val="center"/>
          </w:tcPr>
          <w:p w14:paraId="07C2621B"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473A546A"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23C53F99"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6125A94C"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2340" w:type="dxa"/>
            <w:vMerge w:val="restart"/>
            <w:vAlign w:val="center"/>
          </w:tcPr>
          <w:p w14:paraId="7CDCA4D8" w14:textId="77777777" w:rsidR="002F1A46" w:rsidRPr="00200E0F" w:rsidRDefault="002F1A46" w:rsidP="002F1A46">
            <w:pPr>
              <w:jc w:val="right"/>
              <w:rPr>
                <w:rFonts w:ascii="Arial" w:hAnsi="Arial"/>
                <w:color w:val="000000"/>
                <w:sz w:val="18"/>
              </w:rPr>
            </w:pPr>
          </w:p>
        </w:tc>
      </w:tr>
      <w:tr w:rsidR="00115674" w:rsidRPr="002F1A46" w14:paraId="34E45DB4" w14:textId="77777777" w:rsidTr="002F1A46">
        <w:trPr>
          <w:cantSplit/>
          <w:trHeight w:val="288"/>
          <w:jc w:val="center"/>
        </w:trPr>
        <w:tc>
          <w:tcPr>
            <w:tcW w:w="1522" w:type="dxa"/>
            <w:vMerge/>
            <w:vAlign w:val="center"/>
          </w:tcPr>
          <w:p w14:paraId="7E993CD0" w14:textId="77777777" w:rsidR="002F1A46" w:rsidRPr="00200E0F" w:rsidRDefault="002F1A46" w:rsidP="002F1A46">
            <w:pPr>
              <w:jc w:val="right"/>
              <w:rPr>
                <w:rFonts w:ascii="Arial" w:hAnsi="Arial"/>
                <w:b/>
                <w:color w:val="000000"/>
                <w:sz w:val="18"/>
              </w:rPr>
            </w:pPr>
          </w:p>
        </w:tc>
        <w:tc>
          <w:tcPr>
            <w:tcW w:w="1170" w:type="dxa"/>
            <w:vAlign w:val="center"/>
          </w:tcPr>
          <w:p w14:paraId="57BF0613"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Medium</w:t>
            </w:r>
          </w:p>
        </w:tc>
        <w:tc>
          <w:tcPr>
            <w:tcW w:w="810" w:type="dxa"/>
            <w:vAlign w:val="center"/>
          </w:tcPr>
          <w:p w14:paraId="5658F353"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2D7B8AA0"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7781DCEF"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4C05C199"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2340" w:type="dxa"/>
            <w:vMerge/>
            <w:vAlign w:val="center"/>
          </w:tcPr>
          <w:p w14:paraId="13E0DF54" w14:textId="77777777" w:rsidR="002F1A46" w:rsidRPr="00200E0F" w:rsidRDefault="002F1A46" w:rsidP="002F1A46">
            <w:pPr>
              <w:jc w:val="right"/>
              <w:rPr>
                <w:rFonts w:ascii="Arial" w:hAnsi="Arial"/>
                <w:color w:val="000000"/>
                <w:sz w:val="18"/>
              </w:rPr>
            </w:pPr>
          </w:p>
        </w:tc>
      </w:tr>
      <w:tr w:rsidR="00115674" w:rsidRPr="002F1A46" w14:paraId="18684D91" w14:textId="77777777" w:rsidTr="002F1A46">
        <w:trPr>
          <w:cantSplit/>
          <w:trHeight w:val="288"/>
          <w:jc w:val="center"/>
        </w:trPr>
        <w:tc>
          <w:tcPr>
            <w:tcW w:w="1522" w:type="dxa"/>
            <w:vMerge/>
            <w:vAlign w:val="center"/>
          </w:tcPr>
          <w:p w14:paraId="37EB811B" w14:textId="77777777" w:rsidR="002F1A46" w:rsidRPr="00200E0F" w:rsidRDefault="002F1A46" w:rsidP="002F1A46">
            <w:pPr>
              <w:jc w:val="right"/>
              <w:rPr>
                <w:rFonts w:ascii="Arial" w:hAnsi="Arial"/>
                <w:b/>
                <w:color w:val="000000"/>
                <w:sz w:val="18"/>
              </w:rPr>
            </w:pPr>
          </w:p>
        </w:tc>
        <w:tc>
          <w:tcPr>
            <w:tcW w:w="1170" w:type="dxa"/>
            <w:vAlign w:val="center"/>
          </w:tcPr>
          <w:p w14:paraId="60C4C3EB"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High</w:t>
            </w:r>
          </w:p>
        </w:tc>
        <w:tc>
          <w:tcPr>
            <w:tcW w:w="810" w:type="dxa"/>
            <w:shd w:val="pct35" w:color="auto" w:fill="FFFFFF"/>
            <w:vAlign w:val="center"/>
          </w:tcPr>
          <w:p w14:paraId="779D09C6"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5E8CF759"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60FA0C70"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73BC0F3C"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2340" w:type="dxa"/>
            <w:vMerge/>
            <w:vAlign w:val="center"/>
          </w:tcPr>
          <w:p w14:paraId="10A155E1" w14:textId="77777777" w:rsidR="002F1A46" w:rsidRPr="00200E0F" w:rsidRDefault="002F1A46" w:rsidP="002F1A46">
            <w:pPr>
              <w:jc w:val="right"/>
              <w:rPr>
                <w:rFonts w:ascii="Arial" w:hAnsi="Arial"/>
                <w:color w:val="000000"/>
                <w:sz w:val="18"/>
              </w:rPr>
            </w:pPr>
          </w:p>
        </w:tc>
      </w:tr>
      <w:tr w:rsidR="00402869" w:rsidRPr="002F1A46" w14:paraId="759726AF" w14:textId="77777777" w:rsidTr="00200E0F">
        <w:trPr>
          <w:cantSplit/>
          <w:trHeight w:val="288"/>
          <w:jc w:val="center"/>
        </w:trPr>
        <w:tc>
          <w:tcPr>
            <w:tcW w:w="1522" w:type="dxa"/>
            <w:vMerge w:val="restart"/>
            <w:vAlign w:val="center"/>
          </w:tcPr>
          <w:p w14:paraId="40BD69C3" w14:textId="77777777" w:rsidR="00402869" w:rsidRPr="002F1A46" w:rsidRDefault="00402869" w:rsidP="00402869">
            <w:pPr>
              <w:rPr>
                <w:rFonts w:ascii="Arial" w:hAnsi="Arial" w:cs="Arial"/>
                <w:b/>
                <w:snapToGrid w:val="0"/>
                <w:color w:val="000000"/>
                <w:sz w:val="18"/>
                <w:szCs w:val="18"/>
              </w:rPr>
            </w:pPr>
            <w:r w:rsidRPr="00200E0F">
              <w:rPr>
                <w:rFonts w:ascii="Arial" w:hAnsi="Arial"/>
                <w:b/>
                <w:color w:val="000000"/>
                <w:sz w:val="18"/>
              </w:rPr>
              <w:t>Joint Reflection</w:t>
            </w:r>
          </w:p>
          <w:p w14:paraId="3D8F3CB3" w14:textId="77777777" w:rsidR="00402869" w:rsidRPr="002F1A46" w:rsidRDefault="00402869" w:rsidP="00402869">
            <w:pPr>
              <w:rPr>
                <w:rFonts w:ascii="Arial" w:hAnsi="Arial" w:cs="Arial"/>
                <w:b/>
                <w:snapToGrid w:val="0"/>
                <w:color w:val="000000"/>
                <w:sz w:val="18"/>
                <w:szCs w:val="18"/>
                <w:vertAlign w:val="superscript"/>
              </w:rPr>
            </w:pPr>
            <w:r w:rsidRPr="00200E0F">
              <w:rPr>
                <w:rFonts w:ascii="Arial" w:hAnsi="Arial"/>
                <w:b/>
                <w:color w:val="000000"/>
                <w:sz w:val="18"/>
              </w:rPr>
              <w:t xml:space="preserve">Cracking </w:t>
            </w:r>
          </w:p>
          <w:p w14:paraId="74746952" w14:textId="3B187738" w:rsidR="00402869" w:rsidRPr="00200E0F" w:rsidRDefault="00402869" w:rsidP="00402869">
            <w:pPr>
              <w:rPr>
                <w:rFonts w:ascii="Arial" w:hAnsi="Arial"/>
                <w:b/>
                <w:color w:val="000000"/>
                <w:sz w:val="18"/>
              </w:rPr>
            </w:pPr>
            <w:r w:rsidRPr="00200E0F">
              <w:rPr>
                <w:rFonts w:ascii="Arial" w:hAnsi="Arial"/>
                <w:color w:val="000000"/>
                <w:sz w:val="18"/>
              </w:rPr>
              <w:t xml:space="preserve">∆ of loaded and unloaded slabs &lt;16 mils </w:t>
            </w:r>
            <w:r>
              <w:rPr>
                <w:rFonts w:ascii="Arial" w:hAnsi="Arial"/>
                <w:color w:val="000000"/>
                <w:sz w:val="18"/>
              </w:rPr>
              <w:t>or no bumps</w:t>
            </w:r>
          </w:p>
        </w:tc>
        <w:tc>
          <w:tcPr>
            <w:tcW w:w="1170" w:type="dxa"/>
            <w:vAlign w:val="center"/>
          </w:tcPr>
          <w:p w14:paraId="30F97117" w14:textId="77777777" w:rsidR="00402869" w:rsidRPr="00200E0F" w:rsidRDefault="00402869" w:rsidP="00402869">
            <w:pPr>
              <w:jc w:val="center"/>
              <w:rPr>
                <w:rFonts w:ascii="Arial" w:hAnsi="Arial"/>
                <w:b/>
                <w:color w:val="000000"/>
                <w:sz w:val="18"/>
              </w:rPr>
            </w:pPr>
            <w:r w:rsidRPr="00200E0F">
              <w:rPr>
                <w:rFonts w:ascii="Arial" w:hAnsi="Arial"/>
                <w:b/>
                <w:color w:val="000000"/>
                <w:sz w:val="18"/>
              </w:rPr>
              <w:t>Low</w:t>
            </w:r>
          </w:p>
        </w:tc>
        <w:tc>
          <w:tcPr>
            <w:tcW w:w="810" w:type="dxa"/>
            <w:vAlign w:val="center"/>
          </w:tcPr>
          <w:p w14:paraId="6C745466"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45D6AD1D"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57BC0647"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6349BC57"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2340" w:type="dxa"/>
            <w:vMerge w:val="restart"/>
            <w:vAlign w:val="center"/>
          </w:tcPr>
          <w:p w14:paraId="3C96C4A4" w14:textId="77777777" w:rsidR="00402869" w:rsidRDefault="00402869" w:rsidP="00402869">
            <w:pPr>
              <w:rPr>
                <w:rFonts w:ascii="Arial" w:hAnsi="Arial"/>
                <w:color w:val="000000"/>
                <w:sz w:val="18"/>
              </w:rPr>
            </w:pPr>
            <w:r>
              <w:rPr>
                <w:rFonts w:ascii="Arial" w:hAnsi="Arial"/>
                <w:color w:val="000000"/>
                <w:sz w:val="18"/>
              </w:rPr>
              <w:t>Consider mastic for cases with wide cracks and minimal secondary cracking</w:t>
            </w:r>
            <w:r w:rsidR="006A71EC">
              <w:rPr>
                <w:rFonts w:ascii="Arial" w:hAnsi="Arial"/>
                <w:color w:val="000000"/>
                <w:sz w:val="18"/>
              </w:rPr>
              <w:t>.</w:t>
            </w:r>
          </w:p>
          <w:p w14:paraId="1ECB3AB0" w14:textId="2009194D" w:rsidR="006A71EC" w:rsidRPr="00200E0F" w:rsidRDefault="006A71EC" w:rsidP="00402869">
            <w:pPr>
              <w:rPr>
                <w:rFonts w:ascii="Arial" w:hAnsi="Arial"/>
                <w:color w:val="000000"/>
                <w:sz w:val="18"/>
              </w:rPr>
            </w:pPr>
            <w:r>
              <w:rPr>
                <w:rFonts w:ascii="Arial" w:hAnsi="Arial"/>
                <w:color w:val="000000"/>
                <w:sz w:val="18"/>
              </w:rPr>
              <w:t>No patching needed if reflective crack control surface mix used.</w:t>
            </w:r>
          </w:p>
        </w:tc>
      </w:tr>
      <w:tr w:rsidR="00402869" w:rsidRPr="002F1A46" w14:paraId="5AC4BECE" w14:textId="77777777" w:rsidTr="002F1A46">
        <w:trPr>
          <w:cantSplit/>
          <w:trHeight w:val="288"/>
          <w:jc w:val="center"/>
        </w:trPr>
        <w:tc>
          <w:tcPr>
            <w:tcW w:w="1522" w:type="dxa"/>
            <w:vMerge/>
            <w:vAlign w:val="center"/>
          </w:tcPr>
          <w:p w14:paraId="42B402FB" w14:textId="7C638779" w:rsidR="00402869" w:rsidRPr="00200E0F" w:rsidRDefault="00402869" w:rsidP="00402869">
            <w:pPr>
              <w:rPr>
                <w:rFonts w:ascii="Arial" w:hAnsi="Arial"/>
                <w:b/>
                <w:color w:val="000000"/>
                <w:sz w:val="18"/>
                <w:vertAlign w:val="superscript"/>
              </w:rPr>
            </w:pPr>
          </w:p>
        </w:tc>
        <w:tc>
          <w:tcPr>
            <w:tcW w:w="1170" w:type="dxa"/>
            <w:vAlign w:val="center"/>
          </w:tcPr>
          <w:p w14:paraId="0EE33752" w14:textId="77777777" w:rsidR="00402869" w:rsidRPr="00200E0F" w:rsidRDefault="00402869" w:rsidP="00402869">
            <w:pPr>
              <w:jc w:val="center"/>
              <w:rPr>
                <w:rFonts w:ascii="Arial" w:hAnsi="Arial"/>
                <w:b/>
                <w:color w:val="000000"/>
                <w:sz w:val="18"/>
              </w:rPr>
            </w:pPr>
            <w:r w:rsidRPr="00200E0F">
              <w:rPr>
                <w:rFonts w:ascii="Arial" w:hAnsi="Arial"/>
                <w:b/>
                <w:color w:val="000000"/>
                <w:sz w:val="18"/>
              </w:rPr>
              <w:t>Medium</w:t>
            </w:r>
          </w:p>
        </w:tc>
        <w:tc>
          <w:tcPr>
            <w:tcW w:w="810" w:type="dxa"/>
            <w:vAlign w:val="center"/>
          </w:tcPr>
          <w:p w14:paraId="3DCDF9FD"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21FC3767"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63E631BF"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110F6998"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2340" w:type="dxa"/>
            <w:vMerge/>
            <w:vAlign w:val="center"/>
          </w:tcPr>
          <w:p w14:paraId="1752B3B4" w14:textId="41012266" w:rsidR="00402869" w:rsidRPr="00200E0F" w:rsidRDefault="00402869" w:rsidP="00402869">
            <w:pPr>
              <w:rPr>
                <w:rFonts w:ascii="Arial" w:hAnsi="Arial"/>
                <w:color w:val="000000"/>
                <w:sz w:val="18"/>
              </w:rPr>
            </w:pPr>
          </w:p>
        </w:tc>
      </w:tr>
      <w:tr w:rsidR="00402869" w:rsidRPr="002F1A46" w14:paraId="4AAC4186" w14:textId="77777777" w:rsidTr="002F1A46">
        <w:trPr>
          <w:cantSplit/>
          <w:trHeight w:val="288"/>
          <w:jc w:val="center"/>
        </w:trPr>
        <w:tc>
          <w:tcPr>
            <w:tcW w:w="1522" w:type="dxa"/>
            <w:vMerge/>
            <w:vAlign w:val="center"/>
          </w:tcPr>
          <w:p w14:paraId="48D8CA70" w14:textId="24428159" w:rsidR="00402869" w:rsidRPr="00200E0F" w:rsidRDefault="00402869" w:rsidP="00402869">
            <w:pPr>
              <w:rPr>
                <w:rFonts w:ascii="Arial" w:hAnsi="Arial"/>
                <w:b/>
                <w:color w:val="000000"/>
                <w:sz w:val="18"/>
              </w:rPr>
            </w:pPr>
          </w:p>
        </w:tc>
        <w:tc>
          <w:tcPr>
            <w:tcW w:w="1170" w:type="dxa"/>
            <w:vAlign w:val="center"/>
          </w:tcPr>
          <w:p w14:paraId="3FDB1037" w14:textId="77777777" w:rsidR="00402869" w:rsidRPr="00200E0F" w:rsidRDefault="00402869" w:rsidP="00402869">
            <w:pPr>
              <w:jc w:val="center"/>
              <w:rPr>
                <w:rFonts w:ascii="Arial" w:hAnsi="Arial"/>
                <w:b/>
                <w:color w:val="000000"/>
                <w:sz w:val="18"/>
                <w:vertAlign w:val="superscript"/>
              </w:rPr>
            </w:pPr>
            <w:r w:rsidRPr="00200E0F">
              <w:rPr>
                <w:rFonts w:ascii="Arial" w:hAnsi="Arial"/>
                <w:b/>
                <w:color w:val="000000"/>
                <w:sz w:val="18"/>
              </w:rPr>
              <w:t xml:space="preserve">High </w:t>
            </w:r>
          </w:p>
        </w:tc>
        <w:tc>
          <w:tcPr>
            <w:tcW w:w="810" w:type="dxa"/>
            <w:shd w:val="pct15" w:color="auto" w:fill="FFFFFF"/>
            <w:vAlign w:val="center"/>
          </w:tcPr>
          <w:p w14:paraId="5209EC8A" w14:textId="77777777" w:rsidR="00402869" w:rsidRPr="00200E0F" w:rsidRDefault="00402869" w:rsidP="00402869">
            <w:pPr>
              <w:jc w:val="center"/>
              <w:rPr>
                <w:rFonts w:ascii="Arial" w:hAnsi="Arial"/>
                <w:color w:val="000000"/>
                <w:sz w:val="18"/>
                <w:vertAlign w:val="superscript"/>
              </w:rPr>
            </w:pPr>
            <w:r w:rsidRPr="00200E0F">
              <w:rPr>
                <w:rFonts w:ascii="Arial" w:hAnsi="Arial"/>
                <w:color w:val="000000"/>
                <w:sz w:val="18"/>
              </w:rPr>
              <w:t>Partial</w:t>
            </w:r>
          </w:p>
        </w:tc>
        <w:tc>
          <w:tcPr>
            <w:tcW w:w="990" w:type="dxa"/>
            <w:shd w:val="pct15" w:color="auto" w:fill="FFFFFF"/>
            <w:vAlign w:val="center"/>
          </w:tcPr>
          <w:p w14:paraId="61C44CD0" w14:textId="77777777" w:rsidR="00402869" w:rsidRPr="00200E0F" w:rsidRDefault="00402869" w:rsidP="00402869">
            <w:pPr>
              <w:jc w:val="center"/>
              <w:rPr>
                <w:rFonts w:ascii="Arial" w:hAnsi="Arial"/>
                <w:color w:val="000000"/>
                <w:sz w:val="18"/>
                <w:vertAlign w:val="superscript"/>
              </w:rPr>
            </w:pPr>
            <w:r w:rsidRPr="00200E0F">
              <w:rPr>
                <w:rFonts w:ascii="Arial" w:hAnsi="Arial"/>
                <w:color w:val="000000"/>
                <w:sz w:val="18"/>
              </w:rPr>
              <w:t>Partial</w:t>
            </w:r>
          </w:p>
        </w:tc>
        <w:tc>
          <w:tcPr>
            <w:tcW w:w="990" w:type="dxa"/>
            <w:shd w:val="pct15" w:color="auto" w:fill="FFFFFF"/>
            <w:vAlign w:val="center"/>
          </w:tcPr>
          <w:p w14:paraId="42C3A9DE" w14:textId="77777777" w:rsidR="00402869" w:rsidRPr="00200E0F" w:rsidRDefault="00402869" w:rsidP="00402869">
            <w:pPr>
              <w:jc w:val="center"/>
              <w:rPr>
                <w:rFonts w:ascii="Arial" w:hAnsi="Arial"/>
                <w:color w:val="000000"/>
                <w:sz w:val="18"/>
                <w:vertAlign w:val="superscript"/>
              </w:rPr>
            </w:pPr>
            <w:r w:rsidRPr="00200E0F">
              <w:rPr>
                <w:rFonts w:ascii="Arial" w:hAnsi="Arial"/>
                <w:color w:val="000000"/>
                <w:sz w:val="18"/>
              </w:rPr>
              <w:t>Partial</w:t>
            </w:r>
          </w:p>
        </w:tc>
        <w:tc>
          <w:tcPr>
            <w:tcW w:w="990" w:type="dxa"/>
            <w:shd w:val="pct15" w:color="auto" w:fill="FFFFFF"/>
            <w:vAlign w:val="center"/>
          </w:tcPr>
          <w:p w14:paraId="67588F79" w14:textId="77777777" w:rsidR="00402869" w:rsidRPr="00200E0F" w:rsidRDefault="00402869" w:rsidP="00402869">
            <w:pPr>
              <w:jc w:val="center"/>
              <w:rPr>
                <w:rFonts w:ascii="Arial" w:hAnsi="Arial"/>
                <w:color w:val="000000"/>
                <w:sz w:val="18"/>
                <w:vertAlign w:val="superscript"/>
              </w:rPr>
            </w:pPr>
            <w:r w:rsidRPr="00200E0F">
              <w:rPr>
                <w:rFonts w:ascii="Arial" w:hAnsi="Arial"/>
                <w:color w:val="000000"/>
                <w:sz w:val="18"/>
              </w:rPr>
              <w:t>Partial</w:t>
            </w:r>
          </w:p>
        </w:tc>
        <w:tc>
          <w:tcPr>
            <w:tcW w:w="2340" w:type="dxa"/>
            <w:vMerge/>
            <w:vAlign w:val="center"/>
          </w:tcPr>
          <w:p w14:paraId="4B850F64" w14:textId="77777777" w:rsidR="00402869" w:rsidRPr="00200E0F" w:rsidRDefault="00402869" w:rsidP="00402869">
            <w:pPr>
              <w:rPr>
                <w:rFonts w:ascii="Arial" w:hAnsi="Arial"/>
                <w:color w:val="000000"/>
                <w:sz w:val="18"/>
              </w:rPr>
            </w:pPr>
          </w:p>
        </w:tc>
      </w:tr>
      <w:tr w:rsidR="00402869" w:rsidRPr="002F1A46" w14:paraId="32108117" w14:textId="77777777" w:rsidTr="00200E0F">
        <w:trPr>
          <w:cantSplit/>
          <w:trHeight w:val="288"/>
          <w:jc w:val="center"/>
        </w:trPr>
        <w:tc>
          <w:tcPr>
            <w:tcW w:w="1522" w:type="dxa"/>
            <w:vMerge w:val="restart"/>
            <w:vAlign w:val="center"/>
          </w:tcPr>
          <w:p w14:paraId="56DC3F95" w14:textId="77777777" w:rsidR="00402869" w:rsidRPr="002F1A46" w:rsidRDefault="00402869" w:rsidP="00402869">
            <w:pPr>
              <w:rPr>
                <w:rFonts w:ascii="Arial" w:hAnsi="Arial" w:cs="Arial"/>
                <w:b/>
                <w:snapToGrid w:val="0"/>
                <w:color w:val="000000"/>
                <w:sz w:val="18"/>
                <w:szCs w:val="18"/>
              </w:rPr>
            </w:pPr>
            <w:r w:rsidRPr="00200E0F">
              <w:rPr>
                <w:rFonts w:ascii="Arial" w:hAnsi="Arial"/>
                <w:b/>
                <w:color w:val="000000"/>
                <w:sz w:val="18"/>
              </w:rPr>
              <w:t>Joint Reflection</w:t>
            </w:r>
          </w:p>
          <w:p w14:paraId="5A802379" w14:textId="77777777" w:rsidR="00402869" w:rsidRPr="002F1A46" w:rsidRDefault="00402869" w:rsidP="00402869">
            <w:pPr>
              <w:rPr>
                <w:rFonts w:ascii="Arial" w:hAnsi="Arial" w:cs="Arial"/>
                <w:b/>
                <w:snapToGrid w:val="0"/>
                <w:color w:val="000000"/>
                <w:sz w:val="18"/>
                <w:szCs w:val="18"/>
                <w:vertAlign w:val="superscript"/>
              </w:rPr>
            </w:pPr>
            <w:r w:rsidRPr="00200E0F">
              <w:rPr>
                <w:rFonts w:ascii="Arial" w:hAnsi="Arial"/>
                <w:b/>
                <w:color w:val="000000"/>
                <w:sz w:val="18"/>
              </w:rPr>
              <w:t xml:space="preserve">Cracking </w:t>
            </w:r>
          </w:p>
          <w:p w14:paraId="4D5A957C" w14:textId="00DDCBD4" w:rsidR="00402869" w:rsidRPr="00200E0F" w:rsidRDefault="00402869" w:rsidP="00402869">
            <w:pPr>
              <w:rPr>
                <w:rFonts w:ascii="Arial" w:hAnsi="Arial"/>
                <w:b/>
                <w:color w:val="000000"/>
                <w:sz w:val="18"/>
              </w:rPr>
            </w:pPr>
            <w:r w:rsidRPr="002F1A46">
              <w:rPr>
                <w:rFonts w:ascii="Arial" w:hAnsi="Arial" w:cs="Arial"/>
                <w:snapToGrid w:val="0"/>
                <w:color w:val="000000"/>
                <w:sz w:val="18"/>
                <w:szCs w:val="18"/>
              </w:rPr>
              <w:t xml:space="preserve">∆ of loaded and unloaded slabs &gt; 16 mils </w:t>
            </w:r>
            <w:r>
              <w:rPr>
                <w:rFonts w:ascii="Arial" w:hAnsi="Arial" w:cs="Arial"/>
                <w:snapToGrid w:val="0"/>
                <w:color w:val="000000"/>
                <w:sz w:val="18"/>
                <w:szCs w:val="18"/>
              </w:rPr>
              <w:t>or bumps or depressions</w:t>
            </w:r>
          </w:p>
        </w:tc>
        <w:tc>
          <w:tcPr>
            <w:tcW w:w="1170" w:type="dxa"/>
            <w:vAlign w:val="center"/>
          </w:tcPr>
          <w:p w14:paraId="27258DCA" w14:textId="77777777" w:rsidR="00402869" w:rsidRPr="00200E0F" w:rsidRDefault="00402869" w:rsidP="00402869">
            <w:pPr>
              <w:jc w:val="center"/>
              <w:rPr>
                <w:rFonts w:ascii="Arial" w:hAnsi="Arial"/>
                <w:b/>
                <w:color w:val="000000"/>
                <w:sz w:val="18"/>
              </w:rPr>
            </w:pPr>
            <w:r w:rsidRPr="00200E0F">
              <w:rPr>
                <w:rFonts w:ascii="Arial" w:hAnsi="Arial"/>
                <w:b/>
                <w:color w:val="000000"/>
                <w:sz w:val="18"/>
              </w:rPr>
              <w:t>Low</w:t>
            </w:r>
          </w:p>
        </w:tc>
        <w:tc>
          <w:tcPr>
            <w:tcW w:w="810" w:type="dxa"/>
            <w:vAlign w:val="center"/>
          </w:tcPr>
          <w:p w14:paraId="66BD4CC1"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0736882B"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52129D5B"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990" w:type="dxa"/>
            <w:vAlign w:val="center"/>
          </w:tcPr>
          <w:p w14:paraId="2F2B8DB1" w14:textId="77777777" w:rsidR="00402869" w:rsidRPr="00200E0F" w:rsidRDefault="00402869" w:rsidP="00402869">
            <w:pPr>
              <w:jc w:val="center"/>
              <w:rPr>
                <w:rFonts w:ascii="Arial" w:hAnsi="Arial"/>
                <w:color w:val="000000"/>
                <w:sz w:val="18"/>
              </w:rPr>
            </w:pPr>
            <w:r w:rsidRPr="00200E0F">
              <w:rPr>
                <w:rFonts w:ascii="Arial" w:hAnsi="Arial"/>
                <w:color w:val="000000"/>
                <w:sz w:val="18"/>
              </w:rPr>
              <w:t>None</w:t>
            </w:r>
          </w:p>
        </w:tc>
        <w:tc>
          <w:tcPr>
            <w:tcW w:w="2340" w:type="dxa"/>
            <w:vMerge w:val="restart"/>
            <w:vAlign w:val="center"/>
          </w:tcPr>
          <w:p w14:paraId="34E78CC7" w14:textId="33272B04" w:rsidR="00402869" w:rsidRPr="00200E0F" w:rsidRDefault="00402869" w:rsidP="00402869">
            <w:pPr>
              <w:rPr>
                <w:rFonts w:ascii="Arial" w:hAnsi="Arial"/>
                <w:color w:val="000000"/>
                <w:sz w:val="18"/>
              </w:rPr>
            </w:pPr>
            <w:r w:rsidRPr="00200E0F">
              <w:rPr>
                <w:rFonts w:ascii="Arial" w:hAnsi="Arial"/>
                <w:color w:val="000000"/>
                <w:sz w:val="18"/>
              </w:rPr>
              <w:t xml:space="preserve">Patch </w:t>
            </w:r>
            <w:smartTag w:uri="urn:schemas-microsoft-com:office:smarttags" w:element="stockticker">
              <w:r w:rsidRPr="00200E0F">
                <w:rPr>
                  <w:rFonts w:ascii="Arial" w:hAnsi="Arial"/>
                  <w:color w:val="000000"/>
                  <w:sz w:val="18"/>
                </w:rPr>
                <w:t>PCC</w:t>
              </w:r>
            </w:smartTag>
            <w:r w:rsidRPr="00200E0F">
              <w:rPr>
                <w:rFonts w:ascii="Arial" w:hAnsi="Arial"/>
                <w:color w:val="000000"/>
                <w:sz w:val="18"/>
              </w:rPr>
              <w:t xml:space="preserve"> in kind with PCC.</w:t>
            </w:r>
          </w:p>
        </w:tc>
      </w:tr>
      <w:tr w:rsidR="002F1A46" w:rsidRPr="002F1A46" w14:paraId="5D0590AE" w14:textId="77777777" w:rsidTr="00200E0F">
        <w:trPr>
          <w:cantSplit/>
          <w:trHeight w:val="288"/>
          <w:jc w:val="center"/>
        </w:trPr>
        <w:tc>
          <w:tcPr>
            <w:tcW w:w="1522" w:type="dxa"/>
            <w:vMerge/>
            <w:vAlign w:val="center"/>
          </w:tcPr>
          <w:p w14:paraId="3E351E2E" w14:textId="1A77EBFC" w:rsidR="002F1A46" w:rsidRPr="00200E0F" w:rsidRDefault="002F1A46" w:rsidP="002F1A46">
            <w:pPr>
              <w:rPr>
                <w:rFonts w:ascii="Arial" w:hAnsi="Arial"/>
                <w:b/>
                <w:color w:val="000000"/>
                <w:sz w:val="18"/>
                <w:vertAlign w:val="superscript"/>
              </w:rPr>
            </w:pPr>
          </w:p>
        </w:tc>
        <w:tc>
          <w:tcPr>
            <w:tcW w:w="1170" w:type="dxa"/>
            <w:vAlign w:val="center"/>
          </w:tcPr>
          <w:p w14:paraId="16D3A7DA"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Medium</w:t>
            </w:r>
          </w:p>
        </w:tc>
        <w:tc>
          <w:tcPr>
            <w:tcW w:w="810" w:type="dxa"/>
            <w:vAlign w:val="center"/>
          </w:tcPr>
          <w:p w14:paraId="50DB0134"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7CCA0BC4"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6E326346"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990" w:type="dxa"/>
            <w:vAlign w:val="center"/>
          </w:tcPr>
          <w:p w14:paraId="1E17650D" w14:textId="77777777" w:rsidR="002F1A46" w:rsidRPr="00200E0F" w:rsidRDefault="002F1A46" w:rsidP="002F1A46">
            <w:pPr>
              <w:jc w:val="center"/>
              <w:rPr>
                <w:rFonts w:ascii="Arial" w:hAnsi="Arial"/>
                <w:color w:val="000000"/>
                <w:sz w:val="18"/>
              </w:rPr>
            </w:pPr>
            <w:r w:rsidRPr="00200E0F">
              <w:rPr>
                <w:rFonts w:ascii="Arial" w:hAnsi="Arial"/>
                <w:color w:val="000000"/>
                <w:sz w:val="18"/>
              </w:rPr>
              <w:t>None</w:t>
            </w:r>
          </w:p>
        </w:tc>
        <w:tc>
          <w:tcPr>
            <w:tcW w:w="2340" w:type="dxa"/>
            <w:vMerge/>
            <w:vAlign w:val="center"/>
          </w:tcPr>
          <w:p w14:paraId="028C5781" w14:textId="77777777" w:rsidR="002F1A46" w:rsidRPr="00200E0F" w:rsidRDefault="002F1A46" w:rsidP="002F1A46">
            <w:pPr>
              <w:rPr>
                <w:rFonts w:ascii="Arial" w:hAnsi="Arial"/>
                <w:color w:val="000000"/>
                <w:sz w:val="18"/>
              </w:rPr>
            </w:pPr>
          </w:p>
        </w:tc>
      </w:tr>
      <w:tr w:rsidR="00115674" w:rsidRPr="002F1A46" w14:paraId="6A2DD1E5" w14:textId="77777777" w:rsidTr="002F1A46">
        <w:trPr>
          <w:cantSplit/>
          <w:trHeight w:val="288"/>
          <w:jc w:val="center"/>
        </w:trPr>
        <w:tc>
          <w:tcPr>
            <w:tcW w:w="1522" w:type="dxa"/>
            <w:vMerge/>
            <w:vAlign w:val="center"/>
          </w:tcPr>
          <w:p w14:paraId="398C527C" w14:textId="325DD4C1" w:rsidR="002F1A46" w:rsidRPr="00200E0F" w:rsidRDefault="002F1A46" w:rsidP="002F1A46">
            <w:pPr>
              <w:rPr>
                <w:rFonts w:ascii="Arial" w:hAnsi="Arial"/>
                <w:b/>
                <w:color w:val="000000"/>
                <w:sz w:val="18"/>
              </w:rPr>
            </w:pPr>
          </w:p>
        </w:tc>
        <w:tc>
          <w:tcPr>
            <w:tcW w:w="1170" w:type="dxa"/>
            <w:vAlign w:val="center"/>
          </w:tcPr>
          <w:p w14:paraId="57451F69" w14:textId="77777777" w:rsidR="002F1A46" w:rsidRPr="00200E0F" w:rsidRDefault="002F1A46" w:rsidP="002F1A46">
            <w:pPr>
              <w:jc w:val="center"/>
              <w:rPr>
                <w:rFonts w:ascii="Arial" w:hAnsi="Arial"/>
                <w:b/>
                <w:color w:val="000000"/>
                <w:sz w:val="18"/>
              </w:rPr>
            </w:pPr>
            <w:r w:rsidRPr="00200E0F">
              <w:rPr>
                <w:rFonts w:ascii="Arial" w:hAnsi="Arial"/>
                <w:b/>
                <w:color w:val="000000"/>
                <w:sz w:val="18"/>
              </w:rPr>
              <w:t>High</w:t>
            </w:r>
          </w:p>
        </w:tc>
        <w:tc>
          <w:tcPr>
            <w:tcW w:w="810" w:type="dxa"/>
            <w:shd w:val="pct35" w:color="auto" w:fill="FFFFFF"/>
            <w:vAlign w:val="center"/>
          </w:tcPr>
          <w:p w14:paraId="11D2DA1C" w14:textId="269C461D" w:rsidR="002F1A46" w:rsidRPr="00200E0F" w:rsidRDefault="00402869" w:rsidP="002F1A46">
            <w:pPr>
              <w:jc w:val="center"/>
              <w:rPr>
                <w:rFonts w:ascii="Arial" w:hAnsi="Arial"/>
                <w:color w:val="000000"/>
                <w:sz w:val="18"/>
              </w:rPr>
            </w:pPr>
            <w:r>
              <w:rPr>
                <w:rFonts w:ascii="Arial" w:hAnsi="Arial"/>
                <w:color w:val="000000"/>
                <w:sz w:val="18"/>
              </w:rPr>
              <w:t>Partial</w:t>
            </w:r>
          </w:p>
        </w:tc>
        <w:tc>
          <w:tcPr>
            <w:tcW w:w="990" w:type="dxa"/>
            <w:shd w:val="pct35" w:color="auto" w:fill="FFFFFF"/>
            <w:vAlign w:val="center"/>
          </w:tcPr>
          <w:p w14:paraId="61062B47"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990" w:type="dxa"/>
            <w:shd w:val="pct35" w:color="auto" w:fill="FFFFFF"/>
            <w:vAlign w:val="center"/>
          </w:tcPr>
          <w:p w14:paraId="44B72B18" w14:textId="2651BA34" w:rsidR="002F1A46" w:rsidRPr="00200E0F" w:rsidRDefault="00402869" w:rsidP="002F1A46">
            <w:pPr>
              <w:jc w:val="center"/>
              <w:rPr>
                <w:rFonts w:ascii="Arial" w:hAnsi="Arial"/>
                <w:color w:val="000000"/>
                <w:sz w:val="18"/>
              </w:rPr>
            </w:pPr>
            <w:r>
              <w:rPr>
                <w:rFonts w:ascii="Arial" w:hAnsi="Arial"/>
                <w:color w:val="000000"/>
                <w:sz w:val="18"/>
              </w:rPr>
              <w:t>Partial</w:t>
            </w:r>
          </w:p>
        </w:tc>
        <w:tc>
          <w:tcPr>
            <w:tcW w:w="990" w:type="dxa"/>
            <w:shd w:val="pct35" w:color="auto" w:fill="FFFFFF"/>
            <w:vAlign w:val="center"/>
          </w:tcPr>
          <w:p w14:paraId="41FD0B90" w14:textId="77777777" w:rsidR="002F1A46" w:rsidRPr="00200E0F" w:rsidRDefault="002F1A46" w:rsidP="002F1A46">
            <w:pPr>
              <w:jc w:val="center"/>
              <w:rPr>
                <w:rFonts w:ascii="Arial" w:hAnsi="Arial"/>
                <w:color w:val="000000"/>
                <w:sz w:val="18"/>
              </w:rPr>
            </w:pPr>
            <w:r w:rsidRPr="00200E0F">
              <w:rPr>
                <w:rFonts w:ascii="Arial" w:hAnsi="Arial"/>
                <w:color w:val="000000"/>
                <w:sz w:val="18"/>
              </w:rPr>
              <w:t>Full</w:t>
            </w:r>
          </w:p>
        </w:tc>
        <w:tc>
          <w:tcPr>
            <w:tcW w:w="2340" w:type="dxa"/>
            <w:vMerge/>
            <w:vAlign w:val="center"/>
          </w:tcPr>
          <w:p w14:paraId="23B176F8" w14:textId="77777777" w:rsidR="002F1A46" w:rsidRPr="00200E0F" w:rsidRDefault="002F1A46" w:rsidP="002F1A46">
            <w:pPr>
              <w:jc w:val="right"/>
              <w:rPr>
                <w:rFonts w:ascii="Arial" w:hAnsi="Arial"/>
                <w:color w:val="000000"/>
                <w:sz w:val="18"/>
              </w:rPr>
            </w:pPr>
          </w:p>
        </w:tc>
      </w:tr>
    </w:tbl>
    <w:p w14:paraId="211CDFED" w14:textId="77777777" w:rsidR="002E74C6" w:rsidRPr="00E850AC" w:rsidRDefault="002E3FE9" w:rsidP="00200E0F">
      <w:pPr>
        <w:ind w:left="270" w:right="90" w:hanging="270"/>
        <w:jc w:val="both"/>
        <w:rPr>
          <w:rFonts w:ascii="Arial" w:hAnsi="Arial"/>
          <w:sz w:val="18"/>
          <w:szCs w:val="18"/>
        </w:rPr>
      </w:pPr>
      <w:r w:rsidRPr="00E850AC">
        <w:rPr>
          <w:rFonts w:ascii="Arial" w:hAnsi="Arial"/>
          <w:sz w:val="18"/>
          <w:szCs w:val="18"/>
          <w:u w:val="single"/>
        </w:rPr>
        <w:t>Note</w:t>
      </w:r>
      <w:r w:rsidR="002E74C6" w:rsidRPr="00E850AC">
        <w:rPr>
          <w:rFonts w:ascii="Arial" w:hAnsi="Arial"/>
          <w:sz w:val="18"/>
          <w:szCs w:val="18"/>
          <w:u w:val="single"/>
        </w:rPr>
        <w:t>s</w:t>
      </w:r>
      <w:r w:rsidRPr="00E850AC">
        <w:rPr>
          <w:rFonts w:ascii="Arial" w:hAnsi="Arial"/>
          <w:sz w:val="18"/>
          <w:szCs w:val="18"/>
          <w:u w:val="single"/>
        </w:rPr>
        <w:t>:</w:t>
      </w:r>
      <w:r w:rsidRPr="00E850AC">
        <w:rPr>
          <w:rFonts w:ascii="Arial" w:hAnsi="Arial"/>
          <w:sz w:val="18"/>
          <w:szCs w:val="18"/>
        </w:rPr>
        <w:t xml:space="preserve"> </w:t>
      </w:r>
      <w:r w:rsidRPr="00E850AC">
        <w:rPr>
          <w:rFonts w:ascii="Arial" w:hAnsi="Arial"/>
          <w:sz w:val="18"/>
          <w:szCs w:val="18"/>
        </w:rPr>
        <w:tab/>
      </w:r>
    </w:p>
    <w:p w14:paraId="589FC2B9" w14:textId="77777777" w:rsidR="002E3FE9" w:rsidRPr="00E850AC" w:rsidRDefault="002E3FE9" w:rsidP="00172E64">
      <w:pPr>
        <w:pStyle w:val="ListParagraph"/>
        <w:numPr>
          <w:ilvl w:val="0"/>
          <w:numId w:val="134"/>
        </w:numPr>
        <w:ind w:left="270" w:right="90" w:hanging="270"/>
        <w:rPr>
          <w:rFonts w:ascii="Arial" w:hAnsi="Arial"/>
          <w:sz w:val="18"/>
          <w:szCs w:val="18"/>
        </w:rPr>
      </w:pPr>
      <w:r w:rsidRPr="00E850AC">
        <w:rPr>
          <w:rFonts w:ascii="Arial" w:hAnsi="Arial"/>
          <w:sz w:val="18"/>
          <w:szCs w:val="18"/>
        </w:rPr>
        <w:t>Polished aggregate, bleeding, RR Xing, weathering, and lane/shoulder drop off are not patched.</w:t>
      </w:r>
    </w:p>
    <w:p w14:paraId="4704B77A" w14:textId="7729F345" w:rsidR="002E74C6" w:rsidRPr="00E850AC" w:rsidRDefault="002E3FE9" w:rsidP="00172E64">
      <w:pPr>
        <w:pStyle w:val="ListParagraph"/>
        <w:numPr>
          <w:ilvl w:val="0"/>
          <w:numId w:val="134"/>
        </w:numPr>
        <w:ind w:left="270" w:right="90" w:hanging="270"/>
        <w:rPr>
          <w:rFonts w:ascii="Arial" w:hAnsi="Arial"/>
          <w:sz w:val="18"/>
          <w:szCs w:val="18"/>
        </w:rPr>
      </w:pPr>
      <w:r w:rsidRPr="00E850AC">
        <w:rPr>
          <w:rFonts w:ascii="Arial" w:hAnsi="Arial"/>
          <w:sz w:val="18"/>
          <w:szCs w:val="18"/>
        </w:rPr>
        <w:t>Minimum patch size is generally 6 ft</w:t>
      </w:r>
      <w:r w:rsidR="00CF65CA">
        <w:rPr>
          <w:rFonts w:ascii="Arial" w:hAnsi="Arial"/>
          <w:sz w:val="18"/>
          <w:szCs w:val="18"/>
        </w:rPr>
        <w:t>.</w:t>
      </w:r>
      <w:r w:rsidRPr="00E850AC">
        <w:rPr>
          <w:rFonts w:ascii="Arial" w:hAnsi="Arial"/>
          <w:sz w:val="18"/>
          <w:szCs w:val="18"/>
        </w:rPr>
        <w:t xml:space="preserve"> x 6 ft</w:t>
      </w:r>
      <w:r w:rsidR="00CF65CA">
        <w:rPr>
          <w:rFonts w:ascii="Arial" w:hAnsi="Arial"/>
          <w:sz w:val="18"/>
          <w:szCs w:val="18"/>
        </w:rPr>
        <w:t>.</w:t>
      </w:r>
      <w:r w:rsidR="002E74C6" w:rsidRPr="00E850AC">
        <w:rPr>
          <w:rFonts w:ascii="Arial" w:hAnsi="Arial"/>
          <w:sz w:val="18"/>
          <w:szCs w:val="18"/>
        </w:rPr>
        <w:t xml:space="preserve"> for projects where </w:t>
      </w:r>
      <w:r w:rsidR="00B913D8">
        <w:rPr>
          <w:rFonts w:ascii="Arial" w:hAnsi="Arial"/>
          <w:sz w:val="18"/>
        </w:rPr>
        <w:t>mill</w:t>
      </w:r>
      <w:r w:rsidR="002E74C6" w:rsidRPr="002E74C6">
        <w:rPr>
          <w:rFonts w:ascii="Arial" w:hAnsi="Arial"/>
          <w:sz w:val="18"/>
        </w:rPr>
        <w:t>ing</w:t>
      </w:r>
      <w:r w:rsidR="002E74C6" w:rsidRPr="00E850AC">
        <w:rPr>
          <w:rFonts w:ascii="Arial" w:hAnsi="Arial"/>
          <w:sz w:val="18"/>
          <w:szCs w:val="18"/>
        </w:rPr>
        <w:t xml:space="preserve"> and/or overlay will follow. For Patch Only projects the minimum patch size shall be 20 ft x 6 ft. This will create a smooth transition and improve the ride quality.</w:t>
      </w:r>
    </w:p>
    <w:p w14:paraId="59F54E4F" w14:textId="77777777" w:rsidR="002E74C6" w:rsidRPr="00E850AC" w:rsidRDefault="002E74C6" w:rsidP="00172E64">
      <w:pPr>
        <w:pStyle w:val="ListParagraph"/>
        <w:numPr>
          <w:ilvl w:val="0"/>
          <w:numId w:val="134"/>
        </w:numPr>
        <w:ind w:left="270" w:right="90" w:hanging="270"/>
        <w:rPr>
          <w:rFonts w:ascii="Arial" w:hAnsi="Arial"/>
          <w:sz w:val="18"/>
          <w:szCs w:val="18"/>
        </w:rPr>
      </w:pPr>
      <w:r w:rsidRPr="00E850AC">
        <w:rPr>
          <w:rFonts w:ascii="Arial" w:hAnsi="Arial"/>
          <w:sz w:val="18"/>
          <w:szCs w:val="18"/>
        </w:rPr>
        <w:t>Partial-depth patching should not exceed 50% of the pavement depth (flexible pavement).</w:t>
      </w:r>
    </w:p>
    <w:p w14:paraId="0CC29E4A" w14:textId="64FB94C5" w:rsidR="002E74C6" w:rsidRDefault="002E74C6" w:rsidP="00172E64">
      <w:pPr>
        <w:pStyle w:val="CommentText"/>
        <w:numPr>
          <w:ilvl w:val="0"/>
          <w:numId w:val="134"/>
        </w:numPr>
        <w:tabs>
          <w:tab w:val="left" w:pos="360"/>
        </w:tabs>
        <w:ind w:left="270" w:right="90" w:hanging="270"/>
        <w:rPr>
          <w:rFonts w:ascii="Arial" w:hAnsi="Arial" w:cs="Arial"/>
          <w:sz w:val="18"/>
          <w:szCs w:val="18"/>
        </w:rPr>
      </w:pPr>
      <w:r w:rsidRPr="00E850AC">
        <w:rPr>
          <w:rFonts w:ascii="Arial" w:hAnsi="Arial" w:cs="Arial"/>
          <w:sz w:val="18"/>
          <w:szCs w:val="18"/>
        </w:rPr>
        <w:t>If a distress exists on the mainline and spills over to the shoulder, the patch thickness shall be the thicker of the two pavement sections, unless it is clear that the mainline and shoulder patching will be done in separate passes.</w:t>
      </w:r>
    </w:p>
    <w:p w14:paraId="2287401B" w14:textId="39B30CEC" w:rsidR="00402869" w:rsidRDefault="00402869" w:rsidP="00402869">
      <w:pPr>
        <w:pStyle w:val="CommentText"/>
        <w:tabs>
          <w:tab w:val="left" w:pos="360"/>
        </w:tabs>
        <w:ind w:right="90"/>
        <w:rPr>
          <w:rFonts w:ascii="Arial" w:hAnsi="Arial" w:cs="Arial"/>
          <w:sz w:val="18"/>
          <w:szCs w:val="18"/>
        </w:rPr>
      </w:pPr>
    </w:p>
    <w:p w14:paraId="25038DA8" w14:textId="145E2A4B" w:rsidR="00402869" w:rsidRDefault="00402869" w:rsidP="00402869">
      <w:pPr>
        <w:pStyle w:val="CommentText"/>
        <w:tabs>
          <w:tab w:val="left" w:pos="360"/>
        </w:tabs>
        <w:ind w:right="90"/>
        <w:rPr>
          <w:rFonts w:ascii="Arial" w:hAnsi="Arial" w:cs="Arial"/>
          <w:sz w:val="18"/>
          <w:szCs w:val="18"/>
        </w:rPr>
      </w:pPr>
    </w:p>
    <w:p w14:paraId="40DD78A2" w14:textId="77777777" w:rsidR="00402869" w:rsidRPr="00E850AC" w:rsidRDefault="00402869" w:rsidP="00402869">
      <w:pPr>
        <w:pStyle w:val="CommentText"/>
        <w:tabs>
          <w:tab w:val="left" w:pos="360"/>
        </w:tabs>
        <w:ind w:right="90"/>
        <w:rPr>
          <w:rFonts w:ascii="Arial" w:hAnsi="Arial" w:cs="Arial"/>
          <w:sz w:val="18"/>
          <w:szCs w:val="18"/>
        </w:rPr>
      </w:pPr>
    </w:p>
    <w:p w14:paraId="10BEC4A1" w14:textId="1F669F52" w:rsidR="002E74C6" w:rsidRPr="00E850AC" w:rsidRDefault="002E74C6" w:rsidP="00172E64">
      <w:pPr>
        <w:pStyle w:val="CommentText"/>
        <w:numPr>
          <w:ilvl w:val="0"/>
          <w:numId w:val="134"/>
        </w:numPr>
        <w:tabs>
          <w:tab w:val="left" w:pos="360"/>
        </w:tabs>
        <w:ind w:left="270" w:right="90" w:hanging="270"/>
        <w:rPr>
          <w:rFonts w:ascii="Arial" w:hAnsi="Arial" w:cs="Arial"/>
          <w:sz w:val="18"/>
          <w:szCs w:val="18"/>
        </w:rPr>
      </w:pPr>
      <w:r w:rsidRPr="00E850AC">
        <w:rPr>
          <w:rFonts w:ascii="Arial" w:hAnsi="Arial" w:cs="Arial"/>
          <w:sz w:val="18"/>
          <w:szCs w:val="18"/>
        </w:rPr>
        <w:t>For Patch</w:t>
      </w:r>
      <w:r w:rsidR="00E850AC">
        <w:rPr>
          <w:rFonts w:ascii="Arial" w:hAnsi="Arial" w:cs="Arial"/>
          <w:sz w:val="18"/>
          <w:szCs w:val="18"/>
        </w:rPr>
        <w:t xml:space="preserve"> O</w:t>
      </w:r>
      <w:r w:rsidRPr="00E850AC">
        <w:rPr>
          <w:rFonts w:ascii="Arial" w:hAnsi="Arial" w:cs="Arial"/>
          <w:sz w:val="18"/>
          <w:szCs w:val="18"/>
        </w:rPr>
        <w:t>nly projects</w:t>
      </w:r>
      <w:r w:rsidR="00E850AC">
        <w:rPr>
          <w:rFonts w:ascii="Arial" w:hAnsi="Arial" w:cs="Arial"/>
          <w:sz w:val="18"/>
          <w:szCs w:val="18"/>
        </w:rPr>
        <w:t>,</w:t>
      </w:r>
      <w:r w:rsidRPr="00E850AC">
        <w:rPr>
          <w:rFonts w:ascii="Arial" w:hAnsi="Arial" w:cs="Arial"/>
          <w:sz w:val="18"/>
          <w:szCs w:val="18"/>
        </w:rPr>
        <w:t xml:space="preserve"> take into consideration the following items when performing the field survey:</w:t>
      </w:r>
    </w:p>
    <w:p w14:paraId="2AECB789" w14:textId="50015F66" w:rsidR="002E74C6" w:rsidRPr="00E850AC" w:rsidRDefault="002E74C6" w:rsidP="00172E64">
      <w:pPr>
        <w:pStyle w:val="CommentText"/>
        <w:numPr>
          <w:ilvl w:val="0"/>
          <w:numId w:val="135"/>
        </w:numPr>
        <w:tabs>
          <w:tab w:val="left" w:pos="360"/>
        </w:tabs>
        <w:ind w:right="90"/>
        <w:rPr>
          <w:rFonts w:ascii="Arial" w:hAnsi="Arial" w:cs="Arial"/>
          <w:sz w:val="18"/>
          <w:szCs w:val="18"/>
        </w:rPr>
      </w:pPr>
      <w:r w:rsidRPr="00E850AC">
        <w:rPr>
          <w:rFonts w:ascii="Arial" w:hAnsi="Arial" w:cs="Arial"/>
          <w:sz w:val="18"/>
          <w:szCs w:val="18"/>
        </w:rPr>
        <w:t>Determine if the patching will be for a long- or short-term period (e.g.</w:t>
      </w:r>
      <w:r w:rsidR="00E850AC">
        <w:rPr>
          <w:rFonts w:ascii="Arial" w:hAnsi="Arial" w:cs="Arial"/>
          <w:sz w:val="18"/>
          <w:szCs w:val="18"/>
        </w:rPr>
        <w:t>,</w:t>
      </w:r>
      <w:r w:rsidRPr="00E850AC">
        <w:rPr>
          <w:rFonts w:ascii="Arial" w:hAnsi="Arial" w:cs="Arial"/>
          <w:sz w:val="18"/>
          <w:szCs w:val="18"/>
        </w:rPr>
        <w:t xml:space="preserve"> is the District considering a project coming up in the next 4 years within the same limits)? Consider including the Medium Severity items (identified with a</w:t>
      </w:r>
      <w:r w:rsidR="006834C7">
        <w:rPr>
          <w:rFonts w:ascii="Arial" w:hAnsi="Arial" w:cs="Arial"/>
          <w:sz w:val="18"/>
          <w:szCs w:val="18"/>
        </w:rPr>
        <w:t>n</w:t>
      </w:r>
      <w:r w:rsidRPr="00E850AC">
        <w:rPr>
          <w:rFonts w:ascii="Arial" w:hAnsi="Arial" w:cs="Arial"/>
          <w:sz w:val="18"/>
          <w:szCs w:val="18"/>
        </w:rPr>
        <w:t xml:space="preserve"> “ ** </w:t>
      </w:r>
      <w:r w:rsidR="00E850AC" w:rsidRPr="00E850AC">
        <w:rPr>
          <w:rFonts w:ascii="Arial" w:hAnsi="Arial" w:cs="Arial"/>
          <w:sz w:val="18"/>
          <w:szCs w:val="18"/>
        </w:rPr>
        <w:t>”</w:t>
      </w:r>
      <w:r w:rsidRPr="00E850AC">
        <w:rPr>
          <w:rFonts w:ascii="Arial" w:hAnsi="Arial" w:cs="Arial"/>
          <w:sz w:val="18"/>
          <w:szCs w:val="18"/>
        </w:rPr>
        <w:t>) if the patching will be for a long period of time.</w:t>
      </w:r>
    </w:p>
    <w:p w14:paraId="6AE066FF" w14:textId="77777777" w:rsidR="002E74C6" w:rsidRPr="00E850AC" w:rsidRDefault="002E74C6" w:rsidP="00172E64">
      <w:pPr>
        <w:pStyle w:val="CommentText"/>
        <w:numPr>
          <w:ilvl w:val="0"/>
          <w:numId w:val="135"/>
        </w:numPr>
        <w:tabs>
          <w:tab w:val="left" w:pos="360"/>
        </w:tabs>
        <w:ind w:right="90"/>
        <w:rPr>
          <w:rFonts w:ascii="Arial" w:hAnsi="Arial" w:cs="Arial"/>
          <w:sz w:val="18"/>
          <w:szCs w:val="18"/>
        </w:rPr>
      </w:pPr>
      <w:r w:rsidRPr="00E850AC">
        <w:rPr>
          <w:rFonts w:ascii="Arial" w:hAnsi="Arial" w:cs="Arial"/>
          <w:sz w:val="18"/>
          <w:szCs w:val="18"/>
        </w:rPr>
        <w:t>Determine the overall condition of the project and compare the Pavement Preservation options with the overall result of the field survey. Consider the option of having some of the areas repaired with crack seal instead of just patching the majority of the project.</w:t>
      </w:r>
    </w:p>
    <w:p w14:paraId="46525D8A" w14:textId="5FB5A6F1" w:rsidR="002E74C6" w:rsidRPr="00E850AC" w:rsidRDefault="002E74C6" w:rsidP="00172E64">
      <w:pPr>
        <w:pStyle w:val="CommentText"/>
        <w:numPr>
          <w:ilvl w:val="0"/>
          <w:numId w:val="135"/>
        </w:numPr>
        <w:tabs>
          <w:tab w:val="left" w:pos="360"/>
        </w:tabs>
        <w:ind w:right="90"/>
        <w:rPr>
          <w:rFonts w:ascii="Arial" w:hAnsi="Arial" w:cs="Arial"/>
          <w:sz w:val="18"/>
          <w:szCs w:val="18"/>
        </w:rPr>
      </w:pPr>
      <w:r w:rsidRPr="00E850AC">
        <w:rPr>
          <w:rFonts w:ascii="Arial" w:hAnsi="Arial" w:cs="Arial"/>
          <w:sz w:val="18"/>
          <w:szCs w:val="18"/>
        </w:rPr>
        <w:t xml:space="preserve">Evaluate the cracking distress and determine if the depth of the cracking is superficial (surface layer only) or if </w:t>
      </w:r>
      <w:r w:rsidR="00E850AC">
        <w:rPr>
          <w:rFonts w:ascii="Arial" w:hAnsi="Arial" w:cs="Arial"/>
          <w:sz w:val="18"/>
          <w:szCs w:val="18"/>
        </w:rPr>
        <w:t xml:space="preserve">it </w:t>
      </w:r>
      <w:r w:rsidRPr="00E850AC">
        <w:rPr>
          <w:rFonts w:ascii="Arial" w:hAnsi="Arial" w:cs="Arial"/>
          <w:sz w:val="18"/>
          <w:szCs w:val="18"/>
        </w:rPr>
        <w:t>extends f</w:t>
      </w:r>
      <w:r w:rsidR="00E850AC">
        <w:rPr>
          <w:rFonts w:ascii="Arial" w:hAnsi="Arial" w:cs="Arial"/>
          <w:sz w:val="18"/>
          <w:szCs w:val="18"/>
        </w:rPr>
        <w:t>a</w:t>
      </w:r>
      <w:r w:rsidRPr="00E850AC">
        <w:rPr>
          <w:rFonts w:ascii="Arial" w:hAnsi="Arial" w:cs="Arial"/>
          <w:sz w:val="18"/>
          <w:szCs w:val="18"/>
        </w:rPr>
        <w:t>rther (PDP versus FDP).</w:t>
      </w:r>
    </w:p>
    <w:p w14:paraId="58E95030" w14:textId="5F766B52" w:rsidR="002E74C6" w:rsidRPr="00E850AC" w:rsidRDefault="002E74C6" w:rsidP="00172E64">
      <w:pPr>
        <w:pStyle w:val="CommentText"/>
        <w:numPr>
          <w:ilvl w:val="0"/>
          <w:numId w:val="135"/>
        </w:numPr>
        <w:tabs>
          <w:tab w:val="left" w:pos="360"/>
        </w:tabs>
        <w:ind w:right="90"/>
        <w:rPr>
          <w:rFonts w:ascii="Arial" w:hAnsi="Arial" w:cs="Arial"/>
          <w:sz w:val="18"/>
          <w:szCs w:val="18"/>
        </w:rPr>
      </w:pPr>
      <w:r w:rsidRPr="00B556D4">
        <w:rPr>
          <w:rFonts w:ascii="Arial" w:hAnsi="Arial"/>
          <w:sz w:val="18"/>
        </w:rPr>
        <w:t>R</w:t>
      </w:r>
      <w:r w:rsidRPr="00B556D4">
        <w:rPr>
          <w:rFonts w:ascii="Arial" w:hAnsi="Arial" w:cs="Arial"/>
          <w:sz w:val="18"/>
          <w:szCs w:val="18"/>
        </w:rPr>
        <w:t>utting –</w:t>
      </w:r>
      <w:r w:rsidRPr="00E850AC">
        <w:rPr>
          <w:rFonts w:ascii="Arial" w:hAnsi="Arial" w:cs="Arial"/>
          <w:sz w:val="18"/>
          <w:szCs w:val="18"/>
        </w:rPr>
        <w:t xml:space="preserve"> if MRUT is present</w:t>
      </w:r>
      <w:r w:rsidR="00E850AC">
        <w:rPr>
          <w:rFonts w:ascii="Arial" w:hAnsi="Arial" w:cs="Arial"/>
          <w:sz w:val="18"/>
          <w:szCs w:val="18"/>
        </w:rPr>
        <w:t>,</w:t>
      </w:r>
      <w:r w:rsidRPr="00E850AC">
        <w:rPr>
          <w:rFonts w:ascii="Arial" w:hAnsi="Arial" w:cs="Arial"/>
          <w:sz w:val="18"/>
          <w:szCs w:val="18"/>
        </w:rPr>
        <w:t xml:space="preserve"> the patching should extend at least 1</w:t>
      </w:r>
      <w:r w:rsidR="00E850AC">
        <w:rPr>
          <w:rFonts w:ascii="Arial" w:hAnsi="Arial" w:cs="Arial"/>
          <w:sz w:val="18"/>
          <w:szCs w:val="18"/>
        </w:rPr>
        <w:t>"</w:t>
      </w:r>
      <w:r w:rsidRPr="00E850AC">
        <w:rPr>
          <w:rFonts w:ascii="Arial" w:hAnsi="Arial" w:cs="Arial"/>
          <w:sz w:val="18"/>
          <w:szCs w:val="18"/>
        </w:rPr>
        <w:t xml:space="preserve"> below the </w:t>
      </w:r>
      <w:r w:rsidRPr="002E74C6">
        <w:rPr>
          <w:rFonts w:ascii="Arial" w:hAnsi="Arial" w:cs="Arial"/>
          <w:sz w:val="18"/>
          <w:szCs w:val="18"/>
        </w:rPr>
        <w:t>rutting</w:t>
      </w:r>
      <w:r w:rsidRPr="00E850AC">
        <w:rPr>
          <w:rFonts w:ascii="Arial" w:hAnsi="Arial" w:cs="Arial"/>
          <w:sz w:val="18"/>
          <w:szCs w:val="18"/>
        </w:rPr>
        <w:t xml:space="preserve"> deepest point (this needs to be measured or very well estimated during the field survey). If HRUT is present</w:t>
      </w:r>
      <w:r w:rsidR="00E850AC">
        <w:rPr>
          <w:rFonts w:ascii="Arial" w:hAnsi="Arial" w:cs="Arial"/>
          <w:sz w:val="18"/>
          <w:szCs w:val="18"/>
        </w:rPr>
        <w:t>,</w:t>
      </w:r>
      <w:r w:rsidRPr="00E850AC">
        <w:rPr>
          <w:rFonts w:ascii="Arial" w:hAnsi="Arial" w:cs="Arial"/>
          <w:sz w:val="18"/>
          <w:szCs w:val="18"/>
        </w:rPr>
        <w:t xml:space="preserve"> consider Note 3 and the 6</w:t>
      </w:r>
      <w:r w:rsidR="00E850AC">
        <w:rPr>
          <w:rFonts w:ascii="Arial" w:hAnsi="Arial" w:cs="Arial"/>
          <w:sz w:val="18"/>
          <w:szCs w:val="18"/>
        </w:rPr>
        <w:t>"-</w:t>
      </w:r>
      <w:r w:rsidRPr="00E850AC">
        <w:rPr>
          <w:rFonts w:ascii="Arial" w:hAnsi="Arial" w:cs="Arial"/>
          <w:sz w:val="18"/>
          <w:szCs w:val="18"/>
        </w:rPr>
        <w:t xml:space="preserve">HMA thickness guideline for Milling versus No Milling scenarios </w:t>
      </w:r>
      <w:r w:rsidR="006E45EC">
        <w:rPr>
          <w:rFonts w:ascii="Arial" w:hAnsi="Arial" w:cs="Arial"/>
          <w:sz w:val="18"/>
          <w:szCs w:val="18"/>
        </w:rPr>
        <w:t>i</w:t>
      </w:r>
      <w:r w:rsidRPr="00E850AC">
        <w:rPr>
          <w:rFonts w:ascii="Arial" w:hAnsi="Arial" w:cs="Arial"/>
          <w:sz w:val="18"/>
          <w:szCs w:val="18"/>
        </w:rPr>
        <w:t xml:space="preserve">n the above tables. </w:t>
      </w:r>
    </w:p>
    <w:p w14:paraId="09B629BE" w14:textId="77777777" w:rsidR="002E3FE9" w:rsidRPr="002E74C6" w:rsidRDefault="002E3FE9" w:rsidP="00BE3F24">
      <w:pPr>
        <w:jc w:val="both"/>
        <w:rPr>
          <w:rFonts w:ascii="Arial" w:hAnsi="Arial"/>
          <w:sz w:val="18"/>
        </w:rPr>
      </w:pPr>
      <w:r w:rsidRPr="002E74C6">
        <w:rPr>
          <w:rFonts w:ascii="Arial" w:hAnsi="Arial"/>
          <w:sz w:val="18"/>
        </w:rPr>
        <w:t xml:space="preserve"> </w:t>
      </w:r>
    </w:p>
    <w:p w14:paraId="2C6C0B82" w14:textId="69655320" w:rsidR="002E3FE9" w:rsidRDefault="00D932A0" w:rsidP="00BE3F24">
      <w:pPr>
        <w:jc w:val="both"/>
        <w:rPr>
          <w:rFonts w:ascii="Arial" w:hAnsi="Arial"/>
          <w:snapToGrid w:val="0"/>
          <w:color w:val="000000"/>
          <w:sz w:val="22"/>
        </w:rPr>
      </w:pPr>
      <w:hyperlink w:anchor="_Patching_and_Joint" w:history="1">
        <w:r w:rsidRPr="00D932A0">
          <w:rPr>
            <w:rStyle w:val="Hyperlink"/>
            <w:rFonts w:ascii="Arial" w:hAnsi="Arial"/>
            <w:snapToGrid w:val="0"/>
            <w:sz w:val="22"/>
          </w:rPr>
          <w:t>Patching and Joint Tape Guidelines for PCC Surfaces</w:t>
        </w:r>
      </w:hyperlink>
      <w:r>
        <w:rPr>
          <w:rFonts w:ascii="Arial" w:hAnsi="Arial"/>
          <w:snapToGrid w:val="0"/>
          <w:color w:val="000000"/>
          <w:sz w:val="22"/>
        </w:rPr>
        <w:t xml:space="preserve"> and </w:t>
      </w:r>
      <w:hyperlink w:anchor="_Patching_and_Joint_1" w:history="1">
        <w:r w:rsidRPr="00D932A0">
          <w:rPr>
            <w:rStyle w:val="Hyperlink"/>
            <w:rFonts w:ascii="Arial" w:hAnsi="Arial"/>
            <w:snapToGrid w:val="0"/>
            <w:sz w:val="22"/>
          </w:rPr>
          <w:t>Patching and Joint Tape Guidelines for AC Surfaces</w:t>
        </w:r>
      </w:hyperlink>
      <w:r w:rsidR="002E3FE9" w:rsidRPr="00837D04">
        <w:rPr>
          <w:rFonts w:ascii="Arial" w:hAnsi="Arial"/>
          <w:snapToGrid w:val="0"/>
          <w:color w:val="000000"/>
          <w:sz w:val="22"/>
        </w:rPr>
        <w:t xml:space="preserve"> are to be used to determine specific patching requirements. These guidelines can be customized to specific project conditions and demands.  Any major changes to the patching guidelines should be discussed with the </w:t>
      </w:r>
      <w:r w:rsidR="002E3FE9" w:rsidRPr="00837D04">
        <w:rPr>
          <w:rFonts w:ascii="Arial" w:hAnsi="Arial"/>
          <w:sz w:val="22"/>
        </w:rPr>
        <w:t>Assistant Pavement and Geotechnical Division Chief</w:t>
      </w:r>
      <w:r w:rsidR="006E45EC">
        <w:rPr>
          <w:rFonts w:ascii="Arial" w:hAnsi="Arial"/>
          <w:sz w:val="22"/>
        </w:rPr>
        <w:t xml:space="preserve"> – </w:t>
      </w:r>
      <w:r w:rsidR="002E3FE9" w:rsidRPr="00837D04">
        <w:rPr>
          <w:rFonts w:ascii="Arial" w:hAnsi="Arial"/>
          <w:sz w:val="22"/>
        </w:rPr>
        <w:t>Design</w:t>
      </w:r>
      <w:r w:rsidR="002E3FE9" w:rsidRPr="00837D04">
        <w:rPr>
          <w:rFonts w:ascii="Arial" w:hAnsi="Arial"/>
          <w:snapToGrid w:val="0"/>
          <w:color w:val="000000"/>
          <w:sz w:val="22"/>
        </w:rPr>
        <w:t>.</w:t>
      </w:r>
      <w:r w:rsidR="002E3FE9">
        <w:rPr>
          <w:rFonts w:ascii="Arial" w:hAnsi="Arial"/>
          <w:snapToGrid w:val="0"/>
          <w:color w:val="000000"/>
          <w:sz w:val="22"/>
        </w:rPr>
        <w:t xml:space="preserve">   </w:t>
      </w:r>
    </w:p>
    <w:p w14:paraId="48023785" w14:textId="77777777" w:rsidR="002E3FE9" w:rsidRDefault="002E3FE9" w:rsidP="00172E64">
      <w:pPr>
        <w:pStyle w:val="Heading3"/>
        <w:numPr>
          <w:ilvl w:val="2"/>
          <w:numId w:val="184"/>
        </w:numPr>
        <w:spacing w:after="120"/>
        <w:ind w:left="0" w:firstLine="0"/>
        <w:jc w:val="both"/>
      </w:pPr>
      <w:r>
        <w:t>Other Pre-Overlay Techniques</w:t>
      </w:r>
    </w:p>
    <w:p w14:paraId="069C82E2" w14:textId="77777777" w:rsidR="002E3FE9" w:rsidRDefault="002E3FE9" w:rsidP="00172E64">
      <w:pPr>
        <w:pStyle w:val="Heading4"/>
        <w:numPr>
          <w:ilvl w:val="3"/>
          <w:numId w:val="184"/>
        </w:numPr>
        <w:ind w:left="0" w:firstLine="0"/>
        <w:jc w:val="both"/>
      </w:pPr>
      <w:bookmarkStart w:id="463" w:name="_Slab_Stabilization"/>
      <w:bookmarkEnd w:id="463"/>
      <w:r>
        <w:t>Slab Stabilization</w:t>
      </w:r>
    </w:p>
    <w:p w14:paraId="3D55CAAE" w14:textId="77777777" w:rsidR="002E3FE9" w:rsidRPr="00200E0F" w:rsidRDefault="002E3FE9" w:rsidP="00172E64">
      <w:pPr>
        <w:pStyle w:val="ListParagraph"/>
        <w:numPr>
          <w:ilvl w:val="0"/>
          <w:numId w:val="84"/>
        </w:numPr>
        <w:ind w:left="720" w:hanging="720"/>
        <w:jc w:val="both"/>
        <w:rPr>
          <w:rFonts w:ascii="Arial" w:hAnsi="Arial"/>
          <w:sz w:val="22"/>
          <w:szCs w:val="20"/>
        </w:rPr>
      </w:pPr>
      <w:r w:rsidRPr="00200E0F">
        <w:rPr>
          <w:rFonts w:ascii="Arial" w:hAnsi="Arial"/>
          <w:sz w:val="22"/>
          <w:szCs w:val="20"/>
        </w:rPr>
        <w:t>Use if FWD testing indicates a large presence of voids, see</w:t>
      </w:r>
      <w:r w:rsidR="002D6703" w:rsidRPr="00200E0F">
        <w:rPr>
          <w:rFonts w:ascii="Arial" w:hAnsi="Arial"/>
          <w:sz w:val="22"/>
          <w:szCs w:val="20"/>
        </w:rPr>
        <w:t xml:space="preserve"> </w:t>
      </w:r>
      <w:hyperlink w:anchor="_FWD_Data_Analysis_2" w:history="1">
        <w:r w:rsidR="002D6703" w:rsidRPr="00200E0F">
          <w:rPr>
            <w:rFonts w:ascii="Arial" w:hAnsi="Arial"/>
            <w:sz w:val="22"/>
            <w:szCs w:val="20"/>
          </w:rPr>
          <w:t>FWD Data Analysis Procedure</w:t>
        </w:r>
      </w:hyperlink>
      <w:r w:rsidR="00D932A0" w:rsidRPr="00200E0F">
        <w:rPr>
          <w:rFonts w:ascii="Arial" w:hAnsi="Arial"/>
          <w:sz w:val="22"/>
          <w:szCs w:val="20"/>
        </w:rPr>
        <w:t>.</w:t>
      </w:r>
    </w:p>
    <w:p w14:paraId="1F4D3FFE" w14:textId="61A087F9" w:rsidR="002E3FE9" w:rsidRPr="00200E0F" w:rsidRDefault="002E3FE9" w:rsidP="00172E64">
      <w:pPr>
        <w:pStyle w:val="ListParagraph"/>
        <w:numPr>
          <w:ilvl w:val="0"/>
          <w:numId w:val="84"/>
        </w:numPr>
        <w:ind w:left="720" w:hanging="720"/>
        <w:jc w:val="both"/>
        <w:rPr>
          <w:rFonts w:ascii="Arial" w:hAnsi="Arial"/>
          <w:sz w:val="22"/>
          <w:szCs w:val="20"/>
        </w:rPr>
      </w:pPr>
      <w:r w:rsidRPr="00200E0F">
        <w:rPr>
          <w:rFonts w:ascii="Arial" w:hAnsi="Arial"/>
          <w:sz w:val="22"/>
          <w:szCs w:val="20"/>
        </w:rPr>
        <w:t>Consider if a large presence of corner breaks or pumping exist</w:t>
      </w:r>
      <w:r w:rsidR="00E850AC" w:rsidRPr="00200E0F">
        <w:rPr>
          <w:rFonts w:ascii="Arial" w:hAnsi="Arial"/>
          <w:sz w:val="22"/>
          <w:szCs w:val="20"/>
        </w:rPr>
        <w:t>s</w:t>
      </w:r>
      <w:r w:rsidRPr="00200E0F">
        <w:rPr>
          <w:rFonts w:ascii="Arial" w:hAnsi="Arial"/>
          <w:sz w:val="22"/>
          <w:szCs w:val="20"/>
        </w:rPr>
        <w:t xml:space="preserve"> on a project.</w:t>
      </w:r>
    </w:p>
    <w:p w14:paraId="719CB163" w14:textId="77777777" w:rsidR="002E3FE9" w:rsidRDefault="002E3FE9" w:rsidP="00172E64">
      <w:pPr>
        <w:pStyle w:val="Heading3"/>
        <w:numPr>
          <w:ilvl w:val="2"/>
          <w:numId w:val="184"/>
        </w:numPr>
        <w:ind w:left="0" w:firstLine="0"/>
        <w:jc w:val="both"/>
      </w:pPr>
      <w:bookmarkStart w:id="464" w:name="_Pre-Rehabilitation_Effect_on"/>
      <w:bookmarkEnd w:id="464"/>
      <w:r>
        <w:t>Pre-Rehabilitation Effect on RSL Calculations</w:t>
      </w:r>
    </w:p>
    <w:p w14:paraId="234E130F" w14:textId="7EDF6C55" w:rsidR="002D6703" w:rsidRPr="008F604D" w:rsidRDefault="002D6703" w:rsidP="002D670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Application_for_Removal" w:history="1">
        <w:r w:rsidRPr="002D6703">
          <w:rPr>
            <w:rStyle w:val="Hyperlink"/>
            <w:rFonts w:ascii="Arial" w:hAnsi="Arial" w:cs="Arial"/>
            <w:bCs/>
            <w:sz w:val="16"/>
            <w:szCs w:val="16"/>
          </w:rPr>
          <w:t>Application for Removal (Milling)</w:t>
        </w:r>
      </w:hyperlink>
    </w:p>
    <w:p w14:paraId="053DF61A" w14:textId="77777777" w:rsidR="002D6703" w:rsidRPr="002D6703" w:rsidRDefault="002D6703" w:rsidP="002D6703"/>
    <w:p w14:paraId="3516FA25" w14:textId="634AACBC" w:rsidR="00F538FE" w:rsidRDefault="002E3FE9" w:rsidP="00BE3F24">
      <w:pPr>
        <w:pStyle w:val="BodyText"/>
        <w:jc w:val="both"/>
      </w:pPr>
      <w:r>
        <w:t xml:space="preserve">Certain facets of RSL calculations, such as Crack </w:t>
      </w:r>
      <w:r w:rsidR="00317773">
        <w:t>Densities</w:t>
      </w:r>
      <w:r>
        <w:t xml:space="preserve"> (C</w:t>
      </w:r>
      <w:r w:rsidR="00317773">
        <w:t>D</w:t>
      </w:r>
      <w:r>
        <w:t>), can be calculated from the visual survey are based on the existing distresses in the roadway.  Pre-resurfacing repairs alter the existing distresses and the RSL and therefore affect the existing structural and functional capacity of the pavement structure.  For example, if high severity alligator cracking were repaired with a full-depth patch, that amount of structural cracking would no longer exist, thereby improving the structural C</w:t>
      </w:r>
      <w:r w:rsidR="00317773">
        <w:t>D</w:t>
      </w:r>
      <w:r>
        <w:t xml:space="preserve">.  </w:t>
      </w:r>
      <w:r w:rsidR="00F538FE">
        <w:t xml:space="preserve">Refer to </w:t>
      </w:r>
      <w:hyperlink w:anchor="_Visual_Pavement_Condition" w:history="1">
        <w:r w:rsidR="00F538FE" w:rsidRPr="00F538FE">
          <w:rPr>
            <w:rStyle w:val="Hyperlink"/>
          </w:rPr>
          <w:t>Visual Pavement Condition Assessment</w:t>
        </w:r>
      </w:hyperlink>
      <w:r w:rsidR="00F538FE">
        <w:t xml:space="preserve"> for recalculating C</w:t>
      </w:r>
      <w:r w:rsidR="00317773">
        <w:t>D</w:t>
      </w:r>
      <w:r w:rsidR="00F538FE">
        <w:t>.</w:t>
      </w:r>
    </w:p>
    <w:p w14:paraId="4D8727D8" w14:textId="27668C2C" w:rsidR="002E3FE9" w:rsidRDefault="002E3FE9" w:rsidP="00BE3F24">
      <w:pPr>
        <w:pStyle w:val="BodyText"/>
        <w:jc w:val="both"/>
      </w:pPr>
      <w:r>
        <w:t xml:space="preserve">Depending on the distress type and severity, pre-resurfacing repairs may increase the RSL values.  Therefore, certain pre-resurfacing repair strategies will influence the type of pavement resurfacing.  A significant step in the pavement preservation process is to re-calculate RSL for each pavement section based on the selected pre-resurfacing repairs.  Patching and milling can both be completed as pre-resurfacing repairs.  </w:t>
      </w:r>
      <w:hyperlink w:anchor="_Supplemental_Treatment_Information_1" w:history="1">
        <w:r w:rsidRPr="00E717DC">
          <w:rPr>
            <w:rStyle w:val="Hyperlink"/>
          </w:rPr>
          <w:t xml:space="preserve">Refer to </w:t>
        </w:r>
      </w:hyperlink>
      <w:hyperlink w:anchor="_Supplemental_Treatment_Information_1" w:history="1">
        <w:r w:rsidR="00D932A0" w:rsidRPr="00D932A0">
          <w:rPr>
            <w:rStyle w:val="Hyperlink"/>
          </w:rPr>
          <w:t>Supplemental Treatment Information</w:t>
        </w:r>
      </w:hyperlink>
      <w:r>
        <w:t xml:space="preserve"> for guidance</w:t>
      </w:r>
      <w:r w:rsidR="00D932A0">
        <w:t>.</w:t>
      </w:r>
      <w:r>
        <w:t xml:space="preserve">  The following table shows the effect of different pre-resurfacing repairs on RSL for flexible/composite.  RSL equations have not yet been developed for the cracking or faulting of concrete pavements. </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3803"/>
        <w:gridCol w:w="3150"/>
      </w:tblGrid>
      <w:tr w:rsidR="002E3FE9" w:rsidRPr="00A64D54" w14:paraId="45F1063D" w14:textId="77777777" w:rsidTr="003D5CE6">
        <w:trPr>
          <w:trHeight w:val="288"/>
          <w:tblHeader/>
          <w:jc w:val="center"/>
        </w:trPr>
        <w:tc>
          <w:tcPr>
            <w:tcW w:w="8658" w:type="dxa"/>
            <w:gridSpan w:val="3"/>
            <w:shd w:val="pct15" w:color="auto" w:fill="FFFFFF"/>
            <w:vAlign w:val="center"/>
          </w:tcPr>
          <w:p w14:paraId="72DDE6ED" w14:textId="77777777" w:rsidR="002E3FE9" w:rsidRPr="003D5CE6" w:rsidRDefault="002E3FE9" w:rsidP="00E850AC">
            <w:pPr>
              <w:jc w:val="center"/>
              <w:rPr>
                <w:rFonts w:ascii="Arial" w:hAnsi="Arial"/>
                <w:b/>
              </w:rPr>
            </w:pPr>
            <w:r w:rsidRPr="003D5CE6">
              <w:rPr>
                <w:rFonts w:ascii="Arial" w:hAnsi="Arial"/>
                <w:b/>
              </w:rPr>
              <w:t>Pre-Resurfacing</w:t>
            </w:r>
            <w:r w:rsidR="00B66704" w:rsidRPr="003D5CE6">
              <w:rPr>
                <w:rFonts w:ascii="Arial" w:hAnsi="Arial"/>
                <w:b/>
              </w:rPr>
              <w:t xml:space="preserve"> </w:t>
            </w:r>
            <w:r w:rsidRPr="003D5CE6">
              <w:rPr>
                <w:rFonts w:ascii="Arial" w:hAnsi="Arial"/>
                <w:b/>
              </w:rPr>
              <w:t>Repairs for AC-Surfaced Pavements</w:t>
            </w:r>
          </w:p>
        </w:tc>
      </w:tr>
      <w:tr w:rsidR="002E3FE9" w:rsidRPr="00A64D54" w14:paraId="3C12688F" w14:textId="77777777" w:rsidTr="003D5CE6">
        <w:trPr>
          <w:trHeight w:val="288"/>
          <w:tblHeader/>
          <w:jc w:val="center"/>
        </w:trPr>
        <w:tc>
          <w:tcPr>
            <w:tcW w:w="1705" w:type="dxa"/>
            <w:shd w:val="pct15" w:color="auto" w:fill="FFFFFF"/>
            <w:vAlign w:val="center"/>
          </w:tcPr>
          <w:p w14:paraId="4A891A9E" w14:textId="77777777" w:rsidR="002E3FE9" w:rsidRPr="003D5CE6" w:rsidRDefault="002E3FE9" w:rsidP="00E850AC">
            <w:pPr>
              <w:jc w:val="center"/>
              <w:rPr>
                <w:rFonts w:ascii="Arial" w:hAnsi="Arial"/>
                <w:b/>
              </w:rPr>
            </w:pPr>
            <w:r w:rsidRPr="003D5CE6">
              <w:rPr>
                <w:rFonts w:ascii="Arial" w:hAnsi="Arial"/>
                <w:b/>
              </w:rPr>
              <w:t>Distress</w:t>
            </w:r>
          </w:p>
        </w:tc>
        <w:tc>
          <w:tcPr>
            <w:tcW w:w="3803" w:type="dxa"/>
            <w:shd w:val="pct15" w:color="auto" w:fill="FFFFFF"/>
            <w:vAlign w:val="center"/>
          </w:tcPr>
          <w:p w14:paraId="08CEEBAE" w14:textId="77777777" w:rsidR="002E3FE9" w:rsidRPr="003D5CE6" w:rsidRDefault="002E3FE9" w:rsidP="00E850AC">
            <w:pPr>
              <w:jc w:val="center"/>
              <w:rPr>
                <w:rFonts w:ascii="Arial" w:hAnsi="Arial"/>
                <w:b/>
              </w:rPr>
            </w:pPr>
            <w:r w:rsidRPr="003D5CE6">
              <w:rPr>
                <w:rFonts w:ascii="Arial" w:hAnsi="Arial"/>
                <w:b/>
              </w:rPr>
              <w:t>Patch</w:t>
            </w:r>
          </w:p>
        </w:tc>
        <w:tc>
          <w:tcPr>
            <w:tcW w:w="3150" w:type="dxa"/>
            <w:shd w:val="pct15" w:color="auto" w:fill="FFFFFF"/>
            <w:vAlign w:val="center"/>
          </w:tcPr>
          <w:p w14:paraId="0534223E" w14:textId="77777777" w:rsidR="002E3FE9" w:rsidRPr="003D5CE6" w:rsidRDefault="002E3FE9" w:rsidP="00E850AC">
            <w:pPr>
              <w:jc w:val="center"/>
              <w:rPr>
                <w:rFonts w:ascii="Arial" w:hAnsi="Arial"/>
                <w:b/>
              </w:rPr>
            </w:pPr>
            <w:r w:rsidRPr="003D5CE6">
              <w:rPr>
                <w:rFonts w:ascii="Arial" w:hAnsi="Arial"/>
                <w:b/>
              </w:rPr>
              <w:t>Surface Removal</w:t>
            </w:r>
          </w:p>
        </w:tc>
      </w:tr>
      <w:tr w:rsidR="002E3FE9" w:rsidRPr="00A64D54" w14:paraId="4590133F" w14:textId="77777777" w:rsidTr="003D5CE6">
        <w:trPr>
          <w:trHeight w:val="288"/>
          <w:jc w:val="center"/>
        </w:trPr>
        <w:tc>
          <w:tcPr>
            <w:tcW w:w="1705" w:type="dxa"/>
            <w:vAlign w:val="center"/>
          </w:tcPr>
          <w:p w14:paraId="29420D18" w14:textId="77777777" w:rsidR="002E3FE9" w:rsidRPr="003D5CE6" w:rsidRDefault="002E3FE9" w:rsidP="00E850AC">
            <w:pPr>
              <w:rPr>
                <w:rFonts w:ascii="Arial" w:hAnsi="Arial"/>
              </w:rPr>
            </w:pPr>
            <w:r w:rsidRPr="003D5CE6">
              <w:rPr>
                <w:rFonts w:ascii="Arial" w:hAnsi="Arial"/>
              </w:rPr>
              <w:t>Ride Quality</w:t>
            </w:r>
          </w:p>
        </w:tc>
        <w:tc>
          <w:tcPr>
            <w:tcW w:w="3803" w:type="dxa"/>
            <w:vAlign w:val="center"/>
          </w:tcPr>
          <w:p w14:paraId="65FD0EB5" w14:textId="77777777" w:rsidR="002E3FE9" w:rsidRPr="003D5CE6" w:rsidRDefault="002E3FE9" w:rsidP="00E850AC">
            <w:pPr>
              <w:jc w:val="center"/>
              <w:rPr>
                <w:rFonts w:ascii="Arial" w:hAnsi="Arial"/>
              </w:rPr>
            </w:pPr>
            <w:r w:rsidRPr="003D5CE6">
              <w:rPr>
                <w:rFonts w:ascii="Arial" w:hAnsi="Arial"/>
              </w:rPr>
              <w:t>No effect</w:t>
            </w:r>
          </w:p>
        </w:tc>
        <w:tc>
          <w:tcPr>
            <w:tcW w:w="3150" w:type="dxa"/>
            <w:vAlign w:val="center"/>
          </w:tcPr>
          <w:p w14:paraId="382A306A" w14:textId="666E9144" w:rsidR="002E3FE9" w:rsidRPr="003D5CE6" w:rsidRDefault="002E3FE9" w:rsidP="00E850AC">
            <w:pPr>
              <w:jc w:val="center"/>
              <w:rPr>
                <w:rFonts w:ascii="Arial" w:hAnsi="Arial"/>
              </w:rPr>
            </w:pPr>
            <w:r w:rsidRPr="003D5CE6">
              <w:rPr>
                <w:rFonts w:ascii="Arial" w:hAnsi="Arial"/>
              </w:rPr>
              <w:t>See</w:t>
            </w:r>
            <w:r w:rsidR="00B66704" w:rsidRPr="003D5CE6">
              <w:rPr>
                <w:rFonts w:ascii="Arial" w:hAnsi="Arial"/>
              </w:rPr>
              <w:t xml:space="preserve"> </w:t>
            </w:r>
            <w:hyperlink w:anchor="_Forms,_Spreadsheets_&amp;" w:history="1">
              <w:r w:rsidR="00B66704" w:rsidRPr="003D5CE6">
                <w:rPr>
                  <w:rStyle w:val="Hyperlink"/>
                  <w:rFonts w:ascii="Arial" w:hAnsi="Arial"/>
                </w:rPr>
                <w:t>Forms, Spreadsheets &amp; Guidelines</w:t>
              </w:r>
            </w:hyperlink>
            <w:r w:rsidR="00406302" w:rsidRPr="003D5CE6">
              <w:rPr>
                <w:rFonts w:ascii="Arial" w:hAnsi="Arial"/>
              </w:rPr>
              <w:t xml:space="preserve"> for PD-11</w:t>
            </w:r>
            <w:r w:rsidR="00E850AC" w:rsidRPr="00A64D54">
              <w:rPr>
                <w:rFonts w:ascii="Arial" w:hAnsi="Arial" w:cs="Arial"/>
              </w:rPr>
              <w:t>.</w:t>
            </w:r>
          </w:p>
        </w:tc>
      </w:tr>
      <w:tr w:rsidR="002E3FE9" w:rsidRPr="00A64D54" w14:paraId="50067DBE" w14:textId="77777777" w:rsidTr="003D5CE6">
        <w:trPr>
          <w:trHeight w:val="288"/>
          <w:jc w:val="center"/>
        </w:trPr>
        <w:tc>
          <w:tcPr>
            <w:tcW w:w="1705" w:type="dxa"/>
            <w:vAlign w:val="center"/>
          </w:tcPr>
          <w:p w14:paraId="433F2F54" w14:textId="77777777" w:rsidR="002E3FE9" w:rsidRPr="003D5CE6" w:rsidRDefault="002E3FE9" w:rsidP="00E850AC">
            <w:pPr>
              <w:rPr>
                <w:rFonts w:ascii="Arial" w:hAnsi="Arial"/>
              </w:rPr>
            </w:pPr>
            <w:r w:rsidRPr="003D5CE6">
              <w:rPr>
                <w:rFonts w:ascii="Arial" w:hAnsi="Arial"/>
              </w:rPr>
              <w:lastRenderedPageBreak/>
              <w:t>Structural Cracking</w:t>
            </w:r>
          </w:p>
        </w:tc>
        <w:tc>
          <w:tcPr>
            <w:tcW w:w="3803" w:type="dxa"/>
            <w:vAlign w:val="center"/>
          </w:tcPr>
          <w:p w14:paraId="6A078261" w14:textId="3A05E05E" w:rsidR="002E3FE9" w:rsidRPr="003D5CE6" w:rsidRDefault="002E3FE9" w:rsidP="00E850AC">
            <w:pPr>
              <w:jc w:val="center"/>
              <w:rPr>
                <w:rFonts w:ascii="Arial" w:hAnsi="Arial"/>
              </w:rPr>
            </w:pPr>
            <w:r w:rsidRPr="003D5CE6">
              <w:rPr>
                <w:rFonts w:ascii="Arial" w:hAnsi="Arial"/>
              </w:rPr>
              <w:t xml:space="preserve">No Distress for that quantity.  Refer to </w:t>
            </w:r>
            <w:hyperlink w:anchor="_Visual_Pavement_Condition" w:history="1">
              <w:r w:rsidR="00B66704" w:rsidRPr="003D5CE6">
                <w:rPr>
                  <w:rStyle w:val="Hyperlink"/>
                  <w:rFonts w:ascii="Arial" w:hAnsi="Arial"/>
                </w:rPr>
                <w:t>Visual Pavement Condition Assessment</w:t>
              </w:r>
            </w:hyperlink>
            <w:hyperlink w:anchor="_Procedure" w:history="1"/>
            <w:r w:rsidRPr="003D5CE6">
              <w:rPr>
                <w:rFonts w:ascii="Arial" w:hAnsi="Arial"/>
              </w:rPr>
              <w:t xml:space="preserve"> for </w:t>
            </w:r>
            <w:r>
              <w:rPr>
                <w:rFonts w:ascii="Arial" w:hAnsi="Arial"/>
                <w:sz w:val="22"/>
              </w:rPr>
              <w:t>C</w:t>
            </w:r>
            <w:r w:rsidR="00317773">
              <w:rPr>
                <w:rFonts w:ascii="Arial" w:hAnsi="Arial"/>
                <w:sz w:val="22"/>
              </w:rPr>
              <w:t>D</w:t>
            </w:r>
            <w:r w:rsidRPr="003D5CE6">
              <w:rPr>
                <w:rFonts w:ascii="Arial" w:hAnsi="Arial"/>
              </w:rPr>
              <w:t xml:space="preserve"> calculation</w:t>
            </w:r>
            <w:r w:rsidR="00E850AC" w:rsidRPr="00A64D54">
              <w:rPr>
                <w:rFonts w:ascii="Arial" w:hAnsi="Arial" w:cs="Arial"/>
              </w:rPr>
              <w:t>.</w:t>
            </w:r>
          </w:p>
        </w:tc>
        <w:tc>
          <w:tcPr>
            <w:tcW w:w="3150" w:type="dxa"/>
            <w:vAlign w:val="center"/>
          </w:tcPr>
          <w:p w14:paraId="3D21AD6A" w14:textId="77777777" w:rsidR="002E3FE9" w:rsidRPr="003D5CE6" w:rsidRDefault="002E3FE9" w:rsidP="00E850AC">
            <w:pPr>
              <w:jc w:val="center"/>
              <w:rPr>
                <w:rFonts w:ascii="Arial" w:hAnsi="Arial"/>
              </w:rPr>
            </w:pPr>
            <w:r w:rsidRPr="003D5CE6">
              <w:rPr>
                <w:rFonts w:ascii="Arial" w:hAnsi="Arial"/>
              </w:rPr>
              <w:t>No effect</w:t>
            </w:r>
          </w:p>
        </w:tc>
      </w:tr>
      <w:tr w:rsidR="00B66704" w:rsidRPr="00A64D54" w14:paraId="23820A21" w14:textId="77777777" w:rsidTr="003D5CE6">
        <w:trPr>
          <w:trHeight w:val="288"/>
          <w:jc w:val="center"/>
        </w:trPr>
        <w:tc>
          <w:tcPr>
            <w:tcW w:w="1705" w:type="dxa"/>
            <w:vAlign w:val="center"/>
          </w:tcPr>
          <w:p w14:paraId="2412D1BE" w14:textId="77777777" w:rsidR="00B66704" w:rsidRPr="003D5CE6" w:rsidRDefault="00B66704" w:rsidP="00E850AC">
            <w:pPr>
              <w:rPr>
                <w:rFonts w:ascii="Arial" w:hAnsi="Arial"/>
              </w:rPr>
            </w:pPr>
            <w:r w:rsidRPr="003D5CE6">
              <w:rPr>
                <w:rFonts w:ascii="Arial" w:hAnsi="Arial"/>
              </w:rPr>
              <w:t>Functional Cracking</w:t>
            </w:r>
          </w:p>
        </w:tc>
        <w:tc>
          <w:tcPr>
            <w:tcW w:w="3803" w:type="dxa"/>
            <w:vAlign w:val="center"/>
          </w:tcPr>
          <w:p w14:paraId="01053933" w14:textId="0E7D5623" w:rsidR="00B66704" w:rsidRPr="003D5CE6" w:rsidRDefault="00B66704" w:rsidP="00E850AC">
            <w:pPr>
              <w:jc w:val="center"/>
              <w:rPr>
                <w:rFonts w:ascii="Arial" w:hAnsi="Arial"/>
              </w:rPr>
            </w:pPr>
            <w:r w:rsidRPr="003D5CE6">
              <w:rPr>
                <w:rFonts w:ascii="Arial" w:hAnsi="Arial"/>
              </w:rPr>
              <w:t xml:space="preserve">No Distress for that quantity.  Refer to </w:t>
            </w:r>
            <w:hyperlink w:anchor="_Visual_Pavement_Condition" w:history="1">
              <w:r w:rsidRPr="003D5CE6">
                <w:rPr>
                  <w:rStyle w:val="Hyperlink"/>
                  <w:rFonts w:ascii="Arial" w:hAnsi="Arial"/>
                </w:rPr>
                <w:t>Visual Pavement Condition Assessment</w:t>
              </w:r>
            </w:hyperlink>
            <w:hyperlink w:anchor="_Procedure" w:history="1"/>
            <w:r w:rsidRPr="003D5CE6">
              <w:rPr>
                <w:rFonts w:ascii="Arial" w:hAnsi="Arial"/>
              </w:rPr>
              <w:t xml:space="preserve"> for </w:t>
            </w:r>
            <w:r>
              <w:rPr>
                <w:rFonts w:ascii="Arial" w:hAnsi="Arial"/>
                <w:sz w:val="22"/>
              </w:rPr>
              <w:t>C</w:t>
            </w:r>
            <w:r w:rsidR="00317773">
              <w:rPr>
                <w:rFonts w:ascii="Arial" w:hAnsi="Arial"/>
                <w:sz w:val="22"/>
              </w:rPr>
              <w:t>D</w:t>
            </w:r>
            <w:r w:rsidRPr="003D5CE6">
              <w:rPr>
                <w:rFonts w:ascii="Arial" w:hAnsi="Arial"/>
              </w:rPr>
              <w:t xml:space="preserve"> calculation</w:t>
            </w:r>
            <w:r w:rsidR="00E850AC" w:rsidRPr="00A64D54">
              <w:rPr>
                <w:rFonts w:ascii="Arial" w:hAnsi="Arial" w:cs="Arial"/>
              </w:rPr>
              <w:t>.</w:t>
            </w:r>
          </w:p>
        </w:tc>
        <w:tc>
          <w:tcPr>
            <w:tcW w:w="3150" w:type="dxa"/>
            <w:vAlign w:val="center"/>
          </w:tcPr>
          <w:p w14:paraId="406FFE78" w14:textId="795E23F9" w:rsidR="00B66704" w:rsidRPr="003D5CE6" w:rsidRDefault="00B66704" w:rsidP="00E850AC">
            <w:pPr>
              <w:jc w:val="center"/>
              <w:rPr>
                <w:rFonts w:ascii="Arial" w:hAnsi="Arial"/>
              </w:rPr>
            </w:pPr>
            <w:r w:rsidRPr="003D5CE6">
              <w:rPr>
                <w:rFonts w:ascii="Arial" w:hAnsi="Arial"/>
              </w:rPr>
              <w:t xml:space="preserve">No Distress for that quantity.  Refer to </w:t>
            </w:r>
            <w:hyperlink w:anchor="_Visual_Pavement_Condition" w:history="1">
              <w:r w:rsidRPr="003D5CE6">
                <w:rPr>
                  <w:rStyle w:val="Hyperlink"/>
                  <w:rFonts w:ascii="Arial" w:hAnsi="Arial"/>
                </w:rPr>
                <w:t>Visual Pavement Condition Assessment</w:t>
              </w:r>
            </w:hyperlink>
            <w:hyperlink w:anchor="_Procedure" w:history="1"/>
            <w:r w:rsidRPr="003D5CE6">
              <w:rPr>
                <w:rFonts w:ascii="Arial" w:hAnsi="Arial"/>
              </w:rPr>
              <w:t xml:space="preserve"> for </w:t>
            </w:r>
            <w:r>
              <w:rPr>
                <w:rFonts w:ascii="Arial" w:hAnsi="Arial"/>
                <w:sz w:val="22"/>
              </w:rPr>
              <w:t>C</w:t>
            </w:r>
            <w:r w:rsidR="00317773">
              <w:rPr>
                <w:rFonts w:ascii="Arial" w:hAnsi="Arial"/>
                <w:sz w:val="22"/>
              </w:rPr>
              <w:t>D</w:t>
            </w:r>
            <w:r w:rsidRPr="003D5CE6">
              <w:rPr>
                <w:rFonts w:ascii="Arial" w:hAnsi="Arial"/>
              </w:rPr>
              <w:t xml:space="preserve"> calculation</w:t>
            </w:r>
            <w:r w:rsidR="00E850AC" w:rsidRPr="00A64D54">
              <w:rPr>
                <w:rFonts w:ascii="Arial" w:hAnsi="Arial" w:cs="Arial"/>
              </w:rPr>
              <w:t>.</w:t>
            </w:r>
          </w:p>
        </w:tc>
      </w:tr>
      <w:tr w:rsidR="00B66704" w:rsidRPr="00A64D54" w14:paraId="016FF61C" w14:textId="77777777" w:rsidTr="003D5CE6">
        <w:trPr>
          <w:trHeight w:val="288"/>
          <w:jc w:val="center"/>
        </w:trPr>
        <w:tc>
          <w:tcPr>
            <w:tcW w:w="1705" w:type="dxa"/>
            <w:vAlign w:val="center"/>
          </w:tcPr>
          <w:p w14:paraId="4ECB4C55" w14:textId="77777777" w:rsidR="00B66704" w:rsidRPr="003D5CE6" w:rsidRDefault="00B66704" w:rsidP="00E850AC">
            <w:pPr>
              <w:rPr>
                <w:rFonts w:ascii="Arial" w:hAnsi="Arial"/>
              </w:rPr>
            </w:pPr>
            <w:r w:rsidRPr="003D5CE6">
              <w:rPr>
                <w:rFonts w:ascii="Arial" w:hAnsi="Arial"/>
              </w:rPr>
              <w:t>Rutting</w:t>
            </w:r>
          </w:p>
        </w:tc>
        <w:tc>
          <w:tcPr>
            <w:tcW w:w="3803" w:type="dxa"/>
            <w:vAlign w:val="center"/>
          </w:tcPr>
          <w:p w14:paraId="683C497E" w14:textId="77777777" w:rsidR="00B66704" w:rsidRPr="003D5CE6" w:rsidRDefault="00B66704" w:rsidP="00E850AC">
            <w:pPr>
              <w:jc w:val="center"/>
              <w:rPr>
                <w:rFonts w:ascii="Arial" w:hAnsi="Arial"/>
              </w:rPr>
            </w:pPr>
            <w:r w:rsidRPr="003D5CE6">
              <w:rPr>
                <w:rFonts w:ascii="Arial" w:hAnsi="Arial"/>
              </w:rPr>
              <w:t>No effect</w:t>
            </w:r>
          </w:p>
        </w:tc>
        <w:tc>
          <w:tcPr>
            <w:tcW w:w="3150" w:type="dxa"/>
            <w:vAlign w:val="center"/>
          </w:tcPr>
          <w:p w14:paraId="6BDC6733" w14:textId="77777777" w:rsidR="00B66704" w:rsidRPr="003D5CE6" w:rsidRDefault="00B66704" w:rsidP="00E850AC">
            <w:pPr>
              <w:jc w:val="center"/>
              <w:rPr>
                <w:rFonts w:ascii="Arial" w:hAnsi="Arial"/>
              </w:rPr>
            </w:pPr>
            <w:r w:rsidRPr="003D5CE6">
              <w:rPr>
                <w:rFonts w:ascii="Arial" w:hAnsi="Arial"/>
              </w:rPr>
              <w:t>RSL = 50</w:t>
            </w:r>
          </w:p>
        </w:tc>
      </w:tr>
      <w:tr w:rsidR="00B66704" w:rsidRPr="00A64D54" w14:paraId="6A29C795" w14:textId="77777777" w:rsidTr="003D5CE6">
        <w:trPr>
          <w:trHeight w:val="288"/>
          <w:jc w:val="center"/>
        </w:trPr>
        <w:tc>
          <w:tcPr>
            <w:tcW w:w="1705" w:type="dxa"/>
            <w:vAlign w:val="center"/>
          </w:tcPr>
          <w:p w14:paraId="3F4136E9" w14:textId="77777777" w:rsidR="00B66704" w:rsidRPr="003D5CE6" w:rsidRDefault="00B66704" w:rsidP="00E850AC">
            <w:pPr>
              <w:rPr>
                <w:rFonts w:ascii="Arial" w:hAnsi="Arial"/>
              </w:rPr>
            </w:pPr>
            <w:r w:rsidRPr="003D5CE6">
              <w:rPr>
                <w:rFonts w:ascii="Arial" w:hAnsi="Arial"/>
              </w:rPr>
              <w:t>Friction</w:t>
            </w:r>
          </w:p>
        </w:tc>
        <w:tc>
          <w:tcPr>
            <w:tcW w:w="3803" w:type="dxa"/>
            <w:vAlign w:val="center"/>
          </w:tcPr>
          <w:p w14:paraId="43E45EF7" w14:textId="77777777" w:rsidR="00B66704" w:rsidRPr="003D5CE6" w:rsidRDefault="00B66704" w:rsidP="00E850AC">
            <w:pPr>
              <w:jc w:val="center"/>
              <w:rPr>
                <w:rFonts w:ascii="Arial" w:hAnsi="Arial"/>
              </w:rPr>
            </w:pPr>
            <w:r w:rsidRPr="003D5CE6">
              <w:rPr>
                <w:rFonts w:ascii="Arial" w:hAnsi="Arial"/>
              </w:rPr>
              <w:t>No effect</w:t>
            </w:r>
          </w:p>
        </w:tc>
        <w:tc>
          <w:tcPr>
            <w:tcW w:w="3150" w:type="dxa"/>
            <w:vAlign w:val="center"/>
          </w:tcPr>
          <w:p w14:paraId="2B1BF243" w14:textId="394F864D" w:rsidR="00B66704" w:rsidRPr="003D5CE6" w:rsidRDefault="00B66704" w:rsidP="00E850AC">
            <w:pPr>
              <w:jc w:val="center"/>
              <w:rPr>
                <w:rFonts w:ascii="Arial" w:hAnsi="Arial"/>
              </w:rPr>
            </w:pPr>
            <w:r w:rsidRPr="003D5CE6">
              <w:rPr>
                <w:rFonts w:ascii="Arial" w:hAnsi="Arial"/>
              </w:rPr>
              <w:t>R</w:t>
            </w:r>
            <w:r w:rsidR="007205B3">
              <w:rPr>
                <w:rFonts w:ascii="Arial" w:hAnsi="Arial"/>
              </w:rPr>
              <w:t>efer to the last table of 6.01.01.05</w:t>
            </w:r>
          </w:p>
        </w:tc>
      </w:tr>
    </w:tbl>
    <w:p w14:paraId="5FDA97C3" w14:textId="77777777" w:rsidR="002E3FE9" w:rsidRDefault="002E3FE9" w:rsidP="00BE3F24">
      <w:pPr>
        <w:pStyle w:val="Footer"/>
        <w:tabs>
          <w:tab w:val="clear" w:pos="4320"/>
          <w:tab w:val="clear" w:pos="8640"/>
        </w:tabs>
        <w:rPr>
          <w:vertAlign w:val="superscript"/>
        </w:rPr>
      </w:pP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4067"/>
        <w:gridCol w:w="2886"/>
      </w:tblGrid>
      <w:tr w:rsidR="002E3FE9" w:rsidRPr="00A64D54" w14:paraId="07C0A0A9" w14:textId="77777777" w:rsidTr="003D5CE6">
        <w:trPr>
          <w:trHeight w:val="288"/>
          <w:tblHeader/>
          <w:jc w:val="center"/>
        </w:trPr>
        <w:tc>
          <w:tcPr>
            <w:tcW w:w="8658" w:type="dxa"/>
            <w:gridSpan w:val="3"/>
            <w:shd w:val="pct15" w:color="auto" w:fill="FFFFFF"/>
            <w:vAlign w:val="center"/>
          </w:tcPr>
          <w:p w14:paraId="5FFCFE9C" w14:textId="77777777" w:rsidR="002E3FE9" w:rsidRPr="003D5CE6" w:rsidRDefault="002E3FE9" w:rsidP="00BE3F24">
            <w:pPr>
              <w:jc w:val="center"/>
              <w:rPr>
                <w:rFonts w:ascii="Arial" w:hAnsi="Arial"/>
                <w:b/>
              </w:rPr>
            </w:pPr>
            <w:r w:rsidRPr="003D5CE6">
              <w:rPr>
                <w:rFonts w:ascii="Arial" w:hAnsi="Arial"/>
                <w:b/>
              </w:rPr>
              <w:t xml:space="preserve">Pre-Resurfacing Repairs for </w:t>
            </w:r>
            <w:smartTag w:uri="urn:schemas-microsoft-com:office:smarttags" w:element="stockticker">
              <w:r w:rsidRPr="003D5CE6">
                <w:rPr>
                  <w:rFonts w:ascii="Arial" w:hAnsi="Arial"/>
                  <w:b/>
                </w:rPr>
                <w:t>PCC-</w:t>
              </w:r>
            </w:smartTag>
            <w:r w:rsidRPr="003D5CE6">
              <w:rPr>
                <w:rFonts w:ascii="Arial" w:hAnsi="Arial"/>
                <w:b/>
              </w:rPr>
              <w:t>Surfaced Pavements</w:t>
            </w:r>
          </w:p>
        </w:tc>
      </w:tr>
      <w:tr w:rsidR="002E3FE9" w:rsidRPr="00A64D54" w14:paraId="1D9AD7F3" w14:textId="77777777" w:rsidTr="003D5CE6">
        <w:trPr>
          <w:trHeight w:val="288"/>
          <w:tblHeader/>
          <w:jc w:val="center"/>
        </w:trPr>
        <w:tc>
          <w:tcPr>
            <w:tcW w:w="1705" w:type="dxa"/>
            <w:shd w:val="pct15" w:color="auto" w:fill="FFFFFF"/>
            <w:vAlign w:val="center"/>
          </w:tcPr>
          <w:p w14:paraId="03E01BC9" w14:textId="77777777" w:rsidR="002E3FE9" w:rsidRPr="003D5CE6" w:rsidRDefault="002E3FE9" w:rsidP="00BE3F24">
            <w:pPr>
              <w:jc w:val="center"/>
              <w:rPr>
                <w:rFonts w:ascii="Arial" w:hAnsi="Arial"/>
                <w:b/>
              </w:rPr>
            </w:pPr>
            <w:r w:rsidRPr="003D5CE6">
              <w:rPr>
                <w:rFonts w:ascii="Arial" w:hAnsi="Arial"/>
                <w:b/>
              </w:rPr>
              <w:t>Distress</w:t>
            </w:r>
          </w:p>
        </w:tc>
        <w:tc>
          <w:tcPr>
            <w:tcW w:w="4067" w:type="dxa"/>
            <w:shd w:val="pct15" w:color="auto" w:fill="FFFFFF"/>
            <w:vAlign w:val="center"/>
          </w:tcPr>
          <w:p w14:paraId="47969DD3" w14:textId="77777777" w:rsidR="002E3FE9" w:rsidRPr="003D5CE6" w:rsidRDefault="002E3FE9" w:rsidP="00BE3F24">
            <w:pPr>
              <w:jc w:val="center"/>
              <w:rPr>
                <w:rFonts w:ascii="Arial" w:hAnsi="Arial"/>
                <w:b/>
              </w:rPr>
            </w:pPr>
            <w:r w:rsidRPr="003D5CE6">
              <w:rPr>
                <w:rFonts w:ascii="Arial" w:hAnsi="Arial"/>
                <w:b/>
              </w:rPr>
              <w:t>Patch/Spall Repair</w:t>
            </w:r>
          </w:p>
        </w:tc>
        <w:tc>
          <w:tcPr>
            <w:tcW w:w="2886" w:type="dxa"/>
            <w:shd w:val="pct15" w:color="auto" w:fill="FFFFFF"/>
            <w:vAlign w:val="center"/>
          </w:tcPr>
          <w:p w14:paraId="78317D24" w14:textId="77777777" w:rsidR="002E3FE9" w:rsidRPr="003D5CE6" w:rsidRDefault="002E3FE9" w:rsidP="00BE3F24">
            <w:pPr>
              <w:jc w:val="center"/>
              <w:rPr>
                <w:rFonts w:ascii="Arial" w:hAnsi="Arial"/>
                <w:b/>
              </w:rPr>
            </w:pPr>
            <w:r w:rsidRPr="003D5CE6">
              <w:rPr>
                <w:rFonts w:ascii="Arial" w:hAnsi="Arial"/>
                <w:b/>
              </w:rPr>
              <w:t>Surface Removal</w:t>
            </w:r>
          </w:p>
        </w:tc>
      </w:tr>
      <w:tr w:rsidR="00406302" w:rsidRPr="00A64D54" w14:paraId="18C23615" w14:textId="77777777" w:rsidTr="003D5CE6">
        <w:trPr>
          <w:trHeight w:val="288"/>
          <w:jc w:val="center"/>
        </w:trPr>
        <w:tc>
          <w:tcPr>
            <w:tcW w:w="1705" w:type="dxa"/>
            <w:vAlign w:val="center"/>
          </w:tcPr>
          <w:p w14:paraId="585B4125" w14:textId="77777777" w:rsidR="00406302" w:rsidRPr="003D5CE6" w:rsidRDefault="00406302" w:rsidP="00BE3F24">
            <w:pPr>
              <w:rPr>
                <w:rFonts w:ascii="Arial" w:hAnsi="Arial"/>
              </w:rPr>
            </w:pPr>
            <w:r w:rsidRPr="003D5CE6">
              <w:rPr>
                <w:rFonts w:ascii="Arial" w:hAnsi="Arial"/>
              </w:rPr>
              <w:t>Ride Quality</w:t>
            </w:r>
          </w:p>
        </w:tc>
        <w:tc>
          <w:tcPr>
            <w:tcW w:w="4067" w:type="dxa"/>
            <w:vAlign w:val="center"/>
          </w:tcPr>
          <w:p w14:paraId="3FDF074D" w14:textId="77777777" w:rsidR="00406302" w:rsidRPr="003D5CE6" w:rsidRDefault="00406302" w:rsidP="00BE3F24">
            <w:pPr>
              <w:jc w:val="center"/>
              <w:rPr>
                <w:rFonts w:ascii="Arial" w:hAnsi="Arial"/>
              </w:rPr>
            </w:pPr>
            <w:r w:rsidRPr="003D5CE6">
              <w:rPr>
                <w:rFonts w:ascii="Arial" w:hAnsi="Arial"/>
              </w:rPr>
              <w:t>No effect</w:t>
            </w:r>
          </w:p>
        </w:tc>
        <w:tc>
          <w:tcPr>
            <w:tcW w:w="2886" w:type="dxa"/>
            <w:vAlign w:val="center"/>
          </w:tcPr>
          <w:p w14:paraId="6A27ED29" w14:textId="1C5D2FB6" w:rsidR="00406302" w:rsidRPr="003D5CE6" w:rsidRDefault="00406302" w:rsidP="00551CF5">
            <w:pPr>
              <w:jc w:val="center"/>
              <w:rPr>
                <w:rFonts w:ascii="Arial" w:hAnsi="Arial"/>
              </w:rPr>
            </w:pPr>
            <w:r w:rsidRPr="003D5CE6">
              <w:rPr>
                <w:rFonts w:ascii="Arial" w:hAnsi="Arial"/>
              </w:rPr>
              <w:t xml:space="preserve">See </w:t>
            </w:r>
            <w:hyperlink w:anchor="_Forms,_Spreadsheets_&amp;" w:history="1">
              <w:r w:rsidRPr="003D5CE6">
                <w:rPr>
                  <w:rStyle w:val="Hyperlink"/>
                  <w:rFonts w:ascii="Arial" w:hAnsi="Arial"/>
                </w:rPr>
                <w:t>Forms, Spreadsheets &amp; Guidelines</w:t>
              </w:r>
            </w:hyperlink>
            <w:r w:rsidRPr="003D5CE6">
              <w:rPr>
                <w:rFonts w:ascii="Arial" w:hAnsi="Arial"/>
              </w:rPr>
              <w:t xml:space="preserve"> for PD-11</w:t>
            </w:r>
            <w:r w:rsidR="00E850AC" w:rsidRPr="00A64D54">
              <w:rPr>
                <w:rFonts w:ascii="Arial" w:hAnsi="Arial" w:cs="Arial"/>
              </w:rPr>
              <w:t>.</w:t>
            </w:r>
          </w:p>
        </w:tc>
      </w:tr>
      <w:tr w:rsidR="00406302" w:rsidRPr="00A64D54" w14:paraId="6050CB5D" w14:textId="77777777" w:rsidTr="003D5CE6">
        <w:trPr>
          <w:trHeight w:val="288"/>
          <w:jc w:val="center"/>
        </w:trPr>
        <w:tc>
          <w:tcPr>
            <w:tcW w:w="1705" w:type="dxa"/>
            <w:vAlign w:val="center"/>
          </w:tcPr>
          <w:p w14:paraId="6DA18497" w14:textId="77777777" w:rsidR="00406302" w:rsidRPr="003D5CE6" w:rsidRDefault="00406302" w:rsidP="00BE3F24">
            <w:pPr>
              <w:rPr>
                <w:rFonts w:ascii="Arial" w:hAnsi="Arial"/>
              </w:rPr>
            </w:pPr>
            <w:r w:rsidRPr="003D5CE6">
              <w:rPr>
                <w:rFonts w:ascii="Arial" w:hAnsi="Arial"/>
              </w:rPr>
              <w:t>Friction</w:t>
            </w:r>
          </w:p>
        </w:tc>
        <w:tc>
          <w:tcPr>
            <w:tcW w:w="4067" w:type="dxa"/>
            <w:vAlign w:val="center"/>
          </w:tcPr>
          <w:p w14:paraId="68688133" w14:textId="77777777" w:rsidR="00406302" w:rsidRPr="003D5CE6" w:rsidRDefault="00406302" w:rsidP="00BE3F24">
            <w:pPr>
              <w:jc w:val="center"/>
              <w:rPr>
                <w:rFonts w:ascii="Arial" w:hAnsi="Arial"/>
              </w:rPr>
            </w:pPr>
            <w:r w:rsidRPr="003D5CE6">
              <w:rPr>
                <w:rFonts w:ascii="Arial" w:hAnsi="Arial"/>
              </w:rPr>
              <w:t>No effect</w:t>
            </w:r>
          </w:p>
        </w:tc>
        <w:tc>
          <w:tcPr>
            <w:tcW w:w="2886" w:type="dxa"/>
            <w:vAlign w:val="center"/>
          </w:tcPr>
          <w:p w14:paraId="0C31748C" w14:textId="06EE86A6" w:rsidR="00406302" w:rsidRPr="003D5CE6" w:rsidRDefault="007205B3" w:rsidP="00BE3F24">
            <w:pPr>
              <w:jc w:val="center"/>
              <w:rPr>
                <w:rFonts w:ascii="Arial" w:hAnsi="Arial"/>
              </w:rPr>
            </w:pPr>
            <w:r w:rsidRPr="003D5CE6">
              <w:rPr>
                <w:rFonts w:ascii="Arial" w:hAnsi="Arial"/>
              </w:rPr>
              <w:t>R</w:t>
            </w:r>
            <w:r>
              <w:rPr>
                <w:rFonts w:ascii="Arial" w:hAnsi="Arial"/>
              </w:rPr>
              <w:t>efer to the last table of 6.01.01.05</w:t>
            </w:r>
          </w:p>
        </w:tc>
      </w:tr>
    </w:tbl>
    <w:p w14:paraId="1696AAF2" w14:textId="77777777" w:rsidR="002E3FE9" w:rsidRDefault="002E3FE9" w:rsidP="00BE3F24">
      <w:pPr>
        <w:pStyle w:val="BodyText"/>
        <w:sectPr w:rsidR="002E3FE9" w:rsidSect="008445BF">
          <w:headerReference w:type="default" r:id="rId228"/>
          <w:footerReference w:type="default" r:id="rId229"/>
          <w:pgSz w:w="12240" w:h="15840" w:code="1"/>
          <w:pgMar w:top="1440" w:right="1800" w:bottom="1440" w:left="1800" w:header="720" w:footer="720" w:gutter="0"/>
          <w:pgNumType w:chapStyle="1"/>
          <w:cols w:space="720"/>
          <w:docGrid w:linePitch="272"/>
        </w:sectPr>
      </w:pPr>
      <w:bookmarkStart w:id="465" w:name="_Toc338072380"/>
      <w:bookmarkStart w:id="466" w:name="_Toc338142685"/>
      <w:bookmarkStart w:id="467" w:name="_Toc338229485"/>
      <w:bookmarkStart w:id="468" w:name="_Toc338231282"/>
      <w:bookmarkStart w:id="469" w:name="_Toc338238475"/>
      <w:bookmarkStart w:id="470" w:name="_Toc338249467"/>
      <w:bookmarkStart w:id="471" w:name="_Toc338251139"/>
      <w:bookmarkStart w:id="472" w:name="_Toc338411486"/>
      <w:bookmarkStart w:id="473" w:name="_Toc338420045"/>
      <w:bookmarkStart w:id="474" w:name="_Toc338423427"/>
      <w:bookmarkStart w:id="475" w:name="_Toc338424953"/>
      <w:bookmarkStart w:id="476" w:name="_Toc338678111"/>
      <w:bookmarkStart w:id="477" w:name="_Toc338678592"/>
      <w:bookmarkStart w:id="478" w:name="_Toc338679070"/>
      <w:bookmarkStart w:id="479" w:name="_Toc338767539"/>
      <w:bookmarkStart w:id="480" w:name="_Toc339540806"/>
      <w:bookmarkStart w:id="481" w:name="_Toc33987958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2D28B891" w14:textId="69F9E724" w:rsidR="00DF4794" w:rsidRDefault="002744D8" w:rsidP="00172E64">
      <w:pPr>
        <w:pStyle w:val="Heading2"/>
        <w:numPr>
          <w:ilvl w:val="1"/>
          <w:numId w:val="184"/>
        </w:numPr>
        <w:ind w:left="0" w:firstLine="0"/>
      </w:pPr>
      <w:bookmarkStart w:id="482" w:name="_Pavement_Preservation_&amp;"/>
      <w:bookmarkStart w:id="483" w:name="_Toc479160109"/>
      <w:bookmarkStart w:id="484" w:name="_Toc514057997"/>
      <w:bookmarkStart w:id="485" w:name="_Toc194932393"/>
      <w:bookmarkEnd w:id="482"/>
      <w:r>
        <w:lastRenderedPageBreak/>
        <w:t xml:space="preserve">Pavement </w:t>
      </w:r>
      <w:r w:rsidR="002E3FE9">
        <w:t xml:space="preserve">Preservation &amp; </w:t>
      </w:r>
      <w:r>
        <w:t>Rehabilitation Design</w:t>
      </w:r>
      <w:bookmarkEnd w:id="483"/>
      <w:bookmarkEnd w:id="484"/>
      <w:bookmarkEnd w:id="485"/>
    </w:p>
    <w:p w14:paraId="0E3D646D" w14:textId="77777777" w:rsidR="00DF4794" w:rsidRDefault="00DF4794" w:rsidP="00DF4794">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Mechanistic-Empirical_Anal" w:history="1">
        <w:r w:rsidRPr="00DF4794">
          <w:rPr>
            <w:rStyle w:val="Hyperlink"/>
            <w:rFonts w:ascii="Arial" w:hAnsi="Arial" w:cs="Arial"/>
            <w:bCs/>
            <w:sz w:val="16"/>
            <w:szCs w:val="16"/>
          </w:rPr>
          <w:t>Pavement Mechanistic-Empirical Analysis</w:t>
        </w:r>
      </w:hyperlink>
    </w:p>
    <w:p w14:paraId="64426397" w14:textId="77777777" w:rsidR="00EB10B4" w:rsidRDefault="00EB10B4" w:rsidP="00EB10B4">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esign_Input_Policies_1" w:history="1">
        <w:r w:rsidRPr="002D3A2A">
          <w:rPr>
            <w:rStyle w:val="Hyperlink"/>
            <w:rFonts w:ascii="Arial" w:hAnsi="Arial" w:cs="Arial"/>
            <w:bCs/>
            <w:sz w:val="16"/>
            <w:szCs w:val="16"/>
          </w:rPr>
          <w:t>Design Input Policies</w:t>
        </w:r>
      </w:hyperlink>
    </w:p>
    <w:p w14:paraId="61F38852" w14:textId="77777777" w:rsidR="003E40B5" w:rsidRDefault="003E40B5" w:rsidP="003E40B5">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Type_Selection" w:history="1">
        <w:r w:rsidRPr="003E40B5">
          <w:rPr>
            <w:rStyle w:val="Hyperlink"/>
            <w:rFonts w:ascii="Arial" w:hAnsi="Arial" w:cs="Arial"/>
            <w:bCs/>
            <w:sz w:val="16"/>
            <w:szCs w:val="16"/>
          </w:rPr>
          <w:t>Pavement Type Selection</w:t>
        </w:r>
      </w:hyperlink>
    </w:p>
    <w:p w14:paraId="56C1A447" w14:textId="77777777" w:rsidR="003A343F" w:rsidRDefault="003A343F" w:rsidP="003A343F">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reliminary_Pavement_Recommendation" w:history="1">
        <w:r w:rsidRPr="003A343F">
          <w:rPr>
            <w:rStyle w:val="Hyperlink"/>
            <w:rFonts w:ascii="Arial" w:hAnsi="Arial" w:cs="Arial"/>
            <w:bCs/>
            <w:sz w:val="16"/>
            <w:szCs w:val="16"/>
          </w:rPr>
          <w:t>Preliminary Pavement Recommendation</w:t>
        </w:r>
      </w:hyperlink>
    </w:p>
    <w:p w14:paraId="5DC8269C" w14:textId="77777777" w:rsidR="00707989" w:rsidRPr="008F604D" w:rsidRDefault="00707989" w:rsidP="003E40B5">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627E214F" w14:textId="77777777" w:rsidR="002744D8" w:rsidRPr="007227EC" w:rsidRDefault="002744D8" w:rsidP="00172E64">
      <w:pPr>
        <w:pStyle w:val="Heading3"/>
        <w:numPr>
          <w:ilvl w:val="2"/>
          <w:numId w:val="184"/>
        </w:numPr>
        <w:ind w:left="0" w:firstLine="0"/>
      </w:pPr>
      <w:r w:rsidRPr="007227EC">
        <w:t>Purpose</w:t>
      </w:r>
    </w:p>
    <w:p w14:paraId="1BD0D075" w14:textId="77777777" w:rsidR="002744D8" w:rsidRPr="007227EC" w:rsidRDefault="002744D8" w:rsidP="00BE3F24">
      <w:pPr>
        <w:pStyle w:val="BodyText"/>
      </w:pPr>
      <w:r w:rsidRPr="007227EC">
        <w:t>Pavement rehabilitation designs are conducted to:</w:t>
      </w:r>
    </w:p>
    <w:p w14:paraId="34D9DC8A" w14:textId="77777777" w:rsidR="002744D8" w:rsidRPr="00A42B5F" w:rsidRDefault="002744D8" w:rsidP="00172E64">
      <w:pPr>
        <w:pStyle w:val="ListParagraph"/>
        <w:numPr>
          <w:ilvl w:val="0"/>
          <w:numId w:val="84"/>
        </w:numPr>
        <w:ind w:left="720" w:hanging="720"/>
        <w:jc w:val="both"/>
      </w:pPr>
      <w:r w:rsidRPr="000A240C">
        <w:rPr>
          <w:rFonts w:ascii="Arial" w:hAnsi="Arial"/>
          <w:sz w:val="22"/>
        </w:rPr>
        <w:t>Identify the exi</w:t>
      </w:r>
      <w:r w:rsidR="00852CFE" w:rsidRPr="000A240C">
        <w:rPr>
          <w:rFonts w:ascii="Arial" w:hAnsi="Arial"/>
          <w:sz w:val="22"/>
        </w:rPr>
        <w:t>s</w:t>
      </w:r>
      <w:r w:rsidRPr="000A240C">
        <w:rPr>
          <w:rFonts w:ascii="Arial" w:hAnsi="Arial"/>
          <w:sz w:val="22"/>
        </w:rPr>
        <w:t>ting condition of the pavement</w:t>
      </w:r>
    </w:p>
    <w:p w14:paraId="24EE7147" w14:textId="77777777" w:rsidR="002744D8" w:rsidRPr="00A42B5F" w:rsidRDefault="002744D8" w:rsidP="00172E64">
      <w:pPr>
        <w:pStyle w:val="ListParagraph"/>
        <w:numPr>
          <w:ilvl w:val="0"/>
          <w:numId w:val="84"/>
        </w:numPr>
        <w:ind w:left="720" w:hanging="720"/>
        <w:jc w:val="both"/>
      </w:pPr>
      <w:r w:rsidRPr="000A240C">
        <w:rPr>
          <w:rFonts w:ascii="Arial" w:hAnsi="Arial"/>
          <w:sz w:val="22"/>
        </w:rPr>
        <w:t>Identify the deterioration trend in the existing pavement</w:t>
      </w:r>
    </w:p>
    <w:p w14:paraId="6A7C6DC8" w14:textId="77777777" w:rsidR="002744D8" w:rsidRPr="00A42B5F" w:rsidRDefault="002744D8" w:rsidP="00172E64">
      <w:pPr>
        <w:pStyle w:val="ListParagraph"/>
        <w:numPr>
          <w:ilvl w:val="0"/>
          <w:numId w:val="84"/>
        </w:numPr>
        <w:ind w:left="720" w:hanging="720"/>
        <w:jc w:val="both"/>
      </w:pPr>
      <w:r w:rsidRPr="000A240C">
        <w:rPr>
          <w:rFonts w:ascii="Arial" w:hAnsi="Arial"/>
          <w:sz w:val="22"/>
        </w:rPr>
        <w:t>Determine the future structural requirements of the pavement</w:t>
      </w:r>
    </w:p>
    <w:p w14:paraId="428C8C50" w14:textId="77777777" w:rsidR="002744D8" w:rsidRPr="00A42B5F" w:rsidRDefault="002744D8" w:rsidP="00172E64">
      <w:pPr>
        <w:pStyle w:val="ListParagraph"/>
        <w:numPr>
          <w:ilvl w:val="0"/>
          <w:numId w:val="84"/>
        </w:numPr>
        <w:ind w:left="720" w:hanging="720"/>
        <w:jc w:val="both"/>
      </w:pPr>
      <w:r w:rsidRPr="000A240C">
        <w:rPr>
          <w:rFonts w:ascii="Arial" w:hAnsi="Arial"/>
          <w:sz w:val="22"/>
        </w:rPr>
        <w:t>Determine the future functional requirements of the pavement</w:t>
      </w:r>
    </w:p>
    <w:p w14:paraId="24EFC02A" w14:textId="77777777" w:rsidR="002744D8" w:rsidRPr="00A42B5F" w:rsidRDefault="002744D8" w:rsidP="00172E64">
      <w:pPr>
        <w:pStyle w:val="ListParagraph"/>
        <w:numPr>
          <w:ilvl w:val="0"/>
          <w:numId w:val="84"/>
        </w:numPr>
        <w:ind w:left="720" w:hanging="720"/>
        <w:jc w:val="both"/>
      </w:pPr>
      <w:r w:rsidRPr="000A240C">
        <w:rPr>
          <w:rFonts w:ascii="Arial" w:hAnsi="Arial"/>
          <w:sz w:val="22"/>
        </w:rPr>
        <w:t>Determine the necessary improvements to the existing pavement</w:t>
      </w:r>
    </w:p>
    <w:p w14:paraId="1CABE2B4" w14:textId="77777777" w:rsidR="002744D8" w:rsidRPr="00A42B5F" w:rsidRDefault="002744D8" w:rsidP="00172E64">
      <w:pPr>
        <w:pStyle w:val="ListParagraph"/>
        <w:numPr>
          <w:ilvl w:val="0"/>
          <w:numId w:val="84"/>
        </w:numPr>
        <w:ind w:left="720" w:hanging="720"/>
        <w:jc w:val="both"/>
      </w:pPr>
      <w:r w:rsidRPr="000A240C">
        <w:rPr>
          <w:rFonts w:ascii="Arial" w:hAnsi="Arial"/>
          <w:sz w:val="22"/>
        </w:rPr>
        <w:t>Identify the material requirements to improve the pavement</w:t>
      </w:r>
    </w:p>
    <w:p w14:paraId="0924C5E5" w14:textId="77777777" w:rsidR="00ED4CEC" w:rsidRPr="007227EC" w:rsidRDefault="00ED4CEC" w:rsidP="00E71B93">
      <w:pPr>
        <w:pStyle w:val="ListBullet"/>
      </w:pPr>
    </w:p>
    <w:p w14:paraId="62C8A600" w14:textId="4D8C8DD8" w:rsidR="00ED4CEC" w:rsidRPr="007227EC" w:rsidRDefault="00ED4CEC" w:rsidP="00BE3F24">
      <w:pPr>
        <w:jc w:val="both"/>
        <w:rPr>
          <w:rFonts w:ascii="Arial" w:hAnsi="Arial"/>
          <w:sz w:val="22"/>
        </w:rPr>
      </w:pPr>
      <w:r w:rsidRPr="007227EC">
        <w:rPr>
          <w:rFonts w:ascii="Arial" w:hAnsi="Arial"/>
          <w:sz w:val="22"/>
        </w:rPr>
        <w:t>Historically, the Maryland State Highway Administration (</w:t>
      </w:r>
      <w:r w:rsidR="008C7023">
        <w:rPr>
          <w:rFonts w:ascii="Arial" w:hAnsi="Arial"/>
          <w:sz w:val="22"/>
        </w:rPr>
        <w:t>MDOT-SHA</w:t>
      </w:r>
      <w:r w:rsidRPr="007227EC">
        <w:rPr>
          <w:rFonts w:ascii="Arial" w:hAnsi="Arial"/>
          <w:sz w:val="22"/>
        </w:rPr>
        <w:t>)</w:t>
      </w:r>
      <w:r w:rsidR="00692DB3">
        <w:rPr>
          <w:rFonts w:ascii="Arial" w:hAnsi="Arial"/>
          <w:sz w:val="22"/>
        </w:rPr>
        <w:t xml:space="preserve"> </w:t>
      </w:r>
      <w:r w:rsidRPr="007227EC">
        <w:rPr>
          <w:rFonts w:ascii="Arial" w:hAnsi="Arial"/>
          <w:sz w:val="22"/>
        </w:rPr>
        <w:t xml:space="preserve">has relied almost exclusively upon rehabilitation strategies to maintain their pavement system.  While rehabilitation is a valid strategy, it is not necessarily the most cost-effective strategy; quite often, the more cost-effective treatments to maintain the pavement system are pavement preservation treatments. Pavement preservation is an important facet of maintaining </w:t>
      </w:r>
      <w:r w:rsidR="008C7023">
        <w:rPr>
          <w:rFonts w:ascii="Arial" w:hAnsi="Arial"/>
          <w:sz w:val="22"/>
        </w:rPr>
        <w:t>MDOT-SHA</w:t>
      </w:r>
      <w:r w:rsidRPr="007227EC">
        <w:rPr>
          <w:rFonts w:ascii="Arial" w:hAnsi="Arial"/>
          <w:sz w:val="22"/>
        </w:rPr>
        <w:t>’s roadways.</w:t>
      </w:r>
    </w:p>
    <w:p w14:paraId="4695369A" w14:textId="77777777" w:rsidR="00ED4CEC" w:rsidRDefault="00ED4CEC" w:rsidP="00BE3F24">
      <w:pPr>
        <w:jc w:val="both"/>
        <w:rPr>
          <w:rFonts w:ascii="Arial" w:hAnsi="Arial"/>
          <w:sz w:val="22"/>
          <w:highlight w:val="yellow"/>
        </w:rPr>
      </w:pPr>
    </w:p>
    <w:p w14:paraId="655C7B4C" w14:textId="77777777" w:rsidR="007227EC" w:rsidRDefault="007227EC" w:rsidP="007227EC">
      <w:pPr>
        <w:jc w:val="both"/>
        <w:rPr>
          <w:rFonts w:ascii="Arial" w:eastAsia="Arial" w:hAnsi="Arial" w:cs="Arial"/>
        </w:rPr>
      </w:pPr>
      <w:r>
        <w:rPr>
          <w:rFonts w:ascii="Arial" w:eastAsia="Arial" w:hAnsi="Arial" w:cs="Arial"/>
          <w:sz w:val="22"/>
        </w:rPr>
        <w:t xml:space="preserve">However, no current AASHTO methodology is geared towards preservation.  The purpose of this section is to provide general guidance on the selection of pavement preservation and rehabilitation treatments by analyzing and designing for structural and functional requirements using a combination of methodologies.  </w:t>
      </w:r>
    </w:p>
    <w:p w14:paraId="27F30C25" w14:textId="77777777" w:rsidR="007227EC" w:rsidRDefault="007227EC" w:rsidP="007227EC">
      <w:pPr>
        <w:jc w:val="both"/>
        <w:rPr>
          <w:rFonts w:ascii="Arial" w:eastAsia="Arial" w:hAnsi="Arial" w:cs="Arial"/>
        </w:rPr>
      </w:pPr>
    </w:p>
    <w:p w14:paraId="3225B2BF" w14:textId="1F088F75" w:rsidR="007227EC" w:rsidRPr="00963188" w:rsidRDefault="007227EC" w:rsidP="007227EC">
      <w:pPr>
        <w:jc w:val="both"/>
        <w:rPr>
          <w:rFonts w:ascii="Arial" w:eastAsia="Arial" w:hAnsi="Arial" w:cs="Arial"/>
        </w:rPr>
      </w:pPr>
      <w:r>
        <w:rPr>
          <w:rFonts w:ascii="Arial" w:eastAsia="Arial" w:hAnsi="Arial" w:cs="Arial"/>
          <w:sz w:val="22"/>
        </w:rPr>
        <w:t>This section will assist in determining “the right fix for the right road at the right time” when used in conjunction with network-level and project</w:t>
      </w:r>
      <w:r w:rsidR="00692DB3">
        <w:rPr>
          <w:rFonts w:ascii="Arial" w:eastAsia="Arial" w:hAnsi="Arial" w:cs="Arial"/>
          <w:sz w:val="22"/>
        </w:rPr>
        <w:t>-</w:t>
      </w:r>
      <w:r>
        <w:rPr>
          <w:rFonts w:ascii="Arial" w:eastAsia="Arial" w:hAnsi="Arial" w:cs="Arial"/>
          <w:sz w:val="22"/>
        </w:rPr>
        <w:t>specific data.  Step-by-step instructions on determining treatment options are provided.  At the end of the step-by-step process, many treatment options will be available, and ultimately the final treatment option(s) should be d</w:t>
      </w:r>
      <w:r w:rsidRPr="00963188">
        <w:rPr>
          <w:rFonts w:ascii="Arial" w:eastAsia="Arial" w:hAnsi="Arial" w:cs="Arial"/>
          <w:sz w:val="22"/>
        </w:rPr>
        <w:t xml:space="preserve">etermined in a partnership between the </w:t>
      </w:r>
      <w:r w:rsidR="00692DB3">
        <w:rPr>
          <w:rFonts w:ascii="Arial" w:eastAsia="Arial" w:hAnsi="Arial" w:cs="Arial"/>
          <w:sz w:val="22"/>
        </w:rPr>
        <w:t>D</w:t>
      </w:r>
      <w:r w:rsidRPr="00963188">
        <w:rPr>
          <w:rFonts w:ascii="Arial" w:eastAsia="Arial" w:hAnsi="Arial" w:cs="Arial"/>
          <w:sz w:val="22"/>
        </w:rPr>
        <w:t>istricts and PAGD.</w:t>
      </w:r>
    </w:p>
    <w:p w14:paraId="6B4711EA" w14:textId="77777777" w:rsidR="002744D8" w:rsidRPr="00963188" w:rsidRDefault="002744D8" w:rsidP="00172E64">
      <w:pPr>
        <w:pStyle w:val="Heading3"/>
        <w:numPr>
          <w:ilvl w:val="2"/>
          <w:numId w:val="184"/>
        </w:numPr>
        <w:ind w:left="0" w:firstLine="0"/>
      </w:pPr>
      <w:r w:rsidRPr="00963188">
        <w:t>Resource Requirements</w:t>
      </w:r>
    </w:p>
    <w:p w14:paraId="2087379E" w14:textId="77777777" w:rsidR="002744D8" w:rsidRPr="00963188" w:rsidRDefault="002744D8" w:rsidP="000A240C">
      <w:pPr>
        <w:pStyle w:val="BodyText"/>
        <w:jc w:val="both"/>
      </w:pPr>
      <w:r w:rsidRPr="00963188">
        <w:t xml:space="preserve">The pavement </w:t>
      </w:r>
      <w:r w:rsidR="007227EC" w:rsidRPr="00963188">
        <w:t>preservation or rehabili</w:t>
      </w:r>
      <w:r w:rsidRPr="00963188">
        <w:t>tation design procedure documented below requires the following staffing needs for a typical job:</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2"/>
        <w:gridCol w:w="2168"/>
        <w:gridCol w:w="1620"/>
        <w:gridCol w:w="1710"/>
      </w:tblGrid>
      <w:tr w:rsidR="00115674" w:rsidRPr="00963188" w14:paraId="157ED13E" w14:textId="77777777" w:rsidTr="00692DB3">
        <w:trPr>
          <w:trHeight w:val="288"/>
          <w:jc w:val="center"/>
        </w:trPr>
        <w:tc>
          <w:tcPr>
            <w:tcW w:w="2962" w:type="dxa"/>
            <w:shd w:val="pct15" w:color="auto" w:fill="FFFFFF"/>
            <w:vAlign w:val="center"/>
          </w:tcPr>
          <w:p w14:paraId="7E6D7ABE" w14:textId="77777777" w:rsidR="002744D8" w:rsidRPr="00963188" w:rsidRDefault="002744D8" w:rsidP="00BE3F24">
            <w:pPr>
              <w:jc w:val="center"/>
              <w:rPr>
                <w:rFonts w:ascii="Arial" w:hAnsi="Arial"/>
                <w:b/>
              </w:rPr>
            </w:pPr>
            <w:r w:rsidRPr="00963188">
              <w:rPr>
                <w:rFonts w:ascii="Arial" w:hAnsi="Arial"/>
                <w:b/>
              </w:rPr>
              <w:t>Position</w:t>
            </w:r>
          </w:p>
        </w:tc>
        <w:tc>
          <w:tcPr>
            <w:tcW w:w="2168" w:type="dxa"/>
            <w:shd w:val="pct15" w:color="auto" w:fill="FFFFFF"/>
            <w:vAlign w:val="center"/>
          </w:tcPr>
          <w:p w14:paraId="490ABCC4" w14:textId="77777777" w:rsidR="002744D8" w:rsidRPr="00963188" w:rsidRDefault="002744D8" w:rsidP="00BE3F24">
            <w:pPr>
              <w:jc w:val="center"/>
              <w:rPr>
                <w:rFonts w:ascii="Arial" w:hAnsi="Arial"/>
                <w:b/>
              </w:rPr>
            </w:pPr>
            <w:r w:rsidRPr="00963188">
              <w:rPr>
                <w:rFonts w:ascii="Arial" w:hAnsi="Arial"/>
                <w:b/>
              </w:rPr>
              <w:t>Function</w:t>
            </w:r>
          </w:p>
        </w:tc>
        <w:tc>
          <w:tcPr>
            <w:tcW w:w="1620" w:type="dxa"/>
            <w:shd w:val="pct15" w:color="auto" w:fill="FFFFFF"/>
            <w:vAlign w:val="center"/>
          </w:tcPr>
          <w:p w14:paraId="3BF87ADA" w14:textId="77777777" w:rsidR="002744D8" w:rsidRPr="00963188" w:rsidRDefault="002744D8" w:rsidP="00BE3F24">
            <w:pPr>
              <w:jc w:val="center"/>
              <w:rPr>
                <w:rFonts w:ascii="Arial" w:hAnsi="Arial"/>
                <w:b/>
              </w:rPr>
            </w:pPr>
            <w:r w:rsidRPr="00963188">
              <w:rPr>
                <w:rFonts w:ascii="Arial" w:hAnsi="Arial"/>
                <w:b/>
              </w:rPr>
              <w:t>Resources</w:t>
            </w:r>
          </w:p>
        </w:tc>
        <w:tc>
          <w:tcPr>
            <w:tcW w:w="1710" w:type="dxa"/>
            <w:shd w:val="pct15" w:color="auto" w:fill="FFFFFF"/>
            <w:vAlign w:val="center"/>
          </w:tcPr>
          <w:p w14:paraId="468DDA42" w14:textId="77777777" w:rsidR="002744D8" w:rsidRPr="00963188" w:rsidRDefault="002744D8" w:rsidP="00BE3F24">
            <w:pPr>
              <w:jc w:val="center"/>
              <w:rPr>
                <w:rFonts w:ascii="Arial" w:hAnsi="Arial"/>
                <w:b/>
              </w:rPr>
            </w:pPr>
            <w:r w:rsidRPr="00963188">
              <w:rPr>
                <w:rFonts w:ascii="Arial" w:hAnsi="Arial"/>
                <w:b/>
              </w:rPr>
              <w:t>Effort Level</w:t>
            </w:r>
          </w:p>
          <w:p w14:paraId="4AFAE061" w14:textId="77777777" w:rsidR="002744D8" w:rsidRPr="00963188" w:rsidRDefault="002744D8" w:rsidP="00BE3F24">
            <w:pPr>
              <w:jc w:val="center"/>
              <w:rPr>
                <w:rFonts w:ascii="Arial" w:hAnsi="Arial"/>
                <w:b/>
              </w:rPr>
            </w:pPr>
            <w:r w:rsidRPr="00963188">
              <w:rPr>
                <w:rFonts w:ascii="Arial" w:hAnsi="Arial"/>
                <w:b/>
              </w:rPr>
              <w:t>(man-hours)</w:t>
            </w:r>
          </w:p>
        </w:tc>
      </w:tr>
      <w:tr w:rsidR="002744D8" w:rsidRPr="00963188" w14:paraId="7A10A3D6" w14:textId="77777777" w:rsidTr="000A240C">
        <w:trPr>
          <w:trHeight w:val="288"/>
          <w:jc w:val="center"/>
        </w:trPr>
        <w:tc>
          <w:tcPr>
            <w:tcW w:w="2962" w:type="dxa"/>
            <w:vAlign w:val="center"/>
          </w:tcPr>
          <w:p w14:paraId="3D2DEF7F" w14:textId="77777777" w:rsidR="002744D8" w:rsidRPr="00963188" w:rsidRDefault="002744D8" w:rsidP="00BE3F24">
            <w:pPr>
              <w:jc w:val="center"/>
              <w:rPr>
                <w:rFonts w:ascii="Arial" w:hAnsi="Arial"/>
                <w:sz w:val="18"/>
              </w:rPr>
            </w:pPr>
            <w:r w:rsidRPr="00963188">
              <w:rPr>
                <w:rFonts w:ascii="Arial" w:hAnsi="Arial"/>
                <w:sz w:val="18"/>
              </w:rPr>
              <w:t>Staff Engineer or Project Engineer</w:t>
            </w:r>
          </w:p>
        </w:tc>
        <w:tc>
          <w:tcPr>
            <w:tcW w:w="2168" w:type="dxa"/>
            <w:vAlign w:val="center"/>
          </w:tcPr>
          <w:p w14:paraId="2649A8EA" w14:textId="77777777" w:rsidR="002744D8" w:rsidRPr="00963188" w:rsidRDefault="002744D8" w:rsidP="00BE3F24">
            <w:pPr>
              <w:jc w:val="center"/>
              <w:rPr>
                <w:rFonts w:ascii="Arial" w:hAnsi="Arial"/>
                <w:sz w:val="18"/>
              </w:rPr>
            </w:pPr>
            <w:r w:rsidRPr="00963188">
              <w:rPr>
                <w:rFonts w:ascii="Arial" w:hAnsi="Arial"/>
                <w:sz w:val="18"/>
              </w:rPr>
              <w:t>Rehabilitation Design</w:t>
            </w:r>
          </w:p>
        </w:tc>
        <w:tc>
          <w:tcPr>
            <w:tcW w:w="1620" w:type="dxa"/>
            <w:vAlign w:val="center"/>
          </w:tcPr>
          <w:p w14:paraId="72E1E150" w14:textId="77777777" w:rsidR="002744D8" w:rsidRPr="00963188" w:rsidRDefault="002744D8" w:rsidP="00BE3F24">
            <w:pPr>
              <w:jc w:val="center"/>
              <w:rPr>
                <w:rFonts w:ascii="Arial" w:hAnsi="Arial"/>
                <w:sz w:val="18"/>
              </w:rPr>
            </w:pPr>
            <w:r w:rsidRPr="00963188">
              <w:rPr>
                <w:rFonts w:ascii="Arial" w:hAnsi="Arial"/>
                <w:sz w:val="18"/>
              </w:rPr>
              <w:t>1</w:t>
            </w:r>
          </w:p>
        </w:tc>
        <w:tc>
          <w:tcPr>
            <w:tcW w:w="1710" w:type="dxa"/>
            <w:vAlign w:val="center"/>
          </w:tcPr>
          <w:p w14:paraId="5E8D9EC4" w14:textId="77777777" w:rsidR="002744D8" w:rsidRPr="00963188" w:rsidRDefault="00B47785" w:rsidP="00BE3F24">
            <w:pPr>
              <w:jc w:val="center"/>
              <w:rPr>
                <w:rFonts w:ascii="Arial" w:hAnsi="Arial"/>
                <w:sz w:val="18"/>
              </w:rPr>
            </w:pPr>
            <w:r w:rsidRPr="00963188">
              <w:rPr>
                <w:rFonts w:ascii="Arial" w:hAnsi="Arial"/>
                <w:sz w:val="18"/>
              </w:rPr>
              <w:t>12</w:t>
            </w:r>
          </w:p>
        </w:tc>
      </w:tr>
      <w:tr w:rsidR="002744D8" w:rsidRPr="00963188" w14:paraId="06750A80" w14:textId="77777777" w:rsidTr="000A240C">
        <w:trPr>
          <w:trHeight w:val="288"/>
          <w:jc w:val="center"/>
        </w:trPr>
        <w:tc>
          <w:tcPr>
            <w:tcW w:w="2962" w:type="dxa"/>
            <w:vAlign w:val="center"/>
          </w:tcPr>
          <w:p w14:paraId="6B6A3264" w14:textId="77777777" w:rsidR="002744D8" w:rsidRPr="00963188" w:rsidRDefault="002744D8" w:rsidP="00BE3F24">
            <w:pPr>
              <w:jc w:val="center"/>
              <w:rPr>
                <w:rFonts w:ascii="Arial" w:hAnsi="Arial"/>
                <w:sz w:val="18"/>
              </w:rPr>
            </w:pPr>
            <w:r w:rsidRPr="00963188">
              <w:rPr>
                <w:rFonts w:ascii="Arial" w:hAnsi="Arial"/>
                <w:sz w:val="18"/>
              </w:rPr>
              <w:t>Staff Engineer or Project Engineer</w:t>
            </w:r>
          </w:p>
        </w:tc>
        <w:tc>
          <w:tcPr>
            <w:tcW w:w="2168" w:type="dxa"/>
            <w:vAlign w:val="center"/>
          </w:tcPr>
          <w:p w14:paraId="641C04A9" w14:textId="77777777" w:rsidR="002744D8" w:rsidRPr="00963188" w:rsidRDefault="002744D8" w:rsidP="00BE3F24">
            <w:pPr>
              <w:jc w:val="center"/>
              <w:rPr>
                <w:rFonts w:ascii="Arial" w:hAnsi="Arial"/>
                <w:sz w:val="18"/>
              </w:rPr>
            </w:pPr>
            <w:r w:rsidRPr="00963188">
              <w:rPr>
                <w:rFonts w:ascii="Arial" w:hAnsi="Arial"/>
                <w:sz w:val="18"/>
              </w:rPr>
              <w:t>Memo Development</w:t>
            </w:r>
          </w:p>
        </w:tc>
        <w:tc>
          <w:tcPr>
            <w:tcW w:w="1620" w:type="dxa"/>
            <w:vAlign w:val="center"/>
          </w:tcPr>
          <w:p w14:paraId="21EBBB9C" w14:textId="77777777" w:rsidR="002744D8" w:rsidRPr="00963188" w:rsidRDefault="002744D8" w:rsidP="00BE3F24">
            <w:pPr>
              <w:jc w:val="center"/>
              <w:rPr>
                <w:rFonts w:ascii="Arial" w:hAnsi="Arial"/>
                <w:sz w:val="18"/>
              </w:rPr>
            </w:pPr>
            <w:r w:rsidRPr="00963188">
              <w:rPr>
                <w:rFonts w:ascii="Arial" w:hAnsi="Arial"/>
                <w:sz w:val="18"/>
              </w:rPr>
              <w:t>1</w:t>
            </w:r>
          </w:p>
        </w:tc>
        <w:tc>
          <w:tcPr>
            <w:tcW w:w="1710" w:type="dxa"/>
            <w:vAlign w:val="center"/>
          </w:tcPr>
          <w:p w14:paraId="6B891EF2" w14:textId="77777777" w:rsidR="002744D8" w:rsidRPr="00963188" w:rsidRDefault="00B47785" w:rsidP="00BE3F24">
            <w:pPr>
              <w:jc w:val="center"/>
              <w:rPr>
                <w:rFonts w:ascii="Arial" w:hAnsi="Arial"/>
                <w:sz w:val="18"/>
              </w:rPr>
            </w:pPr>
            <w:r w:rsidRPr="00963188">
              <w:rPr>
                <w:rFonts w:ascii="Arial" w:hAnsi="Arial"/>
                <w:sz w:val="18"/>
              </w:rPr>
              <w:t>24</w:t>
            </w:r>
          </w:p>
        </w:tc>
      </w:tr>
    </w:tbl>
    <w:p w14:paraId="53208938" w14:textId="240B78EF" w:rsidR="002744D8" w:rsidRPr="00963188" w:rsidRDefault="00B47785" w:rsidP="000A240C">
      <w:pPr>
        <w:ind w:left="180"/>
        <w:jc w:val="both"/>
        <w:rPr>
          <w:rFonts w:ascii="Arial" w:hAnsi="Arial"/>
        </w:rPr>
      </w:pPr>
      <w:r w:rsidRPr="00963188">
        <w:rPr>
          <w:rFonts w:ascii="Arial" w:hAnsi="Arial"/>
          <w:sz w:val="18"/>
          <w:szCs w:val="18"/>
        </w:rPr>
        <w:t>* The time required would vary depending on the size, complexity</w:t>
      </w:r>
      <w:r w:rsidR="00692DB3">
        <w:rPr>
          <w:rFonts w:ascii="Arial" w:hAnsi="Arial"/>
          <w:sz w:val="18"/>
          <w:szCs w:val="18"/>
        </w:rPr>
        <w:t>,</w:t>
      </w:r>
      <w:r w:rsidRPr="00963188">
        <w:rPr>
          <w:rFonts w:ascii="Arial" w:hAnsi="Arial"/>
          <w:sz w:val="18"/>
          <w:szCs w:val="18"/>
        </w:rPr>
        <w:t xml:space="preserve"> and location of the project.</w:t>
      </w:r>
    </w:p>
    <w:p w14:paraId="223D1671" w14:textId="77777777" w:rsidR="002744D8" w:rsidRPr="00963188" w:rsidRDefault="002744D8" w:rsidP="00172E64">
      <w:pPr>
        <w:pStyle w:val="Heading3"/>
        <w:numPr>
          <w:ilvl w:val="2"/>
          <w:numId w:val="184"/>
        </w:numPr>
        <w:ind w:left="0" w:firstLine="0"/>
      </w:pPr>
      <w:r w:rsidRPr="00963188">
        <w:t>Procedure</w:t>
      </w:r>
    </w:p>
    <w:p w14:paraId="1C92B283" w14:textId="26743F17" w:rsidR="00963188" w:rsidRDefault="00963188" w:rsidP="00963188">
      <w:pPr>
        <w:spacing w:after="120"/>
        <w:jc w:val="both"/>
        <w:rPr>
          <w:rFonts w:ascii="Arial" w:eastAsia="Arial" w:hAnsi="Arial" w:cs="Arial"/>
        </w:rPr>
      </w:pPr>
      <w:r>
        <w:rPr>
          <w:rFonts w:ascii="Arial" w:eastAsia="Arial" w:hAnsi="Arial" w:cs="Arial"/>
          <w:sz w:val="22"/>
        </w:rPr>
        <w:t xml:space="preserve">The procedure described </w:t>
      </w:r>
      <w:r w:rsidR="00692DB3">
        <w:rPr>
          <w:rFonts w:ascii="Arial" w:eastAsia="Arial" w:hAnsi="Arial" w:cs="Arial"/>
          <w:sz w:val="22"/>
        </w:rPr>
        <w:t>below</w:t>
      </w:r>
      <w:r>
        <w:rPr>
          <w:rFonts w:ascii="Arial" w:eastAsia="Arial" w:hAnsi="Arial" w:cs="Arial"/>
          <w:sz w:val="22"/>
        </w:rPr>
        <w:t xml:space="preserve"> should be followed in a typical preservation or rehabilitation pavement design recommendation.  Reference to specific design inputs for design development can be located in </w:t>
      </w:r>
      <w:hyperlink w:anchor="_Design_Input_Policies_1" w:history="1">
        <w:r w:rsidRPr="00963188">
          <w:rPr>
            <w:rStyle w:val="Hyperlink"/>
            <w:rFonts w:ascii="Arial" w:eastAsia="Arial" w:hAnsi="Arial" w:cs="Arial"/>
            <w:sz w:val="22"/>
          </w:rPr>
          <w:t>Design Input Policies</w:t>
        </w:r>
      </w:hyperlink>
      <w:r>
        <w:rPr>
          <w:rFonts w:ascii="Arial" w:eastAsia="Arial" w:hAnsi="Arial" w:cs="Arial"/>
          <w:sz w:val="22"/>
        </w:rPr>
        <w:t xml:space="preserve">.  Numerous steps contained </w:t>
      </w:r>
      <w:r>
        <w:rPr>
          <w:rFonts w:ascii="Arial" w:eastAsia="Arial" w:hAnsi="Arial" w:cs="Arial"/>
          <w:sz w:val="22"/>
        </w:rPr>
        <w:lastRenderedPageBreak/>
        <w:t xml:space="preserve">in this procedure can be completed within several software applications that PAGD currently uses, including PMED.    </w:t>
      </w:r>
    </w:p>
    <w:p w14:paraId="42D70DAD" w14:textId="77777777" w:rsidR="00963188" w:rsidRDefault="00963188" w:rsidP="00963188">
      <w:pPr>
        <w:spacing w:after="120"/>
        <w:jc w:val="both"/>
        <w:rPr>
          <w:rFonts w:ascii="Arial" w:eastAsia="Arial" w:hAnsi="Arial" w:cs="Arial"/>
        </w:rPr>
      </w:pPr>
      <w:r>
        <w:rPr>
          <w:rFonts w:ascii="Arial" w:eastAsia="Arial" w:hAnsi="Arial" w:cs="Arial"/>
          <w:sz w:val="22"/>
        </w:rPr>
        <w:t>The following procedure was written to provide the design engineer with adequate information to complete a preservation or rehabilitation design with the assumption that these tools are available.</w:t>
      </w:r>
    </w:p>
    <w:p w14:paraId="4F3487A1" w14:textId="77777777" w:rsidR="00963188" w:rsidRDefault="00963188" w:rsidP="00963188">
      <w:pPr>
        <w:spacing w:after="120"/>
        <w:jc w:val="both"/>
        <w:rPr>
          <w:rFonts w:ascii="Arial" w:eastAsia="Arial" w:hAnsi="Arial" w:cs="Arial"/>
        </w:rPr>
      </w:pPr>
      <w:r>
        <w:rPr>
          <w:rFonts w:ascii="Arial" w:eastAsia="Arial" w:hAnsi="Arial" w:cs="Arial"/>
          <w:sz w:val="22"/>
        </w:rPr>
        <w:t xml:space="preserve">Certain steps in the pavement preservation and rehabilitation design process and other processes overlap.  It is important to keep in mind that although these processes are broken out and written in separate sections, they are a part of an overall process to provide logically and technically sound recommendations. </w:t>
      </w:r>
    </w:p>
    <w:p w14:paraId="2D4406E7" w14:textId="77777777" w:rsidR="00963188" w:rsidRDefault="00963188" w:rsidP="00963188">
      <w:pPr>
        <w:spacing w:after="120"/>
        <w:jc w:val="both"/>
        <w:rPr>
          <w:rFonts w:ascii="Arial" w:eastAsia="Arial" w:hAnsi="Arial" w:cs="Arial"/>
        </w:rPr>
      </w:pPr>
      <w:r>
        <w:rPr>
          <w:rFonts w:ascii="Arial" w:eastAsia="Arial" w:hAnsi="Arial" w:cs="Arial"/>
          <w:sz w:val="22"/>
        </w:rPr>
        <w:t>This section contain</w:t>
      </w:r>
      <w:r w:rsidR="00421FC9">
        <w:rPr>
          <w:rFonts w:ascii="Arial" w:eastAsia="Arial" w:hAnsi="Arial" w:cs="Arial"/>
          <w:sz w:val="22"/>
        </w:rPr>
        <w:t>s</w:t>
      </w:r>
      <w:r>
        <w:rPr>
          <w:rFonts w:ascii="Arial" w:eastAsia="Arial" w:hAnsi="Arial" w:cs="Arial"/>
          <w:sz w:val="22"/>
        </w:rPr>
        <w:t xml:space="preserve"> analysis and design procedures for the following parameters:</w:t>
      </w:r>
    </w:p>
    <w:p w14:paraId="25C99679" w14:textId="77777777" w:rsidR="00963188" w:rsidRPr="000A240C" w:rsidRDefault="00963188" w:rsidP="00172E64">
      <w:pPr>
        <w:pStyle w:val="ListParagraph"/>
        <w:numPr>
          <w:ilvl w:val="0"/>
          <w:numId w:val="84"/>
        </w:numPr>
        <w:ind w:left="720" w:hanging="720"/>
        <w:jc w:val="both"/>
        <w:rPr>
          <w:rFonts w:ascii="Arial" w:hAnsi="Arial"/>
          <w:sz w:val="22"/>
        </w:rPr>
      </w:pPr>
      <w:r w:rsidRPr="001F6378">
        <w:rPr>
          <w:rFonts w:ascii="Arial" w:hAnsi="Arial" w:cs="Arial"/>
          <w:sz w:val="22"/>
          <w:szCs w:val="22"/>
        </w:rPr>
        <w:t>Ride Quality</w:t>
      </w:r>
    </w:p>
    <w:p w14:paraId="419E6F88" w14:textId="77777777" w:rsidR="00963188" w:rsidRPr="000A240C" w:rsidRDefault="00963188" w:rsidP="00172E64">
      <w:pPr>
        <w:pStyle w:val="ListParagraph"/>
        <w:numPr>
          <w:ilvl w:val="0"/>
          <w:numId w:val="84"/>
        </w:numPr>
        <w:ind w:left="720" w:hanging="720"/>
        <w:jc w:val="both"/>
        <w:rPr>
          <w:rFonts w:ascii="Arial" w:hAnsi="Arial"/>
          <w:sz w:val="22"/>
        </w:rPr>
      </w:pPr>
      <w:r w:rsidRPr="001F6378">
        <w:rPr>
          <w:rFonts w:ascii="Arial" w:hAnsi="Arial" w:cs="Arial"/>
          <w:sz w:val="22"/>
          <w:szCs w:val="22"/>
        </w:rPr>
        <w:t>Structural Cracking</w:t>
      </w:r>
    </w:p>
    <w:p w14:paraId="76298A7F" w14:textId="77777777" w:rsidR="00963188" w:rsidRPr="000A240C" w:rsidRDefault="00963188" w:rsidP="00172E64">
      <w:pPr>
        <w:pStyle w:val="ListParagraph"/>
        <w:numPr>
          <w:ilvl w:val="0"/>
          <w:numId w:val="84"/>
        </w:numPr>
        <w:ind w:left="720" w:hanging="720"/>
        <w:jc w:val="both"/>
        <w:rPr>
          <w:rFonts w:ascii="Arial" w:hAnsi="Arial" w:cs="Arial"/>
          <w:sz w:val="22"/>
          <w:szCs w:val="22"/>
        </w:rPr>
      </w:pPr>
      <w:r w:rsidRPr="001F6378">
        <w:rPr>
          <w:rFonts w:ascii="Arial" w:hAnsi="Arial" w:cs="Arial"/>
          <w:sz w:val="22"/>
          <w:szCs w:val="22"/>
        </w:rPr>
        <w:t>Functional Cracking</w:t>
      </w:r>
    </w:p>
    <w:p w14:paraId="32B31F07" w14:textId="77777777" w:rsidR="00963188" w:rsidRPr="000A240C" w:rsidRDefault="00963188" w:rsidP="00172E64">
      <w:pPr>
        <w:pStyle w:val="ListParagraph"/>
        <w:numPr>
          <w:ilvl w:val="0"/>
          <w:numId w:val="84"/>
        </w:numPr>
        <w:ind w:left="720" w:hanging="720"/>
        <w:jc w:val="both"/>
        <w:rPr>
          <w:rFonts w:ascii="Arial" w:hAnsi="Arial" w:cs="Arial"/>
          <w:sz w:val="22"/>
          <w:szCs w:val="22"/>
        </w:rPr>
      </w:pPr>
      <w:r w:rsidRPr="001F6378">
        <w:rPr>
          <w:rFonts w:ascii="Arial" w:hAnsi="Arial" w:cs="Arial"/>
          <w:sz w:val="22"/>
          <w:szCs w:val="22"/>
        </w:rPr>
        <w:t>Rutting</w:t>
      </w:r>
    </w:p>
    <w:p w14:paraId="1CBA10CF" w14:textId="77777777" w:rsidR="00963188" w:rsidRPr="000A240C" w:rsidRDefault="00E17629" w:rsidP="00172E64">
      <w:pPr>
        <w:pStyle w:val="ListParagraph"/>
        <w:numPr>
          <w:ilvl w:val="0"/>
          <w:numId w:val="84"/>
        </w:numPr>
        <w:ind w:left="720" w:hanging="720"/>
        <w:jc w:val="both"/>
        <w:rPr>
          <w:rStyle w:val="Hyperlink"/>
          <w:rFonts w:ascii="Arial" w:eastAsia="Arial" w:hAnsi="Arial" w:cs="Arial"/>
          <w:sz w:val="22"/>
          <w:szCs w:val="22"/>
        </w:rPr>
      </w:pPr>
      <w:hyperlink w:anchor="_Friction_Design_1" w:history="1">
        <w:r w:rsidRPr="000A240C">
          <w:rPr>
            <w:rStyle w:val="Hyperlink"/>
            <w:rFonts w:ascii="Arial" w:eastAsia="Arial" w:hAnsi="Arial" w:cs="Arial"/>
            <w:sz w:val="22"/>
            <w:szCs w:val="22"/>
          </w:rPr>
          <w:t>Friction</w:t>
        </w:r>
      </w:hyperlink>
    </w:p>
    <w:p w14:paraId="292390B2" w14:textId="77777777" w:rsidR="00963188" w:rsidRPr="00E16F07" w:rsidRDefault="00963188" w:rsidP="00172E64">
      <w:pPr>
        <w:numPr>
          <w:ilvl w:val="0"/>
          <w:numId w:val="110"/>
        </w:numPr>
        <w:spacing w:after="120"/>
        <w:ind w:left="720" w:hanging="720"/>
        <w:jc w:val="both"/>
        <w:rPr>
          <w:rFonts w:ascii="Arial" w:eastAsia="Arial" w:hAnsi="Arial" w:cs="Arial"/>
        </w:rPr>
      </w:pPr>
      <w:r w:rsidRPr="00E16F07">
        <w:rPr>
          <w:rFonts w:ascii="Arial" w:eastAsia="Arial" w:hAnsi="Arial" w:cs="Arial"/>
          <w:sz w:val="22"/>
        </w:rPr>
        <w:t>Faulting</w:t>
      </w:r>
      <w:r w:rsidR="001F5152" w:rsidRPr="00E16F07">
        <w:rPr>
          <w:rFonts w:ascii="Arial" w:eastAsia="Arial" w:hAnsi="Arial" w:cs="Arial"/>
          <w:sz w:val="22"/>
        </w:rPr>
        <w:t xml:space="preserve"> (future)</w:t>
      </w:r>
    </w:p>
    <w:p w14:paraId="5472B8AE" w14:textId="77777777" w:rsidR="00963188" w:rsidRDefault="00963188" w:rsidP="00172E64">
      <w:pPr>
        <w:pStyle w:val="Heading4"/>
        <w:numPr>
          <w:ilvl w:val="3"/>
          <w:numId w:val="184"/>
        </w:numPr>
        <w:tabs>
          <w:tab w:val="left" w:pos="1440"/>
        </w:tabs>
        <w:spacing w:before="240"/>
        <w:ind w:left="900" w:hanging="900"/>
        <w:rPr>
          <w:rFonts w:eastAsia="Arial"/>
        </w:rPr>
      </w:pPr>
      <w:r>
        <w:rPr>
          <w:rFonts w:eastAsia="Arial"/>
        </w:rPr>
        <w:t>Preliminary Steps</w:t>
      </w:r>
    </w:p>
    <w:p w14:paraId="5023D802" w14:textId="134DB473" w:rsidR="00175697" w:rsidRDefault="00963188" w:rsidP="000A240C">
      <w:pPr>
        <w:pStyle w:val="ListNumber"/>
        <w:numPr>
          <w:ilvl w:val="0"/>
          <w:numId w:val="19"/>
        </w:numPr>
        <w:tabs>
          <w:tab w:val="left" w:pos="1872"/>
        </w:tabs>
        <w:spacing w:before="240"/>
        <w:ind w:left="1080" w:hanging="1080"/>
        <w:jc w:val="both"/>
        <w:rPr>
          <w:rFonts w:eastAsia="Arial" w:cs="Arial"/>
        </w:rPr>
      </w:pPr>
      <w:r w:rsidRPr="00175697">
        <w:rPr>
          <w:rFonts w:eastAsia="Arial" w:cs="Arial"/>
        </w:rPr>
        <w:t>If the project involves any base-widening, reconstruction, stormwater management, embankment slopes,</w:t>
      </w:r>
      <w:r w:rsidR="00692DB3">
        <w:rPr>
          <w:rFonts w:eastAsia="Arial" w:cs="Arial"/>
        </w:rPr>
        <w:t xml:space="preserve"> or</w:t>
      </w:r>
      <w:r w:rsidRPr="00175697">
        <w:rPr>
          <w:rFonts w:eastAsia="Arial" w:cs="Arial"/>
        </w:rPr>
        <w:t xml:space="preserve"> new construction, or has special soil issues, refer to </w:t>
      </w:r>
      <w:hyperlink w:anchor="_New_Pavement_Design_3" w:history="1">
        <w:r w:rsidRPr="00175697">
          <w:rPr>
            <w:rStyle w:val="Hyperlink"/>
            <w:rFonts w:eastAsia="Arial" w:cs="Arial"/>
          </w:rPr>
          <w:t>New Pavement Design</w:t>
        </w:r>
      </w:hyperlink>
      <w:r w:rsidRPr="00175697">
        <w:rPr>
          <w:rFonts w:eastAsia="Arial" w:cs="Arial"/>
        </w:rPr>
        <w:t>.</w:t>
      </w:r>
    </w:p>
    <w:p w14:paraId="0A2294AE" w14:textId="77777777" w:rsidR="00175697" w:rsidRDefault="00963188" w:rsidP="000A240C">
      <w:pPr>
        <w:pStyle w:val="ListNumber"/>
        <w:numPr>
          <w:ilvl w:val="0"/>
          <w:numId w:val="19"/>
        </w:numPr>
        <w:tabs>
          <w:tab w:val="left" w:pos="1872"/>
        </w:tabs>
        <w:ind w:left="1080" w:hanging="1080"/>
        <w:jc w:val="both"/>
        <w:rPr>
          <w:rFonts w:eastAsia="Arial" w:cs="Arial"/>
        </w:rPr>
      </w:pPr>
      <w:r w:rsidRPr="00175697">
        <w:rPr>
          <w:rFonts w:eastAsia="Arial" w:cs="Arial"/>
        </w:rPr>
        <w:t xml:space="preserve">Conduct the steps as detailed in </w:t>
      </w:r>
      <w:hyperlink w:anchor="_Pavement_Design_Procedures" w:history="1">
        <w:r w:rsidRPr="00175697">
          <w:rPr>
            <w:rStyle w:val="Hyperlink"/>
            <w:rFonts w:eastAsia="Arial" w:cs="Arial"/>
          </w:rPr>
          <w:t>Preliminary Procedures</w:t>
        </w:r>
      </w:hyperlink>
      <w:r w:rsidRPr="00175697">
        <w:rPr>
          <w:rFonts w:eastAsia="Arial" w:cs="Arial"/>
        </w:rPr>
        <w:t>.</w:t>
      </w:r>
    </w:p>
    <w:p w14:paraId="6BAE836B" w14:textId="77777777" w:rsidR="00175697" w:rsidRDefault="00963188" w:rsidP="000A240C">
      <w:pPr>
        <w:pStyle w:val="ListNumber"/>
        <w:numPr>
          <w:ilvl w:val="0"/>
          <w:numId w:val="19"/>
        </w:numPr>
        <w:tabs>
          <w:tab w:val="left" w:pos="1872"/>
        </w:tabs>
        <w:ind w:left="1080" w:hanging="1080"/>
        <w:jc w:val="both"/>
        <w:rPr>
          <w:rFonts w:eastAsia="Arial" w:cs="Arial"/>
        </w:rPr>
      </w:pPr>
      <w:r w:rsidRPr="00175697">
        <w:rPr>
          <w:rFonts w:eastAsia="Arial" w:cs="Arial"/>
        </w:rPr>
        <w:t xml:space="preserve">Conduct the steps as detailed in </w:t>
      </w:r>
      <w:hyperlink w:anchor="_Testing_&amp;_Data" w:history="1">
        <w:r w:rsidRPr="00175697">
          <w:rPr>
            <w:rStyle w:val="Hyperlink"/>
            <w:rFonts w:eastAsia="Arial" w:cs="Arial"/>
          </w:rPr>
          <w:t>Testing &amp; Data Collection</w:t>
        </w:r>
      </w:hyperlink>
      <w:r w:rsidRPr="00175697">
        <w:rPr>
          <w:rFonts w:eastAsia="Arial" w:cs="Arial"/>
        </w:rPr>
        <w:t>.</w:t>
      </w:r>
    </w:p>
    <w:p w14:paraId="20F48028" w14:textId="77777777" w:rsidR="00963188" w:rsidRPr="00175697" w:rsidRDefault="00963188" w:rsidP="000A240C">
      <w:pPr>
        <w:pStyle w:val="ListNumber"/>
        <w:numPr>
          <w:ilvl w:val="0"/>
          <w:numId w:val="19"/>
        </w:numPr>
        <w:tabs>
          <w:tab w:val="left" w:pos="1872"/>
        </w:tabs>
        <w:ind w:left="1080" w:hanging="1080"/>
        <w:jc w:val="both"/>
        <w:rPr>
          <w:rFonts w:eastAsia="Arial" w:cs="Arial"/>
        </w:rPr>
      </w:pPr>
      <w:r w:rsidRPr="00175697">
        <w:rPr>
          <w:rFonts w:eastAsia="Arial" w:cs="Arial"/>
        </w:rPr>
        <w:t xml:space="preserve">Conduct the steps as detailed in </w:t>
      </w:r>
      <w:hyperlink w:anchor="_Analysis_Procedures" w:history="1">
        <w:r w:rsidRPr="00175697">
          <w:rPr>
            <w:rStyle w:val="Hyperlink"/>
            <w:rFonts w:eastAsia="Arial" w:cs="Arial"/>
          </w:rPr>
          <w:t>Analysis Procedures</w:t>
        </w:r>
      </w:hyperlink>
      <w:r w:rsidRPr="00175697">
        <w:rPr>
          <w:rFonts w:eastAsia="Arial" w:cs="Arial"/>
        </w:rPr>
        <w:t>.</w:t>
      </w:r>
    </w:p>
    <w:p w14:paraId="1C17ED3E" w14:textId="77777777" w:rsidR="00963188" w:rsidRDefault="00963188" w:rsidP="00172E64">
      <w:pPr>
        <w:pStyle w:val="Heading4"/>
        <w:numPr>
          <w:ilvl w:val="3"/>
          <w:numId w:val="184"/>
        </w:numPr>
        <w:tabs>
          <w:tab w:val="clear" w:pos="1080"/>
          <w:tab w:val="left" w:pos="1440"/>
        </w:tabs>
        <w:spacing w:before="240"/>
        <w:ind w:left="864"/>
        <w:rPr>
          <w:rFonts w:eastAsia="Arial"/>
        </w:rPr>
      </w:pPr>
      <w:bookmarkStart w:id="486" w:name="_Analysis_&amp;_Design"/>
      <w:bookmarkEnd w:id="486"/>
      <w:r>
        <w:rPr>
          <w:rFonts w:eastAsia="Arial"/>
        </w:rPr>
        <w:t xml:space="preserve">Analysis &amp; Design </w:t>
      </w:r>
    </w:p>
    <w:p w14:paraId="43F89038" w14:textId="77777777" w:rsidR="00C05F53" w:rsidRPr="00963CB5" w:rsidRDefault="00C05F53" w:rsidP="00C05F53">
      <w:pPr>
        <w:jc w:val="both"/>
        <w:rPr>
          <w:rFonts w:ascii="Arial" w:eastAsia="Arial" w:hAnsi="Arial" w:cs="Arial"/>
        </w:rPr>
      </w:pPr>
      <w:r w:rsidRPr="00421FC9">
        <w:rPr>
          <w:rFonts w:ascii="Arial" w:eastAsia="Arial" w:hAnsi="Arial" w:cs="Arial"/>
          <w:sz w:val="22"/>
        </w:rPr>
        <w:t>These steps sho</w:t>
      </w:r>
      <w:r w:rsidRPr="00963CB5">
        <w:rPr>
          <w:rFonts w:ascii="Arial" w:eastAsia="Arial" w:hAnsi="Arial" w:cs="Arial"/>
          <w:sz w:val="22"/>
        </w:rPr>
        <w:t>uld be performed for each treatment option</w:t>
      </w:r>
      <w:r>
        <w:rPr>
          <w:rFonts w:ascii="Arial" w:eastAsia="Arial" w:hAnsi="Arial" w:cs="Arial"/>
          <w:sz w:val="22"/>
        </w:rPr>
        <w:t>.</w:t>
      </w:r>
    </w:p>
    <w:p w14:paraId="31C19BD2" w14:textId="77777777" w:rsidR="00963188" w:rsidRDefault="00963188" w:rsidP="00963188"/>
    <w:p w14:paraId="6B839B35" w14:textId="77777777" w:rsidR="00963188" w:rsidRDefault="00963188" w:rsidP="00172E64">
      <w:pPr>
        <w:pStyle w:val="Heading5"/>
        <w:numPr>
          <w:ilvl w:val="4"/>
          <w:numId w:val="184"/>
        </w:numPr>
        <w:tabs>
          <w:tab w:val="left" w:pos="1800"/>
        </w:tabs>
        <w:ind w:left="1098" w:hanging="1098"/>
        <w:rPr>
          <w:rFonts w:eastAsia="Arial"/>
        </w:rPr>
      </w:pPr>
      <w:bookmarkStart w:id="487" w:name="_Identify_Existing_Values"/>
      <w:bookmarkEnd w:id="487"/>
      <w:r>
        <w:rPr>
          <w:rFonts w:eastAsia="Arial"/>
        </w:rPr>
        <w:t>Identify Existing Values for Analysis</w:t>
      </w:r>
    </w:p>
    <w:p w14:paraId="32E62AE1" w14:textId="77777777" w:rsidR="003E40B5" w:rsidRPr="008F604D" w:rsidRDefault="003E40B5"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maining_Service_Life" w:history="1">
        <w:r w:rsidRPr="003E40B5">
          <w:rPr>
            <w:rStyle w:val="Hyperlink"/>
            <w:rFonts w:ascii="Arial" w:hAnsi="Arial" w:cs="Arial"/>
            <w:bCs/>
            <w:sz w:val="16"/>
            <w:szCs w:val="16"/>
          </w:rPr>
          <w:t>Remaining Service Life Analysis</w:t>
        </w:r>
      </w:hyperlink>
    </w:p>
    <w:p w14:paraId="4307BF7F" w14:textId="77777777" w:rsidR="003E40B5" w:rsidRDefault="003E40B5" w:rsidP="000A240C">
      <w:pPr>
        <w:jc w:val="both"/>
        <w:rPr>
          <w:rFonts w:ascii="Arial" w:eastAsia="Arial" w:hAnsi="Arial" w:cs="Arial"/>
          <w:sz w:val="22"/>
        </w:rPr>
      </w:pPr>
    </w:p>
    <w:p w14:paraId="1B4A4919" w14:textId="77777777" w:rsidR="00963188" w:rsidRDefault="00963188" w:rsidP="00963188">
      <w:pPr>
        <w:spacing w:after="120"/>
        <w:jc w:val="both"/>
        <w:rPr>
          <w:rFonts w:ascii="Arial" w:eastAsia="Arial" w:hAnsi="Arial" w:cs="Arial"/>
        </w:rPr>
      </w:pPr>
      <w:r>
        <w:rPr>
          <w:rFonts w:ascii="Arial" w:eastAsia="Arial" w:hAnsi="Arial" w:cs="Arial"/>
          <w:sz w:val="22"/>
        </w:rPr>
        <w:t xml:space="preserve">Because of the uncertainty involved in the annual network collection of </w:t>
      </w:r>
      <w:r w:rsidR="00F01AE2">
        <w:rPr>
          <w:rFonts w:ascii="Arial" w:eastAsia="Arial" w:hAnsi="Arial" w:cs="Arial"/>
          <w:sz w:val="22"/>
        </w:rPr>
        <w:t>distress</w:t>
      </w:r>
      <w:r>
        <w:rPr>
          <w:rFonts w:ascii="Arial" w:eastAsia="Arial" w:hAnsi="Arial" w:cs="Arial"/>
          <w:sz w:val="22"/>
        </w:rPr>
        <w:t xml:space="preserve"> data, it is not necessarily appropriate to use the most recent value</w:t>
      </w:r>
      <w:r w:rsidR="00F01AE2">
        <w:rPr>
          <w:rFonts w:ascii="Arial" w:eastAsia="Arial" w:hAnsi="Arial" w:cs="Arial"/>
          <w:sz w:val="22"/>
        </w:rPr>
        <w:t>s</w:t>
      </w:r>
      <w:r>
        <w:rPr>
          <w:rFonts w:ascii="Arial" w:eastAsia="Arial" w:hAnsi="Arial" w:cs="Arial"/>
          <w:sz w:val="22"/>
        </w:rPr>
        <w:t xml:space="preserve"> given.  The engineer should look at several recent years of data when available to determine which value is most appropriate for design.</w:t>
      </w:r>
    </w:p>
    <w:p w14:paraId="0BE31562" w14:textId="212F06EE" w:rsidR="003C4DBF" w:rsidRPr="000A240C" w:rsidRDefault="003C4DBF">
      <w:pPr>
        <w:rPr>
          <w:rFonts w:ascii="Arial" w:eastAsia="Arial" w:hAnsi="Arial"/>
          <w:sz w:val="22"/>
        </w:rPr>
      </w:pPr>
      <w:r w:rsidRPr="000A240C">
        <w:rPr>
          <w:rFonts w:ascii="Arial" w:eastAsia="Arial" w:hAnsi="Arial"/>
          <w:sz w:val="22"/>
        </w:rPr>
        <w:t>Input the IRI, SC</w:t>
      </w:r>
      <w:r w:rsidR="00ED1883" w:rsidRPr="000A240C">
        <w:rPr>
          <w:rFonts w:ascii="Arial" w:eastAsia="Arial" w:hAnsi="Arial"/>
          <w:sz w:val="22"/>
        </w:rPr>
        <w:t>D</w:t>
      </w:r>
      <w:r w:rsidRPr="000A240C">
        <w:rPr>
          <w:rFonts w:ascii="Arial" w:eastAsia="Arial" w:hAnsi="Arial"/>
          <w:sz w:val="22"/>
        </w:rPr>
        <w:t>, FC</w:t>
      </w:r>
      <w:r w:rsidR="00ED1883" w:rsidRPr="000A240C">
        <w:rPr>
          <w:rFonts w:ascii="Arial" w:eastAsia="Arial" w:hAnsi="Arial"/>
          <w:sz w:val="22"/>
        </w:rPr>
        <w:t>D</w:t>
      </w:r>
      <w:r w:rsidRPr="000A240C">
        <w:rPr>
          <w:rFonts w:ascii="Arial" w:eastAsia="Arial" w:hAnsi="Arial"/>
          <w:sz w:val="22"/>
        </w:rPr>
        <w:t>, Rut and FN values into</w:t>
      </w:r>
      <w:r w:rsidRPr="000A240C">
        <w:rPr>
          <w:rFonts w:eastAsia="Arial"/>
        </w:rPr>
        <w:t xml:space="preserve"> </w:t>
      </w:r>
      <w:hyperlink r:id="rId230" w:history="1">
        <w:r w:rsidRPr="000A240C">
          <w:rPr>
            <w:rStyle w:val="Hyperlink"/>
            <w:rFonts w:ascii="Arial" w:eastAsia="Arial" w:hAnsi="Arial"/>
            <w:sz w:val="22"/>
          </w:rPr>
          <w:t>PDS-09 Automated Project-Level Design Help</w:t>
        </w:r>
      </w:hyperlink>
      <w:r w:rsidRPr="000A240C">
        <w:rPr>
          <w:rFonts w:ascii="Arial" w:eastAsia="Arial" w:hAnsi="Arial"/>
          <w:sz w:val="22"/>
        </w:rPr>
        <w:t>.</w:t>
      </w:r>
    </w:p>
    <w:p w14:paraId="21B80727" w14:textId="5F82B9C7" w:rsidR="003C4DBF" w:rsidRDefault="003C4DBF" w:rsidP="00172E64">
      <w:pPr>
        <w:pStyle w:val="ListNumber"/>
        <w:numPr>
          <w:ilvl w:val="0"/>
          <w:numId w:val="111"/>
        </w:numPr>
        <w:ind w:left="1080" w:hanging="1080"/>
        <w:jc w:val="both"/>
        <w:rPr>
          <w:rFonts w:eastAsia="Arial" w:cs="Arial"/>
        </w:rPr>
      </w:pPr>
      <w:r w:rsidRPr="00C17EF0">
        <w:rPr>
          <w:rFonts w:eastAsia="Arial" w:cs="Arial"/>
        </w:rPr>
        <w:t xml:space="preserve">Review the graphs of </w:t>
      </w:r>
      <w:r>
        <w:rPr>
          <w:rFonts w:eastAsia="Arial" w:cs="Arial"/>
        </w:rPr>
        <w:t>these data</w:t>
      </w:r>
      <w:r w:rsidRPr="00C17EF0">
        <w:rPr>
          <w:rFonts w:eastAsia="Arial" w:cs="Arial"/>
        </w:rPr>
        <w:t xml:space="preserve"> both by station and by year and compare them to the calculated average</w:t>
      </w:r>
      <w:r>
        <w:rPr>
          <w:rFonts w:eastAsia="Arial" w:cs="Arial"/>
        </w:rPr>
        <w:t>s</w:t>
      </w:r>
      <w:r w:rsidRPr="00C17EF0">
        <w:rPr>
          <w:rFonts w:eastAsia="Arial" w:cs="Arial"/>
        </w:rPr>
        <w:t xml:space="preserve"> for the most recent year available.</w:t>
      </w:r>
    </w:p>
    <w:p w14:paraId="2BF71FA3" w14:textId="77777777" w:rsidR="003C4DBF" w:rsidRDefault="003C4DBF" w:rsidP="00172E64">
      <w:pPr>
        <w:pStyle w:val="ListNumber"/>
        <w:numPr>
          <w:ilvl w:val="0"/>
          <w:numId w:val="111"/>
        </w:numPr>
        <w:ind w:left="1080" w:hanging="1080"/>
        <w:jc w:val="both"/>
        <w:rPr>
          <w:rFonts w:eastAsia="Arial" w:cs="Arial"/>
        </w:rPr>
      </w:pPr>
      <w:r w:rsidRPr="00C17EF0">
        <w:rPr>
          <w:rFonts w:eastAsia="Arial" w:cs="Arial"/>
        </w:rPr>
        <w:t>If the calculated average</w:t>
      </w:r>
      <w:r>
        <w:rPr>
          <w:rFonts w:eastAsia="Arial" w:cs="Arial"/>
        </w:rPr>
        <w:t>s</w:t>
      </w:r>
      <w:r w:rsidRPr="00C17EF0">
        <w:rPr>
          <w:rFonts w:eastAsia="Arial" w:cs="Arial"/>
        </w:rPr>
        <w:t xml:space="preserve"> seem reasonable, use </w:t>
      </w:r>
      <w:r>
        <w:rPr>
          <w:rFonts w:eastAsia="Arial" w:cs="Arial"/>
        </w:rPr>
        <w:t>them</w:t>
      </w:r>
      <w:r w:rsidRPr="00C17EF0">
        <w:rPr>
          <w:rFonts w:eastAsia="Arial" w:cs="Arial"/>
        </w:rPr>
        <w:t>; if not, adjust up or down to be more in line with the graphic output.</w:t>
      </w:r>
    </w:p>
    <w:p w14:paraId="42857A18" w14:textId="1E167D03" w:rsidR="003C4DBF" w:rsidRPr="00421FC9" w:rsidRDefault="003C4DBF" w:rsidP="00172E64">
      <w:pPr>
        <w:pStyle w:val="ListNumber"/>
        <w:numPr>
          <w:ilvl w:val="0"/>
          <w:numId w:val="111"/>
        </w:numPr>
        <w:ind w:left="1080" w:hanging="1080"/>
        <w:jc w:val="both"/>
        <w:rPr>
          <w:rFonts w:eastAsia="Arial" w:cs="Arial"/>
        </w:rPr>
      </w:pPr>
      <w:r w:rsidRPr="00C17EF0">
        <w:rPr>
          <w:rFonts w:eastAsia="Arial" w:cs="Arial"/>
        </w:rPr>
        <w:t>If there are distinct sections in terms of performance, analyze those sections sep</w:t>
      </w:r>
      <w:r w:rsidRPr="00421FC9">
        <w:rPr>
          <w:rFonts w:eastAsia="Arial" w:cs="Arial"/>
        </w:rPr>
        <w:t xml:space="preserve">arately, and repeat </w:t>
      </w:r>
      <w:r w:rsidR="00AD39DE">
        <w:rPr>
          <w:rFonts w:eastAsia="Arial" w:cs="Arial"/>
        </w:rPr>
        <w:t>S</w:t>
      </w:r>
      <w:r w:rsidRPr="00421FC9">
        <w:rPr>
          <w:rFonts w:eastAsia="Arial" w:cs="Arial"/>
        </w:rPr>
        <w:t>teps 1-3.</w:t>
      </w:r>
    </w:p>
    <w:p w14:paraId="15A9C84F" w14:textId="77777777" w:rsidR="00963188" w:rsidRPr="00421FC9" w:rsidRDefault="00963188" w:rsidP="00963188">
      <w:pPr>
        <w:rPr>
          <w:shd w:val="clear" w:color="auto" w:fill="FFFF00"/>
        </w:rPr>
      </w:pPr>
    </w:p>
    <w:p w14:paraId="2D762D28" w14:textId="77777777" w:rsidR="00963188" w:rsidRDefault="00963188" w:rsidP="00172E64">
      <w:pPr>
        <w:pStyle w:val="Heading5"/>
        <w:numPr>
          <w:ilvl w:val="4"/>
          <w:numId w:val="184"/>
        </w:numPr>
        <w:tabs>
          <w:tab w:val="left" w:pos="1800"/>
        </w:tabs>
        <w:ind w:left="1098" w:hanging="1098"/>
        <w:rPr>
          <w:rFonts w:eastAsia="Arial"/>
        </w:rPr>
      </w:pPr>
      <w:bookmarkStart w:id="488" w:name="_Determine_Values_immediately"/>
      <w:bookmarkEnd w:id="488"/>
      <w:r w:rsidRPr="00421FC9">
        <w:rPr>
          <w:rFonts w:eastAsia="Arial"/>
        </w:rPr>
        <w:lastRenderedPageBreak/>
        <w:t>Determine Values immediately after treatment</w:t>
      </w:r>
    </w:p>
    <w:p w14:paraId="29AF22B0" w14:textId="77777777" w:rsidR="003E40B5" w:rsidRPr="008F604D" w:rsidRDefault="003E40B5"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maining_Service_Life" w:history="1">
        <w:r w:rsidRPr="003E40B5">
          <w:rPr>
            <w:rStyle w:val="Hyperlink"/>
            <w:rFonts w:ascii="Arial" w:hAnsi="Arial" w:cs="Arial"/>
            <w:bCs/>
            <w:sz w:val="16"/>
            <w:szCs w:val="16"/>
          </w:rPr>
          <w:t>Remaining Service Life Analysis</w:t>
        </w:r>
      </w:hyperlink>
    </w:p>
    <w:p w14:paraId="3ED27488" w14:textId="77777777" w:rsidR="003E40B5" w:rsidRPr="003E40B5" w:rsidRDefault="003E40B5" w:rsidP="003E40B5">
      <w:pPr>
        <w:rPr>
          <w:rFonts w:eastAsia="Arial"/>
        </w:rPr>
      </w:pPr>
    </w:p>
    <w:p w14:paraId="2ACD60E5" w14:textId="77777777" w:rsidR="003C4DBF" w:rsidRPr="000A240C" w:rsidRDefault="003C4DBF" w:rsidP="000A240C">
      <w:pPr>
        <w:jc w:val="both"/>
        <w:rPr>
          <w:rFonts w:ascii="Arial" w:eastAsia="Arial" w:hAnsi="Arial"/>
          <w:sz w:val="22"/>
        </w:rPr>
      </w:pPr>
      <w:r w:rsidRPr="000A240C">
        <w:rPr>
          <w:rFonts w:ascii="Arial" w:eastAsia="Arial" w:hAnsi="Arial"/>
          <w:sz w:val="22"/>
        </w:rPr>
        <w:t xml:space="preserve">Refer to </w:t>
      </w:r>
      <w:hyperlink w:anchor="_Performance_Criteria_–" w:history="1">
        <w:r w:rsidRPr="000A240C">
          <w:rPr>
            <w:rStyle w:val="Hyperlink"/>
            <w:rFonts w:ascii="Arial" w:eastAsia="Arial" w:hAnsi="Arial"/>
            <w:sz w:val="22"/>
          </w:rPr>
          <w:t>Performance Criteria – Initial Performance Targets</w:t>
        </w:r>
      </w:hyperlink>
      <w:r w:rsidRPr="000A240C">
        <w:rPr>
          <w:rFonts w:ascii="Arial" w:eastAsia="Arial" w:hAnsi="Arial"/>
          <w:sz w:val="22"/>
        </w:rPr>
        <w:t xml:space="preserve">.  For ride quality, if the treatment is an HMA overlay, use </w:t>
      </w:r>
      <w:hyperlink r:id="rId231">
        <w:r w:rsidRPr="000A240C">
          <w:rPr>
            <w:rFonts w:ascii="Arial" w:eastAsia="Arial" w:hAnsi="Arial"/>
            <w:color w:val="0000FF"/>
            <w:sz w:val="22"/>
            <w:u w:val="single"/>
          </w:rPr>
          <w:t>Form PD-11</w:t>
        </w:r>
      </w:hyperlink>
      <w:r w:rsidRPr="000A240C">
        <w:rPr>
          <w:rFonts w:ascii="Arial" w:eastAsia="Arial" w:hAnsi="Arial"/>
          <w:sz w:val="22"/>
        </w:rPr>
        <w:t>.</w:t>
      </w:r>
    </w:p>
    <w:p w14:paraId="240B02B7" w14:textId="77777777" w:rsidR="00963188" w:rsidRPr="00421FC9" w:rsidRDefault="00963188" w:rsidP="00963188">
      <w:pPr>
        <w:rPr>
          <w:rFonts w:ascii="Arial" w:eastAsia="Arial" w:hAnsi="Arial" w:cs="Arial"/>
        </w:rPr>
      </w:pPr>
    </w:p>
    <w:p w14:paraId="5573F1EF" w14:textId="77777777" w:rsidR="00963188" w:rsidRPr="00421FC9" w:rsidRDefault="00963188" w:rsidP="00172E64">
      <w:pPr>
        <w:pStyle w:val="Heading5"/>
        <w:numPr>
          <w:ilvl w:val="4"/>
          <w:numId w:val="184"/>
        </w:numPr>
        <w:tabs>
          <w:tab w:val="left" w:pos="1800"/>
        </w:tabs>
        <w:ind w:left="1098" w:hanging="1098"/>
        <w:rPr>
          <w:rFonts w:eastAsia="Arial"/>
        </w:rPr>
      </w:pPr>
      <w:bookmarkStart w:id="489" w:name="_Determine_Deterioration_over"/>
      <w:bookmarkEnd w:id="489"/>
      <w:r w:rsidRPr="00421FC9">
        <w:rPr>
          <w:rFonts w:eastAsia="Arial"/>
        </w:rPr>
        <w:t>Determine Deterioration over Time</w:t>
      </w:r>
    </w:p>
    <w:p w14:paraId="5C15344A" w14:textId="77777777" w:rsidR="003E40B5" w:rsidRPr="008F604D" w:rsidRDefault="003E40B5" w:rsidP="003E40B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maining_Service_Life" w:history="1">
        <w:r w:rsidRPr="003E40B5">
          <w:rPr>
            <w:rStyle w:val="Hyperlink"/>
            <w:rFonts w:ascii="Arial" w:hAnsi="Arial" w:cs="Arial"/>
            <w:bCs/>
            <w:sz w:val="16"/>
            <w:szCs w:val="16"/>
          </w:rPr>
          <w:t>Remaining Service Life Analysis</w:t>
        </w:r>
      </w:hyperlink>
    </w:p>
    <w:p w14:paraId="3483EC40" w14:textId="77777777" w:rsidR="003E40B5" w:rsidRDefault="003E40B5" w:rsidP="00963188">
      <w:pPr>
        <w:jc w:val="both"/>
        <w:rPr>
          <w:rFonts w:ascii="Arial" w:eastAsia="Arial" w:hAnsi="Arial" w:cs="Arial"/>
          <w:sz w:val="22"/>
        </w:rPr>
      </w:pPr>
    </w:p>
    <w:p w14:paraId="440B2645" w14:textId="77777777" w:rsidR="00963188" w:rsidRPr="00421FC9" w:rsidRDefault="00963188" w:rsidP="00963188">
      <w:pPr>
        <w:jc w:val="both"/>
      </w:pPr>
      <w:r w:rsidRPr="00421FC9">
        <w:rPr>
          <w:rFonts w:ascii="Arial" w:eastAsia="Arial" w:hAnsi="Arial" w:cs="Arial"/>
          <w:sz w:val="22"/>
        </w:rPr>
        <w:t xml:space="preserve">Refer to </w:t>
      </w:r>
      <w:hyperlink w:anchor="_Performance_Criteria_–_1" w:history="1">
        <w:r w:rsidR="00421FC9" w:rsidRPr="00421FC9">
          <w:rPr>
            <w:rStyle w:val="Hyperlink"/>
            <w:rFonts w:ascii="Arial" w:eastAsia="Arial" w:hAnsi="Arial" w:cs="Arial"/>
            <w:sz w:val="22"/>
          </w:rPr>
          <w:t>Performance Criteria – Terminal Performance Targets</w:t>
        </w:r>
      </w:hyperlink>
      <w:r w:rsidRPr="00421FC9">
        <w:rPr>
          <w:rFonts w:ascii="Arial" w:eastAsia="Arial" w:hAnsi="Arial" w:cs="Arial"/>
          <w:sz w:val="22"/>
        </w:rPr>
        <w:t xml:space="preserve"> to determine the design terminal threshold</w:t>
      </w:r>
      <w:r w:rsidR="001F5152">
        <w:rPr>
          <w:rFonts w:ascii="Arial" w:eastAsia="Arial" w:hAnsi="Arial" w:cs="Arial"/>
          <w:sz w:val="22"/>
        </w:rPr>
        <w:t>s</w:t>
      </w:r>
      <w:r w:rsidRPr="00421FC9">
        <w:rPr>
          <w:rFonts w:ascii="Arial" w:eastAsia="Arial" w:hAnsi="Arial" w:cs="Arial"/>
          <w:sz w:val="22"/>
        </w:rPr>
        <w:t>.</w:t>
      </w:r>
      <w:r w:rsidRPr="00421FC9">
        <w:rPr>
          <w:sz w:val="22"/>
        </w:rPr>
        <w:t xml:space="preserve">  </w:t>
      </w:r>
    </w:p>
    <w:p w14:paraId="7AC808CB" w14:textId="77777777" w:rsidR="00963188" w:rsidRPr="00421FC9" w:rsidRDefault="00963188" w:rsidP="00963188">
      <w:pPr>
        <w:jc w:val="both"/>
      </w:pPr>
    </w:p>
    <w:p w14:paraId="67064AE1" w14:textId="5FC69496" w:rsidR="003C4DBF" w:rsidRPr="000A240C" w:rsidRDefault="003C4DBF" w:rsidP="000A240C">
      <w:pPr>
        <w:jc w:val="both"/>
        <w:rPr>
          <w:rFonts w:ascii="Arial" w:eastAsia="Arial" w:hAnsi="Arial"/>
          <w:sz w:val="22"/>
        </w:rPr>
      </w:pPr>
      <w:r w:rsidRPr="000A240C">
        <w:rPr>
          <w:rFonts w:ascii="Arial" w:eastAsia="Arial" w:hAnsi="Arial"/>
          <w:sz w:val="22"/>
        </w:rPr>
        <w:t xml:space="preserve">Determine the number of years until the design terminal threshold is met using PMED as per </w:t>
      </w:r>
      <w:hyperlink w:anchor="_Pavement_Mechanistic-Empirical_Anal" w:history="1">
        <w:r w:rsidRPr="000A240C">
          <w:rPr>
            <w:rStyle w:val="Hyperlink"/>
            <w:rFonts w:ascii="Arial" w:eastAsia="Arial" w:hAnsi="Arial"/>
            <w:sz w:val="22"/>
          </w:rPr>
          <w:t>Pavement Mechanistic-Empirical Analysis</w:t>
        </w:r>
      </w:hyperlink>
      <w:r w:rsidRPr="000A240C">
        <w:rPr>
          <w:rFonts w:ascii="Arial" w:eastAsia="Arial" w:hAnsi="Arial"/>
          <w:sz w:val="22"/>
        </w:rPr>
        <w:t xml:space="preserve">.  This can be done for all </w:t>
      </w:r>
      <w:r w:rsidR="00AD39DE">
        <w:rPr>
          <w:rFonts w:ascii="Arial" w:eastAsia="Arial" w:hAnsi="Arial" w:cs="Arial"/>
          <w:sz w:val="22"/>
          <w:szCs w:val="22"/>
        </w:rPr>
        <w:t xml:space="preserve">types of </w:t>
      </w:r>
      <w:r w:rsidRPr="00AD39DE">
        <w:rPr>
          <w:rFonts w:ascii="Arial" w:eastAsia="Arial" w:hAnsi="Arial" w:cs="Arial"/>
          <w:sz w:val="22"/>
          <w:szCs w:val="22"/>
        </w:rPr>
        <w:t>distress</w:t>
      </w:r>
      <w:r w:rsidRPr="000A240C">
        <w:rPr>
          <w:rFonts w:ascii="Arial" w:eastAsia="Arial" w:hAnsi="Arial"/>
          <w:sz w:val="22"/>
        </w:rPr>
        <w:t xml:space="preserve"> except for friction.</w:t>
      </w:r>
    </w:p>
    <w:p w14:paraId="777392BF" w14:textId="6BDB95A2" w:rsidR="003C4DBF" w:rsidRPr="00C05F53" w:rsidRDefault="003C4DBF" w:rsidP="00172E64">
      <w:pPr>
        <w:pStyle w:val="ListNumber"/>
        <w:numPr>
          <w:ilvl w:val="0"/>
          <w:numId w:val="112"/>
        </w:numPr>
        <w:spacing w:before="240"/>
        <w:ind w:left="1080" w:hanging="1080"/>
        <w:jc w:val="both"/>
        <w:rPr>
          <w:rFonts w:eastAsia="Arial" w:cs="Arial"/>
        </w:rPr>
      </w:pPr>
      <w:r w:rsidRPr="00C05F53">
        <w:rPr>
          <w:rFonts w:eastAsia="Arial" w:cs="Arial"/>
        </w:rPr>
        <w:t xml:space="preserve">Determine the number of years until the design terminal threshold is met using historical performance data.   This can be done by using </w:t>
      </w:r>
      <w:hyperlink r:id="rId232" w:history="1">
        <w:r w:rsidRPr="00AF73CC">
          <w:rPr>
            <w:rStyle w:val="Hyperlink"/>
            <w:rFonts w:eastAsia="Arial" w:cs="Arial"/>
          </w:rPr>
          <w:t>PDS-09 Automated Project-Level Design Help</w:t>
        </w:r>
      </w:hyperlink>
      <w:r w:rsidRPr="00C05F53">
        <w:rPr>
          <w:rFonts w:eastAsia="Arial" w:cs="Arial"/>
        </w:rPr>
        <w:t xml:space="preserve">.  This can be done for all </w:t>
      </w:r>
      <w:r w:rsidR="00AD39DE">
        <w:rPr>
          <w:rFonts w:eastAsia="Arial" w:cs="Arial"/>
        </w:rPr>
        <w:t xml:space="preserve">types of </w:t>
      </w:r>
      <w:r w:rsidRPr="00C05F53">
        <w:rPr>
          <w:rFonts w:eastAsia="Arial" w:cs="Arial"/>
        </w:rPr>
        <w:t>distress except for friction.</w:t>
      </w:r>
    </w:p>
    <w:p w14:paraId="27D190A4" w14:textId="77777777" w:rsidR="003C4DBF" w:rsidRPr="00C05F53" w:rsidRDefault="003C4DBF" w:rsidP="00172E64">
      <w:pPr>
        <w:pStyle w:val="ListNumber"/>
        <w:numPr>
          <w:ilvl w:val="0"/>
          <w:numId w:val="112"/>
        </w:numPr>
        <w:ind w:left="1080" w:hanging="1080"/>
        <w:jc w:val="both"/>
        <w:rPr>
          <w:rFonts w:eastAsia="Arial" w:cs="Arial"/>
        </w:rPr>
      </w:pPr>
      <w:r w:rsidRPr="00C05F53">
        <w:rPr>
          <w:rFonts w:eastAsia="Arial" w:cs="Arial"/>
        </w:rPr>
        <w:t xml:space="preserve">For friction design, refer to </w:t>
      </w:r>
      <w:hyperlink w:anchor="_Friction_Design_1" w:history="1">
        <w:r w:rsidRPr="00C05F53">
          <w:rPr>
            <w:rStyle w:val="Hyperlink"/>
            <w:rFonts w:eastAsia="Arial" w:cs="Arial"/>
          </w:rPr>
          <w:t>Friction Design</w:t>
        </w:r>
      </w:hyperlink>
      <w:r w:rsidRPr="00C05F53">
        <w:rPr>
          <w:rFonts w:eastAsia="Arial" w:cs="Arial"/>
        </w:rPr>
        <w:t>.</w:t>
      </w:r>
    </w:p>
    <w:p w14:paraId="2DA6A2BE" w14:textId="77777777" w:rsidR="003C4DBF" w:rsidRPr="00C05F53" w:rsidRDefault="003C4DBF" w:rsidP="00172E64">
      <w:pPr>
        <w:pStyle w:val="ListNumber"/>
        <w:numPr>
          <w:ilvl w:val="0"/>
          <w:numId w:val="112"/>
        </w:numPr>
        <w:ind w:left="1080" w:hanging="1080"/>
        <w:jc w:val="both"/>
        <w:rPr>
          <w:rFonts w:eastAsia="Arial" w:cs="Arial"/>
        </w:rPr>
      </w:pPr>
      <w:r w:rsidRPr="00C05F53">
        <w:rPr>
          <w:rFonts w:eastAsia="Arial" w:cs="Arial"/>
        </w:rPr>
        <w:t xml:space="preserve">Refer to </w:t>
      </w:r>
      <w:hyperlink w:anchor="_Supplemental_Treatment_Information_1" w:history="1">
        <w:r w:rsidRPr="00C05F53">
          <w:rPr>
            <w:rStyle w:val="Hyperlink"/>
            <w:rFonts w:eastAsia="Arial" w:cs="Arial"/>
          </w:rPr>
          <w:t>Supplemental Treatment Information</w:t>
        </w:r>
      </w:hyperlink>
      <w:r w:rsidRPr="00C05F53">
        <w:rPr>
          <w:rFonts w:eastAsia="Arial" w:cs="Arial"/>
        </w:rPr>
        <w:t xml:space="preserve"> to ensure that the number</w:t>
      </w:r>
      <w:r>
        <w:rPr>
          <w:rFonts w:eastAsia="Arial" w:cs="Arial"/>
        </w:rPr>
        <w:t>s</w:t>
      </w:r>
      <w:r w:rsidRPr="00C05F53">
        <w:rPr>
          <w:rFonts w:eastAsia="Arial" w:cs="Arial"/>
        </w:rPr>
        <w:t xml:space="preserve"> of years determined in Steps 1 </w:t>
      </w:r>
      <w:r>
        <w:rPr>
          <w:rFonts w:eastAsia="Arial" w:cs="Arial"/>
        </w:rPr>
        <w:t>through</w:t>
      </w:r>
      <w:r w:rsidRPr="00C05F53">
        <w:rPr>
          <w:rFonts w:eastAsia="Arial" w:cs="Arial"/>
        </w:rPr>
        <w:t xml:space="preserve"> </w:t>
      </w:r>
      <w:r>
        <w:rPr>
          <w:rFonts w:eastAsia="Arial" w:cs="Arial"/>
        </w:rPr>
        <w:t>3</w:t>
      </w:r>
      <w:r w:rsidRPr="00C05F53">
        <w:rPr>
          <w:rFonts w:eastAsia="Arial" w:cs="Arial"/>
        </w:rPr>
        <w:t xml:space="preserve"> are reasonable given the treatment.</w:t>
      </w:r>
    </w:p>
    <w:p w14:paraId="6CBE3195" w14:textId="77777777" w:rsidR="003C4DBF" w:rsidRPr="00C05F53" w:rsidRDefault="003C4DBF" w:rsidP="00172E64">
      <w:pPr>
        <w:pStyle w:val="ListNumber"/>
        <w:numPr>
          <w:ilvl w:val="0"/>
          <w:numId w:val="112"/>
        </w:numPr>
        <w:ind w:left="1080" w:hanging="1080"/>
        <w:jc w:val="both"/>
        <w:rPr>
          <w:rFonts w:eastAsia="Arial" w:cs="Arial"/>
        </w:rPr>
      </w:pPr>
      <w:r w:rsidRPr="00C05F53">
        <w:rPr>
          <w:rFonts w:eastAsia="Arial" w:cs="Arial"/>
        </w:rPr>
        <w:t>Use engineering judgment to determine which life extension best represents the results of Steps 1-</w:t>
      </w:r>
      <w:r>
        <w:rPr>
          <w:rFonts w:eastAsia="Arial" w:cs="Arial"/>
        </w:rPr>
        <w:t>4</w:t>
      </w:r>
      <w:r w:rsidRPr="00C05F53">
        <w:rPr>
          <w:rFonts w:eastAsia="Arial" w:cs="Arial"/>
        </w:rPr>
        <w:t>.</w:t>
      </w:r>
    </w:p>
    <w:p w14:paraId="578103CF" w14:textId="77777777" w:rsidR="00421FC9" w:rsidRDefault="00421FC9">
      <w:pPr>
        <w:rPr>
          <w:rFonts w:ascii="Arial" w:hAnsi="Arial"/>
          <w:b/>
          <w:i/>
          <w:sz w:val="24"/>
        </w:rPr>
      </w:pPr>
      <w:bookmarkStart w:id="490" w:name="_Friction_Design"/>
      <w:bookmarkEnd w:id="490"/>
    </w:p>
    <w:p w14:paraId="0B7BFE95" w14:textId="77777777" w:rsidR="00401BA3" w:rsidRPr="000A240C" w:rsidRDefault="00401BA3" w:rsidP="00172E64">
      <w:pPr>
        <w:pStyle w:val="Heading6"/>
        <w:numPr>
          <w:ilvl w:val="5"/>
          <w:numId w:val="184"/>
        </w:numPr>
        <w:tabs>
          <w:tab w:val="left" w:pos="1800"/>
        </w:tabs>
        <w:ind w:left="1152"/>
        <w:rPr>
          <w:b/>
        </w:rPr>
      </w:pPr>
      <w:bookmarkStart w:id="491" w:name="_Friction_Design_1"/>
      <w:bookmarkEnd w:id="491"/>
      <w:r w:rsidRPr="000A240C">
        <w:rPr>
          <w:b/>
        </w:rPr>
        <w:t>Friction Design</w:t>
      </w:r>
    </w:p>
    <w:p w14:paraId="2EE26090" w14:textId="77777777" w:rsidR="00EB10B4" w:rsidRPr="008F604D" w:rsidRDefault="00EB10B4" w:rsidP="00EB10B4">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esign_Input_Policies_1" w:history="1">
        <w:r w:rsidRPr="002D3A2A">
          <w:rPr>
            <w:rStyle w:val="Hyperlink"/>
            <w:rFonts w:ascii="Arial" w:hAnsi="Arial" w:cs="Arial"/>
            <w:bCs/>
            <w:sz w:val="16"/>
            <w:szCs w:val="16"/>
          </w:rPr>
          <w:t>Design Input Policies</w:t>
        </w:r>
      </w:hyperlink>
    </w:p>
    <w:p w14:paraId="3D9F4443" w14:textId="77777777" w:rsidR="006A1C0F" w:rsidRPr="00A11483" w:rsidRDefault="006A1C0F" w:rsidP="000A240C">
      <w:pPr>
        <w:pStyle w:val="ListNumber"/>
        <w:tabs>
          <w:tab w:val="clear" w:pos="720"/>
          <w:tab w:val="clear" w:pos="1872"/>
        </w:tabs>
        <w:ind w:left="0" w:firstLine="0"/>
        <w:jc w:val="both"/>
      </w:pPr>
      <w:r w:rsidRPr="00A11483">
        <w:t>On average, analysis performed by the Pavement Management section has shown that the rate of deterioration is fairly static.</w:t>
      </w:r>
      <w:r w:rsidR="004C7204" w:rsidRPr="00A11483">
        <w:t xml:space="preserve">  Use the following equation to determine the projected skid number based on number of years in service:</w:t>
      </w:r>
    </w:p>
    <w:p w14:paraId="220A90EA" w14:textId="77777777" w:rsidR="004C7204" w:rsidRPr="00A11483" w:rsidRDefault="004C7204" w:rsidP="000A240C">
      <w:pPr>
        <w:pStyle w:val="ListNumber"/>
        <w:tabs>
          <w:tab w:val="clear" w:pos="720"/>
          <w:tab w:val="clear" w:pos="1872"/>
        </w:tabs>
        <w:spacing w:before="0"/>
        <w:ind w:left="0" w:firstLine="0"/>
      </w:pPr>
    </w:p>
    <w:p w14:paraId="0A661AEE" w14:textId="77777777" w:rsidR="004C7204" w:rsidRPr="00A11483" w:rsidRDefault="00704193" w:rsidP="00401BA3">
      <w:pPr>
        <w:pStyle w:val="ListNumber"/>
        <w:tabs>
          <w:tab w:val="clear" w:pos="720"/>
          <w:tab w:val="clear" w:pos="1872"/>
        </w:tabs>
        <w:ind w:left="0" w:firstLine="0"/>
      </w:pPr>
      <m:oMathPara>
        <m:oMath>
          <m:r>
            <w:rPr>
              <w:rFonts w:ascii="Cambria Math" w:hAnsi="Cambria Math"/>
            </w:rPr>
            <m:t>SNt = SN</m:t>
          </m:r>
          <m:r>
            <w:rPr>
              <w:rFonts w:ascii="Cambria Math" w:hAnsi="Cambria Math"/>
              <w:vertAlign w:val="subscript"/>
            </w:rPr>
            <m:t>i</m:t>
          </m:r>
          <m:r>
            <w:rPr>
              <w:rFonts w:ascii="Cambria Math" w:hAnsi="Cambria Math"/>
            </w:rPr>
            <m:t xml:space="preserve"> - </m:t>
          </m:r>
          <m:d>
            <m:dPr>
              <m:ctrlPr>
                <w:rPr>
                  <w:rFonts w:ascii="Cambria Math" w:hAnsi="Cambria Math"/>
                  <w:i/>
                </w:rPr>
              </m:ctrlPr>
            </m:dPr>
            <m:e>
              <m:r>
                <w:rPr>
                  <w:rFonts w:ascii="Cambria Math" w:hAnsi="Cambria Math"/>
                </w:rPr>
                <m:t>Years - 1</m:t>
              </m:r>
            </m:e>
          </m:d>
          <m:r>
            <w:rPr>
              <w:rFonts w:ascii="Cambria Math" w:hAnsi="Cambria Math"/>
            </w:rPr>
            <m:t>*</m:t>
          </m:r>
          <m:f>
            <m:fPr>
              <m:ctrlPr>
                <w:rPr>
                  <w:rFonts w:ascii="Cambria Math" w:hAnsi="Cambria Math"/>
                  <w:i/>
                </w:rPr>
              </m:ctrlPr>
            </m:fPr>
            <m:num>
              <m:r>
                <w:rPr>
                  <w:rFonts w:ascii="Cambria Math" w:hAnsi="Cambria Math"/>
                </w:rPr>
                <m:t>SN</m:t>
              </m:r>
              <m:r>
                <w:rPr>
                  <w:rFonts w:ascii="Cambria Math" w:hAnsi="Cambria Math"/>
                  <w:vertAlign w:val="subscript"/>
                </w:rPr>
                <m:t>i</m:t>
              </m:r>
              <m:r>
                <w:rPr>
                  <w:rFonts w:ascii="Cambria Math" w:hAnsi="Cambria Math"/>
                </w:rPr>
                <m:t xml:space="preserve"> - SN</m:t>
              </m:r>
              <m:r>
                <w:rPr>
                  <w:rFonts w:ascii="Cambria Math" w:hAnsi="Cambria Math"/>
                  <w:vertAlign w:val="subscript"/>
                </w:rPr>
                <m:t>f</m:t>
              </m:r>
              <m:ctrlPr>
                <w:rPr>
                  <w:rFonts w:ascii="Cambria Math" w:hAnsi="Cambria Math"/>
                  <w:i/>
                  <w:vertAlign w:val="subscript"/>
                </w:rPr>
              </m:ctrlPr>
            </m:num>
            <m:den>
              <m:r>
                <w:rPr>
                  <w:rFonts w:ascii="Cambria Math" w:hAnsi="Cambria Math"/>
                </w:rPr>
                <m:t>25</m:t>
              </m:r>
            </m:den>
          </m:f>
        </m:oMath>
      </m:oMathPara>
    </w:p>
    <w:p w14:paraId="0A23DF9A" w14:textId="77777777" w:rsidR="009A6576" w:rsidRPr="00A11483" w:rsidRDefault="009A6576" w:rsidP="000A240C">
      <w:pPr>
        <w:pStyle w:val="ListNumber"/>
        <w:tabs>
          <w:tab w:val="clear" w:pos="720"/>
          <w:tab w:val="clear" w:pos="1872"/>
        </w:tabs>
        <w:spacing w:before="0"/>
        <w:ind w:left="0" w:firstLine="0"/>
      </w:pPr>
    </w:p>
    <w:p w14:paraId="1D45C0D5" w14:textId="6F560965" w:rsidR="009A6576" w:rsidRPr="00A11483" w:rsidRDefault="009A6576" w:rsidP="000A240C">
      <w:pPr>
        <w:pStyle w:val="ListNumber"/>
        <w:tabs>
          <w:tab w:val="clear" w:pos="720"/>
          <w:tab w:val="clear" w:pos="1872"/>
        </w:tabs>
        <w:spacing w:before="0"/>
        <w:ind w:left="0" w:firstLine="0"/>
        <w:jc w:val="both"/>
      </w:pPr>
      <w:r w:rsidRPr="00A11483">
        <w:t>If the future SN</w:t>
      </w:r>
      <w:r w:rsidR="009E716C" w:rsidRPr="00A11483">
        <w:rPr>
          <w:vertAlign w:val="subscript"/>
        </w:rPr>
        <w:t>t</w:t>
      </w:r>
      <w:r w:rsidRPr="00A11483">
        <w:t xml:space="preserve"> is known (i.e.</w:t>
      </w:r>
      <w:r w:rsidR="00AD39DE">
        <w:t>,</w:t>
      </w:r>
      <w:r w:rsidRPr="00A11483">
        <w:t xml:space="preserve"> it is a terminal design target and the designer wishes to determine the number of years until it is reached), the equation can be re-written as follows:</w:t>
      </w:r>
    </w:p>
    <w:p w14:paraId="18037376" w14:textId="77777777" w:rsidR="009A6576" w:rsidRPr="00A11483" w:rsidRDefault="009A6576" w:rsidP="000A240C">
      <w:pPr>
        <w:pStyle w:val="ListNumber"/>
        <w:tabs>
          <w:tab w:val="clear" w:pos="720"/>
          <w:tab w:val="clear" w:pos="1872"/>
        </w:tabs>
        <w:spacing w:before="0"/>
        <w:ind w:left="0" w:firstLine="0"/>
      </w:pPr>
    </w:p>
    <w:p w14:paraId="577145AA" w14:textId="77777777" w:rsidR="009A6576" w:rsidRPr="00A11483" w:rsidRDefault="004457C1" w:rsidP="00401BA3">
      <w:pPr>
        <w:pStyle w:val="ListNumber"/>
        <w:tabs>
          <w:tab w:val="clear" w:pos="720"/>
          <w:tab w:val="clear" w:pos="1872"/>
        </w:tabs>
        <w:ind w:left="0" w:firstLine="0"/>
        <w:rPr>
          <w:rFonts w:ascii="Cambria Math" w:hAnsi="Cambria Math"/>
          <w:oMath/>
        </w:rPr>
      </w:pPr>
      <m:oMathPara>
        <m:oMath>
          <m:r>
            <w:rPr>
              <w:rFonts w:ascii="Cambria Math" w:hAnsi="Cambria Math"/>
            </w:rPr>
            <m:t>Years = 1 + 25 *</m:t>
          </m:r>
          <m:f>
            <m:fPr>
              <m:ctrlPr>
                <w:rPr>
                  <w:rFonts w:ascii="Cambria Math" w:hAnsi="Cambria Math"/>
                  <w:i/>
                </w:rPr>
              </m:ctrlPr>
            </m:fPr>
            <m:num>
              <m:r>
                <w:rPr>
                  <w:rFonts w:ascii="Cambria Math" w:hAnsi="Cambria Math"/>
                </w:rPr>
                <m:t>SN</m:t>
              </m:r>
              <m:r>
                <w:rPr>
                  <w:rFonts w:ascii="Cambria Math" w:hAnsi="Cambria Math"/>
                  <w:vertAlign w:val="subscript"/>
                </w:rPr>
                <m:t>i</m:t>
              </m:r>
              <m:r>
                <w:rPr>
                  <w:rFonts w:ascii="Cambria Math" w:hAnsi="Cambria Math"/>
                </w:rPr>
                <m:t xml:space="preserve"> - SNt</m:t>
              </m:r>
            </m:num>
            <m:den>
              <m:r>
                <w:rPr>
                  <w:rFonts w:ascii="Cambria Math" w:hAnsi="Cambria Math"/>
                </w:rPr>
                <m:t>SN</m:t>
              </m:r>
              <m:r>
                <w:rPr>
                  <w:rFonts w:ascii="Cambria Math" w:hAnsi="Cambria Math"/>
                  <w:vertAlign w:val="subscript"/>
                </w:rPr>
                <m:t>i</m:t>
              </m:r>
              <m:r>
                <w:rPr>
                  <w:rFonts w:ascii="Cambria Math" w:hAnsi="Cambria Math"/>
                </w:rPr>
                <m:t xml:space="preserve"> - SN</m:t>
              </m:r>
              <m:r>
                <w:rPr>
                  <w:rFonts w:ascii="Cambria Math" w:hAnsi="Cambria Math"/>
                  <w:vertAlign w:val="subscript"/>
                </w:rPr>
                <m:t>f</m:t>
              </m:r>
              <m:ctrlPr>
                <w:rPr>
                  <w:rFonts w:ascii="Cambria Math" w:hAnsi="Cambria Math"/>
                  <w:i/>
                  <w:vertAlign w:val="subscript"/>
                </w:rPr>
              </m:ctrlPr>
            </m:den>
          </m:f>
        </m:oMath>
      </m:oMathPara>
    </w:p>
    <w:p w14:paraId="2F8A75C2" w14:textId="77777777" w:rsidR="00704193" w:rsidRPr="00A11483" w:rsidRDefault="00704193" w:rsidP="00401BA3">
      <w:pPr>
        <w:pStyle w:val="ListNumber"/>
        <w:tabs>
          <w:tab w:val="clear" w:pos="720"/>
          <w:tab w:val="clear" w:pos="1872"/>
        </w:tabs>
        <w:ind w:left="0" w:firstLine="0"/>
      </w:pPr>
      <w:r w:rsidRPr="00A11483">
        <w:t>Where:</w:t>
      </w:r>
    </w:p>
    <w:p w14:paraId="6DD455A3" w14:textId="52B34F04" w:rsidR="00704193" w:rsidRPr="00A11483" w:rsidRDefault="00704193" w:rsidP="000A240C">
      <w:pPr>
        <w:pStyle w:val="ListNumber"/>
        <w:tabs>
          <w:tab w:val="clear" w:pos="720"/>
          <w:tab w:val="clear" w:pos="1872"/>
          <w:tab w:val="left" w:pos="1440"/>
          <w:tab w:val="left" w:pos="1710"/>
        </w:tabs>
        <w:spacing w:before="0"/>
        <w:ind w:left="720" w:firstLine="0"/>
      </w:pPr>
      <w:r w:rsidRPr="00A11483">
        <w:t>SN</w:t>
      </w:r>
      <w:r w:rsidR="009E716C" w:rsidRPr="00A11483">
        <w:rPr>
          <w:vertAlign w:val="subscript"/>
        </w:rPr>
        <w:t>t</w:t>
      </w:r>
      <w:r w:rsidRPr="00A11483">
        <w:t xml:space="preserve"> </w:t>
      </w:r>
      <w:r w:rsidR="00AD39DE">
        <w:tab/>
      </w:r>
      <w:r w:rsidRPr="00A11483">
        <w:t xml:space="preserve">= </w:t>
      </w:r>
      <w:r w:rsidR="00AD39DE">
        <w:tab/>
      </w:r>
      <w:r w:rsidR="009E716C" w:rsidRPr="00A11483">
        <w:t xml:space="preserve">Terminal/Target </w:t>
      </w:r>
      <w:r w:rsidRPr="00A11483">
        <w:t>Skid number after the number of years in question</w:t>
      </w:r>
    </w:p>
    <w:p w14:paraId="05E636F8" w14:textId="31F1BCD9" w:rsidR="00704193" w:rsidRPr="00A11483" w:rsidRDefault="00704193" w:rsidP="000A240C">
      <w:pPr>
        <w:pStyle w:val="ListNumber"/>
        <w:tabs>
          <w:tab w:val="clear" w:pos="720"/>
          <w:tab w:val="clear" w:pos="1872"/>
          <w:tab w:val="left" w:pos="1440"/>
          <w:tab w:val="left" w:pos="1710"/>
        </w:tabs>
        <w:spacing w:before="0"/>
        <w:ind w:left="1710" w:hanging="990"/>
      </w:pPr>
      <w:r w:rsidRPr="00A11483">
        <w:t>SN</w:t>
      </w:r>
      <w:r w:rsidRPr="00A11483">
        <w:rPr>
          <w:vertAlign w:val="subscript"/>
        </w:rPr>
        <w:t>i</w:t>
      </w:r>
      <w:r w:rsidRPr="00A11483">
        <w:t xml:space="preserve"> </w:t>
      </w:r>
      <w:r w:rsidR="00AD39DE">
        <w:tab/>
      </w:r>
      <w:r w:rsidRPr="00A11483">
        <w:t xml:space="preserve">= </w:t>
      </w:r>
      <w:r w:rsidR="00AD39DE">
        <w:tab/>
        <w:t>T</w:t>
      </w:r>
      <w:r w:rsidRPr="00A11483">
        <w:t xml:space="preserve">he initial skid number for a new surface, from </w:t>
      </w:r>
      <w:hyperlink w:anchor="Initial_Friction_Values" w:history="1">
        <w:r w:rsidRPr="00A11483">
          <w:rPr>
            <w:rStyle w:val="Hyperlink"/>
          </w:rPr>
          <w:t>Performance Criteria – Initial Performance Targets</w:t>
        </w:r>
      </w:hyperlink>
      <w:r w:rsidRPr="00A11483">
        <w:t xml:space="preserve">  </w:t>
      </w:r>
    </w:p>
    <w:p w14:paraId="6BD7792B" w14:textId="3F616ECD" w:rsidR="00704193" w:rsidRPr="00A11483" w:rsidRDefault="00704193" w:rsidP="000A240C">
      <w:pPr>
        <w:pStyle w:val="ListNumber"/>
        <w:tabs>
          <w:tab w:val="clear" w:pos="720"/>
          <w:tab w:val="clear" w:pos="1872"/>
          <w:tab w:val="left" w:pos="1440"/>
          <w:tab w:val="left" w:pos="1710"/>
        </w:tabs>
        <w:spacing w:before="0"/>
        <w:ind w:left="720" w:firstLine="0"/>
      </w:pPr>
      <w:r w:rsidRPr="00A11483">
        <w:t xml:space="preserve">Years </w:t>
      </w:r>
      <w:r w:rsidR="00AD39DE">
        <w:tab/>
      </w:r>
      <w:r w:rsidRPr="00A11483">
        <w:t xml:space="preserve">= </w:t>
      </w:r>
      <w:r w:rsidR="00AD39DE">
        <w:tab/>
        <w:t>T</w:t>
      </w:r>
      <w:r w:rsidR="00AD39DE" w:rsidRPr="00A11483">
        <w:t xml:space="preserve">he </w:t>
      </w:r>
      <w:r w:rsidRPr="00A11483">
        <w:t>number of years in question</w:t>
      </w:r>
    </w:p>
    <w:p w14:paraId="445065D9" w14:textId="28CC6260" w:rsidR="00704193" w:rsidRPr="00A11483" w:rsidRDefault="00704193" w:rsidP="000A240C">
      <w:pPr>
        <w:pStyle w:val="ListNumber"/>
        <w:tabs>
          <w:tab w:val="clear" w:pos="720"/>
          <w:tab w:val="clear" w:pos="1872"/>
          <w:tab w:val="left" w:pos="1440"/>
          <w:tab w:val="left" w:pos="1710"/>
        </w:tabs>
        <w:spacing w:before="0"/>
        <w:ind w:left="720" w:firstLine="0"/>
        <w:rPr>
          <w:rFonts w:ascii="Cambria Math" w:hAnsi="Cambria Math"/>
          <w:oMath/>
        </w:rPr>
      </w:pPr>
      <w:r w:rsidRPr="00A11483">
        <w:t>SN</w:t>
      </w:r>
      <w:r w:rsidRPr="00A11483">
        <w:rPr>
          <w:vertAlign w:val="subscript"/>
        </w:rPr>
        <w:t>f</w:t>
      </w:r>
      <w:r w:rsidRPr="00A11483">
        <w:t xml:space="preserve"> </w:t>
      </w:r>
      <w:r w:rsidR="00AD39DE">
        <w:tab/>
      </w:r>
      <w:r w:rsidRPr="00A11483">
        <w:t xml:space="preserve">= </w:t>
      </w:r>
      <w:r w:rsidR="00AD39DE">
        <w:tab/>
        <w:t>V</w:t>
      </w:r>
      <w:r w:rsidRPr="00A11483">
        <w:t>alues in the following chart:</w:t>
      </w:r>
    </w:p>
    <w:p w14:paraId="5B602027" w14:textId="3037DD2F" w:rsidR="004C7204" w:rsidRPr="00A11483" w:rsidRDefault="004C7204" w:rsidP="00401BA3">
      <w:pPr>
        <w:pStyle w:val="ListNumber"/>
        <w:tabs>
          <w:tab w:val="clear" w:pos="720"/>
          <w:tab w:val="clear" w:pos="1872"/>
        </w:tabs>
        <w:ind w:left="0" w:firstLine="0"/>
      </w:pPr>
    </w:p>
    <w:tbl>
      <w:tblPr>
        <w:tblStyle w:val="TableGrid"/>
        <w:tblW w:w="0" w:type="auto"/>
        <w:jc w:val="center"/>
        <w:tblLook w:val="04A0" w:firstRow="1" w:lastRow="0" w:firstColumn="1" w:lastColumn="0" w:noHBand="0" w:noVBand="1"/>
      </w:tblPr>
      <w:tblGrid>
        <w:gridCol w:w="1900"/>
        <w:gridCol w:w="1680"/>
        <w:gridCol w:w="2260"/>
        <w:gridCol w:w="1445"/>
        <w:gridCol w:w="1345"/>
      </w:tblGrid>
      <w:tr w:rsidR="009A2750" w:rsidRPr="00A11483" w14:paraId="6988FBD2" w14:textId="77777777" w:rsidTr="00AB00D9">
        <w:trPr>
          <w:trHeight w:val="288"/>
          <w:jc w:val="center"/>
        </w:trPr>
        <w:tc>
          <w:tcPr>
            <w:tcW w:w="1900" w:type="dxa"/>
            <w:shd w:val="pct15" w:color="auto" w:fill="auto"/>
            <w:vAlign w:val="center"/>
          </w:tcPr>
          <w:p w14:paraId="7DC8634C" w14:textId="25CD304D" w:rsidR="009A2750" w:rsidRPr="000A240C" w:rsidRDefault="009A2750" w:rsidP="009A2750">
            <w:pPr>
              <w:pStyle w:val="BodyText"/>
              <w:spacing w:after="0"/>
              <w:jc w:val="center"/>
              <w:rPr>
                <w:b/>
              </w:rPr>
            </w:pPr>
            <w:r w:rsidRPr="000A240C">
              <w:rPr>
                <w:b/>
              </w:rPr>
              <w:t>SN</w:t>
            </w:r>
            <w:r w:rsidRPr="000A240C">
              <w:rPr>
                <w:b/>
                <w:vertAlign w:val="subscript"/>
              </w:rPr>
              <w:t>f</w:t>
            </w:r>
            <w:r w:rsidRPr="000A240C">
              <w:rPr>
                <w:b/>
              </w:rPr>
              <w:t xml:space="preserve"> Skid Values by Surface Material</w:t>
            </w:r>
          </w:p>
        </w:tc>
        <w:tc>
          <w:tcPr>
            <w:tcW w:w="1680" w:type="dxa"/>
            <w:shd w:val="pct15" w:color="auto" w:fill="auto"/>
            <w:vAlign w:val="center"/>
          </w:tcPr>
          <w:p w14:paraId="0B9646BC" w14:textId="77777777" w:rsidR="009A2750" w:rsidRPr="000A240C" w:rsidRDefault="009A2750" w:rsidP="009A2750">
            <w:pPr>
              <w:pStyle w:val="BodyText"/>
              <w:spacing w:after="0"/>
              <w:jc w:val="center"/>
              <w:rPr>
                <w:b/>
              </w:rPr>
            </w:pPr>
            <w:r w:rsidRPr="000A240C">
              <w:rPr>
                <w:b/>
              </w:rPr>
              <w:t>Urban Interstates, Freeways and Collectors (11,12,17)</w:t>
            </w:r>
          </w:p>
        </w:tc>
        <w:tc>
          <w:tcPr>
            <w:tcW w:w="2260" w:type="dxa"/>
            <w:shd w:val="pct15" w:color="auto" w:fill="auto"/>
            <w:vAlign w:val="center"/>
          </w:tcPr>
          <w:p w14:paraId="1F2451F9" w14:textId="0CE8B8CB" w:rsidR="009A2750" w:rsidRPr="000A240C" w:rsidRDefault="009A2750" w:rsidP="009A2750">
            <w:pPr>
              <w:pStyle w:val="BodyText"/>
              <w:spacing w:after="0"/>
              <w:jc w:val="center"/>
              <w:rPr>
                <w:b/>
              </w:rPr>
            </w:pPr>
            <w:r w:rsidRPr="000A240C">
              <w:rPr>
                <w:b/>
              </w:rPr>
              <w:t>Rural Interstates, Arterials and Major Collectors; Urban Locals (1,2</w:t>
            </w:r>
            <w:r>
              <w:rPr>
                <w:b/>
              </w:rPr>
              <w:t>,3</w:t>
            </w:r>
            <w:r w:rsidRPr="000A240C">
              <w:rPr>
                <w:b/>
              </w:rPr>
              <w:t>,6,7,</w:t>
            </w:r>
            <w:r>
              <w:rPr>
                <w:b/>
              </w:rPr>
              <w:t>18,</w:t>
            </w:r>
            <w:r w:rsidRPr="000A240C">
              <w:rPr>
                <w:b/>
              </w:rPr>
              <w:t>19)</w:t>
            </w:r>
          </w:p>
        </w:tc>
        <w:tc>
          <w:tcPr>
            <w:tcW w:w="1445" w:type="dxa"/>
            <w:shd w:val="pct15" w:color="auto" w:fill="auto"/>
            <w:vAlign w:val="center"/>
          </w:tcPr>
          <w:p w14:paraId="4F696F5C" w14:textId="77777777" w:rsidR="009A2750" w:rsidRPr="000A240C" w:rsidRDefault="009A2750" w:rsidP="009A2750">
            <w:pPr>
              <w:pStyle w:val="BodyText"/>
              <w:spacing w:after="0"/>
              <w:jc w:val="center"/>
              <w:rPr>
                <w:b/>
              </w:rPr>
            </w:pPr>
            <w:r w:rsidRPr="000A240C">
              <w:rPr>
                <w:b/>
              </w:rPr>
              <w:t>Rural Minor Collectors and Locals (8,9)</w:t>
            </w:r>
          </w:p>
        </w:tc>
        <w:tc>
          <w:tcPr>
            <w:tcW w:w="1345" w:type="dxa"/>
            <w:shd w:val="pct15" w:color="auto" w:fill="auto"/>
            <w:vAlign w:val="center"/>
          </w:tcPr>
          <w:p w14:paraId="1AE1F537" w14:textId="77777777" w:rsidR="009A2750" w:rsidRPr="000A240C" w:rsidRDefault="009A2750" w:rsidP="009A2750">
            <w:pPr>
              <w:pStyle w:val="BodyText"/>
              <w:spacing w:after="0"/>
              <w:jc w:val="center"/>
              <w:rPr>
                <w:b/>
              </w:rPr>
            </w:pPr>
            <w:r w:rsidRPr="000A240C">
              <w:rPr>
                <w:b/>
              </w:rPr>
              <w:t>Urban Non-Freeway Arterials (14,16)</w:t>
            </w:r>
          </w:p>
        </w:tc>
      </w:tr>
      <w:tr w:rsidR="009A2750" w:rsidRPr="00A11483" w14:paraId="0B1C98FB" w14:textId="77777777" w:rsidTr="00AB00D9">
        <w:trPr>
          <w:trHeight w:val="288"/>
          <w:jc w:val="center"/>
        </w:trPr>
        <w:tc>
          <w:tcPr>
            <w:tcW w:w="1900" w:type="dxa"/>
            <w:vAlign w:val="center"/>
          </w:tcPr>
          <w:p w14:paraId="47319403" w14:textId="77777777" w:rsidR="009A2750" w:rsidRPr="00A11483" w:rsidRDefault="009A2750" w:rsidP="009A2750">
            <w:pPr>
              <w:pStyle w:val="BodyText"/>
              <w:spacing w:after="0"/>
              <w:jc w:val="center"/>
            </w:pPr>
            <w:r w:rsidRPr="00A11483">
              <w:t>Dense-Graded HMA</w:t>
            </w:r>
          </w:p>
        </w:tc>
        <w:tc>
          <w:tcPr>
            <w:tcW w:w="1680" w:type="dxa"/>
            <w:vAlign w:val="center"/>
          </w:tcPr>
          <w:p w14:paraId="54080012" w14:textId="77777777" w:rsidR="009A2750" w:rsidRPr="00A11483" w:rsidRDefault="009A2750" w:rsidP="009A2750">
            <w:pPr>
              <w:pStyle w:val="BodyText"/>
              <w:spacing w:after="0"/>
              <w:jc w:val="center"/>
            </w:pPr>
            <w:r w:rsidRPr="00A11483">
              <w:t>44</w:t>
            </w:r>
          </w:p>
        </w:tc>
        <w:tc>
          <w:tcPr>
            <w:tcW w:w="2260" w:type="dxa"/>
            <w:vAlign w:val="center"/>
          </w:tcPr>
          <w:p w14:paraId="51F7893B" w14:textId="77777777" w:rsidR="009A2750" w:rsidRPr="00A11483" w:rsidRDefault="009A2750" w:rsidP="009A2750">
            <w:pPr>
              <w:pStyle w:val="BodyText"/>
              <w:spacing w:after="0"/>
              <w:jc w:val="center"/>
            </w:pPr>
            <w:r w:rsidRPr="00A11483">
              <w:t>44</w:t>
            </w:r>
          </w:p>
        </w:tc>
        <w:tc>
          <w:tcPr>
            <w:tcW w:w="1445" w:type="dxa"/>
            <w:vAlign w:val="center"/>
          </w:tcPr>
          <w:p w14:paraId="20587C58" w14:textId="77777777" w:rsidR="009A2750" w:rsidRPr="00A11483" w:rsidRDefault="009A2750" w:rsidP="009A2750">
            <w:pPr>
              <w:pStyle w:val="BodyText"/>
              <w:spacing w:after="0"/>
              <w:jc w:val="center"/>
            </w:pPr>
            <w:r w:rsidRPr="00A11483">
              <w:t>49</w:t>
            </w:r>
          </w:p>
        </w:tc>
        <w:tc>
          <w:tcPr>
            <w:tcW w:w="1345" w:type="dxa"/>
            <w:vAlign w:val="center"/>
          </w:tcPr>
          <w:p w14:paraId="7DA7029F" w14:textId="77777777" w:rsidR="009A2750" w:rsidRPr="00A11483" w:rsidRDefault="009A2750" w:rsidP="009A2750">
            <w:pPr>
              <w:pStyle w:val="BodyText"/>
              <w:spacing w:after="0"/>
              <w:jc w:val="center"/>
            </w:pPr>
            <w:r w:rsidRPr="00A11483">
              <w:t>39</w:t>
            </w:r>
          </w:p>
        </w:tc>
      </w:tr>
      <w:tr w:rsidR="009A2750" w:rsidRPr="00A11483" w14:paraId="47FF71E2" w14:textId="77777777" w:rsidTr="00AB00D9">
        <w:trPr>
          <w:trHeight w:val="288"/>
          <w:jc w:val="center"/>
        </w:trPr>
        <w:tc>
          <w:tcPr>
            <w:tcW w:w="1900" w:type="dxa"/>
            <w:vAlign w:val="center"/>
          </w:tcPr>
          <w:p w14:paraId="63259B8A" w14:textId="77777777" w:rsidR="009A2750" w:rsidRPr="00A11483" w:rsidRDefault="009A2750" w:rsidP="009A2750">
            <w:pPr>
              <w:pStyle w:val="BodyText"/>
              <w:spacing w:after="0"/>
              <w:jc w:val="center"/>
            </w:pPr>
            <w:r w:rsidRPr="00A11483">
              <w:t>Gap-Graded HMA</w:t>
            </w:r>
          </w:p>
        </w:tc>
        <w:tc>
          <w:tcPr>
            <w:tcW w:w="1680" w:type="dxa"/>
            <w:vAlign w:val="center"/>
          </w:tcPr>
          <w:p w14:paraId="34CCEC7A" w14:textId="77777777" w:rsidR="009A2750" w:rsidRPr="00A11483" w:rsidRDefault="009A2750" w:rsidP="009A2750">
            <w:pPr>
              <w:pStyle w:val="BodyText"/>
              <w:spacing w:after="0"/>
              <w:jc w:val="center"/>
            </w:pPr>
            <w:r w:rsidRPr="00A11483">
              <w:t>50</w:t>
            </w:r>
          </w:p>
        </w:tc>
        <w:tc>
          <w:tcPr>
            <w:tcW w:w="2260" w:type="dxa"/>
            <w:vAlign w:val="center"/>
          </w:tcPr>
          <w:p w14:paraId="3498DB03" w14:textId="77777777" w:rsidR="009A2750" w:rsidRPr="00A11483" w:rsidRDefault="009A2750" w:rsidP="009A2750">
            <w:pPr>
              <w:pStyle w:val="BodyText"/>
              <w:spacing w:after="0"/>
              <w:jc w:val="center"/>
            </w:pPr>
            <w:r w:rsidRPr="00A11483">
              <w:t>50</w:t>
            </w:r>
          </w:p>
        </w:tc>
        <w:tc>
          <w:tcPr>
            <w:tcW w:w="1445" w:type="dxa"/>
            <w:vAlign w:val="center"/>
          </w:tcPr>
          <w:p w14:paraId="6716E1FF" w14:textId="77777777" w:rsidR="009A2750" w:rsidRPr="00A11483" w:rsidRDefault="009A2750" w:rsidP="009A2750">
            <w:pPr>
              <w:pStyle w:val="BodyText"/>
              <w:spacing w:after="0"/>
              <w:jc w:val="center"/>
            </w:pPr>
            <w:r w:rsidRPr="00A11483">
              <w:t>55</w:t>
            </w:r>
          </w:p>
        </w:tc>
        <w:tc>
          <w:tcPr>
            <w:tcW w:w="1345" w:type="dxa"/>
            <w:vAlign w:val="center"/>
          </w:tcPr>
          <w:p w14:paraId="73E8E0A8" w14:textId="77777777" w:rsidR="009A2750" w:rsidRPr="00A11483" w:rsidRDefault="009A2750" w:rsidP="009A2750">
            <w:pPr>
              <w:pStyle w:val="BodyText"/>
              <w:spacing w:after="0"/>
              <w:jc w:val="center"/>
            </w:pPr>
            <w:r w:rsidRPr="00A11483">
              <w:t>45</w:t>
            </w:r>
          </w:p>
        </w:tc>
      </w:tr>
      <w:tr w:rsidR="009A2750" w:rsidRPr="00A11483" w14:paraId="1AEB208B" w14:textId="77777777" w:rsidTr="00AB00D9">
        <w:trPr>
          <w:trHeight w:val="288"/>
          <w:jc w:val="center"/>
        </w:trPr>
        <w:tc>
          <w:tcPr>
            <w:tcW w:w="1900" w:type="dxa"/>
            <w:vAlign w:val="center"/>
          </w:tcPr>
          <w:p w14:paraId="2DC0D7D3" w14:textId="77777777" w:rsidR="009A2750" w:rsidRPr="00A11483" w:rsidRDefault="009A2750" w:rsidP="009A2750">
            <w:pPr>
              <w:pStyle w:val="BodyText"/>
              <w:spacing w:after="0"/>
              <w:jc w:val="center"/>
            </w:pPr>
            <w:r w:rsidRPr="00A11483">
              <w:t>Micro-Surfacing</w:t>
            </w:r>
          </w:p>
        </w:tc>
        <w:tc>
          <w:tcPr>
            <w:tcW w:w="1680" w:type="dxa"/>
            <w:vAlign w:val="center"/>
          </w:tcPr>
          <w:p w14:paraId="5A2482A2" w14:textId="77777777" w:rsidR="009A2750" w:rsidRPr="00A11483" w:rsidRDefault="009A2750" w:rsidP="009A2750">
            <w:pPr>
              <w:pStyle w:val="BodyText"/>
              <w:spacing w:after="0"/>
              <w:jc w:val="center"/>
            </w:pPr>
            <w:r w:rsidRPr="00A11483">
              <w:t>52</w:t>
            </w:r>
          </w:p>
        </w:tc>
        <w:tc>
          <w:tcPr>
            <w:tcW w:w="2260" w:type="dxa"/>
            <w:vAlign w:val="center"/>
          </w:tcPr>
          <w:p w14:paraId="45B4578B" w14:textId="77777777" w:rsidR="009A2750" w:rsidRPr="00A11483" w:rsidRDefault="009A2750" w:rsidP="009A2750">
            <w:pPr>
              <w:pStyle w:val="BodyText"/>
              <w:spacing w:after="0"/>
              <w:jc w:val="center"/>
            </w:pPr>
            <w:r w:rsidRPr="00A11483">
              <w:t>52</w:t>
            </w:r>
          </w:p>
        </w:tc>
        <w:tc>
          <w:tcPr>
            <w:tcW w:w="1445" w:type="dxa"/>
            <w:vAlign w:val="center"/>
          </w:tcPr>
          <w:p w14:paraId="328F4F68" w14:textId="77777777" w:rsidR="009A2750" w:rsidRPr="00A11483" w:rsidRDefault="009A2750" w:rsidP="009A2750">
            <w:pPr>
              <w:pStyle w:val="BodyText"/>
              <w:spacing w:after="0"/>
              <w:jc w:val="center"/>
            </w:pPr>
            <w:r w:rsidRPr="00A11483">
              <w:t>57</w:t>
            </w:r>
          </w:p>
        </w:tc>
        <w:tc>
          <w:tcPr>
            <w:tcW w:w="1345" w:type="dxa"/>
            <w:vAlign w:val="center"/>
          </w:tcPr>
          <w:p w14:paraId="3EE60F70" w14:textId="77777777" w:rsidR="009A2750" w:rsidRPr="00A11483" w:rsidRDefault="009A2750" w:rsidP="009A2750">
            <w:pPr>
              <w:pStyle w:val="BodyText"/>
              <w:spacing w:after="0"/>
              <w:jc w:val="center"/>
            </w:pPr>
            <w:r w:rsidRPr="00A11483">
              <w:t>47</w:t>
            </w:r>
          </w:p>
        </w:tc>
      </w:tr>
      <w:tr w:rsidR="009A2750" w:rsidRPr="00A11483" w14:paraId="3E58E8E0" w14:textId="77777777" w:rsidTr="00AB00D9">
        <w:trPr>
          <w:trHeight w:val="288"/>
          <w:jc w:val="center"/>
        </w:trPr>
        <w:tc>
          <w:tcPr>
            <w:tcW w:w="1900" w:type="dxa"/>
            <w:vAlign w:val="center"/>
          </w:tcPr>
          <w:p w14:paraId="494C3AB4" w14:textId="77777777" w:rsidR="009A2750" w:rsidRPr="00A11483" w:rsidRDefault="009A2750" w:rsidP="009A2750">
            <w:pPr>
              <w:pStyle w:val="BodyText"/>
              <w:spacing w:after="0"/>
              <w:jc w:val="center"/>
            </w:pPr>
            <w:r w:rsidRPr="00A11483">
              <w:t>High Friction Surface</w:t>
            </w:r>
          </w:p>
        </w:tc>
        <w:tc>
          <w:tcPr>
            <w:tcW w:w="1680" w:type="dxa"/>
            <w:vAlign w:val="center"/>
          </w:tcPr>
          <w:p w14:paraId="0C74ECCD" w14:textId="77777777" w:rsidR="009A2750" w:rsidRPr="00A11483" w:rsidRDefault="009A2750" w:rsidP="009A2750">
            <w:pPr>
              <w:pStyle w:val="BodyText"/>
              <w:spacing w:after="0"/>
              <w:jc w:val="center"/>
            </w:pPr>
            <w:r w:rsidRPr="00A11483">
              <w:t>69</w:t>
            </w:r>
          </w:p>
        </w:tc>
        <w:tc>
          <w:tcPr>
            <w:tcW w:w="2260" w:type="dxa"/>
            <w:vAlign w:val="center"/>
          </w:tcPr>
          <w:p w14:paraId="7CAD2D0A" w14:textId="77777777" w:rsidR="009A2750" w:rsidRPr="00A11483" w:rsidRDefault="009A2750" w:rsidP="009A2750">
            <w:pPr>
              <w:pStyle w:val="BodyText"/>
              <w:spacing w:after="0"/>
              <w:jc w:val="center"/>
            </w:pPr>
            <w:r w:rsidRPr="00A11483">
              <w:t>69</w:t>
            </w:r>
          </w:p>
        </w:tc>
        <w:tc>
          <w:tcPr>
            <w:tcW w:w="1445" w:type="dxa"/>
            <w:vAlign w:val="center"/>
          </w:tcPr>
          <w:p w14:paraId="1AA5DE28" w14:textId="77777777" w:rsidR="009A2750" w:rsidRPr="00A11483" w:rsidRDefault="009A2750" w:rsidP="009A2750">
            <w:pPr>
              <w:pStyle w:val="BodyText"/>
              <w:spacing w:after="0"/>
              <w:jc w:val="center"/>
            </w:pPr>
            <w:r w:rsidRPr="00A11483">
              <w:t>74</w:t>
            </w:r>
          </w:p>
        </w:tc>
        <w:tc>
          <w:tcPr>
            <w:tcW w:w="1345" w:type="dxa"/>
            <w:vAlign w:val="center"/>
          </w:tcPr>
          <w:p w14:paraId="68487261" w14:textId="77777777" w:rsidR="009A2750" w:rsidRPr="00A11483" w:rsidRDefault="009A2750" w:rsidP="009A2750">
            <w:pPr>
              <w:pStyle w:val="BodyText"/>
              <w:spacing w:after="0"/>
              <w:jc w:val="center"/>
            </w:pPr>
            <w:r w:rsidRPr="00A11483">
              <w:t>64</w:t>
            </w:r>
          </w:p>
        </w:tc>
      </w:tr>
      <w:tr w:rsidR="005B5891" w:rsidRPr="00A11483" w14:paraId="2D351838" w14:textId="77777777" w:rsidTr="00AB00D9">
        <w:trPr>
          <w:trHeight w:val="288"/>
          <w:jc w:val="center"/>
        </w:trPr>
        <w:tc>
          <w:tcPr>
            <w:tcW w:w="1900" w:type="dxa"/>
            <w:vAlign w:val="center"/>
          </w:tcPr>
          <w:p w14:paraId="73EAB9F4" w14:textId="77777777" w:rsidR="005B5891" w:rsidRPr="00A11483" w:rsidRDefault="005B5891" w:rsidP="009A2750">
            <w:pPr>
              <w:pStyle w:val="BodyText"/>
              <w:spacing w:after="0"/>
              <w:jc w:val="center"/>
            </w:pPr>
            <w:r w:rsidRPr="00A11483">
              <w:t>Surface Abrasion</w:t>
            </w:r>
          </w:p>
        </w:tc>
        <w:tc>
          <w:tcPr>
            <w:tcW w:w="1680" w:type="dxa"/>
            <w:vAlign w:val="center"/>
          </w:tcPr>
          <w:p w14:paraId="39ED02D2" w14:textId="77777777" w:rsidR="005B5891" w:rsidRPr="00A11483" w:rsidRDefault="005B5891" w:rsidP="009A2750">
            <w:pPr>
              <w:pStyle w:val="BodyText"/>
              <w:spacing w:after="0"/>
              <w:jc w:val="center"/>
            </w:pPr>
            <w:r>
              <w:t>Add 10</w:t>
            </w:r>
          </w:p>
        </w:tc>
        <w:tc>
          <w:tcPr>
            <w:tcW w:w="2260" w:type="dxa"/>
            <w:vAlign w:val="center"/>
          </w:tcPr>
          <w:p w14:paraId="5491FF77" w14:textId="033F6A79" w:rsidR="005B5891" w:rsidRPr="00A11483" w:rsidRDefault="005B5891" w:rsidP="009A2750">
            <w:pPr>
              <w:pStyle w:val="BodyText"/>
              <w:spacing w:after="0"/>
              <w:jc w:val="center"/>
            </w:pPr>
            <w:r>
              <w:t>Add 10</w:t>
            </w:r>
          </w:p>
        </w:tc>
        <w:tc>
          <w:tcPr>
            <w:tcW w:w="1445" w:type="dxa"/>
            <w:vAlign w:val="center"/>
          </w:tcPr>
          <w:p w14:paraId="00025585" w14:textId="32E467FE" w:rsidR="005B5891" w:rsidRPr="00A11483" w:rsidRDefault="005B5891" w:rsidP="009A2750">
            <w:pPr>
              <w:pStyle w:val="BodyText"/>
              <w:spacing w:after="0"/>
              <w:jc w:val="center"/>
            </w:pPr>
            <w:r>
              <w:t>Add 10</w:t>
            </w:r>
          </w:p>
        </w:tc>
        <w:tc>
          <w:tcPr>
            <w:tcW w:w="1345" w:type="dxa"/>
            <w:vAlign w:val="center"/>
          </w:tcPr>
          <w:p w14:paraId="0EECCB04" w14:textId="7F76526A" w:rsidR="005B5891" w:rsidRPr="00A11483" w:rsidRDefault="005B5891" w:rsidP="009A2750">
            <w:pPr>
              <w:pStyle w:val="BodyText"/>
              <w:spacing w:after="0"/>
              <w:jc w:val="center"/>
            </w:pPr>
            <w:r>
              <w:t>Add 10</w:t>
            </w:r>
          </w:p>
        </w:tc>
      </w:tr>
      <w:tr w:rsidR="00D33374" w:rsidRPr="00A11483" w14:paraId="4395C881" w14:textId="77777777" w:rsidTr="00AB00D9">
        <w:trPr>
          <w:trHeight w:val="288"/>
          <w:jc w:val="center"/>
        </w:trPr>
        <w:tc>
          <w:tcPr>
            <w:tcW w:w="1900" w:type="dxa"/>
            <w:vAlign w:val="center"/>
          </w:tcPr>
          <w:p w14:paraId="68EEE5EC" w14:textId="59C25DF3" w:rsidR="00D33374" w:rsidRPr="00A11483" w:rsidRDefault="00D33374" w:rsidP="00D33374">
            <w:pPr>
              <w:pStyle w:val="BodyText"/>
              <w:spacing w:after="0"/>
              <w:jc w:val="center"/>
            </w:pPr>
            <w:r w:rsidRPr="00A11483">
              <w:t>Diamond Grinding</w:t>
            </w:r>
          </w:p>
        </w:tc>
        <w:tc>
          <w:tcPr>
            <w:tcW w:w="1680" w:type="dxa"/>
            <w:vAlign w:val="center"/>
          </w:tcPr>
          <w:p w14:paraId="69AA24D1" w14:textId="48FA774E" w:rsidR="00D33374" w:rsidRPr="000A59A6" w:rsidRDefault="00D33374" w:rsidP="00D33374">
            <w:pPr>
              <w:pStyle w:val="BodyText"/>
              <w:spacing w:after="0"/>
              <w:jc w:val="center"/>
              <w:rPr>
                <w:sz w:val="16"/>
                <w:szCs w:val="16"/>
              </w:rPr>
            </w:pPr>
            <w:r>
              <w:rPr>
                <w:sz w:val="16"/>
                <w:szCs w:val="16"/>
              </w:rPr>
              <w:t>Return to p</w:t>
            </w:r>
            <w:r w:rsidRPr="000A59A6">
              <w:rPr>
                <w:sz w:val="16"/>
                <w:szCs w:val="16"/>
              </w:rPr>
              <w:t>re-grind value in 5 yrs</w:t>
            </w:r>
          </w:p>
        </w:tc>
        <w:tc>
          <w:tcPr>
            <w:tcW w:w="2260" w:type="dxa"/>
            <w:vAlign w:val="center"/>
          </w:tcPr>
          <w:p w14:paraId="3F534D7A" w14:textId="735AB97E" w:rsidR="00D33374" w:rsidRPr="000A59A6" w:rsidRDefault="00D33374" w:rsidP="00D33374">
            <w:pPr>
              <w:pStyle w:val="BodyText"/>
              <w:spacing w:after="0"/>
              <w:jc w:val="center"/>
              <w:rPr>
                <w:sz w:val="16"/>
                <w:szCs w:val="16"/>
              </w:rPr>
            </w:pPr>
            <w:r>
              <w:rPr>
                <w:sz w:val="16"/>
                <w:szCs w:val="16"/>
              </w:rPr>
              <w:t>Return to p</w:t>
            </w:r>
            <w:r w:rsidRPr="000A59A6">
              <w:rPr>
                <w:sz w:val="16"/>
                <w:szCs w:val="16"/>
              </w:rPr>
              <w:t>re-grind value in 5 yrs</w:t>
            </w:r>
          </w:p>
        </w:tc>
        <w:tc>
          <w:tcPr>
            <w:tcW w:w="1445" w:type="dxa"/>
            <w:vAlign w:val="center"/>
          </w:tcPr>
          <w:p w14:paraId="79D01C35" w14:textId="59319931" w:rsidR="00D33374" w:rsidRPr="000A59A6" w:rsidRDefault="00D33374" w:rsidP="00D33374">
            <w:pPr>
              <w:pStyle w:val="BodyText"/>
              <w:spacing w:after="0"/>
              <w:jc w:val="center"/>
              <w:rPr>
                <w:sz w:val="16"/>
                <w:szCs w:val="16"/>
              </w:rPr>
            </w:pPr>
            <w:r>
              <w:rPr>
                <w:sz w:val="16"/>
                <w:szCs w:val="16"/>
              </w:rPr>
              <w:t>Rtn to p</w:t>
            </w:r>
            <w:r w:rsidRPr="000A59A6">
              <w:rPr>
                <w:sz w:val="16"/>
                <w:szCs w:val="16"/>
              </w:rPr>
              <w:t>re-grind value in 5 yrs</w:t>
            </w:r>
          </w:p>
        </w:tc>
        <w:tc>
          <w:tcPr>
            <w:tcW w:w="1345" w:type="dxa"/>
            <w:vAlign w:val="center"/>
          </w:tcPr>
          <w:p w14:paraId="2FF776D0" w14:textId="378C338D" w:rsidR="00D33374" w:rsidRPr="000A59A6" w:rsidRDefault="00D33374" w:rsidP="00D33374">
            <w:pPr>
              <w:pStyle w:val="BodyText"/>
              <w:spacing w:after="0"/>
              <w:jc w:val="center"/>
              <w:rPr>
                <w:sz w:val="16"/>
                <w:szCs w:val="16"/>
              </w:rPr>
            </w:pPr>
            <w:r>
              <w:rPr>
                <w:sz w:val="16"/>
                <w:szCs w:val="16"/>
              </w:rPr>
              <w:t>Rtn to p</w:t>
            </w:r>
            <w:r w:rsidRPr="000A59A6">
              <w:rPr>
                <w:sz w:val="16"/>
                <w:szCs w:val="16"/>
              </w:rPr>
              <w:t>re-grind value</w:t>
            </w:r>
            <w:r>
              <w:rPr>
                <w:sz w:val="16"/>
                <w:szCs w:val="16"/>
              </w:rPr>
              <w:t xml:space="preserve"> in</w:t>
            </w:r>
            <w:r w:rsidRPr="000A59A6">
              <w:rPr>
                <w:sz w:val="16"/>
                <w:szCs w:val="16"/>
              </w:rPr>
              <w:t xml:space="preserve"> 5 yrs</w:t>
            </w:r>
          </w:p>
        </w:tc>
      </w:tr>
    </w:tbl>
    <w:p w14:paraId="6439C684" w14:textId="77777777" w:rsidR="004C7204" w:rsidRPr="00AD39DE" w:rsidRDefault="005A38EA" w:rsidP="000A240C">
      <w:pPr>
        <w:pStyle w:val="ListNumber"/>
        <w:tabs>
          <w:tab w:val="clear" w:pos="720"/>
          <w:tab w:val="clear" w:pos="1872"/>
        </w:tabs>
        <w:ind w:left="0" w:firstLine="0"/>
        <w:jc w:val="both"/>
        <w:rPr>
          <w:szCs w:val="22"/>
        </w:rPr>
      </w:pPr>
      <w:r w:rsidRPr="000A240C">
        <w:rPr>
          <w:b/>
        </w:rPr>
        <w:t xml:space="preserve">Note: If the designer adjusted the initial skid values based on localized knowledge </w:t>
      </w:r>
      <w:r w:rsidRPr="00AD39DE">
        <w:rPr>
          <w:szCs w:val="22"/>
        </w:rPr>
        <w:t>with Team Leader/ADC approval, then a similar adjustment should be made to the SN</w:t>
      </w:r>
      <w:r w:rsidRPr="00AD39DE">
        <w:rPr>
          <w:szCs w:val="22"/>
          <w:vertAlign w:val="subscript"/>
        </w:rPr>
        <w:t>f</w:t>
      </w:r>
      <w:r w:rsidRPr="00AD39DE">
        <w:rPr>
          <w:szCs w:val="22"/>
        </w:rPr>
        <w:t xml:space="preserve"> values as well.</w:t>
      </w:r>
    </w:p>
    <w:p w14:paraId="63A3ABD1" w14:textId="320DBDF4" w:rsidR="00E21246" w:rsidRDefault="00E21246" w:rsidP="000A240C">
      <w:pPr>
        <w:pStyle w:val="ListNumber"/>
        <w:tabs>
          <w:tab w:val="clear" w:pos="720"/>
          <w:tab w:val="clear" w:pos="1872"/>
        </w:tabs>
        <w:ind w:left="0" w:firstLine="0"/>
        <w:jc w:val="both"/>
        <w:rPr>
          <w:szCs w:val="22"/>
        </w:rPr>
      </w:pPr>
      <w:r w:rsidRPr="00AD39DE">
        <w:rPr>
          <w:szCs w:val="22"/>
        </w:rPr>
        <w:t>The following table shows the skid values per year</w:t>
      </w:r>
      <w:r w:rsidR="00AD39DE" w:rsidRPr="00AD39DE">
        <w:rPr>
          <w:szCs w:val="22"/>
        </w:rPr>
        <w:t xml:space="preserve"> for </w:t>
      </w:r>
      <w:r w:rsidR="00AD39DE" w:rsidRPr="00AD39DE">
        <w:rPr>
          <w:b/>
          <w:szCs w:val="22"/>
        </w:rPr>
        <w:t>dense-graded mixes</w:t>
      </w:r>
      <w:r w:rsidRPr="00AD39DE">
        <w:rPr>
          <w:szCs w:val="22"/>
        </w:rPr>
        <w:t>, based on the previously given equations.</w:t>
      </w:r>
    </w:p>
    <w:p w14:paraId="633BFA1A" w14:textId="77777777" w:rsidR="00AD39DE" w:rsidRPr="00AD39DE" w:rsidRDefault="00AD39DE" w:rsidP="00AD39DE">
      <w:pPr>
        <w:pStyle w:val="ListNumber"/>
        <w:tabs>
          <w:tab w:val="clear" w:pos="720"/>
          <w:tab w:val="clear" w:pos="1872"/>
        </w:tabs>
        <w:spacing w:before="0"/>
        <w:ind w:left="0" w:firstLine="0"/>
        <w:jc w:val="both"/>
        <w:rPr>
          <w:szCs w:val="22"/>
        </w:rPr>
      </w:pPr>
    </w:p>
    <w:tbl>
      <w:tblPr>
        <w:tblStyle w:val="TableGrid"/>
        <w:tblW w:w="0" w:type="auto"/>
        <w:jc w:val="center"/>
        <w:tblLook w:val="04A0" w:firstRow="1" w:lastRow="0" w:firstColumn="1" w:lastColumn="0" w:noHBand="0" w:noVBand="1"/>
      </w:tblPr>
      <w:tblGrid>
        <w:gridCol w:w="1896"/>
        <w:gridCol w:w="1759"/>
        <w:gridCol w:w="2208"/>
        <w:gridCol w:w="1425"/>
        <w:gridCol w:w="1342"/>
      </w:tblGrid>
      <w:tr w:rsidR="007C0262" w:rsidRPr="00A11483" w14:paraId="4F905AD6" w14:textId="77777777" w:rsidTr="007C0262">
        <w:trPr>
          <w:trHeight w:val="288"/>
          <w:tblHeader/>
          <w:jc w:val="center"/>
        </w:trPr>
        <w:tc>
          <w:tcPr>
            <w:tcW w:w="1896" w:type="dxa"/>
            <w:shd w:val="pct15" w:color="auto" w:fill="auto"/>
            <w:vAlign w:val="center"/>
          </w:tcPr>
          <w:p w14:paraId="0E4139F5" w14:textId="7E39C05F" w:rsidR="007C0262" w:rsidRDefault="007C0262" w:rsidP="005E3B59">
            <w:pPr>
              <w:pStyle w:val="BodyText"/>
              <w:spacing w:after="0"/>
              <w:jc w:val="center"/>
              <w:rPr>
                <w:b/>
              </w:rPr>
            </w:pPr>
            <w:r w:rsidRPr="00964A58">
              <w:rPr>
                <w:b/>
              </w:rPr>
              <w:t xml:space="preserve">Skid Values for Dense-Graded </w:t>
            </w:r>
            <w:r>
              <w:rPr>
                <w:b/>
              </w:rPr>
              <w:t>M</w:t>
            </w:r>
            <w:r w:rsidRPr="00964A58">
              <w:rPr>
                <w:b/>
              </w:rPr>
              <w:t>ixes</w:t>
            </w:r>
          </w:p>
          <w:p w14:paraId="15ED1E77" w14:textId="0895ED48" w:rsidR="007C0262" w:rsidRPr="00A11483" w:rsidRDefault="007C0262" w:rsidP="005E3B59">
            <w:pPr>
              <w:pStyle w:val="BodyText"/>
              <w:spacing w:after="0"/>
              <w:jc w:val="center"/>
            </w:pPr>
            <w:r>
              <w:rPr>
                <w:b/>
              </w:rPr>
              <w:t>(</w:t>
            </w:r>
            <w:r w:rsidRPr="00964A58">
              <w:rPr>
                <w:b/>
              </w:rPr>
              <w:t>by year</w:t>
            </w:r>
            <w:r>
              <w:rPr>
                <w:b/>
              </w:rPr>
              <w:t>)</w:t>
            </w:r>
          </w:p>
        </w:tc>
        <w:tc>
          <w:tcPr>
            <w:tcW w:w="1759" w:type="dxa"/>
            <w:shd w:val="pct15" w:color="auto" w:fill="auto"/>
            <w:vAlign w:val="center"/>
          </w:tcPr>
          <w:p w14:paraId="44B66EC8" w14:textId="77777777" w:rsidR="007C0262" w:rsidRPr="000A240C" w:rsidRDefault="007C0262" w:rsidP="000A240C">
            <w:pPr>
              <w:pStyle w:val="BodyText"/>
              <w:spacing w:after="0"/>
              <w:jc w:val="center"/>
              <w:rPr>
                <w:b/>
              </w:rPr>
            </w:pPr>
            <w:r w:rsidRPr="000A240C">
              <w:rPr>
                <w:b/>
              </w:rPr>
              <w:t>Urban Interstates, Freeways and Collectors (11,12,17)</w:t>
            </w:r>
          </w:p>
        </w:tc>
        <w:tc>
          <w:tcPr>
            <w:tcW w:w="2208" w:type="dxa"/>
            <w:shd w:val="pct15" w:color="auto" w:fill="auto"/>
            <w:vAlign w:val="center"/>
          </w:tcPr>
          <w:p w14:paraId="25C4C74C" w14:textId="797CBDFB" w:rsidR="007C0262" w:rsidRPr="000A240C" w:rsidRDefault="007C0262" w:rsidP="000A240C">
            <w:pPr>
              <w:pStyle w:val="BodyText"/>
              <w:spacing w:after="0"/>
              <w:jc w:val="center"/>
              <w:rPr>
                <w:b/>
              </w:rPr>
            </w:pPr>
            <w:r w:rsidRPr="000A240C">
              <w:rPr>
                <w:b/>
              </w:rPr>
              <w:t>Rural Interstates, Arterials and Major Collectors; Urban Locals (1,2</w:t>
            </w:r>
            <w:r>
              <w:rPr>
                <w:b/>
              </w:rPr>
              <w:t>,3</w:t>
            </w:r>
            <w:r w:rsidRPr="000A240C">
              <w:rPr>
                <w:b/>
              </w:rPr>
              <w:t>,6,7,</w:t>
            </w:r>
            <w:r>
              <w:rPr>
                <w:b/>
              </w:rPr>
              <w:t>18,</w:t>
            </w:r>
            <w:r w:rsidRPr="000A240C">
              <w:rPr>
                <w:b/>
              </w:rPr>
              <w:t>19)</w:t>
            </w:r>
          </w:p>
        </w:tc>
        <w:tc>
          <w:tcPr>
            <w:tcW w:w="1425" w:type="dxa"/>
            <w:shd w:val="pct15" w:color="auto" w:fill="auto"/>
            <w:vAlign w:val="center"/>
          </w:tcPr>
          <w:p w14:paraId="091E83E2" w14:textId="77777777" w:rsidR="007C0262" w:rsidRPr="000A240C" w:rsidRDefault="007C0262" w:rsidP="000A240C">
            <w:pPr>
              <w:pStyle w:val="BodyText"/>
              <w:spacing w:after="0"/>
              <w:jc w:val="center"/>
              <w:rPr>
                <w:b/>
              </w:rPr>
            </w:pPr>
            <w:r w:rsidRPr="000A240C">
              <w:rPr>
                <w:b/>
              </w:rPr>
              <w:t>Rural Minor Collectors and Locals (8,9)</w:t>
            </w:r>
          </w:p>
        </w:tc>
        <w:tc>
          <w:tcPr>
            <w:tcW w:w="1342" w:type="dxa"/>
            <w:shd w:val="pct15" w:color="auto" w:fill="auto"/>
            <w:vAlign w:val="center"/>
          </w:tcPr>
          <w:p w14:paraId="72B61D56" w14:textId="77777777" w:rsidR="007C0262" w:rsidRPr="000A240C" w:rsidRDefault="007C0262" w:rsidP="000A240C">
            <w:pPr>
              <w:pStyle w:val="BodyText"/>
              <w:spacing w:after="0"/>
              <w:jc w:val="center"/>
              <w:rPr>
                <w:b/>
              </w:rPr>
            </w:pPr>
            <w:r w:rsidRPr="000A240C">
              <w:rPr>
                <w:b/>
              </w:rPr>
              <w:t>Urban Non-Freeway Arterials (14,16)</w:t>
            </w:r>
          </w:p>
        </w:tc>
      </w:tr>
      <w:tr w:rsidR="002F10C8" w:rsidRPr="00A11483" w14:paraId="02D63B3B" w14:textId="77777777" w:rsidTr="007C0262">
        <w:trPr>
          <w:trHeight w:val="288"/>
          <w:jc w:val="center"/>
        </w:trPr>
        <w:tc>
          <w:tcPr>
            <w:tcW w:w="1896" w:type="dxa"/>
            <w:vAlign w:val="center"/>
          </w:tcPr>
          <w:p w14:paraId="6FF9A17A"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w:t>
            </w:r>
          </w:p>
        </w:tc>
        <w:tc>
          <w:tcPr>
            <w:tcW w:w="1759" w:type="dxa"/>
            <w:vAlign w:val="center"/>
          </w:tcPr>
          <w:p w14:paraId="56B4A813"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2208" w:type="dxa"/>
            <w:vAlign w:val="center"/>
          </w:tcPr>
          <w:p w14:paraId="6BA0CA53"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425" w:type="dxa"/>
            <w:vAlign w:val="center"/>
          </w:tcPr>
          <w:p w14:paraId="127EC1CC" w14:textId="77777777" w:rsidR="002F10C8" w:rsidRPr="000A240C" w:rsidRDefault="002F10C8" w:rsidP="00AD39DE">
            <w:pPr>
              <w:jc w:val="center"/>
              <w:rPr>
                <w:rFonts w:ascii="Arial" w:hAnsi="Arial"/>
                <w:color w:val="000000"/>
                <w:sz w:val="22"/>
              </w:rPr>
            </w:pPr>
            <w:r w:rsidRPr="000A240C">
              <w:rPr>
                <w:rFonts w:ascii="Arial" w:hAnsi="Arial"/>
                <w:color w:val="000000"/>
                <w:sz w:val="22"/>
              </w:rPr>
              <w:t>53</w:t>
            </w:r>
          </w:p>
        </w:tc>
        <w:tc>
          <w:tcPr>
            <w:tcW w:w="1342" w:type="dxa"/>
            <w:vAlign w:val="center"/>
          </w:tcPr>
          <w:p w14:paraId="23DD7B77" w14:textId="77777777" w:rsidR="002F10C8" w:rsidRPr="000A240C" w:rsidRDefault="002F10C8" w:rsidP="00AD39DE">
            <w:pPr>
              <w:jc w:val="center"/>
              <w:rPr>
                <w:rFonts w:ascii="Arial" w:hAnsi="Arial"/>
                <w:color w:val="000000"/>
                <w:sz w:val="22"/>
              </w:rPr>
            </w:pPr>
            <w:r w:rsidRPr="000A240C">
              <w:rPr>
                <w:rFonts w:ascii="Arial" w:hAnsi="Arial"/>
                <w:color w:val="000000"/>
                <w:sz w:val="22"/>
              </w:rPr>
              <w:t>42</w:t>
            </w:r>
          </w:p>
        </w:tc>
      </w:tr>
      <w:tr w:rsidR="002F10C8" w:rsidRPr="00A11483" w14:paraId="3DAA4EA2" w14:textId="77777777" w:rsidTr="007C0262">
        <w:trPr>
          <w:trHeight w:val="288"/>
          <w:jc w:val="center"/>
        </w:trPr>
        <w:tc>
          <w:tcPr>
            <w:tcW w:w="1896" w:type="dxa"/>
            <w:vAlign w:val="center"/>
          </w:tcPr>
          <w:p w14:paraId="6FAB0658"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w:t>
            </w:r>
          </w:p>
        </w:tc>
        <w:tc>
          <w:tcPr>
            <w:tcW w:w="1759" w:type="dxa"/>
            <w:vAlign w:val="center"/>
          </w:tcPr>
          <w:p w14:paraId="0F1F5BDB"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2208" w:type="dxa"/>
            <w:vAlign w:val="center"/>
          </w:tcPr>
          <w:p w14:paraId="41138ABE"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425" w:type="dxa"/>
            <w:vAlign w:val="center"/>
          </w:tcPr>
          <w:p w14:paraId="25BE7EFB" w14:textId="77777777" w:rsidR="002F10C8" w:rsidRPr="000A240C" w:rsidRDefault="002F10C8" w:rsidP="00AD39DE">
            <w:pPr>
              <w:jc w:val="center"/>
              <w:rPr>
                <w:rFonts w:ascii="Arial" w:hAnsi="Arial"/>
                <w:color w:val="000000"/>
                <w:sz w:val="22"/>
              </w:rPr>
            </w:pPr>
            <w:r w:rsidRPr="000A240C">
              <w:rPr>
                <w:rFonts w:ascii="Arial" w:hAnsi="Arial"/>
                <w:color w:val="000000"/>
                <w:sz w:val="22"/>
              </w:rPr>
              <w:t>53</w:t>
            </w:r>
          </w:p>
        </w:tc>
        <w:tc>
          <w:tcPr>
            <w:tcW w:w="1342" w:type="dxa"/>
            <w:vAlign w:val="center"/>
          </w:tcPr>
          <w:p w14:paraId="181A2280" w14:textId="77777777" w:rsidR="002F10C8" w:rsidRPr="000A240C" w:rsidRDefault="002F10C8" w:rsidP="00AD39DE">
            <w:pPr>
              <w:jc w:val="center"/>
              <w:rPr>
                <w:rFonts w:ascii="Arial" w:hAnsi="Arial"/>
                <w:color w:val="000000"/>
                <w:sz w:val="22"/>
              </w:rPr>
            </w:pPr>
            <w:r w:rsidRPr="000A240C">
              <w:rPr>
                <w:rFonts w:ascii="Arial" w:hAnsi="Arial"/>
                <w:color w:val="000000"/>
                <w:sz w:val="22"/>
              </w:rPr>
              <w:t>42</w:t>
            </w:r>
          </w:p>
        </w:tc>
      </w:tr>
      <w:tr w:rsidR="002F10C8" w:rsidRPr="00A11483" w14:paraId="1A3EEA1F" w14:textId="77777777" w:rsidTr="007C0262">
        <w:trPr>
          <w:trHeight w:val="288"/>
          <w:jc w:val="center"/>
        </w:trPr>
        <w:tc>
          <w:tcPr>
            <w:tcW w:w="1896" w:type="dxa"/>
            <w:vAlign w:val="center"/>
          </w:tcPr>
          <w:p w14:paraId="4997774A"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3</w:t>
            </w:r>
          </w:p>
        </w:tc>
        <w:tc>
          <w:tcPr>
            <w:tcW w:w="1759" w:type="dxa"/>
            <w:vAlign w:val="center"/>
          </w:tcPr>
          <w:p w14:paraId="52C834F0"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2208" w:type="dxa"/>
            <w:vAlign w:val="center"/>
          </w:tcPr>
          <w:p w14:paraId="65A3B9F8"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425" w:type="dxa"/>
            <w:vAlign w:val="center"/>
          </w:tcPr>
          <w:p w14:paraId="552256AE" w14:textId="77777777" w:rsidR="002F10C8" w:rsidRPr="000A240C" w:rsidRDefault="002F10C8" w:rsidP="00AD39DE">
            <w:pPr>
              <w:jc w:val="center"/>
              <w:rPr>
                <w:rFonts w:ascii="Arial" w:hAnsi="Arial"/>
                <w:color w:val="000000"/>
                <w:sz w:val="22"/>
              </w:rPr>
            </w:pPr>
            <w:r w:rsidRPr="000A240C">
              <w:rPr>
                <w:rFonts w:ascii="Arial" w:hAnsi="Arial"/>
                <w:color w:val="000000"/>
                <w:sz w:val="22"/>
              </w:rPr>
              <w:t>53</w:t>
            </w:r>
          </w:p>
        </w:tc>
        <w:tc>
          <w:tcPr>
            <w:tcW w:w="1342" w:type="dxa"/>
            <w:vAlign w:val="center"/>
          </w:tcPr>
          <w:p w14:paraId="21642728" w14:textId="77777777" w:rsidR="002F10C8" w:rsidRPr="000A240C" w:rsidRDefault="002F10C8" w:rsidP="00AD39DE">
            <w:pPr>
              <w:jc w:val="center"/>
              <w:rPr>
                <w:rFonts w:ascii="Arial" w:hAnsi="Arial"/>
                <w:color w:val="000000"/>
                <w:sz w:val="22"/>
              </w:rPr>
            </w:pPr>
            <w:r w:rsidRPr="000A240C">
              <w:rPr>
                <w:rFonts w:ascii="Arial" w:hAnsi="Arial"/>
                <w:color w:val="000000"/>
                <w:sz w:val="22"/>
              </w:rPr>
              <w:t>42</w:t>
            </w:r>
          </w:p>
        </w:tc>
      </w:tr>
      <w:tr w:rsidR="002F10C8" w:rsidRPr="00A11483" w14:paraId="5CC75836" w14:textId="77777777" w:rsidTr="007C0262">
        <w:trPr>
          <w:trHeight w:val="288"/>
          <w:jc w:val="center"/>
        </w:trPr>
        <w:tc>
          <w:tcPr>
            <w:tcW w:w="1896" w:type="dxa"/>
            <w:vAlign w:val="center"/>
          </w:tcPr>
          <w:p w14:paraId="7AA870C3"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4</w:t>
            </w:r>
          </w:p>
        </w:tc>
        <w:tc>
          <w:tcPr>
            <w:tcW w:w="1759" w:type="dxa"/>
            <w:vAlign w:val="center"/>
          </w:tcPr>
          <w:p w14:paraId="2AFAF050"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2208" w:type="dxa"/>
            <w:vAlign w:val="center"/>
          </w:tcPr>
          <w:p w14:paraId="77E1F01F" w14:textId="77777777" w:rsidR="002F10C8" w:rsidRPr="000A240C" w:rsidRDefault="002F10C8" w:rsidP="00AD39DE">
            <w:pPr>
              <w:jc w:val="center"/>
              <w:rPr>
                <w:rFonts w:ascii="Arial" w:hAnsi="Arial"/>
                <w:color w:val="000000"/>
                <w:sz w:val="22"/>
              </w:rPr>
            </w:pPr>
            <w:r w:rsidRPr="000A240C">
              <w:rPr>
                <w:rFonts w:ascii="Arial" w:hAnsi="Arial"/>
                <w:color w:val="000000"/>
                <w:sz w:val="22"/>
              </w:rPr>
              <w:t>48</w:t>
            </w:r>
          </w:p>
        </w:tc>
        <w:tc>
          <w:tcPr>
            <w:tcW w:w="1425" w:type="dxa"/>
            <w:vAlign w:val="center"/>
          </w:tcPr>
          <w:p w14:paraId="31C5C4E8" w14:textId="77777777" w:rsidR="002F10C8" w:rsidRPr="000A240C" w:rsidRDefault="002F10C8" w:rsidP="00AD39DE">
            <w:pPr>
              <w:jc w:val="center"/>
              <w:rPr>
                <w:rFonts w:ascii="Arial" w:hAnsi="Arial"/>
                <w:color w:val="000000"/>
                <w:sz w:val="22"/>
              </w:rPr>
            </w:pPr>
            <w:r w:rsidRPr="000A240C">
              <w:rPr>
                <w:rFonts w:ascii="Arial" w:hAnsi="Arial"/>
                <w:color w:val="000000"/>
                <w:sz w:val="22"/>
              </w:rPr>
              <w:t>53</w:t>
            </w:r>
          </w:p>
        </w:tc>
        <w:tc>
          <w:tcPr>
            <w:tcW w:w="1342" w:type="dxa"/>
            <w:vAlign w:val="center"/>
          </w:tcPr>
          <w:p w14:paraId="0B1FC4A3" w14:textId="77777777" w:rsidR="002F10C8" w:rsidRPr="000A240C" w:rsidRDefault="002F10C8" w:rsidP="00AD39DE">
            <w:pPr>
              <w:jc w:val="center"/>
              <w:rPr>
                <w:rFonts w:ascii="Arial" w:hAnsi="Arial"/>
                <w:color w:val="000000"/>
                <w:sz w:val="22"/>
              </w:rPr>
            </w:pPr>
            <w:r w:rsidRPr="000A240C">
              <w:rPr>
                <w:rFonts w:ascii="Arial" w:hAnsi="Arial"/>
                <w:color w:val="000000"/>
                <w:sz w:val="22"/>
              </w:rPr>
              <w:t>42</w:t>
            </w:r>
          </w:p>
        </w:tc>
      </w:tr>
      <w:tr w:rsidR="002F10C8" w:rsidRPr="00A11483" w14:paraId="54DE64CA" w14:textId="77777777" w:rsidTr="007C0262">
        <w:trPr>
          <w:trHeight w:val="288"/>
          <w:jc w:val="center"/>
        </w:trPr>
        <w:tc>
          <w:tcPr>
            <w:tcW w:w="1896" w:type="dxa"/>
            <w:vAlign w:val="center"/>
          </w:tcPr>
          <w:p w14:paraId="668FF5E4"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5</w:t>
            </w:r>
          </w:p>
        </w:tc>
        <w:tc>
          <w:tcPr>
            <w:tcW w:w="1759" w:type="dxa"/>
            <w:vAlign w:val="center"/>
          </w:tcPr>
          <w:p w14:paraId="3BD929B5"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2208" w:type="dxa"/>
            <w:vAlign w:val="center"/>
          </w:tcPr>
          <w:p w14:paraId="1521E497" w14:textId="77777777" w:rsidR="002F10C8" w:rsidRPr="000A240C" w:rsidRDefault="002F10C8" w:rsidP="00AD39DE">
            <w:pPr>
              <w:jc w:val="center"/>
              <w:rPr>
                <w:rFonts w:ascii="Arial" w:hAnsi="Arial"/>
                <w:color w:val="000000"/>
                <w:sz w:val="22"/>
              </w:rPr>
            </w:pPr>
            <w:r w:rsidRPr="000A240C">
              <w:rPr>
                <w:rFonts w:ascii="Arial" w:hAnsi="Arial"/>
                <w:color w:val="000000"/>
                <w:sz w:val="22"/>
              </w:rPr>
              <w:t>48</w:t>
            </w:r>
          </w:p>
        </w:tc>
        <w:tc>
          <w:tcPr>
            <w:tcW w:w="1425" w:type="dxa"/>
            <w:vAlign w:val="center"/>
          </w:tcPr>
          <w:p w14:paraId="504B348B" w14:textId="77777777" w:rsidR="002F10C8" w:rsidRPr="000A240C" w:rsidRDefault="002F10C8" w:rsidP="00AD39DE">
            <w:pPr>
              <w:jc w:val="center"/>
              <w:rPr>
                <w:rFonts w:ascii="Arial" w:hAnsi="Arial"/>
                <w:color w:val="000000"/>
                <w:sz w:val="22"/>
              </w:rPr>
            </w:pPr>
            <w:r w:rsidRPr="000A240C">
              <w:rPr>
                <w:rFonts w:ascii="Arial" w:hAnsi="Arial"/>
                <w:color w:val="000000"/>
                <w:sz w:val="22"/>
              </w:rPr>
              <w:t>52</w:t>
            </w:r>
          </w:p>
        </w:tc>
        <w:tc>
          <w:tcPr>
            <w:tcW w:w="1342" w:type="dxa"/>
            <w:vAlign w:val="center"/>
          </w:tcPr>
          <w:p w14:paraId="702BA178" w14:textId="77777777" w:rsidR="002F10C8" w:rsidRPr="000A240C" w:rsidRDefault="002F10C8" w:rsidP="00AD39DE">
            <w:pPr>
              <w:jc w:val="center"/>
              <w:rPr>
                <w:rFonts w:ascii="Arial" w:hAnsi="Arial"/>
                <w:color w:val="000000"/>
                <w:sz w:val="22"/>
              </w:rPr>
            </w:pPr>
            <w:r w:rsidRPr="000A240C">
              <w:rPr>
                <w:rFonts w:ascii="Arial" w:hAnsi="Arial"/>
                <w:color w:val="000000"/>
                <w:sz w:val="22"/>
              </w:rPr>
              <w:t>42</w:t>
            </w:r>
          </w:p>
        </w:tc>
      </w:tr>
      <w:tr w:rsidR="002F10C8" w:rsidRPr="00A11483" w14:paraId="31A88B13" w14:textId="77777777" w:rsidTr="007C0262">
        <w:trPr>
          <w:trHeight w:val="288"/>
          <w:jc w:val="center"/>
        </w:trPr>
        <w:tc>
          <w:tcPr>
            <w:tcW w:w="1896" w:type="dxa"/>
            <w:vAlign w:val="center"/>
          </w:tcPr>
          <w:p w14:paraId="72CD7E4F"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6</w:t>
            </w:r>
          </w:p>
        </w:tc>
        <w:tc>
          <w:tcPr>
            <w:tcW w:w="1759" w:type="dxa"/>
            <w:vAlign w:val="center"/>
          </w:tcPr>
          <w:p w14:paraId="5073903D"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2208" w:type="dxa"/>
            <w:vAlign w:val="center"/>
          </w:tcPr>
          <w:p w14:paraId="7C715198" w14:textId="77777777" w:rsidR="002F10C8" w:rsidRPr="000A240C" w:rsidRDefault="002F10C8" w:rsidP="00AD39DE">
            <w:pPr>
              <w:jc w:val="center"/>
              <w:rPr>
                <w:rFonts w:ascii="Arial" w:hAnsi="Arial"/>
                <w:color w:val="000000"/>
                <w:sz w:val="22"/>
              </w:rPr>
            </w:pPr>
            <w:r w:rsidRPr="000A240C">
              <w:rPr>
                <w:rFonts w:ascii="Arial" w:hAnsi="Arial"/>
                <w:color w:val="000000"/>
                <w:sz w:val="22"/>
              </w:rPr>
              <w:t>48</w:t>
            </w:r>
          </w:p>
        </w:tc>
        <w:tc>
          <w:tcPr>
            <w:tcW w:w="1425" w:type="dxa"/>
            <w:vAlign w:val="center"/>
          </w:tcPr>
          <w:p w14:paraId="22542177" w14:textId="77777777" w:rsidR="002F10C8" w:rsidRPr="000A240C" w:rsidRDefault="002F10C8" w:rsidP="00AD39DE">
            <w:pPr>
              <w:jc w:val="center"/>
              <w:rPr>
                <w:rFonts w:ascii="Arial" w:hAnsi="Arial"/>
                <w:color w:val="000000"/>
                <w:sz w:val="22"/>
              </w:rPr>
            </w:pPr>
            <w:r w:rsidRPr="000A240C">
              <w:rPr>
                <w:rFonts w:ascii="Arial" w:hAnsi="Arial"/>
                <w:color w:val="000000"/>
                <w:sz w:val="22"/>
              </w:rPr>
              <w:t>52</w:t>
            </w:r>
          </w:p>
        </w:tc>
        <w:tc>
          <w:tcPr>
            <w:tcW w:w="1342" w:type="dxa"/>
            <w:vAlign w:val="center"/>
          </w:tcPr>
          <w:p w14:paraId="1094A5C7" w14:textId="77777777" w:rsidR="002F10C8" w:rsidRPr="000A240C" w:rsidRDefault="002F10C8" w:rsidP="00AD39DE">
            <w:pPr>
              <w:jc w:val="center"/>
              <w:rPr>
                <w:rFonts w:ascii="Arial" w:hAnsi="Arial"/>
                <w:color w:val="000000"/>
                <w:sz w:val="22"/>
              </w:rPr>
            </w:pPr>
            <w:r w:rsidRPr="000A240C">
              <w:rPr>
                <w:rFonts w:ascii="Arial" w:hAnsi="Arial"/>
                <w:color w:val="000000"/>
                <w:sz w:val="22"/>
              </w:rPr>
              <w:t>41</w:t>
            </w:r>
          </w:p>
        </w:tc>
      </w:tr>
      <w:tr w:rsidR="002F10C8" w:rsidRPr="00A11483" w14:paraId="61171B57" w14:textId="77777777" w:rsidTr="007C0262">
        <w:trPr>
          <w:trHeight w:val="288"/>
          <w:jc w:val="center"/>
        </w:trPr>
        <w:tc>
          <w:tcPr>
            <w:tcW w:w="1896" w:type="dxa"/>
            <w:vAlign w:val="center"/>
          </w:tcPr>
          <w:p w14:paraId="29EC3231"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7</w:t>
            </w:r>
          </w:p>
        </w:tc>
        <w:tc>
          <w:tcPr>
            <w:tcW w:w="1759" w:type="dxa"/>
            <w:vAlign w:val="center"/>
          </w:tcPr>
          <w:p w14:paraId="654E56EB"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2208" w:type="dxa"/>
            <w:vAlign w:val="center"/>
          </w:tcPr>
          <w:p w14:paraId="09695C67" w14:textId="77777777" w:rsidR="002F10C8" w:rsidRPr="000A240C" w:rsidRDefault="002F10C8" w:rsidP="00AD39DE">
            <w:pPr>
              <w:jc w:val="center"/>
              <w:rPr>
                <w:rFonts w:ascii="Arial" w:hAnsi="Arial"/>
                <w:color w:val="000000"/>
                <w:sz w:val="22"/>
              </w:rPr>
            </w:pPr>
            <w:r w:rsidRPr="000A240C">
              <w:rPr>
                <w:rFonts w:ascii="Arial" w:hAnsi="Arial"/>
                <w:color w:val="000000"/>
                <w:sz w:val="22"/>
              </w:rPr>
              <w:t>48</w:t>
            </w:r>
          </w:p>
        </w:tc>
        <w:tc>
          <w:tcPr>
            <w:tcW w:w="1425" w:type="dxa"/>
            <w:vAlign w:val="center"/>
          </w:tcPr>
          <w:p w14:paraId="2A0A8588" w14:textId="77777777" w:rsidR="002F10C8" w:rsidRPr="000A240C" w:rsidRDefault="002F10C8" w:rsidP="00AD39DE">
            <w:pPr>
              <w:jc w:val="center"/>
              <w:rPr>
                <w:rFonts w:ascii="Arial" w:hAnsi="Arial"/>
                <w:color w:val="000000"/>
                <w:sz w:val="22"/>
              </w:rPr>
            </w:pPr>
            <w:r w:rsidRPr="000A240C">
              <w:rPr>
                <w:rFonts w:ascii="Arial" w:hAnsi="Arial"/>
                <w:color w:val="000000"/>
                <w:sz w:val="22"/>
              </w:rPr>
              <w:t>52</w:t>
            </w:r>
          </w:p>
        </w:tc>
        <w:tc>
          <w:tcPr>
            <w:tcW w:w="1342" w:type="dxa"/>
            <w:vAlign w:val="center"/>
          </w:tcPr>
          <w:p w14:paraId="70B16907" w14:textId="77777777" w:rsidR="002F10C8" w:rsidRPr="000A240C" w:rsidRDefault="002F10C8" w:rsidP="00AD39DE">
            <w:pPr>
              <w:jc w:val="center"/>
              <w:rPr>
                <w:rFonts w:ascii="Arial" w:hAnsi="Arial"/>
                <w:color w:val="000000"/>
                <w:sz w:val="22"/>
              </w:rPr>
            </w:pPr>
            <w:r w:rsidRPr="000A240C">
              <w:rPr>
                <w:rFonts w:ascii="Arial" w:hAnsi="Arial"/>
                <w:color w:val="000000"/>
                <w:sz w:val="22"/>
              </w:rPr>
              <w:t>41</w:t>
            </w:r>
          </w:p>
        </w:tc>
      </w:tr>
      <w:tr w:rsidR="002F10C8" w:rsidRPr="00A11483" w14:paraId="4A80A5CA" w14:textId="77777777" w:rsidTr="007C0262">
        <w:trPr>
          <w:trHeight w:val="288"/>
          <w:jc w:val="center"/>
        </w:trPr>
        <w:tc>
          <w:tcPr>
            <w:tcW w:w="1896" w:type="dxa"/>
            <w:vAlign w:val="center"/>
          </w:tcPr>
          <w:p w14:paraId="4E80C4BA"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8</w:t>
            </w:r>
          </w:p>
        </w:tc>
        <w:tc>
          <w:tcPr>
            <w:tcW w:w="1759" w:type="dxa"/>
            <w:vAlign w:val="center"/>
          </w:tcPr>
          <w:p w14:paraId="3D07F188"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74C9BFB3" w14:textId="77777777" w:rsidR="002F10C8" w:rsidRPr="000A240C" w:rsidRDefault="002F10C8" w:rsidP="00AD39DE">
            <w:pPr>
              <w:jc w:val="center"/>
              <w:rPr>
                <w:rFonts w:ascii="Arial" w:hAnsi="Arial"/>
                <w:color w:val="000000"/>
                <w:sz w:val="22"/>
              </w:rPr>
            </w:pPr>
            <w:r w:rsidRPr="000A240C">
              <w:rPr>
                <w:rFonts w:ascii="Arial" w:hAnsi="Arial"/>
                <w:color w:val="000000"/>
                <w:sz w:val="22"/>
              </w:rPr>
              <w:t>48</w:t>
            </w:r>
          </w:p>
        </w:tc>
        <w:tc>
          <w:tcPr>
            <w:tcW w:w="1425" w:type="dxa"/>
            <w:vAlign w:val="center"/>
          </w:tcPr>
          <w:p w14:paraId="7ACC394C" w14:textId="77777777" w:rsidR="002F10C8" w:rsidRPr="000A240C" w:rsidRDefault="002F10C8" w:rsidP="00AD39DE">
            <w:pPr>
              <w:jc w:val="center"/>
              <w:rPr>
                <w:rFonts w:ascii="Arial" w:hAnsi="Arial"/>
                <w:color w:val="000000"/>
                <w:sz w:val="22"/>
              </w:rPr>
            </w:pPr>
            <w:r w:rsidRPr="000A240C">
              <w:rPr>
                <w:rFonts w:ascii="Arial" w:hAnsi="Arial"/>
                <w:color w:val="000000"/>
                <w:sz w:val="22"/>
              </w:rPr>
              <w:t>52</w:t>
            </w:r>
          </w:p>
        </w:tc>
        <w:tc>
          <w:tcPr>
            <w:tcW w:w="1342" w:type="dxa"/>
            <w:vAlign w:val="center"/>
          </w:tcPr>
          <w:p w14:paraId="07BF21CF" w14:textId="77777777" w:rsidR="002F10C8" w:rsidRPr="000A240C" w:rsidRDefault="002F10C8" w:rsidP="00AD39DE">
            <w:pPr>
              <w:jc w:val="center"/>
              <w:rPr>
                <w:rFonts w:ascii="Arial" w:hAnsi="Arial"/>
                <w:color w:val="000000"/>
                <w:sz w:val="22"/>
              </w:rPr>
            </w:pPr>
            <w:r w:rsidRPr="000A240C">
              <w:rPr>
                <w:rFonts w:ascii="Arial" w:hAnsi="Arial"/>
                <w:color w:val="000000"/>
                <w:sz w:val="22"/>
              </w:rPr>
              <w:t>41</w:t>
            </w:r>
          </w:p>
        </w:tc>
      </w:tr>
      <w:tr w:rsidR="002F10C8" w:rsidRPr="00A11483" w14:paraId="57B61544" w14:textId="77777777" w:rsidTr="007C0262">
        <w:trPr>
          <w:trHeight w:val="288"/>
          <w:jc w:val="center"/>
        </w:trPr>
        <w:tc>
          <w:tcPr>
            <w:tcW w:w="1896" w:type="dxa"/>
            <w:vAlign w:val="center"/>
          </w:tcPr>
          <w:p w14:paraId="44651AF0"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9</w:t>
            </w:r>
          </w:p>
        </w:tc>
        <w:tc>
          <w:tcPr>
            <w:tcW w:w="1759" w:type="dxa"/>
            <w:vAlign w:val="center"/>
          </w:tcPr>
          <w:p w14:paraId="75C739E2"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770484FD" w14:textId="77777777" w:rsidR="002F10C8" w:rsidRPr="000A240C" w:rsidRDefault="002F10C8" w:rsidP="00AD39DE">
            <w:pPr>
              <w:jc w:val="center"/>
              <w:rPr>
                <w:rFonts w:ascii="Arial" w:hAnsi="Arial"/>
                <w:color w:val="000000"/>
                <w:sz w:val="22"/>
              </w:rPr>
            </w:pPr>
            <w:r w:rsidRPr="000A240C">
              <w:rPr>
                <w:rFonts w:ascii="Arial" w:hAnsi="Arial"/>
                <w:color w:val="000000"/>
                <w:sz w:val="22"/>
              </w:rPr>
              <w:t>47</w:t>
            </w:r>
          </w:p>
        </w:tc>
        <w:tc>
          <w:tcPr>
            <w:tcW w:w="1425" w:type="dxa"/>
            <w:vAlign w:val="center"/>
          </w:tcPr>
          <w:p w14:paraId="036EE1B7" w14:textId="77777777" w:rsidR="002F10C8" w:rsidRPr="000A240C" w:rsidRDefault="002F10C8" w:rsidP="00AD39DE">
            <w:pPr>
              <w:jc w:val="center"/>
              <w:rPr>
                <w:rFonts w:ascii="Arial" w:hAnsi="Arial"/>
                <w:color w:val="000000"/>
                <w:sz w:val="22"/>
              </w:rPr>
            </w:pPr>
            <w:r w:rsidRPr="000A240C">
              <w:rPr>
                <w:rFonts w:ascii="Arial" w:hAnsi="Arial"/>
                <w:color w:val="000000"/>
                <w:sz w:val="22"/>
              </w:rPr>
              <w:t>52</w:t>
            </w:r>
          </w:p>
        </w:tc>
        <w:tc>
          <w:tcPr>
            <w:tcW w:w="1342" w:type="dxa"/>
            <w:vAlign w:val="center"/>
          </w:tcPr>
          <w:p w14:paraId="4FD5CA13" w14:textId="77777777" w:rsidR="002F10C8" w:rsidRPr="000A240C" w:rsidRDefault="002F10C8" w:rsidP="00AD39DE">
            <w:pPr>
              <w:jc w:val="center"/>
              <w:rPr>
                <w:rFonts w:ascii="Arial" w:hAnsi="Arial"/>
                <w:color w:val="000000"/>
                <w:sz w:val="22"/>
              </w:rPr>
            </w:pPr>
            <w:r w:rsidRPr="000A240C">
              <w:rPr>
                <w:rFonts w:ascii="Arial" w:hAnsi="Arial"/>
                <w:color w:val="000000"/>
                <w:sz w:val="22"/>
              </w:rPr>
              <w:t>41</w:t>
            </w:r>
          </w:p>
        </w:tc>
      </w:tr>
      <w:tr w:rsidR="002F10C8" w:rsidRPr="00A11483" w14:paraId="39BCAFF5" w14:textId="77777777" w:rsidTr="007C0262">
        <w:trPr>
          <w:trHeight w:val="288"/>
          <w:jc w:val="center"/>
        </w:trPr>
        <w:tc>
          <w:tcPr>
            <w:tcW w:w="1896" w:type="dxa"/>
            <w:vAlign w:val="center"/>
          </w:tcPr>
          <w:p w14:paraId="7F5AADC9"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10</w:t>
            </w:r>
          </w:p>
        </w:tc>
        <w:tc>
          <w:tcPr>
            <w:tcW w:w="1759" w:type="dxa"/>
            <w:vAlign w:val="center"/>
          </w:tcPr>
          <w:p w14:paraId="54CA014A"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64A044BB" w14:textId="77777777" w:rsidR="002F10C8" w:rsidRPr="000A240C" w:rsidRDefault="002F10C8" w:rsidP="00AD39DE">
            <w:pPr>
              <w:jc w:val="center"/>
              <w:rPr>
                <w:rFonts w:ascii="Arial" w:hAnsi="Arial"/>
                <w:color w:val="000000"/>
                <w:sz w:val="22"/>
              </w:rPr>
            </w:pPr>
            <w:r w:rsidRPr="000A240C">
              <w:rPr>
                <w:rFonts w:ascii="Arial" w:hAnsi="Arial"/>
                <w:color w:val="000000"/>
                <w:sz w:val="22"/>
              </w:rPr>
              <w:t>47</w:t>
            </w:r>
          </w:p>
        </w:tc>
        <w:tc>
          <w:tcPr>
            <w:tcW w:w="1425" w:type="dxa"/>
            <w:vAlign w:val="center"/>
          </w:tcPr>
          <w:p w14:paraId="73799365" w14:textId="77777777" w:rsidR="002F10C8" w:rsidRPr="000A240C" w:rsidRDefault="002F10C8" w:rsidP="00AD39DE">
            <w:pPr>
              <w:jc w:val="center"/>
              <w:rPr>
                <w:rFonts w:ascii="Arial" w:hAnsi="Arial"/>
                <w:color w:val="000000"/>
                <w:sz w:val="22"/>
              </w:rPr>
            </w:pPr>
            <w:r w:rsidRPr="000A240C">
              <w:rPr>
                <w:rFonts w:ascii="Arial" w:hAnsi="Arial"/>
                <w:color w:val="000000"/>
                <w:sz w:val="22"/>
              </w:rPr>
              <w:t>52</w:t>
            </w:r>
          </w:p>
        </w:tc>
        <w:tc>
          <w:tcPr>
            <w:tcW w:w="1342" w:type="dxa"/>
            <w:vAlign w:val="center"/>
          </w:tcPr>
          <w:p w14:paraId="1A188540" w14:textId="77777777" w:rsidR="002F10C8" w:rsidRPr="000A240C" w:rsidRDefault="002F10C8" w:rsidP="00AD39DE">
            <w:pPr>
              <w:jc w:val="center"/>
              <w:rPr>
                <w:rFonts w:ascii="Arial" w:hAnsi="Arial"/>
                <w:color w:val="000000"/>
                <w:sz w:val="22"/>
              </w:rPr>
            </w:pPr>
            <w:r w:rsidRPr="000A240C">
              <w:rPr>
                <w:rFonts w:ascii="Arial" w:hAnsi="Arial"/>
                <w:color w:val="000000"/>
                <w:sz w:val="22"/>
              </w:rPr>
              <w:t>41</w:t>
            </w:r>
          </w:p>
        </w:tc>
      </w:tr>
      <w:tr w:rsidR="002F10C8" w:rsidRPr="00A11483" w14:paraId="7D4A071C" w14:textId="77777777" w:rsidTr="007C0262">
        <w:trPr>
          <w:trHeight w:val="288"/>
          <w:jc w:val="center"/>
        </w:trPr>
        <w:tc>
          <w:tcPr>
            <w:tcW w:w="1896" w:type="dxa"/>
            <w:vAlign w:val="center"/>
          </w:tcPr>
          <w:p w14:paraId="16B71D54"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11</w:t>
            </w:r>
          </w:p>
        </w:tc>
        <w:tc>
          <w:tcPr>
            <w:tcW w:w="1759" w:type="dxa"/>
            <w:vAlign w:val="center"/>
          </w:tcPr>
          <w:p w14:paraId="09ECD265"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5D502CFA" w14:textId="77777777" w:rsidR="002F10C8" w:rsidRPr="000A240C" w:rsidRDefault="002F10C8" w:rsidP="00AD39DE">
            <w:pPr>
              <w:jc w:val="center"/>
              <w:rPr>
                <w:rFonts w:ascii="Arial" w:hAnsi="Arial"/>
                <w:color w:val="000000"/>
                <w:sz w:val="22"/>
              </w:rPr>
            </w:pPr>
            <w:r w:rsidRPr="000A240C">
              <w:rPr>
                <w:rFonts w:ascii="Arial" w:hAnsi="Arial"/>
                <w:color w:val="000000"/>
                <w:sz w:val="22"/>
              </w:rPr>
              <w:t>47</w:t>
            </w:r>
          </w:p>
        </w:tc>
        <w:tc>
          <w:tcPr>
            <w:tcW w:w="1425" w:type="dxa"/>
            <w:vAlign w:val="center"/>
          </w:tcPr>
          <w:p w14:paraId="67DA6D2D" w14:textId="77777777" w:rsidR="002F10C8" w:rsidRPr="000A240C" w:rsidRDefault="002F10C8" w:rsidP="00AD39DE">
            <w:pPr>
              <w:jc w:val="center"/>
              <w:rPr>
                <w:rFonts w:ascii="Arial" w:hAnsi="Arial"/>
                <w:color w:val="000000"/>
                <w:sz w:val="22"/>
              </w:rPr>
            </w:pPr>
            <w:r w:rsidRPr="000A240C">
              <w:rPr>
                <w:rFonts w:ascii="Arial" w:hAnsi="Arial"/>
                <w:color w:val="000000"/>
                <w:sz w:val="22"/>
              </w:rPr>
              <w:t>51</w:t>
            </w:r>
          </w:p>
        </w:tc>
        <w:tc>
          <w:tcPr>
            <w:tcW w:w="1342" w:type="dxa"/>
            <w:vAlign w:val="center"/>
          </w:tcPr>
          <w:p w14:paraId="419B48F0" w14:textId="77777777" w:rsidR="002F10C8" w:rsidRPr="000A240C" w:rsidRDefault="002F10C8" w:rsidP="00AD39DE">
            <w:pPr>
              <w:jc w:val="center"/>
              <w:rPr>
                <w:rFonts w:ascii="Arial" w:hAnsi="Arial"/>
                <w:color w:val="000000"/>
                <w:sz w:val="22"/>
              </w:rPr>
            </w:pPr>
            <w:r w:rsidRPr="000A240C">
              <w:rPr>
                <w:rFonts w:ascii="Arial" w:hAnsi="Arial"/>
                <w:color w:val="000000"/>
                <w:sz w:val="22"/>
              </w:rPr>
              <w:t>41</w:t>
            </w:r>
          </w:p>
        </w:tc>
      </w:tr>
      <w:tr w:rsidR="002F10C8" w:rsidRPr="00A11483" w14:paraId="6783D5B4" w14:textId="77777777" w:rsidTr="007C0262">
        <w:trPr>
          <w:trHeight w:val="288"/>
          <w:jc w:val="center"/>
        </w:trPr>
        <w:tc>
          <w:tcPr>
            <w:tcW w:w="1896" w:type="dxa"/>
            <w:vAlign w:val="center"/>
          </w:tcPr>
          <w:p w14:paraId="1BFFBAE7"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12</w:t>
            </w:r>
          </w:p>
        </w:tc>
        <w:tc>
          <w:tcPr>
            <w:tcW w:w="1759" w:type="dxa"/>
            <w:vAlign w:val="center"/>
          </w:tcPr>
          <w:p w14:paraId="3CB201F7"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1402369A" w14:textId="77777777" w:rsidR="002F10C8" w:rsidRPr="000A240C" w:rsidRDefault="002F10C8" w:rsidP="00AD39DE">
            <w:pPr>
              <w:jc w:val="center"/>
              <w:rPr>
                <w:rFonts w:ascii="Arial" w:hAnsi="Arial"/>
                <w:color w:val="000000"/>
                <w:sz w:val="22"/>
              </w:rPr>
            </w:pPr>
            <w:r w:rsidRPr="000A240C">
              <w:rPr>
                <w:rFonts w:ascii="Arial" w:hAnsi="Arial"/>
                <w:color w:val="000000"/>
                <w:sz w:val="22"/>
              </w:rPr>
              <w:t>47</w:t>
            </w:r>
          </w:p>
        </w:tc>
        <w:tc>
          <w:tcPr>
            <w:tcW w:w="1425" w:type="dxa"/>
            <w:vAlign w:val="center"/>
          </w:tcPr>
          <w:p w14:paraId="33F56B91" w14:textId="77777777" w:rsidR="002F10C8" w:rsidRPr="000A240C" w:rsidRDefault="002F10C8" w:rsidP="00AD39DE">
            <w:pPr>
              <w:jc w:val="center"/>
              <w:rPr>
                <w:rFonts w:ascii="Arial" w:hAnsi="Arial"/>
                <w:color w:val="000000"/>
                <w:sz w:val="22"/>
              </w:rPr>
            </w:pPr>
            <w:r w:rsidRPr="000A240C">
              <w:rPr>
                <w:rFonts w:ascii="Arial" w:hAnsi="Arial"/>
                <w:color w:val="000000"/>
                <w:sz w:val="22"/>
              </w:rPr>
              <w:t>51</w:t>
            </w:r>
          </w:p>
        </w:tc>
        <w:tc>
          <w:tcPr>
            <w:tcW w:w="1342" w:type="dxa"/>
            <w:vAlign w:val="center"/>
          </w:tcPr>
          <w:p w14:paraId="692C674D" w14:textId="77777777" w:rsidR="002F10C8" w:rsidRPr="000A240C" w:rsidRDefault="002F10C8" w:rsidP="00AD39DE">
            <w:pPr>
              <w:jc w:val="center"/>
              <w:rPr>
                <w:rFonts w:ascii="Arial" w:hAnsi="Arial"/>
                <w:color w:val="000000"/>
                <w:sz w:val="22"/>
              </w:rPr>
            </w:pPr>
            <w:r w:rsidRPr="000A240C">
              <w:rPr>
                <w:rFonts w:ascii="Arial" w:hAnsi="Arial"/>
                <w:color w:val="000000"/>
                <w:sz w:val="22"/>
              </w:rPr>
              <w:t>41</w:t>
            </w:r>
          </w:p>
        </w:tc>
      </w:tr>
      <w:tr w:rsidR="002F10C8" w:rsidRPr="00A11483" w14:paraId="4D4048C5" w14:textId="77777777" w:rsidTr="007C0262">
        <w:trPr>
          <w:trHeight w:val="288"/>
          <w:jc w:val="center"/>
        </w:trPr>
        <w:tc>
          <w:tcPr>
            <w:tcW w:w="1896" w:type="dxa"/>
            <w:vAlign w:val="center"/>
          </w:tcPr>
          <w:p w14:paraId="47AA4756"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13</w:t>
            </w:r>
          </w:p>
        </w:tc>
        <w:tc>
          <w:tcPr>
            <w:tcW w:w="1759" w:type="dxa"/>
            <w:vAlign w:val="center"/>
          </w:tcPr>
          <w:p w14:paraId="6A7F8C20"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3A2F9851" w14:textId="77777777" w:rsidR="002F10C8" w:rsidRPr="000A240C" w:rsidRDefault="002F10C8" w:rsidP="00AD39DE">
            <w:pPr>
              <w:jc w:val="center"/>
              <w:rPr>
                <w:rFonts w:ascii="Arial" w:hAnsi="Arial"/>
                <w:color w:val="000000"/>
                <w:sz w:val="22"/>
              </w:rPr>
            </w:pPr>
            <w:r w:rsidRPr="000A240C">
              <w:rPr>
                <w:rFonts w:ascii="Arial" w:hAnsi="Arial"/>
                <w:color w:val="000000"/>
                <w:sz w:val="22"/>
              </w:rPr>
              <w:t>47</w:t>
            </w:r>
          </w:p>
        </w:tc>
        <w:tc>
          <w:tcPr>
            <w:tcW w:w="1425" w:type="dxa"/>
            <w:vAlign w:val="center"/>
          </w:tcPr>
          <w:p w14:paraId="4EF33C75" w14:textId="77777777" w:rsidR="002F10C8" w:rsidRPr="000A240C" w:rsidRDefault="002F10C8" w:rsidP="00AD39DE">
            <w:pPr>
              <w:jc w:val="center"/>
              <w:rPr>
                <w:rFonts w:ascii="Arial" w:hAnsi="Arial"/>
                <w:color w:val="000000"/>
                <w:sz w:val="22"/>
              </w:rPr>
            </w:pPr>
            <w:r w:rsidRPr="000A240C">
              <w:rPr>
                <w:rFonts w:ascii="Arial" w:hAnsi="Arial"/>
                <w:color w:val="000000"/>
                <w:sz w:val="22"/>
              </w:rPr>
              <w:t>51</w:t>
            </w:r>
          </w:p>
        </w:tc>
        <w:tc>
          <w:tcPr>
            <w:tcW w:w="1342" w:type="dxa"/>
            <w:vAlign w:val="center"/>
          </w:tcPr>
          <w:p w14:paraId="646336F5" w14:textId="77777777" w:rsidR="002F10C8" w:rsidRPr="000A240C" w:rsidRDefault="002F10C8" w:rsidP="00AD39DE">
            <w:pPr>
              <w:jc w:val="center"/>
              <w:rPr>
                <w:rFonts w:ascii="Arial" w:hAnsi="Arial"/>
                <w:color w:val="000000"/>
                <w:sz w:val="22"/>
              </w:rPr>
            </w:pPr>
            <w:r w:rsidRPr="000A240C">
              <w:rPr>
                <w:rFonts w:ascii="Arial" w:hAnsi="Arial"/>
                <w:color w:val="000000"/>
                <w:sz w:val="22"/>
              </w:rPr>
              <w:t>41</w:t>
            </w:r>
          </w:p>
        </w:tc>
      </w:tr>
      <w:tr w:rsidR="002F10C8" w:rsidRPr="00A11483" w14:paraId="2D6AD0C9" w14:textId="77777777" w:rsidTr="007C0262">
        <w:trPr>
          <w:trHeight w:val="288"/>
          <w:jc w:val="center"/>
        </w:trPr>
        <w:tc>
          <w:tcPr>
            <w:tcW w:w="1896" w:type="dxa"/>
            <w:vAlign w:val="center"/>
          </w:tcPr>
          <w:p w14:paraId="36347965"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14</w:t>
            </w:r>
          </w:p>
        </w:tc>
        <w:tc>
          <w:tcPr>
            <w:tcW w:w="1759" w:type="dxa"/>
            <w:vAlign w:val="center"/>
          </w:tcPr>
          <w:p w14:paraId="1621EAA4"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2E334BFA"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1425" w:type="dxa"/>
            <w:vAlign w:val="center"/>
          </w:tcPr>
          <w:p w14:paraId="00F68AB8" w14:textId="77777777" w:rsidR="002F10C8" w:rsidRPr="000A240C" w:rsidRDefault="002F10C8" w:rsidP="00AD39DE">
            <w:pPr>
              <w:jc w:val="center"/>
              <w:rPr>
                <w:rFonts w:ascii="Arial" w:hAnsi="Arial"/>
                <w:color w:val="000000"/>
                <w:sz w:val="22"/>
              </w:rPr>
            </w:pPr>
            <w:r w:rsidRPr="000A240C">
              <w:rPr>
                <w:rFonts w:ascii="Arial" w:hAnsi="Arial"/>
                <w:color w:val="000000"/>
                <w:sz w:val="22"/>
              </w:rPr>
              <w:t>51</w:t>
            </w:r>
          </w:p>
        </w:tc>
        <w:tc>
          <w:tcPr>
            <w:tcW w:w="1342" w:type="dxa"/>
            <w:vAlign w:val="center"/>
          </w:tcPr>
          <w:p w14:paraId="0D34609B" w14:textId="77777777" w:rsidR="002F10C8" w:rsidRPr="000A240C" w:rsidRDefault="002F10C8" w:rsidP="00AD39DE">
            <w:pPr>
              <w:jc w:val="center"/>
              <w:rPr>
                <w:rFonts w:ascii="Arial" w:hAnsi="Arial"/>
                <w:color w:val="000000"/>
                <w:sz w:val="22"/>
              </w:rPr>
            </w:pPr>
            <w:r w:rsidRPr="000A240C">
              <w:rPr>
                <w:rFonts w:ascii="Arial" w:hAnsi="Arial"/>
                <w:color w:val="000000"/>
                <w:sz w:val="22"/>
              </w:rPr>
              <w:t>40</w:t>
            </w:r>
          </w:p>
        </w:tc>
      </w:tr>
      <w:tr w:rsidR="002F10C8" w:rsidRPr="00A11483" w14:paraId="61630D7E" w14:textId="77777777" w:rsidTr="007C0262">
        <w:trPr>
          <w:trHeight w:val="288"/>
          <w:jc w:val="center"/>
        </w:trPr>
        <w:tc>
          <w:tcPr>
            <w:tcW w:w="1896" w:type="dxa"/>
            <w:vAlign w:val="center"/>
          </w:tcPr>
          <w:p w14:paraId="75D87004"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15</w:t>
            </w:r>
          </w:p>
        </w:tc>
        <w:tc>
          <w:tcPr>
            <w:tcW w:w="1759" w:type="dxa"/>
            <w:vAlign w:val="center"/>
          </w:tcPr>
          <w:p w14:paraId="0B4E4C78"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55D84EF7"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1425" w:type="dxa"/>
            <w:vAlign w:val="center"/>
          </w:tcPr>
          <w:p w14:paraId="665A3C7C" w14:textId="77777777" w:rsidR="002F10C8" w:rsidRPr="000A240C" w:rsidRDefault="002F10C8" w:rsidP="00AD39DE">
            <w:pPr>
              <w:jc w:val="center"/>
              <w:rPr>
                <w:rFonts w:ascii="Arial" w:hAnsi="Arial"/>
                <w:color w:val="000000"/>
                <w:sz w:val="22"/>
              </w:rPr>
            </w:pPr>
            <w:r w:rsidRPr="000A240C">
              <w:rPr>
                <w:rFonts w:ascii="Arial" w:hAnsi="Arial"/>
                <w:color w:val="000000"/>
                <w:sz w:val="22"/>
              </w:rPr>
              <w:t>51</w:t>
            </w:r>
          </w:p>
        </w:tc>
        <w:tc>
          <w:tcPr>
            <w:tcW w:w="1342" w:type="dxa"/>
            <w:vAlign w:val="center"/>
          </w:tcPr>
          <w:p w14:paraId="2ECF4A53" w14:textId="77777777" w:rsidR="002F10C8" w:rsidRPr="000A240C" w:rsidRDefault="002F10C8" w:rsidP="00AD39DE">
            <w:pPr>
              <w:jc w:val="center"/>
              <w:rPr>
                <w:rFonts w:ascii="Arial" w:hAnsi="Arial"/>
                <w:color w:val="000000"/>
                <w:sz w:val="22"/>
              </w:rPr>
            </w:pPr>
            <w:r w:rsidRPr="000A240C">
              <w:rPr>
                <w:rFonts w:ascii="Arial" w:hAnsi="Arial"/>
                <w:color w:val="000000"/>
                <w:sz w:val="22"/>
              </w:rPr>
              <w:t>40</w:t>
            </w:r>
          </w:p>
        </w:tc>
      </w:tr>
      <w:tr w:rsidR="002F10C8" w:rsidRPr="00A11483" w14:paraId="457F9F14" w14:textId="77777777" w:rsidTr="007C0262">
        <w:trPr>
          <w:trHeight w:val="288"/>
          <w:jc w:val="center"/>
        </w:trPr>
        <w:tc>
          <w:tcPr>
            <w:tcW w:w="1896" w:type="dxa"/>
            <w:vAlign w:val="center"/>
          </w:tcPr>
          <w:p w14:paraId="30099595"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16</w:t>
            </w:r>
          </w:p>
        </w:tc>
        <w:tc>
          <w:tcPr>
            <w:tcW w:w="1759" w:type="dxa"/>
            <w:vAlign w:val="center"/>
          </w:tcPr>
          <w:p w14:paraId="7ABC43CD"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2382050A"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1425" w:type="dxa"/>
            <w:vAlign w:val="center"/>
          </w:tcPr>
          <w:p w14:paraId="4E0803F5" w14:textId="77777777" w:rsidR="002F10C8" w:rsidRPr="000A240C" w:rsidRDefault="002F10C8" w:rsidP="00AD39DE">
            <w:pPr>
              <w:jc w:val="center"/>
              <w:rPr>
                <w:rFonts w:ascii="Arial" w:hAnsi="Arial"/>
                <w:color w:val="000000"/>
                <w:sz w:val="22"/>
              </w:rPr>
            </w:pPr>
            <w:r w:rsidRPr="000A240C">
              <w:rPr>
                <w:rFonts w:ascii="Arial" w:hAnsi="Arial"/>
                <w:color w:val="000000"/>
                <w:sz w:val="22"/>
              </w:rPr>
              <w:t>51</w:t>
            </w:r>
          </w:p>
        </w:tc>
        <w:tc>
          <w:tcPr>
            <w:tcW w:w="1342" w:type="dxa"/>
            <w:vAlign w:val="center"/>
          </w:tcPr>
          <w:p w14:paraId="248CB81B" w14:textId="77777777" w:rsidR="002F10C8" w:rsidRPr="000A240C" w:rsidRDefault="002F10C8" w:rsidP="00AD39DE">
            <w:pPr>
              <w:jc w:val="center"/>
              <w:rPr>
                <w:rFonts w:ascii="Arial" w:hAnsi="Arial"/>
                <w:color w:val="000000"/>
                <w:sz w:val="22"/>
              </w:rPr>
            </w:pPr>
            <w:r w:rsidRPr="000A240C">
              <w:rPr>
                <w:rFonts w:ascii="Arial" w:hAnsi="Arial"/>
                <w:color w:val="000000"/>
                <w:sz w:val="22"/>
              </w:rPr>
              <w:t>40</w:t>
            </w:r>
          </w:p>
        </w:tc>
      </w:tr>
      <w:tr w:rsidR="002F10C8" w:rsidRPr="00A11483" w14:paraId="658F2E70" w14:textId="77777777" w:rsidTr="007C0262">
        <w:trPr>
          <w:trHeight w:val="288"/>
          <w:jc w:val="center"/>
        </w:trPr>
        <w:tc>
          <w:tcPr>
            <w:tcW w:w="1896" w:type="dxa"/>
            <w:vAlign w:val="center"/>
          </w:tcPr>
          <w:p w14:paraId="4C068FBE"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17</w:t>
            </w:r>
          </w:p>
        </w:tc>
        <w:tc>
          <w:tcPr>
            <w:tcW w:w="1759" w:type="dxa"/>
            <w:vAlign w:val="center"/>
          </w:tcPr>
          <w:p w14:paraId="32C53ED2"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5407CD1D"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1425" w:type="dxa"/>
            <w:vAlign w:val="center"/>
          </w:tcPr>
          <w:p w14:paraId="4A54AEAC" w14:textId="77777777" w:rsidR="002F10C8" w:rsidRPr="000A240C" w:rsidRDefault="002F10C8" w:rsidP="00AD39DE">
            <w:pPr>
              <w:jc w:val="center"/>
              <w:rPr>
                <w:rFonts w:ascii="Arial" w:hAnsi="Arial"/>
                <w:color w:val="000000"/>
                <w:sz w:val="22"/>
              </w:rPr>
            </w:pPr>
            <w:r w:rsidRPr="000A240C">
              <w:rPr>
                <w:rFonts w:ascii="Arial" w:hAnsi="Arial"/>
                <w:color w:val="000000"/>
                <w:sz w:val="22"/>
              </w:rPr>
              <w:t>50</w:t>
            </w:r>
          </w:p>
        </w:tc>
        <w:tc>
          <w:tcPr>
            <w:tcW w:w="1342" w:type="dxa"/>
            <w:vAlign w:val="center"/>
          </w:tcPr>
          <w:p w14:paraId="2DBDCDDC" w14:textId="77777777" w:rsidR="002F10C8" w:rsidRPr="000A240C" w:rsidRDefault="002F10C8" w:rsidP="00AD39DE">
            <w:pPr>
              <w:jc w:val="center"/>
              <w:rPr>
                <w:rFonts w:ascii="Arial" w:hAnsi="Arial"/>
                <w:color w:val="000000"/>
                <w:sz w:val="22"/>
              </w:rPr>
            </w:pPr>
            <w:r w:rsidRPr="000A240C">
              <w:rPr>
                <w:rFonts w:ascii="Arial" w:hAnsi="Arial"/>
                <w:color w:val="000000"/>
                <w:sz w:val="22"/>
              </w:rPr>
              <w:t>40</w:t>
            </w:r>
          </w:p>
        </w:tc>
      </w:tr>
      <w:tr w:rsidR="002F10C8" w:rsidRPr="00A11483" w14:paraId="023B0AE8" w14:textId="77777777" w:rsidTr="007C0262">
        <w:trPr>
          <w:trHeight w:val="288"/>
          <w:jc w:val="center"/>
        </w:trPr>
        <w:tc>
          <w:tcPr>
            <w:tcW w:w="1896" w:type="dxa"/>
            <w:vAlign w:val="center"/>
          </w:tcPr>
          <w:p w14:paraId="40F55D66"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18</w:t>
            </w:r>
          </w:p>
        </w:tc>
        <w:tc>
          <w:tcPr>
            <w:tcW w:w="1759" w:type="dxa"/>
            <w:vAlign w:val="center"/>
          </w:tcPr>
          <w:p w14:paraId="200CDC50"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286C9CC4" w14:textId="77777777" w:rsidR="002F10C8" w:rsidRPr="000A240C" w:rsidRDefault="002F10C8" w:rsidP="00AD39DE">
            <w:pPr>
              <w:jc w:val="center"/>
              <w:rPr>
                <w:rFonts w:ascii="Arial" w:hAnsi="Arial"/>
                <w:color w:val="000000"/>
                <w:sz w:val="22"/>
              </w:rPr>
            </w:pPr>
            <w:r w:rsidRPr="000A240C">
              <w:rPr>
                <w:rFonts w:ascii="Arial" w:hAnsi="Arial"/>
                <w:color w:val="000000"/>
                <w:sz w:val="22"/>
              </w:rPr>
              <w:t>46</w:t>
            </w:r>
          </w:p>
        </w:tc>
        <w:tc>
          <w:tcPr>
            <w:tcW w:w="1425" w:type="dxa"/>
            <w:vAlign w:val="center"/>
          </w:tcPr>
          <w:p w14:paraId="69C6CB6A" w14:textId="77777777" w:rsidR="002F10C8" w:rsidRPr="000A240C" w:rsidRDefault="002F10C8" w:rsidP="00AD39DE">
            <w:pPr>
              <w:jc w:val="center"/>
              <w:rPr>
                <w:rFonts w:ascii="Arial" w:hAnsi="Arial"/>
                <w:color w:val="000000"/>
                <w:sz w:val="22"/>
              </w:rPr>
            </w:pPr>
            <w:r w:rsidRPr="000A240C">
              <w:rPr>
                <w:rFonts w:ascii="Arial" w:hAnsi="Arial"/>
                <w:color w:val="000000"/>
                <w:sz w:val="22"/>
              </w:rPr>
              <w:t>50</w:t>
            </w:r>
          </w:p>
        </w:tc>
        <w:tc>
          <w:tcPr>
            <w:tcW w:w="1342" w:type="dxa"/>
            <w:vAlign w:val="center"/>
          </w:tcPr>
          <w:p w14:paraId="0A7694E7" w14:textId="77777777" w:rsidR="002F10C8" w:rsidRPr="000A240C" w:rsidRDefault="002F10C8" w:rsidP="00AD39DE">
            <w:pPr>
              <w:jc w:val="center"/>
              <w:rPr>
                <w:rFonts w:ascii="Arial" w:hAnsi="Arial"/>
                <w:color w:val="000000"/>
                <w:sz w:val="22"/>
              </w:rPr>
            </w:pPr>
            <w:r w:rsidRPr="000A240C">
              <w:rPr>
                <w:rFonts w:ascii="Arial" w:hAnsi="Arial"/>
                <w:color w:val="000000"/>
                <w:sz w:val="22"/>
              </w:rPr>
              <w:t>40</w:t>
            </w:r>
          </w:p>
        </w:tc>
      </w:tr>
      <w:tr w:rsidR="002F10C8" w:rsidRPr="00A11483" w14:paraId="239E47D0" w14:textId="77777777" w:rsidTr="007C0262">
        <w:trPr>
          <w:trHeight w:val="288"/>
          <w:jc w:val="center"/>
        </w:trPr>
        <w:tc>
          <w:tcPr>
            <w:tcW w:w="1896" w:type="dxa"/>
            <w:vAlign w:val="center"/>
          </w:tcPr>
          <w:p w14:paraId="2E1E2778"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lastRenderedPageBreak/>
              <w:t>19</w:t>
            </w:r>
          </w:p>
        </w:tc>
        <w:tc>
          <w:tcPr>
            <w:tcW w:w="1759" w:type="dxa"/>
            <w:vAlign w:val="center"/>
          </w:tcPr>
          <w:p w14:paraId="55DD017C"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2208" w:type="dxa"/>
            <w:vAlign w:val="center"/>
          </w:tcPr>
          <w:p w14:paraId="1A8EC931"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1425" w:type="dxa"/>
            <w:vAlign w:val="center"/>
          </w:tcPr>
          <w:p w14:paraId="72C919CA" w14:textId="77777777" w:rsidR="002F10C8" w:rsidRPr="000A240C" w:rsidRDefault="002F10C8" w:rsidP="00AD39DE">
            <w:pPr>
              <w:jc w:val="center"/>
              <w:rPr>
                <w:rFonts w:ascii="Arial" w:hAnsi="Arial"/>
                <w:color w:val="000000"/>
                <w:sz w:val="22"/>
              </w:rPr>
            </w:pPr>
            <w:r w:rsidRPr="000A240C">
              <w:rPr>
                <w:rFonts w:ascii="Arial" w:hAnsi="Arial"/>
                <w:color w:val="000000"/>
                <w:sz w:val="22"/>
              </w:rPr>
              <w:t>50</w:t>
            </w:r>
          </w:p>
        </w:tc>
        <w:tc>
          <w:tcPr>
            <w:tcW w:w="1342" w:type="dxa"/>
            <w:vAlign w:val="center"/>
          </w:tcPr>
          <w:p w14:paraId="27EF550B" w14:textId="77777777" w:rsidR="002F10C8" w:rsidRPr="000A240C" w:rsidRDefault="002F10C8" w:rsidP="00AD39DE">
            <w:pPr>
              <w:jc w:val="center"/>
              <w:rPr>
                <w:rFonts w:ascii="Arial" w:hAnsi="Arial"/>
                <w:color w:val="000000"/>
                <w:sz w:val="22"/>
              </w:rPr>
            </w:pPr>
            <w:r w:rsidRPr="000A240C">
              <w:rPr>
                <w:rFonts w:ascii="Arial" w:hAnsi="Arial"/>
                <w:color w:val="000000"/>
                <w:sz w:val="22"/>
              </w:rPr>
              <w:t>40</w:t>
            </w:r>
          </w:p>
        </w:tc>
      </w:tr>
      <w:tr w:rsidR="002F10C8" w:rsidRPr="00A11483" w14:paraId="1713A98F" w14:textId="77777777" w:rsidTr="007C0262">
        <w:trPr>
          <w:trHeight w:val="288"/>
          <w:jc w:val="center"/>
        </w:trPr>
        <w:tc>
          <w:tcPr>
            <w:tcW w:w="1896" w:type="dxa"/>
            <w:vAlign w:val="center"/>
          </w:tcPr>
          <w:p w14:paraId="0A35AE9D"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20</w:t>
            </w:r>
          </w:p>
        </w:tc>
        <w:tc>
          <w:tcPr>
            <w:tcW w:w="1759" w:type="dxa"/>
            <w:vAlign w:val="center"/>
          </w:tcPr>
          <w:p w14:paraId="48786B6A"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4EBDAC0E"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1425" w:type="dxa"/>
            <w:vAlign w:val="center"/>
          </w:tcPr>
          <w:p w14:paraId="5D7E7A2A" w14:textId="77777777" w:rsidR="002F10C8" w:rsidRPr="000A240C" w:rsidRDefault="002F10C8" w:rsidP="00AD39DE">
            <w:pPr>
              <w:jc w:val="center"/>
              <w:rPr>
                <w:rFonts w:ascii="Arial" w:hAnsi="Arial"/>
                <w:color w:val="000000"/>
                <w:sz w:val="22"/>
              </w:rPr>
            </w:pPr>
            <w:r w:rsidRPr="000A240C">
              <w:rPr>
                <w:rFonts w:ascii="Arial" w:hAnsi="Arial"/>
                <w:color w:val="000000"/>
                <w:sz w:val="22"/>
              </w:rPr>
              <w:t>50</w:t>
            </w:r>
          </w:p>
        </w:tc>
        <w:tc>
          <w:tcPr>
            <w:tcW w:w="1342" w:type="dxa"/>
            <w:vAlign w:val="center"/>
          </w:tcPr>
          <w:p w14:paraId="5821785F" w14:textId="77777777" w:rsidR="002F10C8" w:rsidRPr="000A240C" w:rsidRDefault="002F10C8" w:rsidP="00AD39DE">
            <w:pPr>
              <w:jc w:val="center"/>
              <w:rPr>
                <w:rFonts w:ascii="Arial" w:hAnsi="Arial"/>
                <w:color w:val="000000"/>
                <w:sz w:val="22"/>
              </w:rPr>
            </w:pPr>
            <w:r w:rsidRPr="000A240C">
              <w:rPr>
                <w:rFonts w:ascii="Arial" w:hAnsi="Arial"/>
                <w:color w:val="000000"/>
                <w:sz w:val="22"/>
              </w:rPr>
              <w:t>40</w:t>
            </w:r>
          </w:p>
        </w:tc>
      </w:tr>
      <w:tr w:rsidR="002F10C8" w:rsidRPr="00A11483" w14:paraId="71FA2526" w14:textId="77777777" w:rsidTr="007C0262">
        <w:trPr>
          <w:trHeight w:val="288"/>
          <w:jc w:val="center"/>
        </w:trPr>
        <w:tc>
          <w:tcPr>
            <w:tcW w:w="1896" w:type="dxa"/>
            <w:vAlign w:val="center"/>
          </w:tcPr>
          <w:p w14:paraId="685C8CA4"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21</w:t>
            </w:r>
          </w:p>
        </w:tc>
        <w:tc>
          <w:tcPr>
            <w:tcW w:w="1759" w:type="dxa"/>
            <w:vAlign w:val="center"/>
          </w:tcPr>
          <w:p w14:paraId="418C6A89"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42DFE662"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1425" w:type="dxa"/>
            <w:vAlign w:val="center"/>
          </w:tcPr>
          <w:p w14:paraId="22960490" w14:textId="77777777" w:rsidR="002F10C8" w:rsidRPr="000A240C" w:rsidRDefault="002F10C8" w:rsidP="00AD39DE">
            <w:pPr>
              <w:jc w:val="center"/>
              <w:rPr>
                <w:rFonts w:ascii="Arial" w:hAnsi="Arial"/>
                <w:color w:val="000000"/>
                <w:sz w:val="22"/>
              </w:rPr>
            </w:pPr>
            <w:r w:rsidRPr="000A240C">
              <w:rPr>
                <w:rFonts w:ascii="Arial" w:hAnsi="Arial"/>
                <w:color w:val="000000"/>
                <w:sz w:val="22"/>
              </w:rPr>
              <w:t>50</w:t>
            </w:r>
          </w:p>
        </w:tc>
        <w:tc>
          <w:tcPr>
            <w:tcW w:w="1342" w:type="dxa"/>
            <w:vAlign w:val="center"/>
          </w:tcPr>
          <w:p w14:paraId="7039BC4F" w14:textId="77777777" w:rsidR="002F10C8" w:rsidRPr="000A240C" w:rsidRDefault="002F10C8" w:rsidP="00AD39DE">
            <w:pPr>
              <w:jc w:val="center"/>
              <w:rPr>
                <w:rFonts w:ascii="Arial" w:hAnsi="Arial"/>
                <w:color w:val="000000"/>
                <w:sz w:val="22"/>
              </w:rPr>
            </w:pPr>
            <w:r w:rsidRPr="000A240C">
              <w:rPr>
                <w:rFonts w:ascii="Arial" w:hAnsi="Arial"/>
                <w:color w:val="000000"/>
                <w:sz w:val="22"/>
              </w:rPr>
              <w:t>40</w:t>
            </w:r>
          </w:p>
        </w:tc>
      </w:tr>
      <w:tr w:rsidR="002F10C8" w:rsidRPr="00A11483" w14:paraId="7B14BFB6" w14:textId="77777777" w:rsidTr="007C0262">
        <w:trPr>
          <w:trHeight w:val="288"/>
          <w:jc w:val="center"/>
        </w:trPr>
        <w:tc>
          <w:tcPr>
            <w:tcW w:w="1896" w:type="dxa"/>
            <w:vAlign w:val="center"/>
          </w:tcPr>
          <w:p w14:paraId="247005C9"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22</w:t>
            </w:r>
          </w:p>
        </w:tc>
        <w:tc>
          <w:tcPr>
            <w:tcW w:w="1759" w:type="dxa"/>
            <w:vAlign w:val="center"/>
          </w:tcPr>
          <w:p w14:paraId="789AC7E8"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64F411F4"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1425" w:type="dxa"/>
            <w:vAlign w:val="center"/>
          </w:tcPr>
          <w:p w14:paraId="0261B574" w14:textId="77777777" w:rsidR="002F10C8" w:rsidRPr="000A240C" w:rsidRDefault="002F10C8" w:rsidP="00AD39DE">
            <w:pPr>
              <w:jc w:val="center"/>
              <w:rPr>
                <w:rFonts w:ascii="Arial" w:hAnsi="Arial"/>
                <w:color w:val="000000"/>
                <w:sz w:val="22"/>
              </w:rPr>
            </w:pPr>
            <w:r w:rsidRPr="000A240C">
              <w:rPr>
                <w:rFonts w:ascii="Arial" w:hAnsi="Arial"/>
                <w:color w:val="000000"/>
                <w:sz w:val="22"/>
              </w:rPr>
              <w:t>50</w:t>
            </w:r>
          </w:p>
        </w:tc>
        <w:tc>
          <w:tcPr>
            <w:tcW w:w="1342" w:type="dxa"/>
            <w:vAlign w:val="center"/>
          </w:tcPr>
          <w:p w14:paraId="797AE79F"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r w:rsidR="002F10C8" w:rsidRPr="00A11483" w14:paraId="3E67F38F" w14:textId="77777777" w:rsidTr="007C0262">
        <w:trPr>
          <w:trHeight w:val="288"/>
          <w:jc w:val="center"/>
        </w:trPr>
        <w:tc>
          <w:tcPr>
            <w:tcW w:w="1896" w:type="dxa"/>
            <w:vAlign w:val="center"/>
          </w:tcPr>
          <w:p w14:paraId="660BB11C"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23</w:t>
            </w:r>
          </w:p>
        </w:tc>
        <w:tc>
          <w:tcPr>
            <w:tcW w:w="1759" w:type="dxa"/>
            <w:vAlign w:val="center"/>
          </w:tcPr>
          <w:p w14:paraId="69967315"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4BC9ECC2" w14:textId="77777777" w:rsidR="002F10C8" w:rsidRPr="000A240C" w:rsidRDefault="002F10C8" w:rsidP="00AD39DE">
            <w:pPr>
              <w:jc w:val="center"/>
              <w:rPr>
                <w:rFonts w:ascii="Arial" w:hAnsi="Arial"/>
                <w:color w:val="000000"/>
                <w:sz w:val="22"/>
              </w:rPr>
            </w:pPr>
            <w:r w:rsidRPr="000A240C">
              <w:rPr>
                <w:rFonts w:ascii="Arial" w:hAnsi="Arial"/>
                <w:color w:val="000000"/>
                <w:sz w:val="22"/>
              </w:rPr>
              <w:t>45</w:t>
            </w:r>
          </w:p>
        </w:tc>
        <w:tc>
          <w:tcPr>
            <w:tcW w:w="1425" w:type="dxa"/>
            <w:vAlign w:val="center"/>
          </w:tcPr>
          <w:p w14:paraId="1C8C992F"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342" w:type="dxa"/>
            <w:vAlign w:val="center"/>
          </w:tcPr>
          <w:p w14:paraId="58DD5738"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r w:rsidR="002F10C8" w:rsidRPr="00A11483" w14:paraId="2A638414" w14:textId="77777777" w:rsidTr="007C0262">
        <w:trPr>
          <w:trHeight w:val="288"/>
          <w:jc w:val="center"/>
        </w:trPr>
        <w:tc>
          <w:tcPr>
            <w:tcW w:w="1896" w:type="dxa"/>
            <w:vAlign w:val="center"/>
          </w:tcPr>
          <w:p w14:paraId="34F78439"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24</w:t>
            </w:r>
          </w:p>
        </w:tc>
        <w:tc>
          <w:tcPr>
            <w:tcW w:w="1759" w:type="dxa"/>
            <w:vAlign w:val="center"/>
          </w:tcPr>
          <w:p w14:paraId="16985F4B"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6E8C78E4"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1425" w:type="dxa"/>
            <w:vAlign w:val="center"/>
          </w:tcPr>
          <w:p w14:paraId="1E06A8F5"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342" w:type="dxa"/>
            <w:vAlign w:val="center"/>
          </w:tcPr>
          <w:p w14:paraId="008C88AA"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r w:rsidR="002F10C8" w:rsidRPr="00A11483" w14:paraId="32A6EB12" w14:textId="77777777" w:rsidTr="007C0262">
        <w:trPr>
          <w:trHeight w:val="288"/>
          <w:jc w:val="center"/>
        </w:trPr>
        <w:tc>
          <w:tcPr>
            <w:tcW w:w="1896" w:type="dxa"/>
            <w:vAlign w:val="center"/>
          </w:tcPr>
          <w:p w14:paraId="46CEAE16"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25</w:t>
            </w:r>
          </w:p>
        </w:tc>
        <w:tc>
          <w:tcPr>
            <w:tcW w:w="1759" w:type="dxa"/>
            <w:vAlign w:val="center"/>
          </w:tcPr>
          <w:p w14:paraId="01F95787"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559F8373"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1425" w:type="dxa"/>
            <w:vAlign w:val="center"/>
          </w:tcPr>
          <w:p w14:paraId="6382AF77"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342" w:type="dxa"/>
            <w:vAlign w:val="center"/>
          </w:tcPr>
          <w:p w14:paraId="27924D29"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r w:rsidR="002F10C8" w:rsidRPr="00A11483" w14:paraId="0B631F81" w14:textId="77777777" w:rsidTr="007C0262">
        <w:trPr>
          <w:trHeight w:val="288"/>
          <w:jc w:val="center"/>
        </w:trPr>
        <w:tc>
          <w:tcPr>
            <w:tcW w:w="1896" w:type="dxa"/>
            <w:vAlign w:val="center"/>
          </w:tcPr>
          <w:p w14:paraId="4894EED3"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26</w:t>
            </w:r>
          </w:p>
        </w:tc>
        <w:tc>
          <w:tcPr>
            <w:tcW w:w="1759" w:type="dxa"/>
            <w:vAlign w:val="center"/>
          </w:tcPr>
          <w:p w14:paraId="149AF3F7"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178E0002"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1425" w:type="dxa"/>
            <w:vAlign w:val="center"/>
          </w:tcPr>
          <w:p w14:paraId="3DA305D3"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342" w:type="dxa"/>
            <w:vAlign w:val="center"/>
          </w:tcPr>
          <w:p w14:paraId="322332DD"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r w:rsidR="002F10C8" w:rsidRPr="00A11483" w14:paraId="2FE42243" w14:textId="77777777" w:rsidTr="007C0262">
        <w:trPr>
          <w:trHeight w:val="288"/>
          <w:jc w:val="center"/>
        </w:trPr>
        <w:tc>
          <w:tcPr>
            <w:tcW w:w="1896" w:type="dxa"/>
            <w:vAlign w:val="center"/>
          </w:tcPr>
          <w:p w14:paraId="74BC5BD2"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27</w:t>
            </w:r>
          </w:p>
        </w:tc>
        <w:tc>
          <w:tcPr>
            <w:tcW w:w="1759" w:type="dxa"/>
            <w:vAlign w:val="center"/>
          </w:tcPr>
          <w:p w14:paraId="791B7DD3"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2EB6EF48"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1425" w:type="dxa"/>
            <w:vAlign w:val="center"/>
          </w:tcPr>
          <w:p w14:paraId="3B0658BA"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342" w:type="dxa"/>
            <w:vAlign w:val="center"/>
          </w:tcPr>
          <w:p w14:paraId="7D869A8E"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r w:rsidR="002F10C8" w:rsidRPr="00A11483" w14:paraId="16F55F75" w14:textId="77777777" w:rsidTr="007C0262">
        <w:trPr>
          <w:trHeight w:val="288"/>
          <w:jc w:val="center"/>
        </w:trPr>
        <w:tc>
          <w:tcPr>
            <w:tcW w:w="1896" w:type="dxa"/>
            <w:vAlign w:val="center"/>
          </w:tcPr>
          <w:p w14:paraId="5E0334BD"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28</w:t>
            </w:r>
          </w:p>
        </w:tc>
        <w:tc>
          <w:tcPr>
            <w:tcW w:w="1759" w:type="dxa"/>
            <w:vAlign w:val="center"/>
          </w:tcPr>
          <w:p w14:paraId="3C0B0CAE"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0EF236C5"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1425" w:type="dxa"/>
            <w:vAlign w:val="center"/>
          </w:tcPr>
          <w:p w14:paraId="7D2BE8F2"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342" w:type="dxa"/>
            <w:vAlign w:val="center"/>
          </w:tcPr>
          <w:p w14:paraId="189493C3"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r w:rsidR="002F10C8" w:rsidRPr="00A11483" w14:paraId="7922D600" w14:textId="77777777" w:rsidTr="007C0262">
        <w:trPr>
          <w:trHeight w:val="288"/>
          <w:jc w:val="center"/>
        </w:trPr>
        <w:tc>
          <w:tcPr>
            <w:tcW w:w="1896" w:type="dxa"/>
            <w:vAlign w:val="center"/>
          </w:tcPr>
          <w:p w14:paraId="5E5BC725"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29</w:t>
            </w:r>
          </w:p>
        </w:tc>
        <w:tc>
          <w:tcPr>
            <w:tcW w:w="1759" w:type="dxa"/>
            <w:vAlign w:val="center"/>
          </w:tcPr>
          <w:p w14:paraId="01F3C6C3"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001CE509" w14:textId="77777777" w:rsidR="002F10C8" w:rsidRPr="000A240C" w:rsidRDefault="002F10C8" w:rsidP="00AD39DE">
            <w:pPr>
              <w:jc w:val="center"/>
              <w:rPr>
                <w:rFonts w:ascii="Arial" w:hAnsi="Arial"/>
                <w:color w:val="000000"/>
                <w:sz w:val="22"/>
              </w:rPr>
            </w:pPr>
            <w:r w:rsidRPr="000A240C">
              <w:rPr>
                <w:rFonts w:ascii="Arial" w:hAnsi="Arial"/>
                <w:color w:val="000000"/>
                <w:sz w:val="22"/>
              </w:rPr>
              <w:t>43</w:t>
            </w:r>
          </w:p>
        </w:tc>
        <w:tc>
          <w:tcPr>
            <w:tcW w:w="1425" w:type="dxa"/>
            <w:vAlign w:val="center"/>
          </w:tcPr>
          <w:p w14:paraId="6F8B349B" w14:textId="77777777" w:rsidR="002F10C8" w:rsidRPr="000A240C" w:rsidRDefault="002F10C8" w:rsidP="00AD39DE">
            <w:pPr>
              <w:jc w:val="center"/>
              <w:rPr>
                <w:rFonts w:ascii="Arial" w:hAnsi="Arial"/>
                <w:color w:val="000000"/>
                <w:sz w:val="22"/>
              </w:rPr>
            </w:pPr>
            <w:r w:rsidRPr="000A240C">
              <w:rPr>
                <w:rFonts w:ascii="Arial" w:hAnsi="Arial"/>
                <w:color w:val="000000"/>
                <w:sz w:val="22"/>
              </w:rPr>
              <w:t>49</w:t>
            </w:r>
          </w:p>
        </w:tc>
        <w:tc>
          <w:tcPr>
            <w:tcW w:w="1342" w:type="dxa"/>
            <w:vAlign w:val="center"/>
          </w:tcPr>
          <w:p w14:paraId="4A6E00D5"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r w:rsidR="002F10C8" w:rsidRPr="00A11483" w14:paraId="15FA7BED" w14:textId="77777777" w:rsidTr="007C0262">
        <w:trPr>
          <w:trHeight w:val="288"/>
          <w:jc w:val="center"/>
        </w:trPr>
        <w:tc>
          <w:tcPr>
            <w:tcW w:w="1896" w:type="dxa"/>
            <w:vAlign w:val="center"/>
          </w:tcPr>
          <w:p w14:paraId="4878AA0C" w14:textId="77777777" w:rsidR="002F10C8" w:rsidRPr="000A240C" w:rsidRDefault="002F10C8" w:rsidP="00AD39DE">
            <w:pPr>
              <w:jc w:val="center"/>
              <w:rPr>
                <w:rFonts w:ascii="Arial" w:hAnsi="Arial"/>
                <w:b/>
                <w:color w:val="000000"/>
                <w:sz w:val="22"/>
              </w:rPr>
            </w:pPr>
            <w:r w:rsidRPr="000A240C">
              <w:rPr>
                <w:rFonts w:ascii="Arial" w:hAnsi="Arial"/>
                <w:b/>
                <w:color w:val="000000"/>
                <w:sz w:val="22"/>
              </w:rPr>
              <w:t>30</w:t>
            </w:r>
          </w:p>
        </w:tc>
        <w:tc>
          <w:tcPr>
            <w:tcW w:w="1759" w:type="dxa"/>
            <w:vAlign w:val="center"/>
          </w:tcPr>
          <w:p w14:paraId="58206580" w14:textId="77777777" w:rsidR="002F10C8" w:rsidRPr="000A240C" w:rsidRDefault="002F10C8" w:rsidP="00AD39DE">
            <w:pPr>
              <w:jc w:val="center"/>
              <w:rPr>
                <w:rFonts w:ascii="Arial" w:hAnsi="Arial"/>
                <w:color w:val="000000"/>
                <w:sz w:val="22"/>
              </w:rPr>
            </w:pPr>
            <w:r w:rsidRPr="000A240C">
              <w:rPr>
                <w:rFonts w:ascii="Arial" w:hAnsi="Arial"/>
                <w:color w:val="000000"/>
                <w:sz w:val="22"/>
              </w:rPr>
              <w:t>44</w:t>
            </w:r>
          </w:p>
        </w:tc>
        <w:tc>
          <w:tcPr>
            <w:tcW w:w="2208" w:type="dxa"/>
            <w:vAlign w:val="center"/>
          </w:tcPr>
          <w:p w14:paraId="6DE2C2DA" w14:textId="77777777" w:rsidR="002F10C8" w:rsidRPr="000A240C" w:rsidRDefault="002F10C8" w:rsidP="00AD39DE">
            <w:pPr>
              <w:jc w:val="center"/>
              <w:rPr>
                <w:rFonts w:ascii="Arial" w:hAnsi="Arial"/>
                <w:color w:val="000000"/>
                <w:sz w:val="22"/>
              </w:rPr>
            </w:pPr>
            <w:r w:rsidRPr="000A240C">
              <w:rPr>
                <w:rFonts w:ascii="Arial" w:hAnsi="Arial"/>
                <w:color w:val="000000"/>
                <w:sz w:val="22"/>
              </w:rPr>
              <w:t>43</w:t>
            </w:r>
          </w:p>
        </w:tc>
        <w:tc>
          <w:tcPr>
            <w:tcW w:w="1425" w:type="dxa"/>
            <w:vAlign w:val="center"/>
          </w:tcPr>
          <w:p w14:paraId="2F5A1FDB" w14:textId="77777777" w:rsidR="002F10C8" w:rsidRPr="000A240C" w:rsidRDefault="002F10C8" w:rsidP="00AD39DE">
            <w:pPr>
              <w:jc w:val="center"/>
              <w:rPr>
                <w:rFonts w:ascii="Arial" w:hAnsi="Arial"/>
                <w:color w:val="000000"/>
                <w:sz w:val="22"/>
              </w:rPr>
            </w:pPr>
            <w:r w:rsidRPr="000A240C">
              <w:rPr>
                <w:rFonts w:ascii="Arial" w:hAnsi="Arial"/>
                <w:color w:val="000000"/>
                <w:sz w:val="22"/>
              </w:rPr>
              <w:t>48</w:t>
            </w:r>
          </w:p>
        </w:tc>
        <w:tc>
          <w:tcPr>
            <w:tcW w:w="1342" w:type="dxa"/>
            <w:vAlign w:val="center"/>
          </w:tcPr>
          <w:p w14:paraId="2F84D55F" w14:textId="77777777" w:rsidR="002F10C8" w:rsidRPr="000A240C" w:rsidRDefault="002F10C8" w:rsidP="00AD39DE">
            <w:pPr>
              <w:jc w:val="center"/>
              <w:rPr>
                <w:rFonts w:ascii="Arial" w:hAnsi="Arial"/>
                <w:color w:val="000000"/>
                <w:sz w:val="22"/>
              </w:rPr>
            </w:pPr>
            <w:r w:rsidRPr="000A240C">
              <w:rPr>
                <w:rFonts w:ascii="Arial" w:hAnsi="Arial"/>
                <w:color w:val="000000"/>
                <w:sz w:val="22"/>
              </w:rPr>
              <w:t>39</w:t>
            </w:r>
          </w:p>
        </w:tc>
      </w:tr>
    </w:tbl>
    <w:p w14:paraId="4570E17A" w14:textId="4413A533" w:rsidR="00FC0A37" w:rsidRPr="00A11483" w:rsidRDefault="00FC0A37" w:rsidP="000A240C">
      <w:pPr>
        <w:pStyle w:val="ListNumber"/>
        <w:tabs>
          <w:tab w:val="clear" w:pos="720"/>
          <w:tab w:val="clear" w:pos="1872"/>
        </w:tabs>
        <w:ind w:left="0" w:firstLine="0"/>
        <w:jc w:val="both"/>
        <w:rPr>
          <w:szCs w:val="22"/>
        </w:rPr>
      </w:pPr>
      <w:r w:rsidRPr="00A11483">
        <w:rPr>
          <w:szCs w:val="22"/>
        </w:rPr>
        <w:t>Note: For Gap-Graded HMA, add 6 to the values in the preceding table.  For Micro-Surfacing add 8</w:t>
      </w:r>
      <w:r w:rsidR="00AD39DE">
        <w:rPr>
          <w:szCs w:val="22"/>
        </w:rPr>
        <w:t>,</w:t>
      </w:r>
      <w:r w:rsidRPr="00A11483">
        <w:rPr>
          <w:szCs w:val="22"/>
        </w:rPr>
        <w:t xml:space="preserve"> </w:t>
      </w:r>
      <w:r w:rsidR="00B57A58">
        <w:rPr>
          <w:szCs w:val="22"/>
        </w:rPr>
        <w:t>and for Surface Abrasion add 10.</w:t>
      </w:r>
    </w:p>
    <w:p w14:paraId="1686EFDF" w14:textId="16FE9C5B" w:rsidR="00BC48AB" w:rsidRDefault="00BC48AB" w:rsidP="000A240C">
      <w:pPr>
        <w:pStyle w:val="ListNumber"/>
        <w:tabs>
          <w:tab w:val="clear" w:pos="720"/>
          <w:tab w:val="clear" w:pos="1872"/>
        </w:tabs>
        <w:ind w:left="0" w:firstLine="0"/>
        <w:jc w:val="both"/>
        <w:rPr>
          <w:szCs w:val="22"/>
        </w:rPr>
      </w:pPr>
      <w:r w:rsidRPr="00A11483">
        <w:rPr>
          <w:szCs w:val="22"/>
        </w:rPr>
        <w:t>The following table shows the skid values per year</w:t>
      </w:r>
      <w:r w:rsidR="00AD39DE" w:rsidRPr="00AD39DE">
        <w:rPr>
          <w:szCs w:val="22"/>
        </w:rPr>
        <w:t xml:space="preserve"> </w:t>
      </w:r>
      <w:r w:rsidR="00AD39DE" w:rsidRPr="00A11483">
        <w:rPr>
          <w:szCs w:val="22"/>
        </w:rPr>
        <w:t xml:space="preserve">for </w:t>
      </w:r>
      <w:r w:rsidR="00AD39DE" w:rsidRPr="00964A58">
        <w:rPr>
          <w:b/>
          <w:szCs w:val="22"/>
        </w:rPr>
        <w:t>Diamond Grinding of Dense-Graded</w:t>
      </w:r>
      <w:r w:rsidR="00AD39DE" w:rsidRPr="00A11483">
        <w:rPr>
          <w:szCs w:val="22"/>
        </w:rPr>
        <w:t xml:space="preserve"> mixes</w:t>
      </w:r>
      <w:r w:rsidRPr="00A11483">
        <w:rPr>
          <w:szCs w:val="22"/>
        </w:rPr>
        <w:t>, based on the previously given equations.</w:t>
      </w:r>
    </w:p>
    <w:p w14:paraId="62281FD0" w14:textId="77777777" w:rsidR="00AD39DE" w:rsidRPr="00A11483" w:rsidRDefault="00AD39DE" w:rsidP="00AD39DE">
      <w:pPr>
        <w:pStyle w:val="ListNumber"/>
        <w:tabs>
          <w:tab w:val="clear" w:pos="720"/>
          <w:tab w:val="clear" w:pos="1872"/>
        </w:tabs>
        <w:spacing w:before="0"/>
        <w:ind w:left="0" w:firstLine="0"/>
        <w:jc w:val="both"/>
        <w:rPr>
          <w:szCs w:val="22"/>
        </w:rPr>
      </w:pPr>
    </w:p>
    <w:tbl>
      <w:tblPr>
        <w:tblStyle w:val="TableGrid"/>
        <w:tblW w:w="0" w:type="auto"/>
        <w:jc w:val="center"/>
        <w:tblLook w:val="04A0" w:firstRow="1" w:lastRow="0" w:firstColumn="1" w:lastColumn="0" w:noHBand="0" w:noVBand="1"/>
      </w:tblPr>
      <w:tblGrid>
        <w:gridCol w:w="1905"/>
        <w:gridCol w:w="1687"/>
        <w:gridCol w:w="2249"/>
        <w:gridCol w:w="1445"/>
        <w:gridCol w:w="1344"/>
      </w:tblGrid>
      <w:tr w:rsidR="00D32E07" w:rsidRPr="000B0AA7" w14:paraId="4C206E82" w14:textId="77777777" w:rsidTr="00801394">
        <w:trPr>
          <w:trHeight w:val="288"/>
          <w:tblHeader/>
          <w:jc w:val="center"/>
        </w:trPr>
        <w:tc>
          <w:tcPr>
            <w:tcW w:w="1905" w:type="dxa"/>
            <w:shd w:val="pct15" w:color="auto" w:fill="auto"/>
            <w:vAlign w:val="center"/>
          </w:tcPr>
          <w:p w14:paraId="5912C959" w14:textId="77777777" w:rsidR="00D32E07" w:rsidRDefault="00D32E07" w:rsidP="00D32E07">
            <w:pPr>
              <w:pStyle w:val="BodyText"/>
              <w:spacing w:after="0"/>
              <w:jc w:val="center"/>
              <w:rPr>
                <w:rFonts w:cs="Arial"/>
                <w:b/>
              </w:rPr>
            </w:pPr>
            <w:r w:rsidRPr="000B0AA7">
              <w:rPr>
                <w:rFonts w:cs="Arial"/>
                <w:b/>
              </w:rPr>
              <w:t xml:space="preserve">Skid Values for Diamond Grinding of Dense-Graded </w:t>
            </w:r>
            <w:r>
              <w:rPr>
                <w:rFonts w:cs="Arial"/>
                <w:b/>
              </w:rPr>
              <w:t>M</w:t>
            </w:r>
            <w:r w:rsidRPr="000B0AA7">
              <w:rPr>
                <w:rFonts w:cs="Arial"/>
                <w:b/>
              </w:rPr>
              <w:t>ixes</w:t>
            </w:r>
          </w:p>
          <w:p w14:paraId="5FF59988" w14:textId="40C350D2" w:rsidR="00D32E07" w:rsidRPr="000A240C" w:rsidRDefault="00D32E07" w:rsidP="00D32E07">
            <w:pPr>
              <w:pStyle w:val="BodyText"/>
              <w:spacing w:after="0"/>
              <w:jc w:val="center"/>
              <w:rPr>
                <w:b/>
              </w:rPr>
            </w:pPr>
            <w:r>
              <w:rPr>
                <w:rFonts w:cs="Arial"/>
                <w:b/>
              </w:rPr>
              <w:t>(</w:t>
            </w:r>
            <w:r w:rsidRPr="000B0AA7">
              <w:rPr>
                <w:rFonts w:cs="Arial"/>
                <w:b/>
              </w:rPr>
              <w:t>by year</w:t>
            </w:r>
            <w:r>
              <w:rPr>
                <w:rFonts w:cs="Arial"/>
                <w:b/>
              </w:rPr>
              <w:t>)</w:t>
            </w:r>
          </w:p>
        </w:tc>
        <w:tc>
          <w:tcPr>
            <w:tcW w:w="1687" w:type="dxa"/>
            <w:shd w:val="pct15" w:color="auto" w:fill="auto"/>
            <w:vAlign w:val="center"/>
          </w:tcPr>
          <w:p w14:paraId="6C0FD1F7" w14:textId="77777777" w:rsidR="00D32E07" w:rsidRPr="000A240C" w:rsidRDefault="00D32E07" w:rsidP="000A240C">
            <w:pPr>
              <w:pStyle w:val="BodyText"/>
              <w:spacing w:after="0"/>
              <w:jc w:val="center"/>
              <w:rPr>
                <w:b/>
              </w:rPr>
            </w:pPr>
            <w:r w:rsidRPr="000A240C">
              <w:rPr>
                <w:b/>
              </w:rPr>
              <w:t>Urban Interstates, Freeways and Collectors (11,12,17)</w:t>
            </w:r>
          </w:p>
        </w:tc>
        <w:tc>
          <w:tcPr>
            <w:tcW w:w="2249" w:type="dxa"/>
            <w:shd w:val="pct15" w:color="auto" w:fill="auto"/>
            <w:vAlign w:val="center"/>
          </w:tcPr>
          <w:p w14:paraId="35F6EF96" w14:textId="79974021" w:rsidR="00D32E07" w:rsidRPr="000A240C" w:rsidRDefault="00D32E07" w:rsidP="000A240C">
            <w:pPr>
              <w:pStyle w:val="BodyText"/>
              <w:spacing w:after="0"/>
              <w:jc w:val="center"/>
              <w:rPr>
                <w:b/>
              </w:rPr>
            </w:pPr>
            <w:r w:rsidRPr="000A240C">
              <w:rPr>
                <w:b/>
              </w:rPr>
              <w:t>Rural Interstates, Arterials and Major Collectors; Urban Locals (1,2</w:t>
            </w:r>
            <w:r>
              <w:rPr>
                <w:b/>
              </w:rPr>
              <w:t>,3</w:t>
            </w:r>
            <w:r w:rsidRPr="000A240C">
              <w:rPr>
                <w:b/>
              </w:rPr>
              <w:t>,6,7,</w:t>
            </w:r>
            <w:r>
              <w:rPr>
                <w:b/>
              </w:rPr>
              <w:t>18,</w:t>
            </w:r>
            <w:r w:rsidRPr="000A240C">
              <w:rPr>
                <w:b/>
              </w:rPr>
              <w:t>19)</w:t>
            </w:r>
          </w:p>
        </w:tc>
        <w:tc>
          <w:tcPr>
            <w:tcW w:w="1445" w:type="dxa"/>
            <w:shd w:val="pct15" w:color="auto" w:fill="auto"/>
            <w:vAlign w:val="center"/>
          </w:tcPr>
          <w:p w14:paraId="5D5214E6" w14:textId="77777777" w:rsidR="00D32E07" w:rsidRPr="000A240C" w:rsidRDefault="00D32E07" w:rsidP="000A240C">
            <w:pPr>
              <w:pStyle w:val="BodyText"/>
              <w:spacing w:after="0"/>
              <w:jc w:val="center"/>
              <w:rPr>
                <w:b/>
              </w:rPr>
            </w:pPr>
            <w:r w:rsidRPr="000A240C">
              <w:rPr>
                <w:b/>
              </w:rPr>
              <w:t>Rural Minor Collectors and Locals (8,9)</w:t>
            </w:r>
          </w:p>
        </w:tc>
        <w:tc>
          <w:tcPr>
            <w:tcW w:w="1344" w:type="dxa"/>
            <w:shd w:val="pct15" w:color="auto" w:fill="auto"/>
            <w:vAlign w:val="center"/>
          </w:tcPr>
          <w:p w14:paraId="30F8995E" w14:textId="77777777" w:rsidR="00D32E07" w:rsidRPr="000A240C" w:rsidRDefault="00D32E07" w:rsidP="000A240C">
            <w:pPr>
              <w:pStyle w:val="BodyText"/>
              <w:spacing w:after="0"/>
              <w:jc w:val="center"/>
              <w:rPr>
                <w:b/>
              </w:rPr>
            </w:pPr>
            <w:r w:rsidRPr="000A240C">
              <w:rPr>
                <w:b/>
              </w:rPr>
              <w:t>Urban Non-Freeway Arterials (14,16)</w:t>
            </w:r>
          </w:p>
        </w:tc>
      </w:tr>
      <w:tr w:rsidR="00BC48AB" w:rsidRPr="000B0AA7" w14:paraId="7E2D66C3" w14:textId="77777777" w:rsidTr="00801394">
        <w:trPr>
          <w:trHeight w:val="288"/>
          <w:jc w:val="center"/>
        </w:trPr>
        <w:tc>
          <w:tcPr>
            <w:tcW w:w="1905" w:type="dxa"/>
            <w:vAlign w:val="center"/>
          </w:tcPr>
          <w:p w14:paraId="133C5662" w14:textId="77777777" w:rsidR="00BC48AB" w:rsidRPr="000A240C" w:rsidRDefault="00BC48AB" w:rsidP="000B0AA7">
            <w:pPr>
              <w:jc w:val="center"/>
              <w:rPr>
                <w:rFonts w:ascii="Arial" w:hAnsi="Arial"/>
                <w:b/>
                <w:color w:val="000000"/>
                <w:sz w:val="22"/>
              </w:rPr>
            </w:pPr>
            <w:r w:rsidRPr="000A240C">
              <w:rPr>
                <w:rFonts w:ascii="Arial" w:hAnsi="Arial"/>
                <w:b/>
                <w:color w:val="000000"/>
                <w:sz w:val="22"/>
              </w:rPr>
              <w:t>1</w:t>
            </w:r>
          </w:p>
        </w:tc>
        <w:tc>
          <w:tcPr>
            <w:tcW w:w="1687" w:type="dxa"/>
            <w:vAlign w:val="center"/>
          </w:tcPr>
          <w:p w14:paraId="0CCAA953" w14:textId="77777777" w:rsidR="00BC48AB" w:rsidRPr="000A240C" w:rsidRDefault="00BC48AB" w:rsidP="000B0AA7">
            <w:pPr>
              <w:jc w:val="center"/>
              <w:rPr>
                <w:rFonts w:ascii="Arial" w:hAnsi="Arial"/>
                <w:color w:val="000000"/>
                <w:sz w:val="22"/>
              </w:rPr>
            </w:pPr>
            <w:r w:rsidRPr="000A240C">
              <w:rPr>
                <w:rFonts w:ascii="Arial" w:hAnsi="Arial"/>
                <w:color w:val="000000"/>
                <w:sz w:val="22"/>
              </w:rPr>
              <w:t>51</w:t>
            </w:r>
          </w:p>
        </w:tc>
        <w:tc>
          <w:tcPr>
            <w:tcW w:w="2249" w:type="dxa"/>
            <w:vAlign w:val="center"/>
          </w:tcPr>
          <w:p w14:paraId="55CE7FB6" w14:textId="77777777" w:rsidR="00BC48AB" w:rsidRPr="000A240C" w:rsidRDefault="00BC48AB" w:rsidP="000B0AA7">
            <w:pPr>
              <w:jc w:val="center"/>
              <w:rPr>
                <w:rFonts w:ascii="Arial" w:hAnsi="Arial"/>
                <w:color w:val="000000"/>
                <w:sz w:val="22"/>
              </w:rPr>
            </w:pPr>
            <w:r w:rsidRPr="000A240C">
              <w:rPr>
                <w:rFonts w:ascii="Arial" w:hAnsi="Arial"/>
                <w:color w:val="000000"/>
                <w:sz w:val="22"/>
              </w:rPr>
              <w:t>54</w:t>
            </w:r>
          </w:p>
        </w:tc>
        <w:tc>
          <w:tcPr>
            <w:tcW w:w="1445" w:type="dxa"/>
            <w:vAlign w:val="center"/>
          </w:tcPr>
          <w:p w14:paraId="6E06498C" w14:textId="77777777" w:rsidR="00BC48AB" w:rsidRPr="000A240C" w:rsidRDefault="00BC48AB" w:rsidP="000B0AA7">
            <w:pPr>
              <w:jc w:val="center"/>
              <w:rPr>
                <w:rFonts w:ascii="Arial" w:hAnsi="Arial"/>
                <w:color w:val="000000"/>
                <w:sz w:val="22"/>
              </w:rPr>
            </w:pPr>
            <w:r w:rsidRPr="000A240C">
              <w:rPr>
                <w:rFonts w:ascii="Arial" w:hAnsi="Arial"/>
                <w:color w:val="000000"/>
                <w:sz w:val="22"/>
              </w:rPr>
              <w:t>58</w:t>
            </w:r>
          </w:p>
        </w:tc>
        <w:tc>
          <w:tcPr>
            <w:tcW w:w="1344" w:type="dxa"/>
            <w:vAlign w:val="center"/>
          </w:tcPr>
          <w:p w14:paraId="0240774D" w14:textId="77777777" w:rsidR="00BC48AB" w:rsidRPr="000A240C" w:rsidRDefault="00BC48AB" w:rsidP="000B0AA7">
            <w:pPr>
              <w:jc w:val="center"/>
              <w:rPr>
                <w:rFonts w:ascii="Arial" w:hAnsi="Arial"/>
                <w:color w:val="000000"/>
                <w:sz w:val="22"/>
              </w:rPr>
            </w:pPr>
            <w:r w:rsidRPr="000A240C">
              <w:rPr>
                <w:rFonts w:ascii="Arial" w:hAnsi="Arial"/>
                <w:color w:val="000000"/>
                <w:sz w:val="22"/>
              </w:rPr>
              <w:t>47</w:t>
            </w:r>
          </w:p>
        </w:tc>
      </w:tr>
      <w:tr w:rsidR="00BC48AB" w:rsidRPr="000B0AA7" w14:paraId="2A45148C" w14:textId="77777777" w:rsidTr="00801394">
        <w:trPr>
          <w:trHeight w:val="288"/>
          <w:jc w:val="center"/>
        </w:trPr>
        <w:tc>
          <w:tcPr>
            <w:tcW w:w="1905" w:type="dxa"/>
            <w:vAlign w:val="center"/>
          </w:tcPr>
          <w:p w14:paraId="2ECC43F9" w14:textId="77777777" w:rsidR="00BC48AB" w:rsidRPr="000A240C" w:rsidRDefault="00BC48AB" w:rsidP="000B0AA7">
            <w:pPr>
              <w:jc w:val="center"/>
              <w:rPr>
                <w:rFonts w:ascii="Arial" w:hAnsi="Arial"/>
                <w:b/>
                <w:color w:val="000000"/>
                <w:sz w:val="22"/>
              </w:rPr>
            </w:pPr>
            <w:r w:rsidRPr="000A240C">
              <w:rPr>
                <w:rFonts w:ascii="Arial" w:hAnsi="Arial"/>
                <w:b/>
                <w:color w:val="000000"/>
                <w:sz w:val="22"/>
              </w:rPr>
              <w:t>2</w:t>
            </w:r>
          </w:p>
        </w:tc>
        <w:tc>
          <w:tcPr>
            <w:tcW w:w="1687" w:type="dxa"/>
            <w:vAlign w:val="center"/>
          </w:tcPr>
          <w:p w14:paraId="6D587F0C" w14:textId="77777777" w:rsidR="00BC48AB" w:rsidRPr="000A240C" w:rsidRDefault="00BC48AB" w:rsidP="000B0AA7">
            <w:pPr>
              <w:jc w:val="center"/>
              <w:rPr>
                <w:rFonts w:ascii="Arial" w:hAnsi="Arial"/>
                <w:color w:val="000000"/>
                <w:sz w:val="22"/>
              </w:rPr>
            </w:pPr>
            <w:r w:rsidRPr="000A240C">
              <w:rPr>
                <w:rFonts w:ascii="Arial" w:hAnsi="Arial"/>
                <w:color w:val="000000"/>
                <w:sz w:val="22"/>
              </w:rPr>
              <w:t>50</w:t>
            </w:r>
          </w:p>
        </w:tc>
        <w:tc>
          <w:tcPr>
            <w:tcW w:w="2249" w:type="dxa"/>
            <w:vAlign w:val="center"/>
          </w:tcPr>
          <w:p w14:paraId="770ED628" w14:textId="77777777" w:rsidR="00BC48AB" w:rsidRPr="000A240C" w:rsidRDefault="00BC48AB" w:rsidP="000B0AA7">
            <w:pPr>
              <w:jc w:val="center"/>
              <w:rPr>
                <w:rFonts w:ascii="Arial" w:hAnsi="Arial"/>
                <w:color w:val="000000"/>
                <w:sz w:val="22"/>
              </w:rPr>
            </w:pPr>
            <w:r w:rsidRPr="000A240C">
              <w:rPr>
                <w:rFonts w:ascii="Arial" w:hAnsi="Arial"/>
                <w:color w:val="000000"/>
                <w:sz w:val="22"/>
              </w:rPr>
              <w:t>53</w:t>
            </w:r>
          </w:p>
        </w:tc>
        <w:tc>
          <w:tcPr>
            <w:tcW w:w="1445" w:type="dxa"/>
            <w:vAlign w:val="center"/>
          </w:tcPr>
          <w:p w14:paraId="0F3AC4D4" w14:textId="77777777" w:rsidR="00BC48AB" w:rsidRPr="000A240C" w:rsidRDefault="00BC48AB" w:rsidP="000B0AA7">
            <w:pPr>
              <w:jc w:val="center"/>
              <w:rPr>
                <w:rFonts w:ascii="Arial" w:hAnsi="Arial"/>
                <w:color w:val="000000"/>
                <w:sz w:val="22"/>
              </w:rPr>
            </w:pPr>
            <w:r w:rsidRPr="000A240C">
              <w:rPr>
                <w:rFonts w:ascii="Arial" w:hAnsi="Arial"/>
                <w:color w:val="000000"/>
                <w:sz w:val="22"/>
              </w:rPr>
              <w:t>57</w:t>
            </w:r>
          </w:p>
        </w:tc>
        <w:tc>
          <w:tcPr>
            <w:tcW w:w="1344" w:type="dxa"/>
            <w:vAlign w:val="center"/>
          </w:tcPr>
          <w:p w14:paraId="5C9DBC13" w14:textId="77777777" w:rsidR="00BC48AB" w:rsidRPr="000A240C" w:rsidRDefault="00BC48AB" w:rsidP="000B0AA7">
            <w:pPr>
              <w:jc w:val="center"/>
              <w:rPr>
                <w:rFonts w:ascii="Arial" w:hAnsi="Arial"/>
                <w:color w:val="000000"/>
                <w:sz w:val="22"/>
              </w:rPr>
            </w:pPr>
            <w:r w:rsidRPr="000A240C">
              <w:rPr>
                <w:rFonts w:ascii="Arial" w:hAnsi="Arial"/>
                <w:color w:val="000000"/>
                <w:sz w:val="22"/>
              </w:rPr>
              <w:t>46</w:t>
            </w:r>
          </w:p>
        </w:tc>
      </w:tr>
      <w:tr w:rsidR="00BC48AB" w:rsidRPr="000B0AA7" w14:paraId="04D6B5D3" w14:textId="77777777" w:rsidTr="00801394">
        <w:trPr>
          <w:trHeight w:val="288"/>
          <w:jc w:val="center"/>
        </w:trPr>
        <w:tc>
          <w:tcPr>
            <w:tcW w:w="1905" w:type="dxa"/>
            <w:vAlign w:val="center"/>
          </w:tcPr>
          <w:p w14:paraId="37320B10" w14:textId="77777777" w:rsidR="00BC48AB" w:rsidRPr="000A240C" w:rsidRDefault="00BC48AB" w:rsidP="000B0AA7">
            <w:pPr>
              <w:jc w:val="center"/>
              <w:rPr>
                <w:rFonts w:ascii="Arial" w:hAnsi="Arial"/>
                <w:b/>
                <w:color w:val="000000"/>
                <w:sz w:val="22"/>
              </w:rPr>
            </w:pPr>
            <w:r w:rsidRPr="000A240C">
              <w:rPr>
                <w:rFonts w:ascii="Arial" w:hAnsi="Arial"/>
                <w:b/>
                <w:color w:val="000000"/>
                <w:sz w:val="22"/>
              </w:rPr>
              <w:t>3</w:t>
            </w:r>
          </w:p>
        </w:tc>
        <w:tc>
          <w:tcPr>
            <w:tcW w:w="1687" w:type="dxa"/>
            <w:vAlign w:val="center"/>
          </w:tcPr>
          <w:p w14:paraId="15DF343D" w14:textId="77777777" w:rsidR="00BC48AB" w:rsidRPr="000A240C" w:rsidRDefault="00BC48AB" w:rsidP="000B0AA7">
            <w:pPr>
              <w:jc w:val="center"/>
              <w:rPr>
                <w:rFonts w:ascii="Arial" w:hAnsi="Arial"/>
                <w:color w:val="000000"/>
                <w:sz w:val="22"/>
              </w:rPr>
            </w:pPr>
            <w:r w:rsidRPr="000A240C">
              <w:rPr>
                <w:rFonts w:ascii="Arial" w:hAnsi="Arial"/>
                <w:color w:val="000000"/>
                <w:sz w:val="22"/>
              </w:rPr>
              <w:t>49</w:t>
            </w:r>
          </w:p>
        </w:tc>
        <w:tc>
          <w:tcPr>
            <w:tcW w:w="2249" w:type="dxa"/>
            <w:vAlign w:val="center"/>
          </w:tcPr>
          <w:p w14:paraId="2EE3D051" w14:textId="77777777" w:rsidR="00BC48AB" w:rsidRPr="000A240C" w:rsidRDefault="00BC48AB" w:rsidP="000B0AA7">
            <w:pPr>
              <w:jc w:val="center"/>
              <w:rPr>
                <w:rFonts w:ascii="Arial" w:hAnsi="Arial"/>
                <w:color w:val="000000"/>
                <w:sz w:val="22"/>
              </w:rPr>
            </w:pPr>
            <w:r w:rsidRPr="000A240C">
              <w:rPr>
                <w:rFonts w:ascii="Arial" w:hAnsi="Arial"/>
                <w:color w:val="000000"/>
                <w:sz w:val="22"/>
              </w:rPr>
              <w:t>52</w:t>
            </w:r>
          </w:p>
        </w:tc>
        <w:tc>
          <w:tcPr>
            <w:tcW w:w="1445" w:type="dxa"/>
            <w:vAlign w:val="center"/>
          </w:tcPr>
          <w:p w14:paraId="74BB8A31" w14:textId="77777777" w:rsidR="00BC48AB" w:rsidRPr="000A240C" w:rsidRDefault="00BC48AB" w:rsidP="000B0AA7">
            <w:pPr>
              <w:jc w:val="center"/>
              <w:rPr>
                <w:rFonts w:ascii="Arial" w:hAnsi="Arial"/>
                <w:color w:val="000000"/>
                <w:sz w:val="22"/>
              </w:rPr>
            </w:pPr>
            <w:r w:rsidRPr="000A240C">
              <w:rPr>
                <w:rFonts w:ascii="Arial" w:hAnsi="Arial"/>
                <w:color w:val="000000"/>
                <w:sz w:val="22"/>
              </w:rPr>
              <w:t>56</w:t>
            </w:r>
          </w:p>
        </w:tc>
        <w:tc>
          <w:tcPr>
            <w:tcW w:w="1344" w:type="dxa"/>
            <w:vAlign w:val="center"/>
          </w:tcPr>
          <w:p w14:paraId="59B160AD" w14:textId="77777777" w:rsidR="00BC48AB" w:rsidRPr="000A240C" w:rsidRDefault="00BC48AB" w:rsidP="000B0AA7">
            <w:pPr>
              <w:jc w:val="center"/>
              <w:rPr>
                <w:rFonts w:ascii="Arial" w:hAnsi="Arial"/>
                <w:color w:val="000000"/>
                <w:sz w:val="22"/>
              </w:rPr>
            </w:pPr>
            <w:r w:rsidRPr="000A240C">
              <w:rPr>
                <w:rFonts w:ascii="Arial" w:hAnsi="Arial"/>
                <w:color w:val="000000"/>
                <w:sz w:val="22"/>
              </w:rPr>
              <w:t>45</w:t>
            </w:r>
          </w:p>
        </w:tc>
      </w:tr>
      <w:tr w:rsidR="00BC48AB" w:rsidRPr="000B0AA7" w14:paraId="6094C26A" w14:textId="77777777" w:rsidTr="00801394">
        <w:trPr>
          <w:trHeight w:val="288"/>
          <w:jc w:val="center"/>
        </w:trPr>
        <w:tc>
          <w:tcPr>
            <w:tcW w:w="1905" w:type="dxa"/>
            <w:vAlign w:val="center"/>
          </w:tcPr>
          <w:p w14:paraId="3C0A257C" w14:textId="77777777" w:rsidR="00BC48AB" w:rsidRPr="000A240C" w:rsidRDefault="00BC48AB" w:rsidP="000B0AA7">
            <w:pPr>
              <w:jc w:val="center"/>
              <w:rPr>
                <w:rFonts w:ascii="Arial" w:hAnsi="Arial"/>
                <w:b/>
                <w:color w:val="000000"/>
                <w:sz w:val="22"/>
              </w:rPr>
            </w:pPr>
            <w:r w:rsidRPr="000A240C">
              <w:rPr>
                <w:rFonts w:ascii="Arial" w:hAnsi="Arial"/>
                <w:b/>
                <w:color w:val="000000"/>
                <w:sz w:val="22"/>
              </w:rPr>
              <w:t>4</w:t>
            </w:r>
          </w:p>
        </w:tc>
        <w:tc>
          <w:tcPr>
            <w:tcW w:w="1687" w:type="dxa"/>
            <w:vAlign w:val="center"/>
          </w:tcPr>
          <w:p w14:paraId="6C4CEAF9" w14:textId="77777777" w:rsidR="00BC48AB" w:rsidRPr="000A240C" w:rsidRDefault="00BC48AB" w:rsidP="000B0AA7">
            <w:pPr>
              <w:jc w:val="center"/>
              <w:rPr>
                <w:rFonts w:ascii="Arial" w:hAnsi="Arial"/>
                <w:color w:val="000000"/>
                <w:sz w:val="22"/>
              </w:rPr>
            </w:pPr>
            <w:r w:rsidRPr="000A240C">
              <w:rPr>
                <w:rFonts w:ascii="Arial" w:hAnsi="Arial"/>
                <w:color w:val="000000"/>
                <w:sz w:val="22"/>
              </w:rPr>
              <w:t>48</w:t>
            </w:r>
          </w:p>
        </w:tc>
        <w:tc>
          <w:tcPr>
            <w:tcW w:w="2249" w:type="dxa"/>
            <w:vAlign w:val="center"/>
          </w:tcPr>
          <w:p w14:paraId="5DDF45FF" w14:textId="77777777" w:rsidR="00BC48AB" w:rsidRPr="000A240C" w:rsidRDefault="00BC48AB" w:rsidP="000B0AA7">
            <w:pPr>
              <w:jc w:val="center"/>
              <w:rPr>
                <w:rFonts w:ascii="Arial" w:hAnsi="Arial"/>
                <w:color w:val="000000"/>
                <w:sz w:val="22"/>
              </w:rPr>
            </w:pPr>
            <w:r w:rsidRPr="000A240C">
              <w:rPr>
                <w:rFonts w:ascii="Arial" w:hAnsi="Arial"/>
                <w:color w:val="000000"/>
                <w:sz w:val="22"/>
              </w:rPr>
              <w:t>51</w:t>
            </w:r>
          </w:p>
        </w:tc>
        <w:tc>
          <w:tcPr>
            <w:tcW w:w="1445" w:type="dxa"/>
            <w:vAlign w:val="center"/>
          </w:tcPr>
          <w:p w14:paraId="598D2512" w14:textId="77777777" w:rsidR="00BC48AB" w:rsidRPr="000A240C" w:rsidRDefault="00BC48AB" w:rsidP="000B0AA7">
            <w:pPr>
              <w:jc w:val="center"/>
              <w:rPr>
                <w:rFonts w:ascii="Arial" w:hAnsi="Arial"/>
                <w:color w:val="000000"/>
                <w:sz w:val="22"/>
              </w:rPr>
            </w:pPr>
            <w:r w:rsidRPr="000A240C">
              <w:rPr>
                <w:rFonts w:ascii="Arial" w:hAnsi="Arial"/>
                <w:color w:val="000000"/>
                <w:sz w:val="22"/>
              </w:rPr>
              <w:t>55</w:t>
            </w:r>
          </w:p>
        </w:tc>
        <w:tc>
          <w:tcPr>
            <w:tcW w:w="1344" w:type="dxa"/>
            <w:vAlign w:val="center"/>
          </w:tcPr>
          <w:p w14:paraId="16D410CA" w14:textId="77777777" w:rsidR="00BC48AB" w:rsidRPr="000A240C" w:rsidRDefault="00BC48AB" w:rsidP="000B0AA7">
            <w:pPr>
              <w:jc w:val="center"/>
              <w:rPr>
                <w:rFonts w:ascii="Arial" w:hAnsi="Arial"/>
                <w:color w:val="000000"/>
                <w:sz w:val="22"/>
              </w:rPr>
            </w:pPr>
            <w:r w:rsidRPr="000A240C">
              <w:rPr>
                <w:rFonts w:ascii="Arial" w:hAnsi="Arial"/>
                <w:color w:val="000000"/>
                <w:sz w:val="22"/>
              </w:rPr>
              <w:t>44</w:t>
            </w:r>
          </w:p>
        </w:tc>
      </w:tr>
      <w:tr w:rsidR="00BC48AB" w:rsidRPr="000B0AA7" w14:paraId="4EE0D872" w14:textId="77777777" w:rsidTr="00801394">
        <w:trPr>
          <w:trHeight w:val="288"/>
          <w:jc w:val="center"/>
        </w:trPr>
        <w:tc>
          <w:tcPr>
            <w:tcW w:w="1905" w:type="dxa"/>
            <w:vAlign w:val="center"/>
          </w:tcPr>
          <w:p w14:paraId="45F33CB7" w14:textId="77777777" w:rsidR="00BC48AB" w:rsidRPr="000A240C" w:rsidRDefault="00BC48AB" w:rsidP="000B0AA7">
            <w:pPr>
              <w:jc w:val="center"/>
              <w:rPr>
                <w:rFonts w:ascii="Arial" w:hAnsi="Arial"/>
                <w:b/>
                <w:color w:val="000000"/>
                <w:sz w:val="22"/>
              </w:rPr>
            </w:pPr>
            <w:r w:rsidRPr="000A240C">
              <w:rPr>
                <w:rFonts w:ascii="Arial" w:hAnsi="Arial"/>
                <w:b/>
                <w:color w:val="000000"/>
                <w:sz w:val="22"/>
              </w:rPr>
              <w:t>5</w:t>
            </w:r>
          </w:p>
        </w:tc>
        <w:tc>
          <w:tcPr>
            <w:tcW w:w="1687" w:type="dxa"/>
            <w:vAlign w:val="center"/>
          </w:tcPr>
          <w:p w14:paraId="1F6D1B03" w14:textId="77777777" w:rsidR="00BC48AB" w:rsidRPr="000A240C" w:rsidRDefault="00BC48AB" w:rsidP="000B0AA7">
            <w:pPr>
              <w:jc w:val="center"/>
              <w:rPr>
                <w:rFonts w:ascii="Arial" w:hAnsi="Arial"/>
                <w:color w:val="000000"/>
                <w:sz w:val="22"/>
              </w:rPr>
            </w:pPr>
            <w:r w:rsidRPr="000A240C">
              <w:rPr>
                <w:rFonts w:ascii="Arial" w:hAnsi="Arial"/>
                <w:color w:val="000000"/>
                <w:sz w:val="22"/>
              </w:rPr>
              <w:t>47</w:t>
            </w:r>
          </w:p>
        </w:tc>
        <w:tc>
          <w:tcPr>
            <w:tcW w:w="2249" w:type="dxa"/>
            <w:vAlign w:val="center"/>
          </w:tcPr>
          <w:p w14:paraId="37B21676" w14:textId="77777777" w:rsidR="00BC48AB" w:rsidRPr="000A240C" w:rsidRDefault="00BC48AB" w:rsidP="000B0AA7">
            <w:pPr>
              <w:jc w:val="center"/>
              <w:rPr>
                <w:rFonts w:ascii="Arial" w:hAnsi="Arial"/>
                <w:color w:val="000000"/>
                <w:sz w:val="22"/>
              </w:rPr>
            </w:pPr>
            <w:r w:rsidRPr="000A240C">
              <w:rPr>
                <w:rFonts w:ascii="Arial" w:hAnsi="Arial"/>
                <w:color w:val="000000"/>
                <w:sz w:val="22"/>
              </w:rPr>
              <w:t>49</w:t>
            </w:r>
          </w:p>
        </w:tc>
        <w:tc>
          <w:tcPr>
            <w:tcW w:w="1445" w:type="dxa"/>
            <w:vAlign w:val="center"/>
          </w:tcPr>
          <w:p w14:paraId="46147493" w14:textId="77777777" w:rsidR="00BC48AB" w:rsidRPr="000A240C" w:rsidRDefault="00BC48AB" w:rsidP="000B0AA7">
            <w:pPr>
              <w:jc w:val="center"/>
              <w:rPr>
                <w:rFonts w:ascii="Arial" w:hAnsi="Arial"/>
                <w:color w:val="000000"/>
                <w:sz w:val="22"/>
              </w:rPr>
            </w:pPr>
            <w:r w:rsidRPr="000A240C">
              <w:rPr>
                <w:rFonts w:ascii="Arial" w:hAnsi="Arial"/>
                <w:color w:val="000000"/>
                <w:sz w:val="22"/>
              </w:rPr>
              <w:t>53</w:t>
            </w:r>
          </w:p>
        </w:tc>
        <w:tc>
          <w:tcPr>
            <w:tcW w:w="1344" w:type="dxa"/>
            <w:vAlign w:val="center"/>
          </w:tcPr>
          <w:p w14:paraId="19C8FEBA" w14:textId="77777777" w:rsidR="00BC48AB" w:rsidRPr="000A240C" w:rsidRDefault="00BC48AB" w:rsidP="000B0AA7">
            <w:pPr>
              <w:jc w:val="center"/>
              <w:rPr>
                <w:rFonts w:ascii="Arial" w:hAnsi="Arial"/>
                <w:color w:val="000000"/>
                <w:sz w:val="22"/>
              </w:rPr>
            </w:pPr>
            <w:r w:rsidRPr="000A240C">
              <w:rPr>
                <w:rFonts w:ascii="Arial" w:hAnsi="Arial"/>
                <w:color w:val="000000"/>
                <w:sz w:val="22"/>
              </w:rPr>
              <w:t>43</w:t>
            </w:r>
          </w:p>
        </w:tc>
      </w:tr>
      <w:tr w:rsidR="00801394" w:rsidRPr="000B0AA7" w14:paraId="64A45736" w14:textId="77777777" w:rsidTr="00801394">
        <w:trPr>
          <w:trHeight w:val="288"/>
          <w:jc w:val="center"/>
        </w:trPr>
        <w:tc>
          <w:tcPr>
            <w:tcW w:w="1905" w:type="dxa"/>
            <w:vAlign w:val="center"/>
          </w:tcPr>
          <w:p w14:paraId="22DC7411" w14:textId="77777777" w:rsidR="00801394" w:rsidRPr="000A240C" w:rsidRDefault="00801394" w:rsidP="00801394">
            <w:pPr>
              <w:jc w:val="center"/>
              <w:rPr>
                <w:rFonts w:ascii="Arial" w:hAnsi="Arial"/>
                <w:b/>
                <w:color w:val="000000"/>
                <w:sz w:val="22"/>
              </w:rPr>
            </w:pPr>
            <w:r w:rsidRPr="000A240C">
              <w:rPr>
                <w:rFonts w:ascii="Arial" w:hAnsi="Arial"/>
                <w:b/>
                <w:color w:val="000000"/>
                <w:sz w:val="22"/>
              </w:rPr>
              <w:t>6+</w:t>
            </w:r>
          </w:p>
        </w:tc>
        <w:tc>
          <w:tcPr>
            <w:tcW w:w="1687" w:type="dxa"/>
            <w:vAlign w:val="center"/>
          </w:tcPr>
          <w:p w14:paraId="29B6C32C" w14:textId="7D71EA1D" w:rsidR="00801394" w:rsidRPr="00AE5C09" w:rsidRDefault="00801394" w:rsidP="00801394">
            <w:pPr>
              <w:jc w:val="center"/>
              <w:rPr>
                <w:rFonts w:ascii="Arial" w:hAnsi="Arial"/>
                <w:color w:val="000000"/>
                <w:sz w:val="16"/>
                <w:szCs w:val="16"/>
              </w:rPr>
            </w:pPr>
            <w:r w:rsidRPr="00AE5C09">
              <w:rPr>
                <w:rFonts w:ascii="Arial" w:hAnsi="Arial"/>
                <w:color w:val="000000"/>
                <w:sz w:val="16"/>
                <w:szCs w:val="16"/>
              </w:rPr>
              <w:t>Match values given in Dense-Graded Table</w:t>
            </w:r>
          </w:p>
        </w:tc>
        <w:tc>
          <w:tcPr>
            <w:tcW w:w="2249" w:type="dxa"/>
            <w:vAlign w:val="center"/>
          </w:tcPr>
          <w:p w14:paraId="636A38F0" w14:textId="7C11D9B1" w:rsidR="00801394" w:rsidRPr="00AE5C09" w:rsidRDefault="00801394" w:rsidP="00801394">
            <w:pPr>
              <w:jc w:val="center"/>
              <w:rPr>
                <w:rFonts w:ascii="Arial" w:hAnsi="Arial"/>
                <w:color w:val="000000"/>
                <w:sz w:val="16"/>
                <w:szCs w:val="16"/>
              </w:rPr>
            </w:pPr>
            <w:r w:rsidRPr="00AE5C09">
              <w:rPr>
                <w:rFonts w:ascii="Arial" w:hAnsi="Arial"/>
                <w:color w:val="000000"/>
                <w:sz w:val="16"/>
                <w:szCs w:val="16"/>
              </w:rPr>
              <w:t>Match values given in Dense-Graded Table</w:t>
            </w:r>
          </w:p>
        </w:tc>
        <w:tc>
          <w:tcPr>
            <w:tcW w:w="1445" w:type="dxa"/>
            <w:vAlign w:val="center"/>
          </w:tcPr>
          <w:p w14:paraId="7D1733BD" w14:textId="72DCEFEE" w:rsidR="00801394" w:rsidRPr="00AE5C09" w:rsidRDefault="00801394" w:rsidP="00801394">
            <w:pPr>
              <w:jc w:val="center"/>
              <w:rPr>
                <w:rFonts w:ascii="Arial" w:hAnsi="Arial"/>
                <w:color w:val="000000"/>
                <w:sz w:val="16"/>
                <w:szCs w:val="16"/>
              </w:rPr>
            </w:pPr>
            <w:r w:rsidRPr="00AE5C09">
              <w:rPr>
                <w:rFonts w:ascii="Arial" w:hAnsi="Arial"/>
                <w:color w:val="000000"/>
                <w:sz w:val="16"/>
                <w:szCs w:val="16"/>
              </w:rPr>
              <w:t>Match values given in Dense-Graded Table</w:t>
            </w:r>
          </w:p>
        </w:tc>
        <w:tc>
          <w:tcPr>
            <w:tcW w:w="1344" w:type="dxa"/>
            <w:vAlign w:val="center"/>
          </w:tcPr>
          <w:p w14:paraId="7E5D842B" w14:textId="46DE4C23" w:rsidR="00801394" w:rsidRPr="00AE5C09" w:rsidRDefault="00801394" w:rsidP="00801394">
            <w:pPr>
              <w:jc w:val="center"/>
              <w:rPr>
                <w:rFonts w:ascii="Arial" w:hAnsi="Arial"/>
                <w:color w:val="000000"/>
                <w:sz w:val="16"/>
                <w:szCs w:val="16"/>
              </w:rPr>
            </w:pPr>
            <w:r w:rsidRPr="00AE5C09">
              <w:rPr>
                <w:rFonts w:ascii="Arial" w:hAnsi="Arial"/>
                <w:color w:val="000000"/>
                <w:sz w:val="16"/>
                <w:szCs w:val="16"/>
              </w:rPr>
              <w:t>Match values given in Dense-Graded Table</w:t>
            </w:r>
          </w:p>
        </w:tc>
      </w:tr>
    </w:tbl>
    <w:p w14:paraId="0FB29A8C" w14:textId="6DC0EBD5" w:rsidR="000B0AA7" w:rsidRDefault="000B0AA7" w:rsidP="000A240C">
      <w:pPr>
        <w:pStyle w:val="ListNumber"/>
        <w:tabs>
          <w:tab w:val="clear" w:pos="720"/>
          <w:tab w:val="clear" w:pos="1872"/>
        </w:tabs>
        <w:ind w:left="0" w:firstLine="0"/>
        <w:jc w:val="both"/>
      </w:pPr>
    </w:p>
    <w:p w14:paraId="1D242BF0" w14:textId="77777777" w:rsidR="000B0AA7" w:rsidRDefault="000B0AA7">
      <w:pPr>
        <w:rPr>
          <w:rFonts w:ascii="Arial" w:hAnsi="Arial"/>
          <w:sz w:val="22"/>
        </w:rPr>
      </w:pPr>
      <w:r>
        <w:br w:type="page"/>
      </w:r>
    </w:p>
    <w:p w14:paraId="51DF9DDD" w14:textId="667F9B0A" w:rsidR="00962CA4" w:rsidRDefault="00962CA4" w:rsidP="000A240C">
      <w:pPr>
        <w:pStyle w:val="ListNumber"/>
        <w:tabs>
          <w:tab w:val="clear" w:pos="720"/>
          <w:tab w:val="clear" w:pos="1872"/>
        </w:tabs>
        <w:ind w:left="0" w:firstLine="0"/>
        <w:jc w:val="both"/>
        <w:rPr>
          <w:szCs w:val="22"/>
        </w:rPr>
      </w:pPr>
      <w:r w:rsidRPr="00A11483">
        <w:rPr>
          <w:szCs w:val="22"/>
        </w:rPr>
        <w:lastRenderedPageBreak/>
        <w:t>The following table shows the skid values per year</w:t>
      </w:r>
      <w:r w:rsidR="000B0AA7" w:rsidRPr="000B0AA7">
        <w:rPr>
          <w:szCs w:val="22"/>
        </w:rPr>
        <w:t xml:space="preserve"> </w:t>
      </w:r>
      <w:r w:rsidR="000B0AA7" w:rsidRPr="00A11483">
        <w:rPr>
          <w:szCs w:val="22"/>
        </w:rPr>
        <w:t xml:space="preserve">for </w:t>
      </w:r>
      <w:r w:rsidR="000B0AA7" w:rsidRPr="00964A58">
        <w:rPr>
          <w:b/>
          <w:szCs w:val="22"/>
        </w:rPr>
        <w:t>Diamond Grinding of Gap-Graded</w:t>
      </w:r>
      <w:r w:rsidR="000B0AA7" w:rsidRPr="00A11483">
        <w:rPr>
          <w:szCs w:val="22"/>
        </w:rPr>
        <w:t xml:space="preserve"> mixes</w:t>
      </w:r>
      <w:r w:rsidRPr="00A11483">
        <w:rPr>
          <w:szCs w:val="22"/>
        </w:rPr>
        <w:t>, based on the previously given equations.</w:t>
      </w:r>
    </w:p>
    <w:p w14:paraId="0FB65CD9" w14:textId="77777777" w:rsidR="000B0AA7" w:rsidRPr="00A11483" w:rsidRDefault="000B0AA7" w:rsidP="000B0AA7">
      <w:pPr>
        <w:pStyle w:val="ListNumber"/>
        <w:tabs>
          <w:tab w:val="clear" w:pos="720"/>
          <w:tab w:val="clear" w:pos="1872"/>
        </w:tabs>
        <w:spacing w:before="0"/>
        <w:ind w:left="0" w:firstLine="0"/>
        <w:jc w:val="both"/>
        <w:rPr>
          <w:szCs w:val="22"/>
        </w:rPr>
      </w:pPr>
    </w:p>
    <w:tbl>
      <w:tblPr>
        <w:tblStyle w:val="TableGrid"/>
        <w:tblW w:w="0" w:type="auto"/>
        <w:jc w:val="center"/>
        <w:tblLook w:val="04A0" w:firstRow="1" w:lastRow="0" w:firstColumn="1" w:lastColumn="0" w:noHBand="0" w:noVBand="1"/>
      </w:tblPr>
      <w:tblGrid>
        <w:gridCol w:w="1905"/>
        <w:gridCol w:w="1687"/>
        <w:gridCol w:w="2249"/>
        <w:gridCol w:w="1445"/>
        <w:gridCol w:w="1344"/>
      </w:tblGrid>
      <w:tr w:rsidR="000013E4" w:rsidRPr="000B0AA7" w14:paraId="1A5F52FB" w14:textId="77777777" w:rsidTr="002A52DD">
        <w:trPr>
          <w:trHeight w:val="288"/>
          <w:tblHeader/>
          <w:jc w:val="center"/>
        </w:trPr>
        <w:tc>
          <w:tcPr>
            <w:tcW w:w="1905" w:type="dxa"/>
            <w:shd w:val="pct15" w:color="auto" w:fill="auto"/>
            <w:vAlign w:val="center"/>
          </w:tcPr>
          <w:p w14:paraId="1F89C596" w14:textId="77777777" w:rsidR="000013E4" w:rsidRDefault="000013E4" w:rsidP="000013E4">
            <w:pPr>
              <w:pStyle w:val="BodyText"/>
              <w:spacing w:after="0"/>
              <w:jc w:val="center"/>
              <w:rPr>
                <w:rFonts w:cs="Arial"/>
                <w:b/>
              </w:rPr>
            </w:pPr>
            <w:r w:rsidRPr="000B0AA7">
              <w:rPr>
                <w:rFonts w:cs="Arial"/>
                <w:b/>
              </w:rPr>
              <w:t xml:space="preserve">Skid Values for Diamond Grinding of Gap-Graded </w:t>
            </w:r>
            <w:r>
              <w:rPr>
                <w:rFonts w:cs="Arial"/>
                <w:b/>
              </w:rPr>
              <w:t>M</w:t>
            </w:r>
            <w:r w:rsidRPr="000B0AA7">
              <w:rPr>
                <w:rFonts w:cs="Arial"/>
                <w:b/>
              </w:rPr>
              <w:t>ixes</w:t>
            </w:r>
          </w:p>
          <w:p w14:paraId="5C6D0BBB" w14:textId="036DE09D" w:rsidR="000013E4" w:rsidRPr="000A240C" w:rsidRDefault="000013E4" w:rsidP="000013E4">
            <w:pPr>
              <w:pStyle w:val="BodyText"/>
              <w:spacing w:after="0"/>
              <w:jc w:val="center"/>
              <w:rPr>
                <w:b/>
              </w:rPr>
            </w:pPr>
            <w:r>
              <w:rPr>
                <w:rFonts w:cs="Arial"/>
                <w:b/>
              </w:rPr>
              <w:t>(</w:t>
            </w:r>
            <w:r w:rsidRPr="000B0AA7">
              <w:rPr>
                <w:rFonts w:cs="Arial"/>
                <w:b/>
              </w:rPr>
              <w:t>by year</w:t>
            </w:r>
            <w:r>
              <w:rPr>
                <w:rFonts w:cs="Arial"/>
                <w:b/>
              </w:rPr>
              <w:t>)</w:t>
            </w:r>
          </w:p>
        </w:tc>
        <w:tc>
          <w:tcPr>
            <w:tcW w:w="1687" w:type="dxa"/>
            <w:shd w:val="pct15" w:color="auto" w:fill="auto"/>
            <w:vAlign w:val="center"/>
          </w:tcPr>
          <w:p w14:paraId="5E67ECB5" w14:textId="77777777" w:rsidR="000013E4" w:rsidRPr="000A240C" w:rsidRDefault="000013E4" w:rsidP="000A240C">
            <w:pPr>
              <w:pStyle w:val="BodyText"/>
              <w:spacing w:after="0"/>
              <w:jc w:val="center"/>
              <w:rPr>
                <w:b/>
              </w:rPr>
            </w:pPr>
            <w:r w:rsidRPr="000A240C">
              <w:rPr>
                <w:b/>
              </w:rPr>
              <w:t>Urban Interstates, Freeways and Collectors (11,12,17)</w:t>
            </w:r>
          </w:p>
        </w:tc>
        <w:tc>
          <w:tcPr>
            <w:tcW w:w="2249" w:type="dxa"/>
            <w:shd w:val="pct15" w:color="auto" w:fill="auto"/>
            <w:vAlign w:val="center"/>
          </w:tcPr>
          <w:p w14:paraId="53F0CB8C" w14:textId="79199B10" w:rsidR="000013E4" w:rsidRPr="000A240C" w:rsidRDefault="000013E4" w:rsidP="000A240C">
            <w:pPr>
              <w:pStyle w:val="BodyText"/>
              <w:spacing w:after="0"/>
              <w:jc w:val="center"/>
              <w:rPr>
                <w:b/>
              </w:rPr>
            </w:pPr>
            <w:r w:rsidRPr="000A240C">
              <w:rPr>
                <w:b/>
              </w:rPr>
              <w:t>Rural Interstates, Arterials and Major Collectors; Urban Locals (1,2</w:t>
            </w:r>
            <w:r>
              <w:rPr>
                <w:b/>
              </w:rPr>
              <w:t>,3</w:t>
            </w:r>
            <w:r w:rsidRPr="000A240C">
              <w:rPr>
                <w:b/>
              </w:rPr>
              <w:t>,6,7,</w:t>
            </w:r>
            <w:r>
              <w:rPr>
                <w:b/>
              </w:rPr>
              <w:t>18,</w:t>
            </w:r>
            <w:r w:rsidRPr="000A240C">
              <w:rPr>
                <w:b/>
              </w:rPr>
              <w:t>19)</w:t>
            </w:r>
          </w:p>
        </w:tc>
        <w:tc>
          <w:tcPr>
            <w:tcW w:w="1445" w:type="dxa"/>
            <w:shd w:val="pct15" w:color="auto" w:fill="auto"/>
            <w:vAlign w:val="center"/>
          </w:tcPr>
          <w:p w14:paraId="57BD93FF" w14:textId="77777777" w:rsidR="000013E4" w:rsidRPr="000A240C" w:rsidRDefault="000013E4" w:rsidP="000A240C">
            <w:pPr>
              <w:pStyle w:val="BodyText"/>
              <w:spacing w:after="0"/>
              <w:jc w:val="center"/>
              <w:rPr>
                <w:b/>
              </w:rPr>
            </w:pPr>
            <w:r w:rsidRPr="000A240C">
              <w:rPr>
                <w:b/>
              </w:rPr>
              <w:t>Rural Minor Collectors and Locals (8,9)</w:t>
            </w:r>
          </w:p>
        </w:tc>
        <w:tc>
          <w:tcPr>
            <w:tcW w:w="1344" w:type="dxa"/>
            <w:shd w:val="pct15" w:color="auto" w:fill="auto"/>
            <w:vAlign w:val="center"/>
          </w:tcPr>
          <w:p w14:paraId="1EE38B2F" w14:textId="77777777" w:rsidR="000013E4" w:rsidRPr="000A240C" w:rsidRDefault="000013E4" w:rsidP="000A240C">
            <w:pPr>
              <w:pStyle w:val="BodyText"/>
              <w:spacing w:after="0"/>
              <w:jc w:val="center"/>
              <w:rPr>
                <w:b/>
              </w:rPr>
            </w:pPr>
            <w:r w:rsidRPr="000A240C">
              <w:rPr>
                <w:b/>
              </w:rPr>
              <w:t>Urban Non-Freeway Arterials (14,16)</w:t>
            </w:r>
          </w:p>
        </w:tc>
      </w:tr>
      <w:tr w:rsidR="00962CA4" w:rsidRPr="000B0AA7" w14:paraId="78924730" w14:textId="77777777" w:rsidTr="002A52DD">
        <w:trPr>
          <w:trHeight w:val="288"/>
          <w:jc w:val="center"/>
        </w:trPr>
        <w:tc>
          <w:tcPr>
            <w:tcW w:w="1905" w:type="dxa"/>
            <w:vAlign w:val="center"/>
          </w:tcPr>
          <w:p w14:paraId="55FF36E8" w14:textId="77777777" w:rsidR="00962CA4" w:rsidRPr="000A240C" w:rsidRDefault="00962CA4" w:rsidP="000B0AA7">
            <w:pPr>
              <w:jc w:val="center"/>
              <w:rPr>
                <w:rFonts w:ascii="Arial" w:hAnsi="Arial"/>
                <w:b/>
                <w:color w:val="000000"/>
                <w:sz w:val="22"/>
              </w:rPr>
            </w:pPr>
            <w:r w:rsidRPr="000A240C">
              <w:rPr>
                <w:rFonts w:ascii="Arial" w:hAnsi="Arial"/>
                <w:b/>
                <w:color w:val="000000"/>
                <w:sz w:val="22"/>
              </w:rPr>
              <w:t>1</w:t>
            </w:r>
          </w:p>
        </w:tc>
        <w:tc>
          <w:tcPr>
            <w:tcW w:w="1687" w:type="dxa"/>
            <w:vAlign w:val="center"/>
          </w:tcPr>
          <w:p w14:paraId="3AEA4650" w14:textId="77777777" w:rsidR="00962CA4" w:rsidRPr="000A240C" w:rsidRDefault="00962CA4" w:rsidP="000B0AA7">
            <w:pPr>
              <w:jc w:val="center"/>
              <w:rPr>
                <w:rFonts w:ascii="Arial" w:hAnsi="Arial"/>
                <w:color w:val="000000"/>
                <w:sz w:val="22"/>
              </w:rPr>
            </w:pPr>
            <w:r w:rsidRPr="000A240C">
              <w:rPr>
                <w:rFonts w:ascii="Arial" w:hAnsi="Arial"/>
                <w:color w:val="000000"/>
                <w:sz w:val="22"/>
              </w:rPr>
              <w:t>57</w:t>
            </w:r>
          </w:p>
        </w:tc>
        <w:tc>
          <w:tcPr>
            <w:tcW w:w="2249" w:type="dxa"/>
            <w:vAlign w:val="center"/>
          </w:tcPr>
          <w:p w14:paraId="48983158" w14:textId="77777777" w:rsidR="00962CA4" w:rsidRPr="000A240C" w:rsidRDefault="00962CA4" w:rsidP="000B0AA7">
            <w:pPr>
              <w:jc w:val="center"/>
              <w:rPr>
                <w:rFonts w:ascii="Arial" w:hAnsi="Arial"/>
                <w:color w:val="000000"/>
                <w:sz w:val="22"/>
              </w:rPr>
            </w:pPr>
            <w:r w:rsidRPr="000A240C">
              <w:rPr>
                <w:rFonts w:ascii="Arial" w:hAnsi="Arial"/>
                <w:color w:val="000000"/>
                <w:sz w:val="22"/>
              </w:rPr>
              <w:t>60</w:t>
            </w:r>
          </w:p>
        </w:tc>
        <w:tc>
          <w:tcPr>
            <w:tcW w:w="1445" w:type="dxa"/>
            <w:vAlign w:val="center"/>
          </w:tcPr>
          <w:p w14:paraId="11A9E559" w14:textId="77777777" w:rsidR="00962CA4" w:rsidRPr="000A240C" w:rsidRDefault="00962CA4" w:rsidP="000B0AA7">
            <w:pPr>
              <w:jc w:val="center"/>
              <w:rPr>
                <w:rFonts w:ascii="Arial" w:hAnsi="Arial"/>
                <w:color w:val="000000"/>
                <w:sz w:val="22"/>
              </w:rPr>
            </w:pPr>
            <w:r w:rsidRPr="000A240C">
              <w:rPr>
                <w:rFonts w:ascii="Arial" w:hAnsi="Arial"/>
                <w:color w:val="000000"/>
                <w:sz w:val="22"/>
              </w:rPr>
              <w:t>64</w:t>
            </w:r>
          </w:p>
        </w:tc>
        <w:tc>
          <w:tcPr>
            <w:tcW w:w="1344" w:type="dxa"/>
            <w:vAlign w:val="center"/>
          </w:tcPr>
          <w:p w14:paraId="3DD03BC8" w14:textId="77777777" w:rsidR="00962CA4" w:rsidRPr="000A240C" w:rsidRDefault="00962CA4" w:rsidP="000B0AA7">
            <w:pPr>
              <w:jc w:val="center"/>
              <w:rPr>
                <w:rFonts w:ascii="Arial" w:hAnsi="Arial"/>
                <w:color w:val="000000"/>
                <w:sz w:val="22"/>
              </w:rPr>
            </w:pPr>
            <w:r w:rsidRPr="000A240C">
              <w:rPr>
                <w:rFonts w:ascii="Arial" w:hAnsi="Arial"/>
                <w:color w:val="000000"/>
                <w:sz w:val="22"/>
              </w:rPr>
              <w:t>53</w:t>
            </w:r>
          </w:p>
        </w:tc>
      </w:tr>
      <w:tr w:rsidR="00962CA4" w:rsidRPr="000B0AA7" w14:paraId="19B85821" w14:textId="77777777" w:rsidTr="002A52DD">
        <w:trPr>
          <w:trHeight w:val="288"/>
          <w:jc w:val="center"/>
        </w:trPr>
        <w:tc>
          <w:tcPr>
            <w:tcW w:w="1905" w:type="dxa"/>
            <w:vAlign w:val="center"/>
          </w:tcPr>
          <w:p w14:paraId="1EC1ECFB" w14:textId="77777777" w:rsidR="00962CA4" w:rsidRPr="000A240C" w:rsidRDefault="00962CA4" w:rsidP="000B0AA7">
            <w:pPr>
              <w:jc w:val="center"/>
              <w:rPr>
                <w:rFonts w:ascii="Arial" w:hAnsi="Arial"/>
                <w:b/>
                <w:color w:val="000000"/>
                <w:sz w:val="22"/>
              </w:rPr>
            </w:pPr>
            <w:r w:rsidRPr="000A240C">
              <w:rPr>
                <w:rFonts w:ascii="Arial" w:hAnsi="Arial"/>
                <w:b/>
                <w:color w:val="000000"/>
                <w:sz w:val="22"/>
              </w:rPr>
              <w:t>2</w:t>
            </w:r>
          </w:p>
        </w:tc>
        <w:tc>
          <w:tcPr>
            <w:tcW w:w="1687" w:type="dxa"/>
            <w:vAlign w:val="center"/>
          </w:tcPr>
          <w:p w14:paraId="10AD2C6F" w14:textId="77777777" w:rsidR="00962CA4" w:rsidRPr="000A240C" w:rsidRDefault="00962CA4" w:rsidP="000B0AA7">
            <w:pPr>
              <w:jc w:val="center"/>
              <w:rPr>
                <w:rFonts w:ascii="Arial" w:hAnsi="Arial"/>
                <w:color w:val="000000"/>
                <w:sz w:val="22"/>
              </w:rPr>
            </w:pPr>
            <w:r w:rsidRPr="000A240C">
              <w:rPr>
                <w:rFonts w:ascii="Arial" w:hAnsi="Arial"/>
                <w:color w:val="000000"/>
                <w:sz w:val="22"/>
              </w:rPr>
              <w:t>56</w:t>
            </w:r>
          </w:p>
        </w:tc>
        <w:tc>
          <w:tcPr>
            <w:tcW w:w="2249" w:type="dxa"/>
            <w:vAlign w:val="center"/>
          </w:tcPr>
          <w:p w14:paraId="5E8E4A3B" w14:textId="77777777" w:rsidR="00962CA4" w:rsidRPr="000A240C" w:rsidRDefault="00962CA4" w:rsidP="000B0AA7">
            <w:pPr>
              <w:jc w:val="center"/>
              <w:rPr>
                <w:rFonts w:ascii="Arial" w:hAnsi="Arial"/>
                <w:color w:val="000000"/>
                <w:sz w:val="22"/>
              </w:rPr>
            </w:pPr>
            <w:r w:rsidRPr="000A240C">
              <w:rPr>
                <w:rFonts w:ascii="Arial" w:hAnsi="Arial"/>
                <w:color w:val="000000"/>
                <w:sz w:val="22"/>
              </w:rPr>
              <w:t>59</w:t>
            </w:r>
          </w:p>
        </w:tc>
        <w:tc>
          <w:tcPr>
            <w:tcW w:w="1445" w:type="dxa"/>
            <w:vAlign w:val="center"/>
          </w:tcPr>
          <w:p w14:paraId="13C2A436" w14:textId="77777777" w:rsidR="00962CA4" w:rsidRPr="000A240C" w:rsidRDefault="00962CA4" w:rsidP="000B0AA7">
            <w:pPr>
              <w:jc w:val="center"/>
              <w:rPr>
                <w:rFonts w:ascii="Arial" w:hAnsi="Arial"/>
                <w:color w:val="000000"/>
                <w:sz w:val="22"/>
              </w:rPr>
            </w:pPr>
            <w:r w:rsidRPr="000A240C">
              <w:rPr>
                <w:rFonts w:ascii="Arial" w:hAnsi="Arial"/>
                <w:color w:val="000000"/>
                <w:sz w:val="22"/>
              </w:rPr>
              <w:t>63</w:t>
            </w:r>
          </w:p>
        </w:tc>
        <w:tc>
          <w:tcPr>
            <w:tcW w:w="1344" w:type="dxa"/>
            <w:vAlign w:val="center"/>
          </w:tcPr>
          <w:p w14:paraId="2D2258E0" w14:textId="77777777" w:rsidR="00962CA4" w:rsidRPr="000A240C" w:rsidRDefault="00962CA4" w:rsidP="000B0AA7">
            <w:pPr>
              <w:jc w:val="center"/>
              <w:rPr>
                <w:rFonts w:ascii="Arial" w:hAnsi="Arial"/>
                <w:color w:val="000000"/>
                <w:sz w:val="22"/>
              </w:rPr>
            </w:pPr>
            <w:r w:rsidRPr="000A240C">
              <w:rPr>
                <w:rFonts w:ascii="Arial" w:hAnsi="Arial"/>
                <w:color w:val="000000"/>
                <w:sz w:val="22"/>
              </w:rPr>
              <w:t>52</w:t>
            </w:r>
          </w:p>
        </w:tc>
      </w:tr>
      <w:tr w:rsidR="00962CA4" w:rsidRPr="000B0AA7" w14:paraId="38BD1DF9" w14:textId="77777777" w:rsidTr="002A52DD">
        <w:trPr>
          <w:trHeight w:val="288"/>
          <w:jc w:val="center"/>
        </w:trPr>
        <w:tc>
          <w:tcPr>
            <w:tcW w:w="1905" w:type="dxa"/>
            <w:vAlign w:val="center"/>
          </w:tcPr>
          <w:p w14:paraId="501999CB" w14:textId="77777777" w:rsidR="00962CA4" w:rsidRPr="000A240C" w:rsidRDefault="00962CA4" w:rsidP="000B0AA7">
            <w:pPr>
              <w:jc w:val="center"/>
              <w:rPr>
                <w:rFonts w:ascii="Arial" w:hAnsi="Arial"/>
                <w:b/>
                <w:color w:val="000000"/>
                <w:sz w:val="22"/>
              </w:rPr>
            </w:pPr>
            <w:r w:rsidRPr="000A240C">
              <w:rPr>
                <w:rFonts w:ascii="Arial" w:hAnsi="Arial"/>
                <w:b/>
                <w:color w:val="000000"/>
                <w:sz w:val="22"/>
              </w:rPr>
              <w:t>3</w:t>
            </w:r>
          </w:p>
        </w:tc>
        <w:tc>
          <w:tcPr>
            <w:tcW w:w="1687" w:type="dxa"/>
            <w:vAlign w:val="center"/>
          </w:tcPr>
          <w:p w14:paraId="012DD63E" w14:textId="77777777" w:rsidR="00962CA4" w:rsidRPr="000A240C" w:rsidRDefault="00962CA4" w:rsidP="000B0AA7">
            <w:pPr>
              <w:jc w:val="center"/>
              <w:rPr>
                <w:rFonts w:ascii="Arial" w:hAnsi="Arial"/>
                <w:color w:val="000000"/>
                <w:sz w:val="22"/>
              </w:rPr>
            </w:pPr>
            <w:r w:rsidRPr="000A240C">
              <w:rPr>
                <w:rFonts w:ascii="Arial" w:hAnsi="Arial"/>
                <w:color w:val="000000"/>
                <w:sz w:val="22"/>
              </w:rPr>
              <w:t>55</w:t>
            </w:r>
          </w:p>
        </w:tc>
        <w:tc>
          <w:tcPr>
            <w:tcW w:w="2249" w:type="dxa"/>
            <w:vAlign w:val="center"/>
          </w:tcPr>
          <w:p w14:paraId="5680C5AA" w14:textId="77777777" w:rsidR="00962CA4" w:rsidRPr="000A240C" w:rsidRDefault="00962CA4" w:rsidP="000B0AA7">
            <w:pPr>
              <w:jc w:val="center"/>
              <w:rPr>
                <w:rFonts w:ascii="Arial" w:hAnsi="Arial"/>
                <w:color w:val="000000"/>
                <w:sz w:val="22"/>
              </w:rPr>
            </w:pPr>
            <w:r w:rsidRPr="000A240C">
              <w:rPr>
                <w:rFonts w:ascii="Arial" w:hAnsi="Arial"/>
                <w:color w:val="000000"/>
                <w:sz w:val="22"/>
              </w:rPr>
              <w:t>58</w:t>
            </w:r>
          </w:p>
        </w:tc>
        <w:tc>
          <w:tcPr>
            <w:tcW w:w="1445" w:type="dxa"/>
            <w:vAlign w:val="center"/>
          </w:tcPr>
          <w:p w14:paraId="252BECFE" w14:textId="77777777" w:rsidR="00962CA4" w:rsidRPr="000A240C" w:rsidRDefault="00962CA4" w:rsidP="000B0AA7">
            <w:pPr>
              <w:jc w:val="center"/>
              <w:rPr>
                <w:rFonts w:ascii="Arial" w:hAnsi="Arial"/>
                <w:color w:val="000000"/>
                <w:sz w:val="22"/>
              </w:rPr>
            </w:pPr>
            <w:r w:rsidRPr="000A240C">
              <w:rPr>
                <w:rFonts w:ascii="Arial" w:hAnsi="Arial"/>
                <w:color w:val="000000"/>
                <w:sz w:val="22"/>
              </w:rPr>
              <w:t>62</w:t>
            </w:r>
          </w:p>
        </w:tc>
        <w:tc>
          <w:tcPr>
            <w:tcW w:w="1344" w:type="dxa"/>
            <w:vAlign w:val="center"/>
          </w:tcPr>
          <w:p w14:paraId="212F903C" w14:textId="77777777" w:rsidR="00962CA4" w:rsidRPr="000A240C" w:rsidRDefault="00962CA4" w:rsidP="000B0AA7">
            <w:pPr>
              <w:jc w:val="center"/>
              <w:rPr>
                <w:rFonts w:ascii="Arial" w:hAnsi="Arial"/>
                <w:color w:val="000000"/>
                <w:sz w:val="22"/>
              </w:rPr>
            </w:pPr>
            <w:r w:rsidRPr="000A240C">
              <w:rPr>
                <w:rFonts w:ascii="Arial" w:hAnsi="Arial"/>
                <w:color w:val="000000"/>
                <w:sz w:val="22"/>
              </w:rPr>
              <w:t>51</w:t>
            </w:r>
          </w:p>
        </w:tc>
      </w:tr>
      <w:tr w:rsidR="00962CA4" w:rsidRPr="000B0AA7" w14:paraId="5CBA833D" w14:textId="77777777" w:rsidTr="002A52DD">
        <w:trPr>
          <w:trHeight w:val="288"/>
          <w:jc w:val="center"/>
        </w:trPr>
        <w:tc>
          <w:tcPr>
            <w:tcW w:w="1905" w:type="dxa"/>
            <w:vAlign w:val="center"/>
          </w:tcPr>
          <w:p w14:paraId="4A339A92" w14:textId="77777777" w:rsidR="00962CA4" w:rsidRPr="000A240C" w:rsidRDefault="00962CA4" w:rsidP="000B0AA7">
            <w:pPr>
              <w:jc w:val="center"/>
              <w:rPr>
                <w:rFonts w:ascii="Arial" w:hAnsi="Arial"/>
                <w:b/>
                <w:color w:val="000000"/>
                <w:sz w:val="22"/>
              </w:rPr>
            </w:pPr>
            <w:r w:rsidRPr="000A240C">
              <w:rPr>
                <w:rFonts w:ascii="Arial" w:hAnsi="Arial"/>
                <w:b/>
                <w:color w:val="000000"/>
                <w:sz w:val="22"/>
              </w:rPr>
              <w:t>4</w:t>
            </w:r>
          </w:p>
        </w:tc>
        <w:tc>
          <w:tcPr>
            <w:tcW w:w="1687" w:type="dxa"/>
            <w:vAlign w:val="center"/>
          </w:tcPr>
          <w:p w14:paraId="38BDA6F6" w14:textId="77777777" w:rsidR="00962CA4" w:rsidRPr="000A240C" w:rsidRDefault="00962CA4" w:rsidP="000B0AA7">
            <w:pPr>
              <w:jc w:val="center"/>
              <w:rPr>
                <w:rFonts w:ascii="Arial" w:hAnsi="Arial"/>
                <w:color w:val="000000"/>
                <w:sz w:val="22"/>
              </w:rPr>
            </w:pPr>
            <w:r w:rsidRPr="000A240C">
              <w:rPr>
                <w:rFonts w:ascii="Arial" w:hAnsi="Arial"/>
                <w:color w:val="000000"/>
                <w:sz w:val="22"/>
              </w:rPr>
              <w:t>54</w:t>
            </w:r>
          </w:p>
        </w:tc>
        <w:tc>
          <w:tcPr>
            <w:tcW w:w="2249" w:type="dxa"/>
            <w:vAlign w:val="center"/>
          </w:tcPr>
          <w:p w14:paraId="5EBAEFA0" w14:textId="77777777" w:rsidR="00962CA4" w:rsidRPr="000A240C" w:rsidRDefault="00962CA4" w:rsidP="000B0AA7">
            <w:pPr>
              <w:jc w:val="center"/>
              <w:rPr>
                <w:rFonts w:ascii="Arial" w:hAnsi="Arial"/>
                <w:color w:val="000000"/>
                <w:sz w:val="22"/>
              </w:rPr>
            </w:pPr>
            <w:r w:rsidRPr="000A240C">
              <w:rPr>
                <w:rFonts w:ascii="Arial" w:hAnsi="Arial"/>
                <w:color w:val="000000"/>
                <w:sz w:val="22"/>
              </w:rPr>
              <w:t>57</w:t>
            </w:r>
          </w:p>
        </w:tc>
        <w:tc>
          <w:tcPr>
            <w:tcW w:w="1445" w:type="dxa"/>
            <w:vAlign w:val="center"/>
          </w:tcPr>
          <w:p w14:paraId="4487B92C" w14:textId="77777777" w:rsidR="00962CA4" w:rsidRPr="000A240C" w:rsidRDefault="00962CA4" w:rsidP="000B0AA7">
            <w:pPr>
              <w:jc w:val="center"/>
              <w:rPr>
                <w:rFonts w:ascii="Arial" w:hAnsi="Arial"/>
                <w:color w:val="000000"/>
                <w:sz w:val="22"/>
              </w:rPr>
            </w:pPr>
            <w:r w:rsidRPr="000A240C">
              <w:rPr>
                <w:rFonts w:ascii="Arial" w:hAnsi="Arial"/>
                <w:color w:val="000000"/>
                <w:sz w:val="22"/>
              </w:rPr>
              <w:t>61</w:t>
            </w:r>
          </w:p>
        </w:tc>
        <w:tc>
          <w:tcPr>
            <w:tcW w:w="1344" w:type="dxa"/>
            <w:vAlign w:val="center"/>
          </w:tcPr>
          <w:p w14:paraId="25D7A3FA" w14:textId="77777777" w:rsidR="00962CA4" w:rsidRPr="000A240C" w:rsidRDefault="00962CA4" w:rsidP="000B0AA7">
            <w:pPr>
              <w:jc w:val="center"/>
              <w:rPr>
                <w:rFonts w:ascii="Arial" w:hAnsi="Arial"/>
                <w:color w:val="000000"/>
                <w:sz w:val="22"/>
              </w:rPr>
            </w:pPr>
            <w:r w:rsidRPr="000A240C">
              <w:rPr>
                <w:rFonts w:ascii="Arial" w:hAnsi="Arial"/>
                <w:color w:val="000000"/>
                <w:sz w:val="22"/>
              </w:rPr>
              <w:t>50</w:t>
            </w:r>
          </w:p>
        </w:tc>
      </w:tr>
      <w:tr w:rsidR="00962CA4" w:rsidRPr="000B0AA7" w14:paraId="06275916" w14:textId="77777777" w:rsidTr="002A52DD">
        <w:trPr>
          <w:trHeight w:val="288"/>
          <w:jc w:val="center"/>
        </w:trPr>
        <w:tc>
          <w:tcPr>
            <w:tcW w:w="1905" w:type="dxa"/>
            <w:vAlign w:val="center"/>
          </w:tcPr>
          <w:p w14:paraId="7A4997B2" w14:textId="77777777" w:rsidR="00962CA4" w:rsidRPr="000A240C" w:rsidRDefault="00962CA4" w:rsidP="000B0AA7">
            <w:pPr>
              <w:jc w:val="center"/>
              <w:rPr>
                <w:rFonts w:ascii="Arial" w:hAnsi="Arial"/>
                <w:b/>
                <w:color w:val="000000"/>
                <w:sz w:val="22"/>
              </w:rPr>
            </w:pPr>
            <w:r w:rsidRPr="000A240C">
              <w:rPr>
                <w:rFonts w:ascii="Arial" w:hAnsi="Arial"/>
                <w:b/>
                <w:color w:val="000000"/>
                <w:sz w:val="22"/>
              </w:rPr>
              <w:t>5</w:t>
            </w:r>
          </w:p>
        </w:tc>
        <w:tc>
          <w:tcPr>
            <w:tcW w:w="1687" w:type="dxa"/>
            <w:vAlign w:val="center"/>
          </w:tcPr>
          <w:p w14:paraId="744D6E03" w14:textId="77777777" w:rsidR="00962CA4" w:rsidRPr="000A240C" w:rsidRDefault="00962CA4" w:rsidP="000B0AA7">
            <w:pPr>
              <w:jc w:val="center"/>
              <w:rPr>
                <w:rFonts w:ascii="Arial" w:hAnsi="Arial"/>
                <w:color w:val="000000"/>
                <w:sz w:val="22"/>
              </w:rPr>
            </w:pPr>
            <w:r w:rsidRPr="000A240C">
              <w:rPr>
                <w:rFonts w:ascii="Arial" w:hAnsi="Arial"/>
                <w:color w:val="000000"/>
                <w:sz w:val="22"/>
              </w:rPr>
              <w:t>53</w:t>
            </w:r>
          </w:p>
        </w:tc>
        <w:tc>
          <w:tcPr>
            <w:tcW w:w="2249" w:type="dxa"/>
            <w:vAlign w:val="center"/>
          </w:tcPr>
          <w:p w14:paraId="59826E16" w14:textId="77777777" w:rsidR="00962CA4" w:rsidRPr="000A240C" w:rsidRDefault="00962CA4" w:rsidP="000B0AA7">
            <w:pPr>
              <w:jc w:val="center"/>
              <w:rPr>
                <w:rFonts w:ascii="Arial" w:hAnsi="Arial"/>
                <w:color w:val="000000"/>
                <w:sz w:val="22"/>
              </w:rPr>
            </w:pPr>
            <w:r w:rsidRPr="000A240C">
              <w:rPr>
                <w:rFonts w:ascii="Arial" w:hAnsi="Arial"/>
                <w:color w:val="000000"/>
                <w:sz w:val="22"/>
              </w:rPr>
              <w:t>55</w:t>
            </w:r>
          </w:p>
        </w:tc>
        <w:tc>
          <w:tcPr>
            <w:tcW w:w="1445" w:type="dxa"/>
            <w:vAlign w:val="center"/>
          </w:tcPr>
          <w:p w14:paraId="7BC62BB6" w14:textId="77777777" w:rsidR="00962CA4" w:rsidRPr="000A240C" w:rsidRDefault="00962CA4" w:rsidP="000B0AA7">
            <w:pPr>
              <w:jc w:val="center"/>
              <w:rPr>
                <w:rFonts w:ascii="Arial" w:hAnsi="Arial"/>
                <w:color w:val="000000"/>
                <w:sz w:val="22"/>
              </w:rPr>
            </w:pPr>
            <w:r w:rsidRPr="000A240C">
              <w:rPr>
                <w:rFonts w:ascii="Arial" w:hAnsi="Arial"/>
                <w:color w:val="000000"/>
                <w:sz w:val="22"/>
              </w:rPr>
              <w:t>59</w:t>
            </w:r>
          </w:p>
        </w:tc>
        <w:tc>
          <w:tcPr>
            <w:tcW w:w="1344" w:type="dxa"/>
            <w:vAlign w:val="center"/>
          </w:tcPr>
          <w:p w14:paraId="7C87F0A1" w14:textId="77777777" w:rsidR="00962CA4" w:rsidRPr="000A240C" w:rsidRDefault="00962CA4" w:rsidP="000B0AA7">
            <w:pPr>
              <w:jc w:val="center"/>
              <w:rPr>
                <w:rFonts w:ascii="Arial" w:hAnsi="Arial"/>
                <w:color w:val="000000"/>
                <w:sz w:val="22"/>
              </w:rPr>
            </w:pPr>
            <w:r w:rsidRPr="000A240C">
              <w:rPr>
                <w:rFonts w:ascii="Arial" w:hAnsi="Arial"/>
                <w:color w:val="000000"/>
                <w:sz w:val="22"/>
              </w:rPr>
              <w:t>49</w:t>
            </w:r>
          </w:p>
        </w:tc>
      </w:tr>
      <w:tr w:rsidR="002A52DD" w:rsidRPr="000B0AA7" w14:paraId="598897A8" w14:textId="77777777" w:rsidTr="002A52DD">
        <w:trPr>
          <w:trHeight w:val="288"/>
          <w:jc w:val="center"/>
        </w:trPr>
        <w:tc>
          <w:tcPr>
            <w:tcW w:w="1905" w:type="dxa"/>
            <w:vAlign w:val="center"/>
          </w:tcPr>
          <w:p w14:paraId="2E915990" w14:textId="77777777" w:rsidR="002A52DD" w:rsidRPr="000A240C" w:rsidRDefault="002A52DD" w:rsidP="002A52DD">
            <w:pPr>
              <w:jc w:val="center"/>
              <w:rPr>
                <w:rFonts w:ascii="Arial" w:hAnsi="Arial"/>
                <w:b/>
                <w:color w:val="000000"/>
                <w:sz w:val="22"/>
              </w:rPr>
            </w:pPr>
            <w:r w:rsidRPr="000A240C">
              <w:rPr>
                <w:rFonts w:ascii="Arial" w:hAnsi="Arial"/>
                <w:b/>
                <w:color w:val="000000"/>
                <w:sz w:val="22"/>
              </w:rPr>
              <w:t>6+</w:t>
            </w:r>
          </w:p>
        </w:tc>
        <w:tc>
          <w:tcPr>
            <w:tcW w:w="1687" w:type="dxa"/>
            <w:vAlign w:val="center"/>
          </w:tcPr>
          <w:p w14:paraId="3CF51BFD" w14:textId="77777777" w:rsidR="002A52DD" w:rsidRPr="009B163A" w:rsidRDefault="002A52DD" w:rsidP="002A52DD">
            <w:pPr>
              <w:jc w:val="center"/>
              <w:rPr>
                <w:rFonts w:ascii="Arial" w:hAnsi="Arial"/>
                <w:color w:val="000000"/>
                <w:sz w:val="16"/>
                <w:szCs w:val="16"/>
              </w:rPr>
            </w:pPr>
            <w:r w:rsidRPr="009B163A">
              <w:rPr>
                <w:rFonts w:ascii="Arial" w:hAnsi="Arial"/>
                <w:color w:val="000000"/>
                <w:sz w:val="16"/>
                <w:szCs w:val="16"/>
              </w:rPr>
              <w:t xml:space="preserve">Match Gap-Graded values </w:t>
            </w:r>
          </w:p>
        </w:tc>
        <w:tc>
          <w:tcPr>
            <w:tcW w:w="2249" w:type="dxa"/>
            <w:vAlign w:val="center"/>
          </w:tcPr>
          <w:p w14:paraId="223F9034" w14:textId="675AFBBD" w:rsidR="002A52DD" w:rsidRPr="009B163A" w:rsidRDefault="002A52DD" w:rsidP="002A52DD">
            <w:pPr>
              <w:jc w:val="center"/>
              <w:rPr>
                <w:rFonts w:ascii="Arial" w:hAnsi="Arial"/>
                <w:color w:val="000000"/>
                <w:sz w:val="16"/>
                <w:szCs w:val="16"/>
              </w:rPr>
            </w:pPr>
            <w:r w:rsidRPr="009B163A">
              <w:rPr>
                <w:rFonts w:ascii="Arial" w:hAnsi="Arial"/>
                <w:color w:val="000000"/>
                <w:sz w:val="16"/>
                <w:szCs w:val="16"/>
              </w:rPr>
              <w:t xml:space="preserve">Match Gap-Graded values </w:t>
            </w:r>
          </w:p>
        </w:tc>
        <w:tc>
          <w:tcPr>
            <w:tcW w:w="1445" w:type="dxa"/>
            <w:vAlign w:val="center"/>
          </w:tcPr>
          <w:p w14:paraId="7B8BE5D1" w14:textId="50B557B9" w:rsidR="002A52DD" w:rsidRPr="009B163A" w:rsidRDefault="002A52DD" w:rsidP="002A52DD">
            <w:pPr>
              <w:jc w:val="center"/>
              <w:rPr>
                <w:rFonts w:ascii="Arial" w:hAnsi="Arial"/>
                <w:color w:val="000000"/>
                <w:sz w:val="16"/>
                <w:szCs w:val="16"/>
              </w:rPr>
            </w:pPr>
            <w:r w:rsidRPr="009B163A">
              <w:rPr>
                <w:rFonts w:ascii="Arial" w:hAnsi="Arial"/>
                <w:color w:val="000000"/>
                <w:sz w:val="16"/>
                <w:szCs w:val="16"/>
              </w:rPr>
              <w:t xml:space="preserve">Match Gap-Graded values </w:t>
            </w:r>
          </w:p>
        </w:tc>
        <w:tc>
          <w:tcPr>
            <w:tcW w:w="1344" w:type="dxa"/>
            <w:vAlign w:val="center"/>
          </w:tcPr>
          <w:p w14:paraId="1925C879" w14:textId="41B25F8F" w:rsidR="002A52DD" w:rsidRPr="009B163A" w:rsidRDefault="002A52DD" w:rsidP="002A52DD">
            <w:pPr>
              <w:jc w:val="center"/>
              <w:rPr>
                <w:rFonts w:ascii="Arial" w:hAnsi="Arial"/>
                <w:color w:val="000000"/>
                <w:sz w:val="16"/>
                <w:szCs w:val="16"/>
              </w:rPr>
            </w:pPr>
            <w:r w:rsidRPr="009B163A">
              <w:rPr>
                <w:rFonts w:ascii="Arial" w:hAnsi="Arial"/>
                <w:color w:val="000000"/>
                <w:sz w:val="16"/>
                <w:szCs w:val="16"/>
              </w:rPr>
              <w:t xml:space="preserve">Match Gap-Graded values </w:t>
            </w:r>
          </w:p>
        </w:tc>
      </w:tr>
    </w:tbl>
    <w:p w14:paraId="6BAFC1C2" w14:textId="77777777" w:rsidR="004E22F4" w:rsidRDefault="004E22F4" w:rsidP="00172E64">
      <w:pPr>
        <w:pStyle w:val="Heading3"/>
        <w:numPr>
          <w:ilvl w:val="2"/>
          <w:numId w:val="184"/>
        </w:numPr>
        <w:tabs>
          <w:tab w:val="left" w:pos="1440"/>
        </w:tabs>
        <w:ind w:hanging="1980"/>
        <w:rPr>
          <w:rFonts w:eastAsia="Arial"/>
        </w:rPr>
      </w:pPr>
      <w:r>
        <w:rPr>
          <w:rFonts w:eastAsia="Arial"/>
        </w:rPr>
        <w:t>Constructability</w:t>
      </w:r>
    </w:p>
    <w:p w14:paraId="50A90DBC" w14:textId="351BC4C0" w:rsidR="004E22F4" w:rsidRDefault="004E22F4" w:rsidP="004E22F4">
      <w:pPr>
        <w:tabs>
          <w:tab w:val="left" w:pos="720"/>
          <w:tab w:val="left" w:pos="1872"/>
        </w:tabs>
        <w:spacing w:before="120"/>
        <w:jc w:val="both"/>
        <w:rPr>
          <w:rFonts w:ascii="Arial" w:eastAsia="Arial" w:hAnsi="Arial" w:cs="Arial"/>
          <w:sz w:val="22"/>
        </w:rPr>
      </w:pPr>
      <w:r>
        <w:rPr>
          <w:rFonts w:ascii="Arial" w:eastAsia="Arial" w:hAnsi="Arial" w:cs="Arial"/>
          <w:sz w:val="22"/>
        </w:rPr>
        <w:t>The pavement design shall be checked for constructability issues.  Care shall be taken to ensure that the pavement design can be constructed and perform well over the pavement service life; geometric and grade demands</w:t>
      </w:r>
      <w:r w:rsidR="000B0AA7">
        <w:rPr>
          <w:rFonts w:ascii="Arial" w:eastAsia="Arial" w:hAnsi="Arial" w:cs="Arial"/>
          <w:sz w:val="22"/>
        </w:rPr>
        <w:t>;</w:t>
      </w:r>
      <w:r>
        <w:rPr>
          <w:rFonts w:ascii="Arial" w:eastAsia="Arial" w:hAnsi="Arial" w:cs="Arial"/>
          <w:sz w:val="22"/>
        </w:rPr>
        <w:t xml:space="preserve"> MOT constraints</w:t>
      </w:r>
      <w:r w:rsidR="000B0AA7">
        <w:rPr>
          <w:rFonts w:ascii="Arial" w:eastAsia="Arial" w:hAnsi="Arial" w:cs="Arial"/>
          <w:sz w:val="22"/>
        </w:rPr>
        <w:t>;</w:t>
      </w:r>
      <w:r>
        <w:rPr>
          <w:rFonts w:ascii="Arial" w:eastAsia="Arial" w:hAnsi="Arial" w:cs="Arial"/>
          <w:sz w:val="22"/>
        </w:rPr>
        <w:t xml:space="preserve"> regional material constraints</w:t>
      </w:r>
      <w:r w:rsidR="000B0AA7">
        <w:rPr>
          <w:rFonts w:ascii="Arial" w:eastAsia="Arial" w:hAnsi="Arial" w:cs="Arial"/>
          <w:sz w:val="22"/>
        </w:rPr>
        <w:t>;</w:t>
      </w:r>
      <w:r>
        <w:rPr>
          <w:rFonts w:ascii="Arial" w:eastAsia="Arial" w:hAnsi="Arial" w:cs="Arial"/>
          <w:sz w:val="22"/>
        </w:rPr>
        <w:t xml:space="preserve"> etc.</w:t>
      </w:r>
    </w:p>
    <w:p w14:paraId="472C98A2" w14:textId="77777777" w:rsidR="000B0AA7" w:rsidRDefault="000B0AA7" w:rsidP="000A240C">
      <w:pPr>
        <w:tabs>
          <w:tab w:val="left" w:pos="720"/>
          <w:tab w:val="left" w:pos="1872"/>
        </w:tabs>
        <w:jc w:val="both"/>
        <w:rPr>
          <w:rFonts w:ascii="Arial" w:eastAsia="Arial" w:hAnsi="Arial" w:cs="Arial"/>
        </w:rPr>
      </w:pPr>
    </w:p>
    <w:p w14:paraId="0080D29F" w14:textId="77777777" w:rsidR="00A702A6" w:rsidRDefault="00A702A6" w:rsidP="00172E64">
      <w:pPr>
        <w:pStyle w:val="Heading4"/>
        <w:numPr>
          <w:ilvl w:val="3"/>
          <w:numId w:val="184"/>
        </w:numPr>
        <w:ind w:left="0" w:firstLine="0"/>
      </w:pPr>
      <w:r>
        <w:t xml:space="preserve">Narrow Base Widening (less than 4 feet) </w:t>
      </w:r>
    </w:p>
    <w:p w14:paraId="691CD1C3" w14:textId="071BA994" w:rsidR="00A702A6" w:rsidRDefault="00A702A6" w:rsidP="00A702A6">
      <w:pPr>
        <w:pStyle w:val="BodyText"/>
        <w:spacing w:after="0"/>
        <w:jc w:val="both"/>
      </w:pPr>
      <w:r>
        <w:t xml:space="preserve">For cases where widening is less than four feet, </w:t>
      </w:r>
      <w:smartTag w:uri="urn:schemas-microsoft-com:office:smarttags" w:element="stockticker">
        <w:r>
          <w:t>PCC</w:t>
        </w:r>
      </w:smartTag>
      <w:r>
        <w:t xml:space="preserve"> shall be used as a replacement material.  </w:t>
      </w:r>
      <w:smartTag w:uri="urn:schemas-microsoft-com:office:smarttags" w:element="stockticker">
        <w:r>
          <w:t>PCC</w:t>
        </w:r>
      </w:smartTag>
      <w:r>
        <w:t xml:space="preserve"> </w:t>
      </w:r>
      <w:r w:rsidR="000B0AA7">
        <w:t>M</w:t>
      </w:r>
      <w:r>
        <w:t xml:space="preserve">ix #3 is typically used for curb placement and either </w:t>
      </w:r>
      <w:smartTag w:uri="urn:schemas-microsoft-com:office:smarttags" w:element="stockticker">
        <w:r>
          <w:t>PCC</w:t>
        </w:r>
      </w:smartTag>
      <w:r>
        <w:t xml:space="preserve"> </w:t>
      </w:r>
      <w:r w:rsidR="000B0AA7">
        <w:t>M</w:t>
      </w:r>
      <w:r>
        <w:t xml:space="preserve">ix #9 or </w:t>
      </w:r>
      <w:smartTag w:uri="urn:schemas-microsoft-com:office:smarttags" w:element="stockticker">
        <w:r>
          <w:t>PCC</w:t>
        </w:r>
      </w:smartTag>
      <w:r>
        <w:t xml:space="preserve"> </w:t>
      </w:r>
      <w:r w:rsidR="000B0AA7">
        <w:t>M</w:t>
      </w:r>
      <w:r>
        <w:t xml:space="preserve">ix #7 is used for pavement.  In this case, engineering judgment and the quantity of widening will dictate the selection of the </w:t>
      </w:r>
      <w:smartTag w:uri="urn:schemas-microsoft-com:office:smarttags" w:element="stockticker">
        <w:r>
          <w:t>PCC</w:t>
        </w:r>
      </w:smartTag>
      <w:r>
        <w:t xml:space="preserve"> mix.  If there is a limited amount of widening and the width is small, using </w:t>
      </w:r>
      <w:smartTag w:uri="urn:schemas-microsoft-com:office:smarttags" w:element="stockticker">
        <w:r>
          <w:t>PCC</w:t>
        </w:r>
      </w:smartTag>
      <w:r>
        <w:t xml:space="preserve"> mix #3 is reasonable.  If there is a substantial quantity of widening and the width is 3</w:t>
      </w:r>
      <w:r w:rsidR="000B0AA7">
        <w:t xml:space="preserve">+ </w:t>
      </w:r>
      <w:r>
        <w:t>ft</w:t>
      </w:r>
      <w:r w:rsidR="00CF65CA">
        <w:t>.</w:t>
      </w:r>
      <w:r>
        <w:t xml:space="preserve">, then </w:t>
      </w:r>
      <w:r w:rsidR="000B0AA7">
        <w:t>M</w:t>
      </w:r>
      <w:r>
        <w:t xml:space="preserve">ix #9 is appropriate.  The quantity is critical because it will involve the introduction of another material on the project.  The joints in the narrow widening shall match those placed for the new curb.  No steel reinforcement or dowel bars shall be used in the </w:t>
      </w:r>
      <w:smartTag w:uri="urn:schemas-microsoft-com:office:smarttags" w:element="stockticker">
        <w:r>
          <w:t>PCC</w:t>
        </w:r>
      </w:smartTag>
      <w:r>
        <w:t xml:space="preserve"> for narrow widening.  </w:t>
      </w:r>
    </w:p>
    <w:p w14:paraId="11A801EE" w14:textId="77777777" w:rsidR="00A702A6" w:rsidRDefault="00A702A6" w:rsidP="00A702A6"/>
    <w:p w14:paraId="755ECF77" w14:textId="77777777" w:rsidR="00A702A6" w:rsidRDefault="00A702A6" w:rsidP="00A702A6">
      <w:pPr>
        <w:jc w:val="both"/>
        <w:rPr>
          <w:rFonts w:ascii="Arial" w:hAnsi="Arial"/>
        </w:rPr>
      </w:pPr>
    </w:p>
    <w:p w14:paraId="5149F76C" w14:textId="77777777" w:rsidR="00A702A6" w:rsidRDefault="00A702A6" w:rsidP="00A702A6">
      <w:pPr>
        <w:jc w:val="both"/>
        <w:rPr>
          <w:rFonts w:ascii="Arial" w:hAnsi="Arial"/>
        </w:rPr>
      </w:pPr>
    </w:p>
    <w:p w14:paraId="1DA5D95B" w14:textId="77777777" w:rsidR="004E22F4" w:rsidRDefault="004E22F4" w:rsidP="004E22F4"/>
    <w:p w14:paraId="7E9039D8" w14:textId="77777777" w:rsidR="002744D8" w:rsidRDefault="002744D8" w:rsidP="00DD1953">
      <w:pPr>
        <w:pStyle w:val="Heading3"/>
        <w:numPr>
          <w:ilvl w:val="0"/>
          <w:numId w:val="0"/>
        </w:numPr>
        <w:sectPr w:rsidR="002744D8" w:rsidSect="008445BF">
          <w:headerReference w:type="default" r:id="rId233"/>
          <w:footerReference w:type="default" r:id="rId234"/>
          <w:pgSz w:w="12240" w:h="15840"/>
          <w:pgMar w:top="1440" w:right="1800" w:bottom="1440" w:left="1800" w:header="720" w:footer="720" w:gutter="0"/>
          <w:pgNumType w:chapStyle="1"/>
          <w:cols w:space="720"/>
          <w:docGrid w:linePitch="272"/>
        </w:sectPr>
      </w:pPr>
      <w:r>
        <w:br w:type="page"/>
      </w:r>
    </w:p>
    <w:p w14:paraId="7E07FFBD" w14:textId="0F83A926" w:rsidR="002E3FE9" w:rsidRDefault="002E3FE9" w:rsidP="00172E64">
      <w:pPr>
        <w:pStyle w:val="Heading2"/>
        <w:numPr>
          <w:ilvl w:val="1"/>
          <w:numId w:val="184"/>
        </w:numPr>
        <w:ind w:left="0" w:firstLine="0"/>
      </w:pPr>
      <w:bookmarkStart w:id="492" w:name="_New_Pavement_Design"/>
      <w:bookmarkStart w:id="493" w:name="_Quantity_&amp;_Cost"/>
      <w:bookmarkStart w:id="494" w:name="_Toc479160110"/>
      <w:bookmarkStart w:id="495" w:name="_Toc514057998"/>
      <w:bookmarkStart w:id="496" w:name="_Toc194932394"/>
      <w:bookmarkEnd w:id="492"/>
      <w:bookmarkEnd w:id="493"/>
      <w:r>
        <w:lastRenderedPageBreak/>
        <w:t>Quantity &amp; Cost Development</w:t>
      </w:r>
      <w:bookmarkEnd w:id="494"/>
      <w:bookmarkEnd w:id="495"/>
      <w:bookmarkEnd w:id="496"/>
    </w:p>
    <w:p w14:paraId="13EAE1A3"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34DED3F3" w14:textId="77777777" w:rsidR="00015FB5" w:rsidRDefault="00015FB5" w:rsidP="00172E64">
      <w:pPr>
        <w:pStyle w:val="Heading3"/>
        <w:numPr>
          <w:ilvl w:val="2"/>
          <w:numId w:val="184"/>
        </w:numPr>
        <w:ind w:left="0" w:firstLine="0"/>
      </w:pPr>
      <w:r>
        <w:t>Purpose</w:t>
      </w:r>
    </w:p>
    <w:p w14:paraId="6375F1C8" w14:textId="4B453CE0" w:rsidR="00015FB5" w:rsidRDefault="00015FB5" w:rsidP="00015FB5">
      <w:pPr>
        <w:pStyle w:val="BodyText"/>
        <w:jc w:val="both"/>
      </w:pPr>
      <w:r>
        <w:t>Quantities and costs are developed for each project to:</w:t>
      </w:r>
    </w:p>
    <w:p w14:paraId="3EC98410" w14:textId="3A3D3A5D" w:rsidR="00015FB5" w:rsidRPr="00CC5DB3" w:rsidRDefault="00015FB5" w:rsidP="00557A8B">
      <w:pPr>
        <w:numPr>
          <w:ilvl w:val="0"/>
          <w:numId w:val="17"/>
        </w:numPr>
        <w:tabs>
          <w:tab w:val="clear" w:pos="360"/>
          <w:tab w:val="num" w:pos="-2376"/>
        </w:tabs>
        <w:ind w:left="720" w:hanging="720"/>
        <w:jc w:val="both"/>
        <w:rPr>
          <w:rFonts w:ascii="Arial" w:hAnsi="Arial"/>
          <w:sz w:val="22"/>
          <w:szCs w:val="22"/>
        </w:rPr>
      </w:pPr>
      <w:r w:rsidRPr="00CC5DB3">
        <w:rPr>
          <w:rFonts w:ascii="Arial" w:hAnsi="Arial"/>
          <w:sz w:val="22"/>
          <w:szCs w:val="22"/>
        </w:rPr>
        <w:t xml:space="preserve">Provide the Project Owner an estimate of the cost </w:t>
      </w:r>
      <w:r>
        <w:rPr>
          <w:rFonts w:ascii="Arial" w:hAnsi="Arial"/>
          <w:sz w:val="22"/>
          <w:szCs w:val="22"/>
        </w:rPr>
        <w:t>for pavement-related items</w:t>
      </w:r>
    </w:p>
    <w:p w14:paraId="53DC1DB2" w14:textId="59F4C538" w:rsidR="00015FB5" w:rsidRPr="00CC5DB3" w:rsidRDefault="00015FB5" w:rsidP="00557A8B">
      <w:pPr>
        <w:numPr>
          <w:ilvl w:val="0"/>
          <w:numId w:val="17"/>
        </w:numPr>
        <w:tabs>
          <w:tab w:val="clear" w:pos="360"/>
          <w:tab w:val="num" w:pos="-2376"/>
        </w:tabs>
        <w:ind w:left="720" w:hanging="720"/>
        <w:jc w:val="both"/>
        <w:rPr>
          <w:rFonts w:ascii="Arial" w:hAnsi="Arial"/>
          <w:sz w:val="22"/>
          <w:szCs w:val="22"/>
        </w:rPr>
      </w:pPr>
      <w:r>
        <w:rPr>
          <w:rFonts w:ascii="Arial" w:hAnsi="Arial"/>
          <w:sz w:val="22"/>
          <w:szCs w:val="22"/>
        </w:rPr>
        <w:t>Provide a basis to compare multiple treatment options</w:t>
      </w:r>
      <w:r w:rsidRPr="00CC5DB3">
        <w:rPr>
          <w:rFonts w:ascii="Arial" w:hAnsi="Arial"/>
          <w:sz w:val="22"/>
          <w:szCs w:val="22"/>
        </w:rPr>
        <w:t xml:space="preserve"> </w:t>
      </w:r>
    </w:p>
    <w:p w14:paraId="3E6C253C" w14:textId="77777777" w:rsidR="00015FB5" w:rsidRDefault="00015FB5" w:rsidP="00172E64">
      <w:pPr>
        <w:pStyle w:val="Heading3"/>
        <w:numPr>
          <w:ilvl w:val="2"/>
          <w:numId w:val="184"/>
        </w:numPr>
        <w:ind w:left="0" w:firstLine="0"/>
        <w:jc w:val="both"/>
      </w:pPr>
      <w:r>
        <w:t>Resource Requirements</w:t>
      </w:r>
    </w:p>
    <w:p w14:paraId="55DD3408" w14:textId="77777777" w:rsidR="00015FB5" w:rsidRDefault="00015FB5" w:rsidP="00015FB5">
      <w:pPr>
        <w:pStyle w:val="BodyText"/>
        <w:jc w:val="both"/>
      </w:pPr>
      <w:r>
        <w:t>The quantity and cost estimate procedure documented below requires approximately two man-hours of effort by the project engineer.</w:t>
      </w:r>
    </w:p>
    <w:p w14:paraId="2221EA74" w14:textId="77777777" w:rsidR="00015FB5" w:rsidRDefault="00015FB5" w:rsidP="00172E64">
      <w:pPr>
        <w:pStyle w:val="Heading3"/>
        <w:numPr>
          <w:ilvl w:val="2"/>
          <w:numId w:val="184"/>
        </w:numPr>
        <w:ind w:left="0" w:firstLine="0"/>
        <w:jc w:val="both"/>
      </w:pPr>
      <w:r>
        <w:t>Procedure</w:t>
      </w:r>
    </w:p>
    <w:p w14:paraId="0A2C2BED" w14:textId="1E3EE178" w:rsidR="00293753" w:rsidRPr="00726D2D" w:rsidRDefault="00015FB5" w:rsidP="00015FB5">
      <w:pPr>
        <w:pStyle w:val="BodyText"/>
        <w:jc w:val="both"/>
      </w:pPr>
      <w:r w:rsidRPr="00D73B1B">
        <w:t xml:space="preserve">The procedure described in the following text should be followed to complete a </w:t>
      </w:r>
      <w:r w:rsidR="00D73B1B" w:rsidRPr="00D73B1B">
        <w:t>quantity and</w:t>
      </w:r>
      <w:r w:rsidRPr="00D73B1B">
        <w:t xml:space="preserve"> cost estimate.  The majority of the effort in this process to develop the cost estimate value is done within </w:t>
      </w:r>
      <w:hyperlink r:id="rId235" w:history="1">
        <w:r w:rsidR="007E3B02" w:rsidRPr="007E3B02">
          <w:rPr>
            <w:rStyle w:val="Hyperlink"/>
          </w:rPr>
          <w:t>PDS-03 - Costs &amp; Quantities</w:t>
        </w:r>
      </w:hyperlink>
      <w:r w:rsidR="00D73B1B" w:rsidRPr="00D73B1B">
        <w:t xml:space="preserve">, on the Quantities &amp; Costs worksheet. </w:t>
      </w:r>
      <w:r w:rsidRPr="00D73B1B">
        <w:t xml:space="preserve"> This effort will involve entering</w:t>
      </w:r>
      <w:r w:rsidR="00D73B1B" w:rsidRPr="00D73B1B">
        <w:t xml:space="preserve"> or verifying</w:t>
      </w:r>
      <w:r w:rsidRPr="00D73B1B">
        <w:t xml:space="preserve"> </w:t>
      </w:r>
      <w:r w:rsidR="00D73B1B" w:rsidRPr="00D73B1B">
        <w:t xml:space="preserve">project geometry quantities, various material areas and thicknesses, and unit costs.  </w:t>
      </w:r>
      <w:r w:rsidRPr="00D73B1B">
        <w:t xml:space="preserve">This will result in </w:t>
      </w:r>
      <w:r w:rsidR="00D73B1B" w:rsidRPr="00D73B1B">
        <w:t>projected quan</w:t>
      </w:r>
      <w:r w:rsidR="00D73B1B" w:rsidRPr="00726D2D">
        <w:t xml:space="preserve">tities </w:t>
      </w:r>
      <w:r w:rsidR="00A06704">
        <w:t xml:space="preserve">for </w:t>
      </w:r>
      <w:r w:rsidR="00D73B1B" w:rsidRPr="00726D2D">
        <w:t>pavement-related bid items, as well as costs for those</w:t>
      </w:r>
      <w:r w:rsidR="00A06704">
        <w:t>,</w:t>
      </w:r>
      <w:r w:rsidR="00D73B1B" w:rsidRPr="00726D2D">
        <w:t xml:space="preserve"> and an overall cost.</w:t>
      </w:r>
      <w:r w:rsidRPr="00726D2D">
        <w:t xml:space="preserve">    </w:t>
      </w:r>
    </w:p>
    <w:p w14:paraId="5B9DD706" w14:textId="6D5C7030" w:rsidR="001A15B9" w:rsidRDefault="00293753" w:rsidP="00172E64">
      <w:pPr>
        <w:pStyle w:val="ListNumber"/>
        <w:numPr>
          <w:ilvl w:val="0"/>
          <w:numId w:val="83"/>
        </w:numPr>
        <w:tabs>
          <w:tab w:val="clear" w:pos="1872"/>
          <w:tab w:val="num" w:pos="1080"/>
        </w:tabs>
        <w:spacing w:before="240"/>
        <w:ind w:left="1080" w:hanging="1080"/>
        <w:jc w:val="both"/>
      </w:pPr>
      <w:r w:rsidRPr="00726D2D">
        <w:t xml:space="preserve">Open </w:t>
      </w:r>
      <w:hyperlink r:id="rId236" w:history="1">
        <w:r w:rsidR="00824EAD" w:rsidRPr="007E3B02">
          <w:rPr>
            <w:rStyle w:val="Hyperlink"/>
          </w:rPr>
          <w:t>PDS-03</w:t>
        </w:r>
        <w:r w:rsidR="00A06704" w:rsidRPr="00A06704">
          <w:rPr>
            <w:rStyle w:val="Hyperlink"/>
          </w:rPr>
          <w:t xml:space="preserve"> – </w:t>
        </w:r>
        <w:r w:rsidR="00824EAD" w:rsidRPr="007E3B02">
          <w:rPr>
            <w:rStyle w:val="Hyperlink"/>
          </w:rPr>
          <w:t>Costs &amp; Quantities</w:t>
        </w:r>
      </w:hyperlink>
      <w:r w:rsidRPr="00726D2D">
        <w:t xml:space="preserve">, and go to the Quantities and Costs worksheet.  </w:t>
      </w:r>
      <w:r w:rsidR="006D23BA" w:rsidRPr="00726D2D">
        <w:t>For each section, input/verify the number of lanes, section length, mainline width</w:t>
      </w:r>
      <w:r w:rsidR="00A06704">
        <w:t>,</w:t>
      </w:r>
      <w:r w:rsidR="006D23BA" w:rsidRPr="00726D2D">
        <w:t xml:space="preserve"> and </w:t>
      </w:r>
      <w:r w:rsidR="006D23BA" w:rsidRPr="00AE6AAC">
        <w:t>shoulder width.</w:t>
      </w:r>
    </w:p>
    <w:p w14:paraId="514ED64C" w14:textId="77777777" w:rsidR="001A15B9" w:rsidRDefault="00AE6AAC" w:rsidP="00172E64">
      <w:pPr>
        <w:pStyle w:val="ListNumber"/>
        <w:numPr>
          <w:ilvl w:val="0"/>
          <w:numId w:val="83"/>
        </w:numPr>
        <w:tabs>
          <w:tab w:val="clear" w:pos="1872"/>
          <w:tab w:val="num" w:pos="1080"/>
        </w:tabs>
        <w:ind w:left="1080" w:hanging="1080"/>
        <w:jc w:val="both"/>
      </w:pPr>
      <w:r w:rsidRPr="00AE6AAC">
        <w:t xml:space="preserve">Input patching quantities, developed following the procedure in </w:t>
      </w:r>
      <w:hyperlink w:anchor="_Pre-Overlay_Repair_Guidelines" w:history="1">
        <w:r w:rsidRPr="00AE6AAC">
          <w:rPr>
            <w:rStyle w:val="Hyperlink"/>
          </w:rPr>
          <w:t>Pre-Overlay Repair Guidelines</w:t>
        </w:r>
      </w:hyperlink>
      <w:r w:rsidRPr="00AE6AAC">
        <w:t>.  Provide both thickness and area.</w:t>
      </w:r>
    </w:p>
    <w:p w14:paraId="588008A2" w14:textId="0E48D91A" w:rsidR="001A15B9" w:rsidRDefault="00AE6AAC" w:rsidP="00172E64">
      <w:pPr>
        <w:pStyle w:val="ListNumber"/>
        <w:numPr>
          <w:ilvl w:val="0"/>
          <w:numId w:val="83"/>
        </w:numPr>
        <w:tabs>
          <w:tab w:val="clear" w:pos="1872"/>
          <w:tab w:val="num" w:pos="1080"/>
        </w:tabs>
        <w:ind w:left="1080" w:hanging="1080"/>
        <w:jc w:val="both"/>
      </w:pPr>
      <w:r w:rsidRPr="00AE6AAC">
        <w:t xml:space="preserve">Provide </w:t>
      </w:r>
      <w:r w:rsidR="00B913D8">
        <w:t>mill</w:t>
      </w:r>
      <w:r w:rsidRPr="00AE6AAC">
        <w:t>ing depth, if applicable.</w:t>
      </w:r>
    </w:p>
    <w:p w14:paraId="42D825B0" w14:textId="77777777" w:rsidR="001A15B9" w:rsidRDefault="00AE6AAC" w:rsidP="00172E64">
      <w:pPr>
        <w:pStyle w:val="ListNumber"/>
        <w:numPr>
          <w:ilvl w:val="0"/>
          <w:numId w:val="83"/>
        </w:numPr>
        <w:tabs>
          <w:tab w:val="clear" w:pos="1872"/>
          <w:tab w:val="num" w:pos="1080"/>
        </w:tabs>
        <w:ind w:left="1080" w:hanging="1080"/>
        <w:jc w:val="both"/>
      </w:pPr>
      <w:r w:rsidRPr="00AE6AAC">
        <w:t xml:space="preserve">Provide </w:t>
      </w:r>
      <w:r w:rsidRPr="00AE6AAC">
        <w:rPr>
          <w:b/>
        </w:rPr>
        <w:t>total</w:t>
      </w:r>
      <w:r w:rsidRPr="00AE6AAC">
        <w:t xml:space="preserve"> thickness for each material type to be used in the section. </w:t>
      </w:r>
    </w:p>
    <w:p w14:paraId="792AADEC" w14:textId="1BBD7112" w:rsidR="001A15B9" w:rsidRDefault="00AE6AAC" w:rsidP="00172E64">
      <w:pPr>
        <w:pStyle w:val="ListNumber"/>
        <w:numPr>
          <w:ilvl w:val="0"/>
          <w:numId w:val="83"/>
        </w:numPr>
        <w:tabs>
          <w:tab w:val="clear" w:pos="1872"/>
          <w:tab w:val="num" w:pos="1080"/>
        </w:tabs>
        <w:ind w:left="1080" w:hanging="1080"/>
        <w:jc w:val="both"/>
      </w:pPr>
      <w:r w:rsidRPr="00AE6AAC">
        <w:t>If the section will use HMA, input the thickness of the base</w:t>
      </w:r>
      <w:r w:rsidR="00A06704">
        <w:t>,</w:t>
      </w:r>
      <w:r w:rsidRPr="00AE6AAC">
        <w:t xml:space="preserve"> wedge/level</w:t>
      </w:r>
      <w:r w:rsidR="00A06704">
        <w:t>,</w:t>
      </w:r>
      <w:r w:rsidRPr="00AE6AAC">
        <w:t xml:space="preserve"> and surface HMA layers</w:t>
      </w:r>
      <w:r w:rsidR="00A06704" w:rsidRPr="00AE6AAC">
        <w:t>,</w:t>
      </w:r>
      <w:r w:rsidR="00A06704" w:rsidRPr="00A06704">
        <w:t xml:space="preserve"> </w:t>
      </w:r>
      <w:r w:rsidR="00A06704" w:rsidRPr="00AE6AAC">
        <w:t>where applicable</w:t>
      </w:r>
      <w:r w:rsidRPr="00AE6AAC">
        <w:t>.</w:t>
      </w:r>
    </w:p>
    <w:p w14:paraId="755F2088" w14:textId="77777777" w:rsidR="001A15B9" w:rsidRDefault="00AE6AAC" w:rsidP="00172E64">
      <w:pPr>
        <w:pStyle w:val="ListNumber"/>
        <w:numPr>
          <w:ilvl w:val="0"/>
          <w:numId w:val="83"/>
        </w:numPr>
        <w:tabs>
          <w:tab w:val="clear" w:pos="1872"/>
          <w:tab w:val="num" w:pos="1080"/>
        </w:tabs>
        <w:ind w:left="1080" w:hanging="1080"/>
        <w:jc w:val="both"/>
      </w:pPr>
      <w:r>
        <w:t xml:space="preserve">If the section will have an HMA surface layer, identify whether that layer will consist of Gap-Graded, PG </w:t>
      </w:r>
      <w:r w:rsidR="00824EAD">
        <w:t>64E</w:t>
      </w:r>
      <w:r>
        <w:t xml:space="preserve">-22 or HDFV, in that hierarchy.  For example, if Gap-Graded will be used, it will not matter if PG </w:t>
      </w:r>
      <w:r w:rsidR="00824EAD">
        <w:t>64E</w:t>
      </w:r>
      <w:r>
        <w:t>-22 or HDFV is used.</w:t>
      </w:r>
    </w:p>
    <w:p w14:paraId="5D6FED87" w14:textId="77777777" w:rsidR="001A15B9" w:rsidRDefault="00AE6AAC" w:rsidP="00172E64">
      <w:pPr>
        <w:pStyle w:val="ListNumber"/>
        <w:numPr>
          <w:ilvl w:val="0"/>
          <w:numId w:val="83"/>
        </w:numPr>
        <w:tabs>
          <w:tab w:val="clear" w:pos="1872"/>
          <w:tab w:val="num" w:pos="1080"/>
        </w:tabs>
        <w:ind w:left="1080" w:hanging="1080"/>
        <w:jc w:val="both"/>
      </w:pPr>
      <w:r>
        <w:t>Input whether wedge/level will be used on the shoulder.</w:t>
      </w:r>
    </w:p>
    <w:p w14:paraId="29F83214" w14:textId="2F09FAD4" w:rsidR="001A15B9" w:rsidRDefault="00AE6AAC" w:rsidP="00172E64">
      <w:pPr>
        <w:pStyle w:val="ListNumber"/>
        <w:numPr>
          <w:ilvl w:val="0"/>
          <w:numId w:val="83"/>
        </w:numPr>
        <w:tabs>
          <w:tab w:val="clear" w:pos="1872"/>
          <w:tab w:val="num" w:pos="1080"/>
        </w:tabs>
        <w:ind w:left="1080" w:hanging="1080"/>
        <w:jc w:val="both"/>
      </w:pPr>
      <w:r w:rsidRPr="001A26E5">
        <w:t xml:space="preserve">Input the quantities </w:t>
      </w:r>
      <w:r w:rsidR="00A06704">
        <w:t xml:space="preserve">of </w:t>
      </w:r>
      <w:r w:rsidRPr="001A26E5">
        <w:t>any other miscellaneous items.</w:t>
      </w:r>
    </w:p>
    <w:p w14:paraId="31A60188" w14:textId="4DA782F9" w:rsidR="001A15B9" w:rsidRDefault="00AE6AAC" w:rsidP="00172E64">
      <w:pPr>
        <w:pStyle w:val="ListNumber"/>
        <w:numPr>
          <w:ilvl w:val="0"/>
          <w:numId w:val="83"/>
        </w:numPr>
        <w:tabs>
          <w:tab w:val="clear" w:pos="1872"/>
          <w:tab w:val="num" w:pos="1080"/>
        </w:tabs>
        <w:ind w:left="1080" w:hanging="1080"/>
        <w:jc w:val="both"/>
      </w:pPr>
      <w:r>
        <w:t>In most cases, unit costs</w:t>
      </w:r>
      <w:r w:rsidR="00AA4FFC">
        <w:t xml:space="preserve"> will be compute</w:t>
      </w:r>
      <w:r w:rsidR="00A06704">
        <w:t>d</w:t>
      </w:r>
      <w:r w:rsidR="00AA4FFC">
        <w:t xml:space="preserve"> automatically.  Verify that those unit costs are reasonable.</w:t>
      </w:r>
    </w:p>
    <w:p w14:paraId="48959732" w14:textId="77777777" w:rsidR="001A15B9" w:rsidRDefault="00AA4FFC" w:rsidP="00172E64">
      <w:pPr>
        <w:pStyle w:val="ListNumber"/>
        <w:numPr>
          <w:ilvl w:val="0"/>
          <w:numId w:val="83"/>
        </w:numPr>
        <w:tabs>
          <w:tab w:val="clear" w:pos="1872"/>
          <w:tab w:val="num" w:pos="1080"/>
        </w:tabs>
        <w:ind w:left="1080" w:hanging="1080"/>
        <w:jc w:val="both"/>
      </w:pPr>
      <w:r>
        <w:t>Input the missing unit costs for any other miscellaneous items.</w:t>
      </w:r>
    </w:p>
    <w:p w14:paraId="2DD63C5F" w14:textId="77777777" w:rsidR="001A15B9" w:rsidRDefault="00AA4FFC" w:rsidP="00172E64">
      <w:pPr>
        <w:pStyle w:val="ListNumber"/>
        <w:numPr>
          <w:ilvl w:val="0"/>
          <w:numId w:val="83"/>
        </w:numPr>
        <w:tabs>
          <w:tab w:val="clear" w:pos="1872"/>
          <w:tab w:val="num" w:pos="1080"/>
        </w:tabs>
        <w:ind w:left="1080" w:hanging="1080"/>
        <w:jc w:val="both"/>
      </w:pPr>
      <w:r>
        <w:t>Select the chosen option for each section, by typing “Yes” in that column for the “Chosen Option?” row.</w:t>
      </w:r>
    </w:p>
    <w:p w14:paraId="0ED6CEDF" w14:textId="77777777" w:rsidR="001A15B9" w:rsidRDefault="00AA4FFC" w:rsidP="00172E64">
      <w:pPr>
        <w:pStyle w:val="ListNumber"/>
        <w:numPr>
          <w:ilvl w:val="0"/>
          <w:numId w:val="83"/>
        </w:numPr>
        <w:tabs>
          <w:tab w:val="clear" w:pos="1872"/>
          <w:tab w:val="num" w:pos="1080"/>
        </w:tabs>
        <w:ind w:left="1080" w:hanging="1080"/>
        <w:jc w:val="both"/>
      </w:pPr>
      <w:r>
        <w:t>Input the total costs for non-paving items, obtained from the project manager.</w:t>
      </w:r>
    </w:p>
    <w:p w14:paraId="61CB09FD" w14:textId="77777777" w:rsidR="001A15B9" w:rsidRDefault="00AA4FFC" w:rsidP="00172E64">
      <w:pPr>
        <w:pStyle w:val="ListNumber"/>
        <w:numPr>
          <w:ilvl w:val="0"/>
          <w:numId w:val="83"/>
        </w:numPr>
        <w:tabs>
          <w:tab w:val="clear" w:pos="1872"/>
          <w:tab w:val="num" w:pos="1080"/>
        </w:tabs>
        <w:ind w:left="1080" w:hanging="1080"/>
        <w:jc w:val="both"/>
      </w:pPr>
      <w:r>
        <w:t xml:space="preserve">The total cost is thus calculated, and can be transferred for </w:t>
      </w:r>
      <w:hyperlink w:anchor="_Remaining_Service_Life" w:history="1">
        <w:r w:rsidRPr="00AA4FFC">
          <w:rPr>
            <w:rStyle w:val="Hyperlink"/>
          </w:rPr>
          <w:t>RSL analysis</w:t>
        </w:r>
      </w:hyperlink>
      <w:r>
        <w:t>.</w:t>
      </w:r>
    </w:p>
    <w:p w14:paraId="454B2BF7" w14:textId="77777777" w:rsidR="002E3FE9" w:rsidRPr="00AE6AAC" w:rsidRDefault="002E3FE9" w:rsidP="00172E64">
      <w:pPr>
        <w:pStyle w:val="ListNumber"/>
        <w:numPr>
          <w:ilvl w:val="0"/>
          <w:numId w:val="83"/>
        </w:numPr>
        <w:tabs>
          <w:tab w:val="clear" w:pos="1872"/>
          <w:tab w:val="num" w:pos="1152"/>
        </w:tabs>
        <w:ind w:left="1152"/>
        <w:jc w:val="both"/>
        <w:sectPr w:rsidR="002E3FE9" w:rsidRPr="00AE6AAC" w:rsidSect="008445BF">
          <w:headerReference w:type="default" r:id="rId237"/>
          <w:footerReference w:type="default" r:id="rId238"/>
          <w:type w:val="continuous"/>
          <w:pgSz w:w="12240" w:h="15840"/>
          <w:pgMar w:top="1440" w:right="1800" w:bottom="1440" w:left="1800" w:header="720" w:footer="720" w:gutter="0"/>
          <w:pgNumType w:chapStyle="1"/>
          <w:cols w:space="720"/>
          <w:docGrid w:linePitch="272"/>
        </w:sectPr>
      </w:pPr>
    </w:p>
    <w:p w14:paraId="6FE282A3" w14:textId="43864F38" w:rsidR="002E3FE9" w:rsidRDefault="002E3FE9" w:rsidP="00172E64">
      <w:pPr>
        <w:pStyle w:val="Heading2"/>
        <w:numPr>
          <w:ilvl w:val="1"/>
          <w:numId w:val="184"/>
        </w:numPr>
        <w:ind w:left="0" w:firstLine="0"/>
      </w:pPr>
      <w:bookmarkStart w:id="497" w:name="_Remaining_Service_Life"/>
      <w:bookmarkStart w:id="498" w:name="_Toc479160111"/>
      <w:bookmarkStart w:id="499" w:name="_Toc514057999"/>
      <w:bookmarkStart w:id="500" w:name="_Toc194932395"/>
      <w:bookmarkEnd w:id="497"/>
      <w:r>
        <w:lastRenderedPageBreak/>
        <w:t>Remaining Service Life Analysis</w:t>
      </w:r>
      <w:bookmarkEnd w:id="498"/>
      <w:bookmarkEnd w:id="499"/>
      <w:bookmarkEnd w:id="500"/>
    </w:p>
    <w:p w14:paraId="5FBA943C" w14:textId="77777777" w:rsidR="003E1207" w:rsidRDefault="003E1207" w:rsidP="003E1207">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iscussion/Selection_Alternative_wi_1" w:history="1">
        <w:r w:rsidRPr="003E1207">
          <w:rPr>
            <w:rStyle w:val="Hyperlink"/>
            <w:rFonts w:ascii="Arial" w:hAnsi="Arial" w:cs="Arial"/>
            <w:bCs/>
            <w:sz w:val="16"/>
            <w:szCs w:val="16"/>
          </w:rPr>
          <w:t>Discussion/Selection Alternative with Project Owner</w:t>
        </w:r>
      </w:hyperlink>
    </w:p>
    <w:p w14:paraId="13D5A6BA" w14:textId="77777777" w:rsidR="00DF4794" w:rsidRPr="008F604D" w:rsidRDefault="00DF4794" w:rsidP="00DF4794">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Mechanistic-Empirical_Anal" w:history="1">
        <w:r w:rsidRPr="00DF4794">
          <w:rPr>
            <w:rStyle w:val="Hyperlink"/>
            <w:rFonts w:ascii="Arial" w:hAnsi="Arial" w:cs="Arial"/>
            <w:bCs/>
            <w:sz w:val="16"/>
            <w:szCs w:val="16"/>
          </w:rPr>
          <w:t>Pavement Mechanistic-Empirical Analysis</w:t>
        </w:r>
      </w:hyperlink>
    </w:p>
    <w:p w14:paraId="0669FAC0" w14:textId="77777777" w:rsidR="00BD53EA" w:rsidRDefault="00BD53EA" w:rsidP="00172E64">
      <w:pPr>
        <w:pStyle w:val="Heading3"/>
        <w:numPr>
          <w:ilvl w:val="2"/>
          <w:numId w:val="184"/>
        </w:numPr>
        <w:tabs>
          <w:tab w:val="left" w:pos="1440"/>
        </w:tabs>
        <w:ind w:left="0" w:firstLine="0"/>
      </w:pPr>
      <w:r>
        <w:t>Purpose</w:t>
      </w:r>
    </w:p>
    <w:p w14:paraId="2AC54EAD" w14:textId="77777777" w:rsidR="00BD53EA" w:rsidRDefault="00BD53EA" w:rsidP="00BD53EA">
      <w:pPr>
        <w:pStyle w:val="BodyText"/>
        <w:jc w:val="both"/>
      </w:pPr>
      <w:r>
        <w:t>Remaining Service Life Analysis (RSL) is performed on each Fund 77 project to:</w:t>
      </w:r>
    </w:p>
    <w:p w14:paraId="6E67FBCA" w14:textId="12C9E9BB" w:rsidR="00BD53EA" w:rsidRDefault="00BD53EA" w:rsidP="00557A8B">
      <w:pPr>
        <w:numPr>
          <w:ilvl w:val="0"/>
          <w:numId w:val="17"/>
        </w:numPr>
        <w:tabs>
          <w:tab w:val="clear" w:pos="360"/>
          <w:tab w:val="num" w:pos="-2376"/>
        </w:tabs>
        <w:ind w:left="720" w:hanging="720"/>
        <w:jc w:val="both"/>
        <w:rPr>
          <w:rFonts w:ascii="Arial" w:hAnsi="Arial"/>
          <w:sz w:val="22"/>
          <w:szCs w:val="22"/>
        </w:rPr>
      </w:pPr>
      <w:r>
        <w:rPr>
          <w:rFonts w:ascii="Arial" w:hAnsi="Arial"/>
          <w:sz w:val="22"/>
          <w:szCs w:val="22"/>
        </w:rPr>
        <w:t>Identify which distress type (i.e.</w:t>
      </w:r>
      <w:r w:rsidR="00A06704">
        <w:rPr>
          <w:rFonts w:ascii="Arial" w:hAnsi="Arial"/>
          <w:sz w:val="22"/>
          <w:szCs w:val="22"/>
        </w:rPr>
        <w:t>,</w:t>
      </w:r>
      <w:r>
        <w:rPr>
          <w:rFonts w:ascii="Arial" w:hAnsi="Arial"/>
          <w:sz w:val="22"/>
          <w:szCs w:val="22"/>
        </w:rPr>
        <w:t xml:space="preserve"> ride quality, cracking, rutting</w:t>
      </w:r>
      <w:r w:rsidR="00A06704">
        <w:rPr>
          <w:rFonts w:ascii="Arial" w:hAnsi="Arial"/>
          <w:sz w:val="22"/>
          <w:szCs w:val="22"/>
        </w:rPr>
        <w:t>,</w:t>
      </w:r>
      <w:r>
        <w:rPr>
          <w:rFonts w:ascii="Arial" w:hAnsi="Arial"/>
          <w:sz w:val="22"/>
          <w:szCs w:val="22"/>
        </w:rPr>
        <w:t xml:space="preserve"> and friction) will control the design</w:t>
      </w:r>
    </w:p>
    <w:p w14:paraId="26337663" w14:textId="671855DE" w:rsidR="00BD53EA" w:rsidRDefault="00BD53EA" w:rsidP="00557A8B">
      <w:pPr>
        <w:numPr>
          <w:ilvl w:val="0"/>
          <w:numId w:val="17"/>
        </w:numPr>
        <w:tabs>
          <w:tab w:val="clear" w:pos="360"/>
          <w:tab w:val="num" w:pos="-2376"/>
        </w:tabs>
        <w:ind w:left="720" w:hanging="720"/>
        <w:jc w:val="both"/>
        <w:rPr>
          <w:rFonts w:ascii="Arial" w:hAnsi="Arial"/>
          <w:sz w:val="22"/>
          <w:szCs w:val="22"/>
        </w:rPr>
      </w:pPr>
      <w:r>
        <w:rPr>
          <w:rFonts w:ascii="Arial" w:hAnsi="Arial"/>
          <w:sz w:val="22"/>
          <w:szCs w:val="22"/>
        </w:rPr>
        <w:t>Help the engineer determine how much benefit each considered treatment will provide</w:t>
      </w:r>
    </w:p>
    <w:p w14:paraId="1F516D23" w14:textId="2BA30290" w:rsidR="00BD53EA" w:rsidRPr="00CC5DB3" w:rsidRDefault="00BD53EA" w:rsidP="00557A8B">
      <w:pPr>
        <w:numPr>
          <w:ilvl w:val="0"/>
          <w:numId w:val="17"/>
        </w:numPr>
        <w:tabs>
          <w:tab w:val="clear" w:pos="360"/>
          <w:tab w:val="num" w:pos="-2376"/>
        </w:tabs>
        <w:ind w:left="720" w:hanging="720"/>
        <w:jc w:val="both"/>
        <w:rPr>
          <w:rFonts w:ascii="Arial" w:hAnsi="Arial"/>
          <w:sz w:val="22"/>
          <w:szCs w:val="22"/>
        </w:rPr>
      </w:pPr>
      <w:r>
        <w:rPr>
          <w:rFonts w:ascii="Arial" w:hAnsi="Arial"/>
          <w:sz w:val="22"/>
          <w:szCs w:val="22"/>
        </w:rPr>
        <w:t>Provide a basis to compare multiple treatment options, once cost is calculated</w:t>
      </w:r>
      <w:r w:rsidRPr="00CC5DB3">
        <w:rPr>
          <w:rFonts w:ascii="Arial" w:hAnsi="Arial"/>
          <w:sz w:val="22"/>
          <w:szCs w:val="22"/>
        </w:rPr>
        <w:t xml:space="preserve"> </w:t>
      </w:r>
    </w:p>
    <w:p w14:paraId="11D4A1E6" w14:textId="77777777" w:rsidR="00BD53EA" w:rsidRDefault="00BD53EA" w:rsidP="00172E64">
      <w:pPr>
        <w:pStyle w:val="Heading3"/>
        <w:numPr>
          <w:ilvl w:val="2"/>
          <w:numId w:val="184"/>
        </w:numPr>
        <w:ind w:left="0" w:firstLine="0"/>
        <w:jc w:val="both"/>
      </w:pPr>
      <w:r>
        <w:t>Resource Requirements</w:t>
      </w:r>
    </w:p>
    <w:p w14:paraId="2553A14A" w14:textId="77777777" w:rsidR="00BD53EA" w:rsidRDefault="00BD53EA" w:rsidP="00BD53EA">
      <w:pPr>
        <w:pStyle w:val="BodyText"/>
        <w:jc w:val="both"/>
      </w:pPr>
      <w:r>
        <w:t xml:space="preserve">The RSL procedure documented below requires approximately </w:t>
      </w:r>
      <w:r w:rsidR="00002D1D">
        <w:t>one</w:t>
      </w:r>
      <w:r>
        <w:t xml:space="preserve"> man-hour of effort by the project engineer.  This effort does not include the time needed to collect the information to be used in this analysis, as that effort is accounted for elsewhere.</w:t>
      </w:r>
    </w:p>
    <w:p w14:paraId="145F5838" w14:textId="77777777" w:rsidR="00BD53EA" w:rsidRDefault="00BD53EA" w:rsidP="00172E64">
      <w:pPr>
        <w:pStyle w:val="Heading3"/>
        <w:numPr>
          <w:ilvl w:val="2"/>
          <w:numId w:val="184"/>
        </w:numPr>
        <w:ind w:left="0" w:firstLine="0"/>
        <w:jc w:val="both"/>
      </w:pPr>
      <w:r>
        <w:t>Procedure</w:t>
      </w:r>
    </w:p>
    <w:p w14:paraId="28C828FF" w14:textId="49554648" w:rsidR="00BD53EA" w:rsidRPr="00726D2D" w:rsidRDefault="00BD53EA" w:rsidP="00BD53EA">
      <w:pPr>
        <w:pStyle w:val="BodyText"/>
        <w:jc w:val="both"/>
      </w:pPr>
      <w:r w:rsidRPr="00D73B1B">
        <w:t xml:space="preserve">The procedure described </w:t>
      </w:r>
      <w:r w:rsidR="00A06704">
        <w:t>below</w:t>
      </w:r>
      <w:r w:rsidRPr="00D73B1B">
        <w:t xml:space="preserve"> should be followed to complete a</w:t>
      </w:r>
      <w:r>
        <w:t>n RSL analysis</w:t>
      </w:r>
      <w:r w:rsidRPr="00D73B1B">
        <w:t>.  The majority of the effort in this process is done within the</w:t>
      </w:r>
      <w:r w:rsidR="006576AA">
        <w:t xml:space="preserve"> </w:t>
      </w:r>
      <w:hyperlink r:id="rId239" w:history="1">
        <w:r w:rsidR="004B3B22" w:rsidRPr="004B3B22">
          <w:rPr>
            <w:rStyle w:val="Hyperlink"/>
          </w:rPr>
          <w:t>PDS-08 - Project-Level RSL Calculation</w:t>
        </w:r>
      </w:hyperlink>
      <w:r w:rsidR="004B3B22">
        <w:t xml:space="preserve"> </w:t>
      </w:r>
      <w:r w:rsidRPr="00D73B1B">
        <w:t xml:space="preserve">form.  This effort will involve entering </w:t>
      </w:r>
      <w:r w:rsidR="00002D1D">
        <w:t>condition data and predicted performance.  Many of the calculations performed in the PD</w:t>
      </w:r>
      <w:r w:rsidR="004B3B22">
        <w:t>S</w:t>
      </w:r>
      <w:r w:rsidR="00002D1D">
        <w:t>-</w:t>
      </w:r>
      <w:r w:rsidR="004B3B22">
        <w:t>08</w:t>
      </w:r>
      <w:r w:rsidR="00002D1D">
        <w:t xml:space="preserve"> form are documented in </w:t>
      </w:r>
      <w:hyperlink w:anchor="_Performance_Criteria_–" w:history="1">
        <w:r w:rsidR="00002D1D" w:rsidRPr="00002D1D">
          <w:rPr>
            <w:rStyle w:val="Hyperlink"/>
          </w:rPr>
          <w:t>Performance Criteria – Terminal Performance Targets</w:t>
        </w:r>
      </w:hyperlink>
      <w:r w:rsidR="00002D1D">
        <w:t>.</w:t>
      </w:r>
      <w:r w:rsidRPr="00726D2D">
        <w:t xml:space="preserve">    </w:t>
      </w:r>
    </w:p>
    <w:p w14:paraId="21D99182" w14:textId="1969D855" w:rsidR="001A15B9" w:rsidRDefault="00002D1D" w:rsidP="00172E64">
      <w:pPr>
        <w:pStyle w:val="ListNumber"/>
        <w:numPr>
          <w:ilvl w:val="0"/>
          <w:numId w:val="86"/>
        </w:numPr>
        <w:tabs>
          <w:tab w:val="clear" w:pos="1872"/>
          <w:tab w:val="num" w:pos="1080"/>
        </w:tabs>
        <w:spacing w:before="240"/>
        <w:ind w:left="1080" w:hanging="1080"/>
        <w:jc w:val="both"/>
      </w:pPr>
      <w:r>
        <w:t xml:space="preserve">Determine the roadway functional class for the project.  This can be found in the </w:t>
      </w:r>
      <w:hyperlink r:id="rId240" w:history="1">
        <w:r w:rsidRPr="00002D1D">
          <w:rPr>
            <w:rStyle w:val="Hyperlink"/>
          </w:rPr>
          <w:t>Highway Location Reference</w:t>
        </w:r>
      </w:hyperlink>
      <w:r w:rsidR="00603B2F">
        <w:t>, which provides the verbal description.  Determine the corresponding functional class number, using the following chart:</w:t>
      </w:r>
    </w:p>
    <w:p w14:paraId="32AFFE05" w14:textId="77777777" w:rsidR="00002D1D" w:rsidRDefault="00002D1D" w:rsidP="00107E6F">
      <w:pPr>
        <w:pStyle w:val="ListNumber"/>
        <w:tabs>
          <w:tab w:val="clear" w:pos="720"/>
          <w:tab w:val="clear" w:pos="1872"/>
        </w:tabs>
        <w:spacing w:before="0"/>
        <w:jc w:val="both"/>
      </w:pPr>
    </w:p>
    <w:tbl>
      <w:tblPr>
        <w:tblW w:w="4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9"/>
        <w:gridCol w:w="1076"/>
      </w:tblGrid>
      <w:tr w:rsidR="00603B2F" w:rsidRPr="00603B2F" w14:paraId="2324A2FC" w14:textId="77777777" w:rsidTr="000A240C">
        <w:trPr>
          <w:trHeight w:val="288"/>
          <w:jc w:val="center"/>
        </w:trPr>
        <w:tc>
          <w:tcPr>
            <w:tcW w:w="3709" w:type="dxa"/>
            <w:shd w:val="pct15" w:color="auto" w:fill="auto"/>
            <w:vAlign w:val="center"/>
            <w:hideMark/>
          </w:tcPr>
          <w:p w14:paraId="24B0DED5" w14:textId="77777777" w:rsidR="00603B2F" w:rsidRPr="00002D1D" w:rsidRDefault="00603B2F" w:rsidP="00603B2F">
            <w:pPr>
              <w:jc w:val="center"/>
              <w:rPr>
                <w:rFonts w:ascii="Arial" w:hAnsi="Arial" w:cs="Arial"/>
                <w:b/>
                <w:color w:val="000000"/>
                <w:sz w:val="22"/>
                <w:szCs w:val="22"/>
              </w:rPr>
            </w:pPr>
            <w:r w:rsidRPr="00603B2F">
              <w:rPr>
                <w:rFonts w:ascii="Arial" w:hAnsi="Arial" w:cs="Arial"/>
                <w:b/>
                <w:color w:val="000000"/>
                <w:sz w:val="22"/>
                <w:szCs w:val="22"/>
              </w:rPr>
              <w:t>Functional Class (FC)</w:t>
            </w:r>
          </w:p>
        </w:tc>
        <w:tc>
          <w:tcPr>
            <w:tcW w:w="1076" w:type="dxa"/>
            <w:shd w:val="pct15" w:color="auto" w:fill="auto"/>
            <w:vAlign w:val="center"/>
          </w:tcPr>
          <w:p w14:paraId="30616320" w14:textId="77777777" w:rsidR="00603B2F" w:rsidRPr="00002D1D" w:rsidRDefault="00603B2F" w:rsidP="00603B2F">
            <w:pPr>
              <w:jc w:val="center"/>
              <w:rPr>
                <w:rFonts w:ascii="Arial" w:hAnsi="Arial" w:cs="Arial"/>
                <w:b/>
                <w:color w:val="000000"/>
                <w:sz w:val="22"/>
                <w:szCs w:val="22"/>
              </w:rPr>
            </w:pPr>
            <w:r w:rsidRPr="00002D1D">
              <w:rPr>
                <w:rFonts w:ascii="Arial" w:hAnsi="Arial" w:cs="Arial"/>
                <w:b/>
                <w:color w:val="000000"/>
                <w:sz w:val="22"/>
                <w:szCs w:val="22"/>
              </w:rPr>
              <w:t>F</w:t>
            </w:r>
            <w:r w:rsidRPr="00603B2F">
              <w:rPr>
                <w:rFonts w:ascii="Arial" w:hAnsi="Arial" w:cs="Arial"/>
                <w:b/>
                <w:color w:val="000000"/>
                <w:sz w:val="22"/>
                <w:szCs w:val="22"/>
              </w:rPr>
              <w:t>C #</w:t>
            </w:r>
          </w:p>
        </w:tc>
      </w:tr>
      <w:tr w:rsidR="00603B2F" w:rsidRPr="00603B2F" w14:paraId="49258391" w14:textId="77777777" w:rsidTr="000A240C">
        <w:trPr>
          <w:trHeight w:val="288"/>
          <w:jc w:val="center"/>
        </w:trPr>
        <w:tc>
          <w:tcPr>
            <w:tcW w:w="3709" w:type="dxa"/>
            <w:noWrap/>
            <w:vAlign w:val="center"/>
            <w:hideMark/>
          </w:tcPr>
          <w:p w14:paraId="4F8D67A6" w14:textId="77777777" w:rsidR="00603B2F" w:rsidRPr="000A240C" w:rsidRDefault="00603B2F" w:rsidP="00002D1D">
            <w:pPr>
              <w:rPr>
                <w:rFonts w:ascii="Arial" w:hAnsi="Arial"/>
                <w:color w:val="000000"/>
                <w:sz w:val="18"/>
              </w:rPr>
            </w:pPr>
            <w:r w:rsidRPr="000A240C">
              <w:rPr>
                <w:rFonts w:ascii="Arial" w:hAnsi="Arial"/>
                <w:color w:val="000000"/>
                <w:sz w:val="18"/>
              </w:rPr>
              <w:t>Rural Interstate</w:t>
            </w:r>
          </w:p>
        </w:tc>
        <w:tc>
          <w:tcPr>
            <w:tcW w:w="1076" w:type="dxa"/>
            <w:vAlign w:val="center"/>
          </w:tcPr>
          <w:p w14:paraId="7ECE3DCB" w14:textId="77777777" w:rsidR="00603B2F" w:rsidRPr="000A240C" w:rsidRDefault="00603B2F" w:rsidP="00603B2F">
            <w:pPr>
              <w:jc w:val="center"/>
              <w:rPr>
                <w:rFonts w:ascii="Arial" w:hAnsi="Arial"/>
                <w:color w:val="000000"/>
                <w:sz w:val="18"/>
              </w:rPr>
            </w:pPr>
            <w:r w:rsidRPr="000A240C">
              <w:rPr>
                <w:rFonts w:ascii="Arial" w:hAnsi="Arial"/>
                <w:color w:val="000000"/>
                <w:sz w:val="18"/>
              </w:rPr>
              <w:t>1</w:t>
            </w:r>
          </w:p>
        </w:tc>
      </w:tr>
      <w:tr w:rsidR="00603B2F" w:rsidRPr="00603B2F" w14:paraId="39ADB732" w14:textId="77777777" w:rsidTr="000A240C">
        <w:trPr>
          <w:trHeight w:val="288"/>
          <w:jc w:val="center"/>
        </w:trPr>
        <w:tc>
          <w:tcPr>
            <w:tcW w:w="3709" w:type="dxa"/>
            <w:noWrap/>
            <w:vAlign w:val="center"/>
            <w:hideMark/>
          </w:tcPr>
          <w:p w14:paraId="3F351E07" w14:textId="27F8648A" w:rsidR="00603B2F" w:rsidRPr="000A240C" w:rsidRDefault="00603B2F" w:rsidP="00002D1D">
            <w:pPr>
              <w:rPr>
                <w:rFonts w:ascii="Arial" w:hAnsi="Arial"/>
                <w:color w:val="000000"/>
                <w:sz w:val="18"/>
              </w:rPr>
            </w:pPr>
            <w:r w:rsidRPr="000A240C">
              <w:rPr>
                <w:rFonts w:ascii="Arial" w:hAnsi="Arial"/>
                <w:color w:val="000000"/>
                <w:sz w:val="18"/>
              </w:rPr>
              <w:t xml:space="preserve">Rural Principal Arterial </w:t>
            </w:r>
            <w:r w:rsidR="006924B8" w:rsidRPr="006924B8">
              <w:rPr>
                <w:rFonts w:ascii="Arial" w:hAnsi="Arial" w:cs="Arial"/>
                <w:color w:val="000000"/>
                <w:sz w:val="18"/>
                <w:szCs w:val="22"/>
              </w:rPr>
              <w:t>–</w:t>
            </w:r>
            <w:r w:rsidRPr="000A240C">
              <w:rPr>
                <w:rFonts w:ascii="Arial" w:hAnsi="Arial"/>
                <w:color w:val="000000"/>
                <w:sz w:val="18"/>
              </w:rPr>
              <w:t xml:space="preserve"> Other</w:t>
            </w:r>
            <w:r w:rsidR="006924B8" w:rsidRPr="006924B8">
              <w:rPr>
                <w:rFonts w:ascii="Arial" w:hAnsi="Arial" w:cs="Arial"/>
                <w:color w:val="000000"/>
                <w:sz w:val="18"/>
                <w:szCs w:val="22"/>
              </w:rPr>
              <w:t xml:space="preserve"> Freeways</w:t>
            </w:r>
          </w:p>
        </w:tc>
        <w:tc>
          <w:tcPr>
            <w:tcW w:w="1076" w:type="dxa"/>
            <w:vAlign w:val="center"/>
          </w:tcPr>
          <w:p w14:paraId="73CDCFE7" w14:textId="77777777" w:rsidR="00603B2F" w:rsidRPr="000A240C" w:rsidRDefault="00603B2F" w:rsidP="00603B2F">
            <w:pPr>
              <w:jc w:val="center"/>
              <w:rPr>
                <w:rFonts w:ascii="Arial" w:hAnsi="Arial"/>
                <w:color w:val="000000"/>
                <w:sz w:val="18"/>
              </w:rPr>
            </w:pPr>
            <w:r w:rsidRPr="000A240C">
              <w:rPr>
                <w:rFonts w:ascii="Arial" w:hAnsi="Arial"/>
                <w:color w:val="000000"/>
                <w:sz w:val="18"/>
              </w:rPr>
              <w:t>2</w:t>
            </w:r>
          </w:p>
        </w:tc>
      </w:tr>
      <w:tr w:rsidR="006924B8" w:rsidRPr="00603B2F" w14:paraId="24C02A39" w14:textId="77777777" w:rsidTr="00603B2F">
        <w:tblPrEx>
          <w:jc w:val="left"/>
        </w:tblPrEx>
        <w:trPr>
          <w:trHeight w:val="315"/>
        </w:trPr>
        <w:tc>
          <w:tcPr>
            <w:tcW w:w="3709" w:type="dxa"/>
            <w:noWrap/>
            <w:vAlign w:val="bottom"/>
          </w:tcPr>
          <w:p w14:paraId="45D898B9" w14:textId="77777777" w:rsidR="006924B8" w:rsidRPr="006924B8" w:rsidRDefault="006924B8" w:rsidP="00002D1D">
            <w:pPr>
              <w:rPr>
                <w:rFonts w:ascii="Arial" w:hAnsi="Arial" w:cs="Arial"/>
                <w:color w:val="000000"/>
                <w:sz w:val="18"/>
                <w:szCs w:val="22"/>
              </w:rPr>
            </w:pPr>
            <w:r w:rsidRPr="006924B8">
              <w:rPr>
                <w:rFonts w:ascii="Arial" w:hAnsi="Arial" w:cs="Arial"/>
                <w:color w:val="000000"/>
                <w:sz w:val="18"/>
                <w:szCs w:val="22"/>
              </w:rPr>
              <w:t>Rural Principal Arterial - Other</w:t>
            </w:r>
          </w:p>
        </w:tc>
        <w:tc>
          <w:tcPr>
            <w:tcW w:w="1076" w:type="dxa"/>
            <w:vAlign w:val="bottom"/>
          </w:tcPr>
          <w:p w14:paraId="2167C368" w14:textId="77777777" w:rsidR="006924B8" w:rsidRPr="006924B8" w:rsidRDefault="006924B8" w:rsidP="00603B2F">
            <w:pPr>
              <w:jc w:val="center"/>
              <w:rPr>
                <w:rFonts w:ascii="Arial" w:hAnsi="Arial" w:cs="Arial"/>
                <w:color w:val="000000"/>
                <w:sz w:val="18"/>
                <w:szCs w:val="22"/>
              </w:rPr>
            </w:pPr>
            <w:r w:rsidRPr="006924B8">
              <w:rPr>
                <w:rFonts w:ascii="Arial" w:hAnsi="Arial" w:cs="Arial"/>
                <w:color w:val="000000"/>
                <w:sz w:val="18"/>
                <w:szCs w:val="22"/>
              </w:rPr>
              <w:t>3</w:t>
            </w:r>
          </w:p>
        </w:tc>
      </w:tr>
      <w:tr w:rsidR="00603B2F" w:rsidRPr="00603B2F" w14:paraId="0BA18CF1" w14:textId="77777777" w:rsidTr="000A240C">
        <w:trPr>
          <w:trHeight w:val="288"/>
          <w:jc w:val="center"/>
        </w:trPr>
        <w:tc>
          <w:tcPr>
            <w:tcW w:w="3709" w:type="dxa"/>
            <w:noWrap/>
            <w:vAlign w:val="center"/>
            <w:hideMark/>
          </w:tcPr>
          <w:p w14:paraId="5859D0C1" w14:textId="77777777" w:rsidR="00603B2F" w:rsidRPr="000A240C" w:rsidRDefault="00603B2F" w:rsidP="00002D1D">
            <w:pPr>
              <w:rPr>
                <w:rFonts w:ascii="Arial" w:hAnsi="Arial"/>
                <w:color w:val="000000"/>
                <w:sz w:val="18"/>
              </w:rPr>
            </w:pPr>
            <w:r w:rsidRPr="000A240C">
              <w:rPr>
                <w:rFonts w:ascii="Arial" w:hAnsi="Arial"/>
                <w:color w:val="000000"/>
                <w:sz w:val="18"/>
              </w:rPr>
              <w:t>Rural Minor Arterial</w:t>
            </w:r>
          </w:p>
        </w:tc>
        <w:tc>
          <w:tcPr>
            <w:tcW w:w="1076" w:type="dxa"/>
            <w:vAlign w:val="center"/>
          </w:tcPr>
          <w:p w14:paraId="08AA62EB" w14:textId="77777777" w:rsidR="00603B2F" w:rsidRPr="000A240C" w:rsidRDefault="00603B2F" w:rsidP="00603B2F">
            <w:pPr>
              <w:jc w:val="center"/>
              <w:rPr>
                <w:rFonts w:ascii="Arial" w:hAnsi="Arial"/>
                <w:color w:val="000000"/>
                <w:sz w:val="18"/>
              </w:rPr>
            </w:pPr>
            <w:r w:rsidRPr="000A240C">
              <w:rPr>
                <w:rFonts w:ascii="Arial" w:hAnsi="Arial"/>
                <w:color w:val="000000"/>
                <w:sz w:val="18"/>
              </w:rPr>
              <w:t>6</w:t>
            </w:r>
          </w:p>
        </w:tc>
      </w:tr>
      <w:tr w:rsidR="00603B2F" w:rsidRPr="00603B2F" w14:paraId="4F2B31BD" w14:textId="77777777" w:rsidTr="000A240C">
        <w:trPr>
          <w:trHeight w:val="288"/>
          <w:jc w:val="center"/>
        </w:trPr>
        <w:tc>
          <w:tcPr>
            <w:tcW w:w="3709" w:type="dxa"/>
            <w:noWrap/>
            <w:vAlign w:val="center"/>
            <w:hideMark/>
          </w:tcPr>
          <w:p w14:paraId="4FA8BC89" w14:textId="77777777" w:rsidR="00603B2F" w:rsidRPr="000A240C" w:rsidRDefault="00603B2F" w:rsidP="00002D1D">
            <w:pPr>
              <w:rPr>
                <w:rFonts w:ascii="Arial" w:hAnsi="Arial"/>
                <w:color w:val="000000"/>
                <w:sz w:val="18"/>
              </w:rPr>
            </w:pPr>
            <w:r w:rsidRPr="000A240C">
              <w:rPr>
                <w:rFonts w:ascii="Arial" w:hAnsi="Arial"/>
                <w:color w:val="000000"/>
                <w:sz w:val="18"/>
              </w:rPr>
              <w:t>Rural Major Collector</w:t>
            </w:r>
          </w:p>
        </w:tc>
        <w:tc>
          <w:tcPr>
            <w:tcW w:w="1076" w:type="dxa"/>
            <w:vAlign w:val="center"/>
          </w:tcPr>
          <w:p w14:paraId="1755BC72" w14:textId="77777777" w:rsidR="00603B2F" w:rsidRPr="000A240C" w:rsidRDefault="00603B2F" w:rsidP="00603B2F">
            <w:pPr>
              <w:jc w:val="center"/>
              <w:rPr>
                <w:rFonts w:ascii="Arial" w:hAnsi="Arial"/>
                <w:color w:val="000000"/>
                <w:sz w:val="18"/>
              </w:rPr>
            </w:pPr>
            <w:r w:rsidRPr="000A240C">
              <w:rPr>
                <w:rFonts w:ascii="Arial" w:hAnsi="Arial"/>
                <w:color w:val="000000"/>
                <w:sz w:val="18"/>
              </w:rPr>
              <w:t>7</w:t>
            </w:r>
          </w:p>
        </w:tc>
      </w:tr>
      <w:tr w:rsidR="00603B2F" w:rsidRPr="00603B2F" w14:paraId="6807621E" w14:textId="77777777" w:rsidTr="000A240C">
        <w:trPr>
          <w:trHeight w:val="288"/>
          <w:jc w:val="center"/>
        </w:trPr>
        <w:tc>
          <w:tcPr>
            <w:tcW w:w="3709" w:type="dxa"/>
            <w:noWrap/>
            <w:vAlign w:val="center"/>
            <w:hideMark/>
          </w:tcPr>
          <w:p w14:paraId="471FEEB6" w14:textId="77777777" w:rsidR="00603B2F" w:rsidRPr="000A240C" w:rsidRDefault="00603B2F" w:rsidP="00002D1D">
            <w:pPr>
              <w:rPr>
                <w:rFonts w:ascii="Arial" w:hAnsi="Arial"/>
                <w:color w:val="000000"/>
                <w:sz w:val="18"/>
              </w:rPr>
            </w:pPr>
            <w:r w:rsidRPr="000A240C">
              <w:rPr>
                <w:rFonts w:ascii="Arial" w:hAnsi="Arial"/>
                <w:color w:val="000000"/>
                <w:sz w:val="18"/>
              </w:rPr>
              <w:t>Rural Minor Collector</w:t>
            </w:r>
          </w:p>
        </w:tc>
        <w:tc>
          <w:tcPr>
            <w:tcW w:w="1076" w:type="dxa"/>
            <w:vAlign w:val="center"/>
          </w:tcPr>
          <w:p w14:paraId="2F1587CC" w14:textId="77777777" w:rsidR="00603B2F" w:rsidRPr="000A240C" w:rsidRDefault="00603B2F" w:rsidP="00603B2F">
            <w:pPr>
              <w:jc w:val="center"/>
              <w:rPr>
                <w:rFonts w:ascii="Arial" w:hAnsi="Arial"/>
                <w:color w:val="000000"/>
                <w:sz w:val="18"/>
              </w:rPr>
            </w:pPr>
            <w:r w:rsidRPr="000A240C">
              <w:rPr>
                <w:rFonts w:ascii="Arial" w:hAnsi="Arial"/>
                <w:color w:val="000000"/>
                <w:sz w:val="18"/>
              </w:rPr>
              <w:t>8</w:t>
            </w:r>
          </w:p>
        </w:tc>
      </w:tr>
      <w:tr w:rsidR="00603B2F" w:rsidRPr="00603B2F" w14:paraId="0CAA4E0E" w14:textId="77777777" w:rsidTr="000A240C">
        <w:trPr>
          <w:trHeight w:val="288"/>
          <w:jc w:val="center"/>
        </w:trPr>
        <w:tc>
          <w:tcPr>
            <w:tcW w:w="3709" w:type="dxa"/>
            <w:noWrap/>
            <w:vAlign w:val="center"/>
            <w:hideMark/>
          </w:tcPr>
          <w:p w14:paraId="7E4BFDE6" w14:textId="77777777" w:rsidR="00603B2F" w:rsidRPr="000A240C" w:rsidRDefault="00603B2F" w:rsidP="00002D1D">
            <w:pPr>
              <w:rPr>
                <w:rFonts w:ascii="Arial" w:hAnsi="Arial"/>
                <w:color w:val="000000"/>
                <w:sz w:val="18"/>
              </w:rPr>
            </w:pPr>
            <w:r w:rsidRPr="000A240C">
              <w:rPr>
                <w:rFonts w:ascii="Arial" w:hAnsi="Arial"/>
                <w:color w:val="000000"/>
                <w:sz w:val="18"/>
              </w:rPr>
              <w:t>Rural Local</w:t>
            </w:r>
          </w:p>
        </w:tc>
        <w:tc>
          <w:tcPr>
            <w:tcW w:w="1076" w:type="dxa"/>
            <w:vAlign w:val="center"/>
          </w:tcPr>
          <w:p w14:paraId="44585B10" w14:textId="77777777" w:rsidR="00603B2F" w:rsidRPr="000A240C" w:rsidRDefault="00603B2F" w:rsidP="00603B2F">
            <w:pPr>
              <w:jc w:val="center"/>
              <w:rPr>
                <w:rFonts w:ascii="Arial" w:hAnsi="Arial"/>
                <w:color w:val="000000"/>
                <w:sz w:val="18"/>
              </w:rPr>
            </w:pPr>
            <w:r w:rsidRPr="000A240C">
              <w:rPr>
                <w:rFonts w:ascii="Arial" w:hAnsi="Arial"/>
                <w:color w:val="000000"/>
                <w:sz w:val="18"/>
              </w:rPr>
              <w:t>9</w:t>
            </w:r>
          </w:p>
        </w:tc>
      </w:tr>
      <w:tr w:rsidR="00603B2F" w:rsidRPr="00603B2F" w14:paraId="3035BB51" w14:textId="77777777" w:rsidTr="000A240C">
        <w:trPr>
          <w:trHeight w:val="288"/>
          <w:jc w:val="center"/>
        </w:trPr>
        <w:tc>
          <w:tcPr>
            <w:tcW w:w="3709" w:type="dxa"/>
            <w:noWrap/>
            <w:vAlign w:val="center"/>
            <w:hideMark/>
          </w:tcPr>
          <w:p w14:paraId="7C812F5F" w14:textId="77777777" w:rsidR="00603B2F" w:rsidRPr="000A240C" w:rsidRDefault="00603B2F" w:rsidP="00002D1D">
            <w:pPr>
              <w:rPr>
                <w:rFonts w:ascii="Arial" w:hAnsi="Arial"/>
                <w:color w:val="000000"/>
                <w:sz w:val="18"/>
              </w:rPr>
            </w:pPr>
            <w:r w:rsidRPr="000A240C">
              <w:rPr>
                <w:rFonts w:ascii="Arial" w:hAnsi="Arial"/>
                <w:color w:val="000000"/>
                <w:sz w:val="18"/>
              </w:rPr>
              <w:t>Urban Interstate</w:t>
            </w:r>
          </w:p>
        </w:tc>
        <w:tc>
          <w:tcPr>
            <w:tcW w:w="1076" w:type="dxa"/>
            <w:vAlign w:val="center"/>
          </w:tcPr>
          <w:p w14:paraId="030349E0" w14:textId="77777777" w:rsidR="00603B2F" w:rsidRPr="000A240C" w:rsidRDefault="00603B2F" w:rsidP="00603B2F">
            <w:pPr>
              <w:jc w:val="center"/>
              <w:rPr>
                <w:rFonts w:ascii="Arial" w:hAnsi="Arial"/>
                <w:color w:val="000000"/>
                <w:sz w:val="18"/>
              </w:rPr>
            </w:pPr>
            <w:r w:rsidRPr="000A240C">
              <w:rPr>
                <w:rFonts w:ascii="Arial" w:hAnsi="Arial"/>
                <w:color w:val="000000"/>
                <w:sz w:val="18"/>
              </w:rPr>
              <w:t>11</w:t>
            </w:r>
          </w:p>
        </w:tc>
      </w:tr>
      <w:tr w:rsidR="00603B2F" w:rsidRPr="00603B2F" w14:paraId="67382DD1" w14:textId="77777777" w:rsidTr="000A240C">
        <w:trPr>
          <w:trHeight w:val="288"/>
          <w:jc w:val="center"/>
        </w:trPr>
        <w:tc>
          <w:tcPr>
            <w:tcW w:w="3709" w:type="dxa"/>
            <w:noWrap/>
            <w:vAlign w:val="center"/>
            <w:hideMark/>
          </w:tcPr>
          <w:p w14:paraId="185FDAF6" w14:textId="77777777" w:rsidR="00603B2F" w:rsidRPr="000A240C" w:rsidRDefault="00603B2F" w:rsidP="00002D1D">
            <w:pPr>
              <w:rPr>
                <w:rFonts w:ascii="Arial" w:hAnsi="Arial"/>
                <w:color w:val="000000"/>
                <w:sz w:val="18"/>
              </w:rPr>
            </w:pPr>
            <w:r w:rsidRPr="000A240C">
              <w:rPr>
                <w:rFonts w:ascii="Arial" w:hAnsi="Arial"/>
                <w:color w:val="000000"/>
                <w:sz w:val="18"/>
              </w:rPr>
              <w:t>Urban Principal Arterial - Other Freeways</w:t>
            </w:r>
          </w:p>
        </w:tc>
        <w:tc>
          <w:tcPr>
            <w:tcW w:w="1076" w:type="dxa"/>
            <w:vAlign w:val="center"/>
          </w:tcPr>
          <w:p w14:paraId="305FD341" w14:textId="77777777" w:rsidR="00603B2F" w:rsidRPr="000A240C" w:rsidRDefault="00603B2F" w:rsidP="00603B2F">
            <w:pPr>
              <w:jc w:val="center"/>
              <w:rPr>
                <w:rFonts w:ascii="Arial" w:hAnsi="Arial"/>
                <w:color w:val="000000"/>
                <w:sz w:val="18"/>
              </w:rPr>
            </w:pPr>
            <w:r w:rsidRPr="000A240C">
              <w:rPr>
                <w:rFonts w:ascii="Arial" w:hAnsi="Arial"/>
                <w:color w:val="000000"/>
                <w:sz w:val="18"/>
              </w:rPr>
              <w:t>12</w:t>
            </w:r>
          </w:p>
        </w:tc>
      </w:tr>
      <w:tr w:rsidR="00603B2F" w:rsidRPr="00603B2F" w14:paraId="587F86ED" w14:textId="77777777" w:rsidTr="000A240C">
        <w:trPr>
          <w:trHeight w:val="288"/>
          <w:jc w:val="center"/>
        </w:trPr>
        <w:tc>
          <w:tcPr>
            <w:tcW w:w="3709" w:type="dxa"/>
            <w:noWrap/>
            <w:vAlign w:val="center"/>
            <w:hideMark/>
          </w:tcPr>
          <w:p w14:paraId="71429685" w14:textId="77777777" w:rsidR="00603B2F" w:rsidRPr="000A240C" w:rsidRDefault="00603B2F" w:rsidP="00002D1D">
            <w:pPr>
              <w:rPr>
                <w:rFonts w:ascii="Arial" w:hAnsi="Arial"/>
                <w:color w:val="000000"/>
                <w:sz w:val="18"/>
              </w:rPr>
            </w:pPr>
            <w:r w:rsidRPr="000A240C">
              <w:rPr>
                <w:rFonts w:ascii="Arial" w:hAnsi="Arial"/>
                <w:color w:val="000000"/>
                <w:sz w:val="18"/>
              </w:rPr>
              <w:t>Urban Principal Arterial - Other</w:t>
            </w:r>
          </w:p>
        </w:tc>
        <w:tc>
          <w:tcPr>
            <w:tcW w:w="1076" w:type="dxa"/>
            <w:vAlign w:val="center"/>
          </w:tcPr>
          <w:p w14:paraId="2295663A" w14:textId="77777777" w:rsidR="00603B2F" w:rsidRPr="000A240C" w:rsidRDefault="00603B2F" w:rsidP="00603B2F">
            <w:pPr>
              <w:jc w:val="center"/>
              <w:rPr>
                <w:rFonts w:ascii="Arial" w:hAnsi="Arial"/>
                <w:color w:val="000000"/>
                <w:sz w:val="18"/>
              </w:rPr>
            </w:pPr>
            <w:r w:rsidRPr="000A240C">
              <w:rPr>
                <w:rFonts w:ascii="Arial" w:hAnsi="Arial"/>
                <w:color w:val="000000"/>
                <w:sz w:val="18"/>
              </w:rPr>
              <w:t>14</w:t>
            </w:r>
          </w:p>
        </w:tc>
      </w:tr>
      <w:tr w:rsidR="00603B2F" w:rsidRPr="00D34C64" w14:paraId="1CA10F7D" w14:textId="77777777" w:rsidTr="000A240C">
        <w:trPr>
          <w:trHeight w:val="288"/>
          <w:jc w:val="center"/>
        </w:trPr>
        <w:tc>
          <w:tcPr>
            <w:tcW w:w="3709" w:type="dxa"/>
            <w:noWrap/>
            <w:vAlign w:val="center"/>
            <w:hideMark/>
          </w:tcPr>
          <w:p w14:paraId="2F68135B" w14:textId="77777777" w:rsidR="00603B2F" w:rsidRPr="001130A9" w:rsidRDefault="00603B2F" w:rsidP="00002D1D">
            <w:pPr>
              <w:rPr>
                <w:rFonts w:ascii="Arial" w:hAnsi="Arial"/>
                <w:color w:val="000000"/>
                <w:sz w:val="18"/>
              </w:rPr>
            </w:pPr>
            <w:r w:rsidRPr="001130A9">
              <w:rPr>
                <w:rFonts w:ascii="Arial" w:hAnsi="Arial"/>
                <w:color w:val="000000"/>
                <w:sz w:val="18"/>
              </w:rPr>
              <w:t>Urban Minor Arterial</w:t>
            </w:r>
          </w:p>
        </w:tc>
        <w:tc>
          <w:tcPr>
            <w:tcW w:w="1076" w:type="dxa"/>
            <w:vAlign w:val="center"/>
          </w:tcPr>
          <w:p w14:paraId="46BB5B0E" w14:textId="77777777" w:rsidR="00603B2F" w:rsidRPr="001130A9" w:rsidRDefault="00603B2F" w:rsidP="00603B2F">
            <w:pPr>
              <w:jc w:val="center"/>
              <w:rPr>
                <w:rFonts w:ascii="Arial" w:hAnsi="Arial"/>
                <w:color w:val="000000"/>
                <w:sz w:val="18"/>
              </w:rPr>
            </w:pPr>
            <w:r w:rsidRPr="001130A9">
              <w:rPr>
                <w:rFonts w:ascii="Arial" w:hAnsi="Arial"/>
                <w:color w:val="000000"/>
                <w:sz w:val="18"/>
              </w:rPr>
              <w:t>16</w:t>
            </w:r>
          </w:p>
        </w:tc>
      </w:tr>
      <w:tr w:rsidR="007E521D" w:rsidRPr="00D34C64" w14:paraId="3C8D310C" w14:textId="77777777" w:rsidTr="000A240C">
        <w:trPr>
          <w:trHeight w:val="288"/>
          <w:jc w:val="center"/>
        </w:trPr>
        <w:tc>
          <w:tcPr>
            <w:tcW w:w="3709" w:type="dxa"/>
            <w:noWrap/>
            <w:vAlign w:val="center"/>
          </w:tcPr>
          <w:p w14:paraId="194EE4D1" w14:textId="20ADEA35" w:rsidR="007E521D" w:rsidRPr="001130A9" w:rsidRDefault="007E521D" w:rsidP="007E521D">
            <w:pPr>
              <w:rPr>
                <w:rFonts w:ascii="Arial" w:hAnsi="Arial"/>
                <w:color w:val="000000"/>
                <w:sz w:val="18"/>
              </w:rPr>
            </w:pPr>
            <w:r w:rsidRPr="001130A9">
              <w:rPr>
                <w:rFonts w:ascii="Arial" w:hAnsi="Arial"/>
                <w:color w:val="000000"/>
                <w:sz w:val="18"/>
              </w:rPr>
              <w:t>Urban Major Collector</w:t>
            </w:r>
          </w:p>
        </w:tc>
        <w:tc>
          <w:tcPr>
            <w:tcW w:w="1076" w:type="dxa"/>
            <w:vAlign w:val="center"/>
          </w:tcPr>
          <w:p w14:paraId="02ACDC54" w14:textId="27437A9D" w:rsidR="007E521D" w:rsidRPr="001130A9" w:rsidRDefault="007E521D" w:rsidP="007E521D">
            <w:pPr>
              <w:jc w:val="center"/>
              <w:rPr>
                <w:rFonts w:ascii="Arial" w:hAnsi="Arial"/>
                <w:color w:val="000000"/>
                <w:sz w:val="18"/>
              </w:rPr>
            </w:pPr>
            <w:r w:rsidRPr="001130A9">
              <w:rPr>
                <w:rFonts w:ascii="Arial" w:hAnsi="Arial"/>
                <w:color w:val="000000"/>
                <w:sz w:val="18"/>
              </w:rPr>
              <w:t>17</w:t>
            </w:r>
          </w:p>
        </w:tc>
      </w:tr>
      <w:tr w:rsidR="007E521D" w:rsidRPr="00603B2F" w14:paraId="361F21EE" w14:textId="77777777" w:rsidTr="000A240C">
        <w:trPr>
          <w:trHeight w:val="288"/>
          <w:jc w:val="center"/>
        </w:trPr>
        <w:tc>
          <w:tcPr>
            <w:tcW w:w="3709" w:type="dxa"/>
            <w:noWrap/>
            <w:vAlign w:val="center"/>
            <w:hideMark/>
          </w:tcPr>
          <w:p w14:paraId="69DBFB5C" w14:textId="38FED666" w:rsidR="007E521D" w:rsidRPr="000A240C" w:rsidRDefault="007E521D" w:rsidP="007E521D">
            <w:pPr>
              <w:rPr>
                <w:rFonts w:ascii="Arial" w:hAnsi="Arial"/>
                <w:color w:val="000000"/>
                <w:sz w:val="18"/>
              </w:rPr>
            </w:pPr>
            <w:r w:rsidRPr="000A240C">
              <w:rPr>
                <w:rFonts w:ascii="Arial" w:hAnsi="Arial"/>
                <w:color w:val="000000"/>
                <w:sz w:val="18"/>
              </w:rPr>
              <w:t xml:space="preserve">Urban </w:t>
            </w:r>
            <w:r>
              <w:rPr>
                <w:rFonts w:ascii="Arial" w:hAnsi="Arial" w:cs="Arial"/>
                <w:color w:val="000000"/>
                <w:sz w:val="18"/>
                <w:szCs w:val="22"/>
              </w:rPr>
              <w:t xml:space="preserve">Minor </w:t>
            </w:r>
            <w:r w:rsidRPr="000A240C">
              <w:rPr>
                <w:rFonts w:ascii="Arial" w:hAnsi="Arial"/>
                <w:color w:val="000000"/>
                <w:sz w:val="18"/>
              </w:rPr>
              <w:t>Collector</w:t>
            </w:r>
          </w:p>
        </w:tc>
        <w:tc>
          <w:tcPr>
            <w:tcW w:w="1076" w:type="dxa"/>
            <w:vAlign w:val="center"/>
          </w:tcPr>
          <w:p w14:paraId="3746E72B" w14:textId="7F35B95A" w:rsidR="007E521D" w:rsidRPr="000A240C" w:rsidRDefault="007E521D" w:rsidP="007E521D">
            <w:pPr>
              <w:jc w:val="center"/>
              <w:rPr>
                <w:rFonts w:ascii="Arial" w:hAnsi="Arial"/>
                <w:color w:val="000000"/>
                <w:sz w:val="18"/>
              </w:rPr>
            </w:pPr>
            <w:r>
              <w:rPr>
                <w:rFonts w:ascii="Arial" w:hAnsi="Arial" w:cs="Arial"/>
                <w:color w:val="000000"/>
                <w:sz w:val="18"/>
                <w:szCs w:val="22"/>
              </w:rPr>
              <w:t>18</w:t>
            </w:r>
          </w:p>
        </w:tc>
      </w:tr>
      <w:tr w:rsidR="007E521D" w:rsidRPr="00603B2F" w14:paraId="2AE9A459" w14:textId="77777777" w:rsidTr="000A240C">
        <w:trPr>
          <w:trHeight w:val="288"/>
          <w:jc w:val="center"/>
        </w:trPr>
        <w:tc>
          <w:tcPr>
            <w:tcW w:w="3709" w:type="dxa"/>
            <w:noWrap/>
            <w:vAlign w:val="center"/>
            <w:hideMark/>
          </w:tcPr>
          <w:p w14:paraId="636581F9" w14:textId="77777777" w:rsidR="007E521D" w:rsidRPr="000A240C" w:rsidRDefault="007E521D" w:rsidP="007E521D">
            <w:pPr>
              <w:rPr>
                <w:rFonts w:ascii="Arial" w:hAnsi="Arial"/>
                <w:color w:val="000000"/>
                <w:sz w:val="18"/>
              </w:rPr>
            </w:pPr>
            <w:r w:rsidRPr="000A240C">
              <w:rPr>
                <w:rFonts w:ascii="Arial" w:hAnsi="Arial"/>
                <w:color w:val="000000"/>
                <w:sz w:val="18"/>
              </w:rPr>
              <w:t>Urban Local</w:t>
            </w:r>
          </w:p>
        </w:tc>
        <w:tc>
          <w:tcPr>
            <w:tcW w:w="1076" w:type="dxa"/>
            <w:vAlign w:val="center"/>
          </w:tcPr>
          <w:p w14:paraId="4838177B" w14:textId="77777777" w:rsidR="007E521D" w:rsidRPr="000A240C" w:rsidRDefault="007E521D" w:rsidP="007E521D">
            <w:pPr>
              <w:jc w:val="center"/>
              <w:rPr>
                <w:rFonts w:ascii="Arial" w:hAnsi="Arial"/>
                <w:color w:val="000000"/>
                <w:sz w:val="18"/>
              </w:rPr>
            </w:pPr>
            <w:r w:rsidRPr="000A240C">
              <w:rPr>
                <w:rFonts w:ascii="Arial" w:hAnsi="Arial"/>
                <w:color w:val="000000"/>
                <w:sz w:val="18"/>
              </w:rPr>
              <w:t>19</w:t>
            </w:r>
          </w:p>
        </w:tc>
      </w:tr>
    </w:tbl>
    <w:p w14:paraId="6052BBED" w14:textId="77777777" w:rsidR="00002D1D" w:rsidRDefault="00002D1D" w:rsidP="00002D1D">
      <w:pPr>
        <w:pStyle w:val="ListNumber"/>
        <w:tabs>
          <w:tab w:val="clear" w:pos="720"/>
          <w:tab w:val="clear" w:pos="1872"/>
        </w:tabs>
        <w:jc w:val="both"/>
      </w:pPr>
    </w:p>
    <w:p w14:paraId="68378F72" w14:textId="0A24D7FB" w:rsidR="001A15B9" w:rsidRDefault="00BD53EA" w:rsidP="00172E64">
      <w:pPr>
        <w:pStyle w:val="ListNumber"/>
        <w:numPr>
          <w:ilvl w:val="0"/>
          <w:numId w:val="86"/>
        </w:numPr>
        <w:tabs>
          <w:tab w:val="clear" w:pos="1872"/>
          <w:tab w:val="num" w:pos="1080"/>
        </w:tabs>
        <w:ind w:left="1080" w:hanging="1080"/>
        <w:jc w:val="both"/>
      </w:pPr>
      <w:r w:rsidRPr="00726D2D">
        <w:lastRenderedPageBreak/>
        <w:t>Open the PD</w:t>
      </w:r>
      <w:r w:rsidR="004B3B22">
        <w:t>S</w:t>
      </w:r>
      <w:r w:rsidRPr="00726D2D">
        <w:t>-</w:t>
      </w:r>
      <w:r w:rsidR="004B3B22">
        <w:t>08</w:t>
      </w:r>
      <w:r w:rsidRPr="00726D2D">
        <w:t xml:space="preserve"> form and go to the </w:t>
      </w:r>
      <w:r w:rsidR="00603B2F">
        <w:t>worksheet that corresponds to whether the project is Urban or Rural.</w:t>
      </w:r>
    </w:p>
    <w:p w14:paraId="3686FA28" w14:textId="77777777" w:rsidR="001A15B9" w:rsidRDefault="00603B2F" w:rsidP="00172E64">
      <w:pPr>
        <w:pStyle w:val="ListNumber"/>
        <w:numPr>
          <w:ilvl w:val="0"/>
          <w:numId w:val="86"/>
        </w:numPr>
        <w:tabs>
          <w:tab w:val="clear" w:pos="1872"/>
          <w:tab w:val="num" w:pos="1080"/>
        </w:tabs>
        <w:ind w:left="1080" w:hanging="1080"/>
        <w:jc w:val="both"/>
      </w:pPr>
      <w:r>
        <w:t>Input the Project Description and Treatment Option in the appropriate boxes.</w:t>
      </w:r>
    </w:p>
    <w:p w14:paraId="7337A007" w14:textId="77777777" w:rsidR="001A15B9" w:rsidRDefault="00603B2F" w:rsidP="00172E64">
      <w:pPr>
        <w:pStyle w:val="ListNumber"/>
        <w:numPr>
          <w:ilvl w:val="0"/>
          <w:numId w:val="86"/>
        </w:numPr>
        <w:tabs>
          <w:tab w:val="clear" w:pos="1872"/>
          <w:tab w:val="num" w:pos="1080"/>
        </w:tabs>
        <w:ind w:left="1080" w:hanging="1080"/>
        <w:jc w:val="both"/>
      </w:pPr>
      <w:r>
        <w:t>Input the FC #.</w:t>
      </w:r>
    </w:p>
    <w:p w14:paraId="3543061C" w14:textId="5A4E996D" w:rsidR="007205B3" w:rsidRDefault="007205B3" w:rsidP="00172E64">
      <w:pPr>
        <w:pStyle w:val="ListNumber"/>
        <w:numPr>
          <w:ilvl w:val="0"/>
          <w:numId w:val="86"/>
        </w:numPr>
        <w:tabs>
          <w:tab w:val="clear" w:pos="1872"/>
          <w:tab w:val="num" w:pos="1080"/>
        </w:tabs>
        <w:ind w:left="1080" w:hanging="1080"/>
        <w:jc w:val="both"/>
      </w:pPr>
      <w:r>
        <w:t>Input the Friction Site Category.</w:t>
      </w:r>
    </w:p>
    <w:p w14:paraId="1460BF6B" w14:textId="77777777" w:rsidR="007C104F" w:rsidRDefault="007C104F" w:rsidP="007C104F">
      <w:pPr>
        <w:pStyle w:val="ListNumber"/>
        <w:tabs>
          <w:tab w:val="clear" w:pos="720"/>
          <w:tab w:val="clear" w:pos="1872"/>
        </w:tabs>
        <w:ind w:left="1080" w:firstLine="0"/>
        <w:jc w:val="both"/>
      </w:pPr>
    </w:p>
    <w:tbl>
      <w:tblPr>
        <w:tblW w:w="5000" w:type="pct"/>
        <w:tblCellMar>
          <w:left w:w="0" w:type="dxa"/>
          <w:right w:w="0" w:type="dxa"/>
        </w:tblCellMar>
        <w:tblLook w:val="04A0" w:firstRow="1" w:lastRow="0" w:firstColumn="1" w:lastColumn="0" w:noHBand="0" w:noVBand="1"/>
      </w:tblPr>
      <w:tblGrid>
        <w:gridCol w:w="1635"/>
        <w:gridCol w:w="6985"/>
      </w:tblGrid>
      <w:tr w:rsidR="007C104F" w14:paraId="43A8CFC9" w14:textId="77777777" w:rsidTr="007C104F">
        <w:trPr>
          <w:trHeight w:val="255"/>
        </w:trPr>
        <w:tc>
          <w:tcPr>
            <w:tcW w:w="947" w:type="pct"/>
            <w:tcBorders>
              <w:top w:val="single" w:sz="8" w:space="0" w:color="auto"/>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F37286" w14:textId="77777777" w:rsidR="007C104F" w:rsidRDefault="007C104F">
            <w:pPr>
              <w:pStyle w:val="xmsonormal"/>
              <w:spacing w:line="252" w:lineRule="auto"/>
              <w:jc w:val="center"/>
            </w:pPr>
            <w:r>
              <w:rPr>
                <w:rFonts w:ascii="Arial" w:hAnsi="Arial" w:cs="Arial"/>
                <w:b/>
                <w:bCs/>
              </w:rPr>
              <w:t>Site Cat</w:t>
            </w:r>
            <w:r>
              <w:rPr>
                <w:rFonts w:ascii="Arial" w:hAnsi="Arial" w:cs="Arial"/>
                <w:b/>
                <w:bCs/>
                <w:color w:val="000000"/>
              </w:rPr>
              <w:t>egory</w:t>
            </w:r>
          </w:p>
        </w:tc>
        <w:tc>
          <w:tcPr>
            <w:tcW w:w="4053" w:type="pct"/>
            <w:tcBorders>
              <w:top w:val="single" w:sz="8" w:space="0" w:color="auto"/>
              <w:left w:val="nil"/>
              <w:bottom w:val="single" w:sz="4" w:space="0" w:color="auto"/>
              <w:right w:val="single" w:sz="8" w:space="0" w:color="auto"/>
            </w:tcBorders>
            <w:shd w:val="clear" w:color="auto" w:fill="FFFFFF"/>
            <w:noWrap/>
            <w:tcMar>
              <w:top w:w="0" w:type="dxa"/>
              <w:left w:w="108" w:type="dxa"/>
              <w:bottom w:w="0" w:type="dxa"/>
              <w:right w:w="108" w:type="dxa"/>
            </w:tcMar>
            <w:vAlign w:val="center"/>
            <w:hideMark/>
          </w:tcPr>
          <w:p w14:paraId="4A7D4ABB" w14:textId="77777777" w:rsidR="007C104F" w:rsidRDefault="007C104F">
            <w:pPr>
              <w:pStyle w:val="xmsonormal"/>
              <w:spacing w:line="252" w:lineRule="auto"/>
              <w:jc w:val="center"/>
            </w:pPr>
            <w:r>
              <w:rPr>
                <w:rFonts w:ascii="Arial" w:hAnsi="Arial" w:cs="Arial"/>
                <w:b/>
                <w:bCs/>
                <w:color w:val="000000"/>
              </w:rPr>
              <w:t>Site Description</w:t>
            </w:r>
          </w:p>
        </w:tc>
      </w:tr>
      <w:tr w:rsidR="007C104F" w14:paraId="40C53177" w14:textId="77777777" w:rsidTr="007C104F">
        <w:trPr>
          <w:trHeight w:val="1186"/>
        </w:trPr>
        <w:tc>
          <w:tcPr>
            <w:tcW w:w="947" w:type="pct"/>
            <w:tcBorders>
              <w:top w:val="nil"/>
              <w:left w:val="single" w:sz="8" w:space="0" w:color="auto"/>
              <w:bottom w:val="single" w:sz="8" w:space="0" w:color="auto"/>
              <w:right w:val="single" w:sz="4" w:space="0" w:color="auto"/>
            </w:tcBorders>
            <w:shd w:val="clear" w:color="auto" w:fill="FFFFFF"/>
            <w:noWrap/>
            <w:tcMar>
              <w:top w:w="0" w:type="dxa"/>
              <w:left w:w="108" w:type="dxa"/>
              <w:bottom w:w="0" w:type="dxa"/>
              <w:right w:w="108" w:type="dxa"/>
            </w:tcMar>
            <w:vAlign w:val="center"/>
            <w:hideMark/>
          </w:tcPr>
          <w:p w14:paraId="3E38226B" w14:textId="77777777" w:rsidR="007C104F" w:rsidRDefault="007C104F">
            <w:pPr>
              <w:pStyle w:val="xmsonormal"/>
              <w:spacing w:line="252" w:lineRule="auto"/>
              <w:jc w:val="center"/>
            </w:pPr>
            <w:r>
              <w:rPr>
                <w:rFonts w:ascii="Arial" w:hAnsi="Arial" w:cs="Arial"/>
                <w:color w:val="000000"/>
                <w:sz w:val="18"/>
                <w:szCs w:val="18"/>
              </w:rPr>
              <w:t>1</w:t>
            </w:r>
          </w:p>
        </w:tc>
        <w:tc>
          <w:tcPr>
            <w:tcW w:w="405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A8D38E4" w14:textId="1E63E278" w:rsidR="007C104F" w:rsidRDefault="007C104F" w:rsidP="00172E64">
            <w:pPr>
              <w:pStyle w:val="xmsonormal"/>
              <w:numPr>
                <w:ilvl w:val="0"/>
                <w:numId w:val="194"/>
              </w:numPr>
              <w:spacing w:line="252" w:lineRule="auto"/>
              <w:rPr>
                <w:rFonts w:ascii="Arial" w:hAnsi="Arial" w:cs="Arial"/>
                <w:color w:val="000000"/>
                <w:sz w:val="18"/>
                <w:szCs w:val="18"/>
              </w:rPr>
            </w:pPr>
            <w:r>
              <w:rPr>
                <w:rFonts w:ascii="Arial" w:hAnsi="Arial" w:cs="Arial"/>
                <w:sz w:val="18"/>
                <w:szCs w:val="18"/>
              </w:rPr>
              <w:t xml:space="preserve">0.1 </w:t>
            </w:r>
            <w:r>
              <w:rPr>
                <w:rFonts w:ascii="Arial" w:hAnsi="Arial" w:cs="Arial"/>
                <w:color w:val="000000"/>
                <w:sz w:val="18"/>
                <w:szCs w:val="18"/>
              </w:rPr>
              <w:t xml:space="preserve">mile within Approach railroad crossings, roundabouts, traffic lights, pedestrian crossings, Stop and Give Way controlled intersections, and the prevailing speed is </w:t>
            </w:r>
            <w:r w:rsidR="005E523B" w:rsidRPr="005E523B">
              <w:rPr>
                <w:rFonts w:ascii="Arial" w:hAnsi="Arial" w:cs="Arial"/>
                <w:sz w:val="18"/>
                <w:szCs w:val="18"/>
              </w:rPr>
              <w:t>≥</w:t>
            </w:r>
            <w:r>
              <w:rPr>
                <w:rFonts w:ascii="Arial" w:hAnsi="Arial" w:cs="Arial"/>
                <w:color w:val="000000"/>
                <w:sz w:val="18"/>
                <w:szCs w:val="18"/>
              </w:rPr>
              <w:t xml:space="preserve"> 55</w:t>
            </w:r>
            <w:r>
              <w:rPr>
                <w:rFonts w:ascii="Arial" w:hAnsi="Arial" w:cs="Arial"/>
                <w:sz w:val="18"/>
                <w:szCs w:val="18"/>
              </w:rPr>
              <w:t xml:space="preserve"> </w:t>
            </w:r>
            <w:r>
              <w:rPr>
                <w:rFonts w:ascii="Arial" w:hAnsi="Arial" w:cs="Arial"/>
                <w:color w:val="000000"/>
                <w:sz w:val="18"/>
                <w:szCs w:val="18"/>
              </w:rPr>
              <w:t>mph.</w:t>
            </w:r>
          </w:p>
          <w:p w14:paraId="66CC4A62" w14:textId="6A6C5D7B" w:rsidR="007C104F" w:rsidRPr="00C00F65" w:rsidRDefault="007C104F" w:rsidP="00172E64">
            <w:pPr>
              <w:pStyle w:val="xmsonormal"/>
              <w:numPr>
                <w:ilvl w:val="0"/>
                <w:numId w:val="194"/>
              </w:numPr>
              <w:spacing w:line="252" w:lineRule="auto"/>
              <w:rPr>
                <w:rFonts w:ascii="Arial" w:hAnsi="Arial" w:cs="Arial"/>
                <w:sz w:val="18"/>
                <w:szCs w:val="18"/>
              </w:rPr>
            </w:pPr>
            <w:r>
              <w:rPr>
                <w:rFonts w:ascii="Arial" w:hAnsi="Arial" w:cs="Arial"/>
                <w:color w:val="000000"/>
                <w:sz w:val="18"/>
                <w:szCs w:val="18"/>
              </w:rPr>
              <w:t xml:space="preserve">Curves with radius </w:t>
            </w:r>
            <w:r w:rsidR="005E523B">
              <w:rPr>
                <w:rFonts w:ascii="Arial" w:hAnsi="Arial" w:cs="Arial"/>
                <w:sz w:val="18"/>
                <w:szCs w:val="18"/>
              </w:rPr>
              <w:t>≤</w:t>
            </w:r>
            <w:r w:rsidRPr="00C00F65">
              <w:rPr>
                <w:rFonts w:ascii="Arial" w:hAnsi="Arial" w:cs="Arial"/>
                <w:sz w:val="18"/>
                <w:szCs w:val="18"/>
              </w:rPr>
              <w:t xml:space="preserve"> 750 ft, </w:t>
            </w:r>
            <w:r w:rsidR="00C00F65" w:rsidRPr="00C00F65">
              <w:rPr>
                <w:rFonts w:ascii="Arial" w:eastAsia="Times New Roman" w:hAnsi="Arial" w:cs="Arial"/>
                <w:sz w:val="18"/>
                <w:szCs w:val="18"/>
              </w:rPr>
              <w:t>and speed limit</w:t>
            </w:r>
            <w:r w:rsidR="005E523B">
              <w:rPr>
                <w:rFonts w:ascii="Arial" w:eastAsia="Times New Roman" w:hAnsi="Arial" w:cs="Arial"/>
                <w:sz w:val="18"/>
                <w:szCs w:val="18"/>
              </w:rPr>
              <w:t xml:space="preserve"> </w:t>
            </w:r>
            <w:r w:rsidR="005E523B" w:rsidRPr="005E523B">
              <w:rPr>
                <w:rFonts w:ascii="Arial" w:hAnsi="Arial" w:cs="Arial"/>
                <w:sz w:val="18"/>
                <w:szCs w:val="18"/>
              </w:rPr>
              <w:t>≥</w:t>
            </w:r>
            <w:r w:rsidR="005E523B">
              <w:rPr>
                <w:rFonts w:ascii="Arial" w:hAnsi="Arial" w:cs="Arial"/>
                <w:sz w:val="18"/>
                <w:szCs w:val="18"/>
              </w:rPr>
              <w:t xml:space="preserve"> </w:t>
            </w:r>
            <w:r w:rsidR="00C00F65" w:rsidRPr="00C00F65">
              <w:rPr>
                <w:rFonts w:ascii="Arial" w:eastAsia="Times New Roman" w:hAnsi="Arial" w:cs="Arial"/>
                <w:sz w:val="18"/>
                <w:szCs w:val="18"/>
              </w:rPr>
              <w:t>35 mph</w:t>
            </w:r>
            <w:r w:rsidRPr="00C00F65">
              <w:rPr>
                <w:rFonts w:ascii="Arial" w:hAnsi="Arial" w:cs="Arial"/>
                <w:sz w:val="18"/>
                <w:szCs w:val="18"/>
              </w:rPr>
              <w:t>.</w:t>
            </w:r>
          </w:p>
          <w:p w14:paraId="464E7D59" w14:textId="6D9077A2" w:rsidR="007C104F" w:rsidRDefault="007C104F" w:rsidP="00172E64">
            <w:pPr>
              <w:pStyle w:val="xmsonormal"/>
              <w:numPr>
                <w:ilvl w:val="0"/>
                <w:numId w:val="194"/>
              </w:numPr>
              <w:spacing w:line="252" w:lineRule="auto"/>
              <w:rPr>
                <w:rFonts w:ascii="Arial" w:hAnsi="Arial" w:cs="Arial"/>
                <w:color w:val="000000"/>
                <w:sz w:val="18"/>
                <w:szCs w:val="18"/>
              </w:rPr>
            </w:pPr>
            <w:r>
              <w:rPr>
                <w:rFonts w:ascii="Arial" w:hAnsi="Arial" w:cs="Arial"/>
                <w:color w:val="000000"/>
                <w:sz w:val="18"/>
                <w:szCs w:val="18"/>
              </w:rPr>
              <w:t>Downhill gradients &gt; 10% and &gt; 0.03-mile-long;</w:t>
            </w:r>
            <w:r>
              <w:rPr>
                <w:rFonts w:ascii="Arial" w:hAnsi="Arial" w:cs="Arial"/>
                <w:sz w:val="18"/>
                <w:szCs w:val="18"/>
              </w:rPr>
              <w:t xml:space="preserve"> all speeds.</w:t>
            </w:r>
          </w:p>
          <w:p w14:paraId="4C2BA0D0" w14:textId="47EF6679" w:rsidR="007C104F" w:rsidRDefault="007C104F" w:rsidP="00172E64">
            <w:pPr>
              <w:pStyle w:val="xmsonormal"/>
              <w:numPr>
                <w:ilvl w:val="0"/>
                <w:numId w:val="194"/>
              </w:numPr>
              <w:spacing w:line="252" w:lineRule="auto"/>
              <w:rPr>
                <w:rFonts w:ascii="Arial" w:hAnsi="Arial" w:cs="Arial"/>
                <w:color w:val="000000"/>
                <w:sz w:val="18"/>
                <w:szCs w:val="18"/>
              </w:rPr>
            </w:pPr>
            <w:r>
              <w:rPr>
                <w:rFonts w:ascii="Arial" w:hAnsi="Arial" w:cs="Arial"/>
                <w:color w:val="000000"/>
                <w:sz w:val="18"/>
                <w:szCs w:val="18"/>
              </w:rPr>
              <w:t>Freeway/highway off ramps</w:t>
            </w:r>
            <w:r>
              <w:rPr>
                <w:rFonts w:ascii="Arial" w:hAnsi="Arial" w:cs="Arial"/>
                <w:sz w:val="18"/>
                <w:szCs w:val="18"/>
              </w:rPr>
              <w:t xml:space="preserve">, </w:t>
            </w:r>
            <w:r w:rsidR="005E523B">
              <w:rPr>
                <w:rFonts w:ascii="Arial" w:hAnsi="Arial" w:cs="Arial"/>
                <w:sz w:val="18"/>
                <w:szCs w:val="18"/>
              </w:rPr>
              <w:t>where highway speed limit</w:t>
            </w:r>
            <w:r w:rsidR="005E523B" w:rsidRPr="005E523B">
              <w:rPr>
                <w:rFonts w:ascii="Arial" w:hAnsi="Arial" w:cs="Arial"/>
                <w:sz w:val="18"/>
                <w:szCs w:val="18"/>
              </w:rPr>
              <w:t xml:space="preserve"> ≥ 55 mph</w:t>
            </w:r>
            <w:r>
              <w:rPr>
                <w:rFonts w:ascii="Arial" w:hAnsi="Arial" w:cs="Arial"/>
                <w:sz w:val="18"/>
                <w:szCs w:val="18"/>
              </w:rPr>
              <w:t>.</w:t>
            </w:r>
          </w:p>
        </w:tc>
      </w:tr>
      <w:tr w:rsidR="007C104F" w14:paraId="2673C4E9" w14:textId="77777777" w:rsidTr="007C104F">
        <w:trPr>
          <w:trHeight w:val="450"/>
        </w:trPr>
        <w:tc>
          <w:tcPr>
            <w:tcW w:w="947" w:type="pct"/>
            <w:tcBorders>
              <w:top w:val="nil"/>
              <w:left w:val="single" w:sz="8" w:space="0" w:color="auto"/>
              <w:bottom w:val="single" w:sz="8" w:space="0" w:color="auto"/>
              <w:right w:val="single" w:sz="4" w:space="0" w:color="auto"/>
            </w:tcBorders>
            <w:shd w:val="clear" w:color="auto" w:fill="FFFFFF"/>
            <w:noWrap/>
            <w:tcMar>
              <w:top w:w="0" w:type="dxa"/>
              <w:left w:w="108" w:type="dxa"/>
              <w:bottom w:w="0" w:type="dxa"/>
              <w:right w:w="108" w:type="dxa"/>
            </w:tcMar>
            <w:vAlign w:val="center"/>
            <w:hideMark/>
          </w:tcPr>
          <w:p w14:paraId="68077D44" w14:textId="77777777" w:rsidR="007C104F" w:rsidRDefault="007C104F">
            <w:pPr>
              <w:pStyle w:val="xmsonormal"/>
              <w:spacing w:line="252" w:lineRule="auto"/>
              <w:jc w:val="center"/>
            </w:pPr>
            <w:r>
              <w:rPr>
                <w:rFonts w:ascii="Arial" w:hAnsi="Arial" w:cs="Arial"/>
                <w:color w:val="000000"/>
                <w:sz w:val="18"/>
                <w:szCs w:val="18"/>
              </w:rPr>
              <w:t>2</w:t>
            </w:r>
          </w:p>
        </w:tc>
        <w:tc>
          <w:tcPr>
            <w:tcW w:w="405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5D8E25" w14:textId="2A6681AE" w:rsidR="007C104F" w:rsidRDefault="007C104F" w:rsidP="00172E64">
            <w:pPr>
              <w:pStyle w:val="xmsonormal"/>
              <w:numPr>
                <w:ilvl w:val="0"/>
                <w:numId w:val="194"/>
              </w:numPr>
              <w:spacing w:line="252" w:lineRule="auto"/>
              <w:rPr>
                <w:rFonts w:ascii="Arial" w:hAnsi="Arial" w:cs="Arial"/>
                <w:color w:val="000000"/>
                <w:sz w:val="18"/>
                <w:szCs w:val="18"/>
              </w:rPr>
            </w:pPr>
            <w:r>
              <w:rPr>
                <w:rFonts w:ascii="Arial" w:hAnsi="Arial" w:cs="Arial"/>
                <w:color w:val="000000"/>
                <w:sz w:val="18"/>
                <w:szCs w:val="18"/>
              </w:rPr>
              <w:t xml:space="preserve">0.1 mile within Approach railroad crossings, roundabouts, traffic lights, pedestrian crossings, Stop and Give Way controlled intersections, and the prevailing speed is </w:t>
            </w:r>
            <w:r w:rsidR="005E523B" w:rsidRPr="005E523B">
              <w:rPr>
                <w:rFonts w:ascii="Arial" w:hAnsi="Arial" w:cs="Arial"/>
                <w:sz w:val="18"/>
                <w:szCs w:val="18"/>
              </w:rPr>
              <w:t>≥</w:t>
            </w:r>
            <w:r>
              <w:rPr>
                <w:rFonts w:ascii="Arial" w:hAnsi="Arial" w:cs="Arial"/>
                <w:color w:val="000000"/>
                <w:sz w:val="18"/>
                <w:szCs w:val="18"/>
              </w:rPr>
              <w:t xml:space="preserve"> 35 mph and &lt; 55 mph. </w:t>
            </w:r>
          </w:p>
          <w:p w14:paraId="5A22DF42" w14:textId="098FD381" w:rsidR="007C104F" w:rsidRDefault="007C104F" w:rsidP="00172E64">
            <w:pPr>
              <w:pStyle w:val="xmsonormal"/>
              <w:numPr>
                <w:ilvl w:val="0"/>
                <w:numId w:val="194"/>
              </w:numPr>
              <w:spacing w:line="252" w:lineRule="auto"/>
              <w:rPr>
                <w:rFonts w:ascii="Arial" w:hAnsi="Arial" w:cs="Arial"/>
                <w:color w:val="000000"/>
                <w:sz w:val="18"/>
                <w:szCs w:val="18"/>
              </w:rPr>
            </w:pPr>
            <w:r>
              <w:rPr>
                <w:rFonts w:ascii="Arial" w:hAnsi="Arial" w:cs="Arial"/>
                <w:color w:val="000000"/>
                <w:sz w:val="18"/>
                <w:szCs w:val="18"/>
              </w:rPr>
              <w:t>0.1 mile within approach to all other intersections</w:t>
            </w:r>
            <w:r>
              <w:rPr>
                <w:rFonts w:ascii="Arial" w:hAnsi="Arial" w:cs="Arial"/>
                <w:sz w:val="18"/>
                <w:szCs w:val="18"/>
              </w:rPr>
              <w:t xml:space="preserve"> </w:t>
            </w:r>
            <w:r w:rsidR="005E523B" w:rsidRPr="005E523B">
              <w:rPr>
                <w:rFonts w:ascii="Arial" w:hAnsi="Arial" w:cs="Arial"/>
                <w:sz w:val="18"/>
                <w:szCs w:val="18"/>
              </w:rPr>
              <w:t>≥</w:t>
            </w:r>
            <w:r w:rsidR="005E523B">
              <w:rPr>
                <w:rFonts w:ascii="Arial" w:hAnsi="Arial" w:cs="Arial"/>
                <w:sz w:val="18"/>
                <w:szCs w:val="18"/>
              </w:rPr>
              <w:t xml:space="preserve"> </w:t>
            </w:r>
            <w:r>
              <w:rPr>
                <w:rFonts w:ascii="Arial" w:hAnsi="Arial" w:cs="Arial"/>
                <w:color w:val="000000"/>
                <w:sz w:val="18"/>
                <w:szCs w:val="18"/>
              </w:rPr>
              <w:t>35 mph.</w:t>
            </w:r>
          </w:p>
          <w:p w14:paraId="06DBBB34" w14:textId="45DC5DE7" w:rsidR="007C104F" w:rsidRDefault="007C104F" w:rsidP="00172E64">
            <w:pPr>
              <w:pStyle w:val="xmsonormal"/>
              <w:numPr>
                <w:ilvl w:val="0"/>
                <w:numId w:val="194"/>
              </w:numPr>
              <w:spacing w:line="252" w:lineRule="auto"/>
              <w:rPr>
                <w:rFonts w:ascii="Arial" w:hAnsi="Arial" w:cs="Arial"/>
                <w:color w:val="000000"/>
                <w:sz w:val="18"/>
                <w:szCs w:val="18"/>
              </w:rPr>
            </w:pPr>
            <w:r>
              <w:rPr>
                <w:rFonts w:ascii="Arial" w:hAnsi="Arial" w:cs="Arial"/>
                <w:color w:val="000000"/>
                <w:sz w:val="18"/>
                <w:szCs w:val="18"/>
              </w:rPr>
              <w:t>Downhill gradients 5 to 10% and &gt; 0.03-mile-long and speed limit</w:t>
            </w:r>
            <w:r w:rsidR="005E523B">
              <w:rPr>
                <w:rFonts w:ascii="Arial" w:hAnsi="Arial" w:cs="Arial"/>
                <w:color w:val="000000"/>
                <w:sz w:val="18"/>
                <w:szCs w:val="18"/>
              </w:rPr>
              <w:t xml:space="preserve"> </w:t>
            </w:r>
            <w:r w:rsidR="005E523B" w:rsidRPr="005E523B">
              <w:rPr>
                <w:rFonts w:ascii="Arial" w:hAnsi="Arial" w:cs="Arial"/>
                <w:sz w:val="18"/>
                <w:szCs w:val="18"/>
              </w:rPr>
              <w:t>≥</w:t>
            </w:r>
            <w:r w:rsidR="005E523B">
              <w:rPr>
                <w:rFonts w:ascii="Arial" w:hAnsi="Arial" w:cs="Arial"/>
                <w:sz w:val="18"/>
                <w:szCs w:val="18"/>
              </w:rPr>
              <w:t xml:space="preserve"> </w:t>
            </w:r>
            <w:r>
              <w:rPr>
                <w:rFonts w:ascii="Arial" w:hAnsi="Arial" w:cs="Arial"/>
                <w:color w:val="000000"/>
                <w:sz w:val="18"/>
                <w:szCs w:val="18"/>
              </w:rPr>
              <w:t>35 mph.</w:t>
            </w:r>
          </w:p>
          <w:p w14:paraId="36A9644D" w14:textId="5EAC6E4A" w:rsidR="007C104F" w:rsidRDefault="007C104F" w:rsidP="00172E64">
            <w:pPr>
              <w:pStyle w:val="xmsonormal"/>
              <w:numPr>
                <w:ilvl w:val="0"/>
                <w:numId w:val="194"/>
              </w:numPr>
              <w:spacing w:line="252" w:lineRule="auto"/>
              <w:rPr>
                <w:rFonts w:ascii="Arial" w:hAnsi="Arial" w:cs="Arial"/>
                <w:color w:val="000000"/>
                <w:sz w:val="18"/>
                <w:szCs w:val="18"/>
              </w:rPr>
            </w:pPr>
            <w:r>
              <w:rPr>
                <w:rFonts w:ascii="Arial" w:hAnsi="Arial" w:cs="Arial"/>
                <w:color w:val="000000"/>
                <w:sz w:val="18"/>
                <w:szCs w:val="18"/>
              </w:rPr>
              <w:t xml:space="preserve">Undivided Highways without other geometric constraints which influence frictional demand, the travelling speed is </w:t>
            </w:r>
            <w:r w:rsidR="005E523B" w:rsidRPr="005E523B">
              <w:rPr>
                <w:rFonts w:ascii="Arial" w:hAnsi="Arial" w:cs="Arial"/>
                <w:sz w:val="18"/>
                <w:szCs w:val="18"/>
              </w:rPr>
              <w:t>≥</w:t>
            </w:r>
            <w:r>
              <w:rPr>
                <w:rFonts w:ascii="Arial" w:hAnsi="Arial" w:cs="Arial"/>
                <w:color w:val="000000"/>
                <w:sz w:val="18"/>
                <w:szCs w:val="18"/>
              </w:rPr>
              <w:t xml:space="preserve"> 55mph and average rutting &gt;¼”.</w:t>
            </w:r>
          </w:p>
          <w:p w14:paraId="34B1FCD3" w14:textId="7CC40022" w:rsidR="007C104F" w:rsidRDefault="007C104F" w:rsidP="00172E64">
            <w:pPr>
              <w:pStyle w:val="xmsonormal"/>
              <w:numPr>
                <w:ilvl w:val="0"/>
                <w:numId w:val="194"/>
              </w:numPr>
              <w:spacing w:line="252" w:lineRule="auto"/>
              <w:rPr>
                <w:rFonts w:ascii="Arial" w:hAnsi="Arial" w:cs="Arial"/>
                <w:color w:val="000000"/>
                <w:sz w:val="18"/>
                <w:szCs w:val="18"/>
              </w:rPr>
            </w:pPr>
            <w:r>
              <w:rPr>
                <w:rFonts w:ascii="Arial" w:hAnsi="Arial" w:cs="Arial"/>
                <w:color w:val="000000"/>
                <w:sz w:val="18"/>
                <w:szCs w:val="18"/>
              </w:rPr>
              <w:t xml:space="preserve">Curves with radius &gt;750 ft and </w:t>
            </w:r>
            <w:r w:rsidR="005E523B">
              <w:rPr>
                <w:rFonts w:ascii="Arial" w:hAnsi="Arial" w:cs="Arial"/>
                <w:sz w:val="18"/>
                <w:szCs w:val="18"/>
              </w:rPr>
              <w:t xml:space="preserve">≤ </w:t>
            </w:r>
            <w:r>
              <w:rPr>
                <w:rFonts w:ascii="Arial" w:hAnsi="Arial" w:cs="Arial"/>
                <w:color w:val="000000"/>
                <w:sz w:val="18"/>
                <w:szCs w:val="18"/>
              </w:rPr>
              <w:t>1,500 ft and speed limit</w:t>
            </w:r>
            <w:r w:rsidR="005E523B">
              <w:rPr>
                <w:rFonts w:ascii="Arial" w:hAnsi="Arial" w:cs="Arial"/>
                <w:color w:val="000000"/>
                <w:sz w:val="18"/>
                <w:szCs w:val="18"/>
              </w:rPr>
              <w:t xml:space="preserve"> </w:t>
            </w:r>
            <w:r w:rsidR="005E523B" w:rsidRPr="005E523B">
              <w:rPr>
                <w:rFonts w:ascii="Arial" w:hAnsi="Arial" w:cs="Arial"/>
                <w:sz w:val="18"/>
                <w:szCs w:val="18"/>
              </w:rPr>
              <w:t>≥</w:t>
            </w:r>
            <w:r w:rsidR="005E523B">
              <w:rPr>
                <w:rFonts w:ascii="Arial" w:hAnsi="Arial" w:cs="Arial"/>
                <w:sz w:val="18"/>
                <w:szCs w:val="18"/>
              </w:rPr>
              <w:t xml:space="preserve"> </w:t>
            </w:r>
            <w:r>
              <w:rPr>
                <w:rFonts w:ascii="Arial" w:hAnsi="Arial" w:cs="Arial"/>
                <w:color w:val="000000"/>
                <w:sz w:val="18"/>
                <w:szCs w:val="18"/>
              </w:rPr>
              <w:t>35 mph.</w:t>
            </w:r>
          </w:p>
          <w:p w14:paraId="1B79B079" w14:textId="7A207A6F" w:rsidR="005E523B" w:rsidRDefault="005E523B" w:rsidP="00172E64">
            <w:pPr>
              <w:pStyle w:val="xmsonormal"/>
              <w:numPr>
                <w:ilvl w:val="0"/>
                <w:numId w:val="194"/>
              </w:numPr>
              <w:spacing w:line="252" w:lineRule="auto"/>
              <w:rPr>
                <w:rFonts w:ascii="Arial" w:hAnsi="Arial" w:cs="Arial"/>
                <w:color w:val="000000"/>
                <w:sz w:val="18"/>
                <w:szCs w:val="18"/>
              </w:rPr>
            </w:pPr>
            <w:r>
              <w:rPr>
                <w:rFonts w:ascii="Arial" w:hAnsi="Arial" w:cs="Arial"/>
                <w:color w:val="000000"/>
                <w:sz w:val="18"/>
                <w:szCs w:val="18"/>
              </w:rPr>
              <w:t>Freeway/highway off ramps</w:t>
            </w:r>
            <w:r>
              <w:rPr>
                <w:rFonts w:ascii="Arial" w:hAnsi="Arial" w:cs="Arial"/>
                <w:sz w:val="18"/>
                <w:szCs w:val="18"/>
              </w:rPr>
              <w:t>, where highway speed limit</w:t>
            </w:r>
            <w:r w:rsidRPr="005E523B">
              <w:rPr>
                <w:rFonts w:ascii="Arial" w:hAnsi="Arial" w:cs="Arial"/>
                <w:sz w:val="18"/>
                <w:szCs w:val="18"/>
              </w:rPr>
              <w:t xml:space="preserve"> </w:t>
            </w:r>
            <w:r>
              <w:rPr>
                <w:rFonts w:ascii="Arial" w:hAnsi="Arial" w:cs="Arial"/>
                <w:sz w:val="18"/>
                <w:szCs w:val="18"/>
              </w:rPr>
              <w:t>&lt;</w:t>
            </w:r>
            <w:r w:rsidRPr="005E523B">
              <w:rPr>
                <w:rFonts w:ascii="Arial" w:hAnsi="Arial" w:cs="Arial"/>
                <w:sz w:val="18"/>
                <w:szCs w:val="18"/>
              </w:rPr>
              <w:t xml:space="preserve"> 55 mph</w:t>
            </w:r>
            <w:r>
              <w:rPr>
                <w:rFonts w:ascii="Arial" w:hAnsi="Arial" w:cs="Arial"/>
                <w:sz w:val="18"/>
                <w:szCs w:val="18"/>
              </w:rPr>
              <w:t>.</w:t>
            </w:r>
          </w:p>
        </w:tc>
      </w:tr>
      <w:tr w:rsidR="007C104F" w14:paraId="60159D59" w14:textId="77777777" w:rsidTr="007C104F">
        <w:trPr>
          <w:trHeight w:val="385"/>
        </w:trPr>
        <w:tc>
          <w:tcPr>
            <w:tcW w:w="947" w:type="pct"/>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255E5E7" w14:textId="77777777" w:rsidR="007C104F" w:rsidRDefault="007C104F">
            <w:pPr>
              <w:pStyle w:val="xmsonormal"/>
              <w:spacing w:line="252" w:lineRule="auto"/>
              <w:jc w:val="center"/>
            </w:pPr>
            <w:r>
              <w:rPr>
                <w:rFonts w:ascii="Arial" w:hAnsi="Arial" w:cs="Arial"/>
                <w:color w:val="000000"/>
                <w:sz w:val="18"/>
                <w:szCs w:val="18"/>
              </w:rPr>
              <w:t>3</w:t>
            </w:r>
          </w:p>
        </w:tc>
        <w:tc>
          <w:tcPr>
            <w:tcW w:w="4053" w:type="pct"/>
            <w:tcBorders>
              <w:top w:val="single" w:sz="4" w:space="0" w:color="auto"/>
              <w:left w:val="nil"/>
              <w:bottom w:val="single" w:sz="4" w:space="0" w:color="auto"/>
              <w:right w:val="single" w:sz="8" w:space="0" w:color="auto"/>
            </w:tcBorders>
            <w:shd w:val="clear" w:color="auto" w:fill="FFFFFF"/>
            <w:tcMar>
              <w:top w:w="0" w:type="dxa"/>
              <w:left w:w="108" w:type="dxa"/>
              <w:bottom w:w="0" w:type="dxa"/>
              <w:right w:w="108" w:type="dxa"/>
            </w:tcMar>
            <w:vAlign w:val="center"/>
            <w:hideMark/>
          </w:tcPr>
          <w:p w14:paraId="74619ECA" w14:textId="77777777" w:rsidR="007C104F" w:rsidRDefault="007C104F" w:rsidP="00172E64">
            <w:pPr>
              <w:pStyle w:val="xmsonormal"/>
              <w:numPr>
                <w:ilvl w:val="0"/>
                <w:numId w:val="194"/>
              </w:numPr>
              <w:spacing w:line="252" w:lineRule="auto"/>
            </w:pPr>
            <w:r>
              <w:rPr>
                <w:rFonts w:ascii="Arial" w:hAnsi="Arial" w:cs="Arial"/>
                <w:color w:val="000000"/>
                <w:sz w:val="18"/>
                <w:szCs w:val="18"/>
              </w:rPr>
              <w:t>All other situations.</w:t>
            </w:r>
          </w:p>
        </w:tc>
      </w:tr>
    </w:tbl>
    <w:p w14:paraId="518D06E0" w14:textId="77777777" w:rsidR="007C104F" w:rsidRDefault="007C104F" w:rsidP="007C104F">
      <w:pPr>
        <w:pStyle w:val="ListNumber"/>
        <w:tabs>
          <w:tab w:val="clear" w:pos="720"/>
          <w:tab w:val="clear" w:pos="1872"/>
        </w:tabs>
        <w:ind w:left="1080" w:firstLine="0"/>
        <w:jc w:val="both"/>
      </w:pPr>
    </w:p>
    <w:p w14:paraId="38032208" w14:textId="4087CFFD" w:rsidR="001A15B9" w:rsidRDefault="00603B2F" w:rsidP="00172E64">
      <w:pPr>
        <w:pStyle w:val="ListNumber"/>
        <w:numPr>
          <w:ilvl w:val="0"/>
          <w:numId w:val="86"/>
        </w:numPr>
        <w:tabs>
          <w:tab w:val="clear" w:pos="1872"/>
          <w:tab w:val="num" w:pos="1080"/>
        </w:tabs>
        <w:ind w:left="1080" w:hanging="1080"/>
        <w:jc w:val="both"/>
      </w:pPr>
      <w:r>
        <w:t>Input the existing IRI, SC</w:t>
      </w:r>
      <w:r w:rsidR="00D4328C">
        <w:t>D</w:t>
      </w:r>
      <w:r>
        <w:t>, FC</w:t>
      </w:r>
      <w:r w:rsidR="00D4328C">
        <w:t>D</w:t>
      </w:r>
      <w:r>
        <w:t>, Rut and FN in the “Existing Performance Value” row.</w:t>
      </w:r>
      <w:r w:rsidR="00C05F53">
        <w:t xml:space="preserve">  Refer to </w:t>
      </w:r>
      <w:hyperlink w:anchor="_Identify_Existing_Values" w:history="1">
        <w:r w:rsidR="00C05F53" w:rsidRPr="00C05F53">
          <w:rPr>
            <w:rStyle w:val="Hyperlink"/>
          </w:rPr>
          <w:t>Identify Existing Values for Analysis</w:t>
        </w:r>
      </w:hyperlink>
      <w:r w:rsidR="00C05F53">
        <w:t>.</w:t>
      </w:r>
    </w:p>
    <w:p w14:paraId="6B3D5F8D" w14:textId="77777777" w:rsidR="00603B2F" w:rsidRDefault="00603B2F" w:rsidP="007E521D">
      <w:pPr>
        <w:pStyle w:val="ListNumber"/>
        <w:tabs>
          <w:tab w:val="clear" w:pos="720"/>
          <w:tab w:val="clear" w:pos="1872"/>
          <w:tab w:val="num" w:pos="1080"/>
        </w:tabs>
        <w:ind w:left="1080" w:firstLine="0"/>
        <w:jc w:val="both"/>
      </w:pPr>
      <w:r w:rsidRPr="00C02E9A">
        <w:rPr>
          <w:b/>
        </w:rPr>
        <w:t>Note:</w:t>
      </w:r>
      <w:r>
        <w:t xml:space="preserve"> Only input the values that are necessary, </w:t>
      </w:r>
      <w:r w:rsidR="00C02E9A">
        <w:t xml:space="preserve">if they meet the thresholds given in the tables </w:t>
      </w:r>
      <w:r>
        <w:t xml:space="preserve">as per </w:t>
      </w:r>
      <w:hyperlink w:anchor="_Performance_Criteria_–" w:history="1">
        <w:r w:rsidRPr="00603B2F">
          <w:rPr>
            <w:rStyle w:val="Hyperlink"/>
          </w:rPr>
          <w:t>Performance Criteria – Initial Performance Targets</w:t>
        </w:r>
      </w:hyperlink>
      <w:r w:rsidR="00C02E9A">
        <w:t>.</w:t>
      </w:r>
    </w:p>
    <w:p w14:paraId="2C878B7A" w14:textId="07E0367E" w:rsidR="001A15B9" w:rsidRDefault="00603B2F" w:rsidP="00172E64">
      <w:pPr>
        <w:pStyle w:val="ListNumber"/>
        <w:numPr>
          <w:ilvl w:val="0"/>
          <w:numId w:val="86"/>
        </w:numPr>
        <w:tabs>
          <w:tab w:val="clear" w:pos="1872"/>
          <w:tab w:val="num" w:pos="1080"/>
        </w:tabs>
        <w:ind w:left="1080" w:hanging="1080"/>
        <w:jc w:val="both"/>
      </w:pPr>
      <w:r>
        <w:t>Input the predicted values for IRI, SC</w:t>
      </w:r>
      <w:r w:rsidR="00D4328C">
        <w:t>D</w:t>
      </w:r>
      <w:r>
        <w:t>, FC</w:t>
      </w:r>
      <w:r w:rsidR="00D4328C">
        <w:t>D</w:t>
      </w:r>
      <w:r>
        <w:t xml:space="preserve">, Rut and FN that are estimated for the pavement once the treatment is placed in the “Predicted Performance Value – Post Fix” row.  These will reflect the pavement condition once preservation or rehabilitation is complete.  </w:t>
      </w:r>
      <w:r w:rsidR="00C05F53">
        <w:t xml:space="preserve">Refer to </w:t>
      </w:r>
      <w:hyperlink w:anchor="_Determine_Values_immediately" w:history="1">
        <w:r w:rsidR="00C05F53" w:rsidRPr="00C05F53">
          <w:rPr>
            <w:rStyle w:val="Hyperlink"/>
          </w:rPr>
          <w:t>Determine Values immediately after treatment</w:t>
        </w:r>
      </w:hyperlink>
      <w:r w:rsidR="00C05F53">
        <w:t>.</w:t>
      </w:r>
    </w:p>
    <w:p w14:paraId="4D7A219B" w14:textId="629D2F8A" w:rsidR="001A15B9" w:rsidRDefault="000338FE" w:rsidP="00172E64">
      <w:pPr>
        <w:pStyle w:val="ListNumber"/>
        <w:numPr>
          <w:ilvl w:val="0"/>
          <w:numId w:val="86"/>
        </w:numPr>
        <w:tabs>
          <w:tab w:val="clear" w:pos="1872"/>
          <w:tab w:val="num" w:pos="1080"/>
        </w:tabs>
        <w:ind w:left="1080" w:hanging="1080"/>
        <w:jc w:val="both"/>
      </w:pPr>
      <w:r>
        <w:t>At this point, the terminal performance targets for each distress type (IRI, SC</w:t>
      </w:r>
      <w:r w:rsidR="00D4328C">
        <w:t>D</w:t>
      </w:r>
      <w:r>
        <w:t>, FC</w:t>
      </w:r>
      <w:r w:rsidR="00D4328C">
        <w:t>D</w:t>
      </w:r>
      <w:r>
        <w:t>, Rut and FN) are calculated.  Input the number of years it will take to reach those terminal performance targets for each target, as per the procedures given in</w:t>
      </w:r>
      <w:r w:rsidR="00C05F53">
        <w:t xml:space="preserve"> </w:t>
      </w:r>
      <w:hyperlink w:anchor="_Determine_Deterioration_over" w:history="1">
        <w:r w:rsidR="00C05F53" w:rsidRPr="00C05F53">
          <w:rPr>
            <w:rStyle w:val="Hyperlink"/>
          </w:rPr>
          <w:t>Determine Deterioration over Time</w:t>
        </w:r>
      </w:hyperlink>
      <w:r>
        <w:t>.</w:t>
      </w:r>
    </w:p>
    <w:p w14:paraId="521B53AB" w14:textId="77777777" w:rsidR="00896388" w:rsidRDefault="00896388" w:rsidP="00896388">
      <w:pPr>
        <w:pStyle w:val="ListNumber"/>
        <w:tabs>
          <w:tab w:val="clear" w:pos="720"/>
          <w:tab w:val="clear" w:pos="1872"/>
          <w:tab w:val="num" w:pos="1080"/>
        </w:tabs>
        <w:ind w:left="1080" w:firstLine="0"/>
        <w:jc w:val="both"/>
      </w:pPr>
      <w:r w:rsidRPr="00896388">
        <w:rPr>
          <w:b/>
          <w:bCs/>
        </w:rPr>
        <w:t>Note:</w:t>
      </w:r>
      <w:r>
        <w:t xml:space="preserve"> For situations where the proposed fix does not improve the distress that controls RSL (for example, a patch-only project when Friction controls RSL), then:</w:t>
      </w:r>
    </w:p>
    <w:p w14:paraId="372F72D4" w14:textId="784DF2D6" w:rsidR="00896388" w:rsidRDefault="00896388" w:rsidP="00896388">
      <w:pPr>
        <w:pStyle w:val="ListNumber"/>
        <w:tabs>
          <w:tab w:val="clear" w:pos="720"/>
          <w:tab w:val="clear" w:pos="1872"/>
          <w:tab w:val="num" w:pos="1080"/>
        </w:tabs>
        <w:ind w:left="1080" w:firstLine="0"/>
        <w:jc w:val="both"/>
      </w:pPr>
      <w:r>
        <w:t>If the existing RSL is greater than 0, divide the calculated life extension by 2.  This is to recognize that there is some benefit to doing a fix to a pavement that still has life left, and deterioration is effectively slowing down even if the RSL is not changed.</w:t>
      </w:r>
    </w:p>
    <w:p w14:paraId="0A6BEB73" w14:textId="1C17720A" w:rsidR="00896388" w:rsidRDefault="00896388" w:rsidP="00896388">
      <w:pPr>
        <w:pStyle w:val="ListNumber"/>
        <w:tabs>
          <w:tab w:val="clear" w:pos="720"/>
          <w:tab w:val="clear" w:pos="1872"/>
          <w:tab w:val="num" w:pos="1080"/>
        </w:tabs>
        <w:ind w:left="1080" w:firstLine="0"/>
        <w:jc w:val="both"/>
      </w:pPr>
      <w:r>
        <w:lastRenderedPageBreak/>
        <w:t>If the existing RSL = 0, then there is no life extension.  This is because after the fix, the pavement has no life left that can deteriorate further, so it needs to be improved with the correct fix.</w:t>
      </w:r>
    </w:p>
    <w:p w14:paraId="616819FD" w14:textId="4D0CCB7D" w:rsidR="001A15B9" w:rsidRDefault="000338FE" w:rsidP="00172E64">
      <w:pPr>
        <w:pStyle w:val="ListNumber"/>
        <w:numPr>
          <w:ilvl w:val="0"/>
          <w:numId w:val="86"/>
        </w:numPr>
        <w:tabs>
          <w:tab w:val="clear" w:pos="1872"/>
          <w:tab w:val="num" w:pos="1080"/>
        </w:tabs>
        <w:ind w:left="1080" w:hanging="1080"/>
        <w:jc w:val="both"/>
      </w:pPr>
      <w:r>
        <w:t>Input the number of lane-miles for the project.</w:t>
      </w:r>
    </w:p>
    <w:p w14:paraId="0EE22708" w14:textId="04E031D1" w:rsidR="00172E64" w:rsidRPr="002E1345" w:rsidRDefault="00172E64" w:rsidP="00172E64">
      <w:pPr>
        <w:pStyle w:val="ListNumber"/>
        <w:numPr>
          <w:ilvl w:val="1"/>
          <w:numId w:val="62"/>
        </w:numPr>
        <w:tabs>
          <w:tab w:val="clear" w:pos="1872"/>
        </w:tabs>
        <w:jc w:val="both"/>
        <w:rPr>
          <w:rFonts w:cs="Arial"/>
        </w:rPr>
      </w:pPr>
      <w:r w:rsidRPr="002E1345">
        <w:rPr>
          <w:rFonts w:cs="Arial"/>
        </w:rPr>
        <w:t>The lane-miles should be adjusted based on the paving width, so that projects with wider-than-average shoulders can receive more appropriate $/LMY values</w:t>
      </w:r>
      <w:r>
        <w:rPr>
          <w:rFonts w:cs="Arial"/>
        </w:rPr>
        <w:t>, and vice-versa</w:t>
      </w:r>
      <w:r w:rsidRPr="002E1345">
        <w:rPr>
          <w:rFonts w:cs="Arial"/>
        </w:rPr>
        <w:t>.</w:t>
      </w:r>
    </w:p>
    <w:p w14:paraId="1500252A" w14:textId="77777777" w:rsidR="00172E64" w:rsidRPr="002E1345" w:rsidRDefault="00172E64" w:rsidP="00172E64">
      <w:pPr>
        <w:pStyle w:val="ListNumber"/>
        <w:numPr>
          <w:ilvl w:val="1"/>
          <w:numId w:val="62"/>
        </w:numPr>
        <w:tabs>
          <w:tab w:val="clear" w:pos="1872"/>
        </w:tabs>
        <w:jc w:val="both"/>
        <w:rPr>
          <w:rFonts w:cs="Arial"/>
        </w:rPr>
      </w:pPr>
      <w:r w:rsidRPr="002E1345">
        <w:rPr>
          <w:rFonts w:cs="Arial"/>
        </w:rPr>
        <w:t>Adjust the lane-miles by dividing the average paving width per lane-mile for the project into the average paving width per lane-mile for the project’s Maintenance Shop and applying that factor to the project’s lane-miles.</w:t>
      </w:r>
    </w:p>
    <w:p w14:paraId="419E8C22" w14:textId="77777777" w:rsidR="00172E64" w:rsidRPr="002E1345" w:rsidRDefault="00172E64" w:rsidP="00172E64">
      <w:pPr>
        <w:pStyle w:val="ListNumber"/>
        <w:tabs>
          <w:tab w:val="clear" w:pos="720"/>
          <w:tab w:val="clear" w:pos="1872"/>
          <w:tab w:val="num" w:pos="1080"/>
        </w:tabs>
        <w:jc w:val="both"/>
        <w:rPr>
          <w:rFonts w:cs="Arial"/>
        </w:rPr>
      </w:pPr>
    </w:p>
    <w:p w14:paraId="7A72BFF3" w14:textId="77777777" w:rsidR="00172E64" w:rsidRPr="002E1345" w:rsidRDefault="00172E64" w:rsidP="00172E64">
      <w:pPr>
        <w:pStyle w:val="ListNumber"/>
        <w:tabs>
          <w:tab w:val="clear" w:pos="720"/>
          <w:tab w:val="clear" w:pos="1872"/>
          <w:tab w:val="num" w:pos="1080"/>
        </w:tabs>
        <w:ind w:left="2592"/>
        <w:jc w:val="both"/>
        <w:rPr>
          <w:rFonts w:cs="Arial"/>
        </w:rPr>
      </w:pPr>
      <w:r w:rsidRPr="002E1345">
        <w:rPr>
          <w:rFonts w:cs="Arial"/>
        </w:rPr>
        <w:t>Adjusted Lane-miles = Actual Lane-miles X F</w:t>
      </w:r>
      <w:r w:rsidRPr="002E1345">
        <w:rPr>
          <w:rFonts w:cs="Arial"/>
          <w:vertAlign w:val="subscript"/>
        </w:rPr>
        <w:t>LM</w:t>
      </w:r>
    </w:p>
    <w:p w14:paraId="1F3AD80C" w14:textId="77777777" w:rsidR="00172E64" w:rsidRPr="002E1345" w:rsidRDefault="00172E64" w:rsidP="00172E64">
      <w:pPr>
        <w:pStyle w:val="ListNumber"/>
        <w:tabs>
          <w:tab w:val="clear" w:pos="720"/>
          <w:tab w:val="clear" w:pos="1872"/>
          <w:tab w:val="num" w:pos="1080"/>
        </w:tabs>
        <w:ind w:left="2592"/>
        <w:jc w:val="both"/>
        <w:rPr>
          <w:rFonts w:cs="Arial"/>
        </w:rPr>
      </w:pPr>
      <w:r w:rsidRPr="002E1345">
        <w:rPr>
          <w:rFonts w:cs="Arial"/>
        </w:rPr>
        <w:t>Where:</w:t>
      </w:r>
    </w:p>
    <w:p w14:paraId="2F7F071F" w14:textId="77777777" w:rsidR="00172E64" w:rsidRPr="002E1345" w:rsidRDefault="00172E64" w:rsidP="00172E64">
      <w:pPr>
        <w:pStyle w:val="ListNumber"/>
        <w:tabs>
          <w:tab w:val="clear" w:pos="720"/>
          <w:tab w:val="clear" w:pos="1872"/>
          <w:tab w:val="num" w:pos="1080"/>
        </w:tabs>
        <w:ind w:left="3312"/>
        <w:jc w:val="both"/>
        <w:rPr>
          <w:rFonts w:cs="Arial"/>
        </w:rPr>
      </w:pPr>
      <w:r w:rsidRPr="002E1345">
        <w:rPr>
          <w:rFonts w:cs="Arial"/>
        </w:rPr>
        <w:t>F</w:t>
      </w:r>
      <w:r w:rsidRPr="002E1345">
        <w:rPr>
          <w:rFonts w:cs="Arial"/>
          <w:vertAlign w:val="subscript"/>
        </w:rPr>
        <w:t>LM</w:t>
      </w:r>
      <w:r w:rsidRPr="002E1345">
        <w:rPr>
          <w:rFonts w:cs="Arial"/>
        </w:rPr>
        <w:t xml:space="preserve"> = Lane-Mile Factor = APW</w:t>
      </w:r>
      <w:r w:rsidRPr="002E1345">
        <w:rPr>
          <w:rFonts w:cs="Arial"/>
          <w:vertAlign w:val="subscript"/>
        </w:rPr>
        <w:t>Project/LM</w:t>
      </w:r>
      <w:r w:rsidRPr="002E1345">
        <w:rPr>
          <w:rFonts w:cs="Arial"/>
        </w:rPr>
        <w:t xml:space="preserve"> / APW</w:t>
      </w:r>
      <w:r w:rsidRPr="002E1345">
        <w:rPr>
          <w:rFonts w:cs="Arial"/>
          <w:vertAlign w:val="subscript"/>
        </w:rPr>
        <w:t>Shop/LM</w:t>
      </w:r>
    </w:p>
    <w:p w14:paraId="37410408" w14:textId="77777777" w:rsidR="00172E64" w:rsidRPr="002E1345" w:rsidRDefault="00172E64" w:rsidP="00172E64">
      <w:pPr>
        <w:pStyle w:val="ListNumber"/>
        <w:tabs>
          <w:tab w:val="clear" w:pos="720"/>
          <w:tab w:val="clear" w:pos="1872"/>
          <w:tab w:val="num" w:pos="1080"/>
        </w:tabs>
        <w:ind w:left="2592"/>
        <w:jc w:val="both"/>
        <w:rPr>
          <w:rFonts w:cs="Arial"/>
        </w:rPr>
      </w:pPr>
    </w:p>
    <w:p w14:paraId="54448397" w14:textId="77777777" w:rsidR="00172E64" w:rsidRPr="002E1345" w:rsidRDefault="00172E64" w:rsidP="00172E64">
      <w:pPr>
        <w:ind w:left="2160"/>
        <w:rPr>
          <w:rFonts w:ascii="Arial" w:hAnsi="Arial" w:cs="Arial"/>
        </w:rPr>
      </w:pPr>
      <w:r w:rsidRPr="002E1345">
        <w:rPr>
          <w:rFonts w:ascii="Arial" w:hAnsi="Arial" w:cs="Arial"/>
        </w:rPr>
        <w:t>APW</w:t>
      </w:r>
      <w:r w:rsidRPr="002E1345">
        <w:rPr>
          <w:rFonts w:ascii="Arial" w:hAnsi="Arial" w:cs="Arial"/>
          <w:vertAlign w:val="subscript"/>
        </w:rPr>
        <w:t>Project/LM</w:t>
      </w:r>
      <w:r w:rsidRPr="002E1345">
        <w:rPr>
          <w:rFonts w:ascii="Arial" w:hAnsi="Arial" w:cs="Arial"/>
        </w:rPr>
        <w:t xml:space="preserve"> = Project Paving Width per Lane-Mile = APW/LM</w:t>
      </w:r>
    </w:p>
    <w:p w14:paraId="63792C24" w14:textId="77777777" w:rsidR="00172E64" w:rsidRPr="002E1345" w:rsidRDefault="00172E64" w:rsidP="00172E64">
      <w:pPr>
        <w:ind w:left="2160"/>
        <w:rPr>
          <w:rFonts w:ascii="Arial" w:hAnsi="Arial" w:cs="Arial"/>
        </w:rPr>
      </w:pPr>
      <w:r w:rsidRPr="002E1345">
        <w:rPr>
          <w:rFonts w:ascii="Arial" w:hAnsi="Arial" w:cs="Arial"/>
        </w:rPr>
        <w:t>APW = The average paving width for the project</w:t>
      </w:r>
    </w:p>
    <w:p w14:paraId="3A9F5DAF" w14:textId="77777777" w:rsidR="00172E64" w:rsidRPr="002E1345" w:rsidRDefault="00172E64" w:rsidP="00172E64">
      <w:pPr>
        <w:ind w:left="2160"/>
        <w:rPr>
          <w:rFonts w:ascii="Arial" w:hAnsi="Arial" w:cs="Arial"/>
        </w:rPr>
      </w:pPr>
      <w:r w:rsidRPr="002E1345">
        <w:rPr>
          <w:rFonts w:ascii="Arial" w:hAnsi="Arial" w:cs="Arial"/>
        </w:rPr>
        <w:t>LM = Lane-miles for the project.</w:t>
      </w:r>
    </w:p>
    <w:p w14:paraId="0ED9DF0A" w14:textId="77777777" w:rsidR="00172E64" w:rsidRDefault="00172E64" w:rsidP="00172E64">
      <w:pPr>
        <w:ind w:left="2160"/>
        <w:rPr>
          <w:rFonts w:ascii="Arial" w:hAnsi="Arial" w:cs="Arial"/>
        </w:rPr>
      </w:pPr>
      <w:r w:rsidRPr="002E1345">
        <w:rPr>
          <w:rFonts w:ascii="Arial" w:hAnsi="Arial" w:cs="Arial"/>
        </w:rPr>
        <w:t>APW</w:t>
      </w:r>
      <w:r w:rsidRPr="002E1345">
        <w:rPr>
          <w:rFonts w:ascii="Arial" w:hAnsi="Arial" w:cs="Arial"/>
          <w:vertAlign w:val="subscript"/>
        </w:rPr>
        <w:t>Shop/LM</w:t>
      </w:r>
      <w:r w:rsidRPr="002E1345">
        <w:rPr>
          <w:rFonts w:ascii="Arial" w:hAnsi="Arial" w:cs="Arial"/>
        </w:rPr>
        <w:t xml:space="preserve"> = The average paving width per lane-mile for the project’s Maintenance Shop, from the following table.</w:t>
      </w:r>
    </w:p>
    <w:p w14:paraId="574E3BA7" w14:textId="6C4558D2" w:rsidR="00172E64" w:rsidRDefault="00172E64" w:rsidP="00172E64">
      <w:pPr>
        <w:pStyle w:val="ListNumber"/>
        <w:numPr>
          <w:ilvl w:val="1"/>
          <w:numId w:val="62"/>
        </w:numPr>
        <w:tabs>
          <w:tab w:val="clear" w:pos="1872"/>
        </w:tabs>
        <w:jc w:val="both"/>
        <w:rPr>
          <w:rFonts w:cs="Arial"/>
        </w:rPr>
      </w:pPr>
      <w:r>
        <w:rPr>
          <w:rFonts w:cs="Arial"/>
        </w:rPr>
        <w:t>The F</w:t>
      </w:r>
      <w:r w:rsidRPr="00172E64">
        <w:rPr>
          <w:rFonts w:cs="Arial"/>
        </w:rPr>
        <w:t>LM</w:t>
      </w:r>
      <w:r>
        <w:rPr>
          <w:rFonts w:cs="Arial"/>
        </w:rPr>
        <w:t xml:space="preserve"> factor may also be found in </w:t>
      </w:r>
      <w:hyperlink r:id="rId241" w:history="1">
        <w:r w:rsidRPr="001A2AB4">
          <w:rPr>
            <w:rStyle w:val="Hyperlink"/>
            <w:rFonts w:cs="Arial"/>
          </w:rPr>
          <w:t>PDS-14</w:t>
        </w:r>
      </w:hyperlink>
      <w:r>
        <w:rPr>
          <w:rFonts w:cs="Arial"/>
        </w:rPr>
        <w:t>.</w:t>
      </w:r>
    </w:p>
    <w:p w14:paraId="648849D2" w14:textId="77777777" w:rsidR="00172E64" w:rsidRDefault="00172E64" w:rsidP="00172E64">
      <w:pPr>
        <w:pStyle w:val="ListNumber"/>
        <w:tabs>
          <w:tab w:val="clear" w:pos="720"/>
          <w:tab w:val="clear" w:pos="1872"/>
        </w:tabs>
        <w:ind w:left="1440" w:firstLine="0"/>
        <w:jc w:val="both"/>
        <w:rPr>
          <w:rFonts w:cs="Arial"/>
        </w:rPr>
      </w:pPr>
    </w:p>
    <w:tbl>
      <w:tblPr>
        <w:tblW w:w="6030" w:type="dxa"/>
        <w:tblInd w:w="1312" w:type="dxa"/>
        <w:tblLook w:val="04A0" w:firstRow="1" w:lastRow="0" w:firstColumn="1" w:lastColumn="0" w:noHBand="0" w:noVBand="1"/>
      </w:tblPr>
      <w:tblGrid>
        <w:gridCol w:w="1880"/>
        <w:gridCol w:w="4150"/>
      </w:tblGrid>
      <w:tr w:rsidR="00172E64" w:rsidRPr="00C31529" w14:paraId="298F10BB" w14:textId="77777777" w:rsidTr="00172E64">
        <w:trPr>
          <w:trHeight w:val="300"/>
        </w:trPr>
        <w:tc>
          <w:tcPr>
            <w:tcW w:w="1880" w:type="dxa"/>
            <w:tcBorders>
              <w:top w:val="single" w:sz="4" w:space="0" w:color="000000"/>
              <w:left w:val="nil"/>
              <w:bottom w:val="single" w:sz="4" w:space="0" w:color="000000"/>
              <w:right w:val="nil"/>
            </w:tcBorders>
            <w:noWrap/>
            <w:vAlign w:val="bottom"/>
            <w:hideMark/>
          </w:tcPr>
          <w:p w14:paraId="2C57A89A"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Shop Name</w:t>
            </w:r>
          </w:p>
        </w:tc>
        <w:tc>
          <w:tcPr>
            <w:tcW w:w="4150" w:type="dxa"/>
            <w:tcBorders>
              <w:top w:val="single" w:sz="4" w:space="0" w:color="000000"/>
              <w:left w:val="nil"/>
              <w:bottom w:val="single" w:sz="4" w:space="0" w:color="000000"/>
              <w:right w:val="nil"/>
            </w:tcBorders>
            <w:noWrap/>
            <w:vAlign w:val="bottom"/>
            <w:hideMark/>
          </w:tcPr>
          <w:p w14:paraId="39EBE3CD"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Avg. Paving Width Per LM</w:t>
            </w:r>
          </w:p>
        </w:tc>
      </w:tr>
      <w:tr w:rsidR="00172E64" w:rsidRPr="00C31529" w14:paraId="18B1EE3D" w14:textId="77777777" w:rsidTr="00172E64">
        <w:trPr>
          <w:trHeight w:val="300"/>
        </w:trPr>
        <w:tc>
          <w:tcPr>
            <w:tcW w:w="1880" w:type="dxa"/>
            <w:tcBorders>
              <w:top w:val="nil"/>
              <w:left w:val="nil"/>
              <w:bottom w:val="nil"/>
              <w:right w:val="nil"/>
            </w:tcBorders>
            <w:shd w:val="clear" w:color="D9D9D9" w:fill="D9D9D9"/>
            <w:noWrap/>
            <w:vAlign w:val="bottom"/>
            <w:hideMark/>
          </w:tcPr>
          <w:p w14:paraId="7081A6EE"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Cambridge</w:t>
            </w:r>
          </w:p>
        </w:tc>
        <w:tc>
          <w:tcPr>
            <w:tcW w:w="4150" w:type="dxa"/>
            <w:tcBorders>
              <w:top w:val="nil"/>
              <w:left w:val="nil"/>
              <w:bottom w:val="nil"/>
              <w:right w:val="nil"/>
            </w:tcBorders>
            <w:shd w:val="clear" w:color="D9D9D9" w:fill="D9D9D9"/>
            <w:noWrap/>
            <w:vAlign w:val="bottom"/>
            <w:hideMark/>
          </w:tcPr>
          <w:p w14:paraId="38EDDFDD"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16.2</w:t>
            </w:r>
          </w:p>
        </w:tc>
      </w:tr>
      <w:tr w:rsidR="00172E64" w:rsidRPr="00C31529" w14:paraId="21F2406D" w14:textId="77777777" w:rsidTr="00172E64">
        <w:trPr>
          <w:trHeight w:val="300"/>
        </w:trPr>
        <w:tc>
          <w:tcPr>
            <w:tcW w:w="1880" w:type="dxa"/>
            <w:tcBorders>
              <w:top w:val="nil"/>
              <w:left w:val="nil"/>
              <w:bottom w:val="nil"/>
              <w:right w:val="nil"/>
            </w:tcBorders>
            <w:noWrap/>
            <w:vAlign w:val="bottom"/>
            <w:hideMark/>
          </w:tcPr>
          <w:p w14:paraId="7D0D628A"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Princess Anne</w:t>
            </w:r>
          </w:p>
        </w:tc>
        <w:tc>
          <w:tcPr>
            <w:tcW w:w="4150" w:type="dxa"/>
            <w:tcBorders>
              <w:top w:val="nil"/>
              <w:left w:val="nil"/>
              <w:bottom w:val="nil"/>
              <w:right w:val="nil"/>
            </w:tcBorders>
            <w:noWrap/>
            <w:vAlign w:val="bottom"/>
            <w:hideMark/>
          </w:tcPr>
          <w:p w14:paraId="058A33CF"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14.8</w:t>
            </w:r>
          </w:p>
        </w:tc>
      </w:tr>
      <w:tr w:rsidR="00172E64" w:rsidRPr="00C31529" w14:paraId="7A39C401" w14:textId="77777777" w:rsidTr="00172E64">
        <w:trPr>
          <w:trHeight w:val="300"/>
        </w:trPr>
        <w:tc>
          <w:tcPr>
            <w:tcW w:w="1880" w:type="dxa"/>
            <w:tcBorders>
              <w:top w:val="nil"/>
              <w:left w:val="nil"/>
              <w:bottom w:val="nil"/>
              <w:right w:val="nil"/>
            </w:tcBorders>
            <w:shd w:val="clear" w:color="D9D9D9" w:fill="D9D9D9"/>
            <w:noWrap/>
            <w:vAlign w:val="bottom"/>
            <w:hideMark/>
          </w:tcPr>
          <w:p w14:paraId="659E6039"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Salisbury</w:t>
            </w:r>
          </w:p>
        </w:tc>
        <w:tc>
          <w:tcPr>
            <w:tcW w:w="4150" w:type="dxa"/>
            <w:tcBorders>
              <w:top w:val="nil"/>
              <w:left w:val="nil"/>
              <w:bottom w:val="nil"/>
              <w:right w:val="nil"/>
            </w:tcBorders>
            <w:shd w:val="clear" w:color="D9D9D9" w:fill="D9D9D9"/>
            <w:noWrap/>
            <w:vAlign w:val="bottom"/>
            <w:hideMark/>
          </w:tcPr>
          <w:p w14:paraId="07DE679E"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16.1</w:t>
            </w:r>
          </w:p>
        </w:tc>
      </w:tr>
      <w:tr w:rsidR="00172E64" w:rsidRPr="00C31529" w14:paraId="0FEB318F" w14:textId="77777777" w:rsidTr="00172E64">
        <w:trPr>
          <w:trHeight w:val="300"/>
        </w:trPr>
        <w:tc>
          <w:tcPr>
            <w:tcW w:w="1880" w:type="dxa"/>
            <w:tcBorders>
              <w:top w:val="nil"/>
              <w:left w:val="nil"/>
              <w:bottom w:val="nil"/>
              <w:right w:val="nil"/>
            </w:tcBorders>
            <w:noWrap/>
            <w:vAlign w:val="bottom"/>
            <w:hideMark/>
          </w:tcPr>
          <w:p w14:paraId="15214FA1"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Snow Hill</w:t>
            </w:r>
          </w:p>
        </w:tc>
        <w:tc>
          <w:tcPr>
            <w:tcW w:w="4150" w:type="dxa"/>
            <w:tcBorders>
              <w:top w:val="nil"/>
              <w:left w:val="nil"/>
              <w:bottom w:val="nil"/>
              <w:right w:val="nil"/>
            </w:tcBorders>
            <w:noWrap/>
            <w:vAlign w:val="bottom"/>
            <w:hideMark/>
          </w:tcPr>
          <w:p w14:paraId="39F8914E"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15.9</w:t>
            </w:r>
          </w:p>
        </w:tc>
      </w:tr>
      <w:tr w:rsidR="00172E64" w:rsidRPr="00C31529" w14:paraId="079BF846" w14:textId="77777777" w:rsidTr="00172E64">
        <w:trPr>
          <w:trHeight w:val="300"/>
        </w:trPr>
        <w:tc>
          <w:tcPr>
            <w:tcW w:w="1880" w:type="dxa"/>
            <w:tcBorders>
              <w:top w:val="nil"/>
              <w:left w:val="nil"/>
              <w:bottom w:val="nil"/>
              <w:right w:val="nil"/>
            </w:tcBorders>
            <w:shd w:val="clear" w:color="D9D9D9" w:fill="D9D9D9"/>
            <w:noWrap/>
            <w:vAlign w:val="bottom"/>
            <w:hideMark/>
          </w:tcPr>
          <w:p w14:paraId="4CD8F4B8"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Centreville</w:t>
            </w:r>
          </w:p>
        </w:tc>
        <w:tc>
          <w:tcPr>
            <w:tcW w:w="4150" w:type="dxa"/>
            <w:tcBorders>
              <w:top w:val="nil"/>
              <w:left w:val="nil"/>
              <w:bottom w:val="nil"/>
              <w:right w:val="nil"/>
            </w:tcBorders>
            <w:shd w:val="clear" w:color="D9D9D9" w:fill="D9D9D9"/>
            <w:noWrap/>
            <w:vAlign w:val="bottom"/>
            <w:hideMark/>
          </w:tcPr>
          <w:p w14:paraId="3A311268"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17.0</w:t>
            </w:r>
          </w:p>
        </w:tc>
      </w:tr>
      <w:tr w:rsidR="00172E64" w:rsidRPr="00C31529" w14:paraId="4DECB00E" w14:textId="77777777" w:rsidTr="00172E64">
        <w:trPr>
          <w:trHeight w:val="300"/>
        </w:trPr>
        <w:tc>
          <w:tcPr>
            <w:tcW w:w="1880" w:type="dxa"/>
            <w:tcBorders>
              <w:top w:val="nil"/>
              <w:left w:val="nil"/>
              <w:bottom w:val="nil"/>
              <w:right w:val="nil"/>
            </w:tcBorders>
            <w:noWrap/>
            <w:vAlign w:val="bottom"/>
            <w:hideMark/>
          </w:tcPr>
          <w:p w14:paraId="05905CC4"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Chestertown</w:t>
            </w:r>
          </w:p>
        </w:tc>
        <w:tc>
          <w:tcPr>
            <w:tcW w:w="4150" w:type="dxa"/>
            <w:tcBorders>
              <w:top w:val="nil"/>
              <w:left w:val="nil"/>
              <w:bottom w:val="nil"/>
              <w:right w:val="nil"/>
            </w:tcBorders>
            <w:noWrap/>
            <w:vAlign w:val="bottom"/>
            <w:hideMark/>
          </w:tcPr>
          <w:p w14:paraId="0E437BAF"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16.1</w:t>
            </w:r>
          </w:p>
        </w:tc>
      </w:tr>
      <w:tr w:rsidR="00172E64" w:rsidRPr="00C31529" w14:paraId="610515FE" w14:textId="77777777" w:rsidTr="00172E64">
        <w:trPr>
          <w:trHeight w:val="300"/>
        </w:trPr>
        <w:tc>
          <w:tcPr>
            <w:tcW w:w="1880" w:type="dxa"/>
            <w:tcBorders>
              <w:top w:val="nil"/>
              <w:left w:val="nil"/>
              <w:bottom w:val="nil"/>
              <w:right w:val="nil"/>
            </w:tcBorders>
            <w:shd w:val="clear" w:color="D9D9D9" w:fill="D9D9D9"/>
            <w:noWrap/>
            <w:vAlign w:val="bottom"/>
            <w:hideMark/>
          </w:tcPr>
          <w:p w14:paraId="0C2AEDDE"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Denton</w:t>
            </w:r>
          </w:p>
        </w:tc>
        <w:tc>
          <w:tcPr>
            <w:tcW w:w="4150" w:type="dxa"/>
            <w:tcBorders>
              <w:top w:val="nil"/>
              <w:left w:val="nil"/>
              <w:bottom w:val="nil"/>
              <w:right w:val="nil"/>
            </w:tcBorders>
            <w:shd w:val="clear" w:color="D9D9D9" w:fill="D9D9D9"/>
            <w:noWrap/>
            <w:vAlign w:val="bottom"/>
            <w:hideMark/>
          </w:tcPr>
          <w:p w14:paraId="65F41CE3"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18.1</w:t>
            </w:r>
          </w:p>
        </w:tc>
      </w:tr>
      <w:tr w:rsidR="00172E64" w:rsidRPr="00C31529" w14:paraId="541E3EC1" w14:textId="77777777" w:rsidTr="00172E64">
        <w:trPr>
          <w:trHeight w:val="300"/>
        </w:trPr>
        <w:tc>
          <w:tcPr>
            <w:tcW w:w="1880" w:type="dxa"/>
            <w:tcBorders>
              <w:top w:val="nil"/>
              <w:left w:val="nil"/>
              <w:bottom w:val="nil"/>
              <w:right w:val="nil"/>
            </w:tcBorders>
            <w:noWrap/>
            <w:vAlign w:val="bottom"/>
            <w:hideMark/>
          </w:tcPr>
          <w:p w14:paraId="1B298FD6"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Easton</w:t>
            </w:r>
          </w:p>
        </w:tc>
        <w:tc>
          <w:tcPr>
            <w:tcW w:w="4150" w:type="dxa"/>
            <w:tcBorders>
              <w:top w:val="nil"/>
              <w:left w:val="nil"/>
              <w:bottom w:val="nil"/>
              <w:right w:val="nil"/>
            </w:tcBorders>
            <w:noWrap/>
            <w:vAlign w:val="bottom"/>
            <w:hideMark/>
          </w:tcPr>
          <w:p w14:paraId="247FC110"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16.9</w:t>
            </w:r>
          </w:p>
        </w:tc>
      </w:tr>
      <w:tr w:rsidR="00172E64" w:rsidRPr="00C31529" w14:paraId="40DB81F5" w14:textId="77777777" w:rsidTr="00172E64">
        <w:trPr>
          <w:trHeight w:val="300"/>
        </w:trPr>
        <w:tc>
          <w:tcPr>
            <w:tcW w:w="1880" w:type="dxa"/>
            <w:tcBorders>
              <w:top w:val="nil"/>
              <w:left w:val="nil"/>
              <w:bottom w:val="nil"/>
              <w:right w:val="nil"/>
            </w:tcBorders>
            <w:shd w:val="clear" w:color="D9D9D9" w:fill="D9D9D9"/>
            <w:noWrap/>
            <w:vAlign w:val="bottom"/>
            <w:hideMark/>
          </w:tcPr>
          <w:p w14:paraId="275A57F1"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Elkton</w:t>
            </w:r>
          </w:p>
        </w:tc>
        <w:tc>
          <w:tcPr>
            <w:tcW w:w="4150" w:type="dxa"/>
            <w:tcBorders>
              <w:top w:val="nil"/>
              <w:left w:val="nil"/>
              <w:bottom w:val="nil"/>
              <w:right w:val="nil"/>
            </w:tcBorders>
            <w:shd w:val="clear" w:color="D9D9D9" w:fill="D9D9D9"/>
            <w:noWrap/>
            <w:vAlign w:val="bottom"/>
            <w:hideMark/>
          </w:tcPr>
          <w:p w14:paraId="4FEC8C9F" w14:textId="77777777" w:rsidR="00172E64" w:rsidRPr="00C31529" w:rsidRDefault="00172E64" w:rsidP="001A2AB4">
            <w:pPr>
              <w:jc w:val="center"/>
              <w:rPr>
                <w:rFonts w:ascii="Calibri" w:hAnsi="Calibri" w:cs="Calibri"/>
                <w:b/>
                <w:bCs/>
                <w:color w:val="000000"/>
              </w:rPr>
            </w:pPr>
            <w:r w:rsidRPr="00C31529">
              <w:rPr>
                <w:rFonts w:ascii="Calibri" w:hAnsi="Calibri" w:cs="Calibri"/>
                <w:b/>
                <w:bCs/>
                <w:color w:val="000000"/>
              </w:rPr>
              <w:t>17.3</w:t>
            </w:r>
          </w:p>
        </w:tc>
      </w:tr>
      <w:tr w:rsidR="00172E64" w:rsidRPr="00C31529" w14:paraId="6F7D46EC" w14:textId="77777777" w:rsidTr="00172E64">
        <w:trPr>
          <w:trHeight w:val="300"/>
        </w:trPr>
        <w:tc>
          <w:tcPr>
            <w:tcW w:w="1880" w:type="dxa"/>
            <w:tcBorders>
              <w:top w:val="nil"/>
              <w:left w:val="nil"/>
              <w:bottom w:val="nil"/>
              <w:right w:val="nil"/>
            </w:tcBorders>
            <w:noWrap/>
            <w:vAlign w:val="bottom"/>
            <w:hideMark/>
          </w:tcPr>
          <w:p w14:paraId="401577CF"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Fairland</w:t>
            </w:r>
          </w:p>
        </w:tc>
        <w:tc>
          <w:tcPr>
            <w:tcW w:w="4150" w:type="dxa"/>
            <w:tcBorders>
              <w:top w:val="nil"/>
              <w:left w:val="nil"/>
              <w:bottom w:val="nil"/>
              <w:right w:val="nil"/>
            </w:tcBorders>
            <w:noWrap/>
            <w:vAlign w:val="bottom"/>
            <w:hideMark/>
          </w:tcPr>
          <w:p w14:paraId="12A217F1"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14.2</w:t>
            </w:r>
          </w:p>
        </w:tc>
      </w:tr>
      <w:tr w:rsidR="00172E64" w:rsidRPr="00C31529" w14:paraId="0BD0E867" w14:textId="77777777" w:rsidTr="00172E64">
        <w:trPr>
          <w:trHeight w:val="300"/>
        </w:trPr>
        <w:tc>
          <w:tcPr>
            <w:tcW w:w="1880" w:type="dxa"/>
            <w:tcBorders>
              <w:top w:val="nil"/>
              <w:left w:val="nil"/>
              <w:bottom w:val="nil"/>
              <w:right w:val="nil"/>
            </w:tcBorders>
            <w:shd w:val="clear" w:color="D9D9D9" w:fill="D9D9D9"/>
            <w:noWrap/>
            <w:vAlign w:val="bottom"/>
            <w:hideMark/>
          </w:tcPr>
          <w:p w14:paraId="3416CBCA"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Gaithersburg</w:t>
            </w:r>
          </w:p>
        </w:tc>
        <w:tc>
          <w:tcPr>
            <w:tcW w:w="4150" w:type="dxa"/>
            <w:tcBorders>
              <w:top w:val="nil"/>
              <w:left w:val="nil"/>
              <w:bottom w:val="nil"/>
              <w:right w:val="nil"/>
            </w:tcBorders>
            <w:shd w:val="clear" w:color="D9D9D9" w:fill="D9D9D9"/>
            <w:noWrap/>
            <w:vAlign w:val="bottom"/>
            <w:hideMark/>
          </w:tcPr>
          <w:p w14:paraId="6994C831"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14.8</w:t>
            </w:r>
          </w:p>
        </w:tc>
      </w:tr>
      <w:tr w:rsidR="00172E64" w:rsidRPr="00C31529" w14:paraId="572F53BF" w14:textId="77777777" w:rsidTr="00172E64">
        <w:trPr>
          <w:trHeight w:val="300"/>
        </w:trPr>
        <w:tc>
          <w:tcPr>
            <w:tcW w:w="1880" w:type="dxa"/>
            <w:tcBorders>
              <w:top w:val="nil"/>
              <w:left w:val="nil"/>
              <w:bottom w:val="nil"/>
              <w:right w:val="nil"/>
            </w:tcBorders>
            <w:noWrap/>
            <w:vAlign w:val="bottom"/>
            <w:hideMark/>
          </w:tcPr>
          <w:p w14:paraId="687080C5"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Laurel</w:t>
            </w:r>
          </w:p>
        </w:tc>
        <w:tc>
          <w:tcPr>
            <w:tcW w:w="4150" w:type="dxa"/>
            <w:tcBorders>
              <w:top w:val="nil"/>
              <w:left w:val="nil"/>
              <w:bottom w:val="nil"/>
              <w:right w:val="nil"/>
            </w:tcBorders>
            <w:noWrap/>
            <w:vAlign w:val="bottom"/>
            <w:hideMark/>
          </w:tcPr>
          <w:p w14:paraId="3F08FF1A"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16.5</w:t>
            </w:r>
          </w:p>
        </w:tc>
      </w:tr>
      <w:tr w:rsidR="00172E64" w:rsidRPr="00C31529" w14:paraId="7D3967B0" w14:textId="77777777" w:rsidTr="00172E64">
        <w:trPr>
          <w:trHeight w:val="300"/>
        </w:trPr>
        <w:tc>
          <w:tcPr>
            <w:tcW w:w="1880" w:type="dxa"/>
            <w:tcBorders>
              <w:top w:val="nil"/>
              <w:left w:val="nil"/>
              <w:bottom w:val="nil"/>
              <w:right w:val="nil"/>
            </w:tcBorders>
            <w:shd w:val="clear" w:color="D9D9D9" w:fill="D9D9D9"/>
            <w:noWrap/>
            <w:vAlign w:val="bottom"/>
            <w:hideMark/>
          </w:tcPr>
          <w:p w14:paraId="4DACB548"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Upper Marlboro</w:t>
            </w:r>
          </w:p>
        </w:tc>
        <w:tc>
          <w:tcPr>
            <w:tcW w:w="4150" w:type="dxa"/>
            <w:tcBorders>
              <w:top w:val="nil"/>
              <w:left w:val="nil"/>
              <w:bottom w:val="nil"/>
              <w:right w:val="nil"/>
            </w:tcBorders>
            <w:shd w:val="clear" w:color="D9D9D9" w:fill="D9D9D9"/>
            <w:noWrap/>
            <w:vAlign w:val="bottom"/>
            <w:hideMark/>
          </w:tcPr>
          <w:p w14:paraId="75B35E66"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16.1</w:t>
            </w:r>
          </w:p>
        </w:tc>
      </w:tr>
      <w:tr w:rsidR="00172E64" w:rsidRPr="00C31529" w14:paraId="02120711" w14:textId="77777777" w:rsidTr="00172E64">
        <w:trPr>
          <w:trHeight w:val="300"/>
        </w:trPr>
        <w:tc>
          <w:tcPr>
            <w:tcW w:w="1880" w:type="dxa"/>
            <w:tcBorders>
              <w:top w:val="nil"/>
              <w:left w:val="nil"/>
              <w:bottom w:val="nil"/>
              <w:right w:val="nil"/>
            </w:tcBorders>
            <w:noWrap/>
            <w:vAlign w:val="bottom"/>
            <w:hideMark/>
          </w:tcPr>
          <w:p w14:paraId="1E4BB5DD"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Churchville</w:t>
            </w:r>
          </w:p>
        </w:tc>
        <w:tc>
          <w:tcPr>
            <w:tcW w:w="4150" w:type="dxa"/>
            <w:tcBorders>
              <w:top w:val="nil"/>
              <w:left w:val="nil"/>
              <w:bottom w:val="nil"/>
              <w:right w:val="nil"/>
            </w:tcBorders>
            <w:noWrap/>
            <w:vAlign w:val="bottom"/>
            <w:hideMark/>
          </w:tcPr>
          <w:p w14:paraId="598C9A8D"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15.9</w:t>
            </w:r>
          </w:p>
        </w:tc>
      </w:tr>
      <w:tr w:rsidR="00172E64" w:rsidRPr="00C31529" w14:paraId="7E5C2A43" w14:textId="77777777" w:rsidTr="00172E64">
        <w:trPr>
          <w:trHeight w:val="300"/>
        </w:trPr>
        <w:tc>
          <w:tcPr>
            <w:tcW w:w="1880" w:type="dxa"/>
            <w:tcBorders>
              <w:top w:val="nil"/>
              <w:left w:val="nil"/>
              <w:bottom w:val="nil"/>
              <w:right w:val="nil"/>
            </w:tcBorders>
            <w:shd w:val="clear" w:color="D9D9D9" w:fill="D9D9D9"/>
            <w:noWrap/>
            <w:vAlign w:val="bottom"/>
            <w:hideMark/>
          </w:tcPr>
          <w:p w14:paraId="08A5C39D"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Golden Ring</w:t>
            </w:r>
          </w:p>
        </w:tc>
        <w:tc>
          <w:tcPr>
            <w:tcW w:w="4150" w:type="dxa"/>
            <w:tcBorders>
              <w:top w:val="nil"/>
              <w:left w:val="nil"/>
              <w:bottom w:val="nil"/>
              <w:right w:val="nil"/>
            </w:tcBorders>
            <w:shd w:val="clear" w:color="D9D9D9" w:fill="D9D9D9"/>
            <w:noWrap/>
            <w:vAlign w:val="bottom"/>
            <w:hideMark/>
          </w:tcPr>
          <w:p w14:paraId="5A4E067F"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17.0</w:t>
            </w:r>
          </w:p>
        </w:tc>
      </w:tr>
      <w:tr w:rsidR="00172E64" w:rsidRPr="00C31529" w14:paraId="2963C0CB" w14:textId="77777777" w:rsidTr="00172E64">
        <w:trPr>
          <w:trHeight w:val="300"/>
        </w:trPr>
        <w:tc>
          <w:tcPr>
            <w:tcW w:w="1880" w:type="dxa"/>
            <w:tcBorders>
              <w:top w:val="nil"/>
              <w:left w:val="nil"/>
              <w:bottom w:val="nil"/>
              <w:right w:val="nil"/>
            </w:tcBorders>
            <w:noWrap/>
            <w:vAlign w:val="bottom"/>
            <w:hideMark/>
          </w:tcPr>
          <w:p w14:paraId="30CE5217"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Hereford</w:t>
            </w:r>
          </w:p>
        </w:tc>
        <w:tc>
          <w:tcPr>
            <w:tcW w:w="4150" w:type="dxa"/>
            <w:tcBorders>
              <w:top w:val="nil"/>
              <w:left w:val="nil"/>
              <w:bottom w:val="nil"/>
              <w:right w:val="nil"/>
            </w:tcBorders>
            <w:noWrap/>
            <w:vAlign w:val="bottom"/>
            <w:hideMark/>
          </w:tcPr>
          <w:p w14:paraId="762FF8AB"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14.5</w:t>
            </w:r>
          </w:p>
        </w:tc>
      </w:tr>
      <w:tr w:rsidR="00172E64" w:rsidRPr="00C31529" w14:paraId="52391448" w14:textId="77777777" w:rsidTr="00172E64">
        <w:trPr>
          <w:trHeight w:val="300"/>
        </w:trPr>
        <w:tc>
          <w:tcPr>
            <w:tcW w:w="1880" w:type="dxa"/>
            <w:tcBorders>
              <w:top w:val="nil"/>
              <w:left w:val="nil"/>
              <w:bottom w:val="nil"/>
              <w:right w:val="nil"/>
            </w:tcBorders>
            <w:shd w:val="clear" w:color="D9D9D9" w:fill="D9D9D9"/>
            <w:noWrap/>
            <w:vAlign w:val="bottom"/>
            <w:hideMark/>
          </w:tcPr>
          <w:p w14:paraId="72E7EB35"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Owings Mills</w:t>
            </w:r>
          </w:p>
        </w:tc>
        <w:tc>
          <w:tcPr>
            <w:tcW w:w="4150" w:type="dxa"/>
            <w:tcBorders>
              <w:top w:val="nil"/>
              <w:left w:val="nil"/>
              <w:bottom w:val="nil"/>
              <w:right w:val="nil"/>
            </w:tcBorders>
            <w:shd w:val="clear" w:color="D9D9D9" w:fill="D9D9D9"/>
            <w:noWrap/>
            <w:vAlign w:val="bottom"/>
            <w:hideMark/>
          </w:tcPr>
          <w:p w14:paraId="46374AB0"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16.9</w:t>
            </w:r>
          </w:p>
        </w:tc>
      </w:tr>
      <w:tr w:rsidR="00172E64" w:rsidRPr="00C31529" w14:paraId="7E33EA48" w14:textId="77777777" w:rsidTr="00172E64">
        <w:trPr>
          <w:trHeight w:val="300"/>
        </w:trPr>
        <w:tc>
          <w:tcPr>
            <w:tcW w:w="1880" w:type="dxa"/>
            <w:tcBorders>
              <w:top w:val="nil"/>
              <w:left w:val="nil"/>
              <w:bottom w:val="nil"/>
              <w:right w:val="nil"/>
            </w:tcBorders>
            <w:noWrap/>
            <w:vAlign w:val="bottom"/>
            <w:hideMark/>
          </w:tcPr>
          <w:p w14:paraId="72CBFFE5"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Annapolis</w:t>
            </w:r>
          </w:p>
        </w:tc>
        <w:tc>
          <w:tcPr>
            <w:tcW w:w="4150" w:type="dxa"/>
            <w:tcBorders>
              <w:top w:val="nil"/>
              <w:left w:val="nil"/>
              <w:bottom w:val="nil"/>
              <w:right w:val="nil"/>
            </w:tcBorders>
            <w:noWrap/>
            <w:vAlign w:val="bottom"/>
            <w:hideMark/>
          </w:tcPr>
          <w:p w14:paraId="1724EA0E"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16.2</w:t>
            </w:r>
          </w:p>
        </w:tc>
      </w:tr>
      <w:tr w:rsidR="00172E64" w:rsidRPr="00C31529" w14:paraId="0B8CAF71" w14:textId="77777777" w:rsidTr="00172E64">
        <w:trPr>
          <w:trHeight w:val="300"/>
        </w:trPr>
        <w:tc>
          <w:tcPr>
            <w:tcW w:w="1880" w:type="dxa"/>
            <w:tcBorders>
              <w:top w:val="nil"/>
              <w:left w:val="nil"/>
              <w:bottom w:val="nil"/>
              <w:right w:val="nil"/>
            </w:tcBorders>
            <w:shd w:val="clear" w:color="D9D9D9" w:fill="D9D9D9"/>
            <w:noWrap/>
            <w:vAlign w:val="bottom"/>
            <w:hideMark/>
          </w:tcPr>
          <w:p w14:paraId="28AFCC23"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Glen Burnie</w:t>
            </w:r>
          </w:p>
        </w:tc>
        <w:tc>
          <w:tcPr>
            <w:tcW w:w="4150" w:type="dxa"/>
            <w:tcBorders>
              <w:top w:val="nil"/>
              <w:left w:val="nil"/>
              <w:bottom w:val="nil"/>
              <w:right w:val="nil"/>
            </w:tcBorders>
            <w:shd w:val="clear" w:color="D9D9D9" w:fill="D9D9D9"/>
            <w:noWrap/>
            <w:vAlign w:val="bottom"/>
            <w:hideMark/>
          </w:tcPr>
          <w:p w14:paraId="7B37177A"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17.7</w:t>
            </w:r>
          </w:p>
        </w:tc>
      </w:tr>
      <w:tr w:rsidR="00172E64" w:rsidRPr="00C31529" w14:paraId="6811C13D" w14:textId="77777777" w:rsidTr="00172E64">
        <w:trPr>
          <w:trHeight w:val="300"/>
        </w:trPr>
        <w:tc>
          <w:tcPr>
            <w:tcW w:w="1880" w:type="dxa"/>
            <w:tcBorders>
              <w:top w:val="nil"/>
              <w:left w:val="nil"/>
              <w:bottom w:val="nil"/>
              <w:right w:val="nil"/>
            </w:tcBorders>
            <w:noWrap/>
            <w:vAlign w:val="bottom"/>
            <w:hideMark/>
          </w:tcPr>
          <w:p w14:paraId="2F3328F1"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lastRenderedPageBreak/>
              <w:t>LaPlata</w:t>
            </w:r>
          </w:p>
        </w:tc>
        <w:tc>
          <w:tcPr>
            <w:tcW w:w="4150" w:type="dxa"/>
            <w:tcBorders>
              <w:top w:val="nil"/>
              <w:left w:val="nil"/>
              <w:bottom w:val="nil"/>
              <w:right w:val="nil"/>
            </w:tcBorders>
            <w:noWrap/>
            <w:vAlign w:val="bottom"/>
            <w:hideMark/>
          </w:tcPr>
          <w:p w14:paraId="58B66371"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16.3</w:t>
            </w:r>
          </w:p>
        </w:tc>
      </w:tr>
      <w:tr w:rsidR="00172E64" w:rsidRPr="00C31529" w14:paraId="50B9BEB4" w14:textId="77777777" w:rsidTr="00172E64">
        <w:trPr>
          <w:trHeight w:val="300"/>
        </w:trPr>
        <w:tc>
          <w:tcPr>
            <w:tcW w:w="1880" w:type="dxa"/>
            <w:tcBorders>
              <w:top w:val="nil"/>
              <w:left w:val="nil"/>
              <w:bottom w:val="nil"/>
              <w:right w:val="nil"/>
            </w:tcBorders>
            <w:shd w:val="clear" w:color="D9D9D9" w:fill="D9D9D9"/>
            <w:noWrap/>
            <w:vAlign w:val="bottom"/>
            <w:hideMark/>
          </w:tcPr>
          <w:p w14:paraId="0C2F1D2D"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Leonardtown</w:t>
            </w:r>
          </w:p>
        </w:tc>
        <w:tc>
          <w:tcPr>
            <w:tcW w:w="4150" w:type="dxa"/>
            <w:tcBorders>
              <w:top w:val="nil"/>
              <w:left w:val="nil"/>
              <w:bottom w:val="nil"/>
              <w:right w:val="nil"/>
            </w:tcBorders>
            <w:shd w:val="clear" w:color="D9D9D9" w:fill="D9D9D9"/>
            <w:noWrap/>
            <w:vAlign w:val="bottom"/>
            <w:hideMark/>
          </w:tcPr>
          <w:p w14:paraId="067EFCED"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16.3</w:t>
            </w:r>
          </w:p>
        </w:tc>
      </w:tr>
      <w:tr w:rsidR="00172E64" w:rsidRPr="00C31529" w14:paraId="4A61884B" w14:textId="77777777" w:rsidTr="00172E64">
        <w:trPr>
          <w:trHeight w:val="300"/>
        </w:trPr>
        <w:tc>
          <w:tcPr>
            <w:tcW w:w="1880" w:type="dxa"/>
            <w:tcBorders>
              <w:top w:val="nil"/>
              <w:left w:val="nil"/>
              <w:bottom w:val="nil"/>
              <w:right w:val="nil"/>
            </w:tcBorders>
            <w:noWrap/>
            <w:vAlign w:val="bottom"/>
            <w:hideMark/>
          </w:tcPr>
          <w:p w14:paraId="00D5D87C"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Prince Frederick</w:t>
            </w:r>
          </w:p>
        </w:tc>
        <w:tc>
          <w:tcPr>
            <w:tcW w:w="4150" w:type="dxa"/>
            <w:tcBorders>
              <w:top w:val="nil"/>
              <w:left w:val="nil"/>
              <w:bottom w:val="nil"/>
              <w:right w:val="nil"/>
            </w:tcBorders>
            <w:noWrap/>
            <w:vAlign w:val="bottom"/>
            <w:hideMark/>
          </w:tcPr>
          <w:p w14:paraId="26DEBF67"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16.1</w:t>
            </w:r>
          </w:p>
        </w:tc>
      </w:tr>
      <w:tr w:rsidR="00172E64" w:rsidRPr="00C31529" w14:paraId="1B2FD5D8" w14:textId="77777777" w:rsidTr="00172E64">
        <w:trPr>
          <w:trHeight w:val="300"/>
        </w:trPr>
        <w:tc>
          <w:tcPr>
            <w:tcW w:w="1880" w:type="dxa"/>
            <w:tcBorders>
              <w:top w:val="nil"/>
              <w:left w:val="nil"/>
              <w:bottom w:val="nil"/>
              <w:right w:val="nil"/>
            </w:tcBorders>
            <w:shd w:val="clear" w:color="D9D9D9" w:fill="D9D9D9"/>
            <w:noWrap/>
            <w:vAlign w:val="bottom"/>
            <w:hideMark/>
          </w:tcPr>
          <w:p w14:paraId="1AB67B3B"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Hagerstown</w:t>
            </w:r>
          </w:p>
        </w:tc>
        <w:tc>
          <w:tcPr>
            <w:tcW w:w="4150" w:type="dxa"/>
            <w:tcBorders>
              <w:top w:val="nil"/>
              <w:left w:val="nil"/>
              <w:bottom w:val="nil"/>
              <w:right w:val="nil"/>
            </w:tcBorders>
            <w:shd w:val="clear" w:color="D9D9D9" w:fill="D9D9D9"/>
            <w:noWrap/>
            <w:vAlign w:val="bottom"/>
            <w:hideMark/>
          </w:tcPr>
          <w:p w14:paraId="65A23749"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17.6</w:t>
            </w:r>
          </w:p>
        </w:tc>
      </w:tr>
      <w:tr w:rsidR="00172E64" w:rsidRPr="00C31529" w14:paraId="00B4E303" w14:textId="77777777" w:rsidTr="00172E64">
        <w:trPr>
          <w:trHeight w:val="300"/>
        </w:trPr>
        <w:tc>
          <w:tcPr>
            <w:tcW w:w="1880" w:type="dxa"/>
            <w:tcBorders>
              <w:top w:val="nil"/>
              <w:left w:val="nil"/>
              <w:bottom w:val="nil"/>
              <w:right w:val="nil"/>
            </w:tcBorders>
            <w:noWrap/>
            <w:vAlign w:val="bottom"/>
            <w:hideMark/>
          </w:tcPr>
          <w:p w14:paraId="152B8FA5"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Keyser's Ridge</w:t>
            </w:r>
          </w:p>
        </w:tc>
        <w:tc>
          <w:tcPr>
            <w:tcW w:w="4150" w:type="dxa"/>
            <w:tcBorders>
              <w:top w:val="nil"/>
              <w:left w:val="nil"/>
              <w:bottom w:val="nil"/>
              <w:right w:val="nil"/>
            </w:tcBorders>
            <w:noWrap/>
            <w:vAlign w:val="bottom"/>
            <w:hideMark/>
          </w:tcPr>
          <w:p w14:paraId="43326E0E"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17.2</w:t>
            </w:r>
          </w:p>
        </w:tc>
      </w:tr>
      <w:tr w:rsidR="00172E64" w:rsidRPr="00C31529" w14:paraId="42793BAD" w14:textId="77777777" w:rsidTr="00172E64">
        <w:trPr>
          <w:trHeight w:val="300"/>
        </w:trPr>
        <w:tc>
          <w:tcPr>
            <w:tcW w:w="1880" w:type="dxa"/>
            <w:tcBorders>
              <w:top w:val="nil"/>
              <w:left w:val="nil"/>
              <w:bottom w:val="nil"/>
              <w:right w:val="nil"/>
            </w:tcBorders>
            <w:shd w:val="clear" w:color="D9D9D9" w:fill="D9D9D9"/>
            <w:noWrap/>
            <w:vAlign w:val="bottom"/>
            <w:hideMark/>
          </w:tcPr>
          <w:p w14:paraId="367587FD"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LaVale</w:t>
            </w:r>
          </w:p>
        </w:tc>
        <w:tc>
          <w:tcPr>
            <w:tcW w:w="4150" w:type="dxa"/>
            <w:tcBorders>
              <w:top w:val="nil"/>
              <w:left w:val="nil"/>
              <w:bottom w:val="nil"/>
              <w:right w:val="nil"/>
            </w:tcBorders>
            <w:shd w:val="clear" w:color="D9D9D9" w:fill="D9D9D9"/>
            <w:noWrap/>
            <w:vAlign w:val="bottom"/>
            <w:hideMark/>
          </w:tcPr>
          <w:p w14:paraId="55EEBA98"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17.3</w:t>
            </w:r>
          </w:p>
        </w:tc>
      </w:tr>
      <w:tr w:rsidR="00172E64" w:rsidRPr="00C31529" w14:paraId="1713FA37" w14:textId="77777777" w:rsidTr="00172E64">
        <w:trPr>
          <w:trHeight w:val="300"/>
        </w:trPr>
        <w:tc>
          <w:tcPr>
            <w:tcW w:w="1880" w:type="dxa"/>
            <w:tcBorders>
              <w:top w:val="nil"/>
              <w:left w:val="nil"/>
              <w:bottom w:val="nil"/>
              <w:right w:val="nil"/>
            </w:tcBorders>
            <w:noWrap/>
            <w:vAlign w:val="bottom"/>
            <w:hideMark/>
          </w:tcPr>
          <w:p w14:paraId="3FF32940"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Dayton</w:t>
            </w:r>
          </w:p>
        </w:tc>
        <w:tc>
          <w:tcPr>
            <w:tcW w:w="4150" w:type="dxa"/>
            <w:tcBorders>
              <w:top w:val="nil"/>
              <w:left w:val="nil"/>
              <w:bottom w:val="nil"/>
              <w:right w:val="nil"/>
            </w:tcBorders>
            <w:noWrap/>
            <w:vAlign w:val="bottom"/>
            <w:hideMark/>
          </w:tcPr>
          <w:p w14:paraId="6E824813"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17.6</w:t>
            </w:r>
          </w:p>
        </w:tc>
      </w:tr>
      <w:tr w:rsidR="00172E64" w:rsidRPr="00C31529" w14:paraId="5688F083" w14:textId="77777777" w:rsidTr="00172E64">
        <w:trPr>
          <w:trHeight w:val="300"/>
        </w:trPr>
        <w:tc>
          <w:tcPr>
            <w:tcW w:w="1880" w:type="dxa"/>
            <w:tcBorders>
              <w:top w:val="nil"/>
              <w:left w:val="nil"/>
              <w:bottom w:val="nil"/>
              <w:right w:val="nil"/>
            </w:tcBorders>
            <w:shd w:val="clear" w:color="D9D9D9" w:fill="D9D9D9"/>
            <w:noWrap/>
            <w:vAlign w:val="bottom"/>
            <w:hideMark/>
          </w:tcPr>
          <w:p w14:paraId="7472C673"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Frederick</w:t>
            </w:r>
          </w:p>
        </w:tc>
        <w:tc>
          <w:tcPr>
            <w:tcW w:w="4150" w:type="dxa"/>
            <w:tcBorders>
              <w:top w:val="nil"/>
              <w:left w:val="nil"/>
              <w:bottom w:val="nil"/>
              <w:right w:val="nil"/>
            </w:tcBorders>
            <w:shd w:val="clear" w:color="D9D9D9" w:fill="D9D9D9"/>
            <w:noWrap/>
            <w:vAlign w:val="bottom"/>
            <w:hideMark/>
          </w:tcPr>
          <w:p w14:paraId="72342C00"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16.0</w:t>
            </w:r>
          </w:p>
        </w:tc>
      </w:tr>
      <w:tr w:rsidR="00172E64" w:rsidRPr="00C31529" w14:paraId="468452E0" w14:textId="77777777" w:rsidTr="00172E64">
        <w:trPr>
          <w:trHeight w:val="300"/>
        </w:trPr>
        <w:tc>
          <w:tcPr>
            <w:tcW w:w="1880" w:type="dxa"/>
            <w:tcBorders>
              <w:top w:val="nil"/>
              <w:left w:val="nil"/>
              <w:bottom w:val="single" w:sz="4" w:space="0" w:color="000000"/>
              <w:right w:val="nil"/>
            </w:tcBorders>
            <w:noWrap/>
            <w:vAlign w:val="bottom"/>
            <w:hideMark/>
          </w:tcPr>
          <w:p w14:paraId="5E7FBCD0"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Westminster</w:t>
            </w:r>
          </w:p>
        </w:tc>
        <w:tc>
          <w:tcPr>
            <w:tcW w:w="4150" w:type="dxa"/>
            <w:tcBorders>
              <w:top w:val="nil"/>
              <w:left w:val="nil"/>
              <w:bottom w:val="single" w:sz="4" w:space="0" w:color="000000"/>
              <w:right w:val="nil"/>
            </w:tcBorders>
            <w:noWrap/>
            <w:vAlign w:val="bottom"/>
            <w:hideMark/>
          </w:tcPr>
          <w:p w14:paraId="657B4EA1" w14:textId="77777777" w:rsidR="00172E64" w:rsidRPr="00C31529" w:rsidRDefault="00172E64" w:rsidP="001A2AB4">
            <w:pPr>
              <w:jc w:val="center"/>
              <w:rPr>
                <w:rFonts w:ascii="Calibri" w:hAnsi="Calibri" w:cs="Calibri"/>
                <w:color w:val="000000"/>
              </w:rPr>
            </w:pPr>
            <w:r w:rsidRPr="00C31529">
              <w:rPr>
                <w:rFonts w:ascii="Calibri" w:hAnsi="Calibri" w:cs="Calibri"/>
                <w:color w:val="000000"/>
              </w:rPr>
              <w:t>16.4</w:t>
            </w:r>
          </w:p>
        </w:tc>
      </w:tr>
    </w:tbl>
    <w:p w14:paraId="7EE76A33" w14:textId="0F5D9AA9" w:rsidR="00172E64" w:rsidRDefault="00172E64" w:rsidP="00172E64">
      <w:pPr>
        <w:pStyle w:val="ListNumber"/>
        <w:tabs>
          <w:tab w:val="clear" w:pos="720"/>
          <w:tab w:val="clear" w:pos="1872"/>
        </w:tabs>
        <w:ind w:left="1080" w:firstLine="0"/>
        <w:jc w:val="both"/>
      </w:pPr>
    </w:p>
    <w:p w14:paraId="1502ED56" w14:textId="77777777" w:rsidR="00172E64" w:rsidRDefault="00172E64" w:rsidP="00172E64">
      <w:pPr>
        <w:pStyle w:val="ListNumber"/>
        <w:tabs>
          <w:tab w:val="clear" w:pos="720"/>
          <w:tab w:val="clear" w:pos="1872"/>
        </w:tabs>
        <w:ind w:left="1080" w:firstLine="0"/>
        <w:jc w:val="both"/>
      </w:pPr>
    </w:p>
    <w:p w14:paraId="71B9E137" w14:textId="77777777" w:rsidR="001A15B9" w:rsidRDefault="000338FE" w:rsidP="00172E64">
      <w:pPr>
        <w:pStyle w:val="ListNumber"/>
        <w:numPr>
          <w:ilvl w:val="0"/>
          <w:numId w:val="86"/>
        </w:numPr>
        <w:tabs>
          <w:tab w:val="clear" w:pos="1872"/>
          <w:tab w:val="num" w:pos="1080"/>
        </w:tabs>
        <w:ind w:left="1080" w:hanging="1080"/>
        <w:jc w:val="both"/>
      </w:pPr>
      <w:r>
        <w:t>Input the total project cost</w:t>
      </w:r>
      <w:r w:rsidR="00116BA8">
        <w:t xml:space="preserve"> as per </w:t>
      </w:r>
      <w:hyperlink w:anchor="_Quantity_&amp;_Cost" w:history="1">
        <w:r w:rsidR="00116BA8" w:rsidRPr="00116BA8">
          <w:rPr>
            <w:rStyle w:val="Hyperlink"/>
          </w:rPr>
          <w:t>Quantity &amp; Cost Development</w:t>
        </w:r>
      </w:hyperlink>
      <w:r>
        <w:t xml:space="preserve">.  This is not the </w:t>
      </w:r>
      <w:r w:rsidRPr="000338FE">
        <w:rPr>
          <w:u w:val="single"/>
        </w:rPr>
        <w:t>pavement</w:t>
      </w:r>
      <w:r>
        <w:t xml:space="preserve"> cost, but the </w:t>
      </w:r>
      <w:r w:rsidRPr="000338FE">
        <w:rPr>
          <w:u w:val="single"/>
        </w:rPr>
        <w:t>total</w:t>
      </w:r>
      <w:r w:rsidRPr="000338FE">
        <w:t xml:space="preserve"> </w:t>
      </w:r>
      <w:r>
        <w:t>cost.</w:t>
      </w:r>
    </w:p>
    <w:p w14:paraId="0301E0D0" w14:textId="77777777" w:rsidR="001A15B9" w:rsidRDefault="00116BA8" w:rsidP="00172E64">
      <w:pPr>
        <w:pStyle w:val="ListNumber"/>
        <w:numPr>
          <w:ilvl w:val="0"/>
          <w:numId w:val="86"/>
        </w:numPr>
        <w:tabs>
          <w:tab w:val="clear" w:pos="1872"/>
          <w:tab w:val="num" w:pos="1080"/>
        </w:tabs>
        <w:ind w:left="1080" w:hanging="1080"/>
        <w:jc w:val="both"/>
      </w:pPr>
      <w:r>
        <w:t>The overall cost/benefit ratio is provided.  Perform this procedure for each treatment option being considered, and use as appropriate per</w:t>
      </w:r>
      <w:r w:rsidR="008D462E">
        <w:t xml:space="preserve"> </w:t>
      </w:r>
      <w:hyperlink w:anchor="_Discussion/Selection_Alternative_wi_1" w:history="1">
        <w:r w:rsidR="008D462E" w:rsidRPr="008D462E">
          <w:rPr>
            <w:rStyle w:val="Hyperlink"/>
          </w:rPr>
          <w:t>Discussion/Selection Alternative with Project Owner</w:t>
        </w:r>
      </w:hyperlink>
      <w:r>
        <w:t>.</w:t>
      </w:r>
    </w:p>
    <w:p w14:paraId="7A1A3957" w14:textId="77777777" w:rsidR="002E3FE9" w:rsidRDefault="002E3FE9" w:rsidP="007E521D">
      <w:pPr>
        <w:pStyle w:val="BodyText"/>
        <w:tabs>
          <w:tab w:val="num" w:pos="1080"/>
        </w:tabs>
        <w:ind w:left="1080" w:hanging="1080"/>
      </w:pPr>
    </w:p>
    <w:p w14:paraId="5B16BE22" w14:textId="77777777" w:rsidR="00BD07FD" w:rsidRDefault="00213B99" w:rsidP="00BE3F24">
      <w:pPr>
        <w:sectPr w:rsidR="00BD07FD" w:rsidSect="008445BF">
          <w:headerReference w:type="default" r:id="rId242"/>
          <w:footerReference w:type="default" r:id="rId243"/>
          <w:pgSz w:w="12240" w:h="15840"/>
          <w:pgMar w:top="1440" w:right="1800" w:bottom="1440" w:left="1800" w:header="720" w:footer="720" w:gutter="0"/>
          <w:pgNumType w:chapStyle="1"/>
          <w:cols w:space="720"/>
          <w:docGrid w:linePitch="272"/>
        </w:sectPr>
      </w:pPr>
      <w:r>
        <w:br w:type="page"/>
      </w:r>
    </w:p>
    <w:p w14:paraId="1289151E" w14:textId="7FD72CB8" w:rsidR="002744D8" w:rsidRDefault="00CF2D0F" w:rsidP="00172E64">
      <w:pPr>
        <w:pStyle w:val="Heading2"/>
        <w:numPr>
          <w:ilvl w:val="1"/>
          <w:numId w:val="184"/>
        </w:numPr>
        <w:ind w:left="0" w:firstLine="0"/>
      </w:pPr>
      <w:bookmarkStart w:id="501" w:name="_Pavement_Type_Selection"/>
      <w:bookmarkStart w:id="502" w:name="_Toc479160112"/>
      <w:bookmarkStart w:id="503" w:name="_Toc514058000"/>
      <w:bookmarkStart w:id="504" w:name="_Toc194932396"/>
      <w:bookmarkEnd w:id="501"/>
      <w:r>
        <w:lastRenderedPageBreak/>
        <w:t>Pavement Type Selection</w:t>
      </w:r>
      <w:bookmarkEnd w:id="502"/>
      <w:bookmarkEnd w:id="503"/>
      <w:bookmarkEnd w:id="504"/>
      <w:r>
        <w:t xml:space="preserve"> </w:t>
      </w:r>
    </w:p>
    <w:p w14:paraId="2FFBCF8E"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6A564224" w14:textId="77777777" w:rsidR="001F32D3" w:rsidRPr="008F604D" w:rsidRDefault="001F32D3" w:rsidP="002D670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Unit_Costs" w:history="1">
        <w:r w:rsidRPr="001F32D3">
          <w:rPr>
            <w:rStyle w:val="Hyperlink"/>
            <w:rFonts w:ascii="Arial" w:hAnsi="Arial" w:cs="Arial"/>
            <w:bCs/>
            <w:sz w:val="16"/>
            <w:szCs w:val="16"/>
          </w:rPr>
          <w:t>Unit Costs</w:t>
        </w:r>
      </w:hyperlink>
    </w:p>
    <w:p w14:paraId="0A344AD4" w14:textId="77777777" w:rsidR="002D6703" w:rsidRDefault="002D6703" w:rsidP="00124E28">
      <w:pPr>
        <w:pStyle w:val="BodyText"/>
        <w:spacing w:after="0"/>
        <w:jc w:val="both"/>
      </w:pPr>
    </w:p>
    <w:p w14:paraId="13276223" w14:textId="0AD99A6B" w:rsidR="0067508B" w:rsidRDefault="00213B99" w:rsidP="00BE3F24">
      <w:pPr>
        <w:pStyle w:val="BodyText"/>
        <w:jc w:val="both"/>
      </w:pPr>
      <w:r>
        <w:t>D</w:t>
      </w:r>
      <w:r w:rsidR="00ED6130">
        <w:t>etails and information about th</w:t>
      </w:r>
      <w:r>
        <w:t>e Pavement Type Selection P</w:t>
      </w:r>
      <w:r w:rsidR="00ED6130">
        <w:t xml:space="preserve">rocess </w:t>
      </w:r>
      <w:r>
        <w:t xml:space="preserve">(PTSP) </w:t>
      </w:r>
      <w:r w:rsidR="00ED6130">
        <w:t>is</w:t>
      </w:r>
      <w:r w:rsidR="00A06704">
        <w:t xml:space="preserve"> </w:t>
      </w:r>
      <w:r w:rsidR="00ED6130">
        <w:t xml:space="preserve">documented in the </w:t>
      </w:r>
      <w:hyperlink r:id="rId244" w:history="1">
        <w:r w:rsidR="008C7023">
          <w:rPr>
            <w:rStyle w:val="Hyperlink"/>
          </w:rPr>
          <w:t>MDOT-SHA</w:t>
        </w:r>
        <w:r w:rsidR="00A607DE">
          <w:rPr>
            <w:rStyle w:val="Hyperlink"/>
          </w:rPr>
          <w:t xml:space="preserve"> “Pavement Type Selection Process”</w:t>
        </w:r>
      </w:hyperlink>
      <w:r>
        <w:t xml:space="preserve">  </w:t>
      </w:r>
      <w:r w:rsidR="008C2372">
        <w:t xml:space="preserve">Refer to </w:t>
      </w:r>
      <w:hyperlink w:anchor="_Reference_Guidelines" w:history="1">
        <w:r w:rsidR="008C2372" w:rsidRPr="008C2372">
          <w:rPr>
            <w:rStyle w:val="Hyperlink"/>
          </w:rPr>
          <w:t>Reference Guidelines</w:t>
        </w:r>
      </w:hyperlink>
      <w:r w:rsidR="008C2372">
        <w:t xml:space="preserve"> for the LCCA files.  </w:t>
      </w:r>
      <w:r>
        <w:t xml:space="preserve">That process applies to major projects.  </w:t>
      </w:r>
      <w:r w:rsidR="0067508B">
        <w:t xml:space="preserve">Go to the </w:t>
      </w:r>
      <w:hyperlink w:anchor="_Forms" w:history="1">
        <w:r w:rsidR="0067508B" w:rsidRPr="0067508B">
          <w:rPr>
            <w:rStyle w:val="Hyperlink"/>
          </w:rPr>
          <w:t>Forms</w:t>
        </w:r>
      </w:hyperlink>
      <w:r w:rsidR="0067508B">
        <w:t xml:space="preserve"> section for the PTSP checklist form.</w:t>
      </w:r>
    </w:p>
    <w:p w14:paraId="68EC9840" w14:textId="1C70EBCB" w:rsidR="002744D8" w:rsidRDefault="00213B99" w:rsidP="00BE3F24">
      <w:pPr>
        <w:pStyle w:val="BodyText"/>
        <w:jc w:val="both"/>
      </w:pPr>
      <w:r>
        <w:t xml:space="preserve">For smaller projects for which the PTSP does not apply, the pavement engineer has the responsibility </w:t>
      </w:r>
      <w:r w:rsidR="00A06704">
        <w:t xml:space="preserve">for </w:t>
      </w:r>
      <w:r>
        <w:t>determining which pavement type to recommend.  This determination is based on a simple benefit/cost analysis as per</w:t>
      </w:r>
      <w:r w:rsidR="00D932A0">
        <w:t xml:space="preserve"> </w:t>
      </w:r>
      <w:hyperlink w:anchor="_Pavement_Preservation_&amp;" w:history="1">
        <w:r w:rsidR="00D932A0" w:rsidRPr="00D932A0">
          <w:rPr>
            <w:rStyle w:val="Hyperlink"/>
          </w:rPr>
          <w:t>Pavement Preservation &amp; Rehabilitation Design</w:t>
        </w:r>
      </w:hyperlink>
      <w:r w:rsidR="00CC5DB3">
        <w:t>.</w:t>
      </w:r>
    </w:p>
    <w:p w14:paraId="5799D0A6" w14:textId="77777777" w:rsidR="0017303F" w:rsidRDefault="0017303F" w:rsidP="00BE3F24">
      <w:pPr>
        <w:pStyle w:val="BodyText"/>
        <w:jc w:val="both"/>
        <w:sectPr w:rsidR="0017303F" w:rsidSect="00602E0E">
          <w:headerReference w:type="default" r:id="rId245"/>
          <w:footerReference w:type="default" r:id="rId246"/>
          <w:pgSz w:w="12240" w:h="15840"/>
          <w:pgMar w:top="1440" w:right="1800" w:bottom="1440" w:left="1800" w:header="720" w:footer="720" w:gutter="0"/>
          <w:pgNumType w:chapStyle="1"/>
          <w:cols w:space="720"/>
          <w:docGrid w:linePitch="272"/>
        </w:sectPr>
      </w:pPr>
    </w:p>
    <w:p w14:paraId="42E664BE" w14:textId="77777777" w:rsidR="009626F7" w:rsidRDefault="009626F7" w:rsidP="00BE3F24">
      <w:pPr>
        <w:rPr>
          <w:rFonts w:ascii="Arial" w:hAnsi="Arial"/>
          <w:b/>
          <w:caps/>
          <w:sz w:val="28"/>
        </w:rPr>
      </w:pPr>
      <w:r>
        <w:br w:type="page"/>
      </w:r>
    </w:p>
    <w:p w14:paraId="1BB3B135" w14:textId="4137CA20" w:rsidR="00400FEC" w:rsidRDefault="00400FEC" w:rsidP="00172E64">
      <w:pPr>
        <w:pStyle w:val="Heading2"/>
        <w:numPr>
          <w:ilvl w:val="1"/>
          <w:numId w:val="184"/>
        </w:numPr>
        <w:ind w:left="0" w:firstLine="0"/>
      </w:pPr>
      <w:bookmarkStart w:id="505" w:name="_Standard_Pavement_Designs"/>
      <w:bookmarkStart w:id="506" w:name="_Concrete_Pavement_Designs"/>
      <w:bookmarkStart w:id="507" w:name="_Toc394987827"/>
      <w:bookmarkStart w:id="508" w:name="_Toc479160113"/>
      <w:bookmarkStart w:id="509" w:name="_Toc514058001"/>
      <w:bookmarkStart w:id="510" w:name="_Toc194932397"/>
      <w:bookmarkEnd w:id="505"/>
      <w:bookmarkEnd w:id="506"/>
      <w:r>
        <w:lastRenderedPageBreak/>
        <w:t>Concrete Pavement Design</w:t>
      </w:r>
      <w:bookmarkEnd w:id="507"/>
      <w:r>
        <w:t>s</w:t>
      </w:r>
      <w:bookmarkEnd w:id="508"/>
      <w:bookmarkEnd w:id="509"/>
      <w:bookmarkEnd w:id="510"/>
      <w:r>
        <w:t xml:space="preserve"> </w:t>
      </w:r>
    </w:p>
    <w:p w14:paraId="57A1EC1C" w14:textId="77777777" w:rsidR="00400FEC" w:rsidRDefault="00400FEC" w:rsidP="00124E28">
      <w:pPr>
        <w:pStyle w:val="BodyText"/>
        <w:jc w:val="both"/>
      </w:pPr>
      <w:r w:rsidRPr="00886E4C">
        <w:t xml:space="preserve">This </w:t>
      </w:r>
      <w:r>
        <w:t>section</w:t>
      </w:r>
      <w:r w:rsidRPr="00886E4C">
        <w:t xml:space="preserve"> is intended to provide guidance on concrete </w:t>
      </w:r>
      <w:r w:rsidR="00114C08">
        <w:t xml:space="preserve">pavement designs not addressed elsewhere, such as </w:t>
      </w:r>
      <w:r w:rsidRPr="00886E4C">
        <w:t xml:space="preserve">overlay </w:t>
      </w:r>
      <w:r w:rsidR="00114C08">
        <w:t xml:space="preserve">and </w:t>
      </w:r>
      <w:hyperlink w:anchor="_Roller-Compacted_Concrete_(RCC)" w:history="1">
        <w:r w:rsidR="00114C08" w:rsidRPr="00A63F09">
          <w:rPr>
            <w:rStyle w:val="Hyperlink"/>
          </w:rPr>
          <w:t>roller-compacted concrete</w:t>
        </w:r>
      </w:hyperlink>
      <w:r w:rsidR="00114C08">
        <w:t xml:space="preserve"> </w:t>
      </w:r>
      <w:r w:rsidRPr="00886E4C">
        <w:t>design</w:t>
      </w:r>
      <w:r w:rsidR="00114C08">
        <w:t>s</w:t>
      </w:r>
      <w:r w:rsidRPr="00886E4C">
        <w:t>.</w:t>
      </w:r>
      <w:r>
        <w:t xml:space="preserve">  </w:t>
      </w:r>
    </w:p>
    <w:p w14:paraId="79EBCE4D" w14:textId="77777777" w:rsidR="00400FEC" w:rsidRPr="00886E4C" w:rsidRDefault="00400FEC" w:rsidP="00172E64">
      <w:pPr>
        <w:pStyle w:val="Heading3"/>
        <w:numPr>
          <w:ilvl w:val="2"/>
          <w:numId w:val="184"/>
        </w:numPr>
        <w:ind w:left="0" w:firstLine="0"/>
      </w:pPr>
      <w:bookmarkStart w:id="511" w:name="_Concrete_Overlay_Design_1"/>
      <w:bookmarkEnd w:id="511"/>
      <w:r>
        <w:t>Concrete Overlay Design</w:t>
      </w:r>
    </w:p>
    <w:p w14:paraId="665661E5" w14:textId="77777777" w:rsidR="00FC5EC3" w:rsidRDefault="00FC5EC3" w:rsidP="00124E28">
      <w:pPr>
        <w:pStyle w:val="BodyText"/>
        <w:jc w:val="both"/>
      </w:pPr>
      <w:r w:rsidRPr="00886E4C">
        <w:t xml:space="preserve">This section is intended to provide guidance on concrete overlay design using the </w:t>
      </w:r>
      <w:r>
        <w:t>following methods:</w:t>
      </w:r>
    </w:p>
    <w:p w14:paraId="1AF68D33" w14:textId="66E5E95C" w:rsidR="00FC5EC3" w:rsidRDefault="00FC5EC3" w:rsidP="00172E64">
      <w:pPr>
        <w:pStyle w:val="BodyText"/>
        <w:numPr>
          <w:ilvl w:val="0"/>
          <w:numId w:val="171"/>
        </w:numPr>
        <w:spacing w:after="0"/>
        <w:ind w:hanging="720"/>
        <w:jc w:val="both"/>
      </w:pPr>
      <w:hyperlink w:anchor="_Bonded_Concrete_Overlay_1" w:history="1">
        <w:r w:rsidRPr="00EB27CE">
          <w:rPr>
            <w:rStyle w:val="Hyperlink"/>
          </w:rPr>
          <w:t>Bonded Concrete Overlay of Asphalt Mechanistic-Empirical (BCOA-ME)</w:t>
        </w:r>
      </w:hyperlink>
      <w:r w:rsidRPr="00886E4C">
        <w:t xml:space="preserve"> design procedure, developed at the Univers</w:t>
      </w:r>
      <w:r w:rsidRPr="00C53623">
        <w:t>ity of Pittsburgh (used with permission).  It may</w:t>
      </w:r>
      <w:r w:rsidRPr="00886E4C">
        <w:t xml:space="preserve"> be used until such time that sufficient confidence is developed in AASH</w:t>
      </w:r>
      <w:r w:rsidR="002917AA">
        <w:t>T</w:t>
      </w:r>
      <w:r w:rsidRPr="00886E4C">
        <w:t>O’s M-E procedure.</w:t>
      </w:r>
      <w:r>
        <w:t xml:space="preserve">  </w:t>
      </w:r>
    </w:p>
    <w:p w14:paraId="7F938C6E" w14:textId="77777777" w:rsidR="00FC5EC3" w:rsidRPr="00A051CF" w:rsidRDefault="00FC5EC3" w:rsidP="00172E64">
      <w:pPr>
        <w:pStyle w:val="BodyText"/>
        <w:numPr>
          <w:ilvl w:val="0"/>
          <w:numId w:val="171"/>
        </w:numPr>
        <w:spacing w:after="0"/>
        <w:ind w:hanging="720"/>
        <w:jc w:val="both"/>
      </w:pPr>
      <w:hyperlink w:anchor="_Bonded_Concrete_Overlay" w:history="1">
        <w:r w:rsidRPr="00EB27CE">
          <w:rPr>
            <w:rStyle w:val="Hyperlink"/>
          </w:rPr>
          <w:t>Bonded Concrete Overlay of Asphalt – ACPA Procedure</w:t>
        </w:r>
      </w:hyperlink>
    </w:p>
    <w:p w14:paraId="5A7F4CEC" w14:textId="1D366689" w:rsidR="00FC5EC3" w:rsidRPr="00DC62EE" w:rsidRDefault="00FC5EC3" w:rsidP="00172E64">
      <w:pPr>
        <w:pStyle w:val="BodyText"/>
        <w:numPr>
          <w:ilvl w:val="0"/>
          <w:numId w:val="171"/>
        </w:numPr>
        <w:spacing w:after="0"/>
        <w:ind w:hanging="720"/>
        <w:jc w:val="both"/>
      </w:pPr>
      <w:hyperlink w:anchor="_Bonded_Concrete_Overlay_2" w:history="1">
        <w:r w:rsidRPr="00EB27CE">
          <w:rPr>
            <w:rStyle w:val="Hyperlink"/>
          </w:rPr>
          <w:t xml:space="preserve">Bonded Concrete Overlay of Concrete </w:t>
        </w:r>
        <w:r w:rsidR="00497C06">
          <w:rPr>
            <w:rStyle w:val="Hyperlink"/>
          </w:rPr>
          <w:t>U</w:t>
        </w:r>
        <w:r w:rsidRPr="00EB27CE">
          <w:rPr>
            <w:rStyle w:val="Hyperlink"/>
          </w:rPr>
          <w:t>sing AASHTO 1993</w:t>
        </w:r>
      </w:hyperlink>
    </w:p>
    <w:p w14:paraId="60B6E867" w14:textId="18E8DC4F" w:rsidR="00400FEC" w:rsidRDefault="00FC5EC3" w:rsidP="00172E64">
      <w:pPr>
        <w:pStyle w:val="BodyText"/>
        <w:numPr>
          <w:ilvl w:val="0"/>
          <w:numId w:val="171"/>
        </w:numPr>
        <w:spacing w:after="0"/>
        <w:ind w:hanging="720"/>
        <w:jc w:val="both"/>
      </w:pPr>
      <w:hyperlink w:anchor="_Unbonded_Concrete_Procedure" w:history="1">
        <w:r w:rsidRPr="00083504">
          <w:rPr>
            <w:rStyle w:val="Hyperlink"/>
          </w:rPr>
          <w:t xml:space="preserve">Unbonded </w:t>
        </w:r>
        <w:r w:rsidR="00A06704">
          <w:rPr>
            <w:rStyle w:val="Hyperlink"/>
          </w:rPr>
          <w:t>C</w:t>
        </w:r>
        <w:r w:rsidRPr="00083504">
          <w:rPr>
            <w:rStyle w:val="Hyperlink"/>
          </w:rPr>
          <w:t xml:space="preserve">oncrete </w:t>
        </w:r>
        <w:r w:rsidR="00497C06">
          <w:rPr>
            <w:rStyle w:val="Hyperlink"/>
          </w:rPr>
          <w:t>O</w:t>
        </w:r>
        <w:r w:rsidRPr="00083504">
          <w:rPr>
            <w:rStyle w:val="Hyperlink"/>
          </w:rPr>
          <w:t xml:space="preserve">verlays </w:t>
        </w:r>
        <w:r w:rsidR="00497C06">
          <w:rPr>
            <w:rStyle w:val="Hyperlink"/>
          </w:rPr>
          <w:t>U</w:t>
        </w:r>
        <w:r w:rsidRPr="00083504">
          <w:rPr>
            <w:rStyle w:val="Hyperlink"/>
          </w:rPr>
          <w:t>sing AASHTO 1993</w:t>
        </w:r>
      </w:hyperlink>
    </w:p>
    <w:p w14:paraId="63FE9C1F" w14:textId="77777777" w:rsidR="00FC5EC3" w:rsidRPr="00886E4C" w:rsidRDefault="00FC5EC3" w:rsidP="00172E64">
      <w:pPr>
        <w:pStyle w:val="Heading4"/>
        <w:numPr>
          <w:ilvl w:val="3"/>
          <w:numId w:val="184"/>
        </w:numPr>
        <w:spacing w:before="240"/>
        <w:ind w:left="864"/>
        <w:jc w:val="both"/>
      </w:pPr>
      <w:bookmarkStart w:id="512" w:name="_Bonded_Concrete_Overlay_1"/>
      <w:bookmarkEnd w:id="512"/>
      <w:r>
        <w:t xml:space="preserve">Bonded Concrete Overlay over Asphalt ME </w:t>
      </w:r>
      <w:r w:rsidRPr="00886E4C">
        <w:t>Procedure</w:t>
      </w:r>
      <w:r>
        <w:t xml:space="preserve"> </w:t>
      </w:r>
    </w:p>
    <w:p w14:paraId="39B82FE6" w14:textId="77777777" w:rsidR="00FC5EC3" w:rsidRDefault="00FC5EC3" w:rsidP="00A06704">
      <w:pPr>
        <w:pStyle w:val="BodyText"/>
        <w:jc w:val="both"/>
      </w:pPr>
      <w:r w:rsidRPr="00886E4C">
        <w:t>This section is intended to provide guidance on concrete overlay design using the Bonded Concrete Overlay of Asphalt Mechanistic-Empirical (BCOA-ME) design procedure, developed at the Univers</w:t>
      </w:r>
      <w:r w:rsidRPr="00C53623">
        <w:t xml:space="preserve">ity of Pittsburgh (used with permission). </w:t>
      </w:r>
    </w:p>
    <w:p w14:paraId="6A124DD7" w14:textId="77777777" w:rsidR="00FC5EC3" w:rsidRPr="00886E4C" w:rsidRDefault="00FC5EC3" w:rsidP="00A06704">
      <w:pPr>
        <w:pStyle w:val="BodyText"/>
        <w:jc w:val="both"/>
      </w:pPr>
      <w:r w:rsidRPr="00886E4C">
        <w:t xml:space="preserve">The procedure described in the following text should be followed for a concrete overlay project over asphalt (aka whitetopping).  Reference to specific design inputs for design development can be located in </w:t>
      </w:r>
      <w:hyperlink w:anchor="_Design_Input_Policies_1" w:history="1">
        <w:r w:rsidRPr="00886E4C">
          <w:rPr>
            <w:rStyle w:val="Hyperlink"/>
          </w:rPr>
          <w:t>Design Input Policies</w:t>
        </w:r>
      </w:hyperlink>
      <w:r w:rsidRPr="00886E4C">
        <w:t>.  Numerous steps contained in this procedure can be completed within several software applications that PAGD currently uses.  The software application tool available to PAGD that can be principally used to complete this procedure is available at:</w:t>
      </w:r>
    </w:p>
    <w:p w14:paraId="5B410F4A" w14:textId="77777777" w:rsidR="00FC5EC3" w:rsidRPr="00886E4C" w:rsidRDefault="00FC5EC3" w:rsidP="00A06704">
      <w:pPr>
        <w:pStyle w:val="BodyText"/>
        <w:jc w:val="both"/>
      </w:pPr>
      <w:hyperlink r:id="rId247" w:history="1">
        <w:r w:rsidRPr="00886E4C">
          <w:rPr>
            <w:rStyle w:val="Hyperlink"/>
          </w:rPr>
          <w:t>http://www.engineering.pitt.edu/Vandenbossche/BCOA-ME</w:t>
        </w:r>
      </w:hyperlink>
    </w:p>
    <w:p w14:paraId="69F47015" w14:textId="77777777" w:rsidR="00FC5EC3" w:rsidRPr="0050350A" w:rsidRDefault="00FC5EC3" w:rsidP="00A06704">
      <w:pPr>
        <w:pStyle w:val="ListNumber"/>
        <w:tabs>
          <w:tab w:val="clear" w:pos="720"/>
          <w:tab w:val="clear" w:pos="1872"/>
        </w:tabs>
        <w:ind w:left="0" w:firstLine="0"/>
        <w:jc w:val="both"/>
      </w:pPr>
      <w:r w:rsidRPr="002A7742">
        <w:t xml:space="preserve">Open </w:t>
      </w:r>
      <w:r>
        <w:t xml:space="preserve">the Design </w:t>
      </w:r>
      <w:r w:rsidRPr="0050350A">
        <w:t xml:space="preserve">Guide by clicking on the link above, then clicking on Design Guide.  </w:t>
      </w:r>
    </w:p>
    <w:p w14:paraId="617CCC8A" w14:textId="77777777" w:rsidR="00FC5EC3" w:rsidRPr="0050350A" w:rsidRDefault="00FC5EC3" w:rsidP="00124E28">
      <w:pPr>
        <w:pStyle w:val="ListNumber"/>
        <w:tabs>
          <w:tab w:val="clear" w:pos="720"/>
          <w:tab w:val="clear" w:pos="1872"/>
        </w:tabs>
        <w:spacing w:before="0"/>
        <w:ind w:left="1170" w:firstLine="0"/>
        <w:jc w:val="both"/>
      </w:pPr>
    </w:p>
    <w:p w14:paraId="0BBFAE17" w14:textId="77777777" w:rsidR="00FC5EC3" w:rsidRPr="0050350A" w:rsidRDefault="00FC5EC3" w:rsidP="00172E64">
      <w:pPr>
        <w:pStyle w:val="Heading5"/>
        <w:numPr>
          <w:ilvl w:val="4"/>
          <w:numId w:val="184"/>
        </w:numPr>
        <w:tabs>
          <w:tab w:val="left" w:pos="1800"/>
        </w:tabs>
        <w:ind w:left="1098" w:hanging="1098"/>
        <w:jc w:val="both"/>
      </w:pPr>
      <w:r w:rsidRPr="0050350A">
        <w:t>General Information</w:t>
      </w:r>
    </w:p>
    <w:p w14:paraId="538667AB" w14:textId="10D2613B" w:rsidR="00FC5EC3" w:rsidRPr="0050350A" w:rsidRDefault="00FC5EC3" w:rsidP="00172E64">
      <w:pPr>
        <w:pStyle w:val="ListNumber"/>
        <w:numPr>
          <w:ilvl w:val="0"/>
          <w:numId w:val="137"/>
        </w:numPr>
        <w:tabs>
          <w:tab w:val="clear" w:pos="1152"/>
          <w:tab w:val="clear" w:pos="1872"/>
          <w:tab w:val="num" w:pos="1080"/>
        </w:tabs>
        <w:spacing w:before="240"/>
        <w:ind w:left="1080" w:hanging="1080"/>
        <w:jc w:val="both"/>
      </w:pPr>
      <w:r w:rsidRPr="0050350A">
        <w:t>Obtain the latitude, longitude</w:t>
      </w:r>
      <w:r w:rsidR="00C07C24">
        <w:t>,</w:t>
      </w:r>
      <w:r w:rsidRPr="0050350A">
        <w:t xml:space="preserve"> and elevation information.  Click on the Geographic Information button and fill in the address, or obtain from Google Earth or similar.</w:t>
      </w:r>
    </w:p>
    <w:p w14:paraId="6643F79E" w14:textId="77777777" w:rsidR="00FC5EC3" w:rsidRPr="00E528D4" w:rsidRDefault="00FC5EC3" w:rsidP="00172E64">
      <w:pPr>
        <w:pStyle w:val="ListNumber"/>
        <w:numPr>
          <w:ilvl w:val="0"/>
          <w:numId w:val="137"/>
        </w:numPr>
        <w:tabs>
          <w:tab w:val="clear" w:pos="1152"/>
          <w:tab w:val="clear" w:pos="1872"/>
          <w:tab w:val="num" w:pos="1080"/>
        </w:tabs>
        <w:ind w:left="1080" w:hanging="1080"/>
        <w:jc w:val="both"/>
      </w:pPr>
      <w:r w:rsidRPr="0050350A">
        <w:t>Provid</w:t>
      </w:r>
      <w:r w:rsidRPr="00E528D4">
        <w:t xml:space="preserve">e design life ESALs.  Refer to </w:t>
      </w:r>
      <w:hyperlink w:anchor="_Traffic_Analysis" w:history="1">
        <w:r w:rsidRPr="00E528D4">
          <w:rPr>
            <w:rStyle w:val="Hyperlink"/>
          </w:rPr>
          <w:t>Traffic Analysis</w:t>
        </w:r>
      </w:hyperlink>
      <w:r w:rsidRPr="00E528D4">
        <w:t>.</w:t>
      </w:r>
    </w:p>
    <w:p w14:paraId="587F42D6" w14:textId="38588ED4" w:rsidR="00FC5EC3" w:rsidRPr="00E528D4" w:rsidRDefault="00FC5EC3" w:rsidP="00172E64">
      <w:pPr>
        <w:pStyle w:val="ListNumber"/>
        <w:numPr>
          <w:ilvl w:val="0"/>
          <w:numId w:val="137"/>
        </w:numPr>
        <w:tabs>
          <w:tab w:val="clear" w:pos="1152"/>
          <w:tab w:val="clear" w:pos="1872"/>
          <w:tab w:val="num" w:pos="1080"/>
        </w:tabs>
        <w:ind w:left="1080" w:hanging="1080"/>
        <w:jc w:val="both"/>
      </w:pPr>
      <w:r w:rsidRPr="00E528D4">
        <w:t>Provide Maximum Allowable Percent Slabs Cracked (%)</w:t>
      </w:r>
      <w:r w:rsidR="00535358">
        <w:t>:</w:t>
      </w:r>
      <w:r w:rsidRPr="00E528D4">
        <w:t xml:space="preserve">  </w:t>
      </w:r>
      <w:r>
        <w:t>Input 10</w:t>
      </w:r>
      <w:r w:rsidRPr="00E528D4">
        <w:t xml:space="preserve">%. </w:t>
      </w:r>
    </w:p>
    <w:p w14:paraId="2533EECD" w14:textId="77777777" w:rsidR="00FC5EC3" w:rsidRPr="00673A55" w:rsidRDefault="00FC5EC3" w:rsidP="00172E64">
      <w:pPr>
        <w:pStyle w:val="ListNumber"/>
        <w:numPr>
          <w:ilvl w:val="0"/>
          <w:numId w:val="137"/>
        </w:numPr>
        <w:tabs>
          <w:tab w:val="clear" w:pos="1152"/>
          <w:tab w:val="clear" w:pos="1872"/>
          <w:tab w:val="num" w:pos="1080"/>
        </w:tabs>
        <w:ind w:left="1080" w:hanging="1080"/>
        <w:jc w:val="both"/>
      </w:pPr>
      <w:r w:rsidRPr="00E528D4">
        <w:t xml:space="preserve">Provide </w:t>
      </w:r>
      <w:r w:rsidRPr="00673A55">
        <w:t>Reliability: Use 90%.</w:t>
      </w:r>
    </w:p>
    <w:p w14:paraId="545CE6E5" w14:textId="77777777" w:rsidR="00FC5EC3" w:rsidRPr="00673A55" w:rsidRDefault="00FC5EC3" w:rsidP="00124E28">
      <w:pPr>
        <w:pStyle w:val="ListNumber"/>
        <w:tabs>
          <w:tab w:val="clear" w:pos="720"/>
          <w:tab w:val="clear" w:pos="1872"/>
          <w:tab w:val="num" w:pos="1080"/>
        </w:tabs>
        <w:spacing w:before="0"/>
        <w:ind w:left="1080" w:hanging="1080"/>
        <w:jc w:val="both"/>
      </w:pPr>
    </w:p>
    <w:p w14:paraId="0B12B06B" w14:textId="77777777" w:rsidR="00FC5EC3" w:rsidRPr="00673A55" w:rsidRDefault="00FC5EC3" w:rsidP="00172E64">
      <w:pPr>
        <w:pStyle w:val="Heading5"/>
        <w:numPr>
          <w:ilvl w:val="4"/>
          <w:numId w:val="184"/>
        </w:numPr>
        <w:tabs>
          <w:tab w:val="left" w:pos="1800"/>
        </w:tabs>
        <w:ind w:left="1098" w:hanging="1098"/>
        <w:jc w:val="both"/>
      </w:pPr>
      <w:r w:rsidRPr="00673A55">
        <w:t>Climate</w:t>
      </w:r>
    </w:p>
    <w:p w14:paraId="6706A873" w14:textId="77777777" w:rsidR="00FC5EC3" w:rsidRDefault="00FC5EC3" w:rsidP="00172E64">
      <w:pPr>
        <w:pStyle w:val="ListNumber"/>
        <w:numPr>
          <w:ilvl w:val="0"/>
          <w:numId w:val="137"/>
        </w:numPr>
        <w:tabs>
          <w:tab w:val="clear" w:pos="1152"/>
          <w:tab w:val="clear" w:pos="1872"/>
          <w:tab w:val="num" w:pos="1080"/>
        </w:tabs>
        <w:spacing w:before="240"/>
        <w:ind w:left="1080" w:hanging="1080"/>
        <w:jc w:val="both"/>
      </w:pPr>
      <w:r w:rsidRPr="00673A55">
        <w:t>Click on th</w:t>
      </w:r>
      <w:r>
        <w:t xml:space="preserve">e </w:t>
      </w:r>
      <w:hyperlink r:id="rId248" w:history="1">
        <w:r w:rsidRPr="000772A4">
          <w:t>AMDAT Region ID</w:t>
        </w:r>
      </w:hyperlink>
      <w:r>
        <w:t xml:space="preserve"> hyperlink.  Generally, Garrett County is Region 2, west of I-95 is Region 3, and east of I-95 is Region 4.</w:t>
      </w:r>
    </w:p>
    <w:p w14:paraId="05792ABC" w14:textId="77777777" w:rsidR="00FC5EC3" w:rsidRPr="00A95AF7" w:rsidRDefault="00FC5EC3" w:rsidP="00172E64">
      <w:pPr>
        <w:pStyle w:val="ListNumber"/>
        <w:numPr>
          <w:ilvl w:val="0"/>
          <w:numId w:val="137"/>
        </w:numPr>
        <w:tabs>
          <w:tab w:val="clear" w:pos="1152"/>
          <w:tab w:val="clear" w:pos="1872"/>
          <w:tab w:val="num" w:pos="1080"/>
        </w:tabs>
        <w:ind w:left="1080" w:hanging="1080"/>
        <w:jc w:val="both"/>
      </w:pPr>
      <w:r>
        <w:t xml:space="preserve">Click on the </w:t>
      </w:r>
      <w:hyperlink r:id="rId249" w:history="1">
        <w:r w:rsidRPr="00A46C7F">
          <w:t>Map of Sunshine Zone</w:t>
        </w:r>
      </w:hyperlink>
      <w:r w:rsidRPr="00A46C7F">
        <w:t xml:space="preserve"> hyperlink.  Generally, Garrett County is Zone </w:t>
      </w:r>
      <w:r w:rsidRPr="00A95AF7">
        <w:t>5, Districts 1 and 5 are Zone 4, and the rest of the state is Zone 5.</w:t>
      </w:r>
    </w:p>
    <w:p w14:paraId="14691171" w14:textId="77777777" w:rsidR="00FC5EC3" w:rsidRPr="00A95AF7" w:rsidRDefault="00FC5EC3" w:rsidP="00124E28">
      <w:pPr>
        <w:pStyle w:val="ListNumber"/>
        <w:tabs>
          <w:tab w:val="clear" w:pos="720"/>
          <w:tab w:val="clear" w:pos="1872"/>
          <w:tab w:val="num" w:pos="1080"/>
        </w:tabs>
        <w:ind w:left="1080" w:hanging="1080"/>
        <w:jc w:val="both"/>
      </w:pPr>
    </w:p>
    <w:p w14:paraId="1DCED6CC" w14:textId="77777777" w:rsidR="00FC5EC3" w:rsidRPr="00A95AF7" w:rsidRDefault="00FC5EC3" w:rsidP="00172E64">
      <w:pPr>
        <w:pStyle w:val="Heading5"/>
        <w:numPr>
          <w:ilvl w:val="4"/>
          <w:numId w:val="184"/>
        </w:numPr>
        <w:tabs>
          <w:tab w:val="clear" w:pos="1080"/>
          <w:tab w:val="left" w:pos="1800"/>
        </w:tabs>
        <w:spacing w:before="120"/>
        <w:ind w:left="1080" w:hanging="1080"/>
        <w:jc w:val="both"/>
      </w:pPr>
      <w:r w:rsidRPr="00A95AF7">
        <w:lastRenderedPageBreak/>
        <w:t>Existing Structure</w:t>
      </w:r>
    </w:p>
    <w:p w14:paraId="2313132C" w14:textId="386C2379" w:rsidR="00FC5EC3" w:rsidRPr="00A95AF7" w:rsidRDefault="00FC5EC3" w:rsidP="00172E64">
      <w:pPr>
        <w:pStyle w:val="ListNumber"/>
        <w:numPr>
          <w:ilvl w:val="0"/>
          <w:numId w:val="137"/>
        </w:numPr>
        <w:tabs>
          <w:tab w:val="clear" w:pos="1152"/>
          <w:tab w:val="clear" w:pos="1872"/>
          <w:tab w:val="num" w:pos="1080"/>
        </w:tabs>
        <w:spacing w:before="240"/>
        <w:ind w:left="1080" w:hanging="1080"/>
        <w:jc w:val="both"/>
      </w:pPr>
      <w:r w:rsidRPr="00A95AF7">
        <w:t>Input the Post-milling HMA Thickness (in</w:t>
      </w:r>
      <w:r w:rsidR="00353543">
        <w:t>.</w:t>
      </w:r>
      <w:r w:rsidRPr="00A95AF7">
        <w:t>).</w:t>
      </w:r>
    </w:p>
    <w:p w14:paraId="2DD34844" w14:textId="2799A53C" w:rsidR="00FC5EC3" w:rsidRDefault="00FC5EC3" w:rsidP="00172E64">
      <w:pPr>
        <w:pStyle w:val="ListNumber"/>
        <w:numPr>
          <w:ilvl w:val="0"/>
          <w:numId w:val="137"/>
        </w:numPr>
        <w:tabs>
          <w:tab w:val="clear" w:pos="1152"/>
          <w:tab w:val="clear" w:pos="1872"/>
          <w:tab w:val="num" w:pos="1080"/>
        </w:tabs>
        <w:ind w:left="1080" w:hanging="1080"/>
        <w:jc w:val="both"/>
      </w:pPr>
      <w:r w:rsidRPr="00A95AF7">
        <w:t>Input whe</w:t>
      </w:r>
      <w:r>
        <w:t>ther HMA fatigue is adequate or marginal.  If less than 5% of the project area has fatigue distress</w:t>
      </w:r>
      <w:r w:rsidR="00535358">
        <w:t xml:space="preserve"> that</w:t>
      </w:r>
      <w:r>
        <w:t xml:space="preserve"> need</w:t>
      </w:r>
      <w:r w:rsidR="00535358">
        <w:t>s</w:t>
      </w:r>
      <w:r>
        <w:t xml:space="preserve"> patching, it shall be adequate.</w:t>
      </w:r>
    </w:p>
    <w:p w14:paraId="1D8824E8" w14:textId="4C64C530" w:rsidR="00FC5EC3" w:rsidRPr="009053E8" w:rsidRDefault="00FC5EC3" w:rsidP="00172E64">
      <w:pPr>
        <w:pStyle w:val="ListNumber"/>
        <w:numPr>
          <w:ilvl w:val="0"/>
          <w:numId w:val="137"/>
        </w:numPr>
        <w:tabs>
          <w:tab w:val="clear" w:pos="1152"/>
          <w:tab w:val="clear" w:pos="1872"/>
          <w:tab w:val="num" w:pos="1080"/>
        </w:tabs>
        <w:ind w:left="1080" w:hanging="1080"/>
        <w:jc w:val="both"/>
      </w:pPr>
      <w:r>
        <w:t xml:space="preserve">Calculate the </w:t>
      </w:r>
      <w:r w:rsidRPr="009053E8">
        <w:t>Composite Modulus of Subgrade Reaction, k-value (psi/in</w:t>
      </w:r>
      <w:r w:rsidR="00353543">
        <w:t>.</w:t>
      </w:r>
      <w:r w:rsidRPr="009053E8">
        <w:t>), by clicking on the k-value calculator.  Transfer the calculated value.</w:t>
      </w:r>
    </w:p>
    <w:p w14:paraId="0AFCA7B5" w14:textId="77777777" w:rsidR="00FC5EC3" w:rsidRDefault="00FC5EC3" w:rsidP="00172E64">
      <w:pPr>
        <w:pStyle w:val="ListNumber"/>
        <w:numPr>
          <w:ilvl w:val="0"/>
          <w:numId w:val="137"/>
        </w:numPr>
        <w:tabs>
          <w:tab w:val="clear" w:pos="1152"/>
          <w:tab w:val="clear" w:pos="1872"/>
          <w:tab w:val="num" w:pos="1080"/>
        </w:tabs>
        <w:ind w:left="1080" w:hanging="1080"/>
        <w:jc w:val="both"/>
      </w:pPr>
      <w:r w:rsidRPr="009053E8">
        <w:t>Answer the field of “Does the existing HMA pavement have transverse cracks?”  The answer is yes if there are any medium or high severity transverse cracks.</w:t>
      </w:r>
    </w:p>
    <w:p w14:paraId="19BA92EA" w14:textId="77777777" w:rsidR="00FC5EC3" w:rsidRPr="009053E8" w:rsidRDefault="00FC5EC3" w:rsidP="00124E28">
      <w:pPr>
        <w:pStyle w:val="ListNumber"/>
        <w:tabs>
          <w:tab w:val="clear" w:pos="720"/>
          <w:tab w:val="clear" w:pos="1872"/>
        </w:tabs>
        <w:spacing w:before="0"/>
        <w:ind w:left="1152" w:firstLine="0"/>
        <w:jc w:val="both"/>
      </w:pPr>
    </w:p>
    <w:p w14:paraId="25A2CB6A" w14:textId="77777777" w:rsidR="00FC5EC3" w:rsidRPr="00A95AF7" w:rsidRDefault="00FC5EC3" w:rsidP="00172E64">
      <w:pPr>
        <w:pStyle w:val="Heading5"/>
        <w:numPr>
          <w:ilvl w:val="4"/>
          <w:numId w:val="184"/>
        </w:numPr>
        <w:tabs>
          <w:tab w:val="left" w:pos="1800"/>
        </w:tabs>
        <w:ind w:left="1098" w:hanging="1098"/>
        <w:jc w:val="both"/>
      </w:pPr>
      <w:bookmarkStart w:id="513" w:name="_PCC_Overlay_Properties"/>
      <w:bookmarkEnd w:id="513"/>
      <w:r>
        <w:t>PCC Overlay Properties</w:t>
      </w:r>
    </w:p>
    <w:p w14:paraId="71626205" w14:textId="77777777" w:rsidR="00FC5EC3" w:rsidRPr="00032ACC" w:rsidRDefault="00FC5EC3" w:rsidP="00172E64">
      <w:pPr>
        <w:pStyle w:val="ListNumber"/>
        <w:numPr>
          <w:ilvl w:val="0"/>
          <w:numId w:val="137"/>
        </w:numPr>
        <w:tabs>
          <w:tab w:val="clear" w:pos="1152"/>
          <w:tab w:val="clear" w:pos="1872"/>
          <w:tab w:val="num" w:pos="1080"/>
        </w:tabs>
        <w:spacing w:before="240"/>
        <w:ind w:left="1080" w:hanging="1080"/>
        <w:jc w:val="both"/>
      </w:pPr>
      <w:r>
        <w:t xml:space="preserve">Input </w:t>
      </w:r>
      <w:r w:rsidRPr="00032ACC">
        <w:t>28-day compressive strength</w:t>
      </w:r>
      <w:r>
        <w:t xml:space="preserve"> or flexural strength</w:t>
      </w:r>
      <w:r w:rsidRPr="00032ACC">
        <w:t>.  Refer</w:t>
      </w:r>
      <w:r>
        <w:t xml:space="preserve"> </w:t>
      </w:r>
      <w:r w:rsidRPr="00032ACC">
        <w:t>to</w:t>
      </w:r>
      <w:r>
        <w:t xml:space="preserve"> </w:t>
      </w:r>
      <w:hyperlink w:anchor="_Strength_and_Stiffness" w:history="1">
        <w:r w:rsidRPr="00AE6B85">
          <w:rPr>
            <w:rStyle w:val="Hyperlink"/>
          </w:rPr>
          <w:t>Strength and Stiffness Properties</w:t>
        </w:r>
      </w:hyperlink>
      <w:r>
        <w:t>.</w:t>
      </w:r>
    </w:p>
    <w:p w14:paraId="665742B7" w14:textId="77777777" w:rsidR="00FC5EC3" w:rsidRDefault="00FC5EC3" w:rsidP="00172E64">
      <w:pPr>
        <w:pStyle w:val="ListNumber"/>
        <w:numPr>
          <w:ilvl w:val="0"/>
          <w:numId w:val="137"/>
        </w:numPr>
        <w:tabs>
          <w:tab w:val="clear" w:pos="1152"/>
          <w:tab w:val="clear" w:pos="1872"/>
          <w:tab w:val="num" w:pos="1080"/>
        </w:tabs>
        <w:ind w:left="1080" w:hanging="1080"/>
        <w:jc w:val="both"/>
      </w:pPr>
      <w:r w:rsidRPr="00A95AF7">
        <w:t xml:space="preserve">Input the </w:t>
      </w:r>
      <w:r w:rsidRPr="003D5AF0">
        <w:t>Estimated PCC Elastic Modulus (psi</w:t>
      </w:r>
      <w:r>
        <w:t xml:space="preserve">).  Click on the </w:t>
      </w:r>
      <w:r w:rsidRPr="00391F5D">
        <w:t>E</w:t>
      </w:r>
      <w:r w:rsidRPr="00124E28">
        <w:rPr>
          <w:vertAlign w:val="subscript"/>
        </w:rPr>
        <w:t>pcc</w:t>
      </w:r>
      <w:r>
        <w:t xml:space="preserve"> calculator button</w:t>
      </w:r>
      <w:r w:rsidRPr="00A95AF7">
        <w:t>.</w:t>
      </w:r>
    </w:p>
    <w:p w14:paraId="3CA74BB6" w14:textId="490C64E2" w:rsidR="00FC5EC3" w:rsidRDefault="00FC5EC3" w:rsidP="00172E64">
      <w:pPr>
        <w:pStyle w:val="ListNumber"/>
        <w:numPr>
          <w:ilvl w:val="0"/>
          <w:numId w:val="137"/>
        </w:numPr>
        <w:tabs>
          <w:tab w:val="clear" w:pos="1152"/>
          <w:tab w:val="clear" w:pos="1872"/>
          <w:tab w:val="num" w:pos="1080"/>
        </w:tabs>
        <w:ind w:left="1080" w:hanging="1080"/>
        <w:jc w:val="both"/>
      </w:pPr>
      <w:r>
        <w:t xml:space="preserve">Input the </w:t>
      </w:r>
      <w:r w:rsidRPr="00962B37">
        <w:t>Coefficient of Thermal Expansion (10</w:t>
      </w:r>
      <w:r w:rsidRPr="00124E28">
        <w:rPr>
          <w:vertAlign w:val="superscript"/>
        </w:rPr>
        <w:t>-6</w:t>
      </w:r>
      <w:r w:rsidRPr="00962B37">
        <w:t xml:space="preserve"> in</w:t>
      </w:r>
      <w:r w:rsidR="00C07C24">
        <w:t>ch</w:t>
      </w:r>
      <w:r w:rsidRPr="00962B37">
        <w:t>/°F/in</w:t>
      </w:r>
      <w:r w:rsidR="00C07C24">
        <w:t>ch</w:t>
      </w:r>
      <w:r w:rsidRPr="00962B37">
        <w:t xml:space="preserve">).  Refer to </w:t>
      </w:r>
      <w:hyperlink w:anchor="_Coefficient_of_Thermal_1" w:history="1">
        <w:r w:rsidRPr="00C263A6">
          <w:rPr>
            <w:rStyle w:val="Hyperlink"/>
            <w:szCs w:val="22"/>
          </w:rPr>
          <w:t>Coefficient of Thermal Expansion</w:t>
        </w:r>
      </w:hyperlink>
      <w:r>
        <w:t>.</w:t>
      </w:r>
    </w:p>
    <w:p w14:paraId="791047CD" w14:textId="77777777" w:rsidR="00FC5EC3" w:rsidRDefault="00FC5EC3" w:rsidP="00172E64">
      <w:pPr>
        <w:pStyle w:val="ListNumber"/>
        <w:numPr>
          <w:ilvl w:val="0"/>
          <w:numId w:val="137"/>
        </w:numPr>
        <w:tabs>
          <w:tab w:val="clear" w:pos="1152"/>
          <w:tab w:val="clear" w:pos="1872"/>
          <w:tab w:val="num" w:pos="1080"/>
        </w:tabs>
        <w:ind w:left="1080" w:hanging="1080"/>
        <w:jc w:val="both"/>
      </w:pPr>
      <w:r>
        <w:t>Fiber Type: select Synthetic Fibers.</w:t>
      </w:r>
    </w:p>
    <w:p w14:paraId="009F76A4" w14:textId="77777777" w:rsidR="00FC5EC3" w:rsidRDefault="00FC5EC3" w:rsidP="00172E64">
      <w:pPr>
        <w:pStyle w:val="ListNumber"/>
        <w:numPr>
          <w:ilvl w:val="0"/>
          <w:numId w:val="137"/>
        </w:numPr>
        <w:tabs>
          <w:tab w:val="clear" w:pos="1152"/>
          <w:tab w:val="clear" w:pos="1872"/>
          <w:tab w:val="num" w:pos="1080"/>
        </w:tabs>
        <w:ind w:left="1080" w:hanging="1080"/>
        <w:jc w:val="both"/>
      </w:pPr>
      <w:r>
        <w:t>Fiber Content: Input</w:t>
      </w:r>
      <w:r w:rsidRPr="002F69E0">
        <w:t xml:space="preserve"> 1.5</w:t>
      </w:r>
      <w:r>
        <w:t xml:space="preserve"> lb/yd</w:t>
      </w:r>
      <w:r w:rsidRPr="00FC5EC3">
        <w:rPr>
          <w:vertAlign w:val="superscript"/>
        </w:rPr>
        <w:t>3</w:t>
      </w:r>
      <w:r>
        <w:t>.</w:t>
      </w:r>
    </w:p>
    <w:p w14:paraId="00972C1A" w14:textId="77777777" w:rsidR="00FC5EC3" w:rsidRDefault="00FC5EC3" w:rsidP="00124E28">
      <w:pPr>
        <w:pStyle w:val="ListNumber"/>
        <w:tabs>
          <w:tab w:val="clear" w:pos="720"/>
          <w:tab w:val="clear" w:pos="1872"/>
          <w:tab w:val="num" w:pos="1080"/>
        </w:tabs>
        <w:ind w:left="1080" w:hanging="1080"/>
        <w:jc w:val="both"/>
      </w:pPr>
    </w:p>
    <w:p w14:paraId="42838F9A" w14:textId="77777777" w:rsidR="00FC5EC3" w:rsidRPr="00400FEC" w:rsidRDefault="00FC5EC3" w:rsidP="00172E64">
      <w:pPr>
        <w:pStyle w:val="Heading5"/>
        <w:numPr>
          <w:ilvl w:val="4"/>
          <w:numId w:val="184"/>
        </w:numPr>
        <w:tabs>
          <w:tab w:val="left" w:pos="1800"/>
        </w:tabs>
        <w:ind w:left="1098" w:hanging="1098"/>
        <w:jc w:val="both"/>
      </w:pPr>
      <w:r w:rsidRPr="00400FEC">
        <w:t>Joint Design</w:t>
      </w:r>
    </w:p>
    <w:p w14:paraId="4C28E816" w14:textId="596B6249" w:rsidR="00FC5EC3" w:rsidRDefault="00FC5EC3" w:rsidP="00172E64">
      <w:pPr>
        <w:pStyle w:val="ListNumber"/>
        <w:numPr>
          <w:ilvl w:val="0"/>
          <w:numId w:val="137"/>
        </w:numPr>
        <w:tabs>
          <w:tab w:val="clear" w:pos="1152"/>
          <w:tab w:val="clear" w:pos="1872"/>
          <w:tab w:val="num" w:pos="1080"/>
        </w:tabs>
        <w:spacing w:before="240"/>
        <w:ind w:left="1080" w:hanging="1080"/>
        <w:jc w:val="both"/>
      </w:pPr>
      <w:r>
        <w:t>Input the joint spacing.  Input 6 x 6 if the overlay thickness is greater than 5</w:t>
      </w:r>
      <w:r w:rsidR="00CD6DC0">
        <w:t>"</w:t>
      </w:r>
      <w:r>
        <w:t>; choose 4 x 4 if 4</w:t>
      </w:r>
      <w:r w:rsidR="00CD6DC0">
        <w:t>"</w:t>
      </w:r>
      <w:r>
        <w:t xml:space="preserve"> to 5</w:t>
      </w:r>
      <w:r w:rsidR="00CD6DC0">
        <w:t>"</w:t>
      </w:r>
      <w:r>
        <w:t>.</w:t>
      </w:r>
      <w:r w:rsidRPr="00A95AF7">
        <w:t xml:space="preserve"> </w:t>
      </w:r>
    </w:p>
    <w:p w14:paraId="585C7D1E" w14:textId="77777777" w:rsidR="00FC5EC3" w:rsidRDefault="00FC5EC3" w:rsidP="00172E64">
      <w:pPr>
        <w:pStyle w:val="ListNumber"/>
        <w:numPr>
          <w:ilvl w:val="0"/>
          <w:numId w:val="137"/>
        </w:numPr>
        <w:tabs>
          <w:tab w:val="clear" w:pos="1152"/>
          <w:tab w:val="clear" w:pos="1872"/>
          <w:tab w:val="num" w:pos="1080"/>
        </w:tabs>
        <w:ind w:left="1080" w:hanging="1080"/>
        <w:jc w:val="both"/>
      </w:pPr>
      <w:r>
        <w:t>Click Calculate Design.</w:t>
      </w:r>
    </w:p>
    <w:p w14:paraId="6F38BBAA" w14:textId="77777777" w:rsidR="00FC5EC3" w:rsidRDefault="00FC5EC3" w:rsidP="00124E28">
      <w:pPr>
        <w:pStyle w:val="BodyText"/>
        <w:spacing w:after="0"/>
        <w:jc w:val="both"/>
      </w:pPr>
    </w:p>
    <w:p w14:paraId="6E846BCE" w14:textId="77777777" w:rsidR="00FC5EC3" w:rsidRPr="00886E4C" w:rsidRDefault="00FC5EC3" w:rsidP="00172E64">
      <w:pPr>
        <w:pStyle w:val="Heading4"/>
        <w:numPr>
          <w:ilvl w:val="3"/>
          <w:numId w:val="184"/>
        </w:numPr>
        <w:ind w:left="864"/>
        <w:jc w:val="both"/>
      </w:pPr>
      <w:bookmarkStart w:id="514" w:name="_Bonded_Concrete_Overlay"/>
      <w:bookmarkEnd w:id="514"/>
      <w:r>
        <w:t xml:space="preserve">Bonded Concrete Overlay over Asphalt – ACPA  </w:t>
      </w:r>
    </w:p>
    <w:p w14:paraId="6928B233" w14:textId="07A668EF" w:rsidR="00FC5EC3" w:rsidRPr="00303BED" w:rsidRDefault="00FC5EC3" w:rsidP="00A06704">
      <w:pPr>
        <w:pStyle w:val="BodyText"/>
        <w:jc w:val="both"/>
      </w:pPr>
      <w:r w:rsidRPr="00303BED">
        <w:t xml:space="preserve">The procedure described </w:t>
      </w:r>
      <w:r w:rsidR="00CD6DC0">
        <w:t>below</w:t>
      </w:r>
      <w:r w:rsidRPr="00303BED">
        <w:t xml:space="preserve"> should be followed for a concrete overlay project over asphalt using the ACPA method.  Reference to specific design inputs for design development can be located in </w:t>
      </w:r>
      <w:hyperlink w:anchor="_Design_Input_Policies_1" w:history="1">
        <w:r w:rsidRPr="00303BED">
          <w:rPr>
            <w:rStyle w:val="Hyperlink"/>
          </w:rPr>
          <w:t>Design Input Policies</w:t>
        </w:r>
      </w:hyperlink>
      <w:r w:rsidRPr="00303BED">
        <w:t xml:space="preserve">.  Numerous steps contained in this procedure can be completed within several software applications that PAGD currently uses.  The software application tool </w:t>
      </w:r>
      <w:r>
        <w:t>(</w:t>
      </w:r>
      <w:r w:rsidRPr="00A051CF">
        <w:t xml:space="preserve">ACPA BCOA Thickness Designer) </w:t>
      </w:r>
      <w:r w:rsidRPr="00303BED">
        <w:t>available to PAGD that can be principally used to complete this procedure is available at:</w:t>
      </w:r>
    </w:p>
    <w:p w14:paraId="59492BD0" w14:textId="77777777" w:rsidR="00FC5EC3" w:rsidRPr="00303BED" w:rsidRDefault="00FC5EC3" w:rsidP="00A06704">
      <w:pPr>
        <w:pStyle w:val="ListNumber"/>
        <w:tabs>
          <w:tab w:val="clear" w:pos="720"/>
          <w:tab w:val="clear" w:pos="1872"/>
        </w:tabs>
        <w:ind w:left="0" w:firstLine="0"/>
        <w:jc w:val="both"/>
      </w:pPr>
      <w:hyperlink r:id="rId250" w:history="1">
        <w:r w:rsidRPr="00303BED">
          <w:rPr>
            <w:rStyle w:val="Hyperlink"/>
          </w:rPr>
          <w:t>http://apps.acpa.org/applibrary/BCOA/</w:t>
        </w:r>
      </w:hyperlink>
    </w:p>
    <w:p w14:paraId="6722A9DF" w14:textId="77777777" w:rsidR="00FC5EC3" w:rsidRPr="00303BED" w:rsidRDefault="00FC5EC3" w:rsidP="00124E28">
      <w:pPr>
        <w:pStyle w:val="ListNumber"/>
        <w:tabs>
          <w:tab w:val="clear" w:pos="720"/>
          <w:tab w:val="clear" w:pos="1872"/>
        </w:tabs>
        <w:spacing w:before="0"/>
        <w:ind w:left="1170" w:firstLine="0"/>
        <w:jc w:val="both"/>
      </w:pPr>
    </w:p>
    <w:p w14:paraId="37DBABA6" w14:textId="77777777" w:rsidR="00FC5EC3" w:rsidRPr="00B15A51" w:rsidRDefault="00FC5EC3" w:rsidP="00172E64">
      <w:pPr>
        <w:pStyle w:val="Heading5"/>
        <w:numPr>
          <w:ilvl w:val="4"/>
          <w:numId w:val="184"/>
        </w:numPr>
        <w:tabs>
          <w:tab w:val="left" w:pos="1800"/>
        </w:tabs>
        <w:ind w:left="1098" w:hanging="1098"/>
        <w:jc w:val="both"/>
      </w:pPr>
      <w:r w:rsidRPr="00B15A51">
        <w:t>General Information</w:t>
      </w:r>
    </w:p>
    <w:p w14:paraId="0154DEC4" w14:textId="77777777" w:rsidR="00FC5EC3" w:rsidRPr="00B15A51" w:rsidRDefault="00FC5EC3" w:rsidP="00172E64">
      <w:pPr>
        <w:pStyle w:val="ListNumber"/>
        <w:numPr>
          <w:ilvl w:val="0"/>
          <w:numId w:val="139"/>
        </w:numPr>
        <w:tabs>
          <w:tab w:val="clear" w:pos="1152"/>
          <w:tab w:val="clear" w:pos="1872"/>
          <w:tab w:val="num" w:pos="1080"/>
        </w:tabs>
        <w:ind w:left="1080" w:hanging="1080"/>
        <w:jc w:val="both"/>
      </w:pPr>
      <w:r w:rsidRPr="00B15A51">
        <w:t xml:space="preserve">Provide design life ESALs.  Refer to </w:t>
      </w:r>
      <w:hyperlink w:anchor="_Traffic_Analysis" w:history="1">
        <w:r w:rsidRPr="00B15A51">
          <w:rPr>
            <w:rStyle w:val="Hyperlink"/>
          </w:rPr>
          <w:t>Traffic Analysis</w:t>
        </w:r>
      </w:hyperlink>
      <w:r w:rsidRPr="00B15A51">
        <w:t>.</w:t>
      </w:r>
    </w:p>
    <w:p w14:paraId="2FF2C86A" w14:textId="16144735" w:rsidR="00FC5EC3" w:rsidRPr="00B15A51" w:rsidRDefault="00FC5EC3" w:rsidP="00172E64">
      <w:pPr>
        <w:pStyle w:val="ListNumber"/>
        <w:numPr>
          <w:ilvl w:val="0"/>
          <w:numId w:val="139"/>
        </w:numPr>
        <w:tabs>
          <w:tab w:val="clear" w:pos="1152"/>
          <w:tab w:val="clear" w:pos="1872"/>
          <w:tab w:val="num" w:pos="1080"/>
        </w:tabs>
        <w:ind w:left="1080" w:hanging="1080"/>
        <w:jc w:val="both"/>
      </w:pPr>
      <w:r w:rsidRPr="00B15A51">
        <w:t>Provide Maximum Allowable Percent Slabs Cracked (%)</w:t>
      </w:r>
      <w:r w:rsidR="00CD6DC0">
        <w:t>:</w:t>
      </w:r>
      <w:r w:rsidRPr="00B15A51">
        <w:t xml:space="preserve">  Choose 5%. </w:t>
      </w:r>
    </w:p>
    <w:p w14:paraId="0FFF61BB" w14:textId="77777777" w:rsidR="00FC5EC3" w:rsidRPr="00B15A51" w:rsidRDefault="00FC5EC3" w:rsidP="00172E64">
      <w:pPr>
        <w:pStyle w:val="ListNumber"/>
        <w:numPr>
          <w:ilvl w:val="0"/>
          <w:numId w:val="139"/>
        </w:numPr>
        <w:tabs>
          <w:tab w:val="clear" w:pos="1152"/>
          <w:tab w:val="clear" w:pos="1872"/>
          <w:tab w:val="num" w:pos="1080"/>
        </w:tabs>
        <w:ind w:left="1080" w:hanging="1080"/>
        <w:jc w:val="both"/>
      </w:pPr>
      <w:r w:rsidRPr="00B15A51">
        <w:t>Provide Reliability: Use 90%.</w:t>
      </w:r>
    </w:p>
    <w:p w14:paraId="5354EC08" w14:textId="77777777" w:rsidR="00FC5EC3" w:rsidRPr="00B15A51" w:rsidRDefault="00FC5EC3" w:rsidP="00172E64">
      <w:pPr>
        <w:pStyle w:val="ListNumber"/>
        <w:numPr>
          <w:ilvl w:val="0"/>
          <w:numId w:val="139"/>
        </w:numPr>
        <w:tabs>
          <w:tab w:val="clear" w:pos="1152"/>
          <w:tab w:val="clear" w:pos="1872"/>
          <w:tab w:val="num" w:pos="1080"/>
        </w:tabs>
        <w:ind w:left="1080" w:hanging="1080"/>
        <w:jc w:val="both"/>
      </w:pPr>
      <w:r w:rsidRPr="00B15A51">
        <w:t>Choose the State and Location based on where your project is.  Consider adjacent states if appropriate.</w:t>
      </w:r>
    </w:p>
    <w:p w14:paraId="7BEFCDBA" w14:textId="77777777" w:rsidR="00FC5EC3" w:rsidRPr="00B15A51" w:rsidRDefault="00FC5EC3" w:rsidP="00124E28">
      <w:pPr>
        <w:pStyle w:val="ListNumber"/>
        <w:tabs>
          <w:tab w:val="clear" w:pos="720"/>
          <w:tab w:val="clear" w:pos="1872"/>
          <w:tab w:val="num" w:pos="1080"/>
        </w:tabs>
        <w:ind w:left="1080" w:hanging="1080"/>
        <w:jc w:val="both"/>
      </w:pPr>
    </w:p>
    <w:p w14:paraId="39B4406C" w14:textId="77777777" w:rsidR="00FC5EC3" w:rsidRPr="00B15A51" w:rsidRDefault="00FC5EC3" w:rsidP="00172E64">
      <w:pPr>
        <w:pStyle w:val="Heading5"/>
        <w:numPr>
          <w:ilvl w:val="4"/>
          <w:numId w:val="184"/>
        </w:numPr>
        <w:tabs>
          <w:tab w:val="left" w:pos="1800"/>
        </w:tabs>
        <w:ind w:left="1098" w:hanging="1098"/>
      </w:pPr>
      <w:r w:rsidRPr="00B15A51">
        <w:lastRenderedPageBreak/>
        <w:t>Existing Structure</w:t>
      </w:r>
    </w:p>
    <w:p w14:paraId="53183FC8" w14:textId="3F609351" w:rsidR="00FC5EC3" w:rsidRPr="00B15A51" w:rsidRDefault="00FC5EC3" w:rsidP="00172E64">
      <w:pPr>
        <w:pStyle w:val="ListNumber"/>
        <w:numPr>
          <w:ilvl w:val="0"/>
          <w:numId w:val="139"/>
        </w:numPr>
        <w:tabs>
          <w:tab w:val="clear" w:pos="1152"/>
          <w:tab w:val="clear" w:pos="1872"/>
          <w:tab w:val="num" w:pos="1080"/>
        </w:tabs>
        <w:spacing w:before="240"/>
        <w:ind w:left="1080" w:hanging="1080"/>
        <w:jc w:val="both"/>
      </w:pPr>
      <w:r w:rsidRPr="00B15A51">
        <w:t>Input the Remaining (post-</w:t>
      </w:r>
      <w:r w:rsidR="00B913D8">
        <w:t>mill</w:t>
      </w:r>
      <w:r w:rsidRPr="00B15A51">
        <w:t>ing) Asphalt Thickness (in).</w:t>
      </w:r>
    </w:p>
    <w:p w14:paraId="6453BF9C" w14:textId="77005F77" w:rsidR="00FC5EC3" w:rsidRPr="00CE7C47" w:rsidRDefault="00FC5EC3" w:rsidP="00172E64">
      <w:pPr>
        <w:pStyle w:val="ListNumber"/>
        <w:numPr>
          <w:ilvl w:val="0"/>
          <w:numId w:val="139"/>
        </w:numPr>
        <w:tabs>
          <w:tab w:val="clear" w:pos="1152"/>
          <w:tab w:val="clear" w:pos="1872"/>
          <w:tab w:val="num" w:pos="1080"/>
        </w:tabs>
        <w:ind w:left="1080" w:hanging="1080"/>
        <w:jc w:val="both"/>
      </w:pPr>
      <w:r w:rsidRPr="00B15A51">
        <w:t xml:space="preserve">Input the Asphalt Modulus </w:t>
      </w:r>
      <w:r w:rsidRPr="00CE7C47">
        <w:t xml:space="preserve">of Elasticity.  Refer to </w:t>
      </w:r>
      <w:hyperlink w:anchor="_General_Ranges_for_1" w:history="1">
        <w:r w:rsidR="00CE7C47" w:rsidRPr="00CE7C47">
          <w:rPr>
            <w:rStyle w:val="Hyperlink"/>
          </w:rPr>
          <w:t>General Ranges for Surface/ Base Elastic Modulus</w:t>
        </w:r>
      </w:hyperlink>
      <w:r w:rsidR="00CE7C47" w:rsidRPr="00CE7C47">
        <w:t xml:space="preserve"> </w:t>
      </w:r>
      <w:r w:rsidRPr="00CE7C47">
        <w:t xml:space="preserve">or click on the ? adjacent </w:t>
      </w:r>
      <w:r w:rsidR="00CD6DC0">
        <w:t xml:space="preserve">to </w:t>
      </w:r>
      <w:r w:rsidRPr="00CE7C47">
        <w:t>the input box for suggested values.</w:t>
      </w:r>
    </w:p>
    <w:p w14:paraId="7BEAA959" w14:textId="645B5EA6" w:rsidR="00FC5EC3" w:rsidRPr="00BF63E8" w:rsidRDefault="00FC5EC3" w:rsidP="00172E64">
      <w:pPr>
        <w:pStyle w:val="ListNumber"/>
        <w:numPr>
          <w:ilvl w:val="0"/>
          <w:numId w:val="139"/>
        </w:numPr>
        <w:tabs>
          <w:tab w:val="clear" w:pos="1152"/>
          <w:tab w:val="clear" w:pos="1872"/>
          <w:tab w:val="num" w:pos="1080"/>
        </w:tabs>
        <w:ind w:left="1080" w:hanging="1080"/>
        <w:jc w:val="both"/>
      </w:pPr>
      <w:r w:rsidRPr="00CE7C47">
        <w:t xml:space="preserve">Calculate the </w:t>
      </w:r>
      <w:r w:rsidRPr="00BF63E8">
        <w:t>Composite Modulus of Subgrade Reaction, k-value (psi/in</w:t>
      </w:r>
      <w:r w:rsidR="00C07C24">
        <w:t>ch</w:t>
      </w:r>
      <w:r w:rsidRPr="00BF63E8">
        <w:t xml:space="preserve">), by clicking on the k-value calculator.  Refer to </w:t>
      </w:r>
      <w:hyperlink w:anchor="_General_Ranges_for" w:history="1">
        <w:r w:rsidR="00BF63E8" w:rsidRPr="00BF63E8">
          <w:rPr>
            <w:rStyle w:val="Hyperlink"/>
          </w:rPr>
          <w:t>General Ranges for Surface / Base Elastic Modulus</w:t>
        </w:r>
      </w:hyperlink>
      <w:r w:rsidRPr="00BF63E8">
        <w:t xml:space="preserve"> for moduli of various base materials.  Transfer the calculated value.</w:t>
      </w:r>
    </w:p>
    <w:p w14:paraId="746FA7D3" w14:textId="77777777" w:rsidR="00FC5EC3" w:rsidRDefault="00FC5EC3" w:rsidP="00124E28">
      <w:pPr>
        <w:pStyle w:val="ListNumber"/>
        <w:tabs>
          <w:tab w:val="clear" w:pos="720"/>
          <w:tab w:val="clear" w:pos="1872"/>
          <w:tab w:val="num" w:pos="1080"/>
        </w:tabs>
        <w:ind w:left="1080" w:firstLine="0"/>
        <w:jc w:val="both"/>
      </w:pPr>
      <w:r w:rsidRPr="003179E9">
        <w:t>Note: If k-value calculator does not work, use</w:t>
      </w:r>
      <w:r>
        <w:t>:</w:t>
      </w:r>
    </w:p>
    <w:p w14:paraId="7A864A73" w14:textId="77777777" w:rsidR="00FC5EC3" w:rsidRPr="003179E9" w:rsidRDefault="00FC5EC3" w:rsidP="00124E28">
      <w:pPr>
        <w:pStyle w:val="ListNumber"/>
        <w:tabs>
          <w:tab w:val="clear" w:pos="720"/>
          <w:tab w:val="clear" w:pos="1872"/>
          <w:tab w:val="num" w:pos="1080"/>
        </w:tabs>
        <w:ind w:left="1080" w:firstLine="0"/>
        <w:jc w:val="both"/>
      </w:pPr>
      <w:hyperlink r:id="rId251" w:history="1">
        <w:r w:rsidRPr="003179E9">
          <w:rPr>
            <w:rStyle w:val="Hyperlink"/>
          </w:rPr>
          <w:t>http://apps.acpa.org/applibrary/kvalue/</w:t>
        </w:r>
      </w:hyperlink>
    </w:p>
    <w:p w14:paraId="0CE32746" w14:textId="77777777" w:rsidR="00FC5EC3" w:rsidRPr="00303BED" w:rsidRDefault="00FC5EC3" w:rsidP="00FC5EC3">
      <w:pPr>
        <w:pStyle w:val="ListNumber"/>
        <w:tabs>
          <w:tab w:val="clear" w:pos="720"/>
          <w:tab w:val="clear" w:pos="1872"/>
        </w:tabs>
        <w:ind w:left="1152" w:firstLine="0"/>
        <w:jc w:val="both"/>
        <w:rPr>
          <w:highlight w:val="yellow"/>
        </w:rPr>
      </w:pPr>
    </w:p>
    <w:p w14:paraId="016667E6" w14:textId="77777777" w:rsidR="00FC5EC3" w:rsidRPr="00F2679F" w:rsidRDefault="00FC5EC3" w:rsidP="00172E64">
      <w:pPr>
        <w:pStyle w:val="Heading5"/>
        <w:numPr>
          <w:ilvl w:val="4"/>
          <w:numId w:val="184"/>
        </w:numPr>
        <w:tabs>
          <w:tab w:val="left" w:pos="1800"/>
        </w:tabs>
        <w:ind w:left="1098" w:hanging="1098"/>
      </w:pPr>
      <w:r>
        <w:t>Concrete Material Details</w:t>
      </w:r>
    </w:p>
    <w:p w14:paraId="50AC9043" w14:textId="77777777" w:rsidR="00FC5EC3" w:rsidRPr="00F2679F" w:rsidRDefault="00FC5EC3" w:rsidP="00172E64">
      <w:pPr>
        <w:pStyle w:val="ListNumber"/>
        <w:numPr>
          <w:ilvl w:val="0"/>
          <w:numId w:val="139"/>
        </w:numPr>
        <w:tabs>
          <w:tab w:val="clear" w:pos="1152"/>
          <w:tab w:val="clear" w:pos="1872"/>
          <w:tab w:val="num" w:pos="1080"/>
        </w:tabs>
        <w:ind w:left="1080" w:hanging="1080"/>
        <w:jc w:val="both"/>
      </w:pPr>
      <w:r w:rsidRPr="00F2679F">
        <w:t xml:space="preserve">Input 28-day average compressive strength.  Refer to </w:t>
      </w:r>
      <w:hyperlink w:anchor="_Strength_and_Stiffness" w:history="1">
        <w:r w:rsidRPr="00F2679F">
          <w:rPr>
            <w:rStyle w:val="Hyperlink"/>
          </w:rPr>
          <w:t>Strength and Stiffness Properties</w:t>
        </w:r>
      </w:hyperlink>
      <w:r w:rsidRPr="00F2679F">
        <w:t>.</w:t>
      </w:r>
    </w:p>
    <w:p w14:paraId="07272C8B" w14:textId="77777777" w:rsidR="00FC5EC3" w:rsidRPr="00F2679F" w:rsidRDefault="00FC5EC3" w:rsidP="00172E64">
      <w:pPr>
        <w:pStyle w:val="ListNumber"/>
        <w:numPr>
          <w:ilvl w:val="0"/>
          <w:numId w:val="139"/>
        </w:numPr>
        <w:tabs>
          <w:tab w:val="clear" w:pos="1152"/>
          <w:tab w:val="clear" w:pos="1872"/>
          <w:tab w:val="num" w:pos="1080"/>
        </w:tabs>
        <w:ind w:left="1080" w:hanging="1080"/>
        <w:jc w:val="both"/>
      </w:pPr>
      <w:r w:rsidRPr="00F2679F">
        <w:t>Check the box for Macrofibers In Concrete.</w:t>
      </w:r>
    </w:p>
    <w:p w14:paraId="04E4730B" w14:textId="77777777" w:rsidR="00FC5EC3" w:rsidRPr="00F2679F" w:rsidRDefault="00FC5EC3" w:rsidP="00172E64">
      <w:pPr>
        <w:pStyle w:val="ListNumber"/>
        <w:numPr>
          <w:ilvl w:val="0"/>
          <w:numId w:val="139"/>
        </w:numPr>
        <w:tabs>
          <w:tab w:val="clear" w:pos="1152"/>
          <w:tab w:val="clear" w:pos="1872"/>
          <w:tab w:val="num" w:pos="1080"/>
        </w:tabs>
        <w:ind w:left="1080" w:hanging="1080"/>
        <w:jc w:val="both"/>
      </w:pPr>
      <w:r w:rsidRPr="00F2679F">
        <w:t>Input 25% into the Residual Strength Ratio box.</w:t>
      </w:r>
    </w:p>
    <w:p w14:paraId="4B1E165B" w14:textId="77777777" w:rsidR="00FC5EC3" w:rsidRPr="00F2679F" w:rsidRDefault="00FC5EC3" w:rsidP="00172E64">
      <w:pPr>
        <w:pStyle w:val="ListNumber"/>
        <w:numPr>
          <w:ilvl w:val="0"/>
          <w:numId w:val="139"/>
        </w:numPr>
        <w:tabs>
          <w:tab w:val="clear" w:pos="1152"/>
          <w:tab w:val="clear" w:pos="1872"/>
          <w:tab w:val="num" w:pos="1080"/>
        </w:tabs>
        <w:ind w:left="1080" w:hanging="1080"/>
        <w:jc w:val="both"/>
      </w:pPr>
      <w:r w:rsidRPr="00F2679F">
        <w:t xml:space="preserve">Input the Estimated PCC Elastic Modulus (psi).  Refer to </w:t>
      </w:r>
      <w:hyperlink w:anchor="_Strength_and_Stiffness" w:history="1">
        <w:r w:rsidR="00EB27CE" w:rsidRPr="00F2679F">
          <w:rPr>
            <w:rStyle w:val="Hyperlink"/>
          </w:rPr>
          <w:t>Strength and Stiffness Properties</w:t>
        </w:r>
      </w:hyperlink>
      <w:r w:rsidRPr="00F2679F">
        <w:t>.</w:t>
      </w:r>
    </w:p>
    <w:p w14:paraId="5C4C8516" w14:textId="788203B0" w:rsidR="00FC5EC3" w:rsidRPr="00A051CF" w:rsidRDefault="00FC5EC3" w:rsidP="00172E64">
      <w:pPr>
        <w:pStyle w:val="ListNumber"/>
        <w:numPr>
          <w:ilvl w:val="0"/>
          <w:numId w:val="139"/>
        </w:numPr>
        <w:tabs>
          <w:tab w:val="clear" w:pos="1152"/>
          <w:tab w:val="clear" w:pos="1872"/>
          <w:tab w:val="num" w:pos="1080"/>
        </w:tabs>
        <w:ind w:left="1080" w:hanging="1080"/>
        <w:jc w:val="both"/>
      </w:pPr>
      <w:r w:rsidRPr="00A051CF">
        <w:t>Input the Coefficient of Thermal Expansion (10</w:t>
      </w:r>
      <w:r w:rsidRPr="00124E28">
        <w:rPr>
          <w:vertAlign w:val="superscript"/>
        </w:rPr>
        <w:t>-6</w:t>
      </w:r>
      <w:r w:rsidRPr="00A051CF">
        <w:t xml:space="preserve"> in</w:t>
      </w:r>
      <w:r w:rsidR="00C07C24">
        <w:t>ch</w:t>
      </w:r>
      <w:r w:rsidRPr="00A051CF">
        <w:t>/°F/in</w:t>
      </w:r>
      <w:r w:rsidR="00C07C24">
        <w:t>ch</w:t>
      </w:r>
      <w:r w:rsidRPr="00A051CF">
        <w:t xml:space="preserve">).  Refer to </w:t>
      </w:r>
      <w:hyperlink w:anchor="_Coefficient_of_Thermal_1" w:history="1">
        <w:r w:rsidRPr="00A051CF">
          <w:rPr>
            <w:rStyle w:val="Hyperlink"/>
            <w:szCs w:val="22"/>
          </w:rPr>
          <w:t>Coefficient of Thermal Expansion</w:t>
        </w:r>
      </w:hyperlink>
      <w:r w:rsidRPr="00A051CF">
        <w:t>.</w:t>
      </w:r>
    </w:p>
    <w:p w14:paraId="7E9A89A2" w14:textId="77777777" w:rsidR="00FC5EC3" w:rsidRPr="00A051CF" w:rsidRDefault="00FC5EC3" w:rsidP="00FC5EC3">
      <w:pPr>
        <w:pStyle w:val="ListNumber"/>
        <w:tabs>
          <w:tab w:val="clear" w:pos="720"/>
          <w:tab w:val="clear" w:pos="1872"/>
        </w:tabs>
        <w:ind w:left="1152" w:firstLine="0"/>
        <w:jc w:val="both"/>
      </w:pPr>
    </w:p>
    <w:p w14:paraId="099F1A98" w14:textId="77777777" w:rsidR="00FC5EC3" w:rsidRPr="00A051CF" w:rsidRDefault="00FC5EC3" w:rsidP="00172E64">
      <w:pPr>
        <w:pStyle w:val="Heading5"/>
        <w:numPr>
          <w:ilvl w:val="4"/>
          <w:numId w:val="184"/>
        </w:numPr>
        <w:tabs>
          <w:tab w:val="left" w:pos="1800"/>
        </w:tabs>
        <w:ind w:left="1098" w:hanging="1098"/>
      </w:pPr>
      <w:r w:rsidRPr="00A051CF">
        <w:t>Concrete Overlay Details</w:t>
      </w:r>
    </w:p>
    <w:p w14:paraId="37CBEDBF" w14:textId="2BBC979C" w:rsidR="00FC5EC3" w:rsidRPr="00A051CF" w:rsidRDefault="00FC5EC3" w:rsidP="00172E64">
      <w:pPr>
        <w:pStyle w:val="ListNumber"/>
        <w:numPr>
          <w:ilvl w:val="0"/>
          <w:numId w:val="139"/>
        </w:numPr>
        <w:tabs>
          <w:tab w:val="clear" w:pos="1152"/>
          <w:tab w:val="clear" w:pos="1872"/>
          <w:tab w:val="num" w:pos="1080"/>
        </w:tabs>
        <w:ind w:left="1080" w:hanging="1080"/>
        <w:jc w:val="both"/>
      </w:pPr>
      <w:r w:rsidRPr="00A051CF">
        <w:t xml:space="preserve">Input the joint spacing, in inches.  </w:t>
      </w:r>
      <w:r>
        <w:t>Input</w:t>
      </w:r>
      <w:r w:rsidRPr="00A051CF">
        <w:t xml:space="preserve"> 6 x 6 if the overlay thickness is </w:t>
      </w:r>
      <w:r w:rsidRPr="00B96CB5">
        <w:t>greater than 5</w:t>
      </w:r>
      <w:r w:rsidR="00CD6DC0">
        <w:t>"</w:t>
      </w:r>
      <w:r w:rsidRPr="00A051CF">
        <w:t>; choose 4 x 4 if 4</w:t>
      </w:r>
      <w:r w:rsidR="00CD6DC0">
        <w:t>"</w:t>
      </w:r>
      <w:r w:rsidRPr="00A051CF">
        <w:t xml:space="preserve"> to 5</w:t>
      </w:r>
      <w:r w:rsidR="00CD6DC0">
        <w:t>"</w:t>
      </w:r>
      <w:r w:rsidRPr="00A051CF">
        <w:t xml:space="preserve">. </w:t>
      </w:r>
    </w:p>
    <w:p w14:paraId="256C7887" w14:textId="77777777" w:rsidR="00FC5EC3" w:rsidRPr="00A051CF" w:rsidRDefault="00FC5EC3" w:rsidP="00172E64">
      <w:pPr>
        <w:pStyle w:val="ListNumber"/>
        <w:numPr>
          <w:ilvl w:val="0"/>
          <w:numId w:val="139"/>
        </w:numPr>
        <w:tabs>
          <w:tab w:val="clear" w:pos="1152"/>
          <w:tab w:val="clear" w:pos="1872"/>
          <w:tab w:val="num" w:pos="1080"/>
        </w:tabs>
        <w:ind w:left="1080" w:hanging="1080"/>
        <w:jc w:val="both"/>
      </w:pPr>
      <w:r w:rsidRPr="00A051CF">
        <w:t>Input the Preoverlay Surface Preparation using the dropdown box.</w:t>
      </w:r>
    </w:p>
    <w:p w14:paraId="4D58991A" w14:textId="77777777" w:rsidR="00FC5EC3" w:rsidRDefault="00FC5EC3" w:rsidP="00172E64">
      <w:pPr>
        <w:pStyle w:val="ListNumber"/>
        <w:numPr>
          <w:ilvl w:val="0"/>
          <w:numId w:val="139"/>
        </w:numPr>
        <w:tabs>
          <w:tab w:val="clear" w:pos="1152"/>
          <w:tab w:val="clear" w:pos="1872"/>
          <w:tab w:val="num" w:pos="1080"/>
        </w:tabs>
        <w:ind w:left="1080" w:hanging="1080"/>
        <w:jc w:val="both"/>
      </w:pPr>
      <w:r w:rsidRPr="00A051CF">
        <w:t>Click Calculate Design.</w:t>
      </w:r>
    </w:p>
    <w:p w14:paraId="5AF64DEA" w14:textId="77777777" w:rsidR="00101728" w:rsidRPr="00A051CF" w:rsidRDefault="00101728" w:rsidP="00101728">
      <w:pPr>
        <w:pStyle w:val="ListNumber"/>
        <w:tabs>
          <w:tab w:val="clear" w:pos="720"/>
          <w:tab w:val="clear" w:pos="1872"/>
        </w:tabs>
        <w:ind w:left="1152" w:firstLine="0"/>
        <w:jc w:val="both"/>
      </w:pPr>
    </w:p>
    <w:p w14:paraId="3617F12F" w14:textId="77777777" w:rsidR="00FC5EC3" w:rsidRPr="00A051CF" w:rsidRDefault="00FC5EC3" w:rsidP="00172E64">
      <w:pPr>
        <w:pStyle w:val="Heading4"/>
        <w:numPr>
          <w:ilvl w:val="3"/>
          <w:numId w:val="184"/>
        </w:numPr>
        <w:tabs>
          <w:tab w:val="left" w:pos="1800"/>
        </w:tabs>
        <w:ind w:left="864"/>
      </w:pPr>
      <w:bookmarkStart w:id="515" w:name="_Bonded_Concrete_Overlay_2"/>
      <w:bookmarkEnd w:id="515"/>
      <w:r>
        <w:t>B</w:t>
      </w:r>
      <w:r w:rsidRPr="00A051CF">
        <w:t xml:space="preserve">onded Concrete Overlay </w:t>
      </w:r>
      <w:r>
        <w:t>over Concrete – AASHTO</w:t>
      </w:r>
    </w:p>
    <w:p w14:paraId="4F8C767C" w14:textId="77777777" w:rsidR="00FC5EC3" w:rsidRPr="009647DE" w:rsidRDefault="00FC5EC3" w:rsidP="00124E28">
      <w:pPr>
        <w:jc w:val="both"/>
        <w:rPr>
          <w:rFonts w:ascii="Arial" w:hAnsi="Arial" w:cs="Arial"/>
          <w:iCs/>
          <w:sz w:val="22"/>
          <w:szCs w:val="22"/>
        </w:rPr>
      </w:pPr>
      <w:r w:rsidRPr="009647DE">
        <w:rPr>
          <w:rFonts w:ascii="Arial" w:hAnsi="Arial" w:cs="Arial"/>
          <w:sz w:val="22"/>
          <w:szCs w:val="22"/>
        </w:rPr>
        <w:t>The procedure described in the following text should be followed for a</w:t>
      </w:r>
      <w:r>
        <w:rPr>
          <w:rFonts w:ascii="Arial" w:hAnsi="Arial" w:cs="Arial"/>
          <w:sz w:val="22"/>
          <w:szCs w:val="22"/>
        </w:rPr>
        <w:t xml:space="preserve"> bonded</w:t>
      </w:r>
      <w:r w:rsidRPr="009647DE">
        <w:rPr>
          <w:rFonts w:ascii="Arial" w:hAnsi="Arial" w:cs="Arial"/>
          <w:sz w:val="22"/>
          <w:szCs w:val="22"/>
        </w:rPr>
        <w:t xml:space="preserve"> concrete overlay project over </w:t>
      </w:r>
      <w:r>
        <w:rPr>
          <w:rFonts w:ascii="Arial" w:hAnsi="Arial" w:cs="Arial"/>
          <w:sz w:val="22"/>
          <w:szCs w:val="22"/>
        </w:rPr>
        <w:t>concrete, using DARWin.  R</w:t>
      </w:r>
      <w:r w:rsidRPr="009647DE">
        <w:rPr>
          <w:rFonts w:ascii="Arial" w:hAnsi="Arial" w:cs="Arial"/>
          <w:sz w:val="22"/>
          <w:szCs w:val="22"/>
        </w:rPr>
        <w:t xml:space="preserve">eference to specific design inputs for design development can be located in </w:t>
      </w:r>
      <w:hyperlink w:anchor="_Design_Input_Policies_1" w:history="1">
        <w:r w:rsidRPr="009647DE">
          <w:rPr>
            <w:rStyle w:val="Hyperlink"/>
            <w:rFonts w:ascii="Arial" w:hAnsi="Arial" w:cs="Arial"/>
            <w:sz w:val="22"/>
            <w:szCs w:val="22"/>
          </w:rPr>
          <w:t>Design Input Policies</w:t>
        </w:r>
      </w:hyperlink>
      <w:r w:rsidRPr="009647DE">
        <w:rPr>
          <w:rFonts w:ascii="Arial" w:hAnsi="Arial" w:cs="Arial"/>
          <w:sz w:val="22"/>
          <w:szCs w:val="22"/>
        </w:rPr>
        <w:t xml:space="preserve">.  </w:t>
      </w:r>
    </w:p>
    <w:p w14:paraId="5AAA47CA" w14:textId="77777777" w:rsidR="00FC5EC3" w:rsidRDefault="00FC5EC3" w:rsidP="00FC5EC3">
      <w:pPr>
        <w:rPr>
          <w:rFonts w:ascii="Arial" w:hAnsi="Arial" w:cs="Arial"/>
          <w:iCs/>
          <w:sz w:val="22"/>
          <w:szCs w:val="22"/>
        </w:rPr>
      </w:pPr>
    </w:p>
    <w:p w14:paraId="5190FAEE" w14:textId="77777777" w:rsidR="00FC5EC3" w:rsidRDefault="00FC5EC3" w:rsidP="00172E64">
      <w:pPr>
        <w:pStyle w:val="Heading5"/>
        <w:numPr>
          <w:ilvl w:val="4"/>
          <w:numId w:val="184"/>
        </w:numPr>
        <w:tabs>
          <w:tab w:val="left" w:pos="1800"/>
        </w:tabs>
        <w:ind w:left="1098" w:hanging="1098"/>
      </w:pPr>
      <w:r>
        <w:t>Thickness for Future Traffic</w:t>
      </w:r>
    </w:p>
    <w:p w14:paraId="41F7618A" w14:textId="77777777" w:rsidR="00FC5EC3" w:rsidRDefault="00FC5EC3" w:rsidP="00172E64">
      <w:pPr>
        <w:pStyle w:val="ListNumber"/>
        <w:numPr>
          <w:ilvl w:val="0"/>
          <w:numId w:val="138"/>
        </w:numPr>
        <w:tabs>
          <w:tab w:val="clear" w:pos="1872"/>
        </w:tabs>
        <w:jc w:val="both"/>
      </w:pPr>
      <w:r>
        <w:t xml:space="preserve">Provide design life ESALs.  Refer to </w:t>
      </w:r>
      <w:hyperlink w:anchor="_Traffic_Analysis" w:history="1">
        <w:r w:rsidRPr="00055597">
          <w:rPr>
            <w:rStyle w:val="Hyperlink"/>
          </w:rPr>
          <w:t>Traffic Analysis</w:t>
        </w:r>
      </w:hyperlink>
      <w:r>
        <w:t>.</w:t>
      </w:r>
    </w:p>
    <w:p w14:paraId="4A65C63F" w14:textId="77777777" w:rsidR="00FC5EC3" w:rsidRDefault="00FC5EC3" w:rsidP="00172E64">
      <w:pPr>
        <w:pStyle w:val="ListNumber"/>
        <w:numPr>
          <w:ilvl w:val="0"/>
          <w:numId w:val="138"/>
        </w:numPr>
        <w:tabs>
          <w:tab w:val="clear" w:pos="1872"/>
        </w:tabs>
        <w:ind w:left="0" w:firstLine="0"/>
        <w:jc w:val="both"/>
      </w:pPr>
      <w:r>
        <w:t xml:space="preserve">Provide </w:t>
      </w:r>
      <w:hyperlink w:anchor="_Design_Inputs" w:history="1">
        <w:r w:rsidRPr="00654992">
          <w:rPr>
            <w:rStyle w:val="Hyperlink"/>
          </w:rPr>
          <w:t>Design Inputs</w:t>
        </w:r>
      </w:hyperlink>
      <w:r>
        <w:t xml:space="preserve"> such as reliability, serviceability, etc.</w:t>
      </w:r>
    </w:p>
    <w:p w14:paraId="3D7333EE" w14:textId="77777777" w:rsidR="00FC5EC3" w:rsidRDefault="00FC5EC3" w:rsidP="00FC5EC3">
      <w:pPr>
        <w:rPr>
          <w:rFonts w:ascii="Arial" w:hAnsi="Arial" w:cs="Arial"/>
          <w:iCs/>
          <w:sz w:val="22"/>
          <w:szCs w:val="22"/>
        </w:rPr>
      </w:pPr>
    </w:p>
    <w:p w14:paraId="78F0A898" w14:textId="77777777" w:rsidR="00CD6DC0" w:rsidRDefault="00CD6DC0">
      <w:pPr>
        <w:rPr>
          <w:rFonts w:ascii="Arial" w:hAnsi="Arial"/>
          <w:b/>
          <w:sz w:val="22"/>
        </w:rPr>
      </w:pPr>
      <w:r>
        <w:br w:type="page"/>
      </w:r>
    </w:p>
    <w:p w14:paraId="079C1186" w14:textId="6DAF4B82" w:rsidR="00FC5EC3" w:rsidRDefault="00FC5EC3" w:rsidP="00172E64">
      <w:pPr>
        <w:pStyle w:val="Heading5"/>
        <w:numPr>
          <w:ilvl w:val="4"/>
          <w:numId w:val="184"/>
        </w:numPr>
        <w:tabs>
          <w:tab w:val="left" w:pos="1800"/>
        </w:tabs>
        <w:ind w:left="1098" w:hanging="1098"/>
      </w:pPr>
      <w:r>
        <w:lastRenderedPageBreak/>
        <w:t>Effective Existing and Overlay Structural Capacity</w:t>
      </w:r>
    </w:p>
    <w:p w14:paraId="0958EFEA" w14:textId="399BAF4C" w:rsidR="00FC5EC3" w:rsidRDefault="00FC5EC3" w:rsidP="00172E64">
      <w:pPr>
        <w:pStyle w:val="ListNumber"/>
        <w:numPr>
          <w:ilvl w:val="0"/>
          <w:numId w:val="138"/>
        </w:numPr>
        <w:tabs>
          <w:tab w:val="clear" w:pos="1152"/>
          <w:tab w:val="clear" w:pos="1872"/>
          <w:tab w:val="num" w:pos="1080"/>
        </w:tabs>
        <w:spacing w:before="240"/>
        <w:ind w:left="1080" w:hanging="1080"/>
        <w:jc w:val="both"/>
      </w:pPr>
      <w:r>
        <w:t>Choose the Condition Survey method.  Input the</w:t>
      </w:r>
      <w:r w:rsidR="00CD6DC0">
        <w:t>:</w:t>
      </w:r>
      <w:r>
        <w:t xml:space="preserve"> </w:t>
      </w:r>
    </w:p>
    <w:p w14:paraId="33F89A42" w14:textId="7D11179B" w:rsidR="00FC5EC3" w:rsidRDefault="00FC5EC3" w:rsidP="00172E64">
      <w:pPr>
        <w:pStyle w:val="ListNumber"/>
        <w:numPr>
          <w:ilvl w:val="1"/>
          <w:numId w:val="138"/>
        </w:numPr>
        <w:tabs>
          <w:tab w:val="clear" w:pos="720"/>
          <w:tab w:val="clear" w:pos="1872"/>
          <w:tab w:val="num" w:pos="1620"/>
        </w:tabs>
        <w:spacing w:before="0"/>
        <w:ind w:left="1620" w:hanging="540"/>
        <w:jc w:val="both"/>
      </w:pPr>
      <w:r>
        <w:t>Existing slab thickness</w:t>
      </w:r>
    </w:p>
    <w:p w14:paraId="63429CEF" w14:textId="77777777" w:rsidR="00FC5EC3" w:rsidRDefault="00FC5EC3" w:rsidP="00172E64">
      <w:pPr>
        <w:pStyle w:val="ListNumber"/>
        <w:numPr>
          <w:ilvl w:val="1"/>
          <w:numId w:val="138"/>
        </w:numPr>
        <w:tabs>
          <w:tab w:val="clear" w:pos="720"/>
          <w:tab w:val="clear" w:pos="1872"/>
          <w:tab w:val="num" w:pos="1620"/>
        </w:tabs>
        <w:spacing w:before="0"/>
        <w:ind w:left="1620" w:hanging="540"/>
        <w:jc w:val="both"/>
      </w:pPr>
      <w:r>
        <w:t>Durability Adjustment Factor and Fatigue Damage Adjustment Factor (refer to 9.13.03.03.02)</w:t>
      </w:r>
    </w:p>
    <w:p w14:paraId="0D8B5731" w14:textId="13C390A5" w:rsidR="00FC5EC3" w:rsidRDefault="00FC5EC3" w:rsidP="00172E64">
      <w:pPr>
        <w:pStyle w:val="ListNumber"/>
        <w:numPr>
          <w:ilvl w:val="1"/>
          <w:numId w:val="138"/>
        </w:numPr>
        <w:tabs>
          <w:tab w:val="clear" w:pos="720"/>
          <w:tab w:val="clear" w:pos="1872"/>
          <w:tab w:val="num" w:pos="1620"/>
        </w:tabs>
        <w:spacing w:before="0"/>
        <w:ind w:left="1620" w:hanging="540"/>
        <w:jc w:val="both"/>
      </w:pPr>
      <w:r>
        <w:t>Number of unrepaired deteriorated cracks and joints (medium severity or higher)</w:t>
      </w:r>
    </w:p>
    <w:p w14:paraId="359CA886" w14:textId="5090BCD1" w:rsidR="00FC5EC3" w:rsidRDefault="00FC5EC3" w:rsidP="00172E64">
      <w:pPr>
        <w:pStyle w:val="ListNumber"/>
        <w:numPr>
          <w:ilvl w:val="1"/>
          <w:numId w:val="138"/>
        </w:numPr>
        <w:tabs>
          <w:tab w:val="clear" w:pos="720"/>
          <w:tab w:val="clear" w:pos="1872"/>
          <w:tab w:val="num" w:pos="1620"/>
        </w:tabs>
        <w:spacing w:before="0"/>
        <w:ind w:left="1620" w:hanging="540"/>
        <w:jc w:val="both"/>
      </w:pPr>
      <w:r>
        <w:t>Number of unrepaired punchouts</w:t>
      </w:r>
    </w:p>
    <w:p w14:paraId="0230C692" w14:textId="5BA88494" w:rsidR="00CD6DC0" w:rsidRDefault="00FC5EC3" w:rsidP="00172E64">
      <w:pPr>
        <w:pStyle w:val="ListNumber"/>
        <w:numPr>
          <w:ilvl w:val="1"/>
          <w:numId w:val="138"/>
        </w:numPr>
        <w:tabs>
          <w:tab w:val="clear" w:pos="720"/>
          <w:tab w:val="clear" w:pos="1872"/>
          <w:tab w:val="num" w:pos="1620"/>
        </w:tabs>
        <w:spacing w:before="0"/>
        <w:ind w:left="1620" w:hanging="540"/>
        <w:jc w:val="both"/>
      </w:pPr>
      <w:r>
        <w:t>Number of expansion joints, exceptionally wide joints</w:t>
      </w:r>
      <w:r w:rsidR="00CD6DC0">
        <w:t>,</w:t>
      </w:r>
      <w:r>
        <w:t xml:space="preserve"> or AC full-depth patches</w:t>
      </w:r>
    </w:p>
    <w:p w14:paraId="72CEEE56" w14:textId="6AF2F5C2" w:rsidR="00FC5EC3" w:rsidRDefault="00FC5EC3" w:rsidP="00124E28">
      <w:pPr>
        <w:pStyle w:val="ListNumber"/>
        <w:tabs>
          <w:tab w:val="clear" w:pos="720"/>
          <w:tab w:val="clear" w:pos="1872"/>
        </w:tabs>
        <w:spacing w:before="0"/>
        <w:ind w:left="720" w:firstLine="0"/>
        <w:jc w:val="both"/>
      </w:pPr>
    </w:p>
    <w:p w14:paraId="079A5913" w14:textId="77777777" w:rsidR="00FC5EC3" w:rsidRDefault="00FC5EC3" w:rsidP="00172E64">
      <w:pPr>
        <w:pStyle w:val="ListBullet"/>
        <w:numPr>
          <w:ilvl w:val="0"/>
          <w:numId w:val="138"/>
        </w:numPr>
        <w:tabs>
          <w:tab w:val="clear" w:pos="1152"/>
          <w:tab w:val="num" w:pos="1080"/>
        </w:tabs>
      </w:pPr>
      <w:r>
        <w:t>Rigid Pavements: SC</w:t>
      </w:r>
      <w:r>
        <w:rPr>
          <w:vertAlign w:val="subscript"/>
        </w:rPr>
        <w:t>f</w:t>
      </w:r>
      <w:r>
        <w:t xml:space="preserve"> = D</w:t>
      </w:r>
      <w:r>
        <w:rPr>
          <w:vertAlign w:val="subscript"/>
        </w:rPr>
        <w:t>f</w:t>
      </w:r>
    </w:p>
    <w:p w14:paraId="4757DCE2" w14:textId="05CB0512" w:rsidR="00FC5EC3" w:rsidRDefault="00CD6DC0" w:rsidP="00124E28">
      <w:pPr>
        <w:pStyle w:val="ListNumber"/>
        <w:tabs>
          <w:tab w:val="clear" w:pos="720"/>
          <w:tab w:val="clear" w:pos="1872"/>
          <w:tab w:val="num" w:pos="1080"/>
        </w:tabs>
        <w:ind w:left="1080" w:hanging="1080"/>
        <w:jc w:val="both"/>
        <w:rPr>
          <w:szCs w:val="22"/>
        </w:rPr>
      </w:pPr>
      <w:r>
        <w:rPr>
          <w:szCs w:val="22"/>
        </w:rPr>
        <w:tab/>
      </w:r>
      <w:r w:rsidR="00FC5EC3" w:rsidRPr="003E03FC">
        <w:rPr>
          <w:szCs w:val="22"/>
        </w:rPr>
        <w:t>D</w:t>
      </w:r>
      <w:r w:rsidR="00FC5EC3" w:rsidRPr="003E03FC">
        <w:rPr>
          <w:szCs w:val="22"/>
          <w:vertAlign w:val="subscript"/>
        </w:rPr>
        <w:t>f</w:t>
      </w:r>
      <w:r w:rsidR="00FC5EC3" w:rsidRPr="003E03FC">
        <w:rPr>
          <w:szCs w:val="22"/>
        </w:rPr>
        <w:t xml:space="preserve"> &lt;= d, Where d = </w:t>
      </w:r>
      <w:smartTag w:uri="urn:schemas-microsoft-com:office:smarttags" w:element="stockticker">
        <w:r w:rsidR="00FC5EC3" w:rsidRPr="003E03FC">
          <w:rPr>
            <w:szCs w:val="22"/>
          </w:rPr>
          <w:t>PCC</w:t>
        </w:r>
      </w:smartTag>
      <w:r w:rsidR="00FC5EC3" w:rsidRPr="003E03FC">
        <w:rPr>
          <w:szCs w:val="22"/>
        </w:rPr>
        <w:t xml:space="preserve"> layer thickness; rounded up in 0.5</w:t>
      </w:r>
      <w:r w:rsidR="00C07C24">
        <w:rPr>
          <w:szCs w:val="22"/>
        </w:rPr>
        <w:t xml:space="preserve">" </w:t>
      </w:r>
      <w:r w:rsidR="00FC5EC3" w:rsidRPr="003E03FC">
        <w:rPr>
          <w:szCs w:val="22"/>
        </w:rPr>
        <w:t>increments.</w:t>
      </w:r>
    </w:p>
    <w:p w14:paraId="10C19FAC" w14:textId="588E451A" w:rsidR="00FC5EC3" w:rsidRDefault="00FC5EC3" w:rsidP="00172E64">
      <w:pPr>
        <w:pStyle w:val="ListNumber"/>
        <w:numPr>
          <w:ilvl w:val="0"/>
          <w:numId w:val="138"/>
        </w:numPr>
        <w:tabs>
          <w:tab w:val="clear" w:pos="1152"/>
          <w:tab w:val="clear" w:pos="1872"/>
          <w:tab w:val="num" w:pos="1080"/>
        </w:tabs>
        <w:ind w:left="1080" w:hanging="1080"/>
        <w:jc w:val="both"/>
      </w:pPr>
      <w:r>
        <w:t>Joints shall match existing joints.  Transverse joints shall be saw-cut the full overlay thickness plus 0.5</w:t>
      </w:r>
      <w:r w:rsidR="00CD6DC0">
        <w:t>"</w:t>
      </w:r>
      <w:r>
        <w:t>.  Longitudinal joints shall be saw-cut half of the overlay thickness.</w:t>
      </w:r>
    </w:p>
    <w:p w14:paraId="6F174D97" w14:textId="77777777" w:rsidR="00FC5EC3" w:rsidRDefault="00FC5EC3" w:rsidP="00172E64">
      <w:pPr>
        <w:pStyle w:val="ListNumber"/>
        <w:numPr>
          <w:ilvl w:val="0"/>
          <w:numId w:val="138"/>
        </w:numPr>
        <w:tabs>
          <w:tab w:val="clear" w:pos="1152"/>
          <w:tab w:val="clear" w:pos="1872"/>
          <w:tab w:val="num" w:pos="1080"/>
        </w:tabs>
        <w:ind w:left="1080" w:hanging="1080"/>
        <w:jc w:val="both"/>
      </w:pPr>
      <w:r>
        <w:t xml:space="preserve">Refer to </w:t>
      </w:r>
      <w:hyperlink w:anchor="_Jointed_Plain_Concrete_1" w:history="1">
        <w:r w:rsidRPr="00EE5F0E">
          <w:rPr>
            <w:rStyle w:val="Hyperlink"/>
          </w:rPr>
          <w:t>Jointed Plain Concrete Pavement Design</w:t>
        </w:r>
      </w:hyperlink>
      <w:r>
        <w:t xml:space="preserve"> in the PMED section for other design parameters.  </w:t>
      </w:r>
    </w:p>
    <w:p w14:paraId="6C089E54" w14:textId="77777777" w:rsidR="00400FEC" w:rsidRDefault="00400FEC" w:rsidP="00400FEC">
      <w:pPr>
        <w:rPr>
          <w:rFonts w:ascii="Arial" w:hAnsi="Arial" w:cs="Arial"/>
          <w:iCs/>
        </w:rPr>
      </w:pPr>
    </w:p>
    <w:p w14:paraId="21AEDBC0" w14:textId="77777777" w:rsidR="00400FEC" w:rsidRPr="00886E4C" w:rsidRDefault="00400FEC" w:rsidP="00172E64">
      <w:pPr>
        <w:pStyle w:val="Heading4"/>
        <w:numPr>
          <w:ilvl w:val="3"/>
          <w:numId w:val="184"/>
        </w:numPr>
        <w:tabs>
          <w:tab w:val="left" w:pos="1800"/>
        </w:tabs>
        <w:ind w:left="864"/>
      </w:pPr>
      <w:bookmarkStart w:id="516" w:name="_Unbonded_Concrete_Procedure"/>
      <w:bookmarkStart w:id="517" w:name="_Unbonded_Concrete_Overlay"/>
      <w:bookmarkEnd w:id="516"/>
      <w:bookmarkEnd w:id="517"/>
      <w:r>
        <w:t xml:space="preserve">Unbonded Concrete Overlay </w:t>
      </w:r>
      <w:r w:rsidRPr="00886E4C">
        <w:t>Procedure</w:t>
      </w:r>
    </w:p>
    <w:p w14:paraId="4C31297E" w14:textId="64FDCDCF" w:rsidR="00400FEC" w:rsidRPr="009647DE" w:rsidRDefault="00400FEC" w:rsidP="00124E28">
      <w:pPr>
        <w:jc w:val="both"/>
        <w:rPr>
          <w:rFonts w:ascii="Arial" w:hAnsi="Arial" w:cs="Arial"/>
          <w:iCs/>
          <w:sz w:val="22"/>
          <w:szCs w:val="22"/>
        </w:rPr>
      </w:pPr>
      <w:r w:rsidRPr="009647DE">
        <w:rPr>
          <w:rFonts w:ascii="Arial" w:hAnsi="Arial" w:cs="Arial"/>
          <w:sz w:val="22"/>
          <w:szCs w:val="22"/>
        </w:rPr>
        <w:t xml:space="preserve">The procedure described </w:t>
      </w:r>
      <w:r w:rsidR="00CD6DC0">
        <w:rPr>
          <w:rFonts w:ascii="Arial" w:hAnsi="Arial" w:cs="Arial"/>
          <w:sz w:val="22"/>
          <w:szCs w:val="22"/>
        </w:rPr>
        <w:t>below</w:t>
      </w:r>
      <w:r w:rsidRPr="009647DE">
        <w:rPr>
          <w:rFonts w:ascii="Arial" w:hAnsi="Arial" w:cs="Arial"/>
          <w:sz w:val="22"/>
          <w:szCs w:val="22"/>
        </w:rPr>
        <w:t xml:space="preserve"> should be followed for a</w:t>
      </w:r>
      <w:r>
        <w:rPr>
          <w:rFonts w:ascii="Arial" w:hAnsi="Arial" w:cs="Arial"/>
          <w:sz w:val="22"/>
          <w:szCs w:val="22"/>
        </w:rPr>
        <w:t>n unbonded</w:t>
      </w:r>
      <w:r w:rsidRPr="009647DE">
        <w:rPr>
          <w:rFonts w:ascii="Arial" w:hAnsi="Arial" w:cs="Arial"/>
          <w:sz w:val="22"/>
          <w:szCs w:val="22"/>
        </w:rPr>
        <w:t xml:space="preserve"> concrete overlay project over asphalt </w:t>
      </w:r>
      <w:r>
        <w:rPr>
          <w:rFonts w:ascii="Arial" w:hAnsi="Arial" w:cs="Arial"/>
          <w:sz w:val="22"/>
          <w:szCs w:val="22"/>
        </w:rPr>
        <w:t>or concrete, using DARWin (AASHTO 1993).  R</w:t>
      </w:r>
      <w:r w:rsidRPr="009647DE">
        <w:rPr>
          <w:rFonts w:ascii="Arial" w:hAnsi="Arial" w:cs="Arial"/>
          <w:sz w:val="22"/>
          <w:szCs w:val="22"/>
        </w:rPr>
        <w:t xml:space="preserve">eference to specific design inputs for design development can be located in </w:t>
      </w:r>
      <w:hyperlink w:anchor="_Design_Input_Policies_1" w:history="1">
        <w:r w:rsidRPr="009647DE">
          <w:rPr>
            <w:rStyle w:val="Hyperlink"/>
            <w:rFonts w:ascii="Arial" w:hAnsi="Arial" w:cs="Arial"/>
            <w:sz w:val="22"/>
            <w:szCs w:val="22"/>
          </w:rPr>
          <w:t>Design Input Policies</w:t>
        </w:r>
      </w:hyperlink>
      <w:r w:rsidRPr="009647DE">
        <w:rPr>
          <w:rFonts w:ascii="Arial" w:hAnsi="Arial" w:cs="Arial"/>
          <w:sz w:val="22"/>
          <w:szCs w:val="22"/>
        </w:rPr>
        <w:t xml:space="preserve">.  </w:t>
      </w:r>
    </w:p>
    <w:p w14:paraId="1511B153" w14:textId="77777777" w:rsidR="00400FEC" w:rsidRDefault="00400FEC" w:rsidP="00400FEC">
      <w:pPr>
        <w:rPr>
          <w:rFonts w:ascii="Arial" w:hAnsi="Arial" w:cs="Arial"/>
          <w:iCs/>
          <w:sz w:val="22"/>
          <w:szCs w:val="22"/>
        </w:rPr>
      </w:pPr>
    </w:p>
    <w:p w14:paraId="62CC7BDE" w14:textId="77777777" w:rsidR="00400FEC" w:rsidRDefault="00400FEC" w:rsidP="00172E64">
      <w:pPr>
        <w:pStyle w:val="Heading5"/>
        <w:numPr>
          <w:ilvl w:val="4"/>
          <w:numId w:val="184"/>
        </w:numPr>
        <w:tabs>
          <w:tab w:val="left" w:pos="1800"/>
        </w:tabs>
        <w:ind w:left="1098" w:hanging="1098"/>
      </w:pPr>
      <w:r>
        <w:t>Thickness for Future Traffic</w:t>
      </w:r>
    </w:p>
    <w:p w14:paraId="59B8CEC3" w14:textId="77777777" w:rsidR="00400FEC" w:rsidRDefault="00400FEC" w:rsidP="00172E64">
      <w:pPr>
        <w:pStyle w:val="ListNumber"/>
        <w:numPr>
          <w:ilvl w:val="0"/>
          <w:numId w:val="140"/>
        </w:numPr>
        <w:tabs>
          <w:tab w:val="clear" w:pos="1152"/>
          <w:tab w:val="clear" w:pos="1872"/>
          <w:tab w:val="num" w:pos="1080"/>
        </w:tabs>
        <w:spacing w:before="240"/>
        <w:ind w:left="1080" w:hanging="1080"/>
        <w:jc w:val="both"/>
      </w:pPr>
      <w:r>
        <w:t xml:space="preserve">Provide design life ESALs.  Refer to </w:t>
      </w:r>
      <w:hyperlink w:anchor="_Traffic_Analysis" w:history="1">
        <w:r w:rsidRPr="00055597">
          <w:rPr>
            <w:rStyle w:val="Hyperlink"/>
          </w:rPr>
          <w:t>Traffic Analysis</w:t>
        </w:r>
      </w:hyperlink>
      <w:r>
        <w:t>.</w:t>
      </w:r>
    </w:p>
    <w:p w14:paraId="21E0E3E3" w14:textId="77777777" w:rsidR="00400FEC" w:rsidRDefault="00400FEC" w:rsidP="00172E64">
      <w:pPr>
        <w:pStyle w:val="ListNumber"/>
        <w:numPr>
          <w:ilvl w:val="0"/>
          <w:numId w:val="140"/>
        </w:numPr>
        <w:tabs>
          <w:tab w:val="clear" w:pos="1152"/>
          <w:tab w:val="clear" w:pos="1872"/>
          <w:tab w:val="num" w:pos="1080"/>
        </w:tabs>
        <w:ind w:left="1080" w:hanging="1080"/>
        <w:jc w:val="both"/>
      </w:pPr>
      <w:r>
        <w:t xml:space="preserve">Provide </w:t>
      </w:r>
      <w:hyperlink w:anchor="_Design_Inputs" w:history="1">
        <w:r w:rsidRPr="00654992">
          <w:rPr>
            <w:rStyle w:val="Hyperlink"/>
          </w:rPr>
          <w:t>Design Inputs</w:t>
        </w:r>
      </w:hyperlink>
      <w:r>
        <w:t xml:space="preserve"> such as reliability, serviceability, etc.</w:t>
      </w:r>
    </w:p>
    <w:p w14:paraId="4B933529" w14:textId="77777777" w:rsidR="00400FEC" w:rsidRDefault="00400FEC" w:rsidP="00400FEC">
      <w:pPr>
        <w:rPr>
          <w:rFonts w:ascii="Arial" w:hAnsi="Arial" w:cs="Arial"/>
          <w:iCs/>
          <w:sz w:val="22"/>
          <w:szCs w:val="22"/>
        </w:rPr>
      </w:pPr>
    </w:p>
    <w:p w14:paraId="696B3A7D" w14:textId="77777777" w:rsidR="00400FEC" w:rsidRDefault="00400FEC" w:rsidP="00172E64">
      <w:pPr>
        <w:pStyle w:val="Heading5"/>
        <w:numPr>
          <w:ilvl w:val="4"/>
          <w:numId w:val="184"/>
        </w:numPr>
        <w:tabs>
          <w:tab w:val="left" w:pos="1800"/>
        </w:tabs>
        <w:ind w:left="1098" w:hanging="1098"/>
      </w:pPr>
      <w:r>
        <w:t>Effective Existing and Overlay Structural Capacity</w:t>
      </w:r>
    </w:p>
    <w:p w14:paraId="51AFAA05" w14:textId="7F5FD328" w:rsidR="00400FEC" w:rsidRDefault="00400FEC" w:rsidP="00172E64">
      <w:pPr>
        <w:pStyle w:val="ListNumber"/>
        <w:numPr>
          <w:ilvl w:val="0"/>
          <w:numId w:val="140"/>
        </w:numPr>
        <w:tabs>
          <w:tab w:val="clear" w:pos="1152"/>
          <w:tab w:val="clear" w:pos="1872"/>
          <w:tab w:val="num" w:pos="1080"/>
        </w:tabs>
        <w:spacing w:before="240"/>
        <w:ind w:left="1080" w:hanging="1080"/>
        <w:jc w:val="both"/>
      </w:pPr>
      <w:r>
        <w:t>Choose the Condition Survey method.  Input the</w:t>
      </w:r>
      <w:r w:rsidR="00CD6DC0">
        <w:t>:</w:t>
      </w:r>
      <w:r>
        <w:t xml:space="preserve"> </w:t>
      </w:r>
    </w:p>
    <w:p w14:paraId="5B1A6F23" w14:textId="77CD7675" w:rsidR="00400FEC" w:rsidRDefault="00400FEC" w:rsidP="00172E64">
      <w:pPr>
        <w:pStyle w:val="ListNumber"/>
        <w:numPr>
          <w:ilvl w:val="1"/>
          <w:numId w:val="140"/>
        </w:numPr>
        <w:tabs>
          <w:tab w:val="clear" w:pos="1872"/>
          <w:tab w:val="num" w:pos="1620"/>
        </w:tabs>
        <w:spacing w:before="0"/>
        <w:ind w:left="1620" w:hanging="540"/>
        <w:jc w:val="both"/>
      </w:pPr>
      <w:r>
        <w:t>Existing slab thickness</w:t>
      </w:r>
    </w:p>
    <w:p w14:paraId="20266C15" w14:textId="204654CD" w:rsidR="00400FEC" w:rsidRDefault="00400FEC" w:rsidP="00172E64">
      <w:pPr>
        <w:pStyle w:val="ListNumber"/>
        <w:numPr>
          <w:ilvl w:val="1"/>
          <w:numId w:val="140"/>
        </w:numPr>
        <w:tabs>
          <w:tab w:val="clear" w:pos="1872"/>
          <w:tab w:val="num" w:pos="1620"/>
        </w:tabs>
        <w:spacing w:before="0"/>
        <w:ind w:left="1620" w:hanging="540"/>
        <w:jc w:val="both"/>
      </w:pPr>
      <w:r>
        <w:t>Number of unrepaired deteriorated cracks and joints (medium severity or higher)</w:t>
      </w:r>
    </w:p>
    <w:p w14:paraId="7D0D1759" w14:textId="452FFE56" w:rsidR="00400FEC" w:rsidRDefault="00400FEC" w:rsidP="00172E64">
      <w:pPr>
        <w:pStyle w:val="ListNumber"/>
        <w:numPr>
          <w:ilvl w:val="1"/>
          <w:numId w:val="140"/>
        </w:numPr>
        <w:tabs>
          <w:tab w:val="clear" w:pos="1872"/>
          <w:tab w:val="num" w:pos="1620"/>
        </w:tabs>
        <w:spacing w:before="0"/>
        <w:ind w:left="1620" w:hanging="540"/>
        <w:jc w:val="both"/>
      </w:pPr>
      <w:r>
        <w:t>Number of unrepaired punchouts</w:t>
      </w:r>
    </w:p>
    <w:p w14:paraId="601476CB" w14:textId="5D3CF61E" w:rsidR="00400FEC" w:rsidRDefault="00400FEC" w:rsidP="00172E64">
      <w:pPr>
        <w:pStyle w:val="ListNumber"/>
        <w:numPr>
          <w:ilvl w:val="1"/>
          <w:numId w:val="140"/>
        </w:numPr>
        <w:tabs>
          <w:tab w:val="clear" w:pos="1872"/>
          <w:tab w:val="num" w:pos="1080"/>
          <w:tab w:val="num" w:pos="1620"/>
        </w:tabs>
        <w:spacing w:before="0" w:after="120"/>
        <w:ind w:left="1620" w:hanging="540"/>
        <w:jc w:val="both"/>
      </w:pPr>
      <w:r>
        <w:t>Number of expansion joints, exceptionally wide joints</w:t>
      </w:r>
      <w:r w:rsidR="00FC5124">
        <w:t>,</w:t>
      </w:r>
      <w:r>
        <w:t xml:space="preserve"> or AC full-depth patches</w:t>
      </w:r>
    </w:p>
    <w:p w14:paraId="0C1E234A" w14:textId="77777777" w:rsidR="00400FEC" w:rsidRDefault="00400FEC" w:rsidP="00172E64">
      <w:pPr>
        <w:pStyle w:val="ListBullet"/>
        <w:numPr>
          <w:ilvl w:val="0"/>
          <w:numId w:val="140"/>
        </w:numPr>
        <w:tabs>
          <w:tab w:val="clear" w:pos="1152"/>
          <w:tab w:val="num" w:pos="1080"/>
        </w:tabs>
        <w:spacing w:after="120"/>
      </w:pPr>
      <w:r>
        <w:t>Rigid Pavements: SC</w:t>
      </w:r>
      <w:r>
        <w:rPr>
          <w:vertAlign w:val="subscript"/>
        </w:rPr>
        <w:t>f</w:t>
      </w:r>
      <w:r>
        <w:t xml:space="preserve"> = D</w:t>
      </w:r>
      <w:r>
        <w:rPr>
          <w:vertAlign w:val="subscript"/>
        </w:rPr>
        <w:t>f</w:t>
      </w:r>
    </w:p>
    <w:p w14:paraId="7B3C83AE" w14:textId="4617EA47" w:rsidR="00400FEC" w:rsidRDefault="00FC5124" w:rsidP="00124E28">
      <w:pPr>
        <w:pStyle w:val="ListNumber"/>
        <w:tabs>
          <w:tab w:val="clear" w:pos="720"/>
          <w:tab w:val="clear" w:pos="1872"/>
          <w:tab w:val="num" w:pos="1080"/>
        </w:tabs>
        <w:ind w:left="1080" w:hanging="1080"/>
        <w:jc w:val="both"/>
        <w:rPr>
          <w:szCs w:val="22"/>
        </w:rPr>
      </w:pPr>
      <w:r>
        <w:rPr>
          <w:szCs w:val="22"/>
        </w:rPr>
        <w:tab/>
      </w:r>
      <w:r w:rsidR="00400FEC" w:rsidRPr="003E03FC">
        <w:rPr>
          <w:szCs w:val="22"/>
        </w:rPr>
        <w:t>D</w:t>
      </w:r>
      <w:r w:rsidR="00400FEC" w:rsidRPr="003E03FC">
        <w:rPr>
          <w:szCs w:val="22"/>
          <w:vertAlign w:val="subscript"/>
        </w:rPr>
        <w:t>f</w:t>
      </w:r>
      <w:r w:rsidR="00400FEC" w:rsidRPr="003E03FC">
        <w:rPr>
          <w:szCs w:val="22"/>
        </w:rPr>
        <w:t xml:space="preserve"> &lt;= d, Where d = </w:t>
      </w:r>
      <w:smartTag w:uri="urn:schemas-microsoft-com:office:smarttags" w:element="stockticker">
        <w:r w:rsidR="00400FEC" w:rsidRPr="003E03FC">
          <w:rPr>
            <w:szCs w:val="22"/>
          </w:rPr>
          <w:t>PCC</w:t>
        </w:r>
      </w:smartTag>
      <w:r w:rsidR="00400FEC" w:rsidRPr="003E03FC">
        <w:rPr>
          <w:szCs w:val="22"/>
        </w:rPr>
        <w:t xml:space="preserve"> layer thickness; rounded up in 0.5</w:t>
      </w:r>
      <w:r>
        <w:rPr>
          <w:szCs w:val="22"/>
        </w:rPr>
        <w:t>"</w:t>
      </w:r>
      <w:r w:rsidR="00C07C24">
        <w:rPr>
          <w:szCs w:val="22"/>
        </w:rPr>
        <w:t xml:space="preserve"> </w:t>
      </w:r>
      <w:r w:rsidR="00400FEC" w:rsidRPr="003E03FC">
        <w:rPr>
          <w:szCs w:val="22"/>
        </w:rPr>
        <w:t>increments.</w:t>
      </w:r>
    </w:p>
    <w:p w14:paraId="5B949415" w14:textId="1E837FEF" w:rsidR="00400FEC" w:rsidRDefault="00400FEC" w:rsidP="00172E64">
      <w:pPr>
        <w:pStyle w:val="ListNumber"/>
        <w:numPr>
          <w:ilvl w:val="0"/>
          <w:numId w:val="140"/>
        </w:numPr>
        <w:tabs>
          <w:tab w:val="clear" w:pos="1152"/>
          <w:tab w:val="clear" w:pos="1872"/>
          <w:tab w:val="num" w:pos="1080"/>
        </w:tabs>
        <w:ind w:left="1080" w:hanging="1080"/>
        <w:jc w:val="both"/>
      </w:pPr>
      <w:r>
        <w:t>Specify an approved fabric or 1.5</w:t>
      </w:r>
      <w:r w:rsidR="00FC5124">
        <w:t>"-</w:t>
      </w:r>
      <w:r>
        <w:t>asphalt interlayer.</w:t>
      </w:r>
    </w:p>
    <w:p w14:paraId="6E01DCCB" w14:textId="77777777" w:rsidR="00400FEC" w:rsidRDefault="00400FEC" w:rsidP="00172E64">
      <w:pPr>
        <w:pStyle w:val="ListNumber"/>
        <w:numPr>
          <w:ilvl w:val="0"/>
          <w:numId w:val="140"/>
        </w:numPr>
        <w:tabs>
          <w:tab w:val="clear" w:pos="1152"/>
          <w:tab w:val="clear" w:pos="1872"/>
          <w:tab w:val="num" w:pos="1080"/>
        </w:tabs>
        <w:ind w:left="1080" w:hanging="1080"/>
        <w:jc w:val="both"/>
      </w:pPr>
      <w:r>
        <w:t xml:space="preserve">Refer to </w:t>
      </w:r>
      <w:hyperlink w:anchor="_Jointed_Plain_Concrete_1" w:history="1">
        <w:r w:rsidRPr="00EE5F0E">
          <w:rPr>
            <w:rStyle w:val="Hyperlink"/>
          </w:rPr>
          <w:t>Jointed Plain Concrete Pavement Design</w:t>
        </w:r>
      </w:hyperlink>
      <w:r>
        <w:t xml:space="preserve"> in the PMED section for other design parameters. </w:t>
      </w:r>
    </w:p>
    <w:p w14:paraId="58F0EC61" w14:textId="77777777" w:rsidR="00FE07DE" w:rsidRDefault="00FE07DE">
      <w:pPr>
        <w:rPr>
          <w:rFonts w:ascii="Arial" w:hAnsi="Arial"/>
          <w:b/>
          <w:i/>
          <w:sz w:val="24"/>
        </w:rPr>
      </w:pPr>
      <w:bookmarkStart w:id="518" w:name="_Roller-Compacted_Concrete_(RCC)"/>
      <w:bookmarkEnd w:id="518"/>
      <w:r>
        <w:br w:type="page"/>
      </w:r>
    </w:p>
    <w:p w14:paraId="5880388D" w14:textId="471DAFE0" w:rsidR="00114C08" w:rsidRDefault="00114C08" w:rsidP="00172E64">
      <w:pPr>
        <w:pStyle w:val="Heading3"/>
        <w:numPr>
          <w:ilvl w:val="2"/>
          <w:numId w:val="184"/>
        </w:numPr>
        <w:ind w:left="0" w:firstLine="0"/>
      </w:pPr>
      <w:r>
        <w:lastRenderedPageBreak/>
        <w:t xml:space="preserve">Roller-Compacted Concrete </w:t>
      </w:r>
      <w:r w:rsidR="00101728">
        <w:t>(RCC)</w:t>
      </w:r>
    </w:p>
    <w:p w14:paraId="4A066D23" w14:textId="77777777" w:rsidR="00101728" w:rsidRPr="00101728" w:rsidRDefault="00101728" w:rsidP="00101728"/>
    <w:p w14:paraId="7395B17A" w14:textId="77777777" w:rsidR="00101728" w:rsidRPr="007D773B" w:rsidRDefault="00101728" w:rsidP="00172E64">
      <w:pPr>
        <w:pStyle w:val="Heading4"/>
        <w:numPr>
          <w:ilvl w:val="3"/>
          <w:numId w:val="184"/>
        </w:numPr>
        <w:ind w:left="864"/>
      </w:pPr>
      <w:r w:rsidRPr="007D773B">
        <w:t xml:space="preserve">Description </w:t>
      </w:r>
    </w:p>
    <w:p w14:paraId="50C68663" w14:textId="7D4604A1" w:rsidR="00101728" w:rsidRDefault="00101728" w:rsidP="00101728">
      <w:pPr>
        <w:pStyle w:val="ListNumber"/>
        <w:tabs>
          <w:tab w:val="clear" w:pos="720"/>
          <w:tab w:val="clear" w:pos="1872"/>
        </w:tabs>
        <w:ind w:left="0" w:firstLine="0"/>
        <w:jc w:val="both"/>
        <w:rPr>
          <w:rFonts w:cs="Arial"/>
          <w:szCs w:val="22"/>
        </w:rPr>
      </w:pPr>
      <w:r w:rsidRPr="007D773B">
        <w:rPr>
          <w:rFonts w:cs="Arial"/>
          <w:szCs w:val="22"/>
        </w:rPr>
        <w:t>Roller</w:t>
      </w:r>
      <w:r w:rsidR="00FC5124">
        <w:rPr>
          <w:rFonts w:cs="Arial"/>
          <w:szCs w:val="22"/>
        </w:rPr>
        <w:t>-</w:t>
      </w:r>
      <w:r w:rsidRPr="007D773B">
        <w:rPr>
          <w:rFonts w:cs="Arial"/>
          <w:szCs w:val="22"/>
        </w:rPr>
        <w:t>compacted concrete has similar ingredients as conventional concrete, but the proportions are different, and it is placed with asphalt</w:t>
      </w:r>
      <w:r w:rsidR="00FC5124">
        <w:rPr>
          <w:rFonts w:cs="Arial"/>
          <w:szCs w:val="22"/>
        </w:rPr>
        <w:t>-</w:t>
      </w:r>
      <w:r w:rsidRPr="007D773B">
        <w:rPr>
          <w:rFonts w:cs="Arial"/>
          <w:szCs w:val="22"/>
        </w:rPr>
        <w:t>type paving equipment, and compacted with rollers.  Because of this, it does not have any forms or steel reinforcement.  The texture is similar to that of an asphalt pavement.</w:t>
      </w:r>
    </w:p>
    <w:p w14:paraId="0791330C" w14:textId="77777777" w:rsidR="00101728" w:rsidRPr="007D773B" w:rsidRDefault="00101728" w:rsidP="00172E64">
      <w:pPr>
        <w:pStyle w:val="Heading4"/>
        <w:numPr>
          <w:ilvl w:val="3"/>
          <w:numId w:val="184"/>
        </w:numPr>
        <w:spacing w:before="240"/>
        <w:ind w:left="864"/>
      </w:pPr>
      <w:r w:rsidRPr="007D773B">
        <w:t xml:space="preserve">Use </w:t>
      </w:r>
    </w:p>
    <w:p w14:paraId="685FF826" w14:textId="77777777" w:rsidR="00101728" w:rsidRPr="007D773B" w:rsidRDefault="00101728" w:rsidP="00101728">
      <w:pPr>
        <w:pStyle w:val="ListNumber"/>
        <w:tabs>
          <w:tab w:val="clear" w:pos="720"/>
          <w:tab w:val="clear" w:pos="1872"/>
        </w:tabs>
        <w:ind w:left="0" w:firstLine="0"/>
        <w:jc w:val="both"/>
        <w:rPr>
          <w:rFonts w:cs="Arial"/>
          <w:szCs w:val="22"/>
        </w:rPr>
      </w:pPr>
      <w:r w:rsidRPr="007D773B">
        <w:rPr>
          <w:rFonts w:cs="Arial"/>
          <w:szCs w:val="22"/>
        </w:rPr>
        <w:t xml:space="preserve">RCC </w:t>
      </w:r>
      <w:r>
        <w:rPr>
          <w:rFonts w:cs="Arial"/>
          <w:szCs w:val="22"/>
        </w:rPr>
        <w:t>is</w:t>
      </w:r>
      <w:r w:rsidRPr="007D773B">
        <w:rPr>
          <w:rFonts w:cs="Arial"/>
          <w:szCs w:val="22"/>
        </w:rPr>
        <w:t xml:space="preserve"> suitable for use in parking lots, low-volume/low-speed roadways, and shoulders.  When used on shoulders or roadways, diamond grinding or placement of an asphalt surface should be considered for ride quality.</w:t>
      </w:r>
    </w:p>
    <w:p w14:paraId="44BFAAC3" w14:textId="77777777" w:rsidR="00101728" w:rsidRPr="007D773B" w:rsidRDefault="00101728" w:rsidP="00101728">
      <w:pPr>
        <w:pStyle w:val="Heading4"/>
        <w:numPr>
          <w:ilvl w:val="0"/>
          <w:numId w:val="0"/>
        </w:numPr>
        <w:ind w:left="864"/>
      </w:pPr>
    </w:p>
    <w:p w14:paraId="0806D655" w14:textId="77777777" w:rsidR="00101728" w:rsidRPr="007D773B" w:rsidRDefault="00101728" w:rsidP="00172E64">
      <w:pPr>
        <w:pStyle w:val="Heading4"/>
        <w:numPr>
          <w:ilvl w:val="3"/>
          <w:numId w:val="184"/>
        </w:numPr>
        <w:ind w:left="864"/>
      </w:pPr>
      <w:r w:rsidRPr="007D773B">
        <w:t xml:space="preserve">Thickness </w:t>
      </w:r>
    </w:p>
    <w:p w14:paraId="0959260B" w14:textId="77777777" w:rsidR="00101728" w:rsidRPr="007D773B" w:rsidRDefault="00101728" w:rsidP="00101728">
      <w:pPr>
        <w:pStyle w:val="ListNumber"/>
        <w:tabs>
          <w:tab w:val="clear" w:pos="720"/>
          <w:tab w:val="clear" w:pos="1872"/>
        </w:tabs>
        <w:ind w:left="0" w:firstLine="0"/>
        <w:jc w:val="both"/>
        <w:rPr>
          <w:rFonts w:cs="Arial"/>
          <w:szCs w:val="22"/>
        </w:rPr>
      </w:pPr>
      <w:r w:rsidRPr="007D773B">
        <w:rPr>
          <w:rFonts w:cs="Arial"/>
          <w:szCs w:val="22"/>
        </w:rPr>
        <w:t>The RCC thickness should be based on the following table:</w:t>
      </w:r>
    </w:p>
    <w:p w14:paraId="3C151916" w14:textId="77777777" w:rsidR="00101728" w:rsidRPr="007D773B" w:rsidRDefault="00101728" w:rsidP="00124E28">
      <w:pPr>
        <w:pStyle w:val="ListNumber"/>
        <w:tabs>
          <w:tab w:val="clear" w:pos="720"/>
          <w:tab w:val="clear" w:pos="1872"/>
        </w:tabs>
        <w:spacing w:before="0"/>
        <w:ind w:left="0" w:firstLine="0"/>
        <w:jc w:val="both"/>
        <w:rPr>
          <w:rFonts w:cs="Arial"/>
          <w:szCs w:val="22"/>
        </w:rPr>
      </w:pPr>
    </w:p>
    <w:tbl>
      <w:tblPr>
        <w:tblW w:w="4469" w:type="dxa"/>
        <w:tblInd w:w="2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9"/>
        <w:gridCol w:w="2610"/>
      </w:tblGrid>
      <w:tr w:rsidR="00101728" w:rsidRPr="00457D25" w14:paraId="44EC6208" w14:textId="77777777" w:rsidTr="00124E28">
        <w:trPr>
          <w:trHeight w:val="300"/>
        </w:trPr>
        <w:tc>
          <w:tcPr>
            <w:tcW w:w="1859" w:type="dxa"/>
            <w:shd w:val="pct15" w:color="auto" w:fill="auto"/>
            <w:noWrap/>
            <w:vAlign w:val="center"/>
            <w:hideMark/>
          </w:tcPr>
          <w:p w14:paraId="10703776" w14:textId="77777777" w:rsidR="00101728" w:rsidRPr="00457D25" w:rsidRDefault="00101728" w:rsidP="00C07C24">
            <w:pPr>
              <w:jc w:val="center"/>
              <w:rPr>
                <w:rFonts w:ascii="Arial" w:hAnsi="Arial" w:cs="Arial"/>
                <w:b/>
                <w:bCs/>
                <w:color w:val="000000"/>
                <w:sz w:val="22"/>
                <w:szCs w:val="22"/>
              </w:rPr>
            </w:pPr>
            <w:r w:rsidRPr="00457D25">
              <w:rPr>
                <w:rFonts w:ascii="Arial" w:hAnsi="Arial" w:cs="Arial"/>
                <w:b/>
                <w:bCs/>
                <w:color w:val="000000"/>
                <w:sz w:val="22"/>
                <w:szCs w:val="22"/>
              </w:rPr>
              <w:t>AADTT</w:t>
            </w:r>
          </w:p>
        </w:tc>
        <w:tc>
          <w:tcPr>
            <w:tcW w:w="2610" w:type="dxa"/>
            <w:shd w:val="pct15" w:color="auto" w:fill="auto"/>
            <w:noWrap/>
            <w:vAlign w:val="center"/>
            <w:hideMark/>
          </w:tcPr>
          <w:p w14:paraId="3C0C74DF" w14:textId="77777777" w:rsidR="00101728" w:rsidRPr="00457D25" w:rsidRDefault="00101728" w:rsidP="00C07C24">
            <w:pPr>
              <w:jc w:val="center"/>
              <w:rPr>
                <w:rFonts w:ascii="Arial" w:hAnsi="Arial" w:cs="Arial"/>
                <w:b/>
                <w:bCs/>
                <w:color w:val="000000"/>
                <w:sz w:val="22"/>
                <w:szCs w:val="22"/>
              </w:rPr>
            </w:pPr>
            <w:r w:rsidRPr="00457D25">
              <w:rPr>
                <w:rFonts w:ascii="Arial" w:hAnsi="Arial" w:cs="Arial"/>
                <w:b/>
                <w:bCs/>
                <w:color w:val="000000"/>
                <w:sz w:val="22"/>
                <w:szCs w:val="22"/>
              </w:rPr>
              <w:t>RCC Thickness (in.)</w:t>
            </w:r>
          </w:p>
        </w:tc>
      </w:tr>
      <w:tr w:rsidR="00101728" w:rsidRPr="00457D25" w14:paraId="58431568" w14:textId="77777777" w:rsidTr="00124E28">
        <w:trPr>
          <w:trHeight w:val="300"/>
        </w:trPr>
        <w:tc>
          <w:tcPr>
            <w:tcW w:w="1859" w:type="dxa"/>
            <w:noWrap/>
            <w:vAlign w:val="center"/>
            <w:hideMark/>
          </w:tcPr>
          <w:p w14:paraId="3B79B0A3"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&lt;10</w:t>
            </w:r>
          </w:p>
        </w:tc>
        <w:tc>
          <w:tcPr>
            <w:tcW w:w="2610" w:type="dxa"/>
            <w:noWrap/>
            <w:vAlign w:val="center"/>
            <w:hideMark/>
          </w:tcPr>
          <w:p w14:paraId="467A2DFD"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5</w:t>
            </w:r>
          </w:p>
        </w:tc>
      </w:tr>
      <w:tr w:rsidR="00101728" w:rsidRPr="00457D25" w14:paraId="6CFC177A" w14:textId="77777777" w:rsidTr="00124E28">
        <w:trPr>
          <w:trHeight w:val="300"/>
        </w:trPr>
        <w:tc>
          <w:tcPr>
            <w:tcW w:w="1859" w:type="dxa"/>
            <w:noWrap/>
            <w:vAlign w:val="center"/>
            <w:hideMark/>
          </w:tcPr>
          <w:p w14:paraId="20991019"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10 to 100</w:t>
            </w:r>
          </w:p>
        </w:tc>
        <w:tc>
          <w:tcPr>
            <w:tcW w:w="2610" w:type="dxa"/>
            <w:noWrap/>
            <w:vAlign w:val="center"/>
            <w:hideMark/>
          </w:tcPr>
          <w:p w14:paraId="2B0B5657"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6</w:t>
            </w:r>
          </w:p>
        </w:tc>
      </w:tr>
      <w:tr w:rsidR="00101728" w:rsidRPr="00457D25" w14:paraId="238E27BB" w14:textId="77777777" w:rsidTr="00124E28">
        <w:trPr>
          <w:trHeight w:val="300"/>
        </w:trPr>
        <w:tc>
          <w:tcPr>
            <w:tcW w:w="1859" w:type="dxa"/>
            <w:noWrap/>
            <w:vAlign w:val="center"/>
            <w:hideMark/>
          </w:tcPr>
          <w:p w14:paraId="1E1D954A"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100 to 400</w:t>
            </w:r>
          </w:p>
        </w:tc>
        <w:tc>
          <w:tcPr>
            <w:tcW w:w="2610" w:type="dxa"/>
            <w:noWrap/>
            <w:vAlign w:val="center"/>
            <w:hideMark/>
          </w:tcPr>
          <w:p w14:paraId="6FF4F5FF"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7</w:t>
            </w:r>
          </w:p>
        </w:tc>
      </w:tr>
      <w:tr w:rsidR="00101728" w:rsidRPr="00457D25" w14:paraId="78B1EF34" w14:textId="77777777" w:rsidTr="00124E28">
        <w:trPr>
          <w:trHeight w:val="300"/>
        </w:trPr>
        <w:tc>
          <w:tcPr>
            <w:tcW w:w="1859" w:type="dxa"/>
            <w:noWrap/>
            <w:vAlign w:val="center"/>
            <w:hideMark/>
          </w:tcPr>
          <w:p w14:paraId="1F970096"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400 to 800</w:t>
            </w:r>
          </w:p>
        </w:tc>
        <w:tc>
          <w:tcPr>
            <w:tcW w:w="2610" w:type="dxa"/>
            <w:noWrap/>
            <w:vAlign w:val="center"/>
            <w:hideMark/>
          </w:tcPr>
          <w:p w14:paraId="7EFE3130"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8</w:t>
            </w:r>
          </w:p>
        </w:tc>
      </w:tr>
      <w:tr w:rsidR="00101728" w:rsidRPr="00457D25" w14:paraId="18A414CC" w14:textId="77777777" w:rsidTr="00124E28">
        <w:trPr>
          <w:trHeight w:val="300"/>
        </w:trPr>
        <w:tc>
          <w:tcPr>
            <w:tcW w:w="1859" w:type="dxa"/>
            <w:noWrap/>
            <w:vAlign w:val="center"/>
            <w:hideMark/>
          </w:tcPr>
          <w:p w14:paraId="5D3285F7"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800 to 1500</w:t>
            </w:r>
          </w:p>
        </w:tc>
        <w:tc>
          <w:tcPr>
            <w:tcW w:w="2610" w:type="dxa"/>
            <w:noWrap/>
            <w:vAlign w:val="center"/>
            <w:hideMark/>
          </w:tcPr>
          <w:p w14:paraId="764A3A1B"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9</w:t>
            </w:r>
          </w:p>
        </w:tc>
      </w:tr>
      <w:tr w:rsidR="00101728" w:rsidRPr="00457D25" w14:paraId="53A2A0B8" w14:textId="77777777" w:rsidTr="00124E28">
        <w:trPr>
          <w:trHeight w:val="315"/>
        </w:trPr>
        <w:tc>
          <w:tcPr>
            <w:tcW w:w="1859" w:type="dxa"/>
            <w:noWrap/>
            <w:vAlign w:val="center"/>
            <w:hideMark/>
          </w:tcPr>
          <w:p w14:paraId="69BE9AAB"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&gt;1500</w:t>
            </w:r>
          </w:p>
        </w:tc>
        <w:tc>
          <w:tcPr>
            <w:tcW w:w="2610" w:type="dxa"/>
            <w:noWrap/>
            <w:vAlign w:val="center"/>
            <w:hideMark/>
          </w:tcPr>
          <w:p w14:paraId="504073AD" w14:textId="77777777" w:rsidR="00101728" w:rsidRPr="00457D25" w:rsidRDefault="00101728" w:rsidP="00C07C24">
            <w:pPr>
              <w:jc w:val="center"/>
              <w:rPr>
                <w:rFonts w:ascii="Arial" w:hAnsi="Arial" w:cs="Arial"/>
                <w:color w:val="000000"/>
                <w:sz w:val="22"/>
                <w:szCs w:val="22"/>
              </w:rPr>
            </w:pPr>
            <w:r w:rsidRPr="00457D25">
              <w:rPr>
                <w:rFonts w:ascii="Arial" w:hAnsi="Arial" w:cs="Arial"/>
                <w:color w:val="000000"/>
                <w:sz w:val="22"/>
                <w:szCs w:val="22"/>
              </w:rPr>
              <w:t>D</w:t>
            </w:r>
            <w:r>
              <w:rPr>
                <w:rFonts w:ascii="Arial" w:hAnsi="Arial" w:cs="Arial"/>
                <w:color w:val="000000"/>
                <w:sz w:val="22"/>
                <w:szCs w:val="22"/>
              </w:rPr>
              <w:t>esign using conventional concrete procedures</w:t>
            </w:r>
          </w:p>
        </w:tc>
      </w:tr>
    </w:tbl>
    <w:p w14:paraId="133DCC4B" w14:textId="01CD0D70" w:rsidR="00101728" w:rsidRPr="009519E5" w:rsidRDefault="00101728" w:rsidP="00124E28">
      <w:pPr>
        <w:pStyle w:val="ListNumber"/>
        <w:tabs>
          <w:tab w:val="clear" w:pos="720"/>
          <w:tab w:val="clear" w:pos="1872"/>
        </w:tabs>
        <w:spacing w:before="240"/>
        <w:ind w:left="0" w:firstLine="0"/>
        <w:jc w:val="both"/>
        <w:rPr>
          <w:rFonts w:cs="Arial"/>
          <w:szCs w:val="22"/>
        </w:rPr>
      </w:pPr>
      <w:r w:rsidRPr="009519E5">
        <w:rPr>
          <w:rFonts w:cs="Arial"/>
          <w:szCs w:val="22"/>
        </w:rPr>
        <w:t xml:space="preserve">To allow for drainage, a </w:t>
      </w:r>
      <w:r w:rsidR="004F5984">
        <w:rPr>
          <w:rFonts w:cs="Arial"/>
          <w:szCs w:val="22"/>
        </w:rPr>
        <w:t xml:space="preserve">layer of a </w:t>
      </w:r>
      <w:r w:rsidRPr="009519E5">
        <w:rPr>
          <w:rFonts w:cs="Arial"/>
          <w:szCs w:val="22"/>
        </w:rPr>
        <w:t xml:space="preserve">minimum </w:t>
      </w:r>
      <w:r w:rsidRPr="004F5984">
        <w:rPr>
          <w:rFonts w:cs="Arial"/>
          <w:szCs w:val="22"/>
        </w:rPr>
        <w:t>of 4</w:t>
      </w:r>
      <w:r w:rsidR="00FC5124" w:rsidRPr="004F5984">
        <w:rPr>
          <w:rFonts w:cs="Arial"/>
          <w:szCs w:val="22"/>
        </w:rPr>
        <w:t>"</w:t>
      </w:r>
      <w:r w:rsidR="004F5984" w:rsidRPr="004F5984">
        <w:rPr>
          <w:rFonts w:cs="Arial"/>
          <w:szCs w:val="22"/>
        </w:rPr>
        <w:t xml:space="preserve"> of </w:t>
      </w:r>
      <w:r w:rsidRPr="004F5984">
        <w:rPr>
          <w:rFonts w:cs="Arial"/>
          <w:szCs w:val="22"/>
        </w:rPr>
        <w:t>granular</w:t>
      </w:r>
      <w:r w:rsidRPr="009519E5">
        <w:rPr>
          <w:rFonts w:cs="Arial"/>
          <w:szCs w:val="22"/>
        </w:rPr>
        <w:t xml:space="preserve"> material (e.g.</w:t>
      </w:r>
      <w:r w:rsidR="00FC5124">
        <w:rPr>
          <w:rFonts w:cs="Arial"/>
          <w:szCs w:val="22"/>
        </w:rPr>
        <w:t>,</w:t>
      </w:r>
      <w:r w:rsidRPr="009519E5">
        <w:rPr>
          <w:rFonts w:cs="Arial"/>
          <w:szCs w:val="22"/>
        </w:rPr>
        <w:t xml:space="preserve"> GAB, Capping Borrow) should be placed.  In addition, the total pavement section should meet frost depth requirements.</w:t>
      </w:r>
      <w:r>
        <w:rPr>
          <w:rFonts w:cs="Arial"/>
          <w:szCs w:val="22"/>
        </w:rPr>
        <w:t xml:space="preserve">  Refer to </w:t>
      </w:r>
      <w:hyperlink w:anchor="_Frost_Depth" w:history="1">
        <w:r w:rsidR="00A63F09" w:rsidRPr="00A63F09">
          <w:rPr>
            <w:rStyle w:val="Hyperlink"/>
            <w:rFonts w:cs="Arial"/>
            <w:szCs w:val="22"/>
          </w:rPr>
          <w:t>Frost Depth</w:t>
        </w:r>
      </w:hyperlink>
      <w:r w:rsidR="00A63F09">
        <w:rPr>
          <w:rFonts w:cs="Arial"/>
          <w:szCs w:val="22"/>
        </w:rPr>
        <w:t>.</w:t>
      </w:r>
    </w:p>
    <w:p w14:paraId="44D3138A" w14:textId="77777777" w:rsidR="00101728" w:rsidRPr="009519E5" w:rsidRDefault="00101728" w:rsidP="00101728"/>
    <w:p w14:paraId="70A17B1C" w14:textId="77777777" w:rsidR="00101728" w:rsidRPr="00442D59" w:rsidRDefault="00101728" w:rsidP="00172E64">
      <w:pPr>
        <w:pStyle w:val="Heading4"/>
        <w:numPr>
          <w:ilvl w:val="3"/>
          <w:numId w:val="184"/>
        </w:numPr>
        <w:ind w:left="864"/>
      </w:pPr>
      <w:r w:rsidRPr="00442D59">
        <w:t xml:space="preserve">Jointing </w:t>
      </w:r>
    </w:p>
    <w:p w14:paraId="7DFCC32D" w14:textId="51DB36AE" w:rsidR="00101728" w:rsidRDefault="00101728" w:rsidP="00101728">
      <w:pPr>
        <w:pStyle w:val="ListNumber"/>
        <w:tabs>
          <w:tab w:val="clear" w:pos="720"/>
          <w:tab w:val="clear" w:pos="1872"/>
        </w:tabs>
        <w:ind w:left="0" w:firstLine="0"/>
        <w:jc w:val="both"/>
        <w:rPr>
          <w:rFonts w:cs="Arial"/>
          <w:szCs w:val="22"/>
        </w:rPr>
      </w:pPr>
      <w:r w:rsidRPr="00442D59">
        <w:rPr>
          <w:rFonts w:cs="Arial"/>
          <w:szCs w:val="22"/>
        </w:rPr>
        <w:t>Joints shall be sawed at a maximum spacing of 20</w:t>
      </w:r>
      <w:r w:rsidR="00FC5124">
        <w:rPr>
          <w:rFonts w:cs="Arial"/>
          <w:szCs w:val="22"/>
        </w:rPr>
        <w:t>'</w:t>
      </w:r>
      <w:r w:rsidRPr="00442D59">
        <w:rPr>
          <w:rFonts w:cs="Arial"/>
          <w:szCs w:val="22"/>
        </w:rPr>
        <w:t>, or match the existing joint spacing if applicable.  Saw cut depth shall be at least 25% of the RCC thickness, 1/8</w:t>
      </w:r>
      <w:r w:rsidR="00FC5124">
        <w:rPr>
          <w:rFonts w:cs="Arial"/>
          <w:szCs w:val="22"/>
        </w:rPr>
        <w:t>"</w:t>
      </w:r>
      <w:r w:rsidR="00C07C24">
        <w:rPr>
          <w:rFonts w:cs="Arial"/>
          <w:szCs w:val="22"/>
        </w:rPr>
        <w:t xml:space="preserve"> </w:t>
      </w:r>
      <w:r w:rsidRPr="00442D59">
        <w:rPr>
          <w:rFonts w:cs="Arial"/>
          <w:szCs w:val="22"/>
        </w:rPr>
        <w:t xml:space="preserve">wide.  No sealant is required.  </w:t>
      </w:r>
    </w:p>
    <w:p w14:paraId="618CAF63" w14:textId="02BAB700" w:rsidR="00114C08" w:rsidRDefault="00114C08" w:rsidP="00400FEC">
      <w:pPr>
        <w:pStyle w:val="ListNumber"/>
        <w:tabs>
          <w:tab w:val="clear" w:pos="720"/>
          <w:tab w:val="clear" w:pos="1872"/>
        </w:tabs>
        <w:ind w:left="0" w:firstLine="0"/>
        <w:jc w:val="both"/>
        <w:sectPr w:rsidR="00114C08" w:rsidSect="00602E0E">
          <w:headerReference w:type="default" r:id="rId252"/>
          <w:footerReference w:type="default" r:id="rId253"/>
          <w:type w:val="continuous"/>
          <w:pgSz w:w="12240" w:h="15840"/>
          <w:pgMar w:top="1440" w:right="1800" w:bottom="1440" w:left="1800" w:header="720" w:footer="720" w:gutter="0"/>
          <w:pgNumType w:chapStyle="1"/>
          <w:cols w:space="720"/>
          <w:docGrid w:linePitch="272"/>
        </w:sectPr>
      </w:pPr>
    </w:p>
    <w:p w14:paraId="6D3140A1" w14:textId="77777777" w:rsidR="00BC1CBA" w:rsidRDefault="00BC1CBA" w:rsidP="00172E64">
      <w:pPr>
        <w:pStyle w:val="Heading2"/>
        <w:numPr>
          <w:ilvl w:val="1"/>
          <w:numId w:val="184"/>
        </w:numPr>
        <w:ind w:left="0" w:firstLine="0"/>
        <w:sectPr w:rsidR="00BC1CBA">
          <w:headerReference w:type="default" r:id="rId254"/>
          <w:footerReference w:type="default" r:id="rId255"/>
          <w:type w:val="continuous"/>
          <w:pgSz w:w="12240" w:h="15840"/>
          <w:pgMar w:top="1440" w:right="1800" w:bottom="1440" w:left="1800" w:header="432" w:footer="720" w:gutter="0"/>
          <w:pgNumType w:chapStyle="1"/>
          <w:cols w:space="720"/>
        </w:sectPr>
      </w:pPr>
    </w:p>
    <w:p w14:paraId="198F0CCE" w14:textId="77777777" w:rsidR="00916953" w:rsidRDefault="00916953">
      <w:bookmarkStart w:id="519" w:name="_Standard_Pavement_Designs_1"/>
      <w:bookmarkStart w:id="520" w:name="_Toc479160114"/>
      <w:bookmarkStart w:id="521" w:name="_Toc514058002"/>
      <w:bookmarkStart w:id="522" w:name="_Toc194932398"/>
      <w:bookmarkEnd w:id="519"/>
      <w:r>
        <w:rPr>
          <w:b/>
          <w:caps/>
        </w:rPr>
        <w:br w:type="page"/>
      </w:r>
    </w:p>
    <w:p w14:paraId="15894E43" w14:textId="0BC4D794" w:rsidR="00FB48B4" w:rsidRDefault="00FB2EB8" w:rsidP="00172E64">
      <w:pPr>
        <w:pStyle w:val="Heading2"/>
        <w:numPr>
          <w:ilvl w:val="1"/>
          <w:numId w:val="184"/>
        </w:numPr>
        <w:ind w:left="0" w:firstLine="0"/>
      </w:pPr>
      <w:r>
        <w:lastRenderedPageBreak/>
        <w:t>Standard Pavemen</w:t>
      </w:r>
      <w:r w:rsidR="00FB48B4">
        <w:t>t Design</w:t>
      </w:r>
      <w:r>
        <w:t>s</w:t>
      </w:r>
      <w:bookmarkEnd w:id="520"/>
      <w:bookmarkEnd w:id="521"/>
      <w:bookmarkEnd w:id="522"/>
      <w:r w:rsidR="00FB48B4">
        <w:t xml:space="preserve"> </w:t>
      </w:r>
    </w:p>
    <w:p w14:paraId="4F8C17DC" w14:textId="4B03F23C" w:rsidR="00FB48B4" w:rsidRDefault="00FB48B4" w:rsidP="00BE3F24">
      <w:pPr>
        <w:jc w:val="both"/>
        <w:rPr>
          <w:rFonts w:ascii="Arial" w:hAnsi="Arial"/>
          <w:sz w:val="22"/>
        </w:rPr>
      </w:pPr>
      <w:r>
        <w:rPr>
          <w:rFonts w:ascii="Arial" w:hAnsi="Arial"/>
          <w:sz w:val="22"/>
        </w:rPr>
        <w:t xml:space="preserve">The pavement design standards </w:t>
      </w:r>
      <w:r w:rsidR="006A3196">
        <w:rPr>
          <w:rFonts w:ascii="Arial" w:hAnsi="Arial"/>
          <w:sz w:val="22"/>
        </w:rPr>
        <w:t xml:space="preserve">formerly </w:t>
      </w:r>
      <w:r>
        <w:rPr>
          <w:rFonts w:ascii="Arial" w:hAnsi="Arial"/>
          <w:sz w:val="22"/>
        </w:rPr>
        <w:t xml:space="preserve">contained in this section </w:t>
      </w:r>
      <w:r w:rsidR="006A3196">
        <w:rPr>
          <w:rFonts w:ascii="Arial" w:hAnsi="Arial"/>
          <w:sz w:val="22"/>
        </w:rPr>
        <w:t xml:space="preserve">have been added to the </w:t>
      </w:r>
      <w:r w:rsidR="008C7023">
        <w:rPr>
          <w:rFonts w:ascii="Arial" w:hAnsi="Arial"/>
          <w:sz w:val="22"/>
        </w:rPr>
        <w:t>MDOT-SHA</w:t>
      </w:r>
      <w:r>
        <w:rPr>
          <w:rFonts w:ascii="Arial" w:hAnsi="Arial"/>
          <w:sz w:val="22"/>
        </w:rPr>
        <w:t xml:space="preserve"> “Book of Standards.”  Th</w:t>
      </w:r>
      <w:r w:rsidR="006A3196">
        <w:rPr>
          <w:rFonts w:ascii="Arial" w:hAnsi="Arial"/>
          <w:sz w:val="22"/>
        </w:rPr>
        <w:t xml:space="preserve">ose </w:t>
      </w:r>
      <w:r>
        <w:rPr>
          <w:rFonts w:ascii="Arial" w:hAnsi="Arial"/>
          <w:sz w:val="22"/>
        </w:rPr>
        <w:t>standards</w:t>
      </w:r>
      <w:r w:rsidR="00750D3B">
        <w:rPr>
          <w:rFonts w:ascii="Arial" w:hAnsi="Arial"/>
          <w:sz w:val="22"/>
        </w:rPr>
        <w:t xml:space="preserve"> are:</w:t>
      </w:r>
    </w:p>
    <w:p w14:paraId="4C7C439D" w14:textId="77777777" w:rsidR="00AE54E2" w:rsidRDefault="00AE54E2" w:rsidP="00BE3F24">
      <w:pPr>
        <w:jc w:val="both"/>
        <w:rPr>
          <w:rFonts w:ascii="Arial" w:hAnsi="Arial"/>
          <w:sz w:val="22"/>
        </w:rPr>
      </w:pP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6600"/>
      </w:tblGrid>
      <w:tr w:rsidR="002B4F74" w:rsidRPr="006A3196" w14:paraId="4E370140" w14:textId="77777777" w:rsidTr="00E91B44">
        <w:trPr>
          <w:trHeight w:val="300"/>
          <w:jc w:val="center"/>
        </w:trPr>
        <w:tc>
          <w:tcPr>
            <w:tcW w:w="1795" w:type="dxa"/>
            <w:noWrap/>
            <w:vAlign w:val="center"/>
          </w:tcPr>
          <w:p w14:paraId="563ABF11" w14:textId="77777777" w:rsidR="002B4F74" w:rsidRPr="006A3196" w:rsidRDefault="002B4F74" w:rsidP="00FC5124">
            <w:pPr>
              <w:rPr>
                <w:rFonts w:ascii="Arial" w:hAnsi="Arial" w:cs="Arial"/>
                <w:color w:val="000000"/>
                <w:sz w:val="22"/>
                <w:szCs w:val="22"/>
              </w:rPr>
            </w:pPr>
            <w:r>
              <w:rPr>
                <w:rFonts w:ascii="Arial" w:hAnsi="Arial" w:cs="Arial"/>
                <w:color w:val="000000"/>
                <w:sz w:val="22"/>
                <w:szCs w:val="22"/>
              </w:rPr>
              <w:t>MD 578.03-01</w:t>
            </w:r>
          </w:p>
        </w:tc>
        <w:tc>
          <w:tcPr>
            <w:tcW w:w="6600" w:type="dxa"/>
            <w:noWrap/>
            <w:vAlign w:val="center"/>
          </w:tcPr>
          <w:p w14:paraId="26C0D1A2" w14:textId="77777777" w:rsidR="002B4F74" w:rsidRPr="006A3196" w:rsidRDefault="002B4F74" w:rsidP="00FC5124">
            <w:pPr>
              <w:rPr>
                <w:rFonts w:ascii="Arial" w:hAnsi="Arial" w:cs="Arial"/>
                <w:color w:val="000000"/>
                <w:sz w:val="22"/>
                <w:szCs w:val="22"/>
              </w:rPr>
            </w:pPr>
            <w:hyperlink r:id="rId256" w:history="1">
              <w:r w:rsidRPr="00BC1CBA">
                <w:rPr>
                  <w:rStyle w:val="Hyperlink"/>
                  <w:rFonts w:ascii="Arial" w:hAnsi="Arial" w:cs="Arial"/>
                  <w:sz w:val="22"/>
                  <w:szCs w:val="22"/>
                </w:rPr>
                <w:t>Permanent Patching for Composite Pavement</w:t>
              </w:r>
            </w:hyperlink>
          </w:p>
        </w:tc>
      </w:tr>
      <w:tr w:rsidR="006A3196" w:rsidRPr="006A3196" w14:paraId="5159C666" w14:textId="77777777" w:rsidTr="00E91B44">
        <w:trPr>
          <w:trHeight w:val="300"/>
          <w:jc w:val="center"/>
        </w:trPr>
        <w:tc>
          <w:tcPr>
            <w:tcW w:w="1795" w:type="dxa"/>
            <w:noWrap/>
            <w:vAlign w:val="center"/>
            <w:hideMark/>
          </w:tcPr>
          <w:p w14:paraId="2F37E671"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580.01</w:t>
            </w:r>
          </w:p>
        </w:tc>
        <w:tc>
          <w:tcPr>
            <w:tcW w:w="6600" w:type="dxa"/>
            <w:noWrap/>
            <w:vAlign w:val="center"/>
            <w:hideMark/>
          </w:tcPr>
          <w:p w14:paraId="0E905000" w14:textId="77777777" w:rsidR="006A3196" w:rsidRPr="006A3196" w:rsidRDefault="006A3196" w:rsidP="00FC5124">
            <w:pPr>
              <w:rPr>
                <w:rFonts w:ascii="Arial" w:hAnsi="Arial" w:cs="Arial"/>
                <w:color w:val="000000"/>
                <w:sz w:val="22"/>
                <w:szCs w:val="22"/>
              </w:rPr>
            </w:pPr>
            <w:hyperlink r:id="rId257" w:history="1">
              <w:r w:rsidRPr="00BC1CBA">
                <w:rPr>
                  <w:rStyle w:val="Hyperlink"/>
                  <w:rFonts w:ascii="Arial" w:hAnsi="Arial" w:cs="Arial"/>
                  <w:sz w:val="22"/>
                  <w:szCs w:val="22"/>
                </w:rPr>
                <w:t xml:space="preserve">Concrete Pavement </w:t>
              </w:r>
              <w:r w:rsidR="004D64A3" w:rsidRPr="00BC1CBA">
                <w:rPr>
                  <w:rStyle w:val="Hyperlink"/>
                  <w:rFonts w:ascii="Arial" w:hAnsi="Arial" w:cs="Arial"/>
                  <w:sz w:val="22"/>
                  <w:szCs w:val="22"/>
                </w:rPr>
                <w:t>Dowel Bar Retrofit</w:t>
              </w:r>
            </w:hyperlink>
          </w:p>
        </w:tc>
      </w:tr>
      <w:tr w:rsidR="006A3196" w:rsidRPr="006A3196" w14:paraId="63D394E4" w14:textId="77777777" w:rsidTr="00E91B44">
        <w:trPr>
          <w:trHeight w:val="300"/>
          <w:jc w:val="center"/>
        </w:trPr>
        <w:tc>
          <w:tcPr>
            <w:tcW w:w="1795" w:type="dxa"/>
            <w:noWrap/>
            <w:vAlign w:val="center"/>
            <w:hideMark/>
          </w:tcPr>
          <w:p w14:paraId="7C1D0BF2"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580.02</w:t>
            </w:r>
          </w:p>
        </w:tc>
        <w:tc>
          <w:tcPr>
            <w:tcW w:w="6600" w:type="dxa"/>
            <w:noWrap/>
            <w:vAlign w:val="center"/>
            <w:hideMark/>
          </w:tcPr>
          <w:p w14:paraId="01603B67" w14:textId="77777777" w:rsidR="006A3196" w:rsidRPr="006A3196" w:rsidRDefault="006A3196" w:rsidP="00FC5124">
            <w:pPr>
              <w:rPr>
                <w:rFonts w:ascii="Arial" w:hAnsi="Arial" w:cs="Arial"/>
                <w:color w:val="000000"/>
                <w:sz w:val="22"/>
                <w:szCs w:val="22"/>
              </w:rPr>
            </w:pPr>
            <w:hyperlink r:id="rId258" w:history="1">
              <w:r w:rsidRPr="00BC1CBA">
                <w:rPr>
                  <w:rStyle w:val="Hyperlink"/>
                  <w:rFonts w:ascii="Arial" w:hAnsi="Arial" w:cs="Arial"/>
                  <w:sz w:val="22"/>
                  <w:szCs w:val="22"/>
                </w:rPr>
                <w:t>N</w:t>
              </w:r>
              <w:r w:rsidR="004D64A3" w:rsidRPr="00BC1CBA">
                <w:rPr>
                  <w:rStyle w:val="Hyperlink"/>
                  <w:rFonts w:ascii="Arial" w:hAnsi="Arial" w:cs="Arial"/>
                  <w:sz w:val="22"/>
                  <w:szCs w:val="22"/>
                </w:rPr>
                <w:t>ew or Replacement</w:t>
              </w:r>
              <w:r w:rsidRPr="00BC1CBA">
                <w:rPr>
                  <w:rStyle w:val="Hyperlink"/>
                  <w:rFonts w:ascii="Arial" w:hAnsi="Arial" w:cs="Arial"/>
                  <w:sz w:val="22"/>
                  <w:szCs w:val="22"/>
                </w:rPr>
                <w:t xml:space="preserve"> C</w:t>
              </w:r>
              <w:r w:rsidR="004D64A3" w:rsidRPr="00BC1CBA">
                <w:rPr>
                  <w:rStyle w:val="Hyperlink"/>
                  <w:rFonts w:ascii="Arial" w:hAnsi="Arial" w:cs="Arial"/>
                  <w:sz w:val="22"/>
                  <w:szCs w:val="22"/>
                </w:rPr>
                <w:t>oncrete Bus Pads</w:t>
              </w:r>
            </w:hyperlink>
          </w:p>
        </w:tc>
      </w:tr>
      <w:tr w:rsidR="006A3196" w:rsidRPr="006A3196" w14:paraId="14AD5166" w14:textId="77777777" w:rsidTr="00E91B44">
        <w:trPr>
          <w:trHeight w:val="300"/>
          <w:jc w:val="center"/>
        </w:trPr>
        <w:tc>
          <w:tcPr>
            <w:tcW w:w="1795" w:type="dxa"/>
            <w:noWrap/>
            <w:vAlign w:val="center"/>
            <w:hideMark/>
          </w:tcPr>
          <w:p w14:paraId="4703CAB1"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580.03</w:t>
            </w:r>
          </w:p>
        </w:tc>
        <w:tc>
          <w:tcPr>
            <w:tcW w:w="6600" w:type="dxa"/>
            <w:noWrap/>
            <w:vAlign w:val="center"/>
            <w:hideMark/>
          </w:tcPr>
          <w:p w14:paraId="7783C1C3" w14:textId="77777777" w:rsidR="006A3196" w:rsidRPr="006A3196" w:rsidRDefault="006A3196" w:rsidP="00FC5124">
            <w:pPr>
              <w:rPr>
                <w:rFonts w:ascii="Arial" w:hAnsi="Arial" w:cs="Arial"/>
                <w:color w:val="000000"/>
                <w:sz w:val="22"/>
                <w:szCs w:val="22"/>
              </w:rPr>
            </w:pPr>
            <w:hyperlink r:id="rId259" w:history="1">
              <w:r w:rsidRPr="002B4F74">
                <w:rPr>
                  <w:rStyle w:val="Hyperlink"/>
                  <w:rFonts w:ascii="Arial" w:hAnsi="Arial" w:cs="Arial"/>
                  <w:sz w:val="22"/>
                  <w:szCs w:val="22"/>
                </w:rPr>
                <w:t>N</w:t>
              </w:r>
              <w:r w:rsidR="004D64A3" w:rsidRPr="002B4F74">
                <w:rPr>
                  <w:rStyle w:val="Hyperlink"/>
                  <w:rFonts w:ascii="Arial" w:hAnsi="Arial" w:cs="Arial"/>
                  <w:sz w:val="22"/>
                  <w:szCs w:val="22"/>
                </w:rPr>
                <w:t>ew Combination Curb and Gutter Placement along Existing Pavement</w:t>
              </w:r>
            </w:hyperlink>
          </w:p>
        </w:tc>
      </w:tr>
      <w:tr w:rsidR="006A3196" w:rsidRPr="006A3196" w14:paraId="39A47F23" w14:textId="77777777" w:rsidTr="00E91B44">
        <w:trPr>
          <w:trHeight w:val="300"/>
          <w:jc w:val="center"/>
        </w:trPr>
        <w:tc>
          <w:tcPr>
            <w:tcW w:w="1795" w:type="dxa"/>
            <w:noWrap/>
            <w:vAlign w:val="center"/>
            <w:hideMark/>
          </w:tcPr>
          <w:p w14:paraId="58187DC3"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580.04</w:t>
            </w:r>
          </w:p>
        </w:tc>
        <w:tc>
          <w:tcPr>
            <w:tcW w:w="6600" w:type="dxa"/>
            <w:noWrap/>
            <w:vAlign w:val="center"/>
            <w:hideMark/>
          </w:tcPr>
          <w:p w14:paraId="3E9D7529" w14:textId="77777777" w:rsidR="006A3196" w:rsidRPr="006A3196" w:rsidRDefault="006A3196" w:rsidP="00FC5124">
            <w:pPr>
              <w:rPr>
                <w:rFonts w:ascii="Arial" w:hAnsi="Arial" w:cs="Arial"/>
                <w:color w:val="000000"/>
                <w:sz w:val="22"/>
                <w:szCs w:val="22"/>
              </w:rPr>
            </w:pPr>
            <w:hyperlink r:id="rId260" w:history="1">
              <w:r w:rsidRPr="00BC1CBA">
                <w:rPr>
                  <w:rStyle w:val="Hyperlink"/>
                  <w:rFonts w:ascii="Arial" w:hAnsi="Arial" w:cs="Arial"/>
                  <w:sz w:val="22"/>
                  <w:szCs w:val="22"/>
                </w:rPr>
                <w:t>C</w:t>
              </w:r>
              <w:r w:rsidR="004D64A3" w:rsidRPr="00BC1CBA">
                <w:rPr>
                  <w:rStyle w:val="Hyperlink"/>
                  <w:rFonts w:ascii="Arial" w:hAnsi="Arial" w:cs="Arial"/>
                  <w:sz w:val="22"/>
                  <w:szCs w:val="22"/>
                </w:rPr>
                <w:t>oncrete Pavement Spall Repair</w:t>
              </w:r>
            </w:hyperlink>
          </w:p>
        </w:tc>
      </w:tr>
      <w:tr w:rsidR="006A3196" w:rsidRPr="006A3196" w14:paraId="77C018B9" w14:textId="77777777" w:rsidTr="00E91B44">
        <w:trPr>
          <w:trHeight w:val="300"/>
          <w:jc w:val="center"/>
        </w:trPr>
        <w:tc>
          <w:tcPr>
            <w:tcW w:w="1795" w:type="dxa"/>
            <w:noWrap/>
            <w:vAlign w:val="center"/>
            <w:hideMark/>
          </w:tcPr>
          <w:p w14:paraId="76AE2200"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580.05</w:t>
            </w:r>
          </w:p>
        </w:tc>
        <w:tc>
          <w:tcPr>
            <w:tcW w:w="6600" w:type="dxa"/>
            <w:noWrap/>
            <w:vAlign w:val="center"/>
            <w:hideMark/>
          </w:tcPr>
          <w:p w14:paraId="115B545C" w14:textId="77777777" w:rsidR="006A3196" w:rsidRPr="006A3196" w:rsidRDefault="006A3196" w:rsidP="00FC5124">
            <w:pPr>
              <w:rPr>
                <w:rFonts w:ascii="Arial" w:hAnsi="Arial" w:cs="Arial"/>
                <w:color w:val="000000"/>
                <w:sz w:val="22"/>
                <w:szCs w:val="22"/>
              </w:rPr>
            </w:pPr>
            <w:hyperlink r:id="rId261" w:history="1">
              <w:r w:rsidRPr="002B1D50">
                <w:rPr>
                  <w:rStyle w:val="Hyperlink"/>
                  <w:rFonts w:ascii="Arial" w:hAnsi="Arial" w:cs="Arial"/>
                  <w:sz w:val="22"/>
                  <w:szCs w:val="22"/>
                </w:rPr>
                <w:t>R</w:t>
              </w:r>
              <w:r w:rsidR="004D64A3" w:rsidRPr="002B1D50">
                <w:rPr>
                  <w:rStyle w:val="Hyperlink"/>
                  <w:rFonts w:ascii="Arial" w:hAnsi="Arial" w:cs="Arial"/>
                  <w:sz w:val="22"/>
                  <w:szCs w:val="22"/>
                </w:rPr>
                <w:t>oundabout Pavement Section</w:t>
              </w:r>
            </w:hyperlink>
          </w:p>
        </w:tc>
      </w:tr>
      <w:tr w:rsidR="006A3196" w:rsidRPr="006A3196" w14:paraId="4BFE9092" w14:textId="77777777" w:rsidTr="00E91B44">
        <w:trPr>
          <w:trHeight w:val="300"/>
          <w:jc w:val="center"/>
        </w:trPr>
        <w:tc>
          <w:tcPr>
            <w:tcW w:w="1795" w:type="dxa"/>
            <w:noWrap/>
            <w:vAlign w:val="center"/>
            <w:hideMark/>
          </w:tcPr>
          <w:p w14:paraId="1F81601A"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580.06</w:t>
            </w:r>
          </w:p>
        </w:tc>
        <w:tc>
          <w:tcPr>
            <w:tcW w:w="6600" w:type="dxa"/>
            <w:noWrap/>
            <w:vAlign w:val="center"/>
            <w:hideMark/>
          </w:tcPr>
          <w:p w14:paraId="415098B1" w14:textId="77777777" w:rsidR="006A3196" w:rsidRPr="006A3196" w:rsidRDefault="006A3196" w:rsidP="00FC5124">
            <w:pPr>
              <w:rPr>
                <w:rFonts w:ascii="Arial" w:hAnsi="Arial" w:cs="Arial"/>
                <w:color w:val="000000"/>
                <w:sz w:val="22"/>
                <w:szCs w:val="22"/>
              </w:rPr>
            </w:pPr>
            <w:hyperlink r:id="rId262" w:history="1">
              <w:r w:rsidRPr="007606F7">
                <w:rPr>
                  <w:rStyle w:val="Hyperlink"/>
                  <w:rFonts w:ascii="Arial" w:hAnsi="Arial" w:cs="Arial"/>
                  <w:sz w:val="22"/>
                  <w:szCs w:val="22"/>
                </w:rPr>
                <w:t>P</w:t>
              </w:r>
              <w:r w:rsidR="004D64A3" w:rsidRPr="007606F7">
                <w:rPr>
                  <w:rStyle w:val="Hyperlink"/>
                  <w:rFonts w:ascii="Arial" w:hAnsi="Arial" w:cs="Arial"/>
                  <w:sz w:val="22"/>
                  <w:szCs w:val="22"/>
                </w:rPr>
                <w:t>ark and Ride Pavement Sections Flexible Pavement</w:t>
              </w:r>
            </w:hyperlink>
          </w:p>
        </w:tc>
      </w:tr>
      <w:tr w:rsidR="006A3196" w:rsidRPr="006A3196" w14:paraId="0192AFD4" w14:textId="77777777" w:rsidTr="00E91B44">
        <w:trPr>
          <w:trHeight w:val="300"/>
          <w:jc w:val="center"/>
        </w:trPr>
        <w:tc>
          <w:tcPr>
            <w:tcW w:w="1795" w:type="dxa"/>
            <w:noWrap/>
            <w:vAlign w:val="center"/>
            <w:hideMark/>
          </w:tcPr>
          <w:p w14:paraId="7FFD1BCF"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580.07</w:t>
            </w:r>
          </w:p>
        </w:tc>
        <w:tc>
          <w:tcPr>
            <w:tcW w:w="6600" w:type="dxa"/>
            <w:noWrap/>
            <w:vAlign w:val="center"/>
            <w:hideMark/>
          </w:tcPr>
          <w:p w14:paraId="2C20CE2F" w14:textId="77777777" w:rsidR="006A3196" w:rsidRPr="006A3196" w:rsidRDefault="006A3196" w:rsidP="00FC5124">
            <w:pPr>
              <w:rPr>
                <w:rFonts w:ascii="Arial" w:hAnsi="Arial" w:cs="Arial"/>
                <w:color w:val="000000"/>
                <w:sz w:val="22"/>
                <w:szCs w:val="22"/>
              </w:rPr>
            </w:pPr>
            <w:hyperlink r:id="rId263" w:history="1">
              <w:r w:rsidRPr="007606F7">
                <w:rPr>
                  <w:rStyle w:val="Hyperlink"/>
                  <w:rFonts w:ascii="Arial" w:hAnsi="Arial" w:cs="Arial"/>
                  <w:sz w:val="22"/>
                  <w:szCs w:val="22"/>
                </w:rPr>
                <w:t>P</w:t>
              </w:r>
              <w:r w:rsidR="004D64A3" w:rsidRPr="007606F7">
                <w:rPr>
                  <w:rStyle w:val="Hyperlink"/>
                  <w:rFonts w:ascii="Arial" w:hAnsi="Arial" w:cs="Arial"/>
                  <w:sz w:val="22"/>
                  <w:szCs w:val="22"/>
                </w:rPr>
                <w:t>ark and Ride Sections Rigid Pavement</w:t>
              </w:r>
            </w:hyperlink>
          </w:p>
        </w:tc>
      </w:tr>
      <w:tr w:rsidR="006A3196" w:rsidRPr="006A3196" w14:paraId="1ED15FC7" w14:textId="77777777" w:rsidTr="00E91B44">
        <w:trPr>
          <w:trHeight w:val="300"/>
          <w:jc w:val="center"/>
        </w:trPr>
        <w:tc>
          <w:tcPr>
            <w:tcW w:w="1795" w:type="dxa"/>
            <w:noWrap/>
            <w:vAlign w:val="center"/>
            <w:hideMark/>
          </w:tcPr>
          <w:p w14:paraId="737007D1"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580.08</w:t>
            </w:r>
          </w:p>
        </w:tc>
        <w:tc>
          <w:tcPr>
            <w:tcW w:w="6600" w:type="dxa"/>
            <w:noWrap/>
            <w:vAlign w:val="center"/>
            <w:hideMark/>
          </w:tcPr>
          <w:p w14:paraId="2BE8D8C9" w14:textId="32A1C48B" w:rsidR="006A3196" w:rsidRPr="006A3196" w:rsidRDefault="0000373A" w:rsidP="00FC5124">
            <w:pPr>
              <w:rPr>
                <w:rFonts w:ascii="Arial" w:hAnsi="Arial" w:cs="Arial"/>
                <w:color w:val="000000"/>
                <w:sz w:val="22"/>
                <w:szCs w:val="22"/>
              </w:rPr>
            </w:pPr>
            <w:hyperlink r:id="rId264" w:history="1">
              <w:r>
                <w:rPr>
                  <w:rStyle w:val="Hyperlink"/>
                  <w:rFonts w:ascii="Arial" w:hAnsi="Arial" w:cs="Arial"/>
                  <w:sz w:val="22"/>
                  <w:szCs w:val="22"/>
                </w:rPr>
                <w:t>Driveway and Bike Pavement Sections</w:t>
              </w:r>
            </w:hyperlink>
          </w:p>
        </w:tc>
      </w:tr>
      <w:tr w:rsidR="006A3196" w:rsidRPr="006A3196" w14:paraId="75CCE1AA" w14:textId="77777777" w:rsidTr="00E91B44">
        <w:trPr>
          <w:trHeight w:val="300"/>
          <w:jc w:val="center"/>
        </w:trPr>
        <w:tc>
          <w:tcPr>
            <w:tcW w:w="1795" w:type="dxa"/>
            <w:noWrap/>
            <w:vAlign w:val="center"/>
            <w:hideMark/>
          </w:tcPr>
          <w:p w14:paraId="61541714"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580.09</w:t>
            </w:r>
          </w:p>
        </w:tc>
        <w:tc>
          <w:tcPr>
            <w:tcW w:w="6600" w:type="dxa"/>
            <w:noWrap/>
            <w:vAlign w:val="center"/>
            <w:hideMark/>
          </w:tcPr>
          <w:p w14:paraId="72064689" w14:textId="77777777" w:rsidR="006A3196" w:rsidRPr="006A3196" w:rsidRDefault="006A3196" w:rsidP="00FC5124">
            <w:pPr>
              <w:rPr>
                <w:rFonts w:ascii="Arial" w:hAnsi="Arial" w:cs="Arial"/>
                <w:color w:val="000000"/>
                <w:sz w:val="22"/>
                <w:szCs w:val="22"/>
              </w:rPr>
            </w:pPr>
            <w:hyperlink r:id="rId265" w:history="1">
              <w:r w:rsidRPr="00BC1CBA">
                <w:rPr>
                  <w:rStyle w:val="Hyperlink"/>
                  <w:rFonts w:ascii="Arial" w:hAnsi="Arial" w:cs="Arial"/>
                  <w:sz w:val="22"/>
                  <w:szCs w:val="22"/>
                </w:rPr>
                <w:t>B</w:t>
              </w:r>
              <w:r w:rsidR="004D64A3" w:rsidRPr="00BC1CBA">
                <w:rPr>
                  <w:rStyle w:val="Hyperlink"/>
                  <w:rFonts w:ascii="Arial" w:hAnsi="Arial" w:cs="Arial"/>
                  <w:sz w:val="22"/>
                  <w:szCs w:val="22"/>
                </w:rPr>
                <w:t>ridge Approach Pavement Sections</w:t>
              </w:r>
            </w:hyperlink>
          </w:p>
        </w:tc>
      </w:tr>
      <w:tr w:rsidR="006A3196" w:rsidRPr="006A3196" w14:paraId="2DCD8A63" w14:textId="77777777" w:rsidTr="00E91B44">
        <w:trPr>
          <w:trHeight w:val="300"/>
          <w:jc w:val="center"/>
        </w:trPr>
        <w:tc>
          <w:tcPr>
            <w:tcW w:w="1795" w:type="dxa"/>
            <w:noWrap/>
            <w:vAlign w:val="center"/>
            <w:hideMark/>
          </w:tcPr>
          <w:p w14:paraId="4FFA262D" w14:textId="77777777" w:rsidR="006A3196" w:rsidRPr="006A3196" w:rsidRDefault="006A3196" w:rsidP="00FC5124">
            <w:pPr>
              <w:rPr>
                <w:rFonts w:ascii="Arial" w:hAnsi="Arial" w:cs="Arial"/>
                <w:color w:val="000000"/>
                <w:sz w:val="22"/>
                <w:szCs w:val="22"/>
              </w:rPr>
            </w:pPr>
            <w:r w:rsidRPr="006A3196">
              <w:rPr>
                <w:rFonts w:ascii="Arial" w:hAnsi="Arial" w:cs="Arial"/>
                <w:color w:val="000000"/>
                <w:sz w:val="22"/>
                <w:szCs w:val="22"/>
              </w:rPr>
              <w:t>MD 580.10</w:t>
            </w:r>
          </w:p>
        </w:tc>
        <w:tc>
          <w:tcPr>
            <w:tcW w:w="6600" w:type="dxa"/>
            <w:noWrap/>
            <w:vAlign w:val="center"/>
            <w:hideMark/>
          </w:tcPr>
          <w:p w14:paraId="4A976A15" w14:textId="77777777" w:rsidR="006A3196" w:rsidRPr="006A3196" w:rsidRDefault="006A3196" w:rsidP="00FC5124">
            <w:pPr>
              <w:rPr>
                <w:rFonts w:ascii="Arial" w:hAnsi="Arial" w:cs="Arial"/>
                <w:color w:val="000000"/>
                <w:sz w:val="22"/>
                <w:szCs w:val="22"/>
              </w:rPr>
            </w:pPr>
            <w:hyperlink r:id="rId266" w:history="1">
              <w:r w:rsidRPr="00BC1CBA">
                <w:rPr>
                  <w:rStyle w:val="Hyperlink"/>
                  <w:rFonts w:ascii="Arial" w:hAnsi="Arial" w:cs="Arial"/>
                  <w:sz w:val="22"/>
                  <w:szCs w:val="22"/>
                </w:rPr>
                <w:t>P</w:t>
              </w:r>
              <w:r w:rsidR="004D64A3" w:rsidRPr="00BC1CBA">
                <w:rPr>
                  <w:rStyle w:val="Hyperlink"/>
                  <w:rFonts w:ascii="Arial" w:hAnsi="Arial" w:cs="Arial"/>
                  <w:sz w:val="22"/>
                  <w:szCs w:val="22"/>
                </w:rPr>
                <w:t>ermeable Pavement Sections</w:t>
              </w:r>
            </w:hyperlink>
          </w:p>
        </w:tc>
      </w:tr>
    </w:tbl>
    <w:p w14:paraId="4142BAE0" w14:textId="77777777" w:rsidR="006A3196" w:rsidRDefault="006A3196" w:rsidP="00BE3F24">
      <w:pPr>
        <w:jc w:val="both"/>
        <w:rPr>
          <w:rFonts w:ascii="Arial" w:hAnsi="Arial"/>
          <w:sz w:val="22"/>
        </w:rPr>
      </w:pPr>
    </w:p>
    <w:p w14:paraId="38080515" w14:textId="77777777" w:rsidR="00FB48B4" w:rsidRDefault="00750D3B" w:rsidP="00BE3F24">
      <w:pPr>
        <w:jc w:val="both"/>
        <w:rPr>
          <w:rFonts w:ascii="Arial" w:hAnsi="Arial"/>
          <w:sz w:val="22"/>
        </w:rPr>
      </w:pPr>
      <w:r>
        <w:rPr>
          <w:rFonts w:ascii="Arial" w:hAnsi="Arial"/>
          <w:sz w:val="22"/>
        </w:rPr>
        <w:t>Any new standards th</w:t>
      </w:r>
      <w:r w:rsidR="00E7571D">
        <w:rPr>
          <w:rFonts w:ascii="Arial" w:hAnsi="Arial"/>
          <w:sz w:val="22"/>
        </w:rPr>
        <w:t>at</w:t>
      </w:r>
      <w:r>
        <w:rPr>
          <w:rFonts w:ascii="Arial" w:hAnsi="Arial"/>
          <w:sz w:val="22"/>
        </w:rPr>
        <w:t xml:space="preserve"> may be developed in the future </w:t>
      </w:r>
      <w:r w:rsidR="00E7571D">
        <w:rPr>
          <w:rFonts w:ascii="Arial" w:hAnsi="Arial"/>
          <w:sz w:val="22"/>
        </w:rPr>
        <w:t xml:space="preserve">to </w:t>
      </w:r>
      <w:r>
        <w:rPr>
          <w:rFonts w:ascii="Arial" w:hAnsi="Arial"/>
          <w:sz w:val="22"/>
        </w:rPr>
        <w:t>maintain consistency in the distribution of recommendations from the Pavement and Geotechnical Division will be added to this section.</w:t>
      </w:r>
    </w:p>
    <w:p w14:paraId="26B7CB13" w14:textId="77777777" w:rsidR="00750D3B" w:rsidRDefault="00750D3B" w:rsidP="00BE3F24">
      <w:pPr>
        <w:jc w:val="both"/>
        <w:rPr>
          <w:rFonts w:ascii="Arial" w:hAnsi="Arial"/>
          <w:sz w:val="22"/>
        </w:rPr>
      </w:pPr>
    </w:p>
    <w:p w14:paraId="20F6290C" w14:textId="77777777" w:rsidR="005F75EF" w:rsidRDefault="005F75EF" w:rsidP="00172E64">
      <w:pPr>
        <w:pStyle w:val="Heading1"/>
        <w:numPr>
          <w:ilvl w:val="0"/>
          <w:numId w:val="184"/>
        </w:numPr>
        <w:ind w:left="0" w:firstLine="0"/>
        <w:sectPr w:rsidR="005F75EF" w:rsidSect="00602E0E">
          <w:headerReference w:type="default" r:id="rId267"/>
          <w:footerReference w:type="default" r:id="rId268"/>
          <w:type w:val="continuous"/>
          <w:pgSz w:w="12240" w:h="15840" w:code="1"/>
          <w:pgMar w:top="1440" w:right="1800" w:bottom="1440" w:left="1800" w:header="720" w:footer="720" w:gutter="0"/>
          <w:pgNumType w:chapStyle="1"/>
          <w:cols w:space="720"/>
          <w:docGrid w:linePitch="360"/>
        </w:sectPr>
      </w:pPr>
      <w:bookmarkStart w:id="523" w:name="_Park_and_Ride"/>
      <w:bookmarkStart w:id="524" w:name="_Narrow_Base_Widening"/>
      <w:bookmarkStart w:id="525" w:name="_Composite_Patch_(HMA"/>
      <w:bookmarkStart w:id="526" w:name="_Driveways_&amp;_Bike"/>
      <w:bookmarkStart w:id="527" w:name="_Bridge_Approaches"/>
      <w:bookmarkStart w:id="528" w:name="_Permeable_Pavement_Systems"/>
      <w:bookmarkStart w:id="529" w:name="_Geotechnical_Design"/>
      <w:bookmarkEnd w:id="523"/>
      <w:bookmarkEnd w:id="524"/>
      <w:bookmarkEnd w:id="525"/>
      <w:bookmarkEnd w:id="526"/>
      <w:bookmarkEnd w:id="527"/>
      <w:bookmarkEnd w:id="528"/>
      <w:bookmarkEnd w:id="529"/>
    </w:p>
    <w:p w14:paraId="506B2E12" w14:textId="77777777" w:rsidR="00AF0EF4" w:rsidRDefault="00AF0EF4" w:rsidP="00172E64">
      <w:pPr>
        <w:pStyle w:val="Heading1"/>
        <w:numPr>
          <w:ilvl w:val="0"/>
          <w:numId w:val="184"/>
        </w:numPr>
        <w:ind w:left="0" w:firstLine="0"/>
        <w:sectPr w:rsidR="00AF0EF4" w:rsidSect="001C17F1">
          <w:headerReference w:type="even" r:id="rId269"/>
          <w:headerReference w:type="default" r:id="rId270"/>
          <w:footerReference w:type="default" r:id="rId271"/>
          <w:headerReference w:type="first" r:id="rId272"/>
          <w:type w:val="continuous"/>
          <w:pgSz w:w="12240" w:h="15840" w:code="1"/>
          <w:pgMar w:top="1440" w:right="1800" w:bottom="1440" w:left="1800" w:header="720" w:footer="720" w:gutter="0"/>
          <w:pgNumType w:start="1" w:chapStyle="1"/>
          <w:cols w:space="720"/>
          <w:docGrid w:linePitch="360"/>
        </w:sectPr>
      </w:pPr>
      <w:bookmarkStart w:id="530" w:name="_Geotechnical_Design_1"/>
      <w:bookmarkStart w:id="531" w:name="_Toc479160115"/>
      <w:bookmarkStart w:id="532" w:name="_Toc514058003"/>
      <w:bookmarkEnd w:id="530"/>
    </w:p>
    <w:p w14:paraId="1E91844F" w14:textId="0920F532" w:rsidR="00FB2EB8" w:rsidRDefault="00FB2EB8" w:rsidP="00410880">
      <w:pPr>
        <w:pStyle w:val="Heading1"/>
      </w:pPr>
      <w:bookmarkStart w:id="533" w:name="_Toc194932399"/>
      <w:r>
        <w:lastRenderedPageBreak/>
        <w:t>Geotechnical Design</w:t>
      </w:r>
      <w:bookmarkEnd w:id="531"/>
      <w:bookmarkEnd w:id="532"/>
      <w:bookmarkEnd w:id="533"/>
      <w:r>
        <w:t xml:space="preserve"> </w:t>
      </w:r>
    </w:p>
    <w:p w14:paraId="4F8D8119" w14:textId="2C2F2912" w:rsidR="00981C68" w:rsidRDefault="00981C68" w:rsidP="00172E64">
      <w:pPr>
        <w:pStyle w:val="Heading2"/>
        <w:numPr>
          <w:ilvl w:val="1"/>
          <w:numId w:val="184"/>
        </w:numPr>
        <w:ind w:left="0" w:firstLine="0"/>
      </w:pPr>
      <w:bookmarkStart w:id="534" w:name="_Earthwork_(Excavation)_(7-7-09)"/>
      <w:bookmarkStart w:id="535" w:name="_Earthwork_(Excavation)"/>
      <w:bookmarkStart w:id="536" w:name="_Toc479160116"/>
      <w:bookmarkStart w:id="537" w:name="_Toc514058004"/>
      <w:bookmarkStart w:id="538" w:name="_Toc194932400"/>
      <w:bookmarkEnd w:id="534"/>
      <w:bookmarkEnd w:id="535"/>
      <w:r>
        <w:t>Earthwork (Excavation)</w:t>
      </w:r>
      <w:bookmarkEnd w:id="536"/>
      <w:bookmarkEnd w:id="537"/>
      <w:bookmarkEnd w:id="538"/>
      <w:r w:rsidR="009A2617">
        <w:t xml:space="preserve"> </w:t>
      </w:r>
    </w:p>
    <w:p w14:paraId="029E70FB" w14:textId="77777777" w:rsidR="00ED4A45" w:rsidRPr="008F604D" w:rsidRDefault="00ED4A45" w:rsidP="00ED4A4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Top_of_Subgrade" w:history="1">
        <w:r w:rsidRPr="00ED4A45">
          <w:rPr>
            <w:rStyle w:val="Hyperlink"/>
            <w:rFonts w:ascii="Arial" w:hAnsi="Arial" w:cs="Arial"/>
            <w:bCs/>
            <w:sz w:val="16"/>
            <w:szCs w:val="16"/>
          </w:rPr>
          <w:t>Top of Subgrade</w:t>
        </w:r>
      </w:hyperlink>
    </w:p>
    <w:p w14:paraId="1360F8F2" w14:textId="77777777" w:rsidR="00404AF1" w:rsidRPr="00631AD9" w:rsidRDefault="00404AF1" w:rsidP="00172E64">
      <w:pPr>
        <w:pStyle w:val="Heading3"/>
        <w:numPr>
          <w:ilvl w:val="2"/>
          <w:numId w:val="184"/>
        </w:numPr>
        <w:ind w:left="0" w:firstLine="0"/>
      </w:pPr>
      <w:r w:rsidRPr="00631AD9">
        <w:t>General</w:t>
      </w:r>
    </w:p>
    <w:p w14:paraId="0A3B1265" w14:textId="349DF424" w:rsidR="00404AF1" w:rsidRPr="0009683C" w:rsidRDefault="00404AF1" w:rsidP="00BE3F24">
      <w:pPr>
        <w:jc w:val="both"/>
        <w:rPr>
          <w:rFonts w:ascii="Arial" w:hAnsi="Arial" w:cs="Arial"/>
          <w:sz w:val="22"/>
          <w:szCs w:val="22"/>
        </w:rPr>
      </w:pPr>
      <w:r w:rsidRPr="0009683C">
        <w:rPr>
          <w:rFonts w:ascii="Arial" w:hAnsi="Arial" w:cs="Arial"/>
          <w:sz w:val="22"/>
          <w:szCs w:val="22"/>
        </w:rPr>
        <w:t>This section provides the PAGD Engineer specific steps for computing the earthwork quantities and any material specifications required to be included in the Contract Documents.  This section includes information regarding Limits of Class 1 Excavation, Top of Subgrade, Class 1-A Excavation, Backfill Material for Class 1-A Excavation, Wasting a % of Class 1 Excavation, Shrinkage and Swell factors to determine the quantity of borrow available, etc.</w:t>
      </w:r>
    </w:p>
    <w:p w14:paraId="173D52D5" w14:textId="77777777" w:rsidR="00404AF1" w:rsidRPr="00631AD9" w:rsidRDefault="00404AF1" w:rsidP="00172E64">
      <w:pPr>
        <w:pStyle w:val="Heading3"/>
        <w:numPr>
          <w:ilvl w:val="2"/>
          <w:numId w:val="184"/>
        </w:numPr>
        <w:ind w:left="0" w:firstLine="0"/>
      </w:pPr>
      <w:bookmarkStart w:id="539" w:name="_Purpose_1"/>
      <w:bookmarkEnd w:id="539"/>
      <w:r w:rsidRPr="00631AD9">
        <w:t>Purpose</w:t>
      </w:r>
    </w:p>
    <w:p w14:paraId="269F7A51" w14:textId="70F662E4" w:rsidR="001A15B9" w:rsidRDefault="00404AF1" w:rsidP="00172E64">
      <w:pPr>
        <w:numPr>
          <w:ilvl w:val="0"/>
          <w:numId w:val="48"/>
        </w:numPr>
        <w:ind w:hanging="720"/>
        <w:jc w:val="both"/>
        <w:rPr>
          <w:rFonts w:ascii="Arial" w:hAnsi="Arial" w:cs="Arial"/>
          <w:sz w:val="22"/>
          <w:szCs w:val="22"/>
        </w:rPr>
      </w:pPr>
      <w:r w:rsidRPr="0009683C">
        <w:rPr>
          <w:rFonts w:ascii="Arial" w:hAnsi="Arial" w:cs="Arial"/>
          <w:sz w:val="22"/>
          <w:szCs w:val="22"/>
        </w:rPr>
        <w:t>Class 1 Excavation and Top of Subgrade: To inform the PM of the lowest normal grading limit for roadway excavation so that earthwork quantities can be computed accurately. The Top of Subgrade, which generally can be defined as an imaginary line immediately below the bottom of the sub</w:t>
      </w:r>
      <w:r w:rsidR="00BA50FD">
        <w:rPr>
          <w:rFonts w:ascii="Arial" w:hAnsi="Arial" w:cs="Arial"/>
          <w:sz w:val="22"/>
          <w:szCs w:val="22"/>
        </w:rPr>
        <w:t>-</w:t>
      </w:r>
      <w:r w:rsidRPr="0009683C">
        <w:rPr>
          <w:rFonts w:ascii="Arial" w:hAnsi="Arial" w:cs="Arial"/>
          <w:sz w:val="22"/>
          <w:szCs w:val="22"/>
        </w:rPr>
        <w:t>base, base or pavement, and is designated to establish where the top one f</w:t>
      </w:r>
      <w:r w:rsidR="00BA50FD">
        <w:rPr>
          <w:rFonts w:ascii="Arial" w:hAnsi="Arial" w:cs="Arial"/>
          <w:sz w:val="22"/>
          <w:szCs w:val="22"/>
        </w:rPr>
        <w:t>oo</w:t>
      </w:r>
      <w:r w:rsidRPr="0009683C">
        <w:rPr>
          <w:rFonts w:ascii="Arial" w:hAnsi="Arial" w:cs="Arial"/>
          <w:sz w:val="22"/>
          <w:szCs w:val="22"/>
        </w:rPr>
        <w:t xml:space="preserve">t compaction requirements and test rolling requirements apply.  (Refer to </w:t>
      </w:r>
      <w:r w:rsidR="00FF117A">
        <w:rPr>
          <w:rFonts w:ascii="Arial" w:hAnsi="Arial" w:cs="Arial"/>
          <w:sz w:val="22"/>
          <w:szCs w:val="22"/>
        </w:rPr>
        <w:t>S</w:t>
      </w:r>
      <w:r w:rsidR="008E1692">
        <w:rPr>
          <w:rFonts w:ascii="Arial" w:hAnsi="Arial" w:cs="Arial"/>
          <w:sz w:val="22"/>
          <w:szCs w:val="22"/>
        </w:rPr>
        <w:t>ection</w:t>
      </w:r>
      <w:r w:rsidR="00FF117A">
        <w:rPr>
          <w:rFonts w:ascii="Arial" w:hAnsi="Arial" w:cs="Arial"/>
          <w:sz w:val="22"/>
          <w:szCs w:val="22"/>
        </w:rPr>
        <w:t xml:space="preserve"> 201 – Roadway Excavation </w:t>
      </w:r>
      <w:r w:rsidR="00BA50FD">
        <w:rPr>
          <w:rFonts w:ascii="Arial" w:hAnsi="Arial" w:cs="Arial"/>
          <w:sz w:val="22"/>
          <w:szCs w:val="22"/>
        </w:rPr>
        <w:t>[</w:t>
      </w:r>
      <w:r w:rsidR="00FF117A">
        <w:rPr>
          <w:rFonts w:ascii="Arial" w:hAnsi="Arial" w:cs="Arial"/>
          <w:sz w:val="22"/>
          <w:szCs w:val="22"/>
        </w:rPr>
        <w:t>Class 1, Class 1-A, Class 2</w:t>
      </w:r>
      <w:r w:rsidR="00BA50FD">
        <w:rPr>
          <w:rFonts w:ascii="Arial" w:hAnsi="Arial" w:cs="Arial"/>
          <w:sz w:val="22"/>
          <w:szCs w:val="22"/>
        </w:rPr>
        <w:t>]</w:t>
      </w:r>
      <w:r w:rsidR="00FF117A">
        <w:rPr>
          <w:rFonts w:ascii="Arial" w:hAnsi="Arial" w:cs="Arial"/>
          <w:sz w:val="22"/>
          <w:szCs w:val="22"/>
        </w:rPr>
        <w:t xml:space="preserve"> </w:t>
      </w:r>
      <w:r w:rsidRPr="0009683C">
        <w:rPr>
          <w:rFonts w:ascii="Arial" w:hAnsi="Arial" w:cs="Arial"/>
          <w:sz w:val="22"/>
          <w:szCs w:val="22"/>
        </w:rPr>
        <w:t>of “Standard Specifications for Construction and Materials, July 2008”)</w:t>
      </w:r>
      <w:r w:rsidR="00BA50FD">
        <w:rPr>
          <w:rFonts w:ascii="Arial" w:hAnsi="Arial" w:cs="Arial"/>
          <w:sz w:val="22"/>
          <w:szCs w:val="22"/>
        </w:rPr>
        <w:t>.</w:t>
      </w:r>
    </w:p>
    <w:p w14:paraId="4F242D19" w14:textId="304BA212" w:rsidR="001A15B9" w:rsidRDefault="00404AF1" w:rsidP="00172E64">
      <w:pPr>
        <w:numPr>
          <w:ilvl w:val="0"/>
          <w:numId w:val="47"/>
        </w:numPr>
        <w:ind w:hanging="720"/>
        <w:jc w:val="both"/>
        <w:rPr>
          <w:rFonts w:ascii="Arial" w:hAnsi="Arial" w:cs="Arial"/>
          <w:sz w:val="22"/>
          <w:szCs w:val="22"/>
        </w:rPr>
      </w:pPr>
      <w:r w:rsidRPr="0009683C">
        <w:rPr>
          <w:rFonts w:ascii="Arial" w:hAnsi="Arial" w:cs="Arial"/>
          <w:sz w:val="22"/>
          <w:szCs w:val="22"/>
        </w:rPr>
        <w:t xml:space="preserve">Class 1-A Excavation: This item is established when undercutting is anticipated because of excessive moisture conditions, low bearing capacity soils at subgrade, or where definite areas of muck removal exist.  The quantity estimate established by the PAGD Engineer for replacement of Class 1-A Excavation is based on any or all of the above conditions. Backfill quantities for areas such as swamps and dumps should be established under the appropriate borrow item. </w:t>
      </w:r>
    </w:p>
    <w:p w14:paraId="39E2F059" w14:textId="77777777" w:rsidR="001A15B9" w:rsidRDefault="00404AF1" w:rsidP="00172E64">
      <w:pPr>
        <w:pStyle w:val="BodyText"/>
        <w:numPr>
          <w:ilvl w:val="0"/>
          <w:numId w:val="40"/>
        </w:numPr>
        <w:spacing w:after="0"/>
        <w:ind w:hanging="720"/>
        <w:jc w:val="both"/>
        <w:rPr>
          <w:szCs w:val="22"/>
        </w:rPr>
      </w:pPr>
      <w:r w:rsidRPr="0009683C">
        <w:rPr>
          <w:szCs w:val="22"/>
        </w:rPr>
        <w:t>Wasting a % of Class 1 Excavation: This information is provided to the PM</w:t>
      </w:r>
      <w:r w:rsidRPr="0009683C">
        <w:rPr>
          <w:rFonts w:cs="Arial"/>
          <w:szCs w:val="22"/>
        </w:rPr>
        <w:t xml:space="preserve"> in order to establish earthwork quantities based on the amount of unsuitable material on a project.</w:t>
      </w:r>
    </w:p>
    <w:p w14:paraId="522B5F1F" w14:textId="1832EF03" w:rsidR="001A15B9" w:rsidRDefault="00404AF1" w:rsidP="00172E64">
      <w:pPr>
        <w:pStyle w:val="BodyText"/>
        <w:numPr>
          <w:ilvl w:val="0"/>
          <w:numId w:val="40"/>
        </w:numPr>
        <w:spacing w:after="0"/>
        <w:ind w:hanging="720"/>
        <w:jc w:val="both"/>
        <w:rPr>
          <w:rFonts w:cs="Arial"/>
        </w:rPr>
      </w:pPr>
      <w:r w:rsidRPr="0009683C">
        <w:rPr>
          <w:rFonts w:cs="Arial"/>
          <w:szCs w:val="22"/>
        </w:rPr>
        <w:t xml:space="preserve">Shrinkage and Swell </w:t>
      </w:r>
      <w:r w:rsidR="00BA50FD">
        <w:rPr>
          <w:rFonts w:cs="Arial"/>
          <w:szCs w:val="22"/>
        </w:rPr>
        <w:t>F</w:t>
      </w:r>
      <w:r w:rsidRPr="0009683C">
        <w:rPr>
          <w:rFonts w:cs="Arial"/>
          <w:szCs w:val="22"/>
        </w:rPr>
        <w:t xml:space="preserve">actors: An arithmetical figure to be applied to a cut volume so that the PM can estimate the quantity of material available for use in embankments. </w:t>
      </w:r>
    </w:p>
    <w:p w14:paraId="64ED0B77" w14:textId="77777777" w:rsidR="00404AF1" w:rsidRPr="00631AD9" w:rsidRDefault="00404AF1" w:rsidP="00172E64">
      <w:pPr>
        <w:pStyle w:val="Heading3"/>
        <w:numPr>
          <w:ilvl w:val="2"/>
          <w:numId w:val="184"/>
        </w:numPr>
        <w:ind w:left="0" w:firstLine="0"/>
      </w:pPr>
      <w:r w:rsidRPr="00631AD9">
        <w:t>Resource Requirements</w:t>
      </w:r>
    </w:p>
    <w:p w14:paraId="74DDC0F3" w14:textId="77777777" w:rsidR="00404AF1" w:rsidRDefault="00404AF1" w:rsidP="00BE3F24">
      <w:pPr>
        <w:pStyle w:val="BodyText"/>
        <w:spacing w:after="0"/>
        <w:jc w:val="both"/>
      </w:pPr>
      <w:r>
        <w:t>B</w:t>
      </w:r>
      <w:r w:rsidRPr="00631AD9">
        <w:t xml:space="preserve">elow </w:t>
      </w:r>
      <w:r>
        <w:t>are the following staffing needs</w:t>
      </w:r>
      <w:r w:rsidRPr="00631AD9">
        <w:t xml:space="preserve"> for a typical </w:t>
      </w:r>
      <w:r>
        <w:t>project</w:t>
      </w:r>
      <w:r w:rsidRPr="00631AD9">
        <w:t>:</w:t>
      </w:r>
    </w:p>
    <w:p w14:paraId="7A40199E" w14:textId="77777777" w:rsidR="00404AF1" w:rsidRPr="00631AD9" w:rsidRDefault="00404AF1" w:rsidP="00BE3F24">
      <w:pPr>
        <w:pStyle w:val="BodyText"/>
        <w:spacing w:after="0"/>
        <w:jc w:val="both"/>
      </w:pP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2"/>
        <w:gridCol w:w="2286"/>
        <w:gridCol w:w="1926"/>
        <w:gridCol w:w="1584"/>
      </w:tblGrid>
      <w:tr w:rsidR="00404AF1" w:rsidRPr="00631AD9" w14:paraId="3EB298B0" w14:textId="77777777" w:rsidTr="00E91B44">
        <w:trPr>
          <w:trHeight w:val="288"/>
          <w:jc w:val="center"/>
        </w:trPr>
        <w:tc>
          <w:tcPr>
            <w:tcW w:w="2692" w:type="dxa"/>
            <w:shd w:val="pct15" w:color="auto" w:fill="FFFFFF"/>
            <w:vAlign w:val="center"/>
          </w:tcPr>
          <w:p w14:paraId="0823BF9B" w14:textId="77777777" w:rsidR="00404AF1" w:rsidRPr="00631AD9" w:rsidRDefault="00404AF1" w:rsidP="00BA50FD">
            <w:pPr>
              <w:jc w:val="center"/>
              <w:rPr>
                <w:rFonts w:ascii="Arial" w:hAnsi="Arial"/>
                <w:b/>
              </w:rPr>
            </w:pPr>
            <w:r w:rsidRPr="00631AD9">
              <w:rPr>
                <w:rFonts w:ascii="Arial" w:hAnsi="Arial"/>
                <w:b/>
              </w:rPr>
              <w:t>Position</w:t>
            </w:r>
          </w:p>
        </w:tc>
        <w:tc>
          <w:tcPr>
            <w:tcW w:w="2286" w:type="dxa"/>
            <w:shd w:val="pct15" w:color="auto" w:fill="FFFFFF"/>
            <w:vAlign w:val="center"/>
          </w:tcPr>
          <w:p w14:paraId="5E7A64DD" w14:textId="77777777" w:rsidR="00404AF1" w:rsidRPr="00631AD9" w:rsidRDefault="00404AF1" w:rsidP="00BA50FD">
            <w:pPr>
              <w:jc w:val="center"/>
              <w:rPr>
                <w:rFonts w:ascii="Arial" w:hAnsi="Arial"/>
                <w:b/>
              </w:rPr>
            </w:pPr>
            <w:r w:rsidRPr="00631AD9">
              <w:rPr>
                <w:rFonts w:ascii="Arial" w:hAnsi="Arial"/>
                <w:b/>
              </w:rPr>
              <w:t>Function</w:t>
            </w:r>
          </w:p>
        </w:tc>
        <w:tc>
          <w:tcPr>
            <w:tcW w:w="1926" w:type="dxa"/>
            <w:shd w:val="pct15" w:color="auto" w:fill="FFFFFF"/>
            <w:vAlign w:val="center"/>
          </w:tcPr>
          <w:p w14:paraId="187C5E09" w14:textId="77777777" w:rsidR="00404AF1" w:rsidRPr="00631AD9" w:rsidRDefault="00404AF1" w:rsidP="00BA50FD">
            <w:pPr>
              <w:jc w:val="center"/>
              <w:rPr>
                <w:rFonts w:ascii="Arial" w:hAnsi="Arial"/>
                <w:b/>
              </w:rPr>
            </w:pPr>
            <w:r w:rsidRPr="00631AD9">
              <w:rPr>
                <w:rFonts w:ascii="Arial" w:hAnsi="Arial"/>
                <w:b/>
              </w:rPr>
              <w:t>Resources</w:t>
            </w:r>
          </w:p>
        </w:tc>
        <w:tc>
          <w:tcPr>
            <w:tcW w:w="1584" w:type="dxa"/>
            <w:shd w:val="pct15" w:color="auto" w:fill="FFFFFF"/>
            <w:vAlign w:val="center"/>
          </w:tcPr>
          <w:p w14:paraId="76303A63" w14:textId="77777777" w:rsidR="00404AF1" w:rsidRPr="00631AD9" w:rsidRDefault="00404AF1" w:rsidP="00BA50FD">
            <w:pPr>
              <w:jc w:val="center"/>
              <w:rPr>
                <w:rFonts w:ascii="Arial" w:hAnsi="Arial"/>
                <w:b/>
              </w:rPr>
            </w:pPr>
            <w:r w:rsidRPr="00631AD9">
              <w:rPr>
                <w:rFonts w:ascii="Arial" w:hAnsi="Arial"/>
                <w:b/>
              </w:rPr>
              <w:t>Effort Level</w:t>
            </w:r>
          </w:p>
          <w:p w14:paraId="333CCDDE" w14:textId="77777777" w:rsidR="00404AF1" w:rsidRPr="00631AD9" w:rsidRDefault="00404AF1" w:rsidP="00BA50FD">
            <w:pPr>
              <w:jc w:val="center"/>
              <w:rPr>
                <w:rFonts w:ascii="Arial" w:hAnsi="Arial"/>
                <w:b/>
              </w:rPr>
            </w:pPr>
            <w:r w:rsidRPr="00631AD9">
              <w:rPr>
                <w:rFonts w:ascii="Arial" w:hAnsi="Arial"/>
                <w:b/>
              </w:rPr>
              <w:t>(man-hours)</w:t>
            </w:r>
          </w:p>
        </w:tc>
      </w:tr>
      <w:tr w:rsidR="00404AF1" w:rsidRPr="00631AD9" w14:paraId="4A4C2E3B" w14:textId="77777777" w:rsidTr="00E91B44">
        <w:trPr>
          <w:trHeight w:val="288"/>
          <w:jc w:val="center"/>
        </w:trPr>
        <w:tc>
          <w:tcPr>
            <w:tcW w:w="2692" w:type="dxa"/>
            <w:vAlign w:val="center"/>
          </w:tcPr>
          <w:p w14:paraId="64986603" w14:textId="77777777" w:rsidR="00404AF1" w:rsidRPr="00631AD9" w:rsidRDefault="00404AF1" w:rsidP="00BA50FD">
            <w:pPr>
              <w:jc w:val="center"/>
              <w:rPr>
                <w:rFonts w:ascii="Arial" w:hAnsi="Arial"/>
                <w:sz w:val="18"/>
              </w:rPr>
            </w:pPr>
            <w:r>
              <w:rPr>
                <w:rFonts w:ascii="Arial" w:hAnsi="Arial"/>
                <w:sz w:val="18"/>
              </w:rPr>
              <w:t>PAGD Engineer</w:t>
            </w:r>
          </w:p>
        </w:tc>
        <w:tc>
          <w:tcPr>
            <w:tcW w:w="2286" w:type="dxa"/>
            <w:vAlign w:val="center"/>
          </w:tcPr>
          <w:p w14:paraId="458E6545" w14:textId="77777777" w:rsidR="00404AF1" w:rsidRPr="00631AD9" w:rsidRDefault="00404AF1" w:rsidP="00BA50FD">
            <w:pPr>
              <w:jc w:val="center"/>
              <w:rPr>
                <w:rFonts w:ascii="Arial" w:hAnsi="Arial"/>
                <w:sz w:val="18"/>
              </w:rPr>
            </w:pPr>
            <w:r w:rsidRPr="00631AD9">
              <w:rPr>
                <w:rFonts w:ascii="Arial" w:hAnsi="Arial"/>
                <w:sz w:val="18"/>
              </w:rPr>
              <w:t>Review</w:t>
            </w:r>
            <w:r>
              <w:rPr>
                <w:rFonts w:ascii="Arial" w:hAnsi="Arial"/>
                <w:sz w:val="18"/>
              </w:rPr>
              <w:t xml:space="preserve"> project file, plans, soils information</w:t>
            </w:r>
          </w:p>
        </w:tc>
        <w:tc>
          <w:tcPr>
            <w:tcW w:w="1926" w:type="dxa"/>
            <w:vAlign w:val="center"/>
          </w:tcPr>
          <w:p w14:paraId="02CFDC4A" w14:textId="77777777" w:rsidR="00404AF1" w:rsidRPr="00631AD9" w:rsidRDefault="00404AF1" w:rsidP="00BA50FD">
            <w:pPr>
              <w:jc w:val="center"/>
              <w:rPr>
                <w:rFonts w:ascii="Arial" w:hAnsi="Arial"/>
                <w:sz w:val="18"/>
              </w:rPr>
            </w:pPr>
            <w:r w:rsidRPr="00631AD9">
              <w:rPr>
                <w:rFonts w:ascii="Arial" w:hAnsi="Arial"/>
                <w:sz w:val="18"/>
              </w:rPr>
              <w:t>1</w:t>
            </w:r>
          </w:p>
        </w:tc>
        <w:tc>
          <w:tcPr>
            <w:tcW w:w="1584" w:type="dxa"/>
            <w:vAlign w:val="center"/>
          </w:tcPr>
          <w:p w14:paraId="7B42BCA6" w14:textId="77777777" w:rsidR="00404AF1" w:rsidRPr="00631AD9" w:rsidRDefault="00404AF1" w:rsidP="00BA50FD">
            <w:pPr>
              <w:jc w:val="center"/>
              <w:rPr>
                <w:rFonts w:ascii="Arial" w:hAnsi="Arial"/>
                <w:sz w:val="18"/>
              </w:rPr>
            </w:pPr>
            <w:r>
              <w:rPr>
                <w:rFonts w:ascii="Arial" w:hAnsi="Arial"/>
                <w:sz w:val="18"/>
              </w:rPr>
              <w:t>8</w:t>
            </w:r>
            <w:r w:rsidRPr="00631AD9">
              <w:rPr>
                <w:rFonts w:ascii="Arial" w:hAnsi="Arial"/>
                <w:sz w:val="18"/>
              </w:rPr>
              <w:t>*</w:t>
            </w:r>
          </w:p>
        </w:tc>
      </w:tr>
    </w:tbl>
    <w:p w14:paraId="67967D00" w14:textId="77777777" w:rsidR="00404AF1" w:rsidRDefault="00404AF1" w:rsidP="00BE3F24">
      <w:r>
        <w:rPr>
          <w:rFonts w:ascii="Arial" w:hAnsi="Arial"/>
          <w:sz w:val="18"/>
          <w:szCs w:val="18"/>
        </w:rPr>
        <w:t xml:space="preserve">    </w:t>
      </w:r>
      <w:r w:rsidRPr="00415041">
        <w:rPr>
          <w:rFonts w:ascii="Arial" w:hAnsi="Arial"/>
          <w:sz w:val="18"/>
          <w:szCs w:val="18"/>
        </w:rPr>
        <w:t>* The time required would vary depending on the size and complexity of a project.</w:t>
      </w:r>
    </w:p>
    <w:p w14:paraId="1346549A" w14:textId="77777777" w:rsidR="00404AF1" w:rsidRPr="00631AD9" w:rsidRDefault="00404AF1" w:rsidP="00172E64">
      <w:pPr>
        <w:pStyle w:val="Heading3"/>
        <w:numPr>
          <w:ilvl w:val="2"/>
          <w:numId w:val="184"/>
        </w:numPr>
        <w:ind w:left="0" w:firstLine="0"/>
      </w:pPr>
      <w:r w:rsidRPr="00631AD9">
        <w:t>Procedure</w:t>
      </w:r>
    </w:p>
    <w:p w14:paraId="0C284521" w14:textId="7507FDC2" w:rsidR="00404AF1" w:rsidRDefault="00404AF1" w:rsidP="00BE3F24">
      <w:pPr>
        <w:pStyle w:val="BodyText"/>
        <w:spacing w:after="0"/>
        <w:jc w:val="both"/>
      </w:pPr>
      <w:r w:rsidRPr="00631AD9">
        <w:t xml:space="preserve">The procedure presented in </w:t>
      </w:r>
      <w:r w:rsidRPr="00BA1669">
        <w:t>the attached flowchart and</w:t>
      </w:r>
      <w:r w:rsidRPr="00631AD9">
        <w:t xml:space="preserve"> described </w:t>
      </w:r>
      <w:r w:rsidR="00BA50FD">
        <w:t>below</w:t>
      </w:r>
      <w:r w:rsidRPr="00631AD9">
        <w:t xml:space="preserve"> should be followed for a typical project in </w:t>
      </w:r>
      <w:r w:rsidRPr="0036500D">
        <w:t xml:space="preserve">defining Limits of Excavation, Top of Subgrade, Backfill materials required, and therefore assisting the PM in developing the grading table. The </w:t>
      </w:r>
      <w:r w:rsidRPr="0036500D">
        <w:lastRenderedPageBreak/>
        <w:t>following procedure was written to provide the PAGD Engineer with</w:t>
      </w:r>
      <w:r w:rsidRPr="00631AD9">
        <w:t xml:space="preserve"> adequate information to complete a typical </w:t>
      </w:r>
      <w:r>
        <w:t>Earthwork Excavation</w:t>
      </w:r>
      <w:r w:rsidRPr="00631AD9">
        <w:t xml:space="preserve"> </w:t>
      </w:r>
      <w:r>
        <w:t xml:space="preserve">and Backfill </w:t>
      </w:r>
      <w:r w:rsidRPr="00631AD9">
        <w:t xml:space="preserve">procedure without specific knowledge or access to computer software applications, but with the assumption that these tools were available. </w:t>
      </w:r>
    </w:p>
    <w:p w14:paraId="7FF0CAC4" w14:textId="77777777" w:rsidR="00404AF1" w:rsidRPr="00631AD9" w:rsidRDefault="00404AF1" w:rsidP="00BE3F24">
      <w:pPr>
        <w:pStyle w:val="BodyText"/>
        <w:spacing w:after="0"/>
        <w:jc w:val="both"/>
      </w:pPr>
    </w:p>
    <w:p w14:paraId="539FC1DB" w14:textId="31DE2260" w:rsidR="00404AF1" w:rsidRDefault="00404AF1" w:rsidP="00BE3F24">
      <w:pPr>
        <w:pStyle w:val="BodyText"/>
        <w:spacing w:after="0"/>
        <w:jc w:val="both"/>
      </w:pPr>
      <w:r>
        <w:t>The Earthwork Excavation</w:t>
      </w:r>
      <w:r w:rsidRPr="00631AD9">
        <w:t xml:space="preserve"> </w:t>
      </w:r>
      <w:r>
        <w:t xml:space="preserve">and Backfill </w:t>
      </w:r>
      <w:r w:rsidRPr="00631AD9">
        <w:t xml:space="preserve">procedure begins when </w:t>
      </w:r>
      <w:r w:rsidRPr="0036500D">
        <w:t>the PAGD Engineer receives</w:t>
      </w:r>
      <w:r w:rsidRPr="00631AD9">
        <w:t xml:space="preserve"> </w:t>
      </w:r>
      <w:r>
        <w:t>all</w:t>
      </w:r>
      <w:r w:rsidR="00BB5E55">
        <w:t xml:space="preserve">, </w:t>
      </w:r>
      <w:r w:rsidRPr="00631AD9">
        <w:t>soil boring logs</w:t>
      </w:r>
      <w:r w:rsidR="001B1DE3">
        <w:t>,</w:t>
      </w:r>
      <w:r>
        <w:t xml:space="preserve"> </w:t>
      </w:r>
      <w:r w:rsidR="00947150">
        <w:t xml:space="preserve">geophysical reports, in-situ tests, </w:t>
      </w:r>
      <w:r>
        <w:t>and</w:t>
      </w:r>
      <w:r w:rsidRPr="00631AD9">
        <w:t xml:space="preserve"> re</w:t>
      </w:r>
      <w:r>
        <w:t xml:space="preserve">lated laboratory test results along with a set of roadway plans and cross-sections (no further change in final alignment, generally Semi-Final plan set). </w:t>
      </w:r>
    </w:p>
    <w:p w14:paraId="32DCC3C1" w14:textId="77777777" w:rsidR="00404AF1" w:rsidRPr="00631AD9" w:rsidRDefault="00404AF1" w:rsidP="00BE3F24">
      <w:pPr>
        <w:pStyle w:val="BodyText"/>
        <w:spacing w:after="0"/>
        <w:jc w:val="both"/>
      </w:pPr>
    </w:p>
    <w:p w14:paraId="5A4E8ABE" w14:textId="77777777" w:rsidR="00404AF1" w:rsidRDefault="00404AF1" w:rsidP="00BE3F24">
      <w:pPr>
        <w:pStyle w:val="BodyText"/>
        <w:spacing w:after="0"/>
        <w:jc w:val="both"/>
      </w:pPr>
      <w:r>
        <w:t>F</w:t>
      </w:r>
      <w:r w:rsidRPr="00631AD9">
        <w:t xml:space="preserve">ollow the steps below to complete </w:t>
      </w:r>
      <w:r>
        <w:t>Earthwork Excavation</w:t>
      </w:r>
      <w:r w:rsidRPr="00631AD9">
        <w:t xml:space="preserve"> </w:t>
      </w:r>
      <w:r>
        <w:t xml:space="preserve">and Backfill </w:t>
      </w:r>
      <w:r w:rsidRPr="00631AD9">
        <w:t>procedure:</w:t>
      </w:r>
    </w:p>
    <w:p w14:paraId="122D8DBE" w14:textId="77777777" w:rsidR="0009683C" w:rsidRDefault="0009683C" w:rsidP="00BE3F24">
      <w:pPr>
        <w:pStyle w:val="BodyText"/>
        <w:spacing w:after="0"/>
        <w:jc w:val="both"/>
      </w:pPr>
    </w:p>
    <w:p w14:paraId="78A36905" w14:textId="77777777" w:rsidR="00404AF1" w:rsidRDefault="00404AF1" w:rsidP="00172E64">
      <w:pPr>
        <w:pStyle w:val="Heading4"/>
        <w:numPr>
          <w:ilvl w:val="3"/>
          <w:numId w:val="184"/>
        </w:numPr>
        <w:ind w:left="0" w:firstLine="0"/>
      </w:pPr>
      <w:bookmarkStart w:id="540" w:name="_Class_1_Excavation"/>
      <w:bookmarkEnd w:id="540"/>
      <w:r>
        <w:t>Class 1 Excavation</w:t>
      </w:r>
    </w:p>
    <w:p w14:paraId="3000CB18" w14:textId="77777777" w:rsidR="00404AF1" w:rsidRDefault="00404AF1" w:rsidP="00BE3F24">
      <w:pPr>
        <w:pStyle w:val="BodyText"/>
        <w:spacing w:after="0"/>
        <w:jc w:val="both"/>
        <w:rPr>
          <w:b/>
          <w:i/>
          <w:sz w:val="24"/>
          <w:szCs w:val="24"/>
        </w:rPr>
      </w:pPr>
    </w:p>
    <w:p w14:paraId="297C2F50" w14:textId="77777777" w:rsidR="00404AF1" w:rsidRDefault="00404AF1" w:rsidP="00172E64">
      <w:pPr>
        <w:pStyle w:val="Heading5"/>
        <w:numPr>
          <w:ilvl w:val="4"/>
          <w:numId w:val="184"/>
        </w:numPr>
        <w:tabs>
          <w:tab w:val="left" w:pos="1800"/>
        </w:tabs>
        <w:ind w:left="0" w:firstLine="0"/>
      </w:pPr>
      <w:r w:rsidRPr="00D11243">
        <w:t>Limit</w:t>
      </w:r>
      <w:r w:rsidR="00887603">
        <w:t xml:space="preserve"> of Excavation</w:t>
      </w:r>
    </w:p>
    <w:p w14:paraId="715EA06E" w14:textId="31D997D7" w:rsidR="001A15B9" w:rsidRDefault="00404AF1" w:rsidP="00172E64">
      <w:pPr>
        <w:pStyle w:val="ListNumber"/>
        <w:numPr>
          <w:ilvl w:val="0"/>
          <w:numId w:val="49"/>
        </w:numPr>
        <w:tabs>
          <w:tab w:val="clear" w:pos="1152"/>
          <w:tab w:val="clear" w:pos="1872"/>
          <w:tab w:val="num" w:pos="1080"/>
        </w:tabs>
        <w:spacing w:before="240"/>
        <w:ind w:left="1080" w:hanging="1080"/>
        <w:jc w:val="both"/>
        <w:rPr>
          <w:i/>
          <w:szCs w:val="22"/>
        </w:rPr>
      </w:pPr>
      <w:r w:rsidRPr="0009683C">
        <w:rPr>
          <w:szCs w:val="22"/>
        </w:rPr>
        <w:t xml:space="preserve">Review </w:t>
      </w:r>
      <w:r w:rsidR="00BB5E55">
        <w:rPr>
          <w:szCs w:val="22"/>
        </w:rPr>
        <w:t xml:space="preserve">geophysical </w:t>
      </w:r>
      <w:r w:rsidR="001B1DE3">
        <w:rPr>
          <w:szCs w:val="22"/>
        </w:rPr>
        <w:t>reports</w:t>
      </w:r>
      <w:r w:rsidR="00BB5E55">
        <w:rPr>
          <w:szCs w:val="22"/>
        </w:rPr>
        <w:t xml:space="preserve">, </w:t>
      </w:r>
      <w:r w:rsidRPr="0009683C">
        <w:rPr>
          <w:szCs w:val="22"/>
        </w:rPr>
        <w:t>boring logs, laboratory data, roadway plan sheets, and plot the soils information onto the cross-sections.</w:t>
      </w:r>
    </w:p>
    <w:p w14:paraId="11301087" w14:textId="77777777" w:rsidR="001A15B9" w:rsidRDefault="00404AF1" w:rsidP="00172E64">
      <w:pPr>
        <w:pStyle w:val="ListNumber"/>
        <w:numPr>
          <w:ilvl w:val="0"/>
          <w:numId w:val="49"/>
        </w:numPr>
        <w:tabs>
          <w:tab w:val="clear" w:pos="1152"/>
          <w:tab w:val="clear" w:pos="1872"/>
          <w:tab w:val="num" w:pos="1080"/>
        </w:tabs>
        <w:ind w:left="1080" w:hanging="1080"/>
        <w:jc w:val="both"/>
        <w:rPr>
          <w:i/>
          <w:szCs w:val="22"/>
        </w:rPr>
      </w:pPr>
      <w:r w:rsidRPr="0009683C">
        <w:rPr>
          <w:szCs w:val="22"/>
        </w:rPr>
        <w:t xml:space="preserve">Limit of Excavation and Top of Subgrade: </w:t>
      </w:r>
    </w:p>
    <w:p w14:paraId="0E0AF398" w14:textId="4E9EFA1B" w:rsidR="00BA50FD" w:rsidRDefault="00404AF1" w:rsidP="00E91B44">
      <w:pPr>
        <w:pStyle w:val="ListNumber"/>
        <w:tabs>
          <w:tab w:val="clear" w:pos="720"/>
          <w:tab w:val="clear" w:pos="1872"/>
        </w:tabs>
        <w:ind w:left="1080" w:firstLine="0"/>
        <w:jc w:val="both"/>
        <w:rPr>
          <w:szCs w:val="22"/>
        </w:rPr>
      </w:pPr>
      <w:r w:rsidRPr="0009683C">
        <w:rPr>
          <w:szCs w:val="22"/>
        </w:rPr>
        <w:t>Considerations: Determine the lowest normal grading limit for roadway excavation. The basis for this limit is the suitability and use of subgrade soils as determined by the soil survey and pavement design re</w:t>
      </w:r>
      <w:r w:rsidRPr="0009683C">
        <w:rPr>
          <w:szCs w:val="22"/>
        </w:rPr>
        <w:softHyphen/>
        <w:t>quirements.  This "limit" must be noted in the report and shown on the typical section perimeter sketch and the Contract plans.</w:t>
      </w:r>
    </w:p>
    <w:p w14:paraId="7BF6C2F0" w14:textId="03A2DA37" w:rsidR="00404AF1" w:rsidRPr="0009683C" w:rsidRDefault="00404AF1" w:rsidP="00F567FF">
      <w:pPr>
        <w:pStyle w:val="ListNumber"/>
        <w:tabs>
          <w:tab w:val="clear" w:pos="720"/>
          <w:tab w:val="clear" w:pos="1872"/>
        </w:tabs>
        <w:spacing w:before="0"/>
        <w:ind w:left="1080" w:firstLine="0"/>
        <w:jc w:val="both"/>
        <w:rPr>
          <w:szCs w:val="22"/>
        </w:rPr>
      </w:pPr>
    </w:p>
    <w:p w14:paraId="44A15E5C" w14:textId="1188AE88" w:rsidR="00404AF1" w:rsidRPr="0009683C" w:rsidRDefault="00404AF1" w:rsidP="008F474D">
      <w:pPr>
        <w:ind w:left="1080"/>
        <w:jc w:val="both"/>
        <w:rPr>
          <w:rFonts w:ascii="Arial" w:hAnsi="Arial" w:cs="Arial"/>
          <w:sz w:val="22"/>
          <w:szCs w:val="22"/>
        </w:rPr>
      </w:pPr>
      <w:r w:rsidRPr="0009683C">
        <w:rPr>
          <w:rFonts w:ascii="Arial" w:hAnsi="Arial" w:cs="Arial"/>
          <w:sz w:val="22"/>
          <w:szCs w:val="22"/>
        </w:rPr>
        <w:t>Case A</w:t>
      </w:r>
      <w:r w:rsidR="00F567FF">
        <w:rPr>
          <w:rFonts w:ascii="Arial" w:hAnsi="Arial" w:cs="Arial"/>
          <w:sz w:val="22"/>
          <w:szCs w:val="22"/>
        </w:rPr>
        <w:t xml:space="preserve"> – </w:t>
      </w:r>
      <w:r w:rsidRPr="0009683C">
        <w:rPr>
          <w:rFonts w:ascii="Arial" w:hAnsi="Arial" w:cs="Arial"/>
          <w:sz w:val="22"/>
          <w:szCs w:val="22"/>
        </w:rPr>
        <w:t>When native soil (other than sand) is utilized as the sub-grade soil upon which the pavement design is based, the limit will be shown at the bottom of the pavement section base or sub</w:t>
      </w:r>
      <w:r w:rsidR="00F567FF">
        <w:rPr>
          <w:rFonts w:ascii="Arial" w:hAnsi="Arial" w:cs="Arial"/>
          <w:sz w:val="22"/>
          <w:szCs w:val="22"/>
        </w:rPr>
        <w:t>-</w:t>
      </w:r>
      <w:r w:rsidRPr="0009683C">
        <w:rPr>
          <w:rFonts w:ascii="Arial" w:hAnsi="Arial" w:cs="Arial"/>
          <w:sz w:val="22"/>
          <w:szCs w:val="22"/>
        </w:rPr>
        <w:t>base course. This limit is also the Top of Subgrade.  Example: The limit or Class 1 Excavation and Top of Subgrade should be at the bottom of the base material.</w:t>
      </w:r>
    </w:p>
    <w:p w14:paraId="7DADBBEC" w14:textId="65272F75" w:rsidR="00404AF1" w:rsidRPr="0009683C" w:rsidRDefault="00F567FF" w:rsidP="00F567FF">
      <w:pPr>
        <w:jc w:val="center"/>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03808" behindDoc="0" locked="0" layoutInCell="1" allowOverlap="1" wp14:anchorId="7EF9D484" wp14:editId="78A23497">
                <wp:simplePos x="0" y="0"/>
                <wp:positionH relativeFrom="column">
                  <wp:posOffset>1937385</wp:posOffset>
                </wp:positionH>
                <wp:positionV relativeFrom="paragraph">
                  <wp:posOffset>67310</wp:posOffset>
                </wp:positionV>
                <wp:extent cx="1733550" cy="248285"/>
                <wp:effectExtent l="10160" t="9525" r="8890" b="8890"/>
                <wp:wrapNone/>
                <wp:docPr id="525" name="Rectangle 3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550" cy="248285"/>
                        </a:xfrm>
                        <a:prstGeom prst="rect">
                          <a:avLst/>
                        </a:prstGeom>
                        <a:solidFill>
                          <a:srgbClr val="FFFFFF"/>
                        </a:solidFill>
                        <a:ln w="9525">
                          <a:solidFill>
                            <a:srgbClr val="000000"/>
                          </a:solidFill>
                          <a:miter lim="800000"/>
                          <a:headEnd/>
                          <a:tailEnd/>
                        </a:ln>
                      </wps:spPr>
                      <wps:txbx>
                        <w:txbxContent>
                          <w:p w14:paraId="25E4F4DD" w14:textId="77777777" w:rsidR="009C1A5C" w:rsidRPr="000277A5" w:rsidRDefault="009C1A5C" w:rsidP="00404AF1">
                            <w:pPr>
                              <w:jc w:val="center"/>
                              <w:rPr>
                                <w:rFonts w:ascii="Arial" w:hAnsi="Arial" w:cs="Arial"/>
                              </w:rPr>
                            </w:pPr>
                            <w:r w:rsidRPr="000277A5">
                              <w:rPr>
                                <w:rFonts w:ascii="Arial" w:hAnsi="Arial" w:cs="Arial"/>
                              </w:rPr>
                              <w:t>Surface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F9D484" id="Rectangle 3436" o:spid="_x0000_s1069" style="position:absolute;left:0;text-align:left;margin-left:152.55pt;margin-top:5.3pt;width:136.5pt;height:19.5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">
                <v:textbox>
                  <w:txbxContent>
                    <w:p w14:paraId="25E4F4DD" w14:textId="77777777" w:rsidR="009C1A5C" w:rsidRPr="000277A5" w:rsidRDefault="009C1A5C" w:rsidP="00404AF1">
                      <w:pPr>
                        <w:jc w:val="center"/>
                        <w:rPr>
                          <w:rFonts w:ascii="Arial" w:hAnsi="Arial" w:cs="Arial"/>
                        </w:rPr>
                      </w:pPr>
                      <w:r w:rsidRPr="000277A5">
                        <w:rPr>
                          <w:rFonts w:ascii="Arial" w:hAnsi="Arial" w:cs="Arial"/>
                        </w:rPr>
                        <w:t>Surface</w:t>
                      </w:r>
                    </w:p>
                  </w:txbxContent>
                </v:textbox>
              </v:rect>
            </w:pict>
          </mc:Fallback>
        </mc:AlternateContent>
      </w:r>
    </w:p>
    <w:p w14:paraId="0D0F3809" w14:textId="2B548FB8" w:rsidR="00404AF1" w:rsidRPr="0009683C" w:rsidRDefault="00F567FF" w:rsidP="00F567FF">
      <w:pPr>
        <w:jc w:val="center"/>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04832" behindDoc="0" locked="0" layoutInCell="1" allowOverlap="1" wp14:anchorId="2397A160" wp14:editId="65160DB9">
                <wp:simplePos x="0" y="0"/>
                <wp:positionH relativeFrom="column">
                  <wp:posOffset>1725930</wp:posOffset>
                </wp:positionH>
                <wp:positionV relativeFrom="paragraph">
                  <wp:posOffset>135255</wp:posOffset>
                </wp:positionV>
                <wp:extent cx="2103120" cy="257175"/>
                <wp:effectExtent l="10160" t="9525" r="10795" b="9525"/>
                <wp:wrapNone/>
                <wp:docPr id="526" name="Rectangle 3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03120" cy="257175"/>
                        </a:xfrm>
                        <a:prstGeom prst="rect">
                          <a:avLst/>
                        </a:prstGeom>
                        <a:solidFill>
                          <a:srgbClr val="FFFFFF"/>
                        </a:solidFill>
                        <a:ln w="9525">
                          <a:solidFill>
                            <a:srgbClr val="000000"/>
                          </a:solidFill>
                          <a:miter lim="800000"/>
                          <a:headEnd/>
                          <a:tailEnd/>
                        </a:ln>
                      </wps:spPr>
                      <wps:txbx>
                        <w:txbxContent>
                          <w:p w14:paraId="5D0940D0" w14:textId="77777777" w:rsidR="009C1A5C" w:rsidRPr="000277A5" w:rsidRDefault="009C1A5C" w:rsidP="00404AF1">
                            <w:pPr>
                              <w:jc w:val="center"/>
                              <w:rPr>
                                <w:rFonts w:ascii="Arial" w:hAnsi="Arial" w:cs="Arial"/>
                              </w:rPr>
                            </w:pPr>
                            <w:r>
                              <w:rPr>
                                <w:rFonts w:ascii="Arial" w:hAnsi="Arial" w:cs="Arial"/>
                              </w:rPr>
                              <w:t>Base or Sub-</w:t>
                            </w:r>
                            <w:r w:rsidRPr="000277A5">
                              <w:rPr>
                                <w:rFonts w:ascii="Arial" w:hAnsi="Arial" w:cs="Arial"/>
                              </w:rPr>
                              <w:t>base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97A160" id="Rectangle 3437" o:spid="_x0000_s1070" style="position:absolute;left:0;text-align:left;margin-left:135.9pt;margin-top:10.65pt;width:165.6pt;height:20.2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">
                <v:textbox>
                  <w:txbxContent>
                    <w:p w14:paraId="5D0940D0" w14:textId="77777777" w:rsidR="009C1A5C" w:rsidRPr="000277A5" w:rsidRDefault="009C1A5C" w:rsidP="00404AF1">
                      <w:pPr>
                        <w:jc w:val="center"/>
                        <w:rPr>
                          <w:rFonts w:ascii="Arial" w:hAnsi="Arial" w:cs="Arial"/>
                        </w:rPr>
                      </w:pPr>
                      <w:r>
                        <w:rPr>
                          <w:rFonts w:ascii="Arial" w:hAnsi="Arial" w:cs="Arial"/>
                        </w:rPr>
                        <w:t>Base or Sub-</w:t>
                      </w:r>
                      <w:r w:rsidRPr="000277A5">
                        <w:rPr>
                          <w:rFonts w:ascii="Arial" w:hAnsi="Arial" w:cs="Arial"/>
                        </w:rPr>
                        <w:t>base</w:t>
                      </w:r>
                    </w:p>
                  </w:txbxContent>
                </v:textbox>
              </v:rect>
            </w:pict>
          </mc:Fallback>
        </mc:AlternateContent>
      </w:r>
    </w:p>
    <w:p w14:paraId="1BE568F2" w14:textId="77777777" w:rsidR="0009683C" w:rsidRDefault="0009683C" w:rsidP="00F567FF">
      <w:pPr>
        <w:jc w:val="center"/>
        <w:rPr>
          <w:rFonts w:ascii="Arial" w:hAnsi="Arial" w:cs="Arial"/>
          <w:sz w:val="22"/>
          <w:szCs w:val="22"/>
        </w:rPr>
      </w:pPr>
    </w:p>
    <w:p w14:paraId="1D39D3B8" w14:textId="1C6899A3" w:rsidR="00BB012A" w:rsidRDefault="004D64A3" w:rsidP="00F567FF">
      <w:pPr>
        <w:jc w:val="center"/>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05856" behindDoc="0" locked="0" layoutInCell="1" allowOverlap="1" wp14:anchorId="21A1FFF0" wp14:editId="45F62663">
                <wp:simplePos x="0" y="0"/>
                <wp:positionH relativeFrom="column">
                  <wp:posOffset>2254885</wp:posOffset>
                </wp:positionH>
                <wp:positionV relativeFrom="paragraph">
                  <wp:posOffset>71120</wp:posOffset>
                </wp:positionV>
                <wp:extent cx="190500" cy="186055"/>
                <wp:effectExtent l="45085" t="47625" r="12065" b="13970"/>
                <wp:wrapNone/>
                <wp:docPr id="524" name="Line 3438" descr="Class 1 excavation"/>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90500" cy="1860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AC5B59" id="Line 3438" o:spid="_x0000_s1026" alt="Class 1 excavation" style="position:absolute;flip:x y;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5pt,5.6pt" to="192.55pt,2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">
                <v:stroke endarrow="block"/>
              </v:line>
            </w:pict>
          </mc:Fallback>
        </mc:AlternateContent>
      </w:r>
    </w:p>
    <w:p w14:paraId="4E7BF6AF" w14:textId="77777777" w:rsidR="00404AF1" w:rsidRPr="00F567FF" w:rsidRDefault="00404AF1" w:rsidP="00E91B44">
      <w:pPr>
        <w:spacing w:before="120"/>
        <w:jc w:val="center"/>
        <w:rPr>
          <w:rFonts w:ascii="Arial" w:hAnsi="Arial" w:cs="Arial"/>
          <w:sz w:val="22"/>
          <w:szCs w:val="22"/>
        </w:rPr>
      </w:pPr>
      <w:r w:rsidRPr="00F567FF">
        <w:rPr>
          <w:rFonts w:ascii="Arial" w:hAnsi="Arial" w:cs="Arial"/>
          <w:sz w:val="22"/>
          <w:szCs w:val="22"/>
        </w:rPr>
        <w:t>Top of Subgrade and Limit of Class 1 Excavation</w:t>
      </w:r>
    </w:p>
    <w:p w14:paraId="04B3844D" w14:textId="77777777" w:rsidR="0009683C" w:rsidRDefault="0009683C" w:rsidP="00E91B44">
      <w:pPr>
        <w:jc w:val="center"/>
        <w:rPr>
          <w:rFonts w:ascii="Arial" w:hAnsi="Arial" w:cs="Arial"/>
          <w:sz w:val="22"/>
          <w:szCs w:val="22"/>
        </w:rPr>
      </w:pPr>
    </w:p>
    <w:p w14:paraId="75E72096" w14:textId="287A4392" w:rsidR="00404AF1" w:rsidRPr="0009683C" w:rsidRDefault="00404AF1" w:rsidP="008F474D">
      <w:pPr>
        <w:ind w:left="1080"/>
        <w:jc w:val="both"/>
        <w:rPr>
          <w:rFonts w:ascii="Arial" w:hAnsi="Arial" w:cs="Arial"/>
          <w:sz w:val="22"/>
          <w:szCs w:val="22"/>
        </w:rPr>
      </w:pPr>
      <w:r w:rsidRPr="0009683C">
        <w:rPr>
          <w:rFonts w:ascii="Arial" w:hAnsi="Arial" w:cs="Arial"/>
          <w:sz w:val="22"/>
          <w:szCs w:val="22"/>
        </w:rPr>
        <w:t>Case B</w:t>
      </w:r>
      <w:r w:rsidR="00F567FF">
        <w:rPr>
          <w:rFonts w:ascii="Arial" w:hAnsi="Arial" w:cs="Arial"/>
          <w:sz w:val="22"/>
          <w:szCs w:val="22"/>
        </w:rPr>
        <w:t xml:space="preserve"> – </w:t>
      </w:r>
      <w:r w:rsidRPr="0009683C">
        <w:rPr>
          <w:rFonts w:ascii="Arial" w:hAnsi="Arial" w:cs="Arial"/>
          <w:sz w:val="22"/>
          <w:szCs w:val="22"/>
        </w:rPr>
        <w:t xml:space="preserve">When Select Borrow or Capping Borrow (sand) is specified as the sub-grade soil for pavement design, the Limit of Class 1 Excavation will be at the bottom of the Select Borrow or Capping Borrow material only when the material in-place at subgrade generally does not meet the requirements for capping. </w:t>
      </w:r>
      <w:r w:rsidR="00F567FF">
        <w:rPr>
          <w:rFonts w:ascii="Arial" w:hAnsi="Arial" w:cs="Arial"/>
          <w:sz w:val="22"/>
          <w:szCs w:val="22"/>
        </w:rPr>
        <w:t xml:space="preserve"> </w:t>
      </w:r>
      <w:r w:rsidRPr="0009683C">
        <w:rPr>
          <w:rFonts w:ascii="Arial" w:hAnsi="Arial" w:cs="Arial"/>
          <w:sz w:val="22"/>
          <w:szCs w:val="22"/>
        </w:rPr>
        <w:t>Example</w:t>
      </w:r>
      <w:r w:rsidR="00F567FF">
        <w:rPr>
          <w:rFonts w:ascii="Arial" w:hAnsi="Arial" w:cs="Arial"/>
          <w:sz w:val="22"/>
          <w:szCs w:val="22"/>
        </w:rPr>
        <w:t>:</w:t>
      </w:r>
      <w:r w:rsidRPr="0009683C">
        <w:rPr>
          <w:rFonts w:ascii="Arial" w:hAnsi="Arial" w:cs="Arial"/>
          <w:sz w:val="22"/>
          <w:szCs w:val="22"/>
        </w:rPr>
        <w:t xml:space="preserve"> The Limit of Class 1 Excavation should be at the bottom of the Select Borrow or Capping Borrow material.</w:t>
      </w:r>
    </w:p>
    <w:p w14:paraId="4FC635D8" w14:textId="7529C9F8" w:rsidR="00404AF1" w:rsidRPr="0009683C" w:rsidRDefault="004D64A3" w:rsidP="00BE3F24">
      <w:pPr>
        <w:jc w:val="both"/>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07904" behindDoc="0" locked="0" layoutInCell="1" allowOverlap="1" wp14:anchorId="7A614373" wp14:editId="00658379">
                <wp:simplePos x="0" y="0"/>
                <wp:positionH relativeFrom="column">
                  <wp:posOffset>1714500</wp:posOffset>
                </wp:positionH>
                <wp:positionV relativeFrom="paragraph">
                  <wp:posOffset>249555</wp:posOffset>
                </wp:positionV>
                <wp:extent cx="2103120" cy="257175"/>
                <wp:effectExtent l="9525" t="13335" r="11430" b="5715"/>
                <wp:wrapNone/>
                <wp:docPr id="523" name="Rectangle 34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03120" cy="257175"/>
                        </a:xfrm>
                        <a:prstGeom prst="rect">
                          <a:avLst/>
                        </a:prstGeom>
                        <a:solidFill>
                          <a:srgbClr val="FFFFFF"/>
                        </a:solidFill>
                        <a:ln w="9525">
                          <a:solidFill>
                            <a:srgbClr val="000000"/>
                          </a:solidFill>
                          <a:miter lim="800000"/>
                          <a:headEnd/>
                          <a:tailEnd/>
                        </a:ln>
                      </wps:spPr>
                      <wps:txbx>
                        <w:txbxContent>
                          <w:p w14:paraId="20D2DC70" w14:textId="77777777" w:rsidR="009C1A5C" w:rsidRPr="000277A5" w:rsidRDefault="009C1A5C" w:rsidP="00404AF1">
                            <w:pPr>
                              <w:jc w:val="center"/>
                              <w:rPr>
                                <w:rFonts w:ascii="Arial" w:hAnsi="Arial" w:cs="Arial"/>
                              </w:rPr>
                            </w:pPr>
                            <w:r>
                              <w:rPr>
                                <w:rFonts w:ascii="Arial" w:hAnsi="Arial" w:cs="Arial"/>
                              </w:rPr>
                              <w:t>Base or Sub-</w:t>
                            </w:r>
                            <w:r w:rsidRPr="000277A5">
                              <w:rPr>
                                <w:rFonts w:ascii="Arial" w:hAnsi="Arial" w:cs="Arial"/>
                              </w:rPr>
                              <w:t>base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614373" id="Rectangle 3440" o:spid="_x0000_s1071" style="position:absolute;left:0;text-align:left;margin-left:135pt;margin-top:19.65pt;width:165.6pt;height:20.2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">
                <v:textbox>
                  <w:txbxContent>
                    <w:p w14:paraId="20D2DC70" w14:textId="77777777" w:rsidR="009C1A5C" w:rsidRPr="000277A5" w:rsidRDefault="009C1A5C" w:rsidP="00404AF1">
                      <w:pPr>
                        <w:jc w:val="center"/>
                        <w:rPr>
                          <w:rFonts w:ascii="Arial" w:hAnsi="Arial" w:cs="Arial"/>
                        </w:rPr>
                      </w:pPr>
                      <w:r>
                        <w:rPr>
                          <w:rFonts w:ascii="Arial" w:hAnsi="Arial" w:cs="Arial"/>
                        </w:rPr>
                        <w:t>Base or Sub-</w:t>
                      </w:r>
                      <w:r w:rsidRPr="000277A5">
                        <w:rPr>
                          <w:rFonts w:ascii="Arial" w:hAnsi="Arial" w:cs="Arial"/>
                        </w:rPr>
                        <w:t>base</w:t>
                      </w:r>
                    </w:p>
                  </w:txbxContent>
                </v:textbox>
              </v:rect>
            </w:pict>
          </mc:Fallback>
        </mc:AlternateContent>
      </w:r>
      <w:r>
        <w:rPr>
          <w:rFonts w:ascii="Arial" w:hAnsi="Arial" w:cs="Arial"/>
          <w:noProof/>
          <w:sz w:val="22"/>
          <w:szCs w:val="22"/>
        </w:rPr>
        <mc:AlternateContent>
          <mc:Choice Requires="wps">
            <w:drawing>
              <wp:anchor distT="0" distB="0" distL="114300" distR="114300" simplePos="0" relativeHeight="251706880" behindDoc="0" locked="0" layoutInCell="1" allowOverlap="1" wp14:anchorId="517173A0" wp14:editId="086DA396">
                <wp:simplePos x="0" y="0"/>
                <wp:positionH relativeFrom="column">
                  <wp:posOffset>1828800</wp:posOffset>
                </wp:positionH>
                <wp:positionV relativeFrom="paragraph">
                  <wp:posOffset>20955</wp:posOffset>
                </wp:positionV>
                <wp:extent cx="1733550" cy="248285"/>
                <wp:effectExtent l="9525" t="13335" r="9525" b="5080"/>
                <wp:wrapNone/>
                <wp:docPr id="522" name="Rectangle 34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550" cy="248285"/>
                        </a:xfrm>
                        <a:prstGeom prst="rect">
                          <a:avLst/>
                        </a:prstGeom>
                        <a:solidFill>
                          <a:srgbClr val="FFFFFF"/>
                        </a:solidFill>
                        <a:ln w="9525">
                          <a:solidFill>
                            <a:srgbClr val="000000"/>
                          </a:solidFill>
                          <a:miter lim="800000"/>
                          <a:headEnd/>
                          <a:tailEnd/>
                        </a:ln>
                      </wps:spPr>
                      <wps:txbx>
                        <w:txbxContent>
                          <w:p w14:paraId="7044EA37" w14:textId="77777777" w:rsidR="009C1A5C" w:rsidRPr="000277A5" w:rsidRDefault="009C1A5C" w:rsidP="00404AF1">
                            <w:pPr>
                              <w:jc w:val="center"/>
                              <w:rPr>
                                <w:rFonts w:ascii="Arial" w:hAnsi="Arial" w:cs="Arial"/>
                              </w:rPr>
                            </w:pPr>
                            <w:r w:rsidRPr="000277A5">
                              <w:rPr>
                                <w:rFonts w:ascii="Arial" w:hAnsi="Arial" w:cs="Arial"/>
                              </w:rPr>
                              <w:t>Surface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7173A0" id="Rectangle 3439" o:spid="_x0000_s1072" style="position:absolute;left:0;text-align:left;margin-left:2in;margin-top:1.65pt;width:136.5pt;height:19.5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">
                <v:textbox>
                  <w:txbxContent>
                    <w:p w14:paraId="7044EA37" w14:textId="77777777" w:rsidR="009C1A5C" w:rsidRPr="000277A5" w:rsidRDefault="009C1A5C" w:rsidP="00404AF1">
                      <w:pPr>
                        <w:jc w:val="center"/>
                        <w:rPr>
                          <w:rFonts w:ascii="Arial" w:hAnsi="Arial" w:cs="Arial"/>
                        </w:rPr>
                      </w:pPr>
                      <w:r w:rsidRPr="000277A5">
                        <w:rPr>
                          <w:rFonts w:ascii="Arial" w:hAnsi="Arial" w:cs="Arial"/>
                        </w:rPr>
                        <w:t>Surface</w:t>
                      </w:r>
                    </w:p>
                  </w:txbxContent>
                </v:textbox>
              </v:rect>
            </w:pict>
          </mc:Fallback>
        </mc:AlternateContent>
      </w:r>
    </w:p>
    <w:p w14:paraId="020C6D19" w14:textId="77777777" w:rsidR="00404AF1" w:rsidRPr="0009683C" w:rsidRDefault="00404AF1" w:rsidP="00BE3F24">
      <w:pPr>
        <w:jc w:val="both"/>
        <w:rPr>
          <w:rFonts w:ascii="Arial" w:hAnsi="Arial" w:cs="Arial"/>
          <w:sz w:val="22"/>
          <w:szCs w:val="22"/>
        </w:rPr>
      </w:pPr>
    </w:p>
    <w:p w14:paraId="31C21274" w14:textId="77777777" w:rsidR="00404AF1" w:rsidRPr="0009683C" w:rsidRDefault="00404AF1" w:rsidP="00BE3F24">
      <w:pPr>
        <w:rPr>
          <w:rFonts w:ascii="Arial" w:hAnsi="Arial" w:cs="Arial"/>
          <w:sz w:val="22"/>
          <w:szCs w:val="22"/>
        </w:rPr>
      </w:pPr>
    </w:p>
    <w:p w14:paraId="7D4AB2B9" w14:textId="77777777" w:rsidR="0009683C" w:rsidRDefault="00BB012A" w:rsidP="00BE3F24">
      <w:pPr>
        <w:tabs>
          <w:tab w:val="left" w:pos="2565"/>
        </w:tabs>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09952" behindDoc="0" locked="0" layoutInCell="1" allowOverlap="1" wp14:anchorId="712966EA" wp14:editId="12387D01">
                <wp:simplePos x="0" y="0"/>
                <wp:positionH relativeFrom="column">
                  <wp:posOffset>1714500</wp:posOffset>
                </wp:positionH>
                <wp:positionV relativeFrom="paragraph">
                  <wp:posOffset>31295</wp:posOffset>
                </wp:positionV>
                <wp:extent cx="333375" cy="452120"/>
                <wp:effectExtent l="9525" t="48260" r="57150" b="13970"/>
                <wp:wrapNone/>
                <wp:docPr id="521" name="Line 3442" descr="Class 1 excavation"/>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3375" cy="4521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DF3822" id="Line 3442" o:spid="_x0000_s1026" alt="Class 1 excavation" style="position:absolute;flip:y;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2.45pt" to="161.25pt,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">
                <v:stroke endarrow="block"/>
              </v:line>
            </w:pict>
          </mc:Fallback>
        </mc:AlternateContent>
      </w:r>
      <w:r>
        <w:rPr>
          <w:rFonts w:ascii="Arial" w:hAnsi="Arial" w:cs="Arial"/>
          <w:noProof/>
          <w:sz w:val="22"/>
          <w:szCs w:val="22"/>
        </w:rPr>
        <mc:AlternateContent>
          <mc:Choice Requires="wps">
            <w:drawing>
              <wp:anchor distT="0" distB="0" distL="114300" distR="114300" simplePos="0" relativeHeight="251708928" behindDoc="0" locked="0" layoutInCell="1" allowOverlap="1" wp14:anchorId="1F0EACC1" wp14:editId="110619B8">
                <wp:simplePos x="0" y="0"/>
                <wp:positionH relativeFrom="column">
                  <wp:posOffset>1371600</wp:posOffset>
                </wp:positionH>
                <wp:positionV relativeFrom="paragraph">
                  <wp:posOffset>38112</wp:posOffset>
                </wp:positionV>
                <wp:extent cx="2884170" cy="257175"/>
                <wp:effectExtent l="9525" t="5080" r="11430" b="13970"/>
                <wp:wrapNone/>
                <wp:docPr id="517" name="Rectangle 34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4170" cy="257175"/>
                        </a:xfrm>
                        <a:prstGeom prst="rect">
                          <a:avLst/>
                        </a:prstGeom>
                        <a:solidFill>
                          <a:srgbClr val="FFFFFF"/>
                        </a:solidFill>
                        <a:ln w="9525">
                          <a:solidFill>
                            <a:srgbClr val="000000"/>
                          </a:solidFill>
                          <a:miter lim="800000"/>
                          <a:headEnd/>
                          <a:tailEnd/>
                        </a:ln>
                      </wps:spPr>
                      <wps:txbx>
                        <w:txbxContent>
                          <w:p w14:paraId="315F508D" w14:textId="00385613" w:rsidR="009C1A5C" w:rsidRPr="000277A5" w:rsidRDefault="009C1A5C" w:rsidP="00404AF1">
                            <w:pPr>
                              <w:jc w:val="center"/>
                              <w:rPr>
                                <w:rFonts w:ascii="Arial" w:hAnsi="Arial" w:cs="Arial"/>
                              </w:rPr>
                            </w:pPr>
                            <w:r w:rsidRPr="000277A5">
                              <w:rPr>
                                <w:rFonts w:ascii="Arial" w:hAnsi="Arial" w:cs="Arial"/>
                              </w:rPr>
                              <w:t>12”</w:t>
                            </w:r>
                            <w:r>
                              <w:rPr>
                                <w:rFonts w:ascii="Arial" w:hAnsi="Arial" w:cs="Arial"/>
                              </w:rPr>
                              <w:t>"</w:t>
                            </w:r>
                            <w:r w:rsidRPr="000277A5">
                              <w:rPr>
                                <w:rFonts w:ascii="Arial" w:hAnsi="Arial" w:cs="Arial"/>
                              </w:rPr>
                              <w:t xml:space="preserve"> Select Borrow</w:t>
                            </w:r>
                            <w:r>
                              <w:rPr>
                                <w:rFonts w:ascii="Arial" w:hAnsi="Arial" w:cs="Arial"/>
                              </w:rPr>
                              <w:t xml:space="preserve"> or Capping Borrow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0EACC1" id="Rectangle 3441" o:spid="_x0000_s1073" style="position:absolute;margin-left:108pt;margin-top:3pt;width:227.1pt;height:20.2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">
                <v:textbox>
                  <w:txbxContent>
                    <w:p w14:paraId="315F508D" w14:textId="00385613" w:rsidR="009C1A5C" w:rsidRPr="000277A5" w:rsidRDefault="009C1A5C" w:rsidP="00404AF1">
                      <w:pPr>
                        <w:jc w:val="center"/>
                        <w:rPr>
                          <w:rFonts w:ascii="Arial" w:hAnsi="Arial" w:cs="Arial"/>
                        </w:rPr>
                      </w:pPr>
                      <w:r w:rsidRPr="000277A5">
                        <w:rPr>
                          <w:rFonts w:ascii="Arial" w:hAnsi="Arial" w:cs="Arial"/>
                        </w:rPr>
                        <w:t>12”</w:t>
                      </w:r>
                      <w:r>
                        <w:rPr>
                          <w:rFonts w:ascii="Arial" w:hAnsi="Arial" w:cs="Arial"/>
                        </w:rPr>
                        <w:t>"</w:t>
                      </w:r>
                      <w:r w:rsidRPr="000277A5">
                        <w:rPr>
                          <w:rFonts w:ascii="Arial" w:hAnsi="Arial" w:cs="Arial"/>
                        </w:rPr>
                        <w:t xml:space="preserve"> Select Borrow</w:t>
                      </w:r>
                      <w:r>
                        <w:rPr>
                          <w:rFonts w:ascii="Arial" w:hAnsi="Arial" w:cs="Arial"/>
                        </w:rPr>
                        <w:t xml:space="preserve"> or Capping Borrow</w:t>
                      </w:r>
                    </w:p>
                  </w:txbxContent>
                </v:textbox>
              </v:rect>
            </w:pict>
          </mc:Fallback>
        </mc:AlternateContent>
      </w:r>
      <w:r w:rsidR="00404AF1" w:rsidRPr="0009683C">
        <w:rPr>
          <w:rFonts w:ascii="Arial" w:hAnsi="Arial" w:cs="Arial"/>
          <w:sz w:val="22"/>
          <w:szCs w:val="22"/>
        </w:rPr>
        <w:t xml:space="preserve">              </w:t>
      </w:r>
    </w:p>
    <w:p w14:paraId="35B75819" w14:textId="485B60B4" w:rsidR="0009683C" w:rsidRDefault="00BB012A" w:rsidP="00BE3F24">
      <w:pPr>
        <w:tabs>
          <w:tab w:val="left" w:pos="2565"/>
        </w:tabs>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10976" behindDoc="0" locked="0" layoutInCell="1" allowOverlap="1" wp14:anchorId="321564C3" wp14:editId="1C0D2B27">
                <wp:simplePos x="0" y="0"/>
                <wp:positionH relativeFrom="column">
                  <wp:posOffset>3570078</wp:posOffset>
                </wp:positionH>
                <wp:positionV relativeFrom="paragraph">
                  <wp:posOffset>141605</wp:posOffset>
                </wp:positionV>
                <wp:extent cx="104775" cy="207010"/>
                <wp:effectExtent l="57150" t="36195" r="9525" b="13970"/>
                <wp:wrapNone/>
                <wp:docPr id="520" name="Line 3443" descr="Class 1 excavation"/>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4775" cy="2070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182070" id="Line 3443" o:spid="_x0000_s1026" alt="Class 1 excavation" style="position:absolute;flip:x y;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1.1pt,11.15pt" to="289.35pt,2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">
                <v:stroke endarrow="block"/>
              </v:line>
            </w:pict>
          </mc:Fallback>
        </mc:AlternateContent>
      </w:r>
    </w:p>
    <w:p w14:paraId="55BB7858" w14:textId="77777777" w:rsidR="00BB012A" w:rsidRDefault="00BB012A" w:rsidP="00BE3F24">
      <w:pPr>
        <w:tabs>
          <w:tab w:val="left" w:pos="2565"/>
        </w:tabs>
        <w:rPr>
          <w:rFonts w:ascii="Arial" w:hAnsi="Arial" w:cs="Arial"/>
          <w:sz w:val="22"/>
          <w:szCs w:val="22"/>
        </w:rPr>
      </w:pPr>
    </w:p>
    <w:p w14:paraId="1404A9D4" w14:textId="77777777" w:rsidR="00404AF1" w:rsidRPr="0009683C" w:rsidRDefault="0009683C" w:rsidP="00E91B44">
      <w:pPr>
        <w:tabs>
          <w:tab w:val="left" w:pos="1890"/>
        </w:tabs>
        <w:rPr>
          <w:rFonts w:ascii="Arial" w:hAnsi="Arial" w:cs="Arial"/>
          <w:sz w:val="22"/>
          <w:szCs w:val="22"/>
        </w:rPr>
      </w:pPr>
      <w:r>
        <w:rPr>
          <w:rFonts w:ascii="Arial" w:hAnsi="Arial" w:cs="Arial"/>
          <w:sz w:val="22"/>
          <w:szCs w:val="22"/>
        </w:rPr>
        <w:tab/>
      </w:r>
      <w:r w:rsidR="00404AF1" w:rsidRPr="0009683C">
        <w:rPr>
          <w:rFonts w:ascii="Arial" w:hAnsi="Arial" w:cs="Arial"/>
          <w:sz w:val="22"/>
          <w:szCs w:val="22"/>
        </w:rPr>
        <w:t>Top of Subgrade                      Limit of Class 1 Excavation</w:t>
      </w:r>
    </w:p>
    <w:p w14:paraId="54CCADB4" w14:textId="509C5FA6" w:rsidR="00404AF1" w:rsidRPr="0009683C" w:rsidRDefault="00404AF1" w:rsidP="008F474D">
      <w:pPr>
        <w:ind w:left="1080"/>
        <w:jc w:val="both"/>
        <w:rPr>
          <w:rFonts w:ascii="Arial" w:hAnsi="Arial" w:cs="Arial"/>
          <w:sz w:val="22"/>
          <w:szCs w:val="22"/>
        </w:rPr>
      </w:pPr>
      <w:r w:rsidRPr="0009683C">
        <w:rPr>
          <w:rFonts w:ascii="Arial" w:hAnsi="Arial" w:cs="Arial"/>
          <w:sz w:val="22"/>
          <w:szCs w:val="22"/>
        </w:rPr>
        <w:lastRenderedPageBreak/>
        <w:t>Case C</w:t>
      </w:r>
      <w:r w:rsidR="00F567FF">
        <w:rPr>
          <w:rFonts w:ascii="Arial" w:hAnsi="Arial" w:cs="Arial"/>
          <w:sz w:val="22"/>
          <w:szCs w:val="22"/>
        </w:rPr>
        <w:t xml:space="preserve"> – </w:t>
      </w:r>
      <w:r w:rsidRPr="0009683C">
        <w:rPr>
          <w:rFonts w:ascii="Arial" w:hAnsi="Arial" w:cs="Arial"/>
          <w:sz w:val="22"/>
          <w:szCs w:val="22"/>
        </w:rPr>
        <w:t>Where Select Borrow or Capping Borrow material (sand) is used as the subgrade soil for pavement design, and in-place material at subgrade and in cut areas generally meets the requirements for Select Borrow or Capping Borrow</w:t>
      </w:r>
      <w:r w:rsidR="0088791C">
        <w:rPr>
          <w:rFonts w:ascii="Arial" w:hAnsi="Arial" w:cs="Arial"/>
          <w:sz w:val="22"/>
          <w:szCs w:val="22"/>
        </w:rPr>
        <w:t>,</w:t>
      </w:r>
      <w:r w:rsidRPr="0009683C">
        <w:rPr>
          <w:rFonts w:ascii="Arial" w:hAnsi="Arial" w:cs="Arial"/>
          <w:sz w:val="22"/>
          <w:szCs w:val="22"/>
        </w:rPr>
        <w:t xml:space="preserve"> the Limit of Class 1 Excavation should be at the bottom of the pavement section.</w:t>
      </w:r>
      <w:r w:rsidR="00F567FF">
        <w:rPr>
          <w:rFonts w:ascii="Arial" w:hAnsi="Arial" w:cs="Arial"/>
          <w:sz w:val="22"/>
          <w:szCs w:val="22"/>
        </w:rPr>
        <w:t xml:space="preserve">  </w:t>
      </w:r>
      <w:r w:rsidRPr="0009683C">
        <w:rPr>
          <w:rFonts w:ascii="Arial" w:hAnsi="Arial" w:cs="Arial"/>
          <w:sz w:val="22"/>
          <w:szCs w:val="22"/>
        </w:rPr>
        <w:t>Exampl</w:t>
      </w:r>
      <w:r w:rsidR="00F567FF">
        <w:rPr>
          <w:rFonts w:ascii="Arial" w:hAnsi="Arial" w:cs="Arial"/>
          <w:sz w:val="22"/>
          <w:szCs w:val="22"/>
        </w:rPr>
        <w:t xml:space="preserve">e: </w:t>
      </w:r>
      <w:r w:rsidRPr="0009683C">
        <w:rPr>
          <w:rFonts w:ascii="Arial" w:hAnsi="Arial" w:cs="Arial"/>
          <w:sz w:val="22"/>
          <w:szCs w:val="22"/>
        </w:rPr>
        <w:t>The Limit of Class 1 Excavation should be at the bottom of the base material.</w:t>
      </w:r>
    </w:p>
    <w:p w14:paraId="4B30A257" w14:textId="3BE5B2AB" w:rsidR="00404AF1" w:rsidRPr="0009683C" w:rsidRDefault="004D64A3" w:rsidP="00F567FF">
      <w:pPr>
        <w:jc w:val="center"/>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12000" behindDoc="0" locked="0" layoutInCell="1" allowOverlap="1" wp14:anchorId="6FDAE87A" wp14:editId="3E7833C8">
                <wp:simplePos x="0" y="0"/>
                <wp:positionH relativeFrom="column">
                  <wp:posOffset>1898650</wp:posOffset>
                </wp:positionH>
                <wp:positionV relativeFrom="paragraph">
                  <wp:posOffset>84455</wp:posOffset>
                </wp:positionV>
                <wp:extent cx="1733550" cy="248285"/>
                <wp:effectExtent l="9525" t="12700" r="9525" b="5715"/>
                <wp:wrapNone/>
                <wp:docPr id="516" name="Rectangle 3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550" cy="248285"/>
                        </a:xfrm>
                        <a:prstGeom prst="rect">
                          <a:avLst/>
                        </a:prstGeom>
                        <a:solidFill>
                          <a:srgbClr val="FFFFFF"/>
                        </a:solidFill>
                        <a:ln w="9525">
                          <a:solidFill>
                            <a:srgbClr val="000000"/>
                          </a:solidFill>
                          <a:miter lim="800000"/>
                          <a:headEnd/>
                          <a:tailEnd/>
                        </a:ln>
                      </wps:spPr>
                      <wps:txbx>
                        <w:txbxContent>
                          <w:p w14:paraId="545B4D4D" w14:textId="77777777" w:rsidR="009C1A5C" w:rsidRPr="000277A5" w:rsidRDefault="009C1A5C" w:rsidP="00404AF1">
                            <w:pPr>
                              <w:jc w:val="center"/>
                              <w:rPr>
                                <w:rFonts w:ascii="Arial" w:hAnsi="Arial" w:cs="Arial"/>
                              </w:rPr>
                            </w:pPr>
                            <w:r w:rsidRPr="000277A5">
                              <w:rPr>
                                <w:rFonts w:ascii="Arial" w:hAnsi="Arial" w:cs="Arial"/>
                              </w:rPr>
                              <w:t>Surface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DAE87A" id="Rectangle 3444" o:spid="_x0000_s1074" style="position:absolute;left:0;text-align:left;margin-left:149.5pt;margin-top:6.65pt;width:136.5pt;height:19.5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">
                <v:textbox>
                  <w:txbxContent>
                    <w:p w14:paraId="545B4D4D" w14:textId="77777777" w:rsidR="009C1A5C" w:rsidRPr="000277A5" w:rsidRDefault="009C1A5C" w:rsidP="00404AF1">
                      <w:pPr>
                        <w:jc w:val="center"/>
                        <w:rPr>
                          <w:rFonts w:ascii="Arial" w:hAnsi="Arial" w:cs="Arial"/>
                        </w:rPr>
                      </w:pPr>
                      <w:r w:rsidRPr="000277A5">
                        <w:rPr>
                          <w:rFonts w:ascii="Arial" w:hAnsi="Arial" w:cs="Arial"/>
                        </w:rPr>
                        <w:t>Surface</w:t>
                      </w:r>
                    </w:p>
                  </w:txbxContent>
                </v:textbox>
              </v:rect>
            </w:pict>
          </mc:Fallback>
        </mc:AlternateContent>
      </w:r>
    </w:p>
    <w:p w14:paraId="23D0B62E" w14:textId="77777777" w:rsidR="00404AF1" w:rsidRPr="0009683C" w:rsidRDefault="00404AF1" w:rsidP="00F567FF">
      <w:pPr>
        <w:tabs>
          <w:tab w:val="left" w:pos="2565"/>
        </w:tabs>
        <w:jc w:val="center"/>
        <w:rPr>
          <w:rFonts w:ascii="Arial" w:hAnsi="Arial" w:cs="Arial"/>
          <w:sz w:val="22"/>
          <w:szCs w:val="22"/>
        </w:rPr>
      </w:pPr>
    </w:p>
    <w:p w14:paraId="18E9BCA2" w14:textId="6EFA22BF" w:rsidR="0009683C" w:rsidRDefault="00BB012A" w:rsidP="00F567FF">
      <w:pPr>
        <w:jc w:val="center"/>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13024" behindDoc="0" locked="0" layoutInCell="1" allowOverlap="1" wp14:anchorId="21EEBB16" wp14:editId="4CB9E11E">
                <wp:simplePos x="0" y="0"/>
                <wp:positionH relativeFrom="column">
                  <wp:posOffset>1647825</wp:posOffset>
                </wp:positionH>
                <wp:positionV relativeFrom="paragraph">
                  <wp:posOffset>14605</wp:posOffset>
                </wp:positionV>
                <wp:extent cx="2247900" cy="248285"/>
                <wp:effectExtent l="9525" t="13970" r="9525" b="13970"/>
                <wp:wrapNone/>
                <wp:docPr id="514" name="Rectangle 3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7900" cy="248285"/>
                        </a:xfrm>
                        <a:prstGeom prst="rect">
                          <a:avLst/>
                        </a:prstGeom>
                        <a:solidFill>
                          <a:srgbClr val="FFFFFF"/>
                        </a:solidFill>
                        <a:ln w="9525">
                          <a:solidFill>
                            <a:srgbClr val="000000"/>
                          </a:solidFill>
                          <a:miter lim="800000"/>
                          <a:headEnd/>
                          <a:tailEnd/>
                        </a:ln>
                      </wps:spPr>
                      <wps:txbx>
                        <w:txbxContent>
                          <w:p w14:paraId="2A563150" w14:textId="77777777" w:rsidR="009C1A5C" w:rsidRPr="000277A5" w:rsidRDefault="009C1A5C" w:rsidP="00404AF1">
                            <w:pPr>
                              <w:jc w:val="center"/>
                              <w:rPr>
                                <w:rFonts w:ascii="Arial" w:hAnsi="Arial" w:cs="Arial"/>
                              </w:rPr>
                            </w:pPr>
                            <w:r w:rsidRPr="000277A5">
                              <w:rPr>
                                <w:rFonts w:ascii="Arial" w:hAnsi="Arial" w:cs="Arial"/>
                              </w:rPr>
                              <w:t>Base or Sub</w:t>
                            </w:r>
                            <w:r>
                              <w:rPr>
                                <w:rFonts w:ascii="Arial" w:hAnsi="Arial" w:cs="Arial"/>
                              </w:rPr>
                              <w:t>-</w:t>
                            </w:r>
                            <w:r w:rsidRPr="000277A5">
                              <w:rPr>
                                <w:rFonts w:ascii="Arial" w:hAnsi="Arial" w:cs="Arial"/>
                              </w:rPr>
                              <w:t xml:space="preserve">base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EEBB16" id="Rectangle 3445" o:spid="_x0000_s1075" style="position:absolute;left:0;text-align:left;margin-left:129.75pt;margin-top:1.15pt;width:177pt;height:19.5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">
                <v:textbox>
                  <w:txbxContent>
                    <w:p w14:paraId="2A563150" w14:textId="77777777" w:rsidR="009C1A5C" w:rsidRPr="000277A5" w:rsidRDefault="009C1A5C" w:rsidP="00404AF1">
                      <w:pPr>
                        <w:jc w:val="center"/>
                        <w:rPr>
                          <w:rFonts w:ascii="Arial" w:hAnsi="Arial" w:cs="Arial"/>
                        </w:rPr>
                      </w:pPr>
                      <w:r w:rsidRPr="000277A5">
                        <w:rPr>
                          <w:rFonts w:ascii="Arial" w:hAnsi="Arial" w:cs="Arial"/>
                        </w:rPr>
                        <w:t>Base or Sub</w:t>
                      </w:r>
                      <w:r>
                        <w:rPr>
                          <w:rFonts w:ascii="Arial" w:hAnsi="Arial" w:cs="Arial"/>
                        </w:rPr>
                        <w:t>-</w:t>
                      </w:r>
                      <w:r w:rsidRPr="000277A5">
                        <w:rPr>
                          <w:rFonts w:ascii="Arial" w:hAnsi="Arial" w:cs="Arial"/>
                        </w:rPr>
                        <w:t xml:space="preserve">base </w:t>
                      </w:r>
                    </w:p>
                  </w:txbxContent>
                </v:textbox>
              </v:rect>
            </w:pict>
          </mc:Fallback>
        </mc:AlternateContent>
      </w:r>
    </w:p>
    <w:p w14:paraId="59F655FC" w14:textId="1248251E" w:rsidR="00BB012A" w:rsidRDefault="00BB012A" w:rsidP="00F567FF">
      <w:pPr>
        <w:jc w:val="center"/>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714048" behindDoc="0" locked="0" layoutInCell="1" allowOverlap="1" wp14:anchorId="397EE0CF" wp14:editId="063DA63F">
                <wp:simplePos x="0" y="0"/>
                <wp:positionH relativeFrom="column">
                  <wp:posOffset>1593850</wp:posOffset>
                </wp:positionH>
                <wp:positionV relativeFrom="paragraph">
                  <wp:posOffset>102870</wp:posOffset>
                </wp:positionV>
                <wp:extent cx="177800" cy="425450"/>
                <wp:effectExtent l="0" t="38100" r="50800" b="31750"/>
                <wp:wrapNone/>
                <wp:docPr id="515" name="Line 3446" descr="Class 1 excavation"/>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7800" cy="425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F66ED4" id="Line 3446" o:spid="_x0000_s1026" alt="Class 1 excavation" style="position:absolute;flip:y;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5.5pt,8.1pt" to="139.5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">
                <v:stroke endarrow="block"/>
              </v:line>
            </w:pict>
          </mc:Fallback>
        </mc:AlternateContent>
      </w:r>
    </w:p>
    <w:p w14:paraId="5A4D9B28" w14:textId="334C20FC" w:rsidR="00404AF1" w:rsidRPr="0009683C" w:rsidRDefault="00404AF1" w:rsidP="00F567FF">
      <w:pPr>
        <w:jc w:val="center"/>
        <w:rPr>
          <w:rFonts w:ascii="Arial" w:hAnsi="Arial" w:cs="Arial"/>
          <w:sz w:val="22"/>
          <w:szCs w:val="22"/>
        </w:rPr>
      </w:pPr>
      <w:r w:rsidRPr="0009683C">
        <w:rPr>
          <w:rFonts w:ascii="Arial" w:hAnsi="Arial" w:cs="Arial"/>
          <w:sz w:val="22"/>
          <w:szCs w:val="22"/>
        </w:rPr>
        <w:t>Select</w:t>
      </w:r>
      <w:r w:rsidR="000D397B">
        <w:rPr>
          <w:rFonts w:ascii="Arial" w:hAnsi="Arial" w:cs="Arial"/>
          <w:sz w:val="22"/>
          <w:szCs w:val="22"/>
        </w:rPr>
        <w:t>/Capping</w:t>
      </w:r>
      <w:r w:rsidRPr="0009683C">
        <w:rPr>
          <w:rFonts w:ascii="Arial" w:hAnsi="Arial" w:cs="Arial"/>
          <w:sz w:val="22"/>
          <w:szCs w:val="22"/>
        </w:rPr>
        <w:t xml:space="preserve"> Borrow In-Place</w:t>
      </w:r>
    </w:p>
    <w:p w14:paraId="6E463BF9" w14:textId="4D6D5D83" w:rsidR="00404AF1" w:rsidRPr="0009683C" w:rsidRDefault="00404AF1" w:rsidP="00F567FF">
      <w:pPr>
        <w:tabs>
          <w:tab w:val="left" w:pos="2430"/>
          <w:tab w:val="left" w:pos="3960"/>
        </w:tabs>
        <w:jc w:val="center"/>
        <w:rPr>
          <w:rFonts w:ascii="Arial" w:hAnsi="Arial" w:cs="Arial"/>
          <w:sz w:val="22"/>
          <w:szCs w:val="22"/>
        </w:rPr>
      </w:pPr>
      <w:r w:rsidRPr="0009683C">
        <w:rPr>
          <w:rFonts w:ascii="Arial" w:hAnsi="Arial" w:cs="Arial"/>
          <w:sz w:val="22"/>
          <w:szCs w:val="22"/>
        </w:rPr>
        <w:t>-------------------------------------------------------------</w:t>
      </w:r>
    </w:p>
    <w:p w14:paraId="3E984016" w14:textId="20AAAA63" w:rsidR="00404AF1" w:rsidRPr="0009683C" w:rsidRDefault="0009683C" w:rsidP="00E91B44">
      <w:pPr>
        <w:tabs>
          <w:tab w:val="left" w:pos="3960"/>
        </w:tabs>
        <w:spacing w:before="120"/>
        <w:jc w:val="center"/>
        <w:rPr>
          <w:rFonts w:ascii="Arial" w:hAnsi="Arial" w:cs="Arial"/>
          <w:sz w:val="22"/>
          <w:szCs w:val="22"/>
        </w:rPr>
      </w:pPr>
      <w:r>
        <w:rPr>
          <w:rFonts w:ascii="Arial" w:hAnsi="Arial" w:cs="Arial"/>
          <w:sz w:val="22"/>
          <w:szCs w:val="22"/>
        </w:rPr>
        <w:t>T</w:t>
      </w:r>
      <w:r w:rsidR="00404AF1" w:rsidRPr="0009683C">
        <w:rPr>
          <w:rFonts w:ascii="Arial" w:hAnsi="Arial" w:cs="Arial"/>
          <w:sz w:val="22"/>
          <w:szCs w:val="22"/>
        </w:rPr>
        <w:t>op of Subgrade and Limit of Class 1 Excavation</w:t>
      </w:r>
    </w:p>
    <w:p w14:paraId="71DF709E" w14:textId="77777777" w:rsidR="0009683C" w:rsidRDefault="0009683C" w:rsidP="00E91B44">
      <w:pPr>
        <w:pStyle w:val="ListNumber"/>
        <w:tabs>
          <w:tab w:val="clear" w:pos="720"/>
          <w:tab w:val="clear" w:pos="1872"/>
          <w:tab w:val="num" w:pos="1080"/>
        </w:tabs>
        <w:ind w:left="0" w:firstLine="0"/>
        <w:jc w:val="center"/>
        <w:rPr>
          <w:rFonts w:cs="Arial"/>
          <w:szCs w:val="22"/>
        </w:rPr>
      </w:pPr>
    </w:p>
    <w:p w14:paraId="23F05B6E" w14:textId="77A94E9E" w:rsidR="0009683C" w:rsidRDefault="00404AF1" w:rsidP="008F474D">
      <w:pPr>
        <w:pStyle w:val="ListNumber"/>
        <w:tabs>
          <w:tab w:val="clear" w:pos="720"/>
          <w:tab w:val="clear" w:pos="1872"/>
          <w:tab w:val="num" w:pos="1080"/>
        </w:tabs>
        <w:ind w:left="1080" w:firstLine="0"/>
        <w:jc w:val="both"/>
        <w:rPr>
          <w:rFonts w:cs="Arial"/>
          <w:szCs w:val="22"/>
        </w:rPr>
      </w:pPr>
      <w:r w:rsidRPr="0009683C">
        <w:rPr>
          <w:rFonts w:cs="Arial"/>
          <w:szCs w:val="22"/>
        </w:rPr>
        <w:t>Special Case 1</w:t>
      </w:r>
      <w:r w:rsidR="00F567FF">
        <w:rPr>
          <w:rFonts w:cs="Arial"/>
          <w:szCs w:val="22"/>
        </w:rPr>
        <w:t xml:space="preserve"> – </w:t>
      </w:r>
      <w:r w:rsidRPr="0009683C">
        <w:rPr>
          <w:rFonts w:cs="Arial"/>
          <w:szCs w:val="22"/>
        </w:rPr>
        <w:t>The Limit of Class 1 Excavation and Top of Subgrade should normally be at the bottom of the base material.  In cuts and fills where removal of uncompacted soil piles, landfills</w:t>
      </w:r>
      <w:r w:rsidR="00F567FF">
        <w:rPr>
          <w:rFonts w:cs="Arial"/>
          <w:szCs w:val="22"/>
        </w:rPr>
        <w:t>,</w:t>
      </w:r>
      <w:r w:rsidRPr="0009683C">
        <w:rPr>
          <w:rFonts w:cs="Arial"/>
          <w:szCs w:val="22"/>
        </w:rPr>
        <w:t xml:space="preserve"> and dumps is required, the Limit of Class 1 Excavation should be at the original ground elevation as determined by the Engineer when this is be</w:t>
      </w:r>
      <w:r w:rsidRPr="0009683C">
        <w:rPr>
          <w:rFonts w:cs="Arial"/>
          <w:szCs w:val="22"/>
        </w:rPr>
        <w:softHyphen/>
        <w:t>low the normal Top of Subgrade.</w:t>
      </w:r>
    </w:p>
    <w:p w14:paraId="58886F0E" w14:textId="62CCAC77" w:rsidR="00F567FF" w:rsidRPr="00E91B44" w:rsidRDefault="00404AF1" w:rsidP="008F474D">
      <w:pPr>
        <w:pStyle w:val="ListNumber"/>
        <w:tabs>
          <w:tab w:val="clear" w:pos="720"/>
          <w:tab w:val="clear" w:pos="1872"/>
          <w:tab w:val="num" w:pos="1080"/>
        </w:tabs>
        <w:ind w:left="1080" w:firstLine="0"/>
        <w:jc w:val="both"/>
      </w:pPr>
      <w:r w:rsidRPr="0009683C">
        <w:rPr>
          <w:rFonts w:cs="Arial"/>
          <w:szCs w:val="22"/>
        </w:rPr>
        <w:t>Special Case 2 – If the borings reveal soils with high moisture contents at the subgrade elevation for most (&gt; 75%) of the roadway length, Limit of Class 1 Excavation can be lowered by a foot keeping the Top of Subgrade just below the pavement sub</w:t>
      </w:r>
      <w:r w:rsidR="00F567FF">
        <w:rPr>
          <w:rFonts w:cs="Arial"/>
          <w:szCs w:val="22"/>
        </w:rPr>
        <w:t>-</w:t>
      </w:r>
      <w:r w:rsidRPr="0009683C">
        <w:rPr>
          <w:rFonts w:cs="Arial"/>
          <w:szCs w:val="22"/>
        </w:rPr>
        <w:t>base layer (designed undercut). The extra excavation can be backfilled with any suitable material based on the conditions and availability</w:t>
      </w:r>
      <w:r w:rsidRPr="003D3E7C">
        <w:rPr>
          <w:rFonts w:cs="Arial"/>
        </w:rPr>
        <w:t xml:space="preserve"> of materials.</w:t>
      </w:r>
    </w:p>
    <w:p w14:paraId="56F05284" w14:textId="61014285" w:rsidR="00404AF1" w:rsidRDefault="00404AF1" w:rsidP="00F567FF">
      <w:pPr>
        <w:pStyle w:val="ListNumber"/>
        <w:tabs>
          <w:tab w:val="clear" w:pos="720"/>
          <w:tab w:val="clear" w:pos="1872"/>
          <w:tab w:val="num" w:pos="1080"/>
        </w:tabs>
        <w:spacing w:before="0"/>
        <w:ind w:left="1080" w:firstLine="0"/>
        <w:jc w:val="both"/>
        <w:rPr>
          <w:b/>
          <w:i/>
          <w:sz w:val="24"/>
          <w:szCs w:val="24"/>
        </w:rPr>
      </w:pPr>
    </w:p>
    <w:p w14:paraId="5C9A7DB3" w14:textId="234BC5C5" w:rsidR="00404AF1" w:rsidRPr="00D11243" w:rsidRDefault="00404AF1" w:rsidP="00172E64">
      <w:pPr>
        <w:pStyle w:val="Heading5"/>
        <w:numPr>
          <w:ilvl w:val="4"/>
          <w:numId w:val="184"/>
        </w:numPr>
        <w:tabs>
          <w:tab w:val="left" w:pos="1800"/>
        </w:tabs>
        <w:ind w:left="0" w:firstLine="0"/>
      </w:pPr>
      <w:r>
        <w:t>Wasting a</w:t>
      </w:r>
      <w:r w:rsidR="000D397B">
        <w:t xml:space="preserve"> </w:t>
      </w:r>
      <w:r>
        <w:t xml:space="preserve">% of Class 1 Excavation  </w:t>
      </w:r>
    </w:p>
    <w:p w14:paraId="2DD51D83" w14:textId="77777777" w:rsidR="001A15B9" w:rsidRDefault="00404AF1" w:rsidP="00172E64">
      <w:pPr>
        <w:pStyle w:val="ListNumber"/>
        <w:numPr>
          <w:ilvl w:val="0"/>
          <w:numId w:val="49"/>
        </w:numPr>
        <w:tabs>
          <w:tab w:val="clear" w:pos="1152"/>
          <w:tab w:val="clear" w:pos="1872"/>
          <w:tab w:val="num" w:pos="1080"/>
        </w:tabs>
        <w:spacing w:before="240"/>
        <w:ind w:left="1080" w:hanging="1080"/>
        <w:jc w:val="both"/>
      </w:pPr>
      <w:r w:rsidRPr="005A35B3">
        <w:t>Wasting a % of Class 1 Excavation:</w:t>
      </w:r>
      <w:r w:rsidRPr="000F6205">
        <w:t xml:space="preserve"> </w:t>
      </w:r>
      <w:r w:rsidRPr="007B473A">
        <w:rPr>
          <w:rFonts w:cs="Arial"/>
          <w:szCs w:val="22"/>
        </w:rPr>
        <w:t>In cases where materials are extremely wet</w:t>
      </w:r>
      <w:r>
        <w:rPr>
          <w:rFonts w:cs="Arial"/>
          <w:szCs w:val="22"/>
        </w:rPr>
        <w:t xml:space="preserve"> (saturated or liquefied conditions), the type of material </w:t>
      </w:r>
      <w:r w:rsidRPr="007B473A">
        <w:rPr>
          <w:rFonts w:cs="Arial"/>
          <w:szCs w:val="22"/>
        </w:rPr>
        <w:t>should be considered and whether this material c</w:t>
      </w:r>
      <w:r>
        <w:rPr>
          <w:rFonts w:cs="Arial"/>
          <w:szCs w:val="22"/>
        </w:rPr>
        <w:t xml:space="preserve">an be sufficiently dried or not. </w:t>
      </w:r>
      <w:r w:rsidRPr="007B473A">
        <w:rPr>
          <w:rFonts w:cs="Arial"/>
          <w:szCs w:val="22"/>
        </w:rPr>
        <w:t>A certain mat</w:t>
      </w:r>
      <w:r w:rsidRPr="007B473A">
        <w:rPr>
          <w:rFonts w:cs="Arial"/>
          <w:szCs w:val="22"/>
        </w:rPr>
        <w:softHyphen/>
        <w:t>erial may be usable if lower compaction requirements are recommended; however, if the moisture content of this material exceeds the average moisture difference of a</w:t>
      </w:r>
      <w:r>
        <w:rPr>
          <w:rFonts w:cs="Arial"/>
          <w:szCs w:val="22"/>
        </w:rPr>
        <w:t xml:space="preserve"> T-180 test</w:t>
      </w:r>
      <w:r w:rsidRPr="007B473A">
        <w:rPr>
          <w:rFonts w:cs="Arial"/>
          <w:szCs w:val="22"/>
        </w:rPr>
        <w:t>, this material may require wasting.</w:t>
      </w:r>
      <w:r>
        <w:rPr>
          <w:rFonts w:cs="Arial"/>
          <w:szCs w:val="22"/>
        </w:rPr>
        <w:t xml:space="preserve"> A percentage </w:t>
      </w:r>
      <w:r>
        <w:t xml:space="preserve">of the excavated material should be computed and anticipated as waste which cannot be used for embankment construction or for pavement subgrade.  </w:t>
      </w:r>
      <w:r w:rsidRPr="007B473A">
        <w:rPr>
          <w:rFonts w:cs="Arial"/>
          <w:szCs w:val="22"/>
        </w:rPr>
        <w:t>Earthwork quantity estimates should be adjusted on the basis of this antici</w:t>
      </w:r>
      <w:r w:rsidRPr="007B473A">
        <w:rPr>
          <w:rFonts w:cs="Arial"/>
          <w:szCs w:val="22"/>
        </w:rPr>
        <w:softHyphen/>
        <w:t>pated condition.</w:t>
      </w:r>
      <w:r>
        <w:rPr>
          <w:rFonts w:cs="Arial"/>
          <w:szCs w:val="22"/>
        </w:rPr>
        <w:t xml:space="preserve"> Organic and river bottom materials should be wasted.</w:t>
      </w:r>
    </w:p>
    <w:p w14:paraId="63D9EA21" w14:textId="6455DA62" w:rsidR="00404AF1" w:rsidRDefault="00404AF1" w:rsidP="008F474D">
      <w:pPr>
        <w:pStyle w:val="ListNumber"/>
        <w:tabs>
          <w:tab w:val="clear" w:pos="720"/>
          <w:tab w:val="clear" w:pos="1872"/>
        </w:tabs>
        <w:ind w:left="1080" w:firstLine="0"/>
        <w:jc w:val="both"/>
        <w:rPr>
          <w:rFonts w:cs="Arial"/>
          <w:szCs w:val="22"/>
        </w:rPr>
      </w:pPr>
      <w:r>
        <w:rPr>
          <w:rFonts w:cs="Arial"/>
          <w:szCs w:val="22"/>
        </w:rPr>
        <w:t xml:space="preserve">If rock is encountered within the project limits, </w:t>
      </w:r>
      <w:r w:rsidRPr="007B473A">
        <w:rPr>
          <w:rFonts w:cs="Arial"/>
          <w:szCs w:val="22"/>
        </w:rPr>
        <w:t>the ro</w:t>
      </w:r>
      <w:r>
        <w:rPr>
          <w:rFonts w:cs="Arial"/>
          <w:szCs w:val="22"/>
        </w:rPr>
        <w:t>ck profile of the project should</w:t>
      </w:r>
      <w:r w:rsidRPr="007B473A">
        <w:rPr>
          <w:rFonts w:cs="Arial"/>
          <w:szCs w:val="22"/>
        </w:rPr>
        <w:t xml:space="preserve"> be determined and the deg</w:t>
      </w:r>
      <w:r>
        <w:rPr>
          <w:rFonts w:cs="Arial"/>
          <w:szCs w:val="22"/>
        </w:rPr>
        <w:t xml:space="preserve">ree of hardness </w:t>
      </w:r>
      <w:r w:rsidR="00A539BA">
        <w:rPr>
          <w:rFonts w:cs="Arial"/>
          <w:szCs w:val="22"/>
        </w:rPr>
        <w:t>estimated</w:t>
      </w:r>
      <w:r>
        <w:rPr>
          <w:rFonts w:cs="Arial"/>
          <w:szCs w:val="22"/>
        </w:rPr>
        <w:t xml:space="preserve">. </w:t>
      </w:r>
      <w:r w:rsidR="00947150">
        <w:rPr>
          <w:rFonts w:cs="Arial"/>
          <w:szCs w:val="22"/>
        </w:rPr>
        <w:t xml:space="preserve">If rock is an important project </w:t>
      </w:r>
      <w:r w:rsidR="00947150" w:rsidRPr="00C169A5">
        <w:rPr>
          <w:rFonts w:cs="Arial"/>
          <w:szCs w:val="22"/>
        </w:rPr>
        <w:t>consideration</w:t>
      </w:r>
      <w:r w:rsidR="00A539BA" w:rsidRPr="00C169A5">
        <w:rPr>
          <w:rFonts w:cs="Arial"/>
          <w:szCs w:val="22"/>
        </w:rPr>
        <w:t xml:space="preserve"> </w:t>
      </w:r>
      <w:r w:rsidR="00A539BA" w:rsidRPr="00C169A5">
        <w:rPr>
          <w:rFonts w:cs="Arial"/>
        </w:rPr>
        <w:t>(e.g.</w:t>
      </w:r>
      <w:r w:rsidR="0088791C">
        <w:rPr>
          <w:rFonts w:cs="Arial"/>
        </w:rPr>
        <w:t>,</w:t>
      </w:r>
      <w:r w:rsidR="00A539BA" w:rsidRPr="00C169A5">
        <w:rPr>
          <w:rFonts w:cs="Arial"/>
        </w:rPr>
        <w:t xml:space="preserve"> a significant amount of excavation would be carried out within rock)</w:t>
      </w:r>
      <w:r w:rsidR="00947150" w:rsidRPr="00C169A5">
        <w:rPr>
          <w:rFonts w:cs="Arial"/>
          <w:szCs w:val="22"/>
        </w:rPr>
        <w:t>, a</w:t>
      </w:r>
      <w:r w:rsidR="001B1DE3" w:rsidRPr="00C169A5">
        <w:rPr>
          <w:rFonts w:cs="Arial"/>
          <w:szCs w:val="22"/>
        </w:rPr>
        <w:t xml:space="preserve"> geophysical investigation can often provide </w:t>
      </w:r>
      <w:r w:rsidR="00A539BA" w:rsidRPr="00C169A5">
        <w:rPr>
          <w:rFonts w:cs="Arial"/>
          <w:szCs w:val="22"/>
        </w:rPr>
        <w:t>the required</w:t>
      </w:r>
      <w:r w:rsidR="001B1DE3" w:rsidRPr="00C169A5">
        <w:rPr>
          <w:rFonts w:cs="Arial"/>
          <w:szCs w:val="22"/>
        </w:rPr>
        <w:t xml:space="preserve"> information</w:t>
      </w:r>
      <w:r w:rsidR="00947150" w:rsidRPr="00C169A5">
        <w:rPr>
          <w:rFonts w:cs="Arial"/>
          <w:szCs w:val="22"/>
        </w:rPr>
        <w:t>. R</w:t>
      </w:r>
      <w:r w:rsidR="001B1DE3" w:rsidRPr="00C169A5">
        <w:rPr>
          <w:rFonts w:cs="Arial"/>
          <w:szCs w:val="22"/>
        </w:rPr>
        <w:t>efer t</w:t>
      </w:r>
      <w:r w:rsidR="001B1DE3">
        <w:rPr>
          <w:rFonts w:cs="Arial"/>
          <w:szCs w:val="22"/>
        </w:rPr>
        <w:t xml:space="preserve">o </w:t>
      </w:r>
      <w:hyperlink w:anchor="_geophysical_investigation" w:history="1">
        <w:r w:rsidR="001B1DE3" w:rsidRPr="0088791C">
          <w:rPr>
            <w:rStyle w:val="Hyperlink"/>
            <w:rFonts w:cs="Arial"/>
            <w:i/>
            <w:szCs w:val="22"/>
          </w:rPr>
          <w:t>Section 3.07 Geophysical Investigation</w:t>
        </w:r>
      </w:hyperlink>
      <w:r w:rsidR="001B1DE3" w:rsidRPr="0088791C">
        <w:rPr>
          <w:rFonts w:cs="Arial"/>
          <w:szCs w:val="22"/>
        </w:rPr>
        <w:t xml:space="preserve"> f</w:t>
      </w:r>
      <w:r w:rsidR="001B1DE3">
        <w:rPr>
          <w:rFonts w:cs="Arial"/>
          <w:szCs w:val="22"/>
        </w:rPr>
        <w:t>or information about scoping a geophysical investigation</w:t>
      </w:r>
      <w:r w:rsidR="00AA7451">
        <w:rPr>
          <w:rFonts w:cs="Arial"/>
          <w:szCs w:val="22"/>
        </w:rPr>
        <w:t>.</w:t>
      </w:r>
      <w:r w:rsidR="00A539BA">
        <w:rPr>
          <w:rFonts w:cs="Arial"/>
          <w:szCs w:val="22"/>
        </w:rPr>
        <w:t xml:space="preserve"> </w:t>
      </w:r>
      <w:r w:rsidR="00A539BA" w:rsidRPr="00A539BA">
        <w:rPr>
          <w:rFonts w:cs="Arial"/>
        </w:rPr>
        <w:t xml:space="preserve">Contact the EGD </w:t>
      </w:r>
      <w:r w:rsidR="00A539BA" w:rsidRPr="00C169A5">
        <w:rPr>
          <w:rFonts w:cs="Arial"/>
        </w:rPr>
        <w:t>for assistance in assessing the suitability of geophysical investigations, estimating quantities of rock excavation</w:t>
      </w:r>
      <w:r w:rsidR="0088791C">
        <w:rPr>
          <w:rFonts w:cs="Arial"/>
        </w:rPr>
        <w:t>,</w:t>
      </w:r>
      <w:r w:rsidR="00A539BA" w:rsidRPr="00C169A5">
        <w:rPr>
          <w:rFonts w:cs="Arial"/>
        </w:rPr>
        <w:t xml:space="preserve"> and excavation means within the rock.</w:t>
      </w:r>
      <w:r w:rsidR="00A539BA" w:rsidRPr="00C169A5">
        <w:rPr>
          <w:rFonts w:ascii="Calibri" w:hAnsi="Calibri" w:cs="Calibri"/>
        </w:rPr>
        <w:t xml:space="preserve"> </w:t>
      </w:r>
      <w:r w:rsidR="00947150" w:rsidRPr="00C169A5">
        <w:rPr>
          <w:rFonts w:cs="Arial"/>
          <w:szCs w:val="22"/>
        </w:rPr>
        <w:t xml:space="preserve"> </w:t>
      </w:r>
      <w:r w:rsidRPr="00C169A5">
        <w:rPr>
          <w:rFonts w:cs="Arial"/>
          <w:szCs w:val="22"/>
        </w:rPr>
        <w:t xml:space="preserve">Rock of extreme hardness may be considered as material to waste in that it would be </w:t>
      </w:r>
      <w:r w:rsidRPr="007B473A">
        <w:rPr>
          <w:rFonts w:cs="Arial"/>
          <w:szCs w:val="22"/>
        </w:rPr>
        <w:t>too large to use in embankments or to meet any top 1</w:t>
      </w:r>
      <w:r w:rsidR="00AA7451">
        <w:rPr>
          <w:rFonts w:cs="Arial"/>
          <w:szCs w:val="22"/>
        </w:rPr>
        <w:t>-</w:t>
      </w:r>
      <w:r>
        <w:rPr>
          <w:rFonts w:cs="Arial"/>
          <w:szCs w:val="22"/>
        </w:rPr>
        <w:t>ft</w:t>
      </w:r>
      <w:r w:rsidR="0088791C">
        <w:rPr>
          <w:rFonts w:cs="Arial"/>
          <w:szCs w:val="22"/>
        </w:rPr>
        <w:t>.</w:t>
      </w:r>
      <w:r w:rsidRPr="007B473A">
        <w:rPr>
          <w:rFonts w:cs="Arial"/>
          <w:szCs w:val="22"/>
        </w:rPr>
        <w:t xml:space="preserve"> </w:t>
      </w:r>
      <w:r>
        <w:rPr>
          <w:rFonts w:cs="Arial"/>
          <w:szCs w:val="22"/>
        </w:rPr>
        <w:t xml:space="preserve">compaction </w:t>
      </w:r>
      <w:r w:rsidRPr="007B473A">
        <w:rPr>
          <w:rFonts w:cs="Arial"/>
          <w:szCs w:val="22"/>
        </w:rPr>
        <w:lastRenderedPageBreak/>
        <w:t>requirement.</w:t>
      </w:r>
      <w:r>
        <w:rPr>
          <w:rFonts w:cs="Arial"/>
          <w:szCs w:val="22"/>
        </w:rPr>
        <w:t xml:space="preserve"> </w:t>
      </w:r>
      <w:r w:rsidRPr="007B473A">
        <w:rPr>
          <w:rFonts w:cs="Arial"/>
          <w:szCs w:val="22"/>
        </w:rPr>
        <w:t>Construction expediency would make this material impractical to use due to the difficulties in obtaining</w:t>
      </w:r>
      <w:r>
        <w:rPr>
          <w:rFonts w:cs="Arial"/>
          <w:szCs w:val="22"/>
        </w:rPr>
        <w:t xml:space="preserve"> specification requirements. In this case, a percentage of </w:t>
      </w:r>
      <w:r w:rsidRPr="007B473A">
        <w:rPr>
          <w:rFonts w:cs="Arial"/>
          <w:szCs w:val="22"/>
        </w:rPr>
        <w:t xml:space="preserve">the total Class </w:t>
      </w:r>
      <w:r>
        <w:rPr>
          <w:rFonts w:cs="Arial"/>
          <w:szCs w:val="22"/>
        </w:rPr>
        <w:t>1</w:t>
      </w:r>
      <w:r w:rsidRPr="007B473A">
        <w:rPr>
          <w:rFonts w:cs="Arial"/>
          <w:szCs w:val="22"/>
        </w:rPr>
        <w:t xml:space="preserve"> Excavation </w:t>
      </w:r>
      <w:r>
        <w:rPr>
          <w:rFonts w:cs="Arial"/>
          <w:szCs w:val="22"/>
        </w:rPr>
        <w:t xml:space="preserve">in rock should </w:t>
      </w:r>
      <w:r w:rsidRPr="007B473A">
        <w:rPr>
          <w:rFonts w:cs="Arial"/>
          <w:szCs w:val="22"/>
        </w:rPr>
        <w:t xml:space="preserve">be </w:t>
      </w:r>
      <w:r>
        <w:rPr>
          <w:rFonts w:cs="Arial"/>
          <w:szCs w:val="22"/>
        </w:rPr>
        <w:t xml:space="preserve">considered unsuitable </w:t>
      </w:r>
      <w:r w:rsidRPr="007B473A">
        <w:rPr>
          <w:rFonts w:cs="Arial"/>
          <w:szCs w:val="22"/>
        </w:rPr>
        <w:t>for embankment construction</w:t>
      </w:r>
      <w:r>
        <w:rPr>
          <w:rFonts w:cs="Arial"/>
          <w:szCs w:val="22"/>
        </w:rPr>
        <w:t>.  Contact the EGD for assistance.</w:t>
      </w:r>
    </w:p>
    <w:p w14:paraId="39F7CF07" w14:textId="77777777" w:rsidR="00E74F65" w:rsidRPr="007C5A6D" w:rsidRDefault="00E74F65" w:rsidP="008F474D">
      <w:pPr>
        <w:pStyle w:val="ListNumber"/>
        <w:tabs>
          <w:tab w:val="clear" w:pos="720"/>
          <w:tab w:val="clear" w:pos="1872"/>
        </w:tabs>
        <w:ind w:left="1080" w:firstLine="0"/>
        <w:jc w:val="both"/>
      </w:pPr>
      <w:r>
        <w:t>An alternative to wasting a percentage of excavated material may be to use cement or lime treatment.  This option should be discussed with the Team Leader and the Assistant Division Chief – Design.</w:t>
      </w:r>
    </w:p>
    <w:p w14:paraId="65ED4A93" w14:textId="77777777" w:rsidR="00404AF1" w:rsidRPr="00D11243" w:rsidRDefault="00404AF1" w:rsidP="00172E64">
      <w:pPr>
        <w:pStyle w:val="Heading5"/>
        <w:numPr>
          <w:ilvl w:val="4"/>
          <w:numId w:val="184"/>
        </w:numPr>
        <w:tabs>
          <w:tab w:val="left" w:pos="1800"/>
        </w:tabs>
        <w:spacing w:before="240"/>
        <w:ind w:left="0" w:firstLine="0"/>
      </w:pPr>
      <w:r>
        <w:t xml:space="preserve">Shrinkage and Swell Factors </w:t>
      </w:r>
    </w:p>
    <w:p w14:paraId="5B52E40F" w14:textId="77777777" w:rsidR="001A15B9" w:rsidRDefault="00404AF1" w:rsidP="00172E64">
      <w:pPr>
        <w:pStyle w:val="ListNumber"/>
        <w:numPr>
          <w:ilvl w:val="0"/>
          <w:numId w:val="49"/>
        </w:numPr>
        <w:tabs>
          <w:tab w:val="clear" w:pos="1152"/>
          <w:tab w:val="clear" w:pos="1872"/>
          <w:tab w:val="num" w:pos="1080"/>
        </w:tabs>
        <w:spacing w:before="240"/>
        <w:ind w:left="1080" w:hanging="1080"/>
        <w:jc w:val="both"/>
        <w:rPr>
          <w:szCs w:val="22"/>
        </w:rPr>
      </w:pPr>
      <w:r w:rsidRPr="0009683C">
        <w:rPr>
          <w:szCs w:val="22"/>
        </w:rPr>
        <w:t xml:space="preserve">Shrinkage and Swell Factors:  Shrinkage and Swell factors are provided to the PM to compute earthwork quantities. </w:t>
      </w:r>
    </w:p>
    <w:p w14:paraId="1603FA8E" w14:textId="265B568B" w:rsidR="00404AF1" w:rsidRDefault="00404AF1" w:rsidP="00E91B44">
      <w:pPr>
        <w:spacing w:before="120"/>
        <w:ind w:left="1080"/>
        <w:jc w:val="both"/>
        <w:rPr>
          <w:rFonts w:ascii="Arial" w:hAnsi="Arial" w:cs="Arial"/>
          <w:sz w:val="22"/>
          <w:szCs w:val="22"/>
        </w:rPr>
      </w:pPr>
      <w:r w:rsidRPr="0009683C">
        <w:rPr>
          <w:rFonts w:ascii="Arial" w:hAnsi="Arial" w:cs="Arial"/>
          <w:sz w:val="22"/>
          <w:szCs w:val="22"/>
        </w:rPr>
        <w:t>Considerations: Normally, material compacted by nature will occupy a smaller volume when compacted to its maximum dry density at an optimum moisture content determined by AASH</w:t>
      </w:r>
      <w:r w:rsidR="002917AA">
        <w:rPr>
          <w:rFonts w:ascii="Arial" w:hAnsi="Arial" w:cs="Arial"/>
          <w:sz w:val="22"/>
          <w:szCs w:val="22"/>
        </w:rPr>
        <w:t>T</w:t>
      </w:r>
      <w:r w:rsidRPr="0009683C">
        <w:rPr>
          <w:rFonts w:ascii="Arial" w:hAnsi="Arial" w:cs="Arial"/>
          <w:sz w:val="22"/>
          <w:szCs w:val="22"/>
        </w:rPr>
        <w:t>O T-180. On the other hand, rock and rock soils, such as old road beds, will occupy a larger volume when disturbed and fractured during excavation. Evaluation of in</w:t>
      </w:r>
      <w:r w:rsidR="00AA7451">
        <w:rPr>
          <w:rFonts w:ascii="Arial" w:hAnsi="Arial" w:cs="Arial"/>
          <w:sz w:val="22"/>
          <w:szCs w:val="22"/>
        </w:rPr>
        <w:t>-</w:t>
      </w:r>
      <w:r w:rsidRPr="0009683C">
        <w:rPr>
          <w:rFonts w:ascii="Arial" w:hAnsi="Arial" w:cs="Arial"/>
          <w:sz w:val="22"/>
          <w:szCs w:val="22"/>
        </w:rPr>
        <w:t>place density checks of native material is important especially if it represents a large quantity of Class 1 Excavation material. Other important tools used in determining shrinkage or swell factors include profile of auger refusals and an evaluation of rock cores above and below refusal elevation.</w:t>
      </w:r>
    </w:p>
    <w:p w14:paraId="3FFEB4A0" w14:textId="77777777" w:rsidR="0009683C" w:rsidRDefault="00404AF1" w:rsidP="00E91B44">
      <w:pPr>
        <w:spacing w:before="120"/>
        <w:ind w:left="1080"/>
        <w:jc w:val="both"/>
        <w:rPr>
          <w:rFonts w:ascii="Arial" w:hAnsi="Arial" w:cs="Arial"/>
          <w:sz w:val="22"/>
          <w:szCs w:val="22"/>
        </w:rPr>
      </w:pPr>
      <w:r w:rsidRPr="0009683C">
        <w:rPr>
          <w:rFonts w:ascii="Arial" w:hAnsi="Arial" w:cs="Arial"/>
          <w:sz w:val="22"/>
          <w:szCs w:val="22"/>
        </w:rPr>
        <w:t xml:space="preserve">The following table gives an average factor for the various soils. </w:t>
      </w:r>
      <w:r w:rsidR="00B71320">
        <w:rPr>
          <w:rFonts w:ascii="Arial" w:hAnsi="Arial" w:cs="Arial"/>
          <w:sz w:val="22"/>
          <w:szCs w:val="22"/>
        </w:rPr>
        <w:t>Consideration should be given to obtain lab tested Shrinkage/Swell Factors on large earthwork projects.  I</w:t>
      </w:r>
      <w:r w:rsidRPr="0009683C">
        <w:rPr>
          <w:rFonts w:ascii="Arial" w:hAnsi="Arial" w:cs="Arial"/>
          <w:sz w:val="22"/>
          <w:szCs w:val="22"/>
        </w:rPr>
        <w:t>t should be noted that factors vary considerably and it is desirable that this table only be used if no other information is available:</w:t>
      </w:r>
    </w:p>
    <w:p w14:paraId="296421F0" w14:textId="77777777" w:rsidR="00404AF1" w:rsidRPr="0009683C" w:rsidRDefault="00404AF1" w:rsidP="008F474D">
      <w:pPr>
        <w:ind w:left="1080"/>
        <w:jc w:val="both"/>
        <w:rPr>
          <w:rFonts w:ascii="Arial" w:hAnsi="Arial" w:cs="Arial"/>
          <w:sz w:val="22"/>
          <w:szCs w:val="22"/>
        </w:rPr>
      </w:pPr>
      <w:r w:rsidRPr="0009683C">
        <w:rPr>
          <w:rFonts w:ascii="Arial" w:hAnsi="Arial" w:cs="Arial"/>
          <w:sz w:val="22"/>
          <w:szCs w:val="22"/>
        </w:rPr>
        <w:t xml:space="preserve">                              </w:t>
      </w:r>
    </w:p>
    <w:p w14:paraId="0176B66E" w14:textId="2D995B98" w:rsidR="00404AF1" w:rsidRPr="00E91B44" w:rsidRDefault="00404AF1" w:rsidP="00E91B44">
      <w:pPr>
        <w:ind w:left="1080"/>
        <w:jc w:val="center"/>
        <w:rPr>
          <w:rFonts w:ascii="Arial" w:hAnsi="Arial"/>
          <w:b/>
          <w:sz w:val="22"/>
        </w:rPr>
      </w:pPr>
      <w:r w:rsidRPr="00E91B44">
        <w:rPr>
          <w:rFonts w:ascii="Arial" w:hAnsi="Arial"/>
          <w:b/>
          <w:sz w:val="22"/>
        </w:rPr>
        <w:t>Shrinkage and Swell Factors</w:t>
      </w:r>
    </w:p>
    <w:tbl>
      <w:tblPr>
        <w:tblW w:w="6205"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978"/>
        <w:gridCol w:w="3227"/>
      </w:tblGrid>
      <w:tr w:rsidR="00404AF1" w:rsidRPr="0009683C" w14:paraId="65661E64" w14:textId="77777777" w:rsidTr="00E91B44">
        <w:trPr>
          <w:trHeight w:val="288"/>
        </w:trPr>
        <w:tc>
          <w:tcPr>
            <w:tcW w:w="2978" w:type="dxa"/>
            <w:shd w:val="pct15" w:color="auto" w:fill="FFFFFF"/>
            <w:vAlign w:val="center"/>
          </w:tcPr>
          <w:p w14:paraId="42413CF4" w14:textId="77777777" w:rsidR="00404AF1" w:rsidRPr="0009683C" w:rsidRDefault="00404AF1" w:rsidP="00BE3F24">
            <w:pPr>
              <w:jc w:val="center"/>
              <w:rPr>
                <w:rFonts w:ascii="Arial" w:hAnsi="Arial" w:cs="Arial"/>
                <w:b/>
                <w:sz w:val="22"/>
                <w:szCs w:val="22"/>
              </w:rPr>
            </w:pPr>
            <w:r w:rsidRPr="0009683C">
              <w:rPr>
                <w:rFonts w:ascii="Arial" w:hAnsi="Arial" w:cs="Arial"/>
                <w:b/>
                <w:sz w:val="22"/>
                <w:szCs w:val="22"/>
              </w:rPr>
              <w:t>Soil Type</w:t>
            </w:r>
          </w:p>
        </w:tc>
        <w:tc>
          <w:tcPr>
            <w:tcW w:w="3227" w:type="dxa"/>
            <w:shd w:val="pct15" w:color="auto" w:fill="FFFFFF"/>
            <w:vAlign w:val="center"/>
          </w:tcPr>
          <w:p w14:paraId="5BCC2FD0" w14:textId="77777777" w:rsidR="00404AF1" w:rsidRPr="0009683C" w:rsidRDefault="00404AF1" w:rsidP="00BE3F24">
            <w:pPr>
              <w:jc w:val="center"/>
              <w:rPr>
                <w:rFonts w:ascii="Arial" w:hAnsi="Arial" w:cs="Arial"/>
                <w:b/>
                <w:sz w:val="22"/>
                <w:szCs w:val="22"/>
              </w:rPr>
            </w:pPr>
            <w:r w:rsidRPr="0009683C">
              <w:rPr>
                <w:rFonts w:ascii="Arial" w:hAnsi="Arial" w:cs="Arial"/>
                <w:b/>
                <w:sz w:val="22"/>
                <w:szCs w:val="22"/>
              </w:rPr>
              <w:t xml:space="preserve">Shrinkage/Swell Factors </w:t>
            </w:r>
          </w:p>
          <w:p w14:paraId="43531554" w14:textId="2ADF022D" w:rsidR="00404AF1" w:rsidRPr="0009683C" w:rsidRDefault="0088791C" w:rsidP="00BE3F24">
            <w:pPr>
              <w:jc w:val="center"/>
              <w:rPr>
                <w:rFonts w:ascii="Arial" w:hAnsi="Arial" w:cs="Arial"/>
                <w:b/>
                <w:sz w:val="22"/>
                <w:szCs w:val="22"/>
              </w:rPr>
            </w:pPr>
            <w:r>
              <w:rPr>
                <w:rFonts w:ascii="Arial" w:hAnsi="Arial" w:cs="Arial"/>
                <w:b/>
                <w:sz w:val="22"/>
                <w:szCs w:val="22"/>
              </w:rPr>
              <w:t>F</w:t>
            </w:r>
            <w:r w:rsidR="00404AF1" w:rsidRPr="0009683C">
              <w:rPr>
                <w:rFonts w:ascii="Arial" w:hAnsi="Arial" w:cs="Arial"/>
                <w:b/>
                <w:sz w:val="22"/>
                <w:szCs w:val="22"/>
              </w:rPr>
              <w:t>or T-180-57</w:t>
            </w:r>
          </w:p>
        </w:tc>
      </w:tr>
      <w:tr w:rsidR="00404AF1" w:rsidRPr="0009683C" w14:paraId="5E9A2DA8" w14:textId="77777777" w:rsidTr="00E91B44">
        <w:trPr>
          <w:trHeight w:val="288"/>
        </w:trPr>
        <w:tc>
          <w:tcPr>
            <w:tcW w:w="2978" w:type="dxa"/>
            <w:shd w:val="clear" w:color="auto" w:fill="FFFFFF"/>
            <w:vAlign w:val="center"/>
          </w:tcPr>
          <w:p w14:paraId="19A8CB3B"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Clayey</w:t>
            </w:r>
          </w:p>
        </w:tc>
        <w:tc>
          <w:tcPr>
            <w:tcW w:w="3227" w:type="dxa"/>
            <w:shd w:val="clear" w:color="auto" w:fill="FFFFFF"/>
            <w:vAlign w:val="center"/>
          </w:tcPr>
          <w:p w14:paraId="7B89554C"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0.80</w:t>
            </w:r>
          </w:p>
        </w:tc>
      </w:tr>
      <w:tr w:rsidR="00404AF1" w:rsidRPr="0009683C" w14:paraId="0DD318CB" w14:textId="77777777" w:rsidTr="00E91B44">
        <w:trPr>
          <w:trHeight w:val="288"/>
        </w:trPr>
        <w:tc>
          <w:tcPr>
            <w:tcW w:w="2978" w:type="dxa"/>
            <w:shd w:val="clear" w:color="auto" w:fill="FFFFFF"/>
            <w:vAlign w:val="center"/>
          </w:tcPr>
          <w:p w14:paraId="5BD67958"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Silt</w:t>
            </w:r>
          </w:p>
        </w:tc>
        <w:tc>
          <w:tcPr>
            <w:tcW w:w="3227" w:type="dxa"/>
            <w:shd w:val="clear" w:color="auto" w:fill="FFFFFF"/>
            <w:vAlign w:val="center"/>
          </w:tcPr>
          <w:p w14:paraId="4DFA13B6"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0.83</w:t>
            </w:r>
          </w:p>
        </w:tc>
      </w:tr>
      <w:tr w:rsidR="00404AF1" w:rsidRPr="0009683C" w14:paraId="419D56B8" w14:textId="77777777" w:rsidTr="00E91B44">
        <w:trPr>
          <w:trHeight w:val="288"/>
        </w:trPr>
        <w:tc>
          <w:tcPr>
            <w:tcW w:w="2978" w:type="dxa"/>
            <w:shd w:val="clear" w:color="auto" w:fill="FFFFFF"/>
            <w:vAlign w:val="center"/>
          </w:tcPr>
          <w:p w14:paraId="766AD7E5"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Sandy</w:t>
            </w:r>
          </w:p>
        </w:tc>
        <w:tc>
          <w:tcPr>
            <w:tcW w:w="3227" w:type="dxa"/>
            <w:shd w:val="clear" w:color="auto" w:fill="FFFFFF"/>
            <w:vAlign w:val="center"/>
          </w:tcPr>
          <w:p w14:paraId="7BE95636"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0.85</w:t>
            </w:r>
          </w:p>
        </w:tc>
      </w:tr>
      <w:tr w:rsidR="00404AF1" w:rsidRPr="0009683C" w14:paraId="333C2507" w14:textId="77777777" w:rsidTr="00E91B44">
        <w:trPr>
          <w:trHeight w:val="288"/>
        </w:trPr>
        <w:tc>
          <w:tcPr>
            <w:tcW w:w="2978" w:type="dxa"/>
            <w:shd w:val="clear" w:color="auto" w:fill="FFFFFF"/>
            <w:vAlign w:val="center"/>
          </w:tcPr>
          <w:p w14:paraId="4C14A97C" w14:textId="6F5B9A1A" w:rsidR="00404AF1" w:rsidRPr="0009683C" w:rsidRDefault="00404AF1" w:rsidP="00AA7451">
            <w:pPr>
              <w:jc w:val="center"/>
              <w:rPr>
                <w:rFonts w:ascii="Arial" w:hAnsi="Arial" w:cs="Arial"/>
                <w:sz w:val="22"/>
                <w:szCs w:val="22"/>
              </w:rPr>
            </w:pPr>
            <w:r w:rsidRPr="0009683C">
              <w:rPr>
                <w:rFonts w:ascii="Arial" w:hAnsi="Arial" w:cs="Arial"/>
                <w:sz w:val="22"/>
                <w:szCs w:val="22"/>
              </w:rPr>
              <w:t>Sand A-2</w:t>
            </w:r>
          </w:p>
        </w:tc>
        <w:tc>
          <w:tcPr>
            <w:tcW w:w="3227" w:type="dxa"/>
            <w:shd w:val="clear" w:color="auto" w:fill="FFFFFF"/>
            <w:vAlign w:val="center"/>
          </w:tcPr>
          <w:p w14:paraId="4FB6CF51"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0.87</w:t>
            </w:r>
          </w:p>
        </w:tc>
      </w:tr>
      <w:tr w:rsidR="00404AF1" w:rsidRPr="0009683C" w14:paraId="65644E83" w14:textId="77777777" w:rsidTr="00E91B44">
        <w:trPr>
          <w:trHeight w:val="288"/>
        </w:trPr>
        <w:tc>
          <w:tcPr>
            <w:tcW w:w="2978" w:type="dxa"/>
            <w:shd w:val="clear" w:color="auto" w:fill="FFFFFF"/>
            <w:vAlign w:val="center"/>
          </w:tcPr>
          <w:p w14:paraId="256545C7"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Gravel</w:t>
            </w:r>
          </w:p>
        </w:tc>
        <w:tc>
          <w:tcPr>
            <w:tcW w:w="3227" w:type="dxa"/>
            <w:shd w:val="clear" w:color="auto" w:fill="FFFFFF"/>
            <w:vAlign w:val="center"/>
          </w:tcPr>
          <w:p w14:paraId="39329AAA"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0.90</w:t>
            </w:r>
          </w:p>
        </w:tc>
      </w:tr>
      <w:tr w:rsidR="00404AF1" w:rsidRPr="0009683C" w14:paraId="391667B8" w14:textId="77777777" w:rsidTr="00E91B44">
        <w:trPr>
          <w:trHeight w:val="288"/>
        </w:trPr>
        <w:tc>
          <w:tcPr>
            <w:tcW w:w="2978" w:type="dxa"/>
            <w:shd w:val="clear" w:color="auto" w:fill="FFFFFF"/>
            <w:vAlign w:val="center"/>
          </w:tcPr>
          <w:p w14:paraId="5424E0DD"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Soft Rock or Shale</w:t>
            </w:r>
          </w:p>
        </w:tc>
        <w:tc>
          <w:tcPr>
            <w:tcW w:w="3227" w:type="dxa"/>
            <w:shd w:val="clear" w:color="auto" w:fill="FFFFFF"/>
            <w:vAlign w:val="center"/>
          </w:tcPr>
          <w:p w14:paraId="25D35FFE"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1.05 to 1.15</w:t>
            </w:r>
          </w:p>
        </w:tc>
      </w:tr>
      <w:tr w:rsidR="00404AF1" w:rsidRPr="0009683C" w14:paraId="564C7691" w14:textId="77777777" w:rsidTr="00E91B44">
        <w:trPr>
          <w:trHeight w:val="288"/>
        </w:trPr>
        <w:tc>
          <w:tcPr>
            <w:tcW w:w="2978" w:type="dxa"/>
            <w:shd w:val="clear" w:color="auto" w:fill="FFFFFF"/>
            <w:vAlign w:val="center"/>
          </w:tcPr>
          <w:p w14:paraId="2B95CC85"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Hard Rock</w:t>
            </w:r>
          </w:p>
        </w:tc>
        <w:tc>
          <w:tcPr>
            <w:tcW w:w="3227" w:type="dxa"/>
            <w:shd w:val="clear" w:color="auto" w:fill="FFFFFF"/>
            <w:vAlign w:val="center"/>
          </w:tcPr>
          <w:p w14:paraId="2CD3D984"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1.10 to 1.20</w:t>
            </w:r>
          </w:p>
        </w:tc>
      </w:tr>
      <w:tr w:rsidR="00404AF1" w:rsidRPr="0009683C" w14:paraId="25E634F5" w14:textId="77777777" w:rsidTr="00E91B44">
        <w:trPr>
          <w:trHeight w:val="288"/>
        </w:trPr>
        <w:tc>
          <w:tcPr>
            <w:tcW w:w="2978" w:type="dxa"/>
            <w:shd w:val="clear" w:color="auto" w:fill="FFFFFF"/>
            <w:vAlign w:val="center"/>
          </w:tcPr>
          <w:p w14:paraId="4E6D7BCE"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A-5 W/Little Rock Shale</w:t>
            </w:r>
          </w:p>
        </w:tc>
        <w:tc>
          <w:tcPr>
            <w:tcW w:w="3227" w:type="dxa"/>
            <w:shd w:val="clear" w:color="auto" w:fill="FFFFFF"/>
            <w:vAlign w:val="center"/>
          </w:tcPr>
          <w:p w14:paraId="59337396"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0.84</w:t>
            </w:r>
          </w:p>
        </w:tc>
      </w:tr>
      <w:tr w:rsidR="00404AF1" w:rsidRPr="0009683C" w14:paraId="4408519B" w14:textId="77777777" w:rsidTr="00E91B44">
        <w:trPr>
          <w:trHeight w:val="288"/>
        </w:trPr>
        <w:tc>
          <w:tcPr>
            <w:tcW w:w="2978" w:type="dxa"/>
            <w:shd w:val="clear" w:color="auto" w:fill="FFFFFF"/>
            <w:vAlign w:val="center"/>
          </w:tcPr>
          <w:p w14:paraId="0B8A7153"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Sand Borrow Densified</w:t>
            </w:r>
          </w:p>
        </w:tc>
        <w:tc>
          <w:tcPr>
            <w:tcW w:w="3227" w:type="dxa"/>
            <w:shd w:val="clear" w:color="auto" w:fill="FFFFFF"/>
            <w:vAlign w:val="center"/>
          </w:tcPr>
          <w:p w14:paraId="592A3A38" w14:textId="77777777" w:rsidR="00404AF1" w:rsidRPr="0009683C" w:rsidRDefault="00404AF1" w:rsidP="00BE3F24">
            <w:pPr>
              <w:jc w:val="center"/>
              <w:rPr>
                <w:rFonts w:ascii="Arial" w:hAnsi="Arial" w:cs="Arial"/>
                <w:sz w:val="22"/>
                <w:szCs w:val="22"/>
              </w:rPr>
            </w:pPr>
            <w:r w:rsidRPr="0009683C">
              <w:rPr>
                <w:rFonts w:ascii="Arial" w:hAnsi="Arial" w:cs="Arial"/>
                <w:sz w:val="22"/>
                <w:szCs w:val="22"/>
              </w:rPr>
              <w:t>10% to 12%</w:t>
            </w:r>
          </w:p>
        </w:tc>
      </w:tr>
      <w:tr w:rsidR="00404AF1" w:rsidRPr="0009683C" w14:paraId="50D910B3" w14:textId="77777777" w:rsidTr="00E91B44">
        <w:trPr>
          <w:trHeight w:val="288"/>
        </w:trPr>
        <w:tc>
          <w:tcPr>
            <w:tcW w:w="6205" w:type="dxa"/>
            <w:gridSpan w:val="2"/>
            <w:shd w:val="clear" w:color="auto" w:fill="FFFFFF"/>
            <w:vAlign w:val="center"/>
          </w:tcPr>
          <w:p w14:paraId="6AA6129A" w14:textId="2833C704" w:rsidR="0088791C" w:rsidRDefault="00404AF1" w:rsidP="0088791C">
            <w:pPr>
              <w:jc w:val="center"/>
              <w:rPr>
                <w:rFonts w:ascii="Arial" w:hAnsi="Arial" w:cs="Arial"/>
                <w:sz w:val="22"/>
                <w:szCs w:val="22"/>
              </w:rPr>
            </w:pPr>
            <w:r w:rsidRPr="0009683C">
              <w:rPr>
                <w:rFonts w:ascii="Arial" w:hAnsi="Arial" w:cs="Arial"/>
                <w:sz w:val="22"/>
                <w:szCs w:val="22"/>
              </w:rPr>
              <w:t xml:space="preserve">Borrow Densified </w:t>
            </w:r>
            <w:r w:rsidRPr="0009683C">
              <w:rPr>
                <w:rFonts w:ascii="Arial" w:hAnsi="Arial" w:cs="Arial"/>
                <w:sz w:val="22"/>
                <w:szCs w:val="22"/>
                <w:u w:val="single"/>
              </w:rPr>
              <w:t>1-S.F</w:t>
            </w:r>
            <w:r w:rsidRPr="0009683C">
              <w:rPr>
                <w:rFonts w:ascii="Arial" w:hAnsi="Arial" w:cs="Arial"/>
                <w:sz w:val="22"/>
                <w:szCs w:val="22"/>
              </w:rPr>
              <w:t xml:space="preserve"> x 100 = % Borrow Densified</w:t>
            </w:r>
          </w:p>
          <w:p w14:paraId="0E2F8A4B" w14:textId="35886C6B" w:rsidR="00404AF1" w:rsidRPr="0009683C" w:rsidRDefault="0088791C" w:rsidP="0088791C">
            <w:pPr>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sidR="00404AF1" w:rsidRPr="0009683C">
              <w:rPr>
                <w:rFonts w:ascii="Arial" w:hAnsi="Arial" w:cs="Arial"/>
                <w:sz w:val="22"/>
                <w:szCs w:val="22"/>
              </w:rPr>
              <w:t xml:space="preserve">     S.F</w:t>
            </w:r>
          </w:p>
        </w:tc>
      </w:tr>
    </w:tbl>
    <w:p w14:paraId="3262785F" w14:textId="3794FEB8" w:rsidR="00404AF1" w:rsidRPr="0009683C" w:rsidRDefault="00404AF1" w:rsidP="00E91B44">
      <w:pPr>
        <w:pStyle w:val="ListNumber"/>
        <w:tabs>
          <w:tab w:val="clear" w:pos="720"/>
        </w:tabs>
        <w:spacing w:before="0"/>
        <w:ind w:left="1080" w:firstLine="0"/>
        <w:jc w:val="both"/>
        <w:rPr>
          <w:rFonts w:cs="Arial"/>
          <w:szCs w:val="22"/>
        </w:rPr>
      </w:pPr>
      <w:r w:rsidRPr="0009683C">
        <w:rPr>
          <w:rFonts w:cs="Arial"/>
          <w:noProof/>
          <w:szCs w:val="22"/>
        </w:rPr>
        <w:lastRenderedPageBreak/>
        <w:drawing>
          <wp:anchor distT="0" distB="0" distL="0" distR="0" simplePos="0" relativeHeight="251652608" behindDoc="1" locked="0" layoutInCell="1" allowOverlap="1" wp14:anchorId="6CC897CB" wp14:editId="475C7670">
            <wp:simplePos x="0" y="0"/>
            <wp:positionH relativeFrom="column">
              <wp:posOffset>381000</wp:posOffset>
            </wp:positionH>
            <wp:positionV relativeFrom="paragraph">
              <wp:posOffset>1224280</wp:posOffset>
            </wp:positionV>
            <wp:extent cx="5144770" cy="3763645"/>
            <wp:effectExtent l="19050" t="0" r="0" b="0"/>
            <wp:wrapThrough wrapText="bothSides">
              <wp:wrapPolygon edited="0">
                <wp:start x="-80" y="0"/>
                <wp:lineTo x="-80" y="21538"/>
                <wp:lineTo x="21595" y="21538"/>
                <wp:lineTo x="21595" y="0"/>
                <wp:lineTo x="-80" y="0"/>
              </wp:wrapPolygon>
            </wp:wrapThrough>
            <wp:docPr id="518" name="Picture 518" descr="Soil boring location and clas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Picture 518" descr="Soil boring location and class diagram"/>
                    <pic:cNvPicPr>
                      <a:picLocks noChangeAspect="1" noChangeArrowheads="1"/>
                    </pic:cNvPicPr>
                  </pic:nvPicPr>
                  <pic:blipFill>
                    <a:blip r:embed="rId273" cstate="print">
                      <a:biLevel thresh="50000"/>
                    </a:blip>
                    <a:srcRect/>
                    <a:stretch>
                      <a:fillRect/>
                    </a:stretch>
                  </pic:blipFill>
                  <pic:spPr bwMode="auto">
                    <a:xfrm>
                      <a:off x="0" y="0"/>
                      <a:ext cx="5144770" cy="3763645"/>
                    </a:xfrm>
                    <a:prstGeom prst="rect">
                      <a:avLst/>
                    </a:prstGeom>
                    <a:noFill/>
                  </pic:spPr>
                </pic:pic>
              </a:graphicData>
            </a:graphic>
          </wp:anchor>
        </w:drawing>
      </w:r>
      <w:r w:rsidRPr="0009683C">
        <w:rPr>
          <w:rFonts w:cs="Arial"/>
          <w:szCs w:val="22"/>
        </w:rPr>
        <w:t xml:space="preserve">The recommended procedure to compute the Shrinkage and Swell factors is to </w:t>
      </w:r>
      <w:r w:rsidR="0088791C">
        <w:rPr>
          <w:rFonts w:cs="Arial"/>
          <w:szCs w:val="22"/>
        </w:rPr>
        <w:t>p</w:t>
      </w:r>
      <w:r w:rsidRPr="0009683C">
        <w:rPr>
          <w:rFonts w:cs="Arial"/>
          <w:szCs w:val="22"/>
        </w:rPr>
        <w:t xml:space="preserve">lot the </w:t>
      </w:r>
      <w:r w:rsidR="00BB5E55">
        <w:rPr>
          <w:rFonts w:cs="Arial"/>
          <w:szCs w:val="22"/>
        </w:rPr>
        <w:t>geophysical</w:t>
      </w:r>
      <w:r w:rsidR="00C25987">
        <w:rPr>
          <w:rFonts w:cs="Arial"/>
          <w:szCs w:val="22"/>
        </w:rPr>
        <w:t>, in</w:t>
      </w:r>
      <w:r w:rsidR="001F6F64">
        <w:rPr>
          <w:rFonts w:cs="Arial"/>
          <w:szCs w:val="22"/>
        </w:rPr>
        <w:t xml:space="preserve"> </w:t>
      </w:r>
      <w:r w:rsidR="00C25987">
        <w:rPr>
          <w:rFonts w:cs="Arial"/>
          <w:szCs w:val="22"/>
        </w:rPr>
        <w:t>situ,</w:t>
      </w:r>
      <w:r w:rsidR="00BB5E55">
        <w:rPr>
          <w:rFonts w:cs="Arial"/>
          <w:szCs w:val="22"/>
        </w:rPr>
        <w:t xml:space="preserve"> and </w:t>
      </w:r>
      <w:r w:rsidRPr="0009683C">
        <w:rPr>
          <w:rFonts w:cs="Arial"/>
          <w:szCs w:val="22"/>
        </w:rPr>
        <w:t>soil boring</w:t>
      </w:r>
      <w:r w:rsidR="00BB5E55">
        <w:rPr>
          <w:rFonts w:cs="Arial"/>
          <w:szCs w:val="22"/>
        </w:rPr>
        <w:t xml:space="preserve"> data</w:t>
      </w:r>
      <w:r w:rsidRPr="0009683C">
        <w:rPr>
          <w:rFonts w:cs="Arial"/>
          <w:szCs w:val="22"/>
        </w:rPr>
        <w:t xml:space="preserve"> at their respective locations on the cross-sections and roughly draw the soil strata through the roadway template.  Estimate the amount of material, on a percentage basis, for each stratum. Repeat this procedure for each boring within the cut.  If you let each boring represent 100%, in a cut with four borings</w:t>
      </w:r>
      <w:r w:rsidR="0009683C">
        <w:rPr>
          <w:rFonts w:cs="Arial"/>
          <w:szCs w:val="22"/>
        </w:rPr>
        <w:t>,</w:t>
      </w:r>
      <w:r w:rsidRPr="0009683C">
        <w:rPr>
          <w:rFonts w:cs="Arial"/>
          <w:szCs w:val="22"/>
        </w:rPr>
        <w:t xml:space="preserve"> the total percent is 400 (4 x 100%).</w:t>
      </w:r>
    </w:p>
    <w:p w14:paraId="53D41D56" w14:textId="77777777" w:rsidR="008F474D" w:rsidRDefault="008F474D" w:rsidP="00E91B44">
      <w:pPr>
        <w:rPr>
          <w:rFonts w:ascii="Arial" w:hAnsi="Arial" w:cs="Arial"/>
          <w:sz w:val="22"/>
          <w:szCs w:val="22"/>
        </w:rPr>
      </w:pPr>
    </w:p>
    <w:p w14:paraId="0B764689" w14:textId="77777777" w:rsidR="008F474D" w:rsidRDefault="008F474D" w:rsidP="00E91B44">
      <w:pPr>
        <w:rPr>
          <w:rFonts w:ascii="Arial" w:hAnsi="Arial" w:cs="Arial"/>
          <w:sz w:val="22"/>
          <w:szCs w:val="22"/>
        </w:rPr>
      </w:pPr>
    </w:p>
    <w:p w14:paraId="537CA486" w14:textId="77777777" w:rsidR="008F474D" w:rsidRDefault="008F474D" w:rsidP="00BE3F24">
      <w:pPr>
        <w:rPr>
          <w:rFonts w:ascii="Arial" w:hAnsi="Arial" w:cs="Arial"/>
          <w:sz w:val="22"/>
          <w:szCs w:val="22"/>
        </w:rPr>
      </w:pPr>
    </w:p>
    <w:p w14:paraId="6FC08FB4" w14:textId="77777777" w:rsidR="00404AF1" w:rsidRPr="0009683C" w:rsidRDefault="00404AF1" w:rsidP="008F474D">
      <w:pPr>
        <w:ind w:left="1080"/>
        <w:rPr>
          <w:rFonts w:ascii="Arial" w:hAnsi="Arial" w:cs="Arial"/>
          <w:sz w:val="22"/>
          <w:szCs w:val="22"/>
        </w:rPr>
      </w:pPr>
      <w:r w:rsidRPr="0009683C">
        <w:rPr>
          <w:rFonts w:ascii="Arial" w:hAnsi="Arial" w:cs="Arial"/>
          <w:sz w:val="22"/>
          <w:szCs w:val="22"/>
        </w:rPr>
        <w:t>Station 1+00</w:t>
      </w:r>
      <w:r w:rsidRPr="0009683C">
        <w:rPr>
          <w:rFonts w:ascii="Arial" w:hAnsi="Arial" w:cs="Arial"/>
          <w:sz w:val="22"/>
          <w:szCs w:val="22"/>
        </w:rPr>
        <w:tab/>
        <w:t>A-4</w:t>
      </w:r>
      <w:r w:rsidRPr="0009683C">
        <w:rPr>
          <w:rFonts w:ascii="Arial" w:hAnsi="Arial" w:cs="Arial"/>
          <w:sz w:val="22"/>
          <w:szCs w:val="22"/>
        </w:rPr>
        <w:tab/>
        <w:t>A-5</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p>
    <w:p w14:paraId="4955E33A" w14:textId="77777777" w:rsidR="00404AF1" w:rsidRPr="0009683C" w:rsidRDefault="00404AF1" w:rsidP="008F474D">
      <w:pPr>
        <w:ind w:left="1080"/>
        <w:rPr>
          <w:rFonts w:ascii="Arial" w:hAnsi="Arial" w:cs="Arial"/>
          <w:sz w:val="22"/>
          <w:szCs w:val="22"/>
        </w:rPr>
      </w:pP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t>60%</w:t>
      </w:r>
      <w:r w:rsidRPr="0009683C">
        <w:rPr>
          <w:rFonts w:ascii="Arial" w:hAnsi="Arial" w:cs="Arial"/>
          <w:sz w:val="22"/>
          <w:szCs w:val="22"/>
        </w:rPr>
        <w:tab/>
        <w:t>40%</w:t>
      </w:r>
    </w:p>
    <w:p w14:paraId="506593B9" w14:textId="77777777" w:rsidR="00AA7451" w:rsidRDefault="00AA7451" w:rsidP="008F474D">
      <w:pPr>
        <w:ind w:left="1080"/>
        <w:rPr>
          <w:rFonts w:ascii="Arial" w:hAnsi="Arial" w:cs="Arial"/>
          <w:sz w:val="22"/>
          <w:szCs w:val="22"/>
        </w:rPr>
      </w:pPr>
    </w:p>
    <w:p w14:paraId="7EFB0534" w14:textId="77777777" w:rsidR="00404AF1" w:rsidRPr="0009683C" w:rsidRDefault="00404AF1" w:rsidP="008F474D">
      <w:pPr>
        <w:ind w:left="1080"/>
        <w:rPr>
          <w:rFonts w:ascii="Arial" w:hAnsi="Arial" w:cs="Arial"/>
          <w:sz w:val="22"/>
          <w:szCs w:val="22"/>
        </w:rPr>
      </w:pPr>
      <w:r w:rsidRPr="0009683C">
        <w:rPr>
          <w:rFonts w:ascii="Arial" w:hAnsi="Arial" w:cs="Arial"/>
          <w:sz w:val="22"/>
          <w:szCs w:val="22"/>
        </w:rPr>
        <w:t>Station 2+00</w:t>
      </w:r>
      <w:r w:rsidRPr="0009683C">
        <w:rPr>
          <w:rFonts w:ascii="Arial" w:hAnsi="Arial" w:cs="Arial"/>
          <w:sz w:val="22"/>
          <w:szCs w:val="22"/>
        </w:rPr>
        <w:tab/>
        <w:t>A-4</w:t>
      </w:r>
      <w:r w:rsidRPr="0009683C">
        <w:rPr>
          <w:rFonts w:ascii="Arial" w:hAnsi="Arial" w:cs="Arial"/>
          <w:sz w:val="22"/>
          <w:szCs w:val="22"/>
        </w:rPr>
        <w:tab/>
        <w:t>A-5</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p>
    <w:p w14:paraId="7F03939F" w14:textId="77777777" w:rsidR="00404AF1" w:rsidRPr="0009683C" w:rsidRDefault="00404AF1" w:rsidP="008F474D">
      <w:pPr>
        <w:ind w:left="1080"/>
        <w:rPr>
          <w:rFonts w:ascii="Arial" w:hAnsi="Arial" w:cs="Arial"/>
          <w:sz w:val="22"/>
          <w:szCs w:val="22"/>
        </w:rPr>
      </w:pP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u w:val="single"/>
        </w:rPr>
        <w:t>50%</w:t>
      </w:r>
      <w:r w:rsidRPr="0009683C">
        <w:rPr>
          <w:rFonts w:ascii="Arial" w:hAnsi="Arial" w:cs="Arial"/>
          <w:sz w:val="22"/>
          <w:szCs w:val="22"/>
        </w:rPr>
        <w:tab/>
      </w:r>
      <w:r w:rsidRPr="0009683C">
        <w:rPr>
          <w:rFonts w:ascii="Arial" w:hAnsi="Arial" w:cs="Arial"/>
          <w:sz w:val="22"/>
          <w:szCs w:val="22"/>
          <w:u w:val="single"/>
        </w:rPr>
        <w:t>50%</w:t>
      </w:r>
    </w:p>
    <w:p w14:paraId="47434527" w14:textId="77777777" w:rsidR="00404AF1" w:rsidRPr="0009683C" w:rsidRDefault="00404AF1" w:rsidP="008F474D">
      <w:pPr>
        <w:ind w:left="1080"/>
        <w:rPr>
          <w:rFonts w:ascii="Arial" w:hAnsi="Arial" w:cs="Arial"/>
          <w:sz w:val="22"/>
          <w:szCs w:val="22"/>
        </w:rPr>
      </w:pPr>
      <w:r w:rsidRPr="0009683C">
        <w:rPr>
          <w:rFonts w:ascii="Arial" w:hAnsi="Arial" w:cs="Arial"/>
          <w:sz w:val="22"/>
          <w:szCs w:val="22"/>
        </w:rPr>
        <w:t>Total</w:t>
      </w:r>
      <w:r w:rsidRPr="0009683C">
        <w:rPr>
          <w:rFonts w:ascii="Arial" w:hAnsi="Arial" w:cs="Arial"/>
          <w:sz w:val="22"/>
          <w:szCs w:val="22"/>
        </w:rPr>
        <w:tab/>
        <w:t xml:space="preserve">  </w:t>
      </w:r>
      <w:r w:rsidRPr="0009683C">
        <w:rPr>
          <w:rFonts w:ascii="Arial" w:hAnsi="Arial" w:cs="Arial"/>
          <w:sz w:val="22"/>
          <w:szCs w:val="22"/>
        </w:rPr>
        <w:tab/>
        <w:t>110%</w:t>
      </w:r>
      <w:r w:rsidRPr="0009683C">
        <w:rPr>
          <w:rFonts w:ascii="Arial" w:hAnsi="Arial" w:cs="Arial"/>
          <w:sz w:val="22"/>
          <w:szCs w:val="22"/>
        </w:rPr>
        <w:tab/>
        <w:t>90%</w:t>
      </w:r>
      <w:r w:rsidRPr="0009683C">
        <w:rPr>
          <w:rFonts w:ascii="Arial" w:hAnsi="Arial" w:cs="Arial"/>
          <w:sz w:val="22"/>
          <w:szCs w:val="22"/>
        </w:rPr>
        <w:tab/>
        <w:t>=</w:t>
      </w:r>
      <w:r w:rsidRPr="0009683C">
        <w:rPr>
          <w:rFonts w:ascii="Arial" w:hAnsi="Arial" w:cs="Arial"/>
          <w:sz w:val="22"/>
          <w:szCs w:val="22"/>
        </w:rPr>
        <w:tab/>
        <w:t>200%</w:t>
      </w:r>
      <w:r w:rsidRPr="0009683C">
        <w:rPr>
          <w:rFonts w:ascii="Arial" w:hAnsi="Arial" w:cs="Arial"/>
          <w:sz w:val="22"/>
          <w:szCs w:val="22"/>
        </w:rPr>
        <w:tab/>
      </w:r>
      <w:r w:rsidRPr="0009683C">
        <w:rPr>
          <w:rFonts w:ascii="Arial" w:hAnsi="Arial" w:cs="Arial"/>
          <w:sz w:val="22"/>
          <w:szCs w:val="22"/>
        </w:rPr>
        <w:tab/>
      </w:r>
    </w:p>
    <w:p w14:paraId="0083211E" w14:textId="69FCB381" w:rsidR="00AA7451" w:rsidRDefault="00AA7451" w:rsidP="00AA7451">
      <w:pPr>
        <w:ind w:left="1080"/>
        <w:jc w:val="both"/>
        <w:rPr>
          <w:rFonts w:ascii="Arial" w:hAnsi="Arial" w:cs="Arial"/>
          <w:sz w:val="22"/>
          <w:szCs w:val="22"/>
        </w:rPr>
      </w:pPr>
    </w:p>
    <w:p w14:paraId="7AC0D5E3" w14:textId="7239E33F"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The percent</w:t>
      </w:r>
      <w:r w:rsidR="00AA7451">
        <w:rPr>
          <w:rFonts w:ascii="Arial" w:hAnsi="Arial" w:cs="Arial"/>
          <w:sz w:val="22"/>
          <w:szCs w:val="22"/>
        </w:rPr>
        <w:t>age</w:t>
      </w:r>
      <w:r w:rsidRPr="0009683C">
        <w:rPr>
          <w:rFonts w:ascii="Arial" w:hAnsi="Arial" w:cs="Arial"/>
          <w:sz w:val="22"/>
          <w:szCs w:val="22"/>
        </w:rPr>
        <w:t xml:space="preserve"> of each soil type should be divided by the total percent</w:t>
      </w:r>
      <w:r w:rsidR="00AA7451">
        <w:rPr>
          <w:rFonts w:ascii="Arial" w:hAnsi="Arial" w:cs="Arial"/>
          <w:sz w:val="22"/>
          <w:szCs w:val="22"/>
        </w:rPr>
        <w:t>age</w:t>
      </w:r>
      <w:r w:rsidRPr="0009683C">
        <w:rPr>
          <w:rFonts w:ascii="Arial" w:hAnsi="Arial" w:cs="Arial"/>
          <w:sz w:val="22"/>
          <w:szCs w:val="22"/>
        </w:rPr>
        <w:t xml:space="preserve"> of soil borings; all of the resulting percentages must equal 100%</w:t>
      </w:r>
      <w:r w:rsidR="00AA7451">
        <w:rPr>
          <w:rFonts w:ascii="Arial" w:hAnsi="Arial" w:cs="Arial"/>
          <w:sz w:val="22"/>
          <w:szCs w:val="22"/>
        </w:rPr>
        <w:t>:</w:t>
      </w:r>
    </w:p>
    <w:p w14:paraId="419E22C1" w14:textId="77777777" w:rsidR="00AA7451" w:rsidRDefault="00AA7451" w:rsidP="00AA7451">
      <w:pPr>
        <w:ind w:left="1080"/>
        <w:jc w:val="both"/>
        <w:rPr>
          <w:rFonts w:ascii="Arial" w:hAnsi="Arial" w:cs="Arial"/>
          <w:sz w:val="22"/>
          <w:szCs w:val="22"/>
        </w:rPr>
      </w:pPr>
    </w:p>
    <w:p w14:paraId="52DA54CF"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A-4 = 110%</w:t>
      </w:r>
      <w:r w:rsidRPr="0009683C">
        <w:rPr>
          <w:rFonts w:ascii="Arial" w:hAnsi="Arial" w:cs="Arial"/>
          <w:sz w:val="22"/>
          <w:szCs w:val="22"/>
        </w:rPr>
        <w:tab/>
        <w:t>110 / 200 = 55% (A-4)</w:t>
      </w:r>
    </w:p>
    <w:p w14:paraId="1CF4600B" w14:textId="63E10895"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A-5 = 90%</w:t>
      </w:r>
      <w:r w:rsidRPr="0009683C">
        <w:rPr>
          <w:rFonts w:ascii="Arial" w:hAnsi="Arial" w:cs="Arial"/>
          <w:sz w:val="22"/>
          <w:szCs w:val="22"/>
        </w:rPr>
        <w:tab/>
      </w:r>
      <w:r w:rsidRPr="0009683C">
        <w:rPr>
          <w:rFonts w:ascii="Arial" w:hAnsi="Arial" w:cs="Arial"/>
          <w:sz w:val="22"/>
          <w:szCs w:val="22"/>
        </w:rPr>
        <w:tab/>
        <w:t xml:space="preserve"> </w:t>
      </w:r>
      <w:r w:rsidR="00AA7451">
        <w:rPr>
          <w:rFonts w:ascii="Arial" w:hAnsi="Arial" w:cs="Arial"/>
          <w:sz w:val="22"/>
          <w:szCs w:val="22"/>
        </w:rPr>
        <w:t xml:space="preserve"> </w:t>
      </w:r>
      <w:r w:rsidRPr="0009683C">
        <w:rPr>
          <w:rFonts w:ascii="Arial" w:hAnsi="Arial" w:cs="Arial"/>
          <w:sz w:val="22"/>
          <w:szCs w:val="22"/>
        </w:rPr>
        <w:t xml:space="preserve">90 / 200 = </w:t>
      </w:r>
      <w:r w:rsidRPr="0009683C">
        <w:rPr>
          <w:rFonts w:ascii="Arial" w:hAnsi="Arial" w:cs="Arial"/>
          <w:sz w:val="22"/>
          <w:szCs w:val="22"/>
          <w:u w:val="single"/>
        </w:rPr>
        <w:t>45%</w:t>
      </w:r>
      <w:r w:rsidRPr="0009683C">
        <w:rPr>
          <w:rFonts w:ascii="Arial" w:hAnsi="Arial" w:cs="Arial"/>
          <w:sz w:val="22"/>
          <w:szCs w:val="22"/>
        </w:rPr>
        <w:t xml:space="preserve"> (A-5)</w:t>
      </w:r>
    </w:p>
    <w:p w14:paraId="66154D7A"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       </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t xml:space="preserve">      100%</w:t>
      </w:r>
    </w:p>
    <w:p w14:paraId="18A46BDF" w14:textId="31CFD9A1" w:rsidR="00AA7451" w:rsidRDefault="00AA7451" w:rsidP="00AA7451">
      <w:pPr>
        <w:ind w:left="1080"/>
        <w:jc w:val="both"/>
        <w:rPr>
          <w:rFonts w:ascii="Arial" w:hAnsi="Arial" w:cs="Arial"/>
          <w:sz w:val="22"/>
          <w:szCs w:val="22"/>
        </w:rPr>
      </w:pPr>
    </w:p>
    <w:p w14:paraId="5A4A2619" w14:textId="4B1316F1"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Based on in-place density results</w:t>
      </w:r>
      <w:r w:rsidR="00AA7451">
        <w:rPr>
          <w:rFonts w:ascii="Arial" w:hAnsi="Arial" w:cs="Arial"/>
          <w:sz w:val="22"/>
          <w:szCs w:val="22"/>
        </w:rPr>
        <w:t>,</w:t>
      </w:r>
      <w:r w:rsidRPr="0009683C">
        <w:rPr>
          <w:rFonts w:ascii="Arial" w:hAnsi="Arial" w:cs="Arial"/>
          <w:sz w:val="22"/>
          <w:szCs w:val="22"/>
        </w:rPr>
        <w:t xml:space="preserve"> each type of soil is given a shrinkage factor for each project.</w:t>
      </w:r>
    </w:p>
    <w:p w14:paraId="55112F9A" w14:textId="77777777" w:rsidR="00E63965" w:rsidRDefault="00E63965" w:rsidP="00AA7451">
      <w:pPr>
        <w:ind w:left="1080"/>
        <w:jc w:val="both"/>
        <w:rPr>
          <w:rFonts w:ascii="Arial" w:hAnsi="Arial" w:cs="Arial"/>
          <w:sz w:val="22"/>
          <w:szCs w:val="22"/>
        </w:rPr>
      </w:pPr>
    </w:p>
    <w:p w14:paraId="69A472AF"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A-4 </w:t>
      </w:r>
      <w:r w:rsidRPr="0009683C">
        <w:rPr>
          <w:rFonts w:ascii="Arial" w:hAnsi="Arial" w:cs="Arial"/>
          <w:sz w:val="22"/>
          <w:szCs w:val="22"/>
        </w:rPr>
        <w:tab/>
        <w:t>0.87</w:t>
      </w:r>
    </w:p>
    <w:p w14:paraId="64D0891A"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A-5 </w:t>
      </w:r>
      <w:r w:rsidRPr="0009683C">
        <w:rPr>
          <w:rFonts w:ascii="Arial" w:hAnsi="Arial" w:cs="Arial"/>
          <w:sz w:val="22"/>
          <w:szCs w:val="22"/>
        </w:rPr>
        <w:tab/>
        <w:t>0.80</w:t>
      </w:r>
    </w:p>
    <w:p w14:paraId="2F288902" w14:textId="7B8818B2" w:rsidR="00404AF1" w:rsidRDefault="00404AF1" w:rsidP="00E63965">
      <w:pPr>
        <w:ind w:left="1080"/>
        <w:jc w:val="both"/>
        <w:rPr>
          <w:rFonts w:ascii="Arial" w:hAnsi="Arial" w:cs="Arial"/>
          <w:sz w:val="22"/>
          <w:szCs w:val="22"/>
        </w:rPr>
      </w:pPr>
      <w:r w:rsidRPr="0009683C">
        <w:rPr>
          <w:rFonts w:ascii="Arial" w:hAnsi="Arial" w:cs="Arial"/>
          <w:sz w:val="22"/>
          <w:szCs w:val="22"/>
        </w:rPr>
        <w:lastRenderedPageBreak/>
        <w:t>Apply these key shrinkage factors to the percent</w:t>
      </w:r>
      <w:r w:rsidR="00E63965">
        <w:rPr>
          <w:rFonts w:ascii="Arial" w:hAnsi="Arial" w:cs="Arial"/>
          <w:sz w:val="22"/>
          <w:szCs w:val="22"/>
        </w:rPr>
        <w:t>age</w:t>
      </w:r>
      <w:r w:rsidRPr="0009683C">
        <w:rPr>
          <w:rFonts w:ascii="Arial" w:hAnsi="Arial" w:cs="Arial"/>
          <w:sz w:val="22"/>
          <w:szCs w:val="22"/>
        </w:rPr>
        <w:t xml:space="preserve"> of each soil per cut</w:t>
      </w:r>
      <w:r w:rsidR="0088791C">
        <w:rPr>
          <w:rFonts w:ascii="Arial" w:hAnsi="Arial" w:cs="Arial"/>
          <w:sz w:val="22"/>
          <w:szCs w:val="22"/>
        </w:rPr>
        <w:t>;</w:t>
      </w:r>
      <w:r w:rsidRPr="0009683C">
        <w:rPr>
          <w:rFonts w:ascii="Arial" w:hAnsi="Arial" w:cs="Arial"/>
          <w:sz w:val="22"/>
          <w:szCs w:val="22"/>
        </w:rPr>
        <w:t xml:space="preserve"> you can then obtain an overall shrinkage factor for the cut.</w:t>
      </w:r>
    </w:p>
    <w:p w14:paraId="569FBBD0" w14:textId="77777777" w:rsidR="00E63965" w:rsidRPr="0009683C" w:rsidRDefault="00E63965" w:rsidP="00E91B44">
      <w:pPr>
        <w:ind w:left="1080"/>
        <w:jc w:val="both"/>
        <w:rPr>
          <w:rFonts w:ascii="Arial" w:hAnsi="Arial" w:cs="Arial"/>
          <w:sz w:val="22"/>
          <w:szCs w:val="22"/>
        </w:rPr>
      </w:pPr>
    </w:p>
    <w:p w14:paraId="411CCE0B"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ab/>
        <w:t>% A-4 (S.F) + % A-5 (S.F) = Shrinkage Factor per cut</w:t>
      </w:r>
    </w:p>
    <w:p w14:paraId="09195E4E"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ab/>
        <w:t>0.55 (0.87) + 0.45 (0.80) = 0.4785 + 0.3600 = 0.8385 = 0.84</w:t>
      </w:r>
    </w:p>
    <w:p w14:paraId="799E5616" w14:textId="2F284CAA" w:rsidR="00E63965" w:rsidRDefault="00E63965" w:rsidP="00E63965">
      <w:pPr>
        <w:ind w:left="1080"/>
        <w:jc w:val="both"/>
        <w:rPr>
          <w:rFonts w:ascii="Arial" w:hAnsi="Arial" w:cs="Arial"/>
          <w:sz w:val="22"/>
          <w:szCs w:val="22"/>
        </w:rPr>
      </w:pPr>
    </w:p>
    <w:p w14:paraId="2D4395CD" w14:textId="3811F418"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The shrinkage factor of 0.84 may be applied to a particular cut.  If you estimate other cuts also have shrinkage factors of 0.84</w:t>
      </w:r>
      <w:r w:rsidR="00E63965">
        <w:rPr>
          <w:rFonts w:ascii="Arial" w:hAnsi="Arial" w:cs="Arial"/>
          <w:sz w:val="22"/>
          <w:szCs w:val="22"/>
        </w:rPr>
        <w:t>,</w:t>
      </w:r>
      <w:r w:rsidRPr="0009683C">
        <w:rPr>
          <w:rFonts w:ascii="Arial" w:hAnsi="Arial" w:cs="Arial"/>
          <w:sz w:val="22"/>
          <w:szCs w:val="22"/>
        </w:rPr>
        <w:t xml:space="preserve"> then these may be combined (a)</w:t>
      </w:r>
      <w:r w:rsidR="00E63965">
        <w:rPr>
          <w:rFonts w:ascii="Arial" w:hAnsi="Arial" w:cs="Arial"/>
          <w:sz w:val="22"/>
          <w:szCs w:val="22"/>
        </w:rPr>
        <w:t>,</w:t>
      </w:r>
      <w:r w:rsidRPr="0009683C">
        <w:rPr>
          <w:rFonts w:ascii="Arial" w:hAnsi="Arial" w:cs="Arial"/>
          <w:sz w:val="22"/>
          <w:szCs w:val="22"/>
        </w:rPr>
        <w:t xml:space="preserve"> or two cuts of approximately the same volume may be “averaged” (b).</w:t>
      </w:r>
    </w:p>
    <w:p w14:paraId="4D3C9766" w14:textId="77777777" w:rsidR="00E63965" w:rsidRDefault="00E63965" w:rsidP="00E63965">
      <w:pPr>
        <w:ind w:left="1080"/>
        <w:jc w:val="both"/>
        <w:rPr>
          <w:rFonts w:ascii="Arial" w:hAnsi="Arial" w:cs="Arial"/>
          <w:sz w:val="22"/>
          <w:szCs w:val="22"/>
        </w:rPr>
      </w:pPr>
    </w:p>
    <w:p w14:paraId="14D6AD8C" w14:textId="77777777" w:rsidR="00404AF1" w:rsidRDefault="00404AF1" w:rsidP="00E91B44">
      <w:pPr>
        <w:ind w:left="1080"/>
        <w:jc w:val="both"/>
        <w:rPr>
          <w:rFonts w:ascii="Arial" w:hAnsi="Arial" w:cs="Arial"/>
          <w:sz w:val="22"/>
          <w:szCs w:val="22"/>
        </w:rPr>
      </w:pPr>
      <w:r w:rsidRPr="0009683C">
        <w:rPr>
          <w:rFonts w:ascii="Arial" w:hAnsi="Arial" w:cs="Arial"/>
          <w:sz w:val="22"/>
          <w:szCs w:val="22"/>
        </w:rPr>
        <w:t>(a)</w:t>
      </w:r>
    </w:p>
    <w:p w14:paraId="32F11681" w14:textId="77777777" w:rsidR="00BC70BB" w:rsidRPr="0009683C" w:rsidRDefault="00BC70BB" w:rsidP="00E63965">
      <w:pPr>
        <w:ind w:left="1080"/>
        <w:jc w:val="both"/>
        <w:rPr>
          <w:rFonts w:ascii="Arial" w:hAnsi="Arial" w:cs="Arial"/>
          <w:sz w:val="22"/>
          <w:szCs w:val="22"/>
        </w:rPr>
      </w:pPr>
    </w:p>
    <w:p w14:paraId="0ACC7FB2"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Station 10 to 18 </w:t>
      </w:r>
      <w:r w:rsidRPr="0009683C">
        <w:rPr>
          <w:rFonts w:ascii="Arial" w:hAnsi="Arial" w:cs="Arial"/>
          <w:sz w:val="22"/>
          <w:szCs w:val="22"/>
        </w:rPr>
        <w:tab/>
      </w:r>
      <w:r w:rsidRPr="0009683C">
        <w:rPr>
          <w:rFonts w:ascii="Arial" w:hAnsi="Arial" w:cs="Arial"/>
          <w:sz w:val="22"/>
          <w:szCs w:val="22"/>
        </w:rPr>
        <w:tab/>
        <w:t>0.84</w:t>
      </w:r>
    </w:p>
    <w:p w14:paraId="624B8D1A"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Station 20 to 27 </w:t>
      </w:r>
      <w:r w:rsidRPr="0009683C">
        <w:rPr>
          <w:rFonts w:ascii="Arial" w:hAnsi="Arial" w:cs="Arial"/>
          <w:sz w:val="22"/>
          <w:szCs w:val="22"/>
        </w:rPr>
        <w:tab/>
      </w:r>
      <w:r w:rsidRPr="0009683C">
        <w:rPr>
          <w:rFonts w:ascii="Arial" w:hAnsi="Arial" w:cs="Arial"/>
          <w:sz w:val="22"/>
          <w:szCs w:val="22"/>
        </w:rPr>
        <w:tab/>
        <w:t>1.10</w:t>
      </w:r>
    </w:p>
    <w:p w14:paraId="07711C8E"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Station 27 to 30 </w:t>
      </w:r>
      <w:r w:rsidRPr="0009683C">
        <w:rPr>
          <w:rFonts w:ascii="Arial" w:hAnsi="Arial" w:cs="Arial"/>
          <w:sz w:val="22"/>
          <w:szCs w:val="22"/>
        </w:rPr>
        <w:tab/>
      </w:r>
      <w:r w:rsidRPr="0009683C">
        <w:rPr>
          <w:rFonts w:ascii="Arial" w:hAnsi="Arial" w:cs="Arial"/>
          <w:sz w:val="22"/>
          <w:szCs w:val="22"/>
        </w:rPr>
        <w:tab/>
        <w:t>0.84</w:t>
      </w:r>
    </w:p>
    <w:p w14:paraId="7B6D35FA" w14:textId="77777777" w:rsidR="00BC70BB" w:rsidRDefault="00404AF1" w:rsidP="00E63965">
      <w:pPr>
        <w:ind w:left="1080"/>
        <w:jc w:val="both"/>
        <w:rPr>
          <w:rFonts w:ascii="Arial" w:hAnsi="Arial" w:cs="Arial"/>
          <w:sz w:val="22"/>
          <w:szCs w:val="22"/>
        </w:rPr>
      </w:pPr>
      <w:r w:rsidRPr="0009683C">
        <w:rPr>
          <w:rFonts w:ascii="Arial" w:hAnsi="Arial" w:cs="Arial"/>
          <w:sz w:val="22"/>
          <w:szCs w:val="22"/>
        </w:rPr>
        <w:t xml:space="preserve">Station 35 to 43 </w:t>
      </w:r>
      <w:r w:rsidRPr="0009683C">
        <w:rPr>
          <w:rFonts w:ascii="Arial" w:hAnsi="Arial" w:cs="Arial"/>
          <w:sz w:val="22"/>
          <w:szCs w:val="22"/>
        </w:rPr>
        <w:tab/>
      </w:r>
      <w:r w:rsidRPr="0009683C">
        <w:rPr>
          <w:rFonts w:ascii="Arial" w:hAnsi="Arial" w:cs="Arial"/>
          <w:sz w:val="22"/>
          <w:szCs w:val="22"/>
        </w:rPr>
        <w:tab/>
        <w:t>0.84</w:t>
      </w:r>
      <w:r w:rsidRPr="0009683C">
        <w:rPr>
          <w:rFonts w:ascii="Arial" w:hAnsi="Arial" w:cs="Arial"/>
          <w:sz w:val="22"/>
          <w:szCs w:val="22"/>
        </w:rPr>
        <w:br/>
      </w:r>
    </w:p>
    <w:p w14:paraId="19611B9A" w14:textId="27BCBA7F"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Therefore</w:t>
      </w:r>
      <w:r w:rsidR="00E63965">
        <w:rPr>
          <w:rFonts w:ascii="Arial" w:hAnsi="Arial" w:cs="Arial"/>
          <w:sz w:val="22"/>
          <w:szCs w:val="22"/>
        </w:rPr>
        <w:t>,</w:t>
      </w:r>
      <w:r w:rsidRPr="0009683C">
        <w:rPr>
          <w:rFonts w:ascii="Arial" w:hAnsi="Arial" w:cs="Arial"/>
          <w:sz w:val="22"/>
          <w:szCs w:val="22"/>
        </w:rPr>
        <w:t xml:space="preserve"> use a shrinkage factor of 0.84 for all cuts on the project except for Stations 20 to 27, where the factor of 1.10 is applicable.</w:t>
      </w:r>
    </w:p>
    <w:p w14:paraId="2888F86D" w14:textId="77777777" w:rsidR="00E63965" w:rsidRDefault="00E63965" w:rsidP="00E63965">
      <w:pPr>
        <w:ind w:left="1080"/>
        <w:jc w:val="both"/>
        <w:rPr>
          <w:rFonts w:ascii="Arial" w:hAnsi="Arial" w:cs="Arial"/>
          <w:sz w:val="22"/>
          <w:szCs w:val="22"/>
        </w:rPr>
      </w:pPr>
    </w:p>
    <w:p w14:paraId="3D6C9646" w14:textId="77777777" w:rsidR="00404AF1" w:rsidRDefault="00404AF1" w:rsidP="00E91B44">
      <w:pPr>
        <w:ind w:left="1080"/>
        <w:jc w:val="both"/>
        <w:rPr>
          <w:rFonts w:ascii="Arial" w:hAnsi="Arial" w:cs="Arial"/>
          <w:sz w:val="22"/>
          <w:szCs w:val="22"/>
        </w:rPr>
      </w:pPr>
      <w:r w:rsidRPr="0009683C">
        <w:rPr>
          <w:rFonts w:ascii="Arial" w:hAnsi="Arial" w:cs="Arial"/>
          <w:sz w:val="22"/>
          <w:szCs w:val="22"/>
        </w:rPr>
        <w:t>(b)</w:t>
      </w:r>
    </w:p>
    <w:p w14:paraId="65F92D3A" w14:textId="77777777" w:rsidR="00BC70BB" w:rsidRPr="0009683C" w:rsidRDefault="00BC70BB" w:rsidP="00E63965">
      <w:pPr>
        <w:ind w:left="1080"/>
        <w:jc w:val="both"/>
        <w:rPr>
          <w:rFonts w:ascii="Arial" w:hAnsi="Arial" w:cs="Arial"/>
          <w:sz w:val="22"/>
          <w:szCs w:val="22"/>
        </w:rPr>
      </w:pPr>
    </w:p>
    <w:p w14:paraId="09CDBF2B"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Station 100 to 120 </w:t>
      </w:r>
      <w:r w:rsidRPr="0009683C">
        <w:rPr>
          <w:rFonts w:ascii="Arial" w:hAnsi="Arial" w:cs="Arial"/>
          <w:sz w:val="22"/>
          <w:szCs w:val="22"/>
        </w:rPr>
        <w:tab/>
        <w:t>0.84</w:t>
      </w:r>
    </w:p>
    <w:p w14:paraId="352B8FE4"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Station 140 to 160 </w:t>
      </w:r>
      <w:r w:rsidRPr="0009683C">
        <w:rPr>
          <w:rFonts w:ascii="Arial" w:hAnsi="Arial" w:cs="Arial"/>
          <w:sz w:val="22"/>
          <w:szCs w:val="22"/>
        </w:rPr>
        <w:tab/>
        <w:t>0.86</w:t>
      </w:r>
      <w:r w:rsidRPr="0009683C">
        <w:rPr>
          <w:rFonts w:ascii="Arial" w:hAnsi="Arial" w:cs="Arial"/>
          <w:sz w:val="22"/>
          <w:szCs w:val="22"/>
        </w:rPr>
        <w:tab/>
        <w:t>0.86</w:t>
      </w:r>
    </w:p>
    <w:p w14:paraId="633BEB4D" w14:textId="77777777"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 xml:space="preserve">Station 165 to 185 </w:t>
      </w:r>
      <w:r w:rsidRPr="0009683C">
        <w:rPr>
          <w:rFonts w:ascii="Arial" w:hAnsi="Arial" w:cs="Arial"/>
          <w:sz w:val="22"/>
          <w:szCs w:val="22"/>
        </w:rPr>
        <w:tab/>
        <w:t>0.88</w:t>
      </w:r>
    </w:p>
    <w:p w14:paraId="14AAE704" w14:textId="77777777" w:rsidR="00BC70BB" w:rsidRDefault="00BC70BB" w:rsidP="00E63965">
      <w:pPr>
        <w:ind w:left="1080"/>
        <w:jc w:val="both"/>
        <w:rPr>
          <w:rFonts w:ascii="Arial" w:hAnsi="Arial" w:cs="Arial"/>
          <w:sz w:val="22"/>
          <w:szCs w:val="22"/>
        </w:rPr>
      </w:pPr>
    </w:p>
    <w:p w14:paraId="0CBEE223" w14:textId="23CE0A7F" w:rsidR="00404AF1" w:rsidRPr="0009683C" w:rsidRDefault="00404AF1" w:rsidP="00E91B44">
      <w:pPr>
        <w:ind w:left="1080"/>
        <w:jc w:val="both"/>
        <w:rPr>
          <w:rFonts w:ascii="Arial" w:hAnsi="Arial" w:cs="Arial"/>
          <w:sz w:val="22"/>
          <w:szCs w:val="22"/>
        </w:rPr>
      </w:pPr>
      <w:r w:rsidRPr="0009683C">
        <w:rPr>
          <w:rFonts w:ascii="Arial" w:hAnsi="Arial" w:cs="Arial"/>
          <w:sz w:val="22"/>
          <w:szCs w:val="22"/>
        </w:rPr>
        <w:t>A shrinkage factor of 0.86 should be applied to all cut</w:t>
      </w:r>
      <w:r w:rsidR="00BC70BB">
        <w:rPr>
          <w:rFonts w:ascii="Arial" w:hAnsi="Arial" w:cs="Arial"/>
          <w:sz w:val="22"/>
          <w:szCs w:val="22"/>
        </w:rPr>
        <w:t>s</w:t>
      </w:r>
      <w:r w:rsidRPr="0009683C">
        <w:rPr>
          <w:rFonts w:ascii="Arial" w:hAnsi="Arial" w:cs="Arial"/>
          <w:sz w:val="22"/>
          <w:szCs w:val="22"/>
        </w:rPr>
        <w:t xml:space="preserve"> on this project.</w:t>
      </w:r>
    </w:p>
    <w:p w14:paraId="11F6012E" w14:textId="77777777" w:rsidR="00404AF1" w:rsidRPr="0009683C" w:rsidRDefault="00404AF1" w:rsidP="00E91B44">
      <w:pPr>
        <w:pStyle w:val="ListNumber"/>
        <w:numPr>
          <w:ilvl w:val="12"/>
          <w:numId w:val="0"/>
        </w:numPr>
        <w:tabs>
          <w:tab w:val="clear" w:pos="1872"/>
          <w:tab w:val="num" w:pos="1080"/>
        </w:tabs>
        <w:spacing w:before="0"/>
        <w:ind w:left="1080"/>
        <w:jc w:val="both"/>
        <w:rPr>
          <w:rFonts w:cs="Arial"/>
          <w:szCs w:val="22"/>
        </w:rPr>
      </w:pPr>
    </w:p>
    <w:p w14:paraId="7E6B1DF9" w14:textId="32757272" w:rsidR="00BC70BB" w:rsidRDefault="00404AF1" w:rsidP="00E63965">
      <w:pPr>
        <w:ind w:left="1080"/>
        <w:jc w:val="both"/>
        <w:rPr>
          <w:rFonts w:ascii="Arial" w:hAnsi="Arial" w:cs="Arial"/>
          <w:sz w:val="22"/>
          <w:szCs w:val="22"/>
        </w:rPr>
      </w:pPr>
      <w:r w:rsidRPr="0009683C">
        <w:rPr>
          <w:rFonts w:ascii="Arial" w:hAnsi="Arial" w:cs="Arial"/>
          <w:sz w:val="22"/>
          <w:szCs w:val="22"/>
        </w:rPr>
        <w:t xml:space="preserve">A second recommended procedure: </w:t>
      </w:r>
    </w:p>
    <w:p w14:paraId="1C8FE6E8" w14:textId="77777777" w:rsidR="00BC70BB" w:rsidRDefault="00BC70BB" w:rsidP="00E63965">
      <w:pPr>
        <w:ind w:left="1080"/>
        <w:jc w:val="both"/>
        <w:rPr>
          <w:rFonts w:ascii="Arial" w:hAnsi="Arial" w:cs="Arial"/>
          <w:sz w:val="22"/>
          <w:szCs w:val="22"/>
        </w:rPr>
      </w:pPr>
    </w:p>
    <w:p w14:paraId="11D9EFC5" w14:textId="2026294F" w:rsidR="00BC70BB" w:rsidRDefault="00404AF1" w:rsidP="00E91B44">
      <w:pPr>
        <w:ind w:left="1080"/>
        <w:jc w:val="both"/>
        <w:rPr>
          <w:rFonts w:ascii="Arial" w:hAnsi="Arial" w:cs="Arial"/>
          <w:sz w:val="22"/>
          <w:szCs w:val="22"/>
        </w:rPr>
      </w:pPr>
      <w:r w:rsidRPr="0009683C">
        <w:rPr>
          <w:rFonts w:ascii="Arial" w:hAnsi="Arial" w:cs="Arial"/>
          <w:sz w:val="22"/>
          <w:szCs w:val="22"/>
        </w:rPr>
        <w:t xml:space="preserve">A more simplified method is to assign key shrinkage factors to each soil type based on in-place densities and apply these factors to the profiles. </w:t>
      </w:r>
    </w:p>
    <w:p w14:paraId="56F285D9" w14:textId="45510ECC" w:rsidR="00BC70BB" w:rsidRDefault="00BC70BB" w:rsidP="00E63965">
      <w:pPr>
        <w:ind w:left="1080"/>
        <w:jc w:val="both"/>
        <w:rPr>
          <w:rFonts w:ascii="Arial" w:hAnsi="Arial" w:cs="Arial"/>
          <w:sz w:val="22"/>
          <w:szCs w:val="22"/>
        </w:rPr>
      </w:pPr>
    </w:p>
    <w:p w14:paraId="61B6FDEB" w14:textId="51B190A2" w:rsidR="00BC70BB" w:rsidRDefault="00404AF1" w:rsidP="00E63965">
      <w:pPr>
        <w:ind w:left="1080"/>
        <w:jc w:val="both"/>
        <w:rPr>
          <w:rFonts w:ascii="Arial" w:hAnsi="Arial" w:cs="Arial"/>
          <w:sz w:val="22"/>
          <w:szCs w:val="22"/>
        </w:rPr>
      </w:pPr>
      <w:r w:rsidRPr="0009683C">
        <w:rPr>
          <w:rFonts w:ascii="Arial" w:hAnsi="Arial" w:cs="Arial"/>
          <w:sz w:val="22"/>
          <w:szCs w:val="22"/>
        </w:rPr>
        <w:t>Silt w/Rock Frag. (Hor. Lines)</w:t>
      </w:r>
      <w:r w:rsidRPr="0009683C">
        <w:rPr>
          <w:rFonts w:ascii="Arial" w:hAnsi="Arial" w:cs="Arial"/>
          <w:sz w:val="22"/>
          <w:szCs w:val="22"/>
        </w:rPr>
        <w:tab/>
      </w:r>
      <w:r w:rsidRPr="0009683C">
        <w:rPr>
          <w:rFonts w:ascii="Arial" w:hAnsi="Arial" w:cs="Arial"/>
          <w:sz w:val="22"/>
          <w:szCs w:val="22"/>
        </w:rPr>
        <w:tab/>
        <w:t>S.F   = 0.89</w:t>
      </w:r>
    </w:p>
    <w:p w14:paraId="2597F87C" w14:textId="24067F9A" w:rsidR="00404AF1" w:rsidRPr="0009683C" w:rsidRDefault="00404AF1" w:rsidP="00E63965">
      <w:pPr>
        <w:ind w:left="1080"/>
        <w:jc w:val="both"/>
        <w:rPr>
          <w:rFonts w:ascii="Arial" w:hAnsi="Arial" w:cs="Arial"/>
          <w:sz w:val="22"/>
          <w:szCs w:val="22"/>
        </w:rPr>
      </w:pPr>
      <w:r w:rsidRPr="0009683C">
        <w:rPr>
          <w:rFonts w:ascii="Arial" w:hAnsi="Arial" w:cs="Arial"/>
          <w:sz w:val="22"/>
          <w:szCs w:val="22"/>
        </w:rPr>
        <w:t>Soil w/o Frag. (No Shade)</w:t>
      </w:r>
      <w:r w:rsidRPr="0009683C">
        <w:rPr>
          <w:rFonts w:ascii="Arial" w:hAnsi="Arial" w:cs="Arial"/>
          <w:sz w:val="22"/>
          <w:szCs w:val="22"/>
        </w:rPr>
        <w:tab/>
      </w:r>
      <w:r w:rsidRPr="0009683C">
        <w:rPr>
          <w:rFonts w:ascii="Arial" w:hAnsi="Arial" w:cs="Arial"/>
          <w:sz w:val="22"/>
          <w:szCs w:val="22"/>
        </w:rPr>
        <w:tab/>
        <w:t>S.F   = 0.85</w:t>
      </w:r>
    </w:p>
    <w:p w14:paraId="52247E6B" w14:textId="730B8CEB" w:rsidR="00404AF1" w:rsidRPr="0009683C" w:rsidRDefault="00404AF1" w:rsidP="008F474D">
      <w:pPr>
        <w:ind w:left="1080"/>
        <w:rPr>
          <w:rFonts w:ascii="Arial" w:hAnsi="Arial" w:cs="Arial"/>
          <w:sz w:val="22"/>
          <w:szCs w:val="22"/>
        </w:rPr>
      </w:pPr>
      <w:r w:rsidRPr="0009683C">
        <w:rPr>
          <w:rFonts w:ascii="Arial" w:hAnsi="Arial" w:cs="Arial"/>
          <w:sz w:val="22"/>
          <w:szCs w:val="22"/>
        </w:rPr>
        <w:t>Soft Rock (Black Shaded)</w:t>
      </w:r>
      <w:r w:rsidRPr="0009683C">
        <w:rPr>
          <w:rFonts w:ascii="Arial" w:hAnsi="Arial" w:cs="Arial"/>
          <w:sz w:val="22"/>
          <w:szCs w:val="22"/>
        </w:rPr>
        <w:tab/>
      </w:r>
      <w:r w:rsidRPr="0009683C">
        <w:rPr>
          <w:rFonts w:ascii="Arial" w:hAnsi="Arial" w:cs="Arial"/>
          <w:sz w:val="22"/>
          <w:szCs w:val="22"/>
        </w:rPr>
        <w:tab/>
      </w:r>
      <w:r w:rsidR="00BC70BB">
        <w:rPr>
          <w:rFonts w:ascii="Arial" w:hAnsi="Arial" w:cs="Arial"/>
          <w:sz w:val="22"/>
          <w:szCs w:val="22"/>
        </w:rPr>
        <w:tab/>
      </w:r>
      <w:r w:rsidRPr="0009683C">
        <w:rPr>
          <w:rFonts w:ascii="Arial" w:hAnsi="Arial" w:cs="Arial"/>
          <w:sz w:val="22"/>
          <w:szCs w:val="22"/>
        </w:rPr>
        <w:t>S.F   =</w:t>
      </w:r>
      <w:r w:rsidR="00BC70BB">
        <w:rPr>
          <w:rFonts w:ascii="Arial" w:hAnsi="Arial" w:cs="Arial"/>
          <w:sz w:val="22"/>
          <w:szCs w:val="22"/>
        </w:rPr>
        <w:t xml:space="preserve"> </w:t>
      </w:r>
      <w:r w:rsidRPr="0009683C">
        <w:rPr>
          <w:rFonts w:ascii="Arial" w:hAnsi="Arial" w:cs="Arial"/>
          <w:sz w:val="22"/>
          <w:szCs w:val="22"/>
        </w:rPr>
        <w:t>1.05</w:t>
      </w:r>
    </w:p>
    <w:p w14:paraId="5D12B2C0" w14:textId="53025BFD" w:rsidR="00404AF1" w:rsidRPr="0009683C" w:rsidRDefault="00404AF1" w:rsidP="008F474D">
      <w:pPr>
        <w:ind w:left="1080"/>
        <w:rPr>
          <w:rFonts w:ascii="Arial" w:hAnsi="Arial" w:cs="Arial"/>
          <w:sz w:val="22"/>
          <w:szCs w:val="22"/>
        </w:rPr>
      </w:pPr>
      <w:r w:rsidRPr="0009683C">
        <w:rPr>
          <w:rFonts w:ascii="Arial" w:hAnsi="Arial" w:cs="Arial"/>
          <w:sz w:val="22"/>
          <w:szCs w:val="22"/>
        </w:rPr>
        <w:t>Hard Rock (Inclined Lines)</w:t>
      </w:r>
      <w:r w:rsidRPr="0009683C">
        <w:rPr>
          <w:rFonts w:ascii="Arial" w:hAnsi="Arial" w:cs="Arial"/>
          <w:sz w:val="22"/>
          <w:szCs w:val="22"/>
        </w:rPr>
        <w:tab/>
        <w:t xml:space="preserve"> </w:t>
      </w:r>
      <w:r w:rsidRPr="0009683C">
        <w:rPr>
          <w:rFonts w:ascii="Arial" w:hAnsi="Arial" w:cs="Arial"/>
          <w:sz w:val="22"/>
          <w:szCs w:val="22"/>
        </w:rPr>
        <w:tab/>
        <w:t xml:space="preserve">S.F   = </w:t>
      </w:r>
      <w:r w:rsidR="00BC70BB">
        <w:rPr>
          <w:rFonts w:ascii="Arial" w:hAnsi="Arial" w:cs="Arial"/>
          <w:sz w:val="22"/>
          <w:szCs w:val="22"/>
        </w:rPr>
        <w:t>0</w:t>
      </w:r>
      <w:r w:rsidRPr="0009683C">
        <w:rPr>
          <w:rFonts w:ascii="Arial" w:hAnsi="Arial" w:cs="Arial"/>
          <w:sz w:val="22"/>
          <w:szCs w:val="22"/>
        </w:rPr>
        <w:t>.15</w:t>
      </w:r>
    </w:p>
    <w:p w14:paraId="31604E76" w14:textId="77777777" w:rsidR="00404AF1" w:rsidRPr="0009683C" w:rsidRDefault="00404AF1" w:rsidP="00BE3F24">
      <w:pPr>
        <w:tabs>
          <w:tab w:val="left" w:pos="1410"/>
        </w:tabs>
        <w:rPr>
          <w:rFonts w:ascii="Arial" w:hAnsi="Arial" w:cs="Arial"/>
          <w:sz w:val="22"/>
          <w:szCs w:val="22"/>
        </w:rPr>
      </w:pPr>
    </w:p>
    <w:p w14:paraId="56AECF1F" w14:textId="5E983CCC" w:rsidR="00404AF1" w:rsidRPr="0009683C" w:rsidRDefault="00404AF1" w:rsidP="0088791C">
      <w:pPr>
        <w:tabs>
          <w:tab w:val="left" w:pos="1410"/>
        </w:tabs>
        <w:jc w:val="center"/>
        <w:rPr>
          <w:rFonts w:ascii="Arial" w:hAnsi="Arial" w:cs="Arial"/>
          <w:sz w:val="22"/>
          <w:szCs w:val="22"/>
        </w:rPr>
      </w:pPr>
      <w:r w:rsidRPr="0009683C">
        <w:rPr>
          <w:rFonts w:cs="Arial"/>
          <w:noProof/>
          <w:sz w:val="22"/>
          <w:szCs w:val="22"/>
        </w:rPr>
        <w:drawing>
          <wp:inline distT="0" distB="0" distL="0" distR="0" wp14:anchorId="152ED179" wp14:editId="751B188E">
            <wp:extent cx="5270500" cy="1857485"/>
            <wp:effectExtent l="0" t="0" r="6350" b="9525"/>
            <wp:docPr id="56" name="Picture 8" descr="Class 1 excavatio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8" descr="Class 1 excavation diagram"/>
                    <pic:cNvPicPr>
                      <a:picLocks noChangeAspect="1" noChangeArrowheads="1"/>
                    </pic:cNvPicPr>
                  </pic:nvPicPr>
                  <pic:blipFill>
                    <a:blip r:embed="rId274" cstate="print"/>
                    <a:srcRect/>
                    <a:stretch>
                      <a:fillRect/>
                    </a:stretch>
                  </pic:blipFill>
                  <pic:spPr bwMode="auto">
                    <a:xfrm>
                      <a:off x="0" y="0"/>
                      <a:ext cx="5280818" cy="1861121"/>
                    </a:xfrm>
                    <a:prstGeom prst="rect">
                      <a:avLst/>
                    </a:prstGeom>
                    <a:noFill/>
                    <a:ln w="9525">
                      <a:noFill/>
                      <a:miter lim="800000"/>
                      <a:headEnd/>
                      <a:tailEnd/>
                    </a:ln>
                  </pic:spPr>
                </pic:pic>
              </a:graphicData>
            </a:graphic>
          </wp:inline>
        </w:drawing>
      </w:r>
    </w:p>
    <w:p w14:paraId="0B4CB254" w14:textId="4A1DA11F" w:rsidR="00404AF1" w:rsidRPr="0009683C" w:rsidRDefault="00404AF1" w:rsidP="00E91B44">
      <w:pPr>
        <w:ind w:left="810"/>
        <w:rPr>
          <w:rFonts w:ascii="Arial" w:hAnsi="Arial" w:cs="Arial"/>
          <w:sz w:val="22"/>
          <w:szCs w:val="22"/>
        </w:rPr>
      </w:pPr>
      <w:r w:rsidRPr="0009683C">
        <w:rPr>
          <w:rFonts w:ascii="Arial" w:hAnsi="Arial" w:cs="Arial"/>
          <w:sz w:val="22"/>
          <w:szCs w:val="22"/>
        </w:rPr>
        <w:t>43+00</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t>49+00</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t>52+00</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t>57+00</w:t>
      </w:r>
      <w:r w:rsidRPr="0009683C">
        <w:rPr>
          <w:rFonts w:ascii="Arial" w:hAnsi="Arial" w:cs="Arial"/>
          <w:sz w:val="22"/>
          <w:szCs w:val="22"/>
        </w:rPr>
        <w:tab/>
      </w:r>
    </w:p>
    <w:p w14:paraId="186200BB" w14:textId="77777777" w:rsidR="00404AF1" w:rsidRPr="0009683C" w:rsidRDefault="00404AF1" w:rsidP="008F474D">
      <w:pPr>
        <w:ind w:left="1080"/>
        <w:rPr>
          <w:rFonts w:ascii="Arial" w:hAnsi="Arial" w:cs="Arial"/>
          <w:sz w:val="22"/>
          <w:szCs w:val="22"/>
        </w:rPr>
      </w:pPr>
      <w:r w:rsidRPr="0009683C">
        <w:rPr>
          <w:rFonts w:ascii="Arial" w:hAnsi="Arial" w:cs="Arial"/>
          <w:sz w:val="22"/>
          <w:szCs w:val="22"/>
        </w:rPr>
        <w:lastRenderedPageBreak/>
        <w:tab/>
      </w:r>
      <w:r w:rsidRPr="0009683C">
        <w:rPr>
          <w:rFonts w:ascii="Arial" w:hAnsi="Arial" w:cs="Arial"/>
          <w:sz w:val="22"/>
          <w:szCs w:val="22"/>
        </w:rPr>
        <w:tab/>
        <w:t>40% @ 1.15 = 0.46</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t>10% @ 1.05 = 0.11</w:t>
      </w:r>
    </w:p>
    <w:p w14:paraId="02C2D2F7" w14:textId="77777777" w:rsidR="00404AF1" w:rsidRPr="0009683C" w:rsidRDefault="00404AF1" w:rsidP="008F474D">
      <w:pPr>
        <w:ind w:left="1080"/>
        <w:rPr>
          <w:rFonts w:ascii="Arial" w:hAnsi="Arial" w:cs="Arial"/>
          <w:sz w:val="22"/>
          <w:szCs w:val="22"/>
        </w:rPr>
      </w:pPr>
      <w:r w:rsidRPr="0009683C">
        <w:rPr>
          <w:rFonts w:ascii="Arial" w:hAnsi="Arial" w:cs="Arial"/>
          <w:sz w:val="22"/>
          <w:szCs w:val="22"/>
        </w:rPr>
        <w:tab/>
      </w:r>
      <w:r w:rsidRPr="0009683C">
        <w:rPr>
          <w:rFonts w:ascii="Arial" w:hAnsi="Arial" w:cs="Arial"/>
          <w:sz w:val="22"/>
          <w:szCs w:val="22"/>
        </w:rPr>
        <w:tab/>
        <w:t>15% @ 1.05 = 0.16</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t xml:space="preserve">90% @ 0.85 = </w:t>
      </w:r>
      <w:r w:rsidRPr="0009683C">
        <w:rPr>
          <w:rFonts w:ascii="Arial" w:hAnsi="Arial" w:cs="Arial"/>
          <w:sz w:val="22"/>
          <w:szCs w:val="22"/>
          <w:u w:val="single"/>
        </w:rPr>
        <w:t>0.76</w:t>
      </w:r>
    </w:p>
    <w:p w14:paraId="0723F6B8" w14:textId="6D129FE4" w:rsidR="00404AF1" w:rsidRPr="0009683C" w:rsidRDefault="00404AF1" w:rsidP="008F474D">
      <w:pPr>
        <w:ind w:left="1080"/>
        <w:rPr>
          <w:rFonts w:ascii="Arial" w:hAnsi="Arial" w:cs="Arial"/>
          <w:sz w:val="22"/>
          <w:szCs w:val="22"/>
        </w:rPr>
      </w:pPr>
      <w:r w:rsidRPr="0009683C">
        <w:rPr>
          <w:rFonts w:ascii="Arial" w:hAnsi="Arial" w:cs="Arial"/>
          <w:sz w:val="22"/>
          <w:szCs w:val="22"/>
        </w:rPr>
        <w:tab/>
      </w:r>
      <w:r w:rsidRPr="0009683C">
        <w:rPr>
          <w:rFonts w:ascii="Arial" w:hAnsi="Arial" w:cs="Arial"/>
          <w:sz w:val="22"/>
          <w:szCs w:val="22"/>
        </w:rPr>
        <w:tab/>
        <w:t xml:space="preserve">45% @ 0.89 = </w:t>
      </w:r>
      <w:r w:rsidRPr="0009683C">
        <w:rPr>
          <w:rFonts w:ascii="Arial" w:hAnsi="Arial" w:cs="Arial"/>
          <w:sz w:val="22"/>
          <w:szCs w:val="22"/>
          <w:u w:val="single"/>
        </w:rPr>
        <w:t>0.40</w:t>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00BC70BB">
        <w:rPr>
          <w:rFonts w:ascii="Arial" w:hAnsi="Arial" w:cs="Arial"/>
          <w:sz w:val="22"/>
          <w:szCs w:val="22"/>
        </w:rPr>
        <w:t xml:space="preserve"> </w:t>
      </w:r>
      <w:r w:rsidRPr="0009683C">
        <w:rPr>
          <w:rFonts w:ascii="Arial" w:hAnsi="Arial" w:cs="Arial"/>
          <w:sz w:val="22"/>
          <w:szCs w:val="22"/>
        </w:rPr>
        <w:t>0.87</w:t>
      </w:r>
    </w:p>
    <w:p w14:paraId="09BCB20A" w14:textId="77777777" w:rsidR="00404AF1" w:rsidRPr="0009683C" w:rsidRDefault="00404AF1" w:rsidP="008F474D">
      <w:pPr>
        <w:ind w:left="1080"/>
        <w:rPr>
          <w:rFonts w:ascii="Arial" w:hAnsi="Arial" w:cs="Arial"/>
          <w:sz w:val="22"/>
          <w:szCs w:val="22"/>
        </w:rPr>
      </w:pP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r>
      <w:r w:rsidRPr="0009683C">
        <w:rPr>
          <w:rFonts w:ascii="Arial" w:hAnsi="Arial" w:cs="Arial"/>
          <w:sz w:val="22"/>
          <w:szCs w:val="22"/>
        </w:rPr>
        <w:tab/>
        <w:t>1.02</w:t>
      </w:r>
    </w:p>
    <w:p w14:paraId="23A8869F" w14:textId="6DBB08D6" w:rsidR="00BC70BB" w:rsidRPr="004F5984" w:rsidRDefault="00BC70BB" w:rsidP="008F474D">
      <w:pPr>
        <w:ind w:left="1080"/>
        <w:rPr>
          <w:rFonts w:ascii="Arial" w:hAnsi="Arial" w:cs="Arial"/>
          <w:sz w:val="22"/>
          <w:szCs w:val="22"/>
        </w:rPr>
      </w:pPr>
    </w:p>
    <w:p w14:paraId="2706CECA" w14:textId="7F3B5E95" w:rsidR="00404AF1" w:rsidRPr="004F5984" w:rsidRDefault="00404AF1" w:rsidP="008F474D">
      <w:pPr>
        <w:ind w:left="1080"/>
        <w:rPr>
          <w:rFonts w:ascii="Arial" w:hAnsi="Arial" w:cs="Arial"/>
          <w:sz w:val="22"/>
          <w:szCs w:val="22"/>
        </w:rPr>
      </w:pPr>
      <w:r w:rsidRPr="004F5984">
        <w:rPr>
          <w:rFonts w:ascii="Arial" w:hAnsi="Arial" w:cs="Arial"/>
          <w:sz w:val="22"/>
          <w:szCs w:val="22"/>
        </w:rPr>
        <w:t>Recommend</w:t>
      </w:r>
      <w:r w:rsidR="00BC70BB" w:rsidRPr="004F5984">
        <w:rPr>
          <w:rFonts w:ascii="Arial" w:hAnsi="Arial" w:cs="Arial"/>
          <w:sz w:val="22"/>
          <w:szCs w:val="22"/>
        </w:rPr>
        <w:t>ed</w:t>
      </w:r>
      <w:r w:rsidRPr="004F5984">
        <w:rPr>
          <w:rFonts w:ascii="Arial" w:hAnsi="Arial" w:cs="Arial"/>
          <w:sz w:val="22"/>
          <w:szCs w:val="22"/>
        </w:rPr>
        <w:t xml:space="preserve"> in the report</w:t>
      </w:r>
      <w:r w:rsidR="00BC70BB" w:rsidRPr="004F5984">
        <w:rPr>
          <w:rFonts w:ascii="Arial" w:hAnsi="Arial" w:cs="Arial"/>
          <w:sz w:val="22"/>
          <w:szCs w:val="22"/>
        </w:rPr>
        <w:t>:</w:t>
      </w:r>
    </w:p>
    <w:p w14:paraId="4B37E990" w14:textId="3B4EED22" w:rsidR="00404AF1" w:rsidRPr="0009683C" w:rsidRDefault="00404AF1" w:rsidP="00E91B44">
      <w:pPr>
        <w:tabs>
          <w:tab w:val="decimal" w:pos="4050"/>
        </w:tabs>
        <w:ind w:left="1080"/>
        <w:rPr>
          <w:rFonts w:ascii="Arial" w:hAnsi="Arial" w:cs="Arial"/>
          <w:sz w:val="22"/>
          <w:szCs w:val="22"/>
        </w:rPr>
      </w:pPr>
      <w:r w:rsidRPr="004F5984">
        <w:rPr>
          <w:rFonts w:ascii="Arial" w:hAnsi="Arial" w:cs="Arial"/>
          <w:sz w:val="22"/>
          <w:szCs w:val="22"/>
        </w:rPr>
        <w:t>Station 20+ to 23+</w:t>
      </w:r>
      <w:r w:rsidRPr="004F5984">
        <w:rPr>
          <w:rFonts w:ascii="Arial" w:hAnsi="Arial" w:cs="Arial"/>
          <w:sz w:val="22"/>
          <w:szCs w:val="22"/>
        </w:rPr>
        <w:tab/>
        <w:t>0.84</w:t>
      </w:r>
    </w:p>
    <w:p w14:paraId="3B080584" w14:textId="5DEC00B3" w:rsidR="00404AF1" w:rsidRPr="0009683C" w:rsidRDefault="00404AF1" w:rsidP="00E91B44">
      <w:pPr>
        <w:tabs>
          <w:tab w:val="decimal" w:pos="4050"/>
        </w:tabs>
        <w:ind w:left="1080"/>
        <w:rPr>
          <w:rFonts w:ascii="Arial" w:hAnsi="Arial" w:cs="Arial"/>
          <w:sz w:val="22"/>
          <w:szCs w:val="22"/>
        </w:rPr>
      </w:pPr>
      <w:r w:rsidRPr="0009683C">
        <w:rPr>
          <w:rFonts w:ascii="Arial" w:hAnsi="Arial" w:cs="Arial"/>
          <w:sz w:val="22"/>
          <w:szCs w:val="22"/>
        </w:rPr>
        <w:t>Station 43+ to 49+</w:t>
      </w:r>
      <w:r w:rsidRPr="0009683C">
        <w:rPr>
          <w:rFonts w:ascii="Arial" w:hAnsi="Arial" w:cs="Arial"/>
          <w:sz w:val="22"/>
          <w:szCs w:val="22"/>
        </w:rPr>
        <w:tab/>
        <w:t>1.02</w:t>
      </w:r>
    </w:p>
    <w:p w14:paraId="3DC86861" w14:textId="58799AA7" w:rsidR="00404AF1" w:rsidRPr="0009683C" w:rsidRDefault="00404AF1" w:rsidP="00E91B44">
      <w:pPr>
        <w:tabs>
          <w:tab w:val="decimal" w:pos="4050"/>
        </w:tabs>
        <w:ind w:left="1080"/>
        <w:rPr>
          <w:rFonts w:ascii="Arial" w:hAnsi="Arial" w:cs="Arial"/>
          <w:sz w:val="22"/>
          <w:szCs w:val="22"/>
        </w:rPr>
      </w:pPr>
      <w:r w:rsidRPr="0009683C">
        <w:rPr>
          <w:rFonts w:ascii="Arial" w:hAnsi="Arial" w:cs="Arial"/>
          <w:sz w:val="22"/>
          <w:szCs w:val="22"/>
        </w:rPr>
        <w:t>A</w:t>
      </w:r>
      <w:r w:rsidR="00BC70BB">
        <w:rPr>
          <w:rFonts w:ascii="Arial" w:hAnsi="Arial" w:cs="Arial"/>
          <w:sz w:val="22"/>
          <w:szCs w:val="22"/>
        </w:rPr>
        <w:t>l</w:t>
      </w:r>
      <w:r w:rsidRPr="0009683C">
        <w:rPr>
          <w:rFonts w:ascii="Arial" w:hAnsi="Arial" w:cs="Arial"/>
          <w:sz w:val="22"/>
          <w:szCs w:val="22"/>
        </w:rPr>
        <w:t>I other cuts</w:t>
      </w:r>
      <w:r w:rsidRPr="0009683C">
        <w:rPr>
          <w:rFonts w:ascii="Arial" w:hAnsi="Arial" w:cs="Arial"/>
          <w:sz w:val="22"/>
          <w:szCs w:val="22"/>
        </w:rPr>
        <w:tab/>
        <w:t>0.87</w:t>
      </w:r>
    </w:p>
    <w:p w14:paraId="4C591965" w14:textId="3D34610B" w:rsidR="00404AF1" w:rsidRPr="0009683C" w:rsidRDefault="00404AF1" w:rsidP="008F474D">
      <w:pPr>
        <w:pStyle w:val="ListNumber"/>
        <w:numPr>
          <w:ilvl w:val="12"/>
          <w:numId w:val="0"/>
        </w:numPr>
        <w:tabs>
          <w:tab w:val="clear" w:pos="1872"/>
          <w:tab w:val="num" w:pos="1080"/>
        </w:tabs>
        <w:ind w:left="1080"/>
        <w:jc w:val="both"/>
        <w:rPr>
          <w:szCs w:val="22"/>
        </w:rPr>
      </w:pPr>
      <w:r w:rsidRPr="0009683C">
        <w:rPr>
          <w:szCs w:val="22"/>
        </w:rPr>
        <w:t>Another way to compute the Shrinkage Factors for a project where there is excavation due to base-widening, re-alignment of the road, etc. is to gather the list of soils encountered during the soil survey</w:t>
      </w:r>
      <w:r w:rsidR="00BC70BB">
        <w:rPr>
          <w:szCs w:val="22"/>
        </w:rPr>
        <w:t>,</w:t>
      </w:r>
      <w:r w:rsidRPr="0009683C">
        <w:rPr>
          <w:szCs w:val="22"/>
        </w:rPr>
        <w:t xml:space="preserve"> apply shrinkage factors to the predominant soils</w:t>
      </w:r>
      <w:r w:rsidR="00BC70BB">
        <w:rPr>
          <w:szCs w:val="22"/>
        </w:rPr>
        <w:t>,</w:t>
      </w:r>
      <w:r w:rsidRPr="0009683C">
        <w:rPr>
          <w:szCs w:val="22"/>
        </w:rPr>
        <w:t xml:space="preserve"> and average </w:t>
      </w:r>
      <w:r w:rsidR="00BC70BB">
        <w:rPr>
          <w:szCs w:val="22"/>
        </w:rPr>
        <w:t>them</w:t>
      </w:r>
      <w:r w:rsidRPr="0009683C">
        <w:rPr>
          <w:szCs w:val="22"/>
        </w:rPr>
        <w:t xml:space="preserve">. All excavated soils on a project are stockpiled together before they are used elsewhere as a Common Borrow. </w:t>
      </w:r>
    </w:p>
    <w:p w14:paraId="11300E76" w14:textId="77777777" w:rsidR="00404AF1" w:rsidRPr="0009683C" w:rsidRDefault="00404AF1" w:rsidP="00E91B44">
      <w:pPr>
        <w:pStyle w:val="ListNumber"/>
        <w:numPr>
          <w:ilvl w:val="12"/>
          <w:numId w:val="0"/>
        </w:numPr>
        <w:tabs>
          <w:tab w:val="clear" w:pos="1872"/>
          <w:tab w:val="num" w:pos="1080"/>
        </w:tabs>
        <w:spacing w:before="0"/>
        <w:ind w:left="1080"/>
        <w:rPr>
          <w:szCs w:val="22"/>
        </w:rPr>
      </w:pPr>
    </w:p>
    <w:p w14:paraId="7BA78561" w14:textId="1D7BB678" w:rsidR="00404AF1" w:rsidRPr="00D05F3D" w:rsidRDefault="00404AF1" w:rsidP="00172E64">
      <w:pPr>
        <w:pStyle w:val="Heading5"/>
        <w:numPr>
          <w:ilvl w:val="4"/>
          <w:numId w:val="184"/>
        </w:numPr>
        <w:tabs>
          <w:tab w:val="left" w:pos="1800"/>
        </w:tabs>
        <w:ind w:left="0" w:firstLine="0"/>
      </w:pPr>
      <w:r w:rsidRPr="00D05F3D">
        <w:t xml:space="preserve">Drying of </w:t>
      </w:r>
      <w:r w:rsidR="00BC70BB" w:rsidRPr="00D05F3D">
        <w:t>Wet Ma</w:t>
      </w:r>
      <w:r w:rsidRPr="00D05F3D">
        <w:t xml:space="preserve">terial </w:t>
      </w:r>
    </w:p>
    <w:p w14:paraId="64B4C323" w14:textId="57CA6871" w:rsidR="00404AF1" w:rsidRPr="00E91B44" w:rsidRDefault="00404AF1" w:rsidP="00E91B44">
      <w:pPr>
        <w:pStyle w:val="BodyText"/>
        <w:spacing w:before="240" w:after="0"/>
        <w:ind w:left="1080" w:hanging="1080"/>
        <w:jc w:val="both"/>
        <w:rPr>
          <w:b/>
          <w:i/>
          <w:sz w:val="24"/>
        </w:rPr>
      </w:pPr>
      <w:r w:rsidRPr="00D05F3D">
        <w:t>Step 5</w:t>
      </w:r>
      <w:r w:rsidR="00BC70BB">
        <w:t>.</w:t>
      </w:r>
      <w:r w:rsidRPr="00D05F3D">
        <w:tab/>
        <w:t xml:space="preserve">If it is anticipated that the </w:t>
      </w:r>
      <w:r>
        <w:t>Contract</w:t>
      </w:r>
      <w:r w:rsidRPr="00D05F3D">
        <w:t>or will not have a reasonable amount of time nor a location to stockpile wet material, consideration should be given to wasting the wet material (Refer to Step 3).</w:t>
      </w:r>
    </w:p>
    <w:p w14:paraId="68531E9D" w14:textId="77777777" w:rsidR="00BC70BB" w:rsidRPr="00E91B44" w:rsidRDefault="00BC70BB" w:rsidP="0054361A">
      <w:pPr>
        <w:pStyle w:val="BodyText"/>
        <w:spacing w:after="0"/>
        <w:ind w:left="1080" w:hanging="1080"/>
        <w:jc w:val="both"/>
        <w:rPr>
          <w:i/>
          <w:sz w:val="24"/>
        </w:rPr>
      </w:pPr>
    </w:p>
    <w:p w14:paraId="24DDD89A" w14:textId="77777777" w:rsidR="00404AF1" w:rsidRPr="00D05F3D" w:rsidRDefault="00404AF1" w:rsidP="00172E64">
      <w:pPr>
        <w:pStyle w:val="Heading5"/>
        <w:numPr>
          <w:ilvl w:val="4"/>
          <w:numId w:val="184"/>
        </w:numPr>
        <w:tabs>
          <w:tab w:val="left" w:pos="1800"/>
        </w:tabs>
        <w:ind w:left="0" w:firstLine="0"/>
      </w:pPr>
      <w:r w:rsidRPr="00D05F3D">
        <w:t>Sequence of Construction and Availability of Excavated Material</w:t>
      </w:r>
    </w:p>
    <w:p w14:paraId="6DCB58BF" w14:textId="2E13DA68" w:rsidR="00404AF1" w:rsidRDefault="00404AF1" w:rsidP="00E91B44">
      <w:pPr>
        <w:pStyle w:val="BodyText"/>
        <w:spacing w:before="240"/>
        <w:ind w:left="1080" w:hanging="1080"/>
        <w:jc w:val="both"/>
      </w:pPr>
      <w:r w:rsidRPr="00D05F3D">
        <w:t>Step 6</w:t>
      </w:r>
      <w:r w:rsidR="00BC70BB">
        <w:t>.</w:t>
      </w:r>
      <w:r w:rsidRPr="00D05F3D">
        <w:tab/>
        <w:t>The sequence of construction (fill and cut operations) should be considered when making material recommendations.</w:t>
      </w:r>
      <w:r w:rsidR="00582C89">
        <w:t xml:space="preserve">  For example, if fill operations occur in the first stages of a project and there </w:t>
      </w:r>
      <w:r w:rsidR="00BC70BB">
        <w:t xml:space="preserve">are </w:t>
      </w:r>
      <w:r w:rsidR="00582C89">
        <w:t xml:space="preserve">limited cut operations, most material for construction will likely be borrow material as there would be limited material available from excavation.  On the other hand, if cut operations occur in the first stages, this excavated material, if suitable, must be used for fill operations </w:t>
      </w:r>
      <w:r w:rsidR="002360A0">
        <w:t xml:space="preserve">prior to </w:t>
      </w:r>
      <w:r w:rsidR="00582C89">
        <w:t>borrow material.</w:t>
      </w:r>
    </w:p>
    <w:p w14:paraId="1EC7E3B8" w14:textId="77777777" w:rsidR="00404AF1" w:rsidRDefault="00404AF1" w:rsidP="00172E64">
      <w:pPr>
        <w:pStyle w:val="Heading4"/>
        <w:numPr>
          <w:ilvl w:val="3"/>
          <w:numId w:val="184"/>
        </w:numPr>
        <w:ind w:left="0" w:firstLine="0"/>
      </w:pPr>
      <w:bookmarkStart w:id="541" w:name="_Class_1-A_Excavation"/>
      <w:bookmarkEnd w:id="541"/>
      <w:r>
        <w:t xml:space="preserve">Class 1-A Excavation and Backfill </w:t>
      </w:r>
    </w:p>
    <w:p w14:paraId="7577BD3E" w14:textId="77777777" w:rsidR="00ED4A45" w:rsidRDefault="00ED4A45" w:rsidP="00ED4A4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Embankments" w:history="1">
        <w:r w:rsidRPr="00ED4A45">
          <w:rPr>
            <w:rStyle w:val="Hyperlink"/>
            <w:rFonts w:ascii="Arial" w:hAnsi="Arial" w:cs="Arial"/>
            <w:bCs/>
            <w:sz w:val="16"/>
            <w:szCs w:val="16"/>
          </w:rPr>
          <w:t>Embankments</w:t>
        </w:r>
      </w:hyperlink>
    </w:p>
    <w:p w14:paraId="0DA3E498" w14:textId="77777777" w:rsidR="00545ABD" w:rsidRPr="008F604D" w:rsidRDefault="00545ABD" w:rsidP="00545ABD">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Advanced_Geotechnical_Report" w:history="1">
        <w:r w:rsidRPr="00545ABD">
          <w:rPr>
            <w:rStyle w:val="Hyperlink"/>
            <w:rFonts w:ascii="Arial" w:hAnsi="Arial" w:cs="Arial"/>
            <w:bCs/>
            <w:sz w:val="16"/>
            <w:szCs w:val="16"/>
          </w:rPr>
          <w:t>Advanced Geotechnical Report</w:t>
        </w:r>
      </w:hyperlink>
    </w:p>
    <w:p w14:paraId="3923C50A" w14:textId="39284A7F" w:rsidR="00133264" w:rsidRPr="00133264" w:rsidRDefault="00404AF1" w:rsidP="00172E64">
      <w:pPr>
        <w:pStyle w:val="ListNumber"/>
        <w:numPr>
          <w:ilvl w:val="0"/>
          <w:numId w:val="52"/>
        </w:numPr>
        <w:tabs>
          <w:tab w:val="clear" w:pos="1152"/>
          <w:tab w:val="clear" w:pos="1872"/>
          <w:tab w:val="num" w:pos="1080"/>
        </w:tabs>
        <w:spacing w:before="240"/>
        <w:ind w:left="1080" w:hanging="1080"/>
        <w:jc w:val="both"/>
      </w:pPr>
      <w:r w:rsidRPr="00D44D16">
        <w:t xml:space="preserve">Class 1-A Excavation:  </w:t>
      </w:r>
      <w:r>
        <w:rPr>
          <w:rFonts w:cs="Arial"/>
          <w:szCs w:val="22"/>
        </w:rPr>
        <w:t>All Excavation of unsuitable material below the lowest excavation limits established</w:t>
      </w:r>
      <w:r w:rsidR="00FE3682">
        <w:rPr>
          <w:rFonts w:cs="Arial"/>
          <w:szCs w:val="22"/>
        </w:rPr>
        <w:t xml:space="preserve"> (Class 1, Class 2, etc.)</w:t>
      </w:r>
      <w:r>
        <w:rPr>
          <w:rFonts w:cs="Arial"/>
          <w:szCs w:val="22"/>
        </w:rPr>
        <w:t xml:space="preserve">. Unsuitable material comprises unstable soils (soils which fail test/proof rolling), soils with excessive moisture content, Muck (A-8), highly organic soils, rubble, landfills, non-compacted man-made or natural fills, etc. Class 1-A Excavation locations for roadways may be below Top of Subgrade elevation in Cut and No Cut/No Fill areas and below existing ground for Embankment/Fill areas.  Below Top of Subgrade elevation, Class 1-A Excavation and Backfill </w:t>
      </w:r>
      <w:r w:rsidR="0088791C">
        <w:rPr>
          <w:rFonts w:cs="Arial"/>
          <w:szCs w:val="22"/>
        </w:rPr>
        <w:t xml:space="preserve">are </w:t>
      </w:r>
      <w:r>
        <w:rPr>
          <w:rFonts w:cs="Arial"/>
          <w:szCs w:val="22"/>
        </w:rPr>
        <w:t>required to improve the bearing capacity</w:t>
      </w:r>
      <w:r w:rsidR="0088791C">
        <w:rPr>
          <w:rFonts w:cs="Arial"/>
          <w:szCs w:val="22"/>
        </w:rPr>
        <w:t xml:space="preserve"> and</w:t>
      </w:r>
      <w:r>
        <w:rPr>
          <w:rFonts w:cs="Arial"/>
          <w:szCs w:val="22"/>
        </w:rPr>
        <w:t xml:space="preserve"> provide a stable platform to construct the pavement section. Below existing ground for Embankment/Fill areas, Class 1-A Excavation and Backfill </w:t>
      </w:r>
      <w:r w:rsidR="00BC70BB">
        <w:rPr>
          <w:rFonts w:cs="Arial"/>
          <w:szCs w:val="22"/>
        </w:rPr>
        <w:t xml:space="preserve">are </w:t>
      </w:r>
      <w:r>
        <w:rPr>
          <w:rFonts w:cs="Arial"/>
          <w:szCs w:val="22"/>
        </w:rPr>
        <w:t>required to improve the bearing capacity</w:t>
      </w:r>
      <w:r w:rsidR="00BC70BB">
        <w:rPr>
          <w:rFonts w:cs="Arial"/>
          <w:szCs w:val="22"/>
        </w:rPr>
        <w:t xml:space="preserve"> and</w:t>
      </w:r>
      <w:r>
        <w:rPr>
          <w:rFonts w:cs="Arial"/>
          <w:szCs w:val="22"/>
        </w:rPr>
        <w:t xml:space="preserve"> increase the stability of slopes, potentially reduce settlement (short term, long term, and differential), and provide a stable working platform for construction equipment. </w:t>
      </w:r>
    </w:p>
    <w:p w14:paraId="0CB88DE0" w14:textId="59BECA32" w:rsidR="001A15B9" w:rsidRDefault="00133264" w:rsidP="00133264">
      <w:pPr>
        <w:pStyle w:val="ListNumber"/>
        <w:tabs>
          <w:tab w:val="clear" w:pos="720"/>
          <w:tab w:val="clear" w:pos="1872"/>
        </w:tabs>
        <w:ind w:left="1080" w:firstLine="0"/>
        <w:jc w:val="both"/>
      </w:pPr>
      <w:r w:rsidRPr="001B1DE3">
        <w:rPr>
          <w:rFonts w:cs="Arial"/>
          <w:szCs w:val="22"/>
        </w:rPr>
        <w:lastRenderedPageBreak/>
        <w:t>A geophysical investigation can often provide th</w:t>
      </w:r>
      <w:r>
        <w:rPr>
          <w:rFonts w:cs="Arial"/>
          <w:szCs w:val="22"/>
        </w:rPr>
        <w:t>e depth to rock and rippability of rock.</w:t>
      </w:r>
      <w:r w:rsidRPr="001B1DE3">
        <w:rPr>
          <w:rFonts w:cs="Arial"/>
          <w:szCs w:val="22"/>
        </w:rPr>
        <w:t xml:space="preserve"> </w:t>
      </w:r>
      <w:r>
        <w:rPr>
          <w:rFonts w:cs="Arial"/>
          <w:szCs w:val="22"/>
        </w:rPr>
        <w:t>R</w:t>
      </w:r>
      <w:r w:rsidRPr="001B1DE3">
        <w:rPr>
          <w:rFonts w:cs="Arial"/>
          <w:szCs w:val="22"/>
        </w:rPr>
        <w:t xml:space="preserve">efer to </w:t>
      </w:r>
      <w:hyperlink w:anchor="_geophysical_investigation" w:history="1">
        <w:r w:rsidRPr="0088791C">
          <w:rPr>
            <w:rStyle w:val="Hyperlink"/>
            <w:rFonts w:cs="Arial"/>
            <w:i/>
            <w:szCs w:val="22"/>
          </w:rPr>
          <w:t>Section 3.07 Geophysical Investigation</w:t>
        </w:r>
      </w:hyperlink>
      <w:r w:rsidRPr="00391F5D">
        <w:rPr>
          <w:rFonts w:cs="Arial"/>
          <w:szCs w:val="22"/>
        </w:rPr>
        <w:t xml:space="preserve"> f</w:t>
      </w:r>
      <w:r w:rsidRPr="001B1DE3">
        <w:rPr>
          <w:rFonts w:cs="Arial"/>
          <w:szCs w:val="22"/>
        </w:rPr>
        <w:t xml:space="preserve">or information about scoping a geophysical investigation. </w:t>
      </w:r>
      <w:r w:rsidRPr="00B11E5C">
        <w:rPr>
          <w:rFonts w:cs="Arial"/>
          <w:szCs w:val="22"/>
        </w:rPr>
        <w:t xml:space="preserve"> </w:t>
      </w:r>
    </w:p>
    <w:p w14:paraId="1F276F2B" w14:textId="0E33F853" w:rsidR="0037583B" w:rsidRDefault="00404AF1" w:rsidP="0037583B">
      <w:pPr>
        <w:pStyle w:val="ListNumber"/>
        <w:tabs>
          <w:tab w:val="clear" w:pos="720"/>
          <w:tab w:val="clear" w:pos="1872"/>
        </w:tabs>
        <w:ind w:left="1080" w:firstLine="0"/>
        <w:jc w:val="both"/>
      </w:pPr>
      <w:r>
        <w:rPr>
          <w:rFonts w:cs="Arial"/>
          <w:szCs w:val="22"/>
        </w:rPr>
        <w:t>The f</w:t>
      </w:r>
      <w:r>
        <w:t>ollowing factors (</w:t>
      </w:r>
      <w:r w:rsidRPr="00C77B0A">
        <w:rPr>
          <w:i/>
        </w:rPr>
        <w:t xml:space="preserve">conditions calling for </w:t>
      </w:r>
      <w:r w:rsidRPr="00B550DA">
        <w:rPr>
          <w:i/>
        </w:rPr>
        <w:t>unsuitable material</w:t>
      </w:r>
      <w:r>
        <w:t xml:space="preserve">) should be considered while computing the quantities for Class 1-A Excavations in the project design phase from </w:t>
      </w:r>
      <w:r w:rsidR="00133264">
        <w:t xml:space="preserve">geophysical, in-situ, </w:t>
      </w:r>
      <w:r>
        <w:t>soil borings and lab data:</w:t>
      </w:r>
    </w:p>
    <w:p w14:paraId="7ACA3D59" w14:textId="77777777" w:rsidR="0054361A" w:rsidRDefault="0054361A" w:rsidP="0037583B">
      <w:pPr>
        <w:pStyle w:val="ListNumber"/>
        <w:tabs>
          <w:tab w:val="clear" w:pos="720"/>
          <w:tab w:val="clear" w:pos="1872"/>
        </w:tabs>
        <w:ind w:left="1080" w:firstLine="0"/>
        <w:jc w:val="both"/>
      </w:pPr>
    </w:p>
    <w:p w14:paraId="2D7D3C78" w14:textId="77777777" w:rsidR="001A15B9" w:rsidRPr="004727CD" w:rsidRDefault="00404AF1" w:rsidP="00172E64">
      <w:pPr>
        <w:numPr>
          <w:ilvl w:val="2"/>
          <w:numId w:val="181"/>
        </w:numPr>
        <w:tabs>
          <w:tab w:val="clear" w:pos="2160"/>
        </w:tabs>
        <w:ind w:left="1440"/>
        <w:jc w:val="both"/>
        <w:rPr>
          <w:rFonts w:ascii="Arial" w:hAnsi="Arial"/>
          <w:sz w:val="22"/>
        </w:rPr>
      </w:pPr>
      <w:r w:rsidRPr="004727CD">
        <w:rPr>
          <w:rFonts w:ascii="Arial" w:hAnsi="Arial"/>
          <w:sz w:val="22"/>
        </w:rPr>
        <w:t xml:space="preserve">When </w:t>
      </w:r>
      <w:r w:rsidR="00E27FAA" w:rsidRPr="004727CD">
        <w:rPr>
          <w:rFonts w:ascii="Arial" w:hAnsi="Arial"/>
          <w:sz w:val="22"/>
        </w:rPr>
        <w:t xml:space="preserve">low to </w:t>
      </w:r>
      <w:r w:rsidRPr="004727CD">
        <w:rPr>
          <w:rFonts w:ascii="Arial" w:hAnsi="Arial"/>
          <w:sz w:val="22"/>
        </w:rPr>
        <w:t xml:space="preserve">non-plastic materials like </w:t>
      </w:r>
      <w:r w:rsidR="00E27FAA" w:rsidRPr="004727CD">
        <w:rPr>
          <w:rFonts w:ascii="Arial" w:hAnsi="Arial"/>
          <w:sz w:val="22"/>
        </w:rPr>
        <w:t xml:space="preserve">AASHTO </w:t>
      </w:r>
      <w:r w:rsidRPr="004727CD">
        <w:rPr>
          <w:rFonts w:ascii="Arial" w:hAnsi="Arial"/>
          <w:sz w:val="22"/>
        </w:rPr>
        <w:t>A-4 and A-5 with moisture contents greater than 20% are encountered at subgrade elevations during new roadway construction.</w:t>
      </w:r>
    </w:p>
    <w:p w14:paraId="3885991E" w14:textId="77777777" w:rsidR="001A15B9" w:rsidRPr="004727CD" w:rsidRDefault="00404AF1" w:rsidP="00172E64">
      <w:pPr>
        <w:numPr>
          <w:ilvl w:val="2"/>
          <w:numId w:val="181"/>
        </w:numPr>
        <w:tabs>
          <w:tab w:val="clear" w:pos="2160"/>
        </w:tabs>
        <w:ind w:left="1440"/>
        <w:jc w:val="both"/>
        <w:rPr>
          <w:rFonts w:ascii="Arial" w:hAnsi="Arial"/>
          <w:sz w:val="22"/>
        </w:rPr>
      </w:pPr>
      <w:r w:rsidRPr="004727CD">
        <w:rPr>
          <w:rFonts w:ascii="Arial" w:hAnsi="Arial"/>
          <w:sz w:val="22"/>
        </w:rPr>
        <w:t xml:space="preserve">When plastic materials like </w:t>
      </w:r>
      <w:r w:rsidR="00C539A4" w:rsidRPr="004727CD">
        <w:rPr>
          <w:rFonts w:ascii="Arial" w:hAnsi="Arial"/>
          <w:sz w:val="22"/>
        </w:rPr>
        <w:t xml:space="preserve">AASHTO </w:t>
      </w:r>
      <w:r w:rsidRPr="004727CD">
        <w:rPr>
          <w:rFonts w:ascii="Arial" w:hAnsi="Arial"/>
          <w:sz w:val="22"/>
        </w:rPr>
        <w:t>A-6</w:t>
      </w:r>
      <w:r w:rsidR="00E27FAA" w:rsidRPr="004727CD">
        <w:rPr>
          <w:rFonts w:ascii="Arial" w:hAnsi="Arial"/>
          <w:sz w:val="22"/>
        </w:rPr>
        <w:t xml:space="preserve"> and A-7 (</w:t>
      </w:r>
      <w:r w:rsidRPr="004727CD">
        <w:rPr>
          <w:rFonts w:ascii="Arial" w:hAnsi="Arial"/>
          <w:sz w:val="22"/>
        </w:rPr>
        <w:t>A-7</w:t>
      </w:r>
      <w:r w:rsidR="00C539A4" w:rsidRPr="004727CD">
        <w:rPr>
          <w:rFonts w:ascii="Arial" w:hAnsi="Arial"/>
          <w:sz w:val="22"/>
        </w:rPr>
        <w:t>-5,</w:t>
      </w:r>
      <w:r w:rsidRPr="004727CD">
        <w:rPr>
          <w:rFonts w:ascii="Arial" w:hAnsi="Arial"/>
          <w:sz w:val="22"/>
        </w:rPr>
        <w:t xml:space="preserve"> and A-</w:t>
      </w:r>
      <w:r w:rsidR="00C539A4" w:rsidRPr="004727CD">
        <w:rPr>
          <w:rFonts w:ascii="Arial" w:hAnsi="Arial"/>
          <w:sz w:val="22"/>
        </w:rPr>
        <w:t>7-6</w:t>
      </w:r>
      <w:r w:rsidR="00E27FAA" w:rsidRPr="004727CD">
        <w:rPr>
          <w:rFonts w:ascii="Arial" w:hAnsi="Arial"/>
          <w:sz w:val="22"/>
        </w:rPr>
        <w:t>)</w:t>
      </w:r>
      <w:r w:rsidRPr="004727CD">
        <w:rPr>
          <w:rFonts w:ascii="Arial" w:hAnsi="Arial"/>
          <w:sz w:val="22"/>
        </w:rPr>
        <w:t xml:space="preserve"> are encountered at subgrade elevations during new roadway construction. </w:t>
      </w:r>
    </w:p>
    <w:p w14:paraId="784FDF59" w14:textId="77777777" w:rsidR="001A15B9" w:rsidRPr="004727CD" w:rsidRDefault="00404AF1" w:rsidP="00172E64">
      <w:pPr>
        <w:numPr>
          <w:ilvl w:val="2"/>
          <w:numId w:val="181"/>
        </w:numPr>
        <w:tabs>
          <w:tab w:val="clear" w:pos="2160"/>
        </w:tabs>
        <w:ind w:left="1440"/>
        <w:jc w:val="both"/>
        <w:rPr>
          <w:rFonts w:ascii="Arial" w:hAnsi="Arial"/>
          <w:sz w:val="22"/>
        </w:rPr>
      </w:pPr>
      <w:r w:rsidRPr="004727CD">
        <w:rPr>
          <w:rFonts w:ascii="Arial" w:hAnsi="Arial"/>
          <w:sz w:val="22"/>
        </w:rPr>
        <w:t xml:space="preserve">For all other soils, when the natural moisture content is greater than the Plastic Limit (PL). If a sample is noted as saturated or liquefied, then moisture content is considered to be greater than the PL or 20%. </w:t>
      </w:r>
    </w:p>
    <w:p w14:paraId="2B38562A" w14:textId="77777777" w:rsidR="001A15B9" w:rsidRPr="004727CD" w:rsidRDefault="00404AF1" w:rsidP="00172E64">
      <w:pPr>
        <w:numPr>
          <w:ilvl w:val="2"/>
          <w:numId w:val="181"/>
        </w:numPr>
        <w:tabs>
          <w:tab w:val="clear" w:pos="2160"/>
        </w:tabs>
        <w:ind w:left="1440"/>
        <w:jc w:val="both"/>
        <w:rPr>
          <w:rFonts w:ascii="Arial" w:hAnsi="Arial"/>
          <w:sz w:val="22"/>
        </w:rPr>
      </w:pPr>
      <w:r w:rsidRPr="004727CD">
        <w:rPr>
          <w:rFonts w:ascii="Arial" w:hAnsi="Arial"/>
          <w:sz w:val="22"/>
        </w:rPr>
        <w:t xml:space="preserve">When the borings reveal any organic material or muck at the subgrade elevations. </w:t>
      </w:r>
    </w:p>
    <w:p w14:paraId="2B4E546A" w14:textId="77777777" w:rsidR="001A15B9" w:rsidRPr="004727CD" w:rsidRDefault="00404AF1" w:rsidP="00172E64">
      <w:pPr>
        <w:numPr>
          <w:ilvl w:val="2"/>
          <w:numId w:val="181"/>
        </w:numPr>
        <w:tabs>
          <w:tab w:val="clear" w:pos="2160"/>
        </w:tabs>
        <w:ind w:left="1440"/>
        <w:jc w:val="both"/>
        <w:rPr>
          <w:rFonts w:ascii="Arial" w:hAnsi="Arial"/>
          <w:sz w:val="22"/>
        </w:rPr>
      </w:pPr>
      <w:r w:rsidRPr="004727CD">
        <w:rPr>
          <w:rFonts w:ascii="Arial" w:hAnsi="Arial"/>
          <w:sz w:val="22"/>
        </w:rPr>
        <w:t xml:space="preserve">When predominantly fine grained soils with a blow count of less than 4 bpf are encountered, which would likely show pumping when test/proof rolled. </w:t>
      </w:r>
    </w:p>
    <w:p w14:paraId="58D9AFB7" w14:textId="77777777" w:rsidR="0028297C" w:rsidRPr="004727CD" w:rsidRDefault="0028297C" w:rsidP="0054361A">
      <w:pPr>
        <w:ind w:left="1620"/>
        <w:jc w:val="both"/>
        <w:rPr>
          <w:rFonts w:ascii="Arial" w:hAnsi="Arial"/>
          <w:sz w:val="22"/>
        </w:rPr>
      </w:pPr>
    </w:p>
    <w:p w14:paraId="77092119" w14:textId="4C4B2DA8" w:rsidR="00404AF1" w:rsidRPr="0028297C" w:rsidRDefault="0028297C" w:rsidP="0028297C">
      <w:pPr>
        <w:ind w:left="1080"/>
        <w:jc w:val="center"/>
        <w:rPr>
          <w:rFonts w:ascii="Arial" w:hAnsi="Arial" w:cs="Arial"/>
          <w:sz w:val="22"/>
          <w:szCs w:val="22"/>
        </w:rPr>
      </w:pPr>
      <w:r w:rsidRPr="0028297C">
        <w:rPr>
          <w:rFonts w:ascii="Arial" w:hAnsi="Arial" w:cs="Arial"/>
          <w:b/>
          <w:bCs/>
          <w:sz w:val="22"/>
          <w:szCs w:val="22"/>
        </w:rPr>
        <w:t xml:space="preserve">Determining Good Boring vs. Bad Boring – </w:t>
      </w:r>
      <w:r w:rsidR="0088791C">
        <w:rPr>
          <w:rFonts w:ascii="Arial" w:hAnsi="Arial" w:cs="Arial"/>
          <w:b/>
          <w:bCs/>
          <w:sz w:val="22"/>
          <w:szCs w:val="22"/>
        </w:rPr>
        <w:t>f</w:t>
      </w:r>
      <w:r w:rsidRPr="0028297C">
        <w:rPr>
          <w:rFonts w:ascii="Arial" w:hAnsi="Arial" w:cs="Arial"/>
          <w:b/>
          <w:bCs/>
          <w:sz w:val="22"/>
          <w:szCs w:val="22"/>
        </w:rPr>
        <w:t xml:space="preserve">or </w:t>
      </w:r>
      <w:r w:rsidR="0088791C">
        <w:rPr>
          <w:rFonts w:ascii="Arial" w:hAnsi="Arial" w:cs="Arial"/>
          <w:b/>
          <w:bCs/>
          <w:sz w:val="22"/>
          <w:szCs w:val="22"/>
        </w:rPr>
        <w:t>P</w:t>
      </w:r>
      <w:r w:rsidRPr="0028297C">
        <w:rPr>
          <w:rFonts w:ascii="Arial" w:hAnsi="Arial" w:cs="Arial"/>
          <w:b/>
          <w:bCs/>
          <w:sz w:val="22"/>
          <w:szCs w:val="22"/>
        </w:rPr>
        <w:t>urposes of Class 1A Excavation</w:t>
      </w:r>
    </w:p>
    <w:tbl>
      <w:tblPr>
        <w:tblW w:w="7680" w:type="dxa"/>
        <w:tblInd w:w="1080" w:type="dxa"/>
        <w:tblLook w:val="04A0" w:firstRow="1" w:lastRow="0" w:firstColumn="1" w:lastColumn="0" w:noHBand="0" w:noVBand="1"/>
      </w:tblPr>
      <w:tblGrid>
        <w:gridCol w:w="3009"/>
        <w:gridCol w:w="1075"/>
        <w:gridCol w:w="1074"/>
        <w:gridCol w:w="1261"/>
        <w:gridCol w:w="1261"/>
      </w:tblGrid>
      <w:tr w:rsidR="00B16BD1" w:rsidRPr="0028297C" w14:paraId="2C5444B0" w14:textId="77777777" w:rsidTr="0054361A">
        <w:trPr>
          <w:trHeight w:val="288"/>
        </w:trPr>
        <w:tc>
          <w:tcPr>
            <w:tcW w:w="3009" w:type="dxa"/>
            <w:tcBorders>
              <w:top w:val="single" w:sz="4" w:space="0" w:color="auto"/>
              <w:left w:val="single" w:sz="4" w:space="0" w:color="auto"/>
              <w:bottom w:val="single" w:sz="4" w:space="0" w:color="auto"/>
              <w:right w:val="single" w:sz="4" w:space="0" w:color="auto"/>
            </w:tcBorders>
            <w:noWrap/>
            <w:vAlign w:val="center"/>
            <w:hideMark/>
          </w:tcPr>
          <w:p w14:paraId="057232D0" w14:textId="77777777" w:rsidR="00B16BD1" w:rsidRPr="0054361A" w:rsidRDefault="00B16BD1" w:rsidP="0054361A">
            <w:pPr>
              <w:jc w:val="center"/>
              <w:rPr>
                <w:rFonts w:ascii="Arial" w:hAnsi="Arial"/>
                <w:b/>
                <w:sz w:val="22"/>
              </w:rPr>
            </w:pPr>
            <w:r w:rsidRPr="0054361A">
              <w:rPr>
                <w:rFonts w:ascii="Arial" w:hAnsi="Arial"/>
                <w:b/>
                <w:sz w:val="22"/>
              </w:rPr>
              <w:t>Soil Type</w:t>
            </w:r>
          </w:p>
        </w:tc>
        <w:tc>
          <w:tcPr>
            <w:tcW w:w="1075" w:type="dxa"/>
            <w:tcBorders>
              <w:top w:val="single" w:sz="4" w:space="0" w:color="auto"/>
              <w:left w:val="nil"/>
              <w:bottom w:val="single" w:sz="4" w:space="0" w:color="auto"/>
              <w:right w:val="single" w:sz="4" w:space="0" w:color="auto"/>
            </w:tcBorders>
            <w:noWrap/>
            <w:vAlign w:val="center"/>
            <w:hideMark/>
          </w:tcPr>
          <w:p w14:paraId="09141495" w14:textId="77777777" w:rsidR="00B16BD1" w:rsidRPr="0054361A" w:rsidRDefault="00B16BD1" w:rsidP="0028297C">
            <w:pPr>
              <w:jc w:val="center"/>
              <w:rPr>
                <w:rFonts w:ascii="Arial" w:hAnsi="Arial"/>
                <w:b/>
                <w:sz w:val="22"/>
              </w:rPr>
            </w:pPr>
            <w:r w:rsidRPr="0054361A">
              <w:rPr>
                <w:rFonts w:ascii="Arial" w:hAnsi="Arial"/>
                <w:b/>
                <w:sz w:val="22"/>
              </w:rPr>
              <w:t>MC &lt; PL</w:t>
            </w:r>
          </w:p>
        </w:tc>
        <w:tc>
          <w:tcPr>
            <w:tcW w:w="1074" w:type="dxa"/>
            <w:tcBorders>
              <w:top w:val="single" w:sz="4" w:space="0" w:color="auto"/>
              <w:left w:val="nil"/>
              <w:bottom w:val="single" w:sz="4" w:space="0" w:color="auto"/>
              <w:right w:val="single" w:sz="4" w:space="0" w:color="auto"/>
            </w:tcBorders>
            <w:noWrap/>
            <w:vAlign w:val="center"/>
            <w:hideMark/>
          </w:tcPr>
          <w:p w14:paraId="62664263" w14:textId="77777777" w:rsidR="00B16BD1" w:rsidRPr="0054361A" w:rsidRDefault="00B16BD1" w:rsidP="0028297C">
            <w:pPr>
              <w:jc w:val="center"/>
              <w:rPr>
                <w:rFonts w:ascii="Arial" w:hAnsi="Arial"/>
                <w:b/>
                <w:sz w:val="22"/>
              </w:rPr>
            </w:pPr>
            <w:r w:rsidRPr="0054361A">
              <w:rPr>
                <w:rFonts w:ascii="Arial" w:hAnsi="Arial"/>
                <w:b/>
                <w:sz w:val="22"/>
              </w:rPr>
              <w:t>MC &gt; PL</w:t>
            </w:r>
          </w:p>
        </w:tc>
        <w:tc>
          <w:tcPr>
            <w:tcW w:w="1261" w:type="dxa"/>
            <w:tcBorders>
              <w:top w:val="single" w:sz="4" w:space="0" w:color="auto"/>
              <w:left w:val="nil"/>
              <w:bottom w:val="single" w:sz="4" w:space="0" w:color="auto"/>
              <w:right w:val="single" w:sz="4" w:space="0" w:color="auto"/>
            </w:tcBorders>
            <w:noWrap/>
            <w:vAlign w:val="center"/>
            <w:hideMark/>
          </w:tcPr>
          <w:p w14:paraId="080DBAE4" w14:textId="77777777" w:rsidR="00B16BD1" w:rsidRPr="0054361A" w:rsidRDefault="00B16BD1" w:rsidP="0028297C">
            <w:pPr>
              <w:jc w:val="center"/>
              <w:rPr>
                <w:rFonts w:ascii="Arial" w:hAnsi="Arial"/>
                <w:b/>
                <w:sz w:val="22"/>
              </w:rPr>
            </w:pPr>
            <w:r w:rsidRPr="0054361A">
              <w:rPr>
                <w:rFonts w:ascii="Arial" w:hAnsi="Arial"/>
                <w:b/>
                <w:sz w:val="22"/>
              </w:rPr>
              <w:t>MC &lt; 20%</w:t>
            </w:r>
          </w:p>
        </w:tc>
        <w:tc>
          <w:tcPr>
            <w:tcW w:w="1261" w:type="dxa"/>
            <w:tcBorders>
              <w:top w:val="single" w:sz="4" w:space="0" w:color="auto"/>
              <w:left w:val="nil"/>
              <w:bottom w:val="single" w:sz="4" w:space="0" w:color="auto"/>
              <w:right w:val="single" w:sz="4" w:space="0" w:color="auto"/>
            </w:tcBorders>
            <w:noWrap/>
            <w:vAlign w:val="center"/>
            <w:hideMark/>
          </w:tcPr>
          <w:p w14:paraId="11C77806" w14:textId="77777777" w:rsidR="00B16BD1" w:rsidRPr="0054361A" w:rsidRDefault="00B16BD1" w:rsidP="0028297C">
            <w:pPr>
              <w:jc w:val="center"/>
              <w:rPr>
                <w:rFonts w:ascii="Arial" w:hAnsi="Arial"/>
                <w:b/>
                <w:sz w:val="22"/>
              </w:rPr>
            </w:pPr>
            <w:r w:rsidRPr="0054361A">
              <w:rPr>
                <w:rFonts w:ascii="Arial" w:hAnsi="Arial"/>
                <w:b/>
                <w:sz w:val="22"/>
              </w:rPr>
              <w:t>MC &gt; 20%</w:t>
            </w:r>
          </w:p>
        </w:tc>
      </w:tr>
      <w:tr w:rsidR="00B16BD1" w:rsidRPr="0028297C" w14:paraId="796BAFC5" w14:textId="77777777" w:rsidTr="0054361A">
        <w:trPr>
          <w:trHeight w:val="288"/>
        </w:trPr>
        <w:tc>
          <w:tcPr>
            <w:tcW w:w="3009" w:type="dxa"/>
            <w:tcBorders>
              <w:top w:val="single" w:sz="4" w:space="0" w:color="auto"/>
              <w:left w:val="single" w:sz="4" w:space="0" w:color="auto"/>
              <w:bottom w:val="single" w:sz="4" w:space="0" w:color="auto"/>
              <w:right w:val="single" w:sz="4" w:space="0" w:color="auto"/>
            </w:tcBorders>
            <w:noWrap/>
            <w:vAlign w:val="center"/>
            <w:hideMark/>
          </w:tcPr>
          <w:p w14:paraId="37DBEADB" w14:textId="77777777" w:rsidR="00B16BD1" w:rsidRPr="0054361A" w:rsidRDefault="00B16BD1" w:rsidP="0054361A">
            <w:pPr>
              <w:jc w:val="center"/>
              <w:rPr>
                <w:rFonts w:ascii="Arial" w:hAnsi="Arial"/>
                <w:sz w:val="22"/>
              </w:rPr>
            </w:pPr>
            <w:r w:rsidRPr="0054361A">
              <w:rPr>
                <w:rFonts w:ascii="Arial" w:hAnsi="Arial"/>
                <w:sz w:val="22"/>
              </w:rPr>
              <w:t>A-3, A-2, A2-4</w:t>
            </w:r>
          </w:p>
        </w:tc>
        <w:tc>
          <w:tcPr>
            <w:tcW w:w="2149" w:type="dxa"/>
            <w:gridSpan w:val="2"/>
            <w:tcBorders>
              <w:top w:val="single" w:sz="4" w:space="0" w:color="auto"/>
              <w:left w:val="nil"/>
              <w:bottom w:val="single" w:sz="4" w:space="0" w:color="auto"/>
              <w:right w:val="single" w:sz="4" w:space="0" w:color="auto"/>
            </w:tcBorders>
            <w:noWrap/>
            <w:vAlign w:val="center"/>
            <w:hideMark/>
          </w:tcPr>
          <w:p w14:paraId="0ACDA203" w14:textId="77777777" w:rsidR="00B16BD1" w:rsidRPr="0054361A" w:rsidRDefault="00B16BD1" w:rsidP="0028297C">
            <w:pPr>
              <w:jc w:val="center"/>
              <w:rPr>
                <w:rFonts w:ascii="Arial" w:hAnsi="Arial"/>
                <w:sz w:val="22"/>
              </w:rPr>
            </w:pPr>
            <w:r w:rsidRPr="0054361A">
              <w:rPr>
                <w:rFonts w:ascii="Arial" w:hAnsi="Arial"/>
                <w:sz w:val="22"/>
              </w:rPr>
              <w:t>Good</w:t>
            </w:r>
          </w:p>
        </w:tc>
        <w:tc>
          <w:tcPr>
            <w:tcW w:w="1261" w:type="dxa"/>
            <w:tcBorders>
              <w:top w:val="single" w:sz="4" w:space="0" w:color="auto"/>
              <w:left w:val="nil"/>
              <w:bottom w:val="single" w:sz="4" w:space="0" w:color="auto"/>
              <w:right w:val="single" w:sz="4" w:space="0" w:color="auto"/>
            </w:tcBorders>
            <w:shd w:val="clear" w:color="000000" w:fill="C0C0C0"/>
            <w:noWrap/>
            <w:vAlign w:val="center"/>
            <w:hideMark/>
          </w:tcPr>
          <w:p w14:paraId="0DCD0763" w14:textId="3777C9CE" w:rsidR="00B16BD1" w:rsidRPr="0054361A" w:rsidRDefault="00B16BD1" w:rsidP="0028297C">
            <w:pPr>
              <w:jc w:val="center"/>
              <w:rPr>
                <w:rFonts w:ascii="Arial" w:hAnsi="Arial"/>
                <w:sz w:val="22"/>
              </w:rPr>
            </w:pPr>
          </w:p>
        </w:tc>
        <w:tc>
          <w:tcPr>
            <w:tcW w:w="1261" w:type="dxa"/>
            <w:tcBorders>
              <w:top w:val="single" w:sz="4" w:space="0" w:color="auto"/>
              <w:left w:val="nil"/>
              <w:bottom w:val="single" w:sz="4" w:space="0" w:color="auto"/>
              <w:right w:val="single" w:sz="4" w:space="0" w:color="auto"/>
            </w:tcBorders>
            <w:shd w:val="clear" w:color="000000" w:fill="C0C0C0"/>
            <w:noWrap/>
            <w:vAlign w:val="center"/>
            <w:hideMark/>
          </w:tcPr>
          <w:p w14:paraId="0DA12095" w14:textId="0985B0B7" w:rsidR="00B16BD1" w:rsidRPr="0054361A" w:rsidRDefault="00B16BD1" w:rsidP="0028297C">
            <w:pPr>
              <w:jc w:val="center"/>
              <w:rPr>
                <w:rFonts w:ascii="Arial" w:hAnsi="Arial"/>
                <w:sz w:val="22"/>
              </w:rPr>
            </w:pPr>
          </w:p>
        </w:tc>
      </w:tr>
      <w:tr w:rsidR="00B16BD1" w:rsidRPr="0028297C" w14:paraId="2DB8AABB" w14:textId="77777777" w:rsidTr="0054361A">
        <w:trPr>
          <w:trHeight w:val="288"/>
        </w:trPr>
        <w:tc>
          <w:tcPr>
            <w:tcW w:w="7680" w:type="dxa"/>
            <w:gridSpan w:val="5"/>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34308E3" w14:textId="68D91DE4" w:rsidR="00B16BD1" w:rsidRPr="0054361A" w:rsidRDefault="00B16BD1" w:rsidP="0028297C">
            <w:pPr>
              <w:jc w:val="center"/>
              <w:rPr>
                <w:rFonts w:ascii="Arial" w:hAnsi="Arial"/>
                <w:sz w:val="22"/>
              </w:rPr>
            </w:pPr>
          </w:p>
        </w:tc>
      </w:tr>
      <w:tr w:rsidR="00B16BD1" w:rsidRPr="0028297C" w14:paraId="6710A5B8" w14:textId="77777777" w:rsidTr="0054361A">
        <w:trPr>
          <w:trHeight w:val="288"/>
        </w:trPr>
        <w:tc>
          <w:tcPr>
            <w:tcW w:w="3009" w:type="dxa"/>
            <w:tcBorders>
              <w:top w:val="single" w:sz="4" w:space="0" w:color="auto"/>
              <w:left w:val="single" w:sz="4" w:space="0" w:color="auto"/>
              <w:bottom w:val="single" w:sz="4" w:space="0" w:color="auto"/>
              <w:right w:val="single" w:sz="4" w:space="0" w:color="auto"/>
            </w:tcBorders>
            <w:noWrap/>
            <w:vAlign w:val="center"/>
            <w:hideMark/>
          </w:tcPr>
          <w:p w14:paraId="207A9F9A" w14:textId="77777777" w:rsidR="00B16BD1" w:rsidRPr="0054361A" w:rsidRDefault="00B16BD1" w:rsidP="0054361A">
            <w:pPr>
              <w:jc w:val="center"/>
              <w:rPr>
                <w:rFonts w:ascii="Arial" w:hAnsi="Arial"/>
                <w:sz w:val="22"/>
              </w:rPr>
            </w:pPr>
            <w:r w:rsidRPr="0054361A">
              <w:rPr>
                <w:rFonts w:ascii="Arial" w:hAnsi="Arial"/>
                <w:sz w:val="22"/>
              </w:rPr>
              <w:t>Non-Plastic A-4-2, A-4, A-5</w:t>
            </w:r>
          </w:p>
        </w:tc>
        <w:tc>
          <w:tcPr>
            <w:tcW w:w="2149" w:type="dxa"/>
            <w:gridSpan w:val="2"/>
            <w:tcBorders>
              <w:top w:val="single" w:sz="4" w:space="0" w:color="auto"/>
              <w:left w:val="nil"/>
              <w:bottom w:val="single" w:sz="4" w:space="0" w:color="auto"/>
              <w:right w:val="single" w:sz="4" w:space="0" w:color="auto"/>
            </w:tcBorders>
            <w:shd w:val="clear" w:color="000000" w:fill="C0C0C0"/>
            <w:noWrap/>
            <w:vAlign w:val="center"/>
            <w:hideMark/>
          </w:tcPr>
          <w:p w14:paraId="1B499E5B" w14:textId="6C5CA39E" w:rsidR="00B16BD1" w:rsidRPr="0054361A" w:rsidRDefault="00B16BD1" w:rsidP="0028297C">
            <w:pPr>
              <w:jc w:val="center"/>
              <w:rPr>
                <w:rFonts w:ascii="Arial" w:hAnsi="Arial"/>
                <w:sz w:val="22"/>
              </w:rPr>
            </w:pPr>
          </w:p>
        </w:tc>
        <w:tc>
          <w:tcPr>
            <w:tcW w:w="1261" w:type="dxa"/>
            <w:tcBorders>
              <w:top w:val="single" w:sz="4" w:space="0" w:color="auto"/>
              <w:left w:val="nil"/>
              <w:bottom w:val="single" w:sz="4" w:space="0" w:color="auto"/>
              <w:right w:val="single" w:sz="4" w:space="0" w:color="auto"/>
            </w:tcBorders>
            <w:noWrap/>
            <w:vAlign w:val="center"/>
            <w:hideMark/>
          </w:tcPr>
          <w:p w14:paraId="724CC081" w14:textId="77777777" w:rsidR="00B16BD1" w:rsidRPr="0054361A" w:rsidRDefault="00B16BD1" w:rsidP="0028297C">
            <w:pPr>
              <w:jc w:val="center"/>
              <w:rPr>
                <w:rFonts w:ascii="Arial" w:hAnsi="Arial"/>
                <w:sz w:val="22"/>
              </w:rPr>
            </w:pPr>
            <w:r w:rsidRPr="0054361A">
              <w:rPr>
                <w:rFonts w:ascii="Arial" w:hAnsi="Arial"/>
                <w:sz w:val="22"/>
              </w:rPr>
              <w:t>Good</w:t>
            </w:r>
          </w:p>
        </w:tc>
        <w:tc>
          <w:tcPr>
            <w:tcW w:w="1261" w:type="dxa"/>
            <w:tcBorders>
              <w:top w:val="single" w:sz="4" w:space="0" w:color="auto"/>
              <w:left w:val="nil"/>
              <w:bottom w:val="single" w:sz="4" w:space="0" w:color="auto"/>
              <w:right w:val="single" w:sz="4" w:space="0" w:color="auto"/>
            </w:tcBorders>
            <w:noWrap/>
            <w:vAlign w:val="center"/>
            <w:hideMark/>
          </w:tcPr>
          <w:p w14:paraId="0581FE97" w14:textId="77777777" w:rsidR="00B16BD1" w:rsidRPr="0054361A" w:rsidRDefault="00B16BD1" w:rsidP="0028297C">
            <w:pPr>
              <w:jc w:val="center"/>
              <w:rPr>
                <w:rFonts w:ascii="Arial" w:hAnsi="Arial"/>
                <w:sz w:val="22"/>
              </w:rPr>
            </w:pPr>
            <w:r w:rsidRPr="0054361A">
              <w:rPr>
                <w:rFonts w:ascii="Arial" w:hAnsi="Arial"/>
                <w:sz w:val="22"/>
              </w:rPr>
              <w:t>Bad</w:t>
            </w:r>
          </w:p>
        </w:tc>
      </w:tr>
      <w:tr w:rsidR="00B16BD1" w:rsidRPr="0028297C" w14:paraId="4C0859FE" w14:textId="77777777" w:rsidTr="0054361A">
        <w:trPr>
          <w:trHeight w:val="288"/>
        </w:trPr>
        <w:tc>
          <w:tcPr>
            <w:tcW w:w="7680" w:type="dxa"/>
            <w:gridSpan w:val="5"/>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4B26CE6" w14:textId="38FDE4E7" w:rsidR="00B16BD1" w:rsidRPr="0054361A" w:rsidRDefault="00B16BD1" w:rsidP="0028297C">
            <w:pPr>
              <w:jc w:val="center"/>
              <w:rPr>
                <w:rFonts w:ascii="Arial" w:hAnsi="Arial"/>
                <w:sz w:val="22"/>
              </w:rPr>
            </w:pPr>
          </w:p>
        </w:tc>
      </w:tr>
      <w:tr w:rsidR="00B16BD1" w:rsidRPr="0028297C" w14:paraId="385521E5" w14:textId="77777777" w:rsidTr="0054361A">
        <w:trPr>
          <w:trHeight w:val="288"/>
        </w:trPr>
        <w:tc>
          <w:tcPr>
            <w:tcW w:w="3009" w:type="dxa"/>
            <w:tcBorders>
              <w:top w:val="single" w:sz="4" w:space="0" w:color="auto"/>
              <w:left w:val="single" w:sz="4" w:space="0" w:color="auto"/>
              <w:bottom w:val="single" w:sz="4" w:space="0" w:color="auto"/>
              <w:right w:val="single" w:sz="4" w:space="0" w:color="auto"/>
            </w:tcBorders>
            <w:noWrap/>
            <w:vAlign w:val="center"/>
            <w:hideMark/>
          </w:tcPr>
          <w:p w14:paraId="77714614" w14:textId="77777777" w:rsidR="00B16BD1" w:rsidRPr="0054361A" w:rsidRDefault="00B16BD1" w:rsidP="0054361A">
            <w:pPr>
              <w:jc w:val="center"/>
              <w:rPr>
                <w:rFonts w:ascii="Arial" w:hAnsi="Arial"/>
                <w:sz w:val="22"/>
              </w:rPr>
            </w:pPr>
            <w:r w:rsidRPr="0054361A">
              <w:rPr>
                <w:rFonts w:ascii="Arial" w:hAnsi="Arial"/>
                <w:sz w:val="22"/>
              </w:rPr>
              <w:t>A-6, A-7, A-8</w:t>
            </w:r>
          </w:p>
        </w:tc>
        <w:tc>
          <w:tcPr>
            <w:tcW w:w="2149" w:type="dxa"/>
            <w:gridSpan w:val="2"/>
            <w:tcBorders>
              <w:top w:val="single" w:sz="4" w:space="0" w:color="auto"/>
              <w:left w:val="nil"/>
              <w:bottom w:val="single" w:sz="4" w:space="0" w:color="auto"/>
              <w:right w:val="single" w:sz="4" w:space="0" w:color="auto"/>
            </w:tcBorders>
            <w:noWrap/>
            <w:vAlign w:val="center"/>
            <w:hideMark/>
          </w:tcPr>
          <w:p w14:paraId="4F9A612E" w14:textId="77777777" w:rsidR="00B16BD1" w:rsidRPr="0054361A" w:rsidRDefault="00B16BD1" w:rsidP="0028297C">
            <w:pPr>
              <w:jc w:val="center"/>
              <w:rPr>
                <w:rFonts w:ascii="Arial" w:hAnsi="Arial"/>
                <w:sz w:val="22"/>
              </w:rPr>
            </w:pPr>
            <w:r w:rsidRPr="0054361A">
              <w:rPr>
                <w:rFonts w:ascii="Arial" w:hAnsi="Arial"/>
                <w:sz w:val="22"/>
              </w:rPr>
              <w:t>Bad</w:t>
            </w:r>
          </w:p>
        </w:tc>
        <w:tc>
          <w:tcPr>
            <w:tcW w:w="2522" w:type="dxa"/>
            <w:gridSpan w:val="2"/>
            <w:tcBorders>
              <w:top w:val="single" w:sz="4" w:space="0" w:color="auto"/>
              <w:left w:val="nil"/>
              <w:bottom w:val="single" w:sz="4" w:space="0" w:color="auto"/>
              <w:right w:val="single" w:sz="4" w:space="0" w:color="auto"/>
            </w:tcBorders>
            <w:shd w:val="clear" w:color="000000" w:fill="C0C0C0"/>
            <w:noWrap/>
            <w:vAlign w:val="center"/>
            <w:hideMark/>
          </w:tcPr>
          <w:p w14:paraId="708EFB8C" w14:textId="7F43392C" w:rsidR="00B16BD1" w:rsidRPr="0054361A" w:rsidRDefault="00B16BD1" w:rsidP="0028297C">
            <w:pPr>
              <w:jc w:val="center"/>
              <w:rPr>
                <w:rFonts w:ascii="Arial" w:hAnsi="Arial"/>
                <w:sz w:val="22"/>
              </w:rPr>
            </w:pPr>
          </w:p>
        </w:tc>
      </w:tr>
      <w:tr w:rsidR="00B16BD1" w:rsidRPr="0028297C" w14:paraId="2EBB0D19" w14:textId="77777777" w:rsidTr="0054361A">
        <w:trPr>
          <w:trHeight w:val="288"/>
        </w:trPr>
        <w:tc>
          <w:tcPr>
            <w:tcW w:w="7680" w:type="dxa"/>
            <w:gridSpan w:val="5"/>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0227BB" w14:textId="50F54338" w:rsidR="00B16BD1" w:rsidRPr="0054361A" w:rsidRDefault="00B16BD1" w:rsidP="0028297C">
            <w:pPr>
              <w:jc w:val="center"/>
              <w:rPr>
                <w:rFonts w:ascii="Arial" w:hAnsi="Arial"/>
                <w:sz w:val="22"/>
              </w:rPr>
            </w:pPr>
          </w:p>
        </w:tc>
      </w:tr>
      <w:tr w:rsidR="00B16BD1" w:rsidRPr="0028297C" w14:paraId="5964708F" w14:textId="77777777" w:rsidTr="0054361A">
        <w:trPr>
          <w:trHeight w:val="288"/>
        </w:trPr>
        <w:tc>
          <w:tcPr>
            <w:tcW w:w="3009" w:type="dxa"/>
            <w:tcBorders>
              <w:top w:val="single" w:sz="4" w:space="0" w:color="auto"/>
              <w:left w:val="single" w:sz="4" w:space="0" w:color="auto"/>
              <w:bottom w:val="single" w:sz="4" w:space="0" w:color="auto"/>
              <w:right w:val="single" w:sz="4" w:space="0" w:color="auto"/>
            </w:tcBorders>
            <w:noWrap/>
            <w:vAlign w:val="center"/>
            <w:hideMark/>
          </w:tcPr>
          <w:p w14:paraId="58F23B97" w14:textId="77777777" w:rsidR="00B16BD1" w:rsidRPr="0054361A" w:rsidRDefault="00B16BD1" w:rsidP="0054361A">
            <w:pPr>
              <w:jc w:val="center"/>
              <w:rPr>
                <w:rFonts w:ascii="Arial" w:hAnsi="Arial"/>
                <w:sz w:val="22"/>
              </w:rPr>
            </w:pPr>
            <w:r w:rsidRPr="0054361A">
              <w:rPr>
                <w:rFonts w:ascii="Arial" w:hAnsi="Arial"/>
                <w:sz w:val="22"/>
              </w:rPr>
              <w:t>All Others</w:t>
            </w:r>
          </w:p>
        </w:tc>
        <w:tc>
          <w:tcPr>
            <w:tcW w:w="1075" w:type="dxa"/>
            <w:tcBorders>
              <w:top w:val="single" w:sz="4" w:space="0" w:color="auto"/>
              <w:left w:val="nil"/>
              <w:bottom w:val="single" w:sz="4" w:space="0" w:color="auto"/>
              <w:right w:val="single" w:sz="4" w:space="0" w:color="auto"/>
            </w:tcBorders>
            <w:noWrap/>
            <w:vAlign w:val="center"/>
            <w:hideMark/>
          </w:tcPr>
          <w:p w14:paraId="5FE502F2" w14:textId="77777777" w:rsidR="00B16BD1" w:rsidRPr="0054361A" w:rsidRDefault="00B16BD1" w:rsidP="0028297C">
            <w:pPr>
              <w:jc w:val="center"/>
              <w:rPr>
                <w:rFonts w:ascii="Arial" w:hAnsi="Arial"/>
                <w:sz w:val="22"/>
              </w:rPr>
            </w:pPr>
            <w:r w:rsidRPr="0054361A">
              <w:rPr>
                <w:rFonts w:ascii="Arial" w:hAnsi="Arial"/>
                <w:sz w:val="22"/>
              </w:rPr>
              <w:t>Good</w:t>
            </w:r>
          </w:p>
        </w:tc>
        <w:tc>
          <w:tcPr>
            <w:tcW w:w="1074" w:type="dxa"/>
            <w:tcBorders>
              <w:top w:val="single" w:sz="4" w:space="0" w:color="auto"/>
              <w:left w:val="nil"/>
              <w:bottom w:val="single" w:sz="4" w:space="0" w:color="auto"/>
              <w:right w:val="single" w:sz="4" w:space="0" w:color="auto"/>
            </w:tcBorders>
            <w:noWrap/>
            <w:vAlign w:val="center"/>
            <w:hideMark/>
          </w:tcPr>
          <w:p w14:paraId="6FAED7C0" w14:textId="77777777" w:rsidR="00B16BD1" w:rsidRPr="0054361A" w:rsidRDefault="00B16BD1" w:rsidP="0028297C">
            <w:pPr>
              <w:jc w:val="center"/>
              <w:rPr>
                <w:rFonts w:ascii="Arial" w:hAnsi="Arial"/>
                <w:sz w:val="22"/>
              </w:rPr>
            </w:pPr>
            <w:r w:rsidRPr="0054361A">
              <w:rPr>
                <w:rFonts w:ascii="Arial" w:hAnsi="Arial"/>
                <w:sz w:val="22"/>
              </w:rPr>
              <w:t>Bad</w:t>
            </w:r>
          </w:p>
        </w:tc>
        <w:tc>
          <w:tcPr>
            <w:tcW w:w="2522" w:type="dxa"/>
            <w:gridSpan w:val="2"/>
            <w:tcBorders>
              <w:top w:val="single" w:sz="4" w:space="0" w:color="auto"/>
              <w:left w:val="nil"/>
              <w:bottom w:val="single" w:sz="4" w:space="0" w:color="auto"/>
              <w:right w:val="single" w:sz="4" w:space="0" w:color="auto"/>
            </w:tcBorders>
            <w:shd w:val="clear" w:color="000000" w:fill="C0C0C0"/>
            <w:noWrap/>
            <w:vAlign w:val="center"/>
            <w:hideMark/>
          </w:tcPr>
          <w:p w14:paraId="2197D8CA" w14:textId="6C20AD75" w:rsidR="00B16BD1" w:rsidRPr="0054361A" w:rsidRDefault="00B16BD1" w:rsidP="0028297C">
            <w:pPr>
              <w:jc w:val="center"/>
              <w:rPr>
                <w:rFonts w:ascii="Arial" w:hAnsi="Arial"/>
                <w:sz w:val="22"/>
              </w:rPr>
            </w:pPr>
          </w:p>
        </w:tc>
      </w:tr>
    </w:tbl>
    <w:p w14:paraId="2FD8A502" w14:textId="13A00978" w:rsidR="00B16BD1" w:rsidRPr="001130A9" w:rsidRDefault="0028297C" w:rsidP="0037583B">
      <w:pPr>
        <w:ind w:left="1080"/>
        <w:jc w:val="both"/>
        <w:rPr>
          <w:rFonts w:ascii="Arial" w:hAnsi="Arial" w:cs="Arial"/>
          <w:sz w:val="18"/>
          <w:szCs w:val="18"/>
        </w:rPr>
      </w:pPr>
      <w:r w:rsidRPr="001130A9">
        <w:rPr>
          <w:rFonts w:ascii="Arial" w:hAnsi="Arial" w:cs="Arial"/>
          <w:sz w:val="18"/>
          <w:szCs w:val="18"/>
        </w:rPr>
        <w:t>Notes:</w:t>
      </w:r>
    </w:p>
    <w:p w14:paraId="61F16BB1" w14:textId="6F381F17" w:rsidR="0028297C" w:rsidRPr="001130A9" w:rsidRDefault="0028297C" w:rsidP="00172E64">
      <w:pPr>
        <w:pStyle w:val="ListParagraph"/>
        <w:numPr>
          <w:ilvl w:val="3"/>
          <w:numId w:val="44"/>
        </w:numPr>
        <w:ind w:left="1440"/>
        <w:jc w:val="both"/>
        <w:rPr>
          <w:rFonts w:ascii="Arial" w:hAnsi="Arial" w:cs="Arial"/>
          <w:sz w:val="18"/>
          <w:szCs w:val="18"/>
        </w:rPr>
      </w:pPr>
      <w:r w:rsidRPr="001130A9">
        <w:rPr>
          <w:rFonts w:ascii="Arial" w:hAnsi="Arial" w:cs="Arial"/>
          <w:sz w:val="18"/>
          <w:szCs w:val="18"/>
        </w:rPr>
        <w:t>Note: For purposes of this chart, if a sample is noted as saturated or liquefied, then MC is considered to be greater than the PL or 20%.</w:t>
      </w:r>
    </w:p>
    <w:p w14:paraId="1A13DEF0" w14:textId="59439699" w:rsidR="0028297C" w:rsidRPr="001130A9" w:rsidRDefault="0028297C" w:rsidP="00172E64">
      <w:pPr>
        <w:pStyle w:val="ListParagraph"/>
        <w:numPr>
          <w:ilvl w:val="3"/>
          <w:numId w:val="44"/>
        </w:numPr>
        <w:ind w:left="1440"/>
        <w:jc w:val="both"/>
        <w:rPr>
          <w:rFonts w:ascii="Arial" w:hAnsi="Arial" w:cs="Arial"/>
          <w:sz w:val="18"/>
          <w:szCs w:val="18"/>
        </w:rPr>
      </w:pPr>
      <w:r w:rsidRPr="001130A9">
        <w:rPr>
          <w:rFonts w:ascii="Arial" w:hAnsi="Arial" w:cs="Arial"/>
          <w:sz w:val="18"/>
          <w:szCs w:val="18"/>
        </w:rPr>
        <w:t>For each boring, determine whether it is considered "good" or "bad."  Apply % of bad borings vs. total to determine % of project area for which Class 1A is appropriate.</w:t>
      </w:r>
    </w:p>
    <w:p w14:paraId="2EBF7786" w14:textId="77777777" w:rsidR="0028297C" w:rsidRDefault="0028297C" w:rsidP="0037583B">
      <w:pPr>
        <w:ind w:left="1080"/>
        <w:jc w:val="both"/>
        <w:rPr>
          <w:rFonts w:ascii="Arial" w:hAnsi="Arial" w:cs="Arial"/>
        </w:rPr>
      </w:pPr>
    </w:p>
    <w:p w14:paraId="253EFB65" w14:textId="3BA07E30" w:rsidR="00404AF1" w:rsidRPr="0054361A" w:rsidRDefault="00404AF1" w:rsidP="0037583B">
      <w:pPr>
        <w:ind w:left="1080"/>
        <w:jc w:val="both"/>
        <w:rPr>
          <w:rFonts w:ascii="Arial" w:hAnsi="Arial"/>
          <w:sz w:val="22"/>
        </w:rPr>
      </w:pPr>
      <w:r w:rsidRPr="0054361A">
        <w:rPr>
          <w:rFonts w:ascii="Arial" w:hAnsi="Arial"/>
          <w:sz w:val="22"/>
        </w:rPr>
        <w:t xml:space="preserve">For areas with factors noted above indicating Class 1-A Excavation may be necessary, the quantity of Class 1-A Excavation may be determined as follows: </w:t>
      </w:r>
    </w:p>
    <w:p w14:paraId="25E22FE3" w14:textId="1715BED9" w:rsidR="0028297C" w:rsidRDefault="0028297C" w:rsidP="0037583B">
      <w:pPr>
        <w:ind w:left="1080"/>
        <w:rPr>
          <w:rFonts w:ascii="Arial" w:hAnsi="Arial" w:cs="Arial"/>
          <w:sz w:val="22"/>
          <w:szCs w:val="22"/>
        </w:rPr>
      </w:pPr>
    </w:p>
    <w:p w14:paraId="2CE8B3FE" w14:textId="20C68785" w:rsidR="0028297C" w:rsidRDefault="00404AF1" w:rsidP="0028297C">
      <w:pPr>
        <w:tabs>
          <w:tab w:val="left" w:pos="1440"/>
          <w:tab w:val="left" w:pos="1800"/>
        </w:tabs>
        <w:ind w:left="1080"/>
        <w:rPr>
          <w:rFonts w:ascii="Arial" w:hAnsi="Arial" w:cs="Arial"/>
          <w:sz w:val="22"/>
          <w:szCs w:val="22"/>
        </w:rPr>
      </w:pPr>
      <w:r w:rsidRPr="0054361A">
        <w:rPr>
          <w:rFonts w:ascii="Arial" w:hAnsi="Arial"/>
          <w:sz w:val="22"/>
        </w:rPr>
        <w:t xml:space="preserve">L </w:t>
      </w:r>
      <w:r w:rsidR="0028297C">
        <w:rPr>
          <w:rFonts w:ascii="Arial" w:hAnsi="Arial" w:cs="Arial"/>
          <w:sz w:val="22"/>
          <w:szCs w:val="22"/>
        </w:rPr>
        <w:tab/>
      </w:r>
      <w:r w:rsidRPr="0028297C">
        <w:rPr>
          <w:rFonts w:ascii="Arial" w:hAnsi="Arial" w:cs="Arial"/>
          <w:sz w:val="22"/>
          <w:szCs w:val="22"/>
        </w:rPr>
        <w:t xml:space="preserve">= </w:t>
      </w:r>
      <w:r w:rsidR="0028297C">
        <w:rPr>
          <w:rFonts w:ascii="Arial" w:hAnsi="Arial" w:cs="Arial"/>
          <w:sz w:val="22"/>
          <w:szCs w:val="22"/>
        </w:rPr>
        <w:tab/>
      </w:r>
      <w:r w:rsidRPr="0054361A">
        <w:rPr>
          <w:rFonts w:ascii="Arial" w:hAnsi="Arial"/>
          <w:sz w:val="22"/>
        </w:rPr>
        <w:t xml:space="preserve">Length of Area in </w:t>
      </w:r>
      <w:r w:rsidRPr="0028297C">
        <w:rPr>
          <w:rFonts w:ascii="Arial" w:hAnsi="Arial" w:cs="Arial"/>
          <w:sz w:val="22"/>
          <w:szCs w:val="22"/>
        </w:rPr>
        <w:t>f</w:t>
      </w:r>
      <w:r w:rsidR="0088791C">
        <w:rPr>
          <w:rFonts w:ascii="Arial" w:hAnsi="Arial" w:cs="Arial"/>
          <w:sz w:val="22"/>
          <w:szCs w:val="22"/>
        </w:rPr>
        <w:t>ee</w:t>
      </w:r>
      <w:r w:rsidRPr="0028297C">
        <w:rPr>
          <w:rFonts w:ascii="Arial" w:hAnsi="Arial" w:cs="Arial"/>
          <w:sz w:val="22"/>
          <w:szCs w:val="22"/>
        </w:rPr>
        <w:t>t</w:t>
      </w:r>
    </w:p>
    <w:p w14:paraId="7C3F17F9" w14:textId="5628C5E4" w:rsidR="00404AF1" w:rsidRPr="0054361A" w:rsidRDefault="00404AF1" w:rsidP="0054361A">
      <w:pPr>
        <w:tabs>
          <w:tab w:val="left" w:pos="1440"/>
          <w:tab w:val="left" w:pos="1800"/>
        </w:tabs>
        <w:ind w:left="1080"/>
        <w:rPr>
          <w:rFonts w:ascii="Arial" w:hAnsi="Arial"/>
          <w:sz w:val="22"/>
        </w:rPr>
      </w:pPr>
      <w:r w:rsidRPr="0054361A">
        <w:rPr>
          <w:rFonts w:ascii="Arial" w:hAnsi="Arial"/>
          <w:sz w:val="22"/>
        </w:rPr>
        <w:t xml:space="preserve">W </w:t>
      </w:r>
      <w:r w:rsidR="0028297C">
        <w:rPr>
          <w:rFonts w:ascii="Arial" w:hAnsi="Arial" w:cs="Arial"/>
          <w:sz w:val="22"/>
          <w:szCs w:val="22"/>
        </w:rPr>
        <w:tab/>
      </w:r>
      <w:r w:rsidRPr="0028297C">
        <w:rPr>
          <w:rFonts w:ascii="Arial" w:hAnsi="Arial" w:cs="Arial"/>
          <w:sz w:val="22"/>
          <w:szCs w:val="22"/>
        </w:rPr>
        <w:t xml:space="preserve">= </w:t>
      </w:r>
      <w:r w:rsidR="0028297C">
        <w:rPr>
          <w:rFonts w:ascii="Arial" w:hAnsi="Arial" w:cs="Arial"/>
          <w:sz w:val="22"/>
          <w:szCs w:val="22"/>
        </w:rPr>
        <w:tab/>
        <w:t>A</w:t>
      </w:r>
      <w:r w:rsidRPr="0028297C">
        <w:rPr>
          <w:rFonts w:ascii="Arial" w:hAnsi="Arial" w:cs="Arial"/>
          <w:sz w:val="22"/>
          <w:szCs w:val="22"/>
        </w:rPr>
        <w:t>verage</w:t>
      </w:r>
      <w:r w:rsidRPr="0054361A">
        <w:rPr>
          <w:rFonts w:ascii="Arial" w:hAnsi="Arial"/>
          <w:sz w:val="22"/>
        </w:rPr>
        <w:t xml:space="preserve"> width of the area in </w:t>
      </w:r>
      <w:r w:rsidRPr="0028297C">
        <w:rPr>
          <w:rFonts w:ascii="Arial" w:hAnsi="Arial" w:cs="Arial"/>
          <w:sz w:val="22"/>
          <w:szCs w:val="22"/>
        </w:rPr>
        <w:t>f</w:t>
      </w:r>
      <w:r w:rsidR="0088791C">
        <w:rPr>
          <w:rFonts w:ascii="Arial" w:hAnsi="Arial" w:cs="Arial"/>
          <w:sz w:val="22"/>
          <w:szCs w:val="22"/>
        </w:rPr>
        <w:t>ee</w:t>
      </w:r>
      <w:r w:rsidRPr="0028297C">
        <w:rPr>
          <w:rFonts w:ascii="Arial" w:hAnsi="Arial" w:cs="Arial"/>
          <w:sz w:val="22"/>
          <w:szCs w:val="22"/>
        </w:rPr>
        <w:t>t</w:t>
      </w:r>
    </w:p>
    <w:p w14:paraId="1B8793D6" w14:textId="4A058009" w:rsidR="00404AF1" w:rsidRPr="0054361A" w:rsidRDefault="00404AF1" w:rsidP="0054361A">
      <w:pPr>
        <w:tabs>
          <w:tab w:val="left" w:pos="1440"/>
          <w:tab w:val="left" w:pos="1800"/>
        </w:tabs>
        <w:ind w:left="1800" w:hanging="720"/>
        <w:rPr>
          <w:rFonts w:ascii="Arial" w:hAnsi="Arial"/>
          <w:sz w:val="22"/>
        </w:rPr>
      </w:pPr>
      <w:r w:rsidRPr="0054361A">
        <w:rPr>
          <w:rFonts w:ascii="Arial" w:hAnsi="Arial"/>
          <w:sz w:val="22"/>
        </w:rPr>
        <w:t xml:space="preserve">D </w:t>
      </w:r>
      <w:r w:rsidR="0028297C">
        <w:rPr>
          <w:rFonts w:ascii="Arial" w:hAnsi="Arial" w:cs="Arial"/>
          <w:sz w:val="22"/>
          <w:szCs w:val="22"/>
        </w:rPr>
        <w:tab/>
      </w:r>
      <w:r w:rsidRPr="0028297C">
        <w:rPr>
          <w:rFonts w:ascii="Arial" w:hAnsi="Arial" w:cs="Arial"/>
          <w:sz w:val="22"/>
          <w:szCs w:val="22"/>
        </w:rPr>
        <w:t xml:space="preserve">= </w:t>
      </w:r>
      <w:r w:rsidR="0028297C">
        <w:rPr>
          <w:rFonts w:ascii="Arial" w:hAnsi="Arial" w:cs="Arial"/>
          <w:sz w:val="22"/>
          <w:szCs w:val="22"/>
        </w:rPr>
        <w:tab/>
        <w:t>A</w:t>
      </w:r>
      <w:r w:rsidRPr="0028297C">
        <w:rPr>
          <w:rFonts w:ascii="Arial" w:hAnsi="Arial" w:cs="Arial"/>
          <w:sz w:val="22"/>
          <w:szCs w:val="22"/>
        </w:rPr>
        <w:t>nticipated</w:t>
      </w:r>
      <w:r w:rsidRPr="0054361A">
        <w:rPr>
          <w:rFonts w:ascii="Arial" w:hAnsi="Arial"/>
          <w:sz w:val="22"/>
        </w:rPr>
        <w:t xml:space="preserve"> Class 1-A Excavation depth representing the </w:t>
      </w:r>
      <w:r w:rsidR="0028297C" w:rsidRPr="0054361A">
        <w:rPr>
          <w:rFonts w:ascii="Arial" w:hAnsi="Arial"/>
          <w:sz w:val="22"/>
        </w:rPr>
        <w:t>area (</w:t>
      </w:r>
      <w:r w:rsidRPr="0054361A">
        <w:rPr>
          <w:rFonts w:ascii="Arial" w:hAnsi="Arial"/>
          <w:sz w:val="22"/>
        </w:rPr>
        <w:t xml:space="preserve">usually 1 </w:t>
      </w:r>
      <w:r w:rsidRPr="0028297C">
        <w:rPr>
          <w:rFonts w:ascii="Arial" w:hAnsi="Arial" w:cs="Arial"/>
          <w:sz w:val="22"/>
          <w:szCs w:val="22"/>
        </w:rPr>
        <w:t>f</w:t>
      </w:r>
      <w:r w:rsidR="0088791C">
        <w:rPr>
          <w:rFonts w:ascii="Arial" w:hAnsi="Arial" w:cs="Arial"/>
          <w:sz w:val="22"/>
          <w:szCs w:val="22"/>
        </w:rPr>
        <w:t>oo</w:t>
      </w:r>
      <w:r w:rsidRPr="0028297C">
        <w:rPr>
          <w:rFonts w:ascii="Arial" w:hAnsi="Arial" w:cs="Arial"/>
          <w:sz w:val="22"/>
          <w:szCs w:val="22"/>
        </w:rPr>
        <w:t>t</w:t>
      </w:r>
      <w:r w:rsidRPr="0054361A">
        <w:rPr>
          <w:rFonts w:ascii="Arial" w:hAnsi="Arial"/>
          <w:sz w:val="22"/>
        </w:rPr>
        <w:t>)</w:t>
      </w:r>
    </w:p>
    <w:p w14:paraId="3B3F2D44" w14:textId="3BBF06C3" w:rsidR="00404AF1" w:rsidRPr="0054361A" w:rsidRDefault="00404AF1" w:rsidP="0054361A">
      <w:pPr>
        <w:tabs>
          <w:tab w:val="left" w:pos="1440"/>
          <w:tab w:val="left" w:pos="1800"/>
        </w:tabs>
        <w:ind w:left="1080"/>
        <w:rPr>
          <w:rFonts w:ascii="Arial" w:hAnsi="Arial"/>
          <w:sz w:val="22"/>
        </w:rPr>
      </w:pPr>
      <w:r w:rsidRPr="0054361A">
        <w:rPr>
          <w:rFonts w:ascii="Arial" w:hAnsi="Arial"/>
          <w:sz w:val="22"/>
        </w:rPr>
        <w:t xml:space="preserve">TB </w:t>
      </w:r>
      <w:r w:rsidR="0028297C">
        <w:rPr>
          <w:rFonts w:ascii="Arial" w:hAnsi="Arial" w:cs="Arial"/>
          <w:sz w:val="22"/>
          <w:szCs w:val="22"/>
        </w:rPr>
        <w:tab/>
      </w:r>
      <w:r w:rsidRPr="0028297C">
        <w:rPr>
          <w:rFonts w:ascii="Arial" w:hAnsi="Arial" w:cs="Arial"/>
          <w:sz w:val="22"/>
          <w:szCs w:val="22"/>
        </w:rPr>
        <w:t xml:space="preserve">= </w:t>
      </w:r>
      <w:r w:rsidR="0028297C">
        <w:rPr>
          <w:rFonts w:ascii="Arial" w:hAnsi="Arial" w:cs="Arial"/>
          <w:sz w:val="22"/>
          <w:szCs w:val="22"/>
        </w:rPr>
        <w:tab/>
        <w:t>T</w:t>
      </w:r>
      <w:r w:rsidRPr="0028297C">
        <w:rPr>
          <w:rFonts w:ascii="Arial" w:hAnsi="Arial" w:cs="Arial"/>
          <w:sz w:val="22"/>
          <w:szCs w:val="22"/>
        </w:rPr>
        <w:t>otal</w:t>
      </w:r>
      <w:r w:rsidRPr="0054361A">
        <w:rPr>
          <w:rFonts w:ascii="Arial" w:hAnsi="Arial"/>
          <w:sz w:val="22"/>
        </w:rPr>
        <w:t xml:space="preserve"> number of borings representing the area</w:t>
      </w:r>
    </w:p>
    <w:p w14:paraId="62CF6C4A" w14:textId="4A0E40D3" w:rsidR="0028297C" w:rsidRDefault="00251213" w:rsidP="0028297C">
      <w:pPr>
        <w:tabs>
          <w:tab w:val="left" w:pos="1440"/>
          <w:tab w:val="left" w:pos="1800"/>
        </w:tabs>
        <w:ind w:left="1080"/>
        <w:rPr>
          <w:rFonts w:ascii="Arial" w:hAnsi="Arial" w:cs="Arial"/>
          <w:sz w:val="22"/>
          <w:szCs w:val="22"/>
        </w:rPr>
      </w:pPr>
      <w:r w:rsidRPr="0054361A">
        <w:rPr>
          <w:rFonts w:ascii="Arial" w:hAnsi="Arial"/>
          <w:sz w:val="22"/>
        </w:rPr>
        <w:t>P</w:t>
      </w:r>
      <w:r w:rsidR="00404AF1" w:rsidRPr="0054361A">
        <w:rPr>
          <w:rFonts w:ascii="Arial" w:hAnsi="Arial"/>
          <w:sz w:val="22"/>
        </w:rPr>
        <w:t xml:space="preserve">B </w:t>
      </w:r>
      <w:r w:rsidR="0028297C">
        <w:rPr>
          <w:rFonts w:ascii="Arial" w:hAnsi="Arial" w:cs="Arial"/>
          <w:sz w:val="22"/>
          <w:szCs w:val="22"/>
        </w:rPr>
        <w:tab/>
      </w:r>
      <w:r w:rsidR="00404AF1" w:rsidRPr="0028297C">
        <w:rPr>
          <w:rFonts w:ascii="Arial" w:hAnsi="Arial" w:cs="Arial"/>
          <w:sz w:val="22"/>
          <w:szCs w:val="22"/>
        </w:rPr>
        <w:t xml:space="preserve">= </w:t>
      </w:r>
      <w:r w:rsidR="0028297C">
        <w:rPr>
          <w:rFonts w:ascii="Arial" w:hAnsi="Arial" w:cs="Arial"/>
          <w:sz w:val="22"/>
          <w:szCs w:val="22"/>
        </w:rPr>
        <w:tab/>
        <w:t>T</w:t>
      </w:r>
      <w:r w:rsidR="00404AF1" w:rsidRPr="0028297C">
        <w:rPr>
          <w:rFonts w:ascii="Arial" w:hAnsi="Arial" w:cs="Arial"/>
          <w:sz w:val="22"/>
          <w:szCs w:val="22"/>
        </w:rPr>
        <w:t>he</w:t>
      </w:r>
      <w:r w:rsidR="00404AF1" w:rsidRPr="0054361A">
        <w:rPr>
          <w:rFonts w:ascii="Arial" w:hAnsi="Arial"/>
          <w:sz w:val="22"/>
        </w:rPr>
        <w:t xml:space="preserve"> number of borings that indicate Class 1-A may be</w:t>
      </w:r>
      <w:r w:rsidR="0028297C" w:rsidRPr="0054361A">
        <w:rPr>
          <w:rFonts w:ascii="Arial" w:hAnsi="Arial"/>
          <w:sz w:val="22"/>
        </w:rPr>
        <w:t xml:space="preserve"> </w:t>
      </w:r>
      <w:r w:rsidR="00404AF1" w:rsidRPr="0054361A">
        <w:rPr>
          <w:rFonts w:ascii="Arial" w:hAnsi="Arial"/>
          <w:sz w:val="22"/>
        </w:rPr>
        <w:t>necessary</w:t>
      </w:r>
    </w:p>
    <w:p w14:paraId="11369FF9" w14:textId="7048D653" w:rsidR="0028297C" w:rsidRDefault="0028297C" w:rsidP="0028297C">
      <w:pPr>
        <w:tabs>
          <w:tab w:val="left" w:pos="1440"/>
          <w:tab w:val="left" w:pos="1800"/>
        </w:tabs>
        <w:ind w:left="1080"/>
        <w:rPr>
          <w:rFonts w:ascii="Arial" w:hAnsi="Arial" w:cs="Arial"/>
          <w:sz w:val="22"/>
          <w:szCs w:val="22"/>
        </w:rPr>
      </w:pPr>
    </w:p>
    <w:p w14:paraId="01B87036" w14:textId="306AE58E" w:rsidR="00404AF1" w:rsidRPr="0054361A" w:rsidRDefault="00404AF1" w:rsidP="004C0B53">
      <w:pPr>
        <w:tabs>
          <w:tab w:val="left" w:pos="1440"/>
          <w:tab w:val="left" w:pos="1800"/>
        </w:tabs>
        <w:ind w:left="1080"/>
        <w:rPr>
          <w:rFonts w:ascii="Arial" w:hAnsi="Arial"/>
          <w:sz w:val="22"/>
        </w:rPr>
      </w:pPr>
      <w:r w:rsidRPr="0054361A">
        <w:rPr>
          <w:rFonts w:ascii="Arial" w:hAnsi="Arial"/>
          <w:sz w:val="22"/>
        </w:rPr>
        <w:t>Quantity of Class 1-A (c</w:t>
      </w:r>
      <w:r w:rsidR="00251213" w:rsidRPr="0054361A">
        <w:rPr>
          <w:rFonts w:ascii="Arial" w:hAnsi="Arial"/>
          <w:sz w:val="22"/>
        </w:rPr>
        <w:t xml:space="preserve">ubic </w:t>
      </w:r>
      <w:r w:rsidRPr="0054361A">
        <w:rPr>
          <w:rFonts w:ascii="Arial" w:hAnsi="Arial"/>
          <w:sz w:val="22"/>
        </w:rPr>
        <w:t>y</w:t>
      </w:r>
      <w:r w:rsidR="00251213" w:rsidRPr="0054361A">
        <w:rPr>
          <w:rFonts w:ascii="Arial" w:hAnsi="Arial"/>
          <w:sz w:val="22"/>
        </w:rPr>
        <w:t>ar</w:t>
      </w:r>
      <w:r w:rsidRPr="0054361A">
        <w:rPr>
          <w:rFonts w:ascii="Arial" w:hAnsi="Arial"/>
          <w:sz w:val="22"/>
        </w:rPr>
        <w:t>ds) = (L X W X D) x (</w:t>
      </w:r>
      <w:r w:rsidR="00A1072F">
        <w:rPr>
          <w:rFonts w:ascii="Arial" w:hAnsi="Arial"/>
          <w:sz w:val="22"/>
        </w:rPr>
        <w:t>P</w:t>
      </w:r>
      <w:r w:rsidRPr="0054361A">
        <w:rPr>
          <w:rFonts w:ascii="Arial" w:hAnsi="Arial"/>
          <w:sz w:val="22"/>
        </w:rPr>
        <w:t>B÷TB) ÷ 27</w:t>
      </w:r>
    </w:p>
    <w:p w14:paraId="1BB56750" w14:textId="77777777" w:rsidR="00404AF1" w:rsidRPr="00152040" w:rsidRDefault="00404AF1" w:rsidP="0037583B">
      <w:pPr>
        <w:pStyle w:val="ListNumber"/>
        <w:tabs>
          <w:tab w:val="clear" w:pos="720"/>
        </w:tabs>
        <w:ind w:left="1080" w:firstLine="0"/>
        <w:jc w:val="both"/>
        <w:rPr>
          <w:rFonts w:cs="Arial"/>
          <w:szCs w:val="22"/>
        </w:rPr>
      </w:pPr>
      <w:r w:rsidRPr="00152040">
        <w:rPr>
          <w:rFonts w:cs="Arial"/>
          <w:szCs w:val="22"/>
        </w:rPr>
        <w:lastRenderedPageBreak/>
        <w:t xml:space="preserve">Refer to the Class 1-A Excavation Computation sheet in Appendix V in estimating the Class 1-A Excavation quantities and backfill required. </w:t>
      </w:r>
    </w:p>
    <w:p w14:paraId="297DCE96" w14:textId="77777777" w:rsidR="00404AF1" w:rsidRDefault="00404AF1" w:rsidP="0037583B">
      <w:pPr>
        <w:pStyle w:val="ListNumber"/>
        <w:tabs>
          <w:tab w:val="clear" w:pos="720"/>
        </w:tabs>
        <w:ind w:left="1080" w:firstLine="0"/>
        <w:jc w:val="both"/>
        <w:rPr>
          <w:rFonts w:cs="Arial"/>
          <w:szCs w:val="22"/>
        </w:rPr>
      </w:pPr>
      <w:r>
        <w:rPr>
          <w:rFonts w:cs="Arial"/>
          <w:szCs w:val="22"/>
        </w:rPr>
        <w:t>Within defined limits (station to station) of excavation for roadway, if the borings reveal unsuitable soils at subgrade elevation, the total excavation area should be factored based on total borings and problematic borings. The factor is obtained by the following formula:</w:t>
      </w:r>
    </w:p>
    <w:p w14:paraId="5A6B25D6" w14:textId="7D6AF83F" w:rsidR="00404AF1" w:rsidRDefault="00404AF1" w:rsidP="0054361A">
      <w:pPr>
        <w:pStyle w:val="ListNumber"/>
        <w:tabs>
          <w:tab w:val="clear" w:pos="720"/>
          <w:tab w:val="left" w:pos="3135"/>
        </w:tabs>
        <w:ind w:left="1080" w:firstLine="0"/>
        <w:jc w:val="center"/>
        <w:rPr>
          <w:rFonts w:cs="Arial"/>
          <w:szCs w:val="22"/>
        </w:rPr>
      </w:pPr>
      <w:r>
        <w:rPr>
          <w:rFonts w:cs="Arial"/>
          <w:szCs w:val="22"/>
        </w:rPr>
        <w:t xml:space="preserve">1 – </w:t>
      </w:r>
      <w:r w:rsidR="002E78A7">
        <w:rPr>
          <w:rFonts w:cs="Arial"/>
          <w:szCs w:val="22"/>
        </w:rPr>
        <w:t>[</w:t>
      </w:r>
      <w:r>
        <w:rPr>
          <w:rFonts w:cs="Arial"/>
          <w:szCs w:val="22"/>
        </w:rPr>
        <w:t>(TB-PB)/TB</w:t>
      </w:r>
      <w:r w:rsidR="002E78A7">
        <w:rPr>
          <w:rFonts w:cs="Arial"/>
          <w:szCs w:val="22"/>
        </w:rPr>
        <w:t>]</w:t>
      </w:r>
    </w:p>
    <w:p w14:paraId="60494B1B" w14:textId="0BC27AA2" w:rsidR="0028297C" w:rsidRDefault="00404AF1" w:rsidP="0037583B">
      <w:pPr>
        <w:pStyle w:val="ListNumber"/>
        <w:tabs>
          <w:tab w:val="clear" w:pos="720"/>
          <w:tab w:val="left" w:pos="3135"/>
        </w:tabs>
        <w:ind w:left="1080" w:firstLine="0"/>
        <w:jc w:val="both"/>
        <w:rPr>
          <w:rFonts w:cs="Arial"/>
          <w:szCs w:val="22"/>
        </w:rPr>
      </w:pPr>
      <w:r>
        <w:rPr>
          <w:rFonts w:cs="Arial"/>
          <w:szCs w:val="22"/>
        </w:rPr>
        <w:t>where</w:t>
      </w:r>
      <w:r w:rsidR="0028297C">
        <w:rPr>
          <w:rFonts w:cs="Arial"/>
          <w:szCs w:val="22"/>
        </w:rPr>
        <w:t>:</w:t>
      </w:r>
    </w:p>
    <w:p w14:paraId="195D4E21" w14:textId="77777777" w:rsidR="007400F0" w:rsidRDefault="007400F0" w:rsidP="007400F0">
      <w:pPr>
        <w:pStyle w:val="ListNumber"/>
        <w:tabs>
          <w:tab w:val="clear" w:pos="720"/>
          <w:tab w:val="left" w:pos="3135"/>
        </w:tabs>
        <w:spacing w:before="0"/>
        <w:ind w:left="1080" w:firstLine="0"/>
        <w:jc w:val="both"/>
        <w:rPr>
          <w:rFonts w:cs="Arial"/>
          <w:szCs w:val="22"/>
        </w:rPr>
      </w:pPr>
    </w:p>
    <w:p w14:paraId="5B97584F" w14:textId="1FAA2987" w:rsidR="00404AF1" w:rsidRDefault="00404AF1" w:rsidP="0054361A">
      <w:pPr>
        <w:pStyle w:val="ListNumber"/>
        <w:tabs>
          <w:tab w:val="clear" w:pos="720"/>
          <w:tab w:val="left" w:pos="3135"/>
        </w:tabs>
        <w:spacing w:before="0"/>
        <w:ind w:left="1440" w:firstLine="0"/>
        <w:jc w:val="both"/>
        <w:rPr>
          <w:rFonts w:cs="Arial"/>
          <w:szCs w:val="22"/>
        </w:rPr>
      </w:pPr>
      <w:r>
        <w:rPr>
          <w:rFonts w:cs="Arial"/>
          <w:szCs w:val="22"/>
        </w:rPr>
        <w:t>TB = total number of borings with defined limits (station to station)</w:t>
      </w:r>
    </w:p>
    <w:p w14:paraId="6D83AB18" w14:textId="7E0D3DB1" w:rsidR="00404AF1" w:rsidRDefault="00404AF1" w:rsidP="004C0B53">
      <w:pPr>
        <w:pStyle w:val="ListNumber"/>
        <w:tabs>
          <w:tab w:val="clear" w:pos="720"/>
          <w:tab w:val="left" w:pos="3135"/>
        </w:tabs>
        <w:spacing w:before="0"/>
        <w:ind w:left="1440" w:firstLine="0"/>
        <w:jc w:val="both"/>
        <w:rPr>
          <w:rFonts w:cs="Arial"/>
          <w:szCs w:val="22"/>
        </w:rPr>
      </w:pPr>
      <w:r>
        <w:rPr>
          <w:rFonts w:cs="Arial"/>
          <w:szCs w:val="22"/>
        </w:rPr>
        <w:t>PB = problematic number of borings with defined limits (station to</w:t>
      </w:r>
      <w:r w:rsidR="002E78A7">
        <w:rPr>
          <w:rFonts w:cs="Arial"/>
          <w:szCs w:val="22"/>
        </w:rPr>
        <w:t xml:space="preserve"> </w:t>
      </w:r>
      <w:r>
        <w:rPr>
          <w:rFonts w:cs="Arial"/>
          <w:szCs w:val="22"/>
        </w:rPr>
        <w:t>station)</w:t>
      </w:r>
    </w:p>
    <w:p w14:paraId="6F4796F3" w14:textId="050C5BF6" w:rsidR="00404AF1" w:rsidRDefault="00404AF1" w:rsidP="0037583B">
      <w:pPr>
        <w:pStyle w:val="ListNumber"/>
        <w:tabs>
          <w:tab w:val="clear" w:pos="720"/>
        </w:tabs>
        <w:ind w:left="1080" w:firstLine="0"/>
        <w:jc w:val="both"/>
        <w:rPr>
          <w:rFonts w:cs="Arial"/>
          <w:szCs w:val="22"/>
        </w:rPr>
      </w:pPr>
      <w:r>
        <w:rPr>
          <w:rFonts w:cs="Arial"/>
          <w:szCs w:val="22"/>
        </w:rPr>
        <w:t>Backfill for Class 1-A Excavation may be various materials</w:t>
      </w:r>
      <w:r w:rsidR="00A06642">
        <w:rPr>
          <w:rFonts w:cs="Arial"/>
          <w:szCs w:val="22"/>
        </w:rPr>
        <w:t>,</w:t>
      </w:r>
      <w:r>
        <w:rPr>
          <w:rFonts w:cs="Arial"/>
          <w:szCs w:val="22"/>
        </w:rPr>
        <w:t xml:space="preserve"> and selection depends on the geographical location of the project and material availability.</w:t>
      </w:r>
    </w:p>
    <w:p w14:paraId="4630AAA2" w14:textId="5D04BDAA" w:rsidR="00A06642" w:rsidRDefault="00404AF1" w:rsidP="0037583B">
      <w:pPr>
        <w:pStyle w:val="ListNumber"/>
        <w:tabs>
          <w:tab w:val="clear" w:pos="720"/>
        </w:tabs>
        <w:ind w:left="1080" w:firstLine="0"/>
        <w:jc w:val="both"/>
        <w:rPr>
          <w:rFonts w:cs="Arial"/>
          <w:szCs w:val="22"/>
        </w:rPr>
      </w:pPr>
      <w:r>
        <w:rPr>
          <w:rFonts w:cs="Arial"/>
          <w:szCs w:val="22"/>
        </w:rPr>
        <w:t xml:space="preserve">For areas below Top of Subgrade, Backfill for Class 1-A Excavation may be Geosynthetic Stabilized Subgrade using Graded Aggregate Base (GSSGAB), Select Borrow, Capping Borrow or Modified Borrow. Use the following based on the geography of </w:t>
      </w:r>
      <w:smartTag w:uri="urn:schemas-microsoft-com:office:smarttags" w:element="State">
        <w:smartTag w:uri="urn:schemas-microsoft-com:office:smarttags" w:element="place">
          <w:r>
            <w:rPr>
              <w:rFonts w:cs="Arial"/>
              <w:szCs w:val="22"/>
            </w:rPr>
            <w:t>Maryland</w:t>
          </w:r>
        </w:smartTag>
      </w:smartTag>
      <w:r>
        <w:rPr>
          <w:rFonts w:cs="Arial"/>
          <w:szCs w:val="22"/>
        </w:rPr>
        <w:t>.</w:t>
      </w:r>
    </w:p>
    <w:p w14:paraId="2876E363" w14:textId="157B317E" w:rsidR="00404AF1" w:rsidRDefault="00404AF1" w:rsidP="00A06642">
      <w:pPr>
        <w:pStyle w:val="ListNumber"/>
        <w:tabs>
          <w:tab w:val="clear" w:pos="720"/>
        </w:tabs>
        <w:spacing w:before="0"/>
        <w:ind w:left="1080" w:firstLine="0"/>
        <w:jc w:val="both"/>
        <w:rPr>
          <w:rFonts w:cs="Arial"/>
          <w:szCs w:val="22"/>
        </w:rPr>
      </w:pPr>
    </w:p>
    <w:p w14:paraId="73FE1139" w14:textId="19ED0118" w:rsidR="00404AF1" w:rsidRDefault="00404AF1" w:rsidP="0054361A">
      <w:pPr>
        <w:pStyle w:val="ListNumber"/>
        <w:tabs>
          <w:tab w:val="clear" w:pos="720"/>
          <w:tab w:val="left" w:pos="3240"/>
          <w:tab w:val="left" w:pos="3600"/>
        </w:tabs>
        <w:spacing w:before="0"/>
        <w:ind w:left="1080" w:firstLine="0"/>
        <w:jc w:val="both"/>
        <w:rPr>
          <w:rFonts w:cs="Arial"/>
          <w:szCs w:val="22"/>
        </w:rPr>
      </w:pPr>
      <w:r>
        <w:rPr>
          <w:rFonts w:cs="Arial"/>
          <w:szCs w:val="22"/>
        </w:rPr>
        <w:tab/>
        <w:t xml:space="preserve">Eastern MD </w:t>
      </w:r>
      <w:r w:rsidR="00A06642">
        <w:rPr>
          <w:rFonts w:cs="Arial"/>
          <w:szCs w:val="22"/>
        </w:rPr>
        <w:tab/>
      </w:r>
      <w:r>
        <w:rPr>
          <w:rFonts w:cs="Arial"/>
          <w:szCs w:val="22"/>
        </w:rPr>
        <w:t xml:space="preserve">= </w:t>
      </w:r>
      <w:r w:rsidR="00A06642">
        <w:rPr>
          <w:rFonts w:cs="Arial"/>
          <w:szCs w:val="22"/>
        </w:rPr>
        <w:tab/>
      </w:r>
      <w:r>
        <w:rPr>
          <w:rFonts w:cs="Arial"/>
          <w:szCs w:val="22"/>
        </w:rPr>
        <w:t xml:space="preserve">Select Borrow or Capping Borrow </w:t>
      </w:r>
    </w:p>
    <w:p w14:paraId="74E7A3C0" w14:textId="77777777" w:rsidR="00404AF1" w:rsidRDefault="00404AF1" w:rsidP="0054361A">
      <w:pPr>
        <w:pStyle w:val="ListNumber"/>
        <w:tabs>
          <w:tab w:val="clear" w:pos="720"/>
          <w:tab w:val="left" w:pos="3240"/>
          <w:tab w:val="left" w:pos="3600"/>
        </w:tabs>
        <w:spacing w:before="0"/>
        <w:ind w:left="1080" w:firstLine="0"/>
        <w:jc w:val="both"/>
        <w:rPr>
          <w:rFonts w:cs="Arial"/>
          <w:szCs w:val="22"/>
        </w:rPr>
      </w:pPr>
      <w:r>
        <w:rPr>
          <w:rFonts w:cs="Arial"/>
          <w:szCs w:val="22"/>
        </w:rPr>
        <w:tab/>
      </w:r>
      <w:r>
        <w:rPr>
          <w:rFonts w:cs="Arial"/>
          <w:szCs w:val="22"/>
        </w:rPr>
        <w:tab/>
      </w:r>
      <w:r>
        <w:rPr>
          <w:rFonts w:cs="Arial"/>
          <w:szCs w:val="22"/>
        </w:rPr>
        <w:tab/>
      </w:r>
      <w:r>
        <w:rPr>
          <w:rFonts w:cs="Arial"/>
          <w:szCs w:val="22"/>
        </w:rPr>
        <w:tab/>
        <w:t>(densification factor = 18%)</w:t>
      </w:r>
    </w:p>
    <w:p w14:paraId="7581FA40" w14:textId="344FC37F" w:rsidR="00404AF1" w:rsidRDefault="00404AF1" w:rsidP="0054361A">
      <w:pPr>
        <w:pStyle w:val="ListNumber"/>
        <w:tabs>
          <w:tab w:val="clear" w:pos="720"/>
          <w:tab w:val="left" w:pos="3240"/>
          <w:tab w:val="left" w:pos="3600"/>
        </w:tabs>
        <w:spacing w:before="0"/>
        <w:ind w:left="1080" w:firstLine="0"/>
        <w:jc w:val="both"/>
        <w:rPr>
          <w:rFonts w:cs="Arial"/>
          <w:szCs w:val="22"/>
        </w:rPr>
      </w:pPr>
      <w:r>
        <w:rPr>
          <w:rFonts w:cs="Arial"/>
          <w:szCs w:val="22"/>
        </w:rPr>
        <w:tab/>
        <w:t xml:space="preserve">Southern MD </w:t>
      </w:r>
      <w:r w:rsidR="00A06642">
        <w:rPr>
          <w:rFonts w:cs="Arial"/>
          <w:szCs w:val="22"/>
        </w:rPr>
        <w:tab/>
      </w:r>
      <w:r>
        <w:rPr>
          <w:rFonts w:cs="Arial"/>
          <w:szCs w:val="22"/>
        </w:rPr>
        <w:t xml:space="preserve">= </w:t>
      </w:r>
      <w:r w:rsidR="00A06642">
        <w:rPr>
          <w:rFonts w:cs="Arial"/>
          <w:szCs w:val="22"/>
        </w:rPr>
        <w:tab/>
      </w:r>
      <w:r>
        <w:rPr>
          <w:rFonts w:cs="Arial"/>
          <w:szCs w:val="22"/>
        </w:rPr>
        <w:t xml:space="preserve">Select Borrow or Capping Borrow </w:t>
      </w:r>
    </w:p>
    <w:p w14:paraId="166A730C" w14:textId="77777777" w:rsidR="00404AF1" w:rsidRDefault="00404AF1" w:rsidP="0054361A">
      <w:pPr>
        <w:pStyle w:val="ListNumber"/>
        <w:tabs>
          <w:tab w:val="clear" w:pos="720"/>
          <w:tab w:val="left" w:pos="3240"/>
          <w:tab w:val="left" w:pos="3600"/>
        </w:tabs>
        <w:spacing w:before="0"/>
        <w:ind w:left="1080" w:firstLine="0"/>
        <w:jc w:val="both"/>
        <w:rPr>
          <w:rFonts w:cs="Arial"/>
          <w:szCs w:val="22"/>
        </w:rPr>
      </w:pPr>
      <w:r>
        <w:rPr>
          <w:rFonts w:cs="Arial"/>
          <w:szCs w:val="22"/>
        </w:rPr>
        <w:tab/>
      </w:r>
      <w:r>
        <w:rPr>
          <w:rFonts w:cs="Arial"/>
          <w:szCs w:val="22"/>
        </w:rPr>
        <w:tab/>
      </w:r>
      <w:r>
        <w:rPr>
          <w:rFonts w:cs="Arial"/>
          <w:szCs w:val="22"/>
        </w:rPr>
        <w:tab/>
      </w:r>
      <w:r>
        <w:rPr>
          <w:rFonts w:cs="Arial"/>
          <w:szCs w:val="22"/>
        </w:rPr>
        <w:tab/>
        <w:t>(densification factor = 18%)</w:t>
      </w:r>
    </w:p>
    <w:p w14:paraId="0CCC4856" w14:textId="730BA771" w:rsidR="00404AF1" w:rsidRDefault="00404AF1" w:rsidP="0054361A">
      <w:pPr>
        <w:pStyle w:val="ListNumber"/>
        <w:tabs>
          <w:tab w:val="clear" w:pos="720"/>
          <w:tab w:val="left" w:pos="3240"/>
          <w:tab w:val="left" w:pos="3600"/>
        </w:tabs>
        <w:spacing w:before="0"/>
        <w:ind w:left="1080" w:firstLine="0"/>
        <w:jc w:val="both"/>
        <w:rPr>
          <w:rFonts w:cs="Arial"/>
          <w:szCs w:val="22"/>
        </w:rPr>
      </w:pPr>
      <w:r>
        <w:rPr>
          <w:rFonts w:cs="Arial"/>
          <w:szCs w:val="22"/>
        </w:rPr>
        <w:tab/>
        <w:t xml:space="preserve">Western MD </w:t>
      </w:r>
      <w:r w:rsidR="00A06642">
        <w:rPr>
          <w:rFonts w:cs="Arial"/>
          <w:szCs w:val="22"/>
        </w:rPr>
        <w:tab/>
      </w:r>
      <w:r>
        <w:rPr>
          <w:rFonts w:cs="Arial"/>
          <w:szCs w:val="22"/>
        </w:rPr>
        <w:t xml:space="preserve">= </w:t>
      </w:r>
      <w:r w:rsidR="00A06642">
        <w:rPr>
          <w:rFonts w:cs="Arial"/>
          <w:szCs w:val="22"/>
        </w:rPr>
        <w:tab/>
      </w:r>
      <w:r>
        <w:rPr>
          <w:rFonts w:cs="Arial"/>
          <w:szCs w:val="22"/>
        </w:rPr>
        <w:t>Modified Borrow (densification factor = 15%)</w:t>
      </w:r>
    </w:p>
    <w:p w14:paraId="13FFCED5" w14:textId="21237EC2" w:rsidR="00404AF1" w:rsidRDefault="00404AF1" w:rsidP="0054361A">
      <w:pPr>
        <w:pStyle w:val="ListNumber"/>
        <w:tabs>
          <w:tab w:val="clear" w:pos="720"/>
          <w:tab w:val="left" w:pos="3240"/>
          <w:tab w:val="left" w:pos="3600"/>
        </w:tabs>
        <w:spacing w:before="0"/>
        <w:ind w:left="1080" w:firstLine="0"/>
        <w:jc w:val="both"/>
        <w:rPr>
          <w:rFonts w:cs="Arial"/>
          <w:szCs w:val="22"/>
        </w:rPr>
      </w:pPr>
      <w:r>
        <w:rPr>
          <w:rFonts w:cs="Arial"/>
          <w:szCs w:val="22"/>
        </w:rPr>
        <w:tab/>
        <w:t xml:space="preserve">Rest of MD </w:t>
      </w:r>
      <w:r w:rsidR="00A06642">
        <w:rPr>
          <w:rFonts w:cs="Arial"/>
          <w:szCs w:val="22"/>
        </w:rPr>
        <w:tab/>
      </w:r>
      <w:r>
        <w:rPr>
          <w:rFonts w:cs="Arial"/>
          <w:szCs w:val="22"/>
        </w:rPr>
        <w:t xml:space="preserve">= </w:t>
      </w:r>
      <w:r w:rsidR="00A06642">
        <w:rPr>
          <w:rFonts w:cs="Arial"/>
          <w:szCs w:val="22"/>
        </w:rPr>
        <w:tab/>
      </w:r>
      <w:r>
        <w:rPr>
          <w:rFonts w:cs="Arial"/>
          <w:szCs w:val="22"/>
        </w:rPr>
        <w:t>GSSGAB (densification factor = 11%)</w:t>
      </w:r>
    </w:p>
    <w:p w14:paraId="57AE6EB6" w14:textId="69C290BF" w:rsidR="00404AF1" w:rsidRDefault="00404AF1" w:rsidP="0054361A">
      <w:pPr>
        <w:pStyle w:val="ListNumber"/>
        <w:tabs>
          <w:tab w:val="clear" w:pos="720"/>
        </w:tabs>
        <w:ind w:left="1080" w:firstLine="0"/>
        <w:jc w:val="both"/>
        <w:rPr>
          <w:rFonts w:cs="Arial"/>
          <w:szCs w:val="22"/>
        </w:rPr>
      </w:pPr>
      <w:r>
        <w:rPr>
          <w:rFonts w:cs="Arial"/>
          <w:szCs w:val="22"/>
        </w:rPr>
        <w:t xml:space="preserve">For Embankment/Fill areas, use Select Borrow, Capping Borrow or Modified Borrow for Backfill of Class 1-A Excavation if anticipated from borings and not GSSGAB. </w:t>
      </w:r>
    </w:p>
    <w:p w14:paraId="59DA11D5" w14:textId="77777777" w:rsidR="001A15B9" w:rsidRDefault="00404AF1" w:rsidP="00172E64">
      <w:pPr>
        <w:pStyle w:val="ListNumber"/>
        <w:numPr>
          <w:ilvl w:val="0"/>
          <w:numId w:val="50"/>
        </w:numPr>
        <w:tabs>
          <w:tab w:val="clear" w:pos="1242"/>
          <w:tab w:val="clear" w:pos="1872"/>
          <w:tab w:val="num" w:pos="1080"/>
        </w:tabs>
        <w:ind w:left="1080" w:hanging="1080"/>
        <w:jc w:val="both"/>
      </w:pPr>
      <w:r w:rsidRPr="00D05F3D">
        <w:t>Provide an approximate quantity of the Class 1-A Excavation and Backfill Material to the PM following Step 4 in the F</w:t>
      </w:r>
      <w:r w:rsidR="00251213">
        <w:t xml:space="preserve">inal Pavement and </w:t>
      </w:r>
      <w:r w:rsidRPr="00D05F3D">
        <w:t>G</w:t>
      </w:r>
      <w:r w:rsidR="00251213">
        <w:t xml:space="preserve">eotechnical </w:t>
      </w:r>
      <w:r w:rsidRPr="00D05F3D">
        <w:t>R</w:t>
      </w:r>
      <w:r w:rsidR="00251213">
        <w:t>eport</w:t>
      </w:r>
      <w:r w:rsidRPr="00D05F3D">
        <w:t xml:space="preserve"> and in a</w:t>
      </w:r>
      <w:r w:rsidR="00354BEA">
        <w:t>n</w:t>
      </w:r>
      <w:r w:rsidRPr="00D05F3D">
        <w:t xml:space="preserve"> SP.</w:t>
      </w:r>
    </w:p>
    <w:p w14:paraId="5DEFEB40" w14:textId="77777777" w:rsidR="00404AF1" w:rsidRPr="00D11243" w:rsidRDefault="00404AF1" w:rsidP="00172E64">
      <w:pPr>
        <w:pStyle w:val="Heading4"/>
        <w:numPr>
          <w:ilvl w:val="3"/>
          <w:numId w:val="184"/>
        </w:numPr>
        <w:tabs>
          <w:tab w:val="left" w:pos="1800"/>
        </w:tabs>
        <w:spacing w:before="240"/>
        <w:ind w:left="0" w:firstLine="0"/>
      </w:pPr>
      <w:r>
        <w:t xml:space="preserve">Class 3 Excavation and Backfill </w:t>
      </w:r>
    </w:p>
    <w:p w14:paraId="5820D63B" w14:textId="6837D909" w:rsidR="001A15B9" w:rsidRDefault="00404AF1" w:rsidP="00172E64">
      <w:pPr>
        <w:pStyle w:val="ListNumber"/>
        <w:numPr>
          <w:ilvl w:val="0"/>
          <w:numId w:val="51"/>
        </w:numPr>
        <w:tabs>
          <w:tab w:val="clear" w:pos="1872"/>
        </w:tabs>
        <w:spacing w:before="240"/>
        <w:ind w:left="1080" w:hanging="1080"/>
        <w:jc w:val="both"/>
      </w:pPr>
      <w:r>
        <w:t>Class 3 Excavation and Backfill</w:t>
      </w:r>
      <w:r w:rsidR="0088791C">
        <w:t xml:space="preserve">:  </w:t>
      </w:r>
      <w:r>
        <w:t>If the borings reveal unsuitable material near pipe invert elevations, the PM should be alerted in the F</w:t>
      </w:r>
      <w:r w:rsidR="005A047E">
        <w:t xml:space="preserve">inal Pavement and </w:t>
      </w:r>
      <w:r>
        <w:t>G</w:t>
      </w:r>
      <w:r w:rsidR="005A047E">
        <w:t xml:space="preserve">eotechnical </w:t>
      </w:r>
      <w:r>
        <w:t>R</w:t>
      </w:r>
      <w:r w:rsidR="005A047E">
        <w:t>eport</w:t>
      </w:r>
      <w:r>
        <w:t xml:space="preserve"> that some material from pipe excavations may not be suitable for backfilling pipe trenches. A</w:t>
      </w:r>
      <w:r w:rsidRPr="0009683C">
        <w:rPr>
          <w:szCs w:val="22"/>
        </w:rPr>
        <w:t>n item of Class 3 Excavation and Selected Backfill should be recommended to be included in the Contract.</w:t>
      </w:r>
    </w:p>
    <w:p w14:paraId="7EC7896B" w14:textId="50DDA786" w:rsidR="00404AF1" w:rsidRDefault="00404AF1" w:rsidP="0037583B">
      <w:pPr>
        <w:pStyle w:val="ListNumber"/>
        <w:tabs>
          <w:tab w:val="clear" w:pos="720"/>
          <w:tab w:val="clear" w:pos="1872"/>
        </w:tabs>
        <w:ind w:left="0" w:firstLine="0"/>
        <w:jc w:val="both"/>
        <w:sectPr w:rsidR="00404AF1" w:rsidSect="00410880">
          <w:headerReference w:type="default" r:id="rId275"/>
          <w:footerReference w:type="default" r:id="rId276"/>
          <w:pgSz w:w="12240" w:h="15840" w:code="1"/>
          <w:pgMar w:top="1440" w:right="1800" w:bottom="1440" w:left="1800" w:header="720" w:footer="720" w:gutter="0"/>
          <w:pgNumType w:start="1" w:chapStyle="1"/>
          <w:cols w:space="720"/>
          <w:docGrid w:linePitch="360"/>
        </w:sectPr>
      </w:pPr>
      <w:r>
        <w:t xml:space="preserve"> </w:t>
      </w:r>
    </w:p>
    <w:p w14:paraId="47EFD4F7" w14:textId="77777777" w:rsidR="00C278B0" w:rsidRDefault="00C278B0" w:rsidP="00172E64">
      <w:pPr>
        <w:pStyle w:val="Heading2"/>
        <w:numPr>
          <w:ilvl w:val="1"/>
          <w:numId w:val="184"/>
        </w:numPr>
        <w:ind w:left="0" w:firstLine="0"/>
        <w:sectPr w:rsidR="00C278B0" w:rsidSect="007E61DF">
          <w:headerReference w:type="even" r:id="rId277"/>
          <w:headerReference w:type="default" r:id="rId278"/>
          <w:footerReference w:type="default" r:id="rId279"/>
          <w:headerReference w:type="first" r:id="rId280"/>
          <w:type w:val="continuous"/>
          <w:pgSz w:w="12240" w:h="15840" w:code="1"/>
          <w:pgMar w:top="1440" w:right="1440" w:bottom="1440" w:left="1440" w:header="720" w:footer="720" w:gutter="0"/>
          <w:pgNumType w:chapStyle="1"/>
          <w:cols w:space="720"/>
          <w:docGrid w:linePitch="360"/>
        </w:sectPr>
      </w:pPr>
    </w:p>
    <w:p w14:paraId="56C9F4C0" w14:textId="0C4FBD12" w:rsidR="00981C68" w:rsidRPr="00160E58" w:rsidRDefault="00981C68" w:rsidP="00172E64">
      <w:pPr>
        <w:pStyle w:val="Heading2"/>
        <w:numPr>
          <w:ilvl w:val="1"/>
          <w:numId w:val="184"/>
        </w:numPr>
        <w:ind w:left="0" w:firstLine="0"/>
      </w:pPr>
      <w:bookmarkStart w:id="542" w:name="_Slopes"/>
      <w:bookmarkStart w:id="543" w:name="_Toc479160117"/>
      <w:bookmarkStart w:id="544" w:name="_Toc514058005"/>
      <w:bookmarkStart w:id="545" w:name="_Toc194932401"/>
      <w:bookmarkEnd w:id="542"/>
      <w:r>
        <w:lastRenderedPageBreak/>
        <w:t>Slopes</w:t>
      </w:r>
      <w:bookmarkEnd w:id="543"/>
      <w:bookmarkEnd w:id="544"/>
      <w:bookmarkEnd w:id="545"/>
    </w:p>
    <w:p w14:paraId="1CBF4E9B" w14:textId="63B8FBB6" w:rsidR="007E61DF" w:rsidRDefault="007E61DF" w:rsidP="00172E64">
      <w:pPr>
        <w:pStyle w:val="Heading3"/>
        <w:numPr>
          <w:ilvl w:val="2"/>
          <w:numId w:val="184"/>
        </w:numPr>
        <w:ind w:left="0" w:firstLine="0"/>
      </w:pPr>
      <w:r w:rsidRPr="00E53BB2">
        <w:t>Slope Stability Analysis</w:t>
      </w:r>
      <w:r>
        <w:t xml:space="preserve"> </w:t>
      </w:r>
    </w:p>
    <w:p w14:paraId="4FFEE75C" w14:textId="3C001B42" w:rsidR="007E61DF" w:rsidRPr="008E1692" w:rsidRDefault="00AE2837" w:rsidP="00BE3F24">
      <w:pPr>
        <w:autoSpaceDE w:val="0"/>
        <w:autoSpaceDN w:val="0"/>
        <w:adjustRightInd w:val="0"/>
        <w:jc w:val="both"/>
        <w:rPr>
          <w:rFonts w:ascii="Arial" w:hAnsi="Arial" w:cs="Arial"/>
          <w:sz w:val="22"/>
          <w:szCs w:val="22"/>
        </w:rPr>
      </w:pPr>
      <w:r w:rsidRPr="00AE2837">
        <w:rPr>
          <w:rFonts w:ascii="Arial" w:hAnsi="Arial" w:cs="Arial"/>
          <w:sz w:val="22"/>
          <w:szCs w:val="22"/>
        </w:rPr>
        <w:t>Slope stability analyses are required for the design of cut and fill slopes, embankments</w:t>
      </w:r>
      <w:r w:rsidR="00A06642">
        <w:rPr>
          <w:rFonts w:ascii="Arial" w:hAnsi="Arial" w:cs="Arial"/>
          <w:sz w:val="22"/>
          <w:szCs w:val="22"/>
        </w:rPr>
        <w:t>,</w:t>
      </w:r>
      <w:r w:rsidRPr="00AE2837">
        <w:rPr>
          <w:rFonts w:ascii="Arial" w:hAnsi="Arial" w:cs="Arial"/>
          <w:sz w:val="22"/>
          <w:szCs w:val="22"/>
        </w:rPr>
        <w:t xml:space="preserve"> and retaining structures on slopes.  Slope stability analyses may be performed using charts for preliminary designs or computer software for final designs.  Generation of appropriate soil strength parameters, soil stratigraphy</w:t>
      </w:r>
      <w:r w:rsidR="00A06642">
        <w:rPr>
          <w:rFonts w:ascii="Arial" w:hAnsi="Arial" w:cs="Arial"/>
          <w:sz w:val="22"/>
          <w:szCs w:val="22"/>
        </w:rPr>
        <w:t>,</w:t>
      </w:r>
      <w:r w:rsidRPr="00AE2837">
        <w:rPr>
          <w:rFonts w:ascii="Arial" w:hAnsi="Arial" w:cs="Arial"/>
          <w:sz w:val="22"/>
          <w:szCs w:val="22"/>
        </w:rPr>
        <w:t xml:space="preserve"> and water levels are critical when performing the analysis.  An understanding of potential failure mechanisms is also necessary in order to investigate and determine the critical failure surface and applicable factor of safety. Refer to the US Army Corps of Engineer’s Slope Stability Manual EM 1110-2-1902 for more information.</w:t>
      </w:r>
    </w:p>
    <w:p w14:paraId="00FE935C" w14:textId="77777777" w:rsidR="007E61DF" w:rsidRDefault="007E61DF" w:rsidP="00BE3F24">
      <w:pPr>
        <w:autoSpaceDE w:val="0"/>
        <w:autoSpaceDN w:val="0"/>
        <w:adjustRightInd w:val="0"/>
        <w:jc w:val="both"/>
        <w:rPr>
          <w:rFonts w:ascii="Arial" w:hAnsi="Arial" w:cs="Arial"/>
          <w:highlight w:val="yellow"/>
        </w:rPr>
      </w:pPr>
      <w:r>
        <w:rPr>
          <w:rFonts w:ascii="Arial" w:hAnsi="Arial" w:cs="Arial"/>
          <w:highlight w:val="yellow"/>
        </w:rPr>
        <w:t xml:space="preserve"> </w:t>
      </w:r>
    </w:p>
    <w:p w14:paraId="784EB4BA" w14:textId="3E89132F" w:rsidR="000459F4" w:rsidRPr="0054361A" w:rsidRDefault="00AE2837" w:rsidP="000459F4">
      <w:pPr>
        <w:jc w:val="both"/>
      </w:pPr>
      <w:r w:rsidRPr="00AE2837">
        <w:rPr>
          <w:rFonts w:ascii="Arial" w:hAnsi="Arial"/>
          <w:sz w:val="22"/>
          <w:szCs w:val="22"/>
        </w:rPr>
        <w:t xml:space="preserve">EGD will </w:t>
      </w:r>
      <w:r w:rsidR="000459F4">
        <w:rPr>
          <w:rFonts w:ascii="Arial" w:hAnsi="Arial"/>
          <w:sz w:val="22"/>
          <w:szCs w:val="22"/>
        </w:rPr>
        <w:t>ofte</w:t>
      </w:r>
      <w:r w:rsidR="00CF65CA">
        <w:rPr>
          <w:rFonts w:ascii="Arial" w:hAnsi="Arial"/>
          <w:sz w:val="22"/>
          <w:szCs w:val="22"/>
        </w:rPr>
        <w:t>n</w:t>
      </w:r>
      <w:r w:rsidR="000459F4">
        <w:rPr>
          <w:rFonts w:ascii="Arial" w:hAnsi="Arial"/>
          <w:sz w:val="22"/>
          <w:szCs w:val="22"/>
        </w:rPr>
        <w:t xml:space="preserve"> </w:t>
      </w:r>
      <w:r w:rsidRPr="00AE2837">
        <w:rPr>
          <w:rFonts w:ascii="Arial" w:hAnsi="Arial"/>
          <w:sz w:val="22"/>
          <w:szCs w:val="22"/>
        </w:rPr>
        <w:t>be the lead for Slope Stability Analys</w:t>
      </w:r>
      <w:r w:rsidR="000459F4">
        <w:rPr>
          <w:rFonts w:ascii="Arial" w:hAnsi="Arial"/>
          <w:sz w:val="22"/>
          <w:szCs w:val="22"/>
        </w:rPr>
        <w:t>e</w:t>
      </w:r>
      <w:r w:rsidRPr="00AE2837">
        <w:rPr>
          <w:rFonts w:ascii="Arial" w:hAnsi="Arial"/>
          <w:sz w:val="22"/>
          <w:szCs w:val="22"/>
        </w:rPr>
        <w:t>s.  PAGD Engineers should request an EGD Contact for slope stability analysis</w:t>
      </w:r>
      <w:r w:rsidR="00354BEA">
        <w:rPr>
          <w:rFonts w:ascii="Arial" w:hAnsi="Arial"/>
          <w:sz w:val="22"/>
          <w:szCs w:val="22"/>
        </w:rPr>
        <w:t xml:space="preserve"> </w:t>
      </w:r>
      <w:r w:rsidRPr="00AE2837">
        <w:rPr>
          <w:rFonts w:ascii="Arial" w:hAnsi="Arial"/>
          <w:sz w:val="22"/>
          <w:szCs w:val="22"/>
        </w:rPr>
        <w:t xml:space="preserve">for cuts/fills </w:t>
      </w:r>
      <w:r w:rsidRPr="00AE2837">
        <w:rPr>
          <w:rFonts w:ascii="Arial" w:hAnsi="Arial"/>
          <w:sz w:val="22"/>
          <w:szCs w:val="22"/>
          <w:u w:val="single"/>
        </w:rPr>
        <w:t>&lt;</w:t>
      </w:r>
      <w:r w:rsidRPr="00AE2837">
        <w:rPr>
          <w:rFonts w:ascii="Arial" w:hAnsi="Arial"/>
          <w:sz w:val="22"/>
          <w:szCs w:val="22"/>
        </w:rPr>
        <w:t xml:space="preserve"> 10 feet with potentially unstable soil</w:t>
      </w:r>
      <w:r w:rsidR="006919FD">
        <w:rPr>
          <w:rFonts w:ascii="Arial" w:hAnsi="Arial"/>
          <w:sz w:val="22"/>
          <w:szCs w:val="22"/>
        </w:rPr>
        <w:t>,</w:t>
      </w:r>
      <w:r w:rsidRPr="00AE2837">
        <w:rPr>
          <w:rFonts w:ascii="Arial" w:hAnsi="Arial"/>
          <w:sz w:val="22"/>
          <w:szCs w:val="22"/>
        </w:rPr>
        <w:t xml:space="preserve"> for all cuts/fills over 10 ft</w:t>
      </w:r>
      <w:r w:rsidR="006919FD">
        <w:rPr>
          <w:rFonts w:ascii="Arial" w:hAnsi="Arial"/>
          <w:sz w:val="22"/>
          <w:szCs w:val="22"/>
        </w:rPr>
        <w:t>.,</w:t>
      </w:r>
      <w:r w:rsidRPr="00AE2837">
        <w:rPr>
          <w:rFonts w:ascii="Arial" w:hAnsi="Arial"/>
          <w:sz w:val="22"/>
          <w:szCs w:val="22"/>
        </w:rPr>
        <w:t xml:space="preserve"> and</w:t>
      </w:r>
      <w:r w:rsidR="00354BEA">
        <w:rPr>
          <w:rFonts w:ascii="Arial" w:hAnsi="Arial"/>
          <w:sz w:val="22"/>
          <w:szCs w:val="22"/>
        </w:rPr>
        <w:t xml:space="preserve"> </w:t>
      </w:r>
      <w:r w:rsidRPr="00AE2837">
        <w:rPr>
          <w:rFonts w:ascii="Arial" w:hAnsi="Arial"/>
          <w:sz w:val="22"/>
          <w:szCs w:val="22"/>
        </w:rPr>
        <w:t xml:space="preserve">for any cuts in </w:t>
      </w:r>
      <w:r w:rsidRPr="00C169A5">
        <w:rPr>
          <w:rFonts w:ascii="Arial" w:hAnsi="Arial"/>
          <w:sz w:val="22"/>
          <w:szCs w:val="22"/>
        </w:rPr>
        <w:t xml:space="preserve">rock.  </w:t>
      </w:r>
      <w:bookmarkStart w:id="546" w:name="_Cut_Slope_Design"/>
      <w:bookmarkEnd w:id="546"/>
    </w:p>
    <w:p w14:paraId="4A6AD70C" w14:textId="77777777" w:rsidR="007E61DF" w:rsidRPr="00431FDC" w:rsidRDefault="007E61DF" w:rsidP="00172E64">
      <w:pPr>
        <w:pStyle w:val="Heading3"/>
        <w:numPr>
          <w:ilvl w:val="2"/>
          <w:numId w:val="184"/>
        </w:numPr>
        <w:ind w:left="0" w:firstLine="0"/>
        <w:rPr>
          <w:iCs/>
        </w:rPr>
      </w:pPr>
      <w:r w:rsidRPr="00431FDC">
        <w:t>Cut Slope Design (Soil and Rock)</w:t>
      </w:r>
    </w:p>
    <w:p w14:paraId="51B469B3" w14:textId="1BF48D97" w:rsidR="007E61DF" w:rsidRPr="008E1692" w:rsidRDefault="00AE2837" w:rsidP="00BE3F24">
      <w:pPr>
        <w:autoSpaceDE w:val="0"/>
        <w:autoSpaceDN w:val="0"/>
        <w:adjustRightInd w:val="0"/>
        <w:jc w:val="both"/>
        <w:rPr>
          <w:rFonts w:ascii="Arial" w:hAnsi="Arial" w:cs="Arial"/>
          <w:sz w:val="22"/>
          <w:szCs w:val="22"/>
        </w:rPr>
      </w:pPr>
      <w:r w:rsidRPr="00AE2837">
        <w:rPr>
          <w:rFonts w:ascii="Arial" w:hAnsi="Arial" w:cs="Arial"/>
          <w:sz w:val="22"/>
          <w:szCs w:val="22"/>
        </w:rPr>
        <w:t>During project design phase, it is sometimes necessary to design cut slopes due to right</w:t>
      </w:r>
      <w:r w:rsidR="00A06642">
        <w:rPr>
          <w:rFonts w:ascii="Arial" w:hAnsi="Arial" w:cs="Arial"/>
          <w:sz w:val="22"/>
          <w:szCs w:val="22"/>
        </w:rPr>
        <w:t>-</w:t>
      </w:r>
      <w:r w:rsidRPr="00AE2837">
        <w:rPr>
          <w:rFonts w:ascii="Arial" w:hAnsi="Arial" w:cs="Arial"/>
          <w:sz w:val="22"/>
          <w:szCs w:val="22"/>
        </w:rPr>
        <w:t>of</w:t>
      </w:r>
      <w:r w:rsidR="00A06642">
        <w:rPr>
          <w:rFonts w:ascii="Arial" w:hAnsi="Arial" w:cs="Arial"/>
          <w:sz w:val="22"/>
          <w:szCs w:val="22"/>
        </w:rPr>
        <w:t>-</w:t>
      </w:r>
      <w:r w:rsidRPr="00AE2837">
        <w:rPr>
          <w:rFonts w:ascii="Arial" w:hAnsi="Arial" w:cs="Arial"/>
          <w:sz w:val="22"/>
          <w:szCs w:val="22"/>
        </w:rPr>
        <w:t>way constraints to support highway structures. The design or recommendations of cut slope</w:t>
      </w:r>
      <w:r w:rsidR="00A06642">
        <w:rPr>
          <w:rFonts w:ascii="Arial" w:hAnsi="Arial" w:cs="Arial"/>
          <w:sz w:val="22"/>
          <w:szCs w:val="22"/>
        </w:rPr>
        <w:t>s</w:t>
      </w:r>
      <w:r w:rsidRPr="00AE2837">
        <w:rPr>
          <w:rFonts w:ascii="Arial" w:hAnsi="Arial" w:cs="Arial"/>
          <w:sz w:val="22"/>
          <w:szCs w:val="22"/>
        </w:rPr>
        <w:t xml:space="preserve"> must consider measures that will prevent immediate and sudden failures, and protect the slope over the long term unless the slope is cut for temporary reasons only. Recommendations should include the slope inclinations required for stability, mitigation requirements</w:t>
      </w:r>
      <w:r w:rsidR="00A06642">
        <w:rPr>
          <w:rFonts w:ascii="Arial" w:hAnsi="Arial" w:cs="Arial"/>
          <w:sz w:val="22"/>
          <w:szCs w:val="22"/>
        </w:rPr>
        <w:t>,</w:t>
      </w:r>
      <w:r w:rsidRPr="00AE2837">
        <w:rPr>
          <w:rFonts w:ascii="Arial" w:hAnsi="Arial" w:cs="Arial"/>
          <w:sz w:val="22"/>
          <w:szCs w:val="22"/>
        </w:rPr>
        <w:t xml:space="preserve"> if needed</w:t>
      </w:r>
      <w:r w:rsidR="00A06642">
        <w:rPr>
          <w:rFonts w:ascii="Arial" w:hAnsi="Arial" w:cs="Arial"/>
          <w:sz w:val="22"/>
          <w:szCs w:val="22"/>
        </w:rPr>
        <w:t>,</w:t>
      </w:r>
      <w:r w:rsidRPr="00AE2837">
        <w:rPr>
          <w:rFonts w:ascii="Arial" w:hAnsi="Arial" w:cs="Arial"/>
          <w:sz w:val="22"/>
          <w:szCs w:val="22"/>
        </w:rPr>
        <w:t xml:space="preserve"> and the unsuitability of excavated cut material. In some situations, cut stability at the end of construction may be a critical design consideration. </w:t>
      </w:r>
    </w:p>
    <w:p w14:paraId="1147EBF2" w14:textId="77777777" w:rsidR="007E61DF" w:rsidRPr="008E1692" w:rsidRDefault="007E61DF" w:rsidP="00BE3F24">
      <w:pPr>
        <w:autoSpaceDE w:val="0"/>
        <w:autoSpaceDN w:val="0"/>
        <w:adjustRightInd w:val="0"/>
        <w:jc w:val="both"/>
        <w:rPr>
          <w:rFonts w:ascii="Arial" w:hAnsi="Arial" w:cs="Arial"/>
          <w:sz w:val="22"/>
          <w:szCs w:val="22"/>
        </w:rPr>
      </w:pPr>
    </w:p>
    <w:p w14:paraId="0F335651" w14:textId="3BC95B3C" w:rsidR="00DD1953" w:rsidRPr="008E1692" w:rsidRDefault="00AE2837" w:rsidP="00DD1953">
      <w:pPr>
        <w:jc w:val="both"/>
        <w:rPr>
          <w:rFonts w:ascii="Arial" w:hAnsi="Arial"/>
          <w:sz w:val="22"/>
          <w:szCs w:val="22"/>
        </w:rPr>
      </w:pPr>
      <w:r w:rsidRPr="00AE2837">
        <w:rPr>
          <w:rFonts w:ascii="Arial" w:hAnsi="Arial"/>
          <w:sz w:val="22"/>
          <w:szCs w:val="22"/>
        </w:rPr>
        <w:t xml:space="preserve">EGD will </w:t>
      </w:r>
      <w:r w:rsidR="000459F4">
        <w:rPr>
          <w:rFonts w:ascii="Arial" w:hAnsi="Arial"/>
          <w:sz w:val="22"/>
          <w:szCs w:val="22"/>
        </w:rPr>
        <w:t xml:space="preserve">often </w:t>
      </w:r>
      <w:r w:rsidRPr="00AE2837">
        <w:rPr>
          <w:rFonts w:ascii="Arial" w:hAnsi="Arial"/>
          <w:sz w:val="22"/>
          <w:szCs w:val="22"/>
        </w:rPr>
        <w:t>be the</w:t>
      </w:r>
      <w:r w:rsidRPr="00C169A5">
        <w:rPr>
          <w:rFonts w:ascii="Arial" w:hAnsi="Arial"/>
          <w:sz w:val="22"/>
          <w:szCs w:val="22"/>
        </w:rPr>
        <w:t xml:space="preserve"> lead for Cut Slope Design. </w:t>
      </w:r>
    </w:p>
    <w:p w14:paraId="3F832C21" w14:textId="77777777" w:rsidR="007E61DF" w:rsidRPr="004F3088" w:rsidRDefault="007E61DF" w:rsidP="00172E64">
      <w:pPr>
        <w:pStyle w:val="Heading3"/>
        <w:numPr>
          <w:ilvl w:val="2"/>
          <w:numId w:val="184"/>
        </w:numPr>
        <w:ind w:left="0" w:firstLine="0"/>
      </w:pPr>
      <w:r w:rsidRPr="0075271F">
        <w:t>Fill Slope Design – Soil</w:t>
      </w:r>
      <w:r>
        <w:t xml:space="preserve"> </w:t>
      </w:r>
    </w:p>
    <w:p w14:paraId="2640CB80" w14:textId="1E680CED" w:rsidR="007E61DF" w:rsidRDefault="007E61DF" w:rsidP="00BE3F24">
      <w:pPr>
        <w:pStyle w:val="BodyText"/>
        <w:spacing w:after="0"/>
        <w:jc w:val="both"/>
      </w:pPr>
      <w:r w:rsidRPr="000C2CDB">
        <w:t>During project design phase, it is sometimes necessary to design fill slopes to support highway structures. The design or recommendations of fill slope</w:t>
      </w:r>
      <w:r w:rsidR="00A06642">
        <w:t>s</w:t>
      </w:r>
      <w:r w:rsidRPr="000C2CDB">
        <w:t xml:space="preserve"> must consider measures that will prevent immediate and sudden </w:t>
      </w:r>
      <w:r w:rsidR="0054361A" w:rsidRPr="000C2CDB">
        <w:t>failures and</w:t>
      </w:r>
      <w:r w:rsidRPr="000C2CDB">
        <w:t xml:space="preserve"> protect the slope over the long term. Recommendations should include the slope inclinations required for stability, </w:t>
      </w:r>
      <w:r w:rsidR="00A06642">
        <w:t xml:space="preserve">and </w:t>
      </w:r>
      <w:r w:rsidRPr="000C2CDB">
        <w:t xml:space="preserve">mitigation requirements. </w:t>
      </w:r>
    </w:p>
    <w:p w14:paraId="1ECBBB5A" w14:textId="77777777" w:rsidR="007E61DF" w:rsidRPr="000C2CDB" w:rsidRDefault="007E61DF" w:rsidP="00BE3F24">
      <w:pPr>
        <w:pStyle w:val="BodyText"/>
        <w:spacing w:after="0"/>
        <w:jc w:val="both"/>
        <w:rPr>
          <w:color w:val="000000"/>
        </w:rPr>
      </w:pPr>
    </w:p>
    <w:p w14:paraId="76E61CAC" w14:textId="2E290E2E" w:rsidR="007E61DF" w:rsidRPr="00C169A5" w:rsidRDefault="00AE2837" w:rsidP="00C169A5">
      <w:pPr>
        <w:jc w:val="both"/>
        <w:rPr>
          <w:rFonts w:ascii="Arial" w:hAnsi="Arial" w:cs="Arial"/>
          <w:b/>
          <w:bCs/>
          <w:sz w:val="28"/>
          <w:szCs w:val="28"/>
        </w:rPr>
        <w:sectPr w:rsidR="007E61DF" w:rsidRPr="00C169A5" w:rsidSect="008B1BAA">
          <w:headerReference w:type="even" r:id="rId281"/>
          <w:headerReference w:type="default" r:id="rId282"/>
          <w:footerReference w:type="default" r:id="rId283"/>
          <w:headerReference w:type="first" r:id="rId284"/>
          <w:pgSz w:w="12240" w:h="15840" w:code="1"/>
          <w:pgMar w:top="1440" w:right="1800" w:bottom="1440" w:left="1800" w:header="720" w:footer="720" w:gutter="0"/>
          <w:pgNumType w:chapStyle="1"/>
          <w:cols w:space="720"/>
          <w:docGrid w:linePitch="360"/>
        </w:sectPr>
      </w:pPr>
      <w:r w:rsidRPr="00AE2837">
        <w:rPr>
          <w:rFonts w:ascii="Arial" w:hAnsi="Arial"/>
          <w:sz w:val="22"/>
          <w:szCs w:val="22"/>
        </w:rPr>
        <w:t>EGD will</w:t>
      </w:r>
      <w:r w:rsidR="000459F4">
        <w:rPr>
          <w:rFonts w:ascii="Arial" w:hAnsi="Arial"/>
          <w:sz w:val="22"/>
          <w:szCs w:val="22"/>
        </w:rPr>
        <w:t xml:space="preserve"> often</w:t>
      </w:r>
      <w:r w:rsidRPr="00AE2837">
        <w:rPr>
          <w:rFonts w:ascii="Arial" w:hAnsi="Arial"/>
          <w:sz w:val="22"/>
          <w:szCs w:val="22"/>
        </w:rPr>
        <w:t xml:space="preserve"> be the lead for Fill Slope Design</w:t>
      </w:r>
      <w:r w:rsidR="00C169A5">
        <w:rPr>
          <w:rFonts w:ascii="Arial" w:hAnsi="Arial"/>
          <w:sz w:val="22"/>
          <w:szCs w:val="22"/>
        </w:rPr>
        <w:t>.</w:t>
      </w:r>
    </w:p>
    <w:p w14:paraId="74E6F7DB" w14:textId="4768CAA2" w:rsidR="00981C68" w:rsidRPr="00160E58" w:rsidRDefault="00981C68" w:rsidP="00172E64">
      <w:pPr>
        <w:pStyle w:val="Heading2"/>
        <w:numPr>
          <w:ilvl w:val="1"/>
          <w:numId w:val="184"/>
        </w:numPr>
        <w:ind w:left="0" w:firstLine="0"/>
      </w:pPr>
      <w:bookmarkStart w:id="547" w:name="_Embankments"/>
      <w:bookmarkStart w:id="548" w:name="_Toc479160118"/>
      <w:bookmarkStart w:id="549" w:name="_Toc514058006"/>
      <w:bookmarkStart w:id="550" w:name="_Toc194932402"/>
      <w:bookmarkEnd w:id="547"/>
      <w:r>
        <w:lastRenderedPageBreak/>
        <w:t>Embankments</w:t>
      </w:r>
      <w:bookmarkEnd w:id="548"/>
      <w:bookmarkEnd w:id="549"/>
      <w:bookmarkEnd w:id="550"/>
    </w:p>
    <w:p w14:paraId="5BBF72AF" w14:textId="6AA1159F" w:rsidR="00B11E5C" w:rsidRPr="00606183" w:rsidRDefault="00B11E5C" w:rsidP="00172E64">
      <w:pPr>
        <w:pStyle w:val="Heading3"/>
        <w:numPr>
          <w:ilvl w:val="2"/>
          <w:numId w:val="184"/>
        </w:numPr>
        <w:ind w:left="0" w:firstLine="0"/>
      </w:pPr>
      <w:r w:rsidRPr="00606183">
        <w:t xml:space="preserve">General </w:t>
      </w:r>
    </w:p>
    <w:p w14:paraId="5A9F9397" w14:textId="3E335DB3" w:rsidR="00B11E5C" w:rsidRPr="00B11E5C" w:rsidRDefault="00AE2837" w:rsidP="00BE3F24">
      <w:pPr>
        <w:autoSpaceDE w:val="0"/>
        <w:autoSpaceDN w:val="0"/>
        <w:adjustRightInd w:val="0"/>
        <w:jc w:val="both"/>
        <w:rPr>
          <w:sz w:val="22"/>
          <w:szCs w:val="22"/>
        </w:rPr>
      </w:pPr>
      <w:r w:rsidRPr="00AE2837">
        <w:rPr>
          <w:rFonts w:ascii="Arial" w:hAnsi="Arial" w:cs="Arial"/>
          <w:sz w:val="22"/>
          <w:szCs w:val="22"/>
        </w:rPr>
        <w:t xml:space="preserve">The design of a roadway embankment can utilize a wide range of soil materials and permit </w:t>
      </w:r>
      <w:r w:rsidR="008E5183">
        <w:rPr>
          <w:rFonts w:ascii="Arial" w:hAnsi="Arial" w:cs="Arial"/>
          <w:sz w:val="22"/>
          <w:szCs w:val="22"/>
        </w:rPr>
        <w:t>acceptable limiting</w:t>
      </w:r>
      <w:r w:rsidR="008E5183" w:rsidRPr="0054361A">
        <w:rPr>
          <w:rFonts w:ascii="Arial" w:hAnsi="Arial"/>
          <w:sz w:val="22"/>
        </w:rPr>
        <w:t xml:space="preserve"> </w:t>
      </w:r>
      <w:r w:rsidR="00B11E5C" w:rsidRPr="00B11E5C">
        <w:rPr>
          <w:rFonts w:ascii="Arial" w:hAnsi="Arial" w:cs="Arial"/>
          <w:sz w:val="22"/>
          <w:szCs w:val="22"/>
        </w:rPr>
        <w:t>amounts of settlement without affecting the performance of the highway. Roadway designers necessarily permit such materials to reduce project costs by utilizing locally available soils. The primary purpose of this section is for the design and construction of soil embankments. The key geotechnical issues for design and construction of embankments include stability and settlement of the underlying soil</w:t>
      </w:r>
      <w:r w:rsidR="00474521">
        <w:rPr>
          <w:rFonts w:ascii="Arial" w:hAnsi="Arial" w:cs="Arial"/>
          <w:sz w:val="22"/>
          <w:szCs w:val="22"/>
        </w:rPr>
        <w:t>;</w:t>
      </w:r>
      <w:r w:rsidR="00B11E5C" w:rsidRPr="00B11E5C">
        <w:rPr>
          <w:rFonts w:ascii="Arial" w:hAnsi="Arial" w:cs="Arial"/>
          <w:sz w:val="22"/>
          <w:szCs w:val="22"/>
        </w:rPr>
        <w:t xml:space="preserve"> impact of the stability and settlement on the construction staging and time requirements</w:t>
      </w:r>
      <w:r w:rsidR="00474521">
        <w:rPr>
          <w:rFonts w:ascii="Arial" w:hAnsi="Arial" w:cs="Arial"/>
          <w:sz w:val="22"/>
          <w:szCs w:val="22"/>
        </w:rPr>
        <w:t>;</w:t>
      </w:r>
      <w:r w:rsidR="00B11E5C" w:rsidRPr="00B11E5C">
        <w:rPr>
          <w:rFonts w:ascii="Arial" w:hAnsi="Arial" w:cs="Arial"/>
          <w:sz w:val="22"/>
          <w:szCs w:val="22"/>
        </w:rPr>
        <w:t xml:space="preserve"> and the impact to adjacent and nearby structures, such as bridge foundations, utilities, and building</w:t>
      </w:r>
      <w:r w:rsidR="00474521">
        <w:rPr>
          <w:rFonts w:ascii="Arial" w:hAnsi="Arial" w:cs="Arial"/>
          <w:sz w:val="22"/>
          <w:szCs w:val="22"/>
        </w:rPr>
        <w:t>s</w:t>
      </w:r>
      <w:r w:rsidR="00F739B5">
        <w:rPr>
          <w:rFonts w:ascii="Arial" w:hAnsi="Arial" w:cs="Arial"/>
          <w:sz w:val="22"/>
          <w:szCs w:val="22"/>
        </w:rPr>
        <w:t>,</w:t>
      </w:r>
      <w:r w:rsidR="00B11E5C" w:rsidRPr="00B11E5C">
        <w:rPr>
          <w:rFonts w:ascii="Arial" w:hAnsi="Arial" w:cs="Arial"/>
          <w:sz w:val="22"/>
          <w:szCs w:val="22"/>
        </w:rPr>
        <w:t xml:space="preserve"> etc.</w:t>
      </w:r>
    </w:p>
    <w:p w14:paraId="36EDF6E6" w14:textId="77777777" w:rsidR="00B11E5C" w:rsidRPr="00606183" w:rsidRDefault="00B11E5C" w:rsidP="00172E64">
      <w:pPr>
        <w:pStyle w:val="Heading3"/>
        <w:numPr>
          <w:ilvl w:val="2"/>
          <w:numId w:val="184"/>
        </w:numPr>
        <w:ind w:left="0" w:firstLine="0"/>
      </w:pPr>
      <w:bookmarkStart w:id="551" w:name="_Purpose_2"/>
      <w:bookmarkEnd w:id="551"/>
      <w:r w:rsidRPr="00606183">
        <w:t>Purpose</w:t>
      </w:r>
    </w:p>
    <w:p w14:paraId="6225B6BC" w14:textId="77777777" w:rsidR="00B11E5C" w:rsidRPr="00606183" w:rsidRDefault="00B11E5C" w:rsidP="00BE3F24">
      <w:pPr>
        <w:pStyle w:val="BodyText"/>
        <w:spacing w:after="0"/>
        <w:jc w:val="both"/>
      </w:pPr>
      <w:r w:rsidRPr="00606183">
        <w:t>Information on a typical roadway base widening or new construction project which involves roadway embankments or bridge approach embankments is needed to:</w:t>
      </w:r>
    </w:p>
    <w:p w14:paraId="5BE03AB0" w14:textId="539E6A67" w:rsidR="001A15B9" w:rsidRDefault="00B11E5C" w:rsidP="00172E64">
      <w:pPr>
        <w:pStyle w:val="BodyText"/>
        <w:numPr>
          <w:ilvl w:val="0"/>
          <w:numId w:val="40"/>
        </w:numPr>
        <w:spacing w:before="120" w:after="0"/>
        <w:ind w:hanging="720"/>
        <w:jc w:val="both"/>
      </w:pPr>
      <w:r w:rsidRPr="00606183">
        <w:t>Determine the type of soils and moisture conditions of soils at embankment foundation level</w:t>
      </w:r>
    </w:p>
    <w:p w14:paraId="44385D76" w14:textId="58D0B4E8" w:rsidR="001A15B9" w:rsidRDefault="00B11E5C" w:rsidP="00172E64">
      <w:pPr>
        <w:pStyle w:val="BodyText"/>
        <w:numPr>
          <w:ilvl w:val="0"/>
          <w:numId w:val="40"/>
        </w:numPr>
        <w:spacing w:after="0"/>
        <w:ind w:hanging="720"/>
        <w:jc w:val="both"/>
      </w:pPr>
      <w:r w:rsidRPr="00606183">
        <w:t>Identify different strata</w:t>
      </w:r>
    </w:p>
    <w:p w14:paraId="41664472" w14:textId="59B909E9" w:rsidR="001A15B9" w:rsidRDefault="00B11E5C" w:rsidP="00172E64">
      <w:pPr>
        <w:pStyle w:val="BodyText"/>
        <w:numPr>
          <w:ilvl w:val="0"/>
          <w:numId w:val="40"/>
        </w:numPr>
        <w:spacing w:after="0"/>
        <w:ind w:hanging="720"/>
        <w:jc w:val="both"/>
      </w:pPr>
      <w:r w:rsidRPr="00606183">
        <w:t>Check embankment stability and settlement due to loadings</w:t>
      </w:r>
    </w:p>
    <w:p w14:paraId="0B5C9552" w14:textId="5B641ED7" w:rsidR="001A15B9" w:rsidRDefault="00474521" w:rsidP="00172E64">
      <w:pPr>
        <w:pStyle w:val="BodyText"/>
        <w:numPr>
          <w:ilvl w:val="0"/>
          <w:numId w:val="40"/>
        </w:numPr>
        <w:spacing w:after="0"/>
        <w:ind w:hanging="720"/>
        <w:jc w:val="both"/>
      </w:pPr>
      <w:r>
        <w:t>Use m</w:t>
      </w:r>
      <w:r w:rsidR="00B11E5C" w:rsidRPr="00606183">
        <w:t>ethods to expedite the consolidation of embankments built over compressible soils</w:t>
      </w:r>
    </w:p>
    <w:p w14:paraId="79D91E56" w14:textId="2B00134B" w:rsidR="001A15B9" w:rsidRDefault="00B11E5C" w:rsidP="00172E64">
      <w:pPr>
        <w:pStyle w:val="BodyText"/>
        <w:numPr>
          <w:ilvl w:val="0"/>
          <w:numId w:val="40"/>
        </w:numPr>
        <w:spacing w:after="0"/>
        <w:ind w:hanging="720"/>
        <w:jc w:val="both"/>
      </w:pPr>
      <w:r w:rsidRPr="00606183">
        <w:t xml:space="preserve">Engineer fills with </w:t>
      </w:r>
      <w:r>
        <w:t xml:space="preserve">available </w:t>
      </w:r>
      <w:r w:rsidRPr="00606183">
        <w:t>material</w:t>
      </w:r>
    </w:p>
    <w:p w14:paraId="196DC840" w14:textId="77777777" w:rsidR="00B11E5C" w:rsidRPr="00606183" w:rsidRDefault="00B11E5C" w:rsidP="00172E64">
      <w:pPr>
        <w:pStyle w:val="Heading3"/>
        <w:numPr>
          <w:ilvl w:val="2"/>
          <w:numId w:val="184"/>
        </w:numPr>
        <w:ind w:left="0" w:firstLine="0"/>
      </w:pPr>
      <w:r w:rsidRPr="00606183">
        <w:t>Resource Requirements</w:t>
      </w:r>
    </w:p>
    <w:p w14:paraId="23A7EE3B" w14:textId="77777777" w:rsidR="00B11E5C" w:rsidRDefault="00B11E5C" w:rsidP="00BE3F24">
      <w:pPr>
        <w:pStyle w:val="BodyText"/>
        <w:spacing w:after="0"/>
        <w:jc w:val="both"/>
      </w:pPr>
      <w:r w:rsidRPr="00606183">
        <w:t xml:space="preserve">The </w:t>
      </w:r>
      <w:r>
        <w:t>embankment analysis</w:t>
      </w:r>
      <w:r w:rsidRPr="00606183">
        <w:t xml:space="preserve"> process is typically done with data available to the </w:t>
      </w:r>
      <w:r>
        <w:t>PAGD Engineer i</w:t>
      </w:r>
      <w:r w:rsidRPr="00606183">
        <w:t xml:space="preserve">n the office coupled with </w:t>
      </w:r>
      <w:r w:rsidRPr="00631AD9">
        <w:t>soil boring logs from the driller and related laboratory test results</w:t>
      </w:r>
      <w:r w:rsidRPr="00606183">
        <w:t xml:space="preserve">.  The request procedure documented below requires the following staffing needs for a typical </w:t>
      </w:r>
      <w:r>
        <w:t>project</w:t>
      </w:r>
      <w:r w:rsidRPr="00606183">
        <w:t>:</w:t>
      </w:r>
    </w:p>
    <w:p w14:paraId="7C6B2300" w14:textId="77777777" w:rsidR="00B11E5C" w:rsidRPr="00606183" w:rsidRDefault="00B11E5C" w:rsidP="00BE3F24">
      <w:pPr>
        <w:pStyle w:val="BodyText"/>
        <w:spacing w:after="0"/>
        <w:jc w:val="both"/>
      </w:pPr>
    </w:p>
    <w:tbl>
      <w:tblPr>
        <w:tblW w:w="8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9"/>
        <w:gridCol w:w="2286"/>
        <w:gridCol w:w="1926"/>
        <w:gridCol w:w="1584"/>
      </w:tblGrid>
      <w:tr w:rsidR="00B11E5C" w:rsidRPr="00606183" w14:paraId="3092CCA6" w14:textId="77777777" w:rsidTr="008810D7">
        <w:trPr>
          <w:trHeight w:val="288"/>
          <w:jc w:val="center"/>
        </w:trPr>
        <w:tc>
          <w:tcPr>
            <w:tcW w:w="2759" w:type="dxa"/>
            <w:shd w:val="pct15" w:color="auto" w:fill="FFFFFF"/>
            <w:vAlign w:val="center"/>
          </w:tcPr>
          <w:p w14:paraId="352AA179" w14:textId="77777777" w:rsidR="00B11E5C" w:rsidRPr="00606183" w:rsidRDefault="00B11E5C" w:rsidP="00474521">
            <w:pPr>
              <w:jc w:val="center"/>
              <w:rPr>
                <w:rFonts w:ascii="Arial" w:hAnsi="Arial" w:cs="Arial"/>
                <w:b/>
                <w:bCs/>
              </w:rPr>
            </w:pPr>
            <w:r w:rsidRPr="00606183">
              <w:rPr>
                <w:rFonts w:ascii="Arial" w:hAnsi="Arial" w:cs="Arial"/>
                <w:b/>
                <w:bCs/>
              </w:rPr>
              <w:t>Position</w:t>
            </w:r>
          </w:p>
        </w:tc>
        <w:tc>
          <w:tcPr>
            <w:tcW w:w="2286" w:type="dxa"/>
            <w:shd w:val="pct15" w:color="auto" w:fill="FFFFFF"/>
            <w:vAlign w:val="center"/>
          </w:tcPr>
          <w:p w14:paraId="3F817D24" w14:textId="77777777" w:rsidR="00B11E5C" w:rsidRPr="00606183" w:rsidRDefault="00B11E5C" w:rsidP="00474521">
            <w:pPr>
              <w:jc w:val="center"/>
              <w:rPr>
                <w:rFonts w:ascii="Arial" w:hAnsi="Arial" w:cs="Arial"/>
                <w:b/>
                <w:bCs/>
              </w:rPr>
            </w:pPr>
            <w:r w:rsidRPr="00606183">
              <w:rPr>
                <w:rFonts w:ascii="Arial" w:hAnsi="Arial" w:cs="Arial"/>
                <w:b/>
                <w:bCs/>
              </w:rPr>
              <w:t>Function</w:t>
            </w:r>
          </w:p>
        </w:tc>
        <w:tc>
          <w:tcPr>
            <w:tcW w:w="1926" w:type="dxa"/>
            <w:shd w:val="pct15" w:color="auto" w:fill="FFFFFF"/>
            <w:vAlign w:val="center"/>
          </w:tcPr>
          <w:p w14:paraId="65AAB447" w14:textId="77777777" w:rsidR="00B11E5C" w:rsidRPr="00606183" w:rsidRDefault="00B11E5C" w:rsidP="00474521">
            <w:pPr>
              <w:jc w:val="center"/>
              <w:rPr>
                <w:rFonts w:ascii="Arial" w:hAnsi="Arial" w:cs="Arial"/>
                <w:b/>
                <w:bCs/>
              </w:rPr>
            </w:pPr>
            <w:r w:rsidRPr="00606183">
              <w:rPr>
                <w:rFonts w:ascii="Arial" w:hAnsi="Arial" w:cs="Arial"/>
                <w:b/>
                <w:bCs/>
              </w:rPr>
              <w:t>Resources</w:t>
            </w:r>
          </w:p>
        </w:tc>
        <w:tc>
          <w:tcPr>
            <w:tcW w:w="1584" w:type="dxa"/>
            <w:shd w:val="pct15" w:color="auto" w:fill="FFFFFF"/>
            <w:vAlign w:val="center"/>
          </w:tcPr>
          <w:p w14:paraId="60D2FEB4" w14:textId="77777777" w:rsidR="00B11E5C" w:rsidRPr="00606183" w:rsidRDefault="00B11E5C" w:rsidP="00474521">
            <w:pPr>
              <w:jc w:val="center"/>
              <w:rPr>
                <w:rFonts w:ascii="Arial" w:hAnsi="Arial" w:cs="Arial"/>
                <w:b/>
                <w:bCs/>
              </w:rPr>
            </w:pPr>
            <w:r w:rsidRPr="00606183">
              <w:rPr>
                <w:rFonts w:ascii="Arial" w:hAnsi="Arial" w:cs="Arial"/>
                <w:b/>
                <w:bCs/>
              </w:rPr>
              <w:t>Effort Level</w:t>
            </w:r>
          </w:p>
          <w:p w14:paraId="19822359" w14:textId="77777777" w:rsidR="00B11E5C" w:rsidRPr="00606183" w:rsidRDefault="00B11E5C" w:rsidP="00474521">
            <w:pPr>
              <w:jc w:val="center"/>
              <w:rPr>
                <w:rFonts w:ascii="Arial" w:hAnsi="Arial" w:cs="Arial"/>
                <w:b/>
                <w:bCs/>
              </w:rPr>
            </w:pPr>
            <w:r w:rsidRPr="00606183">
              <w:rPr>
                <w:rFonts w:ascii="Arial" w:hAnsi="Arial" w:cs="Arial"/>
                <w:b/>
                <w:bCs/>
              </w:rPr>
              <w:t>(man-hours)</w:t>
            </w:r>
          </w:p>
        </w:tc>
      </w:tr>
      <w:tr w:rsidR="00B11E5C" w:rsidRPr="00606183" w14:paraId="659FC3DB" w14:textId="77777777" w:rsidTr="008810D7">
        <w:trPr>
          <w:trHeight w:val="288"/>
          <w:jc w:val="center"/>
        </w:trPr>
        <w:tc>
          <w:tcPr>
            <w:tcW w:w="2759" w:type="dxa"/>
            <w:vAlign w:val="center"/>
          </w:tcPr>
          <w:p w14:paraId="0AC1C271" w14:textId="77777777" w:rsidR="00B11E5C" w:rsidRPr="00606183" w:rsidRDefault="00B11E5C" w:rsidP="00474521">
            <w:pPr>
              <w:jc w:val="center"/>
              <w:rPr>
                <w:rFonts w:ascii="Arial" w:hAnsi="Arial" w:cs="Arial"/>
                <w:sz w:val="18"/>
                <w:szCs w:val="18"/>
              </w:rPr>
            </w:pPr>
            <w:r>
              <w:rPr>
                <w:rFonts w:ascii="Arial" w:hAnsi="Arial" w:cs="Arial"/>
                <w:sz w:val="18"/>
                <w:szCs w:val="18"/>
              </w:rPr>
              <w:t>PAGD Engineer/EGD Representative</w:t>
            </w:r>
          </w:p>
        </w:tc>
        <w:tc>
          <w:tcPr>
            <w:tcW w:w="2286" w:type="dxa"/>
            <w:vAlign w:val="center"/>
          </w:tcPr>
          <w:p w14:paraId="464D1D20" w14:textId="77777777" w:rsidR="00B11E5C" w:rsidRPr="00606183" w:rsidRDefault="00B11E5C" w:rsidP="00474521">
            <w:pPr>
              <w:jc w:val="center"/>
              <w:rPr>
                <w:rFonts w:ascii="Arial" w:hAnsi="Arial" w:cs="Arial"/>
                <w:sz w:val="18"/>
                <w:szCs w:val="18"/>
              </w:rPr>
            </w:pPr>
            <w:r w:rsidRPr="00606183">
              <w:rPr>
                <w:rFonts w:ascii="Arial" w:hAnsi="Arial" w:cs="Arial"/>
                <w:sz w:val="18"/>
                <w:szCs w:val="18"/>
              </w:rPr>
              <w:t>Review cross-sections</w:t>
            </w:r>
          </w:p>
        </w:tc>
        <w:tc>
          <w:tcPr>
            <w:tcW w:w="1926" w:type="dxa"/>
            <w:vAlign w:val="center"/>
          </w:tcPr>
          <w:p w14:paraId="176337AF" w14:textId="77777777" w:rsidR="00B11E5C" w:rsidRPr="00606183" w:rsidRDefault="00B11E5C" w:rsidP="00474521">
            <w:pPr>
              <w:jc w:val="center"/>
              <w:rPr>
                <w:rFonts w:ascii="Arial" w:hAnsi="Arial" w:cs="Arial"/>
                <w:sz w:val="18"/>
                <w:szCs w:val="18"/>
              </w:rPr>
            </w:pPr>
            <w:r>
              <w:rPr>
                <w:rFonts w:ascii="Arial" w:hAnsi="Arial" w:cs="Arial"/>
                <w:sz w:val="18"/>
                <w:szCs w:val="18"/>
              </w:rPr>
              <w:t>2</w:t>
            </w:r>
          </w:p>
        </w:tc>
        <w:tc>
          <w:tcPr>
            <w:tcW w:w="1584" w:type="dxa"/>
            <w:vAlign w:val="center"/>
          </w:tcPr>
          <w:p w14:paraId="545BECFF" w14:textId="77777777" w:rsidR="00B11E5C" w:rsidRPr="00606183" w:rsidRDefault="00B11E5C" w:rsidP="00474521">
            <w:pPr>
              <w:jc w:val="center"/>
              <w:rPr>
                <w:rFonts w:ascii="Arial" w:hAnsi="Arial" w:cs="Arial"/>
                <w:sz w:val="18"/>
                <w:szCs w:val="18"/>
              </w:rPr>
            </w:pPr>
            <w:r w:rsidRPr="00606183">
              <w:rPr>
                <w:rFonts w:ascii="Arial" w:hAnsi="Arial" w:cs="Arial"/>
                <w:sz w:val="18"/>
                <w:szCs w:val="18"/>
              </w:rPr>
              <w:t>4*</w:t>
            </w:r>
          </w:p>
        </w:tc>
      </w:tr>
      <w:tr w:rsidR="00B11E5C" w:rsidRPr="00606183" w14:paraId="3B71D740" w14:textId="77777777" w:rsidTr="008810D7">
        <w:trPr>
          <w:trHeight w:val="288"/>
          <w:jc w:val="center"/>
        </w:trPr>
        <w:tc>
          <w:tcPr>
            <w:tcW w:w="2759" w:type="dxa"/>
            <w:vAlign w:val="center"/>
          </w:tcPr>
          <w:p w14:paraId="3D29A4DD" w14:textId="77777777" w:rsidR="00B11E5C" w:rsidRPr="00606183" w:rsidRDefault="00B11E5C" w:rsidP="00474521">
            <w:pPr>
              <w:jc w:val="center"/>
              <w:rPr>
                <w:rFonts w:ascii="Arial" w:hAnsi="Arial" w:cs="Arial"/>
                <w:sz w:val="18"/>
                <w:szCs w:val="18"/>
              </w:rPr>
            </w:pPr>
            <w:r>
              <w:rPr>
                <w:rFonts w:ascii="Arial" w:hAnsi="Arial" w:cs="Arial"/>
                <w:sz w:val="18"/>
                <w:szCs w:val="18"/>
              </w:rPr>
              <w:t>PAGD Engineer/EGD Representative</w:t>
            </w:r>
          </w:p>
        </w:tc>
        <w:tc>
          <w:tcPr>
            <w:tcW w:w="2286" w:type="dxa"/>
            <w:vAlign w:val="center"/>
          </w:tcPr>
          <w:p w14:paraId="01A6993E" w14:textId="77777777" w:rsidR="00B11E5C" w:rsidRPr="00606183" w:rsidRDefault="00B11E5C" w:rsidP="00474521">
            <w:pPr>
              <w:jc w:val="center"/>
              <w:rPr>
                <w:rFonts w:ascii="Arial" w:hAnsi="Arial" w:cs="Arial"/>
                <w:sz w:val="18"/>
                <w:szCs w:val="18"/>
              </w:rPr>
            </w:pPr>
            <w:r w:rsidRPr="00606183">
              <w:rPr>
                <w:rFonts w:ascii="Arial" w:hAnsi="Arial" w:cs="Arial"/>
                <w:sz w:val="18"/>
                <w:szCs w:val="18"/>
              </w:rPr>
              <w:t>Analyzing lab data for soil properties, soil profile</w:t>
            </w:r>
          </w:p>
        </w:tc>
        <w:tc>
          <w:tcPr>
            <w:tcW w:w="1926" w:type="dxa"/>
            <w:vAlign w:val="center"/>
          </w:tcPr>
          <w:p w14:paraId="6F5182AA" w14:textId="77777777" w:rsidR="00B11E5C" w:rsidRPr="00606183" w:rsidRDefault="00B11E5C" w:rsidP="00474521">
            <w:pPr>
              <w:jc w:val="center"/>
              <w:rPr>
                <w:rFonts w:ascii="Arial" w:hAnsi="Arial" w:cs="Arial"/>
                <w:sz w:val="18"/>
                <w:szCs w:val="18"/>
              </w:rPr>
            </w:pPr>
            <w:r>
              <w:rPr>
                <w:rFonts w:ascii="Arial" w:hAnsi="Arial" w:cs="Arial"/>
                <w:sz w:val="18"/>
                <w:szCs w:val="18"/>
              </w:rPr>
              <w:t>2</w:t>
            </w:r>
          </w:p>
        </w:tc>
        <w:tc>
          <w:tcPr>
            <w:tcW w:w="1584" w:type="dxa"/>
            <w:vAlign w:val="center"/>
          </w:tcPr>
          <w:p w14:paraId="250E94DE" w14:textId="77777777" w:rsidR="00B11E5C" w:rsidRPr="00606183" w:rsidRDefault="00B11E5C" w:rsidP="00474521">
            <w:pPr>
              <w:jc w:val="center"/>
              <w:rPr>
                <w:rFonts w:ascii="Arial" w:hAnsi="Arial" w:cs="Arial"/>
                <w:sz w:val="18"/>
                <w:szCs w:val="18"/>
              </w:rPr>
            </w:pPr>
            <w:r w:rsidRPr="00606183">
              <w:rPr>
                <w:rFonts w:ascii="Arial" w:hAnsi="Arial" w:cs="Arial"/>
                <w:sz w:val="18"/>
                <w:szCs w:val="18"/>
              </w:rPr>
              <w:t>4*</w:t>
            </w:r>
          </w:p>
        </w:tc>
      </w:tr>
      <w:tr w:rsidR="00B11E5C" w:rsidRPr="00606183" w14:paraId="4A293AC3" w14:textId="77777777" w:rsidTr="008810D7">
        <w:trPr>
          <w:trHeight w:val="288"/>
          <w:jc w:val="center"/>
        </w:trPr>
        <w:tc>
          <w:tcPr>
            <w:tcW w:w="2759" w:type="dxa"/>
            <w:vAlign w:val="center"/>
          </w:tcPr>
          <w:p w14:paraId="195B7A7C" w14:textId="77777777" w:rsidR="00B11E5C" w:rsidRPr="00606183" w:rsidRDefault="00B11E5C" w:rsidP="00474521">
            <w:pPr>
              <w:jc w:val="center"/>
              <w:rPr>
                <w:rFonts w:ascii="Arial" w:hAnsi="Arial" w:cs="Arial"/>
                <w:sz w:val="18"/>
                <w:szCs w:val="18"/>
              </w:rPr>
            </w:pPr>
            <w:r>
              <w:rPr>
                <w:rFonts w:ascii="Arial" w:hAnsi="Arial" w:cs="Arial"/>
                <w:sz w:val="18"/>
                <w:szCs w:val="18"/>
              </w:rPr>
              <w:t>EGD Representative/PAGD Engineer</w:t>
            </w:r>
          </w:p>
        </w:tc>
        <w:tc>
          <w:tcPr>
            <w:tcW w:w="2286" w:type="dxa"/>
            <w:vAlign w:val="center"/>
          </w:tcPr>
          <w:p w14:paraId="65769E6B" w14:textId="77777777" w:rsidR="00B11E5C" w:rsidRPr="00606183" w:rsidRDefault="00B11E5C" w:rsidP="00474521">
            <w:pPr>
              <w:jc w:val="center"/>
              <w:rPr>
                <w:rFonts w:ascii="Arial" w:hAnsi="Arial" w:cs="Arial"/>
                <w:sz w:val="18"/>
                <w:szCs w:val="18"/>
              </w:rPr>
            </w:pPr>
            <w:r w:rsidRPr="00606183">
              <w:rPr>
                <w:rFonts w:ascii="Arial" w:hAnsi="Arial" w:cs="Arial"/>
                <w:sz w:val="18"/>
                <w:szCs w:val="18"/>
              </w:rPr>
              <w:t>Settlement Analysis</w:t>
            </w:r>
          </w:p>
        </w:tc>
        <w:tc>
          <w:tcPr>
            <w:tcW w:w="1926" w:type="dxa"/>
            <w:vAlign w:val="center"/>
          </w:tcPr>
          <w:p w14:paraId="12A851A1" w14:textId="77777777" w:rsidR="00B11E5C" w:rsidRPr="00606183" w:rsidRDefault="00B11E5C" w:rsidP="00474521">
            <w:pPr>
              <w:jc w:val="center"/>
              <w:rPr>
                <w:rFonts w:ascii="Arial" w:hAnsi="Arial" w:cs="Arial"/>
                <w:sz w:val="18"/>
                <w:szCs w:val="18"/>
              </w:rPr>
            </w:pPr>
            <w:r>
              <w:rPr>
                <w:rFonts w:ascii="Arial" w:hAnsi="Arial" w:cs="Arial"/>
                <w:sz w:val="18"/>
                <w:szCs w:val="18"/>
              </w:rPr>
              <w:t>2</w:t>
            </w:r>
          </w:p>
        </w:tc>
        <w:tc>
          <w:tcPr>
            <w:tcW w:w="1584" w:type="dxa"/>
            <w:vAlign w:val="center"/>
          </w:tcPr>
          <w:p w14:paraId="5E505066" w14:textId="77777777" w:rsidR="00B11E5C" w:rsidRPr="00606183" w:rsidRDefault="00B11E5C" w:rsidP="00474521">
            <w:pPr>
              <w:jc w:val="center"/>
              <w:rPr>
                <w:rFonts w:ascii="Arial" w:hAnsi="Arial" w:cs="Arial"/>
                <w:sz w:val="18"/>
                <w:szCs w:val="18"/>
              </w:rPr>
            </w:pPr>
            <w:r w:rsidRPr="00606183">
              <w:rPr>
                <w:rFonts w:ascii="Arial" w:hAnsi="Arial" w:cs="Arial"/>
                <w:sz w:val="18"/>
                <w:szCs w:val="18"/>
              </w:rPr>
              <w:t>16*</w:t>
            </w:r>
          </w:p>
        </w:tc>
      </w:tr>
    </w:tbl>
    <w:p w14:paraId="2AC01F49" w14:textId="77777777" w:rsidR="00B11E5C" w:rsidRPr="006F1C40" w:rsidRDefault="00B11E5C" w:rsidP="008810D7">
      <w:pPr>
        <w:ind w:left="180"/>
        <w:rPr>
          <w:rFonts w:ascii="Arial" w:hAnsi="Arial" w:cs="Arial"/>
          <w:sz w:val="18"/>
          <w:szCs w:val="18"/>
        </w:rPr>
      </w:pPr>
      <w:r w:rsidRPr="006F1C40">
        <w:rPr>
          <w:rFonts w:ascii="Arial" w:hAnsi="Arial" w:cs="Arial"/>
          <w:sz w:val="18"/>
          <w:szCs w:val="18"/>
        </w:rPr>
        <w:t>* The time required would vary depending on the size and complexity of a project.</w:t>
      </w:r>
    </w:p>
    <w:p w14:paraId="277D0232" w14:textId="77777777" w:rsidR="00B11E5C" w:rsidRDefault="00B11E5C" w:rsidP="00172E64">
      <w:pPr>
        <w:pStyle w:val="Heading3"/>
        <w:numPr>
          <w:ilvl w:val="2"/>
          <w:numId w:val="184"/>
        </w:numPr>
        <w:ind w:left="0" w:firstLine="0"/>
      </w:pPr>
      <w:r>
        <w:t>Embankment Materials</w:t>
      </w:r>
      <w:r w:rsidRPr="00606183">
        <w:t xml:space="preserve"> </w:t>
      </w:r>
    </w:p>
    <w:p w14:paraId="01CA075E" w14:textId="77777777" w:rsidR="00B11E5C" w:rsidRPr="00B11E5C" w:rsidRDefault="00B11E5C" w:rsidP="00BE3F24">
      <w:pPr>
        <w:jc w:val="both"/>
        <w:rPr>
          <w:rFonts w:ascii="Arial" w:hAnsi="Arial" w:cs="Arial"/>
          <w:sz w:val="22"/>
          <w:szCs w:val="22"/>
        </w:rPr>
      </w:pPr>
      <w:r w:rsidRPr="00B11E5C">
        <w:rPr>
          <w:rFonts w:ascii="Arial" w:hAnsi="Arial" w:cs="Arial"/>
          <w:sz w:val="22"/>
          <w:szCs w:val="22"/>
        </w:rPr>
        <w:t>Roadway</w:t>
      </w:r>
      <w:r w:rsidRPr="00B11E5C">
        <w:rPr>
          <w:rFonts w:ascii="Arial" w:hAnsi="Arial" w:cs="Arial"/>
          <w:b/>
          <w:i/>
          <w:sz w:val="22"/>
          <w:szCs w:val="22"/>
        </w:rPr>
        <w:t xml:space="preserve"> </w:t>
      </w:r>
      <w:r w:rsidRPr="00B11E5C">
        <w:rPr>
          <w:rFonts w:ascii="Arial" w:hAnsi="Arial" w:cs="Arial"/>
          <w:sz w:val="22"/>
          <w:szCs w:val="22"/>
        </w:rPr>
        <w:t xml:space="preserve">embankments are constructed on soils which support the embankment along with the traffic loading. Embankments may be built with different types of borrow materials such as Common Borrow, Select Borrow, Modified Borrow, etc. </w:t>
      </w:r>
    </w:p>
    <w:p w14:paraId="3E895466" w14:textId="77777777" w:rsidR="00B11E5C" w:rsidRPr="00B11E5C" w:rsidRDefault="00B11E5C" w:rsidP="00BE3F24">
      <w:pPr>
        <w:jc w:val="both"/>
        <w:rPr>
          <w:rFonts w:ascii="Arial" w:hAnsi="Arial" w:cs="Arial"/>
          <w:sz w:val="22"/>
          <w:szCs w:val="22"/>
        </w:rPr>
      </w:pPr>
      <w:r w:rsidRPr="00B11E5C">
        <w:rPr>
          <w:rFonts w:ascii="Arial" w:hAnsi="Arial" w:cs="Arial"/>
          <w:sz w:val="22"/>
          <w:szCs w:val="22"/>
        </w:rPr>
        <w:t xml:space="preserve"> </w:t>
      </w:r>
    </w:p>
    <w:p w14:paraId="3577B030" w14:textId="3CF10162" w:rsidR="00B11E5C" w:rsidRPr="00B11E5C" w:rsidRDefault="00B11E5C" w:rsidP="00BE3F24">
      <w:pPr>
        <w:jc w:val="both"/>
        <w:rPr>
          <w:rFonts w:ascii="Arial" w:hAnsi="Arial" w:cs="Arial"/>
          <w:sz w:val="22"/>
          <w:szCs w:val="22"/>
        </w:rPr>
      </w:pPr>
      <w:r w:rsidRPr="00B11E5C">
        <w:rPr>
          <w:rFonts w:ascii="Arial" w:hAnsi="Arial" w:cs="Arial"/>
          <w:sz w:val="22"/>
          <w:szCs w:val="22"/>
        </w:rPr>
        <w:t>If the embankments are to be built abutting a stream or water bodies, Rip-Rap should be used up to 6</w:t>
      </w:r>
      <w:r w:rsidR="00474521">
        <w:rPr>
          <w:rFonts w:ascii="Arial" w:hAnsi="Arial" w:cs="Arial"/>
          <w:sz w:val="22"/>
          <w:szCs w:val="22"/>
        </w:rPr>
        <w:t>"</w:t>
      </w:r>
      <w:r w:rsidRPr="00B11E5C">
        <w:rPr>
          <w:rFonts w:ascii="Arial" w:hAnsi="Arial" w:cs="Arial"/>
          <w:sz w:val="22"/>
          <w:szCs w:val="22"/>
        </w:rPr>
        <w:t xml:space="preserve"> above the flood level and then Select Borrow or Common Borrow may be used to the Top of Subgrade. Rip-Rap should be choked with CR-6. Alternately, </w:t>
      </w:r>
      <w:r w:rsidRPr="00B11E5C">
        <w:rPr>
          <w:rFonts w:ascii="Arial" w:hAnsi="Arial" w:cs="Arial"/>
          <w:sz w:val="22"/>
          <w:szCs w:val="22"/>
        </w:rPr>
        <w:lastRenderedPageBreak/>
        <w:t xml:space="preserve">geosynthetics for stabilization may be used to prevent migration of finer borrow into the void spaces of the coarser underlying material.  </w:t>
      </w:r>
    </w:p>
    <w:p w14:paraId="4BAEF7D4" w14:textId="77777777" w:rsidR="00B11E5C" w:rsidRPr="00B11E5C" w:rsidRDefault="00B11E5C" w:rsidP="00BE3F24">
      <w:pPr>
        <w:jc w:val="both"/>
        <w:rPr>
          <w:rFonts w:ascii="Arial" w:hAnsi="Arial" w:cs="Arial"/>
          <w:sz w:val="22"/>
          <w:szCs w:val="22"/>
        </w:rPr>
      </w:pPr>
    </w:p>
    <w:p w14:paraId="12666A6B" w14:textId="04CEDDFA" w:rsidR="00B11E5C" w:rsidRPr="00B11E5C" w:rsidRDefault="00474521" w:rsidP="00BE3F24">
      <w:pPr>
        <w:jc w:val="both"/>
        <w:rPr>
          <w:rFonts w:ascii="Arial" w:hAnsi="Arial" w:cs="Arial"/>
          <w:sz w:val="22"/>
          <w:szCs w:val="22"/>
        </w:rPr>
      </w:pPr>
      <w:r>
        <w:rPr>
          <w:rFonts w:ascii="Arial" w:hAnsi="Arial" w:cs="Arial"/>
          <w:sz w:val="22"/>
          <w:szCs w:val="22"/>
        </w:rPr>
        <w:t>The f</w:t>
      </w:r>
      <w:r w:rsidR="00B11E5C" w:rsidRPr="00B11E5C">
        <w:rPr>
          <w:rFonts w:ascii="Arial" w:hAnsi="Arial" w:cs="Arial"/>
          <w:sz w:val="22"/>
          <w:szCs w:val="22"/>
        </w:rPr>
        <w:t xml:space="preserve">ollowing embankment materials are typically used in different geographical locations of Maryland. </w:t>
      </w:r>
    </w:p>
    <w:p w14:paraId="7E0D3BA5" w14:textId="77777777" w:rsidR="00B11E5C" w:rsidRPr="00B11E5C" w:rsidRDefault="00B11E5C" w:rsidP="00BE3F24">
      <w:pPr>
        <w:jc w:val="both"/>
        <w:rPr>
          <w:rFonts w:ascii="Arial" w:hAnsi="Arial" w:cs="Arial"/>
          <w:sz w:val="22"/>
          <w:szCs w:val="2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17"/>
        <w:gridCol w:w="4348"/>
      </w:tblGrid>
      <w:tr w:rsidR="00B11E5C" w:rsidRPr="00B11E5C" w14:paraId="3DCA73C8" w14:textId="77777777" w:rsidTr="008810D7">
        <w:trPr>
          <w:trHeight w:val="288"/>
          <w:jc w:val="center"/>
        </w:trPr>
        <w:tc>
          <w:tcPr>
            <w:tcW w:w="3117" w:type="dxa"/>
            <w:shd w:val="pct15" w:color="auto" w:fill="auto"/>
            <w:vAlign w:val="center"/>
          </w:tcPr>
          <w:p w14:paraId="5CB632A8" w14:textId="77777777" w:rsidR="00B11E5C" w:rsidRPr="00B11E5C" w:rsidRDefault="00B11E5C" w:rsidP="00BE3F24">
            <w:pPr>
              <w:jc w:val="center"/>
              <w:rPr>
                <w:rFonts w:ascii="Arial" w:hAnsi="Arial" w:cs="Arial"/>
                <w:b/>
                <w:sz w:val="22"/>
                <w:szCs w:val="22"/>
              </w:rPr>
            </w:pPr>
            <w:r w:rsidRPr="00B11E5C">
              <w:rPr>
                <w:rFonts w:ascii="Arial" w:hAnsi="Arial" w:cs="Arial"/>
                <w:b/>
                <w:sz w:val="22"/>
                <w:szCs w:val="22"/>
              </w:rPr>
              <w:t>Geographic Area</w:t>
            </w:r>
          </w:p>
        </w:tc>
        <w:tc>
          <w:tcPr>
            <w:tcW w:w="4348" w:type="dxa"/>
            <w:shd w:val="pct15" w:color="auto" w:fill="auto"/>
            <w:vAlign w:val="center"/>
          </w:tcPr>
          <w:p w14:paraId="54C251D6" w14:textId="77777777" w:rsidR="00B11E5C" w:rsidRPr="00B11E5C" w:rsidRDefault="00B11E5C" w:rsidP="00BE3F24">
            <w:pPr>
              <w:jc w:val="center"/>
              <w:rPr>
                <w:rFonts w:ascii="Arial" w:hAnsi="Arial" w:cs="Arial"/>
                <w:b/>
                <w:sz w:val="22"/>
                <w:szCs w:val="22"/>
              </w:rPr>
            </w:pPr>
            <w:r w:rsidRPr="00B11E5C">
              <w:rPr>
                <w:rFonts w:ascii="Arial" w:hAnsi="Arial" w:cs="Arial"/>
                <w:b/>
                <w:sz w:val="22"/>
                <w:szCs w:val="22"/>
              </w:rPr>
              <w:t>Type of Material</w:t>
            </w:r>
          </w:p>
        </w:tc>
      </w:tr>
      <w:tr w:rsidR="00B11E5C" w:rsidRPr="00B11E5C" w14:paraId="4C5A181D" w14:textId="77777777" w:rsidTr="008810D7">
        <w:trPr>
          <w:trHeight w:val="288"/>
          <w:jc w:val="center"/>
        </w:trPr>
        <w:tc>
          <w:tcPr>
            <w:tcW w:w="3117" w:type="dxa"/>
            <w:vAlign w:val="center"/>
          </w:tcPr>
          <w:p w14:paraId="1AC88EDC" w14:textId="77777777" w:rsidR="00B11E5C" w:rsidRPr="00B11E5C" w:rsidRDefault="00B11E5C" w:rsidP="00BE3F24">
            <w:pPr>
              <w:jc w:val="center"/>
              <w:rPr>
                <w:rFonts w:ascii="Arial" w:hAnsi="Arial" w:cs="Arial"/>
                <w:sz w:val="22"/>
                <w:szCs w:val="22"/>
              </w:rPr>
            </w:pPr>
            <w:r w:rsidRPr="00B11E5C">
              <w:rPr>
                <w:rFonts w:ascii="Arial" w:hAnsi="Arial" w:cs="Arial"/>
                <w:sz w:val="22"/>
                <w:szCs w:val="22"/>
              </w:rPr>
              <w:t>Eastern Shore</w:t>
            </w:r>
          </w:p>
        </w:tc>
        <w:tc>
          <w:tcPr>
            <w:tcW w:w="4348" w:type="dxa"/>
            <w:vAlign w:val="center"/>
          </w:tcPr>
          <w:p w14:paraId="1B1D412D" w14:textId="0F267D57" w:rsidR="00B11E5C" w:rsidRPr="00B11E5C" w:rsidRDefault="00B11E5C" w:rsidP="00BE3F24">
            <w:pPr>
              <w:jc w:val="center"/>
              <w:rPr>
                <w:rFonts w:ascii="Arial" w:hAnsi="Arial" w:cs="Arial"/>
                <w:sz w:val="22"/>
                <w:szCs w:val="22"/>
              </w:rPr>
            </w:pPr>
            <w:r w:rsidRPr="00B11E5C">
              <w:rPr>
                <w:rFonts w:ascii="Arial" w:hAnsi="Arial" w:cs="Arial"/>
                <w:sz w:val="22"/>
                <w:szCs w:val="22"/>
              </w:rPr>
              <w:t>Common Borrow, Select Borrow</w:t>
            </w:r>
            <w:r w:rsidR="00474521">
              <w:rPr>
                <w:rFonts w:ascii="Arial" w:hAnsi="Arial" w:cs="Arial"/>
                <w:sz w:val="22"/>
                <w:szCs w:val="22"/>
              </w:rPr>
              <w:t>,</w:t>
            </w:r>
            <w:r w:rsidRPr="00B11E5C">
              <w:rPr>
                <w:rFonts w:ascii="Arial" w:hAnsi="Arial" w:cs="Arial"/>
                <w:sz w:val="22"/>
                <w:szCs w:val="22"/>
              </w:rPr>
              <w:t xml:space="preserve"> or Capping Borrow</w:t>
            </w:r>
          </w:p>
        </w:tc>
      </w:tr>
      <w:tr w:rsidR="00B11E5C" w:rsidRPr="00B11E5C" w14:paraId="646436DD" w14:textId="77777777" w:rsidTr="008810D7">
        <w:trPr>
          <w:trHeight w:val="288"/>
          <w:jc w:val="center"/>
        </w:trPr>
        <w:tc>
          <w:tcPr>
            <w:tcW w:w="3117" w:type="dxa"/>
            <w:vAlign w:val="center"/>
          </w:tcPr>
          <w:p w14:paraId="375BF64A" w14:textId="77777777" w:rsidR="00B11E5C" w:rsidRPr="00B11E5C" w:rsidRDefault="00B11E5C" w:rsidP="00BE3F24">
            <w:pPr>
              <w:jc w:val="center"/>
              <w:rPr>
                <w:rFonts w:ascii="Arial" w:hAnsi="Arial" w:cs="Arial"/>
                <w:sz w:val="22"/>
                <w:szCs w:val="22"/>
              </w:rPr>
            </w:pPr>
            <w:r w:rsidRPr="00B11E5C">
              <w:rPr>
                <w:rFonts w:ascii="Arial" w:hAnsi="Arial" w:cs="Arial"/>
                <w:sz w:val="22"/>
                <w:szCs w:val="22"/>
              </w:rPr>
              <w:t>Southern MD</w:t>
            </w:r>
          </w:p>
        </w:tc>
        <w:tc>
          <w:tcPr>
            <w:tcW w:w="4348" w:type="dxa"/>
            <w:vAlign w:val="center"/>
          </w:tcPr>
          <w:p w14:paraId="5E0441FC" w14:textId="52A32AF3" w:rsidR="00B11E5C" w:rsidRPr="00B11E5C" w:rsidRDefault="00B11E5C" w:rsidP="00BE3F24">
            <w:pPr>
              <w:jc w:val="center"/>
              <w:rPr>
                <w:rFonts w:ascii="Arial" w:hAnsi="Arial" w:cs="Arial"/>
                <w:sz w:val="22"/>
                <w:szCs w:val="22"/>
              </w:rPr>
            </w:pPr>
            <w:r w:rsidRPr="00B11E5C">
              <w:rPr>
                <w:rFonts w:ascii="Arial" w:hAnsi="Arial" w:cs="Arial"/>
                <w:sz w:val="22"/>
                <w:szCs w:val="22"/>
              </w:rPr>
              <w:t>Common Borrow, Select Borrow</w:t>
            </w:r>
            <w:r w:rsidR="00474521">
              <w:rPr>
                <w:rFonts w:ascii="Arial" w:hAnsi="Arial" w:cs="Arial"/>
                <w:sz w:val="22"/>
                <w:szCs w:val="22"/>
              </w:rPr>
              <w:t>,</w:t>
            </w:r>
            <w:r w:rsidRPr="00B11E5C">
              <w:rPr>
                <w:rFonts w:ascii="Arial" w:hAnsi="Arial" w:cs="Arial"/>
                <w:sz w:val="22"/>
                <w:szCs w:val="22"/>
              </w:rPr>
              <w:t xml:space="preserve"> or Capping Borrow</w:t>
            </w:r>
          </w:p>
        </w:tc>
      </w:tr>
      <w:tr w:rsidR="00B11E5C" w:rsidRPr="00B11E5C" w14:paraId="4255FE27" w14:textId="77777777" w:rsidTr="008810D7">
        <w:trPr>
          <w:trHeight w:val="288"/>
          <w:jc w:val="center"/>
        </w:trPr>
        <w:tc>
          <w:tcPr>
            <w:tcW w:w="3117" w:type="dxa"/>
            <w:vAlign w:val="center"/>
          </w:tcPr>
          <w:p w14:paraId="73999FB6" w14:textId="77777777" w:rsidR="00B11E5C" w:rsidRPr="00B11E5C" w:rsidRDefault="00B11E5C" w:rsidP="00BE3F24">
            <w:pPr>
              <w:jc w:val="center"/>
              <w:rPr>
                <w:rFonts w:ascii="Arial" w:hAnsi="Arial" w:cs="Arial"/>
                <w:sz w:val="22"/>
                <w:szCs w:val="22"/>
              </w:rPr>
            </w:pPr>
            <w:r w:rsidRPr="00B11E5C">
              <w:rPr>
                <w:rFonts w:ascii="Arial" w:hAnsi="Arial" w:cs="Arial"/>
                <w:sz w:val="22"/>
                <w:szCs w:val="22"/>
              </w:rPr>
              <w:t>Western MD</w:t>
            </w:r>
          </w:p>
        </w:tc>
        <w:tc>
          <w:tcPr>
            <w:tcW w:w="4348" w:type="dxa"/>
            <w:vAlign w:val="center"/>
          </w:tcPr>
          <w:p w14:paraId="67910ABE" w14:textId="77777777" w:rsidR="00B11E5C" w:rsidRPr="00B11E5C" w:rsidRDefault="00B11E5C" w:rsidP="00BE3F24">
            <w:pPr>
              <w:jc w:val="center"/>
              <w:rPr>
                <w:rFonts w:ascii="Arial" w:hAnsi="Arial" w:cs="Arial"/>
                <w:sz w:val="22"/>
                <w:szCs w:val="22"/>
              </w:rPr>
            </w:pPr>
            <w:r w:rsidRPr="00B11E5C">
              <w:rPr>
                <w:rFonts w:ascii="Arial" w:hAnsi="Arial" w:cs="Arial"/>
                <w:sz w:val="22"/>
                <w:szCs w:val="22"/>
              </w:rPr>
              <w:t>Common Borrow or Modified Borrow</w:t>
            </w:r>
          </w:p>
        </w:tc>
      </w:tr>
    </w:tbl>
    <w:p w14:paraId="780403EB" w14:textId="77777777" w:rsidR="00B11E5C" w:rsidRPr="00B11E5C" w:rsidRDefault="00B11E5C" w:rsidP="00BE3F24">
      <w:pPr>
        <w:jc w:val="both"/>
        <w:rPr>
          <w:rFonts w:ascii="Arial" w:hAnsi="Arial" w:cs="Arial"/>
          <w:sz w:val="22"/>
          <w:szCs w:val="22"/>
        </w:rPr>
      </w:pPr>
    </w:p>
    <w:p w14:paraId="4D1741D6" w14:textId="7D96D740" w:rsidR="00B11E5C" w:rsidRPr="00B11E5C" w:rsidRDefault="00B11E5C" w:rsidP="00BE3F24">
      <w:pPr>
        <w:jc w:val="both"/>
        <w:rPr>
          <w:rFonts w:ascii="Arial" w:hAnsi="Arial" w:cs="Arial"/>
          <w:color w:val="000000"/>
          <w:sz w:val="22"/>
          <w:szCs w:val="22"/>
        </w:rPr>
      </w:pPr>
      <w:r w:rsidRPr="00B11E5C">
        <w:rPr>
          <w:rFonts w:ascii="Arial" w:hAnsi="Arial" w:cs="Arial"/>
          <w:sz w:val="22"/>
          <w:szCs w:val="22"/>
        </w:rPr>
        <w:t xml:space="preserve">Lightweight Fills: </w:t>
      </w:r>
      <w:r w:rsidRPr="00B11E5C">
        <w:rPr>
          <w:rFonts w:ascii="Arial" w:hAnsi="Arial" w:cs="Arial"/>
          <w:color w:val="000000"/>
          <w:sz w:val="22"/>
          <w:szCs w:val="22"/>
        </w:rPr>
        <w:t>Lightweight embankment fill is another means of building roadway embankments along with improving the embankment stability. Lightweight fills are generally used for two conditions: the reduction of the driving forces contributing to instability, and reduction of potential settlement resulting from consolidation of compressible foundation soils. Situations where lightweight fill may be appropriate include conditions where the construction schedule does not allow the use of staged construction, where existing utilities or adjacent structures are present that cannot tolerate the magnitude of settlement induced by placement of typical fill, and at locations where post-construction settlements may be excessive under conventional fills. Lightweight fill can consist of a variety of materials including polystyrene blocks (geofoam), light</w:t>
      </w:r>
      <w:r w:rsidR="00C52107">
        <w:rPr>
          <w:rFonts w:ascii="Arial" w:hAnsi="Arial" w:cs="Arial"/>
          <w:color w:val="000000"/>
          <w:sz w:val="22"/>
          <w:szCs w:val="22"/>
        </w:rPr>
        <w:t>-</w:t>
      </w:r>
      <w:r w:rsidRPr="00B11E5C">
        <w:rPr>
          <w:rFonts w:ascii="Arial" w:hAnsi="Arial" w:cs="Arial"/>
          <w:color w:val="000000"/>
          <w:sz w:val="22"/>
          <w:szCs w:val="22"/>
        </w:rPr>
        <w:t xml:space="preserve">weight aggregates (rhyolite, expanded shale), and other materials. </w:t>
      </w:r>
    </w:p>
    <w:p w14:paraId="10458523" w14:textId="77777777" w:rsidR="00B11E5C" w:rsidRPr="00B11E5C" w:rsidRDefault="00B11E5C" w:rsidP="00BE3F24">
      <w:pPr>
        <w:jc w:val="both"/>
        <w:rPr>
          <w:rFonts w:ascii="Arial" w:hAnsi="Arial" w:cs="Arial"/>
          <w:color w:val="000000"/>
          <w:sz w:val="22"/>
          <w:szCs w:val="22"/>
        </w:rPr>
      </w:pPr>
    </w:p>
    <w:p w14:paraId="561153C0" w14:textId="479D7F3C" w:rsidR="00B11E5C" w:rsidRPr="00B11E5C" w:rsidRDefault="00B11E5C" w:rsidP="00BE3F24">
      <w:pPr>
        <w:jc w:val="both"/>
        <w:rPr>
          <w:rFonts w:ascii="Arial" w:hAnsi="Arial" w:cs="Arial"/>
          <w:color w:val="000000"/>
          <w:sz w:val="22"/>
          <w:szCs w:val="22"/>
        </w:rPr>
      </w:pPr>
      <w:r w:rsidRPr="00B11E5C">
        <w:rPr>
          <w:rFonts w:ascii="Arial" w:hAnsi="Arial" w:cs="Arial"/>
          <w:color w:val="000000"/>
          <w:sz w:val="22"/>
          <w:szCs w:val="22"/>
        </w:rPr>
        <w:t xml:space="preserve">If a project warrants the usage of lightweight fills, EGD should be contacted. For more information on lightweight fill embankments, refer to the NCHRP document titled “Geofoam Applications in the </w:t>
      </w:r>
      <w:r w:rsidR="00474521">
        <w:rPr>
          <w:rFonts w:ascii="Arial" w:hAnsi="Arial" w:cs="Arial"/>
          <w:color w:val="000000"/>
          <w:sz w:val="22"/>
          <w:szCs w:val="22"/>
        </w:rPr>
        <w:t>D</w:t>
      </w:r>
      <w:r w:rsidR="00474521" w:rsidRPr="00B11E5C">
        <w:rPr>
          <w:rFonts w:ascii="Arial" w:hAnsi="Arial" w:cs="Arial"/>
          <w:color w:val="000000"/>
          <w:sz w:val="22"/>
          <w:szCs w:val="22"/>
        </w:rPr>
        <w:t xml:space="preserve">esign </w:t>
      </w:r>
      <w:r w:rsidRPr="00B11E5C">
        <w:rPr>
          <w:rFonts w:ascii="Arial" w:hAnsi="Arial" w:cs="Arial"/>
          <w:color w:val="000000"/>
          <w:sz w:val="22"/>
          <w:szCs w:val="22"/>
        </w:rPr>
        <w:t xml:space="preserve">and </w:t>
      </w:r>
      <w:r w:rsidR="00474521">
        <w:rPr>
          <w:rFonts w:ascii="Arial" w:hAnsi="Arial" w:cs="Arial"/>
          <w:color w:val="000000"/>
          <w:sz w:val="22"/>
          <w:szCs w:val="22"/>
        </w:rPr>
        <w:t>C</w:t>
      </w:r>
      <w:r w:rsidR="00474521" w:rsidRPr="00B11E5C">
        <w:rPr>
          <w:rFonts w:ascii="Arial" w:hAnsi="Arial" w:cs="Arial"/>
          <w:color w:val="000000"/>
          <w:sz w:val="22"/>
          <w:szCs w:val="22"/>
        </w:rPr>
        <w:t xml:space="preserve">onstruction </w:t>
      </w:r>
      <w:r w:rsidRPr="00B11E5C">
        <w:rPr>
          <w:rFonts w:ascii="Arial" w:hAnsi="Arial" w:cs="Arial"/>
          <w:color w:val="000000"/>
          <w:sz w:val="22"/>
          <w:szCs w:val="22"/>
        </w:rPr>
        <w:t>of Highway Embankments</w:t>
      </w:r>
      <w:r w:rsidR="00474521">
        <w:rPr>
          <w:rFonts w:ascii="Arial" w:hAnsi="Arial" w:cs="Arial"/>
          <w:color w:val="000000"/>
          <w:sz w:val="22"/>
          <w:szCs w:val="22"/>
        </w:rPr>
        <w:t>.</w:t>
      </w:r>
      <w:r w:rsidRPr="00B11E5C">
        <w:rPr>
          <w:rFonts w:ascii="Arial" w:hAnsi="Arial" w:cs="Arial"/>
          <w:color w:val="000000"/>
          <w:sz w:val="22"/>
          <w:szCs w:val="22"/>
        </w:rPr>
        <w:t xml:space="preserve">” </w:t>
      </w:r>
    </w:p>
    <w:p w14:paraId="71C6C3E4" w14:textId="77777777" w:rsidR="00B11E5C" w:rsidRDefault="00B11E5C" w:rsidP="00172E64">
      <w:pPr>
        <w:pStyle w:val="Heading3"/>
        <w:numPr>
          <w:ilvl w:val="2"/>
          <w:numId w:val="184"/>
        </w:numPr>
        <w:ind w:left="0" w:firstLine="0"/>
      </w:pPr>
      <w:r w:rsidRPr="00606183">
        <w:t>Unstable Foundation Materials and Treatments</w:t>
      </w:r>
    </w:p>
    <w:p w14:paraId="7155E52E" w14:textId="01812DB5" w:rsidR="00B11E5C" w:rsidRPr="00B11E5C" w:rsidRDefault="00B11E5C" w:rsidP="00BE3F24">
      <w:pPr>
        <w:jc w:val="both"/>
        <w:rPr>
          <w:rFonts w:ascii="Arial" w:hAnsi="Arial" w:cs="Arial"/>
          <w:sz w:val="22"/>
          <w:szCs w:val="22"/>
        </w:rPr>
      </w:pPr>
      <w:r w:rsidRPr="00B11E5C">
        <w:rPr>
          <w:rFonts w:ascii="Arial" w:hAnsi="Arial" w:cs="Arial"/>
          <w:sz w:val="22"/>
          <w:szCs w:val="22"/>
        </w:rPr>
        <w:t xml:space="preserve">If the </w:t>
      </w:r>
      <w:r w:rsidR="001F6CA0">
        <w:rPr>
          <w:rFonts w:ascii="Arial" w:hAnsi="Arial" w:cs="Arial"/>
          <w:sz w:val="22"/>
          <w:szCs w:val="22"/>
        </w:rPr>
        <w:t>geophysic</w:t>
      </w:r>
      <w:r w:rsidR="001B1DE3">
        <w:rPr>
          <w:rFonts w:ascii="Arial" w:hAnsi="Arial" w:cs="Arial"/>
          <w:sz w:val="22"/>
          <w:szCs w:val="22"/>
        </w:rPr>
        <w:t>al</w:t>
      </w:r>
      <w:r w:rsidR="00C25987">
        <w:rPr>
          <w:rFonts w:ascii="Arial" w:hAnsi="Arial" w:cs="Arial"/>
          <w:sz w:val="22"/>
          <w:szCs w:val="22"/>
        </w:rPr>
        <w:t>, in-situ</w:t>
      </w:r>
      <w:r w:rsidR="00C52107">
        <w:rPr>
          <w:rFonts w:ascii="Arial" w:hAnsi="Arial" w:cs="Arial"/>
          <w:sz w:val="22"/>
          <w:szCs w:val="22"/>
        </w:rPr>
        <w:t>,</w:t>
      </w:r>
      <w:r w:rsidR="00C25987">
        <w:rPr>
          <w:rFonts w:ascii="Arial" w:hAnsi="Arial" w:cs="Arial"/>
          <w:sz w:val="22"/>
          <w:szCs w:val="22"/>
        </w:rPr>
        <w:t xml:space="preserve"> </w:t>
      </w:r>
      <w:r w:rsidR="001F6CA0">
        <w:rPr>
          <w:rFonts w:ascii="Arial" w:hAnsi="Arial" w:cs="Arial"/>
          <w:sz w:val="22"/>
          <w:szCs w:val="22"/>
        </w:rPr>
        <w:t xml:space="preserve">or </w:t>
      </w:r>
      <w:r w:rsidRPr="00B11E5C">
        <w:rPr>
          <w:rFonts w:ascii="Arial" w:hAnsi="Arial" w:cs="Arial"/>
          <w:sz w:val="22"/>
          <w:szCs w:val="22"/>
        </w:rPr>
        <w:t xml:space="preserve">soil boring </w:t>
      </w:r>
      <w:r w:rsidR="00C25987">
        <w:rPr>
          <w:rFonts w:ascii="Arial" w:hAnsi="Arial" w:cs="Arial"/>
          <w:sz w:val="22"/>
          <w:szCs w:val="22"/>
        </w:rPr>
        <w:t>investigations</w:t>
      </w:r>
      <w:r w:rsidR="00C25987" w:rsidRPr="00B11E5C">
        <w:rPr>
          <w:rFonts w:ascii="Arial" w:hAnsi="Arial" w:cs="Arial"/>
          <w:sz w:val="22"/>
          <w:szCs w:val="22"/>
        </w:rPr>
        <w:t xml:space="preserve"> </w:t>
      </w:r>
      <w:r w:rsidRPr="00B11E5C">
        <w:rPr>
          <w:rFonts w:ascii="Arial" w:hAnsi="Arial" w:cs="Arial"/>
          <w:sz w:val="22"/>
          <w:szCs w:val="22"/>
        </w:rPr>
        <w:t>at foundation level for embankments reveal soft/wet soils, soils with low bearing capacity, or Muck (A-8)</w:t>
      </w:r>
      <w:r w:rsidR="00C52107">
        <w:rPr>
          <w:rFonts w:ascii="Arial" w:hAnsi="Arial" w:cs="Arial"/>
          <w:sz w:val="22"/>
          <w:szCs w:val="22"/>
        </w:rPr>
        <w:t>,</w:t>
      </w:r>
      <w:r w:rsidRPr="00B11E5C">
        <w:rPr>
          <w:rFonts w:ascii="Arial" w:hAnsi="Arial" w:cs="Arial"/>
          <w:sz w:val="22"/>
          <w:szCs w:val="22"/>
        </w:rPr>
        <w:t xml:space="preserve"> it </w:t>
      </w:r>
      <w:r w:rsidR="008E1692">
        <w:rPr>
          <w:rFonts w:ascii="Arial" w:hAnsi="Arial" w:cs="Arial"/>
          <w:sz w:val="22"/>
          <w:szCs w:val="22"/>
        </w:rPr>
        <w:t xml:space="preserve">may be </w:t>
      </w:r>
      <w:r w:rsidRPr="00B11E5C">
        <w:rPr>
          <w:rFonts w:ascii="Arial" w:hAnsi="Arial" w:cs="Arial"/>
          <w:sz w:val="22"/>
          <w:szCs w:val="22"/>
        </w:rPr>
        <w:t xml:space="preserve">necessary to excavate </w:t>
      </w:r>
      <w:r w:rsidR="008E1692">
        <w:rPr>
          <w:rFonts w:ascii="Arial" w:hAnsi="Arial" w:cs="Arial"/>
          <w:sz w:val="22"/>
          <w:szCs w:val="22"/>
        </w:rPr>
        <w:t>the</w:t>
      </w:r>
      <w:r w:rsidRPr="00B11E5C">
        <w:rPr>
          <w:rFonts w:ascii="Arial" w:hAnsi="Arial" w:cs="Arial"/>
          <w:sz w:val="22"/>
          <w:szCs w:val="22"/>
        </w:rPr>
        <w:t xml:space="preserve"> full depth of the soft layer</w:t>
      </w:r>
      <w:r w:rsidR="008E1692">
        <w:rPr>
          <w:rFonts w:ascii="Arial" w:hAnsi="Arial" w:cs="Arial"/>
          <w:sz w:val="22"/>
          <w:szCs w:val="22"/>
        </w:rPr>
        <w:t xml:space="preserve"> or provide an alternate treatment with the assistance of EGD</w:t>
      </w:r>
      <w:r w:rsidRPr="00B11E5C">
        <w:rPr>
          <w:rFonts w:ascii="Arial" w:hAnsi="Arial" w:cs="Arial"/>
          <w:sz w:val="22"/>
          <w:szCs w:val="22"/>
        </w:rPr>
        <w:t xml:space="preserve">. </w:t>
      </w:r>
      <w:r w:rsidR="001B1DE3" w:rsidRPr="001B1DE3">
        <w:rPr>
          <w:rFonts w:ascii="Arial" w:hAnsi="Arial" w:cs="Arial"/>
          <w:sz w:val="22"/>
          <w:szCs w:val="22"/>
        </w:rPr>
        <w:t>A geophysical investigation can often provide th</w:t>
      </w:r>
      <w:r w:rsidR="00C25987">
        <w:rPr>
          <w:rFonts w:ascii="Arial" w:hAnsi="Arial" w:cs="Arial"/>
          <w:sz w:val="22"/>
          <w:szCs w:val="22"/>
        </w:rPr>
        <w:t>e extent of the unsuitable soils</w:t>
      </w:r>
      <w:r w:rsidR="00474521">
        <w:rPr>
          <w:rFonts w:ascii="Arial" w:hAnsi="Arial" w:cs="Arial"/>
          <w:sz w:val="22"/>
          <w:szCs w:val="22"/>
        </w:rPr>
        <w:t>.</w:t>
      </w:r>
      <w:r w:rsidR="001B1DE3" w:rsidRPr="001B1DE3">
        <w:rPr>
          <w:rFonts w:ascii="Arial" w:hAnsi="Arial" w:cs="Arial"/>
          <w:sz w:val="22"/>
          <w:szCs w:val="22"/>
        </w:rPr>
        <w:t xml:space="preserve"> </w:t>
      </w:r>
      <w:r w:rsidR="00C25987">
        <w:rPr>
          <w:rFonts w:ascii="Arial" w:hAnsi="Arial" w:cs="Arial"/>
          <w:sz w:val="22"/>
          <w:szCs w:val="22"/>
        </w:rPr>
        <w:t>R</w:t>
      </w:r>
      <w:r w:rsidR="001B1DE3" w:rsidRPr="001B1DE3">
        <w:rPr>
          <w:rFonts w:ascii="Arial" w:hAnsi="Arial" w:cs="Arial"/>
          <w:sz w:val="22"/>
          <w:szCs w:val="22"/>
        </w:rPr>
        <w:t xml:space="preserve">efer to </w:t>
      </w:r>
      <w:hyperlink w:anchor="_geophysical_investigation" w:history="1">
        <w:r w:rsidR="001B1DE3" w:rsidRPr="00391F5D">
          <w:rPr>
            <w:rStyle w:val="Hyperlink"/>
            <w:rFonts w:ascii="Arial" w:hAnsi="Arial" w:cs="Arial"/>
            <w:i/>
            <w:sz w:val="22"/>
            <w:szCs w:val="22"/>
          </w:rPr>
          <w:t>Section 3.07 Geophysical Investigation</w:t>
        </w:r>
      </w:hyperlink>
      <w:r w:rsidR="001B1DE3" w:rsidRPr="001B1DE3">
        <w:rPr>
          <w:rFonts w:ascii="Arial" w:hAnsi="Arial" w:cs="Arial"/>
          <w:sz w:val="22"/>
          <w:szCs w:val="22"/>
        </w:rPr>
        <w:t xml:space="preserve"> for information about scoping a geophysical investigation. </w:t>
      </w:r>
      <w:r w:rsidRPr="00B11E5C">
        <w:rPr>
          <w:rFonts w:ascii="Arial" w:hAnsi="Arial" w:cs="Arial"/>
          <w:sz w:val="22"/>
          <w:szCs w:val="22"/>
        </w:rPr>
        <w:t xml:space="preserve"> Embankment foundations may be undercut and replaced with Select Borrow or Modified Borrow or bridged with thick lifts of Select Borrow or Modified Borrow.  Undercut depths are typically 1 to 3 ft</w:t>
      </w:r>
      <w:r w:rsidR="00CF65CA">
        <w:rPr>
          <w:rFonts w:ascii="Arial" w:hAnsi="Arial" w:cs="Arial"/>
          <w:sz w:val="22"/>
          <w:szCs w:val="22"/>
        </w:rPr>
        <w:t>.</w:t>
      </w:r>
      <w:r w:rsidRPr="00B11E5C">
        <w:rPr>
          <w:rFonts w:ascii="Arial" w:hAnsi="Arial" w:cs="Arial"/>
          <w:sz w:val="22"/>
          <w:szCs w:val="22"/>
        </w:rPr>
        <w:t>, but can be as deep as 5 ft.  Undercutting for depths greater than these is impractical</w:t>
      </w:r>
      <w:r w:rsidR="008E1692">
        <w:rPr>
          <w:rFonts w:ascii="Arial" w:hAnsi="Arial" w:cs="Arial"/>
          <w:sz w:val="22"/>
          <w:szCs w:val="22"/>
        </w:rPr>
        <w:t xml:space="preserve"> and an alternate treatment should be considered</w:t>
      </w:r>
      <w:r w:rsidRPr="00B11E5C">
        <w:rPr>
          <w:rFonts w:ascii="Arial" w:hAnsi="Arial" w:cs="Arial"/>
          <w:sz w:val="22"/>
          <w:szCs w:val="22"/>
        </w:rPr>
        <w:t xml:space="preserve">. </w:t>
      </w:r>
    </w:p>
    <w:p w14:paraId="07461086" w14:textId="77777777" w:rsidR="00B11E5C" w:rsidRPr="00B11E5C" w:rsidRDefault="00B11E5C" w:rsidP="00BE3F24">
      <w:pPr>
        <w:jc w:val="both"/>
        <w:rPr>
          <w:rFonts w:ascii="Arial" w:hAnsi="Arial" w:cs="Arial"/>
          <w:sz w:val="22"/>
          <w:szCs w:val="22"/>
        </w:rPr>
      </w:pPr>
      <w:r w:rsidRPr="00B11E5C">
        <w:rPr>
          <w:rFonts w:ascii="Arial" w:hAnsi="Arial" w:cs="Arial"/>
          <w:sz w:val="22"/>
          <w:szCs w:val="22"/>
        </w:rPr>
        <w:t xml:space="preserve"> </w:t>
      </w:r>
    </w:p>
    <w:p w14:paraId="33E55F62" w14:textId="53C32E2D" w:rsidR="00474521" w:rsidRDefault="00B11E5C" w:rsidP="00BE3F24">
      <w:pPr>
        <w:jc w:val="both"/>
        <w:rPr>
          <w:rFonts w:ascii="Arial" w:hAnsi="Arial" w:cs="Arial"/>
          <w:sz w:val="22"/>
          <w:szCs w:val="22"/>
        </w:rPr>
      </w:pPr>
      <w:r w:rsidRPr="00B11E5C">
        <w:rPr>
          <w:rFonts w:ascii="Arial" w:hAnsi="Arial" w:cs="Arial"/>
          <w:sz w:val="22"/>
          <w:szCs w:val="22"/>
        </w:rPr>
        <w:t xml:space="preserve">Follow the guidelines for conditions outlined in </w:t>
      </w:r>
      <w:hyperlink w:anchor="_Class_1-A_Excavation" w:history="1">
        <w:r w:rsidRPr="00B11E5C">
          <w:rPr>
            <w:rStyle w:val="Hyperlink"/>
            <w:rFonts w:ascii="Arial" w:hAnsi="Arial" w:cs="Arial"/>
            <w:sz w:val="22"/>
            <w:szCs w:val="22"/>
          </w:rPr>
          <w:t>Class 1-A Excavation and Backfill</w:t>
        </w:r>
      </w:hyperlink>
      <w:r w:rsidRPr="00B11E5C">
        <w:rPr>
          <w:rFonts w:ascii="Arial" w:hAnsi="Arial" w:cs="Arial"/>
          <w:sz w:val="22"/>
          <w:szCs w:val="22"/>
        </w:rPr>
        <w:t>, where the embankment foundation soils are anticipated to fail test/proof rolling.  Note these guidelines are intended to provide a stable platform for construction equipment in order to construct the embankment.  These guidelines may not solve all issues regarding the settlement or stability of embankments:</w:t>
      </w:r>
    </w:p>
    <w:p w14:paraId="25F48D11" w14:textId="3288D8E7" w:rsidR="00B11E5C" w:rsidRPr="00B11E5C" w:rsidRDefault="00B11E5C" w:rsidP="00BE3F24">
      <w:pPr>
        <w:jc w:val="both"/>
        <w:rPr>
          <w:rFonts w:ascii="Arial" w:hAnsi="Arial" w:cs="Arial"/>
          <w:sz w:val="22"/>
          <w:szCs w:val="22"/>
        </w:rPr>
      </w:pPr>
    </w:p>
    <w:p w14:paraId="78C94531" w14:textId="77777777" w:rsidR="00474521" w:rsidRDefault="00474521">
      <w:pPr>
        <w:rPr>
          <w:rFonts w:ascii="Arial" w:hAnsi="Arial" w:cs="Arial"/>
          <w:sz w:val="22"/>
          <w:szCs w:val="22"/>
        </w:rPr>
      </w:pPr>
      <w:r>
        <w:rPr>
          <w:rFonts w:ascii="Arial" w:hAnsi="Arial" w:cs="Arial"/>
          <w:sz w:val="22"/>
          <w:szCs w:val="22"/>
        </w:rPr>
        <w:br w:type="page"/>
      </w:r>
    </w:p>
    <w:p w14:paraId="31D49B58" w14:textId="01CF61C0" w:rsidR="001A15B9" w:rsidRDefault="00B11E5C" w:rsidP="00172E64">
      <w:pPr>
        <w:numPr>
          <w:ilvl w:val="0"/>
          <w:numId w:val="53"/>
        </w:numPr>
        <w:tabs>
          <w:tab w:val="left" w:pos="540"/>
        </w:tabs>
        <w:ind w:left="540" w:hanging="540"/>
        <w:jc w:val="both"/>
        <w:rPr>
          <w:rFonts w:ascii="Arial" w:hAnsi="Arial" w:cs="Arial"/>
          <w:sz w:val="22"/>
          <w:szCs w:val="22"/>
        </w:rPr>
      </w:pPr>
      <w:r w:rsidRPr="00B11E5C">
        <w:rPr>
          <w:rFonts w:ascii="Arial" w:hAnsi="Arial" w:cs="Arial"/>
          <w:sz w:val="22"/>
          <w:szCs w:val="22"/>
        </w:rPr>
        <w:lastRenderedPageBreak/>
        <w:t>If the embankment fill is more than 3 ft</w:t>
      </w:r>
      <w:r w:rsidR="00CF65CA">
        <w:rPr>
          <w:rFonts w:ascii="Arial" w:hAnsi="Arial" w:cs="Arial"/>
          <w:sz w:val="22"/>
          <w:szCs w:val="22"/>
        </w:rPr>
        <w:t>.</w:t>
      </w:r>
      <w:r w:rsidRPr="00B11E5C">
        <w:rPr>
          <w:rFonts w:ascii="Arial" w:hAnsi="Arial" w:cs="Arial"/>
          <w:sz w:val="22"/>
          <w:szCs w:val="22"/>
        </w:rPr>
        <w:t xml:space="preserve"> </w:t>
      </w:r>
      <w:r w:rsidR="00474521">
        <w:rPr>
          <w:rFonts w:ascii="Arial" w:hAnsi="Arial" w:cs="Arial"/>
          <w:sz w:val="22"/>
          <w:szCs w:val="22"/>
        </w:rPr>
        <w:t xml:space="preserve">in </w:t>
      </w:r>
      <w:r w:rsidRPr="00B11E5C">
        <w:rPr>
          <w:rFonts w:ascii="Arial" w:hAnsi="Arial" w:cs="Arial"/>
          <w:sz w:val="22"/>
          <w:szCs w:val="22"/>
        </w:rPr>
        <w:t>height</w:t>
      </w:r>
      <w:r w:rsidR="00474521">
        <w:rPr>
          <w:rFonts w:ascii="Arial" w:hAnsi="Arial" w:cs="Arial"/>
          <w:sz w:val="22"/>
          <w:szCs w:val="22"/>
        </w:rPr>
        <w:t>:</w:t>
      </w:r>
      <w:r w:rsidRPr="00B11E5C">
        <w:rPr>
          <w:rFonts w:ascii="Arial" w:hAnsi="Arial" w:cs="Arial"/>
          <w:sz w:val="22"/>
          <w:szCs w:val="22"/>
        </w:rPr>
        <w:t xml:space="preserve"> </w:t>
      </w:r>
    </w:p>
    <w:p w14:paraId="44585476" w14:textId="0BE5A2D3" w:rsidR="001A15B9" w:rsidRDefault="00B11E5C" w:rsidP="00172E64">
      <w:pPr>
        <w:numPr>
          <w:ilvl w:val="1"/>
          <w:numId w:val="53"/>
        </w:numPr>
        <w:tabs>
          <w:tab w:val="left" w:pos="540"/>
        </w:tabs>
        <w:ind w:left="1080" w:hanging="540"/>
        <w:jc w:val="both"/>
        <w:rPr>
          <w:rFonts w:ascii="Arial" w:hAnsi="Arial" w:cs="Arial"/>
          <w:sz w:val="22"/>
          <w:szCs w:val="22"/>
        </w:rPr>
      </w:pPr>
      <w:r w:rsidRPr="00B11E5C">
        <w:rPr>
          <w:rFonts w:ascii="Arial" w:hAnsi="Arial" w:cs="Arial"/>
          <w:sz w:val="22"/>
          <w:szCs w:val="22"/>
        </w:rPr>
        <w:t>Undercut (1 to 3 ft</w:t>
      </w:r>
      <w:r w:rsidR="00CF65CA">
        <w:rPr>
          <w:rFonts w:ascii="Arial" w:hAnsi="Arial" w:cs="Arial"/>
          <w:sz w:val="22"/>
          <w:szCs w:val="22"/>
        </w:rPr>
        <w:t>.</w:t>
      </w:r>
      <w:r w:rsidRPr="00B11E5C">
        <w:rPr>
          <w:rFonts w:ascii="Arial" w:hAnsi="Arial" w:cs="Arial"/>
          <w:sz w:val="22"/>
          <w:szCs w:val="22"/>
        </w:rPr>
        <w:t>) and replace with Select Borrow or Modified Borrow, or</w:t>
      </w:r>
    </w:p>
    <w:p w14:paraId="0BAD1660" w14:textId="03A4223E" w:rsidR="001A15B9" w:rsidRDefault="00B11E5C" w:rsidP="00172E64">
      <w:pPr>
        <w:numPr>
          <w:ilvl w:val="1"/>
          <w:numId w:val="53"/>
        </w:numPr>
        <w:tabs>
          <w:tab w:val="left" w:pos="540"/>
        </w:tabs>
        <w:ind w:left="1080" w:hanging="540"/>
        <w:jc w:val="both"/>
        <w:rPr>
          <w:rFonts w:ascii="Arial" w:hAnsi="Arial" w:cs="Arial"/>
          <w:sz w:val="22"/>
          <w:szCs w:val="22"/>
        </w:rPr>
      </w:pPr>
      <w:r w:rsidRPr="00B11E5C">
        <w:rPr>
          <w:rFonts w:ascii="Arial" w:hAnsi="Arial" w:cs="Arial"/>
          <w:sz w:val="22"/>
          <w:szCs w:val="22"/>
        </w:rPr>
        <w:t>Provide bridge lift (1 to 3 ft</w:t>
      </w:r>
      <w:r w:rsidR="00CF65CA">
        <w:rPr>
          <w:rFonts w:ascii="Arial" w:hAnsi="Arial" w:cs="Arial"/>
          <w:sz w:val="22"/>
          <w:szCs w:val="22"/>
        </w:rPr>
        <w:t>.</w:t>
      </w:r>
      <w:r w:rsidRPr="00B11E5C">
        <w:rPr>
          <w:rFonts w:ascii="Arial" w:hAnsi="Arial" w:cs="Arial"/>
          <w:sz w:val="22"/>
          <w:szCs w:val="22"/>
        </w:rPr>
        <w:t xml:space="preserve">) of Select Borrow or Modified Borrow.  There will be no Class 1-A Excavation. </w:t>
      </w:r>
    </w:p>
    <w:p w14:paraId="0A401CBF" w14:textId="5C9ABD6B" w:rsidR="001A15B9" w:rsidRDefault="00B11E5C" w:rsidP="00172E64">
      <w:pPr>
        <w:numPr>
          <w:ilvl w:val="0"/>
          <w:numId w:val="53"/>
        </w:numPr>
        <w:tabs>
          <w:tab w:val="left" w:pos="540"/>
        </w:tabs>
        <w:ind w:left="540" w:hanging="540"/>
        <w:jc w:val="both"/>
        <w:rPr>
          <w:rFonts w:ascii="Arial" w:hAnsi="Arial" w:cs="Arial"/>
          <w:sz w:val="22"/>
          <w:szCs w:val="22"/>
        </w:rPr>
      </w:pPr>
      <w:r w:rsidRPr="00B11E5C">
        <w:rPr>
          <w:rFonts w:ascii="Arial" w:hAnsi="Arial" w:cs="Arial"/>
          <w:sz w:val="22"/>
          <w:szCs w:val="22"/>
        </w:rPr>
        <w:t>If the embankment fill is less than 3 ft</w:t>
      </w:r>
      <w:r w:rsidR="00CF65CA">
        <w:rPr>
          <w:rFonts w:ascii="Arial" w:hAnsi="Arial" w:cs="Arial"/>
          <w:sz w:val="22"/>
          <w:szCs w:val="22"/>
        </w:rPr>
        <w:t>.</w:t>
      </w:r>
      <w:r w:rsidRPr="00B11E5C">
        <w:rPr>
          <w:rFonts w:ascii="Arial" w:hAnsi="Arial" w:cs="Arial"/>
          <w:sz w:val="22"/>
          <w:szCs w:val="22"/>
        </w:rPr>
        <w:t xml:space="preserve"> in height, the embankment should be constructed with Select Borrow or Modified Borrow. </w:t>
      </w:r>
    </w:p>
    <w:p w14:paraId="589B83E2" w14:textId="77777777" w:rsidR="00B11E5C" w:rsidRPr="00B11E5C" w:rsidRDefault="00B11E5C" w:rsidP="00BE3F24">
      <w:pPr>
        <w:jc w:val="both"/>
        <w:rPr>
          <w:rFonts w:ascii="Arial" w:hAnsi="Arial" w:cs="Arial"/>
          <w:sz w:val="22"/>
          <w:szCs w:val="22"/>
        </w:rPr>
      </w:pPr>
    </w:p>
    <w:p w14:paraId="611F4D4A" w14:textId="1F121288" w:rsidR="00B11E5C" w:rsidRDefault="00B11E5C" w:rsidP="00BE3F24">
      <w:pPr>
        <w:jc w:val="both"/>
        <w:rPr>
          <w:rFonts w:ascii="Arial" w:hAnsi="Arial" w:cs="Arial"/>
        </w:rPr>
      </w:pPr>
      <w:r w:rsidRPr="00B11E5C">
        <w:rPr>
          <w:rFonts w:ascii="Arial" w:hAnsi="Arial" w:cs="Arial"/>
          <w:sz w:val="22"/>
          <w:szCs w:val="22"/>
        </w:rPr>
        <w:t xml:space="preserve">Section 204 of the “Standard Specifications for Construction and Materials, July 2008” does not require test/proof rolling of the embankment foundation.  When warranted based on the project scope and soil conditions, it is recommended </w:t>
      </w:r>
      <w:r w:rsidR="00474521">
        <w:rPr>
          <w:rFonts w:ascii="Arial" w:hAnsi="Arial" w:cs="Arial"/>
          <w:sz w:val="22"/>
          <w:szCs w:val="22"/>
        </w:rPr>
        <w:t xml:space="preserve">that </w:t>
      </w:r>
      <w:r w:rsidRPr="00B11E5C">
        <w:rPr>
          <w:rFonts w:ascii="Arial" w:hAnsi="Arial" w:cs="Arial"/>
          <w:sz w:val="22"/>
          <w:szCs w:val="22"/>
        </w:rPr>
        <w:t>a</w:t>
      </w:r>
      <w:r w:rsidR="00474521">
        <w:rPr>
          <w:rFonts w:ascii="Arial" w:hAnsi="Arial" w:cs="Arial"/>
          <w:sz w:val="22"/>
          <w:szCs w:val="22"/>
        </w:rPr>
        <w:t>n</w:t>
      </w:r>
      <w:r w:rsidRPr="00B11E5C">
        <w:rPr>
          <w:rFonts w:ascii="Arial" w:hAnsi="Arial" w:cs="Arial"/>
          <w:sz w:val="22"/>
          <w:szCs w:val="22"/>
        </w:rPr>
        <w:t xml:space="preserve"> SP should be provided requiring test/proof rolling and specifying treatments.  Fine grained soils with a</w:t>
      </w:r>
      <w:r w:rsidR="00354BEA">
        <w:rPr>
          <w:rFonts w:ascii="Arial" w:hAnsi="Arial" w:cs="Arial"/>
          <w:sz w:val="22"/>
          <w:szCs w:val="22"/>
        </w:rPr>
        <w:t>n</w:t>
      </w:r>
      <w:r w:rsidRPr="00B11E5C">
        <w:rPr>
          <w:rFonts w:ascii="Arial" w:hAnsi="Arial" w:cs="Arial"/>
          <w:sz w:val="22"/>
          <w:szCs w:val="22"/>
        </w:rPr>
        <w:t xml:space="preserve"> </w:t>
      </w:r>
      <w:r w:rsidR="008E1692">
        <w:rPr>
          <w:rFonts w:ascii="Arial" w:hAnsi="Arial" w:cs="Arial"/>
          <w:sz w:val="22"/>
          <w:szCs w:val="22"/>
        </w:rPr>
        <w:t>N</w:t>
      </w:r>
      <w:r w:rsidR="00474521">
        <w:rPr>
          <w:rFonts w:ascii="Arial" w:hAnsi="Arial" w:cs="Arial"/>
          <w:sz w:val="22"/>
          <w:szCs w:val="22"/>
        </w:rPr>
        <w:t>-</w:t>
      </w:r>
      <w:r w:rsidR="008E1692">
        <w:rPr>
          <w:rFonts w:ascii="Arial" w:hAnsi="Arial" w:cs="Arial"/>
          <w:sz w:val="22"/>
          <w:szCs w:val="22"/>
        </w:rPr>
        <w:t>value</w:t>
      </w:r>
      <w:r w:rsidRPr="00B11E5C">
        <w:rPr>
          <w:rFonts w:ascii="Arial" w:hAnsi="Arial" w:cs="Arial"/>
          <w:sz w:val="22"/>
          <w:szCs w:val="22"/>
        </w:rPr>
        <w:t xml:space="preserve"> less than 4 b</w:t>
      </w:r>
      <w:r w:rsidR="008E1692">
        <w:rPr>
          <w:rFonts w:ascii="Arial" w:hAnsi="Arial" w:cs="Arial"/>
          <w:sz w:val="22"/>
          <w:szCs w:val="22"/>
        </w:rPr>
        <w:t xml:space="preserve">lows </w:t>
      </w:r>
      <w:r w:rsidRPr="00B11E5C">
        <w:rPr>
          <w:rFonts w:ascii="Arial" w:hAnsi="Arial" w:cs="Arial"/>
          <w:sz w:val="22"/>
          <w:szCs w:val="22"/>
        </w:rPr>
        <w:t>p</w:t>
      </w:r>
      <w:r w:rsidR="008E1692">
        <w:rPr>
          <w:rFonts w:ascii="Arial" w:hAnsi="Arial" w:cs="Arial"/>
          <w:sz w:val="22"/>
          <w:szCs w:val="22"/>
        </w:rPr>
        <w:t xml:space="preserve">er </w:t>
      </w:r>
      <w:r w:rsidRPr="00B11E5C">
        <w:rPr>
          <w:rFonts w:ascii="Arial" w:hAnsi="Arial" w:cs="Arial"/>
          <w:sz w:val="22"/>
          <w:szCs w:val="22"/>
        </w:rPr>
        <w:t>f</w:t>
      </w:r>
      <w:r w:rsidR="008E1692">
        <w:rPr>
          <w:rFonts w:ascii="Arial" w:hAnsi="Arial" w:cs="Arial"/>
          <w:sz w:val="22"/>
          <w:szCs w:val="22"/>
        </w:rPr>
        <w:t>oot</w:t>
      </w:r>
      <w:r w:rsidRPr="00B11E5C">
        <w:rPr>
          <w:rFonts w:ascii="Arial" w:hAnsi="Arial" w:cs="Arial"/>
          <w:sz w:val="22"/>
          <w:szCs w:val="22"/>
        </w:rPr>
        <w:t xml:space="preserve"> are likely to exhibit pumping when test/proof rolled. Localized soft spots identified by test/proof rolling and not accounted for during design will be stabilized and grades will be restored prior to placing the embankment</w:t>
      </w:r>
      <w:r w:rsidR="00474521">
        <w:rPr>
          <w:rFonts w:ascii="Arial" w:hAnsi="Arial" w:cs="Arial"/>
          <w:sz w:val="22"/>
          <w:szCs w:val="22"/>
        </w:rPr>
        <w:t>,</w:t>
      </w:r>
      <w:r w:rsidRPr="00B11E5C">
        <w:rPr>
          <w:rFonts w:ascii="Arial" w:hAnsi="Arial" w:cs="Arial"/>
          <w:sz w:val="22"/>
          <w:szCs w:val="22"/>
        </w:rPr>
        <w:t xml:space="preserve"> resulting in an overrun of Class 1-A Excavation and/or backfill material.</w:t>
      </w:r>
    </w:p>
    <w:p w14:paraId="08E50812" w14:textId="77777777" w:rsidR="00B11E5C" w:rsidRDefault="00B11E5C" w:rsidP="00172E64">
      <w:pPr>
        <w:pStyle w:val="Heading3"/>
        <w:numPr>
          <w:ilvl w:val="2"/>
          <w:numId w:val="184"/>
        </w:numPr>
        <w:ind w:left="0" w:firstLine="0"/>
      </w:pPr>
      <w:r>
        <w:t>Settlement Analysis</w:t>
      </w:r>
    </w:p>
    <w:p w14:paraId="55735B80" w14:textId="135DB4B0" w:rsidR="00B11E5C" w:rsidRDefault="00B11E5C" w:rsidP="00BE3F24">
      <w:pPr>
        <w:pStyle w:val="BodyText"/>
        <w:spacing w:after="0"/>
        <w:jc w:val="both"/>
      </w:pPr>
      <w:r>
        <w:t xml:space="preserve">Settlement should </w:t>
      </w:r>
      <w:r w:rsidRPr="00FD622F">
        <w:t>be assessed for all embankments</w:t>
      </w:r>
      <w:r>
        <w:t xml:space="preserve"> if soil conditions warrant</w:t>
      </w:r>
      <w:r w:rsidRPr="00FD622F">
        <w:t xml:space="preserve">. </w:t>
      </w:r>
      <w:r>
        <w:t xml:space="preserve">For cohesionless materials, the majority of the settlement will be immediate settlement. For cohesive soft materials, the settlement typically consists of </w:t>
      </w:r>
      <w:r w:rsidRPr="00FD622F">
        <w:t xml:space="preserve">three potential components: immediate settlement, consolidation settlement, and secondary </w:t>
      </w:r>
      <w:r w:rsidRPr="00D021D9">
        <w:t xml:space="preserve">compression.  Refer to </w:t>
      </w:r>
      <w:r>
        <w:t>“</w:t>
      </w:r>
      <w:r w:rsidRPr="00D021D9">
        <w:t>Soils and Foundations Workshop</w:t>
      </w:r>
      <w:r w:rsidR="00474521">
        <w:t>,</w:t>
      </w:r>
      <w:r>
        <w:t>”</w:t>
      </w:r>
      <w:r w:rsidRPr="00D021D9">
        <w:t xml:space="preserve"> NHI Course No. 132012 for more information.</w:t>
      </w:r>
    </w:p>
    <w:p w14:paraId="458A29D9" w14:textId="77777777" w:rsidR="00B11E5C" w:rsidRPr="00B11E5C" w:rsidRDefault="00B11E5C" w:rsidP="00BE3F24">
      <w:pPr>
        <w:jc w:val="both"/>
        <w:rPr>
          <w:rFonts w:ascii="Arial" w:hAnsi="Arial"/>
          <w:sz w:val="22"/>
          <w:szCs w:val="22"/>
        </w:rPr>
      </w:pPr>
    </w:p>
    <w:p w14:paraId="60743655" w14:textId="3792F1E1" w:rsidR="00B11E5C" w:rsidRDefault="00B11E5C" w:rsidP="00C63DE0">
      <w:pPr>
        <w:jc w:val="both"/>
        <w:rPr>
          <w:rFonts w:ascii="Arial" w:hAnsi="Arial" w:cs="Arial"/>
          <w:b/>
          <w:bCs/>
          <w:sz w:val="28"/>
          <w:szCs w:val="28"/>
        </w:rPr>
      </w:pPr>
      <w:r w:rsidRPr="00B11E5C">
        <w:rPr>
          <w:rFonts w:ascii="Arial" w:hAnsi="Arial"/>
          <w:sz w:val="22"/>
          <w:szCs w:val="22"/>
        </w:rPr>
        <w:t xml:space="preserve">EGD will </w:t>
      </w:r>
      <w:r w:rsidR="008E5183">
        <w:rPr>
          <w:rFonts w:ascii="Arial" w:hAnsi="Arial"/>
          <w:sz w:val="22"/>
          <w:szCs w:val="22"/>
        </w:rPr>
        <w:t xml:space="preserve">often </w:t>
      </w:r>
      <w:r w:rsidRPr="00B11E5C">
        <w:rPr>
          <w:rFonts w:ascii="Arial" w:hAnsi="Arial"/>
          <w:sz w:val="22"/>
          <w:szCs w:val="22"/>
        </w:rPr>
        <w:t xml:space="preserve">be the lead for Settlement Analysis.  </w:t>
      </w:r>
      <w:r w:rsidR="00AE2837" w:rsidRPr="00AE2837">
        <w:rPr>
          <w:rFonts w:ascii="Arial" w:hAnsi="Arial"/>
          <w:sz w:val="22"/>
          <w:szCs w:val="22"/>
        </w:rPr>
        <w:t>PAGD Engineers should request an EGD Contact for settlement analysis</w:t>
      </w:r>
      <w:r w:rsidR="00354BEA">
        <w:rPr>
          <w:rFonts w:ascii="Arial" w:hAnsi="Arial"/>
          <w:sz w:val="22"/>
          <w:szCs w:val="22"/>
        </w:rPr>
        <w:t xml:space="preserve"> </w:t>
      </w:r>
      <w:r w:rsidR="00AE2837" w:rsidRPr="00AE2837">
        <w:rPr>
          <w:rFonts w:ascii="Arial" w:hAnsi="Arial"/>
          <w:sz w:val="22"/>
          <w:szCs w:val="22"/>
        </w:rPr>
        <w:t xml:space="preserve">for embankments/fills </w:t>
      </w:r>
      <w:r w:rsidR="00AE2837" w:rsidRPr="00AE2837">
        <w:rPr>
          <w:rFonts w:ascii="Arial" w:hAnsi="Arial"/>
          <w:sz w:val="22"/>
          <w:szCs w:val="22"/>
          <w:u w:val="single"/>
        </w:rPr>
        <w:t>&lt;</w:t>
      </w:r>
      <w:r w:rsidR="00AE2837" w:rsidRPr="00AE2837">
        <w:rPr>
          <w:rFonts w:ascii="Arial" w:hAnsi="Arial"/>
          <w:sz w:val="22"/>
          <w:szCs w:val="22"/>
        </w:rPr>
        <w:t xml:space="preserve"> 10 ft</w:t>
      </w:r>
      <w:r w:rsidR="00C63DE0">
        <w:rPr>
          <w:rFonts w:ascii="Arial" w:hAnsi="Arial"/>
          <w:sz w:val="22"/>
          <w:szCs w:val="22"/>
        </w:rPr>
        <w:t>.</w:t>
      </w:r>
      <w:r w:rsidR="00AE2837" w:rsidRPr="00AE2837">
        <w:rPr>
          <w:rFonts w:ascii="Arial" w:hAnsi="Arial"/>
          <w:sz w:val="22"/>
          <w:szCs w:val="22"/>
        </w:rPr>
        <w:t xml:space="preserve"> with potentially unstable soil</w:t>
      </w:r>
      <w:r w:rsidR="00474521">
        <w:rPr>
          <w:rFonts w:ascii="Arial" w:hAnsi="Arial"/>
          <w:sz w:val="22"/>
          <w:szCs w:val="22"/>
        </w:rPr>
        <w:t>,</w:t>
      </w:r>
      <w:r w:rsidR="00AE2837" w:rsidRPr="00AE2837">
        <w:rPr>
          <w:rFonts w:ascii="Arial" w:hAnsi="Arial"/>
          <w:sz w:val="22"/>
          <w:szCs w:val="22"/>
        </w:rPr>
        <w:t xml:space="preserve"> and for all embankments/fills over </w:t>
      </w:r>
      <w:r w:rsidR="00AE2837" w:rsidRPr="00A6503D">
        <w:rPr>
          <w:rFonts w:ascii="Arial" w:hAnsi="Arial"/>
          <w:sz w:val="22"/>
          <w:szCs w:val="22"/>
        </w:rPr>
        <w:t>10</w:t>
      </w:r>
      <w:r w:rsidR="00C63DE0">
        <w:rPr>
          <w:rFonts w:ascii="Arial" w:hAnsi="Arial"/>
          <w:sz w:val="22"/>
          <w:szCs w:val="22"/>
        </w:rPr>
        <w:t>-</w:t>
      </w:r>
      <w:r w:rsidR="00AE2837" w:rsidRPr="00A6503D">
        <w:rPr>
          <w:rFonts w:ascii="Arial" w:hAnsi="Arial"/>
          <w:sz w:val="22"/>
          <w:szCs w:val="22"/>
        </w:rPr>
        <w:t>ft</w:t>
      </w:r>
      <w:r w:rsidR="00C63DE0">
        <w:rPr>
          <w:rFonts w:ascii="Arial" w:hAnsi="Arial"/>
          <w:sz w:val="22"/>
          <w:szCs w:val="22"/>
        </w:rPr>
        <w:t>.</w:t>
      </w:r>
      <w:r w:rsidR="00A6503D">
        <w:rPr>
          <w:rFonts w:ascii="Arial" w:hAnsi="Arial"/>
          <w:sz w:val="22"/>
          <w:szCs w:val="22"/>
        </w:rPr>
        <w:t xml:space="preserve"> high</w:t>
      </w:r>
      <w:r w:rsidR="008E1692" w:rsidRPr="00A6503D">
        <w:rPr>
          <w:rFonts w:ascii="Arial" w:hAnsi="Arial"/>
        </w:rPr>
        <w:t xml:space="preserve">. </w:t>
      </w:r>
      <w:r w:rsidR="008E5183" w:rsidRPr="00A6503D">
        <w:rPr>
          <w:rFonts w:ascii="Arial" w:hAnsi="Arial" w:cs="Arial"/>
          <w:sz w:val="22"/>
          <w:szCs w:val="22"/>
        </w:rPr>
        <w:t xml:space="preserve">Refer to the Executive Memorandum </w:t>
      </w:r>
      <w:r w:rsidR="00C63DE0" w:rsidRPr="00A6503D">
        <w:rPr>
          <w:rFonts w:ascii="Arial" w:hAnsi="Arial" w:cs="Arial"/>
          <w:sz w:val="22"/>
          <w:szCs w:val="22"/>
        </w:rPr>
        <w:t xml:space="preserve">in </w:t>
      </w:r>
      <w:hyperlink w:anchor="App_9_15" w:history="1">
        <w:r w:rsidR="00C63DE0" w:rsidRPr="00833C9E">
          <w:rPr>
            <w:rStyle w:val="Hyperlink"/>
            <w:rFonts w:ascii="Arial" w:hAnsi="Arial" w:cs="Arial"/>
            <w:sz w:val="22"/>
            <w:szCs w:val="22"/>
          </w:rPr>
          <w:t>Appendix 9.15</w:t>
        </w:r>
      </w:hyperlink>
      <w:r w:rsidR="00C63DE0">
        <w:rPr>
          <w:rFonts w:ascii="Arial" w:hAnsi="Arial" w:cs="Arial"/>
          <w:sz w:val="22"/>
          <w:szCs w:val="22"/>
        </w:rPr>
        <w:t xml:space="preserve"> </w:t>
      </w:r>
      <w:r w:rsidR="008E5183" w:rsidRPr="00A6503D">
        <w:rPr>
          <w:rFonts w:ascii="Arial" w:hAnsi="Arial" w:cs="Arial"/>
          <w:sz w:val="22"/>
          <w:szCs w:val="22"/>
        </w:rPr>
        <w:t>for division of geotechnical responsibilities between PAGD and EGD</w:t>
      </w:r>
      <w:r w:rsidR="00C63DE0">
        <w:rPr>
          <w:rFonts w:ascii="Arial" w:hAnsi="Arial" w:cs="Arial"/>
          <w:sz w:val="22"/>
          <w:szCs w:val="22"/>
        </w:rPr>
        <w:t xml:space="preserve">, and </w:t>
      </w:r>
      <w:r w:rsidR="008E5183" w:rsidRPr="00A6503D">
        <w:rPr>
          <w:rFonts w:ascii="Arial" w:hAnsi="Arial" w:cs="Arial"/>
          <w:sz w:val="22"/>
          <w:szCs w:val="22"/>
        </w:rPr>
        <w:t>for further instruction.</w:t>
      </w:r>
      <w:r w:rsidRPr="00B11E5C">
        <w:rPr>
          <w:rFonts w:ascii="Arial" w:hAnsi="Arial"/>
          <w:sz w:val="22"/>
          <w:szCs w:val="22"/>
        </w:rPr>
        <w:t xml:space="preserve">  </w:t>
      </w:r>
    </w:p>
    <w:p w14:paraId="6555462D" w14:textId="77777777" w:rsidR="00B11E5C" w:rsidRDefault="00B11E5C" w:rsidP="00BE3F24">
      <w:pPr>
        <w:jc w:val="both"/>
        <w:rPr>
          <w:rFonts w:ascii="Arial" w:hAnsi="Arial" w:cs="Arial"/>
          <w:b/>
          <w:bCs/>
          <w:sz w:val="28"/>
          <w:szCs w:val="28"/>
        </w:rPr>
        <w:sectPr w:rsidR="00B11E5C" w:rsidSect="008B1BAA">
          <w:headerReference w:type="even" r:id="rId285"/>
          <w:headerReference w:type="default" r:id="rId286"/>
          <w:footerReference w:type="default" r:id="rId287"/>
          <w:headerReference w:type="first" r:id="rId288"/>
          <w:pgSz w:w="12240" w:h="15840" w:code="1"/>
          <w:pgMar w:top="1440" w:right="1800" w:bottom="1440" w:left="1800" w:header="720" w:footer="720" w:gutter="0"/>
          <w:pgNumType w:chapStyle="1"/>
          <w:cols w:space="720"/>
          <w:docGrid w:linePitch="360"/>
        </w:sectPr>
      </w:pPr>
    </w:p>
    <w:p w14:paraId="13720A63" w14:textId="262DFA45" w:rsidR="00981C68" w:rsidRPr="00160E58" w:rsidRDefault="00981C68" w:rsidP="00172E64">
      <w:pPr>
        <w:pStyle w:val="Heading2"/>
        <w:numPr>
          <w:ilvl w:val="1"/>
          <w:numId w:val="184"/>
        </w:numPr>
        <w:ind w:left="0" w:firstLine="0"/>
      </w:pPr>
      <w:bookmarkStart w:id="552" w:name="_Subgrades"/>
      <w:bookmarkStart w:id="553" w:name="_Toc479160119"/>
      <w:bookmarkStart w:id="554" w:name="_Toc514058007"/>
      <w:bookmarkStart w:id="555" w:name="_Toc194932403"/>
      <w:bookmarkEnd w:id="552"/>
      <w:r>
        <w:lastRenderedPageBreak/>
        <w:t>Subgrades</w:t>
      </w:r>
      <w:bookmarkEnd w:id="553"/>
      <w:bookmarkEnd w:id="554"/>
      <w:bookmarkEnd w:id="555"/>
      <w:r w:rsidR="007637DE">
        <w:t xml:space="preserve"> </w:t>
      </w:r>
    </w:p>
    <w:p w14:paraId="190529DF" w14:textId="77777777" w:rsidR="00FC0A1E" w:rsidRPr="0032316A" w:rsidRDefault="00FC0A1E" w:rsidP="00172E64">
      <w:pPr>
        <w:pStyle w:val="Heading3"/>
        <w:numPr>
          <w:ilvl w:val="2"/>
          <w:numId w:val="184"/>
        </w:numPr>
        <w:ind w:left="0" w:firstLine="0"/>
      </w:pPr>
      <w:r w:rsidRPr="0032316A">
        <w:t>General</w:t>
      </w:r>
    </w:p>
    <w:p w14:paraId="7624026F" w14:textId="6CC66F18" w:rsidR="00FC0A1E" w:rsidRPr="00FC0A1E" w:rsidRDefault="00FC0A1E" w:rsidP="00BE3F24">
      <w:pPr>
        <w:autoSpaceDE w:val="0"/>
        <w:autoSpaceDN w:val="0"/>
        <w:adjustRightInd w:val="0"/>
        <w:jc w:val="both"/>
        <w:rPr>
          <w:rFonts w:ascii="Arial" w:hAnsi="Arial" w:cs="Arial"/>
          <w:sz w:val="22"/>
          <w:szCs w:val="22"/>
          <w:highlight w:val="yellow"/>
        </w:rPr>
      </w:pPr>
      <w:r w:rsidRPr="00FC0A1E">
        <w:rPr>
          <w:rFonts w:ascii="Arial" w:hAnsi="Arial" w:cs="Arial"/>
          <w:sz w:val="22"/>
          <w:szCs w:val="22"/>
        </w:rPr>
        <w:t>Subgrade is the material in cuts and fills directly beneath the bottom layer of the pave</w:t>
      </w:r>
      <w:r w:rsidRPr="00FC0A1E">
        <w:rPr>
          <w:rFonts w:ascii="Arial" w:hAnsi="Arial" w:cs="Arial"/>
          <w:sz w:val="22"/>
          <w:szCs w:val="22"/>
        </w:rPr>
        <w:softHyphen/>
        <w:t xml:space="preserve">ment section, and to such depth as may affect the structural design. Uniform subgrade support is necessary for the satisfactory performance of any pavement and may be attained by </w:t>
      </w:r>
      <w:r w:rsidR="00861436">
        <w:rPr>
          <w:rFonts w:ascii="Arial" w:hAnsi="Arial" w:cs="Arial"/>
          <w:sz w:val="22"/>
          <w:szCs w:val="22"/>
        </w:rPr>
        <w:t>e</w:t>
      </w:r>
      <w:r w:rsidRPr="00FC0A1E">
        <w:rPr>
          <w:rFonts w:ascii="Arial" w:hAnsi="Arial" w:cs="Arial"/>
          <w:sz w:val="22"/>
          <w:szCs w:val="22"/>
        </w:rPr>
        <w:t xml:space="preserve">nsuring that material with acceptable uniform physical characteristics be maintained directly beneath the pavement section when it is economically feasible.    </w:t>
      </w:r>
    </w:p>
    <w:p w14:paraId="5E7E65E4" w14:textId="77777777" w:rsidR="00FC0A1E" w:rsidRDefault="00FC0A1E" w:rsidP="00172E64">
      <w:pPr>
        <w:pStyle w:val="Heading3"/>
        <w:numPr>
          <w:ilvl w:val="2"/>
          <w:numId w:val="184"/>
        </w:numPr>
        <w:ind w:left="0" w:firstLine="0"/>
      </w:pPr>
      <w:r>
        <w:t>Resilient Modulus</w:t>
      </w:r>
    </w:p>
    <w:p w14:paraId="3217C88D" w14:textId="13A0CA48" w:rsidR="00FC0A1E" w:rsidRDefault="00FC0A1E" w:rsidP="00BE3F24">
      <w:pPr>
        <w:autoSpaceDE w:val="0"/>
        <w:autoSpaceDN w:val="0"/>
        <w:adjustRightInd w:val="0"/>
        <w:jc w:val="both"/>
        <w:rPr>
          <w:rFonts w:ascii="Arial" w:hAnsi="Arial" w:cs="Arial"/>
          <w:sz w:val="22"/>
          <w:szCs w:val="22"/>
        </w:rPr>
      </w:pPr>
      <w:r w:rsidRPr="00FC0A1E">
        <w:rPr>
          <w:rFonts w:ascii="Arial" w:hAnsi="Arial" w:cs="Arial"/>
          <w:sz w:val="22"/>
          <w:szCs w:val="22"/>
        </w:rPr>
        <w:t>Characterizing subgrade soil in terms of Resilient Modulus (M</w:t>
      </w:r>
      <w:r w:rsidRPr="00FC0A1E">
        <w:rPr>
          <w:rFonts w:ascii="Arial" w:hAnsi="Arial" w:cs="Arial"/>
          <w:sz w:val="22"/>
          <w:szCs w:val="22"/>
          <w:vertAlign w:val="subscript"/>
        </w:rPr>
        <w:t>r</w:t>
      </w:r>
      <w:r w:rsidRPr="00FC0A1E">
        <w:rPr>
          <w:rFonts w:ascii="Arial" w:hAnsi="Arial" w:cs="Arial"/>
          <w:sz w:val="22"/>
          <w:szCs w:val="22"/>
        </w:rPr>
        <w:t>) is essential for the pavement design</w:t>
      </w:r>
      <w:r w:rsidR="00861436">
        <w:rPr>
          <w:rFonts w:ascii="Arial" w:hAnsi="Arial" w:cs="Arial"/>
          <w:sz w:val="22"/>
          <w:szCs w:val="22"/>
        </w:rPr>
        <w:t xml:space="preserve">: </w:t>
      </w:r>
      <w:r w:rsidRPr="00FC0A1E">
        <w:rPr>
          <w:rFonts w:ascii="Arial" w:hAnsi="Arial" w:cs="Arial"/>
          <w:sz w:val="22"/>
          <w:szCs w:val="22"/>
        </w:rPr>
        <w:t xml:space="preserve"> both flexible and rigid pavements. The 1986 AASHTO Guide for design of flexible pavements replaces the SSV (soil support value) and recommends the use of M</w:t>
      </w:r>
      <w:r w:rsidRPr="00FC0A1E">
        <w:rPr>
          <w:rFonts w:ascii="Arial" w:hAnsi="Arial" w:cs="Arial"/>
          <w:sz w:val="22"/>
          <w:szCs w:val="22"/>
          <w:vertAlign w:val="subscript"/>
        </w:rPr>
        <w:t>r</w:t>
      </w:r>
      <w:r w:rsidRPr="00FC0A1E">
        <w:rPr>
          <w:rFonts w:ascii="Arial" w:hAnsi="Arial" w:cs="Arial"/>
          <w:sz w:val="22"/>
          <w:szCs w:val="22"/>
        </w:rPr>
        <w:t xml:space="preserve"> for characterizing the subgrade soil as it indicates a basic material property which can be used in mechanistic analysis of multi-layered systems. </w:t>
      </w:r>
      <w:r w:rsidR="00354BEA">
        <w:rPr>
          <w:rFonts w:ascii="Arial" w:hAnsi="Arial" w:cs="Arial"/>
          <w:sz w:val="22"/>
          <w:szCs w:val="22"/>
        </w:rPr>
        <w:t xml:space="preserve">The </w:t>
      </w:r>
      <w:r w:rsidRPr="00FC0A1E">
        <w:rPr>
          <w:rFonts w:ascii="Arial" w:hAnsi="Arial" w:cs="Arial"/>
          <w:sz w:val="22"/>
          <w:szCs w:val="22"/>
        </w:rPr>
        <w:t>M</w:t>
      </w:r>
      <w:r w:rsidRPr="00FC0A1E">
        <w:rPr>
          <w:rFonts w:ascii="Arial" w:hAnsi="Arial" w:cs="Arial"/>
          <w:sz w:val="22"/>
          <w:szCs w:val="22"/>
          <w:vertAlign w:val="subscript"/>
        </w:rPr>
        <w:t>r</w:t>
      </w:r>
      <w:r w:rsidRPr="00FC0A1E">
        <w:rPr>
          <w:rFonts w:ascii="Arial" w:hAnsi="Arial" w:cs="Arial"/>
          <w:sz w:val="22"/>
          <w:szCs w:val="22"/>
        </w:rPr>
        <w:t xml:space="preserve"> attribute has been recognized widely for characterizing pavement materials in pavement design and evaluation. M</w:t>
      </w:r>
      <w:r w:rsidRPr="00FC0A1E">
        <w:rPr>
          <w:rFonts w:ascii="Arial" w:hAnsi="Arial" w:cs="Arial"/>
          <w:sz w:val="22"/>
          <w:szCs w:val="22"/>
          <w:vertAlign w:val="subscript"/>
        </w:rPr>
        <w:t>r</w:t>
      </w:r>
      <w:r w:rsidRPr="00FC0A1E">
        <w:rPr>
          <w:rFonts w:ascii="Arial" w:hAnsi="Arial" w:cs="Arial"/>
          <w:sz w:val="22"/>
          <w:szCs w:val="22"/>
        </w:rPr>
        <w:t xml:space="preserve"> is a measure or estimate of the elastic modulus of the material at a given stress or temperature. Mathematically, it is expressed as the ratio of applied deviator stress to recoverable strain.  M</w:t>
      </w:r>
      <w:r w:rsidRPr="00FC0A1E">
        <w:rPr>
          <w:rFonts w:ascii="Arial" w:hAnsi="Arial" w:cs="Arial"/>
          <w:sz w:val="22"/>
          <w:szCs w:val="22"/>
          <w:vertAlign w:val="subscript"/>
        </w:rPr>
        <w:t>r</w:t>
      </w:r>
      <w:r w:rsidRPr="00FC0A1E">
        <w:rPr>
          <w:rFonts w:ascii="Arial" w:hAnsi="Arial" w:cs="Arial"/>
          <w:sz w:val="22"/>
          <w:szCs w:val="22"/>
        </w:rPr>
        <w:t xml:space="preserve"> is generally determined in the laboratory using repeated load triaxial tests, indirectly through correlation with other standard tests, or by back calculating from deflection test results. For a new design, M</w:t>
      </w:r>
      <w:r w:rsidRPr="00FC0A1E">
        <w:rPr>
          <w:rFonts w:ascii="Arial" w:hAnsi="Arial" w:cs="Arial"/>
          <w:sz w:val="22"/>
          <w:szCs w:val="22"/>
          <w:vertAlign w:val="subscript"/>
        </w:rPr>
        <w:t>r</w:t>
      </w:r>
      <w:r w:rsidRPr="00FC0A1E">
        <w:rPr>
          <w:rFonts w:ascii="Arial" w:hAnsi="Arial" w:cs="Arial"/>
          <w:sz w:val="22"/>
          <w:szCs w:val="22"/>
        </w:rPr>
        <w:t xml:space="preserve"> is generally obtained by conducting repeated load triaxial tests on disturbed samples. Due to high costs and complexity of the test involved in testing samples, many State Departments have alternatively developed correlation equations involving stress states and soil physical properties to derive the resilient modulus of subgrade soils. </w:t>
      </w:r>
    </w:p>
    <w:p w14:paraId="55759234" w14:textId="77777777" w:rsidR="00FC0A1E" w:rsidRPr="00FC0A1E" w:rsidRDefault="00FC0A1E" w:rsidP="00BE3F24">
      <w:pPr>
        <w:autoSpaceDE w:val="0"/>
        <w:autoSpaceDN w:val="0"/>
        <w:adjustRightInd w:val="0"/>
        <w:jc w:val="both"/>
        <w:rPr>
          <w:rFonts w:ascii="Arial" w:hAnsi="Arial" w:cs="Arial"/>
          <w:sz w:val="22"/>
          <w:szCs w:val="22"/>
        </w:rPr>
      </w:pPr>
    </w:p>
    <w:p w14:paraId="1A76AB96" w14:textId="1A7CE8A0" w:rsidR="00FC0A1E" w:rsidRDefault="00FC0A1E" w:rsidP="00BE3F24">
      <w:pPr>
        <w:autoSpaceDE w:val="0"/>
        <w:autoSpaceDN w:val="0"/>
        <w:adjustRightInd w:val="0"/>
        <w:jc w:val="both"/>
        <w:rPr>
          <w:rFonts w:ascii="Arial" w:hAnsi="Arial" w:cs="Arial"/>
          <w:sz w:val="22"/>
          <w:szCs w:val="22"/>
        </w:rPr>
      </w:pPr>
      <w:r w:rsidRPr="00FC0A1E">
        <w:rPr>
          <w:rFonts w:ascii="Arial" w:hAnsi="Arial" w:cs="Arial"/>
          <w:sz w:val="22"/>
          <w:szCs w:val="22"/>
        </w:rPr>
        <w:t xml:space="preserve">For projects involving significant base widening, re-alignment, new construction, </w:t>
      </w:r>
      <w:r w:rsidR="002917AA" w:rsidRPr="00FC0A1E">
        <w:rPr>
          <w:rFonts w:ascii="Arial" w:hAnsi="Arial" w:cs="Arial"/>
          <w:sz w:val="22"/>
          <w:szCs w:val="22"/>
        </w:rPr>
        <w:t>etc.</w:t>
      </w:r>
      <w:r w:rsidRPr="00FC0A1E">
        <w:rPr>
          <w:rFonts w:ascii="Arial" w:hAnsi="Arial" w:cs="Arial"/>
          <w:sz w:val="22"/>
          <w:szCs w:val="22"/>
        </w:rPr>
        <w:t xml:space="preserve">, disturbed </w:t>
      </w:r>
      <w:r w:rsidR="0069613B">
        <w:rPr>
          <w:rFonts w:ascii="Arial" w:hAnsi="Arial" w:cs="Arial"/>
          <w:sz w:val="22"/>
          <w:szCs w:val="22"/>
        </w:rPr>
        <w:t xml:space="preserve">(bulk bag) </w:t>
      </w:r>
      <w:r w:rsidRPr="00FC0A1E">
        <w:rPr>
          <w:rFonts w:ascii="Arial" w:hAnsi="Arial" w:cs="Arial"/>
          <w:sz w:val="22"/>
          <w:szCs w:val="22"/>
        </w:rPr>
        <w:t>samples are retrieved for M</w:t>
      </w:r>
      <w:r w:rsidRPr="00FC0A1E">
        <w:rPr>
          <w:rFonts w:ascii="Arial" w:hAnsi="Arial" w:cs="Arial"/>
          <w:sz w:val="22"/>
          <w:szCs w:val="22"/>
          <w:vertAlign w:val="subscript"/>
        </w:rPr>
        <w:t>r</w:t>
      </w:r>
      <w:r w:rsidRPr="00FC0A1E">
        <w:rPr>
          <w:rFonts w:ascii="Arial" w:hAnsi="Arial" w:cs="Arial"/>
          <w:sz w:val="22"/>
          <w:szCs w:val="22"/>
        </w:rPr>
        <w:t xml:space="preserve"> testing. Use the M</w:t>
      </w:r>
      <w:r w:rsidRPr="00FC0A1E">
        <w:rPr>
          <w:rFonts w:ascii="Arial" w:hAnsi="Arial" w:cs="Arial"/>
          <w:sz w:val="22"/>
          <w:szCs w:val="22"/>
          <w:vertAlign w:val="subscript"/>
        </w:rPr>
        <w:t>r</w:t>
      </w:r>
      <w:r w:rsidRPr="00FC0A1E">
        <w:rPr>
          <w:rFonts w:ascii="Arial" w:hAnsi="Arial" w:cs="Arial"/>
          <w:sz w:val="22"/>
          <w:szCs w:val="22"/>
        </w:rPr>
        <w:t xml:space="preserve"> values obtained from the resilient modulus test with discretion for pavement design. M</w:t>
      </w:r>
      <w:r w:rsidRPr="00FC0A1E">
        <w:rPr>
          <w:rFonts w:ascii="Arial" w:hAnsi="Arial" w:cs="Arial"/>
          <w:sz w:val="22"/>
          <w:szCs w:val="22"/>
          <w:vertAlign w:val="subscript"/>
        </w:rPr>
        <w:t>r</w:t>
      </w:r>
      <w:r w:rsidRPr="00FC0A1E">
        <w:rPr>
          <w:rFonts w:ascii="Arial" w:hAnsi="Arial" w:cs="Arial"/>
          <w:sz w:val="22"/>
          <w:szCs w:val="22"/>
        </w:rPr>
        <w:t xml:space="preserve"> tests are run on samples at three different moisture conditions. Use the one which best fits the field moisture conditions.  </w:t>
      </w:r>
      <w:r w:rsidR="0069613B">
        <w:rPr>
          <w:rFonts w:ascii="Arial" w:hAnsi="Arial" w:cs="Arial"/>
          <w:sz w:val="22"/>
          <w:szCs w:val="22"/>
        </w:rPr>
        <w:t xml:space="preserve">For larger projects, consideration may be given to undisturbed sampling (Shelby Tubes) for </w:t>
      </w:r>
      <w:r w:rsidR="0069613B" w:rsidRPr="00FC0A1E">
        <w:rPr>
          <w:rFonts w:ascii="Arial" w:hAnsi="Arial" w:cs="Arial"/>
          <w:sz w:val="22"/>
          <w:szCs w:val="22"/>
        </w:rPr>
        <w:t>M</w:t>
      </w:r>
      <w:r w:rsidR="0069613B" w:rsidRPr="00FC0A1E">
        <w:rPr>
          <w:rFonts w:ascii="Arial" w:hAnsi="Arial" w:cs="Arial"/>
          <w:sz w:val="22"/>
          <w:szCs w:val="22"/>
          <w:vertAlign w:val="subscript"/>
        </w:rPr>
        <w:t>r</w:t>
      </w:r>
      <w:r w:rsidR="0069613B">
        <w:rPr>
          <w:rFonts w:ascii="Arial" w:hAnsi="Arial" w:cs="Arial"/>
          <w:sz w:val="22"/>
          <w:szCs w:val="22"/>
        </w:rPr>
        <w:t xml:space="preserve"> testing with discussion with the Assistant Division Chief – Design.</w:t>
      </w:r>
    </w:p>
    <w:p w14:paraId="55A15309" w14:textId="77777777" w:rsidR="00FC0A1E" w:rsidRPr="00FC0A1E" w:rsidRDefault="00FC0A1E" w:rsidP="00BE3F24">
      <w:pPr>
        <w:autoSpaceDE w:val="0"/>
        <w:autoSpaceDN w:val="0"/>
        <w:adjustRightInd w:val="0"/>
        <w:jc w:val="both"/>
        <w:rPr>
          <w:rFonts w:ascii="Arial" w:hAnsi="Arial" w:cs="Arial"/>
          <w:sz w:val="22"/>
          <w:szCs w:val="22"/>
        </w:rPr>
      </w:pPr>
    </w:p>
    <w:p w14:paraId="28FB6D4B" w14:textId="0EFAADCB" w:rsidR="00FC0A1E" w:rsidRDefault="008C7023" w:rsidP="00BE3F24">
      <w:pPr>
        <w:autoSpaceDE w:val="0"/>
        <w:autoSpaceDN w:val="0"/>
        <w:adjustRightInd w:val="0"/>
        <w:jc w:val="both"/>
        <w:rPr>
          <w:rFonts w:ascii="Arial" w:hAnsi="Arial" w:cs="Arial"/>
          <w:sz w:val="22"/>
          <w:szCs w:val="22"/>
        </w:rPr>
      </w:pPr>
      <w:r>
        <w:rPr>
          <w:rFonts w:ascii="Arial" w:hAnsi="Arial" w:cs="Arial"/>
          <w:sz w:val="22"/>
          <w:szCs w:val="22"/>
        </w:rPr>
        <w:t>MDOT-SHA</w:t>
      </w:r>
      <w:r w:rsidR="00FC0A1E" w:rsidRPr="00FC0A1E">
        <w:rPr>
          <w:rFonts w:ascii="Arial" w:hAnsi="Arial" w:cs="Arial"/>
          <w:sz w:val="22"/>
          <w:szCs w:val="22"/>
        </w:rPr>
        <w:t xml:space="preserve"> PAGD is in the process of developing M</w:t>
      </w:r>
      <w:r w:rsidR="00FC0A1E" w:rsidRPr="00FC0A1E">
        <w:rPr>
          <w:rFonts w:ascii="Arial" w:hAnsi="Arial" w:cs="Arial"/>
          <w:sz w:val="22"/>
          <w:szCs w:val="22"/>
          <w:vertAlign w:val="subscript"/>
        </w:rPr>
        <w:t>r</w:t>
      </w:r>
      <w:r w:rsidR="00FC0A1E" w:rsidRPr="00FC0A1E">
        <w:rPr>
          <w:rFonts w:ascii="Arial" w:hAnsi="Arial" w:cs="Arial"/>
          <w:sz w:val="22"/>
          <w:szCs w:val="22"/>
        </w:rPr>
        <w:t xml:space="preserve"> correlation equations for typical Maryland soils based on soil physical properties. </w:t>
      </w:r>
    </w:p>
    <w:p w14:paraId="509C94BC" w14:textId="77777777" w:rsidR="00FC0A1E" w:rsidRPr="00FC0A1E" w:rsidRDefault="00FC0A1E" w:rsidP="00BE3F24">
      <w:pPr>
        <w:autoSpaceDE w:val="0"/>
        <w:autoSpaceDN w:val="0"/>
        <w:adjustRightInd w:val="0"/>
        <w:jc w:val="both"/>
        <w:rPr>
          <w:rFonts w:ascii="Arial" w:hAnsi="Arial" w:cs="Arial"/>
          <w:sz w:val="22"/>
          <w:szCs w:val="22"/>
        </w:rPr>
      </w:pPr>
    </w:p>
    <w:p w14:paraId="2202DCDF" w14:textId="498261C1" w:rsidR="00FC0A1E" w:rsidRPr="00FC0A1E" w:rsidRDefault="008C7023" w:rsidP="00BE3F24">
      <w:pPr>
        <w:autoSpaceDE w:val="0"/>
        <w:autoSpaceDN w:val="0"/>
        <w:adjustRightInd w:val="0"/>
        <w:jc w:val="both"/>
        <w:rPr>
          <w:rFonts w:ascii="Arial" w:hAnsi="Arial" w:cs="Arial"/>
          <w:sz w:val="22"/>
          <w:szCs w:val="22"/>
        </w:rPr>
      </w:pPr>
      <w:r>
        <w:rPr>
          <w:rFonts w:ascii="Arial" w:hAnsi="Arial" w:cs="Arial"/>
          <w:sz w:val="22"/>
          <w:szCs w:val="22"/>
        </w:rPr>
        <w:t>MDOT-SHA</w:t>
      </w:r>
      <w:r w:rsidR="00FC0A1E" w:rsidRPr="00FC0A1E">
        <w:rPr>
          <w:rFonts w:ascii="Arial" w:hAnsi="Arial" w:cs="Arial"/>
          <w:sz w:val="22"/>
          <w:szCs w:val="22"/>
        </w:rPr>
        <w:t xml:space="preserve"> PAGD designs flexible pavements based on the subgrade strength reported in terms of resilient modulus. Several other tests can be used to assess the strength of the subgrade; i.e.</w:t>
      </w:r>
      <w:r w:rsidR="00861436">
        <w:rPr>
          <w:rFonts w:ascii="Arial" w:hAnsi="Arial" w:cs="Arial"/>
          <w:sz w:val="22"/>
          <w:szCs w:val="22"/>
        </w:rPr>
        <w:t>,</w:t>
      </w:r>
      <w:r w:rsidR="00FC0A1E" w:rsidRPr="00FC0A1E">
        <w:rPr>
          <w:rFonts w:ascii="Arial" w:hAnsi="Arial" w:cs="Arial"/>
          <w:sz w:val="22"/>
          <w:szCs w:val="22"/>
        </w:rPr>
        <w:t xml:space="preserve"> CBR. However, all analys</w:t>
      </w:r>
      <w:r w:rsidR="00861436">
        <w:rPr>
          <w:rFonts w:ascii="Arial" w:hAnsi="Arial" w:cs="Arial"/>
          <w:sz w:val="22"/>
          <w:szCs w:val="22"/>
        </w:rPr>
        <w:t>e</w:t>
      </w:r>
      <w:r w:rsidR="00FC0A1E" w:rsidRPr="00FC0A1E">
        <w:rPr>
          <w:rFonts w:ascii="Arial" w:hAnsi="Arial" w:cs="Arial"/>
          <w:sz w:val="22"/>
          <w:szCs w:val="22"/>
        </w:rPr>
        <w:t>s, designs, and reports will be done in terms of resilient modulus for the soil subgrade for flexible pavements. A simple conversion from CBR to resilient modulus for soil subgrade is the following equation:</w:t>
      </w:r>
    </w:p>
    <w:p w14:paraId="76CB98C9" w14:textId="1492B2A4" w:rsidR="00861436" w:rsidRDefault="00861436" w:rsidP="00BE3F24">
      <w:pPr>
        <w:autoSpaceDE w:val="0"/>
        <w:autoSpaceDN w:val="0"/>
        <w:adjustRightInd w:val="0"/>
        <w:jc w:val="center"/>
        <w:rPr>
          <w:rFonts w:ascii="Arial" w:hAnsi="Arial" w:cs="Arial"/>
          <w:sz w:val="22"/>
          <w:szCs w:val="22"/>
        </w:rPr>
      </w:pPr>
    </w:p>
    <w:p w14:paraId="62E0120E" w14:textId="7BB14024" w:rsidR="00FC0A1E" w:rsidRPr="00FC0A1E" w:rsidRDefault="00FC0A1E" w:rsidP="00BE3F24">
      <w:pPr>
        <w:autoSpaceDE w:val="0"/>
        <w:autoSpaceDN w:val="0"/>
        <w:adjustRightInd w:val="0"/>
        <w:jc w:val="center"/>
        <w:rPr>
          <w:rFonts w:ascii="Arial" w:hAnsi="Arial" w:cs="Arial"/>
          <w:sz w:val="22"/>
          <w:szCs w:val="22"/>
        </w:rPr>
      </w:pPr>
      <w:r w:rsidRPr="00FC0A1E">
        <w:rPr>
          <w:rFonts w:ascii="Arial" w:hAnsi="Arial" w:cs="Arial"/>
          <w:sz w:val="22"/>
          <w:szCs w:val="22"/>
        </w:rPr>
        <w:t>M</w:t>
      </w:r>
      <w:r w:rsidRPr="00FC0A1E">
        <w:rPr>
          <w:rFonts w:ascii="Arial" w:hAnsi="Arial" w:cs="Arial"/>
          <w:sz w:val="22"/>
          <w:szCs w:val="22"/>
          <w:vertAlign w:val="subscript"/>
        </w:rPr>
        <w:t>r</w:t>
      </w:r>
      <w:r w:rsidRPr="00FC0A1E">
        <w:rPr>
          <w:rFonts w:ascii="Arial" w:hAnsi="Arial" w:cs="Arial"/>
          <w:sz w:val="22"/>
          <w:szCs w:val="22"/>
        </w:rPr>
        <w:t xml:space="preserve"> = 1500 * CBR</w:t>
      </w:r>
    </w:p>
    <w:p w14:paraId="6549973F" w14:textId="5ADBF360" w:rsidR="00861436" w:rsidRDefault="00861436" w:rsidP="00BE3F24">
      <w:pPr>
        <w:autoSpaceDE w:val="0"/>
        <w:autoSpaceDN w:val="0"/>
        <w:adjustRightInd w:val="0"/>
        <w:jc w:val="both"/>
        <w:rPr>
          <w:rFonts w:ascii="Arial" w:hAnsi="Arial" w:cs="Arial"/>
          <w:sz w:val="22"/>
          <w:szCs w:val="22"/>
        </w:rPr>
      </w:pPr>
    </w:p>
    <w:p w14:paraId="49218205" w14:textId="5A651253" w:rsidR="00FC0A1E" w:rsidRPr="00FC0A1E" w:rsidRDefault="00FC0A1E" w:rsidP="00BE3F24">
      <w:pPr>
        <w:autoSpaceDE w:val="0"/>
        <w:autoSpaceDN w:val="0"/>
        <w:adjustRightInd w:val="0"/>
        <w:jc w:val="both"/>
        <w:rPr>
          <w:rFonts w:ascii="Arial" w:hAnsi="Arial" w:cs="Arial"/>
          <w:sz w:val="22"/>
          <w:szCs w:val="22"/>
        </w:rPr>
      </w:pPr>
      <w:r w:rsidRPr="00FC0A1E">
        <w:rPr>
          <w:rFonts w:ascii="Arial" w:hAnsi="Arial" w:cs="Arial"/>
          <w:sz w:val="22"/>
          <w:szCs w:val="22"/>
        </w:rPr>
        <w:t xml:space="preserve">This equation has been questioned </w:t>
      </w:r>
      <w:r w:rsidR="00861436" w:rsidRPr="00FC0A1E">
        <w:rPr>
          <w:rFonts w:ascii="Arial" w:hAnsi="Arial" w:cs="Arial"/>
          <w:sz w:val="22"/>
          <w:szCs w:val="22"/>
        </w:rPr>
        <w:t xml:space="preserve">by the technical pavement industry </w:t>
      </w:r>
      <w:r w:rsidRPr="00FC0A1E">
        <w:rPr>
          <w:rFonts w:ascii="Arial" w:hAnsi="Arial" w:cs="Arial"/>
          <w:sz w:val="22"/>
          <w:szCs w:val="22"/>
        </w:rPr>
        <w:t>in terms of accuracy and properly identifying the relationship between M</w:t>
      </w:r>
      <w:r w:rsidRPr="00FC0A1E">
        <w:rPr>
          <w:rFonts w:ascii="Arial" w:hAnsi="Arial" w:cs="Arial"/>
          <w:sz w:val="22"/>
          <w:szCs w:val="22"/>
          <w:vertAlign w:val="subscript"/>
        </w:rPr>
        <w:t>r</w:t>
      </w:r>
      <w:r w:rsidRPr="00FC0A1E">
        <w:rPr>
          <w:rFonts w:ascii="Arial" w:hAnsi="Arial" w:cs="Arial"/>
          <w:sz w:val="22"/>
          <w:szCs w:val="22"/>
        </w:rPr>
        <w:t xml:space="preserve"> and CBR by the technical pavement industry. The highest level of confidence for this equation is for low CBR values, typically under a CBR value of 10. </w:t>
      </w:r>
    </w:p>
    <w:p w14:paraId="2585D8FA" w14:textId="77777777" w:rsidR="00FC0A1E" w:rsidRPr="00FC0A1E" w:rsidRDefault="00FC0A1E" w:rsidP="00BE3F24">
      <w:pPr>
        <w:autoSpaceDE w:val="0"/>
        <w:autoSpaceDN w:val="0"/>
        <w:adjustRightInd w:val="0"/>
        <w:jc w:val="both"/>
        <w:rPr>
          <w:rFonts w:ascii="Arial" w:hAnsi="Arial" w:cs="Arial"/>
          <w:sz w:val="22"/>
          <w:szCs w:val="22"/>
        </w:rPr>
      </w:pPr>
    </w:p>
    <w:p w14:paraId="1AE1BC86" w14:textId="1E84404E" w:rsidR="00FC0A1E" w:rsidRPr="00FC0A1E" w:rsidRDefault="00FC0A1E" w:rsidP="00BE3F24">
      <w:pPr>
        <w:autoSpaceDE w:val="0"/>
        <w:autoSpaceDN w:val="0"/>
        <w:adjustRightInd w:val="0"/>
        <w:jc w:val="both"/>
        <w:rPr>
          <w:rFonts w:ascii="Arial" w:hAnsi="Arial" w:cs="Arial"/>
          <w:sz w:val="22"/>
          <w:szCs w:val="22"/>
        </w:rPr>
      </w:pPr>
      <w:r w:rsidRPr="00FC0A1E">
        <w:rPr>
          <w:rFonts w:ascii="Arial" w:hAnsi="Arial" w:cs="Arial"/>
          <w:sz w:val="22"/>
          <w:szCs w:val="22"/>
        </w:rPr>
        <w:lastRenderedPageBreak/>
        <w:t xml:space="preserve">The subgrade resilient modulus used for new or rehabilitation design should be the average modulus for a particular section, not the lowest. If distinct smaller sections can be identified with different subgrade resilient moduli within a longer section, then the sections should be broken out as separate sections and pavement rehabilitation designs should be done for each section. It is the policy of </w:t>
      </w:r>
      <w:r w:rsidR="008C7023">
        <w:rPr>
          <w:rFonts w:ascii="Arial" w:hAnsi="Arial" w:cs="Arial"/>
          <w:sz w:val="22"/>
          <w:szCs w:val="22"/>
        </w:rPr>
        <w:t>MDOT-SHA</w:t>
      </w:r>
      <w:r w:rsidRPr="00FC0A1E">
        <w:rPr>
          <w:rFonts w:ascii="Arial" w:hAnsi="Arial" w:cs="Arial"/>
          <w:sz w:val="22"/>
          <w:szCs w:val="22"/>
        </w:rPr>
        <w:t xml:space="preserve"> PAGD to have a maximum design subgrade modulus. </w:t>
      </w:r>
      <w:r w:rsidRPr="00FC0A1E">
        <w:rPr>
          <w:rFonts w:ascii="Arial" w:hAnsi="Arial" w:cs="Arial"/>
          <w:bCs/>
          <w:sz w:val="22"/>
          <w:szCs w:val="22"/>
        </w:rPr>
        <w:t>The maximum design M</w:t>
      </w:r>
      <w:r w:rsidRPr="00FC0A1E">
        <w:rPr>
          <w:rFonts w:ascii="Arial" w:hAnsi="Arial" w:cs="Arial"/>
          <w:bCs/>
          <w:sz w:val="22"/>
          <w:szCs w:val="22"/>
          <w:vertAlign w:val="subscript"/>
        </w:rPr>
        <w:t>r</w:t>
      </w:r>
      <w:r w:rsidRPr="00FC0A1E">
        <w:rPr>
          <w:rFonts w:ascii="Arial" w:hAnsi="Arial" w:cs="Arial"/>
          <w:bCs/>
          <w:sz w:val="22"/>
          <w:szCs w:val="22"/>
        </w:rPr>
        <w:t xml:space="preserve"> is 10,500 psi</w:t>
      </w:r>
      <w:r w:rsidRPr="00FC0A1E">
        <w:rPr>
          <w:rFonts w:ascii="Arial" w:hAnsi="Arial" w:cs="Arial"/>
          <w:b/>
          <w:bCs/>
          <w:sz w:val="22"/>
          <w:szCs w:val="22"/>
        </w:rPr>
        <w:t xml:space="preserve"> </w:t>
      </w:r>
      <w:r w:rsidRPr="00FC0A1E">
        <w:rPr>
          <w:rFonts w:ascii="Arial" w:hAnsi="Arial" w:cs="Arial"/>
          <w:sz w:val="22"/>
          <w:szCs w:val="22"/>
        </w:rPr>
        <w:t xml:space="preserve">or a CBR of approximately 7. Occasionally, higher subgrade moduli values are found throughout the state, but because of the moist climatic seasons and the natural soils of Maryland; it has been decided to cap the maximum design subgrade modulus. The following table provides typical resilient modulus values for materials typical for </w:t>
      </w:r>
      <w:r w:rsidR="008C7023">
        <w:rPr>
          <w:rFonts w:ascii="Arial" w:hAnsi="Arial" w:cs="Arial"/>
          <w:sz w:val="22"/>
          <w:szCs w:val="22"/>
        </w:rPr>
        <w:t>MDOT-SHA</w:t>
      </w:r>
      <w:r w:rsidRPr="00FC0A1E">
        <w:rPr>
          <w:rFonts w:ascii="Arial" w:hAnsi="Arial" w:cs="Arial"/>
          <w:sz w:val="22"/>
          <w:szCs w:val="22"/>
        </w:rPr>
        <w:t>.</w:t>
      </w:r>
    </w:p>
    <w:p w14:paraId="0781BAF9" w14:textId="39A40B88" w:rsidR="00861436" w:rsidRDefault="00FC0A1E" w:rsidP="00BE3F24">
      <w:pPr>
        <w:jc w:val="both"/>
        <w:rPr>
          <w:rFonts w:ascii="Arial" w:hAnsi="Arial" w:cs="Arial"/>
          <w:bCs/>
          <w:sz w:val="22"/>
          <w:szCs w:val="22"/>
        </w:rPr>
      </w:pPr>
      <w:r w:rsidRPr="00FC0A1E">
        <w:rPr>
          <w:rFonts w:ascii="Arial" w:hAnsi="Arial" w:cs="Arial"/>
          <w:b/>
          <w:bCs/>
          <w:sz w:val="22"/>
          <w:szCs w:val="22"/>
        </w:rPr>
        <w:br/>
      </w:r>
    </w:p>
    <w:p w14:paraId="610A2204" w14:textId="19C3E98B" w:rsidR="00FC0A1E" w:rsidRPr="008810D7" w:rsidRDefault="00FC0A1E" w:rsidP="008810D7">
      <w:pPr>
        <w:jc w:val="center"/>
        <w:rPr>
          <w:rFonts w:ascii="Arial" w:hAnsi="Arial"/>
          <w:b/>
          <w:sz w:val="22"/>
        </w:rPr>
      </w:pPr>
      <w:r w:rsidRPr="008810D7">
        <w:rPr>
          <w:rFonts w:ascii="Arial" w:hAnsi="Arial"/>
          <w:b/>
          <w:sz w:val="22"/>
        </w:rPr>
        <w:t>Subgrade Resilient Modulus</w:t>
      </w:r>
    </w:p>
    <w:tbl>
      <w:tblPr>
        <w:tblW w:w="8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70"/>
        <w:gridCol w:w="1504"/>
        <w:gridCol w:w="1764"/>
        <w:gridCol w:w="1548"/>
      </w:tblGrid>
      <w:tr w:rsidR="00FC0A1E" w:rsidRPr="00FC0A1E" w14:paraId="479737AC" w14:textId="77777777" w:rsidTr="008810D7">
        <w:trPr>
          <w:trHeight w:val="288"/>
          <w:tblHeader/>
          <w:jc w:val="center"/>
        </w:trPr>
        <w:tc>
          <w:tcPr>
            <w:tcW w:w="3870" w:type="dxa"/>
            <w:shd w:val="pct12" w:color="auto" w:fill="FFFFFF"/>
            <w:vAlign w:val="center"/>
          </w:tcPr>
          <w:p w14:paraId="5CC7DC47" w14:textId="77777777" w:rsidR="00FC0A1E" w:rsidRPr="00FC0A1E" w:rsidRDefault="00FC0A1E" w:rsidP="00BE3F24">
            <w:pPr>
              <w:jc w:val="center"/>
              <w:rPr>
                <w:rFonts w:ascii="Arial" w:hAnsi="Arial" w:cs="Arial"/>
                <w:b/>
                <w:bCs/>
                <w:sz w:val="22"/>
                <w:szCs w:val="22"/>
              </w:rPr>
            </w:pPr>
            <w:r w:rsidRPr="00FC0A1E">
              <w:rPr>
                <w:rFonts w:ascii="Arial" w:hAnsi="Arial" w:cs="Arial"/>
                <w:b/>
                <w:bCs/>
                <w:sz w:val="22"/>
                <w:szCs w:val="22"/>
              </w:rPr>
              <w:t>Material</w:t>
            </w:r>
          </w:p>
        </w:tc>
        <w:tc>
          <w:tcPr>
            <w:tcW w:w="1504" w:type="dxa"/>
            <w:shd w:val="pct12" w:color="auto" w:fill="FFFFFF"/>
            <w:vAlign w:val="center"/>
          </w:tcPr>
          <w:p w14:paraId="7A5A6E0D" w14:textId="77777777" w:rsidR="00FC0A1E" w:rsidRPr="00FC0A1E" w:rsidRDefault="00FC0A1E" w:rsidP="00BE3F24">
            <w:pPr>
              <w:jc w:val="center"/>
              <w:rPr>
                <w:rFonts w:ascii="Arial" w:hAnsi="Arial" w:cs="Arial"/>
                <w:b/>
                <w:bCs/>
                <w:sz w:val="22"/>
                <w:szCs w:val="22"/>
              </w:rPr>
            </w:pPr>
            <w:r w:rsidRPr="00FC0A1E">
              <w:rPr>
                <w:rFonts w:ascii="Arial" w:hAnsi="Arial" w:cs="Arial"/>
                <w:b/>
                <w:bCs/>
                <w:sz w:val="22"/>
                <w:szCs w:val="22"/>
              </w:rPr>
              <w:t>General Strength</w:t>
            </w:r>
          </w:p>
        </w:tc>
        <w:tc>
          <w:tcPr>
            <w:tcW w:w="1764" w:type="dxa"/>
            <w:shd w:val="pct12" w:color="auto" w:fill="FFFFFF"/>
            <w:vAlign w:val="center"/>
          </w:tcPr>
          <w:p w14:paraId="5521ABC7" w14:textId="77777777" w:rsidR="00861436" w:rsidRDefault="00FC0A1E" w:rsidP="00BE3F24">
            <w:pPr>
              <w:jc w:val="center"/>
              <w:rPr>
                <w:rFonts w:ascii="Arial" w:hAnsi="Arial" w:cs="Arial"/>
                <w:b/>
                <w:bCs/>
                <w:sz w:val="22"/>
                <w:szCs w:val="22"/>
              </w:rPr>
            </w:pPr>
            <w:r w:rsidRPr="00FC0A1E">
              <w:rPr>
                <w:rFonts w:ascii="Arial" w:hAnsi="Arial" w:cs="Arial"/>
                <w:b/>
                <w:bCs/>
                <w:sz w:val="22"/>
                <w:szCs w:val="22"/>
              </w:rPr>
              <w:t xml:space="preserve">Typical Modulus </w:t>
            </w:r>
          </w:p>
          <w:p w14:paraId="7A3CD5E4" w14:textId="07C7C777" w:rsidR="00FC0A1E" w:rsidRPr="00FC0A1E" w:rsidRDefault="00FC0A1E" w:rsidP="00BE3F24">
            <w:pPr>
              <w:jc w:val="center"/>
              <w:rPr>
                <w:rFonts w:ascii="Arial" w:hAnsi="Arial" w:cs="Arial"/>
                <w:b/>
                <w:bCs/>
                <w:sz w:val="22"/>
                <w:szCs w:val="22"/>
              </w:rPr>
            </w:pPr>
            <w:r w:rsidRPr="00FC0A1E">
              <w:rPr>
                <w:rFonts w:ascii="Arial" w:hAnsi="Arial" w:cs="Arial"/>
                <w:b/>
                <w:bCs/>
                <w:sz w:val="22"/>
                <w:szCs w:val="22"/>
              </w:rPr>
              <w:t>(psi)</w:t>
            </w:r>
          </w:p>
        </w:tc>
        <w:tc>
          <w:tcPr>
            <w:tcW w:w="1548" w:type="dxa"/>
            <w:shd w:val="pct12" w:color="auto" w:fill="FFFFFF"/>
            <w:vAlign w:val="center"/>
          </w:tcPr>
          <w:p w14:paraId="0AE67EB2" w14:textId="77777777" w:rsidR="00FC0A1E" w:rsidRPr="00FC0A1E" w:rsidRDefault="00FC0A1E" w:rsidP="00BE3F24">
            <w:pPr>
              <w:jc w:val="center"/>
              <w:rPr>
                <w:rFonts w:ascii="Arial" w:hAnsi="Arial" w:cs="Arial"/>
                <w:b/>
                <w:bCs/>
                <w:sz w:val="22"/>
                <w:szCs w:val="22"/>
              </w:rPr>
            </w:pPr>
            <w:r w:rsidRPr="00FC0A1E">
              <w:rPr>
                <w:rFonts w:ascii="Arial" w:hAnsi="Arial" w:cs="Arial"/>
                <w:b/>
                <w:bCs/>
                <w:sz w:val="22"/>
                <w:szCs w:val="22"/>
              </w:rPr>
              <w:t>Typical CBR</w:t>
            </w:r>
          </w:p>
        </w:tc>
      </w:tr>
      <w:tr w:rsidR="00FC0A1E" w:rsidRPr="00FC0A1E" w14:paraId="7A4185C6" w14:textId="77777777" w:rsidTr="008810D7">
        <w:trPr>
          <w:trHeight w:val="288"/>
          <w:jc w:val="center"/>
        </w:trPr>
        <w:tc>
          <w:tcPr>
            <w:tcW w:w="3870" w:type="dxa"/>
            <w:vAlign w:val="center"/>
          </w:tcPr>
          <w:p w14:paraId="0F3FA67E"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Silts and Clays</w:t>
            </w:r>
          </w:p>
          <w:p w14:paraId="17E2DD8F"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(w/ high compressibility)</w:t>
            </w:r>
          </w:p>
        </w:tc>
        <w:tc>
          <w:tcPr>
            <w:tcW w:w="1504" w:type="dxa"/>
            <w:vAlign w:val="center"/>
          </w:tcPr>
          <w:p w14:paraId="755A69BF"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Very Low</w:t>
            </w:r>
          </w:p>
        </w:tc>
        <w:tc>
          <w:tcPr>
            <w:tcW w:w="1764" w:type="dxa"/>
            <w:vAlign w:val="center"/>
          </w:tcPr>
          <w:p w14:paraId="2897CA6F"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1,000 – 2,000</w:t>
            </w:r>
          </w:p>
        </w:tc>
        <w:tc>
          <w:tcPr>
            <w:tcW w:w="1548" w:type="dxa"/>
            <w:vAlign w:val="center"/>
          </w:tcPr>
          <w:p w14:paraId="623DDC83"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Less than 2</w:t>
            </w:r>
          </w:p>
        </w:tc>
      </w:tr>
      <w:tr w:rsidR="00FC0A1E" w:rsidRPr="00FC0A1E" w14:paraId="5BB5A73A" w14:textId="77777777" w:rsidTr="008810D7">
        <w:trPr>
          <w:trHeight w:val="288"/>
          <w:jc w:val="center"/>
        </w:trPr>
        <w:tc>
          <w:tcPr>
            <w:tcW w:w="3870" w:type="dxa"/>
            <w:vAlign w:val="center"/>
          </w:tcPr>
          <w:p w14:paraId="3EB5E442"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Fine Grain Soils with Silts and Clays (w/ low compressibility)</w:t>
            </w:r>
          </w:p>
        </w:tc>
        <w:tc>
          <w:tcPr>
            <w:tcW w:w="1504" w:type="dxa"/>
            <w:vAlign w:val="center"/>
          </w:tcPr>
          <w:p w14:paraId="63027E08"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Low</w:t>
            </w:r>
          </w:p>
        </w:tc>
        <w:tc>
          <w:tcPr>
            <w:tcW w:w="1764" w:type="dxa"/>
            <w:vAlign w:val="center"/>
          </w:tcPr>
          <w:p w14:paraId="71A9F2BD"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2,000 – 3,000</w:t>
            </w:r>
          </w:p>
        </w:tc>
        <w:tc>
          <w:tcPr>
            <w:tcW w:w="1548" w:type="dxa"/>
            <w:vAlign w:val="center"/>
          </w:tcPr>
          <w:p w14:paraId="1FD223D7"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2 to 2.5</w:t>
            </w:r>
          </w:p>
        </w:tc>
      </w:tr>
      <w:tr w:rsidR="00FC0A1E" w:rsidRPr="00FC0A1E" w14:paraId="06F31926" w14:textId="77777777" w:rsidTr="008810D7">
        <w:trPr>
          <w:trHeight w:val="288"/>
          <w:jc w:val="center"/>
        </w:trPr>
        <w:tc>
          <w:tcPr>
            <w:tcW w:w="3870" w:type="dxa"/>
            <w:vAlign w:val="center"/>
          </w:tcPr>
          <w:p w14:paraId="62DD37C8"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Poorly Graded Sands</w:t>
            </w:r>
          </w:p>
        </w:tc>
        <w:tc>
          <w:tcPr>
            <w:tcW w:w="1504" w:type="dxa"/>
            <w:vAlign w:val="center"/>
          </w:tcPr>
          <w:p w14:paraId="5BB1DA15"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Medium</w:t>
            </w:r>
          </w:p>
        </w:tc>
        <w:tc>
          <w:tcPr>
            <w:tcW w:w="1764" w:type="dxa"/>
            <w:vAlign w:val="center"/>
          </w:tcPr>
          <w:p w14:paraId="51083D15"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3,000 – 4,500</w:t>
            </w:r>
          </w:p>
        </w:tc>
        <w:tc>
          <w:tcPr>
            <w:tcW w:w="1548" w:type="dxa"/>
            <w:vAlign w:val="center"/>
          </w:tcPr>
          <w:p w14:paraId="441C2638"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2.5 to 3</w:t>
            </w:r>
          </w:p>
        </w:tc>
      </w:tr>
      <w:tr w:rsidR="00FC0A1E" w:rsidRPr="00FC0A1E" w14:paraId="6D5DF754" w14:textId="77777777" w:rsidTr="008810D7">
        <w:trPr>
          <w:trHeight w:val="288"/>
          <w:jc w:val="center"/>
        </w:trPr>
        <w:tc>
          <w:tcPr>
            <w:tcW w:w="3870" w:type="dxa"/>
            <w:vAlign w:val="center"/>
          </w:tcPr>
          <w:p w14:paraId="37188260"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Gravely Soils, Well Graded Sands, and Sand/Gravel Mixtures</w:t>
            </w:r>
          </w:p>
        </w:tc>
        <w:tc>
          <w:tcPr>
            <w:tcW w:w="1504" w:type="dxa"/>
            <w:vAlign w:val="center"/>
          </w:tcPr>
          <w:p w14:paraId="424E5FDC"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High</w:t>
            </w:r>
          </w:p>
        </w:tc>
        <w:tc>
          <w:tcPr>
            <w:tcW w:w="1764" w:type="dxa"/>
            <w:vAlign w:val="center"/>
          </w:tcPr>
          <w:p w14:paraId="53C06399"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4,500 – 10,500</w:t>
            </w:r>
          </w:p>
        </w:tc>
        <w:tc>
          <w:tcPr>
            <w:tcW w:w="1548" w:type="dxa"/>
            <w:vAlign w:val="center"/>
          </w:tcPr>
          <w:p w14:paraId="16B9B4E8"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3 to 7</w:t>
            </w:r>
          </w:p>
        </w:tc>
      </w:tr>
    </w:tbl>
    <w:p w14:paraId="44BA8A1C" w14:textId="77777777" w:rsidR="00FC0A1E" w:rsidRPr="00FC0A1E" w:rsidRDefault="00FC0A1E" w:rsidP="00BE3F24">
      <w:pPr>
        <w:jc w:val="both"/>
        <w:rPr>
          <w:rFonts w:ascii="Arial" w:hAnsi="Arial" w:cs="Arial"/>
          <w:b/>
          <w:bCs/>
          <w:sz w:val="22"/>
          <w:szCs w:val="22"/>
        </w:rPr>
      </w:pPr>
    </w:p>
    <w:p w14:paraId="435120C0" w14:textId="0BE34ADF" w:rsidR="00FC0A1E" w:rsidRPr="008810D7" w:rsidRDefault="00FC0A1E" w:rsidP="008810D7">
      <w:pPr>
        <w:jc w:val="center"/>
        <w:rPr>
          <w:rFonts w:ascii="Arial" w:hAnsi="Arial"/>
          <w:b/>
          <w:sz w:val="22"/>
        </w:rPr>
      </w:pPr>
      <w:r w:rsidRPr="008810D7">
        <w:rPr>
          <w:rFonts w:ascii="Arial" w:hAnsi="Arial"/>
          <w:b/>
          <w:sz w:val="22"/>
        </w:rPr>
        <w:t xml:space="preserve">Subgrade Resilient Modulus </w:t>
      </w:r>
      <w:r w:rsidR="00861436">
        <w:rPr>
          <w:rFonts w:ascii="Arial" w:hAnsi="Arial" w:cs="Arial"/>
          <w:b/>
          <w:bCs/>
          <w:sz w:val="22"/>
          <w:szCs w:val="22"/>
        </w:rPr>
        <w:t>B</w:t>
      </w:r>
      <w:r w:rsidRPr="00861436">
        <w:rPr>
          <w:rFonts w:ascii="Arial" w:hAnsi="Arial" w:cs="Arial"/>
          <w:b/>
          <w:bCs/>
          <w:sz w:val="22"/>
          <w:szCs w:val="22"/>
        </w:rPr>
        <w:t>ased</w:t>
      </w:r>
      <w:r w:rsidRPr="008810D7">
        <w:rPr>
          <w:rFonts w:ascii="Arial" w:hAnsi="Arial"/>
          <w:b/>
          <w:sz w:val="22"/>
        </w:rPr>
        <w:t xml:space="preserve"> on Geography of Maryland</w:t>
      </w:r>
    </w:p>
    <w:tbl>
      <w:tblPr>
        <w:tblW w:w="7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72"/>
        <w:gridCol w:w="2785"/>
      </w:tblGrid>
      <w:tr w:rsidR="00FC0A1E" w:rsidRPr="00FC0A1E" w14:paraId="5B6B05C5" w14:textId="77777777" w:rsidTr="008810D7">
        <w:trPr>
          <w:trHeight w:val="288"/>
          <w:tblHeader/>
          <w:jc w:val="center"/>
        </w:trPr>
        <w:tc>
          <w:tcPr>
            <w:tcW w:w="4972" w:type="dxa"/>
            <w:shd w:val="pct12" w:color="auto" w:fill="FFFFFF"/>
            <w:vAlign w:val="center"/>
          </w:tcPr>
          <w:p w14:paraId="1A6231A8" w14:textId="77777777" w:rsidR="00FC0A1E" w:rsidRPr="00FC0A1E" w:rsidRDefault="00FC0A1E" w:rsidP="00BE3F24">
            <w:pPr>
              <w:jc w:val="center"/>
              <w:rPr>
                <w:rFonts w:ascii="Arial" w:hAnsi="Arial" w:cs="Arial"/>
                <w:b/>
                <w:bCs/>
                <w:sz w:val="22"/>
                <w:szCs w:val="22"/>
              </w:rPr>
            </w:pPr>
            <w:r w:rsidRPr="00FC0A1E">
              <w:rPr>
                <w:rFonts w:ascii="Arial" w:hAnsi="Arial" w:cs="Arial"/>
                <w:b/>
                <w:bCs/>
                <w:sz w:val="22"/>
                <w:szCs w:val="22"/>
              </w:rPr>
              <w:t>Material</w:t>
            </w:r>
          </w:p>
        </w:tc>
        <w:tc>
          <w:tcPr>
            <w:tcW w:w="2785" w:type="dxa"/>
            <w:shd w:val="pct12" w:color="auto" w:fill="FFFFFF"/>
            <w:vAlign w:val="center"/>
          </w:tcPr>
          <w:p w14:paraId="163BCF5D" w14:textId="77777777" w:rsidR="00861436" w:rsidRDefault="00FC0A1E" w:rsidP="00BE3F24">
            <w:pPr>
              <w:jc w:val="center"/>
              <w:rPr>
                <w:rFonts w:ascii="Arial" w:hAnsi="Arial" w:cs="Arial"/>
                <w:b/>
                <w:bCs/>
                <w:sz w:val="22"/>
                <w:szCs w:val="22"/>
              </w:rPr>
            </w:pPr>
            <w:r w:rsidRPr="00FC0A1E">
              <w:rPr>
                <w:rFonts w:ascii="Arial" w:hAnsi="Arial" w:cs="Arial"/>
                <w:b/>
                <w:bCs/>
                <w:sz w:val="22"/>
                <w:szCs w:val="22"/>
              </w:rPr>
              <w:t xml:space="preserve">Typical Modulus </w:t>
            </w:r>
          </w:p>
          <w:p w14:paraId="4417AD95" w14:textId="0F8EDFEE" w:rsidR="00FC0A1E" w:rsidRPr="00FC0A1E" w:rsidRDefault="00FC0A1E" w:rsidP="00BE3F24">
            <w:pPr>
              <w:jc w:val="center"/>
              <w:rPr>
                <w:rFonts w:ascii="Arial" w:hAnsi="Arial" w:cs="Arial"/>
                <w:b/>
                <w:bCs/>
                <w:sz w:val="22"/>
                <w:szCs w:val="22"/>
              </w:rPr>
            </w:pPr>
            <w:r w:rsidRPr="00FC0A1E">
              <w:rPr>
                <w:rFonts w:ascii="Arial" w:hAnsi="Arial" w:cs="Arial"/>
                <w:b/>
                <w:bCs/>
                <w:sz w:val="22"/>
                <w:szCs w:val="22"/>
              </w:rPr>
              <w:t>(psi)</w:t>
            </w:r>
          </w:p>
        </w:tc>
      </w:tr>
      <w:tr w:rsidR="00FC0A1E" w:rsidRPr="00FC0A1E" w14:paraId="66591B33" w14:textId="77777777" w:rsidTr="008810D7">
        <w:trPr>
          <w:trHeight w:val="288"/>
          <w:jc w:val="center"/>
        </w:trPr>
        <w:tc>
          <w:tcPr>
            <w:tcW w:w="4972" w:type="dxa"/>
            <w:vAlign w:val="center"/>
          </w:tcPr>
          <w:p w14:paraId="33C92BD6"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Eastern MD (Sandy Soils)</w:t>
            </w:r>
          </w:p>
        </w:tc>
        <w:tc>
          <w:tcPr>
            <w:tcW w:w="2785" w:type="dxa"/>
            <w:vAlign w:val="center"/>
          </w:tcPr>
          <w:p w14:paraId="47A37F58"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4,500 – 6,000</w:t>
            </w:r>
          </w:p>
        </w:tc>
      </w:tr>
      <w:tr w:rsidR="00FC0A1E" w:rsidRPr="00FC0A1E" w14:paraId="1C7C33FF" w14:textId="77777777" w:rsidTr="008810D7">
        <w:trPr>
          <w:trHeight w:val="288"/>
          <w:jc w:val="center"/>
        </w:trPr>
        <w:tc>
          <w:tcPr>
            <w:tcW w:w="4972" w:type="dxa"/>
            <w:vAlign w:val="center"/>
          </w:tcPr>
          <w:p w14:paraId="03755144"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Western MD (soils w/gravel or rock fragments)</w:t>
            </w:r>
          </w:p>
        </w:tc>
        <w:tc>
          <w:tcPr>
            <w:tcW w:w="2785" w:type="dxa"/>
            <w:vAlign w:val="center"/>
          </w:tcPr>
          <w:p w14:paraId="46BB5A18"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6,000 – 7,500</w:t>
            </w:r>
          </w:p>
        </w:tc>
      </w:tr>
      <w:tr w:rsidR="00FC0A1E" w:rsidRPr="00FC0A1E" w14:paraId="5E6F3429" w14:textId="77777777" w:rsidTr="008810D7">
        <w:trPr>
          <w:trHeight w:val="288"/>
          <w:jc w:val="center"/>
        </w:trPr>
        <w:tc>
          <w:tcPr>
            <w:tcW w:w="4972" w:type="dxa"/>
            <w:vAlign w:val="center"/>
          </w:tcPr>
          <w:p w14:paraId="63E378FA"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Rest of MD</w:t>
            </w:r>
          </w:p>
        </w:tc>
        <w:tc>
          <w:tcPr>
            <w:tcW w:w="2785" w:type="dxa"/>
            <w:vAlign w:val="center"/>
          </w:tcPr>
          <w:p w14:paraId="28A509A1" w14:textId="77777777" w:rsidR="00FC0A1E" w:rsidRPr="00FC0A1E" w:rsidRDefault="00FC0A1E" w:rsidP="00BE3F24">
            <w:pPr>
              <w:jc w:val="center"/>
              <w:rPr>
                <w:rFonts w:ascii="Arial" w:hAnsi="Arial" w:cs="Arial"/>
                <w:sz w:val="22"/>
                <w:szCs w:val="22"/>
              </w:rPr>
            </w:pPr>
            <w:r w:rsidRPr="00FC0A1E">
              <w:rPr>
                <w:rFonts w:ascii="Arial" w:hAnsi="Arial" w:cs="Arial"/>
                <w:sz w:val="22"/>
                <w:szCs w:val="22"/>
              </w:rPr>
              <w:t>4,500</w:t>
            </w:r>
          </w:p>
        </w:tc>
      </w:tr>
    </w:tbl>
    <w:p w14:paraId="1726CC8B" w14:textId="77777777" w:rsidR="00861436" w:rsidRDefault="00861436" w:rsidP="00BE3F24">
      <w:pPr>
        <w:jc w:val="both"/>
        <w:rPr>
          <w:rFonts w:ascii="Arial" w:hAnsi="Arial" w:cs="Arial"/>
          <w:sz w:val="22"/>
          <w:szCs w:val="22"/>
        </w:rPr>
      </w:pPr>
    </w:p>
    <w:p w14:paraId="6B30FE74" w14:textId="2DECBBC1" w:rsidR="00FC0A1E" w:rsidRDefault="00FC0A1E" w:rsidP="00BE3F24">
      <w:pPr>
        <w:jc w:val="both"/>
        <w:rPr>
          <w:rFonts w:ascii="Arial" w:hAnsi="Arial" w:cs="Arial"/>
          <w:sz w:val="22"/>
          <w:szCs w:val="22"/>
        </w:rPr>
      </w:pPr>
      <w:r w:rsidRPr="00FC0A1E">
        <w:rPr>
          <w:rFonts w:ascii="Arial" w:hAnsi="Arial" w:cs="Arial"/>
          <w:sz w:val="22"/>
          <w:szCs w:val="22"/>
        </w:rPr>
        <w:t xml:space="preserve">The values in the table above should be used when FWD analysis or laboratory information </w:t>
      </w:r>
      <w:r w:rsidR="00861436">
        <w:rPr>
          <w:rFonts w:ascii="Arial" w:hAnsi="Arial" w:cs="Arial"/>
          <w:sz w:val="22"/>
          <w:szCs w:val="22"/>
        </w:rPr>
        <w:t>is</w:t>
      </w:r>
      <w:r w:rsidR="00861436" w:rsidRPr="00FC0A1E">
        <w:rPr>
          <w:rFonts w:ascii="Arial" w:hAnsi="Arial" w:cs="Arial"/>
          <w:sz w:val="22"/>
          <w:szCs w:val="22"/>
        </w:rPr>
        <w:t xml:space="preserve"> </w:t>
      </w:r>
      <w:r w:rsidRPr="00FC0A1E">
        <w:rPr>
          <w:rFonts w:ascii="Arial" w:hAnsi="Arial" w:cs="Arial"/>
          <w:sz w:val="22"/>
          <w:szCs w:val="22"/>
        </w:rPr>
        <w:t>not available.</w:t>
      </w:r>
    </w:p>
    <w:p w14:paraId="1433C0C8" w14:textId="6DEBA55D" w:rsidR="00FE07DE" w:rsidRDefault="00FE07DE" w:rsidP="00BE3F24">
      <w:pPr>
        <w:jc w:val="both"/>
        <w:rPr>
          <w:rFonts w:ascii="Arial" w:hAnsi="Arial" w:cs="Arial"/>
          <w:sz w:val="22"/>
          <w:szCs w:val="22"/>
        </w:rPr>
      </w:pPr>
    </w:p>
    <w:p w14:paraId="519EA81E" w14:textId="3D2D573B" w:rsidR="00FC0A1E" w:rsidRPr="00FC0A1E" w:rsidRDefault="00FC0A1E" w:rsidP="00BE3F24">
      <w:pPr>
        <w:jc w:val="both"/>
        <w:rPr>
          <w:sz w:val="22"/>
          <w:szCs w:val="22"/>
        </w:rPr>
      </w:pPr>
      <w:r w:rsidRPr="00FC0A1E">
        <w:rPr>
          <w:rFonts w:ascii="Arial" w:hAnsi="Arial" w:cs="Arial"/>
          <w:sz w:val="22"/>
          <w:szCs w:val="22"/>
        </w:rPr>
        <w:t xml:space="preserve">Whenever sand (Select </w:t>
      </w:r>
      <w:r w:rsidR="001F6CA0">
        <w:rPr>
          <w:rFonts w:ascii="Arial" w:hAnsi="Arial" w:cs="Arial"/>
          <w:sz w:val="22"/>
          <w:szCs w:val="22"/>
        </w:rPr>
        <w:t>B</w:t>
      </w:r>
      <w:r w:rsidRPr="00FC0A1E">
        <w:rPr>
          <w:rFonts w:ascii="Arial" w:hAnsi="Arial" w:cs="Arial"/>
          <w:sz w:val="22"/>
          <w:szCs w:val="22"/>
        </w:rPr>
        <w:t>orrow or Capping Borrow) is recommended for the top 12</w:t>
      </w:r>
      <w:r w:rsidR="00861436">
        <w:rPr>
          <w:rFonts w:ascii="Arial" w:hAnsi="Arial" w:cs="Arial"/>
          <w:sz w:val="22"/>
          <w:szCs w:val="22"/>
        </w:rPr>
        <w:t>"</w:t>
      </w:r>
      <w:r w:rsidRPr="00FC0A1E">
        <w:rPr>
          <w:rFonts w:ascii="Arial" w:hAnsi="Arial" w:cs="Arial"/>
          <w:sz w:val="22"/>
          <w:szCs w:val="22"/>
        </w:rPr>
        <w:t xml:space="preserve"> of subgrade, the design </w:t>
      </w:r>
      <w:r w:rsidR="00473E1E" w:rsidRPr="00FC0A1E">
        <w:rPr>
          <w:rFonts w:ascii="Arial" w:hAnsi="Arial" w:cs="Arial"/>
          <w:sz w:val="22"/>
          <w:szCs w:val="22"/>
        </w:rPr>
        <w:t>M</w:t>
      </w:r>
      <w:r w:rsidR="00473E1E" w:rsidRPr="00FC0A1E">
        <w:rPr>
          <w:rFonts w:ascii="Arial" w:hAnsi="Arial" w:cs="Arial"/>
          <w:sz w:val="22"/>
          <w:szCs w:val="22"/>
          <w:vertAlign w:val="subscript"/>
        </w:rPr>
        <w:t>r</w:t>
      </w:r>
      <w:r w:rsidRPr="00FC0A1E">
        <w:rPr>
          <w:rFonts w:ascii="Arial" w:hAnsi="Arial" w:cs="Arial"/>
          <w:sz w:val="22"/>
          <w:szCs w:val="22"/>
        </w:rPr>
        <w:t xml:space="preserve"> should be </w:t>
      </w:r>
      <w:r w:rsidR="00473E1E">
        <w:rPr>
          <w:rFonts w:ascii="Arial" w:hAnsi="Arial" w:cs="Arial"/>
          <w:sz w:val="22"/>
          <w:szCs w:val="22"/>
        </w:rPr>
        <w:t>10,500 psi</w:t>
      </w:r>
      <w:r w:rsidRPr="00FC0A1E">
        <w:rPr>
          <w:rFonts w:ascii="Arial" w:hAnsi="Arial" w:cs="Arial"/>
          <w:sz w:val="22"/>
          <w:szCs w:val="22"/>
        </w:rPr>
        <w:t>, unless soft material (less than 4 bpf) is underneath the proposed Select or Capping Borrow.  Whenever 6</w:t>
      </w:r>
      <w:r w:rsidR="00861436">
        <w:rPr>
          <w:rFonts w:ascii="Arial" w:hAnsi="Arial" w:cs="Arial"/>
          <w:sz w:val="22"/>
          <w:szCs w:val="22"/>
        </w:rPr>
        <w:t>"</w:t>
      </w:r>
      <w:r w:rsidRPr="00FC0A1E">
        <w:rPr>
          <w:rFonts w:ascii="Arial" w:hAnsi="Arial" w:cs="Arial"/>
          <w:sz w:val="22"/>
          <w:szCs w:val="22"/>
        </w:rPr>
        <w:t xml:space="preserve"> of Select </w:t>
      </w:r>
      <w:r w:rsidR="001F6CA0">
        <w:rPr>
          <w:rFonts w:ascii="Arial" w:hAnsi="Arial" w:cs="Arial"/>
          <w:sz w:val="22"/>
          <w:szCs w:val="22"/>
        </w:rPr>
        <w:t>B</w:t>
      </w:r>
      <w:r w:rsidRPr="00FC0A1E">
        <w:rPr>
          <w:rFonts w:ascii="Arial" w:hAnsi="Arial" w:cs="Arial"/>
          <w:sz w:val="22"/>
          <w:szCs w:val="22"/>
        </w:rPr>
        <w:t xml:space="preserve">orrow or Capping Borrow is recommended, the design </w:t>
      </w:r>
      <w:r w:rsidR="00473E1E" w:rsidRPr="00FC0A1E">
        <w:rPr>
          <w:rFonts w:ascii="Arial" w:hAnsi="Arial" w:cs="Arial"/>
          <w:sz w:val="22"/>
          <w:szCs w:val="22"/>
        </w:rPr>
        <w:t>M</w:t>
      </w:r>
      <w:r w:rsidR="00473E1E" w:rsidRPr="00FC0A1E">
        <w:rPr>
          <w:rFonts w:ascii="Arial" w:hAnsi="Arial" w:cs="Arial"/>
          <w:sz w:val="22"/>
          <w:szCs w:val="22"/>
          <w:vertAlign w:val="subscript"/>
        </w:rPr>
        <w:t>r</w:t>
      </w:r>
      <w:r w:rsidRPr="00FC0A1E">
        <w:rPr>
          <w:rFonts w:ascii="Arial" w:hAnsi="Arial" w:cs="Arial"/>
          <w:sz w:val="22"/>
          <w:szCs w:val="22"/>
        </w:rPr>
        <w:t xml:space="preserve"> of native subgrade soil, as determined herein, should be increased by </w:t>
      </w:r>
      <w:r w:rsidR="00473E1E">
        <w:rPr>
          <w:rFonts w:ascii="Arial" w:hAnsi="Arial" w:cs="Arial"/>
          <w:sz w:val="22"/>
          <w:szCs w:val="22"/>
        </w:rPr>
        <w:t>3,000 psi</w:t>
      </w:r>
      <w:r w:rsidRPr="00FC0A1E">
        <w:rPr>
          <w:rFonts w:ascii="Arial" w:hAnsi="Arial" w:cs="Arial"/>
          <w:sz w:val="22"/>
          <w:szCs w:val="22"/>
        </w:rPr>
        <w:t xml:space="preserve">. For example, if the native subgrade </w:t>
      </w:r>
      <w:r w:rsidR="00473E1E" w:rsidRPr="00FC0A1E">
        <w:rPr>
          <w:rFonts w:ascii="Arial" w:hAnsi="Arial" w:cs="Arial"/>
          <w:sz w:val="22"/>
          <w:szCs w:val="22"/>
        </w:rPr>
        <w:t>M</w:t>
      </w:r>
      <w:r w:rsidR="00473E1E" w:rsidRPr="00FC0A1E">
        <w:rPr>
          <w:rFonts w:ascii="Arial" w:hAnsi="Arial" w:cs="Arial"/>
          <w:sz w:val="22"/>
          <w:szCs w:val="22"/>
          <w:vertAlign w:val="subscript"/>
        </w:rPr>
        <w:t>r</w:t>
      </w:r>
      <w:r w:rsidRPr="00FC0A1E">
        <w:rPr>
          <w:rFonts w:ascii="Arial" w:hAnsi="Arial" w:cs="Arial"/>
          <w:sz w:val="22"/>
          <w:szCs w:val="22"/>
        </w:rPr>
        <w:t xml:space="preserve"> is determined to be </w:t>
      </w:r>
      <w:r w:rsidR="00473E1E">
        <w:rPr>
          <w:rFonts w:ascii="Arial" w:hAnsi="Arial" w:cs="Arial"/>
          <w:sz w:val="22"/>
          <w:szCs w:val="22"/>
        </w:rPr>
        <w:t>6,000 psi</w:t>
      </w:r>
      <w:r w:rsidRPr="00FC0A1E">
        <w:rPr>
          <w:rFonts w:ascii="Arial" w:hAnsi="Arial" w:cs="Arial"/>
          <w:sz w:val="22"/>
          <w:szCs w:val="22"/>
        </w:rPr>
        <w:t>, then 6</w:t>
      </w:r>
      <w:r w:rsidR="00861436">
        <w:rPr>
          <w:rFonts w:ascii="Arial" w:hAnsi="Arial" w:cs="Arial"/>
          <w:sz w:val="22"/>
          <w:szCs w:val="22"/>
        </w:rPr>
        <w:t>"</w:t>
      </w:r>
      <w:r w:rsidRPr="00FC0A1E">
        <w:rPr>
          <w:rFonts w:ascii="Arial" w:hAnsi="Arial" w:cs="Arial"/>
          <w:sz w:val="22"/>
          <w:szCs w:val="22"/>
        </w:rPr>
        <w:t xml:space="preserve"> of sand capping would increase the design </w:t>
      </w:r>
      <w:r w:rsidR="00473E1E" w:rsidRPr="00FC0A1E">
        <w:rPr>
          <w:rFonts w:ascii="Arial" w:hAnsi="Arial" w:cs="Arial"/>
          <w:sz w:val="22"/>
          <w:szCs w:val="22"/>
        </w:rPr>
        <w:t>M</w:t>
      </w:r>
      <w:r w:rsidR="00473E1E" w:rsidRPr="00FC0A1E">
        <w:rPr>
          <w:rFonts w:ascii="Arial" w:hAnsi="Arial" w:cs="Arial"/>
          <w:sz w:val="22"/>
          <w:szCs w:val="22"/>
          <w:vertAlign w:val="subscript"/>
        </w:rPr>
        <w:t>r</w:t>
      </w:r>
      <w:r w:rsidRPr="00FC0A1E">
        <w:rPr>
          <w:rFonts w:ascii="Arial" w:hAnsi="Arial" w:cs="Arial"/>
          <w:sz w:val="22"/>
          <w:szCs w:val="22"/>
        </w:rPr>
        <w:t xml:space="preserve"> to </w:t>
      </w:r>
      <w:r w:rsidR="00473E1E">
        <w:rPr>
          <w:rFonts w:ascii="Arial" w:hAnsi="Arial" w:cs="Arial"/>
          <w:sz w:val="22"/>
          <w:szCs w:val="22"/>
        </w:rPr>
        <w:t>9,000 psi</w:t>
      </w:r>
      <w:r w:rsidRPr="00FC0A1E">
        <w:rPr>
          <w:rFonts w:ascii="Arial" w:hAnsi="Arial" w:cs="Arial"/>
          <w:sz w:val="22"/>
          <w:szCs w:val="22"/>
        </w:rPr>
        <w:t>.</w:t>
      </w:r>
    </w:p>
    <w:p w14:paraId="4EA46A07" w14:textId="77777777" w:rsidR="00FC0A1E" w:rsidRDefault="00FC0A1E" w:rsidP="00172E64">
      <w:pPr>
        <w:pStyle w:val="Heading3"/>
        <w:numPr>
          <w:ilvl w:val="2"/>
          <w:numId w:val="184"/>
        </w:numPr>
        <w:ind w:left="0" w:firstLine="0"/>
      </w:pPr>
      <w:bookmarkStart w:id="556" w:name="_Frost_Depth"/>
      <w:bookmarkEnd w:id="556"/>
      <w:r>
        <w:t>Frost Depth</w:t>
      </w:r>
    </w:p>
    <w:p w14:paraId="1484744C" w14:textId="77777777" w:rsidR="00A63F09" w:rsidRPr="008F604D" w:rsidRDefault="00A63F09" w:rsidP="00A63F0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Pr>
          <w:rFonts w:ascii="Arial" w:eastAsia="Arial" w:hAnsi="Arial" w:cs="Arial"/>
          <w:sz w:val="16"/>
          <w:szCs w:val="16"/>
        </w:rPr>
        <w:t xml:space="preserve"> </w:t>
      </w:r>
      <w:hyperlink w:anchor="_Roller-Compacted_Concrete_(RCC)" w:history="1">
        <w:r w:rsidRPr="00A63F09">
          <w:rPr>
            <w:rStyle w:val="Hyperlink"/>
            <w:rFonts w:ascii="Arial" w:eastAsia="Arial" w:hAnsi="Arial" w:cs="Arial"/>
            <w:sz w:val="16"/>
            <w:szCs w:val="16"/>
          </w:rPr>
          <w:t>Roller-Compacted Concrete (RCC)</w:t>
        </w:r>
      </w:hyperlink>
    </w:p>
    <w:p w14:paraId="386E54B6" w14:textId="77777777" w:rsidR="00A63F09" w:rsidRPr="00A63F09" w:rsidRDefault="00A63F09" w:rsidP="00A63F09"/>
    <w:p w14:paraId="7BB4A06E" w14:textId="77777777" w:rsidR="00FC0A1E" w:rsidRPr="00FC0A1E" w:rsidRDefault="00FC0A1E" w:rsidP="00BE3F24">
      <w:pPr>
        <w:jc w:val="both"/>
        <w:rPr>
          <w:rFonts w:ascii="Arial" w:hAnsi="Arial" w:cs="Arial"/>
          <w:sz w:val="22"/>
          <w:szCs w:val="22"/>
        </w:rPr>
      </w:pPr>
      <w:r w:rsidRPr="00FC0A1E">
        <w:rPr>
          <w:rFonts w:ascii="Arial" w:hAnsi="Arial" w:cs="Arial"/>
          <w:sz w:val="22"/>
          <w:szCs w:val="22"/>
        </w:rPr>
        <w:t xml:space="preserve">The following information pertains to the design and construction of pavements in areas having frost susceptible soils. Frost susceptible soils based on </w:t>
      </w:r>
      <w:r w:rsidR="008C1299">
        <w:rPr>
          <w:rFonts w:ascii="Arial" w:hAnsi="Arial" w:cs="Arial"/>
          <w:sz w:val="22"/>
          <w:szCs w:val="22"/>
        </w:rPr>
        <w:t>AASHTO</w:t>
      </w:r>
      <w:r w:rsidRPr="00FC0A1E">
        <w:rPr>
          <w:rFonts w:ascii="Arial" w:hAnsi="Arial" w:cs="Arial"/>
          <w:sz w:val="22"/>
          <w:szCs w:val="22"/>
        </w:rPr>
        <w:t xml:space="preserve"> Classification: </w:t>
      </w:r>
    </w:p>
    <w:p w14:paraId="2285BD54" w14:textId="77777777" w:rsidR="008810D7" w:rsidRDefault="008810D7" w:rsidP="00BE3F24">
      <w:pPr>
        <w:rPr>
          <w:rFonts w:ascii="Arial" w:hAnsi="Arial" w:cs="Arial"/>
          <w:sz w:val="22"/>
          <w:szCs w:val="22"/>
        </w:rPr>
      </w:pPr>
    </w:p>
    <w:p w14:paraId="65B358D9" w14:textId="2C64650F" w:rsidR="008810D7" w:rsidRDefault="00FC0A1E" w:rsidP="00BE3F24">
      <w:pPr>
        <w:rPr>
          <w:rFonts w:ascii="Arial" w:hAnsi="Arial" w:cs="Arial"/>
          <w:sz w:val="22"/>
          <w:szCs w:val="22"/>
        </w:rPr>
      </w:pPr>
      <w:r w:rsidRPr="00FC0A1E">
        <w:rPr>
          <w:rFonts w:ascii="Arial" w:hAnsi="Arial" w:cs="Arial"/>
          <w:sz w:val="22"/>
          <w:szCs w:val="22"/>
        </w:rPr>
        <w:t>Very High</w:t>
      </w:r>
      <w:r w:rsidR="00861436">
        <w:rPr>
          <w:rFonts w:ascii="Arial" w:hAnsi="Arial" w:cs="Arial"/>
          <w:sz w:val="22"/>
          <w:szCs w:val="22"/>
        </w:rPr>
        <w:t>:</w:t>
      </w:r>
      <w:r w:rsidR="00861436">
        <w:rPr>
          <w:rFonts w:ascii="Arial" w:hAnsi="Arial" w:cs="Arial"/>
          <w:sz w:val="22"/>
          <w:szCs w:val="22"/>
        </w:rPr>
        <w:tab/>
      </w:r>
      <w:r w:rsidRPr="00FC0A1E">
        <w:rPr>
          <w:rFonts w:ascii="Arial" w:hAnsi="Arial" w:cs="Arial"/>
          <w:sz w:val="22"/>
          <w:szCs w:val="22"/>
        </w:rPr>
        <w:t>A-4, A-5</w:t>
      </w:r>
      <w:r w:rsidR="008C1299">
        <w:rPr>
          <w:rFonts w:ascii="Arial" w:hAnsi="Arial" w:cs="Arial"/>
          <w:sz w:val="22"/>
          <w:szCs w:val="22"/>
        </w:rPr>
        <w:t>, A-6, A-7</w:t>
      </w:r>
      <w:r w:rsidRPr="00FC0A1E">
        <w:rPr>
          <w:rFonts w:ascii="Arial" w:hAnsi="Arial" w:cs="Arial"/>
          <w:sz w:val="22"/>
          <w:szCs w:val="22"/>
        </w:rPr>
        <w:t xml:space="preserve"> </w:t>
      </w:r>
    </w:p>
    <w:p w14:paraId="3192B874" w14:textId="4C0E8FE6" w:rsidR="00FC0A1E" w:rsidRPr="00FC0A1E" w:rsidRDefault="00FC0A1E" w:rsidP="00BE3F24">
      <w:pPr>
        <w:rPr>
          <w:rFonts w:ascii="Arial" w:hAnsi="Arial" w:cs="Arial"/>
          <w:sz w:val="22"/>
          <w:szCs w:val="22"/>
        </w:rPr>
      </w:pPr>
      <w:r w:rsidRPr="00FC0A1E">
        <w:rPr>
          <w:rFonts w:ascii="Arial" w:hAnsi="Arial" w:cs="Arial"/>
          <w:sz w:val="22"/>
          <w:szCs w:val="22"/>
        </w:rPr>
        <w:lastRenderedPageBreak/>
        <w:t>High</w:t>
      </w:r>
      <w:r w:rsidR="00861436">
        <w:rPr>
          <w:rFonts w:ascii="Arial" w:hAnsi="Arial" w:cs="Arial"/>
          <w:sz w:val="22"/>
          <w:szCs w:val="22"/>
        </w:rPr>
        <w:t>:</w:t>
      </w:r>
      <w:r w:rsidR="00861436">
        <w:rPr>
          <w:rFonts w:ascii="Arial" w:hAnsi="Arial" w:cs="Arial"/>
          <w:sz w:val="22"/>
          <w:szCs w:val="22"/>
        </w:rPr>
        <w:tab/>
      </w:r>
      <w:r w:rsidR="00861436">
        <w:rPr>
          <w:rFonts w:ascii="Arial" w:hAnsi="Arial" w:cs="Arial"/>
          <w:sz w:val="22"/>
          <w:szCs w:val="22"/>
        </w:rPr>
        <w:tab/>
      </w:r>
      <w:r w:rsidR="008C1299">
        <w:rPr>
          <w:rFonts w:ascii="Arial" w:hAnsi="Arial" w:cs="Arial"/>
          <w:sz w:val="22"/>
          <w:szCs w:val="22"/>
        </w:rPr>
        <w:t>A-2-4, A-7-5, A-7-6</w:t>
      </w:r>
    </w:p>
    <w:p w14:paraId="74A49C43" w14:textId="74557786" w:rsidR="00FC0A1E" w:rsidRPr="00FC0A1E" w:rsidRDefault="008810D7" w:rsidP="00BE3F24">
      <w:pPr>
        <w:rPr>
          <w:rFonts w:ascii="Arial" w:hAnsi="Arial" w:cs="Arial"/>
          <w:sz w:val="22"/>
          <w:szCs w:val="22"/>
        </w:rPr>
      </w:pPr>
      <w:r w:rsidRPr="00FC0A1E">
        <w:rPr>
          <w:rFonts w:ascii="Arial" w:hAnsi="Arial" w:cs="Arial"/>
          <w:noProof/>
          <w:sz w:val="22"/>
          <w:szCs w:val="22"/>
        </w:rPr>
        <w:drawing>
          <wp:anchor distT="0" distB="0" distL="114300" distR="114300" simplePos="0" relativeHeight="251662848" behindDoc="1" locked="0" layoutInCell="1" allowOverlap="1" wp14:anchorId="2CB86E92" wp14:editId="69F7AFEE">
            <wp:simplePos x="0" y="0"/>
            <wp:positionH relativeFrom="margin">
              <wp:posOffset>8255</wp:posOffset>
            </wp:positionH>
            <wp:positionV relativeFrom="margin">
              <wp:posOffset>577850</wp:posOffset>
            </wp:positionV>
            <wp:extent cx="5995670" cy="4674870"/>
            <wp:effectExtent l="0" t="0" r="5080" b="0"/>
            <wp:wrapThrough wrapText="bothSides">
              <wp:wrapPolygon edited="0">
                <wp:start x="0" y="0"/>
                <wp:lineTo x="0" y="21477"/>
                <wp:lineTo x="21550" y="21477"/>
                <wp:lineTo x="21550" y="0"/>
                <wp:lineTo x="0" y="0"/>
              </wp:wrapPolygon>
            </wp:wrapThrough>
            <wp:docPr id="1457" name="Picture 1457" descr="Approximate Frost Depth Based on the X Value for Modified Berggren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 name="Picture 1457" descr="Approximate Frost Depth Based on the X Value for Modified Berggren Formula"/>
                    <pic:cNvPicPr>
                      <a:picLocks noChangeAspect="1" noChangeArrowheads="1"/>
                    </pic:cNvPicPr>
                  </pic:nvPicPr>
                  <pic:blipFill>
                    <a:blip r:embed="rId289" cstate="print"/>
                    <a:srcRect/>
                    <a:stretch>
                      <a:fillRect/>
                    </a:stretch>
                  </pic:blipFill>
                  <pic:spPr bwMode="auto">
                    <a:xfrm>
                      <a:off x="0" y="0"/>
                      <a:ext cx="5995670" cy="4674870"/>
                    </a:xfrm>
                    <a:prstGeom prst="rect">
                      <a:avLst/>
                    </a:prstGeom>
                    <a:noFill/>
                  </pic:spPr>
                </pic:pic>
              </a:graphicData>
            </a:graphic>
            <wp14:sizeRelH relativeFrom="margin">
              <wp14:pctWidth>0</wp14:pctWidth>
            </wp14:sizeRelH>
            <wp14:sizeRelV relativeFrom="margin">
              <wp14:pctHeight>0</wp14:pctHeight>
            </wp14:sizeRelV>
          </wp:anchor>
        </w:drawing>
      </w:r>
    </w:p>
    <w:p w14:paraId="73C687B4" w14:textId="352C0B8C" w:rsidR="00FC0A1E" w:rsidRPr="00FC0A1E" w:rsidRDefault="00FC0A1E" w:rsidP="00BE3F24">
      <w:pPr>
        <w:rPr>
          <w:rFonts w:ascii="Arial" w:hAnsi="Arial" w:cs="Arial"/>
          <w:sz w:val="22"/>
          <w:szCs w:val="22"/>
        </w:rPr>
      </w:pPr>
    </w:p>
    <w:p w14:paraId="14F17100" w14:textId="77777777" w:rsidR="008810D7" w:rsidRDefault="008810D7" w:rsidP="00861436">
      <w:pPr>
        <w:jc w:val="center"/>
        <w:rPr>
          <w:rFonts w:ascii="Arial" w:hAnsi="Arial" w:cs="Arial"/>
          <w:b/>
          <w:bCs/>
          <w:sz w:val="22"/>
          <w:szCs w:val="22"/>
        </w:rPr>
      </w:pPr>
    </w:p>
    <w:p w14:paraId="551E5988" w14:textId="7674B841" w:rsidR="008810D7" w:rsidRDefault="008810D7" w:rsidP="00861436">
      <w:pPr>
        <w:jc w:val="center"/>
        <w:rPr>
          <w:rFonts w:ascii="Arial" w:hAnsi="Arial" w:cs="Arial"/>
          <w:b/>
          <w:bCs/>
          <w:sz w:val="22"/>
          <w:szCs w:val="22"/>
        </w:rPr>
      </w:pPr>
    </w:p>
    <w:p w14:paraId="2250ED38" w14:textId="0D88D349" w:rsidR="00FC0A1E" w:rsidRPr="00861436" w:rsidRDefault="00C63DE0" w:rsidP="00861436">
      <w:pPr>
        <w:jc w:val="center"/>
        <w:rPr>
          <w:b/>
          <w:sz w:val="22"/>
          <w:szCs w:val="22"/>
        </w:rPr>
      </w:pPr>
      <w:r w:rsidRPr="00861436">
        <w:rPr>
          <w:rFonts w:ascii="Arial" w:hAnsi="Arial" w:cs="Arial"/>
          <w:b/>
          <w:bCs/>
          <w:sz w:val="22"/>
          <w:szCs w:val="22"/>
        </w:rPr>
        <w:t xml:space="preserve">Approximate Frost Depth Based </w:t>
      </w:r>
      <w:r>
        <w:rPr>
          <w:rFonts w:ascii="Arial" w:hAnsi="Arial" w:cs="Arial"/>
          <w:b/>
          <w:bCs/>
          <w:sz w:val="22"/>
          <w:szCs w:val="22"/>
        </w:rPr>
        <w:t>o</w:t>
      </w:r>
      <w:r w:rsidRPr="00861436">
        <w:rPr>
          <w:rFonts w:ascii="Arial" w:hAnsi="Arial" w:cs="Arial"/>
          <w:b/>
          <w:bCs/>
          <w:sz w:val="22"/>
          <w:szCs w:val="22"/>
        </w:rPr>
        <w:t xml:space="preserve">n </w:t>
      </w:r>
      <w:r>
        <w:rPr>
          <w:rFonts w:ascii="Arial" w:hAnsi="Arial" w:cs="Arial"/>
          <w:b/>
          <w:bCs/>
          <w:sz w:val="22"/>
          <w:szCs w:val="22"/>
        </w:rPr>
        <w:t>t</w:t>
      </w:r>
      <w:r w:rsidRPr="00861436">
        <w:rPr>
          <w:rFonts w:ascii="Arial" w:hAnsi="Arial" w:cs="Arial"/>
          <w:b/>
          <w:bCs/>
          <w:sz w:val="22"/>
          <w:szCs w:val="22"/>
        </w:rPr>
        <w:t xml:space="preserve">he X Value </w:t>
      </w:r>
      <w:r>
        <w:rPr>
          <w:rFonts w:ascii="Arial" w:hAnsi="Arial" w:cs="Arial"/>
          <w:b/>
          <w:bCs/>
          <w:sz w:val="22"/>
          <w:szCs w:val="22"/>
        </w:rPr>
        <w:t>f</w:t>
      </w:r>
      <w:r w:rsidRPr="00861436">
        <w:rPr>
          <w:rFonts w:ascii="Arial" w:hAnsi="Arial" w:cs="Arial"/>
          <w:b/>
          <w:bCs/>
          <w:sz w:val="22"/>
          <w:szCs w:val="22"/>
        </w:rPr>
        <w:t>or Modified Berggren Formula</w:t>
      </w:r>
    </w:p>
    <w:p w14:paraId="15A93551" w14:textId="546563D2" w:rsidR="00FC0A1E" w:rsidRPr="00FC0A1E" w:rsidRDefault="00FC0A1E" w:rsidP="00BE3F24">
      <w:pPr>
        <w:jc w:val="both"/>
        <w:rPr>
          <w:rFonts w:ascii="Arial" w:hAnsi="Arial" w:cs="Arial"/>
          <w:sz w:val="22"/>
          <w:szCs w:val="22"/>
        </w:rPr>
      </w:pPr>
    </w:p>
    <w:p w14:paraId="798E8404" w14:textId="77777777" w:rsidR="007F762D" w:rsidRDefault="00FC0A1E" w:rsidP="00BE3F24">
      <w:pPr>
        <w:jc w:val="both"/>
        <w:rPr>
          <w:rFonts w:ascii="Arial" w:hAnsi="Arial" w:cs="Arial"/>
          <w:sz w:val="22"/>
          <w:szCs w:val="22"/>
        </w:rPr>
      </w:pPr>
      <w:r w:rsidRPr="00FC0A1E">
        <w:rPr>
          <w:rFonts w:ascii="Arial" w:hAnsi="Arial" w:cs="Arial"/>
          <w:sz w:val="22"/>
          <w:szCs w:val="22"/>
        </w:rPr>
        <w:t>More information on the frost susceptibility of the soils for a particular project may be obtained from the Soil Conservation Service County Soil Survey.</w:t>
      </w:r>
    </w:p>
    <w:p w14:paraId="6B6B845D" w14:textId="3DE8D040" w:rsidR="00FC0A1E" w:rsidRPr="00FC0A1E" w:rsidRDefault="00FC0A1E" w:rsidP="00BE3F24">
      <w:pPr>
        <w:jc w:val="both"/>
        <w:rPr>
          <w:rFonts w:ascii="Arial" w:hAnsi="Arial" w:cs="Arial"/>
          <w:sz w:val="22"/>
          <w:szCs w:val="22"/>
        </w:rPr>
      </w:pPr>
      <w:r w:rsidRPr="00FC0A1E">
        <w:rPr>
          <w:rFonts w:ascii="Arial" w:hAnsi="Arial" w:cs="Arial"/>
          <w:sz w:val="22"/>
          <w:szCs w:val="22"/>
        </w:rPr>
        <w:br/>
        <w:t xml:space="preserve">Depth of Frost:  If the depth of frost is just below Top of Subgrade, preventive methods should be applied. Frost depths can be found from the </w:t>
      </w:r>
      <w:r w:rsidRPr="001D69CD">
        <w:rPr>
          <w:rFonts w:ascii="Arial" w:hAnsi="Arial" w:cs="Arial"/>
          <w:sz w:val="22"/>
          <w:szCs w:val="22"/>
        </w:rPr>
        <w:t xml:space="preserve">map </w:t>
      </w:r>
      <w:r w:rsidR="000F70D9" w:rsidRPr="001D69CD">
        <w:rPr>
          <w:rFonts w:ascii="Arial" w:hAnsi="Arial" w:cs="Arial"/>
          <w:sz w:val="22"/>
          <w:szCs w:val="22"/>
        </w:rPr>
        <w:t>above</w:t>
      </w:r>
      <w:r w:rsidRPr="001D69CD">
        <w:rPr>
          <w:rFonts w:ascii="Arial" w:hAnsi="Arial" w:cs="Arial"/>
          <w:sz w:val="22"/>
          <w:szCs w:val="22"/>
        </w:rPr>
        <w:t>.</w:t>
      </w:r>
      <w:r w:rsidRPr="00FC0A1E">
        <w:rPr>
          <w:rFonts w:ascii="Arial" w:hAnsi="Arial" w:cs="Arial"/>
          <w:sz w:val="22"/>
          <w:szCs w:val="22"/>
        </w:rPr>
        <w:t xml:space="preserve"> </w:t>
      </w:r>
    </w:p>
    <w:p w14:paraId="16C1C7D1" w14:textId="77777777" w:rsidR="00FC0A1E" w:rsidRPr="00FC0A1E" w:rsidRDefault="00FC0A1E" w:rsidP="00BE3F24">
      <w:pPr>
        <w:jc w:val="both"/>
        <w:rPr>
          <w:rFonts w:ascii="Arial" w:hAnsi="Arial" w:cs="Arial"/>
          <w:sz w:val="22"/>
          <w:szCs w:val="22"/>
        </w:rPr>
      </w:pPr>
    </w:p>
    <w:p w14:paraId="231B6349" w14:textId="593F628A" w:rsidR="00FC0A1E" w:rsidRPr="001C6B2C" w:rsidRDefault="00FC0A1E" w:rsidP="00BE3F24">
      <w:pPr>
        <w:jc w:val="both"/>
        <w:rPr>
          <w:rFonts w:ascii="Arial" w:hAnsi="Arial" w:cs="Arial"/>
          <w:b/>
          <w:sz w:val="22"/>
          <w:szCs w:val="22"/>
        </w:rPr>
      </w:pPr>
      <w:r w:rsidRPr="00FC0A1E">
        <w:rPr>
          <w:rFonts w:ascii="Arial" w:hAnsi="Arial" w:cs="Arial"/>
          <w:sz w:val="22"/>
          <w:szCs w:val="22"/>
        </w:rPr>
        <w:t>Pavement design in Western Maryland must consider detrimental frost action. In other areas of the State, particularly north and west of the Geologic Fall Line,</w:t>
      </w:r>
      <w:r w:rsidR="00CF65CA">
        <w:rPr>
          <w:rFonts w:ascii="Arial" w:hAnsi="Arial" w:cs="Arial"/>
          <w:sz w:val="22"/>
          <w:szCs w:val="22"/>
        </w:rPr>
        <w:t xml:space="preserve"> </w:t>
      </w:r>
      <w:r w:rsidRPr="00FC0A1E">
        <w:rPr>
          <w:rFonts w:ascii="Arial" w:hAnsi="Arial" w:cs="Arial"/>
          <w:sz w:val="22"/>
          <w:szCs w:val="22"/>
        </w:rPr>
        <w:t xml:space="preserve">where fine-grain soils predominate and moisture conditions are above optimum, frost depth should also be a design consideration. </w:t>
      </w:r>
      <w:r w:rsidRPr="008810D7">
        <w:rPr>
          <w:rFonts w:ascii="Arial" w:hAnsi="Arial"/>
          <w:b/>
          <w:sz w:val="22"/>
        </w:rPr>
        <w:t>The</w:t>
      </w:r>
      <w:r w:rsidRPr="00FC0A1E">
        <w:rPr>
          <w:rFonts w:ascii="Arial" w:hAnsi="Arial" w:cs="Arial"/>
          <w:sz w:val="22"/>
          <w:szCs w:val="22"/>
        </w:rPr>
        <w:t xml:space="preserve"> </w:t>
      </w:r>
      <w:r w:rsidRPr="001C6B2C">
        <w:rPr>
          <w:rFonts w:ascii="Arial" w:hAnsi="Arial" w:cs="Arial"/>
          <w:b/>
          <w:sz w:val="22"/>
          <w:szCs w:val="22"/>
        </w:rPr>
        <w:t>pavement section thickness needed to reduce frost action is approximat</w:t>
      </w:r>
      <w:r w:rsidR="001C6B2C" w:rsidRPr="001C6B2C">
        <w:rPr>
          <w:rFonts w:ascii="Arial" w:hAnsi="Arial" w:cs="Arial"/>
          <w:b/>
          <w:sz w:val="22"/>
          <w:szCs w:val="22"/>
        </w:rPr>
        <w:t>ely 2/3 of the frost depth.</w:t>
      </w:r>
    </w:p>
    <w:p w14:paraId="6CBCB07F" w14:textId="77777777" w:rsidR="00FC0A1E" w:rsidRPr="00FC0A1E" w:rsidRDefault="00FC0A1E" w:rsidP="00BE3F24">
      <w:pPr>
        <w:rPr>
          <w:rFonts w:ascii="Arial" w:hAnsi="Arial" w:cs="Arial"/>
          <w:sz w:val="22"/>
          <w:szCs w:val="22"/>
        </w:rPr>
      </w:pPr>
    </w:p>
    <w:p w14:paraId="755C336F" w14:textId="7FBD00ED" w:rsidR="00861436" w:rsidRDefault="00FC0A1E" w:rsidP="00BE3F24">
      <w:pPr>
        <w:rPr>
          <w:rFonts w:ascii="Arial" w:hAnsi="Arial" w:cs="Arial"/>
          <w:sz w:val="22"/>
          <w:szCs w:val="22"/>
        </w:rPr>
      </w:pPr>
      <w:r w:rsidRPr="00FC0A1E">
        <w:rPr>
          <w:rFonts w:ascii="Arial" w:hAnsi="Arial" w:cs="Arial"/>
          <w:sz w:val="22"/>
          <w:szCs w:val="22"/>
        </w:rPr>
        <w:lastRenderedPageBreak/>
        <w:t xml:space="preserve">The following are some preventive methods when encountering frost susceptible soils in a freezing climate: </w:t>
      </w:r>
    </w:p>
    <w:p w14:paraId="1DCBF532" w14:textId="6FB424D1" w:rsidR="00FC0A1E" w:rsidRPr="00FC0A1E" w:rsidRDefault="00FC0A1E" w:rsidP="00BE3F24">
      <w:pPr>
        <w:rPr>
          <w:rFonts w:ascii="Arial" w:hAnsi="Arial" w:cs="Arial"/>
          <w:sz w:val="22"/>
          <w:szCs w:val="22"/>
        </w:rPr>
      </w:pPr>
    </w:p>
    <w:p w14:paraId="348A38C9" w14:textId="77777777" w:rsidR="001A15B9" w:rsidRDefault="00FC0A1E" w:rsidP="00172E64">
      <w:pPr>
        <w:numPr>
          <w:ilvl w:val="0"/>
          <w:numId w:val="55"/>
        </w:numPr>
        <w:ind w:hanging="720"/>
        <w:jc w:val="both"/>
        <w:rPr>
          <w:rFonts w:ascii="Arial" w:hAnsi="Arial" w:cs="Arial"/>
          <w:sz w:val="22"/>
          <w:szCs w:val="22"/>
        </w:rPr>
      </w:pPr>
      <w:r w:rsidRPr="00FC0A1E">
        <w:rPr>
          <w:rFonts w:ascii="Arial" w:hAnsi="Arial" w:cs="Arial"/>
          <w:sz w:val="22"/>
          <w:szCs w:val="22"/>
        </w:rPr>
        <w:t>Eliminate the effects of soil fines. Stabilizing with lime or cement will reduce the frost susceptibility of soils.</w:t>
      </w:r>
    </w:p>
    <w:p w14:paraId="35B144A5" w14:textId="77777777" w:rsidR="001A15B9" w:rsidRDefault="00FC0A1E" w:rsidP="00172E64">
      <w:pPr>
        <w:numPr>
          <w:ilvl w:val="0"/>
          <w:numId w:val="54"/>
        </w:numPr>
        <w:ind w:hanging="720"/>
        <w:jc w:val="both"/>
        <w:rPr>
          <w:sz w:val="22"/>
          <w:szCs w:val="22"/>
        </w:rPr>
      </w:pPr>
      <w:r w:rsidRPr="00FC0A1E">
        <w:rPr>
          <w:rFonts w:ascii="Arial" w:hAnsi="Arial" w:cs="Arial"/>
          <w:sz w:val="22"/>
          <w:szCs w:val="22"/>
        </w:rPr>
        <w:t>Proper drainage will reduce frost penetration. Drainage should restrict the migration of water into the frost susceptible soil.  The development of ice lenses is entirely dependent on the presence of water.</w:t>
      </w:r>
    </w:p>
    <w:p w14:paraId="6CA34EAC" w14:textId="77777777" w:rsidR="001A15B9" w:rsidRDefault="00FC0A1E" w:rsidP="00172E64">
      <w:pPr>
        <w:numPr>
          <w:ilvl w:val="0"/>
          <w:numId w:val="54"/>
        </w:numPr>
        <w:ind w:hanging="720"/>
        <w:jc w:val="both"/>
        <w:rPr>
          <w:sz w:val="22"/>
          <w:szCs w:val="22"/>
        </w:rPr>
      </w:pPr>
      <w:r w:rsidRPr="00FC0A1E">
        <w:rPr>
          <w:rFonts w:ascii="Arial" w:hAnsi="Arial" w:cs="Arial"/>
          <w:sz w:val="22"/>
          <w:szCs w:val="22"/>
        </w:rPr>
        <w:t>Undercutting the frost susceptible soils below the depth of frost and replacing with less frost susceptible soils will eliminate the heaving action of frost.</w:t>
      </w:r>
    </w:p>
    <w:p w14:paraId="500E096E" w14:textId="77777777" w:rsidR="001A15B9" w:rsidRDefault="00FC0A1E" w:rsidP="00172E64">
      <w:pPr>
        <w:numPr>
          <w:ilvl w:val="0"/>
          <w:numId w:val="54"/>
        </w:numPr>
        <w:ind w:hanging="720"/>
        <w:jc w:val="both"/>
        <w:rPr>
          <w:sz w:val="22"/>
          <w:szCs w:val="22"/>
        </w:rPr>
      </w:pPr>
      <w:r w:rsidRPr="00FC0A1E">
        <w:rPr>
          <w:rFonts w:ascii="Arial" w:hAnsi="Arial" w:cs="Arial"/>
          <w:sz w:val="22"/>
          <w:szCs w:val="22"/>
        </w:rPr>
        <w:t>The use of a thicker pavement section (increasing the thickness of the stone base in place of hot mix asphalt) or the use of capping may also help prevent frost action.</w:t>
      </w:r>
    </w:p>
    <w:p w14:paraId="3EBC74E7" w14:textId="77777777" w:rsidR="00FC0A1E" w:rsidRDefault="00FC0A1E" w:rsidP="00172E64">
      <w:pPr>
        <w:pStyle w:val="Heading3"/>
        <w:numPr>
          <w:ilvl w:val="2"/>
          <w:numId w:val="184"/>
        </w:numPr>
        <w:ind w:left="0" w:firstLine="0"/>
      </w:pPr>
      <w:bookmarkStart w:id="557" w:name="_Top_of_Subgrade"/>
      <w:bookmarkEnd w:id="557"/>
      <w:r>
        <w:t>Top of Subgrade</w:t>
      </w:r>
    </w:p>
    <w:p w14:paraId="5EDD9AB5" w14:textId="013FCBF9" w:rsidR="00FC0A1E" w:rsidRPr="007F762D" w:rsidRDefault="00FC0A1E" w:rsidP="00BE3F24">
      <w:pPr>
        <w:jc w:val="both"/>
        <w:rPr>
          <w:rFonts w:ascii="Arial" w:hAnsi="Arial" w:cs="Arial"/>
          <w:sz w:val="22"/>
          <w:szCs w:val="22"/>
        </w:rPr>
      </w:pPr>
      <w:r w:rsidRPr="007F762D">
        <w:rPr>
          <w:rFonts w:ascii="Arial" w:hAnsi="Arial" w:cs="Arial"/>
          <w:sz w:val="22"/>
          <w:szCs w:val="22"/>
        </w:rPr>
        <w:t>The Top of Subgrade, which generally can be defined as an imaginary line immediately below the bottom of the sub</w:t>
      </w:r>
      <w:r w:rsidR="00861436">
        <w:rPr>
          <w:rFonts w:ascii="Arial" w:hAnsi="Arial" w:cs="Arial"/>
          <w:sz w:val="22"/>
          <w:szCs w:val="22"/>
        </w:rPr>
        <w:t>-</w:t>
      </w:r>
      <w:r w:rsidRPr="007F762D">
        <w:rPr>
          <w:rFonts w:ascii="Arial" w:hAnsi="Arial" w:cs="Arial"/>
          <w:sz w:val="22"/>
          <w:szCs w:val="22"/>
        </w:rPr>
        <w:t>base, base or pavement, is designated to establish where the top one foot compaction requirements and test rolling requirements apply.</w:t>
      </w:r>
    </w:p>
    <w:p w14:paraId="7684F4F5" w14:textId="77777777" w:rsidR="00FC0A1E" w:rsidRPr="007F762D" w:rsidRDefault="00FC0A1E" w:rsidP="00BE3F24">
      <w:pPr>
        <w:jc w:val="both"/>
        <w:rPr>
          <w:rFonts w:ascii="Arial" w:hAnsi="Arial" w:cs="Arial"/>
          <w:sz w:val="22"/>
          <w:szCs w:val="22"/>
        </w:rPr>
      </w:pPr>
      <w:r w:rsidRPr="007F762D">
        <w:rPr>
          <w:rFonts w:ascii="Arial" w:hAnsi="Arial" w:cs="Arial"/>
          <w:sz w:val="22"/>
          <w:szCs w:val="22"/>
        </w:rPr>
        <w:t xml:space="preserve"> </w:t>
      </w:r>
    </w:p>
    <w:p w14:paraId="65B647B9" w14:textId="77777777" w:rsidR="00FC0A1E" w:rsidRPr="007F762D" w:rsidRDefault="00FC0A1E" w:rsidP="00BE3F24">
      <w:pPr>
        <w:jc w:val="both"/>
        <w:rPr>
          <w:rFonts w:ascii="Arial" w:hAnsi="Arial" w:cs="Arial"/>
          <w:sz w:val="22"/>
          <w:szCs w:val="22"/>
        </w:rPr>
      </w:pPr>
      <w:r w:rsidRPr="007F762D">
        <w:rPr>
          <w:rFonts w:ascii="Arial" w:hAnsi="Arial" w:cs="Arial"/>
          <w:sz w:val="22"/>
          <w:szCs w:val="22"/>
        </w:rPr>
        <w:t xml:space="preserve">In most cases the Top of Subgrade and the Limit of Class 1 Excavation are the same.  Cases where the Top of Subgrade and the Limit of Class 1 Excavation are not the same are described below.  </w:t>
      </w:r>
    </w:p>
    <w:p w14:paraId="1CEA73A1" w14:textId="77777777" w:rsidR="00FC0A1E" w:rsidRPr="007F762D" w:rsidRDefault="00FC0A1E" w:rsidP="00BE3F24">
      <w:pPr>
        <w:jc w:val="both"/>
        <w:rPr>
          <w:rFonts w:ascii="Arial" w:hAnsi="Arial" w:cs="Arial"/>
          <w:sz w:val="22"/>
          <w:szCs w:val="22"/>
        </w:rPr>
      </w:pPr>
    </w:p>
    <w:p w14:paraId="69629EC8" w14:textId="77777777" w:rsidR="001A15B9" w:rsidRDefault="00FC0A1E" w:rsidP="00172E64">
      <w:pPr>
        <w:numPr>
          <w:ilvl w:val="0"/>
          <w:numId w:val="56"/>
        </w:numPr>
        <w:ind w:hanging="720"/>
        <w:jc w:val="both"/>
        <w:rPr>
          <w:rFonts w:ascii="Arial" w:hAnsi="Arial" w:cs="Arial"/>
          <w:sz w:val="22"/>
          <w:szCs w:val="22"/>
        </w:rPr>
      </w:pPr>
      <w:r w:rsidRPr="007F762D">
        <w:rPr>
          <w:rFonts w:ascii="Arial" w:hAnsi="Arial" w:cs="Arial"/>
          <w:sz w:val="22"/>
          <w:szCs w:val="22"/>
        </w:rPr>
        <w:t xml:space="preserve">When subgrade drainage blanket is introduced within the project limits.  The Top of Subgrade in these situations should be at the bottom of sub-base layer (GAB) with Limit of Excavation being at the bottom of the subgrade drainage blanket. </w:t>
      </w:r>
    </w:p>
    <w:p w14:paraId="077260CF" w14:textId="0780B048" w:rsidR="001A15B9" w:rsidRDefault="00FC0A1E" w:rsidP="00172E64">
      <w:pPr>
        <w:numPr>
          <w:ilvl w:val="0"/>
          <w:numId w:val="56"/>
        </w:numPr>
        <w:ind w:hanging="720"/>
        <w:jc w:val="both"/>
        <w:rPr>
          <w:rFonts w:ascii="Arial" w:hAnsi="Arial" w:cs="Arial"/>
          <w:sz w:val="22"/>
          <w:szCs w:val="22"/>
        </w:rPr>
      </w:pPr>
      <w:r w:rsidRPr="007F762D">
        <w:rPr>
          <w:rFonts w:ascii="Arial" w:hAnsi="Arial" w:cs="Arial"/>
          <w:sz w:val="22"/>
          <w:szCs w:val="22"/>
        </w:rPr>
        <w:t>When specifying Capping Borrow as part of the pavement section.  The Top of Subgrade in these situations should be at the bottom of HMA base layer with Limit of Excavation being at the bottom of the 12</w:t>
      </w:r>
      <w:r w:rsidR="00861436">
        <w:rPr>
          <w:rFonts w:ascii="Arial" w:hAnsi="Arial" w:cs="Arial"/>
          <w:sz w:val="22"/>
          <w:szCs w:val="22"/>
        </w:rPr>
        <w:t>"</w:t>
      </w:r>
      <w:r w:rsidRPr="007F762D">
        <w:rPr>
          <w:rFonts w:ascii="Arial" w:hAnsi="Arial" w:cs="Arial"/>
          <w:sz w:val="22"/>
          <w:szCs w:val="22"/>
        </w:rPr>
        <w:t xml:space="preserve"> Capping Borrow layer. </w:t>
      </w:r>
    </w:p>
    <w:p w14:paraId="49F8AC3B" w14:textId="77777777" w:rsidR="00FC0A1E" w:rsidRPr="007F762D" w:rsidRDefault="00FC0A1E" w:rsidP="00BE3F24">
      <w:pPr>
        <w:jc w:val="both"/>
        <w:rPr>
          <w:rFonts w:ascii="Arial" w:hAnsi="Arial" w:cs="Arial"/>
          <w:sz w:val="22"/>
          <w:szCs w:val="22"/>
        </w:rPr>
      </w:pPr>
      <w:r w:rsidRPr="007F762D">
        <w:rPr>
          <w:rFonts w:ascii="Arial" w:hAnsi="Arial" w:cs="Arial"/>
          <w:sz w:val="22"/>
          <w:szCs w:val="22"/>
        </w:rPr>
        <w:br/>
        <w:t xml:space="preserve">Refer to </w:t>
      </w:r>
      <w:hyperlink w:anchor="_Earthwork_(Excavation)" w:history="1">
        <w:r w:rsidR="0073084F">
          <w:rPr>
            <w:rStyle w:val="Hyperlink"/>
            <w:rFonts w:ascii="Arial" w:hAnsi="Arial" w:cs="Arial"/>
            <w:sz w:val="22"/>
            <w:szCs w:val="22"/>
          </w:rPr>
          <w:t>Earthwork (Excavation)</w:t>
        </w:r>
      </w:hyperlink>
      <w:r w:rsidRPr="007F762D">
        <w:rPr>
          <w:rFonts w:ascii="Arial" w:hAnsi="Arial" w:cs="Arial"/>
          <w:sz w:val="22"/>
          <w:szCs w:val="22"/>
        </w:rPr>
        <w:t xml:space="preserve"> for further information on Top of Subgrade and Limit of Excavation.</w:t>
      </w:r>
    </w:p>
    <w:p w14:paraId="63F434C3" w14:textId="77777777" w:rsidR="00FC0A1E" w:rsidRDefault="00FC0A1E" w:rsidP="00172E64">
      <w:pPr>
        <w:pStyle w:val="Heading3"/>
        <w:numPr>
          <w:ilvl w:val="2"/>
          <w:numId w:val="184"/>
        </w:numPr>
        <w:ind w:left="0" w:firstLine="0"/>
      </w:pPr>
      <w:r>
        <w:t>Test/Proof Rolling Subgrade</w:t>
      </w:r>
    </w:p>
    <w:p w14:paraId="2A991B2C" w14:textId="5AAB2EE0" w:rsidR="00FC0A1E" w:rsidRPr="007F762D" w:rsidRDefault="00FC0A1E" w:rsidP="00BE3F24">
      <w:pPr>
        <w:jc w:val="both"/>
        <w:rPr>
          <w:rFonts w:ascii="Arial" w:hAnsi="Arial" w:cs="Arial"/>
          <w:sz w:val="22"/>
          <w:szCs w:val="22"/>
        </w:rPr>
      </w:pPr>
      <w:r w:rsidRPr="007F762D">
        <w:rPr>
          <w:rFonts w:ascii="Arial" w:hAnsi="Arial" w:cs="Arial"/>
          <w:sz w:val="22"/>
          <w:szCs w:val="22"/>
        </w:rPr>
        <w:t>Section 204 of the “Standard Specifications for Construction and Materials, July 2008” requires test/proof rolling of the subgrade after grading and compaction. Based on OMT experience, it is expected that a subgrade that passes test/proof rolling will have a resilient modulus of 4,500 psi.  Fine grained soils with a</w:t>
      </w:r>
      <w:r w:rsidR="00354BEA">
        <w:rPr>
          <w:rFonts w:ascii="Arial" w:hAnsi="Arial" w:cs="Arial"/>
          <w:sz w:val="22"/>
          <w:szCs w:val="22"/>
        </w:rPr>
        <w:t>n</w:t>
      </w:r>
      <w:r w:rsidRPr="007F762D">
        <w:rPr>
          <w:rFonts w:ascii="Arial" w:hAnsi="Arial" w:cs="Arial"/>
          <w:sz w:val="22"/>
          <w:szCs w:val="22"/>
        </w:rPr>
        <w:t xml:space="preserve"> </w:t>
      </w:r>
      <w:r w:rsidR="000F70D9">
        <w:rPr>
          <w:rFonts w:ascii="Arial" w:hAnsi="Arial" w:cs="Arial"/>
          <w:sz w:val="22"/>
          <w:szCs w:val="22"/>
        </w:rPr>
        <w:t xml:space="preserve">N value </w:t>
      </w:r>
      <w:r w:rsidRPr="007F762D">
        <w:rPr>
          <w:rFonts w:ascii="Arial" w:hAnsi="Arial" w:cs="Arial"/>
          <w:sz w:val="22"/>
          <w:szCs w:val="22"/>
        </w:rPr>
        <w:t>of less than 4 b</w:t>
      </w:r>
      <w:r w:rsidR="000F70D9">
        <w:rPr>
          <w:rFonts w:ascii="Arial" w:hAnsi="Arial" w:cs="Arial"/>
          <w:sz w:val="22"/>
          <w:szCs w:val="22"/>
        </w:rPr>
        <w:t xml:space="preserve">lows </w:t>
      </w:r>
      <w:r w:rsidRPr="007F762D">
        <w:rPr>
          <w:rFonts w:ascii="Arial" w:hAnsi="Arial" w:cs="Arial"/>
          <w:sz w:val="22"/>
          <w:szCs w:val="22"/>
        </w:rPr>
        <w:t>p</w:t>
      </w:r>
      <w:r w:rsidR="000F70D9">
        <w:rPr>
          <w:rFonts w:ascii="Arial" w:hAnsi="Arial" w:cs="Arial"/>
          <w:sz w:val="22"/>
          <w:szCs w:val="22"/>
        </w:rPr>
        <w:t xml:space="preserve">er </w:t>
      </w:r>
      <w:r w:rsidRPr="007F762D">
        <w:rPr>
          <w:rFonts w:ascii="Arial" w:hAnsi="Arial" w:cs="Arial"/>
          <w:sz w:val="22"/>
          <w:szCs w:val="22"/>
        </w:rPr>
        <w:t>f</w:t>
      </w:r>
      <w:r w:rsidR="000F70D9">
        <w:rPr>
          <w:rFonts w:ascii="Arial" w:hAnsi="Arial" w:cs="Arial"/>
          <w:sz w:val="22"/>
          <w:szCs w:val="22"/>
        </w:rPr>
        <w:t>oot</w:t>
      </w:r>
      <w:r w:rsidRPr="007F762D">
        <w:rPr>
          <w:rFonts w:ascii="Arial" w:hAnsi="Arial" w:cs="Arial"/>
          <w:sz w:val="22"/>
          <w:szCs w:val="22"/>
        </w:rPr>
        <w:t xml:space="preserve"> are likely to exhibit pumping when test/proof rolled. Localized soft spots identified by test/proof rolling and not accounted for during design will be stabilized</w:t>
      </w:r>
      <w:r w:rsidR="00861436">
        <w:rPr>
          <w:rFonts w:ascii="Arial" w:hAnsi="Arial" w:cs="Arial"/>
          <w:sz w:val="22"/>
          <w:szCs w:val="22"/>
        </w:rPr>
        <w:t>,</w:t>
      </w:r>
      <w:r w:rsidRPr="007F762D">
        <w:rPr>
          <w:rFonts w:ascii="Arial" w:hAnsi="Arial" w:cs="Arial"/>
          <w:sz w:val="22"/>
          <w:szCs w:val="22"/>
        </w:rPr>
        <w:t xml:space="preserve"> and grades will be restored before pavement sub-base layers are placed</w:t>
      </w:r>
      <w:r w:rsidR="00861436">
        <w:rPr>
          <w:rFonts w:ascii="Arial" w:hAnsi="Arial" w:cs="Arial"/>
          <w:sz w:val="22"/>
          <w:szCs w:val="22"/>
        </w:rPr>
        <w:t>,</w:t>
      </w:r>
      <w:r w:rsidRPr="007F762D">
        <w:rPr>
          <w:rFonts w:ascii="Arial" w:hAnsi="Arial" w:cs="Arial"/>
          <w:sz w:val="22"/>
          <w:szCs w:val="22"/>
        </w:rPr>
        <w:t xml:space="preserve"> resulting in an overrun of Class 1-A Excavation and backfill material. </w:t>
      </w:r>
    </w:p>
    <w:p w14:paraId="4EB423E7" w14:textId="77777777" w:rsidR="00FC0A1E" w:rsidRDefault="00FC0A1E" w:rsidP="00172E64">
      <w:pPr>
        <w:pStyle w:val="Heading3"/>
        <w:numPr>
          <w:ilvl w:val="2"/>
          <w:numId w:val="184"/>
        </w:numPr>
        <w:ind w:left="0" w:firstLine="0"/>
      </w:pPr>
      <w:r>
        <w:t xml:space="preserve">Subgrade </w:t>
      </w:r>
      <w:r w:rsidRPr="003B2855">
        <w:t>Stabilization</w:t>
      </w:r>
    </w:p>
    <w:p w14:paraId="6FD2223E" w14:textId="5B9211E0" w:rsidR="00FC0A1E" w:rsidRPr="007F762D" w:rsidRDefault="00FC0A1E" w:rsidP="00BE3F24">
      <w:pPr>
        <w:autoSpaceDE w:val="0"/>
        <w:autoSpaceDN w:val="0"/>
        <w:adjustRightInd w:val="0"/>
        <w:jc w:val="both"/>
        <w:rPr>
          <w:rFonts w:ascii="Arial" w:hAnsi="Arial" w:cs="Arial"/>
          <w:sz w:val="22"/>
          <w:szCs w:val="22"/>
        </w:rPr>
      </w:pPr>
      <w:r w:rsidRPr="007F762D">
        <w:rPr>
          <w:rFonts w:ascii="Arial" w:hAnsi="Arial" w:cs="Arial"/>
          <w:sz w:val="22"/>
          <w:szCs w:val="22"/>
        </w:rPr>
        <w:t xml:space="preserve">Soils </w:t>
      </w:r>
      <w:r w:rsidR="00861436" w:rsidRPr="007F762D">
        <w:rPr>
          <w:rFonts w:ascii="Arial" w:hAnsi="Arial" w:cs="Arial"/>
          <w:sz w:val="22"/>
          <w:szCs w:val="22"/>
        </w:rPr>
        <w:t>th</w:t>
      </w:r>
      <w:r w:rsidR="00861436">
        <w:rPr>
          <w:rFonts w:ascii="Arial" w:hAnsi="Arial" w:cs="Arial"/>
          <w:sz w:val="22"/>
          <w:szCs w:val="22"/>
        </w:rPr>
        <w:t>at</w:t>
      </w:r>
      <w:r w:rsidR="00861436" w:rsidRPr="007F762D">
        <w:rPr>
          <w:rFonts w:ascii="Arial" w:hAnsi="Arial" w:cs="Arial"/>
          <w:sz w:val="22"/>
          <w:szCs w:val="22"/>
        </w:rPr>
        <w:t xml:space="preserve"> </w:t>
      </w:r>
      <w:r w:rsidRPr="007F762D">
        <w:rPr>
          <w:rFonts w:ascii="Arial" w:hAnsi="Arial" w:cs="Arial"/>
          <w:sz w:val="22"/>
          <w:szCs w:val="22"/>
        </w:rPr>
        <w:t xml:space="preserve">are highly susceptible to volume and strength changes may cause severe roughness and accelerate the deterioration of the pavement structure in the form of increased cracking and decreased ride quality when combined with truck traffic. Generally, the stiffness (in terms of resilient modulus) of some soils is highly dependent on moisture and stress state. In some cases, the subgrade soil can be treated with various materials </w:t>
      </w:r>
      <w:r w:rsidRPr="007F762D">
        <w:rPr>
          <w:rFonts w:ascii="Arial" w:hAnsi="Arial" w:cs="Arial"/>
          <w:sz w:val="22"/>
          <w:szCs w:val="22"/>
        </w:rPr>
        <w:lastRenderedPageBreak/>
        <w:t xml:space="preserve">to improve the strength and stiffness characteristics of the soil. Stabilization of soils is usually performed for three reasons: </w:t>
      </w:r>
    </w:p>
    <w:p w14:paraId="6B788FBE" w14:textId="77777777" w:rsidR="00FC0A1E" w:rsidRPr="007F762D" w:rsidRDefault="00FC0A1E" w:rsidP="00BE3F24">
      <w:pPr>
        <w:autoSpaceDE w:val="0"/>
        <w:autoSpaceDN w:val="0"/>
        <w:adjustRightInd w:val="0"/>
        <w:jc w:val="both"/>
        <w:rPr>
          <w:rFonts w:ascii="Arial" w:hAnsi="Arial" w:cs="Arial"/>
          <w:sz w:val="22"/>
          <w:szCs w:val="22"/>
        </w:rPr>
      </w:pPr>
    </w:p>
    <w:p w14:paraId="0B2F6988" w14:textId="6EF75CB2" w:rsidR="001A15B9" w:rsidRDefault="00FC0A1E" w:rsidP="00172E64">
      <w:pPr>
        <w:numPr>
          <w:ilvl w:val="0"/>
          <w:numId w:val="57"/>
        </w:numPr>
        <w:autoSpaceDE w:val="0"/>
        <w:autoSpaceDN w:val="0"/>
        <w:adjustRightInd w:val="0"/>
        <w:ind w:hanging="720"/>
        <w:jc w:val="both"/>
        <w:rPr>
          <w:rFonts w:ascii="Arial" w:hAnsi="Arial" w:cs="Arial"/>
          <w:sz w:val="22"/>
          <w:szCs w:val="22"/>
        </w:rPr>
      </w:pPr>
      <w:r w:rsidRPr="007F762D">
        <w:rPr>
          <w:rFonts w:ascii="Arial" w:hAnsi="Arial" w:cs="Arial"/>
          <w:sz w:val="22"/>
          <w:szCs w:val="22"/>
        </w:rPr>
        <w:t>As a construction platform to dry very wet soils and facilitate compaction of the upper layers</w:t>
      </w:r>
      <w:r w:rsidR="00861436">
        <w:rPr>
          <w:rFonts w:ascii="Arial" w:hAnsi="Arial" w:cs="Arial"/>
          <w:sz w:val="22"/>
          <w:szCs w:val="22"/>
        </w:rPr>
        <w:t xml:space="preserve"> – </w:t>
      </w:r>
      <w:r w:rsidRPr="007F762D">
        <w:rPr>
          <w:rFonts w:ascii="Arial" w:hAnsi="Arial" w:cs="Arial"/>
          <w:sz w:val="22"/>
          <w:szCs w:val="22"/>
        </w:rPr>
        <w:t>for this case, the modified</w:t>
      </w:r>
      <w:r w:rsidRPr="007F762D">
        <w:rPr>
          <w:rFonts w:ascii="Arial" w:hAnsi="Arial" w:cs="Arial"/>
          <w:i/>
          <w:iCs/>
          <w:sz w:val="22"/>
          <w:szCs w:val="22"/>
        </w:rPr>
        <w:t xml:space="preserve"> </w:t>
      </w:r>
      <w:r w:rsidRPr="007F762D">
        <w:rPr>
          <w:rFonts w:ascii="Arial" w:hAnsi="Arial" w:cs="Arial"/>
          <w:sz w:val="22"/>
          <w:szCs w:val="22"/>
        </w:rPr>
        <w:t>soil is usually not considered as a structural layer in the pavement design process.</w:t>
      </w:r>
    </w:p>
    <w:p w14:paraId="34F04379" w14:textId="22AC1A41" w:rsidR="001A15B9" w:rsidRDefault="00FC0A1E" w:rsidP="00172E64">
      <w:pPr>
        <w:numPr>
          <w:ilvl w:val="0"/>
          <w:numId w:val="57"/>
        </w:numPr>
        <w:autoSpaceDE w:val="0"/>
        <w:autoSpaceDN w:val="0"/>
        <w:adjustRightInd w:val="0"/>
        <w:ind w:hanging="720"/>
        <w:jc w:val="both"/>
        <w:rPr>
          <w:rFonts w:ascii="Arial" w:hAnsi="Arial" w:cs="Arial"/>
          <w:sz w:val="22"/>
          <w:szCs w:val="22"/>
        </w:rPr>
      </w:pPr>
      <w:r w:rsidRPr="007F762D">
        <w:rPr>
          <w:rFonts w:ascii="Arial" w:hAnsi="Arial" w:cs="Arial"/>
          <w:sz w:val="22"/>
          <w:szCs w:val="22"/>
        </w:rPr>
        <w:t>To strengthen a weak soil and restrict the volume change potential of a highly plastic or compressible soil</w:t>
      </w:r>
      <w:r w:rsidR="0027598C">
        <w:rPr>
          <w:rFonts w:ascii="Arial" w:hAnsi="Arial" w:cs="Arial"/>
          <w:sz w:val="22"/>
          <w:szCs w:val="22"/>
        </w:rPr>
        <w:t xml:space="preserve"> – </w:t>
      </w:r>
      <w:r w:rsidRPr="007F762D">
        <w:rPr>
          <w:rFonts w:ascii="Arial" w:hAnsi="Arial" w:cs="Arial"/>
          <w:sz w:val="22"/>
          <w:szCs w:val="22"/>
        </w:rPr>
        <w:t>for this case, the stabilized</w:t>
      </w:r>
      <w:r w:rsidRPr="007F762D">
        <w:rPr>
          <w:rFonts w:ascii="Arial" w:hAnsi="Arial" w:cs="Arial"/>
          <w:i/>
          <w:iCs/>
          <w:sz w:val="22"/>
          <w:szCs w:val="22"/>
        </w:rPr>
        <w:t xml:space="preserve"> </w:t>
      </w:r>
      <w:r w:rsidRPr="007F762D">
        <w:rPr>
          <w:rFonts w:ascii="Arial" w:hAnsi="Arial" w:cs="Arial"/>
          <w:sz w:val="22"/>
          <w:szCs w:val="22"/>
        </w:rPr>
        <w:t>soil is usually given some structural value or credit in the pavement design process.</w:t>
      </w:r>
    </w:p>
    <w:p w14:paraId="00595439" w14:textId="77777777" w:rsidR="001A15B9" w:rsidRDefault="00FC0A1E" w:rsidP="00172E64">
      <w:pPr>
        <w:numPr>
          <w:ilvl w:val="0"/>
          <w:numId w:val="57"/>
        </w:numPr>
        <w:ind w:hanging="720"/>
        <w:jc w:val="both"/>
        <w:rPr>
          <w:rFonts w:ascii="Arial" w:hAnsi="Arial" w:cs="Arial"/>
          <w:sz w:val="22"/>
          <w:szCs w:val="22"/>
        </w:rPr>
      </w:pPr>
      <w:r w:rsidRPr="007F762D">
        <w:rPr>
          <w:rFonts w:ascii="Arial" w:hAnsi="Arial" w:cs="Arial"/>
          <w:sz w:val="22"/>
          <w:szCs w:val="22"/>
        </w:rPr>
        <w:t>To reduce moisture susceptibility of fine grain soils.</w:t>
      </w:r>
    </w:p>
    <w:p w14:paraId="7E00CB52" w14:textId="77777777" w:rsidR="00FC0A1E" w:rsidRPr="007F762D" w:rsidRDefault="00FC0A1E" w:rsidP="00BE3F24">
      <w:pPr>
        <w:jc w:val="both"/>
        <w:rPr>
          <w:sz w:val="22"/>
          <w:szCs w:val="22"/>
        </w:rPr>
      </w:pPr>
    </w:p>
    <w:p w14:paraId="7F8506F7" w14:textId="3F77FBF7" w:rsidR="00FC0A1E" w:rsidRPr="007F762D" w:rsidRDefault="00FC0A1E" w:rsidP="00BE3F24">
      <w:pPr>
        <w:autoSpaceDE w:val="0"/>
        <w:autoSpaceDN w:val="0"/>
        <w:adjustRightInd w:val="0"/>
        <w:jc w:val="both"/>
        <w:rPr>
          <w:rFonts w:ascii="Arial" w:hAnsi="Arial" w:cs="Arial"/>
          <w:sz w:val="22"/>
          <w:szCs w:val="22"/>
        </w:rPr>
      </w:pPr>
      <w:r w:rsidRPr="007F762D">
        <w:rPr>
          <w:rFonts w:ascii="Arial" w:hAnsi="Arial" w:cs="Arial"/>
          <w:sz w:val="22"/>
          <w:szCs w:val="22"/>
        </w:rPr>
        <w:t xml:space="preserve">A summary of the stabilization methods most commonly used in pavements, the types of soils for which they are most appropriate, and their intended effects on soil properties is presented in </w:t>
      </w:r>
      <w:r w:rsidR="0027598C">
        <w:rPr>
          <w:rFonts w:ascii="Arial" w:hAnsi="Arial" w:cs="Arial"/>
          <w:sz w:val="22"/>
          <w:szCs w:val="22"/>
        </w:rPr>
        <w:t>the t</w:t>
      </w:r>
      <w:r w:rsidRPr="007F762D">
        <w:rPr>
          <w:rFonts w:ascii="Arial" w:hAnsi="Arial" w:cs="Arial"/>
          <w:sz w:val="22"/>
          <w:szCs w:val="22"/>
        </w:rPr>
        <w:t>able below:</w:t>
      </w:r>
    </w:p>
    <w:p w14:paraId="2D693BD3" w14:textId="77777777" w:rsidR="00FC0A1E" w:rsidRPr="007F762D" w:rsidRDefault="00FC0A1E" w:rsidP="00BE3F24">
      <w:pPr>
        <w:autoSpaceDE w:val="0"/>
        <w:autoSpaceDN w:val="0"/>
        <w:adjustRightInd w:val="0"/>
        <w:jc w:val="both"/>
        <w:rPr>
          <w:rFonts w:ascii="Arial" w:hAnsi="Arial" w:cs="Arial"/>
          <w:sz w:val="22"/>
          <w:szCs w:val="22"/>
        </w:rPr>
      </w:pPr>
    </w:p>
    <w:tbl>
      <w:tblPr>
        <w:tblW w:w="87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065"/>
        <w:gridCol w:w="1620"/>
        <w:gridCol w:w="2610"/>
        <w:gridCol w:w="2430"/>
      </w:tblGrid>
      <w:tr w:rsidR="00FC0A1E" w:rsidRPr="007F762D" w14:paraId="233AEA29" w14:textId="77777777" w:rsidTr="008810D7">
        <w:trPr>
          <w:cantSplit/>
          <w:tblHeader/>
          <w:jc w:val="center"/>
        </w:trPr>
        <w:tc>
          <w:tcPr>
            <w:tcW w:w="2065" w:type="dxa"/>
            <w:shd w:val="pct15" w:color="auto" w:fill="auto"/>
            <w:vAlign w:val="center"/>
          </w:tcPr>
          <w:p w14:paraId="3928DE80" w14:textId="77777777" w:rsidR="00FC0A1E" w:rsidRPr="007F762D" w:rsidRDefault="00FC0A1E" w:rsidP="0027598C">
            <w:pPr>
              <w:jc w:val="center"/>
              <w:rPr>
                <w:rFonts w:ascii="Arial" w:hAnsi="Arial" w:cs="Arial"/>
                <w:sz w:val="22"/>
                <w:szCs w:val="22"/>
              </w:rPr>
            </w:pPr>
            <w:r w:rsidRPr="007F762D">
              <w:rPr>
                <w:rFonts w:ascii="Arial" w:hAnsi="Arial" w:cs="Arial"/>
                <w:b/>
                <w:bCs/>
                <w:sz w:val="22"/>
                <w:szCs w:val="22"/>
              </w:rPr>
              <w:t>Stabilization Method</w:t>
            </w:r>
          </w:p>
        </w:tc>
        <w:tc>
          <w:tcPr>
            <w:tcW w:w="1620" w:type="dxa"/>
            <w:shd w:val="pct15" w:color="auto" w:fill="auto"/>
            <w:vAlign w:val="center"/>
          </w:tcPr>
          <w:p w14:paraId="6FECADF6" w14:textId="77777777" w:rsidR="00FC0A1E" w:rsidRPr="007F762D" w:rsidRDefault="00FC0A1E" w:rsidP="0027598C">
            <w:pPr>
              <w:jc w:val="center"/>
              <w:rPr>
                <w:rFonts w:ascii="Arial" w:hAnsi="Arial" w:cs="Arial"/>
                <w:sz w:val="22"/>
                <w:szCs w:val="22"/>
              </w:rPr>
            </w:pPr>
            <w:r w:rsidRPr="007F762D">
              <w:rPr>
                <w:rFonts w:ascii="Arial" w:hAnsi="Arial" w:cs="Arial"/>
                <w:b/>
                <w:bCs/>
                <w:sz w:val="22"/>
                <w:szCs w:val="22"/>
              </w:rPr>
              <w:t>Soil Type</w:t>
            </w:r>
          </w:p>
        </w:tc>
        <w:tc>
          <w:tcPr>
            <w:tcW w:w="2610" w:type="dxa"/>
            <w:shd w:val="pct15" w:color="auto" w:fill="auto"/>
            <w:vAlign w:val="center"/>
          </w:tcPr>
          <w:p w14:paraId="65DAB1EC" w14:textId="77777777" w:rsidR="00FC0A1E" w:rsidRPr="007F762D" w:rsidRDefault="00FC0A1E" w:rsidP="0027598C">
            <w:pPr>
              <w:jc w:val="center"/>
              <w:rPr>
                <w:rFonts w:ascii="Arial" w:hAnsi="Arial" w:cs="Arial"/>
                <w:sz w:val="22"/>
                <w:szCs w:val="22"/>
              </w:rPr>
            </w:pPr>
            <w:r w:rsidRPr="007F762D">
              <w:rPr>
                <w:rFonts w:ascii="Arial" w:hAnsi="Arial" w:cs="Arial"/>
                <w:b/>
                <w:bCs/>
                <w:sz w:val="22"/>
                <w:szCs w:val="22"/>
              </w:rPr>
              <w:t>Improvement</w:t>
            </w:r>
          </w:p>
        </w:tc>
        <w:tc>
          <w:tcPr>
            <w:tcW w:w="2430" w:type="dxa"/>
            <w:shd w:val="pct15" w:color="auto" w:fill="auto"/>
            <w:vAlign w:val="center"/>
          </w:tcPr>
          <w:p w14:paraId="11E898CF" w14:textId="77777777" w:rsidR="00FC0A1E" w:rsidRPr="007F762D" w:rsidRDefault="00FC0A1E" w:rsidP="0027598C">
            <w:pPr>
              <w:jc w:val="center"/>
              <w:rPr>
                <w:rFonts w:ascii="Arial" w:hAnsi="Arial" w:cs="Arial"/>
                <w:sz w:val="22"/>
                <w:szCs w:val="22"/>
              </w:rPr>
            </w:pPr>
            <w:r w:rsidRPr="007F762D">
              <w:rPr>
                <w:rFonts w:ascii="Arial" w:hAnsi="Arial" w:cs="Arial"/>
                <w:b/>
                <w:bCs/>
                <w:sz w:val="22"/>
                <w:szCs w:val="22"/>
              </w:rPr>
              <w:t>Remarks</w:t>
            </w:r>
          </w:p>
        </w:tc>
      </w:tr>
      <w:tr w:rsidR="00FC0A1E" w:rsidRPr="007F762D" w14:paraId="3B7990CA" w14:textId="77777777" w:rsidTr="008810D7">
        <w:trPr>
          <w:trHeight w:val="4355"/>
          <w:jc w:val="center"/>
        </w:trPr>
        <w:tc>
          <w:tcPr>
            <w:tcW w:w="2065" w:type="dxa"/>
          </w:tcPr>
          <w:p w14:paraId="2635D9C6" w14:textId="77777777" w:rsidR="00FC0A1E" w:rsidRPr="007F762D" w:rsidRDefault="00FC0A1E" w:rsidP="00BE3F24">
            <w:pPr>
              <w:autoSpaceDE w:val="0"/>
              <w:autoSpaceDN w:val="0"/>
              <w:adjustRightInd w:val="0"/>
              <w:jc w:val="center"/>
              <w:rPr>
                <w:rFonts w:ascii="Arial" w:hAnsi="Arial" w:cs="Arial"/>
                <w:b/>
                <w:bCs/>
                <w:i/>
                <w:iCs/>
                <w:sz w:val="22"/>
                <w:szCs w:val="22"/>
              </w:rPr>
            </w:pPr>
            <w:r w:rsidRPr="007F762D">
              <w:rPr>
                <w:rFonts w:ascii="Arial" w:hAnsi="Arial" w:cs="Arial"/>
                <w:b/>
                <w:bCs/>
                <w:i/>
                <w:iCs/>
                <w:sz w:val="22"/>
                <w:szCs w:val="22"/>
              </w:rPr>
              <w:t>Mechanical</w:t>
            </w:r>
          </w:p>
          <w:p w14:paraId="7AF04137" w14:textId="790A1017" w:rsidR="00FC0A1E" w:rsidRPr="007F762D" w:rsidRDefault="0027598C" w:rsidP="00BE3F24">
            <w:pPr>
              <w:autoSpaceDE w:val="0"/>
              <w:autoSpaceDN w:val="0"/>
              <w:adjustRightInd w:val="0"/>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More Gravel</w:t>
            </w:r>
          </w:p>
          <w:p w14:paraId="6E02D556" w14:textId="77777777" w:rsidR="00FC0A1E" w:rsidRPr="007F762D" w:rsidRDefault="00FC0A1E" w:rsidP="00BE3F24">
            <w:pPr>
              <w:autoSpaceDE w:val="0"/>
              <w:autoSpaceDN w:val="0"/>
              <w:adjustRightInd w:val="0"/>
              <w:rPr>
                <w:rFonts w:ascii="Arial" w:hAnsi="Arial" w:cs="Arial"/>
                <w:sz w:val="22"/>
                <w:szCs w:val="22"/>
              </w:rPr>
            </w:pPr>
          </w:p>
          <w:p w14:paraId="7DBF35E8" w14:textId="77777777" w:rsidR="00FC0A1E" w:rsidRPr="007F762D" w:rsidRDefault="00FC0A1E" w:rsidP="00BE3F24">
            <w:pPr>
              <w:autoSpaceDE w:val="0"/>
              <w:autoSpaceDN w:val="0"/>
              <w:adjustRightInd w:val="0"/>
              <w:rPr>
                <w:rFonts w:ascii="Arial" w:hAnsi="Arial" w:cs="Arial"/>
                <w:sz w:val="22"/>
                <w:szCs w:val="22"/>
              </w:rPr>
            </w:pPr>
          </w:p>
          <w:p w14:paraId="2B83F440" w14:textId="121828A3" w:rsidR="00FC0A1E" w:rsidRPr="007F762D" w:rsidRDefault="0027598C" w:rsidP="00BE3F24">
            <w:pPr>
              <w:autoSpaceDE w:val="0"/>
              <w:autoSpaceDN w:val="0"/>
              <w:adjustRightInd w:val="0"/>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Blending</w:t>
            </w:r>
          </w:p>
          <w:p w14:paraId="003E158B" w14:textId="77777777" w:rsidR="00FC0A1E" w:rsidRPr="007F762D" w:rsidRDefault="00FC0A1E" w:rsidP="00BE3F24">
            <w:pPr>
              <w:autoSpaceDE w:val="0"/>
              <w:autoSpaceDN w:val="0"/>
              <w:adjustRightInd w:val="0"/>
              <w:rPr>
                <w:rFonts w:ascii="Arial" w:hAnsi="Arial" w:cs="Arial"/>
                <w:sz w:val="22"/>
                <w:szCs w:val="22"/>
              </w:rPr>
            </w:pPr>
          </w:p>
          <w:p w14:paraId="68CD2440" w14:textId="77777777" w:rsidR="00FC0A1E" w:rsidRPr="007F762D" w:rsidRDefault="00FC0A1E" w:rsidP="00BE3F24">
            <w:pPr>
              <w:autoSpaceDE w:val="0"/>
              <w:autoSpaceDN w:val="0"/>
              <w:adjustRightInd w:val="0"/>
              <w:rPr>
                <w:rFonts w:ascii="Arial" w:hAnsi="Arial" w:cs="Arial"/>
                <w:sz w:val="22"/>
                <w:szCs w:val="22"/>
              </w:rPr>
            </w:pPr>
          </w:p>
          <w:p w14:paraId="20F49248" w14:textId="77777777" w:rsidR="00FC0A1E" w:rsidRPr="007F762D" w:rsidRDefault="00FC0A1E" w:rsidP="00BE3F24">
            <w:pPr>
              <w:autoSpaceDE w:val="0"/>
              <w:autoSpaceDN w:val="0"/>
              <w:adjustRightInd w:val="0"/>
              <w:rPr>
                <w:rFonts w:ascii="Arial" w:hAnsi="Arial" w:cs="Arial"/>
                <w:sz w:val="22"/>
                <w:szCs w:val="22"/>
              </w:rPr>
            </w:pPr>
          </w:p>
          <w:p w14:paraId="619C8CA7" w14:textId="77777777" w:rsidR="00FC0A1E" w:rsidRPr="007F762D" w:rsidRDefault="00FC0A1E" w:rsidP="00BE3F24">
            <w:pPr>
              <w:autoSpaceDE w:val="0"/>
              <w:autoSpaceDN w:val="0"/>
              <w:adjustRightInd w:val="0"/>
              <w:rPr>
                <w:rFonts w:ascii="Arial" w:hAnsi="Arial" w:cs="Arial"/>
                <w:sz w:val="22"/>
                <w:szCs w:val="22"/>
              </w:rPr>
            </w:pPr>
          </w:p>
          <w:p w14:paraId="4DCCBADC" w14:textId="43DBA671" w:rsidR="00FC0A1E" w:rsidRPr="007F762D" w:rsidRDefault="0027598C" w:rsidP="00BE3F24">
            <w:pPr>
              <w:autoSpaceDE w:val="0"/>
              <w:autoSpaceDN w:val="0"/>
              <w:adjustRightInd w:val="0"/>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Geosynthetics</w:t>
            </w:r>
          </w:p>
          <w:p w14:paraId="42295BBE" w14:textId="77777777" w:rsidR="00FC0A1E" w:rsidRPr="007F762D" w:rsidRDefault="00FC0A1E" w:rsidP="00BE3F24">
            <w:pPr>
              <w:autoSpaceDE w:val="0"/>
              <w:autoSpaceDN w:val="0"/>
              <w:adjustRightInd w:val="0"/>
              <w:rPr>
                <w:rFonts w:ascii="Arial" w:hAnsi="Arial" w:cs="Arial"/>
                <w:sz w:val="22"/>
                <w:szCs w:val="22"/>
              </w:rPr>
            </w:pPr>
          </w:p>
          <w:p w14:paraId="47B16F59" w14:textId="77777777" w:rsidR="00FC0A1E" w:rsidRPr="007F762D" w:rsidRDefault="00FC0A1E" w:rsidP="00BE3F24">
            <w:pPr>
              <w:autoSpaceDE w:val="0"/>
              <w:autoSpaceDN w:val="0"/>
              <w:adjustRightInd w:val="0"/>
              <w:rPr>
                <w:rFonts w:ascii="Arial" w:hAnsi="Arial" w:cs="Arial"/>
                <w:sz w:val="22"/>
                <w:szCs w:val="22"/>
              </w:rPr>
            </w:pPr>
          </w:p>
          <w:p w14:paraId="7D0995AD" w14:textId="77777777" w:rsidR="00FC0A1E" w:rsidRPr="007F762D" w:rsidRDefault="00FC0A1E" w:rsidP="00BE3F24">
            <w:pPr>
              <w:autoSpaceDE w:val="0"/>
              <w:autoSpaceDN w:val="0"/>
              <w:adjustRightInd w:val="0"/>
              <w:rPr>
                <w:rFonts w:ascii="Arial" w:hAnsi="Arial" w:cs="Arial"/>
                <w:sz w:val="22"/>
                <w:szCs w:val="22"/>
              </w:rPr>
            </w:pPr>
          </w:p>
          <w:p w14:paraId="73C000B6" w14:textId="77777777" w:rsidR="00FC0A1E" w:rsidRPr="007F762D" w:rsidRDefault="00FC0A1E" w:rsidP="00BE3F24">
            <w:pPr>
              <w:autoSpaceDE w:val="0"/>
              <w:autoSpaceDN w:val="0"/>
              <w:adjustRightInd w:val="0"/>
              <w:rPr>
                <w:rFonts w:ascii="Arial" w:hAnsi="Arial" w:cs="Arial"/>
                <w:sz w:val="22"/>
                <w:szCs w:val="22"/>
              </w:rPr>
            </w:pPr>
          </w:p>
          <w:p w14:paraId="27E8317E" w14:textId="5C8D23DA" w:rsidR="00FC0A1E" w:rsidRPr="007F762D" w:rsidRDefault="0027598C" w:rsidP="00BE3F24">
            <w:pPr>
              <w:autoSpaceDE w:val="0"/>
              <w:autoSpaceDN w:val="0"/>
              <w:adjustRightInd w:val="0"/>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Lightweight fill</w:t>
            </w:r>
          </w:p>
          <w:p w14:paraId="11BF6D7E" w14:textId="77777777" w:rsidR="00FC0A1E" w:rsidRPr="007F762D" w:rsidRDefault="00FC0A1E" w:rsidP="00BE3F24">
            <w:pPr>
              <w:rPr>
                <w:rFonts w:ascii="Arial" w:hAnsi="Arial" w:cs="Arial"/>
                <w:sz w:val="22"/>
                <w:szCs w:val="22"/>
              </w:rPr>
            </w:pPr>
          </w:p>
        </w:tc>
        <w:tc>
          <w:tcPr>
            <w:tcW w:w="1620" w:type="dxa"/>
          </w:tcPr>
          <w:p w14:paraId="77D82F85" w14:textId="77777777" w:rsidR="00FC0A1E" w:rsidRPr="007F762D" w:rsidRDefault="00FC0A1E" w:rsidP="00BE3F24">
            <w:pPr>
              <w:rPr>
                <w:rFonts w:ascii="Arial" w:hAnsi="Arial" w:cs="Arial"/>
                <w:sz w:val="22"/>
                <w:szCs w:val="22"/>
              </w:rPr>
            </w:pPr>
          </w:p>
          <w:p w14:paraId="3BA3FCB9" w14:textId="77777777" w:rsidR="00FC0A1E" w:rsidRPr="007F762D" w:rsidRDefault="00FC0A1E" w:rsidP="00BE3F24">
            <w:pPr>
              <w:rPr>
                <w:rFonts w:ascii="Arial" w:hAnsi="Arial" w:cs="Arial"/>
                <w:sz w:val="22"/>
                <w:szCs w:val="22"/>
              </w:rPr>
            </w:pPr>
            <w:r w:rsidRPr="007F762D">
              <w:rPr>
                <w:rFonts w:ascii="Arial" w:hAnsi="Arial" w:cs="Arial"/>
                <w:sz w:val="22"/>
                <w:szCs w:val="22"/>
              </w:rPr>
              <w:t>Silts and Clays</w:t>
            </w:r>
          </w:p>
          <w:p w14:paraId="1D232558" w14:textId="77777777" w:rsidR="00FC0A1E" w:rsidRDefault="00FC0A1E" w:rsidP="00BE3F24">
            <w:pPr>
              <w:autoSpaceDE w:val="0"/>
              <w:autoSpaceDN w:val="0"/>
              <w:adjustRightInd w:val="0"/>
              <w:rPr>
                <w:rFonts w:ascii="Arial" w:hAnsi="Arial" w:cs="Arial"/>
                <w:sz w:val="22"/>
                <w:szCs w:val="22"/>
              </w:rPr>
            </w:pPr>
          </w:p>
          <w:p w14:paraId="685C562A"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Moderately plastic</w:t>
            </w:r>
          </w:p>
          <w:p w14:paraId="3962881D" w14:textId="77777777" w:rsidR="00FC0A1E" w:rsidRPr="007F762D" w:rsidRDefault="00FC0A1E" w:rsidP="00BE3F24">
            <w:pPr>
              <w:rPr>
                <w:rFonts w:ascii="Arial" w:hAnsi="Arial" w:cs="Arial"/>
                <w:sz w:val="22"/>
                <w:szCs w:val="22"/>
              </w:rPr>
            </w:pPr>
            <w:r w:rsidRPr="007F762D">
              <w:rPr>
                <w:rFonts w:ascii="Arial" w:hAnsi="Arial" w:cs="Arial"/>
                <w:sz w:val="22"/>
                <w:szCs w:val="22"/>
              </w:rPr>
              <w:t>Other</w:t>
            </w:r>
          </w:p>
          <w:p w14:paraId="140C87DF" w14:textId="77777777" w:rsidR="00FC0A1E" w:rsidRPr="007F762D" w:rsidRDefault="00FC0A1E" w:rsidP="00BE3F24">
            <w:pPr>
              <w:rPr>
                <w:rFonts w:ascii="Arial" w:hAnsi="Arial" w:cs="Arial"/>
                <w:sz w:val="22"/>
                <w:szCs w:val="22"/>
              </w:rPr>
            </w:pPr>
          </w:p>
          <w:p w14:paraId="3FC5267E" w14:textId="77777777" w:rsidR="00FC0A1E" w:rsidRPr="007F762D" w:rsidRDefault="00FC0A1E" w:rsidP="00BE3F24">
            <w:pPr>
              <w:rPr>
                <w:rFonts w:ascii="Arial" w:hAnsi="Arial" w:cs="Arial"/>
                <w:sz w:val="22"/>
                <w:szCs w:val="22"/>
              </w:rPr>
            </w:pPr>
          </w:p>
          <w:p w14:paraId="09627742" w14:textId="77777777" w:rsidR="00FC0A1E" w:rsidRPr="007F762D" w:rsidRDefault="00FC0A1E" w:rsidP="00BE3F24">
            <w:pPr>
              <w:rPr>
                <w:rFonts w:ascii="Arial" w:hAnsi="Arial" w:cs="Arial"/>
                <w:sz w:val="22"/>
                <w:szCs w:val="22"/>
              </w:rPr>
            </w:pPr>
            <w:r w:rsidRPr="007F762D">
              <w:rPr>
                <w:rFonts w:ascii="Arial" w:hAnsi="Arial" w:cs="Arial"/>
                <w:sz w:val="22"/>
                <w:szCs w:val="22"/>
              </w:rPr>
              <w:t>Silts and Clays</w:t>
            </w:r>
          </w:p>
          <w:p w14:paraId="2185DD65" w14:textId="77777777" w:rsidR="00FC0A1E" w:rsidRPr="007F762D" w:rsidRDefault="00FC0A1E" w:rsidP="00BE3F24">
            <w:pPr>
              <w:rPr>
                <w:rFonts w:ascii="Arial" w:hAnsi="Arial" w:cs="Arial"/>
                <w:sz w:val="22"/>
                <w:szCs w:val="22"/>
              </w:rPr>
            </w:pPr>
          </w:p>
          <w:p w14:paraId="278B2AEF" w14:textId="77777777" w:rsidR="00FC0A1E" w:rsidRDefault="00FC0A1E" w:rsidP="00BE3F24">
            <w:pPr>
              <w:rPr>
                <w:rFonts w:ascii="Arial" w:hAnsi="Arial" w:cs="Arial"/>
                <w:sz w:val="22"/>
                <w:szCs w:val="22"/>
              </w:rPr>
            </w:pPr>
          </w:p>
          <w:p w14:paraId="2375EC21" w14:textId="77777777" w:rsidR="00322805" w:rsidRPr="007F762D" w:rsidRDefault="00322805" w:rsidP="008810D7">
            <w:pPr>
              <w:rPr>
                <w:rFonts w:ascii="Arial" w:hAnsi="Arial" w:cs="Arial"/>
                <w:sz w:val="22"/>
                <w:szCs w:val="22"/>
              </w:rPr>
            </w:pPr>
          </w:p>
          <w:p w14:paraId="067C9F47" w14:textId="2DA54421"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Very weak silts,</w:t>
            </w:r>
            <w:r w:rsidR="0027598C">
              <w:rPr>
                <w:rFonts w:ascii="Arial" w:hAnsi="Arial" w:cs="Arial"/>
                <w:sz w:val="22"/>
                <w:szCs w:val="22"/>
              </w:rPr>
              <w:t xml:space="preserve"> </w:t>
            </w:r>
            <w:r w:rsidRPr="007F762D">
              <w:rPr>
                <w:rFonts w:ascii="Arial" w:hAnsi="Arial" w:cs="Arial"/>
                <w:sz w:val="22"/>
                <w:szCs w:val="22"/>
              </w:rPr>
              <w:t>clays, peats</w:t>
            </w:r>
          </w:p>
        </w:tc>
        <w:tc>
          <w:tcPr>
            <w:tcW w:w="2610" w:type="dxa"/>
          </w:tcPr>
          <w:p w14:paraId="75F722BC" w14:textId="77777777" w:rsidR="00FC0A1E" w:rsidRPr="007F762D" w:rsidRDefault="00FC0A1E" w:rsidP="00BE3F24">
            <w:pPr>
              <w:rPr>
                <w:rFonts w:ascii="Arial" w:hAnsi="Arial" w:cs="Arial"/>
                <w:sz w:val="22"/>
                <w:szCs w:val="22"/>
              </w:rPr>
            </w:pPr>
          </w:p>
          <w:p w14:paraId="24FC6C20" w14:textId="77777777" w:rsidR="00FC0A1E" w:rsidRPr="007F762D" w:rsidRDefault="00FC0A1E" w:rsidP="00BE3F24">
            <w:pPr>
              <w:rPr>
                <w:rFonts w:ascii="Arial" w:hAnsi="Arial" w:cs="Arial"/>
                <w:sz w:val="22"/>
                <w:szCs w:val="22"/>
              </w:rPr>
            </w:pPr>
            <w:r w:rsidRPr="007F762D">
              <w:rPr>
                <w:rFonts w:ascii="Arial" w:hAnsi="Arial" w:cs="Arial"/>
                <w:sz w:val="22"/>
                <w:szCs w:val="22"/>
              </w:rPr>
              <w:t>None</w:t>
            </w:r>
          </w:p>
          <w:p w14:paraId="02CCDBC6" w14:textId="77777777" w:rsidR="00FC0A1E" w:rsidRPr="007F762D" w:rsidRDefault="00FC0A1E" w:rsidP="00BE3F24">
            <w:pPr>
              <w:rPr>
                <w:rFonts w:ascii="Arial" w:hAnsi="Arial" w:cs="Arial"/>
                <w:sz w:val="22"/>
                <w:szCs w:val="22"/>
              </w:rPr>
            </w:pPr>
          </w:p>
          <w:p w14:paraId="0817EDBC" w14:textId="77777777" w:rsidR="00FC0A1E" w:rsidRPr="007F762D" w:rsidRDefault="00FC0A1E" w:rsidP="00BE3F24">
            <w:pPr>
              <w:autoSpaceDE w:val="0"/>
              <w:autoSpaceDN w:val="0"/>
              <w:adjustRightInd w:val="0"/>
              <w:rPr>
                <w:rFonts w:ascii="Arial" w:hAnsi="Arial" w:cs="Arial"/>
                <w:sz w:val="22"/>
                <w:szCs w:val="22"/>
              </w:rPr>
            </w:pPr>
          </w:p>
          <w:p w14:paraId="1907FE9F"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None</w:t>
            </w:r>
          </w:p>
          <w:p w14:paraId="62BFE282"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Improve gradation</w:t>
            </w:r>
          </w:p>
          <w:p w14:paraId="76616E20"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Reduce plasticity</w:t>
            </w:r>
          </w:p>
          <w:p w14:paraId="12CAC281" w14:textId="77777777" w:rsidR="00FC0A1E" w:rsidRPr="007F762D" w:rsidRDefault="00FC0A1E" w:rsidP="00BE3F24">
            <w:pPr>
              <w:rPr>
                <w:rFonts w:ascii="Arial" w:hAnsi="Arial" w:cs="Arial"/>
                <w:sz w:val="22"/>
                <w:szCs w:val="22"/>
              </w:rPr>
            </w:pPr>
            <w:r w:rsidRPr="007F762D">
              <w:rPr>
                <w:rFonts w:ascii="Arial" w:hAnsi="Arial" w:cs="Arial"/>
                <w:sz w:val="22"/>
                <w:szCs w:val="22"/>
              </w:rPr>
              <w:t>Reduce breakage</w:t>
            </w:r>
          </w:p>
          <w:p w14:paraId="07949287" w14:textId="77777777" w:rsidR="00FC0A1E" w:rsidRPr="007F762D" w:rsidRDefault="00FC0A1E" w:rsidP="00BE3F24">
            <w:pPr>
              <w:rPr>
                <w:rFonts w:ascii="Arial" w:hAnsi="Arial" w:cs="Arial"/>
                <w:sz w:val="22"/>
                <w:szCs w:val="22"/>
              </w:rPr>
            </w:pPr>
          </w:p>
          <w:p w14:paraId="4719706E" w14:textId="1CEB45AD"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Strength gain through</w:t>
            </w:r>
            <w:r w:rsidR="0027598C">
              <w:rPr>
                <w:rFonts w:ascii="Arial" w:hAnsi="Arial" w:cs="Arial"/>
                <w:sz w:val="22"/>
                <w:szCs w:val="22"/>
              </w:rPr>
              <w:t xml:space="preserve"> </w:t>
            </w:r>
            <w:r w:rsidR="00C63DE0">
              <w:rPr>
                <w:rFonts w:ascii="Arial" w:hAnsi="Arial" w:cs="Arial"/>
                <w:sz w:val="22"/>
                <w:szCs w:val="22"/>
              </w:rPr>
              <w:t>m</w:t>
            </w:r>
            <w:r w:rsidRPr="007F762D">
              <w:rPr>
                <w:rFonts w:ascii="Arial" w:hAnsi="Arial" w:cs="Arial"/>
                <w:sz w:val="22"/>
                <w:szCs w:val="22"/>
              </w:rPr>
              <w:t>inimum</w:t>
            </w:r>
            <w:r w:rsidR="0027598C">
              <w:rPr>
                <w:rFonts w:ascii="Arial" w:hAnsi="Arial" w:cs="Arial"/>
                <w:sz w:val="22"/>
                <w:szCs w:val="22"/>
              </w:rPr>
              <w:t xml:space="preserve"> </w:t>
            </w:r>
            <w:r w:rsidRPr="007F762D">
              <w:rPr>
                <w:rFonts w:ascii="Arial" w:hAnsi="Arial" w:cs="Arial"/>
                <w:sz w:val="22"/>
                <w:szCs w:val="22"/>
              </w:rPr>
              <w:t>disturbance and</w:t>
            </w:r>
            <w:r w:rsidR="0027598C">
              <w:rPr>
                <w:rFonts w:ascii="Arial" w:hAnsi="Arial" w:cs="Arial"/>
                <w:sz w:val="22"/>
                <w:szCs w:val="22"/>
              </w:rPr>
              <w:t xml:space="preserve"> </w:t>
            </w:r>
            <w:r w:rsidRPr="007F762D">
              <w:rPr>
                <w:rFonts w:ascii="Arial" w:hAnsi="Arial" w:cs="Arial"/>
                <w:sz w:val="22"/>
                <w:szCs w:val="22"/>
              </w:rPr>
              <w:t>consolidation</w:t>
            </w:r>
          </w:p>
          <w:p w14:paraId="78403A2B" w14:textId="77777777" w:rsidR="0027598C" w:rsidRDefault="0027598C" w:rsidP="008810D7">
            <w:pPr>
              <w:autoSpaceDE w:val="0"/>
              <w:autoSpaceDN w:val="0"/>
              <w:adjustRightInd w:val="0"/>
              <w:rPr>
                <w:rFonts w:ascii="Arial" w:hAnsi="Arial" w:cs="Arial"/>
                <w:sz w:val="22"/>
                <w:szCs w:val="22"/>
              </w:rPr>
            </w:pPr>
          </w:p>
          <w:p w14:paraId="77EF941A"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None</w:t>
            </w:r>
          </w:p>
          <w:p w14:paraId="680B0978" w14:textId="08DCCCE7"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Thermal barrier for frost</w:t>
            </w:r>
            <w:r w:rsidR="0027598C">
              <w:rPr>
                <w:rFonts w:ascii="Arial" w:hAnsi="Arial" w:cs="Arial"/>
                <w:sz w:val="22"/>
                <w:szCs w:val="22"/>
              </w:rPr>
              <w:t xml:space="preserve"> </w:t>
            </w:r>
            <w:r w:rsidRPr="007F762D">
              <w:rPr>
                <w:rFonts w:ascii="Arial" w:hAnsi="Arial" w:cs="Arial"/>
                <w:sz w:val="22"/>
                <w:szCs w:val="22"/>
              </w:rPr>
              <w:t>protection</w:t>
            </w:r>
          </w:p>
        </w:tc>
        <w:tc>
          <w:tcPr>
            <w:tcW w:w="2430" w:type="dxa"/>
          </w:tcPr>
          <w:p w14:paraId="0A7727D9" w14:textId="77777777" w:rsidR="00FC0A1E" w:rsidRPr="007F762D" w:rsidRDefault="00FC0A1E" w:rsidP="00BE3F24">
            <w:pPr>
              <w:rPr>
                <w:rFonts w:ascii="Arial" w:hAnsi="Arial" w:cs="Arial"/>
                <w:sz w:val="22"/>
                <w:szCs w:val="22"/>
              </w:rPr>
            </w:pPr>
          </w:p>
          <w:p w14:paraId="18406ED9"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Reduce dynamic stress level</w:t>
            </w:r>
          </w:p>
          <w:p w14:paraId="7AE94B74" w14:textId="77777777" w:rsidR="00FC0A1E" w:rsidRPr="007F762D" w:rsidRDefault="00FC0A1E" w:rsidP="00BE3F24">
            <w:pPr>
              <w:autoSpaceDE w:val="0"/>
              <w:autoSpaceDN w:val="0"/>
              <w:adjustRightInd w:val="0"/>
              <w:rPr>
                <w:rFonts w:ascii="Arial" w:hAnsi="Arial" w:cs="Arial"/>
                <w:sz w:val="22"/>
                <w:szCs w:val="22"/>
              </w:rPr>
            </w:pPr>
          </w:p>
          <w:p w14:paraId="63008C10"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Too difficult to mix</w:t>
            </w:r>
          </w:p>
          <w:p w14:paraId="270A2372" w14:textId="77777777" w:rsidR="00FC0A1E" w:rsidRPr="007F762D" w:rsidRDefault="00FC0A1E" w:rsidP="00BE3F24">
            <w:pPr>
              <w:rPr>
                <w:rFonts w:ascii="Arial" w:hAnsi="Arial" w:cs="Arial"/>
                <w:sz w:val="22"/>
                <w:szCs w:val="22"/>
              </w:rPr>
            </w:pPr>
          </w:p>
          <w:p w14:paraId="4AFE99E4" w14:textId="77777777" w:rsidR="00FC0A1E" w:rsidRPr="007F762D" w:rsidRDefault="00FC0A1E" w:rsidP="00BE3F24">
            <w:pPr>
              <w:rPr>
                <w:rFonts w:ascii="Arial" w:hAnsi="Arial" w:cs="Arial"/>
                <w:sz w:val="22"/>
                <w:szCs w:val="22"/>
              </w:rPr>
            </w:pPr>
          </w:p>
          <w:p w14:paraId="246292A0" w14:textId="77777777" w:rsidR="00FC0A1E" w:rsidRPr="007F762D" w:rsidRDefault="00FC0A1E" w:rsidP="00BE3F24">
            <w:pPr>
              <w:rPr>
                <w:rFonts w:ascii="Arial" w:hAnsi="Arial" w:cs="Arial"/>
                <w:sz w:val="22"/>
                <w:szCs w:val="22"/>
              </w:rPr>
            </w:pPr>
          </w:p>
          <w:p w14:paraId="749FD2F2" w14:textId="77777777" w:rsidR="00FC0A1E" w:rsidRPr="007F762D" w:rsidRDefault="00FC0A1E" w:rsidP="00BE3F24">
            <w:pPr>
              <w:rPr>
                <w:rFonts w:ascii="Arial" w:hAnsi="Arial" w:cs="Arial"/>
                <w:sz w:val="22"/>
                <w:szCs w:val="22"/>
              </w:rPr>
            </w:pPr>
          </w:p>
          <w:p w14:paraId="326C916A"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Fast, plus provides long-term separation</w:t>
            </w:r>
          </w:p>
          <w:p w14:paraId="0A1360F5" w14:textId="77777777" w:rsidR="00FC0A1E" w:rsidRPr="007F762D" w:rsidRDefault="00FC0A1E" w:rsidP="00BE3F24">
            <w:pPr>
              <w:rPr>
                <w:rFonts w:ascii="Arial" w:hAnsi="Arial" w:cs="Arial"/>
                <w:sz w:val="22"/>
                <w:szCs w:val="22"/>
              </w:rPr>
            </w:pPr>
          </w:p>
          <w:p w14:paraId="247B5B7E" w14:textId="77777777" w:rsidR="00FC0A1E" w:rsidRPr="007F762D" w:rsidRDefault="00FC0A1E" w:rsidP="00BE3F24">
            <w:pPr>
              <w:rPr>
                <w:rFonts w:ascii="Arial" w:hAnsi="Arial" w:cs="Arial"/>
                <w:sz w:val="22"/>
                <w:szCs w:val="22"/>
              </w:rPr>
            </w:pPr>
          </w:p>
          <w:p w14:paraId="3FB80858" w14:textId="77777777" w:rsidR="00B81EEA" w:rsidRDefault="00B81EEA" w:rsidP="0027598C">
            <w:pPr>
              <w:autoSpaceDE w:val="0"/>
              <w:autoSpaceDN w:val="0"/>
              <w:adjustRightInd w:val="0"/>
              <w:rPr>
                <w:rFonts w:ascii="Arial" w:hAnsi="Arial" w:cs="Arial"/>
                <w:sz w:val="22"/>
                <w:szCs w:val="22"/>
              </w:rPr>
            </w:pPr>
          </w:p>
          <w:p w14:paraId="797292E0" w14:textId="2B2B45CF"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Fast, and reduces</w:t>
            </w:r>
            <w:r w:rsidR="0027598C">
              <w:rPr>
                <w:rFonts w:ascii="Arial" w:hAnsi="Arial" w:cs="Arial"/>
                <w:sz w:val="22"/>
                <w:szCs w:val="22"/>
              </w:rPr>
              <w:t xml:space="preserve"> </w:t>
            </w:r>
            <w:r w:rsidRPr="007F762D">
              <w:rPr>
                <w:rFonts w:ascii="Arial" w:hAnsi="Arial" w:cs="Arial"/>
                <w:sz w:val="22"/>
                <w:szCs w:val="22"/>
              </w:rPr>
              <w:t>dynamic stress</w:t>
            </w:r>
            <w:r w:rsidR="0027598C">
              <w:rPr>
                <w:rFonts w:ascii="Arial" w:hAnsi="Arial" w:cs="Arial"/>
                <w:sz w:val="22"/>
                <w:szCs w:val="22"/>
              </w:rPr>
              <w:t xml:space="preserve"> </w:t>
            </w:r>
            <w:r w:rsidRPr="007F762D">
              <w:rPr>
                <w:rFonts w:ascii="Arial" w:hAnsi="Arial" w:cs="Arial"/>
                <w:sz w:val="22"/>
                <w:szCs w:val="22"/>
              </w:rPr>
              <w:t>level</w:t>
            </w:r>
          </w:p>
        </w:tc>
      </w:tr>
      <w:tr w:rsidR="00FC0A1E" w:rsidRPr="007F762D" w14:paraId="5A8F520A" w14:textId="77777777" w:rsidTr="008810D7">
        <w:trPr>
          <w:trHeight w:val="70"/>
          <w:jc w:val="center"/>
        </w:trPr>
        <w:tc>
          <w:tcPr>
            <w:tcW w:w="2065" w:type="dxa"/>
          </w:tcPr>
          <w:p w14:paraId="41B46123" w14:textId="25716CF7" w:rsidR="00FC0A1E" w:rsidRPr="007F762D" w:rsidRDefault="00FC0A1E" w:rsidP="00BE3F24">
            <w:pPr>
              <w:autoSpaceDE w:val="0"/>
              <w:autoSpaceDN w:val="0"/>
              <w:adjustRightInd w:val="0"/>
              <w:jc w:val="center"/>
              <w:rPr>
                <w:rFonts w:ascii="Arial" w:hAnsi="Arial" w:cs="Arial"/>
                <w:b/>
                <w:bCs/>
                <w:i/>
                <w:iCs/>
                <w:sz w:val="22"/>
                <w:szCs w:val="22"/>
              </w:rPr>
            </w:pPr>
            <w:r w:rsidRPr="007F762D">
              <w:rPr>
                <w:rFonts w:ascii="Arial" w:hAnsi="Arial" w:cs="Arial"/>
                <w:b/>
                <w:bCs/>
                <w:i/>
                <w:iCs/>
                <w:sz w:val="22"/>
                <w:szCs w:val="22"/>
              </w:rPr>
              <w:t>Admixture</w:t>
            </w:r>
          </w:p>
          <w:p w14:paraId="3FFF47B1" w14:textId="3621D4D7" w:rsidR="00FC0A1E" w:rsidRPr="007F762D" w:rsidRDefault="0027598C" w:rsidP="00BE3F24">
            <w:pPr>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Portland cement</w:t>
            </w:r>
          </w:p>
          <w:p w14:paraId="3F6E322F" w14:textId="77777777" w:rsidR="00FC0A1E" w:rsidRPr="007F762D" w:rsidRDefault="00FC0A1E" w:rsidP="00BE3F24">
            <w:pPr>
              <w:rPr>
                <w:rFonts w:ascii="Arial" w:hAnsi="Arial" w:cs="Arial"/>
                <w:sz w:val="22"/>
                <w:szCs w:val="22"/>
              </w:rPr>
            </w:pPr>
          </w:p>
          <w:p w14:paraId="01880999" w14:textId="77777777" w:rsidR="00FC0A1E" w:rsidRPr="007F762D" w:rsidRDefault="00FC0A1E" w:rsidP="00BE3F24">
            <w:pPr>
              <w:rPr>
                <w:rFonts w:ascii="Arial" w:hAnsi="Arial" w:cs="Arial"/>
                <w:sz w:val="22"/>
                <w:szCs w:val="22"/>
              </w:rPr>
            </w:pPr>
          </w:p>
          <w:p w14:paraId="5AE4E1DC" w14:textId="77777777" w:rsidR="00FC0A1E" w:rsidRPr="007F762D" w:rsidRDefault="00FC0A1E" w:rsidP="00BE3F24">
            <w:pPr>
              <w:rPr>
                <w:rFonts w:ascii="Arial" w:hAnsi="Arial" w:cs="Arial"/>
                <w:sz w:val="22"/>
                <w:szCs w:val="22"/>
              </w:rPr>
            </w:pPr>
          </w:p>
          <w:p w14:paraId="37AB9236" w14:textId="4AEF1040" w:rsidR="0027598C" w:rsidRDefault="0027598C" w:rsidP="00BE3F24">
            <w:pPr>
              <w:rPr>
                <w:rFonts w:ascii="Arial" w:hAnsi="Arial" w:cs="Arial"/>
                <w:sz w:val="22"/>
                <w:szCs w:val="22"/>
              </w:rPr>
            </w:pPr>
          </w:p>
          <w:p w14:paraId="19B9A65E" w14:textId="0E4231E6" w:rsidR="00FC0A1E" w:rsidRPr="007F762D" w:rsidRDefault="0027598C" w:rsidP="00BE3F24">
            <w:pPr>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Lime</w:t>
            </w:r>
          </w:p>
          <w:p w14:paraId="0230233E" w14:textId="77777777" w:rsidR="00FC0A1E" w:rsidRPr="007F762D" w:rsidRDefault="00FC0A1E" w:rsidP="00BE3F24">
            <w:pPr>
              <w:rPr>
                <w:rFonts w:ascii="Arial" w:hAnsi="Arial" w:cs="Arial"/>
                <w:sz w:val="22"/>
                <w:szCs w:val="22"/>
              </w:rPr>
            </w:pPr>
          </w:p>
          <w:p w14:paraId="0BC4B2C1" w14:textId="77777777" w:rsidR="00FC0A1E" w:rsidRPr="007F762D" w:rsidRDefault="00FC0A1E" w:rsidP="00BE3F24">
            <w:pPr>
              <w:rPr>
                <w:rFonts w:ascii="Arial" w:hAnsi="Arial" w:cs="Arial"/>
                <w:sz w:val="22"/>
                <w:szCs w:val="22"/>
              </w:rPr>
            </w:pPr>
          </w:p>
          <w:p w14:paraId="140A568F" w14:textId="77777777" w:rsidR="00FC0A1E" w:rsidRPr="007F762D" w:rsidRDefault="00FC0A1E" w:rsidP="00BE3F24">
            <w:pPr>
              <w:rPr>
                <w:rFonts w:ascii="Arial" w:hAnsi="Arial" w:cs="Arial"/>
                <w:sz w:val="22"/>
                <w:szCs w:val="22"/>
              </w:rPr>
            </w:pPr>
          </w:p>
          <w:p w14:paraId="6BA75825" w14:textId="77777777" w:rsidR="00FC0A1E" w:rsidRPr="007F762D" w:rsidRDefault="00FC0A1E" w:rsidP="00BE3F24">
            <w:pPr>
              <w:rPr>
                <w:rFonts w:ascii="Arial" w:hAnsi="Arial" w:cs="Arial"/>
                <w:sz w:val="22"/>
                <w:szCs w:val="22"/>
              </w:rPr>
            </w:pPr>
          </w:p>
          <w:p w14:paraId="0DED7AD8" w14:textId="77777777" w:rsidR="00FC0A1E" w:rsidRPr="007F762D" w:rsidRDefault="00FC0A1E" w:rsidP="00BE3F24">
            <w:pPr>
              <w:rPr>
                <w:rFonts w:ascii="Arial" w:hAnsi="Arial" w:cs="Arial"/>
                <w:sz w:val="22"/>
                <w:szCs w:val="22"/>
              </w:rPr>
            </w:pPr>
          </w:p>
          <w:p w14:paraId="6A8E61D8" w14:textId="77777777" w:rsidR="00FC0A1E" w:rsidRPr="007F762D" w:rsidRDefault="00FC0A1E" w:rsidP="00BE3F24">
            <w:pPr>
              <w:rPr>
                <w:rFonts w:ascii="Arial" w:hAnsi="Arial" w:cs="Arial"/>
                <w:sz w:val="22"/>
                <w:szCs w:val="22"/>
              </w:rPr>
            </w:pPr>
          </w:p>
          <w:p w14:paraId="734C9034" w14:textId="77777777" w:rsidR="00FC0A1E" w:rsidRPr="007F762D" w:rsidRDefault="00FC0A1E" w:rsidP="00BE3F24">
            <w:pPr>
              <w:rPr>
                <w:rFonts w:ascii="Arial" w:hAnsi="Arial" w:cs="Arial"/>
                <w:sz w:val="22"/>
                <w:szCs w:val="22"/>
              </w:rPr>
            </w:pPr>
          </w:p>
          <w:p w14:paraId="5B451AF1" w14:textId="77777777" w:rsidR="00FC0A1E" w:rsidRPr="007F762D" w:rsidRDefault="00FC0A1E" w:rsidP="00BE3F24">
            <w:pPr>
              <w:rPr>
                <w:rFonts w:ascii="Arial" w:hAnsi="Arial" w:cs="Arial"/>
                <w:sz w:val="22"/>
                <w:szCs w:val="22"/>
              </w:rPr>
            </w:pPr>
          </w:p>
          <w:p w14:paraId="052779BA" w14:textId="77777777" w:rsidR="00FC0A1E" w:rsidRPr="007F762D" w:rsidRDefault="00FC0A1E" w:rsidP="00BE3F24">
            <w:pPr>
              <w:rPr>
                <w:rFonts w:ascii="Arial" w:hAnsi="Arial" w:cs="Arial"/>
                <w:sz w:val="22"/>
                <w:szCs w:val="22"/>
              </w:rPr>
            </w:pPr>
          </w:p>
          <w:p w14:paraId="558145E9" w14:textId="504F406A" w:rsidR="007400F0" w:rsidRDefault="007400F0" w:rsidP="00BE3F24">
            <w:pPr>
              <w:autoSpaceDE w:val="0"/>
              <w:autoSpaceDN w:val="0"/>
              <w:adjustRightInd w:val="0"/>
              <w:rPr>
                <w:rFonts w:ascii="Arial" w:hAnsi="Arial" w:cs="Arial"/>
                <w:sz w:val="22"/>
                <w:szCs w:val="22"/>
              </w:rPr>
            </w:pPr>
          </w:p>
          <w:p w14:paraId="567596CE" w14:textId="09CBE9EC" w:rsidR="00FC0A1E" w:rsidRPr="007F762D" w:rsidRDefault="0027598C" w:rsidP="00BE3F24">
            <w:pPr>
              <w:autoSpaceDE w:val="0"/>
              <w:autoSpaceDN w:val="0"/>
              <w:adjustRightInd w:val="0"/>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Lime-fly</w:t>
            </w:r>
            <w:r w:rsidR="00DB4495">
              <w:rPr>
                <w:rFonts w:ascii="Arial" w:hAnsi="Arial" w:cs="Arial"/>
                <w:sz w:val="22"/>
                <w:szCs w:val="22"/>
              </w:rPr>
              <w:t xml:space="preserve"> </w:t>
            </w:r>
            <w:r w:rsidR="00FC0A1E" w:rsidRPr="007F762D">
              <w:rPr>
                <w:rFonts w:ascii="Arial" w:hAnsi="Arial" w:cs="Arial"/>
                <w:sz w:val="22"/>
                <w:szCs w:val="22"/>
              </w:rPr>
              <w:t>ash</w:t>
            </w:r>
            <w:r w:rsidR="00FC0A1E" w:rsidRPr="007F762D">
              <w:rPr>
                <w:rFonts w:ascii="Arial" w:hAnsi="Arial" w:cs="Arial"/>
                <w:sz w:val="22"/>
                <w:szCs w:val="22"/>
              </w:rPr>
              <w:br/>
            </w:r>
          </w:p>
          <w:p w14:paraId="78274C8D" w14:textId="2EF12128" w:rsidR="00FC0A1E" w:rsidRPr="007F762D" w:rsidRDefault="0027598C" w:rsidP="00BE3F24">
            <w:pPr>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Lime-cement-fly</w:t>
            </w:r>
            <w:r w:rsidR="00DB4495">
              <w:rPr>
                <w:rFonts w:ascii="Arial" w:hAnsi="Arial" w:cs="Arial"/>
                <w:sz w:val="22"/>
                <w:szCs w:val="22"/>
              </w:rPr>
              <w:t xml:space="preserve"> </w:t>
            </w:r>
            <w:r w:rsidR="00FC0A1E" w:rsidRPr="007F762D">
              <w:rPr>
                <w:rFonts w:ascii="Arial" w:hAnsi="Arial" w:cs="Arial"/>
                <w:sz w:val="22"/>
                <w:szCs w:val="22"/>
              </w:rPr>
              <w:t>ash</w:t>
            </w:r>
          </w:p>
          <w:p w14:paraId="16B0B6C2" w14:textId="77777777" w:rsidR="00FC0A1E" w:rsidRPr="007F762D" w:rsidRDefault="00FC0A1E" w:rsidP="00BE3F24">
            <w:pPr>
              <w:rPr>
                <w:rFonts w:ascii="Arial" w:hAnsi="Arial" w:cs="Arial"/>
                <w:sz w:val="22"/>
                <w:szCs w:val="22"/>
              </w:rPr>
            </w:pPr>
          </w:p>
          <w:p w14:paraId="145FFBEF" w14:textId="7391C149" w:rsidR="00FC0A1E" w:rsidRPr="007F762D" w:rsidRDefault="0027598C" w:rsidP="00BE3F24">
            <w:pPr>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Bituminous</w:t>
            </w:r>
          </w:p>
          <w:p w14:paraId="4150AFEE" w14:textId="77777777" w:rsidR="00FC0A1E" w:rsidRPr="007F762D" w:rsidRDefault="00FC0A1E" w:rsidP="00BE3F24">
            <w:pPr>
              <w:rPr>
                <w:rFonts w:ascii="Arial" w:hAnsi="Arial" w:cs="Arial"/>
                <w:sz w:val="22"/>
                <w:szCs w:val="22"/>
              </w:rPr>
            </w:pPr>
          </w:p>
          <w:p w14:paraId="4F7A0877" w14:textId="77777777" w:rsidR="00FC0A1E" w:rsidRPr="007F762D" w:rsidRDefault="00FC0A1E" w:rsidP="00BE3F24">
            <w:pPr>
              <w:rPr>
                <w:rFonts w:ascii="Arial" w:hAnsi="Arial" w:cs="Arial"/>
                <w:sz w:val="22"/>
                <w:szCs w:val="22"/>
              </w:rPr>
            </w:pPr>
          </w:p>
          <w:p w14:paraId="17A39041" w14:textId="77777777" w:rsidR="00FC0A1E" w:rsidRPr="007F762D" w:rsidRDefault="00FC0A1E" w:rsidP="00BE3F24">
            <w:pPr>
              <w:rPr>
                <w:rFonts w:ascii="Arial" w:hAnsi="Arial" w:cs="Arial"/>
                <w:sz w:val="22"/>
                <w:szCs w:val="22"/>
              </w:rPr>
            </w:pPr>
          </w:p>
          <w:p w14:paraId="78E1CAFA" w14:textId="77777777" w:rsidR="00FC0A1E" w:rsidRPr="007F762D" w:rsidRDefault="00FC0A1E" w:rsidP="00BE3F24">
            <w:pPr>
              <w:rPr>
                <w:rFonts w:ascii="Arial" w:hAnsi="Arial" w:cs="Arial"/>
                <w:sz w:val="22"/>
                <w:szCs w:val="22"/>
              </w:rPr>
            </w:pPr>
          </w:p>
          <w:p w14:paraId="04184F7A" w14:textId="39B111D8" w:rsidR="0027598C" w:rsidRDefault="0027598C" w:rsidP="00BE3F24">
            <w:pPr>
              <w:rPr>
                <w:rFonts w:ascii="Arial" w:hAnsi="Arial" w:cs="Arial"/>
                <w:sz w:val="22"/>
                <w:szCs w:val="22"/>
              </w:rPr>
            </w:pPr>
          </w:p>
          <w:p w14:paraId="33AD9DB7" w14:textId="77777777" w:rsidR="0027598C" w:rsidRDefault="0027598C" w:rsidP="00BE3F24">
            <w:pPr>
              <w:rPr>
                <w:rFonts w:ascii="Arial" w:hAnsi="Arial" w:cs="Arial"/>
                <w:sz w:val="22"/>
                <w:szCs w:val="22"/>
              </w:rPr>
            </w:pPr>
          </w:p>
          <w:p w14:paraId="0934CFF6" w14:textId="30E09C48" w:rsidR="00FC0A1E" w:rsidRPr="007F762D" w:rsidRDefault="0027598C" w:rsidP="00BE3F24">
            <w:pPr>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Pozzolanic and slags</w:t>
            </w:r>
          </w:p>
          <w:p w14:paraId="4A1ABCA6" w14:textId="77777777" w:rsidR="00FC0A1E" w:rsidRPr="007F762D" w:rsidRDefault="00FC0A1E" w:rsidP="00BE3F24">
            <w:pPr>
              <w:rPr>
                <w:rFonts w:ascii="Arial" w:hAnsi="Arial" w:cs="Arial"/>
                <w:sz w:val="22"/>
                <w:szCs w:val="22"/>
              </w:rPr>
            </w:pPr>
          </w:p>
          <w:p w14:paraId="432F13F7" w14:textId="59065CEA" w:rsidR="00FC0A1E" w:rsidRPr="007F762D" w:rsidRDefault="0027598C" w:rsidP="00BE3F24">
            <w:pPr>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Chemicals</w:t>
            </w:r>
          </w:p>
          <w:p w14:paraId="001DBB6F" w14:textId="77777777" w:rsidR="00FC0A1E" w:rsidRPr="007F762D" w:rsidRDefault="00FC0A1E" w:rsidP="00BE3F24">
            <w:pPr>
              <w:rPr>
                <w:rFonts w:ascii="Arial" w:hAnsi="Arial" w:cs="Arial"/>
                <w:sz w:val="22"/>
                <w:szCs w:val="22"/>
              </w:rPr>
            </w:pPr>
          </w:p>
        </w:tc>
        <w:tc>
          <w:tcPr>
            <w:tcW w:w="1620" w:type="dxa"/>
          </w:tcPr>
          <w:p w14:paraId="0FAC367E" w14:textId="77777777" w:rsidR="00FC0A1E" w:rsidRPr="007F762D" w:rsidRDefault="00FC0A1E" w:rsidP="00BE3F24">
            <w:pPr>
              <w:rPr>
                <w:rFonts w:ascii="Arial" w:hAnsi="Arial" w:cs="Arial"/>
                <w:sz w:val="22"/>
                <w:szCs w:val="22"/>
              </w:rPr>
            </w:pPr>
          </w:p>
          <w:p w14:paraId="5CB336D9" w14:textId="77777777" w:rsidR="00FC0A1E" w:rsidRPr="007F762D" w:rsidRDefault="00FC0A1E" w:rsidP="00BE3F24">
            <w:pPr>
              <w:rPr>
                <w:rFonts w:ascii="Arial" w:hAnsi="Arial" w:cs="Arial"/>
                <w:sz w:val="22"/>
                <w:szCs w:val="22"/>
              </w:rPr>
            </w:pPr>
            <w:r w:rsidRPr="007F762D">
              <w:rPr>
                <w:rFonts w:ascii="Arial" w:hAnsi="Arial" w:cs="Arial"/>
                <w:sz w:val="22"/>
                <w:szCs w:val="22"/>
              </w:rPr>
              <w:t>Plastic</w:t>
            </w:r>
          </w:p>
          <w:p w14:paraId="624BF814" w14:textId="77777777" w:rsidR="00FC0A1E" w:rsidRPr="007F762D" w:rsidRDefault="00FC0A1E" w:rsidP="00BE3F24">
            <w:pPr>
              <w:rPr>
                <w:rFonts w:ascii="Arial" w:hAnsi="Arial" w:cs="Arial"/>
                <w:sz w:val="22"/>
                <w:szCs w:val="22"/>
              </w:rPr>
            </w:pPr>
          </w:p>
          <w:p w14:paraId="7657A66A" w14:textId="77777777" w:rsidR="0027598C" w:rsidRDefault="0027598C" w:rsidP="00BE3F24">
            <w:pPr>
              <w:rPr>
                <w:rFonts w:ascii="Arial" w:hAnsi="Arial" w:cs="Arial"/>
                <w:sz w:val="22"/>
                <w:szCs w:val="22"/>
              </w:rPr>
            </w:pPr>
          </w:p>
          <w:p w14:paraId="17791419" w14:textId="77777777" w:rsidR="00FC0A1E" w:rsidRPr="007F762D" w:rsidRDefault="00FC0A1E" w:rsidP="00BE3F24">
            <w:pPr>
              <w:rPr>
                <w:rFonts w:ascii="Arial" w:hAnsi="Arial" w:cs="Arial"/>
                <w:sz w:val="22"/>
                <w:szCs w:val="22"/>
              </w:rPr>
            </w:pPr>
            <w:r w:rsidRPr="007F762D">
              <w:rPr>
                <w:rFonts w:ascii="Arial" w:hAnsi="Arial" w:cs="Arial"/>
                <w:sz w:val="22"/>
                <w:szCs w:val="22"/>
              </w:rPr>
              <w:t>Coarse</w:t>
            </w:r>
          </w:p>
          <w:p w14:paraId="1B04CE16" w14:textId="77777777" w:rsidR="00FC0A1E" w:rsidRPr="007F762D" w:rsidRDefault="00FC0A1E" w:rsidP="00BE3F24">
            <w:pPr>
              <w:rPr>
                <w:rFonts w:ascii="Arial" w:hAnsi="Arial" w:cs="Arial"/>
                <w:sz w:val="22"/>
                <w:szCs w:val="22"/>
              </w:rPr>
            </w:pPr>
          </w:p>
          <w:p w14:paraId="254279E8" w14:textId="77777777" w:rsidR="00B81EEA" w:rsidRDefault="00B81EEA" w:rsidP="00BE3F24">
            <w:pPr>
              <w:rPr>
                <w:rFonts w:ascii="Arial" w:hAnsi="Arial" w:cs="Arial"/>
                <w:sz w:val="22"/>
                <w:szCs w:val="22"/>
              </w:rPr>
            </w:pPr>
          </w:p>
          <w:p w14:paraId="2262F504" w14:textId="77777777" w:rsidR="00FC0A1E" w:rsidRPr="007F762D" w:rsidRDefault="00FC0A1E" w:rsidP="00BE3F24">
            <w:pPr>
              <w:rPr>
                <w:rFonts w:ascii="Arial" w:hAnsi="Arial" w:cs="Arial"/>
                <w:sz w:val="22"/>
                <w:szCs w:val="22"/>
              </w:rPr>
            </w:pPr>
            <w:r w:rsidRPr="007F762D">
              <w:rPr>
                <w:rFonts w:ascii="Arial" w:hAnsi="Arial" w:cs="Arial"/>
                <w:sz w:val="22"/>
                <w:szCs w:val="22"/>
              </w:rPr>
              <w:t>Plastic</w:t>
            </w:r>
          </w:p>
          <w:p w14:paraId="495E57D2" w14:textId="77777777" w:rsidR="00FC0A1E" w:rsidRPr="007F762D" w:rsidRDefault="00FC0A1E" w:rsidP="00BE3F24">
            <w:pPr>
              <w:rPr>
                <w:rFonts w:ascii="Arial" w:hAnsi="Arial" w:cs="Arial"/>
                <w:sz w:val="22"/>
                <w:szCs w:val="22"/>
              </w:rPr>
            </w:pPr>
          </w:p>
          <w:p w14:paraId="435BE410" w14:textId="77777777" w:rsidR="00FC0A1E" w:rsidRPr="007F762D" w:rsidRDefault="00FC0A1E" w:rsidP="00BE3F24">
            <w:pPr>
              <w:rPr>
                <w:rFonts w:ascii="Arial" w:hAnsi="Arial" w:cs="Arial"/>
                <w:sz w:val="22"/>
                <w:szCs w:val="22"/>
              </w:rPr>
            </w:pPr>
          </w:p>
          <w:p w14:paraId="37490C4F" w14:textId="77777777" w:rsidR="00FC0A1E" w:rsidRPr="007F762D" w:rsidRDefault="00FC0A1E" w:rsidP="00BE3F24">
            <w:pPr>
              <w:rPr>
                <w:rFonts w:ascii="Arial" w:hAnsi="Arial" w:cs="Arial"/>
                <w:sz w:val="22"/>
                <w:szCs w:val="22"/>
              </w:rPr>
            </w:pPr>
          </w:p>
          <w:p w14:paraId="086A0C04" w14:textId="77777777" w:rsidR="00FC0A1E" w:rsidRPr="007F762D" w:rsidRDefault="00FC0A1E" w:rsidP="00BE3F24">
            <w:pPr>
              <w:rPr>
                <w:rFonts w:ascii="Arial" w:hAnsi="Arial" w:cs="Arial"/>
                <w:sz w:val="22"/>
                <w:szCs w:val="22"/>
              </w:rPr>
            </w:pPr>
          </w:p>
          <w:p w14:paraId="55F64FF7" w14:textId="77777777" w:rsidR="0027598C" w:rsidRDefault="0027598C" w:rsidP="00BE3F24">
            <w:pPr>
              <w:rPr>
                <w:rFonts w:ascii="Arial" w:hAnsi="Arial" w:cs="Arial"/>
                <w:sz w:val="22"/>
                <w:szCs w:val="22"/>
              </w:rPr>
            </w:pPr>
          </w:p>
          <w:p w14:paraId="675BBCB5" w14:textId="77777777" w:rsidR="00FC0A1E" w:rsidRPr="007F762D" w:rsidRDefault="00FC0A1E" w:rsidP="00BE3F24">
            <w:pPr>
              <w:rPr>
                <w:rFonts w:ascii="Arial" w:hAnsi="Arial" w:cs="Arial"/>
                <w:sz w:val="22"/>
                <w:szCs w:val="22"/>
              </w:rPr>
            </w:pPr>
            <w:r w:rsidRPr="007F762D">
              <w:rPr>
                <w:rFonts w:ascii="Arial" w:hAnsi="Arial" w:cs="Arial"/>
                <w:sz w:val="22"/>
                <w:szCs w:val="22"/>
              </w:rPr>
              <w:t>Coarse with fines</w:t>
            </w:r>
          </w:p>
          <w:p w14:paraId="456361FE" w14:textId="77777777" w:rsidR="00FC0A1E" w:rsidRPr="007F762D" w:rsidRDefault="00FC0A1E" w:rsidP="00BE3F24">
            <w:pPr>
              <w:rPr>
                <w:rFonts w:ascii="Arial" w:hAnsi="Arial" w:cs="Arial"/>
                <w:sz w:val="22"/>
                <w:szCs w:val="22"/>
              </w:rPr>
            </w:pPr>
          </w:p>
          <w:p w14:paraId="34C80EC9" w14:textId="77777777" w:rsidR="00B81EEA" w:rsidRDefault="00B81EEA" w:rsidP="00BE3F24">
            <w:pPr>
              <w:rPr>
                <w:rFonts w:ascii="Arial" w:hAnsi="Arial" w:cs="Arial"/>
                <w:sz w:val="22"/>
                <w:szCs w:val="22"/>
              </w:rPr>
            </w:pPr>
          </w:p>
          <w:p w14:paraId="10B318E1" w14:textId="77777777" w:rsidR="00FC0A1E" w:rsidRPr="007F762D" w:rsidRDefault="00FC0A1E" w:rsidP="00BE3F24">
            <w:pPr>
              <w:rPr>
                <w:rFonts w:ascii="Arial" w:hAnsi="Arial" w:cs="Arial"/>
                <w:sz w:val="22"/>
                <w:szCs w:val="22"/>
              </w:rPr>
            </w:pPr>
            <w:r w:rsidRPr="007F762D">
              <w:rPr>
                <w:rFonts w:ascii="Arial" w:hAnsi="Arial" w:cs="Arial"/>
                <w:sz w:val="22"/>
                <w:szCs w:val="22"/>
              </w:rPr>
              <w:t>Nonplastic</w:t>
            </w:r>
          </w:p>
          <w:p w14:paraId="1DBF146B" w14:textId="77777777" w:rsidR="00FC0A1E" w:rsidRPr="007F762D" w:rsidRDefault="00FC0A1E" w:rsidP="00BE3F24">
            <w:pPr>
              <w:rPr>
                <w:rFonts w:ascii="Arial" w:hAnsi="Arial" w:cs="Arial"/>
                <w:sz w:val="22"/>
                <w:szCs w:val="22"/>
              </w:rPr>
            </w:pPr>
            <w:r w:rsidRPr="007F762D">
              <w:rPr>
                <w:rFonts w:ascii="Arial" w:hAnsi="Arial" w:cs="Arial"/>
                <w:sz w:val="22"/>
                <w:szCs w:val="22"/>
              </w:rPr>
              <w:t>Same as lime</w:t>
            </w:r>
            <w:r w:rsidRPr="007F762D">
              <w:rPr>
                <w:rFonts w:ascii="Arial" w:hAnsi="Arial" w:cs="Arial"/>
                <w:sz w:val="22"/>
                <w:szCs w:val="22"/>
              </w:rPr>
              <w:br/>
            </w:r>
          </w:p>
          <w:p w14:paraId="467F20A4" w14:textId="77777777" w:rsidR="00FC0A1E" w:rsidRPr="007F762D" w:rsidRDefault="00FC0A1E" w:rsidP="00BE3F24">
            <w:pPr>
              <w:rPr>
                <w:rFonts w:ascii="Arial" w:hAnsi="Arial" w:cs="Arial"/>
                <w:sz w:val="22"/>
                <w:szCs w:val="22"/>
              </w:rPr>
            </w:pPr>
            <w:r w:rsidRPr="007F762D">
              <w:rPr>
                <w:rFonts w:ascii="Arial" w:hAnsi="Arial" w:cs="Arial"/>
                <w:sz w:val="22"/>
                <w:szCs w:val="22"/>
              </w:rPr>
              <w:t>Same as lime</w:t>
            </w:r>
          </w:p>
          <w:p w14:paraId="16141044" w14:textId="77777777" w:rsidR="00FC0A1E" w:rsidRPr="007F762D" w:rsidRDefault="00FC0A1E" w:rsidP="00BE3F24">
            <w:pPr>
              <w:rPr>
                <w:rFonts w:ascii="Arial" w:hAnsi="Arial" w:cs="Arial"/>
                <w:sz w:val="22"/>
                <w:szCs w:val="22"/>
              </w:rPr>
            </w:pPr>
          </w:p>
          <w:p w14:paraId="1AC0CEA2" w14:textId="77777777" w:rsidR="00FC0A1E" w:rsidRPr="007F762D" w:rsidRDefault="00FC0A1E" w:rsidP="00BE3F24">
            <w:pPr>
              <w:rPr>
                <w:rFonts w:ascii="Arial" w:hAnsi="Arial" w:cs="Arial"/>
                <w:sz w:val="22"/>
                <w:szCs w:val="22"/>
              </w:rPr>
            </w:pPr>
          </w:p>
          <w:p w14:paraId="71C3CCBA" w14:textId="77777777" w:rsidR="00FC0A1E" w:rsidRPr="007F762D" w:rsidRDefault="00FC0A1E" w:rsidP="00BE3F24">
            <w:pPr>
              <w:rPr>
                <w:rFonts w:ascii="Arial" w:hAnsi="Arial" w:cs="Arial"/>
                <w:sz w:val="22"/>
                <w:szCs w:val="22"/>
              </w:rPr>
            </w:pPr>
            <w:r w:rsidRPr="007F762D">
              <w:rPr>
                <w:rFonts w:ascii="Arial" w:hAnsi="Arial" w:cs="Arial"/>
                <w:sz w:val="22"/>
                <w:szCs w:val="22"/>
              </w:rPr>
              <w:t>Coarse</w:t>
            </w:r>
          </w:p>
          <w:p w14:paraId="7F91FE64" w14:textId="77777777" w:rsidR="00FC0A1E" w:rsidRPr="007F762D" w:rsidRDefault="00FC0A1E" w:rsidP="00BE3F24">
            <w:pPr>
              <w:rPr>
                <w:rFonts w:ascii="Arial" w:hAnsi="Arial" w:cs="Arial"/>
                <w:sz w:val="22"/>
                <w:szCs w:val="22"/>
              </w:rPr>
            </w:pPr>
          </w:p>
          <w:p w14:paraId="377A7979" w14:textId="77777777" w:rsidR="0027598C" w:rsidRDefault="0027598C" w:rsidP="00BE3F24">
            <w:pPr>
              <w:rPr>
                <w:rFonts w:ascii="Arial" w:hAnsi="Arial" w:cs="Arial"/>
                <w:sz w:val="22"/>
                <w:szCs w:val="22"/>
              </w:rPr>
            </w:pPr>
          </w:p>
          <w:p w14:paraId="1ED9483A" w14:textId="77777777" w:rsidR="00FC0A1E" w:rsidRPr="007F762D" w:rsidRDefault="00FC0A1E" w:rsidP="00BE3F24">
            <w:pPr>
              <w:rPr>
                <w:rFonts w:ascii="Arial" w:hAnsi="Arial" w:cs="Arial"/>
                <w:sz w:val="22"/>
                <w:szCs w:val="22"/>
              </w:rPr>
            </w:pPr>
            <w:r w:rsidRPr="007F762D">
              <w:rPr>
                <w:rFonts w:ascii="Arial" w:hAnsi="Arial" w:cs="Arial"/>
                <w:sz w:val="22"/>
                <w:szCs w:val="22"/>
              </w:rPr>
              <w:t>Some fines</w:t>
            </w:r>
          </w:p>
          <w:p w14:paraId="32D4DE73" w14:textId="77777777" w:rsidR="0027598C" w:rsidRDefault="0027598C" w:rsidP="00BE3F24">
            <w:pPr>
              <w:rPr>
                <w:rFonts w:ascii="Arial" w:hAnsi="Arial" w:cs="Arial"/>
                <w:sz w:val="22"/>
                <w:szCs w:val="22"/>
              </w:rPr>
            </w:pPr>
          </w:p>
          <w:p w14:paraId="10B4A354" w14:textId="77777777" w:rsidR="00FC0A1E" w:rsidRPr="007F762D" w:rsidRDefault="00FC0A1E" w:rsidP="00BE3F24">
            <w:pPr>
              <w:rPr>
                <w:rFonts w:ascii="Arial" w:hAnsi="Arial" w:cs="Arial"/>
                <w:sz w:val="22"/>
                <w:szCs w:val="22"/>
              </w:rPr>
            </w:pPr>
            <w:r w:rsidRPr="007F762D">
              <w:rPr>
                <w:rFonts w:ascii="Arial" w:hAnsi="Arial" w:cs="Arial"/>
                <w:sz w:val="22"/>
                <w:szCs w:val="22"/>
              </w:rPr>
              <w:t>Fine</w:t>
            </w:r>
          </w:p>
          <w:p w14:paraId="7CEA8136" w14:textId="77777777" w:rsidR="00FC0A1E" w:rsidRPr="007F762D" w:rsidRDefault="00FC0A1E" w:rsidP="00BE3F24">
            <w:pPr>
              <w:rPr>
                <w:rFonts w:ascii="Arial" w:hAnsi="Arial" w:cs="Arial"/>
                <w:sz w:val="22"/>
                <w:szCs w:val="22"/>
              </w:rPr>
            </w:pPr>
          </w:p>
          <w:p w14:paraId="4B6C018F" w14:textId="77777777" w:rsidR="00FC0A1E" w:rsidRPr="007F762D" w:rsidRDefault="00FC0A1E" w:rsidP="00BE3F24">
            <w:pPr>
              <w:rPr>
                <w:rFonts w:ascii="Arial" w:hAnsi="Arial" w:cs="Arial"/>
                <w:sz w:val="22"/>
                <w:szCs w:val="22"/>
              </w:rPr>
            </w:pPr>
            <w:r w:rsidRPr="007F762D">
              <w:rPr>
                <w:rFonts w:ascii="Arial" w:hAnsi="Arial" w:cs="Arial"/>
                <w:sz w:val="22"/>
                <w:szCs w:val="22"/>
              </w:rPr>
              <w:t>Silts and coarse</w:t>
            </w:r>
          </w:p>
          <w:p w14:paraId="0984980E" w14:textId="77777777" w:rsidR="00FC0A1E" w:rsidRPr="007F762D" w:rsidRDefault="00FC0A1E" w:rsidP="00BE3F24">
            <w:pPr>
              <w:rPr>
                <w:rFonts w:ascii="Arial" w:hAnsi="Arial" w:cs="Arial"/>
                <w:sz w:val="22"/>
                <w:szCs w:val="22"/>
              </w:rPr>
            </w:pPr>
          </w:p>
          <w:p w14:paraId="3ECA010A" w14:textId="77777777" w:rsidR="00FC0A1E" w:rsidRPr="007F762D" w:rsidRDefault="00FC0A1E" w:rsidP="00BE3F24">
            <w:pPr>
              <w:rPr>
                <w:rFonts w:ascii="Arial" w:hAnsi="Arial" w:cs="Arial"/>
                <w:sz w:val="22"/>
                <w:szCs w:val="22"/>
              </w:rPr>
            </w:pPr>
            <w:r w:rsidRPr="007F762D">
              <w:rPr>
                <w:rFonts w:ascii="Arial" w:hAnsi="Arial" w:cs="Arial"/>
                <w:sz w:val="22"/>
                <w:szCs w:val="22"/>
              </w:rPr>
              <w:t>Plastic</w:t>
            </w:r>
          </w:p>
          <w:p w14:paraId="6696C010" w14:textId="77777777" w:rsidR="00FC0A1E" w:rsidRPr="007F762D" w:rsidRDefault="00FC0A1E" w:rsidP="00BE3F24">
            <w:pPr>
              <w:rPr>
                <w:rFonts w:ascii="Arial" w:hAnsi="Arial" w:cs="Arial"/>
                <w:sz w:val="22"/>
                <w:szCs w:val="22"/>
              </w:rPr>
            </w:pPr>
          </w:p>
        </w:tc>
        <w:tc>
          <w:tcPr>
            <w:tcW w:w="2610" w:type="dxa"/>
          </w:tcPr>
          <w:p w14:paraId="4D906DEB" w14:textId="77777777" w:rsidR="00FC0A1E" w:rsidRPr="007F762D" w:rsidRDefault="00FC0A1E" w:rsidP="00BE3F24">
            <w:pPr>
              <w:rPr>
                <w:rFonts w:ascii="Arial" w:hAnsi="Arial" w:cs="Arial"/>
                <w:sz w:val="22"/>
                <w:szCs w:val="22"/>
              </w:rPr>
            </w:pPr>
          </w:p>
          <w:p w14:paraId="38D5A5B7" w14:textId="77777777" w:rsidR="00FC0A1E" w:rsidRPr="007F762D" w:rsidRDefault="00FC0A1E" w:rsidP="008810D7">
            <w:pPr>
              <w:autoSpaceDE w:val="0"/>
              <w:autoSpaceDN w:val="0"/>
              <w:adjustRightInd w:val="0"/>
              <w:rPr>
                <w:rFonts w:ascii="Arial" w:hAnsi="Arial" w:cs="Arial"/>
                <w:sz w:val="22"/>
                <w:szCs w:val="22"/>
              </w:rPr>
            </w:pPr>
          </w:p>
          <w:p w14:paraId="7743330C" w14:textId="77777777" w:rsidR="00FC0A1E" w:rsidRPr="007F762D" w:rsidRDefault="00FC0A1E" w:rsidP="008810D7">
            <w:pPr>
              <w:autoSpaceDE w:val="0"/>
              <w:autoSpaceDN w:val="0"/>
              <w:adjustRightInd w:val="0"/>
              <w:rPr>
                <w:rFonts w:ascii="Arial" w:hAnsi="Arial" w:cs="Arial"/>
                <w:sz w:val="22"/>
                <w:szCs w:val="22"/>
              </w:rPr>
            </w:pPr>
          </w:p>
          <w:p w14:paraId="4C14F264" w14:textId="77777777" w:rsidR="0027598C" w:rsidRDefault="0027598C" w:rsidP="00BE3F24">
            <w:pPr>
              <w:autoSpaceDE w:val="0"/>
              <w:autoSpaceDN w:val="0"/>
              <w:adjustRightInd w:val="0"/>
              <w:rPr>
                <w:rFonts w:ascii="Arial" w:hAnsi="Arial" w:cs="Arial"/>
                <w:sz w:val="22"/>
                <w:szCs w:val="22"/>
              </w:rPr>
            </w:pPr>
          </w:p>
          <w:p w14:paraId="024B8D21" w14:textId="77777777" w:rsidR="00B81EEA" w:rsidRDefault="00B81EEA" w:rsidP="00BE3F24">
            <w:pPr>
              <w:autoSpaceDE w:val="0"/>
              <w:autoSpaceDN w:val="0"/>
              <w:adjustRightInd w:val="0"/>
              <w:rPr>
                <w:rFonts w:ascii="Arial" w:hAnsi="Arial" w:cs="Arial"/>
                <w:sz w:val="22"/>
                <w:szCs w:val="22"/>
              </w:rPr>
            </w:pPr>
          </w:p>
          <w:p w14:paraId="680A3DD5"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Drying strength gain</w:t>
            </w:r>
          </w:p>
          <w:p w14:paraId="6BF2F290"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Reduce plasticity</w:t>
            </w:r>
          </w:p>
          <w:p w14:paraId="62506483"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Coarsen texture</w:t>
            </w:r>
          </w:p>
          <w:p w14:paraId="412CEC80" w14:textId="77777777" w:rsidR="00FC0A1E" w:rsidRPr="007F762D" w:rsidRDefault="00FC0A1E" w:rsidP="00BE3F24">
            <w:pPr>
              <w:rPr>
                <w:rFonts w:ascii="Arial" w:hAnsi="Arial" w:cs="Arial"/>
                <w:sz w:val="22"/>
                <w:szCs w:val="22"/>
              </w:rPr>
            </w:pPr>
            <w:r w:rsidRPr="007F762D">
              <w:rPr>
                <w:rFonts w:ascii="Arial" w:hAnsi="Arial" w:cs="Arial"/>
                <w:sz w:val="22"/>
                <w:szCs w:val="22"/>
              </w:rPr>
              <w:t>Long-term pozzolanic cementing</w:t>
            </w:r>
          </w:p>
          <w:p w14:paraId="6566A459" w14:textId="77777777" w:rsidR="0027598C" w:rsidRDefault="0027598C" w:rsidP="00BE3F24">
            <w:pPr>
              <w:rPr>
                <w:rFonts w:ascii="Arial" w:hAnsi="Arial" w:cs="Arial"/>
                <w:sz w:val="22"/>
                <w:szCs w:val="22"/>
              </w:rPr>
            </w:pPr>
          </w:p>
          <w:p w14:paraId="7379CE74" w14:textId="77777777" w:rsidR="00FC0A1E" w:rsidRPr="007F762D" w:rsidRDefault="00FC0A1E" w:rsidP="00BE3F24">
            <w:pPr>
              <w:rPr>
                <w:rFonts w:ascii="Arial" w:hAnsi="Arial" w:cs="Arial"/>
                <w:sz w:val="22"/>
                <w:szCs w:val="22"/>
              </w:rPr>
            </w:pPr>
            <w:r w:rsidRPr="007F762D">
              <w:rPr>
                <w:rFonts w:ascii="Arial" w:hAnsi="Arial" w:cs="Arial"/>
                <w:sz w:val="22"/>
                <w:szCs w:val="22"/>
              </w:rPr>
              <w:t>Same as plastic</w:t>
            </w:r>
          </w:p>
          <w:p w14:paraId="22F21DD2" w14:textId="77777777" w:rsidR="00FC0A1E" w:rsidRPr="007F762D" w:rsidRDefault="00FC0A1E" w:rsidP="00BE3F24">
            <w:pPr>
              <w:rPr>
                <w:rFonts w:ascii="Arial" w:hAnsi="Arial" w:cs="Arial"/>
                <w:sz w:val="22"/>
                <w:szCs w:val="22"/>
              </w:rPr>
            </w:pPr>
          </w:p>
          <w:p w14:paraId="3D6EC77F" w14:textId="77777777" w:rsidR="00FC0A1E" w:rsidRPr="007F762D" w:rsidRDefault="00FC0A1E" w:rsidP="00BE3F24">
            <w:pPr>
              <w:rPr>
                <w:rFonts w:ascii="Arial" w:hAnsi="Arial" w:cs="Arial"/>
                <w:sz w:val="22"/>
                <w:szCs w:val="22"/>
              </w:rPr>
            </w:pPr>
          </w:p>
          <w:p w14:paraId="1B4B59FD" w14:textId="77777777" w:rsidR="00B81EEA" w:rsidRDefault="00B81EEA" w:rsidP="00BE3F24">
            <w:pPr>
              <w:rPr>
                <w:rFonts w:ascii="Arial" w:hAnsi="Arial" w:cs="Arial"/>
                <w:sz w:val="22"/>
                <w:szCs w:val="22"/>
              </w:rPr>
            </w:pPr>
          </w:p>
          <w:p w14:paraId="5DE8348B" w14:textId="77777777" w:rsidR="00FC0A1E" w:rsidRPr="007F762D" w:rsidRDefault="00FC0A1E" w:rsidP="00BE3F24">
            <w:pPr>
              <w:rPr>
                <w:rFonts w:ascii="Arial" w:hAnsi="Arial" w:cs="Arial"/>
                <w:sz w:val="22"/>
                <w:szCs w:val="22"/>
              </w:rPr>
            </w:pPr>
            <w:r w:rsidRPr="007F762D">
              <w:rPr>
                <w:rFonts w:ascii="Arial" w:hAnsi="Arial" w:cs="Arial"/>
                <w:sz w:val="22"/>
                <w:szCs w:val="22"/>
              </w:rPr>
              <w:t>None</w:t>
            </w:r>
          </w:p>
          <w:p w14:paraId="6CA2361E" w14:textId="77777777" w:rsidR="00FC0A1E" w:rsidRPr="007F762D" w:rsidRDefault="00FC0A1E" w:rsidP="00BE3F24">
            <w:pPr>
              <w:rPr>
                <w:rFonts w:ascii="Arial" w:hAnsi="Arial" w:cs="Arial"/>
                <w:sz w:val="22"/>
                <w:szCs w:val="22"/>
              </w:rPr>
            </w:pPr>
            <w:r w:rsidRPr="007F762D">
              <w:rPr>
                <w:rFonts w:ascii="Arial" w:hAnsi="Arial" w:cs="Arial"/>
                <w:sz w:val="22"/>
                <w:szCs w:val="22"/>
              </w:rPr>
              <w:lastRenderedPageBreak/>
              <w:t>Same as lime</w:t>
            </w:r>
            <w:r w:rsidRPr="007F762D">
              <w:rPr>
                <w:rFonts w:ascii="Arial" w:hAnsi="Arial" w:cs="Arial"/>
                <w:sz w:val="22"/>
                <w:szCs w:val="22"/>
              </w:rPr>
              <w:br/>
            </w:r>
          </w:p>
          <w:p w14:paraId="260310F7" w14:textId="77777777" w:rsidR="00FC0A1E" w:rsidRPr="007F762D" w:rsidRDefault="00FC0A1E" w:rsidP="00BE3F24">
            <w:pPr>
              <w:rPr>
                <w:rFonts w:ascii="Arial" w:hAnsi="Arial" w:cs="Arial"/>
                <w:sz w:val="22"/>
                <w:szCs w:val="22"/>
              </w:rPr>
            </w:pPr>
            <w:r w:rsidRPr="007F762D">
              <w:rPr>
                <w:rFonts w:ascii="Arial" w:hAnsi="Arial" w:cs="Arial"/>
                <w:sz w:val="22"/>
                <w:szCs w:val="22"/>
              </w:rPr>
              <w:t>Same as lime</w:t>
            </w:r>
          </w:p>
          <w:p w14:paraId="5EAE9524" w14:textId="77777777" w:rsidR="00FC0A1E" w:rsidRPr="007F762D" w:rsidRDefault="00FC0A1E" w:rsidP="00BE3F24">
            <w:pPr>
              <w:rPr>
                <w:rFonts w:ascii="Arial" w:hAnsi="Arial" w:cs="Arial"/>
                <w:sz w:val="22"/>
                <w:szCs w:val="22"/>
              </w:rPr>
            </w:pPr>
          </w:p>
          <w:p w14:paraId="6A9C75DE" w14:textId="77777777" w:rsidR="00FC0A1E" w:rsidRPr="007F762D" w:rsidRDefault="00FC0A1E" w:rsidP="00BE3F24">
            <w:pPr>
              <w:rPr>
                <w:rFonts w:ascii="Arial" w:hAnsi="Arial" w:cs="Arial"/>
                <w:sz w:val="22"/>
                <w:szCs w:val="22"/>
              </w:rPr>
            </w:pPr>
          </w:p>
          <w:p w14:paraId="5B588D59" w14:textId="599D792C" w:rsidR="00FC0A1E" w:rsidRPr="007F762D" w:rsidRDefault="00FC0A1E" w:rsidP="007956B1">
            <w:pPr>
              <w:autoSpaceDE w:val="0"/>
              <w:autoSpaceDN w:val="0"/>
              <w:adjustRightInd w:val="0"/>
              <w:rPr>
                <w:rFonts w:ascii="Arial" w:hAnsi="Arial" w:cs="Arial"/>
                <w:sz w:val="22"/>
                <w:szCs w:val="22"/>
              </w:rPr>
            </w:pPr>
            <w:r w:rsidRPr="007F762D">
              <w:rPr>
                <w:rFonts w:ascii="Arial" w:hAnsi="Arial" w:cs="Arial"/>
                <w:sz w:val="22"/>
                <w:szCs w:val="22"/>
              </w:rPr>
              <w:t>Strengthen/bind</w:t>
            </w:r>
            <w:r w:rsidR="007956B1">
              <w:rPr>
                <w:rFonts w:ascii="Arial" w:hAnsi="Arial" w:cs="Arial"/>
                <w:sz w:val="22"/>
                <w:szCs w:val="22"/>
              </w:rPr>
              <w:t xml:space="preserve"> </w:t>
            </w:r>
            <w:r w:rsidR="0027598C">
              <w:rPr>
                <w:rFonts w:ascii="Arial" w:hAnsi="Arial" w:cs="Arial"/>
                <w:sz w:val="22"/>
                <w:szCs w:val="22"/>
              </w:rPr>
              <w:t>w</w:t>
            </w:r>
            <w:r w:rsidRPr="007F762D">
              <w:rPr>
                <w:rFonts w:ascii="Arial" w:hAnsi="Arial" w:cs="Arial"/>
                <w:sz w:val="22"/>
                <w:szCs w:val="22"/>
              </w:rPr>
              <w:t>aterproof</w:t>
            </w:r>
          </w:p>
          <w:p w14:paraId="7092F657" w14:textId="642767DB" w:rsidR="0027598C" w:rsidRDefault="0027598C" w:rsidP="00BE3F24">
            <w:pPr>
              <w:rPr>
                <w:rFonts w:ascii="Arial" w:hAnsi="Arial" w:cs="Arial"/>
                <w:sz w:val="22"/>
                <w:szCs w:val="22"/>
              </w:rPr>
            </w:pPr>
          </w:p>
          <w:p w14:paraId="6F337E99" w14:textId="77777777" w:rsidR="00FC0A1E" w:rsidRPr="007F762D" w:rsidRDefault="00FC0A1E" w:rsidP="00BE3F24">
            <w:pPr>
              <w:rPr>
                <w:rFonts w:ascii="Arial" w:hAnsi="Arial" w:cs="Arial"/>
                <w:sz w:val="22"/>
                <w:szCs w:val="22"/>
              </w:rPr>
            </w:pPr>
            <w:r w:rsidRPr="007F762D">
              <w:rPr>
                <w:rFonts w:ascii="Arial" w:hAnsi="Arial" w:cs="Arial"/>
                <w:sz w:val="22"/>
                <w:szCs w:val="22"/>
              </w:rPr>
              <w:t>Same as coarse</w:t>
            </w:r>
          </w:p>
          <w:p w14:paraId="2B66C1C3" w14:textId="77777777" w:rsidR="0027598C" w:rsidRDefault="0027598C" w:rsidP="00BE3F24">
            <w:pPr>
              <w:rPr>
                <w:rFonts w:ascii="Arial" w:hAnsi="Arial" w:cs="Arial"/>
                <w:sz w:val="22"/>
                <w:szCs w:val="22"/>
              </w:rPr>
            </w:pPr>
          </w:p>
          <w:p w14:paraId="258CA9AC" w14:textId="77777777" w:rsidR="00FC0A1E" w:rsidRPr="007F762D" w:rsidRDefault="00FC0A1E" w:rsidP="00BE3F24">
            <w:pPr>
              <w:rPr>
                <w:rFonts w:ascii="Arial" w:hAnsi="Arial" w:cs="Arial"/>
                <w:sz w:val="22"/>
                <w:szCs w:val="22"/>
              </w:rPr>
            </w:pPr>
            <w:r w:rsidRPr="007F762D">
              <w:rPr>
                <w:rFonts w:ascii="Arial" w:hAnsi="Arial" w:cs="Arial"/>
                <w:sz w:val="22"/>
                <w:szCs w:val="22"/>
              </w:rPr>
              <w:t>None</w:t>
            </w:r>
          </w:p>
          <w:p w14:paraId="2055E927" w14:textId="77777777" w:rsidR="00FC0A1E" w:rsidRPr="007F762D" w:rsidRDefault="00FC0A1E" w:rsidP="00BE3F24">
            <w:pPr>
              <w:rPr>
                <w:rFonts w:ascii="Arial" w:hAnsi="Arial" w:cs="Arial"/>
                <w:sz w:val="22"/>
                <w:szCs w:val="22"/>
              </w:rPr>
            </w:pPr>
          </w:p>
          <w:p w14:paraId="1ADE4374"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Acts as a filler</w:t>
            </w:r>
          </w:p>
          <w:p w14:paraId="5BCE7B27" w14:textId="77777777" w:rsidR="00FC0A1E" w:rsidRPr="007F762D" w:rsidRDefault="00FC0A1E" w:rsidP="00BE3F24">
            <w:pPr>
              <w:rPr>
                <w:rFonts w:ascii="Arial" w:hAnsi="Arial" w:cs="Arial"/>
                <w:sz w:val="22"/>
                <w:szCs w:val="22"/>
              </w:rPr>
            </w:pPr>
            <w:r w:rsidRPr="007F762D">
              <w:rPr>
                <w:rFonts w:ascii="Arial" w:hAnsi="Arial" w:cs="Arial"/>
                <w:sz w:val="22"/>
                <w:szCs w:val="22"/>
              </w:rPr>
              <w:t>Cementing of grains</w:t>
            </w:r>
          </w:p>
          <w:p w14:paraId="1B5761FC" w14:textId="77777777" w:rsidR="00FC0A1E" w:rsidRPr="007F762D" w:rsidRDefault="00FC0A1E" w:rsidP="00BE3F24">
            <w:pPr>
              <w:rPr>
                <w:rFonts w:ascii="Arial" w:hAnsi="Arial" w:cs="Arial"/>
                <w:sz w:val="22"/>
                <w:szCs w:val="22"/>
              </w:rPr>
            </w:pPr>
          </w:p>
          <w:p w14:paraId="5A31C347" w14:textId="552CD76F"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Strength increase and</w:t>
            </w:r>
            <w:r w:rsidR="007956B1">
              <w:rPr>
                <w:rFonts w:ascii="Arial" w:hAnsi="Arial" w:cs="Arial"/>
                <w:sz w:val="22"/>
                <w:szCs w:val="22"/>
              </w:rPr>
              <w:t xml:space="preserve"> </w:t>
            </w:r>
            <w:r w:rsidRPr="007F762D">
              <w:rPr>
                <w:rFonts w:ascii="Arial" w:hAnsi="Arial" w:cs="Arial"/>
                <w:sz w:val="22"/>
                <w:szCs w:val="22"/>
              </w:rPr>
              <w:t>volume stability</w:t>
            </w:r>
          </w:p>
        </w:tc>
        <w:tc>
          <w:tcPr>
            <w:tcW w:w="2430" w:type="dxa"/>
          </w:tcPr>
          <w:p w14:paraId="421D5621" w14:textId="77777777" w:rsidR="00FC0A1E" w:rsidRPr="007F762D" w:rsidRDefault="00FC0A1E" w:rsidP="00BE3F24">
            <w:pPr>
              <w:autoSpaceDE w:val="0"/>
              <w:autoSpaceDN w:val="0"/>
              <w:adjustRightInd w:val="0"/>
              <w:rPr>
                <w:rFonts w:ascii="Arial" w:hAnsi="Arial" w:cs="Arial"/>
                <w:sz w:val="22"/>
                <w:szCs w:val="22"/>
              </w:rPr>
            </w:pPr>
          </w:p>
          <w:p w14:paraId="7A7E19EF"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Less pronounced</w:t>
            </w:r>
          </w:p>
          <w:p w14:paraId="52B5DFE2" w14:textId="77777777" w:rsidR="00FC0A1E" w:rsidRPr="007F762D" w:rsidRDefault="00FC0A1E" w:rsidP="00BE3F24">
            <w:pPr>
              <w:rPr>
                <w:rFonts w:ascii="Arial" w:hAnsi="Arial" w:cs="Arial"/>
                <w:sz w:val="22"/>
                <w:szCs w:val="22"/>
              </w:rPr>
            </w:pPr>
            <w:r w:rsidRPr="007F762D">
              <w:rPr>
                <w:rFonts w:ascii="Arial" w:hAnsi="Arial" w:cs="Arial"/>
                <w:sz w:val="22"/>
                <w:szCs w:val="22"/>
              </w:rPr>
              <w:t>hydration of cement</w:t>
            </w:r>
          </w:p>
          <w:p w14:paraId="1B982AB8" w14:textId="77777777" w:rsidR="0027598C" w:rsidRDefault="0027598C" w:rsidP="00BE3F24">
            <w:pPr>
              <w:rPr>
                <w:rFonts w:ascii="Arial" w:hAnsi="Arial" w:cs="Arial"/>
                <w:sz w:val="22"/>
                <w:szCs w:val="22"/>
              </w:rPr>
            </w:pPr>
          </w:p>
          <w:p w14:paraId="265AB6E5" w14:textId="77777777" w:rsidR="00FC0A1E" w:rsidRPr="007F762D" w:rsidRDefault="00FC0A1E" w:rsidP="00BE3F24">
            <w:pPr>
              <w:rPr>
                <w:rFonts w:ascii="Arial" w:hAnsi="Arial" w:cs="Arial"/>
                <w:sz w:val="22"/>
                <w:szCs w:val="22"/>
              </w:rPr>
            </w:pPr>
            <w:r w:rsidRPr="007F762D">
              <w:rPr>
                <w:rFonts w:ascii="Arial" w:hAnsi="Arial" w:cs="Arial"/>
                <w:sz w:val="22"/>
                <w:szCs w:val="22"/>
              </w:rPr>
              <w:t>Hydration of cement</w:t>
            </w:r>
          </w:p>
          <w:p w14:paraId="01274836" w14:textId="77777777" w:rsidR="00FC0A1E" w:rsidRPr="007F762D" w:rsidRDefault="00FC0A1E" w:rsidP="00BE3F24">
            <w:pPr>
              <w:rPr>
                <w:rFonts w:ascii="Arial" w:hAnsi="Arial" w:cs="Arial"/>
                <w:sz w:val="22"/>
                <w:szCs w:val="22"/>
              </w:rPr>
            </w:pPr>
          </w:p>
          <w:p w14:paraId="1224EE97" w14:textId="77777777" w:rsidR="00B81EEA" w:rsidRDefault="00B81EEA" w:rsidP="00BE3F24">
            <w:pPr>
              <w:autoSpaceDE w:val="0"/>
              <w:autoSpaceDN w:val="0"/>
              <w:adjustRightInd w:val="0"/>
              <w:rPr>
                <w:rFonts w:ascii="Arial" w:hAnsi="Arial" w:cs="Arial"/>
                <w:sz w:val="22"/>
                <w:szCs w:val="22"/>
              </w:rPr>
            </w:pPr>
          </w:p>
          <w:p w14:paraId="5B09EB00"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Rapid</w:t>
            </w:r>
          </w:p>
          <w:p w14:paraId="26893F5C"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Rapid</w:t>
            </w:r>
          </w:p>
          <w:p w14:paraId="7A5081FD"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Rapid</w:t>
            </w:r>
          </w:p>
          <w:p w14:paraId="7D97B161"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Rapid</w:t>
            </w:r>
          </w:p>
          <w:p w14:paraId="3F7CDAC9" w14:textId="77777777" w:rsidR="00FC0A1E" w:rsidRPr="007F762D" w:rsidRDefault="00FC0A1E" w:rsidP="00BE3F24">
            <w:pPr>
              <w:rPr>
                <w:rFonts w:ascii="Arial" w:hAnsi="Arial" w:cs="Arial"/>
                <w:sz w:val="22"/>
                <w:szCs w:val="22"/>
              </w:rPr>
            </w:pPr>
            <w:r w:rsidRPr="007F762D">
              <w:rPr>
                <w:rFonts w:ascii="Arial" w:hAnsi="Arial" w:cs="Arial"/>
                <w:sz w:val="22"/>
                <w:szCs w:val="22"/>
              </w:rPr>
              <w:t>Slow</w:t>
            </w:r>
          </w:p>
          <w:p w14:paraId="2DBBE092" w14:textId="77777777" w:rsidR="0027598C" w:rsidRDefault="0027598C" w:rsidP="00BE3F24">
            <w:pPr>
              <w:autoSpaceDE w:val="0"/>
              <w:autoSpaceDN w:val="0"/>
              <w:adjustRightInd w:val="0"/>
              <w:rPr>
                <w:rFonts w:ascii="Arial" w:hAnsi="Arial" w:cs="Arial"/>
                <w:sz w:val="22"/>
                <w:szCs w:val="22"/>
              </w:rPr>
            </w:pPr>
          </w:p>
          <w:p w14:paraId="08703621" w14:textId="345193DE"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Dependent on quantity</w:t>
            </w:r>
            <w:r w:rsidR="00B81EEA">
              <w:rPr>
                <w:rFonts w:ascii="Arial" w:hAnsi="Arial" w:cs="Arial"/>
                <w:sz w:val="22"/>
                <w:szCs w:val="22"/>
              </w:rPr>
              <w:t xml:space="preserve"> </w:t>
            </w:r>
            <w:r w:rsidRPr="007F762D">
              <w:rPr>
                <w:rFonts w:ascii="Arial" w:hAnsi="Arial" w:cs="Arial"/>
                <w:sz w:val="22"/>
                <w:szCs w:val="22"/>
              </w:rPr>
              <w:t>of plastic fines</w:t>
            </w:r>
          </w:p>
          <w:p w14:paraId="2DE1C96F" w14:textId="77777777" w:rsidR="00B81EEA" w:rsidRDefault="00B81EEA" w:rsidP="00BE3F24">
            <w:pPr>
              <w:rPr>
                <w:rFonts w:ascii="Arial" w:hAnsi="Arial" w:cs="Arial"/>
                <w:sz w:val="22"/>
                <w:szCs w:val="22"/>
              </w:rPr>
            </w:pPr>
          </w:p>
          <w:p w14:paraId="42D7B6CE" w14:textId="77777777" w:rsidR="007956B1" w:rsidRDefault="007956B1" w:rsidP="00BE3F24">
            <w:pPr>
              <w:rPr>
                <w:rFonts w:ascii="Arial" w:hAnsi="Arial" w:cs="Arial"/>
                <w:sz w:val="22"/>
                <w:szCs w:val="22"/>
              </w:rPr>
            </w:pPr>
          </w:p>
          <w:p w14:paraId="51E3F38E" w14:textId="77777777" w:rsidR="00FC0A1E" w:rsidRPr="007F762D" w:rsidRDefault="00FC0A1E" w:rsidP="00BE3F24">
            <w:pPr>
              <w:rPr>
                <w:rFonts w:ascii="Arial" w:hAnsi="Arial" w:cs="Arial"/>
                <w:sz w:val="22"/>
                <w:szCs w:val="22"/>
              </w:rPr>
            </w:pPr>
            <w:r w:rsidRPr="007F762D">
              <w:rPr>
                <w:rFonts w:ascii="Arial" w:hAnsi="Arial" w:cs="Arial"/>
                <w:sz w:val="22"/>
                <w:szCs w:val="22"/>
              </w:rPr>
              <w:t>No reactive material</w:t>
            </w:r>
          </w:p>
          <w:p w14:paraId="31037790" w14:textId="38A27D9F" w:rsidR="00FC0A1E" w:rsidRPr="007F762D" w:rsidRDefault="00FC0A1E" w:rsidP="00BE3F24">
            <w:pPr>
              <w:rPr>
                <w:rFonts w:ascii="Arial" w:hAnsi="Arial" w:cs="Arial"/>
                <w:sz w:val="22"/>
                <w:szCs w:val="22"/>
              </w:rPr>
            </w:pPr>
            <w:r w:rsidRPr="007F762D">
              <w:rPr>
                <w:rFonts w:ascii="Arial" w:hAnsi="Arial" w:cs="Arial"/>
                <w:sz w:val="22"/>
                <w:szCs w:val="22"/>
              </w:rPr>
              <w:t>Covers broader range</w:t>
            </w:r>
          </w:p>
          <w:p w14:paraId="0E2C0379" w14:textId="4CBA0BA9" w:rsidR="0027598C" w:rsidRDefault="0027598C" w:rsidP="00BE3F24">
            <w:pPr>
              <w:rPr>
                <w:rFonts w:ascii="Arial" w:hAnsi="Arial" w:cs="Arial"/>
                <w:sz w:val="22"/>
                <w:szCs w:val="22"/>
              </w:rPr>
            </w:pPr>
          </w:p>
          <w:p w14:paraId="6D0E9525" w14:textId="5E9FDA37" w:rsidR="00FC0A1E" w:rsidRPr="007F762D" w:rsidRDefault="00FC0A1E" w:rsidP="00BE3F24">
            <w:pPr>
              <w:rPr>
                <w:rFonts w:ascii="Arial" w:hAnsi="Arial" w:cs="Arial"/>
                <w:sz w:val="22"/>
                <w:szCs w:val="22"/>
              </w:rPr>
            </w:pPr>
            <w:r w:rsidRPr="007F762D">
              <w:rPr>
                <w:rFonts w:ascii="Arial" w:hAnsi="Arial" w:cs="Arial"/>
                <w:sz w:val="22"/>
                <w:szCs w:val="22"/>
              </w:rPr>
              <w:t>Covers broader range</w:t>
            </w:r>
          </w:p>
          <w:p w14:paraId="637C915E" w14:textId="77777777" w:rsidR="00FC0A1E" w:rsidRPr="007F762D" w:rsidRDefault="00FC0A1E" w:rsidP="00BE3F24">
            <w:pPr>
              <w:rPr>
                <w:rFonts w:ascii="Arial" w:hAnsi="Arial" w:cs="Arial"/>
                <w:sz w:val="22"/>
                <w:szCs w:val="22"/>
              </w:rPr>
            </w:pPr>
          </w:p>
          <w:p w14:paraId="3CE1B6C3" w14:textId="77777777" w:rsidR="00FC0A1E" w:rsidRPr="007F762D" w:rsidRDefault="00FC0A1E" w:rsidP="00BE3F24">
            <w:pPr>
              <w:rPr>
                <w:rFonts w:ascii="Arial" w:hAnsi="Arial" w:cs="Arial"/>
                <w:sz w:val="22"/>
                <w:szCs w:val="22"/>
              </w:rPr>
            </w:pPr>
          </w:p>
          <w:p w14:paraId="7440E2E7" w14:textId="185E3680"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Asphalt cement or</w:t>
            </w:r>
            <w:r w:rsidR="0027598C">
              <w:rPr>
                <w:rFonts w:ascii="Arial" w:hAnsi="Arial" w:cs="Arial"/>
                <w:sz w:val="22"/>
                <w:szCs w:val="22"/>
              </w:rPr>
              <w:t xml:space="preserve"> </w:t>
            </w:r>
            <w:r w:rsidRPr="007F762D">
              <w:rPr>
                <w:rFonts w:ascii="Arial" w:hAnsi="Arial" w:cs="Arial"/>
                <w:sz w:val="22"/>
                <w:szCs w:val="22"/>
              </w:rPr>
              <w:t>liquid asphalt</w:t>
            </w:r>
          </w:p>
          <w:p w14:paraId="51014A36" w14:textId="77777777" w:rsidR="0027598C" w:rsidRDefault="0027598C" w:rsidP="00BE3F24">
            <w:pPr>
              <w:rPr>
                <w:rFonts w:ascii="Arial" w:hAnsi="Arial" w:cs="Arial"/>
                <w:sz w:val="22"/>
                <w:szCs w:val="22"/>
              </w:rPr>
            </w:pPr>
          </w:p>
          <w:p w14:paraId="784DBA4A" w14:textId="77777777" w:rsidR="00FC0A1E" w:rsidRPr="007F762D" w:rsidRDefault="00FC0A1E" w:rsidP="00BE3F24">
            <w:pPr>
              <w:rPr>
                <w:rFonts w:ascii="Arial" w:hAnsi="Arial" w:cs="Arial"/>
                <w:sz w:val="22"/>
                <w:szCs w:val="22"/>
              </w:rPr>
            </w:pPr>
            <w:r w:rsidRPr="007F762D">
              <w:rPr>
                <w:rFonts w:ascii="Arial" w:hAnsi="Arial" w:cs="Arial"/>
                <w:sz w:val="22"/>
                <w:szCs w:val="22"/>
              </w:rPr>
              <w:t>Liquid asphalt</w:t>
            </w:r>
          </w:p>
          <w:p w14:paraId="20242378" w14:textId="77777777" w:rsidR="0027598C" w:rsidRDefault="0027598C" w:rsidP="00BE3F24">
            <w:pPr>
              <w:rPr>
                <w:rFonts w:ascii="Arial" w:hAnsi="Arial" w:cs="Arial"/>
                <w:sz w:val="22"/>
                <w:szCs w:val="22"/>
              </w:rPr>
            </w:pPr>
          </w:p>
          <w:p w14:paraId="58F0AB2F" w14:textId="2F9BA3F5" w:rsidR="00FC0A1E" w:rsidRPr="007F762D" w:rsidRDefault="00FC0A1E" w:rsidP="00BE3F24">
            <w:pPr>
              <w:rPr>
                <w:rFonts w:ascii="Arial" w:hAnsi="Arial" w:cs="Arial"/>
                <w:sz w:val="22"/>
                <w:szCs w:val="22"/>
              </w:rPr>
            </w:pPr>
            <w:r w:rsidRPr="007F762D">
              <w:rPr>
                <w:rFonts w:ascii="Arial" w:hAnsi="Arial" w:cs="Arial"/>
                <w:sz w:val="22"/>
                <w:szCs w:val="22"/>
              </w:rPr>
              <w:t>Can</w:t>
            </w:r>
            <w:r w:rsidR="0027598C">
              <w:rPr>
                <w:rFonts w:ascii="Arial" w:hAnsi="Arial" w:cs="Arial"/>
                <w:sz w:val="22"/>
                <w:szCs w:val="22"/>
              </w:rPr>
              <w:t>not</w:t>
            </w:r>
            <w:r w:rsidRPr="007F762D">
              <w:rPr>
                <w:rFonts w:ascii="Arial" w:hAnsi="Arial" w:cs="Arial"/>
                <w:sz w:val="22"/>
                <w:szCs w:val="22"/>
              </w:rPr>
              <w:t xml:space="preserve"> </w:t>
            </w:r>
            <w:r w:rsidR="0027598C">
              <w:rPr>
                <w:rFonts w:ascii="Arial" w:hAnsi="Arial" w:cs="Arial"/>
                <w:sz w:val="22"/>
                <w:szCs w:val="22"/>
              </w:rPr>
              <w:t>m</w:t>
            </w:r>
            <w:r w:rsidRPr="007F762D">
              <w:rPr>
                <w:rFonts w:ascii="Arial" w:hAnsi="Arial" w:cs="Arial"/>
                <w:sz w:val="22"/>
                <w:szCs w:val="22"/>
              </w:rPr>
              <w:t>ix</w:t>
            </w:r>
          </w:p>
          <w:p w14:paraId="23E3FF1F" w14:textId="77777777" w:rsidR="00FC0A1E" w:rsidRPr="007F762D" w:rsidRDefault="00FC0A1E" w:rsidP="00BE3F24">
            <w:pPr>
              <w:rPr>
                <w:rFonts w:ascii="Arial" w:hAnsi="Arial" w:cs="Arial"/>
                <w:sz w:val="22"/>
                <w:szCs w:val="22"/>
              </w:rPr>
            </w:pPr>
          </w:p>
          <w:p w14:paraId="7CBF01F4"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Dense and strong</w:t>
            </w:r>
          </w:p>
          <w:p w14:paraId="46BAE899" w14:textId="77777777" w:rsidR="00FC0A1E" w:rsidRPr="007F762D" w:rsidRDefault="00FC0A1E" w:rsidP="00BE3F24">
            <w:pPr>
              <w:rPr>
                <w:rFonts w:ascii="Arial" w:hAnsi="Arial" w:cs="Arial"/>
                <w:sz w:val="22"/>
                <w:szCs w:val="22"/>
              </w:rPr>
            </w:pPr>
            <w:r w:rsidRPr="007F762D">
              <w:rPr>
                <w:rFonts w:ascii="Arial" w:hAnsi="Arial" w:cs="Arial"/>
                <w:sz w:val="22"/>
                <w:szCs w:val="22"/>
              </w:rPr>
              <w:t>Slower than cement</w:t>
            </w:r>
          </w:p>
          <w:p w14:paraId="0B7A1246" w14:textId="77777777" w:rsidR="00FC0A1E" w:rsidRPr="007F762D" w:rsidRDefault="00FC0A1E" w:rsidP="00BE3F24">
            <w:pPr>
              <w:autoSpaceDE w:val="0"/>
              <w:autoSpaceDN w:val="0"/>
              <w:adjustRightInd w:val="0"/>
              <w:rPr>
                <w:rFonts w:ascii="Arial" w:hAnsi="Arial" w:cs="Arial"/>
                <w:sz w:val="22"/>
                <w:szCs w:val="22"/>
              </w:rPr>
            </w:pPr>
          </w:p>
          <w:p w14:paraId="651BAEFD"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See vendor literature</w:t>
            </w:r>
          </w:p>
          <w:p w14:paraId="2EF3D06B" w14:textId="715D99C0" w:rsidR="00FC0A1E" w:rsidRPr="007F762D" w:rsidRDefault="00FC0A1E" w:rsidP="0027598C">
            <w:pPr>
              <w:rPr>
                <w:rFonts w:ascii="Arial" w:hAnsi="Arial" w:cs="Arial"/>
                <w:sz w:val="22"/>
                <w:szCs w:val="22"/>
              </w:rPr>
            </w:pPr>
            <w:r w:rsidRPr="007F762D">
              <w:rPr>
                <w:rFonts w:ascii="Arial" w:hAnsi="Arial" w:cs="Arial"/>
                <w:sz w:val="22"/>
                <w:szCs w:val="22"/>
              </w:rPr>
              <w:t>Difficult to mix</w:t>
            </w:r>
          </w:p>
        </w:tc>
      </w:tr>
      <w:tr w:rsidR="00FC0A1E" w:rsidRPr="007F762D" w14:paraId="6E8F28E2" w14:textId="77777777" w:rsidTr="008810D7">
        <w:trPr>
          <w:trHeight w:val="255"/>
          <w:jc w:val="center"/>
        </w:trPr>
        <w:tc>
          <w:tcPr>
            <w:tcW w:w="2065" w:type="dxa"/>
          </w:tcPr>
          <w:p w14:paraId="474B3A2D" w14:textId="77777777" w:rsidR="00FC0A1E" w:rsidRPr="007F762D" w:rsidRDefault="00FC0A1E" w:rsidP="00BE3F24">
            <w:pPr>
              <w:autoSpaceDE w:val="0"/>
              <w:autoSpaceDN w:val="0"/>
              <w:adjustRightInd w:val="0"/>
              <w:jc w:val="center"/>
              <w:rPr>
                <w:rFonts w:ascii="Arial" w:hAnsi="Arial" w:cs="Arial"/>
                <w:b/>
                <w:bCs/>
                <w:i/>
                <w:iCs/>
                <w:sz w:val="22"/>
                <w:szCs w:val="22"/>
              </w:rPr>
            </w:pPr>
            <w:r w:rsidRPr="007F762D">
              <w:rPr>
                <w:rFonts w:ascii="Arial" w:hAnsi="Arial" w:cs="Arial"/>
                <w:b/>
                <w:bCs/>
                <w:i/>
                <w:iCs/>
                <w:sz w:val="22"/>
                <w:szCs w:val="22"/>
              </w:rPr>
              <w:lastRenderedPageBreak/>
              <w:t>Water proofers</w:t>
            </w:r>
          </w:p>
          <w:p w14:paraId="2C03A372" w14:textId="2EE03F01" w:rsidR="00FC0A1E" w:rsidRPr="007F762D" w:rsidRDefault="0027598C" w:rsidP="00BE3F24">
            <w:pPr>
              <w:autoSpaceDE w:val="0"/>
              <w:autoSpaceDN w:val="0"/>
              <w:adjustRightInd w:val="0"/>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Asphalt</w:t>
            </w:r>
          </w:p>
          <w:p w14:paraId="22A210C0" w14:textId="77777777" w:rsidR="00FC0A1E" w:rsidRPr="007F762D" w:rsidRDefault="00FC0A1E" w:rsidP="00BE3F24">
            <w:pPr>
              <w:autoSpaceDE w:val="0"/>
              <w:autoSpaceDN w:val="0"/>
              <w:adjustRightInd w:val="0"/>
              <w:rPr>
                <w:rFonts w:ascii="Arial" w:hAnsi="Arial" w:cs="Arial"/>
                <w:sz w:val="22"/>
                <w:szCs w:val="22"/>
              </w:rPr>
            </w:pPr>
          </w:p>
          <w:p w14:paraId="3E696267" w14:textId="77777777" w:rsidR="00FC0A1E" w:rsidRPr="007F762D" w:rsidRDefault="00FC0A1E" w:rsidP="00BE3F24">
            <w:pPr>
              <w:autoSpaceDE w:val="0"/>
              <w:autoSpaceDN w:val="0"/>
              <w:adjustRightInd w:val="0"/>
              <w:rPr>
                <w:rFonts w:ascii="Arial" w:hAnsi="Arial" w:cs="Arial"/>
                <w:sz w:val="22"/>
                <w:szCs w:val="22"/>
              </w:rPr>
            </w:pPr>
          </w:p>
          <w:p w14:paraId="6BF0DC49" w14:textId="6BDDE4B3" w:rsidR="00FC0A1E" w:rsidRPr="007F762D" w:rsidRDefault="0027598C" w:rsidP="00BE3F24">
            <w:pPr>
              <w:autoSpaceDE w:val="0"/>
              <w:autoSpaceDN w:val="0"/>
              <w:adjustRightInd w:val="0"/>
              <w:rPr>
                <w:rFonts w:ascii="Arial" w:hAnsi="Arial" w:cs="Arial"/>
                <w:sz w:val="22"/>
                <w:szCs w:val="22"/>
              </w:rPr>
            </w:pPr>
            <w:r>
              <w:rPr>
                <w:rFonts w:ascii="Arial" w:hAnsi="Arial" w:cs="Arial"/>
                <w:sz w:val="22"/>
                <w:szCs w:val="22"/>
              </w:rPr>
              <w:t xml:space="preserve">– </w:t>
            </w:r>
            <w:r w:rsidR="00FC0A1E" w:rsidRPr="007F762D">
              <w:rPr>
                <w:rFonts w:ascii="Arial" w:hAnsi="Arial" w:cs="Arial"/>
                <w:sz w:val="22"/>
                <w:szCs w:val="22"/>
              </w:rPr>
              <w:t>Geomembranes</w:t>
            </w:r>
          </w:p>
          <w:p w14:paraId="123FD8AE" w14:textId="77777777" w:rsidR="00FC0A1E" w:rsidRPr="007F762D" w:rsidRDefault="00FC0A1E" w:rsidP="00BE3F24">
            <w:pPr>
              <w:autoSpaceDE w:val="0"/>
              <w:autoSpaceDN w:val="0"/>
              <w:adjustRightInd w:val="0"/>
              <w:rPr>
                <w:rFonts w:ascii="Arial" w:hAnsi="Arial" w:cs="Arial"/>
                <w:sz w:val="22"/>
                <w:szCs w:val="22"/>
              </w:rPr>
            </w:pPr>
          </w:p>
        </w:tc>
        <w:tc>
          <w:tcPr>
            <w:tcW w:w="1620" w:type="dxa"/>
          </w:tcPr>
          <w:p w14:paraId="36683DF0" w14:textId="77777777" w:rsidR="00FC0A1E" w:rsidRPr="007F762D" w:rsidRDefault="00FC0A1E" w:rsidP="00BE3F24">
            <w:pPr>
              <w:rPr>
                <w:rFonts w:ascii="Arial" w:hAnsi="Arial" w:cs="Arial"/>
                <w:sz w:val="22"/>
                <w:szCs w:val="22"/>
              </w:rPr>
            </w:pPr>
          </w:p>
          <w:p w14:paraId="581CF8E7"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Plastic and</w:t>
            </w:r>
          </w:p>
          <w:p w14:paraId="6A859227" w14:textId="000B178F" w:rsidR="00FC0A1E" w:rsidRPr="007F762D" w:rsidRDefault="0027598C" w:rsidP="00BE3F24">
            <w:pPr>
              <w:rPr>
                <w:rFonts w:ascii="Arial" w:hAnsi="Arial" w:cs="Arial"/>
                <w:sz w:val="22"/>
                <w:szCs w:val="22"/>
              </w:rPr>
            </w:pPr>
            <w:r>
              <w:rPr>
                <w:rFonts w:ascii="Arial" w:hAnsi="Arial" w:cs="Arial"/>
                <w:sz w:val="22"/>
                <w:szCs w:val="22"/>
              </w:rPr>
              <w:t>c</w:t>
            </w:r>
            <w:r w:rsidR="00FC0A1E" w:rsidRPr="007F762D">
              <w:rPr>
                <w:rFonts w:ascii="Arial" w:hAnsi="Arial" w:cs="Arial"/>
                <w:sz w:val="22"/>
                <w:szCs w:val="22"/>
              </w:rPr>
              <w:t>ollapsible</w:t>
            </w:r>
          </w:p>
          <w:p w14:paraId="2144D303" w14:textId="77777777" w:rsidR="00FC0A1E" w:rsidRPr="007F762D" w:rsidRDefault="00FC0A1E" w:rsidP="00BE3F24">
            <w:pPr>
              <w:rPr>
                <w:rFonts w:ascii="Arial" w:hAnsi="Arial" w:cs="Arial"/>
                <w:sz w:val="22"/>
                <w:szCs w:val="22"/>
              </w:rPr>
            </w:pPr>
          </w:p>
          <w:p w14:paraId="685FE2B1" w14:textId="77777777" w:rsidR="00FC0A1E" w:rsidRPr="007F762D" w:rsidRDefault="00FC0A1E" w:rsidP="00BE3F24">
            <w:pPr>
              <w:autoSpaceDE w:val="0"/>
              <w:autoSpaceDN w:val="0"/>
              <w:adjustRightInd w:val="0"/>
              <w:rPr>
                <w:rFonts w:ascii="Arial" w:hAnsi="Arial" w:cs="Arial"/>
                <w:sz w:val="22"/>
                <w:szCs w:val="22"/>
              </w:rPr>
            </w:pPr>
            <w:r w:rsidRPr="007F762D">
              <w:rPr>
                <w:rFonts w:ascii="Arial" w:hAnsi="Arial" w:cs="Arial"/>
                <w:sz w:val="22"/>
                <w:szCs w:val="22"/>
              </w:rPr>
              <w:t>Plastic and</w:t>
            </w:r>
          </w:p>
          <w:p w14:paraId="3190A5E4" w14:textId="300E8B14" w:rsidR="00FC0A1E" w:rsidRPr="007F762D" w:rsidRDefault="00FC0A1E" w:rsidP="0027598C">
            <w:pPr>
              <w:rPr>
                <w:rFonts w:ascii="Arial" w:hAnsi="Arial" w:cs="Arial"/>
                <w:sz w:val="22"/>
                <w:szCs w:val="22"/>
              </w:rPr>
            </w:pPr>
          </w:p>
        </w:tc>
        <w:tc>
          <w:tcPr>
            <w:tcW w:w="2610" w:type="dxa"/>
          </w:tcPr>
          <w:p w14:paraId="1538E09E" w14:textId="77777777" w:rsidR="00FC0A1E" w:rsidRPr="007F762D" w:rsidRDefault="00FC0A1E" w:rsidP="00BE3F24">
            <w:pPr>
              <w:rPr>
                <w:rFonts w:ascii="Arial" w:hAnsi="Arial" w:cs="Arial"/>
                <w:sz w:val="22"/>
                <w:szCs w:val="22"/>
              </w:rPr>
            </w:pPr>
          </w:p>
          <w:p w14:paraId="233773DC" w14:textId="5B2A6994" w:rsidR="00FC0A1E" w:rsidRPr="007F762D" w:rsidRDefault="00FC0A1E" w:rsidP="007956B1">
            <w:pPr>
              <w:autoSpaceDE w:val="0"/>
              <w:autoSpaceDN w:val="0"/>
              <w:adjustRightInd w:val="0"/>
              <w:rPr>
                <w:rFonts w:ascii="Arial" w:hAnsi="Arial" w:cs="Arial"/>
                <w:sz w:val="22"/>
                <w:szCs w:val="22"/>
              </w:rPr>
            </w:pPr>
            <w:r w:rsidRPr="007F762D">
              <w:rPr>
                <w:rFonts w:ascii="Arial" w:hAnsi="Arial" w:cs="Arial"/>
                <w:sz w:val="22"/>
                <w:szCs w:val="22"/>
              </w:rPr>
              <w:t>Reduce change in</w:t>
            </w:r>
            <w:r w:rsidR="007956B1">
              <w:rPr>
                <w:rFonts w:ascii="Arial" w:hAnsi="Arial" w:cs="Arial"/>
                <w:sz w:val="22"/>
                <w:szCs w:val="22"/>
              </w:rPr>
              <w:t xml:space="preserve"> </w:t>
            </w:r>
            <w:r w:rsidR="0027598C">
              <w:rPr>
                <w:rFonts w:ascii="Arial" w:hAnsi="Arial" w:cs="Arial"/>
                <w:sz w:val="22"/>
                <w:szCs w:val="22"/>
              </w:rPr>
              <w:t>m</w:t>
            </w:r>
            <w:r w:rsidRPr="007F762D">
              <w:rPr>
                <w:rFonts w:ascii="Arial" w:hAnsi="Arial" w:cs="Arial"/>
                <w:sz w:val="22"/>
                <w:szCs w:val="22"/>
              </w:rPr>
              <w:t>oisture</w:t>
            </w:r>
          </w:p>
          <w:p w14:paraId="216496F7" w14:textId="77777777" w:rsidR="00FC0A1E" w:rsidRPr="007F762D" w:rsidRDefault="00FC0A1E" w:rsidP="00BE3F24">
            <w:pPr>
              <w:rPr>
                <w:rFonts w:ascii="Arial" w:hAnsi="Arial" w:cs="Arial"/>
                <w:sz w:val="22"/>
                <w:szCs w:val="22"/>
              </w:rPr>
            </w:pPr>
          </w:p>
          <w:p w14:paraId="447B879A" w14:textId="38FA47FF"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Reduce change in</w:t>
            </w:r>
            <w:r w:rsidR="007956B1">
              <w:rPr>
                <w:rFonts w:ascii="Arial" w:hAnsi="Arial" w:cs="Arial"/>
                <w:sz w:val="22"/>
                <w:szCs w:val="22"/>
              </w:rPr>
              <w:t xml:space="preserve"> </w:t>
            </w:r>
            <w:r w:rsidRPr="007F762D">
              <w:rPr>
                <w:rFonts w:ascii="Arial" w:hAnsi="Arial" w:cs="Arial"/>
                <w:sz w:val="22"/>
                <w:szCs w:val="22"/>
              </w:rPr>
              <w:t>moisture</w:t>
            </w:r>
          </w:p>
        </w:tc>
        <w:tc>
          <w:tcPr>
            <w:tcW w:w="2430" w:type="dxa"/>
          </w:tcPr>
          <w:p w14:paraId="520E0A8B" w14:textId="77777777" w:rsidR="00FC0A1E" w:rsidRPr="007F762D" w:rsidRDefault="00FC0A1E" w:rsidP="00BE3F24">
            <w:pPr>
              <w:rPr>
                <w:rFonts w:ascii="Arial" w:hAnsi="Arial" w:cs="Arial"/>
                <w:sz w:val="22"/>
                <w:szCs w:val="22"/>
              </w:rPr>
            </w:pPr>
          </w:p>
          <w:p w14:paraId="35A04FC7" w14:textId="499715BB" w:rsidR="00FC0A1E" w:rsidRPr="007F762D" w:rsidRDefault="00FC0A1E" w:rsidP="0027598C">
            <w:pPr>
              <w:autoSpaceDE w:val="0"/>
              <w:autoSpaceDN w:val="0"/>
              <w:adjustRightInd w:val="0"/>
              <w:rPr>
                <w:rFonts w:ascii="Arial" w:hAnsi="Arial" w:cs="Arial"/>
                <w:sz w:val="22"/>
                <w:szCs w:val="22"/>
              </w:rPr>
            </w:pPr>
            <w:r w:rsidRPr="007F762D">
              <w:rPr>
                <w:rFonts w:ascii="Arial" w:hAnsi="Arial" w:cs="Arial"/>
                <w:sz w:val="22"/>
                <w:szCs w:val="22"/>
              </w:rPr>
              <w:t>Long-term moisture migration</w:t>
            </w:r>
            <w:r w:rsidR="0027598C">
              <w:rPr>
                <w:rFonts w:ascii="Arial" w:hAnsi="Arial" w:cs="Arial"/>
                <w:sz w:val="22"/>
                <w:szCs w:val="22"/>
              </w:rPr>
              <w:t xml:space="preserve"> p</w:t>
            </w:r>
            <w:r w:rsidRPr="007F762D">
              <w:rPr>
                <w:rFonts w:ascii="Arial" w:hAnsi="Arial" w:cs="Arial"/>
                <w:sz w:val="22"/>
                <w:szCs w:val="22"/>
              </w:rPr>
              <w:t>roblem</w:t>
            </w:r>
          </w:p>
          <w:p w14:paraId="48A01286" w14:textId="74A8D148" w:rsidR="0027598C" w:rsidRDefault="0027598C" w:rsidP="008810D7">
            <w:pPr>
              <w:autoSpaceDE w:val="0"/>
              <w:autoSpaceDN w:val="0"/>
              <w:adjustRightInd w:val="0"/>
              <w:rPr>
                <w:rFonts w:ascii="Arial" w:hAnsi="Arial" w:cs="Arial"/>
                <w:sz w:val="22"/>
                <w:szCs w:val="22"/>
              </w:rPr>
            </w:pPr>
          </w:p>
          <w:p w14:paraId="1BD5A7B2" w14:textId="250FB0AF" w:rsidR="00FC0A1E" w:rsidRPr="007F762D" w:rsidRDefault="00FC0A1E" w:rsidP="008810D7">
            <w:pPr>
              <w:autoSpaceDE w:val="0"/>
              <w:autoSpaceDN w:val="0"/>
              <w:adjustRightInd w:val="0"/>
              <w:rPr>
                <w:rFonts w:ascii="Arial" w:hAnsi="Arial" w:cs="Arial"/>
                <w:sz w:val="22"/>
                <w:szCs w:val="22"/>
              </w:rPr>
            </w:pPr>
            <w:r w:rsidRPr="007F762D">
              <w:rPr>
                <w:rFonts w:ascii="Arial" w:hAnsi="Arial" w:cs="Arial"/>
                <w:sz w:val="22"/>
                <w:szCs w:val="22"/>
              </w:rPr>
              <w:t>Long-term moisture</w:t>
            </w:r>
            <w:r w:rsidR="0027598C">
              <w:rPr>
                <w:rFonts w:ascii="Arial" w:hAnsi="Arial" w:cs="Arial"/>
                <w:sz w:val="22"/>
                <w:szCs w:val="22"/>
              </w:rPr>
              <w:t xml:space="preserve"> m</w:t>
            </w:r>
            <w:r w:rsidRPr="007F762D">
              <w:rPr>
                <w:rFonts w:ascii="Arial" w:hAnsi="Arial" w:cs="Arial"/>
                <w:sz w:val="22"/>
                <w:szCs w:val="22"/>
              </w:rPr>
              <w:t>igration</w:t>
            </w:r>
            <w:r w:rsidR="0027598C">
              <w:rPr>
                <w:rFonts w:ascii="Arial" w:hAnsi="Arial" w:cs="Arial"/>
                <w:sz w:val="22"/>
                <w:szCs w:val="22"/>
              </w:rPr>
              <w:t xml:space="preserve"> </w:t>
            </w:r>
            <w:r w:rsidRPr="007F762D">
              <w:rPr>
                <w:rFonts w:ascii="Arial" w:hAnsi="Arial" w:cs="Arial"/>
                <w:sz w:val="22"/>
                <w:szCs w:val="22"/>
              </w:rPr>
              <w:t>problem</w:t>
            </w:r>
          </w:p>
        </w:tc>
      </w:tr>
    </w:tbl>
    <w:p w14:paraId="05206269" w14:textId="77777777" w:rsidR="00FC0A1E" w:rsidRPr="008810D7" w:rsidRDefault="00FC0A1E" w:rsidP="008810D7">
      <w:pPr>
        <w:autoSpaceDE w:val="0"/>
        <w:autoSpaceDN w:val="0"/>
        <w:adjustRightInd w:val="0"/>
        <w:ind w:left="180"/>
        <w:jc w:val="both"/>
        <w:rPr>
          <w:rFonts w:ascii="Arial" w:hAnsi="Arial"/>
          <w:sz w:val="18"/>
        </w:rPr>
      </w:pPr>
      <w:r w:rsidRPr="008810D7">
        <w:rPr>
          <w:rFonts w:ascii="Arial" w:hAnsi="Arial"/>
          <w:sz w:val="18"/>
        </w:rPr>
        <w:t>Courtesy: FHWA NHI-05-037 “</w:t>
      </w:r>
      <w:r w:rsidRPr="008810D7">
        <w:rPr>
          <w:rFonts w:ascii="Arial" w:hAnsi="Arial"/>
          <w:i/>
          <w:sz w:val="18"/>
        </w:rPr>
        <w:t>Geotechnical Aspects of Pavements”</w:t>
      </w:r>
    </w:p>
    <w:p w14:paraId="466C16CF" w14:textId="77777777" w:rsidR="007F762D" w:rsidRPr="008810D7" w:rsidRDefault="007F762D" w:rsidP="00BE3F24">
      <w:pPr>
        <w:jc w:val="both"/>
        <w:rPr>
          <w:rFonts w:ascii="Arial" w:hAnsi="Arial"/>
          <w:sz w:val="18"/>
        </w:rPr>
      </w:pPr>
    </w:p>
    <w:p w14:paraId="3BB3D3AC" w14:textId="7A94650A" w:rsidR="00FC0A1E" w:rsidRPr="007F762D" w:rsidRDefault="008C7023" w:rsidP="00BE3F24">
      <w:pPr>
        <w:jc w:val="both"/>
        <w:rPr>
          <w:rFonts w:ascii="Arial" w:hAnsi="Arial" w:cs="Arial"/>
          <w:sz w:val="22"/>
          <w:szCs w:val="22"/>
        </w:rPr>
      </w:pPr>
      <w:r>
        <w:rPr>
          <w:rFonts w:ascii="Arial" w:hAnsi="Arial" w:cs="Arial"/>
          <w:sz w:val="22"/>
          <w:szCs w:val="22"/>
        </w:rPr>
        <w:t>MDOT-SHA</w:t>
      </w:r>
      <w:r w:rsidR="00FC0A1E" w:rsidRPr="007F762D">
        <w:rPr>
          <w:rFonts w:ascii="Arial" w:hAnsi="Arial" w:cs="Arial"/>
          <w:sz w:val="22"/>
          <w:szCs w:val="22"/>
        </w:rPr>
        <w:t xml:space="preserve"> prefers performing subgrade stabilization by design undercuts rather than altering soil properties by changing the gradation through mixing with other soils, densifying the soils</w:t>
      </w:r>
      <w:r w:rsidR="00CA20A5">
        <w:rPr>
          <w:rFonts w:ascii="Arial" w:hAnsi="Arial" w:cs="Arial"/>
          <w:sz w:val="22"/>
          <w:szCs w:val="22"/>
        </w:rPr>
        <w:t>'</w:t>
      </w:r>
      <w:r w:rsidR="00FC0A1E" w:rsidRPr="007F762D">
        <w:rPr>
          <w:rFonts w:ascii="Arial" w:hAnsi="Arial" w:cs="Arial"/>
          <w:sz w:val="22"/>
          <w:szCs w:val="22"/>
        </w:rPr>
        <w:t xml:space="preserve"> compaction efforts. However, </w:t>
      </w:r>
      <w:r>
        <w:rPr>
          <w:rFonts w:ascii="Arial" w:hAnsi="Arial" w:cs="Arial"/>
          <w:sz w:val="22"/>
          <w:szCs w:val="22"/>
        </w:rPr>
        <w:t>MDOT-SHA</w:t>
      </w:r>
      <w:r w:rsidR="00FC0A1E" w:rsidRPr="007F762D">
        <w:rPr>
          <w:rFonts w:ascii="Arial" w:hAnsi="Arial" w:cs="Arial"/>
          <w:sz w:val="22"/>
          <w:szCs w:val="22"/>
        </w:rPr>
        <w:t xml:space="preserve"> will consider chemical stabilization as an alternative to undercutting in areas where excavation and hauling costs are high; where more than 50% of the project requires undercutting; or for Design-Build projects. </w:t>
      </w:r>
    </w:p>
    <w:p w14:paraId="7CCC4A78" w14:textId="77777777" w:rsidR="00FC0A1E" w:rsidRDefault="00FC0A1E" w:rsidP="00172E64">
      <w:pPr>
        <w:pStyle w:val="Heading3"/>
        <w:numPr>
          <w:ilvl w:val="2"/>
          <w:numId w:val="184"/>
        </w:numPr>
        <w:ind w:left="0" w:firstLine="0"/>
      </w:pPr>
      <w:r>
        <w:t>M</w:t>
      </w:r>
      <w:r w:rsidRPr="003B2855">
        <w:t xml:space="preserve">echanical </w:t>
      </w:r>
      <w:r>
        <w:t>S</w:t>
      </w:r>
      <w:r w:rsidRPr="003B2855">
        <w:t>tabilization</w:t>
      </w:r>
      <w:r>
        <w:t xml:space="preserve"> (Designed Undercuts)</w:t>
      </w:r>
    </w:p>
    <w:p w14:paraId="4451C764" w14:textId="77777777" w:rsidR="00FC0A1E" w:rsidRPr="007F762D" w:rsidRDefault="00FC0A1E" w:rsidP="00BE3F24">
      <w:pPr>
        <w:jc w:val="both"/>
        <w:rPr>
          <w:rFonts w:ascii="Arial" w:hAnsi="Arial" w:cs="Arial"/>
          <w:sz w:val="22"/>
          <w:szCs w:val="22"/>
        </w:rPr>
      </w:pPr>
      <w:r w:rsidRPr="007F762D">
        <w:rPr>
          <w:rFonts w:ascii="Arial" w:hAnsi="Arial" w:cs="Arial"/>
          <w:sz w:val="22"/>
          <w:szCs w:val="22"/>
        </w:rPr>
        <w:t xml:space="preserve">A common remedial procedure for wet and soft subgrade soil is to partially remove and </w:t>
      </w:r>
    </w:p>
    <w:p w14:paraId="105B3374" w14:textId="77777777" w:rsidR="007F762D" w:rsidRDefault="00FC0A1E" w:rsidP="00BE3F24">
      <w:pPr>
        <w:jc w:val="both"/>
        <w:rPr>
          <w:rFonts w:ascii="Arial" w:hAnsi="Arial" w:cs="Arial"/>
          <w:sz w:val="22"/>
          <w:szCs w:val="22"/>
        </w:rPr>
      </w:pPr>
      <w:r w:rsidRPr="007F762D">
        <w:rPr>
          <w:rFonts w:ascii="Arial" w:hAnsi="Arial" w:cs="Arial"/>
          <w:sz w:val="22"/>
          <w:szCs w:val="22"/>
        </w:rPr>
        <w:t>replace the wet subgrade with a granular material to a pre-determined depth. The compacted granular layer distributes the wheel loads over a wider area and serves as a working platform. The following are the typical designed undercut sections:</w:t>
      </w:r>
    </w:p>
    <w:p w14:paraId="15D1A0BE" w14:textId="77777777" w:rsidR="00FC0A1E" w:rsidRPr="007F762D" w:rsidRDefault="00FC0A1E" w:rsidP="00BE3F24">
      <w:pPr>
        <w:jc w:val="both"/>
        <w:rPr>
          <w:rFonts w:ascii="Arial" w:hAnsi="Arial" w:cs="Arial"/>
          <w:sz w:val="22"/>
          <w:szCs w:val="22"/>
        </w:rPr>
      </w:pPr>
    </w:p>
    <w:p w14:paraId="261043F6" w14:textId="3805533D" w:rsidR="001A15B9" w:rsidRDefault="00FC0A1E" w:rsidP="00172E64">
      <w:pPr>
        <w:numPr>
          <w:ilvl w:val="0"/>
          <w:numId w:val="58"/>
        </w:numPr>
        <w:ind w:hanging="720"/>
        <w:jc w:val="both"/>
        <w:rPr>
          <w:rFonts w:ascii="Arial" w:hAnsi="Arial" w:cs="Arial"/>
          <w:sz w:val="22"/>
          <w:szCs w:val="22"/>
        </w:rPr>
      </w:pPr>
      <w:r w:rsidRPr="007F762D">
        <w:rPr>
          <w:rFonts w:ascii="Arial" w:hAnsi="Arial" w:cs="Arial"/>
          <w:sz w:val="22"/>
          <w:szCs w:val="22"/>
        </w:rPr>
        <w:t xml:space="preserve">If low bearing material </w:t>
      </w:r>
      <w:r w:rsidR="001130A9">
        <w:rPr>
          <w:rFonts w:ascii="Arial" w:hAnsi="Arial" w:cs="Arial"/>
          <w:sz w:val="22"/>
          <w:szCs w:val="22"/>
        </w:rPr>
        <w:t xml:space="preserve">(SPT N Value &lt; 4) </w:t>
      </w:r>
      <w:r w:rsidRPr="007F762D">
        <w:rPr>
          <w:rFonts w:ascii="Arial" w:hAnsi="Arial" w:cs="Arial"/>
          <w:sz w:val="22"/>
          <w:szCs w:val="22"/>
        </w:rPr>
        <w:t>is encountered at subgrade level or soils with high moisture content are present at the subgrade level, the subgrade may fail under test/proof rolling.  It is recommended to undercut up to 1 f</w:t>
      </w:r>
      <w:r w:rsidR="00C63DE0">
        <w:rPr>
          <w:rFonts w:ascii="Arial" w:hAnsi="Arial" w:cs="Arial"/>
          <w:sz w:val="22"/>
          <w:szCs w:val="22"/>
        </w:rPr>
        <w:t>t.</w:t>
      </w:r>
      <w:r w:rsidRPr="007F762D">
        <w:rPr>
          <w:rFonts w:ascii="Arial" w:hAnsi="Arial" w:cs="Arial"/>
          <w:sz w:val="22"/>
          <w:szCs w:val="22"/>
        </w:rPr>
        <w:t xml:space="preserve"> below the proposed excavation limits and backfill with GSSGAB (Geosynthetic Stabilized Subgrade Using Graded Aggregate Base), Select Borrow, Modified Borrow</w:t>
      </w:r>
      <w:r w:rsidR="00CA20A5">
        <w:rPr>
          <w:rFonts w:ascii="Arial" w:hAnsi="Arial" w:cs="Arial"/>
          <w:sz w:val="22"/>
          <w:szCs w:val="22"/>
        </w:rPr>
        <w:t>,</w:t>
      </w:r>
      <w:r w:rsidRPr="007F762D">
        <w:rPr>
          <w:rFonts w:ascii="Arial" w:hAnsi="Arial" w:cs="Arial"/>
          <w:sz w:val="22"/>
          <w:szCs w:val="22"/>
        </w:rPr>
        <w:t xml:space="preserve"> or any other suitable material as recommended by the Engineer during construction.  Backfilling with GSSGAB, in most cases</w:t>
      </w:r>
      <w:r w:rsidR="00CA20A5">
        <w:rPr>
          <w:rFonts w:ascii="Arial" w:hAnsi="Arial" w:cs="Arial"/>
          <w:sz w:val="22"/>
          <w:szCs w:val="22"/>
        </w:rPr>
        <w:t>,</w:t>
      </w:r>
      <w:r w:rsidRPr="007F762D">
        <w:rPr>
          <w:rFonts w:ascii="Arial" w:hAnsi="Arial" w:cs="Arial"/>
          <w:sz w:val="22"/>
          <w:szCs w:val="22"/>
        </w:rPr>
        <w:t xml:space="preserve"> will eliminate the need </w:t>
      </w:r>
      <w:r w:rsidR="00CA20A5">
        <w:rPr>
          <w:rFonts w:ascii="Arial" w:hAnsi="Arial" w:cs="Arial"/>
          <w:sz w:val="22"/>
          <w:szCs w:val="22"/>
        </w:rPr>
        <w:t xml:space="preserve">for </w:t>
      </w:r>
      <w:r w:rsidRPr="007F762D">
        <w:rPr>
          <w:rFonts w:ascii="Arial" w:hAnsi="Arial" w:cs="Arial"/>
          <w:sz w:val="22"/>
          <w:szCs w:val="22"/>
        </w:rPr>
        <w:t xml:space="preserve">further undercutting. </w:t>
      </w:r>
    </w:p>
    <w:p w14:paraId="393FF5D7" w14:textId="2B4130E5" w:rsidR="001A15B9" w:rsidRDefault="00FC0A1E" w:rsidP="00172E64">
      <w:pPr>
        <w:numPr>
          <w:ilvl w:val="0"/>
          <w:numId w:val="58"/>
        </w:numPr>
        <w:ind w:hanging="720"/>
        <w:jc w:val="both"/>
        <w:rPr>
          <w:rFonts w:ascii="Arial" w:hAnsi="Arial" w:cs="Arial"/>
          <w:sz w:val="22"/>
          <w:szCs w:val="22"/>
        </w:rPr>
      </w:pPr>
      <w:r w:rsidRPr="007F762D">
        <w:rPr>
          <w:rFonts w:ascii="Arial" w:hAnsi="Arial" w:cs="Arial"/>
          <w:sz w:val="22"/>
          <w:szCs w:val="22"/>
        </w:rPr>
        <w:lastRenderedPageBreak/>
        <w:t>In some cases, it may be necessary to undercut more than 1 ft</w:t>
      </w:r>
      <w:r w:rsidR="00CF65CA">
        <w:rPr>
          <w:rFonts w:ascii="Arial" w:hAnsi="Arial" w:cs="Arial"/>
          <w:sz w:val="22"/>
          <w:szCs w:val="22"/>
        </w:rPr>
        <w:t>.</w:t>
      </w:r>
      <w:r w:rsidRPr="007F762D">
        <w:rPr>
          <w:rFonts w:ascii="Arial" w:hAnsi="Arial" w:cs="Arial"/>
          <w:sz w:val="22"/>
          <w:szCs w:val="22"/>
        </w:rPr>
        <w:t xml:space="preserve"> below the Limit of Excavation due to the presence of very low bearing material. In that case, undercutting to a depth of 2 ft</w:t>
      </w:r>
      <w:r w:rsidR="00CF65CA">
        <w:rPr>
          <w:rFonts w:ascii="Arial" w:hAnsi="Arial" w:cs="Arial"/>
          <w:sz w:val="22"/>
          <w:szCs w:val="22"/>
        </w:rPr>
        <w:t>.</w:t>
      </w:r>
      <w:r w:rsidRPr="007F762D">
        <w:rPr>
          <w:rFonts w:ascii="Arial" w:hAnsi="Arial" w:cs="Arial"/>
          <w:sz w:val="22"/>
          <w:szCs w:val="22"/>
        </w:rPr>
        <w:t xml:space="preserve"> should be considered followed by installation of Class ST or equivalent material at the bottom of the excavated area.  This is followed by the placement, using the end dump method, of 12 inches of No. 3 stone or equivalent material.  During placement of the 12 inches of No.</w:t>
      </w:r>
      <w:r w:rsidR="002917AA">
        <w:rPr>
          <w:rFonts w:ascii="Arial" w:hAnsi="Arial" w:cs="Arial"/>
          <w:sz w:val="22"/>
          <w:szCs w:val="22"/>
        </w:rPr>
        <w:t xml:space="preserve"> </w:t>
      </w:r>
      <w:r w:rsidRPr="007F762D">
        <w:rPr>
          <w:rFonts w:ascii="Arial" w:hAnsi="Arial" w:cs="Arial"/>
          <w:sz w:val="22"/>
          <w:szCs w:val="22"/>
        </w:rPr>
        <w:t xml:space="preserve">3 stone, minimal disturbance should be made to the native soil; no compaction activity should be performed.  Class SE or ST Geotextile should be placed, using the end dump method, on the top of the placed No. 3 stone followed by the placement of 12 inches of AASHTO No. 57 aggregate or Graded Aggregate Base (depending on the cost factor).  During placement of the 12 inches of AASHTO No. 57 aggregate, minimal disturbance should </w:t>
      </w:r>
      <w:r w:rsidR="00C63DE0">
        <w:rPr>
          <w:rFonts w:ascii="Arial" w:hAnsi="Arial" w:cs="Arial"/>
          <w:sz w:val="22"/>
          <w:szCs w:val="22"/>
        </w:rPr>
        <w:t xml:space="preserve">be </w:t>
      </w:r>
      <w:r w:rsidRPr="007F762D">
        <w:rPr>
          <w:rFonts w:ascii="Arial" w:hAnsi="Arial" w:cs="Arial"/>
          <w:sz w:val="22"/>
          <w:szCs w:val="22"/>
        </w:rPr>
        <w:t>made to the underlying materials by using minimal compaction efforts with a static roller. If the sub-base material shows sign</w:t>
      </w:r>
      <w:r w:rsidR="00CA20A5">
        <w:rPr>
          <w:rFonts w:ascii="Arial" w:hAnsi="Arial" w:cs="Arial"/>
          <w:sz w:val="22"/>
          <w:szCs w:val="22"/>
        </w:rPr>
        <w:t>s</w:t>
      </w:r>
      <w:r w:rsidRPr="007F762D">
        <w:rPr>
          <w:rFonts w:ascii="Arial" w:hAnsi="Arial" w:cs="Arial"/>
          <w:sz w:val="22"/>
          <w:szCs w:val="22"/>
        </w:rPr>
        <w:t xml:space="preserve"> of fatigue or distress, terminate the compaction effort.  Traffic movement on the top of the stabilized material should be minimized. </w:t>
      </w:r>
    </w:p>
    <w:p w14:paraId="6E2CEC7D" w14:textId="7EFD7CAE" w:rsidR="00E74752" w:rsidRDefault="00FC0A1E" w:rsidP="008810D7">
      <w:pPr>
        <w:spacing w:before="120"/>
        <w:ind w:left="720"/>
        <w:jc w:val="both"/>
        <w:rPr>
          <w:rFonts w:ascii="Arial" w:hAnsi="Arial" w:cs="Arial"/>
          <w:sz w:val="22"/>
          <w:szCs w:val="22"/>
        </w:rPr>
      </w:pPr>
      <w:r w:rsidRPr="007F762D">
        <w:rPr>
          <w:rFonts w:ascii="Arial" w:hAnsi="Arial" w:cs="Arial"/>
          <w:sz w:val="22"/>
          <w:szCs w:val="22"/>
        </w:rPr>
        <w:t xml:space="preserve">Undercut depths can be varied depending on the situations. Design of deeper undercuts mostly applies to localized soft spots and not for the total length of the project. </w:t>
      </w:r>
      <w:r w:rsidR="00C25987" w:rsidRPr="001B1DE3">
        <w:rPr>
          <w:rFonts w:ascii="Arial" w:hAnsi="Arial" w:cs="Arial"/>
          <w:sz w:val="22"/>
          <w:szCs w:val="22"/>
        </w:rPr>
        <w:t>A geophysical investigation can often provide th</w:t>
      </w:r>
      <w:r w:rsidR="00C25987">
        <w:rPr>
          <w:rFonts w:ascii="Arial" w:hAnsi="Arial" w:cs="Arial"/>
          <w:sz w:val="22"/>
          <w:szCs w:val="22"/>
        </w:rPr>
        <w:t>e extent of the unsuitable soils</w:t>
      </w:r>
      <w:r w:rsidR="00CA20A5">
        <w:rPr>
          <w:rFonts w:ascii="Arial" w:hAnsi="Arial" w:cs="Arial"/>
          <w:sz w:val="22"/>
          <w:szCs w:val="22"/>
        </w:rPr>
        <w:t>.</w:t>
      </w:r>
      <w:r w:rsidR="00C25987" w:rsidRPr="001B1DE3">
        <w:rPr>
          <w:rFonts w:ascii="Arial" w:hAnsi="Arial" w:cs="Arial"/>
          <w:sz w:val="22"/>
          <w:szCs w:val="22"/>
        </w:rPr>
        <w:t xml:space="preserve"> </w:t>
      </w:r>
      <w:r w:rsidR="00C25987">
        <w:rPr>
          <w:rFonts w:ascii="Arial" w:hAnsi="Arial" w:cs="Arial"/>
          <w:sz w:val="22"/>
          <w:szCs w:val="22"/>
        </w:rPr>
        <w:t>R</w:t>
      </w:r>
      <w:r w:rsidR="00C25987" w:rsidRPr="001B1DE3">
        <w:rPr>
          <w:rFonts w:ascii="Arial" w:hAnsi="Arial" w:cs="Arial"/>
          <w:sz w:val="22"/>
          <w:szCs w:val="22"/>
        </w:rPr>
        <w:t xml:space="preserve">efer to </w:t>
      </w:r>
      <w:hyperlink w:anchor="_geophysical_investigation" w:history="1">
        <w:r w:rsidR="00C25987" w:rsidRPr="00391F5D">
          <w:rPr>
            <w:rStyle w:val="Hyperlink"/>
            <w:rFonts w:ascii="Arial" w:hAnsi="Arial" w:cs="Arial"/>
            <w:i/>
            <w:sz w:val="22"/>
            <w:szCs w:val="22"/>
          </w:rPr>
          <w:t>Section 3.07 Geophysical Investigation</w:t>
        </w:r>
      </w:hyperlink>
      <w:r w:rsidR="00C25987" w:rsidRPr="00391F5D">
        <w:rPr>
          <w:rFonts w:ascii="Arial" w:hAnsi="Arial" w:cs="Arial"/>
          <w:sz w:val="22"/>
          <w:szCs w:val="22"/>
        </w:rPr>
        <w:t xml:space="preserve"> f</w:t>
      </w:r>
      <w:r w:rsidR="00C25987" w:rsidRPr="001B1DE3">
        <w:rPr>
          <w:rFonts w:ascii="Arial" w:hAnsi="Arial" w:cs="Arial"/>
          <w:sz w:val="22"/>
          <w:szCs w:val="22"/>
        </w:rPr>
        <w:t xml:space="preserve">or information about scoping a geophysical investigation. </w:t>
      </w:r>
      <w:r w:rsidR="00C25987" w:rsidRPr="00B11E5C">
        <w:rPr>
          <w:rFonts w:ascii="Arial" w:hAnsi="Arial" w:cs="Arial"/>
          <w:sz w:val="22"/>
          <w:szCs w:val="22"/>
        </w:rPr>
        <w:t xml:space="preserve"> </w:t>
      </w:r>
    </w:p>
    <w:p w14:paraId="1ECA5B22" w14:textId="77777777" w:rsidR="00FC0A1E" w:rsidRPr="00BF2BAE" w:rsidRDefault="00FC0A1E" w:rsidP="00172E64">
      <w:pPr>
        <w:pStyle w:val="Heading3"/>
        <w:numPr>
          <w:ilvl w:val="2"/>
          <w:numId w:val="184"/>
        </w:numPr>
        <w:ind w:left="0" w:firstLine="0"/>
      </w:pPr>
      <w:r>
        <w:t>Chemical Stabilization</w:t>
      </w:r>
      <w:r w:rsidRPr="00BF2BAE">
        <w:t xml:space="preserve"> </w:t>
      </w:r>
    </w:p>
    <w:p w14:paraId="5416FC2B" w14:textId="6D91C9AD" w:rsidR="00FC0A1E" w:rsidRPr="007F762D" w:rsidRDefault="00FC0A1E" w:rsidP="00BE3F24">
      <w:pPr>
        <w:jc w:val="both"/>
        <w:rPr>
          <w:rFonts w:ascii="Arial" w:hAnsi="Arial" w:cs="Arial"/>
          <w:sz w:val="22"/>
          <w:szCs w:val="22"/>
        </w:rPr>
      </w:pPr>
      <w:r w:rsidRPr="007F762D">
        <w:rPr>
          <w:rFonts w:ascii="Arial" w:hAnsi="Arial" w:cs="Arial"/>
          <w:sz w:val="22"/>
          <w:szCs w:val="22"/>
        </w:rPr>
        <w:t>Geotechnical Engineers often come across soils which do not posses</w:t>
      </w:r>
      <w:r w:rsidR="0073084F">
        <w:rPr>
          <w:rFonts w:ascii="Arial" w:hAnsi="Arial" w:cs="Arial"/>
          <w:sz w:val="22"/>
          <w:szCs w:val="22"/>
        </w:rPr>
        <w:t>s</w:t>
      </w:r>
      <w:r w:rsidRPr="007F762D">
        <w:rPr>
          <w:rFonts w:ascii="Arial" w:hAnsi="Arial" w:cs="Arial"/>
          <w:sz w:val="22"/>
          <w:szCs w:val="22"/>
        </w:rPr>
        <w:t xml:space="preserve"> sufficient strength to support wheel loads imposed on them either in construction or during the service life of the pavement. It is at times necessary to treat these soils to provide a stable subgrade or a working platform for the construction of the pavement. The results of these treatments are that less time and energy </w:t>
      </w:r>
      <w:r w:rsidR="00CA20A5">
        <w:rPr>
          <w:rFonts w:ascii="Arial" w:hAnsi="Arial" w:cs="Arial"/>
          <w:sz w:val="22"/>
          <w:szCs w:val="22"/>
        </w:rPr>
        <w:t>are</w:t>
      </w:r>
      <w:r w:rsidR="00CA20A5" w:rsidRPr="007F762D">
        <w:rPr>
          <w:rFonts w:ascii="Arial" w:hAnsi="Arial" w:cs="Arial"/>
          <w:sz w:val="22"/>
          <w:szCs w:val="22"/>
        </w:rPr>
        <w:t xml:space="preserve"> </w:t>
      </w:r>
      <w:r w:rsidRPr="007F762D">
        <w:rPr>
          <w:rFonts w:ascii="Arial" w:hAnsi="Arial" w:cs="Arial"/>
          <w:sz w:val="22"/>
          <w:szCs w:val="22"/>
        </w:rPr>
        <w:t>required in the production, handling, and placement of road and subgrades</w:t>
      </w:r>
      <w:r w:rsidR="00CA20A5">
        <w:rPr>
          <w:rFonts w:ascii="Arial" w:hAnsi="Arial" w:cs="Arial"/>
          <w:sz w:val="22"/>
          <w:szCs w:val="22"/>
        </w:rPr>
        <w:t>,</w:t>
      </w:r>
      <w:r w:rsidRPr="007F762D">
        <w:rPr>
          <w:rFonts w:ascii="Arial" w:hAnsi="Arial" w:cs="Arial"/>
          <w:sz w:val="22"/>
          <w:szCs w:val="22"/>
        </w:rPr>
        <w:t xml:space="preserve"> and therefore less time to complete the construction process.</w:t>
      </w:r>
    </w:p>
    <w:p w14:paraId="10D4EF24" w14:textId="77777777" w:rsidR="00FC0A1E" w:rsidRPr="007F762D" w:rsidRDefault="00FC0A1E" w:rsidP="00BE3F24">
      <w:pPr>
        <w:jc w:val="both"/>
        <w:rPr>
          <w:rFonts w:ascii="Arial" w:hAnsi="Arial" w:cs="Arial"/>
          <w:sz w:val="22"/>
          <w:szCs w:val="22"/>
        </w:rPr>
      </w:pPr>
    </w:p>
    <w:p w14:paraId="53E6F2AC" w14:textId="0CF2D282" w:rsidR="00FC0A1E" w:rsidRPr="007F762D" w:rsidRDefault="00FC0A1E" w:rsidP="00BE3F24">
      <w:pPr>
        <w:jc w:val="both"/>
        <w:rPr>
          <w:rFonts w:ascii="Arial" w:hAnsi="Arial" w:cs="Arial"/>
          <w:sz w:val="22"/>
          <w:szCs w:val="22"/>
        </w:rPr>
      </w:pPr>
      <w:r w:rsidRPr="007F762D">
        <w:rPr>
          <w:rFonts w:ascii="Arial" w:hAnsi="Arial" w:cs="Arial"/>
          <w:sz w:val="22"/>
          <w:szCs w:val="22"/>
        </w:rPr>
        <w:t>These treatments are generally classified into two processes</w:t>
      </w:r>
      <w:r w:rsidR="00CA20A5">
        <w:rPr>
          <w:rFonts w:ascii="Arial" w:hAnsi="Arial" w:cs="Arial"/>
          <w:sz w:val="22"/>
          <w:szCs w:val="22"/>
        </w:rPr>
        <w:t xml:space="preserve">:  </w:t>
      </w:r>
      <w:r w:rsidRPr="007F762D">
        <w:rPr>
          <w:rFonts w:ascii="Arial" w:hAnsi="Arial" w:cs="Arial"/>
          <w:sz w:val="22"/>
          <w:szCs w:val="22"/>
        </w:rPr>
        <w:t>soil modification and soil stabilization. The purpose of subgrade modification is to create a working platform for construction equipment</w:t>
      </w:r>
      <w:r w:rsidR="00CA20A5">
        <w:rPr>
          <w:rFonts w:ascii="Arial" w:hAnsi="Arial" w:cs="Arial"/>
          <w:sz w:val="22"/>
          <w:szCs w:val="22"/>
        </w:rPr>
        <w:t>,</w:t>
      </w:r>
      <w:r w:rsidRPr="007F762D">
        <w:rPr>
          <w:rFonts w:ascii="Arial" w:hAnsi="Arial" w:cs="Arial"/>
          <w:sz w:val="22"/>
          <w:szCs w:val="22"/>
        </w:rPr>
        <w:t xml:space="preserve"> and increased strength is not taken into account in the pavement design process. The purpose of subgrade stabilization is to enhance the strength of the subgrade and this increased strength is taken into account in the pavement design process. Stabilization requires a more thorough design methodology during construction than soil modification. The methods of subgrade modification or stabilization include physical processes such as soil densification, blending with granular material, chemical processes such as mixing with cement, </w:t>
      </w:r>
      <w:r w:rsidRPr="001D69CD">
        <w:rPr>
          <w:rFonts w:ascii="Arial" w:hAnsi="Arial" w:cs="Arial"/>
          <w:sz w:val="22"/>
          <w:szCs w:val="22"/>
        </w:rPr>
        <w:t>fly ash,</w:t>
      </w:r>
      <w:r w:rsidRPr="007F762D">
        <w:rPr>
          <w:rFonts w:ascii="Arial" w:hAnsi="Arial" w:cs="Arial"/>
          <w:sz w:val="22"/>
          <w:szCs w:val="22"/>
        </w:rPr>
        <w:t xml:space="preserve"> lime and lime by-products, etc. Soil properties such as strength, compressibility, hydraulic conductivity, workability, swelling potential, and volume change tendencies may be altered by various soil modification or stabilization methods.</w:t>
      </w:r>
    </w:p>
    <w:p w14:paraId="5DF88BF8" w14:textId="77777777" w:rsidR="00FC0A1E" w:rsidRPr="007F762D" w:rsidRDefault="00FC0A1E" w:rsidP="00BE3F24">
      <w:pPr>
        <w:jc w:val="both"/>
        <w:rPr>
          <w:rFonts w:ascii="Arial" w:hAnsi="Arial" w:cs="Arial"/>
          <w:sz w:val="22"/>
          <w:szCs w:val="22"/>
        </w:rPr>
      </w:pPr>
    </w:p>
    <w:p w14:paraId="691288A2" w14:textId="5C34CDDA" w:rsidR="00FC0A1E" w:rsidRPr="007F762D" w:rsidRDefault="00FC0A1E" w:rsidP="00BE3F24">
      <w:pPr>
        <w:jc w:val="both"/>
        <w:rPr>
          <w:rFonts w:ascii="Arial" w:hAnsi="Arial" w:cs="Arial"/>
          <w:sz w:val="22"/>
          <w:szCs w:val="22"/>
        </w:rPr>
      </w:pPr>
      <w:r w:rsidRPr="007F762D">
        <w:rPr>
          <w:rFonts w:ascii="Arial" w:hAnsi="Arial" w:cs="Arial"/>
          <w:sz w:val="22"/>
          <w:szCs w:val="22"/>
        </w:rPr>
        <w:t>Subgrade modification should be considered when a majority of soils with natural moisture content greater than their optimum moisture content are encountered on a project.  When used, modification or stabilization should be required for the full roadbed width including shoulders or curbs. Subgrade stabilization should be considered for all subgrade soils with a</w:t>
      </w:r>
      <w:r w:rsidR="00DF1FAF">
        <w:rPr>
          <w:rFonts w:ascii="Arial" w:hAnsi="Arial" w:cs="Arial"/>
          <w:sz w:val="22"/>
          <w:szCs w:val="22"/>
        </w:rPr>
        <w:t>n</w:t>
      </w:r>
      <w:r w:rsidRPr="007F762D">
        <w:rPr>
          <w:rFonts w:ascii="Arial" w:hAnsi="Arial" w:cs="Arial"/>
          <w:sz w:val="22"/>
          <w:szCs w:val="22"/>
        </w:rPr>
        <w:t xml:space="preserve"> </w:t>
      </w:r>
      <w:r w:rsidR="000F70D9" w:rsidRPr="00FC0A1E">
        <w:rPr>
          <w:rFonts w:ascii="Arial" w:hAnsi="Arial" w:cs="Arial"/>
          <w:sz w:val="22"/>
          <w:szCs w:val="22"/>
        </w:rPr>
        <w:t>M</w:t>
      </w:r>
      <w:r w:rsidR="000F70D9" w:rsidRPr="00FC0A1E">
        <w:rPr>
          <w:rFonts w:ascii="Arial" w:hAnsi="Arial" w:cs="Arial"/>
          <w:sz w:val="22"/>
          <w:szCs w:val="22"/>
          <w:vertAlign w:val="subscript"/>
        </w:rPr>
        <w:t>r</w:t>
      </w:r>
      <w:r w:rsidRPr="007F762D">
        <w:rPr>
          <w:rFonts w:ascii="Arial" w:hAnsi="Arial" w:cs="Arial"/>
          <w:sz w:val="22"/>
          <w:szCs w:val="22"/>
        </w:rPr>
        <w:t xml:space="preserve"> &lt; </w:t>
      </w:r>
      <w:r w:rsidR="000F70D9">
        <w:rPr>
          <w:rFonts w:ascii="Arial" w:hAnsi="Arial" w:cs="Arial"/>
          <w:sz w:val="22"/>
          <w:szCs w:val="22"/>
        </w:rPr>
        <w:t>3,000 psi</w:t>
      </w:r>
      <w:r w:rsidR="00DF1FAF">
        <w:rPr>
          <w:rFonts w:ascii="Arial" w:hAnsi="Arial" w:cs="Arial"/>
          <w:sz w:val="22"/>
          <w:szCs w:val="22"/>
        </w:rPr>
        <w:t xml:space="preserve"> </w:t>
      </w:r>
      <w:r w:rsidRPr="007F762D">
        <w:rPr>
          <w:rFonts w:ascii="Arial" w:hAnsi="Arial" w:cs="Arial"/>
          <w:sz w:val="22"/>
          <w:szCs w:val="22"/>
        </w:rPr>
        <w:t>(Ref.: INDOT Design Procedures for Soil Modification or Stabilization)</w:t>
      </w:r>
      <w:r w:rsidR="00DF1FAF">
        <w:rPr>
          <w:rFonts w:ascii="Arial" w:hAnsi="Arial" w:cs="Arial"/>
          <w:sz w:val="22"/>
          <w:szCs w:val="22"/>
        </w:rPr>
        <w:t>.</w:t>
      </w:r>
    </w:p>
    <w:p w14:paraId="0710ABB0" w14:textId="77777777" w:rsidR="00FC0A1E" w:rsidRPr="007F762D" w:rsidRDefault="00FC0A1E" w:rsidP="00BE3F24">
      <w:pPr>
        <w:jc w:val="both"/>
        <w:rPr>
          <w:rFonts w:ascii="Arial" w:hAnsi="Arial" w:cs="Arial"/>
          <w:sz w:val="22"/>
          <w:szCs w:val="22"/>
        </w:rPr>
      </w:pPr>
    </w:p>
    <w:p w14:paraId="25972394" w14:textId="77777777" w:rsidR="00FC0A1E" w:rsidRPr="007F762D" w:rsidRDefault="00FC0A1E" w:rsidP="00BE3F24">
      <w:pPr>
        <w:jc w:val="both"/>
        <w:rPr>
          <w:rFonts w:ascii="Arial" w:hAnsi="Arial" w:cs="Arial"/>
          <w:sz w:val="22"/>
          <w:szCs w:val="22"/>
        </w:rPr>
      </w:pPr>
      <w:r w:rsidRPr="007F762D">
        <w:rPr>
          <w:rFonts w:ascii="Arial" w:hAnsi="Arial" w:cs="Arial"/>
          <w:sz w:val="22"/>
          <w:szCs w:val="22"/>
        </w:rPr>
        <w:lastRenderedPageBreak/>
        <w:t xml:space="preserve">Cement Modified Subgrade and Soil-Cement </w:t>
      </w:r>
      <w:r w:rsidR="000F70D9">
        <w:rPr>
          <w:rFonts w:ascii="Arial" w:hAnsi="Arial" w:cs="Arial"/>
          <w:sz w:val="22"/>
          <w:szCs w:val="22"/>
        </w:rPr>
        <w:t xml:space="preserve">Base Course </w:t>
      </w:r>
      <w:r w:rsidRPr="007F762D">
        <w:rPr>
          <w:rFonts w:ascii="Arial" w:hAnsi="Arial" w:cs="Arial"/>
          <w:sz w:val="22"/>
          <w:szCs w:val="22"/>
        </w:rPr>
        <w:t xml:space="preserve">are two types of cement stabilization techniques available for the Engineer to consider.  Lime or Lime By-Products and Fly Ash options are also available as part of chemical stabilization. </w:t>
      </w:r>
    </w:p>
    <w:p w14:paraId="323CB7CA" w14:textId="77777777" w:rsidR="00FC0A1E" w:rsidRPr="007F762D" w:rsidRDefault="00FC0A1E" w:rsidP="00BE3F24">
      <w:pPr>
        <w:jc w:val="both"/>
        <w:rPr>
          <w:rFonts w:ascii="Arial" w:hAnsi="Arial" w:cs="Arial"/>
          <w:sz w:val="22"/>
          <w:szCs w:val="22"/>
        </w:rPr>
      </w:pPr>
    </w:p>
    <w:p w14:paraId="5E637DBF" w14:textId="77777777" w:rsidR="00FC0A1E" w:rsidRDefault="00FC0A1E" w:rsidP="00172E64">
      <w:pPr>
        <w:pStyle w:val="Heading4"/>
        <w:numPr>
          <w:ilvl w:val="3"/>
          <w:numId w:val="184"/>
        </w:numPr>
        <w:ind w:left="0" w:firstLine="0"/>
      </w:pPr>
      <w:r w:rsidRPr="000770BE">
        <w:t>Cement Modified Subgrade</w:t>
      </w:r>
      <w:r>
        <w:t xml:space="preserve"> (CMS)</w:t>
      </w:r>
    </w:p>
    <w:p w14:paraId="29DBFF86" w14:textId="5DEAC26C" w:rsidR="00FC0A1E" w:rsidRPr="007F762D" w:rsidRDefault="00FC0A1E" w:rsidP="00BE3F24">
      <w:pPr>
        <w:jc w:val="both"/>
        <w:rPr>
          <w:rFonts w:ascii="Arial" w:hAnsi="Arial" w:cs="Arial"/>
          <w:sz w:val="22"/>
          <w:szCs w:val="22"/>
        </w:rPr>
      </w:pPr>
      <w:r w:rsidRPr="007F762D">
        <w:rPr>
          <w:rFonts w:ascii="Arial" w:hAnsi="Arial" w:cs="Arial"/>
          <w:sz w:val="22"/>
          <w:szCs w:val="22"/>
        </w:rPr>
        <w:t>In situations where undercutting is not a viable option and the soils at subgrade level have high moisture contents and high volume change characteristics, leading to potential constructability issues, CMS may be a good option. Cement-modified soil is an unhardened or semi-hardened mixture of soil and cement.  When relatively small (2-5% by dry weight of the soil) quantities of Portland Cement are added to granular soil or silt-clay soil, the chemical and physical properties of that soil are changed. Cement reduces the plasticity and water-holding capacity of the soil and increases its bearing value. The degree of improvement depends upon the quantity of the cement used and the type of soil. In cement-modified soil, only enough cement is used to change the physical properties of the soil to the degree desired. Cement-modified soils may be used for base courses, sub</w:t>
      </w:r>
      <w:r w:rsidR="00DF1FAF">
        <w:rPr>
          <w:rFonts w:ascii="Arial" w:hAnsi="Arial" w:cs="Arial"/>
          <w:sz w:val="22"/>
          <w:szCs w:val="22"/>
        </w:rPr>
        <w:t>-</w:t>
      </w:r>
      <w:r w:rsidRPr="007F762D">
        <w:rPr>
          <w:rFonts w:ascii="Arial" w:hAnsi="Arial" w:cs="Arial"/>
          <w:sz w:val="22"/>
          <w:szCs w:val="22"/>
        </w:rPr>
        <w:t xml:space="preserve">bases, treated subgrades, highway fills, and as trench backfill material. </w:t>
      </w:r>
    </w:p>
    <w:p w14:paraId="624FB9A9" w14:textId="77777777" w:rsidR="001A15B9" w:rsidRDefault="00FC0A1E" w:rsidP="00172E64">
      <w:pPr>
        <w:numPr>
          <w:ilvl w:val="0"/>
          <w:numId w:val="59"/>
        </w:numPr>
        <w:tabs>
          <w:tab w:val="num" w:pos="1080"/>
        </w:tabs>
        <w:spacing w:before="240"/>
        <w:ind w:left="1080" w:hanging="1080"/>
        <w:jc w:val="both"/>
        <w:rPr>
          <w:rFonts w:ascii="Arial" w:hAnsi="Arial" w:cs="Arial"/>
          <w:b/>
          <w:bCs/>
          <w:sz w:val="22"/>
          <w:szCs w:val="22"/>
        </w:rPr>
      </w:pPr>
      <w:r w:rsidRPr="007F762D">
        <w:rPr>
          <w:rFonts w:ascii="Arial" w:hAnsi="Arial" w:cs="Arial"/>
          <w:sz w:val="22"/>
          <w:szCs w:val="22"/>
        </w:rPr>
        <w:t xml:space="preserve">Review boring logs and laboratory test data to determine the type and moisture condition of soils at subgrade level. </w:t>
      </w:r>
    </w:p>
    <w:p w14:paraId="29AB2D1F" w14:textId="123197D5" w:rsidR="007F762D" w:rsidRPr="008810D7" w:rsidRDefault="00FC0A1E" w:rsidP="00172E64">
      <w:pPr>
        <w:numPr>
          <w:ilvl w:val="0"/>
          <w:numId w:val="59"/>
        </w:numPr>
        <w:tabs>
          <w:tab w:val="clear" w:pos="1872"/>
          <w:tab w:val="num" w:pos="1080"/>
        </w:tabs>
        <w:spacing w:before="120"/>
        <w:ind w:left="1080" w:hanging="1080"/>
        <w:jc w:val="both"/>
        <w:rPr>
          <w:rFonts w:ascii="Arial" w:hAnsi="Arial"/>
          <w:sz w:val="22"/>
        </w:rPr>
      </w:pPr>
      <w:r w:rsidRPr="00DF1FAF">
        <w:rPr>
          <w:rFonts w:ascii="Arial" w:hAnsi="Arial" w:cs="Arial"/>
          <w:sz w:val="22"/>
          <w:szCs w:val="22"/>
        </w:rPr>
        <w:t>If soils with excessive moisture contents well above optimum moisture, high plasticity index, light weight soils (low density, &lt; 100 pcf), and low N</w:t>
      </w:r>
      <w:r w:rsidR="00DF1FAF">
        <w:rPr>
          <w:rFonts w:ascii="Arial" w:hAnsi="Arial" w:cs="Arial"/>
          <w:sz w:val="22"/>
          <w:szCs w:val="22"/>
        </w:rPr>
        <w:t>-</w:t>
      </w:r>
      <w:r w:rsidRPr="00DF1FAF">
        <w:rPr>
          <w:rFonts w:ascii="Arial" w:hAnsi="Arial" w:cs="Arial"/>
          <w:sz w:val="22"/>
          <w:szCs w:val="22"/>
        </w:rPr>
        <w:t>values are encountered, consider CMS to improve constructability by providing a stable working platform.</w:t>
      </w:r>
    </w:p>
    <w:p w14:paraId="26EEBC4E" w14:textId="4665FF6C" w:rsidR="001A15B9" w:rsidRDefault="00FC0A1E" w:rsidP="00172E64">
      <w:pPr>
        <w:numPr>
          <w:ilvl w:val="0"/>
          <w:numId w:val="59"/>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Usually sandy soils with PI less than 30, and fine</w:t>
      </w:r>
      <w:r w:rsidR="00DF1FAF">
        <w:rPr>
          <w:rFonts w:ascii="Arial" w:hAnsi="Arial" w:cs="Arial"/>
          <w:sz w:val="22"/>
          <w:szCs w:val="22"/>
        </w:rPr>
        <w:t>-</w:t>
      </w:r>
      <w:r w:rsidRPr="007F762D">
        <w:rPr>
          <w:rFonts w:ascii="Arial" w:hAnsi="Arial" w:cs="Arial"/>
          <w:sz w:val="22"/>
          <w:szCs w:val="22"/>
        </w:rPr>
        <w:t>grained soils with PI less than 20 and LL less than 40</w:t>
      </w:r>
      <w:r w:rsidR="00DF1FAF">
        <w:rPr>
          <w:rFonts w:ascii="Arial" w:hAnsi="Arial" w:cs="Arial"/>
          <w:sz w:val="22"/>
          <w:szCs w:val="22"/>
        </w:rPr>
        <w:t>,</w:t>
      </w:r>
      <w:r w:rsidRPr="007F762D">
        <w:rPr>
          <w:rFonts w:ascii="Arial" w:hAnsi="Arial" w:cs="Arial"/>
          <w:sz w:val="22"/>
          <w:szCs w:val="22"/>
        </w:rPr>
        <w:t xml:space="preserve"> are considered for CMS.  (I</w:t>
      </w:r>
      <w:r w:rsidR="00DF1FAF">
        <w:rPr>
          <w:rFonts w:ascii="Arial" w:hAnsi="Arial" w:cs="Arial"/>
          <w:sz w:val="22"/>
          <w:szCs w:val="22"/>
        </w:rPr>
        <w:t>N</w:t>
      </w:r>
      <w:r w:rsidRPr="007F762D">
        <w:rPr>
          <w:rFonts w:ascii="Arial" w:hAnsi="Arial" w:cs="Arial"/>
          <w:sz w:val="22"/>
          <w:szCs w:val="22"/>
        </w:rPr>
        <w:t xml:space="preserve">DOT uses CMS with soils having PI less than 5 and </w:t>
      </w:r>
      <w:r w:rsidR="00B97BDD">
        <w:rPr>
          <w:rFonts w:ascii="Arial" w:hAnsi="Arial" w:cs="Arial"/>
          <w:sz w:val="22"/>
          <w:szCs w:val="22"/>
        </w:rPr>
        <w:t>percent</w:t>
      </w:r>
      <w:r w:rsidRPr="007F762D">
        <w:rPr>
          <w:rFonts w:ascii="Arial" w:hAnsi="Arial" w:cs="Arial"/>
          <w:sz w:val="22"/>
          <w:szCs w:val="22"/>
        </w:rPr>
        <w:t xml:space="preserve"> passing </w:t>
      </w:r>
      <w:r w:rsidR="00B97BDD">
        <w:rPr>
          <w:rFonts w:ascii="Arial" w:hAnsi="Arial" w:cs="Arial"/>
          <w:sz w:val="22"/>
          <w:szCs w:val="22"/>
        </w:rPr>
        <w:t xml:space="preserve">200 sieve </w:t>
      </w:r>
      <w:r w:rsidRPr="007F762D">
        <w:rPr>
          <w:rFonts w:ascii="Arial" w:hAnsi="Arial" w:cs="Arial"/>
          <w:sz w:val="22"/>
          <w:szCs w:val="22"/>
        </w:rPr>
        <w:t xml:space="preserve">less than </w:t>
      </w:r>
      <w:r w:rsidR="00B97BDD">
        <w:rPr>
          <w:rFonts w:ascii="Arial" w:hAnsi="Arial" w:cs="Arial"/>
          <w:sz w:val="22"/>
          <w:szCs w:val="22"/>
        </w:rPr>
        <w:t xml:space="preserve">or </w:t>
      </w:r>
      <w:r w:rsidRPr="007F762D">
        <w:rPr>
          <w:rFonts w:ascii="Arial" w:hAnsi="Arial" w:cs="Arial"/>
          <w:sz w:val="22"/>
          <w:szCs w:val="22"/>
        </w:rPr>
        <w:t>equal to 35%</w:t>
      </w:r>
      <w:r w:rsidR="00DF1FAF">
        <w:rPr>
          <w:rFonts w:ascii="Arial" w:hAnsi="Arial" w:cs="Arial"/>
          <w:sz w:val="22"/>
          <w:szCs w:val="22"/>
        </w:rPr>
        <w:t>.</w:t>
      </w:r>
      <w:r w:rsidRPr="007F762D">
        <w:rPr>
          <w:rFonts w:ascii="Arial" w:hAnsi="Arial" w:cs="Arial"/>
          <w:sz w:val="22"/>
          <w:szCs w:val="22"/>
        </w:rPr>
        <w:t>)</w:t>
      </w:r>
    </w:p>
    <w:p w14:paraId="2FBABF19" w14:textId="5204A6AE" w:rsidR="001A15B9" w:rsidRDefault="00FC0A1E" w:rsidP="00172E64">
      <w:pPr>
        <w:numPr>
          <w:ilvl w:val="0"/>
          <w:numId w:val="59"/>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 xml:space="preserve">Ensure enough bag samples are requested and collected so that the unconfined compressive strength tests may be performed at different cement contents. </w:t>
      </w:r>
    </w:p>
    <w:p w14:paraId="0FF26503" w14:textId="177B2FE3" w:rsidR="00DB2E22" w:rsidRDefault="00FC0A1E" w:rsidP="00172E64">
      <w:pPr>
        <w:numPr>
          <w:ilvl w:val="0"/>
          <w:numId w:val="59"/>
        </w:numPr>
        <w:tabs>
          <w:tab w:val="clear" w:pos="1872"/>
          <w:tab w:val="num" w:pos="1080"/>
        </w:tabs>
        <w:spacing w:before="120"/>
        <w:ind w:left="1080" w:hanging="1080"/>
        <w:jc w:val="both"/>
        <w:rPr>
          <w:rFonts w:ascii="Arial" w:hAnsi="Arial" w:cs="Arial"/>
          <w:sz w:val="22"/>
          <w:szCs w:val="22"/>
        </w:rPr>
      </w:pPr>
      <w:r w:rsidRPr="00DF1FAF">
        <w:rPr>
          <w:rFonts w:ascii="Arial" w:hAnsi="Arial" w:cs="Arial"/>
          <w:sz w:val="22"/>
          <w:szCs w:val="22"/>
        </w:rPr>
        <w:t>For lab testing, suggest a cement quantity: 2% to 8%. Use Figure 39 of PCA Soil Cement Handbook for estimating the cement content.</w:t>
      </w:r>
    </w:p>
    <w:p w14:paraId="3F8188E2" w14:textId="6BE8E6A9" w:rsidR="001A15B9" w:rsidRPr="00DF1FAF" w:rsidRDefault="00FC0A1E" w:rsidP="00172E64">
      <w:pPr>
        <w:numPr>
          <w:ilvl w:val="0"/>
          <w:numId w:val="59"/>
        </w:numPr>
        <w:tabs>
          <w:tab w:val="clear" w:pos="1872"/>
          <w:tab w:val="num" w:pos="1080"/>
        </w:tabs>
        <w:spacing w:before="120"/>
        <w:ind w:left="1080" w:hanging="1080"/>
        <w:jc w:val="both"/>
        <w:rPr>
          <w:rFonts w:ascii="Arial" w:hAnsi="Arial" w:cs="Arial"/>
          <w:sz w:val="22"/>
          <w:szCs w:val="22"/>
        </w:rPr>
      </w:pPr>
      <w:r w:rsidRPr="00DF1FAF">
        <w:rPr>
          <w:rFonts w:ascii="Arial" w:hAnsi="Arial" w:cs="Arial"/>
          <w:sz w:val="22"/>
          <w:szCs w:val="22"/>
        </w:rPr>
        <w:t xml:space="preserve">Once a cement content is selected, request lab tests be performed at </w:t>
      </w:r>
      <w:r w:rsidR="00DB2E22">
        <w:rPr>
          <w:rFonts w:ascii="Arial" w:hAnsi="Arial" w:cs="Arial"/>
          <w:sz w:val="22"/>
          <w:szCs w:val="22"/>
        </w:rPr>
        <w:t>±</w:t>
      </w:r>
      <w:r w:rsidRPr="00DF1FAF">
        <w:rPr>
          <w:rFonts w:ascii="Arial" w:hAnsi="Arial" w:cs="Arial"/>
          <w:sz w:val="22"/>
          <w:szCs w:val="22"/>
        </w:rPr>
        <w:t xml:space="preserve">2% contents. </w:t>
      </w:r>
    </w:p>
    <w:p w14:paraId="5EA626C9" w14:textId="1F69C035" w:rsidR="001A15B9" w:rsidRDefault="00FC0A1E" w:rsidP="00172E64">
      <w:pPr>
        <w:numPr>
          <w:ilvl w:val="0"/>
          <w:numId w:val="59"/>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Request AASHTO T</w:t>
      </w:r>
      <w:r w:rsidR="00DB2E22">
        <w:rPr>
          <w:rFonts w:ascii="Arial" w:hAnsi="Arial" w:cs="Arial"/>
          <w:sz w:val="22"/>
          <w:szCs w:val="22"/>
        </w:rPr>
        <w:t>-</w:t>
      </w:r>
      <w:r w:rsidRPr="007F762D">
        <w:rPr>
          <w:rFonts w:ascii="Arial" w:hAnsi="Arial" w:cs="Arial"/>
          <w:sz w:val="22"/>
          <w:szCs w:val="22"/>
        </w:rPr>
        <w:t xml:space="preserve">134 </w:t>
      </w:r>
      <w:r w:rsidR="00DB2E22">
        <w:rPr>
          <w:rFonts w:ascii="Arial" w:hAnsi="Arial" w:cs="Arial"/>
          <w:sz w:val="22"/>
          <w:szCs w:val="22"/>
        </w:rPr>
        <w:t>P</w:t>
      </w:r>
      <w:r w:rsidRPr="007F762D">
        <w:rPr>
          <w:rFonts w:ascii="Arial" w:hAnsi="Arial" w:cs="Arial"/>
          <w:sz w:val="22"/>
          <w:szCs w:val="22"/>
        </w:rPr>
        <w:t>roctors (soil with cement)</w:t>
      </w:r>
      <w:r w:rsidR="00DB2E22">
        <w:rPr>
          <w:rFonts w:ascii="Arial" w:hAnsi="Arial" w:cs="Arial"/>
          <w:sz w:val="22"/>
          <w:szCs w:val="22"/>
        </w:rPr>
        <w:t>,</w:t>
      </w:r>
      <w:r w:rsidRPr="007F762D">
        <w:rPr>
          <w:rFonts w:ascii="Arial" w:hAnsi="Arial" w:cs="Arial"/>
          <w:sz w:val="22"/>
          <w:szCs w:val="22"/>
        </w:rPr>
        <w:t xml:space="preserve"> to obtain the corresponding maximum dry density and optimum moisture content for each cement content.</w:t>
      </w:r>
    </w:p>
    <w:p w14:paraId="2F805312" w14:textId="77777777" w:rsidR="001A15B9" w:rsidRDefault="00FC0A1E" w:rsidP="00172E64">
      <w:pPr>
        <w:numPr>
          <w:ilvl w:val="0"/>
          <w:numId w:val="59"/>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Request specimens should be molded for compressive strength only. Two specimens for each cement content selected, and cured for seven days in the moisture room before testing.</w:t>
      </w:r>
    </w:p>
    <w:p w14:paraId="3021F4FF" w14:textId="531E2ED9" w:rsidR="001A15B9" w:rsidRDefault="00C63DE0" w:rsidP="00172E64">
      <w:pPr>
        <w:numPr>
          <w:ilvl w:val="0"/>
          <w:numId w:val="59"/>
        </w:numPr>
        <w:tabs>
          <w:tab w:val="clear" w:pos="1872"/>
          <w:tab w:val="num" w:pos="1080"/>
        </w:tabs>
        <w:spacing w:before="120"/>
        <w:ind w:left="1080" w:hanging="1080"/>
        <w:jc w:val="both"/>
        <w:rPr>
          <w:rFonts w:ascii="Arial" w:hAnsi="Arial" w:cs="Arial"/>
          <w:sz w:val="22"/>
          <w:szCs w:val="22"/>
        </w:rPr>
      </w:pPr>
      <w:r>
        <w:rPr>
          <w:rFonts w:ascii="Arial" w:hAnsi="Arial" w:cs="Arial"/>
          <w:sz w:val="22"/>
          <w:szCs w:val="22"/>
        </w:rPr>
        <w:t>Percent</w:t>
      </w:r>
      <w:r w:rsidR="00FC0A1E" w:rsidRPr="007F762D">
        <w:rPr>
          <w:rFonts w:ascii="Arial" w:hAnsi="Arial" w:cs="Arial"/>
          <w:sz w:val="22"/>
          <w:szCs w:val="22"/>
        </w:rPr>
        <w:t xml:space="preserve"> Cement vs: Unconfined compressive strength is plotted and design is based on </w:t>
      </w:r>
      <w:r w:rsidR="00F3084F">
        <w:rPr>
          <w:rFonts w:ascii="Arial" w:hAnsi="Arial" w:cs="Arial"/>
          <w:sz w:val="22"/>
          <w:szCs w:val="22"/>
        </w:rPr>
        <w:t xml:space="preserve">a value between 100 psi to </w:t>
      </w:r>
      <w:r w:rsidR="00FC0A1E" w:rsidRPr="007F762D">
        <w:rPr>
          <w:rFonts w:ascii="Arial" w:hAnsi="Arial" w:cs="Arial"/>
          <w:sz w:val="22"/>
          <w:szCs w:val="22"/>
        </w:rPr>
        <w:t xml:space="preserve">300 psi. If compressive strength of </w:t>
      </w:r>
      <w:r w:rsidR="00C345BF">
        <w:rPr>
          <w:rFonts w:ascii="Arial" w:hAnsi="Arial" w:cs="Arial"/>
          <w:sz w:val="22"/>
          <w:szCs w:val="22"/>
        </w:rPr>
        <w:t xml:space="preserve">100 psi to </w:t>
      </w:r>
      <w:r w:rsidR="00FC0A1E" w:rsidRPr="007F762D">
        <w:rPr>
          <w:rFonts w:ascii="Arial" w:hAnsi="Arial" w:cs="Arial"/>
          <w:sz w:val="22"/>
          <w:szCs w:val="22"/>
        </w:rPr>
        <w:t xml:space="preserve">300 psi is obtained for a certain cement content, then a value of 10,500 psi can be used for subgrade modulus in pavement design. If a value less than </w:t>
      </w:r>
      <w:r w:rsidR="00C345BF">
        <w:rPr>
          <w:rFonts w:ascii="Arial" w:hAnsi="Arial" w:cs="Arial"/>
          <w:sz w:val="22"/>
          <w:szCs w:val="22"/>
        </w:rPr>
        <w:t>1</w:t>
      </w:r>
      <w:r w:rsidR="00FC0A1E" w:rsidRPr="007F762D">
        <w:rPr>
          <w:rFonts w:ascii="Arial" w:hAnsi="Arial" w:cs="Arial"/>
          <w:sz w:val="22"/>
          <w:szCs w:val="22"/>
        </w:rPr>
        <w:t>00 psi is obtained, % cement content should be increased until the minimum compressive strength is achieved. However, beyond certain % of cement content (&gt; 15%), it will not be a cost effective alternative to use CMS.</w:t>
      </w:r>
    </w:p>
    <w:p w14:paraId="7582C466" w14:textId="15E66557" w:rsidR="001A15B9" w:rsidRDefault="00FC0A1E" w:rsidP="00172E64">
      <w:pPr>
        <w:numPr>
          <w:ilvl w:val="0"/>
          <w:numId w:val="59"/>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lastRenderedPageBreak/>
        <w:t>If CMS is solely used to improve the physical properties of the subgrade soils, like plasticity, no strength tests are required. However, what percentage of cement content is required to achieve desired physical properties is dependent on liquid, plastic</w:t>
      </w:r>
      <w:r w:rsidR="00DB2E22">
        <w:rPr>
          <w:rFonts w:ascii="Arial" w:hAnsi="Arial" w:cs="Arial"/>
          <w:sz w:val="22"/>
          <w:szCs w:val="22"/>
        </w:rPr>
        <w:t>,</w:t>
      </w:r>
      <w:r w:rsidRPr="007F762D">
        <w:rPr>
          <w:rFonts w:ascii="Arial" w:hAnsi="Arial" w:cs="Arial"/>
          <w:sz w:val="22"/>
          <w:szCs w:val="22"/>
        </w:rPr>
        <w:t xml:space="preserve"> and shrinkage limit tests.</w:t>
      </w:r>
    </w:p>
    <w:p w14:paraId="34B57923" w14:textId="77777777" w:rsidR="007F762D" w:rsidRPr="00881632" w:rsidRDefault="007F762D" w:rsidP="00881632">
      <w:pPr>
        <w:pStyle w:val="ListParagraph"/>
        <w:tabs>
          <w:tab w:val="num" w:pos="1080"/>
        </w:tabs>
        <w:ind w:left="1080" w:hanging="1080"/>
        <w:rPr>
          <w:rFonts w:ascii="Arial" w:hAnsi="Arial"/>
          <w:sz w:val="22"/>
        </w:rPr>
      </w:pPr>
    </w:p>
    <w:p w14:paraId="42EADFB5" w14:textId="77777777" w:rsidR="00FC0A1E" w:rsidRDefault="00FC0A1E" w:rsidP="00172E64">
      <w:pPr>
        <w:pStyle w:val="Heading4"/>
        <w:numPr>
          <w:ilvl w:val="3"/>
          <w:numId w:val="184"/>
        </w:numPr>
        <w:ind w:left="0" w:firstLine="0"/>
      </w:pPr>
      <w:r w:rsidRPr="00364ED7">
        <w:t>Soil-Cement</w:t>
      </w:r>
    </w:p>
    <w:p w14:paraId="479502BD" w14:textId="77777777" w:rsidR="00FC0A1E" w:rsidRPr="007F762D" w:rsidRDefault="00FC0A1E" w:rsidP="00BE3F24">
      <w:pPr>
        <w:jc w:val="both"/>
        <w:rPr>
          <w:rFonts w:ascii="Arial" w:hAnsi="Arial" w:cs="Arial"/>
          <w:sz w:val="22"/>
          <w:szCs w:val="22"/>
        </w:rPr>
      </w:pPr>
      <w:r w:rsidRPr="007F762D">
        <w:rPr>
          <w:rFonts w:ascii="Arial" w:hAnsi="Arial" w:cs="Arial"/>
          <w:sz w:val="22"/>
          <w:szCs w:val="22"/>
        </w:rPr>
        <w:t xml:space="preserve">Compacted Soil-Cement, often referred to as simply Soil-Cement, is a mixture of pulverized soil and calculated amounts of Portland Cement and water that is compacted to a high density. The result is a rigid slab having moderate compressive strength and resistance to the disintegrating effects of wetting and drying and freezing and thawing. Usually Soil-Cement is referred to as Soil-Cement Base Course which is a part of pavement structure. Refer to Section 502 of “Standard Specifications for Construction and Materials, July 2008” for further information. </w:t>
      </w:r>
    </w:p>
    <w:p w14:paraId="3A96DA49" w14:textId="77777777" w:rsidR="00FC0A1E" w:rsidRPr="007F762D" w:rsidRDefault="00FC0A1E" w:rsidP="00BE3F24">
      <w:pPr>
        <w:jc w:val="both"/>
        <w:rPr>
          <w:rFonts w:ascii="Arial" w:hAnsi="Arial" w:cs="Arial"/>
          <w:sz w:val="22"/>
          <w:szCs w:val="22"/>
        </w:rPr>
      </w:pPr>
    </w:p>
    <w:p w14:paraId="48410340" w14:textId="0023FBF6" w:rsidR="001A15B9" w:rsidRDefault="00FC0A1E" w:rsidP="00172E64">
      <w:pPr>
        <w:numPr>
          <w:ilvl w:val="0"/>
          <w:numId w:val="61"/>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Review boring logs and laboratory test data to determine the type of soils available on project site. Soils should meet Select borrow specifications.</w:t>
      </w:r>
    </w:p>
    <w:p w14:paraId="01269B33" w14:textId="77777777" w:rsidR="001A15B9" w:rsidRDefault="00FC0A1E" w:rsidP="00172E64">
      <w:pPr>
        <w:numPr>
          <w:ilvl w:val="0"/>
          <w:numId w:val="61"/>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Request T-180 density.</w:t>
      </w:r>
    </w:p>
    <w:p w14:paraId="03DADC0F" w14:textId="7F85BF77" w:rsidR="001A15B9" w:rsidRDefault="00FC0A1E" w:rsidP="00172E64">
      <w:pPr>
        <w:numPr>
          <w:ilvl w:val="0"/>
          <w:numId w:val="61"/>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Estimate cement content, PCA Soil Cement Handbook, Figure 39 Chapter 6, sandy soils.</w:t>
      </w:r>
    </w:p>
    <w:p w14:paraId="7E38CB37" w14:textId="6742A279" w:rsidR="001A15B9" w:rsidRDefault="00FC0A1E" w:rsidP="00172E64">
      <w:pPr>
        <w:numPr>
          <w:ilvl w:val="0"/>
          <w:numId w:val="61"/>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Once a cement content is selected from charts</w:t>
      </w:r>
      <w:r w:rsidR="00C63DE0">
        <w:rPr>
          <w:rFonts w:ascii="Arial" w:hAnsi="Arial" w:cs="Arial"/>
          <w:sz w:val="22"/>
          <w:szCs w:val="22"/>
        </w:rPr>
        <w:t>,</w:t>
      </w:r>
      <w:r w:rsidRPr="007F762D">
        <w:rPr>
          <w:rFonts w:ascii="Arial" w:hAnsi="Arial" w:cs="Arial"/>
          <w:sz w:val="22"/>
          <w:szCs w:val="22"/>
        </w:rPr>
        <w:t xml:space="preserve"> go </w:t>
      </w:r>
      <w:r w:rsidR="00DB2E22">
        <w:rPr>
          <w:rFonts w:ascii="Arial" w:hAnsi="Arial" w:cs="Arial"/>
          <w:sz w:val="22"/>
          <w:szCs w:val="22"/>
        </w:rPr>
        <w:t>±</w:t>
      </w:r>
      <w:r w:rsidRPr="007F762D">
        <w:rPr>
          <w:rFonts w:ascii="Arial" w:hAnsi="Arial" w:cs="Arial"/>
          <w:sz w:val="22"/>
          <w:szCs w:val="22"/>
        </w:rPr>
        <w:t>2% around chosen value.</w:t>
      </w:r>
    </w:p>
    <w:p w14:paraId="63D8FDC8" w14:textId="2ED4F8CA" w:rsidR="001A15B9" w:rsidRDefault="00FC0A1E" w:rsidP="00172E64">
      <w:pPr>
        <w:numPr>
          <w:ilvl w:val="0"/>
          <w:numId w:val="61"/>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 xml:space="preserve">Request AASHTO T-134 </w:t>
      </w:r>
      <w:r w:rsidR="00DB2E22">
        <w:rPr>
          <w:rFonts w:ascii="Arial" w:hAnsi="Arial" w:cs="Arial"/>
          <w:sz w:val="22"/>
          <w:szCs w:val="22"/>
        </w:rPr>
        <w:t>P</w:t>
      </w:r>
      <w:r w:rsidRPr="007F762D">
        <w:rPr>
          <w:rFonts w:ascii="Arial" w:hAnsi="Arial" w:cs="Arial"/>
          <w:sz w:val="22"/>
          <w:szCs w:val="22"/>
        </w:rPr>
        <w:t>roctors (soil with cement)</w:t>
      </w:r>
      <w:r w:rsidR="00DB2E22">
        <w:rPr>
          <w:rFonts w:ascii="Arial" w:hAnsi="Arial" w:cs="Arial"/>
          <w:sz w:val="22"/>
          <w:szCs w:val="22"/>
        </w:rPr>
        <w:t>,</w:t>
      </w:r>
      <w:r w:rsidRPr="007F762D">
        <w:rPr>
          <w:rFonts w:ascii="Arial" w:hAnsi="Arial" w:cs="Arial"/>
          <w:sz w:val="22"/>
          <w:szCs w:val="22"/>
        </w:rPr>
        <w:t xml:space="preserve"> to obtain the corresponding maximum dry density and optimum moisture content for each cement content.</w:t>
      </w:r>
    </w:p>
    <w:p w14:paraId="168CC4CA" w14:textId="64640885" w:rsidR="001A15B9" w:rsidRDefault="00FC0A1E" w:rsidP="00172E64">
      <w:pPr>
        <w:numPr>
          <w:ilvl w:val="0"/>
          <w:numId w:val="61"/>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Mold four specimens at each selected cement content. Two compressive strength specimens, one wet/dry specimen and one freeze/thaw specimen.  The samples are cured for seven days after molding in the moisture room prior to testing.</w:t>
      </w:r>
    </w:p>
    <w:p w14:paraId="316638C6" w14:textId="6CA7CF2C" w:rsidR="001A15B9" w:rsidRDefault="00B97BDD" w:rsidP="00172E64">
      <w:pPr>
        <w:numPr>
          <w:ilvl w:val="0"/>
          <w:numId w:val="61"/>
        </w:numPr>
        <w:tabs>
          <w:tab w:val="clear" w:pos="1872"/>
          <w:tab w:val="num" w:pos="1080"/>
        </w:tabs>
        <w:spacing w:before="120"/>
        <w:ind w:left="1080" w:right="-720" w:hanging="1080"/>
        <w:jc w:val="both"/>
        <w:rPr>
          <w:rFonts w:ascii="Arial" w:hAnsi="Arial" w:cs="Arial"/>
          <w:sz w:val="22"/>
          <w:szCs w:val="22"/>
        </w:rPr>
      </w:pPr>
      <w:r>
        <w:rPr>
          <w:rFonts w:ascii="Arial" w:hAnsi="Arial" w:cs="Arial"/>
          <w:sz w:val="22"/>
          <w:szCs w:val="22"/>
        </w:rPr>
        <w:t>Unconfined c</w:t>
      </w:r>
      <w:r w:rsidR="00FC0A1E" w:rsidRPr="007F762D">
        <w:rPr>
          <w:rFonts w:ascii="Arial" w:hAnsi="Arial" w:cs="Arial"/>
          <w:sz w:val="22"/>
          <w:szCs w:val="22"/>
        </w:rPr>
        <w:t>ompressive strengths must obtain a minimum 450 psi.</w:t>
      </w:r>
      <w:r>
        <w:rPr>
          <w:rFonts w:ascii="Arial" w:hAnsi="Arial" w:cs="Arial"/>
          <w:sz w:val="22"/>
          <w:szCs w:val="22"/>
        </w:rPr>
        <w:t xml:space="preserve"> </w:t>
      </w:r>
    </w:p>
    <w:p w14:paraId="399CD108" w14:textId="7CC3CAA9" w:rsidR="001A15B9" w:rsidRDefault="00FC0A1E" w:rsidP="00172E64">
      <w:pPr>
        <w:numPr>
          <w:ilvl w:val="0"/>
          <w:numId w:val="61"/>
        </w:numPr>
        <w:tabs>
          <w:tab w:val="clear" w:pos="1872"/>
          <w:tab w:val="num" w:pos="1080"/>
        </w:tabs>
        <w:spacing w:before="120"/>
        <w:ind w:left="1080" w:hanging="1080"/>
        <w:jc w:val="both"/>
        <w:rPr>
          <w:rFonts w:ascii="Arial" w:hAnsi="Arial" w:cs="Arial"/>
          <w:sz w:val="22"/>
          <w:szCs w:val="22"/>
        </w:rPr>
      </w:pPr>
      <w:r w:rsidRPr="007F762D">
        <w:rPr>
          <w:rFonts w:ascii="Arial" w:hAnsi="Arial" w:cs="Arial"/>
          <w:sz w:val="22"/>
          <w:szCs w:val="22"/>
        </w:rPr>
        <w:t xml:space="preserve">Wet/dry testing takes approximately 3 weeks; </w:t>
      </w:r>
      <w:r w:rsidR="00B97BDD">
        <w:rPr>
          <w:rFonts w:ascii="Arial" w:hAnsi="Arial" w:cs="Arial"/>
          <w:sz w:val="22"/>
          <w:szCs w:val="22"/>
        </w:rPr>
        <w:t>f</w:t>
      </w:r>
      <w:r w:rsidRPr="007F762D">
        <w:rPr>
          <w:rFonts w:ascii="Arial" w:hAnsi="Arial" w:cs="Arial"/>
          <w:sz w:val="22"/>
          <w:szCs w:val="22"/>
        </w:rPr>
        <w:t>reeze</w:t>
      </w:r>
      <w:r w:rsidR="00B97BDD">
        <w:rPr>
          <w:rFonts w:ascii="Arial" w:hAnsi="Arial" w:cs="Arial"/>
          <w:sz w:val="22"/>
          <w:szCs w:val="22"/>
        </w:rPr>
        <w:t>/</w:t>
      </w:r>
      <w:r w:rsidRPr="007F762D">
        <w:rPr>
          <w:rFonts w:ascii="Arial" w:hAnsi="Arial" w:cs="Arial"/>
          <w:sz w:val="22"/>
          <w:szCs w:val="22"/>
        </w:rPr>
        <w:t>thaw testing takes between 6</w:t>
      </w:r>
      <w:r w:rsidR="00DB2E22">
        <w:rPr>
          <w:rFonts w:ascii="Arial" w:hAnsi="Arial" w:cs="Arial"/>
          <w:sz w:val="22"/>
          <w:szCs w:val="22"/>
        </w:rPr>
        <w:t xml:space="preserve"> and </w:t>
      </w:r>
      <w:r w:rsidRPr="007F762D">
        <w:rPr>
          <w:rFonts w:ascii="Arial" w:hAnsi="Arial" w:cs="Arial"/>
          <w:sz w:val="22"/>
          <w:szCs w:val="22"/>
        </w:rPr>
        <w:t>8 weeks.</w:t>
      </w:r>
    </w:p>
    <w:p w14:paraId="500BF639" w14:textId="77777777" w:rsidR="007F762D" w:rsidRPr="007F762D" w:rsidRDefault="007F762D" w:rsidP="00BE3F24">
      <w:pPr>
        <w:rPr>
          <w:rFonts w:ascii="Arial" w:hAnsi="Arial" w:cs="Arial"/>
          <w:sz w:val="22"/>
          <w:szCs w:val="22"/>
        </w:rPr>
      </w:pPr>
    </w:p>
    <w:p w14:paraId="75F1CC22" w14:textId="77777777" w:rsidR="00FC0A1E" w:rsidRDefault="00FC0A1E" w:rsidP="00172E64">
      <w:pPr>
        <w:pStyle w:val="Heading4"/>
        <w:numPr>
          <w:ilvl w:val="3"/>
          <w:numId w:val="184"/>
        </w:numPr>
        <w:ind w:left="0" w:firstLine="0"/>
      </w:pPr>
      <w:r w:rsidRPr="008C64A3">
        <w:t>Lime Stabilized Subgrade Treatment</w:t>
      </w:r>
      <w:r>
        <w:t xml:space="preserve"> (LSST)</w:t>
      </w:r>
    </w:p>
    <w:p w14:paraId="583135FA" w14:textId="5D74A066" w:rsidR="00FC0A1E" w:rsidRPr="007F762D" w:rsidRDefault="00FC0A1E" w:rsidP="00BE3F24">
      <w:pPr>
        <w:jc w:val="both"/>
        <w:rPr>
          <w:rFonts w:ascii="Arial" w:hAnsi="Arial" w:cs="Arial"/>
          <w:sz w:val="22"/>
          <w:szCs w:val="22"/>
          <w:highlight w:val="yellow"/>
        </w:rPr>
      </w:pPr>
      <w:r w:rsidRPr="007F762D">
        <w:rPr>
          <w:rFonts w:ascii="Arial" w:hAnsi="Arial" w:cs="Arial"/>
          <w:sz w:val="22"/>
          <w:szCs w:val="22"/>
        </w:rPr>
        <w:t>Lime may be used to treat soils to varying degrees, depending upon the objective. The least amount of treatment is used to dry and temporarily modify soils to facilitate construction. A greater degree of treatment</w:t>
      </w:r>
      <w:r w:rsidR="00DB2E22">
        <w:rPr>
          <w:rFonts w:ascii="Arial" w:hAnsi="Arial" w:cs="Arial"/>
          <w:sz w:val="22"/>
          <w:szCs w:val="22"/>
        </w:rPr>
        <w:t xml:space="preserve"> – </w:t>
      </w:r>
      <w:r w:rsidRPr="007F762D">
        <w:rPr>
          <w:rFonts w:ascii="Arial" w:hAnsi="Arial" w:cs="Arial"/>
          <w:sz w:val="22"/>
          <w:szCs w:val="22"/>
        </w:rPr>
        <w:t>supported by testing, design, and proper construction techniques</w:t>
      </w:r>
      <w:r w:rsidR="00DB2E22">
        <w:rPr>
          <w:rFonts w:ascii="Arial" w:hAnsi="Arial" w:cs="Arial"/>
          <w:sz w:val="22"/>
          <w:szCs w:val="22"/>
        </w:rPr>
        <w:t xml:space="preserve"> – </w:t>
      </w:r>
      <w:r w:rsidRPr="007F762D">
        <w:rPr>
          <w:rFonts w:ascii="Arial" w:hAnsi="Arial" w:cs="Arial"/>
          <w:sz w:val="22"/>
          <w:szCs w:val="22"/>
        </w:rPr>
        <w:t>produces permanent structural stabilization of soils.</w:t>
      </w:r>
    </w:p>
    <w:p w14:paraId="13754208" w14:textId="77777777" w:rsidR="001A15B9" w:rsidRDefault="00FC0A1E" w:rsidP="00172E64">
      <w:pPr>
        <w:numPr>
          <w:ilvl w:val="0"/>
          <w:numId w:val="60"/>
        </w:numPr>
        <w:tabs>
          <w:tab w:val="num" w:pos="1080"/>
        </w:tabs>
        <w:spacing w:before="240"/>
        <w:ind w:left="1080" w:hanging="1080"/>
        <w:jc w:val="both"/>
        <w:rPr>
          <w:rFonts w:ascii="Arial" w:hAnsi="Arial" w:cs="Arial"/>
          <w:b/>
          <w:bCs/>
          <w:sz w:val="22"/>
          <w:szCs w:val="22"/>
        </w:rPr>
      </w:pPr>
      <w:r w:rsidRPr="007F762D">
        <w:rPr>
          <w:rFonts w:ascii="Arial" w:hAnsi="Arial" w:cs="Arial"/>
          <w:sz w:val="22"/>
          <w:szCs w:val="22"/>
        </w:rPr>
        <w:t>Review boring logs and laboratory test data to determine the type and moisture condition of soils at subgrade level.</w:t>
      </w:r>
    </w:p>
    <w:p w14:paraId="19F3B4CA" w14:textId="5E3A6210" w:rsidR="001A15B9" w:rsidRDefault="00FC0A1E" w:rsidP="00172E64">
      <w:pPr>
        <w:numPr>
          <w:ilvl w:val="0"/>
          <w:numId w:val="60"/>
        </w:numPr>
        <w:tabs>
          <w:tab w:val="num" w:pos="1080"/>
        </w:tabs>
        <w:spacing w:before="120"/>
        <w:ind w:left="1080" w:hanging="1080"/>
        <w:jc w:val="both"/>
        <w:rPr>
          <w:rFonts w:ascii="Arial" w:hAnsi="Arial" w:cs="Arial"/>
          <w:b/>
          <w:bCs/>
          <w:sz w:val="22"/>
          <w:szCs w:val="22"/>
        </w:rPr>
      </w:pPr>
      <w:r w:rsidRPr="007F762D">
        <w:rPr>
          <w:rFonts w:ascii="Arial" w:hAnsi="Arial" w:cs="Arial"/>
          <w:sz w:val="22"/>
          <w:szCs w:val="22"/>
        </w:rPr>
        <w:t xml:space="preserve">In general, fine-grained clay soils (with a minimum of 25 percent passing the #200 sieve and a PI greater than 10) are considered to be good candidates for stabilization with </w:t>
      </w:r>
      <w:r w:rsidR="00DB2E22">
        <w:rPr>
          <w:rFonts w:ascii="Arial" w:hAnsi="Arial" w:cs="Arial"/>
          <w:sz w:val="22"/>
          <w:szCs w:val="22"/>
        </w:rPr>
        <w:t>l</w:t>
      </w:r>
      <w:r w:rsidRPr="007F762D">
        <w:rPr>
          <w:rFonts w:ascii="Arial" w:hAnsi="Arial" w:cs="Arial"/>
          <w:sz w:val="22"/>
          <w:szCs w:val="22"/>
        </w:rPr>
        <w:t>ime. Soils containing significant amounts of organic material (greater than about 1 percent) or sulfates (greater than 0.3 percent) may require additional lime and/or special construction procedures.</w:t>
      </w:r>
    </w:p>
    <w:p w14:paraId="7309F343" w14:textId="77777777" w:rsidR="001A15B9" w:rsidRDefault="00FC0A1E" w:rsidP="00172E64">
      <w:pPr>
        <w:numPr>
          <w:ilvl w:val="0"/>
          <w:numId w:val="60"/>
        </w:numPr>
        <w:tabs>
          <w:tab w:val="clear" w:pos="1872"/>
          <w:tab w:val="num" w:pos="1152"/>
        </w:tabs>
        <w:spacing w:before="120"/>
        <w:ind w:left="1080" w:hanging="1080"/>
        <w:jc w:val="both"/>
        <w:rPr>
          <w:rFonts w:ascii="Arial" w:hAnsi="Arial" w:cs="Arial"/>
          <w:b/>
          <w:bCs/>
          <w:sz w:val="22"/>
          <w:szCs w:val="22"/>
        </w:rPr>
      </w:pPr>
      <w:r w:rsidRPr="007F762D">
        <w:rPr>
          <w:rFonts w:ascii="Arial" w:hAnsi="Arial" w:cs="Arial"/>
          <w:sz w:val="22"/>
          <w:szCs w:val="22"/>
        </w:rPr>
        <w:lastRenderedPageBreak/>
        <w:t>Lime can permanently stabilize fine-grained soil employed as a subgrade or sub-base to create a layer with structural value in the pavement system. The treated soils may be in-place (subgrade) or borrow materials. Subgrade stabilization usually involves in-place “road mixing,” and generally requires adding 3 to 8 percent lime by weight of the dry soil.</w:t>
      </w:r>
    </w:p>
    <w:p w14:paraId="56838F9F" w14:textId="77777777" w:rsidR="001A15B9" w:rsidRDefault="00FC0A1E" w:rsidP="00172E64">
      <w:pPr>
        <w:numPr>
          <w:ilvl w:val="0"/>
          <w:numId w:val="60"/>
        </w:numPr>
        <w:tabs>
          <w:tab w:val="clear" w:pos="1872"/>
          <w:tab w:val="num" w:pos="1152"/>
        </w:tabs>
        <w:spacing w:before="120"/>
        <w:ind w:left="1080" w:hanging="1080"/>
        <w:jc w:val="both"/>
        <w:rPr>
          <w:rFonts w:ascii="Arial" w:hAnsi="Arial" w:cs="Arial"/>
          <w:b/>
          <w:bCs/>
          <w:sz w:val="22"/>
          <w:szCs w:val="22"/>
        </w:rPr>
      </w:pPr>
      <w:r w:rsidRPr="007F762D">
        <w:rPr>
          <w:rFonts w:ascii="Arial" w:hAnsi="Arial" w:cs="Arial"/>
          <w:sz w:val="22"/>
          <w:szCs w:val="22"/>
        </w:rPr>
        <w:t xml:space="preserve">Fine grained soils with PI more than 25 which exhibit significant swell. Lime will reduce swell in these soils to greater or lesser degrees depending on the activity of the clay minerals present. </w:t>
      </w:r>
    </w:p>
    <w:p w14:paraId="28F19AE3" w14:textId="00D0E711" w:rsidR="001A15B9" w:rsidRDefault="00FC0A1E" w:rsidP="00172E64">
      <w:pPr>
        <w:numPr>
          <w:ilvl w:val="0"/>
          <w:numId w:val="60"/>
        </w:numPr>
        <w:tabs>
          <w:tab w:val="clear" w:pos="1872"/>
          <w:tab w:val="num" w:pos="1152"/>
        </w:tabs>
        <w:spacing w:before="120"/>
        <w:ind w:left="1080" w:hanging="1080"/>
        <w:jc w:val="both"/>
        <w:rPr>
          <w:rFonts w:ascii="Arial" w:hAnsi="Arial" w:cs="Arial"/>
          <w:b/>
          <w:bCs/>
          <w:sz w:val="22"/>
          <w:szCs w:val="22"/>
        </w:rPr>
      </w:pPr>
      <w:r w:rsidRPr="007F762D">
        <w:rPr>
          <w:rFonts w:ascii="Arial" w:hAnsi="Arial" w:cs="Arial"/>
          <w:sz w:val="22"/>
          <w:szCs w:val="22"/>
        </w:rPr>
        <w:t xml:space="preserve">Suggested Lime or Lime by </w:t>
      </w:r>
      <w:r w:rsidR="00C63DE0">
        <w:rPr>
          <w:rFonts w:ascii="Arial" w:hAnsi="Arial" w:cs="Arial"/>
          <w:sz w:val="22"/>
          <w:szCs w:val="22"/>
        </w:rPr>
        <w:t>p</w:t>
      </w:r>
      <w:r w:rsidRPr="007F762D">
        <w:rPr>
          <w:rFonts w:ascii="Arial" w:hAnsi="Arial" w:cs="Arial"/>
          <w:sz w:val="22"/>
          <w:szCs w:val="22"/>
        </w:rPr>
        <w:t xml:space="preserve">roducts in quantity: </w:t>
      </w:r>
      <w:r w:rsidR="00C63DE0">
        <w:rPr>
          <w:rFonts w:ascii="Arial" w:hAnsi="Arial" w:cs="Arial"/>
          <w:sz w:val="22"/>
          <w:szCs w:val="22"/>
        </w:rPr>
        <w:t xml:space="preserve"> </w:t>
      </w:r>
      <w:r w:rsidRPr="007F762D">
        <w:rPr>
          <w:rFonts w:ascii="Arial" w:hAnsi="Arial" w:cs="Arial"/>
          <w:sz w:val="22"/>
          <w:szCs w:val="22"/>
        </w:rPr>
        <w:t>3% to 8%.</w:t>
      </w:r>
    </w:p>
    <w:p w14:paraId="5521AF70" w14:textId="6C54C66C" w:rsidR="001A15B9" w:rsidRDefault="00FC0A1E" w:rsidP="00172E64">
      <w:pPr>
        <w:numPr>
          <w:ilvl w:val="0"/>
          <w:numId w:val="60"/>
        </w:numPr>
        <w:tabs>
          <w:tab w:val="clear" w:pos="1872"/>
          <w:tab w:val="num" w:pos="1152"/>
        </w:tabs>
        <w:autoSpaceDE w:val="0"/>
        <w:autoSpaceDN w:val="0"/>
        <w:adjustRightInd w:val="0"/>
        <w:spacing w:before="120"/>
        <w:ind w:left="1080" w:hanging="1080"/>
        <w:jc w:val="both"/>
        <w:rPr>
          <w:rFonts w:ascii="Arial" w:hAnsi="Arial" w:cs="Arial"/>
          <w:b/>
          <w:bCs/>
          <w:sz w:val="22"/>
          <w:szCs w:val="22"/>
        </w:rPr>
      </w:pPr>
      <w:r w:rsidRPr="007F762D">
        <w:rPr>
          <w:rFonts w:ascii="Arial" w:hAnsi="Arial" w:cs="Arial"/>
          <w:sz w:val="22"/>
          <w:szCs w:val="22"/>
        </w:rPr>
        <w:t>For lime stabilization of clay (or highly plastic) soils, the lime content should be from 3 – 8% of the dry weight of the soil, and the cured mass should have an unconfined compressive strength of at least 0.34 MPa (50 psi) within 28 days. The optimum lime content should be determined with the use of unconfined compressive strength</w:t>
      </w:r>
      <w:r w:rsidR="00DB2E22">
        <w:rPr>
          <w:rFonts w:ascii="Arial" w:hAnsi="Arial" w:cs="Arial"/>
          <w:sz w:val="22"/>
          <w:szCs w:val="22"/>
        </w:rPr>
        <w:t>,</w:t>
      </w:r>
      <w:r w:rsidRPr="007F762D">
        <w:rPr>
          <w:rFonts w:ascii="Arial" w:hAnsi="Arial" w:cs="Arial"/>
          <w:sz w:val="22"/>
          <w:szCs w:val="22"/>
        </w:rPr>
        <w:t xml:space="preserve"> and the Atterberg limits tests on laboratory lime-soil mixtures molded at varying percentages of lime. (Source: Geotechnical Aspects of Pavements NHI</w:t>
      </w:r>
      <w:r w:rsidR="00C63DE0" w:rsidRPr="007F762D">
        <w:rPr>
          <w:rFonts w:ascii="Arial" w:hAnsi="Arial" w:cs="Arial"/>
          <w:sz w:val="22"/>
          <w:szCs w:val="22"/>
        </w:rPr>
        <w:t xml:space="preserve"> – </w:t>
      </w:r>
      <w:r w:rsidRPr="007F762D">
        <w:rPr>
          <w:rFonts w:ascii="Arial" w:hAnsi="Arial" w:cs="Arial"/>
          <w:sz w:val="22"/>
          <w:szCs w:val="22"/>
        </w:rPr>
        <w:t>132040)</w:t>
      </w:r>
    </w:p>
    <w:p w14:paraId="0854360E" w14:textId="5CA42A22" w:rsidR="001A15B9" w:rsidRDefault="00FC0A1E" w:rsidP="00172E64">
      <w:pPr>
        <w:numPr>
          <w:ilvl w:val="0"/>
          <w:numId w:val="60"/>
        </w:numPr>
        <w:tabs>
          <w:tab w:val="clear" w:pos="1872"/>
          <w:tab w:val="num" w:pos="1152"/>
        </w:tabs>
        <w:autoSpaceDE w:val="0"/>
        <w:autoSpaceDN w:val="0"/>
        <w:adjustRightInd w:val="0"/>
        <w:spacing w:before="120"/>
        <w:ind w:left="1080" w:hanging="1080"/>
        <w:jc w:val="both"/>
        <w:rPr>
          <w:rFonts w:ascii="Arial" w:hAnsi="Arial" w:cs="Arial"/>
          <w:b/>
          <w:bCs/>
          <w:sz w:val="22"/>
          <w:szCs w:val="22"/>
        </w:rPr>
      </w:pPr>
      <w:r w:rsidRPr="007F762D">
        <w:rPr>
          <w:rFonts w:ascii="Arial" w:hAnsi="Arial" w:cs="Arial"/>
          <w:sz w:val="22"/>
          <w:szCs w:val="22"/>
        </w:rPr>
        <w:t>Resilient modulus (M</w:t>
      </w:r>
      <w:r w:rsidRPr="00881632">
        <w:rPr>
          <w:rFonts w:ascii="Arial" w:hAnsi="Arial"/>
          <w:sz w:val="22"/>
          <w:vertAlign w:val="subscript"/>
        </w:rPr>
        <w:t>r</w:t>
      </w:r>
      <w:r w:rsidRPr="007F762D">
        <w:rPr>
          <w:rFonts w:ascii="Arial" w:hAnsi="Arial" w:cs="Arial"/>
          <w:sz w:val="22"/>
          <w:szCs w:val="22"/>
        </w:rPr>
        <w:t>) of lime</w:t>
      </w:r>
      <w:r w:rsidR="00DB2E22">
        <w:rPr>
          <w:rFonts w:ascii="Arial" w:hAnsi="Arial" w:cs="Arial"/>
          <w:sz w:val="22"/>
          <w:szCs w:val="22"/>
        </w:rPr>
        <w:t>-</w:t>
      </w:r>
      <w:r w:rsidRPr="007F762D">
        <w:rPr>
          <w:rFonts w:ascii="Arial" w:hAnsi="Arial" w:cs="Arial"/>
          <w:sz w:val="22"/>
          <w:szCs w:val="22"/>
        </w:rPr>
        <w:t>stabilized soils can be estimated from unconfined compressive strength of the cured soil-lime samples performed in accordance with the MDTP (Little, 2000)</w:t>
      </w:r>
      <w:r w:rsidR="00DB2E22">
        <w:rPr>
          <w:rFonts w:ascii="Arial" w:hAnsi="Arial" w:cs="Arial"/>
          <w:sz w:val="22"/>
          <w:szCs w:val="22"/>
        </w:rPr>
        <w:t xml:space="preserve">, and </w:t>
      </w:r>
      <w:r w:rsidRPr="007F762D">
        <w:rPr>
          <w:rFonts w:ascii="Arial" w:hAnsi="Arial" w:cs="Arial"/>
          <w:sz w:val="22"/>
          <w:szCs w:val="22"/>
        </w:rPr>
        <w:t>can be estimated from 28-day q</w:t>
      </w:r>
      <w:r w:rsidRPr="00881632">
        <w:rPr>
          <w:rFonts w:ascii="Arial" w:hAnsi="Arial"/>
          <w:sz w:val="22"/>
          <w:vertAlign w:val="subscript"/>
        </w:rPr>
        <w:t>u</w:t>
      </w:r>
      <w:r w:rsidRPr="007F762D">
        <w:rPr>
          <w:rFonts w:ascii="Arial" w:hAnsi="Arial" w:cs="Arial"/>
          <w:sz w:val="22"/>
          <w:szCs w:val="22"/>
        </w:rPr>
        <w:t xml:space="preserve"> test using the following formula: </w:t>
      </w:r>
    </w:p>
    <w:p w14:paraId="62617A06" w14:textId="77777777" w:rsidR="00DB2E22" w:rsidRDefault="00DB2E22" w:rsidP="001974E0">
      <w:pPr>
        <w:autoSpaceDE w:val="0"/>
        <w:autoSpaceDN w:val="0"/>
        <w:adjustRightInd w:val="0"/>
        <w:ind w:left="2160" w:hanging="1080"/>
        <w:jc w:val="both"/>
        <w:rPr>
          <w:rFonts w:ascii="Arial" w:hAnsi="Arial" w:cs="Arial"/>
          <w:sz w:val="22"/>
          <w:szCs w:val="22"/>
        </w:rPr>
      </w:pPr>
    </w:p>
    <w:p w14:paraId="21AA6CD0" w14:textId="77777777" w:rsidR="00FC0A1E" w:rsidRPr="007F762D" w:rsidRDefault="00FC0A1E" w:rsidP="00881632">
      <w:pPr>
        <w:autoSpaceDE w:val="0"/>
        <w:autoSpaceDN w:val="0"/>
        <w:adjustRightInd w:val="0"/>
        <w:ind w:left="2160" w:hanging="1080"/>
        <w:jc w:val="center"/>
        <w:rPr>
          <w:rFonts w:ascii="Arial" w:hAnsi="Arial" w:cs="Arial"/>
          <w:sz w:val="22"/>
          <w:szCs w:val="22"/>
        </w:rPr>
      </w:pPr>
      <w:r w:rsidRPr="007F762D">
        <w:rPr>
          <w:rFonts w:ascii="Arial" w:hAnsi="Arial" w:cs="Arial"/>
          <w:sz w:val="22"/>
          <w:szCs w:val="22"/>
        </w:rPr>
        <w:t>M</w:t>
      </w:r>
      <w:r w:rsidRPr="00881632">
        <w:rPr>
          <w:rFonts w:ascii="Arial" w:hAnsi="Arial"/>
          <w:sz w:val="22"/>
          <w:vertAlign w:val="subscript"/>
        </w:rPr>
        <w:t>r</w:t>
      </w:r>
      <w:r w:rsidRPr="007F762D">
        <w:rPr>
          <w:rFonts w:ascii="Arial" w:hAnsi="Arial" w:cs="Arial"/>
          <w:sz w:val="22"/>
          <w:szCs w:val="22"/>
        </w:rPr>
        <w:t xml:space="preserve"> = 0.124(q</w:t>
      </w:r>
      <w:r w:rsidRPr="00881632">
        <w:rPr>
          <w:rFonts w:ascii="Arial" w:hAnsi="Arial"/>
          <w:sz w:val="22"/>
          <w:vertAlign w:val="subscript"/>
        </w:rPr>
        <w:t>u</w:t>
      </w:r>
      <w:r w:rsidRPr="007F762D">
        <w:rPr>
          <w:rFonts w:ascii="Arial" w:hAnsi="Arial" w:cs="Arial"/>
          <w:sz w:val="22"/>
          <w:szCs w:val="22"/>
        </w:rPr>
        <w:t>) + 9.98   (ksi)    (Thompson, 1966)</w:t>
      </w:r>
    </w:p>
    <w:p w14:paraId="50932679" w14:textId="77777777" w:rsidR="00DB2E22" w:rsidRDefault="00DB2E22" w:rsidP="001974E0">
      <w:pPr>
        <w:autoSpaceDE w:val="0"/>
        <w:autoSpaceDN w:val="0"/>
        <w:adjustRightInd w:val="0"/>
        <w:ind w:left="2160" w:hanging="1080"/>
        <w:jc w:val="both"/>
        <w:rPr>
          <w:rFonts w:ascii="Arial" w:hAnsi="Arial" w:cs="Arial"/>
          <w:sz w:val="22"/>
          <w:szCs w:val="22"/>
        </w:rPr>
      </w:pPr>
    </w:p>
    <w:p w14:paraId="16CA5891" w14:textId="20F1443A" w:rsidR="00DB2E22" w:rsidRDefault="00FC0A1E" w:rsidP="001974E0">
      <w:pPr>
        <w:autoSpaceDE w:val="0"/>
        <w:autoSpaceDN w:val="0"/>
        <w:adjustRightInd w:val="0"/>
        <w:ind w:left="2160" w:hanging="1080"/>
        <w:jc w:val="both"/>
        <w:rPr>
          <w:rFonts w:ascii="Arial" w:hAnsi="Arial" w:cs="Arial"/>
          <w:sz w:val="22"/>
          <w:szCs w:val="22"/>
        </w:rPr>
      </w:pPr>
      <w:r w:rsidRPr="007F762D">
        <w:rPr>
          <w:rFonts w:ascii="Arial" w:hAnsi="Arial" w:cs="Arial"/>
          <w:sz w:val="22"/>
          <w:szCs w:val="22"/>
        </w:rPr>
        <w:t>where</w:t>
      </w:r>
      <w:r w:rsidR="00DB2E22">
        <w:rPr>
          <w:rFonts w:ascii="Arial" w:hAnsi="Arial" w:cs="Arial"/>
          <w:sz w:val="22"/>
          <w:szCs w:val="22"/>
        </w:rPr>
        <w:t>:</w:t>
      </w:r>
    </w:p>
    <w:p w14:paraId="2171B72B" w14:textId="77777777" w:rsidR="007400F0" w:rsidRDefault="007400F0" w:rsidP="001974E0">
      <w:pPr>
        <w:autoSpaceDE w:val="0"/>
        <w:autoSpaceDN w:val="0"/>
        <w:adjustRightInd w:val="0"/>
        <w:ind w:left="2160" w:hanging="1080"/>
        <w:jc w:val="both"/>
        <w:rPr>
          <w:rFonts w:ascii="Arial" w:hAnsi="Arial" w:cs="Arial"/>
          <w:sz w:val="22"/>
          <w:szCs w:val="22"/>
        </w:rPr>
      </w:pPr>
    </w:p>
    <w:p w14:paraId="221D241B" w14:textId="5B2A38F2" w:rsidR="00FC0A1E" w:rsidRPr="007F762D" w:rsidRDefault="00FC0A1E" w:rsidP="00881632">
      <w:pPr>
        <w:tabs>
          <w:tab w:val="left" w:pos="1800"/>
          <w:tab w:val="left" w:pos="2070"/>
        </w:tabs>
        <w:autoSpaceDE w:val="0"/>
        <w:autoSpaceDN w:val="0"/>
        <w:adjustRightInd w:val="0"/>
        <w:ind w:left="2160" w:hanging="720"/>
        <w:jc w:val="both"/>
        <w:rPr>
          <w:rFonts w:ascii="Arial" w:hAnsi="Arial" w:cs="Arial"/>
          <w:sz w:val="22"/>
          <w:szCs w:val="22"/>
        </w:rPr>
      </w:pPr>
      <w:r w:rsidRPr="007F762D">
        <w:rPr>
          <w:rFonts w:ascii="Arial" w:hAnsi="Arial" w:cs="Arial"/>
          <w:sz w:val="22"/>
          <w:szCs w:val="22"/>
        </w:rPr>
        <w:t>M</w:t>
      </w:r>
      <w:r w:rsidRPr="00881632">
        <w:rPr>
          <w:rFonts w:ascii="Arial" w:hAnsi="Arial"/>
          <w:sz w:val="22"/>
          <w:vertAlign w:val="subscript"/>
        </w:rPr>
        <w:t>r</w:t>
      </w:r>
      <w:r w:rsidRPr="007F762D">
        <w:rPr>
          <w:rFonts w:ascii="Arial" w:hAnsi="Arial" w:cs="Arial"/>
          <w:sz w:val="22"/>
          <w:szCs w:val="22"/>
        </w:rPr>
        <w:t xml:space="preserve"> </w:t>
      </w:r>
      <w:r w:rsidR="00C63DE0">
        <w:rPr>
          <w:rFonts w:ascii="Arial" w:hAnsi="Arial" w:cs="Arial"/>
          <w:sz w:val="22"/>
          <w:szCs w:val="22"/>
        </w:rPr>
        <w:tab/>
      </w:r>
      <w:r w:rsidRPr="007F762D">
        <w:rPr>
          <w:rFonts w:ascii="Arial" w:hAnsi="Arial" w:cs="Arial"/>
          <w:sz w:val="22"/>
          <w:szCs w:val="22"/>
        </w:rPr>
        <w:t xml:space="preserve">= </w:t>
      </w:r>
      <w:r w:rsidR="00C63DE0">
        <w:rPr>
          <w:rFonts w:ascii="Arial" w:hAnsi="Arial" w:cs="Arial"/>
          <w:sz w:val="22"/>
          <w:szCs w:val="22"/>
        </w:rPr>
        <w:tab/>
      </w:r>
      <w:r w:rsidRPr="007F762D">
        <w:rPr>
          <w:rFonts w:ascii="Arial" w:hAnsi="Arial" w:cs="Arial"/>
          <w:sz w:val="22"/>
          <w:szCs w:val="22"/>
        </w:rPr>
        <w:t>resilient modulus, ksi</w:t>
      </w:r>
    </w:p>
    <w:p w14:paraId="52FEF0A8" w14:textId="6EC7306B" w:rsidR="00FC0A1E" w:rsidRPr="007F762D" w:rsidRDefault="00FC0A1E" w:rsidP="00881632">
      <w:pPr>
        <w:tabs>
          <w:tab w:val="left" w:pos="1800"/>
          <w:tab w:val="left" w:pos="2070"/>
        </w:tabs>
        <w:ind w:left="2160" w:hanging="720"/>
        <w:jc w:val="both"/>
        <w:rPr>
          <w:rFonts w:ascii="Arial" w:hAnsi="Arial" w:cs="Arial"/>
          <w:sz w:val="22"/>
          <w:szCs w:val="22"/>
        </w:rPr>
      </w:pPr>
      <w:r w:rsidRPr="007F762D">
        <w:rPr>
          <w:rFonts w:ascii="Arial" w:hAnsi="Arial" w:cs="Arial"/>
          <w:sz w:val="22"/>
          <w:szCs w:val="22"/>
        </w:rPr>
        <w:t>q</w:t>
      </w:r>
      <w:r w:rsidRPr="00881632">
        <w:rPr>
          <w:rFonts w:ascii="Arial" w:hAnsi="Arial"/>
          <w:sz w:val="22"/>
          <w:vertAlign w:val="subscript"/>
        </w:rPr>
        <w:t>u</w:t>
      </w:r>
      <w:r w:rsidRPr="007F762D">
        <w:rPr>
          <w:rFonts w:ascii="Arial" w:hAnsi="Arial" w:cs="Arial"/>
          <w:sz w:val="22"/>
          <w:szCs w:val="22"/>
        </w:rPr>
        <w:t xml:space="preserve"> </w:t>
      </w:r>
      <w:r w:rsidR="00C63DE0">
        <w:rPr>
          <w:rFonts w:ascii="Arial" w:hAnsi="Arial" w:cs="Arial"/>
          <w:sz w:val="22"/>
          <w:szCs w:val="22"/>
        </w:rPr>
        <w:tab/>
      </w:r>
      <w:r w:rsidRPr="007F762D">
        <w:rPr>
          <w:rFonts w:ascii="Arial" w:hAnsi="Arial" w:cs="Arial"/>
          <w:sz w:val="22"/>
          <w:szCs w:val="22"/>
        </w:rPr>
        <w:t xml:space="preserve">= </w:t>
      </w:r>
      <w:r w:rsidR="00C63DE0">
        <w:rPr>
          <w:rFonts w:ascii="Arial" w:hAnsi="Arial" w:cs="Arial"/>
          <w:sz w:val="22"/>
          <w:szCs w:val="22"/>
        </w:rPr>
        <w:tab/>
      </w:r>
      <w:r w:rsidRPr="007F762D">
        <w:rPr>
          <w:rFonts w:ascii="Arial" w:hAnsi="Arial" w:cs="Arial"/>
          <w:sz w:val="22"/>
          <w:szCs w:val="22"/>
        </w:rPr>
        <w:t>unconfined compressive strength, psi</w:t>
      </w:r>
    </w:p>
    <w:p w14:paraId="3B4DC86C" w14:textId="6A9971F4" w:rsidR="00DB2E22" w:rsidRDefault="00DB2E22" w:rsidP="001974E0">
      <w:pPr>
        <w:ind w:left="2160" w:hanging="1080"/>
        <w:jc w:val="both"/>
        <w:rPr>
          <w:rFonts w:ascii="Arial" w:hAnsi="Arial" w:cs="Arial"/>
          <w:sz w:val="22"/>
          <w:szCs w:val="22"/>
        </w:rPr>
      </w:pPr>
    </w:p>
    <w:p w14:paraId="19633680" w14:textId="1BB58BDD" w:rsidR="00FC0A1E" w:rsidRPr="007F762D" w:rsidRDefault="00FC0A1E" w:rsidP="00881632">
      <w:pPr>
        <w:ind w:left="2160" w:hanging="1080"/>
        <w:rPr>
          <w:rFonts w:ascii="Arial" w:hAnsi="Arial" w:cs="Arial"/>
          <w:sz w:val="22"/>
          <w:szCs w:val="22"/>
        </w:rPr>
      </w:pPr>
      <w:r w:rsidRPr="007F762D">
        <w:rPr>
          <w:rFonts w:ascii="Arial" w:hAnsi="Arial" w:cs="Arial"/>
          <w:sz w:val="22"/>
          <w:szCs w:val="22"/>
        </w:rPr>
        <w:t>Thompson, M.R. (1966). “Shear Strength and Elastic Properties of Lime-Soil Mixtures,” Transportation Research Record No. 139, Transportation Research Board, Washington, D.C.</w:t>
      </w:r>
    </w:p>
    <w:p w14:paraId="273F1775" w14:textId="1EC3582E" w:rsidR="00142C0D" w:rsidRPr="00142C0D" w:rsidRDefault="00FC0A1E" w:rsidP="00881632">
      <w:pPr>
        <w:ind w:left="2160" w:hanging="1080"/>
        <w:rPr>
          <w:rFonts w:ascii="Arial" w:hAnsi="Arial" w:cs="Arial"/>
          <w:sz w:val="22"/>
          <w:szCs w:val="22"/>
        </w:rPr>
      </w:pPr>
      <w:r w:rsidRPr="007F762D">
        <w:rPr>
          <w:rFonts w:ascii="Arial" w:hAnsi="Arial" w:cs="Arial"/>
          <w:sz w:val="22"/>
          <w:szCs w:val="22"/>
        </w:rPr>
        <w:t xml:space="preserve">Little, D.L. (2000). Evaluation of Structural Properties of Lime Stabilized Soils and Aggregates, Mixture Design and Testing Protocol for Lime Stabilized Soils </w:t>
      </w:r>
      <w:r w:rsidR="00142C0D">
        <w:rPr>
          <w:rFonts w:ascii="Arial" w:hAnsi="Arial" w:cs="Arial"/>
          <w:sz w:val="22"/>
          <w:szCs w:val="22"/>
        </w:rPr>
        <w:t>(Vol. 3).</w:t>
      </w:r>
      <w:r w:rsidR="00142C0D" w:rsidRPr="00142C0D">
        <w:rPr>
          <w:rFonts w:ascii="Arial" w:hAnsi="Arial" w:cs="Arial"/>
          <w:sz w:val="22"/>
          <w:szCs w:val="22"/>
        </w:rPr>
        <w:t xml:space="preserve"> National Lime Association </w:t>
      </w:r>
      <w:r w:rsidR="00142C0D">
        <w:rPr>
          <w:rFonts w:ascii="Arial" w:hAnsi="Arial" w:cs="Arial"/>
          <w:sz w:val="22"/>
          <w:szCs w:val="22"/>
        </w:rPr>
        <w:t>Report.</w:t>
      </w:r>
    </w:p>
    <w:p w14:paraId="283E3383" w14:textId="77777777" w:rsidR="00FC0A1E" w:rsidRPr="007F762D" w:rsidRDefault="00FC0A1E" w:rsidP="00881632">
      <w:pPr>
        <w:ind w:left="2160" w:hanging="1080"/>
        <w:rPr>
          <w:rFonts w:ascii="Arial" w:hAnsi="Arial" w:cs="Arial"/>
          <w:sz w:val="22"/>
          <w:szCs w:val="22"/>
        </w:rPr>
      </w:pPr>
    </w:p>
    <w:p w14:paraId="754AF4F0" w14:textId="471AADB5" w:rsidR="00FC0A1E" w:rsidRDefault="00FC0A1E" w:rsidP="0092406F">
      <w:pPr>
        <w:ind w:left="1080"/>
        <w:jc w:val="both"/>
        <w:rPr>
          <w:rFonts w:ascii="Arial" w:hAnsi="Arial" w:cs="Arial"/>
        </w:rPr>
      </w:pPr>
      <w:r w:rsidRPr="007F762D">
        <w:rPr>
          <w:rFonts w:ascii="Arial" w:hAnsi="Arial" w:cs="Arial"/>
          <w:sz w:val="22"/>
          <w:szCs w:val="22"/>
        </w:rPr>
        <w:t>For other types of stabilization methods or techniques, refer to NHI Course No. 132040 – “Geotechnical Aspects of Pavements</w:t>
      </w:r>
      <w:r w:rsidR="00DB2E22">
        <w:rPr>
          <w:rFonts w:ascii="Arial" w:hAnsi="Arial" w:cs="Arial"/>
          <w:sz w:val="22"/>
          <w:szCs w:val="22"/>
        </w:rPr>
        <w:t>.</w:t>
      </w:r>
      <w:r w:rsidRPr="007F762D">
        <w:rPr>
          <w:rFonts w:ascii="Arial" w:hAnsi="Arial" w:cs="Arial"/>
          <w:sz w:val="22"/>
          <w:szCs w:val="22"/>
        </w:rPr>
        <w:t>”</w:t>
      </w:r>
    </w:p>
    <w:p w14:paraId="57A39EE9" w14:textId="77777777" w:rsidR="00FC0A1E" w:rsidRDefault="00FC0A1E" w:rsidP="00BE3F24">
      <w:pPr>
        <w:rPr>
          <w:rFonts w:ascii="Arial" w:hAnsi="Arial" w:cs="Arial"/>
        </w:rPr>
      </w:pPr>
    </w:p>
    <w:p w14:paraId="3B143712" w14:textId="77777777" w:rsidR="00FC0A1E" w:rsidRDefault="00FC0A1E" w:rsidP="00BE3F24">
      <w:pPr>
        <w:rPr>
          <w:rFonts w:ascii="Arial" w:hAnsi="Arial" w:cs="Arial"/>
          <w:b/>
          <w:bCs/>
          <w:sz w:val="28"/>
          <w:szCs w:val="28"/>
        </w:rPr>
        <w:sectPr w:rsidR="00FC0A1E" w:rsidSect="008B1BAA">
          <w:headerReference w:type="even" r:id="rId290"/>
          <w:headerReference w:type="default" r:id="rId291"/>
          <w:footerReference w:type="default" r:id="rId292"/>
          <w:headerReference w:type="first" r:id="rId293"/>
          <w:pgSz w:w="12240" w:h="15840" w:code="1"/>
          <w:pgMar w:top="1440" w:right="1800" w:bottom="1440" w:left="1800" w:header="720" w:footer="720" w:gutter="0"/>
          <w:pgNumType w:chapStyle="1"/>
          <w:cols w:space="720"/>
          <w:docGrid w:linePitch="360"/>
        </w:sectPr>
      </w:pPr>
    </w:p>
    <w:p w14:paraId="119192FF" w14:textId="77777777" w:rsidR="00FC0A1E" w:rsidRDefault="00FC0A1E" w:rsidP="00BE3F24">
      <w:pPr>
        <w:rPr>
          <w:rFonts w:ascii="Arial" w:hAnsi="Arial" w:cs="Arial"/>
          <w:b/>
          <w:bCs/>
          <w:sz w:val="28"/>
          <w:szCs w:val="28"/>
        </w:rPr>
        <w:sectPr w:rsidR="00FC0A1E" w:rsidSect="00FC0A1E">
          <w:headerReference w:type="default" r:id="rId294"/>
          <w:footerReference w:type="default" r:id="rId295"/>
          <w:type w:val="continuous"/>
          <w:pgSz w:w="12240" w:h="15840" w:code="1"/>
          <w:pgMar w:top="1440" w:right="1440" w:bottom="1440" w:left="1440" w:header="720" w:footer="720" w:gutter="0"/>
          <w:cols w:space="720"/>
          <w:docGrid w:linePitch="360"/>
        </w:sectPr>
      </w:pPr>
    </w:p>
    <w:p w14:paraId="18C0F1DE" w14:textId="56DCDCD4" w:rsidR="00981C68" w:rsidRPr="00160E58" w:rsidRDefault="00981C68" w:rsidP="00172E64">
      <w:pPr>
        <w:pStyle w:val="Heading2"/>
        <w:numPr>
          <w:ilvl w:val="1"/>
          <w:numId w:val="184"/>
        </w:numPr>
        <w:ind w:left="0" w:firstLine="0"/>
      </w:pPr>
      <w:bookmarkStart w:id="558" w:name="_Retaining_Walls"/>
      <w:bookmarkStart w:id="559" w:name="_Toc479160120"/>
      <w:bookmarkStart w:id="560" w:name="_Toc514058008"/>
      <w:bookmarkStart w:id="561" w:name="_Toc194932404"/>
      <w:bookmarkEnd w:id="558"/>
      <w:r>
        <w:lastRenderedPageBreak/>
        <w:t>Retaining Walls</w:t>
      </w:r>
      <w:bookmarkEnd w:id="559"/>
      <w:bookmarkEnd w:id="560"/>
      <w:bookmarkEnd w:id="561"/>
    </w:p>
    <w:p w14:paraId="3D9E4216" w14:textId="2CB97A3B" w:rsidR="007637DE" w:rsidRPr="007637DE" w:rsidRDefault="007637DE" w:rsidP="00DB2E22">
      <w:pPr>
        <w:autoSpaceDE w:val="0"/>
        <w:autoSpaceDN w:val="0"/>
        <w:adjustRightInd w:val="0"/>
        <w:jc w:val="both"/>
        <w:rPr>
          <w:rFonts w:ascii="Arial" w:hAnsi="Arial" w:cs="Arial"/>
          <w:sz w:val="22"/>
          <w:szCs w:val="22"/>
        </w:rPr>
      </w:pPr>
      <w:r w:rsidRPr="007637DE">
        <w:rPr>
          <w:rFonts w:ascii="Arial" w:hAnsi="Arial" w:cs="Arial"/>
          <w:sz w:val="22"/>
          <w:szCs w:val="22"/>
        </w:rPr>
        <w:t xml:space="preserve">Design of all Retaining Walls </w:t>
      </w:r>
      <w:r w:rsidR="00DB2E22">
        <w:rPr>
          <w:rFonts w:ascii="Arial" w:hAnsi="Arial" w:cs="Arial"/>
          <w:sz w:val="22"/>
          <w:szCs w:val="22"/>
        </w:rPr>
        <w:t>is</w:t>
      </w:r>
      <w:r w:rsidR="00DB2E22" w:rsidRPr="007637DE">
        <w:rPr>
          <w:rFonts w:ascii="Arial" w:hAnsi="Arial" w:cs="Arial"/>
          <w:sz w:val="22"/>
          <w:szCs w:val="22"/>
        </w:rPr>
        <w:t xml:space="preserve"> </w:t>
      </w:r>
      <w:r w:rsidRPr="007637DE">
        <w:rPr>
          <w:rFonts w:ascii="Arial" w:hAnsi="Arial" w:cs="Arial"/>
          <w:sz w:val="22"/>
          <w:szCs w:val="22"/>
        </w:rPr>
        <w:t xml:space="preserve">performed by Office of Structures (OOS) using soil boring and lab testing information provided by OMT.  The OOS </w:t>
      </w:r>
      <w:r w:rsidR="001130A9">
        <w:rPr>
          <w:rFonts w:ascii="Arial" w:hAnsi="Arial" w:cs="Arial"/>
          <w:sz w:val="22"/>
          <w:szCs w:val="22"/>
        </w:rPr>
        <w:t xml:space="preserve">has </w:t>
      </w:r>
      <w:r w:rsidRPr="007637DE">
        <w:rPr>
          <w:rFonts w:ascii="Arial" w:hAnsi="Arial" w:cs="Arial"/>
          <w:sz w:val="22"/>
          <w:szCs w:val="22"/>
        </w:rPr>
        <w:t>adopt</w:t>
      </w:r>
      <w:r w:rsidR="001130A9">
        <w:rPr>
          <w:rFonts w:ascii="Arial" w:hAnsi="Arial" w:cs="Arial"/>
          <w:sz w:val="22"/>
          <w:szCs w:val="22"/>
        </w:rPr>
        <w:t>ed</w:t>
      </w:r>
      <w:r w:rsidRPr="007637DE">
        <w:rPr>
          <w:rFonts w:ascii="Arial" w:hAnsi="Arial" w:cs="Arial"/>
          <w:sz w:val="22"/>
          <w:szCs w:val="22"/>
        </w:rPr>
        <w:t xml:space="preserve"> LRFD methodology, </w:t>
      </w:r>
      <w:r w:rsidR="001130A9" w:rsidRPr="007637DE">
        <w:rPr>
          <w:rFonts w:ascii="Arial" w:hAnsi="Arial" w:cs="Arial"/>
          <w:sz w:val="22"/>
          <w:szCs w:val="22"/>
        </w:rPr>
        <w:t>which requires</w:t>
      </w:r>
      <w:r w:rsidRPr="007637DE">
        <w:rPr>
          <w:rFonts w:ascii="Arial" w:hAnsi="Arial" w:cs="Arial"/>
          <w:sz w:val="22"/>
          <w:szCs w:val="22"/>
        </w:rPr>
        <w:t xml:space="preserve"> additional in-situ and lab testing.  </w:t>
      </w:r>
    </w:p>
    <w:p w14:paraId="7B5A0873" w14:textId="77777777" w:rsidR="007637DE" w:rsidRPr="007637DE" w:rsidRDefault="007637DE" w:rsidP="00DB2E22">
      <w:pPr>
        <w:autoSpaceDE w:val="0"/>
        <w:autoSpaceDN w:val="0"/>
        <w:adjustRightInd w:val="0"/>
        <w:jc w:val="both"/>
        <w:rPr>
          <w:rFonts w:ascii="Arial" w:hAnsi="Arial" w:cs="Arial"/>
          <w:sz w:val="22"/>
          <w:szCs w:val="22"/>
        </w:rPr>
      </w:pPr>
    </w:p>
    <w:p w14:paraId="48032866" w14:textId="3BF059AF" w:rsidR="007637DE" w:rsidRPr="007637DE" w:rsidRDefault="007637DE" w:rsidP="00881632">
      <w:pPr>
        <w:autoSpaceDE w:val="0"/>
        <w:autoSpaceDN w:val="0"/>
        <w:adjustRightInd w:val="0"/>
        <w:jc w:val="both"/>
        <w:rPr>
          <w:rFonts w:ascii="Arial" w:hAnsi="Arial" w:cs="Arial"/>
          <w:sz w:val="22"/>
          <w:szCs w:val="22"/>
        </w:rPr>
      </w:pPr>
      <w:r w:rsidRPr="007637DE">
        <w:rPr>
          <w:rFonts w:ascii="Arial" w:hAnsi="Arial" w:cs="Arial"/>
          <w:sz w:val="22"/>
          <w:szCs w:val="22"/>
        </w:rPr>
        <w:t xml:space="preserve">For more information on MSE Wall Design, refer to “FHWA </w:t>
      </w:r>
      <w:r w:rsidR="00881632">
        <w:rPr>
          <w:rFonts w:ascii="Arial" w:hAnsi="Arial" w:cs="Arial"/>
          <w:sz w:val="22"/>
          <w:szCs w:val="22"/>
        </w:rPr>
        <w:t xml:space="preserve">NHI -10-024, </w:t>
      </w:r>
      <w:r w:rsidR="00881632" w:rsidRPr="007637DE">
        <w:rPr>
          <w:rFonts w:ascii="Arial" w:hAnsi="Arial" w:cs="Arial"/>
          <w:sz w:val="22"/>
          <w:szCs w:val="22"/>
        </w:rPr>
        <w:t xml:space="preserve">FHWA </w:t>
      </w:r>
      <w:r w:rsidR="00881632">
        <w:rPr>
          <w:rFonts w:ascii="Arial" w:hAnsi="Arial" w:cs="Arial"/>
          <w:sz w:val="22"/>
          <w:szCs w:val="22"/>
        </w:rPr>
        <w:t xml:space="preserve">NHI -10-025, and GEC 11 - Design of </w:t>
      </w:r>
      <w:r w:rsidR="00881632" w:rsidRPr="007637DE">
        <w:rPr>
          <w:rFonts w:ascii="Arial" w:hAnsi="Arial" w:cs="Arial"/>
          <w:sz w:val="22"/>
          <w:szCs w:val="22"/>
        </w:rPr>
        <w:t>Mechanically</w:t>
      </w:r>
      <w:r w:rsidRPr="007637DE">
        <w:rPr>
          <w:rFonts w:ascii="Arial" w:hAnsi="Arial" w:cs="Arial"/>
          <w:sz w:val="22"/>
          <w:szCs w:val="22"/>
        </w:rPr>
        <w:t xml:space="preserve"> Stabilized Earth Walls and Reinforced Soil </w:t>
      </w:r>
      <w:r w:rsidR="00881632" w:rsidRPr="007637DE">
        <w:rPr>
          <w:rFonts w:ascii="Arial" w:hAnsi="Arial" w:cs="Arial"/>
          <w:sz w:val="22"/>
          <w:szCs w:val="22"/>
        </w:rPr>
        <w:t>Slopes”</w:t>
      </w:r>
      <w:r w:rsidRPr="007637DE">
        <w:rPr>
          <w:rFonts w:ascii="Arial" w:hAnsi="Arial" w:cs="Arial"/>
          <w:sz w:val="22"/>
          <w:szCs w:val="22"/>
        </w:rPr>
        <w:t xml:space="preserve"> and “</w:t>
      </w:r>
      <w:r w:rsidR="002917AA" w:rsidRPr="007637DE">
        <w:rPr>
          <w:rFonts w:ascii="Arial" w:hAnsi="Arial" w:cs="Arial"/>
          <w:sz w:val="22"/>
          <w:szCs w:val="22"/>
        </w:rPr>
        <w:t>AASHTO</w:t>
      </w:r>
      <w:r w:rsidRPr="007637DE">
        <w:rPr>
          <w:rFonts w:ascii="Arial" w:hAnsi="Arial" w:cs="Arial"/>
          <w:sz w:val="22"/>
          <w:szCs w:val="22"/>
        </w:rPr>
        <w:t xml:space="preserve"> Standard Specifications for Highway Bridges – Latest Edition</w:t>
      </w:r>
      <w:r w:rsidR="00DB2E22">
        <w:rPr>
          <w:rFonts w:ascii="Arial" w:hAnsi="Arial" w:cs="Arial"/>
          <w:sz w:val="22"/>
          <w:szCs w:val="22"/>
        </w:rPr>
        <w:t>.</w:t>
      </w:r>
      <w:r w:rsidRPr="007637DE">
        <w:rPr>
          <w:rFonts w:ascii="Arial" w:hAnsi="Arial" w:cs="Arial"/>
          <w:sz w:val="22"/>
          <w:szCs w:val="22"/>
        </w:rPr>
        <w:t xml:space="preserve">” </w:t>
      </w:r>
    </w:p>
    <w:p w14:paraId="3C31BE60" w14:textId="77777777" w:rsidR="00981C68" w:rsidRDefault="00981C68" w:rsidP="00881632">
      <w:pPr>
        <w:pStyle w:val="BodyText"/>
        <w:jc w:val="both"/>
      </w:pPr>
    </w:p>
    <w:p w14:paraId="5B61433D" w14:textId="77777777" w:rsidR="00C56581" w:rsidRDefault="00C56581" w:rsidP="00172E64">
      <w:pPr>
        <w:pStyle w:val="Heading2"/>
        <w:numPr>
          <w:ilvl w:val="1"/>
          <w:numId w:val="184"/>
        </w:numPr>
        <w:ind w:left="0" w:firstLine="0"/>
        <w:sectPr w:rsidR="00C56581" w:rsidSect="008B1BAA">
          <w:headerReference w:type="default" r:id="rId296"/>
          <w:footerReference w:type="default" r:id="rId297"/>
          <w:pgSz w:w="12240" w:h="15840"/>
          <w:pgMar w:top="1440" w:right="1800" w:bottom="1440" w:left="1800" w:header="720" w:footer="720" w:gutter="0"/>
          <w:pgNumType w:chapStyle="1"/>
          <w:cols w:space="720"/>
          <w:docGrid w:linePitch="272"/>
        </w:sectPr>
      </w:pPr>
    </w:p>
    <w:p w14:paraId="3D5D573F" w14:textId="26471551" w:rsidR="00981C68" w:rsidRPr="00160E58" w:rsidRDefault="00981C68" w:rsidP="00172E64">
      <w:pPr>
        <w:pStyle w:val="Heading2"/>
        <w:numPr>
          <w:ilvl w:val="1"/>
          <w:numId w:val="184"/>
        </w:numPr>
        <w:ind w:left="0" w:firstLine="0"/>
      </w:pPr>
      <w:bookmarkStart w:id="562" w:name="_Stormwater_Management"/>
      <w:bookmarkStart w:id="563" w:name="_Toc479160121"/>
      <w:bookmarkStart w:id="564" w:name="_Toc514058009"/>
      <w:bookmarkStart w:id="565" w:name="_Toc194932405"/>
      <w:bookmarkEnd w:id="562"/>
      <w:r>
        <w:lastRenderedPageBreak/>
        <w:t>Stormwater Management</w:t>
      </w:r>
      <w:bookmarkEnd w:id="563"/>
      <w:bookmarkEnd w:id="564"/>
      <w:bookmarkEnd w:id="565"/>
    </w:p>
    <w:p w14:paraId="40E8EECB" w14:textId="77777777" w:rsidR="004E1902" w:rsidRPr="00003D75" w:rsidRDefault="004E1902" w:rsidP="00172E64">
      <w:pPr>
        <w:pStyle w:val="Heading3"/>
        <w:numPr>
          <w:ilvl w:val="2"/>
          <w:numId w:val="184"/>
        </w:numPr>
        <w:ind w:left="0" w:firstLine="0"/>
      </w:pPr>
      <w:r w:rsidRPr="00003D75">
        <w:t>General</w:t>
      </w:r>
    </w:p>
    <w:p w14:paraId="431DB298" w14:textId="233453A5" w:rsidR="004E1902" w:rsidRPr="004E1902" w:rsidRDefault="004E1902" w:rsidP="00BE3F24">
      <w:pPr>
        <w:autoSpaceDE w:val="0"/>
        <w:autoSpaceDN w:val="0"/>
        <w:adjustRightInd w:val="0"/>
        <w:jc w:val="both"/>
        <w:rPr>
          <w:rFonts w:ascii="Arial" w:hAnsi="Arial" w:cs="Arial"/>
          <w:sz w:val="22"/>
          <w:szCs w:val="22"/>
        </w:rPr>
      </w:pPr>
      <w:r w:rsidRPr="004E1902">
        <w:rPr>
          <w:rFonts w:ascii="Arial" w:hAnsi="Arial" w:cs="Arial"/>
          <w:sz w:val="22"/>
          <w:szCs w:val="22"/>
        </w:rPr>
        <w:t xml:space="preserve">Design of all Stormwater Management (SWM) BMPs is performed by Highway Hydraulics Division (HHD). OMT’s PAGD Engineer serves as a liaison from OMT for the project and is not involved in the design process. OMT just performs the drilling of SWM borings </w:t>
      </w:r>
      <w:r w:rsidR="001D2291">
        <w:rPr>
          <w:rFonts w:ascii="Arial" w:hAnsi="Arial" w:cs="Arial"/>
          <w:sz w:val="22"/>
          <w:szCs w:val="22"/>
        </w:rPr>
        <w:t xml:space="preserve">and performs in-situ infiltration testing </w:t>
      </w:r>
      <w:r w:rsidRPr="004E1902">
        <w:rPr>
          <w:rFonts w:ascii="Arial" w:hAnsi="Arial" w:cs="Arial"/>
          <w:sz w:val="22"/>
          <w:szCs w:val="22"/>
        </w:rPr>
        <w:t>requested by the client (HHD) and provide</w:t>
      </w:r>
      <w:r w:rsidR="00336AF9">
        <w:rPr>
          <w:rFonts w:ascii="Arial" w:hAnsi="Arial" w:cs="Arial"/>
          <w:sz w:val="22"/>
          <w:szCs w:val="22"/>
        </w:rPr>
        <w:t>s</w:t>
      </w:r>
      <w:r w:rsidRPr="004E1902">
        <w:rPr>
          <w:rFonts w:ascii="Arial" w:hAnsi="Arial" w:cs="Arial"/>
          <w:sz w:val="22"/>
          <w:szCs w:val="22"/>
        </w:rPr>
        <w:t xml:space="preserve"> the soils information </w:t>
      </w:r>
      <w:r w:rsidR="001D2291">
        <w:rPr>
          <w:rFonts w:ascii="Arial" w:hAnsi="Arial" w:cs="Arial"/>
          <w:sz w:val="22"/>
          <w:szCs w:val="22"/>
        </w:rPr>
        <w:t xml:space="preserve">and in-situ infiltration rates </w:t>
      </w:r>
      <w:r w:rsidRPr="004E1902">
        <w:rPr>
          <w:rFonts w:ascii="Arial" w:hAnsi="Arial" w:cs="Arial"/>
          <w:sz w:val="22"/>
          <w:szCs w:val="22"/>
        </w:rPr>
        <w:t xml:space="preserve">required for the SWM design. </w:t>
      </w:r>
    </w:p>
    <w:p w14:paraId="65594AAE" w14:textId="77777777" w:rsidR="004E1902" w:rsidRPr="004E1902" w:rsidRDefault="004E1902" w:rsidP="00916953"/>
    <w:p w14:paraId="2D92F0C5" w14:textId="7CBB77F5" w:rsidR="004E1902" w:rsidRPr="004E1902" w:rsidRDefault="00336AF9" w:rsidP="000A02F1">
      <w:pPr>
        <w:pStyle w:val="Heading3"/>
        <w:numPr>
          <w:ilvl w:val="0"/>
          <w:numId w:val="0"/>
        </w:numPr>
        <w:spacing w:before="0" w:after="0"/>
        <w:jc w:val="both"/>
        <w:rPr>
          <w:b w:val="0"/>
          <w:i w:val="0"/>
          <w:sz w:val="22"/>
          <w:szCs w:val="22"/>
        </w:rPr>
      </w:pPr>
      <w:r>
        <w:rPr>
          <w:b w:val="0"/>
          <w:i w:val="0"/>
          <w:sz w:val="22"/>
          <w:szCs w:val="22"/>
        </w:rPr>
        <w:t>For r</w:t>
      </w:r>
      <w:r w:rsidR="001D2291">
        <w:rPr>
          <w:b w:val="0"/>
          <w:i w:val="0"/>
          <w:sz w:val="22"/>
          <w:szCs w:val="22"/>
        </w:rPr>
        <w:t xml:space="preserve">eference </w:t>
      </w:r>
      <w:r w:rsidR="004E1902" w:rsidRPr="004E1902">
        <w:rPr>
          <w:b w:val="0"/>
          <w:i w:val="0"/>
          <w:sz w:val="22"/>
          <w:szCs w:val="22"/>
        </w:rPr>
        <w:t>information on SWM BMP types, design</w:t>
      </w:r>
      <w:r>
        <w:rPr>
          <w:b w:val="0"/>
          <w:i w:val="0"/>
          <w:sz w:val="22"/>
          <w:szCs w:val="22"/>
        </w:rPr>
        <w:t>,</w:t>
      </w:r>
      <w:r w:rsidR="004E1902" w:rsidRPr="004E1902">
        <w:rPr>
          <w:b w:val="0"/>
          <w:i w:val="0"/>
          <w:sz w:val="22"/>
          <w:szCs w:val="22"/>
        </w:rPr>
        <w:t xml:space="preserve"> and procedure, refer to the following link: </w:t>
      </w:r>
    </w:p>
    <w:p w14:paraId="5EBA80BC" w14:textId="77777777" w:rsidR="00152F5C" w:rsidRDefault="004E1902" w:rsidP="00152F5C">
      <w:pPr>
        <w:rPr>
          <w:rFonts w:ascii="Arial" w:hAnsi="Arial" w:cs="Arial"/>
          <w:color w:val="1F3864"/>
          <w:sz w:val="22"/>
          <w:szCs w:val="22"/>
        </w:rPr>
      </w:pPr>
      <w:r w:rsidRPr="004E1902">
        <w:rPr>
          <w:rFonts w:ascii="Arial" w:hAnsi="Arial" w:cs="Arial"/>
          <w:sz w:val="22"/>
          <w:szCs w:val="22"/>
        </w:rPr>
        <w:br/>
      </w:r>
      <w:hyperlink r:id="rId298" w:history="1">
        <w:r w:rsidR="00152F5C" w:rsidRPr="00152F5C">
          <w:rPr>
            <w:rStyle w:val="Hyperlink"/>
            <w:rFonts w:ascii="Arial" w:hAnsi="Arial" w:cs="Arial"/>
            <w:sz w:val="22"/>
            <w:szCs w:val="22"/>
          </w:rPr>
          <w:t>http://mde.maryland.gov/programs/Water/StormwaterManagementProgram/Pages/stormwater_design.aspx</w:t>
        </w:r>
      </w:hyperlink>
      <w:r w:rsidR="00152F5C" w:rsidRPr="00152F5C">
        <w:rPr>
          <w:rFonts w:ascii="Arial" w:hAnsi="Arial" w:cs="Arial"/>
          <w:color w:val="1F3864"/>
          <w:sz w:val="22"/>
          <w:szCs w:val="22"/>
        </w:rPr>
        <w:t xml:space="preserve"> </w:t>
      </w:r>
    </w:p>
    <w:p w14:paraId="146ED9E2" w14:textId="77777777" w:rsidR="004E1902" w:rsidRPr="00152F5C" w:rsidRDefault="004E1902" w:rsidP="00172E64">
      <w:pPr>
        <w:pStyle w:val="Heading3"/>
        <w:numPr>
          <w:ilvl w:val="2"/>
          <w:numId w:val="184"/>
        </w:numPr>
        <w:ind w:left="0" w:firstLine="0"/>
      </w:pPr>
      <w:r w:rsidRPr="00152F5C">
        <w:t>Purpose</w:t>
      </w:r>
    </w:p>
    <w:p w14:paraId="7BA96A2C" w14:textId="7DF10D27" w:rsidR="001A15B9" w:rsidRDefault="004E1902" w:rsidP="00172E64">
      <w:pPr>
        <w:pStyle w:val="BodyText"/>
        <w:numPr>
          <w:ilvl w:val="0"/>
          <w:numId w:val="40"/>
        </w:numPr>
        <w:spacing w:after="0"/>
        <w:ind w:hanging="720"/>
        <w:jc w:val="both"/>
      </w:pPr>
      <w:r w:rsidRPr="00206137">
        <w:t>Provide soils</w:t>
      </w:r>
      <w:r w:rsidR="001D2291">
        <w:t xml:space="preserve">, </w:t>
      </w:r>
      <w:r w:rsidRPr="00206137">
        <w:t xml:space="preserve">water </w:t>
      </w:r>
      <w:r w:rsidR="001D2291">
        <w:t xml:space="preserve">level reading and in-situ infiltration </w:t>
      </w:r>
      <w:r w:rsidR="002917AA">
        <w:t>rate</w:t>
      </w:r>
      <w:r w:rsidR="002917AA" w:rsidRPr="00206137">
        <w:t xml:space="preserve"> information</w:t>
      </w:r>
      <w:r w:rsidRPr="00206137">
        <w:t xml:space="preserve"> to the HHD designer from soil boring operations and laboratory testing information. </w:t>
      </w:r>
    </w:p>
    <w:p w14:paraId="2D5B073B" w14:textId="77777777" w:rsidR="001A15B9" w:rsidRDefault="004E1902" w:rsidP="00172E64">
      <w:pPr>
        <w:pStyle w:val="BodyText"/>
        <w:numPr>
          <w:ilvl w:val="0"/>
          <w:numId w:val="40"/>
        </w:numPr>
        <w:spacing w:after="0"/>
        <w:ind w:hanging="720"/>
        <w:jc w:val="both"/>
      </w:pPr>
      <w:r w:rsidRPr="00206137">
        <w:t xml:space="preserve">Check the side slopes of the SWM facility or channel to make sure they abide with the slope angles mentioned in the pavement and geotechnical report. </w:t>
      </w:r>
    </w:p>
    <w:p w14:paraId="183135FB" w14:textId="77777777" w:rsidR="001A15B9" w:rsidRDefault="004E1902" w:rsidP="00172E64">
      <w:pPr>
        <w:pStyle w:val="BodyText"/>
        <w:numPr>
          <w:ilvl w:val="0"/>
          <w:numId w:val="40"/>
        </w:numPr>
        <w:spacing w:after="0"/>
        <w:ind w:hanging="720"/>
        <w:jc w:val="both"/>
      </w:pPr>
      <w:r w:rsidRPr="00206137">
        <w:t xml:space="preserve">Provide a pavement section for construction entrance if asked by </w:t>
      </w:r>
      <w:r w:rsidRPr="00D60207">
        <w:t>the PM.</w:t>
      </w:r>
      <w:r w:rsidRPr="00206137">
        <w:t xml:space="preserve"> </w:t>
      </w:r>
    </w:p>
    <w:p w14:paraId="32F0A5F7" w14:textId="77777777" w:rsidR="004E1902" w:rsidRPr="00206137" w:rsidRDefault="004E1902" w:rsidP="00172E64">
      <w:pPr>
        <w:pStyle w:val="Heading3"/>
        <w:numPr>
          <w:ilvl w:val="2"/>
          <w:numId w:val="184"/>
        </w:numPr>
        <w:ind w:left="0" w:firstLine="0"/>
      </w:pPr>
      <w:r w:rsidRPr="00206137">
        <w:t>Resource Requirements</w:t>
      </w:r>
    </w:p>
    <w:p w14:paraId="551BCF05" w14:textId="77777777" w:rsidR="004E1902" w:rsidRDefault="004E1902" w:rsidP="00BE3F24">
      <w:pPr>
        <w:pStyle w:val="BodyText"/>
        <w:spacing w:after="0"/>
        <w:jc w:val="both"/>
      </w:pPr>
      <w:r w:rsidRPr="00206137">
        <w:t xml:space="preserve">The request process is typically done with data available to the designer in the office coupled with soil boring information from the driller.  The request procedure documented below requires the following staffing needs for a typical </w:t>
      </w:r>
      <w:r>
        <w:t>project</w:t>
      </w:r>
      <w:r w:rsidRPr="00206137">
        <w:t>:</w:t>
      </w:r>
    </w:p>
    <w:p w14:paraId="26E1C7F0" w14:textId="77777777" w:rsidR="004E1902" w:rsidRPr="00206137" w:rsidRDefault="004E1902" w:rsidP="00BE3F24">
      <w:pPr>
        <w:pStyle w:val="BodyText"/>
        <w:spacing w:after="0"/>
        <w:jc w:val="both"/>
      </w:pP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77"/>
        <w:gridCol w:w="2286"/>
        <w:gridCol w:w="1926"/>
        <w:gridCol w:w="1584"/>
      </w:tblGrid>
      <w:tr w:rsidR="004E1902" w:rsidRPr="00206137" w14:paraId="57553AEB" w14:textId="77777777" w:rsidTr="000A02F1">
        <w:trPr>
          <w:trHeight w:val="288"/>
          <w:jc w:val="center"/>
        </w:trPr>
        <w:tc>
          <w:tcPr>
            <w:tcW w:w="2777" w:type="dxa"/>
            <w:shd w:val="pct15" w:color="auto" w:fill="FFFFFF"/>
            <w:vAlign w:val="center"/>
          </w:tcPr>
          <w:p w14:paraId="3EC002DA" w14:textId="77777777" w:rsidR="004E1902" w:rsidRPr="00206137" w:rsidRDefault="004E1902" w:rsidP="00BE3F24">
            <w:pPr>
              <w:jc w:val="center"/>
              <w:rPr>
                <w:rFonts w:ascii="Arial" w:hAnsi="Arial" w:cs="Arial"/>
                <w:b/>
                <w:bCs/>
              </w:rPr>
            </w:pPr>
            <w:r w:rsidRPr="00206137">
              <w:rPr>
                <w:rFonts w:ascii="Arial" w:hAnsi="Arial" w:cs="Arial"/>
                <w:b/>
                <w:bCs/>
              </w:rPr>
              <w:t>Position</w:t>
            </w:r>
          </w:p>
        </w:tc>
        <w:tc>
          <w:tcPr>
            <w:tcW w:w="2286" w:type="dxa"/>
            <w:shd w:val="pct15" w:color="auto" w:fill="FFFFFF"/>
            <w:vAlign w:val="center"/>
          </w:tcPr>
          <w:p w14:paraId="673A35AB" w14:textId="77777777" w:rsidR="004E1902" w:rsidRPr="00206137" w:rsidRDefault="004E1902" w:rsidP="00BE3F24">
            <w:pPr>
              <w:jc w:val="center"/>
              <w:rPr>
                <w:rFonts w:ascii="Arial" w:hAnsi="Arial" w:cs="Arial"/>
                <w:b/>
                <w:bCs/>
              </w:rPr>
            </w:pPr>
            <w:r w:rsidRPr="00206137">
              <w:rPr>
                <w:rFonts w:ascii="Arial" w:hAnsi="Arial" w:cs="Arial"/>
                <w:b/>
                <w:bCs/>
              </w:rPr>
              <w:t>Function</w:t>
            </w:r>
          </w:p>
        </w:tc>
        <w:tc>
          <w:tcPr>
            <w:tcW w:w="1926" w:type="dxa"/>
            <w:shd w:val="pct15" w:color="auto" w:fill="FFFFFF"/>
            <w:vAlign w:val="center"/>
          </w:tcPr>
          <w:p w14:paraId="3F29BE1C" w14:textId="77777777" w:rsidR="004E1902" w:rsidRPr="00206137" w:rsidRDefault="004E1902" w:rsidP="00BE3F24">
            <w:pPr>
              <w:jc w:val="center"/>
              <w:rPr>
                <w:rFonts w:ascii="Arial" w:hAnsi="Arial" w:cs="Arial"/>
                <w:b/>
                <w:bCs/>
              </w:rPr>
            </w:pPr>
            <w:r w:rsidRPr="00206137">
              <w:rPr>
                <w:rFonts w:ascii="Arial" w:hAnsi="Arial" w:cs="Arial"/>
                <w:b/>
                <w:bCs/>
              </w:rPr>
              <w:t>Resources</w:t>
            </w:r>
          </w:p>
        </w:tc>
        <w:tc>
          <w:tcPr>
            <w:tcW w:w="1584" w:type="dxa"/>
            <w:shd w:val="pct15" w:color="auto" w:fill="FFFFFF"/>
            <w:vAlign w:val="center"/>
          </w:tcPr>
          <w:p w14:paraId="3F6EFB9C" w14:textId="77777777" w:rsidR="004E1902" w:rsidRPr="00206137" w:rsidRDefault="004E1902" w:rsidP="00BE3F24">
            <w:pPr>
              <w:jc w:val="center"/>
              <w:rPr>
                <w:rFonts w:ascii="Arial" w:hAnsi="Arial" w:cs="Arial"/>
                <w:b/>
                <w:bCs/>
              </w:rPr>
            </w:pPr>
            <w:r w:rsidRPr="00206137">
              <w:rPr>
                <w:rFonts w:ascii="Arial" w:hAnsi="Arial" w:cs="Arial"/>
                <w:b/>
                <w:bCs/>
              </w:rPr>
              <w:t>Effort Level</w:t>
            </w:r>
          </w:p>
          <w:p w14:paraId="1FB7556F" w14:textId="77777777" w:rsidR="004E1902" w:rsidRPr="00206137" w:rsidRDefault="004E1902" w:rsidP="00BE3F24">
            <w:pPr>
              <w:jc w:val="center"/>
              <w:rPr>
                <w:rFonts w:ascii="Arial" w:hAnsi="Arial" w:cs="Arial"/>
                <w:b/>
                <w:bCs/>
              </w:rPr>
            </w:pPr>
            <w:r w:rsidRPr="00206137">
              <w:rPr>
                <w:rFonts w:ascii="Arial" w:hAnsi="Arial" w:cs="Arial"/>
                <w:b/>
                <w:bCs/>
              </w:rPr>
              <w:t>(man-hours)</w:t>
            </w:r>
          </w:p>
        </w:tc>
      </w:tr>
      <w:tr w:rsidR="004E1902" w:rsidRPr="00206137" w14:paraId="25CC9CA5" w14:textId="77777777" w:rsidTr="000A02F1">
        <w:trPr>
          <w:trHeight w:val="288"/>
          <w:jc w:val="center"/>
        </w:trPr>
        <w:tc>
          <w:tcPr>
            <w:tcW w:w="2777" w:type="dxa"/>
            <w:vAlign w:val="center"/>
          </w:tcPr>
          <w:p w14:paraId="7BC24107" w14:textId="77777777" w:rsidR="004E1902" w:rsidRPr="00206137" w:rsidRDefault="004E1902" w:rsidP="00BE3F24">
            <w:pPr>
              <w:jc w:val="center"/>
              <w:rPr>
                <w:rFonts w:ascii="Arial" w:hAnsi="Arial" w:cs="Arial"/>
                <w:sz w:val="18"/>
                <w:szCs w:val="18"/>
              </w:rPr>
            </w:pPr>
            <w:r>
              <w:rPr>
                <w:rFonts w:ascii="Arial" w:hAnsi="Arial" w:cs="Arial"/>
                <w:sz w:val="18"/>
                <w:szCs w:val="18"/>
              </w:rPr>
              <w:t>PAGD Engineer</w:t>
            </w:r>
          </w:p>
        </w:tc>
        <w:tc>
          <w:tcPr>
            <w:tcW w:w="2286" w:type="dxa"/>
            <w:vAlign w:val="center"/>
          </w:tcPr>
          <w:p w14:paraId="6645ACD1" w14:textId="77777777" w:rsidR="004E1902" w:rsidRPr="00206137" w:rsidRDefault="004E1902" w:rsidP="00BE3F24">
            <w:pPr>
              <w:jc w:val="center"/>
              <w:rPr>
                <w:rFonts w:ascii="Arial" w:hAnsi="Arial" w:cs="Arial"/>
                <w:sz w:val="18"/>
                <w:szCs w:val="18"/>
              </w:rPr>
            </w:pPr>
            <w:r w:rsidRPr="00206137">
              <w:rPr>
                <w:rFonts w:ascii="Arial" w:hAnsi="Arial" w:cs="Arial"/>
                <w:sz w:val="18"/>
                <w:szCs w:val="18"/>
              </w:rPr>
              <w:t>QC of boring data and boring data submittal</w:t>
            </w:r>
          </w:p>
        </w:tc>
        <w:tc>
          <w:tcPr>
            <w:tcW w:w="1926" w:type="dxa"/>
            <w:vAlign w:val="center"/>
          </w:tcPr>
          <w:p w14:paraId="1A03B0C2" w14:textId="77777777" w:rsidR="004E1902" w:rsidRPr="00206137" w:rsidRDefault="004E1902" w:rsidP="00BE3F24">
            <w:pPr>
              <w:jc w:val="center"/>
              <w:rPr>
                <w:rFonts w:ascii="Arial" w:hAnsi="Arial" w:cs="Arial"/>
                <w:sz w:val="18"/>
                <w:szCs w:val="18"/>
              </w:rPr>
            </w:pPr>
            <w:r w:rsidRPr="00206137">
              <w:rPr>
                <w:rFonts w:ascii="Arial" w:hAnsi="Arial" w:cs="Arial"/>
                <w:sz w:val="18"/>
                <w:szCs w:val="18"/>
              </w:rPr>
              <w:t>1</w:t>
            </w:r>
          </w:p>
        </w:tc>
        <w:tc>
          <w:tcPr>
            <w:tcW w:w="1584" w:type="dxa"/>
            <w:vAlign w:val="center"/>
          </w:tcPr>
          <w:p w14:paraId="1AA0CC5C" w14:textId="77777777" w:rsidR="004E1902" w:rsidRPr="00206137" w:rsidRDefault="004E1902" w:rsidP="00BE3F24">
            <w:pPr>
              <w:jc w:val="center"/>
              <w:rPr>
                <w:rFonts w:ascii="Arial" w:hAnsi="Arial" w:cs="Arial"/>
                <w:sz w:val="18"/>
                <w:szCs w:val="18"/>
              </w:rPr>
            </w:pPr>
            <w:r w:rsidRPr="00206137">
              <w:rPr>
                <w:rFonts w:ascii="Arial" w:hAnsi="Arial" w:cs="Arial"/>
                <w:sz w:val="18"/>
                <w:szCs w:val="18"/>
              </w:rPr>
              <w:t>4*</w:t>
            </w:r>
          </w:p>
        </w:tc>
      </w:tr>
    </w:tbl>
    <w:p w14:paraId="35A23AC3" w14:textId="77777777" w:rsidR="004E1902" w:rsidRPr="00C670F2" w:rsidRDefault="004E1902" w:rsidP="00BE3F24">
      <w:pPr>
        <w:rPr>
          <w:rFonts w:ascii="Arial" w:hAnsi="Arial" w:cs="Arial"/>
          <w:sz w:val="18"/>
          <w:szCs w:val="18"/>
        </w:rPr>
      </w:pPr>
      <w:r>
        <w:rPr>
          <w:rFonts w:ascii="Arial" w:hAnsi="Arial" w:cs="Arial"/>
          <w:sz w:val="18"/>
          <w:szCs w:val="18"/>
        </w:rPr>
        <w:t xml:space="preserve">      </w:t>
      </w:r>
      <w:r w:rsidRPr="00C670F2">
        <w:rPr>
          <w:rFonts w:ascii="Arial" w:hAnsi="Arial" w:cs="Arial"/>
          <w:sz w:val="18"/>
          <w:szCs w:val="18"/>
        </w:rPr>
        <w:t>* The time required would vary depending on the size and complexity of a project.</w:t>
      </w:r>
    </w:p>
    <w:p w14:paraId="5D19923B" w14:textId="77777777" w:rsidR="004E1902" w:rsidRPr="00BB6229" w:rsidRDefault="004E1902" w:rsidP="00172E64">
      <w:pPr>
        <w:pStyle w:val="Heading3"/>
        <w:numPr>
          <w:ilvl w:val="2"/>
          <w:numId w:val="184"/>
        </w:numPr>
        <w:ind w:left="0" w:firstLine="0"/>
      </w:pPr>
      <w:r w:rsidRPr="00BB6229">
        <w:t>Procedure</w:t>
      </w:r>
    </w:p>
    <w:p w14:paraId="390BBCEC" w14:textId="2005AE9F" w:rsidR="004E1902" w:rsidRDefault="004E1902" w:rsidP="00BE3F24">
      <w:pPr>
        <w:pStyle w:val="BodyText"/>
        <w:spacing w:after="0"/>
        <w:jc w:val="both"/>
      </w:pPr>
      <w:r w:rsidRPr="00BB6229">
        <w:t>For SWM boring request need and submittal</w:t>
      </w:r>
      <w:r w:rsidR="00336AF9">
        <w:t>,</w:t>
      </w:r>
      <w:r w:rsidRPr="00BB6229">
        <w:t xml:space="preserve"> refer </w:t>
      </w:r>
      <w:r>
        <w:t xml:space="preserve">to the section on </w:t>
      </w:r>
      <w:hyperlink w:anchor="_Stormwater_Management_Boring" w:history="1">
        <w:r w:rsidRPr="004E1902">
          <w:rPr>
            <w:rStyle w:val="Hyperlink"/>
          </w:rPr>
          <w:t>Stormwater Management Boring Request</w:t>
        </w:r>
      </w:hyperlink>
      <w:r w:rsidRPr="00BB6229">
        <w:t>.</w:t>
      </w:r>
    </w:p>
    <w:p w14:paraId="125B7B42" w14:textId="77777777" w:rsidR="004E1902" w:rsidRPr="00BB6229" w:rsidRDefault="004E1902" w:rsidP="00BE3F24">
      <w:pPr>
        <w:pStyle w:val="BodyText"/>
        <w:spacing w:after="0"/>
        <w:jc w:val="both"/>
      </w:pPr>
      <w:r w:rsidRPr="00BB6229">
        <w:t xml:space="preserve">  </w:t>
      </w:r>
    </w:p>
    <w:p w14:paraId="5A945E6E" w14:textId="1508CA6E" w:rsidR="004E1902" w:rsidRDefault="004E1902" w:rsidP="00BE3F24">
      <w:pPr>
        <w:pStyle w:val="BodyText"/>
        <w:spacing w:after="0"/>
        <w:jc w:val="both"/>
      </w:pPr>
      <w:r w:rsidRPr="00BB6229">
        <w:t>For submission of soils information to the designer (HHD) from the boring results and laboratory test results, refer</w:t>
      </w:r>
      <w:r w:rsidR="00336AF9">
        <w:t xml:space="preserve"> to</w:t>
      </w:r>
      <w:r w:rsidRPr="00BB6229">
        <w:t xml:space="preserve"> </w:t>
      </w:r>
      <w:hyperlink w:anchor="_Processing_Boring/Laboratory_Data" w:history="1">
        <w:r w:rsidR="00736156" w:rsidRPr="00736156">
          <w:rPr>
            <w:rStyle w:val="Hyperlink"/>
          </w:rPr>
          <w:t>Processing Boring/Laboratory Data</w:t>
        </w:r>
      </w:hyperlink>
      <w:r w:rsidRPr="00BB6229">
        <w:t xml:space="preserve">. </w:t>
      </w:r>
    </w:p>
    <w:p w14:paraId="08F7786F" w14:textId="77777777" w:rsidR="004E1902" w:rsidRDefault="004E1902" w:rsidP="00BE3F24">
      <w:pPr>
        <w:pStyle w:val="BodyText"/>
        <w:spacing w:after="0"/>
        <w:jc w:val="both"/>
      </w:pPr>
    </w:p>
    <w:p w14:paraId="18D3DEF8" w14:textId="4431FCCD" w:rsidR="004E1902" w:rsidRDefault="004E1902" w:rsidP="00BE3F24">
      <w:pPr>
        <w:pStyle w:val="BodyText"/>
        <w:spacing w:after="0"/>
        <w:jc w:val="both"/>
      </w:pPr>
      <w:r>
        <w:t>Soil Stabilization Matting can be used as an erosion control measure on channels to or from the facility. Typically Type A</w:t>
      </w:r>
      <w:r w:rsidR="00336AF9">
        <w:t xml:space="preserve"> (&lt; 5 fps)</w:t>
      </w:r>
      <w:r>
        <w:t>, Type B</w:t>
      </w:r>
      <w:r w:rsidR="00336AF9">
        <w:t xml:space="preserve"> (5 fps to 8 fps),</w:t>
      </w:r>
      <w:r>
        <w:t xml:space="preserve"> and Type C</w:t>
      </w:r>
      <w:r w:rsidR="00336AF9">
        <w:t xml:space="preserve"> (&gt; 8 fps)</w:t>
      </w:r>
      <w:r>
        <w:t xml:space="preserve"> mattings are used based on the channel velocities. </w:t>
      </w:r>
      <w:r w:rsidR="00336AF9">
        <w:t xml:space="preserve"> </w:t>
      </w:r>
      <w:r>
        <w:t xml:space="preserve">Sod is also considered in some cases. Type A is generally used for temporary slopes </w:t>
      </w:r>
      <w:r w:rsidR="00525F09">
        <w:t>as it is degradable material</w:t>
      </w:r>
      <w:r w:rsidR="00336AF9">
        <w:t>,</w:t>
      </w:r>
      <w:r w:rsidR="00525F09">
        <w:t xml:space="preserve"> </w:t>
      </w:r>
      <w:r>
        <w:t>and Type</w:t>
      </w:r>
      <w:r w:rsidR="00525F09">
        <w:t>s</w:t>
      </w:r>
      <w:r>
        <w:t xml:space="preserve"> B</w:t>
      </w:r>
      <w:r w:rsidR="00525F09">
        <w:t xml:space="preserve"> and C</w:t>
      </w:r>
      <w:r>
        <w:t xml:space="preserve"> </w:t>
      </w:r>
      <w:r w:rsidR="00336AF9">
        <w:t xml:space="preserve">are used </w:t>
      </w:r>
      <w:r>
        <w:t xml:space="preserve">for permanent slopes as </w:t>
      </w:r>
      <w:r w:rsidR="00525F09">
        <w:t>they are</w:t>
      </w:r>
      <w:r>
        <w:t xml:space="preserve"> </w:t>
      </w:r>
      <w:r w:rsidR="00525F09">
        <w:t>non-</w:t>
      </w:r>
      <w:r>
        <w:t>degradable material</w:t>
      </w:r>
      <w:r w:rsidR="008042B1">
        <w:t>s</w:t>
      </w:r>
      <w:r>
        <w:t xml:space="preserve">. </w:t>
      </w:r>
    </w:p>
    <w:p w14:paraId="12074A79" w14:textId="77777777" w:rsidR="00336AF9" w:rsidRPr="00BB6229" w:rsidRDefault="00336AF9" w:rsidP="00BE3F24">
      <w:pPr>
        <w:pStyle w:val="BodyText"/>
        <w:spacing w:after="0"/>
        <w:jc w:val="both"/>
      </w:pPr>
    </w:p>
    <w:p w14:paraId="131D7CC1" w14:textId="77777777" w:rsidR="00C56581" w:rsidRDefault="00C56581" w:rsidP="00172E64">
      <w:pPr>
        <w:pStyle w:val="Heading2"/>
        <w:numPr>
          <w:ilvl w:val="1"/>
          <w:numId w:val="184"/>
        </w:numPr>
        <w:ind w:left="0" w:firstLine="0"/>
        <w:sectPr w:rsidR="00C56581" w:rsidSect="008B1BAA">
          <w:headerReference w:type="default" r:id="rId299"/>
          <w:footerReference w:type="default" r:id="rId300"/>
          <w:pgSz w:w="12240" w:h="15840"/>
          <w:pgMar w:top="1440" w:right="1800" w:bottom="1440" w:left="1800" w:header="720" w:footer="720" w:gutter="0"/>
          <w:pgNumType w:chapStyle="1"/>
          <w:cols w:space="720"/>
          <w:docGrid w:linePitch="272"/>
        </w:sectPr>
      </w:pPr>
    </w:p>
    <w:p w14:paraId="6D47B57A" w14:textId="6FF7E2B8" w:rsidR="00981C68" w:rsidRDefault="00981C68" w:rsidP="00172E64">
      <w:pPr>
        <w:pStyle w:val="Heading2"/>
        <w:numPr>
          <w:ilvl w:val="1"/>
          <w:numId w:val="184"/>
        </w:numPr>
        <w:spacing w:before="120"/>
        <w:ind w:left="0" w:firstLine="0"/>
      </w:pPr>
      <w:bookmarkStart w:id="566" w:name="_Miscellaneous_(UST,_Karst,"/>
      <w:bookmarkStart w:id="567" w:name="_Toc479160122"/>
      <w:bookmarkStart w:id="568" w:name="_Toc514058010"/>
      <w:bookmarkStart w:id="569" w:name="_Toc194932406"/>
      <w:bookmarkEnd w:id="566"/>
      <w:r>
        <w:lastRenderedPageBreak/>
        <w:t>Miscellaneous (UST, Karst, Geotextiles</w:t>
      </w:r>
      <w:r w:rsidR="00C56581">
        <w:t>, etc.)</w:t>
      </w:r>
      <w:bookmarkEnd w:id="567"/>
      <w:bookmarkEnd w:id="568"/>
      <w:bookmarkEnd w:id="569"/>
    </w:p>
    <w:p w14:paraId="730A0074" w14:textId="77777777" w:rsidR="00041B8E" w:rsidRPr="004403AE" w:rsidRDefault="00041B8E" w:rsidP="00172E64">
      <w:pPr>
        <w:pStyle w:val="Heading3"/>
        <w:numPr>
          <w:ilvl w:val="2"/>
          <w:numId w:val="184"/>
        </w:numPr>
        <w:ind w:left="0" w:firstLine="0"/>
      </w:pPr>
      <w:r w:rsidRPr="004403AE">
        <w:t>Underground Storage Tanks</w:t>
      </w:r>
    </w:p>
    <w:p w14:paraId="2B75A822" w14:textId="77777777" w:rsidR="00041B8E" w:rsidRDefault="00041B8E" w:rsidP="00172E64">
      <w:pPr>
        <w:pStyle w:val="Heading4"/>
        <w:numPr>
          <w:ilvl w:val="3"/>
          <w:numId w:val="184"/>
        </w:numPr>
        <w:spacing w:before="240"/>
        <w:ind w:left="0" w:firstLine="0"/>
      </w:pPr>
      <w:r>
        <w:t>General</w:t>
      </w:r>
    </w:p>
    <w:p w14:paraId="5BBFE655" w14:textId="00EAF945" w:rsidR="00041B8E" w:rsidRPr="00041B8E" w:rsidRDefault="00041B8E" w:rsidP="00BE3F24">
      <w:pPr>
        <w:autoSpaceDE w:val="0"/>
        <w:autoSpaceDN w:val="0"/>
        <w:adjustRightInd w:val="0"/>
        <w:jc w:val="both"/>
        <w:rPr>
          <w:rFonts w:ascii="Arial" w:hAnsi="Arial" w:cs="Arial"/>
          <w:color w:val="000000"/>
          <w:sz w:val="22"/>
          <w:szCs w:val="22"/>
        </w:rPr>
      </w:pPr>
      <w:r w:rsidRPr="00041B8E">
        <w:rPr>
          <w:rFonts w:ascii="Arial" w:hAnsi="Arial" w:cs="Arial"/>
          <w:color w:val="000000"/>
          <w:sz w:val="22"/>
          <w:szCs w:val="22"/>
        </w:rPr>
        <w:t>An Underground Storage Tank (UST) is a tank and any underground piping connected to the tank that has at least 10 percent of its combined volume underground.  Most of the USTs carry petroleum or other potentially hazardous substances.</w:t>
      </w:r>
    </w:p>
    <w:p w14:paraId="6BF43DBE" w14:textId="77777777" w:rsidR="00041B8E" w:rsidRPr="00041B8E" w:rsidRDefault="00041B8E" w:rsidP="00BE3F24">
      <w:pPr>
        <w:autoSpaceDE w:val="0"/>
        <w:autoSpaceDN w:val="0"/>
        <w:adjustRightInd w:val="0"/>
        <w:jc w:val="both"/>
        <w:rPr>
          <w:rFonts w:ascii="Arial" w:hAnsi="Arial" w:cs="Arial"/>
          <w:color w:val="000000"/>
          <w:sz w:val="22"/>
          <w:szCs w:val="22"/>
        </w:rPr>
      </w:pPr>
    </w:p>
    <w:p w14:paraId="13F18D53" w14:textId="516987A3" w:rsidR="00041B8E" w:rsidRPr="00041B8E" w:rsidRDefault="00041B8E" w:rsidP="00BE3F24">
      <w:pPr>
        <w:jc w:val="both"/>
        <w:rPr>
          <w:rFonts w:ascii="Arial" w:hAnsi="Arial" w:cs="Arial"/>
          <w:color w:val="000000"/>
          <w:sz w:val="22"/>
          <w:szCs w:val="22"/>
        </w:rPr>
      </w:pPr>
      <w:r w:rsidRPr="00041B8E">
        <w:rPr>
          <w:rFonts w:ascii="Arial" w:hAnsi="Arial" w:cs="Arial"/>
          <w:color w:val="000000"/>
          <w:sz w:val="22"/>
          <w:szCs w:val="22"/>
        </w:rPr>
        <w:t xml:space="preserve">The greatest potential hazard from a leaking UST is that the petroleum or other hazardous substance can seep into the soil and contaminate groundwater. A leaking UST can present other health and environmental risks, including the potential for fire and explosion.  USTs within the project limits need to be assessed to identify potential contamination in the surface soil, subsurface soil, and groundwater. </w:t>
      </w:r>
    </w:p>
    <w:p w14:paraId="34C760D3" w14:textId="77777777" w:rsidR="00041B8E" w:rsidRDefault="00041B8E" w:rsidP="00BE3F24">
      <w:pPr>
        <w:jc w:val="both"/>
        <w:rPr>
          <w:rFonts w:ascii="Arial" w:hAnsi="Arial" w:cs="Arial"/>
        </w:rPr>
      </w:pPr>
    </w:p>
    <w:p w14:paraId="5FDA56EB" w14:textId="77777777" w:rsidR="00041B8E" w:rsidRDefault="00041B8E" w:rsidP="00172E64">
      <w:pPr>
        <w:pStyle w:val="Heading4"/>
        <w:numPr>
          <w:ilvl w:val="3"/>
          <w:numId w:val="184"/>
        </w:numPr>
        <w:ind w:left="0" w:firstLine="0"/>
      </w:pPr>
      <w:r>
        <w:t>Purpose</w:t>
      </w:r>
    </w:p>
    <w:p w14:paraId="56454E29" w14:textId="77777777" w:rsidR="00041B8E" w:rsidRDefault="00041B8E" w:rsidP="00BE3F24">
      <w:pPr>
        <w:pStyle w:val="BodyText"/>
        <w:spacing w:after="0"/>
        <w:jc w:val="both"/>
      </w:pPr>
      <w:r>
        <w:t>Site assessment of the UST is needed to:</w:t>
      </w:r>
    </w:p>
    <w:p w14:paraId="3DD5EF8E" w14:textId="77777777" w:rsidR="00FE07DE" w:rsidRDefault="00FE07DE" w:rsidP="00BE3F24">
      <w:pPr>
        <w:pStyle w:val="BodyText"/>
        <w:spacing w:after="0"/>
        <w:jc w:val="both"/>
      </w:pPr>
    </w:p>
    <w:p w14:paraId="10911BEB" w14:textId="63A66B99" w:rsidR="006B60DE" w:rsidRPr="001F6378" w:rsidRDefault="006B60DE" w:rsidP="00172E64">
      <w:pPr>
        <w:pStyle w:val="ListParagraph"/>
        <w:numPr>
          <w:ilvl w:val="0"/>
          <w:numId w:val="84"/>
        </w:numPr>
        <w:ind w:left="720" w:hanging="720"/>
        <w:jc w:val="both"/>
        <w:rPr>
          <w:rFonts w:ascii="Arial" w:hAnsi="Arial" w:cs="Arial"/>
          <w:sz w:val="22"/>
          <w:szCs w:val="22"/>
        </w:rPr>
      </w:pPr>
      <w:r w:rsidRPr="001F6378">
        <w:rPr>
          <w:rFonts w:ascii="Arial" w:hAnsi="Arial" w:cs="Arial"/>
          <w:sz w:val="22"/>
          <w:szCs w:val="22"/>
        </w:rPr>
        <w:t>Identify the location of the UST, if unknown</w:t>
      </w:r>
    </w:p>
    <w:p w14:paraId="3BD45E1A" w14:textId="58855232" w:rsidR="00041B8E" w:rsidRPr="00A42B5F" w:rsidRDefault="00041B8E" w:rsidP="00172E64">
      <w:pPr>
        <w:pStyle w:val="ListParagraph"/>
        <w:numPr>
          <w:ilvl w:val="0"/>
          <w:numId w:val="84"/>
        </w:numPr>
        <w:ind w:left="720" w:hanging="720"/>
        <w:jc w:val="both"/>
      </w:pPr>
      <w:r w:rsidRPr="000A02F1">
        <w:rPr>
          <w:rFonts w:ascii="Arial" w:hAnsi="Arial"/>
          <w:sz w:val="22"/>
        </w:rPr>
        <w:t>Identify potential contamination in the surface soil, subsurface soil, and groundwater</w:t>
      </w:r>
      <w:r w:rsidR="00336AF9" w:rsidRPr="001F6378">
        <w:rPr>
          <w:rFonts w:ascii="Arial" w:hAnsi="Arial" w:cs="Arial"/>
          <w:sz w:val="22"/>
          <w:szCs w:val="22"/>
        </w:rPr>
        <w:t xml:space="preserve">: </w:t>
      </w:r>
      <w:r w:rsidRPr="000A02F1">
        <w:rPr>
          <w:rFonts w:ascii="Arial" w:hAnsi="Arial"/>
          <w:sz w:val="22"/>
        </w:rPr>
        <w:t xml:space="preserve"> the source of drinking water for nearly half of all Americans </w:t>
      </w:r>
    </w:p>
    <w:p w14:paraId="5D2AD1CD" w14:textId="0DAF3B08" w:rsidR="00041B8E" w:rsidRPr="00A42B5F" w:rsidRDefault="00336AF9" w:rsidP="00172E64">
      <w:pPr>
        <w:pStyle w:val="ListParagraph"/>
        <w:numPr>
          <w:ilvl w:val="0"/>
          <w:numId w:val="84"/>
        </w:numPr>
        <w:ind w:left="720" w:hanging="720"/>
        <w:jc w:val="both"/>
      </w:pPr>
      <w:r w:rsidRPr="001F6378">
        <w:rPr>
          <w:rFonts w:ascii="Arial" w:hAnsi="Arial" w:cs="Arial"/>
          <w:sz w:val="22"/>
          <w:szCs w:val="22"/>
        </w:rPr>
        <w:t>I</w:t>
      </w:r>
      <w:r w:rsidR="00041B8E" w:rsidRPr="001F6378">
        <w:rPr>
          <w:rFonts w:ascii="Arial" w:hAnsi="Arial" w:cs="Arial"/>
          <w:sz w:val="22"/>
          <w:szCs w:val="22"/>
        </w:rPr>
        <w:t>dentify</w:t>
      </w:r>
      <w:r w:rsidR="00041B8E" w:rsidRPr="000A02F1">
        <w:rPr>
          <w:rFonts w:ascii="Arial" w:hAnsi="Arial"/>
          <w:sz w:val="22"/>
        </w:rPr>
        <w:t xml:space="preserve"> a leak that can present health and environmental risk, including the potential for fire and explosion</w:t>
      </w:r>
    </w:p>
    <w:p w14:paraId="4EBF94D1" w14:textId="167866D8" w:rsidR="00041B8E" w:rsidRPr="00A42B5F" w:rsidRDefault="00336AF9" w:rsidP="00172E64">
      <w:pPr>
        <w:pStyle w:val="ListParagraph"/>
        <w:numPr>
          <w:ilvl w:val="0"/>
          <w:numId w:val="84"/>
        </w:numPr>
        <w:ind w:left="720" w:hanging="720"/>
        <w:jc w:val="both"/>
      </w:pPr>
      <w:r w:rsidRPr="001F6378">
        <w:rPr>
          <w:rFonts w:ascii="Arial" w:hAnsi="Arial" w:cs="Arial"/>
          <w:sz w:val="22"/>
          <w:szCs w:val="22"/>
        </w:rPr>
        <w:t>A</w:t>
      </w:r>
      <w:r w:rsidR="00041B8E" w:rsidRPr="001F6378">
        <w:rPr>
          <w:rFonts w:ascii="Arial" w:hAnsi="Arial" w:cs="Arial"/>
          <w:sz w:val="22"/>
          <w:szCs w:val="22"/>
        </w:rPr>
        <w:t>lert</w:t>
      </w:r>
      <w:r w:rsidR="00041B8E" w:rsidRPr="000A02F1">
        <w:rPr>
          <w:rFonts w:ascii="Arial" w:hAnsi="Arial"/>
          <w:sz w:val="22"/>
        </w:rPr>
        <w:t xml:space="preserve"> the Contractor of the presence of potential hazardous materials within the project limits</w:t>
      </w:r>
    </w:p>
    <w:p w14:paraId="26BCEC9F" w14:textId="77777777" w:rsidR="00041B8E" w:rsidRPr="00A76E56" w:rsidRDefault="00041B8E" w:rsidP="00A42B5F">
      <w:pPr>
        <w:pStyle w:val="ListBullet"/>
      </w:pPr>
    </w:p>
    <w:p w14:paraId="38CE494F" w14:textId="77777777" w:rsidR="00041B8E" w:rsidRPr="00CC58A7" w:rsidRDefault="00041B8E" w:rsidP="00172E64">
      <w:pPr>
        <w:pStyle w:val="Heading4"/>
        <w:numPr>
          <w:ilvl w:val="3"/>
          <w:numId w:val="184"/>
        </w:numPr>
        <w:ind w:left="0" w:firstLine="0"/>
      </w:pPr>
      <w:r w:rsidRPr="00CC58A7">
        <w:t>Resource Requirements</w:t>
      </w:r>
    </w:p>
    <w:p w14:paraId="5CDF225B" w14:textId="77777777" w:rsidR="00041B8E" w:rsidRDefault="00041B8E" w:rsidP="00BE3F24">
      <w:pPr>
        <w:pStyle w:val="BodyText"/>
        <w:spacing w:after="0"/>
        <w:jc w:val="both"/>
      </w:pPr>
      <w:r>
        <w:t xml:space="preserve">An initial and final site assessment by EGD is required to identify the potential contaminants and hazardous materials. </w:t>
      </w:r>
      <w:r w:rsidRPr="00CC58A7">
        <w:t>Th</w:t>
      </w:r>
      <w:r>
        <w:t xml:space="preserve">is procedure </w:t>
      </w:r>
      <w:r w:rsidRPr="00CC58A7">
        <w:t xml:space="preserve">documented below requires the following </w:t>
      </w:r>
      <w:r>
        <w:t>staffing needs for a typical project</w:t>
      </w:r>
      <w:r w:rsidRPr="00CC58A7">
        <w:t>:</w:t>
      </w:r>
    </w:p>
    <w:p w14:paraId="7735E1E9" w14:textId="77777777" w:rsidR="00041B8E" w:rsidRPr="00CC58A7" w:rsidRDefault="00041B8E" w:rsidP="00BE3F24">
      <w:pPr>
        <w:pStyle w:val="BodyText"/>
        <w:spacing w:after="0"/>
        <w:jc w:val="both"/>
      </w:pP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7"/>
        <w:gridCol w:w="2286"/>
        <w:gridCol w:w="1926"/>
        <w:gridCol w:w="1584"/>
      </w:tblGrid>
      <w:tr w:rsidR="00041B8E" w:rsidRPr="00CC58A7" w14:paraId="2FB912C8" w14:textId="77777777" w:rsidTr="000A02F1">
        <w:trPr>
          <w:trHeight w:val="288"/>
          <w:jc w:val="center"/>
        </w:trPr>
        <w:tc>
          <w:tcPr>
            <w:tcW w:w="2687" w:type="dxa"/>
            <w:shd w:val="pct15" w:color="auto" w:fill="FFFFFF"/>
            <w:vAlign w:val="center"/>
          </w:tcPr>
          <w:p w14:paraId="69289437" w14:textId="77777777" w:rsidR="00041B8E" w:rsidRPr="00CC58A7" w:rsidRDefault="00041B8E" w:rsidP="00BE3F24">
            <w:pPr>
              <w:jc w:val="center"/>
              <w:rPr>
                <w:rFonts w:ascii="Arial" w:hAnsi="Arial"/>
                <w:b/>
              </w:rPr>
            </w:pPr>
            <w:r w:rsidRPr="00CC58A7">
              <w:rPr>
                <w:rFonts w:ascii="Arial" w:hAnsi="Arial"/>
                <w:b/>
              </w:rPr>
              <w:t>Position</w:t>
            </w:r>
          </w:p>
        </w:tc>
        <w:tc>
          <w:tcPr>
            <w:tcW w:w="2286" w:type="dxa"/>
            <w:shd w:val="pct15" w:color="auto" w:fill="FFFFFF"/>
            <w:vAlign w:val="center"/>
          </w:tcPr>
          <w:p w14:paraId="54CAE376" w14:textId="77777777" w:rsidR="00041B8E" w:rsidRPr="00CC58A7" w:rsidRDefault="00041B8E" w:rsidP="00BE3F24">
            <w:pPr>
              <w:jc w:val="center"/>
              <w:rPr>
                <w:rFonts w:ascii="Arial" w:hAnsi="Arial"/>
                <w:b/>
              </w:rPr>
            </w:pPr>
            <w:r w:rsidRPr="00CC58A7">
              <w:rPr>
                <w:rFonts w:ascii="Arial" w:hAnsi="Arial"/>
                <w:b/>
              </w:rPr>
              <w:t>Function</w:t>
            </w:r>
          </w:p>
        </w:tc>
        <w:tc>
          <w:tcPr>
            <w:tcW w:w="1926" w:type="dxa"/>
            <w:shd w:val="pct15" w:color="auto" w:fill="FFFFFF"/>
            <w:vAlign w:val="center"/>
          </w:tcPr>
          <w:p w14:paraId="06850BC6" w14:textId="77777777" w:rsidR="00041B8E" w:rsidRPr="00CC58A7" w:rsidRDefault="00041B8E" w:rsidP="00BE3F24">
            <w:pPr>
              <w:jc w:val="center"/>
              <w:rPr>
                <w:rFonts w:ascii="Arial" w:hAnsi="Arial"/>
                <w:b/>
              </w:rPr>
            </w:pPr>
            <w:r w:rsidRPr="00CC58A7">
              <w:rPr>
                <w:rFonts w:ascii="Arial" w:hAnsi="Arial"/>
                <w:b/>
              </w:rPr>
              <w:t>Resources</w:t>
            </w:r>
          </w:p>
        </w:tc>
        <w:tc>
          <w:tcPr>
            <w:tcW w:w="1584" w:type="dxa"/>
            <w:shd w:val="pct15" w:color="auto" w:fill="FFFFFF"/>
            <w:vAlign w:val="center"/>
          </w:tcPr>
          <w:p w14:paraId="39215F9B" w14:textId="77777777" w:rsidR="00041B8E" w:rsidRPr="00CC58A7" w:rsidRDefault="00041B8E" w:rsidP="00BE3F24">
            <w:pPr>
              <w:jc w:val="center"/>
              <w:rPr>
                <w:rFonts w:ascii="Arial" w:hAnsi="Arial"/>
                <w:b/>
              </w:rPr>
            </w:pPr>
            <w:r w:rsidRPr="00CC58A7">
              <w:rPr>
                <w:rFonts w:ascii="Arial" w:hAnsi="Arial"/>
                <w:b/>
              </w:rPr>
              <w:t>Effort Level</w:t>
            </w:r>
          </w:p>
          <w:p w14:paraId="505D8B62" w14:textId="77777777" w:rsidR="00041B8E" w:rsidRPr="00CC58A7" w:rsidRDefault="00041B8E" w:rsidP="00BE3F24">
            <w:pPr>
              <w:jc w:val="center"/>
              <w:rPr>
                <w:rFonts w:ascii="Arial" w:hAnsi="Arial"/>
                <w:b/>
              </w:rPr>
            </w:pPr>
            <w:r w:rsidRPr="00CC58A7">
              <w:rPr>
                <w:rFonts w:ascii="Arial" w:hAnsi="Arial"/>
                <w:b/>
              </w:rPr>
              <w:t>(man-hours)</w:t>
            </w:r>
          </w:p>
        </w:tc>
      </w:tr>
      <w:tr w:rsidR="00041B8E" w:rsidRPr="00CC58A7" w14:paraId="62C9D2B4" w14:textId="77777777" w:rsidTr="000A02F1">
        <w:trPr>
          <w:trHeight w:val="288"/>
          <w:jc w:val="center"/>
        </w:trPr>
        <w:tc>
          <w:tcPr>
            <w:tcW w:w="2687" w:type="dxa"/>
            <w:vAlign w:val="center"/>
          </w:tcPr>
          <w:p w14:paraId="676E86ED" w14:textId="77777777" w:rsidR="00336AF9" w:rsidRDefault="00041B8E" w:rsidP="00BE3F24">
            <w:pPr>
              <w:jc w:val="center"/>
              <w:rPr>
                <w:rFonts w:ascii="Arial" w:hAnsi="Arial"/>
                <w:sz w:val="18"/>
              </w:rPr>
            </w:pPr>
            <w:r>
              <w:rPr>
                <w:rFonts w:ascii="Arial" w:hAnsi="Arial"/>
                <w:sz w:val="18"/>
              </w:rPr>
              <w:t>PAGD Engineer/</w:t>
            </w:r>
          </w:p>
          <w:p w14:paraId="6A1256E0" w14:textId="163B1F45" w:rsidR="00041B8E" w:rsidRPr="00CC58A7" w:rsidRDefault="00041B8E" w:rsidP="00BE3F24">
            <w:pPr>
              <w:jc w:val="center"/>
              <w:rPr>
                <w:rFonts w:ascii="Arial" w:hAnsi="Arial"/>
                <w:sz w:val="18"/>
              </w:rPr>
            </w:pPr>
            <w:r>
              <w:rPr>
                <w:rFonts w:ascii="Arial" w:hAnsi="Arial"/>
                <w:sz w:val="18"/>
              </w:rPr>
              <w:t>EGD Representative</w:t>
            </w:r>
          </w:p>
        </w:tc>
        <w:tc>
          <w:tcPr>
            <w:tcW w:w="2286" w:type="dxa"/>
            <w:vAlign w:val="center"/>
          </w:tcPr>
          <w:p w14:paraId="5C9BAF82" w14:textId="77777777" w:rsidR="00041B8E" w:rsidRPr="00CC58A7" w:rsidRDefault="00041B8E" w:rsidP="00BE3F24">
            <w:pPr>
              <w:jc w:val="center"/>
              <w:rPr>
                <w:rFonts w:ascii="Arial" w:hAnsi="Arial"/>
                <w:sz w:val="18"/>
              </w:rPr>
            </w:pPr>
            <w:r w:rsidRPr="00CC58A7">
              <w:rPr>
                <w:rFonts w:ascii="Arial" w:hAnsi="Arial"/>
                <w:sz w:val="18"/>
              </w:rPr>
              <w:t>Records Review</w:t>
            </w:r>
          </w:p>
        </w:tc>
        <w:tc>
          <w:tcPr>
            <w:tcW w:w="1926" w:type="dxa"/>
            <w:vAlign w:val="center"/>
          </w:tcPr>
          <w:p w14:paraId="5BA8E9CA" w14:textId="77777777" w:rsidR="00041B8E" w:rsidRPr="00CC58A7" w:rsidRDefault="00041B8E" w:rsidP="00BE3F24">
            <w:pPr>
              <w:jc w:val="center"/>
              <w:rPr>
                <w:rFonts w:ascii="Arial" w:hAnsi="Arial"/>
                <w:sz w:val="18"/>
              </w:rPr>
            </w:pPr>
            <w:r>
              <w:rPr>
                <w:rFonts w:ascii="Arial" w:hAnsi="Arial"/>
                <w:sz w:val="18"/>
              </w:rPr>
              <w:t>2</w:t>
            </w:r>
          </w:p>
        </w:tc>
        <w:tc>
          <w:tcPr>
            <w:tcW w:w="1584" w:type="dxa"/>
            <w:vAlign w:val="center"/>
          </w:tcPr>
          <w:p w14:paraId="7A1DC2DF" w14:textId="77777777" w:rsidR="00041B8E" w:rsidRPr="00CC58A7" w:rsidRDefault="00041B8E" w:rsidP="00BE3F24">
            <w:pPr>
              <w:jc w:val="center"/>
              <w:rPr>
                <w:rFonts w:ascii="Arial" w:hAnsi="Arial"/>
                <w:sz w:val="18"/>
              </w:rPr>
            </w:pPr>
            <w:r>
              <w:rPr>
                <w:rFonts w:ascii="Arial" w:hAnsi="Arial"/>
                <w:sz w:val="18"/>
              </w:rPr>
              <w:t>8*</w:t>
            </w:r>
          </w:p>
        </w:tc>
      </w:tr>
      <w:tr w:rsidR="00041B8E" w:rsidRPr="00CC58A7" w14:paraId="5ADDD2D0" w14:textId="77777777" w:rsidTr="000A02F1">
        <w:trPr>
          <w:trHeight w:val="288"/>
          <w:jc w:val="center"/>
        </w:trPr>
        <w:tc>
          <w:tcPr>
            <w:tcW w:w="2687" w:type="dxa"/>
            <w:vAlign w:val="center"/>
          </w:tcPr>
          <w:p w14:paraId="752B667E" w14:textId="77777777" w:rsidR="00336AF9" w:rsidRDefault="00041B8E" w:rsidP="00BE3F24">
            <w:pPr>
              <w:jc w:val="center"/>
              <w:rPr>
                <w:rFonts w:ascii="Arial" w:hAnsi="Arial"/>
                <w:sz w:val="18"/>
              </w:rPr>
            </w:pPr>
            <w:r>
              <w:rPr>
                <w:rFonts w:ascii="Arial" w:hAnsi="Arial"/>
                <w:sz w:val="18"/>
              </w:rPr>
              <w:t>PAGD Engineer/</w:t>
            </w:r>
          </w:p>
          <w:p w14:paraId="73A54098" w14:textId="1D07D41B" w:rsidR="00041B8E" w:rsidRPr="00CC58A7" w:rsidRDefault="00041B8E" w:rsidP="00BE3F24">
            <w:pPr>
              <w:jc w:val="center"/>
              <w:rPr>
                <w:rFonts w:ascii="Arial" w:hAnsi="Arial"/>
                <w:sz w:val="18"/>
              </w:rPr>
            </w:pPr>
            <w:r>
              <w:rPr>
                <w:rFonts w:ascii="Arial" w:hAnsi="Arial"/>
                <w:sz w:val="18"/>
              </w:rPr>
              <w:t>EGD Representative</w:t>
            </w:r>
          </w:p>
        </w:tc>
        <w:tc>
          <w:tcPr>
            <w:tcW w:w="2286" w:type="dxa"/>
            <w:vAlign w:val="center"/>
          </w:tcPr>
          <w:p w14:paraId="25ABF511" w14:textId="77777777" w:rsidR="00041B8E" w:rsidRPr="00CC58A7" w:rsidRDefault="00041B8E" w:rsidP="00BE3F24">
            <w:pPr>
              <w:jc w:val="center"/>
              <w:rPr>
                <w:rFonts w:ascii="Arial" w:hAnsi="Arial"/>
                <w:sz w:val="18"/>
              </w:rPr>
            </w:pPr>
            <w:r w:rsidRPr="00CC58A7">
              <w:rPr>
                <w:rFonts w:ascii="Arial" w:hAnsi="Arial"/>
                <w:sz w:val="18"/>
              </w:rPr>
              <w:t>Site Visit</w:t>
            </w:r>
          </w:p>
        </w:tc>
        <w:tc>
          <w:tcPr>
            <w:tcW w:w="1926" w:type="dxa"/>
            <w:vAlign w:val="center"/>
          </w:tcPr>
          <w:p w14:paraId="50E54BBD" w14:textId="77777777" w:rsidR="00041B8E" w:rsidRPr="00CC58A7" w:rsidRDefault="00041B8E" w:rsidP="00BE3F24">
            <w:pPr>
              <w:jc w:val="center"/>
              <w:rPr>
                <w:rFonts w:ascii="Arial" w:hAnsi="Arial"/>
                <w:sz w:val="18"/>
              </w:rPr>
            </w:pPr>
            <w:r>
              <w:rPr>
                <w:rFonts w:ascii="Arial" w:hAnsi="Arial"/>
                <w:sz w:val="18"/>
              </w:rPr>
              <w:t>2</w:t>
            </w:r>
          </w:p>
        </w:tc>
        <w:tc>
          <w:tcPr>
            <w:tcW w:w="1584" w:type="dxa"/>
            <w:vAlign w:val="center"/>
          </w:tcPr>
          <w:p w14:paraId="07978534" w14:textId="77777777" w:rsidR="00041B8E" w:rsidRPr="00CC58A7" w:rsidRDefault="00041B8E" w:rsidP="00BE3F24">
            <w:pPr>
              <w:jc w:val="center"/>
              <w:rPr>
                <w:rFonts w:ascii="Arial" w:hAnsi="Arial"/>
                <w:sz w:val="18"/>
              </w:rPr>
            </w:pPr>
            <w:r w:rsidRPr="00CC58A7">
              <w:rPr>
                <w:rFonts w:ascii="Arial" w:hAnsi="Arial"/>
                <w:sz w:val="18"/>
              </w:rPr>
              <w:t>8</w:t>
            </w:r>
            <w:r>
              <w:rPr>
                <w:rFonts w:ascii="Arial" w:hAnsi="Arial"/>
                <w:sz w:val="18"/>
              </w:rPr>
              <w:t>*</w:t>
            </w:r>
          </w:p>
        </w:tc>
      </w:tr>
      <w:tr w:rsidR="00041B8E" w:rsidRPr="00CC58A7" w14:paraId="3341FCBA" w14:textId="77777777" w:rsidTr="000A02F1">
        <w:trPr>
          <w:trHeight w:val="288"/>
          <w:jc w:val="center"/>
        </w:trPr>
        <w:tc>
          <w:tcPr>
            <w:tcW w:w="2687" w:type="dxa"/>
            <w:vAlign w:val="center"/>
          </w:tcPr>
          <w:p w14:paraId="5060CBAD" w14:textId="77777777" w:rsidR="00336AF9" w:rsidRDefault="00041B8E" w:rsidP="00BE3F24">
            <w:pPr>
              <w:jc w:val="center"/>
              <w:rPr>
                <w:rFonts w:ascii="Arial" w:hAnsi="Arial"/>
                <w:sz w:val="18"/>
              </w:rPr>
            </w:pPr>
            <w:r>
              <w:rPr>
                <w:rFonts w:ascii="Arial" w:hAnsi="Arial"/>
                <w:sz w:val="18"/>
              </w:rPr>
              <w:t>PAGD Engineer/</w:t>
            </w:r>
          </w:p>
          <w:p w14:paraId="0AED54E0" w14:textId="2C728AB5" w:rsidR="00041B8E" w:rsidRPr="00CC58A7" w:rsidRDefault="00041B8E" w:rsidP="00BE3F24">
            <w:pPr>
              <w:jc w:val="center"/>
              <w:rPr>
                <w:rFonts w:ascii="Arial" w:hAnsi="Arial"/>
                <w:sz w:val="18"/>
              </w:rPr>
            </w:pPr>
            <w:r>
              <w:rPr>
                <w:rFonts w:ascii="Arial" w:hAnsi="Arial"/>
                <w:sz w:val="18"/>
              </w:rPr>
              <w:t>EGD Representative</w:t>
            </w:r>
          </w:p>
        </w:tc>
        <w:tc>
          <w:tcPr>
            <w:tcW w:w="2286" w:type="dxa"/>
            <w:vAlign w:val="center"/>
          </w:tcPr>
          <w:p w14:paraId="4DDDCAA6" w14:textId="77777777" w:rsidR="00041B8E" w:rsidRPr="00CC58A7" w:rsidRDefault="00041B8E" w:rsidP="00BE3F24">
            <w:pPr>
              <w:jc w:val="center"/>
              <w:rPr>
                <w:rFonts w:ascii="Arial" w:hAnsi="Arial"/>
                <w:sz w:val="18"/>
              </w:rPr>
            </w:pPr>
            <w:r>
              <w:rPr>
                <w:rFonts w:ascii="Arial" w:hAnsi="Arial"/>
                <w:sz w:val="18"/>
              </w:rPr>
              <w:t>Prepare Details/Report</w:t>
            </w:r>
          </w:p>
        </w:tc>
        <w:tc>
          <w:tcPr>
            <w:tcW w:w="1926" w:type="dxa"/>
            <w:vAlign w:val="center"/>
          </w:tcPr>
          <w:p w14:paraId="50B421C3" w14:textId="77777777" w:rsidR="00041B8E" w:rsidRPr="00CC58A7" w:rsidRDefault="00041B8E" w:rsidP="00BE3F24">
            <w:pPr>
              <w:jc w:val="center"/>
              <w:rPr>
                <w:rFonts w:ascii="Arial" w:hAnsi="Arial"/>
                <w:sz w:val="18"/>
              </w:rPr>
            </w:pPr>
            <w:r>
              <w:rPr>
                <w:rFonts w:ascii="Arial" w:hAnsi="Arial"/>
                <w:sz w:val="18"/>
              </w:rPr>
              <w:t>2</w:t>
            </w:r>
          </w:p>
        </w:tc>
        <w:tc>
          <w:tcPr>
            <w:tcW w:w="1584" w:type="dxa"/>
            <w:vAlign w:val="center"/>
          </w:tcPr>
          <w:p w14:paraId="29801F6A" w14:textId="77777777" w:rsidR="00041B8E" w:rsidRPr="00CC58A7" w:rsidRDefault="00041B8E" w:rsidP="00BE3F24">
            <w:pPr>
              <w:jc w:val="center"/>
              <w:rPr>
                <w:rFonts w:ascii="Arial" w:hAnsi="Arial"/>
                <w:sz w:val="18"/>
              </w:rPr>
            </w:pPr>
            <w:r>
              <w:rPr>
                <w:rFonts w:ascii="Arial" w:hAnsi="Arial"/>
                <w:sz w:val="18"/>
              </w:rPr>
              <w:t>4*</w:t>
            </w:r>
          </w:p>
        </w:tc>
      </w:tr>
    </w:tbl>
    <w:p w14:paraId="05892F89" w14:textId="77777777" w:rsidR="00041B8E" w:rsidRPr="00DD6398" w:rsidRDefault="00041B8E" w:rsidP="00BE3F24">
      <w:pPr>
        <w:jc w:val="both"/>
        <w:rPr>
          <w:rFonts w:ascii="Arial" w:hAnsi="Arial"/>
          <w:sz w:val="18"/>
          <w:szCs w:val="18"/>
        </w:rPr>
      </w:pPr>
      <w:r>
        <w:rPr>
          <w:rFonts w:ascii="Arial" w:hAnsi="Arial"/>
          <w:sz w:val="18"/>
          <w:szCs w:val="18"/>
        </w:rPr>
        <w:t xml:space="preserve">      </w:t>
      </w:r>
      <w:r w:rsidRPr="00DD6398">
        <w:rPr>
          <w:rFonts w:ascii="Arial" w:hAnsi="Arial"/>
          <w:sz w:val="18"/>
          <w:szCs w:val="18"/>
        </w:rPr>
        <w:t>* The time required would vary depending on the size and complexity of a project.</w:t>
      </w:r>
    </w:p>
    <w:p w14:paraId="7AF14494" w14:textId="77777777" w:rsidR="00041B8E" w:rsidRDefault="00041B8E" w:rsidP="00916953"/>
    <w:p w14:paraId="14E0C93F" w14:textId="77777777" w:rsidR="00041B8E" w:rsidRPr="00CC58A7" w:rsidRDefault="00041B8E" w:rsidP="00172E64">
      <w:pPr>
        <w:pStyle w:val="Heading4"/>
        <w:numPr>
          <w:ilvl w:val="3"/>
          <w:numId w:val="184"/>
        </w:numPr>
        <w:ind w:left="0" w:firstLine="0"/>
      </w:pPr>
      <w:r w:rsidRPr="00CC58A7">
        <w:t>Procedure</w:t>
      </w:r>
    </w:p>
    <w:p w14:paraId="0E952385" w14:textId="4D8D5158" w:rsidR="00041B8E" w:rsidRDefault="00041B8E" w:rsidP="00BE3F24">
      <w:pPr>
        <w:pStyle w:val="BodyText"/>
        <w:spacing w:after="0"/>
        <w:jc w:val="both"/>
      </w:pPr>
      <w:r w:rsidRPr="00CC58A7">
        <w:t xml:space="preserve">The procedure </w:t>
      </w:r>
      <w:r w:rsidRPr="00004850">
        <w:t xml:space="preserve">described in the following text should be followed </w:t>
      </w:r>
      <w:r>
        <w:t>for identifying and preparing recommendation</w:t>
      </w:r>
      <w:r w:rsidR="00336AF9">
        <w:t>s</w:t>
      </w:r>
      <w:r>
        <w:t xml:space="preserve"> for UST</w:t>
      </w:r>
      <w:r w:rsidR="00336AF9">
        <w:t>s</w:t>
      </w:r>
      <w:r>
        <w:t>.</w:t>
      </w:r>
      <w:r w:rsidRPr="00CC58A7">
        <w:t xml:space="preserve">      </w:t>
      </w:r>
    </w:p>
    <w:p w14:paraId="0A80708C" w14:textId="77777777" w:rsidR="00041B8E" w:rsidRPr="00CC58A7" w:rsidRDefault="00041B8E" w:rsidP="00BE3F24">
      <w:pPr>
        <w:pStyle w:val="BodyText"/>
        <w:spacing w:after="0"/>
        <w:jc w:val="both"/>
      </w:pPr>
    </w:p>
    <w:p w14:paraId="7C6A6C6B" w14:textId="417675C2" w:rsidR="00041B8E" w:rsidRDefault="00041B8E" w:rsidP="00BE3F24">
      <w:pPr>
        <w:pStyle w:val="BodyText"/>
        <w:spacing w:after="0"/>
        <w:jc w:val="both"/>
      </w:pPr>
      <w:r w:rsidRPr="0021416D">
        <w:t xml:space="preserve">Follow the steps below to complete </w:t>
      </w:r>
      <w:r w:rsidR="00336AF9">
        <w:t xml:space="preserve">a </w:t>
      </w:r>
      <w:r>
        <w:t>site assessment for USTs</w:t>
      </w:r>
      <w:r w:rsidRPr="0021416D">
        <w:t>:</w:t>
      </w:r>
    </w:p>
    <w:p w14:paraId="18DDDFFF" w14:textId="5925DDEE" w:rsidR="001A15B9" w:rsidRDefault="00041B8E" w:rsidP="00172E64">
      <w:pPr>
        <w:pStyle w:val="ListNumber"/>
        <w:numPr>
          <w:ilvl w:val="0"/>
          <w:numId w:val="97"/>
        </w:numPr>
        <w:tabs>
          <w:tab w:val="clear" w:pos="1512"/>
          <w:tab w:val="num" w:pos="1080"/>
        </w:tabs>
        <w:spacing w:before="240"/>
        <w:ind w:left="1080" w:hanging="1080"/>
        <w:jc w:val="both"/>
      </w:pPr>
      <w:r w:rsidRPr="0021416D">
        <w:t xml:space="preserve">Review </w:t>
      </w:r>
      <w:r>
        <w:t xml:space="preserve">proposed </w:t>
      </w:r>
      <w:r w:rsidRPr="0021416D">
        <w:t xml:space="preserve">plans thoroughly and </w:t>
      </w:r>
      <w:r>
        <w:t xml:space="preserve">identify locations of USTs. Contact the PM if any information is available on potential locations of USTs within the project limits. </w:t>
      </w:r>
    </w:p>
    <w:p w14:paraId="3F8AEA10" w14:textId="1CBFE2E2" w:rsidR="001A15B9" w:rsidRDefault="00041B8E" w:rsidP="00172E64">
      <w:pPr>
        <w:pStyle w:val="ListNumber"/>
        <w:numPr>
          <w:ilvl w:val="0"/>
          <w:numId w:val="97"/>
        </w:numPr>
        <w:tabs>
          <w:tab w:val="clear" w:pos="1512"/>
          <w:tab w:val="clear" w:pos="1872"/>
          <w:tab w:val="num" w:pos="1080"/>
        </w:tabs>
        <w:ind w:left="1080" w:hanging="1080"/>
        <w:jc w:val="both"/>
      </w:pPr>
      <w:r>
        <w:lastRenderedPageBreak/>
        <w:t>Review previous engineering geology studies within and adjacent to the project.</w:t>
      </w:r>
    </w:p>
    <w:p w14:paraId="4A790CB4" w14:textId="5BDBA0E6" w:rsidR="006B60DE" w:rsidRDefault="006B60DE" w:rsidP="00172E64">
      <w:pPr>
        <w:pStyle w:val="ListNumber"/>
        <w:numPr>
          <w:ilvl w:val="0"/>
          <w:numId w:val="97"/>
        </w:numPr>
        <w:tabs>
          <w:tab w:val="clear" w:pos="1512"/>
          <w:tab w:val="num" w:pos="1080"/>
        </w:tabs>
        <w:ind w:left="1080" w:hanging="1080"/>
        <w:jc w:val="both"/>
      </w:pPr>
      <w:r>
        <w:t>Request a geophysical investigation, if necessary, to identify the location of the UST and associated piping</w:t>
      </w:r>
      <w:r w:rsidR="001F6F64">
        <w:t>, and extent of contamination</w:t>
      </w:r>
      <w:r>
        <w:t>.</w:t>
      </w:r>
    </w:p>
    <w:p w14:paraId="4F423570" w14:textId="77777777" w:rsidR="001A15B9" w:rsidRDefault="00041B8E" w:rsidP="00172E64">
      <w:pPr>
        <w:pStyle w:val="ListNumber"/>
        <w:numPr>
          <w:ilvl w:val="0"/>
          <w:numId w:val="97"/>
        </w:numPr>
        <w:tabs>
          <w:tab w:val="clear" w:pos="1512"/>
          <w:tab w:val="num" w:pos="1080"/>
        </w:tabs>
        <w:ind w:left="1080" w:hanging="1080"/>
        <w:jc w:val="both"/>
      </w:pPr>
      <w:r>
        <w:t>Request test borings, if necessary, to identify contaminated material.</w:t>
      </w:r>
    </w:p>
    <w:p w14:paraId="0315F7D2" w14:textId="77777777" w:rsidR="001A15B9" w:rsidRDefault="00041B8E" w:rsidP="00172E64">
      <w:pPr>
        <w:pStyle w:val="ListNumber"/>
        <w:numPr>
          <w:ilvl w:val="0"/>
          <w:numId w:val="97"/>
        </w:numPr>
        <w:tabs>
          <w:tab w:val="clear" w:pos="1512"/>
          <w:tab w:val="num" w:pos="1080"/>
        </w:tabs>
        <w:ind w:left="1080" w:hanging="1080"/>
        <w:jc w:val="both"/>
        <w:rPr>
          <w:i/>
        </w:rPr>
      </w:pPr>
      <w:r>
        <w:t xml:space="preserve">Request site assessments (ISA, Phase I and Phase II). </w:t>
      </w:r>
    </w:p>
    <w:p w14:paraId="75CCF7E4" w14:textId="0055F7E0" w:rsidR="001A15B9" w:rsidRDefault="00041B8E" w:rsidP="00172E64">
      <w:pPr>
        <w:pStyle w:val="ListNumber"/>
        <w:numPr>
          <w:ilvl w:val="0"/>
          <w:numId w:val="97"/>
        </w:numPr>
        <w:tabs>
          <w:tab w:val="clear" w:pos="1512"/>
          <w:tab w:val="num" w:pos="1080"/>
        </w:tabs>
        <w:ind w:left="1080" w:hanging="1080"/>
        <w:jc w:val="both"/>
      </w:pPr>
      <w:r>
        <w:t xml:space="preserve">Include a summary of the site assessment report in the </w:t>
      </w:r>
      <w:r w:rsidRPr="004403AE">
        <w:t>FGR</w:t>
      </w:r>
      <w:r w:rsidR="006B60DE">
        <w:t>.</w:t>
      </w:r>
    </w:p>
    <w:p w14:paraId="13A520A0" w14:textId="3CBE8651" w:rsidR="001A15B9" w:rsidRDefault="00041B8E" w:rsidP="00172E64">
      <w:pPr>
        <w:pStyle w:val="ListNumber"/>
        <w:numPr>
          <w:ilvl w:val="0"/>
          <w:numId w:val="97"/>
        </w:numPr>
        <w:tabs>
          <w:tab w:val="clear" w:pos="1512"/>
          <w:tab w:val="num" w:pos="1080"/>
        </w:tabs>
        <w:ind w:left="1080" w:hanging="1080"/>
        <w:jc w:val="both"/>
      </w:pPr>
      <w:r>
        <w:t>Generally, the USTs are removed and backfilled by their respective owners such as a gas station</w:t>
      </w:r>
      <w:r w:rsidR="00336AF9">
        <w:t>,</w:t>
      </w:r>
      <w:r>
        <w:t xml:space="preserve"> etc.  It is recommended to remove the backfill for USTs within the project limits</w:t>
      </w:r>
      <w:r w:rsidR="00336AF9">
        <w:t>,</w:t>
      </w:r>
      <w:r>
        <w:t xml:space="preserve"> re-backfill per </w:t>
      </w:r>
      <w:r w:rsidR="008C7023">
        <w:t>MDOT-SHA</w:t>
      </w:r>
      <w:r>
        <w:t xml:space="preserve"> guidelines</w:t>
      </w:r>
      <w:r w:rsidR="00336AF9">
        <w:t>,</w:t>
      </w:r>
      <w:r>
        <w:t xml:space="preserve"> and note in the FGR.</w:t>
      </w:r>
    </w:p>
    <w:p w14:paraId="1D1A8DC0" w14:textId="77777777" w:rsidR="001A15B9" w:rsidRDefault="00041B8E" w:rsidP="00172E64">
      <w:pPr>
        <w:pStyle w:val="ListNumber"/>
        <w:numPr>
          <w:ilvl w:val="0"/>
          <w:numId w:val="97"/>
        </w:numPr>
        <w:tabs>
          <w:tab w:val="clear" w:pos="1512"/>
          <w:tab w:val="num" w:pos="1080"/>
        </w:tabs>
        <w:ind w:left="1080" w:hanging="1080"/>
        <w:jc w:val="both"/>
      </w:pPr>
      <w:r>
        <w:t>Establish an item for disposal of contaminated soils in the FGR.</w:t>
      </w:r>
    </w:p>
    <w:p w14:paraId="4B4167E2" w14:textId="77777777" w:rsidR="001A15B9" w:rsidRDefault="00041B8E" w:rsidP="00172E64">
      <w:pPr>
        <w:pStyle w:val="ListNumber"/>
        <w:numPr>
          <w:ilvl w:val="0"/>
          <w:numId w:val="97"/>
        </w:numPr>
        <w:tabs>
          <w:tab w:val="clear" w:pos="1512"/>
          <w:tab w:val="num" w:pos="1080"/>
        </w:tabs>
        <w:ind w:left="1080" w:hanging="1080"/>
        <w:jc w:val="both"/>
      </w:pPr>
      <w:r>
        <w:t xml:space="preserve">Establish an item for </w:t>
      </w:r>
      <w:r w:rsidRPr="006F4B33">
        <w:t>grade</w:t>
      </w:r>
      <w:r>
        <w:t xml:space="preserve">d aggregate base or other suitable material in the FGR. </w:t>
      </w:r>
    </w:p>
    <w:p w14:paraId="24DD5086" w14:textId="77777777" w:rsidR="001A15B9" w:rsidRDefault="00041B8E" w:rsidP="00172E64">
      <w:pPr>
        <w:pStyle w:val="ListNumber"/>
        <w:numPr>
          <w:ilvl w:val="0"/>
          <w:numId w:val="97"/>
        </w:numPr>
        <w:tabs>
          <w:tab w:val="clear" w:pos="1512"/>
          <w:tab w:val="num" w:pos="1080"/>
        </w:tabs>
        <w:ind w:left="1080" w:hanging="1080"/>
        <w:jc w:val="both"/>
      </w:pPr>
      <w:r>
        <w:t>Establish an item for removal, backfilling, and compaction with Common Borrow/Select Borrow of the UST area in the FGR.</w:t>
      </w:r>
    </w:p>
    <w:p w14:paraId="5C340909" w14:textId="77777777" w:rsidR="001A15B9" w:rsidRDefault="00041B8E" w:rsidP="00172E64">
      <w:pPr>
        <w:pStyle w:val="ListNumber"/>
        <w:numPr>
          <w:ilvl w:val="0"/>
          <w:numId w:val="97"/>
        </w:numPr>
        <w:tabs>
          <w:tab w:val="clear" w:pos="1512"/>
          <w:tab w:val="num" w:pos="1080"/>
        </w:tabs>
        <w:ind w:left="1080" w:hanging="1080"/>
        <w:jc w:val="both"/>
      </w:pPr>
      <w:r w:rsidRPr="004403AE">
        <w:t>Include Special Provision 200 – Contaminated Soils and Special Provision 200 – UST Removal in the FGR.  Refer to</w:t>
      </w:r>
      <w:r w:rsidR="00ED4A45">
        <w:t xml:space="preserve"> </w:t>
      </w:r>
      <w:hyperlink w:anchor="_Construction_and_Material" w:history="1">
        <w:r w:rsidR="00ED4A45" w:rsidRPr="00ED4A45">
          <w:rPr>
            <w:rStyle w:val="Hyperlink"/>
          </w:rPr>
          <w:t>Construction and Material Specifications</w:t>
        </w:r>
      </w:hyperlink>
      <w:r w:rsidRPr="004403AE">
        <w:t xml:space="preserve">. </w:t>
      </w:r>
    </w:p>
    <w:p w14:paraId="11DE3540" w14:textId="77777777" w:rsidR="00041B8E" w:rsidRPr="00057F55" w:rsidRDefault="00041B8E" w:rsidP="00172E64">
      <w:pPr>
        <w:pStyle w:val="Heading3"/>
        <w:numPr>
          <w:ilvl w:val="2"/>
          <w:numId w:val="184"/>
        </w:numPr>
        <w:ind w:left="0" w:firstLine="0"/>
      </w:pPr>
      <w:r w:rsidRPr="00057F55">
        <w:t>Construction Hazards</w:t>
      </w:r>
    </w:p>
    <w:p w14:paraId="63C46E7C" w14:textId="77777777" w:rsidR="00041B8E" w:rsidRPr="00041B8E" w:rsidRDefault="00041B8E" w:rsidP="00BE3F24">
      <w:pPr>
        <w:pStyle w:val="BodyText"/>
        <w:spacing w:after="0"/>
        <w:jc w:val="both"/>
        <w:rPr>
          <w:rFonts w:cs="Arial"/>
          <w:szCs w:val="22"/>
        </w:rPr>
      </w:pPr>
      <w:r w:rsidRPr="00041B8E">
        <w:rPr>
          <w:rFonts w:cs="Arial"/>
          <w:szCs w:val="22"/>
        </w:rPr>
        <w:t xml:space="preserve">Construction hazards present a great danger on the ongoing construction projects, regardless of the size of the project. </w:t>
      </w:r>
    </w:p>
    <w:p w14:paraId="01CF8961" w14:textId="77777777" w:rsidR="00041B8E" w:rsidRPr="00041B8E" w:rsidRDefault="00041B8E" w:rsidP="00BE3F24">
      <w:pPr>
        <w:pStyle w:val="BodyText"/>
        <w:spacing w:after="0"/>
        <w:jc w:val="both"/>
        <w:rPr>
          <w:rFonts w:cs="Arial"/>
          <w:szCs w:val="22"/>
        </w:rPr>
      </w:pPr>
    </w:p>
    <w:p w14:paraId="11D60B28" w14:textId="77777777" w:rsidR="00041B8E" w:rsidRPr="00041B8E" w:rsidRDefault="00041B8E" w:rsidP="00BE3F24">
      <w:pPr>
        <w:pStyle w:val="BodyText"/>
        <w:spacing w:after="0"/>
        <w:jc w:val="both"/>
        <w:rPr>
          <w:rStyle w:val="blackten1"/>
          <w:rFonts w:ascii="Arial" w:hAnsi="Arial" w:cs="Arial"/>
          <w:sz w:val="22"/>
          <w:szCs w:val="22"/>
        </w:rPr>
      </w:pPr>
      <w:r w:rsidRPr="00041B8E">
        <w:rPr>
          <w:rStyle w:val="blackten1"/>
          <w:rFonts w:ascii="Arial" w:hAnsi="Arial" w:cs="Arial"/>
          <w:sz w:val="22"/>
          <w:szCs w:val="22"/>
        </w:rPr>
        <w:t>The top four causes of construction fatalities are: Falls, Struck-By, Caught-In/Between, and Electrocutions.</w:t>
      </w:r>
    </w:p>
    <w:p w14:paraId="5B76CADC" w14:textId="77777777" w:rsidR="00041B8E" w:rsidRPr="00041B8E" w:rsidRDefault="00041B8E" w:rsidP="00BE3F24">
      <w:pPr>
        <w:pStyle w:val="BodyText"/>
        <w:spacing w:after="0"/>
        <w:jc w:val="both"/>
        <w:rPr>
          <w:rStyle w:val="blackten1"/>
          <w:rFonts w:ascii="Arial" w:hAnsi="Arial" w:cs="Arial"/>
          <w:sz w:val="22"/>
          <w:szCs w:val="22"/>
        </w:rPr>
      </w:pPr>
    </w:p>
    <w:p w14:paraId="775135C8" w14:textId="77777777" w:rsidR="00041B8E" w:rsidRPr="00041B8E" w:rsidRDefault="00041B8E" w:rsidP="00BE3F24">
      <w:pPr>
        <w:pStyle w:val="BodyText"/>
        <w:spacing w:after="0"/>
        <w:jc w:val="both"/>
        <w:rPr>
          <w:rFonts w:cs="Arial"/>
          <w:szCs w:val="22"/>
        </w:rPr>
      </w:pPr>
      <w:r w:rsidRPr="00041B8E">
        <w:rPr>
          <w:rFonts w:cs="Arial"/>
          <w:szCs w:val="22"/>
        </w:rPr>
        <w:t xml:space="preserve">Refer to United States Department of Labor – Occupational Safety and Health Administration: </w:t>
      </w:r>
      <w:hyperlink r:id="rId301" w:history="1">
        <w:r w:rsidRPr="00041B8E">
          <w:rPr>
            <w:rStyle w:val="Hyperlink"/>
            <w:rFonts w:cs="Arial"/>
            <w:szCs w:val="22"/>
          </w:rPr>
          <w:t>www.osha.gov</w:t>
        </w:r>
      </w:hyperlink>
      <w:r w:rsidRPr="00041B8E">
        <w:rPr>
          <w:rFonts w:cs="Arial"/>
          <w:szCs w:val="22"/>
        </w:rPr>
        <w:t xml:space="preserve"> for additional information/guidelines.</w:t>
      </w:r>
    </w:p>
    <w:p w14:paraId="06B7531B" w14:textId="77777777" w:rsidR="00041B8E" w:rsidRPr="00041B8E" w:rsidRDefault="00041B8E" w:rsidP="00172E64">
      <w:pPr>
        <w:pStyle w:val="Heading3"/>
        <w:numPr>
          <w:ilvl w:val="2"/>
          <w:numId w:val="184"/>
        </w:numPr>
        <w:ind w:left="0" w:firstLine="0"/>
      </w:pPr>
      <w:r>
        <w:t>Karst</w:t>
      </w:r>
    </w:p>
    <w:p w14:paraId="78903240" w14:textId="6012D658" w:rsidR="00041B8E" w:rsidRDefault="001C6B2C" w:rsidP="000A02F1">
      <w:pPr>
        <w:pStyle w:val="BodyText"/>
        <w:jc w:val="both"/>
      </w:pPr>
      <w:r>
        <w:t>Karst is handled by the Engineering Geology Division</w:t>
      </w:r>
      <w:r w:rsidR="00322805">
        <w:t xml:space="preserve"> (EGD)</w:t>
      </w:r>
      <w:r>
        <w:t>.  Contact them for assistance.</w:t>
      </w:r>
      <w:r w:rsidR="001101A9">
        <w:t xml:space="preserve"> Geophysical investigations are well suited for studies within karst geologies.</w:t>
      </w:r>
    </w:p>
    <w:p w14:paraId="4EE4AF65" w14:textId="77777777" w:rsidR="00041B8E" w:rsidRDefault="00041B8E" w:rsidP="00172E64">
      <w:pPr>
        <w:pStyle w:val="Heading3"/>
        <w:numPr>
          <w:ilvl w:val="2"/>
          <w:numId w:val="184"/>
        </w:numPr>
        <w:ind w:left="0" w:firstLine="0"/>
      </w:pPr>
      <w:bookmarkStart w:id="570" w:name="_Geotextiles/Geosynthetics_(Geotexti"/>
      <w:bookmarkEnd w:id="570"/>
      <w:r w:rsidRPr="00C94914">
        <w:t>Geotextiles/Geosynthetics (Geotextile)</w:t>
      </w:r>
    </w:p>
    <w:p w14:paraId="738B250A" w14:textId="77777777" w:rsidR="00041B8E" w:rsidRDefault="00041B8E" w:rsidP="00172E64">
      <w:pPr>
        <w:pStyle w:val="Heading4"/>
        <w:numPr>
          <w:ilvl w:val="3"/>
          <w:numId w:val="184"/>
        </w:numPr>
        <w:spacing w:before="240"/>
        <w:ind w:left="0" w:firstLine="0"/>
      </w:pPr>
      <w:r>
        <w:t>General</w:t>
      </w:r>
    </w:p>
    <w:p w14:paraId="3C18F5C8" w14:textId="77777777" w:rsidR="00041B8E" w:rsidRPr="00160444" w:rsidRDefault="00041B8E" w:rsidP="000A02F1">
      <w:pPr>
        <w:pStyle w:val="NormalWeb"/>
        <w:spacing w:before="0" w:beforeAutospacing="0" w:after="0" w:afterAutospacing="0"/>
        <w:jc w:val="both"/>
        <w:rPr>
          <w:rFonts w:ascii="Arial" w:hAnsi="Arial" w:cs="Arial"/>
          <w:sz w:val="22"/>
          <w:szCs w:val="22"/>
        </w:rPr>
      </w:pPr>
      <w:r w:rsidRPr="00160444">
        <w:rPr>
          <w:rFonts w:ascii="Arial" w:hAnsi="Arial" w:cs="Arial"/>
          <w:sz w:val="22"/>
          <w:szCs w:val="22"/>
        </w:rPr>
        <w:t>The prefix of geote</w:t>
      </w:r>
      <w:r>
        <w:rPr>
          <w:rFonts w:ascii="Arial" w:hAnsi="Arial" w:cs="Arial"/>
          <w:sz w:val="22"/>
          <w:szCs w:val="22"/>
        </w:rPr>
        <w:t>xtile, geo, means earth and the “</w:t>
      </w:r>
      <w:r w:rsidRPr="00160444">
        <w:rPr>
          <w:rFonts w:ascii="Arial" w:hAnsi="Arial" w:cs="Arial"/>
          <w:sz w:val="22"/>
          <w:szCs w:val="22"/>
        </w:rPr>
        <w:t>textile</w:t>
      </w:r>
      <w:r>
        <w:rPr>
          <w:rFonts w:ascii="Arial" w:hAnsi="Arial" w:cs="Arial"/>
          <w:sz w:val="22"/>
          <w:szCs w:val="22"/>
        </w:rPr>
        <w:t>”</w:t>
      </w:r>
      <w:r w:rsidRPr="00160444">
        <w:rPr>
          <w:rFonts w:ascii="Arial" w:hAnsi="Arial" w:cs="Arial"/>
          <w:sz w:val="22"/>
          <w:szCs w:val="22"/>
        </w:rPr>
        <w:t xml:space="preserve"> means fabric. Geotextile is a permeable geosynthetic comprised solely of textiles. </w:t>
      </w:r>
    </w:p>
    <w:p w14:paraId="2499CAF5" w14:textId="77777777" w:rsidR="00041B8E" w:rsidRDefault="00041B8E" w:rsidP="00172E64">
      <w:pPr>
        <w:pStyle w:val="Heading4"/>
        <w:numPr>
          <w:ilvl w:val="3"/>
          <w:numId w:val="184"/>
        </w:numPr>
        <w:spacing w:before="240"/>
        <w:ind w:left="0" w:firstLine="0"/>
      </w:pPr>
      <w:r>
        <w:t>Purpose</w:t>
      </w:r>
    </w:p>
    <w:p w14:paraId="3B0BCF8D" w14:textId="77777777" w:rsidR="00041B8E" w:rsidRDefault="00041B8E" w:rsidP="00BE3F24">
      <w:pPr>
        <w:pStyle w:val="BodyText"/>
        <w:jc w:val="both"/>
      </w:pPr>
      <w:r>
        <w:t xml:space="preserve">Geotextiles are used with foundation, soil, rock, earth, or any other geotechnical engineering-related material as an integral part of human-made project, structure, or system. </w:t>
      </w:r>
    </w:p>
    <w:p w14:paraId="09AE5D48" w14:textId="77777777" w:rsidR="008042B1" w:rsidRDefault="008042B1" w:rsidP="00BE3F24">
      <w:pPr>
        <w:pStyle w:val="BodyText"/>
        <w:jc w:val="both"/>
      </w:pPr>
    </w:p>
    <w:p w14:paraId="013D3960" w14:textId="77777777" w:rsidR="008042B1" w:rsidRDefault="008042B1" w:rsidP="008042B1">
      <w:pPr>
        <w:pStyle w:val="BodyText"/>
        <w:spacing w:after="0"/>
        <w:jc w:val="both"/>
      </w:pPr>
    </w:p>
    <w:p w14:paraId="4F26370D" w14:textId="77777777" w:rsidR="00041B8E" w:rsidRPr="00041B8E" w:rsidRDefault="00041B8E" w:rsidP="008042B1">
      <w:pPr>
        <w:jc w:val="both"/>
        <w:rPr>
          <w:rFonts w:ascii="Arial" w:hAnsi="Arial" w:cs="Arial"/>
          <w:sz w:val="22"/>
          <w:szCs w:val="22"/>
        </w:rPr>
      </w:pPr>
      <w:r w:rsidRPr="00041B8E">
        <w:rPr>
          <w:rFonts w:ascii="Arial" w:hAnsi="Arial" w:cs="Arial"/>
          <w:sz w:val="22"/>
          <w:szCs w:val="22"/>
        </w:rPr>
        <w:t>In general, there are four types of geotextile used for highway projects. They are for Subsurface Drainage (SD), Separation (SE), Stabilization (ST), and Permanent Erosion (PE):</w:t>
      </w:r>
    </w:p>
    <w:p w14:paraId="081ADDF8" w14:textId="732B5F9F" w:rsidR="001A15B9" w:rsidRDefault="00041B8E" w:rsidP="00172E64">
      <w:pPr>
        <w:numPr>
          <w:ilvl w:val="0"/>
          <w:numId w:val="65"/>
        </w:numPr>
        <w:ind w:hanging="720"/>
        <w:jc w:val="both"/>
        <w:rPr>
          <w:rFonts w:ascii="Arial" w:hAnsi="Arial" w:cs="Arial"/>
          <w:sz w:val="22"/>
          <w:szCs w:val="22"/>
        </w:rPr>
      </w:pPr>
      <w:r w:rsidRPr="00041B8E">
        <w:rPr>
          <w:rFonts w:ascii="Arial" w:hAnsi="Arial" w:cs="Arial"/>
          <w:sz w:val="22"/>
          <w:szCs w:val="22"/>
        </w:rPr>
        <w:t>Subsurface Drainage (SD)</w:t>
      </w:r>
      <w:r w:rsidR="00330491">
        <w:rPr>
          <w:rFonts w:ascii="Arial" w:hAnsi="Arial" w:cs="Arial"/>
          <w:sz w:val="22"/>
          <w:szCs w:val="22"/>
        </w:rPr>
        <w:t xml:space="preserve">: </w:t>
      </w:r>
      <w:r w:rsidRPr="00041B8E">
        <w:rPr>
          <w:rFonts w:ascii="Arial" w:hAnsi="Arial" w:cs="Arial"/>
          <w:sz w:val="22"/>
          <w:szCs w:val="22"/>
        </w:rPr>
        <w:t xml:space="preserve"> </w:t>
      </w:r>
      <w:r w:rsidR="00330491">
        <w:rPr>
          <w:rFonts w:ascii="Arial" w:hAnsi="Arial" w:cs="Arial"/>
          <w:sz w:val="22"/>
          <w:szCs w:val="22"/>
        </w:rPr>
        <w:t>A</w:t>
      </w:r>
      <w:r w:rsidRPr="00041B8E">
        <w:rPr>
          <w:rFonts w:ascii="Arial" w:hAnsi="Arial" w:cs="Arial"/>
          <w:sz w:val="22"/>
          <w:szCs w:val="22"/>
        </w:rPr>
        <w:t xml:space="preserve"> geotextile against a soil to allow for long-term passage of water into a subsurface drain system retaining the in</w:t>
      </w:r>
      <w:r w:rsidR="00330491">
        <w:rPr>
          <w:rFonts w:ascii="Arial" w:hAnsi="Arial" w:cs="Arial"/>
          <w:sz w:val="22"/>
          <w:szCs w:val="22"/>
        </w:rPr>
        <w:t>-</w:t>
      </w:r>
      <w:r w:rsidRPr="00041B8E">
        <w:rPr>
          <w:rFonts w:ascii="Arial" w:hAnsi="Arial" w:cs="Arial"/>
          <w:sz w:val="22"/>
          <w:szCs w:val="22"/>
        </w:rPr>
        <w:t>situ soil. The primary function of the geotextile in subsurface drainage applications is filtration. Geotextile filtration properties are a function of the in</w:t>
      </w:r>
      <w:r w:rsidR="00330491">
        <w:rPr>
          <w:rFonts w:ascii="Arial" w:hAnsi="Arial" w:cs="Arial"/>
          <w:sz w:val="22"/>
          <w:szCs w:val="22"/>
        </w:rPr>
        <w:t>-</w:t>
      </w:r>
      <w:r w:rsidRPr="00041B8E">
        <w:rPr>
          <w:rFonts w:ascii="Arial" w:hAnsi="Arial" w:cs="Arial"/>
          <w:sz w:val="22"/>
          <w:szCs w:val="22"/>
        </w:rPr>
        <w:t>situ soil gradation, plasticity, and hydraulic conditions.</w:t>
      </w:r>
    </w:p>
    <w:p w14:paraId="09C22A52" w14:textId="62005431" w:rsidR="001A15B9" w:rsidRDefault="00041B8E" w:rsidP="00172E64">
      <w:pPr>
        <w:numPr>
          <w:ilvl w:val="0"/>
          <w:numId w:val="65"/>
        </w:numPr>
        <w:ind w:hanging="720"/>
        <w:jc w:val="both"/>
        <w:rPr>
          <w:rFonts w:ascii="Arial" w:hAnsi="Arial" w:cs="Arial"/>
          <w:sz w:val="22"/>
          <w:szCs w:val="22"/>
        </w:rPr>
      </w:pPr>
      <w:r w:rsidRPr="00041B8E">
        <w:rPr>
          <w:rFonts w:ascii="Arial" w:hAnsi="Arial" w:cs="Arial"/>
          <w:sz w:val="22"/>
          <w:szCs w:val="22"/>
        </w:rPr>
        <w:t>Separation (SE)</w:t>
      </w:r>
      <w:r w:rsidR="00330491">
        <w:rPr>
          <w:rFonts w:ascii="Arial" w:hAnsi="Arial" w:cs="Arial"/>
          <w:sz w:val="22"/>
          <w:szCs w:val="22"/>
        </w:rPr>
        <w:t>:  A</w:t>
      </w:r>
      <w:r w:rsidRPr="00041B8E">
        <w:rPr>
          <w:rFonts w:ascii="Arial" w:hAnsi="Arial" w:cs="Arial"/>
          <w:sz w:val="22"/>
          <w:szCs w:val="22"/>
        </w:rPr>
        <w:t xml:space="preserve"> geotextile to prevent mixing of a subgrade soil and an aggregate cover material (sub-base, base, select embankment, etc.). This specification may also apply to situations other than beneath pavements where separation of two dissimilar materials is required, but where water seepage through the geotextile is not a critical function.</w:t>
      </w:r>
    </w:p>
    <w:p w14:paraId="78DE3A3E" w14:textId="41AAB856" w:rsidR="001A15B9" w:rsidRDefault="00041B8E" w:rsidP="00172E64">
      <w:pPr>
        <w:numPr>
          <w:ilvl w:val="0"/>
          <w:numId w:val="65"/>
        </w:numPr>
        <w:ind w:hanging="720"/>
        <w:jc w:val="both"/>
        <w:rPr>
          <w:rFonts w:ascii="Arial" w:hAnsi="Arial" w:cs="Arial"/>
          <w:sz w:val="22"/>
          <w:szCs w:val="22"/>
        </w:rPr>
      </w:pPr>
      <w:r w:rsidRPr="00041B8E">
        <w:rPr>
          <w:rFonts w:ascii="Arial" w:hAnsi="Arial" w:cs="Arial"/>
          <w:sz w:val="22"/>
          <w:szCs w:val="22"/>
        </w:rPr>
        <w:t>Stabilization (ST)</w:t>
      </w:r>
      <w:r w:rsidR="00330491">
        <w:rPr>
          <w:rFonts w:ascii="Arial" w:hAnsi="Arial" w:cs="Arial"/>
          <w:sz w:val="22"/>
          <w:szCs w:val="22"/>
        </w:rPr>
        <w:t>:  A</w:t>
      </w:r>
      <w:r w:rsidRPr="00041B8E">
        <w:rPr>
          <w:rFonts w:ascii="Arial" w:hAnsi="Arial" w:cs="Arial"/>
          <w:sz w:val="22"/>
          <w:szCs w:val="22"/>
        </w:rPr>
        <w:t xml:space="preserve"> geotextile in wet, saturated conditions to provide the coincident functions of separation and filtration. In some installations, the geotextile can also provide the function of reinforcement. Stabilization is applicable to pavement structures constructed over soils with a California Bearing Ratio between one and three (1 &lt; </w:t>
      </w:r>
      <w:smartTag w:uri="urn:schemas-microsoft-com:office:smarttags" w:element="stockticker">
        <w:r w:rsidRPr="00041B8E">
          <w:rPr>
            <w:rFonts w:ascii="Arial" w:hAnsi="Arial" w:cs="Arial"/>
            <w:sz w:val="22"/>
            <w:szCs w:val="22"/>
          </w:rPr>
          <w:t>CBR</w:t>
        </w:r>
      </w:smartTag>
      <w:r w:rsidRPr="00041B8E">
        <w:rPr>
          <w:rFonts w:ascii="Arial" w:hAnsi="Arial" w:cs="Arial"/>
          <w:sz w:val="22"/>
          <w:szCs w:val="22"/>
        </w:rPr>
        <w:t xml:space="preserve"> &gt; 3).</w:t>
      </w:r>
    </w:p>
    <w:p w14:paraId="006D4E0B" w14:textId="283A22B5" w:rsidR="001A15B9" w:rsidRDefault="00041B8E" w:rsidP="00172E64">
      <w:pPr>
        <w:numPr>
          <w:ilvl w:val="0"/>
          <w:numId w:val="65"/>
        </w:numPr>
        <w:ind w:hanging="720"/>
        <w:jc w:val="both"/>
        <w:rPr>
          <w:rFonts w:ascii="Arial" w:hAnsi="Arial" w:cs="Arial"/>
          <w:sz w:val="22"/>
          <w:szCs w:val="22"/>
        </w:rPr>
      </w:pPr>
      <w:r w:rsidRPr="00041B8E">
        <w:rPr>
          <w:rFonts w:ascii="Arial" w:hAnsi="Arial" w:cs="Arial"/>
          <w:sz w:val="22"/>
          <w:szCs w:val="22"/>
        </w:rPr>
        <w:t>Permanent Erosion (PE)</w:t>
      </w:r>
      <w:r w:rsidR="00330491">
        <w:rPr>
          <w:rFonts w:ascii="Arial" w:hAnsi="Arial" w:cs="Arial"/>
          <w:sz w:val="22"/>
          <w:szCs w:val="22"/>
        </w:rPr>
        <w:t>:  A</w:t>
      </w:r>
      <w:r w:rsidRPr="00041B8E">
        <w:rPr>
          <w:rFonts w:ascii="Arial" w:hAnsi="Arial" w:cs="Arial"/>
          <w:sz w:val="22"/>
          <w:szCs w:val="22"/>
        </w:rPr>
        <w:t xml:space="preserve"> geotextile between energy absorbing armor systems and in the in</w:t>
      </w:r>
      <w:r w:rsidR="00330491">
        <w:rPr>
          <w:rFonts w:ascii="Arial" w:hAnsi="Arial" w:cs="Arial"/>
          <w:sz w:val="22"/>
          <w:szCs w:val="22"/>
        </w:rPr>
        <w:t>-</w:t>
      </w:r>
      <w:r w:rsidRPr="00041B8E">
        <w:rPr>
          <w:rFonts w:ascii="Arial" w:hAnsi="Arial" w:cs="Arial"/>
          <w:sz w:val="22"/>
          <w:szCs w:val="22"/>
        </w:rPr>
        <w:t xml:space="preserve">situ soil to prevent soil loss resulting in excessive scour and to prevent hydraulic uplift pressures causing instability of the permanent erosion control system. </w:t>
      </w:r>
    </w:p>
    <w:p w14:paraId="7C57B6A9" w14:textId="77777777" w:rsidR="00041B8E" w:rsidRPr="00041B8E" w:rsidRDefault="00041B8E" w:rsidP="00BE3F24">
      <w:pPr>
        <w:jc w:val="both"/>
        <w:rPr>
          <w:rFonts w:ascii="Arial" w:hAnsi="Arial" w:cs="Arial"/>
          <w:sz w:val="22"/>
          <w:szCs w:val="22"/>
        </w:rPr>
      </w:pPr>
    </w:p>
    <w:p w14:paraId="4C077A37" w14:textId="77777777" w:rsidR="00041B8E" w:rsidRPr="00CC58A7" w:rsidRDefault="00041B8E" w:rsidP="00172E64">
      <w:pPr>
        <w:pStyle w:val="Heading4"/>
        <w:numPr>
          <w:ilvl w:val="3"/>
          <w:numId w:val="184"/>
        </w:numPr>
        <w:ind w:left="0" w:firstLine="0"/>
      </w:pPr>
      <w:r w:rsidRPr="00CC58A7">
        <w:t>Resource Requirements</w:t>
      </w:r>
    </w:p>
    <w:p w14:paraId="55E868EB" w14:textId="77777777" w:rsidR="00041B8E" w:rsidRDefault="00041B8E" w:rsidP="000A02F1">
      <w:pPr>
        <w:pStyle w:val="BodyText"/>
        <w:spacing w:after="240"/>
        <w:jc w:val="both"/>
      </w:pPr>
      <w:r w:rsidRPr="00CC58A7">
        <w:t xml:space="preserve">The </w:t>
      </w:r>
      <w:r>
        <w:t xml:space="preserve">various geotextiles are typically analyzed to determine which can be the most beneficial and practical for a specific project. </w:t>
      </w:r>
      <w:r w:rsidRPr="00CC58A7">
        <w:t>Th</w:t>
      </w:r>
      <w:r>
        <w:t xml:space="preserve">is procedure </w:t>
      </w:r>
      <w:r w:rsidRPr="00CC58A7">
        <w:t xml:space="preserve">documented below requires the following staffing needs for a typical </w:t>
      </w:r>
      <w:r>
        <w:t>project</w:t>
      </w:r>
      <w:r w:rsidRPr="00CC58A7">
        <w:t>:</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77"/>
        <w:gridCol w:w="2286"/>
        <w:gridCol w:w="1926"/>
        <w:gridCol w:w="1584"/>
      </w:tblGrid>
      <w:tr w:rsidR="00041B8E" w:rsidRPr="00CC58A7" w14:paraId="72A3DBC5" w14:textId="77777777" w:rsidTr="000A02F1">
        <w:trPr>
          <w:trHeight w:val="288"/>
          <w:jc w:val="center"/>
        </w:trPr>
        <w:tc>
          <w:tcPr>
            <w:tcW w:w="2777" w:type="dxa"/>
            <w:shd w:val="pct15" w:color="auto" w:fill="FFFFFF"/>
            <w:vAlign w:val="center"/>
          </w:tcPr>
          <w:p w14:paraId="500DF083" w14:textId="77777777" w:rsidR="00041B8E" w:rsidRPr="00CC58A7" w:rsidRDefault="00041B8E" w:rsidP="00BE3F24">
            <w:pPr>
              <w:jc w:val="center"/>
              <w:rPr>
                <w:rFonts w:ascii="Arial" w:hAnsi="Arial"/>
                <w:b/>
              </w:rPr>
            </w:pPr>
            <w:r w:rsidRPr="00CC58A7">
              <w:rPr>
                <w:rFonts w:ascii="Arial" w:hAnsi="Arial"/>
                <w:b/>
              </w:rPr>
              <w:t>Position</w:t>
            </w:r>
          </w:p>
        </w:tc>
        <w:tc>
          <w:tcPr>
            <w:tcW w:w="2286" w:type="dxa"/>
            <w:shd w:val="pct15" w:color="auto" w:fill="FFFFFF"/>
            <w:vAlign w:val="center"/>
          </w:tcPr>
          <w:p w14:paraId="41D0B612" w14:textId="77777777" w:rsidR="00041B8E" w:rsidRPr="00CC58A7" w:rsidRDefault="00041B8E" w:rsidP="00BE3F24">
            <w:pPr>
              <w:jc w:val="center"/>
              <w:rPr>
                <w:rFonts w:ascii="Arial" w:hAnsi="Arial"/>
                <w:b/>
              </w:rPr>
            </w:pPr>
            <w:r w:rsidRPr="00CC58A7">
              <w:rPr>
                <w:rFonts w:ascii="Arial" w:hAnsi="Arial"/>
                <w:b/>
              </w:rPr>
              <w:t>Function</w:t>
            </w:r>
          </w:p>
        </w:tc>
        <w:tc>
          <w:tcPr>
            <w:tcW w:w="1926" w:type="dxa"/>
            <w:shd w:val="pct15" w:color="auto" w:fill="FFFFFF"/>
            <w:vAlign w:val="center"/>
          </w:tcPr>
          <w:p w14:paraId="7EE59A44" w14:textId="77777777" w:rsidR="00041B8E" w:rsidRPr="00CC58A7" w:rsidRDefault="00041B8E" w:rsidP="00BE3F24">
            <w:pPr>
              <w:jc w:val="center"/>
              <w:rPr>
                <w:rFonts w:ascii="Arial" w:hAnsi="Arial"/>
                <w:b/>
              </w:rPr>
            </w:pPr>
            <w:r w:rsidRPr="00CC58A7">
              <w:rPr>
                <w:rFonts w:ascii="Arial" w:hAnsi="Arial"/>
                <w:b/>
              </w:rPr>
              <w:t>Resources</w:t>
            </w:r>
          </w:p>
        </w:tc>
        <w:tc>
          <w:tcPr>
            <w:tcW w:w="1584" w:type="dxa"/>
            <w:shd w:val="pct15" w:color="auto" w:fill="FFFFFF"/>
            <w:vAlign w:val="center"/>
          </w:tcPr>
          <w:p w14:paraId="495C18B7" w14:textId="77777777" w:rsidR="00041B8E" w:rsidRPr="00CC58A7" w:rsidRDefault="00041B8E" w:rsidP="00BE3F24">
            <w:pPr>
              <w:jc w:val="center"/>
              <w:rPr>
                <w:rFonts w:ascii="Arial" w:hAnsi="Arial"/>
                <w:b/>
              </w:rPr>
            </w:pPr>
            <w:r w:rsidRPr="00CC58A7">
              <w:rPr>
                <w:rFonts w:ascii="Arial" w:hAnsi="Arial"/>
                <w:b/>
              </w:rPr>
              <w:t>Effort Level</w:t>
            </w:r>
          </w:p>
          <w:p w14:paraId="6D2D019D" w14:textId="77777777" w:rsidR="00041B8E" w:rsidRPr="00CC58A7" w:rsidRDefault="00041B8E" w:rsidP="00BE3F24">
            <w:pPr>
              <w:jc w:val="center"/>
              <w:rPr>
                <w:rFonts w:ascii="Arial" w:hAnsi="Arial"/>
                <w:b/>
              </w:rPr>
            </w:pPr>
            <w:r w:rsidRPr="00CC58A7">
              <w:rPr>
                <w:rFonts w:ascii="Arial" w:hAnsi="Arial"/>
                <w:b/>
              </w:rPr>
              <w:t>(man-hours)</w:t>
            </w:r>
          </w:p>
        </w:tc>
      </w:tr>
      <w:tr w:rsidR="00041B8E" w:rsidRPr="00CC58A7" w14:paraId="14938411" w14:textId="77777777" w:rsidTr="000A02F1">
        <w:trPr>
          <w:trHeight w:val="288"/>
          <w:jc w:val="center"/>
        </w:trPr>
        <w:tc>
          <w:tcPr>
            <w:tcW w:w="2777" w:type="dxa"/>
            <w:vAlign w:val="center"/>
          </w:tcPr>
          <w:p w14:paraId="1332F899" w14:textId="77777777" w:rsidR="00041B8E" w:rsidRPr="00CC58A7" w:rsidRDefault="00041B8E" w:rsidP="00BE3F24">
            <w:pPr>
              <w:jc w:val="center"/>
              <w:rPr>
                <w:rFonts w:ascii="Arial" w:hAnsi="Arial"/>
                <w:sz w:val="18"/>
              </w:rPr>
            </w:pPr>
            <w:r>
              <w:rPr>
                <w:rFonts w:ascii="Arial" w:hAnsi="Arial"/>
                <w:sz w:val="18"/>
              </w:rPr>
              <w:t>PAGD Engineer</w:t>
            </w:r>
          </w:p>
        </w:tc>
        <w:tc>
          <w:tcPr>
            <w:tcW w:w="2286" w:type="dxa"/>
            <w:vAlign w:val="center"/>
          </w:tcPr>
          <w:p w14:paraId="2577CBF1" w14:textId="77777777" w:rsidR="00041B8E" w:rsidRPr="00CC58A7" w:rsidRDefault="00041B8E" w:rsidP="00BE3F24">
            <w:pPr>
              <w:jc w:val="center"/>
              <w:rPr>
                <w:rFonts w:ascii="Arial" w:hAnsi="Arial"/>
                <w:sz w:val="18"/>
              </w:rPr>
            </w:pPr>
            <w:r>
              <w:rPr>
                <w:rFonts w:ascii="Arial" w:hAnsi="Arial"/>
                <w:sz w:val="18"/>
              </w:rPr>
              <w:t>Select/Prepare Details</w:t>
            </w:r>
          </w:p>
        </w:tc>
        <w:tc>
          <w:tcPr>
            <w:tcW w:w="1926" w:type="dxa"/>
            <w:vAlign w:val="center"/>
          </w:tcPr>
          <w:p w14:paraId="7FD7A587" w14:textId="77777777" w:rsidR="00041B8E" w:rsidRPr="00CC58A7" w:rsidRDefault="00041B8E" w:rsidP="00BE3F24">
            <w:pPr>
              <w:jc w:val="center"/>
              <w:rPr>
                <w:rFonts w:ascii="Arial" w:hAnsi="Arial"/>
                <w:sz w:val="18"/>
              </w:rPr>
            </w:pPr>
            <w:r w:rsidRPr="00CC58A7">
              <w:rPr>
                <w:rFonts w:ascii="Arial" w:hAnsi="Arial"/>
                <w:sz w:val="18"/>
              </w:rPr>
              <w:t>1</w:t>
            </w:r>
          </w:p>
        </w:tc>
        <w:tc>
          <w:tcPr>
            <w:tcW w:w="1584" w:type="dxa"/>
            <w:vAlign w:val="center"/>
          </w:tcPr>
          <w:p w14:paraId="0EF6291A" w14:textId="77777777" w:rsidR="00041B8E" w:rsidRPr="00CC58A7" w:rsidRDefault="00041B8E" w:rsidP="00BE3F24">
            <w:pPr>
              <w:jc w:val="center"/>
              <w:rPr>
                <w:rFonts w:ascii="Arial" w:hAnsi="Arial"/>
                <w:sz w:val="18"/>
              </w:rPr>
            </w:pPr>
            <w:r>
              <w:rPr>
                <w:rFonts w:ascii="Arial" w:hAnsi="Arial"/>
                <w:sz w:val="18"/>
              </w:rPr>
              <w:t>8*</w:t>
            </w:r>
          </w:p>
        </w:tc>
      </w:tr>
    </w:tbl>
    <w:p w14:paraId="433B9235" w14:textId="4DA3F677" w:rsidR="00041B8E" w:rsidRDefault="00041B8E" w:rsidP="00131450">
      <w:pPr>
        <w:ind w:left="540" w:hanging="540"/>
        <w:rPr>
          <w:rFonts w:ascii="Arial" w:hAnsi="Arial"/>
          <w:sz w:val="18"/>
          <w:szCs w:val="18"/>
        </w:rPr>
      </w:pPr>
      <w:r>
        <w:rPr>
          <w:rFonts w:ascii="Arial" w:hAnsi="Arial"/>
          <w:sz w:val="18"/>
          <w:szCs w:val="18"/>
        </w:rPr>
        <w:t xml:space="preserve">      </w:t>
      </w:r>
      <w:r w:rsidRPr="00D931A0">
        <w:rPr>
          <w:rFonts w:ascii="Arial" w:hAnsi="Arial"/>
          <w:sz w:val="18"/>
          <w:szCs w:val="18"/>
        </w:rPr>
        <w:t xml:space="preserve">* </w:t>
      </w:r>
      <w:r w:rsidR="008042B1">
        <w:rPr>
          <w:rFonts w:ascii="Arial" w:hAnsi="Arial"/>
          <w:sz w:val="18"/>
          <w:szCs w:val="18"/>
        </w:rPr>
        <w:tab/>
      </w:r>
      <w:r w:rsidRPr="00D931A0">
        <w:rPr>
          <w:rFonts w:ascii="Arial" w:hAnsi="Arial"/>
          <w:sz w:val="18"/>
          <w:szCs w:val="18"/>
        </w:rPr>
        <w:t>The time required would vary depending on the size and complexity of a project.</w:t>
      </w:r>
      <w:r w:rsidRPr="00BA0A14">
        <w:rPr>
          <w:rFonts w:ascii="Arial" w:hAnsi="Arial"/>
          <w:sz w:val="18"/>
          <w:szCs w:val="18"/>
        </w:rPr>
        <w:t xml:space="preserve"> </w:t>
      </w:r>
      <w:r>
        <w:rPr>
          <w:rFonts w:ascii="Arial" w:hAnsi="Arial"/>
          <w:sz w:val="18"/>
          <w:szCs w:val="18"/>
        </w:rPr>
        <w:t>Additional site visit</w:t>
      </w:r>
      <w:r w:rsidR="001D69CD">
        <w:rPr>
          <w:rFonts w:ascii="Arial" w:hAnsi="Arial"/>
          <w:sz w:val="18"/>
          <w:szCs w:val="18"/>
        </w:rPr>
        <w:t xml:space="preserve"> may be</w:t>
      </w:r>
      <w:r>
        <w:rPr>
          <w:rFonts w:ascii="Arial" w:hAnsi="Arial"/>
          <w:sz w:val="18"/>
          <w:szCs w:val="18"/>
        </w:rPr>
        <w:t xml:space="preserve"> required.</w:t>
      </w:r>
    </w:p>
    <w:p w14:paraId="376FEC80" w14:textId="77777777" w:rsidR="00041B8E" w:rsidRPr="00A85D43" w:rsidRDefault="00041B8E" w:rsidP="00BE3F24">
      <w:pPr>
        <w:rPr>
          <w:rFonts w:ascii="Arial" w:hAnsi="Arial"/>
          <w:sz w:val="18"/>
          <w:szCs w:val="18"/>
        </w:rPr>
      </w:pPr>
    </w:p>
    <w:p w14:paraId="5BD0B0B5" w14:textId="77777777" w:rsidR="00041B8E" w:rsidRPr="00CC58A7" w:rsidRDefault="00041B8E" w:rsidP="00172E64">
      <w:pPr>
        <w:pStyle w:val="Heading4"/>
        <w:numPr>
          <w:ilvl w:val="3"/>
          <w:numId w:val="184"/>
        </w:numPr>
        <w:ind w:left="0" w:firstLine="0"/>
      </w:pPr>
      <w:r w:rsidRPr="00CC58A7">
        <w:t>Procedure</w:t>
      </w:r>
    </w:p>
    <w:p w14:paraId="7017F128" w14:textId="26330AD3" w:rsidR="00041B8E" w:rsidRPr="00CC58A7" w:rsidRDefault="00041B8E" w:rsidP="00BE3F24">
      <w:pPr>
        <w:pStyle w:val="BodyText"/>
        <w:jc w:val="both"/>
      </w:pPr>
      <w:r w:rsidRPr="00CC58A7">
        <w:t xml:space="preserve">The procedure </w:t>
      </w:r>
      <w:r w:rsidRPr="00004850">
        <w:t>described</w:t>
      </w:r>
      <w:r w:rsidR="00330491">
        <w:t xml:space="preserve"> below</w:t>
      </w:r>
      <w:r w:rsidRPr="00004850">
        <w:t xml:space="preserve"> should be followed when </w:t>
      </w:r>
      <w:r>
        <w:t>selecting geotextiles for a specific project.</w:t>
      </w:r>
      <w:r w:rsidRPr="00CC58A7">
        <w:t xml:space="preserve">     </w:t>
      </w:r>
    </w:p>
    <w:p w14:paraId="618B90D4" w14:textId="77777777" w:rsidR="00041B8E" w:rsidRDefault="00041B8E" w:rsidP="00BE3F24">
      <w:pPr>
        <w:pStyle w:val="BodyText"/>
        <w:jc w:val="both"/>
      </w:pPr>
      <w:r w:rsidRPr="0021416D">
        <w:t xml:space="preserve">Follow the steps below to </w:t>
      </w:r>
      <w:r>
        <w:t>select geotextiles</w:t>
      </w:r>
      <w:r w:rsidRPr="0021416D">
        <w:t>:</w:t>
      </w:r>
    </w:p>
    <w:p w14:paraId="423FF440" w14:textId="77777777" w:rsidR="001A15B9" w:rsidRDefault="00041B8E" w:rsidP="00172E64">
      <w:pPr>
        <w:pStyle w:val="ListNumber"/>
        <w:numPr>
          <w:ilvl w:val="0"/>
          <w:numId w:val="64"/>
        </w:numPr>
        <w:spacing w:before="240"/>
        <w:ind w:left="1080" w:hanging="1080"/>
        <w:jc w:val="both"/>
      </w:pPr>
      <w:r>
        <w:t xml:space="preserve">Complete steps in </w:t>
      </w:r>
      <w:hyperlink w:anchor="_Surface_and_Subsurface" w:history="1">
        <w:r w:rsidRPr="00041B8E">
          <w:rPr>
            <w:rStyle w:val="Hyperlink"/>
          </w:rPr>
          <w:t>Surface and Subsurface Conditions</w:t>
        </w:r>
      </w:hyperlink>
      <w:r w:rsidRPr="00D268D9">
        <w:t>.</w:t>
      </w:r>
    </w:p>
    <w:p w14:paraId="2A8A0FEC" w14:textId="0F330118" w:rsidR="001A15B9" w:rsidRDefault="00041B8E" w:rsidP="00172E64">
      <w:pPr>
        <w:pStyle w:val="ListNumber"/>
        <w:numPr>
          <w:ilvl w:val="0"/>
          <w:numId w:val="64"/>
        </w:numPr>
        <w:tabs>
          <w:tab w:val="clear" w:pos="1872"/>
          <w:tab w:val="left" w:pos="1890"/>
        </w:tabs>
        <w:ind w:left="1080" w:hanging="1080"/>
        <w:jc w:val="both"/>
      </w:pPr>
      <w:r>
        <w:t xml:space="preserve">Discuss project with Team Leader and Engineering Geology Division (EGD) for </w:t>
      </w:r>
      <w:r w:rsidRPr="00884BD1">
        <w:t xml:space="preserve">the locations and type of </w:t>
      </w:r>
      <w:hyperlink w:anchor="_Reference_Guidelines" w:history="1">
        <w:r w:rsidRPr="00E05BED">
          <w:rPr>
            <w:rStyle w:val="Hyperlink"/>
          </w:rPr>
          <w:t>geotextile</w:t>
        </w:r>
      </w:hyperlink>
      <w:r w:rsidR="008042B1">
        <w:rPr>
          <w:rStyle w:val="Hyperlink"/>
        </w:rPr>
        <w:t>(</w:t>
      </w:r>
      <w:r w:rsidR="008042B1" w:rsidRPr="000A02F1">
        <w:rPr>
          <w:rStyle w:val="Hyperlink"/>
        </w:rPr>
        <w:t>s</w:t>
      </w:r>
      <w:r w:rsidR="008042B1">
        <w:rPr>
          <w:rStyle w:val="Hyperlink"/>
        </w:rPr>
        <w:t>)</w:t>
      </w:r>
      <w:r w:rsidRPr="00884BD1">
        <w:t xml:space="preserve"> required on </w:t>
      </w:r>
      <w:r w:rsidRPr="00E544EC">
        <w:t xml:space="preserve">the project based on the site conditions. </w:t>
      </w:r>
      <w:r w:rsidR="002403BE">
        <w:t xml:space="preserve">Refer to </w:t>
      </w:r>
      <w:hyperlink w:anchor="_Geotextile_Properties" w:history="1">
        <w:r w:rsidR="0043649B" w:rsidRPr="0043649B">
          <w:rPr>
            <w:rStyle w:val="Hyperlink"/>
          </w:rPr>
          <w:t>Geotextile Properties</w:t>
        </w:r>
      </w:hyperlink>
      <w:r w:rsidRPr="00E544EC">
        <w:t>.</w:t>
      </w:r>
      <w:r w:rsidR="00B653DA">
        <w:t xml:space="preserve">  </w:t>
      </w:r>
      <w:r w:rsidR="00E05BED">
        <w:t xml:space="preserve">Refer to </w:t>
      </w:r>
      <w:hyperlink w:anchor="_Reference_Guidelines" w:history="1">
        <w:r w:rsidR="00E05BED" w:rsidRPr="00E05BED">
          <w:rPr>
            <w:rStyle w:val="Hyperlink"/>
          </w:rPr>
          <w:t>Reference Guidelines</w:t>
        </w:r>
      </w:hyperlink>
      <w:r w:rsidR="00E05BED">
        <w:t xml:space="preserve"> for additional reference</w:t>
      </w:r>
      <w:r w:rsidR="00B653DA">
        <w:t xml:space="preserve"> information.</w:t>
      </w:r>
    </w:p>
    <w:p w14:paraId="0D918DF4" w14:textId="77777777" w:rsidR="001A15B9" w:rsidRDefault="00041B8E" w:rsidP="00172E64">
      <w:pPr>
        <w:pStyle w:val="ListNumber"/>
        <w:numPr>
          <w:ilvl w:val="0"/>
          <w:numId w:val="64"/>
        </w:numPr>
        <w:ind w:left="1080" w:hanging="1080"/>
        <w:jc w:val="both"/>
      </w:pPr>
      <w:r w:rsidRPr="00E544EC">
        <w:t>Include the detail, location, and SP for the selected geotextile</w:t>
      </w:r>
      <w:r>
        <w:t>(s) as part of the FGR.</w:t>
      </w:r>
    </w:p>
    <w:p w14:paraId="23FF8C7B" w14:textId="60D028E7" w:rsidR="001A15B9" w:rsidRDefault="00041B8E" w:rsidP="00172E64">
      <w:pPr>
        <w:pStyle w:val="ListNumber"/>
        <w:numPr>
          <w:ilvl w:val="0"/>
          <w:numId w:val="64"/>
        </w:numPr>
        <w:ind w:left="1080" w:hanging="1080"/>
        <w:jc w:val="both"/>
      </w:pPr>
      <w:r>
        <w:lastRenderedPageBreak/>
        <w:t xml:space="preserve">Review the Final Review submittal to ensure inclusion of details, locations, and SP as per the FGR. </w:t>
      </w:r>
    </w:p>
    <w:p w14:paraId="2CBE0AB3" w14:textId="77777777" w:rsidR="006F77F3" w:rsidRDefault="006F77F3" w:rsidP="006F77F3">
      <w:pPr>
        <w:pStyle w:val="ListNumber"/>
        <w:tabs>
          <w:tab w:val="clear" w:pos="720"/>
        </w:tabs>
        <w:ind w:left="1080" w:firstLine="0"/>
        <w:jc w:val="both"/>
      </w:pPr>
    </w:p>
    <w:p w14:paraId="1DBCFF10" w14:textId="77777777" w:rsidR="00041B8E" w:rsidRPr="000572A5" w:rsidRDefault="00041B8E" w:rsidP="00172E64">
      <w:pPr>
        <w:pStyle w:val="Heading3"/>
        <w:numPr>
          <w:ilvl w:val="2"/>
          <w:numId w:val="184"/>
        </w:numPr>
        <w:spacing w:before="0"/>
        <w:ind w:left="0" w:firstLine="0"/>
      </w:pPr>
      <w:r w:rsidRPr="000572A5">
        <w:t>Compaction Charts (Family of Curves)</w:t>
      </w:r>
    </w:p>
    <w:p w14:paraId="4FC056C1" w14:textId="77777777" w:rsidR="00041B8E" w:rsidRDefault="00041B8E" w:rsidP="00172E64">
      <w:pPr>
        <w:pStyle w:val="Heading4"/>
        <w:numPr>
          <w:ilvl w:val="3"/>
          <w:numId w:val="184"/>
        </w:numPr>
        <w:spacing w:before="240"/>
        <w:ind w:left="0" w:firstLine="0"/>
      </w:pPr>
      <w:r>
        <w:t>General</w:t>
      </w:r>
    </w:p>
    <w:p w14:paraId="20CCFCE9" w14:textId="50527034" w:rsidR="00041B8E" w:rsidRPr="00041B8E" w:rsidRDefault="00041B8E" w:rsidP="00BE3F24">
      <w:pPr>
        <w:autoSpaceDE w:val="0"/>
        <w:autoSpaceDN w:val="0"/>
        <w:adjustRightInd w:val="0"/>
        <w:jc w:val="both"/>
        <w:rPr>
          <w:rFonts w:ascii="Arial" w:hAnsi="Arial" w:cs="Arial"/>
          <w:sz w:val="22"/>
          <w:szCs w:val="22"/>
        </w:rPr>
      </w:pPr>
      <w:r w:rsidRPr="00041B8E">
        <w:rPr>
          <w:rFonts w:ascii="Arial" w:hAnsi="Arial" w:cs="Arial"/>
          <w:sz w:val="22"/>
          <w:szCs w:val="22"/>
        </w:rPr>
        <w:t>This procedure provides for a rapid determination of the maximum density and optimum moisture content of a soil sample utilizing a family of curves and a one-point determination in accordance with AASHTO T</w:t>
      </w:r>
      <w:r w:rsidR="00330491">
        <w:rPr>
          <w:rFonts w:ascii="Arial" w:hAnsi="Arial" w:cs="Arial"/>
          <w:sz w:val="22"/>
          <w:szCs w:val="22"/>
        </w:rPr>
        <w:t>-</w:t>
      </w:r>
      <w:r w:rsidRPr="00041B8E">
        <w:rPr>
          <w:rFonts w:ascii="Arial" w:hAnsi="Arial" w:cs="Arial"/>
          <w:sz w:val="22"/>
          <w:szCs w:val="22"/>
        </w:rPr>
        <w:t>272. This procedure is related to AASHTO T</w:t>
      </w:r>
      <w:r w:rsidR="00330491">
        <w:rPr>
          <w:rFonts w:ascii="Arial" w:hAnsi="Arial" w:cs="Arial"/>
          <w:sz w:val="22"/>
          <w:szCs w:val="22"/>
        </w:rPr>
        <w:t>-</w:t>
      </w:r>
      <w:r w:rsidRPr="00041B8E">
        <w:rPr>
          <w:rFonts w:ascii="Arial" w:hAnsi="Arial" w:cs="Arial"/>
          <w:sz w:val="22"/>
          <w:szCs w:val="22"/>
        </w:rPr>
        <w:t>99, and AASHTO T</w:t>
      </w:r>
      <w:r w:rsidR="00330491">
        <w:rPr>
          <w:rFonts w:ascii="Arial" w:hAnsi="Arial" w:cs="Arial"/>
          <w:sz w:val="22"/>
          <w:szCs w:val="22"/>
        </w:rPr>
        <w:t>-</w:t>
      </w:r>
      <w:r w:rsidRPr="00041B8E">
        <w:rPr>
          <w:rFonts w:ascii="Arial" w:hAnsi="Arial" w:cs="Arial"/>
          <w:sz w:val="22"/>
          <w:szCs w:val="22"/>
        </w:rPr>
        <w:t>180. One-point determinations are made by compacting the soil in a mold of a given size with a specified rammer dropped from a specified height. Four alternate methods – A, B, C, and D – are used and correspond to the methods described in AASHTO T</w:t>
      </w:r>
      <w:r w:rsidR="00330491">
        <w:rPr>
          <w:rFonts w:ascii="Arial" w:hAnsi="Arial" w:cs="Arial"/>
          <w:sz w:val="22"/>
          <w:szCs w:val="22"/>
        </w:rPr>
        <w:t>-</w:t>
      </w:r>
      <w:r w:rsidRPr="00041B8E">
        <w:rPr>
          <w:rFonts w:ascii="Arial" w:hAnsi="Arial" w:cs="Arial"/>
          <w:sz w:val="22"/>
          <w:szCs w:val="22"/>
        </w:rPr>
        <w:t xml:space="preserve">99 or </w:t>
      </w:r>
      <w:r w:rsidR="00330491" w:rsidRPr="00041B8E">
        <w:rPr>
          <w:rFonts w:ascii="Arial" w:hAnsi="Arial" w:cs="Arial"/>
          <w:sz w:val="22"/>
          <w:szCs w:val="22"/>
        </w:rPr>
        <w:t>T</w:t>
      </w:r>
      <w:r w:rsidR="00330491">
        <w:rPr>
          <w:rFonts w:ascii="Arial" w:hAnsi="Arial" w:cs="Arial"/>
          <w:sz w:val="22"/>
          <w:szCs w:val="22"/>
        </w:rPr>
        <w:t>-</w:t>
      </w:r>
      <w:r w:rsidRPr="00041B8E">
        <w:rPr>
          <w:rFonts w:ascii="Arial" w:hAnsi="Arial" w:cs="Arial"/>
          <w:sz w:val="22"/>
          <w:szCs w:val="22"/>
        </w:rPr>
        <w:t xml:space="preserve">180. The method used in AASHTO </w:t>
      </w:r>
      <w:r w:rsidR="00330491" w:rsidRPr="00041B8E">
        <w:rPr>
          <w:rFonts w:ascii="Arial" w:hAnsi="Arial" w:cs="Arial"/>
          <w:sz w:val="22"/>
          <w:szCs w:val="22"/>
        </w:rPr>
        <w:t>T</w:t>
      </w:r>
      <w:r w:rsidR="00330491">
        <w:rPr>
          <w:rFonts w:ascii="Arial" w:hAnsi="Arial" w:cs="Arial"/>
          <w:sz w:val="22"/>
          <w:szCs w:val="22"/>
        </w:rPr>
        <w:t>-</w:t>
      </w:r>
      <w:r w:rsidRPr="00041B8E">
        <w:rPr>
          <w:rFonts w:ascii="Arial" w:hAnsi="Arial" w:cs="Arial"/>
          <w:sz w:val="22"/>
          <w:szCs w:val="22"/>
        </w:rPr>
        <w:t xml:space="preserve">272 must match the method used in AASHTO </w:t>
      </w:r>
      <w:r w:rsidR="00330491" w:rsidRPr="00041B8E">
        <w:rPr>
          <w:rFonts w:ascii="Arial" w:hAnsi="Arial" w:cs="Arial"/>
          <w:sz w:val="22"/>
          <w:szCs w:val="22"/>
        </w:rPr>
        <w:t>T</w:t>
      </w:r>
      <w:r w:rsidR="00330491">
        <w:rPr>
          <w:rFonts w:ascii="Arial" w:hAnsi="Arial" w:cs="Arial"/>
          <w:sz w:val="22"/>
          <w:szCs w:val="22"/>
        </w:rPr>
        <w:t>-</w:t>
      </w:r>
      <w:r w:rsidRPr="00041B8E">
        <w:rPr>
          <w:rFonts w:ascii="Arial" w:hAnsi="Arial" w:cs="Arial"/>
          <w:sz w:val="22"/>
          <w:szCs w:val="22"/>
        </w:rPr>
        <w:t xml:space="preserve">99 or </w:t>
      </w:r>
      <w:r w:rsidR="00330491" w:rsidRPr="00041B8E">
        <w:rPr>
          <w:rFonts w:ascii="Arial" w:hAnsi="Arial" w:cs="Arial"/>
          <w:sz w:val="22"/>
          <w:szCs w:val="22"/>
        </w:rPr>
        <w:t>T</w:t>
      </w:r>
      <w:r w:rsidR="00330491">
        <w:rPr>
          <w:rFonts w:ascii="Arial" w:hAnsi="Arial" w:cs="Arial"/>
          <w:sz w:val="22"/>
          <w:szCs w:val="22"/>
        </w:rPr>
        <w:t>-</w:t>
      </w:r>
      <w:r w:rsidRPr="00041B8E">
        <w:rPr>
          <w:rFonts w:ascii="Arial" w:hAnsi="Arial" w:cs="Arial"/>
          <w:sz w:val="22"/>
          <w:szCs w:val="22"/>
        </w:rPr>
        <w:t xml:space="preserve">180. </w:t>
      </w:r>
    </w:p>
    <w:p w14:paraId="730F4577" w14:textId="77777777" w:rsidR="00041B8E" w:rsidRDefault="00041B8E" w:rsidP="00916953"/>
    <w:p w14:paraId="2BE8E9BB" w14:textId="77777777" w:rsidR="00041B8E" w:rsidRDefault="00041B8E" w:rsidP="00172E64">
      <w:pPr>
        <w:pStyle w:val="Heading4"/>
        <w:numPr>
          <w:ilvl w:val="3"/>
          <w:numId w:val="184"/>
        </w:numPr>
        <w:ind w:left="0" w:firstLine="0"/>
      </w:pPr>
      <w:r>
        <w:t>Purpose</w:t>
      </w:r>
    </w:p>
    <w:p w14:paraId="215B7C62" w14:textId="77777777" w:rsidR="00041B8E" w:rsidRDefault="00041B8E" w:rsidP="00BE3F24">
      <w:pPr>
        <w:pStyle w:val="BodyText"/>
        <w:spacing w:after="0"/>
      </w:pPr>
      <w:r>
        <w:t>Families of Curves are needed to:</w:t>
      </w:r>
    </w:p>
    <w:p w14:paraId="3506720B" w14:textId="05A74F0A" w:rsidR="00FE07DE" w:rsidRDefault="00FE07DE" w:rsidP="00BE3F24">
      <w:pPr>
        <w:pStyle w:val="BodyText"/>
        <w:spacing w:after="0"/>
      </w:pPr>
    </w:p>
    <w:p w14:paraId="4DBF8016" w14:textId="5D5801A9" w:rsidR="00041B8E" w:rsidRPr="00A42B5F" w:rsidRDefault="00330491" w:rsidP="00172E64">
      <w:pPr>
        <w:pStyle w:val="ListParagraph"/>
        <w:numPr>
          <w:ilvl w:val="0"/>
          <w:numId w:val="84"/>
        </w:numPr>
        <w:ind w:left="720" w:hanging="720"/>
        <w:jc w:val="both"/>
      </w:pPr>
      <w:r w:rsidRPr="001F6378">
        <w:rPr>
          <w:rFonts w:ascii="Arial" w:hAnsi="Arial" w:cs="Arial"/>
          <w:sz w:val="22"/>
          <w:szCs w:val="22"/>
        </w:rPr>
        <w:t>P</w:t>
      </w:r>
      <w:r w:rsidR="00041B8E" w:rsidRPr="001F6378">
        <w:rPr>
          <w:rFonts w:ascii="Arial" w:hAnsi="Arial" w:cs="Arial"/>
          <w:sz w:val="22"/>
          <w:szCs w:val="22"/>
        </w:rPr>
        <w:t>rovide</w:t>
      </w:r>
      <w:r w:rsidR="00041B8E" w:rsidRPr="000A02F1">
        <w:rPr>
          <w:rFonts w:ascii="Arial" w:hAnsi="Arial"/>
          <w:sz w:val="22"/>
        </w:rPr>
        <w:t xml:space="preserve"> the project inspector and laboratory personnel with a graphic guide of the maximum dry densities at the corresponding moisture contents which are expected to be encountered on a project.</w:t>
      </w:r>
    </w:p>
    <w:p w14:paraId="46A1A695" w14:textId="162AA845" w:rsidR="00041B8E" w:rsidRPr="00A42B5F" w:rsidRDefault="00330491" w:rsidP="00172E64">
      <w:pPr>
        <w:pStyle w:val="ListParagraph"/>
        <w:numPr>
          <w:ilvl w:val="0"/>
          <w:numId w:val="84"/>
        </w:numPr>
        <w:ind w:left="720" w:hanging="720"/>
        <w:jc w:val="both"/>
      </w:pPr>
      <w:r w:rsidRPr="001F6378">
        <w:rPr>
          <w:rFonts w:ascii="Arial" w:hAnsi="Arial" w:cs="Arial"/>
          <w:sz w:val="22"/>
          <w:szCs w:val="22"/>
        </w:rPr>
        <w:t>C</w:t>
      </w:r>
      <w:r w:rsidR="00041B8E" w:rsidRPr="001F6378">
        <w:rPr>
          <w:rFonts w:ascii="Arial" w:hAnsi="Arial" w:cs="Arial"/>
          <w:sz w:val="22"/>
          <w:szCs w:val="22"/>
        </w:rPr>
        <w:t>heck</w:t>
      </w:r>
      <w:r w:rsidR="00041B8E" w:rsidRPr="000A02F1">
        <w:rPr>
          <w:rFonts w:ascii="Arial" w:hAnsi="Arial"/>
          <w:sz w:val="22"/>
        </w:rPr>
        <w:t xml:space="preserve"> the compaction for an embankment as a </w:t>
      </w:r>
      <w:r w:rsidR="00041B8E" w:rsidRPr="001F6378">
        <w:rPr>
          <w:rFonts w:ascii="Arial" w:hAnsi="Arial" w:cs="Arial"/>
          <w:sz w:val="22"/>
          <w:szCs w:val="22"/>
        </w:rPr>
        <w:t>result</w:t>
      </w:r>
      <w:r w:rsidR="00041B8E" w:rsidRPr="000A02F1">
        <w:rPr>
          <w:rFonts w:ascii="Arial" w:hAnsi="Arial"/>
          <w:sz w:val="22"/>
        </w:rPr>
        <w:t xml:space="preserve"> of a one</w:t>
      </w:r>
      <w:r w:rsidRPr="001F6378">
        <w:rPr>
          <w:rFonts w:ascii="Arial" w:hAnsi="Arial" w:cs="Arial"/>
          <w:sz w:val="22"/>
          <w:szCs w:val="22"/>
        </w:rPr>
        <w:t>-</w:t>
      </w:r>
      <w:r w:rsidR="00041B8E" w:rsidRPr="000A02F1">
        <w:rPr>
          <w:rFonts w:ascii="Arial" w:hAnsi="Arial"/>
          <w:sz w:val="22"/>
        </w:rPr>
        <w:t xml:space="preserve">step </w:t>
      </w:r>
      <w:r w:rsidRPr="001F6378">
        <w:rPr>
          <w:rFonts w:ascii="Arial" w:hAnsi="Arial" w:cs="Arial"/>
          <w:sz w:val="22"/>
          <w:szCs w:val="22"/>
        </w:rPr>
        <w:t>Proctor</w:t>
      </w:r>
      <w:r w:rsidRPr="000A02F1">
        <w:rPr>
          <w:rFonts w:ascii="Arial" w:hAnsi="Arial"/>
          <w:sz w:val="22"/>
        </w:rPr>
        <w:t xml:space="preserve"> </w:t>
      </w:r>
      <w:r w:rsidR="00041B8E" w:rsidRPr="000A02F1">
        <w:rPr>
          <w:rFonts w:ascii="Arial" w:hAnsi="Arial"/>
          <w:sz w:val="22"/>
        </w:rPr>
        <w:t>using material taken from in-place and compacting it to an in-place density test from the same location.</w:t>
      </w:r>
    </w:p>
    <w:p w14:paraId="42806CC2" w14:textId="77777777" w:rsidR="00041B8E" w:rsidRDefault="00041B8E" w:rsidP="00916953"/>
    <w:p w14:paraId="53D92505" w14:textId="77777777" w:rsidR="00041B8E" w:rsidRPr="00CC58A7" w:rsidRDefault="00041B8E" w:rsidP="00172E64">
      <w:pPr>
        <w:pStyle w:val="Heading4"/>
        <w:numPr>
          <w:ilvl w:val="3"/>
          <w:numId w:val="184"/>
        </w:numPr>
        <w:ind w:left="0" w:firstLine="0"/>
      </w:pPr>
      <w:r w:rsidRPr="00CC58A7">
        <w:t>Resource Requirements</w:t>
      </w:r>
    </w:p>
    <w:p w14:paraId="4C6E02CA" w14:textId="77777777" w:rsidR="00041B8E" w:rsidRDefault="00041B8E" w:rsidP="00BE3F24">
      <w:pPr>
        <w:pStyle w:val="BodyText"/>
        <w:spacing w:after="0"/>
        <w:jc w:val="both"/>
      </w:pPr>
      <w:r w:rsidRPr="00CC58A7">
        <w:t>Th</w:t>
      </w:r>
      <w:r>
        <w:t xml:space="preserve">is procedure </w:t>
      </w:r>
      <w:r w:rsidRPr="00CC58A7">
        <w:t xml:space="preserve">documented below requires the following staffing needs for a typical </w:t>
      </w:r>
      <w:r>
        <w:t>project</w:t>
      </w:r>
      <w:r w:rsidRPr="00CC58A7">
        <w:t>:</w:t>
      </w:r>
    </w:p>
    <w:p w14:paraId="336DCE49" w14:textId="77777777" w:rsidR="00041B8E" w:rsidRPr="00CC58A7" w:rsidRDefault="00041B8E" w:rsidP="00BE3F24">
      <w:pPr>
        <w:pStyle w:val="BodyText"/>
        <w:spacing w:after="0"/>
        <w:jc w:val="both"/>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5"/>
        <w:gridCol w:w="1980"/>
        <w:gridCol w:w="1800"/>
        <w:gridCol w:w="1710"/>
      </w:tblGrid>
      <w:tr w:rsidR="00115674" w:rsidRPr="00CC58A7" w14:paraId="06D5D823" w14:textId="77777777" w:rsidTr="00330491">
        <w:trPr>
          <w:trHeight w:val="288"/>
          <w:jc w:val="center"/>
        </w:trPr>
        <w:tc>
          <w:tcPr>
            <w:tcW w:w="3055" w:type="dxa"/>
            <w:shd w:val="pct15" w:color="auto" w:fill="FFFFFF"/>
            <w:vAlign w:val="center"/>
          </w:tcPr>
          <w:p w14:paraId="168F8443" w14:textId="77777777" w:rsidR="00041B8E" w:rsidRPr="00CC58A7" w:rsidRDefault="00041B8E" w:rsidP="00BE3F24">
            <w:pPr>
              <w:jc w:val="center"/>
              <w:rPr>
                <w:rFonts w:ascii="Arial" w:hAnsi="Arial"/>
                <w:b/>
              </w:rPr>
            </w:pPr>
            <w:r w:rsidRPr="00CC58A7">
              <w:rPr>
                <w:rFonts w:ascii="Arial" w:hAnsi="Arial"/>
                <w:b/>
              </w:rPr>
              <w:t>Position</w:t>
            </w:r>
          </w:p>
        </w:tc>
        <w:tc>
          <w:tcPr>
            <w:tcW w:w="1980" w:type="dxa"/>
            <w:shd w:val="pct15" w:color="auto" w:fill="FFFFFF"/>
            <w:vAlign w:val="center"/>
          </w:tcPr>
          <w:p w14:paraId="1AD1CB98" w14:textId="77777777" w:rsidR="00041B8E" w:rsidRPr="00CC58A7" w:rsidRDefault="00041B8E" w:rsidP="00BE3F24">
            <w:pPr>
              <w:jc w:val="center"/>
              <w:rPr>
                <w:rFonts w:ascii="Arial" w:hAnsi="Arial"/>
                <w:b/>
              </w:rPr>
            </w:pPr>
            <w:r w:rsidRPr="00CC58A7">
              <w:rPr>
                <w:rFonts w:ascii="Arial" w:hAnsi="Arial"/>
                <w:b/>
              </w:rPr>
              <w:t>Function</w:t>
            </w:r>
          </w:p>
        </w:tc>
        <w:tc>
          <w:tcPr>
            <w:tcW w:w="1800" w:type="dxa"/>
            <w:shd w:val="pct15" w:color="auto" w:fill="FFFFFF"/>
            <w:vAlign w:val="center"/>
          </w:tcPr>
          <w:p w14:paraId="7D7C441B" w14:textId="77777777" w:rsidR="00041B8E" w:rsidRPr="00CC58A7" w:rsidRDefault="00041B8E" w:rsidP="00BE3F24">
            <w:pPr>
              <w:jc w:val="center"/>
              <w:rPr>
                <w:rFonts w:ascii="Arial" w:hAnsi="Arial"/>
                <w:b/>
              </w:rPr>
            </w:pPr>
            <w:r w:rsidRPr="00CC58A7">
              <w:rPr>
                <w:rFonts w:ascii="Arial" w:hAnsi="Arial"/>
                <w:b/>
              </w:rPr>
              <w:t>Resources</w:t>
            </w:r>
          </w:p>
        </w:tc>
        <w:tc>
          <w:tcPr>
            <w:tcW w:w="1710" w:type="dxa"/>
            <w:shd w:val="pct15" w:color="auto" w:fill="FFFFFF"/>
            <w:vAlign w:val="center"/>
          </w:tcPr>
          <w:p w14:paraId="234DC15D" w14:textId="77777777" w:rsidR="00041B8E" w:rsidRPr="00CC58A7" w:rsidRDefault="00041B8E" w:rsidP="00BE3F24">
            <w:pPr>
              <w:jc w:val="center"/>
              <w:rPr>
                <w:rFonts w:ascii="Arial" w:hAnsi="Arial"/>
                <w:b/>
              </w:rPr>
            </w:pPr>
            <w:r w:rsidRPr="00CC58A7">
              <w:rPr>
                <w:rFonts w:ascii="Arial" w:hAnsi="Arial"/>
                <w:b/>
              </w:rPr>
              <w:t>Effort Level</w:t>
            </w:r>
          </w:p>
          <w:p w14:paraId="78FFC281" w14:textId="77777777" w:rsidR="00041B8E" w:rsidRPr="00CC58A7" w:rsidRDefault="00041B8E" w:rsidP="00BE3F24">
            <w:pPr>
              <w:jc w:val="center"/>
              <w:rPr>
                <w:rFonts w:ascii="Arial" w:hAnsi="Arial"/>
                <w:b/>
              </w:rPr>
            </w:pPr>
            <w:r w:rsidRPr="00CC58A7">
              <w:rPr>
                <w:rFonts w:ascii="Arial" w:hAnsi="Arial"/>
                <w:b/>
              </w:rPr>
              <w:t>(man-hours)</w:t>
            </w:r>
          </w:p>
        </w:tc>
      </w:tr>
      <w:tr w:rsidR="00041B8E" w:rsidRPr="00CC58A7" w14:paraId="7C43A34A" w14:textId="77777777" w:rsidTr="000A02F1">
        <w:trPr>
          <w:trHeight w:val="288"/>
          <w:jc w:val="center"/>
        </w:trPr>
        <w:tc>
          <w:tcPr>
            <w:tcW w:w="3055" w:type="dxa"/>
            <w:vAlign w:val="center"/>
          </w:tcPr>
          <w:p w14:paraId="54D16133" w14:textId="77777777" w:rsidR="00041B8E" w:rsidRPr="000572A5" w:rsidRDefault="00041B8E" w:rsidP="00BE3F24">
            <w:pPr>
              <w:jc w:val="center"/>
              <w:rPr>
                <w:rFonts w:ascii="Arial" w:hAnsi="Arial"/>
                <w:sz w:val="18"/>
              </w:rPr>
            </w:pPr>
            <w:r w:rsidRPr="000572A5">
              <w:rPr>
                <w:rFonts w:ascii="Arial" w:hAnsi="Arial"/>
                <w:sz w:val="18"/>
              </w:rPr>
              <w:t>Staff Engineer or Project Engineer</w:t>
            </w:r>
          </w:p>
        </w:tc>
        <w:tc>
          <w:tcPr>
            <w:tcW w:w="1980" w:type="dxa"/>
            <w:vAlign w:val="center"/>
          </w:tcPr>
          <w:p w14:paraId="7F8ABAFD" w14:textId="77777777" w:rsidR="00041B8E" w:rsidRPr="00CC58A7" w:rsidRDefault="00041B8E" w:rsidP="00BE3F24">
            <w:pPr>
              <w:jc w:val="center"/>
              <w:rPr>
                <w:rFonts w:ascii="Arial" w:hAnsi="Arial"/>
                <w:sz w:val="18"/>
              </w:rPr>
            </w:pPr>
            <w:r>
              <w:rPr>
                <w:rFonts w:ascii="Arial" w:hAnsi="Arial"/>
                <w:sz w:val="18"/>
              </w:rPr>
              <w:t>Prepare Charts</w:t>
            </w:r>
          </w:p>
        </w:tc>
        <w:tc>
          <w:tcPr>
            <w:tcW w:w="1800" w:type="dxa"/>
            <w:vAlign w:val="center"/>
          </w:tcPr>
          <w:p w14:paraId="08347778" w14:textId="77777777" w:rsidR="00041B8E" w:rsidRPr="00CC58A7" w:rsidRDefault="00041B8E" w:rsidP="00BE3F24">
            <w:pPr>
              <w:jc w:val="center"/>
              <w:rPr>
                <w:rFonts w:ascii="Arial" w:hAnsi="Arial"/>
                <w:sz w:val="18"/>
              </w:rPr>
            </w:pPr>
            <w:r w:rsidRPr="00CC58A7">
              <w:rPr>
                <w:rFonts w:ascii="Arial" w:hAnsi="Arial"/>
                <w:sz w:val="18"/>
              </w:rPr>
              <w:t>1</w:t>
            </w:r>
          </w:p>
        </w:tc>
        <w:tc>
          <w:tcPr>
            <w:tcW w:w="1710" w:type="dxa"/>
            <w:vAlign w:val="center"/>
          </w:tcPr>
          <w:p w14:paraId="5FD7FE4C" w14:textId="77777777" w:rsidR="00041B8E" w:rsidRPr="00CC58A7" w:rsidRDefault="00041B8E" w:rsidP="00BE3F24">
            <w:pPr>
              <w:jc w:val="center"/>
              <w:rPr>
                <w:rFonts w:ascii="Arial" w:hAnsi="Arial"/>
                <w:sz w:val="18"/>
              </w:rPr>
            </w:pPr>
            <w:r>
              <w:rPr>
                <w:rFonts w:ascii="Arial" w:hAnsi="Arial"/>
                <w:sz w:val="18"/>
              </w:rPr>
              <w:t>16*</w:t>
            </w:r>
          </w:p>
        </w:tc>
      </w:tr>
    </w:tbl>
    <w:p w14:paraId="49DC4D7C" w14:textId="77777777" w:rsidR="00041B8E" w:rsidRDefault="00041B8E" w:rsidP="00BE3F24">
      <w:pPr>
        <w:rPr>
          <w:rFonts w:ascii="Arial" w:hAnsi="Arial"/>
          <w:sz w:val="18"/>
          <w:szCs w:val="18"/>
        </w:rPr>
      </w:pPr>
      <w:r>
        <w:rPr>
          <w:rFonts w:ascii="Arial" w:hAnsi="Arial"/>
          <w:sz w:val="18"/>
          <w:szCs w:val="18"/>
        </w:rPr>
        <w:t xml:space="preserve">      </w:t>
      </w:r>
      <w:r w:rsidRPr="003E0C70">
        <w:rPr>
          <w:rFonts w:ascii="Arial" w:hAnsi="Arial"/>
          <w:sz w:val="18"/>
          <w:szCs w:val="18"/>
        </w:rPr>
        <w:t>* The time required would vary depending on the size and complexity of a project.</w:t>
      </w:r>
    </w:p>
    <w:p w14:paraId="239574C7" w14:textId="77777777" w:rsidR="001974E0" w:rsidRPr="003E0C70" w:rsidRDefault="001974E0" w:rsidP="00BE3F24">
      <w:pPr>
        <w:rPr>
          <w:rFonts w:ascii="Arial" w:hAnsi="Arial"/>
          <w:sz w:val="18"/>
          <w:szCs w:val="18"/>
        </w:rPr>
      </w:pPr>
    </w:p>
    <w:p w14:paraId="37ADAAE5" w14:textId="77777777" w:rsidR="00041B8E" w:rsidRPr="00CC58A7" w:rsidRDefault="00041B8E" w:rsidP="00172E64">
      <w:pPr>
        <w:pStyle w:val="Heading4"/>
        <w:numPr>
          <w:ilvl w:val="3"/>
          <w:numId w:val="184"/>
        </w:numPr>
        <w:ind w:left="0" w:firstLine="0"/>
      </w:pPr>
      <w:r w:rsidRPr="00CC58A7">
        <w:t>Procedure</w:t>
      </w:r>
    </w:p>
    <w:p w14:paraId="3CA07DE9" w14:textId="7D8626FE" w:rsidR="00041B8E" w:rsidRPr="00CC58A7" w:rsidRDefault="00041B8E" w:rsidP="00BE3F24">
      <w:pPr>
        <w:pStyle w:val="BodyText"/>
        <w:spacing w:after="0"/>
        <w:jc w:val="both"/>
      </w:pPr>
      <w:r w:rsidRPr="00CC58A7">
        <w:t xml:space="preserve">The </w:t>
      </w:r>
      <w:r w:rsidRPr="000572A5">
        <w:t xml:space="preserve">procedure described </w:t>
      </w:r>
      <w:r w:rsidR="00330491">
        <w:t>below</w:t>
      </w:r>
      <w:r w:rsidRPr="000572A5">
        <w:t xml:space="preserve"> should be followed when preparing </w:t>
      </w:r>
      <w:r w:rsidR="00330491">
        <w:t xml:space="preserve">a </w:t>
      </w:r>
      <w:r w:rsidRPr="000572A5">
        <w:t>family of curves. The SATD should</w:t>
      </w:r>
      <w:r>
        <w:t xml:space="preserve"> be contacted when developing the family of curves.  </w:t>
      </w:r>
      <w:r w:rsidRPr="00004850">
        <w:t xml:space="preserve">Numerous steps contained in this procedure can be completed with software applications </w:t>
      </w:r>
      <w:r>
        <w:t>(Microsoft Excel) that the PAGD</w:t>
      </w:r>
      <w:r w:rsidRPr="00004850">
        <w:t xml:space="preserve"> </w:t>
      </w:r>
      <w:r w:rsidRPr="000572A5">
        <w:t xml:space="preserve">currently uses and has under development.  The following procedure was written to provide the PAGD Engineer with adequate information to prepare </w:t>
      </w:r>
      <w:r w:rsidR="00330491">
        <w:t xml:space="preserve">a </w:t>
      </w:r>
      <w:r w:rsidRPr="000572A5">
        <w:t>family of curves without specific knowledge or access to computer</w:t>
      </w:r>
      <w:r w:rsidRPr="00CC58A7">
        <w:t xml:space="preserve"> software applications, but with the assumption th</w:t>
      </w:r>
      <w:r>
        <w:t xml:space="preserve">at these tools were available. </w:t>
      </w:r>
    </w:p>
    <w:p w14:paraId="740B277D" w14:textId="1E92ECDD" w:rsidR="001A15B9" w:rsidRDefault="00041B8E" w:rsidP="00172E64">
      <w:pPr>
        <w:pStyle w:val="ListNumber"/>
        <w:numPr>
          <w:ilvl w:val="0"/>
          <w:numId w:val="98"/>
        </w:numPr>
        <w:tabs>
          <w:tab w:val="clear" w:pos="1512"/>
          <w:tab w:val="clear" w:pos="1872"/>
          <w:tab w:val="num" w:pos="1080"/>
        </w:tabs>
        <w:spacing w:before="240"/>
        <w:ind w:left="1080" w:hanging="1080"/>
        <w:jc w:val="both"/>
      </w:pPr>
      <w:r w:rsidRPr="00E544EC">
        <w:t xml:space="preserve">All maximum dry densities and optimum moisture content </w:t>
      </w:r>
      <w:r>
        <w:t>should</w:t>
      </w:r>
      <w:r w:rsidRPr="00E544EC">
        <w:t xml:space="preserve"> be plotted, with the lab classification adjacent to each point. Refer to the spreadsheet “Family of Curves.xls” attached in Appendix V.</w:t>
      </w:r>
    </w:p>
    <w:p w14:paraId="18B2B822" w14:textId="0595A73E" w:rsidR="001A15B9" w:rsidRDefault="00041B8E" w:rsidP="00172E64">
      <w:pPr>
        <w:pStyle w:val="ListNumber"/>
        <w:numPr>
          <w:ilvl w:val="0"/>
          <w:numId w:val="98"/>
        </w:numPr>
        <w:tabs>
          <w:tab w:val="clear" w:pos="1512"/>
          <w:tab w:val="clear" w:pos="1872"/>
          <w:tab w:val="num" w:pos="1080"/>
        </w:tabs>
        <w:ind w:left="1080" w:hanging="1080"/>
        <w:jc w:val="both"/>
      </w:pPr>
      <w:r>
        <w:t>Through evaluation of the points previously plotted, a line representing the mean average maximum dry density and optimum moisture is drawn. This line also represents one “Family of Curves</w:t>
      </w:r>
      <w:r w:rsidR="00330491">
        <w:t>.</w:t>
      </w:r>
      <w:r>
        <w:t xml:space="preserve">” If, through evaluation, it is evident that </w:t>
      </w:r>
      <w:r>
        <w:lastRenderedPageBreak/>
        <w:t>more than one “Family of Curves” occurs on your project, you will be required to draw additional mean average lines.</w:t>
      </w:r>
    </w:p>
    <w:p w14:paraId="348DBB11" w14:textId="77777777" w:rsidR="001A15B9" w:rsidRDefault="00041B8E" w:rsidP="00172E64">
      <w:pPr>
        <w:pStyle w:val="ListNumber"/>
        <w:numPr>
          <w:ilvl w:val="0"/>
          <w:numId w:val="98"/>
        </w:numPr>
        <w:tabs>
          <w:tab w:val="clear" w:pos="1512"/>
          <w:tab w:val="clear" w:pos="1872"/>
          <w:tab w:val="num" w:pos="1080"/>
        </w:tabs>
        <w:ind w:left="1080" w:hanging="1080"/>
        <w:jc w:val="both"/>
      </w:pPr>
      <w:r>
        <w:t xml:space="preserve">Locate and plot a typical curve at the high end and low end of the mean average lines. Also, locate and plot a typical curve at one or two points along the line where its maximum dry density and optimum moisture point falls on the line. Enough curves should be plotted in order to accurately determine the typical slope of the curves. </w:t>
      </w:r>
    </w:p>
    <w:p w14:paraId="215D2BF1" w14:textId="77777777" w:rsidR="001A15B9" w:rsidRDefault="00041B8E" w:rsidP="00172E64">
      <w:pPr>
        <w:pStyle w:val="ListNumber"/>
        <w:numPr>
          <w:ilvl w:val="0"/>
          <w:numId w:val="98"/>
        </w:numPr>
        <w:tabs>
          <w:tab w:val="clear" w:pos="1512"/>
          <w:tab w:val="clear" w:pos="1872"/>
          <w:tab w:val="num" w:pos="1080"/>
        </w:tabs>
        <w:ind w:left="1080" w:hanging="1080"/>
        <w:jc w:val="both"/>
      </w:pPr>
      <w:r>
        <w:t>Additional curves should be interpolated to fall within the typical curves at intervals of 3 to 5 pounds.</w:t>
      </w:r>
    </w:p>
    <w:p w14:paraId="4D16F2CC" w14:textId="77777777" w:rsidR="001A15B9" w:rsidRDefault="00041B8E" w:rsidP="00172E64">
      <w:pPr>
        <w:pStyle w:val="ListNumber"/>
        <w:numPr>
          <w:ilvl w:val="0"/>
          <w:numId w:val="98"/>
        </w:numPr>
        <w:tabs>
          <w:tab w:val="clear" w:pos="1512"/>
          <w:tab w:val="clear" w:pos="1872"/>
          <w:tab w:val="num" w:pos="1080"/>
        </w:tabs>
        <w:ind w:left="1080" w:hanging="1080"/>
        <w:jc w:val="both"/>
        <w:rPr>
          <w:szCs w:val="22"/>
        </w:rPr>
      </w:pPr>
      <w:r w:rsidRPr="004D530F">
        <w:rPr>
          <w:szCs w:val="22"/>
        </w:rPr>
        <w:t>If the moisture</w:t>
      </w:r>
      <w:r>
        <w:rPr>
          <w:szCs w:val="22"/>
        </w:rPr>
        <w:t>-</w:t>
      </w:r>
      <w:r w:rsidRPr="004D530F">
        <w:rPr>
          <w:szCs w:val="22"/>
        </w:rPr>
        <w:t xml:space="preserve">density </w:t>
      </w:r>
      <w:r>
        <w:rPr>
          <w:szCs w:val="22"/>
        </w:rPr>
        <w:t xml:space="preserve">one point falls on one of the curves in the family of curves, the </w:t>
      </w:r>
      <w:r w:rsidRPr="004D530F">
        <w:rPr>
          <w:szCs w:val="22"/>
        </w:rPr>
        <w:t>maximum dry density and optimum moisture con</w:t>
      </w:r>
      <w:r>
        <w:rPr>
          <w:szCs w:val="22"/>
        </w:rPr>
        <w:t>tent defined by that curve should</w:t>
      </w:r>
      <w:r w:rsidRPr="004D530F">
        <w:rPr>
          <w:szCs w:val="22"/>
        </w:rPr>
        <w:t xml:space="preserve"> be used</w:t>
      </w:r>
      <w:r>
        <w:rPr>
          <w:szCs w:val="22"/>
        </w:rPr>
        <w:t>.</w:t>
      </w:r>
    </w:p>
    <w:p w14:paraId="72C34EB8" w14:textId="77777777" w:rsidR="001A15B9" w:rsidRDefault="00041B8E" w:rsidP="00172E64">
      <w:pPr>
        <w:pStyle w:val="ListNumber"/>
        <w:numPr>
          <w:ilvl w:val="0"/>
          <w:numId w:val="98"/>
        </w:numPr>
        <w:tabs>
          <w:tab w:val="clear" w:pos="1512"/>
          <w:tab w:val="clear" w:pos="1872"/>
          <w:tab w:val="num" w:pos="1080"/>
        </w:tabs>
        <w:ind w:left="1080" w:hanging="1080"/>
        <w:jc w:val="both"/>
      </w:pPr>
      <w:r w:rsidRPr="004D530F">
        <w:rPr>
          <w:szCs w:val="22"/>
        </w:rPr>
        <w:t>If the moisture-density one point falls within the family of curves but not on an e</w:t>
      </w:r>
      <w:r>
        <w:rPr>
          <w:szCs w:val="22"/>
        </w:rPr>
        <w:t>xisting curve, a new curve should</w:t>
      </w:r>
      <w:r w:rsidRPr="004D530F">
        <w:rPr>
          <w:szCs w:val="22"/>
        </w:rPr>
        <w:t xml:space="preserve"> be drawn through the plotted single point parallel and in character with the nearest existing curve in the family of curves. The maximum dry density and optimum moisture content as defined by the new curve </w:t>
      </w:r>
      <w:r>
        <w:rPr>
          <w:szCs w:val="22"/>
        </w:rPr>
        <w:t>should</w:t>
      </w:r>
      <w:r w:rsidRPr="004D530F">
        <w:rPr>
          <w:szCs w:val="22"/>
        </w:rPr>
        <w:t xml:space="preserve"> be used.</w:t>
      </w:r>
    </w:p>
    <w:p w14:paraId="7D8937B9" w14:textId="77777777" w:rsidR="001A15B9" w:rsidRDefault="00041B8E" w:rsidP="00172E64">
      <w:pPr>
        <w:pStyle w:val="ListNumber"/>
        <w:numPr>
          <w:ilvl w:val="0"/>
          <w:numId w:val="98"/>
        </w:numPr>
        <w:tabs>
          <w:tab w:val="clear" w:pos="1512"/>
          <w:tab w:val="clear" w:pos="1872"/>
          <w:tab w:val="num" w:pos="1080"/>
        </w:tabs>
        <w:ind w:left="1080" w:hanging="1080"/>
        <w:jc w:val="both"/>
        <w:rPr>
          <w:szCs w:val="22"/>
        </w:rPr>
      </w:pPr>
      <w:r w:rsidRPr="00F17DD2">
        <w:rPr>
          <w:szCs w:val="22"/>
        </w:rPr>
        <w:t xml:space="preserve">If the family of curves is such that the new curve through a one point is not well defined or is in any way questionable, a full moisture-density relationship </w:t>
      </w:r>
      <w:r>
        <w:rPr>
          <w:szCs w:val="22"/>
        </w:rPr>
        <w:t>should</w:t>
      </w:r>
      <w:r w:rsidRPr="00F17DD2">
        <w:rPr>
          <w:szCs w:val="22"/>
        </w:rPr>
        <w:t xml:space="preserve"> be made for the soil to correctly define the new curve and verify the applicability of the family of curves.</w:t>
      </w:r>
    </w:p>
    <w:p w14:paraId="6A1424B7" w14:textId="77777777" w:rsidR="001A15B9" w:rsidRDefault="00041B8E" w:rsidP="00172E64">
      <w:pPr>
        <w:pStyle w:val="ListNumber"/>
        <w:numPr>
          <w:ilvl w:val="0"/>
          <w:numId w:val="98"/>
        </w:numPr>
        <w:tabs>
          <w:tab w:val="clear" w:pos="1512"/>
          <w:tab w:val="clear" w:pos="1872"/>
          <w:tab w:val="num" w:pos="1080"/>
        </w:tabs>
        <w:ind w:left="1080" w:hanging="1080"/>
        <w:jc w:val="both"/>
      </w:pPr>
      <w:r>
        <w:t xml:space="preserve">All portions of the typical curves and interpolated curves which fall above the average mean line (above optimum) </w:t>
      </w:r>
      <w:r>
        <w:rPr>
          <w:szCs w:val="22"/>
        </w:rPr>
        <w:t>should</w:t>
      </w:r>
      <w:r>
        <w:t xml:space="preserve"> not be used during construction.</w:t>
      </w:r>
    </w:p>
    <w:p w14:paraId="7CD83007" w14:textId="4345A542" w:rsidR="001A15B9" w:rsidRDefault="00041B8E" w:rsidP="00172E64">
      <w:pPr>
        <w:pStyle w:val="ListNumber"/>
        <w:numPr>
          <w:ilvl w:val="0"/>
          <w:numId w:val="98"/>
        </w:numPr>
        <w:tabs>
          <w:tab w:val="clear" w:pos="1512"/>
          <w:tab w:val="clear" w:pos="1872"/>
          <w:tab w:val="num" w:pos="1080"/>
        </w:tabs>
        <w:ind w:left="1080" w:hanging="1080"/>
        <w:jc w:val="both"/>
      </w:pPr>
      <w:r>
        <w:t xml:space="preserve">An example of the interpolation of </w:t>
      </w:r>
      <w:r w:rsidR="00FE43F8">
        <w:t xml:space="preserve">the </w:t>
      </w:r>
      <w:r>
        <w:t>one</w:t>
      </w:r>
      <w:r w:rsidR="00FE43F8">
        <w:t>-</w:t>
      </w:r>
      <w:r>
        <w:t xml:space="preserve">step </w:t>
      </w:r>
      <w:r w:rsidR="00FE43F8">
        <w:t>P</w:t>
      </w:r>
      <w:r>
        <w:t xml:space="preserve">roctor and an explanatory note </w:t>
      </w:r>
      <w:r>
        <w:rPr>
          <w:szCs w:val="22"/>
        </w:rPr>
        <w:t>should</w:t>
      </w:r>
      <w:r>
        <w:t xml:space="preserve"> be shown on the chart, along with a note </w:t>
      </w:r>
      <w:r w:rsidRPr="00E544EC">
        <w:t xml:space="preserve">explaining the overall use of the Family of Curves. Refer to </w:t>
      </w:r>
      <w:hyperlink w:anchor="_Forms,_Spreadsheets_&amp;" w:history="1">
        <w:r w:rsidR="00ED4A45" w:rsidRPr="00ED4A45">
          <w:rPr>
            <w:rStyle w:val="Hyperlink"/>
          </w:rPr>
          <w:t>Forms, Spreadsheets &amp; Guidelines</w:t>
        </w:r>
      </w:hyperlink>
      <w:r w:rsidR="00ED4A45">
        <w:t xml:space="preserve"> </w:t>
      </w:r>
      <w:r w:rsidRPr="00E544EC">
        <w:t xml:space="preserve">for </w:t>
      </w:r>
      <w:r>
        <w:t xml:space="preserve">an </w:t>
      </w:r>
      <w:r w:rsidRPr="00E544EC">
        <w:t xml:space="preserve">example of Family of Curves and the </w:t>
      </w:r>
      <w:r>
        <w:t xml:space="preserve">aforementioned </w:t>
      </w:r>
      <w:r w:rsidRPr="00E544EC">
        <w:t xml:space="preserve">explanatory note. </w:t>
      </w:r>
    </w:p>
    <w:p w14:paraId="0CB77B53" w14:textId="77777777" w:rsidR="00C56581" w:rsidRDefault="00C56581" w:rsidP="00172E64">
      <w:pPr>
        <w:pStyle w:val="Heading2"/>
        <w:numPr>
          <w:ilvl w:val="1"/>
          <w:numId w:val="184"/>
        </w:numPr>
        <w:spacing w:before="120"/>
        <w:ind w:left="1080" w:hanging="1080"/>
        <w:sectPr w:rsidR="00C56581" w:rsidSect="008B1BAA">
          <w:headerReference w:type="default" r:id="rId302"/>
          <w:footerReference w:type="default" r:id="rId303"/>
          <w:pgSz w:w="12240" w:h="15840"/>
          <w:pgMar w:top="1440" w:right="1800" w:bottom="1440" w:left="1800" w:header="720" w:footer="720" w:gutter="0"/>
          <w:pgNumType w:chapStyle="1"/>
          <w:cols w:space="720"/>
          <w:docGrid w:linePitch="272"/>
        </w:sectPr>
      </w:pPr>
    </w:p>
    <w:p w14:paraId="7602DF83" w14:textId="0C087136" w:rsidR="006041E7" w:rsidRDefault="006041E7" w:rsidP="00172E64">
      <w:pPr>
        <w:pStyle w:val="Heading2"/>
        <w:numPr>
          <w:ilvl w:val="1"/>
          <w:numId w:val="184"/>
        </w:numPr>
        <w:ind w:left="0" w:firstLine="0"/>
      </w:pPr>
      <w:bookmarkStart w:id="571" w:name="_Subsurface_Drainage"/>
      <w:bookmarkStart w:id="572" w:name="_Toc479160123"/>
      <w:bookmarkStart w:id="573" w:name="_Toc514058011"/>
      <w:bookmarkStart w:id="574" w:name="_Toc194932407"/>
      <w:bookmarkEnd w:id="571"/>
      <w:r>
        <w:lastRenderedPageBreak/>
        <w:t>Subsurface Drainage</w:t>
      </w:r>
      <w:bookmarkEnd w:id="572"/>
      <w:bookmarkEnd w:id="573"/>
      <w:bookmarkEnd w:id="574"/>
      <w:r>
        <w:t xml:space="preserve"> </w:t>
      </w:r>
    </w:p>
    <w:p w14:paraId="6745A5EA" w14:textId="77777777" w:rsidR="001F32D3" w:rsidRDefault="001F32D3" w:rsidP="001F32D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Drainage" w:history="1">
        <w:r w:rsidR="00A43BA3" w:rsidRPr="00A43BA3">
          <w:rPr>
            <w:rStyle w:val="Hyperlink"/>
            <w:rFonts w:ascii="Arial" w:hAnsi="Arial" w:cs="Arial"/>
            <w:bCs/>
            <w:sz w:val="16"/>
            <w:szCs w:val="16"/>
          </w:rPr>
          <w:t>Pavement Drainage</w:t>
        </w:r>
      </w:hyperlink>
    </w:p>
    <w:p w14:paraId="75FAEFA0" w14:textId="77777777" w:rsidR="00A43BA3" w:rsidRDefault="00A43BA3" w:rsidP="00A43BA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2" w:history="1">
        <w:r w:rsidRPr="001F32D3">
          <w:rPr>
            <w:rStyle w:val="Hyperlink"/>
            <w:rFonts w:ascii="Arial" w:hAnsi="Arial" w:cs="Arial"/>
            <w:bCs/>
            <w:sz w:val="16"/>
            <w:szCs w:val="16"/>
          </w:rPr>
          <w:t>New Pavement Design Using AASHTO 1993</w:t>
        </w:r>
      </w:hyperlink>
    </w:p>
    <w:p w14:paraId="36C7C35D" w14:textId="77777777" w:rsidR="001F32D3" w:rsidRDefault="001F32D3" w:rsidP="00BE3F24">
      <w:pPr>
        <w:rPr>
          <w:rFonts w:ascii="Arial" w:hAnsi="Arial"/>
          <w:sz w:val="22"/>
          <w:szCs w:val="22"/>
        </w:rPr>
      </w:pPr>
    </w:p>
    <w:p w14:paraId="289E928A" w14:textId="61E1A752" w:rsidR="004E1902" w:rsidRDefault="006041E7" w:rsidP="00354BEA">
      <w:pPr>
        <w:jc w:val="both"/>
        <w:rPr>
          <w:rFonts w:ascii="Arial" w:hAnsi="Arial"/>
          <w:sz w:val="22"/>
          <w:szCs w:val="22"/>
        </w:rPr>
      </w:pPr>
      <w:r>
        <w:rPr>
          <w:rFonts w:ascii="Arial" w:hAnsi="Arial"/>
          <w:sz w:val="22"/>
          <w:szCs w:val="22"/>
        </w:rPr>
        <w:t xml:space="preserve">Subsurface drainage is a critically important element to the performance of pavement structure and the roadway facility.  Subsurface drainage is used to address existing sources of water and high moisture soil conditions that can deteriorate the structural strength of a pavement structure and lead to premature failures.  </w:t>
      </w:r>
      <w:r w:rsidR="0066673D">
        <w:rPr>
          <w:rFonts w:ascii="Arial" w:hAnsi="Arial"/>
          <w:sz w:val="22"/>
          <w:szCs w:val="22"/>
        </w:rPr>
        <w:t>This is not to be confused with pavement drainage which is intended to address water that enters the pavement structure through the surface.  For guidelines on pave</w:t>
      </w:r>
      <w:r w:rsidR="009B6704">
        <w:rPr>
          <w:rFonts w:ascii="Arial" w:hAnsi="Arial"/>
          <w:sz w:val="22"/>
          <w:szCs w:val="22"/>
        </w:rPr>
        <w:t xml:space="preserve">ment drainage, see </w:t>
      </w:r>
      <w:hyperlink w:anchor="Section_6_04" w:history="1">
        <w:r w:rsidR="009B6704" w:rsidRPr="007400F0">
          <w:rPr>
            <w:rStyle w:val="Hyperlink"/>
            <w:rFonts w:ascii="Arial" w:hAnsi="Arial"/>
            <w:sz w:val="22"/>
            <w:szCs w:val="22"/>
          </w:rPr>
          <w:t xml:space="preserve">Section </w:t>
        </w:r>
        <w:r w:rsidR="006A56CD" w:rsidRPr="007400F0">
          <w:rPr>
            <w:rStyle w:val="Hyperlink"/>
            <w:rFonts w:ascii="Arial" w:hAnsi="Arial"/>
            <w:sz w:val="22"/>
            <w:szCs w:val="22"/>
          </w:rPr>
          <w:t>6</w:t>
        </w:r>
        <w:r w:rsidR="009B6704" w:rsidRPr="007400F0">
          <w:rPr>
            <w:rStyle w:val="Hyperlink"/>
            <w:rFonts w:ascii="Arial" w:hAnsi="Arial"/>
            <w:sz w:val="22"/>
            <w:szCs w:val="22"/>
          </w:rPr>
          <w:t>.04 Pavement Drainage</w:t>
        </w:r>
      </w:hyperlink>
      <w:r w:rsidR="009B6704">
        <w:rPr>
          <w:rFonts w:ascii="Arial" w:hAnsi="Arial"/>
          <w:sz w:val="22"/>
          <w:szCs w:val="22"/>
        </w:rPr>
        <w:t>.</w:t>
      </w:r>
    </w:p>
    <w:p w14:paraId="6668841C" w14:textId="77777777" w:rsidR="004E1902" w:rsidRDefault="004E1902" w:rsidP="00354BEA">
      <w:pPr>
        <w:jc w:val="both"/>
        <w:rPr>
          <w:rFonts w:ascii="Arial" w:hAnsi="Arial"/>
          <w:sz w:val="22"/>
          <w:szCs w:val="22"/>
        </w:rPr>
      </w:pPr>
    </w:p>
    <w:p w14:paraId="52A1070E" w14:textId="5A2C0CFE" w:rsidR="008A5031" w:rsidRPr="004E1902" w:rsidRDefault="008A5031" w:rsidP="008A5031">
      <w:pPr>
        <w:autoSpaceDE w:val="0"/>
        <w:autoSpaceDN w:val="0"/>
        <w:adjustRightInd w:val="0"/>
        <w:jc w:val="both"/>
        <w:rPr>
          <w:rFonts w:ascii="Arial" w:hAnsi="Arial" w:cs="Arial"/>
          <w:sz w:val="22"/>
          <w:szCs w:val="22"/>
        </w:rPr>
      </w:pPr>
      <w:r w:rsidRPr="004E1902">
        <w:rPr>
          <w:rFonts w:ascii="Arial" w:hAnsi="Arial" w:cs="Arial"/>
          <w:sz w:val="22"/>
          <w:szCs w:val="22"/>
        </w:rPr>
        <w:t xml:space="preserve">All geotechnical investigations should anticipate encountering groundwater </w:t>
      </w:r>
      <w:r w:rsidR="002E23F7">
        <w:rPr>
          <w:rFonts w:ascii="Arial" w:hAnsi="Arial" w:cs="Arial"/>
          <w:sz w:val="22"/>
          <w:szCs w:val="22"/>
        </w:rPr>
        <w:t xml:space="preserve">and/or high moisture soil conditions </w:t>
      </w:r>
      <w:r w:rsidRPr="004E1902">
        <w:rPr>
          <w:rFonts w:ascii="Arial" w:hAnsi="Arial" w:cs="Arial"/>
          <w:sz w:val="22"/>
          <w:szCs w:val="22"/>
        </w:rPr>
        <w:t>in some form. An estimation of groundwater levels at the investigation site should be made prior to drilling. Estimates can be based on USGS Topographic maps, previous experience in the area</w:t>
      </w:r>
      <w:r w:rsidR="006A56CD">
        <w:rPr>
          <w:rFonts w:ascii="Arial" w:hAnsi="Arial" w:cs="Arial"/>
          <w:sz w:val="22"/>
          <w:szCs w:val="22"/>
        </w:rPr>
        <w:t>,</w:t>
      </w:r>
      <w:r w:rsidRPr="004E1902">
        <w:rPr>
          <w:rFonts w:ascii="Arial" w:hAnsi="Arial" w:cs="Arial"/>
          <w:sz w:val="22"/>
          <w:szCs w:val="22"/>
        </w:rPr>
        <w:t xml:space="preserve"> or from reviewing publications by the </w:t>
      </w:r>
      <w:hyperlink r:id="rId304" w:history="1">
        <w:r w:rsidRPr="004E1902">
          <w:rPr>
            <w:rStyle w:val="Hyperlink"/>
            <w:rFonts w:ascii="Arial" w:hAnsi="Arial" w:cs="Arial"/>
            <w:sz w:val="22"/>
            <w:szCs w:val="22"/>
          </w:rPr>
          <w:t>http://www.mgs.md.gov/</w:t>
        </w:r>
      </w:hyperlink>
      <w:r w:rsidRPr="004E1902">
        <w:rPr>
          <w:rFonts w:ascii="Arial" w:hAnsi="Arial" w:cs="Arial"/>
          <w:sz w:val="22"/>
          <w:szCs w:val="22"/>
        </w:rPr>
        <w:t xml:space="preserve"> or </w:t>
      </w:r>
      <w:hyperlink r:id="rId305" w:history="1">
        <w:r w:rsidRPr="004E1902">
          <w:rPr>
            <w:rStyle w:val="Hyperlink"/>
            <w:rFonts w:ascii="Arial" w:hAnsi="Arial" w:cs="Arial"/>
            <w:sz w:val="22"/>
            <w:szCs w:val="22"/>
          </w:rPr>
          <w:t>http://www.dnr.state.md.us/</w:t>
        </w:r>
      </w:hyperlink>
      <w:r w:rsidR="006A56CD" w:rsidRPr="006A56CD">
        <w:rPr>
          <w:rStyle w:val="Hyperlink"/>
          <w:rFonts w:ascii="Arial" w:hAnsi="Arial" w:cs="Arial"/>
          <w:color w:val="auto"/>
          <w:sz w:val="22"/>
          <w:szCs w:val="22"/>
          <w:u w:val="none"/>
        </w:rPr>
        <w:t>,</w:t>
      </w:r>
      <w:r w:rsidRPr="004E1902">
        <w:rPr>
          <w:rFonts w:ascii="Arial" w:hAnsi="Arial" w:cs="Arial"/>
          <w:sz w:val="22"/>
          <w:szCs w:val="22"/>
        </w:rPr>
        <w:t xml:space="preserve"> and by consulting the EGD. If from these initial estimates and/or borings taken for the project, groundwater is expected to have an adverse effect on the construction or the life of the project, various groundwater control methods should be evaluated. </w:t>
      </w:r>
    </w:p>
    <w:p w14:paraId="0698789C" w14:textId="77777777" w:rsidR="004E1902" w:rsidRDefault="004E1902" w:rsidP="00172E64">
      <w:pPr>
        <w:pStyle w:val="Heading3"/>
        <w:numPr>
          <w:ilvl w:val="2"/>
          <w:numId w:val="184"/>
        </w:numPr>
        <w:ind w:left="0" w:firstLine="0"/>
      </w:pPr>
      <w:r>
        <w:t>Purpose</w:t>
      </w:r>
    </w:p>
    <w:p w14:paraId="2257A7F4" w14:textId="5AEEE6A7" w:rsidR="004E1902" w:rsidRDefault="004E1902" w:rsidP="00BE3F24">
      <w:pPr>
        <w:pStyle w:val="BodyText"/>
        <w:spacing w:after="0"/>
        <w:jc w:val="both"/>
      </w:pPr>
      <w:r>
        <w:t xml:space="preserve">Information on </w:t>
      </w:r>
      <w:r w:rsidR="002E23F7">
        <w:t xml:space="preserve">subsurface </w:t>
      </w:r>
      <w:r>
        <w:t xml:space="preserve">drainage tools is needed to address existing sources of </w:t>
      </w:r>
      <w:r w:rsidR="002E23F7">
        <w:t>ground</w:t>
      </w:r>
      <w:r>
        <w:t>water and high moisture soil conditions that can deteriorate the structural strength of a roadway pavement, embankments, or structures</w:t>
      </w:r>
      <w:r w:rsidR="006A56CD">
        <w:t>,</w:t>
      </w:r>
      <w:r>
        <w:t xml:space="preserve"> leading to premature failures</w:t>
      </w:r>
      <w:r w:rsidRPr="00895218">
        <w:t>.</w:t>
      </w:r>
    </w:p>
    <w:p w14:paraId="17D306B9" w14:textId="77777777" w:rsidR="004E1902" w:rsidRPr="00CC58A7" w:rsidRDefault="004E1902" w:rsidP="00172E64">
      <w:pPr>
        <w:pStyle w:val="Heading3"/>
        <w:numPr>
          <w:ilvl w:val="2"/>
          <w:numId w:val="184"/>
        </w:numPr>
        <w:ind w:left="0" w:firstLine="0"/>
      </w:pPr>
      <w:r w:rsidRPr="00CC58A7">
        <w:t>Resource Requirements</w:t>
      </w:r>
    </w:p>
    <w:p w14:paraId="15B59AD6" w14:textId="77777777" w:rsidR="004E1902" w:rsidRDefault="00C17190" w:rsidP="00BE3F24">
      <w:pPr>
        <w:pStyle w:val="BodyText"/>
        <w:spacing w:after="0"/>
        <w:jc w:val="both"/>
      </w:pPr>
      <w:r>
        <w:t>An analysis of subsurface groundwater and soil conditions is performed</w:t>
      </w:r>
      <w:r w:rsidR="004E1902">
        <w:t xml:space="preserve"> to determine which </w:t>
      </w:r>
      <w:r>
        <w:t xml:space="preserve">subsurface </w:t>
      </w:r>
      <w:r w:rsidR="004E1902">
        <w:t>drainage tool</w:t>
      </w:r>
      <w:r>
        <w:t>(s)</w:t>
      </w:r>
      <w:r w:rsidR="004E1902">
        <w:t xml:space="preserve"> can be most beneficial and practical for the specific project. </w:t>
      </w:r>
      <w:r w:rsidR="004E1902" w:rsidRPr="00CC58A7">
        <w:t>Th</w:t>
      </w:r>
      <w:r w:rsidR="004E1902">
        <w:t xml:space="preserve">is procedure </w:t>
      </w:r>
      <w:r w:rsidR="004E1902" w:rsidRPr="00CC58A7">
        <w:t xml:space="preserve">documented below requires the following staffing needs for a typical </w:t>
      </w:r>
      <w:r w:rsidR="004E1902">
        <w:t>project:</w:t>
      </w:r>
    </w:p>
    <w:p w14:paraId="7301BCFC" w14:textId="77777777" w:rsidR="004E1902" w:rsidRDefault="004E1902" w:rsidP="00BE3F24">
      <w:pPr>
        <w:pStyle w:val="BodyText"/>
        <w:spacing w:after="0"/>
        <w:jc w:val="both"/>
      </w:pPr>
    </w:p>
    <w:tbl>
      <w:tblPr>
        <w:tblW w:w="8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82"/>
        <w:gridCol w:w="2286"/>
        <w:gridCol w:w="1926"/>
        <w:gridCol w:w="1584"/>
      </w:tblGrid>
      <w:tr w:rsidR="004E1902" w:rsidRPr="00206137" w14:paraId="27D20FFA" w14:textId="77777777" w:rsidTr="000A02F1">
        <w:trPr>
          <w:trHeight w:val="288"/>
          <w:jc w:val="center"/>
        </w:trPr>
        <w:tc>
          <w:tcPr>
            <w:tcW w:w="2782" w:type="dxa"/>
            <w:shd w:val="pct15" w:color="auto" w:fill="FFFFFF"/>
            <w:vAlign w:val="center"/>
          </w:tcPr>
          <w:p w14:paraId="24BC070F" w14:textId="77777777" w:rsidR="004E1902" w:rsidRPr="00206137" w:rsidRDefault="004E1902" w:rsidP="00BE3F24">
            <w:pPr>
              <w:jc w:val="center"/>
              <w:rPr>
                <w:rFonts w:ascii="Arial" w:hAnsi="Arial" w:cs="Arial"/>
                <w:b/>
                <w:bCs/>
              </w:rPr>
            </w:pPr>
            <w:r w:rsidRPr="00206137">
              <w:rPr>
                <w:rFonts w:ascii="Arial" w:hAnsi="Arial" w:cs="Arial"/>
                <w:b/>
                <w:bCs/>
              </w:rPr>
              <w:t>Position</w:t>
            </w:r>
          </w:p>
        </w:tc>
        <w:tc>
          <w:tcPr>
            <w:tcW w:w="2286" w:type="dxa"/>
            <w:shd w:val="pct15" w:color="auto" w:fill="FFFFFF"/>
            <w:vAlign w:val="center"/>
          </w:tcPr>
          <w:p w14:paraId="5C67997F" w14:textId="77777777" w:rsidR="004E1902" w:rsidRPr="00206137" w:rsidRDefault="004E1902" w:rsidP="00BE3F24">
            <w:pPr>
              <w:jc w:val="center"/>
              <w:rPr>
                <w:rFonts w:ascii="Arial" w:hAnsi="Arial" w:cs="Arial"/>
                <w:b/>
                <w:bCs/>
              </w:rPr>
            </w:pPr>
            <w:r w:rsidRPr="00206137">
              <w:rPr>
                <w:rFonts w:ascii="Arial" w:hAnsi="Arial" w:cs="Arial"/>
                <w:b/>
                <w:bCs/>
              </w:rPr>
              <w:t>Function</w:t>
            </w:r>
          </w:p>
        </w:tc>
        <w:tc>
          <w:tcPr>
            <w:tcW w:w="1926" w:type="dxa"/>
            <w:shd w:val="pct15" w:color="auto" w:fill="FFFFFF"/>
            <w:vAlign w:val="center"/>
          </w:tcPr>
          <w:p w14:paraId="0D788F2E" w14:textId="77777777" w:rsidR="004E1902" w:rsidRPr="00206137" w:rsidRDefault="004E1902" w:rsidP="00BE3F24">
            <w:pPr>
              <w:jc w:val="center"/>
              <w:rPr>
                <w:rFonts w:ascii="Arial" w:hAnsi="Arial" w:cs="Arial"/>
                <w:b/>
                <w:bCs/>
              </w:rPr>
            </w:pPr>
            <w:r w:rsidRPr="00206137">
              <w:rPr>
                <w:rFonts w:ascii="Arial" w:hAnsi="Arial" w:cs="Arial"/>
                <w:b/>
                <w:bCs/>
              </w:rPr>
              <w:t>Resources</w:t>
            </w:r>
          </w:p>
        </w:tc>
        <w:tc>
          <w:tcPr>
            <w:tcW w:w="1584" w:type="dxa"/>
            <w:shd w:val="pct15" w:color="auto" w:fill="FFFFFF"/>
            <w:vAlign w:val="center"/>
          </w:tcPr>
          <w:p w14:paraId="65199CB8" w14:textId="77777777" w:rsidR="004E1902" w:rsidRPr="00206137" w:rsidRDefault="004E1902" w:rsidP="00BE3F24">
            <w:pPr>
              <w:jc w:val="center"/>
              <w:rPr>
                <w:rFonts w:ascii="Arial" w:hAnsi="Arial" w:cs="Arial"/>
                <w:b/>
                <w:bCs/>
              </w:rPr>
            </w:pPr>
            <w:r w:rsidRPr="00206137">
              <w:rPr>
                <w:rFonts w:ascii="Arial" w:hAnsi="Arial" w:cs="Arial"/>
                <w:b/>
                <w:bCs/>
              </w:rPr>
              <w:t>Effort Level</w:t>
            </w:r>
          </w:p>
          <w:p w14:paraId="229E23D9" w14:textId="77777777" w:rsidR="004E1902" w:rsidRPr="00206137" w:rsidRDefault="004E1902" w:rsidP="00BE3F24">
            <w:pPr>
              <w:jc w:val="center"/>
              <w:rPr>
                <w:rFonts w:ascii="Arial" w:hAnsi="Arial" w:cs="Arial"/>
                <w:b/>
                <w:bCs/>
              </w:rPr>
            </w:pPr>
            <w:r w:rsidRPr="00206137">
              <w:rPr>
                <w:rFonts w:ascii="Arial" w:hAnsi="Arial" w:cs="Arial"/>
                <w:b/>
                <w:bCs/>
              </w:rPr>
              <w:t>(man-hours)</w:t>
            </w:r>
          </w:p>
        </w:tc>
      </w:tr>
      <w:tr w:rsidR="004E1902" w:rsidRPr="00206137" w14:paraId="6B507859" w14:textId="77777777" w:rsidTr="000A02F1">
        <w:trPr>
          <w:trHeight w:val="288"/>
          <w:jc w:val="center"/>
        </w:trPr>
        <w:tc>
          <w:tcPr>
            <w:tcW w:w="2782" w:type="dxa"/>
            <w:vAlign w:val="center"/>
          </w:tcPr>
          <w:p w14:paraId="40BBC2FC" w14:textId="77777777" w:rsidR="004E1902" w:rsidRPr="00206137" w:rsidRDefault="004E1902" w:rsidP="00BE3F24">
            <w:pPr>
              <w:jc w:val="center"/>
              <w:rPr>
                <w:rFonts w:ascii="Arial" w:hAnsi="Arial" w:cs="Arial"/>
                <w:sz w:val="18"/>
                <w:szCs w:val="18"/>
              </w:rPr>
            </w:pPr>
            <w:r>
              <w:rPr>
                <w:rFonts w:ascii="Arial" w:hAnsi="Arial" w:cs="Arial"/>
                <w:sz w:val="18"/>
                <w:szCs w:val="18"/>
              </w:rPr>
              <w:t>PAGD Engineer</w:t>
            </w:r>
          </w:p>
        </w:tc>
        <w:tc>
          <w:tcPr>
            <w:tcW w:w="2286" w:type="dxa"/>
            <w:vAlign w:val="center"/>
          </w:tcPr>
          <w:p w14:paraId="18D4EE73" w14:textId="77777777" w:rsidR="006A56CD" w:rsidRDefault="004E1902" w:rsidP="00BE3F24">
            <w:pPr>
              <w:jc w:val="center"/>
              <w:rPr>
                <w:rFonts w:ascii="Arial" w:hAnsi="Arial"/>
                <w:sz w:val="18"/>
              </w:rPr>
            </w:pPr>
            <w:r w:rsidRPr="00895218">
              <w:rPr>
                <w:rFonts w:ascii="Arial" w:hAnsi="Arial"/>
                <w:sz w:val="18"/>
              </w:rPr>
              <w:t>Records Review</w:t>
            </w:r>
            <w:r w:rsidR="008A5031">
              <w:rPr>
                <w:rFonts w:ascii="Arial" w:hAnsi="Arial"/>
                <w:sz w:val="18"/>
              </w:rPr>
              <w:t>/</w:t>
            </w:r>
          </w:p>
          <w:p w14:paraId="7E341D3A" w14:textId="28DCE688" w:rsidR="004E1902" w:rsidRPr="00895218" w:rsidRDefault="008A5031" w:rsidP="006A56CD">
            <w:pPr>
              <w:jc w:val="center"/>
              <w:rPr>
                <w:rFonts w:ascii="Arial" w:hAnsi="Arial"/>
                <w:sz w:val="18"/>
              </w:rPr>
            </w:pPr>
            <w:r>
              <w:rPr>
                <w:rFonts w:ascii="Arial" w:hAnsi="Arial"/>
                <w:sz w:val="18"/>
              </w:rPr>
              <w:t xml:space="preserve">Plot Boring </w:t>
            </w:r>
            <w:r w:rsidR="002E23F7">
              <w:rPr>
                <w:rFonts w:ascii="Arial" w:hAnsi="Arial"/>
                <w:sz w:val="18"/>
              </w:rPr>
              <w:t>Information</w:t>
            </w:r>
          </w:p>
        </w:tc>
        <w:tc>
          <w:tcPr>
            <w:tcW w:w="1926" w:type="dxa"/>
            <w:vAlign w:val="center"/>
          </w:tcPr>
          <w:p w14:paraId="3052388D" w14:textId="77777777" w:rsidR="004E1902" w:rsidRPr="00206137" w:rsidRDefault="004E1902" w:rsidP="00BE3F24">
            <w:pPr>
              <w:jc w:val="center"/>
              <w:rPr>
                <w:rFonts w:ascii="Arial" w:hAnsi="Arial" w:cs="Arial"/>
                <w:sz w:val="18"/>
                <w:szCs w:val="18"/>
              </w:rPr>
            </w:pPr>
            <w:r w:rsidRPr="00206137">
              <w:rPr>
                <w:rFonts w:ascii="Arial" w:hAnsi="Arial" w:cs="Arial"/>
                <w:sz w:val="18"/>
                <w:szCs w:val="18"/>
              </w:rPr>
              <w:t>1</w:t>
            </w:r>
          </w:p>
        </w:tc>
        <w:tc>
          <w:tcPr>
            <w:tcW w:w="1584" w:type="dxa"/>
            <w:vAlign w:val="center"/>
          </w:tcPr>
          <w:p w14:paraId="5D504413" w14:textId="77777777" w:rsidR="004E1902" w:rsidRPr="00206137" w:rsidRDefault="002E23F7" w:rsidP="00BE3F24">
            <w:pPr>
              <w:jc w:val="center"/>
              <w:rPr>
                <w:rFonts w:ascii="Arial" w:hAnsi="Arial" w:cs="Arial"/>
                <w:sz w:val="18"/>
                <w:szCs w:val="18"/>
              </w:rPr>
            </w:pPr>
            <w:r>
              <w:rPr>
                <w:rFonts w:ascii="Arial" w:hAnsi="Arial" w:cs="Arial"/>
                <w:sz w:val="18"/>
                <w:szCs w:val="18"/>
              </w:rPr>
              <w:t>8</w:t>
            </w:r>
            <w:r w:rsidR="004E1902" w:rsidRPr="00206137">
              <w:rPr>
                <w:rFonts w:ascii="Arial" w:hAnsi="Arial" w:cs="Arial"/>
                <w:sz w:val="18"/>
                <w:szCs w:val="18"/>
              </w:rPr>
              <w:t>*</w:t>
            </w:r>
          </w:p>
        </w:tc>
      </w:tr>
      <w:tr w:rsidR="004E1902" w:rsidRPr="00206137" w14:paraId="4E8E561E" w14:textId="77777777" w:rsidTr="000A02F1">
        <w:trPr>
          <w:trHeight w:val="288"/>
          <w:jc w:val="center"/>
        </w:trPr>
        <w:tc>
          <w:tcPr>
            <w:tcW w:w="2782" w:type="dxa"/>
            <w:vAlign w:val="center"/>
          </w:tcPr>
          <w:p w14:paraId="0925DA4F" w14:textId="77777777" w:rsidR="004E1902" w:rsidRPr="00206137" w:rsidRDefault="004E1902" w:rsidP="00BE3F24">
            <w:pPr>
              <w:jc w:val="center"/>
              <w:rPr>
                <w:rFonts w:ascii="Arial" w:hAnsi="Arial" w:cs="Arial"/>
                <w:sz w:val="18"/>
                <w:szCs w:val="18"/>
              </w:rPr>
            </w:pPr>
            <w:r>
              <w:rPr>
                <w:rFonts w:ascii="Arial" w:hAnsi="Arial" w:cs="Arial"/>
                <w:sz w:val="18"/>
                <w:szCs w:val="18"/>
              </w:rPr>
              <w:t>PAGD Engineer</w:t>
            </w:r>
          </w:p>
        </w:tc>
        <w:tc>
          <w:tcPr>
            <w:tcW w:w="2286" w:type="dxa"/>
            <w:vAlign w:val="center"/>
          </w:tcPr>
          <w:p w14:paraId="0C34B270" w14:textId="77777777" w:rsidR="004E1902" w:rsidRPr="00895218" w:rsidRDefault="004E1902" w:rsidP="00BE3F24">
            <w:pPr>
              <w:jc w:val="center"/>
              <w:rPr>
                <w:rFonts w:ascii="Arial" w:hAnsi="Arial"/>
                <w:sz w:val="18"/>
              </w:rPr>
            </w:pPr>
            <w:r w:rsidRPr="00895218">
              <w:rPr>
                <w:rFonts w:ascii="Arial" w:hAnsi="Arial"/>
                <w:sz w:val="18"/>
              </w:rPr>
              <w:t>Prepare Details</w:t>
            </w:r>
          </w:p>
        </w:tc>
        <w:tc>
          <w:tcPr>
            <w:tcW w:w="1926" w:type="dxa"/>
            <w:vAlign w:val="center"/>
          </w:tcPr>
          <w:p w14:paraId="5CAE2CD5" w14:textId="77777777" w:rsidR="004E1902" w:rsidRPr="00206137" w:rsidRDefault="004E1902" w:rsidP="00BE3F24">
            <w:pPr>
              <w:jc w:val="center"/>
              <w:rPr>
                <w:rFonts w:ascii="Arial" w:hAnsi="Arial" w:cs="Arial"/>
                <w:sz w:val="18"/>
                <w:szCs w:val="18"/>
              </w:rPr>
            </w:pPr>
            <w:r w:rsidRPr="00206137">
              <w:rPr>
                <w:rFonts w:ascii="Arial" w:hAnsi="Arial" w:cs="Arial"/>
                <w:sz w:val="18"/>
                <w:szCs w:val="18"/>
              </w:rPr>
              <w:t>1</w:t>
            </w:r>
          </w:p>
        </w:tc>
        <w:tc>
          <w:tcPr>
            <w:tcW w:w="1584" w:type="dxa"/>
            <w:vAlign w:val="center"/>
          </w:tcPr>
          <w:p w14:paraId="20FABF6C" w14:textId="77777777" w:rsidR="004E1902" w:rsidRPr="00206137" w:rsidRDefault="004E1902" w:rsidP="00BE3F24">
            <w:pPr>
              <w:jc w:val="center"/>
              <w:rPr>
                <w:rFonts w:ascii="Arial" w:hAnsi="Arial" w:cs="Arial"/>
                <w:sz w:val="18"/>
                <w:szCs w:val="18"/>
              </w:rPr>
            </w:pPr>
            <w:r w:rsidRPr="00206137">
              <w:rPr>
                <w:rFonts w:ascii="Arial" w:hAnsi="Arial" w:cs="Arial"/>
                <w:sz w:val="18"/>
                <w:szCs w:val="18"/>
              </w:rPr>
              <w:t>4*</w:t>
            </w:r>
          </w:p>
        </w:tc>
      </w:tr>
    </w:tbl>
    <w:p w14:paraId="458AAC77" w14:textId="77777777" w:rsidR="004E1902" w:rsidRDefault="004E1902" w:rsidP="00BE3F24">
      <w:r w:rsidRPr="00895218">
        <w:rPr>
          <w:rFonts w:ascii="Arial" w:hAnsi="Arial"/>
          <w:sz w:val="18"/>
          <w:szCs w:val="18"/>
        </w:rPr>
        <w:t xml:space="preserve">      * The time required would vary depending on the size and complexity of a project.</w:t>
      </w:r>
    </w:p>
    <w:p w14:paraId="74073CD3" w14:textId="77777777" w:rsidR="004E1902" w:rsidRPr="00CC58A7" w:rsidRDefault="004E1902" w:rsidP="00172E64">
      <w:pPr>
        <w:pStyle w:val="Heading3"/>
        <w:numPr>
          <w:ilvl w:val="2"/>
          <w:numId w:val="184"/>
        </w:numPr>
        <w:ind w:left="0" w:firstLine="0"/>
      </w:pPr>
      <w:r w:rsidRPr="00CC58A7">
        <w:t>Procedure</w:t>
      </w:r>
    </w:p>
    <w:p w14:paraId="54B5648F" w14:textId="3D84BEE8" w:rsidR="008A5031" w:rsidRDefault="008A5031" w:rsidP="008A5031">
      <w:pPr>
        <w:pStyle w:val="BodyText"/>
        <w:spacing w:after="0"/>
        <w:jc w:val="both"/>
      </w:pPr>
      <w:r w:rsidRPr="00CC58A7">
        <w:t xml:space="preserve">The procedure </w:t>
      </w:r>
      <w:r w:rsidRPr="00004850">
        <w:t>described</w:t>
      </w:r>
      <w:r w:rsidR="006A56CD">
        <w:t xml:space="preserve"> below</w:t>
      </w:r>
      <w:r w:rsidRPr="00004850">
        <w:t xml:space="preserve"> should be followed when </w:t>
      </w:r>
      <w:r>
        <w:t xml:space="preserve">selecting a </w:t>
      </w:r>
      <w:r w:rsidR="00C17190">
        <w:t xml:space="preserve">subsurface drainage and </w:t>
      </w:r>
      <w:r>
        <w:t>groundwater control method</w:t>
      </w:r>
      <w:r w:rsidRPr="00004850">
        <w:t xml:space="preserve">. Numerous steps contained in this procedure can be completed with software applications that the </w:t>
      </w:r>
      <w:r>
        <w:t>PAGD</w:t>
      </w:r>
      <w:r w:rsidRPr="00004850">
        <w:t xml:space="preserve"> currently u</w:t>
      </w:r>
      <w:r>
        <w:t xml:space="preserve">ses or has under development. </w:t>
      </w:r>
      <w:r w:rsidRPr="00004850">
        <w:t>The following procedure was written to provide the design engineer with adequ</w:t>
      </w:r>
      <w:r>
        <w:t xml:space="preserve">ate information to select a method </w:t>
      </w:r>
      <w:r w:rsidRPr="00CC58A7">
        <w:t>without specific knowledge or access to computer software applications, but with the assumption th</w:t>
      </w:r>
      <w:r>
        <w:t xml:space="preserve">at these tools were available. </w:t>
      </w:r>
    </w:p>
    <w:p w14:paraId="4DDFB02B" w14:textId="77777777" w:rsidR="008A5031" w:rsidRPr="00CC58A7" w:rsidRDefault="008A5031" w:rsidP="008A5031">
      <w:pPr>
        <w:pStyle w:val="BodyText"/>
        <w:spacing w:after="0"/>
        <w:jc w:val="both"/>
      </w:pPr>
      <w:r w:rsidRPr="00CC58A7">
        <w:t xml:space="preserve">    </w:t>
      </w:r>
    </w:p>
    <w:p w14:paraId="197642E1" w14:textId="77777777" w:rsidR="008A5031" w:rsidRDefault="008A5031" w:rsidP="008A5031">
      <w:pPr>
        <w:pStyle w:val="BodyText"/>
        <w:spacing w:after="0"/>
        <w:jc w:val="both"/>
      </w:pPr>
      <w:r w:rsidRPr="0021416D">
        <w:t xml:space="preserve">Follow the steps below to </w:t>
      </w:r>
      <w:r>
        <w:t xml:space="preserve">analyze groundwater </w:t>
      </w:r>
      <w:r w:rsidR="00C17190">
        <w:t xml:space="preserve">and soil </w:t>
      </w:r>
      <w:r>
        <w:t xml:space="preserve">conditions </w:t>
      </w:r>
      <w:r w:rsidR="00C17190">
        <w:t>in order t</w:t>
      </w:r>
      <w:r>
        <w:t xml:space="preserve">o select </w:t>
      </w:r>
      <w:r w:rsidR="00C17190">
        <w:t xml:space="preserve">appropriate </w:t>
      </w:r>
      <w:r>
        <w:t xml:space="preserve">groundwater control </w:t>
      </w:r>
      <w:r w:rsidR="00C17190">
        <w:t xml:space="preserve">and subsurface drainage </w:t>
      </w:r>
      <w:r w:rsidRPr="00BC76F2">
        <w:t>method(s)</w:t>
      </w:r>
      <w:r>
        <w:t xml:space="preserve">: </w:t>
      </w:r>
    </w:p>
    <w:p w14:paraId="6DD44DB2" w14:textId="289C9968" w:rsidR="008A5031" w:rsidRDefault="008A5031" w:rsidP="00172E64">
      <w:pPr>
        <w:pStyle w:val="ListNumber"/>
        <w:numPr>
          <w:ilvl w:val="0"/>
          <w:numId w:val="172"/>
        </w:numPr>
        <w:tabs>
          <w:tab w:val="clear" w:pos="1242"/>
          <w:tab w:val="clear" w:pos="1872"/>
          <w:tab w:val="num" w:pos="1080"/>
        </w:tabs>
        <w:spacing w:before="0"/>
        <w:ind w:left="1080" w:hanging="1080"/>
        <w:jc w:val="both"/>
      </w:pPr>
      <w:r w:rsidRPr="0021416D">
        <w:lastRenderedPageBreak/>
        <w:t xml:space="preserve">Review </w:t>
      </w:r>
      <w:r>
        <w:t xml:space="preserve">proposed </w:t>
      </w:r>
      <w:r w:rsidRPr="0021416D">
        <w:t>plans thoroughly and make notes.</w:t>
      </w:r>
      <w:r>
        <w:t xml:space="preserve">  Mark the location</w:t>
      </w:r>
      <w:r w:rsidR="006A56CD">
        <w:t>s</w:t>
      </w:r>
      <w:r>
        <w:t xml:space="preserve"> of borings on the plans. Plot the borings on the roadway profile and/or cross sections. An alternate for this can be printing stick logs from gINT and pasting on respective cross sections.</w:t>
      </w:r>
    </w:p>
    <w:p w14:paraId="233E68DB" w14:textId="1AB5FD6E" w:rsidR="00D454BD" w:rsidRDefault="008A5031" w:rsidP="00172E64">
      <w:pPr>
        <w:pStyle w:val="ListNumber"/>
        <w:numPr>
          <w:ilvl w:val="0"/>
          <w:numId w:val="172"/>
        </w:numPr>
        <w:tabs>
          <w:tab w:val="clear" w:pos="1242"/>
          <w:tab w:val="clear" w:pos="1872"/>
        </w:tabs>
        <w:ind w:left="1080" w:hanging="1080"/>
        <w:jc w:val="both"/>
      </w:pPr>
      <w:r>
        <w:t xml:space="preserve">Plot groundwater level </w:t>
      </w:r>
      <w:r w:rsidR="00C17190">
        <w:t xml:space="preserve">readings </w:t>
      </w:r>
      <w:r>
        <w:t xml:space="preserve">on </w:t>
      </w:r>
      <w:r w:rsidR="00C17190">
        <w:t xml:space="preserve">the </w:t>
      </w:r>
      <w:r>
        <w:t xml:space="preserve">roadway profile and </w:t>
      </w:r>
      <w:r w:rsidR="00C17190">
        <w:t xml:space="preserve">the </w:t>
      </w:r>
      <w:r>
        <w:t>cross sections based on 0-hr and 24-hr readings from borings and the readings from Monitoring Wells, if any.</w:t>
      </w:r>
      <w:r w:rsidR="00C17190">
        <w:t xml:space="preserve">  Also, plot soil moisture conditions and soil moisture lab test results on the roadway profile and the cross sections. </w:t>
      </w:r>
    </w:p>
    <w:p w14:paraId="2C496FF4" w14:textId="6E17366D" w:rsidR="008A5031" w:rsidRDefault="008A5031" w:rsidP="00172E64">
      <w:pPr>
        <w:pStyle w:val="ListNumber"/>
        <w:numPr>
          <w:ilvl w:val="0"/>
          <w:numId w:val="172"/>
        </w:numPr>
        <w:tabs>
          <w:tab w:val="clear" w:pos="1242"/>
          <w:tab w:val="clear" w:pos="1872"/>
        </w:tabs>
        <w:ind w:left="1080" w:hanging="1080"/>
        <w:jc w:val="both"/>
      </w:pPr>
      <w:r>
        <w:t>Discuss the project with the EGD for groundwater table, its seasonal variation, the location of perched water table, the location of aquifers, and the presence of artesian conditions.</w:t>
      </w:r>
      <w:r w:rsidR="001F6F64">
        <w:t xml:space="preserve"> Geophysics is useful to help define groundwater conditions.</w:t>
      </w:r>
    </w:p>
    <w:p w14:paraId="1C256EFE" w14:textId="77777777" w:rsidR="00097D66" w:rsidRDefault="00097D66" w:rsidP="00172E64">
      <w:pPr>
        <w:pStyle w:val="ListNumber"/>
        <w:numPr>
          <w:ilvl w:val="0"/>
          <w:numId w:val="172"/>
        </w:numPr>
        <w:tabs>
          <w:tab w:val="clear" w:pos="1242"/>
          <w:tab w:val="clear" w:pos="1872"/>
        </w:tabs>
        <w:ind w:left="1080" w:hanging="1080"/>
        <w:jc w:val="both"/>
      </w:pPr>
      <w:r>
        <w:t>A site visit may be required to further evaluate existing drainage issues (wet ditches, slope seepage) and verify wetland impacts on proposed infrastructure improvements.</w:t>
      </w:r>
    </w:p>
    <w:p w14:paraId="5492DBFF" w14:textId="52C825D9" w:rsidR="008A5031" w:rsidRDefault="008A5031" w:rsidP="00172E64">
      <w:pPr>
        <w:pStyle w:val="ListNumber"/>
        <w:numPr>
          <w:ilvl w:val="0"/>
          <w:numId w:val="172"/>
        </w:numPr>
        <w:tabs>
          <w:tab w:val="clear" w:pos="1242"/>
          <w:tab w:val="clear" w:pos="1872"/>
        </w:tabs>
        <w:ind w:left="1080" w:hanging="1080"/>
        <w:jc w:val="both"/>
      </w:pPr>
      <w:r w:rsidRPr="00BC76F2">
        <w:t xml:space="preserve">If groundwater </w:t>
      </w:r>
      <w:r w:rsidR="00C17190">
        <w:t xml:space="preserve">and/or soil with high moisture conditions </w:t>
      </w:r>
      <w:r w:rsidR="006A56CD">
        <w:t>is</w:t>
      </w:r>
      <w:r w:rsidR="006A56CD" w:rsidRPr="00BC76F2">
        <w:t xml:space="preserve"> </w:t>
      </w:r>
      <w:r w:rsidRPr="00BC76F2">
        <w:t>anticipated to impact the vertical and horizontal alignment</w:t>
      </w:r>
      <w:r w:rsidR="006A56CD">
        <w:t>,</w:t>
      </w:r>
      <w:r w:rsidRPr="00BC76F2">
        <w:t xml:space="preserve"> the PM should be notified immediately.</w:t>
      </w:r>
    </w:p>
    <w:p w14:paraId="4B05A61A" w14:textId="77777777" w:rsidR="008A5031" w:rsidRDefault="008A5031" w:rsidP="00172E64">
      <w:pPr>
        <w:pStyle w:val="ListNumber"/>
        <w:numPr>
          <w:ilvl w:val="0"/>
          <w:numId w:val="172"/>
        </w:numPr>
        <w:tabs>
          <w:tab w:val="clear" w:pos="1242"/>
          <w:tab w:val="clear" w:pos="1872"/>
        </w:tabs>
        <w:ind w:left="1080" w:hanging="1080"/>
        <w:jc w:val="both"/>
      </w:pPr>
      <w:r>
        <w:t xml:space="preserve">Discuss different </w:t>
      </w:r>
      <w:r w:rsidR="002E23F7">
        <w:t>drainage tools/</w:t>
      </w:r>
      <w:r>
        <w:t xml:space="preserve">methods mentioned below with </w:t>
      </w:r>
      <w:r w:rsidR="00C17190">
        <w:t xml:space="preserve">the </w:t>
      </w:r>
      <w:r>
        <w:t xml:space="preserve">PAGD TL and EGD to select one or more methods appropriate for the project. </w:t>
      </w:r>
    </w:p>
    <w:p w14:paraId="595F1CDF" w14:textId="15C6773E" w:rsidR="008A5031" w:rsidRDefault="008A5031" w:rsidP="00172E64">
      <w:pPr>
        <w:pStyle w:val="ListNumber"/>
        <w:numPr>
          <w:ilvl w:val="0"/>
          <w:numId w:val="172"/>
        </w:numPr>
        <w:tabs>
          <w:tab w:val="clear" w:pos="1242"/>
          <w:tab w:val="clear" w:pos="1872"/>
        </w:tabs>
        <w:ind w:left="1080" w:hanging="1080"/>
        <w:jc w:val="both"/>
      </w:pPr>
      <w:r>
        <w:t xml:space="preserve">Once a </w:t>
      </w:r>
      <w:r w:rsidRPr="00BC76F2">
        <w:t>method(s)</w:t>
      </w:r>
      <w:r>
        <w:t xml:space="preserve"> has been selected, calculate the approximate quantity required for the selected method</w:t>
      </w:r>
      <w:r w:rsidR="00080952">
        <w:t>(</w:t>
      </w:r>
      <w:r>
        <w:t>s</w:t>
      </w:r>
      <w:r w:rsidR="00080952">
        <w:t>)</w:t>
      </w:r>
      <w:r>
        <w:t xml:space="preserve">. Include the detail, location, and offset for the above methods as part of the </w:t>
      </w:r>
      <w:r w:rsidRPr="00BC76F2">
        <w:t>F</w:t>
      </w:r>
      <w:r>
        <w:t xml:space="preserve">inal Pavement and </w:t>
      </w:r>
      <w:r w:rsidRPr="00BC76F2">
        <w:t>G</w:t>
      </w:r>
      <w:r>
        <w:t xml:space="preserve">eotechnical </w:t>
      </w:r>
      <w:r w:rsidRPr="00BC76F2">
        <w:t>R</w:t>
      </w:r>
      <w:r>
        <w:t>eport</w:t>
      </w:r>
      <w:r w:rsidR="005B58A9">
        <w:t xml:space="preserve"> (FPGR)</w:t>
      </w:r>
      <w:r>
        <w:t>.</w:t>
      </w:r>
    </w:p>
    <w:p w14:paraId="22A37364" w14:textId="77777777" w:rsidR="008A5031" w:rsidRDefault="008A5031" w:rsidP="00172E64">
      <w:pPr>
        <w:pStyle w:val="ListNumber"/>
        <w:numPr>
          <w:ilvl w:val="0"/>
          <w:numId w:val="172"/>
        </w:numPr>
        <w:tabs>
          <w:tab w:val="clear" w:pos="1242"/>
          <w:tab w:val="clear" w:pos="1872"/>
        </w:tabs>
        <w:ind w:left="1080" w:hanging="1080"/>
        <w:jc w:val="both"/>
      </w:pPr>
      <w:r w:rsidRPr="00BC76F2">
        <w:t>Review the Final Review plans.  The Final Review plans should show the detail, location, and offset of the methods included in the F</w:t>
      </w:r>
      <w:r w:rsidR="005B58A9">
        <w:t>P</w:t>
      </w:r>
      <w:r w:rsidRPr="00BC76F2">
        <w:t xml:space="preserve">GR. </w:t>
      </w:r>
    </w:p>
    <w:p w14:paraId="738E967F" w14:textId="77777777" w:rsidR="008A5031" w:rsidRDefault="008A5031" w:rsidP="00BE3F24">
      <w:pPr>
        <w:pStyle w:val="BodyText"/>
        <w:spacing w:after="0"/>
        <w:jc w:val="both"/>
      </w:pPr>
    </w:p>
    <w:p w14:paraId="403077CE" w14:textId="77777777" w:rsidR="004E1902" w:rsidRDefault="004E1902" w:rsidP="00BE3F24">
      <w:pPr>
        <w:pStyle w:val="BodyText"/>
        <w:spacing w:after="0"/>
        <w:jc w:val="both"/>
      </w:pPr>
      <w:r w:rsidRPr="00CC58A7">
        <w:t xml:space="preserve">The </w:t>
      </w:r>
      <w:r>
        <w:t xml:space="preserve">drainage tools listed below are used to address </w:t>
      </w:r>
      <w:r w:rsidR="00C17190">
        <w:t xml:space="preserve">groundwater, high moisture content soil conditions, and/or </w:t>
      </w:r>
      <w:r>
        <w:t>drainage issues based on the existing conditions encountered for a specific project:</w:t>
      </w:r>
    </w:p>
    <w:p w14:paraId="1E70E272" w14:textId="77777777" w:rsidR="00C17190" w:rsidRDefault="00C17190" w:rsidP="00BE3F24">
      <w:pPr>
        <w:pStyle w:val="BodyText"/>
        <w:spacing w:after="0"/>
        <w:jc w:val="both"/>
      </w:pPr>
    </w:p>
    <w:p w14:paraId="6BABE343" w14:textId="77777777" w:rsidR="00D454BD" w:rsidRDefault="004E1902" w:rsidP="00172E64">
      <w:pPr>
        <w:pStyle w:val="BodyText"/>
        <w:numPr>
          <w:ilvl w:val="0"/>
          <w:numId w:val="133"/>
        </w:numPr>
        <w:tabs>
          <w:tab w:val="clear" w:pos="1170"/>
          <w:tab w:val="num" w:pos="540"/>
        </w:tabs>
        <w:spacing w:after="0"/>
        <w:ind w:hanging="1170"/>
        <w:jc w:val="both"/>
      </w:pPr>
      <w:r>
        <w:t>Underdrain</w:t>
      </w:r>
      <w:r w:rsidR="00346A29">
        <w:t xml:space="preserve"> and Trench Drain</w:t>
      </w:r>
    </w:p>
    <w:p w14:paraId="3C3A75DB" w14:textId="77777777" w:rsidR="00D454BD" w:rsidRDefault="004E1902" w:rsidP="00172E64">
      <w:pPr>
        <w:pStyle w:val="BodyText"/>
        <w:numPr>
          <w:ilvl w:val="0"/>
          <w:numId w:val="133"/>
        </w:numPr>
        <w:tabs>
          <w:tab w:val="clear" w:pos="1170"/>
          <w:tab w:val="num" w:pos="540"/>
        </w:tabs>
        <w:spacing w:after="0"/>
        <w:ind w:hanging="1170"/>
        <w:jc w:val="both"/>
      </w:pPr>
      <w:r>
        <w:t>Drainage Blanket</w:t>
      </w:r>
      <w:r w:rsidR="00346A29">
        <w:t xml:space="preserve"> and Slope Drainage Blanket</w:t>
      </w:r>
    </w:p>
    <w:p w14:paraId="29C8176B" w14:textId="77777777" w:rsidR="00D454BD" w:rsidRDefault="004E1902" w:rsidP="00172E64">
      <w:pPr>
        <w:pStyle w:val="BodyText"/>
        <w:numPr>
          <w:ilvl w:val="0"/>
          <w:numId w:val="133"/>
        </w:numPr>
        <w:tabs>
          <w:tab w:val="clear" w:pos="1170"/>
          <w:tab w:val="num" w:pos="540"/>
        </w:tabs>
        <w:spacing w:after="0"/>
        <w:ind w:hanging="1170"/>
        <w:jc w:val="both"/>
      </w:pPr>
      <w:r>
        <w:t>Subgrade Drain</w:t>
      </w:r>
    </w:p>
    <w:p w14:paraId="7C373AEF" w14:textId="77777777" w:rsidR="00D454BD" w:rsidRDefault="004E1902" w:rsidP="00172E64">
      <w:pPr>
        <w:pStyle w:val="BodyText"/>
        <w:numPr>
          <w:ilvl w:val="0"/>
          <w:numId w:val="133"/>
        </w:numPr>
        <w:tabs>
          <w:tab w:val="clear" w:pos="1170"/>
          <w:tab w:val="num" w:pos="540"/>
        </w:tabs>
        <w:spacing w:after="0"/>
        <w:ind w:hanging="1170"/>
        <w:jc w:val="both"/>
      </w:pPr>
      <w:r>
        <w:t>Spring Control</w:t>
      </w:r>
    </w:p>
    <w:p w14:paraId="6DDCE592" w14:textId="77777777" w:rsidR="00D454BD" w:rsidRDefault="004E1902" w:rsidP="00172E64">
      <w:pPr>
        <w:pStyle w:val="BodyText"/>
        <w:numPr>
          <w:ilvl w:val="0"/>
          <w:numId w:val="133"/>
        </w:numPr>
        <w:tabs>
          <w:tab w:val="clear" w:pos="1170"/>
          <w:tab w:val="num" w:pos="540"/>
        </w:tabs>
        <w:spacing w:after="0"/>
        <w:ind w:hanging="1170"/>
        <w:jc w:val="both"/>
      </w:pPr>
      <w:r>
        <w:t>Other Alternatives to Subsurface Drainage</w:t>
      </w:r>
    </w:p>
    <w:p w14:paraId="4E6010E4" w14:textId="77777777" w:rsidR="004E1902" w:rsidRDefault="004E1902" w:rsidP="000A02F1">
      <w:pPr>
        <w:pStyle w:val="ListNumber"/>
        <w:numPr>
          <w:ilvl w:val="12"/>
          <w:numId w:val="0"/>
        </w:numPr>
        <w:tabs>
          <w:tab w:val="clear" w:pos="1872"/>
          <w:tab w:val="num" w:pos="720"/>
        </w:tabs>
        <w:spacing w:before="0"/>
        <w:ind w:left="1170" w:hanging="1170"/>
        <w:jc w:val="both"/>
      </w:pPr>
    </w:p>
    <w:p w14:paraId="5674E899" w14:textId="77777777" w:rsidR="004E1902" w:rsidRDefault="004E1902" w:rsidP="00BE3F24">
      <w:pPr>
        <w:pStyle w:val="ListNumber"/>
        <w:tabs>
          <w:tab w:val="clear" w:pos="720"/>
          <w:tab w:val="clear" w:pos="1872"/>
        </w:tabs>
        <w:spacing w:before="0"/>
        <w:ind w:left="0" w:firstLine="0"/>
        <w:jc w:val="both"/>
      </w:pPr>
    </w:p>
    <w:p w14:paraId="5E0C1364" w14:textId="77777777" w:rsidR="00DD1953" w:rsidRDefault="00DD1953">
      <w:pPr>
        <w:rPr>
          <w:rFonts w:ascii="Arial" w:hAnsi="Arial"/>
          <w:b/>
          <w:i/>
          <w:sz w:val="24"/>
        </w:rPr>
      </w:pPr>
      <w:r>
        <w:br w:type="page"/>
      </w:r>
    </w:p>
    <w:p w14:paraId="1050CD0E" w14:textId="77777777" w:rsidR="006041E7" w:rsidRPr="009101BE" w:rsidRDefault="006041E7" w:rsidP="00172E64">
      <w:pPr>
        <w:pStyle w:val="Heading3"/>
        <w:numPr>
          <w:ilvl w:val="2"/>
          <w:numId w:val="184"/>
        </w:numPr>
        <w:ind w:left="0" w:firstLine="0"/>
      </w:pPr>
      <w:r w:rsidRPr="009101BE">
        <w:lastRenderedPageBreak/>
        <w:t>Underdrain and Trench Drain</w:t>
      </w:r>
    </w:p>
    <w:p w14:paraId="06D750E1" w14:textId="4D38ED02" w:rsidR="006041E7" w:rsidRDefault="006041E7" w:rsidP="000A02F1">
      <w:pPr>
        <w:jc w:val="both"/>
        <w:rPr>
          <w:rFonts w:ascii="Arial" w:hAnsi="Arial"/>
          <w:u w:val="single"/>
        </w:rPr>
      </w:pPr>
      <w:r>
        <w:rPr>
          <w:rFonts w:ascii="Arial" w:hAnsi="Arial"/>
          <w:sz w:val="22"/>
          <w:szCs w:val="22"/>
        </w:rPr>
        <w:t>Underdrain</w:t>
      </w:r>
      <w:r w:rsidR="00346A29">
        <w:rPr>
          <w:rFonts w:ascii="Arial" w:hAnsi="Arial"/>
          <w:sz w:val="22"/>
          <w:szCs w:val="22"/>
        </w:rPr>
        <w:t>s</w:t>
      </w:r>
      <w:r>
        <w:rPr>
          <w:rFonts w:ascii="Arial" w:hAnsi="Arial"/>
          <w:sz w:val="22"/>
          <w:szCs w:val="22"/>
        </w:rPr>
        <w:t xml:space="preserve"> and trench drains are a boxed line of clean aggregate placed beneath the pavement structure </w:t>
      </w:r>
      <w:r w:rsidR="00840E16">
        <w:rPr>
          <w:rFonts w:ascii="Arial" w:hAnsi="Arial"/>
          <w:sz w:val="22"/>
          <w:szCs w:val="22"/>
        </w:rPr>
        <w:t xml:space="preserve">(generally in a perpendicular or transverse direction at regularly spaced intervals) </w:t>
      </w:r>
      <w:r>
        <w:rPr>
          <w:rFonts w:ascii="Arial" w:hAnsi="Arial"/>
          <w:sz w:val="22"/>
          <w:szCs w:val="22"/>
        </w:rPr>
        <w:t xml:space="preserve">or to the side </w:t>
      </w:r>
      <w:r w:rsidR="00840E16">
        <w:rPr>
          <w:rFonts w:ascii="Arial" w:hAnsi="Arial"/>
          <w:sz w:val="22"/>
          <w:szCs w:val="22"/>
        </w:rPr>
        <w:t>(generally longitudinally for continuous or discret</w:t>
      </w:r>
      <w:r w:rsidR="003D4E09">
        <w:rPr>
          <w:rFonts w:ascii="Arial" w:hAnsi="Arial"/>
          <w:sz w:val="22"/>
          <w:szCs w:val="22"/>
        </w:rPr>
        <w:t>e</w:t>
      </w:r>
      <w:r w:rsidR="00840E16">
        <w:rPr>
          <w:rFonts w:ascii="Arial" w:hAnsi="Arial"/>
          <w:sz w:val="22"/>
          <w:szCs w:val="22"/>
        </w:rPr>
        <w:t xml:space="preserve"> lengths) </w:t>
      </w:r>
      <w:r>
        <w:rPr>
          <w:rFonts w:ascii="Arial" w:hAnsi="Arial"/>
          <w:sz w:val="22"/>
          <w:szCs w:val="22"/>
        </w:rPr>
        <w:t xml:space="preserve">and used to move water away from a roadway embankment into ditches or drainage structures.  Both underdrains and trench drains are used </w:t>
      </w:r>
      <w:r w:rsidRPr="006100E0">
        <w:rPr>
          <w:rFonts w:ascii="Arial" w:hAnsi="Arial"/>
          <w:sz w:val="22"/>
          <w:szCs w:val="22"/>
        </w:rPr>
        <w:t>in areas of excessive moisture or high water tables</w:t>
      </w:r>
      <w:r>
        <w:rPr>
          <w:rFonts w:ascii="Arial" w:hAnsi="Arial"/>
          <w:sz w:val="22"/>
          <w:szCs w:val="22"/>
        </w:rPr>
        <w:t>.  The main difference between them is that underdrain makes use of pipe and trench drain does not.  Underdrains are outlet into drainage structures through the use of the pipe or they can be outlet to side ditches and slopes.  Typically, it is best to s</w:t>
      </w:r>
      <w:r w:rsidRPr="006100E0">
        <w:rPr>
          <w:rFonts w:ascii="Arial" w:hAnsi="Arial"/>
          <w:sz w:val="22"/>
          <w:szCs w:val="22"/>
        </w:rPr>
        <w:t xml:space="preserve">pecify </w:t>
      </w:r>
      <w:r>
        <w:rPr>
          <w:rFonts w:ascii="Arial" w:hAnsi="Arial"/>
          <w:sz w:val="22"/>
          <w:szCs w:val="22"/>
        </w:rPr>
        <w:t xml:space="preserve">one or two continuous </w:t>
      </w:r>
      <w:r w:rsidRPr="006100E0">
        <w:rPr>
          <w:rFonts w:ascii="Arial" w:hAnsi="Arial"/>
          <w:sz w:val="22"/>
          <w:szCs w:val="22"/>
        </w:rPr>
        <w:t>line(s)</w:t>
      </w:r>
      <w:r>
        <w:rPr>
          <w:rFonts w:ascii="Arial" w:hAnsi="Arial"/>
          <w:sz w:val="22"/>
          <w:szCs w:val="22"/>
        </w:rPr>
        <w:t xml:space="preserve"> of underdrain </w:t>
      </w:r>
      <w:r w:rsidRPr="006100E0">
        <w:rPr>
          <w:rFonts w:ascii="Arial" w:hAnsi="Arial"/>
          <w:sz w:val="22"/>
          <w:szCs w:val="22"/>
        </w:rPr>
        <w:t xml:space="preserve">through </w:t>
      </w:r>
      <w:r>
        <w:rPr>
          <w:rFonts w:ascii="Arial" w:hAnsi="Arial"/>
          <w:sz w:val="22"/>
          <w:szCs w:val="22"/>
        </w:rPr>
        <w:t xml:space="preserve">the project </w:t>
      </w:r>
      <w:r w:rsidRPr="006100E0">
        <w:rPr>
          <w:rFonts w:ascii="Arial" w:hAnsi="Arial"/>
          <w:sz w:val="22"/>
          <w:szCs w:val="22"/>
        </w:rPr>
        <w:t>limits.</w:t>
      </w:r>
      <w:r>
        <w:rPr>
          <w:rFonts w:ascii="Arial" w:hAnsi="Arial"/>
          <w:sz w:val="22"/>
          <w:szCs w:val="22"/>
        </w:rPr>
        <w:t xml:space="preserve">  Trench drains are daylighted to slopes or side ditches.  </w:t>
      </w:r>
    </w:p>
    <w:p w14:paraId="0D468376" w14:textId="77777777" w:rsidR="006041E7" w:rsidRDefault="006041E7" w:rsidP="00BE3F24">
      <w:pPr>
        <w:rPr>
          <w:rFonts w:ascii="Arial" w:hAnsi="Arial"/>
          <w:u w:val="single"/>
        </w:rPr>
      </w:pPr>
    </w:p>
    <w:p w14:paraId="652DF06D" w14:textId="77777777" w:rsidR="006041E7" w:rsidRPr="000A02F1" w:rsidRDefault="006041E7" w:rsidP="00BE3F24">
      <w:pPr>
        <w:rPr>
          <w:rFonts w:ascii="Arial" w:hAnsi="Arial"/>
          <w:b/>
          <w:sz w:val="22"/>
          <w:u w:val="single"/>
        </w:rPr>
      </w:pPr>
      <w:r w:rsidRPr="000A02F1">
        <w:rPr>
          <w:rFonts w:ascii="Arial" w:hAnsi="Arial"/>
          <w:b/>
          <w:sz w:val="22"/>
          <w:u w:val="single"/>
        </w:rPr>
        <w:t>Underdrain</w:t>
      </w:r>
    </w:p>
    <w:p w14:paraId="2E6D6608" w14:textId="5B97D7A4" w:rsidR="006041E7" w:rsidRDefault="006041E7" w:rsidP="00BE3F24">
      <w:pPr>
        <w:rPr>
          <w:rFonts w:ascii="Arial" w:hAnsi="Arial"/>
          <w:b/>
          <w:sz w:val="22"/>
          <w:szCs w:val="22"/>
          <w:u w:val="single"/>
        </w:rPr>
      </w:pPr>
      <w:r>
        <w:rPr>
          <w:rFonts w:ascii="Arial" w:hAnsi="Arial"/>
          <w:noProof/>
          <w:sz w:val="22"/>
          <w:szCs w:val="22"/>
        </w:rPr>
        <w:drawing>
          <wp:anchor distT="0" distB="0" distL="114300" distR="114300" simplePos="0" relativeHeight="251642368" behindDoc="0" locked="0" layoutInCell="1" allowOverlap="1" wp14:anchorId="75C2E10A" wp14:editId="73F8BF5D">
            <wp:simplePos x="0" y="0"/>
            <wp:positionH relativeFrom="column">
              <wp:posOffset>384175</wp:posOffset>
            </wp:positionH>
            <wp:positionV relativeFrom="paragraph">
              <wp:posOffset>28575</wp:posOffset>
            </wp:positionV>
            <wp:extent cx="4880687" cy="2438400"/>
            <wp:effectExtent l="19050" t="0" r="0" b="0"/>
            <wp:wrapNone/>
            <wp:docPr id="73" name="Picture 1116" descr="Underdrai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1116" descr="Underdrain diagram"/>
                    <pic:cNvPicPr>
                      <a:picLocks noChangeAspect="1" noChangeArrowheads="1"/>
                    </pic:cNvPicPr>
                  </pic:nvPicPr>
                  <pic:blipFill>
                    <a:blip r:embed="rId306" cstate="print"/>
                    <a:srcRect l="8861" t="1961" r="9476" b="17786"/>
                    <a:stretch>
                      <a:fillRect/>
                    </a:stretch>
                  </pic:blipFill>
                  <pic:spPr bwMode="auto">
                    <a:xfrm>
                      <a:off x="0" y="0"/>
                      <a:ext cx="4880687" cy="2438400"/>
                    </a:xfrm>
                    <a:prstGeom prst="rect">
                      <a:avLst/>
                    </a:prstGeom>
                    <a:noFill/>
                  </pic:spPr>
                </pic:pic>
              </a:graphicData>
            </a:graphic>
            <wp14:sizeRelH relativeFrom="margin">
              <wp14:pctWidth>0</wp14:pctWidth>
            </wp14:sizeRelH>
            <wp14:sizeRelV relativeFrom="margin">
              <wp14:pctHeight>0</wp14:pctHeight>
            </wp14:sizeRelV>
          </wp:anchor>
        </w:drawing>
      </w:r>
    </w:p>
    <w:p w14:paraId="35F011FB" w14:textId="77777777" w:rsidR="006041E7" w:rsidRDefault="006041E7" w:rsidP="00BE3F24">
      <w:pPr>
        <w:rPr>
          <w:rFonts w:ascii="Arial" w:hAnsi="Arial"/>
          <w:b/>
          <w:sz w:val="22"/>
          <w:szCs w:val="22"/>
          <w:u w:val="single"/>
        </w:rPr>
      </w:pPr>
    </w:p>
    <w:p w14:paraId="55EE9230" w14:textId="77777777" w:rsidR="006041E7" w:rsidRDefault="006041E7" w:rsidP="00BE3F24">
      <w:pPr>
        <w:rPr>
          <w:rFonts w:ascii="Arial" w:hAnsi="Arial"/>
          <w:b/>
          <w:sz w:val="22"/>
          <w:szCs w:val="22"/>
          <w:u w:val="single"/>
        </w:rPr>
      </w:pPr>
    </w:p>
    <w:p w14:paraId="3C6B2AA2" w14:textId="77777777" w:rsidR="006041E7" w:rsidRDefault="006041E7" w:rsidP="00BE3F24">
      <w:pPr>
        <w:rPr>
          <w:rFonts w:ascii="Arial" w:hAnsi="Arial"/>
          <w:b/>
          <w:sz w:val="22"/>
          <w:szCs w:val="22"/>
          <w:u w:val="single"/>
        </w:rPr>
      </w:pPr>
    </w:p>
    <w:p w14:paraId="764F519B" w14:textId="77777777" w:rsidR="006041E7" w:rsidRDefault="006041E7" w:rsidP="00BE3F24">
      <w:pPr>
        <w:rPr>
          <w:rFonts w:ascii="Arial" w:hAnsi="Arial"/>
          <w:b/>
          <w:sz w:val="22"/>
          <w:szCs w:val="22"/>
          <w:u w:val="single"/>
        </w:rPr>
      </w:pPr>
    </w:p>
    <w:p w14:paraId="5BFA8F75" w14:textId="77777777" w:rsidR="006041E7" w:rsidRDefault="006041E7" w:rsidP="00BE3F24">
      <w:pPr>
        <w:rPr>
          <w:rFonts w:ascii="Arial" w:hAnsi="Arial"/>
          <w:b/>
          <w:sz w:val="22"/>
          <w:szCs w:val="22"/>
          <w:u w:val="single"/>
        </w:rPr>
      </w:pPr>
    </w:p>
    <w:p w14:paraId="365E67ED" w14:textId="77777777" w:rsidR="006041E7" w:rsidRDefault="006041E7" w:rsidP="00BE3F24">
      <w:pPr>
        <w:rPr>
          <w:rFonts w:ascii="Arial" w:hAnsi="Arial"/>
          <w:b/>
          <w:sz w:val="22"/>
          <w:szCs w:val="22"/>
          <w:u w:val="single"/>
        </w:rPr>
      </w:pPr>
    </w:p>
    <w:p w14:paraId="5EC5C291" w14:textId="77777777" w:rsidR="006041E7" w:rsidRDefault="006041E7" w:rsidP="00BE3F24">
      <w:pPr>
        <w:rPr>
          <w:rFonts w:ascii="Arial" w:hAnsi="Arial"/>
          <w:b/>
          <w:sz w:val="22"/>
          <w:szCs w:val="22"/>
          <w:u w:val="single"/>
        </w:rPr>
      </w:pPr>
    </w:p>
    <w:p w14:paraId="63C61BDA" w14:textId="77777777" w:rsidR="006041E7" w:rsidRDefault="006041E7" w:rsidP="00BE3F24">
      <w:pPr>
        <w:rPr>
          <w:rFonts w:ascii="Arial" w:hAnsi="Arial"/>
          <w:b/>
          <w:sz w:val="22"/>
          <w:szCs w:val="22"/>
          <w:u w:val="single"/>
        </w:rPr>
      </w:pPr>
    </w:p>
    <w:p w14:paraId="4227589B" w14:textId="77777777" w:rsidR="006041E7" w:rsidRDefault="006041E7" w:rsidP="00BE3F24">
      <w:pPr>
        <w:rPr>
          <w:rFonts w:ascii="Arial" w:hAnsi="Arial"/>
          <w:b/>
          <w:sz w:val="22"/>
          <w:szCs w:val="22"/>
          <w:u w:val="single"/>
        </w:rPr>
      </w:pPr>
    </w:p>
    <w:p w14:paraId="7A7F070D" w14:textId="77777777" w:rsidR="006041E7" w:rsidRDefault="006041E7" w:rsidP="00BE3F24">
      <w:pPr>
        <w:rPr>
          <w:rFonts w:ascii="Arial" w:hAnsi="Arial"/>
          <w:b/>
          <w:sz w:val="22"/>
          <w:szCs w:val="22"/>
          <w:u w:val="single"/>
        </w:rPr>
      </w:pPr>
    </w:p>
    <w:p w14:paraId="763E6845" w14:textId="77777777" w:rsidR="006041E7" w:rsidRDefault="006041E7" w:rsidP="00BE3F24">
      <w:pPr>
        <w:rPr>
          <w:rFonts w:ascii="Arial" w:hAnsi="Arial"/>
          <w:b/>
          <w:sz w:val="22"/>
          <w:szCs w:val="22"/>
          <w:u w:val="single"/>
        </w:rPr>
      </w:pPr>
    </w:p>
    <w:p w14:paraId="5333044B" w14:textId="77777777" w:rsidR="006041E7" w:rsidRDefault="006041E7" w:rsidP="00BE3F24">
      <w:pPr>
        <w:rPr>
          <w:rFonts w:ascii="Arial" w:hAnsi="Arial"/>
          <w:b/>
          <w:sz w:val="22"/>
          <w:szCs w:val="22"/>
          <w:u w:val="single"/>
        </w:rPr>
      </w:pPr>
    </w:p>
    <w:p w14:paraId="67389A5E" w14:textId="77777777" w:rsidR="006041E7" w:rsidRDefault="006041E7" w:rsidP="00BE3F24">
      <w:pPr>
        <w:rPr>
          <w:rFonts w:ascii="Arial" w:hAnsi="Arial"/>
          <w:b/>
          <w:sz w:val="22"/>
          <w:szCs w:val="22"/>
          <w:u w:val="single"/>
        </w:rPr>
      </w:pPr>
    </w:p>
    <w:p w14:paraId="01870249" w14:textId="77777777" w:rsidR="006041E7" w:rsidRDefault="006041E7" w:rsidP="00BE3F24">
      <w:pPr>
        <w:rPr>
          <w:rFonts w:ascii="Arial" w:hAnsi="Arial"/>
          <w:u w:val="single"/>
        </w:rPr>
      </w:pPr>
    </w:p>
    <w:p w14:paraId="336F60D8" w14:textId="77777777" w:rsidR="006041E7" w:rsidRDefault="006041E7" w:rsidP="00BE3F24">
      <w:pPr>
        <w:rPr>
          <w:rFonts w:ascii="Arial" w:hAnsi="Arial"/>
          <w:u w:val="single"/>
        </w:rPr>
      </w:pPr>
    </w:p>
    <w:p w14:paraId="52E30C65" w14:textId="77777777" w:rsidR="006041E7" w:rsidRDefault="006041E7" w:rsidP="00BE3F24">
      <w:pPr>
        <w:rPr>
          <w:rFonts w:ascii="Arial" w:hAnsi="Arial"/>
          <w:u w:val="single"/>
        </w:rPr>
      </w:pPr>
    </w:p>
    <w:p w14:paraId="6B5F606F" w14:textId="77777777" w:rsidR="006041E7" w:rsidRPr="000A02F1" w:rsidRDefault="006041E7" w:rsidP="00BE3F24">
      <w:pPr>
        <w:rPr>
          <w:rFonts w:ascii="Arial" w:hAnsi="Arial"/>
          <w:b/>
          <w:sz w:val="22"/>
          <w:u w:val="single"/>
        </w:rPr>
      </w:pPr>
      <w:r w:rsidRPr="000A02F1">
        <w:rPr>
          <w:rFonts w:ascii="Arial" w:hAnsi="Arial"/>
          <w:b/>
          <w:sz w:val="22"/>
          <w:u w:val="single"/>
        </w:rPr>
        <w:t>Trench Drain</w:t>
      </w:r>
    </w:p>
    <w:p w14:paraId="45036D79" w14:textId="77C06E68" w:rsidR="006041E7" w:rsidRPr="00723F1A" w:rsidRDefault="006041E7" w:rsidP="00BE3F24">
      <w:pPr>
        <w:rPr>
          <w:rFonts w:ascii="Arial" w:hAnsi="Arial"/>
          <w:sz w:val="22"/>
          <w:szCs w:val="22"/>
        </w:rPr>
      </w:pPr>
      <w:r>
        <w:rPr>
          <w:rFonts w:ascii="Arial" w:hAnsi="Arial"/>
          <w:noProof/>
          <w:sz w:val="22"/>
          <w:szCs w:val="22"/>
        </w:rPr>
        <w:drawing>
          <wp:anchor distT="0" distB="0" distL="114300" distR="114300" simplePos="0" relativeHeight="251643392" behindDoc="0" locked="0" layoutInCell="1" allowOverlap="1" wp14:anchorId="478AFC2E" wp14:editId="5F3DDE78">
            <wp:simplePos x="0" y="0"/>
            <wp:positionH relativeFrom="column">
              <wp:posOffset>407035</wp:posOffset>
            </wp:positionH>
            <wp:positionV relativeFrom="paragraph">
              <wp:posOffset>43815</wp:posOffset>
            </wp:positionV>
            <wp:extent cx="4857750" cy="2228850"/>
            <wp:effectExtent l="19050" t="0" r="0" b="0"/>
            <wp:wrapNone/>
            <wp:docPr id="74" name="Picture 1117" descr="Trench drai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1117" descr="Trench drain diagram"/>
                    <pic:cNvPicPr>
                      <a:picLocks noChangeAspect="1" noChangeArrowheads="1"/>
                    </pic:cNvPicPr>
                  </pic:nvPicPr>
                  <pic:blipFill>
                    <a:blip r:embed="rId307" cstate="print"/>
                    <a:srcRect l="8340" t="3531" r="5365" b="14641"/>
                    <a:stretch>
                      <a:fillRect/>
                    </a:stretch>
                  </pic:blipFill>
                  <pic:spPr bwMode="auto">
                    <a:xfrm>
                      <a:off x="0" y="0"/>
                      <a:ext cx="4857750" cy="2228850"/>
                    </a:xfrm>
                    <a:prstGeom prst="rect">
                      <a:avLst/>
                    </a:prstGeom>
                    <a:noFill/>
                  </pic:spPr>
                </pic:pic>
              </a:graphicData>
            </a:graphic>
          </wp:anchor>
        </w:drawing>
      </w:r>
    </w:p>
    <w:p w14:paraId="2F8B8B35" w14:textId="77777777" w:rsidR="006041E7" w:rsidRDefault="006041E7" w:rsidP="00BE3F24">
      <w:pPr>
        <w:rPr>
          <w:rFonts w:ascii="Arial" w:hAnsi="Arial"/>
          <w:sz w:val="22"/>
          <w:szCs w:val="22"/>
        </w:rPr>
      </w:pPr>
    </w:p>
    <w:p w14:paraId="17683856" w14:textId="77777777" w:rsidR="006041E7" w:rsidRDefault="006041E7" w:rsidP="00BE3F24">
      <w:pPr>
        <w:rPr>
          <w:rFonts w:ascii="Arial" w:hAnsi="Arial"/>
          <w:sz w:val="22"/>
          <w:szCs w:val="22"/>
        </w:rPr>
      </w:pPr>
    </w:p>
    <w:p w14:paraId="14460B0B" w14:textId="77777777" w:rsidR="006041E7" w:rsidRDefault="006041E7" w:rsidP="00BE3F24">
      <w:pPr>
        <w:rPr>
          <w:rFonts w:ascii="Arial" w:hAnsi="Arial"/>
          <w:sz w:val="22"/>
          <w:szCs w:val="22"/>
        </w:rPr>
      </w:pPr>
    </w:p>
    <w:p w14:paraId="5E2269A1" w14:textId="77777777" w:rsidR="006041E7" w:rsidRDefault="006041E7" w:rsidP="00BE3F24">
      <w:pPr>
        <w:rPr>
          <w:rFonts w:ascii="Arial" w:hAnsi="Arial"/>
          <w:sz w:val="22"/>
          <w:szCs w:val="22"/>
        </w:rPr>
      </w:pPr>
    </w:p>
    <w:p w14:paraId="693B2E03" w14:textId="77777777" w:rsidR="006041E7" w:rsidRDefault="006041E7" w:rsidP="00BE3F24">
      <w:pPr>
        <w:rPr>
          <w:rFonts w:ascii="Arial" w:hAnsi="Arial"/>
          <w:sz w:val="22"/>
          <w:szCs w:val="22"/>
        </w:rPr>
      </w:pPr>
    </w:p>
    <w:p w14:paraId="1E6111D8" w14:textId="77777777" w:rsidR="006041E7" w:rsidRDefault="006041E7" w:rsidP="00BE3F24">
      <w:pPr>
        <w:rPr>
          <w:rFonts w:ascii="Arial" w:hAnsi="Arial"/>
          <w:sz w:val="22"/>
          <w:szCs w:val="22"/>
        </w:rPr>
      </w:pPr>
    </w:p>
    <w:p w14:paraId="0CF63C66" w14:textId="77777777" w:rsidR="006041E7" w:rsidRDefault="006041E7" w:rsidP="00BE3F24">
      <w:pPr>
        <w:rPr>
          <w:rFonts w:ascii="Arial" w:hAnsi="Arial"/>
          <w:sz w:val="22"/>
          <w:szCs w:val="22"/>
        </w:rPr>
      </w:pPr>
    </w:p>
    <w:p w14:paraId="5D77DFFB" w14:textId="77777777" w:rsidR="006041E7" w:rsidRDefault="006041E7" w:rsidP="00BE3F24">
      <w:pPr>
        <w:rPr>
          <w:rFonts w:ascii="Arial" w:hAnsi="Arial"/>
          <w:sz w:val="22"/>
          <w:szCs w:val="22"/>
        </w:rPr>
      </w:pPr>
    </w:p>
    <w:p w14:paraId="5AD89299" w14:textId="77777777" w:rsidR="006041E7" w:rsidRDefault="006041E7" w:rsidP="00BE3F24">
      <w:pPr>
        <w:rPr>
          <w:rFonts w:ascii="Arial" w:hAnsi="Arial"/>
          <w:sz w:val="22"/>
          <w:szCs w:val="22"/>
        </w:rPr>
      </w:pPr>
    </w:p>
    <w:p w14:paraId="417CDF6F" w14:textId="77777777" w:rsidR="006041E7" w:rsidRDefault="006041E7" w:rsidP="00BE3F24">
      <w:pPr>
        <w:rPr>
          <w:rFonts w:ascii="Arial" w:hAnsi="Arial"/>
          <w:sz w:val="22"/>
          <w:szCs w:val="22"/>
        </w:rPr>
      </w:pPr>
    </w:p>
    <w:p w14:paraId="6E9475B8" w14:textId="77777777" w:rsidR="006041E7" w:rsidRDefault="006041E7" w:rsidP="00BE3F24">
      <w:pPr>
        <w:rPr>
          <w:rFonts w:ascii="Arial" w:hAnsi="Arial"/>
          <w:sz w:val="22"/>
          <w:szCs w:val="22"/>
        </w:rPr>
      </w:pPr>
    </w:p>
    <w:p w14:paraId="50751039" w14:textId="77777777" w:rsidR="006041E7" w:rsidRDefault="006041E7" w:rsidP="00BE3F24">
      <w:pPr>
        <w:rPr>
          <w:rFonts w:ascii="Arial" w:hAnsi="Arial"/>
          <w:sz w:val="22"/>
          <w:szCs w:val="22"/>
        </w:rPr>
      </w:pPr>
    </w:p>
    <w:p w14:paraId="35FC48A1" w14:textId="77777777" w:rsidR="00DD1953" w:rsidRDefault="00DD1953">
      <w:pPr>
        <w:rPr>
          <w:rFonts w:ascii="Arial" w:hAnsi="Arial"/>
          <w:b/>
          <w:i/>
          <w:sz w:val="24"/>
        </w:rPr>
      </w:pPr>
      <w:r>
        <w:br w:type="page"/>
      </w:r>
    </w:p>
    <w:p w14:paraId="2A7B0DE0" w14:textId="77777777" w:rsidR="006041E7" w:rsidRPr="00035C82" w:rsidRDefault="006041E7" w:rsidP="00172E64">
      <w:pPr>
        <w:pStyle w:val="Heading3"/>
        <w:numPr>
          <w:ilvl w:val="2"/>
          <w:numId w:val="184"/>
        </w:numPr>
        <w:ind w:left="0" w:firstLine="0"/>
      </w:pPr>
      <w:r>
        <w:lastRenderedPageBreak/>
        <w:t>Drainage Blanket</w:t>
      </w:r>
      <w:r w:rsidR="00346A29">
        <w:t xml:space="preserve"> and Slope Drainage Blanket</w:t>
      </w:r>
    </w:p>
    <w:p w14:paraId="4DD0057E" w14:textId="10CA3A42" w:rsidR="000577FA" w:rsidRDefault="006041E7" w:rsidP="00F314C6">
      <w:pPr>
        <w:jc w:val="both"/>
        <w:rPr>
          <w:rFonts w:ascii="Arial" w:hAnsi="Arial"/>
          <w:sz w:val="22"/>
          <w:szCs w:val="22"/>
        </w:rPr>
      </w:pPr>
      <w:r>
        <w:rPr>
          <w:rFonts w:ascii="Arial" w:hAnsi="Arial"/>
          <w:sz w:val="22"/>
          <w:szCs w:val="22"/>
        </w:rPr>
        <w:t xml:space="preserve">A drainage blanket is </w:t>
      </w:r>
      <w:r w:rsidRPr="00035C82">
        <w:rPr>
          <w:rFonts w:ascii="Arial" w:hAnsi="Arial"/>
          <w:sz w:val="22"/>
          <w:szCs w:val="22"/>
        </w:rPr>
        <w:t>a layer</w:t>
      </w:r>
      <w:r>
        <w:rPr>
          <w:rFonts w:ascii="Arial" w:hAnsi="Arial"/>
          <w:sz w:val="22"/>
          <w:szCs w:val="22"/>
        </w:rPr>
        <w:t xml:space="preserve"> of </w:t>
      </w:r>
      <w:r w:rsidR="000577FA">
        <w:rPr>
          <w:rFonts w:ascii="Arial" w:hAnsi="Arial"/>
          <w:sz w:val="22"/>
          <w:szCs w:val="22"/>
        </w:rPr>
        <w:t>S</w:t>
      </w:r>
      <w:r>
        <w:rPr>
          <w:rFonts w:ascii="Arial" w:hAnsi="Arial"/>
          <w:sz w:val="22"/>
          <w:szCs w:val="22"/>
        </w:rPr>
        <w:t xml:space="preserve">elect </w:t>
      </w:r>
      <w:r w:rsidR="000577FA">
        <w:rPr>
          <w:rFonts w:ascii="Arial" w:hAnsi="Arial"/>
          <w:sz w:val="22"/>
          <w:szCs w:val="22"/>
        </w:rPr>
        <w:t>B</w:t>
      </w:r>
      <w:r>
        <w:rPr>
          <w:rFonts w:ascii="Arial" w:hAnsi="Arial"/>
          <w:sz w:val="22"/>
          <w:szCs w:val="22"/>
        </w:rPr>
        <w:t xml:space="preserve">orrow, </w:t>
      </w:r>
      <w:r w:rsidR="000577FA">
        <w:rPr>
          <w:rFonts w:ascii="Arial" w:hAnsi="Arial"/>
          <w:sz w:val="22"/>
          <w:szCs w:val="22"/>
        </w:rPr>
        <w:t>C</w:t>
      </w:r>
      <w:r>
        <w:rPr>
          <w:rFonts w:ascii="Arial" w:hAnsi="Arial"/>
          <w:sz w:val="22"/>
          <w:szCs w:val="22"/>
        </w:rPr>
        <w:t xml:space="preserve">apping </w:t>
      </w:r>
      <w:r w:rsidR="000577FA">
        <w:rPr>
          <w:rFonts w:ascii="Arial" w:hAnsi="Arial"/>
          <w:sz w:val="22"/>
          <w:szCs w:val="22"/>
        </w:rPr>
        <w:t>B</w:t>
      </w:r>
      <w:r>
        <w:rPr>
          <w:rFonts w:ascii="Arial" w:hAnsi="Arial"/>
          <w:sz w:val="22"/>
          <w:szCs w:val="22"/>
        </w:rPr>
        <w:t>orrow, or well</w:t>
      </w:r>
      <w:r w:rsidR="00CF65CA">
        <w:rPr>
          <w:rFonts w:ascii="Arial" w:hAnsi="Arial"/>
          <w:sz w:val="22"/>
          <w:szCs w:val="22"/>
        </w:rPr>
        <w:t>-</w:t>
      </w:r>
      <w:r>
        <w:rPr>
          <w:rFonts w:ascii="Arial" w:hAnsi="Arial"/>
          <w:sz w:val="22"/>
          <w:szCs w:val="22"/>
        </w:rPr>
        <w:t>draining aggregate in areas of high water tables or in areas of wet soil conditions.  A minimum of a 6</w:t>
      </w:r>
      <w:r w:rsidR="003D4E09">
        <w:rPr>
          <w:rFonts w:ascii="Arial" w:hAnsi="Arial"/>
          <w:sz w:val="22"/>
          <w:szCs w:val="22"/>
        </w:rPr>
        <w:t>"</w:t>
      </w:r>
      <w:r>
        <w:rPr>
          <w:rFonts w:ascii="Arial" w:hAnsi="Arial"/>
          <w:sz w:val="22"/>
          <w:szCs w:val="22"/>
        </w:rPr>
        <w:t xml:space="preserve"> to 12</w:t>
      </w:r>
      <w:r w:rsidR="003D4E09">
        <w:rPr>
          <w:rFonts w:ascii="Arial" w:hAnsi="Arial"/>
          <w:sz w:val="22"/>
          <w:szCs w:val="22"/>
        </w:rPr>
        <w:t>"</w:t>
      </w:r>
      <w:r>
        <w:rPr>
          <w:rFonts w:ascii="Arial" w:hAnsi="Arial"/>
          <w:sz w:val="22"/>
          <w:szCs w:val="22"/>
        </w:rPr>
        <w:t xml:space="preserve"> layer is recommended.  The final thickness of the layer is dependent on the specific site and material conditions.  The drainage blanket may be combined with a geotextile in sandy or silty soil conditions.  The drainage layer is day</w:t>
      </w:r>
      <w:r w:rsidR="00F314C6">
        <w:rPr>
          <w:rFonts w:ascii="Arial" w:hAnsi="Arial"/>
          <w:sz w:val="22"/>
          <w:szCs w:val="22"/>
        </w:rPr>
        <w:t>-</w:t>
      </w:r>
      <w:r>
        <w:rPr>
          <w:rFonts w:ascii="Arial" w:hAnsi="Arial"/>
          <w:sz w:val="22"/>
          <w:szCs w:val="22"/>
        </w:rPr>
        <w:t xml:space="preserve">lighted to the edge of the slope </w:t>
      </w:r>
      <w:r w:rsidRPr="00035C82">
        <w:rPr>
          <w:rFonts w:ascii="Arial" w:hAnsi="Arial"/>
          <w:sz w:val="22"/>
          <w:szCs w:val="22"/>
        </w:rPr>
        <w:t>or to the back face of curb.</w:t>
      </w:r>
      <w:r>
        <w:rPr>
          <w:rFonts w:ascii="Arial" w:hAnsi="Arial"/>
          <w:sz w:val="22"/>
          <w:szCs w:val="22"/>
        </w:rPr>
        <w:t xml:space="preserve">  It is recommended to use a drainage layer as the first layer in </w:t>
      </w:r>
      <w:r w:rsidR="000577FA">
        <w:rPr>
          <w:rFonts w:ascii="Arial" w:hAnsi="Arial"/>
          <w:sz w:val="22"/>
          <w:szCs w:val="22"/>
        </w:rPr>
        <w:t xml:space="preserve">embankment construction in </w:t>
      </w:r>
      <w:r>
        <w:rPr>
          <w:rFonts w:ascii="Arial" w:hAnsi="Arial"/>
          <w:sz w:val="22"/>
          <w:szCs w:val="22"/>
        </w:rPr>
        <w:t>wetland areas</w:t>
      </w:r>
      <w:r w:rsidR="000577FA">
        <w:rPr>
          <w:rFonts w:ascii="Arial" w:hAnsi="Arial"/>
          <w:sz w:val="22"/>
          <w:szCs w:val="22"/>
        </w:rPr>
        <w:t>, wetland buffer areas</w:t>
      </w:r>
      <w:r w:rsidR="003D4E09">
        <w:rPr>
          <w:rFonts w:ascii="Arial" w:hAnsi="Arial"/>
          <w:sz w:val="22"/>
          <w:szCs w:val="22"/>
        </w:rPr>
        <w:t>,</w:t>
      </w:r>
      <w:r w:rsidR="000577FA">
        <w:rPr>
          <w:rFonts w:ascii="Arial" w:hAnsi="Arial"/>
          <w:sz w:val="22"/>
          <w:szCs w:val="22"/>
        </w:rPr>
        <w:t xml:space="preserve"> and/</w:t>
      </w:r>
      <w:r>
        <w:rPr>
          <w:rFonts w:ascii="Arial" w:hAnsi="Arial"/>
          <w:sz w:val="22"/>
          <w:szCs w:val="22"/>
        </w:rPr>
        <w:t>or</w:t>
      </w:r>
      <w:r w:rsidR="000577FA">
        <w:rPr>
          <w:rFonts w:ascii="Arial" w:hAnsi="Arial"/>
          <w:sz w:val="22"/>
          <w:szCs w:val="22"/>
        </w:rPr>
        <w:t xml:space="preserve"> in anticipated low points that could become wet or saturated.</w:t>
      </w:r>
      <w:r>
        <w:rPr>
          <w:rFonts w:ascii="Arial" w:hAnsi="Arial"/>
          <w:sz w:val="22"/>
          <w:szCs w:val="22"/>
        </w:rPr>
        <w:t xml:space="preserve">  A drainage layer is also </w:t>
      </w:r>
      <w:r w:rsidR="00346A29">
        <w:rPr>
          <w:rFonts w:ascii="Arial" w:hAnsi="Arial"/>
          <w:sz w:val="22"/>
          <w:szCs w:val="22"/>
        </w:rPr>
        <w:t>recommended</w:t>
      </w:r>
      <w:r>
        <w:rPr>
          <w:rFonts w:ascii="Arial" w:hAnsi="Arial"/>
          <w:sz w:val="22"/>
          <w:szCs w:val="22"/>
        </w:rPr>
        <w:t xml:space="preserve"> to </w:t>
      </w:r>
      <w:r w:rsidR="00346A29">
        <w:rPr>
          <w:rFonts w:ascii="Arial" w:hAnsi="Arial"/>
          <w:sz w:val="22"/>
          <w:szCs w:val="22"/>
        </w:rPr>
        <w:t xml:space="preserve">intercept groundwater seepage through the face of </w:t>
      </w:r>
      <w:r w:rsidR="000577FA">
        <w:rPr>
          <w:rFonts w:ascii="Arial" w:hAnsi="Arial"/>
          <w:sz w:val="22"/>
          <w:szCs w:val="22"/>
        </w:rPr>
        <w:t xml:space="preserve">anticipated wet </w:t>
      </w:r>
      <w:r>
        <w:rPr>
          <w:rFonts w:ascii="Arial" w:hAnsi="Arial"/>
          <w:sz w:val="22"/>
          <w:szCs w:val="22"/>
        </w:rPr>
        <w:t>slopes</w:t>
      </w:r>
      <w:r w:rsidR="000577FA">
        <w:rPr>
          <w:rFonts w:ascii="Arial" w:hAnsi="Arial"/>
          <w:sz w:val="22"/>
          <w:szCs w:val="22"/>
        </w:rPr>
        <w:t xml:space="preserve"> and in side</w:t>
      </w:r>
      <w:r w:rsidR="00F314C6">
        <w:rPr>
          <w:rFonts w:ascii="Arial" w:hAnsi="Arial"/>
          <w:sz w:val="22"/>
          <w:szCs w:val="22"/>
        </w:rPr>
        <w:t>-</w:t>
      </w:r>
      <w:r w:rsidR="000577FA">
        <w:rPr>
          <w:rFonts w:ascii="Arial" w:hAnsi="Arial"/>
          <w:sz w:val="22"/>
          <w:szCs w:val="22"/>
        </w:rPr>
        <w:t>hill fills</w:t>
      </w:r>
      <w:r>
        <w:rPr>
          <w:rFonts w:ascii="Arial" w:hAnsi="Arial"/>
          <w:sz w:val="22"/>
          <w:szCs w:val="22"/>
        </w:rPr>
        <w:t xml:space="preserve">.  </w:t>
      </w:r>
      <w:r w:rsidR="00346A29">
        <w:rPr>
          <w:rFonts w:ascii="Arial" w:hAnsi="Arial"/>
          <w:sz w:val="22"/>
          <w:szCs w:val="22"/>
        </w:rPr>
        <w:t xml:space="preserve">When a drainage layer is used </w:t>
      </w:r>
      <w:r w:rsidR="000577FA">
        <w:rPr>
          <w:rFonts w:ascii="Arial" w:hAnsi="Arial"/>
          <w:sz w:val="22"/>
          <w:szCs w:val="22"/>
        </w:rPr>
        <w:t xml:space="preserve">in slope </w:t>
      </w:r>
      <w:r w:rsidR="00346A29">
        <w:rPr>
          <w:rFonts w:ascii="Arial" w:hAnsi="Arial"/>
          <w:sz w:val="22"/>
          <w:szCs w:val="22"/>
        </w:rPr>
        <w:t>application</w:t>
      </w:r>
      <w:r w:rsidR="000577FA">
        <w:rPr>
          <w:rFonts w:ascii="Arial" w:hAnsi="Arial"/>
          <w:sz w:val="22"/>
          <w:szCs w:val="22"/>
        </w:rPr>
        <w:t>s</w:t>
      </w:r>
      <w:r w:rsidR="00346A29">
        <w:rPr>
          <w:rFonts w:ascii="Arial" w:hAnsi="Arial"/>
          <w:sz w:val="22"/>
          <w:szCs w:val="22"/>
        </w:rPr>
        <w:t xml:space="preserve">, it is referred to as a Slope Drainage Blanket.  </w:t>
      </w:r>
    </w:p>
    <w:p w14:paraId="406F98AD" w14:textId="77777777" w:rsidR="000577FA" w:rsidRDefault="000577FA" w:rsidP="00F314C6">
      <w:pPr>
        <w:jc w:val="both"/>
        <w:rPr>
          <w:rFonts w:ascii="Arial" w:hAnsi="Arial"/>
          <w:sz w:val="22"/>
          <w:szCs w:val="22"/>
        </w:rPr>
      </w:pPr>
    </w:p>
    <w:p w14:paraId="1440FFE3" w14:textId="77777777" w:rsidR="006041E7" w:rsidRDefault="000577FA" w:rsidP="00F314C6">
      <w:pPr>
        <w:jc w:val="both"/>
        <w:rPr>
          <w:rFonts w:ascii="Arial" w:hAnsi="Arial"/>
          <w:sz w:val="22"/>
          <w:szCs w:val="22"/>
        </w:rPr>
      </w:pPr>
      <w:r>
        <w:rPr>
          <w:rFonts w:ascii="Arial" w:hAnsi="Arial"/>
          <w:sz w:val="22"/>
          <w:szCs w:val="22"/>
        </w:rPr>
        <w:t>Note:  The u</w:t>
      </w:r>
      <w:r w:rsidR="006041E7" w:rsidRPr="00035C82">
        <w:rPr>
          <w:rFonts w:ascii="Arial" w:hAnsi="Arial"/>
          <w:sz w:val="22"/>
          <w:szCs w:val="22"/>
        </w:rPr>
        <w:t xml:space="preserve">se </w:t>
      </w:r>
      <w:r>
        <w:rPr>
          <w:rFonts w:ascii="Arial" w:hAnsi="Arial"/>
          <w:sz w:val="22"/>
          <w:szCs w:val="22"/>
        </w:rPr>
        <w:t>of C</w:t>
      </w:r>
      <w:r w:rsidR="006041E7" w:rsidRPr="00035C82">
        <w:rPr>
          <w:rFonts w:ascii="Arial" w:hAnsi="Arial"/>
          <w:sz w:val="22"/>
          <w:szCs w:val="22"/>
        </w:rPr>
        <w:t xml:space="preserve">apping </w:t>
      </w:r>
      <w:r>
        <w:rPr>
          <w:rFonts w:ascii="Arial" w:hAnsi="Arial"/>
          <w:sz w:val="22"/>
          <w:szCs w:val="22"/>
        </w:rPr>
        <w:t>B</w:t>
      </w:r>
      <w:r w:rsidR="006041E7" w:rsidRPr="00035C82">
        <w:rPr>
          <w:rFonts w:ascii="Arial" w:hAnsi="Arial"/>
          <w:sz w:val="22"/>
          <w:szCs w:val="22"/>
        </w:rPr>
        <w:t xml:space="preserve">orrow beneath pavement </w:t>
      </w:r>
      <w:r w:rsidR="006041E7">
        <w:rPr>
          <w:rFonts w:ascii="Arial" w:hAnsi="Arial"/>
          <w:sz w:val="22"/>
          <w:szCs w:val="22"/>
        </w:rPr>
        <w:t xml:space="preserve">sections </w:t>
      </w:r>
      <w:r w:rsidR="006041E7" w:rsidRPr="00035C82">
        <w:rPr>
          <w:rFonts w:ascii="Arial" w:hAnsi="Arial"/>
          <w:sz w:val="22"/>
          <w:szCs w:val="22"/>
        </w:rPr>
        <w:t>may not drain as well as expected</w:t>
      </w:r>
      <w:r w:rsidR="006041E7">
        <w:rPr>
          <w:rFonts w:ascii="Arial" w:hAnsi="Arial"/>
          <w:sz w:val="22"/>
          <w:szCs w:val="22"/>
        </w:rPr>
        <w:t>.</w:t>
      </w:r>
      <w:r w:rsidR="00346A29">
        <w:rPr>
          <w:rFonts w:ascii="Arial" w:hAnsi="Arial"/>
          <w:sz w:val="22"/>
          <w:szCs w:val="22"/>
        </w:rPr>
        <w:t xml:space="preserve"> </w:t>
      </w:r>
    </w:p>
    <w:p w14:paraId="1CA5758B" w14:textId="77777777" w:rsidR="006041E7" w:rsidRDefault="006041E7" w:rsidP="00BE3F24">
      <w:pPr>
        <w:rPr>
          <w:rFonts w:ascii="Arial" w:hAnsi="Arial"/>
          <w:u w:val="single"/>
        </w:rPr>
      </w:pPr>
    </w:p>
    <w:p w14:paraId="129B1351" w14:textId="77777777" w:rsidR="006041E7" w:rsidRPr="000A02F1" w:rsidRDefault="006041E7" w:rsidP="00BE3F24">
      <w:pPr>
        <w:rPr>
          <w:rFonts w:ascii="Arial" w:hAnsi="Arial"/>
          <w:b/>
          <w:u w:val="single"/>
        </w:rPr>
      </w:pPr>
      <w:r w:rsidRPr="000A02F1">
        <w:rPr>
          <w:rFonts w:ascii="Arial" w:hAnsi="Arial"/>
          <w:b/>
          <w:u w:val="single"/>
        </w:rPr>
        <w:t>Drainage Blanket Example – Capping Layer</w:t>
      </w:r>
    </w:p>
    <w:p w14:paraId="6240B848" w14:textId="3305B953" w:rsidR="006041E7" w:rsidRDefault="006041E7" w:rsidP="00BE3F24">
      <w:pPr>
        <w:rPr>
          <w:rFonts w:ascii="Arial" w:hAnsi="Arial"/>
          <w:u w:val="single"/>
        </w:rPr>
      </w:pPr>
      <w:r>
        <w:rPr>
          <w:rFonts w:ascii="Arial" w:hAnsi="Arial"/>
          <w:noProof/>
        </w:rPr>
        <w:drawing>
          <wp:anchor distT="0" distB="0" distL="114300" distR="114300" simplePos="0" relativeHeight="251635200" behindDoc="0" locked="0" layoutInCell="1" allowOverlap="1" wp14:anchorId="2E0C599C" wp14:editId="74C92D78">
            <wp:simplePos x="0" y="0"/>
            <wp:positionH relativeFrom="column">
              <wp:posOffset>-24765</wp:posOffset>
            </wp:positionH>
            <wp:positionV relativeFrom="paragraph">
              <wp:posOffset>83185</wp:posOffset>
            </wp:positionV>
            <wp:extent cx="5497195" cy="2052320"/>
            <wp:effectExtent l="19050" t="0" r="8255" b="0"/>
            <wp:wrapNone/>
            <wp:docPr id="75" name="Picture 1081" descr="Drainage blanket example - capping layer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1081" descr="Drainage blanket example - capping layer diagram"/>
                    <pic:cNvPicPr>
                      <a:picLocks noChangeAspect="1" noChangeArrowheads="1"/>
                    </pic:cNvPicPr>
                  </pic:nvPicPr>
                  <pic:blipFill>
                    <a:blip r:embed="rId308" cstate="print"/>
                    <a:srcRect t="30231" b="7616"/>
                    <a:stretch>
                      <a:fillRect/>
                    </a:stretch>
                  </pic:blipFill>
                  <pic:spPr bwMode="auto">
                    <a:xfrm>
                      <a:off x="0" y="0"/>
                      <a:ext cx="5497195" cy="2052320"/>
                    </a:xfrm>
                    <a:prstGeom prst="rect">
                      <a:avLst/>
                    </a:prstGeom>
                    <a:noFill/>
                  </pic:spPr>
                </pic:pic>
              </a:graphicData>
            </a:graphic>
          </wp:anchor>
        </w:drawing>
      </w:r>
    </w:p>
    <w:p w14:paraId="67EA824A" w14:textId="77777777" w:rsidR="006041E7" w:rsidRDefault="006041E7" w:rsidP="00BE3F24">
      <w:pPr>
        <w:rPr>
          <w:rFonts w:ascii="Arial" w:hAnsi="Arial"/>
          <w:u w:val="single"/>
        </w:rPr>
      </w:pPr>
    </w:p>
    <w:p w14:paraId="2A952C72" w14:textId="77777777" w:rsidR="006041E7" w:rsidRDefault="006041E7" w:rsidP="00BE3F24">
      <w:pPr>
        <w:rPr>
          <w:rFonts w:ascii="Arial" w:hAnsi="Arial"/>
          <w:u w:val="single"/>
        </w:rPr>
      </w:pPr>
    </w:p>
    <w:p w14:paraId="37D6E9E8" w14:textId="77777777" w:rsidR="006041E7" w:rsidRDefault="006041E7" w:rsidP="00BE3F24">
      <w:pPr>
        <w:rPr>
          <w:rFonts w:ascii="Arial" w:hAnsi="Arial"/>
          <w:u w:val="single"/>
        </w:rPr>
      </w:pPr>
    </w:p>
    <w:p w14:paraId="4AD8309D" w14:textId="77777777" w:rsidR="006041E7" w:rsidRDefault="006041E7" w:rsidP="00BE3F24">
      <w:pPr>
        <w:rPr>
          <w:rFonts w:ascii="Arial" w:hAnsi="Arial"/>
          <w:u w:val="single"/>
        </w:rPr>
      </w:pPr>
    </w:p>
    <w:p w14:paraId="62CDCDE0" w14:textId="77777777" w:rsidR="006041E7" w:rsidRDefault="006041E7" w:rsidP="00BE3F24">
      <w:pPr>
        <w:rPr>
          <w:rFonts w:ascii="Arial" w:hAnsi="Arial"/>
          <w:u w:val="single"/>
        </w:rPr>
      </w:pPr>
    </w:p>
    <w:p w14:paraId="0C5FF839" w14:textId="77777777" w:rsidR="006041E7" w:rsidRDefault="006041E7" w:rsidP="00BE3F24">
      <w:pPr>
        <w:rPr>
          <w:rFonts w:ascii="Arial" w:hAnsi="Arial"/>
          <w:u w:val="single"/>
        </w:rPr>
      </w:pPr>
    </w:p>
    <w:p w14:paraId="58C2611F" w14:textId="77777777" w:rsidR="006041E7" w:rsidRDefault="006041E7" w:rsidP="00BE3F24">
      <w:pPr>
        <w:rPr>
          <w:rFonts w:ascii="Arial" w:hAnsi="Arial"/>
          <w:u w:val="single"/>
        </w:rPr>
      </w:pPr>
    </w:p>
    <w:p w14:paraId="3414C7DE" w14:textId="77777777" w:rsidR="006041E7" w:rsidRDefault="006041E7" w:rsidP="00BE3F24">
      <w:pPr>
        <w:rPr>
          <w:rFonts w:ascii="Arial" w:hAnsi="Arial"/>
          <w:u w:val="single"/>
        </w:rPr>
      </w:pPr>
    </w:p>
    <w:p w14:paraId="1C444ED1" w14:textId="77777777" w:rsidR="006041E7" w:rsidRDefault="006041E7" w:rsidP="00BE3F24">
      <w:pPr>
        <w:rPr>
          <w:rFonts w:ascii="Arial" w:hAnsi="Arial"/>
          <w:u w:val="single"/>
        </w:rPr>
      </w:pPr>
    </w:p>
    <w:p w14:paraId="03906020" w14:textId="77777777" w:rsidR="006041E7" w:rsidRDefault="006041E7" w:rsidP="00BE3F24">
      <w:pPr>
        <w:rPr>
          <w:rFonts w:ascii="Arial" w:hAnsi="Arial"/>
          <w:u w:val="single"/>
        </w:rPr>
      </w:pPr>
    </w:p>
    <w:p w14:paraId="54C467F1" w14:textId="77777777" w:rsidR="006041E7" w:rsidRDefault="006041E7" w:rsidP="00BE3F24">
      <w:pPr>
        <w:rPr>
          <w:rFonts w:ascii="Arial" w:hAnsi="Arial"/>
          <w:u w:val="single"/>
        </w:rPr>
      </w:pPr>
    </w:p>
    <w:p w14:paraId="0DD46ADC" w14:textId="77777777" w:rsidR="006041E7" w:rsidRDefault="006041E7" w:rsidP="00BE3F24">
      <w:pPr>
        <w:rPr>
          <w:rFonts w:ascii="Arial" w:hAnsi="Arial"/>
          <w:u w:val="single"/>
        </w:rPr>
      </w:pPr>
    </w:p>
    <w:p w14:paraId="29143963" w14:textId="77777777" w:rsidR="006041E7" w:rsidRDefault="006041E7" w:rsidP="00BE3F24">
      <w:pPr>
        <w:rPr>
          <w:rFonts w:ascii="Arial" w:hAnsi="Arial"/>
          <w:u w:val="single"/>
        </w:rPr>
      </w:pPr>
    </w:p>
    <w:p w14:paraId="07EA5F0A" w14:textId="77777777" w:rsidR="006041E7" w:rsidRDefault="006041E7" w:rsidP="00BE3F24">
      <w:pPr>
        <w:rPr>
          <w:rFonts w:ascii="Arial" w:hAnsi="Arial"/>
          <w:u w:val="single"/>
        </w:rPr>
      </w:pPr>
    </w:p>
    <w:p w14:paraId="454CAE77" w14:textId="77777777" w:rsidR="006041E7" w:rsidRDefault="006041E7" w:rsidP="00BE3F24">
      <w:pPr>
        <w:rPr>
          <w:rFonts w:ascii="Arial" w:hAnsi="Arial"/>
        </w:rPr>
      </w:pPr>
    </w:p>
    <w:p w14:paraId="29CDEF09" w14:textId="77777777" w:rsidR="006041E7" w:rsidRPr="000A02F1" w:rsidRDefault="000577FA" w:rsidP="00BE3F24">
      <w:pPr>
        <w:rPr>
          <w:rFonts w:ascii="Arial" w:hAnsi="Arial"/>
          <w:b/>
          <w:sz w:val="22"/>
          <w:u w:val="single"/>
        </w:rPr>
      </w:pPr>
      <w:r w:rsidRPr="000A02F1">
        <w:rPr>
          <w:rFonts w:ascii="Arial" w:hAnsi="Arial"/>
          <w:b/>
          <w:sz w:val="22"/>
          <w:u w:val="single"/>
        </w:rPr>
        <w:t xml:space="preserve">Slope </w:t>
      </w:r>
      <w:r w:rsidR="006041E7" w:rsidRPr="000A02F1">
        <w:rPr>
          <w:rFonts w:ascii="Arial" w:hAnsi="Arial"/>
          <w:b/>
          <w:sz w:val="22"/>
          <w:u w:val="single"/>
        </w:rPr>
        <w:t xml:space="preserve">Drainage Blanket Example – Cut Slope </w:t>
      </w:r>
    </w:p>
    <w:p w14:paraId="5C580402" w14:textId="404E8895" w:rsidR="006041E7" w:rsidRDefault="006041E7" w:rsidP="00BE3F24">
      <w:pPr>
        <w:rPr>
          <w:rFonts w:ascii="Arial" w:hAnsi="Arial"/>
        </w:rPr>
      </w:pPr>
      <w:r>
        <w:rPr>
          <w:rFonts w:ascii="Arial" w:hAnsi="Arial"/>
          <w:noProof/>
        </w:rPr>
        <w:drawing>
          <wp:anchor distT="0" distB="0" distL="114300" distR="114300" simplePos="0" relativeHeight="251634176" behindDoc="0" locked="0" layoutInCell="1" allowOverlap="1" wp14:anchorId="0066F324" wp14:editId="709AE12D">
            <wp:simplePos x="0" y="0"/>
            <wp:positionH relativeFrom="column">
              <wp:posOffset>-3175</wp:posOffset>
            </wp:positionH>
            <wp:positionV relativeFrom="paragraph">
              <wp:posOffset>107315</wp:posOffset>
            </wp:positionV>
            <wp:extent cx="5471160" cy="2740025"/>
            <wp:effectExtent l="19050" t="0" r="0" b="0"/>
            <wp:wrapNone/>
            <wp:docPr id="76" name="Picture 1083" descr="Slope drainage blanket example - cut sl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1083" descr="Slope drainage blanket example - cut slope"/>
                    <pic:cNvPicPr>
                      <a:picLocks noChangeAspect="1" noChangeArrowheads="1"/>
                    </pic:cNvPicPr>
                  </pic:nvPicPr>
                  <pic:blipFill>
                    <a:blip r:embed="rId309" cstate="print"/>
                    <a:srcRect t="14122" b="2058"/>
                    <a:stretch>
                      <a:fillRect/>
                    </a:stretch>
                  </pic:blipFill>
                  <pic:spPr bwMode="auto">
                    <a:xfrm>
                      <a:off x="0" y="0"/>
                      <a:ext cx="5471160" cy="2740025"/>
                    </a:xfrm>
                    <a:prstGeom prst="rect">
                      <a:avLst/>
                    </a:prstGeom>
                    <a:noFill/>
                  </pic:spPr>
                </pic:pic>
              </a:graphicData>
            </a:graphic>
          </wp:anchor>
        </w:drawing>
      </w:r>
    </w:p>
    <w:p w14:paraId="379EB577" w14:textId="77777777" w:rsidR="006041E7" w:rsidRDefault="006041E7" w:rsidP="00BE3F24">
      <w:pPr>
        <w:rPr>
          <w:rFonts w:ascii="Arial" w:hAnsi="Arial"/>
        </w:rPr>
      </w:pPr>
    </w:p>
    <w:p w14:paraId="5EA46FEB" w14:textId="77777777" w:rsidR="006041E7" w:rsidRDefault="006041E7" w:rsidP="00BE3F24">
      <w:pPr>
        <w:rPr>
          <w:rFonts w:ascii="Arial" w:hAnsi="Arial"/>
        </w:rPr>
      </w:pPr>
    </w:p>
    <w:p w14:paraId="65667478" w14:textId="77777777" w:rsidR="006041E7" w:rsidRDefault="006041E7" w:rsidP="00BE3F24">
      <w:pPr>
        <w:rPr>
          <w:rFonts w:ascii="Arial" w:hAnsi="Arial"/>
        </w:rPr>
      </w:pPr>
    </w:p>
    <w:p w14:paraId="268F013A" w14:textId="77777777" w:rsidR="006041E7" w:rsidRDefault="006041E7" w:rsidP="00BE3F24">
      <w:pPr>
        <w:rPr>
          <w:rFonts w:ascii="Arial" w:hAnsi="Arial"/>
        </w:rPr>
      </w:pPr>
    </w:p>
    <w:p w14:paraId="572EDB8C" w14:textId="77777777" w:rsidR="006041E7" w:rsidRDefault="006041E7" w:rsidP="00BE3F24">
      <w:pPr>
        <w:rPr>
          <w:rFonts w:ascii="Arial" w:hAnsi="Arial"/>
        </w:rPr>
      </w:pPr>
    </w:p>
    <w:p w14:paraId="3BA95CA8" w14:textId="77777777" w:rsidR="006041E7" w:rsidRDefault="006041E7" w:rsidP="00BE3F24">
      <w:pPr>
        <w:rPr>
          <w:rFonts w:ascii="Arial" w:hAnsi="Arial"/>
        </w:rPr>
      </w:pPr>
    </w:p>
    <w:p w14:paraId="6B5467DA" w14:textId="77777777" w:rsidR="006041E7" w:rsidRDefault="006041E7" w:rsidP="00BE3F24">
      <w:pPr>
        <w:rPr>
          <w:rFonts w:ascii="Arial" w:hAnsi="Arial"/>
        </w:rPr>
      </w:pPr>
    </w:p>
    <w:p w14:paraId="202119B2" w14:textId="77777777" w:rsidR="006041E7" w:rsidRDefault="006041E7" w:rsidP="00BE3F24">
      <w:pPr>
        <w:rPr>
          <w:rFonts w:ascii="Arial" w:hAnsi="Arial"/>
        </w:rPr>
      </w:pPr>
    </w:p>
    <w:p w14:paraId="30E3931D" w14:textId="77777777" w:rsidR="006041E7" w:rsidRDefault="006041E7" w:rsidP="00BE3F24">
      <w:pPr>
        <w:rPr>
          <w:rFonts w:ascii="Arial" w:hAnsi="Arial"/>
        </w:rPr>
      </w:pPr>
    </w:p>
    <w:p w14:paraId="258F8406" w14:textId="77777777" w:rsidR="006041E7" w:rsidRDefault="006041E7" w:rsidP="00BE3F24">
      <w:pPr>
        <w:rPr>
          <w:rFonts w:ascii="Arial" w:hAnsi="Arial"/>
        </w:rPr>
      </w:pPr>
    </w:p>
    <w:p w14:paraId="0DC88E68" w14:textId="77777777" w:rsidR="006041E7" w:rsidRDefault="006041E7" w:rsidP="00BE3F24">
      <w:pPr>
        <w:rPr>
          <w:rFonts w:ascii="Arial" w:hAnsi="Arial"/>
        </w:rPr>
      </w:pPr>
    </w:p>
    <w:p w14:paraId="620BF668" w14:textId="77777777" w:rsidR="006041E7" w:rsidRDefault="006041E7" w:rsidP="00BE3F24">
      <w:pPr>
        <w:rPr>
          <w:rFonts w:ascii="Arial" w:hAnsi="Arial"/>
        </w:rPr>
      </w:pPr>
    </w:p>
    <w:p w14:paraId="7FF8F0AF" w14:textId="77777777" w:rsidR="006041E7" w:rsidRDefault="006041E7" w:rsidP="00BE3F24">
      <w:pPr>
        <w:rPr>
          <w:rFonts w:ascii="Arial" w:hAnsi="Arial"/>
        </w:rPr>
      </w:pPr>
    </w:p>
    <w:p w14:paraId="0C3661EA" w14:textId="77777777" w:rsidR="006041E7" w:rsidRDefault="006041E7" w:rsidP="00BE3F24">
      <w:pPr>
        <w:rPr>
          <w:rFonts w:ascii="Arial" w:hAnsi="Arial"/>
        </w:rPr>
      </w:pPr>
    </w:p>
    <w:p w14:paraId="1D56F6B2" w14:textId="77777777" w:rsidR="006041E7" w:rsidRDefault="006041E7" w:rsidP="00BE3F24">
      <w:pPr>
        <w:rPr>
          <w:rFonts w:ascii="Arial" w:hAnsi="Arial"/>
        </w:rPr>
      </w:pPr>
    </w:p>
    <w:p w14:paraId="2C42D658" w14:textId="77777777" w:rsidR="006041E7" w:rsidRDefault="006041E7" w:rsidP="00BE3F24">
      <w:pPr>
        <w:rPr>
          <w:rFonts w:ascii="Arial" w:hAnsi="Arial"/>
        </w:rPr>
      </w:pPr>
    </w:p>
    <w:p w14:paraId="1B25B2FB" w14:textId="77777777" w:rsidR="006041E7" w:rsidRDefault="006041E7" w:rsidP="00BE3F24">
      <w:pPr>
        <w:rPr>
          <w:rFonts w:ascii="Arial" w:hAnsi="Arial"/>
        </w:rPr>
      </w:pPr>
    </w:p>
    <w:p w14:paraId="105005D4" w14:textId="77777777" w:rsidR="006041E7" w:rsidRDefault="006041E7" w:rsidP="00BE3F24">
      <w:pPr>
        <w:rPr>
          <w:rFonts w:ascii="Arial" w:hAnsi="Arial"/>
        </w:rPr>
      </w:pPr>
    </w:p>
    <w:p w14:paraId="30C1C246" w14:textId="77777777" w:rsidR="006041E7" w:rsidRPr="000A02F1" w:rsidRDefault="006041E7" w:rsidP="00BE3F24">
      <w:pPr>
        <w:rPr>
          <w:rFonts w:ascii="Arial" w:hAnsi="Arial"/>
          <w:b/>
          <w:sz w:val="22"/>
          <w:u w:val="single"/>
        </w:rPr>
      </w:pPr>
      <w:r w:rsidRPr="000A02F1">
        <w:rPr>
          <w:rFonts w:ascii="Arial" w:hAnsi="Arial"/>
          <w:b/>
          <w:sz w:val="22"/>
          <w:u w:val="single"/>
        </w:rPr>
        <w:lastRenderedPageBreak/>
        <w:t>Drainage Blanket Example 1 - First Layer in Wetlands Specified by Depth (Profile)</w:t>
      </w:r>
    </w:p>
    <w:p w14:paraId="1446D71E" w14:textId="095EFBD8" w:rsidR="006041E7" w:rsidRDefault="006041E7" w:rsidP="00BE3F24">
      <w:pPr>
        <w:rPr>
          <w:rFonts w:ascii="Arial" w:hAnsi="Arial"/>
        </w:rPr>
      </w:pPr>
      <w:r>
        <w:rPr>
          <w:rFonts w:ascii="Arial" w:hAnsi="Arial"/>
          <w:noProof/>
        </w:rPr>
        <w:drawing>
          <wp:anchor distT="0" distB="0" distL="114300" distR="114300" simplePos="0" relativeHeight="251636224" behindDoc="0" locked="0" layoutInCell="1" allowOverlap="1" wp14:anchorId="4104AACD" wp14:editId="505CAF19">
            <wp:simplePos x="0" y="0"/>
            <wp:positionH relativeFrom="column">
              <wp:posOffset>-19050</wp:posOffset>
            </wp:positionH>
            <wp:positionV relativeFrom="paragraph">
              <wp:posOffset>40005</wp:posOffset>
            </wp:positionV>
            <wp:extent cx="5492750" cy="2161043"/>
            <wp:effectExtent l="0" t="0" r="0" b="0"/>
            <wp:wrapNone/>
            <wp:docPr id="77" name="Picture 1109" descr="Drainage blanket profil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1109" descr="Drainage blanket profile diagram"/>
                    <pic:cNvPicPr>
                      <a:picLocks noChangeAspect="1" noChangeArrowheads="1"/>
                    </pic:cNvPicPr>
                  </pic:nvPicPr>
                  <pic:blipFill>
                    <a:blip r:embed="rId310" cstate="print"/>
                    <a:srcRect/>
                    <a:stretch>
                      <a:fillRect/>
                    </a:stretch>
                  </pic:blipFill>
                  <pic:spPr bwMode="auto">
                    <a:xfrm>
                      <a:off x="0" y="0"/>
                      <a:ext cx="5511115" cy="2168268"/>
                    </a:xfrm>
                    <a:prstGeom prst="rect">
                      <a:avLst/>
                    </a:prstGeom>
                    <a:noFill/>
                    <a:ln w="9525">
                      <a:noFill/>
                      <a:miter lim="800000"/>
                      <a:headEnd/>
                      <a:tailEnd/>
                    </a:ln>
                    <a:effectLst/>
                  </pic:spPr>
                </pic:pic>
              </a:graphicData>
            </a:graphic>
            <wp14:sizeRelH relativeFrom="margin">
              <wp14:pctWidth>0</wp14:pctWidth>
            </wp14:sizeRelH>
            <wp14:sizeRelV relativeFrom="margin">
              <wp14:pctHeight>0</wp14:pctHeight>
            </wp14:sizeRelV>
          </wp:anchor>
        </w:drawing>
      </w:r>
    </w:p>
    <w:p w14:paraId="7CB74BA6" w14:textId="77777777" w:rsidR="006041E7" w:rsidRDefault="006041E7" w:rsidP="00BE3F24">
      <w:pPr>
        <w:rPr>
          <w:rFonts w:ascii="Arial" w:hAnsi="Arial"/>
        </w:rPr>
      </w:pPr>
    </w:p>
    <w:p w14:paraId="1EDE1086" w14:textId="77777777" w:rsidR="006041E7" w:rsidRDefault="006041E7" w:rsidP="00BE3F24">
      <w:pPr>
        <w:rPr>
          <w:rFonts w:ascii="Arial" w:hAnsi="Arial"/>
        </w:rPr>
      </w:pPr>
    </w:p>
    <w:p w14:paraId="482CA9D7" w14:textId="77777777" w:rsidR="006041E7" w:rsidRDefault="006041E7" w:rsidP="00BE3F24">
      <w:pPr>
        <w:rPr>
          <w:rFonts w:ascii="Arial" w:hAnsi="Arial"/>
        </w:rPr>
      </w:pPr>
    </w:p>
    <w:p w14:paraId="747C69AE" w14:textId="77777777" w:rsidR="006041E7" w:rsidRDefault="006041E7" w:rsidP="00BE3F24">
      <w:pPr>
        <w:rPr>
          <w:rFonts w:ascii="Arial" w:hAnsi="Arial"/>
        </w:rPr>
      </w:pPr>
    </w:p>
    <w:p w14:paraId="63EF2A7A" w14:textId="77777777" w:rsidR="006041E7" w:rsidRDefault="006041E7" w:rsidP="00BE3F24">
      <w:pPr>
        <w:rPr>
          <w:rFonts w:ascii="Arial" w:hAnsi="Arial"/>
        </w:rPr>
      </w:pPr>
    </w:p>
    <w:p w14:paraId="693D644F" w14:textId="77777777" w:rsidR="006041E7" w:rsidRDefault="006041E7" w:rsidP="00BE3F24">
      <w:pPr>
        <w:rPr>
          <w:rFonts w:ascii="Arial" w:hAnsi="Arial"/>
        </w:rPr>
      </w:pPr>
    </w:p>
    <w:p w14:paraId="733E0A4E" w14:textId="77777777" w:rsidR="006041E7" w:rsidRDefault="006041E7" w:rsidP="00BE3F24">
      <w:pPr>
        <w:rPr>
          <w:rFonts w:ascii="Arial" w:hAnsi="Arial"/>
        </w:rPr>
      </w:pPr>
    </w:p>
    <w:p w14:paraId="2E1E49D9" w14:textId="77777777" w:rsidR="006041E7" w:rsidRDefault="006041E7" w:rsidP="00BE3F24">
      <w:pPr>
        <w:rPr>
          <w:rFonts w:ascii="Arial" w:hAnsi="Arial"/>
        </w:rPr>
      </w:pPr>
    </w:p>
    <w:p w14:paraId="5B03D8E1" w14:textId="77777777" w:rsidR="006041E7" w:rsidRDefault="006041E7" w:rsidP="00BE3F24">
      <w:pPr>
        <w:rPr>
          <w:rFonts w:ascii="Arial" w:hAnsi="Arial"/>
        </w:rPr>
      </w:pPr>
    </w:p>
    <w:p w14:paraId="3DA421C8" w14:textId="77777777" w:rsidR="006041E7" w:rsidRDefault="006041E7" w:rsidP="00BE3F24">
      <w:pPr>
        <w:rPr>
          <w:rFonts w:ascii="Arial" w:hAnsi="Arial"/>
        </w:rPr>
      </w:pPr>
    </w:p>
    <w:p w14:paraId="5CB0BAAA" w14:textId="77777777" w:rsidR="006041E7" w:rsidRDefault="006041E7" w:rsidP="00BE3F24">
      <w:pPr>
        <w:rPr>
          <w:rFonts w:ascii="Arial" w:hAnsi="Arial"/>
        </w:rPr>
      </w:pPr>
    </w:p>
    <w:p w14:paraId="02F5F0C4" w14:textId="77777777" w:rsidR="006041E7" w:rsidRDefault="006041E7" w:rsidP="00BE3F24">
      <w:pPr>
        <w:rPr>
          <w:rFonts w:ascii="Arial" w:hAnsi="Arial"/>
        </w:rPr>
      </w:pPr>
    </w:p>
    <w:p w14:paraId="30223CFC" w14:textId="77777777" w:rsidR="006041E7" w:rsidRDefault="006041E7" w:rsidP="00BE3F24">
      <w:pPr>
        <w:rPr>
          <w:rFonts w:ascii="Arial" w:hAnsi="Arial"/>
        </w:rPr>
      </w:pPr>
    </w:p>
    <w:p w14:paraId="2C8A68B7" w14:textId="77777777" w:rsidR="006041E7" w:rsidRPr="000A02F1" w:rsidRDefault="006041E7" w:rsidP="00BE3F24">
      <w:pPr>
        <w:rPr>
          <w:rFonts w:ascii="Arial" w:hAnsi="Arial"/>
        </w:rPr>
      </w:pPr>
    </w:p>
    <w:p w14:paraId="54E004CD" w14:textId="77777777" w:rsidR="006041E7" w:rsidRDefault="006041E7" w:rsidP="00BE3F24">
      <w:pPr>
        <w:rPr>
          <w:rFonts w:ascii="Arial" w:hAnsi="Arial"/>
          <w:u w:val="single"/>
        </w:rPr>
      </w:pPr>
    </w:p>
    <w:p w14:paraId="7891CD24" w14:textId="77777777" w:rsidR="006041E7" w:rsidRPr="000A02F1" w:rsidRDefault="006041E7" w:rsidP="00BE3F24">
      <w:pPr>
        <w:rPr>
          <w:rFonts w:ascii="Arial" w:hAnsi="Arial"/>
          <w:b/>
          <w:sz w:val="22"/>
          <w:u w:val="single"/>
        </w:rPr>
      </w:pPr>
      <w:r w:rsidRPr="000A02F1">
        <w:rPr>
          <w:rFonts w:ascii="Arial" w:hAnsi="Arial"/>
          <w:b/>
          <w:sz w:val="22"/>
          <w:u w:val="single"/>
        </w:rPr>
        <w:t>Drainage Blanket Example 1 – First Layer in Wetlands Specified by Depth (Cross Section)</w:t>
      </w:r>
    </w:p>
    <w:p w14:paraId="0C77C974" w14:textId="63F4C7DF" w:rsidR="006041E7" w:rsidRDefault="006041E7" w:rsidP="00BE3F24">
      <w:pPr>
        <w:rPr>
          <w:rFonts w:ascii="Arial" w:hAnsi="Arial"/>
        </w:rPr>
      </w:pPr>
      <w:r>
        <w:rPr>
          <w:rFonts w:ascii="Arial" w:hAnsi="Arial"/>
          <w:noProof/>
        </w:rPr>
        <w:drawing>
          <wp:anchor distT="0" distB="0" distL="114300" distR="114300" simplePos="0" relativeHeight="251637248" behindDoc="0" locked="0" layoutInCell="1" allowOverlap="1" wp14:anchorId="44F7DFE8" wp14:editId="251C3993">
            <wp:simplePos x="0" y="0"/>
            <wp:positionH relativeFrom="column">
              <wp:posOffset>-25400</wp:posOffset>
            </wp:positionH>
            <wp:positionV relativeFrom="paragraph">
              <wp:posOffset>48895</wp:posOffset>
            </wp:positionV>
            <wp:extent cx="5499100" cy="2124652"/>
            <wp:effectExtent l="0" t="0" r="6350" b="9525"/>
            <wp:wrapNone/>
            <wp:docPr id="78" name="Picture 1110" descr="Drainage blanket cross sectio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1110" descr="Drainage blanket cross section diagram"/>
                    <pic:cNvPicPr>
                      <a:picLocks noChangeAspect="1" noChangeArrowheads="1"/>
                    </pic:cNvPicPr>
                  </pic:nvPicPr>
                  <pic:blipFill>
                    <a:blip r:embed="rId311" cstate="print"/>
                    <a:srcRect/>
                    <a:stretch>
                      <a:fillRect/>
                    </a:stretch>
                  </pic:blipFill>
                  <pic:spPr bwMode="auto">
                    <a:xfrm>
                      <a:off x="0" y="0"/>
                      <a:ext cx="5513342" cy="2130154"/>
                    </a:xfrm>
                    <a:prstGeom prst="rect">
                      <a:avLst/>
                    </a:prstGeom>
                    <a:noFill/>
                    <a:ln w="9525">
                      <a:noFill/>
                      <a:miter lim="800000"/>
                      <a:headEnd/>
                      <a:tailEnd/>
                    </a:ln>
                    <a:effectLst/>
                  </pic:spPr>
                </pic:pic>
              </a:graphicData>
            </a:graphic>
            <wp14:sizeRelH relativeFrom="margin">
              <wp14:pctWidth>0</wp14:pctWidth>
            </wp14:sizeRelH>
            <wp14:sizeRelV relativeFrom="margin">
              <wp14:pctHeight>0</wp14:pctHeight>
            </wp14:sizeRelV>
          </wp:anchor>
        </w:drawing>
      </w:r>
    </w:p>
    <w:p w14:paraId="6A7825DA" w14:textId="77777777" w:rsidR="006041E7" w:rsidRDefault="006041E7" w:rsidP="00BE3F24">
      <w:pPr>
        <w:rPr>
          <w:rFonts w:ascii="Arial" w:hAnsi="Arial"/>
        </w:rPr>
      </w:pPr>
    </w:p>
    <w:p w14:paraId="1E511DAC" w14:textId="77777777" w:rsidR="006041E7" w:rsidRDefault="006041E7" w:rsidP="00BE3F24">
      <w:pPr>
        <w:rPr>
          <w:rFonts w:ascii="Arial" w:hAnsi="Arial"/>
        </w:rPr>
      </w:pPr>
    </w:p>
    <w:p w14:paraId="28EC2488" w14:textId="77777777" w:rsidR="006041E7" w:rsidRDefault="006041E7" w:rsidP="00BE3F24">
      <w:pPr>
        <w:rPr>
          <w:rFonts w:ascii="Arial" w:hAnsi="Arial"/>
        </w:rPr>
      </w:pPr>
    </w:p>
    <w:p w14:paraId="06422F1B" w14:textId="77777777" w:rsidR="006041E7" w:rsidRDefault="006041E7" w:rsidP="00BE3F24">
      <w:pPr>
        <w:rPr>
          <w:rFonts w:ascii="Arial" w:hAnsi="Arial"/>
        </w:rPr>
      </w:pPr>
    </w:p>
    <w:p w14:paraId="3415CD0A" w14:textId="77777777" w:rsidR="006041E7" w:rsidRDefault="006041E7" w:rsidP="00BE3F24">
      <w:pPr>
        <w:rPr>
          <w:rFonts w:ascii="Arial" w:hAnsi="Arial"/>
        </w:rPr>
      </w:pPr>
    </w:p>
    <w:p w14:paraId="4367D53F" w14:textId="77777777" w:rsidR="006041E7" w:rsidRDefault="006041E7" w:rsidP="00BE3F24">
      <w:pPr>
        <w:rPr>
          <w:rFonts w:ascii="Arial" w:hAnsi="Arial"/>
        </w:rPr>
      </w:pPr>
    </w:p>
    <w:p w14:paraId="016C98D9" w14:textId="77777777" w:rsidR="006041E7" w:rsidRDefault="006041E7" w:rsidP="00BE3F24">
      <w:pPr>
        <w:rPr>
          <w:rFonts w:ascii="Arial" w:hAnsi="Arial"/>
        </w:rPr>
      </w:pPr>
    </w:p>
    <w:p w14:paraId="3E3070D5" w14:textId="77777777" w:rsidR="006041E7" w:rsidRDefault="006041E7" w:rsidP="00BE3F24">
      <w:pPr>
        <w:rPr>
          <w:rFonts w:ascii="Arial" w:hAnsi="Arial"/>
        </w:rPr>
      </w:pPr>
    </w:p>
    <w:p w14:paraId="63657777" w14:textId="77777777" w:rsidR="006041E7" w:rsidRDefault="006041E7" w:rsidP="00BE3F24">
      <w:pPr>
        <w:rPr>
          <w:rFonts w:ascii="Arial" w:hAnsi="Arial"/>
        </w:rPr>
      </w:pPr>
    </w:p>
    <w:p w14:paraId="46A4FE9A" w14:textId="77777777" w:rsidR="006041E7" w:rsidRDefault="006041E7" w:rsidP="00BE3F24">
      <w:pPr>
        <w:rPr>
          <w:rFonts w:ascii="Arial" w:hAnsi="Arial"/>
        </w:rPr>
      </w:pPr>
    </w:p>
    <w:p w14:paraId="42C822C7" w14:textId="77777777" w:rsidR="006041E7" w:rsidRDefault="006041E7" w:rsidP="00BE3F24">
      <w:pPr>
        <w:rPr>
          <w:rFonts w:ascii="Arial" w:hAnsi="Arial"/>
        </w:rPr>
      </w:pPr>
    </w:p>
    <w:p w14:paraId="12EAF50D" w14:textId="77777777" w:rsidR="006041E7" w:rsidRDefault="006041E7" w:rsidP="00BE3F24">
      <w:pPr>
        <w:rPr>
          <w:rFonts w:ascii="Arial" w:hAnsi="Arial"/>
        </w:rPr>
      </w:pPr>
    </w:p>
    <w:p w14:paraId="5AC7B582" w14:textId="77777777" w:rsidR="006041E7" w:rsidRDefault="006041E7" w:rsidP="00BE3F24">
      <w:pPr>
        <w:rPr>
          <w:rFonts w:ascii="Arial" w:hAnsi="Arial"/>
        </w:rPr>
      </w:pPr>
    </w:p>
    <w:p w14:paraId="3A8B2880" w14:textId="77777777" w:rsidR="006041E7" w:rsidRDefault="006041E7" w:rsidP="00BE3F24">
      <w:pPr>
        <w:rPr>
          <w:rFonts w:ascii="Arial" w:hAnsi="Arial"/>
        </w:rPr>
      </w:pPr>
    </w:p>
    <w:p w14:paraId="079D7C0A" w14:textId="77777777" w:rsidR="006041E7" w:rsidRDefault="006041E7" w:rsidP="00BE3F24">
      <w:pPr>
        <w:rPr>
          <w:rFonts w:ascii="Arial" w:hAnsi="Arial"/>
        </w:rPr>
      </w:pPr>
    </w:p>
    <w:p w14:paraId="4B7A03D0" w14:textId="77777777" w:rsidR="006041E7" w:rsidRPr="000A02F1" w:rsidRDefault="006041E7" w:rsidP="00BE3F24">
      <w:pPr>
        <w:rPr>
          <w:rFonts w:ascii="Arial" w:hAnsi="Arial"/>
          <w:b/>
          <w:sz w:val="22"/>
          <w:u w:val="single"/>
        </w:rPr>
      </w:pPr>
      <w:r w:rsidRPr="000A02F1">
        <w:rPr>
          <w:rFonts w:ascii="Arial" w:hAnsi="Arial"/>
          <w:b/>
          <w:sz w:val="22"/>
          <w:u w:val="single"/>
        </w:rPr>
        <w:t>Drainage Blanket Example 2 – First Layer in Wetlands Specified by Elevation (Profile)</w:t>
      </w:r>
    </w:p>
    <w:p w14:paraId="22F11E5A" w14:textId="4F7975F8" w:rsidR="006041E7" w:rsidRDefault="006041E7" w:rsidP="00BE3F24">
      <w:pPr>
        <w:rPr>
          <w:rFonts w:ascii="Arial" w:hAnsi="Arial"/>
        </w:rPr>
      </w:pPr>
      <w:r>
        <w:rPr>
          <w:rFonts w:ascii="Arial" w:hAnsi="Arial"/>
          <w:noProof/>
        </w:rPr>
        <w:drawing>
          <wp:anchor distT="0" distB="0" distL="114300" distR="114300" simplePos="0" relativeHeight="251638272" behindDoc="0" locked="0" layoutInCell="1" allowOverlap="1" wp14:anchorId="118F10E8" wp14:editId="0D07246B">
            <wp:simplePos x="0" y="0"/>
            <wp:positionH relativeFrom="column">
              <wp:posOffset>6350</wp:posOffset>
            </wp:positionH>
            <wp:positionV relativeFrom="paragraph">
              <wp:posOffset>64771</wp:posOffset>
            </wp:positionV>
            <wp:extent cx="5490896" cy="2146300"/>
            <wp:effectExtent l="0" t="0" r="0" b="6350"/>
            <wp:wrapNone/>
            <wp:docPr id="79" name="Picture 1111" descr="Drainage blanket profil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1111" descr="Drainage blanket profile diagram"/>
                    <pic:cNvPicPr>
                      <a:picLocks noChangeAspect="1" noChangeArrowheads="1"/>
                    </pic:cNvPicPr>
                  </pic:nvPicPr>
                  <pic:blipFill>
                    <a:blip r:embed="rId312" cstate="print"/>
                    <a:srcRect/>
                    <a:stretch>
                      <a:fillRect/>
                    </a:stretch>
                  </pic:blipFill>
                  <pic:spPr bwMode="auto">
                    <a:xfrm>
                      <a:off x="0" y="0"/>
                      <a:ext cx="5505834" cy="2152139"/>
                    </a:xfrm>
                    <a:prstGeom prst="rect">
                      <a:avLst/>
                    </a:prstGeom>
                    <a:noFill/>
                    <a:ln w="9525">
                      <a:noFill/>
                      <a:miter lim="800000"/>
                      <a:headEnd/>
                      <a:tailEnd/>
                    </a:ln>
                    <a:effectLst/>
                  </pic:spPr>
                </pic:pic>
              </a:graphicData>
            </a:graphic>
            <wp14:sizeRelH relativeFrom="margin">
              <wp14:pctWidth>0</wp14:pctWidth>
            </wp14:sizeRelH>
            <wp14:sizeRelV relativeFrom="margin">
              <wp14:pctHeight>0</wp14:pctHeight>
            </wp14:sizeRelV>
          </wp:anchor>
        </w:drawing>
      </w:r>
    </w:p>
    <w:p w14:paraId="172629BB" w14:textId="77777777" w:rsidR="006041E7" w:rsidRDefault="006041E7" w:rsidP="00BE3F24">
      <w:pPr>
        <w:rPr>
          <w:rFonts w:ascii="Arial" w:hAnsi="Arial"/>
        </w:rPr>
      </w:pPr>
    </w:p>
    <w:p w14:paraId="2E1BA5E7" w14:textId="77777777" w:rsidR="006041E7" w:rsidRDefault="006041E7" w:rsidP="00BE3F24">
      <w:pPr>
        <w:rPr>
          <w:rFonts w:ascii="Arial" w:hAnsi="Arial"/>
        </w:rPr>
      </w:pPr>
    </w:p>
    <w:p w14:paraId="75B866E1" w14:textId="77777777" w:rsidR="006041E7" w:rsidRDefault="006041E7" w:rsidP="00BE3F24">
      <w:pPr>
        <w:rPr>
          <w:rFonts w:ascii="Arial" w:hAnsi="Arial"/>
        </w:rPr>
      </w:pPr>
    </w:p>
    <w:p w14:paraId="3E4FCF62" w14:textId="77777777" w:rsidR="006041E7" w:rsidRDefault="006041E7" w:rsidP="00BE3F24">
      <w:pPr>
        <w:rPr>
          <w:rFonts w:ascii="Arial" w:hAnsi="Arial"/>
        </w:rPr>
      </w:pPr>
    </w:p>
    <w:p w14:paraId="16D3B001" w14:textId="77777777" w:rsidR="006041E7" w:rsidRDefault="006041E7" w:rsidP="00BE3F24">
      <w:pPr>
        <w:rPr>
          <w:rFonts w:ascii="Arial" w:hAnsi="Arial"/>
        </w:rPr>
      </w:pPr>
    </w:p>
    <w:p w14:paraId="5213E231" w14:textId="77777777" w:rsidR="006041E7" w:rsidRDefault="006041E7" w:rsidP="00BE3F24">
      <w:pPr>
        <w:rPr>
          <w:rFonts w:ascii="Arial" w:hAnsi="Arial"/>
        </w:rPr>
      </w:pPr>
    </w:p>
    <w:p w14:paraId="5FD944BF" w14:textId="77777777" w:rsidR="006041E7" w:rsidRDefault="006041E7" w:rsidP="00BE3F24">
      <w:pPr>
        <w:rPr>
          <w:rFonts w:ascii="Arial" w:hAnsi="Arial"/>
        </w:rPr>
      </w:pPr>
    </w:p>
    <w:p w14:paraId="2D2F3026" w14:textId="77777777" w:rsidR="006041E7" w:rsidRDefault="006041E7" w:rsidP="00BE3F24">
      <w:pPr>
        <w:rPr>
          <w:rFonts w:ascii="Arial" w:hAnsi="Arial"/>
        </w:rPr>
      </w:pPr>
    </w:p>
    <w:p w14:paraId="0656F6B4" w14:textId="77777777" w:rsidR="006041E7" w:rsidRDefault="006041E7" w:rsidP="00BE3F24">
      <w:pPr>
        <w:rPr>
          <w:rFonts w:ascii="Arial" w:hAnsi="Arial"/>
        </w:rPr>
      </w:pPr>
    </w:p>
    <w:p w14:paraId="51430326" w14:textId="77777777" w:rsidR="006041E7" w:rsidRDefault="006041E7" w:rsidP="00BE3F24">
      <w:pPr>
        <w:rPr>
          <w:rFonts w:ascii="Arial" w:hAnsi="Arial"/>
        </w:rPr>
      </w:pPr>
    </w:p>
    <w:p w14:paraId="12DCA5A5" w14:textId="77777777" w:rsidR="006041E7" w:rsidRDefault="006041E7" w:rsidP="00BE3F24">
      <w:pPr>
        <w:rPr>
          <w:rFonts w:ascii="Arial" w:hAnsi="Arial"/>
        </w:rPr>
      </w:pPr>
    </w:p>
    <w:p w14:paraId="35CB6071" w14:textId="77777777" w:rsidR="006041E7" w:rsidRDefault="006041E7" w:rsidP="00BE3F24">
      <w:pPr>
        <w:rPr>
          <w:rFonts w:ascii="Arial" w:hAnsi="Arial"/>
        </w:rPr>
      </w:pPr>
    </w:p>
    <w:p w14:paraId="563F9D0D" w14:textId="77777777" w:rsidR="006041E7" w:rsidRDefault="006041E7" w:rsidP="00BE3F24">
      <w:pPr>
        <w:rPr>
          <w:rFonts w:ascii="Arial" w:hAnsi="Arial"/>
        </w:rPr>
      </w:pPr>
    </w:p>
    <w:p w14:paraId="6178D8EF" w14:textId="77777777" w:rsidR="006041E7" w:rsidRDefault="006041E7" w:rsidP="00BE3F24">
      <w:pPr>
        <w:rPr>
          <w:rFonts w:ascii="Arial" w:hAnsi="Arial"/>
        </w:rPr>
      </w:pPr>
    </w:p>
    <w:p w14:paraId="74272129" w14:textId="77777777" w:rsidR="006041E7" w:rsidRDefault="006041E7" w:rsidP="00BE3F24">
      <w:pPr>
        <w:rPr>
          <w:rFonts w:ascii="Arial" w:hAnsi="Arial"/>
        </w:rPr>
      </w:pPr>
    </w:p>
    <w:p w14:paraId="7E7C00AF" w14:textId="77777777" w:rsidR="006041E7" w:rsidRDefault="006041E7" w:rsidP="00BE3F24">
      <w:pPr>
        <w:rPr>
          <w:rFonts w:ascii="Arial" w:hAnsi="Arial"/>
          <w:u w:val="single"/>
        </w:rPr>
      </w:pPr>
      <w:r>
        <w:rPr>
          <w:rFonts w:ascii="Arial" w:hAnsi="Arial"/>
          <w:u w:val="single"/>
        </w:rPr>
        <w:br w:type="page"/>
      </w:r>
    </w:p>
    <w:p w14:paraId="7633349A" w14:textId="77777777" w:rsidR="006041E7" w:rsidRPr="000A02F1" w:rsidRDefault="006041E7" w:rsidP="00BE3F24">
      <w:pPr>
        <w:rPr>
          <w:rFonts w:ascii="Arial" w:hAnsi="Arial"/>
          <w:b/>
          <w:sz w:val="22"/>
          <w:u w:val="single"/>
        </w:rPr>
      </w:pPr>
      <w:r w:rsidRPr="000A02F1">
        <w:rPr>
          <w:rFonts w:ascii="Arial" w:hAnsi="Arial"/>
          <w:b/>
          <w:sz w:val="22"/>
          <w:u w:val="single"/>
        </w:rPr>
        <w:lastRenderedPageBreak/>
        <w:t>Drainage Blanket Example 2 – First Layer in Wetlands Specified by Elevation (Cross Section)</w:t>
      </w:r>
    </w:p>
    <w:p w14:paraId="2576020A" w14:textId="45D6C069" w:rsidR="006041E7" w:rsidRDefault="006041E7" w:rsidP="00BE3F24">
      <w:pPr>
        <w:rPr>
          <w:rFonts w:ascii="Arial" w:hAnsi="Arial"/>
        </w:rPr>
      </w:pPr>
      <w:r>
        <w:rPr>
          <w:rFonts w:ascii="Arial" w:hAnsi="Arial"/>
          <w:noProof/>
        </w:rPr>
        <w:drawing>
          <wp:anchor distT="0" distB="0" distL="114300" distR="114300" simplePos="0" relativeHeight="251639296" behindDoc="0" locked="0" layoutInCell="1" allowOverlap="1" wp14:anchorId="5F862B87" wp14:editId="05D941A4">
            <wp:simplePos x="0" y="0"/>
            <wp:positionH relativeFrom="column">
              <wp:posOffset>-6350</wp:posOffset>
            </wp:positionH>
            <wp:positionV relativeFrom="paragraph">
              <wp:posOffset>69851</wp:posOffset>
            </wp:positionV>
            <wp:extent cx="5551579" cy="2235200"/>
            <wp:effectExtent l="0" t="0" r="0" b="0"/>
            <wp:wrapNone/>
            <wp:docPr id="81" name="Picture 1112" descr="Drainage blanket cross sectio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1112" descr="Drainage blanket cross section diagram"/>
                    <pic:cNvPicPr>
                      <a:picLocks noChangeAspect="1" noChangeArrowheads="1"/>
                    </pic:cNvPicPr>
                  </pic:nvPicPr>
                  <pic:blipFill>
                    <a:blip r:embed="rId313" cstate="print"/>
                    <a:srcRect/>
                    <a:stretch>
                      <a:fillRect/>
                    </a:stretch>
                  </pic:blipFill>
                  <pic:spPr bwMode="auto">
                    <a:xfrm>
                      <a:off x="0" y="0"/>
                      <a:ext cx="5570048" cy="2242636"/>
                    </a:xfrm>
                    <a:prstGeom prst="rect">
                      <a:avLst/>
                    </a:prstGeom>
                    <a:noFill/>
                    <a:ln w="9525">
                      <a:noFill/>
                      <a:miter lim="800000"/>
                      <a:headEnd/>
                      <a:tailEnd/>
                    </a:ln>
                    <a:effectLst/>
                  </pic:spPr>
                </pic:pic>
              </a:graphicData>
            </a:graphic>
            <wp14:sizeRelH relativeFrom="margin">
              <wp14:pctWidth>0</wp14:pctWidth>
            </wp14:sizeRelH>
            <wp14:sizeRelV relativeFrom="margin">
              <wp14:pctHeight>0</wp14:pctHeight>
            </wp14:sizeRelV>
          </wp:anchor>
        </w:drawing>
      </w:r>
    </w:p>
    <w:p w14:paraId="3B390A7B" w14:textId="77777777" w:rsidR="006041E7" w:rsidRDefault="006041E7" w:rsidP="00BE3F24">
      <w:pPr>
        <w:rPr>
          <w:rFonts w:ascii="Arial" w:hAnsi="Arial"/>
        </w:rPr>
      </w:pPr>
    </w:p>
    <w:p w14:paraId="1653EA27" w14:textId="77777777" w:rsidR="006041E7" w:rsidRDefault="006041E7" w:rsidP="00BE3F24">
      <w:pPr>
        <w:rPr>
          <w:rFonts w:ascii="Arial" w:hAnsi="Arial"/>
        </w:rPr>
      </w:pPr>
    </w:p>
    <w:p w14:paraId="2C4A8900" w14:textId="77777777" w:rsidR="006041E7" w:rsidRDefault="006041E7" w:rsidP="00BE3F24">
      <w:pPr>
        <w:rPr>
          <w:rFonts w:ascii="Arial" w:hAnsi="Arial"/>
        </w:rPr>
      </w:pPr>
    </w:p>
    <w:p w14:paraId="42768CA2" w14:textId="77777777" w:rsidR="006041E7" w:rsidRDefault="006041E7" w:rsidP="00BE3F24">
      <w:pPr>
        <w:rPr>
          <w:rFonts w:ascii="Arial" w:hAnsi="Arial"/>
        </w:rPr>
      </w:pPr>
    </w:p>
    <w:p w14:paraId="58FDEF34" w14:textId="77777777" w:rsidR="006041E7" w:rsidRDefault="006041E7" w:rsidP="00BE3F24">
      <w:pPr>
        <w:rPr>
          <w:rFonts w:ascii="Arial" w:hAnsi="Arial"/>
        </w:rPr>
      </w:pPr>
    </w:p>
    <w:p w14:paraId="20CE7B41" w14:textId="77777777" w:rsidR="006041E7" w:rsidRDefault="006041E7" w:rsidP="00BE3F24">
      <w:pPr>
        <w:rPr>
          <w:rFonts w:ascii="Arial" w:hAnsi="Arial"/>
        </w:rPr>
      </w:pPr>
    </w:p>
    <w:p w14:paraId="2C5B2C87" w14:textId="77777777" w:rsidR="006041E7" w:rsidRDefault="006041E7" w:rsidP="00BE3F24">
      <w:pPr>
        <w:rPr>
          <w:rFonts w:ascii="Arial" w:hAnsi="Arial"/>
        </w:rPr>
      </w:pPr>
    </w:p>
    <w:p w14:paraId="40C80E8F" w14:textId="77777777" w:rsidR="006041E7" w:rsidRDefault="006041E7" w:rsidP="00BE3F24">
      <w:pPr>
        <w:rPr>
          <w:rFonts w:ascii="Arial" w:hAnsi="Arial"/>
        </w:rPr>
      </w:pPr>
    </w:p>
    <w:p w14:paraId="55E363C8" w14:textId="77777777" w:rsidR="006041E7" w:rsidRDefault="006041E7" w:rsidP="00BE3F24">
      <w:pPr>
        <w:rPr>
          <w:rFonts w:ascii="Arial" w:hAnsi="Arial"/>
        </w:rPr>
      </w:pPr>
    </w:p>
    <w:p w14:paraId="0F77D5B6" w14:textId="77777777" w:rsidR="006041E7" w:rsidRDefault="006041E7" w:rsidP="00BE3F24">
      <w:pPr>
        <w:rPr>
          <w:rFonts w:ascii="Arial" w:hAnsi="Arial"/>
        </w:rPr>
      </w:pPr>
    </w:p>
    <w:p w14:paraId="034E69BC" w14:textId="77777777" w:rsidR="006041E7" w:rsidRDefault="006041E7" w:rsidP="00BE3F24">
      <w:pPr>
        <w:rPr>
          <w:rFonts w:ascii="Arial" w:hAnsi="Arial"/>
        </w:rPr>
      </w:pPr>
    </w:p>
    <w:p w14:paraId="723AF0C4" w14:textId="77777777" w:rsidR="006041E7" w:rsidRDefault="006041E7" w:rsidP="00BE3F24">
      <w:pPr>
        <w:rPr>
          <w:rFonts w:ascii="Arial" w:hAnsi="Arial"/>
        </w:rPr>
      </w:pPr>
    </w:p>
    <w:p w14:paraId="5A337422" w14:textId="77777777" w:rsidR="006041E7" w:rsidRDefault="006041E7" w:rsidP="00BE3F24">
      <w:pPr>
        <w:rPr>
          <w:rFonts w:ascii="Arial" w:hAnsi="Arial"/>
        </w:rPr>
      </w:pPr>
    </w:p>
    <w:p w14:paraId="02FB2089" w14:textId="77777777" w:rsidR="006041E7" w:rsidRDefault="006041E7" w:rsidP="00BE3F24">
      <w:pPr>
        <w:rPr>
          <w:rFonts w:ascii="Arial" w:hAnsi="Arial"/>
        </w:rPr>
      </w:pPr>
    </w:p>
    <w:p w14:paraId="771BD59F" w14:textId="77777777" w:rsidR="006041E7" w:rsidRDefault="006041E7" w:rsidP="00BE3F24">
      <w:pPr>
        <w:rPr>
          <w:rFonts w:ascii="Arial" w:hAnsi="Arial"/>
        </w:rPr>
      </w:pPr>
    </w:p>
    <w:p w14:paraId="01DF3B44" w14:textId="77777777" w:rsidR="006041E7" w:rsidRDefault="006041E7" w:rsidP="00BE3F24">
      <w:pPr>
        <w:rPr>
          <w:rFonts w:ascii="Arial" w:hAnsi="Arial"/>
        </w:rPr>
      </w:pPr>
    </w:p>
    <w:p w14:paraId="4FFAA0F8" w14:textId="77777777" w:rsidR="006041E7" w:rsidRPr="000A02F1" w:rsidRDefault="000577FA" w:rsidP="00BE3F24">
      <w:pPr>
        <w:rPr>
          <w:rFonts w:ascii="Arial" w:hAnsi="Arial"/>
          <w:b/>
          <w:sz w:val="22"/>
          <w:u w:val="single"/>
        </w:rPr>
      </w:pPr>
      <w:r w:rsidRPr="000A02F1">
        <w:rPr>
          <w:rFonts w:ascii="Arial" w:hAnsi="Arial"/>
          <w:b/>
          <w:sz w:val="22"/>
          <w:u w:val="single"/>
        </w:rPr>
        <w:t xml:space="preserve">Slope </w:t>
      </w:r>
      <w:r w:rsidR="006041E7" w:rsidRPr="000A02F1">
        <w:rPr>
          <w:rFonts w:ascii="Arial" w:hAnsi="Arial"/>
          <w:b/>
          <w:sz w:val="22"/>
          <w:u w:val="single"/>
        </w:rPr>
        <w:t>Drainage Blanket Example – Side Hill Fill</w:t>
      </w:r>
    </w:p>
    <w:p w14:paraId="5CFE1EC3" w14:textId="7753A743" w:rsidR="006041E7" w:rsidRDefault="006041E7" w:rsidP="00BE3F24">
      <w:pPr>
        <w:rPr>
          <w:rFonts w:ascii="Arial" w:hAnsi="Arial"/>
        </w:rPr>
      </w:pPr>
      <w:r>
        <w:rPr>
          <w:rFonts w:ascii="Arial" w:hAnsi="Arial"/>
          <w:noProof/>
        </w:rPr>
        <w:drawing>
          <wp:anchor distT="0" distB="0" distL="114300" distR="114300" simplePos="0" relativeHeight="251640320" behindDoc="0" locked="0" layoutInCell="1" allowOverlap="1" wp14:anchorId="0224F812" wp14:editId="74D459A3">
            <wp:simplePos x="0" y="0"/>
            <wp:positionH relativeFrom="column">
              <wp:posOffset>-19050</wp:posOffset>
            </wp:positionH>
            <wp:positionV relativeFrom="paragraph">
              <wp:posOffset>74295</wp:posOffset>
            </wp:positionV>
            <wp:extent cx="5563870" cy="2265073"/>
            <wp:effectExtent l="0" t="0" r="0" b="1905"/>
            <wp:wrapNone/>
            <wp:docPr id="82" name="Picture 1113" descr="Slope drainage blanket side hill fil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113" descr="Slope drainage blanket side hill fill diagram"/>
                    <pic:cNvPicPr>
                      <a:picLocks noChangeAspect="1" noChangeArrowheads="1"/>
                    </pic:cNvPicPr>
                  </pic:nvPicPr>
                  <pic:blipFill>
                    <a:blip r:embed="rId314" cstate="print"/>
                    <a:srcRect t="5476" b="3847"/>
                    <a:stretch>
                      <a:fillRect/>
                    </a:stretch>
                  </pic:blipFill>
                  <pic:spPr bwMode="auto">
                    <a:xfrm>
                      <a:off x="0" y="0"/>
                      <a:ext cx="5573666" cy="2269061"/>
                    </a:xfrm>
                    <a:prstGeom prst="rect">
                      <a:avLst/>
                    </a:prstGeom>
                    <a:noFill/>
                    <a:ln w="9525">
                      <a:noFill/>
                      <a:miter lim="800000"/>
                      <a:headEnd/>
                      <a:tailEnd/>
                    </a:ln>
                    <a:effectLst/>
                  </pic:spPr>
                </pic:pic>
              </a:graphicData>
            </a:graphic>
            <wp14:sizeRelH relativeFrom="margin">
              <wp14:pctWidth>0</wp14:pctWidth>
            </wp14:sizeRelH>
            <wp14:sizeRelV relativeFrom="margin">
              <wp14:pctHeight>0</wp14:pctHeight>
            </wp14:sizeRelV>
          </wp:anchor>
        </w:drawing>
      </w:r>
    </w:p>
    <w:p w14:paraId="1BEF026C" w14:textId="77777777" w:rsidR="006041E7" w:rsidRDefault="006041E7" w:rsidP="00BE3F24">
      <w:pPr>
        <w:rPr>
          <w:rFonts w:ascii="Arial" w:hAnsi="Arial"/>
        </w:rPr>
      </w:pPr>
    </w:p>
    <w:p w14:paraId="3B3CAC12" w14:textId="77777777" w:rsidR="006041E7" w:rsidRDefault="006041E7" w:rsidP="00BE3F24">
      <w:pPr>
        <w:rPr>
          <w:rFonts w:ascii="Arial" w:hAnsi="Arial"/>
        </w:rPr>
      </w:pPr>
    </w:p>
    <w:p w14:paraId="21A20948" w14:textId="77777777" w:rsidR="006041E7" w:rsidRDefault="006041E7" w:rsidP="00BE3F24">
      <w:pPr>
        <w:rPr>
          <w:rFonts w:ascii="Arial" w:hAnsi="Arial"/>
        </w:rPr>
      </w:pPr>
    </w:p>
    <w:p w14:paraId="604AC15B" w14:textId="77777777" w:rsidR="006041E7" w:rsidRDefault="006041E7" w:rsidP="00BE3F24">
      <w:pPr>
        <w:rPr>
          <w:rFonts w:ascii="Arial" w:hAnsi="Arial"/>
        </w:rPr>
      </w:pPr>
    </w:p>
    <w:p w14:paraId="2EE8B4B9" w14:textId="77777777" w:rsidR="006041E7" w:rsidRDefault="006041E7" w:rsidP="00BE3F24">
      <w:pPr>
        <w:rPr>
          <w:rFonts w:ascii="Arial" w:hAnsi="Arial"/>
        </w:rPr>
      </w:pPr>
    </w:p>
    <w:p w14:paraId="3069EFEE" w14:textId="77777777" w:rsidR="006041E7" w:rsidRDefault="006041E7" w:rsidP="00BE3F24">
      <w:pPr>
        <w:rPr>
          <w:rFonts w:ascii="Arial" w:hAnsi="Arial"/>
        </w:rPr>
      </w:pPr>
    </w:p>
    <w:p w14:paraId="6B264551" w14:textId="77777777" w:rsidR="006041E7" w:rsidRDefault="006041E7" w:rsidP="00BE3F24">
      <w:pPr>
        <w:rPr>
          <w:rFonts w:ascii="Arial" w:hAnsi="Arial"/>
        </w:rPr>
      </w:pPr>
    </w:p>
    <w:p w14:paraId="363E15AF" w14:textId="77777777" w:rsidR="006041E7" w:rsidRDefault="006041E7" w:rsidP="00BE3F24">
      <w:pPr>
        <w:rPr>
          <w:rFonts w:ascii="Arial" w:hAnsi="Arial"/>
        </w:rPr>
      </w:pPr>
    </w:p>
    <w:p w14:paraId="06D2ABBA" w14:textId="77777777" w:rsidR="006041E7" w:rsidRDefault="006041E7" w:rsidP="00BE3F24">
      <w:pPr>
        <w:rPr>
          <w:rFonts w:ascii="Arial" w:hAnsi="Arial"/>
        </w:rPr>
      </w:pPr>
    </w:p>
    <w:p w14:paraId="5B12A72E" w14:textId="77777777" w:rsidR="006041E7" w:rsidRDefault="006041E7" w:rsidP="00BE3F24">
      <w:pPr>
        <w:rPr>
          <w:rFonts w:ascii="Arial" w:hAnsi="Arial"/>
        </w:rPr>
      </w:pPr>
    </w:p>
    <w:p w14:paraId="75A47AC8" w14:textId="77777777" w:rsidR="006041E7" w:rsidRDefault="006041E7" w:rsidP="00BE3F24">
      <w:pPr>
        <w:rPr>
          <w:rFonts w:ascii="Arial" w:hAnsi="Arial"/>
        </w:rPr>
      </w:pPr>
    </w:p>
    <w:p w14:paraId="42073A26" w14:textId="77777777" w:rsidR="006041E7" w:rsidRDefault="006041E7" w:rsidP="00BE3F24">
      <w:pPr>
        <w:rPr>
          <w:rFonts w:ascii="Arial" w:hAnsi="Arial"/>
        </w:rPr>
      </w:pPr>
    </w:p>
    <w:p w14:paraId="2A4EA86F" w14:textId="77777777" w:rsidR="006041E7" w:rsidRDefault="006041E7" w:rsidP="00BE3F24">
      <w:pPr>
        <w:rPr>
          <w:rFonts w:ascii="Arial" w:hAnsi="Arial"/>
        </w:rPr>
      </w:pPr>
    </w:p>
    <w:p w14:paraId="26A081FE" w14:textId="77777777" w:rsidR="006041E7" w:rsidRDefault="006041E7" w:rsidP="00BE3F24">
      <w:pPr>
        <w:rPr>
          <w:rFonts w:ascii="Arial" w:hAnsi="Arial"/>
        </w:rPr>
      </w:pPr>
    </w:p>
    <w:p w14:paraId="76A7B4AD" w14:textId="77777777" w:rsidR="006041E7" w:rsidRDefault="006041E7" w:rsidP="00BE3F24">
      <w:pPr>
        <w:rPr>
          <w:rFonts w:ascii="Arial" w:hAnsi="Arial"/>
        </w:rPr>
      </w:pPr>
    </w:p>
    <w:p w14:paraId="1ACB5506" w14:textId="77777777" w:rsidR="006041E7" w:rsidRDefault="006041E7" w:rsidP="00BE3F24">
      <w:pPr>
        <w:rPr>
          <w:rFonts w:ascii="Arial" w:hAnsi="Arial"/>
        </w:rPr>
      </w:pPr>
    </w:p>
    <w:p w14:paraId="0894B54A" w14:textId="77777777" w:rsidR="006041E7" w:rsidRPr="000A02F1" w:rsidRDefault="006041E7" w:rsidP="00BE3F24">
      <w:pPr>
        <w:rPr>
          <w:rFonts w:ascii="Arial" w:hAnsi="Arial"/>
          <w:b/>
          <w:sz w:val="22"/>
          <w:u w:val="single"/>
        </w:rPr>
      </w:pPr>
      <w:r w:rsidRPr="000A02F1">
        <w:rPr>
          <w:rFonts w:ascii="Arial" w:hAnsi="Arial"/>
          <w:b/>
          <w:sz w:val="22"/>
          <w:u w:val="single"/>
        </w:rPr>
        <w:t>Drainage Blanket Example – Wet Soil or Wet Cut Areas</w:t>
      </w:r>
    </w:p>
    <w:p w14:paraId="4BFB939A" w14:textId="3A47CFF0" w:rsidR="006041E7" w:rsidRDefault="006041E7" w:rsidP="00BE3F24">
      <w:pPr>
        <w:rPr>
          <w:rFonts w:ascii="Arial" w:hAnsi="Arial"/>
        </w:rPr>
      </w:pPr>
      <w:r>
        <w:rPr>
          <w:rFonts w:ascii="Arial" w:hAnsi="Arial"/>
          <w:noProof/>
        </w:rPr>
        <w:drawing>
          <wp:anchor distT="0" distB="0" distL="114300" distR="114300" simplePos="0" relativeHeight="251641344" behindDoc="0" locked="0" layoutInCell="1" allowOverlap="1" wp14:anchorId="3B442CFD" wp14:editId="6F29EA38">
            <wp:simplePos x="0" y="0"/>
            <wp:positionH relativeFrom="column">
              <wp:posOffset>-6349</wp:posOffset>
            </wp:positionH>
            <wp:positionV relativeFrom="paragraph">
              <wp:posOffset>92075</wp:posOffset>
            </wp:positionV>
            <wp:extent cx="5588000" cy="2272588"/>
            <wp:effectExtent l="0" t="0" r="0" b="0"/>
            <wp:wrapNone/>
            <wp:docPr id="84" name="Picture 1114" descr="Drainage blanket wet soil or wet cut area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114" descr="Drainage blanket wet soil or wet cut areas diagram"/>
                    <pic:cNvPicPr>
                      <a:picLocks noChangeAspect="1" noChangeArrowheads="1"/>
                    </pic:cNvPicPr>
                  </pic:nvPicPr>
                  <pic:blipFill>
                    <a:blip r:embed="rId315" cstate="print"/>
                    <a:srcRect t="7074" b="3954"/>
                    <a:stretch>
                      <a:fillRect/>
                    </a:stretch>
                  </pic:blipFill>
                  <pic:spPr bwMode="auto">
                    <a:xfrm>
                      <a:off x="0" y="0"/>
                      <a:ext cx="5603824" cy="2279024"/>
                    </a:xfrm>
                    <a:prstGeom prst="rect">
                      <a:avLst/>
                    </a:prstGeom>
                    <a:noFill/>
                    <a:ln w="9525">
                      <a:noFill/>
                      <a:miter lim="800000"/>
                      <a:headEnd/>
                      <a:tailEnd/>
                    </a:ln>
                    <a:effectLst/>
                  </pic:spPr>
                </pic:pic>
              </a:graphicData>
            </a:graphic>
            <wp14:sizeRelH relativeFrom="margin">
              <wp14:pctWidth>0</wp14:pctWidth>
            </wp14:sizeRelH>
            <wp14:sizeRelV relativeFrom="margin">
              <wp14:pctHeight>0</wp14:pctHeight>
            </wp14:sizeRelV>
          </wp:anchor>
        </w:drawing>
      </w:r>
    </w:p>
    <w:p w14:paraId="0D5A4BDF" w14:textId="77777777" w:rsidR="006041E7" w:rsidRDefault="006041E7" w:rsidP="00BE3F24">
      <w:pPr>
        <w:rPr>
          <w:rFonts w:ascii="Arial" w:hAnsi="Arial"/>
        </w:rPr>
      </w:pPr>
    </w:p>
    <w:p w14:paraId="5C1D6414" w14:textId="77777777" w:rsidR="006041E7" w:rsidRDefault="006041E7" w:rsidP="00BE3F24">
      <w:pPr>
        <w:rPr>
          <w:rFonts w:ascii="Arial" w:hAnsi="Arial"/>
        </w:rPr>
      </w:pPr>
    </w:p>
    <w:p w14:paraId="6E954AB3" w14:textId="77777777" w:rsidR="006041E7" w:rsidRDefault="006041E7" w:rsidP="00BE3F24">
      <w:pPr>
        <w:rPr>
          <w:rFonts w:ascii="Arial" w:hAnsi="Arial"/>
        </w:rPr>
      </w:pPr>
    </w:p>
    <w:p w14:paraId="705FA365" w14:textId="77777777" w:rsidR="006041E7" w:rsidRDefault="006041E7" w:rsidP="00BE3F24">
      <w:pPr>
        <w:rPr>
          <w:rFonts w:ascii="Arial" w:hAnsi="Arial"/>
        </w:rPr>
      </w:pPr>
    </w:p>
    <w:p w14:paraId="200C48F6" w14:textId="77777777" w:rsidR="006041E7" w:rsidRDefault="006041E7" w:rsidP="00BE3F24">
      <w:pPr>
        <w:rPr>
          <w:rFonts w:ascii="Arial" w:hAnsi="Arial"/>
        </w:rPr>
      </w:pPr>
    </w:p>
    <w:p w14:paraId="1257D52B" w14:textId="77777777" w:rsidR="006041E7" w:rsidRDefault="006041E7" w:rsidP="00BE3F24">
      <w:pPr>
        <w:rPr>
          <w:rFonts w:ascii="Arial" w:hAnsi="Arial"/>
        </w:rPr>
      </w:pPr>
    </w:p>
    <w:p w14:paraId="4E999741" w14:textId="77777777" w:rsidR="006041E7" w:rsidRDefault="006041E7" w:rsidP="00BE3F24">
      <w:pPr>
        <w:rPr>
          <w:rFonts w:ascii="Arial" w:hAnsi="Arial"/>
        </w:rPr>
      </w:pPr>
    </w:p>
    <w:p w14:paraId="754C8123" w14:textId="77777777" w:rsidR="006041E7" w:rsidRDefault="006041E7" w:rsidP="00BE3F24">
      <w:pPr>
        <w:rPr>
          <w:rFonts w:ascii="Arial" w:hAnsi="Arial"/>
        </w:rPr>
      </w:pPr>
    </w:p>
    <w:p w14:paraId="13030478" w14:textId="77777777" w:rsidR="006041E7" w:rsidRDefault="006041E7" w:rsidP="00BE3F24">
      <w:pPr>
        <w:rPr>
          <w:rFonts w:ascii="Arial" w:hAnsi="Arial"/>
        </w:rPr>
      </w:pPr>
    </w:p>
    <w:p w14:paraId="75CF20AB" w14:textId="77777777" w:rsidR="006041E7" w:rsidRDefault="006041E7" w:rsidP="00BE3F24">
      <w:pPr>
        <w:rPr>
          <w:rFonts w:ascii="Arial" w:hAnsi="Arial"/>
        </w:rPr>
      </w:pPr>
    </w:p>
    <w:p w14:paraId="26253F5A" w14:textId="77777777" w:rsidR="006041E7" w:rsidRDefault="006041E7" w:rsidP="00BE3F24">
      <w:pPr>
        <w:rPr>
          <w:rFonts w:ascii="Arial" w:hAnsi="Arial"/>
        </w:rPr>
      </w:pPr>
    </w:p>
    <w:p w14:paraId="7DFC23A7" w14:textId="77777777" w:rsidR="006041E7" w:rsidRDefault="006041E7" w:rsidP="00BE3F24">
      <w:pPr>
        <w:rPr>
          <w:rFonts w:ascii="Arial" w:hAnsi="Arial"/>
        </w:rPr>
      </w:pPr>
    </w:p>
    <w:p w14:paraId="4CF0B434" w14:textId="77777777" w:rsidR="006041E7" w:rsidRDefault="006041E7" w:rsidP="00BE3F24">
      <w:pPr>
        <w:rPr>
          <w:rFonts w:ascii="Arial" w:hAnsi="Arial"/>
        </w:rPr>
      </w:pPr>
    </w:p>
    <w:p w14:paraId="493E1684" w14:textId="77777777" w:rsidR="006041E7" w:rsidRDefault="006041E7" w:rsidP="00BE3F24">
      <w:pPr>
        <w:rPr>
          <w:rFonts w:ascii="Arial" w:hAnsi="Arial"/>
        </w:rPr>
      </w:pPr>
    </w:p>
    <w:p w14:paraId="6DF2A7CF" w14:textId="77777777" w:rsidR="006041E7" w:rsidRDefault="006041E7" w:rsidP="00BE3F24">
      <w:pPr>
        <w:rPr>
          <w:rFonts w:ascii="Arial" w:hAnsi="Arial"/>
        </w:rPr>
      </w:pPr>
    </w:p>
    <w:p w14:paraId="111C9295" w14:textId="77777777" w:rsidR="006041E7" w:rsidRPr="00035C82" w:rsidRDefault="006041E7" w:rsidP="00172E64">
      <w:pPr>
        <w:pStyle w:val="Heading3"/>
        <w:numPr>
          <w:ilvl w:val="2"/>
          <w:numId w:val="184"/>
        </w:numPr>
        <w:ind w:left="0" w:firstLine="0"/>
      </w:pPr>
      <w:r>
        <w:lastRenderedPageBreak/>
        <w:t>Subgrade Drain</w:t>
      </w:r>
    </w:p>
    <w:p w14:paraId="103024A4" w14:textId="7CD3C628" w:rsidR="006041E7" w:rsidRDefault="006041E7" w:rsidP="000A02F1">
      <w:pPr>
        <w:jc w:val="both"/>
        <w:rPr>
          <w:rFonts w:ascii="Arial" w:hAnsi="Arial"/>
          <w:sz w:val="22"/>
          <w:szCs w:val="22"/>
        </w:rPr>
      </w:pPr>
      <w:r>
        <w:rPr>
          <w:rFonts w:ascii="Arial" w:hAnsi="Arial"/>
          <w:sz w:val="22"/>
          <w:szCs w:val="22"/>
        </w:rPr>
        <w:t xml:space="preserve">Subgrade drains are trenches excavated through the shoulder and roadside grading from the edges of the pavement to a side ditch, embankment slope, or drainage outlet that are backfilled with #57 aggregate.  The excavation and placement of the subgrade drain </w:t>
      </w:r>
      <w:r w:rsidR="003D4E09">
        <w:rPr>
          <w:rFonts w:ascii="Arial" w:hAnsi="Arial"/>
          <w:sz w:val="22"/>
          <w:szCs w:val="22"/>
        </w:rPr>
        <w:t xml:space="preserve">are </w:t>
      </w:r>
      <w:r>
        <w:rPr>
          <w:rFonts w:ascii="Arial" w:hAnsi="Arial"/>
          <w:sz w:val="22"/>
          <w:szCs w:val="22"/>
        </w:rPr>
        <w:t>at least 2</w:t>
      </w:r>
      <w:r w:rsidR="003D4E09">
        <w:rPr>
          <w:rFonts w:ascii="Arial" w:hAnsi="Arial"/>
          <w:sz w:val="22"/>
          <w:szCs w:val="22"/>
        </w:rPr>
        <w:t>"</w:t>
      </w:r>
      <w:r>
        <w:rPr>
          <w:rFonts w:ascii="Arial" w:hAnsi="Arial"/>
          <w:sz w:val="22"/>
          <w:szCs w:val="22"/>
        </w:rPr>
        <w:t xml:space="preserve"> below the Top of Subgrade.  The subgrade drain is placed perpendicular across the roadway at low points.  It is c</w:t>
      </w:r>
      <w:r w:rsidRPr="00EF6890">
        <w:rPr>
          <w:rFonts w:ascii="Arial" w:hAnsi="Arial"/>
          <w:sz w:val="22"/>
          <w:szCs w:val="22"/>
        </w:rPr>
        <w:t>onstruction expedient</w:t>
      </w:r>
      <w:r>
        <w:rPr>
          <w:rFonts w:ascii="Arial" w:hAnsi="Arial"/>
          <w:sz w:val="22"/>
          <w:szCs w:val="22"/>
        </w:rPr>
        <w:t xml:space="preserve"> because it can be done during pavement aggregate base placement.  It is a</w:t>
      </w:r>
      <w:r w:rsidRPr="00EF6890">
        <w:rPr>
          <w:rFonts w:ascii="Arial" w:hAnsi="Arial"/>
          <w:sz w:val="22"/>
          <w:szCs w:val="22"/>
        </w:rPr>
        <w:t>dequate to use whe</w:t>
      </w:r>
      <w:r>
        <w:rPr>
          <w:rFonts w:ascii="Arial" w:hAnsi="Arial"/>
          <w:sz w:val="22"/>
          <w:szCs w:val="22"/>
        </w:rPr>
        <w:t xml:space="preserve">n </w:t>
      </w:r>
      <w:r w:rsidRPr="00EF6890">
        <w:rPr>
          <w:rFonts w:ascii="Arial" w:hAnsi="Arial"/>
          <w:sz w:val="22"/>
          <w:szCs w:val="22"/>
        </w:rPr>
        <w:t>anticipated moisture is not serious.</w:t>
      </w:r>
      <w:r>
        <w:rPr>
          <w:rFonts w:ascii="Arial" w:hAnsi="Arial"/>
          <w:sz w:val="22"/>
          <w:szCs w:val="22"/>
        </w:rPr>
        <w:t xml:space="preserve">  Subgrade drains </w:t>
      </w:r>
      <w:r w:rsidRPr="00EF6890">
        <w:rPr>
          <w:rFonts w:ascii="Arial" w:hAnsi="Arial"/>
          <w:sz w:val="22"/>
          <w:szCs w:val="22"/>
        </w:rPr>
        <w:t>should be specified through limits where rock exists at subgrade</w:t>
      </w:r>
      <w:r>
        <w:rPr>
          <w:rFonts w:ascii="Arial" w:hAnsi="Arial"/>
          <w:sz w:val="22"/>
          <w:szCs w:val="22"/>
        </w:rPr>
        <w:t xml:space="preserve">.  Subgrade drains are often used in replacement of longitudinal underdrains in areas when rock is encountered near Top of Subgrade.  This is to save in the expense of rock excavation for the trench for longitudinal underdrain.  </w:t>
      </w:r>
      <w:r w:rsidR="008C7023">
        <w:rPr>
          <w:rFonts w:ascii="Arial" w:hAnsi="Arial"/>
          <w:sz w:val="22"/>
          <w:szCs w:val="22"/>
        </w:rPr>
        <w:t>MDOT-SHA</w:t>
      </w:r>
      <w:r>
        <w:rPr>
          <w:rFonts w:ascii="Arial" w:hAnsi="Arial"/>
          <w:sz w:val="22"/>
          <w:szCs w:val="22"/>
        </w:rPr>
        <w:t xml:space="preserve"> </w:t>
      </w:r>
      <w:r w:rsidR="003D4E09">
        <w:rPr>
          <w:rFonts w:ascii="Arial" w:hAnsi="Arial"/>
          <w:sz w:val="22"/>
          <w:szCs w:val="22"/>
        </w:rPr>
        <w:t>S</w:t>
      </w:r>
      <w:r>
        <w:rPr>
          <w:rFonts w:ascii="Arial" w:hAnsi="Arial"/>
          <w:sz w:val="22"/>
          <w:szCs w:val="22"/>
        </w:rPr>
        <w:t xml:space="preserve">tandards </w:t>
      </w:r>
      <w:hyperlink r:id="rId316" w:history="1">
        <w:r w:rsidRPr="00323E16">
          <w:rPr>
            <w:rStyle w:val="Hyperlink"/>
            <w:rFonts w:ascii="Arial" w:hAnsi="Arial"/>
            <w:sz w:val="22"/>
            <w:szCs w:val="22"/>
          </w:rPr>
          <w:t>387.51</w:t>
        </w:r>
      </w:hyperlink>
      <w:r>
        <w:rPr>
          <w:rFonts w:ascii="Arial" w:hAnsi="Arial"/>
          <w:sz w:val="22"/>
          <w:szCs w:val="22"/>
        </w:rPr>
        <w:t xml:space="preserve"> and </w:t>
      </w:r>
      <w:hyperlink r:id="rId317" w:history="1">
        <w:r w:rsidRPr="00323E16">
          <w:rPr>
            <w:rStyle w:val="Hyperlink"/>
            <w:rFonts w:ascii="Arial" w:hAnsi="Arial"/>
            <w:sz w:val="22"/>
            <w:szCs w:val="22"/>
          </w:rPr>
          <w:t>387.61</w:t>
        </w:r>
      </w:hyperlink>
      <w:r w:rsidRPr="00EF6890">
        <w:rPr>
          <w:rFonts w:ascii="Arial" w:hAnsi="Arial"/>
          <w:sz w:val="22"/>
          <w:szCs w:val="22"/>
        </w:rPr>
        <w:t xml:space="preserve"> </w:t>
      </w:r>
      <w:r>
        <w:rPr>
          <w:rFonts w:ascii="Arial" w:hAnsi="Arial"/>
          <w:sz w:val="22"/>
          <w:szCs w:val="22"/>
        </w:rPr>
        <w:t>provide additional details for subgrade drains.</w:t>
      </w:r>
    </w:p>
    <w:p w14:paraId="21FA5822" w14:textId="77777777" w:rsidR="006041E7" w:rsidRPr="00035C82" w:rsidRDefault="006041E7" w:rsidP="00172E64">
      <w:pPr>
        <w:pStyle w:val="Heading3"/>
        <w:numPr>
          <w:ilvl w:val="2"/>
          <w:numId w:val="184"/>
        </w:numPr>
        <w:ind w:left="0" w:firstLine="0"/>
        <w:jc w:val="both"/>
      </w:pPr>
      <w:r>
        <w:t>Spring Control</w:t>
      </w:r>
    </w:p>
    <w:p w14:paraId="1C13DECE" w14:textId="0DF67FDC" w:rsidR="006041E7" w:rsidRDefault="006041E7" w:rsidP="000A02F1">
      <w:pPr>
        <w:jc w:val="both"/>
        <w:rPr>
          <w:rFonts w:ascii="Arial" w:hAnsi="Arial"/>
          <w:sz w:val="22"/>
          <w:szCs w:val="22"/>
        </w:rPr>
      </w:pPr>
      <w:r>
        <w:rPr>
          <w:rFonts w:ascii="Arial" w:hAnsi="Arial"/>
          <w:sz w:val="22"/>
          <w:szCs w:val="22"/>
        </w:rPr>
        <w:t>Spring control is used to manage springs and control their impact on the roadway facility.  Spring control is done with the use of underdrains backfilled with #57 stone i</w:t>
      </w:r>
      <w:r w:rsidR="003D4E09">
        <w:rPr>
          <w:rFonts w:ascii="Arial" w:hAnsi="Arial"/>
          <w:sz w:val="22"/>
          <w:szCs w:val="22"/>
        </w:rPr>
        <w:t>n</w:t>
      </w:r>
      <w:r>
        <w:rPr>
          <w:rFonts w:ascii="Arial" w:hAnsi="Arial"/>
          <w:sz w:val="22"/>
          <w:szCs w:val="22"/>
        </w:rPr>
        <w:t xml:space="preserve"> areas with springs and groundwater.  It is recommended to ensure there is adequate quantity of underdrain for spring control in construction projects to handle site conditions when springs were identified as part of the soil survey.  </w:t>
      </w:r>
    </w:p>
    <w:p w14:paraId="41573F21" w14:textId="77777777" w:rsidR="006041E7" w:rsidRPr="00035C82" w:rsidRDefault="006041E7" w:rsidP="00172E64">
      <w:pPr>
        <w:pStyle w:val="Heading3"/>
        <w:numPr>
          <w:ilvl w:val="2"/>
          <w:numId w:val="184"/>
        </w:numPr>
        <w:ind w:left="0" w:firstLine="0"/>
        <w:jc w:val="both"/>
      </w:pPr>
      <w:r>
        <w:t>Other Alternatives to Subsurface Drainage</w:t>
      </w:r>
    </w:p>
    <w:p w14:paraId="4B1DBAF7" w14:textId="4493C4F5" w:rsidR="006041E7" w:rsidRDefault="006041E7" w:rsidP="000A02F1">
      <w:pPr>
        <w:jc w:val="both"/>
        <w:rPr>
          <w:rFonts w:ascii="Arial" w:hAnsi="Arial"/>
          <w:sz w:val="22"/>
          <w:szCs w:val="22"/>
        </w:rPr>
      </w:pPr>
      <w:r>
        <w:rPr>
          <w:rFonts w:ascii="Arial" w:hAnsi="Arial"/>
          <w:sz w:val="22"/>
          <w:szCs w:val="22"/>
        </w:rPr>
        <w:t>In some cases high water tables will exist in poor soil areas or in areas of rock at subgrade</w:t>
      </w:r>
      <w:r w:rsidR="003D4E09">
        <w:rPr>
          <w:rFonts w:ascii="Arial" w:hAnsi="Arial"/>
          <w:sz w:val="22"/>
          <w:szCs w:val="22"/>
        </w:rPr>
        <w:t>,</w:t>
      </w:r>
      <w:r>
        <w:rPr>
          <w:rFonts w:ascii="Arial" w:hAnsi="Arial"/>
          <w:sz w:val="22"/>
          <w:szCs w:val="22"/>
        </w:rPr>
        <w:t xml:space="preserve"> and the potential for subsurface drainage techniques will be limited.  Beyond the various techniques listed in the list section, there are a few other alternatives to subsurface drainage.  One alternative is to recommend raising the grade of the roadway to move it away from the water and challenging soil conditions.  This strategy is typically suggested early in the planning or design process at the time of the Advance Geotechnical Report.  Cost impact analysis will dictate the final approach when the expense to build the roadway at a higher elevation is compared to the expense to build in wet and poor soil conditions.    </w:t>
      </w:r>
    </w:p>
    <w:p w14:paraId="4E9A77BC" w14:textId="77777777" w:rsidR="006041E7" w:rsidRDefault="006041E7" w:rsidP="000A02F1">
      <w:pPr>
        <w:jc w:val="both"/>
        <w:rPr>
          <w:rFonts w:ascii="Arial" w:hAnsi="Arial"/>
          <w:sz w:val="22"/>
          <w:szCs w:val="22"/>
        </w:rPr>
      </w:pPr>
    </w:p>
    <w:p w14:paraId="16F0579E" w14:textId="73F7C105" w:rsidR="006041E7" w:rsidRDefault="006041E7" w:rsidP="000A02F1">
      <w:pPr>
        <w:jc w:val="both"/>
        <w:rPr>
          <w:rFonts w:ascii="Arial" w:hAnsi="Arial"/>
          <w:sz w:val="22"/>
          <w:szCs w:val="22"/>
        </w:rPr>
      </w:pPr>
      <w:r>
        <w:rPr>
          <w:rFonts w:ascii="Arial" w:hAnsi="Arial"/>
          <w:sz w:val="22"/>
          <w:szCs w:val="22"/>
        </w:rPr>
        <w:t xml:space="preserve">Another alternative to subsurface drainage is to account for the poor subgrade and wet conditions in the design of the pavement structure.  Additional thickness or alternative materials can be designed into the pavement section to account for a wet or saturated base and subgrade.  Special provisions and construction operations can be written to account for the conditions as well.  However, the construction costs for this type of condition will be significantly higher than working in better conditions.   </w:t>
      </w:r>
    </w:p>
    <w:p w14:paraId="1D5E0697" w14:textId="77777777" w:rsidR="006041E7" w:rsidRDefault="006041E7" w:rsidP="00172E64">
      <w:pPr>
        <w:pStyle w:val="Heading2"/>
        <w:numPr>
          <w:ilvl w:val="1"/>
          <w:numId w:val="184"/>
        </w:numPr>
        <w:ind w:left="0" w:firstLine="0"/>
        <w:sectPr w:rsidR="006041E7" w:rsidSect="008B1BAA">
          <w:headerReference w:type="default" r:id="rId318"/>
          <w:footerReference w:type="default" r:id="rId319"/>
          <w:pgSz w:w="12240" w:h="15840"/>
          <w:pgMar w:top="1440" w:right="1800" w:bottom="1440" w:left="1800" w:header="720" w:footer="720" w:gutter="0"/>
          <w:pgNumType w:chapStyle="1"/>
          <w:cols w:space="720"/>
          <w:docGrid w:linePitch="272"/>
        </w:sectPr>
      </w:pPr>
    </w:p>
    <w:p w14:paraId="3B2F9F8E" w14:textId="03455873" w:rsidR="006041E7" w:rsidRDefault="006041E7" w:rsidP="00410880">
      <w:pPr>
        <w:pStyle w:val="Heading1"/>
      </w:pPr>
      <w:bookmarkStart w:id="575" w:name="_Deliverables_and_Report"/>
      <w:bookmarkStart w:id="576" w:name="_Toc479160124"/>
      <w:bookmarkStart w:id="577" w:name="_Toc514058012"/>
      <w:bookmarkStart w:id="578" w:name="_Toc194932408"/>
      <w:bookmarkEnd w:id="575"/>
      <w:r>
        <w:lastRenderedPageBreak/>
        <w:t>Deliverables and Report</w:t>
      </w:r>
      <w:bookmarkEnd w:id="576"/>
      <w:bookmarkEnd w:id="577"/>
      <w:bookmarkEnd w:id="578"/>
    </w:p>
    <w:p w14:paraId="2D08D61D" w14:textId="77777777" w:rsidR="003E1207" w:rsidRPr="008F604D" w:rsidRDefault="003E1207" w:rsidP="003E1207">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iscussion/Selection_Alternative_wi_1" w:history="1">
        <w:r w:rsidRPr="003E1207">
          <w:rPr>
            <w:rStyle w:val="Hyperlink"/>
            <w:rFonts w:ascii="Arial" w:hAnsi="Arial" w:cs="Arial"/>
            <w:bCs/>
            <w:sz w:val="16"/>
            <w:szCs w:val="16"/>
          </w:rPr>
          <w:t>Discussion/Selection Alternative with Project Owner</w:t>
        </w:r>
      </w:hyperlink>
    </w:p>
    <w:p w14:paraId="470AF3F8" w14:textId="77777777" w:rsidR="003E1207" w:rsidRDefault="003E1207" w:rsidP="00BE3F24">
      <w:pPr>
        <w:pStyle w:val="BodyText"/>
        <w:spacing w:after="0"/>
        <w:jc w:val="both"/>
      </w:pPr>
    </w:p>
    <w:p w14:paraId="0A3E5E58" w14:textId="34B94658" w:rsidR="004D0806" w:rsidRPr="003E098F" w:rsidRDefault="004D0806" w:rsidP="00BE3F24">
      <w:pPr>
        <w:pStyle w:val="BodyText"/>
        <w:spacing w:after="0"/>
        <w:jc w:val="both"/>
      </w:pPr>
      <w:r w:rsidRPr="003E098F">
        <w:t xml:space="preserve">This section is designed to explain the deliverables and report that a PAGD Engineer needs to </w:t>
      </w:r>
      <w:r>
        <w:t xml:space="preserve">produce when </w:t>
      </w:r>
      <w:r w:rsidRPr="003E098F">
        <w:t>a new project is received from a customer</w:t>
      </w:r>
      <w:r w:rsidR="00DC462A">
        <w:t xml:space="preserve"> PM</w:t>
      </w:r>
      <w:r w:rsidRPr="003E098F">
        <w:t xml:space="preserve"> (Office of Highway Development/Office of Structures/Districts, etc.).  Several of these procedures may be performed concurrently.  Although most of the procedures have a step-by-step outline to follow, the individual PAGD Engineer should coordinate with </w:t>
      </w:r>
      <w:r>
        <w:t xml:space="preserve">PAGD </w:t>
      </w:r>
      <w:r w:rsidRPr="003E098F">
        <w:t xml:space="preserve">Team Leader (TL) at all stages of the design phase of the project to </w:t>
      </w:r>
      <w:r>
        <w:t>implement</w:t>
      </w:r>
      <w:r w:rsidRPr="003E098F">
        <w:t xml:space="preserve"> the most </w:t>
      </w:r>
      <w:r>
        <w:t xml:space="preserve">effective and appropriate </w:t>
      </w:r>
      <w:r w:rsidRPr="003E098F">
        <w:t xml:space="preserve">procedures.   </w:t>
      </w:r>
    </w:p>
    <w:p w14:paraId="15B60301" w14:textId="640C50AB" w:rsidR="000828BF" w:rsidRDefault="000828BF" w:rsidP="00172E64">
      <w:pPr>
        <w:pStyle w:val="Heading2"/>
        <w:numPr>
          <w:ilvl w:val="1"/>
          <w:numId w:val="184"/>
        </w:numPr>
        <w:ind w:left="0" w:firstLine="0"/>
      </w:pPr>
      <w:bookmarkStart w:id="579" w:name="_Discussion/Selection_Alternative_wi"/>
      <w:bookmarkStart w:id="580" w:name="_Preliminary_Pavement_Recommendation"/>
      <w:bookmarkStart w:id="581" w:name="_Toc479160125"/>
      <w:bookmarkStart w:id="582" w:name="_Toc514058013"/>
      <w:bookmarkStart w:id="583" w:name="_Toc194932409"/>
      <w:bookmarkEnd w:id="579"/>
      <w:bookmarkEnd w:id="580"/>
      <w:r>
        <w:t>Preliminary Pavement Recommendatio</w:t>
      </w:r>
      <w:r w:rsidRPr="00A4337E">
        <w:t>n</w:t>
      </w:r>
      <w:bookmarkEnd w:id="581"/>
      <w:bookmarkEnd w:id="582"/>
      <w:bookmarkEnd w:id="583"/>
      <w:r w:rsidRPr="00A4337E">
        <w:t xml:space="preserve"> </w:t>
      </w:r>
    </w:p>
    <w:p w14:paraId="029DF736" w14:textId="77777777" w:rsidR="000828BF" w:rsidRDefault="000828BF" w:rsidP="00172E64">
      <w:pPr>
        <w:pStyle w:val="Heading3"/>
        <w:numPr>
          <w:ilvl w:val="2"/>
          <w:numId w:val="184"/>
        </w:numPr>
        <w:ind w:left="0" w:firstLine="0"/>
      </w:pPr>
      <w:r>
        <w:t>Purpose</w:t>
      </w:r>
    </w:p>
    <w:p w14:paraId="01218ECA" w14:textId="77777777" w:rsidR="000828BF" w:rsidRDefault="000828BF" w:rsidP="000828BF">
      <w:pPr>
        <w:pStyle w:val="BodyText"/>
      </w:pPr>
      <w:r>
        <w:t>Preliminary pavement recommendations are developed to:</w:t>
      </w:r>
    </w:p>
    <w:p w14:paraId="7F6F8963" w14:textId="2319497B" w:rsidR="000828BF" w:rsidRPr="00A42B5F" w:rsidRDefault="000828BF" w:rsidP="00172E64">
      <w:pPr>
        <w:pStyle w:val="ListParagraph"/>
        <w:numPr>
          <w:ilvl w:val="0"/>
          <w:numId w:val="84"/>
        </w:numPr>
        <w:ind w:left="720" w:hanging="720"/>
        <w:jc w:val="both"/>
      </w:pPr>
      <w:r w:rsidRPr="000A02F1">
        <w:rPr>
          <w:rFonts w:ascii="Arial" w:hAnsi="Arial"/>
          <w:sz w:val="22"/>
        </w:rPr>
        <w:t xml:space="preserve">Provide a preliminary material and construction cost estimate to </w:t>
      </w:r>
      <w:r w:rsidRPr="001F6378">
        <w:rPr>
          <w:rFonts w:ascii="Arial" w:hAnsi="Arial" w:cs="Arial"/>
          <w:sz w:val="22"/>
          <w:szCs w:val="22"/>
        </w:rPr>
        <w:t>customer</w:t>
      </w:r>
      <w:r w:rsidR="00BA1669">
        <w:rPr>
          <w:rFonts w:ascii="Arial" w:hAnsi="Arial" w:cs="Arial"/>
          <w:sz w:val="22"/>
          <w:szCs w:val="22"/>
        </w:rPr>
        <w:t xml:space="preserve"> PM</w:t>
      </w:r>
      <w:r w:rsidRPr="001F6378">
        <w:rPr>
          <w:rFonts w:ascii="Arial" w:hAnsi="Arial" w:cs="Arial"/>
          <w:sz w:val="22"/>
          <w:szCs w:val="22"/>
        </w:rPr>
        <w:t>s</w:t>
      </w:r>
      <w:r w:rsidRPr="000A02F1">
        <w:rPr>
          <w:rFonts w:ascii="Arial" w:hAnsi="Arial"/>
          <w:sz w:val="22"/>
        </w:rPr>
        <w:t xml:space="preserve"> for planning purposes, based on network level data.</w:t>
      </w:r>
    </w:p>
    <w:p w14:paraId="74F6A007" w14:textId="77777777" w:rsidR="000828BF" w:rsidRPr="008B7924" w:rsidRDefault="000828BF" w:rsidP="00172E64">
      <w:pPr>
        <w:pStyle w:val="Heading3"/>
        <w:numPr>
          <w:ilvl w:val="2"/>
          <w:numId w:val="184"/>
        </w:numPr>
        <w:ind w:left="0" w:firstLine="0"/>
      </w:pPr>
      <w:r w:rsidRPr="008B7924">
        <w:t>Resource Requirements</w:t>
      </w:r>
    </w:p>
    <w:p w14:paraId="3466307E" w14:textId="77777777" w:rsidR="000828BF" w:rsidRPr="008B7924" w:rsidRDefault="000828BF" w:rsidP="000A02F1">
      <w:pPr>
        <w:pStyle w:val="BodyText"/>
        <w:spacing w:after="240"/>
        <w:jc w:val="both"/>
      </w:pPr>
      <w:r w:rsidRPr="008B7924">
        <w:t>The preliminary pavement recommendation process is typically done with data available to the pavement designer in the office coupled with a site visit.  Typically, FWD and core results are not available at the time a preliminary pavement recommendation is developed.  The pavement design in a preliminary pavement recommendation is based on available network level data and standard design inputs and policies provided in this guide.  The preliminary pavement recommendation procedure documented below requires the following staffing needs for a typical job:</w:t>
      </w:r>
    </w:p>
    <w:tbl>
      <w:tblPr>
        <w:tblW w:w="8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2340"/>
        <w:gridCol w:w="1594"/>
        <w:gridCol w:w="1584"/>
      </w:tblGrid>
      <w:tr w:rsidR="000828BF" w:rsidRPr="008B7924" w14:paraId="13D76188" w14:textId="77777777" w:rsidTr="000A02F1">
        <w:trPr>
          <w:trHeight w:val="288"/>
          <w:jc w:val="center"/>
        </w:trPr>
        <w:tc>
          <w:tcPr>
            <w:tcW w:w="3060" w:type="dxa"/>
            <w:shd w:val="pct15" w:color="auto" w:fill="FFFFFF"/>
            <w:vAlign w:val="center"/>
          </w:tcPr>
          <w:p w14:paraId="4F5F26AB" w14:textId="77777777" w:rsidR="000828BF" w:rsidRPr="008B7924" w:rsidRDefault="000828BF" w:rsidP="000828BF">
            <w:pPr>
              <w:jc w:val="center"/>
              <w:rPr>
                <w:rFonts w:ascii="Arial" w:hAnsi="Arial"/>
                <w:b/>
              </w:rPr>
            </w:pPr>
            <w:r w:rsidRPr="008B7924">
              <w:rPr>
                <w:rFonts w:ascii="Arial" w:hAnsi="Arial"/>
                <w:b/>
              </w:rPr>
              <w:t>Position</w:t>
            </w:r>
          </w:p>
        </w:tc>
        <w:tc>
          <w:tcPr>
            <w:tcW w:w="2340" w:type="dxa"/>
            <w:shd w:val="pct15" w:color="auto" w:fill="FFFFFF"/>
            <w:vAlign w:val="center"/>
          </w:tcPr>
          <w:p w14:paraId="105B403F" w14:textId="77777777" w:rsidR="000828BF" w:rsidRPr="008B7924" w:rsidRDefault="000828BF" w:rsidP="000828BF">
            <w:pPr>
              <w:jc w:val="center"/>
              <w:rPr>
                <w:rFonts w:ascii="Arial" w:hAnsi="Arial"/>
                <w:b/>
              </w:rPr>
            </w:pPr>
            <w:r w:rsidRPr="008B7924">
              <w:rPr>
                <w:rFonts w:ascii="Arial" w:hAnsi="Arial"/>
                <w:b/>
              </w:rPr>
              <w:t>Function</w:t>
            </w:r>
          </w:p>
        </w:tc>
        <w:tc>
          <w:tcPr>
            <w:tcW w:w="1594" w:type="dxa"/>
            <w:shd w:val="pct15" w:color="auto" w:fill="FFFFFF"/>
            <w:vAlign w:val="center"/>
          </w:tcPr>
          <w:p w14:paraId="17BC675D" w14:textId="77777777" w:rsidR="000828BF" w:rsidRPr="008B7924" w:rsidRDefault="000828BF" w:rsidP="000828BF">
            <w:pPr>
              <w:jc w:val="center"/>
              <w:rPr>
                <w:rFonts w:ascii="Arial" w:hAnsi="Arial"/>
                <w:b/>
              </w:rPr>
            </w:pPr>
            <w:r w:rsidRPr="008B7924">
              <w:rPr>
                <w:rFonts w:ascii="Arial" w:hAnsi="Arial"/>
                <w:b/>
              </w:rPr>
              <w:t>Resources</w:t>
            </w:r>
          </w:p>
        </w:tc>
        <w:tc>
          <w:tcPr>
            <w:tcW w:w="1584" w:type="dxa"/>
            <w:shd w:val="pct15" w:color="auto" w:fill="FFFFFF"/>
            <w:vAlign w:val="center"/>
          </w:tcPr>
          <w:p w14:paraId="31D61049" w14:textId="77777777" w:rsidR="000828BF" w:rsidRPr="008B7924" w:rsidRDefault="000828BF" w:rsidP="000828BF">
            <w:pPr>
              <w:jc w:val="center"/>
              <w:rPr>
                <w:rFonts w:ascii="Arial" w:hAnsi="Arial"/>
                <w:b/>
              </w:rPr>
            </w:pPr>
            <w:r w:rsidRPr="008B7924">
              <w:rPr>
                <w:rFonts w:ascii="Arial" w:hAnsi="Arial"/>
                <w:b/>
              </w:rPr>
              <w:t>Effort Level</w:t>
            </w:r>
          </w:p>
          <w:p w14:paraId="7C3B8E84" w14:textId="77777777" w:rsidR="000828BF" w:rsidRPr="008B7924" w:rsidRDefault="000828BF" w:rsidP="000828BF">
            <w:pPr>
              <w:jc w:val="center"/>
              <w:rPr>
                <w:rFonts w:ascii="Arial" w:hAnsi="Arial"/>
                <w:b/>
              </w:rPr>
            </w:pPr>
            <w:r w:rsidRPr="008B7924">
              <w:rPr>
                <w:rFonts w:ascii="Arial" w:hAnsi="Arial"/>
                <w:b/>
              </w:rPr>
              <w:t>(man-hours)</w:t>
            </w:r>
          </w:p>
        </w:tc>
      </w:tr>
      <w:tr w:rsidR="000828BF" w:rsidRPr="008B7924" w14:paraId="460D42D3" w14:textId="77777777" w:rsidTr="000A02F1">
        <w:trPr>
          <w:trHeight w:val="288"/>
          <w:jc w:val="center"/>
        </w:trPr>
        <w:tc>
          <w:tcPr>
            <w:tcW w:w="3060" w:type="dxa"/>
            <w:vAlign w:val="center"/>
          </w:tcPr>
          <w:p w14:paraId="48C55062" w14:textId="77777777" w:rsidR="000828BF" w:rsidRPr="008B7924" w:rsidRDefault="000828BF" w:rsidP="000828BF">
            <w:pPr>
              <w:jc w:val="center"/>
              <w:rPr>
                <w:rFonts w:ascii="Arial" w:hAnsi="Arial"/>
                <w:sz w:val="18"/>
              </w:rPr>
            </w:pPr>
            <w:r w:rsidRPr="008B7924">
              <w:rPr>
                <w:rFonts w:ascii="Arial" w:hAnsi="Arial"/>
                <w:sz w:val="18"/>
              </w:rPr>
              <w:t>Staff Engineer or Project Engineer</w:t>
            </w:r>
          </w:p>
        </w:tc>
        <w:tc>
          <w:tcPr>
            <w:tcW w:w="2340" w:type="dxa"/>
            <w:vAlign w:val="center"/>
          </w:tcPr>
          <w:p w14:paraId="54A99F5C" w14:textId="77777777" w:rsidR="000828BF" w:rsidRPr="008B7924" w:rsidRDefault="000828BF" w:rsidP="000828BF">
            <w:pPr>
              <w:jc w:val="center"/>
              <w:rPr>
                <w:rFonts w:ascii="Arial" w:hAnsi="Arial"/>
                <w:sz w:val="18"/>
              </w:rPr>
            </w:pPr>
            <w:r w:rsidRPr="008B7924">
              <w:rPr>
                <w:rFonts w:ascii="Arial" w:hAnsi="Arial"/>
                <w:sz w:val="18"/>
              </w:rPr>
              <w:t>Project Communication</w:t>
            </w:r>
          </w:p>
        </w:tc>
        <w:tc>
          <w:tcPr>
            <w:tcW w:w="1594" w:type="dxa"/>
            <w:vAlign w:val="center"/>
          </w:tcPr>
          <w:p w14:paraId="0A536B82" w14:textId="77777777" w:rsidR="000828BF" w:rsidRPr="008B7924" w:rsidRDefault="000828BF" w:rsidP="000828BF">
            <w:pPr>
              <w:jc w:val="center"/>
              <w:rPr>
                <w:rFonts w:ascii="Arial" w:hAnsi="Arial"/>
                <w:sz w:val="18"/>
              </w:rPr>
            </w:pPr>
            <w:r w:rsidRPr="008B7924">
              <w:rPr>
                <w:rFonts w:ascii="Arial" w:hAnsi="Arial"/>
                <w:sz w:val="18"/>
              </w:rPr>
              <w:t>1</w:t>
            </w:r>
          </w:p>
        </w:tc>
        <w:tc>
          <w:tcPr>
            <w:tcW w:w="1584" w:type="dxa"/>
            <w:vAlign w:val="center"/>
          </w:tcPr>
          <w:p w14:paraId="3D5020F6" w14:textId="02A8B34B" w:rsidR="000828BF" w:rsidRPr="008B7924" w:rsidRDefault="000828BF" w:rsidP="000828BF">
            <w:pPr>
              <w:jc w:val="center"/>
              <w:rPr>
                <w:rFonts w:ascii="Arial" w:hAnsi="Arial"/>
                <w:sz w:val="18"/>
              </w:rPr>
            </w:pPr>
            <w:r w:rsidRPr="008B7924">
              <w:rPr>
                <w:rFonts w:ascii="Arial" w:hAnsi="Arial"/>
                <w:sz w:val="18"/>
              </w:rPr>
              <w:t>2</w:t>
            </w:r>
            <w:r w:rsidR="003D4E09">
              <w:rPr>
                <w:rFonts w:ascii="Arial" w:hAnsi="Arial"/>
                <w:sz w:val="18"/>
              </w:rPr>
              <w:t>*</w:t>
            </w:r>
          </w:p>
        </w:tc>
      </w:tr>
      <w:tr w:rsidR="000828BF" w:rsidRPr="008B7924" w14:paraId="521F8698" w14:textId="77777777" w:rsidTr="000A02F1">
        <w:trPr>
          <w:trHeight w:val="288"/>
          <w:jc w:val="center"/>
        </w:trPr>
        <w:tc>
          <w:tcPr>
            <w:tcW w:w="3060" w:type="dxa"/>
            <w:vAlign w:val="center"/>
          </w:tcPr>
          <w:p w14:paraId="05C9811B" w14:textId="77777777" w:rsidR="000828BF" w:rsidRPr="008B7924" w:rsidRDefault="000828BF" w:rsidP="000828BF">
            <w:pPr>
              <w:jc w:val="center"/>
              <w:rPr>
                <w:rFonts w:ascii="Arial" w:hAnsi="Arial"/>
                <w:sz w:val="18"/>
              </w:rPr>
            </w:pPr>
            <w:r w:rsidRPr="008B7924">
              <w:rPr>
                <w:rFonts w:ascii="Arial" w:hAnsi="Arial"/>
                <w:sz w:val="18"/>
              </w:rPr>
              <w:t>Staff Engineer or Project Engineer</w:t>
            </w:r>
          </w:p>
        </w:tc>
        <w:tc>
          <w:tcPr>
            <w:tcW w:w="2340" w:type="dxa"/>
            <w:vAlign w:val="center"/>
          </w:tcPr>
          <w:p w14:paraId="1E6AA43B" w14:textId="77777777" w:rsidR="000828BF" w:rsidRPr="008B7924" w:rsidRDefault="000828BF" w:rsidP="000828BF">
            <w:pPr>
              <w:jc w:val="center"/>
              <w:rPr>
                <w:rFonts w:ascii="Arial" w:hAnsi="Arial"/>
                <w:sz w:val="18"/>
              </w:rPr>
            </w:pPr>
            <w:r w:rsidRPr="008B7924">
              <w:rPr>
                <w:rFonts w:ascii="Arial" w:hAnsi="Arial"/>
                <w:sz w:val="18"/>
              </w:rPr>
              <w:t>Pavement Design</w:t>
            </w:r>
          </w:p>
        </w:tc>
        <w:tc>
          <w:tcPr>
            <w:tcW w:w="1594" w:type="dxa"/>
            <w:vAlign w:val="center"/>
          </w:tcPr>
          <w:p w14:paraId="7C2B207B" w14:textId="77777777" w:rsidR="000828BF" w:rsidRPr="008B7924" w:rsidRDefault="000828BF" w:rsidP="000828BF">
            <w:pPr>
              <w:jc w:val="center"/>
              <w:rPr>
                <w:rFonts w:ascii="Arial" w:hAnsi="Arial"/>
                <w:sz w:val="18"/>
              </w:rPr>
            </w:pPr>
            <w:r w:rsidRPr="008B7924">
              <w:rPr>
                <w:rFonts w:ascii="Arial" w:hAnsi="Arial"/>
                <w:sz w:val="18"/>
              </w:rPr>
              <w:t>1</w:t>
            </w:r>
          </w:p>
        </w:tc>
        <w:tc>
          <w:tcPr>
            <w:tcW w:w="1584" w:type="dxa"/>
            <w:vAlign w:val="center"/>
          </w:tcPr>
          <w:p w14:paraId="1D89FF9A" w14:textId="1CF2FBB2" w:rsidR="000828BF" w:rsidRPr="008B7924" w:rsidRDefault="000828BF" w:rsidP="000828BF">
            <w:pPr>
              <w:jc w:val="center"/>
              <w:rPr>
                <w:rFonts w:ascii="Arial" w:hAnsi="Arial"/>
                <w:sz w:val="18"/>
              </w:rPr>
            </w:pPr>
            <w:r w:rsidRPr="008B7924">
              <w:rPr>
                <w:rFonts w:ascii="Arial" w:hAnsi="Arial"/>
                <w:sz w:val="18"/>
              </w:rPr>
              <w:t>2</w:t>
            </w:r>
            <w:r w:rsidR="003D4E09">
              <w:rPr>
                <w:rFonts w:ascii="Arial" w:hAnsi="Arial"/>
                <w:sz w:val="18"/>
              </w:rPr>
              <w:t>*</w:t>
            </w:r>
          </w:p>
        </w:tc>
      </w:tr>
      <w:tr w:rsidR="000828BF" w:rsidRPr="008B7924" w14:paraId="0E330FD0" w14:textId="77777777" w:rsidTr="000A02F1">
        <w:trPr>
          <w:trHeight w:val="288"/>
          <w:jc w:val="center"/>
        </w:trPr>
        <w:tc>
          <w:tcPr>
            <w:tcW w:w="3060" w:type="dxa"/>
            <w:vAlign w:val="center"/>
          </w:tcPr>
          <w:p w14:paraId="1E7B5248" w14:textId="77777777" w:rsidR="000828BF" w:rsidRPr="008B7924" w:rsidRDefault="000828BF" w:rsidP="000828BF">
            <w:pPr>
              <w:jc w:val="center"/>
              <w:rPr>
                <w:rFonts w:ascii="Arial" w:hAnsi="Arial"/>
                <w:sz w:val="18"/>
              </w:rPr>
            </w:pPr>
            <w:r w:rsidRPr="008B7924">
              <w:rPr>
                <w:rFonts w:ascii="Arial" w:hAnsi="Arial"/>
                <w:sz w:val="18"/>
              </w:rPr>
              <w:t>Staff Engineer or Project Engineer</w:t>
            </w:r>
          </w:p>
        </w:tc>
        <w:tc>
          <w:tcPr>
            <w:tcW w:w="2340" w:type="dxa"/>
            <w:vAlign w:val="center"/>
          </w:tcPr>
          <w:p w14:paraId="7C105E8F" w14:textId="77777777" w:rsidR="000828BF" w:rsidRPr="008B7924" w:rsidRDefault="000828BF" w:rsidP="000828BF">
            <w:pPr>
              <w:jc w:val="center"/>
              <w:rPr>
                <w:rFonts w:ascii="Arial" w:hAnsi="Arial"/>
                <w:sz w:val="18"/>
              </w:rPr>
            </w:pPr>
            <w:r w:rsidRPr="008B7924">
              <w:rPr>
                <w:rFonts w:ascii="Arial" w:hAnsi="Arial"/>
                <w:sz w:val="18"/>
              </w:rPr>
              <w:t>Memo Development</w:t>
            </w:r>
          </w:p>
        </w:tc>
        <w:tc>
          <w:tcPr>
            <w:tcW w:w="1594" w:type="dxa"/>
            <w:vAlign w:val="center"/>
          </w:tcPr>
          <w:p w14:paraId="1B087BF4" w14:textId="77777777" w:rsidR="000828BF" w:rsidRPr="008B7924" w:rsidRDefault="000828BF" w:rsidP="000828BF">
            <w:pPr>
              <w:jc w:val="center"/>
              <w:rPr>
                <w:rFonts w:ascii="Arial" w:hAnsi="Arial"/>
                <w:sz w:val="18"/>
              </w:rPr>
            </w:pPr>
            <w:r w:rsidRPr="008B7924">
              <w:rPr>
                <w:rFonts w:ascii="Arial" w:hAnsi="Arial"/>
                <w:sz w:val="18"/>
              </w:rPr>
              <w:t>1</w:t>
            </w:r>
          </w:p>
        </w:tc>
        <w:tc>
          <w:tcPr>
            <w:tcW w:w="1584" w:type="dxa"/>
            <w:vAlign w:val="center"/>
          </w:tcPr>
          <w:p w14:paraId="2F87F79D" w14:textId="30AE9F07" w:rsidR="000828BF" w:rsidRPr="008B7924" w:rsidRDefault="000828BF" w:rsidP="000828BF">
            <w:pPr>
              <w:jc w:val="center"/>
              <w:rPr>
                <w:rFonts w:ascii="Arial" w:hAnsi="Arial"/>
                <w:sz w:val="18"/>
              </w:rPr>
            </w:pPr>
            <w:r w:rsidRPr="008B7924">
              <w:rPr>
                <w:rFonts w:ascii="Arial" w:hAnsi="Arial"/>
                <w:sz w:val="18"/>
              </w:rPr>
              <w:t>8</w:t>
            </w:r>
            <w:r w:rsidR="003D4E09">
              <w:rPr>
                <w:rFonts w:ascii="Arial" w:hAnsi="Arial"/>
                <w:sz w:val="18"/>
              </w:rPr>
              <w:t>*</w:t>
            </w:r>
          </w:p>
        </w:tc>
      </w:tr>
    </w:tbl>
    <w:p w14:paraId="57F266DE" w14:textId="24C00CBC" w:rsidR="000828BF" w:rsidRPr="008B7924" w:rsidRDefault="005C7020" w:rsidP="000828BF">
      <w:pPr>
        <w:jc w:val="both"/>
        <w:rPr>
          <w:rFonts w:ascii="Arial" w:hAnsi="Arial"/>
          <w:sz w:val="18"/>
          <w:szCs w:val="18"/>
        </w:rPr>
      </w:pPr>
      <w:r>
        <w:rPr>
          <w:rFonts w:ascii="Arial" w:hAnsi="Arial"/>
          <w:sz w:val="18"/>
          <w:szCs w:val="18"/>
        </w:rPr>
        <w:t xml:space="preserve">   </w:t>
      </w:r>
      <w:r w:rsidR="000828BF" w:rsidRPr="008B7924">
        <w:rPr>
          <w:rFonts w:ascii="Arial" w:hAnsi="Arial"/>
          <w:sz w:val="18"/>
          <w:szCs w:val="18"/>
        </w:rPr>
        <w:t>* The time required would vary depending on the size, complexity</w:t>
      </w:r>
      <w:r w:rsidR="003D4E09">
        <w:rPr>
          <w:rFonts w:ascii="Arial" w:hAnsi="Arial"/>
          <w:sz w:val="18"/>
          <w:szCs w:val="18"/>
        </w:rPr>
        <w:t>,</w:t>
      </w:r>
      <w:r w:rsidR="000828BF" w:rsidRPr="008B7924">
        <w:rPr>
          <w:rFonts w:ascii="Arial" w:hAnsi="Arial"/>
          <w:sz w:val="18"/>
          <w:szCs w:val="18"/>
        </w:rPr>
        <w:t xml:space="preserve"> and location of the project.</w:t>
      </w:r>
    </w:p>
    <w:p w14:paraId="0961375B" w14:textId="77777777" w:rsidR="000828BF" w:rsidRPr="003A343F" w:rsidRDefault="000828BF" w:rsidP="00172E64">
      <w:pPr>
        <w:pStyle w:val="Heading3"/>
        <w:numPr>
          <w:ilvl w:val="2"/>
          <w:numId w:val="184"/>
        </w:numPr>
        <w:ind w:left="0" w:firstLine="0"/>
      </w:pPr>
      <w:r w:rsidRPr="003A343F">
        <w:t>Procedure</w:t>
      </w:r>
    </w:p>
    <w:p w14:paraId="71955654" w14:textId="49D68BE5" w:rsidR="000828BF" w:rsidRPr="003A343F" w:rsidRDefault="000828BF" w:rsidP="003A343F">
      <w:pPr>
        <w:pStyle w:val="BodyText"/>
        <w:jc w:val="both"/>
      </w:pPr>
      <w:r w:rsidRPr="003A343F">
        <w:t xml:space="preserve">The procedure presented </w:t>
      </w:r>
      <w:r w:rsidR="003D4E09">
        <w:t>below</w:t>
      </w:r>
      <w:r w:rsidRPr="003A343F">
        <w:t xml:space="preserve"> should be followed in a preliminary pavement recommendation.   </w:t>
      </w:r>
    </w:p>
    <w:p w14:paraId="091DBE2B" w14:textId="77777777" w:rsidR="008B7924" w:rsidRPr="003A343F" w:rsidRDefault="008B7924" w:rsidP="00172E64">
      <w:pPr>
        <w:pStyle w:val="Heading4"/>
        <w:numPr>
          <w:ilvl w:val="3"/>
          <w:numId w:val="184"/>
        </w:numPr>
        <w:ind w:left="864"/>
      </w:pPr>
      <w:r w:rsidRPr="003A343F">
        <w:t>Preliminary Steps</w:t>
      </w:r>
    </w:p>
    <w:p w14:paraId="55152F97" w14:textId="0417D26A" w:rsidR="008B7924" w:rsidRDefault="008B7924" w:rsidP="00172E64">
      <w:pPr>
        <w:pStyle w:val="ListNumber"/>
        <w:numPr>
          <w:ilvl w:val="0"/>
          <w:numId w:val="131"/>
        </w:numPr>
        <w:tabs>
          <w:tab w:val="clear" w:pos="1872"/>
          <w:tab w:val="num" w:pos="1080"/>
        </w:tabs>
        <w:spacing w:before="240"/>
        <w:ind w:left="1080" w:hanging="1080"/>
        <w:jc w:val="both"/>
      </w:pPr>
      <w:r w:rsidRPr="002D5CDD">
        <w:t xml:space="preserve">Enter the project and pertinent project information into the </w:t>
      </w:r>
      <w:hyperlink r:id="rId320" w:history="1">
        <w:r w:rsidRPr="002D5CDD">
          <w:rPr>
            <w:rStyle w:val="Hyperlink"/>
          </w:rPr>
          <w:t>DesignProjects</w:t>
        </w:r>
      </w:hyperlink>
      <w:r w:rsidRPr="002D5CDD">
        <w:t xml:space="preserve"> database so the project can be tracked.  Also, create a folder on the network server under the ‘Projects’ folder under the appropriate District and county.  Refer to </w:t>
      </w:r>
      <w:hyperlink w:anchor="_Electronic_File_Storage" w:history="1">
        <w:r w:rsidRPr="002D5CDD">
          <w:rPr>
            <w:rStyle w:val="Hyperlink"/>
          </w:rPr>
          <w:t>Electronic File Storage</w:t>
        </w:r>
      </w:hyperlink>
      <w:r w:rsidRPr="00AC47BA">
        <w:t xml:space="preserve">.  </w:t>
      </w:r>
    </w:p>
    <w:p w14:paraId="28CFA7FF" w14:textId="77777777" w:rsidR="008B7924" w:rsidRDefault="008B7924" w:rsidP="00172E64">
      <w:pPr>
        <w:pStyle w:val="ListNumber"/>
        <w:numPr>
          <w:ilvl w:val="0"/>
          <w:numId w:val="131"/>
        </w:numPr>
        <w:ind w:left="1080" w:hanging="1080"/>
        <w:jc w:val="both"/>
      </w:pPr>
      <w:r>
        <w:t xml:space="preserve">Conduct the steps as detailed in </w:t>
      </w:r>
      <w:hyperlink w:anchor="_Pavement_Design_Procedures" w:history="1">
        <w:r w:rsidRPr="009C3BFF">
          <w:rPr>
            <w:rStyle w:val="Hyperlink"/>
          </w:rPr>
          <w:t>Preliminary Procedures</w:t>
        </w:r>
      </w:hyperlink>
      <w:r>
        <w:t>.</w:t>
      </w:r>
    </w:p>
    <w:p w14:paraId="416CA9F1" w14:textId="77777777" w:rsidR="003A343F" w:rsidRPr="003A343F" w:rsidRDefault="003A343F" w:rsidP="00172E64">
      <w:pPr>
        <w:pStyle w:val="ListNumber"/>
        <w:numPr>
          <w:ilvl w:val="0"/>
          <w:numId w:val="131"/>
        </w:numPr>
        <w:ind w:left="1080" w:hanging="1080"/>
        <w:jc w:val="both"/>
      </w:pPr>
      <w:r>
        <w:lastRenderedPageBreak/>
        <w:t xml:space="preserve">Conduct the steps as detailed in </w:t>
      </w:r>
      <w:hyperlink w:anchor="_New_Pavement_Design_3" w:history="1">
        <w:r w:rsidRPr="003A343F">
          <w:rPr>
            <w:rStyle w:val="Hyperlink"/>
          </w:rPr>
          <w:t>New Pavement Design</w:t>
        </w:r>
      </w:hyperlink>
      <w:r>
        <w:t xml:space="preserve"> and </w:t>
      </w:r>
      <w:hyperlink w:anchor="_Pavement_Preservation_&amp;" w:history="1">
        <w:r w:rsidRPr="003A343F">
          <w:rPr>
            <w:rStyle w:val="Hyperlink"/>
          </w:rPr>
          <w:t>Pavement Preservation &amp; Rehabilitation Design</w:t>
        </w:r>
      </w:hyperlink>
      <w:r>
        <w:t xml:space="preserve"> as appropriate.  For steps involving </w:t>
      </w:r>
      <w:hyperlink w:anchor="_Pavement_Mechanistic-Empirical_Anal" w:history="1">
        <w:r w:rsidRPr="003A343F">
          <w:rPr>
            <w:rStyle w:val="Hyperlink"/>
          </w:rPr>
          <w:t>Pavement Mechanistic-Empirical Analysis</w:t>
        </w:r>
      </w:hyperlink>
      <w:r w:rsidRPr="003A343F">
        <w:t>, use defaults and information collected in Step 2 only.</w:t>
      </w:r>
    </w:p>
    <w:p w14:paraId="00C06742" w14:textId="46C1B9B1" w:rsidR="003A343F" w:rsidRPr="003A343F" w:rsidRDefault="003A343F" w:rsidP="00172E64">
      <w:pPr>
        <w:pStyle w:val="ListNumber"/>
        <w:numPr>
          <w:ilvl w:val="0"/>
          <w:numId w:val="131"/>
        </w:numPr>
        <w:ind w:left="1080" w:hanging="1080"/>
        <w:jc w:val="both"/>
      </w:pPr>
      <w:r w:rsidRPr="003A343F">
        <w:t xml:space="preserve">Relay the preliminary design information to the person </w:t>
      </w:r>
      <w:r w:rsidR="003D4E09">
        <w:t>who</w:t>
      </w:r>
      <w:r w:rsidR="003D4E09" w:rsidRPr="003A343F">
        <w:t xml:space="preserve"> </w:t>
      </w:r>
      <w:r w:rsidRPr="003A343F">
        <w:t xml:space="preserve">requested the recommendation in the appropriate form based on the type of request.  This response could be in the form of an e-mail, formal or informal memorandum, and phone conversation.  </w:t>
      </w:r>
      <w:r w:rsidR="00056BF3">
        <w:t xml:space="preserve">Refer to </w:t>
      </w:r>
      <w:hyperlink w:anchor="_Example_Memos" w:history="1">
        <w:r w:rsidR="00056BF3" w:rsidRPr="00056BF3">
          <w:rPr>
            <w:rStyle w:val="Hyperlink"/>
          </w:rPr>
          <w:t>Example Memos</w:t>
        </w:r>
      </w:hyperlink>
      <w:r w:rsidR="00056BF3">
        <w:t xml:space="preserve">.  </w:t>
      </w:r>
      <w:r w:rsidRPr="003A343F">
        <w:t>Documentation shall be placed in the project file folder regarding the recommendation that was provided.</w:t>
      </w:r>
    </w:p>
    <w:p w14:paraId="7046073F" w14:textId="77777777" w:rsidR="000828BF" w:rsidRDefault="000828BF" w:rsidP="000828BF">
      <w:pPr>
        <w:pStyle w:val="ListNumber"/>
        <w:tabs>
          <w:tab w:val="clear" w:pos="720"/>
          <w:tab w:val="clear" w:pos="1872"/>
        </w:tabs>
        <w:ind w:left="0" w:firstLine="0"/>
      </w:pPr>
    </w:p>
    <w:p w14:paraId="4990E589" w14:textId="77777777" w:rsidR="000828BF" w:rsidRDefault="000828BF" w:rsidP="00916953"/>
    <w:p w14:paraId="56C2A27E" w14:textId="77777777" w:rsidR="000828BF" w:rsidRDefault="000828BF" w:rsidP="000828BF">
      <w:pPr>
        <w:rPr>
          <w:rFonts w:ascii="Arial" w:hAnsi="Arial"/>
        </w:rPr>
      </w:pPr>
    </w:p>
    <w:p w14:paraId="03E0A0EE" w14:textId="77777777" w:rsidR="000828BF" w:rsidRDefault="000828BF" w:rsidP="000828BF">
      <w:pPr>
        <w:rPr>
          <w:rFonts w:ascii="Arial" w:hAnsi="Arial"/>
        </w:rPr>
        <w:sectPr w:rsidR="000828BF" w:rsidSect="00C13421">
          <w:headerReference w:type="default" r:id="rId321"/>
          <w:footerReference w:type="default" r:id="rId322"/>
          <w:pgSz w:w="12240" w:h="15840"/>
          <w:pgMar w:top="1440" w:right="1800" w:bottom="1440" w:left="1800" w:header="720" w:footer="720" w:gutter="0"/>
          <w:pgNumType w:start="1" w:chapStyle="1"/>
          <w:cols w:space="720"/>
          <w:docGrid w:linePitch="272"/>
        </w:sectPr>
      </w:pPr>
    </w:p>
    <w:p w14:paraId="5B8A862D" w14:textId="77777777" w:rsidR="000828BF" w:rsidRDefault="000828BF" w:rsidP="000828BF">
      <w:pPr>
        <w:rPr>
          <w:rFonts w:ascii="Arial" w:hAnsi="Arial"/>
          <w:b/>
          <w:caps/>
          <w:sz w:val="28"/>
        </w:rPr>
      </w:pPr>
      <w:r>
        <w:br w:type="page"/>
      </w:r>
    </w:p>
    <w:p w14:paraId="6C4A63A2" w14:textId="4CC19007" w:rsidR="000828BF" w:rsidRDefault="000828BF" w:rsidP="00172E64">
      <w:pPr>
        <w:pStyle w:val="Heading2"/>
        <w:numPr>
          <w:ilvl w:val="1"/>
          <w:numId w:val="184"/>
        </w:numPr>
        <w:ind w:left="0" w:firstLine="0"/>
      </w:pPr>
      <w:bookmarkStart w:id="584" w:name="_Advanced_Geotechnical_Report"/>
      <w:bookmarkStart w:id="585" w:name="_Toc479160126"/>
      <w:bookmarkStart w:id="586" w:name="_Toc514058014"/>
      <w:bookmarkStart w:id="587" w:name="_Toc194932410"/>
      <w:bookmarkStart w:id="588" w:name="Adv_Geot_rept"/>
      <w:bookmarkEnd w:id="584"/>
      <w:r>
        <w:lastRenderedPageBreak/>
        <w:t>Advanced Geotechnical Report</w:t>
      </w:r>
      <w:bookmarkEnd w:id="585"/>
      <w:bookmarkEnd w:id="586"/>
      <w:bookmarkEnd w:id="587"/>
    </w:p>
    <w:bookmarkEnd w:id="588"/>
    <w:p w14:paraId="7CDD1E48" w14:textId="77777777" w:rsidR="000828BF" w:rsidRDefault="000828BF" w:rsidP="00172E64">
      <w:pPr>
        <w:pStyle w:val="Heading3"/>
        <w:numPr>
          <w:ilvl w:val="2"/>
          <w:numId w:val="184"/>
        </w:numPr>
        <w:ind w:left="0" w:firstLine="0"/>
      </w:pPr>
      <w:r>
        <w:t>Purpose</w:t>
      </w:r>
    </w:p>
    <w:p w14:paraId="349C13C4" w14:textId="4DED0F34" w:rsidR="00D868E7" w:rsidRPr="00013146" w:rsidRDefault="000828BF" w:rsidP="00D868E7">
      <w:pPr>
        <w:pStyle w:val="BodyText"/>
        <w:jc w:val="both"/>
        <w:rPr>
          <w:rFonts w:cs="Arial"/>
        </w:rPr>
      </w:pPr>
      <w:r w:rsidRPr="006E6E88">
        <w:t>On some projects an advance</w:t>
      </w:r>
      <w:r>
        <w:t>d</w:t>
      </w:r>
      <w:r w:rsidRPr="006E6E88">
        <w:t xml:space="preserve"> geotechnical report or preliminary soils report is submitted prior to or after the completion of the subsurface exploration. </w:t>
      </w:r>
      <w:r w:rsidR="00D868E7">
        <w:t xml:space="preserve">A geophysical investigation may be valuable </w:t>
      </w:r>
      <w:r w:rsidR="001101A9">
        <w:t>for including in</w:t>
      </w:r>
      <w:r w:rsidR="00D868E7">
        <w:t xml:space="preserve"> an advanced geotechnical report because of the </w:t>
      </w:r>
      <w:r w:rsidR="001101A9">
        <w:t xml:space="preserve">rapid completion time, ability to investigate large areas, </w:t>
      </w:r>
      <w:r w:rsidR="00D868E7">
        <w:t xml:space="preserve">typical limited access and </w:t>
      </w:r>
      <w:r w:rsidR="001101A9">
        <w:t>need</w:t>
      </w:r>
      <w:r w:rsidR="00D868E7">
        <w:t xml:space="preserve"> for limited disturbances</w:t>
      </w:r>
      <w:r w:rsidR="001101A9">
        <w:t xml:space="preserve"> on private property</w:t>
      </w:r>
      <w:r w:rsidR="00D868E7">
        <w:t xml:space="preserve">.  </w:t>
      </w:r>
    </w:p>
    <w:p w14:paraId="6BBB97CC" w14:textId="6550D3EB" w:rsidR="00D868E7" w:rsidRDefault="00D868E7" w:rsidP="000828BF">
      <w:pPr>
        <w:pStyle w:val="BodyText"/>
        <w:jc w:val="both"/>
      </w:pPr>
      <w:r>
        <w:t>The</w:t>
      </w:r>
      <w:r w:rsidRPr="006E6E88">
        <w:t xml:space="preserve"> </w:t>
      </w:r>
      <w:r w:rsidR="000828BF" w:rsidRPr="006E6E88">
        <w:t>usual purpose</w:t>
      </w:r>
      <w:r>
        <w:t xml:space="preserve"> of an advanced geotechnical report</w:t>
      </w:r>
      <w:r w:rsidR="000828BF" w:rsidRPr="006E6E88">
        <w:t xml:space="preserve"> is to provide, prior to preparation of the final report, information to the customer, who would use it in conjunction with their own work to expedite the progress of the project. An example would be slopes for Right-of-Way Plats. A review is usually held with the PAGD ADC-Design to finalize the preparation of this report.</w:t>
      </w:r>
    </w:p>
    <w:p w14:paraId="24301A2C" w14:textId="77777777" w:rsidR="000828BF" w:rsidRDefault="000828BF" w:rsidP="00172E64">
      <w:pPr>
        <w:pStyle w:val="Heading3"/>
        <w:numPr>
          <w:ilvl w:val="2"/>
          <w:numId w:val="184"/>
        </w:numPr>
        <w:ind w:left="0" w:firstLine="0"/>
        <w:jc w:val="both"/>
      </w:pPr>
      <w:r>
        <w:t>Resource Requirements</w:t>
      </w:r>
    </w:p>
    <w:p w14:paraId="6468D5A9" w14:textId="77777777" w:rsidR="000828BF" w:rsidRDefault="000828BF" w:rsidP="000A02F1">
      <w:pPr>
        <w:pStyle w:val="BodyText"/>
        <w:spacing w:after="240"/>
        <w:jc w:val="both"/>
      </w:pPr>
      <w:r>
        <w:t>The advanced geotechnical report process is typically done with data available to the design engineer in the office coupled with a site visit.  The design is based on available network level data and standard design inputs and policies provided in this guide.  The procedure documented below requires the following staffing needs for a typical job:</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40"/>
        <w:gridCol w:w="1599"/>
        <w:gridCol w:w="1584"/>
      </w:tblGrid>
      <w:tr w:rsidR="000828BF" w14:paraId="557F9A66" w14:textId="77777777" w:rsidTr="000A02F1">
        <w:trPr>
          <w:trHeight w:val="288"/>
          <w:jc w:val="center"/>
        </w:trPr>
        <w:tc>
          <w:tcPr>
            <w:tcW w:w="2965" w:type="dxa"/>
            <w:shd w:val="pct15" w:color="auto" w:fill="FFFFFF"/>
            <w:vAlign w:val="center"/>
          </w:tcPr>
          <w:p w14:paraId="24D99FC5" w14:textId="77777777" w:rsidR="000828BF" w:rsidRDefault="000828BF" w:rsidP="000828BF">
            <w:pPr>
              <w:jc w:val="center"/>
              <w:rPr>
                <w:rFonts w:ascii="Arial" w:hAnsi="Arial"/>
                <w:b/>
              </w:rPr>
            </w:pPr>
            <w:r>
              <w:rPr>
                <w:rFonts w:ascii="Arial" w:hAnsi="Arial"/>
                <w:b/>
              </w:rPr>
              <w:t>Position</w:t>
            </w:r>
          </w:p>
        </w:tc>
        <w:tc>
          <w:tcPr>
            <w:tcW w:w="2340" w:type="dxa"/>
            <w:shd w:val="pct15" w:color="auto" w:fill="FFFFFF"/>
            <w:vAlign w:val="center"/>
          </w:tcPr>
          <w:p w14:paraId="4BD30735" w14:textId="77777777" w:rsidR="000828BF" w:rsidRDefault="000828BF" w:rsidP="000828BF">
            <w:pPr>
              <w:jc w:val="center"/>
              <w:rPr>
                <w:rFonts w:ascii="Arial" w:hAnsi="Arial"/>
                <w:b/>
              </w:rPr>
            </w:pPr>
            <w:r>
              <w:rPr>
                <w:rFonts w:ascii="Arial" w:hAnsi="Arial"/>
                <w:b/>
              </w:rPr>
              <w:t>Function</w:t>
            </w:r>
          </w:p>
        </w:tc>
        <w:tc>
          <w:tcPr>
            <w:tcW w:w="1599" w:type="dxa"/>
            <w:shd w:val="pct15" w:color="auto" w:fill="FFFFFF"/>
            <w:vAlign w:val="center"/>
          </w:tcPr>
          <w:p w14:paraId="79C85065" w14:textId="77777777" w:rsidR="000828BF" w:rsidRDefault="000828BF" w:rsidP="000828BF">
            <w:pPr>
              <w:jc w:val="center"/>
              <w:rPr>
                <w:rFonts w:ascii="Arial" w:hAnsi="Arial"/>
                <w:b/>
              </w:rPr>
            </w:pPr>
            <w:r>
              <w:rPr>
                <w:rFonts w:ascii="Arial" w:hAnsi="Arial"/>
                <w:b/>
              </w:rPr>
              <w:t>Resources</w:t>
            </w:r>
          </w:p>
        </w:tc>
        <w:tc>
          <w:tcPr>
            <w:tcW w:w="1584" w:type="dxa"/>
            <w:shd w:val="pct15" w:color="auto" w:fill="FFFFFF"/>
            <w:vAlign w:val="center"/>
          </w:tcPr>
          <w:p w14:paraId="14C13239" w14:textId="77777777" w:rsidR="000828BF" w:rsidRDefault="000828BF" w:rsidP="000828BF">
            <w:pPr>
              <w:jc w:val="center"/>
              <w:rPr>
                <w:rFonts w:ascii="Arial" w:hAnsi="Arial"/>
                <w:b/>
              </w:rPr>
            </w:pPr>
            <w:r>
              <w:rPr>
                <w:rFonts w:ascii="Arial" w:hAnsi="Arial"/>
                <w:b/>
              </w:rPr>
              <w:t>Effort Level</w:t>
            </w:r>
          </w:p>
          <w:p w14:paraId="52B06E2D" w14:textId="77777777" w:rsidR="000828BF" w:rsidRDefault="000828BF" w:rsidP="000828BF">
            <w:pPr>
              <w:jc w:val="center"/>
              <w:rPr>
                <w:rFonts w:ascii="Arial" w:hAnsi="Arial"/>
                <w:b/>
              </w:rPr>
            </w:pPr>
            <w:r>
              <w:rPr>
                <w:rFonts w:ascii="Arial" w:hAnsi="Arial"/>
                <w:b/>
              </w:rPr>
              <w:t>(man-hours)</w:t>
            </w:r>
          </w:p>
        </w:tc>
      </w:tr>
      <w:tr w:rsidR="000828BF" w14:paraId="1E9A7132" w14:textId="77777777" w:rsidTr="000A02F1">
        <w:trPr>
          <w:trHeight w:val="288"/>
          <w:jc w:val="center"/>
        </w:trPr>
        <w:tc>
          <w:tcPr>
            <w:tcW w:w="2965" w:type="dxa"/>
            <w:vAlign w:val="center"/>
          </w:tcPr>
          <w:p w14:paraId="1B532408" w14:textId="77777777" w:rsidR="000828BF" w:rsidRDefault="00117CFC" w:rsidP="000828BF">
            <w:pPr>
              <w:jc w:val="center"/>
              <w:rPr>
                <w:rFonts w:ascii="Arial" w:hAnsi="Arial"/>
                <w:sz w:val="18"/>
              </w:rPr>
            </w:pPr>
            <w:r>
              <w:rPr>
                <w:rFonts w:ascii="Arial" w:hAnsi="Arial"/>
                <w:sz w:val="18"/>
              </w:rPr>
              <w:t>PAGD Engineer</w:t>
            </w:r>
          </w:p>
        </w:tc>
        <w:tc>
          <w:tcPr>
            <w:tcW w:w="2340" w:type="dxa"/>
            <w:vAlign w:val="center"/>
          </w:tcPr>
          <w:p w14:paraId="5F9A0CBD" w14:textId="77777777" w:rsidR="000828BF" w:rsidRDefault="00117CFC" w:rsidP="000828BF">
            <w:pPr>
              <w:jc w:val="center"/>
              <w:rPr>
                <w:rFonts w:ascii="Arial" w:hAnsi="Arial"/>
                <w:sz w:val="18"/>
              </w:rPr>
            </w:pPr>
            <w:r>
              <w:rPr>
                <w:rFonts w:ascii="Arial" w:hAnsi="Arial"/>
                <w:sz w:val="18"/>
              </w:rPr>
              <w:t>Records Review</w:t>
            </w:r>
          </w:p>
        </w:tc>
        <w:tc>
          <w:tcPr>
            <w:tcW w:w="1599" w:type="dxa"/>
            <w:vAlign w:val="center"/>
          </w:tcPr>
          <w:p w14:paraId="33E79397" w14:textId="77777777" w:rsidR="000828BF" w:rsidRDefault="00117CFC" w:rsidP="000828BF">
            <w:pPr>
              <w:jc w:val="center"/>
              <w:rPr>
                <w:rFonts w:ascii="Arial" w:hAnsi="Arial"/>
                <w:sz w:val="18"/>
              </w:rPr>
            </w:pPr>
            <w:r>
              <w:rPr>
                <w:rFonts w:ascii="Arial" w:hAnsi="Arial"/>
                <w:sz w:val="18"/>
              </w:rPr>
              <w:t>1</w:t>
            </w:r>
          </w:p>
        </w:tc>
        <w:tc>
          <w:tcPr>
            <w:tcW w:w="1584" w:type="dxa"/>
            <w:vAlign w:val="center"/>
          </w:tcPr>
          <w:p w14:paraId="5615D508" w14:textId="77777777" w:rsidR="000828BF" w:rsidRDefault="00117CFC" w:rsidP="000828BF">
            <w:pPr>
              <w:jc w:val="center"/>
              <w:rPr>
                <w:rFonts w:ascii="Arial" w:hAnsi="Arial"/>
                <w:sz w:val="18"/>
              </w:rPr>
            </w:pPr>
            <w:r>
              <w:rPr>
                <w:rFonts w:ascii="Arial" w:hAnsi="Arial"/>
                <w:sz w:val="18"/>
              </w:rPr>
              <w:t>2*</w:t>
            </w:r>
          </w:p>
        </w:tc>
      </w:tr>
      <w:tr w:rsidR="00CF499E" w14:paraId="49C0C8C0" w14:textId="77777777" w:rsidTr="0052231A">
        <w:trPr>
          <w:trHeight w:val="288"/>
          <w:jc w:val="center"/>
        </w:trPr>
        <w:tc>
          <w:tcPr>
            <w:tcW w:w="2965" w:type="dxa"/>
            <w:vAlign w:val="center"/>
          </w:tcPr>
          <w:p w14:paraId="06E10840" w14:textId="03E25C59" w:rsidR="00CF499E" w:rsidRDefault="00CF499E" w:rsidP="000828BF">
            <w:pPr>
              <w:jc w:val="center"/>
              <w:rPr>
                <w:rFonts w:ascii="Arial" w:hAnsi="Arial"/>
                <w:sz w:val="18"/>
              </w:rPr>
            </w:pPr>
            <w:r>
              <w:rPr>
                <w:rFonts w:ascii="Arial" w:hAnsi="Arial"/>
                <w:sz w:val="18"/>
              </w:rPr>
              <w:t>PAGD Engineer</w:t>
            </w:r>
          </w:p>
        </w:tc>
        <w:tc>
          <w:tcPr>
            <w:tcW w:w="2340" w:type="dxa"/>
            <w:vAlign w:val="center"/>
          </w:tcPr>
          <w:p w14:paraId="020635E0" w14:textId="1DFD79B5" w:rsidR="00CF499E" w:rsidRDefault="00CF499E" w:rsidP="000828BF">
            <w:pPr>
              <w:jc w:val="center"/>
              <w:rPr>
                <w:rFonts w:ascii="Arial" w:hAnsi="Arial"/>
                <w:sz w:val="18"/>
              </w:rPr>
            </w:pPr>
            <w:r>
              <w:rPr>
                <w:rFonts w:ascii="Arial" w:hAnsi="Arial"/>
                <w:sz w:val="18"/>
              </w:rPr>
              <w:t>Review Geophysical Report</w:t>
            </w:r>
          </w:p>
        </w:tc>
        <w:tc>
          <w:tcPr>
            <w:tcW w:w="1599" w:type="dxa"/>
            <w:vAlign w:val="center"/>
          </w:tcPr>
          <w:p w14:paraId="434D95D0" w14:textId="2032D126" w:rsidR="00CF499E" w:rsidRDefault="00CF499E" w:rsidP="000828BF">
            <w:pPr>
              <w:jc w:val="center"/>
              <w:rPr>
                <w:rFonts w:ascii="Arial" w:hAnsi="Arial"/>
                <w:sz w:val="18"/>
              </w:rPr>
            </w:pPr>
            <w:r>
              <w:rPr>
                <w:rFonts w:ascii="Arial" w:hAnsi="Arial"/>
                <w:sz w:val="18"/>
              </w:rPr>
              <w:t>1</w:t>
            </w:r>
          </w:p>
        </w:tc>
        <w:tc>
          <w:tcPr>
            <w:tcW w:w="1584" w:type="dxa"/>
            <w:vAlign w:val="center"/>
          </w:tcPr>
          <w:p w14:paraId="12791254" w14:textId="588E61B7" w:rsidR="00CF499E" w:rsidRDefault="00CF499E" w:rsidP="000828BF">
            <w:pPr>
              <w:jc w:val="center"/>
              <w:rPr>
                <w:rFonts w:ascii="Arial" w:hAnsi="Arial"/>
                <w:sz w:val="18"/>
              </w:rPr>
            </w:pPr>
            <w:r>
              <w:rPr>
                <w:rFonts w:ascii="Arial" w:hAnsi="Arial"/>
                <w:sz w:val="18"/>
              </w:rPr>
              <w:t>2*</w:t>
            </w:r>
          </w:p>
        </w:tc>
      </w:tr>
      <w:tr w:rsidR="000828BF" w14:paraId="341DD887" w14:textId="77777777" w:rsidTr="000A02F1">
        <w:trPr>
          <w:trHeight w:val="288"/>
          <w:jc w:val="center"/>
        </w:trPr>
        <w:tc>
          <w:tcPr>
            <w:tcW w:w="2965" w:type="dxa"/>
            <w:vAlign w:val="center"/>
          </w:tcPr>
          <w:p w14:paraId="25F5441D" w14:textId="77777777" w:rsidR="000828BF" w:rsidRDefault="00117CFC" w:rsidP="000828BF">
            <w:pPr>
              <w:jc w:val="center"/>
              <w:rPr>
                <w:rFonts w:ascii="Arial" w:hAnsi="Arial"/>
                <w:sz w:val="18"/>
              </w:rPr>
            </w:pPr>
            <w:r>
              <w:rPr>
                <w:rFonts w:ascii="Arial" w:hAnsi="Arial"/>
                <w:sz w:val="18"/>
              </w:rPr>
              <w:t>PAGD Engineer</w:t>
            </w:r>
          </w:p>
        </w:tc>
        <w:tc>
          <w:tcPr>
            <w:tcW w:w="2340" w:type="dxa"/>
            <w:vAlign w:val="center"/>
          </w:tcPr>
          <w:p w14:paraId="4D42C1CF" w14:textId="77777777" w:rsidR="000828BF" w:rsidRDefault="00117CFC" w:rsidP="000828BF">
            <w:pPr>
              <w:jc w:val="center"/>
              <w:rPr>
                <w:rFonts w:ascii="Arial" w:hAnsi="Arial"/>
                <w:sz w:val="18"/>
              </w:rPr>
            </w:pPr>
            <w:r>
              <w:rPr>
                <w:rFonts w:ascii="Arial" w:hAnsi="Arial"/>
                <w:sz w:val="18"/>
              </w:rPr>
              <w:t>Review/Plot Boring Data</w:t>
            </w:r>
          </w:p>
        </w:tc>
        <w:tc>
          <w:tcPr>
            <w:tcW w:w="1599" w:type="dxa"/>
            <w:vAlign w:val="center"/>
          </w:tcPr>
          <w:p w14:paraId="151201A9" w14:textId="77777777" w:rsidR="000828BF" w:rsidRDefault="00117CFC" w:rsidP="000828BF">
            <w:pPr>
              <w:jc w:val="center"/>
              <w:rPr>
                <w:rFonts w:ascii="Arial" w:hAnsi="Arial"/>
                <w:sz w:val="18"/>
              </w:rPr>
            </w:pPr>
            <w:r>
              <w:rPr>
                <w:rFonts w:ascii="Arial" w:hAnsi="Arial"/>
                <w:sz w:val="18"/>
              </w:rPr>
              <w:t>1</w:t>
            </w:r>
          </w:p>
        </w:tc>
        <w:tc>
          <w:tcPr>
            <w:tcW w:w="1584" w:type="dxa"/>
            <w:vAlign w:val="center"/>
          </w:tcPr>
          <w:p w14:paraId="6ED6739A" w14:textId="77777777" w:rsidR="000828BF" w:rsidRDefault="00117CFC" w:rsidP="000828BF">
            <w:pPr>
              <w:jc w:val="center"/>
              <w:rPr>
                <w:rFonts w:ascii="Arial" w:hAnsi="Arial"/>
                <w:sz w:val="18"/>
              </w:rPr>
            </w:pPr>
            <w:r>
              <w:rPr>
                <w:rFonts w:ascii="Arial" w:hAnsi="Arial"/>
                <w:sz w:val="18"/>
              </w:rPr>
              <w:t>4*</w:t>
            </w:r>
          </w:p>
        </w:tc>
      </w:tr>
      <w:tr w:rsidR="000828BF" w14:paraId="1A584D1D" w14:textId="77777777" w:rsidTr="000A02F1">
        <w:trPr>
          <w:trHeight w:val="288"/>
          <w:jc w:val="center"/>
        </w:trPr>
        <w:tc>
          <w:tcPr>
            <w:tcW w:w="2965" w:type="dxa"/>
            <w:vAlign w:val="center"/>
          </w:tcPr>
          <w:p w14:paraId="78087700" w14:textId="77777777" w:rsidR="000828BF" w:rsidRDefault="00117CFC" w:rsidP="000828BF">
            <w:pPr>
              <w:jc w:val="center"/>
              <w:rPr>
                <w:rFonts w:ascii="Arial" w:hAnsi="Arial"/>
                <w:sz w:val="18"/>
              </w:rPr>
            </w:pPr>
            <w:r>
              <w:rPr>
                <w:rFonts w:ascii="Arial" w:hAnsi="Arial"/>
                <w:sz w:val="18"/>
              </w:rPr>
              <w:t>PAGD Engineer</w:t>
            </w:r>
          </w:p>
        </w:tc>
        <w:tc>
          <w:tcPr>
            <w:tcW w:w="2340" w:type="dxa"/>
            <w:vAlign w:val="center"/>
          </w:tcPr>
          <w:p w14:paraId="77CA3189" w14:textId="77777777" w:rsidR="000828BF" w:rsidRDefault="00117CFC" w:rsidP="000828BF">
            <w:pPr>
              <w:jc w:val="center"/>
              <w:rPr>
                <w:rFonts w:ascii="Arial" w:hAnsi="Arial"/>
                <w:sz w:val="18"/>
              </w:rPr>
            </w:pPr>
            <w:r>
              <w:rPr>
                <w:rFonts w:ascii="Arial" w:hAnsi="Arial"/>
                <w:sz w:val="18"/>
              </w:rPr>
              <w:t>Prepare and Submit Report</w:t>
            </w:r>
          </w:p>
        </w:tc>
        <w:tc>
          <w:tcPr>
            <w:tcW w:w="1599" w:type="dxa"/>
            <w:vAlign w:val="center"/>
          </w:tcPr>
          <w:p w14:paraId="22DB3C66" w14:textId="77777777" w:rsidR="000828BF" w:rsidRDefault="00117CFC" w:rsidP="000828BF">
            <w:pPr>
              <w:jc w:val="center"/>
              <w:rPr>
                <w:rFonts w:ascii="Arial" w:hAnsi="Arial"/>
                <w:sz w:val="18"/>
              </w:rPr>
            </w:pPr>
            <w:r>
              <w:rPr>
                <w:rFonts w:ascii="Arial" w:hAnsi="Arial"/>
                <w:sz w:val="18"/>
              </w:rPr>
              <w:t>1</w:t>
            </w:r>
          </w:p>
        </w:tc>
        <w:tc>
          <w:tcPr>
            <w:tcW w:w="1584" w:type="dxa"/>
            <w:vAlign w:val="center"/>
          </w:tcPr>
          <w:p w14:paraId="4FA8D09F" w14:textId="77777777" w:rsidR="000828BF" w:rsidRDefault="00117CFC" w:rsidP="000828BF">
            <w:pPr>
              <w:jc w:val="center"/>
              <w:rPr>
                <w:rFonts w:ascii="Arial" w:hAnsi="Arial"/>
                <w:sz w:val="18"/>
              </w:rPr>
            </w:pPr>
            <w:r>
              <w:rPr>
                <w:rFonts w:ascii="Arial" w:hAnsi="Arial"/>
                <w:sz w:val="18"/>
              </w:rPr>
              <w:t>4*</w:t>
            </w:r>
          </w:p>
        </w:tc>
      </w:tr>
      <w:tr w:rsidR="000828BF" w14:paraId="11A62E5C" w14:textId="77777777" w:rsidTr="000A02F1">
        <w:trPr>
          <w:trHeight w:val="288"/>
          <w:jc w:val="center"/>
        </w:trPr>
        <w:tc>
          <w:tcPr>
            <w:tcW w:w="2965" w:type="dxa"/>
            <w:vAlign w:val="center"/>
          </w:tcPr>
          <w:p w14:paraId="489313D9" w14:textId="77777777" w:rsidR="000828BF" w:rsidRDefault="00117CFC" w:rsidP="000828BF">
            <w:pPr>
              <w:jc w:val="center"/>
              <w:rPr>
                <w:rFonts w:ascii="Arial" w:hAnsi="Arial"/>
                <w:sz w:val="18"/>
              </w:rPr>
            </w:pPr>
            <w:r>
              <w:rPr>
                <w:rFonts w:ascii="Arial" w:hAnsi="Arial"/>
                <w:sz w:val="18"/>
              </w:rPr>
              <w:t>PAGD TL and PAGD ADC-Design</w:t>
            </w:r>
          </w:p>
        </w:tc>
        <w:tc>
          <w:tcPr>
            <w:tcW w:w="2340" w:type="dxa"/>
            <w:vAlign w:val="center"/>
          </w:tcPr>
          <w:p w14:paraId="4D6D3C28" w14:textId="77777777" w:rsidR="000828BF" w:rsidRDefault="00117CFC" w:rsidP="000828BF">
            <w:pPr>
              <w:jc w:val="center"/>
              <w:rPr>
                <w:rFonts w:ascii="Arial" w:hAnsi="Arial"/>
                <w:sz w:val="18"/>
              </w:rPr>
            </w:pPr>
            <w:r>
              <w:rPr>
                <w:rFonts w:ascii="Arial" w:hAnsi="Arial"/>
                <w:sz w:val="18"/>
              </w:rPr>
              <w:t>Review Report</w:t>
            </w:r>
          </w:p>
        </w:tc>
        <w:tc>
          <w:tcPr>
            <w:tcW w:w="1599" w:type="dxa"/>
            <w:vAlign w:val="center"/>
          </w:tcPr>
          <w:p w14:paraId="72A99994" w14:textId="77777777" w:rsidR="000828BF" w:rsidRDefault="00117CFC" w:rsidP="000828BF">
            <w:pPr>
              <w:jc w:val="center"/>
              <w:rPr>
                <w:rFonts w:ascii="Arial" w:hAnsi="Arial"/>
                <w:sz w:val="18"/>
              </w:rPr>
            </w:pPr>
            <w:r>
              <w:rPr>
                <w:rFonts w:ascii="Arial" w:hAnsi="Arial"/>
                <w:sz w:val="18"/>
              </w:rPr>
              <w:t>1</w:t>
            </w:r>
          </w:p>
        </w:tc>
        <w:tc>
          <w:tcPr>
            <w:tcW w:w="1584" w:type="dxa"/>
            <w:vAlign w:val="center"/>
          </w:tcPr>
          <w:p w14:paraId="6F75B4CE" w14:textId="77777777" w:rsidR="000828BF" w:rsidRDefault="00F21218" w:rsidP="00F21218">
            <w:pPr>
              <w:jc w:val="center"/>
              <w:rPr>
                <w:rFonts w:ascii="Arial" w:hAnsi="Arial"/>
                <w:sz w:val="18"/>
              </w:rPr>
            </w:pPr>
            <w:r>
              <w:rPr>
                <w:rFonts w:ascii="Arial" w:hAnsi="Arial"/>
                <w:sz w:val="18"/>
              </w:rPr>
              <w:t>2</w:t>
            </w:r>
            <w:r w:rsidR="00117CFC">
              <w:rPr>
                <w:rFonts w:ascii="Arial" w:hAnsi="Arial"/>
                <w:sz w:val="18"/>
              </w:rPr>
              <w:t>*</w:t>
            </w:r>
          </w:p>
        </w:tc>
      </w:tr>
    </w:tbl>
    <w:p w14:paraId="2F4D4C13" w14:textId="6C707D72" w:rsidR="000828BF" w:rsidRPr="00023579" w:rsidRDefault="000828BF" w:rsidP="000A02F1">
      <w:pPr>
        <w:ind w:left="270"/>
        <w:jc w:val="both"/>
        <w:rPr>
          <w:rFonts w:ascii="Arial" w:hAnsi="Arial"/>
          <w:sz w:val="18"/>
          <w:szCs w:val="18"/>
        </w:rPr>
      </w:pPr>
      <w:r w:rsidRPr="00023579">
        <w:rPr>
          <w:rFonts w:ascii="Arial" w:hAnsi="Arial"/>
          <w:sz w:val="18"/>
          <w:szCs w:val="18"/>
        </w:rPr>
        <w:t>* The time required would vary depending on the size</w:t>
      </w:r>
      <w:r>
        <w:rPr>
          <w:rFonts w:ascii="Arial" w:hAnsi="Arial"/>
          <w:sz w:val="18"/>
          <w:szCs w:val="18"/>
        </w:rPr>
        <w:t xml:space="preserve">, </w:t>
      </w:r>
      <w:r w:rsidRPr="00023579">
        <w:rPr>
          <w:rFonts w:ascii="Arial" w:hAnsi="Arial"/>
          <w:sz w:val="18"/>
          <w:szCs w:val="18"/>
        </w:rPr>
        <w:t>complexity</w:t>
      </w:r>
      <w:r w:rsidR="0078638D">
        <w:rPr>
          <w:rFonts w:ascii="Arial" w:hAnsi="Arial"/>
          <w:sz w:val="18"/>
          <w:szCs w:val="18"/>
        </w:rPr>
        <w:t>,</w:t>
      </w:r>
      <w:r w:rsidRPr="00023579">
        <w:rPr>
          <w:rFonts w:ascii="Arial" w:hAnsi="Arial"/>
          <w:sz w:val="18"/>
          <w:szCs w:val="18"/>
        </w:rPr>
        <w:t xml:space="preserve"> </w:t>
      </w:r>
      <w:r>
        <w:rPr>
          <w:rFonts w:ascii="Arial" w:hAnsi="Arial"/>
          <w:sz w:val="18"/>
          <w:szCs w:val="18"/>
        </w:rPr>
        <w:t xml:space="preserve">and location </w:t>
      </w:r>
      <w:r w:rsidRPr="00023579">
        <w:rPr>
          <w:rFonts w:ascii="Arial" w:hAnsi="Arial"/>
          <w:sz w:val="18"/>
          <w:szCs w:val="18"/>
        </w:rPr>
        <w:t xml:space="preserve">of </w:t>
      </w:r>
      <w:r>
        <w:rPr>
          <w:rFonts w:ascii="Arial" w:hAnsi="Arial"/>
          <w:sz w:val="18"/>
          <w:szCs w:val="18"/>
        </w:rPr>
        <w:t>the</w:t>
      </w:r>
      <w:r w:rsidRPr="00023579">
        <w:rPr>
          <w:rFonts w:ascii="Arial" w:hAnsi="Arial"/>
          <w:sz w:val="18"/>
          <w:szCs w:val="18"/>
        </w:rPr>
        <w:t xml:space="preserve"> project.</w:t>
      </w:r>
    </w:p>
    <w:p w14:paraId="436C47C6" w14:textId="77777777" w:rsidR="000828BF" w:rsidRDefault="000828BF" w:rsidP="00172E64">
      <w:pPr>
        <w:pStyle w:val="Heading3"/>
        <w:numPr>
          <w:ilvl w:val="2"/>
          <w:numId w:val="184"/>
        </w:numPr>
        <w:ind w:left="0" w:firstLine="0"/>
      </w:pPr>
      <w:r>
        <w:t>Procedure</w:t>
      </w:r>
    </w:p>
    <w:p w14:paraId="4BAC036D" w14:textId="4DF415FD" w:rsidR="00E74752" w:rsidRDefault="00E74752" w:rsidP="000828BF">
      <w:pPr>
        <w:pStyle w:val="BodyText"/>
        <w:jc w:val="both"/>
      </w:pPr>
      <w:r>
        <w:rPr>
          <w:rFonts w:cs="Arial"/>
          <w:szCs w:val="22"/>
        </w:rPr>
        <w:t>A geophysical investigation can often provide information valuable for an advanced geotechnical report. Refer t</w:t>
      </w:r>
      <w:r w:rsidRPr="005C7020">
        <w:rPr>
          <w:rFonts w:cs="Arial"/>
          <w:szCs w:val="22"/>
        </w:rPr>
        <w:t xml:space="preserve">o </w:t>
      </w:r>
      <w:hyperlink w:anchor="_geophysical_investigation" w:history="1">
        <w:r w:rsidRPr="005C7020">
          <w:rPr>
            <w:rStyle w:val="Hyperlink"/>
            <w:rFonts w:cs="Arial"/>
            <w:i/>
            <w:szCs w:val="22"/>
          </w:rPr>
          <w:t>Section 3.07 Geophysical Investigation</w:t>
        </w:r>
      </w:hyperlink>
      <w:r w:rsidRPr="00391F5D">
        <w:rPr>
          <w:rFonts w:cs="Arial"/>
          <w:szCs w:val="22"/>
        </w:rPr>
        <w:t xml:space="preserve"> f</w:t>
      </w:r>
      <w:r>
        <w:rPr>
          <w:rFonts w:cs="Arial"/>
          <w:szCs w:val="22"/>
        </w:rPr>
        <w:t>or information about scoping a geophysical investigation.</w:t>
      </w:r>
    </w:p>
    <w:p w14:paraId="2C0A4CB9" w14:textId="1A6D09F2" w:rsidR="000828BF" w:rsidRPr="00462738" w:rsidRDefault="000828BF" w:rsidP="000828BF">
      <w:pPr>
        <w:pStyle w:val="BodyText"/>
        <w:jc w:val="both"/>
      </w:pPr>
      <w:r w:rsidRPr="00462738">
        <w:t>The following aspects of design should be included in the advance report when subsurface explorations are not yet comp</w:t>
      </w:r>
      <w:r w:rsidR="0078638D">
        <w:t>l</w:t>
      </w:r>
      <w:r w:rsidRPr="00462738">
        <w:t>eted:</w:t>
      </w:r>
    </w:p>
    <w:p w14:paraId="222E2E39" w14:textId="77777777" w:rsidR="001A15B9" w:rsidRDefault="000828BF" w:rsidP="000A02F1">
      <w:pPr>
        <w:pStyle w:val="BodyText"/>
        <w:numPr>
          <w:ilvl w:val="0"/>
          <w:numId w:val="32"/>
        </w:numPr>
        <w:spacing w:after="0"/>
        <w:ind w:hanging="720"/>
        <w:jc w:val="both"/>
      </w:pPr>
      <w:r w:rsidRPr="00462738">
        <w:t>Slope angles – Recommend 2(H):1(V) or flatter unless erodible soils or slope stability issues are anticipated, in which case even flatter slopes may be needed.</w:t>
      </w:r>
    </w:p>
    <w:p w14:paraId="60B01274" w14:textId="77777777" w:rsidR="001A15B9" w:rsidRDefault="000828BF" w:rsidP="000A02F1">
      <w:pPr>
        <w:pStyle w:val="BodyText"/>
        <w:numPr>
          <w:ilvl w:val="0"/>
          <w:numId w:val="32"/>
        </w:numPr>
        <w:spacing w:after="0"/>
        <w:ind w:hanging="720"/>
        <w:jc w:val="both"/>
      </w:pPr>
      <w:r w:rsidRPr="00462738">
        <w:t>Typical soils to be encountered based on soil survey maps and information from adjacent projects.</w:t>
      </w:r>
    </w:p>
    <w:p w14:paraId="5DC0CC7F" w14:textId="5D306326" w:rsidR="001A15B9" w:rsidRDefault="000828BF" w:rsidP="000A02F1">
      <w:pPr>
        <w:pStyle w:val="BodyText"/>
        <w:numPr>
          <w:ilvl w:val="0"/>
          <w:numId w:val="32"/>
        </w:numPr>
        <w:spacing w:after="0"/>
        <w:ind w:hanging="720"/>
        <w:jc w:val="both"/>
      </w:pPr>
      <w:r w:rsidRPr="00462738">
        <w:t>Presence of any shallow groundwater tables based on information from soil survey maps</w:t>
      </w:r>
      <w:r w:rsidR="0078638D">
        <w:t>.</w:t>
      </w:r>
    </w:p>
    <w:p w14:paraId="4872149B" w14:textId="77777777" w:rsidR="001A15B9" w:rsidRDefault="000828BF" w:rsidP="000A02F1">
      <w:pPr>
        <w:pStyle w:val="BodyText"/>
        <w:numPr>
          <w:ilvl w:val="0"/>
          <w:numId w:val="32"/>
        </w:numPr>
        <w:spacing w:after="0"/>
        <w:ind w:hanging="720"/>
        <w:jc w:val="both"/>
      </w:pPr>
      <w:r w:rsidRPr="00462738">
        <w:t>Presence of rock at the site based on information from adjacent projects or observation of outcrops.</w:t>
      </w:r>
    </w:p>
    <w:p w14:paraId="5B8D4A6F" w14:textId="2458862B" w:rsidR="001A15B9" w:rsidRDefault="000828BF" w:rsidP="000A02F1">
      <w:pPr>
        <w:pStyle w:val="BodyText"/>
        <w:numPr>
          <w:ilvl w:val="0"/>
          <w:numId w:val="32"/>
        </w:numPr>
        <w:spacing w:after="0"/>
        <w:ind w:hanging="720"/>
        <w:jc w:val="both"/>
      </w:pPr>
      <w:r w:rsidRPr="00462738">
        <w:t>Any other information which might affect the construction</w:t>
      </w:r>
      <w:r w:rsidR="0078638D">
        <w:t>.</w:t>
      </w:r>
    </w:p>
    <w:p w14:paraId="566D7324" w14:textId="77777777" w:rsidR="000828BF" w:rsidRPr="00013146" w:rsidRDefault="000828BF" w:rsidP="000828BF">
      <w:pPr>
        <w:jc w:val="both"/>
        <w:rPr>
          <w:rFonts w:ascii="Arial" w:hAnsi="Arial" w:cs="Arial"/>
        </w:rPr>
      </w:pPr>
    </w:p>
    <w:p w14:paraId="3FE71EB8" w14:textId="38EA21D1" w:rsidR="000828BF" w:rsidRPr="00462738" w:rsidRDefault="000828BF" w:rsidP="000828BF">
      <w:pPr>
        <w:pStyle w:val="BodyText"/>
        <w:jc w:val="both"/>
      </w:pPr>
      <w:r w:rsidRPr="00462738">
        <w:lastRenderedPageBreak/>
        <w:t>The following should be addressed (as applicable) in the advance</w:t>
      </w:r>
      <w:r w:rsidR="001101A9">
        <w:t>d</w:t>
      </w:r>
      <w:r w:rsidRPr="00462738">
        <w:t xml:space="preserve"> report when subsurface explorations have been comp</w:t>
      </w:r>
      <w:r w:rsidR="0078638D">
        <w:t>l</w:t>
      </w:r>
      <w:r w:rsidRPr="00462738">
        <w:t>eted (</w:t>
      </w:r>
      <w:r w:rsidR="00CF499E">
        <w:t>l</w:t>
      </w:r>
      <w:r w:rsidRPr="00462738">
        <w:t>ab testing does not necessarily need to be complete to provide this information):</w:t>
      </w:r>
    </w:p>
    <w:p w14:paraId="20924F3D" w14:textId="28CF624A" w:rsidR="001A15B9" w:rsidRDefault="000828BF" w:rsidP="000A02F1">
      <w:pPr>
        <w:pStyle w:val="BodyText"/>
        <w:numPr>
          <w:ilvl w:val="0"/>
          <w:numId w:val="32"/>
        </w:numPr>
        <w:spacing w:after="0"/>
        <w:ind w:hanging="720"/>
        <w:jc w:val="both"/>
      </w:pPr>
      <w:r w:rsidRPr="00462738">
        <w:t>Line and grade approval</w:t>
      </w:r>
      <w:r w:rsidR="0078638D">
        <w:t>.</w:t>
      </w:r>
    </w:p>
    <w:p w14:paraId="27F69B32" w14:textId="31361F79" w:rsidR="001A15B9" w:rsidRDefault="000828BF" w:rsidP="000A02F1">
      <w:pPr>
        <w:pStyle w:val="BodyText"/>
        <w:numPr>
          <w:ilvl w:val="0"/>
          <w:numId w:val="32"/>
        </w:numPr>
        <w:spacing w:after="0"/>
        <w:ind w:hanging="720"/>
        <w:jc w:val="both"/>
      </w:pPr>
      <w:r w:rsidRPr="00462738">
        <w:t>Fill and cut slope angles</w:t>
      </w:r>
      <w:r w:rsidR="0078638D" w:rsidRPr="00462738">
        <w:t xml:space="preserve"> – </w:t>
      </w:r>
      <w:r w:rsidRPr="00462738">
        <w:t>Specify 2:1 or flatter unless erodible soils or slope stability issues are anticipated.  Need for benching for high embankments (&gt;20 ft</w:t>
      </w:r>
      <w:r w:rsidR="00CF65CA">
        <w:t>.</w:t>
      </w:r>
      <w:r w:rsidRPr="00462738">
        <w:t xml:space="preserve">).  </w:t>
      </w:r>
    </w:p>
    <w:p w14:paraId="3AACA44E" w14:textId="2CE48F54" w:rsidR="001A15B9" w:rsidRDefault="000828BF" w:rsidP="000A02F1">
      <w:pPr>
        <w:pStyle w:val="BodyText"/>
        <w:numPr>
          <w:ilvl w:val="0"/>
          <w:numId w:val="32"/>
        </w:numPr>
        <w:spacing w:after="0"/>
        <w:ind w:hanging="720"/>
        <w:jc w:val="both"/>
      </w:pPr>
      <w:r w:rsidRPr="00462738">
        <w:t>Typical soils within project limits</w:t>
      </w:r>
      <w:r w:rsidR="0078638D">
        <w:t>.</w:t>
      </w:r>
    </w:p>
    <w:p w14:paraId="0C2827B2" w14:textId="77777777" w:rsidR="001A15B9" w:rsidRDefault="000828BF" w:rsidP="000A02F1">
      <w:pPr>
        <w:pStyle w:val="BodyText"/>
        <w:numPr>
          <w:ilvl w:val="0"/>
          <w:numId w:val="32"/>
        </w:numPr>
        <w:spacing w:after="0"/>
        <w:ind w:hanging="720"/>
        <w:jc w:val="both"/>
      </w:pPr>
      <w:r w:rsidRPr="00462738">
        <w:t>Estimate of Class 1-A Excavation and material required for backfilling Class 1-A Excavation (If unsuitable soils are present at subgrade level).</w:t>
      </w:r>
      <w:r w:rsidR="00545ABD">
        <w:t xml:space="preserve">  Refer to </w:t>
      </w:r>
      <w:hyperlink w:anchor="_Class_1-A_Excavation" w:history="1">
        <w:r w:rsidR="00545ABD" w:rsidRPr="00545ABD">
          <w:rPr>
            <w:rStyle w:val="Hyperlink"/>
          </w:rPr>
          <w:t>Class 1-A Excavation and Backfill</w:t>
        </w:r>
      </w:hyperlink>
      <w:r w:rsidR="00545ABD">
        <w:t>.</w:t>
      </w:r>
    </w:p>
    <w:p w14:paraId="7B878598" w14:textId="575B56B1" w:rsidR="001A15B9" w:rsidRDefault="000828BF" w:rsidP="000A02F1">
      <w:pPr>
        <w:pStyle w:val="BodyText"/>
        <w:numPr>
          <w:ilvl w:val="0"/>
          <w:numId w:val="32"/>
        </w:numPr>
        <w:spacing w:after="0"/>
        <w:ind w:hanging="720"/>
        <w:jc w:val="both"/>
      </w:pPr>
      <w:r w:rsidRPr="00462738">
        <w:t>Information on groundwater levels and their effects on proposed construction</w:t>
      </w:r>
      <w:r w:rsidR="0078638D">
        <w:t>.</w:t>
      </w:r>
    </w:p>
    <w:p w14:paraId="191CFF53" w14:textId="04622A58" w:rsidR="001A15B9" w:rsidRDefault="000828BF" w:rsidP="000A02F1">
      <w:pPr>
        <w:pStyle w:val="BodyText"/>
        <w:numPr>
          <w:ilvl w:val="0"/>
          <w:numId w:val="32"/>
        </w:numPr>
        <w:spacing w:after="0"/>
        <w:ind w:hanging="720"/>
        <w:jc w:val="both"/>
      </w:pPr>
      <w:r w:rsidRPr="00462738">
        <w:t>Use of geotextile in underdrain trenches</w:t>
      </w:r>
      <w:r w:rsidR="0078638D">
        <w:t>.</w:t>
      </w:r>
    </w:p>
    <w:p w14:paraId="087BC43C" w14:textId="0058D6CE" w:rsidR="001A15B9" w:rsidRDefault="000828BF" w:rsidP="000A02F1">
      <w:pPr>
        <w:pStyle w:val="BodyText"/>
        <w:numPr>
          <w:ilvl w:val="0"/>
          <w:numId w:val="32"/>
        </w:numPr>
        <w:spacing w:after="0"/>
        <w:ind w:hanging="720"/>
        <w:jc w:val="both"/>
      </w:pPr>
      <w:r w:rsidRPr="00462738">
        <w:t>Soil moisture conditions of material excavated for storm drain pipe trenches</w:t>
      </w:r>
      <w:r w:rsidR="0078638D">
        <w:t>.</w:t>
      </w:r>
    </w:p>
    <w:p w14:paraId="0F23E44D" w14:textId="6B35521C" w:rsidR="001A15B9" w:rsidRDefault="000828BF" w:rsidP="000A02F1">
      <w:pPr>
        <w:pStyle w:val="BodyText"/>
        <w:numPr>
          <w:ilvl w:val="0"/>
          <w:numId w:val="32"/>
        </w:numPr>
        <w:spacing w:after="0"/>
        <w:ind w:hanging="720"/>
        <w:jc w:val="both"/>
      </w:pPr>
      <w:r w:rsidRPr="00462738">
        <w:t>Presence of rock and the need for blasting</w:t>
      </w:r>
      <w:r w:rsidR="0078638D">
        <w:t>.</w:t>
      </w:r>
    </w:p>
    <w:p w14:paraId="6EFA21C8" w14:textId="779BDBA1" w:rsidR="001A15B9" w:rsidRDefault="000828BF" w:rsidP="000A02F1">
      <w:pPr>
        <w:pStyle w:val="BodyText"/>
        <w:numPr>
          <w:ilvl w:val="0"/>
          <w:numId w:val="32"/>
        </w:numPr>
        <w:spacing w:after="0"/>
        <w:ind w:hanging="720"/>
        <w:jc w:val="both"/>
      </w:pPr>
      <w:r w:rsidRPr="00462738">
        <w:t>Presence of contaminated material and need for further assessments</w:t>
      </w:r>
      <w:r w:rsidR="0078638D">
        <w:t>.</w:t>
      </w:r>
    </w:p>
    <w:p w14:paraId="0CEEDE42" w14:textId="77777777" w:rsidR="001A15B9" w:rsidRDefault="000828BF" w:rsidP="000A02F1">
      <w:pPr>
        <w:pStyle w:val="BodyText"/>
        <w:numPr>
          <w:ilvl w:val="0"/>
          <w:numId w:val="32"/>
        </w:numPr>
        <w:spacing w:after="0"/>
        <w:ind w:hanging="720"/>
        <w:jc w:val="both"/>
      </w:pPr>
      <w:r w:rsidRPr="00462738">
        <w:t>Settlement issues anticipated for high embankments due to the presence of compressible soils.</w:t>
      </w:r>
    </w:p>
    <w:p w14:paraId="42D15355" w14:textId="44FF2D16" w:rsidR="001A15B9" w:rsidRDefault="000828BF" w:rsidP="000A02F1">
      <w:pPr>
        <w:pStyle w:val="BodyText"/>
        <w:numPr>
          <w:ilvl w:val="0"/>
          <w:numId w:val="32"/>
        </w:numPr>
        <w:spacing w:after="0"/>
        <w:ind w:hanging="720"/>
        <w:jc w:val="both"/>
      </w:pPr>
      <w:r w:rsidRPr="00462738">
        <w:t>Need for geotechnical instrumentation to monitor the short</w:t>
      </w:r>
      <w:r w:rsidR="0078638D">
        <w:t>-</w:t>
      </w:r>
      <w:r w:rsidRPr="00462738">
        <w:t xml:space="preserve"> and </w:t>
      </w:r>
      <w:r w:rsidR="0078638D" w:rsidRPr="00462738">
        <w:t>long</w:t>
      </w:r>
      <w:r w:rsidR="0078638D">
        <w:t>-</w:t>
      </w:r>
      <w:r w:rsidRPr="00462738">
        <w:t>term stability of various earth fill or structures.</w:t>
      </w:r>
    </w:p>
    <w:p w14:paraId="7376B70C" w14:textId="77777777" w:rsidR="000828BF" w:rsidRDefault="000828BF" w:rsidP="000828BF">
      <w:pPr>
        <w:jc w:val="both"/>
        <w:rPr>
          <w:rFonts w:ascii="Arial" w:hAnsi="Arial" w:cs="Arial"/>
        </w:rPr>
      </w:pPr>
    </w:p>
    <w:p w14:paraId="2C593907" w14:textId="77777777" w:rsidR="000828BF" w:rsidRPr="00462738" w:rsidRDefault="000828BF" w:rsidP="000828BF">
      <w:pPr>
        <w:pStyle w:val="BodyText"/>
        <w:jc w:val="both"/>
      </w:pPr>
      <w:r w:rsidRPr="00462738">
        <w:t>See</w:t>
      </w:r>
      <w:r>
        <w:t xml:space="preserve"> </w:t>
      </w:r>
      <w:hyperlink w:anchor="_Example_Memos" w:history="1">
        <w:r w:rsidRPr="000828BF">
          <w:rPr>
            <w:rStyle w:val="Hyperlink"/>
          </w:rPr>
          <w:t>Example Memos</w:t>
        </w:r>
      </w:hyperlink>
      <w:r>
        <w:t xml:space="preserve"> </w:t>
      </w:r>
      <w:r w:rsidRPr="00462738">
        <w:t>for examples of Advanced Geotechnical Reports.</w:t>
      </w:r>
    </w:p>
    <w:p w14:paraId="75ED8A25" w14:textId="77777777" w:rsidR="000828BF" w:rsidRDefault="000828BF" w:rsidP="00172E64">
      <w:pPr>
        <w:pStyle w:val="Heading2"/>
        <w:numPr>
          <w:ilvl w:val="1"/>
          <w:numId w:val="184"/>
        </w:numPr>
        <w:ind w:left="0" w:firstLine="0"/>
        <w:sectPr w:rsidR="000828BF" w:rsidSect="008B1BAA">
          <w:headerReference w:type="default" r:id="rId323"/>
          <w:footerReference w:type="default" r:id="rId324"/>
          <w:type w:val="continuous"/>
          <w:pgSz w:w="12240" w:h="15840"/>
          <w:pgMar w:top="1440" w:right="1800" w:bottom="1440" w:left="1800" w:header="720" w:footer="720" w:gutter="0"/>
          <w:paperSrc w:first="108" w:other="108"/>
          <w:pgNumType w:chapStyle="1"/>
          <w:cols w:space="720"/>
        </w:sectPr>
      </w:pPr>
    </w:p>
    <w:p w14:paraId="34D9AE05" w14:textId="07A463FC" w:rsidR="00CB4D22" w:rsidRDefault="00CB4D22" w:rsidP="00172E64">
      <w:pPr>
        <w:pStyle w:val="Heading2"/>
        <w:numPr>
          <w:ilvl w:val="1"/>
          <w:numId w:val="184"/>
        </w:numPr>
        <w:spacing w:before="120"/>
        <w:ind w:left="0" w:firstLine="0"/>
      </w:pPr>
      <w:bookmarkStart w:id="589" w:name="_Final_Pavement_&amp;"/>
      <w:bookmarkStart w:id="590" w:name="_Toc479160127"/>
      <w:bookmarkStart w:id="591" w:name="_Toc514058015"/>
      <w:bookmarkStart w:id="592" w:name="_Toc194932411"/>
      <w:bookmarkEnd w:id="589"/>
      <w:r>
        <w:lastRenderedPageBreak/>
        <w:t>Final Pavement &amp; Geotechnical Report</w:t>
      </w:r>
      <w:bookmarkEnd w:id="590"/>
      <w:bookmarkEnd w:id="591"/>
      <w:bookmarkEnd w:id="592"/>
    </w:p>
    <w:p w14:paraId="1DF5C3F8"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786BC5E0" w14:textId="77777777" w:rsidR="00761AF2" w:rsidRDefault="00761AF2" w:rsidP="00761AF2">
      <w:pPr>
        <w:rPr>
          <w:rFonts w:ascii="Arial" w:hAnsi="Arial" w:cs="Arial"/>
          <w:bCs/>
          <w:sz w:val="22"/>
          <w:szCs w:val="22"/>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anagement_Review_&amp;" w:history="1">
        <w:r w:rsidRPr="00761AF2">
          <w:rPr>
            <w:rStyle w:val="Hyperlink"/>
            <w:rFonts w:ascii="Arial" w:hAnsi="Arial" w:cs="Arial"/>
            <w:bCs/>
            <w:sz w:val="16"/>
            <w:szCs w:val="16"/>
          </w:rPr>
          <w:t>Management Review &amp; QA</w:t>
        </w:r>
      </w:hyperlink>
    </w:p>
    <w:p w14:paraId="599318D6" w14:textId="77777777" w:rsidR="00462738" w:rsidRDefault="00462738" w:rsidP="00172E64">
      <w:pPr>
        <w:pStyle w:val="Heading3"/>
        <w:numPr>
          <w:ilvl w:val="2"/>
          <w:numId w:val="184"/>
        </w:numPr>
        <w:ind w:left="0" w:firstLine="0"/>
      </w:pPr>
      <w:r w:rsidRPr="00091C9F">
        <w:t xml:space="preserve">Final </w:t>
      </w:r>
      <w:r w:rsidR="00F11479">
        <w:t xml:space="preserve">Pavement &amp; </w:t>
      </w:r>
      <w:r w:rsidRPr="00091C9F">
        <w:t>Geotechnical Reports</w:t>
      </w:r>
    </w:p>
    <w:p w14:paraId="7B8F1128" w14:textId="77777777" w:rsidR="00462738" w:rsidRDefault="00462738" w:rsidP="00172E64">
      <w:pPr>
        <w:pStyle w:val="Heading4"/>
        <w:numPr>
          <w:ilvl w:val="3"/>
          <w:numId w:val="184"/>
        </w:numPr>
        <w:spacing w:before="240"/>
        <w:ind w:left="0" w:firstLine="0"/>
      </w:pPr>
      <w:r>
        <w:t>Conventionally Adverti</w:t>
      </w:r>
      <w:r w:rsidR="00996B83">
        <w:t>s</w:t>
      </w:r>
      <w:r>
        <w:t>ed Project</w:t>
      </w:r>
    </w:p>
    <w:p w14:paraId="167C07D6" w14:textId="09FA8184" w:rsidR="00462738" w:rsidRPr="00462738" w:rsidRDefault="00462738" w:rsidP="00BE3F24">
      <w:pPr>
        <w:pStyle w:val="BodyText"/>
        <w:jc w:val="both"/>
      </w:pPr>
      <w:r w:rsidRPr="00462738">
        <w:t xml:space="preserve">Most of the projects advertised by </w:t>
      </w:r>
      <w:r w:rsidR="008C7023">
        <w:t>MDOT-SHA</w:t>
      </w:r>
      <w:r w:rsidRPr="00462738">
        <w:t xml:space="preserve"> are Conventionally Advertised Projects and have different stages including planning, design, and construction. Planning, design, and establishing the Contract Documents </w:t>
      </w:r>
      <w:r w:rsidR="00996B83">
        <w:t>are</w:t>
      </w:r>
      <w:r w:rsidRPr="00462738">
        <w:t xml:space="preserve"> performed by </w:t>
      </w:r>
      <w:r w:rsidR="008C7023">
        <w:t>MDOT-SHA</w:t>
      </w:r>
      <w:r w:rsidRPr="00462738">
        <w:t xml:space="preserve">. </w:t>
      </w:r>
    </w:p>
    <w:p w14:paraId="2F45656D" w14:textId="24C6FF45" w:rsidR="00462738" w:rsidRPr="00462738" w:rsidRDefault="00462738" w:rsidP="00BE3F24">
      <w:pPr>
        <w:pStyle w:val="BodyText"/>
        <w:jc w:val="both"/>
      </w:pPr>
      <w:r w:rsidRPr="00462738">
        <w:t xml:space="preserve">The Final </w:t>
      </w:r>
      <w:r w:rsidR="00996B83">
        <w:t xml:space="preserve">Pavement &amp; </w:t>
      </w:r>
      <w:r w:rsidRPr="00462738">
        <w:t>Geotechnical Report (F</w:t>
      </w:r>
      <w:r w:rsidR="00996B83">
        <w:t>PG</w:t>
      </w:r>
      <w:r w:rsidRPr="00462738">
        <w:t xml:space="preserve">R) includes the final </w:t>
      </w:r>
      <w:r w:rsidR="00996B83">
        <w:t xml:space="preserve">pavement and </w:t>
      </w:r>
      <w:r w:rsidRPr="00462738">
        <w:t xml:space="preserve">geotechnical recommendations from PAGD.  </w:t>
      </w:r>
      <w:r w:rsidR="00D868E7">
        <w:t>If a geophysical report was completed</w:t>
      </w:r>
      <w:r w:rsidR="0078638D">
        <w:t>,</w:t>
      </w:r>
      <w:r w:rsidR="00D868E7">
        <w:t xml:space="preserve"> it should be added as an attachment or appendix to the FPGR.  </w:t>
      </w:r>
      <w:r w:rsidRPr="00462738">
        <w:t>The PAGD Engineer will develop the F</w:t>
      </w:r>
      <w:r w:rsidR="00996B83">
        <w:t>P</w:t>
      </w:r>
      <w:r w:rsidRPr="00462738">
        <w:t xml:space="preserve">GR to be reviewed by the PAGD TL, ADC-Design, and DC. </w:t>
      </w:r>
    </w:p>
    <w:p w14:paraId="1450C16B" w14:textId="77777777" w:rsidR="00462738" w:rsidRPr="00462738" w:rsidRDefault="00462738" w:rsidP="00BE3F24">
      <w:pPr>
        <w:pStyle w:val="BodyText"/>
        <w:jc w:val="both"/>
      </w:pPr>
      <w:r w:rsidRPr="00462738">
        <w:t>Certain steps in preparing the F</w:t>
      </w:r>
      <w:r w:rsidR="00996B83">
        <w:t>P</w:t>
      </w:r>
      <w:r w:rsidRPr="00462738">
        <w:t>GR and other procedures might overlap.  It is important to keep in mind that although these procedures are broken out and written into separate sections, they are part of an overall process to provide technically and practically sound recommendation</w:t>
      </w:r>
      <w:r w:rsidR="00996B83">
        <w:t>s</w:t>
      </w:r>
      <w:r w:rsidRPr="00462738">
        <w:t xml:space="preserve">. </w:t>
      </w:r>
    </w:p>
    <w:p w14:paraId="73B355D8" w14:textId="77777777" w:rsidR="003827AB" w:rsidRPr="003827AB" w:rsidRDefault="003827AB" w:rsidP="003827AB">
      <w:pPr>
        <w:pStyle w:val="BodyText"/>
        <w:jc w:val="both"/>
      </w:pPr>
      <w:r w:rsidRPr="003827AB">
        <w:t>Typically, for OHD lead projects, EGD will send their geotechnical report to PAGD. EGD items will be incorporated into PAGD's final Pavement and Geotechnical Report along with EGD's report attached. For OOS lead projects/requests EGD will send their geotechnical report directly to the OOS Project Manager with a copy to PAGD. Whenever EGD sends a geotechnical report separately, PAGD's Designer and Team Leader should be copied.</w:t>
      </w:r>
    </w:p>
    <w:p w14:paraId="4CB83614" w14:textId="0BD39E06" w:rsidR="00462738" w:rsidRPr="00191F55" w:rsidRDefault="00462738" w:rsidP="0078638D">
      <w:pPr>
        <w:pStyle w:val="BodyText"/>
        <w:jc w:val="both"/>
        <w:rPr>
          <w:rFonts w:cs="Arial"/>
        </w:rPr>
      </w:pPr>
      <w:r w:rsidRPr="00462738">
        <w:t>Refer to</w:t>
      </w:r>
      <w:r w:rsidR="00996B83">
        <w:t xml:space="preserve"> </w:t>
      </w:r>
      <w:hyperlink w:anchor="_Example_Memos" w:history="1">
        <w:r w:rsidR="00996B83" w:rsidRPr="00996B83">
          <w:rPr>
            <w:rStyle w:val="Hyperlink"/>
          </w:rPr>
          <w:t>Example Memos</w:t>
        </w:r>
      </w:hyperlink>
      <w:r w:rsidRPr="00462738">
        <w:t xml:space="preserve"> </w:t>
      </w:r>
      <w:r w:rsidR="00996B83">
        <w:t>f</w:t>
      </w:r>
      <w:r w:rsidRPr="00462738">
        <w:t xml:space="preserve">or boilerplate, cover letter, and examples of </w:t>
      </w:r>
      <w:r w:rsidR="00996B83">
        <w:t xml:space="preserve">the </w:t>
      </w:r>
      <w:r w:rsidRPr="00462738">
        <w:t>F</w:t>
      </w:r>
      <w:r w:rsidR="00996B83">
        <w:t>P</w:t>
      </w:r>
      <w:r w:rsidRPr="00462738">
        <w:t>GR for Conventionally Advertised Projects.</w:t>
      </w:r>
    </w:p>
    <w:p w14:paraId="51FF69EB" w14:textId="77777777" w:rsidR="00462738" w:rsidRDefault="00462738" w:rsidP="00172E64">
      <w:pPr>
        <w:pStyle w:val="Heading4"/>
        <w:numPr>
          <w:ilvl w:val="3"/>
          <w:numId w:val="184"/>
        </w:numPr>
        <w:ind w:left="0" w:firstLine="0"/>
      </w:pPr>
      <w:r>
        <w:t>Design-Build</w:t>
      </w:r>
      <w:r w:rsidRPr="00950F17">
        <w:t xml:space="preserve"> Project – </w:t>
      </w:r>
      <w:r w:rsidR="00F11479">
        <w:t>TC Section 3.10.06</w:t>
      </w:r>
    </w:p>
    <w:p w14:paraId="66143350" w14:textId="013BAD9F" w:rsidR="002F139C" w:rsidRPr="0052563D" w:rsidRDefault="00882E98" w:rsidP="00BE3F24">
      <w:pPr>
        <w:pStyle w:val="BodyText"/>
        <w:jc w:val="both"/>
      </w:pPr>
      <w:r w:rsidRPr="00882E98">
        <w:t>Project</w:t>
      </w:r>
      <w:r w:rsidR="00462738" w:rsidRPr="00882E98">
        <w:t xml:space="preserve"> data and design inputs will be provided by PAGD</w:t>
      </w:r>
      <w:r w:rsidR="00F11479">
        <w:t xml:space="preserve"> as part of the Pavement Performance Specification, specifically at the end of TC Section 3.10</w:t>
      </w:r>
      <w:r w:rsidR="00462738" w:rsidRPr="00882E98">
        <w:t>. T</w:t>
      </w:r>
      <w:r w:rsidR="00F11479">
        <w:t>C Section 3.10.06 is</w:t>
      </w:r>
      <w:r w:rsidR="00462738" w:rsidRPr="00882E98">
        <w:t xml:space="preserve"> prepared by PAGD and submitted along with the Pavement and Geotechnical Performance specifications to </w:t>
      </w:r>
      <w:r w:rsidRPr="00882E98">
        <w:t>the project manager</w:t>
      </w:r>
      <w:r w:rsidR="00462738" w:rsidRPr="00882E98">
        <w:t>. The</w:t>
      </w:r>
      <w:r w:rsidR="00F11479">
        <w:t>se</w:t>
      </w:r>
      <w:r w:rsidR="00462738" w:rsidRPr="00882E98">
        <w:t xml:space="preserve"> will be included in the Contract Documents. The Design-Build team bids on</w:t>
      </w:r>
      <w:r w:rsidR="0078638D">
        <w:t xml:space="preserve"> a</w:t>
      </w:r>
      <w:r w:rsidR="00462738" w:rsidRPr="00882E98">
        <w:t xml:space="preserve"> lump sum basis on the Contract. Once the Contract is awarded, the Design-Builder submits pavement and geotechnical designs to PAGD using the </w:t>
      </w:r>
      <w:r w:rsidRPr="00882E98">
        <w:t>project</w:t>
      </w:r>
      <w:r w:rsidR="00462738" w:rsidRPr="00882E98">
        <w:t xml:space="preserve"> data and design inputs included in the Contact Documents. The Design-</w:t>
      </w:r>
      <w:r w:rsidR="00462738" w:rsidRPr="0052563D">
        <w:t>Builder is responsible for performing supplemental field and lab work necessary for the final design.</w:t>
      </w:r>
    </w:p>
    <w:p w14:paraId="30018371" w14:textId="77777777" w:rsidR="00462738" w:rsidRPr="00462738" w:rsidRDefault="00462738" w:rsidP="00BE3F24">
      <w:pPr>
        <w:pStyle w:val="BodyText"/>
        <w:jc w:val="both"/>
      </w:pPr>
      <w:r w:rsidRPr="0052563D">
        <w:t xml:space="preserve">Refer to </w:t>
      </w:r>
      <w:hyperlink w:anchor="_Example_Memos" w:history="1">
        <w:r w:rsidR="00882E98" w:rsidRPr="0052563D">
          <w:rPr>
            <w:rStyle w:val="Hyperlink"/>
          </w:rPr>
          <w:t>Example Memos</w:t>
        </w:r>
      </w:hyperlink>
      <w:r w:rsidR="00882E98" w:rsidRPr="0052563D">
        <w:t xml:space="preserve"> </w:t>
      </w:r>
      <w:r w:rsidRPr="0052563D">
        <w:t xml:space="preserve">for Design-Build Project </w:t>
      </w:r>
      <w:r w:rsidR="00F11479">
        <w:t>templates</w:t>
      </w:r>
      <w:r w:rsidRPr="0052563D">
        <w:t>.</w:t>
      </w:r>
    </w:p>
    <w:p w14:paraId="451C57CC" w14:textId="77777777" w:rsidR="00CB4D22" w:rsidRDefault="00CB4D22" w:rsidP="00BE3F24">
      <w:pPr>
        <w:pStyle w:val="BodyText"/>
        <w:jc w:val="both"/>
        <w:sectPr w:rsidR="00CB4D22" w:rsidSect="008B1BAA">
          <w:headerReference w:type="default" r:id="rId325"/>
          <w:footerReference w:type="default" r:id="rId326"/>
          <w:pgSz w:w="12240" w:h="15840"/>
          <w:pgMar w:top="1440" w:right="1800" w:bottom="1440" w:left="1800" w:header="720" w:footer="720" w:gutter="0"/>
          <w:pgNumType w:chapStyle="1"/>
          <w:cols w:space="720"/>
          <w:docGrid w:linePitch="272"/>
        </w:sectPr>
      </w:pPr>
    </w:p>
    <w:p w14:paraId="6B610D77" w14:textId="360BDF1F" w:rsidR="00CB4D22" w:rsidRPr="00160E58" w:rsidRDefault="00CB4D22" w:rsidP="00172E64">
      <w:pPr>
        <w:pStyle w:val="Heading2"/>
        <w:numPr>
          <w:ilvl w:val="1"/>
          <w:numId w:val="184"/>
        </w:numPr>
        <w:ind w:left="0" w:firstLine="0"/>
      </w:pPr>
      <w:bookmarkStart w:id="593" w:name="_Topsoil_Memo"/>
      <w:bookmarkStart w:id="594" w:name="_Toc479160128"/>
      <w:bookmarkStart w:id="595" w:name="_Toc514058016"/>
      <w:bookmarkStart w:id="596" w:name="_Toc194932412"/>
      <w:bookmarkEnd w:id="593"/>
      <w:r>
        <w:lastRenderedPageBreak/>
        <w:t>Topsoil Memo</w:t>
      </w:r>
      <w:bookmarkEnd w:id="594"/>
      <w:bookmarkEnd w:id="595"/>
      <w:bookmarkEnd w:id="596"/>
    </w:p>
    <w:p w14:paraId="054E7EB4" w14:textId="77777777" w:rsidR="006A2E83" w:rsidRDefault="006A2E83" w:rsidP="00BE3F24">
      <w:pPr>
        <w:jc w:val="both"/>
        <w:rPr>
          <w:rFonts w:ascii="Arial" w:hAnsi="Arial" w:cs="Arial"/>
        </w:rPr>
      </w:pPr>
    </w:p>
    <w:p w14:paraId="2F5F653B" w14:textId="77777777" w:rsidR="006A2E83" w:rsidRPr="006A2E83" w:rsidRDefault="006A2E83" w:rsidP="00BE3F24">
      <w:pPr>
        <w:pStyle w:val="BodyText"/>
        <w:jc w:val="both"/>
      </w:pPr>
      <w:r w:rsidRPr="006A2E83">
        <w:t>Laboratory test results for topsoil and root mat are noted in the Topsoil Memo to provide the PM with the information regarding these materials and to complement the Topography Tabulation which is used for quantity estimates. This information is also used by the Landscape Operations Division in developing the Nutrient Management Plan for a project.</w:t>
      </w:r>
    </w:p>
    <w:p w14:paraId="79BB57DB" w14:textId="77777777" w:rsidR="006A2E83" w:rsidRPr="006A2E83" w:rsidRDefault="006A2E83" w:rsidP="00BE3F24">
      <w:pPr>
        <w:pStyle w:val="BodyText"/>
        <w:jc w:val="both"/>
      </w:pPr>
      <w:r w:rsidRPr="006A2E83">
        <w:t xml:space="preserve">The summary of topsoil results should be tabulated and a memo is developed and submitted to Landscape Operations Division with a copy to the PM. </w:t>
      </w:r>
    </w:p>
    <w:p w14:paraId="23265B14" w14:textId="6A35B3E9" w:rsidR="006A2E83" w:rsidRPr="006A2E83" w:rsidRDefault="006A2E83" w:rsidP="00BE3F24">
      <w:pPr>
        <w:pStyle w:val="BodyText"/>
        <w:jc w:val="both"/>
      </w:pPr>
      <w:r w:rsidRPr="006A2E83">
        <w:t xml:space="preserve">Note that the particle size distribution reports should not be attached </w:t>
      </w:r>
      <w:r w:rsidR="0078638D">
        <w:t>to</w:t>
      </w:r>
      <w:r w:rsidR="0078638D" w:rsidRPr="006A2E83">
        <w:t xml:space="preserve"> </w:t>
      </w:r>
      <w:r w:rsidRPr="006A2E83">
        <w:t xml:space="preserve">the Topsoil Memo. </w:t>
      </w:r>
    </w:p>
    <w:p w14:paraId="1180E51C" w14:textId="77777777" w:rsidR="006A2E83" w:rsidRPr="006A2E83" w:rsidRDefault="006A2E83" w:rsidP="00BE3F24">
      <w:pPr>
        <w:pStyle w:val="BodyText"/>
        <w:jc w:val="both"/>
      </w:pPr>
      <w:r w:rsidRPr="00462738">
        <w:t xml:space="preserve">Refer to </w:t>
      </w:r>
      <w:hyperlink w:anchor="_Example_Memos" w:history="1">
        <w:r w:rsidR="008B5A65" w:rsidRPr="00996B83">
          <w:rPr>
            <w:rStyle w:val="Hyperlink"/>
          </w:rPr>
          <w:t>Example Memos</w:t>
        </w:r>
      </w:hyperlink>
      <w:r w:rsidR="008B5A65">
        <w:t xml:space="preserve"> </w:t>
      </w:r>
      <w:r w:rsidRPr="006A2E83">
        <w:t>for an example of a Topsoil Memo.</w:t>
      </w:r>
    </w:p>
    <w:p w14:paraId="18E22AA8" w14:textId="77777777" w:rsidR="00CB4D22" w:rsidRDefault="00CB4D22" w:rsidP="00BE3F24">
      <w:pPr>
        <w:pStyle w:val="BodyText"/>
        <w:jc w:val="both"/>
        <w:sectPr w:rsidR="00CB4D22" w:rsidSect="008B1BAA">
          <w:headerReference w:type="default" r:id="rId327"/>
          <w:footerReference w:type="default" r:id="rId328"/>
          <w:pgSz w:w="12240" w:h="15840"/>
          <w:pgMar w:top="1440" w:right="1800" w:bottom="1440" w:left="1800" w:header="720" w:footer="720" w:gutter="0"/>
          <w:pgNumType w:chapStyle="1"/>
          <w:cols w:space="720"/>
          <w:docGrid w:linePitch="272"/>
        </w:sectPr>
      </w:pPr>
    </w:p>
    <w:p w14:paraId="378B2D73" w14:textId="413A52E0" w:rsidR="002744D8" w:rsidRDefault="00CB4D22" w:rsidP="00172E64">
      <w:pPr>
        <w:pStyle w:val="Heading2"/>
        <w:numPr>
          <w:ilvl w:val="1"/>
          <w:numId w:val="184"/>
        </w:numPr>
        <w:spacing w:before="120"/>
        <w:ind w:left="0" w:firstLine="0"/>
      </w:pPr>
      <w:bookmarkStart w:id="597" w:name="_Plans,_IFB,_and"/>
      <w:bookmarkStart w:id="598" w:name="_Toc479160129"/>
      <w:bookmarkStart w:id="599" w:name="_Toc514058017"/>
      <w:bookmarkStart w:id="600" w:name="_Toc194932413"/>
      <w:bookmarkEnd w:id="597"/>
      <w:r>
        <w:lastRenderedPageBreak/>
        <w:t>Plans, IFB, and Estimate Comments</w:t>
      </w:r>
      <w:bookmarkEnd w:id="598"/>
      <w:bookmarkEnd w:id="599"/>
      <w:bookmarkEnd w:id="600"/>
      <w:r w:rsidR="000A03EC">
        <w:t xml:space="preserve"> </w:t>
      </w:r>
    </w:p>
    <w:p w14:paraId="715B5404" w14:textId="77777777" w:rsidR="002744D8" w:rsidRDefault="002744D8" w:rsidP="00172E64">
      <w:pPr>
        <w:pStyle w:val="Heading3"/>
        <w:numPr>
          <w:ilvl w:val="2"/>
          <w:numId w:val="184"/>
        </w:numPr>
        <w:ind w:left="0" w:firstLine="0"/>
      </w:pPr>
      <w:r>
        <w:t>Purpose</w:t>
      </w:r>
    </w:p>
    <w:p w14:paraId="57B302FB" w14:textId="4FCA521B" w:rsidR="002744D8" w:rsidRDefault="002744D8" w:rsidP="00BE3F24">
      <w:pPr>
        <w:pStyle w:val="BodyText"/>
        <w:jc w:val="both"/>
      </w:pPr>
      <w:r>
        <w:t xml:space="preserve">The Final Review process is a critical step in the design process to ensure the design effort is documented properly and to ensure designs from other divisions are incorporated accurately into the final advertised package.  A Final Review process ensures the accuracy and the correctness of the contract documents for a project prior to that project being advertised for bids.  The review verifies that the designs, plans, specifications, bid quantities, and estimates are accurate and the most recent.  In addition, it is an opportunity to verify that </w:t>
      </w:r>
      <w:r w:rsidR="00D868E7">
        <w:t xml:space="preserve">reports and </w:t>
      </w:r>
      <w:r>
        <w:t xml:space="preserve">designs from different design groups are brought together in an accurate </w:t>
      </w:r>
      <w:r w:rsidR="008C7023">
        <w:t>MDOT-SHA</w:t>
      </w:r>
      <w:r>
        <w:t xml:space="preserve"> project design.  For </w:t>
      </w:r>
      <w:r w:rsidR="00BB6915">
        <w:t xml:space="preserve">the </w:t>
      </w:r>
      <w:r w:rsidR="00713990">
        <w:t>Pavement and Geotechnical Division</w:t>
      </w:r>
      <w:r>
        <w:t xml:space="preserve"> to prepare for Final Review, one must conduct a review or verify the following:</w:t>
      </w:r>
    </w:p>
    <w:p w14:paraId="098635D2" w14:textId="77777777" w:rsidR="002744D8" w:rsidRPr="00BB6915" w:rsidRDefault="002744D8" w:rsidP="000A02F1">
      <w:pPr>
        <w:numPr>
          <w:ilvl w:val="0"/>
          <w:numId w:val="16"/>
        </w:numPr>
        <w:tabs>
          <w:tab w:val="clear" w:pos="360"/>
          <w:tab w:val="num" w:pos="720"/>
        </w:tabs>
        <w:ind w:left="720" w:hanging="720"/>
        <w:jc w:val="both"/>
        <w:rPr>
          <w:rFonts w:ascii="Arial" w:hAnsi="Arial"/>
          <w:sz w:val="22"/>
          <w:szCs w:val="22"/>
        </w:rPr>
      </w:pPr>
      <w:r w:rsidRPr="00BB6915">
        <w:rPr>
          <w:rFonts w:ascii="Arial" w:hAnsi="Arial"/>
          <w:sz w:val="22"/>
          <w:szCs w:val="22"/>
        </w:rPr>
        <w:t>Verify the accuracy of plans and specifications</w:t>
      </w:r>
    </w:p>
    <w:p w14:paraId="7CCB7C92" w14:textId="5C2924AF" w:rsidR="002744D8" w:rsidRPr="00BB6915" w:rsidRDefault="002744D8" w:rsidP="000A02F1">
      <w:pPr>
        <w:numPr>
          <w:ilvl w:val="0"/>
          <w:numId w:val="16"/>
        </w:numPr>
        <w:tabs>
          <w:tab w:val="clear" w:pos="360"/>
          <w:tab w:val="num" w:pos="720"/>
        </w:tabs>
        <w:ind w:left="720" w:hanging="720"/>
        <w:jc w:val="both"/>
        <w:rPr>
          <w:rFonts w:ascii="Arial" w:hAnsi="Arial"/>
          <w:sz w:val="22"/>
          <w:szCs w:val="22"/>
        </w:rPr>
      </w:pPr>
      <w:r w:rsidRPr="00BB6915">
        <w:rPr>
          <w:rFonts w:ascii="Arial" w:hAnsi="Arial"/>
          <w:sz w:val="22"/>
          <w:szCs w:val="22"/>
        </w:rPr>
        <w:t xml:space="preserve">Ensure proposed pavement </w:t>
      </w:r>
      <w:r w:rsidR="00133264">
        <w:rPr>
          <w:rFonts w:ascii="Arial" w:hAnsi="Arial"/>
          <w:sz w:val="22"/>
          <w:szCs w:val="22"/>
        </w:rPr>
        <w:t xml:space="preserve">and geotechnical </w:t>
      </w:r>
      <w:r w:rsidRPr="00BB6915">
        <w:rPr>
          <w:rFonts w:ascii="Arial" w:hAnsi="Arial"/>
          <w:sz w:val="22"/>
          <w:szCs w:val="22"/>
        </w:rPr>
        <w:t>recommendations can be physically constructed within the constraints of the project</w:t>
      </w:r>
    </w:p>
    <w:p w14:paraId="2576F197" w14:textId="2943F452" w:rsidR="002744D8" w:rsidRPr="00BB6915" w:rsidRDefault="002744D8" w:rsidP="000A02F1">
      <w:pPr>
        <w:numPr>
          <w:ilvl w:val="0"/>
          <w:numId w:val="16"/>
        </w:numPr>
        <w:tabs>
          <w:tab w:val="clear" w:pos="360"/>
          <w:tab w:val="num" w:pos="720"/>
        </w:tabs>
        <w:ind w:left="720" w:hanging="720"/>
        <w:jc w:val="both"/>
        <w:rPr>
          <w:rFonts w:ascii="Arial" w:hAnsi="Arial"/>
          <w:sz w:val="22"/>
          <w:szCs w:val="22"/>
        </w:rPr>
      </w:pPr>
      <w:r w:rsidRPr="00BB6915">
        <w:rPr>
          <w:rFonts w:ascii="Arial" w:hAnsi="Arial"/>
          <w:sz w:val="22"/>
          <w:szCs w:val="22"/>
        </w:rPr>
        <w:t>Verify quantities provided in pavement</w:t>
      </w:r>
      <w:r w:rsidR="001F6F64">
        <w:rPr>
          <w:rFonts w:ascii="Arial" w:hAnsi="Arial"/>
          <w:sz w:val="22"/>
          <w:szCs w:val="22"/>
        </w:rPr>
        <w:t xml:space="preserve"> and geotechnical</w:t>
      </w:r>
      <w:r w:rsidRPr="00BB6915">
        <w:rPr>
          <w:rFonts w:ascii="Arial" w:hAnsi="Arial"/>
          <w:sz w:val="22"/>
          <w:szCs w:val="22"/>
        </w:rPr>
        <w:t xml:space="preserve"> recommendation are accurately included in the advertised documents </w:t>
      </w:r>
    </w:p>
    <w:p w14:paraId="5F1EEDC5" w14:textId="2EE78346" w:rsidR="002744D8" w:rsidRPr="00BB6915" w:rsidRDefault="002744D8" w:rsidP="000A02F1">
      <w:pPr>
        <w:numPr>
          <w:ilvl w:val="0"/>
          <w:numId w:val="16"/>
        </w:numPr>
        <w:tabs>
          <w:tab w:val="clear" w:pos="360"/>
          <w:tab w:val="num" w:pos="720"/>
        </w:tabs>
        <w:ind w:left="720" w:hanging="720"/>
        <w:jc w:val="both"/>
        <w:rPr>
          <w:rFonts w:ascii="Arial" w:hAnsi="Arial"/>
          <w:sz w:val="22"/>
          <w:szCs w:val="22"/>
        </w:rPr>
      </w:pPr>
      <w:r w:rsidRPr="00BB6915">
        <w:rPr>
          <w:rFonts w:ascii="Arial" w:hAnsi="Arial"/>
          <w:sz w:val="22"/>
          <w:szCs w:val="22"/>
        </w:rPr>
        <w:t xml:space="preserve">Verify the pavement </w:t>
      </w:r>
      <w:r w:rsidR="001F6F64">
        <w:rPr>
          <w:rFonts w:ascii="Arial" w:hAnsi="Arial"/>
          <w:sz w:val="22"/>
          <w:szCs w:val="22"/>
        </w:rPr>
        <w:t xml:space="preserve">and geotechnical </w:t>
      </w:r>
      <w:r w:rsidRPr="00BB6915">
        <w:rPr>
          <w:rFonts w:ascii="Arial" w:hAnsi="Arial"/>
          <w:sz w:val="22"/>
          <w:szCs w:val="22"/>
        </w:rPr>
        <w:t>recommendations provided are presented accurately in the advertised documents</w:t>
      </w:r>
    </w:p>
    <w:p w14:paraId="40947615" w14:textId="2F00BF3D" w:rsidR="002744D8" w:rsidRDefault="002744D8" w:rsidP="000A02F1">
      <w:pPr>
        <w:numPr>
          <w:ilvl w:val="0"/>
          <w:numId w:val="16"/>
        </w:numPr>
        <w:tabs>
          <w:tab w:val="clear" w:pos="360"/>
          <w:tab w:val="num" w:pos="720"/>
        </w:tabs>
        <w:ind w:left="720" w:hanging="720"/>
        <w:jc w:val="both"/>
        <w:rPr>
          <w:rFonts w:ascii="Arial" w:hAnsi="Arial"/>
          <w:sz w:val="22"/>
          <w:szCs w:val="22"/>
        </w:rPr>
      </w:pPr>
      <w:r w:rsidRPr="00BB6915">
        <w:rPr>
          <w:rFonts w:ascii="Arial" w:hAnsi="Arial"/>
          <w:sz w:val="22"/>
          <w:szCs w:val="22"/>
        </w:rPr>
        <w:t xml:space="preserve">Reduce the number </w:t>
      </w:r>
      <w:r w:rsidR="0078638D">
        <w:rPr>
          <w:rFonts w:ascii="Arial" w:hAnsi="Arial"/>
          <w:sz w:val="22"/>
          <w:szCs w:val="22"/>
        </w:rPr>
        <w:t xml:space="preserve">of </w:t>
      </w:r>
      <w:r w:rsidR="0078638D" w:rsidRPr="00BB6915">
        <w:rPr>
          <w:rFonts w:ascii="Arial" w:hAnsi="Arial"/>
          <w:sz w:val="22"/>
          <w:szCs w:val="22"/>
        </w:rPr>
        <w:t>Addend</w:t>
      </w:r>
      <w:r w:rsidR="0078638D">
        <w:rPr>
          <w:rFonts w:ascii="Arial" w:hAnsi="Arial"/>
          <w:sz w:val="22"/>
          <w:szCs w:val="22"/>
        </w:rPr>
        <w:t xml:space="preserve">a </w:t>
      </w:r>
      <w:r w:rsidRPr="00BB6915">
        <w:rPr>
          <w:rFonts w:ascii="Arial" w:hAnsi="Arial"/>
          <w:sz w:val="22"/>
          <w:szCs w:val="22"/>
        </w:rPr>
        <w:t>and Extra Work Orders</w:t>
      </w:r>
    </w:p>
    <w:p w14:paraId="1A82E377" w14:textId="77777777" w:rsidR="002744D8" w:rsidRDefault="002744D8" w:rsidP="00172E64">
      <w:pPr>
        <w:pStyle w:val="Heading3"/>
        <w:numPr>
          <w:ilvl w:val="2"/>
          <w:numId w:val="184"/>
        </w:numPr>
        <w:ind w:left="0" w:firstLine="0"/>
        <w:jc w:val="both"/>
      </w:pPr>
      <w:r>
        <w:t>Resource Requirements</w:t>
      </w:r>
    </w:p>
    <w:p w14:paraId="2A5D0BEC" w14:textId="77777777" w:rsidR="002744D8" w:rsidRDefault="002744D8" w:rsidP="000A02F1">
      <w:pPr>
        <w:pStyle w:val="BodyText"/>
        <w:spacing w:after="240"/>
        <w:jc w:val="both"/>
      </w:pPr>
      <w:r>
        <w:t>The Final Review procedure documented below requires the following staffing needs for a typical job:</w:t>
      </w:r>
    </w:p>
    <w:tbl>
      <w:tblPr>
        <w:tblW w:w="8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862"/>
        <w:gridCol w:w="1291"/>
        <w:gridCol w:w="1530"/>
      </w:tblGrid>
      <w:tr w:rsidR="002744D8" w14:paraId="51EA6A19" w14:textId="77777777" w:rsidTr="000A02F1">
        <w:trPr>
          <w:trHeight w:val="288"/>
        </w:trPr>
        <w:tc>
          <w:tcPr>
            <w:tcW w:w="2952" w:type="dxa"/>
            <w:shd w:val="pct15" w:color="auto" w:fill="FFFFFF"/>
            <w:vAlign w:val="center"/>
          </w:tcPr>
          <w:p w14:paraId="4E9F1F58" w14:textId="77777777" w:rsidR="002744D8" w:rsidRDefault="002744D8" w:rsidP="000A02F1">
            <w:pPr>
              <w:jc w:val="center"/>
              <w:rPr>
                <w:rFonts w:ascii="Arial" w:hAnsi="Arial"/>
                <w:b/>
              </w:rPr>
            </w:pPr>
            <w:r>
              <w:rPr>
                <w:rFonts w:ascii="Arial" w:hAnsi="Arial"/>
                <w:b/>
              </w:rPr>
              <w:t>Position</w:t>
            </w:r>
          </w:p>
        </w:tc>
        <w:tc>
          <w:tcPr>
            <w:tcW w:w="2862" w:type="dxa"/>
            <w:shd w:val="pct15" w:color="auto" w:fill="FFFFFF"/>
            <w:vAlign w:val="center"/>
          </w:tcPr>
          <w:p w14:paraId="49825F2A" w14:textId="77777777" w:rsidR="002744D8" w:rsidRDefault="002744D8" w:rsidP="000A02F1">
            <w:pPr>
              <w:jc w:val="center"/>
              <w:rPr>
                <w:rFonts w:ascii="Arial" w:hAnsi="Arial"/>
                <w:b/>
              </w:rPr>
            </w:pPr>
            <w:r>
              <w:rPr>
                <w:rFonts w:ascii="Arial" w:hAnsi="Arial"/>
                <w:b/>
              </w:rPr>
              <w:t>Function</w:t>
            </w:r>
          </w:p>
        </w:tc>
        <w:tc>
          <w:tcPr>
            <w:tcW w:w="1291" w:type="dxa"/>
            <w:shd w:val="pct15" w:color="auto" w:fill="FFFFFF"/>
            <w:vAlign w:val="center"/>
          </w:tcPr>
          <w:p w14:paraId="2989B330" w14:textId="77777777" w:rsidR="002744D8" w:rsidRDefault="002744D8" w:rsidP="000A02F1">
            <w:pPr>
              <w:jc w:val="center"/>
              <w:rPr>
                <w:rFonts w:ascii="Arial" w:hAnsi="Arial"/>
                <w:b/>
              </w:rPr>
            </w:pPr>
            <w:r>
              <w:rPr>
                <w:rFonts w:ascii="Arial" w:hAnsi="Arial"/>
                <w:b/>
              </w:rPr>
              <w:t>Resources</w:t>
            </w:r>
          </w:p>
        </w:tc>
        <w:tc>
          <w:tcPr>
            <w:tcW w:w="1530" w:type="dxa"/>
            <w:shd w:val="pct15" w:color="auto" w:fill="FFFFFF"/>
            <w:vAlign w:val="center"/>
          </w:tcPr>
          <w:p w14:paraId="22AC059E" w14:textId="77777777" w:rsidR="002744D8" w:rsidRDefault="002744D8" w:rsidP="000A02F1">
            <w:pPr>
              <w:jc w:val="center"/>
              <w:rPr>
                <w:rFonts w:ascii="Arial" w:hAnsi="Arial"/>
                <w:b/>
              </w:rPr>
            </w:pPr>
            <w:r>
              <w:rPr>
                <w:rFonts w:ascii="Arial" w:hAnsi="Arial"/>
                <w:b/>
              </w:rPr>
              <w:t>Effort Level</w:t>
            </w:r>
          </w:p>
          <w:p w14:paraId="3C603552" w14:textId="77777777" w:rsidR="002744D8" w:rsidRDefault="002744D8" w:rsidP="000A02F1">
            <w:pPr>
              <w:jc w:val="center"/>
              <w:rPr>
                <w:rFonts w:ascii="Arial" w:hAnsi="Arial"/>
                <w:b/>
              </w:rPr>
            </w:pPr>
            <w:r>
              <w:rPr>
                <w:rFonts w:ascii="Arial" w:hAnsi="Arial"/>
                <w:b/>
              </w:rPr>
              <w:t>(man-hours)</w:t>
            </w:r>
          </w:p>
        </w:tc>
      </w:tr>
      <w:tr w:rsidR="002744D8" w14:paraId="40D86E3A" w14:textId="77777777" w:rsidTr="000A02F1">
        <w:trPr>
          <w:trHeight w:val="288"/>
        </w:trPr>
        <w:tc>
          <w:tcPr>
            <w:tcW w:w="2952" w:type="dxa"/>
            <w:vAlign w:val="center"/>
          </w:tcPr>
          <w:p w14:paraId="28F51CB9" w14:textId="77777777" w:rsidR="002744D8" w:rsidRDefault="002744D8" w:rsidP="000A02F1">
            <w:pPr>
              <w:jc w:val="center"/>
              <w:rPr>
                <w:rFonts w:ascii="Arial" w:hAnsi="Arial"/>
                <w:sz w:val="18"/>
              </w:rPr>
            </w:pPr>
            <w:r>
              <w:rPr>
                <w:rFonts w:ascii="Arial" w:hAnsi="Arial"/>
                <w:sz w:val="18"/>
              </w:rPr>
              <w:t>Staff Engineer or Project Engineer</w:t>
            </w:r>
          </w:p>
        </w:tc>
        <w:tc>
          <w:tcPr>
            <w:tcW w:w="2862" w:type="dxa"/>
            <w:vAlign w:val="center"/>
          </w:tcPr>
          <w:p w14:paraId="5E5B9E4D" w14:textId="77777777" w:rsidR="002744D8" w:rsidRDefault="002744D8" w:rsidP="000A02F1">
            <w:pPr>
              <w:jc w:val="center"/>
              <w:rPr>
                <w:rFonts w:ascii="Arial" w:hAnsi="Arial"/>
                <w:sz w:val="18"/>
              </w:rPr>
            </w:pPr>
            <w:r>
              <w:rPr>
                <w:rFonts w:ascii="Arial" w:hAnsi="Arial"/>
                <w:sz w:val="18"/>
              </w:rPr>
              <w:t>Verify Recommendations</w:t>
            </w:r>
          </w:p>
        </w:tc>
        <w:tc>
          <w:tcPr>
            <w:tcW w:w="1291" w:type="dxa"/>
            <w:vAlign w:val="center"/>
          </w:tcPr>
          <w:p w14:paraId="7BD4D98B" w14:textId="77777777" w:rsidR="002744D8" w:rsidRDefault="002744D8" w:rsidP="000A02F1">
            <w:pPr>
              <w:jc w:val="center"/>
              <w:rPr>
                <w:rFonts w:ascii="Arial" w:hAnsi="Arial"/>
                <w:sz w:val="18"/>
              </w:rPr>
            </w:pPr>
            <w:r>
              <w:rPr>
                <w:rFonts w:ascii="Arial" w:hAnsi="Arial"/>
                <w:sz w:val="18"/>
              </w:rPr>
              <w:t>1</w:t>
            </w:r>
          </w:p>
        </w:tc>
        <w:tc>
          <w:tcPr>
            <w:tcW w:w="1530" w:type="dxa"/>
            <w:vAlign w:val="center"/>
          </w:tcPr>
          <w:p w14:paraId="2FAAA714" w14:textId="77777777" w:rsidR="002744D8" w:rsidRDefault="002744D8" w:rsidP="000A02F1">
            <w:pPr>
              <w:jc w:val="center"/>
              <w:rPr>
                <w:rFonts w:ascii="Arial" w:hAnsi="Arial"/>
                <w:sz w:val="18"/>
              </w:rPr>
            </w:pPr>
            <w:r>
              <w:rPr>
                <w:rFonts w:ascii="Arial" w:hAnsi="Arial"/>
                <w:sz w:val="18"/>
              </w:rPr>
              <w:t>1*</w:t>
            </w:r>
          </w:p>
        </w:tc>
      </w:tr>
      <w:tr w:rsidR="002744D8" w14:paraId="7787C551" w14:textId="77777777" w:rsidTr="000A02F1">
        <w:trPr>
          <w:trHeight w:val="288"/>
        </w:trPr>
        <w:tc>
          <w:tcPr>
            <w:tcW w:w="2952" w:type="dxa"/>
            <w:vAlign w:val="center"/>
          </w:tcPr>
          <w:p w14:paraId="4A09773E" w14:textId="77777777" w:rsidR="002744D8" w:rsidRDefault="002744D8" w:rsidP="000A02F1">
            <w:pPr>
              <w:jc w:val="center"/>
              <w:rPr>
                <w:rFonts w:ascii="Arial" w:hAnsi="Arial"/>
                <w:sz w:val="18"/>
              </w:rPr>
            </w:pPr>
            <w:r>
              <w:rPr>
                <w:rFonts w:ascii="Arial" w:hAnsi="Arial"/>
                <w:sz w:val="18"/>
              </w:rPr>
              <w:t>Staff Engineer or Project Engineer</w:t>
            </w:r>
          </w:p>
        </w:tc>
        <w:tc>
          <w:tcPr>
            <w:tcW w:w="2862" w:type="dxa"/>
            <w:vAlign w:val="center"/>
          </w:tcPr>
          <w:p w14:paraId="68306CFF" w14:textId="77777777" w:rsidR="002744D8" w:rsidRDefault="002744D8" w:rsidP="000A02F1">
            <w:pPr>
              <w:jc w:val="center"/>
              <w:rPr>
                <w:rFonts w:ascii="Arial" w:hAnsi="Arial"/>
                <w:sz w:val="18"/>
              </w:rPr>
            </w:pPr>
            <w:r>
              <w:rPr>
                <w:rFonts w:ascii="Arial" w:hAnsi="Arial"/>
                <w:sz w:val="18"/>
              </w:rPr>
              <w:t>Review Plans</w:t>
            </w:r>
          </w:p>
        </w:tc>
        <w:tc>
          <w:tcPr>
            <w:tcW w:w="1291" w:type="dxa"/>
            <w:vAlign w:val="center"/>
          </w:tcPr>
          <w:p w14:paraId="24D26CEC" w14:textId="77777777" w:rsidR="002744D8" w:rsidRDefault="002744D8" w:rsidP="000A02F1">
            <w:pPr>
              <w:jc w:val="center"/>
              <w:rPr>
                <w:rFonts w:ascii="Arial" w:hAnsi="Arial"/>
                <w:sz w:val="18"/>
              </w:rPr>
            </w:pPr>
            <w:r>
              <w:rPr>
                <w:rFonts w:ascii="Arial" w:hAnsi="Arial"/>
                <w:sz w:val="18"/>
              </w:rPr>
              <w:t>1</w:t>
            </w:r>
          </w:p>
        </w:tc>
        <w:tc>
          <w:tcPr>
            <w:tcW w:w="1530" w:type="dxa"/>
            <w:vAlign w:val="center"/>
          </w:tcPr>
          <w:p w14:paraId="37A95DFF" w14:textId="77777777" w:rsidR="002744D8" w:rsidRDefault="00F21218" w:rsidP="000A02F1">
            <w:pPr>
              <w:jc w:val="center"/>
              <w:rPr>
                <w:rFonts w:ascii="Arial" w:hAnsi="Arial"/>
                <w:sz w:val="18"/>
              </w:rPr>
            </w:pPr>
            <w:r>
              <w:rPr>
                <w:rFonts w:ascii="Arial" w:hAnsi="Arial"/>
                <w:sz w:val="18"/>
              </w:rPr>
              <w:t>3</w:t>
            </w:r>
            <w:r w:rsidR="002744D8">
              <w:rPr>
                <w:rFonts w:ascii="Arial" w:hAnsi="Arial"/>
                <w:sz w:val="18"/>
              </w:rPr>
              <w:t>*</w:t>
            </w:r>
          </w:p>
        </w:tc>
      </w:tr>
      <w:tr w:rsidR="002744D8" w14:paraId="0499E553" w14:textId="77777777" w:rsidTr="000A02F1">
        <w:trPr>
          <w:trHeight w:val="288"/>
        </w:trPr>
        <w:tc>
          <w:tcPr>
            <w:tcW w:w="2952" w:type="dxa"/>
            <w:vAlign w:val="center"/>
          </w:tcPr>
          <w:p w14:paraId="2EA9B1C8" w14:textId="77777777" w:rsidR="002744D8" w:rsidRDefault="002744D8" w:rsidP="000A02F1">
            <w:pPr>
              <w:jc w:val="center"/>
              <w:rPr>
                <w:rFonts w:ascii="Arial" w:hAnsi="Arial"/>
                <w:sz w:val="18"/>
              </w:rPr>
            </w:pPr>
            <w:r>
              <w:rPr>
                <w:rFonts w:ascii="Arial" w:hAnsi="Arial"/>
                <w:sz w:val="18"/>
              </w:rPr>
              <w:t>Staff Engineer or Project Engineer</w:t>
            </w:r>
          </w:p>
        </w:tc>
        <w:tc>
          <w:tcPr>
            <w:tcW w:w="2862" w:type="dxa"/>
            <w:vAlign w:val="center"/>
          </w:tcPr>
          <w:p w14:paraId="3F161B26" w14:textId="77777777" w:rsidR="002744D8" w:rsidRDefault="002744D8" w:rsidP="000A02F1">
            <w:pPr>
              <w:jc w:val="center"/>
              <w:rPr>
                <w:rFonts w:ascii="Arial" w:hAnsi="Arial"/>
                <w:sz w:val="18"/>
              </w:rPr>
            </w:pPr>
            <w:r>
              <w:rPr>
                <w:rFonts w:ascii="Arial" w:hAnsi="Arial"/>
                <w:sz w:val="18"/>
              </w:rPr>
              <w:t>Internal Constructability Review</w:t>
            </w:r>
          </w:p>
        </w:tc>
        <w:tc>
          <w:tcPr>
            <w:tcW w:w="1291" w:type="dxa"/>
            <w:vAlign w:val="center"/>
          </w:tcPr>
          <w:p w14:paraId="4E1C644F" w14:textId="77777777" w:rsidR="002744D8" w:rsidRDefault="002744D8" w:rsidP="000A02F1">
            <w:pPr>
              <w:jc w:val="center"/>
              <w:rPr>
                <w:rFonts w:ascii="Arial" w:hAnsi="Arial"/>
                <w:sz w:val="18"/>
              </w:rPr>
            </w:pPr>
            <w:r>
              <w:rPr>
                <w:rFonts w:ascii="Arial" w:hAnsi="Arial"/>
                <w:sz w:val="18"/>
              </w:rPr>
              <w:t>1</w:t>
            </w:r>
          </w:p>
        </w:tc>
        <w:tc>
          <w:tcPr>
            <w:tcW w:w="1530" w:type="dxa"/>
            <w:vAlign w:val="center"/>
          </w:tcPr>
          <w:p w14:paraId="32410CEE" w14:textId="77777777" w:rsidR="002744D8" w:rsidRDefault="002744D8" w:rsidP="000A02F1">
            <w:pPr>
              <w:jc w:val="center"/>
              <w:rPr>
                <w:rFonts w:ascii="Arial" w:hAnsi="Arial"/>
                <w:sz w:val="18"/>
              </w:rPr>
            </w:pPr>
            <w:r>
              <w:rPr>
                <w:rFonts w:ascii="Arial" w:hAnsi="Arial"/>
                <w:sz w:val="18"/>
              </w:rPr>
              <w:t>1*</w:t>
            </w:r>
          </w:p>
        </w:tc>
      </w:tr>
      <w:tr w:rsidR="002744D8" w14:paraId="14A2AB2D" w14:textId="77777777" w:rsidTr="000A02F1">
        <w:trPr>
          <w:trHeight w:val="288"/>
        </w:trPr>
        <w:tc>
          <w:tcPr>
            <w:tcW w:w="2952" w:type="dxa"/>
            <w:vAlign w:val="center"/>
          </w:tcPr>
          <w:p w14:paraId="1EFF52FB" w14:textId="77777777" w:rsidR="002744D8" w:rsidRDefault="002744D8" w:rsidP="000A02F1">
            <w:pPr>
              <w:jc w:val="center"/>
              <w:rPr>
                <w:rFonts w:ascii="Arial" w:hAnsi="Arial"/>
                <w:sz w:val="18"/>
              </w:rPr>
            </w:pPr>
            <w:r>
              <w:rPr>
                <w:rFonts w:ascii="Arial" w:hAnsi="Arial"/>
                <w:sz w:val="18"/>
              </w:rPr>
              <w:t>Staff Engineer or Project Engineer</w:t>
            </w:r>
          </w:p>
        </w:tc>
        <w:tc>
          <w:tcPr>
            <w:tcW w:w="2862" w:type="dxa"/>
            <w:vAlign w:val="center"/>
          </w:tcPr>
          <w:p w14:paraId="441F3901" w14:textId="77777777" w:rsidR="002744D8" w:rsidRDefault="002744D8" w:rsidP="000A02F1">
            <w:pPr>
              <w:jc w:val="center"/>
              <w:rPr>
                <w:rFonts w:ascii="Arial" w:hAnsi="Arial"/>
                <w:sz w:val="18"/>
              </w:rPr>
            </w:pPr>
            <w:r>
              <w:rPr>
                <w:rFonts w:ascii="Arial" w:hAnsi="Arial"/>
                <w:sz w:val="18"/>
              </w:rPr>
              <w:t>Review Specifications</w:t>
            </w:r>
          </w:p>
        </w:tc>
        <w:tc>
          <w:tcPr>
            <w:tcW w:w="1291" w:type="dxa"/>
            <w:vAlign w:val="center"/>
          </w:tcPr>
          <w:p w14:paraId="7CDAC2B0" w14:textId="77777777" w:rsidR="002744D8" w:rsidRDefault="002744D8" w:rsidP="000A02F1">
            <w:pPr>
              <w:jc w:val="center"/>
              <w:rPr>
                <w:rFonts w:ascii="Arial" w:hAnsi="Arial"/>
                <w:sz w:val="18"/>
              </w:rPr>
            </w:pPr>
            <w:r>
              <w:rPr>
                <w:rFonts w:ascii="Arial" w:hAnsi="Arial"/>
                <w:sz w:val="18"/>
              </w:rPr>
              <w:t>1</w:t>
            </w:r>
          </w:p>
        </w:tc>
        <w:tc>
          <w:tcPr>
            <w:tcW w:w="1530" w:type="dxa"/>
            <w:vAlign w:val="center"/>
          </w:tcPr>
          <w:p w14:paraId="6F6BC648" w14:textId="77777777" w:rsidR="002744D8" w:rsidRDefault="002744D8" w:rsidP="000A02F1">
            <w:pPr>
              <w:jc w:val="center"/>
              <w:rPr>
                <w:rFonts w:ascii="Arial" w:hAnsi="Arial"/>
                <w:sz w:val="18"/>
              </w:rPr>
            </w:pPr>
            <w:r>
              <w:rPr>
                <w:rFonts w:ascii="Arial" w:hAnsi="Arial"/>
                <w:sz w:val="18"/>
              </w:rPr>
              <w:t>1*</w:t>
            </w:r>
          </w:p>
        </w:tc>
      </w:tr>
      <w:tr w:rsidR="002744D8" w14:paraId="623F0A03" w14:textId="77777777" w:rsidTr="000A02F1">
        <w:trPr>
          <w:trHeight w:val="288"/>
        </w:trPr>
        <w:tc>
          <w:tcPr>
            <w:tcW w:w="2952" w:type="dxa"/>
            <w:vAlign w:val="center"/>
          </w:tcPr>
          <w:p w14:paraId="3F8D89EE" w14:textId="77777777" w:rsidR="002744D8" w:rsidRDefault="002744D8" w:rsidP="000A02F1">
            <w:pPr>
              <w:jc w:val="center"/>
              <w:rPr>
                <w:rFonts w:ascii="Arial" w:hAnsi="Arial"/>
                <w:sz w:val="18"/>
              </w:rPr>
            </w:pPr>
            <w:r>
              <w:rPr>
                <w:rFonts w:ascii="Arial" w:hAnsi="Arial"/>
                <w:sz w:val="18"/>
              </w:rPr>
              <w:t>Staff Engineer or Project Engineer</w:t>
            </w:r>
          </w:p>
        </w:tc>
        <w:tc>
          <w:tcPr>
            <w:tcW w:w="2862" w:type="dxa"/>
            <w:vAlign w:val="center"/>
          </w:tcPr>
          <w:p w14:paraId="33F14C39" w14:textId="77777777" w:rsidR="002744D8" w:rsidRDefault="002744D8" w:rsidP="000A02F1">
            <w:pPr>
              <w:jc w:val="center"/>
              <w:rPr>
                <w:rFonts w:ascii="Arial" w:hAnsi="Arial"/>
                <w:sz w:val="18"/>
              </w:rPr>
            </w:pPr>
            <w:r>
              <w:rPr>
                <w:rFonts w:ascii="Arial" w:hAnsi="Arial"/>
                <w:sz w:val="18"/>
              </w:rPr>
              <w:t>Review Estimate and Quantities</w:t>
            </w:r>
          </w:p>
        </w:tc>
        <w:tc>
          <w:tcPr>
            <w:tcW w:w="1291" w:type="dxa"/>
            <w:vAlign w:val="center"/>
          </w:tcPr>
          <w:p w14:paraId="4B05FB9A" w14:textId="77777777" w:rsidR="002744D8" w:rsidRDefault="002744D8" w:rsidP="000A02F1">
            <w:pPr>
              <w:jc w:val="center"/>
              <w:rPr>
                <w:rFonts w:ascii="Arial" w:hAnsi="Arial"/>
                <w:sz w:val="18"/>
              </w:rPr>
            </w:pPr>
            <w:r>
              <w:rPr>
                <w:rFonts w:ascii="Arial" w:hAnsi="Arial"/>
                <w:sz w:val="18"/>
              </w:rPr>
              <w:t>1</w:t>
            </w:r>
          </w:p>
        </w:tc>
        <w:tc>
          <w:tcPr>
            <w:tcW w:w="1530" w:type="dxa"/>
            <w:vAlign w:val="center"/>
          </w:tcPr>
          <w:p w14:paraId="3F921511" w14:textId="77777777" w:rsidR="002744D8" w:rsidRDefault="002744D8" w:rsidP="000A02F1">
            <w:pPr>
              <w:jc w:val="center"/>
              <w:rPr>
                <w:rFonts w:ascii="Arial" w:hAnsi="Arial"/>
                <w:sz w:val="18"/>
              </w:rPr>
            </w:pPr>
            <w:r>
              <w:rPr>
                <w:rFonts w:ascii="Arial" w:hAnsi="Arial"/>
                <w:sz w:val="18"/>
              </w:rPr>
              <w:t>2*</w:t>
            </w:r>
          </w:p>
        </w:tc>
      </w:tr>
    </w:tbl>
    <w:p w14:paraId="276FF0F4" w14:textId="77777777" w:rsidR="002744D8" w:rsidRDefault="002744D8" w:rsidP="00BE3F24">
      <w:pPr>
        <w:pStyle w:val="BodyText3"/>
        <w:jc w:val="both"/>
      </w:pPr>
      <w:r>
        <w:t>* The time required would vary depending on the size and complexity of a project.</w:t>
      </w:r>
    </w:p>
    <w:p w14:paraId="0C7B8EA5" w14:textId="77777777" w:rsidR="002744D8" w:rsidRDefault="002744D8" w:rsidP="00172E64">
      <w:pPr>
        <w:pStyle w:val="Heading3"/>
        <w:numPr>
          <w:ilvl w:val="2"/>
          <w:numId w:val="184"/>
        </w:numPr>
        <w:ind w:left="0" w:firstLine="0"/>
        <w:jc w:val="both"/>
      </w:pPr>
      <w:r>
        <w:t>Procedure</w:t>
      </w:r>
    </w:p>
    <w:p w14:paraId="7B1C06C9" w14:textId="468AD6D0" w:rsidR="002744D8" w:rsidRDefault="002744D8" w:rsidP="00BE3F24">
      <w:pPr>
        <w:pStyle w:val="BodyText"/>
        <w:jc w:val="both"/>
      </w:pPr>
      <w:r>
        <w:t xml:space="preserve">The procedure presented in </w:t>
      </w:r>
      <w:r w:rsidRPr="00BA1669">
        <w:t>the attached flowchart and</w:t>
      </w:r>
      <w:r>
        <w:t xml:space="preserve"> described </w:t>
      </w:r>
      <w:r w:rsidR="0078638D">
        <w:t>below</w:t>
      </w:r>
      <w:r>
        <w:t xml:space="preserve"> should be followed for a typical final review of a project.  Several steps in the Final Review process may be done out of sequence.  It is important that all the steps are completed and not necessarily followed in the order in which they are presented in this section. The Final Review process begins when OMT receives the notice for </w:t>
      </w:r>
      <w:r w:rsidR="00BB6915">
        <w:t>the F</w:t>
      </w:r>
      <w:r>
        <w:t xml:space="preserve">inal </w:t>
      </w:r>
      <w:r w:rsidR="00BB6915">
        <w:t>R</w:t>
      </w:r>
      <w:r>
        <w:t xml:space="preserve">eview meeting and the final review package. The contract document package could include plans and specifications or in the case of a “proposal” only advertisement, details should be included in the specifications.  On projects involving the </w:t>
      </w:r>
      <w:r w:rsidR="00BB6915">
        <w:t xml:space="preserve">Engineering Geology </w:t>
      </w:r>
      <w:r>
        <w:t>Division</w:t>
      </w:r>
      <w:r w:rsidR="00F4523B">
        <w:t xml:space="preserve"> (EGD)</w:t>
      </w:r>
      <w:r>
        <w:t xml:space="preserve">, </w:t>
      </w:r>
      <w:r w:rsidR="00CF65CA">
        <w:t>EGD</w:t>
      </w:r>
      <w:r>
        <w:t xml:space="preserve"> should conduct their own review of the contract documents concentrating on Geotechnical issues.  There will be some overlap between the P</w:t>
      </w:r>
      <w:r w:rsidR="00BB6915">
        <w:t>AGD</w:t>
      </w:r>
      <w:r>
        <w:t xml:space="preserve"> and </w:t>
      </w:r>
      <w:r w:rsidR="00BB6915">
        <w:t>EGD</w:t>
      </w:r>
      <w:r>
        <w:t xml:space="preserve"> review, but it is important to concentrate on our own area of responsi</w:t>
      </w:r>
      <w:r w:rsidRPr="00142C0D">
        <w:t xml:space="preserve">bility and be aware of other’s areas.  All divisions at OMT should work as a team to ensure that all areas OMT is responsible for </w:t>
      </w:r>
      <w:r w:rsidRPr="00142C0D">
        <w:lastRenderedPageBreak/>
        <w:t>are done accurately and are sound designs.  The</w:t>
      </w:r>
      <w:r>
        <w:t xml:space="preserve"> review should begin with the plans first and then the specifications.    </w:t>
      </w:r>
    </w:p>
    <w:p w14:paraId="7D3D4BB8" w14:textId="77777777" w:rsidR="002744D8" w:rsidRDefault="002744D8" w:rsidP="00172E64">
      <w:pPr>
        <w:pStyle w:val="ListNumber"/>
        <w:numPr>
          <w:ilvl w:val="0"/>
          <w:numId w:val="136"/>
        </w:numPr>
        <w:tabs>
          <w:tab w:val="clear" w:pos="1872"/>
          <w:tab w:val="num" w:pos="1080"/>
        </w:tabs>
        <w:spacing w:before="240"/>
        <w:ind w:left="1080" w:hanging="1080"/>
        <w:jc w:val="both"/>
      </w:pPr>
      <w:r>
        <w:t xml:space="preserve">Verify </w:t>
      </w:r>
      <w:r w:rsidR="00A11798">
        <w:t>that EGD</w:t>
      </w:r>
      <w:r>
        <w:t xml:space="preserve"> has received the final contract document package.  Discuss with </w:t>
      </w:r>
      <w:r w:rsidR="00A11798">
        <w:t>the EGD</w:t>
      </w:r>
      <w:r>
        <w:t xml:space="preserve"> contact the areas each division would review and attendance at the Final Review meeting.   </w:t>
      </w:r>
    </w:p>
    <w:p w14:paraId="338ED80B" w14:textId="4EACB682" w:rsidR="002744D8" w:rsidRDefault="002744D8" w:rsidP="00172E64">
      <w:pPr>
        <w:pStyle w:val="ListNumber"/>
        <w:numPr>
          <w:ilvl w:val="0"/>
          <w:numId w:val="136"/>
        </w:numPr>
        <w:ind w:left="1080" w:hanging="1080"/>
        <w:jc w:val="both"/>
      </w:pPr>
      <w:r>
        <w:t>Verify the existing conditions of the roadway have not significantly changed since the pavement recommendations were developed.  These changes include, but are not limited to</w:t>
      </w:r>
      <w:r w:rsidR="00D54431">
        <w:t>,</w:t>
      </w:r>
      <w:r>
        <w:t xml:space="preserve"> the following: project scope, alignment, distress conditions, traffic levels, other geometric improvements.  This step is critical for review of “shelf” projects and projects done by others.   </w:t>
      </w:r>
    </w:p>
    <w:p w14:paraId="0A02DDC4" w14:textId="2355345E" w:rsidR="002744D8" w:rsidRDefault="002744D8" w:rsidP="00172E64">
      <w:pPr>
        <w:pStyle w:val="ListNumber"/>
        <w:numPr>
          <w:ilvl w:val="0"/>
          <w:numId w:val="136"/>
        </w:numPr>
        <w:ind w:left="1080" w:hanging="1080"/>
        <w:jc w:val="both"/>
      </w:pPr>
      <w:r>
        <w:t xml:space="preserve">Verify pavement recommendations used to develop final review package meet our current </w:t>
      </w:r>
      <w:r w:rsidR="008C7023">
        <w:t>MDOT-SHA</w:t>
      </w:r>
      <w:r>
        <w:t xml:space="preserve"> </w:t>
      </w:r>
      <w:r w:rsidR="00713990">
        <w:t>Pavement and Geotechnical Division</w:t>
      </w:r>
      <w:r>
        <w:t xml:space="preserve"> design standards and polic</w:t>
      </w:r>
      <w:r w:rsidR="00A11798">
        <w:t>ies</w:t>
      </w:r>
      <w:r>
        <w:t xml:space="preserve">.  This step is critical for review of “shelf” projects and projects done by others.   </w:t>
      </w:r>
    </w:p>
    <w:p w14:paraId="2B024B6C" w14:textId="636F11B6" w:rsidR="002744D8" w:rsidRDefault="002744D8" w:rsidP="00172E64">
      <w:pPr>
        <w:pStyle w:val="ListNumber"/>
        <w:numPr>
          <w:ilvl w:val="0"/>
          <w:numId w:val="136"/>
        </w:numPr>
        <w:ind w:left="1080" w:hanging="1080"/>
        <w:jc w:val="both"/>
      </w:pPr>
      <w:r>
        <w:t>Verify the material</w:t>
      </w:r>
      <w:r w:rsidR="00A11798">
        <w:t>s</w:t>
      </w:r>
      <w:r>
        <w:t xml:space="preserve"> used in the project follow </w:t>
      </w:r>
      <w:r w:rsidR="008C7023">
        <w:t>MDOT-SHA</w:t>
      </w:r>
      <w:r>
        <w:t xml:space="preserve"> </w:t>
      </w:r>
      <w:r w:rsidR="00713990">
        <w:t>Pavement and Geotechnical Division</w:t>
      </w:r>
      <w:r>
        <w:t xml:space="preserve"> current material policies.  This step is critical for review of “shelf” projects and projects done by others.   </w:t>
      </w:r>
    </w:p>
    <w:p w14:paraId="12142FF3" w14:textId="77777777" w:rsidR="002744D8" w:rsidRDefault="002744D8" w:rsidP="00172E64">
      <w:pPr>
        <w:pStyle w:val="ListNumber"/>
        <w:numPr>
          <w:ilvl w:val="0"/>
          <w:numId w:val="136"/>
        </w:numPr>
        <w:ind w:left="1080" w:hanging="1080"/>
        <w:jc w:val="both"/>
      </w:pPr>
      <w:r>
        <w:t xml:space="preserve">Review the Title sheet of plans to ensure that the traffic data provided is correct and matches the data used in the </w:t>
      </w:r>
      <w:r w:rsidR="00A11798">
        <w:t>pavement</w:t>
      </w:r>
      <w:r>
        <w:t xml:space="preserve"> design.  Verify the </w:t>
      </w:r>
      <w:r w:rsidR="00A11798">
        <w:t>S</w:t>
      </w:r>
      <w:r>
        <w:t xml:space="preserve">oil </w:t>
      </w:r>
      <w:r w:rsidR="00A11798">
        <w:t>L</w:t>
      </w:r>
      <w:r>
        <w:t xml:space="preserve">egend provided on the Title sheet is accurate.  Verify the correct contract number and job description </w:t>
      </w:r>
      <w:r w:rsidR="00A11798">
        <w:t>are</w:t>
      </w:r>
      <w:r>
        <w:t xml:space="preserve"> shown.  </w:t>
      </w:r>
    </w:p>
    <w:p w14:paraId="2B803C38" w14:textId="77777777" w:rsidR="002744D8" w:rsidRDefault="002744D8" w:rsidP="00172E64">
      <w:pPr>
        <w:pStyle w:val="ListNumber"/>
        <w:numPr>
          <w:ilvl w:val="0"/>
          <w:numId w:val="136"/>
        </w:numPr>
        <w:ind w:left="1080" w:hanging="1080"/>
        <w:jc w:val="both"/>
      </w:pPr>
      <w:r>
        <w:t xml:space="preserve">Review the typical section sheets of the plans.  Each of the following items shall be reviewed for accuracy and correctness in the typical section sheets:  </w:t>
      </w:r>
    </w:p>
    <w:p w14:paraId="2E8D9AAF" w14:textId="77777777" w:rsidR="002744D8" w:rsidRDefault="002744D8" w:rsidP="00172E64">
      <w:pPr>
        <w:pStyle w:val="ListBullet"/>
        <w:numPr>
          <w:ilvl w:val="0"/>
          <w:numId w:val="173"/>
        </w:numPr>
        <w:ind w:left="1620" w:hanging="540"/>
      </w:pPr>
      <w:r>
        <w:t>Base-widening locations and dimensions shown.</w:t>
      </w:r>
    </w:p>
    <w:p w14:paraId="0973E68C" w14:textId="77777777" w:rsidR="002744D8" w:rsidRDefault="002744D8" w:rsidP="00172E64">
      <w:pPr>
        <w:pStyle w:val="ListBullet"/>
        <w:numPr>
          <w:ilvl w:val="0"/>
          <w:numId w:val="173"/>
        </w:numPr>
        <w:ind w:left="1620" w:hanging="540"/>
      </w:pPr>
      <w:r>
        <w:t>Width of widening shown accurately.</w:t>
      </w:r>
    </w:p>
    <w:p w14:paraId="3E603A76" w14:textId="77777777" w:rsidR="002744D8" w:rsidRDefault="002744D8" w:rsidP="00172E64">
      <w:pPr>
        <w:pStyle w:val="ListBullet"/>
        <w:numPr>
          <w:ilvl w:val="0"/>
          <w:numId w:val="173"/>
        </w:numPr>
        <w:ind w:left="1620" w:hanging="540"/>
      </w:pPr>
      <w:r>
        <w:t>Reconstruction limits and dimensions shown.</w:t>
      </w:r>
    </w:p>
    <w:p w14:paraId="0CAFA427" w14:textId="77777777" w:rsidR="002744D8" w:rsidRDefault="002744D8" w:rsidP="00172E64">
      <w:pPr>
        <w:pStyle w:val="ListBullet"/>
        <w:numPr>
          <w:ilvl w:val="0"/>
          <w:numId w:val="173"/>
        </w:numPr>
        <w:ind w:left="1620" w:hanging="540"/>
      </w:pPr>
      <w:r>
        <w:t>Pavement details shown or referred to on typical sections.</w:t>
      </w:r>
    </w:p>
    <w:p w14:paraId="49391321" w14:textId="77777777" w:rsidR="002744D8" w:rsidRDefault="002744D8" w:rsidP="00172E64">
      <w:pPr>
        <w:pStyle w:val="ListBullet"/>
        <w:numPr>
          <w:ilvl w:val="0"/>
          <w:numId w:val="173"/>
        </w:numPr>
        <w:ind w:left="1620" w:hanging="540"/>
      </w:pPr>
      <w:r>
        <w:t>Correct typical sections shown within specific station limits.</w:t>
      </w:r>
    </w:p>
    <w:p w14:paraId="2D9FC436" w14:textId="77777777" w:rsidR="002744D8" w:rsidRDefault="002744D8" w:rsidP="00172E64">
      <w:pPr>
        <w:pStyle w:val="ListBullet"/>
        <w:numPr>
          <w:ilvl w:val="0"/>
          <w:numId w:val="173"/>
        </w:numPr>
        <w:ind w:left="1620" w:hanging="540"/>
      </w:pPr>
      <w:r>
        <w:t>Curb and gutter shown in correct location.</w:t>
      </w:r>
    </w:p>
    <w:p w14:paraId="653722AF" w14:textId="77777777" w:rsidR="002744D8" w:rsidRDefault="002744D8" w:rsidP="00172E64">
      <w:pPr>
        <w:pStyle w:val="ListBullet"/>
        <w:numPr>
          <w:ilvl w:val="0"/>
          <w:numId w:val="173"/>
        </w:numPr>
        <w:ind w:left="1620" w:hanging="540"/>
      </w:pPr>
      <w:r>
        <w:t>Varying roadway or widening widths shown as separate typical sections.</w:t>
      </w:r>
    </w:p>
    <w:p w14:paraId="0F3A6FF7" w14:textId="77777777" w:rsidR="002744D8" w:rsidRDefault="002744D8" w:rsidP="00172E64">
      <w:pPr>
        <w:pStyle w:val="ListBullet"/>
        <w:numPr>
          <w:ilvl w:val="0"/>
          <w:numId w:val="173"/>
        </w:numPr>
        <w:ind w:left="1620" w:hanging="540"/>
      </w:pPr>
      <w:r>
        <w:t>Longitudinal underdrain (LUD) shown correctly.</w:t>
      </w:r>
    </w:p>
    <w:p w14:paraId="4FE608C8" w14:textId="77777777" w:rsidR="002744D8" w:rsidRDefault="002744D8" w:rsidP="00172E64">
      <w:pPr>
        <w:pStyle w:val="ListBullet"/>
        <w:numPr>
          <w:ilvl w:val="0"/>
          <w:numId w:val="173"/>
        </w:numPr>
        <w:ind w:left="1620" w:hanging="540"/>
      </w:pPr>
      <w:r>
        <w:t xml:space="preserve">Guardrail placements interfere with LUD. </w:t>
      </w:r>
    </w:p>
    <w:p w14:paraId="46EBC762" w14:textId="0EAA5123" w:rsidR="002744D8" w:rsidRDefault="002744D8" w:rsidP="00172E64">
      <w:pPr>
        <w:pStyle w:val="ListNumber"/>
        <w:numPr>
          <w:ilvl w:val="0"/>
          <w:numId w:val="136"/>
        </w:numPr>
        <w:ind w:left="1080" w:hanging="1080"/>
        <w:jc w:val="both"/>
      </w:pPr>
      <w:r>
        <w:t xml:space="preserve">Review the pavement detail sheets of the plans.  Each of the following items shall be reviewed for accuracy and correctness in the pavement detail sheets:  </w:t>
      </w:r>
    </w:p>
    <w:p w14:paraId="44A9E2C8" w14:textId="77777777" w:rsidR="002744D8" w:rsidRDefault="002744D8" w:rsidP="00172E64">
      <w:pPr>
        <w:pStyle w:val="ListBullet"/>
        <w:numPr>
          <w:ilvl w:val="0"/>
          <w:numId w:val="173"/>
        </w:numPr>
        <w:ind w:left="1620" w:hanging="540"/>
      </w:pPr>
      <w:r>
        <w:t>Pavement details match our recommendations.</w:t>
      </w:r>
    </w:p>
    <w:p w14:paraId="446DFAF5" w14:textId="77777777" w:rsidR="002744D8" w:rsidRDefault="002744D8" w:rsidP="00172E64">
      <w:pPr>
        <w:pStyle w:val="ListBullet"/>
        <w:numPr>
          <w:ilvl w:val="0"/>
          <w:numId w:val="173"/>
        </w:numPr>
        <w:ind w:left="1620" w:hanging="540"/>
      </w:pPr>
      <w:r>
        <w:t>Correct nomenclature and category code numbers.</w:t>
      </w:r>
    </w:p>
    <w:p w14:paraId="4A415CD9" w14:textId="77777777" w:rsidR="002744D8" w:rsidRDefault="002744D8" w:rsidP="00172E64">
      <w:pPr>
        <w:pStyle w:val="ListBullet"/>
        <w:numPr>
          <w:ilvl w:val="0"/>
          <w:numId w:val="173"/>
        </w:numPr>
        <w:ind w:left="1620" w:hanging="540"/>
      </w:pPr>
      <w:r>
        <w:t>Legend items refer to proper material in detail.</w:t>
      </w:r>
    </w:p>
    <w:p w14:paraId="4893D47D" w14:textId="77777777" w:rsidR="002744D8" w:rsidRDefault="002744D8" w:rsidP="00172E64">
      <w:pPr>
        <w:pStyle w:val="ListBullet"/>
        <w:numPr>
          <w:ilvl w:val="0"/>
          <w:numId w:val="173"/>
        </w:numPr>
        <w:ind w:left="1620" w:hanging="540"/>
      </w:pPr>
      <w:r>
        <w:t xml:space="preserve">Notes for details </w:t>
      </w:r>
      <w:r w:rsidR="00A11798">
        <w:t xml:space="preserve">are </w:t>
      </w:r>
      <w:r>
        <w:t>correct.</w:t>
      </w:r>
    </w:p>
    <w:p w14:paraId="6A4B8936" w14:textId="77777777" w:rsidR="002744D8" w:rsidRDefault="002744D8" w:rsidP="00172E64">
      <w:pPr>
        <w:pStyle w:val="ListNumber"/>
        <w:numPr>
          <w:ilvl w:val="0"/>
          <w:numId w:val="136"/>
        </w:numPr>
        <w:ind w:left="1080" w:hanging="1080"/>
        <w:jc w:val="both"/>
      </w:pPr>
      <w:r>
        <w:t xml:space="preserve">Review the plan sheets of the plans.  Each of the following items shall be reviewed for accuracy and correctness in the plan sheets:  </w:t>
      </w:r>
    </w:p>
    <w:p w14:paraId="03379B87" w14:textId="77777777" w:rsidR="002744D8" w:rsidRDefault="00A11798" w:rsidP="00172E64">
      <w:pPr>
        <w:pStyle w:val="ListBullet"/>
        <w:numPr>
          <w:ilvl w:val="0"/>
          <w:numId w:val="173"/>
        </w:numPr>
        <w:ind w:left="1620" w:hanging="540"/>
      </w:pPr>
      <w:r>
        <w:t>Preservation/</w:t>
      </w:r>
      <w:r w:rsidR="002744D8">
        <w:t>Rehabilitation strategy shown correctly with shading/legend of plan sheets.</w:t>
      </w:r>
    </w:p>
    <w:p w14:paraId="07562E89" w14:textId="5DB36FD1" w:rsidR="00184A02" w:rsidRDefault="00184A02" w:rsidP="00172E64">
      <w:pPr>
        <w:pStyle w:val="ListBullet"/>
        <w:numPr>
          <w:ilvl w:val="0"/>
          <w:numId w:val="173"/>
        </w:numPr>
        <w:ind w:left="1620" w:hanging="540"/>
      </w:pPr>
      <w:r>
        <w:t>Ensure Construction Notes are shown on plans.  Construction Notes should be included for LUD and Outlets, existing LUD</w:t>
      </w:r>
      <w:r w:rsidR="00D54431">
        <w:t>,</w:t>
      </w:r>
      <w:r>
        <w:t xml:space="preserve"> and any other items as noted in the PAGD report.</w:t>
      </w:r>
    </w:p>
    <w:p w14:paraId="104402DC" w14:textId="77777777" w:rsidR="002744D8" w:rsidRDefault="002744D8" w:rsidP="00172E64">
      <w:pPr>
        <w:pStyle w:val="ListBullet"/>
        <w:numPr>
          <w:ilvl w:val="0"/>
          <w:numId w:val="173"/>
        </w:numPr>
        <w:ind w:left="1620" w:hanging="540"/>
      </w:pPr>
      <w:r>
        <w:lastRenderedPageBreak/>
        <w:t>Identify possible conflicts with utility or hydraulic construction that may have been added since our recommendations were provided.</w:t>
      </w:r>
    </w:p>
    <w:p w14:paraId="1C2E682A" w14:textId="77777777" w:rsidR="002744D8" w:rsidRDefault="002744D8" w:rsidP="00172E64">
      <w:pPr>
        <w:pStyle w:val="ListBullet"/>
        <w:numPr>
          <w:ilvl w:val="0"/>
          <w:numId w:val="173"/>
        </w:numPr>
        <w:ind w:left="1620" w:hanging="540"/>
      </w:pPr>
      <w:r>
        <w:t>Drain pipes in roadway, wheel path.  Construction parallel to roadway or crossing roadway in transverse direction.  Excavation needs and dimension.  Reconstruction needs or utility patch.  Utility patch details provided.</w:t>
      </w:r>
    </w:p>
    <w:p w14:paraId="3B5ECAF8" w14:textId="77777777" w:rsidR="002744D8" w:rsidRDefault="002744D8" w:rsidP="00172E64">
      <w:pPr>
        <w:pStyle w:val="ListBullet"/>
        <w:numPr>
          <w:ilvl w:val="0"/>
          <w:numId w:val="173"/>
        </w:numPr>
        <w:ind w:left="1620" w:hanging="540"/>
      </w:pPr>
      <w:r>
        <w:t>Bridges – end walls/wingwalls.  Pavement replacement detail.</w:t>
      </w:r>
    </w:p>
    <w:p w14:paraId="3E9D54AA" w14:textId="77777777" w:rsidR="002744D8" w:rsidRDefault="002744D8" w:rsidP="00172E64">
      <w:pPr>
        <w:pStyle w:val="ListBullet"/>
        <w:numPr>
          <w:ilvl w:val="0"/>
          <w:numId w:val="173"/>
        </w:numPr>
        <w:ind w:left="1620" w:hanging="540"/>
      </w:pPr>
      <w:r>
        <w:t xml:space="preserve">Guardrail or other structure placement interferes with pavement section or construction. </w:t>
      </w:r>
    </w:p>
    <w:p w14:paraId="34C5C158" w14:textId="77777777" w:rsidR="002744D8" w:rsidRDefault="002744D8" w:rsidP="00172E64">
      <w:pPr>
        <w:pStyle w:val="ListBullet"/>
        <w:numPr>
          <w:ilvl w:val="0"/>
          <w:numId w:val="173"/>
        </w:numPr>
        <w:ind w:left="1620" w:hanging="540"/>
      </w:pPr>
      <w:r>
        <w:t>Identify between existing, new, and relocated utility lines/drains.</w:t>
      </w:r>
    </w:p>
    <w:p w14:paraId="219720AA" w14:textId="77777777" w:rsidR="002744D8" w:rsidRDefault="002744D8" w:rsidP="00172E64">
      <w:pPr>
        <w:pStyle w:val="ListBullet"/>
        <w:numPr>
          <w:ilvl w:val="0"/>
          <w:numId w:val="173"/>
        </w:numPr>
        <w:ind w:left="1620" w:hanging="540"/>
      </w:pPr>
      <w:r>
        <w:t>Project scope changes or limit adjustments.  Additional roadway area inclusion after recommendations provided.</w:t>
      </w:r>
    </w:p>
    <w:p w14:paraId="3DCCEF7A" w14:textId="77777777" w:rsidR="002744D8" w:rsidRDefault="002744D8" w:rsidP="00172E64">
      <w:pPr>
        <w:pStyle w:val="ListNumber"/>
        <w:numPr>
          <w:ilvl w:val="0"/>
          <w:numId w:val="136"/>
        </w:numPr>
        <w:ind w:left="1080" w:hanging="1080"/>
        <w:jc w:val="both"/>
      </w:pPr>
      <w:r>
        <w:t xml:space="preserve">Review the profile sheets of the plans.  Each of the following items shall be reviewed for accuracy and correctness in the profile sheets:  </w:t>
      </w:r>
    </w:p>
    <w:p w14:paraId="369E0504" w14:textId="77777777" w:rsidR="002744D8" w:rsidRDefault="002744D8" w:rsidP="00172E64">
      <w:pPr>
        <w:pStyle w:val="ListBullet"/>
        <w:numPr>
          <w:ilvl w:val="0"/>
          <w:numId w:val="173"/>
        </w:numPr>
        <w:ind w:left="1620" w:hanging="540"/>
      </w:pPr>
      <w:r>
        <w:t>Centerline roadway elevation changes – increase or decrease.  Verify structural capacity needs.</w:t>
      </w:r>
    </w:p>
    <w:p w14:paraId="67334A96" w14:textId="77777777" w:rsidR="002744D8" w:rsidRDefault="002744D8" w:rsidP="00172E64">
      <w:pPr>
        <w:pStyle w:val="ListBullet"/>
        <w:numPr>
          <w:ilvl w:val="0"/>
          <w:numId w:val="173"/>
        </w:numPr>
        <w:ind w:left="1620" w:hanging="540"/>
      </w:pPr>
      <w:r>
        <w:t>Identify low areas or sump areas for longitudinal underdrain need areas.</w:t>
      </w:r>
    </w:p>
    <w:p w14:paraId="35C1380E" w14:textId="36EC9FE5" w:rsidR="002744D8" w:rsidRDefault="002744D8" w:rsidP="00172E64">
      <w:pPr>
        <w:pStyle w:val="ListBullet"/>
        <w:numPr>
          <w:ilvl w:val="0"/>
          <w:numId w:val="173"/>
        </w:numPr>
        <w:ind w:left="1620" w:hanging="540"/>
      </w:pPr>
      <w:r>
        <w:t xml:space="preserve">Pavement/soil borings </w:t>
      </w:r>
      <w:r w:rsidR="00025589">
        <w:t xml:space="preserve">and geophysical results </w:t>
      </w:r>
      <w:r>
        <w:t>shown with results of field and laboratory testing.</w:t>
      </w:r>
    </w:p>
    <w:p w14:paraId="50904993" w14:textId="77777777" w:rsidR="002744D8" w:rsidRDefault="002744D8" w:rsidP="00172E64">
      <w:pPr>
        <w:pStyle w:val="ListNumber"/>
        <w:numPr>
          <w:ilvl w:val="0"/>
          <w:numId w:val="136"/>
        </w:numPr>
        <w:ind w:left="1080" w:hanging="1080"/>
        <w:jc w:val="both"/>
      </w:pPr>
      <w:r>
        <w:t xml:space="preserve">Review the cross section sheets of plans.  Each of the following items shall be reviewed for accuracy and correctness in the cross section sheets:  </w:t>
      </w:r>
    </w:p>
    <w:p w14:paraId="654FE7EC" w14:textId="77777777" w:rsidR="002744D8" w:rsidRDefault="002744D8" w:rsidP="00172E64">
      <w:pPr>
        <w:pStyle w:val="ListBullet"/>
        <w:numPr>
          <w:ilvl w:val="0"/>
          <w:numId w:val="173"/>
        </w:numPr>
        <w:ind w:left="1620" w:hanging="540"/>
      </w:pPr>
      <w:r>
        <w:t>Base-widening locations and dimensions shown.</w:t>
      </w:r>
    </w:p>
    <w:p w14:paraId="45813694" w14:textId="77777777" w:rsidR="002744D8" w:rsidRDefault="002744D8" w:rsidP="00172E64">
      <w:pPr>
        <w:pStyle w:val="ListBullet"/>
        <w:numPr>
          <w:ilvl w:val="0"/>
          <w:numId w:val="173"/>
        </w:numPr>
        <w:ind w:left="1620" w:hanging="540"/>
      </w:pPr>
      <w:r>
        <w:t>Width of widening shown accurately.</w:t>
      </w:r>
    </w:p>
    <w:p w14:paraId="0917B08C" w14:textId="77777777" w:rsidR="002744D8" w:rsidRDefault="002744D8" w:rsidP="00172E64">
      <w:pPr>
        <w:pStyle w:val="ListBullet"/>
        <w:numPr>
          <w:ilvl w:val="0"/>
          <w:numId w:val="173"/>
        </w:numPr>
        <w:ind w:left="1620" w:hanging="540"/>
      </w:pPr>
      <w:r>
        <w:t>Reconstruction limits and dimensions shown.</w:t>
      </w:r>
    </w:p>
    <w:p w14:paraId="6CDCAA19" w14:textId="77777777" w:rsidR="002744D8" w:rsidRDefault="002744D8" w:rsidP="00172E64">
      <w:pPr>
        <w:pStyle w:val="ListBullet"/>
        <w:numPr>
          <w:ilvl w:val="0"/>
          <w:numId w:val="173"/>
        </w:numPr>
        <w:ind w:left="1620" w:hanging="540"/>
      </w:pPr>
      <w:r>
        <w:t>Full</w:t>
      </w:r>
      <w:r w:rsidR="00A11798">
        <w:t>-</w:t>
      </w:r>
      <w:r>
        <w:t>width roadway elevation changes – increase or decrease.  Check at mainline/shoulder edge for reduction in pavement thickness.</w:t>
      </w:r>
    </w:p>
    <w:p w14:paraId="6876669C" w14:textId="77777777" w:rsidR="002744D8" w:rsidRDefault="002744D8" w:rsidP="00172E64">
      <w:pPr>
        <w:pStyle w:val="ListBullet"/>
        <w:numPr>
          <w:ilvl w:val="0"/>
          <w:numId w:val="173"/>
        </w:numPr>
        <w:ind w:left="1620" w:hanging="540"/>
      </w:pPr>
      <w:r>
        <w:t>Cross slope improvements – removal of material to correct cross slope.  Verify structural capacity needs.  Reconstruction may be needed for reduction requirements.</w:t>
      </w:r>
    </w:p>
    <w:p w14:paraId="214B4D4F" w14:textId="77777777" w:rsidR="002744D8" w:rsidRDefault="002744D8" w:rsidP="00172E64">
      <w:pPr>
        <w:pStyle w:val="ListBullet"/>
        <w:numPr>
          <w:ilvl w:val="0"/>
          <w:numId w:val="173"/>
        </w:numPr>
        <w:ind w:left="1620" w:hanging="540"/>
      </w:pPr>
      <w:r>
        <w:t xml:space="preserve">Identify fill/cut areas.  Identify grading slopes beyond roadway.  Verify Class 1A needs based on fill/cut areas. </w:t>
      </w:r>
    </w:p>
    <w:p w14:paraId="60E192FC" w14:textId="77777777" w:rsidR="002744D8" w:rsidRDefault="002744D8" w:rsidP="00172E64">
      <w:pPr>
        <w:pStyle w:val="ListNumber"/>
        <w:numPr>
          <w:ilvl w:val="0"/>
          <w:numId w:val="136"/>
        </w:numPr>
        <w:ind w:left="1080" w:hanging="1080"/>
        <w:jc w:val="both"/>
      </w:pPr>
      <w:r>
        <w:t xml:space="preserve">Review the grading chart of the plans, applicable in any new construction or widening projects. Each of the following items shall be reviewed for accuracy and correctness in the grading chart:  </w:t>
      </w:r>
    </w:p>
    <w:p w14:paraId="08590B24" w14:textId="77777777" w:rsidR="002744D8" w:rsidRDefault="002744D8" w:rsidP="00172E64">
      <w:pPr>
        <w:pStyle w:val="ListBullet"/>
        <w:numPr>
          <w:ilvl w:val="0"/>
          <w:numId w:val="173"/>
        </w:numPr>
        <w:ind w:left="1620" w:hanging="540"/>
      </w:pPr>
      <w:r>
        <w:t>Ensure quantities from cross sections are transposed correctly.</w:t>
      </w:r>
    </w:p>
    <w:p w14:paraId="5B0D0E43" w14:textId="77777777" w:rsidR="00A26BCB" w:rsidRDefault="00A26BCB" w:rsidP="00172E64">
      <w:pPr>
        <w:pStyle w:val="ListBullet"/>
        <w:numPr>
          <w:ilvl w:val="0"/>
          <w:numId w:val="173"/>
        </w:numPr>
        <w:ind w:left="1620" w:hanging="540"/>
      </w:pPr>
      <w:r>
        <w:t>Verify that Shrinkage/Swell and Densification factors, Class 1-A quantities and material to backfill Class 1-A are included as per PAGD report.</w:t>
      </w:r>
    </w:p>
    <w:p w14:paraId="1EE9044C" w14:textId="77777777" w:rsidR="002744D8" w:rsidRDefault="002744D8" w:rsidP="00172E64">
      <w:pPr>
        <w:pStyle w:val="ListBullet"/>
        <w:numPr>
          <w:ilvl w:val="0"/>
          <w:numId w:val="173"/>
        </w:numPr>
        <w:ind w:left="1620" w:hanging="540"/>
      </w:pPr>
      <w:r>
        <w:t xml:space="preserve">Verify calculation of quantities is correct. </w:t>
      </w:r>
    </w:p>
    <w:p w14:paraId="6C5696EC" w14:textId="77777777" w:rsidR="002744D8" w:rsidRDefault="002744D8" w:rsidP="00172E64">
      <w:pPr>
        <w:pStyle w:val="ListNumber"/>
        <w:numPr>
          <w:ilvl w:val="0"/>
          <w:numId w:val="136"/>
        </w:numPr>
        <w:ind w:left="1080" w:hanging="1080"/>
        <w:jc w:val="both"/>
      </w:pPr>
      <w:r>
        <w:t>Review the Maintenance of Traffic (</w:t>
      </w:r>
      <w:smartTag w:uri="urn:schemas-microsoft-com:office:smarttags" w:element="stockticker">
        <w:r>
          <w:t>MOT</w:t>
        </w:r>
      </w:smartTag>
      <w:r>
        <w:t xml:space="preserve">) sheets of the plans.  Each of the following items shall be reviewed for accuracy and correctness in the </w:t>
      </w:r>
      <w:smartTag w:uri="urn:schemas-microsoft-com:office:smarttags" w:element="stockticker">
        <w:r>
          <w:t>MOT</w:t>
        </w:r>
      </w:smartTag>
      <w:r>
        <w:t xml:space="preserve"> sheets:  </w:t>
      </w:r>
    </w:p>
    <w:p w14:paraId="0D5659E0" w14:textId="77777777" w:rsidR="002744D8" w:rsidRDefault="002744D8" w:rsidP="00172E64">
      <w:pPr>
        <w:pStyle w:val="ListBullet"/>
        <w:numPr>
          <w:ilvl w:val="0"/>
          <w:numId w:val="173"/>
        </w:numPr>
        <w:ind w:left="1620" w:hanging="540"/>
      </w:pPr>
      <w:r>
        <w:t xml:space="preserve">Verify duration of </w:t>
      </w:r>
      <w:smartTag w:uri="urn:schemas-microsoft-com:office:smarttags" w:element="stockticker">
        <w:r>
          <w:t>MOT</w:t>
        </w:r>
      </w:smartTag>
      <w:r>
        <w:t xml:space="preserve"> pavement sections.</w:t>
      </w:r>
    </w:p>
    <w:p w14:paraId="44C2A311" w14:textId="77777777" w:rsidR="002744D8" w:rsidRDefault="002744D8" w:rsidP="00172E64">
      <w:pPr>
        <w:pStyle w:val="ListBullet"/>
        <w:numPr>
          <w:ilvl w:val="0"/>
          <w:numId w:val="173"/>
        </w:numPr>
        <w:ind w:left="1620" w:hanging="540"/>
      </w:pPr>
      <w:r>
        <w:t xml:space="preserve">Verify use of traffic bearing pavement sections exist during all phases of </w:t>
      </w:r>
      <w:smartTag w:uri="urn:schemas-microsoft-com:office:smarttags" w:element="stockticker">
        <w:r>
          <w:t>MOT</w:t>
        </w:r>
      </w:smartTag>
      <w:r>
        <w:t>.</w:t>
      </w:r>
    </w:p>
    <w:p w14:paraId="79F6A1F5" w14:textId="77777777" w:rsidR="002744D8" w:rsidRDefault="002744D8" w:rsidP="00172E64">
      <w:pPr>
        <w:pStyle w:val="ListBullet"/>
        <w:numPr>
          <w:ilvl w:val="0"/>
          <w:numId w:val="173"/>
        </w:numPr>
        <w:ind w:left="1620" w:hanging="540"/>
      </w:pPr>
      <w:r>
        <w:t xml:space="preserve">Ensure construction sequence does not conflict with the use of traffic bearing pavement sections. </w:t>
      </w:r>
    </w:p>
    <w:p w14:paraId="05B02B98" w14:textId="77777777" w:rsidR="002744D8" w:rsidRDefault="002744D8" w:rsidP="00172E64">
      <w:pPr>
        <w:pStyle w:val="ListBullet"/>
        <w:numPr>
          <w:ilvl w:val="0"/>
          <w:numId w:val="173"/>
        </w:numPr>
        <w:ind w:left="1620" w:hanging="540"/>
      </w:pPr>
      <w:smartTag w:uri="urn:schemas-microsoft-com:office:smarttags" w:element="stockticker">
        <w:r>
          <w:t>MOT</w:t>
        </w:r>
      </w:smartTag>
      <w:r>
        <w:t xml:space="preserve"> pavement sections to be used after construction project complete.</w:t>
      </w:r>
    </w:p>
    <w:p w14:paraId="528515CC" w14:textId="77777777" w:rsidR="002744D8" w:rsidRDefault="002744D8" w:rsidP="00172E64">
      <w:pPr>
        <w:pStyle w:val="ListBullet"/>
        <w:numPr>
          <w:ilvl w:val="0"/>
          <w:numId w:val="173"/>
        </w:numPr>
        <w:ind w:left="1620" w:hanging="540"/>
      </w:pPr>
      <w:smartTag w:uri="urn:schemas-microsoft-com:office:smarttags" w:element="stockticker">
        <w:r>
          <w:t>MOT</w:t>
        </w:r>
      </w:smartTag>
      <w:r>
        <w:t xml:space="preserve"> pavement sections able to be constructed.</w:t>
      </w:r>
    </w:p>
    <w:p w14:paraId="56A21A0F" w14:textId="77777777" w:rsidR="002744D8" w:rsidRDefault="002744D8" w:rsidP="00172E64">
      <w:pPr>
        <w:pStyle w:val="ListNumber"/>
        <w:numPr>
          <w:ilvl w:val="0"/>
          <w:numId w:val="136"/>
        </w:numPr>
        <w:ind w:left="1080" w:hanging="1080"/>
        <w:jc w:val="both"/>
      </w:pPr>
      <w:r>
        <w:lastRenderedPageBreak/>
        <w:t>Review the landscaping sheets of the plans.  Ea</w:t>
      </w:r>
      <w:r w:rsidR="003B1662">
        <w:t xml:space="preserve">ch of the following items shall </w:t>
      </w:r>
      <w:r>
        <w:t xml:space="preserve">be reviewed for accuracy and correctness in the landscaping sheets:  </w:t>
      </w:r>
    </w:p>
    <w:p w14:paraId="490F8188" w14:textId="77777777" w:rsidR="002744D8" w:rsidRDefault="002744D8" w:rsidP="00172E64">
      <w:pPr>
        <w:pStyle w:val="ListBullet"/>
        <w:numPr>
          <w:ilvl w:val="0"/>
          <w:numId w:val="173"/>
        </w:numPr>
        <w:ind w:left="1620" w:hanging="540"/>
      </w:pPr>
      <w:r>
        <w:t>Verify any cross walk is traffic bearing and at minimum has the same service life of the pavement rehabilitation.  Use of mortar or bedding sand for paver blocks.</w:t>
      </w:r>
    </w:p>
    <w:p w14:paraId="72E927D4" w14:textId="77777777" w:rsidR="00FD489F" w:rsidRDefault="00FD489F" w:rsidP="00172E64">
      <w:pPr>
        <w:pStyle w:val="ListBullet"/>
        <w:numPr>
          <w:ilvl w:val="0"/>
          <w:numId w:val="173"/>
        </w:numPr>
        <w:ind w:left="1620" w:hanging="540"/>
      </w:pPr>
      <w:r>
        <w:t>Verify if any specifications related to stamped asphalt or decorative PCC are required.</w:t>
      </w:r>
    </w:p>
    <w:p w14:paraId="75A9DFA8" w14:textId="77777777" w:rsidR="002744D8" w:rsidRDefault="002744D8" w:rsidP="00172E64">
      <w:pPr>
        <w:pStyle w:val="ListBullet"/>
        <w:numPr>
          <w:ilvl w:val="0"/>
          <w:numId w:val="173"/>
        </w:numPr>
        <w:ind w:left="1620" w:hanging="540"/>
      </w:pPr>
      <w:r>
        <w:t xml:space="preserve">Verify that any unique landscaping, curbs, or other visual enhancements do not adversely </w:t>
      </w:r>
      <w:r w:rsidR="00A11798">
        <w:t>a</w:t>
      </w:r>
      <w:r>
        <w:t>ffect pavement performance.</w:t>
      </w:r>
      <w:r w:rsidR="00B964F5">
        <w:t xml:space="preserve"> </w:t>
      </w:r>
    </w:p>
    <w:p w14:paraId="10F622C0" w14:textId="77777777" w:rsidR="002744D8" w:rsidRDefault="002744D8" w:rsidP="00172E64">
      <w:pPr>
        <w:pStyle w:val="ListNumber"/>
        <w:numPr>
          <w:ilvl w:val="0"/>
          <w:numId w:val="136"/>
        </w:numPr>
        <w:ind w:left="1080" w:hanging="1080"/>
        <w:jc w:val="both"/>
      </w:pPr>
      <w:r>
        <w:t xml:space="preserve">Review the hydraulic sheets of the plans.  Each of the following items shall be reviewed for accuracy and correctness in the hydraulic sheets:  </w:t>
      </w:r>
    </w:p>
    <w:p w14:paraId="0801238A" w14:textId="36F76170" w:rsidR="002744D8" w:rsidRDefault="002744D8" w:rsidP="00172E64">
      <w:pPr>
        <w:pStyle w:val="ListBullet"/>
        <w:numPr>
          <w:ilvl w:val="0"/>
          <w:numId w:val="173"/>
        </w:numPr>
        <w:ind w:left="1620" w:hanging="540"/>
      </w:pPr>
      <w:r>
        <w:t xml:space="preserve">Ensure stormwater management facilities do not adversely </w:t>
      </w:r>
      <w:r w:rsidR="00FD489F">
        <w:t>a</w:t>
      </w:r>
      <w:r>
        <w:t>ffect structural capacity of</w:t>
      </w:r>
      <w:r w:rsidR="00FD489F">
        <w:t xml:space="preserve"> the</w:t>
      </w:r>
      <w:r>
        <w:t xml:space="preserve"> pavement section</w:t>
      </w:r>
      <w:r w:rsidR="00FD489F">
        <w:t>, either from c</w:t>
      </w:r>
      <w:r>
        <w:t xml:space="preserve">hange of water flow or movement. </w:t>
      </w:r>
    </w:p>
    <w:p w14:paraId="2EBD122B" w14:textId="77777777" w:rsidR="00FD489F" w:rsidRDefault="00FD489F" w:rsidP="00172E64">
      <w:pPr>
        <w:pStyle w:val="ListBullet"/>
        <w:numPr>
          <w:ilvl w:val="0"/>
          <w:numId w:val="173"/>
        </w:numPr>
        <w:ind w:left="1620" w:hanging="540"/>
      </w:pPr>
      <w:r>
        <w:t>Ensure that ditches and other SWM facility inverts are below Top of Subgrade so as not to impact the pavement section.</w:t>
      </w:r>
    </w:p>
    <w:p w14:paraId="266EB578" w14:textId="77777777" w:rsidR="002744D8" w:rsidRDefault="002744D8" w:rsidP="00172E64">
      <w:pPr>
        <w:pStyle w:val="ListNumber"/>
        <w:numPr>
          <w:ilvl w:val="0"/>
          <w:numId w:val="136"/>
        </w:numPr>
        <w:ind w:left="1080" w:hanging="1080"/>
        <w:jc w:val="both"/>
      </w:pPr>
      <w:r>
        <w:t xml:space="preserve">Review project for construction issues.  The construction review shall </w:t>
      </w:r>
      <w:r w:rsidR="005E4C78">
        <w:t xml:space="preserve">be </w:t>
      </w:r>
      <w:r>
        <w:t>used to verify pavement section</w:t>
      </w:r>
      <w:r w:rsidR="005E4C78">
        <w:t>s</w:t>
      </w:r>
      <w:r>
        <w:t xml:space="preserve"> can be constructed given the existing conditions, geometry, </w:t>
      </w:r>
      <w:smartTag w:uri="urn:schemas-microsoft-com:office:smarttags" w:element="stockticker">
        <w:r>
          <w:t>MOT</w:t>
        </w:r>
      </w:smartTag>
      <w:r>
        <w:t xml:space="preserve"> phasing, and materials.  Every unique aspect of each construction project cannot be documented into one procedure.  However, several key construction items are consistent among the majority of the projects.  The following construction items </w:t>
      </w:r>
      <w:r w:rsidR="005E4C78">
        <w:t>can</w:t>
      </w:r>
      <w:r>
        <w:t xml:space="preserve"> </w:t>
      </w:r>
      <w:r w:rsidR="005E4C78">
        <w:t>help</w:t>
      </w:r>
      <w:r>
        <w:t xml:space="preserve"> ease of construction:   </w:t>
      </w:r>
    </w:p>
    <w:p w14:paraId="7809A535" w14:textId="77777777" w:rsidR="002744D8" w:rsidRDefault="002744D8" w:rsidP="00172E64">
      <w:pPr>
        <w:pStyle w:val="ListBullet"/>
        <w:numPr>
          <w:ilvl w:val="0"/>
          <w:numId w:val="173"/>
        </w:numPr>
        <w:ind w:left="1620" w:hanging="540"/>
      </w:pPr>
      <w:r>
        <w:t>Depth of pavement sections compared to adjacent existing or new pavement sections.  Eliminate “bathtub” conditions.  Be consistent with the thickness and material type with adjacent pavement sections.</w:t>
      </w:r>
    </w:p>
    <w:p w14:paraId="2513D054" w14:textId="77777777" w:rsidR="002744D8" w:rsidRDefault="002744D8" w:rsidP="00172E64">
      <w:pPr>
        <w:pStyle w:val="ListBullet"/>
        <w:numPr>
          <w:ilvl w:val="0"/>
          <w:numId w:val="173"/>
        </w:numPr>
        <w:ind w:left="1620" w:hanging="540"/>
      </w:pPr>
      <w:r>
        <w:t>Utility patch and limit of utility work in roadway.  Amount of excavation needed for placement and effect on roadway.</w:t>
      </w:r>
    </w:p>
    <w:p w14:paraId="042BE1F0" w14:textId="4B61E898" w:rsidR="002744D8" w:rsidRDefault="002744D8" w:rsidP="00172E64">
      <w:pPr>
        <w:pStyle w:val="ListBullet"/>
        <w:numPr>
          <w:ilvl w:val="0"/>
          <w:numId w:val="173"/>
        </w:numPr>
        <w:ind w:left="1620" w:hanging="540"/>
      </w:pPr>
      <w:r>
        <w:t>Sequence of construction relative to placement of different pavement sections</w:t>
      </w:r>
      <w:r w:rsidR="00D54431">
        <w:t xml:space="preserve">; e.g., </w:t>
      </w:r>
      <w:r>
        <w:t>ramps, mainlines, and intersecting roadways.</w:t>
      </w:r>
    </w:p>
    <w:p w14:paraId="2287693D" w14:textId="356A24EF" w:rsidR="002744D8" w:rsidRDefault="002744D8" w:rsidP="00172E64">
      <w:pPr>
        <w:pStyle w:val="ListBullet"/>
        <w:numPr>
          <w:ilvl w:val="0"/>
          <w:numId w:val="173"/>
        </w:numPr>
        <w:ind w:left="1620" w:hanging="540"/>
      </w:pPr>
      <w:r>
        <w:t xml:space="preserve">Sequence of construction relative to </w:t>
      </w:r>
      <w:smartTag w:uri="urn:schemas-microsoft-com:office:smarttags" w:element="stockticker">
        <w:r>
          <w:t>MOT</w:t>
        </w:r>
      </w:smartTag>
      <w:r>
        <w:t xml:space="preserve"> and structural capacity of pavement sections</w:t>
      </w:r>
      <w:r w:rsidR="00D54431">
        <w:t>; e.g.,</w:t>
      </w:r>
      <w:r>
        <w:t xml:space="preserve"> shoulders and turn lanes used for mainline traffic.  Also, </w:t>
      </w:r>
      <w:r w:rsidR="00B913D8">
        <w:t>mill</w:t>
      </w:r>
      <w:r>
        <w:t>ing, patching, and widening operations relative to functional and structural capacity.</w:t>
      </w:r>
    </w:p>
    <w:p w14:paraId="3FDD13B7" w14:textId="5E8A0AF6" w:rsidR="002744D8" w:rsidRDefault="002744D8" w:rsidP="00172E64">
      <w:pPr>
        <w:pStyle w:val="ListBullet"/>
        <w:numPr>
          <w:ilvl w:val="0"/>
          <w:numId w:val="173"/>
        </w:numPr>
        <w:ind w:left="1620" w:hanging="540"/>
      </w:pPr>
      <w:r>
        <w:t>Width of paving less than 4</w:t>
      </w:r>
      <w:r w:rsidR="00D54431">
        <w:t>'</w:t>
      </w:r>
      <w:r>
        <w:t>.  Areas less than 4</w:t>
      </w:r>
      <w:r w:rsidR="00D54431">
        <w:t>'</w:t>
      </w:r>
      <w:r>
        <w:t xml:space="preserve"> in width develop compaction issues with HMA material.</w:t>
      </w:r>
    </w:p>
    <w:p w14:paraId="1F4A230E" w14:textId="77777777" w:rsidR="002744D8" w:rsidRDefault="002744D8" w:rsidP="00172E64">
      <w:pPr>
        <w:pStyle w:val="ListBullet"/>
        <w:numPr>
          <w:ilvl w:val="0"/>
          <w:numId w:val="173"/>
        </w:numPr>
        <w:ind w:left="1620" w:hanging="540"/>
      </w:pPr>
      <w:r>
        <w:t>Location and placement of longitudinal underdrain.</w:t>
      </w:r>
    </w:p>
    <w:p w14:paraId="7A2FA62D" w14:textId="77777777" w:rsidR="002744D8" w:rsidRDefault="002744D8" w:rsidP="00172E64">
      <w:pPr>
        <w:pStyle w:val="ListBullet"/>
        <w:numPr>
          <w:ilvl w:val="0"/>
          <w:numId w:val="173"/>
        </w:numPr>
        <w:ind w:left="1620" w:hanging="540"/>
      </w:pPr>
      <w:r>
        <w:t xml:space="preserve">Percentage of reconstruction and resurfacing on a project with respect to the final ride quality and the structural integrity of the project. </w:t>
      </w:r>
    </w:p>
    <w:p w14:paraId="1107013D" w14:textId="77777777" w:rsidR="002744D8" w:rsidRDefault="002744D8" w:rsidP="00172E64">
      <w:pPr>
        <w:pStyle w:val="ListBullet"/>
        <w:numPr>
          <w:ilvl w:val="0"/>
          <w:numId w:val="173"/>
        </w:numPr>
        <w:ind w:left="1620" w:hanging="540"/>
      </w:pPr>
      <w:r>
        <w:t>Joint layout and steel design and construction of rigid pavements.</w:t>
      </w:r>
    </w:p>
    <w:p w14:paraId="54C7426C" w14:textId="77777777" w:rsidR="002744D8" w:rsidRDefault="002744D8" w:rsidP="00172E64">
      <w:pPr>
        <w:pStyle w:val="ListNumber"/>
        <w:numPr>
          <w:ilvl w:val="0"/>
          <w:numId w:val="136"/>
        </w:numPr>
        <w:ind w:left="1080" w:hanging="1080"/>
        <w:jc w:val="both"/>
      </w:pPr>
      <w:r>
        <w:t xml:space="preserve">Review the specifications.  Each of the following items shall be reviewed for accuracy and correctness in the specifications:  </w:t>
      </w:r>
    </w:p>
    <w:p w14:paraId="2F5253BD" w14:textId="77777777" w:rsidR="002744D8" w:rsidRDefault="002744D8" w:rsidP="00172E64">
      <w:pPr>
        <w:pStyle w:val="ListBullet"/>
        <w:numPr>
          <w:ilvl w:val="0"/>
          <w:numId w:val="173"/>
        </w:numPr>
        <w:ind w:left="1620" w:hanging="540"/>
      </w:pPr>
      <w:r>
        <w:t xml:space="preserve">Ensure specifications provided by </w:t>
      </w:r>
      <w:r w:rsidR="005E4C78">
        <w:t xml:space="preserve">the </w:t>
      </w:r>
      <w:r w:rsidR="00713990">
        <w:t xml:space="preserve">Pavement </w:t>
      </w:r>
      <w:r w:rsidR="005E4C78">
        <w:t>&amp;</w:t>
      </w:r>
      <w:r w:rsidR="00713990">
        <w:t xml:space="preserve"> Geotechnical Division</w:t>
      </w:r>
      <w:r>
        <w:t xml:space="preserve"> are included and unedited. </w:t>
      </w:r>
    </w:p>
    <w:p w14:paraId="0463402C" w14:textId="70D370E2" w:rsidR="002744D8" w:rsidRDefault="002744D8" w:rsidP="00172E64">
      <w:pPr>
        <w:pStyle w:val="ListBullet"/>
        <w:numPr>
          <w:ilvl w:val="0"/>
          <w:numId w:val="173"/>
        </w:numPr>
        <w:ind w:left="1620" w:hanging="540"/>
      </w:pPr>
      <w:r>
        <w:t xml:space="preserve">Verify specifications in </w:t>
      </w:r>
      <w:r w:rsidR="005E4C78">
        <w:t xml:space="preserve">the </w:t>
      </w:r>
      <w:r w:rsidR="00FD489F">
        <w:t xml:space="preserve">200, </w:t>
      </w:r>
      <w:r>
        <w:t>500 and 900 section</w:t>
      </w:r>
      <w:r w:rsidR="005E4C78">
        <w:t>s</w:t>
      </w:r>
      <w:r>
        <w:t xml:space="preserve"> have the most recent and accurate information and revision dates.  </w:t>
      </w:r>
    </w:p>
    <w:p w14:paraId="6EA18889" w14:textId="017D2065" w:rsidR="002744D8" w:rsidRDefault="002744D8" w:rsidP="00172E64">
      <w:pPr>
        <w:pStyle w:val="ListBullet"/>
        <w:numPr>
          <w:ilvl w:val="0"/>
          <w:numId w:val="173"/>
        </w:numPr>
        <w:ind w:left="1620" w:hanging="540"/>
      </w:pPr>
      <w:r>
        <w:t>Verify correct nomenclature used in “other” special provisions provided</w:t>
      </w:r>
      <w:r w:rsidR="00D54431">
        <w:t xml:space="preserve"> by</w:t>
      </w:r>
      <w:r>
        <w:t xml:space="preserve"> other divisions.</w:t>
      </w:r>
    </w:p>
    <w:p w14:paraId="45FFE495" w14:textId="7A9E6F0E" w:rsidR="002744D8" w:rsidRDefault="002744D8" w:rsidP="00172E64">
      <w:pPr>
        <w:pStyle w:val="ListBullet"/>
        <w:numPr>
          <w:ilvl w:val="0"/>
          <w:numId w:val="173"/>
        </w:numPr>
        <w:ind w:left="1620" w:hanging="540"/>
      </w:pPr>
      <w:r>
        <w:t xml:space="preserve">If no plans will be used for advertised package, follow </w:t>
      </w:r>
      <w:r w:rsidR="00D54431">
        <w:t>S</w:t>
      </w:r>
      <w:r>
        <w:t xml:space="preserve">teps 2 through 4 above with the details provided in the specifications.   </w:t>
      </w:r>
    </w:p>
    <w:p w14:paraId="04F108DE" w14:textId="77777777" w:rsidR="002744D8" w:rsidRDefault="002744D8" w:rsidP="00172E64">
      <w:pPr>
        <w:pStyle w:val="ListNumber"/>
        <w:numPr>
          <w:ilvl w:val="0"/>
          <w:numId w:val="136"/>
        </w:numPr>
        <w:ind w:left="1080" w:hanging="1080"/>
        <w:jc w:val="both"/>
      </w:pPr>
      <w:r>
        <w:lastRenderedPageBreak/>
        <w:t xml:space="preserve">Review bid estimate and quantities.  Communication with the project owners is needed in this step to ensure the same correct area values are used to develop quantities.  Each of the following items shall be reviewed for accuracy and correctness in the bid estimate and quantities:  </w:t>
      </w:r>
    </w:p>
    <w:p w14:paraId="16D93E89" w14:textId="77777777" w:rsidR="002744D8" w:rsidRDefault="002744D8" w:rsidP="00172E64">
      <w:pPr>
        <w:pStyle w:val="ListBullet"/>
        <w:numPr>
          <w:ilvl w:val="0"/>
          <w:numId w:val="173"/>
        </w:numPr>
        <w:ind w:left="1620" w:hanging="540"/>
      </w:pPr>
      <w:r>
        <w:t xml:space="preserve">Verify all quantities needed for pavement rehabilitation are identified and presented accurately. </w:t>
      </w:r>
    </w:p>
    <w:p w14:paraId="2740D81A" w14:textId="2B176E17" w:rsidR="002744D8" w:rsidRDefault="002744D8" w:rsidP="00172E64">
      <w:pPr>
        <w:pStyle w:val="ListBullet"/>
        <w:numPr>
          <w:ilvl w:val="0"/>
          <w:numId w:val="173"/>
        </w:numPr>
        <w:ind w:left="1620" w:hanging="540"/>
      </w:pPr>
      <w:r>
        <w:t>Verify actual quantity provided for each item in recommendation is presented accurately</w:t>
      </w:r>
      <w:r w:rsidR="00D54431">
        <w:t>; e.g.,</w:t>
      </w:r>
      <w:r>
        <w:t xml:space="preserve"> patching, Class 1A, removal/replacement of unsuitable material, and longitudinal underdrain</w:t>
      </w:r>
      <w:r w:rsidR="00FD489F">
        <w:t xml:space="preserve"> and outlets</w:t>
      </w:r>
      <w:r>
        <w:t xml:space="preserve">. </w:t>
      </w:r>
    </w:p>
    <w:p w14:paraId="7DAF181C" w14:textId="77777777" w:rsidR="002744D8" w:rsidRDefault="002744D8" w:rsidP="00172E64">
      <w:pPr>
        <w:pStyle w:val="ListBullet"/>
        <w:numPr>
          <w:ilvl w:val="0"/>
          <w:numId w:val="173"/>
        </w:numPr>
        <w:ind w:left="1620" w:hanging="540"/>
      </w:pPr>
      <w:r>
        <w:t>Verify nomenclature of material types is correct and consistent with plans and specifications.</w:t>
      </w:r>
    </w:p>
    <w:p w14:paraId="413CF2FE" w14:textId="3CE72187" w:rsidR="002744D8" w:rsidRDefault="002744D8" w:rsidP="00172E64">
      <w:pPr>
        <w:pStyle w:val="ListBullet"/>
        <w:numPr>
          <w:ilvl w:val="0"/>
          <w:numId w:val="173"/>
        </w:numPr>
        <w:ind w:left="1620" w:hanging="540"/>
      </w:pPr>
      <w:r>
        <w:t>Verify unit costs for paving items are reasonable and accurate.</w:t>
      </w:r>
    </w:p>
    <w:p w14:paraId="5A42C7D3" w14:textId="70A817CD" w:rsidR="002744D8" w:rsidRDefault="002744D8" w:rsidP="00172E64">
      <w:pPr>
        <w:pStyle w:val="ListBullet"/>
        <w:numPr>
          <w:ilvl w:val="0"/>
          <w:numId w:val="173"/>
        </w:numPr>
        <w:ind w:left="1620" w:hanging="540"/>
      </w:pPr>
      <w:r>
        <w:t>Verify actual quantity calculated by project owner provided for each item in the recommendation is presented accurately</w:t>
      </w:r>
      <w:r w:rsidR="00D54431">
        <w:t>; e.g.,</w:t>
      </w:r>
      <w:r>
        <w:t xml:space="preserve"> HMA tonnage or area, </w:t>
      </w:r>
      <w:r w:rsidR="00B913D8">
        <w:t>mill</w:t>
      </w:r>
      <w:r>
        <w:t xml:space="preserve">ing, joint tape, etc. </w:t>
      </w:r>
    </w:p>
    <w:p w14:paraId="4EF8C36A" w14:textId="77777777" w:rsidR="002744D8" w:rsidRDefault="002744D8" w:rsidP="00172E64">
      <w:pPr>
        <w:pStyle w:val="ListNumber"/>
        <w:numPr>
          <w:ilvl w:val="0"/>
          <w:numId w:val="136"/>
        </w:numPr>
        <w:ind w:left="1080" w:hanging="1080"/>
        <w:jc w:val="both"/>
      </w:pPr>
      <w:r>
        <w:t xml:space="preserve">Provide oral comments from </w:t>
      </w:r>
      <w:r w:rsidR="00FE659F">
        <w:t xml:space="preserve">the </w:t>
      </w:r>
      <w:r>
        <w:t>design team (P</w:t>
      </w:r>
      <w:r w:rsidR="00FE659F">
        <w:t>AGD and EGD</w:t>
      </w:r>
      <w:r>
        <w:t xml:space="preserve">) review at </w:t>
      </w:r>
      <w:r w:rsidR="00FE659F">
        <w:t>the F</w:t>
      </w:r>
      <w:r>
        <w:t xml:space="preserve">inal </w:t>
      </w:r>
      <w:r w:rsidR="00FE659F">
        <w:t>R</w:t>
      </w:r>
      <w:r>
        <w:t xml:space="preserve">eview meeting.  If attendance at meeting is not possible, provide written comments from </w:t>
      </w:r>
      <w:r w:rsidR="00FE659F">
        <w:t xml:space="preserve">the </w:t>
      </w:r>
      <w:r>
        <w:t xml:space="preserve">design team to </w:t>
      </w:r>
      <w:r w:rsidR="00FE659F">
        <w:t xml:space="preserve">the </w:t>
      </w:r>
      <w:r>
        <w:t xml:space="preserve">project owner.  If comments are significant or project is large and complex, attendance at meeting and written comments are recommended.  Comments can be provided via e-mail or memorandum depending on significance of project.  Place written comments into project file folder. </w:t>
      </w:r>
    </w:p>
    <w:p w14:paraId="386DAA93" w14:textId="77777777" w:rsidR="002744D8" w:rsidRDefault="002744D8" w:rsidP="00BE3F24">
      <w:pPr>
        <w:rPr>
          <w:rFonts w:ascii="Arial" w:hAnsi="Arial"/>
        </w:rPr>
      </w:pPr>
    </w:p>
    <w:p w14:paraId="6235A6E9" w14:textId="77777777" w:rsidR="002744D8" w:rsidRDefault="002744D8" w:rsidP="00916953"/>
    <w:p w14:paraId="3F512CDC" w14:textId="77777777" w:rsidR="002744D8" w:rsidRDefault="002744D8" w:rsidP="00172E64">
      <w:pPr>
        <w:pStyle w:val="Heading1"/>
        <w:numPr>
          <w:ilvl w:val="0"/>
          <w:numId w:val="184"/>
        </w:numPr>
        <w:ind w:left="0" w:firstLine="0"/>
        <w:sectPr w:rsidR="002744D8" w:rsidSect="008B1BAA">
          <w:headerReference w:type="default" r:id="rId329"/>
          <w:footerReference w:type="default" r:id="rId330"/>
          <w:pgSz w:w="12240" w:h="15840"/>
          <w:pgMar w:top="1440" w:right="1800" w:bottom="1440" w:left="1800" w:header="720" w:footer="720" w:gutter="0"/>
          <w:pgNumType w:chapStyle="1"/>
          <w:cols w:space="720"/>
          <w:docGrid w:linePitch="272"/>
        </w:sectPr>
      </w:pPr>
    </w:p>
    <w:p w14:paraId="2832C333" w14:textId="77777777" w:rsidR="000B2FCD" w:rsidRPr="00160E58" w:rsidRDefault="000B2FCD" w:rsidP="00172E64">
      <w:pPr>
        <w:pStyle w:val="Heading2"/>
        <w:numPr>
          <w:ilvl w:val="1"/>
          <w:numId w:val="184"/>
        </w:numPr>
        <w:spacing w:before="120"/>
        <w:ind w:left="0" w:firstLine="0"/>
      </w:pPr>
      <w:bookmarkStart w:id="601" w:name="_Other_Reports"/>
      <w:bookmarkStart w:id="602" w:name="_Toc479160130"/>
      <w:bookmarkStart w:id="603" w:name="_Toc514058018"/>
      <w:bookmarkStart w:id="604" w:name="_Toc194932414"/>
      <w:bookmarkStart w:id="605" w:name="_Toc17274563"/>
      <w:bookmarkEnd w:id="601"/>
      <w:r>
        <w:lastRenderedPageBreak/>
        <w:t>Other Reports</w:t>
      </w:r>
      <w:bookmarkEnd w:id="602"/>
      <w:bookmarkEnd w:id="603"/>
      <w:bookmarkEnd w:id="604"/>
    </w:p>
    <w:p w14:paraId="3E7735BF" w14:textId="77777777" w:rsidR="00D51344" w:rsidRPr="00335937" w:rsidRDefault="00D51344" w:rsidP="00172E64">
      <w:pPr>
        <w:pStyle w:val="Heading3"/>
        <w:numPr>
          <w:ilvl w:val="2"/>
          <w:numId w:val="184"/>
        </w:numPr>
        <w:spacing w:after="240"/>
        <w:ind w:left="0" w:firstLine="0"/>
      </w:pPr>
      <w:r w:rsidRPr="000050EF">
        <w:t>Other Geotechnical Reports</w:t>
      </w:r>
    </w:p>
    <w:p w14:paraId="7E55BF64" w14:textId="77777777" w:rsidR="00D51344" w:rsidRDefault="00D51344" w:rsidP="00172E64">
      <w:pPr>
        <w:pStyle w:val="Heading4"/>
        <w:numPr>
          <w:ilvl w:val="3"/>
          <w:numId w:val="184"/>
        </w:numPr>
        <w:ind w:left="0" w:firstLine="0"/>
      </w:pPr>
      <w:r>
        <w:t>Routine Geotechnical Supplemental Reports</w:t>
      </w:r>
    </w:p>
    <w:p w14:paraId="1DE120F2" w14:textId="2A14AAA3" w:rsidR="00D51344" w:rsidRPr="00D51344" w:rsidRDefault="00D51344" w:rsidP="00BE3F24">
      <w:pPr>
        <w:pStyle w:val="BodyText"/>
        <w:jc w:val="both"/>
      </w:pPr>
      <w:r w:rsidRPr="00D51344">
        <w:t xml:space="preserve">Supplemental geotechnical reports may be required for projects in cases where some geotechnical-related issues were not addressed initially in the FGR. This usually happens when the scope of the project is altered at later design stages due to the introduction of some new elements which need design,  any issues arising during the construction (ex. subgrade undercutting, unstable embankment foundations, groundwater issues, materials selection, change orders, </w:t>
      </w:r>
      <w:r w:rsidR="002917AA" w:rsidRPr="00D51344">
        <w:t>etc.</w:t>
      </w:r>
      <w:r w:rsidRPr="00D51344">
        <w:t xml:space="preserve">). </w:t>
      </w:r>
    </w:p>
    <w:p w14:paraId="60B9AC98" w14:textId="77777777" w:rsidR="00D51344" w:rsidRPr="00D51344" w:rsidRDefault="00D51344" w:rsidP="00BE3F24">
      <w:pPr>
        <w:pStyle w:val="BodyText"/>
        <w:jc w:val="both"/>
      </w:pPr>
      <w:r w:rsidRPr="00462738">
        <w:t>Refer to</w:t>
      </w:r>
      <w:r w:rsidR="00166887">
        <w:t xml:space="preserve"> </w:t>
      </w:r>
      <w:hyperlink w:anchor="_Example_Memos" w:history="1">
        <w:r w:rsidR="00166887" w:rsidRPr="00166887">
          <w:rPr>
            <w:rStyle w:val="Hyperlink"/>
          </w:rPr>
          <w:t>Example Memos</w:t>
        </w:r>
      </w:hyperlink>
      <w:r w:rsidRPr="00462738">
        <w:t xml:space="preserve"> </w:t>
      </w:r>
      <w:r w:rsidRPr="00D51344">
        <w:t>for an example of Routine Geotechnical Supplemental Report.</w:t>
      </w:r>
    </w:p>
    <w:p w14:paraId="1BC44D73" w14:textId="77777777" w:rsidR="00D51344" w:rsidRDefault="00D51344" w:rsidP="00172E64">
      <w:pPr>
        <w:pStyle w:val="Heading4"/>
        <w:numPr>
          <w:ilvl w:val="3"/>
          <w:numId w:val="184"/>
        </w:numPr>
        <w:ind w:left="0" w:firstLine="0"/>
      </w:pPr>
      <w:r>
        <w:t>Non-Routine Geotechnical Reports</w:t>
      </w:r>
    </w:p>
    <w:p w14:paraId="54DBF9EF" w14:textId="77777777" w:rsidR="00D51344" w:rsidRPr="00D51344" w:rsidRDefault="00D51344" w:rsidP="00BE3F24">
      <w:pPr>
        <w:pStyle w:val="BodyText"/>
        <w:jc w:val="both"/>
      </w:pPr>
      <w:r w:rsidRPr="00D51344">
        <w:t xml:space="preserve">Non-routine geotechnical reports are often required apart from routine pavement and geotechnical reports for major projects (large scale intersection improvements, new bridges, embankments over highly compressible soils, etc.). These reports enable the PM to select the most cost-effective alternatives for various design elements. These types of reports are developed by EGD or with the EGD’s assistance. Some examples of areas covered in the report include, but are not limited to, Mechanically Stabilized Earth (MSE) wall feasibility, settlement analysis for bridge approach embankments, evaluating types of deep foundations for embankments on highly compressible soils, slope stability analysis and slope failure remedial measures, recommendations on geotechnical instrumentation, sinkhole treatments, pavement subsidence, etc. </w:t>
      </w:r>
    </w:p>
    <w:p w14:paraId="161038C4" w14:textId="77777777" w:rsidR="00A45A5C" w:rsidRDefault="00A45A5C" w:rsidP="00172E64">
      <w:pPr>
        <w:pStyle w:val="Heading3"/>
        <w:numPr>
          <w:ilvl w:val="2"/>
          <w:numId w:val="185"/>
        </w:numPr>
        <w:tabs>
          <w:tab w:val="left" w:pos="1440"/>
        </w:tabs>
      </w:pPr>
      <w:r>
        <w:t>Design-Build Projects</w:t>
      </w:r>
    </w:p>
    <w:p w14:paraId="4FD87CB9" w14:textId="659D84D4" w:rsidR="00A45A5C" w:rsidRDefault="00A45A5C" w:rsidP="00A45A5C">
      <w:pPr>
        <w:jc w:val="both"/>
        <w:rPr>
          <w:rFonts w:ascii="Arial" w:hAnsi="Arial" w:cs="Arial"/>
          <w:sz w:val="22"/>
          <w:szCs w:val="22"/>
        </w:rPr>
      </w:pPr>
      <w:r>
        <w:rPr>
          <w:rFonts w:ascii="Arial" w:hAnsi="Arial" w:cs="Arial"/>
          <w:sz w:val="22"/>
          <w:szCs w:val="22"/>
        </w:rPr>
        <w:t>Design-Build (DB) projects are different from traditional design-bid-build projects, in that for PAGD</w:t>
      </w:r>
      <w:r w:rsidR="004A13E3">
        <w:rPr>
          <w:rFonts w:ascii="Arial" w:hAnsi="Arial" w:cs="Arial"/>
          <w:sz w:val="22"/>
          <w:szCs w:val="22"/>
        </w:rPr>
        <w:t>,</w:t>
      </w:r>
      <w:r>
        <w:rPr>
          <w:rFonts w:ascii="Arial" w:hAnsi="Arial" w:cs="Arial"/>
          <w:sz w:val="22"/>
          <w:szCs w:val="22"/>
        </w:rPr>
        <w:t xml:space="preserve"> pavement sections are provided in addition to the input and design criteria used to develop those pavement sections, in case the DB team wishes to design and construct alternative pavement sections.</w:t>
      </w:r>
    </w:p>
    <w:p w14:paraId="3F359DD9" w14:textId="77777777" w:rsidR="00A45A5C" w:rsidRDefault="00A45A5C" w:rsidP="00A45A5C">
      <w:pPr>
        <w:jc w:val="both"/>
        <w:rPr>
          <w:rFonts w:ascii="Arial" w:hAnsi="Arial" w:cs="Arial"/>
          <w:sz w:val="22"/>
          <w:szCs w:val="22"/>
        </w:rPr>
      </w:pPr>
    </w:p>
    <w:p w14:paraId="06F5631B" w14:textId="77777777" w:rsidR="00A45A5C" w:rsidRPr="00A45A5C" w:rsidRDefault="00A45A5C" w:rsidP="00A45A5C">
      <w:pPr>
        <w:jc w:val="both"/>
        <w:rPr>
          <w:rFonts w:ascii="Arial" w:hAnsi="Arial" w:cs="Arial"/>
          <w:sz w:val="22"/>
          <w:szCs w:val="22"/>
        </w:rPr>
      </w:pPr>
      <w:r>
        <w:rPr>
          <w:rFonts w:ascii="Arial" w:hAnsi="Arial" w:cs="Arial"/>
          <w:sz w:val="22"/>
          <w:szCs w:val="22"/>
        </w:rPr>
        <w:t>At a minimum for DB projects, PAGD provides a cover page memo, TC Section 3.10.0</w:t>
      </w:r>
      <w:r w:rsidR="001C6B2C">
        <w:rPr>
          <w:rFonts w:ascii="Arial" w:hAnsi="Arial" w:cs="Arial"/>
          <w:sz w:val="22"/>
          <w:szCs w:val="22"/>
        </w:rPr>
        <w:t>1 through 3.10.05</w:t>
      </w:r>
      <w:r>
        <w:rPr>
          <w:rFonts w:ascii="Arial" w:hAnsi="Arial" w:cs="Arial"/>
          <w:sz w:val="22"/>
          <w:szCs w:val="22"/>
        </w:rPr>
        <w:t xml:space="preserve"> (which is the pavement performance spec, and is not to be altered), TC Section 3.10.06 (an add-on that is to be altered), and TC Section 3.14 (the geotechnical performance spec, not to be a</w:t>
      </w:r>
      <w:r w:rsidRPr="00A45A5C">
        <w:rPr>
          <w:rFonts w:ascii="Arial" w:hAnsi="Arial" w:cs="Arial"/>
          <w:sz w:val="22"/>
          <w:szCs w:val="22"/>
        </w:rPr>
        <w:t xml:space="preserve">ltered).  Refer to </w:t>
      </w:r>
      <w:hyperlink w:anchor="_Example_Memos" w:history="1">
        <w:r w:rsidRPr="00A45A5C">
          <w:rPr>
            <w:rStyle w:val="Hyperlink"/>
            <w:rFonts w:ascii="Arial" w:hAnsi="Arial" w:cs="Arial"/>
            <w:sz w:val="22"/>
            <w:szCs w:val="22"/>
          </w:rPr>
          <w:t>Example Memos</w:t>
        </w:r>
      </w:hyperlink>
      <w:r w:rsidRPr="00A45A5C">
        <w:rPr>
          <w:rFonts w:ascii="Arial" w:hAnsi="Arial" w:cs="Arial"/>
          <w:sz w:val="22"/>
          <w:szCs w:val="22"/>
        </w:rPr>
        <w:t xml:space="preserve"> for </w:t>
      </w:r>
      <w:r>
        <w:rPr>
          <w:rFonts w:ascii="Arial" w:hAnsi="Arial" w:cs="Arial"/>
          <w:sz w:val="22"/>
          <w:szCs w:val="22"/>
        </w:rPr>
        <w:t>these templates.</w:t>
      </w:r>
    </w:p>
    <w:p w14:paraId="0EE7AB0C" w14:textId="77777777" w:rsidR="00D51344" w:rsidRDefault="00736156" w:rsidP="00172E64">
      <w:pPr>
        <w:pStyle w:val="Heading3"/>
        <w:numPr>
          <w:ilvl w:val="2"/>
          <w:numId w:val="185"/>
        </w:numPr>
      </w:pPr>
      <w:r>
        <w:t>Access Management</w:t>
      </w:r>
      <w:r w:rsidR="00D51344">
        <w:t xml:space="preserve"> </w:t>
      </w:r>
      <w:r>
        <w:t xml:space="preserve">Permit </w:t>
      </w:r>
      <w:r w:rsidR="00D51344">
        <w:t>Project Reviews</w:t>
      </w:r>
    </w:p>
    <w:p w14:paraId="6B8B8597" w14:textId="31535FD2" w:rsidR="00D51344" w:rsidRPr="00D51344" w:rsidRDefault="00D51344" w:rsidP="00BE3F24">
      <w:pPr>
        <w:jc w:val="both"/>
        <w:rPr>
          <w:rFonts w:ascii="Arial" w:hAnsi="Arial" w:cs="Arial"/>
          <w:sz w:val="22"/>
          <w:szCs w:val="22"/>
        </w:rPr>
      </w:pPr>
      <w:r w:rsidRPr="00D51344">
        <w:rPr>
          <w:rFonts w:ascii="Arial" w:hAnsi="Arial" w:cs="Arial"/>
          <w:sz w:val="22"/>
          <w:szCs w:val="22"/>
        </w:rPr>
        <w:t xml:space="preserve">The </w:t>
      </w:r>
      <w:r w:rsidR="008C7023">
        <w:rPr>
          <w:rFonts w:ascii="Arial" w:hAnsi="Arial" w:cs="Arial"/>
          <w:sz w:val="22"/>
          <w:szCs w:val="22"/>
        </w:rPr>
        <w:t>MDOT-SHA</w:t>
      </w:r>
      <w:r w:rsidRPr="00D51344">
        <w:rPr>
          <w:rFonts w:ascii="Arial" w:hAnsi="Arial" w:cs="Arial"/>
          <w:sz w:val="22"/>
          <w:szCs w:val="22"/>
        </w:rPr>
        <w:t xml:space="preserve"> is authorized under Maryland law to control access along the State highways in order to provide and maintain a safe and properly functioning highway system. Control of access is accomplished through a number of statutory and regulatory mechanisms, including the acquisition of certain real property rights and the permit process. A permit must be obtained from SHA prior to any construction activity within the State’s right-of-way (ROW), including</w:t>
      </w:r>
      <w:r w:rsidR="004A13E3">
        <w:rPr>
          <w:rFonts w:ascii="Arial" w:hAnsi="Arial" w:cs="Arial"/>
          <w:sz w:val="22"/>
          <w:szCs w:val="22"/>
        </w:rPr>
        <w:t>,</w:t>
      </w:r>
      <w:r w:rsidRPr="00D51344">
        <w:rPr>
          <w:rFonts w:ascii="Arial" w:hAnsi="Arial" w:cs="Arial"/>
          <w:sz w:val="22"/>
          <w:szCs w:val="22"/>
        </w:rPr>
        <w:t xml:space="preserve"> but not limited to</w:t>
      </w:r>
      <w:r w:rsidR="004A13E3">
        <w:rPr>
          <w:rFonts w:ascii="Arial" w:hAnsi="Arial" w:cs="Arial"/>
          <w:sz w:val="22"/>
          <w:szCs w:val="22"/>
        </w:rPr>
        <w:t>,</w:t>
      </w:r>
      <w:r w:rsidRPr="00D51344">
        <w:rPr>
          <w:rFonts w:ascii="Arial" w:hAnsi="Arial" w:cs="Arial"/>
          <w:sz w:val="22"/>
          <w:szCs w:val="22"/>
        </w:rPr>
        <w:t xml:space="preserve"> the construction of driveways, entrances, and street connections for site development and subdivision access.</w:t>
      </w:r>
    </w:p>
    <w:p w14:paraId="6290D49C" w14:textId="77777777" w:rsidR="00D51344" w:rsidRPr="00D51344" w:rsidRDefault="00D51344" w:rsidP="00BE3F24">
      <w:pPr>
        <w:jc w:val="both"/>
        <w:rPr>
          <w:rFonts w:ascii="Arial" w:hAnsi="Arial" w:cs="Arial"/>
          <w:sz w:val="22"/>
          <w:szCs w:val="22"/>
        </w:rPr>
      </w:pPr>
    </w:p>
    <w:p w14:paraId="69394E18" w14:textId="49009C28" w:rsidR="00D51344" w:rsidRPr="00D51344" w:rsidRDefault="008C7023" w:rsidP="00BE3F24">
      <w:pPr>
        <w:jc w:val="both"/>
        <w:rPr>
          <w:rFonts w:ascii="Arial" w:hAnsi="Arial" w:cs="Arial"/>
          <w:sz w:val="22"/>
          <w:szCs w:val="22"/>
        </w:rPr>
      </w:pPr>
      <w:r>
        <w:rPr>
          <w:rFonts w:ascii="Arial" w:hAnsi="Arial" w:cs="Arial"/>
          <w:sz w:val="22"/>
          <w:szCs w:val="22"/>
        </w:rPr>
        <w:t>MDOT-SHA</w:t>
      </w:r>
      <w:r w:rsidR="00D51344" w:rsidRPr="00D51344">
        <w:rPr>
          <w:rFonts w:ascii="Arial" w:hAnsi="Arial" w:cs="Arial"/>
          <w:sz w:val="22"/>
          <w:szCs w:val="22"/>
        </w:rPr>
        <w:t xml:space="preserve">’s </w:t>
      </w:r>
      <w:r w:rsidR="00D51344">
        <w:rPr>
          <w:rFonts w:ascii="Arial" w:hAnsi="Arial" w:cs="Arial"/>
          <w:sz w:val="22"/>
          <w:szCs w:val="22"/>
        </w:rPr>
        <w:t>A</w:t>
      </w:r>
      <w:r w:rsidR="00D51344" w:rsidRPr="00D51344">
        <w:rPr>
          <w:rFonts w:ascii="Arial" w:hAnsi="Arial" w:cs="Arial"/>
          <w:sz w:val="22"/>
          <w:szCs w:val="22"/>
        </w:rPr>
        <w:t xml:space="preserve">ccess </w:t>
      </w:r>
      <w:r w:rsidR="00D51344">
        <w:rPr>
          <w:rFonts w:ascii="Arial" w:hAnsi="Arial" w:cs="Arial"/>
          <w:sz w:val="22"/>
          <w:szCs w:val="22"/>
        </w:rPr>
        <w:t>Management</w:t>
      </w:r>
      <w:r w:rsidR="00D51344" w:rsidRPr="00D51344">
        <w:rPr>
          <w:rFonts w:ascii="Arial" w:hAnsi="Arial" w:cs="Arial"/>
          <w:sz w:val="22"/>
          <w:szCs w:val="22"/>
        </w:rPr>
        <w:t xml:space="preserve"> Division (A</w:t>
      </w:r>
      <w:r w:rsidR="00D51344">
        <w:rPr>
          <w:rFonts w:ascii="Arial" w:hAnsi="Arial" w:cs="Arial"/>
          <w:sz w:val="22"/>
          <w:szCs w:val="22"/>
        </w:rPr>
        <w:t>M</w:t>
      </w:r>
      <w:r w:rsidR="00D51344" w:rsidRPr="00D51344">
        <w:rPr>
          <w:rFonts w:ascii="Arial" w:hAnsi="Arial" w:cs="Arial"/>
          <w:sz w:val="22"/>
          <w:szCs w:val="22"/>
        </w:rPr>
        <w:t xml:space="preserve">D) administers regulations pertaining to commercial and subdivision access to State highways and issues permits for the construction of approved entrances, street connections, and highway capacity improvements. The regulation and permitting of certain residential driveway access, utility </w:t>
      </w:r>
      <w:r w:rsidR="00D51344" w:rsidRPr="00D51344">
        <w:rPr>
          <w:rFonts w:ascii="Arial" w:hAnsi="Arial" w:cs="Arial"/>
          <w:sz w:val="22"/>
          <w:szCs w:val="22"/>
        </w:rPr>
        <w:lastRenderedPageBreak/>
        <w:t xml:space="preserve">work, and other construction activity </w:t>
      </w:r>
      <w:r w:rsidR="004A13E3">
        <w:rPr>
          <w:rFonts w:ascii="Arial" w:hAnsi="Arial" w:cs="Arial"/>
          <w:sz w:val="22"/>
          <w:szCs w:val="22"/>
        </w:rPr>
        <w:t>are</w:t>
      </w:r>
      <w:r w:rsidR="004A13E3" w:rsidRPr="00D51344">
        <w:rPr>
          <w:rFonts w:ascii="Arial" w:hAnsi="Arial" w:cs="Arial"/>
          <w:sz w:val="22"/>
          <w:szCs w:val="22"/>
        </w:rPr>
        <w:t xml:space="preserve"> </w:t>
      </w:r>
      <w:r w:rsidR="00D51344" w:rsidRPr="00D51344">
        <w:rPr>
          <w:rFonts w:ascii="Arial" w:hAnsi="Arial" w:cs="Arial"/>
          <w:sz w:val="22"/>
          <w:szCs w:val="22"/>
        </w:rPr>
        <w:t xml:space="preserve">handled by </w:t>
      </w:r>
      <w:r>
        <w:rPr>
          <w:rFonts w:ascii="Arial" w:hAnsi="Arial" w:cs="Arial"/>
          <w:sz w:val="22"/>
          <w:szCs w:val="22"/>
        </w:rPr>
        <w:t>MDOT-SHA</w:t>
      </w:r>
      <w:r w:rsidR="00D51344" w:rsidRPr="00D51344">
        <w:rPr>
          <w:rFonts w:ascii="Arial" w:hAnsi="Arial" w:cs="Arial"/>
          <w:sz w:val="22"/>
          <w:szCs w:val="22"/>
        </w:rPr>
        <w:t>’s seven District Offices. In any case, the design and construction of all improvements on State property must adhere to the State’s standards, specifications, and accepted highway engineering practices. This is ensured through a comprehensive plan review and inspection process.</w:t>
      </w:r>
    </w:p>
    <w:p w14:paraId="5675DE5C" w14:textId="77777777" w:rsidR="00D51344" w:rsidRPr="00D51344" w:rsidRDefault="00D51344" w:rsidP="00BE3F24">
      <w:pPr>
        <w:jc w:val="both"/>
        <w:rPr>
          <w:rFonts w:ascii="Arial" w:hAnsi="Arial" w:cs="Arial"/>
          <w:sz w:val="22"/>
          <w:szCs w:val="22"/>
        </w:rPr>
      </w:pPr>
    </w:p>
    <w:p w14:paraId="02E061FE" w14:textId="77777777" w:rsidR="00D51344" w:rsidRPr="00D51344" w:rsidRDefault="00D51344" w:rsidP="00BE3F24">
      <w:pPr>
        <w:jc w:val="both"/>
        <w:rPr>
          <w:rFonts w:ascii="Arial" w:hAnsi="Arial" w:cs="Arial"/>
          <w:sz w:val="22"/>
          <w:szCs w:val="22"/>
        </w:rPr>
      </w:pPr>
      <w:r w:rsidRPr="00D51344">
        <w:rPr>
          <w:rFonts w:ascii="Arial" w:hAnsi="Arial" w:cs="Arial"/>
          <w:sz w:val="22"/>
          <w:szCs w:val="22"/>
        </w:rPr>
        <w:t>During plan review, proposed access is carefully evaluated with respect to highway safety, traffic conditions, and functional requirements. Only properly designed access points that are necessary for the approved site use and consistent with the functional requirements of the highway may be permitted. To ensure appropriate control of vehicular movements and to provide the means to handle site-generated traffic, SHA may require the construction of frontage channelization, turning lanes, and other highway improvements as a condition of the access permit.</w:t>
      </w:r>
    </w:p>
    <w:p w14:paraId="751BF655" w14:textId="77777777" w:rsidR="00D51344" w:rsidRPr="00D51344" w:rsidRDefault="00D51344" w:rsidP="00BE3F24">
      <w:pPr>
        <w:jc w:val="both"/>
        <w:rPr>
          <w:rFonts w:ascii="Arial" w:hAnsi="Arial" w:cs="Arial"/>
          <w:sz w:val="22"/>
          <w:szCs w:val="22"/>
        </w:rPr>
      </w:pPr>
    </w:p>
    <w:p w14:paraId="4CC60966" w14:textId="663F7B75" w:rsidR="00D51344" w:rsidRDefault="00D51344" w:rsidP="00BE3F24">
      <w:pPr>
        <w:autoSpaceDE w:val="0"/>
        <w:autoSpaceDN w:val="0"/>
        <w:adjustRightInd w:val="0"/>
        <w:jc w:val="both"/>
        <w:rPr>
          <w:rFonts w:ascii="Arial" w:hAnsi="Arial" w:cs="Arial"/>
        </w:rPr>
      </w:pPr>
      <w:r w:rsidRPr="00D51344">
        <w:rPr>
          <w:rFonts w:ascii="Arial" w:hAnsi="Arial" w:cs="Arial"/>
          <w:sz w:val="22"/>
          <w:szCs w:val="22"/>
        </w:rPr>
        <w:t xml:space="preserve">During the design process, the Developer submits copies of </w:t>
      </w:r>
      <w:r w:rsidR="000625CA">
        <w:rPr>
          <w:rFonts w:ascii="Arial" w:hAnsi="Arial" w:cs="Arial"/>
          <w:sz w:val="22"/>
          <w:szCs w:val="22"/>
        </w:rPr>
        <w:t xml:space="preserve">plans, which may include a </w:t>
      </w:r>
      <w:r w:rsidRPr="00D51344">
        <w:rPr>
          <w:rFonts w:ascii="Arial" w:hAnsi="Arial" w:cs="Arial"/>
          <w:sz w:val="22"/>
          <w:szCs w:val="22"/>
        </w:rPr>
        <w:t>Pavement and Geotechnical Report</w:t>
      </w:r>
      <w:r w:rsidR="000625CA">
        <w:rPr>
          <w:rFonts w:ascii="Arial" w:hAnsi="Arial" w:cs="Arial"/>
          <w:sz w:val="22"/>
          <w:szCs w:val="22"/>
        </w:rPr>
        <w:t xml:space="preserve"> (depending on the scope of the project),</w:t>
      </w:r>
      <w:r w:rsidRPr="00D51344">
        <w:rPr>
          <w:rFonts w:ascii="Arial" w:hAnsi="Arial" w:cs="Arial"/>
          <w:sz w:val="22"/>
          <w:szCs w:val="22"/>
        </w:rPr>
        <w:t xml:space="preserve"> to A</w:t>
      </w:r>
      <w:r>
        <w:rPr>
          <w:rFonts w:ascii="Arial" w:hAnsi="Arial" w:cs="Arial"/>
          <w:sz w:val="22"/>
          <w:szCs w:val="22"/>
        </w:rPr>
        <w:t>M</w:t>
      </w:r>
      <w:r w:rsidRPr="00D51344">
        <w:rPr>
          <w:rFonts w:ascii="Arial" w:hAnsi="Arial" w:cs="Arial"/>
          <w:sz w:val="22"/>
          <w:szCs w:val="22"/>
        </w:rPr>
        <w:t>D</w:t>
      </w:r>
      <w:r w:rsidR="000625CA">
        <w:rPr>
          <w:rFonts w:ascii="Arial" w:hAnsi="Arial" w:cs="Arial"/>
          <w:sz w:val="22"/>
          <w:szCs w:val="22"/>
        </w:rPr>
        <w:t>.</w:t>
      </w:r>
      <w:r w:rsidRPr="00D51344">
        <w:rPr>
          <w:rFonts w:ascii="Arial" w:hAnsi="Arial" w:cs="Arial"/>
          <w:sz w:val="22"/>
          <w:szCs w:val="22"/>
        </w:rPr>
        <w:t xml:space="preserve"> </w:t>
      </w:r>
      <w:r w:rsidR="000625CA">
        <w:rPr>
          <w:rFonts w:ascii="Arial" w:hAnsi="Arial" w:cs="Arial"/>
          <w:sz w:val="22"/>
          <w:szCs w:val="22"/>
        </w:rPr>
        <w:t>AMD</w:t>
      </w:r>
      <w:r w:rsidRPr="00D51344">
        <w:rPr>
          <w:rFonts w:ascii="Arial" w:hAnsi="Arial" w:cs="Arial"/>
          <w:sz w:val="22"/>
          <w:szCs w:val="22"/>
        </w:rPr>
        <w:t xml:space="preserve"> then provide</w:t>
      </w:r>
      <w:r w:rsidR="000625CA">
        <w:rPr>
          <w:rFonts w:ascii="Arial" w:hAnsi="Arial" w:cs="Arial"/>
          <w:sz w:val="22"/>
          <w:szCs w:val="22"/>
        </w:rPr>
        <w:t>s</w:t>
      </w:r>
      <w:r w:rsidRPr="00D51344">
        <w:rPr>
          <w:rFonts w:ascii="Arial" w:hAnsi="Arial" w:cs="Arial"/>
          <w:sz w:val="22"/>
          <w:szCs w:val="22"/>
        </w:rPr>
        <w:t xml:space="preserve"> </w:t>
      </w:r>
      <w:r w:rsidR="000625CA">
        <w:rPr>
          <w:rFonts w:ascii="Arial" w:hAnsi="Arial" w:cs="Arial"/>
          <w:sz w:val="22"/>
          <w:szCs w:val="22"/>
        </w:rPr>
        <w:t xml:space="preserve">this submittal </w:t>
      </w:r>
      <w:r w:rsidRPr="00D51344">
        <w:rPr>
          <w:rFonts w:ascii="Arial" w:hAnsi="Arial" w:cs="Arial"/>
          <w:sz w:val="22"/>
          <w:szCs w:val="22"/>
        </w:rPr>
        <w:t xml:space="preserve">to </w:t>
      </w:r>
      <w:r w:rsidR="000625CA">
        <w:rPr>
          <w:rFonts w:ascii="Arial" w:hAnsi="Arial" w:cs="Arial"/>
          <w:sz w:val="22"/>
          <w:szCs w:val="22"/>
        </w:rPr>
        <w:t>the Chief of OMT’s Material Management Division who then coordinates reviews with PAGD and EGD</w:t>
      </w:r>
      <w:r w:rsidRPr="00D51344">
        <w:rPr>
          <w:rFonts w:ascii="Arial" w:hAnsi="Arial" w:cs="Arial"/>
          <w:sz w:val="22"/>
          <w:szCs w:val="22"/>
        </w:rPr>
        <w:t>. The submitt</w:t>
      </w:r>
      <w:r w:rsidR="000625CA">
        <w:rPr>
          <w:rFonts w:ascii="Arial" w:hAnsi="Arial" w:cs="Arial"/>
          <w:sz w:val="22"/>
          <w:szCs w:val="22"/>
        </w:rPr>
        <w:t>al</w:t>
      </w:r>
      <w:r w:rsidRPr="00D51344">
        <w:rPr>
          <w:rFonts w:ascii="Arial" w:hAnsi="Arial" w:cs="Arial"/>
          <w:sz w:val="22"/>
          <w:szCs w:val="22"/>
        </w:rPr>
        <w:t xml:space="preserve"> should be reviewed and evaluated by the PAGD Engineer for conformance with </w:t>
      </w:r>
      <w:r w:rsidR="008C7023">
        <w:rPr>
          <w:rFonts w:ascii="Arial" w:hAnsi="Arial" w:cs="Arial"/>
          <w:sz w:val="22"/>
          <w:szCs w:val="22"/>
        </w:rPr>
        <w:t>MDOT-SHA</w:t>
      </w:r>
      <w:r w:rsidRPr="00D51344">
        <w:rPr>
          <w:rFonts w:ascii="Arial" w:hAnsi="Arial" w:cs="Arial"/>
          <w:sz w:val="22"/>
          <w:szCs w:val="22"/>
        </w:rPr>
        <w:t xml:space="preserve"> Design Standards. For more information on Design Requirements for A</w:t>
      </w:r>
      <w:r>
        <w:rPr>
          <w:rFonts w:ascii="Arial" w:hAnsi="Arial" w:cs="Arial"/>
          <w:sz w:val="22"/>
          <w:szCs w:val="22"/>
        </w:rPr>
        <w:t>M</w:t>
      </w:r>
      <w:r w:rsidRPr="00D51344">
        <w:rPr>
          <w:rFonts w:ascii="Arial" w:hAnsi="Arial" w:cs="Arial"/>
          <w:sz w:val="22"/>
          <w:szCs w:val="22"/>
        </w:rPr>
        <w:t>D projects, refer to the document “Maryland State</w:t>
      </w:r>
      <w:r w:rsidRPr="00D51344">
        <w:rPr>
          <w:sz w:val="22"/>
          <w:szCs w:val="22"/>
        </w:rPr>
        <w:t xml:space="preserve"> </w:t>
      </w:r>
      <w:r w:rsidRPr="00D51344">
        <w:rPr>
          <w:rFonts w:ascii="Arial" w:hAnsi="Arial" w:cs="Arial"/>
          <w:sz w:val="22"/>
          <w:szCs w:val="22"/>
        </w:rPr>
        <w:t>Highway Administration</w:t>
      </w:r>
      <w:r w:rsidR="004A13E3">
        <w:rPr>
          <w:rFonts w:ascii="Arial" w:hAnsi="Arial" w:cs="Arial"/>
          <w:sz w:val="22"/>
          <w:szCs w:val="22"/>
        </w:rPr>
        <w:t xml:space="preserve"> – </w:t>
      </w:r>
      <w:r w:rsidRPr="00D51344">
        <w:rPr>
          <w:rFonts w:ascii="Arial" w:hAnsi="Arial" w:cs="Arial"/>
          <w:sz w:val="22"/>
          <w:szCs w:val="22"/>
        </w:rPr>
        <w:t>Engineering Access Permits</w:t>
      </w:r>
      <w:r w:rsidR="004A13E3">
        <w:rPr>
          <w:rFonts w:ascii="Arial" w:hAnsi="Arial" w:cs="Arial"/>
          <w:sz w:val="22"/>
          <w:szCs w:val="22"/>
        </w:rPr>
        <w:t xml:space="preserve"> – </w:t>
      </w:r>
      <w:r w:rsidRPr="00D51344">
        <w:rPr>
          <w:rFonts w:ascii="Arial" w:hAnsi="Arial" w:cs="Arial"/>
          <w:sz w:val="22"/>
          <w:szCs w:val="22"/>
        </w:rPr>
        <w:t>Office of Materials Technology</w:t>
      </w:r>
      <w:r w:rsidR="004A13E3">
        <w:rPr>
          <w:rFonts w:ascii="Arial" w:hAnsi="Arial" w:cs="Arial"/>
          <w:sz w:val="22"/>
          <w:szCs w:val="22"/>
        </w:rPr>
        <w:t xml:space="preserve"> – </w:t>
      </w:r>
      <w:r w:rsidRPr="00D51344">
        <w:rPr>
          <w:rFonts w:ascii="Arial" w:hAnsi="Arial" w:cs="Arial"/>
          <w:sz w:val="22"/>
          <w:szCs w:val="22"/>
        </w:rPr>
        <w:t xml:space="preserve">Geotechnical Report and Design Requirements” on OMT’s intranet web page. </w:t>
      </w:r>
    </w:p>
    <w:p w14:paraId="64637BD3" w14:textId="77777777" w:rsidR="00D51344" w:rsidRDefault="00D51344" w:rsidP="00172E64">
      <w:pPr>
        <w:pStyle w:val="Heading3"/>
        <w:numPr>
          <w:ilvl w:val="2"/>
          <w:numId w:val="185"/>
        </w:numPr>
      </w:pPr>
      <w:r>
        <w:t>County Reviews</w:t>
      </w:r>
    </w:p>
    <w:p w14:paraId="57922B76" w14:textId="77777777" w:rsidR="00D51344" w:rsidRPr="00D51344" w:rsidRDefault="00D51344" w:rsidP="00BE3F24">
      <w:pPr>
        <w:jc w:val="both"/>
        <w:rPr>
          <w:rFonts w:ascii="Arial" w:hAnsi="Arial" w:cs="Arial"/>
          <w:sz w:val="22"/>
          <w:szCs w:val="22"/>
        </w:rPr>
      </w:pPr>
      <w:r w:rsidRPr="00D51344">
        <w:rPr>
          <w:rFonts w:ascii="Arial" w:hAnsi="Arial" w:cs="Arial"/>
          <w:sz w:val="22"/>
          <w:szCs w:val="22"/>
        </w:rPr>
        <w:t xml:space="preserve">Some projects or portions of the project are designed based on County Design Standards based on the functionality or the interest of the owner. If a project is designed based on County Design Standards, the PAGD Engineer should review and evaluate the design recommendations for conformance with the applicable County Design Standards. </w:t>
      </w:r>
    </w:p>
    <w:p w14:paraId="1D9A3798" w14:textId="77777777" w:rsidR="00D51344" w:rsidRPr="00D51344" w:rsidRDefault="00D51344" w:rsidP="00BE3F24">
      <w:pPr>
        <w:jc w:val="both"/>
        <w:rPr>
          <w:rFonts w:ascii="Arial" w:hAnsi="Arial" w:cs="Arial"/>
          <w:sz w:val="22"/>
          <w:szCs w:val="22"/>
        </w:rPr>
      </w:pPr>
    </w:p>
    <w:p w14:paraId="40538102" w14:textId="77777777" w:rsidR="00FE659F" w:rsidRDefault="00FE659F" w:rsidP="00BE3F24">
      <w:pPr>
        <w:pStyle w:val="Caption"/>
        <w:rPr>
          <w:b w:val="0"/>
          <w:caps/>
          <w:sz w:val="28"/>
        </w:rPr>
      </w:pPr>
    </w:p>
    <w:bookmarkEnd w:id="605"/>
    <w:p w14:paraId="60F10BBC" w14:textId="77777777" w:rsidR="000B2FCD" w:rsidRDefault="000B2FCD" w:rsidP="00172E64">
      <w:pPr>
        <w:pStyle w:val="Heading1"/>
        <w:numPr>
          <w:ilvl w:val="0"/>
          <w:numId w:val="185"/>
        </w:numPr>
        <w:ind w:left="0" w:firstLine="0"/>
        <w:sectPr w:rsidR="000B2FCD" w:rsidSect="008B1BAA">
          <w:headerReference w:type="default" r:id="rId331"/>
          <w:footerReference w:type="default" r:id="rId332"/>
          <w:pgSz w:w="12240" w:h="15840"/>
          <w:pgMar w:top="1440" w:right="1800" w:bottom="1440" w:left="1800" w:header="720" w:footer="720" w:gutter="0"/>
          <w:pgNumType w:chapStyle="1"/>
          <w:cols w:space="720"/>
          <w:docGrid w:linePitch="272"/>
        </w:sectPr>
      </w:pPr>
    </w:p>
    <w:p w14:paraId="1A5C19AB" w14:textId="27870D1D" w:rsidR="003A358D" w:rsidRDefault="000B2FCD" w:rsidP="00172E64">
      <w:pPr>
        <w:pStyle w:val="Heading2"/>
        <w:numPr>
          <w:ilvl w:val="1"/>
          <w:numId w:val="185"/>
        </w:numPr>
        <w:spacing w:before="120"/>
        <w:ind w:left="1026" w:hanging="1026"/>
        <w:rPr>
          <w:szCs w:val="28"/>
        </w:rPr>
      </w:pPr>
      <w:bookmarkStart w:id="606" w:name="_Construction_and_Material"/>
      <w:bookmarkStart w:id="607" w:name="_Toc479160131"/>
      <w:bookmarkStart w:id="608" w:name="_Toc514058019"/>
      <w:bookmarkStart w:id="609" w:name="_Toc194932415"/>
      <w:bookmarkEnd w:id="606"/>
      <w:r w:rsidRPr="0040000C">
        <w:rPr>
          <w:szCs w:val="28"/>
        </w:rPr>
        <w:lastRenderedPageBreak/>
        <w:t>Construction and Material Specifications</w:t>
      </w:r>
      <w:bookmarkEnd w:id="607"/>
      <w:bookmarkEnd w:id="608"/>
      <w:bookmarkEnd w:id="609"/>
      <w:r w:rsidRPr="0040000C">
        <w:rPr>
          <w:szCs w:val="28"/>
        </w:rPr>
        <w:t xml:space="preserve"> </w:t>
      </w:r>
    </w:p>
    <w:p w14:paraId="5A517DF3"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0359C266" w14:textId="77777777" w:rsidR="003A358D" w:rsidRPr="00335937" w:rsidRDefault="003A358D" w:rsidP="00172E64">
      <w:pPr>
        <w:pStyle w:val="Heading3"/>
        <w:numPr>
          <w:ilvl w:val="2"/>
          <w:numId w:val="185"/>
        </w:numPr>
        <w:ind w:left="0" w:firstLine="0"/>
      </w:pPr>
      <w:r w:rsidRPr="00335937">
        <w:t>General</w:t>
      </w:r>
    </w:p>
    <w:p w14:paraId="418C1861" w14:textId="3E46D9A8" w:rsidR="000B2FCD" w:rsidRDefault="000B2FCD" w:rsidP="00BE3F24">
      <w:pPr>
        <w:jc w:val="both"/>
        <w:rPr>
          <w:rFonts w:ascii="Arial" w:hAnsi="Arial"/>
          <w:sz w:val="22"/>
        </w:rPr>
      </w:pPr>
      <w:r>
        <w:rPr>
          <w:rFonts w:ascii="Arial" w:hAnsi="Arial"/>
          <w:sz w:val="22"/>
        </w:rPr>
        <w:t xml:space="preserve">A pavement designer in the Pavement and Geotechnical Division of OMT must be familiar with construction operations and the specifications required by </w:t>
      </w:r>
      <w:r w:rsidR="008C7023">
        <w:rPr>
          <w:rFonts w:ascii="Arial" w:hAnsi="Arial"/>
          <w:sz w:val="22"/>
        </w:rPr>
        <w:t>MDOT-SHA</w:t>
      </w:r>
      <w:r>
        <w:rPr>
          <w:rFonts w:ascii="Arial" w:hAnsi="Arial"/>
          <w:sz w:val="22"/>
        </w:rPr>
        <w:t xml:space="preserve"> on the contractor performing the work.  The most beneficial and economical pavement recommendation is useless if it cannot be constructed or built with the existing construction or material specifications.  Therefore, the pavement engineer must be intimately familiar with existing materials and construction specifications, and possess the ability to develop new specifications. </w:t>
      </w:r>
    </w:p>
    <w:p w14:paraId="369006C6" w14:textId="77777777" w:rsidR="000B2FCD" w:rsidRDefault="000B2FCD" w:rsidP="00BE3F24">
      <w:pPr>
        <w:jc w:val="both"/>
        <w:rPr>
          <w:rFonts w:ascii="Arial" w:hAnsi="Arial"/>
          <w:sz w:val="22"/>
        </w:rPr>
      </w:pPr>
    </w:p>
    <w:p w14:paraId="4E60A2FC" w14:textId="5790E063" w:rsidR="000B2FCD" w:rsidRDefault="008C7023" w:rsidP="00BE3F24">
      <w:pPr>
        <w:jc w:val="both"/>
        <w:rPr>
          <w:rFonts w:ascii="Arial" w:hAnsi="Arial"/>
          <w:sz w:val="22"/>
        </w:rPr>
      </w:pPr>
      <w:r>
        <w:rPr>
          <w:rFonts w:ascii="Arial" w:hAnsi="Arial"/>
          <w:sz w:val="22"/>
        </w:rPr>
        <w:t>MDOT-SHA</w:t>
      </w:r>
      <w:r w:rsidR="000B2FCD">
        <w:rPr>
          <w:rFonts w:ascii="Arial" w:hAnsi="Arial"/>
          <w:sz w:val="22"/>
        </w:rPr>
        <w:t xml:space="preserve"> currently has two documents that dictate the specifications and standards by which all projects shall be constructed: “</w:t>
      </w:r>
      <w:hyperlink r:id="rId333" w:history="1">
        <w:r w:rsidR="000B2FCD" w:rsidRPr="00036FB5">
          <w:rPr>
            <w:rStyle w:val="Hyperlink"/>
            <w:rFonts w:ascii="Arial" w:hAnsi="Arial"/>
            <w:sz w:val="22"/>
          </w:rPr>
          <w:t>Standard Specification for Construction and Materials</w:t>
        </w:r>
      </w:hyperlink>
      <w:r w:rsidR="000B2FCD">
        <w:rPr>
          <w:rFonts w:ascii="Arial" w:hAnsi="Arial"/>
          <w:sz w:val="22"/>
        </w:rPr>
        <w:t>” and “</w:t>
      </w:r>
      <w:hyperlink r:id="rId334" w:history="1">
        <w:r w:rsidR="000B2FCD" w:rsidRPr="00036FB5">
          <w:rPr>
            <w:rStyle w:val="Hyperlink"/>
            <w:rFonts w:ascii="Arial" w:hAnsi="Arial"/>
            <w:sz w:val="22"/>
          </w:rPr>
          <w:t>Book of Standards</w:t>
        </w:r>
      </w:hyperlink>
      <w:r w:rsidR="000B2FCD">
        <w:rPr>
          <w:rFonts w:ascii="Arial" w:hAnsi="Arial"/>
          <w:sz w:val="22"/>
        </w:rPr>
        <w:t>.”  Obviously, other specification documents are occasionally required for construction, but the initial reference and binding documentation are the two books previously mentioned.  The “Standard Specification for Construction and Materials” controls material and construction specifications.  The “Specification” book is broken out into a “Terms and Conditions” (TC) section and a Technical Requirements section.  The TC section establishes the scope of work, definitions of terms, legal relations, restrictions and permits, and payment practices.  The Technical Requirements section is broken out into the following category items:</w:t>
      </w:r>
    </w:p>
    <w:p w14:paraId="6C597B34" w14:textId="77777777" w:rsidR="000B2FCD" w:rsidRDefault="000B2FCD" w:rsidP="00BE3F24">
      <w:pPr>
        <w:jc w:val="both"/>
        <w:rPr>
          <w:rFonts w:ascii="Arial" w:hAnsi="Arial"/>
          <w:sz w:val="22"/>
        </w:rPr>
      </w:pPr>
    </w:p>
    <w:p w14:paraId="3FD87C0B" w14:textId="77777777" w:rsidR="000B2FCD" w:rsidRDefault="000B2FCD" w:rsidP="00557A8B">
      <w:pPr>
        <w:numPr>
          <w:ilvl w:val="0"/>
          <w:numId w:val="23"/>
        </w:numPr>
        <w:ind w:left="0" w:firstLine="0"/>
        <w:jc w:val="both"/>
        <w:rPr>
          <w:rFonts w:ascii="Arial" w:hAnsi="Arial"/>
          <w:sz w:val="22"/>
        </w:rPr>
      </w:pPr>
      <w:r>
        <w:rPr>
          <w:rFonts w:ascii="Arial" w:hAnsi="Arial"/>
          <w:sz w:val="22"/>
        </w:rPr>
        <w:t>Category 100 – Preliminary</w:t>
      </w:r>
    </w:p>
    <w:p w14:paraId="6F1B791A" w14:textId="77777777" w:rsidR="000B2FCD" w:rsidRDefault="000B2FCD" w:rsidP="00557A8B">
      <w:pPr>
        <w:numPr>
          <w:ilvl w:val="0"/>
          <w:numId w:val="23"/>
        </w:numPr>
        <w:ind w:left="0" w:firstLine="0"/>
        <w:jc w:val="both"/>
        <w:rPr>
          <w:rFonts w:ascii="Arial" w:hAnsi="Arial"/>
          <w:sz w:val="22"/>
        </w:rPr>
      </w:pPr>
      <w:r>
        <w:rPr>
          <w:rFonts w:ascii="Arial" w:hAnsi="Arial"/>
          <w:sz w:val="22"/>
        </w:rPr>
        <w:t>Category 200 – Grading</w:t>
      </w:r>
    </w:p>
    <w:p w14:paraId="0C01C2C0" w14:textId="77777777" w:rsidR="000B2FCD" w:rsidRDefault="000B2FCD" w:rsidP="00557A8B">
      <w:pPr>
        <w:numPr>
          <w:ilvl w:val="0"/>
          <w:numId w:val="23"/>
        </w:numPr>
        <w:ind w:left="0" w:firstLine="0"/>
        <w:jc w:val="both"/>
        <w:rPr>
          <w:rFonts w:ascii="Arial" w:hAnsi="Arial"/>
          <w:sz w:val="22"/>
        </w:rPr>
      </w:pPr>
      <w:r>
        <w:rPr>
          <w:rFonts w:ascii="Arial" w:hAnsi="Arial"/>
          <w:sz w:val="22"/>
        </w:rPr>
        <w:t>Category 300 – Drainage</w:t>
      </w:r>
    </w:p>
    <w:p w14:paraId="3A98ED3B" w14:textId="77777777" w:rsidR="000B2FCD" w:rsidRDefault="000B2FCD" w:rsidP="00557A8B">
      <w:pPr>
        <w:numPr>
          <w:ilvl w:val="0"/>
          <w:numId w:val="23"/>
        </w:numPr>
        <w:ind w:left="0" w:firstLine="0"/>
        <w:jc w:val="both"/>
        <w:rPr>
          <w:rFonts w:ascii="Arial" w:hAnsi="Arial"/>
          <w:sz w:val="22"/>
        </w:rPr>
      </w:pPr>
      <w:r>
        <w:rPr>
          <w:rFonts w:ascii="Arial" w:hAnsi="Arial"/>
          <w:sz w:val="22"/>
        </w:rPr>
        <w:t>Category 400 – Structures</w:t>
      </w:r>
    </w:p>
    <w:p w14:paraId="17D1D417" w14:textId="77777777" w:rsidR="000B2FCD" w:rsidRDefault="000B2FCD" w:rsidP="00557A8B">
      <w:pPr>
        <w:numPr>
          <w:ilvl w:val="0"/>
          <w:numId w:val="23"/>
        </w:numPr>
        <w:ind w:left="0" w:firstLine="0"/>
        <w:jc w:val="both"/>
        <w:rPr>
          <w:rFonts w:ascii="Arial" w:hAnsi="Arial"/>
          <w:sz w:val="22"/>
        </w:rPr>
      </w:pPr>
      <w:r>
        <w:rPr>
          <w:rFonts w:ascii="Arial" w:hAnsi="Arial"/>
          <w:sz w:val="22"/>
        </w:rPr>
        <w:t>Category 500 – Paving</w:t>
      </w:r>
    </w:p>
    <w:p w14:paraId="67C24028" w14:textId="77777777" w:rsidR="000B2FCD" w:rsidRDefault="000B2FCD" w:rsidP="00557A8B">
      <w:pPr>
        <w:numPr>
          <w:ilvl w:val="0"/>
          <w:numId w:val="23"/>
        </w:numPr>
        <w:ind w:left="0" w:firstLine="0"/>
        <w:jc w:val="both"/>
        <w:rPr>
          <w:rFonts w:ascii="Arial" w:hAnsi="Arial"/>
          <w:sz w:val="22"/>
        </w:rPr>
      </w:pPr>
      <w:r>
        <w:rPr>
          <w:rFonts w:ascii="Arial" w:hAnsi="Arial"/>
          <w:sz w:val="22"/>
        </w:rPr>
        <w:t>Category 600 – Shoulders</w:t>
      </w:r>
    </w:p>
    <w:p w14:paraId="22243B84" w14:textId="77777777" w:rsidR="000B2FCD" w:rsidRDefault="000B2FCD" w:rsidP="00557A8B">
      <w:pPr>
        <w:numPr>
          <w:ilvl w:val="0"/>
          <w:numId w:val="23"/>
        </w:numPr>
        <w:ind w:left="0" w:firstLine="0"/>
        <w:jc w:val="both"/>
        <w:rPr>
          <w:rFonts w:ascii="Arial" w:hAnsi="Arial"/>
          <w:sz w:val="22"/>
        </w:rPr>
      </w:pPr>
      <w:r>
        <w:rPr>
          <w:rFonts w:ascii="Arial" w:hAnsi="Arial"/>
          <w:sz w:val="22"/>
        </w:rPr>
        <w:t>Category 700 – Landscaping</w:t>
      </w:r>
    </w:p>
    <w:p w14:paraId="630BE987" w14:textId="77777777" w:rsidR="000B2FCD" w:rsidRDefault="000B2FCD" w:rsidP="00557A8B">
      <w:pPr>
        <w:numPr>
          <w:ilvl w:val="0"/>
          <w:numId w:val="23"/>
        </w:numPr>
        <w:ind w:left="0" w:firstLine="0"/>
        <w:jc w:val="both"/>
        <w:rPr>
          <w:rFonts w:ascii="Arial" w:hAnsi="Arial"/>
          <w:sz w:val="22"/>
        </w:rPr>
      </w:pPr>
      <w:r>
        <w:rPr>
          <w:rFonts w:ascii="Arial" w:hAnsi="Arial"/>
          <w:sz w:val="22"/>
        </w:rPr>
        <w:t>Category 800 – Traffic</w:t>
      </w:r>
    </w:p>
    <w:p w14:paraId="5B0AD12F" w14:textId="77777777" w:rsidR="000B2FCD" w:rsidRDefault="000B2FCD" w:rsidP="00557A8B">
      <w:pPr>
        <w:numPr>
          <w:ilvl w:val="0"/>
          <w:numId w:val="23"/>
        </w:numPr>
        <w:ind w:left="0" w:firstLine="0"/>
        <w:jc w:val="both"/>
        <w:rPr>
          <w:rFonts w:ascii="Arial" w:hAnsi="Arial"/>
          <w:sz w:val="22"/>
        </w:rPr>
      </w:pPr>
      <w:r>
        <w:rPr>
          <w:rFonts w:ascii="Arial" w:hAnsi="Arial"/>
          <w:sz w:val="22"/>
        </w:rPr>
        <w:t>Category 900 – Materials</w:t>
      </w:r>
    </w:p>
    <w:p w14:paraId="4907DC8E" w14:textId="77777777" w:rsidR="000B2FCD" w:rsidRDefault="000B2FCD" w:rsidP="00BE3F24">
      <w:pPr>
        <w:jc w:val="both"/>
        <w:rPr>
          <w:rFonts w:ascii="Arial" w:hAnsi="Arial"/>
          <w:sz w:val="22"/>
        </w:rPr>
      </w:pPr>
    </w:p>
    <w:p w14:paraId="4DA4FD51" w14:textId="12920900" w:rsidR="000B2FCD" w:rsidRDefault="000B2FCD" w:rsidP="00BE3F24">
      <w:pPr>
        <w:jc w:val="both"/>
        <w:rPr>
          <w:rFonts w:ascii="Arial" w:hAnsi="Arial"/>
          <w:sz w:val="22"/>
        </w:rPr>
      </w:pPr>
      <w:r>
        <w:rPr>
          <w:rFonts w:ascii="Arial" w:hAnsi="Arial"/>
          <w:sz w:val="22"/>
        </w:rPr>
        <w:t>The “Book of Standards” controls typical details and dimensions of items. The “Book of Standards” is broken out into the same category section as the Technical Requirements section of the “Specification” book.  Categor</w:t>
      </w:r>
      <w:r w:rsidR="004A13E3">
        <w:rPr>
          <w:rFonts w:ascii="Arial" w:hAnsi="Arial"/>
          <w:sz w:val="22"/>
        </w:rPr>
        <w:t>ies</w:t>
      </w:r>
      <w:r w:rsidR="00D74D3F">
        <w:rPr>
          <w:rFonts w:ascii="Arial" w:hAnsi="Arial"/>
          <w:sz w:val="22"/>
        </w:rPr>
        <w:t xml:space="preserve"> 200,</w:t>
      </w:r>
      <w:r>
        <w:rPr>
          <w:rFonts w:ascii="Arial" w:hAnsi="Arial"/>
          <w:sz w:val="22"/>
        </w:rPr>
        <w:t xml:space="preserve"> 500</w:t>
      </w:r>
      <w:r w:rsidR="004A13E3">
        <w:rPr>
          <w:rFonts w:ascii="Arial" w:hAnsi="Arial"/>
          <w:sz w:val="22"/>
        </w:rPr>
        <w:t>,</w:t>
      </w:r>
      <w:r>
        <w:rPr>
          <w:rFonts w:ascii="Arial" w:hAnsi="Arial"/>
          <w:sz w:val="22"/>
        </w:rPr>
        <w:t xml:space="preserve"> and 900 shall be of particular interest to the pavement designer in the Pavement and Geotechnical Division of the OMT.</w:t>
      </w:r>
    </w:p>
    <w:p w14:paraId="4D96DC13" w14:textId="77777777" w:rsidR="000B2FCD" w:rsidRDefault="000B2FCD" w:rsidP="00BE3F24">
      <w:pPr>
        <w:jc w:val="both"/>
        <w:rPr>
          <w:rFonts w:ascii="Arial" w:hAnsi="Arial"/>
          <w:sz w:val="22"/>
        </w:rPr>
      </w:pPr>
    </w:p>
    <w:p w14:paraId="2F85A1F7" w14:textId="36A28F32" w:rsidR="000B2FCD" w:rsidRDefault="000B2FCD" w:rsidP="00BE3F24">
      <w:pPr>
        <w:jc w:val="both"/>
        <w:rPr>
          <w:rFonts w:ascii="Arial" w:hAnsi="Arial"/>
          <w:sz w:val="22"/>
        </w:rPr>
      </w:pPr>
      <w:r>
        <w:rPr>
          <w:rFonts w:ascii="Arial" w:hAnsi="Arial"/>
          <w:sz w:val="22"/>
        </w:rPr>
        <w:t xml:space="preserve">Typically, </w:t>
      </w:r>
      <w:r w:rsidR="008C7023">
        <w:rPr>
          <w:rFonts w:ascii="Arial" w:hAnsi="Arial"/>
          <w:sz w:val="22"/>
        </w:rPr>
        <w:t>MDOT-SHA</w:t>
      </w:r>
      <w:r>
        <w:rPr>
          <w:rFonts w:ascii="Arial" w:hAnsi="Arial"/>
          <w:sz w:val="22"/>
        </w:rPr>
        <w:t xml:space="preserve"> provides contractors desiring to bid on a construction project a proposal book and plans as part of the invitation for bid package.  The plans provide a plan view of the project, typical sections, and specific details of construction.  The proposal book provides additions to the “Standard Specification for Construction and Materials” and specific specification</w:t>
      </w:r>
      <w:r w:rsidR="004A13E3">
        <w:rPr>
          <w:rFonts w:ascii="Arial" w:hAnsi="Arial"/>
          <w:sz w:val="22"/>
        </w:rPr>
        <w:t>s</w:t>
      </w:r>
      <w:r>
        <w:rPr>
          <w:rFonts w:ascii="Arial" w:hAnsi="Arial"/>
          <w:sz w:val="22"/>
        </w:rPr>
        <w:t xml:space="preserve"> unique to the project.  Special Provisions Inserts (SPIs) are specifications that are revisions or addenda to the current “Standard Specification for Construction and Materials” book.  An SPI is a general specification that is applicable to all construction projects.  A Special Provision (SP) is also a specification that is a revision or an addendum to the current “Standard Specification for Construction and Materials” book.  However, a</w:t>
      </w:r>
      <w:r w:rsidR="004A13E3">
        <w:rPr>
          <w:rFonts w:ascii="Arial" w:hAnsi="Arial"/>
          <w:sz w:val="22"/>
        </w:rPr>
        <w:t>n</w:t>
      </w:r>
      <w:r>
        <w:rPr>
          <w:rFonts w:ascii="Arial" w:hAnsi="Arial"/>
          <w:sz w:val="22"/>
        </w:rPr>
        <w:t xml:space="preserve"> SP is specific to a particular project and is not applicable to all construction projects.   </w:t>
      </w:r>
    </w:p>
    <w:p w14:paraId="77863F59" w14:textId="77777777" w:rsidR="000B2FCD" w:rsidRDefault="000B2FCD" w:rsidP="00BE3F24">
      <w:pPr>
        <w:jc w:val="both"/>
        <w:rPr>
          <w:rFonts w:ascii="Arial" w:hAnsi="Arial"/>
          <w:sz w:val="22"/>
        </w:rPr>
      </w:pPr>
      <w:r>
        <w:rPr>
          <w:rFonts w:ascii="Arial" w:hAnsi="Arial"/>
          <w:sz w:val="22"/>
        </w:rPr>
        <w:lastRenderedPageBreak/>
        <w:t>When a particular item or subject is not covered by the plans or proposal book, then the “Standard Specification for Construction and Materials” and the “Book of Standards” are the controlling articles of documentation.  The following is the hierarchy for all construction and material specification / standard documentation, with the most controlling at the top:</w:t>
      </w:r>
    </w:p>
    <w:p w14:paraId="74393E07" w14:textId="77777777" w:rsidR="000B2FCD" w:rsidRDefault="000B2FCD" w:rsidP="00BE3F24">
      <w:pPr>
        <w:jc w:val="both"/>
        <w:rPr>
          <w:rFonts w:ascii="Arial" w:hAnsi="Arial"/>
          <w:sz w:val="22"/>
        </w:rPr>
      </w:pPr>
    </w:p>
    <w:p w14:paraId="530D86C2" w14:textId="77777777" w:rsidR="000B2FCD" w:rsidRDefault="000B2FCD" w:rsidP="00131450">
      <w:pPr>
        <w:numPr>
          <w:ilvl w:val="0"/>
          <w:numId w:val="24"/>
        </w:numPr>
        <w:tabs>
          <w:tab w:val="clear" w:pos="648"/>
          <w:tab w:val="num" w:pos="720"/>
          <w:tab w:val="num" w:pos="1224"/>
        </w:tabs>
        <w:ind w:left="0" w:firstLine="0"/>
        <w:jc w:val="both"/>
        <w:rPr>
          <w:rFonts w:ascii="Arial" w:hAnsi="Arial"/>
          <w:sz w:val="22"/>
        </w:rPr>
      </w:pPr>
      <w:r>
        <w:rPr>
          <w:rFonts w:ascii="Arial" w:hAnsi="Arial"/>
          <w:sz w:val="22"/>
        </w:rPr>
        <w:t>Redline Revision</w:t>
      </w:r>
    </w:p>
    <w:p w14:paraId="48F78FD3" w14:textId="77777777" w:rsidR="000B2FCD" w:rsidRDefault="000B2FCD" w:rsidP="00131450">
      <w:pPr>
        <w:numPr>
          <w:ilvl w:val="0"/>
          <w:numId w:val="24"/>
        </w:numPr>
        <w:tabs>
          <w:tab w:val="clear" w:pos="648"/>
          <w:tab w:val="num" w:pos="720"/>
          <w:tab w:val="num" w:pos="1224"/>
        </w:tabs>
        <w:ind w:left="0" w:firstLine="0"/>
        <w:jc w:val="both"/>
        <w:rPr>
          <w:rFonts w:ascii="Arial" w:hAnsi="Arial"/>
          <w:sz w:val="22"/>
        </w:rPr>
      </w:pPr>
      <w:r>
        <w:rPr>
          <w:rFonts w:ascii="Arial" w:hAnsi="Arial"/>
          <w:sz w:val="22"/>
        </w:rPr>
        <w:t>Addendum</w:t>
      </w:r>
    </w:p>
    <w:p w14:paraId="5C557934" w14:textId="4AF41E28" w:rsidR="000B2FCD" w:rsidRDefault="000B2FCD" w:rsidP="00131450">
      <w:pPr>
        <w:numPr>
          <w:ilvl w:val="0"/>
          <w:numId w:val="24"/>
        </w:numPr>
        <w:tabs>
          <w:tab w:val="clear" w:pos="648"/>
          <w:tab w:val="num" w:pos="720"/>
          <w:tab w:val="num" w:pos="1224"/>
        </w:tabs>
        <w:ind w:left="0" w:firstLine="0"/>
        <w:jc w:val="both"/>
        <w:rPr>
          <w:rFonts w:ascii="Arial" w:hAnsi="Arial"/>
          <w:sz w:val="22"/>
        </w:rPr>
      </w:pPr>
      <w:r>
        <w:rPr>
          <w:rFonts w:ascii="Arial" w:hAnsi="Arial"/>
          <w:sz w:val="22"/>
        </w:rPr>
        <w:t xml:space="preserve">Special Provisions (SP) </w:t>
      </w:r>
    </w:p>
    <w:p w14:paraId="56179AC7" w14:textId="77777777" w:rsidR="000B2FCD" w:rsidRDefault="000B2FCD" w:rsidP="00131450">
      <w:pPr>
        <w:numPr>
          <w:ilvl w:val="0"/>
          <w:numId w:val="24"/>
        </w:numPr>
        <w:tabs>
          <w:tab w:val="clear" w:pos="648"/>
          <w:tab w:val="num" w:pos="720"/>
          <w:tab w:val="num" w:pos="1224"/>
        </w:tabs>
        <w:ind w:left="0" w:firstLine="0"/>
        <w:jc w:val="both"/>
        <w:rPr>
          <w:rFonts w:ascii="Arial" w:hAnsi="Arial"/>
          <w:sz w:val="22"/>
        </w:rPr>
      </w:pPr>
      <w:r>
        <w:rPr>
          <w:rFonts w:ascii="Arial" w:hAnsi="Arial"/>
          <w:sz w:val="22"/>
        </w:rPr>
        <w:t>Plans</w:t>
      </w:r>
    </w:p>
    <w:p w14:paraId="6299AACB" w14:textId="77777777" w:rsidR="000B2FCD" w:rsidRDefault="000B2FCD" w:rsidP="00131450">
      <w:pPr>
        <w:numPr>
          <w:ilvl w:val="0"/>
          <w:numId w:val="24"/>
        </w:numPr>
        <w:tabs>
          <w:tab w:val="clear" w:pos="648"/>
          <w:tab w:val="num" w:pos="720"/>
          <w:tab w:val="num" w:pos="1224"/>
        </w:tabs>
        <w:ind w:left="0" w:firstLine="0"/>
        <w:jc w:val="both"/>
        <w:rPr>
          <w:rFonts w:ascii="Arial" w:hAnsi="Arial"/>
          <w:sz w:val="22"/>
        </w:rPr>
      </w:pPr>
      <w:r>
        <w:rPr>
          <w:rFonts w:ascii="Arial" w:hAnsi="Arial"/>
          <w:sz w:val="22"/>
        </w:rPr>
        <w:t>Special Provision Inserts (SPI)</w:t>
      </w:r>
    </w:p>
    <w:p w14:paraId="3C3A1A2B" w14:textId="77777777" w:rsidR="000B2FCD" w:rsidRDefault="000B2FCD" w:rsidP="00131450">
      <w:pPr>
        <w:numPr>
          <w:ilvl w:val="0"/>
          <w:numId w:val="24"/>
        </w:numPr>
        <w:tabs>
          <w:tab w:val="clear" w:pos="648"/>
          <w:tab w:val="num" w:pos="720"/>
          <w:tab w:val="num" w:pos="1224"/>
        </w:tabs>
        <w:ind w:left="0" w:firstLine="0"/>
        <w:jc w:val="both"/>
        <w:rPr>
          <w:rFonts w:ascii="Arial" w:hAnsi="Arial"/>
          <w:sz w:val="22"/>
        </w:rPr>
      </w:pPr>
      <w:r>
        <w:rPr>
          <w:rFonts w:ascii="Arial" w:hAnsi="Arial"/>
          <w:sz w:val="22"/>
        </w:rPr>
        <w:t>Book of Standards &amp; Specification Book</w:t>
      </w:r>
    </w:p>
    <w:p w14:paraId="1C0AB718" w14:textId="77777777" w:rsidR="000B2FCD" w:rsidRDefault="000B2FCD" w:rsidP="00BE3F24">
      <w:pPr>
        <w:tabs>
          <w:tab w:val="num" w:pos="1224"/>
        </w:tabs>
        <w:jc w:val="both"/>
        <w:rPr>
          <w:rFonts w:ascii="Arial" w:hAnsi="Arial"/>
          <w:sz w:val="22"/>
        </w:rPr>
      </w:pPr>
    </w:p>
    <w:p w14:paraId="621ED488" w14:textId="77777777" w:rsidR="003A358D" w:rsidRDefault="000B2FCD" w:rsidP="00BE3F24">
      <w:pPr>
        <w:pStyle w:val="BodyText"/>
        <w:spacing w:after="0"/>
        <w:jc w:val="both"/>
      </w:pPr>
      <w:r>
        <w:t xml:space="preserve">The Specification Team of OMT provides regular updates of all current SPIs and potential SPs to all pavement designers.  </w:t>
      </w:r>
    </w:p>
    <w:p w14:paraId="53CC43D1" w14:textId="77777777" w:rsidR="003A358D" w:rsidRPr="00CC58A7" w:rsidRDefault="003A358D" w:rsidP="00172E64">
      <w:pPr>
        <w:pStyle w:val="Heading3"/>
        <w:numPr>
          <w:ilvl w:val="2"/>
          <w:numId w:val="185"/>
        </w:numPr>
        <w:ind w:left="0" w:firstLine="0"/>
      </w:pPr>
      <w:r w:rsidRPr="00CC58A7">
        <w:t>Resource Requirements</w:t>
      </w:r>
    </w:p>
    <w:p w14:paraId="5E527DAB" w14:textId="77777777" w:rsidR="003A358D" w:rsidRDefault="003A358D" w:rsidP="00BE3F24">
      <w:pPr>
        <w:pStyle w:val="BodyText"/>
        <w:spacing w:after="0"/>
        <w:jc w:val="both"/>
      </w:pPr>
      <w:r w:rsidRPr="00CC58A7">
        <w:t>Th</w:t>
      </w:r>
      <w:r>
        <w:t xml:space="preserve">is procedure </w:t>
      </w:r>
      <w:r w:rsidRPr="00CC58A7">
        <w:t xml:space="preserve">documented below requires the following staffing needs for a typical </w:t>
      </w:r>
      <w:r>
        <w:t>project</w:t>
      </w:r>
      <w:r w:rsidRPr="00CC58A7">
        <w:t>:</w:t>
      </w:r>
    </w:p>
    <w:p w14:paraId="1DABF3AC" w14:textId="77777777" w:rsidR="003A358D" w:rsidRPr="00CC58A7" w:rsidRDefault="003A358D" w:rsidP="00BE3F24">
      <w:pPr>
        <w:pStyle w:val="BodyText"/>
        <w:spacing w:after="0"/>
        <w:jc w:val="both"/>
      </w:pP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2"/>
        <w:gridCol w:w="2286"/>
        <w:gridCol w:w="1926"/>
        <w:gridCol w:w="1584"/>
      </w:tblGrid>
      <w:tr w:rsidR="003A358D" w:rsidRPr="00CC58A7" w14:paraId="62E574B6" w14:textId="77777777" w:rsidTr="00131450">
        <w:trPr>
          <w:trHeight w:val="288"/>
          <w:jc w:val="center"/>
        </w:trPr>
        <w:tc>
          <w:tcPr>
            <w:tcW w:w="2692" w:type="dxa"/>
            <w:shd w:val="pct15" w:color="auto" w:fill="FFFFFF"/>
            <w:vAlign w:val="center"/>
          </w:tcPr>
          <w:p w14:paraId="68AFCC32" w14:textId="77777777" w:rsidR="003A358D" w:rsidRPr="00CC58A7" w:rsidRDefault="003A358D" w:rsidP="00BE3F24">
            <w:pPr>
              <w:jc w:val="center"/>
              <w:rPr>
                <w:rFonts w:ascii="Arial" w:hAnsi="Arial"/>
                <w:b/>
              </w:rPr>
            </w:pPr>
            <w:r w:rsidRPr="00CC58A7">
              <w:rPr>
                <w:rFonts w:ascii="Arial" w:hAnsi="Arial"/>
                <w:b/>
              </w:rPr>
              <w:t>Position</w:t>
            </w:r>
          </w:p>
        </w:tc>
        <w:tc>
          <w:tcPr>
            <w:tcW w:w="2286" w:type="dxa"/>
            <w:shd w:val="pct15" w:color="auto" w:fill="FFFFFF"/>
            <w:vAlign w:val="center"/>
          </w:tcPr>
          <w:p w14:paraId="3B399BA4" w14:textId="77777777" w:rsidR="003A358D" w:rsidRPr="00CC58A7" w:rsidRDefault="003A358D" w:rsidP="00BE3F24">
            <w:pPr>
              <w:jc w:val="center"/>
              <w:rPr>
                <w:rFonts w:ascii="Arial" w:hAnsi="Arial"/>
                <w:b/>
              </w:rPr>
            </w:pPr>
            <w:r w:rsidRPr="00CC58A7">
              <w:rPr>
                <w:rFonts w:ascii="Arial" w:hAnsi="Arial"/>
                <w:b/>
              </w:rPr>
              <w:t>Function</w:t>
            </w:r>
          </w:p>
        </w:tc>
        <w:tc>
          <w:tcPr>
            <w:tcW w:w="1926" w:type="dxa"/>
            <w:shd w:val="pct15" w:color="auto" w:fill="FFFFFF"/>
            <w:vAlign w:val="center"/>
          </w:tcPr>
          <w:p w14:paraId="2C14B7A0" w14:textId="77777777" w:rsidR="003A358D" w:rsidRPr="00CC58A7" w:rsidRDefault="003A358D" w:rsidP="00BE3F24">
            <w:pPr>
              <w:jc w:val="center"/>
              <w:rPr>
                <w:rFonts w:ascii="Arial" w:hAnsi="Arial"/>
                <w:b/>
              </w:rPr>
            </w:pPr>
            <w:r w:rsidRPr="00CC58A7">
              <w:rPr>
                <w:rFonts w:ascii="Arial" w:hAnsi="Arial"/>
                <w:b/>
              </w:rPr>
              <w:t>Resources</w:t>
            </w:r>
          </w:p>
        </w:tc>
        <w:tc>
          <w:tcPr>
            <w:tcW w:w="1584" w:type="dxa"/>
            <w:shd w:val="pct15" w:color="auto" w:fill="FFFFFF"/>
            <w:vAlign w:val="center"/>
          </w:tcPr>
          <w:p w14:paraId="31D52ED2" w14:textId="77777777" w:rsidR="003A358D" w:rsidRPr="00CC58A7" w:rsidRDefault="003A358D" w:rsidP="00BE3F24">
            <w:pPr>
              <w:jc w:val="center"/>
              <w:rPr>
                <w:rFonts w:ascii="Arial" w:hAnsi="Arial"/>
                <w:b/>
              </w:rPr>
            </w:pPr>
            <w:r w:rsidRPr="00CC58A7">
              <w:rPr>
                <w:rFonts w:ascii="Arial" w:hAnsi="Arial"/>
                <w:b/>
              </w:rPr>
              <w:t>Effort Level</w:t>
            </w:r>
          </w:p>
          <w:p w14:paraId="5A7202E2" w14:textId="77777777" w:rsidR="003A358D" w:rsidRPr="00CC58A7" w:rsidRDefault="003A358D" w:rsidP="00BE3F24">
            <w:pPr>
              <w:jc w:val="center"/>
              <w:rPr>
                <w:rFonts w:ascii="Arial" w:hAnsi="Arial"/>
                <w:b/>
              </w:rPr>
            </w:pPr>
            <w:r w:rsidRPr="00CC58A7">
              <w:rPr>
                <w:rFonts w:ascii="Arial" w:hAnsi="Arial"/>
                <w:b/>
              </w:rPr>
              <w:t>(man-hours)</w:t>
            </w:r>
          </w:p>
        </w:tc>
      </w:tr>
      <w:tr w:rsidR="003A358D" w:rsidRPr="00CC58A7" w14:paraId="050918A9" w14:textId="77777777" w:rsidTr="00131450">
        <w:trPr>
          <w:trHeight w:val="288"/>
          <w:jc w:val="center"/>
        </w:trPr>
        <w:tc>
          <w:tcPr>
            <w:tcW w:w="2692" w:type="dxa"/>
            <w:vAlign w:val="center"/>
          </w:tcPr>
          <w:p w14:paraId="17BB5771" w14:textId="77777777" w:rsidR="003A358D" w:rsidRPr="000572A5" w:rsidRDefault="003A358D" w:rsidP="00BE3F24">
            <w:pPr>
              <w:jc w:val="center"/>
              <w:rPr>
                <w:rFonts w:ascii="Arial" w:hAnsi="Arial"/>
                <w:sz w:val="18"/>
              </w:rPr>
            </w:pPr>
            <w:r w:rsidRPr="000572A5">
              <w:rPr>
                <w:rFonts w:ascii="Arial" w:hAnsi="Arial"/>
                <w:sz w:val="18"/>
              </w:rPr>
              <w:t>PAGD Engineer</w:t>
            </w:r>
          </w:p>
        </w:tc>
        <w:tc>
          <w:tcPr>
            <w:tcW w:w="2286" w:type="dxa"/>
            <w:vAlign w:val="center"/>
          </w:tcPr>
          <w:p w14:paraId="09163E0E" w14:textId="77777777" w:rsidR="003A358D" w:rsidRPr="00CC58A7" w:rsidRDefault="003A358D" w:rsidP="00BE3F24">
            <w:pPr>
              <w:jc w:val="center"/>
              <w:rPr>
                <w:rFonts w:ascii="Arial" w:hAnsi="Arial"/>
                <w:sz w:val="18"/>
              </w:rPr>
            </w:pPr>
            <w:r>
              <w:rPr>
                <w:rFonts w:ascii="Arial" w:hAnsi="Arial"/>
                <w:sz w:val="18"/>
              </w:rPr>
              <w:t>Prepare and Review</w:t>
            </w:r>
          </w:p>
        </w:tc>
        <w:tc>
          <w:tcPr>
            <w:tcW w:w="1926" w:type="dxa"/>
            <w:vAlign w:val="center"/>
          </w:tcPr>
          <w:p w14:paraId="355754CF" w14:textId="77777777" w:rsidR="003A358D" w:rsidRPr="00CC58A7" w:rsidRDefault="003A358D" w:rsidP="00BE3F24">
            <w:pPr>
              <w:jc w:val="center"/>
              <w:rPr>
                <w:rFonts w:ascii="Arial" w:hAnsi="Arial"/>
                <w:sz w:val="18"/>
              </w:rPr>
            </w:pPr>
            <w:r w:rsidRPr="00CC58A7">
              <w:rPr>
                <w:rFonts w:ascii="Arial" w:hAnsi="Arial"/>
                <w:sz w:val="18"/>
              </w:rPr>
              <w:t>1</w:t>
            </w:r>
          </w:p>
        </w:tc>
        <w:tc>
          <w:tcPr>
            <w:tcW w:w="1584" w:type="dxa"/>
            <w:vAlign w:val="center"/>
          </w:tcPr>
          <w:p w14:paraId="725D6C1A" w14:textId="77777777" w:rsidR="003A358D" w:rsidRPr="00CC58A7" w:rsidRDefault="003A358D" w:rsidP="00BE3F24">
            <w:pPr>
              <w:jc w:val="center"/>
              <w:rPr>
                <w:rFonts w:ascii="Arial" w:hAnsi="Arial"/>
                <w:sz w:val="18"/>
              </w:rPr>
            </w:pPr>
            <w:r>
              <w:rPr>
                <w:rFonts w:ascii="Arial" w:hAnsi="Arial"/>
                <w:sz w:val="18"/>
              </w:rPr>
              <w:t>4*</w:t>
            </w:r>
          </w:p>
        </w:tc>
      </w:tr>
    </w:tbl>
    <w:p w14:paraId="4903BE92" w14:textId="77777777" w:rsidR="003A358D" w:rsidRPr="00335937" w:rsidRDefault="003A358D" w:rsidP="00BE3F24">
      <w:pPr>
        <w:rPr>
          <w:rFonts w:ascii="Arial" w:hAnsi="Arial" w:cs="Arial"/>
          <w:highlight w:val="yellow"/>
        </w:rPr>
      </w:pPr>
      <w:r>
        <w:rPr>
          <w:rFonts w:ascii="Arial" w:hAnsi="Arial"/>
          <w:sz w:val="18"/>
          <w:szCs w:val="18"/>
        </w:rPr>
        <w:t xml:space="preserve">      </w:t>
      </w:r>
      <w:r w:rsidRPr="003E0C70">
        <w:rPr>
          <w:rFonts w:ascii="Arial" w:hAnsi="Arial"/>
          <w:sz w:val="18"/>
          <w:szCs w:val="18"/>
        </w:rPr>
        <w:t>* The time required would vary depending on the size and complexity of a project.</w:t>
      </w:r>
    </w:p>
    <w:p w14:paraId="2FB2C334" w14:textId="77777777" w:rsidR="003A358D" w:rsidRPr="000C21CB" w:rsidRDefault="003A358D" w:rsidP="00172E64">
      <w:pPr>
        <w:pStyle w:val="Heading3"/>
        <w:numPr>
          <w:ilvl w:val="2"/>
          <w:numId w:val="185"/>
        </w:numPr>
        <w:ind w:left="0" w:firstLine="0"/>
      </w:pPr>
      <w:r w:rsidRPr="000C21CB">
        <w:t>Procedure</w:t>
      </w:r>
    </w:p>
    <w:p w14:paraId="77F76566" w14:textId="52A4D741" w:rsidR="003A358D" w:rsidRPr="003A358D" w:rsidRDefault="003A358D" w:rsidP="00BE3F24">
      <w:pPr>
        <w:pStyle w:val="ListNumber"/>
        <w:tabs>
          <w:tab w:val="clear" w:pos="720"/>
          <w:tab w:val="clear" w:pos="1872"/>
        </w:tabs>
        <w:spacing w:before="0"/>
        <w:ind w:left="0" w:firstLine="0"/>
        <w:jc w:val="both"/>
        <w:rPr>
          <w:i/>
          <w:iCs/>
        </w:rPr>
      </w:pPr>
      <w:r>
        <w:t>The l</w:t>
      </w:r>
      <w:r w:rsidRPr="000C21CB">
        <w:t xml:space="preserve">iterature below </w:t>
      </w:r>
      <w:r>
        <w:t>presents</w:t>
      </w:r>
      <w:r w:rsidRPr="000C21CB">
        <w:t xml:space="preserve"> </w:t>
      </w:r>
      <w:r>
        <w:t>circumstances</w:t>
      </w:r>
      <w:r w:rsidRPr="000C21CB">
        <w:t xml:space="preserve"> where </w:t>
      </w:r>
      <w:r>
        <w:t>Special Provisions</w:t>
      </w:r>
      <w:r w:rsidRPr="000C21CB">
        <w:t xml:space="preserve"> (SPs) </w:t>
      </w:r>
      <w:r>
        <w:t>may be</w:t>
      </w:r>
      <w:r w:rsidRPr="000C21CB">
        <w:t xml:space="preserve"> called</w:t>
      </w:r>
      <w:r>
        <w:t>.</w:t>
      </w:r>
      <w:r w:rsidRPr="000C21CB">
        <w:t xml:space="preserve"> </w:t>
      </w:r>
      <w:r>
        <w:t xml:space="preserve">All project-specific Specifications should be used at </w:t>
      </w:r>
      <w:r w:rsidR="0053258E">
        <w:t xml:space="preserve">the </w:t>
      </w:r>
      <w:r>
        <w:t xml:space="preserve">PAGD Engineer’s discretion and the approval of PAGD TL/ADC-Design/DC. </w:t>
      </w:r>
      <w:r w:rsidRPr="00015AD3">
        <w:t>For e</w:t>
      </w:r>
      <w:r>
        <w:t xml:space="preserve">xample specs, </w:t>
      </w:r>
      <w:r w:rsidR="00995128">
        <w:t xml:space="preserve">refer to </w:t>
      </w:r>
      <w:hyperlink r:id="rId335" w:history="1">
        <w:r w:rsidR="00995128" w:rsidRPr="00995128">
          <w:rPr>
            <w:rStyle w:val="Hyperlink"/>
          </w:rPr>
          <w:t>Specifications\Ready for Use\Example Geotechnical Specs</w:t>
        </w:r>
      </w:hyperlink>
      <w:r w:rsidR="00995128">
        <w:t>.</w:t>
      </w:r>
    </w:p>
    <w:p w14:paraId="68F9ED24" w14:textId="77777777" w:rsidR="003A358D" w:rsidRPr="000C21CB" w:rsidRDefault="003A358D" w:rsidP="00BE3F24">
      <w:pPr>
        <w:pStyle w:val="BodyText"/>
        <w:spacing w:after="0"/>
        <w:jc w:val="both"/>
      </w:pPr>
    </w:p>
    <w:p w14:paraId="6EF861D3" w14:textId="77777777" w:rsidR="001A15B9" w:rsidRDefault="003A358D" w:rsidP="00172E64">
      <w:pPr>
        <w:pStyle w:val="BodyText"/>
        <w:numPr>
          <w:ilvl w:val="0"/>
          <w:numId w:val="66"/>
        </w:numPr>
        <w:spacing w:after="0"/>
        <w:ind w:left="1080" w:hanging="1080"/>
        <w:jc w:val="both"/>
      </w:pPr>
      <w:r>
        <w:t xml:space="preserve">Review the latest copy of </w:t>
      </w:r>
      <w:r w:rsidR="00995128">
        <w:t>the</w:t>
      </w:r>
      <w:r>
        <w:t xml:space="preserve"> PAGD Spec Guide list</w:t>
      </w:r>
      <w:r w:rsidRPr="000E2FE8">
        <w:t>.</w:t>
      </w:r>
      <w:r>
        <w:t xml:space="preserve"> </w:t>
      </w:r>
      <w:r w:rsidR="00995128">
        <w:t>Re</w:t>
      </w:r>
      <w:r>
        <w:t>fer to</w:t>
      </w:r>
      <w:r w:rsidR="00D74D3F">
        <w:t xml:space="preserve"> </w:t>
      </w:r>
      <w:hyperlink r:id="rId336" w:history="1">
        <w:r w:rsidR="00D74D3F" w:rsidRPr="00D74D3F">
          <w:rPr>
            <w:rStyle w:val="Hyperlink"/>
          </w:rPr>
          <w:t>Specification Development Priorities.xlsx</w:t>
        </w:r>
      </w:hyperlink>
      <w:r w:rsidR="00D74D3F">
        <w:t>.</w:t>
      </w:r>
    </w:p>
    <w:p w14:paraId="49CDDB68" w14:textId="77777777" w:rsidR="003A358D" w:rsidRDefault="003A358D" w:rsidP="003B1662">
      <w:pPr>
        <w:pStyle w:val="BodyText"/>
        <w:spacing w:after="0"/>
        <w:ind w:left="1080" w:hanging="1080"/>
        <w:jc w:val="both"/>
      </w:pPr>
    </w:p>
    <w:p w14:paraId="7966F314" w14:textId="77777777" w:rsidR="00D71C36" w:rsidRDefault="00D71C36" w:rsidP="00BE3F24">
      <w:pPr>
        <w:pStyle w:val="BodyText"/>
        <w:spacing w:after="0"/>
        <w:jc w:val="both"/>
        <w:rPr>
          <w:b/>
          <w:bCs/>
          <w:i/>
          <w:iCs/>
          <w:u w:val="single"/>
        </w:rPr>
      </w:pPr>
      <w:r w:rsidRPr="003D0A88">
        <w:rPr>
          <w:b/>
          <w:bCs/>
          <w:i/>
          <w:iCs/>
          <w:u w:val="single"/>
        </w:rPr>
        <w:t>Category 100:</w:t>
      </w:r>
    </w:p>
    <w:p w14:paraId="6EF3278D" w14:textId="18E2AAF6" w:rsidR="001A15B9" w:rsidRDefault="003A358D" w:rsidP="00172E64">
      <w:pPr>
        <w:pStyle w:val="BodyText"/>
        <w:numPr>
          <w:ilvl w:val="0"/>
          <w:numId w:val="66"/>
        </w:numPr>
        <w:spacing w:before="240" w:after="0"/>
        <w:ind w:left="1080" w:hanging="1080"/>
        <w:jc w:val="both"/>
      </w:pPr>
      <w:r>
        <w:t>I</w:t>
      </w:r>
      <w:r w:rsidRPr="00015AD3">
        <w:t xml:space="preserve">f the stability of </w:t>
      </w:r>
      <w:r>
        <w:t>n</w:t>
      </w:r>
      <w:r w:rsidRPr="00015AD3">
        <w:t xml:space="preserve">earby buildings or structures </w:t>
      </w:r>
      <w:r>
        <w:t>could be impacted by construction</w:t>
      </w:r>
      <w:r w:rsidRPr="00015AD3">
        <w:t xml:space="preserve"> activity</w:t>
      </w:r>
      <w:r w:rsidR="004A13E3">
        <w:t>,</w:t>
      </w:r>
      <w:r w:rsidRPr="00015AD3">
        <w:t xml:space="preserve"> a “Construction Noise and Vibration”</w:t>
      </w:r>
      <w:r w:rsidRPr="008C28D5">
        <w:t xml:space="preserve"> </w:t>
      </w:r>
      <w:r w:rsidRPr="00015AD3">
        <w:t xml:space="preserve">special provision might </w:t>
      </w:r>
      <w:r>
        <w:t xml:space="preserve">be </w:t>
      </w:r>
      <w:r w:rsidRPr="00015AD3">
        <w:t>need</w:t>
      </w:r>
      <w:r>
        <w:t>ed</w:t>
      </w:r>
      <w:r w:rsidRPr="00015AD3">
        <w:t xml:space="preserve"> to be included with the </w:t>
      </w:r>
      <w:r>
        <w:t>Contract D</w:t>
      </w:r>
      <w:r w:rsidRPr="00015AD3">
        <w:t xml:space="preserve">ocuments. This specification is developed with the help of EGD. </w:t>
      </w:r>
      <w:r w:rsidRPr="000E2FE8">
        <w:t xml:space="preserve">If buildings are removed as part of the </w:t>
      </w:r>
      <w:r>
        <w:t>proposed plan</w:t>
      </w:r>
      <w:r w:rsidRPr="000E2FE8">
        <w:t xml:space="preserve"> to construct a roadway or roadway associated structures, a special provision “Removal and Disposal of Existing Buildings” </w:t>
      </w:r>
      <w:r>
        <w:t>should</w:t>
      </w:r>
      <w:r w:rsidRPr="000E2FE8">
        <w:t xml:space="preserve"> be included </w:t>
      </w:r>
      <w:r>
        <w:t xml:space="preserve">in </w:t>
      </w:r>
      <w:r w:rsidRPr="000E2FE8">
        <w:t xml:space="preserve">the </w:t>
      </w:r>
      <w:r>
        <w:t>C</w:t>
      </w:r>
      <w:r w:rsidRPr="000E2FE8">
        <w:t xml:space="preserve">ontract </w:t>
      </w:r>
      <w:r>
        <w:t>D</w:t>
      </w:r>
      <w:r w:rsidRPr="000E2FE8">
        <w:t xml:space="preserve">ocuments. </w:t>
      </w:r>
      <w:r>
        <w:t>C</w:t>
      </w:r>
      <w:r w:rsidRPr="000E2FE8">
        <w:t>o-ordinate with EGD for a special provision.</w:t>
      </w:r>
      <w:r>
        <w:t xml:space="preserve"> </w:t>
      </w:r>
    </w:p>
    <w:p w14:paraId="3C7D78A1" w14:textId="77777777" w:rsidR="001A15B9" w:rsidRDefault="003A358D" w:rsidP="00172E64">
      <w:pPr>
        <w:pStyle w:val="ListNumber"/>
        <w:numPr>
          <w:ilvl w:val="0"/>
          <w:numId w:val="66"/>
        </w:numPr>
        <w:tabs>
          <w:tab w:val="clear" w:pos="1872"/>
        </w:tabs>
        <w:ind w:left="1080" w:hanging="1080"/>
        <w:jc w:val="both"/>
        <w:rPr>
          <w:i/>
          <w:iCs/>
        </w:rPr>
      </w:pPr>
      <w:r>
        <w:t>If there are abandoned monitoring wells within the project limits and are required to remove them, a special provision “Abandoned Monitoring Well” should be included in the Contract Documents</w:t>
      </w:r>
      <w:r w:rsidRPr="00015AD3">
        <w:t xml:space="preserve">. This specification is developed with the help of </w:t>
      </w:r>
      <w:r>
        <w:t>EGD</w:t>
      </w:r>
      <w:r w:rsidRPr="00015AD3">
        <w:t>.</w:t>
      </w:r>
    </w:p>
    <w:p w14:paraId="1975438C" w14:textId="4AC56ABF" w:rsidR="001A15B9" w:rsidRDefault="003A358D" w:rsidP="00172E64">
      <w:pPr>
        <w:pStyle w:val="ListNumber"/>
        <w:numPr>
          <w:ilvl w:val="0"/>
          <w:numId w:val="66"/>
        </w:numPr>
        <w:tabs>
          <w:tab w:val="clear" w:pos="1872"/>
        </w:tabs>
        <w:ind w:left="1080" w:hanging="1080"/>
        <w:jc w:val="both"/>
      </w:pPr>
      <w:r>
        <w:lastRenderedPageBreak/>
        <w:t>In some projects, p</w:t>
      </w:r>
      <w:r w:rsidRPr="006338D8">
        <w:t>re</w:t>
      </w:r>
      <w:r w:rsidR="004A13E3">
        <w:t>-</w:t>
      </w:r>
      <w:r w:rsidRPr="006338D8">
        <w:t xml:space="preserve"> and </w:t>
      </w:r>
      <w:r>
        <w:t>post</w:t>
      </w:r>
      <w:r w:rsidR="004A13E3">
        <w:t>-</w:t>
      </w:r>
      <w:r>
        <w:t>c</w:t>
      </w:r>
      <w:r w:rsidRPr="006338D8">
        <w:t xml:space="preserve">onstruction surveys may be used to determine if there are precautions required to prevent damage to the structures during the reconstruction work.  These surveys may also be used to determine if any damage has occurred to the structures during construction and the extent of the damage. A special provision “Construction Survey” </w:t>
      </w:r>
      <w:r>
        <w:t>should</w:t>
      </w:r>
      <w:r w:rsidRPr="006338D8">
        <w:t xml:space="preserve"> be included </w:t>
      </w:r>
      <w:r>
        <w:t>in the Contract D</w:t>
      </w:r>
      <w:r w:rsidRPr="006338D8">
        <w:t xml:space="preserve">ocuments. This </w:t>
      </w:r>
      <w:r w:rsidRPr="00E42EE3">
        <w:t>specification is developed with the help of EG</w:t>
      </w:r>
      <w:r>
        <w:t>D</w:t>
      </w:r>
      <w:r w:rsidRPr="00E42EE3">
        <w:t xml:space="preserve">. </w:t>
      </w:r>
    </w:p>
    <w:p w14:paraId="0428351B" w14:textId="129CF0E4" w:rsidR="001A15B9" w:rsidRDefault="003A358D" w:rsidP="00172E64">
      <w:pPr>
        <w:pStyle w:val="ListNumber"/>
        <w:numPr>
          <w:ilvl w:val="0"/>
          <w:numId w:val="66"/>
        </w:numPr>
        <w:tabs>
          <w:tab w:val="clear" w:pos="1872"/>
        </w:tabs>
        <w:ind w:left="1080" w:hanging="1080"/>
        <w:jc w:val="both"/>
      </w:pPr>
      <w:r>
        <w:t>If there are any surface dumps, abandoned wells</w:t>
      </w:r>
      <w:r w:rsidR="004A13E3">
        <w:t>,</w:t>
      </w:r>
      <w:r>
        <w:t xml:space="preserve"> or other possible situations where clearing and grubbing </w:t>
      </w:r>
      <w:r w:rsidR="004A13E3">
        <w:t xml:space="preserve">are </w:t>
      </w:r>
      <w:r>
        <w:t>required before the contractor proceeds to grading for roadway, a</w:t>
      </w:r>
      <w:r w:rsidRPr="006338D8">
        <w:t xml:space="preserve"> special provision “</w:t>
      </w:r>
      <w:r>
        <w:t>Clearing and Grubbing</w:t>
      </w:r>
      <w:r w:rsidRPr="006338D8">
        <w:t xml:space="preserve">” </w:t>
      </w:r>
      <w:r>
        <w:t>should</w:t>
      </w:r>
      <w:r w:rsidRPr="006338D8">
        <w:t xml:space="preserve"> be included </w:t>
      </w:r>
      <w:r>
        <w:t>in the Contract D</w:t>
      </w:r>
      <w:r w:rsidRPr="006338D8">
        <w:t xml:space="preserve">ocuments. This </w:t>
      </w:r>
      <w:r w:rsidRPr="00E42EE3">
        <w:t>specification is developed with the help of E</w:t>
      </w:r>
      <w:r>
        <w:t>GD</w:t>
      </w:r>
      <w:r w:rsidRPr="00E42EE3">
        <w:t xml:space="preserve">. </w:t>
      </w:r>
    </w:p>
    <w:p w14:paraId="158A0130" w14:textId="77777777" w:rsidR="003A358D" w:rsidRDefault="003A358D" w:rsidP="00BE3F24">
      <w:pPr>
        <w:pStyle w:val="ListNumber"/>
        <w:tabs>
          <w:tab w:val="clear" w:pos="720"/>
          <w:tab w:val="clear" w:pos="1872"/>
        </w:tabs>
        <w:spacing w:before="0"/>
        <w:ind w:left="0" w:firstLine="0"/>
        <w:jc w:val="both"/>
      </w:pPr>
    </w:p>
    <w:p w14:paraId="6A5C40A3" w14:textId="77777777" w:rsidR="003A358D" w:rsidRDefault="003A358D" w:rsidP="00BE3F24">
      <w:pPr>
        <w:pStyle w:val="ListNumber"/>
        <w:numPr>
          <w:ilvl w:val="12"/>
          <w:numId w:val="0"/>
        </w:numPr>
        <w:tabs>
          <w:tab w:val="clear" w:pos="1872"/>
        </w:tabs>
        <w:spacing w:before="0"/>
        <w:jc w:val="both"/>
        <w:rPr>
          <w:b/>
          <w:bCs/>
          <w:i/>
          <w:iCs/>
          <w:u w:val="single"/>
        </w:rPr>
      </w:pPr>
      <w:r>
        <w:rPr>
          <w:b/>
          <w:bCs/>
          <w:i/>
          <w:iCs/>
          <w:u w:val="single"/>
        </w:rPr>
        <w:t>Category 2</w:t>
      </w:r>
      <w:r w:rsidRPr="003D0A88">
        <w:rPr>
          <w:b/>
          <w:bCs/>
          <w:i/>
          <w:iCs/>
          <w:u w:val="single"/>
        </w:rPr>
        <w:t>00:</w:t>
      </w:r>
    </w:p>
    <w:p w14:paraId="61D70775" w14:textId="77777777" w:rsidR="001A15B9" w:rsidRDefault="003A358D" w:rsidP="00172E64">
      <w:pPr>
        <w:pStyle w:val="ListNumber"/>
        <w:numPr>
          <w:ilvl w:val="0"/>
          <w:numId w:val="66"/>
        </w:numPr>
        <w:tabs>
          <w:tab w:val="clear" w:pos="1872"/>
        </w:tabs>
        <w:spacing w:before="240"/>
        <w:ind w:left="1080" w:hanging="1080"/>
        <w:jc w:val="both"/>
        <w:rPr>
          <w:i/>
          <w:iCs/>
        </w:rPr>
      </w:pPr>
      <w:r>
        <w:t xml:space="preserve">A </w:t>
      </w:r>
      <w:r w:rsidRPr="00C06921">
        <w:t>“Construction Sequence</w:t>
      </w:r>
      <w:r>
        <w:t xml:space="preserve"> for Sinkholes</w:t>
      </w:r>
      <w:r w:rsidRPr="00C06921">
        <w:t xml:space="preserve">” special provision </w:t>
      </w:r>
      <w:r>
        <w:t>should</w:t>
      </w:r>
      <w:r w:rsidRPr="00C06921">
        <w:t xml:space="preserve"> be included in the </w:t>
      </w:r>
      <w:r>
        <w:t>Contract</w:t>
      </w:r>
      <w:r w:rsidRPr="00C06921">
        <w:t xml:space="preserve"> </w:t>
      </w:r>
      <w:r>
        <w:t>Document</w:t>
      </w:r>
      <w:r w:rsidRPr="00C06921">
        <w:t xml:space="preserve">s when there are sinkholes within the project limits and need to be filled before roadway is constructed. </w:t>
      </w:r>
      <w:r>
        <w:t>Also, this spec can be used in other projects where the engineer feels that following a sequence would be beneficial.</w:t>
      </w:r>
    </w:p>
    <w:p w14:paraId="45BCF777" w14:textId="77777777" w:rsidR="001A15B9" w:rsidRDefault="003A358D" w:rsidP="00172E64">
      <w:pPr>
        <w:pStyle w:val="ListNumber"/>
        <w:numPr>
          <w:ilvl w:val="0"/>
          <w:numId w:val="66"/>
        </w:numPr>
        <w:tabs>
          <w:tab w:val="clear" w:pos="1872"/>
        </w:tabs>
        <w:ind w:left="1080" w:hanging="1080"/>
        <w:jc w:val="both"/>
      </w:pPr>
      <w:r w:rsidRPr="00C06921">
        <w:t xml:space="preserve">If there is any wetland mitigation involved in the project scope, a special provision reading “Wetland Mitigation Site Grading” </w:t>
      </w:r>
      <w:r>
        <w:t>should</w:t>
      </w:r>
      <w:r w:rsidRPr="00C06921">
        <w:t xml:space="preserve"> </w:t>
      </w:r>
      <w:r w:rsidRPr="006338D8">
        <w:t xml:space="preserve">be included </w:t>
      </w:r>
      <w:r>
        <w:t>in the Contract D</w:t>
      </w:r>
      <w:r w:rsidRPr="006338D8">
        <w:t>ocuments</w:t>
      </w:r>
      <w:r w:rsidRPr="00C06921">
        <w:t xml:space="preserve">. </w:t>
      </w:r>
    </w:p>
    <w:p w14:paraId="0E94D57A" w14:textId="29D20397" w:rsidR="001A15B9" w:rsidRDefault="003A358D" w:rsidP="00172E64">
      <w:pPr>
        <w:pStyle w:val="ListNumber"/>
        <w:numPr>
          <w:ilvl w:val="0"/>
          <w:numId w:val="66"/>
        </w:numPr>
        <w:tabs>
          <w:tab w:val="clear" w:pos="1872"/>
        </w:tabs>
        <w:ind w:left="1080" w:hanging="1080"/>
        <w:jc w:val="both"/>
        <w:rPr>
          <w:i/>
          <w:iCs/>
        </w:rPr>
      </w:pPr>
      <w:r w:rsidRPr="00D124B8">
        <w:t>If the bori</w:t>
      </w:r>
      <w:r>
        <w:t>ngs reveal presence of Johnsong</w:t>
      </w:r>
      <w:r w:rsidRPr="00D124B8">
        <w:t>ras</w:t>
      </w:r>
      <w:r>
        <w:t>s</w:t>
      </w:r>
      <w:r w:rsidRPr="00D124B8">
        <w:t xml:space="preserve"> within the project limits, it </w:t>
      </w:r>
      <w:r>
        <w:t>should</w:t>
      </w:r>
      <w:r w:rsidRPr="00D124B8">
        <w:t xml:space="preserve"> be treated as contaminated soil and </w:t>
      </w:r>
      <w:r w:rsidR="004A13E3">
        <w:t>be</w:t>
      </w:r>
      <w:r w:rsidR="004A13E3" w:rsidRPr="00D124B8">
        <w:t xml:space="preserve"> </w:t>
      </w:r>
      <w:r w:rsidRPr="00D124B8">
        <w:t xml:space="preserve">removed. A special provision “Disposal of Topsoil </w:t>
      </w:r>
      <w:r>
        <w:t>and Root Mat Contaminated with Johnsong</w:t>
      </w:r>
      <w:r w:rsidRPr="00D124B8">
        <w:t xml:space="preserve">rass” </w:t>
      </w:r>
      <w:r>
        <w:t>should</w:t>
      </w:r>
      <w:r w:rsidRPr="00D124B8">
        <w:t xml:space="preserve"> be included in the Contract </w:t>
      </w:r>
      <w:r>
        <w:t>Document</w:t>
      </w:r>
      <w:r w:rsidRPr="00D124B8">
        <w:t xml:space="preserve">s.  </w:t>
      </w:r>
    </w:p>
    <w:p w14:paraId="4BDC6606" w14:textId="5D1DA647" w:rsidR="001A15B9" w:rsidRDefault="003A358D" w:rsidP="00172E64">
      <w:pPr>
        <w:pStyle w:val="ListNumber"/>
        <w:numPr>
          <w:ilvl w:val="0"/>
          <w:numId w:val="66"/>
        </w:numPr>
        <w:tabs>
          <w:tab w:val="clear" w:pos="1872"/>
        </w:tabs>
        <w:ind w:left="1080" w:hanging="1080"/>
        <w:jc w:val="both"/>
      </w:pPr>
      <w:r w:rsidRPr="00D124B8">
        <w:t xml:space="preserve">If </w:t>
      </w:r>
      <w:r w:rsidR="002917AA" w:rsidRPr="00D124B8">
        <w:t>Sul</w:t>
      </w:r>
      <w:r w:rsidR="002917AA">
        <w:t>f</w:t>
      </w:r>
      <w:r w:rsidR="002917AA" w:rsidRPr="00D124B8">
        <w:t xml:space="preserve">idic </w:t>
      </w:r>
      <w:r w:rsidRPr="00D124B8">
        <w:t>soils are encountered within the project limits, a special provision</w:t>
      </w:r>
      <w:r>
        <w:t xml:space="preserve"> </w:t>
      </w:r>
      <w:r w:rsidRPr="00D124B8">
        <w:t>“</w:t>
      </w:r>
      <w:r w:rsidR="002917AA" w:rsidRPr="00D124B8">
        <w:t>Sul</w:t>
      </w:r>
      <w:r w:rsidR="002917AA">
        <w:t>f</w:t>
      </w:r>
      <w:r w:rsidR="002917AA" w:rsidRPr="00D124B8">
        <w:t xml:space="preserve">idic </w:t>
      </w:r>
      <w:r w:rsidRPr="00D124B8">
        <w:t xml:space="preserve">Soils” stating </w:t>
      </w:r>
      <w:r>
        <w:t>a</w:t>
      </w:r>
      <w:r w:rsidRPr="00D124B8">
        <w:t xml:space="preserve">bout the treatment of </w:t>
      </w:r>
      <w:r w:rsidR="002917AA" w:rsidRPr="00D124B8">
        <w:t>sul</w:t>
      </w:r>
      <w:r w:rsidR="002917AA">
        <w:t>f</w:t>
      </w:r>
      <w:r w:rsidR="002917AA" w:rsidRPr="00D124B8">
        <w:t xml:space="preserve">idic </w:t>
      </w:r>
      <w:r w:rsidRPr="00D124B8">
        <w:t xml:space="preserve">soils </w:t>
      </w:r>
      <w:r>
        <w:t>should</w:t>
      </w:r>
      <w:r w:rsidRPr="00D124B8">
        <w:t xml:space="preserve"> be included in the Contract </w:t>
      </w:r>
      <w:r>
        <w:t>Document</w:t>
      </w:r>
      <w:r w:rsidRPr="00D124B8">
        <w:t xml:space="preserve">s. </w:t>
      </w:r>
    </w:p>
    <w:p w14:paraId="5D984873" w14:textId="77777777" w:rsidR="001A15B9" w:rsidRDefault="003A358D" w:rsidP="00172E64">
      <w:pPr>
        <w:pStyle w:val="ListNumber"/>
        <w:numPr>
          <w:ilvl w:val="0"/>
          <w:numId w:val="66"/>
        </w:numPr>
        <w:tabs>
          <w:tab w:val="clear" w:pos="1872"/>
        </w:tabs>
        <w:ind w:left="1080" w:hanging="1080"/>
        <w:jc w:val="both"/>
        <w:rPr>
          <w:i/>
          <w:iCs/>
        </w:rPr>
      </w:pPr>
      <w:r w:rsidRPr="00316B10">
        <w:t xml:space="preserve">In projects where Quicklime </w:t>
      </w:r>
      <w:r>
        <w:t>is proposed for</w:t>
      </w:r>
      <w:r w:rsidRPr="00316B10">
        <w:t xml:space="preserve"> drying the wet soils, include a special provision</w:t>
      </w:r>
      <w:r>
        <w:t xml:space="preserve"> </w:t>
      </w:r>
      <w:r w:rsidRPr="00316B10">
        <w:t>“Quicklime Treatment</w:t>
      </w:r>
      <w:r>
        <w:t xml:space="preserve"> for drying</w:t>
      </w:r>
      <w:r w:rsidRPr="00316B10">
        <w:t>”</w:t>
      </w:r>
      <w:r>
        <w:t xml:space="preserve"> in the Contract D</w:t>
      </w:r>
      <w:r w:rsidRPr="006338D8">
        <w:t>ocuments</w:t>
      </w:r>
      <w:r w:rsidRPr="00316B10">
        <w:t>.</w:t>
      </w:r>
    </w:p>
    <w:p w14:paraId="0F195A5D" w14:textId="49C5EF60" w:rsidR="001A15B9" w:rsidRDefault="003A358D" w:rsidP="00172E64">
      <w:pPr>
        <w:pStyle w:val="ListNumber"/>
        <w:numPr>
          <w:ilvl w:val="0"/>
          <w:numId w:val="66"/>
        </w:numPr>
        <w:tabs>
          <w:tab w:val="clear" w:pos="1872"/>
        </w:tabs>
        <w:ind w:left="1080" w:hanging="1080"/>
        <w:jc w:val="both"/>
      </w:pPr>
      <w:r w:rsidRPr="00A75682">
        <w:t>For projects where embankment construction is proposed on soft clays, slope inclinometers</w:t>
      </w:r>
      <w:r w:rsidR="001D69CD">
        <w:t xml:space="preserve"> with</w:t>
      </w:r>
      <w:r w:rsidR="00CF65CA">
        <w:t xml:space="preserve"> </w:t>
      </w:r>
      <w:r w:rsidRPr="001D69CD">
        <w:t>telescoping inclinometer casing</w:t>
      </w:r>
      <w:r w:rsidR="0053258E">
        <w:t>s</w:t>
      </w:r>
      <w:r w:rsidRPr="001D69CD">
        <w:t xml:space="preserve"> are used</w:t>
      </w:r>
      <w:r w:rsidRPr="00A75682">
        <w:t xml:space="preserve"> to monitor the stability </w:t>
      </w:r>
      <w:r>
        <w:t xml:space="preserve">and settlement </w:t>
      </w:r>
      <w:r w:rsidRPr="00A75682">
        <w:t xml:space="preserve">of the embankment as it is built. </w:t>
      </w:r>
      <w:r>
        <w:t>Where inclinometers are included, provide a special provision “Inclinometers” to</w:t>
      </w:r>
      <w:r w:rsidRPr="00C06921">
        <w:t xml:space="preserve"> </w:t>
      </w:r>
      <w:r w:rsidRPr="006338D8">
        <w:t xml:space="preserve">be included </w:t>
      </w:r>
      <w:r>
        <w:t>in the Contract D</w:t>
      </w:r>
      <w:r w:rsidRPr="006338D8">
        <w:t>ocuments</w:t>
      </w:r>
      <w:r w:rsidRPr="00A75682">
        <w:t>.</w:t>
      </w:r>
    </w:p>
    <w:p w14:paraId="5ACA5BCD" w14:textId="4867D125" w:rsidR="003A358D" w:rsidRPr="00A75682" w:rsidRDefault="003A358D" w:rsidP="00172E64">
      <w:pPr>
        <w:pStyle w:val="ListNumber"/>
        <w:numPr>
          <w:ilvl w:val="0"/>
          <w:numId w:val="66"/>
        </w:numPr>
        <w:tabs>
          <w:tab w:val="clear" w:pos="1872"/>
        </w:tabs>
        <w:ind w:left="1080" w:hanging="1080"/>
        <w:jc w:val="both"/>
      </w:pPr>
      <w:r w:rsidRPr="00A75682">
        <w:t>For projects where embankment construction</w:t>
      </w:r>
      <w:r>
        <w:t xml:space="preserve"> and slopes are</w:t>
      </w:r>
      <w:r w:rsidRPr="00A75682">
        <w:t xml:space="preserve"> proposed on soft clays, </w:t>
      </w:r>
      <w:r>
        <w:t>settlement plates monitor the slope movements</w:t>
      </w:r>
      <w:r w:rsidRPr="00A75682">
        <w:t xml:space="preserve">. </w:t>
      </w:r>
      <w:r>
        <w:t xml:space="preserve">In cases where settlement plates are included, provide a special provision “Settlement Plates” to be </w:t>
      </w:r>
      <w:r w:rsidRPr="00A75682">
        <w:t xml:space="preserve">included as part of the Contract </w:t>
      </w:r>
      <w:r>
        <w:t>Document</w:t>
      </w:r>
      <w:r w:rsidRPr="00A75682">
        <w:t>s.</w:t>
      </w:r>
      <w:r w:rsidR="00D71C36" w:rsidRPr="00A75682">
        <w:t xml:space="preserve"> </w:t>
      </w:r>
    </w:p>
    <w:p w14:paraId="2030BC5D" w14:textId="32DA9F6F" w:rsidR="001A15B9" w:rsidRDefault="003A358D" w:rsidP="00172E64">
      <w:pPr>
        <w:pStyle w:val="ListNumber"/>
        <w:numPr>
          <w:ilvl w:val="0"/>
          <w:numId w:val="66"/>
        </w:numPr>
        <w:tabs>
          <w:tab w:val="clear" w:pos="1872"/>
        </w:tabs>
        <w:ind w:left="1080" w:hanging="1080"/>
        <w:jc w:val="both"/>
        <w:rPr>
          <w:i/>
          <w:iCs/>
        </w:rPr>
      </w:pPr>
      <w:r w:rsidRPr="00A26419">
        <w:t xml:space="preserve">In some projects, high moisture contents of fine grained soils and high water tables might </w:t>
      </w:r>
      <w:r>
        <w:t xml:space="preserve">make </w:t>
      </w:r>
      <w:r w:rsidR="004A13E3">
        <w:t xml:space="preserve">the </w:t>
      </w:r>
      <w:r w:rsidRPr="00A26419">
        <w:t xml:space="preserve">subgrade very unstable during </w:t>
      </w:r>
      <w:r>
        <w:t>test/</w:t>
      </w:r>
      <w:r w:rsidRPr="00A26419">
        <w:t xml:space="preserve">proof rolling. Drainage Blanket provided will assist in stabilizing the subgrade, bridging unstable material, and minimizing the practice of undercutting. The drainage blanket is being used to prevent seasonal fluctuations in the groundwater from damaging the integrity of the pavement section and to stabilize the subgrade </w:t>
      </w:r>
      <w:r w:rsidRPr="00A26419">
        <w:lastRenderedPageBreak/>
        <w:t xml:space="preserve">in order to expedite construction activities. </w:t>
      </w:r>
      <w:r>
        <w:t xml:space="preserve">Provide a special provision “Subgrade Drainage Blanket” to be </w:t>
      </w:r>
      <w:r w:rsidRPr="00A75682">
        <w:t xml:space="preserve">included </w:t>
      </w:r>
      <w:r>
        <w:t>in</w:t>
      </w:r>
      <w:r w:rsidRPr="00A75682">
        <w:t xml:space="preserve"> the Contract </w:t>
      </w:r>
      <w:r>
        <w:t>D</w:t>
      </w:r>
      <w:r w:rsidRPr="00A75682">
        <w:t>ocuments</w:t>
      </w:r>
      <w:r>
        <w:t>.</w:t>
      </w:r>
      <w:r w:rsidRPr="00A26419">
        <w:t xml:space="preserve"> </w:t>
      </w:r>
    </w:p>
    <w:p w14:paraId="6F169737" w14:textId="573DBC34" w:rsidR="001A15B9" w:rsidRDefault="003A358D" w:rsidP="00172E64">
      <w:pPr>
        <w:pStyle w:val="ListNumber"/>
        <w:numPr>
          <w:ilvl w:val="0"/>
          <w:numId w:val="66"/>
        </w:numPr>
        <w:tabs>
          <w:tab w:val="clear" w:pos="1872"/>
        </w:tabs>
        <w:ind w:left="1080" w:hanging="1080"/>
        <w:jc w:val="both"/>
      </w:pPr>
      <w:r w:rsidRPr="00810A29">
        <w:t>If rock is encountered in any of the borings</w:t>
      </w:r>
      <w:r w:rsidR="00F4523B">
        <w:t xml:space="preserve"> or indicated in the geophysical results</w:t>
      </w:r>
      <w:r w:rsidRPr="00810A29">
        <w:t>, review the borings for auger refusal (hard or soft rock)</w:t>
      </w:r>
      <w:r w:rsidR="00F4523B">
        <w:t xml:space="preserve"> or rippability</w:t>
      </w:r>
      <w:r w:rsidRPr="00810A29">
        <w:t>. If soft rock</w:t>
      </w:r>
      <w:r w:rsidR="00F4523B">
        <w:t xml:space="preserve"> or rippable</w:t>
      </w:r>
      <w:r w:rsidR="004A13E3">
        <w:t xml:space="preserve"> rock</w:t>
      </w:r>
      <w:r w:rsidRPr="00810A29">
        <w:t xml:space="preserve"> is encountered, it can be excavated by conventional equipment. If hard rock</w:t>
      </w:r>
      <w:r w:rsidR="00F4523B">
        <w:t xml:space="preserve"> or non-rippable rock</w:t>
      </w:r>
      <w:r w:rsidRPr="00810A29">
        <w:t xml:space="preserve"> is encountered, rock blasting may be required. </w:t>
      </w:r>
      <w:r>
        <w:t>Provide a special provision “SP 201</w:t>
      </w:r>
      <w:r w:rsidR="004A13E3">
        <w:rPr>
          <w:rFonts w:cs="Arial"/>
          <w:szCs w:val="22"/>
        </w:rPr>
        <w:t xml:space="preserve"> – </w:t>
      </w:r>
      <w:r>
        <w:t xml:space="preserve">Roadway Excavation” to be </w:t>
      </w:r>
      <w:r w:rsidRPr="00A75682">
        <w:t xml:space="preserve">included </w:t>
      </w:r>
      <w:r>
        <w:t>in</w:t>
      </w:r>
      <w:r w:rsidRPr="00A75682">
        <w:t xml:space="preserve"> the Contract </w:t>
      </w:r>
      <w:r>
        <w:t>Document</w:t>
      </w:r>
      <w:r w:rsidRPr="00A75682">
        <w:t>s</w:t>
      </w:r>
      <w:r>
        <w:t>.</w:t>
      </w:r>
      <w:r w:rsidRPr="00810A29">
        <w:t xml:space="preserve"> </w:t>
      </w:r>
      <w:r>
        <w:t>C</w:t>
      </w:r>
      <w:r w:rsidRPr="00810A29">
        <w:t>o-ordinate with EG</w:t>
      </w:r>
      <w:r>
        <w:t>D</w:t>
      </w:r>
      <w:r w:rsidRPr="00810A29">
        <w:t xml:space="preserve"> for a special provision. </w:t>
      </w:r>
    </w:p>
    <w:p w14:paraId="23BEE54B" w14:textId="7669E915" w:rsidR="001A15B9" w:rsidRDefault="003A358D" w:rsidP="00172E64">
      <w:pPr>
        <w:pStyle w:val="ListNumber"/>
        <w:numPr>
          <w:ilvl w:val="0"/>
          <w:numId w:val="66"/>
        </w:numPr>
        <w:tabs>
          <w:tab w:val="clear" w:pos="1872"/>
        </w:tabs>
        <w:ind w:left="1080" w:hanging="1080"/>
        <w:jc w:val="both"/>
      </w:pPr>
      <w:r>
        <w:t>For U</w:t>
      </w:r>
      <w:r w:rsidR="00D74D3F">
        <w:t>nderground Storage Tank</w:t>
      </w:r>
      <w:r>
        <w:t xml:space="preserve"> removal and </w:t>
      </w:r>
      <w:r w:rsidR="00D74D3F">
        <w:t>b</w:t>
      </w:r>
      <w:r>
        <w:t>ackfill, a special provision “SP 201</w:t>
      </w:r>
      <w:r w:rsidR="004A13E3">
        <w:rPr>
          <w:rFonts w:cs="Arial"/>
          <w:szCs w:val="22"/>
        </w:rPr>
        <w:t xml:space="preserve"> – </w:t>
      </w:r>
      <w:r>
        <w:t xml:space="preserve">Roadway Excavation” to be </w:t>
      </w:r>
      <w:r w:rsidRPr="00A75682">
        <w:t xml:space="preserve">included </w:t>
      </w:r>
      <w:r>
        <w:t>in</w:t>
      </w:r>
      <w:r w:rsidRPr="00A75682">
        <w:t xml:space="preserve"> the Contract </w:t>
      </w:r>
      <w:r>
        <w:t>Document</w:t>
      </w:r>
      <w:r w:rsidRPr="00A75682">
        <w:t>s</w:t>
      </w:r>
      <w:r>
        <w:t>.</w:t>
      </w:r>
      <w:r w:rsidRPr="00810A29">
        <w:t xml:space="preserve"> </w:t>
      </w:r>
      <w:r>
        <w:t>C</w:t>
      </w:r>
      <w:r w:rsidRPr="00810A29">
        <w:t>o-ordinate with EG</w:t>
      </w:r>
      <w:r>
        <w:t>D</w:t>
      </w:r>
      <w:r w:rsidRPr="00810A29">
        <w:t xml:space="preserve"> for a special provision.</w:t>
      </w:r>
      <w:r w:rsidR="00ED4A45">
        <w:t xml:space="preserve">  Refer to </w:t>
      </w:r>
      <w:hyperlink w:anchor="_Miscellaneous_(UST,_Karst," w:history="1">
        <w:r w:rsidR="00ED4A45" w:rsidRPr="00ED4A45">
          <w:rPr>
            <w:rStyle w:val="Hyperlink"/>
          </w:rPr>
          <w:t>Miscellaneous (UST, Karst, Geotextiles, etc.)</w:t>
        </w:r>
      </w:hyperlink>
    </w:p>
    <w:p w14:paraId="60BD2AB5" w14:textId="7B2B11E8" w:rsidR="001A15B9" w:rsidRDefault="003A358D" w:rsidP="00172E64">
      <w:pPr>
        <w:pStyle w:val="ListNumber"/>
        <w:numPr>
          <w:ilvl w:val="0"/>
          <w:numId w:val="66"/>
        </w:numPr>
        <w:tabs>
          <w:tab w:val="clear" w:pos="1872"/>
        </w:tabs>
        <w:ind w:left="1080" w:hanging="1080"/>
        <w:jc w:val="both"/>
      </w:pPr>
      <w:r w:rsidRPr="003E2422">
        <w:t xml:space="preserve">If the </w:t>
      </w:r>
      <w:r w:rsidR="00133264">
        <w:t xml:space="preserve">geophysical, in-situ, or </w:t>
      </w:r>
      <w:r w:rsidRPr="003E2422">
        <w:t>boring</w:t>
      </w:r>
      <w:r w:rsidR="00133264">
        <w:t xml:space="preserve"> data</w:t>
      </w:r>
      <w:r w:rsidRPr="003E2422">
        <w:t xml:space="preserve"> reveal soft material with high moisture contents at subgrade level, then the subgrade may not support the pavement and construction equipment. It has to be replaced with a better material. All excavated material </w:t>
      </w:r>
      <w:r>
        <w:t>should</w:t>
      </w:r>
      <w:r w:rsidRPr="003E2422">
        <w:t xml:space="preserve"> be counted as Class 1-A </w:t>
      </w:r>
      <w:r>
        <w:t>E</w:t>
      </w:r>
      <w:r w:rsidRPr="003E2422">
        <w:t xml:space="preserve">xcavation. Usually for backfilling Class 1-A </w:t>
      </w:r>
      <w:r>
        <w:t>E</w:t>
      </w:r>
      <w:r w:rsidRPr="003E2422">
        <w:t>xcavation, GSSGAB is preferred</w:t>
      </w:r>
      <w:r w:rsidR="004A13E3">
        <w:t>,</w:t>
      </w:r>
      <w:r w:rsidRPr="003E2422">
        <w:t xml:space="preserve"> but other borrow materials can also be used based on the availability and approval of Engineer. The Contractor </w:t>
      </w:r>
      <w:r>
        <w:t>should</w:t>
      </w:r>
      <w:r w:rsidRPr="003E2422">
        <w:t xml:space="preserve"> be alerted </w:t>
      </w:r>
      <w:r w:rsidR="004A13E3">
        <w:t>to</w:t>
      </w:r>
      <w:r w:rsidR="004A13E3" w:rsidRPr="003E2422">
        <w:t xml:space="preserve"> </w:t>
      </w:r>
      <w:r w:rsidRPr="003E2422">
        <w:t xml:space="preserve">the </w:t>
      </w:r>
      <w:r w:rsidR="004A13E3">
        <w:t>probability of</w:t>
      </w:r>
      <w:r w:rsidRPr="003E2422">
        <w:t xml:space="preserve"> encountering soft materials and </w:t>
      </w:r>
      <w:r w:rsidR="004A13E3">
        <w:t>the</w:t>
      </w:r>
      <w:r w:rsidR="004A13E3" w:rsidRPr="003E2422">
        <w:t xml:space="preserve"> </w:t>
      </w:r>
      <w:r w:rsidRPr="003E2422">
        <w:t xml:space="preserve">need to </w:t>
      </w:r>
      <w:r w:rsidR="004A13E3">
        <w:t>use</w:t>
      </w:r>
      <w:r w:rsidR="004A13E3" w:rsidRPr="003E2422">
        <w:t xml:space="preserve"> </w:t>
      </w:r>
      <w:r w:rsidRPr="003E2422">
        <w:t xml:space="preserve">Class 1-A </w:t>
      </w:r>
      <w:r>
        <w:t>E</w:t>
      </w:r>
      <w:r w:rsidRPr="003E2422">
        <w:t>x</w:t>
      </w:r>
      <w:r>
        <w:t>cava</w:t>
      </w:r>
      <w:r w:rsidRPr="003E2422">
        <w:t>tion</w:t>
      </w:r>
      <w:r w:rsidR="004A13E3">
        <w:t>,</w:t>
      </w:r>
      <w:r w:rsidRPr="003E2422">
        <w:t xml:space="preserve"> as ne</w:t>
      </w:r>
      <w:r w:rsidR="004A13E3">
        <w:t>cessary.</w:t>
      </w:r>
      <w:r w:rsidRPr="003E2422">
        <w:t xml:space="preserve"> </w:t>
      </w:r>
      <w:r>
        <w:t>Provide a special provision “SP 201</w:t>
      </w:r>
      <w:r w:rsidR="004A13E3">
        <w:rPr>
          <w:rFonts w:cs="Arial"/>
          <w:szCs w:val="22"/>
        </w:rPr>
        <w:t xml:space="preserve"> – </w:t>
      </w:r>
      <w:r>
        <w:t xml:space="preserve">Roadway Excavation” to be </w:t>
      </w:r>
      <w:r w:rsidRPr="00A75682">
        <w:t xml:space="preserve">included </w:t>
      </w:r>
      <w:r>
        <w:t>in</w:t>
      </w:r>
      <w:r w:rsidRPr="00A75682">
        <w:t xml:space="preserve"> the Contract </w:t>
      </w:r>
      <w:r>
        <w:t>D</w:t>
      </w:r>
      <w:r w:rsidRPr="00A75682">
        <w:t>ocuments</w:t>
      </w:r>
      <w:r>
        <w:t>.</w:t>
      </w:r>
      <w:r w:rsidRPr="00810A29">
        <w:t xml:space="preserve"> </w:t>
      </w:r>
    </w:p>
    <w:p w14:paraId="5B2F7BFE" w14:textId="06005A2B" w:rsidR="001A15B9" w:rsidRDefault="003A358D" w:rsidP="00172E64">
      <w:pPr>
        <w:pStyle w:val="ListNumber"/>
        <w:numPr>
          <w:ilvl w:val="0"/>
          <w:numId w:val="66"/>
        </w:numPr>
        <w:tabs>
          <w:tab w:val="clear" w:pos="1872"/>
        </w:tabs>
        <w:ind w:left="1080" w:hanging="1080"/>
        <w:jc w:val="both"/>
      </w:pPr>
      <w:r w:rsidRPr="0083358A">
        <w:t>If an embankment is to be placed on soft soils to support the roadway structure, the foundation soils may not provide enough bearing for construction equipment to maneuver. In such cases, either the foundation soil is excavated and backfilled with better material</w:t>
      </w:r>
      <w:r w:rsidR="004A13E3">
        <w:t>,</w:t>
      </w:r>
      <w:r w:rsidRPr="0083358A">
        <w:t xml:space="preserve"> or </w:t>
      </w:r>
      <w:r>
        <w:t>should</w:t>
      </w:r>
      <w:r w:rsidRPr="0083358A">
        <w:t xml:space="preserve"> be bridged with thick lifts of borrow material. </w:t>
      </w:r>
      <w:r>
        <w:t xml:space="preserve">Provide a special provision “SP 204 – Embankment and Subgrade” to be </w:t>
      </w:r>
      <w:r w:rsidRPr="00A75682">
        <w:t xml:space="preserve">included </w:t>
      </w:r>
      <w:r>
        <w:t>in</w:t>
      </w:r>
      <w:r w:rsidRPr="00A75682">
        <w:t xml:space="preserve"> the Contract </w:t>
      </w:r>
      <w:r>
        <w:t>D</w:t>
      </w:r>
      <w:r w:rsidRPr="00A75682">
        <w:t>ocuments</w:t>
      </w:r>
      <w:r>
        <w:t>.</w:t>
      </w:r>
      <w:r w:rsidRPr="00810A29">
        <w:t xml:space="preserve"> </w:t>
      </w:r>
    </w:p>
    <w:p w14:paraId="76FDF838" w14:textId="3E5AE904" w:rsidR="001A15B9" w:rsidRDefault="003A358D" w:rsidP="00172E64">
      <w:pPr>
        <w:pStyle w:val="ListNumber"/>
        <w:numPr>
          <w:ilvl w:val="0"/>
          <w:numId w:val="66"/>
        </w:numPr>
        <w:tabs>
          <w:tab w:val="clear" w:pos="1872"/>
        </w:tabs>
        <w:ind w:left="1080" w:hanging="1080"/>
        <w:jc w:val="both"/>
      </w:pPr>
      <w:r w:rsidRPr="0083358A">
        <w:t>If an embankment has to be placed over wetlands or ponds, co-ordinate with Engineering Geology Division</w:t>
      </w:r>
      <w:r w:rsidR="00F4523B">
        <w:t xml:space="preserve"> (EGD)</w:t>
      </w:r>
      <w:r w:rsidRPr="0083358A">
        <w:t xml:space="preserve"> for a special provision. </w:t>
      </w:r>
      <w:r>
        <w:t xml:space="preserve">Provide a special provision “SP 204 – Embankment and Subgrade” to be </w:t>
      </w:r>
      <w:r w:rsidRPr="00A75682">
        <w:t>in</w:t>
      </w:r>
      <w:r>
        <w:t>cluded in the Contract D</w:t>
      </w:r>
      <w:r w:rsidRPr="00A75682">
        <w:t>ocuments</w:t>
      </w:r>
      <w:r>
        <w:t>.</w:t>
      </w:r>
    </w:p>
    <w:p w14:paraId="1552CC32" w14:textId="5C733FAD" w:rsidR="001A15B9" w:rsidRDefault="003A358D" w:rsidP="00172E64">
      <w:pPr>
        <w:pStyle w:val="ListNumber"/>
        <w:numPr>
          <w:ilvl w:val="0"/>
          <w:numId w:val="66"/>
        </w:numPr>
        <w:tabs>
          <w:tab w:val="clear" w:pos="1872"/>
        </w:tabs>
        <w:ind w:left="1080" w:hanging="1080"/>
        <w:jc w:val="both"/>
      </w:pPr>
      <w:r w:rsidRPr="00214535">
        <w:t xml:space="preserve">If the embankments are built on soft compressible soils in staged construction so that soils gain strength over time by consolidation, settlement plates are required to monitor the settlement of the embankment lifts placed. </w:t>
      </w:r>
      <w:r>
        <w:t xml:space="preserve">Provide a special provision “SP 204 – Embankment and Subgrade” to be </w:t>
      </w:r>
      <w:r w:rsidRPr="00A75682">
        <w:t xml:space="preserve">included </w:t>
      </w:r>
      <w:r>
        <w:t xml:space="preserve">in </w:t>
      </w:r>
      <w:r w:rsidRPr="00A75682">
        <w:t xml:space="preserve">the Contract </w:t>
      </w:r>
      <w:r>
        <w:t>Document</w:t>
      </w:r>
      <w:r w:rsidRPr="00A75682">
        <w:t>s</w:t>
      </w:r>
      <w:r>
        <w:t>. C</w:t>
      </w:r>
      <w:r w:rsidRPr="00214535">
        <w:t>o-ordinate with Engineering Geology Division</w:t>
      </w:r>
      <w:r w:rsidR="00F4523B">
        <w:t xml:space="preserve"> (EGD)</w:t>
      </w:r>
      <w:r w:rsidRPr="00214535">
        <w:t xml:space="preserve"> for a special provision.</w:t>
      </w:r>
    </w:p>
    <w:p w14:paraId="028D87B2" w14:textId="77777777" w:rsidR="001A15B9" w:rsidRDefault="003A358D" w:rsidP="00172E64">
      <w:pPr>
        <w:pStyle w:val="ListNumber"/>
        <w:numPr>
          <w:ilvl w:val="0"/>
          <w:numId w:val="66"/>
        </w:numPr>
        <w:tabs>
          <w:tab w:val="clear" w:pos="1872"/>
        </w:tabs>
        <w:ind w:left="1080" w:hanging="1080"/>
        <w:jc w:val="both"/>
      </w:pPr>
      <w:r w:rsidRPr="003F27D2">
        <w:t xml:space="preserve">If Lime is proposed for subgrade stabilization, “Lime Treated Subgrade” Specification </w:t>
      </w:r>
      <w:r>
        <w:t>should</w:t>
      </w:r>
      <w:r w:rsidRPr="003F27D2">
        <w:t xml:space="preserve"> be included in the Contract </w:t>
      </w:r>
      <w:r>
        <w:t>Document</w:t>
      </w:r>
      <w:r w:rsidRPr="003F27D2">
        <w:t xml:space="preserve">s. However, the percentage of lime required for stabilization is based on the results obtained from laboratory testing of different soil samples with various lime percentages. </w:t>
      </w:r>
      <w:r>
        <w:t xml:space="preserve">Provide a special provision “SP 200 – Lime Treated Subgrade” to be </w:t>
      </w:r>
      <w:r w:rsidRPr="00A75682">
        <w:t xml:space="preserve">included </w:t>
      </w:r>
      <w:r>
        <w:t xml:space="preserve">in </w:t>
      </w:r>
      <w:r w:rsidRPr="00A75682">
        <w:t xml:space="preserve">the Contract </w:t>
      </w:r>
      <w:r>
        <w:t>D</w:t>
      </w:r>
      <w:r w:rsidRPr="00A75682">
        <w:t>ocuments</w:t>
      </w:r>
      <w:r>
        <w:t xml:space="preserve">. </w:t>
      </w:r>
    </w:p>
    <w:p w14:paraId="06700102" w14:textId="77777777" w:rsidR="001A15B9" w:rsidRDefault="003A358D" w:rsidP="00172E64">
      <w:pPr>
        <w:pStyle w:val="ListNumber"/>
        <w:numPr>
          <w:ilvl w:val="0"/>
          <w:numId w:val="66"/>
        </w:numPr>
        <w:tabs>
          <w:tab w:val="clear" w:pos="1872"/>
        </w:tabs>
        <w:ind w:left="1080" w:hanging="1080"/>
        <w:jc w:val="both"/>
      </w:pPr>
      <w:r w:rsidRPr="003F27D2">
        <w:lastRenderedPageBreak/>
        <w:t xml:space="preserve">If Cement is proposed for subgrade stabilization, “Cement Treated Subgrade” Specification </w:t>
      </w:r>
      <w:r>
        <w:t>should</w:t>
      </w:r>
      <w:r w:rsidRPr="003F27D2">
        <w:t xml:space="preserve"> be included in the Contract </w:t>
      </w:r>
      <w:r>
        <w:t>Document</w:t>
      </w:r>
      <w:r w:rsidRPr="003F27D2">
        <w:t xml:space="preserve">s. However, the percentage of cement required for stabilization is based on the results obtained from laboratory testing of different soil samples with various cement percentages. </w:t>
      </w:r>
      <w:r>
        <w:t xml:space="preserve">Provide a special provision “SP 200 – Cement Treated Subgrade” to be </w:t>
      </w:r>
      <w:r w:rsidRPr="00A75682">
        <w:t xml:space="preserve">included </w:t>
      </w:r>
      <w:r>
        <w:t>in the Contract D</w:t>
      </w:r>
      <w:r w:rsidRPr="00A75682">
        <w:t>ocuments</w:t>
      </w:r>
      <w:r>
        <w:t xml:space="preserve">. </w:t>
      </w:r>
    </w:p>
    <w:p w14:paraId="5A194DF9" w14:textId="5BAE3FE4" w:rsidR="001A15B9" w:rsidRDefault="003A358D" w:rsidP="00172E64">
      <w:pPr>
        <w:pStyle w:val="ListNumber"/>
        <w:numPr>
          <w:ilvl w:val="0"/>
          <w:numId w:val="66"/>
        </w:numPr>
        <w:tabs>
          <w:tab w:val="clear" w:pos="1872"/>
        </w:tabs>
        <w:ind w:left="1080" w:hanging="1080"/>
        <w:jc w:val="both"/>
      </w:pPr>
      <w:r w:rsidRPr="0039649F">
        <w:t>Due to right</w:t>
      </w:r>
      <w:r w:rsidR="009F0E4A">
        <w:t>-</w:t>
      </w:r>
      <w:r w:rsidRPr="0039649F">
        <w:t>of</w:t>
      </w:r>
      <w:r w:rsidR="009F0E4A">
        <w:t>-</w:t>
      </w:r>
      <w:r>
        <w:t xml:space="preserve">way </w:t>
      </w:r>
      <w:r w:rsidRPr="0039649F">
        <w:t xml:space="preserve">constraints, providing a slope flatter than 2:1 </w:t>
      </w:r>
      <w:r>
        <w:t>for high embankments with benches (10</w:t>
      </w:r>
      <w:r w:rsidR="009F0E4A">
        <w:t>-</w:t>
      </w:r>
      <w:r>
        <w:t>ft</w:t>
      </w:r>
      <w:r w:rsidR="0053258E">
        <w:t>.</w:t>
      </w:r>
      <w:r>
        <w:t xml:space="preserve"> wide) </w:t>
      </w:r>
      <w:r w:rsidRPr="0039649F">
        <w:t xml:space="preserve">may not be possible. If the slopes have to be steeper, then they </w:t>
      </w:r>
      <w:r>
        <w:t>should</w:t>
      </w:r>
      <w:r w:rsidRPr="0039649F">
        <w:t xml:space="preserve"> be reinforced with high strength geotextiles. </w:t>
      </w:r>
      <w:r>
        <w:t xml:space="preserve">Provide a special provision “SP 200 – Geotextile Inclusion and High Strength Geotextile for Reinforcement” to be </w:t>
      </w:r>
      <w:r w:rsidRPr="00A75682">
        <w:t>in</w:t>
      </w:r>
      <w:r>
        <w:t>cluded in the Contract D</w:t>
      </w:r>
      <w:r w:rsidRPr="00A75682">
        <w:t>ocuments</w:t>
      </w:r>
      <w:r>
        <w:t>. C</w:t>
      </w:r>
      <w:r w:rsidRPr="0039649F">
        <w:t xml:space="preserve">o-ordinate with </w:t>
      </w:r>
      <w:r>
        <w:t>EGD</w:t>
      </w:r>
      <w:r w:rsidRPr="0039649F">
        <w:t xml:space="preserve"> for a special provision.</w:t>
      </w:r>
    </w:p>
    <w:p w14:paraId="51BED8AE" w14:textId="46D5E8A4" w:rsidR="001A15B9" w:rsidRDefault="003A358D" w:rsidP="00172E64">
      <w:pPr>
        <w:pStyle w:val="ListNumber"/>
        <w:numPr>
          <w:ilvl w:val="0"/>
          <w:numId w:val="66"/>
        </w:numPr>
        <w:tabs>
          <w:tab w:val="clear" w:pos="1872"/>
        </w:tabs>
        <w:ind w:left="1080" w:hanging="1080"/>
        <w:jc w:val="both"/>
      </w:pPr>
      <w:r w:rsidRPr="00097C69">
        <w:t xml:space="preserve">If the borings reveal any petroleum traces or the soil is determined to be contaminated, it </w:t>
      </w:r>
      <w:r>
        <w:t>should</w:t>
      </w:r>
      <w:r w:rsidRPr="00097C69">
        <w:t xml:space="preserve"> be excavated and backfilled with borrow or aggregate. A Special Provision </w:t>
      </w:r>
      <w:r w:rsidR="009F0E4A">
        <w:t>discus</w:t>
      </w:r>
      <w:r w:rsidR="00865D2D">
        <w:t>s</w:t>
      </w:r>
      <w:r w:rsidR="009F0E4A">
        <w:t>ing</w:t>
      </w:r>
      <w:r w:rsidRPr="00097C69">
        <w:t xml:space="preserve"> Contaminated Soils </w:t>
      </w:r>
      <w:r>
        <w:t>should</w:t>
      </w:r>
      <w:r w:rsidRPr="00097C69">
        <w:t xml:space="preserve"> be developed and put in the Contract. </w:t>
      </w:r>
      <w:r>
        <w:t xml:space="preserve">Provide a special provision “SP 200 – Contaminated Soils” to be </w:t>
      </w:r>
      <w:r w:rsidRPr="00A75682">
        <w:t xml:space="preserve">included </w:t>
      </w:r>
      <w:r>
        <w:t xml:space="preserve">in </w:t>
      </w:r>
      <w:r w:rsidRPr="00A75682">
        <w:t xml:space="preserve">the Contract </w:t>
      </w:r>
      <w:r>
        <w:t>D</w:t>
      </w:r>
      <w:r w:rsidRPr="00A75682">
        <w:t>ocuments</w:t>
      </w:r>
      <w:r>
        <w:t>. C</w:t>
      </w:r>
      <w:r w:rsidRPr="00097C69">
        <w:t xml:space="preserve">o-ordinate with </w:t>
      </w:r>
      <w:r>
        <w:t>EGD</w:t>
      </w:r>
      <w:r w:rsidRPr="00097C69">
        <w:t xml:space="preserve"> for a special provision. </w:t>
      </w:r>
    </w:p>
    <w:p w14:paraId="7C6B4CFC" w14:textId="77777777" w:rsidR="001A15B9" w:rsidRDefault="003A358D" w:rsidP="00172E64">
      <w:pPr>
        <w:pStyle w:val="ListNumber"/>
        <w:numPr>
          <w:ilvl w:val="0"/>
          <w:numId w:val="66"/>
        </w:numPr>
        <w:tabs>
          <w:tab w:val="clear" w:pos="1872"/>
        </w:tabs>
        <w:ind w:left="1080" w:hanging="1080"/>
        <w:jc w:val="both"/>
      </w:pPr>
      <w:r w:rsidRPr="00291C3C">
        <w:t xml:space="preserve">If temporary cut slopes are required during construction, a Special Provision </w:t>
      </w:r>
      <w:r>
        <w:t>should</w:t>
      </w:r>
      <w:r w:rsidRPr="00291C3C">
        <w:t xml:space="preserve"> be developed and be included in the Contract </w:t>
      </w:r>
      <w:r>
        <w:t>Document</w:t>
      </w:r>
      <w:r w:rsidRPr="00291C3C">
        <w:t xml:space="preserve">s. </w:t>
      </w:r>
      <w:r>
        <w:t xml:space="preserve">Provide a special provision “SP 200 – Temporary Cut Slopes” to be </w:t>
      </w:r>
      <w:r w:rsidRPr="00A75682">
        <w:t xml:space="preserve">included </w:t>
      </w:r>
      <w:r>
        <w:t xml:space="preserve">in the </w:t>
      </w:r>
      <w:r w:rsidRPr="00A75682">
        <w:t xml:space="preserve">Contract </w:t>
      </w:r>
      <w:r>
        <w:t>D</w:t>
      </w:r>
      <w:r w:rsidRPr="00A75682">
        <w:t>ocuments</w:t>
      </w:r>
      <w:r>
        <w:t>.</w:t>
      </w:r>
    </w:p>
    <w:p w14:paraId="20EFBA30" w14:textId="77777777" w:rsidR="001A15B9" w:rsidRDefault="003A358D" w:rsidP="00172E64">
      <w:pPr>
        <w:pStyle w:val="ListNumber"/>
        <w:numPr>
          <w:ilvl w:val="0"/>
          <w:numId w:val="66"/>
        </w:numPr>
        <w:tabs>
          <w:tab w:val="clear" w:pos="1872"/>
        </w:tabs>
        <w:ind w:left="1080" w:hanging="1080"/>
        <w:jc w:val="both"/>
      </w:pPr>
      <w:r>
        <w:t xml:space="preserve">If any underdrains are required to keep the subgrade from being wet during and after construction, a special provision stating the locations and types of underdrains should be developed. Provide a special provision “SP 201 – Roadway Excavation” to be </w:t>
      </w:r>
      <w:r w:rsidRPr="00A75682">
        <w:t>included</w:t>
      </w:r>
      <w:r>
        <w:t xml:space="preserve"> in</w:t>
      </w:r>
      <w:r w:rsidRPr="00A75682">
        <w:t xml:space="preserve"> the Contract </w:t>
      </w:r>
      <w:r>
        <w:t>D</w:t>
      </w:r>
      <w:r w:rsidRPr="00A75682">
        <w:t>ocuments</w:t>
      </w:r>
      <w:r>
        <w:t xml:space="preserve">. </w:t>
      </w:r>
    </w:p>
    <w:p w14:paraId="27C6780A" w14:textId="77777777" w:rsidR="00D71C36" w:rsidRDefault="00D71C36" w:rsidP="003B1662">
      <w:pPr>
        <w:pStyle w:val="ListParagraph"/>
        <w:ind w:left="1080" w:hanging="1080"/>
      </w:pPr>
    </w:p>
    <w:p w14:paraId="03F7DEBE" w14:textId="77777777" w:rsidR="003A358D" w:rsidRDefault="003A358D" w:rsidP="00BE3F24">
      <w:pPr>
        <w:pStyle w:val="ListNumber"/>
        <w:numPr>
          <w:ilvl w:val="12"/>
          <w:numId w:val="0"/>
        </w:numPr>
        <w:tabs>
          <w:tab w:val="clear" w:pos="1872"/>
        </w:tabs>
        <w:spacing w:before="0"/>
        <w:jc w:val="both"/>
        <w:rPr>
          <w:b/>
          <w:bCs/>
          <w:i/>
          <w:iCs/>
          <w:u w:val="single"/>
        </w:rPr>
      </w:pPr>
      <w:r>
        <w:rPr>
          <w:b/>
          <w:bCs/>
          <w:i/>
          <w:iCs/>
          <w:u w:val="single"/>
        </w:rPr>
        <w:t>Category 3</w:t>
      </w:r>
      <w:r w:rsidRPr="003D0A88">
        <w:rPr>
          <w:b/>
          <w:bCs/>
          <w:i/>
          <w:iCs/>
          <w:u w:val="single"/>
        </w:rPr>
        <w:t>00:</w:t>
      </w:r>
    </w:p>
    <w:p w14:paraId="564B1136" w14:textId="77777777" w:rsidR="001A15B9" w:rsidRDefault="003A358D" w:rsidP="00172E64">
      <w:pPr>
        <w:pStyle w:val="ListNumber"/>
        <w:numPr>
          <w:ilvl w:val="0"/>
          <w:numId w:val="66"/>
        </w:numPr>
        <w:tabs>
          <w:tab w:val="clear" w:pos="1872"/>
        </w:tabs>
        <w:spacing w:before="240"/>
        <w:ind w:left="1080" w:hanging="1080"/>
        <w:jc w:val="both"/>
      </w:pPr>
      <w:r>
        <w:t xml:space="preserve">If wick drains are proposed to expedite the settlement of the embankment over soft soils, provide a special provision “SP 300 – Drainage Wicks” to be </w:t>
      </w:r>
      <w:r w:rsidRPr="00A75682">
        <w:t xml:space="preserve">included </w:t>
      </w:r>
      <w:r>
        <w:t>in t</w:t>
      </w:r>
      <w:r w:rsidRPr="00A75682">
        <w:t xml:space="preserve">he Contract </w:t>
      </w:r>
      <w:r>
        <w:t>D</w:t>
      </w:r>
      <w:r w:rsidRPr="00A75682">
        <w:t>ocuments</w:t>
      </w:r>
      <w:r>
        <w:t>.</w:t>
      </w:r>
    </w:p>
    <w:p w14:paraId="6A75CF3B" w14:textId="174ABB1D" w:rsidR="001A15B9" w:rsidRDefault="003A358D" w:rsidP="00172E64">
      <w:pPr>
        <w:pStyle w:val="ListNumber"/>
        <w:numPr>
          <w:ilvl w:val="0"/>
          <w:numId w:val="66"/>
        </w:numPr>
        <w:tabs>
          <w:tab w:val="clear" w:pos="1872"/>
        </w:tabs>
        <w:ind w:left="1080" w:hanging="1080"/>
        <w:jc w:val="both"/>
      </w:pPr>
      <w:r>
        <w:t xml:space="preserve">If Slope Drainage Blanket is proposed for cut slopes in stabilizing the slope against groundwater, provide a special provision “SP 300 – Slope Drainage Blanket” to be </w:t>
      </w:r>
      <w:r w:rsidRPr="00A75682">
        <w:t xml:space="preserve">included </w:t>
      </w:r>
      <w:r>
        <w:t>in the Contract D</w:t>
      </w:r>
      <w:r w:rsidRPr="00A75682">
        <w:t>ocuments</w:t>
      </w:r>
      <w:r>
        <w:t xml:space="preserve">. </w:t>
      </w:r>
    </w:p>
    <w:p w14:paraId="30D54673" w14:textId="28F911B7" w:rsidR="001A15B9" w:rsidRDefault="003A358D" w:rsidP="00172E64">
      <w:pPr>
        <w:pStyle w:val="ListNumber"/>
        <w:numPr>
          <w:ilvl w:val="0"/>
          <w:numId w:val="66"/>
        </w:numPr>
        <w:tabs>
          <w:tab w:val="clear" w:pos="1872"/>
        </w:tabs>
        <w:ind w:left="1080" w:hanging="1080"/>
        <w:jc w:val="both"/>
      </w:pPr>
      <w:r w:rsidRPr="003C79D2">
        <w:t xml:space="preserve">If </w:t>
      </w:r>
      <w:r w:rsidR="009F0E4A">
        <w:t xml:space="preserve">a </w:t>
      </w:r>
      <w:r w:rsidRPr="003C79D2">
        <w:t>Bioretention facility is proposed in the project, include a spec “SP 300 – Bioretention Facilities</w:t>
      </w:r>
      <w:r w:rsidR="009F0E4A">
        <w:t>.</w:t>
      </w:r>
      <w:r w:rsidRPr="003C79D2">
        <w:t>”</w:t>
      </w:r>
    </w:p>
    <w:p w14:paraId="70105010" w14:textId="76296C93" w:rsidR="001A15B9" w:rsidRDefault="003A358D" w:rsidP="00172E64">
      <w:pPr>
        <w:pStyle w:val="ListNumber"/>
        <w:numPr>
          <w:ilvl w:val="0"/>
          <w:numId w:val="66"/>
        </w:numPr>
        <w:tabs>
          <w:tab w:val="clear" w:pos="1872"/>
        </w:tabs>
        <w:ind w:left="1080" w:hanging="1080"/>
        <w:jc w:val="both"/>
      </w:pPr>
      <w:r w:rsidRPr="003C79D2">
        <w:t xml:space="preserve">If </w:t>
      </w:r>
      <w:r w:rsidR="0053258E">
        <w:t xml:space="preserve">a </w:t>
      </w:r>
      <w:r>
        <w:t>Dry swale</w:t>
      </w:r>
      <w:r w:rsidRPr="003C79D2">
        <w:t xml:space="preserve"> facility is proposed in the project, include a spec “SP 300 – </w:t>
      </w:r>
      <w:r>
        <w:t>Dry Swale Facilities</w:t>
      </w:r>
      <w:r w:rsidR="009F0E4A">
        <w:t>.</w:t>
      </w:r>
      <w:r w:rsidRPr="003C79D2">
        <w:t xml:space="preserve">” </w:t>
      </w:r>
    </w:p>
    <w:p w14:paraId="6E3E5077" w14:textId="2E372E1A" w:rsidR="001A15B9" w:rsidRDefault="003A358D" w:rsidP="00172E64">
      <w:pPr>
        <w:pStyle w:val="ListNumber"/>
        <w:numPr>
          <w:ilvl w:val="0"/>
          <w:numId w:val="66"/>
        </w:numPr>
        <w:tabs>
          <w:tab w:val="clear" w:pos="1872"/>
        </w:tabs>
        <w:ind w:left="1080" w:hanging="1080"/>
        <w:jc w:val="both"/>
      </w:pPr>
      <w:r w:rsidRPr="003C79D2">
        <w:t xml:space="preserve">If </w:t>
      </w:r>
      <w:r>
        <w:t>flowable backfill is recommended to backfill abandoned existing pipes</w:t>
      </w:r>
      <w:r w:rsidRPr="003C79D2">
        <w:t xml:space="preserve">, include a spec “SP 300 – </w:t>
      </w:r>
      <w:r>
        <w:t>Flowable Backfill for Abandoned Existing Pipe</w:t>
      </w:r>
      <w:r w:rsidR="009F0E4A">
        <w:t>.</w:t>
      </w:r>
      <w:r w:rsidRPr="003C79D2">
        <w:t xml:space="preserve">” </w:t>
      </w:r>
    </w:p>
    <w:p w14:paraId="493F013F" w14:textId="15F0681A" w:rsidR="001A15B9" w:rsidRDefault="003A358D" w:rsidP="00172E64">
      <w:pPr>
        <w:pStyle w:val="ListNumber"/>
        <w:numPr>
          <w:ilvl w:val="0"/>
          <w:numId w:val="66"/>
        </w:numPr>
        <w:tabs>
          <w:tab w:val="clear" w:pos="1872"/>
        </w:tabs>
        <w:ind w:left="1080" w:hanging="1080"/>
        <w:jc w:val="both"/>
      </w:pPr>
      <w:r w:rsidRPr="003C79D2">
        <w:t xml:space="preserve">If </w:t>
      </w:r>
      <w:r>
        <w:t>Rip Rap is recommended</w:t>
      </w:r>
      <w:r w:rsidR="009F0E4A">
        <w:t>,</w:t>
      </w:r>
      <w:r>
        <w:t xml:space="preserve"> buttress pond or embankment against water,</w:t>
      </w:r>
      <w:r w:rsidRPr="003C79D2">
        <w:t xml:space="preserve"> </w:t>
      </w:r>
      <w:r w:rsidR="009F0E4A">
        <w:t xml:space="preserve">and </w:t>
      </w:r>
      <w:r w:rsidRPr="003C79D2">
        <w:t xml:space="preserve">include a spec “SP 300 – </w:t>
      </w:r>
      <w:r>
        <w:t>Rip Rap Slope Chanel Protection</w:t>
      </w:r>
      <w:r w:rsidR="009F0E4A">
        <w:t>.</w:t>
      </w:r>
      <w:r w:rsidRPr="003C79D2">
        <w:t xml:space="preserve">” </w:t>
      </w:r>
    </w:p>
    <w:p w14:paraId="7E27BB6C" w14:textId="77777777" w:rsidR="009F0E4A" w:rsidRDefault="009F0E4A" w:rsidP="00BE3F24">
      <w:pPr>
        <w:pStyle w:val="ListNumber"/>
        <w:numPr>
          <w:ilvl w:val="12"/>
          <w:numId w:val="0"/>
        </w:numPr>
        <w:tabs>
          <w:tab w:val="clear" w:pos="1872"/>
        </w:tabs>
        <w:spacing w:before="0"/>
        <w:jc w:val="both"/>
        <w:rPr>
          <w:b/>
          <w:bCs/>
          <w:i/>
          <w:iCs/>
          <w:u w:val="single"/>
        </w:rPr>
      </w:pPr>
    </w:p>
    <w:p w14:paraId="2A430FD3" w14:textId="77777777" w:rsidR="009F0E4A" w:rsidRPr="00131450" w:rsidRDefault="009F0E4A" w:rsidP="00131450">
      <w:pPr>
        <w:rPr>
          <w:rFonts w:ascii="Arial" w:hAnsi="Arial"/>
          <w:b/>
          <w:i/>
          <w:sz w:val="22"/>
          <w:u w:val="single"/>
        </w:rPr>
      </w:pPr>
      <w:r>
        <w:rPr>
          <w:b/>
          <w:bCs/>
          <w:i/>
          <w:iCs/>
          <w:u w:val="single"/>
        </w:rPr>
        <w:br w:type="page"/>
      </w:r>
    </w:p>
    <w:p w14:paraId="05B784A7" w14:textId="440C631C" w:rsidR="00D71C36" w:rsidRDefault="00D71C36" w:rsidP="00BE3F24">
      <w:pPr>
        <w:pStyle w:val="ListNumber"/>
        <w:numPr>
          <w:ilvl w:val="12"/>
          <w:numId w:val="0"/>
        </w:numPr>
        <w:tabs>
          <w:tab w:val="clear" w:pos="1872"/>
        </w:tabs>
        <w:spacing w:before="0"/>
        <w:jc w:val="both"/>
        <w:rPr>
          <w:b/>
          <w:bCs/>
          <w:i/>
          <w:iCs/>
          <w:u w:val="single"/>
        </w:rPr>
      </w:pPr>
      <w:r>
        <w:rPr>
          <w:b/>
          <w:bCs/>
          <w:i/>
          <w:iCs/>
          <w:u w:val="single"/>
        </w:rPr>
        <w:lastRenderedPageBreak/>
        <w:t xml:space="preserve">Category </w:t>
      </w:r>
      <w:r w:rsidR="00D74D3F">
        <w:rPr>
          <w:b/>
          <w:bCs/>
          <w:i/>
          <w:iCs/>
          <w:u w:val="single"/>
        </w:rPr>
        <w:t>5</w:t>
      </w:r>
      <w:r w:rsidRPr="003D0A88">
        <w:rPr>
          <w:b/>
          <w:bCs/>
          <w:i/>
          <w:iCs/>
          <w:u w:val="single"/>
        </w:rPr>
        <w:t>00:</w:t>
      </w:r>
    </w:p>
    <w:p w14:paraId="06C2750F" w14:textId="77777777" w:rsidR="001A15B9" w:rsidRDefault="00EA2506" w:rsidP="00172E64">
      <w:pPr>
        <w:pStyle w:val="ListNumber"/>
        <w:numPr>
          <w:ilvl w:val="0"/>
          <w:numId w:val="66"/>
        </w:numPr>
        <w:tabs>
          <w:tab w:val="clear" w:pos="1872"/>
        </w:tabs>
        <w:spacing w:before="240"/>
        <w:ind w:left="1080" w:hanging="1080"/>
        <w:jc w:val="both"/>
      </w:pPr>
      <w:r>
        <w:t>If patching, include the Patching Photo specification.</w:t>
      </w:r>
    </w:p>
    <w:p w14:paraId="4F4EB727" w14:textId="77777777" w:rsidR="001A15B9" w:rsidRDefault="00EA2506" w:rsidP="00172E64">
      <w:pPr>
        <w:pStyle w:val="ListNumber"/>
        <w:numPr>
          <w:ilvl w:val="0"/>
          <w:numId w:val="66"/>
        </w:numPr>
        <w:tabs>
          <w:tab w:val="clear" w:pos="1872"/>
        </w:tabs>
        <w:ind w:left="1080" w:hanging="1080"/>
        <w:jc w:val="both"/>
      </w:pPr>
      <w:r>
        <w:t xml:space="preserve">As appropriate, include specifications related to unique project aspects, such as the </w:t>
      </w:r>
      <w:r w:rsidR="00CF7582">
        <w:t>Dowel Bar Retro Fit spec, White topping, etc</w:t>
      </w:r>
      <w:r>
        <w:t>.</w:t>
      </w:r>
    </w:p>
    <w:p w14:paraId="19D5296A" w14:textId="77777777" w:rsidR="00D71C36" w:rsidRDefault="00D71C36" w:rsidP="00BE3F24">
      <w:pPr>
        <w:pStyle w:val="ListNumber"/>
        <w:numPr>
          <w:ilvl w:val="12"/>
          <w:numId w:val="0"/>
        </w:numPr>
        <w:tabs>
          <w:tab w:val="clear" w:pos="1872"/>
        </w:tabs>
        <w:spacing w:before="0"/>
        <w:jc w:val="both"/>
        <w:rPr>
          <w:b/>
          <w:bCs/>
          <w:i/>
          <w:iCs/>
          <w:u w:val="single"/>
        </w:rPr>
      </w:pPr>
    </w:p>
    <w:p w14:paraId="21A27D9C" w14:textId="77777777" w:rsidR="009048E4" w:rsidRPr="000B2FCD" w:rsidRDefault="009048E4" w:rsidP="00172E64">
      <w:pPr>
        <w:pStyle w:val="Heading4"/>
        <w:numPr>
          <w:ilvl w:val="3"/>
          <w:numId w:val="185"/>
        </w:numPr>
        <w:ind w:left="0" w:firstLine="0"/>
      </w:pPr>
      <w:r w:rsidRPr="000B2FCD">
        <w:t xml:space="preserve">Ride Quality </w:t>
      </w:r>
    </w:p>
    <w:p w14:paraId="71B982B1" w14:textId="78106E78" w:rsidR="009048E4" w:rsidRDefault="009048E4" w:rsidP="009048E4">
      <w:pPr>
        <w:pStyle w:val="BodyText"/>
        <w:spacing w:after="0"/>
        <w:jc w:val="both"/>
      </w:pPr>
      <w:r>
        <w:t>Material acceptance specifications can significantly affect the lay</w:t>
      </w:r>
      <w:r w:rsidR="009F0E4A">
        <w:t>-</w:t>
      </w:r>
      <w:r>
        <w:t>down operations of a</w:t>
      </w:r>
      <w:r w:rsidR="009F0E4A">
        <w:t>n</w:t>
      </w:r>
      <w:r>
        <w:t xml:space="preserve"> </w:t>
      </w:r>
      <w:smartTag w:uri="urn:schemas-microsoft-com:office:smarttags" w:element="stockticker">
        <w:r>
          <w:t>HMA</w:t>
        </w:r>
      </w:smartTag>
      <w:r>
        <w:t xml:space="preserve"> mat and ultimately the performance of the pavement.  </w:t>
      </w:r>
      <w:r w:rsidR="008C7023">
        <w:t>MDOT-SHA</w:t>
      </w:r>
      <w:r>
        <w:t xml:space="preserve"> pavement designers have influence over some of those specifications and should use consistent policies to ensure that quality material is placed to provide the potential for most improvement to the </w:t>
      </w:r>
      <w:r w:rsidR="008C7023">
        <w:t>MDOT-SHA</w:t>
      </w:r>
      <w:r>
        <w:t xml:space="preserve"> pavement network.  The ride quality of the roadway is typically one of the first criteria the travelling public notices about a roadway.</w:t>
      </w:r>
    </w:p>
    <w:p w14:paraId="74D7A2E7" w14:textId="77777777" w:rsidR="009048E4" w:rsidRDefault="009048E4" w:rsidP="009048E4">
      <w:pPr>
        <w:pStyle w:val="BodyText"/>
        <w:spacing w:after="0"/>
        <w:jc w:val="both"/>
      </w:pPr>
    </w:p>
    <w:p w14:paraId="0F91799F" w14:textId="77777777" w:rsidR="009048E4" w:rsidRDefault="009048E4" w:rsidP="00172E64">
      <w:pPr>
        <w:pStyle w:val="Heading4"/>
        <w:numPr>
          <w:ilvl w:val="3"/>
          <w:numId w:val="185"/>
        </w:numPr>
        <w:ind w:left="0" w:firstLine="0"/>
        <w:jc w:val="both"/>
      </w:pPr>
      <w:r>
        <w:t xml:space="preserve">Ride Specification </w:t>
      </w:r>
    </w:p>
    <w:p w14:paraId="5AF38C6C" w14:textId="0627184E" w:rsidR="009048E4" w:rsidRDefault="008C7023" w:rsidP="009048E4">
      <w:pPr>
        <w:jc w:val="both"/>
        <w:rPr>
          <w:rFonts w:ascii="Arial" w:hAnsi="Arial"/>
          <w:sz w:val="22"/>
        </w:rPr>
      </w:pPr>
      <w:r>
        <w:rPr>
          <w:rFonts w:ascii="Arial" w:hAnsi="Arial"/>
          <w:sz w:val="22"/>
        </w:rPr>
        <w:t>MDOT-SHA</w:t>
      </w:r>
      <w:r w:rsidR="009048E4">
        <w:rPr>
          <w:rFonts w:ascii="Arial" w:hAnsi="Arial"/>
          <w:sz w:val="22"/>
        </w:rPr>
        <w:t xml:space="preserve"> implemented a ride specification in 2002 that requires the use of high speed laser profilers and measures ride quality in terms of International Roughness Index (</w:t>
      </w:r>
      <w:smartTag w:uri="urn:schemas-microsoft-com:office:smarttags" w:element="stockticker">
        <w:r w:rsidR="009048E4">
          <w:rPr>
            <w:rFonts w:ascii="Arial" w:hAnsi="Arial"/>
            <w:sz w:val="22"/>
          </w:rPr>
          <w:t>IRI</w:t>
        </w:r>
      </w:smartTag>
      <w:r w:rsidR="009048E4">
        <w:rPr>
          <w:rFonts w:ascii="Arial" w:hAnsi="Arial"/>
          <w:sz w:val="22"/>
        </w:rPr>
        <w:t xml:space="preserve">).  </w:t>
      </w:r>
      <w:smartTag w:uri="urn:schemas-microsoft-com:office:smarttags" w:element="stockticker">
        <w:r w:rsidR="009048E4">
          <w:rPr>
            <w:rFonts w:ascii="Arial" w:hAnsi="Arial"/>
            <w:sz w:val="22"/>
          </w:rPr>
          <w:t>IRI</w:t>
        </w:r>
      </w:smartTag>
      <w:r w:rsidR="009048E4">
        <w:rPr>
          <w:rFonts w:ascii="Arial" w:hAnsi="Arial"/>
          <w:sz w:val="22"/>
        </w:rPr>
        <w:t xml:space="preserve"> is a ride quality roughness scale that provides a higher value as the roughness of the roadway increase</w:t>
      </w:r>
      <w:r w:rsidR="009F0E4A">
        <w:rPr>
          <w:rFonts w:ascii="Arial" w:hAnsi="Arial"/>
          <w:sz w:val="22"/>
        </w:rPr>
        <w:t>s</w:t>
      </w:r>
      <w:r w:rsidR="009048E4">
        <w:rPr>
          <w:rFonts w:ascii="Arial" w:hAnsi="Arial"/>
          <w:sz w:val="22"/>
        </w:rPr>
        <w:t>.  FHWA provides guidance on roadway condition based on ride quality following the parameters below:</w:t>
      </w:r>
    </w:p>
    <w:p w14:paraId="4C5EE5E6" w14:textId="77777777" w:rsidR="009048E4" w:rsidRDefault="009048E4" w:rsidP="009048E4">
      <w:pPr>
        <w:jc w:val="both"/>
        <w:rPr>
          <w:rFonts w:ascii="Arial" w:hAnsi="Arial"/>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2"/>
        <w:gridCol w:w="2318"/>
      </w:tblGrid>
      <w:tr w:rsidR="009048E4" w:rsidRPr="001A74E0" w14:paraId="4DEEFF33" w14:textId="77777777" w:rsidTr="00131450">
        <w:trPr>
          <w:cantSplit/>
          <w:trHeight w:val="288"/>
          <w:jc w:val="center"/>
        </w:trPr>
        <w:tc>
          <w:tcPr>
            <w:tcW w:w="2052" w:type="dxa"/>
            <w:shd w:val="clear" w:color="auto" w:fill="D9D9D9"/>
            <w:vAlign w:val="center"/>
          </w:tcPr>
          <w:p w14:paraId="6FA67A26" w14:textId="77777777" w:rsidR="009048E4" w:rsidRPr="001A74E0" w:rsidRDefault="009048E4" w:rsidP="00131450">
            <w:pPr>
              <w:jc w:val="center"/>
              <w:rPr>
                <w:rFonts w:ascii="Arial" w:hAnsi="Arial" w:cs="Arial"/>
                <w:b/>
              </w:rPr>
            </w:pPr>
            <w:r w:rsidRPr="001A74E0">
              <w:rPr>
                <w:rFonts w:ascii="Arial" w:hAnsi="Arial" w:cs="Arial"/>
                <w:b/>
              </w:rPr>
              <w:t>Condition</w:t>
            </w:r>
          </w:p>
        </w:tc>
        <w:tc>
          <w:tcPr>
            <w:tcW w:w="2318" w:type="dxa"/>
            <w:shd w:val="clear" w:color="auto" w:fill="D9D9D9"/>
            <w:vAlign w:val="center"/>
          </w:tcPr>
          <w:p w14:paraId="60A8FC96" w14:textId="77777777" w:rsidR="009048E4" w:rsidRPr="001A74E0" w:rsidRDefault="009048E4" w:rsidP="00131450">
            <w:pPr>
              <w:jc w:val="center"/>
              <w:rPr>
                <w:rFonts w:ascii="Arial" w:hAnsi="Arial" w:cs="Arial"/>
                <w:b/>
              </w:rPr>
            </w:pPr>
            <w:smartTag w:uri="urn:schemas-microsoft-com:office:smarttags" w:element="stockticker">
              <w:r w:rsidRPr="001A74E0">
                <w:rPr>
                  <w:rFonts w:ascii="Arial" w:hAnsi="Arial" w:cs="Arial"/>
                  <w:b/>
                </w:rPr>
                <w:t>IRI</w:t>
              </w:r>
            </w:smartTag>
            <w:r w:rsidRPr="001A74E0">
              <w:rPr>
                <w:rFonts w:ascii="Arial" w:hAnsi="Arial" w:cs="Arial"/>
                <w:b/>
              </w:rPr>
              <w:t xml:space="preserve"> (inches/mile)</w:t>
            </w:r>
          </w:p>
        </w:tc>
      </w:tr>
      <w:tr w:rsidR="009048E4" w:rsidRPr="001A74E0" w14:paraId="2BFA18CD" w14:textId="77777777" w:rsidTr="00131450">
        <w:trPr>
          <w:cantSplit/>
          <w:trHeight w:val="288"/>
          <w:jc w:val="center"/>
        </w:trPr>
        <w:tc>
          <w:tcPr>
            <w:tcW w:w="2052" w:type="dxa"/>
            <w:vAlign w:val="center"/>
          </w:tcPr>
          <w:p w14:paraId="64C13944" w14:textId="77777777" w:rsidR="009048E4" w:rsidRPr="001A74E0" w:rsidRDefault="009048E4" w:rsidP="00131450">
            <w:pPr>
              <w:jc w:val="center"/>
              <w:rPr>
                <w:rFonts w:ascii="Arial" w:hAnsi="Arial" w:cs="Arial"/>
              </w:rPr>
            </w:pPr>
            <w:r w:rsidRPr="001A74E0">
              <w:rPr>
                <w:rFonts w:ascii="Arial" w:hAnsi="Arial" w:cs="Arial"/>
              </w:rPr>
              <w:t>Very Good</w:t>
            </w:r>
          </w:p>
        </w:tc>
        <w:tc>
          <w:tcPr>
            <w:tcW w:w="2318" w:type="dxa"/>
            <w:vAlign w:val="center"/>
          </w:tcPr>
          <w:p w14:paraId="63BEDB90" w14:textId="5FE05D5A" w:rsidR="009048E4" w:rsidRPr="001A74E0" w:rsidRDefault="009048E4" w:rsidP="00131450">
            <w:pPr>
              <w:jc w:val="center"/>
              <w:rPr>
                <w:rFonts w:ascii="Arial" w:hAnsi="Arial" w:cs="Arial"/>
              </w:rPr>
            </w:pPr>
            <w:r w:rsidRPr="001A74E0">
              <w:rPr>
                <w:rFonts w:ascii="Arial" w:hAnsi="Arial" w:cs="Arial"/>
              </w:rPr>
              <w:t>0</w:t>
            </w:r>
            <w:r w:rsidR="009F0E4A" w:rsidRPr="00131450">
              <w:rPr>
                <w:rFonts w:ascii="Arial" w:hAnsi="Arial"/>
                <w:sz w:val="22"/>
              </w:rPr>
              <w:t xml:space="preserve"> </w:t>
            </w:r>
            <w:r w:rsidR="009F0E4A">
              <w:rPr>
                <w:rFonts w:ascii="Arial" w:hAnsi="Arial" w:cs="Arial"/>
                <w:sz w:val="22"/>
                <w:szCs w:val="22"/>
              </w:rPr>
              <w:t>–</w:t>
            </w:r>
            <w:r w:rsidR="009F0E4A" w:rsidRPr="00131450">
              <w:rPr>
                <w:rFonts w:ascii="Arial" w:hAnsi="Arial"/>
                <w:sz w:val="22"/>
              </w:rPr>
              <w:t xml:space="preserve"> </w:t>
            </w:r>
            <w:r w:rsidRPr="001A74E0">
              <w:rPr>
                <w:rFonts w:ascii="Arial" w:hAnsi="Arial" w:cs="Arial"/>
              </w:rPr>
              <w:t>60</w:t>
            </w:r>
          </w:p>
        </w:tc>
      </w:tr>
      <w:tr w:rsidR="009048E4" w:rsidRPr="001A74E0" w14:paraId="3BFA402F" w14:textId="77777777" w:rsidTr="00131450">
        <w:trPr>
          <w:cantSplit/>
          <w:trHeight w:val="288"/>
          <w:jc w:val="center"/>
        </w:trPr>
        <w:tc>
          <w:tcPr>
            <w:tcW w:w="2052" w:type="dxa"/>
            <w:vAlign w:val="center"/>
          </w:tcPr>
          <w:p w14:paraId="3496431F" w14:textId="77777777" w:rsidR="009048E4" w:rsidRPr="001A74E0" w:rsidRDefault="009048E4" w:rsidP="00131450">
            <w:pPr>
              <w:jc w:val="center"/>
              <w:rPr>
                <w:rFonts w:ascii="Arial" w:hAnsi="Arial" w:cs="Arial"/>
              </w:rPr>
            </w:pPr>
            <w:r w:rsidRPr="001A74E0">
              <w:rPr>
                <w:rFonts w:ascii="Arial" w:hAnsi="Arial" w:cs="Arial"/>
              </w:rPr>
              <w:t>Good</w:t>
            </w:r>
          </w:p>
        </w:tc>
        <w:tc>
          <w:tcPr>
            <w:tcW w:w="2318" w:type="dxa"/>
            <w:vAlign w:val="center"/>
          </w:tcPr>
          <w:p w14:paraId="0399BD27" w14:textId="3D6A2621" w:rsidR="009048E4" w:rsidRPr="001A74E0" w:rsidRDefault="009048E4" w:rsidP="00131450">
            <w:pPr>
              <w:jc w:val="center"/>
              <w:rPr>
                <w:rFonts w:ascii="Arial" w:hAnsi="Arial" w:cs="Arial"/>
              </w:rPr>
            </w:pPr>
            <w:r w:rsidRPr="001A74E0">
              <w:rPr>
                <w:rFonts w:ascii="Arial" w:hAnsi="Arial" w:cs="Arial"/>
              </w:rPr>
              <w:t>61</w:t>
            </w:r>
            <w:r w:rsidR="009F0E4A" w:rsidRPr="00131450">
              <w:rPr>
                <w:rFonts w:ascii="Arial" w:hAnsi="Arial"/>
                <w:sz w:val="22"/>
              </w:rPr>
              <w:t xml:space="preserve"> </w:t>
            </w:r>
            <w:r w:rsidR="009F0E4A">
              <w:rPr>
                <w:rFonts w:ascii="Arial" w:hAnsi="Arial" w:cs="Arial"/>
                <w:sz w:val="22"/>
                <w:szCs w:val="22"/>
              </w:rPr>
              <w:t>–</w:t>
            </w:r>
            <w:r w:rsidR="009F0E4A" w:rsidRPr="00131450">
              <w:rPr>
                <w:rFonts w:ascii="Arial" w:hAnsi="Arial"/>
                <w:sz w:val="22"/>
              </w:rPr>
              <w:t xml:space="preserve"> </w:t>
            </w:r>
            <w:r w:rsidRPr="001A74E0">
              <w:rPr>
                <w:rFonts w:ascii="Arial" w:hAnsi="Arial" w:cs="Arial"/>
              </w:rPr>
              <w:t>94</w:t>
            </w:r>
          </w:p>
        </w:tc>
      </w:tr>
      <w:tr w:rsidR="009048E4" w:rsidRPr="001A74E0" w14:paraId="17186A0D" w14:textId="77777777" w:rsidTr="00131450">
        <w:trPr>
          <w:cantSplit/>
          <w:trHeight w:val="288"/>
          <w:jc w:val="center"/>
        </w:trPr>
        <w:tc>
          <w:tcPr>
            <w:tcW w:w="2052" w:type="dxa"/>
            <w:vAlign w:val="center"/>
          </w:tcPr>
          <w:p w14:paraId="0A7D1BB3" w14:textId="77777777" w:rsidR="009048E4" w:rsidRPr="001A74E0" w:rsidRDefault="009048E4" w:rsidP="00131450">
            <w:pPr>
              <w:jc w:val="center"/>
              <w:rPr>
                <w:rFonts w:ascii="Arial" w:hAnsi="Arial" w:cs="Arial"/>
              </w:rPr>
            </w:pPr>
            <w:r w:rsidRPr="001A74E0">
              <w:rPr>
                <w:rFonts w:ascii="Arial" w:hAnsi="Arial" w:cs="Arial"/>
              </w:rPr>
              <w:t>Fair</w:t>
            </w:r>
          </w:p>
        </w:tc>
        <w:tc>
          <w:tcPr>
            <w:tcW w:w="2318" w:type="dxa"/>
            <w:vAlign w:val="center"/>
          </w:tcPr>
          <w:p w14:paraId="7C9C6695" w14:textId="2C459110" w:rsidR="009048E4" w:rsidRPr="001A74E0" w:rsidRDefault="009048E4" w:rsidP="00131450">
            <w:pPr>
              <w:jc w:val="center"/>
              <w:rPr>
                <w:rFonts w:ascii="Arial" w:hAnsi="Arial" w:cs="Arial"/>
              </w:rPr>
            </w:pPr>
            <w:r w:rsidRPr="001A74E0">
              <w:rPr>
                <w:rFonts w:ascii="Arial" w:hAnsi="Arial" w:cs="Arial"/>
              </w:rPr>
              <w:t>95</w:t>
            </w:r>
            <w:r w:rsidR="009F0E4A" w:rsidRPr="00131450">
              <w:rPr>
                <w:rFonts w:ascii="Arial" w:hAnsi="Arial"/>
                <w:sz w:val="22"/>
              </w:rPr>
              <w:t xml:space="preserve"> </w:t>
            </w:r>
            <w:r w:rsidR="009F0E4A">
              <w:rPr>
                <w:rFonts w:ascii="Arial" w:hAnsi="Arial" w:cs="Arial"/>
                <w:sz w:val="22"/>
                <w:szCs w:val="22"/>
              </w:rPr>
              <w:t>–</w:t>
            </w:r>
            <w:r w:rsidR="009F0E4A" w:rsidRPr="00131450">
              <w:rPr>
                <w:rFonts w:ascii="Arial" w:hAnsi="Arial"/>
                <w:sz w:val="22"/>
              </w:rPr>
              <w:t xml:space="preserve"> </w:t>
            </w:r>
            <w:r w:rsidRPr="001A74E0">
              <w:rPr>
                <w:rFonts w:ascii="Arial" w:hAnsi="Arial" w:cs="Arial"/>
              </w:rPr>
              <w:t>170</w:t>
            </w:r>
          </w:p>
        </w:tc>
      </w:tr>
      <w:tr w:rsidR="009048E4" w:rsidRPr="001A74E0" w14:paraId="0EC9A7EE" w14:textId="77777777" w:rsidTr="00131450">
        <w:trPr>
          <w:cantSplit/>
          <w:trHeight w:val="288"/>
          <w:jc w:val="center"/>
        </w:trPr>
        <w:tc>
          <w:tcPr>
            <w:tcW w:w="2052" w:type="dxa"/>
            <w:vAlign w:val="center"/>
          </w:tcPr>
          <w:p w14:paraId="1EA93B62" w14:textId="77777777" w:rsidR="009048E4" w:rsidRPr="001A74E0" w:rsidRDefault="009048E4" w:rsidP="00131450">
            <w:pPr>
              <w:jc w:val="center"/>
              <w:rPr>
                <w:rFonts w:ascii="Arial" w:hAnsi="Arial" w:cs="Arial"/>
              </w:rPr>
            </w:pPr>
            <w:r w:rsidRPr="001A74E0">
              <w:rPr>
                <w:rFonts w:ascii="Arial" w:hAnsi="Arial" w:cs="Arial"/>
              </w:rPr>
              <w:t>Mediocre</w:t>
            </w:r>
          </w:p>
        </w:tc>
        <w:tc>
          <w:tcPr>
            <w:tcW w:w="2318" w:type="dxa"/>
            <w:vAlign w:val="center"/>
          </w:tcPr>
          <w:p w14:paraId="5D57DD17" w14:textId="03DADAD3" w:rsidR="009048E4" w:rsidRPr="001A74E0" w:rsidRDefault="009048E4" w:rsidP="00131450">
            <w:pPr>
              <w:jc w:val="center"/>
              <w:rPr>
                <w:rFonts w:ascii="Arial" w:hAnsi="Arial" w:cs="Arial"/>
              </w:rPr>
            </w:pPr>
            <w:r w:rsidRPr="001A74E0">
              <w:rPr>
                <w:rFonts w:ascii="Arial" w:hAnsi="Arial" w:cs="Arial"/>
              </w:rPr>
              <w:t>171</w:t>
            </w:r>
            <w:r w:rsidR="009F0E4A" w:rsidRPr="00131450">
              <w:rPr>
                <w:rFonts w:ascii="Arial" w:hAnsi="Arial"/>
                <w:sz w:val="22"/>
              </w:rPr>
              <w:t xml:space="preserve"> </w:t>
            </w:r>
            <w:r w:rsidR="009F0E4A">
              <w:rPr>
                <w:rFonts w:ascii="Arial" w:hAnsi="Arial" w:cs="Arial"/>
                <w:sz w:val="22"/>
                <w:szCs w:val="22"/>
              </w:rPr>
              <w:t>–</w:t>
            </w:r>
            <w:r w:rsidR="009F0E4A" w:rsidRPr="00131450">
              <w:rPr>
                <w:rFonts w:ascii="Arial" w:hAnsi="Arial"/>
                <w:sz w:val="22"/>
              </w:rPr>
              <w:t xml:space="preserve"> </w:t>
            </w:r>
            <w:r w:rsidRPr="001A74E0">
              <w:rPr>
                <w:rFonts w:ascii="Arial" w:hAnsi="Arial" w:cs="Arial"/>
              </w:rPr>
              <w:t>220</w:t>
            </w:r>
          </w:p>
        </w:tc>
      </w:tr>
      <w:tr w:rsidR="009048E4" w:rsidRPr="001A74E0" w14:paraId="25688845" w14:textId="77777777" w:rsidTr="00131450">
        <w:trPr>
          <w:cantSplit/>
          <w:trHeight w:val="288"/>
          <w:jc w:val="center"/>
        </w:trPr>
        <w:tc>
          <w:tcPr>
            <w:tcW w:w="2052" w:type="dxa"/>
            <w:vAlign w:val="center"/>
          </w:tcPr>
          <w:p w14:paraId="693C1081" w14:textId="77777777" w:rsidR="009048E4" w:rsidRPr="001A74E0" w:rsidRDefault="009048E4" w:rsidP="00131450">
            <w:pPr>
              <w:jc w:val="center"/>
              <w:rPr>
                <w:rFonts w:ascii="Arial" w:hAnsi="Arial" w:cs="Arial"/>
              </w:rPr>
            </w:pPr>
            <w:r w:rsidRPr="001A74E0">
              <w:rPr>
                <w:rFonts w:ascii="Arial" w:hAnsi="Arial" w:cs="Arial"/>
              </w:rPr>
              <w:t>Poor</w:t>
            </w:r>
          </w:p>
        </w:tc>
        <w:tc>
          <w:tcPr>
            <w:tcW w:w="2318" w:type="dxa"/>
            <w:vAlign w:val="center"/>
          </w:tcPr>
          <w:p w14:paraId="405203CC" w14:textId="77777777" w:rsidR="009048E4" w:rsidRPr="001A74E0" w:rsidRDefault="009048E4" w:rsidP="00131450">
            <w:pPr>
              <w:jc w:val="center"/>
              <w:rPr>
                <w:rFonts w:ascii="Arial" w:hAnsi="Arial" w:cs="Arial"/>
              </w:rPr>
            </w:pPr>
            <w:r w:rsidRPr="001A74E0">
              <w:rPr>
                <w:rFonts w:ascii="Arial" w:hAnsi="Arial" w:cs="Arial"/>
              </w:rPr>
              <w:t>&gt;220</w:t>
            </w:r>
          </w:p>
        </w:tc>
      </w:tr>
    </w:tbl>
    <w:p w14:paraId="36408CC5" w14:textId="77777777" w:rsidR="009048E4" w:rsidRDefault="009048E4" w:rsidP="009048E4">
      <w:pPr>
        <w:jc w:val="both"/>
        <w:rPr>
          <w:rFonts w:ascii="Arial" w:hAnsi="Arial"/>
          <w:sz w:val="22"/>
        </w:rPr>
      </w:pPr>
    </w:p>
    <w:p w14:paraId="73F8E0BD" w14:textId="2DDE4CCF" w:rsidR="009048E4" w:rsidRDefault="009048E4" w:rsidP="009048E4">
      <w:pPr>
        <w:jc w:val="both"/>
        <w:rPr>
          <w:rFonts w:ascii="Arial" w:hAnsi="Arial"/>
          <w:sz w:val="22"/>
        </w:rPr>
      </w:pPr>
      <w:r>
        <w:rPr>
          <w:rFonts w:ascii="Arial" w:hAnsi="Arial"/>
          <w:sz w:val="22"/>
        </w:rPr>
        <w:t xml:space="preserve">The ride specification states the Contractor is responsible for performing ride quality control for paving projects and </w:t>
      </w:r>
      <w:r w:rsidR="008C7023">
        <w:rPr>
          <w:rFonts w:ascii="Arial" w:hAnsi="Arial"/>
          <w:sz w:val="22"/>
        </w:rPr>
        <w:t>MDOT-SHA</w:t>
      </w:r>
      <w:r>
        <w:rPr>
          <w:rFonts w:ascii="Arial" w:hAnsi="Arial"/>
          <w:sz w:val="22"/>
        </w:rPr>
        <w:t xml:space="preserve"> completes ride quality assurance on an as-needed basis.  The ride specification places more focus on quality placement practices and provides an opportunity for incentive, disincentive, and corrective action based on the </w:t>
      </w:r>
      <w:smartTag w:uri="urn:schemas-microsoft-com:office:smarttags" w:element="stockticker">
        <w:r>
          <w:rPr>
            <w:rFonts w:ascii="Arial" w:hAnsi="Arial"/>
            <w:sz w:val="22"/>
          </w:rPr>
          <w:t>IRI</w:t>
        </w:r>
      </w:smartTag>
      <w:r>
        <w:rPr>
          <w:rFonts w:ascii="Arial" w:hAnsi="Arial"/>
          <w:sz w:val="22"/>
        </w:rPr>
        <w:t xml:space="preserve"> of each section.  All travel ways are measured in 25-foot sections with a high speed laser profiler.  Those sections are then averaged for the entire project to determine the overall quality of the project.  Individual 25-foot sections with extremely high </w:t>
      </w:r>
      <w:smartTag w:uri="urn:schemas-microsoft-com:office:smarttags" w:element="stockticker">
        <w:r>
          <w:rPr>
            <w:rFonts w:ascii="Arial" w:hAnsi="Arial"/>
            <w:sz w:val="22"/>
          </w:rPr>
          <w:t>IRI</w:t>
        </w:r>
      </w:smartTag>
      <w:r>
        <w:rPr>
          <w:rFonts w:ascii="Arial" w:hAnsi="Arial"/>
          <w:sz w:val="22"/>
        </w:rPr>
        <w:t xml:space="preserve"> values are identified as defects and require addressing.  Special Provision 535 identifies the ride quality measurement and performance requirements for all construction projects.  </w:t>
      </w:r>
    </w:p>
    <w:p w14:paraId="2DD2B749" w14:textId="77777777" w:rsidR="009048E4" w:rsidRDefault="009048E4" w:rsidP="009048E4">
      <w:pPr>
        <w:jc w:val="both"/>
        <w:rPr>
          <w:rFonts w:ascii="Arial" w:hAnsi="Arial"/>
          <w:sz w:val="22"/>
        </w:rPr>
      </w:pPr>
    </w:p>
    <w:p w14:paraId="07CE327B" w14:textId="77777777" w:rsidR="009048E4" w:rsidRDefault="009048E4" w:rsidP="00172E64">
      <w:pPr>
        <w:pStyle w:val="Heading4"/>
        <w:numPr>
          <w:ilvl w:val="3"/>
          <w:numId w:val="185"/>
        </w:numPr>
        <w:ind w:left="0" w:firstLine="0"/>
        <w:jc w:val="both"/>
      </w:pPr>
      <w:r>
        <w:t xml:space="preserve">Ride Specification Details </w:t>
      </w:r>
    </w:p>
    <w:p w14:paraId="0C734CB0" w14:textId="77777777" w:rsidR="009048E4" w:rsidRDefault="009048E4" w:rsidP="009048E4">
      <w:pPr>
        <w:pStyle w:val="BodyText"/>
        <w:jc w:val="both"/>
      </w:pPr>
      <w:r>
        <w:t xml:space="preserve">The pavement design engineer needs to make decisions concerning the required ride quality for the </w:t>
      </w:r>
      <w:r w:rsidRPr="00F51CAD">
        <w:rPr>
          <w:b/>
        </w:rPr>
        <w:t>Special Provision 535 – Pavement Surface Profile specification.</w:t>
      </w:r>
      <w:r w:rsidRPr="006309E6">
        <w:t xml:space="preserve">  The target ride quality values for incentive, full pay, defects, corrective action, and disincentive vary depending on the existing ride quality, the materials being placed, and the proposed construction operations. </w:t>
      </w:r>
    </w:p>
    <w:p w14:paraId="3E51B1A9" w14:textId="090EDC84" w:rsidR="001A15B9" w:rsidRDefault="009048E4" w:rsidP="00172E64">
      <w:pPr>
        <w:pStyle w:val="ListNumber"/>
        <w:numPr>
          <w:ilvl w:val="0"/>
          <w:numId w:val="66"/>
        </w:numPr>
        <w:tabs>
          <w:tab w:val="clear" w:pos="1872"/>
        </w:tabs>
        <w:spacing w:before="240"/>
        <w:ind w:left="1080" w:hanging="1080"/>
        <w:jc w:val="both"/>
      </w:pPr>
      <w:r w:rsidRPr="006309E6">
        <w:t xml:space="preserve">The pavement design engineer shall use </w:t>
      </w:r>
      <w:hyperlink r:id="rId337" w:history="1">
        <w:r w:rsidR="00746CF3" w:rsidRPr="00746CF3">
          <w:rPr>
            <w:rStyle w:val="Hyperlink"/>
          </w:rPr>
          <w:t>PD-11 Ride Spec</w:t>
        </w:r>
      </w:hyperlink>
      <w:r w:rsidR="00746CF3">
        <w:t xml:space="preserve"> </w:t>
      </w:r>
      <w:r w:rsidRPr="006309E6">
        <w:t>to determine the pay target values and range for full pay, incentive, disincentive</w:t>
      </w:r>
      <w:r w:rsidR="009F0E4A">
        <w:t>,</w:t>
      </w:r>
      <w:r w:rsidRPr="006309E6">
        <w:t xml:space="preserve"> and defect on a paving project.  </w:t>
      </w:r>
    </w:p>
    <w:p w14:paraId="70CEF1D1" w14:textId="7E09731E" w:rsidR="009048E4" w:rsidRPr="006309E6" w:rsidRDefault="009048E4" w:rsidP="009048E4">
      <w:pPr>
        <w:pStyle w:val="ListNumber"/>
        <w:tabs>
          <w:tab w:val="clear" w:pos="720"/>
          <w:tab w:val="clear" w:pos="1872"/>
        </w:tabs>
        <w:spacing w:before="0"/>
        <w:ind w:left="1080" w:firstLine="0"/>
        <w:jc w:val="both"/>
      </w:pPr>
      <w:r w:rsidRPr="006309E6">
        <w:lastRenderedPageBreak/>
        <w:t xml:space="preserve">The following factors are used to assist the engineer </w:t>
      </w:r>
      <w:r w:rsidR="0053258E">
        <w:t>in</w:t>
      </w:r>
      <w:r w:rsidR="0053258E" w:rsidRPr="006309E6">
        <w:t xml:space="preserve"> </w:t>
      </w:r>
      <w:r w:rsidRPr="006309E6">
        <w:t>determin</w:t>
      </w:r>
      <w:r w:rsidR="0053258E">
        <w:t>ing th</w:t>
      </w:r>
      <w:r w:rsidRPr="006309E6">
        <w:t xml:space="preserve">e ride </w:t>
      </w:r>
      <w:r w:rsidR="0053258E">
        <w:t>q</w:t>
      </w:r>
      <w:r w:rsidRPr="006309E6">
        <w:t>uality limits:</w:t>
      </w:r>
    </w:p>
    <w:p w14:paraId="4E1FDEC1" w14:textId="77777777" w:rsidR="009048E4" w:rsidRPr="006309E6" w:rsidRDefault="009048E4" w:rsidP="00172E64">
      <w:pPr>
        <w:numPr>
          <w:ilvl w:val="0"/>
          <w:numId w:val="182"/>
        </w:numPr>
        <w:ind w:left="1440"/>
        <w:jc w:val="both"/>
        <w:rPr>
          <w:rFonts w:ascii="Arial" w:hAnsi="Arial"/>
          <w:sz w:val="22"/>
        </w:rPr>
      </w:pPr>
      <w:r w:rsidRPr="006309E6">
        <w:rPr>
          <w:rFonts w:ascii="Arial" w:hAnsi="Arial"/>
          <w:sz w:val="22"/>
        </w:rPr>
        <w:t>Existing ride quality</w:t>
      </w:r>
    </w:p>
    <w:p w14:paraId="29C13BCD" w14:textId="4902565F" w:rsidR="009F0E4A" w:rsidRPr="009F0E4A" w:rsidRDefault="009048E4" w:rsidP="00172E64">
      <w:pPr>
        <w:numPr>
          <w:ilvl w:val="0"/>
          <w:numId w:val="182"/>
        </w:numPr>
        <w:tabs>
          <w:tab w:val="left" w:pos="1620"/>
        </w:tabs>
        <w:ind w:left="1440"/>
        <w:jc w:val="both"/>
        <w:rPr>
          <w:rFonts w:ascii="Arial" w:hAnsi="Arial"/>
          <w:sz w:val="22"/>
        </w:rPr>
      </w:pPr>
      <w:r w:rsidRPr="006309E6">
        <w:rPr>
          <w:rFonts w:ascii="Arial" w:hAnsi="Arial"/>
          <w:sz w:val="22"/>
        </w:rPr>
        <w:t>Potential number of opportunities for ride improvement:</w:t>
      </w:r>
    </w:p>
    <w:p w14:paraId="2BDAC913" w14:textId="4B923504" w:rsidR="009048E4" w:rsidRPr="006309E6" w:rsidRDefault="00B913D8" w:rsidP="00131450">
      <w:pPr>
        <w:numPr>
          <w:ilvl w:val="0"/>
          <w:numId w:val="9"/>
        </w:numPr>
        <w:tabs>
          <w:tab w:val="clear" w:pos="360"/>
          <w:tab w:val="left" w:pos="2160"/>
          <w:tab w:val="num" w:pos="3240"/>
        </w:tabs>
        <w:ind w:left="3240" w:hanging="1620"/>
        <w:jc w:val="both"/>
        <w:rPr>
          <w:rFonts w:ascii="Arial" w:hAnsi="Arial"/>
          <w:sz w:val="22"/>
        </w:rPr>
      </w:pPr>
      <w:r>
        <w:rPr>
          <w:rFonts w:ascii="Arial" w:hAnsi="Arial"/>
          <w:sz w:val="22"/>
        </w:rPr>
        <w:t>Mill</w:t>
      </w:r>
      <w:r w:rsidR="009048E4" w:rsidRPr="006309E6">
        <w:rPr>
          <w:rFonts w:ascii="Arial" w:hAnsi="Arial"/>
          <w:sz w:val="22"/>
        </w:rPr>
        <w:t xml:space="preserve">ing, </w:t>
      </w:r>
    </w:p>
    <w:p w14:paraId="0360A204" w14:textId="77777777" w:rsidR="009048E4" w:rsidRPr="006309E6" w:rsidRDefault="009048E4" w:rsidP="00131450">
      <w:pPr>
        <w:numPr>
          <w:ilvl w:val="0"/>
          <w:numId w:val="9"/>
        </w:numPr>
        <w:tabs>
          <w:tab w:val="clear" w:pos="360"/>
          <w:tab w:val="left" w:pos="2160"/>
          <w:tab w:val="num" w:pos="3240"/>
        </w:tabs>
        <w:ind w:left="3240" w:hanging="1620"/>
        <w:jc w:val="both"/>
        <w:rPr>
          <w:rFonts w:ascii="Arial" w:hAnsi="Arial"/>
          <w:sz w:val="22"/>
        </w:rPr>
      </w:pPr>
      <w:r w:rsidRPr="006309E6">
        <w:rPr>
          <w:rFonts w:ascii="Arial" w:hAnsi="Arial"/>
          <w:sz w:val="22"/>
        </w:rPr>
        <w:t>Wedge/level</w:t>
      </w:r>
    </w:p>
    <w:p w14:paraId="2D342B34" w14:textId="77777777" w:rsidR="009048E4" w:rsidRPr="006309E6" w:rsidRDefault="009048E4" w:rsidP="00131450">
      <w:pPr>
        <w:numPr>
          <w:ilvl w:val="0"/>
          <w:numId w:val="9"/>
        </w:numPr>
        <w:tabs>
          <w:tab w:val="clear" w:pos="360"/>
          <w:tab w:val="left" w:pos="2160"/>
          <w:tab w:val="num" w:pos="3240"/>
        </w:tabs>
        <w:ind w:left="3240" w:hanging="1620"/>
        <w:jc w:val="both"/>
        <w:rPr>
          <w:rFonts w:ascii="Arial" w:hAnsi="Arial"/>
          <w:sz w:val="22"/>
        </w:rPr>
      </w:pPr>
      <w:r w:rsidRPr="006309E6">
        <w:rPr>
          <w:rFonts w:ascii="Arial" w:hAnsi="Arial"/>
          <w:sz w:val="22"/>
        </w:rPr>
        <w:t>Number of resurfacing lifts</w:t>
      </w:r>
    </w:p>
    <w:p w14:paraId="456A22C3" w14:textId="77777777" w:rsidR="009048E4" w:rsidRPr="006309E6" w:rsidRDefault="009048E4" w:rsidP="00131450">
      <w:pPr>
        <w:tabs>
          <w:tab w:val="left" w:pos="2160"/>
        </w:tabs>
        <w:ind w:left="1800" w:hanging="1620"/>
        <w:jc w:val="both"/>
        <w:rPr>
          <w:rFonts w:ascii="Arial" w:hAnsi="Arial"/>
        </w:rPr>
      </w:pPr>
    </w:p>
    <w:p w14:paraId="13C46783" w14:textId="77777777" w:rsidR="009048E4" w:rsidRPr="006309E6" w:rsidRDefault="009048E4" w:rsidP="009048E4">
      <w:pPr>
        <w:jc w:val="both"/>
      </w:pPr>
      <w:r w:rsidRPr="006309E6">
        <w:rPr>
          <w:rFonts w:ascii="Arial" w:hAnsi="Arial"/>
          <w:sz w:val="22"/>
        </w:rPr>
        <w:t xml:space="preserve">The Ride Specification Details form computes the target values based on the average expected percent improvement in IRI for the number of opportunities available to improve ride. Incentive will be awarded to significantly better-than-average performance, and disincentive will be collected from equally worse-than-average performance. </w:t>
      </w:r>
      <w:r w:rsidRPr="00B07262">
        <w:rPr>
          <w:rFonts w:ascii="Arial" w:hAnsi="Arial"/>
          <w:sz w:val="22"/>
        </w:rPr>
        <w:t xml:space="preserve">The Incentive and </w:t>
      </w:r>
      <w:r>
        <w:rPr>
          <w:rFonts w:ascii="Arial" w:hAnsi="Arial"/>
          <w:sz w:val="22"/>
        </w:rPr>
        <w:t>D</w:t>
      </w:r>
      <w:r w:rsidRPr="00B07262">
        <w:rPr>
          <w:rFonts w:ascii="Arial" w:hAnsi="Arial"/>
          <w:sz w:val="22"/>
        </w:rPr>
        <w:t>isincentive is measured based on a lump sum amount per lane-mile of resurfacing in combination with the average overall project ride quality and the number of defects.  Special Provision 535, the Ride Specification Details form and MSMT 736 are used as a guide to assist in determining all ride quality targets and pay adjustment amounts. The table below shows how the pay targets will be computed:</w:t>
      </w:r>
    </w:p>
    <w:p w14:paraId="70C3C9CE" w14:textId="77777777" w:rsidR="009048E4" w:rsidRPr="006309E6" w:rsidRDefault="009048E4" w:rsidP="00131450">
      <w:pPr>
        <w:pStyle w:val="BodyText"/>
        <w:spacing w:after="0"/>
        <w:jc w:val="both"/>
      </w:pPr>
    </w:p>
    <w:tbl>
      <w:tblPr>
        <w:tblStyle w:val="TableGrid"/>
        <w:tblW w:w="0" w:type="auto"/>
        <w:jc w:val="center"/>
        <w:tblLook w:val="04A0" w:firstRow="1" w:lastRow="0" w:firstColumn="1" w:lastColumn="0" w:noHBand="0" w:noVBand="1"/>
      </w:tblPr>
      <w:tblGrid>
        <w:gridCol w:w="1178"/>
        <w:gridCol w:w="7452"/>
      </w:tblGrid>
      <w:tr w:rsidR="009048E4" w:rsidRPr="006309E6" w14:paraId="3ED0FE4B" w14:textId="77777777" w:rsidTr="00131450">
        <w:trPr>
          <w:trHeight w:val="432"/>
          <w:jc w:val="center"/>
        </w:trPr>
        <w:tc>
          <w:tcPr>
            <w:tcW w:w="1188" w:type="dxa"/>
            <w:shd w:val="pct15" w:color="auto" w:fill="auto"/>
            <w:vAlign w:val="center"/>
          </w:tcPr>
          <w:p w14:paraId="2221CD0A" w14:textId="77777777" w:rsidR="009048E4" w:rsidRPr="006309E6" w:rsidRDefault="009048E4" w:rsidP="00131450">
            <w:pPr>
              <w:pStyle w:val="BodyText"/>
              <w:spacing w:after="0"/>
              <w:jc w:val="center"/>
              <w:rPr>
                <w:b/>
              </w:rPr>
            </w:pPr>
            <w:r w:rsidRPr="006309E6">
              <w:rPr>
                <w:b/>
              </w:rPr>
              <w:t>Pay Target</w:t>
            </w:r>
          </w:p>
        </w:tc>
        <w:tc>
          <w:tcPr>
            <w:tcW w:w="7668" w:type="dxa"/>
            <w:shd w:val="pct15" w:color="auto" w:fill="auto"/>
            <w:vAlign w:val="center"/>
          </w:tcPr>
          <w:p w14:paraId="05C3AD03" w14:textId="77777777" w:rsidR="009048E4" w:rsidRPr="006309E6" w:rsidRDefault="009048E4" w:rsidP="00131450">
            <w:pPr>
              <w:pStyle w:val="BodyText"/>
              <w:spacing w:after="0"/>
              <w:jc w:val="center"/>
              <w:rPr>
                <w:b/>
              </w:rPr>
            </w:pPr>
            <w:r w:rsidRPr="006309E6">
              <w:rPr>
                <w:b/>
              </w:rPr>
              <w:t>Value</w:t>
            </w:r>
          </w:p>
        </w:tc>
      </w:tr>
      <w:tr w:rsidR="009048E4" w:rsidRPr="006309E6" w14:paraId="105D2DFD" w14:textId="77777777" w:rsidTr="00131450">
        <w:trPr>
          <w:trHeight w:val="432"/>
          <w:jc w:val="center"/>
        </w:trPr>
        <w:tc>
          <w:tcPr>
            <w:tcW w:w="1188" w:type="dxa"/>
            <w:vAlign w:val="center"/>
          </w:tcPr>
          <w:p w14:paraId="72B8518B" w14:textId="77777777" w:rsidR="009048E4" w:rsidRPr="006309E6" w:rsidRDefault="009048E4" w:rsidP="00131450">
            <w:pPr>
              <w:pStyle w:val="BodyText"/>
              <w:spacing w:after="0"/>
              <w:jc w:val="center"/>
            </w:pPr>
            <w:r w:rsidRPr="006309E6">
              <w:t>IRI</w:t>
            </w:r>
            <w:r w:rsidRPr="006309E6">
              <w:rPr>
                <w:vertAlign w:val="subscript"/>
              </w:rPr>
              <w:t>a</w:t>
            </w:r>
          </w:p>
        </w:tc>
        <w:tc>
          <w:tcPr>
            <w:tcW w:w="7668" w:type="dxa"/>
            <w:vAlign w:val="center"/>
          </w:tcPr>
          <w:p w14:paraId="241D3A95" w14:textId="77777777" w:rsidR="009048E4" w:rsidRPr="006309E6" w:rsidRDefault="009048E4" w:rsidP="00131450">
            <w:pPr>
              <w:pStyle w:val="BodyText"/>
              <w:spacing w:after="0"/>
              <w:jc w:val="both"/>
            </w:pPr>
            <w:r w:rsidRPr="006309E6">
              <w:t>2 Standard Deviations better than the anticipated IRI after construction</w:t>
            </w:r>
          </w:p>
        </w:tc>
      </w:tr>
      <w:tr w:rsidR="009048E4" w:rsidRPr="006309E6" w14:paraId="43D60AC8" w14:textId="77777777" w:rsidTr="00131450">
        <w:trPr>
          <w:trHeight w:val="432"/>
          <w:jc w:val="center"/>
        </w:trPr>
        <w:tc>
          <w:tcPr>
            <w:tcW w:w="1188" w:type="dxa"/>
            <w:vAlign w:val="center"/>
          </w:tcPr>
          <w:p w14:paraId="61B9FDCD" w14:textId="77777777" w:rsidR="009048E4" w:rsidRPr="006309E6" w:rsidRDefault="009048E4" w:rsidP="00131450">
            <w:pPr>
              <w:pStyle w:val="BodyText"/>
              <w:spacing w:after="0"/>
              <w:jc w:val="center"/>
            </w:pPr>
            <w:r w:rsidRPr="006309E6">
              <w:t>IRI</w:t>
            </w:r>
            <w:r w:rsidRPr="006309E6">
              <w:rPr>
                <w:vertAlign w:val="subscript"/>
              </w:rPr>
              <w:t>b</w:t>
            </w:r>
          </w:p>
        </w:tc>
        <w:tc>
          <w:tcPr>
            <w:tcW w:w="7668" w:type="dxa"/>
            <w:vAlign w:val="center"/>
          </w:tcPr>
          <w:p w14:paraId="374A98D6" w14:textId="77777777" w:rsidR="009048E4" w:rsidRPr="006309E6" w:rsidRDefault="009048E4" w:rsidP="00131450">
            <w:pPr>
              <w:pStyle w:val="BodyText"/>
              <w:spacing w:after="0"/>
              <w:jc w:val="both"/>
            </w:pPr>
            <w:r w:rsidRPr="006309E6">
              <w:t>1 Standard Deviation better than the anticipated IRI after construction</w:t>
            </w:r>
          </w:p>
        </w:tc>
      </w:tr>
      <w:tr w:rsidR="009048E4" w14:paraId="014BA266" w14:textId="77777777" w:rsidTr="00131450">
        <w:trPr>
          <w:trHeight w:val="432"/>
          <w:jc w:val="center"/>
        </w:trPr>
        <w:tc>
          <w:tcPr>
            <w:tcW w:w="1188" w:type="dxa"/>
            <w:vAlign w:val="center"/>
          </w:tcPr>
          <w:p w14:paraId="0568679D" w14:textId="77777777" w:rsidR="009048E4" w:rsidRPr="006309E6" w:rsidRDefault="009048E4" w:rsidP="00131450">
            <w:pPr>
              <w:pStyle w:val="BodyText"/>
              <w:spacing w:after="0"/>
              <w:jc w:val="center"/>
            </w:pPr>
            <w:r w:rsidRPr="006309E6">
              <w:t>IRI</w:t>
            </w:r>
            <w:r w:rsidRPr="006309E6">
              <w:rPr>
                <w:vertAlign w:val="subscript"/>
              </w:rPr>
              <w:t>c</w:t>
            </w:r>
          </w:p>
        </w:tc>
        <w:tc>
          <w:tcPr>
            <w:tcW w:w="7668" w:type="dxa"/>
            <w:vAlign w:val="center"/>
          </w:tcPr>
          <w:p w14:paraId="115B940E" w14:textId="4308C2AE" w:rsidR="009048E4" w:rsidRDefault="009048E4" w:rsidP="00131450">
            <w:pPr>
              <w:pStyle w:val="BodyText"/>
              <w:spacing w:after="0"/>
              <w:jc w:val="both"/>
            </w:pPr>
            <w:r w:rsidRPr="006309E6">
              <w:t>1 Standard Deviation worse than the anticipated IRI after construction</w:t>
            </w:r>
            <w:r>
              <w:t>, OR the “floor” value (as noted below), whichever is worse</w:t>
            </w:r>
          </w:p>
        </w:tc>
      </w:tr>
      <w:tr w:rsidR="009048E4" w14:paraId="5D3A2A22" w14:textId="77777777" w:rsidTr="00131450">
        <w:trPr>
          <w:trHeight w:val="432"/>
          <w:jc w:val="center"/>
        </w:trPr>
        <w:tc>
          <w:tcPr>
            <w:tcW w:w="1188" w:type="dxa"/>
            <w:vAlign w:val="center"/>
          </w:tcPr>
          <w:p w14:paraId="4DA1D734" w14:textId="77777777" w:rsidR="009048E4" w:rsidRDefault="009048E4" w:rsidP="00131450">
            <w:pPr>
              <w:pStyle w:val="BodyText"/>
              <w:spacing w:after="0"/>
              <w:jc w:val="center"/>
            </w:pPr>
            <w:r>
              <w:t>IRI</w:t>
            </w:r>
            <w:r w:rsidRPr="007D6F48">
              <w:rPr>
                <w:vertAlign w:val="subscript"/>
              </w:rPr>
              <w:t>d</w:t>
            </w:r>
          </w:p>
        </w:tc>
        <w:tc>
          <w:tcPr>
            <w:tcW w:w="7668" w:type="dxa"/>
            <w:vAlign w:val="center"/>
          </w:tcPr>
          <w:p w14:paraId="54C9CFEA" w14:textId="42215A16" w:rsidR="009048E4" w:rsidRDefault="009048E4" w:rsidP="00131450">
            <w:pPr>
              <w:pStyle w:val="BodyText"/>
              <w:spacing w:after="0"/>
              <w:jc w:val="both"/>
            </w:pPr>
            <w:r>
              <w:t>2 Standard Deviations worse than the anticipated IRI after construction, OR the “floor” value (as noted below), whichever is wors</w:t>
            </w:r>
            <w:r w:rsidR="00B30187">
              <w:t>e</w:t>
            </w:r>
          </w:p>
        </w:tc>
      </w:tr>
      <w:tr w:rsidR="009048E4" w14:paraId="725FBA17" w14:textId="77777777" w:rsidTr="00131450">
        <w:trPr>
          <w:trHeight w:val="432"/>
          <w:jc w:val="center"/>
        </w:trPr>
        <w:tc>
          <w:tcPr>
            <w:tcW w:w="1188" w:type="dxa"/>
            <w:vAlign w:val="center"/>
          </w:tcPr>
          <w:p w14:paraId="1B6F4A4C" w14:textId="77777777" w:rsidR="009048E4" w:rsidRDefault="009048E4" w:rsidP="00131450">
            <w:pPr>
              <w:pStyle w:val="BodyText"/>
              <w:spacing w:after="0"/>
              <w:jc w:val="center"/>
            </w:pPr>
            <w:r>
              <w:t>IRI</w:t>
            </w:r>
            <w:r w:rsidRPr="007D6F48">
              <w:rPr>
                <w:vertAlign w:val="subscript"/>
              </w:rPr>
              <w:t>e</w:t>
            </w:r>
          </w:p>
        </w:tc>
        <w:tc>
          <w:tcPr>
            <w:tcW w:w="7668" w:type="dxa"/>
            <w:vAlign w:val="center"/>
          </w:tcPr>
          <w:p w14:paraId="17820753" w14:textId="1489E5C5" w:rsidR="009048E4" w:rsidRDefault="009048E4" w:rsidP="00131450">
            <w:pPr>
              <w:pStyle w:val="BodyText"/>
              <w:spacing w:after="0"/>
              <w:jc w:val="both"/>
            </w:pPr>
            <w:r>
              <w:t>3 Standard Deviations worse than the anticipated IRI after construction OR the “floor” value (shown in the table below), whichever is worse</w:t>
            </w:r>
          </w:p>
        </w:tc>
      </w:tr>
    </w:tbl>
    <w:p w14:paraId="5D72F45F" w14:textId="77777777" w:rsidR="009048E4" w:rsidRDefault="009048E4" w:rsidP="009048E4">
      <w:pPr>
        <w:pStyle w:val="BodyText"/>
        <w:jc w:val="both"/>
      </w:pPr>
      <w:r>
        <w:t>The following “floor” values are established for the disincentive targets (IRI</w:t>
      </w:r>
      <w:r w:rsidRPr="00C73E86">
        <w:rPr>
          <w:vertAlign w:val="subscript"/>
        </w:rPr>
        <w:t>c</w:t>
      </w:r>
      <w:r>
        <w:t xml:space="preserve"> and IRI</w:t>
      </w:r>
      <w:r w:rsidRPr="00C73E86">
        <w:rPr>
          <w:vertAlign w:val="subscript"/>
        </w:rPr>
        <w:t>d</w:t>
      </w:r>
      <w:r>
        <w:t xml:space="preserve">) </w:t>
      </w:r>
      <w:r w:rsidRPr="004F7C72">
        <w:rPr>
          <w:u w:val="single"/>
        </w:rPr>
        <w:t>when the existing IRI is less than 6</w:t>
      </w:r>
      <w:r>
        <w:rPr>
          <w:u w:val="single"/>
        </w:rPr>
        <w:t>5</w:t>
      </w:r>
      <w:r>
        <w:t>:</w:t>
      </w:r>
    </w:p>
    <w:p w14:paraId="1E15CFA2" w14:textId="77777777" w:rsidR="009048E4" w:rsidRDefault="009048E4" w:rsidP="009048E4">
      <w:pPr>
        <w:pStyle w:val="BodyText"/>
        <w:jc w:val="both"/>
      </w:pPr>
      <w:r>
        <w:t>IRI</w:t>
      </w:r>
      <w:r w:rsidRPr="00C73E86">
        <w:rPr>
          <w:vertAlign w:val="subscript"/>
        </w:rPr>
        <w:t>c</w:t>
      </w:r>
      <w:r>
        <w:t xml:space="preserve"> = Existing IRI and IRI</w:t>
      </w:r>
      <w:r w:rsidRPr="00C73E86">
        <w:rPr>
          <w:vertAlign w:val="subscript"/>
        </w:rPr>
        <w:t xml:space="preserve">d </w:t>
      </w:r>
      <w:r>
        <w:t>= 4 to 5 points higher than IRI</w:t>
      </w:r>
      <w:r w:rsidRPr="00C73E86">
        <w:rPr>
          <w:vertAlign w:val="subscript"/>
        </w:rPr>
        <w:t>c</w:t>
      </w:r>
      <w:r>
        <w:t>.</w:t>
      </w:r>
    </w:p>
    <w:p w14:paraId="45CB3BA3" w14:textId="296C66B5" w:rsidR="009048E4" w:rsidRDefault="009048E4" w:rsidP="00131450">
      <w:pPr>
        <w:pStyle w:val="BodyText"/>
        <w:spacing w:after="0"/>
        <w:jc w:val="both"/>
      </w:pPr>
      <w:r>
        <w:t>The following “floor” values are established for the defect threshold (IRI</w:t>
      </w:r>
      <w:r w:rsidRPr="00117522">
        <w:rPr>
          <w:vertAlign w:val="subscript"/>
        </w:rPr>
        <w:t>e</w:t>
      </w:r>
      <w:r>
        <w:t>) for each functional class depending on the number of opportunities available to improve ride:</w:t>
      </w:r>
    </w:p>
    <w:p w14:paraId="20BBC87D" w14:textId="77777777" w:rsidR="009048E4" w:rsidRDefault="009048E4" w:rsidP="00131450">
      <w:pPr>
        <w:pStyle w:val="BodyText"/>
        <w:spacing w:after="0"/>
        <w:jc w:val="both"/>
      </w:pPr>
    </w:p>
    <w:tbl>
      <w:tblPr>
        <w:tblStyle w:val="TableGrid"/>
        <w:tblW w:w="0" w:type="auto"/>
        <w:jc w:val="center"/>
        <w:tblLook w:val="04A0" w:firstRow="1" w:lastRow="0" w:firstColumn="1" w:lastColumn="0" w:noHBand="0" w:noVBand="1"/>
      </w:tblPr>
      <w:tblGrid>
        <w:gridCol w:w="2527"/>
        <w:gridCol w:w="2033"/>
        <w:gridCol w:w="2035"/>
        <w:gridCol w:w="2035"/>
      </w:tblGrid>
      <w:tr w:rsidR="0014279D" w14:paraId="00F1CBC2" w14:textId="77777777" w:rsidTr="00A0622B">
        <w:trPr>
          <w:trHeight w:val="288"/>
          <w:jc w:val="center"/>
        </w:trPr>
        <w:tc>
          <w:tcPr>
            <w:tcW w:w="2527" w:type="dxa"/>
            <w:shd w:val="pct15" w:color="auto" w:fill="auto"/>
            <w:vAlign w:val="center"/>
          </w:tcPr>
          <w:p w14:paraId="5F0728F1" w14:textId="2AD53F65" w:rsidR="0014279D" w:rsidRPr="007D6F48" w:rsidRDefault="0014279D" w:rsidP="0014279D">
            <w:pPr>
              <w:pStyle w:val="BodyText"/>
              <w:spacing w:after="0"/>
              <w:jc w:val="center"/>
              <w:rPr>
                <w:b/>
              </w:rPr>
            </w:pPr>
            <w:r w:rsidRPr="007D6F48">
              <w:rPr>
                <w:b/>
              </w:rPr>
              <w:t>Roadway Functional</w:t>
            </w:r>
          </w:p>
        </w:tc>
        <w:tc>
          <w:tcPr>
            <w:tcW w:w="2034" w:type="dxa"/>
            <w:shd w:val="pct15" w:color="auto" w:fill="auto"/>
            <w:vAlign w:val="center"/>
          </w:tcPr>
          <w:p w14:paraId="6891AD17" w14:textId="430983A2" w:rsidR="0014279D" w:rsidRPr="0014279D" w:rsidRDefault="0014279D" w:rsidP="00131450">
            <w:pPr>
              <w:pStyle w:val="BodyText"/>
              <w:spacing w:after="0"/>
              <w:jc w:val="center"/>
              <w:rPr>
                <w:b/>
                <w:sz w:val="20"/>
              </w:rPr>
            </w:pPr>
            <w:r w:rsidRPr="0014279D">
              <w:rPr>
                <w:b/>
                <w:sz w:val="20"/>
              </w:rPr>
              <w:t xml:space="preserve">Number of </w:t>
            </w:r>
          </w:p>
        </w:tc>
        <w:tc>
          <w:tcPr>
            <w:tcW w:w="2034" w:type="dxa"/>
            <w:shd w:val="pct15" w:color="auto" w:fill="auto"/>
            <w:vAlign w:val="center"/>
          </w:tcPr>
          <w:p w14:paraId="37AA2BCA" w14:textId="3DBDD2FD" w:rsidR="0014279D" w:rsidRPr="007D6F48" w:rsidRDefault="0014279D" w:rsidP="00131450">
            <w:pPr>
              <w:pStyle w:val="BodyText"/>
              <w:spacing w:after="0"/>
              <w:jc w:val="center"/>
              <w:rPr>
                <w:b/>
              </w:rPr>
            </w:pPr>
            <w:r w:rsidRPr="0014279D">
              <w:rPr>
                <w:b/>
                <w:sz w:val="20"/>
              </w:rPr>
              <w:t>Opportunities to</w:t>
            </w:r>
          </w:p>
        </w:tc>
        <w:tc>
          <w:tcPr>
            <w:tcW w:w="2035" w:type="dxa"/>
            <w:shd w:val="pct15" w:color="auto" w:fill="auto"/>
            <w:vAlign w:val="center"/>
          </w:tcPr>
          <w:p w14:paraId="30BA94F8" w14:textId="5F0BA748" w:rsidR="0014279D" w:rsidRPr="007D6F48" w:rsidRDefault="0014279D" w:rsidP="00131450">
            <w:pPr>
              <w:pStyle w:val="BodyText"/>
              <w:spacing w:after="0"/>
              <w:jc w:val="center"/>
              <w:rPr>
                <w:b/>
              </w:rPr>
            </w:pPr>
            <w:r w:rsidRPr="0014279D">
              <w:rPr>
                <w:b/>
                <w:sz w:val="20"/>
              </w:rPr>
              <w:t>Improve Ride</w:t>
            </w:r>
          </w:p>
        </w:tc>
      </w:tr>
      <w:tr w:rsidR="009048E4" w14:paraId="33EC2EC4" w14:textId="77777777" w:rsidTr="0014279D">
        <w:trPr>
          <w:trHeight w:val="288"/>
          <w:jc w:val="center"/>
        </w:trPr>
        <w:tc>
          <w:tcPr>
            <w:tcW w:w="2527" w:type="dxa"/>
            <w:shd w:val="pct15" w:color="auto" w:fill="auto"/>
            <w:vAlign w:val="center"/>
          </w:tcPr>
          <w:p w14:paraId="572286E6" w14:textId="39847DA7" w:rsidR="009048E4" w:rsidRPr="007D6F48" w:rsidRDefault="009048E4" w:rsidP="00131450">
            <w:pPr>
              <w:pStyle w:val="BodyText"/>
              <w:spacing w:after="0"/>
              <w:jc w:val="center"/>
              <w:rPr>
                <w:b/>
              </w:rPr>
            </w:pPr>
            <w:r w:rsidRPr="007D6F48">
              <w:rPr>
                <w:b/>
              </w:rPr>
              <w:t>Class</w:t>
            </w:r>
          </w:p>
        </w:tc>
        <w:tc>
          <w:tcPr>
            <w:tcW w:w="2033" w:type="dxa"/>
            <w:shd w:val="pct15" w:color="auto" w:fill="auto"/>
            <w:vAlign w:val="center"/>
          </w:tcPr>
          <w:p w14:paraId="629E12F3" w14:textId="77777777" w:rsidR="009048E4" w:rsidRPr="007D6F48" w:rsidRDefault="009048E4" w:rsidP="00131450">
            <w:pPr>
              <w:pStyle w:val="BodyText"/>
              <w:spacing w:after="0"/>
              <w:jc w:val="center"/>
              <w:rPr>
                <w:b/>
              </w:rPr>
            </w:pPr>
            <w:r w:rsidRPr="007D6F48">
              <w:rPr>
                <w:b/>
              </w:rPr>
              <w:t>1</w:t>
            </w:r>
          </w:p>
        </w:tc>
        <w:tc>
          <w:tcPr>
            <w:tcW w:w="2035" w:type="dxa"/>
            <w:shd w:val="pct15" w:color="auto" w:fill="auto"/>
            <w:vAlign w:val="center"/>
          </w:tcPr>
          <w:p w14:paraId="6549E112" w14:textId="77777777" w:rsidR="009048E4" w:rsidRPr="007D6F48" w:rsidRDefault="009048E4" w:rsidP="00131450">
            <w:pPr>
              <w:pStyle w:val="BodyText"/>
              <w:spacing w:after="0"/>
              <w:jc w:val="center"/>
              <w:rPr>
                <w:b/>
              </w:rPr>
            </w:pPr>
            <w:r w:rsidRPr="007D6F48">
              <w:rPr>
                <w:b/>
              </w:rPr>
              <w:t>2</w:t>
            </w:r>
          </w:p>
        </w:tc>
        <w:tc>
          <w:tcPr>
            <w:tcW w:w="2035" w:type="dxa"/>
            <w:shd w:val="pct15" w:color="auto" w:fill="auto"/>
            <w:vAlign w:val="center"/>
          </w:tcPr>
          <w:p w14:paraId="5E4C65D9" w14:textId="77777777" w:rsidR="009048E4" w:rsidRPr="007D6F48" w:rsidRDefault="009048E4" w:rsidP="00131450">
            <w:pPr>
              <w:pStyle w:val="BodyText"/>
              <w:spacing w:after="0"/>
              <w:jc w:val="center"/>
              <w:rPr>
                <w:b/>
              </w:rPr>
            </w:pPr>
            <w:r w:rsidRPr="007D6F48">
              <w:rPr>
                <w:b/>
              </w:rPr>
              <w:t>3</w:t>
            </w:r>
          </w:p>
        </w:tc>
      </w:tr>
      <w:tr w:rsidR="009048E4" w14:paraId="7B173D69" w14:textId="77777777" w:rsidTr="0014279D">
        <w:trPr>
          <w:trHeight w:val="288"/>
          <w:jc w:val="center"/>
        </w:trPr>
        <w:tc>
          <w:tcPr>
            <w:tcW w:w="2527" w:type="dxa"/>
            <w:vAlign w:val="center"/>
          </w:tcPr>
          <w:p w14:paraId="06CAF57D" w14:textId="77777777" w:rsidR="009048E4" w:rsidRDefault="009048E4" w:rsidP="00131450">
            <w:pPr>
              <w:pStyle w:val="BodyText"/>
              <w:spacing w:after="0"/>
              <w:jc w:val="center"/>
            </w:pPr>
            <w:r>
              <w:t>Interstates &amp; Freeways/Expressways</w:t>
            </w:r>
          </w:p>
        </w:tc>
        <w:tc>
          <w:tcPr>
            <w:tcW w:w="2033" w:type="dxa"/>
            <w:vAlign w:val="center"/>
          </w:tcPr>
          <w:p w14:paraId="33387F8C" w14:textId="77777777" w:rsidR="009048E4" w:rsidRDefault="009048E4" w:rsidP="00131450">
            <w:pPr>
              <w:pStyle w:val="BodyText"/>
              <w:spacing w:after="0"/>
              <w:jc w:val="center"/>
            </w:pPr>
            <w:r>
              <w:t>160</w:t>
            </w:r>
          </w:p>
        </w:tc>
        <w:tc>
          <w:tcPr>
            <w:tcW w:w="2035" w:type="dxa"/>
            <w:vAlign w:val="center"/>
          </w:tcPr>
          <w:p w14:paraId="1981EE1C" w14:textId="77777777" w:rsidR="009048E4" w:rsidRDefault="009048E4" w:rsidP="00131450">
            <w:pPr>
              <w:pStyle w:val="BodyText"/>
              <w:spacing w:after="0"/>
              <w:jc w:val="center"/>
            </w:pPr>
            <w:r>
              <w:t>150</w:t>
            </w:r>
          </w:p>
        </w:tc>
        <w:tc>
          <w:tcPr>
            <w:tcW w:w="2035" w:type="dxa"/>
            <w:vAlign w:val="center"/>
          </w:tcPr>
          <w:p w14:paraId="28987041" w14:textId="77777777" w:rsidR="009048E4" w:rsidRDefault="009048E4" w:rsidP="00131450">
            <w:pPr>
              <w:pStyle w:val="BodyText"/>
              <w:spacing w:after="0"/>
              <w:jc w:val="center"/>
            </w:pPr>
            <w:r>
              <w:t>140</w:t>
            </w:r>
          </w:p>
        </w:tc>
      </w:tr>
      <w:tr w:rsidR="009048E4" w14:paraId="09B345F0" w14:textId="77777777" w:rsidTr="0014279D">
        <w:trPr>
          <w:trHeight w:val="288"/>
          <w:jc w:val="center"/>
        </w:trPr>
        <w:tc>
          <w:tcPr>
            <w:tcW w:w="2527" w:type="dxa"/>
            <w:vAlign w:val="center"/>
          </w:tcPr>
          <w:p w14:paraId="459BD024" w14:textId="337E207A" w:rsidR="009048E4" w:rsidRDefault="009048E4" w:rsidP="00131450">
            <w:pPr>
              <w:pStyle w:val="BodyText"/>
              <w:spacing w:after="0"/>
              <w:jc w:val="center"/>
            </w:pPr>
            <w:r>
              <w:t xml:space="preserve">All </w:t>
            </w:r>
            <w:r w:rsidR="00B30187">
              <w:t>Other R</w:t>
            </w:r>
            <w:r>
              <w:t>outes</w:t>
            </w:r>
          </w:p>
        </w:tc>
        <w:tc>
          <w:tcPr>
            <w:tcW w:w="2033" w:type="dxa"/>
            <w:vAlign w:val="center"/>
          </w:tcPr>
          <w:p w14:paraId="058CDD9B" w14:textId="77777777" w:rsidR="009048E4" w:rsidRDefault="009048E4" w:rsidP="00131450">
            <w:pPr>
              <w:pStyle w:val="BodyText"/>
              <w:spacing w:after="0"/>
              <w:jc w:val="center"/>
            </w:pPr>
            <w:r>
              <w:t>180</w:t>
            </w:r>
          </w:p>
        </w:tc>
        <w:tc>
          <w:tcPr>
            <w:tcW w:w="2035" w:type="dxa"/>
            <w:vAlign w:val="center"/>
          </w:tcPr>
          <w:p w14:paraId="081E45B3" w14:textId="77777777" w:rsidR="009048E4" w:rsidRDefault="009048E4" w:rsidP="00131450">
            <w:pPr>
              <w:pStyle w:val="BodyText"/>
              <w:spacing w:after="0"/>
              <w:jc w:val="center"/>
            </w:pPr>
            <w:r>
              <w:t>170</w:t>
            </w:r>
          </w:p>
        </w:tc>
        <w:tc>
          <w:tcPr>
            <w:tcW w:w="2035" w:type="dxa"/>
            <w:vAlign w:val="center"/>
          </w:tcPr>
          <w:p w14:paraId="0C6494F6" w14:textId="77777777" w:rsidR="009048E4" w:rsidRDefault="009048E4" w:rsidP="00131450">
            <w:pPr>
              <w:pStyle w:val="BodyText"/>
              <w:spacing w:after="0"/>
              <w:jc w:val="center"/>
            </w:pPr>
            <w:r>
              <w:t>160</w:t>
            </w:r>
          </w:p>
        </w:tc>
      </w:tr>
      <w:tr w:rsidR="009048E4" w14:paraId="46021E97" w14:textId="77777777" w:rsidTr="0014279D">
        <w:trPr>
          <w:trHeight w:val="288"/>
          <w:jc w:val="center"/>
        </w:trPr>
        <w:tc>
          <w:tcPr>
            <w:tcW w:w="2527" w:type="dxa"/>
            <w:vAlign w:val="center"/>
          </w:tcPr>
          <w:p w14:paraId="3D8EADE0" w14:textId="77777777" w:rsidR="009048E4" w:rsidRDefault="009048E4" w:rsidP="00131450">
            <w:pPr>
              <w:pStyle w:val="BodyText"/>
              <w:spacing w:after="0"/>
              <w:jc w:val="center"/>
            </w:pPr>
            <w:r>
              <w:t>Locals</w:t>
            </w:r>
          </w:p>
        </w:tc>
        <w:tc>
          <w:tcPr>
            <w:tcW w:w="2033" w:type="dxa"/>
            <w:vAlign w:val="center"/>
          </w:tcPr>
          <w:p w14:paraId="25B1523A" w14:textId="77777777" w:rsidR="009048E4" w:rsidRDefault="009048E4" w:rsidP="00131450">
            <w:pPr>
              <w:pStyle w:val="BodyText"/>
              <w:spacing w:after="0"/>
              <w:jc w:val="center"/>
            </w:pPr>
            <w:r>
              <w:t>210</w:t>
            </w:r>
          </w:p>
        </w:tc>
        <w:tc>
          <w:tcPr>
            <w:tcW w:w="2035" w:type="dxa"/>
            <w:vAlign w:val="center"/>
          </w:tcPr>
          <w:p w14:paraId="1EAC4B79" w14:textId="77777777" w:rsidR="009048E4" w:rsidRDefault="009048E4" w:rsidP="00131450">
            <w:pPr>
              <w:pStyle w:val="BodyText"/>
              <w:spacing w:after="0"/>
              <w:jc w:val="center"/>
            </w:pPr>
            <w:r>
              <w:t>200</w:t>
            </w:r>
          </w:p>
        </w:tc>
        <w:tc>
          <w:tcPr>
            <w:tcW w:w="2035" w:type="dxa"/>
            <w:vAlign w:val="center"/>
          </w:tcPr>
          <w:p w14:paraId="52D8109C" w14:textId="77777777" w:rsidR="009048E4" w:rsidRDefault="009048E4" w:rsidP="00131450">
            <w:pPr>
              <w:pStyle w:val="BodyText"/>
              <w:spacing w:after="0"/>
              <w:jc w:val="center"/>
            </w:pPr>
            <w:r>
              <w:t>190</w:t>
            </w:r>
          </w:p>
        </w:tc>
      </w:tr>
    </w:tbl>
    <w:p w14:paraId="27A55F6E" w14:textId="77777777" w:rsidR="00D71C36" w:rsidRPr="00131450" w:rsidRDefault="00D71C36" w:rsidP="004C0B53">
      <w:pPr>
        <w:pStyle w:val="ListNumber"/>
        <w:numPr>
          <w:ilvl w:val="12"/>
          <w:numId w:val="0"/>
        </w:numPr>
        <w:tabs>
          <w:tab w:val="clear" w:pos="1872"/>
        </w:tabs>
        <w:spacing w:before="0"/>
        <w:jc w:val="both"/>
        <w:rPr>
          <w:b/>
          <w:i/>
          <w:u w:val="single"/>
        </w:rPr>
      </w:pPr>
      <w:bookmarkStart w:id="610" w:name="_Ride_Specification_Details"/>
      <w:bookmarkEnd w:id="610"/>
    </w:p>
    <w:p w14:paraId="66486FE2" w14:textId="77777777" w:rsidR="00B30187" w:rsidRDefault="00B30187" w:rsidP="00131450">
      <w:pPr>
        <w:rPr>
          <w:b/>
          <w:i/>
          <w:u w:val="single"/>
        </w:rPr>
      </w:pPr>
      <w:r>
        <w:rPr>
          <w:b/>
          <w:bCs/>
          <w:i/>
          <w:iCs/>
          <w:u w:val="single"/>
        </w:rPr>
        <w:br w:type="page"/>
      </w:r>
    </w:p>
    <w:p w14:paraId="0E4ABE81" w14:textId="3A9E4EF9" w:rsidR="003A358D" w:rsidRDefault="003A358D" w:rsidP="00BE3F24">
      <w:pPr>
        <w:pStyle w:val="ListNumber"/>
        <w:numPr>
          <w:ilvl w:val="12"/>
          <w:numId w:val="0"/>
        </w:numPr>
        <w:tabs>
          <w:tab w:val="clear" w:pos="1872"/>
        </w:tabs>
        <w:spacing w:before="0"/>
        <w:jc w:val="both"/>
        <w:rPr>
          <w:b/>
          <w:bCs/>
          <w:i/>
          <w:iCs/>
          <w:u w:val="single"/>
        </w:rPr>
      </w:pPr>
      <w:r>
        <w:rPr>
          <w:b/>
          <w:bCs/>
          <w:i/>
          <w:iCs/>
          <w:u w:val="single"/>
        </w:rPr>
        <w:lastRenderedPageBreak/>
        <w:t>Category 6</w:t>
      </w:r>
      <w:r w:rsidRPr="003D0A88">
        <w:rPr>
          <w:b/>
          <w:bCs/>
          <w:i/>
          <w:iCs/>
          <w:u w:val="single"/>
        </w:rPr>
        <w:t>00:</w:t>
      </w:r>
    </w:p>
    <w:p w14:paraId="647B0F89" w14:textId="77777777" w:rsidR="003A358D" w:rsidRDefault="003A358D" w:rsidP="00BE3F24">
      <w:pPr>
        <w:pStyle w:val="ListNumber"/>
        <w:numPr>
          <w:ilvl w:val="12"/>
          <w:numId w:val="0"/>
        </w:numPr>
        <w:tabs>
          <w:tab w:val="clear" w:pos="1872"/>
        </w:tabs>
        <w:spacing w:before="0"/>
        <w:jc w:val="both"/>
        <w:rPr>
          <w:i/>
          <w:iCs/>
        </w:rPr>
      </w:pPr>
    </w:p>
    <w:p w14:paraId="600FEF35" w14:textId="77777777" w:rsidR="001A15B9" w:rsidRDefault="003A358D" w:rsidP="00172E64">
      <w:pPr>
        <w:pStyle w:val="ListNumber"/>
        <w:numPr>
          <w:ilvl w:val="0"/>
          <w:numId w:val="66"/>
        </w:numPr>
        <w:tabs>
          <w:tab w:val="clear" w:pos="1872"/>
        </w:tabs>
        <w:spacing w:before="0"/>
        <w:ind w:left="1080" w:hanging="1080"/>
        <w:jc w:val="both"/>
      </w:pPr>
      <w:r>
        <w:t xml:space="preserve">If stabilized topsoil shoulders are proposed in a project, provide a special provision “SP 600 – Stabilized Topsoil Shoulder” to be </w:t>
      </w:r>
      <w:r w:rsidRPr="00A75682">
        <w:t xml:space="preserve">included </w:t>
      </w:r>
      <w:r>
        <w:t>in the Contract D</w:t>
      </w:r>
      <w:r w:rsidRPr="00A75682">
        <w:t>ocuments</w:t>
      </w:r>
      <w:r>
        <w:t xml:space="preserve">. </w:t>
      </w:r>
    </w:p>
    <w:p w14:paraId="5E58A86E" w14:textId="77777777" w:rsidR="003A358D" w:rsidRDefault="003A358D" w:rsidP="00BE3F24">
      <w:pPr>
        <w:pStyle w:val="ListNumber"/>
        <w:tabs>
          <w:tab w:val="clear" w:pos="720"/>
        </w:tabs>
        <w:spacing w:before="0"/>
        <w:ind w:left="0" w:firstLine="0"/>
        <w:jc w:val="both"/>
        <w:rPr>
          <w:highlight w:val="yellow"/>
        </w:rPr>
      </w:pPr>
    </w:p>
    <w:p w14:paraId="0A427E8C" w14:textId="77777777" w:rsidR="003A358D" w:rsidRDefault="003A358D" w:rsidP="00BE3F24">
      <w:pPr>
        <w:pStyle w:val="ListNumber"/>
        <w:numPr>
          <w:ilvl w:val="12"/>
          <w:numId w:val="0"/>
        </w:numPr>
        <w:tabs>
          <w:tab w:val="clear" w:pos="1872"/>
        </w:tabs>
        <w:spacing w:before="0"/>
        <w:jc w:val="both"/>
        <w:rPr>
          <w:b/>
          <w:bCs/>
          <w:i/>
          <w:iCs/>
          <w:u w:val="single"/>
        </w:rPr>
      </w:pPr>
      <w:r>
        <w:rPr>
          <w:b/>
          <w:bCs/>
          <w:i/>
          <w:iCs/>
          <w:u w:val="single"/>
        </w:rPr>
        <w:t>Category 7</w:t>
      </w:r>
      <w:r w:rsidRPr="003D0A88">
        <w:rPr>
          <w:b/>
          <w:bCs/>
          <w:i/>
          <w:iCs/>
          <w:u w:val="single"/>
        </w:rPr>
        <w:t>00:</w:t>
      </w:r>
    </w:p>
    <w:p w14:paraId="33FD7AA1" w14:textId="77777777" w:rsidR="003A358D" w:rsidRDefault="003A358D" w:rsidP="00BE3F24">
      <w:pPr>
        <w:pStyle w:val="ListNumber"/>
        <w:numPr>
          <w:ilvl w:val="12"/>
          <w:numId w:val="0"/>
        </w:numPr>
        <w:tabs>
          <w:tab w:val="clear" w:pos="1872"/>
        </w:tabs>
        <w:spacing w:before="0"/>
        <w:jc w:val="both"/>
        <w:rPr>
          <w:i/>
          <w:iCs/>
        </w:rPr>
      </w:pPr>
    </w:p>
    <w:p w14:paraId="1E564E0E" w14:textId="77777777" w:rsidR="001A15B9" w:rsidRDefault="003A358D" w:rsidP="00172E64">
      <w:pPr>
        <w:pStyle w:val="ListNumber"/>
        <w:numPr>
          <w:ilvl w:val="0"/>
          <w:numId w:val="66"/>
        </w:numPr>
        <w:tabs>
          <w:tab w:val="clear" w:pos="1872"/>
        </w:tabs>
        <w:spacing w:before="0"/>
        <w:ind w:left="1080" w:hanging="1080"/>
        <w:jc w:val="both"/>
      </w:pPr>
      <w:r>
        <w:t xml:space="preserve">If stabilized topsoil shoulders are proposed in a project, provide a special provision “SP 700 – Stabilized Topsoil Surface” to be </w:t>
      </w:r>
      <w:r w:rsidRPr="00A75682">
        <w:t xml:space="preserve">included </w:t>
      </w:r>
      <w:r>
        <w:t>in</w:t>
      </w:r>
      <w:r w:rsidRPr="00A75682">
        <w:t xml:space="preserve"> the Contract </w:t>
      </w:r>
      <w:r>
        <w:t>D</w:t>
      </w:r>
      <w:r w:rsidRPr="00A75682">
        <w:t>ocuments</w:t>
      </w:r>
      <w:r>
        <w:t xml:space="preserve">. This specification has to be modified by Landscaping Division. </w:t>
      </w:r>
    </w:p>
    <w:p w14:paraId="6FFD2136" w14:textId="77777777" w:rsidR="003A358D" w:rsidRPr="001A6A0C" w:rsidRDefault="003A358D" w:rsidP="00BE3F24">
      <w:pPr>
        <w:pStyle w:val="ListNumber"/>
        <w:tabs>
          <w:tab w:val="clear" w:pos="720"/>
        </w:tabs>
        <w:spacing w:before="0"/>
        <w:ind w:left="0" w:firstLine="0"/>
        <w:jc w:val="both"/>
      </w:pPr>
    </w:p>
    <w:p w14:paraId="5CF00250" w14:textId="77777777" w:rsidR="003A358D" w:rsidRDefault="003A358D" w:rsidP="00224252">
      <w:pPr>
        <w:ind w:left="1080" w:hanging="1080"/>
        <w:jc w:val="both"/>
        <w:rPr>
          <w:rFonts w:ascii="Arial" w:hAnsi="Arial" w:cs="Arial"/>
        </w:rPr>
      </w:pPr>
    </w:p>
    <w:p w14:paraId="7E958DE7" w14:textId="77777777" w:rsidR="000B2FCD" w:rsidRDefault="000B2FCD" w:rsidP="00BE3F24">
      <w:pPr>
        <w:pStyle w:val="BodyText"/>
        <w:spacing w:after="0"/>
        <w:jc w:val="both"/>
      </w:pPr>
      <w:r>
        <w:t xml:space="preserve">    </w:t>
      </w:r>
    </w:p>
    <w:p w14:paraId="4A71C4C3" w14:textId="77777777" w:rsidR="000B2FCD" w:rsidRDefault="000B2FCD" w:rsidP="00BE3F24">
      <w:pPr>
        <w:jc w:val="both"/>
        <w:rPr>
          <w:rFonts w:ascii="Arial" w:hAnsi="Arial"/>
          <w:sz w:val="22"/>
        </w:rPr>
      </w:pPr>
    </w:p>
    <w:p w14:paraId="099651C6" w14:textId="77777777" w:rsidR="00D71C36" w:rsidRDefault="00D71C36" w:rsidP="00172E64">
      <w:pPr>
        <w:pStyle w:val="Heading2"/>
        <w:numPr>
          <w:ilvl w:val="1"/>
          <w:numId w:val="185"/>
        </w:numPr>
        <w:ind w:left="0" w:firstLine="0"/>
        <w:sectPr w:rsidR="00D71C36" w:rsidSect="008B1BAA">
          <w:headerReference w:type="default" r:id="rId338"/>
          <w:footerReference w:type="default" r:id="rId339"/>
          <w:pgSz w:w="12240" w:h="15840"/>
          <w:pgMar w:top="1440" w:right="1800" w:bottom="1440" w:left="1800" w:header="720" w:footer="720" w:gutter="0"/>
          <w:pgNumType w:chapStyle="1"/>
          <w:cols w:space="720"/>
          <w:docGrid w:linePitch="272"/>
        </w:sectPr>
      </w:pPr>
    </w:p>
    <w:p w14:paraId="66CBBFBE" w14:textId="39E5ABC0" w:rsidR="000B2FCD" w:rsidRDefault="00CA2086" w:rsidP="00172E64">
      <w:pPr>
        <w:pStyle w:val="Heading2"/>
        <w:numPr>
          <w:ilvl w:val="1"/>
          <w:numId w:val="185"/>
        </w:numPr>
        <w:spacing w:before="120"/>
        <w:ind w:left="0" w:firstLine="0"/>
      </w:pPr>
      <w:bookmarkStart w:id="611" w:name="_Management_Review_&amp;"/>
      <w:bookmarkStart w:id="612" w:name="_Toc479160132"/>
      <w:bookmarkStart w:id="613" w:name="_Toc514058020"/>
      <w:bookmarkStart w:id="614" w:name="_Toc194932416"/>
      <w:bookmarkEnd w:id="611"/>
      <w:r>
        <w:lastRenderedPageBreak/>
        <w:t>Management Review &amp; QA</w:t>
      </w:r>
      <w:bookmarkEnd w:id="612"/>
      <w:bookmarkEnd w:id="613"/>
      <w:bookmarkEnd w:id="614"/>
    </w:p>
    <w:p w14:paraId="3187B94F" w14:textId="77777777" w:rsidR="002D6703" w:rsidRPr="008F604D" w:rsidRDefault="002D6703" w:rsidP="002D670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3EDCEB02" w14:textId="77777777" w:rsidR="00E528FC" w:rsidRDefault="00E528FC" w:rsidP="00172E64">
      <w:pPr>
        <w:pStyle w:val="Heading3"/>
        <w:numPr>
          <w:ilvl w:val="2"/>
          <w:numId w:val="185"/>
        </w:numPr>
        <w:ind w:left="0" w:firstLine="0"/>
      </w:pPr>
      <w:r>
        <w:t>Purpose</w:t>
      </w:r>
    </w:p>
    <w:p w14:paraId="3C30875D" w14:textId="77777777" w:rsidR="00E528FC" w:rsidRPr="00E528FC" w:rsidRDefault="00E528FC" w:rsidP="00E528FC">
      <w:pPr>
        <w:pStyle w:val="BodyText"/>
        <w:jc w:val="both"/>
      </w:pPr>
      <w:r>
        <w:t xml:space="preserve">In order to </w:t>
      </w:r>
      <w:r w:rsidRPr="00E528FC">
        <w:t>ensure that pavement designs are of high quality, PAGD management must perform a series of reviews.   This is necessary to:</w:t>
      </w:r>
    </w:p>
    <w:p w14:paraId="2CC5DA3F" w14:textId="77777777" w:rsidR="00E528FC" w:rsidRPr="000F66DA" w:rsidRDefault="00E528FC" w:rsidP="00131450">
      <w:pPr>
        <w:numPr>
          <w:ilvl w:val="0"/>
          <w:numId w:val="24"/>
        </w:numPr>
        <w:tabs>
          <w:tab w:val="clear" w:pos="648"/>
          <w:tab w:val="num" w:pos="720"/>
          <w:tab w:val="num" w:pos="1224"/>
        </w:tabs>
        <w:ind w:left="0" w:firstLine="0"/>
        <w:jc w:val="both"/>
      </w:pPr>
      <w:r w:rsidRPr="000F66DA">
        <w:rPr>
          <w:rFonts w:ascii="Arial" w:hAnsi="Arial"/>
          <w:sz w:val="22"/>
        </w:rPr>
        <w:t>Ensure that pavement analyses and designs are correct</w:t>
      </w:r>
    </w:p>
    <w:p w14:paraId="3D526619" w14:textId="77777777" w:rsidR="00E528FC" w:rsidRPr="000F66DA" w:rsidRDefault="00E528FC" w:rsidP="00131450">
      <w:pPr>
        <w:numPr>
          <w:ilvl w:val="0"/>
          <w:numId w:val="24"/>
        </w:numPr>
        <w:tabs>
          <w:tab w:val="clear" w:pos="648"/>
          <w:tab w:val="num" w:pos="720"/>
          <w:tab w:val="num" w:pos="1224"/>
        </w:tabs>
        <w:ind w:left="0" w:firstLine="0"/>
        <w:jc w:val="both"/>
      </w:pPr>
      <w:r w:rsidRPr="000F66DA">
        <w:rPr>
          <w:rFonts w:ascii="Arial" w:hAnsi="Arial"/>
          <w:sz w:val="22"/>
        </w:rPr>
        <w:t>Ensure that pavement design processes are followed</w:t>
      </w:r>
    </w:p>
    <w:p w14:paraId="1D23A44D" w14:textId="77777777" w:rsidR="00E528FC" w:rsidRPr="000F66DA" w:rsidRDefault="00E528FC" w:rsidP="00131450">
      <w:pPr>
        <w:numPr>
          <w:ilvl w:val="0"/>
          <w:numId w:val="24"/>
        </w:numPr>
        <w:tabs>
          <w:tab w:val="clear" w:pos="648"/>
          <w:tab w:val="num" w:pos="720"/>
          <w:tab w:val="num" w:pos="1224"/>
        </w:tabs>
        <w:ind w:left="0" w:firstLine="0"/>
        <w:jc w:val="both"/>
      </w:pPr>
      <w:r w:rsidRPr="000F66DA">
        <w:rPr>
          <w:rFonts w:ascii="Arial" w:hAnsi="Arial"/>
          <w:sz w:val="22"/>
        </w:rPr>
        <w:t>Ensure there are no constructability issues for any given repair strategy</w:t>
      </w:r>
    </w:p>
    <w:p w14:paraId="7B62E1EE" w14:textId="77777777" w:rsidR="00E528FC" w:rsidRPr="000F66DA" w:rsidRDefault="00E528FC" w:rsidP="00131450">
      <w:pPr>
        <w:numPr>
          <w:ilvl w:val="0"/>
          <w:numId w:val="24"/>
        </w:numPr>
        <w:tabs>
          <w:tab w:val="clear" w:pos="648"/>
          <w:tab w:val="num" w:pos="720"/>
          <w:tab w:val="num" w:pos="1224"/>
        </w:tabs>
        <w:ind w:left="0" w:firstLine="0"/>
        <w:jc w:val="both"/>
      </w:pPr>
      <w:r w:rsidRPr="000F66DA">
        <w:rPr>
          <w:rFonts w:ascii="Arial" w:hAnsi="Arial"/>
          <w:sz w:val="22"/>
        </w:rPr>
        <w:t>Ensure that all appropriate items and specifications are provided to the customer</w:t>
      </w:r>
    </w:p>
    <w:p w14:paraId="1B825E00" w14:textId="77777777" w:rsidR="00E528FC" w:rsidRPr="00D20D5E" w:rsidRDefault="00E528FC" w:rsidP="00172E64">
      <w:pPr>
        <w:pStyle w:val="Heading3"/>
        <w:numPr>
          <w:ilvl w:val="2"/>
          <w:numId w:val="185"/>
        </w:numPr>
        <w:ind w:left="0" w:firstLine="0"/>
      </w:pPr>
      <w:r w:rsidRPr="00D20D5E">
        <w:t>Resource Requirements</w:t>
      </w:r>
    </w:p>
    <w:p w14:paraId="735CE742" w14:textId="1C7609DF" w:rsidR="00D20D5E" w:rsidRPr="00D20D5E" w:rsidRDefault="00E528FC" w:rsidP="00131450">
      <w:pPr>
        <w:pStyle w:val="BodyText"/>
        <w:spacing w:after="240"/>
        <w:jc w:val="both"/>
      </w:pPr>
      <w:r w:rsidRPr="00D20D5E">
        <w:t xml:space="preserve">Review is done by three layers of management.  The Team Leader is responsible for the bulk of the </w:t>
      </w:r>
      <w:r w:rsidR="00D20D5E" w:rsidRPr="00D20D5E">
        <w:t>review</w:t>
      </w:r>
      <w:r w:rsidR="00B30187">
        <w:t>,</w:t>
      </w:r>
      <w:r w:rsidR="00D20D5E" w:rsidRPr="00D20D5E">
        <w:t xml:space="preserve"> as he/she is responsible for the quality of all deliverables of his/her team.  Following that, the PAGD ADC performs a slightly less-detailed review, and then the PAGD DC performs the final review.  The reviews </w:t>
      </w:r>
      <w:r w:rsidRPr="00D20D5E">
        <w:t>require the following staffing needs for a typical project:</w:t>
      </w:r>
    </w:p>
    <w:tbl>
      <w:tblPr>
        <w:tblW w:w="8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7"/>
        <w:gridCol w:w="2286"/>
        <w:gridCol w:w="1926"/>
        <w:gridCol w:w="1584"/>
      </w:tblGrid>
      <w:tr w:rsidR="00E528FC" w:rsidRPr="00D20D5E" w14:paraId="19281031" w14:textId="77777777" w:rsidTr="00131450">
        <w:trPr>
          <w:trHeight w:val="288"/>
          <w:jc w:val="center"/>
        </w:trPr>
        <w:tc>
          <w:tcPr>
            <w:tcW w:w="2597" w:type="dxa"/>
            <w:shd w:val="pct15" w:color="auto" w:fill="FFFFFF"/>
            <w:vAlign w:val="center"/>
          </w:tcPr>
          <w:p w14:paraId="4E20D732" w14:textId="77777777" w:rsidR="00E528FC" w:rsidRPr="00D20D5E" w:rsidRDefault="00E528FC" w:rsidP="00131450">
            <w:pPr>
              <w:jc w:val="center"/>
              <w:rPr>
                <w:rFonts w:ascii="Arial" w:hAnsi="Arial"/>
                <w:b/>
              </w:rPr>
            </w:pPr>
            <w:r w:rsidRPr="00D20D5E">
              <w:rPr>
                <w:rFonts w:ascii="Arial" w:hAnsi="Arial"/>
                <w:b/>
              </w:rPr>
              <w:t>Position</w:t>
            </w:r>
          </w:p>
        </w:tc>
        <w:tc>
          <w:tcPr>
            <w:tcW w:w="2286" w:type="dxa"/>
            <w:shd w:val="pct15" w:color="auto" w:fill="FFFFFF"/>
            <w:vAlign w:val="center"/>
          </w:tcPr>
          <w:p w14:paraId="5CEC7BB1" w14:textId="77777777" w:rsidR="00E528FC" w:rsidRPr="00D20D5E" w:rsidRDefault="00E528FC" w:rsidP="00131450">
            <w:pPr>
              <w:jc w:val="center"/>
              <w:rPr>
                <w:rFonts w:ascii="Arial" w:hAnsi="Arial"/>
                <w:b/>
              </w:rPr>
            </w:pPr>
            <w:r w:rsidRPr="00D20D5E">
              <w:rPr>
                <w:rFonts w:ascii="Arial" w:hAnsi="Arial"/>
                <w:b/>
              </w:rPr>
              <w:t>Function</w:t>
            </w:r>
          </w:p>
        </w:tc>
        <w:tc>
          <w:tcPr>
            <w:tcW w:w="1926" w:type="dxa"/>
            <w:shd w:val="pct15" w:color="auto" w:fill="FFFFFF"/>
            <w:vAlign w:val="center"/>
          </w:tcPr>
          <w:p w14:paraId="77523008" w14:textId="77777777" w:rsidR="00E528FC" w:rsidRPr="00D20D5E" w:rsidRDefault="00E528FC" w:rsidP="00131450">
            <w:pPr>
              <w:jc w:val="center"/>
              <w:rPr>
                <w:rFonts w:ascii="Arial" w:hAnsi="Arial"/>
                <w:b/>
              </w:rPr>
            </w:pPr>
            <w:r w:rsidRPr="00D20D5E">
              <w:rPr>
                <w:rFonts w:ascii="Arial" w:hAnsi="Arial"/>
                <w:b/>
              </w:rPr>
              <w:t>Resources</w:t>
            </w:r>
          </w:p>
        </w:tc>
        <w:tc>
          <w:tcPr>
            <w:tcW w:w="1584" w:type="dxa"/>
            <w:shd w:val="pct15" w:color="auto" w:fill="FFFFFF"/>
            <w:vAlign w:val="center"/>
          </w:tcPr>
          <w:p w14:paraId="270990FA" w14:textId="77777777" w:rsidR="00E528FC" w:rsidRPr="00D20D5E" w:rsidRDefault="00E528FC" w:rsidP="00131450">
            <w:pPr>
              <w:jc w:val="center"/>
              <w:rPr>
                <w:rFonts w:ascii="Arial" w:hAnsi="Arial"/>
                <w:b/>
              </w:rPr>
            </w:pPr>
            <w:r w:rsidRPr="00D20D5E">
              <w:rPr>
                <w:rFonts w:ascii="Arial" w:hAnsi="Arial"/>
                <w:b/>
              </w:rPr>
              <w:t>Effort Level</w:t>
            </w:r>
          </w:p>
          <w:p w14:paraId="350B9A37" w14:textId="77777777" w:rsidR="00E528FC" w:rsidRPr="00D20D5E" w:rsidRDefault="00E528FC" w:rsidP="00131450">
            <w:pPr>
              <w:jc w:val="center"/>
              <w:rPr>
                <w:rFonts w:ascii="Arial" w:hAnsi="Arial"/>
                <w:b/>
              </w:rPr>
            </w:pPr>
            <w:r w:rsidRPr="00D20D5E">
              <w:rPr>
                <w:rFonts w:ascii="Arial" w:hAnsi="Arial"/>
                <w:b/>
              </w:rPr>
              <w:t>(man-hours)</w:t>
            </w:r>
          </w:p>
        </w:tc>
      </w:tr>
      <w:tr w:rsidR="00E528FC" w:rsidRPr="00D20D5E" w14:paraId="17537B78" w14:textId="77777777" w:rsidTr="00131450">
        <w:trPr>
          <w:trHeight w:val="288"/>
          <w:jc w:val="center"/>
        </w:trPr>
        <w:tc>
          <w:tcPr>
            <w:tcW w:w="2597" w:type="dxa"/>
            <w:vAlign w:val="center"/>
          </w:tcPr>
          <w:p w14:paraId="3101E3F8" w14:textId="77777777" w:rsidR="00E528FC" w:rsidRPr="00D20D5E" w:rsidRDefault="00E528FC" w:rsidP="00B30187">
            <w:pPr>
              <w:jc w:val="center"/>
              <w:rPr>
                <w:rFonts w:ascii="Arial" w:hAnsi="Arial"/>
                <w:sz w:val="18"/>
              </w:rPr>
            </w:pPr>
            <w:r w:rsidRPr="00D20D5E">
              <w:rPr>
                <w:rFonts w:ascii="Arial" w:hAnsi="Arial"/>
                <w:sz w:val="18"/>
              </w:rPr>
              <w:t xml:space="preserve">PAGD </w:t>
            </w:r>
            <w:r w:rsidR="00D20D5E" w:rsidRPr="00D20D5E">
              <w:rPr>
                <w:rFonts w:ascii="Arial" w:hAnsi="Arial"/>
                <w:sz w:val="18"/>
              </w:rPr>
              <w:t>TL</w:t>
            </w:r>
          </w:p>
        </w:tc>
        <w:tc>
          <w:tcPr>
            <w:tcW w:w="2286" w:type="dxa"/>
            <w:vAlign w:val="center"/>
          </w:tcPr>
          <w:p w14:paraId="30937577" w14:textId="77777777" w:rsidR="00E528FC" w:rsidRPr="00D20D5E" w:rsidRDefault="00D20D5E" w:rsidP="00B30187">
            <w:pPr>
              <w:jc w:val="center"/>
              <w:rPr>
                <w:rFonts w:ascii="Arial" w:hAnsi="Arial"/>
                <w:sz w:val="18"/>
              </w:rPr>
            </w:pPr>
            <w:r w:rsidRPr="00D20D5E">
              <w:rPr>
                <w:rFonts w:ascii="Arial" w:hAnsi="Arial"/>
                <w:sz w:val="18"/>
              </w:rPr>
              <w:t>Detailed Review</w:t>
            </w:r>
          </w:p>
        </w:tc>
        <w:tc>
          <w:tcPr>
            <w:tcW w:w="1926" w:type="dxa"/>
            <w:vAlign w:val="center"/>
          </w:tcPr>
          <w:p w14:paraId="240E1DF0" w14:textId="77777777" w:rsidR="00E528FC" w:rsidRPr="00D20D5E" w:rsidRDefault="00E528FC" w:rsidP="00B30187">
            <w:pPr>
              <w:jc w:val="center"/>
              <w:rPr>
                <w:rFonts w:ascii="Arial" w:hAnsi="Arial"/>
                <w:sz w:val="18"/>
              </w:rPr>
            </w:pPr>
            <w:r w:rsidRPr="00D20D5E">
              <w:rPr>
                <w:rFonts w:ascii="Arial" w:hAnsi="Arial"/>
                <w:sz w:val="18"/>
              </w:rPr>
              <w:t>1</w:t>
            </w:r>
          </w:p>
        </w:tc>
        <w:tc>
          <w:tcPr>
            <w:tcW w:w="1584" w:type="dxa"/>
            <w:vAlign w:val="center"/>
          </w:tcPr>
          <w:p w14:paraId="4C9F5382" w14:textId="77777777" w:rsidR="00E528FC" w:rsidRPr="00D20D5E" w:rsidRDefault="00D20D5E" w:rsidP="00B30187">
            <w:pPr>
              <w:jc w:val="center"/>
              <w:rPr>
                <w:rFonts w:ascii="Arial" w:hAnsi="Arial"/>
                <w:sz w:val="18"/>
              </w:rPr>
            </w:pPr>
            <w:r w:rsidRPr="00D20D5E">
              <w:rPr>
                <w:rFonts w:ascii="Arial" w:hAnsi="Arial"/>
                <w:sz w:val="18"/>
              </w:rPr>
              <w:t>8</w:t>
            </w:r>
            <w:r w:rsidR="00E528FC" w:rsidRPr="00D20D5E">
              <w:rPr>
                <w:rFonts w:ascii="Arial" w:hAnsi="Arial"/>
                <w:sz w:val="18"/>
              </w:rPr>
              <w:t>*</w:t>
            </w:r>
          </w:p>
        </w:tc>
      </w:tr>
      <w:tr w:rsidR="00D20D5E" w:rsidRPr="00D20D5E" w14:paraId="14649F63" w14:textId="77777777" w:rsidTr="00131450">
        <w:trPr>
          <w:trHeight w:val="288"/>
          <w:jc w:val="center"/>
        </w:trPr>
        <w:tc>
          <w:tcPr>
            <w:tcW w:w="2597" w:type="dxa"/>
            <w:shd w:val="clear" w:color="auto" w:fill="FFFFFF"/>
            <w:vAlign w:val="center"/>
          </w:tcPr>
          <w:p w14:paraId="78B46AE1" w14:textId="77777777" w:rsidR="00D20D5E" w:rsidRPr="00D20D5E" w:rsidRDefault="00D20D5E" w:rsidP="00B30187">
            <w:pPr>
              <w:jc w:val="center"/>
              <w:rPr>
                <w:rFonts w:ascii="Arial" w:hAnsi="Arial"/>
                <w:sz w:val="18"/>
              </w:rPr>
            </w:pPr>
            <w:r w:rsidRPr="00D20D5E">
              <w:rPr>
                <w:rFonts w:ascii="Arial" w:hAnsi="Arial"/>
                <w:sz w:val="18"/>
              </w:rPr>
              <w:t>PAGD ADC</w:t>
            </w:r>
          </w:p>
        </w:tc>
        <w:tc>
          <w:tcPr>
            <w:tcW w:w="2286" w:type="dxa"/>
            <w:shd w:val="clear" w:color="auto" w:fill="FFFFFF"/>
            <w:vAlign w:val="center"/>
          </w:tcPr>
          <w:p w14:paraId="3C753419" w14:textId="77777777" w:rsidR="00D20D5E" w:rsidRPr="00D20D5E" w:rsidRDefault="00D20D5E" w:rsidP="00B30187">
            <w:pPr>
              <w:jc w:val="center"/>
              <w:rPr>
                <w:rFonts w:ascii="Arial" w:hAnsi="Arial"/>
                <w:sz w:val="18"/>
              </w:rPr>
            </w:pPr>
            <w:r w:rsidRPr="00D20D5E">
              <w:rPr>
                <w:rFonts w:ascii="Arial" w:hAnsi="Arial"/>
                <w:sz w:val="18"/>
              </w:rPr>
              <w:t>Moderate Review</w:t>
            </w:r>
          </w:p>
        </w:tc>
        <w:tc>
          <w:tcPr>
            <w:tcW w:w="1926" w:type="dxa"/>
            <w:shd w:val="clear" w:color="auto" w:fill="FFFFFF"/>
            <w:vAlign w:val="center"/>
          </w:tcPr>
          <w:p w14:paraId="775C6E62" w14:textId="77777777" w:rsidR="00D20D5E" w:rsidRPr="00D20D5E" w:rsidRDefault="00D20D5E" w:rsidP="00B30187">
            <w:pPr>
              <w:jc w:val="center"/>
              <w:rPr>
                <w:rFonts w:ascii="Arial" w:hAnsi="Arial"/>
                <w:sz w:val="18"/>
              </w:rPr>
            </w:pPr>
            <w:r w:rsidRPr="00D20D5E">
              <w:rPr>
                <w:rFonts w:ascii="Arial" w:hAnsi="Arial"/>
                <w:sz w:val="18"/>
              </w:rPr>
              <w:t>1</w:t>
            </w:r>
          </w:p>
        </w:tc>
        <w:tc>
          <w:tcPr>
            <w:tcW w:w="1584" w:type="dxa"/>
            <w:shd w:val="clear" w:color="auto" w:fill="FFFFFF"/>
            <w:vAlign w:val="center"/>
          </w:tcPr>
          <w:p w14:paraId="3003947F" w14:textId="77777777" w:rsidR="00D20D5E" w:rsidRPr="00D20D5E" w:rsidRDefault="00F21218" w:rsidP="00B30187">
            <w:pPr>
              <w:jc w:val="center"/>
              <w:rPr>
                <w:rFonts w:ascii="Arial" w:hAnsi="Arial"/>
                <w:sz w:val="18"/>
              </w:rPr>
            </w:pPr>
            <w:r>
              <w:rPr>
                <w:rFonts w:ascii="Arial" w:hAnsi="Arial"/>
                <w:sz w:val="18"/>
              </w:rPr>
              <w:t>6</w:t>
            </w:r>
            <w:r w:rsidR="00D20D5E" w:rsidRPr="00D20D5E">
              <w:rPr>
                <w:rFonts w:ascii="Arial" w:hAnsi="Arial"/>
                <w:sz w:val="18"/>
              </w:rPr>
              <w:t>*</w:t>
            </w:r>
          </w:p>
        </w:tc>
      </w:tr>
      <w:tr w:rsidR="00D20D5E" w:rsidRPr="00D20D5E" w14:paraId="7D7B7F71" w14:textId="77777777" w:rsidTr="00131450">
        <w:trPr>
          <w:trHeight w:val="288"/>
          <w:jc w:val="center"/>
        </w:trPr>
        <w:tc>
          <w:tcPr>
            <w:tcW w:w="2597" w:type="dxa"/>
            <w:shd w:val="clear" w:color="auto" w:fill="FFFFFF"/>
            <w:vAlign w:val="center"/>
          </w:tcPr>
          <w:p w14:paraId="734344DF" w14:textId="77777777" w:rsidR="00D20D5E" w:rsidRPr="00D20D5E" w:rsidRDefault="00D20D5E" w:rsidP="00B30187">
            <w:pPr>
              <w:jc w:val="center"/>
              <w:rPr>
                <w:rFonts w:ascii="Arial" w:hAnsi="Arial"/>
                <w:sz w:val="18"/>
              </w:rPr>
            </w:pPr>
            <w:r w:rsidRPr="00D20D5E">
              <w:rPr>
                <w:rFonts w:ascii="Arial" w:hAnsi="Arial"/>
                <w:sz w:val="18"/>
              </w:rPr>
              <w:t>PAGD DC</w:t>
            </w:r>
          </w:p>
        </w:tc>
        <w:tc>
          <w:tcPr>
            <w:tcW w:w="2286" w:type="dxa"/>
            <w:shd w:val="clear" w:color="auto" w:fill="FFFFFF"/>
            <w:vAlign w:val="center"/>
          </w:tcPr>
          <w:p w14:paraId="76B609C8" w14:textId="77777777" w:rsidR="00D20D5E" w:rsidRPr="00D20D5E" w:rsidRDefault="00D20D5E" w:rsidP="00B30187">
            <w:pPr>
              <w:jc w:val="center"/>
              <w:rPr>
                <w:rFonts w:ascii="Arial" w:hAnsi="Arial"/>
                <w:sz w:val="18"/>
              </w:rPr>
            </w:pPr>
            <w:r w:rsidRPr="00D20D5E">
              <w:rPr>
                <w:rFonts w:ascii="Arial" w:hAnsi="Arial"/>
                <w:sz w:val="18"/>
              </w:rPr>
              <w:t>Final Review</w:t>
            </w:r>
          </w:p>
        </w:tc>
        <w:tc>
          <w:tcPr>
            <w:tcW w:w="1926" w:type="dxa"/>
            <w:shd w:val="clear" w:color="auto" w:fill="FFFFFF"/>
            <w:vAlign w:val="center"/>
          </w:tcPr>
          <w:p w14:paraId="40A237B7" w14:textId="77777777" w:rsidR="00D20D5E" w:rsidRPr="00D20D5E" w:rsidRDefault="00D20D5E" w:rsidP="00B30187">
            <w:pPr>
              <w:jc w:val="center"/>
              <w:rPr>
                <w:rFonts w:ascii="Arial" w:hAnsi="Arial"/>
                <w:sz w:val="18"/>
              </w:rPr>
            </w:pPr>
            <w:r w:rsidRPr="00D20D5E">
              <w:rPr>
                <w:rFonts w:ascii="Arial" w:hAnsi="Arial"/>
                <w:sz w:val="18"/>
              </w:rPr>
              <w:t>1</w:t>
            </w:r>
          </w:p>
        </w:tc>
        <w:tc>
          <w:tcPr>
            <w:tcW w:w="1584" w:type="dxa"/>
            <w:shd w:val="clear" w:color="auto" w:fill="FFFFFF"/>
            <w:vAlign w:val="center"/>
          </w:tcPr>
          <w:p w14:paraId="2A403D46" w14:textId="77777777" w:rsidR="00D20D5E" w:rsidRPr="00D20D5E" w:rsidRDefault="00D20D5E" w:rsidP="00B30187">
            <w:pPr>
              <w:jc w:val="center"/>
              <w:rPr>
                <w:rFonts w:ascii="Arial" w:hAnsi="Arial"/>
                <w:sz w:val="18"/>
              </w:rPr>
            </w:pPr>
            <w:r w:rsidRPr="00D20D5E">
              <w:rPr>
                <w:rFonts w:ascii="Arial" w:hAnsi="Arial"/>
                <w:sz w:val="18"/>
              </w:rPr>
              <w:t>1*</w:t>
            </w:r>
          </w:p>
        </w:tc>
      </w:tr>
    </w:tbl>
    <w:p w14:paraId="05D50A2A" w14:textId="77777777" w:rsidR="00E528FC" w:rsidRPr="00616CD8" w:rsidRDefault="00E528FC" w:rsidP="00E528FC">
      <w:pPr>
        <w:jc w:val="both"/>
        <w:rPr>
          <w:rFonts w:ascii="Arial" w:hAnsi="Arial"/>
          <w:sz w:val="18"/>
          <w:szCs w:val="18"/>
        </w:rPr>
      </w:pPr>
      <w:r w:rsidRPr="00D20D5E">
        <w:rPr>
          <w:rFonts w:ascii="Arial" w:hAnsi="Arial"/>
          <w:sz w:val="18"/>
          <w:szCs w:val="18"/>
        </w:rPr>
        <w:t xml:space="preserve">      * The time </w:t>
      </w:r>
      <w:r w:rsidRPr="00616CD8">
        <w:rPr>
          <w:rFonts w:ascii="Arial" w:hAnsi="Arial"/>
          <w:sz w:val="18"/>
          <w:szCs w:val="18"/>
        </w:rPr>
        <w:t>required would vary depending on the size and complexity of a project.</w:t>
      </w:r>
    </w:p>
    <w:p w14:paraId="58F3A753" w14:textId="77777777" w:rsidR="00E528FC" w:rsidRPr="00616CD8" w:rsidRDefault="00E528FC" w:rsidP="00172E64">
      <w:pPr>
        <w:pStyle w:val="Heading3"/>
        <w:numPr>
          <w:ilvl w:val="2"/>
          <w:numId w:val="185"/>
        </w:numPr>
        <w:ind w:left="0" w:firstLine="0"/>
      </w:pPr>
      <w:r w:rsidRPr="00616CD8">
        <w:t>Procedure</w:t>
      </w:r>
    </w:p>
    <w:p w14:paraId="16671297" w14:textId="77777777" w:rsidR="00E528FC" w:rsidRPr="00616CD8" w:rsidRDefault="00E528FC" w:rsidP="00E528FC">
      <w:pPr>
        <w:pStyle w:val="BodyText"/>
        <w:spacing w:after="0"/>
        <w:jc w:val="both"/>
      </w:pPr>
      <w:r w:rsidRPr="00616CD8">
        <w:t>The PAGD Engineer should fill out</w:t>
      </w:r>
      <w:r w:rsidR="00DC590E">
        <w:t xml:space="preserve"> the appropriate QCQA form </w:t>
      </w:r>
      <w:r w:rsidR="004E48E2" w:rsidRPr="00616CD8">
        <w:t>(depending on the project type</w:t>
      </w:r>
      <w:r w:rsidR="00DC590E">
        <w:t xml:space="preserve">, see </w:t>
      </w:r>
      <w:hyperlink w:anchor="_Forms_&amp;_Spreadsheets" w:history="1">
        <w:r w:rsidR="00DC590E" w:rsidRPr="00DC590E">
          <w:rPr>
            <w:rStyle w:val="Hyperlink"/>
          </w:rPr>
          <w:t>Forms &amp; Spreadsheets</w:t>
        </w:r>
      </w:hyperlink>
      <w:r w:rsidR="004E48E2" w:rsidRPr="00616CD8">
        <w:t>) in its entirety.  Once that is complete, the PAGD engineer should submit the project folder to his/her Team Leader.</w:t>
      </w:r>
    </w:p>
    <w:p w14:paraId="0B40F2DD" w14:textId="77777777" w:rsidR="004E48E2" w:rsidRPr="00616CD8" w:rsidRDefault="004E48E2" w:rsidP="00E528FC">
      <w:pPr>
        <w:pStyle w:val="BodyText"/>
        <w:spacing w:after="0"/>
        <w:jc w:val="both"/>
      </w:pPr>
    </w:p>
    <w:p w14:paraId="55B1D11D" w14:textId="77777777" w:rsidR="000B2FCD" w:rsidRPr="00616CD8" w:rsidRDefault="004E48E2" w:rsidP="00172E64">
      <w:pPr>
        <w:pStyle w:val="Heading4"/>
        <w:numPr>
          <w:ilvl w:val="3"/>
          <w:numId w:val="185"/>
        </w:numPr>
        <w:tabs>
          <w:tab w:val="left" w:pos="1800"/>
        </w:tabs>
        <w:ind w:left="864"/>
      </w:pPr>
      <w:r w:rsidRPr="00616CD8">
        <w:t>Team Leader</w:t>
      </w:r>
    </w:p>
    <w:p w14:paraId="21B034A8" w14:textId="77777777" w:rsidR="004E48E2" w:rsidRPr="00616CD8" w:rsidRDefault="004E48E2" w:rsidP="004E48E2"/>
    <w:p w14:paraId="7FE0D2D1" w14:textId="77777777" w:rsidR="00AF4464" w:rsidRDefault="00AF4464" w:rsidP="00172E64">
      <w:pPr>
        <w:pStyle w:val="Heading5"/>
        <w:numPr>
          <w:ilvl w:val="4"/>
          <w:numId w:val="185"/>
        </w:numPr>
        <w:tabs>
          <w:tab w:val="left" w:pos="1800"/>
        </w:tabs>
        <w:ind w:left="1098" w:hanging="1098"/>
      </w:pPr>
      <w:bookmarkStart w:id="615" w:name="_Project_Folder"/>
      <w:bookmarkEnd w:id="615"/>
      <w:r>
        <w:t xml:space="preserve">Project Folder </w:t>
      </w:r>
    </w:p>
    <w:p w14:paraId="6F048832" w14:textId="7765656F" w:rsidR="00BE4B70" w:rsidRDefault="00BE4B70" w:rsidP="00AF4464">
      <w:pPr>
        <w:pStyle w:val="ListNumber"/>
        <w:tabs>
          <w:tab w:val="clear" w:pos="720"/>
          <w:tab w:val="clear" w:pos="1872"/>
        </w:tabs>
        <w:spacing w:before="0"/>
        <w:ind w:left="0" w:firstLine="0"/>
        <w:jc w:val="both"/>
      </w:pPr>
      <w:r>
        <w:t>Review each section of the project folder to make sure that all required data has been collected and all required analysis and design ha</w:t>
      </w:r>
      <w:r w:rsidR="00B30187">
        <w:t>ve</w:t>
      </w:r>
      <w:r>
        <w:t xml:space="preserve"> been performed.  Also make sure everything is where it belongs.  Refer to </w:t>
      </w:r>
      <w:hyperlink w:anchor="_Paper_Files_and" w:history="1">
        <w:r w:rsidRPr="00BE4B70">
          <w:rPr>
            <w:rStyle w:val="Hyperlink"/>
          </w:rPr>
          <w:t>Paper Files and Plan Storage</w:t>
        </w:r>
      </w:hyperlink>
      <w:r>
        <w:t>.</w:t>
      </w:r>
    </w:p>
    <w:p w14:paraId="1BE9D223" w14:textId="77777777" w:rsidR="00BE4B70" w:rsidRDefault="00BE4B70" w:rsidP="00BE4B70">
      <w:pPr>
        <w:pStyle w:val="ListParagraph"/>
      </w:pPr>
    </w:p>
    <w:p w14:paraId="742F58CF" w14:textId="77777777" w:rsidR="000F127E" w:rsidRPr="00131450" w:rsidRDefault="000F127E" w:rsidP="00172E64">
      <w:pPr>
        <w:pStyle w:val="Heading6"/>
        <w:numPr>
          <w:ilvl w:val="5"/>
          <w:numId w:val="185"/>
        </w:numPr>
        <w:tabs>
          <w:tab w:val="left" w:pos="1800"/>
        </w:tabs>
        <w:ind w:left="1152"/>
      </w:pPr>
      <w:r w:rsidRPr="00131450">
        <w:t xml:space="preserve">Design QA and Summaries </w:t>
      </w:r>
    </w:p>
    <w:p w14:paraId="576F0412" w14:textId="7070147F" w:rsidR="000F127E" w:rsidRDefault="000F127E" w:rsidP="000F127E">
      <w:pPr>
        <w:pStyle w:val="ListNumber"/>
        <w:tabs>
          <w:tab w:val="clear" w:pos="720"/>
          <w:tab w:val="clear" w:pos="1872"/>
        </w:tabs>
        <w:spacing w:before="0"/>
        <w:ind w:left="0" w:firstLine="0"/>
        <w:jc w:val="both"/>
      </w:pPr>
      <w:r>
        <w:t xml:space="preserve">At a minimum, this section should have the </w:t>
      </w:r>
      <w:r w:rsidR="00D650CE">
        <w:t xml:space="preserve">following forms: </w:t>
      </w:r>
      <w:r w:rsidR="00746CF3">
        <w:t xml:space="preserve">PD-02, </w:t>
      </w:r>
      <w:r>
        <w:t>PD-06</w:t>
      </w:r>
      <w:r w:rsidR="00746CF3">
        <w:t xml:space="preserve">, PD-11 and </w:t>
      </w:r>
      <w:r w:rsidR="00D650CE">
        <w:t>PD</w:t>
      </w:r>
      <w:r w:rsidR="00746CF3">
        <w:t>S</w:t>
      </w:r>
      <w:r w:rsidR="00D650CE">
        <w:t>-</w:t>
      </w:r>
      <w:r w:rsidR="00746CF3">
        <w:t>08</w:t>
      </w:r>
      <w:r w:rsidR="00D650CE">
        <w:t xml:space="preserve">.  </w:t>
      </w:r>
      <w:r>
        <w:t xml:space="preserve"> Review each </w:t>
      </w:r>
      <w:r w:rsidR="00D650CE">
        <w:t xml:space="preserve">form </w:t>
      </w:r>
      <w:r w:rsidR="00B30187">
        <w:t xml:space="preserve">for </w:t>
      </w:r>
      <w:r w:rsidR="00D650CE">
        <w:t>completeness and correctness.</w:t>
      </w:r>
    </w:p>
    <w:p w14:paraId="58FBFE94" w14:textId="77777777" w:rsidR="00D650CE" w:rsidRDefault="00D650CE" w:rsidP="000F127E">
      <w:pPr>
        <w:pStyle w:val="ListNumber"/>
        <w:tabs>
          <w:tab w:val="clear" w:pos="720"/>
          <w:tab w:val="clear" w:pos="1872"/>
        </w:tabs>
        <w:spacing w:before="0"/>
        <w:ind w:left="0" w:firstLine="0"/>
        <w:jc w:val="both"/>
      </w:pPr>
    </w:p>
    <w:p w14:paraId="56625E03" w14:textId="77777777" w:rsidR="00D650CE" w:rsidRPr="00131450" w:rsidRDefault="00D650CE" w:rsidP="00172E64">
      <w:pPr>
        <w:pStyle w:val="Heading6"/>
        <w:numPr>
          <w:ilvl w:val="5"/>
          <w:numId w:val="185"/>
        </w:numPr>
        <w:tabs>
          <w:tab w:val="left" w:pos="1800"/>
        </w:tabs>
        <w:ind w:left="1152"/>
      </w:pPr>
      <w:r w:rsidRPr="00131450">
        <w:t xml:space="preserve">Reports </w:t>
      </w:r>
    </w:p>
    <w:p w14:paraId="16BD88A9" w14:textId="77777777" w:rsidR="00D650CE" w:rsidRDefault="00D650CE" w:rsidP="00D650CE">
      <w:pPr>
        <w:pStyle w:val="ListNumber"/>
        <w:tabs>
          <w:tab w:val="clear" w:pos="720"/>
          <w:tab w:val="clear" w:pos="1872"/>
        </w:tabs>
        <w:spacing w:before="0"/>
        <w:ind w:left="0" w:firstLine="0"/>
        <w:jc w:val="both"/>
      </w:pPr>
      <w:r>
        <w:t>Review this section to see if any reports from previous/adjacent projects were included, and if so, whether they contain information that could impact the current project’s recommendations and memo/report.</w:t>
      </w:r>
    </w:p>
    <w:p w14:paraId="003080A2" w14:textId="77777777" w:rsidR="002B6575" w:rsidRDefault="002B6575" w:rsidP="00D650CE">
      <w:pPr>
        <w:pStyle w:val="ListNumber"/>
        <w:tabs>
          <w:tab w:val="clear" w:pos="720"/>
          <w:tab w:val="clear" w:pos="1872"/>
        </w:tabs>
        <w:spacing w:before="0"/>
        <w:ind w:left="0" w:firstLine="0"/>
        <w:jc w:val="both"/>
      </w:pPr>
    </w:p>
    <w:p w14:paraId="5FC37408" w14:textId="77777777" w:rsidR="002B6575" w:rsidRPr="00131450" w:rsidRDefault="002B6575" w:rsidP="00172E64">
      <w:pPr>
        <w:pStyle w:val="Heading6"/>
        <w:numPr>
          <w:ilvl w:val="5"/>
          <w:numId w:val="185"/>
        </w:numPr>
        <w:tabs>
          <w:tab w:val="left" w:pos="1800"/>
        </w:tabs>
        <w:ind w:left="1152"/>
      </w:pPr>
      <w:r w:rsidRPr="00131450">
        <w:lastRenderedPageBreak/>
        <w:t xml:space="preserve">Correspondence </w:t>
      </w:r>
    </w:p>
    <w:p w14:paraId="6847450D" w14:textId="77777777" w:rsidR="002B6575" w:rsidRDefault="002B6575" w:rsidP="002B6575">
      <w:pPr>
        <w:pStyle w:val="ListNumber"/>
        <w:tabs>
          <w:tab w:val="clear" w:pos="720"/>
          <w:tab w:val="clear" w:pos="1872"/>
        </w:tabs>
        <w:spacing w:before="0"/>
        <w:ind w:left="0" w:firstLine="0"/>
        <w:jc w:val="both"/>
      </w:pPr>
      <w:r>
        <w:t xml:space="preserve">All correspondence should be in this section.  </w:t>
      </w:r>
      <w:r w:rsidRPr="00B0432A">
        <w:t xml:space="preserve">Review </w:t>
      </w:r>
      <w:r>
        <w:t>the correspondence and any set of plans to be fully aware of the scope of work in order to make sure all required recommendations are provided.</w:t>
      </w:r>
    </w:p>
    <w:p w14:paraId="4C5EC842" w14:textId="77777777" w:rsidR="00F4523B" w:rsidRDefault="00F4523B" w:rsidP="002B6575">
      <w:pPr>
        <w:pStyle w:val="ListNumber"/>
        <w:tabs>
          <w:tab w:val="clear" w:pos="720"/>
          <w:tab w:val="clear" w:pos="1872"/>
        </w:tabs>
        <w:spacing w:before="0"/>
        <w:ind w:left="0" w:firstLine="0"/>
        <w:jc w:val="both"/>
      </w:pPr>
    </w:p>
    <w:p w14:paraId="1130EC67" w14:textId="77777777" w:rsidR="002B6575" w:rsidRPr="00131450" w:rsidRDefault="002B6575" w:rsidP="00172E64">
      <w:pPr>
        <w:pStyle w:val="Heading6"/>
        <w:numPr>
          <w:ilvl w:val="5"/>
          <w:numId w:val="185"/>
        </w:numPr>
        <w:tabs>
          <w:tab w:val="left" w:pos="1800"/>
        </w:tabs>
        <w:ind w:left="1152"/>
      </w:pPr>
      <w:r w:rsidRPr="00131450">
        <w:t>Records Review</w:t>
      </w:r>
    </w:p>
    <w:p w14:paraId="1CE9D561" w14:textId="77777777" w:rsidR="00D76B98" w:rsidRDefault="002B6575" w:rsidP="002B6575">
      <w:pPr>
        <w:pStyle w:val="ListNumber"/>
        <w:tabs>
          <w:tab w:val="clear" w:pos="720"/>
          <w:tab w:val="clear" w:pos="1872"/>
        </w:tabs>
        <w:spacing w:before="0"/>
        <w:ind w:left="0" w:firstLine="0"/>
        <w:jc w:val="both"/>
      </w:pPr>
      <w:r>
        <w:t xml:space="preserve">Review this section to ensure all in-house records are included.  </w:t>
      </w:r>
      <w:r w:rsidR="00D76B98">
        <w:t>This may include, but not be limited to, the following:</w:t>
      </w:r>
    </w:p>
    <w:p w14:paraId="0C3E44AF" w14:textId="77777777" w:rsidR="00B30187" w:rsidRDefault="00B30187" w:rsidP="002B6575">
      <w:pPr>
        <w:pStyle w:val="ListNumber"/>
        <w:tabs>
          <w:tab w:val="clear" w:pos="720"/>
          <w:tab w:val="clear" w:pos="1872"/>
        </w:tabs>
        <w:spacing w:before="0"/>
        <w:ind w:left="0" w:firstLine="0"/>
        <w:jc w:val="both"/>
      </w:pPr>
    </w:p>
    <w:p w14:paraId="51ABB949" w14:textId="07F140B9" w:rsidR="001A15B9" w:rsidRDefault="00D76B98" w:rsidP="00172E64">
      <w:pPr>
        <w:pStyle w:val="ListNumber"/>
        <w:numPr>
          <w:ilvl w:val="0"/>
          <w:numId w:val="92"/>
        </w:numPr>
        <w:tabs>
          <w:tab w:val="clear" w:pos="1872"/>
        </w:tabs>
        <w:spacing w:before="0"/>
        <w:ind w:hanging="720"/>
        <w:jc w:val="both"/>
      </w:pPr>
      <w:r>
        <w:t>Highway Location Reference page(s)</w:t>
      </w:r>
    </w:p>
    <w:p w14:paraId="43F0178F" w14:textId="77777777" w:rsidR="001A15B9" w:rsidRDefault="00D76B98" w:rsidP="00172E64">
      <w:pPr>
        <w:pStyle w:val="ListNumber"/>
        <w:numPr>
          <w:ilvl w:val="0"/>
          <w:numId w:val="92"/>
        </w:numPr>
        <w:tabs>
          <w:tab w:val="clear" w:pos="1872"/>
        </w:tabs>
        <w:spacing w:before="0"/>
        <w:ind w:hanging="720"/>
        <w:jc w:val="both"/>
      </w:pPr>
      <w:r>
        <w:t>Traffic data</w:t>
      </w:r>
    </w:p>
    <w:p w14:paraId="6CC4B452" w14:textId="77777777" w:rsidR="001A15B9" w:rsidRDefault="00D76B98" w:rsidP="00172E64">
      <w:pPr>
        <w:pStyle w:val="ListNumber"/>
        <w:numPr>
          <w:ilvl w:val="0"/>
          <w:numId w:val="92"/>
        </w:numPr>
        <w:tabs>
          <w:tab w:val="clear" w:pos="1872"/>
        </w:tabs>
        <w:spacing w:before="0"/>
        <w:ind w:hanging="720"/>
        <w:jc w:val="both"/>
      </w:pPr>
      <w:r>
        <w:t>Construction History data</w:t>
      </w:r>
    </w:p>
    <w:p w14:paraId="514692CB" w14:textId="77777777" w:rsidR="001A15B9" w:rsidRDefault="00D76B98" w:rsidP="00172E64">
      <w:pPr>
        <w:pStyle w:val="ListNumber"/>
        <w:numPr>
          <w:ilvl w:val="0"/>
          <w:numId w:val="92"/>
        </w:numPr>
        <w:tabs>
          <w:tab w:val="clear" w:pos="1872"/>
        </w:tabs>
        <w:spacing w:before="0"/>
        <w:ind w:hanging="720"/>
        <w:jc w:val="both"/>
      </w:pPr>
      <w:r>
        <w:t>Pavement condition performance data</w:t>
      </w:r>
    </w:p>
    <w:p w14:paraId="1B7A49E5" w14:textId="4D4CB42D" w:rsidR="001A15B9" w:rsidRDefault="00D76B98" w:rsidP="00172E64">
      <w:pPr>
        <w:pStyle w:val="ListNumber"/>
        <w:numPr>
          <w:ilvl w:val="0"/>
          <w:numId w:val="92"/>
        </w:numPr>
        <w:tabs>
          <w:tab w:val="clear" w:pos="1872"/>
        </w:tabs>
        <w:spacing w:before="0"/>
        <w:ind w:hanging="720"/>
        <w:jc w:val="both"/>
      </w:pPr>
      <w:r>
        <w:t>Other background information from previous or adjacent projects</w:t>
      </w:r>
    </w:p>
    <w:p w14:paraId="3D7188FE" w14:textId="77777777" w:rsidR="002B6575" w:rsidRDefault="002B6575" w:rsidP="002B6575">
      <w:pPr>
        <w:pStyle w:val="ListNumber"/>
        <w:tabs>
          <w:tab w:val="clear" w:pos="720"/>
          <w:tab w:val="clear" w:pos="1872"/>
        </w:tabs>
        <w:spacing w:before="0"/>
        <w:ind w:left="0" w:firstLine="0"/>
        <w:jc w:val="both"/>
      </w:pPr>
    </w:p>
    <w:p w14:paraId="47A157F5" w14:textId="77777777" w:rsidR="00D76B98" w:rsidRPr="00131450" w:rsidRDefault="00D76B98" w:rsidP="00172E64">
      <w:pPr>
        <w:pStyle w:val="Heading6"/>
        <w:numPr>
          <w:ilvl w:val="5"/>
          <w:numId w:val="185"/>
        </w:numPr>
        <w:tabs>
          <w:tab w:val="left" w:pos="1800"/>
        </w:tabs>
        <w:ind w:left="1152"/>
      </w:pPr>
      <w:r w:rsidRPr="00131450">
        <w:t>Project-Level Collected Data</w:t>
      </w:r>
    </w:p>
    <w:p w14:paraId="13B82A1F" w14:textId="77777777" w:rsidR="00D76B98" w:rsidRDefault="00D76B98" w:rsidP="00D76B98">
      <w:pPr>
        <w:pStyle w:val="ListNumber"/>
        <w:tabs>
          <w:tab w:val="clear" w:pos="720"/>
          <w:tab w:val="clear" w:pos="1872"/>
        </w:tabs>
        <w:spacing w:before="0"/>
        <w:ind w:left="0" w:firstLine="0"/>
        <w:jc w:val="both"/>
      </w:pPr>
      <w:r>
        <w:t>Review this section to ensure all field and lab data are included.  This may include, but not be limited to, the following:</w:t>
      </w:r>
    </w:p>
    <w:p w14:paraId="27A50332" w14:textId="77777777" w:rsidR="00B30187" w:rsidRDefault="00B30187" w:rsidP="00D76B98">
      <w:pPr>
        <w:pStyle w:val="ListNumber"/>
        <w:tabs>
          <w:tab w:val="clear" w:pos="720"/>
          <w:tab w:val="clear" w:pos="1872"/>
        </w:tabs>
        <w:spacing w:before="0"/>
        <w:ind w:left="0" w:firstLine="0"/>
        <w:jc w:val="both"/>
      </w:pPr>
    </w:p>
    <w:p w14:paraId="1B34B21E" w14:textId="77777777" w:rsidR="001A15B9" w:rsidRDefault="00D76B98" w:rsidP="00172E64">
      <w:pPr>
        <w:pStyle w:val="ListNumber"/>
        <w:numPr>
          <w:ilvl w:val="0"/>
          <w:numId w:val="92"/>
        </w:numPr>
        <w:tabs>
          <w:tab w:val="clear" w:pos="1872"/>
        </w:tabs>
        <w:spacing w:before="0"/>
        <w:ind w:hanging="720"/>
        <w:jc w:val="both"/>
      </w:pPr>
      <w:r>
        <w:t>Drilling information</w:t>
      </w:r>
    </w:p>
    <w:p w14:paraId="4FA1EDFB" w14:textId="77777777" w:rsidR="001A15B9" w:rsidRDefault="00D76B98" w:rsidP="00172E64">
      <w:pPr>
        <w:pStyle w:val="ListNumber"/>
        <w:numPr>
          <w:ilvl w:val="0"/>
          <w:numId w:val="92"/>
        </w:numPr>
        <w:tabs>
          <w:tab w:val="clear" w:pos="1872"/>
        </w:tabs>
        <w:spacing w:before="0"/>
        <w:ind w:hanging="720"/>
        <w:jc w:val="both"/>
      </w:pPr>
      <w:r>
        <w:t>Lab information</w:t>
      </w:r>
    </w:p>
    <w:p w14:paraId="1233A229" w14:textId="77777777" w:rsidR="001A15B9" w:rsidRDefault="00D76B98" w:rsidP="00172E64">
      <w:pPr>
        <w:pStyle w:val="ListNumber"/>
        <w:numPr>
          <w:ilvl w:val="0"/>
          <w:numId w:val="92"/>
        </w:numPr>
        <w:tabs>
          <w:tab w:val="clear" w:pos="1872"/>
        </w:tabs>
        <w:spacing w:before="0"/>
        <w:ind w:hanging="720"/>
        <w:jc w:val="both"/>
      </w:pPr>
      <w:r>
        <w:t>Patch survey information</w:t>
      </w:r>
    </w:p>
    <w:p w14:paraId="61E0A88E" w14:textId="77777777" w:rsidR="001A15B9" w:rsidRDefault="00D76B98" w:rsidP="00172E64">
      <w:pPr>
        <w:pStyle w:val="ListNumber"/>
        <w:numPr>
          <w:ilvl w:val="0"/>
          <w:numId w:val="92"/>
        </w:numPr>
        <w:tabs>
          <w:tab w:val="clear" w:pos="1872"/>
        </w:tabs>
        <w:spacing w:before="0"/>
        <w:ind w:hanging="720"/>
        <w:jc w:val="both"/>
      </w:pPr>
      <w:r>
        <w:t>Visual survey information</w:t>
      </w:r>
    </w:p>
    <w:p w14:paraId="02AF2921" w14:textId="77777777" w:rsidR="003C3F25" w:rsidRDefault="003C3F25" w:rsidP="003C3F25">
      <w:pPr>
        <w:pStyle w:val="ListNumber"/>
        <w:tabs>
          <w:tab w:val="clear" w:pos="720"/>
          <w:tab w:val="clear" w:pos="1872"/>
        </w:tabs>
        <w:spacing w:before="0"/>
        <w:jc w:val="both"/>
      </w:pPr>
    </w:p>
    <w:p w14:paraId="14C98CCA" w14:textId="77777777" w:rsidR="003C3F25" w:rsidRPr="00131450" w:rsidRDefault="003C3F25" w:rsidP="00172E64">
      <w:pPr>
        <w:pStyle w:val="Heading6"/>
        <w:numPr>
          <w:ilvl w:val="5"/>
          <w:numId w:val="185"/>
        </w:numPr>
        <w:tabs>
          <w:tab w:val="left" w:pos="1800"/>
        </w:tabs>
        <w:ind w:left="1152"/>
      </w:pPr>
      <w:r w:rsidRPr="00131450">
        <w:t>Design/Analysis</w:t>
      </w:r>
    </w:p>
    <w:p w14:paraId="132AE4E6" w14:textId="426D3571" w:rsidR="003C3F25" w:rsidRDefault="003C3F25" w:rsidP="003C3F25">
      <w:pPr>
        <w:pStyle w:val="ListNumber"/>
        <w:tabs>
          <w:tab w:val="clear" w:pos="720"/>
          <w:tab w:val="clear" w:pos="1872"/>
        </w:tabs>
        <w:spacing w:before="0"/>
        <w:ind w:left="0" w:firstLine="0"/>
        <w:jc w:val="both"/>
      </w:pPr>
      <w:r>
        <w:t>Review this section to ensure all calculations, designs</w:t>
      </w:r>
      <w:r w:rsidR="00295DD3">
        <w:t>,</w:t>
      </w:r>
      <w:r>
        <w:t xml:space="preserve"> and analyses are included and </w:t>
      </w:r>
      <w:r w:rsidRPr="003C3F25">
        <w:rPr>
          <w:b/>
        </w:rPr>
        <w:t>correct</w:t>
      </w:r>
      <w:r>
        <w:t>.  This may include, but not be limited to, the following:</w:t>
      </w:r>
    </w:p>
    <w:p w14:paraId="657E6E40" w14:textId="77777777" w:rsidR="00295DD3" w:rsidRDefault="00295DD3" w:rsidP="003C3F25">
      <w:pPr>
        <w:pStyle w:val="ListNumber"/>
        <w:tabs>
          <w:tab w:val="clear" w:pos="720"/>
          <w:tab w:val="clear" w:pos="1872"/>
        </w:tabs>
        <w:spacing w:before="0"/>
        <w:ind w:left="0" w:firstLine="0"/>
        <w:jc w:val="both"/>
      </w:pPr>
    </w:p>
    <w:p w14:paraId="6F9C08EB" w14:textId="12A8FA51" w:rsidR="001A15B9" w:rsidRDefault="003C3F25" w:rsidP="00172E64">
      <w:pPr>
        <w:pStyle w:val="ListNumber"/>
        <w:numPr>
          <w:ilvl w:val="0"/>
          <w:numId w:val="92"/>
        </w:numPr>
        <w:tabs>
          <w:tab w:val="clear" w:pos="1872"/>
        </w:tabs>
        <w:spacing w:before="0"/>
        <w:ind w:hanging="720"/>
        <w:jc w:val="both"/>
      </w:pPr>
      <w:r>
        <w:t>Pavement Preservation Guide treatment matrix page(s)</w:t>
      </w:r>
    </w:p>
    <w:p w14:paraId="500F1682" w14:textId="77777777" w:rsidR="001A15B9" w:rsidRDefault="003C3F25" w:rsidP="00172E64">
      <w:pPr>
        <w:pStyle w:val="ListNumber"/>
        <w:numPr>
          <w:ilvl w:val="0"/>
          <w:numId w:val="92"/>
        </w:numPr>
        <w:tabs>
          <w:tab w:val="clear" w:pos="1872"/>
        </w:tabs>
        <w:spacing w:before="0"/>
        <w:ind w:hanging="720"/>
        <w:jc w:val="both"/>
      </w:pPr>
      <w:r>
        <w:t>PD</w:t>
      </w:r>
      <w:r w:rsidR="004C6B36">
        <w:t xml:space="preserve"> Forms</w:t>
      </w:r>
      <w:r>
        <w:t xml:space="preserve"> (Pavement design/analysis)</w:t>
      </w:r>
    </w:p>
    <w:p w14:paraId="6DDF4BDF" w14:textId="77777777" w:rsidR="001A15B9" w:rsidRDefault="003C3F25" w:rsidP="00172E64">
      <w:pPr>
        <w:pStyle w:val="ListNumber"/>
        <w:numPr>
          <w:ilvl w:val="0"/>
          <w:numId w:val="92"/>
        </w:numPr>
        <w:tabs>
          <w:tab w:val="clear" w:pos="1872"/>
        </w:tabs>
        <w:spacing w:before="0"/>
        <w:ind w:hanging="720"/>
        <w:jc w:val="both"/>
      </w:pPr>
      <w:r>
        <w:t>AASHTOWare Pavement ME Design outputs</w:t>
      </w:r>
    </w:p>
    <w:p w14:paraId="2A6E9144" w14:textId="77777777" w:rsidR="001A15B9" w:rsidRDefault="003C3F25" w:rsidP="00172E64">
      <w:pPr>
        <w:pStyle w:val="ListNumber"/>
        <w:numPr>
          <w:ilvl w:val="0"/>
          <w:numId w:val="92"/>
        </w:numPr>
        <w:tabs>
          <w:tab w:val="clear" w:pos="1872"/>
        </w:tabs>
        <w:spacing w:before="0"/>
        <w:ind w:hanging="720"/>
        <w:jc w:val="both"/>
      </w:pPr>
      <w:r>
        <w:t xml:space="preserve">Geotechnical design/analysis </w:t>
      </w:r>
    </w:p>
    <w:p w14:paraId="6EC79CDD" w14:textId="77777777" w:rsidR="001A15B9" w:rsidRDefault="003C3F25" w:rsidP="00172E64">
      <w:pPr>
        <w:pStyle w:val="ListNumber"/>
        <w:numPr>
          <w:ilvl w:val="0"/>
          <w:numId w:val="92"/>
        </w:numPr>
        <w:tabs>
          <w:tab w:val="clear" w:pos="1872"/>
        </w:tabs>
        <w:spacing w:before="0"/>
        <w:ind w:hanging="720"/>
        <w:jc w:val="both"/>
      </w:pPr>
      <w:r>
        <w:t>Pavement condition performance data</w:t>
      </w:r>
    </w:p>
    <w:p w14:paraId="7AD9CF34" w14:textId="7797B257" w:rsidR="001A15B9" w:rsidRDefault="003C3F25" w:rsidP="00172E64">
      <w:pPr>
        <w:pStyle w:val="ListNumber"/>
        <w:numPr>
          <w:ilvl w:val="0"/>
          <w:numId w:val="92"/>
        </w:numPr>
        <w:tabs>
          <w:tab w:val="clear" w:pos="1872"/>
        </w:tabs>
        <w:spacing w:before="0"/>
        <w:ind w:hanging="720"/>
        <w:jc w:val="both"/>
      </w:pPr>
      <w:r>
        <w:t>Other background information from previous or adjacent projects</w:t>
      </w:r>
    </w:p>
    <w:p w14:paraId="10EF0716" w14:textId="77777777" w:rsidR="000F127E" w:rsidRDefault="000F127E" w:rsidP="00BE4B70">
      <w:pPr>
        <w:pStyle w:val="ListParagraph"/>
      </w:pPr>
    </w:p>
    <w:p w14:paraId="3CEFA0F2" w14:textId="77777777" w:rsidR="00AF4464" w:rsidRDefault="00AF4464" w:rsidP="00172E64">
      <w:pPr>
        <w:pStyle w:val="Heading5"/>
        <w:numPr>
          <w:ilvl w:val="4"/>
          <w:numId w:val="185"/>
        </w:numPr>
        <w:tabs>
          <w:tab w:val="left" w:pos="1800"/>
        </w:tabs>
        <w:ind w:left="1098" w:hanging="1098"/>
      </w:pPr>
      <w:r>
        <w:t xml:space="preserve">Projects Database </w:t>
      </w:r>
    </w:p>
    <w:p w14:paraId="4FFE4878" w14:textId="0785F291" w:rsidR="00BE4B70" w:rsidRDefault="00BE4B70" w:rsidP="00AF4464">
      <w:pPr>
        <w:pStyle w:val="ListNumber"/>
        <w:tabs>
          <w:tab w:val="clear" w:pos="720"/>
          <w:tab w:val="clear" w:pos="1872"/>
        </w:tabs>
        <w:spacing w:before="0"/>
        <w:ind w:left="0" w:firstLine="0"/>
        <w:jc w:val="both"/>
      </w:pPr>
      <w:r>
        <w:t xml:space="preserve">Review the </w:t>
      </w:r>
      <w:hyperlink r:id="rId340" w:history="1">
        <w:r w:rsidRPr="00BE4B70">
          <w:rPr>
            <w:rStyle w:val="Hyperlink"/>
          </w:rPr>
          <w:t>Projects database</w:t>
        </w:r>
      </w:hyperlink>
      <w:r>
        <w:t xml:space="preserve"> to ensure that all pertinent data is completed.</w:t>
      </w:r>
    </w:p>
    <w:p w14:paraId="692EF44A" w14:textId="77777777" w:rsidR="00BE4B70" w:rsidRDefault="00BE4B70" w:rsidP="00BE4B70">
      <w:pPr>
        <w:pStyle w:val="ListParagraph"/>
      </w:pPr>
    </w:p>
    <w:p w14:paraId="495EACC6" w14:textId="77777777" w:rsidR="00F504AA" w:rsidRPr="00131450" w:rsidRDefault="00A15A4F" w:rsidP="00172E64">
      <w:pPr>
        <w:pStyle w:val="Heading6"/>
        <w:numPr>
          <w:ilvl w:val="5"/>
          <w:numId w:val="185"/>
        </w:numPr>
        <w:tabs>
          <w:tab w:val="left" w:pos="1800"/>
        </w:tabs>
        <w:ind w:left="1152"/>
      </w:pPr>
      <w:r w:rsidRPr="00131450">
        <w:t>Project Entry Page</w:t>
      </w:r>
      <w:r w:rsidR="00F504AA" w:rsidRPr="00131450">
        <w:t xml:space="preserve"> </w:t>
      </w:r>
    </w:p>
    <w:p w14:paraId="5017055D" w14:textId="77777777" w:rsidR="00F504AA" w:rsidRDefault="00CA0968" w:rsidP="00CA0968">
      <w:pPr>
        <w:pStyle w:val="ListNumber"/>
        <w:tabs>
          <w:tab w:val="clear" w:pos="720"/>
          <w:tab w:val="clear" w:pos="1872"/>
        </w:tabs>
        <w:spacing w:before="0"/>
        <w:ind w:left="0" w:firstLine="0"/>
        <w:jc w:val="both"/>
      </w:pPr>
      <w:r>
        <w:t>Find the specific project, and verify that all relevant fields are filled in.  Particular attention should be paid to the dates.</w:t>
      </w:r>
    </w:p>
    <w:p w14:paraId="1E35AE08" w14:textId="77777777" w:rsidR="00A15A4F" w:rsidRPr="00131450" w:rsidRDefault="00A15A4F" w:rsidP="00131450">
      <w:pPr>
        <w:pStyle w:val="ListNumber"/>
        <w:tabs>
          <w:tab w:val="clear" w:pos="720"/>
          <w:tab w:val="clear" w:pos="1872"/>
          <w:tab w:val="left" w:pos="1800"/>
        </w:tabs>
        <w:spacing w:before="0"/>
        <w:ind w:left="0" w:firstLine="0"/>
        <w:jc w:val="both"/>
        <w:rPr>
          <w:b/>
        </w:rPr>
      </w:pPr>
    </w:p>
    <w:p w14:paraId="0C623C4E" w14:textId="77777777" w:rsidR="00A15A4F" w:rsidRPr="00131450" w:rsidRDefault="00A15A4F" w:rsidP="00172E64">
      <w:pPr>
        <w:pStyle w:val="Heading6"/>
        <w:numPr>
          <w:ilvl w:val="5"/>
          <w:numId w:val="185"/>
        </w:numPr>
        <w:tabs>
          <w:tab w:val="left" w:pos="1800"/>
        </w:tabs>
        <w:ind w:left="1152"/>
      </w:pPr>
      <w:r w:rsidRPr="00131450">
        <w:t xml:space="preserve">Edit Detail Info/Detailed Project Information Page </w:t>
      </w:r>
    </w:p>
    <w:p w14:paraId="2FB0362F" w14:textId="77777777" w:rsidR="00A15A4F" w:rsidRDefault="00A15A4F" w:rsidP="00A15A4F">
      <w:pPr>
        <w:pStyle w:val="ListNumber"/>
        <w:tabs>
          <w:tab w:val="clear" w:pos="720"/>
          <w:tab w:val="clear" w:pos="1872"/>
        </w:tabs>
        <w:spacing w:before="0"/>
        <w:ind w:left="0" w:firstLine="0"/>
        <w:jc w:val="both"/>
      </w:pPr>
      <w:r>
        <w:t xml:space="preserve">At a minimum, the Request Type should show Final Recommendation.  Verify that all relevant fields are filled in.  </w:t>
      </w:r>
    </w:p>
    <w:p w14:paraId="161B653F" w14:textId="77777777" w:rsidR="00A15A4F" w:rsidRDefault="00A15A4F" w:rsidP="00A15A4F">
      <w:pPr>
        <w:pStyle w:val="ListNumber"/>
        <w:tabs>
          <w:tab w:val="clear" w:pos="720"/>
          <w:tab w:val="clear" w:pos="1872"/>
        </w:tabs>
        <w:spacing w:before="0"/>
        <w:ind w:left="0" w:firstLine="0"/>
        <w:jc w:val="both"/>
      </w:pPr>
    </w:p>
    <w:p w14:paraId="3407CFE5" w14:textId="77777777" w:rsidR="00A15A4F" w:rsidRPr="00131450" w:rsidRDefault="00A15A4F" w:rsidP="00172E64">
      <w:pPr>
        <w:pStyle w:val="Heading6"/>
        <w:numPr>
          <w:ilvl w:val="5"/>
          <w:numId w:val="185"/>
        </w:numPr>
        <w:tabs>
          <w:tab w:val="left" w:pos="1800"/>
        </w:tabs>
        <w:ind w:left="1152"/>
      </w:pPr>
      <w:r w:rsidRPr="00131450">
        <w:t xml:space="preserve">Enter Lab Info/Soil Lab Data Page </w:t>
      </w:r>
    </w:p>
    <w:p w14:paraId="2ABF4BE6" w14:textId="77777777" w:rsidR="00A15A4F" w:rsidRDefault="00A15A4F" w:rsidP="00A15A4F">
      <w:pPr>
        <w:pStyle w:val="ListNumber"/>
        <w:tabs>
          <w:tab w:val="clear" w:pos="720"/>
          <w:tab w:val="clear" w:pos="1872"/>
        </w:tabs>
        <w:spacing w:before="0"/>
        <w:ind w:left="0" w:firstLine="0"/>
        <w:jc w:val="both"/>
      </w:pPr>
      <w:r>
        <w:t xml:space="preserve">If any lab work was completed, verify that all relevant fields are filled in.  </w:t>
      </w:r>
    </w:p>
    <w:p w14:paraId="07CF89E1" w14:textId="77777777" w:rsidR="00A15A4F" w:rsidRDefault="00A15A4F" w:rsidP="00A15A4F">
      <w:pPr>
        <w:pStyle w:val="ListNumber"/>
        <w:tabs>
          <w:tab w:val="clear" w:pos="720"/>
          <w:tab w:val="clear" w:pos="1872"/>
        </w:tabs>
        <w:spacing w:before="0"/>
        <w:ind w:left="0" w:firstLine="0"/>
        <w:jc w:val="both"/>
      </w:pPr>
    </w:p>
    <w:p w14:paraId="3FE92F9D" w14:textId="77777777" w:rsidR="00A15A4F" w:rsidRPr="00131450" w:rsidRDefault="00A15A4F" w:rsidP="00172E64">
      <w:pPr>
        <w:pStyle w:val="Heading6"/>
        <w:numPr>
          <w:ilvl w:val="5"/>
          <w:numId w:val="185"/>
        </w:numPr>
        <w:tabs>
          <w:tab w:val="left" w:pos="1800"/>
        </w:tabs>
        <w:ind w:left="1152"/>
      </w:pPr>
      <w:r w:rsidRPr="00131450">
        <w:lastRenderedPageBreak/>
        <w:t xml:space="preserve">Enter Field Info/Field Testing Data Page </w:t>
      </w:r>
    </w:p>
    <w:p w14:paraId="6FD480AF" w14:textId="77777777" w:rsidR="00A15A4F" w:rsidRDefault="00A15A4F" w:rsidP="00A15A4F">
      <w:pPr>
        <w:pStyle w:val="ListNumber"/>
        <w:tabs>
          <w:tab w:val="clear" w:pos="720"/>
          <w:tab w:val="clear" w:pos="1872"/>
        </w:tabs>
        <w:spacing w:before="0"/>
        <w:ind w:left="0" w:firstLine="0"/>
        <w:jc w:val="both"/>
      </w:pPr>
      <w:r>
        <w:t xml:space="preserve">Refer to </w:t>
      </w:r>
      <w:hyperlink w:anchor="_Required_Pavement_Testing" w:history="1">
        <w:r w:rsidRPr="00A15A4F">
          <w:rPr>
            <w:rStyle w:val="Hyperlink"/>
          </w:rPr>
          <w:t>Required Pavement Testing Guidelines</w:t>
        </w:r>
      </w:hyperlink>
      <w:r>
        <w:t>.  Verify that each test that is required is on this page, at a minimum.  For each required test, the Required Testing check box should be checked yes.  Verify that all relevant fields are filled in.</w:t>
      </w:r>
    </w:p>
    <w:p w14:paraId="7A58A320" w14:textId="77777777" w:rsidR="00F504AA" w:rsidRDefault="00F504AA" w:rsidP="00131450"/>
    <w:p w14:paraId="3576F185" w14:textId="77777777" w:rsidR="000C4227" w:rsidRDefault="000C4227" w:rsidP="00172E64">
      <w:pPr>
        <w:pStyle w:val="Heading5"/>
        <w:numPr>
          <w:ilvl w:val="4"/>
          <w:numId w:val="185"/>
        </w:numPr>
        <w:tabs>
          <w:tab w:val="left" w:pos="1800"/>
        </w:tabs>
        <w:ind w:left="1098" w:hanging="1098"/>
      </w:pPr>
      <w:r>
        <w:t xml:space="preserve">Memo/Report Review </w:t>
      </w:r>
    </w:p>
    <w:p w14:paraId="538D71D0" w14:textId="43F91B74" w:rsidR="00FF2735" w:rsidRPr="00B0432A" w:rsidRDefault="00AF4464" w:rsidP="00FF2735">
      <w:pPr>
        <w:pStyle w:val="ListNumber"/>
        <w:tabs>
          <w:tab w:val="clear" w:pos="720"/>
          <w:tab w:val="clear" w:pos="1872"/>
        </w:tabs>
        <w:spacing w:before="0"/>
        <w:ind w:left="0" w:firstLine="0"/>
        <w:jc w:val="both"/>
      </w:pPr>
      <w:r>
        <w:t>Review the pavement memo/report.  Ensure that all information is correct (e.g.</w:t>
      </w:r>
      <w:r w:rsidR="00295DD3">
        <w:t>,</w:t>
      </w:r>
      <w:r>
        <w:t xml:space="preserve"> data is transferred correctly</w:t>
      </w:r>
      <w:r w:rsidR="00131450">
        <w:t>)</w:t>
      </w:r>
      <w:r w:rsidR="000C4227">
        <w:t>.</w:t>
      </w:r>
      <w:r w:rsidR="00FF2735">
        <w:t xml:space="preserve"> </w:t>
      </w:r>
      <w:r w:rsidR="00FF2735" w:rsidRPr="00B0432A">
        <w:t xml:space="preserve">Ensure that all </w:t>
      </w:r>
      <w:r w:rsidR="00FF2735">
        <w:t xml:space="preserve">required information has been included and is correct.  Refer to </w:t>
      </w:r>
      <w:hyperlink w:anchor="_Example_Memos" w:history="1">
        <w:r w:rsidR="00FF2735" w:rsidRPr="00FF2735">
          <w:rPr>
            <w:rStyle w:val="Hyperlink"/>
          </w:rPr>
          <w:t>Example Memos</w:t>
        </w:r>
      </w:hyperlink>
      <w:r w:rsidR="00FF2735">
        <w:t xml:space="preserve"> to determine whether all information is included.  Check for grammar.  Verify that recommendations are complete and appropriate.  Verify that necessary specifications and pavement details are included.</w:t>
      </w:r>
    </w:p>
    <w:p w14:paraId="74542AAD" w14:textId="77777777" w:rsidR="00DD3769" w:rsidRPr="00B0432A" w:rsidRDefault="00DD3769" w:rsidP="00DD3769">
      <w:pPr>
        <w:pStyle w:val="ListParagraph"/>
      </w:pPr>
    </w:p>
    <w:p w14:paraId="5BF62130" w14:textId="77777777" w:rsidR="00DD3769" w:rsidRPr="00B0432A" w:rsidRDefault="00DD3769" w:rsidP="00172E64">
      <w:pPr>
        <w:pStyle w:val="Heading5"/>
        <w:numPr>
          <w:ilvl w:val="4"/>
          <w:numId w:val="185"/>
        </w:numPr>
        <w:tabs>
          <w:tab w:val="left" w:pos="1800"/>
        </w:tabs>
        <w:ind w:left="1098" w:hanging="1098"/>
      </w:pPr>
      <w:r w:rsidRPr="00B0432A">
        <w:t xml:space="preserve">PD-06 Form </w:t>
      </w:r>
    </w:p>
    <w:p w14:paraId="0C640F79" w14:textId="77777777" w:rsidR="00DD3769" w:rsidRPr="00B0432A" w:rsidRDefault="00DD3769" w:rsidP="00DD3769">
      <w:pPr>
        <w:pStyle w:val="BodyText"/>
        <w:spacing w:after="0"/>
        <w:jc w:val="both"/>
      </w:pPr>
      <w:r w:rsidRPr="00B0432A">
        <w:t>Ensure that the header containing the project details is correctly filled out, and that the appropriate PD-06 form was used.</w:t>
      </w:r>
    </w:p>
    <w:p w14:paraId="75B2510C" w14:textId="77777777" w:rsidR="00DD3769" w:rsidRPr="00B0432A" w:rsidRDefault="00DD3769" w:rsidP="00DD3769">
      <w:pPr>
        <w:pStyle w:val="ListNumber"/>
        <w:tabs>
          <w:tab w:val="clear" w:pos="720"/>
          <w:tab w:val="clear" w:pos="1872"/>
        </w:tabs>
        <w:spacing w:before="0"/>
        <w:ind w:left="1080" w:firstLine="0"/>
        <w:jc w:val="both"/>
      </w:pPr>
    </w:p>
    <w:p w14:paraId="5D6F9529" w14:textId="550E795A" w:rsidR="000C4227" w:rsidRDefault="00DD3769" w:rsidP="000C4227">
      <w:pPr>
        <w:pStyle w:val="ListNumber"/>
        <w:tabs>
          <w:tab w:val="clear" w:pos="720"/>
          <w:tab w:val="clear" w:pos="1872"/>
        </w:tabs>
        <w:spacing w:before="0"/>
        <w:ind w:left="0" w:firstLine="0"/>
        <w:jc w:val="both"/>
      </w:pPr>
      <w:r w:rsidRPr="00B0432A">
        <w:t>For each process, ensure that each box in the date column has either a date or “NA</w:t>
      </w:r>
      <w:r w:rsidR="00295DD3">
        <w:t>.</w:t>
      </w:r>
      <w:r w:rsidR="000C4227">
        <w:t xml:space="preserve">”  If “NA” is listed, make sure that NA is appropriate.  If a date is listed, verify that particular step was completed correctly.  </w:t>
      </w:r>
    </w:p>
    <w:p w14:paraId="1CBA1BC4" w14:textId="77777777" w:rsidR="000C4227" w:rsidRDefault="000C4227" w:rsidP="000C4227">
      <w:pPr>
        <w:pStyle w:val="ListNumber"/>
        <w:tabs>
          <w:tab w:val="clear" w:pos="720"/>
          <w:tab w:val="clear" w:pos="1872"/>
        </w:tabs>
        <w:spacing w:before="0"/>
        <w:ind w:left="0" w:firstLine="0"/>
        <w:jc w:val="both"/>
      </w:pPr>
    </w:p>
    <w:p w14:paraId="2AC7E7D3" w14:textId="77777777" w:rsidR="000C4227" w:rsidRDefault="000C4227" w:rsidP="000C4227">
      <w:pPr>
        <w:pStyle w:val="ListNumber"/>
        <w:tabs>
          <w:tab w:val="clear" w:pos="720"/>
          <w:tab w:val="clear" w:pos="1872"/>
        </w:tabs>
        <w:spacing w:before="0"/>
        <w:ind w:left="0" w:firstLine="0"/>
        <w:jc w:val="both"/>
      </w:pPr>
      <w:r>
        <w:t>Initial the corresponding box under the Team Leader column once the review for that process is complete and any identified problems are corrected.</w:t>
      </w:r>
    </w:p>
    <w:p w14:paraId="52155747" w14:textId="77777777" w:rsidR="00DD3769" w:rsidRDefault="00DD3769" w:rsidP="000C4227">
      <w:pPr>
        <w:pStyle w:val="ListNumber"/>
        <w:tabs>
          <w:tab w:val="clear" w:pos="720"/>
          <w:tab w:val="clear" w:pos="1872"/>
        </w:tabs>
        <w:spacing w:before="0"/>
        <w:ind w:left="0" w:firstLine="0"/>
        <w:jc w:val="both"/>
      </w:pPr>
    </w:p>
    <w:p w14:paraId="17C21F87" w14:textId="77777777" w:rsidR="00DD3769" w:rsidRDefault="00DD3769" w:rsidP="000C4227">
      <w:pPr>
        <w:pStyle w:val="ListNumber"/>
        <w:tabs>
          <w:tab w:val="clear" w:pos="720"/>
          <w:tab w:val="clear" w:pos="1872"/>
        </w:tabs>
        <w:spacing w:before="0"/>
        <w:ind w:left="0" w:firstLine="0"/>
        <w:jc w:val="both"/>
      </w:pPr>
      <w:r>
        <w:t>Once all Team Leader review is complete, submit the folder to the ADC.</w:t>
      </w:r>
    </w:p>
    <w:p w14:paraId="0D4044A1" w14:textId="77777777" w:rsidR="000C4227" w:rsidRDefault="000C4227" w:rsidP="000C4227">
      <w:pPr>
        <w:pStyle w:val="ListParagraph"/>
      </w:pPr>
    </w:p>
    <w:p w14:paraId="75958C02" w14:textId="77777777" w:rsidR="00DD3769" w:rsidRPr="00616CD8" w:rsidRDefault="00DD3769" w:rsidP="00172E64">
      <w:pPr>
        <w:pStyle w:val="Heading4"/>
        <w:numPr>
          <w:ilvl w:val="3"/>
          <w:numId w:val="185"/>
        </w:numPr>
        <w:tabs>
          <w:tab w:val="left" w:pos="1800"/>
        </w:tabs>
        <w:ind w:left="864"/>
      </w:pPr>
      <w:r>
        <w:t>Assistant Division Chief</w:t>
      </w:r>
    </w:p>
    <w:p w14:paraId="0529196C" w14:textId="77777777" w:rsidR="00DD3769" w:rsidRPr="00616CD8" w:rsidRDefault="00DD3769" w:rsidP="00DD3769"/>
    <w:p w14:paraId="14C0FEE8" w14:textId="77777777" w:rsidR="00DD3769" w:rsidRDefault="00DD3769" w:rsidP="00172E64">
      <w:pPr>
        <w:pStyle w:val="Heading5"/>
        <w:numPr>
          <w:ilvl w:val="4"/>
          <w:numId w:val="185"/>
        </w:numPr>
        <w:tabs>
          <w:tab w:val="left" w:pos="1800"/>
        </w:tabs>
        <w:ind w:left="1098" w:hanging="1098"/>
      </w:pPr>
      <w:r>
        <w:t xml:space="preserve">Project Folder </w:t>
      </w:r>
    </w:p>
    <w:p w14:paraId="4AFFC660" w14:textId="77777777" w:rsidR="00DD3769" w:rsidRPr="00B0432A" w:rsidRDefault="00DD3769" w:rsidP="00DD3769">
      <w:pPr>
        <w:pStyle w:val="ListNumber"/>
        <w:tabs>
          <w:tab w:val="clear" w:pos="720"/>
          <w:tab w:val="clear" w:pos="1872"/>
        </w:tabs>
        <w:spacing w:before="0"/>
        <w:ind w:left="0" w:firstLine="0"/>
        <w:jc w:val="both"/>
      </w:pPr>
      <w:r w:rsidRPr="00B0432A">
        <w:t xml:space="preserve">Review each section of the project folder to make sure that everything is where it belongs.  </w:t>
      </w:r>
      <w:r w:rsidR="00F504AA">
        <w:t xml:space="preserve">Follow the same procedures as shown in the </w:t>
      </w:r>
      <w:hyperlink w:anchor="_Project_Folder" w:history="1">
        <w:r w:rsidR="00F504AA" w:rsidRPr="00F504AA">
          <w:rPr>
            <w:rStyle w:val="Hyperlink"/>
          </w:rPr>
          <w:t>Project Folder</w:t>
        </w:r>
      </w:hyperlink>
      <w:r w:rsidR="00F504AA">
        <w:t xml:space="preserve"> section for Team Leader.</w:t>
      </w:r>
    </w:p>
    <w:p w14:paraId="516A1E46" w14:textId="77777777" w:rsidR="00DD3769" w:rsidRPr="00B0432A" w:rsidRDefault="00DD3769" w:rsidP="00DD3769">
      <w:pPr>
        <w:pStyle w:val="ListParagraph"/>
      </w:pPr>
    </w:p>
    <w:p w14:paraId="6F18559E" w14:textId="77777777" w:rsidR="00DD3769" w:rsidRPr="00B0432A" w:rsidRDefault="00DD3769" w:rsidP="00172E64">
      <w:pPr>
        <w:pStyle w:val="Heading5"/>
        <w:numPr>
          <w:ilvl w:val="4"/>
          <w:numId w:val="185"/>
        </w:numPr>
        <w:tabs>
          <w:tab w:val="left" w:pos="1800"/>
        </w:tabs>
        <w:ind w:left="1098" w:hanging="1098"/>
      </w:pPr>
      <w:r w:rsidRPr="00B0432A">
        <w:t xml:space="preserve">Projects Database </w:t>
      </w:r>
    </w:p>
    <w:p w14:paraId="139987B6" w14:textId="39076725" w:rsidR="00FF2735" w:rsidRPr="00B0432A" w:rsidRDefault="00DD3769" w:rsidP="00FF2735">
      <w:pPr>
        <w:pStyle w:val="ListNumber"/>
        <w:tabs>
          <w:tab w:val="clear" w:pos="720"/>
          <w:tab w:val="clear" w:pos="1872"/>
        </w:tabs>
        <w:spacing w:before="0"/>
        <w:ind w:left="0" w:firstLine="0"/>
        <w:jc w:val="both"/>
      </w:pPr>
      <w:r w:rsidRPr="00B0432A">
        <w:t xml:space="preserve">Review the </w:t>
      </w:r>
      <w:hyperlink r:id="rId341" w:history="1">
        <w:r w:rsidRPr="00B0432A">
          <w:rPr>
            <w:rStyle w:val="Hyperlink"/>
          </w:rPr>
          <w:t>Projects database</w:t>
        </w:r>
      </w:hyperlink>
      <w:r w:rsidRPr="00B0432A">
        <w:t xml:space="preserve"> to ensure that all pertinent data is completed.</w:t>
      </w:r>
      <w:r w:rsidR="00FF2735">
        <w:t xml:space="preserve">  Follow the same procedures as shown in the </w:t>
      </w:r>
      <w:hyperlink w:anchor="_Project_Folder" w:history="1">
        <w:r w:rsidR="00FF2735" w:rsidRPr="00F504AA">
          <w:rPr>
            <w:rStyle w:val="Hyperlink"/>
          </w:rPr>
          <w:t>Project Folder</w:t>
        </w:r>
      </w:hyperlink>
      <w:r w:rsidR="00FF2735">
        <w:t xml:space="preserve"> section for Team Leader.</w:t>
      </w:r>
    </w:p>
    <w:p w14:paraId="03F80798" w14:textId="77777777" w:rsidR="00DD3769" w:rsidRPr="00B0432A" w:rsidRDefault="00DD3769" w:rsidP="00DD3769">
      <w:pPr>
        <w:pStyle w:val="ListParagraph"/>
      </w:pPr>
    </w:p>
    <w:p w14:paraId="5D4807B7" w14:textId="77777777" w:rsidR="00DD3769" w:rsidRPr="00B0432A" w:rsidRDefault="00DD3769" w:rsidP="00172E64">
      <w:pPr>
        <w:pStyle w:val="Heading5"/>
        <w:numPr>
          <w:ilvl w:val="4"/>
          <w:numId w:val="185"/>
        </w:numPr>
        <w:tabs>
          <w:tab w:val="left" w:pos="1800"/>
        </w:tabs>
        <w:ind w:left="1098" w:hanging="1098"/>
      </w:pPr>
      <w:r w:rsidRPr="00B0432A">
        <w:t xml:space="preserve">Memo/Report Review </w:t>
      </w:r>
    </w:p>
    <w:p w14:paraId="07ED43A6" w14:textId="700B5B3C" w:rsidR="00FF2735" w:rsidRPr="00B0432A" w:rsidRDefault="00FF2735" w:rsidP="00FF2735">
      <w:pPr>
        <w:pStyle w:val="ListNumber"/>
        <w:tabs>
          <w:tab w:val="clear" w:pos="720"/>
          <w:tab w:val="clear" w:pos="1872"/>
        </w:tabs>
        <w:spacing w:before="0"/>
        <w:ind w:left="0" w:firstLine="0"/>
        <w:jc w:val="both"/>
      </w:pPr>
      <w:r>
        <w:t>Review the pavement memo/report.  Ensure that all information is correct (e.g. data is transferred correctly</w:t>
      </w:r>
      <w:r w:rsidR="00DD0C27">
        <w:t>)</w:t>
      </w:r>
      <w:r>
        <w:t>.</w:t>
      </w:r>
      <w:r w:rsidRPr="00FF2735">
        <w:t xml:space="preserve"> </w:t>
      </w:r>
      <w:r w:rsidRPr="00B0432A">
        <w:t xml:space="preserve">Ensure that all </w:t>
      </w:r>
      <w:r>
        <w:t xml:space="preserve">required information has been included and is correct.  Refer to </w:t>
      </w:r>
      <w:hyperlink w:anchor="_Example_Memos" w:history="1">
        <w:r w:rsidRPr="00FF2735">
          <w:rPr>
            <w:rStyle w:val="Hyperlink"/>
          </w:rPr>
          <w:t>Example Memos</w:t>
        </w:r>
      </w:hyperlink>
      <w:r>
        <w:t xml:space="preserve"> to determine whether all information is included.  Check for grammar.  Verify that recommendations are complete and appropriate.  Verify that necessary specifications and pavement details are included.</w:t>
      </w:r>
    </w:p>
    <w:p w14:paraId="3448E636" w14:textId="77777777" w:rsidR="00AF4464" w:rsidRDefault="00AF4464" w:rsidP="00AF4464">
      <w:pPr>
        <w:pStyle w:val="ListParagraph"/>
      </w:pPr>
    </w:p>
    <w:p w14:paraId="6BB47437" w14:textId="77777777" w:rsidR="000C4227" w:rsidRDefault="000C4227" w:rsidP="00172E64">
      <w:pPr>
        <w:pStyle w:val="Heading5"/>
        <w:numPr>
          <w:ilvl w:val="4"/>
          <w:numId w:val="185"/>
        </w:numPr>
        <w:tabs>
          <w:tab w:val="left" w:pos="1800"/>
        </w:tabs>
        <w:ind w:left="1098" w:hanging="1098"/>
      </w:pPr>
      <w:r>
        <w:t xml:space="preserve">PD-06 Form </w:t>
      </w:r>
    </w:p>
    <w:p w14:paraId="04DB5094" w14:textId="77777777" w:rsidR="000C4227" w:rsidRDefault="000C4227" w:rsidP="000C4227">
      <w:pPr>
        <w:pStyle w:val="BodyText"/>
        <w:spacing w:after="0"/>
        <w:jc w:val="both"/>
      </w:pPr>
      <w:r>
        <w:t>Ensure that the header containing the project details is correctly filled out, and that the appropriate PD-06 form was used.</w:t>
      </w:r>
    </w:p>
    <w:p w14:paraId="6CAEF523" w14:textId="77777777" w:rsidR="000C4227" w:rsidRDefault="000C4227" w:rsidP="000C4227">
      <w:pPr>
        <w:pStyle w:val="ListNumber"/>
        <w:tabs>
          <w:tab w:val="clear" w:pos="720"/>
          <w:tab w:val="clear" w:pos="1872"/>
        </w:tabs>
        <w:spacing w:before="0"/>
        <w:ind w:left="1080" w:firstLine="0"/>
        <w:jc w:val="both"/>
      </w:pPr>
    </w:p>
    <w:p w14:paraId="15267ACD" w14:textId="14A325A5" w:rsidR="00DD3769" w:rsidRPr="00B0432A" w:rsidRDefault="000C4227" w:rsidP="00DD3769">
      <w:pPr>
        <w:pStyle w:val="ListNumber"/>
        <w:tabs>
          <w:tab w:val="clear" w:pos="720"/>
          <w:tab w:val="clear" w:pos="1872"/>
        </w:tabs>
        <w:spacing w:before="0"/>
        <w:ind w:left="0" w:firstLine="0"/>
        <w:jc w:val="both"/>
      </w:pPr>
      <w:r>
        <w:t>For each process, ensure that each box in the date column has either a date or “</w:t>
      </w:r>
      <w:r w:rsidR="00DD0C27">
        <w:t>NA.</w:t>
      </w:r>
      <w:r w:rsidR="00DD0C27" w:rsidRPr="00B0432A">
        <w:t xml:space="preserve"> If</w:t>
      </w:r>
      <w:r w:rsidR="00DD3769" w:rsidRPr="00B0432A">
        <w:t xml:space="preserve"> “NA” is listed, make sure that NA is appropriate.  If a date is listed, verify that particular step was completed correctly.  </w:t>
      </w:r>
      <w:r w:rsidR="00B0432A" w:rsidRPr="00B0432A">
        <w:t>Verify that the Team Leader initialed all boxes as appropriate.</w:t>
      </w:r>
    </w:p>
    <w:p w14:paraId="77D2C5E8" w14:textId="77777777" w:rsidR="00DD3769" w:rsidRPr="00B0432A" w:rsidRDefault="00DD3769" w:rsidP="00DD3769">
      <w:pPr>
        <w:pStyle w:val="ListNumber"/>
        <w:tabs>
          <w:tab w:val="clear" w:pos="720"/>
          <w:tab w:val="clear" w:pos="1872"/>
        </w:tabs>
        <w:spacing w:before="0"/>
        <w:ind w:left="0" w:firstLine="0"/>
        <w:jc w:val="both"/>
      </w:pPr>
      <w:r w:rsidRPr="00B0432A">
        <w:lastRenderedPageBreak/>
        <w:t>Initial the corresponding box under the ADC column once the review for that process is complete and any identified problems are corrected.</w:t>
      </w:r>
    </w:p>
    <w:p w14:paraId="6BFF5D6D" w14:textId="77777777" w:rsidR="00DD3769" w:rsidRPr="00B0432A" w:rsidRDefault="00DD3769" w:rsidP="00DD3769">
      <w:pPr>
        <w:pStyle w:val="ListNumber"/>
        <w:tabs>
          <w:tab w:val="clear" w:pos="720"/>
          <w:tab w:val="clear" w:pos="1872"/>
        </w:tabs>
        <w:spacing w:before="0"/>
        <w:ind w:left="0" w:firstLine="0"/>
        <w:jc w:val="both"/>
      </w:pPr>
    </w:p>
    <w:p w14:paraId="3EB00879" w14:textId="77777777" w:rsidR="00DD3769" w:rsidRPr="00B0432A" w:rsidRDefault="00DD3769" w:rsidP="00DD3769">
      <w:pPr>
        <w:pStyle w:val="ListNumber"/>
        <w:tabs>
          <w:tab w:val="clear" w:pos="720"/>
          <w:tab w:val="clear" w:pos="1872"/>
        </w:tabs>
        <w:spacing w:before="0"/>
        <w:ind w:left="0" w:firstLine="0"/>
        <w:jc w:val="both"/>
      </w:pPr>
      <w:r w:rsidRPr="00B0432A">
        <w:t>Once the ADC review is complete, submit the folder to the DC.</w:t>
      </w:r>
    </w:p>
    <w:p w14:paraId="0241D6C3" w14:textId="77777777" w:rsidR="00DD3769" w:rsidRPr="00B0432A" w:rsidRDefault="00DD3769" w:rsidP="00DD3769">
      <w:pPr>
        <w:pStyle w:val="ListParagraph"/>
      </w:pPr>
    </w:p>
    <w:p w14:paraId="32D8B149" w14:textId="77777777" w:rsidR="00DD3769" w:rsidRPr="00B0432A" w:rsidRDefault="00DD3769" w:rsidP="00172E64">
      <w:pPr>
        <w:pStyle w:val="Heading4"/>
        <w:numPr>
          <w:ilvl w:val="3"/>
          <w:numId w:val="185"/>
        </w:numPr>
        <w:tabs>
          <w:tab w:val="clear" w:pos="1080"/>
          <w:tab w:val="left" w:pos="1800"/>
        </w:tabs>
        <w:ind w:left="864"/>
      </w:pPr>
      <w:r w:rsidRPr="00B0432A">
        <w:t>Division Chief</w:t>
      </w:r>
    </w:p>
    <w:p w14:paraId="3E160B13" w14:textId="77777777" w:rsidR="00DD3769" w:rsidRPr="00B0432A" w:rsidRDefault="00DD3769" w:rsidP="00DD3769"/>
    <w:p w14:paraId="6EB3A24E" w14:textId="77777777" w:rsidR="00DD3769" w:rsidRPr="00B0432A" w:rsidRDefault="00DD3769" w:rsidP="00172E64">
      <w:pPr>
        <w:pStyle w:val="Heading5"/>
        <w:numPr>
          <w:ilvl w:val="4"/>
          <w:numId w:val="185"/>
        </w:numPr>
        <w:tabs>
          <w:tab w:val="left" w:pos="1800"/>
        </w:tabs>
        <w:ind w:left="1098" w:hanging="1098"/>
      </w:pPr>
      <w:r w:rsidRPr="00B0432A">
        <w:t xml:space="preserve">Project Folder </w:t>
      </w:r>
    </w:p>
    <w:p w14:paraId="7C667255" w14:textId="51E7DAD2" w:rsidR="00DD3769" w:rsidRPr="00B0432A" w:rsidRDefault="00DD3769" w:rsidP="00DD3769">
      <w:pPr>
        <w:pStyle w:val="ListNumber"/>
        <w:tabs>
          <w:tab w:val="clear" w:pos="720"/>
          <w:tab w:val="clear" w:pos="1872"/>
        </w:tabs>
        <w:spacing w:before="0"/>
        <w:ind w:left="0" w:firstLine="0"/>
        <w:jc w:val="both"/>
      </w:pPr>
      <w:r w:rsidRPr="00B0432A">
        <w:t xml:space="preserve">Review </w:t>
      </w:r>
      <w:r w:rsidR="00B0432A">
        <w:t>the correspondence and any set of plans to be aware of the scope of work.  Revi</w:t>
      </w:r>
      <w:r w:rsidR="00B0432A" w:rsidRPr="00B0432A">
        <w:t>ew the first section</w:t>
      </w:r>
      <w:r w:rsidRPr="00B0432A">
        <w:t xml:space="preserve"> of the project folder to make sure that all required </w:t>
      </w:r>
      <w:r w:rsidR="00B0432A" w:rsidRPr="00B0432A">
        <w:t xml:space="preserve">forms have been properly completed.  </w:t>
      </w:r>
      <w:r w:rsidR="00B0432A">
        <w:t xml:space="preserve">Review </w:t>
      </w:r>
      <w:r w:rsidR="00D73B4D">
        <w:t>VisiData</w:t>
      </w:r>
      <w:r w:rsidR="00B0432A">
        <w:t xml:space="preserve"> to get an idea of the project conditions.</w:t>
      </w:r>
    </w:p>
    <w:p w14:paraId="013D2B95" w14:textId="77777777" w:rsidR="00DD3769" w:rsidRPr="00B0432A" w:rsidRDefault="00DD3769" w:rsidP="00DD3769">
      <w:pPr>
        <w:pStyle w:val="ListParagraph"/>
      </w:pPr>
    </w:p>
    <w:p w14:paraId="22BD9A9E" w14:textId="77777777" w:rsidR="00DD3769" w:rsidRPr="00B0432A" w:rsidRDefault="00DD3769" w:rsidP="00172E64">
      <w:pPr>
        <w:pStyle w:val="Heading5"/>
        <w:numPr>
          <w:ilvl w:val="4"/>
          <w:numId w:val="185"/>
        </w:numPr>
        <w:tabs>
          <w:tab w:val="left" w:pos="1800"/>
        </w:tabs>
        <w:ind w:left="1098" w:hanging="1098"/>
      </w:pPr>
      <w:r w:rsidRPr="00B0432A">
        <w:t xml:space="preserve">Projects Database </w:t>
      </w:r>
    </w:p>
    <w:p w14:paraId="5EE16EAC" w14:textId="19BC2294" w:rsidR="00DD3769" w:rsidRPr="00B0432A" w:rsidRDefault="00FF2735" w:rsidP="00DD3769">
      <w:pPr>
        <w:pStyle w:val="ListNumber"/>
        <w:tabs>
          <w:tab w:val="clear" w:pos="720"/>
          <w:tab w:val="clear" w:pos="1872"/>
        </w:tabs>
        <w:spacing w:before="0"/>
        <w:ind w:left="0" w:firstLine="0"/>
        <w:jc w:val="both"/>
      </w:pPr>
      <w:r>
        <w:t>Perform a cursory r</w:t>
      </w:r>
      <w:r w:rsidR="00DD3769" w:rsidRPr="00B0432A">
        <w:t xml:space="preserve">eview the </w:t>
      </w:r>
      <w:hyperlink r:id="rId342" w:history="1">
        <w:r w:rsidR="00DD3769" w:rsidRPr="00B0432A">
          <w:rPr>
            <w:rStyle w:val="Hyperlink"/>
          </w:rPr>
          <w:t>Projects database</w:t>
        </w:r>
      </w:hyperlink>
      <w:r w:rsidR="00DD3769" w:rsidRPr="00B0432A">
        <w:t xml:space="preserve"> to ensure that all pertinent data is completed.</w:t>
      </w:r>
      <w:r w:rsidR="00DC590E">
        <w:t xml:space="preserve">  Ensure that the Accomplishment Tracker is updated.</w:t>
      </w:r>
    </w:p>
    <w:p w14:paraId="095FA892" w14:textId="77777777" w:rsidR="00DD3769" w:rsidRPr="00B0432A" w:rsidRDefault="00DD3769" w:rsidP="00DD3769">
      <w:pPr>
        <w:pStyle w:val="ListParagraph"/>
      </w:pPr>
    </w:p>
    <w:p w14:paraId="35D2B05F" w14:textId="77777777" w:rsidR="00DD3769" w:rsidRPr="00B0432A" w:rsidRDefault="00DD3769" w:rsidP="00172E64">
      <w:pPr>
        <w:pStyle w:val="Heading5"/>
        <w:numPr>
          <w:ilvl w:val="4"/>
          <w:numId w:val="185"/>
        </w:numPr>
        <w:tabs>
          <w:tab w:val="left" w:pos="1800"/>
        </w:tabs>
        <w:ind w:left="1098" w:hanging="1098"/>
      </w:pPr>
      <w:r w:rsidRPr="00B0432A">
        <w:t xml:space="preserve">Memo/Report Review </w:t>
      </w:r>
    </w:p>
    <w:p w14:paraId="6EC5035A" w14:textId="2FB85323" w:rsidR="00FF2735" w:rsidRPr="00B0432A" w:rsidRDefault="00FF2735" w:rsidP="00FF2735">
      <w:pPr>
        <w:pStyle w:val="ListNumber"/>
        <w:tabs>
          <w:tab w:val="clear" w:pos="720"/>
          <w:tab w:val="clear" w:pos="1872"/>
        </w:tabs>
        <w:spacing w:before="0"/>
        <w:ind w:left="0" w:firstLine="0"/>
        <w:jc w:val="both"/>
      </w:pPr>
      <w:r>
        <w:t>Review the pavement memo/report.  Ensure that all information is correct (e.g.</w:t>
      </w:r>
      <w:r w:rsidR="00295DD3">
        <w:t>,</w:t>
      </w:r>
      <w:r>
        <w:t xml:space="preserve"> data is transferred correctly</w:t>
      </w:r>
      <w:r w:rsidR="00DD0C27">
        <w:t>)</w:t>
      </w:r>
      <w:r>
        <w:t>.</w:t>
      </w:r>
      <w:r w:rsidRPr="00FF2735">
        <w:t xml:space="preserve"> </w:t>
      </w:r>
      <w:r w:rsidRPr="00B0432A">
        <w:t xml:space="preserve">Ensure that all </w:t>
      </w:r>
      <w:r>
        <w:t xml:space="preserve">required information has been included and is correct.  Refer to </w:t>
      </w:r>
      <w:hyperlink w:anchor="_Example_Memos" w:history="1">
        <w:r w:rsidRPr="00FF2735">
          <w:rPr>
            <w:rStyle w:val="Hyperlink"/>
          </w:rPr>
          <w:t>Example Memos</w:t>
        </w:r>
      </w:hyperlink>
      <w:r>
        <w:t xml:space="preserve"> to determine whether all information is included.  Check for grammar.  Verify that recommendations are complete and appropriate.  Verify that necessary specifications and pavement details are included.</w:t>
      </w:r>
    </w:p>
    <w:p w14:paraId="171E818B" w14:textId="77777777" w:rsidR="00DD3769" w:rsidRPr="00705FCB" w:rsidRDefault="00DD3769" w:rsidP="00DD3769">
      <w:pPr>
        <w:pStyle w:val="ListNumber"/>
        <w:tabs>
          <w:tab w:val="clear" w:pos="720"/>
          <w:tab w:val="clear" w:pos="1872"/>
        </w:tabs>
        <w:spacing w:before="0"/>
        <w:ind w:left="0" w:firstLine="0"/>
        <w:jc w:val="both"/>
      </w:pPr>
    </w:p>
    <w:p w14:paraId="085C7011" w14:textId="77777777" w:rsidR="00DD3769" w:rsidRPr="00705FCB" w:rsidRDefault="00DD3769" w:rsidP="00DD3769">
      <w:pPr>
        <w:pStyle w:val="ListNumber"/>
        <w:tabs>
          <w:tab w:val="clear" w:pos="720"/>
          <w:tab w:val="clear" w:pos="1872"/>
        </w:tabs>
        <w:spacing w:before="0"/>
        <w:ind w:left="0" w:firstLine="0"/>
        <w:jc w:val="both"/>
      </w:pPr>
      <w:r w:rsidRPr="00705FCB">
        <w:t xml:space="preserve">Once the DC review is complete, return the folder to the project engineer.  </w:t>
      </w:r>
    </w:p>
    <w:p w14:paraId="5D43E2FD" w14:textId="77777777" w:rsidR="00DD3769" w:rsidRPr="00705FCB" w:rsidRDefault="00DD3769" w:rsidP="00DD3769">
      <w:pPr>
        <w:pStyle w:val="ListNumber"/>
        <w:tabs>
          <w:tab w:val="clear" w:pos="720"/>
          <w:tab w:val="clear" w:pos="1872"/>
        </w:tabs>
        <w:spacing w:before="0"/>
        <w:ind w:left="0" w:firstLine="0"/>
        <w:jc w:val="both"/>
      </w:pPr>
    </w:p>
    <w:p w14:paraId="1067E133" w14:textId="77777777" w:rsidR="00DD3769" w:rsidRPr="00705FCB" w:rsidRDefault="00DD3769" w:rsidP="00172E64">
      <w:pPr>
        <w:pStyle w:val="Heading5"/>
        <w:numPr>
          <w:ilvl w:val="4"/>
          <w:numId w:val="185"/>
        </w:numPr>
        <w:tabs>
          <w:tab w:val="left" w:pos="1800"/>
        </w:tabs>
        <w:ind w:left="1098" w:hanging="1098"/>
      </w:pPr>
      <w:r w:rsidRPr="00705FCB">
        <w:t xml:space="preserve">Final Signature and Memo/Report Distribution </w:t>
      </w:r>
    </w:p>
    <w:p w14:paraId="7C371A78" w14:textId="77777777" w:rsidR="00DD3769" w:rsidRPr="009702CE" w:rsidRDefault="00DD3769" w:rsidP="00DD3769">
      <w:pPr>
        <w:pStyle w:val="ListNumber"/>
        <w:tabs>
          <w:tab w:val="clear" w:pos="720"/>
          <w:tab w:val="clear" w:pos="1872"/>
        </w:tabs>
        <w:spacing w:before="0"/>
        <w:ind w:left="0" w:firstLine="0"/>
        <w:jc w:val="both"/>
      </w:pPr>
      <w:r w:rsidRPr="00705FCB">
        <w:t>Once</w:t>
      </w:r>
      <w:r w:rsidRPr="009702CE">
        <w:t xml:space="preserve"> the project engineer addresses all DC comments, then the engineer shall submit the final memo/report on SHA letterhead, which the DC will sign.  </w:t>
      </w:r>
      <w:r w:rsidR="00DC590E">
        <w:t>The DC shall also fill out the remaining portions of PD-06 as appropriate.</w:t>
      </w:r>
    </w:p>
    <w:p w14:paraId="68FF6F98" w14:textId="77777777" w:rsidR="00DD3769" w:rsidRPr="009702CE" w:rsidRDefault="00DD3769" w:rsidP="00DD3769">
      <w:pPr>
        <w:pStyle w:val="ListNumber"/>
        <w:tabs>
          <w:tab w:val="clear" w:pos="720"/>
          <w:tab w:val="clear" w:pos="1872"/>
        </w:tabs>
        <w:spacing w:before="0"/>
        <w:ind w:left="0" w:firstLine="0"/>
        <w:jc w:val="both"/>
      </w:pPr>
    </w:p>
    <w:p w14:paraId="2A68F9C1" w14:textId="77777777" w:rsidR="004E48E2" w:rsidRDefault="009702CE" w:rsidP="00F504AA">
      <w:pPr>
        <w:pStyle w:val="ListNumber"/>
        <w:tabs>
          <w:tab w:val="clear" w:pos="720"/>
          <w:tab w:val="clear" w:pos="1872"/>
        </w:tabs>
        <w:spacing w:before="0"/>
        <w:ind w:left="0" w:firstLine="0"/>
        <w:jc w:val="both"/>
        <w:rPr>
          <w:highlight w:val="yellow"/>
        </w:rPr>
      </w:pPr>
      <w:r w:rsidRPr="009702CE">
        <w:t xml:space="preserve">Refer to </w:t>
      </w:r>
      <w:hyperlink w:anchor="_Final_Pavement_&amp;" w:history="1">
        <w:r w:rsidR="00FB665E" w:rsidRPr="00FB665E">
          <w:rPr>
            <w:rStyle w:val="Hyperlink"/>
          </w:rPr>
          <w:t>Final Pavement &amp; Geotechnical Report</w:t>
        </w:r>
      </w:hyperlink>
      <w:r w:rsidR="00FB665E">
        <w:t xml:space="preserve"> </w:t>
      </w:r>
      <w:r w:rsidRPr="009702CE">
        <w:t xml:space="preserve">for </w:t>
      </w:r>
      <w:r w:rsidR="00DD3769" w:rsidRPr="009702CE">
        <w:t xml:space="preserve">memo/report </w:t>
      </w:r>
      <w:r w:rsidRPr="009702CE">
        <w:t>distribution.</w:t>
      </w:r>
    </w:p>
    <w:p w14:paraId="18422B4C" w14:textId="77777777" w:rsidR="004E48E2" w:rsidRPr="004E48E2" w:rsidRDefault="004E48E2" w:rsidP="004E48E2">
      <w:pPr>
        <w:rPr>
          <w:highlight w:val="yellow"/>
        </w:rPr>
        <w:sectPr w:rsidR="004E48E2" w:rsidRPr="004E48E2" w:rsidSect="008B1BAA">
          <w:headerReference w:type="default" r:id="rId343"/>
          <w:footerReference w:type="default" r:id="rId344"/>
          <w:pgSz w:w="12240" w:h="15840"/>
          <w:pgMar w:top="1440" w:right="1800" w:bottom="1440" w:left="1800" w:header="720" w:footer="720" w:gutter="0"/>
          <w:pgNumType w:chapStyle="1"/>
          <w:cols w:space="720"/>
          <w:docGrid w:linePitch="272"/>
        </w:sectPr>
      </w:pPr>
    </w:p>
    <w:p w14:paraId="3D83AF58" w14:textId="6E92A1E0" w:rsidR="00BF10A0" w:rsidRDefault="00BF10A0" w:rsidP="00410880">
      <w:pPr>
        <w:pStyle w:val="Heading1"/>
      </w:pPr>
      <w:bookmarkStart w:id="616" w:name="_Appendices"/>
      <w:bookmarkStart w:id="617" w:name="_Toc479160133"/>
      <w:bookmarkStart w:id="618" w:name="_Toc514058021"/>
      <w:bookmarkStart w:id="619" w:name="_Toc194932417"/>
      <w:bookmarkEnd w:id="616"/>
      <w:r>
        <w:lastRenderedPageBreak/>
        <w:t>Appendices</w:t>
      </w:r>
      <w:bookmarkEnd w:id="617"/>
      <w:bookmarkEnd w:id="618"/>
      <w:bookmarkEnd w:id="619"/>
    </w:p>
    <w:p w14:paraId="7FEA874D" w14:textId="16AAEB8C" w:rsidR="00BF10A0" w:rsidRPr="00786652" w:rsidRDefault="00BF10A0" w:rsidP="00172E64">
      <w:pPr>
        <w:pStyle w:val="Heading2"/>
        <w:numPr>
          <w:ilvl w:val="1"/>
          <w:numId w:val="185"/>
        </w:numPr>
        <w:ind w:left="0" w:firstLine="0"/>
      </w:pPr>
      <w:bookmarkStart w:id="620" w:name="_Glossary_1"/>
      <w:bookmarkStart w:id="621" w:name="_Toc479160134"/>
      <w:bookmarkStart w:id="622" w:name="_Toc514058022"/>
      <w:bookmarkStart w:id="623" w:name="_Toc194932418"/>
      <w:bookmarkEnd w:id="620"/>
      <w:r>
        <w:t>Glossary</w:t>
      </w:r>
      <w:bookmarkEnd w:id="621"/>
      <w:bookmarkEnd w:id="622"/>
      <w:bookmarkEnd w:id="623"/>
    </w:p>
    <w:p w14:paraId="635587FC" w14:textId="77777777" w:rsidR="00BF10A0" w:rsidRDefault="0040000C" w:rsidP="00172E64">
      <w:pPr>
        <w:pStyle w:val="Heading3"/>
        <w:numPr>
          <w:ilvl w:val="2"/>
          <w:numId w:val="185"/>
        </w:numPr>
        <w:ind w:left="0" w:firstLine="0"/>
      </w:pPr>
      <w:bookmarkStart w:id="624" w:name="_Pavement_Preservation_Guide"/>
      <w:bookmarkEnd w:id="624"/>
      <w:r>
        <w:t xml:space="preserve">Pavement Preservation Guide </w:t>
      </w:r>
    </w:p>
    <w:p w14:paraId="634EC7DB" w14:textId="77777777" w:rsidR="007E1D5E" w:rsidRDefault="007E1D5E" w:rsidP="007E1D5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Initial_Treatment_Identification" w:history="1">
        <w:r w:rsidRPr="007E1D5E">
          <w:rPr>
            <w:rStyle w:val="Hyperlink"/>
            <w:rFonts w:ascii="Arial" w:hAnsi="Arial" w:cs="Arial"/>
            <w:bCs/>
            <w:sz w:val="16"/>
            <w:szCs w:val="16"/>
          </w:rPr>
          <w:t>Initial Treatment Identification – Pavement Preservation Guide</w:t>
        </w:r>
      </w:hyperlink>
    </w:p>
    <w:p w14:paraId="6055F951" w14:textId="77777777" w:rsidR="00DD61F7" w:rsidRDefault="00DD61F7" w:rsidP="007E1D5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Table_C._List_1" w:history="1">
        <w:r w:rsidRPr="00DD61F7">
          <w:rPr>
            <w:rStyle w:val="Hyperlink"/>
            <w:rFonts w:ascii="Arial" w:hAnsi="Arial" w:cs="Arial"/>
            <w:bCs/>
            <w:sz w:val="16"/>
            <w:szCs w:val="16"/>
          </w:rPr>
          <w:t>Table C. List of Treatment Options</w:t>
        </w:r>
      </w:hyperlink>
    </w:p>
    <w:p w14:paraId="5D4A93AE" w14:textId="77777777" w:rsidR="001F32D3" w:rsidRDefault="001F32D3" w:rsidP="001F32D3">
      <w:pPr>
        <w:rPr>
          <w:rFonts w:ascii="Arial" w:hAnsi="Arial" w:cs="Arial"/>
          <w:bCs/>
          <w:sz w:val="22"/>
          <w:szCs w:val="22"/>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aterials_and_Typical" w:history="1">
        <w:r w:rsidRPr="001F32D3">
          <w:rPr>
            <w:rStyle w:val="Hyperlink"/>
            <w:rFonts w:ascii="Arial" w:hAnsi="Arial" w:cs="Arial"/>
            <w:bCs/>
            <w:sz w:val="16"/>
            <w:szCs w:val="16"/>
          </w:rPr>
          <w:t>Materials and Typical Design Properties</w:t>
        </w:r>
      </w:hyperlink>
    </w:p>
    <w:p w14:paraId="111072B3" w14:textId="77777777" w:rsidR="007E1D5E" w:rsidRPr="007E1D5E" w:rsidRDefault="007E1D5E" w:rsidP="007E1D5E"/>
    <w:p w14:paraId="3F0CF380" w14:textId="652804DF" w:rsidR="00BF10A0" w:rsidRPr="00306EAE" w:rsidRDefault="00BF10A0" w:rsidP="00172E64">
      <w:pPr>
        <w:pStyle w:val="Heading4"/>
        <w:numPr>
          <w:ilvl w:val="3"/>
          <w:numId w:val="185"/>
        </w:numPr>
        <w:ind w:left="0" w:firstLine="0"/>
      </w:pPr>
      <w:bookmarkStart w:id="625" w:name="_Crack_/_Joint"/>
      <w:bookmarkEnd w:id="625"/>
      <w:r w:rsidRPr="00306EAE">
        <w:t>Crack / Joint Seals</w:t>
      </w:r>
    </w:p>
    <w:p w14:paraId="6EE6515C" w14:textId="77777777" w:rsidR="00BF10A0" w:rsidRPr="00A04848" w:rsidRDefault="00BF10A0" w:rsidP="00BE3F24">
      <w:pPr>
        <w:pStyle w:val="ListParagraph"/>
        <w:ind w:left="0"/>
        <w:jc w:val="both"/>
        <w:rPr>
          <w:b/>
        </w:rPr>
      </w:pPr>
    </w:p>
    <w:p w14:paraId="14CC2ACA" w14:textId="62AEC5D2" w:rsidR="00BF10A0" w:rsidRPr="00CC7F9B" w:rsidRDefault="00BF10A0" w:rsidP="00BE3F24">
      <w:pPr>
        <w:pStyle w:val="ListParagraph"/>
        <w:ind w:left="0"/>
        <w:jc w:val="both"/>
        <w:rPr>
          <w:rFonts w:ascii="Arial" w:hAnsi="Arial" w:cs="Arial"/>
          <w:b/>
          <w:sz w:val="22"/>
          <w:szCs w:val="22"/>
        </w:rPr>
      </w:pPr>
      <w:r>
        <w:rPr>
          <w:rFonts w:ascii="Arial" w:hAnsi="Arial" w:cs="Arial"/>
          <w:b/>
          <w:sz w:val="22"/>
          <w:szCs w:val="22"/>
        </w:rPr>
        <w:t xml:space="preserve">A-1: </w:t>
      </w:r>
      <w:r w:rsidRPr="00A04848">
        <w:rPr>
          <w:rFonts w:ascii="Arial" w:hAnsi="Arial" w:cs="Arial"/>
          <w:b/>
          <w:sz w:val="22"/>
          <w:szCs w:val="22"/>
        </w:rPr>
        <w:t>Crack</w:t>
      </w:r>
      <w:r w:rsidRPr="000F78A1">
        <w:rPr>
          <w:rFonts w:ascii="Arial" w:hAnsi="Arial" w:cs="Arial"/>
          <w:b/>
          <w:sz w:val="22"/>
          <w:szCs w:val="22"/>
        </w:rPr>
        <w:t xml:space="preserve"> </w:t>
      </w:r>
      <w:r w:rsidR="009C75C9">
        <w:rPr>
          <w:rFonts w:ascii="Arial" w:hAnsi="Arial" w:cs="Arial"/>
          <w:b/>
          <w:sz w:val="22"/>
          <w:szCs w:val="22"/>
        </w:rPr>
        <w:t>S</w:t>
      </w:r>
      <w:r>
        <w:rPr>
          <w:rFonts w:ascii="Arial" w:hAnsi="Arial" w:cs="Arial"/>
          <w:b/>
          <w:sz w:val="22"/>
          <w:szCs w:val="22"/>
        </w:rPr>
        <w:t>eal</w:t>
      </w:r>
      <w:r w:rsidR="009C75C9">
        <w:rPr>
          <w:rFonts w:ascii="Arial" w:hAnsi="Arial" w:cs="Arial"/>
          <w:b/>
          <w:sz w:val="22"/>
          <w:szCs w:val="22"/>
        </w:rPr>
        <w:t xml:space="preserve"> </w:t>
      </w:r>
      <w:r w:rsidRPr="00CC7F9B">
        <w:rPr>
          <w:rFonts w:ascii="Arial" w:hAnsi="Arial" w:cs="Arial"/>
          <w:b/>
          <w:sz w:val="22"/>
          <w:szCs w:val="22"/>
        </w:rPr>
        <w:t xml:space="preserve">(Asphalt-Surfaced </w:t>
      </w:r>
      <w:r w:rsidR="0053258E">
        <w:rPr>
          <w:rFonts w:ascii="Arial" w:hAnsi="Arial" w:cs="Arial"/>
          <w:b/>
          <w:sz w:val="22"/>
          <w:szCs w:val="22"/>
        </w:rPr>
        <w:t>P</w:t>
      </w:r>
      <w:r w:rsidRPr="00CC7F9B">
        <w:rPr>
          <w:rFonts w:ascii="Arial" w:hAnsi="Arial" w:cs="Arial"/>
          <w:b/>
          <w:sz w:val="22"/>
          <w:szCs w:val="22"/>
        </w:rPr>
        <w:t>avements)</w:t>
      </w:r>
      <w:r w:rsidR="009C75C9">
        <w:rPr>
          <w:rFonts w:ascii="Arial" w:hAnsi="Arial" w:cs="Arial"/>
          <w:b/>
          <w:sz w:val="22"/>
          <w:szCs w:val="22"/>
        </w:rPr>
        <w:t xml:space="preserve"> and Mastic</w:t>
      </w:r>
    </w:p>
    <w:p w14:paraId="77923E4D" w14:textId="77777777" w:rsidR="00BF10A0" w:rsidRDefault="00BF10A0" w:rsidP="00BE3F24">
      <w:pPr>
        <w:jc w:val="both"/>
        <w:rPr>
          <w:rFonts w:ascii="Arial" w:hAnsi="Arial" w:cs="Arial"/>
          <w:sz w:val="22"/>
          <w:szCs w:val="22"/>
        </w:rPr>
      </w:pPr>
    </w:p>
    <w:bookmarkStart w:id="626" w:name="A1a_Crack_Seal"/>
    <w:p w14:paraId="550EAB39" w14:textId="5A2C4FE4" w:rsidR="00BF10A0" w:rsidRPr="00CC7F9B" w:rsidRDefault="000D2B44" w:rsidP="00BE3F24">
      <w:pPr>
        <w:pStyle w:val="ListParagraph"/>
        <w:ind w:left="0"/>
        <w:jc w:val="both"/>
        <w:rPr>
          <w:rFonts w:ascii="Arial" w:hAnsi="Arial" w:cs="Arial"/>
          <w:sz w:val="22"/>
          <w:szCs w:val="22"/>
        </w:rPr>
      </w:pPr>
      <w:r>
        <w:rPr>
          <w:rFonts w:ascii="Arial" w:hAnsi="Arial" w:cs="Arial"/>
          <w:b/>
          <w:sz w:val="22"/>
          <w:szCs w:val="22"/>
        </w:rPr>
        <w:fldChar w:fldCharType="begin"/>
      </w:r>
      <w:r w:rsidR="00302D2D">
        <w:rPr>
          <w:rFonts w:ascii="Arial" w:hAnsi="Arial" w:cs="Arial"/>
          <w:b/>
          <w:sz w:val="22"/>
          <w:szCs w:val="22"/>
        </w:rPr>
        <w:instrText>HYPERLINK  \l "_SUPPLEMENTAL_INFORMATION_FOR"</w:instrText>
      </w:r>
      <w:r>
        <w:rPr>
          <w:rFonts w:ascii="Arial" w:hAnsi="Arial" w:cs="Arial"/>
          <w:b/>
          <w:sz w:val="22"/>
          <w:szCs w:val="22"/>
        </w:rPr>
      </w:r>
      <w:r>
        <w:rPr>
          <w:rFonts w:ascii="Arial" w:hAnsi="Arial" w:cs="Arial"/>
          <w:b/>
          <w:sz w:val="22"/>
          <w:szCs w:val="22"/>
        </w:rPr>
        <w:fldChar w:fldCharType="separate"/>
      </w:r>
      <w:r w:rsidR="00302D2D">
        <w:rPr>
          <w:rStyle w:val="Hyperlink"/>
          <w:rFonts w:ascii="Arial" w:hAnsi="Arial" w:cs="Arial"/>
          <w:b/>
          <w:sz w:val="22"/>
          <w:szCs w:val="22"/>
        </w:rPr>
        <w:t>A-</w:t>
      </w:r>
      <w:proofErr w:type="spellStart"/>
      <w:r w:rsidR="00302D2D">
        <w:rPr>
          <w:rStyle w:val="Hyperlink"/>
          <w:rFonts w:ascii="Arial" w:hAnsi="Arial" w:cs="Arial"/>
          <w:b/>
          <w:sz w:val="22"/>
          <w:szCs w:val="22"/>
        </w:rPr>
        <w:t>1</w:t>
      </w:r>
      <w:r w:rsidR="009C75C9">
        <w:rPr>
          <w:rStyle w:val="Hyperlink"/>
          <w:rFonts w:ascii="Arial" w:hAnsi="Arial" w:cs="Arial"/>
          <w:b/>
          <w:sz w:val="22"/>
          <w:szCs w:val="22"/>
        </w:rPr>
        <w:t>a</w:t>
      </w:r>
      <w:proofErr w:type="spellEnd"/>
      <w:r w:rsidR="00302D2D">
        <w:rPr>
          <w:rStyle w:val="Hyperlink"/>
          <w:rFonts w:ascii="Arial" w:hAnsi="Arial" w:cs="Arial"/>
          <w:b/>
          <w:sz w:val="22"/>
          <w:szCs w:val="22"/>
        </w:rPr>
        <w:t>: Crack Seal</w:t>
      </w:r>
      <w:r>
        <w:rPr>
          <w:rFonts w:ascii="Arial" w:hAnsi="Arial" w:cs="Arial"/>
          <w:b/>
          <w:sz w:val="22"/>
          <w:szCs w:val="22"/>
        </w:rPr>
        <w:fldChar w:fldCharType="end"/>
      </w:r>
      <w:bookmarkEnd w:id="626"/>
      <w:r w:rsidR="00BF10A0" w:rsidRPr="00CC7F9B">
        <w:rPr>
          <w:rFonts w:ascii="Arial" w:hAnsi="Arial" w:cs="Arial"/>
          <w:b/>
          <w:sz w:val="22"/>
          <w:szCs w:val="22"/>
        </w:rPr>
        <w:t xml:space="preserve"> </w:t>
      </w:r>
      <w:r w:rsidR="00BF10A0" w:rsidRPr="003E3635">
        <w:rPr>
          <w:rFonts w:ascii="Arial" w:hAnsi="Arial" w:cs="Arial"/>
          <w:sz w:val="22"/>
          <w:szCs w:val="22"/>
        </w:rPr>
        <w:t>is a proc</w:t>
      </w:r>
      <w:r w:rsidR="00BF10A0" w:rsidRPr="00CC7F9B">
        <w:rPr>
          <w:rFonts w:ascii="Arial" w:hAnsi="Arial" w:cs="Arial"/>
          <w:sz w:val="22"/>
          <w:szCs w:val="22"/>
        </w:rPr>
        <w:t>ess of placing higher-quality material into or on top of "</w:t>
      </w:r>
      <w:r w:rsidR="00BF10A0" w:rsidRPr="00CC7F9B">
        <w:rPr>
          <w:rFonts w:ascii="Arial" w:hAnsi="Arial" w:cs="Arial"/>
          <w:b/>
          <w:sz w:val="22"/>
          <w:szCs w:val="22"/>
          <w:u w:val="single"/>
        </w:rPr>
        <w:t>working</w:t>
      </w:r>
      <w:r w:rsidR="00BF10A0" w:rsidRPr="00CC7F9B">
        <w:rPr>
          <w:rFonts w:ascii="Arial" w:hAnsi="Arial" w:cs="Arial"/>
          <w:sz w:val="22"/>
          <w:szCs w:val="22"/>
        </w:rPr>
        <w:t xml:space="preserve">" cracks </w:t>
      </w:r>
      <w:proofErr w:type="gramStart"/>
      <w:r w:rsidR="00BF10A0" w:rsidRPr="00CC7F9B">
        <w:rPr>
          <w:rFonts w:ascii="Arial" w:hAnsi="Arial" w:cs="Arial"/>
          <w:sz w:val="22"/>
          <w:szCs w:val="22"/>
        </w:rPr>
        <w:t>in order to</w:t>
      </w:r>
      <w:proofErr w:type="gramEnd"/>
      <w:r w:rsidR="00BF10A0" w:rsidRPr="00CC7F9B">
        <w:rPr>
          <w:rFonts w:ascii="Arial" w:hAnsi="Arial" w:cs="Arial"/>
          <w:sz w:val="22"/>
          <w:szCs w:val="22"/>
        </w:rPr>
        <w:t xml:space="preserve"> reduce water infiltration into a pavement.  Working cracks are cracks that have vertical or horizontal movement of at least 2.5mm (</w:t>
      </w:r>
      <w:r w:rsidR="00BF10A0">
        <w:rPr>
          <w:rFonts w:ascii="Arial" w:hAnsi="Arial" w:cs="Arial"/>
          <w:sz w:val="22"/>
          <w:szCs w:val="22"/>
        </w:rPr>
        <w:t>0.1</w:t>
      </w:r>
      <w:r w:rsidR="008561EC">
        <w:rPr>
          <w:rFonts w:ascii="Arial" w:hAnsi="Arial" w:cs="Arial"/>
          <w:sz w:val="22"/>
          <w:szCs w:val="22"/>
        </w:rPr>
        <w:t>"</w:t>
      </w:r>
      <w:r w:rsidR="00BF10A0" w:rsidRPr="00CC7F9B">
        <w:rPr>
          <w:rFonts w:ascii="Arial" w:hAnsi="Arial" w:cs="Arial"/>
          <w:sz w:val="22"/>
          <w:szCs w:val="22"/>
        </w:rPr>
        <w:t>) and are typically transverse and reflective cracks.</w:t>
      </w:r>
    </w:p>
    <w:p w14:paraId="2ECB9348" w14:textId="77777777" w:rsidR="00BF10A0" w:rsidRPr="00CC7F9B" w:rsidRDefault="00BF10A0" w:rsidP="00BE3F24">
      <w:pPr>
        <w:jc w:val="both"/>
        <w:rPr>
          <w:rFonts w:ascii="Arial" w:hAnsi="Arial" w:cs="Arial"/>
          <w:sz w:val="22"/>
          <w:szCs w:val="22"/>
        </w:rPr>
      </w:pPr>
    </w:p>
    <w:p w14:paraId="52DE085F" w14:textId="0310D0BB" w:rsidR="00BF10A0" w:rsidRPr="00CC7F9B" w:rsidRDefault="00BF10A0" w:rsidP="00BE3F24">
      <w:pPr>
        <w:jc w:val="both"/>
        <w:rPr>
          <w:rFonts w:ascii="Arial" w:hAnsi="Arial" w:cs="Arial"/>
          <w:sz w:val="22"/>
          <w:szCs w:val="22"/>
        </w:rPr>
      </w:pPr>
      <w:r w:rsidRPr="00CC7F9B">
        <w:rPr>
          <w:rFonts w:ascii="Arial" w:hAnsi="Arial" w:cs="Arial"/>
          <w:sz w:val="22"/>
          <w:szCs w:val="22"/>
        </w:rPr>
        <w:t xml:space="preserve">In contrast with crack </w:t>
      </w:r>
      <w:r w:rsidRPr="00CC7F9B">
        <w:rPr>
          <w:rFonts w:ascii="Arial" w:hAnsi="Arial" w:cs="Arial"/>
          <w:b/>
          <w:sz w:val="22"/>
          <w:szCs w:val="22"/>
          <w:u w:val="single"/>
        </w:rPr>
        <w:t>filling</w:t>
      </w:r>
      <w:r w:rsidRPr="00CC7F9B">
        <w:rPr>
          <w:rFonts w:ascii="Arial" w:hAnsi="Arial" w:cs="Arial"/>
          <w:sz w:val="22"/>
          <w:szCs w:val="22"/>
        </w:rPr>
        <w:t xml:space="preserve">, crack </w:t>
      </w:r>
      <w:r w:rsidRPr="00CC7F9B">
        <w:rPr>
          <w:rFonts w:ascii="Arial" w:hAnsi="Arial" w:cs="Arial"/>
          <w:b/>
          <w:sz w:val="22"/>
          <w:szCs w:val="22"/>
          <w:u w:val="single"/>
        </w:rPr>
        <w:t>sealing</w:t>
      </w:r>
      <w:r w:rsidRPr="00CC7F9B">
        <w:rPr>
          <w:rFonts w:ascii="Arial" w:hAnsi="Arial" w:cs="Arial"/>
          <w:sz w:val="22"/>
          <w:szCs w:val="22"/>
        </w:rPr>
        <w:t xml:space="preserve"> requires more crack preparation procedures and uses higher-quality sealant materials. </w:t>
      </w:r>
      <w:r w:rsidR="00A820E8">
        <w:rPr>
          <w:rFonts w:ascii="Arial" w:hAnsi="Arial" w:cs="Arial"/>
          <w:sz w:val="22"/>
          <w:szCs w:val="22"/>
        </w:rPr>
        <w:t>Generally, one pound of material equate</w:t>
      </w:r>
      <w:r w:rsidR="0054689A">
        <w:rPr>
          <w:rFonts w:ascii="Arial" w:hAnsi="Arial" w:cs="Arial"/>
          <w:sz w:val="22"/>
          <w:szCs w:val="22"/>
        </w:rPr>
        <w:t>s</w:t>
      </w:r>
      <w:r w:rsidR="00A820E8">
        <w:rPr>
          <w:rFonts w:ascii="Arial" w:hAnsi="Arial" w:cs="Arial"/>
          <w:sz w:val="22"/>
          <w:szCs w:val="22"/>
        </w:rPr>
        <w:t xml:space="preserve"> to ½</w:t>
      </w:r>
      <w:r w:rsidR="008561EC">
        <w:rPr>
          <w:rFonts w:ascii="Arial" w:hAnsi="Arial" w:cs="Arial"/>
          <w:sz w:val="22"/>
          <w:szCs w:val="22"/>
        </w:rPr>
        <w:t>"</w:t>
      </w:r>
      <w:r w:rsidR="00A820E8">
        <w:rPr>
          <w:rFonts w:ascii="Arial" w:hAnsi="Arial" w:cs="Arial"/>
          <w:sz w:val="22"/>
          <w:szCs w:val="22"/>
        </w:rPr>
        <w:t xml:space="preserve"> </w:t>
      </w:r>
      <w:r w:rsidR="008561EC">
        <w:rPr>
          <w:rFonts w:ascii="Arial" w:hAnsi="Arial" w:cs="Arial"/>
          <w:sz w:val="22"/>
          <w:szCs w:val="22"/>
        </w:rPr>
        <w:t xml:space="preserve">x </w:t>
      </w:r>
      <w:r w:rsidR="00A820E8">
        <w:rPr>
          <w:rFonts w:ascii="Arial" w:hAnsi="Arial" w:cs="Arial"/>
          <w:sz w:val="22"/>
          <w:szCs w:val="22"/>
        </w:rPr>
        <w:t>½</w:t>
      </w:r>
      <w:r w:rsidR="008561EC">
        <w:rPr>
          <w:rFonts w:ascii="Arial" w:hAnsi="Arial" w:cs="Arial"/>
          <w:sz w:val="22"/>
          <w:szCs w:val="22"/>
        </w:rPr>
        <w:t>"</w:t>
      </w:r>
      <w:r w:rsidR="00A820E8">
        <w:rPr>
          <w:rFonts w:ascii="Arial" w:hAnsi="Arial" w:cs="Arial"/>
          <w:sz w:val="22"/>
          <w:szCs w:val="22"/>
        </w:rPr>
        <w:t xml:space="preserve"> </w:t>
      </w:r>
      <w:r w:rsidR="008561EC">
        <w:rPr>
          <w:rFonts w:ascii="Arial" w:hAnsi="Arial" w:cs="Arial"/>
          <w:sz w:val="22"/>
          <w:szCs w:val="22"/>
        </w:rPr>
        <w:t xml:space="preserve">x </w:t>
      </w:r>
      <w:r w:rsidR="00A820E8">
        <w:rPr>
          <w:rFonts w:ascii="Arial" w:hAnsi="Arial" w:cs="Arial"/>
          <w:sz w:val="22"/>
          <w:szCs w:val="22"/>
        </w:rPr>
        <w:t>5</w:t>
      </w:r>
      <w:r w:rsidR="008561EC">
        <w:rPr>
          <w:rFonts w:ascii="Arial" w:hAnsi="Arial" w:cs="Arial"/>
          <w:sz w:val="22"/>
          <w:szCs w:val="22"/>
        </w:rPr>
        <w:t>'</w:t>
      </w:r>
      <w:r w:rsidR="00A820E8">
        <w:rPr>
          <w:rFonts w:ascii="Arial" w:hAnsi="Arial" w:cs="Arial"/>
          <w:sz w:val="22"/>
          <w:szCs w:val="22"/>
        </w:rPr>
        <w:t xml:space="preserve"> of crack filling/sealing.</w:t>
      </w:r>
    </w:p>
    <w:p w14:paraId="2AF40ED6" w14:textId="77777777" w:rsidR="00BF10A0" w:rsidRDefault="00BF10A0" w:rsidP="00BE3F24">
      <w:pPr>
        <w:pStyle w:val="ListParagraph"/>
        <w:ind w:left="0"/>
        <w:jc w:val="both"/>
        <w:rPr>
          <w:rFonts w:ascii="Arial" w:hAnsi="Arial" w:cs="Arial"/>
          <w:b/>
          <w:sz w:val="22"/>
          <w:szCs w:val="22"/>
        </w:rPr>
      </w:pPr>
    </w:p>
    <w:p w14:paraId="467558D5" w14:textId="53C56409" w:rsidR="009C75C9" w:rsidRPr="009C75C9" w:rsidRDefault="009C75C9" w:rsidP="009C75C9">
      <w:pPr>
        <w:jc w:val="both"/>
        <w:rPr>
          <w:rFonts w:ascii="Arial" w:hAnsi="Arial" w:cs="Arial"/>
          <w:sz w:val="22"/>
          <w:szCs w:val="22"/>
        </w:rPr>
      </w:pPr>
      <w:hyperlink w:anchor="_SUPPLEMENTAL_INFORMATION_FOR" w:history="1">
        <w:r>
          <w:rPr>
            <w:rStyle w:val="Hyperlink"/>
            <w:rFonts w:ascii="Arial" w:hAnsi="Arial" w:cs="Arial"/>
            <w:b/>
            <w:sz w:val="22"/>
            <w:szCs w:val="22"/>
          </w:rPr>
          <w:t>A-1b: Ma</w:t>
        </w:r>
        <w:bookmarkStart w:id="627" w:name="A1b_Mastic"/>
        <w:bookmarkEnd w:id="627"/>
        <w:r>
          <w:rPr>
            <w:rStyle w:val="Hyperlink"/>
            <w:rFonts w:ascii="Arial" w:hAnsi="Arial" w:cs="Arial"/>
            <w:b/>
            <w:sz w:val="22"/>
            <w:szCs w:val="22"/>
          </w:rPr>
          <w:t>stic</w:t>
        </w:r>
      </w:hyperlink>
      <w:r w:rsidRPr="00CC7F9B">
        <w:rPr>
          <w:rFonts w:ascii="Arial" w:hAnsi="Arial" w:cs="Arial"/>
          <w:b/>
          <w:sz w:val="22"/>
          <w:szCs w:val="22"/>
        </w:rPr>
        <w:t xml:space="preserve"> </w:t>
      </w:r>
      <w:r w:rsidRPr="009C75C9">
        <w:rPr>
          <w:rFonts w:ascii="Arial" w:hAnsi="Arial" w:cs="Arial"/>
          <w:sz w:val="22"/>
          <w:szCs w:val="22"/>
        </w:rPr>
        <w:t>is basically reinforced crack seal with aggregate.  It is composed of quality-selected asphalt and/or resins, select aggregates with structural integrity, synthetic rubber polymers, antioxidants, naturally occurring and man-made reinforcing material, and other modifiers. Mastic is intended to fill open cracks and joints at least one inch wide.  It can also be used to fill small potholes</w:t>
      </w:r>
      <w:r>
        <w:rPr>
          <w:rFonts w:ascii="Arial" w:hAnsi="Arial" w:cs="Arial"/>
          <w:sz w:val="22"/>
          <w:szCs w:val="22"/>
        </w:rPr>
        <w:t>, rumble strips,</w:t>
      </w:r>
      <w:r w:rsidRPr="009C75C9">
        <w:rPr>
          <w:rFonts w:ascii="Arial" w:hAnsi="Arial" w:cs="Arial"/>
          <w:sz w:val="22"/>
          <w:szCs w:val="22"/>
        </w:rPr>
        <w:t xml:space="preserve"> and level up bridge approaches and manholes.</w:t>
      </w:r>
      <w:r>
        <w:rPr>
          <w:rFonts w:ascii="Arial" w:hAnsi="Arial" w:cs="Arial"/>
          <w:sz w:val="22"/>
          <w:szCs w:val="22"/>
        </w:rPr>
        <w:t xml:space="preserve">  </w:t>
      </w:r>
      <w:r w:rsidRPr="009C75C9">
        <w:rPr>
          <w:rFonts w:ascii="Arial" w:hAnsi="Arial" w:cs="Arial"/>
          <w:sz w:val="22"/>
          <w:szCs w:val="22"/>
        </w:rPr>
        <w:t xml:space="preserve">Generally, </w:t>
      </w:r>
      <w:r>
        <w:rPr>
          <w:rFonts w:ascii="Arial" w:hAnsi="Arial" w:cs="Arial"/>
          <w:sz w:val="22"/>
          <w:szCs w:val="22"/>
        </w:rPr>
        <w:t xml:space="preserve">it requires 2.4 lbs/LF assuming 1.5” </w:t>
      </w:r>
      <w:r w:rsidRPr="009C75C9">
        <w:rPr>
          <w:rFonts w:ascii="Arial" w:hAnsi="Arial" w:cs="Arial"/>
          <w:sz w:val="22"/>
          <w:szCs w:val="22"/>
        </w:rPr>
        <w:t xml:space="preserve">x </w:t>
      </w:r>
      <w:r>
        <w:rPr>
          <w:rFonts w:ascii="Arial" w:hAnsi="Arial" w:cs="Arial"/>
          <w:sz w:val="22"/>
          <w:szCs w:val="22"/>
        </w:rPr>
        <w:t>2” deep per foot</w:t>
      </w:r>
      <w:r w:rsidRPr="009C75C9">
        <w:rPr>
          <w:rFonts w:ascii="Arial" w:hAnsi="Arial" w:cs="Arial"/>
          <w:sz w:val="22"/>
          <w:szCs w:val="22"/>
        </w:rPr>
        <w:t>.</w:t>
      </w:r>
      <w:r w:rsidR="001C5B60">
        <w:rPr>
          <w:rFonts w:ascii="Arial" w:hAnsi="Arial" w:cs="Arial"/>
          <w:sz w:val="22"/>
          <w:szCs w:val="22"/>
        </w:rPr>
        <w:t xml:space="preserve">  To estimate gallons, estimate 12 lbs/gal, or 0.2 gal/ft.</w:t>
      </w:r>
    </w:p>
    <w:p w14:paraId="5E9745B9" w14:textId="77777777" w:rsidR="009C75C9" w:rsidRPr="009C75C9" w:rsidRDefault="009C75C9" w:rsidP="009C75C9">
      <w:pPr>
        <w:pStyle w:val="ListParagraph"/>
        <w:ind w:left="1440"/>
        <w:jc w:val="both"/>
        <w:rPr>
          <w:rFonts w:ascii="Arial" w:hAnsi="Arial" w:cs="Arial"/>
          <w:sz w:val="22"/>
          <w:szCs w:val="22"/>
        </w:rPr>
      </w:pPr>
    </w:p>
    <w:bookmarkStart w:id="628" w:name="A2_Crack_Seal_PCC"/>
    <w:p w14:paraId="6FE9F7EA" w14:textId="07C79FD0"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302D2D">
        <w:rPr>
          <w:rFonts w:ascii="Arial" w:hAnsi="Arial" w:cs="Arial"/>
          <w:b/>
          <w:sz w:val="22"/>
          <w:szCs w:val="22"/>
        </w:rPr>
        <w:instrText>HYPERLINK  \l "_SUPPLEMENTAL_INFORMATION_FOR_1"</w:instrText>
      </w:r>
      <w:r>
        <w:rPr>
          <w:rFonts w:ascii="Arial" w:hAnsi="Arial" w:cs="Arial"/>
          <w:b/>
          <w:sz w:val="22"/>
          <w:szCs w:val="22"/>
        </w:rPr>
      </w:r>
      <w:r>
        <w:rPr>
          <w:rFonts w:ascii="Arial" w:hAnsi="Arial" w:cs="Arial"/>
          <w:b/>
          <w:sz w:val="22"/>
          <w:szCs w:val="22"/>
        </w:rPr>
        <w:fldChar w:fldCharType="separate"/>
      </w:r>
      <w:r w:rsidR="00302D2D">
        <w:rPr>
          <w:rStyle w:val="Hyperlink"/>
          <w:rFonts w:ascii="Arial" w:hAnsi="Arial" w:cs="Arial"/>
          <w:b/>
          <w:sz w:val="22"/>
          <w:szCs w:val="22"/>
        </w:rPr>
        <w:t xml:space="preserve">A-2: Crack Seal (Concrete-Surfaced </w:t>
      </w:r>
      <w:r w:rsidR="008561EC">
        <w:rPr>
          <w:rStyle w:val="Hyperlink"/>
          <w:rFonts w:ascii="Arial" w:hAnsi="Arial" w:cs="Arial"/>
          <w:b/>
          <w:sz w:val="22"/>
          <w:szCs w:val="22"/>
        </w:rPr>
        <w:t>P</w:t>
      </w:r>
      <w:r w:rsidR="00302D2D">
        <w:rPr>
          <w:rStyle w:val="Hyperlink"/>
          <w:rFonts w:ascii="Arial" w:hAnsi="Arial" w:cs="Arial"/>
          <w:b/>
          <w:sz w:val="22"/>
          <w:szCs w:val="22"/>
        </w:rPr>
        <w:t>avements)</w:t>
      </w:r>
      <w:r>
        <w:rPr>
          <w:rFonts w:ascii="Arial" w:hAnsi="Arial" w:cs="Arial"/>
          <w:b/>
          <w:sz w:val="22"/>
          <w:szCs w:val="22"/>
        </w:rPr>
        <w:fldChar w:fldCharType="end"/>
      </w:r>
      <w:bookmarkEnd w:id="628"/>
      <w:r w:rsidR="00BF10A0" w:rsidRPr="00CC7F9B">
        <w:rPr>
          <w:rFonts w:ascii="Arial" w:hAnsi="Arial" w:cs="Arial"/>
          <w:b/>
          <w:sz w:val="22"/>
          <w:szCs w:val="22"/>
        </w:rPr>
        <w:t xml:space="preserve"> </w:t>
      </w:r>
    </w:p>
    <w:p w14:paraId="7DD8B37B" w14:textId="4F7CEC98" w:rsidR="00BF10A0" w:rsidRPr="00CC7F9B" w:rsidRDefault="00BF10A0" w:rsidP="00BE3F24">
      <w:pPr>
        <w:jc w:val="both"/>
        <w:rPr>
          <w:rFonts w:ascii="Arial" w:hAnsi="Arial" w:cs="Arial"/>
          <w:sz w:val="22"/>
          <w:szCs w:val="22"/>
        </w:rPr>
      </w:pPr>
      <w:r w:rsidRPr="00CC7F9B">
        <w:rPr>
          <w:rFonts w:ascii="Arial" w:hAnsi="Arial" w:cs="Arial"/>
          <w:sz w:val="22"/>
          <w:szCs w:val="22"/>
        </w:rPr>
        <w:t xml:space="preserve">An operation involving thorough crack preparation and placement of </w:t>
      </w:r>
      <w:r w:rsidR="001C5B60" w:rsidRPr="00CC7F9B">
        <w:rPr>
          <w:rFonts w:ascii="Arial" w:hAnsi="Arial" w:cs="Arial"/>
          <w:sz w:val="22"/>
          <w:szCs w:val="22"/>
        </w:rPr>
        <w:t>high-quality</w:t>
      </w:r>
      <w:r w:rsidRPr="00CC7F9B">
        <w:rPr>
          <w:rFonts w:ascii="Arial" w:hAnsi="Arial" w:cs="Arial"/>
          <w:sz w:val="22"/>
          <w:szCs w:val="22"/>
        </w:rPr>
        <w:t xml:space="preserve"> material into or over candidate cracks to significantly reduce moisture infiltration and to retard the rate of crack deterioration. Sealed candidates in the concrete pavements deteriorate less and contribute less to the deterioration of the pavements. Concrete cracks are typically sealed with thermosetting bituminous material. </w:t>
      </w:r>
    </w:p>
    <w:p w14:paraId="7D6A700A" w14:textId="77777777" w:rsidR="00BF10A0" w:rsidRPr="00CC7F9B" w:rsidRDefault="00BF10A0" w:rsidP="00BE3F24">
      <w:pPr>
        <w:jc w:val="both"/>
        <w:rPr>
          <w:rFonts w:ascii="Arial" w:hAnsi="Arial" w:cs="Arial"/>
          <w:sz w:val="22"/>
          <w:szCs w:val="22"/>
        </w:rPr>
      </w:pPr>
    </w:p>
    <w:bookmarkStart w:id="629" w:name="A3_Joint_Seal"/>
    <w:p w14:paraId="7759214C" w14:textId="77777777" w:rsidR="00BF10A0" w:rsidRPr="00A04848" w:rsidRDefault="000D2B44" w:rsidP="00BE3F24">
      <w:pPr>
        <w:jc w:val="both"/>
        <w:rPr>
          <w:rFonts w:ascii="Arial" w:hAnsi="Arial" w:cs="Arial"/>
          <w:b/>
          <w:sz w:val="22"/>
          <w:szCs w:val="22"/>
        </w:rPr>
      </w:pPr>
      <w:r>
        <w:rPr>
          <w:rFonts w:ascii="Arial" w:hAnsi="Arial" w:cs="Arial"/>
          <w:b/>
          <w:sz w:val="22"/>
          <w:szCs w:val="22"/>
        </w:rPr>
        <w:fldChar w:fldCharType="begin"/>
      </w:r>
      <w:r w:rsidR="00302D2D">
        <w:rPr>
          <w:rFonts w:ascii="Arial" w:hAnsi="Arial" w:cs="Arial"/>
          <w:b/>
          <w:sz w:val="22"/>
          <w:szCs w:val="22"/>
        </w:rPr>
        <w:instrText xml:space="preserve"> HYPERLINK  \l "_SUPPLEMENTAL_INFORMATION_FOR_1" </w:instrText>
      </w:r>
      <w:r>
        <w:rPr>
          <w:rFonts w:ascii="Arial" w:hAnsi="Arial" w:cs="Arial"/>
          <w:b/>
          <w:sz w:val="22"/>
          <w:szCs w:val="22"/>
        </w:rPr>
      </w:r>
      <w:r>
        <w:rPr>
          <w:rFonts w:ascii="Arial" w:hAnsi="Arial" w:cs="Arial"/>
          <w:b/>
          <w:sz w:val="22"/>
          <w:szCs w:val="22"/>
        </w:rPr>
        <w:fldChar w:fldCharType="separate"/>
      </w:r>
      <w:r w:rsidR="00BF10A0" w:rsidRPr="00302D2D">
        <w:rPr>
          <w:rStyle w:val="Hyperlink"/>
          <w:rFonts w:ascii="Arial" w:hAnsi="Arial" w:cs="Arial"/>
          <w:b/>
          <w:sz w:val="22"/>
          <w:szCs w:val="22"/>
        </w:rPr>
        <w:t>A-3: Joint Sealing (and Resealing)</w:t>
      </w:r>
      <w:r>
        <w:rPr>
          <w:rFonts w:ascii="Arial" w:hAnsi="Arial" w:cs="Arial"/>
          <w:b/>
          <w:sz w:val="22"/>
          <w:szCs w:val="22"/>
        </w:rPr>
        <w:fldChar w:fldCharType="end"/>
      </w:r>
    </w:p>
    <w:bookmarkEnd w:id="629"/>
    <w:p w14:paraId="315F4F94" w14:textId="0E0D1146" w:rsidR="00BF10A0" w:rsidRDefault="00BF10A0" w:rsidP="00BE3F24">
      <w:pPr>
        <w:jc w:val="both"/>
        <w:rPr>
          <w:rFonts w:ascii="Arial" w:hAnsi="Arial" w:cs="Arial"/>
          <w:sz w:val="22"/>
          <w:szCs w:val="22"/>
        </w:rPr>
      </w:pPr>
      <w:r>
        <w:rPr>
          <w:rFonts w:ascii="Arial" w:hAnsi="Arial" w:cs="Arial"/>
          <w:sz w:val="22"/>
          <w:szCs w:val="22"/>
        </w:rPr>
        <w:t>S</w:t>
      </w:r>
      <w:r w:rsidRPr="00CC7F9B">
        <w:rPr>
          <w:rFonts w:ascii="Arial" w:hAnsi="Arial" w:cs="Arial"/>
          <w:sz w:val="22"/>
          <w:szCs w:val="22"/>
        </w:rPr>
        <w:t>ealing</w:t>
      </w:r>
      <w:r>
        <w:rPr>
          <w:rFonts w:ascii="Arial" w:hAnsi="Arial" w:cs="Arial"/>
          <w:sz w:val="22"/>
          <w:szCs w:val="22"/>
        </w:rPr>
        <w:t xml:space="preserve"> (and Resealing)</w:t>
      </w:r>
      <w:r w:rsidRPr="00CC7F9B">
        <w:rPr>
          <w:rFonts w:ascii="Arial" w:hAnsi="Arial" w:cs="Arial"/>
          <w:sz w:val="22"/>
          <w:szCs w:val="22"/>
        </w:rPr>
        <w:t xml:space="preserve"> transverse joints in concrete pavements is intended to minimize the infiltration of surface water into the underlying pavement structure and to prevent the intrusion of incompressibles into the joints. A range of materials from bitumen to silicone to neoprene</w:t>
      </w:r>
      <w:r w:rsidR="001C5B60">
        <w:rPr>
          <w:rFonts w:ascii="Arial" w:hAnsi="Arial" w:cs="Arial"/>
          <w:sz w:val="22"/>
          <w:szCs w:val="22"/>
        </w:rPr>
        <w:t xml:space="preserve"> (rarely if ever)</w:t>
      </w:r>
      <w:r w:rsidRPr="00CC7F9B">
        <w:rPr>
          <w:rFonts w:ascii="Arial" w:hAnsi="Arial" w:cs="Arial"/>
          <w:sz w:val="22"/>
          <w:szCs w:val="22"/>
        </w:rPr>
        <w:t xml:space="preserve"> is used in design configurations.</w:t>
      </w:r>
      <w:r>
        <w:rPr>
          <w:rFonts w:ascii="Arial" w:hAnsi="Arial" w:cs="Arial"/>
          <w:sz w:val="22"/>
          <w:szCs w:val="22"/>
        </w:rPr>
        <w:t xml:space="preserve"> </w:t>
      </w:r>
      <w:r w:rsidRPr="00CC7F9B">
        <w:rPr>
          <w:rFonts w:ascii="Arial" w:hAnsi="Arial" w:cs="Arial"/>
          <w:sz w:val="22"/>
          <w:szCs w:val="22"/>
        </w:rPr>
        <w:t xml:space="preserve"> </w:t>
      </w:r>
    </w:p>
    <w:p w14:paraId="307CBB0E" w14:textId="77777777" w:rsidR="00BF10A0" w:rsidRDefault="00BF10A0" w:rsidP="00BE3F24">
      <w:pPr>
        <w:jc w:val="both"/>
        <w:rPr>
          <w:rFonts w:ascii="Arial" w:hAnsi="Arial" w:cs="Arial"/>
          <w:sz w:val="22"/>
          <w:szCs w:val="22"/>
        </w:rPr>
      </w:pPr>
    </w:p>
    <w:bookmarkStart w:id="630" w:name="A4_Saw_Seal"/>
    <w:p w14:paraId="3C20DD34" w14:textId="77777777" w:rsidR="00BF10A0" w:rsidRPr="00A04848" w:rsidRDefault="000D2B44" w:rsidP="00BE3F24">
      <w:pPr>
        <w:jc w:val="both"/>
        <w:rPr>
          <w:rFonts w:ascii="Arial" w:hAnsi="Arial" w:cs="Arial"/>
          <w:b/>
          <w:sz w:val="22"/>
          <w:szCs w:val="22"/>
        </w:rPr>
      </w:pPr>
      <w:r>
        <w:rPr>
          <w:rFonts w:ascii="Arial" w:hAnsi="Arial" w:cs="Arial"/>
          <w:b/>
          <w:sz w:val="22"/>
          <w:szCs w:val="22"/>
        </w:rPr>
        <w:fldChar w:fldCharType="begin"/>
      </w:r>
      <w:r w:rsidR="00302D2D">
        <w:rPr>
          <w:rFonts w:ascii="Arial" w:hAnsi="Arial" w:cs="Arial"/>
          <w:b/>
          <w:sz w:val="22"/>
          <w:szCs w:val="22"/>
        </w:rPr>
        <w:instrText xml:space="preserve"> HYPERLINK  \l "_SUPPLEMENTAL_INFORMATION_FOR_2" </w:instrText>
      </w:r>
      <w:r>
        <w:rPr>
          <w:rFonts w:ascii="Arial" w:hAnsi="Arial" w:cs="Arial"/>
          <w:b/>
          <w:sz w:val="22"/>
          <w:szCs w:val="22"/>
        </w:rPr>
      </w:r>
      <w:r>
        <w:rPr>
          <w:rFonts w:ascii="Arial" w:hAnsi="Arial" w:cs="Arial"/>
          <w:b/>
          <w:sz w:val="22"/>
          <w:szCs w:val="22"/>
        </w:rPr>
        <w:fldChar w:fldCharType="separate"/>
      </w:r>
      <w:r w:rsidR="00BF10A0" w:rsidRPr="00302D2D">
        <w:rPr>
          <w:rStyle w:val="Hyperlink"/>
          <w:rFonts w:ascii="Arial" w:hAnsi="Arial" w:cs="Arial"/>
          <w:b/>
          <w:sz w:val="22"/>
          <w:szCs w:val="22"/>
        </w:rPr>
        <w:t>A-4: Saw and Seal</w:t>
      </w:r>
      <w:r>
        <w:rPr>
          <w:rFonts w:ascii="Arial" w:hAnsi="Arial" w:cs="Arial"/>
          <w:b/>
          <w:sz w:val="22"/>
          <w:szCs w:val="22"/>
        </w:rPr>
        <w:fldChar w:fldCharType="end"/>
      </w:r>
    </w:p>
    <w:bookmarkEnd w:id="630"/>
    <w:p w14:paraId="53D2FAEB" w14:textId="104A9A40" w:rsidR="00BF10A0" w:rsidRDefault="00BF10A0" w:rsidP="00BE3F24">
      <w:pPr>
        <w:pStyle w:val="ListParagraph"/>
        <w:ind w:left="0"/>
        <w:jc w:val="both"/>
        <w:rPr>
          <w:rFonts w:ascii="Arial" w:hAnsi="Arial" w:cs="Arial"/>
          <w:sz w:val="22"/>
          <w:szCs w:val="22"/>
        </w:rPr>
      </w:pPr>
      <w:r w:rsidRPr="00CC7F9B">
        <w:rPr>
          <w:rFonts w:ascii="Arial" w:hAnsi="Arial" w:cs="Arial"/>
          <w:sz w:val="22"/>
          <w:szCs w:val="22"/>
        </w:rPr>
        <w:t xml:space="preserve">A method of controlling reflective cracking in HMA overlays that involves </w:t>
      </w:r>
      <w:r>
        <w:rPr>
          <w:rFonts w:ascii="Arial" w:hAnsi="Arial" w:cs="Arial"/>
          <w:sz w:val="22"/>
          <w:szCs w:val="22"/>
        </w:rPr>
        <w:t>saw</w:t>
      </w:r>
      <w:r w:rsidRPr="00CC7F9B">
        <w:rPr>
          <w:rFonts w:ascii="Arial" w:hAnsi="Arial" w:cs="Arial"/>
          <w:sz w:val="22"/>
          <w:szCs w:val="22"/>
        </w:rPr>
        <w:t xml:space="preserve">ing joints in the new overlay exactly over the joints in the existing pavement. </w:t>
      </w:r>
      <w:r w:rsidR="00D64BEF">
        <w:rPr>
          <w:rFonts w:ascii="Arial" w:hAnsi="Arial" w:cs="Arial"/>
          <w:sz w:val="22"/>
          <w:szCs w:val="22"/>
        </w:rPr>
        <w:t xml:space="preserve">(Return to </w:t>
      </w:r>
      <w:hyperlink w:anchor="_Saw_and_Seal" w:history="1">
        <w:r w:rsidR="00D64BEF" w:rsidRPr="00D64BEF">
          <w:rPr>
            <w:rStyle w:val="Hyperlink"/>
            <w:rFonts w:ascii="Arial" w:hAnsi="Arial" w:cs="Arial"/>
            <w:sz w:val="22"/>
            <w:szCs w:val="22"/>
          </w:rPr>
          <w:t>Saw and Seal</w:t>
        </w:r>
      </w:hyperlink>
      <w:r w:rsidR="00D64BEF">
        <w:rPr>
          <w:rFonts w:ascii="Arial" w:hAnsi="Arial" w:cs="Arial"/>
          <w:sz w:val="22"/>
          <w:szCs w:val="22"/>
        </w:rPr>
        <w:t xml:space="preserve"> for reflective cracking discussion</w:t>
      </w:r>
      <w:r w:rsidR="008561EC">
        <w:rPr>
          <w:rFonts w:ascii="Arial" w:hAnsi="Arial" w:cs="Arial"/>
          <w:sz w:val="22"/>
          <w:szCs w:val="22"/>
        </w:rPr>
        <w:t>.</w:t>
      </w:r>
      <w:r w:rsidR="00D64BEF">
        <w:rPr>
          <w:rFonts w:ascii="Arial" w:hAnsi="Arial" w:cs="Arial"/>
          <w:sz w:val="22"/>
          <w:szCs w:val="22"/>
        </w:rPr>
        <w:t>)</w:t>
      </w:r>
    </w:p>
    <w:p w14:paraId="18A2B250" w14:textId="190C38C2" w:rsidR="00BF10A0" w:rsidRPr="00516727" w:rsidRDefault="00BF10A0" w:rsidP="00172E64">
      <w:pPr>
        <w:pStyle w:val="Heading4"/>
        <w:numPr>
          <w:ilvl w:val="3"/>
          <w:numId w:val="185"/>
        </w:numPr>
        <w:ind w:left="0" w:firstLine="0"/>
      </w:pPr>
      <w:r w:rsidRPr="00516727">
        <w:lastRenderedPageBreak/>
        <w:t>Asphalt Sealers / Rejuvenators</w:t>
      </w:r>
    </w:p>
    <w:p w14:paraId="349F5EA9" w14:textId="77777777" w:rsidR="00BF10A0" w:rsidRPr="00572763" w:rsidRDefault="00BF10A0" w:rsidP="00BE3F24">
      <w:pPr>
        <w:pStyle w:val="ListParagraph"/>
        <w:tabs>
          <w:tab w:val="left" w:pos="1080"/>
        </w:tabs>
        <w:ind w:left="0"/>
        <w:jc w:val="both"/>
        <w:rPr>
          <w:rFonts w:ascii="Arial" w:hAnsi="Arial" w:cs="Arial"/>
          <w:sz w:val="22"/>
          <w:szCs w:val="22"/>
        </w:rPr>
      </w:pPr>
    </w:p>
    <w:bookmarkStart w:id="631" w:name="B1_Fog_Seal"/>
    <w:p w14:paraId="60FF4AB1" w14:textId="77777777" w:rsidR="00BF10A0" w:rsidRPr="00E21926" w:rsidRDefault="000D2B44" w:rsidP="00BE3F24">
      <w:pPr>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"_SUPPLEMENTAL_INFORMATION_FOR_3" </w:instrText>
      </w:r>
      <w:r>
        <w:rPr>
          <w:rFonts w:ascii="Arial" w:hAnsi="Arial" w:cs="Arial"/>
          <w:b/>
          <w:sz w:val="22"/>
          <w:szCs w:val="22"/>
        </w:rPr>
      </w:r>
      <w:r>
        <w:rPr>
          <w:rFonts w:ascii="Arial" w:hAnsi="Arial" w:cs="Arial"/>
          <w:b/>
          <w:sz w:val="22"/>
          <w:szCs w:val="22"/>
        </w:rPr>
        <w:fldChar w:fldCharType="separate"/>
      </w:r>
      <w:r w:rsidR="00BF10A0" w:rsidRPr="001845B7">
        <w:rPr>
          <w:rStyle w:val="Hyperlink"/>
          <w:rFonts w:ascii="Arial" w:hAnsi="Arial" w:cs="Arial"/>
          <w:b/>
          <w:sz w:val="22"/>
          <w:szCs w:val="22"/>
        </w:rPr>
        <w:t xml:space="preserve">B-1: </w:t>
      </w:r>
      <w:r w:rsidR="00B87D6C" w:rsidRPr="001845B7">
        <w:rPr>
          <w:rStyle w:val="Hyperlink"/>
          <w:rFonts w:ascii="Arial" w:hAnsi="Arial" w:cs="Arial"/>
          <w:b/>
          <w:sz w:val="22"/>
          <w:szCs w:val="22"/>
        </w:rPr>
        <w:t>Fog Seal</w:t>
      </w:r>
      <w:r>
        <w:rPr>
          <w:rFonts w:ascii="Arial" w:hAnsi="Arial" w:cs="Arial"/>
          <w:b/>
          <w:sz w:val="22"/>
          <w:szCs w:val="22"/>
        </w:rPr>
        <w:fldChar w:fldCharType="end"/>
      </w:r>
    </w:p>
    <w:bookmarkEnd w:id="631"/>
    <w:p w14:paraId="3CE14536" w14:textId="77777777" w:rsidR="00BF10A0" w:rsidRPr="00E21926" w:rsidRDefault="00BF10A0" w:rsidP="00BE3F24">
      <w:pPr>
        <w:jc w:val="both"/>
        <w:rPr>
          <w:rFonts w:ascii="Arial" w:hAnsi="Arial" w:cs="Arial"/>
          <w:sz w:val="22"/>
          <w:szCs w:val="22"/>
        </w:rPr>
      </w:pPr>
      <w:r w:rsidRPr="00E21926">
        <w:rPr>
          <w:rFonts w:ascii="Arial" w:hAnsi="Arial" w:cs="Arial"/>
          <w:sz w:val="22"/>
          <w:szCs w:val="22"/>
        </w:rPr>
        <w:t>Very light applications of a diluted asphalt emulsion (1 part emulsion + 1 part water) placed directly on the pavement surface with no aggregate. Typical application rates range from 0.05 to 0.1 gal</w:t>
      </w:r>
      <w:r>
        <w:rPr>
          <w:rFonts w:ascii="Arial" w:hAnsi="Arial" w:cs="Arial"/>
          <w:sz w:val="22"/>
          <w:szCs w:val="22"/>
        </w:rPr>
        <w:t>lon</w:t>
      </w:r>
      <w:r w:rsidRPr="00E21926">
        <w:rPr>
          <w:rFonts w:ascii="Arial" w:hAnsi="Arial" w:cs="Arial"/>
          <w:sz w:val="22"/>
          <w:szCs w:val="22"/>
        </w:rPr>
        <w:t xml:space="preserve"> per </w:t>
      </w:r>
      <w:r>
        <w:rPr>
          <w:rFonts w:ascii="Arial" w:hAnsi="Arial" w:cs="Arial"/>
          <w:sz w:val="22"/>
          <w:szCs w:val="22"/>
        </w:rPr>
        <w:t>square yard</w:t>
      </w:r>
      <w:r w:rsidRPr="00E21926">
        <w:rPr>
          <w:rFonts w:ascii="Arial" w:hAnsi="Arial" w:cs="Arial"/>
          <w:sz w:val="22"/>
          <w:szCs w:val="22"/>
        </w:rPr>
        <w:t xml:space="preserve">. </w:t>
      </w:r>
    </w:p>
    <w:p w14:paraId="29290B73" w14:textId="77777777" w:rsidR="00BF10A0" w:rsidRPr="00E21926" w:rsidRDefault="00BF10A0" w:rsidP="00BE3F24">
      <w:pPr>
        <w:jc w:val="both"/>
        <w:rPr>
          <w:rFonts w:ascii="Arial" w:hAnsi="Arial" w:cs="Arial"/>
          <w:sz w:val="22"/>
          <w:szCs w:val="22"/>
        </w:rPr>
      </w:pPr>
    </w:p>
    <w:bookmarkStart w:id="632" w:name="B2_Rejuvenator"/>
    <w:p w14:paraId="26A904A9" w14:textId="77777777" w:rsidR="00BF10A0" w:rsidRPr="00E21926" w:rsidRDefault="000D2B44" w:rsidP="00BE3F24">
      <w:pPr>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"_SUPPLEMENTAL_INFORMATION_FOR_3" </w:instrText>
      </w:r>
      <w:r>
        <w:rPr>
          <w:rFonts w:ascii="Arial" w:hAnsi="Arial" w:cs="Arial"/>
          <w:b/>
          <w:sz w:val="22"/>
          <w:szCs w:val="22"/>
        </w:rPr>
      </w:r>
      <w:r>
        <w:rPr>
          <w:rFonts w:ascii="Arial" w:hAnsi="Arial" w:cs="Arial"/>
          <w:b/>
          <w:sz w:val="22"/>
          <w:szCs w:val="22"/>
        </w:rPr>
        <w:fldChar w:fldCharType="separate"/>
      </w:r>
      <w:r w:rsidR="00BF10A0" w:rsidRPr="001845B7">
        <w:rPr>
          <w:rStyle w:val="Hyperlink"/>
          <w:rFonts w:ascii="Arial" w:hAnsi="Arial" w:cs="Arial"/>
          <w:b/>
          <w:sz w:val="22"/>
          <w:szCs w:val="22"/>
        </w:rPr>
        <w:t>B-2: Rejuvenators</w:t>
      </w:r>
      <w:r>
        <w:rPr>
          <w:rFonts w:ascii="Arial" w:hAnsi="Arial" w:cs="Arial"/>
          <w:b/>
          <w:sz w:val="22"/>
          <w:szCs w:val="22"/>
        </w:rPr>
        <w:fldChar w:fldCharType="end"/>
      </w:r>
    </w:p>
    <w:bookmarkEnd w:id="632"/>
    <w:p w14:paraId="3D247E9E" w14:textId="77777777" w:rsidR="00BF10A0" w:rsidRPr="00CC7F9B" w:rsidRDefault="00BF10A0" w:rsidP="00BE3F24">
      <w:pPr>
        <w:jc w:val="both"/>
        <w:rPr>
          <w:rFonts w:ascii="Arial" w:hAnsi="Arial" w:cs="Arial"/>
          <w:sz w:val="22"/>
          <w:szCs w:val="22"/>
        </w:rPr>
      </w:pPr>
      <w:r w:rsidRPr="00E21926">
        <w:rPr>
          <w:rFonts w:ascii="Arial" w:hAnsi="Arial" w:cs="Arial"/>
          <w:sz w:val="22"/>
          <w:szCs w:val="22"/>
        </w:rPr>
        <w:t>Specialized emulsions of maltenes (2 parts maltene + 1 part water) that</w:t>
      </w:r>
      <w:r w:rsidRPr="00CC7F9B">
        <w:rPr>
          <w:rFonts w:ascii="Arial" w:hAnsi="Arial" w:cs="Arial"/>
          <w:sz w:val="22"/>
          <w:szCs w:val="22"/>
        </w:rPr>
        <w:t xml:space="preserve"> are sprayed on an existing asphalt surface with the intent of softening the existing binder, enriching the </w:t>
      </w:r>
      <w:r>
        <w:rPr>
          <w:rFonts w:ascii="Arial" w:hAnsi="Arial" w:cs="Arial"/>
          <w:sz w:val="22"/>
          <w:szCs w:val="22"/>
        </w:rPr>
        <w:t>oxidized</w:t>
      </w:r>
      <w:r w:rsidRPr="00CC7F9B">
        <w:rPr>
          <w:rFonts w:ascii="Arial" w:hAnsi="Arial" w:cs="Arial"/>
          <w:sz w:val="22"/>
          <w:szCs w:val="22"/>
        </w:rPr>
        <w:t xml:space="preserve"> pavement, thereby reducing thermal cracking and inhibiting raveling. The emulsions used are typically mixtures of asphalt, polymer latex, and other additives</w:t>
      </w:r>
      <w:r>
        <w:rPr>
          <w:rFonts w:ascii="Arial" w:hAnsi="Arial" w:cs="Arial"/>
          <w:sz w:val="22"/>
          <w:szCs w:val="22"/>
        </w:rPr>
        <w:t>, such as softening ag</w:t>
      </w:r>
      <w:r w:rsidRPr="00E21926">
        <w:rPr>
          <w:rFonts w:ascii="Arial" w:hAnsi="Arial" w:cs="Arial"/>
          <w:sz w:val="22"/>
          <w:szCs w:val="22"/>
        </w:rPr>
        <w:t>ents. An asphalt binder consists of maltenes and asphaltenes. Asphaltenes are unaffected by the environment. Maltenes are affected by the environment, and their loss causes brittleness in the asphalt leading to weathering/raveling. The function of fog seals/rejuvenators is to restore maltenes to the asphalt binder.</w:t>
      </w:r>
      <w:r>
        <w:rPr>
          <w:rFonts w:ascii="Arial" w:hAnsi="Arial" w:cs="Arial"/>
          <w:sz w:val="22"/>
          <w:szCs w:val="22"/>
        </w:rPr>
        <w:t xml:space="preserve"> </w:t>
      </w:r>
    </w:p>
    <w:p w14:paraId="3C1A4838" w14:textId="77777777" w:rsidR="00BF10A0" w:rsidRDefault="00BF10A0" w:rsidP="00BE3F24">
      <w:pPr>
        <w:jc w:val="both"/>
        <w:rPr>
          <w:rFonts w:ascii="Arial" w:hAnsi="Arial" w:cs="Arial"/>
          <w:sz w:val="22"/>
          <w:szCs w:val="22"/>
        </w:rPr>
      </w:pPr>
    </w:p>
    <w:p w14:paraId="5751577F" w14:textId="04FD7BCD" w:rsidR="00BF10A0" w:rsidRPr="00516727" w:rsidRDefault="00BF10A0" w:rsidP="00172E64">
      <w:pPr>
        <w:pStyle w:val="Heading4"/>
        <w:numPr>
          <w:ilvl w:val="3"/>
          <w:numId w:val="185"/>
        </w:numPr>
        <w:ind w:left="0" w:firstLine="0"/>
      </w:pPr>
      <w:r w:rsidRPr="00516727">
        <w:t>Aggregate Seals</w:t>
      </w:r>
    </w:p>
    <w:p w14:paraId="66968418" w14:textId="77777777" w:rsidR="00BF10A0" w:rsidRPr="00006592" w:rsidRDefault="00BF10A0" w:rsidP="00BE3F24">
      <w:pPr>
        <w:pStyle w:val="ListParagraph"/>
        <w:ind w:left="0"/>
        <w:jc w:val="both"/>
        <w:rPr>
          <w:rFonts w:ascii="Arial" w:hAnsi="Arial" w:cs="Arial"/>
          <w:sz w:val="22"/>
          <w:szCs w:val="22"/>
        </w:rPr>
      </w:pPr>
    </w:p>
    <w:p w14:paraId="37566835" w14:textId="77777777" w:rsidR="00BF10A0" w:rsidRPr="00CC7F9B" w:rsidRDefault="00BF10A0" w:rsidP="00BE3F24">
      <w:pPr>
        <w:pStyle w:val="ListParagraph"/>
        <w:ind w:left="0"/>
        <w:jc w:val="both"/>
        <w:rPr>
          <w:rFonts w:ascii="Arial" w:hAnsi="Arial" w:cs="Arial"/>
          <w:b/>
          <w:sz w:val="22"/>
          <w:szCs w:val="22"/>
        </w:rPr>
      </w:pPr>
      <w:hyperlink w:anchor="_SUPPLEMENTAL_INFORMATION_FOR_4" w:history="1">
        <w:bookmarkStart w:id="633" w:name="C1_Cape_Seal"/>
        <w:r w:rsidRPr="001845B7">
          <w:rPr>
            <w:rStyle w:val="Hyperlink"/>
            <w:rFonts w:ascii="Arial" w:hAnsi="Arial" w:cs="Arial"/>
            <w:b/>
            <w:sz w:val="22"/>
            <w:szCs w:val="22"/>
          </w:rPr>
          <w:t>C-1: Cape Sea</w:t>
        </w:r>
        <w:bookmarkEnd w:id="633"/>
        <w:r w:rsidRPr="001845B7">
          <w:rPr>
            <w:rStyle w:val="Hyperlink"/>
            <w:rFonts w:ascii="Arial" w:hAnsi="Arial" w:cs="Arial"/>
            <w:b/>
            <w:sz w:val="22"/>
            <w:szCs w:val="22"/>
          </w:rPr>
          <w:t>l</w:t>
        </w:r>
      </w:hyperlink>
    </w:p>
    <w:p w14:paraId="08E88AC8" w14:textId="04AD1E8A" w:rsidR="00BF10A0" w:rsidRPr="00CC7F9B" w:rsidRDefault="00BF10A0" w:rsidP="00BE3F24">
      <w:pPr>
        <w:jc w:val="both"/>
        <w:rPr>
          <w:rFonts w:ascii="Arial" w:hAnsi="Arial" w:cs="Arial"/>
          <w:sz w:val="22"/>
          <w:szCs w:val="22"/>
        </w:rPr>
      </w:pPr>
      <w:r w:rsidRPr="00CC7F9B">
        <w:rPr>
          <w:rFonts w:ascii="Arial" w:hAnsi="Arial" w:cs="Arial"/>
          <w:sz w:val="22"/>
          <w:szCs w:val="22"/>
        </w:rPr>
        <w:t xml:space="preserve">A surface treatment that involves the application of a slurry seal </w:t>
      </w:r>
      <w:r>
        <w:rPr>
          <w:rFonts w:ascii="Arial" w:hAnsi="Arial" w:cs="Arial"/>
          <w:sz w:val="22"/>
          <w:szCs w:val="22"/>
        </w:rPr>
        <w:t xml:space="preserve">or micro-surfacing </w:t>
      </w:r>
      <w:r w:rsidRPr="00CC7F9B">
        <w:rPr>
          <w:rFonts w:ascii="Arial" w:hAnsi="Arial" w:cs="Arial"/>
          <w:sz w:val="22"/>
          <w:szCs w:val="22"/>
        </w:rPr>
        <w:t xml:space="preserve">to a newly constructed chip seal.  Cape seals are used to provide a dense </w:t>
      </w:r>
      <w:r w:rsidR="00667295" w:rsidRPr="00CC7F9B">
        <w:rPr>
          <w:rFonts w:ascii="Arial" w:hAnsi="Arial" w:cs="Arial"/>
          <w:sz w:val="22"/>
          <w:szCs w:val="22"/>
        </w:rPr>
        <w:t>waterproof</w:t>
      </w:r>
      <w:r w:rsidRPr="00CC7F9B">
        <w:rPr>
          <w:rFonts w:ascii="Arial" w:hAnsi="Arial" w:cs="Arial"/>
          <w:sz w:val="22"/>
          <w:szCs w:val="22"/>
        </w:rPr>
        <w:t xml:space="preserve"> surface with improved skid resistance</w:t>
      </w:r>
      <w:r>
        <w:rPr>
          <w:rFonts w:ascii="Arial" w:hAnsi="Arial" w:cs="Arial"/>
          <w:sz w:val="22"/>
          <w:szCs w:val="22"/>
        </w:rPr>
        <w:t xml:space="preserve"> and smoother ride</w:t>
      </w:r>
      <w:r w:rsidRPr="00CC7F9B">
        <w:rPr>
          <w:rFonts w:ascii="Arial" w:hAnsi="Arial" w:cs="Arial"/>
          <w:sz w:val="22"/>
          <w:szCs w:val="22"/>
        </w:rPr>
        <w:t xml:space="preserve">. </w:t>
      </w:r>
    </w:p>
    <w:p w14:paraId="5C20BFBF" w14:textId="77777777" w:rsidR="00BF10A0" w:rsidRDefault="00BF10A0" w:rsidP="00BE3F24">
      <w:pPr>
        <w:jc w:val="both"/>
        <w:rPr>
          <w:rFonts w:ascii="Arial" w:hAnsi="Arial" w:cs="Arial"/>
          <w:sz w:val="22"/>
          <w:szCs w:val="22"/>
        </w:rPr>
      </w:pPr>
    </w:p>
    <w:bookmarkStart w:id="634" w:name="C2A_Chip_Seal"/>
    <w:p w14:paraId="6F68D8DA" w14:textId="77777777"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"_SUPPLEMENTAL_INFORMATION_FOR_4" </w:instrText>
      </w:r>
      <w:r>
        <w:rPr>
          <w:rFonts w:ascii="Arial" w:hAnsi="Arial" w:cs="Arial"/>
          <w:b/>
          <w:sz w:val="22"/>
          <w:szCs w:val="22"/>
        </w:rPr>
      </w:r>
      <w:r>
        <w:rPr>
          <w:rFonts w:ascii="Arial" w:hAnsi="Arial" w:cs="Arial"/>
          <w:b/>
          <w:sz w:val="22"/>
          <w:szCs w:val="22"/>
        </w:rPr>
        <w:fldChar w:fldCharType="separate"/>
      </w:r>
      <w:r w:rsidR="00BF10A0" w:rsidRPr="001845B7">
        <w:rPr>
          <w:rStyle w:val="Hyperlink"/>
          <w:rFonts w:ascii="Arial" w:hAnsi="Arial" w:cs="Arial"/>
          <w:b/>
          <w:sz w:val="22"/>
          <w:szCs w:val="22"/>
        </w:rPr>
        <w:t>C-</w:t>
      </w:r>
      <w:proofErr w:type="spellStart"/>
      <w:r w:rsidR="00BF10A0" w:rsidRPr="001845B7">
        <w:rPr>
          <w:rStyle w:val="Hyperlink"/>
          <w:rFonts w:ascii="Arial" w:hAnsi="Arial" w:cs="Arial"/>
          <w:b/>
          <w:sz w:val="22"/>
          <w:szCs w:val="22"/>
        </w:rPr>
        <w:t>2a</w:t>
      </w:r>
      <w:proofErr w:type="spellEnd"/>
      <w:r w:rsidR="00BF10A0" w:rsidRPr="001845B7">
        <w:rPr>
          <w:rStyle w:val="Hyperlink"/>
          <w:rFonts w:ascii="Arial" w:hAnsi="Arial" w:cs="Arial"/>
          <w:b/>
          <w:sz w:val="22"/>
          <w:szCs w:val="22"/>
        </w:rPr>
        <w:t>: Chip Seal</w:t>
      </w:r>
      <w:r>
        <w:rPr>
          <w:rFonts w:ascii="Arial" w:hAnsi="Arial" w:cs="Arial"/>
          <w:b/>
          <w:sz w:val="22"/>
          <w:szCs w:val="22"/>
        </w:rPr>
        <w:fldChar w:fldCharType="end"/>
      </w:r>
    </w:p>
    <w:bookmarkEnd w:id="634"/>
    <w:p w14:paraId="55D6468A" w14:textId="46CFE265" w:rsidR="000F6D57" w:rsidRPr="00E21926" w:rsidRDefault="00BF10A0" w:rsidP="000F6D57">
      <w:pPr>
        <w:jc w:val="both"/>
        <w:rPr>
          <w:rFonts w:ascii="Arial" w:hAnsi="Arial" w:cs="Arial"/>
          <w:sz w:val="22"/>
          <w:szCs w:val="22"/>
        </w:rPr>
      </w:pPr>
      <w:r w:rsidRPr="00CC7F9B">
        <w:rPr>
          <w:rFonts w:ascii="Arial" w:hAnsi="Arial" w:cs="Arial"/>
          <w:sz w:val="22"/>
          <w:szCs w:val="22"/>
        </w:rPr>
        <w:t xml:space="preserve">Asphalt (commonly as emulsion) is applied directly to the pavement surface followed by the application of aggregate chips, which are then immediately rolled to embed chips. Application rates depend upon </w:t>
      </w:r>
      <w:r>
        <w:rPr>
          <w:rFonts w:ascii="Arial" w:hAnsi="Arial" w:cs="Arial"/>
          <w:sz w:val="22"/>
          <w:szCs w:val="22"/>
        </w:rPr>
        <w:t xml:space="preserve">surface condition, </w:t>
      </w:r>
      <w:r w:rsidRPr="00CC7F9B">
        <w:rPr>
          <w:rFonts w:ascii="Arial" w:hAnsi="Arial" w:cs="Arial"/>
          <w:sz w:val="22"/>
          <w:szCs w:val="22"/>
        </w:rPr>
        <w:t>aggregate gradation</w:t>
      </w:r>
      <w:r w:rsidR="008561EC">
        <w:rPr>
          <w:rFonts w:ascii="Arial" w:hAnsi="Arial" w:cs="Arial"/>
          <w:sz w:val="22"/>
          <w:szCs w:val="22"/>
        </w:rPr>
        <w:t>,</w:t>
      </w:r>
      <w:r w:rsidRPr="00CC7F9B">
        <w:rPr>
          <w:rFonts w:ascii="Arial" w:hAnsi="Arial" w:cs="Arial"/>
          <w:sz w:val="22"/>
          <w:szCs w:val="22"/>
        </w:rPr>
        <w:t xml:space="preserve"> and maximum size.  Chip seal can be applied in multiple layers (i.e., double chip seals).  </w:t>
      </w:r>
      <w:r w:rsidRPr="00E21926">
        <w:rPr>
          <w:rFonts w:ascii="Arial" w:hAnsi="Arial" w:cs="Arial"/>
          <w:sz w:val="22"/>
          <w:szCs w:val="22"/>
        </w:rPr>
        <w:t>In addition, there are high-performance chip seals and modified chip seals in use. Use of stone obtained as a by-product from SMA is ideal, as it provides a uniform single-sized stone.</w:t>
      </w:r>
      <w:r>
        <w:rPr>
          <w:rFonts w:ascii="Arial" w:hAnsi="Arial" w:cs="Arial"/>
          <w:sz w:val="22"/>
          <w:szCs w:val="22"/>
        </w:rPr>
        <w:t xml:space="preserve"> </w:t>
      </w:r>
      <w:r w:rsidR="000F6D57">
        <w:rPr>
          <w:rFonts w:ascii="Arial" w:hAnsi="Arial" w:cs="Arial"/>
          <w:sz w:val="22"/>
          <w:szCs w:val="22"/>
        </w:rPr>
        <w:t xml:space="preserve"> The t</w:t>
      </w:r>
      <w:r w:rsidR="000F6D57" w:rsidRPr="00E21926">
        <w:rPr>
          <w:rFonts w:ascii="Arial" w:hAnsi="Arial" w:cs="Arial"/>
          <w:sz w:val="22"/>
          <w:szCs w:val="22"/>
        </w:rPr>
        <w:t>ypical application rate</w:t>
      </w:r>
      <w:r w:rsidR="000F6D57">
        <w:rPr>
          <w:rFonts w:ascii="Arial" w:hAnsi="Arial" w:cs="Arial"/>
          <w:sz w:val="22"/>
          <w:szCs w:val="22"/>
        </w:rPr>
        <w:t xml:space="preserve"> for the emulsion is 0.35</w:t>
      </w:r>
      <w:r w:rsidR="000F6D57" w:rsidRPr="00E21926">
        <w:rPr>
          <w:rFonts w:ascii="Arial" w:hAnsi="Arial" w:cs="Arial"/>
          <w:sz w:val="22"/>
          <w:szCs w:val="22"/>
        </w:rPr>
        <w:t xml:space="preserve"> gal</w:t>
      </w:r>
      <w:r w:rsidR="000F6D57">
        <w:rPr>
          <w:rFonts w:ascii="Arial" w:hAnsi="Arial" w:cs="Arial"/>
          <w:sz w:val="22"/>
          <w:szCs w:val="22"/>
        </w:rPr>
        <w:t>lons</w:t>
      </w:r>
      <w:r w:rsidR="000F6D57" w:rsidRPr="00E21926">
        <w:rPr>
          <w:rFonts w:ascii="Arial" w:hAnsi="Arial" w:cs="Arial"/>
          <w:sz w:val="22"/>
          <w:szCs w:val="22"/>
        </w:rPr>
        <w:t xml:space="preserve"> per </w:t>
      </w:r>
      <w:r w:rsidR="000F6D57">
        <w:rPr>
          <w:rFonts w:ascii="Arial" w:hAnsi="Arial" w:cs="Arial"/>
          <w:sz w:val="22"/>
          <w:szCs w:val="22"/>
        </w:rPr>
        <w:t>square yard</w:t>
      </w:r>
      <w:r w:rsidR="000F6D57" w:rsidRPr="00E21926">
        <w:rPr>
          <w:rFonts w:ascii="Arial" w:hAnsi="Arial" w:cs="Arial"/>
          <w:sz w:val="22"/>
          <w:szCs w:val="22"/>
        </w:rPr>
        <w:t xml:space="preserve">. </w:t>
      </w:r>
    </w:p>
    <w:p w14:paraId="48A5AB68" w14:textId="77777777" w:rsidR="00BF10A0" w:rsidRPr="00CC7F9B" w:rsidRDefault="00BF10A0" w:rsidP="00BE3F24">
      <w:pPr>
        <w:jc w:val="both"/>
        <w:rPr>
          <w:rFonts w:ascii="Arial" w:hAnsi="Arial" w:cs="Arial"/>
          <w:sz w:val="22"/>
          <w:szCs w:val="22"/>
        </w:rPr>
      </w:pPr>
    </w:p>
    <w:bookmarkStart w:id="635" w:name="C2B_Modified_Chip"/>
    <w:p w14:paraId="16AD9F7B" w14:textId="77777777"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"_SUPPLEMENTAL_INFORMATION_FOR_4" </w:instrText>
      </w:r>
      <w:r>
        <w:rPr>
          <w:rFonts w:ascii="Arial" w:hAnsi="Arial" w:cs="Arial"/>
          <w:b/>
          <w:sz w:val="22"/>
          <w:szCs w:val="22"/>
        </w:rPr>
      </w:r>
      <w:r>
        <w:rPr>
          <w:rFonts w:ascii="Arial" w:hAnsi="Arial" w:cs="Arial"/>
          <w:b/>
          <w:sz w:val="22"/>
          <w:szCs w:val="22"/>
        </w:rPr>
        <w:fldChar w:fldCharType="separate"/>
      </w:r>
      <w:r w:rsidR="00BF10A0" w:rsidRPr="001845B7">
        <w:rPr>
          <w:rStyle w:val="Hyperlink"/>
          <w:rFonts w:ascii="Arial" w:hAnsi="Arial" w:cs="Arial"/>
          <w:b/>
          <w:sz w:val="22"/>
          <w:szCs w:val="22"/>
        </w:rPr>
        <w:t>C-</w:t>
      </w:r>
      <w:proofErr w:type="spellStart"/>
      <w:r w:rsidR="00BF10A0" w:rsidRPr="001845B7">
        <w:rPr>
          <w:rStyle w:val="Hyperlink"/>
          <w:rFonts w:ascii="Arial" w:hAnsi="Arial" w:cs="Arial"/>
          <w:b/>
          <w:sz w:val="22"/>
          <w:szCs w:val="22"/>
        </w:rPr>
        <w:t>2b</w:t>
      </w:r>
      <w:proofErr w:type="spellEnd"/>
      <w:r w:rsidR="00BF10A0" w:rsidRPr="001845B7">
        <w:rPr>
          <w:rStyle w:val="Hyperlink"/>
          <w:rFonts w:ascii="Arial" w:hAnsi="Arial" w:cs="Arial"/>
          <w:b/>
          <w:sz w:val="22"/>
          <w:szCs w:val="22"/>
        </w:rPr>
        <w:t>: Modified Chip Seal</w:t>
      </w:r>
      <w:r>
        <w:rPr>
          <w:rFonts w:ascii="Arial" w:hAnsi="Arial" w:cs="Arial"/>
          <w:b/>
          <w:sz w:val="22"/>
          <w:szCs w:val="22"/>
        </w:rPr>
        <w:fldChar w:fldCharType="end"/>
      </w:r>
    </w:p>
    <w:bookmarkEnd w:id="635"/>
    <w:p w14:paraId="1DCBFE56" w14:textId="77777777" w:rsidR="00BF10A0" w:rsidRPr="00CC7F9B" w:rsidRDefault="00BF10A0" w:rsidP="00BE3F24">
      <w:pPr>
        <w:jc w:val="both"/>
        <w:rPr>
          <w:rFonts w:ascii="Arial" w:hAnsi="Arial" w:cs="Arial"/>
          <w:sz w:val="22"/>
          <w:szCs w:val="22"/>
        </w:rPr>
      </w:pPr>
      <w:r w:rsidRPr="00CC7F9B">
        <w:rPr>
          <w:rFonts w:ascii="Arial" w:hAnsi="Arial" w:cs="Arial"/>
          <w:sz w:val="22"/>
          <w:szCs w:val="22"/>
        </w:rPr>
        <w:t>When the asphalt emulsion is modified with a blend of ground tire or latex rubber or polymer modifiers to enhance the elasticity and adhesion characteristics, it is called a modified chip seal.</w:t>
      </w:r>
    </w:p>
    <w:p w14:paraId="35E8FC1D" w14:textId="77777777" w:rsidR="00BF10A0" w:rsidRPr="00CC7F9B" w:rsidRDefault="00BF10A0" w:rsidP="00BE3F24">
      <w:pPr>
        <w:jc w:val="both"/>
        <w:rPr>
          <w:rFonts w:ascii="Arial" w:hAnsi="Arial" w:cs="Arial"/>
          <w:sz w:val="22"/>
          <w:szCs w:val="22"/>
        </w:rPr>
      </w:pPr>
    </w:p>
    <w:bookmarkStart w:id="636" w:name="C2C_High_performance_chip"/>
    <w:p w14:paraId="461CBA54" w14:textId="77777777" w:rsidR="00BF10A0" w:rsidRPr="00CC7F9B" w:rsidRDefault="000D2B44" w:rsidP="00BE3F24">
      <w:pPr>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"_SUPPLEMENTAL_INFORMATION_FOR_4" </w:instrText>
      </w:r>
      <w:r>
        <w:rPr>
          <w:rFonts w:ascii="Arial" w:hAnsi="Arial" w:cs="Arial"/>
          <w:b/>
          <w:sz w:val="22"/>
          <w:szCs w:val="22"/>
        </w:rPr>
      </w:r>
      <w:r>
        <w:rPr>
          <w:rFonts w:ascii="Arial" w:hAnsi="Arial" w:cs="Arial"/>
          <w:b/>
          <w:sz w:val="22"/>
          <w:szCs w:val="22"/>
        </w:rPr>
        <w:fldChar w:fldCharType="separate"/>
      </w:r>
      <w:r w:rsidR="00BF10A0" w:rsidRPr="001845B7">
        <w:rPr>
          <w:rStyle w:val="Hyperlink"/>
          <w:rFonts w:ascii="Arial" w:hAnsi="Arial" w:cs="Arial"/>
          <w:b/>
          <w:sz w:val="22"/>
          <w:szCs w:val="22"/>
        </w:rPr>
        <w:t>C-</w:t>
      </w:r>
      <w:proofErr w:type="spellStart"/>
      <w:r w:rsidR="00BF10A0" w:rsidRPr="001845B7">
        <w:rPr>
          <w:rStyle w:val="Hyperlink"/>
          <w:rFonts w:ascii="Arial" w:hAnsi="Arial" w:cs="Arial"/>
          <w:b/>
          <w:sz w:val="22"/>
          <w:szCs w:val="22"/>
        </w:rPr>
        <w:t>2c</w:t>
      </w:r>
      <w:proofErr w:type="spellEnd"/>
      <w:r w:rsidR="00BF10A0" w:rsidRPr="001845B7">
        <w:rPr>
          <w:rStyle w:val="Hyperlink"/>
          <w:rFonts w:ascii="Arial" w:hAnsi="Arial" w:cs="Arial"/>
          <w:b/>
          <w:sz w:val="22"/>
          <w:szCs w:val="22"/>
        </w:rPr>
        <w:t>: High-performance Chip Seal</w:t>
      </w:r>
      <w:r>
        <w:rPr>
          <w:rFonts w:ascii="Arial" w:hAnsi="Arial" w:cs="Arial"/>
          <w:b/>
          <w:sz w:val="22"/>
          <w:szCs w:val="22"/>
        </w:rPr>
        <w:fldChar w:fldCharType="end"/>
      </w:r>
    </w:p>
    <w:bookmarkEnd w:id="636"/>
    <w:p w14:paraId="57250188" w14:textId="40112ACF" w:rsidR="00BF10A0" w:rsidRPr="00CC7F9B" w:rsidRDefault="00BF10A0" w:rsidP="00BE3F24">
      <w:pPr>
        <w:jc w:val="both"/>
        <w:rPr>
          <w:rFonts w:ascii="Arial" w:hAnsi="Arial" w:cs="Arial"/>
          <w:sz w:val="22"/>
          <w:szCs w:val="22"/>
        </w:rPr>
      </w:pPr>
      <w:r w:rsidRPr="00CC7F9B">
        <w:rPr>
          <w:rFonts w:ascii="Arial" w:hAnsi="Arial" w:cs="Arial"/>
          <w:sz w:val="22"/>
          <w:szCs w:val="22"/>
        </w:rPr>
        <w:t>A synchronized continuous application of ultra</w:t>
      </w:r>
      <w:r w:rsidR="00865D2D">
        <w:rPr>
          <w:rFonts w:ascii="Arial" w:hAnsi="Arial" w:cs="Arial"/>
          <w:sz w:val="22"/>
          <w:szCs w:val="22"/>
        </w:rPr>
        <w:t>-</w:t>
      </w:r>
      <w:r w:rsidRPr="00CC7F9B">
        <w:rPr>
          <w:rFonts w:ascii="Arial" w:hAnsi="Arial" w:cs="Arial"/>
          <w:sz w:val="22"/>
          <w:szCs w:val="22"/>
        </w:rPr>
        <w:t xml:space="preserve">fast polymer asphalt emulsion and single-size durable aggregate. </w:t>
      </w:r>
    </w:p>
    <w:p w14:paraId="41B89027" w14:textId="77777777" w:rsidR="00BF10A0" w:rsidRPr="00CC7F9B" w:rsidRDefault="00BF10A0" w:rsidP="00BE3F24">
      <w:pPr>
        <w:jc w:val="both"/>
        <w:rPr>
          <w:rFonts w:ascii="Arial" w:hAnsi="Arial" w:cs="Arial"/>
          <w:sz w:val="22"/>
          <w:szCs w:val="22"/>
        </w:rPr>
      </w:pPr>
    </w:p>
    <w:bookmarkStart w:id="637" w:name="C3_Micro_Surface"/>
    <w:p w14:paraId="607F0886" w14:textId="61E87C5E"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"_SUPPLEMENTAL_INFORMATION_FOR_5" </w:instrText>
      </w:r>
      <w:r>
        <w:rPr>
          <w:rFonts w:ascii="Arial" w:hAnsi="Arial" w:cs="Arial"/>
          <w:b/>
          <w:sz w:val="22"/>
          <w:szCs w:val="22"/>
        </w:rPr>
      </w:r>
      <w:r>
        <w:rPr>
          <w:rFonts w:ascii="Arial" w:hAnsi="Arial" w:cs="Arial"/>
          <w:b/>
          <w:sz w:val="22"/>
          <w:szCs w:val="22"/>
        </w:rPr>
        <w:fldChar w:fldCharType="separate"/>
      </w:r>
      <w:r w:rsidR="00BA403F" w:rsidRPr="00A30E04">
        <w:rPr>
          <w:rStyle w:val="Hyperlink"/>
          <w:rFonts w:ascii="Arial" w:hAnsi="Arial" w:cs="Arial"/>
          <w:b/>
          <w:sz w:val="22"/>
          <w:szCs w:val="22"/>
        </w:rPr>
        <w:t>C-3: Micro</w:t>
      </w:r>
      <w:r w:rsidR="00D62403">
        <w:rPr>
          <w:rStyle w:val="Hyperlink"/>
          <w:rFonts w:ascii="Arial" w:hAnsi="Arial" w:cs="Arial"/>
          <w:b/>
          <w:sz w:val="22"/>
          <w:szCs w:val="22"/>
        </w:rPr>
        <w:t xml:space="preserve"> </w:t>
      </w:r>
      <w:r w:rsidR="00BA403F" w:rsidRPr="00A30E04">
        <w:rPr>
          <w:rStyle w:val="Hyperlink"/>
          <w:rFonts w:ascii="Arial" w:hAnsi="Arial" w:cs="Arial"/>
          <w:b/>
          <w:sz w:val="22"/>
          <w:szCs w:val="22"/>
        </w:rPr>
        <w:t xml:space="preserve">surfacing (aka in </w:t>
      </w:r>
      <w:r w:rsidR="008C7023">
        <w:rPr>
          <w:rStyle w:val="Hyperlink"/>
          <w:rFonts w:ascii="Arial" w:hAnsi="Arial" w:cs="Arial"/>
          <w:b/>
          <w:sz w:val="22"/>
          <w:szCs w:val="22"/>
        </w:rPr>
        <w:t>MDOT-SHA</w:t>
      </w:r>
      <w:r w:rsidR="00BA403F" w:rsidRPr="00A30E04">
        <w:rPr>
          <w:rStyle w:val="Hyperlink"/>
          <w:rFonts w:ascii="Arial" w:hAnsi="Arial" w:cs="Arial"/>
          <w:b/>
          <w:sz w:val="22"/>
          <w:szCs w:val="22"/>
        </w:rPr>
        <w:t xml:space="preserve"> as Latex-Modified Slurry Seal)</w:t>
      </w:r>
      <w:r>
        <w:rPr>
          <w:rFonts w:ascii="Arial" w:hAnsi="Arial" w:cs="Arial"/>
          <w:b/>
          <w:sz w:val="22"/>
          <w:szCs w:val="22"/>
        </w:rPr>
        <w:fldChar w:fldCharType="end"/>
      </w:r>
    </w:p>
    <w:bookmarkEnd w:id="637"/>
    <w:p w14:paraId="36F6F08E" w14:textId="44431957" w:rsidR="00DD0C27" w:rsidRDefault="00DD0C27" w:rsidP="00DD0C27">
      <w:pPr>
        <w:jc w:val="both"/>
        <w:rPr>
          <w:rFonts w:ascii="Arial" w:hAnsi="Arial" w:cs="Arial"/>
          <w:sz w:val="22"/>
          <w:szCs w:val="22"/>
        </w:rPr>
      </w:pPr>
      <w:r>
        <w:rPr>
          <w:rFonts w:ascii="Arial" w:hAnsi="Arial" w:cs="Arial"/>
          <w:sz w:val="22"/>
          <w:szCs w:val="22"/>
        </w:rPr>
        <w:t>Micro</w:t>
      </w:r>
      <w:r w:rsidR="007969FD">
        <w:rPr>
          <w:rFonts w:ascii="Arial" w:hAnsi="Arial" w:cs="Arial"/>
          <w:sz w:val="22"/>
          <w:szCs w:val="22"/>
        </w:rPr>
        <w:t xml:space="preserve"> </w:t>
      </w:r>
      <w:r>
        <w:rPr>
          <w:rFonts w:ascii="Arial" w:hAnsi="Arial" w:cs="Arial"/>
          <w:sz w:val="22"/>
          <w:szCs w:val="22"/>
        </w:rPr>
        <w:t>surfacing</w:t>
      </w:r>
      <w:r w:rsidRPr="00CC7F9B">
        <w:rPr>
          <w:rFonts w:ascii="Arial" w:hAnsi="Arial" w:cs="Arial"/>
          <w:sz w:val="22"/>
          <w:szCs w:val="22"/>
        </w:rPr>
        <w:t xml:space="preserve"> is a mixture of polymer-modified asphalt emulsion, crushed dense graded aggregate, mineral filler, additives, and water. Micro</w:t>
      </w:r>
      <w:r w:rsidR="007969FD">
        <w:rPr>
          <w:rFonts w:ascii="Arial" w:hAnsi="Arial" w:cs="Arial"/>
          <w:sz w:val="22"/>
          <w:szCs w:val="22"/>
        </w:rPr>
        <w:t xml:space="preserve"> </w:t>
      </w:r>
      <w:r w:rsidRPr="00CC7F9B">
        <w:rPr>
          <w:rFonts w:ascii="Arial" w:hAnsi="Arial" w:cs="Arial"/>
          <w:sz w:val="22"/>
          <w:szCs w:val="22"/>
        </w:rPr>
        <w:t>surfacing provides thin resurfacing of 10 to 20 mm (3/8</w:t>
      </w:r>
      <w:r>
        <w:rPr>
          <w:rFonts w:ascii="Arial" w:hAnsi="Arial" w:cs="Arial"/>
          <w:sz w:val="22"/>
          <w:szCs w:val="22"/>
        </w:rPr>
        <w:t>”"</w:t>
      </w:r>
      <w:r w:rsidRPr="00CC7F9B">
        <w:rPr>
          <w:rFonts w:ascii="Arial" w:hAnsi="Arial" w:cs="Arial"/>
          <w:sz w:val="22"/>
          <w:szCs w:val="22"/>
        </w:rPr>
        <w:t xml:space="preserve"> to ¾</w:t>
      </w:r>
      <w:r>
        <w:rPr>
          <w:rFonts w:ascii="Arial" w:hAnsi="Arial" w:cs="Arial"/>
          <w:sz w:val="22"/>
          <w:szCs w:val="22"/>
        </w:rPr>
        <w:t>”</w:t>
      </w:r>
      <w:r w:rsidRPr="00CC7F9B">
        <w:rPr>
          <w:rFonts w:ascii="Arial" w:hAnsi="Arial" w:cs="Arial"/>
          <w:sz w:val="22"/>
          <w:szCs w:val="22"/>
        </w:rPr>
        <w:t xml:space="preserve">) to the pavement and returns traffic use in one hour under average conditions. Materials selection and mixture design make it possible for micro-surfacing to be applied in multiple applications and provide minor re-profiling. The product </w:t>
      </w:r>
      <w:r w:rsidRPr="00CC7F9B">
        <w:rPr>
          <w:rFonts w:ascii="Arial" w:hAnsi="Arial" w:cs="Arial"/>
          <w:sz w:val="22"/>
          <w:szCs w:val="22"/>
        </w:rPr>
        <w:lastRenderedPageBreak/>
        <w:t>can fill wheel ruts up to 40 mm (1.5</w:t>
      </w:r>
      <w:r>
        <w:rPr>
          <w:rFonts w:ascii="Arial" w:hAnsi="Arial" w:cs="Arial"/>
          <w:sz w:val="22"/>
          <w:szCs w:val="22"/>
        </w:rPr>
        <w:t>”</w:t>
      </w:r>
      <w:r w:rsidRPr="00CC7F9B">
        <w:rPr>
          <w:rFonts w:ascii="Arial" w:hAnsi="Arial" w:cs="Arial"/>
          <w:sz w:val="22"/>
          <w:szCs w:val="22"/>
        </w:rPr>
        <w:t>) in depth in one pass and produces high surface friction values. Micro-surfacing is suitable for use on limited access, high-speed highways as well as residential streets, arterials and roadways.</w:t>
      </w:r>
    </w:p>
    <w:p w14:paraId="3A77509A" w14:textId="77777777" w:rsidR="00DD0C27" w:rsidRDefault="00DD0C27" w:rsidP="00DD0C27">
      <w:pPr>
        <w:jc w:val="both"/>
        <w:rPr>
          <w:rFonts w:ascii="Arial" w:hAnsi="Arial" w:cs="Arial"/>
          <w:sz w:val="22"/>
          <w:szCs w:val="22"/>
        </w:rPr>
      </w:pPr>
    </w:p>
    <w:p w14:paraId="5F580E53" w14:textId="4B055753" w:rsidR="000E59A5" w:rsidRDefault="000E59A5" w:rsidP="00DD0C27">
      <w:pPr>
        <w:jc w:val="both"/>
        <w:rPr>
          <w:rFonts w:ascii="Arial" w:hAnsi="Arial" w:cs="Arial"/>
          <w:sz w:val="22"/>
          <w:szCs w:val="22"/>
        </w:rPr>
      </w:pPr>
      <w:r>
        <w:rPr>
          <w:rFonts w:ascii="Arial" w:hAnsi="Arial" w:cs="Arial"/>
          <w:sz w:val="22"/>
          <w:szCs w:val="22"/>
        </w:rPr>
        <w:t>Type II micro surface is recommended for pavements in good condition</w:t>
      </w:r>
      <w:r w:rsidR="00C9090C">
        <w:rPr>
          <w:rFonts w:ascii="Arial" w:hAnsi="Arial" w:cs="Arial"/>
          <w:sz w:val="22"/>
          <w:szCs w:val="22"/>
        </w:rPr>
        <w:t xml:space="preserve"> </w:t>
      </w:r>
      <w:r>
        <w:rPr>
          <w:rFonts w:ascii="Arial" w:hAnsi="Arial" w:cs="Arial"/>
          <w:sz w:val="22"/>
          <w:szCs w:val="22"/>
        </w:rPr>
        <w:t>with minimal cracking</w:t>
      </w:r>
      <w:r w:rsidR="00C9090C">
        <w:rPr>
          <w:rFonts w:ascii="Arial" w:hAnsi="Arial" w:cs="Arial"/>
          <w:sz w:val="22"/>
          <w:szCs w:val="22"/>
        </w:rPr>
        <w:t xml:space="preserve"> (IRI &lt; 100, FCD &lt; 3, SCD &lt; 3, Rut &lt; 0.25”)</w:t>
      </w:r>
      <w:r>
        <w:rPr>
          <w:rFonts w:ascii="Arial" w:hAnsi="Arial" w:cs="Arial"/>
          <w:sz w:val="22"/>
          <w:szCs w:val="22"/>
        </w:rPr>
        <w:t xml:space="preserve">.  Type III is recommended for </w:t>
      </w:r>
      <w:r w:rsidR="00C9090C">
        <w:rPr>
          <w:rFonts w:ascii="Arial" w:hAnsi="Arial" w:cs="Arial"/>
          <w:sz w:val="22"/>
          <w:szCs w:val="22"/>
        </w:rPr>
        <w:t>all other pavements for which micro surface is allowable.</w:t>
      </w:r>
    </w:p>
    <w:p w14:paraId="6943473C" w14:textId="77777777" w:rsidR="000E59A5" w:rsidRDefault="000E59A5" w:rsidP="00DD0C27">
      <w:pPr>
        <w:jc w:val="both"/>
        <w:rPr>
          <w:rFonts w:ascii="Arial" w:hAnsi="Arial" w:cs="Arial"/>
          <w:sz w:val="22"/>
          <w:szCs w:val="22"/>
        </w:rPr>
      </w:pPr>
    </w:p>
    <w:p w14:paraId="0E5BF5B2" w14:textId="067C0853" w:rsidR="00DD0C27" w:rsidRDefault="00DD0C27" w:rsidP="00DD0C27">
      <w:pPr>
        <w:jc w:val="both"/>
        <w:rPr>
          <w:rFonts w:ascii="Arial" w:hAnsi="Arial" w:cs="Arial"/>
          <w:sz w:val="22"/>
          <w:szCs w:val="22"/>
        </w:rPr>
      </w:pPr>
      <w:r>
        <w:rPr>
          <w:rFonts w:ascii="Arial" w:hAnsi="Arial" w:cs="Arial"/>
          <w:sz w:val="22"/>
          <w:szCs w:val="22"/>
        </w:rPr>
        <w:t xml:space="preserve">When a single application is placed, all cracks greater than 3/8" wide must be filled or patched.  </w:t>
      </w:r>
      <w:r w:rsidRPr="006F1D1B">
        <w:rPr>
          <w:rFonts w:ascii="Arial" w:hAnsi="Arial" w:cs="Arial"/>
          <w:sz w:val="22"/>
          <w:szCs w:val="22"/>
        </w:rPr>
        <w:t xml:space="preserve">A double application of Micro-Surfacing may be recommended on older pavements that have become severely oxidized and have lost surface fines causing larger aggregate to be lost.  An example would be on Open Graded Friction Courses.   </w:t>
      </w:r>
    </w:p>
    <w:p w14:paraId="78ED67A8" w14:textId="77777777" w:rsidR="00DD0C27" w:rsidRDefault="00DD0C27" w:rsidP="00DD0C27">
      <w:pPr>
        <w:jc w:val="both"/>
        <w:rPr>
          <w:rFonts w:ascii="Arial" w:hAnsi="Arial" w:cs="Arial"/>
          <w:sz w:val="22"/>
          <w:szCs w:val="22"/>
        </w:rPr>
      </w:pPr>
    </w:p>
    <w:p w14:paraId="3E60D114" w14:textId="77777777" w:rsidR="000E59A5" w:rsidRDefault="00DD0C27" w:rsidP="00DD0C27">
      <w:pPr>
        <w:jc w:val="both"/>
        <w:rPr>
          <w:rFonts w:ascii="Arial" w:hAnsi="Arial" w:cs="Arial"/>
          <w:sz w:val="22"/>
          <w:szCs w:val="22"/>
        </w:rPr>
      </w:pPr>
      <w:r w:rsidRPr="006F1D1B">
        <w:rPr>
          <w:rFonts w:ascii="Arial" w:hAnsi="Arial" w:cs="Arial"/>
          <w:sz w:val="22"/>
          <w:szCs w:val="22"/>
        </w:rPr>
        <w:t>A double coat of Micro-Surfacing should be used for filling minor rutting (</w:t>
      </w:r>
      <w:r>
        <w:rPr>
          <w:rFonts w:ascii="Arial" w:hAnsi="Arial" w:cs="Arial"/>
          <w:sz w:val="22"/>
          <w:szCs w:val="22"/>
        </w:rPr>
        <w:t>g</w:t>
      </w:r>
      <w:r w:rsidRPr="006F1D1B">
        <w:rPr>
          <w:rFonts w:ascii="Arial" w:hAnsi="Arial" w:cs="Arial"/>
          <w:sz w:val="22"/>
          <w:szCs w:val="22"/>
        </w:rPr>
        <w:t>enerally a Type III aggregate to fill the ruts followed by a Type II aggregate for the surface)</w:t>
      </w:r>
      <w:r w:rsidR="000E59A5">
        <w:rPr>
          <w:rFonts w:ascii="Arial" w:hAnsi="Arial" w:cs="Arial"/>
          <w:sz w:val="22"/>
          <w:szCs w:val="22"/>
        </w:rPr>
        <w:t>.</w:t>
      </w:r>
    </w:p>
    <w:p w14:paraId="2B03E662" w14:textId="77777777" w:rsidR="000E59A5" w:rsidRDefault="000E59A5" w:rsidP="00DD0C27">
      <w:pPr>
        <w:jc w:val="both"/>
        <w:rPr>
          <w:rFonts w:ascii="Arial" w:hAnsi="Arial" w:cs="Arial"/>
          <w:sz w:val="22"/>
          <w:szCs w:val="22"/>
        </w:rPr>
      </w:pPr>
    </w:p>
    <w:p w14:paraId="46AE8880" w14:textId="5122A2E4" w:rsidR="00DD0C27" w:rsidRDefault="000E59A5" w:rsidP="00DD0C27">
      <w:pPr>
        <w:jc w:val="both"/>
        <w:rPr>
          <w:rFonts w:ascii="Arial" w:hAnsi="Arial" w:cs="Arial"/>
          <w:sz w:val="22"/>
          <w:szCs w:val="22"/>
        </w:rPr>
      </w:pPr>
      <w:r>
        <w:rPr>
          <w:rFonts w:ascii="Arial" w:hAnsi="Arial" w:cs="Arial"/>
          <w:sz w:val="22"/>
          <w:szCs w:val="22"/>
        </w:rPr>
        <w:t>If there are several cracks, it may be</w:t>
      </w:r>
      <w:r w:rsidR="00DD0C27">
        <w:rPr>
          <w:rFonts w:ascii="Arial" w:hAnsi="Arial" w:cs="Arial"/>
          <w:sz w:val="22"/>
          <w:szCs w:val="22"/>
        </w:rPr>
        <w:t xml:space="preserve"> more cost-effective </w:t>
      </w:r>
      <w:r>
        <w:rPr>
          <w:rFonts w:ascii="Arial" w:hAnsi="Arial" w:cs="Arial"/>
          <w:sz w:val="22"/>
          <w:szCs w:val="22"/>
        </w:rPr>
        <w:t>to place</w:t>
      </w:r>
      <w:r w:rsidR="00C9090C">
        <w:rPr>
          <w:rFonts w:ascii="Arial" w:hAnsi="Arial" w:cs="Arial"/>
          <w:sz w:val="22"/>
          <w:szCs w:val="22"/>
        </w:rPr>
        <w:t xml:space="preserve"> a cape seal (</w:t>
      </w:r>
      <w:r>
        <w:rPr>
          <w:rFonts w:ascii="Arial" w:hAnsi="Arial" w:cs="Arial"/>
          <w:sz w:val="22"/>
          <w:szCs w:val="22"/>
        </w:rPr>
        <w:t>chip seal instead of sealing</w:t>
      </w:r>
      <w:r w:rsidR="00DD0C27">
        <w:rPr>
          <w:rFonts w:ascii="Arial" w:hAnsi="Arial" w:cs="Arial"/>
          <w:sz w:val="22"/>
          <w:szCs w:val="22"/>
        </w:rPr>
        <w:t xml:space="preserve"> cracks </w:t>
      </w:r>
      <w:r>
        <w:rPr>
          <w:rFonts w:ascii="Arial" w:hAnsi="Arial" w:cs="Arial"/>
          <w:sz w:val="22"/>
          <w:szCs w:val="22"/>
        </w:rPr>
        <w:t xml:space="preserve">prior to </w:t>
      </w:r>
      <w:r w:rsidR="00DD0C27">
        <w:rPr>
          <w:rFonts w:ascii="Arial" w:hAnsi="Arial" w:cs="Arial"/>
          <w:sz w:val="22"/>
          <w:szCs w:val="22"/>
        </w:rPr>
        <w:t xml:space="preserve">placing </w:t>
      </w:r>
      <w:r>
        <w:rPr>
          <w:rFonts w:ascii="Arial" w:hAnsi="Arial" w:cs="Arial"/>
          <w:sz w:val="22"/>
          <w:szCs w:val="22"/>
        </w:rPr>
        <w:t>the micro surfacing</w:t>
      </w:r>
      <w:r w:rsidR="00C9090C">
        <w:rPr>
          <w:rFonts w:ascii="Arial" w:hAnsi="Arial" w:cs="Arial"/>
          <w:sz w:val="22"/>
          <w:szCs w:val="22"/>
        </w:rPr>
        <w:t>)</w:t>
      </w:r>
      <w:r w:rsidR="00DD0C27" w:rsidRPr="006F1D1B">
        <w:rPr>
          <w:rFonts w:ascii="Arial" w:hAnsi="Arial" w:cs="Arial"/>
          <w:sz w:val="22"/>
          <w:szCs w:val="22"/>
        </w:rPr>
        <w:t>.</w:t>
      </w:r>
    </w:p>
    <w:p w14:paraId="617496EE" w14:textId="77777777" w:rsidR="00B85816" w:rsidRDefault="00B85816" w:rsidP="00BE3F24">
      <w:pPr>
        <w:pStyle w:val="ListParagraph"/>
        <w:ind w:left="0"/>
        <w:jc w:val="both"/>
        <w:rPr>
          <w:rFonts w:ascii="Arial" w:hAnsi="Arial" w:cs="Arial"/>
          <w:b/>
          <w:sz w:val="22"/>
          <w:szCs w:val="22"/>
        </w:rPr>
      </w:pPr>
    </w:p>
    <w:bookmarkStart w:id="638" w:name="C4_Sand_Seal"/>
    <w:p w14:paraId="30CE6639" w14:textId="77777777" w:rsidR="005F3716" w:rsidRPr="00CC7F9B" w:rsidRDefault="00476E70" w:rsidP="005F3716">
      <w:pPr>
        <w:pStyle w:val="ListParagraph"/>
        <w:ind w:left="0"/>
        <w:jc w:val="both"/>
        <w:rPr>
          <w:rFonts w:ascii="Arial" w:hAnsi="Arial" w:cs="Arial"/>
          <w:b/>
          <w:sz w:val="22"/>
          <w:szCs w:val="22"/>
        </w:rPr>
      </w:pPr>
      <w:r>
        <w:fldChar w:fldCharType="begin"/>
      </w:r>
      <w:r>
        <w:instrText xml:space="preserve"> HYPERLINK \l "_SUPPLEMENTAL_INFORMATION_FOR_5" </w:instrText>
      </w:r>
      <w:r>
        <w:fldChar w:fldCharType="separate"/>
      </w:r>
      <w:r w:rsidR="005F3716" w:rsidRPr="001845B7">
        <w:rPr>
          <w:rStyle w:val="Hyperlink"/>
          <w:rFonts w:ascii="Arial" w:hAnsi="Arial" w:cs="Arial"/>
          <w:b/>
          <w:sz w:val="22"/>
          <w:szCs w:val="22"/>
        </w:rPr>
        <w:t>C-4: Sand Seal</w:t>
      </w:r>
      <w:r>
        <w:rPr>
          <w:rStyle w:val="Hyperlink"/>
          <w:rFonts w:ascii="Arial" w:hAnsi="Arial" w:cs="Arial"/>
          <w:b/>
          <w:sz w:val="22"/>
          <w:szCs w:val="22"/>
        </w:rPr>
        <w:fldChar w:fldCharType="end"/>
      </w:r>
    </w:p>
    <w:bookmarkEnd w:id="638"/>
    <w:p w14:paraId="79345D30" w14:textId="77777777" w:rsidR="005F3716" w:rsidRPr="00CC7F9B" w:rsidRDefault="005F3716" w:rsidP="005F3716">
      <w:pPr>
        <w:jc w:val="both"/>
        <w:rPr>
          <w:rFonts w:ascii="Arial" w:hAnsi="Arial" w:cs="Arial"/>
          <w:sz w:val="22"/>
          <w:szCs w:val="22"/>
        </w:rPr>
      </w:pPr>
      <w:r w:rsidRPr="00CC7F9B">
        <w:rPr>
          <w:rFonts w:ascii="Arial" w:hAnsi="Arial" w:cs="Arial"/>
          <w:sz w:val="22"/>
          <w:szCs w:val="22"/>
        </w:rPr>
        <w:t>A thin asphalt surface treatment constructed by spraying a non-diluted emulsion, spreading a thin layer of fine aggregate (i.e. sand), and rolling.  Sand seals are typically 0.1</w:t>
      </w:r>
      <w:r>
        <w:rPr>
          <w:rFonts w:ascii="Arial" w:hAnsi="Arial" w:cs="Arial"/>
          <w:sz w:val="22"/>
          <w:szCs w:val="22"/>
        </w:rPr>
        <w:t>”</w:t>
      </w:r>
      <w:r w:rsidRPr="00CC7F9B">
        <w:rPr>
          <w:rFonts w:ascii="Arial" w:hAnsi="Arial" w:cs="Arial"/>
          <w:sz w:val="22"/>
          <w:szCs w:val="22"/>
        </w:rPr>
        <w:t xml:space="preserve"> to 0.2</w:t>
      </w:r>
      <w:r>
        <w:rPr>
          <w:rFonts w:ascii="Arial" w:hAnsi="Arial" w:cs="Arial"/>
          <w:sz w:val="22"/>
          <w:szCs w:val="22"/>
        </w:rPr>
        <w:t>”</w:t>
      </w:r>
      <w:r w:rsidRPr="00CC7F9B">
        <w:rPr>
          <w:rFonts w:ascii="Arial" w:hAnsi="Arial" w:cs="Arial"/>
          <w:sz w:val="22"/>
          <w:szCs w:val="22"/>
        </w:rPr>
        <w:t xml:space="preserve"> thick.  The primary purpose of a sand seal is to increase surface friction; however, in some cases, sand seals are used to "lock" the aggregates in a chip seal. </w:t>
      </w:r>
    </w:p>
    <w:p w14:paraId="728705B7" w14:textId="77777777" w:rsidR="00BF10A0" w:rsidRPr="00CC7F9B" w:rsidRDefault="00BF10A0" w:rsidP="005F3716">
      <w:pPr>
        <w:rPr>
          <w:rFonts w:ascii="Arial" w:hAnsi="Arial" w:cs="Arial"/>
          <w:sz w:val="22"/>
          <w:szCs w:val="22"/>
        </w:rPr>
      </w:pPr>
    </w:p>
    <w:bookmarkStart w:id="639" w:name="C5_Sandwich_Seal"/>
    <w:p w14:paraId="40F327E1" w14:textId="77777777"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"_SUPPLEMENTAL_INFORMATION_FOR_6" </w:instrText>
      </w:r>
      <w:r>
        <w:rPr>
          <w:rFonts w:ascii="Arial" w:hAnsi="Arial" w:cs="Arial"/>
          <w:b/>
          <w:sz w:val="22"/>
          <w:szCs w:val="22"/>
        </w:rPr>
      </w:r>
      <w:r>
        <w:rPr>
          <w:rFonts w:ascii="Arial" w:hAnsi="Arial" w:cs="Arial"/>
          <w:b/>
          <w:sz w:val="22"/>
          <w:szCs w:val="22"/>
        </w:rPr>
        <w:fldChar w:fldCharType="separate"/>
      </w:r>
      <w:r w:rsidR="00BF10A0" w:rsidRPr="001845B7">
        <w:rPr>
          <w:rStyle w:val="Hyperlink"/>
          <w:rFonts w:ascii="Arial" w:hAnsi="Arial" w:cs="Arial"/>
          <w:b/>
          <w:sz w:val="22"/>
          <w:szCs w:val="22"/>
        </w:rPr>
        <w:t>C-5: Sandwich Seal</w:t>
      </w:r>
      <w:r>
        <w:rPr>
          <w:rFonts w:ascii="Arial" w:hAnsi="Arial" w:cs="Arial"/>
          <w:b/>
          <w:sz w:val="22"/>
          <w:szCs w:val="22"/>
        </w:rPr>
        <w:fldChar w:fldCharType="end"/>
      </w:r>
    </w:p>
    <w:bookmarkEnd w:id="639"/>
    <w:p w14:paraId="4B4DB9E1" w14:textId="77777777" w:rsidR="00BF10A0" w:rsidRPr="00CC7F9B" w:rsidRDefault="00BF10A0" w:rsidP="00BE3F24">
      <w:pPr>
        <w:jc w:val="both"/>
        <w:rPr>
          <w:rFonts w:ascii="Arial" w:hAnsi="Arial" w:cs="Arial"/>
          <w:sz w:val="22"/>
          <w:szCs w:val="22"/>
        </w:rPr>
      </w:pPr>
      <w:r>
        <w:rPr>
          <w:rFonts w:ascii="Arial" w:hAnsi="Arial" w:cs="Arial"/>
          <w:sz w:val="22"/>
          <w:szCs w:val="22"/>
        </w:rPr>
        <w:t>A</w:t>
      </w:r>
      <w:r w:rsidRPr="00CC7F9B">
        <w:rPr>
          <w:rFonts w:ascii="Arial" w:hAnsi="Arial" w:cs="Arial"/>
          <w:sz w:val="22"/>
          <w:szCs w:val="22"/>
        </w:rPr>
        <w:t xml:space="preserve">n application of a one-layer course of aggregate particles, followed by an application of an emulsion, followed by a second course of smaller aggregates to fill the voids. The term sandwich is derived from the fact that the asphalt application is placed between the two layers of the aggregate. There is a possible placement of emulsion before the coarse aggregate. </w:t>
      </w:r>
    </w:p>
    <w:p w14:paraId="7FE0D017" w14:textId="77777777" w:rsidR="00BF10A0" w:rsidRPr="00CC7F9B" w:rsidRDefault="00BF10A0" w:rsidP="00BE3F24">
      <w:pPr>
        <w:jc w:val="both"/>
        <w:rPr>
          <w:rFonts w:ascii="Arial" w:hAnsi="Arial" w:cs="Arial"/>
          <w:sz w:val="22"/>
          <w:szCs w:val="22"/>
        </w:rPr>
      </w:pPr>
    </w:p>
    <w:bookmarkStart w:id="640" w:name="C6_Scrub_Seal"/>
    <w:p w14:paraId="6E9BFD03" w14:textId="77777777"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"_SUPPLEMENTAL_INFORMATION_FOR_6" </w:instrText>
      </w:r>
      <w:r>
        <w:rPr>
          <w:rFonts w:ascii="Arial" w:hAnsi="Arial" w:cs="Arial"/>
          <w:b/>
          <w:sz w:val="22"/>
          <w:szCs w:val="22"/>
        </w:rPr>
      </w:r>
      <w:r>
        <w:rPr>
          <w:rFonts w:ascii="Arial" w:hAnsi="Arial" w:cs="Arial"/>
          <w:b/>
          <w:sz w:val="22"/>
          <w:szCs w:val="22"/>
        </w:rPr>
        <w:fldChar w:fldCharType="separate"/>
      </w:r>
      <w:r w:rsidR="00BF10A0" w:rsidRPr="001845B7">
        <w:rPr>
          <w:rStyle w:val="Hyperlink"/>
          <w:rFonts w:ascii="Arial" w:hAnsi="Arial" w:cs="Arial"/>
          <w:b/>
          <w:sz w:val="22"/>
          <w:szCs w:val="22"/>
        </w:rPr>
        <w:t>C-6: Scrub Seal</w:t>
      </w:r>
      <w:r>
        <w:rPr>
          <w:rFonts w:ascii="Arial" w:hAnsi="Arial" w:cs="Arial"/>
          <w:b/>
          <w:sz w:val="22"/>
          <w:szCs w:val="22"/>
        </w:rPr>
        <w:fldChar w:fldCharType="end"/>
      </w:r>
    </w:p>
    <w:bookmarkEnd w:id="640"/>
    <w:p w14:paraId="71464343" w14:textId="091E5A63" w:rsidR="00BF10A0" w:rsidRPr="00CC7F9B" w:rsidRDefault="00BF10A0" w:rsidP="00BE3F24">
      <w:pPr>
        <w:jc w:val="both"/>
        <w:rPr>
          <w:rFonts w:ascii="Arial" w:hAnsi="Arial" w:cs="Arial"/>
          <w:sz w:val="22"/>
          <w:szCs w:val="22"/>
        </w:rPr>
      </w:pPr>
      <w:r w:rsidRPr="00CC7F9B">
        <w:rPr>
          <w:rFonts w:ascii="Arial" w:hAnsi="Arial" w:cs="Arial"/>
          <w:sz w:val="22"/>
          <w:szCs w:val="22"/>
        </w:rPr>
        <w:t>A thin asphalt surface treatment constructed by spraying a polymer-modified emulsion onto an existing pavement, dragging a broom across the surface to scrub the emulsified asphalt into the surface cracks, immediately spreading a thin fine aggregate (i.e.</w:t>
      </w:r>
      <w:r w:rsidR="008561EC">
        <w:rPr>
          <w:rFonts w:ascii="Arial" w:hAnsi="Arial" w:cs="Arial"/>
          <w:sz w:val="22"/>
          <w:szCs w:val="22"/>
        </w:rPr>
        <w:t>,</w:t>
      </w:r>
      <w:r w:rsidRPr="00CC7F9B">
        <w:rPr>
          <w:rFonts w:ascii="Arial" w:hAnsi="Arial" w:cs="Arial"/>
          <w:sz w:val="22"/>
          <w:szCs w:val="22"/>
        </w:rPr>
        <w:t xml:space="preserve"> sand or screenings) over the emulsified asphalt, dragging another broom over the surface to scrub the fine aggr</w:t>
      </w:r>
      <w:r>
        <w:rPr>
          <w:rFonts w:ascii="Arial" w:hAnsi="Arial" w:cs="Arial"/>
          <w:sz w:val="22"/>
          <w:szCs w:val="22"/>
        </w:rPr>
        <w:t>e</w:t>
      </w:r>
      <w:r w:rsidRPr="00CC7F9B">
        <w:rPr>
          <w:rFonts w:ascii="Arial" w:hAnsi="Arial" w:cs="Arial"/>
          <w:sz w:val="22"/>
          <w:szCs w:val="22"/>
        </w:rPr>
        <w:t>gate into the emulsion and the surface cracks, and rolling the surface with a pneumatic tire roller.  Thicknesses generally range from 0</w:t>
      </w:r>
      <w:r>
        <w:rPr>
          <w:rFonts w:ascii="Arial" w:hAnsi="Arial" w:cs="Arial"/>
          <w:sz w:val="22"/>
          <w:szCs w:val="22"/>
        </w:rPr>
        <w:t>.4</w:t>
      </w:r>
      <w:r w:rsidR="008561EC">
        <w:rPr>
          <w:rFonts w:ascii="Arial" w:hAnsi="Arial" w:cs="Arial"/>
          <w:sz w:val="22"/>
          <w:szCs w:val="22"/>
        </w:rPr>
        <w:t>"</w:t>
      </w:r>
      <w:r>
        <w:rPr>
          <w:rFonts w:ascii="Arial" w:hAnsi="Arial" w:cs="Arial"/>
          <w:sz w:val="22"/>
          <w:szCs w:val="22"/>
        </w:rPr>
        <w:t xml:space="preserve"> to 0.75</w:t>
      </w:r>
      <w:r w:rsidR="008561EC">
        <w:rPr>
          <w:rFonts w:ascii="Arial" w:hAnsi="Arial" w:cs="Arial"/>
          <w:sz w:val="22"/>
          <w:szCs w:val="22"/>
        </w:rPr>
        <w:t>"</w:t>
      </w:r>
      <w:r w:rsidRPr="00CC7F9B">
        <w:rPr>
          <w:rFonts w:ascii="Arial" w:hAnsi="Arial" w:cs="Arial"/>
          <w:sz w:val="22"/>
          <w:szCs w:val="22"/>
        </w:rPr>
        <w:t>.</w:t>
      </w:r>
    </w:p>
    <w:p w14:paraId="2F8F6630" w14:textId="77777777" w:rsidR="00BF10A0" w:rsidRPr="00CC7F9B" w:rsidRDefault="00BF10A0" w:rsidP="00BE3F24">
      <w:pPr>
        <w:jc w:val="both"/>
        <w:rPr>
          <w:rFonts w:ascii="Arial" w:hAnsi="Arial" w:cs="Arial"/>
          <w:sz w:val="22"/>
          <w:szCs w:val="22"/>
        </w:rPr>
      </w:pPr>
    </w:p>
    <w:bookmarkStart w:id="641" w:name="C7_Slurry_Seal"/>
    <w:p w14:paraId="2B501B3A" w14:textId="77777777"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1845B7">
        <w:rPr>
          <w:rFonts w:ascii="Arial" w:hAnsi="Arial" w:cs="Arial"/>
          <w:b/>
          <w:sz w:val="22"/>
          <w:szCs w:val="22"/>
        </w:rPr>
        <w:instrText xml:space="preserve"> HYPERLINK  \l "_SUPPLEMENTAL_INFORMATION_FOR_7" </w:instrText>
      </w:r>
      <w:r>
        <w:rPr>
          <w:rFonts w:ascii="Arial" w:hAnsi="Arial" w:cs="Arial"/>
          <w:b/>
          <w:sz w:val="22"/>
          <w:szCs w:val="22"/>
        </w:rPr>
      </w:r>
      <w:r>
        <w:rPr>
          <w:rFonts w:ascii="Arial" w:hAnsi="Arial" w:cs="Arial"/>
          <w:b/>
          <w:sz w:val="22"/>
          <w:szCs w:val="22"/>
        </w:rPr>
        <w:fldChar w:fldCharType="separate"/>
      </w:r>
      <w:r w:rsidR="00BF10A0" w:rsidRPr="001845B7">
        <w:rPr>
          <w:rStyle w:val="Hyperlink"/>
          <w:rFonts w:ascii="Arial" w:hAnsi="Arial" w:cs="Arial"/>
          <w:b/>
          <w:sz w:val="22"/>
          <w:szCs w:val="22"/>
        </w:rPr>
        <w:t>C-7: Slurry Seal</w:t>
      </w:r>
      <w:r>
        <w:rPr>
          <w:rFonts w:ascii="Arial" w:hAnsi="Arial" w:cs="Arial"/>
          <w:b/>
          <w:sz w:val="22"/>
          <w:szCs w:val="22"/>
        </w:rPr>
        <w:fldChar w:fldCharType="end"/>
      </w:r>
    </w:p>
    <w:bookmarkEnd w:id="641"/>
    <w:p w14:paraId="3B31471A" w14:textId="6C7E46C1" w:rsidR="00BF10A0" w:rsidRPr="00CC7F9B" w:rsidRDefault="00BF10A0" w:rsidP="00BE3F24">
      <w:pPr>
        <w:jc w:val="both"/>
        <w:rPr>
          <w:rFonts w:ascii="Arial" w:hAnsi="Arial" w:cs="Arial"/>
          <w:sz w:val="22"/>
          <w:szCs w:val="22"/>
        </w:rPr>
      </w:pPr>
      <w:r>
        <w:rPr>
          <w:rFonts w:ascii="Arial" w:hAnsi="Arial" w:cs="Arial"/>
          <w:sz w:val="22"/>
          <w:szCs w:val="22"/>
        </w:rPr>
        <w:t>Similar to</w:t>
      </w:r>
      <w:r w:rsidRPr="00CC7F9B">
        <w:rPr>
          <w:rFonts w:ascii="Arial" w:hAnsi="Arial" w:cs="Arial"/>
          <w:sz w:val="22"/>
          <w:szCs w:val="22"/>
        </w:rPr>
        <w:t xml:space="preserve"> </w:t>
      </w:r>
      <w:r>
        <w:rPr>
          <w:rFonts w:ascii="Arial" w:hAnsi="Arial" w:cs="Arial"/>
          <w:sz w:val="22"/>
          <w:szCs w:val="22"/>
        </w:rPr>
        <w:t>micro-surfacing</w:t>
      </w:r>
      <w:r w:rsidRPr="00CC7F9B">
        <w:rPr>
          <w:rFonts w:ascii="Arial" w:hAnsi="Arial" w:cs="Arial"/>
          <w:sz w:val="22"/>
          <w:szCs w:val="22"/>
        </w:rPr>
        <w:t xml:space="preserve">, </w:t>
      </w:r>
      <w:r>
        <w:rPr>
          <w:rFonts w:ascii="Arial" w:hAnsi="Arial" w:cs="Arial"/>
          <w:sz w:val="22"/>
          <w:szCs w:val="22"/>
        </w:rPr>
        <w:t>s</w:t>
      </w:r>
      <w:r w:rsidRPr="00CC7F9B">
        <w:rPr>
          <w:rFonts w:ascii="Arial" w:hAnsi="Arial" w:cs="Arial"/>
          <w:sz w:val="22"/>
          <w:szCs w:val="22"/>
        </w:rPr>
        <w:t xml:space="preserve">lurry </w:t>
      </w:r>
      <w:r>
        <w:rPr>
          <w:rFonts w:ascii="Arial" w:hAnsi="Arial" w:cs="Arial"/>
          <w:sz w:val="22"/>
          <w:szCs w:val="22"/>
        </w:rPr>
        <w:t>s</w:t>
      </w:r>
      <w:r w:rsidRPr="00CC7F9B">
        <w:rPr>
          <w:rFonts w:ascii="Arial" w:hAnsi="Arial" w:cs="Arial"/>
          <w:sz w:val="22"/>
          <w:szCs w:val="22"/>
        </w:rPr>
        <w:t>eal</w:t>
      </w:r>
      <w:r>
        <w:rPr>
          <w:rFonts w:ascii="Arial" w:hAnsi="Arial" w:cs="Arial"/>
          <w:sz w:val="22"/>
          <w:szCs w:val="22"/>
        </w:rPr>
        <w:t>s are</w:t>
      </w:r>
      <w:r w:rsidRPr="00CC7F9B">
        <w:rPr>
          <w:rFonts w:ascii="Arial" w:hAnsi="Arial" w:cs="Arial"/>
          <w:sz w:val="22"/>
          <w:szCs w:val="22"/>
        </w:rPr>
        <w:t xml:space="preserve"> mixtures of well-graded aggregate (fine sand and mineral filler) and asphalt emulsion spread over the entire pavement surface with either a squeegee or spreader box attached to the back of a truck.  </w:t>
      </w:r>
      <w:r>
        <w:rPr>
          <w:rFonts w:ascii="Arial" w:hAnsi="Arial" w:cs="Arial"/>
          <w:sz w:val="22"/>
          <w:szCs w:val="22"/>
        </w:rPr>
        <w:t>Slurry seals</w:t>
      </w:r>
      <w:r w:rsidRPr="00CC7F9B">
        <w:rPr>
          <w:rFonts w:ascii="Arial" w:hAnsi="Arial" w:cs="Arial"/>
          <w:sz w:val="22"/>
          <w:szCs w:val="22"/>
        </w:rPr>
        <w:t xml:space="preserve"> are effective in sealing low-severity surface cracks, waterproofing the pavement surface, and improving skid resistance at speeds below 30 mph.  Thickness is generally &lt; 0.4</w:t>
      </w:r>
      <w:r w:rsidR="008561EC">
        <w:rPr>
          <w:rFonts w:ascii="Arial" w:hAnsi="Arial" w:cs="Arial"/>
          <w:sz w:val="22"/>
          <w:szCs w:val="22"/>
        </w:rPr>
        <w:t>"</w:t>
      </w:r>
      <w:r w:rsidRPr="00CC7F9B">
        <w:rPr>
          <w:rFonts w:ascii="Arial" w:hAnsi="Arial" w:cs="Arial"/>
          <w:sz w:val="22"/>
          <w:szCs w:val="22"/>
        </w:rPr>
        <w:t xml:space="preserve">. </w:t>
      </w:r>
      <w:r>
        <w:rPr>
          <w:rFonts w:ascii="Arial" w:hAnsi="Arial" w:cs="Arial"/>
          <w:sz w:val="22"/>
          <w:szCs w:val="22"/>
        </w:rPr>
        <w:t xml:space="preserve"> They are not effective where the underlying pavement experiences vertical movement due to </w:t>
      </w:r>
      <w:r>
        <w:rPr>
          <w:rFonts w:ascii="Arial" w:hAnsi="Arial" w:cs="Arial"/>
          <w:sz w:val="22"/>
          <w:szCs w:val="22"/>
        </w:rPr>
        <w:lastRenderedPageBreak/>
        <w:t>load.  Placement requirements are fairly stringent and include limitations on temperature, traffic, and moisture.</w:t>
      </w:r>
    </w:p>
    <w:p w14:paraId="72A91E84" w14:textId="302D11A9" w:rsidR="00B85816" w:rsidRDefault="00B85816" w:rsidP="00DD0C27">
      <w:pPr>
        <w:jc w:val="both"/>
        <w:rPr>
          <w:rFonts w:ascii="Arial" w:hAnsi="Arial"/>
          <w:sz w:val="22"/>
        </w:rPr>
      </w:pPr>
    </w:p>
    <w:p w14:paraId="4C0B597C" w14:textId="77777777" w:rsidR="000F6D57" w:rsidRPr="00DD0C27" w:rsidRDefault="000F6D57" w:rsidP="00DD0C27">
      <w:pPr>
        <w:jc w:val="both"/>
        <w:rPr>
          <w:rFonts w:ascii="Arial" w:hAnsi="Arial"/>
          <w:sz w:val="22"/>
        </w:rPr>
      </w:pPr>
    </w:p>
    <w:bookmarkStart w:id="642" w:name="C8_HFST"/>
    <w:p w14:paraId="6260E56A" w14:textId="7F293C0B" w:rsidR="00BA403F" w:rsidRPr="00CC7F9B" w:rsidRDefault="00476E70" w:rsidP="00BA403F">
      <w:pPr>
        <w:pStyle w:val="ListParagraph"/>
        <w:ind w:left="0"/>
        <w:jc w:val="both"/>
        <w:rPr>
          <w:rFonts w:ascii="Arial" w:hAnsi="Arial" w:cs="Arial"/>
          <w:b/>
          <w:sz w:val="22"/>
          <w:szCs w:val="22"/>
        </w:rPr>
      </w:pPr>
      <w:r>
        <w:fldChar w:fldCharType="begin"/>
      </w:r>
      <w:r>
        <w:instrText xml:space="preserve"> HYPERLINK \l "_SUPPLEMENTAL_INFORMATION_FOR_7" </w:instrText>
      </w:r>
      <w:r>
        <w:fldChar w:fldCharType="separate"/>
      </w:r>
      <w:r w:rsidR="00BA403F" w:rsidRPr="001845B7">
        <w:rPr>
          <w:rStyle w:val="Hyperlink"/>
          <w:rFonts w:ascii="Arial" w:hAnsi="Arial" w:cs="Arial"/>
          <w:b/>
          <w:sz w:val="22"/>
          <w:szCs w:val="22"/>
        </w:rPr>
        <w:t>C-</w:t>
      </w:r>
      <w:r w:rsidR="00BA403F">
        <w:rPr>
          <w:rStyle w:val="Hyperlink"/>
          <w:rFonts w:ascii="Arial" w:hAnsi="Arial" w:cs="Arial"/>
          <w:b/>
          <w:sz w:val="22"/>
          <w:szCs w:val="22"/>
        </w:rPr>
        <w:t>8</w:t>
      </w:r>
      <w:r w:rsidR="00BA403F" w:rsidRPr="001845B7">
        <w:rPr>
          <w:rStyle w:val="Hyperlink"/>
          <w:rFonts w:ascii="Arial" w:hAnsi="Arial" w:cs="Arial"/>
          <w:b/>
          <w:sz w:val="22"/>
          <w:szCs w:val="22"/>
        </w:rPr>
        <w:t>: High Friction Surface</w:t>
      </w:r>
      <w:r>
        <w:rPr>
          <w:rStyle w:val="Hyperlink"/>
          <w:rFonts w:ascii="Arial" w:hAnsi="Arial" w:cs="Arial"/>
          <w:b/>
          <w:sz w:val="22"/>
          <w:szCs w:val="22"/>
        </w:rPr>
        <w:fldChar w:fldCharType="end"/>
      </w:r>
    </w:p>
    <w:bookmarkEnd w:id="642"/>
    <w:p w14:paraId="46E0B241" w14:textId="77777777" w:rsidR="00DD0C27" w:rsidRPr="00DD0C27" w:rsidRDefault="00DD0C27" w:rsidP="00DD0C27">
      <w:pPr>
        <w:autoSpaceDE w:val="0"/>
        <w:autoSpaceDN w:val="0"/>
        <w:adjustRightInd w:val="0"/>
        <w:rPr>
          <w:rFonts w:ascii="Arial" w:hAnsi="Arial" w:cs="Arial"/>
          <w:sz w:val="22"/>
          <w:szCs w:val="22"/>
        </w:rPr>
      </w:pPr>
      <w:r w:rsidRPr="00DD0C27">
        <w:rPr>
          <w:rFonts w:ascii="Arial" w:hAnsi="Arial" w:cs="Arial"/>
          <w:sz w:val="22"/>
          <w:szCs w:val="22"/>
        </w:rPr>
        <w:t>An ultrathin, uniformly graded friction improvement course bonded to existing pavement</w:t>
      </w:r>
    </w:p>
    <w:p w14:paraId="35234E6A" w14:textId="77777777" w:rsidR="00DD0C27" w:rsidRPr="00DD0C27" w:rsidRDefault="00DD0C27" w:rsidP="00DD0C27">
      <w:pPr>
        <w:autoSpaceDE w:val="0"/>
        <w:autoSpaceDN w:val="0"/>
        <w:adjustRightInd w:val="0"/>
        <w:rPr>
          <w:rFonts w:ascii="Arial" w:hAnsi="Arial" w:cs="Arial"/>
          <w:sz w:val="22"/>
          <w:szCs w:val="22"/>
        </w:rPr>
      </w:pPr>
      <w:r w:rsidRPr="00DD0C27">
        <w:rPr>
          <w:rFonts w:ascii="Arial" w:hAnsi="Arial" w:cs="Arial"/>
          <w:sz w:val="22"/>
          <w:szCs w:val="22"/>
        </w:rPr>
        <w:t>with epoxy. The aggregate material is typically calcined bauxite. The epoxy bonds well</w:t>
      </w:r>
    </w:p>
    <w:p w14:paraId="26841A71" w14:textId="77777777" w:rsidR="00DD0C27" w:rsidRPr="00DD0C27" w:rsidRDefault="00DD0C27" w:rsidP="00DD0C27">
      <w:pPr>
        <w:autoSpaceDE w:val="0"/>
        <w:autoSpaceDN w:val="0"/>
        <w:adjustRightInd w:val="0"/>
        <w:rPr>
          <w:rFonts w:ascii="Arial" w:hAnsi="Arial" w:cs="Arial"/>
          <w:sz w:val="22"/>
          <w:szCs w:val="22"/>
        </w:rPr>
      </w:pPr>
      <w:r w:rsidRPr="00DD0C27">
        <w:rPr>
          <w:rFonts w:ascii="Arial" w:hAnsi="Arial" w:cs="Arial"/>
          <w:sz w:val="22"/>
          <w:szCs w:val="22"/>
        </w:rPr>
        <w:t>to both HMA and PCC surfaces. A variety of colors are available for traffic calming</w:t>
      </w:r>
    </w:p>
    <w:p w14:paraId="34F7240A" w14:textId="77777777" w:rsidR="00DD0C27" w:rsidRPr="00DD0C27" w:rsidRDefault="00DD0C27" w:rsidP="00DD0C27">
      <w:pPr>
        <w:autoSpaceDE w:val="0"/>
        <w:autoSpaceDN w:val="0"/>
        <w:adjustRightInd w:val="0"/>
        <w:rPr>
          <w:rFonts w:ascii="Arial" w:hAnsi="Arial" w:cs="Arial"/>
          <w:sz w:val="22"/>
          <w:szCs w:val="22"/>
        </w:rPr>
      </w:pPr>
      <w:r w:rsidRPr="00DD0C27">
        <w:rPr>
          <w:rFonts w:ascii="Arial" w:hAnsi="Arial" w:cs="Arial"/>
          <w:sz w:val="22"/>
          <w:szCs w:val="22"/>
        </w:rPr>
        <w:t>purposes. Significantly improves skid resistance. Typically used for spot treatments to</w:t>
      </w:r>
    </w:p>
    <w:p w14:paraId="2D253A34" w14:textId="7E8A4D33" w:rsidR="001C6B2C" w:rsidRDefault="00DD0C27" w:rsidP="00BE3F24">
      <w:pPr>
        <w:jc w:val="both"/>
        <w:rPr>
          <w:rFonts w:ascii="Arial" w:hAnsi="Arial" w:cs="Arial"/>
          <w:sz w:val="22"/>
          <w:szCs w:val="22"/>
        </w:rPr>
      </w:pPr>
      <w:r w:rsidRPr="00DD0C27">
        <w:rPr>
          <w:rFonts w:ascii="Arial" w:hAnsi="Arial" w:cs="Arial"/>
          <w:sz w:val="22"/>
          <w:szCs w:val="22"/>
        </w:rPr>
        <w:t>address wet accident locations, tight curves, or heavy braking locations.</w:t>
      </w:r>
    </w:p>
    <w:p w14:paraId="0836B130" w14:textId="77777777" w:rsidR="001C6B2C" w:rsidRDefault="001C6B2C" w:rsidP="00BE3F24">
      <w:pPr>
        <w:jc w:val="both"/>
        <w:rPr>
          <w:rFonts w:ascii="Arial" w:hAnsi="Arial" w:cs="Arial"/>
          <w:sz w:val="22"/>
          <w:szCs w:val="22"/>
        </w:rPr>
      </w:pPr>
    </w:p>
    <w:p w14:paraId="35383F2D" w14:textId="77777777" w:rsidR="001C6B2C" w:rsidRDefault="001C6B2C" w:rsidP="00BE3F24">
      <w:pPr>
        <w:jc w:val="both"/>
        <w:rPr>
          <w:rFonts w:ascii="Arial" w:hAnsi="Arial" w:cs="Arial"/>
          <w:sz w:val="22"/>
          <w:szCs w:val="22"/>
        </w:rPr>
      </w:pPr>
    </w:p>
    <w:p w14:paraId="6C1F7178" w14:textId="27CBA4BA" w:rsidR="00BF10A0" w:rsidRPr="00516727" w:rsidRDefault="00171EC1" w:rsidP="00172E64">
      <w:pPr>
        <w:pStyle w:val="Heading4"/>
        <w:numPr>
          <w:ilvl w:val="3"/>
          <w:numId w:val="185"/>
        </w:numPr>
        <w:ind w:left="0" w:firstLine="0"/>
      </w:pPr>
      <w:r>
        <w:t>Asphalt</w:t>
      </w:r>
      <w:r w:rsidR="00BF10A0" w:rsidRPr="00516727">
        <w:t xml:space="preserve"> Overlay</w:t>
      </w:r>
    </w:p>
    <w:p w14:paraId="0D50EC8D" w14:textId="77777777" w:rsidR="00BF10A0" w:rsidRDefault="00BF10A0" w:rsidP="00BE3F24">
      <w:pPr>
        <w:pStyle w:val="ListParagraph"/>
        <w:ind w:left="0"/>
        <w:jc w:val="both"/>
        <w:rPr>
          <w:rFonts w:ascii="Arial" w:hAnsi="Arial" w:cs="Arial"/>
          <w:b/>
          <w:sz w:val="22"/>
          <w:szCs w:val="22"/>
        </w:rPr>
      </w:pPr>
    </w:p>
    <w:p w14:paraId="4CF9D90F" w14:textId="77777777" w:rsidR="001207A8" w:rsidRPr="00CC7F9B" w:rsidRDefault="001207A8" w:rsidP="001207A8">
      <w:pPr>
        <w:jc w:val="both"/>
        <w:rPr>
          <w:rFonts w:ascii="Arial" w:hAnsi="Arial" w:cs="Arial"/>
          <w:sz w:val="22"/>
          <w:szCs w:val="22"/>
        </w:rPr>
      </w:pPr>
      <w:r>
        <w:rPr>
          <w:rFonts w:ascii="Arial" w:hAnsi="Arial" w:cs="Arial"/>
          <w:sz w:val="22"/>
          <w:szCs w:val="22"/>
        </w:rPr>
        <w:t>Generally, tonnage equals the square yards times inches divided by 17.</w:t>
      </w:r>
    </w:p>
    <w:p w14:paraId="2808EDFE" w14:textId="77777777" w:rsidR="001207A8" w:rsidRDefault="001207A8" w:rsidP="001207A8">
      <w:pPr>
        <w:jc w:val="both"/>
        <w:rPr>
          <w:rFonts w:ascii="Arial" w:hAnsi="Arial" w:cs="Arial"/>
          <w:sz w:val="22"/>
          <w:szCs w:val="22"/>
        </w:rPr>
      </w:pPr>
    </w:p>
    <w:p w14:paraId="748F9CAF" w14:textId="77777777" w:rsidR="00BF10A0" w:rsidRDefault="00BF10A0" w:rsidP="00BE3F24">
      <w:pPr>
        <w:pStyle w:val="ListParagraph"/>
        <w:ind w:left="0"/>
        <w:jc w:val="both"/>
        <w:rPr>
          <w:rFonts w:ascii="Arial" w:hAnsi="Arial" w:cs="Arial"/>
          <w:b/>
          <w:sz w:val="22"/>
          <w:szCs w:val="22"/>
        </w:rPr>
      </w:pPr>
      <w:r>
        <w:rPr>
          <w:rFonts w:ascii="Arial" w:hAnsi="Arial" w:cs="Arial"/>
          <w:b/>
          <w:sz w:val="22"/>
          <w:szCs w:val="22"/>
        </w:rPr>
        <w:t>D-1: Thin Overlay</w:t>
      </w:r>
    </w:p>
    <w:p w14:paraId="447AE002" w14:textId="77777777" w:rsidR="00BF10A0" w:rsidRDefault="00BF10A0" w:rsidP="00BE3F24">
      <w:pPr>
        <w:pStyle w:val="ListParagraph"/>
        <w:ind w:left="0"/>
        <w:jc w:val="both"/>
        <w:rPr>
          <w:rFonts w:ascii="Arial" w:hAnsi="Arial" w:cs="Arial"/>
          <w:b/>
          <w:sz w:val="22"/>
          <w:szCs w:val="22"/>
        </w:rPr>
      </w:pPr>
    </w:p>
    <w:bookmarkStart w:id="643" w:name="D1_and_D2_UTBWC"/>
    <w:p w14:paraId="38F07F13" w14:textId="66B23012"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C61B7D">
        <w:rPr>
          <w:rFonts w:ascii="Arial" w:hAnsi="Arial" w:cs="Arial"/>
          <w:b/>
          <w:sz w:val="22"/>
          <w:szCs w:val="22"/>
        </w:rPr>
        <w:instrText xml:space="preserve"> HYPERLINK  \l "_SUPPLEMENTAL_INFORMATION_FOR_8" </w:instrText>
      </w:r>
      <w:r>
        <w:rPr>
          <w:rFonts w:ascii="Arial" w:hAnsi="Arial" w:cs="Arial"/>
          <w:b/>
          <w:sz w:val="22"/>
          <w:szCs w:val="22"/>
        </w:rPr>
      </w:r>
      <w:r>
        <w:rPr>
          <w:rFonts w:ascii="Arial" w:hAnsi="Arial" w:cs="Arial"/>
          <w:b/>
          <w:sz w:val="22"/>
          <w:szCs w:val="22"/>
        </w:rPr>
        <w:fldChar w:fldCharType="separate"/>
      </w:r>
      <w:r w:rsidR="00BF10A0" w:rsidRPr="00C61B7D">
        <w:rPr>
          <w:rStyle w:val="Hyperlink"/>
          <w:rFonts w:ascii="Arial" w:hAnsi="Arial" w:cs="Arial"/>
          <w:b/>
          <w:sz w:val="22"/>
          <w:szCs w:val="22"/>
        </w:rPr>
        <w:t>D-1</w:t>
      </w:r>
      <w:r w:rsidR="006A17CA">
        <w:rPr>
          <w:rStyle w:val="Hyperlink"/>
          <w:rFonts w:ascii="Arial" w:hAnsi="Arial" w:cs="Arial"/>
          <w:b/>
          <w:sz w:val="22"/>
          <w:szCs w:val="22"/>
        </w:rPr>
        <w:t xml:space="preserve"> and D-2</w:t>
      </w:r>
      <w:r w:rsidR="00BF10A0" w:rsidRPr="00C61B7D">
        <w:rPr>
          <w:rStyle w:val="Hyperlink"/>
          <w:rFonts w:ascii="Arial" w:hAnsi="Arial" w:cs="Arial"/>
          <w:b/>
          <w:sz w:val="22"/>
          <w:szCs w:val="22"/>
        </w:rPr>
        <w:t>: Ultrathin Bonded Wearing Course (Asphalt)</w:t>
      </w:r>
      <w:r>
        <w:rPr>
          <w:rFonts w:ascii="Arial" w:hAnsi="Arial" w:cs="Arial"/>
          <w:b/>
          <w:sz w:val="22"/>
          <w:szCs w:val="22"/>
        </w:rPr>
        <w:fldChar w:fldCharType="end"/>
      </w:r>
    </w:p>
    <w:bookmarkEnd w:id="643"/>
    <w:p w14:paraId="7D47C747" w14:textId="5EE09F69" w:rsidR="00BF10A0" w:rsidRDefault="00AE0BB0" w:rsidP="00BE3F24">
      <w:pPr>
        <w:jc w:val="both"/>
        <w:rPr>
          <w:rFonts w:ascii="Arial" w:hAnsi="Arial" w:cs="Arial"/>
          <w:sz w:val="22"/>
          <w:szCs w:val="22"/>
        </w:rPr>
      </w:pPr>
      <w:r w:rsidRPr="00CC7F9B">
        <w:rPr>
          <w:rFonts w:ascii="Arial" w:hAnsi="Arial" w:cs="Arial"/>
          <w:sz w:val="22"/>
          <w:szCs w:val="22"/>
        </w:rPr>
        <w:t xml:space="preserve">A gap-graded </w:t>
      </w:r>
      <w:r>
        <w:rPr>
          <w:rFonts w:ascii="Arial" w:hAnsi="Arial" w:cs="Arial"/>
          <w:sz w:val="22"/>
          <w:szCs w:val="22"/>
        </w:rPr>
        <w:t xml:space="preserve">asphalt mix </w:t>
      </w:r>
      <w:r w:rsidRPr="00CC7F9B">
        <w:rPr>
          <w:rFonts w:ascii="Arial" w:hAnsi="Arial" w:cs="Arial"/>
          <w:sz w:val="22"/>
          <w:szCs w:val="22"/>
        </w:rPr>
        <w:t xml:space="preserve">using </w:t>
      </w:r>
      <w:r>
        <w:rPr>
          <w:rFonts w:ascii="Arial" w:hAnsi="Arial" w:cs="Arial"/>
          <w:sz w:val="22"/>
          <w:szCs w:val="22"/>
        </w:rPr>
        <w:t>spray-paver</w:t>
      </w:r>
      <w:r w:rsidRPr="00CC7F9B">
        <w:rPr>
          <w:rFonts w:ascii="Arial" w:hAnsi="Arial" w:cs="Arial"/>
          <w:sz w:val="22"/>
          <w:szCs w:val="22"/>
        </w:rPr>
        <w:t xml:space="preserve"> equipment, over a thick polymer modified asphalt emulsion membrane. Lift thickness ranges from 5/8</w:t>
      </w:r>
      <w:r w:rsidR="008561EC">
        <w:rPr>
          <w:rFonts w:ascii="Arial" w:hAnsi="Arial" w:cs="Arial"/>
          <w:sz w:val="22"/>
          <w:szCs w:val="22"/>
        </w:rPr>
        <w:t>"</w:t>
      </w:r>
      <w:r w:rsidRPr="00CC7F9B">
        <w:rPr>
          <w:rFonts w:ascii="Arial" w:hAnsi="Arial" w:cs="Arial"/>
          <w:sz w:val="22"/>
          <w:szCs w:val="22"/>
        </w:rPr>
        <w:t xml:space="preserve"> to </w:t>
      </w:r>
      <w:r>
        <w:rPr>
          <w:rFonts w:ascii="Arial" w:hAnsi="Arial" w:cs="Arial"/>
          <w:sz w:val="22"/>
          <w:szCs w:val="22"/>
        </w:rPr>
        <w:t>3/4</w:t>
      </w:r>
      <w:r w:rsidR="00BF10A0">
        <w:rPr>
          <w:rFonts w:ascii="Arial" w:hAnsi="Arial" w:cs="Arial"/>
          <w:sz w:val="22"/>
          <w:szCs w:val="22"/>
        </w:rPr>
        <w:t>”</w:t>
      </w:r>
      <w:r w:rsidR="00BF10A0" w:rsidRPr="00CC7F9B">
        <w:rPr>
          <w:rFonts w:ascii="Arial" w:hAnsi="Arial" w:cs="Arial"/>
          <w:sz w:val="22"/>
          <w:szCs w:val="22"/>
        </w:rPr>
        <w:t>. Can be applied on asphalt surfaces.</w:t>
      </w:r>
      <w:r w:rsidR="00894571">
        <w:rPr>
          <w:rFonts w:ascii="Arial" w:hAnsi="Arial" w:cs="Arial"/>
          <w:sz w:val="22"/>
          <w:szCs w:val="22"/>
        </w:rPr>
        <w:t xml:space="preserve"> (Return to </w:t>
      </w:r>
      <w:hyperlink w:anchor="_Ultrathin_Bonded_Wearing" w:history="1">
        <w:r w:rsidR="00894571" w:rsidRPr="00894571">
          <w:rPr>
            <w:rStyle w:val="Hyperlink"/>
            <w:rFonts w:ascii="Arial" w:hAnsi="Arial" w:cs="Arial"/>
            <w:sz w:val="22"/>
            <w:szCs w:val="22"/>
          </w:rPr>
          <w:t>Ultrathin Bonded Wearing Course</w:t>
        </w:r>
      </w:hyperlink>
      <w:r w:rsidR="003210FB">
        <w:rPr>
          <w:rFonts w:ascii="Arial" w:hAnsi="Arial" w:cs="Arial"/>
          <w:sz w:val="22"/>
          <w:szCs w:val="22"/>
        </w:rPr>
        <w:t xml:space="preserve"> for Joint-Reflection Mitigation discussion</w:t>
      </w:r>
      <w:r w:rsidR="008561EC">
        <w:rPr>
          <w:rFonts w:ascii="Arial" w:hAnsi="Arial" w:cs="Arial"/>
          <w:sz w:val="22"/>
          <w:szCs w:val="22"/>
        </w:rPr>
        <w:t>.</w:t>
      </w:r>
      <w:r w:rsidR="00894571">
        <w:rPr>
          <w:rFonts w:ascii="Arial" w:hAnsi="Arial" w:cs="Arial"/>
          <w:sz w:val="22"/>
          <w:szCs w:val="22"/>
        </w:rPr>
        <w:t>)</w:t>
      </w:r>
      <w:r w:rsidR="001207A8">
        <w:rPr>
          <w:rFonts w:ascii="Arial" w:hAnsi="Arial" w:cs="Arial"/>
          <w:sz w:val="22"/>
          <w:szCs w:val="22"/>
        </w:rPr>
        <w:t xml:space="preserve">  </w:t>
      </w:r>
    </w:p>
    <w:p w14:paraId="45B4E4A8" w14:textId="77777777" w:rsidR="00BF10A0" w:rsidRDefault="00BF10A0" w:rsidP="00BE3F24">
      <w:pPr>
        <w:jc w:val="both"/>
        <w:rPr>
          <w:rFonts w:ascii="Arial" w:hAnsi="Arial" w:cs="Arial"/>
          <w:sz w:val="22"/>
          <w:szCs w:val="22"/>
        </w:rPr>
      </w:pPr>
    </w:p>
    <w:bookmarkStart w:id="644" w:name="D2A_OGFC"/>
    <w:p w14:paraId="63CA0AFD" w14:textId="77777777"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6A17CA">
        <w:rPr>
          <w:rFonts w:ascii="Arial" w:hAnsi="Arial" w:cs="Arial"/>
          <w:b/>
          <w:sz w:val="22"/>
          <w:szCs w:val="22"/>
        </w:rPr>
        <w:instrText>HYPERLINK  \l "_SUPPLEMENTAL_INFORMATION_FOR_24"</w:instrText>
      </w:r>
      <w:r>
        <w:rPr>
          <w:rFonts w:ascii="Arial" w:hAnsi="Arial" w:cs="Arial"/>
          <w:b/>
          <w:sz w:val="22"/>
          <w:szCs w:val="22"/>
        </w:rPr>
      </w:r>
      <w:r>
        <w:rPr>
          <w:rFonts w:ascii="Arial" w:hAnsi="Arial" w:cs="Arial"/>
          <w:b/>
          <w:sz w:val="22"/>
          <w:szCs w:val="22"/>
        </w:rPr>
        <w:fldChar w:fldCharType="separate"/>
      </w:r>
      <w:r w:rsidR="00BF10A0" w:rsidRPr="00C61B7D">
        <w:rPr>
          <w:rStyle w:val="Hyperlink"/>
          <w:rFonts w:ascii="Arial" w:hAnsi="Arial" w:cs="Arial"/>
          <w:b/>
          <w:sz w:val="22"/>
          <w:szCs w:val="22"/>
        </w:rPr>
        <w:t>D-</w:t>
      </w:r>
      <w:proofErr w:type="spellStart"/>
      <w:r w:rsidR="006A17CA">
        <w:rPr>
          <w:rStyle w:val="Hyperlink"/>
          <w:rFonts w:ascii="Arial" w:hAnsi="Arial" w:cs="Arial"/>
          <w:b/>
          <w:sz w:val="22"/>
          <w:szCs w:val="22"/>
        </w:rPr>
        <w:t>2a</w:t>
      </w:r>
      <w:proofErr w:type="spellEnd"/>
      <w:r w:rsidR="00BF10A0" w:rsidRPr="00C61B7D">
        <w:rPr>
          <w:rStyle w:val="Hyperlink"/>
          <w:rFonts w:ascii="Arial" w:hAnsi="Arial" w:cs="Arial"/>
          <w:b/>
          <w:sz w:val="22"/>
          <w:szCs w:val="22"/>
        </w:rPr>
        <w:t>: HMA Overlay – Open Graded Friction Course</w:t>
      </w:r>
      <w:r>
        <w:rPr>
          <w:rFonts w:ascii="Arial" w:hAnsi="Arial" w:cs="Arial"/>
          <w:b/>
          <w:sz w:val="22"/>
          <w:szCs w:val="22"/>
        </w:rPr>
        <w:fldChar w:fldCharType="end"/>
      </w:r>
    </w:p>
    <w:bookmarkEnd w:id="644"/>
    <w:p w14:paraId="7EA5410B" w14:textId="77777777" w:rsidR="00BF10A0" w:rsidRDefault="00BF10A0" w:rsidP="00BE3F24">
      <w:pPr>
        <w:pStyle w:val="ListParagraph"/>
        <w:ind w:left="0"/>
        <w:jc w:val="both"/>
        <w:rPr>
          <w:rFonts w:ascii="Arial" w:hAnsi="Arial" w:cs="Arial"/>
          <w:sz w:val="22"/>
          <w:szCs w:val="22"/>
        </w:rPr>
      </w:pPr>
      <w:r w:rsidRPr="00CC7F9B">
        <w:rPr>
          <w:rFonts w:ascii="Arial" w:hAnsi="Arial" w:cs="Arial"/>
          <w:sz w:val="22"/>
          <w:szCs w:val="22"/>
        </w:rPr>
        <w:t>Open Graded Friction Course is a surface course with an aggregate gradation that provides an open void structure as compared with conventional dense graded asphalt concrete. Air void content typically ranges from 15-25%, resulting in a highly permeable mixture relative to conventional HMA, which is typically impermeable.</w:t>
      </w:r>
    </w:p>
    <w:p w14:paraId="24BD4C7E" w14:textId="77777777" w:rsidR="00BF10A0" w:rsidRPr="00CC7F9B" w:rsidRDefault="00BF10A0" w:rsidP="00BE3F24">
      <w:pPr>
        <w:pStyle w:val="ListParagraph"/>
        <w:ind w:left="0"/>
        <w:jc w:val="both"/>
        <w:rPr>
          <w:rFonts w:ascii="Arial" w:hAnsi="Arial" w:cs="Arial"/>
          <w:sz w:val="22"/>
          <w:szCs w:val="22"/>
        </w:rPr>
      </w:pPr>
    </w:p>
    <w:bookmarkStart w:id="645" w:name="D2B_HPTO"/>
    <w:p w14:paraId="59147ACE" w14:textId="77777777" w:rsidR="00BF10A0" w:rsidRPr="00CC7F9B" w:rsidRDefault="00476E70" w:rsidP="00BE3F24">
      <w:pPr>
        <w:pStyle w:val="ListParagraph"/>
        <w:ind w:left="0"/>
        <w:jc w:val="both"/>
        <w:rPr>
          <w:rFonts w:ascii="Arial" w:hAnsi="Arial" w:cs="Arial"/>
          <w:b/>
          <w:sz w:val="22"/>
          <w:szCs w:val="22"/>
        </w:rPr>
      </w:pPr>
      <w:r>
        <w:fldChar w:fldCharType="begin"/>
      </w:r>
      <w:r>
        <w:instrText xml:space="preserve"> HYPERLINK \l "_SUPPLEMENTAL_INFORMATION_FOR_24" </w:instrText>
      </w:r>
      <w:r>
        <w:fldChar w:fldCharType="separate"/>
      </w:r>
      <w:r w:rsidR="00BF10A0" w:rsidRPr="00C61B7D">
        <w:rPr>
          <w:rStyle w:val="Hyperlink"/>
          <w:rFonts w:ascii="Arial" w:hAnsi="Arial" w:cs="Arial"/>
          <w:b/>
          <w:sz w:val="22"/>
          <w:szCs w:val="22"/>
        </w:rPr>
        <w:t>D-</w:t>
      </w:r>
      <w:proofErr w:type="spellStart"/>
      <w:r w:rsidR="006A17CA">
        <w:rPr>
          <w:rStyle w:val="Hyperlink"/>
          <w:rFonts w:ascii="Arial" w:hAnsi="Arial" w:cs="Arial"/>
          <w:b/>
          <w:sz w:val="22"/>
          <w:szCs w:val="22"/>
        </w:rPr>
        <w:t>2b</w:t>
      </w:r>
      <w:proofErr w:type="spellEnd"/>
      <w:r w:rsidR="00BF10A0" w:rsidRPr="00C61B7D">
        <w:rPr>
          <w:rStyle w:val="Hyperlink"/>
          <w:rFonts w:ascii="Arial" w:hAnsi="Arial" w:cs="Arial"/>
          <w:b/>
          <w:sz w:val="22"/>
          <w:szCs w:val="22"/>
        </w:rPr>
        <w:t>: HMA Overlay – Ultrathin (&lt;1.5”) (High Performance Thin Overlay)</w:t>
      </w:r>
      <w:r>
        <w:rPr>
          <w:rStyle w:val="Hyperlink"/>
          <w:rFonts w:ascii="Arial" w:hAnsi="Arial" w:cs="Arial"/>
          <w:b/>
          <w:sz w:val="22"/>
          <w:szCs w:val="22"/>
        </w:rPr>
        <w:fldChar w:fldCharType="end"/>
      </w:r>
    </w:p>
    <w:bookmarkEnd w:id="645"/>
    <w:p w14:paraId="15C2BEDC" w14:textId="77777777" w:rsidR="00BF10A0" w:rsidRPr="00CC7F9B" w:rsidRDefault="00BF10A0" w:rsidP="00BE3F24">
      <w:pPr>
        <w:pStyle w:val="ListParagraph"/>
        <w:ind w:left="0"/>
        <w:jc w:val="both"/>
        <w:rPr>
          <w:rFonts w:ascii="Arial" w:hAnsi="Arial" w:cs="Arial"/>
          <w:sz w:val="22"/>
          <w:szCs w:val="22"/>
        </w:rPr>
      </w:pPr>
      <w:r w:rsidRPr="00CC7F9B">
        <w:rPr>
          <w:rFonts w:ascii="Arial" w:hAnsi="Arial" w:cs="Arial"/>
          <w:sz w:val="22"/>
          <w:szCs w:val="22"/>
        </w:rPr>
        <w:t xml:space="preserve">Plant Mix Combinations of Asphalt Cement and Aggregate applied to pavement in thicknesses between 0.75" to 1.5". This typically includes a high percentage of polymer-modified binder, resulting in a more crack-resistant wearing course than a dense-graded mix. </w:t>
      </w:r>
    </w:p>
    <w:p w14:paraId="6B20C82C" w14:textId="77777777" w:rsidR="00BF10A0" w:rsidRPr="00CC7F9B" w:rsidRDefault="00BF10A0" w:rsidP="00BE3F24">
      <w:pPr>
        <w:pStyle w:val="ListParagraph"/>
        <w:ind w:left="0"/>
        <w:rPr>
          <w:rFonts w:ascii="Arial" w:hAnsi="Arial" w:cs="Arial"/>
          <w:sz w:val="22"/>
          <w:szCs w:val="22"/>
        </w:rPr>
      </w:pPr>
    </w:p>
    <w:p w14:paraId="01B80416" w14:textId="77777777" w:rsidR="00BF10A0" w:rsidRPr="00CC7F9B" w:rsidRDefault="00BF10A0" w:rsidP="00BE3F24">
      <w:pPr>
        <w:pStyle w:val="ListParagraph"/>
        <w:ind w:left="0"/>
        <w:jc w:val="both"/>
        <w:rPr>
          <w:rFonts w:ascii="Arial" w:hAnsi="Arial" w:cs="Arial"/>
          <w:b/>
          <w:sz w:val="22"/>
          <w:szCs w:val="22"/>
        </w:rPr>
      </w:pPr>
      <w:hyperlink w:anchor="_SUPPLEMENTAL_INFORMATION_FOR_8" w:history="1">
        <w:bookmarkStart w:id="646" w:name="D3_and_D4_Mill_and_OL"/>
        <w:r w:rsidRPr="00C61B7D">
          <w:rPr>
            <w:rStyle w:val="Hyperlink"/>
            <w:rFonts w:ascii="Arial" w:hAnsi="Arial" w:cs="Arial"/>
            <w:b/>
            <w:sz w:val="22"/>
            <w:szCs w:val="22"/>
          </w:rPr>
          <w:t>D-</w:t>
        </w:r>
        <w:r w:rsidR="006A17CA">
          <w:rPr>
            <w:rStyle w:val="Hyperlink"/>
            <w:rFonts w:ascii="Arial" w:hAnsi="Arial" w:cs="Arial"/>
            <w:b/>
            <w:sz w:val="22"/>
            <w:szCs w:val="22"/>
          </w:rPr>
          <w:t>3</w:t>
        </w:r>
        <w:r w:rsidR="00D558FD">
          <w:rPr>
            <w:rStyle w:val="Hyperlink"/>
            <w:rFonts w:ascii="Arial" w:hAnsi="Arial" w:cs="Arial"/>
            <w:b/>
            <w:sz w:val="22"/>
            <w:szCs w:val="22"/>
          </w:rPr>
          <w:t xml:space="preserve"> and D-4:</w:t>
        </w:r>
        <w:r w:rsidRPr="00C61B7D">
          <w:rPr>
            <w:rStyle w:val="Hyperlink"/>
            <w:rFonts w:ascii="Arial" w:hAnsi="Arial" w:cs="Arial"/>
            <w:b/>
            <w:sz w:val="22"/>
            <w:szCs w:val="22"/>
          </w:rPr>
          <w:t xml:space="preserve"> </w:t>
        </w:r>
        <w:r w:rsidR="00D558FD">
          <w:rPr>
            <w:rStyle w:val="Hyperlink"/>
            <w:rFonts w:ascii="Arial" w:hAnsi="Arial" w:cs="Arial"/>
            <w:b/>
            <w:sz w:val="22"/>
            <w:szCs w:val="22"/>
          </w:rPr>
          <w:t>Mill</w:t>
        </w:r>
        <w:r w:rsidRPr="00C61B7D">
          <w:rPr>
            <w:rStyle w:val="Hyperlink"/>
            <w:rFonts w:ascii="Arial" w:hAnsi="Arial" w:cs="Arial"/>
            <w:b/>
            <w:sz w:val="22"/>
            <w:szCs w:val="22"/>
          </w:rPr>
          <w:t xml:space="preserve"> and </w:t>
        </w:r>
        <w:r w:rsidR="00D558FD">
          <w:rPr>
            <w:rStyle w:val="Hyperlink"/>
            <w:rFonts w:ascii="Arial" w:hAnsi="Arial" w:cs="Arial"/>
            <w:b/>
            <w:sz w:val="22"/>
            <w:szCs w:val="22"/>
          </w:rPr>
          <w:t>Asphalt</w:t>
        </w:r>
        <w:r w:rsidRPr="00C61B7D">
          <w:rPr>
            <w:rStyle w:val="Hyperlink"/>
            <w:rFonts w:ascii="Arial" w:hAnsi="Arial" w:cs="Arial"/>
            <w:b/>
            <w:sz w:val="22"/>
            <w:szCs w:val="22"/>
          </w:rPr>
          <w:t xml:space="preserve"> Overlay</w:t>
        </w:r>
        <w:bookmarkEnd w:id="646"/>
        <w:r w:rsidRPr="00C61B7D">
          <w:rPr>
            <w:rStyle w:val="Hyperlink"/>
            <w:rFonts w:ascii="Arial" w:hAnsi="Arial" w:cs="Arial"/>
            <w:b/>
            <w:sz w:val="22"/>
            <w:szCs w:val="22"/>
          </w:rPr>
          <w:t xml:space="preserve"> </w:t>
        </w:r>
      </w:hyperlink>
    </w:p>
    <w:p w14:paraId="622FE2DF" w14:textId="2ACB6EFB" w:rsidR="00BF10A0" w:rsidRPr="00CC7F9B" w:rsidRDefault="00BF10A0" w:rsidP="00BE3F24">
      <w:pPr>
        <w:pStyle w:val="ListParagraph"/>
        <w:ind w:left="0"/>
        <w:jc w:val="both"/>
        <w:rPr>
          <w:rFonts w:ascii="Arial" w:hAnsi="Arial" w:cs="Arial"/>
          <w:sz w:val="22"/>
          <w:szCs w:val="22"/>
        </w:rPr>
      </w:pPr>
      <w:r w:rsidRPr="00CC7F9B">
        <w:rPr>
          <w:rFonts w:ascii="Arial" w:hAnsi="Arial" w:cs="Arial"/>
          <w:sz w:val="22"/>
          <w:szCs w:val="22"/>
        </w:rPr>
        <w:t xml:space="preserve">This activity is a combination of </w:t>
      </w:r>
      <w:r w:rsidR="00B913D8">
        <w:rPr>
          <w:rFonts w:ascii="Arial" w:hAnsi="Arial" w:cs="Arial"/>
          <w:sz w:val="22"/>
          <w:szCs w:val="22"/>
        </w:rPr>
        <w:t>mill</w:t>
      </w:r>
      <w:r w:rsidRPr="00CC7F9B">
        <w:rPr>
          <w:rFonts w:ascii="Arial" w:hAnsi="Arial" w:cs="Arial"/>
          <w:sz w:val="22"/>
          <w:szCs w:val="22"/>
        </w:rPr>
        <w:t>ing the existing pavement surface up to 4</w:t>
      </w:r>
      <w:r w:rsidR="008561EC">
        <w:rPr>
          <w:rFonts w:ascii="Arial" w:hAnsi="Arial" w:cs="Arial"/>
          <w:sz w:val="22"/>
          <w:szCs w:val="22"/>
        </w:rPr>
        <w:t>"</w:t>
      </w:r>
      <w:r w:rsidRPr="00CC7F9B">
        <w:rPr>
          <w:rFonts w:ascii="Arial" w:hAnsi="Arial" w:cs="Arial"/>
          <w:sz w:val="22"/>
          <w:szCs w:val="22"/>
        </w:rPr>
        <w:t xml:space="preserve"> and overlaying with Hot-Mix Asphalt. </w:t>
      </w:r>
    </w:p>
    <w:p w14:paraId="621F5FF9" w14:textId="77777777" w:rsidR="00BF10A0" w:rsidRDefault="00BF10A0" w:rsidP="00BE3F24">
      <w:pPr>
        <w:pStyle w:val="ListParagraph"/>
        <w:ind w:left="0"/>
        <w:rPr>
          <w:rFonts w:ascii="Arial" w:hAnsi="Arial" w:cs="Arial"/>
          <w:sz w:val="22"/>
          <w:szCs w:val="22"/>
        </w:rPr>
      </w:pPr>
    </w:p>
    <w:bookmarkStart w:id="647" w:name="D5_and_D6_HMA_OL"/>
    <w:p w14:paraId="76C71335" w14:textId="01EBE035"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D558FD">
        <w:rPr>
          <w:rFonts w:ascii="Arial" w:hAnsi="Arial" w:cs="Arial"/>
          <w:b/>
          <w:sz w:val="22"/>
          <w:szCs w:val="22"/>
        </w:rPr>
        <w:instrText>HYPERLINK  \l "_SUPPLEMENTAL_INFORMATION_FOR_8"</w:instrText>
      </w:r>
      <w:r>
        <w:rPr>
          <w:rFonts w:ascii="Arial" w:hAnsi="Arial" w:cs="Arial"/>
          <w:b/>
          <w:sz w:val="22"/>
          <w:szCs w:val="22"/>
        </w:rPr>
      </w:r>
      <w:r>
        <w:rPr>
          <w:rFonts w:ascii="Arial" w:hAnsi="Arial" w:cs="Arial"/>
          <w:b/>
          <w:sz w:val="22"/>
          <w:szCs w:val="22"/>
        </w:rPr>
        <w:fldChar w:fldCharType="separate"/>
      </w:r>
      <w:r w:rsidR="00BF10A0" w:rsidRPr="00C61B7D">
        <w:rPr>
          <w:rStyle w:val="Hyperlink"/>
          <w:rFonts w:ascii="Arial" w:hAnsi="Arial" w:cs="Arial"/>
          <w:b/>
          <w:sz w:val="22"/>
          <w:szCs w:val="22"/>
        </w:rPr>
        <w:t>D-</w:t>
      </w:r>
      <w:r w:rsidR="00D558FD">
        <w:rPr>
          <w:rStyle w:val="Hyperlink"/>
          <w:rFonts w:ascii="Arial" w:hAnsi="Arial" w:cs="Arial"/>
          <w:b/>
          <w:sz w:val="22"/>
          <w:szCs w:val="22"/>
        </w:rPr>
        <w:t xml:space="preserve">5 and </w:t>
      </w:r>
      <w:proofErr w:type="spellStart"/>
      <w:r w:rsidR="00D558FD">
        <w:rPr>
          <w:rStyle w:val="Hyperlink"/>
          <w:rFonts w:ascii="Arial" w:hAnsi="Arial" w:cs="Arial"/>
          <w:b/>
          <w:sz w:val="22"/>
          <w:szCs w:val="22"/>
        </w:rPr>
        <w:t>D6</w:t>
      </w:r>
      <w:proofErr w:type="spellEnd"/>
      <w:r w:rsidR="00BF10A0" w:rsidRPr="00C61B7D">
        <w:rPr>
          <w:rStyle w:val="Hyperlink"/>
          <w:rFonts w:ascii="Arial" w:hAnsi="Arial" w:cs="Arial"/>
          <w:b/>
          <w:sz w:val="22"/>
          <w:szCs w:val="22"/>
        </w:rPr>
        <w:t>: HMA Overlay</w:t>
      </w:r>
      <w:r>
        <w:rPr>
          <w:rFonts w:ascii="Arial" w:hAnsi="Arial" w:cs="Arial"/>
          <w:b/>
          <w:sz w:val="22"/>
          <w:szCs w:val="22"/>
        </w:rPr>
        <w:fldChar w:fldCharType="end"/>
      </w:r>
      <w:bookmarkEnd w:id="647"/>
      <w:r w:rsidR="00BF10A0" w:rsidRPr="00CC7F9B">
        <w:rPr>
          <w:rFonts w:ascii="Arial" w:hAnsi="Arial" w:cs="Arial"/>
          <w:b/>
          <w:sz w:val="22"/>
          <w:szCs w:val="22"/>
        </w:rPr>
        <w:t xml:space="preserve"> </w:t>
      </w:r>
    </w:p>
    <w:p w14:paraId="2CFD2630" w14:textId="77777777" w:rsidR="00173C06" w:rsidRDefault="00BF10A0" w:rsidP="00173C06">
      <w:pPr>
        <w:autoSpaceDE w:val="0"/>
        <w:autoSpaceDN w:val="0"/>
        <w:adjustRightInd w:val="0"/>
        <w:jc w:val="both"/>
        <w:rPr>
          <w:rFonts w:ascii="Arial" w:hAnsi="Arial" w:cs="Arial"/>
          <w:sz w:val="17"/>
          <w:szCs w:val="17"/>
        </w:rPr>
      </w:pPr>
      <w:r w:rsidRPr="00CC7F9B">
        <w:rPr>
          <w:rFonts w:ascii="Arial" w:hAnsi="Arial" w:cs="Arial"/>
          <w:sz w:val="22"/>
          <w:szCs w:val="22"/>
        </w:rPr>
        <w:t xml:space="preserve">This activity consists of </w:t>
      </w:r>
      <w:r>
        <w:rPr>
          <w:rFonts w:ascii="Arial" w:hAnsi="Arial" w:cs="Arial"/>
          <w:sz w:val="22"/>
          <w:szCs w:val="22"/>
        </w:rPr>
        <w:t>resurfacing</w:t>
      </w:r>
      <w:r w:rsidRPr="00CC7F9B">
        <w:rPr>
          <w:rFonts w:ascii="Arial" w:hAnsi="Arial" w:cs="Arial"/>
          <w:sz w:val="22"/>
          <w:szCs w:val="22"/>
        </w:rPr>
        <w:t xml:space="preserve"> </w:t>
      </w:r>
      <w:r>
        <w:rPr>
          <w:rFonts w:ascii="Arial" w:hAnsi="Arial" w:cs="Arial"/>
          <w:sz w:val="22"/>
          <w:szCs w:val="22"/>
        </w:rPr>
        <w:t xml:space="preserve">the existing pavement </w:t>
      </w:r>
      <w:r w:rsidRPr="00CC7F9B">
        <w:rPr>
          <w:rFonts w:ascii="Arial" w:hAnsi="Arial" w:cs="Arial"/>
          <w:sz w:val="22"/>
          <w:szCs w:val="22"/>
        </w:rPr>
        <w:t xml:space="preserve">with Hot-Mix Asphalt. </w:t>
      </w:r>
      <w:r w:rsidR="00D558FD">
        <w:rPr>
          <w:rFonts w:ascii="Arial" w:hAnsi="Arial" w:cs="Arial"/>
          <w:sz w:val="22"/>
          <w:szCs w:val="22"/>
        </w:rPr>
        <w:t xml:space="preserve"> </w:t>
      </w:r>
    </w:p>
    <w:p w14:paraId="736DADEC" w14:textId="0E0E2BB5" w:rsidR="00BF10A0" w:rsidRDefault="00173C06" w:rsidP="00173C06">
      <w:pPr>
        <w:autoSpaceDE w:val="0"/>
        <w:autoSpaceDN w:val="0"/>
        <w:adjustRightInd w:val="0"/>
        <w:jc w:val="both"/>
        <w:rPr>
          <w:rFonts w:ascii="Arial" w:hAnsi="Arial" w:cs="Arial"/>
          <w:sz w:val="22"/>
          <w:szCs w:val="22"/>
        </w:rPr>
      </w:pPr>
      <w:r w:rsidRPr="00173C06">
        <w:rPr>
          <w:rFonts w:ascii="Arial" w:hAnsi="Arial" w:cs="Arial"/>
          <w:sz w:val="22"/>
          <w:szCs w:val="22"/>
        </w:rPr>
        <w:t>It may</w:t>
      </w:r>
      <w:r>
        <w:rPr>
          <w:rFonts w:ascii="Arial" w:hAnsi="Arial" w:cs="Arial"/>
          <w:sz w:val="22"/>
          <w:szCs w:val="22"/>
        </w:rPr>
        <w:t xml:space="preserve"> </w:t>
      </w:r>
      <w:r w:rsidRPr="00173C06">
        <w:rPr>
          <w:rFonts w:ascii="Arial" w:hAnsi="Arial" w:cs="Arial"/>
          <w:sz w:val="22"/>
          <w:szCs w:val="22"/>
        </w:rPr>
        <w:t>include placing a Wedge/level layer on the existing pavement surface and resurfacing with</w:t>
      </w:r>
      <w:r>
        <w:rPr>
          <w:rFonts w:ascii="Arial" w:hAnsi="Arial" w:cs="Arial"/>
          <w:sz w:val="22"/>
          <w:szCs w:val="22"/>
        </w:rPr>
        <w:t xml:space="preserve"> </w:t>
      </w:r>
      <w:r w:rsidRPr="00173C06">
        <w:rPr>
          <w:rFonts w:ascii="Arial" w:hAnsi="Arial" w:cs="Arial"/>
          <w:sz w:val="22"/>
          <w:szCs w:val="22"/>
        </w:rPr>
        <w:t>Hot-Mix Asphalt. Wedge/level is a layer of variable HMA thickness used for grade or</w:t>
      </w:r>
      <w:r>
        <w:rPr>
          <w:rFonts w:ascii="Arial" w:hAnsi="Arial" w:cs="Arial"/>
          <w:sz w:val="22"/>
          <w:szCs w:val="22"/>
        </w:rPr>
        <w:t xml:space="preserve"> </w:t>
      </w:r>
      <w:r w:rsidRPr="00173C06">
        <w:rPr>
          <w:rFonts w:ascii="Arial" w:hAnsi="Arial" w:cs="Arial"/>
          <w:sz w:val="22"/>
          <w:szCs w:val="22"/>
        </w:rPr>
        <w:t>cross-slope adjustments, as a structural layer, and to improve ride quality.</w:t>
      </w:r>
    </w:p>
    <w:p w14:paraId="4780A00F" w14:textId="77777777" w:rsidR="00667295" w:rsidRDefault="00667295" w:rsidP="00173C06">
      <w:pPr>
        <w:autoSpaceDE w:val="0"/>
        <w:autoSpaceDN w:val="0"/>
        <w:adjustRightInd w:val="0"/>
        <w:jc w:val="both"/>
        <w:rPr>
          <w:rFonts w:ascii="Arial" w:hAnsi="Arial" w:cs="Arial"/>
          <w:sz w:val="22"/>
          <w:szCs w:val="22"/>
        </w:rPr>
      </w:pPr>
    </w:p>
    <w:p w14:paraId="28CEF8DB" w14:textId="77777777" w:rsidR="00667295" w:rsidRPr="00CC7F9B" w:rsidRDefault="00667295" w:rsidP="00173C06">
      <w:pPr>
        <w:autoSpaceDE w:val="0"/>
        <w:autoSpaceDN w:val="0"/>
        <w:adjustRightInd w:val="0"/>
        <w:jc w:val="both"/>
        <w:rPr>
          <w:rFonts w:ascii="Arial" w:hAnsi="Arial" w:cs="Arial"/>
          <w:sz w:val="22"/>
          <w:szCs w:val="22"/>
        </w:rPr>
      </w:pPr>
    </w:p>
    <w:p w14:paraId="15CC6075" w14:textId="77777777" w:rsidR="001C6B2C" w:rsidRPr="00173C06" w:rsidRDefault="001C6B2C" w:rsidP="00173C06">
      <w:pPr>
        <w:jc w:val="both"/>
        <w:rPr>
          <w:rFonts w:ascii="Arial" w:hAnsi="Arial"/>
          <w:b/>
          <w:sz w:val="22"/>
        </w:rPr>
      </w:pPr>
    </w:p>
    <w:bookmarkStart w:id="648" w:name="D7_HIR"/>
    <w:p w14:paraId="18ADDE98" w14:textId="77777777"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lastRenderedPageBreak/>
        <w:fldChar w:fldCharType="begin"/>
      </w:r>
      <w:r w:rsidR="00A26030">
        <w:rPr>
          <w:rFonts w:ascii="Arial" w:hAnsi="Arial" w:cs="Arial"/>
          <w:b/>
          <w:sz w:val="22"/>
          <w:szCs w:val="22"/>
        </w:rPr>
        <w:instrText>HYPERLINK  \l "_SUPPLEMENTAL_INFORMATION_FOR_9"</w:instrText>
      </w:r>
      <w:r>
        <w:rPr>
          <w:rFonts w:ascii="Arial" w:hAnsi="Arial" w:cs="Arial"/>
          <w:b/>
          <w:sz w:val="22"/>
          <w:szCs w:val="22"/>
        </w:rPr>
      </w:r>
      <w:r>
        <w:rPr>
          <w:rFonts w:ascii="Arial" w:hAnsi="Arial" w:cs="Arial"/>
          <w:b/>
          <w:sz w:val="22"/>
          <w:szCs w:val="22"/>
        </w:rPr>
        <w:fldChar w:fldCharType="separate"/>
      </w:r>
      <w:r w:rsidR="00BF10A0" w:rsidRPr="00C61B7D">
        <w:rPr>
          <w:rStyle w:val="Hyperlink"/>
          <w:rFonts w:ascii="Arial" w:hAnsi="Arial" w:cs="Arial"/>
          <w:b/>
          <w:sz w:val="22"/>
          <w:szCs w:val="22"/>
        </w:rPr>
        <w:t>D-</w:t>
      </w:r>
      <w:r w:rsidR="006A17CA">
        <w:rPr>
          <w:rStyle w:val="Hyperlink"/>
          <w:rFonts w:ascii="Arial" w:hAnsi="Arial" w:cs="Arial"/>
          <w:b/>
          <w:sz w:val="22"/>
          <w:szCs w:val="22"/>
        </w:rPr>
        <w:t>7</w:t>
      </w:r>
      <w:r w:rsidR="00BF10A0" w:rsidRPr="00C61B7D">
        <w:rPr>
          <w:rStyle w:val="Hyperlink"/>
          <w:rFonts w:ascii="Arial" w:hAnsi="Arial" w:cs="Arial"/>
          <w:b/>
          <w:sz w:val="22"/>
          <w:szCs w:val="22"/>
        </w:rPr>
        <w:t>: Hot In-Place HMA Recycling (HIR)</w:t>
      </w:r>
      <w:r>
        <w:rPr>
          <w:rFonts w:ascii="Arial" w:hAnsi="Arial" w:cs="Arial"/>
          <w:b/>
          <w:sz w:val="22"/>
          <w:szCs w:val="22"/>
        </w:rPr>
        <w:fldChar w:fldCharType="end"/>
      </w:r>
    </w:p>
    <w:bookmarkEnd w:id="648"/>
    <w:p w14:paraId="02E03C9E" w14:textId="2B3E2182" w:rsidR="00BF10A0" w:rsidRDefault="00BF10A0" w:rsidP="00BE3F24">
      <w:pPr>
        <w:jc w:val="both"/>
        <w:rPr>
          <w:rFonts w:ascii="Arial" w:hAnsi="Arial" w:cs="Arial"/>
          <w:sz w:val="22"/>
          <w:szCs w:val="22"/>
        </w:rPr>
      </w:pPr>
      <w:r w:rsidRPr="00CC7F9B">
        <w:rPr>
          <w:rFonts w:ascii="Arial" w:hAnsi="Arial" w:cs="Arial"/>
          <w:sz w:val="22"/>
          <w:szCs w:val="22"/>
        </w:rPr>
        <w:t xml:space="preserve">A process which consists of softening the existing asphalt surface with heat, mechanically removing the </w:t>
      </w:r>
      <w:r>
        <w:rPr>
          <w:rFonts w:ascii="Arial" w:hAnsi="Arial" w:cs="Arial"/>
          <w:sz w:val="22"/>
          <w:szCs w:val="22"/>
        </w:rPr>
        <w:t xml:space="preserve">softened </w:t>
      </w:r>
      <w:r w:rsidRPr="00CC7F9B">
        <w:rPr>
          <w:rFonts w:ascii="Arial" w:hAnsi="Arial" w:cs="Arial"/>
          <w:sz w:val="22"/>
          <w:szCs w:val="22"/>
        </w:rPr>
        <w:t xml:space="preserve">surface material </w:t>
      </w:r>
      <w:r>
        <w:rPr>
          <w:rFonts w:ascii="Arial" w:hAnsi="Arial" w:cs="Arial"/>
          <w:sz w:val="22"/>
          <w:szCs w:val="22"/>
        </w:rPr>
        <w:t>(typically 1</w:t>
      </w:r>
      <w:r w:rsidR="008561EC">
        <w:rPr>
          <w:rFonts w:ascii="Arial" w:hAnsi="Arial" w:cs="Arial"/>
          <w:sz w:val="22"/>
          <w:szCs w:val="22"/>
        </w:rPr>
        <w:t>"</w:t>
      </w:r>
      <w:r>
        <w:rPr>
          <w:rFonts w:ascii="Arial" w:hAnsi="Arial" w:cs="Arial"/>
          <w:sz w:val="22"/>
          <w:szCs w:val="22"/>
        </w:rPr>
        <w:t xml:space="preserve"> to 2</w:t>
      </w:r>
      <w:r w:rsidR="008561EC">
        <w:rPr>
          <w:rFonts w:ascii="Arial" w:hAnsi="Arial" w:cs="Arial"/>
          <w:sz w:val="22"/>
          <w:szCs w:val="22"/>
        </w:rPr>
        <w:t>"</w:t>
      </w:r>
      <w:r>
        <w:rPr>
          <w:rFonts w:ascii="Arial" w:hAnsi="Arial" w:cs="Arial"/>
          <w:sz w:val="22"/>
          <w:szCs w:val="22"/>
        </w:rPr>
        <w:t>)</w:t>
      </w:r>
      <w:r w:rsidRPr="00CC7F9B">
        <w:rPr>
          <w:rFonts w:ascii="Arial" w:hAnsi="Arial" w:cs="Arial"/>
          <w:sz w:val="22"/>
          <w:szCs w:val="22"/>
        </w:rPr>
        <w:t>, mixing the material with a recycling agent, adding virgin asphalt and aggregate to the material (if required), and then replacing the material on the pavement.</w:t>
      </w:r>
    </w:p>
    <w:p w14:paraId="6F823231" w14:textId="77777777" w:rsidR="00BF10A0" w:rsidRPr="00173C06" w:rsidRDefault="00BF10A0" w:rsidP="00173C06">
      <w:pPr>
        <w:jc w:val="both"/>
        <w:rPr>
          <w:rFonts w:ascii="Arial" w:hAnsi="Arial"/>
          <w:sz w:val="22"/>
        </w:rPr>
      </w:pPr>
    </w:p>
    <w:p w14:paraId="2607BFBE" w14:textId="77777777" w:rsidR="00D558FD" w:rsidRPr="00171EC1" w:rsidRDefault="00171EC1" w:rsidP="00D558FD">
      <w:pPr>
        <w:jc w:val="both"/>
        <w:rPr>
          <w:rStyle w:val="Hyperlink"/>
          <w:rFonts w:ascii="Arial" w:hAnsi="Arial" w:cs="Arial"/>
          <w:b/>
          <w:sz w:val="22"/>
          <w:szCs w:val="22"/>
        </w:rPr>
      </w:pPr>
      <w:r>
        <w:rPr>
          <w:rFonts w:ascii="Arial" w:hAnsi="Arial" w:cs="Arial"/>
          <w:b/>
          <w:sz w:val="22"/>
          <w:szCs w:val="22"/>
        </w:rPr>
        <w:fldChar w:fldCharType="begin"/>
      </w:r>
      <w:r>
        <w:rPr>
          <w:rFonts w:ascii="Arial" w:hAnsi="Arial" w:cs="Arial"/>
          <w:b/>
          <w:sz w:val="22"/>
          <w:szCs w:val="22"/>
        </w:rPr>
        <w:instrText xml:space="preserve"> HYPERLINK  \l "_SUPPLEMENTAL_INFORMATION_FOR_9" </w:instrText>
      </w:r>
      <w:r>
        <w:rPr>
          <w:rFonts w:ascii="Arial" w:hAnsi="Arial" w:cs="Arial"/>
          <w:b/>
          <w:sz w:val="22"/>
          <w:szCs w:val="22"/>
        </w:rPr>
      </w:r>
      <w:r>
        <w:rPr>
          <w:rFonts w:ascii="Arial" w:hAnsi="Arial" w:cs="Arial"/>
          <w:b/>
          <w:sz w:val="22"/>
          <w:szCs w:val="22"/>
        </w:rPr>
        <w:fldChar w:fldCharType="separate"/>
      </w:r>
      <w:bookmarkStart w:id="649" w:name="D8_Deep_Mill_Thick_OL"/>
      <w:r w:rsidR="00D558FD" w:rsidRPr="00171EC1">
        <w:rPr>
          <w:rStyle w:val="Hyperlink"/>
          <w:rFonts w:ascii="Arial" w:hAnsi="Arial" w:cs="Arial"/>
          <w:b/>
          <w:sz w:val="22"/>
          <w:szCs w:val="22"/>
        </w:rPr>
        <w:t xml:space="preserve">D-8: Deep </w:t>
      </w:r>
      <w:r w:rsidR="00B913D8">
        <w:rPr>
          <w:rStyle w:val="Hyperlink"/>
          <w:rFonts w:ascii="Arial" w:hAnsi="Arial" w:cs="Arial"/>
          <w:b/>
          <w:sz w:val="22"/>
          <w:szCs w:val="22"/>
        </w:rPr>
        <w:t>Mill</w:t>
      </w:r>
      <w:r w:rsidR="00D558FD" w:rsidRPr="00171EC1">
        <w:rPr>
          <w:rStyle w:val="Hyperlink"/>
          <w:rFonts w:ascii="Arial" w:hAnsi="Arial" w:cs="Arial"/>
          <w:b/>
          <w:sz w:val="22"/>
          <w:szCs w:val="22"/>
        </w:rPr>
        <w:t xml:space="preserve"> and Thick Overlay</w:t>
      </w:r>
    </w:p>
    <w:bookmarkEnd w:id="649"/>
    <w:p w14:paraId="2B10EF09" w14:textId="77777777" w:rsidR="00BF10A0" w:rsidRDefault="00171EC1" w:rsidP="00BE3F24">
      <w:pPr>
        <w:pStyle w:val="ListParagraph"/>
        <w:ind w:left="0"/>
        <w:jc w:val="both"/>
        <w:rPr>
          <w:rFonts w:ascii="Arial" w:hAnsi="Arial" w:cs="Arial"/>
          <w:b/>
          <w:sz w:val="22"/>
          <w:szCs w:val="22"/>
        </w:rPr>
      </w:pPr>
      <w:r>
        <w:rPr>
          <w:rFonts w:ascii="Arial" w:hAnsi="Arial" w:cs="Arial"/>
          <w:b/>
          <w:sz w:val="22"/>
          <w:szCs w:val="22"/>
        </w:rPr>
        <w:fldChar w:fldCharType="end"/>
      </w:r>
      <w:r w:rsidR="00D558FD" w:rsidRPr="00005D0B">
        <w:rPr>
          <w:rFonts w:ascii="Arial" w:hAnsi="Arial" w:cs="Arial"/>
          <w:sz w:val="22"/>
          <w:szCs w:val="22"/>
        </w:rPr>
        <w:t>Removal of several layers of existing pavement, followed by placement of at least 4” HMA or PCC overlay.</w:t>
      </w:r>
      <w:r w:rsidR="00BF10A0" w:rsidRPr="00005D0B">
        <w:rPr>
          <w:rFonts w:ascii="Arial" w:hAnsi="Arial" w:cs="Arial"/>
          <w:sz w:val="22"/>
          <w:szCs w:val="22"/>
        </w:rPr>
        <w:t xml:space="preserve">  At least a portion of the base layer is left in place, and the subgrade is not disturbed.  This is usually done in cases where the grade must be maintained or lowered and additional structure is needed, and the way to achieve that is to essentially substitute unbound aggregate with stronger HMA or PCC.</w:t>
      </w:r>
      <w:r w:rsidR="00BF10A0">
        <w:rPr>
          <w:rFonts w:ascii="Arial" w:hAnsi="Arial" w:cs="Arial"/>
          <w:sz w:val="22"/>
          <w:szCs w:val="22"/>
        </w:rPr>
        <w:t xml:space="preserve">  This fix is considered a Major Rehabilitation.</w:t>
      </w:r>
    </w:p>
    <w:p w14:paraId="43AEF4E0" w14:textId="77777777" w:rsidR="00BF10A0" w:rsidRPr="00173C06" w:rsidRDefault="00BF10A0" w:rsidP="00BE3F24">
      <w:pPr>
        <w:pStyle w:val="ListParagraph"/>
        <w:ind w:left="0"/>
        <w:rPr>
          <w:rFonts w:ascii="Arial" w:hAnsi="Arial"/>
          <w:sz w:val="22"/>
        </w:rPr>
      </w:pPr>
    </w:p>
    <w:p w14:paraId="70CC75DD" w14:textId="39D21D40" w:rsidR="00BF10A0" w:rsidRPr="00516727" w:rsidRDefault="00BF10A0" w:rsidP="00172E64">
      <w:pPr>
        <w:pStyle w:val="Heading4"/>
        <w:numPr>
          <w:ilvl w:val="3"/>
          <w:numId w:val="185"/>
        </w:numPr>
        <w:ind w:left="0" w:firstLine="0"/>
      </w:pPr>
      <w:r w:rsidRPr="00516727">
        <w:t>PCC Overlay</w:t>
      </w:r>
    </w:p>
    <w:p w14:paraId="6ED29DFD" w14:textId="77777777" w:rsidR="00BF10A0" w:rsidRPr="00CC7F9B" w:rsidRDefault="00BF10A0" w:rsidP="00BE3F24">
      <w:pPr>
        <w:pStyle w:val="ListParagraph"/>
        <w:ind w:left="0"/>
        <w:rPr>
          <w:rFonts w:ascii="Arial" w:hAnsi="Arial" w:cs="Arial"/>
          <w:sz w:val="22"/>
          <w:szCs w:val="22"/>
        </w:rPr>
      </w:pPr>
    </w:p>
    <w:bookmarkStart w:id="650" w:name="E1A_UnbondedPCC_over_HMA"/>
    <w:p w14:paraId="2103D2BF" w14:textId="4CB8E4E2"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FF48E5">
        <w:rPr>
          <w:rFonts w:ascii="Arial" w:hAnsi="Arial" w:cs="Arial"/>
          <w:b/>
          <w:sz w:val="22"/>
          <w:szCs w:val="22"/>
        </w:rPr>
        <w:instrText xml:space="preserve"> HYPERLINK  \l "_SUPPLEMENTAL_INFORMATION_FOR_12" </w:instrText>
      </w:r>
      <w:r>
        <w:rPr>
          <w:rFonts w:ascii="Arial" w:hAnsi="Arial" w:cs="Arial"/>
          <w:b/>
          <w:sz w:val="22"/>
          <w:szCs w:val="22"/>
        </w:rPr>
      </w:r>
      <w:r>
        <w:rPr>
          <w:rFonts w:ascii="Arial" w:hAnsi="Arial" w:cs="Arial"/>
          <w:b/>
          <w:sz w:val="22"/>
          <w:szCs w:val="22"/>
        </w:rPr>
        <w:fldChar w:fldCharType="separate"/>
      </w:r>
      <w:r w:rsidR="00BF10A0" w:rsidRPr="00FF48E5">
        <w:rPr>
          <w:rStyle w:val="Hyperlink"/>
          <w:rFonts w:ascii="Arial" w:hAnsi="Arial" w:cs="Arial"/>
          <w:b/>
          <w:sz w:val="22"/>
          <w:szCs w:val="22"/>
        </w:rPr>
        <w:t>E-</w:t>
      </w:r>
      <w:proofErr w:type="spellStart"/>
      <w:r w:rsidR="00BF10A0" w:rsidRPr="00FF48E5">
        <w:rPr>
          <w:rStyle w:val="Hyperlink"/>
          <w:rFonts w:ascii="Arial" w:hAnsi="Arial" w:cs="Arial"/>
          <w:b/>
          <w:sz w:val="22"/>
          <w:szCs w:val="22"/>
        </w:rPr>
        <w:t>1a</w:t>
      </w:r>
      <w:proofErr w:type="spellEnd"/>
      <w:r w:rsidR="00BF10A0" w:rsidRPr="00FF48E5">
        <w:rPr>
          <w:rStyle w:val="Hyperlink"/>
          <w:rFonts w:ascii="Arial" w:hAnsi="Arial" w:cs="Arial"/>
          <w:b/>
          <w:sz w:val="22"/>
          <w:szCs w:val="22"/>
        </w:rPr>
        <w:t xml:space="preserve">: PCC Overlay – Unbonded (Asphalt </w:t>
      </w:r>
      <w:r w:rsidR="008561EC">
        <w:rPr>
          <w:rStyle w:val="Hyperlink"/>
          <w:rFonts w:ascii="Arial" w:hAnsi="Arial" w:cs="Arial"/>
          <w:b/>
          <w:sz w:val="22"/>
          <w:szCs w:val="22"/>
        </w:rPr>
        <w:t>P</w:t>
      </w:r>
      <w:r w:rsidR="00BF10A0" w:rsidRPr="00FF48E5">
        <w:rPr>
          <w:rStyle w:val="Hyperlink"/>
          <w:rFonts w:ascii="Arial" w:hAnsi="Arial" w:cs="Arial"/>
          <w:b/>
          <w:sz w:val="22"/>
          <w:szCs w:val="22"/>
        </w:rPr>
        <w:t>avements)</w:t>
      </w:r>
      <w:r>
        <w:rPr>
          <w:rFonts w:ascii="Arial" w:hAnsi="Arial" w:cs="Arial"/>
          <w:b/>
          <w:sz w:val="22"/>
          <w:szCs w:val="22"/>
        </w:rPr>
        <w:fldChar w:fldCharType="end"/>
      </w:r>
    </w:p>
    <w:bookmarkEnd w:id="650"/>
    <w:p w14:paraId="2AB8A927" w14:textId="62673D8E" w:rsidR="00BF10A0" w:rsidRPr="00CC7F9B" w:rsidRDefault="00BF10A0" w:rsidP="00BE3F24">
      <w:pPr>
        <w:jc w:val="both"/>
        <w:rPr>
          <w:rFonts w:ascii="Arial" w:hAnsi="Arial" w:cs="Arial"/>
          <w:sz w:val="22"/>
          <w:szCs w:val="22"/>
        </w:rPr>
      </w:pPr>
      <w:r w:rsidRPr="00CC7F9B">
        <w:rPr>
          <w:rFonts w:ascii="Arial" w:hAnsi="Arial" w:cs="Arial"/>
          <w:sz w:val="22"/>
          <w:szCs w:val="22"/>
        </w:rPr>
        <w:t>Unbonded overlays are basically new pavements constructed on an existing stable platform. It is a 4</w:t>
      </w:r>
      <w:r w:rsidR="008561EC">
        <w:rPr>
          <w:rFonts w:ascii="Arial" w:hAnsi="Arial" w:cs="Arial"/>
          <w:sz w:val="22"/>
          <w:szCs w:val="22"/>
        </w:rPr>
        <w:t>" to</w:t>
      </w:r>
      <w:r w:rsidRPr="00CC7F9B">
        <w:rPr>
          <w:rFonts w:ascii="Arial" w:hAnsi="Arial" w:cs="Arial"/>
          <w:sz w:val="22"/>
          <w:szCs w:val="22"/>
        </w:rPr>
        <w:t xml:space="preserve"> 11" PCC layer as applied on an existing flexible or composite pavement. It is generally </w:t>
      </w:r>
      <w:r w:rsidR="00C021C2" w:rsidRPr="00CC7F9B">
        <w:rPr>
          <w:rFonts w:ascii="Arial" w:hAnsi="Arial" w:cs="Arial"/>
          <w:sz w:val="22"/>
          <w:szCs w:val="22"/>
        </w:rPr>
        <w:t>unbonded but</w:t>
      </w:r>
      <w:r w:rsidRPr="00CC7F9B">
        <w:rPr>
          <w:rFonts w:ascii="Arial" w:hAnsi="Arial" w:cs="Arial"/>
          <w:sz w:val="22"/>
          <w:szCs w:val="22"/>
        </w:rPr>
        <w:t xml:space="preserve"> may be partially bonded to the existing HMA to increase the load</w:t>
      </w:r>
      <w:r w:rsidR="008561EC">
        <w:rPr>
          <w:rFonts w:ascii="Arial" w:hAnsi="Arial" w:cs="Arial"/>
          <w:sz w:val="22"/>
          <w:szCs w:val="22"/>
        </w:rPr>
        <w:t>-</w:t>
      </w:r>
      <w:r w:rsidRPr="00CC7F9B">
        <w:rPr>
          <w:rFonts w:ascii="Arial" w:hAnsi="Arial" w:cs="Arial"/>
          <w:sz w:val="22"/>
          <w:szCs w:val="22"/>
        </w:rPr>
        <w:t>carrying capacity.</w:t>
      </w:r>
    </w:p>
    <w:p w14:paraId="093E06C0" w14:textId="77777777" w:rsidR="00BF10A0" w:rsidRDefault="00BF10A0" w:rsidP="00BE3F24">
      <w:pPr>
        <w:pStyle w:val="ListParagraph"/>
        <w:ind w:left="0"/>
        <w:jc w:val="both"/>
        <w:rPr>
          <w:rFonts w:ascii="Arial" w:hAnsi="Arial" w:cs="Arial"/>
          <w:b/>
          <w:sz w:val="22"/>
          <w:szCs w:val="22"/>
        </w:rPr>
      </w:pPr>
    </w:p>
    <w:bookmarkStart w:id="651" w:name="E1B_UnbondedPCC_over_PCC"/>
    <w:p w14:paraId="2B95B577" w14:textId="2DB15930" w:rsidR="00BF10A0" w:rsidRPr="00CC7F9B" w:rsidRDefault="000D2B44" w:rsidP="00BE3F24">
      <w:pPr>
        <w:pStyle w:val="ListParagraph"/>
        <w:ind w:left="0"/>
        <w:jc w:val="both"/>
        <w:rPr>
          <w:rFonts w:ascii="Arial" w:hAnsi="Arial" w:cs="Arial"/>
          <w:sz w:val="22"/>
          <w:szCs w:val="22"/>
        </w:rPr>
      </w:pPr>
      <w:r>
        <w:rPr>
          <w:rFonts w:ascii="Arial" w:hAnsi="Arial" w:cs="Arial"/>
          <w:b/>
          <w:sz w:val="22"/>
          <w:szCs w:val="22"/>
        </w:rPr>
        <w:fldChar w:fldCharType="begin"/>
      </w:r>
      <w:r w:rsidR="00FF48E5">
        <w:rPr>
          <w:rFonts w:ascii="Arial" w:hAnsi="Arial" w:cs="Arial"/>
          <w:b/>
          <w:sz w:val="22"/>
          <w:szCs w:val="22"/>
        </w:rPr>
        <w:instrText xml:space="preserve"> HYPERLINK  \l "_SUPPLEMENTAL_INFORMATION_FOR_12" </w:instrText>
      </w:r>
      <w:r>
        <w:rPr>
          <w:rFonts w:ascii="Arial" w:hAnsi="Arial" w:cs="Arial"/>
          <w:b/>
          <w:sz w:val="22"/>
          <w:szCs w:val="22"/>
        </w:rPr>
      </w:r>
      <w:r>
        <w:rPr>
          <w:rFonts w:ascii="Arial" w:hAnsi="Arial" w:cs="Arial"/>
          <w:b/>
          <w:sz w:val="22"/>
          <w:szCs w:val="22"/>
        </w:rPr>
        <w:fldChar w:fldCharType="separate"/>
      </w:r>
      <w:r w:rsidR="00BF10A0" w:rsidRPr="00FF48E5">
        <w:rPr>
          <w:rStyle w:val="Hyperlink"/>
          <w:rFonts w:ascii="Arial" w:hAnsi="Arial" w:cs="Arial"/>
          <w:b/>
          <w:sz w:val="22"/>
          <w:szCs w:val="22"/>
        </w:rPr>
        <w:t>E-</w:t>
      </w:r>
      <w:proofErr w:type="spellStart"/>
      <w:r w:rsidR="00BF10A0" w:rsidRPr="00FF48E5">
        <w:rPr>
          <w:rStyle w:val="Hyperlink"/>
          <w:rFonts w:ascii="Arial" w:hAnsi="Arial" w:cs="Arial"/>
          <w:b/>
          <w:sz w:val="22"/>
          <w:szCs w:val="22"/>
        </w:rPr>
        <w:t>1b</w:t>
      </w:r>
      <w:proofErr w:type="spellEnd"/>
      <w:r w:rsidR="00BF10A0" w:rsidRPr="00FF48E5">
        <w:rPr>
          <w:rStyle w:val="Hyperlink"/>
          <w:rFonts w:ascii="Arial" w:hAnsi="Arial" w:cs="Arial"/>
          <w:b/>
          <w:sz w:val="22"/>
          <w:szCs w:val="22"/>
        </w:rPr>
        <w:t xml:space="preserve">: PCC Overlay – Unbonded (PCC-Surfaced </w:t>
      </w:r>
      <w:r w:rsidR="008561EC">
        <w:rPr>
          <w:rStyle w:val="Hyperlink"/>
          <w:rFonts w:ascii="Arial" w:hAnsi="Arial" w:cs="Arial"/>
          <w:b/>
          <w:sz w:val="22"/>
          <w:szCs w:val="22"/>
        </w:rPr>
        <w:t>P</w:t>
      </w:r>
      <w:r w:rsidR="00BF10A0" w:rsidRPr="00FF48E5">
        <w:rPr>
          <w:rStyle w:val="Hyperlink"/>
          <w:rFonts w:ascii="Arial" w:hAnsi="Arial" w:cs="Arial"/>
          <w:b/>
          <w:sz w:val="22"/>
          <w:szCs w:val="22"/>
        </w:rPr>
        <w:t>avements)</w:t>
      </w:r>
      <w:r>
        <w:rPr>
          <w:rFonts w:ascii="Arial" w:hAnsi="Arial" w:cs="Arial"/>
          <w:b/>
          <w:sz w:val="22"/>
          <w:szCs w:val="22"/>
        </w:rPr>
        <w:fldChar w:fldCharType="end"/>
      </w:r>
    </w:p>
    <w:bookmarkEnd w:id="651"/>
    <w:p w14:paraId="295F552C" w14:textId="3A598FAD" w:rsidR="00BF10A0" w:rsidRPr="00CC7F9B" w:rsidRDefault="00BF10A0" w:rsidP="00BE3F24">
      <w:pPr>
        <w:jc w:val="both"/>
        <w:rPr>
          <w:rFonts w:ascii="Arial" w:hAnsi="Arial" w:cs="Arial"/>
          <w:sz w:val="22"/>
          <w:szCs w:val="22"/>
        </w:rPr>
      </w:pPr>
      <w:r w:rsidRPr="00CC7F9B">
        <w:rPr>
          <w:rFonts w:ascii="Arial" w:hAnsi="Arial" w:cs="Arial"/>
          <w:sz w:val="22"/>
          <w:szCs w:val="22"/>
        </w:rPr>
        <w:t>Placement of a PCC overlay on a rigid pavement. Prior to placement of a PCC overlay, a bond breaker is placed to isolate the two PCC layers. The bond breaker is typically a 1"</w:t>
      </w:r>
      <w:r w:rsidR="008561EC">
        <w:rPr>
          <w:rFonts w:ascii="Arial" w:hAnsi="Arial" w:cs="Arial"/>
          <w:sz w:val="22"/>
          <w:szCs w:val="22"/>
        </w:rPr>
        <w:t xml:space="preserve"> to </w:t>
      </w:r>
      <w:r w:rsidRPr="00CC7F9B">
        <w:rPr>
          <w:rFonts w:ascii="Arial" w:hAnsi="Arial" w:cs="Arial"/>
          <w:sz w:val="22"/>
          <w:szCs w:val="22"/>
        </w:rPr>
        <w:t xml:space="preserve">2" HMA overlay directly on the old PCC pavement prior to the placement of the new PCC overlay. The bond breaker is designed to allow the two PCC layers to move independently and limit the amount of reflective cracking. Typical thickness ranges from </w:t>
      </w:r>
      <w:r>
        <w:rPr>
          <w:rFonts w:ascii="Arial" w:hAnsi="Arial" w:cs="Arial"/>
          <w:sz w:val="22"/>
          <w:szCs w:val="22"/>
        </w:rPr>
        <w:t>6</w:t>
      </w:r>
      <w:r w:rsidRPr="00CC7F9B">
        <w:rPr>
          <w:rFonts w:ascii="Arial" w:hAnsi="Arial" w:cs="Arial"/>
          <w:sz w:val="22"/>
          <w:szCs w:val="22"/>
        </w:rPr>
        <w:t>"</w:t>
      </w:r>
      <w:r w:rsidR="008561EC">
        <w:rPr>
          <w:rFonts w:ascii="Arial" w:hAnsi="Arial" w:cs="Arial"/>
          <w:sz w:val="22"/>
          <w:szCs w:val="22"/>
        </w:rPr>
        <w:t xml:space="preserve"> to </w:t>
      </w:r>
      <w:r>
        <w:rPr>
          <w:rFonts w:ascii="Arial" w:hAnsi="Arial" w:cs="Arial"/>
          <w:sz w:val="22"/>
          <w:szCs w:val="22"/>
        </w:rPr>
        <w:t>10</w:t>
      </w:r>
      <w:r w:rsidRPr="00CC7F9B">
        <w:rPr>
          <w:rFonts w:ascii="Arial" w:hAnsi="Arial" w:cs="Arial"/>
          <w:sz w:val="22"/>
          <w:szCs w:val="22"/>
        </w:rPr>
        <w:t>".</w:t>
      </w:r>
      <w:r>
        <w:rPr>
          <w:rFonts w:ascii="Arial" w:hAnsi="Arial" w:cs="Arial"/>
          <w:sz w:val="22"/>
          <w:szCs w:val="22"/>
        </w:rPr>
        <w:t xml:space="preserve"> Thicknesses as low as 4</w:t>
      </w:r>
      <w:r w:rsidR="008561EC">
        <w:rPr>
          <w:rFonts w:ascii="Arial" w:hAnsi="Arial" w:cs="Arial"/>
          <w:sz w:val="22"/>
          <w:szCs w:val="22"/>
        </w:rPr>
        <w:t>"</w:t>
      </w:r>
      <w:r>
        <w:rPr>
          <w:rFonts w:ascii="Arial" w:hAnsi="Arial" w:cs="Arial"/>
          <w:sz w:val="22"/>
          <w:szCs w:val="22"/>
        </w:rPr>
        <w:t xml:space="preserve"> have been placed.</w:t>
      </w:r>
    </w:p>
    <w:p w14:paraId="495342A3" w14:textId="77777777" w:rsidR="00BF10A0" w:rsidRDefault="00BF10A0" w:rsidP="00BE3F24">
      <w:pPr>
        <w:pStyle w:val="ListParagraph"/>
        <w:ind w:left="0"/>
        <w:jc w:val="both"/>
        <w:rPr>
          <w:rFonts w:ascii="Arial" w:hAnsi="Arial" w:cs="Arial"/>
          <w:b/>
          <w:sz w:val="22"/>
          <w:szCs w:val="22"/>
        </w:rPr>
      </w:pPr>
    </w:p>
    <w:bookmarkStart w:id="652" w:name="E2_BondedPCC_OL"/>
    <w:p w14:paraId="1A305643" w14:textId="77777777"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FF48E5">
        <w:rPr>
          <w:rFonts w:ascii="Arial" w:hAnsi="Arial" w:cs="Arial"/>
          <w:b/>
          <w:sz w:val="22"/>
          <w:szCs w:val="22"/>
        </w:rPr>
        <w:instrText xml:space="preserve"> HYPERLINK  \l "_SUPPLEMENTAL_INFORMATION_FOR_13" </w:instrText>
      </w:r>
      <w:r>
        <w:rPr>
          <w:rFonts w:ascii="Arial" w:hAnsi="Arial" w:cs="Arial"/>
          <w:b/>
          <w:sz w:val="22"/>
          <w:szCs w:val="22"/>
        </w:rPr>
      </w:r>
      <w:r>
        <w:rPr>
          <w:rFonts w:ascii="Arial" w:hAnsi="Arial" w:cs="Arial"/>
          <w:b/>
          <w:sz w:val="22"/>
          <w:szCs w:val="22"/>
        </w:rPr>
        <w:fldChar w:fldCharType="separate"/>
      </w:r>
      <w:r w:rsidR="00BF10A0" w:rsidRPr="00FF48E5">
        <w:rPr>
          <w:rStyle w:val="Hyperlink"/>
          <w:rFonts w:ascii="Arial" w:hAnsi="Arial" w:cs="Arial"/>
          <w:b/>
          <w:sz w:val="22"/>
          <w:szCs w:val="22"/>
        </w:rPr>
        <w:t>E-2: PCC Overlay – Bonded</w:t>
      </w:r>
      <w:r>
        <w:rPr>
          <w:rFonts w:ascii="Arial" w:hAnsi="Arial" w:cs="Arial"/>
          <w:b/>
          <w:sz w:val="22"/>
          <w:szCs w:val="22"/>
        </w:rPr>
        <w:fldChar w:fldCharType="end"/>
      </w:r>
    </w:p>
    <w:bookmarkEnd w:id="652"/>
    <w:p w14:paraId="4B6A0328" w14:textId="18E9A862" w:rsidR="00BF10A0" w:rsidRDefault="00BF10A0" w:rsidP="00BE3F24">
      <w:pPr>
        <w:pStyle w:val="ListParagraph"/>
        <w:ind w:left="0"/>
        <w:jc w:val="both"/>
        <w:rPr>
          <w:rFonts w:ascii="Arial" w:hAnsi="Arial" w:cs="Arial"/>
          <w:sz w:val="22"/>
          <w:szCs w:val="22"/>
        </w:rPr>
      </w:pPr>
      <w:r w:rsidRPr="00CC7F9B">
        <w:rPr>
          <w:rFonts w:ascii="Arial" w:hAnsi="Arial" w:cs="Arial"/>
          <w:sz w:val="22"/>
          <w:szCs w:val="22"/>
        </w:rPr>
        <w:t>Placement of a PCC overlay on a rigid</w:t>
      </w:r>
      <w:r>
        <w:rPr>
          <w:rFonts w:ascii="Arial" w:hAnsi="Arial" w:cs="Arial"/>
          <w:sz w:val="22"/>
          <w:szCs w:val="22"/>
        </w:rPr>
        <w:t>/flexible</w:t>
      </w:r>
      <w:r w:rsidRPr="00CC7F9B">
        <w:rPr>
          <w:rFonts w:ascii="Arial" w:hAnsi="Arial" w:cs="Arial"/>
          <w:sz w:val="22"/>
          <w:szCs w:val="22"/>
        </w:rPr>
        <w:t xml:space="preserve"> pavement. Additional care and construction practices are taken to ensure a good bond between </w:t>
      </w:r>
      <w:r>
        <w:rPr>
          <w:rFonts w:ascii="Arial" w:hAnsi="Arial" w:cs="Arial"/>
          <w:sz w:val="22"/>
          <w:szCs w:val="22"/>
        </w:rPr>
        <w:t xml:space="preserve">underlying pavement </w:t>
      </w:r>
      <w:r w:rsidRPr="00CC7F9B">
        <w:rPr>
          <w:rFonts w:ascii="Arial" w:hAnsi="Arial" w:cs="Arial"/>
          <w:sz w:val="22"/>
          <w:szCs w:val="22"/>
        </w:rPr>
        <w:t>and new overlay. Typical thickness ranges from 2"</w:t>
      </w:r>
      <w:r w:rsidR="008561EC">
        <w:rPr>
          <w:rFonts w:ascii="Arial" w:hAnsi="Arial" w:cs="Arial"/>
          <w:sz w:val="22"/>
          <w:szCs w:val="22"/>
        </w:rPr>
        <w:t xml:space="preserve"> to</w:t>
      </w:r>
      <w:r w:rsidRPr="00CC7F9B">
        <w:rPr>
          <w:rFonts w:ascii="Arial" w:hAnsi="Arial" w:cs="Arial"/>
          <w:sz w:val="22"/>
          <w:szCs w:val="22"/>
        </w:rPr>
        <w:t xml:space="preserve"> 5".</w:t>
      </w:r>
    </w:p>
    <w:p w14:paraId="3D0805ED" w14:textId="77777777" w:rsidR="00BF10A0" w:rsidRDefault="00BF10A0" w:rsidP="00BE3F24">
      <w:pPr>
        <w:pStyle w:val="ListParagraph"/>
        <w:ind w:left="0"/>
        <w:jc w:val="both"/>
        <w:rPr>
          <w:rFonts w:ascii="Arial" w:hAnsi="Arial" w:cs="Arial"/>
          <w:sz w:val="22"/>
          <w:szCs w:val="22"/>
        </w:rPr>
      </w:pPr>
    </w:p>
    <w:p w14:paraId="77D81A41" w14:textId="188230A6" w:rsidR="00BF10A0" w:rsidRPr="00516727" w:rsidRDefault="00171EC1" w:rsidP="00C021C2">
      <w:pPr>
        <w:pStyle w:val="Heading4"/>
      </w:pPr>
      <w:r>
        <w:t>Spot Repair</w:t>
      </w:r>
      <w:r w:rsidR="00BF10A0" w:rsidRPr="00516727">
        <w:t xml:space="preserve">: </w:t>
      </w:r>
    </w:p>
    <w:p w14:paraId="3874228E" w14:textId="77777777" w:rsidR="00BF10A0" w:rsidRPr="00E25A39" w:rsidRDefault="00BF10A0" w:rsidP="00BE3F24">
      <w:pPr>
        <w:pStyle w:val="ListParagraph"/>
        <w:ind w:left="0"/>
        <w:jc w:val="both"/>
        <w:rPr>
          <w:rFonts w:ascii="Arial" w:hAnsi="Arial" w:cs="Arial"/>
          <w:b/>
          <w:sz w:val="22"/>
          <w:szCs w:val="22"/>
          <w:u w:val="single"/>
        </w:rPr>
      </w:pPr>
    </w:p>
    <w:bookmarkStart w:id="653" w:name="F1_HMA_Patch"/>
    <w:p w14:paraId="5A5E6DA3" w14:textId="5590FFCF" w:rsidR="00BF10A0" w:rsidRPr="00E14D06"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FF48E5">
        <w:rPr>
          <w:rFonts w:ascii="Arial" w:hAnsi="Arial" w:cs="Arial"/>
          <w:b/>
          <w:sz w:val="22"/>
          <w:szCs w:val="22"/>
        </w:rPr>
        <w:instrText xml:space="preserve"> HYPERLINK  \l "_SUPPLEMENTAL_INFORMATION_FOR_14" </w:instrText>
      </w:r>
      <w:r>
        <w:rPr>
          <w:rFonts w:ascii="Arial" w:hAnsi="Arial" w:cs="Arial"/>
          <w:b/>
          <w:sz w:val="22"/>
          <w:szCs w:val="22"/>
        </w:rPr>
      </w:r>
      <w:r>
        <w:rPr>
          <w:rFonts w:ascii="Arial" w:hAnsi="Arial" w:cs="Arial"/>
          <w:b/>
          <w:sz w:val="22"/>
          <w:szCs w:val="22"/>
        </w:rPr>
        <w:fldChar w:fldCharType="separate"/>
      </w:r>
      <w:r w:rsidR="00BF10A0" w:rsidRPr="00FF48E5">
        <w:rPr>
          <w:rStyle w:val="Hyperlink"/>
          <w:rFonts w:ascii="Arial" w:hAnsi="Arial" w:cs="Arial"/>
          <w:b/>
          <w:sz w:val="22"/>
          <w:szCs w:val="22"/>
        </w:rPr>
        <w:t xml:space="preserve">F-1: </w:t>
      </w:r>
      <w:r w:rsidR="00171EC1">
        <w:rPr>
          <w:rStyle w:val="Hyperlink"/>
          <w:rFonts w:ascii="Arial" w:hAnsi="Arial" w:cs="Arial"/>
          <w:b/>
          <w:sz w:val="22"/>
          <w:szCs w:val="22"/>
        </w:rPr>
        <w:t>Asphalt</w:t>
      </w:r>
      <w:r w:rsidR="00BF10A0" w:rsidRPr="00FF48E5">
        <w:rPr>
          <w:rStyle w:val="Hyperlink"/>
          <w:rFonts w:ascii="Arial" w:hAnsi="Arial" w:cs="Arial"/>
          <w:b/>
          <w:sz w:val="22"/>
          <w:szCs w:val="22"/>
        </w:rPr>
        <w:t xml:space="preserve"> Patch</w:t>
      </w:r>
      <w:r>
        <w:rPr>
          <w:rFonts w:ascii="Arial" w:hAnsi="Arial" w:cs="Arial"/>
          <w:b/>
          <w:sz w:val="22"/>
          <w:szCs w:val="22"/>
        </w:rPr>
        <w:fldChar w:fldCharType="end"/>
      </w:r>
    </w:p>
    <w:bookmarkEnd w:id="653"/>
    <w:p w14:paraId="73A0EE10" w14:textId="624A2D0F" w:rsidR="00BF10A0" w:rsidRPr="00E14D06" w:rsidRDefault="00BF10A0" w:rsidP="00BE3F24">
      <w:pPr>
        <w:pStyle w:val="ListParagraph"/>
        <w:ind w:left="0"/>
        <w:jc w:val="both"/>
        <w:rPr>
          <w:rFonts w:ascii="Arial" w:hAnsi="Arial" w:cs="Arial"/>
          <w:sz w:val="22"/>
          <w:szCs w:val="22"/>
        </w:rPr>
      </w:pPr>
      <w:r w:rsidRPr="00E14D06">
        <w:rPr>
          <w:rFonts w:ascii="Arial" w:hAnsi="Arial" w:cs="Arial"/>
          <w:sz w:val="22"/>
          <w:szCs w:val="22"/>
        </w:rPr>
        <w:t xml:space="preserve">This consists of the removal of areas of unsound pavement material </w:t>
      </w:r>
      <w:r>
        <w:rPr>
          <w:rFonts w:ascii="Arial" w:hAnsi="Arial" w:cs="Arial"/>
          <w:sz w:val="22"/>
          <w:szCs w:val="22"/>
        </w:rPr>
        <w:t>for a portion or the full thickness of the pavement material</w:t>
      </w:r>
      <w:r w:rsidRPr="00E14D06">
        <w:rPr>
          <w:rFonts w:ascii="Arial" w:hAnsi="Arial" w:cs="Arial"/>
          <w:sz w:val="22"/>
          <w:szCs w:val="22"/>
        </w:rPr>
        <w:t xml:space="preserve"> and replacement with </w:t>
      </w:r>
      <w:r w:rsidR="00171EC1">
        <w:rPr>
          <w:rFonts w:ascii="Arial" w:hAnsi="Arial" w:cs="Arial"/>
          <w:sz w:val="22"/>
          <w:szCs w:val="22"/>
        </w:rPr>
        <w:t>asphalt</w:t>
      </w:r>
      <w:r w:rsidRPr="00E14D06">
        <w:rPr>
          <w:rFonts w:ascii="Arial" w:hAnsi="Arial" w:cs="Arial"/>
          <w:sz w:val="22"/>
          <w:szCs w:val="22"/>
        </w:rPr>
        <w:t xml:space="preserve">. The pavement thickness is defined as the thickness of all bound materials in the pavement structure, including </w:t>
      </w:r>
      <w:r w:rsidR="00171EC1">
        <w:rPr>
          <w:rFonts w:ascii="Arial" w:hAnsi="Arial" w:cs="Arial"/>
          <w:sz w:val="22"/>
          <w:szCs w:val="22"/>
        </w:rPr>
        <w:t>asphalt</w:t>
      </w:r>
      <w:r w:rsidRPr="00E14D06">
        <w:rPr>
          <w:rFonts w:ascii="Arial" w:hAnsi="Arial" w:cs="Arial"/>
          <w:sz w:val="22"/>
          <w:szCs w:val="22"/>
        </w:rPr>
        <w:t>, PCC</w:t>
      </w:r>
      <w:r w:rsidR="008561EC">
        <w:rPr>
          <w:rFonts w:ascii="Arial" w:hAnsi="Arial" w:cs="Arial"/>
          <w:sz w:val="22"/>
          <w:szCs w:val="22"/>
        </w:rPr>
        <w:t>,</w:t>
      </w:r>
      <w:r w:rsidRPr="00E14D06">
        <w:rPr>
          <w:rFonts w:ascii="Arial" w:hAnsi="Arial" w:cs="Arial"/>
          <w:sz w:val="22"/>
          <w:szCs w:val="22"/>
        </w:rPr>
        <w:t xml:space="preserve"> and any other asphalt or cement modified materials. </w:t>
      </w:r>
      <w:r w:rsidR="001207A8">
        <w:rPr>
          <w:rFonts w:ascii="Arial" w:hAnsi="Arial" w:cs="Arial"/>
          <w:sz w:val="22"/>
          <w:szCs w:val="22"/>
        </w:rPr>
        <w:t xml:space="preserve"> Generally, tonnage equals the square yards times inches divided by 17.</w:t>
      </w:r>
    </w:p>
    <w:p w14:paraId="7FD9D292" w14:textId="77777777" w:rsidR="00BF10A0" w:rsidRPr="00E14D06" w:rsidRDefault="00BF10A0" w:rsidP="00BE3F24">
      <w:pPr>
        <w:pStyle w:val="ListParagraph"/>
        <w:ind w:left="0"/>
        <w:jc w:val="both"/>
        <w:rPr>
          <w:rFonts w:ascii="Arial" w:hAnsi="Arial" w:cs="Arial"/>
          <w:sz w:val="22"/>
          <w:szCs w:val="22"/>
        </w:rPr>
      </w:pPr>
    </w:p>
    <w:bookmarkStart w:id="654" w:name="F2_PCC_Patch_Diamond_Grind"/>
    <w:p w14:paraId="03FE5598" w14:textId="77777777" w:rsidR="00BF10A0" w:rsidRPr="00CC7F9B" w:rsidRDefault="000D2B44" w:rsidP="00BE3F24">
      <w:pPr>
        <w:pStyle w:val="ListParagraph"/>
        <w:tabs>
          <w:tab w:val="left" w:pos="7553"/>
        </w:tabs>
        <w:ind w:left="0"/>
        <w:jc w:val="both"/>
        <w:rPr>
          <w:rFonts w:ascii="Arial" w:hAnsi="Arial" w:cs="Arial"/>
          <w:b/>
          <w:sz w:val="22"/>
          <w:szCs w:val="22"/>
        </w:rPr>
      </w:pPr>
      <w:r>
        <w:rPr>
          <w:rFonts w:ascii="Arial" w:hAnsi="Arial" w:cs="Arial"/>
          <w:b/>
          <w:sz w:val="22"/>
          <w:szCs w:val="22"/>
        </w:rPr>
        <w:fldChar w:fldCharType="begin"/>
      </w:r>
      <w:r w:rsidR="00E32C27">
        <w:rPr>
          <w:rFonts w:ascii="Arial" w:hAnsi="Arial" w:cs="Arial"/>
          <w:b/>
          <w:sz w:val="22"/>
          <w:szCs w:val="22"/>
        </w:rPr>
        <w:instrText>HYPERLINK  \l "_SUPPLEMENTAL_INFORMATION_FOR_14"</w:instrText>
      </w:r>
      <w:r>
        <w:rPr>
          <w:rFonts w:ascii="Arial" w:hAnsi="Arial" w:cs="Arial"/>
          <w:b/>
          <w:sz w:val="22"/>
          <w:szCs w:val="22"/>
        </w:rPr>
      </w:r>
      <w:r>
        <w:rPr>
          <w:rFonts w:ascii="Arial" w:hAnsi="Arial" w:cs="Arial"/>
          <w:b/>
          <w:sz w:val="22"/>
          <w:szCs w:val="22"/>
        </w:rPr>
        <w:fldChar w:fldCharType="separate"/>
      </w:r>
      <w:r w:rsidR="00BF10A0" w:rsidRPr="00FF48E5">
        <w:rPr>
          <w:rStyle w:val="Hyperlink"/>
          <w:rFonts w:ascii="Arial" w:hAnsi="Arial" w:cs="Arial"/>
          <w:b/>
          <w:sz w:val="22"/>
          <w:szCs w:val="22"/>
        </w:rPr>
        <w:t xml:space="preserve">F-2: PCC </w:t>
      </w:r>
      <w:r w:rsidR="00171EC1">
        <w:rPr>
          <w:rStyle w:val="Hyperlink"/>
          <w:rFonts w:ascii="Arial" w:hAnsi="Arial" w:cs="Arial"/>
          <w:b/>
          <w:sz w:val="22"/>
          <w:szCs w:val="22"/>
        </w:rPr>
        <w:t>Patch with Diamond Grinding</w:t>
      </w:r>
      <w:r>
        <w:rPr>
          <w:rFonts w:ascii="Arial" w:hAnsi="Arial" w:cs="Arial"/>
          <w:b/>
          <w:sz w:val="22"/>
          <w:szCs w:val="22"/>
        </w:rPr>
        <w:fldChar w:fldCharType="end"/>
      </w:r>
    </w:p>
    <w:bookmarkEnd w:id="654"/>
    <w:p w14:paraId="4F265241" w14:textId="77777777" w:rsidR="00E32C27" w:rsidRDefault="00E32C27" w:rsidP="00BE3F24">
      <w:pPr>
        <w:pStyle w:val="ListParagraph"/>
        <w:ind w:left="0"/>
        <w:jc w:val="both"/>
        <w:rPr>
          <w:rFonts w:ascii="Arial" w:hAnsi="Arial" w:cs="Arial"/>
          <w:sz w:val="22"/>
          <w:szCs w:val="22"/>
        </w:rPr>
      </w:pPr>
      <w:r>
        <w:rPr>
          <w:rFonts w:ascii="Arial" w:hAnsi="Arial" w:cs="Arial"/>
          <w:sz w:val="22"/>
          <w:szCs w:val="22"/>
        </w:rPr>
        <w:t>Consists of PCC patching, followed by Diamond Grinding.</w:t>
      </w:r>
    </w:p>
    <w:p w14:paraId="0C2E5DA2" w14:textId="77777777" w:rsidR="00BF10A0" w:rsidRDefault="00BF10A0" w:rsidP="00BE3F24">
      <w:pPr>
        <w:pStyle w:val="ListParagraph"/>
        <w:ind w:left="0"/>
        <w:rPr>
          <w:rFonts w:ascii="Arial" w:hAnsi="Arial" w:cs="Arial"/>
          <w:sz w:val="22"/>
          <w:szCs w:val="22"/>
        </w:rPr>
      </w:pPr>
    </w:p>
    <w:p w14:paraId="1DF39CAA" w14:textId="77777777" w:rsidR="00667295" w:rsidRPr="00CC7F9B" w:rsidRDefault="00667295" w:rsidP="00BE3F24">
      <w:pPr>
        <w:pStyle w:val="ListParagraph"/>
        <w:ind w:left="0"/>
        <w:rPr>
          <w:rFonts w:ascii="Arial" w:hAnsi="Arial" w:cs="Arial"/>
          <w:sz w:val="22"/>
          <w:szCs w:val="22"/>
        </w:rPr>
      </w:pPr>
    </w:p>
    <w:bookmarkStart w:id="655" w:name="F3_PCC_Patch"/>
    <w:p w14:paraId="69CAD768" w14:textId="77777777" w:rsidR="00BF10A0" w:rsidRPr="00CC7F9B" w:rsidRDefault="00476E70" w:rsidP="00BE3F24">
      <w:pPr>
        <w:pStyle w:val="ListParagraph"/>
        <w:ind w:left="0"/>
        <w:jc w:val="both"/>
        <w:rPr>
          <w:rFonts w:ascii="Arial" w:hAnsi="Arial" w:cs="Arial"/>
          <w:b/>
          <w:sz w:val="22"/>
          <w:szCs w:val="22"/>
        </w:rPr>
      </w:pPr>
      <w:r>
        <w:lastRenderedPageBreak/>
        <w:fldChar w:fldCharType="begin"/>
      </w:r>
      <w:r>
        <w:instrText xml:space="preserve"> HYPERLINK \l "_SUPPLEMENTAL_INFORMATION_FOR_14" </w:instrText>
      </w:r>
      <w:r>
        <w:fldChar w:fldCharType="separate"/>
      </w:r>
      <w:r w:rsidR="00BF10A0" w:rsidRPr="00FF48E5">
        <w:rPr>
          <w:rStyle w:val="Hyperlink"/>
          <w:rFonts w:ascii="Arial" w:hAnsi="Arial" w:cs="Arial"/>
          <w:b/>
          <w:sz w:val="22"/>
          <w:szCs w:val="22"/>
        </w:rPr>
        <w:t xml:space="preserve">F-3: PCC </w:t>
      </w:r>
      <w:r w:rsidR="00E32C27">
        <w:rPr>
          <w:rStyle w:val="Hyperlink"/>
          <w:rFonts w:ascii="Arial" w:hAnsi="Arial" w:cs="Arial"/>
          <w:b/>
          <w:sz w:val="22"/>
          <w:szCs w:val="22"/>
        </w:rPr>
        <w:t>Patch</w:t>
      </w:r>
      <w:r>
        <w:rPr>
          <w:rStyle w:val="Hyperlink"/>
          <w:rFonts w:ascii="Arial" w:hAnsi="Arial" w:cs="Arial"/>
          <w:b/>
          <w:sz w:val="22"/>
          <w:szCs w:val="22"/>
        </w:rPr>
        <w:fldChar w:fldCharType="end"/>
      </w:r>
    </w:p>
    <w:bookmarkEnd w:id="655"/>
    <w:p w14:paraId="03A801BE" w14:textId="3878B516" w:rsidR="00BF10A0" w:rsidRDefault="00E32C27" w:rsidP="00BE3F24">
      <w:pPr>
        <w:pStyle w:val="ListParagraph"/>
        <w:ind w:left="0"/>
        <w:jc w:val="both"/>
        <w:rPr>
          <w:rFonts w:ascii="Arial" w:hAnsi="Arial" w:cs="Arial"/>
          <w:sz w:val="22"/>
          <w:szCs w:val="22"/>
        </w:rPr>
      </w:pPr>
      <w:r w:rsidRPr="00CC7F9B">
        <w:rPr>
          <w:rFonts w:ascii="Arial" w:hAnsi="Arial" w:cs="Arial"/>
          <w:sz w:val="22"/>
          <w:szCs w:val="22"/>
        </w:rPr>
        <w:t xml:space="preserve">Partial </w:t>
      </w:r>
      <w:r w:rsidR="00BF10A0" w:rsidRPr="00CC7F9B">
        <w:rPr>
          <w:rFonts w:ascii="Arial" w:hAnsi="Arial" w:cs="Arial"/>
          <w:sz w:val="22"/>
          <w:szCs w:val="22"/>
        </w:rPr>
        <w:t>depth repairs are defined as the removal of small, shallow (less than 1/3 of the thickness of the concrete pavement) area</w:t>
      </w:r>
      <w:r w:rsidR="008561EC">
        <w:rPr>
          <w:rFonts w:ascii="Arial" w:hAnsi="Arial" w:cs="Arial"/>
          <w:sz w:val="22"/>
          <w:szCs w:val="22"/>
        </w:rPr>
        <w:t>s</w:t>
      </w:r>
      <w:r w:rsidR="00BF10A0" w:rsidRPr="00CC7F9B">
        <w:rPr>
          <w:rFonts w:ascii="Arial" w:hAnsi="Arial" w:cs="Arial"/>
          <w:sz w:val="22"/>
          <w:szCs w:val="22"/>
        </w:rPr>
        <w:t xml:space="preserve"> of deteriorated PCC that are then replaced with a suitable material.  These repairs restore structural integrity and improve ride quality, thereby extending the service life of the pavements that have spalled or distresse</w:t>
      </w:r>
      <w:r w:rsidR="00BF10A0">
        <w:rPr>
          <w:rFonts w:ascii="Arial" w:hAnsi="Arial" w:cs="Arial"/>
          <w:sz w:val="22"/>
          <w:szCs w:val="22"/>
        </w:rPr>
        <w:t>d</w:t>
      </w:r>
      <w:r w:rsidR="00BF10A0" w:rsidRPr="00CC7F9B">
        <w:rPr>
          <w:rFonts w:ascii="Arial" w:hAnsi="Arial" w:cs="Arial"/>
          <w:sz w:val="22"/>
          <w:szCs w:val="22"/>
        </w:rPr>
        <w:t xml:space="preserve"> joints.</w:t>
      </w:r>
    </w:p>
    <w:p w14:paraId="5F5777E4" w14:textId="77777777" w:rsidR="00BF10A0" w:rsidRPr="00CC7F9B" w:rsidRDefault="00BF10A0" w:rsidP="00C021C2">
      <w:pPr>
        <w:pStyle w:val="ListParagraph"/>
        <w:ind w:left="0"/>
        <w:rPr>
          <w:rFonts w:ascii="Arial" w:hAnsi="Arial" w:cs="Arial"/>
          <w:sz w:val="22"/>
          <w:szCs w:val="22"/>
        </w:rPr>
      </w:pPr>
    </w:p>
    <w:p w14:paraId="2DEFCE12" w14:textId="566EE19D" w:rsidR="00BF10A0" w:rsidRPr="00CC7F9B" w:rsidRDefault="00BF10A0" w:rsidP="00BE3F24">
      <w:pPr>
        <w:pStyle w:val="ListParagraph"/>
        <w:ind w:left="0"/>
        <w:jc w:val="both"/>
        <w:rPr>
          <w:rFonts w:ascii="Arial" w:hAnsi="Arial" w:cs="Arial"/>
          <w:sz w:val="22"/>
          <w:szCs w:val="22"/>
        </w:rPr>
      </w:pPr>
      <w:r w:rsidRPr="00CC7F9B">
        <w:rPr>
          <w:rFonts w:ascii="Arial" w:hAnsi="Arial" w:cs="Arial"/>
          <w:sz w:val="22"/>
          <w:szCs w:val="22"/>
        </w:rPr>
        <w:t>F</w:t>
      </w:r>
      <w:r>
        <w:rPr>
          <w:rFonts w:ascii="Arial" w:hAnsi="Arial" w:cs="Arial"/>
          <w:sz w:val="22"/>
          <w:szCs w:val="22"/>
        </w:rPr>
        <w:t>ull-Depth Repairs (FDR)</w:t>
      </w:r>
      <w:r w:rsidRPr="00CC7F9B">
        <w:rPr>
          <w:rFonts w:ascii="Arial" w:hAnsi="Arial" w:cs="Arial"/>
          <w:sz w:val="22"/>
          <w:szCs w:val="22"/>
        </w:rPr>
        <w:t xml:space="preserve"> are cast</w:t>
      </w:r>
      <w:r w:rsidR="0053258E">
        <w:rPr>
          <w:rFonts w:ascii="Arial" w:hAnsi="Arial" w:cs="Arial"/>
          <w:sz w:val="22"/>
          <w:szCs w:val="22"/>
        </w:rPr>
        <w:t>-</w:t>
      </w:r>
      <w:r w:rsidRPr="00CC7F9B">
        <w:rPr>
          <w:rFonts w:ascii="Arial" w:hAnsi="Arial" w:cs="Arial"/>
          <w:sz w:val="22"/>
          <w:szCs w:val="22"/>
        </w:rPr>
        <w:t xml:space="preserve">in-place </w:t>
      </w:r>
      <w:r>
        <w:rPr>
          <w:rFonts w:ascii="Arial" w:hAnsi="Arial" w:cs="Arial"/>
          <w:sz w:val="22"/>
          <w:szCs w:val="22"/>
        </w:rPr>
        <w:t>PCC</w:t>
      </w:r>
      <w:r w:rsidRPr="00CC7F9B">
        <w:rPr>
          <w:rFonts w:ascii="Arial" w:hAnsi="Arial" w:cs="Arial"/>
          <w:sz w:val="22"/>
          <w:szCs w:val="22"/>
        </w:rPr>
        <w:t xml:space="preserve"> repairs that extend through the full</w:t>
      </w:r>
      <w:r>
        <w:rPr>
          <w:rFonts w:ascii="Arial" w:hAnsi="Arial" w:cs="Arial"/>
          <w:sz w:val="22"/>
          <w:szCs w:val="22"/>
        </w:rPr>
        <w:t xml:space="preserve"> </w:t>
      </w:r>
      <w:r w:rsidRPr="00CC7F9B">
        <w:rPr>
          <w:rFonts w:ascii="Arial" w:hAnsi="Arial" w:cs="Arial"/>
          <w:sz w:val="22"/>
          <w:szCs w:val="22"/>
        </w:rPr>
        <w:t xml:space="preserve">thickness of the existing PCC slab. The technique involves the full-depth removal and replacement of a full or half lane width area of an existing deteriorated PCC pavement. The minimum specified repair length is typically </w:t>
      </w:r>
      <w:r>
        <w:rPr>
          <w:rFonts w:ascii="Arial" w:hAnsi="Arial" w:cs="Arial"/>
          <w:sz w:val="22"/>
          <w:szCs w:val="22"/>
        </w:rPr>
        <w:t>six</w:t>
      </w:r>
      <w:r w:rsidRPr="00CC7F9B">
        <w:rPr>
          <w:rFonts w:ascii="Arial" w:hAnsi="Arial" w:cs="Arial"/>
          <w:sz w:val="22"/>
          <w:szCs w:val="22"/>
        </w:rPr>
        <w:t xml:space="preserve"> feet. However, it may be more cost effective and reliable to replace a large area rather than placing a series of short repairs.</w:t>
      </w:r>
    </w:p>
    <w:p w14:paraId="63C14B73" w14:textId="77777777" w:rsidR="00BF10A0" w:rsidRDefault="00BF10A0" w:rsidP="00BE3F24">
      <w:pPr>
        <w:pStyle w:val="ListParagraph"/>
        <w:ind w:left="0"/>
        <w:rPr>
          <w:rFonts w:ascii="Arial" w:hAnsi="Arial" w:cs="Arial"/>
          <w:sz w:val="22"/>
          <w:szCs w:val="22"/>
        </w:rPr>
      </w:pPr>
    </w:p>
    <w:p w14:paraId="09785C7D" w14:textId="77777777" w:rsidR="00BF10A0" w:rsidRDefault="00BF10A0" w:rsidP="00BE3F24">
      <w:pPr>
        <w:pStyle w:val="BodyText"/>
        <w:rPr>
          <w:rFonts w:cs="Arial"/>
          <w:b/>
        </w:rPr>
      </w:pPr>
      <w:r w:rsidRPr="008229A0">
        <w:rPr>
          <w:rFonts w:cs="Arial"/>
          <w:b/>
        </w:rPr>
        <w:t>Note: HMA material shall not be used to patch concrete pavements.</w:t>
      </w:r>
    </w:p>
    <w:p w14:paraId="082937FB" w14:textId="77777777" w:rsidR="00BF10A0" w:rsidRPr="00C021C2" w:rsidRDefault="00BF10A0" w:rsidP="00BE3F24">
      <w:pPr>
        <w:pStyle w:val="ListParagraph"/>
        <w:ind w:left="0"/>
        <w:rPr>
          <w:rFonts w:ascii="Arial" w:hAnsi="Arial"/>
          <w:b/>
          <w:sz w:val="22"/>
          <w:u w:val="single"/>
        </w:rPr>
      </w:pPr>
    </w:p>
    <w:bookmarkStart w:id="656" w:name="F4_Cross_Stitch"/>
    <w:p w14:paraId="30554B70" w14:textId="76D2266A"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FF48E5">
        <w:rPr>
          <w:rFonts w:ascii="Arial" w:hAnsi="Arial" w:cs="Arial"/>
          <w:b/>
          <w:sz w:val="22"/>
          <w:szCs w:val="22"/>
        </w:rPr>
        <w:instrText xml:space="preserve"> HYPERLINK  \l "_SUPPLEMENTAL_INFORMATION_FOR_16" </w:instrText>
      </w:r>
      <w:r>
        <w:rPr>
          <w:rFonts w:ascii="Arial" w:hAnsi="Arial" w:cs="Arial"/>
          <w:b/>
          <w:sz w:val="22"/>
          <w:szCs w:val="22"/>
        </w:rPr>
      </w:r>
      <w:r>
        <w:rPr>
          <w:rFonts w:ascii="Arial" w:hAnsi="Arial" w:cs="Arial"/>
          <w:b/>
          <w:sz w:val="22"/>
          <w:szCs w:val="22"/>
        </w:rPr>
        <w:fldChar w:fldCharType="separate"/>
      </w:r>
      <w:r w:rsidR="00496C1D">
        <w:rPr>
          <w:rStyle w:val="Hyperlink"/>
          <w:rFonts w:ascii="Arial" w:hAnsi="Arial" w:cs="Arial"/>
          <w:b/>
          <w:sz w:val="22"/>
          <w:szCs w:val="22"/>
        </w:rPr>
        <w:t>F-4</w:t>
      </w:r>
      <w:r w:rsidR="00BF10A0" w:rsidRPr="00FF48E5">
        <w:rPr>
          <w:rStyle w:val="Hyperlink"/>
          <w:rFonts w:ascii="Arial" w:hAnsi="Arial" w:cs="Arial"/>
          <w:b/>
          <w:sz w:val="22"/>
          <w:szCs w:val="22"/>
        </w:rPr>
        <w:t>: Cross-stitching</w:t>
      </w:r>
      <w:r>
        <w:rPr>
          <w:rFonts w:ascii="Arial" w:hAnsi="Arial" w:cs="Arial"/>
          <w:b/>
          <w:sz w:val="22"/>
          <w:szCs w:val="22"/>
        </w:rPr>
        <w:fldChar w:fldCharType="end"/>
      </w:r>
    </w:p>
    <w:bookmarkEnd w:id="656"/>
    <w:p w14:paraId="533BC474" w14:textId="77777777" w:rsidR="00BF10A0" w:rsidRPr="00CC7F9B" w:rsidRDefault="00BF10A0" w:rsidP="00BE3F24">
      <w:pPr>
        <w:pStyle w:val="ListParagraph"/>
        <w:ind w:left="0"/>
        <w:jc w:val="both"/>
        <w:rPr>
          <w:rFonts w:ascii="Arial" w:hAnsi="Arial" w:cs="Arial"/>
          <w:sz w:val="22"/>
          <w:szCs w:val="22"/>
        </w:rPr>
      </w:pPr>
      <w:r w:rsidRPr="00CC7F9B">
        <w:rPr>
          <w:rFonts w:ascii="Arial" w:hAnsi="Arial" w:cs="Arial"/>
          <w:sz w:val="22"/>
          <w:szCs w:val="22"/>
        </w:rPr>
        <w:t xml:space="preserve">A </w:t>
      </w:r>
      <w:r w:rsidRPr="00CC7F9B">
        <w:rPr>
          <w:rFonts w:ascii="Arial" w:hAnsi="Arial" w:cs="Arial"/>
          <w:b/>
          <w:sz w:val="22"/>
          <w:szCs w:val="22"/>
          <w:u w:val="single"/>
        </w:rPr>
        <w:t>longitudinal</w:t>
      </w:r>
      <w:r w:rsidRPr="00CC7F9B">
        <w:rPr>
          <w:rFonts w:ascii="Arial" w:hAnsi="Arial" w:cs="Arial"/>
          <w:b/>
          <w:sz w:val="22"/>
          <w:szCs w:val="22"/>
        </w:rPr>
        <w:t xml:space="preserve"> </w:t>
      </w:r>
      <w:r w:rsidRPr="00CC7F9B">
        <w:rPr>
          <w:rFonts w:ascii="Arial" w:hAnsi="Arial" w:cs="Arial"/>
          <w:sz w:val="22"/>
          <w:szCs w:val="22"/>
        </w:rPr>
        <w:t>crack and joint repair technique that consists of grouting tie bars in holes drilled across non-working longitudinal cracks/joints at an angle to the pavement surface.  Cross-stitching prevents horizontal and vertical crack movements.</w:t>
      </w:r>
    </w:p>
    <w:p w14:paraId="36EC7BE5" w14:textId="77777777" w:rsidR="00FF48E5" w:rsidRPr="00CC7F9B" w:rsidRDefault="00FF48E5" w:rsidP="00BE3F24">
      <w:pPr>
        <w:pStyle w:val="ListParagraph"/>
        <w:ind w:left="0"/>
        <w:jc w:val="both"/>
        <w:rPr>
          <w:rFonts w:ascii="Arial" w:hAnsi="Arial" w:cs="Arial"/>
          <w:sz w:val="22"/>
          <w:szCs w:val="22"/>
        </w:rPr>
      </w:pPr>
    </w:p>
    <w:bookmarkStart w:id="657" w:name="F5_DBR"/>
    <w:p w14:paraId="2959CD4B" w14:textId="77189D4D"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FF48E5">
        <w:rPr>
          <w:rFonts w:ascii="Arial" w:hAnsi="Arial" w:cs="Arial"/>
          <w:b/>
          <w:sz w:val="22"/>
          <w:szCs w:val="22"/>
        </w:rPr>
        <w:instrText xml:space="preserve"> HYPERLINK  \l "_SUPPLEMENTAL_INFORMATION_FOR_16" </w:instrText>
      </w:r>
      <w:r>
        <w:rPr>
          <w:rFonts w:ascii="Arial" w:hAnsi="Arial" w:cs="Arial"/>
          <w:b/>
          <w:sz w:val="22"/>
          <w:szCs w:val="22"/>
        </w:rPr>
      </w:r>
      <w:r>
        <w:rPr>
          <w:rFonts w:ascii="Arial" w:hAnsi="Arial" w:cs="Arial"/>
          <w:b/>
          <w:sz w:val="22"/>
          <w:szCs w:val="22"/>
        </w:rPr>
        <w:fldChar w:fldCharType="separate"/>
      </w:r>
      <w:r w:rsidR="00496C1D">
        <w:rPr>
          <w:rStyle w:val="Hyperlink"/>
          <w:rFonts w:ascii="Arial" w:hAnsi="Arial" w:cs="Arial"/>
          <w:b/>
          <w:sz w:val="22"/>
          <w:szCs w:val="22"/>
        </w:rPr>
        <w:t>F-5</w:t>
      </w:r>
      <w:r w:rsidR="00BF10A0" w:rsidRPr="00FF48E5">
        <w:rPr>
          <w:rStyle w:val="Hyperlink"/>
          <w:rFonts w:ascii="Arial" w:hAnsi="Arial" w:cs="Arial"/>
          <w:b/>
          <w:sz w:val="22"/>
          <w:szCs w:val="22"/>
        </w:rPr>
        <w:t>: Dowel Bar Retrofit</w:t>
      </w:r>
      <w:r>
        <w:rPr>
          <w:rFonts w:ascii="Arial" w:hAnsi="Arial" w:cs="Arial"/>
          <w:b/>
          <w:sz w:val="22"/>
          <w:szCs w:val="22"/>
        </w:rPr>
        <w:fldChar w:fldCharType="end"/>
      </w:r>
    </w:p>
    <w:bookmarkEnd w:id="657"/>
    <w:p w14:paraId="75258C90" w14:textId="77777777" w:rsidR="00BF10A0" w:rsidRPr="00CC7F9B" w:rsidRDefault="00BF10A0" w:rsidP="00BE3F24">
      <w:pPr>
        <w:pStyle w:val="ListParagraph"/>
        <w:ind w:left="0"/>
        <w:jc w:val="both"/>
        <w:rPr>
          <w:rFonts w:ascii="Arial" w:hAnsi="Arial" w:cs="Arial"/>
          <w:sz w:val="22"/>
          <w:szCs w:val="22"/>
        </w:rPr>
      </w:pPr>
      <w:r w:rsidRPr="00CC7F9B">
        <w:rPr>
          <w:rFonts w:ascii="Arial" w:hAnsi="Arial" w:cs="Arial"/>
          <w:sz w:val="22"/>
          <w:szCs w:val="22"/>
        </w:rPr>
        <w:t>Placement of load transfer devices across joints or cracks in an existing jointed concrete pavement to restore load transfer at the joints.  Poor load transfer can lead to pumping, faulting and corner breaks. Slots are cut, concrete removed, dowel bars inserted, backfill material filled, the surface finished, cured, and most often diamond ground.</w:t>
      </w:r>
    </w:p>
    <w:p w14:paraId="3C8E53BE" w14:textId="77777777" w:rsidR="00BF10A0" w:rsidRPr="00CC7F9B" w:rsidRDefault="00BF10A0" w:rsidP="00BE3F24">
      <w:pPr>
        <w:pStyle w:val="ListParagraph"/>
        <w:ind w:left="0"/>
        <w:jc w:val="both"/>
        <w:rPr>
          <w:rFonts w:ascii="Arial" w:hAnsi="Arial" w:cs="Arial"/>
          <w:sz w:val="22"/>
          <w:szCs w:val="22"/>
        </w:rPr>
      </w:pPr>
    </w:p>
    <w:bookmarkStart w:id="658" w:name="F6_Underseal"/>
    <w:p w14:paraId="3B2F7B5D" w14:textId="5687D4EE"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FF48E5">
        <w:rPr>
          <w:rFonts w:ascii="Arial" w:hAnsi="Arial" w:cs="Arial"/>
          <w:b/>
          <w:sz w:val="22"/>
          <w:szCs w:val="22"/>
        </w:rPr>
        <w:instrText xml:space="preserve"> HYPERLINK  \l "_SUPPLEMENTAL_INFORMATION_FOR_17" </w:instrText>
      </w:r>
      <w:r>
        <w:rPr>
          <w:rFonts w:ascii="Arial" w:hAnsi="Arial" w:cs="Arial"/>
          <w:b/>
          <w:sz w:val="22"/>
          <w:szCs w:val="22"/>
        </w:rPr>
      </w:r>
      <w:r>
        <w:rPr>
          <w:rFonts w:ascii="Arial" w:hAnsi="Arial" w:cs="Arial"/>
          <w:b/>
          <w:sz w:val="22"/>
          <w:szCs w:val="22"/>
        </w:rPr>
        <w:fldChar w:fldCharType="separate"/>
      </w:r>
      <w:r w:rsidR="001A113C">
        <w:rPr>
          <w:rStyle w:val="Hyperlink"/>
          <w:rFonts w:ascii="Arial" w:hAnsi="Arial" w:cs="Arial"/>
          <w:b/>
          <w:sz w:val="22"/>
          <w:szCs w:val="22"/>
        </w:rPr>
        <w:t>F-6</w:t>
      </w:r>
      <w:r w:rsidR="00BF10A0" w:rsidRPr="00FF48E5">
        <w:rPr>
          <w:rStyle w:val="Hyperlink"/>
          <w:rFonts w:ascii="Arial" w:hAnsi="Arial" w:cs="Arial"/>
          <w:b/>
          <w:sz w:val="22"/>
          <w:szCs w:val="22"/>
        </w:rPr>
        <w:t>: Undersealing /</w:t>
      </w:r>
      <w:r w:rsidR="001765C1">
        <w:rPr>
          <w:rStyle w:val="Hyperlink"/>
          <w:rFonts w:ascii="Arial" w:hAnsi="Arial" w:cs="Arial"/>
          <w:b/>
          <w:sz w:val="22"/>
          <w:szCs w:val="22"/>
        </w:rPr>
        <w:t xml:space="preserve"> </w:t>
      </w:r>
      <w:r w:rsidR="00BF10A0" w:rsidRPr="00FF48E5">
        <w:rPr>
          <w:rStyle w:val="Hyperlink"/>
          <w:rFonts w:ascii="Arial" w:hAnsi="Arial" w:cs="Arial"/>
          <w:b/>
          <w:sz w:val="22"/>
          <w:szCs w:val="22"/>
        </w:rPr>
        <w:t>Slab Stabilization</w:t>
      </w:r>
      <w:r>
        <w:rPr>
          <w:rFonts w:ascii="Arial" w:hAnsi="Arial" w:cs="Arial"/>
          <w:b/>
          <w:sz w:val="22"/>
          <w:szCs w:val="22"/>
        </w:rPr>
        <w:fldChar w:fldCharType="end"/>
      </w:r>
    </w:p>
    <w:bookmarkEnd w:id="658"/>
    <w:p w14:paraId="279C625F" w14:textId="10F34631" w:rsidR="00BF10A0" w:rsidRDefault="00BF10A0" w:rsidP="00BE3F24">
      <w:pPr>
        <w:pStyle w:val="ListParagraph"/>
        <w:ind w:left="0"/>
        <w:jc w:val="both"/>
        <w:rPr>
          <w:rFonts w:ascii="Arial" w:hAnsi="Arial" w:cs="Arial"/>
          <w:sz w:val="22"/>
          <w:szCs w:val="22"/>
        </w:rPr>
      </w:pPr>
      <w:r w:rsidRPr="00CC7F9B">
        <w:rPr>
          <w:rFonts w:ascii="Arial" w:hAnsi="Arial" w:cs="Arial"/>
          <w:sz w:val="22"/>
          <w:szCs w:val="22"/>
        </w:rPr>
        <w:t>The pressure insertion of flowable material beneath the concrete slab to fill voids be</w:t>
      </w:r>
      <w:r>
        <w:rPr>
          <w:rFonts w:ascii="Arial" w:hAnsi="Arial" w:cs="Arial"/>
          <w:sz w:val="22"/>
          <w:szCs w:val="22"/>
        </w:rPr>
        <w:t>tween</w:t>
      </w:r>
      <w:r w:rsidRPr="00CC7F9B">
        <w:rPr>
          <w:rFonts w:ascii="Arial" w:hAnsi="Arial" w:cs="Arial"/>
          <w:sz w:val="22"/>
          <w:szCs w:val="22"/>
        </w:rPr>
        <w:t xml:space="preserve"> the slab and the base, reducing the deflections and</w:t>
      </w:r>
      <w:r w:rsidR="001765C1">
        <w:rPr>
          <w:rFonts w:ascii="Arial" w:hAnsi="Arial" w:cs="Arial"/>
          <w:sz w:val="22"/>
          <w:szCs w:val="22"/>
        </w:rPr>
        <w:t>,</w:t>
      </w:r>
      <w:r w:rsidRPr="00CC7F9B">
        <w:rPr>
          <w:rFonts w:ascii="Arial" w:hAnsi="Arial" w:cs="Arial"/>
          <w:sz w:val="22"/>
          <w:szCs w:val="22"/>
        </w:rPr>
        <w:t xml:space="preserve"> consequently, deflection-related distresses such as pumping or faulting. It is often performed at areas where pumping or loss of support occur, such as beneath transverse joints and deteriorated cracks. The voids filled by this technique are generally less than 3mm (0.12") thick. </w:t>
      </w:r>
    </w:p>
    <w:p w14:paraId="3576AA35" w14:textId="77777777" w:rsidR="00BF10A0" w:rsidRDefault="00BF10A0" w:rsidP="00BE3F24">
      <w:pPr>
        <w:jc w:val="both"/>
        <w:rPr>
          <w:rFonts w:ascii="Arial" w:hAnsi="Arial" w:cs="Arial"/>
          <w:sz w:val="22"/>
          <w:szCs w:val="22"/>
        </w:rPr>
      </w:pPr>
    </w:p>
    <w:p w14:paraId="246C88F9" w14:textId="34009962" w:rsidR="00BF10A0" w:rsidRPr="00516727" w:rsidRDefault="00BF10A0" w:rsidP="00172E64">
      <w:pPr>
        <w:pStyle w:val="Heading4"/>
        <w:numPr>
          <w:ilvl w:val="3"/>
          <w:numId w:val="185"/>
        </w:numPr>
        <w:ind w:left="0" w:firstLine="0"/>
      </w:pPr>
      <w:r w:rsidRPr="00516727">
        <w:t>Surface Texturizing</w:t>
      </w:r>
    </w:p>
    <w:p w14:paraId="72CF8A80" w14:textId="77777777" w:rsidR="00BF10A0" w:rsidRPr="00CC7F9B" w:rsidRDefault="00BF10A0" w:rsidP="00BE3F24">
      <w:pPr>
        <w:jc w:val="both"/>
        <w:rPr>
          <w:rFonts w:ascii="Arial" w:hAnsi="Arial" w:cs="Arial"/>
          <w:sz w:val="22"/>
          <w:szCs w:val="22"/>
        </w:rPr>
      </w:pPr>
    </w:p>
    <w:bookmarkStart w:id="659" w:name="G1_Diamond_Grind"/>
    <w:p w14:paraId="1F014CBC" w14:textId="7809B966"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917730">
        <w:rPr>
          <w:rFonts w:ascii="Arial" w:hAnsi="Arial" w:cs="Arial"/>
          <w:b/>
          <w:sz w:val="22"/>
          <w:szCs w:val="22"/>
        </w:rPr>
        <w:instrText xml:space="preserve"> HYPERLINK  \l "_SUPPLEMENTAL_INFORMATION_FOR_18" </w:instrText>
      </w:r>
      <w:r>
        <w:rPr>
          <w:rFonts w:ascii="Arial" w:hAnsi="Arial" w:cs="Arial"/>
          <w:b/>
          <w:sz w:val="22"/>
          <w:szCs w:val="22"/>
        </w:rPr>
      </w:r>
      <w:r>
        <w:rPr>
          <w:rFonts w:ascii="Arial" w:hAnsi="Arial" w:cs="Arial"/>
          <w:b/>
          <w:sz w:val="22"/>
          <w:szCs w:val="22"/>
        </w:rPr>
        <w:fldChar w:fldCharType="separate"/>
      </w:r>
      <w:r w:rsidR="00A57651">
        <w:rPr>
          <w:rStyle w:val="Hyperlink"/>
          <w:rFonts w:ascii="Arial" w:hAnsi="Arial" w:cs="Arial"/>
          <w:b/>
          <w:sz w:val="22"/>
          <w:szCs w:val="22"/>
        </w:rPr>
        <w:t>G</w:t>
      </w:r>
      <w:r w:rsidR="00BF10A0" w:rsidRPr="00917730">
        <w:rPr>
          <w:rStyle w:val="Hyperlink"/>
          <w:rFonts w:ascii="Arial" w:hAnsi="Arial" w:cs="Arial"/>
          <w:b/>
          <w:sz w:val="22"/>
          <w:szCs w:val="22"/>
        </w:rPr>
        <w:t>-1: Diamond Grinding</w:t>
      </w:r>
      <w:r>
        <w:rPr>
          <w:rFonts w:ascii="Arial" w:hAnsi="Arial" w:cs="Arial"/>
          <w:b/>
          <w:sz w:val="22"/>
          <w:szCs w:val="22"/>
        </w:rPr>
        <w:fldChar w:fldCharType="end"/>
      </w:r>
    </w:p>
    <w:bookmarkEnd w:id="659"/>
    <w:p w14:paraId="6FABA77F" w14:textId="2584ACBC" w:rsidR="00BF10A0" w:rsidRDefault="00BF10A0" w:rsidP="00BE3F24">
      <w:pPr>
        <w:jc w:val="both"/>
        <w:rPr>
          <w:rFonts w:ascii="Arial" w:hAnsi="Arial" w:cs="Arial"/>
          <w:sz w:val="22"/>
          <w:szCs w:val="22"/>
        </w:rPr>
      </w:pPr>
      <w:r w:rsidRPr="00CC7F9B">
        <w:rPr>
          <w:rFonts w:ascii="Arial" w:hAnsi="Arial" w:cs="Arial"/>
          <w:sz w:val="22"/>
          <w:szCs w:val="22"/>
        </w:rPr>
        <w:t xml:space="preserve">The removal of a thin layer of </w:t>
      </w:r>
      <w:r w:rsidR="00A57651">
        <w:rPr>
          <w:rFonts w:ascii="Arial" w:hAnsi="Arial" w:cs="Arial"/>
          <w:sz w:val="22"/>
          <w:szCs w:val="22"/>
        </w:rPr>
        <w:t>asphalt</w:t>
      </w:r>
      <w:r w:rsidRPr="00CC7F9B">
        <w:rPr>
          <w:rFonts w:ascii="Arial" w:hAnsi="Arial" w:cs="Arial"/>
          <w:sz w:val="22"/>
          <w:szCs w:val="22"/>
        </w:rPr>
        <w:t xml:space="preserve">, generally about 1/16" to 0.25", </w:t>
      </w:r>
      <w:r w:rsidR="00A57651">
        <w:rPr>
          <w:rFonts w:ascii="Arial" w:hAnsi="Arial" w:cs="Arial"/>
          <w:sz w:val="22"/>
          <w:szCs w:val="22"/>
        </w:rPr>
        <w:t>or</w:t>
      </w:r>
      <w:r w:rsidRPr="00CC7F9B">
        <w:rPr>
          <w:rFonts w:ascii="Arial" w:hAnsi="Arial" w:cs="Arial"/>
          <w:sz w:val="22"/>
          <w:szCs w:val="22"/>
        </w:rPr>
        <w:t xml:space="preserve"> the removal of a thin layer of concrete, generally about 3/16" to 0.25", from the surface of the pavement using special equipment outfitted with a series of closely spaced diamond saw blades.</w:t>
      </w:r>
    </w:p>
    <w:p w14:paraId="2745B058" w14:textId="77777777" w:rsidR="00BF10A0" w:rsidRPr="00CC7F9B" w:rsidRDefault="00BF10A0" w:rsidP="00BE3F24">
      <w:pPr>
        <w:jc w:val="both"/>
        <w:rPr>
          <w:rFonts w:ascii="Arial" w:hAnsi="Arial" w:cs="Arial"/>
          <w:sz w:val="22"/>
          <w:szCs w:val="22"/>
        </w:rPr>
      </w:pPr>
    </w:p>
    <w:bookmarkStart w:id="660" w:name="G2_Surface_Abrasion"/>
    <w:p w14:paraId="7C0EE477" w14:textId="77777777" w:rsidR="00A57651" w:rsidRPr="00CB1130" w:rsidRDefault="00A57651" w:rsidP="00A57651">
      <w:pPr>
        <w:pStyle w:val="ListParagraph"/>
        <w:ind w:left="0"/>
        <w:jc w:val="both"/>
        <w:rPr>
          <w:rFonts w:ascii="Arial" w:hAnsi="Arial" w:cs="Arial"/>
          <w:b/>
          <w:sz w:val="22"/>
          <w:szCs w:val="22"/>
        </w:rPr>
      </w:pPr>
      <w:r>
        <w:rPr>
          <w:rFonts w:ascii="Arial" w:hAnsi="Arial" w:cs="Arial"/>
          <w:b/>
          <w:sz w:val="22"/>
          <w:szCs w:val="22"/>
        </w:rPr>
        <w:fldChar w:fldCharType="begin"/>
      </w:r>
      <w:r>
        <w:rPr>
          <w:rFonts w:ascii="Arial" w:hAnsi="Arial" w:cs="Arial"/>
          <w:b/>
          <w:sz w:val="22"/>
          <w:szCs w:val="22"/>
        </w:rPr>
        <w:instrText>HYPERLINK  \l "_SUPPLEMENTAL_INFORMATION_FOR_18"</w:instrText>
      </w:r>
      <w:r>
        <w:rPr>
          <w:rFonts w:ascii="Arial" w:hAnsi="Arial" w:cs="Arial"/>
          <w:b/>
          <w:sz w:val="22"/>
          <w:szCs w:val="22"/>
        </w:rPr>
      </w:r>
      <w:r>
        <w:rPr>
          <w:rFonts w:ascii="Arial" w:hAnsi="Arial" w:cs="Arial"/>
          <w:b/>
          <w:sz w:val="22"/>
          <w:szCs w:val="22"/>
        </w:rPr>
        <w:fldChar w:fldCharType="separate"/>
      </w:r>
      <w:r>
        <w:rPr>
          <w:rStyle w:val="Hyperlink"/>
          <w:rFonts w:ascii="Arial" w:hAnsi="Arial" w:cs="Arial"/>
          <w:b/>
          <w:sz w:val="22"/>
          <w:szCs w:val="22"/>
        </w:rPr>
        <w:t>G-2</w:t>
      </w:r>
      <w:r w:rsidRPr="00917730">
        <w:rPr>
          <w:rStyle w:val="Hyperlink"/>
          <w:rFonts w:ascii="Arial" w:hAnsi="Arial" w:cs="Arial"/>
          <w:b/>
          <w:sz w:val="22"/>
          <w:szCs w:val="22"/>
        </w:rPr>
        <w:t>: Surface Abrasion</w:t>
      </w:r>
      <w:r>
        <w:rPr>
          <w:rFonts w:ascii="Arial" w:hAnsi="Arial" w:cs="Arial"/>
          <w:b/>
          <w:sz w:val="22"/>
          <w:szCs w:val="22"/>
        </w:rPr>
        <w:fldChar w:fldCharType="end"/>
      </w:r>
    </w:p>
    <w:bookmarkEnd w:id="660"/>
    <w:p w14:paraId="625F9A38" w14:textId="77777777" w:rsidR="00BF10A0" w:rsidRDefault="00BF10A0" w:rsidP="00BE3F24">
      <w:pPr>
        <w:jc w:val="both"/>
        <w:rPr>
          <w:rFonts w:ascii="Arial" w:hAnsi="Arial" w:cs="Arial"/>
          <w:sz w:val="22"/>
          <w:szCs w:val="22"/>
        </w:rPr>
      </w:pPr>
      <w:r>
        <w:rPr>
          <w:rFonts w:ascii="Arial" w:hAnsi="Arial" w:cs="Arial"/>
          <w:sz w:val="22"/>
          <w:szCs w:val="22"/>
        </w:rPr>
        <w:t>A surface restoration procedure which involves abrading the surface by utilizing a high-impact method to shoot steel abrasive material onto the pavement, then collecting and recycling the steel material so that no cleanup is required.  Surface abrasion significantly restores wet weather skid resistance.</w:t>
      </w:r>
    </w:p>
    <w:p w14:paraId="08AC5341" w14:textId="77777777" w:rsidR="00A57651" w:rsidRDefault="00A57651" w:rsidP="00BE3F24">
      <w:pPr>
        <w:pStyle w:val="ListParagraph"/>
        <w:ind w:left="0"/>
        <w:jc w:val="both"/>
        <w:rPr>
          <w:rFonts w:ascii="Arial" w:hAnsi="Arial" w:cs="Arial"/>
          <w:b/>
          <w:sz w:val="22"/>
          <w:szCs w:val="22"/>
        </w:rPr>
      </w:pPr>
    </w:p>
    <w:p w14:paraId="3CBAFA3B" w14:textId="77777777" w:rsidR="006F77F3" w:rsidRDefault="006F77F3" w:rsidP="00BE3F24">
      <w:pPr>
        <w:pStyle w:val="ListParagraph"/>
        <w:ind w:left="0"/>
        <w:jc w:val="both"/>
      </w:pPr>
      <w:bookmarkStart w:id="661" w:name="G3_Surface_Carbide_Grind"/>
    </w:p>
    <w:p w14:paraId="68D3B946" w14:textId="77777777" w:rsidR="00667295" w:rsidRDefault="00667295" w:rsidP="00BE3F24">
      <w:pPr>
        <w:pStyle w:val="ListParagraph"/>
        <w:ind w:left="0"/>
        <w:jc w:val="both"/>
      </w:pPr>
    </w:p>
    <w:p w14:paraId="6A53FDF4" w14:textId="77777777" w:rsidR="006F77F3" w:rsidRDefault="006F77F3" w:rsidP="00BE3F24">
      <w:pPr>
        <w:pStyle w:val="ListParagraph"/>
        <w:ind w:left="0"/>
        <w:jc w:val="both"/>
      </w:pPr>
    </w:p>
    <w:p w14:paraId="378AE787" w14:textId="6C1E87FE" w:rsidR="00BF10A0" w:rsidRPr="00CC7F9B" w:rsidRDefault="00A57651" w:rsidP="00BE3F24">
      <w:pPr>
        <w:pStyle w:val="ListParagraph"/>
        <w:ind w:left="0"/>
        <w:jc w:val="both"/>
        <w:rPr>
          <w:rFonts w:ascii="Arial" w:hAnsi="Arial" w:cs="Arial"/>
          <w:b/>
          <w:sz w:val="22"/>
          <w:szCs w:val="22"/>
        </w:rPr>
      </w:pPr>
      <w:hyperlink w:anchor="_SUPPLEMENTAL_INFORMATION_FOR_19" w:history="1">
        <w:r>
          <w:rPr>
            <w:rStyle w:val="Hyperlink"/>
            <w:rFonts w:ascii="Arial" w:hAnsi="Arial" w:cs="Arial"/>
            <w:b/>
            <w:sz w:val="22"/>
            <w:szCs w:val="22"/>
          </w:rPr>
          <w:t>G</w:t>
        </w:r>
        <w:r w:rsidR="00BF10A0" w:rsidRPr="00917730">
          <w:rPr>
            <w:rStyle w:val="Hyperlink"/>
            <w:rFonts w:ascii="Arial" w:hAnsi="Arial" w:cs="Arial"/>
            <w:b/>
            <w:sz w:val="22"/>
            <w:szCs w:val="22"/>
          </w:rPr>
          <w:t>-3: Surface Carbide Grinding</w:t>
        </w:r>
      </w:hyperlink>
    </w:p>
    <w:bookmarkEnd w:id="661"/>
    <w:p w14:paraId="66E0EB6D" w14:textId="6A74C2C2" w:rsidR="00BF10A0" w:rsidRDefault="00BF10A0" w:rsidP="00BE3F24">
      <w:pPr>
        <w:pStyle w:val="ListParagraph"/>
        <w:ind w:left="0"/>
        <w:jc w:val="both"/>
        <w:rPr>
          <w:rFonts w:ascii="Arial" w:hAnsi="Arial" w:cs="Arial"/>
          <w:sz w:val="22"/>
          <w:szCs w:val="22"/>
        </w:rPr>
      </w:pPr>
      <w:r w:rsidRPr="00CC7F9B">
        <w:rPr>
          <w:rFonts w:ascii="Arial" w:hAnsi="Arial" w:cs="Arial"/>
          <w:sz w:val="22"/>
          <w:szCs w:val="22"/>
        </w:rPr>
        <w:t>Grinding an existing pavement with carbide tipped grinding teeth resulting in a pavement surface with a transverse pattern of 0.2</w:t>
      </w:r>
      <w:r w:rsidR="001765C1">
        <w:rPr>
          <w:rFonts w:ascii="Arial" w:hAnsi="Arial" w:cs="Arial"/>
          <w:sz w:val="22"/>
          <w:szCs w:val="22"/>
        </w:rPr>
        <w:t>"</w:t>
      </w:r>
      <w:r w:rsidRPr="00CC7F9B">
        <w:rPr>
          <w:rFonts w:ascii="Arial" w:hAnsi="Arial" w:cs="Arial"/>
          <w:sz w:val="22"/>
          <w:szCs w:val="22"/>
        </w:rPr>
        <w:t xml:space="preserve"> center</w:t>
      </w:r>
      <w:r w:rsidR="001765C1">
        <w:rPr>
          <w:rFonts w:ascii="Arial" w:hAnsi="Arial" w:cs="Arial"/>
          <w:sz w:val="22"/>
          <w:szCs w:val="22"/>
        </w:rPr>
        <w:t>-</w:t>
      </w:r>
      <w:r w:rsidRPr="00CC7F9B">
        <w:rPr>
          <w:rFonts w:ascii="Arial" w:hAnsi="Arial" w:cs="Arial"/>
          <w:sz w:val="22"/>
          <w:szCs w:val="22"/>
        </w:rPr>
        <w:t>to</w:t>
      </w:r>
      <w:r w:rsidR="001765C1">
        <w:rPr>
          <w:rFonts w:ascii="Arial" w:hAnsi="Arial" w:cs="Arial"/>
          <w:sz w:val="22"/>
          <w:szCs w:val="22"/>
        </w:rPr>
        <w:t>-</w:t>
      </w:r>
      <w:r w:rsidRPr="00CC7F9B">
        <w:rPr>
          <w:rFonts w:ascii="Arial" w:hAnsi="Arial" w:cs="Arial"/>
          <w:sz w:val="22"/>
          <w:szCs w:val="22"/>
        </w:rPr>
        <w:t>center of each strike area and with a difference of high and low of the matted surface not exceeding 1/16</w:t>
      </w:r>
      <w:r w:rsidR="001765C1">
        <w:rPr>
          <w:rFonts w:ascii="Arial" w:hAnsi="Arial" w:cs="Arial"/>
          <w:sz w:val="22"/>
          <w:szCs w:val="22"/>
        </w:rPr>
        <w:t>"</w:t>
      </w:r>
      <w:r w:rsidRPr="00CC7F9B">
        <w:rPr>
          <w:rFonts w:ascii="Arial" w:hAnsi="Arial" w:cs="Arial"/>
          <w:sz w:val="22"/>
          <w:szCs w:val="22"/>
        </w:rPr>
        <w:t>. This is different from milling, which maintains a tolerance of ±1/8</w:t>
      </w:r>
      <w:r w:rsidR="001765C1">
        <w:rPr>
          <w:rFonts w:ascii="Arial" w:hAnsi="Arial" w:cs="Arial"/>
          <w:sz w:val="22"/>
          <w:szCs w:val="22"/>
        </w:rPr>
        <w:t>"</w:t>
      </w:r>
      <w:r w:rsidRPr="00CC7F9B">
        <w:rPr>
          <w:rFonts w:ascii="Arial" w:hAnsi="Arial" w:cs="Arial"/>
          <w:sz w:val="22"/>
          <w:szCs w:val="22"/>
        </w:rPr>
        <w:t>.</w:t>
      </w:r>
    </w:p>
    <w:p w14:paraId="5DB49614" w14:textId="77777777" w:rsidR="00BF10A0" w:rsidRDefault="00BF10A0" w:rsidP="00BE3F24">
      <w:pPr>
        <w:pStyle w:val="ListParagraph"/>
        <w:ind w:left="0"/>
        <w:jc w:val="both"/>
        <w:rPr>
          <w:rFonts w:ascii="Arial" w:hAnsi="Arial" w:cs="Arial"/>
          <w:sz w:val="22"/>
          <w:szCs w:val="22"/>
        </w:rPr>
      </w:pPr>
    </w:p>
    <w:bookmarkStart w:id="662" w:name="G4_Diamond_Groove"/>
    <w:p w14:paraId="73EE632A" w14:textId="7B88FFE1" w:rsidR="00BF10A0" w:rsidRPr="00CB1130"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917730">
        <w:rPr>
          <w:rFonts w:ascii="Arial" w:hAnsi="Arial" w:cs="Arial"/>
          <w:b/>
          <w:sz w:val="22"/>
          <w:szCs w:val="22"/>
        </w:rPr>
        <w:instrText xml:space="preserve"> HYPERLINK  \l "_SUPPLEMENTAL_INFORMATION_FOR_19" </w:instrText>
      </w:r>
      <w:r>
        <w:rPr>
          <w:rFonts w:ascii="Arial" w:hAnsi="Arial" w:cs="Arial"/>
          <w:b/>
          <w:sz w:val="22"/>
          <w:szCs w:val="22"/>
        </w:rPr>
      </w:r>
      <w:r>
        <w:rPr>
          <w:rFonts w:ascii="Arial" w:hAnsi="Arial" w:cs="Arial"/>
          <w:b/>
          <w:sz w:val="22"/>
          <w:szCs w:val="22"/>
        </w:rPr>
        <w:fldChar w:fldCharType="separate"/>
      </w:r>
      <w:r w:rsidR="00A57651">
        <w:rPr>
          <w:rStyle w:val="Hyperlink"/>
          <w:rFonts w:ascii="Arial" w:hAnsi="Arial" w:cs="Arial"/>
          <w:b/>
          <w:sz w:val="22"/>
          <w:szCs w:val="22"/>
        </w:rPr>
        <w:t>G</w:t>
      </w:r>
      <w:r w:rsidR="00BF10A0" w:rsidRPr="00917730">
        <w:rPr>
          <w:rStyle w:val="Hyperlink"/>
          <w:rFonts w:ascii="Arial" w:hAnsi="Arial" w:cs="Arial"/>
          <w:b/>
          <w:sz w:val="22"/>
          <w:szCs w:val="22"/>
        </w:rPr>
        <w:t>-4: Diamond Grooving</w:t>
      </w:r>
      <w:r>
        <w:rPr>
          <w:rFonts w:ascii="Arial" w:hAnsi="Arial" w:cs="Arial"/>
          <w:b/>
          <w:sz w:val="22"/>
          <w:szCs w:val="22"/>
        </w:rPr>
        <w:fldChar w:fldCharType="end"/>
      </w:r>
    </w:p>
    <w:bookmarkEnd w:id="662"/>
    <w:p w14:paraId="1B5F43A9" w14:textId="77777777" w:rsidR="00BF10A0" w:rsidRDefault="00BF10A0" w:rsidP="00BE3F24">
      <w:pPr>
        <w:jc w:val="both"/>
        <w:rPr>
          <w:rFonts w:ascii="Arial" w:hAnsi="Arial" w:cs="Arial"/>
          <w:sz w:val="22"/>
          <w:szCs w:val="22"/>
        </w:rPr>
      </w:pPr>
      <w:r w:rsidRPr="00CC7F9B">
        <w:rPr>
          <w:rFonts w:ascii="Arial" w:hAnsi="Arial" w:cs="Arial"/>
          <w:sz w:val="22"/>
          <w:szCs w:val="22"/>
        </w:rPr>
        <w:t>A surface restoration procedure which can be performed on both PCC and HMA pavements. This procedure involves the use of diamond saw blades, with a typical spacing of 3/4" on center, to cut parallel grooves into the pavement surface. It can be performed in both longitudinal and transverse directions. Diamond grooving should be applied to pavements with sound structural and functional characteristics.</w:t>
      </w:r>
      <w:r>
        <w:rPr>
          <w:rFonts w:ascii="Arial" w:hAnsi="Arial" w:cs="Arial"/>
          <w:sz w:val="22"/>
          <w:szCs w:val="22"/>
        </w:rPr>
        <w:t xml:space="preserve">  The purpose of diamond grooving is to </w:t>
      </w:r>
      <w:r w:rsidRPr="0031741B">
        <w:rPr>
          <w:rFonts w:ascii="Arial" w:hAnsi="Arial" w:cs="Arial"/>
          <w:sz w:val="22"/>
          <w:szCs w:val="22"/>
        </w:rPr>
        <w:t>improve wet weather pavement/tire interaction.</w:t>
      </w:r>
    </w:p>
    <w:p w14:paraId="30B3788C" w14:textId="77777777" w:rsidR="00BF10A0" w:rsidRDefault="00BF10A0" w:rsidP="00BE3F24">
      <w:pPr>
        <w:jc w:val="both"/>
        <w:rPr>
          <w:rFonts w:ascii="Arial" w:hAnsi="Arial" w:cs="Arial"/>
          <w:sz w:val="22"/>
          <w:szCs w:val="22"/>
        </w:rPr>
      </w:pPr>
    </w:p>
    <w:p w14:paraId="589709FD" w14:textId="51CD4968" w:rsidR="00BF10A0" w:rsidRPr="00516727" w:rsidRDefault="00BF10A0" w:rsidP="00172E64">
      <w:pPr>
        <w:pStyle w:val="Heading4"/>
        <w:numPr>
          <w:ilvl w:val="3"/>
          <w:numId w:val="185"/>
        </w:numPr>
        <w:tabs>
          <w:tab w:val="left" w:pos="1440"/>
        </w:tabs>
        <w:ind w:left="0" w:firstLine="0"/>
      </w:pPr>
      <w:r w:rsidRPr="00516727">
        <w:t>Major (Heavy) Rehabilitation</w:t>
      </w:r>
    </w:p>
    <w:p w14:paraId="3567150A" w14:textId="77777777" w:rsidR="00BF10A0" w:rsidRPr="00B15B36" w:rsidRDefault="00BF10A0" w:rsidP="00BE3F24">
      <w:pPr>
        <w:jc w:val="both"/>
        <w:rPr>
          <w:rFonts w:ascii="Arial" w:hAnsi="Arial" w:cs="Arial"/>
          <w:sz w:val="22"/>
          <w:szCs w:val="22"/>
        </w:rPr>
      </w:pPr>
    </w:p>
    <w:bookmarkStart w:id="663" w:name="H1_CIR"/>
    <w:p w14:paraId="4E9EEA36" w14:textId="6EA9F68D" w:rsidR="00BF10A0" w:rsidRPr="00CC7F9B" w:rsidRDefault="000D2B44" w:rsidP="00BE3F24">
      <w:pPr>
        <w:pStyle w:val="ListParagraph"/>
        <w:ind w:left="0"/>
        <w:jc w:val="both"/>
        <w:rPr>
          <w:rFonts w:ascii="Arial" w:hAnsi="Arial" w:cs="Arial"/>
          <w:b/>
          <w:sz w:val="22"/>
          <w:szCs w:val="22"/>
        </w:rPr>
      </w:pPr>
      <w:r>
        <w:rPr>
          <w:rFonts w:ascii="Arial" w:hAnsi="Arial" w:cs="Arial"/>
          <w:b/>
          <w:sz w:val="22"/>
          <w:szCs w:val="22"/>
        </w:rPr>
        <w:fldChar w:fldCharType="begin"/>
      </w:r>
      <w:r w:rsidR="00636CA9">
        <w:rPr>
          <w:rFonts w:ascii="Arial" w:hAnsi="Arial" w:cs="Arial"/>
          <w:b/>
          <w:sz w:val="22"/>
          <w:szCs w:val="22"/>
        </w:rPr>
        <w:instrText xml:space="preserve"> HYPERLINK  \l "_SUPPLEMENTAL_INFORMATION_FOR_21" </w:instrText>
      </w:r>
      <w:r>
        <w:rPr>
          <w:rFonts w:ascii="Arial" w:hAnsi="Arial" w:cs="Arial"/>
          <w:b/>
          <w:sz w:val="22"/>
          <w:szCs w:val="22"/>
        </w:rPr>
      </w:r>
      <w:r>
        <w:rPr>
          <w:rFonts w:ascii="Arial" w:hAnsi="Arial" w:cs="Arial"/>
          <w:b/>
          <w:sz w:val="22"/>
          <w:szCs w:val="22"/>
        </w:rPr>
        <w:fldChar w:fldCharType="separate"/>
      </w:r>
      <w:r w:rsidR="0087216E">
        <w:rPr>
          <w:rStyle w:val="Hyperlink"/>
          <w:rFonts w:ascii="Arial" w:hAnsi="Arial" w:cs="Arial"/>
          <w:b/>
          <w:sz w:val="22"/>
          <w:szCs w:val="22"/>
        </w:rPr>
        <w:t>H</w:t>
      </w:r>
      <w:r w:rsidR="00BF10A0" w:rsidRPr="00636CA9">
        <w:rPr>
          <w:rStyle w:val="Hyperlink"/>
          <w:rFonts w:ascii="Arial" w:hAnsi="Arial" w:cs="Arial"/>
          <w:b/>
          <w:sz w:val="22"/>
          <w:szCs w:val="22"/>
        </w:rPr>
        <w:t xml:space="preserve">-1: Cold In-Place </w:t>
      </w:r>
      <w:r w:rsidR="0087216E">
        <w:rPr>
          <w:rStyle w:val="Hyperlink"/>
          <w:rFonts w:ascii="Arial" w:hAnsi="Arial" w:cs="Arial"/>
          <w:b/>
          <w:sz w:val="22"/>
          <w:szCs w:val="22"/>
        </w:rPr>
        <w:t>Asphalt</w:t>
      </w:r>
      <w:r w:rsidR="00BF10A0" w:rsidRPr="00636CA9">
        <w:rPr>
          <w:rStyle w:val="Hyperlink"/>
          <w:rFonts w:ascii="Arial" w:hAnsi="Arial" w:cs="Arial"/>
          <w:b/>
          <w:sz w:val="22"/>
          <w:szCs w:val="22"/>
        </w:rPr>
        <w:t xml:space="preserve"> Recycling</w:t>
      </w:r>
      <w:r>
        <w:rPr>
          <w:rFonts w:ascii="Arial" w:hAnsi="Arial" w:cs="Arial"/>
          <w:b/>
          <w:sz w:val="22"/>
          <w:szCs w:val="22"/>
        </w:rPr>
        <w:fldChar w:fldCharType="end"/>
      </w:r>
      <w:bookmarkEnd w:id="663"/>
      <w:r w:rsidR="00BF10A0" w:rsidRPr="00CC7F9B">
        <w:rPr>
          <w:rFonts w:ascii="Arial" w:hAnsi="Arial" w:cs="Arial"/>
          <w:b/>
          <w:sz w:val="22"/>
          <w:szCs w:val="22"/>
        </w:rPr>
        <w:t xml:space="preserve"> </w:t>
      </w:r>
    </w:p>
    <w:p w14:paraId="72C6B809" w14:textId="2B73D95D" w:rsidR="000F6D57" w:rsidRPr="00E21926" w:rsidRDefault="00BF10A0" w:rsidP="000F6D57">
      <w:pPr>
        <w:jc w:val="both"/>
        <w:rPr>
          <w:rFonts w:ascii="Arial" w:hAnsi="Arial" w:cs="Arial"/>
          <w:sz w:val="22"/>
          <w:szCs w:val="22"/>
        </w:rPr>
      </w:pPr>
      <w:r w:rsidRPr="00CC7F9B">
        <w:rPr>
          <w:rFonts w:ascii="Arial" w:hAnsi="Arial" w:cs="Arial"/>
          <w:sz w:val="22"/>
          <w:szCs w:val="22"/>
        </w:rPr>
        <w:t xml:space="preserve">A process in which a portion of an existing bituminous pavement is pulverized or milled, and then the reclaimed material is mixed with new </w:t>
      </w:r>
      <w:r>
        <w:rPr>
          <w:rFonts w:ascii="Arial" w:hAnsi="Arial" w:cs="Arial"/>
          <w:sz w:val="22"/>
          <w:szCs w:val="22"/>
        </w:rPr>
        <w:t xml:space="preserve">emulsified or foamed neat 64-22 asphalt </w:t>
      </w:r>
      <w:r w:rsidRPr="00CC7F9B">
        <w:rPr>
          <w:rFonts w:ascii="Arial" w:hAnsi="Arial" w:cs="Arial"/>
          <w:sz w:val="22"/>
          <w:szCs w:val="22"/>
        </w:rPr>
        <w:t>binder and, when needed, virgin aggregates</w:t>
      </w:r>
      <w:r>
        <w:rPr>
          <w:rFonts w:ascii="Arial" w:hAnsi="Arial" w:cs="Arial"/>
          <w:sz w:val="22"/>
          <w:szCs w:val="22"/>
        </w:rPr>
        <w:t>, lime or cement</w:t>
      </w:r>
      <w:r w:rsidRPr="00CC7F9B">
        <w:rPr>
          <w:rFonts w:ascii="Arial" w:hAnsi="Arial" w:cs="Arial"/>
          <w:sz w:val="22"/>
          <w:szCs w:val="22"/>
        </w:rPr>
        <w:t>. The binder used most often is emulsified asphalt with or without a softening agent. The resultant blend is placed as a base for a subsequent overlay or surface treatment.</w:t>
      </w:r>
      <w:r w:rsidR="000F6D57">
        <w:rPr>
          <w:rFonts w:ascii="Arial" w:hAnsi="Arial" w:cs="Arial"/>
          <w:sz w:val="22"/>
          <w:szCs w:val="22"/>
        </w:rPr>
        <w:t xml:space="preserve">  To estimate the tonnage of emulsion needed, estimate 3.5% of the total asphalt tonnage.</w:t>
      </w:r>
      <w:r w:rsidR="000F6D57" w:rsidRPr="00E21926">
        <w:rPr>
          <w:rFonts w:ascii="Arial" w:hAnsi="Arial" w:cs="Arial"/>
          <w:sz w:val="22"/>
          <w:szCs w:val="22"/>
        </w:rPr>
        <w:t xml:space="preserve"> </w:t>
      </w:r>
    </w:p>
    <w:p w14:paraId="3329C89B" w14:textId="77777777" w:rsidR="00BF10A0" w:rsidRDefault="00BF10A0" w:rsidP="00BE3F24">
      <w:pPr>
        <w:pStyle w:val="ListParagraph"/>
        <w:ind w:left="0"/>
        <w:rPr>
          <w:rFonts w:ascii="Arial" w:hAnsi="Arial" w:cs="Arial"/>
          <w:b/>
          <w:sz w:val="22"/>
          <w:szCs w:val="22"/>
        </w:rPr>
      </w:pPr>
    </w:p>
    <w:p w14:paraId="6501ABF6" w14:textId="6B79F862" w:rsidR="00BF10A0" w:rsidRPr="00CC7F9B" w:rsidRDefault="0087216E" w:rsidP="00BE3F24">
      <w:pPr>
        <w:pStyle w:val="ListParagraph"/>
        <w:ind w:left="0"/>
        <w:jc w:val="both"/>
        <w:rPr>
          <w:rFonts w:ascii="Arial" w:hAnsi="Arial" w:cs="Arial"/>
          <w:b/>
          <w:sz w:val="22"/>
          <w:szCs w:val="22"/>
        </w:rPr>
      </w:pPr>
      <w:hyperlink w:anchor="_SUPPLEMENTAL_INFORMATION_FOR_22" w:history="1">
        <w:bookmarkStart w:id="664" w:name="H2_Break_Crack_Seat"/>
        <w:r>
          <w:rPr>
            <w:rStyle w:val="Hyperlink"/>
            <w:rFonts w:ascii="Arial" w:hAnsi="Arial" w:cs="Arial"/>
            <w:b/>
            <w:sz w:val="22"/>
            <w:szCs w:val="22"/>
          </w:rPr>
          <w:t>H</w:t>
        </w:r>
        <w:r w:rsidR="00BF10A0" w:rsidRPr="00636CA9">
          <w:rPr>
            <w:rStyle w:val="Hyperlink"/>
            <w:rFonts w:ascii="Arial" w:hAnsi="Arial" w:cs="Arial"/>
            <w:b/>
            <w:sz w:val="22"/>
            <w:szCs w:val="22"/>
          </w:rPr>
          <w:t xml:space="preserve">-2: Break/Crack &amp; Seat and </w:t>
        </w:r>
        <w:r>
          <w:rPr>
            <w:rStyle w:val="Hyperlink"/>
            <w:rFonts w:ascii="Arial" w:hAnsi="Arial" w:cs="Arial"/>
            <w:b/>
            <w:sz w:val="22"/>
            <w:szCs w:val="22"/>
          </w:rPr>
          <w:t>Asphalt</w:t>
        </w:r>
        <w:r w:rsidR="002333CE">
          <w:rPr>
            <w:rStyle w:val="Hyperlink"/>
            <w:rFonts w:ascii="Arial" w:hAnsi="Arial" w:cs="Arial"/>
            <w:b/>
            <w:sz w:val="22"/>
            <w:szCs w:val="22"/>
          </w:rPr>
          <w:t xml:space="preserve"> </w:t>
        </w:r>
        <w:r w:rsidR="00BF10A0" w:rsidRPr="00636CA9">
          <w:rPr>
            <w:rStyle w:val="Hyperlink"/>
            <w:rFonts w:ascii="Arial" w:hAnsi="Arial" w:cs="Arial"/>
            <w:b/>
            <w:sz w:val="22"/>
            <w:szCs w:val="22"/>
          </w:rPr>
          <w:t>Overlay</w:t>
        </w:r>
        <w:bookmarkEnd w:id="664"/>
        <w:r w:rsidR="00BF10A0" w:rsidRPr="00636CA9">
          <w:rPr>
            <w:rStyle w:val="Hyperlink"/>
            <w:rFonts w:ascii="Arial" w:hAnsi="Arial" w:cs="Arial"/>
            <w:b/>
            <w:sz w:val="22"/>
            <w:szCs w:val="22"/>
          </w:rPr>
          <w:t xml:space="preserve"> </w:t>
        </w:r>
      </w:hyperlink>
    </w:p>
    <w:p w14:paraId="0C2EEB6A" w14:textId="0888E017" w:rsidR="00BF10A0" w:rsidRDefault="00BF10A0" w:rsidP="00BE3F24">
      <w:pPr>
        <w:pStyle w:val="ListParagraph"/>
        <w:ind w:left="0"/>
        <w:jc w:val="both"/>
        <w:rPr>
          <w:rFonts w:ascii="Arial" w:hAnsi="Arial" w:cs="Arial"/>
          <w:sz w:val="22"/>
          <w:szCs w:val="22"/>
        </w:rPr>
      </w:pPr>
      <w:r w:rsidRPr="00CC7F9B">
        <w:rPr>
          <w:rFonts w:ascii="Arial" w:hAnsi="Arial" w:cs="Arial"/>
          <w:sz w:val="22"/>
          <w:szCs w:val="22"/>
        </w:rPr>
        <w:t>Placement of a</w:t>
      </w:r>
      <w:r w:rsidR="007C2B36">
        <w:rPr>
          <w:rFonts w:ascii="Arial" w:hAnsi="Arial" w:cs="Arial"/>
          <w:sz w:val="22"/>
          <w:szCs w:val="22"/>
        </w:rPr>
        <w:t>n</w:t>
      </w:r>
      <w:r w:rsidRPr="00CC7F9B">
        <w:rPr>
          <w:rFonts w:ascii="Arial" w:hAnsi="Arial" w:cs="Arial"/>
          <w:sz w:val="22"/>
          <w:szCs w:val="22"/>
        </w:rPr>
        <w:t xml:space="preserve"> HMA overlay on a jointed </w:t>
      </w:r>
      <w:r>
        <w:rPr>
          <w:rFonts w:ascii="Arial" w:hAnsi="Arial" w:cs="Arial"/>
          <w:sz w:val="22"/>
          <w:szCs w:val="22"/>
        </w:rPr>
        <w:t>concrete pavement (J</w:t>
      </w:r>
      <w:r w:rsidRPr="00CC7F9B">
        <w:rPr>
          <w:rFonts w:ascii="Arial" w:hAnsi="Arial" w:cs="Arial"/>
          <w:sz w:val="22"/>
          <w:szCs w:val="22"/>
        </w:rPr>
        <w:t>CP) that has been altered via break</w:t>
      </w:r>
      <w:r>
        <w:rPr>
          <w:rFonts w:ascii="Arial" w:hAnsi="Arial" w:cs="Arial"/>
          <w:sz w:val="22"/>
          <w:szCs w:val="22"/>
        </w:rPr>
        <w:t>/crack</w:t>
      </w:r>
      <w:r w:rsidRPr="00CC7F9B">
        <w:rPr>
          <w:rFonts w:ascii="Arial" w:hAnsi="Arial" w:cs="Arial"/>
          <w:sz w:val="22"/>
          <w:szCs w:val="22"/>
        </w:rPr>
        <w:t xml:space="preserve"> and seat.  The break</w:t>
      </w:r>
      <w:r>
        <w:rPr>
          <w:rFonts w:ascii="Arial" w:hAnsi="Arial" w:cs="Arial"/>
          <w:sz w:val="22"/>
          <w:szCs w:val="22"/>
        </w:rPr>
        <w:t>/crack</w:t>
      </w:r>
      <w:r w:rsidRPr="00CC7F9B">
        <w:rPr>
          <w:rFonts w:ascii="Arial" w:hAnsi="Arial" w:cs="Arial"/>
          <w:sz w:val="22"/>
          <w:szCs w:val="22"/>
        </w:rPr>
        <w:t xml:space="preserve"> and seat method differs from </w:t>
      </w:r>
      <w:r w:rsidRPr="007C2B36">
        <w:rPr>
          <w:rFonts w:ascii="Arial" w:hAnsi="Arial" w:cs="Arial"/>
          <w:sz w:val="22"/>
          <w:szCs w:val="22"/>
        </w:rPr>
        <w:t>rubblization i</w:t>
      </w:r>
      <w:r w:rsidRPr="00CC7F9B">
        <w:rPr>
          <w:rFonts w:ascii="Arial" w:hAnsi="Arial" w:cs="Arial"/>
          <w:sz w:val="22"/>
          <w:szCs w:val="22"/>
        </w:rPr>
        <w:t>n that a large percentage of the structural integrity of a rigid pavement remains following a break</w:t>
      </w:r>
      <w:r>
        <w:rPr>
          <w:rFonts w:ascii="Arial" w:hAnsi="Arial" w:cs="Arial"/>
          <w:sz w:val="22"/>
          <w:szCs w:val="22"/>
        </w:rPr>
        <w:t>/crack</w:t>
      </w:r>
      <w:r w:rsidRPr="00CC7F9B">
        <w:rPr>
          <w:rFonts w:ascii="Arial" w:hAnsi="Arial" w:cs="Arial"/>
          <w:sz w:val="22"/>
          <w:szCs w:val="22"/>
        </w:rPr>
        <w:t xml:space="preserve"> and seat operation.  The break</w:t>
      </w:r>
      <w:r>
        <w:rPr>
          <w:rFonts w:ascii="Arial" w:hAnsi="Arial" w:cs="Arial"/>
          <w:sz w:val="22"/>
          <w:szCs w:val="22"/>
        </w:rPr>
        <w:t>/crack</w:t>
      </w:r>
      <w:r w:rsidRPr="00CC7F9B">
        <w:rPr>
          <w:rFonts w:ascii="Arial" w:hAnsi="Arial" w:cs="Arial"/>
          <w:sz w:val="22"/>
          <w:szCs w:val="22"/>
        </w:rPr>
        <w:t xml:space="preserve"> and seat operation involves breaking the existing slab in much shorter slabs</w:t>
      </w:r>
      <w:r w:rsidR="007C2B36">
        <w:rPr>
          <w:rFonts w:ascii="Arial" w:hAnsi="Arial" w:cs="Arial"/>
          <w:sz w:val="22"/>
          <w:szCs w:val="22"/>
        </w:rPr>
        <w:t>,</w:t>
      </w:r>
      <w:r w:rsidRPr="00CC7F9B">
        <w:rPr>
          <w:rFonts w:ascii="Arial" w:hAnsi="Arial" w:cs="Arial"/>
          <w:sz w:val="22"/>
          <w:szCs w:val="22"/>
        </w:rPr>
        <w:t xml:space="preserve"> followed by compaction of those smaller slabs to “seat” them.  This operation is design</w:t>
      </w:r>
      <w:r>
        <w:rPr>
          <w:rFonts w:ascii="Arial" w:hAnsi="Arial" w:cs="Arial"/>
          <w:sz w:val="22"/>
          <w:szCs w:val="22"/>
        </w:rPr>
        <w:t>ed</w:t>
      </w:r>
      <w:r w:rsidRPr="00CC7F9B">
        <w:rPr>
          <w:rFonts w:ascii="Arial" w:hAnsi="Arial" w:cs="Arial"/>
          <w:sz w:val="22"/>
          <w:szCs w:val="22"/>
        </w:rPr>
        <w:t xml:space="preserve"> to limit the potential for reflective cracking while maintaining a majority of the structural capacity of the rigid pavement.  </w:t>
      </w:r>
    </w:p>
    <w:p w14:paraId="7F09FC53" w14:textId="77777777" w:rsidR="00BF10A0" w:rsidRDefault="00BF10A0" w:rsidP="00BE3F24">
      <w:pPr>
        <w:pStyle w:val="ListParagraph"/>
        <w:ind w:left="0"/>
        <w:jc w:val="both"/>
        <w:rPr>
          <w:rFonts w:ascii="Arial" w:hAnsi="Arial" w:cs="Arial"/>
          <w:sz w:val="22"/>
          <w:szCs w:val="22"/>
        </w:rPr>
      </w:pPr>
    </w:p>
    <w:p w14:paraId="3D21EC8C" w14:textId="5304D358" w:rsidR="00BF10A0" w:rsidRDefault="00BF10A0" w:rsidP="00BE3F24">
      <w:pPr>
        <w:pStyle w:val="ListParagraph"/>
        <w:ind w:left="0"/>
        <w:jc w:val="both"/>
        <w:rPr>
          <w:rFonts w:ascii="Arial" w:hAnsi="Arial" w:cs="Arial"/>
          <w:sz w:val="22"/>
          <w:szCs w:val="22"/>
        </w:rPr>
      </w:pPr>
      <w:r>
        <w:rPr>
          <w:rFonts w:ascii="Arial" w:hAnsi="Arial" w:cs="Arial"/>
          <w:sz w:val="22"/>
          <w:szCs w:val="22"/>
        </w:rPr>
        <w:t xml:space="preserve">The Break and Seat technique is applied to Jointed </w:t>
      </w:r>
      <w:r w:rsidRPr="00ED30B3">
        <w:rPr>
          <w:rFonts w:ascii="Arial" w:hAnsi="Arial" w:cs="Arial"/>
          <w:b/>
          <w:sz w:val="22"/>
          <w:szCs w:val="22"/>
        </w:rPr>
        <w:t>Reinforced</w:t>
      </w:r>
      <w:r>
        <w:rPr>
          <w:rFonts w:ascii="Arial" w:hAnsi="Arial" w:cs="Arial"/>
          <w:sz w:val="22"/>
          <w:szCs w:val="22"/>
        </w:rPr>
        <w:t xml:space="preserve"> Concrete Pavements (JRCP), while </w:t>
      </w:r>
      <w:r w:rsidR="007C2B36">
        <w:rPr>
          <w:rFonts w:ascii="Arial" w:hAnsi="Arial" w:cs="Arial"/>
          <w:sz w:val="22"/>
          <w:szCs w:val="22"/>
        </w:rPr>
        <w:t xml:space="preserve">the </w:t>
      </w:r>
      <w:r>
        <w:rPr>
          <w:rFonts w:ascii="Arial" w:hAnsi="Arial" w:cs="Arial"/>
          <w:sz w:val="22"/>
          <w:szCs w:val="22"/>
        </w:rPr>
        <w:t xml:space="preserve">Crack and Seat technique is applied to Jointed </w:t>
      </w:r>
      <w:r>
        <w:rPr>
          <w:rFonts w:ascii="Arial" w:hAnsi="Arial" w:cs="Arial"/>
          <w:b/>
          <w:sz w:val="22"/>
          <w:szCs w:val="22"/>
        </w:rPr>
        <w:t xml:space="preserve">Plain </w:t>
      </w:r>
      <w:r>
        <w:rPr>
          <w:rFonts w:ascii="Arial" w:hAnsi="Arial" w:cs="Arial"/>
          <w:sz w:val="22"/>
          <w:szCs w:val="22"/>
        </w:rPr>
        <w:t>Concrete Pavements (JPCP). Break and Seat involves breaking the concrete to pieces of 1 to 2 ft</w:t>
      </w:r>
      <w:r w:rsidRPr="00C421AF">
        <w:rPr>
          <w:rFonts w:ascii="Arial" w:hAnsi="Arial" w:cs="Arial"/>
          <w:sz w:val="22"/>
          <w:szCs w:val="22"/>
          <w:vertAlign w:val="superscript"/>
        </w:rPr>
        <w:t>2</w:t>
      </w:r>
      <w:r>
        <w:rPr>
          <w:rFonts w:ascii="Arial" w:hAnsi="Arial" w:cs="Arial"/>
          <w:sz w:val="22"/>
          <w:szCs w:val="22"/>
        </w:rPr>
        <w:t xml:space="preserve"> in size, and Crack and Sea</w:t>
      </w:r>
      <w:r w:rsidR="007652A9">
        <w:rPr>
          <w:rFonts w:ascii="Arial" w:hAnsi="Arial" w:cs="Arial"/>
          <w:sz w:val="22"/>
          <w:szCs w:val="22"/>
        </w:rPr>
        <w:t>t</w:t>
      </w:r>
      <w:r>
        <w:rPr>
          <w:rFonts w:ascii="Arial" w:hAnsi="Arial" w:cs="Arial"/>
          <w:sz w:val="22"/>
          <w:szCs w:val="22"/>
        </w:rPr>
        <w:t xml:space="preserve"> involves breaking the concrete to pieces of 1 to 3 ft</w:t>
      </w:r>
      <w:r w:rsidRPr="00C421AF">
        <w:rPr>
          <w:rFonts w:ascii="Arial" w:hAnsi="Arial" w:cs="Arial"/>
          <w:sz w:val="22"/>
          <w:szCs w:val="22"/>
          <w:vertAlign w:val="superscript"/>
        </w:rPr>
        <w:t>2</w:t>
      </w:r>
      <w:r>
        <w:rPr>
          <w:rFonts w:ascii="Arial" w:hAnsi="Arial" w:cs="Arial"/>
          <w:sz w:val="22"/>
          <w:szCs w:val="22"/>
        </w:rPr>
        <w:t xml:space="preserve"> in size. For Break and Seat, t</w:t>
      </w:r>
      <w:r w:rsidRPr="00CC7F9B">
        <w:rPr>
          <w:rFonts w:ascii="Arial" w:hAnsi="Arial" w:cs="Arial"/>
          <w:sz w:val="22"/>
          <w:szCs w:val="22"/>
        </w:rPr>
        <w:t>he reinforcing steel must be ruptured, or the bond must be broken.</w:t>
      </w:r>
    </w:p>
    <w:p w14:paraId="597C7C04" w14:textId="77777777" w:rsidR="00BF10A0" w:rsidRDefault="00BF10A0" w:rsidP="00BE3F24">
      <w:pPr>
        <w:pStyle w:val="ListParagraph"/>
        <w:ind w:left="0"/>
        <w:jc w:val="both"/>
        <w:rPr>
          <w:rFonts w:ascii="Arial" w:hAnsi="Arial" w:cs="Arial"/>
          <w:sz w:val="22"/>
          <w:szCs w:val="22"/>
        </w:rPr>
      </w:pPr>
    </w:p>
    <w:bookmarkStart w:id="665" w:name="H3_Rubblize"/>
    <w:p w14:paraId="17AE9865" w14:textId="3662B51C" w:rsidR="00BF10A0" w:rsidRPr="007C2B36" w:rsidRDefault="000D2B44" w:rsidP="00BE3F24">
      <w:pPr>
        <w:pStyle w:val="ListParagraph"/>
        <w:ind w:left="0"/>
        <w:jc w:val="both"/>
        <w:rPr>
          <w:rFonts w:ascii="Arial" w:hAnsi="Arial" w:cs="Arial"/>
          <w:b/>
          <w:sz w:val="22"/>
          <w:szCs w:val="22"/>
        </w:rPr>
      </w:pPr>
      <w:r w:rsidRPr="007C2B36">
        <w:rPr>
          <w:rFonts w:ascii="Arial" w:hAnsi="Arial" w:cs="Arial"/>
          <w:b/>
          <w:sz w:val="22"/>
          <w:szCs w:val="22"/>
        </w:rPr>
        <w:fldChar w:fldCharType="begin"/>
      </w:r>
      <w:r w:rsidR="00636CA9" w:rsidRPr="007C2B36">
        <w:rPr>
          <w:rFonts w:ascii="Arial" w:hAnsi="Arial" w:cs="Arial"/>
          <w:b/>
          <w:sz w:val="22"/>
          <w:szCs w:val="22"/>
        </w:rPr>
        <w:instrText xml:space="preserve"> HYPERLINK  \l "_SUPPLEMENTAL_INFORMATION_FOR_22" </w:instrText>
      </w:r>
      <w:r w:rsidRPr="007C2B36">
        <w:rPr>
          <w:rFonts w:ascii="Arial" w:hAnsi="Arial" w:cs="Arial"/>
          <w:b/>
          <w:sz w:val="22"/>
          <w:szCs w:val="22"/>
        </w:rPr>
      </w:r>
      <w:r w:rsidRPr="007C2B36">
        <w:rPr>
          <w:rFonts w:ascii="Arial" w:hAnsi="Arial" w:cs="Arial"/>
          <w:b/>
          <w:sz w:val="22"/>
          <w:szCs w:val="22"/>
        </w:rPr>
        <w:fldChar w:fldCharType="separate"/>
      </w:r>
      <w:r w:rsidR="0087216E">
        <w:rPr>
          <w:rStyle w:val="Hyperlink"/>
          <w:rFonts w:ascii="Arial" w:hAnsi="Arial" w:cs="Arial"/>
          <w:b/>
          <w:sz w:val="22"/>
          <w:szCs w:val="22"/>
        </w:rPr>
        <w:t>H</w:t>
      </w:r>
      <w:r w:rsidR="00BF10A0" w:rsidRPr="007C2B36">
        <w:rPr>
          <w:rStyle w:val="Hyperlink"/>
          <w:rFonts w:ascii="Arial" w:hAnsi="Arial" w:cs="Arial"/>
          <w:b/>
          <w:sz w:val="22"/>
          <w:szCs w:val="22"/>
        </w:rPr>
        <w:t xml:space="preserve">-3: </w:t>
      </w:r>
      <w:proofErr w:type="spellStart"/>
      <w:r w:rsidR="00BF10A0" w:rsidRPr="007C2B36">
        <w:rPr>
          <w:rStyle w:val="Hyperlink"/>
          <w:rFonts w:ascii="Arial" w:hAnsi="Arial" w:cs="Arial"/>
          <w:b/>
          <w:sz w:val="22"/>
          <w:szCs w:val="22"/>
        </w:rPr>
        <w:t>Rubblization</w:t>
      </w:r>
      <w:proofErr w:type="spellEnd"/>
      <w:r w:rsidR="00BF10A0" w:rsidRPr="007C2B36">
        <w:rPr>
          <w:rStyle w:val="Hyperlink"/>
          <w:rFonts w:ascii="Arial" w:hAnsi="Arial" w:cs="Arial"/>
          <w:b/>
          <w:sz w:val="22"/>
          <w:szCs w:val="22"/>
        </w:rPr>
        <w:t xml:space="preserve"> and </w:t>
      </w:r>
      <w:r w:rsidR="0087216E">
        <w:rPr>
          <w:rStyle w:val="Hyperlink"/>
          <w:rFonts w:ascii="Arial" w:hAnsi="Arial" w:cs="Arial"/>
          <w:b/>
          <w:sz w:val="22"/>
          <w:szCs w:val="22"/>
        </w:rPr>
        <w:t>Asphalt</w:t>
      </w:r>
      <w:r w:rsidR="00BF10A0" w:rsidRPr="007C2B36">
        <w:rPr>
          <w:rStyle w:val="Hyperlink"/>
          <w:rFonts w:ascii="Arial" w:hAnsi="Arial" w:cs="Arial"/>
          <w:b/>
          <w:sz w:val="22"/>
          <w:szCs w:val="22"/>
        </w:rPr>
        <w:t xml:space="preserve"> Overlay</w:t>
      </w:r>
      <w:r w:rsidRPr="007C2B36">
        <w:rPr>
          <w:rFonts w:ascii="Arial" w:hAnsi="Arial" w:cs="Arial"/>
          <w:b/>
          <w:sz w:val="22"/>
          <w:szCs w:val="22"/>
        </w:rPr>
        <w:fldChar w:fldCharType="end"/>
      </w:r>
    </w:p>
    <w:bookmarkEnd w:id="665"/>
    <w:p w14:paraId="20192699" w14:textId="1B3631E5" w:rsidR="00BF10A0" w:rsidRDefault="00BF10A0" w:rsidP="00BE3F24">
      <w:pPr>
        <w:pStyle w:val="ListParagraph"/>
        <w:ind w:left="0"/>
        <w:jc w:val="both"/>
        <w:rPr>
          <w:rFonts w:ascii="Arial" w:hAnsi="Arial" w:cs="Arial"/>
          <w:sz w:val="22"/>
          <w:szCs w:val="22"/>
        </w:rPr>
      </w:pPr>
      <w:r w:rsidRPr="007C2B36">
        <w:rPr>
          <w:rFonts w:ascii="Arial" w:hAnsi="Arial" w:cs="Arial"/>
          <w:sz w:val="22"/>
          <w:szCs w:val="22"/>
        </w:rPr>
        <w:t xml:space="preserve">Placement of an HMA overlay on a rigid pavement that has been structurally altered via rubblization.  Rubblization involves breaking the </w:t>
      </w:r>
      <w:smartTag w:uri="urn:schemas-microsoft-com:office:smarttags" w:element="stockticker">
        <w:r w:rsidRPr="007C2B36">
          <w:rPr>
            <w:rFonts w:ascii="Arial" w:hAnsi="Arial" w:cs="Arial"/>
            <w:sz w:val="22"/>
            <w:szCs w:val="22"/>
          </w:rPr>
          <w:t>PCC</w:t>
        </w:r>
      </w:smartTag>
      <w:r w:rsidRPr="007C2B36">
        <w:rPr>
          <w:rFonts w:ascii="Arial" w:hAnsi="Arial" w:cs="Arial"/>
          <w:sz w:val="22"/>
          <w:szCs w:val="22"/>
        </w:rPr>
        <w:t xml:space="preserve"> layer into smaller pieces of less than 6</w:t>
      </w:r>
      <w:r w:rsidR="007C2B36">
        <w:rPr>
          <w:rFonts w:ascii="Arial" w:hAnsi="Arial" w:cs="Arial"/>
          <w:sz w:val="22"/>
          <w:szCs w:val="22"/>
        </w:rPr>
        <w:t>"</w:t>
      </w:r>
      <w:r w:rsidRPr="007C2B36">
        <w:rPr>
          <w:rFonts w:ascii="Arial" w:hAnsi="Arial" w:cs="Arial"/>
          <w:sz w:val="22"/>
          <w:szCs w:val="22"/>
        </w:rPr>
        <w:t xml:space="preserve"> in diameter.  This effectively creates a cement</w:t>
      </w:r>
      <w:r w:rsidR="0053258E">
        <w:rPr>
          <w:rFonts w:ascii="Arial" w:hAnsi="Arial" w:cs="Arial"/>
          <w:sz w:val="22"/>
          <w:szCs w:val="22"/>
        </w:rPr>
        <w:t>-</w:t>
      </w:r>
      <w:r w:rsidRPr="007C2B36">
        <w:rPr>
          <w:rFonts w:ascii="Arial" w:hAnsi="Arial" w:cs="Arial"/>
          <w:sz w:val="22"/>
          <w:szCs w:val="22"/>
        </w:rPr>
        <w:t>treated aggregate base from the rigid pavement.  Rubblization is generally completed to eliminate the potential for reflective cracking.  Rubblization is generally completed on rigid pavements that are beyond their structural life, or are e</w:t>
      </w:r>
      <w:r w:rsidRPr="002321FD">
        <w:rPr>
          <w:rFonts w:ascii="Arial" w:hAnsi="Arial" w:cs="Arial"/>
          <w:sz w:val="22"/>
          <w:szCs w:val="22"/>
        </w:rPr>
        <w:t xml:space="preserve">xperiencing materials or construction problems that </w:t>
      </w:r>
      <w:r w:rsidR="00FC48DD" w:rsidRPr="002321FD">
        <w:rPr>
          <w:rFonts w:ascii="Arial" w:hAnsi="Arial" w:cs="Arial"/>
          <w:sz w:val="22"/>
          <w:szCs w:val="22"/>
        </w:rPr>
        <w:t>cannot</w:t>
      </w:r>
      <w:r w:rsidRPr="002321FD">
        <w:rPr>
          <w:rFonts w:ascii="Arial" w:hAnsi="Arial" w:cs="Arial"/>
          <w:sz w:val="22"/>
          <w:szCs w:val="22"/>
        </w:rPr>
        <w:t xml:space="preserve"> otherwise be addressed.</w:t>
      </w:r>
    </w:p>
    <w:p w14:paraId="7FEA6F21" w14:textId="77777777" w:rsidR="00BF10A0" w:rsidRPr="00CC7F9B" w:rsidRDefault="00BF10A0" w:rsidP="00BE3F24">
      <w:pPr>
        <w:pStyle w:val="ListParagraph"/>
        <w:ind w:left="0"/>
        <w:rPr>
          <w:rFonts w:ascii="Arial" w:hAnsi="Arial" w:cs="Arial"/>
          <w:b/>
          <w:sz w:val="22"/>
          <w:szCs w:val="22"/>
        </w:rPr>
      </w:pPr>
    </w:p>
    <w:p w14:paraId="5FB643FD" w14:textId="00CF5446" w:rsidR="00BF10A0" w:rsidRPr="00516727" w:rsidRDefault="00BF10A0" w:rsidP="00172E64">
      <w:pPr>
        <w:pStyle w:val="Heading4"/>
        <w:numPr>
          <w:ilvl w:val="3"/>
          <w:numId w:val="185"/>
        </w:numPr>
        <w:ind w:left="0" w:firstLine="0"/>
      </w:pPr>
      <w:r w:rsidRPr="00516727">
        <w:lastRenderedPageBreak/>
        <w:t>Reconstruction</w:t>
      </w:r>
    </w:p>
    <w:p w14:paraId="6E5B3C9D" w14:textId="77777777" w:rsidR="00BF10A0" w:rsidRPr="00B15B36" w:rsidRDefault="00BF10A0" w:rsidP="00BE3F24">
      <w:pPr>
        <w:jc w:val="both"/>
        <w:rPr>
          <w:rFonts w:ascii="Arial" w:hAnsi="Arial" w:cs="Arial"/>
          <w:b/>
          <w:sz w:val="22"/>
          <w:szCs w:val="22"/>
        </w:rPr>
      </w:pPr>
    </w:p>
    <w:bookmarkStart w:id="666" w:name="I1_Reconstruct"/>
    <w:p w14:paraId="3D314EF8" w14:textId="5A6E1F89" w:rsidR="00BF10A0" w:rsidRPr="00CC7F9B" w:rsidRDefault="00476E70" w:rsidP="00BE3F24">
      <w:pPr>
        <w:pStyle w:val="ListParagraph"/>
        <w:ind w:left="0"/>
        <w:jc w:val="both"/>
        <w:rPr>
          <w:rFonts w:ascii="Arial" w:hAnsi="Arial" w:cs="Arial"/>
          <w:b/>
          <w:sz w:val="22"/>
          <w:szCs w:val="22"/>
        </w:rPr>
      </w:pPr>
      <w:r>
        <w:fldChar w:fldCharType="begin"/>
      </w:r>
      <w:r>
        <w:instrText xml:space="preserve"> HYPERLINK \l "_SUPPLEMENTAL_INFORMATION_FOR_23" </w:instrText>
      </w:r>
      <w:r>
        <w:fldChar w:fldCharType="separate"/>
      </w:r>
      <w:r w:rsidR="0087216E">
        <w:rPr>
          <w:rStyle w:val="Hyperlink"/>
          <w:rFonts w:ascii="Arial" w:hAnsi="Arial" w:cs="Arial"/>
          <w:b/>
          <w:sz w:val="22"/>
          <w:szCs w:val="22"/>
        </w:rPr>
        <w:t>I</w:t>
      </w:r>
      <w:r w:rsidR="00BF10A0" w:rsidRPr="00C61B7D">
        <w:rPr>
          <w:rStyle w:val="Hyperlink"/>
          <w:rFonts w:ascii="Arial" w:hAnsi="Arial" w:cs="Arial"/>
          <w:b/>
          <w:sz w:val="22"/>
          <w:szCs w:val="22"/>
        </w:rPr>
        <w:t>-1: Reconstruction</w:t>
      </w:r>
      <w:r>
        <w:rPr>
          <w:rStyle w:val="Hyperlink"/>
          <w:rFonts w:ascii="Arial" w:hAnsi="Arial" w:cs="Arial"/>
          <w:b/>
          <w:sz w:val="22"/>
          <w:szCs w:val="22"/>
        </w:rPr>
        <w:fldChar w:fldCharType="end"/>
      </w:r>
      <w:bookmarkEnd w:id="666"/>
      <w:r w:rsidR="00BF10A0" w:rsidRPr="00CC7F9B">
        <w:rPr>
          <w:rFonts w:ascii="Arial" w:hAnsi="Arial" w:cs="Arial"/>
          <w:b/>
          <w:sz w:val="22"/>
          <w:szCs w:val="22"/>
        </w:rPr>
        <w:t xml:space="preserve"> </w:t>
      </w:r>
    </w:p>
    <w:p w14:paraId="27AF445B" w14:textId="048C2A2F" w:rsidR="00BF10A0" w:rsidRDefault="00BF10A0" w:rsidP="00BE3F24">
      <w:pPr>
        <w:pStyle w:val="ListParagraph"/>
        <w:ind w:left="0"/>
        <w:jc w:val="both"/>
        <w:rPr>
          <w:rFonts w:ascii="Arial" w:hAnsi="Arial" w:cs="Arial"/>
          <w:sz w:val="22"/>
          <w:szCs w:val="22"/>
        </w:rPr>
      </w:pPr>
      <w:r w:rsidRPr="00CC7F9B">
        <w:rPr>
          <w:rFonts w:ascii="Arial" w:hAnsi="Arial" w:cs="Arial"/>
          <w:sz w:val="22"/>
          <w:szCs w:val="22"/>
        </w:rPr>
        <w:t xml:space="preserve">Complete reconstruction of the existing pavement type with a flexible </w:t>
      </w:r>
      <w:r>
        <w:rPr>
          <w:rFonts w:ascii="Arial" w:hAnsi="Arial" w:cs="Arial"/>
          <w:sz w:val="22"/>
          <w:szCs w:val="22"/>
        </w:rPr>
        <w:t xml:space="preserve">or rigid </w:t>
      </w:r>
      <w:r w:rsidRPr="00CC7F9B">
        <w:rPr>
          <w:rFonts w:ascii="Arial" w:hAnsi="Arial" w:cs="Arial"/>
          <w:sz w:val="22"/>
          <w:szCs w:val="22"/>
        </w:rPr>
        <w:t xml:space="preserve">pavement </w:t>
      </w:r>
      <w:r>
        <w:rPr>
          <w:rFonts w:ascii="Arial" w:hAnsi="Arial" w:cs="Arial"/>
          <w:sz w:val="22"/>
          <w:szCs w:val="22"/>
        </w:rPr>
        <w:t>design, choosing from a variety of subgrade and base types</w:t>
      </w:r>
      <w:r w:rsidRPr="00CC7F9B">
        <w:rPr>
          <w:rFonts w:ascii="Arial" w:hAnsi="Arial" w:cs="Arial"/>
          <w:sz w:val="22"/>
          <w:szCs w:val="22"/>
        </w:rPr>
        <w:t>.</w:t>
      </w:r>
    </w:p>
    <w:p w14:paraId="103B0739" w14:textId="77777777" w:rsidR="000F6D57" w:rsidRPr="00CC7F9B" w:rsidRDefault="000F6D57" w:rsidP="00BE3F24">
      <w:pPr>
        <w:pStyle w:val="ListParagraph"/>
        <w:ind w:left="0"/>
        <w:jc w:val="both"/>
        <w:rPr>
          <w:rFonts w:ascii="Arial" w:hAnsi="Arial" w:cs="Arial"/>
          <w:sz w:val="22"/>
          <w:szCs w:val="22"/>
        </w:rPr>
      </w:pPr>
    </w:p>
    <w:p w14:paraId="09DE1CBF" w14:textId="77777777" w:rsidR="00BF10A0" w:rsidRPr="00CC7F9B" w:rsidRDefault="00BF10A0" w:rsidP="00BE3F24">
      <w:pPr>
        <w:pStyle w:val="ListParagraph"/>
        <w:ind w:left="0"/>
        <w:rPr>
          <w:rFonts w:ascii="Arial" w:hAnsi="Arial" w:cs="Arial"/>
          <w:b/>
          <w:sz w:val="22"/>
          <w:szCs w:val="22"/>
        </w:rPr>
      </w:pPr>
    </w:p>
    <w:bookmarkStart w:id="667" w:name="I2_FDR"/>
    <w:p w14:paraId="29017C04" w14:textId="6445878D" w:rsidR="00BF10A0" w:rsidRPr="00436E58" w:rsidRDefault="00476E70" w:rsidP="00BE3F24">
      <w:pPr>
        <w:jc w:val="both"/>
        <w:rPr>
          <w:rFonts w:ascii="Arial" w:hAnsi="Arial" w:cs="Arial"/>
          <w:b/>
          <w:sz w:val="22"/>
          <w:szCs w:val="22"/>
        </w:rPr>
      </w:pPr>
      <w:r>
        <w:fldChar w:fldCharType="begin"/>
      </w:r>
      <w:r>
        <w:instrText xml:space="preserve"> HYPERLINK \l "_SUPPLEMENTAL_INFORMATION_FOR_23" </w:instrText>
      </w:r>
      <w:r>
        <w:fldChar w:fldCharType="separate"/>
      </w:r>
      <w:r w:rsidR="0087216E">
        <w:rPr>
          <w:rStyle w:val="Hyperlink"/>
          <w:rFonts w:ascii="Arial" w:hAnsi="Arial" w:cs="Arial"/>
          <w:b/>
          <w:sz w:val="22"/>
          <w:szCs w:val="22"/>
        </w:rPr>
        <w:t>I</w:t>
      </w:r>
      <w:r w:rsidR="00BF10A0" w:rsidRPr="00C61B7D">
        <w:rPr>
          <w:rStyle w:val="Hyperlink"/>
          <w:rFonts w:ascii="Arial" w:hAnsi="Arial" w:cs="Arial"/>
          <w:b/>
          <w:sz w:val="22"/>
          <w:szCs w:val="22"/>
        </w:rPr>
        <w:t>-2: Full-Depth Reclamation (FDR)</w:t>
      </w:r>
      <w:r>
        <w:rPr>
          <w:rStyle w:val="Hyperlink"/>
          <w:rFonts w:ascii="Arial" w:hAnsi="Arial" w:cs="Arial"/>
          <w:b/>
          <w:sz w:val="22"/>
          <w:szCs w:val="22"/>
        </w:rPr>
        <w:fldChar w:fldCharType="end"/>
      </w:r>
    </w:p>
    <w:bookmarkEnd w:id="667"/>
    <w:p w14:paraId="38FF7ADF" w14:textId="5FA61061" w:rsidR="00B85816" w:rsidRDefault="00BF10A0" w:rsidP="00B85816">
      <w:pPr>
        <w:jc w:val="both"/>
        <w:rPr>
          <w:rFonts w:ascii="Arial" w:hAnsi="Arial" w:cs="Arial"/>
          <w:sz w:val="22"/>
          <w:szCs w:val="22"/>
        </w:rPr>
      </w:pPr>
      <w:r w:rsidRPr="00436E58">
        <w:rPr>
          <w:rFonts w:ascii="Arial" w:hAnsi="Arial" w:cs="Arial"/>
          <w:sz w:val="22"/>
          <w:szCs w:val="22"/>
        </w:rPr>
        <w:t>Technique in which the full thickness of the asphalt pavement and a predetermined portion of the underlying material (base, sub</w:t>
      </w:r>
      <w:r w:rsidR="007C2B36">
        <w:rPr>
          <w:rFonts w:ascii="Arial" w:hAnsi="Arial" w:cs="Arial"/>
          <w:sz w:val="22"/>
          <w:szCs w:val="22"/>
        </w:rPr>
        <w:t>-</w:t>
      </w:r>
      <w:r w:rsidRPr="00436E58">
        <w:rPr>
          <w:rFonts w:ascii="Arial" w:hAnsi="Arial" w:cs="Arial"/>
          <w:sz w:val="22"/>
          <w:szCs w:val="22"/>
        </w:rPr>
        <w:t>base and/or subgrade) is uniformly pulverized and blended to provide an upgraded, homogeneous base material.  FDR is performed on the roadway without the addition of heat, similar to CIR. Treatment depths vary depending on the thickness of the existing pavement structure, but generally range between 4</w:t>
      </w:r>
      <w:r w:rsidR="007C2B36">
        <w:rPr>
          <w:rFonts w:ascii="Arial" w:hAnsi="Arial" w:cs="Arial"/>
          <w:sz w:val="22"/>
          <w:szCs w:val="22"/>
        </w:rPr>
        <w:t>"</w:t>
      </w:r>
      <w:r w:rsidRPr="00436E58">
        <w:rPr>
          <w:rFonts w:ascii="Arial" w:hAnsi="Arial" w:cs="Arial"/>
          <w:sz w:val="22"/>
          <w:szCs w:val="22"/>
        </w:rPr>
        <w:t xml:space="preserve"> to 12</w:t>
      </w:r>
      <w:r w:rsidR="007C2B36">
        <w:rPr>
          <w:rFonts w:ascii="Arial" w:hAnsi="Arial" w:cs="Arial"/>
          <w:sz w:val="22"/>
          <w:szCs w:val="22"/>
        </w:rPr>
        <w:t>"</w:t>
      </w:r>
      <w:r w:rsidRPr="00436E58">
        <w:rPr>
          <w:rFonts w:ascii="Arial" w:hAnsi="Arial" w:cs="Arial"/>
          <w:sz w:val="22"/>
          <w:szCs w:val="22"/>
        </w:rPr>
        <w:t>.  FDR consists of pulverization/reclamation of the existing pavement materials, adding more materials (when necessary), mixing, initial shaping of the resultant mix, compaction, final shaping or “tight blading</w:t>
      </w:r>
      <w:r w:rsidR="007C2B36">
        <w:rPr>
          <w:rFonts w:ascii="Arial" w:hAnsi="Arial" w:cs="Arial"/>
          <w:sz w:val="22"/>
          <w:szCs w:val="22"/>
        </w:rPr>
        <w:t>,</w:t>
      </w:r>
      <w:r w:rsidRPr="00436E58">
        <w:rPr>
          <w:rFonts w:ascii="Arial" w:hAnsi="Arial" w:cs="Arial"/>
          <w:sz w:val="22"/>
          <w:szCs w:val="22"/>
        </w:rPr>
        <w:t>” and application of a bituminous surface or wearing course.</w:t>
      </w:r>
    </w:p>
    <w:p w14:paraId="3C19998C" w14:textId="2273019B" w:rsidR="00BF10A0" w:rsidRDefault="00D62403" w:rsidP="00B85816">
      <w:pPr>
        <w:jc w:val="both"/>
        <w:rPr>
          <w:rFonts w:ascii="Arial" w:hAnsi="Arial" w:cs="Arial"/>
          <w:sz w:val="22"/>
          <w:szCs w:val="22"/>
        </w:rPr>
        <w:sectPr w:rsidR="00BF10A0" w:rsidSect="00C13421">
          <w:headerReference w:type="default" r:id="rId345"/>
          <w:footerReference w:type="default" r:id="rId346"/>
          <w:pgSz w:w="12240" w:h="15840" w:code="1"/>
          <w:pgMar w:top="1440" w:right="1800" w:bottom="1440" w:left="1800" w:header="720" w:footer="720" w:gutter="0"/>
          <w:pgNumType w:start="1" w:chapStyle="1"/>
          <w:cols w:space="720"/>
          <w:docGrid w:linePitch="272"/>
        </w:sectPr>
      </w:pPr>
      <w:bookmarkStart w:id="668" w:name="_Aggregate_Seals:"/>
      <w:bookmarkStart w:id="669" w:name="_HMA_Overlay:"/>
      <w:bookmarkEnd w:id="668"/>
      <w:bookmarkEnd w:id="669"/>
      <w:r>
        <w:rPr>
          <w:rFonts w:ascii="Arial" w:hAnsi="Arial" w:cs="Arial"/>
          <w:sz w:val="22"/>
          <w:szCs w:val="22"/>
        </w:rPr>
        <w:t>Generally, tonnage equals the square yards times inches divided by 17.</w:t>
      </w:r>
    </w:p>
    <w:p w14:paraId="3AD7D41A" w14:textId="77777777" w:rsidR="00BF10A0" w:rsidRDefault="00BF10A0" w:rsidP="00172E64">
      <w:pPr>
        <w:pStyle w:val="Heading3"/>
        <w:numPr>
          <w:ilvl w:val="2"/>
          <w:numId w:val="185"/>
        </w:numPr>
        <w:spacing w:before="0"/>
        <w:ind w:left="0" w:firstLine="0"/>
      </w:pPr>
      <w:r>
        <w:lastRenderedPageBreak/>
        <w:t>Pavement System Prese</w:t>
      </w:r>
      <w:r w:rsidR="0040000C">
        <w:t xml:space="preserve">rvation Terms and Definitions  </w:t>
      </w:r>
    </w:p>
    <w:p w14:paraId="23C875F6" w14:textId="592F7702" w:rsidR="00BF10A0" w:rsidRPr="009D63F8" w:rsidRDefault="00BF10A0" w:rsidP="00BE3F24">
      <w:pPr>
        <w:jc w:val="both"/>
        <w:rPr>
          <w:rFonts w:ascii="Arial" w:hAnsi="Arial" w:cs="Arial"/>
          <w:b/>
          <w:bCs/>
          <w:sz w:val="22"/>
          <w:szCs w:val="22"/>
        </w:rPr>
      </w:pPr>
      <w:r w:rsidRPr="009D63F8">
        <w:rPr>
          <w:rFonts w:ascii="Arial" w:hAnsi="Arial" w:cs="Arial"/>
          <w:b/>
          <w:bCs/>
          <w:sz w:val="22"/>
          <w:szCs w:val="22"/>
        </w:rPr>
        <w:t xml:space="preserve">In an effort to promote a uniform vocabulary throughout </w:t>
      </w:r>
      <w:r w:rsidR="008C7023">
        <w:rPr>
          <w:rFonts w:ascii="Arial" w:hAnsi="Arial" w:cs="Arial"/>
          <w:b/>
          <w:bCs/>
          <w:sz w:val="22"/>
          <w:szCs w:val="22"/>
        </w:rPr>
        <w:t>MDOT-SHA</w:t>
      </w:r>
      <w:r w:rsidRPr="009D63F8">
        <w:rPr>
          <w:rFonts w:ascii="Arial" w:hAnsi="Arial" w:cs="Arial"/>
          <w:b/>
          <w:bCs/>
          <w:sz w:val="22"/>
          <w:szCs w:val="22"/>
        </w:rPr>
        <w:t>, the following System Preservation terms and definitions will be used.</w:t>
      </w:r>
    </w:p>
    <w:p w14:paraId="5C621D75" w14:textId="77777777" w:rsidR="00BF10A0" w:rsidRPr="009D63F8" w:rsidRDefault="00BF10A0" w:rsidP="00BE3F24">
      <w:pPr>
        <w:jc w:val="both"/>
        <w:rPr>
          <w:rFonts w:ascii="Arial" w:hAnsi="Arial" w:cs="Arial"/>
          <w:b/>
          <w:bCs/>
          <w:sz w:val="22"/>
          <w:szCs w:val="22"/>
        </w:rPr>
      </w:pPr>
    </w:p>
    <w:p w14:paraId="3B10E919" w14:textId="798A2E70" w:rsidR="00BF10A0" w:rsidRPr="009D63F8" w:rsidRDefault="00BF10A0" w:rsidP="00BE3F24">
      <w:pPr>
        <w:jc w:val="both"/>
        <w:rPr>
          <w:rFonts w:ascii="Arial" w:hAnsi="Arial" w:cs="Arial"/>
          <w:b/>
          <w:bCs/>
          <w:sz w:val="22"/>
          <w:szCs w:val="22"/>
        </w:rPr>
      </w:pPr>
      <w:r w:rsidRPr="009D63F8">
        <w:rPr>
          <w:rFonts w:ascii="Arial" w:hAnsi="Arial" w:cs="Arial"/>
          <w:b/>
          <w:bCs/>
          <w:sz w:val="22"/>
          <w:szCs w:val="22"/>
        </w:rPr>
        <w:t xml:space="preserve">Cracking </w:t>
      </w:r>
      <w:r w:rsidR="00B063D7">
        <w:rPr>
          <w:rFonts w:ascii="Arial" w:hAnsi="Arial" w:cs="Arial"/>
          <w:b/>
          <w:bCs/>
          <w:sz w:val="22"/>
          <w:szCs w:val="22"/>
        </w:rPr>
        <w:t>Density</w:t>
      </w:r>
      <w:r w:rsidRPr="009D63F8">
        <w:rPr>
          <w:rFonts w:ascii="Arial" w:hAnsi="Arial" w:cs="Arial"/>
          <w:b/>
          <w:bCs/>
          <w:sz w:val="22"/>
          <w:szCs w:val="22"/>
        </w:rPr>
        <w:t xml:space="preserve"> (C</w:t>
      </w:r>
      <w:r w:rsidR="00B063D7">
        <w:rPr>
          <w:rFonts w:ascii="Arial" w:hAnsi="Arial" w:cs="Arial"/>
          <w:b/>
          <w:bCs/>
          <w:sz w:val="22"/>
          <w:szCs w:val="22"/>
        </w:rPr>
        <w:t>D</w:t>
      </w:r>
      <w:r w:rsidRPr="009D63F8">
        <w:rPr>
          <w:rFonts w:ascii="Arial" w:hAnsi="Arial" w:cs="Arial"/>
          <w:b/>
          <w:bCs/>
          <w:sz w:val="22"/>
          <w:szCs w:val="22"/>
        </w:rPr>
        <w:t>)</w:t>
      </w:r>
    </w:p>
    <w:p w14:paraId="12CB2486" w14:textId="20404201" w:rsidR="00BF10A0" w:rsidRDefault="00BF10A0" w:rsidP="00C021C2">
      <w:pPr>
        <w:pStyle w:val="BodyText"/>
        <w:spacing w:after="0"/>
        <w:jc w:val="both"/>
      </w:pPr>
      <w:r w:rsidRPr="009D63F8">
        <w:rPr>
          <w:rFonts w:cs="Arial"/>
          <w:szCs w:val="22"/>
        </w:rPr>
        <w:t>A</w:t>
      </w:r>
      <w:r w:rsidR="00B063D7">
        <w:rPr>
          <w:rFonts w:cs="Arial"/>
          <w:szCs w:val="22"/>
        </w:rPr>
        <w:t xml:space="preserve"> number</w:t>
      </w:r>
      <w:r w:rsidRPr="009D63F8">
        <w:rPr>
          <w:rFonts w:cs="Arial"/>
          <w:szCs w:val="22"/>
        </w:rPr>
        <w:t xml:space="preserve"> that quantifies the amount of pavement cracking, where 0 = no cracks.  Data to calculate the C</w:t>
      </w:r>
      <w:r w:rsidR="00B063D7">
        <w:rPr>
          <w:rFonts w:cs="Arial"/>
          <w:szCs w:val="22"/>
        </w:rPr>
        <w:t>D</w:t>
      </w:r>
      <w:r w:rsidRPr="009D63F8">
        <w:rPr>
          <w:rFonts w:cs="Arial"/>
          <w:szCs w:val="22"/>
        </w:rPr>
        <w:t xml:space="preserve"> is collected by the ARAN.  Cracking data has been collected since 2001, but the results have been unreliable.  As a more reliable historical record is established, the remaining service life calculations may be revised.</w:t>
      </w:r>
      <w:r>
        <w:rPr>
          <w:rFonts w:cs="Arial"/>
          <w:szCs w:val="22"/>
        </w:rPr>
        <w:t xml:space="preserve">  </w:t>
      </w:r>
      <w:r>
        <w:t>The C</w:t>
      </w:r>
      <w:r w:rsidR="00B063D7">
        <w:t>D</w:t>
      </w:r>
      <w:r>
        <w:t xml:space="preserve"> is a function of Structural C</w:t>
      </w:r>
      <w:r w:rsidR="00B063D7">
        <w:t>D</w:t>
      </w:r>
      <w:r>
        <w:t xml:space="preserve"> and Functional C</w:t>
      </w:r>
      <w:r w:rsidR="00B063D7">
        <w:t>D</w:t>
      </w:r>
      <w:r>
        <w:t>, where the cracks are distinguished by whether they are caused from structural or functional reasons.</w:t>
      </w:r>
    </w:p>
    <w:p w14:paraId="1644E440" w14:textId="77777777" w:rsidR="00BF10A0" w:rsidRPr="009D63F8" w:rsidRDefault="00BF10A0" w:rsidP="007C2B36">
      <w:pPr>
        <w:jc w:val="both"/>
        <w:rPr>
          <w:rFonts w:ascii="Arial" w:hAnsi="Arial" w:cs="Arial"/>
          <w:sz w:val="22"/>
          <w:szCs w:val="22"/>
          <w:highlight w:val="yellow"/>
        </w:rPr>
      </w:pPr>
    </w:p>
    <w:p w14:paraId="6BF52E3C" w14:textId="77777777" w:rsidR="00BF10A0" w:rsidRPr="009D63F8" w:rsidRDefault="00BF10A0" w:rsidP="007C2B36">
      <w:pPr>
        <w:jc w:val="both"/>
        <w:rPr>
          <w:rFonts w:ascii="Arial" w:hAnsi="Arial" w:cs="Arial"/>
          <w:b/>
          <w:bCs/>
          <w:sz w:val="22"/>
          <w:szCs w:val="22"/>
        </w:rPr>
      </w:pPr>
      <w:r w:rsidRPr="009D63F8">
        <w:rPr>
          <w:rFonts w:ascii="Arial" w:hAnsi="Arial" w:cs="Arial"/>
          <w:b/>
          <w:bCs/>
          <w:sz w:val="22"/>
          <w:szCs w:val="22"/>
        </w:rPr>
        <w:t>Design Life</w:t>
      </w:r>
    </w:p>
    <w:p w14:paraId="37FB9C79" w14:textId="3B71B08A" w:rsidR="00BF10A0" w:rsidRPr="009D63F8" w:rsidRDefault="00BF10A0" w:rsidP="007C2B36">
      <w:pPr>
        <w:jc w:val="both"/>
        <w:rPr>
          <w:rFonts w:ascii="Arial" w:hAnsi="Arial" w:cs="Arial"/>
          <w:sz w:val="22"/>
          <w:szCs w:val="22"/>
        </w:rPr>
      </w:pPr>
      <w:r w:rsidRPr="009D63F8">
        <w:rPr>
          <w:rFonts w:ascii="Arial" w:hAnsi="Arial" w:cs="Arial"/>
          <w:sz w:val="22"/>
          <w:szCs w:val="22"/>
        </w:rPr>
        <w:t xml:space="preserve">The number of years anticipated for a pavement section at the time of initial construction, until zero-life is reached.  Design life does not include any additional life estimates provided by anticipated future preventive </w:t>
      </w:r>
      <w:r w:rsidR="005B17AE" w:rsidRPr="009D63F8">
        <w:rPr>
          <w:rFonts w:ascii="Arial" w:hAnsi="Arial" w:cs="Arial"/>
          <w:sz w:val="22"/>
          <w:szCs w:val="22"/>
        </w:rPr>
        <w:t>maintenance but</w:t>
      </w:r>
      <w:r w:rsidRPr="009D63F8">
        <w:rPr>
          <w:rFonts w:ascii="Arial" w:hAnsi="Arial" w:cs="Arial"/>
          <w:sz w:val="22"/>
          <w:szCs w:val="22"/>
        </w:rPr>
        <w:t xml:space="preserve"> does include routine maintenance as needed.  </w:t>
      </w:r>
    </w:p>
    <w:p w14:paraId="4AAE9E5B" w14:textId="77777777" w:rsidR="00BF10A0" w:rsidRPr="009D63F8" w:rsidRDefault="00BF10A0" w:rsidP="007C2B36">
      <w:pPr>
        <w:jc w:val="both"/>
        <w:rPr>
          <w:rFonts w:ascii="Arial" w:hAnsi="Arial" w:cs="Arial"/>
          <w:sz w:val="22"/>
          <w:szCs w:val="22"/>
        </w:rPr>
      </w:pPr>
    </w:p>
    <w:p w14:paraId="27FDDF14" w14:textId="77777777" w:rsidR="00BF10A0" w:rsidRPr="009D63F8" w:rsidRDefault="00BF10A0" w:rsidP="007C2B36">
      <w:pPr>
        <w:jc w:val="both"/>
        <w:rPr>
          <w:rFonts w:ascii="Arial" w:hAnsi="Arial" w:cs="Arial"/>
          <w:b/>
          <w:bCs/>
          <w:sz w:val="22"/>
          <w:szCs w:val="22"/>
        </w:rPr>
      </w:pPr>
      <w:r w:rsidRPr="009D63F8">
        <w:rPr>
          <w:rFonts w:ascii="Arial" w:hAnsi="Arial" w:cs="Arial"/>
          <w:b/>
          <w:bCs/>
          <w:sz w:val="22"/>
          <w:szCs w:val="22"/>
        </w:rPr>
        <w:t>Fix Life</w:t>
      </w:r>
    </w:p>
    <w:p w14:paraId="5163C9D2" w14:textId="77777777" w:rsidR="00BF10A0" w:rsidRPr="009D63F8" w:rsidRDefault="00BF10A0" w:rsidP="007C2B36">
      <w:pPr>
        <w:jc w:val="both"/>
        <w:rPr>
          <w:rFonts w:ascii="Arial" w:hAnsi="Arial" w:cs="Arial"/>
          <w:b/>
          <w:sz w:val="22"/>
          <w:szCs w:val="22"/>
        </w:rPr>
      </w:pPr>
      <w:r w:rsidRPr="009D63F8">
        <w:rPr>
          <w:rFonts w:ascii="Arial" w:hAnsi="Arial" w:cs="Arial"/>
          <w:sz w:val="22"/>
          <w:szCs w:val="22"/>
        </w:rPr>
        <w:t xml:space="preserve">The anticipated life extension provided by the pavement treatment, </w:t>
      </w:r>
      <w:r w:rsidRPr="009D63F8">
        <w:rPr>
          <w:rFonts w:ascii="Arial" w:hAnsi="Arial" w:cs="Arial"/>
          <w:sz w:val="22"/>
          <w:szCs w:val="22"/>
          <w:u w:val="single"/>
        </w:rPr>
        <w:t>excluding</w:t>
      </w:r>
      <w:r w:rsidRPr="009D63F8">
        <w:rPr>
          <w:rFonts w:ascii="Arial" w:hAnsi="Arial" w:cs="Arial"/>
          <w:sz w:val="22"/>
          <w:szCs w:val="22"/>
        </w:rPr>
        <w:t xml:space="preserve"> any future pavement treatments.  </w:t>
      </w:r>
      <w:r w:rsidRPr="009D63F8">
        <w:rPr>
          <w:rFonts w:ascii="Arial" w:hAnsi="Arial" w:cs="Arial"/>
          <w:b/>
          <w:sz w:val="22"/>
          <w:szCs w:val="22"/>
        </w:rPr>
        <w:t>This will be the life that the Pavement &amp; Geotechnical Division (PAGD) provides when reporting how long a certain fix will last.</w:t>
      </w:r>
    </w:p>
    <w:p w14:paraId="7C426908" w14:textId="77777777" w:rsidR="00BF10A0" w:rsidRPr="009D63F8" w:rsidRDefault="00BF10A0" w:rsidP="00BE3F24">
      <w:pPr>
        <w:jc w:val="both"/>
        <w:rPr>
          <w:rFonts w:ascii="Arial" w:hAnsi="Arial" w:cs="Arial"/>
          <w:sz w:val="22"/>
          <w:szCs w:val="22"/>
        </w:rPr>
      </w:pPr>
    </w:p>
    <w:p w14:paraId="1AC45FC1" w14:textId="77777777" w:rsidR="00BF10A0" w:rsidRPr="009D63F8" w:rsidRDefault="00BF10A0" w:rsidP="00BE3F24">
      <w:pPr>
        <w:jc w:val="both"/>
        <w:rPr>
          <w:rFonts w:ascii="Arial" w:hAnsi="Arial" w:cs="Arial"/>
          <w:b/>
          <w:bCs/>
          <w:sz w:val="22"/>
          <w:szCs w:val="22"/>
        </w:rPr>
      </w:pPr>
      <w:r w:rsidRPr="009D63F8">
        <w:rPr>
          <w:rFonts w:ascii="Arial" w:hAnsi="Arial" w:cs="Arial"/>
          <w:b/>
          <w:bCs/>
          <w:sz w:val="22"/>
          <w:szCs w:val="22"/>
        </w:rPr>
        <w:t>Faulting</w:t>
      </w:r>
    </w:p>
    <w:p w14:paraId="7A9A2EB9" w14:textId="77777777" w:rsidR="00BF10A0" w:rsidRPr="009D63F8" w:rsidRDefault="00BF10A0" w:rsidP="00BE3F24">
      <w:pPr>
        <w:jc w:val="both"/>
        <w:rPr>
          <w:rFonts w:ascii="Arial" w:hAnsi="Arial" w:cs="Arial"/>
          <w:sz w:val="22"/>
          <w:szCs w:val="22"/>
        </w:rPr>
      </w:pPr>
      <w:r w:rsidRPr="009D63F8">
        <w:rPr>
          <w:rFonts w:ascii="Arial" w:hAnsi="Arial" w:cs="Arial"/>
          <w:sz w:val="22"/>
          <w:szCs w:val="22"/>
        </w:rPr>
        <w:t>A measure of differential settlement between adjacent concrete slabs.  Faulting is not currently collected in Maryland on a network level.</w:t>
      </w:r>
    </w:p>
    <w:p w14:paraId="07FF7795" w14:textId="77777777" w:rsidR="00BF10A0" w:rsidRPr="009D63F8" w:rsidRDefault="00BF10A0" w:rsidP="00BE3F24">
      <w:pPr>
        <w:jc w:val="both"/>
        <w:rPr>
          <w:rFonts w:ascii="Arial" w:hAnsi="Arial" w:cs="Arial"/>
          <w:b/>
          <w:bCs/>
          <w:sz w:val="22"/>
          <w:szCs w:val="22"/>
        </w:rPr>
      </w:pPr>
    </w:p>
    <w:p w14:paraId="6E9B32B8" w14:textId="77777777" w:rsidR="00BF10A0" w:rsidRPr="009D63F8" w:rsidRDefault="00BF10A0" w:rsidP="00BE3F24">
      <w:pPr>
        <w:jc w:val="both"/>
        <w:rPr>
          <w:rFonts w:ascii="Arial" w:hAnsi="Arial" w:cs="Arial"/>
          <w:b/>
          <w:bCs/>
          <w:sz w:val="22"/>
          <w:szCs w:val="22"/>
        </w:rPr>
      </w:pPr>
      <w:r w:rsidRPr="009D63F8">
        <w:rPr>
          <w:rFonts w:ascii="Arial" w:hAnsi="Arial" w:cs="Arial"/>
          <w:b/>
          <w:bCs/>
          <w:sz w:val="22"/>
          <w:szCs w:val="22"/>
        </w:rPr>
        <w:t>Life Extension</w:t>
      </w:r>
    </w:p>
    <w:p w14:paraId="52F5A166" w14:textId="77777777" w:rsidR="00BF10A0" w:rsidRPr="009D63F8" w:rsidRDefault="00BF10A0" w:rsidP="00BE3F24">
      <w:pPr>
        <w:jc w:val="both"/>
        <w:rPr>
          <w:rFonts w:ascii="Arial" w:hAnsi="Arial" w:cs="Arial"/>
          <w:sz w:val="22"/>
          <w:szCs w:val="22"/>
        </w:rPr>
      </w:pPr>
      <w:r w:rsidRPr="009D63F8">
        <w:rPr>
          <w:rFonts w:ascii="Arial" w:hAnsi="Arial" w:cs="Arial"/>
          <w:sz w:val="22"/>
          <w:szCs w:val="22"/>
        </w:rPr>
        <w:t>The number of years until the pavement condition deteriorates and reaches the condition that existed prior to the most recent fix.</w:t>
      </w:r>
    </w:p>
    <w:p w14:paraId="343D96E7" w14:textId="77777777" w:rsidR="00BF10A0" w:rsidRPr="009D63F8" w:rsidRDefault="00BF10A0" w:rsidP="00BE3F24">
      <w:pPr>
        <w:jc w:val="both"/>
        <w:rPr>
          <w:rFonts w:ascii="Arial" w:hAnsi="Arial" w:cs="Arial"/>
          <w:sz w:val="22"/>
          <w:szCs w:val="22"/>
        </w:rPr>
      </w:pPr>
    </w:p>
    <w:p w14:paraId="39D2F562" w14:textId="77777777" w:rsidR="00BF10A0" w:rsidRDefault="00BF10A0" w:rsidP="00BE3F24">
      <w:pPr>
        <w:pStyle w:val="BodyText"/>
        <w:spacing w:after="0"/>
        <w:rPr>
          <w:b/>
        </w:rPr>
      </w:pPr>
      <w:r w:rsidRPr="001642DB">
        <w:rPr>
          <w:b/>
        </w:rPr>
        <w:t>Performance Measure</w:t>
      </w:r>
    </w:p>
    <w:p w14:paraId="6D1C85CB" w14:textId="664DE452" w:rsidR="00BF10A0" w:rsidRDefault="00BF10A0" w:rsidP="005B17AE">
      <w:pPr>
        <w:pStyle w:val="BodyText"/>
        <w:spacing w:after="0"/>
        <w:jc w:val="both"/>
      </w:pPr>
      <w:r w:rsidRPr="000F1DC0">
        <w:t>Measured test results of existing or past pavement performance in terms of the property measured (IRI, C</w:t>
      </w:r>
      <w:r w:rsidR="00CE31A6">
        <w:t>D</w:t>
      </w:r>
      <w:r w:rsidRPr="000F1DC0">
        <w:t>, FN, Rutting).</w:t>
      </w:r>
    </w:p>
    <w:p w14:paraId="7A45AABD" w14:textId="77777777" w:rsidR="00BF10A0" w:rsidRPr="000F1DC0" w:rsidRDefault="00BF10A0" w:rsidP="00BE3F24">
      <w:pPr>
        <w:pStyle w:val="BodyText"/>
        <w:spacing w:after="0"/>
      </w:pPr>
    </w:p>
    <w:p w14:paraId="5DB40760" w14:textId="77777777" w:rsidR="00BF10A0" w:rsidRDefault="00BF10A0" w:rsidP="00BE3F24">
      <w:pPr>
        <w:pStyle w:val="BodyText"/>
        <w:spacing w:after="0"/>
        <w:rPr>
          <w:b/>
        </w:rPr>
      </w:pPr>
      <w:r w:rsidRPr="001642DB">
        <w:rPr>
          <w:b/>
        </w:rPr>
        <w:t>Performance Target</w:t>
      </w:r>
    </w:p>
    <w:p w14:paraId="5E8BCB4F" w14:textId="6E979B33" w:rsidR="00BF10A0" w:rsidRPr="000F1DC0" w:rsidRDefault="00BF10A0" w:rsidP="005B17AE">
      <w:pPr>
        <w:pStyle w:val="BodyText"/>
        <w:spacing w:after="0"/>
        <w:jc w:val="both"/>
      </w:pPr>
      <w:r w:rsidRPr="000F1DC0">
        <w:t>A future performance measure (</w:t>
      </w:r>
      <w:r w:rsidR="00FC48DD" w:rsidRPr="000F1DC0">
        <w:t>initial</w:t>
      </w:r>
      <w:r w:rsidRPr="000F1DC0">
        <w:t xml:space="preserve"> or terminal).  A target is something which has not yet been achieved.</w:t>
      </w:r>
    </w:p>
    <w:p w14:paraId="340382F2" w14:textId="77777777" w:rsidR="00BF10A0" w:rsidRPr="000F1DC0" w:rsidRDefault="00BF10A0" w:rsidP="005B17AE">
      <w:pPr>
        <w:pStyle w:val="BodyText"/>
        <w:spacing w:after="0"/>
        <w:jc w:val="both"/>
      </w:pPr>
    </w:p>
    <w:p w14:paraId="05C35150" w14:textId="138E7F65" w:rsidR="00BF10A0" w:rsidRPr="009D63F8" w:rsidRDefault="00BF10A0" w:rsidP="007C2B36">
      <w:pPr>
        <w:jc w:val="both"/>
        <w:rPr>
          <w:rFonts w:ascii="Arial" w:hAnsi="Arial" w:cs="Arial"/>
          <w:b/>
          <w:bCs/>
          <w:sz w:val="22"/>
          <w:szCs w:val="22"/>
        </w:rPr>
      </w:pPr>
      <w:r w:rsidRPr="009D63F8">
        <w:rPr>
          <w:rFonts w:ascii="Arial" w:hAnsi="Arial" w:cs="Arial"/>
          <w:b/>
          <w:bCs/>
          <w:sz w:val="22"/>
          <w:szCs w:val="22"/>
        </w:rPr>
        <w:t>Remaining Service Life (RSL)</w:t>
      </w:r>
    </w:p>
    <w:p w14:paraId="311323E9" w14:textId="20FC3FB6" w:rsidR="00BF10A0" w:rsidRPr="009D63F8" w:rsidRDefault="00BF10A0" w:rsidP="007C2B36">
      <w:pPr>
        <w:jc w:val="both"/>
        <w:rPr>
          <w:rFonts w:ascii="Arial" w:hAnsi="Arial" w:cs="Arial"/>
          <w:sz w:val="22"/>
          <w:szCs w:val="22"/>
        </w:rPr>
      </w:pPr>
      <w:r w:rsidRPr="009D63F8">
        <w:rPr>
          <w:rFonts w:ascii="Arial" w:hAnsi="Arial" w:cs="Arial"/>
          <w:sz w:val="22"/>
          <w:szCs w:val="22"/>
        </w:rPr>
        <w:t>The estimated number of years until a pavement section reaches the Zero-Life threshold.  RSL is a function of the distress level and rate of deterioration.  The RSL is calculated for each of Ride Quality, Cracking, Rutting</w:t>
      </w:r>
      <w:r w:rsidR="007C2B36">
        <w:rPr>
          <w:rFonts w:ascii="Arial" w:hAnsi="Arial" w:cs="Arial"/>
          <w:sz w:val="22"/>
          <w:szCs w:val="22"/>
        </w:rPr>
        <w:t>,</w:t>
      </w:r>
      <w:r w:rsidRPr="009D63F8">
        <w:rPr>
          <w:rFonts w:ascii="Arial" w:hAnsi="Arial" w:cs="Arial"/>
          <w:sz w:val="22"/>
          <w:szCs w:val="22"/>
        </w:rPr>
        <w:t xml:space="preserve"> and Friction.  </w:t>
      </w:r>
    </w:p>
    <w:p w14:paraId="46555DD0" w14:textId="77777777" w:rsidR="00BF10A0" w:rsidRPr="009D63F8" w:rsidRDefault="00BF10A0" w:rsidP="007C2B36">
      <w:pPr>
        <w:jc w:val="both"/>
        <w:rPr>
          <w:rFonts w:ascii="Arial" w:hAnsi="Arial" w:cs="Arial"/>
          <w:sz w:val="22"/>
          <w:szCs w:val="22"/>
        </w:rPr>
      </w:pPr>
    </w:p>
    <w:p w14:paraId="14F53CAD" w14:textId="77777777" w:rsidR="00CE31A6" w:rsidRDefault="00CE31A6" w:rsidP="00BE3F24">
      <w:pPr>
        <w:jc w:val="both"/>
        <w:rPr>
          <w:rFonts w:ascii="Arial" w:hAnsi="Arial" w:cs="Arial"/>
          <w:sz w:val="22"/>
          <w:szCs w:val="22"/>
        </w:rPr>
      </w:pPr>
    </w:p>
    <w:p w14:paraId="1F256D60" w14:textId="5EEF78AD" w:rsidR="00BF10A0" w:rsidRDefault="00BF10A0" w:rsidP="00BE3F24">
      <w:pPr>
        <w:jc w:val="both"/>
        <w:rPr>
          <w:rFonts w:ascii="Arial" w:hAnsi="Arial" w:cs="Arial"/>
          <w:sz w:val="22"/>
          <w:szCs w:val="22"/>
        </w:rPr>
      </w:pPr>
      <w:r w:rsidRPr="009D63F8">
        <w:rPr>
          <w:rFonts w:ascii="Arial" w:hAnsi="Arial" w:cs="Arial"/>
          <w:sz w:val="22"/>
          <w:szCs w:val="22"/>
        </w:rPr>
        <w:t xml:space="preserve">  </w:t>
      </w:r>
    </w:p>
    <w:p w14:paraId="23F57E15" w14:textId="1BF2C16D" w:rsidR="007F27BA" w:rsidRDefault="007F27BA" w:rsidP="00BE3F24">
      <w:pPr>
        <w:jc w:val="both"/>
        <w:rPr>
          <w:rFonts w:ascii="Arial" w:hAnsi="Arial" w:cs="Arial"/>
          <w:sz w:val="22"/>
          <w:szCs w:val="22"/>
        </w:rPr>
      </w:pPr>
    </w:p>
    <w:p w14:paraId="4AF32540" w14:textId="6CE8D9FF" w:rsidR="007F27BA" w:rsidRDefault="007F27BA" w:rsidP="00BE3F24">
      <w:pPr>
        <w:jc w:val="both"/>
        <w:rPr>
          <w:rFonts w:ascii="Arial" w:hAnsi="Arial" w:cs="Arial"/>
          <w:sz w:val="22"/>
          <w:szCs w:val="22"/>
        </w:rPr>
      </w:pPr>
    </w:p>
    <w:p w14:paraId="3BFFEBFF" w14:textId="77777777" w:rsidR="007F27BA" w:rsidRPr="009D63F8" w:rsidRDefault="007F27BA" w:rsidP="00BE3F24">
      <w:pPr>
        <w:jc w:val="both"/>
        <w:rPr>
          <w:rFonts w:ascii="Arial" w:hAnsi="Arial" w:cs="Arial"/>
          <w:sz w:val="22"/>
          <w:szCs w:val="22"/>
        </w:rPr>
      </w:pPr>
    </w:p>
    <w:p w14:paraId="79E1BC03" w14:textId="77777777" w:rsidR="00BF10A0" w:rsidRPr="009D63F8" w:rsidRDefault="00BF10A0" w:rsidP="00BE3F24">
      <w:pPr>
        <w:jc w:val="both"/>
        <w:rPr>
          <w:rFonts w:ascii="Arial" w:hAnsi="Arial" w:cs="Arial"/>
          <w:sz w:val="22"/>
          <w:szCs w:val="22"/>
        </w:rPr>
      </w:pPr>
    </w:p>
    <w:tbl>
      <w:tblPr>
        <w:tblStyle w:val="TableGrid"/>
        <w:tblW w:w="3897" w:type="dxa"/>
        <w:jc w:val="center"/>
        <w:tblLook w:val="04A0" w:firstRow="1" w:lastRow="0" w:firstColumn="1" w:lastColumn="0" w:noHBand="0" w:noVBand="1"/>
      </w:tblPr>
      <w:tblGrid>
        <w:gridCol w:w="1971"/>
        <w:gridCol w:w="1926"/>
      </w:tblGrid>
      <w:tr w:rsidR="00CE31A6" w:rsidRPr="00A31ABB" w14:paraId="7525CA7E" w14:textId="77777777" w:rsidTr="00115674">
        <w:trPr>
          <w:jc w:val="center"/>
        </w:trPr>
        <w:tc>
          <w:tcPr>
            <w:tcW w:w="1971" w:type="dxa"/>
            <w:shd w:val="pct10" w:color="auto" w:fill="auto"/>
            <w:vAlign w:val="center"/>
          </w:tcPr>
          <w:p w14:paraId="63F6AB82" w14:textId="77777777" w:rsidR="00CE31A6" w:rsidRPr="00B54ED8" w:rsidRDefault="00CE31A6" w:rsidP="00115674">
            <w:pPr>
              <w:jc w:val="center"/>
              <w:rPr>
                <w:rFonts w:asciiTheme="minorHAnsi" w:hAnsiTheme="minorHAnsi"/>
                <w:b/>
                <w:sz w:val="22"/>
                <w:szCs w:val="22"/>
              </w:rPr>
            </w:pPr>
            <w:r w:rsidRPr="00B54ED8">
              <w:rPr>
                <w:rFonts w:asciiTheme="minorHAnsi" w:hAnsiTheme="minorHAnsi"/>
                <w:b/>
                <w:sz w:val="22"/>
                <w:szCs w:val="22"/>
              </w:rPr>
              <w:lastRenderedPageBreak/>
              <w:t>RSL Category</w:t>
            </w:r>
          </w:p>
        </w:tc>
        <w:tc>
          <w:tcPr>
            <w:tcW w:w="1926" w:type="dxa"/>
            <w:shd w:val="pct10" w:color="auto" w:fill="auto"/>
            <w:vAlign w:val="center"/>
          </w:tcPr>
          <w:p w14:paraId="091E9423" w14:textId="77777777" w:rsidR="00CE31A6" w:rsidRPr="00B54ED8" w:rsidRDefault="00CE31A6" w:rsidP="00115674">
            <w:pPr>
              <w:jc w:val="center"/>
              <w:rPr>
                <w:rFonts w:asciiTheme="minorHAnsi" w:hAnsiTheme="minorHAnsi"/>
                <w:b/>
                <w:sz w:val="22"/>
                <w:szCs w:val="22"/>
              </w:rPr>
            </w:pPr>
            <w:r w:rsidRPr="00B54ED8">
              <w:rPr>
                <w:rFonts w:asciiTheme="minorHAnsi" w:hAnsiTheme="minorHAnsi"/>
                <w:b/>
                <w:sz w:val="22"/>
                <w:szCs w:val="22"/>
              </w:rPr>
              <w:t>RSL Range</w:t>
            </w:r>
          </w:p>
        </w:tc>
      </w:tr>
      <w:tr w:rsidR="00CE31A6" w:rsidRPr="00A31ABB" w14:paraId="0A6ED962" w14:textId="77777777" w:rsidTr="00115674">
        <w:trPr>
          <w:jc w:val="center"/>
        </w:trPr>
        <w:tc>
          <w:tcPr>
            <w:tcW w:w="1971" w:type="dxa"/>
            <w:shd w:val="clear" w:color="000000" w:fill="7030A0"/>
            <w:vAlign w:val="center"/>
          </w:tcPr>
          <w:p w14:paraId="45D6446D" w14:textId="77777777" w:rsidR="00CE31A6" w:rsidRPr="00B54ED8" w:rsidRDefault="00CE31A6" w:rsidP="00115674">
            <w:pPr>
              <w:jc w:val="center"/>
              <w:rPr>
                <w:rFonts w:asciiTheme="minorHAnsi" w:hAnsiTheme="minorHAnsi"/>
                <w:color w:val="FFFFFF" w:themeColor="background1"/>
                <w:sz w:val="22"/>
                <w:szCs w:val="22"/>
              </w:rPr>
            </w:pPr>
            <w:r w:rsidRPr="00B54ED8">
              <w:rPr>
                <w:rFonts w:asciiTheme="minorHAnsi" w:hAnsiTheme="minorHAnsi"/>
                <w:color w:val="FFFFFF" w:themeColor="background1"/>
                <w:sz w:val="22"/>
                <w:szCs w:val="22"/>
              </w:rPr>
              <w:t>Excellent (A)</w:t>
            </w:r>
          </w:p>
        </w:tc>
        <w:tc>
          <w:tcPr>
            <w:tcW w:w="1926" w:type="dxa"/>
            <w:shd w:val="clear" w:color="000000" w:fill="7030A0"/>
            <w:vAlign w:val="bottom"/>
          </w:tcPr>
          <w:p w14:paraId="480BDECA" w14:textId="77777777" w:rsidR="00CE31A6" w:rsidRPr="00B54ED8" w:rsidRDefault="00CE31A6" w:rsidP="00115674">
            <w:pPr>
              <w:jc w:val="center"/>
              <w:rPr>
                <w:rFonts w:asciiTheme="minorHAnsi" w:hAnsiTheme="minorHAnsi"/>
                <w:sz w:val="22"/>
                <w:szCs w:val="22"/>
              </w:rPr>
            </w:pPr>
            <w:r w:rsidRPr="00B54ED8">
              <w:rPr>
                <w:rFonts w:asciiTheme="minorHAnsi" w:hAnsiTheme="minorHAnsi"/>
                <w:color w:val="FFFFFF"/>
                <w:sz w:val="22"/>
                <w:szCs w:val="22"/>
              </w:rPr>
              <w:t>40 to 50 years</w:t>
            </w:r>
          </w:p>
        </w:tc>
      </w:tr>
      <w:tr w:rsidR="00CE31A6" w:rsidRPr="00A31ABB" w14:paraId="4596E442" w14:textId="77777777" w:rsidTr="00115674">
        <w:trPr>
          <w:jc w:val="center"/>
        </w:trPr>
        <w:tc>
          <w:tcPr>
            <w:tcW w:w="1971" w:type="dxa"/>
            <w:shd w:val="clear" w:color="000000" w:fill="00B0F0"/>
            <w:vAlign w:val="center"/>
          </w:tcPr>
          <w:p w14:paraId="59962A97" w14:textId="77777777" w:rsidR="00CE31A6" w:rsidRPr="006B087A" w:rsidRDefault="00CE31A6" w:rsidP="00115674">
            <w:pPr>
              <w:jc w:val="center"/>
              <w:rPr>
                <w:rFonts w:asciiTheme="minorHAnsi" w:hAnsiTheme="minorHAnsi"/>
                <w:sz w:val="22"/>
                <w:szCs w:val="22"/>
              </w:rPr>
            </w:pPr>
            <w:r w:rsidRPr="006B087A">
              <w:rPr>
                <w:rFonts w:asciiTheme="minorHAnsi" w:hAnsiTheme="minorHAnsi"/>
                <w:sz w:val="22"/>
                <w:szCs w:val="22"/>
              </w:rPr>
              <w:t>Very Good (B)</w:t>
            </w:r>
          </w:p>
        </w:tc>
        <w:tc>
          <w:tcPr>
            <w:tcW w:w="1926" w:type="dxa"/>
            <w:shd w:val="clear" w:color="000000" w:fill="00B0F0"/>
            <w:vAlign w:val="bottom"/>
          </w:tcPr>
          <w:p w14:paraId="70ECC037" w14:textId="77777777" w:rsidR="00CE31A6" w:rsidRPr="00B54ED8" w:rsidRDefault="00CE31A6" w:rsidP="00115674">
            <w:pPr>
              <w:jc w:val="center"/>
              <w:rPr>
                <w:rFonts w:asciiTheme="minorHAnsi" w:hAnsiTheme="minorHAnsi"/>
                <w:sz w:val="22"/>
                <w:szCs w:val="22"/>
              </w:rPr>
            </w:pPr>
            <w:r w:rsidRPr="006B087A">
              <w:rPr>
                <w:rFonts w:asciiTheme="minorHAnsi" w:hAnsiTheme="minorHAnsi"/>
                <w:sz w:val="22"/>
                <w:szCs w:val="22"/>
              </w:rPr>
              <w:t>30 to &lt;40 years</w:t>
            </w:r>
          </w:p>
        </w:tc>
      </w:tr>
      <w:tr w:rsidR="00CE31A6" w:rsidRPr="00A31ABB" w14:paraId="5693EE40" w14:textId="77777777" w:rsidTr="00115674">
        <w:trPr>
          <w:jc w:val="center"/>
        </w:trPr>
        <w:tc>
          <w:tcPr>
            <w:tcW w:w="1971" w:type="dxa"/>
            <w:shd w:val="clear" w:color="000000" w:fill="00B050"/>
            <w:vAlign w:val="center"/>
          </w:tcPr>
          <w:p w14:paraId="48BF8F91" w14:textId="77777777" w:rsidR="00CE31A6" w:rsidRPr="00B54ED8" w:rsidRDefault="00CE31A6" w:rsidP="00115674">
            <w:pPr>
              <w:jc w:val="center"/>
              <w:rPr>
                <w:rFonts w:asciiTheme="minorHAnsi" w:hAnsiTheme="minorHAnsi"/>
                <w:sz w:val="22"/>
                <w:szCs w:val="22"/>
              </w:rPr>
            </w:pPr>
            <w:r w:rsidRPr="00B54ED8">
              <w:rPr>
                <w:rFonts w:asciiTheme="minorHAnsi" w:hAnsiTheme="minorHAnsi"/>
                <w:color w:val="000000"/>
                <w:sz w:val="22"/>
                <w:szCs w:val="22"/>
              </w:rPr>
              <w:t>Good (C)</w:t>
            </w:r>
          </w:p>
        </w:tc>
        <w:tc>
          <w:tcPr>
            <w:tcW w:w="1926" w:type="dxa"/>
            <w:shd w:val="clear" w:color="000000" w:fill="00B050"/>
            <w:vAlign w:val="bottom"/>
          </w:tcPr>
          <w:p w14:paraId="77F39479" w14:textId="77777777" w:rsidR="00CE31A6" w:rsidRPr="00B54ED8" w:rsidRDefault="00CE31A6" w:rsidP="00115674">
            <w:pPr>
              <w:jc w:val="center"/>
              <w:rPr>
                <w:rFonts w:asciiTheme="minorHAnsi" w:hAnsiTheme="minorHAnsi"/>
                <w:sz w:val="22"/>
                <w:szCs w:val="22"/>
              </w:rPr>
            </w:pPr>
            <w:r w:rsidRPr="00B54ED8">
              <w:rPr>
                <w:rFonts w:asciiTheme="minorHAnsi" w:hAnsiTheme="minorHAnsi"/>
                <w:sz w:val="22"/>
                <w:szCs w:val="22"/>
              </w:rPr>
              <w:t>20 to &lt;30 years</w:t>
            </w:r>
          </w:p>
        </w:tc>
      </w:tr>
      <w:tr w:rsidR="00CE31A6" w:rsidRPr="00A31ABB" w14:paraId="05240232" w14:textId="77777777" w:rsidTr="00115674">
        <w:trPr>
          <w:jc w:val="center"/>
        </w:trPr>
        <w:tc>
          <w:tcPr>
            <w:tcW w:w="1971" w:type="dxa"/>
            <w:shd w:val="clear" w:color="000000" w:fill="FFFF00"/>
            <w:vAlign w:val="center"/>
          </w:tcPr>
          <w:p w14:paraId="0427F6AE" w14:textId="77777777" w:rsidR="00CE31A6" w:rsidRPr="00B54ED8" w:rsidRDefault="00CE31A6" w:rsidP="00115674">
            <w:pPr>
              <w:jc w:val="center"/>
              <w:rPr>
                <w:rFonts w:asciiTheme="minorHAnsi" w:hAnsiTheme="minorHAnsi"/>
                <w:sz w:val="22"/>
                <w:szCs w:val="22"/>
              </w:rPr>
            </w:pPr>
            <w:r w:rsidRPr="00B54ED8">
              <w:rPr>
                <w:rFonts w:asciiTheme="minorHAnsi" w:hAnsiTheme="minorHAnsi"/>
                <w:color w:val="000000"/>
                <w:sz w:val="22"/>
                <w:szCs w:val="22"/>
              </w:rPr>
              <w:t>Fair (D)</w:t>
            </w:r>
          </w:p>
        </w:tc>
        <w:tc>
          <w:tcPr>
            <w:tcW w:w="1926" w:type="dxa"/>
            <w:shd w:val="clear" w:color="000000" w:fill="FFFF00"/>
            <w:vAlign w:val="bottom"/>
          </w:tcPr>
          <w:p w14:paraId="0C2F1422" w14:textId="77777777" w:rsidR="00CE31A6" w:rsidRPr="00B54ED8" w:rsidRDefault="00CE31A6" w:rsidP="00115674">
            <w:pPr>
              <w:jc w:val="center"/>
              <w:rPr>
                <w:rFonts w:asciiTheme="minorHAnsi" w:hAnsiTheme="minorHAnsi"/>
                <w:sz w:val="22"/>
                <w:szCs w:val="22"/>
              </w:rPr>
            </w:pPr>
            <w:r w:rsidRPr="00B54ED8">
              <w:rPr>
                <w:rFonts w:asciiTheme="minorHAnsi" w:hAnsiTheme="minorHAnsi"/>
                <w:color w:val="000000"/>
                <w:sz w:val="22"/>
                <w:szCs w:val="22"/>
              </w:rPr>
              <w:t>10 to &lt;20 years</w:t>
            </w:r>
          </w:p>
        </w:tc>
      </w:tr>
      <w:tr w:rsidR="00CE31A6" w:rsidRPr="00A31ABB" w14:paraId="3FBA25D6" w14:textId="77777777" w:rsidTr="00115674">
        <w:trPr>
          <w:jc w:val="center"/>
        </w:trPr>
        <w:tc>
          <w:tcPr>
            <w:tcW w:w="1971" w:type="dxa"/>
            <w:shd w:val="clear" w:color="000000" w:fill="FFC000"/>
            <w:vAlign w:val="center"/>
          </w:tcPr>
          <w:p w14:paraId="5174E139" w14:textId="77777777" w:rsidR="00CE31A6" w:rsidRPr="00B54ED8" w:rsidRDefault="00CE31A6" w:rsidP="00115674">
            <w:pPr>
              <w:jc w:val="center"/>
              <w:rPr>
                <w:rFonts w:asciiTheme="minorHAnsi" w:hAnsiTheme="minorHAnsi"/>
                <w:sz w:val="22"/>
                <w:szCs w:val="22"/>
              </w:rPr>
            </w:pPr>
            <w:r w:rsidRPr="00B54ED8">
              <w:rPr>
                <w:rFonts w:asciiTheme="minorHAnsi" w:hAnsiTheme="minorHAnsi"/>
                <w:color w:val="000000"/>
                <w:sz w:val="22"/>
                <w:szCs w:val="22"/>
              </w:rPr>
              <w:t>Mediocre (E)</w:t>
            </w:r>
          </w:p>
        </w:tc>
        <w:tc>
          <w:tcPr>
            <w:tcW w:w="1926" w:type="dxa"/>
            <w:shd w:val="clear" w:color="000000" w:fill="FFC000"/>
            <w:vAlign w:val="bottom"/>
          </w:tcPr>
          <w:p w14:paraId="0BF1363B" w14:textId="77777777" w:rsidR="00CE31A6" w:rsidRPr="00B54ED8" w:rsidRDefault="00CE31A6" w:rsidP="00115674">
            <w:pPr>
              <w:keepNext/>
              <w:jc w:val="center"/>
              <w:rPr>
                <w:rFonts w:asciiTheme="minorHAnsi" w:hAnsiTheme="minorHAnsi"/>
                <w:sz w:val="22"/>
                <w:szCs w:val="22"/>
              </w:rPr>
            </w:pPr>
            <w:r w:rsidRPr="00B54ED8">
              <w:rPr>
                <w:rFonts w:asciiTheme="minorHAnsi" w:hAnsiTheme="minorHAnsi"/>
                <w:sz w:val="22"/>
                <w:szCs w:val="22"/>
              </w:rPr>
              <w:t>&lt;10 years</w:t>
            </w:r>
          </w:p>
        </w:tc>
      </w:tr>
      <w:tr w:rsidR="00CE31A6" w:rsidRPr="00A31ABB" w14:paraId="219837D7" w14:textId="77777777" w:rsidTr="00115674">
        <w:trPr>
          <w:jc w:val="center"/>
        </w:trPr>
        <w:tc>
          <w:tcPr>
            <w:tcW w:w="1971" w:type="dxa"/>
            <w:shd w:val="clear" w:color="000000" w:fill="FF0000"/>
            <w:vAlign w:val="center"/>
          </w:tcPr>
          <w:p w14:paraId="634A699E" w14:textId="77777777" w:rsidR="00CE31A6" w:rsidRPr="00B54ED8" w:rsidRDefault="00CE31A6" w:rsidP="00115674">
            <w:pPr>
              <w:jc w:val="center"/>
              <w:rPr>
                <w:rFonts w:asciiTheme="minorHAnsi" w:hAnsiTheme="minorHAnsi"/>
                <w:sz w:val="22"/>
                <w:szCs w:val="22"/>
              </w:rPr>
            </w:pPr>
            <w:r w:rsidRPr="006B087A">
              <w:rPr>
                <w:rFonts w:asciiTheme="minorHAnsi" w:hAnsiTheme="minorHAnsi"/>
                <w:sz w:val="22"/>
                <w:szCs w:val="22"/>
              </w:rPr>
              <w:t>Poor (F)</w:t>
            </w:r>
          </w:p>
        </w:tc>
        <w:tc>
          <w:tcPr>
            <w:tcW w:w="1926" w:type="dxa"/>
            <w:shd w:val="clear" w:color="000000" w:fill="FF0000"/>
            <w:vAlign w:val="bottom"/>
          </w:tcPr>
          <w:p w14:paraId="38C2BB4C" w14:textId="77777777" w:rsidR="00CE31A6" w:rsidRPr="00B54ED8" w:rsidRDefault="00CE31A6" w:rsidP="00115674">
            <w:pPr>
              <w:keepNext/>
              <w:jc w:val="center"/>
              <w:rPr>
                <w:rFonts w:asciiTheme="minorHAnsi" w:hAnsiTheme="minorHAnsi"/>
                <w:sz w:val="22"/>
                <w:szCs w:val="22"/>
              </w:rPr>
            </w:pPr>
            <w:r w:rsidRPr="006B087A">
              <w:rPr>
                <w:rFonts w:asciiTheme="minorHAnsi" w:hAnsiTheme="minorHAnsi"/>
                <w:sz w:val="22"/>
                <w:szCs w:val="22"/>
              </w:rPr>
              <w:t>0 years</w:t>
            </w:r>
          </w:p>
        </w:tc>
      </w:tr>
    </w:tbl>
    <w:p w14:paraId="23BAC5B5" w14:textId="77777777" w:rsidR="00BF10A0" w:rsidRDefault="00BF10A0" w:rsidP="007C2B36">
      <w:pPr>
        <w:jc w:val="both"/>
        <w:rPr>
          <w:rFonts w:ascii="Arial" w:hAnsi="Arial" w:cs="Arial"/>
          <w:b/>
          <w:bCs/>
          <w:sz w:val="22"/>
          <w:szCs w:val="22"/>
        </w:rPr>
      </w:pPr>
    </w:p>
    <w:p w14:paraId="4F3F8738" w14:textId="77777777" w:rsidR="00BF10A0" w:rsidRPr="009D63F8" w:rsidRDefault="00BF10A0" w:rsidP="007C2B36">
      <w:pPr>
        <w:jc w:val="both"/>
        <w:rPr>
          <w:rFonts w:ascii="Arial" w:hAnsi="Arial" w:cs="Arial"/>
          <w:b/>
          <w:bCs/>
          <w:sz w:val="22"/>
          <w:szCs w:val="22"/>
        </w:rPr>
      </w:pPr>
      <w:r w:rsidRPr="009D63F8">
        <w:rPr>
          <w:rFonts w:ascii="Arial" w:hAnsi="Arial" w:cs="Arial"/>
          <w:b/>
          <w:bCs/>
          <w:sz w:val="22"/>
          <w:szCs w:val="22"/>
        </w:rPr>
        <w:t>Ride Quality, International Ride Index (IRI)</w:t>
      </w:r>
    </w:p>
    <w:p w14:paraId="533360B6" w14:textId="77777777" w:rsidR="00BF10A0" w:rsidRPr="009D63F8" w:rsidRDefault="00BF10A0" w:rsidP="007C2B36">
      <w:pPr>
        <w:jc w:val="both"/>
        <w:rPr>
          <w:rFonts w:ascii="Arial" w:hAnsi="Arial" w:cs="Arial"/>
          <w:sz w:val="22"/>
          <w:szCs w:val="22"/>
        </w:rPr>
      </w:pPr>
      <w:r w:rsidRPr="009D63F8">
        <w:rPr>
          <w:rFonts w:ascii="Arial" w:hAnsi="Arial" w:cs="Arial"/>
          <w:sz w:val="22"/>
          <w:szCs w:val="22"/>
        </w:rPr>
        <w:t xml:space="preserve">A measure of pavement smoothness that quantifies the user’s perception of pavement ride quality.  Ride quality is represented by the IRI, which is reported in inches per mile and increases as ride quality deteriorates.  Ride Quality data is collected by the ARAN, and is measured in the slow lanes to represent the directional IRI for each surveyed route.  The ARAN becomes less reliable at low speeds (under 20 mph).  This affects IRI results in areas with many traffic stops, and other slow speed zones such as roundabouts and sharp curves.  In some of these locations, the IRI data may be artificially high.  </w:t>
      </w:r>
    </w:p>
    <w:p w14:paraId="7511F923" w14:textId="77777777" w:rsidR="00BF10A0" w:rsidRPr="009D63F8" w:rsidRDefault="00BF10A0" w:rsidP="007C2B36">
      <w:pPr>
        <w:jc w:val="both"/>
        <w:rPr>
          <w:rFonts w:ascii="Arial" w:hAnsi="Arial" w:cs="Arial"/>
          <w:b/>
          <w:bCs/>
          <w:sz w:val="22"/>
          <w:szCs w:val="22"/>
        </w:rPr>
      </w:pPr>
    </w:p>
    <w:p w14:paraId="4D8F9772" w14:textId="77777777" w:rsidR="00BF10A0" w:rsidRPr="009D63F8" w:rsidRDefault="00BF10A0" w:rsidP="007C2B36">
      <w:pPr>
        <w:jc w:val="both"/>
        <w:rPr>
          <w:rFonts w:ascii="Arial" w:hAnsi="Arial" w:cs="Arial"/>
          <w:b/>
          <w:bCs/>
          <w:sz w:val="22"/>
          <w:szCs w:val="22"/>
        </w:rPr>
      </w:pPr>
      <w:r w:rsidRPr="009D63F8">
        <w:rPr>
          <w:rFonts w:ascii="Arial" w:hAnsi="Arial" w:cs="Arial"/>
          <w:b/>
          <w:bCs/>
          <w:sz w:val="22"/>
          <w:szCs w:val="22"/>
        </w:rPr>
        <w:t xml:space="preserve">Rutting </w:t>
      </w:r>
    </w:p>
    <w:p w14:paraId="18B1C144" w14:textId="77777777" w:rsidR="00BF10A0" w:rsidRPr="009D63F8" w:rsidRDefault="00BF10A0" w:rsidP="007C2B36">
      <w:pPr>
        <w:jc w:val="both"/>
        <w:rPr>
          <w:rFonts w:ascii="Arial" w:hAnsi="Arial" w:cs="Arial"/>
          <w:sz w:val="22"/>
          <w:szCs w:val="22"/>
        </w:rPr>
      </w:pPr>
      <w:r w:rsidRPr="009D63F8">
        <w:rPr>
          <w:rFonts w:ascii="Arial" w:hAnsi="Arial" w:cs="Arial"/>
          <w:sz w:val="22"/>
          <w:szCs w:val="22"/>
        </w:rPr>
        <w:t>A measure that quantifies the transverse profile, also known as wheel ruts.  Rutting is reported in terms of the average depth, in inches, between the highest and lowest peaks transversely.</w:t>
      </w:r>
    </w:p>
    <w:p w14:paraId="765000CD" w14:textId="77777777" w:rsidR="00BF10A0" w:rsidRPr="009D63F8" w:rsidRDefault="00BF10A0" w:rsidP="007C2B36">
      <w:pPr>
        <w:jc w:val="both"/>
        <w:rPr>
          <w:rFonts w:ascii="Arial" w:hAnsi="Arial" w:cs="Arial"/>
          <w:b/>
          <w:bCs/>
          <w:sz w:val="22"/>
          <w:szCs w:val="22"/>
        </w:rPr>
      </w:pPr>
    </w:p>
    <w:p w14:paraId="763BB407" w14:textId="77777777" w:rsidR="00BF10A0" w:rsidRPr="009D63F8" w:rsidRDefault="00BF10A0" w:rsidP="007C2B36">
      <w:pPr>
        <w:jc w:val="both"/>
        <w:rPr>
          <w:rFonts w:ascii="Arial" w:hAnsi="Arial" w:cs="Arial"/>
          <w:b/>
          <w:bCs/>
          <w:sz w:val="22"/>
          <w:szCs w:val="22"/>
        </w:rPr>
      </w:pPr>
      <w:r w:rsidRPr="009D63F8">
        <w:rPr>
          <w:rFonts w:ascii="Arial" w:hAnsi="Arial" w:cs="Arial"/>
          <w:b/>
          <w:bCs/>
          <w:sz w:val="22"/>
          <w:szCs w:val="22"/>
        </w:rPr>
        <w:t>Service Life (Analysis Period)</w:t>
      </w:r>
    </w:p>
    <w:p w14:paraId="6B765E9C" w14:textId="77777777" w:rsidR="00BF10A0" w:rsidRDefault="00BF10A0" w:rsidP="007C2B36">
      <w:pPr>
        <w:jc w:val="both"/>
        <w:rPr>
          <w:rFonts w:ascii="Arial" w:hAnsi="Arial" w:cs="Arial"/>
          <w:sz w:val="22"/>
          <w:szCs w:val="22"/>
        </w:rPr>
      </w:pPr>
      <w:r w:rsidRPr="009D63F8">
        <w:rPr>
          <w:rFonts w:ascii="Arial" w:hAnsi="Arial" w:cs="Arial"/>
          <w:sz w:val="22"/>
          <w:szCs w:val="22"/>
        </w:rPr>
        <w:t xml:space="preserve">The anticipated life of a rehabilitation or new/reconstruction, </w:t>
      </w:r>
      <w:r w:rsidRPr="009D63F8">
        <w:rPr>
          <w:rFonts w:ascii="Arial" w:hAnsi="Arial" w:cs="Arial"/>
          <w:sz w:val="22"/>
          <w:szCs w:val="22"/>
          <w:u w:val="single"/>
        </w:rPr>
        <w:t>including</w:t>
      </w:r>
      <w:r w:rsidRPr="009D63F8">
        <w:rPr>
          <w:rFonts w:ascii="Arial" w:hAnsi="Arial" w:cs="Arial"/>
          <w:sz w:val="22"/>
          <w:szCs w:val="22"/>
        </w:rPr>
        <w:t xml:space="preserve"> additional pavement life provided by anticipated future preventive maintenance. This term is used to describe the number of years from initial new construction, reconstruction or rehabilitation of a pavement to a subsequent rehabilitation or reconstruction.  A service life or analysis period equals the sum of the original design/fix life plus any additional pavement life provided by future anticipated preventive maintenance.  Analysis period is the term typically used to describe the time used in a life cycle cost analysis. </w:t>
      </w:r>
    </w:p>
    <w:p w14:paraId="3718806E" w14:textId="77777777" w:rsidR="00BF10A0" w:rsidRDefault="00BF10A0" w:rsidP="00BE3F24">
      <w:pPr>
        <w:jc w:val="both"/>
        <w:rPr>
          <w:rFonts w:ascii="Arial" w:hAnsi="Arial" w:cs="Arial"/>
          <w:sz w:val="22"/>
          <w:szCs w:val="22"/>
        </w:rPr>
      </w:pPr>
    </w:p>
    <w:p w14:paraId="4203DC3E" w14:textId="77777777" w:rsidR="00BF10A0" w:rsidRPr="009D63F8" w:rsidRDefault="00BF10A0" w:rsidP="00BE3F24">
      <w:pPr>
        <w:jc w:val="both"/>
        <w:rPr>
          <w:rFonts w:ascii="Arial" w:hAnsi="Arial" w:cs="Arial"/>
          <w:b/>
          <w:bCs/>
          <w:sz w:val="22"/>
          <w:szCs w:val="22"/>
        </w:rPr>
      </w:pPr>
      <w:r>
        <w:rPr>
          <w:rFonts w:ascii="Arial" w:hAnsi="Arial" w:cs="Arial"/>
          <w:b/>
          <w:bCs/>
          <w:sz w:val="22"/>
          <w:szCs w:val="22"/>
        </w:rPr>
        <w:t>Skid</w:t>
      </w:r>
      <w:r w:rsidRPr="009D63F8">
        <w:rPr>
          <w:rFonts w:ascii="Arial" w:hAnsi="Arial" w:cs="Arial"/>
          <w:b/>
          <w:bCs/>
          <w:sz w:val="22"/>
          <w:szCs w:val="22"/>
        </w:rPr>
        <w:t xml:space="preserve"> Index, </w:t>
      </w:r>
      <w:r>
        <w:rPr>
          <w:rFonts w:ascii="Arial" w:hAnsi="Arial" w:cs="Arial"/>
          <w:b/>
          <w:bCs/>
          <w:sz w:val="22"/>
          <w:szCs w:val="22"/>
        </w:rPr>
        <w:t>Skid</w:t>
      </w:r>
      <w:r w:rsidRPr="009D63F8">
        <w:rPr>
          <w:rFonts w:ascii="Arial" w:hAnsi="Arial" w:cs="Arial"/>
          <w:b/>
          <w:bCs/>
          <w:sz w:val="22"/>
          <w:szCs w:val="22"/>
        </w:rPr>
        <w:t xml:space="preserve"> Number (</w:t>
      </w:r>
      <w:r>
        <w:rPr>
          <w:rFonts w:ascii="Arial" w:hAnsi="Arial" w:cs="Arial"/>
          <w:b/>
          <w:bCs/>
          <w:sz w:val="22"/>
          <w:szCs w:val="22"/>
        </w:rPr>
        <w:t>SN</w:t>
      </w:r>
      <w:r w:rsidRPr="009D63F8">
        <w:rPr>
          <w:rFonts w:ascii="Arial" w:hAnsi="Arial" w:cs="Arial"/>
          <w:b/>
          <w:bCs/>
          <w:sz w:val="22"/>
          <w:szCs w:val="22"/>
        </w:rPr>
        <w:t>)</w:t>
      </w:r>
    </w:p>
    <w:p w14:paraId="29252006" w14:textId="77777777" w:rsidR="00BF10A0" w:rsidRDefault="00BF10A0" w:rsidP="00BE3F24">
      <w:pPr>
        <w:jc w:val="both"/>
        <w:rPr>
          <w:rFonts w:ascii="Arial" w:hAnsi="Arial"/>
          <w:b/>
          <w:i/>
          <w:sz w:val="24"/>
        </w:rPr>
      </w:pPr>
      <w:r w:rsidRPr="009D63F8">
        <w:rPr>
          <w:rFonts w:ascii="Arial" w:hAnsi="Arial" w:cs="Arial"/>
          <w:sz w:val="22"/>
          <w:szCs w:val="22"/>
        </w:rPr>
        <w:t xml:space="preserve">An index created that quantifies the skid resistance of a pavement.  </w:t>
      </w:r>
      <w:r>
        <w:rPr>
          <w:rFonts w:ascii="Arial" w:hAnsi="Arial" w:cs="Arial"/>
          <w:sz w:val="22"/>
          <w:szCs w:val="22"/>
        </w:rPr>
        <w:t>S</w:t>
      </w:r>
      <w:r w:rsidRPr="009D63F8">
        <w:rPr>
          <w:rFonts w:ascii="Arial" w:hAnsi="Arial" w:cs="Arial"/>
          <w:sz w:val="22"/>
          <w:szCs w:val="22"/>
        </w:rPr>
        <w:t>N is a unit-less number, and increases as skid resistance increases.</w:t>
      </w:r>
      <w:bookmarkStart w:id="670" w:name="_Toc277937884"/>
      <w:r>
        <w:br w:type="page"/>
      </w:r>
    </w:p>
    <w:p w14:paraId="104A566E" w14:textId="49E330BB" w:rsidR="00BF10A0" w:rsidRPr="006C13DC" w:rsidRDefault="00BF10A0" w:rsidP="00172E64">
      <w:pPr>
        <w:pStyle w:val="Heading4"/>
        <w:numPr>
          <w:ilvl w:val="3"/>
          <w:numId w:val="185"/>
        </w:numPr>
        <w:ind w:left="0" w:firstLine="0"/>
      </w:pPr>
      <w:r w:rsidRPr="006C13DC">
        <w:lastRenderedPageBreak/>
        <w:t>Pavement Fix</w:t>
      </w:r>
      <w:r>
        <w:t xml:space="preserve"> Categories</w:t>
      </w:r>
      <w:bookmarkEnd w:id="670"/>
    </w:p>
    <w:p w14:paraId="0EE2820C" w14:textId="4574733C" w:rsidR="00BF10A0" w:rsidRPr="009D63F8" w:rsidRDefault="00BF10A0" w:rsidP="00BE3F24">
      <w:pPr>
        <w:jc w:val="both"/>
        <w:rPr>
          <w:rFonts w:ascii="Arial" w:hAnsi="Arial" w:cs="Arial"/>
          <w:sz w:val="22"/>
          <w:szCs w:val="22"/>
        </w:rPr>
      </w:pPr>
      <w:r w:rsidRPr="009D63F8">
        <w:rPr>
          <w:rFonts w:ascii="Arial" w:hAnsi="Arial" w:cs="Arial"/>
          <w:sz w:val="22"/>
          <w:szCs w:val="22"/>
        </w:rPr>
        <w:t xml:space="preserve">There are four general categories of pavement fixes: Reconstruction, Structural Rehabilitation, Pavement Preservation, and Reactive Maintenance.  More specific activities are sub-categories of these, as shown in </w:t>
      </w:r>
      <w:r w:rsidR="000E0E64">
        <w:fldChar w:fldCharType="begin"/>
      </w:r>
      <w:r w:rsidR="000E0E64">
        <w:instrText xml:space="preserve"> REF _Ref247945426 \h  \* MERGEFORMAT </w:instrText>
      </w:r>
      <w:r w:rsidR="000E0E64">
        <w:fldChar w:fldCharType="separate"/>
      </w:r>
      <w:r w:rsidR="00624A9D" w:rsidRPr="00624A9D">
        <w:rPr>
          <w:rFonts w:ascii="Arial" w:hAnsi="Arial" w:cs="Arial"/>
          <w:sz w:val="22"/>
          <w:szCs w:val="22"/>
        </w:rPr>
        <w:t>Table 2</w:t>
      </w:r>
      <w:r w:rsidR="000E0E64">
        <w:fldChar w:fldCharType="end"/>
      </w:r>
      <w:r w:rsidRPr="009D63F8">
        <w:rPr>
          <w:rFonts w:ascii="Arial" w:hAnsi="Arial" w:cs="Arial"/>
          <w:sz w:val="22"/>
          <w:szCs w:val="22"/>
        </w:rPr>
        <w:t xml:space="preserve">.  </w:t>
      </w:r>
    </w:p>
    <w:p w14:paraId="22A3AFCC" w14:textId="77777777" w:rsidR="00BF10A0" w:rsidRPr="009D63F8" w:rsidRDefault="00BF10A0" w:rsidP="00BE3F24">
      <w:pPr>
        <w:jc w:val="both"/>
        <w:rPr>
          <w:rFonts w:ascii="Arial" w:hAnsi="Arial" w:cs="Arial"/>
          <w:sz w:val="22"/>
          <w:szCs w:val="22"/>
        </w:rPr>
      </w:pPr>
    </w:p>
    <w:p w14:paraId="7C9BE9BE" w14:textId="77777777" w:rsidR="00BF10A0" w:rsidRDefault="00BF10A0" w:rsidP="00BE3F24">
      <w:pPr>
        <w:jc w:val="both"/>
        <w:rPr>
          <w:rFonts w:ascii="Arial" w:hAnsi="Arial" w:cs="Arial"/>
          <w:sz w:val="22"/>
          <w:szCs w:val="22"/>
        </w:rPr>
      </w:pPr>
      <w:r w:rsidRPr="009D63F8">
        <w:rPr>
          <w:rFonts w:ascii="Arial" w:hAnsi="Arial" w:cs="Arial"/>
          <w:sz w:val="22"/>
          <w:szCs w:val="22"/>
        </w:rPr>
        <w:t>Historically, any type of resurfacing project has been considered rehabilitation, and types of maintenance have not been distinguished.  They are now distinguished because of their potential impact on ADA and MDE requirements, to fall in line with FHWA definitions, and to enable more logical project candidate and fix selection.</w:t>
      </w:r>
    </w:p>
    <w:p w14:paraId="0463068D" w14:textId="77777777" w:rsidR="00BF10A0" w:rsidRPr="009D63F8" w:rsidRDefault="00BF10A0" w:rsidP="00BE3F24">
      <w:pPr>
        <w:jc w:val="both"/>
        <w:rPr>
          <w:rFonts w:ascii="Arial" w:hAnsi="Arial" w:cs="Arial"/>
          <w:sz w:val="22"/>
          <w:szCs w:val="22"/>
        </w:rPr>
      </w:pPr>
    </w:p>
    <w:p w14:paraId="65FF11AF" w14:textId="2773576A" w:rsidR="00BF10A0" w:rsidRPr="00C46A13" w:rsidRDefault="00BF10A0" w:rsidP="00172E64">
      <w:pPr>
        <w:pStyle w:val="Heading5"/>
        <w:numPr>
          <w:ilvl w:val="4"/>
          <w:numId w:val="185"/>
        </w:numPr>
        <w:ind w:left="0" w:firstLine="0"/>
      </w:pPr>
      <w:bookmarkStart w:id="671" w:name="_Toc277937885"/>
      <w:r w:rsidRPr="00C46A13">
        <w:t>Reconstruction</w:t>
      </w:r>
      <w:bookmarkEnd w:id="671"/>
    </w:p>
    <w:p w14:paraId="055644D7" w14:textId="239E9048" w:rsidR="00BF10A0" w:rsidRDefault="00BF10A0" w:rsidP="00BE3F24">
      <w:pPr>
        <w:jc w:val="both"/>
        <w:rPr>
          <w:rFonts w:ascii="Arial" w:hAnsi="Arial" w:cs="Arial"/>
          <w:sz w:val="22"/>
          <w:szCs w:val="22"/>
        </w:rPr>
      </w:pPr>
      <w:r w:rsidRPr="009D63F8">
        <w:rPr>
          <w:rFonts w:ascii="Arial" w:hAnsi="Arial" w:cs="Arial"/>
          <w:sz w:val="22"/>
          <w:szCs w:val="22"/>
        </w:rPr>
        <w:t>Reconstruction is the replacement of the entire existing pavement structure with a flexible or rigid pavement design to achieve an equivalent or increased pavement structure.  Reconstruction usually requires the complete removal and replacement of the existing pavement structure, including all bound and unbound stabilized material (e.g.</w:t>
      </w:r>
      <w:r w:rsidR="007C2B36">
        <w:rPr>
          <w:rFonts w:ascii="Arial" w:hAnsi="Arial" w:cs="Arial"/>
          <w:sz w:val="22"/>
          <w:szCs w:val="22"/>
        </w:rPr>
        <w:t>,</w:t>
      </w:r>
      <w:r w:rsidRPr="009D63F8">
        <w:rPr>
          <w:rFonts w:ascii="Arial" w:hAnsi="Arial" w:cs="Arial"/>
          <w:sz w:val="22"/>
          <w:szCs w:val="22"/>
        </w:rPr>
        <w:t xml:space="preserve"> GAB) to at least the top of the subgrade.  If any of the existing pavement structure is left in place, it is not considered reconstruction.  Reconstruction can involve a variety of subgrades and bases.  Reconstruction may utilize either new or recycled materials.  Reconstruction is required when a pavement has either failed or become functionally obsolete.  Reconstruction is NOT necessarily needed at the zero-year life threshold.</w:t>
      </w:r>
    </w:p>
    <w:p w14:paraId="599B8C8C" w14:textId="77777777" w:rsidR="00BF10A0" w:rsidRPr="009D63F8" w:rsidRDefault="00BF10A0" w:rsidP="00BE3F24">
      <w:pPr>
        <w:jc w:val="both"/>
        <w:rPr>
          <w:rFonts w:ascii="Arial" w:hAnsi="Arial" w:cs="Arial"/>
          <w:sz w:val="22"/>
          <w:szCs w:val="22"/>
        </w:rPr>
      </w:pPr>
    </w:p>
    <w:p w14:paraId="3F6BC9A6" w14:textId="77777777" w:rsidR="00BF10A0" w:rsidRPr="00C46A13" w:rsidRDefault="00BF10A0" w:rsidP="00172E64">
      <w:pPr>
        <w:pStyle w:val="Heading5"/>
        <w:numPr>
          <w:ilvl w:val="4"/>
          <w:numId w:val="185"/>
        </w:numPr>
        <w:ind w:left="0" w:firstLine="0"/>
        <w:rPr>
          <w:bCs/>
        </w:rPr>
      </w:pPr>
      <w:bookmarkStart w:id="672" w:name="_Toc277937886"/>
      <w:r w:rsidRPr="00C46A13">
        <w:t>Structural Rehabilitation</w:t>
      </w:r>
      <w:bookmarkEnd w:id="672"/>
      <w:r w:rsidRPr="00C46A13">
        <w:t xml:space="preserve"> </w:t>
      </w:r>
    </w:p>
    <w:p w14:paraId="2523C9A3" w14:textId="0F97CE43" w:rsidR="00BF10A0" w:rsidRDefault="00BF10A0" w:rsidP="00BE3F24">
      <w:pPr>
        <w:jc w:val="both"/>
        <w:rPr>
          <w:rFonts w:ascii="Arial" w:hAnsi="Arial" w:cs="Arial"/>
          <w:sz w:val="22"/>
          <w:szCs w:val="22"/>
        </w:rPr>
      </w:pPr>
      <w:r w:rsidRPr="009D63F8">
        <w:rPr>
          <w:rFonts w:ascii="Arial" w:hAnsi="Arial" w:cs="Arial"/>
          <w:sz w:val="22"/>
          <w:szCs w:val="22"/>
        </w:rPr>
        <w:t>This includes Major (Heavy) Rehabilitation and Structural Overlay.  This consists of treatments that enhance the pavement structure and improve its load carrying capacity.  Rehabilitation is considered structural if the grade increases by more than 1.5</w:t>
      </w:r>
      <w:r w:rsidR="007C2B36">
        <w:rPr>
          <w:rFonts w:ascii="Arial" w:hAnsi="Arial" w:cs="Arial"/>
          <w:sz w:val="22"/>
          <w:szCs w:val="22"/>
        </w:rPr>
        <w:t>"</w:t>
      </w:r>
      <w:r w:rsidRPr="009D63F8">
        <w:rPr>
          <w:rFonts w:ascii="Arial" w:hAnsi="Arial" w:cs="Arial"/>
          <w:sz w:val="22"/>
          <w:szCs w:val="22"/>
        </w:rPr>
        <w:t xml:space="preserve"> from overlay or </w:t>
      </w:r>
      <w:r w:rsidR="00B913D8">
        <w:rPr>
          <w:rFonts w:ascii="Arial" w:hAnsi="Arial" w:cs="Arial"/>
          <w:sz w:val="22"/>
          <w:szCs w:val="22"/>
        </w:rPr>
        <w:t>mill</w:t>
      </w:r>
      <w:r w:rsidRPr="009D63F8">
        <w:rPr>
          <w:rFonts w:ascii="Arial" w:hAnsi="Arial" w:cs="Arial"/>
          <w:sz w:val="22"/>
          <w:szCs w:val="22"/>
        </w:rPr>
        <w:t xml:space="preserve">/overlay.  Examples include an overlay (without </w:t>
      </w:r>
      <w:r w:rsidR="00B913D8">
        <w:rPr>
          <w:rFonts w:ascii="Arial" w:hAnsi="Arial" w:cs="Arial"/>
          <w:sz w:val="22"/>
          <w:szCs w:val="22"/>
        </w:rPr>
        <w:t>mill</w:t>
      </w:r>
      <w:r w:rsidRPr="009D63F8">
        <w:rPr>
          <w:rFonts w:ascii="Arial" w:hAnsi="Arial" w:cs="Arial"/>
          <w:sz w:val="22"/>
          <w:szCs w:val="22"/>
        </w:rPr>
        <w:t>ing) of more than 1.5</w:t>
      </w:r>
      <w:r w:rsidR="007C2B36">
        <w:rPr>
          <w:rFonts w:ascii="Arial" w:hAnsi="Arial" w:cs="Arial"/>
          <w:sz w:val="22"/>
          <w:szCs w:val="22"/>
        </w:rPr>
        <w:t>"</w:t>
      </w:r>
      <w:r w:rsidRPr="009D63F8">
        <w:rPr>
          <w:rFonts w:ascii="Arial" w:hAnsi="Arial" w:cs="Arial"/>
          <w:sz w:val="22"/>
          <w:szCs w:val="22"/>
        </w:rPr>
        <w:t xml:space="preserve">, or an overlay (with a 1.5” </w:t>
      </w:r>
      <w:r w:rsidR="00B913D8">
        <w:rPr>
          <w:rFonts w:ascii="Arial" w:hAnsi="Arial" w:cs="Arial"/>
          <w:sz w:val="22"/>
          <w:szCs w:val="22"/>
        </w:rPr>
        <w:t>mill</w:t>
      </w:r>
      <w:r w:rsidRPr="009D63F8">
        <w:rPr>
          <w:rFonts w:ascii="Arial" w:hAnsi="Arial" w:cs="Arial"/>
          <w:sz w:val="22"/>
          <w:szCs w:val="22"/>
        </w:rPr>
        <w:t>) of more than 3</w:t>
      </w:r>
      <w:r w:rsidR="007C2B36">
        <w:rPr>
          <w:rFonts w:ascii="Arial" w:hAnsi="Arial" w:cs="Arial"/>
          <w:sz w:val="22"/>
          <w:szCs w:val="22"/>
        </w:rPr>
        <w:t>"</w:t>
      </w:r>
      <w:r w:rsidRPr="009D63F8">
        <w:rPr>
          <w:rFonts w:ascii="Arial" w:hAnsi="Arial" w:cs="Arial"/>
          <w:sz w:val="22"/>
          <w:szCs w:val="22"/>
        </w:rPr>
        <w:t>.  Rehabilitation is also considered structural if at least 5% of the project area receives patching for structural distress.  Structural distress primarily includes fatigue (alligator) cracking in HMA, or cracked slabs in PCC.</w:t>
      </w:r>
    </w:p>
    <w:p w14:paraId="68FB2E01" w14:textId="77777777" w:rsidR="00BF10A0" w:rsidRPr="009D63F8" w:rsidRDefault="00BF10A0" w:rsidP="00BE3F24">
      <w:pPr>
        <w:jc w:val="both"/>
        <w:rPr>
          <w:rFonts w:ascii="Arial" w:hAnsi="Arial" w:cs="Arial"/>
          <w:sz w:val="22"/>
          <w:szCs w:val="22"/>
        </w:rPr>
      </w:pPr>
    </w:p>
    <w:p w14:paraId="0720DA9F" w14:textId="727681E0" w:rsidR="00BF10A0" w:rsidRPr="00C46A13" w:rsidRDefault="00BF10A0" w:rsidP="00172E64">
      <w:pPr>
        <w:pStyle w:val="Heading5"/>
        <w:numPr>
          <w:ilvl w:val="4"/>
          <w:numId w:val="185"/>
        </w:numPr>
        <w:ind w:left="0" w:firstLine="0"/>
        <w:rPr>
          <w:bCs/>
        </w:rPr>
      </w:pPr>
      <w:bookmarkStart w:id="673" w:name="_Toc277937887"/>
      <w:r w:rsidRPr="00C46A13">
        <w:t>Pavement Preservation</w:t>
      </w:r>
      <w:bookmarkEnd w:id="673"/>
    </w:p>
    <w:p w14:paraId="126FBBB7" w14:textId="77777777" w:rsidR="00BF10A0" w:rsidRDefault="00BF10A0" w:rsidP="00BE3F24">
      <w:pPr>
        <w:jc w:val="both"/>
        <w:rPr>
          <w:rFonts w:ascii="Arial" w:hAnsi="Arial" w:cs="Arial"/>
          <w:b/>
          <w:sz w:val="22"/>
          <w:szCs w:val="22"/>
        </w:rPr>
      </w:pPr>
      <w:r w:rsidRPr="009D63F8">
        <w:rPr>
          <w:rFonts w:ascii="Arial" w:hAnsi="Arial" w:cs="Arial"/>
          <w:sz w:val="22"/>
          <w:szCs w:val="22"/>
        </w:rPr>
        <w:t xml:space="preserve">Pavement Preservation consists primarily of three components: preventive maintenance, minor rehabilitation (non-structural), and some routine maintenance activities.  </w:t>
      </w:r>
      <w:r w:rsidRPr="009D63F8">
        <w:rPr>
          <w:rFonts w:ascii="Arial" w:hAnsi="Arial" w:cs="Arial"/>
          <w:b/>
          <w:sz w:val="22"/>
          <w:szCs w:val="22"/>
        </w:rPr>
        <w:t>The distinctive characteristics of pavement preservation activities are that they restore the function of the existing system and extend its service life, not increase its capacity or strength.</w:t>
      </w:r>
    </w:p>
    <w:p w14:paraId="63810690" w14:textId="77777777" w:rsidR="00BF10A0" w:rsidRPr="009D63F8" w:rsidRDefault="00BF10A0" w:rsidP="00BE3F24">
      <w:pPr>
        <w:jc w:val="both"/>
        <w:rPr>
          <w:rFonts w:ascii="Arial" w:hAnsi="Arial" w:cs="Arial"/>
          <w:b/>
          <w:sz w:val="22"/>
          <w:szCs w:val="22"/>
        </w:rPr>
      </w:pPr>
    </w:p>
    <w:p w14:paraId="67E5AD28" w14:textId="64454101" w:rsidR="00BF10A0" w:rsidRPr="00C46A13" w:rsidRDefault="00BF10A0" w:rsidP="00172E64">
      <w:pPr>
        <w:pStyle w:val="Heading5"/>
        <w:numPr>
          <w:ilvl w:val="4"/>
          <w:numId w:val="185"/>
        </w:numPr>
        <w:ind w:left="0" w:firstLine="0"/>
        <w:rPr>
          <w:bCs/>
        </w:rPr>
      </w:pPr>
      <w:bookmarkStart w:id="674" w:name="_Toc277937888"/>
      <w:r w:rsidRPr="00C46A13">
        <w:t>Reactive Maintenance</w:t>
      </w:r>
      <w:bookmarkEnd w:id="674"/>
    </w:p>
    <w:p w14:paraId="7130D87B" w14:textId="77777777" w:rsidR="00BF10A0" w:rsidRPr="009D63F8" w:rsidRDefault="00BF10A0" w:rsidP="00BE3F24">
      <w:pPr>
        <w:jc w:val="both"/>
        <w:rPr>
          <w:rFonts w:ascii="Arial" w:hAnsi="Arial" w:cs="Arial"/>
          <w:sz w:val="22"/>
          <w:szCs w:val="22"/>
        </w:rPr>
      </w:pPr>
      <w:r w:rsidRPr="009D63F8">
        <w:rPr>
          <w:rFonts w:ascii="Arial" w:hAnsi="Arial" w:cs="Arial"/>
          <w:sz w:val="22"/>
          <w:szCs w:val="22"/>
        </w:rPr>
        <w:t>Reactive Maintenance consists of maintenance that is not planned.  It includes Corrective Maintenance and Catastrophic Maintenance.</w:t>
      </w:r>
    </w:p>
    <w:p w14:paraId="79EDD7AC" w14:textId="77777777" w:rsidR="00BF10A0" w:rsidRPr="00C46A13" w:rsidRDefault="00BF10A0" w:rsidP="00BE3F24">
      <w:pPr>
        <w:jc w:val="both"/>
      </w:pPr>
    </w:p>
    <w:p w14:paraId="3477DE64" w14:textId="77777777" w:rsidR="00BF10A0" w:rsidRPr="00C46A13" w:rsidRDefault="00BF10A0" w:rsidP="00BE3F24">
      <w:pPr>
        <w:jc w:val="both"/>
      </w:pPr>
    </w:p>
    <w:tbl>
      <w:tblPr>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3"/>
        <w:gridCol w:w="1440"/>
        <w:gridCol w:w="502"/>
        <w:gridCol w:w="540"/>
        <w:gridCol w:w="540"/>
        <w:gridCol w:w="630"/>
        <w:gridCol w:w="1194"/>
        <w:gridCol w:w="2009"/>
        <w:gridCol w:w="397"/>
        <w:gridCol w:w="2160"/>
      </w:tblGrid>
      <w:tr w:rsidR="00115674" w:rsidRPr="00C46A13" w14:paraId="4D238DFA" w14:textId="77777777" w:rsidTr="009071A3">
        <w:trPr>
          <w:cantSplit/>
          <w:trHeight w:val="1421"/>
          <w:jc w:val="center"/>
        </w:trPr>
        <w:tc>
          <w:tcPr>
            <w:tcW w:w="1563" w:type="dxa"/>
            <w:shd w:val="pct15" w:color="auto" w:fill="auto"/>
            <w:vAlign w:val="center"/>
          </w:tcPr>
          <w:p w14:paraId="759B745F" w14:textId="77777777" w:rsidR="00BF10A0" w:rsidRPr="00A42B5F" w:rsidRDefault="00BF10A0" w:rsidP="00BE3F24">
            <w:pPr>
              <w:keepNext/>
              <w:keepLines/>
              <w:jc w:val="center"/>
              <w:rPr>
                <w:rFonts w:ascii="Arial" w:hAnsi="Arial"/>
                <w:b/>
                <w:sz w:val="18"/>
              </w:rPr>
            </w:pPr>
            <w:r w:rsidRPr="00A42B5F">
              <w:rPr>
                <w:rFonts w:ascii="Arial" w:hAnsi="Arial"/>
                <w:b/>
                <w:sz w:val="18"/>
              </w:rPr>
              <w:lastRenderedPageBreak/>
              <w:t>Category</w:t>
            </w:r>
          </w:p>
        </w:tc>
        <w:tc>
          <w:tcPr>
            <w:tcW w:w="1440" w:type="dxa"/>
            <w:shd w:val="pct15" w:color="auto" w:fill="auto"/>
            <w:vAlign w:val="center"/>
          </w:tcPr>
          <w:p w14:paraId="67CC5CBE" w14:textId="77777777" w:rsidR="00BF10A0" w:rsidRPr="00A42B5F" w:rsidRDefault="00BF10A0" w:rsidP="00BE3F24">
            <w:pPr>
              <w:keepNext/>
              <w:keepLines/>
              <w:jc w:val="center"/>
              <w:rPr>
                <w:rFonts w:ascii="Arial" w:hAnsi="Arial"/>
                <w:b/>
                <w:sz w:val="18"/>
              </w:rPr>
            </w:pPr>
            <w:r w:rsidRPr="00A42B5F">
              <w:rPr>
                <w:rFonts w:ascii="Arial" w:hAnsi="Arial"/>
                <w:b/>
                <w:sz w:val="18"/>
              </w:rPr>
              <w:t>Type of Activity</w:t>
            </w:r>
          </w:p>
        </w:tc>
        <w:tc>
          <w:tcPr>
            <w:tcW w:w="502" w:type="dxa"/>
            <w:shd w:val="pct15" w:color="auto" w:fill="auto"/>
            <w:textDirection w:val="btLr"/>
            <w:vAlign w:val="center"/>
          </w:tcPr>
          <w:p w14:paraId="260EC529" w14:textId="77777777" w:rsidR="00BF10A0" w:rsidRPr="00A42B5F" w:rsidRDefault="00BF10A0" w:rsidP="00A42B5F">
            <w:pPr>
              <w:keepNext/>
              <w:keepLines/>
              <w:ind w:left="144"/>
              <w:rPr>
                <w:rFonts w:ascii="Arial" w:hAnsi="Arial"/>
                <w:b/>
                <w:sz w:val="18"/>
              </w:rPr>
            </w:pPr>
            <w:r w:rsidRPr="00A42B5F">
              <w:rPr>
                <w:rFonts w:ascii="Arial" w:hAnsi="Arial"/>
                <w:b/>
                <w:sz w:val="18"/>
              </w:rPr>
              <w:t>Increase Capacity</w:t>
            </w:r>
          </w:p>
        </w:tc>
        <w:tc>
          <w:tcPr>
            <w:tcW w:w="540" w:type="dxa"/>
            <w:shd w:val="pct15" w:color="auto" w:fill="auto"/>
            <w:textDirection w:val="btLr"/>
            <w:vAlign w:val="center"/>
          </w:tcPr>
          <w:p w14:paraId="1FAE6B19" w14:textId="77777777" w:rsidR="00BF10A0" w:rsidRPr="00A42B5F" w:rsidRDefault="00BF10A0" w:rsidP="00A42B5F">
            <w:pPr>
              <w:keepNext/>
              <w:keepLines/>
              <w:ind w:left="144"/>
              <w:rPr>
                <w:rFonts w:ascii="Arial" w:hAnsi="Arial"/>
                <w:b/>
                <w:sz w:val="18"/>
              </w:rPr>
            </w:pPr>
            <w:r w:rsidRPr="00A42B5F">
              <w:rPr>
                <w:rFonts w:ascii="Arial" w:hAnsi="Arial"/>
                <w:b/>
                <w:sz w:val="18"/>
              </w:rPr>
              <w:t>Increase Strength</w:t>
            </w:r>
          </w:p>
        </w:tc>
        <w:tc>
          <w:tcPr>
            <w:tcW w:w="540" w:type="dxa"/>
            <w:shd w:val="pct15" w:color="auto" w:fill="auto"/>
            <w:textDirection w:val="btLr"/>
            <w:vAlign w:val="center"/>
          </w:tcPr>
          <w:p w14:paraId="014F5037" w14:textId="77777777" w:rsidR="00BF10A0" w:rsidRPr="00A42B5F" w:rsidRDefault="00BF10A0" w:rsidP="00A42B5F">
            <w:pPr>
              <w:keepNext/>
              <w:keepLines/>
              <w:ind w:left="144"/>
              <w:rPr>
                <w:rFonts w:ascii="Arial" w:hAnsi="Arial"/>
                <w:b/>
                <w:sz w:val="18"/>
              </w:rPr>
            </w:pPr>
            <w:r w:rsidRPr="00A42B5F">
              <w:rPr>
                <w:rFonts w:ascii="Arial" w:hAnsi="Arial"/>
                <w:b/>
                <w:sz w:val="18"/>
              </w:rPr>
              <w:t>Reduce Aging</w:t>
            </w:r>
          </w:p>
        </w:tc>
        <w:tc>
          <w:tcPr>
            <w:tcW w:w="630" w:type="dxa"/>
            <w:shd w:val="pct15" w:color="auto" w:fill="auto"/>
            <w:textDirection w:val="btLr"/>
            <w:vAlign w:val="center"/>
          </w:tcPr>
          <w:p w14:paraId="5AC4EEF3" w14:textId="77777777" w:rsidR="00BF10A0" w:rsidRPr="00A42B5F" w:rsidRDefault="00BF10A0" w:rsidP="00A42B5F">
            <w:pPr>
              <w:keepNext/>
              <w:keepLines/>
              <w:ind w:left="144"/>
              <w:rPr>
                <w:rFonts w:ascii="Arial" w:hAnsi="Arial"/>
                <w:b/>
                <w:sz w:val="18"/>
              </w:rPr>
            </w:pPr>
            <w:r w:rsidRPr="00A42B5F">
              <w:rPr>
                <w:rFonts w:ascii="Arial" w:hAnsi="Arial"/>
                <w:b/>
                <w:sz w:val="18"/>
              </w:rPr>
              <w:t>Restore Serviceability</w:t>
            </w:r>
          </w:p>
        </w:tc>
        <w:tc>
          <w:tcPr>
            <w:tcW w:w="5760" w:type="dxa"/>
            <w:gridSpan w:val="4"/>
            <w:shd w:val="pct15" w:color="auto" w:fill="auto"/>
            <w:vAlign w:val="center"/>
          </w:tcPr>
          <w:p w14:paraId="500FB71F" w14:textId="2D0D1C0E" w:rsidR="0088350C" w:rsidRPr="00A42B5F" w:rsidRDefault="0088350C" w:rsidP="00A42B5F">
            <w:pPr>
              <w:pStyle w:val="Caption"/>
              <w:keepNext/>
              <w:spacing w:before="0" w:after="0"/>
              <w:jc w:val="center"/>
              <w:rPr>
                <w:rFonts w:ascii="Arial" w:hAnsi="Arial"/>
              </w:rPr>
            </w:pPr>
            <w:bookmarkStart w:id="675" w:name="_Ref247945426"/>
            <w:bookmarkStart w:id="676" w:name="_Ref274309938"/>
            <w:bookmarkStart w:id="677" w:name="_Toc277937900"/>
            <w:r w:rsidRPr="00A42B5F">
              <w:rPr>
                <w:rFonts w:ascii="Arial" w:hAnsi="Arial"/>
              </w:rPr>
              <w:t xml:space="preserve">Table </w:t>
            </w:r>
            <w:r w:rsidR="000D2B44" w:rsidRPr="00A42B5F">
              <w:rPr>
                <w:rFonts w:ascii="Arial" w:hAnsi="Arial"/>
              </w:rPr>
              <w:fldChar w:fldCharType="begin"/>
            </w:r>
            <w:r w:rsidRPr="00A42B5F">
              <w:rPr>
                <w:rFonts w:ascii="Arial" w:hAnsi="Arial"/>
              </w:rPr>
              <w:instrText xml:space="preserve"> SEQ Table \* ARABIC </w:instrText>
            </w:r>
            <w:r w:rsidR="000D2B44" w:rsidRPr="00A42B5F">
              <w:rPr>
                <w:rFonts w:ascii="Arial" w:hAnsi="Arial"/>
              </w:rPr>
              <w:fldChar w:fldCharType="separate"/>
            </w:r>
            <w:r w:rsidR="00624A9D">
              <w:rPr>
                <w:rFonts w:ascii="Arial" w:hAnsi="Arial"/>
                <w:noProof/>
              </w:rPr>
              <w:t>2</w:t>
            </w:r>
            <w:r w:rsidR="000D2B44" w:rsidRPr="00A42B5F">
              <w:rPr>
                <w:rFonts w:ascii="Arial" w:hAnsi="Arial"/>
              </w:rPr>
              <w:fldChar w:fldCharType="end"/>
            </w:r>
            <w:bookmarkEnd w:id="675"/>
            <w:r w:rsidRPr="00A42B5F">
              <w:rPr>
                <w:rFonts w:ascii="Arial" w:hAnsi="Arial"/>
              </w:rPr>
              <w:t>: Pavement Fix Definitions</w:t>
            </w:r>
            <w:bookmarkEnd w:id="676"/>
            <w:bookmarkEnd w:id="677"/>
          </w:p>
          <w:p w14:paraId="05F0F336" w14:textId="77777777" w:rsidR="0088350C" w:rsidRPr="00A42B5F" w:rsidRDefault="0088350C" w:rsidP="007C2B36">
            <w:pPr>
              <w:keepNext/>
              <w:keepLines/>
              <w:jc w:val="center"/>
              <w:rPr>
                <w:rFonts w:ascii="Arial" w:hAnsi="Arial"/>
                <w:b/>
              </w:rPr>
            </w:pPr>
          </w:p>
          <w:p w14:paraId="62C60F58" w14:textId="77777777" w:rsidR="0088350C" w:rsidRPr="00A42B5F" w:rsidRDefault="0088350C" w:rsidP="007C2B36">
            <w:pPr>
              <w:keepNext/>
              <w:keepLines/>
              <w:jc w:val="center"/>
              <w:rPr>
                <w:rFonts w:ascii="Arial" w:hAnsi="Arial"/>
                <w:b/>
              </w:rPr>
            </w:pPr>
          </w:p>
          <w:p w14:paraId="63479B74" w14:textId="77777777" w:rsidR="00BF10A0" w:rsidRPr="00A42B5F" w:rsidRDefault="00BF10A0" w:rsidP="007C2B36">
            <w:pPr>
              <w:keepNext/>
              <w:keepLines/>
              <w:jc w:val="center"/>
              <w:rPr>
                <w:rFonts w:ascii="Arial" w:hAnsi="Arial"/>
                <w:b/>
                <w:sz w:val="18"/>
              </w:rPr>
            </w:pPr>
            <w:r w:rsidRPr="00A42B5F">
              <w:rPr>
                <w:rFonts w:ascii="Arial" w:hAnsi="Arial"/>
                <w:b/>
              </w:rPr>
              <w:t>Specific Fixes (Including but not limited to)</w:t>
            </w:r>
          </w:p>
        </w:tc>
      </w:tr>
      <w:tr w:rsidR="00115674" w:rsidRPr="00C46A13" w14:paraId="2C00039F" w14:textId="77777777" w:rsidTr="00B46187">
        <w:trPr>
          <w:cantSplit/>
          <w:trHeight w:val="521"/>
          <w:jc w:val="center"/>
        </w:trPr>
        <w:tc>
          <w:tcPr>
            <w:tcW w:w="1563" w:type="dxa"/>
            <w:shd w:val="clear" w:color="auto" w:fill="FFFFFF"/>
            <w:vAlign w:val="center"/>
          </w:tcPr>
          <w:p w14:paraId="680A8BAE" w14:textId="77777777" w:rsidR="00BF10A0" w:rsidRPr="00A42B5F" w:rsidRDefault="00BF10A0" w:rsidP="00BE3F24">
            <w:pPr>
              <w:keepNext/>
              <w:keepLines/>
              <w:jc w:val="center"/>
              <w:rPr>
                <w:rFonts w:ascii="Arial" w:hAnsi="Arial"/>
                <w:b/>
                <w:sz w:val="18"/>
              </w:rPr>
            </w:pPr>
            <w:r w:rsidRPr="00A42B5F">
              <w:rPr>
                <w:rFonts w:ascii="Arial" w:hAnsi="Arial"/>
                <w:b/>
                <w:sz w:val="18"/>
              </w:rPr>
              <w:t>Reconstruction</w:t>
            </w:r>
          </w:p>
        </w:tc>
        <w:tc>
          <w:tcPr>
            <w:tcW w:w="1440" w:type="dxa"/>
            <w:tcBorders>
              <w:bottom w:val="single" w:sz="4" w:space="0" w:color="auto"/>
            </w:tcBorders>
            <w:shd w:val="clear" w:color="auto" w:fill="FFFFFF"/>
            <w:vAlign w:val="center"/>
          </w:tcPr>
          <w:p w14:paraId="779D8692" w14:textId="77777777" w:rsidR="00BF10A0" w:rsidRPr="00A42B5F" w:rsidRDefault="00BF10A0" w:rsidP="00BE3F24">
            <w:pPr>
              <w:keepNext/>
              <w:keepLines/>
              <w:jc w:val="center"/>
              <w:rPr>
                <w:rFonts w:ascii="Arial" w:hAnsi="Arial"/>
                <w:sz w:val="18"/>
              </w:rPr>
            </w:pPr>
            <w:r w:rsidRPr="00A42B5F">
              <w:rPr>
                <w:rFonts w:ascii="Arial" w:hAnsi="Arial"/>
                <w:sz w:val="18"/>
              </w:rPr>
              <w:t>Reconstruction</w:t>
            </w:r>
          </w:p>
        </w:tc>
        <w:tc>
          <w:tcPr>
            <w:tcW w:w="502" w:type="dxa"/>
            <w:shd w:val="clear" w:color="auto" w:fill="FFFFFF"/>
            <w:vAlign w:val="center"/>
          </w:tcPr>
          <w:p w14:paraId="7140929C"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40" w:type="dxa"/>
            <w:shd w:val="clear" w:color="auto" w:fill="FFFFFF"/>
            <w:vAlign w:val="center"/>
          </w:tcPr>
          <w:p w14:paraId="55456960"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40" w:type="dxa"/>
            <w:shd w:val="clear" w:color="auto" w:fill="FFFFFF"/>
            <w:vAlign w:val="center"/>
          </w:tcPr>
          <w:p w14:paraId="62E867B5"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630" w:type="dxa"/>
            <w:shd w:val="clear" w:color="auto" w:fill="FFFFFF"/>
            <w:vAlign w:val="center"/>
          </w:tcPr>
          <w:p w14:paraId="08DF70CF"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760" w:type="dxa"/>
            <w:gridSpan w:val="4"/>
            <w:shd w:val="clear" w:color="auto" w:fill="FFFFFF"/>
            <w:vAlign w:val="center"/>
          </w:tcPr>
          <w:p w14:paraId="7EF777CF"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Full-Depth Reclamation </w:t>
            </w:r>
          </w:p>
          <w:p w14:paraId="76BC2C65"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Reconstruction</w:t>
            </w:r>
          </w:p>
        </w:tc>
      </w:tr>
      <w:tr w:rsidR="00115674" w:rsidRPr="00C46A13" w14:paraId="48796E9D" w14:textId="77777777" w:rsidTr="00B46187">
        <w:trPr>
          <w:cantSplit/>
          <w:trHeight w:val="402"/>
          <w:jc w:val="center"/>
        </w:trPr>
        <w:tc>
          <w:tcPr>
            <w:tcW w:w="1563" w:type="dxa"/>
            <w:vMerge w:val="restart"/>
            <w:shd w:val="clear" w:color="auto" w:fill="FFFFFF"/>
            <w:vAlign w:val="center"/>
          </w:tcPr>
          <w:p w14:paraId="1797B804" w14:textId="77777777" w:rsidR="00BF10A0" w:rsidRPr="00A42B5F" w:rsidRDefault="00BF10A0" w:rsidP="00BE3F24">
            <w:pPr>
              <w:keepNext/>
              <w:keepLines/>
              <w:jc w:val="center"/>
              <w:rPr>
                <w:rFonts w:ascii="Arial" w:hAnsi="Arial"/>
                <w:b/>
                <w:sz w:val="18"/>
              </w:rPr>
            </w:pPr>
            <w:r w:rsidRPr="00A42B5F">
              <w:rPr>
                <w:rFonts w:ascii="Arial" w:hAnsi="Arial"/>
                <w:b/>
                <w:sz w:val="18"/>
              </w:rPr>
              <w:t>Structural Rehabilitation</w:t>
            </w:r>
          </w:p>
        </w:tc>
        <w:tc>
          <w:tcPr>
            <w:tcW w:w="1440" w:type="dxa"/>
            <w:shd w:val="clear" w:color="auto" w:fill="FFFF00"/>
            <w:vAlign w:val="center"/>
          </w:tcPr>
          <w:p w14:paraId="327B2F58" w14:textId="77777777" w:rsidR="00BF10A0" w:rsidRPr="00A42B5F" w:rsidRDefault="00BF10A0" w:rsidP="003225F6">
            <w:pPr>
              <w:keepNext/>
              <w:keepLines/>
              <w:jc w:val="center"/>
              <w:rPr>
                <w:rFonts w:ascii="Arial" w:hAnsi="Arial"/>
                <w:sz w:val="18"/>
              </w:rPr>
            </w:pPr>
            <w:r w:rsidRPr="00A42B5F">
              <w:rPr>
                <w:rFonts w:ascii="Arial" w:hAnsi="Arial"/>
                <w:sz w:val="18"/>
              </w:rPr>
              <w:t>Major Rehabilitation</w:t>
            </w:r>
          </w:p>
        </w:tc>
        <w:tc>
          <w:tcPr>
            <w:tcW w:w="502" w:type="dxa"/>
            <w:shd w:val="clear" w:color="auto" w:fill="FFFFFF"/>
            <w:vAlign w:val="center"/>
          </w:tcPr>
          <w:p w14:paraId="3AD41E28" w14:textId="77777777" w:rsidR="00BF10A0" w:rsidRPr="00A42B5F" w:rsidRDefault="00BF10A0" w:rsidP="00BE3F24">
            <w:pPr>
              <w:keepNext/>
              <w:keepLines/>
              <w:jc w:val="center"/>
              <w:rPr>
                <w:rFonts w:ascii="Arial" w:hAnsi="Arial"/>
                <w:sz w:val="18"/>
              </w:rPr>
            </w:pPr>
          </w:p>
        </w:tc>
        <w:tc>
          <w:tcPr>
            <w:tcW w:w="540" w:type="dxa"/>
            <w:shd w:val="clear" w:color="auto" w:fill="FFFFFF"/>
            <w:vAlign w:val="center"/>
          </w:tcPr>
          <w:p w14:paraId="7695C08A"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40" w:type="dxa"/>
            <w:shd w:val="clear" w:color="auto" w:fill="FFFFFF"/>
            <w:vAlign w:val="center"/>
          </w:tcPr>
          <w:p w14:paraId="6A08706E"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630" w:type="dxa"/>
            <w:shd w:val="clear" w:color="auto" w:fill="FFFFFF"/>
            <w:vAlign w:val="center"/>
          </w:tcPr>
          <w:p w14:paraId="60CE275E"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760" w:type="dxa"/>
            <w:gridSpan w:val="4"/>
            <w:shd w:val="clear" w:color="auto" w:fill="FFFFFF"/>
            <w:vAlign w:val="center"/>
          </w:tcPr>
          <w:p w14:paraId="5FC92134"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Cold In-Place HMA Recycling (CIR)</w:t>
            </w:r>
          </w:p>
          <w:p w14:paraId="420BC2D9"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Break &amp; Seat and Overlay</w:t>
            </w:r>
          </w:p>
          <w:p w14:paraId="583EDB71"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Crack &amp; Seat and Overlay</w:t>
            </w:r>
          </w:p>
          <w:p w14:paraId="7E756B5E" w14:textId="512D53E9"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Deep </w:t>
            </w:r>
            <w:r w:rsidR="00B913D8">
              <w:rPr>
                <w:sz w:val="20"/>
              </w:rPr>
              <w:t>Mill</w:t>
            </w:r>
            <w:r w:rsidRPr="00A42B5F">
              <w:rPr>
                <w:rFonts w:ascii="Arial" w:hAnsi="Arial"/>
                <w:sz w:val="18"/>
              </w:rPr>
              <w:t xml:space="preserve"> and Thick Overlay </w:t>
            </w:r>
          </w:p>
          <w:p w14:paraId="79A4F5DF"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Rubblization &amp; Overlay</w:t>
            </w:r>
          </w:p>
        </w:tc>
      </w:tr>
      <w:tr w:rsidR="00115674" w:rsidRPr="00C46A13" w14:paraId="054BE912" w14:textId="77777777" w:rsidTr="00B46187">
        <w:trPr>
          <w:cantSplit/>
          <w:trHeight w:val="402"/>
          <w:jc w:val="center"/>
        </w:trPr>
        <w:tc>
          <w:tcPr>
            <w:tcW w:w="1563" w:type="dxa"/>
            <w:vMerge/>
            <w:shd w:val="clear" w:color="auto" w:fill="FFFFFF"/>
            <w:vAlign w:val="center"/>
          </w:tcPr>
          <w:p w14:paraId="75954796" w14:textId="77777777" w:rsidR="00BF10A0" w:rsidRPr="00A42B5F" w:rsidRDefault="00BF10A0" w:rsidP="00BE3F24">
            <w:pPr>
              <w:keepNext/>
              <w:keepLines/>
              <w:jc w:val="center"/>
              <w:rPr>
                <w:rFonts w:ascii="Arial" w:hAnsi="Arial"/>
                <w:b/>
                <w:sz w:val="18"/>
              </w:rPr>
            </w:pPr>
          </w:p>
        </w:tc>
        <w:tc>
          <w:tcPr>
            <w:tcW w:w="1440" w:type="dxa"/>
            <w:shd w:val="clear" w:color="auto" w:fill="FFFF00"/>
            <w:vAlign w:val="center"/>
          </w:tcPr>
          <w:p w14:paraId="7AE83B6D" w14:textId="77777777" w:rsidR="00BF10A0" w:rsidRPr="00A42B5F" w:rsidRDefault="00BF10A0" w:rsidP="00BE3F24">
            <w:pPr>
              <w:keepNext/>
              <w:keepLines/>
              <w:jc w:val="center"/>
              <w:rPr>
                <w:rFonts w:ascii="Arial" w:hAnsi="Arial"/>
                <w:sz w:val="18"/>
              </w:rPr>
            </w:pPr>
            <w:r w:rsidRPr="00A42B5F">
              <w:rPr>
                <w:rFonts w:ascii="Arial" w:hAnsi="Arial"/>
                <w:sz w:val="18"/>
              </w:rPr>
              <w:t>Structural Overlay</w:t>
            </w:r>
          </w:p>
        </w:tc>
        <w:tc>
          <w:tcPr>
            <w:tcW w:w="502" w:type="dxa"/>
            <w:shd w:val="clear" w:color="auto" w:fill="FFFFFF"/>
            <w:vAlign w:val="center"/>
          </w:tcPr>
          <w:p w14:paraId="3A3CC134" w14:textId="77777777" w:rsidR="00BF10A0" w:rsidRPr="00A42B5F" w:rsidRDefault="00BF10A0" w:rsidP="00BE3F24">
            <w:pPr>
              <w:keepNext/>
              <w:keepLines/>
              <w:jc w:val="center"/>
              <w:rPr>
                <w:rFonts w:ascii="Arial" w:hAnsi="Arial"/>
                <w:b/>
                <w:sz w:val="18"/>
              </w:rPr>
            </w:pPr>
          </w:p>
        </w:tc>
        <w:tc>
          <w:tcPr>
            <w:tcW w:w="540" w:type="dxa"/>
            <w:shd w:val="clear" w:color="auto" w:fill="FFFFFF"/>
            <w:vAlign w:val="center"/>
          </w:tcPr>
          <w:p w14:paraId="47CCC46D"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40" w:type="dxa"/>
            <w:shd w:val="clear" w:color="auto" w:fill="FFFFFF"/>
            <w:vAlign w:val="center"/>
          </w:tcPr>
          <w:p w14:paraId="15986FF4"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630" w:type="dxa"/>
            <w:shd w:val="clear" w:color="auto" w:fill="FFFFFF"/>
            <w:vAlign w:val="center"/>
          </w:tcPr>
          <w:p w14:paraId="140B9BC4"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760" w:type="dxa"/>
            <w:gridSpan w:val="4"/>
            <w:shd w:val="clear" w:color="auto" w:fill="FFFFFF"/>
            <w:vAlign w:val="center"/>
          </w:tcPr>
          <w:p w14:paraId="1C63638E" w14:textId="5E9C5644" w:rsidR="001A15B9" w:rsidRPr="00A42B5F" w:rsidRDefault="00BF10A0" w:rsidP="00557A8B">
            <w:pPr>
              <w:pStyle w:val="ListParagraph"/>
              <w:keepNext/>
              <w:keepLines/>
              <w:numPr>
                <w:ilvl w:val="0"/>
                <w:numId w:val="29"/>
              </w:numPr>
              <w:rPr>
                <w:rFonts w:ascii="Arial" w:hAnsi="Arial"/>
                <w:b/>
                <w:sz w:val="18"/>
              </w:rPr>
            </w:pPr>
            <w:r w:rsidRPr="00A42B5F">
              <w:rPr>
                <w:rFonts w:ascii="Arial" w:hAnsi="Arial"/>
                <w:b/>
                <w:sz w:val="18"/>
              </w:rPr>
              <w:t xml:space="preserve">Overlay or </w:t>
            </w:r>
            <w:r w:rsidR="00B913D8">
              <w:rPr>
                <w:b/>
                <w:sz w:val="20"/>
              </w:rPr>
              <w:t>mill</w:t>
            </w:r>
            <w:r w:rsidRPr="00A42B5F">
              <w:rPr>
                <w:rFonts w:ascii="Arial" w:hAnsi="Arial"/>
                <w:b/>
                <w:sz w:val="18"/>
              </w:rPr>
              <w:t>/overlay combination where grade increases more than 1.5</w:t>
            </w:r>
            <w:r w:rsidR="00B46187">
              <w:rPr>
                <w:rFonts w:ascii="Arial" w:hAnsi="Arial" w:cs="Arial"/>
                <w:b/>
                <w:sz w:val="18"/>
                <w:szCs w:val="18"/>
              </w:rPr>
              <w:t>"</w:t>
            </w:r>
            <w:r w:rsidRPr="00A42B5F">
              <w:rPr>
                <w:rFonts w:ascii="Arial" w:hAnsi="Arial"/>
                <w:b/>
                <w:sz w:val="18"/>
              </w:rPr>
              <w:t xml:space="preserve"> </w:t>
            </w:r>
          </w:p>
          <w:p w14:paraId="2BEEFEA7"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Greater than 5% of project area has fatigue distresses needing patching</w:t>
            </w:r>
          </w:p>
          <w:p w14:paraId="0AAC0BC3"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Any concrete overlay</w:t>
            </w:r>
          </w:p>
        </w:tc>
      </w:tr>
      <w:tr w:rsidR="00115674" w:rsidRPr="00C46A13" w14:paraId="203843E1" w14:textId="77777777" w:rsidTr="00B46187">
        <w:trPr>
          <w:cantSplit/>
          <w:trHeight w:val="470"/>
          <w:jc w:val="center"/>
        </w:trPr>
        <w:tc>
          <w:tcPr>
            <w:tcW w:w="1563" w:type="dxa"/>
            <w:vMerge w:val="restart"/>
            <w:shd w:val="clear" w:color="auto" w:fill="FFFFFF"/>
            <w:vAlign w:val="center"/>
          </w:tcPr>
          <w:p w14:paraId="4C3917FA" w14:textId="77777777" w:rsidR="00BF10A0" w:rsidRPr="00A42B5F" w:rsidRDefault="00BF10A0" w:rsidP="00BE3F24">
            <w:pPr>
              <w:keepNext/>
              <w:keepLines/>
              <w:jc w:val="center"/>
              <w:rPr>
                <w:rFonts w:ascii="Arial" w:hAnsi="Arial"/>
                <w:b/>
                <w:sz w:val="18"/>
              </w:rPr>
            </w:pPr>
            <w:r w:rsidRPr="00A42B5F">
              <w:rPr>
                <w:rFonts w:ascii="Arial" w:hAnsi="Arial"/>
                <w:b/>
                <w:sz w:val="18"/>
              </w:rPr>
              <w:t> </w:t>
            </w:r>
          </w:p>
          <w:p w14:paraId="4559B3C0" w14:textId="77777777" w:rsidR="00BF10A0" w:rsidRPr="00A42B5F" w:rsidRDefault="00BF10A0" w:rsidP="00BE3F24">
            <w:pPr>
              <w:keepNext/>
              <w:keepLines/>
              <w:jc w:val="center"/>
              <w:rPr>
                <w:rFonts w:ascii="Arial" w:hAnsi="Arial"/>
                <w:b/>
                <w:sz w:val="18"/>
              </w:rPr>
            </w:pPr>
            <w:r w:rsidRPr="00A42B5F">
              <w:rPr>
                <w:rFonts w:ascii="Arial" w:hAnsi="Arial"/>
                <w:b/>
                <w:sz w:val="18"/>
              </w:rPr>
              <w:t>Pavement Preservation</w:t>
            </w:r>
          </w:p>
          <w:p w14:paraId="1D51B61A" w14:textId="77777777" w:rsidR="00BF10A0" w:rsidRPr="00A42B5F" w:rsidRDefault="00BF10A0" w:rsidP="00BE3F24">
            <w:pPr>
              <w:keepNext/>
              <w:keepLines/>
              <w:jc w:val="center"/>
              <w:rPr>
                <w:rFonts w:ascii="Arial" w:hAnsi="Arial"/>
                <w:b/>
                <w:sz w:val="18"/>
              </w:rPr>
            </w:pPr>
          </w:p>
        </w:tc>
        <w:tc>
          <w:tcPr>
            <w:tcW w:w="1440" w:type="dxa"/>
            <w:shd w:val="clear" w:color="auto" w:fill="FFFF00"/>
            <w:vAlign w:val="center"/>
          </w:tcPr>
          <w:p w14:paraId="62C3C5C1" w14:textId="77777777" w:rsidR="00BF10A0" w:rsidRPr="00A42B5F" w:rsidRDefault="003225F6" w:rsidP="003225F6">
            <w:pPr>
              <w:keepNext/>
              <w:keepLines/>
              <w:jc w:val="center"/>
              <w:rPr>
                <w:rFonts w:ascii="Arial" w:hAnsi="Arial"/>
                <w:sz w:val="18"/>
              </w:rPr>
            </w:pPr>
            <w:r w:rsidRPr="00A42B5F">
              <w:rPr>
                <w:rFonts w:ascii="Arial" w:hAnsi="Arial"/>
                <w:sz w:val="18"/>
              </w:rPr>
              <w:t>Minor</w:t>
            </w:r>
            <w:r w:rsidR="00BF10A0" w:rsidRPr="00A42B5F">
              <w:rPr>
                <w:rFonts w:ascii="Arial" w:hAnsi="Arial"/>
                <w:sz w:val="18"/>
              </w:rPr>
              <w:t xml:space="preserve"> Rehabilitation</w:t>
            </w:r>
          </w:p>
        </w:tc>
        <w:tc>
          <w:tcPr>
            <w:tcW w:w="502" w:type="dxa"/>
            <w:shd w:val="clear" w:color="auto" w:fill="FFFFFF" w:themeFill="background1"/>
            <w:vAlign w:val="center"/>
          </w:tcPr>
          <w:p w14:paraId="0B8673CE" w14:textId="77777777" w:rsidR="00BF10A0" w:rsidRPr="00A42B5F" w:rsidRDefault="00BF10A0" w:rsidP="00BE3F24">
            <w:pPr>
              <w:keepNext/>
              <w:keepLines/>
              <w:jc w:val="center"/>
              <w:rPr>
                <w:rFonts w:ascii="Arial" w:hAnsi="Arial"/>
                <w:b/>
                <w:sz w:val="18"/>
              </w:rPr>
            </w:pPr>
          </w:p>
        </w:tc>
        <w:tc>
          <w:tcPr>
            <w:tcW w:w="540" w:type="dxa"/>
            <w:shd w:val="clear" w:color="auto" w:fill="FFFFFF" w:themeFill="background1"/>
            <w:vAlign w:val="center"/>
          </w:tcPr>
          <w:p w14:paraId="40154E86" w14:textId="77777777" w:rsidR="00BF10A0" w:rsidRPr="00A42B5F" w:rsidRDefault="00BF10A0" w:rsidP="00BE3F24">
            <w:pPr>
              <w:keepNext/>
              <w:keepLines/>
              <w:jc w:val="center"/>
              <w:rPr>
                <w:rFonts w:ascii="Arial" w:hAnsi="Arial"/>
                <w:b/>
                <w:sz w:val="18"/>
              </w:rPr>
            </w:pPr>
          </w:p>
        </w:tc>
        <w:tc>
          <w:tcPr>
            <w:tcW w:w="540" w:type="dxa"/>
            <w:shd w:val="clear" w:color="auto" w:fill="FFFFFF" w:themeFill="background1"/>
            <w:vAlign w:val="center"/>
          </w:tcPr>
          <w:p w14:paraId="0C72365C"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630" w:type="dxa"/>
            <w:shd w:val="clear" w:color="auto" w:fill="FFFFFF" w:themeFill="background1"/>
            <w:vAlign w:val="center"/>
          </w:tcPr>
          <w:p w14:paraId="149C2C6F"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760" w:type="dxa"/>
            <w:gridSpan w:val="4"/>
            <w:shd w:val="clear" w:color="auto" w:fill="FFFFFF" w:themeFill="background1"/>
            <w:vAlign w:val="center"/>
          </w:tcPr>
          <w:p w14:paraId="46615CF7" w14:textId="2EA6640B" w:rsidR="001A15B9" w:rsidRPr="00A42B5F" w:rsidRDefault="00BF10A0" w:rsidP="00557A8B">
            <w:pPr>
              <w:pStyle w:val="ListParagraph"/>
              <w:keepNext/>
              <w:keepLines/>
              <w:numPr>
                <w:ilvl w:val="0"/>
                <w:numId w:val="29"/>
              </w:numPr>
              <w:rPr>
                <w:rFonts w:ascii="Arial" w:hAnsi="Arial"/>
                <w:sz w:val="18"/>
              </w:rPr>
            </w:pPr>
            <w:r w:rsidRPr="00A42B5F">
              <w:rPr>
                <w:rFonts w:ascii="Arial" w:hAnsi="Arial"/>
                <w:b/>
                <w:sz w:val="18"/>
              </w:rPr>
              <w:t>Grade increase due to overlay or mill/overlay thickness is no more than 1.5”</w:t>
            </w:r>
            <w:r w:rsidRPr="00A42B5F">
              <w:rPr>
                <w:rFonts w:ascii="Arial" w:hAnsi="Arial"/>
                <w:sz w:val="18"/>
              </w:rPr>
              <w:t>, and the project receives less than 5% patching for structural distress</w:t>
            </w:r>
          </w:p>
        </w:tc>
      </w:tr>
      <w:tr w:rsidR="00115674" w:rsidRPr="00C46A13" w14:paraId="79506AEF" w14:textId="77777777" w:rsidTr="00B46187">
        <w:trPr>
          <w:cantSplit/>
          <w:trHeight w:val="2320"/>
          <w:jc w:val="center"/>
        </w:trPr>
        <w:tc>
          <w:tcPr>
            <w:tcW w:w="1563" w:type="dxa"/>
            <w:vMerge/>
            <w:shd w:val="clear" w:color="auto" w:fill="FFFFFF"/>
            <w:vAlign w:val="center"/>
          </w:tcPr>
          <w:p w14:paraId="2990C18B" w14:textId="77777777" w:rsidR="00BF10A0" w:rsidRPr="00A42B5F" w:rsidRDefault="00BF10A0" w:rsidP="00BE3F24">
            <w:pPr>
              <w:keepNext/>
              <w:keepLines/>
              <w:jc w:val="center"/>
              <w:rPr>
                <w:rFonts w:ascii="Arial" w:hAnsi="Arial"/>
                <w:b/>
                <w:sz w:val="18"/>
              </w:rPr>
            </w:pPr>
          </w:p>
        </w:tc>
        <w:tc>
          <w:tcPr>
            <w:tcW w:w="1440" w:type="dxa"/>
            <w:vMerge w:val="restart"/>
            <w:shd w:val="clear" w:color="auto" w:fill="FFFF00"/>
            <w:vAlign w:val="center"/>
          </w:tcPr>
          <w:p w14:paraId="315DAAD1" w14:textId="77777777" w:rsidR="00BF10A0" w:rsidRPr="00A42B5F" w:rsidRDefault="00BF10A0" w:rsidP="00BE3F24">
            <w:pPr>
              <w:keepNext/>
              <w:keepLines/>
              <w:jc w:val="center"/>
              <w:rPr>
                <w:rFonts w:ascii="Arial" w:hAnsi="Arial"/>
                <w:sz w:val="18"/>
              </w:rPr>
            </w:pPr>
            <w:r w:rsidRPr="00A42B5F">
              <w:rPr>
                <w:rFonts w:ascii="Arial" w:hAnsi="Arial"/>
                <w:sz w:val="18"/>
              </w:rPr>
              <w:t>Preventive Maintenance</w:t>
            </w:r>
          </w:p>
        </w:tc>
        <w:tc>
          <w:tcPr>
            <w:tcW w:w="502" w:type="dxa"/>
            <w:shd w:val="clear" w:color="auto" w:fill="FFFFFF" w:themeFill="background1"/>
            <w:vAlign w:val="center"/>
          </w:tcPr>
          <w:p w14:paraId="716EEC0A" w14:textId="77777777" w:rsidR="00BF10A0" w:rsidRPr="00A42B5F" w:rsidRDefault="00BF10A0" w:rsidP="00BE3F24">
            <w:pPr>
              <w:keepNext/>
              <w:keepLines/>
              <w:jc w:val="center"/>
              <w:rPr>
                <w:rFonts w:ascii="Arial" w:hAnsi="Arial"/>
                <w:sz w:val="18"/>
              </w:rPr>
            </w:pPr>
          </w:p>
        </w:tc>
        <w:tc>
          <w:tcPr>
            <w:tcW w:w="540" w:type="dxa"/>
            <w:shd w:val="clear" w:color="auto" w:fill="FFFFFF" w:themeFill="background1"/>
            <w:vAlign w:val="center"/>
          </w:tcPr>
          <w:p w14:paraId="47622CD9" w14:textId="77777777" w:rsidR="00BF10A0" w:rsidRPr="00A42B5F" w:rsidRDefault="00BF10A0" w:rsidP="00BE3F24">
            <w:pPr>
              <w:keepNext/>
              <w:keepLines/>
              <w:jc w:val="center"/>
              <w:rPr>
                <w:rFonts w:ascii="Arial" w:hAnsi="Arial"/>
                <w:sz w:val="18"/>
              </w:rPr>
            </w:pPr>
          </w:p>
        </w:tc>
        <w:tc>
          <w:tcPr>
            <w:tcW w:w="540" w:type="dxa"/>
            <w:shd w:val="clear" w:color="auto" w:fill="FFFFFF" w:themeFill="background1"/>
            <w:vAlign w:val="center"/>
          </w:tcPr>
          <w:p w14:paraId="1C5F6C5B"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630" w:type="dxa"/>
            <w:shd w:val="clear" w:color="auto" w:fill="FFFFFF" w:themeFill="background1"/>
            <w:vAlign w:val="center"/>
          </w:tcPr>
          <w:p w14:paraId="13CCABA3"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1194" w:type="dxa"/>
            <w:shd w:val="clear" w:color="auto" w:fill="FFFFFF" w:themeFill="background1"/>
            <w:vAlign w:val="center"/>
          </w:tcPr>
          <w:p w14:paraId="2DE1581E" w14:textId="77777777" w:rsidR="00BF10A0" w:rsidRPr="00A42B5F" w:rsidRDefault="00BF10A0" w:rsidP="00BE3F24">
            <w:pPr>
              <w:pStyle w:val="ListParagraph"/>
              <w:keepNext/>
              <w:keepLines/>
              <w:ind w:left="0"/>
              <w:rPr>
                <w:rFonts w:ascii="Arial" w:hAnsi="Arial"/>
                <w:sz w:val="18"/>
              </w:rPr>
            </w:pPr>
            <w:r w:rsidRPr="00A42B5F">
              <w:rPr>
                <w:rFonts w:ascii="Arial" w:hAnsi="Arial"/>
                <w:sz w:val="18"/>
              </w:rPr>
              <w:t>Asphalt-surfaced Pavements</w:t>
            </w:r>
          </w:p>
        </w:tc>
        <w:tc>
          <w:tcPr>
            <w:tcW w:w="2406" w:type="dxa"/>
            <w:gridSpan w:val="2"/>
            <w:tcBorders>
              <w:right w:val="nil"/>
            </w:tcBorders>
            <w:shd w:val="clear" w:color="auto" w:fill="FFFFFF" w:themeFill="background1"/>
            <w:vAlign w:val="center"/>
          </w:tcPr>
          <w:p w14:paraId="38FE50D0"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Cape seal</w:t>
            </w:r>
          </w:p>
          <w:p w14:paraId="0F6F1435"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Chip seal</w:t>
            </w:r>
          </w:p>
          <w:p w14:paraId="3366E429" w14:textId="4058BEB5"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Crack </w:t>
            </w:r>
            <w:r w:rsidR="00B46187">
              <w:rPr>
                <w:rFonts w:ascii="Arial" w:hAnsi="Arial" w:cs="Arial"/>
                <w:sz w:val="18"/>
                <w:szCs w:val="18"/>
              </w:rPr>
              <w:t>f</w:t>
            </w:r>
            <w:r w:rsidRPr="007C2B36">
              <w:rPr>
                <w:rFonts w:ascii="Arial" w:hAnsi="Arial" w:cs="Arial"/>
                <w:sz w:val="18"/>
                <w:szCs w:val="18"/>
              </w:rPr>
              <w:t>ill</w:t>
            </w:r>
          </w:p>
          <w:p w14:paraId="0D4BC77F"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Crack seal </w:t>
            </w:r>
          </w:p>
          <w:p w14:paraId="2F311B5E"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Diamond grinding</w:t>
            </w:r>
          </w:p>
          <w:p w14:paraId="09F3C2E3" w14:textId="2798EEE3"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Fog seal</w:t>
            </w:r>
          </w:p>
          <w:p w14:paraId="67883ADB"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High-friction surface</w:t>
            </w:r>
          </w:p>
          <w:p w14:paraId="7046CCD5"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Hot In-Place Recycling (HIR) </w:t>
            </w:r>
          </w:p>
          <w:p w14:paraId="672CE915"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Micro</w:t>
            </w:r>
            <w:r w:rsidR="003225F6" w:rsidRPr="00A42B5F">
              <w:rPr>
                <w:rFonts w:ascii="Arial" w:hAnsi="Arial"/>
                <w:sz w:val="18"/>
              </w:rPr>
              <w:t>-</w:t>
            </w:r>
            <w:r w:rsidRPr="00A42B5F">
              <w:rPr>
                <w:rFonts w:ascii="Arial" w:hAnsi="Arial"/>
                <w:sz w:val="18"/>
              </w:rPr>
              <w:t>surfacing</w:t>
            </w:r>
          </w:p>
        </w:tc>
        <w:tc>
          <w:tcPr>
            <w:tcW w:w="2160" w:type="dxa"/>
            <w:tcBorders>
              <w:left w:val="nil"/>
            </w:tcBorders>
            <w:shd w:val="clear" w:color="auto" w:fill="FFFFFF" w:themeFill="background1"/>
            <w:vAlign w:val="center"/>
          </w:tcPr>
          <w:p w14:paraId="40F6C570"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Modified chip seal </w:t>
            </w:r>
          </w:p>
          <w:p w14:paraId="5601285C" w14:textId="0EA71C5B" w:rsidR="001A15B9" w:rsidRPr="00A42B5F" w:rsidRDefault="003225F6" w:rsidP="00557A8B">
            <w:pPr>
              <w:pStyle w:val="ListParagraph"/>
              <w:keepNext/>
              <w:keepLines/>
              <w:numPr>
                <w:ilvl w:val="0"/>
                <w:numId w:val="29"/>
              </w:numPr>
              <w:rPr>
                <w:rFonts w:ascii="Arial" w:hAnsi="Arial"/>
                <w:sz w:val="18"/>
              </w:rPr>
            </w:pPr>
            <w:r w:rsidRPr="00A42B5F">
              <w:rPr>
                <w:rFonts w:ascii="Arial" w:hAnsi="Arial"/>
                <w:sz w:val="18"/>
              </w:rPr>
              <w:t>Overlay or mill/</w:t>
            </w:r>
            <w:r w:rsidR="009071A3">
              <w:rPr>
                <w:rFonts w:ascii="Arial" w:hAnsi="Arial" w:cs="Arial"/>
                <w:sz w:val="18"/>
                <w:szCs w:val="18"/>
              </w:rPr>
              <w:t xml:space="preserve"> </w:t>
            </w:r>
            <w:r w:rsidRPr="00A42B5F">
              <w:rPr>
                <w:rFonts w:ascii="Arial" w:hAnsi="Arial"/>
                <w:sz w:val="18"/>
              </w:rPr>
              <w:t>overlay using ≤1</w:t>
            </w:r>
            <w:r w:rsidR="00B46187">
              <w:rPr>
                <w:rFonts w:ascii="Arial" w:hAnsi="Arial" w:cs="Arial"/>
                <w:sz w:val="18"/>
                <w:szCs w:val="18"/>
              </w:rPr>
              <w:t>"</w:t>
            </w:r>
            <w:r w:rsidRPr="00A42B5F">
              <w:rPr>
                <w:rFonts w:ascii="Arial" w:hAnsi="Arial"/>
                <w:sz w:val="18"/>
              </w:rPr>
              <w:t xml:space="preserve"> asphalt</w:t>
            </w:r>
          </w:p>
          <w:p w14:paraId="057646FD" w14:textId="77777777" w:rsidR="001A15B9" w:rsidRPr="00A42B5F" w:rsidRDefault="003225F6" w:rsidP="00557A8B">
            <w:pPr>
              <w:pStyle w:val="ListParagraph"/>
              <w:keepNext/>
              <w:keepLines/>
              <w:numPr>
                <w:ilvl w:val="0"/>
                <w:numId w:val="29"/>
              </w:numPr>
              <w:rPr>
                <w:rFonts w:ascii="Arial" w:hAnsi="Arial"/>
                <w:sz w:val="18"/>
              </w:rPr>
            </w:pPr>
            <w:r w:rsidRPr="00A42B5F">
              <w:rPr>
                <w:rFonts w:ascii="Arial" w:hAnsi="Arial"/>
                <w:sz w:val="18"/>
              </w:rPr>
              <w:t>Patching</w:t>
            </w:r>
          </w:p>
          <w:p w14:paraId="258E0B2A" w14:textId="77777777" w:rsidR="001A15B9" w:rsidRPr="00A42B5F" w:rsidRDefault="003225F6" w:rsidP="00557A8B">
            <w:pPr>
              <w:pStyle w:val="ListParagraph"/>
              <w:keepNext/>
              <w:keepLines/>
              <w:numPr>
                <w:ilvl w:val="0"/>
                <w:numId w:val="29"/>
              </w:numPr>
              <w:rPr>
                <w:rFonts w:ascii="Arial" w:hAnsi="Arial"/>
                <w:sz w:val="18"/>
              </w:rPr>
            </w:pPr>
            <w:r w:rsidRPr="00A42B5F">
              <w:rPr>
                <w:rFonts w:ascii="Arial" w:hAnsi="Arial"/>
                <w:sz w:val="18"/>
              </w:rPr>
              <w:t xml:space="preserve">Rejuvenators </w:t>
            </w:r>
          </w:p>
          <w:p w14:paraId="554F0706" w14:textId="77777777" w:rsidR="001A15B9" w:rsidRPr="00A42B5F" w:rsidRDefault="003225F6" w:rsidP="00557A8B">
            <w:pPr>
              <w:pStyle w:val="ListParagraph"/>
              <w:keepNext/>
              <w:keepLines/>
              <w:numPr>
                <w:ilvl w:val="0"/>
                <w:numId w:val="29"/>
              </w:numPr>
              <w:rPr>
                <w:rFonts w:ascii="Arial" w:hAnsi="Arial"/>
                <w:sz w:val="18"/>
              </w:rPr>
            </w:pPr>
            <w:r w:rsidRPr="00A42B5F">
              <w:rPr>
                <w:rFonts w:ascii="Arial" w:hAnsi="Arial"/>
                <w:sz w:val="18"/>
              </w:rPr>
              <w:t>Sand seal</w:t>
            </w:r>
          </w:p>
          <w:p w14:paraId="53CD56EE" w14:textId="77777777" w:rsidR="001A15B9" w:rsidRPr="00A42B5F" w:rsidRDefault="003225F6" w:rsidP="00557A8B">
            <w:pPr>
              <w:pStyle w:val="ListParagraph"/>
              <w:keepNext/>
              <w:keepLines/>
              <w:numPr>
                <w:ilvl w:val="0"/>
                <w:numId w:val="29"/>
              </w:numPr>
              <w:rPr>
                <w:rFonts w:ascii="Arial" w:hAnsi="Arial"/>
                <w:sz w:val="18"/>
              </w:rPr>
            </w:pPr>
            <w:r w:rsidRPr="00A42B5F">
              <w:rPr>
                <w:rFonts w:ascii="Arial" w:hAnsi="Arial"/>
                <w:sz w:val="18"/>
              </w:rPr>
              <w:t>Sandwich seal</w:t>
            </w:r>
          </w:p>
          <w:p w14:paraId="078CDBEE" w14:textId="77777777" w:rsidR="001A15B9" w:rsidRPr="00A42B5F" w:rsidRDefault="003225F6" w:rsidP="00557A8B">
            <w:pPr>
              <w:pStyle w:val="ListParagraph"/>
              <w:keepNext/>
              <w:keepLines/>
              <w:numPr>
                <w:ilvl w:val="0"/>
                <w:numId w:val="29"/>
              </w:numPr>
              <w:rPr>
                <w:rFonts w:ascii="Arial" w:hAnsi="Arial"/>
                <w:sz w:val="18"/>
              </w:rPr>
            </w:pPr>
            <w:r w:rsidRPr="00A42B5F">
              <w:rPr>
                <w:rFonts w:ascii="Arial" w:hAnsi="Arial"/>
                <w:sz w:val="18"/>
              </w:rPr>
              <w:t>Scrub seal</w:t>
            </w:r>
          </w:p>
          <w:p w14:paraId="41DDE96A" w14:textId="77777777" w:rsidR="001A15B9" w:rsidRPr="00A42B5F" w:rsidRDefault="003225F6" w:rsidP="00557A8B">
            <w:pPr>
              <w:pStyle w:val="ListParagraph"/>
              <w:keepNext/>
              <w:keepLines/>
              <w:numPr>
                <w:ilvl w:val="0"/>
                <w:numId w:val="29"/>
              </w:numPr>
              <w:rPr>
                <w:rFonts w:ascii="Arial" w:hAnsi="Arial"/>
                <w:sz w:val="18"/>
              </w:rPr>
            </w:pPr>
            <w:r w:rsidRPr="00A42B5F">
              <w:rPr>
                <w:rFonts w:ascii="Arial" w:hAnsi="Arial"/>
                <w:sz w:val="18"/>
              </w:rPr>
              <w:t>Slurry seal</w:t>
            </w:r>
            <w:r w:rsidR="00BF10A0" w:rsidRPr="00A42B5F">
              <w:rPr>
                <w:rFonts w:ascii="Arial" w:hAnsi="Arial"/>
                <w:sz w:val="18"/>
              </w:rPr>
              <w:t xml:space="preserve"> </w:t>
            </w:r>
          </w:p>
        </w:tc>
      </w:tr>
      <w:tr w:rsidR="00115674" w:rsidRPr="00C46A13" w14:paraId="2BBFDAFD" w14:textId="77777777" w:rsidTr="009071A3">
        <w:trPr>
          <w:cantSplit/>
          <w:trHeight w:val="908"/>
          <w:jc w:val="center"/>
        </w:trPr>
        <w:tc>
          <w:tcPr>
            <w:tcW w:w="1563" w:type="dxa"/>
            <w:vMerge/>
            <w:shd w:val="clear" w:color="auto" w:fill="FFFFFF"/>
            <w:vAlign w:val="center"/>
          </w:tcPr>
          <w:p w14:paraId="1D235474" w14:textId="77777777" w:rsidR="00BF10A0" w:rsidRPr="00A42B5F" w:rsidRDefault="00BF10A0" w:rsidP="00BE3F24">
            <w:pPr>
              <w:keepNext/>
              <w:keepLines/>
              <w:jc w:val="center"/>
              <w:rPr>
                <w:rFonts w:ascii="Arial" w:hAnsi="Arial"/>
                <w:b/>
                <w:sz w:val="18"/>
              </w:rPr>
            </w:pPr>
          </w:p>
        </w:tc>
        <w:tc>
          <w:tcPr>
            <w:tcW w:w="1440" w:type="dxa"/>
            <w:vMerge/>
            <w:shd w:val="clear" w:color="auto" w:fill="FFFF00"/>
            <w:vAlign w:val="center"/>
          </w:tcPr>
          <w:p w14:paraId="6F6BA2E8" w14:textId="77777777" w:rsidR="00BF10A0" w:rsidRPr="00A42B5F" w:rsidRDefault="00BF10A0" w:rsidP="00BE3F24">
            <w:pPr>
              <w:keepNext/>
              <w:keepLines/>
              <w:jc w:val="center"/>
              <w:rPr>
                <w:rFonts w:ascii="Arial" w:hAnsi="Arial"/>
                <w:sz w:val="18"/>
              </w:rPr>
            </w:pPr>
          </w:p>
        </w:tc>
        <w:tc>
          <w:tcPr>
            <w:tcW w:w="502" w:type="dxa"/>
            <w:shd w:val="clear" w:color="auto" w:fill="FFFFFF" w:themeFill="background1"/>
            <w:vAlign w:val="center"/>
          </w:tcPr>
          <w:p w14:paraId="0F55840A" w14:textId="77777777" w:rsidR="00BF10A0" w:rsidRPr="00A42B5F" w:rsidRDefault="00BF10A0" w:rsidP="00BE3F24">
            <w:pPr>
              <w:keepNext/>
              <w:keepLines/>
              <w:jc w:val="center"/>
              <w:rPr>
                <w:rFonts w:ascii="Arial" w:hAnsi="Arial"/>
                <w:sz w:val="18"/>
              </w:rPr>
            </w:pPr>
          </w:p>
        </w:tc>
        <w:tc>
          <w:tcPr>
            <w:tcW w:w="540" w:type="dxa"/>
            <w:shd w:val="clear" w:color="auto" w:fill="FFFFFF" w:themeFill="background1"/>
            <w:vAlign w:val="center"/>
          </w:tcPr>
          <w:p w14:paraId="5EB71A85" w14:textId="77777777" w:rsidR="00BF10A0" w:rsidRPr="00A42B5F" w:rsidRDefault="00BF10A0" w:rsidP="00BE3F24">
            <w:pPr>
              <w:keepNext/>
              <w:keepLines/>
              <w:jc w:val="center"/>
              <w:rPr>
                <w:rFonts w:ascii="Arial" w:hAnsi="Arial"/>
                <w:sz w:val="18"/>
              </w:rPr>
            </w:pPr>
          </w:p>
        </w:tc>
        <w:tc>
          <w:tcPr>
            <w:tcW w:w="540" w:type="dxa"/>
            <w:shd w:val="clear" w:color="auto" w:fill="FFFFFF" w:themeFill="background1"/>
            <w:vAlign w:val="center"/>
          </w:tcPr>
          <w:p w14:paraId="31814492"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630" w:type="dxa"/>
            <w:shd w:val="clear" w:color="auto" w:fill="FFFFFF" w:themeFill="background1"/>
            <w:vAlign w:val="center"/>
          </w:tcPr>
          <w:p w14:paraId="4730703A"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1194" w:type="dxa"/>
            <w:shd w:val="clear" w:color="auto" w:fill="FFFFFF" w:themeFill="background1"/>
            <w:vAlign w:val="center"/>
          </w:tcPr>
          <w:p w14:paraId="284E3D16" w14:textId="77777777" w:rsidR="00BF10A0" w:rsidRPr="00A42B5F" w:rsidRDefault="00BF10A0" w:rsidP="00BE3F24">
            <w:pPr>
              <w:pStyle w:val="ListParagraph"/>
              <w:keepNext/>
              <w:keepLines/>
              <w:ind w:left="0"/>
              <w:rPr>
                <w:rFonts w:ascii="Arial" w:hAnsi="Arial"/>
                <w:sz w:val="18"/>
              </w:rPr>
            </w:pPr>
            <w:r w:rsidRPr="00A42B5F">
              <w:rPr>
                <w:rFonts w:ascii="Arial" w:hAnsi="Arial"/>
                <w:sz w:val="18"/>
              </w:rPr>
              <w:t>Concrete-Surface Pavements</w:t>
            </w:r>
          </w:p>
        </w:tc>
        <w:tc>
          <w:tcPr>
            <w:tcW w:w="2406" w:type="dxa"/>
            <w:gridSpan w:val="2"/>
            <w:tcBorders>
              <w:right w:val="nil"/>
            </w:tcBorders>
            <w:shd w:val="clear" w:color="auto" w:fill="FFFFFF" w:themeFill="background1"/>
          </w:tcPr>
          <w:p w14:paraId="5C8A2A91"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Cross-stitching </w:t>
            </w:r>
          </w:p>
          <w:p w14:paraId="3B8FD1A5"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Diamond grinding</w:t>
            </w:r>
          </w:p>
          <w:p w14:paraId="176A8009"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Diamond grooving</w:t>
            </w:r>
          </w:p>
          <w:p w14:paraId="6BBE8B9E" w14:textId="77777777" w:rsidR="001A15B9" w:rsidRPr="00A42B5F" w:rsidRDefault="003C63B9" w:rsidP="00557A8B">
            <w:pPr>
              <w:pStyle w:val="ListParagraph"/>
              <w:keepNext/>
              <w:keepLines/>
              <w:numPr>
                <w:ilvl w:val="0"/>
                <w:numId w:val="29"/>
              </w:numPr>
              <w:rPr>
                <w:rFonts w:ascii="Arial" w:hAnsi="Arial"/>
                <w:sz w:val="18"/>
              </w:rPr>
            </w:pPr>
            <w:r w:rsidRPr="00A42B5F">
              <w:rPr>
                <w:rFonts w:ascii="Arial" w:hAnsi="Arial"/>
                <w:sz w:val="18"/>
              </w:rPr>
              <w:t xml:space="preserve">Dowel-bar retrofit </w:t>
            </w:r>
          </w:p>
        </w:tc>
        <w:tc>
          <w:tcPr>
            <w:tcW w:w="2160" w:type="dxa"/>
            <w:tcBorders>
              <w:left w:val="nil"/>
            </w:tcBorders>
            <w:shd w:val="clear" w:color="auto" w:fill="FFFFFF" w:themeFill="background1"/>
          </w:tcPr>
          <w:p w14:paraId="07FF2F01"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Joint sealing</w:t>
            </w:r>
          </w:p>
          <w:p w14:paraId="63BADD8D"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Slab stabilization </w:t>
            </w:r>
          </w:p>
          <w:p w14:paraId="12D2602A"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Spall repair</w:t>
            </w:r>
          </w:p>
        </w:tc>
      </w:tr>
      <w:tr w:rsidR="00115674" w:rsidRPr="00C46A13" w14:paraId="3570244E" w14:textId="77777777" w:rsidTr="00B46187">
        <w:trPr>
          <w:trHeight w:val="480"/>
          <w:jc w:val="center"/>
        </w:trPr>
        <w:tc>
          <w:tcPr>
            <w:tcW w:w="1563" w:type="dxa"/>
            <w:vMerge w:val="restart"/>
            <w:shd w:val="clear" w:color="auto" w:fill="FFFFFF"/>
            <w:vAlign w:val="center"/>
          </w:tcPr>
          <w:p w14:paraId="7A40EA6F" w14:textId="77777777" w:rsidR="00BF10A0" w:rsidRPr="00A42B5F" w:rsidRDefault="00BF10A0" w:rsidP="00BE3F24">
            <w:pPr>
              <w:keepNext/>
              <w:keepLines/>
              <w:jc w:val="center"/>
              <w:rPr>
                <w:rFonts w:ascii="Arial" w:hAnsi="Arial"/>
                <w:b/>
                <w:sz w:val="18"/>
              </w:rPr>
            </w:pPr>
            <w:r w:rsidRPr="00A42B5F">
              <w:rPr>
                <w:rFonts w:ascii="Arial" w:hAnsi="Arial"/>
                <w:b/>
                <w:sz w:val="18"/>
              </w:rPr>
              <w:t>Reactive Maintenance</w:t>
            </w:r>
          </w:p>
        </w:tc>
        <w:tc>
          <w:tcPr>
            <w:tcW w:w="1440" w:type="dxa"/>
            <w:shd w:val="clear" w:color="auto" w:fill="FFFF00"/>
            <w:vAlign w:val="center"/>
          </w:tcPr>
          <w:p w14:paraId="276E8BF4" w14:textId="77777777" w:rsidR="00BF10A0" w:rsidRPr="00A42B5F" w:rsidRDefault="00BF10A0" w:rsidP="00BE3F24">
            <w:pPr>
              <w:keepNext/>
              <w:keepLines/>
              <w:jc w:val="center"/>
              <w:rPr>
                <w:rFonts w:ascii="Arial" w:hAnsi="Arial"/>
                <w:sz w:val="18"/>
              </w:rPr>
            </w:pPr>
            <w:r w:rsidRPr="00A42B5F">
              <w:rPr>
                <w:rFonts w:ascii="Arial" w:hAnsi="Arial"/>
                <w:sz w:val="18"/>
              </w:rPr>
              <w:t>Routine Maintenance</w:t>
            </w:r>
          </w:p>
        </w:tc>
        <w:tc>
          <w:tcPr>
            <w:tcW w:w="502" w:type="dxa"/>
            <w:shd w:val="clear" w:color="auto" w:fill="FFFFFF" w:themeFill="background1"/>
            <w:vAlign w:val="center"/>
          </w:tcPr>
          <w:p w14:paraId="56FBCB35" w14:textId="77777777" w:rsidR="00BF10A0" w:rsidRPr="00A42B5F" w:rsidRDefault="00BF10A0" w:rsidP="00BE3F24">
            <w:pPr>
              <w:keepNext/>
              <w:keepLines/>
              <w:jc w:val="center"/>
              <w:rPr>
                <w:rFonts w:ascii="Arial" w:hAnsi="Arial"/>
                <w:sz w:val="18"/>
              </w:rPr>
            </w:pPr>
          </w:p>
        </w:tc>
        <w:tc>
          <w:tcPr>
            <w:tcW w:w="540" w:type="dxa"/>
            <w:shd w:val="clear" w:color="auto" w:fill="FFFFFF" w:themeFill="background1"/>
            <w:vAlign w:val="center"/>
          </w:tcPr>
          <w:p w14:paraId="14AF999B" w14:textId="77777777" w:rsidR="00BF10A0" w:rsidRPr="00A42B5F" w:rsidRDefault="00BF10A0" w:rsidP="00BE3F24">
            <w:pPr>
              <w:keepNext/>
              <w:keepLines/>
              <w:jc w:val="center"/>
              <w:rPr>
                <w:rFonts w:ascii="Arial" w:hAnsi="Arial"/>
                <w:sz w:val="18"/>
              </w:rPr>
            </w:pPr>
          </w:p>
        </w:tc>
        <w:tc>
          <w:tcPr>
            <w:tcW w:w="540" w:type="dxa"/>
            <w:shd w:val="clear" w:color="auto" w:fill="FFFFFF" w:themeFill="background1"/>
            <w:vAlign w:val="center"/>
          </w:tcPr>
          <w:p w14:paraId="2FA4919F" w14:textId="77777777" w:rsidR="00BF10A0" w:rsidRPr="00A42B5F" w:rsidRDefault="00BF10A0" w:rsidP="00BE3F24">
            <w:pPr>
              <w:keepNext/>
              <w:keepLines/>
              <w:jc w:val="center"/>
              <w:rPr>
                <w:rFonts w:ascii="Arial" w:hAnsi="Arial"/>
                <w:sz w:val="18"/>
              </w:rPr>
            </w:pPr>
          </w:p>
        </w:tc>
        <w:tc>
          <w:tcPr>
            <w:tcW w:w="630" w:type="dxa"/>
            <w:shd w:val="clear" w:color="auto" w:fill="FFFFFF" w:themeFill="background1"/>
            <w:vAlign w:val="center"/>
          </w:tcPr>
          <w:p w14:paraId="57735115"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760" w:type="dxa"/>
            <w:gridSpan w:val="4"/>
            <w:shd w:val="clear" w:color="auto" w:fill="FFFFFF" w:themeFill="background1"/>
            <w:vAlign w:val="center"/>
          </w:tcPr>
          <w:p w14:paraId="7DFA880A" w14:textId="77777777" w:rsidR="001A15B9" w:rsidRPr="00A42B5F" w:rsidRDefault="003C63B9" w:rsidP="00557A8B">
            <w:pPr>
              <w:pStyle w:val="ListParagraph"/>
              <w:keepNext/>
              <w:keepLines/>
              <w:numPr>
                <w:ilvl w:val="0"/>
                <w:numId w:val="29"/>
              </w:numPr>
              <w:rPr>
                <w:rFonts w:ascii="Arial" w:hAnsi="Arial"/>
                <w:sz w:val="18"/>
              </w:rPr>
            </w:pPr>
            <w:r w:rsidRPr="00A42B5F">
              <w:rPr>
                <w:rFonts w:ascii="Arial" w:hAnsi="Arial"/>
                <w:sz w:val="18"/>
              </w:rPr>
              <w:t>Crack Fill/Crack Seal</w:t>
            </w:r>
          </w:p>
          <w:p w14:paraId="0F41D9AD"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Cleaning of roadside ditches and structures</w:t>
            </w:r>
          </w:p>
          <w:p w14:paraId="6C488701"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 xml:space="preserve">Pothole patching </w:t>
            </w:r>
          </w:p>
        </w:tc>
      </w:tr>
      <w:tr w:rsidR="00115674" w:rsidRPr="00C46A13" w14:paraId="5F4DE929" w14:textId="77777777" w:rsidTr="00B46187">
        <w:trPr>
          <w:trHeight w:val="402"/>
          <w:jc w:val="center"/>
        </w:trPr>
        <w:tc>
          <w:tcPr>
            <w:tcW w:w="1563" w:type="dxa"/>
            <w:vMerge/>
            <w:shd w:val="clear" w:color="auto" w:fill="FFFFFF"/>
            <w:vAlign w:val="center"/>
          </w:tcPr>
          <w:p w14:paraId="2A2D9064" w14:textId="77777777" w:rsidR="00BF10A0" w:rsidRPr="00A42B5F" w:rsidRDefault="00BF10A0" w:rsidP="00BE3F24">
            <w:pPr>
              <w:keepNext/>
              <w:keepLines/>
              <w:jc w:val="center"/>
              <w:rPr>
                <w:rFonts w:ascii="Arial" w:hAnsi="Arial"/>
                <w:b/>
                <w:sz w:val="18"/>
              </w:rPr>
            </w:pPr>
          </w:p>
        </w:tc>
        <w:tc>
          <w:tcPr>
            <w:tcW w:w="1440" w:type="dxa"/>
            <w:shd w:val="clear" w:color="auto" w:fill="FFFFFF"/>
            <w:vAlign w:val="center"/>
          </w:tcPr>
          <w:p w14:paraId="31090DD1" w14:textId="77777777" w:rsidR="00BF10A0" w:rsidRPr="00A42B5F" w:rsidRDefault="00BF10A0" w:rsidP="00BE3F24">
            <w:pPr>
              <w:keepNext/>
              <w:keepLines/>
              <w:jc w:val="center"/>
              <w:rPr>
                <w:rFonts w:ascii="Arial" w:hAnsi="Arial"/>
                <w:sz w:val="18"/>
              </w:rPr>
            </w:pPr>
            <w:r w:rsidRPr="00A42B5F">
              <w:rPr>
                <w:rFonts w:ascii="Arial" w:hAnsi="Arial"/>
                <w:sz w:val="18"/>
              </w:rPr>
              <w:t>Corrective Maintenance</w:t>
            </w:r>
          </w:p>
        </w:tc>
        <w:tc>
          <w:tcPr>
            <w:tcW w:w="502" w:type="dxa"/>
            <w:shd w:val="clear" w:color="auto" w:fill="FFFFFF"/>
            <w:vAlign w:val="center"/>
          </w:tcPr>
          <w:p w14:paraId="4363DB53" w14:textId="77777777" w:rsidR="00BF10A0" w:rsidRPr="00A42B5F" w:rsidRDefault="00BF10A0" w:rsidP="00BE3F24">
            <w:pPr>
              <w:keepNext/>
              <w:keepLines/>
              <w:jc w:val="center"/>
              <w:rPr>
                <w:rFonts w:ascii="Arial" w:hAnsi="Arial"/>
                <w:sz w:val="18"/>
              </w:rPr>
            </w:pPr>
          </w:p>
        </w:tc>
        <w:tc>
          <w:tcPr>
            <w:tcW w:w="540" w:type="dxa"/>
            <w:shd w:val="clear" w:color="auto" w:fill="FFFFFF"/>
            <w:vAlign w:val="center"/>
          </w:tcPr>
          <w:p w14:paraId="68E1D52B" w14:textId="77777777" w:rsidR="00BF10A0" w:rsidRPr="00A42B5F" w:rsidRDefault="00BF10A0" w:rsidP="00BE3F24">
            <w:pPr>
              <w:keepNext/>
              <w:keepLines/>
              <w:jc w:val="center"/>
              <w:rPr>
                <w:rFonts w:ascii="Arial" w:hAnsi="Arial"/>
                <w:sz w:val="18"/>
              </w:rPr>
            </w:pPr>
          </w:p>
        </w:tc>
        <w:tc>
          <w:tcPr>
            <w:tcW w:w="540" w:type="dxa"/>
            <w:shd w:val="clear" w:color="auto" w:fill="FFFFFF"/>
            <w:vAlign w:val="center"/>
          </w:tcPr>
          <w:p w14:paraId="3ABBC08B" w14:textId="77777777" w:rsidR="00BF10A0" w:rsidRPr="00A42B5F" w:rsidRDefault="00BF10A0" w:rsidP="00BE3F24">
            <w:pPr>
              <w:keepNext/>
              <w:keepLines/>
              <w:jc w:val="center"/>
              <w:rPr>
                <w:rFonts w:ascii="Arial" w:hAnsi="Arial"/>
                <w:sz w:val="18"/>
              </w:rPr>
            </w:pPr>
          </w:p>
        </w:tc>
        <w:tc>
          <w:tcPr>
            <w:tcW w:w="630" w:type="dxa"/>
            <w:shd w:val="clear" w:color="auto" w:fill="FFFFFF"/>
            <w:vAlign w:val="center"/>
          </w:tcPr>
          <w:p w14:paraId="4FD659E1"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5760" w:type="dxa"/>
            <w:gridSpan w:val="4"/>
            <w:shd w:val="clear" w:color="auto" w:fill="FFFFFF"/>
            <w:vAlign w:val="center"/>
          </w:tcPr>
          <w:p w14:paraId="6D42EE38"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Pothole repair</w:t>
            </w:r>
          </w:p>
          <w:p w14:paraId="3BB9C03F" w14:textId="3BF78695"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Patching of localized pavement deterioration, e.g</w:t>
            </w:r>
            <w:r w:rsidRPr="007C2B36">
              <w:rPr>
                <w:rFonts w:ascii="Arial" w:hAnsi="Arial" w:cs="Arial"/>
                <w:sz w:val="18"/>
                <w:szCs w:val="18"/>
              </w:rPr>
              <w:t>.</w:t>
            </w:r>
            <w:r w:rsidR="00B46187">
              <w:rPr>
                <w:rFonts w:ascii="Arial" w:hAnsi="Arial" w:cs="Arial"/>
                <w:sz w:val="18"/>
                <w:szCs w:val="18"/>
              </w:rPr>
              <w:t>,</w:t>
            </w:r>
            <w:r w:rsidRPr="00A42B5F">
              <w:rPr>
                <w:rFonts w:ascii="Arial" w:hAnsi="Arial"/>
                <w:sz w:val="18"/>
              </w:rPr>
              <w:t xml:space="preserve"> edge failures and/or grade separations along the shoulders</w:t>
            </w:r>
          </w:p>
          <w:p w14:paraId="60110BEC"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Concrete joint replacement or joint sealing</w:t>
            </w:r>
          </w:p>
          <w:p w14:paraId="0903512D"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Concrete full-width and depth slab replacement at isolated locations</w:t>
            </w:r>
          </w:p>
        </w:tc>
      </w:tr>
      <w:tr w:rsidR="00115674" w:rsidRPr="00C46A13" w14:paraId="664309E0" w14:textId="77777777" w:rsidTr="00B46187">
        <w:trPr>
          <w:trHeight w:val="402"/>
          <w:jc w:val="center"/>
        </w:trPr>
        <w:tc>
          <w:tcPr>
            <w:tcW w:w="1563" w:type="dxa"/>
            <w:vMerge/>
            <w:shd w:val="clear" w:color="auto" w:fill="FFFFFF"/>
            <w:vAlign w:val="center"/>
          </w:tcPr>
          <w:p w14:paraId="4AF6C47A" w14:textId="77777777" w:rsidR="00BF10A0" w:rsidRPr="00A42B5F" w:rsidRDefault="00BF10A0" w:rsidP="00BE3F24">
            <w:pPr>
              <w:keepNext/>
              <w:keepLines/>
              <w:jc w:val="center"/>
              <w:rPr>
                <w:rFonts w:ascii="Arial" w:hAnsi="Arial"/>
                <w:sz w:val="18"/>
              </w:rPr>
            </w:pPr>
          </w:p>
        </w:tc>
        <w:tc>
          <w:tcPr>
            <w:tcW w:w="1440" w:type="dxa"/>
            <w:shd w:val="clear" w:color="auto" w:fill="FFFFFF"/>
            <w:vAlign w:val="center"/>
          </w:tcPr>
          <w:p w14:paraId="77DC5C73" w14:textId="77777777" w:rsidR="00BF10A0" w:rsidRPr="00A42B5F" w:rsidRDefault="00BF10A0" w:rsidP="00BE3F24">
            <w:pPr>
              <w:keepNext/>
              <w:keepLines/>
              <w:jc w:val="center"/>
              <w:rPr>
                <w:rFonts w:ascii="Arial" w:hAnsi="Arial"/>
                <w:sz w:val="18"/>
              </w:rPr>
            </w:pPr>
            <w:r w:rsidRPr="00A42B5F">
              <w:rPr>
                <w:rFonts w:ascii="Arial" w:hAnsi="Arial"/>
                <w:sz w:val="18"/>
              </w:rPr>
              <w:t>Catastrophic Maintenance</w:t>
            </w:r>
          </w:p>
        </w:tc>
        <w:tc>
          <w:tcPr>
            <w:tcW w:w="502" w:type="dxa"/>
            <w:shd w:val="clear" w:color="auto" w:fill="FFFFFF"/>
            <w:vAlign w:val="center"/>
          </w:tcPr>
          <w:p w14:paraId="5BD3A9B4" w14:textId="77777777" w:rsidR="00BF10A0" w:rsidRPr="00A42B5F" w:rsidRDefault="00BF10A0" w:rsidP="00BE3F24">
            <w:pPr>
              <w:keepNext/>
              <w:keepLines/>
              <w:jc w:val="center"/>
              <w:rPr>
                <w:rFonts w:ascii="Arial" w:hAnsi="Arial"/>
                <w:sz w:val="18"/>
              </w:rPr>
            </w:pPr>
          </w:p>
        </w:tc>
        <w:tc>
          <w:tcPr>
            <w:tcW w:w="540" w:type="dxa"/>
            <w:shd w:val="clear" w:color="auto" w:fill="FFFFFF"/>
            <w:vAlign w:val="center"/>
          </w:tcPr>
          <w:p w14:paraId="62223707" w14:textId="77777777" w:rsidR="00BF10A0" w:rsidRPr="00A42B5F" w:rsidRDefault="00BF10A0" w:rsidP="00BE3F24">
            <w:pPr>
              <w:keepNext/>
              <w:keepLines/>
              <w:jc w:val="center"/>
              <w:rPr>
                <w:rFonts w:ascii="Arial" w:hAnsi="Arial"/>
                <w:sz w:val="18"/>
              </w:rPr>
            </w:pPr>
          </w:p>
        </w:tc>
        <w:tc>
          <w:tcPr>
            <w:tcW w:w="540" w:type="dxa"/>
            <w:shd w:val="clear" w:color="auto" w:fill="FFFFFF"/>
            <w:vAlign w:val="center"/>
          </w:tcPr>
          <w:p w14:paraId="55A6032C" w14:textId="77777777" w:rsidR="00BF10A0" w:rsidRPr="00A42B5F" w:rsidRDefault="00BF10A0" w:rsidP="00BE3F24">
            <w:pPr>
              <w:keepNext/>
              <w:keepLines/>
              <w:jc w:val="center"/>
              <w:rPr>
                <w:rFonts w:ascii="Arial" w:hAnsi="Arial"/>
                <w:sz w:val="18"/>
              </w:rPr>
            </w:pPr>
          </w:p>
        </w:tc>
        <w:tc>
          <w:tcPr>
            <w:tcW w:w="630" w:type="dxa"/>
            <w:shd w:val="clear" w:color="auto" w:fill="FFFFFF"/>
            <w:vAlign w:val="center"/>
          </w:tcPr>
          <w:p w14:paraId="5CD4A3F2" w14:textId="77777777" w:rsidR="00BF10A0" w:rsidRPr="00A42B5F" w:rsidRDefault="00BF10A0" w:rsidP="00BE3F24">
            <w:pPr>
              <w:keepNext/>
              <w:keepLines/>
              <w:jc w:val="center"/>
              <w:rPr>
                <w:rFonts w:ascii="Arial" w:hAnsi="Arial"/>
                <w:sz w:val="18"/>
              </w:rPr>
            </w:pPr>
            <w:r w:rsidRPr="00A42B5F">
              <w:rPr>
                <w:rFonts w:ascii="Arial" w:hAnsi="Arial"/>
                <w:sz w:val="18"/>
              </w:rPr>
              <w:t>X</w:t>
            </w:r>
          </w:p>
        </w:tc>
        <w:tc>
          <w:tcPr>
            <w:tcW w:w="3203" w:type="dxa"/>
            <w:gridSpan w:val="2"/>
            <w:shd w:val="clear" w:color="auto" w:fill="FFFFFF"/>
            <w:vAlign w:val="center"/>
          </w:tcPr>
          <w:p w14:paraId="64A26982"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Sinkholes</w:t>
            </w:r>
          </w:p>
          <w:p w14:paraId="45B67DF6"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Water-main breaks</w:t>
            </w:r>
          </w:p>
          <w:p w14:paraId="050B2920"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Concrete pavement blow-ups</w:t>
            </w:r>
          </w:p>
        </w:tc>
        <w:tc>
          <w:tcPr>
            <w:tcW w:w="2557" w:type="dxa"/>
            <w:gridSpan w:val="2"/>
            <w:shd w:val="clear" w:color="auto" w:fill="FFFFFF"/>
            <w:vAlign w:val="center"/>
          </w:tcPr>
          <w:p w14:paraId="1835738A"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Road washouts</w:t>
            </w:r>
          </w:p>
          <w:p w14:paraId="559E307A"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Avalanches</w:t>
            </w:r>
          </w:p>
          <w:p w14:paraId="30B68CC4" w14:textId="77777777" w:rsidR="001A15B9" w:rsidRPr="00A42B5F" w:rsidRDefault="00BF10A0" w:rsidP="00557A8B">
            <w:pPr>
              <w:pStyle w:val="ListParagraph"/>
              <w:keepNext/>
              <w:keepLines/>
              <w:numPr>
                <w:ilvl w:val="0"/>
                <w:numId w:val="29"/>
              </w:numPr>
              <w:rPr>
                <w:rFonts w:ascii="Arial" w:hAnsi="Arial"/>
                <w:sz w:val="18"/>
              </w:rPr>
            </w:pPr>
            <w:r w:rsidRPr="00A42B5F">
              <w:rPr>
                <w:rFonts w:ascii="Arial" w:hAnsi="Arial"/>
                <w:sz w:val="18"/>
              </w:rPr>
              <w:t>Rockslides</w:t>
            </w:r>
          </w:p>
        </w:tc>
      </w:tr>
    </w:tbl>
    <w:p w14:paraId="01E82685" w14:textId="4B662E76" w:rsidR="00B46187" w:rsidRDefault="00BF10A0" w:rsidP="00BE3F24">
      <w:pPr>
        <w:jc w:val="both"/>
        <w:rPr>
          <w:rFonts w:ascii="Arial" w:hAnsi="Arial" w:cs="Arial"/>
          <w:sz w:val="18"/>
          <w:szCs w:val="18"/>
        </w:rPr>
      </w:pPr>
      <w:r w:rsidRPr="00B46187">
        <w:rPr>
          <w:rFonts w:ascii="Arial" w:hAnsi="Arial" w:cs="Arial"/>
          <w:sz w:val="18"/>
          <w:szCs w:val="18"/>
        </w:rPr>
        <w:t xml:space="preserve">Note: </w:t>
      </w:r>
    </w:p>
    <w:p w14:paraId="34DECBF0" w14:textId="0528FB3A" w:rsidR="00BF10A0" w:rsidRPr="00A42B5F" w:rsidRDefault="00B46187" w:rsidP="00A42B5F">
      <w:pPr>
        <w:ind w:left="360" w:hanging="360"/>
        <w:rPr>
          <w:rFonts w:ascii="Arial" w:hAnsi="Arial"/>
          <w:sz w:val="18"/>
        </w:rPr>
      </w:pPr>
      <w:r w:rsidRPr="00A42B5F">
        <w:rPr>
          <w:rFonts w:ascii="Arial" w:hAnsi="Arial"/>
          <w:sz w:val="18"/>
        </w:rPr>
        <w:t>(1)</w:t>
      </w:r>
      <w:r>
        <w:rPr>
          <w:rFonts w:ascii="Arial" w:hAnsi="Arial" w:cs="Arial"/>
          <w:sz w:val="18"/>
          <w:szCs w:val="18"/>
        </w:rPr>
        <w:tab/>
      </w:r>
      <w:r w:rsidR="00BF10A0" w:rsidRPr="00A42B5F">
        <w:rPr>
          <w:rFonts w:ascii="Arial" w:hAnsi="Arial"/>
          <w:sz w:val="18"/>
        </w:rPr>
        <w:t>Highlighted areas (Major Rehabilitation, Structural Overlay, Minor Rehabilitation</w:t>
      </w:r>
      <w:r w:rsidR="003C63B9" w:rsidRPr="00A42B5F">
        <w:rPr>
          <w:rFonts w:ascii="Arial" w:hAnsi="Arial"/>
          <w:sz w:val="18"/>
        </w:rPr>
        <w:t>,</w:t>
      </w:r>
      <w:r w:rsidR="00BF10A0" w:rsidRPr="00A42B5F">
        <w:rPr>
          <w:rFonts w:ascii="Arial" w:hAnsi="Arial"/>
          <w:sz w:val="18"/>
        </w:rPr>
        <w:t xml:space="preserve"> Preventative Maintenance</w:t>
      </w:r>
      <w:r w:rsidR="003C63B9" w:rsidRPr="00A42B5F">
        <w:rPr>
          <w:rFonts w:ascii="Arial" w:hAnsi="Arial"/>
          <w:sz w:val="18"/>
        </w:rPr>
        <w:t xml:space="preserve"> and Routine Maintenance</w:t>
      </w:r>
      <w:r w:rsidR="00BF10A0" w:rsidRPr="00A42B5F">
        <w:rPr>
          <w:rFonts w:ascii="Arial" w:hAnsi="Arial"/>
          <w:sz w:val="18"/>
        </w:rPr>
        <w:t xml:space="preserve">) are those </w:t>
      </w:r>
      <w:r w:rsidR="003C63B9" w:rsidRPr="00A42B5F">
        <w:rPr>
          <w:rFonts w:ascii="Arial" w:hAnsi="Arial"/>
          <w:sz w:val="18"/>
        </w:rPr>
        <w:t>eligible to be programmatically</w:t>
      </w:r>
      <w:r w:rsidR="00BF10A0" w:rsidRPr="00A42B5F">
        <w:rPr>
          <w:rFonts w:ascii="Arial" w:hAnsi="Arial"/>
          <w:sz w:val="18"/>
        </w:rPr>
        <w:t xml:space="preserve"> addressed by Fund 77.</w:t>
      </w:r>
    </w:p>
    <w:p w14:paraId="62428FCD" w14:textId="77777777" w:rsidR="009A7323" w:rsidRDefault="009A7323" w:rsidP="00BE3F24">
      <w:pPr>
        <w:jc w:val="both"/>
      </w:pPr>
    </w:p>
    <w:p w14:paraId="2E938E9B" w14:textId="77777777" w:rsidR="00DA6948" w:rsidRDefault="00DA6948" w:rsidP="00BE3F24">
      <w:pPr>
        <w:jc w:val="both"/>
      </w:pPr>
    </w:p>
    <w:p w14:paraId="6DD28FB2" w14:textId="77777777" w:rsidR="00DA6948" w:rsidRDefault="00DA6948" w:rsidP="00BE3F24">
      <w:pPr>
        <w:jc w:val="both"/>
      </w:pPr>
    </w:p>
    <w:p w14:paraId="41DF9321" w14:textId="77777777" w:rsidR="009A7323" w:rsidRDefault="009A7323" w:rsidP="00BE3F24">
      <w:pPr>
        <w:jc w:val="both"/>
      </w:pPr>
    </w:p>
    <w:p w14:paraId="7584C78B" w14:textId="77777777" w:rsidR="00B46187" w:rsidRDefault="00B46187">
      <w:pPr>
        <w:rPr>
          <w:rFonts w:ascii="Arial" w:hAnsi="Arial"/>
          <w:b/>
          <w:i/>
          <w:sz w:val="24"/>
        </w:rPr>
      </w:pPr>
      <w:bookmarkStart w:id="678" w:name="_Toc277937890"/>
      <w:r>
        <w:br w:type="page"/>
      </w:r>
    </w:p>
    <w:p w14:paraId="391C2F62" w14:textId="30D4F9ED" w:rsidR="00BF10A0" w:rsidRPr="00857440" w:rsidRDefault="00BF10A0" w:rsidP="00172E64">
      <w:pPr>
        <w:pStyle w:val="Heading4"/>
        <w:numPr>
          <w:ilvl w:val="3"/>
          <w:numId w:val="185"/>
        </w:numPr>
        <w:ind w:left="0" w:firstLine="0"/>
        <w:rPr>
          <w:bCs/>
        </w:rPr>
      </w:pPr>
      <w:r w:rsidRPr="00857440">
        <w:lastRenderedPageBreak/>
        <w:t>Structural Rehabilitation Terms</w:t>
      </w:r>
      <w:bookmarkEnd w:id="678"/>
    </w:p>
    <w:p w14:paraId="095286A4" w14:textId="77777777" w:rsidR="00BF10A0" w:rsidRPr="00C46A13" w:rsidRDefault="00BF10A0" w:rsidP="00BE3F24">
      <w:pPr>
        <w:jc w:val="both"/>
        <w:rPr>
          <w:b/>
        </w:rPr>
      </w:pPr>
    </w:p>
    <w:p w14:paraId="3E03F25B" w14:textId="77777777" w:rsidR="00BF10A0" w:rsidRPr="00C46A13" w:rsidRDefault="00BF10A0" w:rsidP="00172E64">
      <w:pPr>
        <w:pStyle w:val="Heading5"/>
        <w:numPr>
          <w:ilvl w:val="4"/>
          <w:numId w:val="185"/>
        </w:numPr>
        <w:ind w:left="0" w:firstLine="0"/>
      </w:pPr>
      <w:r w:rsidRPr="003F7490">
        <w:t>Major (Heavy) Rehabilitation</w:t>
      </w:r>
    </w:p>
    <w:p w14:paraId="3875706A" w14:textId="77777777" w:rsidR="00BF10A0" w:rsidRPr="009D63F8" w:rsidRDefault="00BF10A0" w:rsidP="00BE3F24">
      <w:pPr>
        <w:jc w:val="both"/>
        <w:rPr>
          <w:rFonts w:ascii="Arial" w:hAnsi="Arial" w:cs="Arial"/>
          <w:sz w:val="22"/>
          <w:szCs w:val="22"/>
        </w:rPr>
      </w:pPr>
      <w:r w:rsidRPr="009D63F8">
        <w:rPr>
          <w:rFonts w:ascii="Arial" w:hAnsi="Arial" w:cs="Arial"/>
          <w:sz w:val="22"/>
          <w:szCs w:val="22"/>
        </w:rPr>
        <w:t>Major Rehabilitation consists of significant, deep repair to existing pavement, generally involving removing or significantly altering most of the pavement structure, without exposing the subgrade.  Major Rehabilitation includes items such as Cold In-Place Re</w:t>
      </w:r>
      <w:r w:rsidR="001F32D3">
        <w:rPr>
          <w:rFonts w:ascii="Arial" w:hAnsi="Arial" w:cs="Arial"/>
          <w:sz w:val="22"/>
          <w:szCs w:val="22"/>
        </w:rPr>
        <w:t>c</w:t>
      </w:r>
      <w:r w:rsidRPr="009D63F8">
        <w:rPr>
          <w:rFonts w:ascii="Arial" w:hAnsi="Arial" w:cs="Arial"/>
          <w:sz w:val="22"/>
          <w:szCs w:val="22"/>
        </w:rPr>
        <w:t xml:space="preserve">ycling, Break &amp; Seat and Overlay, and </w:t>
      </w:r>
      <w:r w:rsidRPr="00B46187">
        <w:rPr>
          <w:rFonts w:ascii="Arial" w:hAnsi="Arial" w:cs="Arial"/>
          <w:sz w:val="22"/>
          <w:szCs w:val="22"/>
        </w:rPr>
        <w:t>Rubblization and</w:t>
      </w:r>
      <w:r w:rsidRPr="009D63F8">
        <w:rPr>
          <w:rFonts w:ascii="Arial" w:hAnsi="Arial" w:cs="Arial"/>
          <w:sz w:val="22"/>
          <w:szCs w:val="22"/>
        </w:rPr>
        <w:t xml:space="preserve"> Overlay, among other items.</w:t>
      </w:r>
    </w:p>
    <w:p w14:paraId="0C6666CE" w14:textId="77777777" w:rsidR="00BF10A0" w:rsidRPr="00C46A13" w:rsidRDefault="00BF10A0" w:rsidP="00BE3F24">
      <w:pPr>
        <w:jc w:val="both"/>
      </w:pPr>
    </w:p>
    <w:p w14:paraId="4F82AD93" w14:textId="77777777" w:rsidR="00BF10A0" w:rsidRPr="003F7490" w:rsidRDefault="00BF10A0" w:rsidP="00172E64">
      <w:pPr>
        <w:pStyle w:val="Heading5"/>
        <w:numPr>
          <w:ilvl w:val="4"/>
          <w:numId w:val="185"/>
        </w:numPr>
        <w:ind w:left="0" w:firstLine="0"/>
      </w:pPr>
      <w:r w:rsidRPr="003F7490">
        <w:t>Structural Overlay</w:t>
      </w:r>
    </w:p>
    <w:p w14:paraId="6349B7D8" w14:textId="4ECD1284" w:rsidR="00BF10A0" w:rsidRPr="009D63F8" w:rsidRDefault="00BF10A0" w:rsidP="00BE3F24">
      <w:pPr>
        <w:jc w:val="both"/>
        <w:rPr>
          <w:rFonts w:ascii="Arial" w:hAnsi="Arial" w:cs="Arial"/>
          <w:sz w:val="22"/>
          <w:szCs w:val="22"/>
        </w:rPr>
      </w:pPr>
      <w:r w:rsidRPr="009D63F8">
        <w:rPr>
          <w:rFonts w:ascii="Arial" w:hAnsi="Arial" w:cs="Arial"/>
          <w:sz w:val="22"/>
          <w:szCs w:val="22"/>
        </w:rPr>
        <w:t xml:space="preserve">An overlay whose intention is to improve the structural capacity of the pavement.  Any overlay or </w:t>
      </w:r>
      <w:r w:rsidR="00B913D8">
        <w:rPr>
          <w:rFonts w:ascii="Arial" w:hAnsi="Arial" w:cs="Arial"/>
          <w:sz w:val="22"/>
          <w:szCs w:val="22"/>
        </w:rPr>
        <w:t>mill</w:t>
      </w:r>
      <w:r w:rsidRPr="009D63F8">
        <w:rPr>
          <w:rFonts w:ascii="Arial" w:hAnsi="Arial" w:cs="Arial"/>
          <w:sz w:val="22"/>
          <w:szCs w:val="22"/>
        </w:rPr>
        <w:t>/overlay combination that adds more than 1.5</w:t>
      </w:r>
      <w:r w:rsidR="00B46187">
        <w:rPr>
          <w:rFonts w:ascii="Arial" w:hAnsi="Arial" w:cs="Arial"/>
          <w:sz w:val="22"/>
          <w:szCs w:val="22"/>
        </w:rPr>
        <w:t>"</w:t>
      </w:r>
      <w:r w:rsidRPr="009D63F8">
        <w:rPr>
          <w:rFonts w:ascii="Arial" w:hAnsi="Arial" w:cs="Arial"/>
          <w:sz w:val="22"/>
          <w:szCs w:val="22"/>
        </w:rPr>
        <w:t xml:space="preserve"> to the total bound structure is considered structural.  Alternatively, if more than 5% of the project area has fatigue distress that require</w:t>
      </w:r>
      <w:r w:rsidR="00B46187">
        <w:rPr>
          <w:rFonts w:ascii="Arial" w:hAnsi="Arial" w:cs="Arial"/>
          <w:sz w:val="22"/>
          <w:szCs w:val="22"/>
        </w:rPr>
        <w:t>s</w:t>
      </w:r>
      <w:r w:rsidRPr="009D63F8">
        <w:rPr>
          <w:rFonts w:ascii="Arial" w:hAnsi="Arial" w:cs="Arial"/>
          <w:sz w:val="22"/>
          <w:szCs w:val="22"/>
        </w:rPr>
        <w:t xml:space="preserve"> patching, it is also considered a structural overlay.</w:t>
      </w:r>
    </w:p>
    <w:p w14:paraId="1E1EB256" w14:textId="77777777" w:rsidR="00BF10A0" w:rsidRDefault="00BF10A0" w:rsidP="00BE3F24">
      <w:pPr>
        <w:jc w:val="both"/>
        <w:rPr>
          <w:b/>
        </w:rPr>
      </w:pPr>
    </w:p>
    <w:p w14:paraId="1AAC510E" w14:textId="77777777" w:rsidR="00BF10A0" w:rsidRPr="00C46A13" w:rsidRDefault="00BF10A0" w:rsidP="00172E64">
      <w:pPr>
        <w:pStyle w:val="Heading5"/>
        <w:numPr>
          <w:ilvl w:val="4"/>
          <w:numId w:val="185"/>
        </w:numPr>
        <w:ind w:left="0" w:firstLine="0"/>
      </w:pPr>
      <w:r w:rsidRPr="00C46A13">
        <w:t>Fatigue Distress (to determine whether Structural Overlay or not)</w:t>
      </w:r>
    </w:p>
    <w:p w14:paraId="24558531" w14:textId="71EAD210" w:rsidR="00142C0D" w:rsidRPr="009D63F8" w:rsidRDefault="00BF10A0" w:rsidP="00BE3F24">
      <w:pPr>
        <w:jc w:val="both"/>
        <w:rPr>
          <w:rFonts w:ascii="Arial" w:hAnsi="Arial" w:cs="Arial"/>
          <w:sz w:val="22"/>
          <w:szCs w:val="22"/>
        </w:rPr>
      </w:pPr>
      <w:r w:rsidRPr="009D63F8">
        <w:rPr>
          <w:rFonts w:ascii="Arial" w:hAnsi="Arial" w:cs="Arial"/>
          <w:sz w:val="22"/>
          <w:szCs w:val="22"/>
        </w:rPr>
        <w:t>Fatigue distress</w:t>
      </w:r>
      <w:r w:rsidR="009071A3">
        <w:rPr>
          <w:rFonts w:ascii="Arial" w:hAnsi="Arial" w:cs="Arial"/>
          <w:sz w:val="22"/>
          <w:szCs w:val="22"/>
        </w:rPr>
        <w:t xml:space="preserve"> is</w:t>
      </w:r>
      <w:r w:rsidRPr="009D63F8">
        <w:rPr>
          <w:rFonts w:ascii="Arial" w:hAnsi="Arial" w:cs="Arial"/>
          <w:sz w:val="22"/>
          <w:szCs w:val="22"/>
        </w:rPr>
        <w:t xml:space="preserve"> pavement distress caused by a combination of poor subgrade support, thin/weak pavement structure, and/or applied loads that exceed the capacity of the structure.  Fatigue distress typically start</w:t>
      </w:r>
      <w:r w:rsidR="00B46187">
        <w:rPr>
          <w:rFonts w:ascii="Arial" w:hAnsi="Arial" w:cs="Arial"/>
          <w:sz w:val="22"/>
          <w:szCs w:val="22"/>
        </w:rPr>
        <w:t>s</w:t>
      </w:r>
      <w:r w:rsidRPr="009D63F8">
        <w:rPr>
          <w:rFonts w:ascii="Arial" w:hAnsi="Arial" w:cs="Arial"/>
          <w:sz w:val="22"/>
          <w:szCs w:val="22"/>
        </w:rPr>
        <w:t xml:space="preserve"> at the bottom of the pavement and work</w:t>
      </w:r>
      <w:r w:rsidR="00B46187">
        <w:rPr>
          <w:rFonts w:ascii="Arial" w:hAnsi="Arial" w:cs="Arial"/>
          <w:sz w:val="22"/>
          <w:szCs w:val="22"/>
        </w:rPr>
        <w:t>s</w:t>
      </w:r>
      <w:r w:rsidRPr="009D63F8">
        <w:rPr>
          <w:rFonts w:ascii="Arial" w:hAnsi="Arial" w:cs="Arial"/>
          <w:sz w:val="22"/>
          <w:szCs w:val="22"/>
        </w:rPr>
        <w:t xml:space="preserve"> </w:t>
      </w:r>
      <w:r w:rsidR="00B46187">
        <w:rPr>
          <w:rFonts w:ascii="Arial" w:hAnsi="Arial" w:cs="Arial"/>
          <w:sz w:val="22"/>
          <w:szCs w:val="22"/>
        </w:rPr>
        <w:t>its</w:t>
      </w:r>
      <w:r w:rsidR="00B46187" w:rsidRPr="009D63F8">
        <w:rPr>
          <w:rFonts w:ascii="Arial" w:hAnsi="Arial" w:cs="Arial"/>
          <w:sz w:val="22"/>
          <w:szCs w:val="22"/>
        </w:rPr>
        <w:t xml:space="preserve"> </w:t>
      </w:r>
      <w:r w:rsidRPr="009D63F8">
        <w:rPr>
          <w:rFonts w:ascii="Arial" w:hAnsi="Arial" w:cs="Arial"/>
          <w:sz w:val="22"/>
          <w:szCs w:val="22"/>
        </w:rPr>
        <w:t xml:space="preserve">way up to the surface.  Because of this, the entire pavement thickness should be replaced during patch operations.  Fatigue distress predominantly shows up in the form of alligator cracking.  Refer to LTPP’s Distress </w:t>
      </w:r>
      <w:r w:rsidRPr="00142C0D">
        <w:rPr>
          <w:rFonts w:ascii="Arial" w:hAnsi="Arial" w:cs="Arial"/>
          <w:sz w:val="22"/>
          <w:szCs w:val="22"/>
        </w:rPr>
        <w:t>Identification Manual</w:t>
      </w:r>
      <w:r w:rsidR="009071A3" w:rsidRPr="009071A3">
        <w:rPr>
          <w:rFonts w:ascii="Arial" w:hAnsi="Arial" w:cs="Arial"/>
          <w:sz w:val="22"/>
          <w:szCs w:val="22"/>
          <w:vertAlign w:val="superscript"/>
        </w:rPr>
        <w:t>2</w:t>
      </w:r>
      <w:r w:rsidRPr="00142C0D">
        <w:rPr>
          <w:rFonts w:ascii="Arial" w:hAnsi="Arial" w:cs="Arial"/>
          <w:sz w:val="22"/>
          <w:szCs w:val="22"/>
          <w:vertAlign w:val="superscript"/>
        </w:rPr>
        <w:t xml:space="preserve"> </w:t>
      </w:r>
      <w:r w:rsidRPr="00142C0D">
        <w:rPr>
          <w:rFonts w:ascii="Arial" w:hAnsi="Arial" w:cs="Arial"/>
          <w:sz w:val="22"/>
          <w:szCs w:val="22"/>
        </w:rPr>
        <w:t>for descriptions</w:t>
      </w:r>
      <w:r w:rsidRPr="009D63F8">
        <w:rPr>
          <w:rFonts w:ascii="Arial" w:hAnsi="Arial" w:cs="Arial"/>
          <w:sz w:val="22"/>
          <w:szCs w:val="22"/>
        </w:rPr>
        <w:t xml:space="preserve"> of various distresses.</w:t>
      </w:r>
    </w:p>
    <w:p w14:paraId="3C196182" w14:textId="77777777" w:rsidR="00BF10A0" w:rsidRDefault="00BF10A0" w:rsidP="00BE3F24">
      <w:pPr>
        <w:jc w:val="both"/>
        <w:rPr>
          <w:b/>
        </w:rPr>
      </w:pPr>
    </w:p>
    <w:p w14:paraId="34BE8B66" w14:textId="77777777" w:rsidR="00BF10A0" w:rsidRDefault="00BF10A0" w:rsidP="00172E64">
      <w:pPr>
        <w:pStyle w:val="Heading4"/>
        <w:numPr>
          <w:ilvl w:val="3"/>
          <w:numId w:val="185"/>
        </w:numPr>
        <w:ind w:left="0" w:firstLine="0"/>
        <w:rPr>
          <w:bCs/>
        </w:rPr>
      </w:pPr>
      <w:bookmarkStart w:id="679" w:name="_Toc277937891"/>
      <w:r w:rsidRPr="00857440">
        <w:t>Pavement Preservation Terms</w:t>
      </w:r>
      <w:bookmarkEnd w:id="679"/>
      <w:r w:rsidRPr="00857440">
        <w:t xml:space="preserve"> </w:t>
      </w:r>
    </w:p>
    <w:p w14:paraId="0CF6935C" w14:textId="77777777" w:rsidR="00BF10A0" w:rsidRPr="00CF3248" w:rsidRDefault="00BF10A0" w:rsidP="00BE3F24"/>
    <w:p w14:paraId="6A7FF8F3" w14:textId="77777777" w:rsidR="00BF10A0" w:rsidRPr="003A379E" w:rsidRDefault="00BF10A0" w:rsidP="00172E64">
      <w:pPr>
        <w:pStyle w:val="Heading5"/>
        <w:numPr>
          <w:ilvl w:val="4"/>
          <w:numId w:val="185"/>
        </w:numPr>
        <w:ind w:left="0" w:firstLine="0"/>
      </w:pPr>
      <w:r w:rsidRPr="003A379E">
        <w:t>Minor (Light) Rehabilitation</w:t>
      </w:r>
    </w:p>
    <w:p w14:paraId="4A7E7BE3" w14:textId="33AE4C96" w:rsidR="00BF10A0" w:rsidRPr="009D63F8" w:rsidRDefault="00BF10A0" w:rsidP="00BE3F24">
      <w:pPr>
        <w:jc w:val="both"/>
        <w:rPr>
          <w:rFonts w:ascii="Arial" w:hAnsi="Arial" w:cs="Arial"/>
          <w:sz w:val="22"/>
          <w:szCs w:val="22"/>
        </w:rPr>
      </w:pPr>
      <w:r w:rsidRPr="009D63F8">
        <w:rPr>
          <w:rFonts w:ascii="Arial" w:hAnsi="Arial" w:cs="Arial"/>
          <w:sz w:val="22"/>
          <w:szCs w:val="22"/>
        </w:rPr>
        <w:t xml:space="preserve">Consists of </w:t>
      </w:r>
      <w:r w:rsidRPr="009D63F8">
        <w:rPr>
          <w:rFonts w:ascii="Arial" w:hAnsi="Arial" w:cs="Arial"/>
          <w:i/>
          <w:sz w:val="22"/>
          <w:szCs w:val="22"/>
        </w:rPr>
        <w:t>non-structural</w:t>
      </w:r>
      <w:r w:rsidRPr="009D63F8">
        <w:rPr>
          <w:rFonts w:ascii="Arial" w:hAnsi="Arial" w:cs="Arial"/>
          <w:sz w:val="22"/>
          <w:szCs w:val="22"/>
        </w:rPr>
        <w:t xml:space="preserve"> enhancements made to the existing pavement sections to eliminate age-related, top-down surface cracking that develop</w:t>
      </w:r>
      <w:r w:rsidR="00B46187">
        <w:rPr>
          <w:rFonts w:ascii="Arial" w:hAnsi="Arial" w:cs="Arial"/>
          <w:sz w:val="22"/>
          <w:szCs w:val="22"/>
        </w:rPr>
        <w:t>s</w:t>
      </w:r>
      <w:r w:rsidRPr="009D63F8">
        <w:rPr>
          <w:rFonts w:ascii="Arial" w:hAnsi="Arial" w:cs="Arial"/>
          <w:sz w:val="22"/>
          <w:szCs w:val="22"/>
        </w:rPr>
        <w:t xml:space="preserve"> in flexible pavements due to environmental exposure.  Because of the non-structural nature of minor rehabilitation techniques, these types of rehabilitation techniques are placed in the category of pavement preservation.  Rehabilitation is considered minor if the grade increase due to overlay or mill/overlay thickness is no more than 1.5</w:t>
      </w:r>
      <w:r w:rsidR="00B46187">
        <w:rPr>
          <w:rFonts w:ascii="Arial" w:hAnsi="Arial" w:cs="Arial"/>
          <w:sz w:val="22"/>
          <w:szCs w:val="22"/>
        </w:rPr>
        <w:t>"</w:t>
      </w:r>
      <w:r w:rsidRPr="009D63F8">
        <w:rPr>
          <w:rFonts w:ascii="Arial" w:hAnsi="Arial" w:cs="Arial"/>
          <w:sz w:val="22"/>
          <w:szCs w:val="22"/>
        </w:rPr>
        <w:t>, and the project receives less than 5% patching for structural distress.</w:t>
      </w:r>
    </w:p>
    <w:p w14:paraId="716385BC" w14:textId="77777777" w:rsidR="00BF10A0" w:rsidRPr="00C46A13" w:rsidRDefault="00BF10A0" w:rsidP="00BE3F24">
      <w:pPr>
        <w:jc w:val="both"/>
      </w:pPr>
    </w:p>
    <w:p w14:paraId="120E6813" w14:textId="77777777" w:rsidR="00BF10A0" w:rsidRPr="003A379E" w:rsidRDefault="00BF10A0" w:rsidP="00172E64">
      <w:pPr>
        <w:pStyle w:val="Heading5"/>
        <w:numPr>
          <w:ilvl w:val="4"/>
          <w:numId w:val="185"/>
        </w:numPr>
        <w:ind w:left="0" w:firstLine="0"/>
      </w:pPr>
      <w:r w:rsidRPr="003A379E">
        <w:t xml:space="preserve">Preventive Maintenance </w:t>
      </w:r>
    </w:p>
    <w:p w14:paraId="4DBB4E3C" w14:textId="77777777" w:rsidR="00BF10A0" w:rsidRPr="009D63F8" w:rsidRDefault="00BF10A0" w:rsidP="00BE3F24">
      <w:pPr>
        <w:jc w:val="both"/>
        <w:rPr>
          <w:rFonts w:ascii="Arial" w:hAnsi="Arial" w:cs="Arial"/>
          <w:sz w:val="22"/>
          <w:szCs w:val="22"/>
        </w:rPr>
      </w:pPr>
      <w:r w:rsidRPr="009D63F8">
        <w:rPr>
          <w:rFonts w:ascii="Arial" w:hAnsi="Arial" w:cs="Arial"/>
          <w:sz w:val="22"/>
          <w:szCs w:val="22"/>
        </w:rPr>
        <w:t xml:space="preserve">Consists of </w:t>
      </w:r>
      <w:r w:rsidRPr="009D63F8">
        <w:rPr>
          <w:rFonts w:ascii="Arial" w:hAnsi="Arial" w:cs="Arial"/>
          <w:i/>
          <w:sz w:val="22"/>
          <w:szCs w:val="22"/>
        </w:rPr>
        <w:t>planned</w:t>
      </w:r>
      <w:r w:rsidRPr="009D63F8">
        <w:rPr>
          <w:rFonts w:ascii="Arial" w:hAnsi="Arial" w:cs="Arial"/>
          <w:sz w:val="22"/>
          <w:szCs w:val="22"/>
        </w:rPr>
        <w:t xml:space="preserve"> maintenance treatments to structurally sound pavements, with the intent to preserve the system, retard future deterioration, and maintain or improve the functional condition.  As a major component of pavement preservation, preventive maintenance is a strategy of extending the service life by applying cost-effective treatments to the surface or near-surface of pavements in good condition having significant remaining service life.</w:t>
      </w:r>
    </w:p>
    <w:p w14:paraId="25B52984" w14:textId="77777777" w:rsidR="00BF10A0" w:rsidRPr="00C46A13" w:rsidRDefault="00BF10A0" w:rsidP="00BE3F24">
      <w:pPr>
        <w:jc w:val="both"/>
      </w:pPr>
    </w:p>
    <w:p w14:paraId="32067F00" w14:textId="408C7CBB" w:rsidR="00BF10A0" w:rsidRDefault="00BF10A0" w:rsidP="00BE3F24">
      <w:pPr>
        <w:jc w:val="both"/>
        <w:rPr>
          <w:rFonts w:ascii="Arial" w:hAnsi="Arial" w:cs="Arial"/>
          <w:sz w:val="22"/>
          <w:szCs w:val="22"/>
        </w:rPr>
      </w:pPr>
      <w:r w:rsidRPr="00F7434A">
        <w:rPr>
          <w:rFonts w:ascii="Arial" w:hAnsi="Arial" w:cs="Arial"/>
          <w:sz w:val="22"/>
          <w:szCs w:val="22"/>
        </w:rPr>
        <w:t xml:space="preserve">Examples of preventive treatments include asphalt crack sealing, chip sealing, slurry sealing or micro-surfacing, thin and ultra-thin hot-mix asphalt overlay, concrete joint sealing, diamond grinding, dowel-bar retrofit, and isolated, partial and/or full-depth patches to restore functionality of the pavement.  In </w:t>
      </w:r>
      <w:r w:rsidR="008C7023">
        <w:rPr>
          <w:rFonts w:ascii="Arial" w:hAnsi="Arial" w:cs="Arial"/>
          <w:sz w:val="22"/>
          <w:szCs w:val="22"/>
        </w:rPr>
        <w:t>MDOT-SHA</w:t>
      </w:r>
      <w:r w:rsidRPr="00F7434A">
        <w:rPr>
          <w:rFonts w:ascii="Arial" w:hAnsi="Arial" w:cs="Arial"/>
          <w:sz w:val="22"/>
          <w:szCs w:val="22"/>
        </w:rPr>
        <w:t>, Preventative Maintenance activities are performed by contractors, and are normally eligible for Federal-aid funding.</w:t>
      </w:r>
    </w:p>
    <w:p w14:paraId="6C755D85" w14:textId="77777777" w:rsidR="009071A3" w:rsidRDefault="009071A3" w:rsidP="00BE3F24">
      <w:pPr>
        <w:jc w:val="both"/>
        <w:rPr>
          <w:rFonts w:ascii="Arial" w:hAnsi="Arial" w:cs="Arial"/>
          <w:sz w:val="22"/>
          <w:szCs w:val="22"/>
        </w:rPr>
      </w:pPr>
    </w:p>
    <w:p w14:paraId="3E42F8DE" w14:textId="542185E4" w:rsidR="007674E1" w:rsidRPr="009071A3" w:rsidRDefault="009071A3" w:rsidP="00BE3F24">
      <w:pPr>
        <w:jc w:val="both"/>
        <w:rPr>
          <w:rFonts w:ascii="Arial" w:hAnsi="Arial" w:cs="Arial"/>
          <w:sz w:val="22"/>
          <w:szCs w:val="22"/>
        </w:rPr>
      </w:pPr>
      <w:r w:rsidRPr="009071A3">
        <w:rPr>
          <w:rFonts w:ascii="Arial" w:hAnsi="Arial" w:cs="Arial"/>
          <w:sz w:val="22"/>
          <w:szCs w:val="22"/>
        </w:rPr>
        <w:t>__________________</w:t>
      </w:r>
    </w:p>
    <w:p w14:paraId="6BF4C1D2" w14:textId="1D4C02DC" w:rsidR="009071A3" w:rsidRPr="00142C0D" w:rsidRDefault="009071A3" w:rsidP="009071A3">
      <w:pPr>
        <w:tabs>
          <w:tab w:val="left" w:pos="360"/>
        </w:tabs>
        <w:jc w:val="both"/>
        <w:rPr>
          <w:rFonts w:ascii="Arial" w:hAnsi="Arial" w:cs="Arial"/>
          <w:sz w:val="22"/>
          <w:szCs w:val="22"/>
        </w:rPr>
      </w:pPr>
      <w:r w:rsidRPr="003C2771">
        <w:rPr>
          <w:rFonts w:ascii="Calibri" w:hAnsi="Calibri" w:cs="Calibri"/>
          <w:vertAlign w:val="superscript"/>
        </w:rPr>
        <w:t xml:space="preserve">2 </w:t>
      </w:r>
      <w:r w:rsidRPr="003C2771">
        <w:rPr>
          <w:rFonts w:ascii="Calibri" w:hAnsi="Calibri" w:cs="Calibri"/>
        </w:rPr>
        <w:tab/>
      </w:r>
      <w:hyperlink r:id="rId347" w:history="1">
        <w:r w:rsidRPr="003C2771">
          <w:rPr>
            <w:rStyle w:val="Hyperlink"/>
            <w:rFonts w:ascii="Calibri" w:hAnsi="Calibri" w:cs="Calibri"/>
          </w:rPr>
          <w:t>https://www.fhwa.dot.gov/publications/research/infrastructure/pavements/ltpp/13092/13092.pdf</w:t>
        </w:r>
      </w:hyperlink>
      <w:r>
        <w:rPr>
          <w:rFonts w:ascii="Calibri" w:hAnsi="Calibri" w:cs="Calibri"/>
          <w:u w:val="single"/>
        </w:rPr>
        <w:t xml:space="preserve"> </w:t>
      </w:r>
    </w:p>
    <w:p w14:paraId="7E931760" w14:textId="77777777" w:rsidR="009071A3" w:rsidRPr="00F7434A" w:rsidRDefault="009071A3" w:rsidP="00BE3F24">
      <w:pPr>
        <w:jc w:val="both"/>
        <w:rPr>
          <w:rFonts w:ascii="Arial" w:hAnsi="Arial" w:cs="Arial"/>
          <w:sz w:val="22"/>
          <w:szCs w:val="22"/>
        </w:rPr>
      </w:pPr>
    </w:p>
    <w:p w14:paraId="2A523CA2" w14:textId="77777777" w:rsidR="00BF10A0" w:rsidRPr="00857440" w:rsidRDefault="00BF10A0" w:rsidP="00172E64">
      <w:pPr>
        <w:pStyle w:val="Heading4"/>
        <w:numPr>
          <w:ilvl w:val="3"/>
          <w:numId w:val="185"/>
        </w:numPr>
        <w:ind w:left="0" w:firstLine="0"/>
        <w:rPr>
          <w:bCs/>
        </w:rPr>
      </w:pPr>
      <w:bookmarkStart w:id="680" w:name="_Toc277937892"/>
      <w:r>
        <w:t>Reactive Maintenance</w:t>
      </w:r>
      <w:r w:rsidRPr="00857440">
        <w:t xml:space="preserve"> Terms</w:t>
      </w:r>
      <w:bookmarkEnd w:id="680"/>
      <w:r w:rsidRPr="00857440">
        <w:t xml:space="preserve"> </w:t>
      </w:r>
    </w:p>
    <w:p w14:paraId="2FECE07B" w14:textId="77777777" w:rsidR="00BF10A0" w:rsidRDefault="00BF10A0" w:rsidP="00BE3F24">
      <w:pPr>
        <w:jc w:val="both"/>
        <w:rPr>
          <w:b/>
        </w:rPr>
      </w:pPr>
    </w:p>
    <w:p w14:paraId="2D6C890E" w14:textId="77777777" w:rsidR="00BF10A0" w:rsidRPr="003A379E" w:rsidRDefault="00BF10A0" w:rsidP="00172E64">
      <w:pPr>
        <w:pStyle w:val="Heading5"/>
        <w:numPr>
          <w:ilvl w:val="4"/>
          <w:numId w:val="185"/>
        </w:numPr>
        <w:ind w:left="0" w:firstLine="0"/>
      </w:pPr>
      <w:r w:rsidRPr="003A379E">
        <w:t>Routine Maintenance</w:t>
      </w:r>
    </w:p>
    <w:p w14:paraId="37D2A4AB" w14:textId="194AB5E0" w:rsidR="00BF10A0" w:rsidRPr="00F7434A" w:rsidRDefault="00BF10A0" w:rsidP="00BE3F24">
      <w:pPr>
        <w:jc w:val="both"/>
        <w:rPr>
          <w:rFonts w:ascii="Arial" w:hAnsi="Arial" w:cs="Arial"/>
          <w:sz w:val="22"/>
          <w:szCs w:val="22"/>
        </w:rPr>
      </w:pPr>
      <w:r w:rsidRPr="00F7434A">
        <w:rPr>
          <w:rFonts w:ascii="Arial" w:hAnsi="Arial" w:cs="Arial"/>
          <w:sz w:val="22"/>
          <w:szCs w:val="22"/>
        </w:rPr>
        <w:t>Routine maintenance consists of day-to-day activities that are scheduled by maintenance personnel to maintain and preserve the condition of the highway system at a satisfactory level of service.  Examples of pavement-related routine maintenance activities include cleaning of roadside ditches and structures, maintenance of pavement markings, pothole patching</w:t>
      </w:r>
      <w:r w:rsidR="00B46187">
        <w:rPr>
          <w:rFonts w:ascii="Arial" w:hAnsi="Arial" w:cs="Arial"/>
          <w:sz w:val="22"/>
          <w:szCs w:val="22"/>
        </w:rPr>
        <w:t>,</w:t>
      </w:r>
      <w:r w:rsidRPr="00F7434A">
        <w:rPr>
          <w:rFonts w:ascii="Arial" w:hAnsi="Arial" w:cs="Arial"/>
          <w:sz w:val="22"/>
          <w:szCs w:val="22"/>
        </w:rPr>
        <w:t xml:space="preserve"> and isolated overlays.  Routine Maintenance activities are “in-house” or agency-performed and are not normally eligible for Federal-aid funding.</w:t>
      </w:r>
    </w:p>
    <w:p w14:paraId="27041202" w14:textId="77777777" w:rsidR="00BF10A0" w:rsidRPr="00F7434A" w:rsidRDefault="00BF10A0" w:rsidP="00BE3F24">
      <w:pPr>
        <w:jc w:val="both"/>
        <w:rPr>
          <w:rFonts w:ascii="Arial" w:hAnsi="Arial" w:cs="Arial"/>
          <w:sz w:val="22"/>
          <w:szCs w:val="22"/>
        </w:rPr>
      </w:pPr>
    </w:p>
    <w:p w14:paraId="6233A10E" w14:textId="77777777" w:rsidR="00BF10A0" w:rsidRPr="00D111FD" w:rsidRDefault="00BF10A0" w:rsidP="00172E64">
      <w:pPr>
        <w:pStyle w:val="Heading5"/>
        <w:numPr>
          <w:ilvl w:val="4"/>
          <w:numId w:val="185"/>
        </w:numPr>
        <w:ind w:left="0" w:firstLine="0"/>
      </w:pPr>
      <w:r w:rsidRPr="00D111FD">
        <w:t>Corrective Maintenance</w:t>
      </w:r>
    </w:p>
    <w:p w14:paraId="71B6771E" w14:textId="67C57914" w:rsidR="00BF10A0" w:rsidRPr="00F7434A" w:rsidRDefault="00BF10A0" w:rsidP="00BE3F24">
      <w:pPr>
        <w:jc w:val="both"/>
        <w:rPr>
          <w:rFonts w:ascii="Arial" w:hAnsi="Arial" w:cs="Arial"/>
          <w:sz w:val="22"/>
          <w:szCs w:val="22"/>
        </w:rPr>
      </w:pPr>
      <w:r w:rsidRPr="00F7434A">
        <w:rPr>
          <w:rFonts w:ascii="Arial" w:hAnsi="Arial" w:cs="Arial"/>
          <w:sz w:val="22"/>
          <w:szCs w:val="22"/>
        </w:rPr>
        <w:t>Corrective maintenance activities are generally reactive, not proactive, and are performed to restore a pavement to an acceptable level of service due to unforeseen conditions.  Activities such as pothole repair</w:t>
      </w:r>
      <w:r w:rsidR="00B46187">
        <w:rPr>
          <w:rFonts w:ascii="Arial" w:hAnsi="Arial" w:cs="Arial"/>
          <w:sz w:val="22"/>
          <w:szCs w:val="22"/>
        </w:rPr>
        <w:t xml:space="preserve"> and</w:t>
      </w:r>
      <w:r w:rsidR="00B46187" w:rsidRPr="00F7434A">
        <w:rPr>
          <w:rFonts w:ascii="Arial" w:hAnsi="Arial" w:cs="Arial"/>
          <w:sz w:val="22"/>
          <w:szCs w:val="22"/>
        </w:rPr>
        <w:t xml:space="preserve"> </w:t>
      </w:r>
      <w:r w:rsidRPr="00F7434A">
        <w:rPr>
          <w:rFonts w:ascii="Arial" w:hAnsi="Arial" w:cs="Arial"/>
          <w:sz w:val="22"/>
          <w:szCs w:val="22"/>
        </w:rPr>
        <w:t>patching of localized pavement deterioration (e.g.</w:t>
      </w:r>
      <w:r w:rsidR="00B46187">
        <w:rPr>
          <w:rFonts w:ascii="Arial" w:hAnsi="Arial" w:cs="Arial"/>
          <w:sz w:val="22"/>
          <w:szCs w:val="22"/>
        </w:rPr>
        <w:t>,</w:t>
      </w:r>
      <w:r w:rsidRPr="00F7434A">
        <w:rPr>
          <w:rFonts w:ascii="Arial" w:hAnsi="Arial" w:cs="Arial"/>
          <w:sz w:val="22"/>
          <w:szCs w:val="22"/>
        </w:rPr>
        <w:t xml:space="preserve"> edge failures and/or grade separations along the shoulders</w:t>
      </w:r>
      <w:r w:rsidR="00B46187">
        <w:rPr>
          <w:rFonts w:ascii="Arial" w:hAnsi="Arial" w:cs="Arial"/>
          <w:sz w:val="22"/>
          <w:szCs w:val="22"/>
        </w:rPr>
        <w:t>)</w:t>
      </w:r>
      <w:r w:rsidRPr="00F7434A">
        <w:rPr>
          <w:rFonts w:ascii="Arial" w:hAnsi="Arial" w:cs="Arial"/>
          <w:sz w:val="22"/>
          <w:szCs w:val="22"/>
        </w:rPr>
        <w:t xml:space="preserve"> are considered examples of corrective maintenance of flexible pavements.  Examples for rigid pavements might consist of joint replacement, concrete patching</w:t>
      </w:r>
      <w:r w:rsidR="00B46187">
        <w:rPr>
          <w:rFonts w:ascii="Arial" w:hAnsi="Arial" w:cs="Arial"/>
          <w:sz w:val="22"/>
          <w:szCs w:val="22"/>
        </w:rPr>
        <w:t>,</w:t>
      </w:r>
      <w:r w:rsidRPr="00F7434A">
        <w:rPr>
          <w:rFonts w:ascii="Arial" w:hAnsi="Arial" w:cs="Arial"/>
          <w:sz w:val="22"/>
          <w:szCs w:val="22"/>
        </w:rPr>
        <w:t xml:space="preserve"> or full-width and depth slab replacement at isolated locations.</w:t>
      </w:r>
    </w:p>
    <w:p w14:paraId="00049C5C" w14:textId="77777777" w:rsidR="00BF10A0" w:rsidRPr="00F7434A" w:rsidRDefault="00BF10A0" w:rsidP="00BE3F24">
      <w:pPr>
        <w:jc w:val="both"/>
        <w:rPr>
          <w:rFonts w:ascii="Arial" w:hAnsi="Arial" w:cs="Arial"/>
          <w:sz w:val="22"/>
          <w:szCs w:val="22"/>
        </w:rPr>
      </w:pPr>
    </w:p>
    <w:p w14:paraId="4BEF1C9C" w14:textId="77777777" w:rsidR="00BF10A0" w:rsidRPr="00D111FD" w:rsidRDefault="00BF10A0" w:rsidP="00172E64">
      <w:pPr>
        <w:pStyle w:val="Heading5"/>
        <w:numPr>
          <w:ilvl w:val="4"/>
          <w:numId w:val="185"/>
        </w:numPr>
        <w:ind w:left="0" w:firstLine="0"/>
      </w:pPr>
      <w:r w:rsidRPr="00D111FD">
        <w:t>Catastrophic Maintenance</w:t>
      </w:r>
    </w:p>
    <w:p w14:paraId="2F296670" w14:textId="77777777" w:rsidR="00BF10A0" w:rsidRPr="00F7434A" w:rsidRDefault="00BF10A0" w:rsidP="00BE3F24">
      <w:pPr>
        <w:jc w:val="both"/>
        <w:rPr>
          <w:rFonts w:ascii="Arial" w:hAnsi="Arial" w:cs="Arial"/>
          <w:sz w:val="22"/>
          <w:szCs w:val="22"/>
        </w:rPr>
      </w:pPr>
      <w:r w:rsidRPr="00F7434A">
        <w:rPr>
          <w:rFonts w:ascii="Arial" w:hAnsi="Arial" w:cs="Arial"/>
          <w:sz w:val="22"/>
          <w:szCs w:val="22"/>
        </w:rPr>
        <w:t>Describes work activities generally necessary to return a roadway facility back to a minimum level of service while a permanent restoration is being designed and scheduled.  Examples of situations requiring catastrophic pavement maintenance activities include concrete pavement blow-ups, road washouts, avalanches, or rockslides.</w:t>
      </w:r>
    </w:p>
    <w:p w14:paraId="624BAF40" w14:textId="77777777" w:rsidR="00BF10A0" w:rsidRDefault="00BF10A0" w:rsidP="00BE3F24">
      <w:pPr>
        <w:pStyle w:val="BodyText"/>
        <w:spacing w:after="0"/>
        <w:rPr>
          <w:b/>
        </w:rPr>
      </w:pPr>
    </w:p>
    <w:p w14:paraId="626CF28B" w14:textId="7CD5D7B1" w:rsidR="00BF10A0" w:rsidRDefault="00BF10A0" w:rsidP="00491632">
      <w:pPr>
        <w:pStyle w:val="Heading3"/>
      </w:pPr>
      <w:bookmarkStart w:id="681" w:name="_Acronyms"/>
      <w:bookmarkStart w:id="682" w:name="_Toc479160135"/>
      <w:bookmarkEnd w:id="681"/>
      <w:r w:rsidRPr="00E15EF8">
        <w:t>Acronyms</w:t>
      </w:r>
      <w:bookmarkEnd w:id="682"/>
    </w:p>
    <w:p w14:paraId="08A1A993" w14:textId="77777777" w:rsidR="009F42CA" w:rsidRPr="009F42CA" w:rsidRDefault="009F42CA" w:rsidP="00BE3F24"/>
    <w:p w14:paraId="11B925BF"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AASHTO: American Association of State Highway and Transportation Officials</w:t>
      </w:r>
    </w:p>
    <w:p w14:paraId="06E9D64C" w14:textId="6F970056"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 xml:space="preserve">ACPA: American Concrete Pavement Association </w:t>
      </w:r>
    </w:p>
    <w:p w14:paraId="53CEE724"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ADT: Average Daily Traffic</w:t>
      </w:r>
    </w:p>
    <w:p w14:paraId="43863F7F"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ADTT: Average Daily Truck Traffic</w:t>
      </w:r>
    </w:p>
    <w:p w14:paraId="103EC8CD"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AMD: Access Management Division</w:t>
      </w:r>
    </w:p>
    <w:p w14:paraId="65D9F044" w14:textId="74E352E4" w:rsidR="00142C0D" w:rsidRPr="00C7778E" w:rsidRDefault="00142C0D"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ARAN: Automatic Road Analyzer</w:t>
      </w:r>
    </w:p>
    <w:p w14:paraId="53AA15E5"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ASR: Alkali Silica Reactivity</w:t>
      </w:r>
    </w:p>
    <w:p w14:paraId="3F16DF96"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BCOA-ME: Bonded Concrete Overlay of Asphalt Mechanistic Empirical</w:t>
      </w:r>
    </w:p>
    <w:p w14:paraId="6B8C5ED2"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CSAB: </w:t>
      </w:r>
      <w:r w:rsidRPr="00C7778E">
        <w:rPr>
          <w:rFonts w:ascii="Arial" w:hAnsi="Arial" w:cs="Arial"/>
          <w:color w:val="000000"/>
          <w:sz w:val="22"/>
          <w:szCs w:val="22"/>
        </w:rPr>
        <w:t>Cement Stabilized Aggregate Base</w:t>
      </w:r>
    </w:p>
    <w:p w14:paraId="031E9C9F"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CBR: California Bearing Ratio</w:t>
      </w:r>
    </w:p>
    <w:p w14:paraId="486B3CD4"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CD: Consolidated Drained</w:t>
      </w:r>
    </w:p>
    <w:p w14:paraId="55096C48"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CI: Crack Indices</w:t>
      </w:r>
    </w:p>
    <w:p w14:paraId="658BD9C6"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CIR: </w:t>
      </w:r>
      <w:r w:rsidRPr="00C7778E">
        <w:rPr>
          <w:rFonts w:ascii="Arial" w:hAnsi="Arial" w:cs="Arial"/>
          <w:color w:val="000000"/>
          <w:sz w:val="22"/>
          <w:szCs w:val="22"/>
        </w:rPr>
        <w:t>Cold In-Place Recycling</w:t>
      </w:r>
    </w:p>
    <w:p w14:paraId="412E760B"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CMS: Cement Modified Subgrade</w:t>
      </w:r>
    </w:p>
    <w:p w14:paraId="2E735A2A"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CPT: Cone Penetration Test</w:t>
      </w:r>
    </w:p>
    <w:p w14:paraId="1A56D2C1"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CRCP: </w:t>
      </w:r>
      <w:r w:rsidRPr="00C7778E">
        <w:rPr>
          <w:rFonts w:ascii="Arial" w:hAnsi="Arial" w:cs="Arial"/>
          <w:color w:val="000000"/>
          <w:sz w:val="22"/>
          <w:szCs w:val="22"/>
        </w:rPr>
        <w:t>Continuously Reinforced Concrete Pavement</w:t>
      </w:r>
    </w:p>
    <w:p w14:paraId="0FDFF342"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CTE: Coefficient of Thermal Expansion</w:t>
      </w:r>
    </w:p>
    <w:p w14:paraId="18FD67F6" w14:textId="4C8A0476" w:rsidR="00142C0D" w:rsidRPr="00C7778E" w:rsidRDefault="00142C0D"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CTP: Consolidated Transportation Program</w:t>
      </w:r>
    </w:p>
    <w:p w14:paraId="1D83E6D9"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CU: Consolidated Undrained</w:t>
      </w:r>
    </w:p>
    <w:p w14:paraId="683BCB53"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DB: Design Build</w:t>
      </w:r>
    </w:p>
    <w:p w14:paraId="58F42DB4"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DC: Division Chief</w:t>
      </w:r>
    </w:p>
    <w:p w14:paraId="2A8A4A94"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lastRenderedPageBreak/>
        <w:t>DMT: Flat Dilatometer Test</w:t>
      </w:r>
    </w:p>
    <w:p w14:paraId="165BD0BB"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DOT: </w:t>
      </w:r>
      <w:r w:rsidRPr="00C7778E">
        <w:rPr>
          <w:rFonts w:ascii="Arial" w:hAnsi="Arial" w:cs="Arial"/>
          <w:color w:val="000000"/>
          <w:sz w:val="22"/>
          <w:szCs w:val="22"/>
        </w:rPr>
        <w:t>Department of Transportation</w:t>
      </w:r>
    </w:p>
    <w:p w14:paraId="5B635BEA"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DSED: Data Services Engineering Division</w:t>
      </w:r>
    </w:p>
    <w:p w14:paraId="0DCA12E0"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EGD: Engineering Geology Division</w:t>
      </w:r>
    </w:p>
    <w:p w14:paraId="34681BA1" w14:textId="72E35061" w:rsidR="00142C0D" w:rsidRPr="00C7778E" w:rsidRDefault="00142C0D"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EIS: Environmental Impact Statement</w:t>
      </w:r>
    </w:p>
    <w:p w14:paraId="1C42E050"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EM: Electromagnetic</w:t>
      </w:r>
    </w:p>
    <w:p w14:paraId="4CA414BC"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ESAL: Equivalent Single Axle Load</w:t>
      </w:r>
    </w:p>
    <w:p w14:paraId="4DBC4890" w14:textId="0CB55151"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FC</w:t>
      </w:r>
      <w:r w:rsidR="00491632" w:rsidRPr="00C7778E">
        <w:rPr>
          <w:rFonts w:ascii="Arial" w:hAnsi="Arial" w:cs="Arial"/>
          <w:sz w:val="22"/>
          <w:szCs w:val="22"/>
        </w:rPr>
        <w:t>D</w:t>
      </w:r>
      <w:r w:rsidRPr="00C7778E">
        <w:rPr>
          <w:rFonts w:ascii="Arial" w:hAnsi="Arial" w:cs="Arial"/>
          <w:sz w:val="22"/>
          <w:szCs w:val="22"/>
        </w:rPr>
        <w:t xml:space="preserve">: </w:t>
      </w:r>
      <w:r w:rsidRPr="00C7778E">
        <w:rPr>
          <w:rFonts w:ascii="Arial" w:hAnsi="Arial" w:cs="Arial"/>
          <w:color w:val="000000"/>
          <w:sz w:val="22"/>
          <w:szCs w:val="22"/>
        </w:rPr>
        <w:t xml:space="preserve">Functional Cracking </w:t>
      </w:r>
      <w:r w:rsidR="00ED1883" w:rsidRPr="00C7778E">
        <w:rPr>
          <w:rFonts w:ascii="Arial" w:hAnsi="Arial" w:cs="Arial"/>
          <w:color w:val="000000"/>
          <w:sz w:val="22"/>
          <w:szCs w:val="22"/>
        </w:rPr>
        <w:t>Density</w:t>
      </w:r>
    </w:p>
    <w:p w14:paraId="4B38951A"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FED: Field Explorations Division</w:t>
      </w:r>
    </w:p>
    <w:p w14:paraId="54BCE9A6"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FDR: </w:t>
      </w:r>
      <w:r w:rsidRPr="00C7778E">
        <w:rPr>
          <w:rFonts w:ascii="Arial" w:hAnsi="Arial" w:cs="Arial"/>
          <w:color w:val="000000"/>
          <w:sz w:val="22"/>
          <w:szCs w:val="22"/>
        </w:rPr>
        <w:t>Full-Depth Reclamation</w:t>
      </w:r>
    </w:p>
    <w:p w14:paraId="6E5C7206"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FGR: Final Geotechnical Report</w:t>
      </w:r>
    </w:p>
    <w:p w14:paraId="6B8F3F85"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FHWA: Federal Highway Administration</w:t>
      </w:r>
    </w:p>
    <w:p w14:paraId="7184CE85"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FPGR: Final Pavement and Geotechnical Report</w:t>
      </w:r>
    </w:p>
    <w:p w14:paraId="0EF3B23D"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FWD: </w:t>
      </w:r>
      <w:r w:rsidRPr="00C7778E">
        <w:rPr>
          <w:rFonts w:ascii="Arial" w:hAnsi="Arial" w:cs="Arial"/>
          <w:color w:val="000000"/>
          <w:sz w:val="22"/>
          <w:szCs w:val="22"/>
        </w:rPr>
        <w:t>Falling Weight Deflectometer</w:t>
      </w:r>
    </w:p>
    <w:p w14:paraId="3609939F"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GAB: </w:t>
      </w:r>
      <w:r w:rsidRPr="00C7778E">
        <w:rPr>
          <w:rFonts w:ascii="Arial" w:hAnsi="Arial" w:cs="Arial"/>
          <w:color w:val="000000"/>
          <w:sz w:val="22"/>
          <w:szCs w:val="22"/>
        </w:rPr>
        <w:t>Graded Aggregate Base</w:t>
      </w:r>
    </w:p>
    <w:p w14:paraId="2870FCDA" w14:textId="2B0E54AB"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GAP – SMA: </w:t>
      </w:r>
      <w:r w:rsidRPr="00C7778E">
        <w:rPr>
          <w:rFonts w:ascii="Arial" w:hAnsi="Arial" w:cs="Arial"/>
          <w:color w:val="000000"/>
          <w:sz w:val="22"/>
          <w:szCs w:val="22"/>
        </w:rPr>
        <w:t>Gap</w:t>
      </w:r>
      <w:r w:rsidR="009F42CA" w:rsidRPr="00C7778E">
        <w:rPr>
          <w:rFonts w:ascii="Arial" w:hAnsi="Arial" w:cs="Arial"/>
          <w:color w:val="000000"/>
          <w:sz w:val="22"/>
          <w:szCs w:val="22"/>
        </w:rPr>
        <w:t xml:space="preserve"> Graded</w:t>
      </w:r>
      <w:r w:rsidRPr="00C7778E">
        <w:rPr>
          <w:rFonts w:ascii="Arial" w:hAnsi="Arial" w:cs="Arial"/>
          <w:color w:val="000000"/>
          <w:sz w:val="22"/>
          <w:szCs w:val="22"/>
        </w:rPr>
        <w:t xml:space="preserve"> Stone Matrix Asphalt</w:t>
      </w:r>
    </w:p>
    <w:p w14:paraId="11A0F29E"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GDR: Geotechnical Data Report</w:t>
      </w:r>
    </w:p>
    <w:p w14:paraId="66884C72"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GPR: </w:t>
      </w:r>
      <w:r w:rsidRPr="00C7778E">
        <w:rPr>
          <w:rFonts w:ascii="Arial" w:hAnsi="Arial" w:cs="Arial"/>
          <w:color w:val="000000"/>
          <w:sz w:val="22"/>
          <w:szCs w:val="22"/>
        </w:rPr>
        <w:t>Ground Penetrating Radar</w:t>
      </w:r>
    </w:p>
    <w:p w14:paraId="15E9A255" w14:textId="732F5953"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GSS: Geosynth</w:t>
      </w:r>
      <w:r w:rsidR="00FC48DD" w:rsidRPr="00C7778E">
        <w:rPr>
          <w:rFonts w:ascii="Arial" w:hAnsi="Arial" w:cs="Arial"/>
          <w:sz w:val="22"/>
          <w:szCs w:val="22"/>
        </w:rPr>
        <w:t>et</w:t>
      </w:r>
      <w:r w:rsidRPr="00C7778E">
        <w:rPr>
          <w:rFonts w:ascii="Arial" w:hAnsi="Arial" w:cs="Arial"/>
          <w:sz w:val="22"/>
          <w:szCs w:val="22"/>
        </w:rPr>
        <w:t>ically Stabilized Subgrade</w:t>
      </w:r>
    </w:p>
    <w:p w14:paraId="3F056674" w14:textId="1BE15385"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GSSGAB: Geosy</w:t>
      </w:r>
      <w:r w:rsidR="00FC48DD" w:rsidRPr="00C7778E">
        <w:rPr>
          <w:rFonts w:ascii="Arial" w:hAnsi="Arial" w:cs="Arial"/>
          <w:color w:val="000000"/>
          <w:sz w:val="22"/>
          <w:szCs w:val="22"/>
        </w:rPr>
        <w:t>n</w:t>
      </w:r>
      <w:r w:rsidRPr="00C7778E">
        <w:rPr>
          <w:rFonts w:ascii="Arial" w:hAnsi="Arial" w:cs="Arial"/>
          <w:color w:val="000000"/>
          <w:sz w:val="22"/>
          <w:szCs w:val="22"/>
        </w:rPr>
        <w:t>thetically Stabilized Subgrade using Graded Aggregate Base</w:t>
      </w:r>
    </w:p>
    <w:p w14:paraId="4D38463C"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HDFV: High Dynamic Friction Value</w:t>
      </w:r>
    </w:p>
    <w:p w14:paraId="02EB3A53"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HHD: Highway Hydraulics Division</w:t>
      </w:r>
    </w:p>
    <w:p w14:paraId="6B0C1B5D"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HIR: </w:t>
      </w:r>
      <w:r w:rsidRPr="00C7778E">
        <w:rPr>
          <w:rFonts w:ascii="Arial" w:hAnsi="Arial" w:cs="Arial"/>
          <w:color w:val="000000"/>
          <w:sz w:val="22"/>
          <w:szCs w:val="22"/>
        </w:rPr>
        <w:t>Hot In-Place Recycling</w:t>
      </w:r>
    </w:p>
    <w:p w14:paraId="4A82B82B"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HLR: </w:t>
      </w:r>
      <w:r w:rsidRPr="00C7778E">
        <w:rPr>
          <w:rFonts w:ascii="Arial" w:hAnsi="Arial" w:cs="Arial"/>
          <w:color w:val="000000"/>
          <w:sz w:val="22"/>
          <w:szCs w:val="22"/>
        </w:rPr>
        <w:t>Highway Location Reference</w:t>
      </w:r>
    </w:p>
    <w:p w14:paraId="13E02D5B"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HMA: </w:t>
      </w:r>
      <w:r w:rsidRPr="00C7778E">
        <w:rPr>
          <w:rFonts w:ascii="Arial" w:hAnsi="Arial" w:cs="Arial"/>
          <w:color w:val="000000"/>
          <w:sz w:val="22"/>
          <w:szCs w:val="22"/>
        </w:rPr>
        <w:t>Hot-Mix Asphalt</w:t>
      </w:r>
    </w:p>
    <w:p w14:paraId="1A38A678"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HPC: High Performance Concrete</w:t>
      </w:r>
    </w:p>
    <w:p w14:paraId="0A571C18"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HPLC: High Performance Lightweight Concrete</w:t>
      </w:r>
    </w:p>
    <w:p w14:paraId="4ADD77AB"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HPV: </w:t>
      </w:r>
      <w:r w:rsidRPr="00C7778E">
        <w:rPr>
          <w:rFonts w:ascii="Arial" w:hAnsi="Arial" w:cs="Arial"/>
          <w:color w:val="000000"/>
          <w:sz w:val="22"/>
          <w:szCs w:val="22"/>
        </w:rPr>
        <w:t>High Polish Value</w:t>
      </w:r>
    </w:p>
    <w:p w14:paraId="2D44C8BE"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IRI: </w:t>
      </w:r>
      <w:r w:rsidRPr="00C7778E">
        <w:rPr>
          <w:rFonts w:ascii="Arial" w:hAnsi="Arial" w:cs="Arial"/>
          <w:color w:val="000000"/>
          <w:sz w:val="22"/>
          <w:szCs w:val="22"/>
        </w:rPr>
        <w:t>International Roughness Index</w:t>
      </w:r>
    </w:p>
    <w:p w14:paraId="42D5F0E6"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ISAC: Interlayer Stress Absorbing Composite</w:t>
      </w:r>
    </w:p>
    <w:p w14:paraId="24877329"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JCP: Jointed Concrete Pavement</w:t>
      </w:r>
    </w:p>
    <w:p w14:paraId="7B59A9EF"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JPCP: </w:t>
      </w:r>
      <w:r w:rsidRPr="00C7778E">
        <w:rPr>
          <w:rFonts w:ascii="Arial" w:hAnsi="Arial" w:cs="Arial"/>
          <w:color w:val="000000"/>
          <w:sz w:val="22"/>
          <w:szCs w:val="22"/>
        </w:rPr>
        <w:t>Jointed Plain Concrete Pavement</w:t>
      </w:r>
    </w:p>
    <w:p w14:paraId="39D91EF3"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JRCP: Jointed Reinforced Concrete Pavement</w:t>
      </w:r>
    </w:p>
    <w:p w14:paraId="5985241F"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LKD: </w:t>
      </w:r>
      <w:r w:rsidRPr="00C7778E">
        <w:rPr>
          <w:rFonts w:ascii="Arial" w:hAnsi="Arial" w:cs="Arial"/>
          <w:color w:val="000000"/>
          <w:sz w:val="22"/>
          <w:szCs w:val="22"/>
        </w:rPr>
        <w:t>Lime Kiln Dust</w:t>
      </w:r>
    </w:p>
    <w:p w14:paraId="63C79CEA"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LL: Liquid Limit</w:t>
      </w:r>
    </w:p>
    <w:p w14:paraId="7BDBAD2C"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LRFD: Load and Resistance Factor Design</w:t>
      </w:r>
    </w:p>
    <w:p w14:paraId="358F6DF7"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LSST: Lime Stabilized Subgrade Treatment</w:t>
      </w:r>
    </w:p>
    <w:p w14:paraId="5A7A75AB"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LUD: Longitudinal Underdrain</w:t>
      </w:r>
    </w:p>
    <w:p w14:paraId="27011244"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MASW: Multi-channel Analysis of Surface Waves</w:t>
      </w:r>
    </w:p>
    <w:p w14:paraId="6F2678D1"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MDE: Maryland Department of Environment</w:t>
      </w:r>
    </w:p>
    <w:p w14:paraId="31F5DA05" w14:textId="738C8162" w:rsidR="00E34BB6" w:rsidRPr="00C7778E" w:rsidRDefault="008C7023" w:rsidP="00172E64">
      <w:pPr>
        <w:pStyle w:val="ListParagraph"/>
        <w:numPr>
          <w:ilvl w:val="0"/>
          <w:numId w:val="192"/>
        </w:numPr>
        <w:tabs>
          <w:tab w:val="left" w:pos="1350"/>
        </w:tabs>
        <w:ind w:left="1440" w:hanging="1080"/>
        <w:rPr>
          <w:rFonts w:ascii="Arial" w:hAnsi="Arial" w:cs="Arial"/>
          <w:sz w:val="22"/>
          <w:szCs w:val="22"/>
        </w:rPr>
      </w:pPr>
      <w:r>
        <w:rPr>
          <w:rFonts w:ascii="Arial" w:hAnsi="Arial" w:cs="Arial"/>
          <w:sz w:val="22"/>
          <w:szCs w:val="22"/>
        </w:rPr>
        <w:t>MDOT-SHA</w:t>
      </w:r>
      <w:r w:rsidR="00E34BB6" w:rsidRPr="00C7778E">
        <w:rPr>
          <w:rFonts w:ascii="Arial" w:hAnsi="Arial" w:cs="Arial"/>
          <w:sz w:val="22"/>
          <w:szCs w:val="22"/>
        </w:rPr>
        <w:t xml:space="preserve">: </w:t>
      </w:r>
      <w:r w:rsidR="00E34BB6" w:rsidRPr="00C7778E">
        <w:rPr>
          <w:rFonts w:ascii="Arial" w:hAnsi="Arial" w:cs="Arial"/>
          <w:color w:val="000000"/>
          <w:sz w:val="22"/>
          <w:szCs w:val="22"/>
        </w:rPr>
        <w:t>Maryland State Highway Administration</w:t>
      </w:r>
    </w:p>
    <w:p w14:paraId="3FB9C177"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MDTP: Mixture Design and Testing Protocol</w:t>
      </w:r>
    </w:p>
    <w:p w14:paraId="543FCF4A"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ME: Mechanistic Empirical</w:t>
      </w:r>
    </w:p>
    <w:p w14:paraId="2F003AA7"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MEPDG: Mechanistic Empirical Pavement Design Guide</w:t>
      </w:r>
    </w:p>
    <w:p w14:paraId="36D6DA4E"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MOT: </w:t>
      </w:r>
      <w:r w:rsidRPr="00C7778E">
        <w:rPr>
          <w:rFonts w:ascii="Arial" w:hAnsi="Arial" w:cs="Arial"/>
          <w:color w:val="000000"/>
          <w:sz w:val="22"/>
          <w:szCs w:val="22"/>
        </w:rPr>
        <w:t>Maintenance of Traffic</w:t>
      </w:r>
    </w:p>
    <w:p w14:paraId="6B81C0AB"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M</w:t>
      </w:r>
      <w:r w:rsidRPr="00C7778E">
        <w:rPr>
          <w:rFonts w:ascii="Arial" w:hAnsi="Arial" w:cs="Arial"/>
          <w:color w:val="000000"/>
          <w:sz w:val="22"/>
          <w:szCs w:val="22"/>
          <w:vertAlign w:val="subscript"/>
        </w:rPr>
        <w:t>r</w:t>
      </w:r>
      <w:r w:rsidRPr="00C7778E">
        <w:rPr>
          <w:rFonts w:ascii="Arial" w:hAnsi="Arial" w:cs="Arial"/>
          <w:color w:val="000000"/>
          <w:sz w:val="22"/>
          <w:szCs w:val="22"/>
        </w:rPr>
        <w:t>: Resilient Modulus</w:t>
      </w:r>
    </w:p>
    <w:p w14:paraId="6BC95442"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MSE: Mechanically Stabilized Earth</w:t>
      </w:r>
    </w:p>
    <w:p w14:paraId="25B256CC"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NCHRP: National Cooperative Highway Research Program</w:t>
      </w:r>
    </w:p>
    <w:p w14:paraId="45B89C76"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NMAS: Normal Maximum Aggregate Size</w:t>
      </w:r>
    </w:p>
    <w:p w14:paraId="5657383A"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color w:val="000000"/>
          <w:sz w:val="22"/>
          <w:szCs w:val="22"/>
        </w:rPr>
        <w:t>OGB: Open Graded Base</w:t>
      </w:r>
    </w:p>
    <w:p w14:paraId="6B14EF58"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lastRenderedPageBreak/>
        <w:t xml:space="preserve">OGFC: </w:t>
      </w:r>
      <w:r w:rsidRPr="00C7778E">
        <w:rPr>
          <w:rFonts w:ascii="Arial" w:hAnsi="Arial" w:cs="Arial"/>
          <w:color w:val="000000"/>
          <w:sz w:val="22"/>
          <w:szCs w:val="22"/>
        </w:rPr>
        <w:t>Open Graded Friction Course</w:t>
      </w:r>
    </w:p>
    <w:p w14:paraId="1D2F00DA"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OHD: Office of Highway Design</w:t>
      </w:r>
    </w:p>
    <w:p w14:paraId="2F4064AB" w14:textId="77777777" w:rsidR="00E34BB6" w:rsidRPr="00C7778E" w:rsidRDefault="00E34BB6" w:rsidP="00172E64">
      <w:pPr>
        <w:pStyle w:val="ListParagraph"/>
        <w:numPr>
          <w:ilvl w:val="0"/>
          <w:numId w:val="192"/>
        </w:numPr>
        <w:tabs>
          <w:tab w:val="left" w:pos="1350"/>
        </w:tabs>
        <w:ind w:left="1440" w:hanging="1080"/>
        <w:rPr>
          <w:rFonts w:ascii="Arial" w:hAnsi="Arial" w:cs="Arial"/>
          <w:sz w:val="22"/>
          <w:szCs w:val="22"/>
        </w:rPr>
      </w:pPr>
      <w:r w:rsidRPr="00C7778E">
        <w:rPr>
          <w:rFonts w:ascii="Arial" w:hAnsi="Arial" w:cs="Arial"/>
          <w:sz w:val="22"/>
          <w:szCs w:val="22"/>
        </w:rPr>
        <w:t xml:space="preserve">OMT: </w:t>
      </w:r>
      <w:r w:rsidRPr="00C7778E">
        <w:rPr>
          <w:rFonts w:ascii="Arial" w:hAnsi="Arial" w:cs="Arial"/>
          <w:color w:val="000000"/>
          <w:sz w:val="22"/>
          <w:szCs w:val="22"/>
        </w:rPr>
        <w:t>Office of Materials Technology</w:t>
      </w:r>
    </w:p>
    <w:p w14:paraId="5462B3CF"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OOS: Office of Structures</w:t>
      </w:r>
    </w:p>
    <w:p w14:paraId="4FEFEE23" w14:textId="428F918D" w:rsidR="00142C0D" w:rsidRPr="00C7778E" w:rsidRDefault="00142C0D"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OPPE: Office of Planning and Preliminary Engineering</w:t>
      </w:r>
    </w:p>
    <w:p w14:paraId="6998F52C"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PAGD ADC-Design: Pavement and Geotechnical Division – Assistant Division Chief – Design</w:t>
      </w:r>
    </w:p>
    <w:p w14:paraId="2C02852F" w14:textId="3A9C8C9A"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PAGD DC: Pavement and Geotechnical Design</w:t>
      </w:r>
      <w:r w:rsidR="007213A8" w:rsidRPr="00C7778E">
        <w:rPr>
          <w:rFonts w:ascii="Arial" w:hAnsi="Arial" w:cs="Arial"/>
          <w:sz w:val="22"/>
          <w:szCs w:val="22"/>
        </w:rPr>
        <w:t xml:space="preserve"> – </w:t>
      </w:r>
      <w:r w:rsidRPr="00C7778E">
        <w:rPr>
          <w:rFonts w:ascii="Arial" w:hAnsi="Arial" w:cs="Arial"/>
          <w:sz w:val="22"/>
          <w:szCs w:val="22"/>
        </w:rPr>
        <w:t>Division Chief</w:t>
      </w:r>
    </w:p>
    <w:p w14:paraId="77BC1AA3"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PAGD Engineer: Pavement and Geotechnical Design Engineer</w:t>
      </w:r>
    </w:p>
    <w:p w14:paraId="0656D2C2"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PAGD TL: Pavement and Geotechnical Design Team Leader</w:t>
      </w:r>
    </w:p>
    <w:p w14:paraId="4BE0138C"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PAGD: Pavement and Geotechnical Division</w:t>
      </w:r>
    </w:p>
    <w:p w14:paraId="6E5ACF1A"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 xml:space="preserve">PCC: </w:t>
      </w:r>
      <w:r w:rsidRPr="00C7778E">
        <w:rPr>
          <w:rFonts w:ascii="Arial" w:hAnsi="Arial" w:cs="Arial"/>
          <w:color w:val="000000"/>
          <w:sz w:val="22"/>
          <w:szCs w:val="22"/>
        </w:rPr>
        <w:t>Portland Cement Concrete</w:t>
      </w:r>
    </w:p>
    <w:p w14:paraId="2CC81235"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PE: Permanent Erosion</w:t>
      </w:r>
    </w:p>
    <w:p w14:paraId="126F352D"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PI: Plasticity Index</w:t>
      </w:r>
    </w:p>
    <w:p w14:paraId="4F57C27C"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PM: Project Manager</w:t>
      </w:r>
    </w:p>
    <w:p w14:paraId="74CCDF4B"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PM Base: Pavement Management Database</w:t>
      </w:r>
    </w:p>
    <w:p w14:paraId="729F2EB0"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PMS: Pavement Management System</w:t>
      </w:r>
    </w:p>
    <w:p w14:paraId="5FCF0C3F"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PMT: Pressuremeter Test</w:t>
      </w:r>
    </w:p>
    <w:p w14:paraId="2515C5E6"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PTSP: Pavement Type Selection Process</w:t>
      </w:r>
    </w:p>
    <w:p w14:paraId="4F55C971"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PVC: Polyvinyl Chloride</w:t>
      </w:r>
    </w:p>
    <w:p w14:paraId="291DD96E"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RCC: Roller Compacted Concrete</w:t>
      </w:r>
    </w:p>
    <w:p w14:paraId="792B2195" w14:textId="4A2C411A"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 xml:space="preserve">ROW: Right </w:t>
      </w:r>
      <w:r w:rsidR="00C7778E" w:rsidRPr="00C7778E">
        <w:rPr>
          <w:rFonts w:ascii="Arial" w:hAnsi="Arial" w:cs="Arial"/>
          <w:color w:val="000000"/>
          <w:sz w:val="22"/>
          <w:szCs w:val="22"/>
        </w:rPr>
        <w:t>of</w:t>
      </w:r>
      <w:r w:rsidRPr="00C7778E">
        <w:rPr>
          <w:rFonts w:ascii="Arial" w:hAnsi="Arial" w:cs="Arial"/>
          <w:color w:val="000000"/>
          <w:sz w:val="22"/>
          <w:szCs w:val="22"/>
        </w:rPr>
        <w:t xml:space="preserve"> Way</w:t>
      </w:r>
    </w:p>
    <w:p w14:paraId="06B43C0E"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color w:val="000000"/>
          <w:sz w:val="22"/>
          <w:szCs w:val="22"/>
        </w:rPr>
        <w:t>RPPSA: Rock Penetrated by Power Soil Auger</w:t>
      </w:r>
    </w:p>
    <w:p w14:paraId="4B70A05B"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RQD: Rock Quality Designation</w:t>
      </w:r>
    </w:p>
    <w:p w14:paraId="3AC49089"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RSL: Remaining Service Life</w:t>
      </w:r>
    </w:p>
    <w:p w14:paraId="21E9AA91"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SAMI: Stress Absorbing Membrane Interlayer</w:t>
      </w:r>
    </w:p>
    <w:p w14:paraId="1C414B81" w14:textId="77777777" w:rsidR="00E34BB6" w:rsidRPr="00C7778E"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SBS: Styrene-Butadiene-Styrene</w:t>
      </w:r>
    </w:p>
    <w:p w14:paraId="52C31B5E" w14:textId="77777777" w:rsidR="007213A8" w:rsidRPr="00C7778E" w:rsidRDefault="007213A8" w:rsidP="00172E64">
      <w:pPr>
        <w:pStyle w:val="ListParagraph"/>
        <w:numPr>
          <w:ilvl w:val="0"/>
          <w:numId w:val="192"/>
        </w:numPr>
        <w:ind w:left="1440" w:hanging="1080"/>
        <w:rPr>
          <w:rFonts w:ascii="Arial" w:hAnsi="Arial" w:cs="Arial"/>
          <w:color w:val="000000"/>
          <w:sz w:val="22"/>
          <w:szCs w:val="22"/>
        </w:rPr>
      </w:pPr>
      <w:r w:rsidRPr="00C7778E">
        <w:rPr>
          <w:rFonts w:ascii="Arial" w:hAnsi="Arial" w:cs="Arial"/>
          <w:color w:val="000000"/>
          <w:sz w:val="22"/>
          <w:szCs w:val="22"/>
        </w:rPr>
        <w:t>SCI: Structural Cracking Index</w:t>
      </w:r>
    </w:p>
    <w:p w14:paraId="0FFA4AA4" w14:textId="1E1E9E3E" w:rsidR="00E34BB6" w:rsidRDefault="00E34BB6" w:rsidP="00172E64">
      <w:pPr>
        <w:pStyle w:val="ListParagraph"/>
        <w:numPr>
          <w:ilvl w:val="0"/>
          <w:numId w:val="192"/>
        </w:numPr>
        <w:ind w:left="1440" w:hanging="1080"/>
        <w:rPr>
          <w:rFonts w:ascii="Arial" w:hAnsi="Arial" w:cs="Arial"/>
          <w:sz w:val="22"/>
          <w:szCs w:val="22"/>
        </w:rPr>
      </w:pPr>
      <w:r w:rsidRPr="00C7778E">
        <w:rPr>
          <w:rFonts w:ascii="Arial" w:hAnsi="Arial" w:cs="Arial"/>
          <w:sz w:val="22"/>
          <w:szCs w:val="22"/>
        </w:rPr>
        <w:t>SDL: Subsurface Drainage</w:t>
      </w:r>
    </w:p>
    <w:p w14:paraId="7AAB094B"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SE: Separation</w:t>
      </w:r>
    </w:p>
    <w:p w14:paraId="0E906C33"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SMA: Stone Matrix Asphalt</w:t>
      </w:r>
    </w:p>
    <w:p w14:paraId="55938E02"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SN: Skid Number</w:t>
      </w:r>
    </w:p>
    <w:p w14:paraId="18BBC662"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SP: Special Provisions</w:t>
      </w:r>
    </w:p>
    <w:p w14:paraId="76B66767"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SPI: Special Provisions Insert</w:t>
      </w:r>
    </w:p>
    <w:p w14:paraId="4EA9D766"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SPT: Standard Penetration Testing</w:t>
      </w:r>
    </w:p>
    <w:p w14:paraId="64B93CFE"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ST: Stabilization</w:t>
      </w:r>
    </w:p>
    <w:p w14:paraId="3165CD6B"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SATD: Soils and Aggregate Testing Division</w:t>
      </w:r>
    </w:p>
    <w:p w14:paraId="29863FFD"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 xml:space="preserve">SCD: Structural Cracking Density </w:t>
      </w:r>
    </w:p>
    <w:p w14:paraId="1E5196A4" w14:textId="7F7A36D6" w:rsidR="00962E3D"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TC: Terms and Conditions</w:t>
      </w:r>
    </w:p>
    <w:p w14:paraId="0E96B7E4" w14:textId="44C23236" w:rsidR="003C2771" w:rsidRPr="003C2771" w:rsidRDefault="003C2771" w:rsidP="00172E64">
      <w:pPr>
        <w:pStyle w:val="ListParagraph"/>
        <w:numPr>
          <w:ilvl w:val="0"/>
          <w:numId w:val="192"/>
        </w:numPr>
        <w:rPr>
          <w:rFonts w:ascii="Arial" w:hAnsi="Arial" w:cs="Arial"/>
          <w:sz w:val="22"/>
          <w:szCs w:val="22"/>
        </w:rPr>
      </w:pPr>
      <w:r w:rsidRPr="003C2771">
        <w:rPr>
          <w:rFonts w:ascii="Arial" w:hAnsi="Arial" w:cs="Arial"/>
          <w:sz w:val="22"/>
          <w:szCs w:val="22"/>
        </w:rPr>
        <w:t>TF: Truck Factor</w:t>
      </w:r>
    </w:p>
    <w:p w14:paraId="78294B21"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TTC: Truck Traffic Classification</w:t>
      </w:r>
    </w:p>
    <w:p w14:paraId="633421C1"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USGS: United States Geological Survey</w:t>
      </w:r>
    </w:p>
    <w:p w14:paraId="61FFD130"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UST: Underground Storage Tank</w:t>
      </w:r>
    </w:p>
    <w:p w14:paraId="2E0903BE"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 xml:space="preserve">UTBWC: Ultra-Thin Bonded Wearing Course </w:t>
      </w:r>
    </w:p>
    <w:p w14:paraId="2AE159AE"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UU: Unconsolidated Undrained</w:t>
      </w:r>
    </w:p>
    <w:p w14:paraId="223A30E5"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VLF: Very Low Frequency</w:t>
      </w:r>
    </w:p>
    <w:p w14:paraId="2D727C03" w14:textId="77777777"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W/L: Wedge and Level</w:t>
      </w:r>
    </w:p>
    <w:p w14:paraId="17A96174" w14:textId="1C0C491F" w:rsidR="00962E3D" w:rsidRPr="003C2771" w:rsidRDefault="00962E3D" w:rsidP="00172E64">
      <w:pPr>
        <w:pStyle w:val="ListParagraph"/>
        <w:numPr>
          <w:ilvl w:val="0"/>
          <w:numId w:val="192"/>
        </w:numPr>
        <w:rPr>
          <w:rFonts w:ascii="Arial" w:hAnsi="Arial" w:cs="Arial"/>
          <w:sz w:val="22"/>
          <w:szCs w:val="22"/>
        </w:rPr>
      </w:pPr>
      <w:r w:rsidRPr="003C2771">
        <w:rPr>
          <w:rFonts w:ascii="Arial" w:hAnsi="Arial" w:cs="Arial"/>
          <w:sz w:val="22"/>
          <w:szCs w:val="22"/>
        </w:rPr>
        <w:t>WT: White Topping</w:t>
      </w:r>
    </w:p>
    <w:p w14:paraId="1F350A6E" w14:textId="77777777" w:rsidR="00962E3D" w:rsidRPr="00962E3D" w:rsidRDefault="00962E3D" w:rsidP="00962E3D">
      <w:pPr>
        <w:rPr>
          <w:rFonts w:ascii="Arial" w:hAnsi="Arial" w:cs="Arial"/>
          <w:sz w:val="22"/>
          <w:szCs w:val="22"/>
        </w:rPr>
      </w:pPr>
    </w:p>
    <w:p w14:paraId="4B162398" w14:textId="77777777" w:rsidR="009A7323" w:rsidRDefault="009A7323" w:rsidP="00172E64">
      <w:pPr>
        <w:pStyle w:val="ListParagraph"/>
        <w:numPr>
          <w:ilvl w:val="0"/>
          <w:numId w:val="192"/>
        </w:numPr>
        <w:sectPr w:rsidR="009A7323" w:rsidSect="008B1BAA">
          <w:headerReference w:type="default" r:id="rId348"/>
          <w:footerReference w:type="default" r:id="rId349"/>
          <w:footerReference w:type="first" r:id="rId350"/>
          <w:pgSz w:w="12240" w:h="15840"/>
          <w:pgMar w:top="1440" w:right="1800" w:bottom="1440" w:left="1800" w:header="720" w:footer="720" w:gutter="0"/>
          <w:pgNumType w:chapStyle="1"/>
          <w:cols w:space="720"/>
          <w:docGrid w:linePitch="272"/>
        </w:sectPr>
      </w:pPr>
    </w:p>
    <w:p w14:paraId="2BC875FB" w14:textId="7BADE135" w:rsidR="00A62B1B" w:rsidRPr="00A02D42" w:rsidRDefault="000B5FA2" w:rsidP="00172E64">
      <w:pPr>
        <w:pStyle w:val="Heading2"/>
        <w:numPr>
          <w:ilvl w:val="1"/>
          <w:numId w:val="185"/>
        </w:numPr>
        <w:ind w:left="0" w:firstLine="0"/>
      </w:pPr>
      <w:bookmarkStart w:id="683" w:name="_Geotechnical_Investigation_referenc"/>
      <w:bookmarkStart w:id="684" w:name="_Toc479160136"/>
      <w:bookmarkStart w:id="685" w:name="_Toc514058023"/>
      <w:bookmarkStart w:id="686" w:name="_Toc194932419"/>
      <w:bookmarkEnd w:id="683"/>
      <w:r>
        <w:lastRenderedPageBreak/>
        <w:t xml:space="preserve">Geotechnical Investigation </w:t>
      </w:r>
      <w:bookmarkEnd w:id="684"/>
      <w:bookmarkEnd w:id="685"/>
      <w:r w:rsidR="00356E0B">
        <w:t>references</w:t>
      </w:r>
      <w:bookmarkEnd w:id="686"/>
      <w:r w:rsidR="00A01F63">
        <w:t xml:space="preserve"> </w:t>
      </w:r>
    </w:p>
    <w:p w14:paraId="771BBA44" w14:textId="0D6F7D29" w:rsidR="00356E0B" w:rsidRPr="00160E58" w:rsidRDefault="00356E0B" w:rsidP="00172E64">
      <w:pPr>
        <w:pStyle w:val="Heading3"/>
        <w:numPr>
          <w:ilvl w:val="2"/>
          <w:numId w:val="185"/>
        </w:numPr>
      </w:pPr>
      <w:bookmarkStart w:id="687" w:name="_Geophysical_References"/>
      <w:bookmarkEnd w:id="687"/>
      <w:r>
        <w:t>Geophysical References</w:t>
      </w:r>
    </w:p>
    <w:p w14:paraId="2329FA31" w14:textId="77777777" w:rsidR="00356E0B" w:rsidRPr="00A62B1B" w:rsidDel="00F7268A" w:rsidRDefault="00356E0B" w:rsidP="00356E0B">
      <w:pPr>
        <w:jc w:val="both"/>
        <w:rPr>
          <w:rFonts w:ascii="Arial" w:hAnsi="Arial" w:cs="Arial"/>
          <w:bCs/>
          <w:iCs/>
          <w:sz w:val="22"/>
          <w:szCs w:val="22"/>
        </w:rPr>
      </w:pPr>
      <w:r w:rsidRPr="00A62B1B" w:rsidDel="00F7268A">
        <w:rPr>
          <w:rFonts w:ascii="Arial" w:hAnsi="Arial" w:cs="Arial"/>
          <w:bCs/>
          <w:iCs/>
          <w:sz w:val="22"/>
          <w:szCs w:val="22"/>
        </w:rPr>
        <w:t xml:space="preserve">The most common </w:t>
      </w:r>
      <w:r>
        <w:rPr>
          <w:rFonts w:ascii="Arial" w:hAnsi="Arial" w:cs="Arial"/>
          <w:bCs/>
          <w:iCs/>
          <w:sz w:val="22"/>
          <w:szCs w:val="22"/>
        </w:rPr>
        <w:t>applications of geophysical technologies</w:t>
      </w:r>
      <w:r w:rsidRPr="00A62B1B" w:rsidDel="00F7268A">
        <w:rPr>
          <w:rFonts w:ascii="Arial" w:hAnsi="Arial" w:cs="Arial"/>
          <w:bCs/>
          <w:iCs/>
          <w:sz w:val="22"/>
          <w:szCs w:val="22"/>
        </w:rPr>
        <w:t xml:space="preserve"> </w:t>
      </w:r>
      <w:r>
        <w:rPr>
          <w:rFonts w:ascii="Arial" w:hAnsi="Arial" w:cs="Arial"/>
          <w:bCs/>
          <w:iCs/>
          <w:sz w:val="22"/>
          <w:szCs w:val="22"/>
        </w:rPr>
        <w:t xml:space="preserve">for </w:t>
      </w:r>
      <w:r w:rsidRPr="00A62B1B">
        <w:rPr>
          <w:rFonts w:ascii="Arial" w:hAnsi="Arial" w:cs="Arial"/>
          <w:bCs/>
          <w:iCs/>
          <w:sz w:val="22"/>
          <w:szCs w:val="22"/>
        </w:rPr>
        <w:t>highway projects</w:t>
      </w:r>
      <w:r>
        <w:rPr>
          <w:rFonts w:ascii="Arial" w:hAnsi="Arial" w:cs="Arial"/>
          <w:bCs/>
          <w:iCs/>
          <w:sz w:val="22"/>
          <w:szCs w:val="22"/>
        </w:rPr>
        <w:t xml:space="preserve"> include</w:t>
      </w:r>
      <w:r w:rsidRPr="00A62B1B">
        <w:rPr>
          <w:rFonts w:ascii="Arial" w:hAnsi="Arial" w:cs="Arial"/>
          <w:bCs/>
          <w:iCs/>
          <w:sz w:val="22"/>
          <w:szCs w:val="22"/>
        </w:rPr>
        <w:t>:</w:t>
      </w:r>
    </w:p>
    <w:p w14:paraId="1C6FE49F" w14:textId="77777777" w:rsidR="00356E0B" w:rsidRPr="00A62B1B" w:rsidDel="00F7268A" w:rsidRDefault="00356E0B" w:rsidP="00356E0B">
      <w:pPr>
        <w:jc w:val="both"/>
        <w:rPr>
          <w:rFonts w:ascii="Arial" w:hAnsi="Arial" w:cs="Arial"/>
          <w:bCs/>
          <w:iCs/>
          <w:sz w:val="22"/>
          <w:szCs w:val="22"/>
        </w:rPr>
      </w:pPr>
    </w:p>
    <w:p w14:paraId="0BA271CB" w14:textId="77777777" w:rsidR="00356E0B" w:rsidDel="00F7268A" w:rsidRDefault="00356E0B" w:rsidP="00172E64">
      <w:pPr>
        <w:numPr>
          <w:ilvl w:val="0"/>
          <w:numId w:val="70"/>
        </w:numPr>
        <w:ind w:left="0" w:firstLine="0"/>
        <w:rPr>
          <w:rFonts w:ascii="Arial" w:hAnsi="Arial" w:cs="Arial"/>
          <w:bCs/>
          <w:iCs/>
          <w:sz w:val="22"/>
          <w:szCs w:val="22"/>
        </w:rPr>
      </w:pPr>
      <w:r>
        <w:rPr>
          <w:rFonts w:ascii="Arial" w:hAnsi="Arial" w:cs="Arial"/>
          <w:bCs/>
          <w:iCs/>
          <w:sz w:val="22"/>
          <w:szCs w:val="22"/>
        </w:rPr>
        <w:t>Depth to Rock</w:t>
      </w:r>
    </w:p>
    <w:p w14:paraId="71F43DE7" w14:textId="77777777" w:rsidR="00356E0B" w:rsidRDefault="00356E0B" w:rsidP="00172E64">
      <w:pPr>
        <w:numPr>
          <w:ilvl w:val="0"/>
          <w:numId w:val="70"/>
        </w:numPr>
        <w:ind w:left="0" w:firstLine="0"/>
        <w:rPr>
          <w:rFonts w:ascii="Arial" w:hAnsi="Arial" w:cs="Arial"/>
          <w:bCs/>
          <w:iCs/>
          <w:sz w:val="22"/>
          <w:szCs w:val="22"/>
        </w:rPr>
      </w:pPr>
      <w:r>
        <w:rPr>
          <w:rFonts w:ascii="Arial" w:hAnsi="Arial" w:cs="Arial"/>
          <w:bCs/>
          <w:iCs/>
          <w:sz w:val="22"/>
          <w:szCs w:val="22"/>
        </w:rPr>
        <w:t>Rock Rippability</w:t>
      </w:r>
    </w:p>
    <w:p w14:paraId="41F7B9DC" w14:textId="77777777" w:rsidR="00356E0B" w:rsidRDefault="00356E0B" w:rsidP="00172E64">
      <w:pPr>
        <w:numPr>
          <w:ilvl w:val="0"/>
          <w:numId w:val="70"/>
        </w:numPr>
        <w:ind w:left="0" w:firstLine="0"/>
        <w:rPr>
          <w:rFonts w:ascii="Arial" w:hAnsi="Arial" w:cs="Arial"/>
          <w:bCs/>
          <w:iCs/>
          <w:sz w:val="22"/>
          <w:szCs w:val="22"/>
        </w:rPr>
      </w:pPr>
      <w:r>
        <w:rPr>
          <w:rFonts w:ascii="Arial" w:hAnsi="Arial" w:cs="Arial"/>
          <w:bCs/>
          <w:iCs/>
          <w:sz w:val="22"/>
          <w:szCs w:val="22"/>
        </w:rPr>
        <w:t>Void Detection</w:t>
      </w:r>
    </w:p>
    <w:p w14:paraId="57A1F8F9" w14:textId="77777777" w:rsidR="00356E0B" w:rsidRDefault="00356E0B" w:rsidP="00172E64">
      <w:pPr>
        <w:numPr>
          <w:ilvl w:val="0"/>
          <w:numId w:val="70"/>
        </w:numPr>
        <w:ind w:left="0" w:firstLine="0"/>
        <w:rPr>
          <w:rFonts w:ascii="Arial" w:hAnsi="Arial" w:cs="Arial"/>
          <w:bCs/>
          <w:iCs/>
          <w:sz w:val="22"/>
          <w:szCs w:val="22"/>
        </w:rPr>
      </w:pPr>
      <w:r>
        <w:rPr>
          <w:rFonts w:ascii="Arial" w:hAnsi="Arial" w:cs="Arial"/>
          <w:bCs/>
          <w:iCs/>
          <w:sz w:val="22"/>
          <w:szCs w:val="22"/>
        </w:rPr>
        <w:t>Settlement Investigations</w:t>
      </w:r>
    </w:p>
    <w:p w14:paraId="7BD9504E" w14:textId="78EED89E" w:rsidR="00356E0B" w:rsidRPr="001F5B09" w:rsidRDefault="00356E0B" w:rsidP="00172E64">
      <w:pPr>
        <w:numPr>
          <w:ilvl w:val="0"/>
          <w:numId w:val="70"/>
        </w:numPr>
        <w:ind w:left="0" w:firstLine="0"/>
        <w:rPr>
          <w:rFonts w:ascii="Arial" w:hAnsi="Arial" w:cs="Arial"/>
          <w:bCs/>
          <w:iCs/>
          <w:sz w:val="22"/>
          <w:szCs w:val="22"/>
        </w:rPr>
      </w:pPr>
      <w:r>
        <w:rPr>
          <w:rFonts w:ascii="Arial" w:hAnsi="Arial" w:cs="Arial"/>
          <w:bCs/>
          <w:iCs/>
          <w:sz w:val="22"/>
          <w:szCs w:val="22"/>
        </w:rPr>
        <w:t>Subsurface Characterization</w:t>
      </w:r>
      <w:r w:rsidRPr="00A62B1B" w:rsidDel="00F7268A">
        <w:rPr>
          <w:rFonts w:ascii="Arial" w:hAnsi="Arial" w:cs="Arial"/>
          <w:bCs/>
          <w:iCs/>
          <w:sz w:val="22"/>
          <w:szCs w:val="22"/>
        </w:rPr>
        <w:t xml:space="preserve"> </w:t>
      </w:r>
    </w:p>
    <w:p w14:paraId="5AEAB719" w14:textId="77777777" w:rsidR="00356E0B" w:rsidRDefault="00356E0B" w:rsidP="00356E0B">
      <w:pPr>
        <w:jc w:val="both"/>
        <w:rPr>
          <w:rFonts w:ascii="Arial" w:hAnsi="Arial" w:cs="Arial"/>
          <w:bCs/>
          <w:iCs/>
          <w:sz w:val="22"/>
          <w:szCs w:val="22"/>
        </w:rPr>
      </w:pPr>
    </w:p>
    <w:p w14:paraId="797F102C" w14:textId="77777777" w:rsidR="00356E0B" w:rsidRPr="00356E0B" w:rsidDel="00F7268A" w:rsidRDefault="00356E0B" w:rsidP="00356E0B">
      <w:pPr>
        <w:jc w:val="both"/>
        <w:rPr>
          <w:rFonts w:ascii="Arial" w:hAnsi="Arial" w:cs="Arial"/>
          <w:bCs/>
          <w:iCs/>
          <w:sz w:val="22"/>
          <w:szCs w:val="22"/>
        </w:rPr>
      </w:pPr>
      <w:r w:rsidRPr="00A62B1B" w:rsidDel="00F7268A">
        <w:rPr>
          <w:rFonts w:ascii="Arial" w:hAnsi="Arial" w:cs="Arial"/>
          <w:bCs/>
          <w:iCs/>
          <w:sz w:val="22"/>
          <w:szCs w:val="22"/>
        </w:rPr>
        <w:t xml:space="preserve">The most </w:t>
      </w:r>
      <w:r w:rsidRPr="00356E0B" w:rsidDel="00F7268A">
        <w:rPr>
          <w:rFonts w:ascii="Arial" w:hAnsi="Arial" w:cs="Arial"/>
          <w:bCs/>
          <w:iCs/>
          <w:sz w:val="22"/>
          <w:szCs w:val="22"/>
        </w:rPr>
        <w:t xml:space="preserve">common </w:t>
      </w:r>
      <w:r w:rsidRPr="00356E0B">
        <w:rPr>
          <w:rFonts w:ascii="Arial" w:hAnsi="Arial" w:cs="Arial"/>
          <w:bCs/>
          <w:iCs/>
          <w:sz w:val="22"/>
          <w:szCs w:val="22"/>
        </w:rPr>
        <w:t>geophysical</w:t>
      </w:r>
      <w:r w:rsidRPr="00356E0B" w:rsidDel="00F7268A">
        <w:rPr>
          <w:rFonts w:ascii="Arial" w:hAnsi="Arial" w:cs="Arial"/>
          <w:bCs/>
          <w:iCs/>
          <w:sz w:val="22"/>
          <w:szCs w:val="22"/>
        </w:rPr>
        <w:t xml:space="preserve"> </w:t>
      </w:r>
      <w:r w:rsidRPr="00356E0B">
        <w:rPr>
          <w:rFonts w:ascii="Arial" w:hAnsi="Arial" w:cs="Arial"/>
          <w:bCs/>
          <w:iCs/>
          <w:sz w:val="22"/>
          <w:szCs w:val="22"/>
        </w:rPr>
        <w:t>technologies</w:t>
      </w:r>
      <w:r w:rsidRPr="00356E0B" w:rsidDel="00F7268A">
        <w:rPr>
          <w:rFonts w:ascii="Arial" w:hAnsi="Arial" w:cs="Arial"/>
          <w:bCs/>
          <w:iCs/>
          <w:sz w:val="22"/>
          <w:szCs w:val="22"/>
        </w:rPr>
        <w:t xml:space="preserve"> </w:t>
      </w:r>
      <w:r w:rsidRPr="00356E0B">
        <w:rPr>
          <w:rFonts w:ascii="Arial" w:hAnsi="Arial" w:cs="Arial"/>
          <w:bCs/>
          <w:iCs/>
          <w:sz w:val="22"/>
          <w:szCs w:val="22"/>
        </w:rPr>
        <w:t>for highway projects include:</w:t>
      </w:r>
    </w:p>
    <w:p w14:paraId="1A9C5CE0" w14:textId="77777777" w:rsidR="00356E0B" w:rsidRPr="00356E0B" w:rsidDel="00F7268A" w:rsidRDefault="00356E0B" w:rsidP="00356E0B">
      <w:pPr>
        <w:jc w:val="both"/>
        <w:rPr>
          <w:rFonts w:ascii="Arial" w:hAnsi="Arial" w:cs="Arial"/>
          <w:bCs/>
          <w:iCs/>
          <w:sz w:val="22"/>
          <w:szCs w:val="22"/>
        </w:rPr>
      </w:pPr>
    </w:p>
    <w:p w14:paraId="7BA3BEA2" w14:textId="77777777" w:rsidR="00356E0B" w:rsidRPr="00356E0B" w:rsidDel="00F7268A" w:rsidRDefault="00356E0B" w:rsidP="00172E64">
      <w:pPr>
        <w:numPr>
          <w:ilvl w:val="0"/>
          <w:numId w:val="70"/>
        </w:numPr>
        <w:ind w:left="0" w:firstLine="0"/>
        <w:rPr>
          <w:rFonts w:ascii="Arial" w:hAnsi="Arial" w:cs="Arial"/>
          <w:bCs/>
          <w:iCs/>
          <w:sz w:val="22"/>
          <w:szCs w:val="22"/>
        </w:rPr>
      </w:pPr>
      <w:r w:rsidRPr="00356E0B">
        <w:rPr>
          <w:rFonts w:ascii="Arial" w:hAnsi="Arial" w:cs="Arial"/>
          <w:bCs/>
          <w:iCs/>
          <w:sz w:val="22"/>
          <w:szCs w:val="22"/>
        </w:rPr>
        <w:t>Seismic Refraction</w:t>
      </w:r>
    </w:p>
    <w:p w14:paraId="53D55512" w14:textId="77777777" w:rsidR="00356E0B" w:rsidRPr="00356E0B" w:rsidRDefault="00356E0B" w:rsidP="00172E64">
      <w:pPr>
        <w:numPr>
          <w:ilvl w:val="0"/>
          <w:numId w:val="70"/>
        </w:numPr>
        <w:ind w:left="0" w:firstLine="0"/>
        <w:rPr>
          <w:rFonts w:ascii="Arial" w:hAnsi="Arial" w:cs="Arial"/>
          <w:bCs/>
          <w:iCs/>
          <w:sz w:val="22"/>
          <w:szCs w:val="22"/>
        </w:rPr>
      </w:pPr>
      <w:r w:rsidRPr="00356E0B">
        <w:rPr>
          <w:rFonts w:ascii="Arial" w:hAnsi="Arial" w:cs="Arial"/>
          <w:bCs/>
          <w:iCs/>
          <w:sz w:val="22"/>
          <w:szCs w:val="22"/>
        </w:rPr>
        <w:t>Multi-channel Analysis of Surface Waves</w:t>
      </w:r>
    </w:p>
    <w:p w14:paraId="3A2D7612" w14:textId="77777777" w:rsidR="00356E0B" w:rsidRPr="00356E0B" w:rsidRDefault="00356E0B" w:rsidP="00172E64">
      <w:pPr>
        <w:numPr>
          <w:ilvl w:val="0"/>
          <w:numId w:val="70"/>
        </w:numPr>
        <w:ind w:left="0" w:firstLine="0"/>
        <w:rPr>
          <w:rFonts w:ascii="Arial" w:hAnsi="Arial" w:cs="Arial"/>
          <w:bCs/>
          <w:iCs/>
          <w:sz w:val="22"/>
          <w:szCs w:val="22"/>
        </w:rPr>
      </w:pPr>
      <w:r w:rsidRPr="00356E0B">
        <w:rPr>
          <w:rFonts w:ascii="Arial" w:hAnsi="Arial" w:cs="Arial"/>
          <w:bCs/>
          <w:iCs/>
          <w:sz w:val="22"/>
          <w:szCs w:val="22"/>
        </w:rPr>
        <w:t>Ground Penetrating Radar</w:t>
      </w:r>
    </w:p>
    <w:p w14:paraId="7D1764E8" w14:textId="77777777" w:rsidR="00356E0B" w:rsidRPr="00356E0B" w:rsidDel="00F7268A" w:rsidRDefault="00356E0B" w:rsidP="00172E64">
      <w:pPr>
        <w:numPr>
          <w:ilvl w:val="0"/>
          <w:numId w:val="70"/>
        </w:numPr>
        <w:ind w:left="0" w:firstLine="0"/>
        <w:rPr>
          <w:rFonts w:ascii="Arial" w:hAnsi="Arial" w:cs="Arial"/>
          <w:bCs/>
          <w:iCs/>
          <w:sz w:val="22"/>
          <w:szCs w:val="22"/>
        </w:rPr>
      </w:pPr>
      <w:r w:rsidRPr="00356E0B">
        <w:rPr>
          <w:rFonts w:ascii="Arial" w:hAnsi="Arial" w:cs="Arial"/>
          <w:bCs/>
          <w:iCs/>
          <w:sz w:val="22"/>
          <w:szCs w:val="22"/>
        </w:rPr>
        <w:t>Electrical Resistivity Imaging</w:t>
      </w:r>
    </w:p>
    <w:p w14:paraId="0587065B" w14:textId="7DF9139D" w:rsidR="00356E0B" w:rsidRPr="00356E0B" w:rsidRDefault="00356E0B" w:rsidP="00172E64">
      <w:pPr>
        <w:numPr>
          <w:ilvl w:val="0"/>
          <w:numId w:val="70"/>
        </w:numPr>
        <w:ind w:left="0" w:firstLine="0"/>
        <w:rPr>
          <w:rFonts w:ascii="Arial" w:hAnsi="Arial" w:cs="Arial"/>
          <w:bCs/>
          <w:iCs/>
          <w:sz w:val="22"/>
          <w:szCs w:val="22"/>
        </w:rPr>
      </w:pPr>
      <w:r w:rsidRPr="00356E0B">
        <w:rPr>
          <w:rFonts w:ascii="Arial" w:hAnsi="Arial" w:cs="Arial"/>
          <w:bCs/>
          <w:iCs/>
          <w:sz w:val="22"/>
          <w:szCs w:val="22"/>
        </w:rPr>
        <w:t>Electromagnetics</w:t>
      </w:r>
      <w:r w:rsidRPr="00356E0B" w:rsidDel="00F7268A">
        <w:rPr>
          <w:rFonts w:ascii="Arial" w:hAnsi="Arial" w:cs="Arial"/>
          <w:bCs/>
          <w:iCs/>
          <w:sz w:val="22"/>
          <w:szCs w:val="22"/>
        </w:rPr>
        <w:t xml:space="preserve"> </w:t>
      </w:r>
    </w:p>
    <w:p w14:paraId="280B7E18" w14:textId="77777777" w:rsidR="00356E0B" w:rsidRPr="00356E0B" w:rsidRDefault="00356E0B" w:rsidP="00356E0B">
      <w:pPr>
        <w:autoSpaceDE w:val="0"/>
        <w:autoSpaceDN w:val="0"/>
        <w:adjustRightInd w:val="0"/>
        <w:rPr>
          <w:rFonts w:ascii="Arial" w:hAnsi="Arial" w:cs="Arial"/>
          <w:bCs/>
          <w:iCs/>
          <w:sz w:val="22"/>
          <w:szCs w:val="22"/>
        </w:rPr>
      </w:pPr>
    </w:p>
    <w:p w14:paraId="5BF11890" w14:textId="77777777" w:rsidR="00356E0B" w:rsidRPr="00356E0B" w:rsidRDefault="00356E0B" w:rsidP="00356E0B">
      <w:pPr>
        <w:autoSpaceDE w:val="0"/>
        <w:autoSpaceDN w:val="0"/>
        <w:adjustRightInd w:val="0"/>
        <w:rPr>
          <w:rFonts w:ascii="Arial" w:hAnsi="Arial" w:cs="Arial"/>
          <w:bCs/>
          <w:iCs/>
          <w:sz w:val="22"/>
          <w:szCs w:val="22"/>
        </w:rPr>
      </w:pPr>
      <w:r w:rsidRPr="00356E0B" w:rsidDel="00F7268A">
        <w:rPr>
          <w:rFonts w:ascii="Arial" w:hAnsi="Arial" w:cs="Arial"/>
          <w:bCs/>
          <w:iCs/>
          <w:sz w:val="22"/>
          <w:szCs w:val="22"/>
        </w:rPr>
        <w:t>For explanation</w:t>
      </w:r>
      <w:r w:rsidRPr="00356E0B">
        <w:rPr>
          <w:rFonts w:ascii="Arial" w:hAnsi="Arial" w:cs="Arial"/>
          <w:bCs/>
          <w:iCs/>
          <w:sz w:val="22"/>
          <w:szCs w:val="22"/>
        </w:rPr>
        <w:t>s</w:t>
      </w:r>
      <w:r w:rsidRPr="00356E0B" w:rsidDel="00F7268A">
        <w:rPr>
          <w:rFonts w:ascii="Arial" w:hAnsi="Arial" w:cs="Arial"/>
          <w:bCs/>
          <w:iCs/>
          <w:sz w:val="22"/>
          <w:szCs w:val="22"/>
        </w:rPr>
        <w:t xml:space="preserve"> o</w:t>
      </w:r>
      <w:r w:rsidRPr="00356E0B">
        <w:rPr>
          <w:rFonts w:ascii="Arial" w:hAnsi="Arial" w:cs="Arial"/>
          <w:bCs/>
          <w:iCs/>
          <w:sz w:val="22"/>
          <w:szCs w:val="22"/>
        </w:rPr>
        <w:t>f</w:t>
      </w:r>
      <w:r w:rsidRPr="00356E0B" w:rsidDel="00F7268A">
        <w:rPr>
          <w:rFonts w:ascii="Arial" w:hAnsi="Arial" w:cs="Arial"/>
          <w:bCs/>
          <w:iCs/>
          <w:sz w:val="22"/>
          <w:szCs w:val="22"/>
        </w:rPr>
        <w:t xml:space="preserve"> </w:t>
      </w:r>
      <w:r w:rsidRPr="00356E0B">
        <w:rPr>
          <w:rFonts w:ascii="Arial" w:hAnsi="Arial" w:cs="Arial"/>
          <w:bCs/>
          <w:iCs/>
          <w:sz w:val="22"/>
          <w:szCs w:val="22"/>
        </w:rPr>
        <w:t>geophysical technologies</w:t>
      </w:r>
      <w:r w:rsidRPr="00356E0B" w:rsidDel="00F7268A">
        <w:rPr>
          <w:rFonts w:ascii="Arial" w:hAnsi="Arial" w:cs="Arial"/>
          <w:bCs/>
          <w:iCs/>
          <w:sz w:val="22"/>
          <w:szCs w:val="22"/>
        </w:rPr>
        <w:t>, refer to:</w:t>
      </w:r>
    </w:p>
    <w:p w14:paraId="4B482ED8" w14:textId="77777777" w:rsidR="00356E0B" w:rsidRPr="00356E0B" w:rsidDel="00F7268A" w:rsidRDefault="00356E0B" w:rsidP="00356E0B">
      <w:pPr>
        <w:autoSpaceDE w:val="0"/>
        <w:autoSpaceDN w:val="0"/>
        <w:adjustRightInd w:val="0"/>
        <w:rPr>
          <w:rFonts w:ascii="Arial" w:hAnsi="Arial" w:cs="Arial"/>
          <w:bCs/>
          <w:iCs/>
          <w:sz w:val="22"/>
          <w:szCs w:val="22"/>
        </w:rPr>
      </w:pPr>
    </w:p>
    <w:p w14:paraId="192AA1F6" w14:textId="421BDA24" w:rsidR="00C64B1F" w:rsidRDefault="00C64B1F" w:rsidP="00172E64">
      <w:pPr>
        <w:numPr>
          <w:ilvl w:val="0"/>
          <w:numId w:val="143"/>
        </w:numPr>
        <w:autoSpaceDE w:val="0"/>
        <w:autoSpaceDN w:val="0"/>
        <w:adjustRightInd w:val="0"/>
        <w:jc w:val="both"/>
        <w:rPr>
          <w:rFonts w:ascii="Arial" w:hAnsi="Arial"/>
          <w:sz w:val="22"/>
          <w:szCs w:val="22"/>
        </w:rPr>
      </w:pPr>
      <w:r>
        <w:rPr>
          <w:rFonts w:ascii="Arial" w:hAnsi="Arial"/>
          <w:sz w:val="22"/>
          <w:szCs w:val="22"/>
        </w:rPr>
        <w:t xml:space="preserve">ASTM D6429. Standard Guide for Selecting Surface Geophysical Methods. </w:t>
      </w:r>
      <w:r w:rsidR="005A5F71">
        <w:rPr>
          <w:rFonts w:ascii="Arial" w:hAnsi="Arial"/>
          <w:sz w:val="22"/>
          <w:szCs w:val="22"/>
        </w:rPr>
        <w:t>1999 updated 2011.</w:t>
      </w:r>
    </w:p>
    <w:p w14:paraId="349E69B7" w14:textId="77777777" w:rsidR="00C64B1F" w:rsidRDefault="00C64B1F" w:rsidP="005A5F71">
      <w:pPr>
        <w:autoSpaceDE w:val="0"/>
        <w:autoSpaceDN w:val="0"/>
        <w:adjustRightInd w:val="0"/>
        <w:ind w:left="720"/>
        <w:jc w:val="both"/>
        <w:rPr>
          <w:rFonts w:ascii="Arial" w:hAnsi="Arial"/>
          <w:sz w:val="22"/>
          <w:szCs w:val="22"/>
        </w:rPr>
      </w:pPr>
    </w:p>
    <w:p w14:paraId="4F99372A" w14:textId="77777777" w:rsidR="001B1F64" w:rsidRPr="001B1F64" w:rsidRDefault="001B1F64" w:rsidP="00172E64">
      <w:pPr>
        <w:numPr>
          <w:ilvl w:val="0"/>
          <w:numId w:val="143"/>
        </w:numPr>
        <w:autoSpaceDE w:val="0"/>
        <w:autoSpaceDN w:val="0"/>
        <w:adjustRightInd w:val="0"/>
        <w:jc w:val="both"/>
        <w:rPr>
          <w:rFonts w:ascii="Arial" w:hAnsi="Arial"/>
          <w:sz w:val="22"/>
          <w:szCs w:val="22"/>
        </w:rPr>
      </w:pPr>
      <w:r w:rsidRPr="001B1F64">
        <w:rPr>
          <w:rFonts w:ascii="Arial" w:hAnsi="Arial"/>
          <w:sz w:val="22"/>
          <w:szCs w:val="22"/>
        </w:rPr>
        <w:t xml:space="preserve">Caterpillar Tractor Company. </w:t>
      </w:r>
      <w:r w:rsidRPr="001B1F64">
        <w:rPr>
          <w:rFonts w:ascii="Arial" w:hAnsi="Arial"/>
          <w:i/>
          <w:sz w:val="22"/>
          <w:szCs w:val="22"/>
        </w:rPr>
        <w:t>Caterpillar Performance Handbook.</w:t>
      </w:r>
      <w:r w:rsidRPr="001B1F64">
        <w:rPr>
          <w:rFonts w:ascii="Arial" w:hAnsi="Arial"/>
          <w:sz w:val="22"/>
          <w:szCs w:val="22"/>
        </w:rPr>
        <w:t xml:space="preserve"> Peoria, Illinois. 2017.</w:t>
      </w:r>
    </w:p>
    <w:p w14:paraId="43E61528" w14:textId="77777777" w:rsidR="001B1F64" w:rsidRPr="00A02D42" w:rsidRDefault="001B1F64" w:rsidP="001B1F64">
      <w:pPr>
        <w:autoSpaceDE w:val="0"/>
        <w:autoSpaceDN w:val="0"/>
        <w:adjustRightInd w:val="0"/>
        <w:jc w:val="both"/>
        <w:rPr>
          <w:rFonts w:ascii="Arial" w:hAnsi="Arial"/>
          <w:sz w:val="22"/>
          <w:szCs w:val="22"/>
        </w:rPr>
      </w:pPr>
    </w:p>
    <w:p w14:paraId="6CC683A2" w14:textId="77777777" w:rsidR="001B1F64" w:rsidRPr="00A02D42" w:rsidRDefault="001B1F64" w:rsidP="00172E64">
      <w:pPr>
        <w:numPr>
          <w:ilvl w:val="0"/>
          <w:numId w:val="143"/>
        </w:numPr>
        <w:autoSpaceDE w:val="0"/>
        <w:autoSpaceDN w:val="0"/>
        <w:adjustRightInd w:val="0"/>
        <w:jc w:val="both"/>
        <w:rPr>
          <w:rFonts w:ascii="Arial" w:hAnsi="Arial"/>
          <w:bCs/>
          <w:iCs/>
          <w:sz w:val="22"/>
          <w:szCs w:val="22"/>
        </w:rPr>
      </w:pPr>
      <w:r w:rsidRPr="00A02D42">
        <w:rPr>
          <w:rFonts w:ascii="Arial" w:hAnsi="Arial"/>
          <w:bCs/>
          <w:iCs/>
          <w:sz w:val="22"/>
          <w:szCs w:val="22"/>
        </w:rPr>
        <w:t>Federal Highway Administration.</w:t>
      </w:r>
      <w:r w:rsidRPr="00A02D42">
        <w:rPr>
          <w:rFonts w:ascii="Arial" w:hAnsi="Arial"/>
          <w:bCs/>
          <w:i/>
          <w:iCs/>
          <w:sz w:val="22"/>
          <w:szCs w:val="22"/>
        </w:rPr>
        <w:t xml:space="preserve"> Application of Geophysical Methods to Highway Related Problems.</w:t>
      </w:r>
      <w:r w:rsidRPr="00A02D42">
        <w:rPr>
          <w:rFonts w:ascii="Arial" w:hAnsi="Arial"/>
          <w:bCs/>
          <w:iCs/>
          <w:sz w:val="22"/>
          <w:szCs w:val="22"/>
        </w:rPr>
        <w:t xml:space="preserve">  FHWA-IF-04-021. 2003.</w:t>
      </w:r>
    </w:p>
    <w:p w14:paraId="16B4D178" w14:textId="77777777" w:rsidR="001B1F64" w:rsidRPr="001B1F64" w:rsidRDefault="001B1F64" w:rsidP="001B1F64">
      <w:pPr>
        <w:autoSpaceDE w:val="0"/>
        <w:autoSpaceDN w:val="0"/>
        <w:adjustRightInd w:val="0"/>
        <w:jc w:val="both"/>
        <w:rPr>
          <w:rFonts w:ascii="Arial" w:hAnsi="Arial"/>
          <w:bCs/>
          <w:iCs/>
          <w:sz w:val="22"/>
          <w:szCs w:val="22"/>
          <w:u w:val="single"/>
        </w:rPr>
      </w:pPr>
    </w:p>
    <w:p w14:paraId="31D4A690" w14:textId="185A7032" w:rsidR="001B1F64" w:rsidRPr="001B1F64" w:rsidRDefault="001B1F64" w:rsidP="00172E64">
      <w:pPr>
        <w:numPr>
          <w:ilvl w:val="0"/>
          <w:numId w:val="143"/>
        </w:numPr>
        <w:autoSpaceDE w:val="0"/>
        <w:autoSpaceDN w:val="0"/>
        <w:adjustRightInd w:val="0"/>
        <w:jc w:val="both"/>
        <w:rPr>
          <w:rFonts w:ascii="Arial" w:hAnsi="Arial"/>
          <w:sz w:val="22"/>
          <w:szCs w:val="22"/>
        </w:rPr>
      </w:pPr>
      <w:r w:rsidRPr="001B1F64">
        <w:rPr>
          <w:rFonts w:ascii="Arial" w:hAnsi="Arial"/>
          <w:sz w:val="22"/>
          <w:szCs w:val="22"/>
        </w:rPr>
        <w:t xml:space="preserve">Minnesota DOT. </w:t>
      </w:r>
      <w:r w:rsidR="005A5F71" w:rsidRPr="005A5F71">
        <w:rPr>
          <w:rFonts w:ascii="Arial" w:hAnsi="Arial"/>
          <w:i/>
          <w:sz w:val="22"/>
          <w:szCs w:val="22"/>
        </w:rPr>
        <w:t>2017 Geotechnical Engineering Manual: Geotechnical Engineering Section</w:t>
      </w:r>
      <w:r w:rsidRPr="001B1F64">
        <w:rPr>
          <w:rFonts w:ascii="Arial" w:hAnsi="Arial"/>
          <w:i/>
          <w:sz w:val="22"/>
          <w:szCs w:val="22"/>
        </w:rPr>
        <w:t>.</w:t>
      </w:r>
      <w:r w:rsidRPr="001B1F64">
        <w:rPr>
          <w:rFonts w:ascii="Arial" w:hAnsi="Arial"/>
          <w:sz w:val="22"/>
          <w:szCs w:val="22"/>
        </w:rPr>
        <w:t xml:space="preserve"> 2017.</w:t>
      </w:r>
    </w:p>
    <w:p w14:paraId="46069E1B" w14:textId="77777777" w:rsidR="001B1F64" w:rsidRPr="001B1F64" w:rsidRDefault="001B1F64" w:rsidP="001B1F64">
      <w:pPr>
        <w:autoSpaceDE w:val="0"/>
        <w:autoSpaceDN w:val="0"/>
        <w:adjustRightInd w:val="0"/>
        <w:jc w:val="both"/>
        <w:rPr>
          <w:rFonts w:ascii="Arial" w:hAnsi="Arial"/>
          <w:sz w:val="22"/>
          <w:szCs w:val="22"/>
        </w:rPr>
      </w:pPr>
    </w:p>
    <w:p w14:paraId="06EC49B4" w14:textId="77777777" w:rsidR="001B1F64" w:rsidRPr="001B1F64" w:rsidRDefault="001B1F64" w:rsidP="00172E64">
      <w:pPr>
        <w:numPr>
          <w:ilvl w:val="0"/>
          <w:numId w:val="143"/>
        </w:numPr>
        <w:autoSpaceDE w:val="0"/>
        <w:autoSpaceDN w:val="0"/>
        <w:adjustRightInd w:val="0"/>
        <w:jc w:val="both"/>
        <w:rPr>
          <w:rFonts w:ascii="Arial" w:hAnsi="Arial"/>
          <w:sz w:val="22"/>
          <w:szCs w:val="22"/>
        </w:rPr>
      </w:pPr>
      <w:r w:rsidRPr="001B1F64">
        <w:rPr>
          <w:rFonts w:ascii="Arial" w:hAnsi="Arial"/>
          <w:sz w:val="22"/>
          <w:szCs w:val="22"/>
        </w:rPr>
        <w:t xml:space="preserve">National Cooperative Highway Research Program (NCHRP).  </w:t>
      </w:r>
      <w:r w:rsidRPr="001B1F64">
        <w:rPr>
          <w:rFonts w:ascii="Arial" w:hAnsi="Arial"/>
          <w:i/>
          <w:sz w:val="22"/>
          <w:szCs w:val="22"/>
        </w:rPr>
        <w:t xml:space="preserve">Use of Geophysics for Transportation Projects. </w:t>
      </w:r>
      <w:r w:rsidRPr="001B1F64">
        <w:rPr>
          <w:rFonts w:ascii="Arial" w:hAnsi="Arial"/>
          <w:sz w:val="22"/>
          <w:szCs w:val="22"/>
        </w:rPr>
        <w:t>2006.</w:t>
      </w:r>
    </w:p>
    <w:p w14:paraId="31D43457" w14:textId="77777777" w:rsidR="001B1F64" w:rsidRPr="001B1F64" w:rsidRDefault="001B1F64" w:rsidP="001B1F64">
      <w:pPr>
        <w:autoSpaceDE w:val="0"/>
        <w:autoSpaceDN w:val="0"/>
        <w:adjustRightInd w:val="0"/>
        <w:jc w:val="both"/>
        <w:rPr>
          <w:rFonts w:ascii="Arial" w:hAnsi="Arial"/>
          <w:sz w:val="22"/>
          <w:szCs w:val="22"/>
        </w:rPr>
      </w:pPr>
    </w:p>
    <w:p w14:paraId="34E8BF0E" w14:textId="77777777" w:rsidR="001B1F64" w:rsidRPr="001B1F64" w:rsidRDefault="001B1F64" w:rsidP="00172E64">
      <w:pPr>
        <w:numPr>
          <w:ilvl w:val="0"/>
          <w:numId w:val="143"/>
        </w:numPr>
        <w:autoSpaceDE w:val="0"/>
        <w:autoSpaceDN w:val="0"/>
        <w:adjustRightInd w:val="0"/>
        <w:jc w:val="both"/>
        <w:rPr>
          <w:rFonts w:ascii="Arial" w:hAnsi="Arial"/>
          <w:sz w:val="22"/>
          <w:szCs w:val="22"/>
        </w:rPr>
      </w:pPr>
      <w:r w:rsidRPr="001B1F64">
        <w:rPr>
          <w:rFonts w:ascii="Arial" w:hAnsi="Arial"/>
          <w:sz w:val="22"/>
          <w:szCs w:val="22"/>
        </w:rPr>
        <w:t xml:space="preserve">National Highway Institute. </w:t>
      </w:r>
      <w:r w:rsidRPr="001B1F64">
        <w:rPr>
          <w:rFonts w:ascii="Arial" w:hAnsi="Arial"/>
          <w:i/>
          <w:sz w:val="22"/>
          <w:szCs w:val="22"/>
        </w:rPr>
        <w:t>Subsurface Investigations – Geotechnical Site Characterizations Reference Manual.</w:t>
      </w:r>
      <w:r w:rsidRPr="001B1F64">
        <w:rPr>
          <w:rFonts w:ascii="Arial" w:hAnsi="Arial"/>
          <w:sz w:val="22"/>
          <w:szCs w:val="22"/>
        </w:rPr>
        <w:t xml:space="preserve"> Course No. 132031. 2002.</w:t>
      </w:r>
    </w:p>
    <w:p w14:paraId="5FF64092" w14:textId="77777777" w:rsidR="001B1F64" w:rsidRPr="001B1F64" w:rsidRDefault="001B1F64" w:rsidP="001B1F64">
      <w:pPr>
        <w:autoSpaceDE w:val="0"/>
        <w:autoSpaceDN w:val="0"/>
        <w:adjustRightInd w:val="0"/>
        <w:jc w:val="both"/>
        <w:rPr>
          <w:rFonts w:ascii="Arial" w:hAnsi="Arial"/>
          <w:sz w:val="22"/>
          <w:szCs w:val="22"/>
        </w:rPr>
      </w:pPr>
    </w:p>
    <w:p w14:paraId="0517FBA2" w14:textId="77777777" w:rsidR="001B1F64" w:rsidRDefault="001B1F64" w:rsidP="00172E64">
      <w:pPr>
        <w:numPr>
          <w:ilvl w:val="0"/>
          <w:numId w:val="143"/>
        </w:numPr>
        <w:autoSpaceDE w:val="0"/>
        <w:autoSpaceDN w:val="0"/>
        <w:adjustRightInd w:val="0"/>
        <w:jc w:val="both"/>
        <w:rPr>
          <w:rFonts w:ascii="Arial" w:hAnsi="Arial"/>
          <w:sz w:val="22"/>
          <w:szCs w:val="22"/>
        </w:rPr>
      </w:pPr>
      <w:r w:rsidRPr="001B1F64">
        <w:rPr>
          <w:rFonts w:ascii="Arial" w:hAnsi="Arial"/>
          <w:sz w:val="22"/>
          <w:szCs w:val="22"/>
        </w:rPr>
        <w:t xml:space="preserve">New Hampshire DOT. </w:t>
      </w:r>
      <w:r w:rsidRPr="001B1F64">
        <w:rPr>
          <w:rFonts w:ascii="Arial" w:hAnsi="Arial"/>
          <w:i/>
          <w:sz w:val="22"/>
          <w:szCs w:val="22"/>
        </w:rPr>
        <w:t>Integrated Geophysical Methods for Geotechnical Subsurface Investigations.</w:t>
      </w:r>
      <w:r w:rsidRPr="001B1F64">
        <w:rPr>
          <w:rFonts w:ascii="Arial" w:hAnsi="Arial"/>
          <w:sz w:val="22"/>
          <w:szCs w:val="22"/>
        </w:rPr>
        <w:t xml:space="preserve"> 2006.</w:t>
      </w:r>
    </w:p>
    <w:p w14:paraId="14D5C8AE" w14:textId="77777777" w:rsidR="00FC77F8" w:rsidRDefault="00FC77F8" w:rsidP="00FC77F8">
      <w:pPr>
        <w:pStyle w:val="ListParagraph"/>
        <w:rPr>
          <w:rFonts w:ascii="Arial" w:hAnsi="Arial"/>
          <w:sz w:val="22"/>
          <w:szCs w:val="22"/>
        </w:rPr>
      </w:pPr>
    </w:p>
    <w:p w14:paraId="4004D7C0" w14:textId="03FD2509" w:rsidR="00FC77F8" w:rsidRDefault="00FC77F8" w:rsidP="00172E64">
      <w:pPr>
        <w:numPr>
          <w:ilvl w:val="0"/>
          <w:numId w:val="143"/>
        </w:numPr>
        <w:autoSpaceDE w:val="0"/>
        <w:autoSpaceDN w:val="0"/>
        <w:adjustRightInd w:val="0"/>
        <w:jc w:val="both"/>
        <w:rPr>
          <w:rFonts w:ascii="Arial" w:hAnsi="Arial"/>
          <w:sz w:val="22"/>
          <w:szCs w:val="22"/>
        </w:rPr>
      </w:pPr>
      <w:r>
        <w:rPr>
          <w:rFonts w:ascii="Arial" w:hAnsi="Arial"/>
          <w:sz w:val="22"/>
          <w:szCs w:val="22"/>
        </w:rPr>
        <w:t xml:space="preserve">Transportation Research Board. Transportation Research Circular: </w:t>
      </w:r>
      <w:r w:rsidRPr="00FC77F8">
        <w:rPr>
          <w:rFonts w:ascii="Arial" w:hAnsi="Arial"/>
          <w:i/>
          <w:sz w:val="22"/>
          <w:szCs w:val="22"/>
        </w:rPr>
        <w:t>Geophysical Methods Commonly Employed for Geotechnical Site Characterization</w:t>
      </w:r>
      <w:r>
        <w:rPr>
          <w:rFonts w:ascii="Arial" w:hAnsi="Arial"/>
          <w:sz w:val="22"/>
          <w:szCs w:val="22"/>
        </w:rPr>
        <w:t>. 2008.</w:t>
      </w:r>
    </w:p>
    <w:p w14:paraId="437E7CEC" w14:textId="77777777" w:rsidR="005A5F71" w:rsidRDefault="005A5F71" w:rsidP="00FC77F8">
      <w:pPr>
        <w:pStyle w:val="ListParagraph"/>
        <w:rPr>
          <w:rFonts w:ascii="Arial" w:hAnsi="Arial"/>
          <w:sz w:val="22"/>
          <w:szCs w:val="22"/>
        </w:rPr>
      </w:pPr>
    </w:p>
    <w:p w14:paraId="418C6EAB" w14:textId="2FF17A90" w:rsidR="005A5F71" w:rsidRPr="001B1F64" w:rsidRDefault="005A5F71" w:rsidP="00172E64">
      <w:pPr>
        <w:numPr>
          <w:ilvl w:val="0"/>
          <w:numId w:val="143"/>
        </w:numPr>
        <w:autoSpaceDE w:val="0"/>
        <w:autoSpaceDN w:val="0"/>
        <w:adjustRightInd w:val="0"/>
        <w:jc w:val="both"/>
        <w:rPr>
          <w:rFonts w:ascii="Arial" w:hAnsi="Arial"/>
          <w:sz w:val="22"/>
          <w:szCs w:val="22"/>
        </w:rPr>
      </w:pPr>
      <w:r>
        <w:rPr>
          <w:rFonts w:ascii="Arial" w:hAnsi="Arial"/>
          <w:sz w:val="22"/>
          <w:szCs w:val="22"/>
        </w:rPr>
        <w:t>US Army Corps of Engineers. Geophysical Exploration for Engineering and Environmental Investigations. 1995.</w:t>
      </w:r>
    </w:p>
    <w:p w14:paraId="2D4012C3" w14:textId="77777777" w:rsidR="00356E0B" w:rsidRDefault="00356E0B" w:rsidP="00BE3F24">
      <w:pPr>
        <w:autoSpaceDE w:val="0"/>
        <w:autoSpaceDN w:val="0"/>
        <w:adjustRightInd w:val="0"/>
        <w:jc w:val="both"/>
        <w:rPr>
          <w:rFonts w:ascii="Arial" w:hAnsi="Arial" w:cs="Arial"/>
          <w:sz w:val="22"/>
          <w:szCs w:val="22"/>
        </w:rPr>
      </w:pPr>
    </w:p>
    <w:p w14:paraId="5DC9CCF0" w14:textId="577275BB" w:rsidR="00356E0B" w:rsidRDefault="00356E0B" w:rsidP="00172E64">
      <w:pPr>
        <w:pStyle w:val="Heading3"/>
        <w:numPr>
          <w:ilvl w:val="2"/>
          <w:numId w:val="185"/>
        </w:numPr>
      </w:pPr>
      <w:r>
        <w:lastRenderedPageBreak/>
        <w:t>Geotechnical Boring References</w:t>
      </w:r>
    </w:p>
    <w:p w14:paraId="4462FB78" w14:textId="77777777" w:rsidR="00A62B1B" w:rsidRPr="00A62B1B" w:rsidRDefault="00A62B1B" w:rsidP="00BE3F24">
      <w:pPr>
        <w:autoSpaceDE w:val="0"/>
        <w:autoSpaceDN w:val="0"/>
        <w:adjustRightInd w:val="0"/>
        <w:jc w:val="both"/>
        <w:rPr>
          <w:rFonts w:ascii="Arial" w:hAnsi="Arial" w:cs="Arial"/>
          <w:sz w:val="22"/>
          <w:szCs w:val="22"/>
        </w:rPr>
      </w:pPr>
      <w:r w:rsidRPr="00A62B1B">
        <w:rPr>
          <w:rFonts w:ascii="Arial" w:hAnsi="Arial" w:cs="Arial"/>
          <w:sz w:val="22"/>
          <w:szCs w:val="22"/>
        </w:rPr>
        <w:t xml:space="preserve">A wide variety of equipment is available for performing borings and obtaining soil samples. The method used to advance the boring should be compatible with the soil and groundwater conditions to assure that soil samples of suitable quality are obtained. </w:t>
      </w:r>
    </w:p>
    <w:p w14:paraId="52F84E53" w14:textId="77777777" w:rsidR="008B666A" w:rsidRDefault="008B666A" w:rsidP="00BE3F24">
      <w:pPr>
        <w:autoSpaceDE w:val="0"/>
        <w:autoSpaceDN w:val="0"/>
        <w:adjustRightInd w:val="0"/>
        <w:jc w:val="both"/>
        <w:rPr>
          <w:rFonts w:ascii="Arial" w:hAnsi="Arial" w:cs="Arial"/>
          <w:sz w:val="22"/>
          <w:szCs w:val="22"/>
        </w:rPr>
      </w:pPr>
    </w:p>
    <w:p w14:paraId="245609E8" w14:textId="77777777" w:rsidR="00A62B1B" w:rsidRPr="00A62B1B" w:rsidRDefault="00A62B1B" w:rsidP="00BE3F24">
      <w:pPr>
        <w:autoSpaceDE w:val="0"/>
        <w:autoSpaceDN w:val="0"/>
        <w:adjustRightInd w:val="0"/>
        <w:jc w:val="both"/>
        <w:rPr>
          <w:rFonts w:ascii="Arial" w:hAnsi="Arial" w:cs="Arial"/>
          <w:sz w:val="22"/>
          <w:szCs w:val="22"/>
        </w:rPr>
      </w:pPr>
      <w:r w:rsidRPr="00A62B1B">
        <w:rPr>
          <w:rFonts w:ascii="Arial" w:hAnsi="Arial" w:cs="Arial"/>
          <w:sz w:val="22"/>
          <w:szCs w:val="22"/>
        </w:rPr>
        <w:t xml:space="preserve">For more information on types of equipment </w:t>
      </w:r>
      <w:r w:rsidR="003D35CC">
        <w:rPr>
          <w:rFonts w:ascii="Arial" w:hAnsi="Arial" w:cs="Arial"/>
          <w:sz w:val="22"/>
          <w:szCs w:val="22"/>
        </w:rPr>
        <w:t>available to</w:t>
      </w:r>
      <w:r w:rsidRPr="00A62B1B">
        <w:rPr>
          <w:rFonts w:ascii="Arial" w:hAnsi="Arial" w:cs="Arial"/>
          <w:sz w:val="22"/>
          <w:szCs w:val="22"/>
        </w:rPr>
        <w:t xml:space="preserve"> perform borings and obtaining samples, refer to</w:t>
      </w:r>
      <w:r>
        <w:rPr>
          <w:rFonts w:ascii="Arial" w:hAnsi="Arial" w:cs="Arial"/>
          <w:sz w:val="22"/>
          <w:szCs w:val="22"/>
        </w:rPr>
        <w:t>:</w:t>
      </w:r>
    </w:p>
    <w:p w14:paraId="13C6BE8F" w14:textId="77777777" w:rsidR="00A62B1B" w:rsidRPr="00A62B1B" w:rsidRDefault="00A62B1B" w:rsidP="00BE3F24">
      <w:pPr>
        <w:autoSpaceDE w:val="0"/>
        <w:autoSpaceDN w:val="0"/>
        <w:adjustRightInd w:val="0"/>
        <w:rPr>
          <w:rFonts w:ascii="Arial" w:hAnsi="Arial" w:cs="Arial"/>
          <w:sz w:val="22"/>
          <w:szCs w:val="22"/>
        </w:rPr>
      </w:pPr>
    </w:p>
    <w:p w14:paraId="20A82919" w14:textId="344301D3" w:rsidR="008B666A" w:rsidRPr="008B666A" w:rsidRDefault="00A62B1B" w:rsidP="00172E64">
      <w:pPr>
        <w:numPr>
          <w:ilvl w:val="0"/>
          <w:numId w:val="68"/>
        </w:numPr>
        <w:autoSpaceDE w:val="0"/>
        <w:autoSpaceDN w:val="0"/>
        <w:adjustRightInd w:val="0"/>
        <w:ind w:left="720"/>
        <w:jc w:val="both"/>
      </w:pPr>
      <w:r w:rsidRPr="00A62B1B">
        <w:rPr>
          <w:rFonts w:ascii="Arial" w:hAnsi="Arial" w:cs="Arial"/>
          <w:sz w:val="22"/>
          <w:szCs w:val="22"/>
        </w:rPr>
        <w:t>Federal Highway Administration and National Highway Institute, “Subsurface Investigation Qualification</w:t>
      </w:r>
      <w:r w:rsidR="008B666A">
        <w:rPr>
          <w:rFonts w:ascii="Arial" w:hAnsi="Arial" w:cs="Arial"/>
          <w:sz w:val="22"/>
          <w:szCs w:val="22"/>
        </w:rPr>
        <w:t>,</w:t>
      </w:r>
      <w:r w:rsidRPr="00A62B1B">
        <w:rPr>
          <w:rFonts w:ascii="Arial" w:hAnsi="Arial" w:cs="Arial"/>
          <w:sz w:val="22"/>
          <w:szCs w:val="22"/>
        </w:rPr>
        <w:t xml:space="preserve">” FHWA NHI 132079. </w:t>
      </w:r>
    </w:p>
    <w:p w14:paraId="4A892D0B" w14:textId="7E1760B4" w:rsidR="001A15B9" w:rsidRPr="008014BA" w:rsidRDefault="001A15B9" w:rsidP="008B666A">
      <w:pPr>
        <w:autoSpaceDE w:val="0"/>
        <w:autoSpaceDN w:val="0"/>
        <w:adjustRightInd w:val="0"/>
        <w:ind w:left="720"/>
        <w:jc w:val="both"/>
      </w:pPr>
    </w:p>
    <w:p w14:paraId="0AA5BEA2" w14:textId="4F87C173" w:rsidR="008B666A" w:rsidRPr="008B666A" w:rsidRDefault="00A62B1B" w:rsidP="00172E64">
      <w:pPr>
        <w:numPr>
          <w:ilvl w:val="0"/>
          <w:numId w:val="68"/>
        </w:numPr>
        <w:autoSpaceDE w:val="0"/>
        <w:autoSpaceDN w:val="0"/>
        <w:adjustRightInd w:val="0"/>
        <w:ind w:left="720"/>
        <w:jc w:val="both"/>
        <w:rPr>
          <w:rFonts w:ascii="Arial" w:hAnsi="Arial" w:cs="Arial"/>
          <w:bCs/>
          <w:iCs/>
          <w:sz w:val="22"/>
          <w:szCs w:val="22"/>
        </w:rPr>
      </w:pPr>
      <w:r w:rsidRPr="00A62B1B">
        <w:rPr>
          <w:rFonts w:ascii="Arial" w:hAnsi="Arial" w:cs="Arial"/>
          <w:sz w:val="22"/>
          <w:szCs w:val="22"/>
        </w:rPr>
        <w:t>Federal Highway Administration and National Highway Institute, “Subsurface Investigations – Geotechnical Site Characterization</w:t>
      </w:r>
      <w:r w:rsidR="008B666A">
        <w:rPr>
          <w:rFonts w:ascii="Arial" w:hAnsi="Arial" w:cs="Arial"/>
          <w:sz w:val="22"/>
          <w:szCs w:val="22"/>
        </w:rPr>
        <w:t>,</w:t>
      </w:r>
      <w:r w:rsidRPr="00A62B1B">
        <w:rPr>
          <w:rFonts w:ascii="Arial" w:hAnsi="Arial" w:cs="Arial"/>
          <w:sz w:val="22"/>
          <w:szCs w:val="22"/>
        </w:rPr>
        <w:t>” FHWA NHI 132031, Chapter 3.0 and Chapter 5.0.</w:t>
      </w:r>
    </w:p>
    <w:p w14:paraId="0B91E893" w14:textId="61E5C8F5" w:rsidR="001A15B9" w:rsidRDefault="001A15B9" w:rsidP="00A42B5F">
      <w:pPr>
        <w:autoSpaceDE w:val="0"/>
        <w:autoSpaceDN w:val="0"/>
        <w:adjustRightInd w:val="0"/>
        <w:ind w:left="720"/>
        <w:jc w:val="both"/>
        <w:rPr>
          <w:rFonts w:ascii="Arial" w:hAnsi="Arial" w:cs="Arial"/>
          <w:bCs/>
          <w:iCs/>
          <w:sz w:val="22"/>
          <w:szCs w:val="22"/>
        </w:rPr>
      </w:pPr>
    </w:p>
    <w:p w14:paraId="566E6000" w14:textId="1865D080" w:rsidR="00356E0B" w:rsidRPr="00A42B5F" w:rsidRDefault="00A62B1B" w:rsidP="00172E64">
      <w:pPr>
        <w:numPr>
          <w:ilvl w:val="0"/>
          <w:numId w:val="68"/>
        </w:numPr>
        <w:autoSpaceDE w:val="0"/>
        <w:autoSpaceDN w:val="0"/>
        <w:adjustRightInd w:val="0"/>
        <w:ind w:left="720"/>
        <w:jc w:val="both"/>
      </w:pPr>
      <w:r w:rsidRPr="00356E0B">
        <w:rPr>
          <w:rFonts w:ascii="Arial" w:hAnsi="Arial" w:cs="Arial"/>
          <w:sz w:val="22"/>
          <w:szCs w:val="22"/>
        </w:rPr>
        <w:t>“Geotechnical Engineering Circular No. 5</w:t>
      </w:r>
      <w:r w:rsidR="008B666A" w:rsidRPr="00A42B5F">
        <w:rPr>
          <w:rFonts w:ascii="Arial" w:hAnsi="Arial"/>
        </w:rPr>
        <w:t xml:space="preserve"> </w:t>
      </w:r>
      <w:r w:rsidR="008B666A">
        <w:rPr>
          <w:rFonts w:ascii="Arial" w:hAnsi="Arial" w:cs="Arial"/>
        </w:rPr>
        <w:t>–</w:t>
      </w:r>
      <w:r w:rsidR="008B666A" w:rsidRPr="00A42B5F">
        <w:rPr>
          <w:rFonts w:ascii="Arial" w:hAnsi="Arial"/>
        </w:rPr>
        <w:t xml:space="preserve"> </w:t>
      </w:r>
      <w:r w:rsidRPr="00356E0B">
        <w:rPr>
          <w:rFonts w:ascii="Arial" w:hAnsi="Arial" w:cs="Arial"/>
          <w:sz w:val="22"/>
          <w:szCs w:val="22"/>
        </w:rPr>
        <w:t>Evaluation of Soil and Rock Properties</w:t>
      </w:r>
      <w:r w:rsidR="008B666A">
        <w:rPr>
          <w:rFonts w:ascii="Arial" w:hAnsi="Arial" w:cs="Arial"/>
          <w:sz w:val="22"/>
          <w:szCs w:val="22"/>
        </w:rPr>
        <w:t>,</w:t>
      </w:r>
      <w:r w:rsidRPr="00356E0B">
        <w:rPr>
          <w:rFonts w:ascii="Arial" w:hAnsi="Arial" w:cs="Arial"/>
          <w:sz w:val="22"/>
          <w:szCs w:val="22"/>
        </w:rPr>
        <w:t>” FHWA-IF-02-034, Chapter 4.0.</w:t>
      </w:r>
      <w:r w:rsidR="00356E0B" w:rsidRPr="00356E0B" w:rsidDel="00356E0B">
        <w:rPr>
          <w:rFonts w:ascii="Arial" w:hAnsi="Arial" w:cs="Arial"/>
          <w:bCs/>
          <w:iCs/>
          <w:sz w:val="22"/>
          <w:szCs w:val="22"/>
        </w:rPr>
        <w:t xml:space="preserve"> </w:t>
      </w:r>
      <w:bookmarkStart w:id="688" w:name="_Toc479160137"/>
    </w:p>
    <w:p w14:paraId="7669726F" w14:textId="5E2E18AE" w:rsidR="000B5FA2" w:rsidRPr="00160E58" w:rsidRDefault="00356E0B" w:rsidP="00172E64">
      <w:pPr>
        <w:pStyle w:val="Heading3"/>
        <w:numPr>
          <w:ilvl w:val="2"/>
          <w:numId w:val="185"/>
        </w:numPr>
      </w:pPr>
      <w:r>
        <w:t>G</w:t>
      </w:r>
      <w:r w:rsidR="00F7268A">
        <w:t xml:space="preserve">eotechnical </w:t>
      </w:r>
      <w:r>
        <w:t>I</w:t>
      </w:r>
      <w:r w:rsidR="00F7268A">
        <w:t>nstrumentation</w:t>
      </w:r>
      <w:bookmarkEnd w:id="688"/>
      <w:r>
        <w:t xml:space="preserve"> References</w:t>
      </w:r>
    </w:p>
    <w:p w14:paraId="383C2784" w14:textId="77777777" w:rsidR="0059425A" w:rsidRPr="00A62B1B" w:rsidDel="00F7268A" w:rsidRDefault="0059425A" w:rsidP="0059425A">
      <w:pPr>
        <w:jc w:val="both"/>
        <w:rPr>
          <w:rFonts w:ascii="Arial" w:hAnsi="Arial" w:cs="Arial"/>
          <w:bCs/>
          <w:iCs/>
          <w:sz w:val="22"/>
          <w:szCs w:val="22"/>
        </w:rPr>
      </w:pPr>
      <w:r w:rsidRPr="00A62B1B" w:rsidDel="00F7268A">
        <w:rPr>
          <w:rFonts w:ascii="Arial" w:hAnsi="Arial" w:cs="Arial"/>
          <w:bCs/>
          <w:iCs/>
          <w:sz w:val="22"/>
          <w:szCs w:val="22"/>
        </w:rPr>
        <w:t xml:space="preserve">The most common geotechnical instrumentation specified to monitor foundation </w:t>
      </w:r>
      <w:r w:rsidDel="00F7268A">
        <w:rPr>
          <w:rFonts w:ascii="Arial" w:hAnsi="Arial" w:cs="Arial"/>
          <w:bCs/>
          <w:iCs/>
          <w:sz w:val="22"/>
          <w:szCs w:val="22"/>
        </w:rPr>
        <w:t xml:space="preserve">movement and </w:t>
      </w:r>
      <w:r w:rsidRPr="00A62B1B" w:rsidDel="00F7268A">
        <w:rPr>
          <w:rFonts w:ascii="Arial" w:hAnsi="Arial" w:cs="Arial"/>
          <w:bCs/>
          <w:iCs/>
          <w:sz w:val="22"/>
          <w:szCs w:val="22"/>
        </w:rPr>
        <w:t xml:space="preserve">performance on highway projects where stability and settlement are </w:t>
      </w:r>
      <w:r w:rsidDel="00F7268A">
        <w:rPr>
          <w:rFonts w:ascii="Arial" w:hAnsi="Arial" w:cs="Arial"/>
          <w:bCs/>
          <w:iCs/>
          <w:sz w:val="22"/>
          <w:szCs w:val="22"/>
        </w:rPr>
        <w:t>a concern</w:t>
      </w:r>
      <w:r w:rsidRPr="00A62B1B" w:rsidDel="00F7268A">
        <w:rPr>
          <w:rFonts w:ascii="Arial" w:hAnsi="Arial" w:cs="Arial"/>
          <w:bCs/>
          <w:iCs/>
          <w:sz w:val="22"/>
          <w:szCs w:val="22"/>
        </w:rPr>
        <w:t xml:space="preserve"> consists of:</w:t>
      </w:r>
    </w:p>
    <w:p w14:paraId="76C4C585" w14:textId="77777777" w:rsidR="0059425A" w:rsidRPr="00A62B1B" w:rsidDel="00F7268A" w:rsidRDefault="0059425A" w:rsidP="0059425A">
      <w:pPr>
        <w:jc w:val="both"/>
        <w:rPr>
          <w:rFonts w:ascii="Arial" w:hAnsi="Arial" w:cs="Arial"/>
          <w:bCs/>
          <w:iCs/>
          <w:sz w:val="22"/>
          <w:szCs w:val="22"/>
        </w:rPr>
      </w:pPr>
    </w:p>
    <w:p w14:paraId="75DA85F6" w14:textId="77777777" w:rsidR="0059425A" w:rsidDel="00F7268A" w:rsidRDefault="0059425A" w:rsidP="00172E64">
      <w:pPr>
        <w:numPr>
          <w:ilvl w:val="0"/>
          <w:numId w:val="70"/>
        </w:numPr>
        <w:ind w:left="0" w:firstLine="0"/>
        <w:rPr>
          <w:rFonts w:ascii="Arial" w:hAnsi="Arial" w:cs="Arial"/>
          <w:bCs/>
          <w:iCs/>
          <w:sz w:val="22"/>
          <w:szCs w:val="22"/>
        </w:rPr>
      </w:pPr>
      <w:r w:rsidRPr="00A62B1B" w:rsidDel="00F7268A">
        <w:rPr>
          <w:rFonts w:ascii="Arial" w:hAnsi="Arial" w:cs="Arial"/>
          <w:bCs/>
          <w:iCs/>
          <w:sz w:val="22"/>
          <w:szCs w:val="22"/>
        </w:rPr>
        <w:t>Slope Inclinometers</w:t>
      </w:r>
    </w:p>
    <w:p w14:paraId="5B5217F1" w14:textId="77777777" w:rsidR="0059425A" w:rsidDel="00F7268A" w:rsidRDefault="0059425A" w:rsidP="00172E64">
      <w:pPr>
        <w:numPr>
          <w:ilvl w:val="0"/>
          <w:numId w:val="70"/>
        </w:numPr>
        <w:ind w:left="0" w:firstLine="0"/>
        <w:rPr>
          <w:rFonts w:ascii="Arial" w:hAnsi="Arial" w:cs="Arial"/>
          <w:bCs/>
          <w:iCs/>
          <w:sz w:val="22"/>
          <w:szCs w:val="22"/>
        </w:rPr>
      </w:pPr>
      <w:r w:rsidRPr="00A62B1B" w:rsidDel="00F7268A">
        <w:rPr>
          <w:rFonts w:ascii="Arial" w:hAnsi="Arial" w:cs="Arial"/>
          <w:bCs/>
          <w:iCs/>
          <w:sz w:val="22"/>
          <w:szCs w:val="22"/>
        </w:rPr>
        <w:t>P</w:t>
      </w:r>
      <w:r w:rsidDel="00F7268A">
        <w:rPr>
          <w:rFonts w:ascii="Arial" w:hAnsi="Arial" w:cs="Arial"/>
          <w:bCs/>
          <w:iCs/>
          <w:sz w:val="22"/>
          <w:szCs w:val="22"/>
        </w:rPr>
        <w:t>i</w:t>
      </w:r>
      <w:r w:rsidRPr="00A62B1B" w:rsidDel="00F7268A">
        <w:rPr>
          <w:rFonts w:ascii="Arial" w:hAnsi="Arial" w:cs="Arial"/>
          <w:bCs/>
          <w:iCs/>
          <w:sz w:val="22"/>
          <w:szCs w:val="22"/>
        </w:rPr>
        <w:t>ezometers</w:t>
      </w:r>
    </w:p>
    <w:p w14:paraId="776D4FD7" w14:textId="0A58A815" w:rsidR="0059425A" w:rsidDel="00F7268A" w:rsidRDefault="0059425A" w:rsidP="00172E64">
      <w:pPr>
        <w:numPr>
          <w:ilvl w:val="0"/>
          <w:numId w:val="70"/>
        </w:numPr>
        <w:ind w:left="0" w:firstLine="0"/>
        <w:rPr>
          <w:rFonts w:ascii="Arial" w:hAnsi="Arial" w:cs="Arial"/>
          <w:bCs/>
          <w:iCs/>
          <w:sz w:val="22"/>
          <w:szCs w:val="22"/>
        </w:rPr>
      </w:pPr>
      <w:r w:rsidRPr="00A62B1B" w:rsidDel="00F7268A">
        <w:rPr>
          <w:rFonts w:ascii="Arial" w:hAnsi="Arial" w:cs="Arial"/>
          <w:bCs/>
          <w:iCs/>
          <w:sz w:val="22"/>
          <w:szCs w:val="22"/>
        </w:rPr>
        <w:t xml:space="preserve">Settlement Devices </w:t>
      </w:r>
    </w:p>
    <w:p w14:paraId="379CDC66" w14:textId="77777777" w:rsidR="0059425A" w:rsidRPr="00A62B1B" w:rsidDel="00F7268A" w:rsidRDefault="0059425A" w:rsidP="0059425A">
      <w:pPr>
        <w:rPr>
          <w:rFonts w:ascii="Arial" w:hAnsi="Arial" w:cs="Arial"/>
          <w:bCs/>
          <w:iCs/>
          <w:sz w:val="22"/>
          <w:szCs w:val="22"/>
        </w:rPr>
      </w:pPr>
    </w:p>
    <w:p w14:paraId="17C0011C" w14:textId="77777777" w:rsidR="0059425A" w:rsidRPr="00A62B1B" w:rsidDel="00F7268A" w:rsidRDefault="0059425A" w:rsidP="0059425A">
      <w:pPr>
        <w:autoSpaceDE w:val="0"/>
        <w:autoSpaceDN w:val="0"/>
        <w:adjustRightInd w:val="0"/>
        <w:rPr>
          <w:rFonts w:ascii="Arial" w:hAnsi="Arial" w:cs="Arial"/>
          <w:bCs/>
          <w:iCs/>
          <w:sz w:val="22"/>
          <w:szCs w:val="22"/>
        </w:rPr>
      </w:pPr>
      <w:r w:rsidRPr="00A62B1B" w:rsidDel="00F7268A">
        <w:rPr>
          <w:rFonts w:ascii="Arial" w:hAnsi="Arial" w:cs="Arial"/>
          <w:bCs/>
          <w:iCs/>
          <w:sz w:val="22"/>
          <w:szCs w:val="22"/>
        </w:rPr>
        <w:t xml:space="preserve">For </w:t>
      </w:r>
      <w:r w:rsidDel="00F7268A">
        <w:rPr>
          <w:rFonts w:ascii="Arial" w:hAnsi="Arial" w:cs="Arial"/>
          <w:bCs/>
          <w:iCs/>
          <w:sz w:val="22"/>
          <w:szCs w:val="22"/>
        </w:rPr>
        <w:t xml:space="preserve">a </w:t>
      </w:r>
      <w:r w:rsidRPr="00A62B1B" w:rsidDel="00F7268A">
        <w:rPr>
          <w:rFonts w:ascii="Arial" w:hAnsi="Arial" w:cs="Arial"/>
          <w:bCs/>
          <w:iCs/>
          <w:sz w:val="22"/>
          <w:szCs w:val="22"/>
        </w:rPr>
        <w:t>detailed explanation on geotechnical instrumentation, refer to:</w:t>
      </w:r>
    </w:p>
    <w:p w14:paraId="3BF750A9" w14:textId="77777777" w:rsidR="0059425A" w:rsidRPr="00A62B1B" w:rsidDel="00F7268A" w:rsidRDefault="0059425A" w:rsidP="0059425A">
      <w:pPr>
        <w:autoSpaceDE w:val="0"/>
        <w:autoSpaceDN w:val="0"/>
        <w:adjustRightInd w:val="0"/>
        <w:rPr>
          <w:rFonts w:ascii="Arial" w:hAnsi="Arial" w:cs="Arial"/>
          <w:bCs/>
          <w:iCs/>
          <w:sz w:val="22"/>
          <w:szCs w:val="22"/>
        </w:rPr>
      </w:pPr>
    </w:p>
    <w:p w14:paraId="19DE33CC" w14:textId="347068B5" w:rsidR="0059425A" w:rsidRDefault="0059425A" w:rsidP="00172E64">
      <w:pPr>
        <w:numPr>
          <w:ilvl w:val="0"/>
          <w:numId w:val="71"/>
        </w:numPr>
        <w:autoSpaceDE w:val="0"/>
        <w:autoSpaceDN w:val="0"/>
        <w:adjustRightInd w:val="0"/>
        <w:ind w:left="720"/>
        <w:jc w:val="both"/>
        <w:rPr>
          <w:rFonts w:ascii="Arial" w:hAnsi="Arial" w:cs="Arial"/>
          <w:sz w:val="22"/>
          <w:szCs w:val="22"/>
        </w:rPr>
      </w:pPr>
      <w:r w:rsidRPr="00A62B1B" w:rsidDel="00F7268A">
        <w:rPr>
          <w:rFonts w:ascii="Arial" w:hAnsi="Arial" w:cs="Arial"/>
          <w:sz w:val="22"/>
          <w:szCs w:val="22"/>
        </w:rPr>
        <w:t>Federal Highway Administration and National Highway Institute, (1998), “Geotechnical Instrumentation</w:t>
      </w:r>
      <w:r w:rsidR="008B666A">
        <w:rPr>
          <w:rFonts w:ascii="Arial" w:hAnsi="Arial" w:cs="Arial"/>
          <w:sz w:val="22"/>
          <w:szCs w:val="22"/>
        </w:rPr>
        <w:t>,</w:t>
      </w:r>
      <w:r w:rsidRPr="00A62B1B" w:rsidDel="00F7268A">
        <w:rPr>
          <w:rFonts w:ascii="Arial" w:hAnsi="Arial" w:cs="Arial"/>
          <w:sz w:val="22"/>
          <w:szCs w:val="22"/>
        </w:rPr>
        <w:t>” FHWA HI-98-034.</w:t>
      </w:r>
    </w:p>
    <w:p w14:paraId="4BAFA799" w14:textId="77777777" w:rsidR="008B666A" w:rsidDel="00F7268A" w:rsidRDefault="008B666A" w:rsidP="00A42B5F">
      <w:pPr>
        <w:autoSpaceDE w:val="0"/>
        <w:autoSpaceDN w:val="0"/>
        <w:adjustRightInd w:val="0"/>
        <w:ind w:left="720"/>
        <w:jc w:val="both"/>
        <w:rPr>
          <w:rFonts w:ascii="Arial" w:hAnsi="Arial" w:cs="Arial"/>
          <w:sz w:val="22"/>
          <w:szCs w:val="22"/>
        </w:rPr>
      </w:pPr>
    </w:p>
    <w:p w14:paraId="7C75C8C3" w14:textId="2D2E6D41" w:rsidR="0059425A" w:rsidDel="00F7268A" w:rsidRDefault="0059425A" w:rsidP="00172E64">
      <w:pPr>
        <w:numPr>
          <w:ilvl w:val="0"/>
          <w:numId w:val="71"/>
        </w:numPr>
        <w:autoSpaceDE w:val="0"/>
        <w:autoSpaceDN w:val="0"/>
        <w:adjustRightInd w:val="0"/>
        <w:ind w:left="720"/>
        <w:jc w:val="both"/>
        <w:rPr>
          <w:rFonts w:ascii="Arial" w:hAnsi="Arial" w:cs="Arial"/>
          <w:sz w:val="22"/>
          <w:szCs w:val="22"/>
        </w:rPr>
      </w:pPr>
      <w:r w:rsidRPr="00A42B5F" w:rsidDel="00F7268A">
        <w:rPr>
          <w:rFonts w:ascii="Arial" w:hAnsi="Arial" w:cs="Arial"/>
          <w:sz w:val="22"/>
          <w:szCs w:val="22"/>
        </w:rPr>
        <w:t xml:space="preserve">OMT Technical Bulletin Vol. </w:t>
      </w:r>
      <w:r w:rsidRPr="00A62B1B" w:rsidDel="00F7268A">
        <w:rPr>
          <w:rFonts w:ascii="Arial" w:hAnsi="Arial" w:cs="Arial"/>
          <w:sz w:val="22"/>
          <w:szCs w:val="22"/>
        </w:rPr>
        <w:t>9, September 2007</w:t>
      </w:r>
      <w:r w:rsidR="008B666A">
        <w:rPr>
          <w:rFonts w:ascii="Arial" w:hAnsi="Arial" w:cs="Arial"/>
          <w:sz w:val="22"/>
          <w:szCs w:val="22"/>
        </w:rPr>
        <w:t>,</w:t>
      </w:r>
      <w:r w:rsidRPr="00A62B1B" w:rsidDel="00F7268A">
        <w:rPr>
          <w:rFonts w:ascii="Arial" w:hAnsi="Arial" w:cs="Arial"/>
          <w:sz w:val="22"/>
          <w:szCs w:val="22"/>
        </w:rPr>
        <w:t xml:space="preserve"> “Geotechnical Instrumentation- the eyes and ears of geotechnical engineers</w:t>
      </w:r>
      <w:r w:rsidR="008B666A">
        <w:rPr>
          <w:rFonts w:ascii="Arial" w:hAnsi="Arial" w:cs="Arial"/>
          <w:sz w:val="22"/>
          <w:szCs w:val="22"/>
        </w:rPr>
        <w:t>.</w:t>
      </w:r>
      <w:r w:rsidRPr="00A62B1B" w:rsidDel="00F7268A">
        <w:rPr>
          <w:rFonts w:ascii="Arial" w:hAnsi="Arial" w:cs="Arial"/>
          <w:sz w:val="22"/>
          <w:szCs w:val="22"/>
        </w:rPr>
        <w:t>”</w:t>
      </w:r>
    </w:p>
    <w:p w14:paraId="4BC0500F" w14:textId="50DC0BA3" w:rsidR="000B5FA2" w:rsidRDefault="000B5FA2" w:rsidP="00172E64">
      <w:pPr>
        <w:pStyle w:val="Heading2"/>
        <w:numPr>
          <w:ilvl w:val="1"/>
          <w:numId w:val="185"/>
        </w:numPr>
        <w:ind w:left="0" w:firstLine="0"/>
        <w:sectPr w:rsidR="000B5FA2" w:rsidSect="008B1BAA">
          <w:headerReference w:type="default" r:id="rId351"/>
          <w:footerReference w:type="default" r:id="rId352"/>
          <w:pgSz w:w="12240" w:h="15840"/>
          <w:pgMar w:top="1440" w:right="1800" w:bottom="1440" w:left="1800" w:header="720" w:footer="720" w:gutter="0"/>
          <w:pgNumType w:chapStyle="1"/>
          <w:cols w:space="720"/>
          <w:docGrid w:linePitch="272"/>
        </w:sectPr>
      </w:pPr>
    </w:p>
    <w:p w14:paraId="6EF64DEF" w14:textId="1675B55F" w:rsidR="00F7268A" w:rsidRDefault="00A070F7" w:rsidP="00172E64">
      <w:pPr>
        <w:pStyle w:val="Heading2"/>
        <w:numPr>
          <w:ilvl w:val="1"/>
          <w:numId w:val="185"/>
        </w:numPr>
        <w:spacing w:after="240"/>
        <w:ind w:left="0" w:firstLine="0"/>
      </w:pPr>
      <w:bookmarkStart w:id="689" w:name="_Forms,_Spreadsheets_&amp;"/>
      <w:bookmarkStart w:id="690" w:name="_laboratory_testing_procedures"/>
      <w:bookmarkStart w:id="691" w:name="_Toc479160139"/>
      <w:bookmarkStart w:id="692" w:name="_Toc194932420"/>
      <w:bookmarkEnd w:id="689"/>
      <w:bookmarkEnd w:id="690"/>
      <w:r>
        <w:lastRenderedPageBreak/>
        <w:t>L</w:t>
      </w:r>
      <w:r w:rsidR="00F7268A">
        <w:t xml:space="preserve">aboratory </w:t>
      </w:r>
      <w:r>
        <w:t>T</w:t>
      </w:r>
      <w:r w:rsidR="00F7268A">
        <w:t xml:space="preserve">esting </w:t>
      </w:r>
      <w:r>
        <w:t>P</w:t>
      </w:r>
      <w:r w:rsidR="00F7268A">
        <w:t>rocedures</w:t>
      </w:r>
      <w:bookmarkEnd w:id="691"/>
      <w:bookmarkEnd w:id="692"/>
    </w:p>
    <w:p w14:paraId="4B9A5F3D" w14:textId="32BCE493" w:rsidR="00391EC7" w:rsidRPr="00A62B1B" w:rsidDel="00F7268A" w:rsidRDefault="00391EC7" w:rsidP="00391EC7">
      <w:pPr>
        <w:autoSpaceDE w:val="0"/>
        <w:autoSpaceDN w:val="0"/>
        <w:adjustRightInd w:val="0"/>
        <w:jc w:val="both"/>
        <w:rPr>
          <w:rFonts w:ascii="Arial" w:hAnsi="Arial" w:cs="Arial"/>
          <w:sz w:val="22"/>
          <w:szCs w:val="22"/>
        </w:rPr>
      </w:pPr>
      <w:r w:rsidRPr="00A62B1B" w:rsidDel="00F7268A">
        <w:rPr>
          <w:rFonts w:ascii="Arial" w:hAnsi="Arial" w:cs="Arial"/>
          <w:sz w:val="22"/>
          <w:szCs w:val="22"/>
        </w:rPr>
        <w:t xml:space="preserve">Laboratory testing of soil samples recovered during subsurface explorations is the most common technique to obtain engineering properties necessary for design. </w:t>
      </w:r>
    </w:p>
    <w:p w14:paraId="7C448FAF" w14:textId="77777777" w:rsidR="00391EC7" w:rsidRPr="00A62B1B" w:rsidDel="00F7268A" w:rsidRDefault="00391EC7" w:rsidP="00391EC7">
      <w:pPr>
        <w:autoSpaceDE w:val="0"/>
        <w:autoSpaceDN w:val="0"/>
        <w:adjustRightInd w:val="0"/>
        <w:jc w:val="both"/>
        <w:rPr>
          <w:rFonts w:ascii="Arial" w:hAnsi="Arial" w:cs="Arial"/>
          <w:sz w:val="22"/>
          <w:szCs w:val="22"/>
        </w:rPr>
      </w:pPr>
    </w:p>
    <w:p w14:paraId="6D491552" w14:textId="25FDAC8A" w:rsidR="00391EC7" w:rsidRPr="00A62B1B" w:rsidDel="00F7268A" w:rsidRDefault="008B666A" w:rsidP="00391EC7">
      <w:pPr>
        <w:autoSpaceDE w:val="0"/>
        <w:autoSpaceDN w:val="0"/>
        <w:adjustRightInd w:val="0"/>
        <w:jc w:val="both"/>
        <w:rPr>
          <w:rFonts w:ascii="Arial" w:hAnsi="Arial" w:cs="Arial"/>
          <w:sz w:val="22"/>
          <w:szCs w:val="22"/>
        </w:rPr>
      </w:pPr>
      <w:r>
        <w:rPr>
          <w:rFonts w:ascii="Arial" w:hAnsi="Arial" w:cs="Arial"/>
          <w:sz w:val="22"/>
          <w:szCs w:val="22"/>
        </w:rPr>
        <w:t>The f</w:t>
      </w:r>
      <w:r w:rsidR="00391EC7" w:rsidRPr="00A62B1B" w:rsidDel="00F7268A">
        <w:rPr>
          <w:rFonts w:ascii="Arial" w:hAnsi="Arial" w:cs="Arial"/>
          <w:sz w:val="22"/>
          <w:szCs w:val="22"/>
        </w:rPr>
        <w:t>ollowing references provide information on common laboratory test methods for soil including testing equipment, general procedures related to each test, and parameters measured by the tests:</w:t>
      </w:r>
    </w:p>
    <w:p w14:paraId="27C3E898" w14:textId="77777777" w:rsidR="00391EC7" w:rsidRPr="00A62B1B" w:rsidDel="00F7268A" w:rsidRDefault="00391EC7" w:rsidP="00391EC7">
      <w:pPr>
        <w:autoSpaceDE w:val="0"/>
        <w:autoSpaceDN w:val="0"/>
        <w:adjustRightInd w:val="0"/>
        <w:rPr>
          <w:rFonts w:ascii="Arial" w:hAnsi="Arial" w:cs="Arial"/>
          <w:sz w:val="22"/>
          <w:szCs w:val="22"/>
        </w:rPr>
      </w:pPr>
    </w:p>
    <w:p w14:paraId="21BEE829" w14:textId="0FD0E0E9" w:rsidR="00391EC7" w:rsidDel="00F7268A" w:rsidRDefault="00391EC7" w:rsidP="00172E64">
      <w:pPr>
        <w:numPr>
          <w:ilvl w:val="0"/>
          <w:numId w:val="69"/>
        </w:numPr>
        <w:autoSpaceDE w:val="0"/>
        <w:autoSpaceDN w:val="0"/>
        <w:adjustRightInd w:val="0"/>
        <w:ind w:left="720"/>
        <w:jc w:val="both"/>
        <w:rPr>
          <w:rFonts w:ascii="Arial" w:hAnsi="Arial" w:cs="Arial"/>
          <w:bCs/>
          <w:iCs/>
          <w:sz w:val="22"/>
          <w:szCs w:val="22"/>
        </w:rPr>
      </w:pPr>
      <w:r w:rsidRPr="00A62B1B" w:rsidDel="00F7268A">
        <w:rPr>
          <w:rFonts w:ascii="Arial" w:hAnsi="Arial" w:cs="Arial"/>
          <w:sz w:val="22"/>
          <w:szCs w:val="22"/>
        </w:rPr>
        <w:t>ASTM (1997). Annual Book of ASTM Standards. American Society for Testing and Materials, Philadelphia, P</w:t>
      </w:r>
      <w:r w:rsidR="000B0D40">
        <w:rPr>
          <w:rFonts w:ascii="Arial" w:hAnsi="Arial" w:cs="Arial"/>
          <w:sz w:val="22"/>
          <w:szCs w:val="22"/>
        </w:rPr>
        <w:t>A</w:t>
      </w:r>
      <w:r w:rsidRPr="00A62B1B" w:rsidDel="00F7268A">
        <w:rPr>
          <w:rFonts w:ascii="Arial" w:hAnsi="Arial" w:cs="Arial"/>
          <w:sz w:val="22"/>
          <w:szCs w:val="22"/>
        </w:rPr>
        <w:t>.</w:t>
      </w:r>
    </w:p>
    <w:p w14:paraId="33DD37AD" w14:textId="77777777" w:rsidR="00391EC7" w:rsidRPr="00A62B1B" w:rsidDel="00F7268A" w:rsidRDefault="00391EC7" w:rsidP="00DD582C">
      <w:pPr>
        <w:autoSpaceDE w:val="0"/>
        <w:autoSpaceDN w:val="0"/>
        <w:adjustRightInd w:val="0"/>
        <w:ind w:left="720" w:hanging="360"/>
        <w:jc w:val="both"/>
        <w:rPr>
          <w:rFonts w:ascii="Arial" w:hAnsi="Arial" w:cs="Arial"/>
          <w:bCs/>
          <w:iCs/>
          <w:sz w:val="22"/>
          <w:szCs w:val="22"/>
        </w:rPr>
      </w:pPr>
    </w:p>
    <w:p w14:paraId="48ADA5F7" w14:textId="5B50F5A7" w:rsidR="00391EC7" w:rsidDel="00F7268A" w:rsidRDefault="00391EC7" w:rsidP="00172E64">
      <w:pPr>
        <w:numPr>
          <w:ilvl w:val="0"/>
          <w:numId w:val="69"/>
        </w:numPr>
        <w:autoSpaceDE w:val="0"/>
        <w:autoSpaceDN w:val="0"/>
        <w:adjustRightInd w:val="0"/>
        <w:ind w:left="720"/>
        <w:jc w:val="both"/>
        <w:rPr>
          <w:rFonts w:ascii="Arial" w:hAnsi="Arial" w:cs="Arial"/>
          <w:sz w:val="22"/>
          <w:szCs w:val="22"/>
        </w:rPr>
      </w:pPr>
      <w:r w:rsidRPr="00A62B1B" w:rsidDel="00F7268A">
        <w:rPr>
          <w:rFonts w:ascii="Arial" w:hAnsi="Arial" w:cs="Arial"/>
          <w:sz w:val="22"/>
          <w:szCs w:val="22"/>
        </w:rPr>
        <w:t>American Association of State Highway and Transportation Officials (AASHTO) (1986). “Standard Specifications for Transportation Materials and Methods of Sampling and Testing, Part I, Specifications, 14th ed.” AASHTO, Washington, DC.</w:t>
      </w:r>
    </w:p>
    <w:p w14:paraId="48C4BE76" w14:textId="2D7A5FF5" w:rsidR="00391EC7" w:rsidRPr="00DD582C" w:rsidDel="00F7268A" w:rsidRDefault="00391EC7" w:rsidP="00DD582C">
      <w:pPr>
        <w:pStyle w:val="ListParagraph"/>
        <w:ind w:hanging="360"/>
        <w:jc w:val="both"/>
        <w:rPr>
          <w:rFonts w:ascii="Arial" w:hAnsi="Arial"/>
          <w:sz w:val="22"/>
        </w:rPr>
      </w:pPr>
    </w:p>
    <w:p w14:paraId="3ECB8484" w14:textId="61B5CDD4" w:rsidR="00391EC7" w:rsidDel="00F7268A" w:rsidRDefault="00391EC7" w:rsidP="00172E64">
      <w:pPr>
        <w:numPr>
          <w:ilvl w:val="0"/>
          <w:numId w:val="69"/>
        </w:numPr>
        <w:autoSpaceDE w:val="0"/>
        <w:autoSpaceDN w:val="0"/>
        <w:adjustRightInd w:val="0"/>
        <w:ind w:left="720"/>
        <w:jc w:val="both"/>
        <w:rPr>
          <w:rFonts w:ascii="Arial" w:hAnsi="Arial" w:cs="Arial"/>
          <w:sz w:val="22"/>
          <w:szCs w:val="22"/>
        </w:rPr>
      </w:pPr>
      <w:r w:rsidRPr="00DD582C" w:rsidDel="00F7268A">
        <w:rPr>
          <w:rFonts w:ascii="Arial" w:hAnsi="Arial" w:cs="Arial"/>
          <w:sz w:val="22"/>
          <w:szCs w:val="22"/>
        </w:rPr>
        <w:t xml:space="preserve">AASHTO (1992). “Standard Specifications for Transportation Materials and Methods of Sampling and Testing, Part II, Tests.” Washington, </w:t>
      </w:r>
      <w:r w:rsidRPr="00A62B1B" w:rsidDel="00F7268A">
        <w:rPr>
          <w:rFonts w:ascii="Arial" w:hAnsi="Arial" w:cs="Arial"/>
          <w:sz w:val="22"/>
          <w:szCs w:val="22"/>
        </w:rPr>
        <w:t>DC.</w:t>
      </w:r>
    </w:p>
    <w:p w14:paraId="20A79904" w14:textId="77777777" w:rsidR="00391EC7" w:rsidRPr="00A62B1B" w:rsidDel="00F7268A" w:rsidRDefault="00391EC7" w:rsidP="00DD582C">
      <w:pPr>
        <w:autoSpaceDE w:val="0"/>
        <w:autoSpaceDN w:val="0"/>
        <w:adjustRightInd w:val="0"/>
        <w:ind w:left="720" w:hanging="360"/>
        <w:jc w:val="both"/>
        <w:rPr>
          <w:rFonts w:ascii="Arial" w:hAnsi="Arial" w:cs="Arial"/>
          <w:bCs/>
          <w:iCs/>
          <w:sz w:val="22"/>
          <w:szCs w:val="22"/>
        </w:rPr>
      </w:pPr>
      <w:r w:rsidRPr="00A62B1B" w:rsidDel="00F7268A">
        <w:rPr>
          <w:rFonts w:ascii="Arial" w:hAnsi="Arial" w:cs="Arial"/>
          <w:sz w:val="22"/>
          <w:szCs w:val="22"/>
        </w:rPr>
        <w:t xml:space="preserve"> </w:t>
      </w:r>
    </w:p>
    <w:p w14:paraId="58A5F8DB" w14:textId="37F56E88" w:rsidR="00391EC7" w:rsidDel="00F7268A" w:rsidRDefault="00391EC7" w:rsidP="00172E64">
      <w:pPr>
        <w:numPr>
          <w:ilvl w:val="0"/>
          <w:numId w:val="69"/>
        </w:numPr>
        <w:autoSpaceDE w:val="0"/>
        <w:autoSpaceDN w:val="0"/>
        <w:adjustRightInd w:val="0"/>
        <w:ind w:left="720"/>
        <w:jc w:val="both"/>
        <w:rPr>
          <w:rStyle w:val="Hyperlink"/>
          <w:rFonts w:ascii="Arial" w:hAnsi="Arial" w:cs="Arial"/>
          <w:bCs/>
          <w:iCs/>
          <w:color w:val="auto"/>
          <w:sz w:val="22"/>
          <w:szCs w:val="22"/>
        </w:rPr>
      </w:pPr>
      <w:r w:rsidRPr="00A62B1B" w:rsidDel="00F7268A">
        <w:rPr>
          <w:rFonts w:ascii="Arial" w:hAnsi="Arial" w:cs="Arial"/>
          <w:sz w:val="22"/>
          <w:szCs w:val="22"/>
        </w:rPr>
        <w:t>Federal Highway Administration and National Highway Institute, “Subsurface Investigation Qualification</w:t>
      </w:r>
      <w:r w:rsidR="000B0D40">
        <w:rPr>
          <w:rFonts w:ascii="Arial" w:hAnsi="Arial" w:cs="Arial"/>
          <w:sz w:val="22"/>
          <w:szCs w:val="22"/>
        </w:rPr>
        <w:t>.</w:t>
      </w:r>
      <w:r w:rsidRPr="00A62B1B" w:rsidDel="00F7268A">
        <w:rPr>
          <w:rFonts w:ascii="Arial" w:hAnsi="Arial" w:cs="Arial"/>
          <w:sz w:val="22"/>
          <w:szCs w:val="22"/>
        </w:rPr>
        <w:t xml:space="preserve">” FHWA NHI 132079. </w:t>
      </w:r>
      <w:r w:rsidRPr="00A62B1B" w:rsidDel="00F7268A">
        <w:rPr>
          <w:rFonts w:ascii="Arial" w:hAnsi="Arial" w:cs="Arial"/>
          <w:sz w:val="22"/>
          <w:szCs w:val="22"/>
        </w:rPr>
        <w:fldChar w:fldCharType="begin"/>
      </w:r>
      <w:r w:rsidRPr="00A62B1B" w:rsidDel="00F7268A">
        <w:rPr>
          <w:rFonts w:ascii="Arial" w:hAnsi="Arial" w:cs="Arial"/>
          <w:sz w:val="22"/>
          <w:szCs w:val="22"/>
        </w:rPr>
        <w:instrText xml:space="preserve"> HYPERLINK "http://www.nhi.fhwa.dot.gov/training/course_detail.aspx?num=FHWA-NHI-132079&amp;num=" </w:instrText>
      </w:r>
      <w:r w:rsidRPr="00A62B1B" w:rsidDel="00F7268A">
        <w:rPr>
          <w:rFonts w:ascii="Arial" w:hAnsi="Arial" w:cs="Arial"/>
          <w:sz w:val="22"/>
          <w:szCs w:val="22"/>
        </w:rPr>
      </w:r>
      <w:r w:rsidRPr="00A62B1B" w:rsidDel="00F7268A">
        <w:rPr>
          <w:rFonts w:ascii="Arial" w:hAnsi="Arial" w:cs="Arial"/>
          <w:sz w:val="22"/>
          <w:szCs w:val="22"/>
        </w:rPr>
        <w:fldChar w:fldCharType="separate"/>
      </w:r>
    </w:p>
    <w:p w14:paraId="7248D18E" w14:textId="77777777" w:rsidR="00391EC7" w:rsidRPr="00A62B1B" w:rsidDel="00F7268A" w:rsidRDefault="00391EC7" w:rsidP="00DD582C">
      <w:pPr>
        <w:autoSpaceDE w:val="0"/>
        <w:autoSpaceDN w:val="0"/>
        <w:adjustRightInd w:val="0"/>
        <w:ind w:left="720" w:hanging="360"/>
        <w:jc w:val="both"/>
        <w:rPr>
          <w:rStyle w:val="Hyperlink"/>
          <w:rFonts w:ascii="Arial" w:hAnsi="Arial" w:cs="Arial"/>
          <w:bCs/>
          <w:iCs/>
          <w:color w:val="auto"/>
          <w:sz w:val="22"/>
          <w:szCs w:val="22"/>
        </w:rPr>
      </w:pPr>
    </w:p>
    <w:p w14:paraId="6E9C3948" w14:textId="19A02661" w:rsidR="00391EC7" w:rsidDel="00F7268A" w:rsidRDefault="00391EC7" w:rsidP="00172E64">
      <w:pPr>
        <w:numPr>
          <w:ilvl w:val="0"/>
          <w:numId w:val="69"/>
        </w:numPr>
        <w:autoSpaceDE w:val="0"/>
        <w:autoSpaceDN w:val="0"/>
        <w:adjustRightInd w:val="0"/>
        <w:ind w:left="720"/>
        <w:jc w:val="both"/>
        <w:rPr>
          <w:rFonts w:ascii="Arial" w:hAnsi="Arial" w:cs="Arial"/>
          <w:bCs/>
          <w:iCs/>
          <w:sz w:val="22"/>
          <w:szCs w:val="22"/>
        </w:rPr>
      </w:pPr>
      <w:r w:rsidRPr="00A62B1B" w:rsidDel="00F7268A">
        <w:rPr>
          <w:rFonts w:ascii="Arial" w:hAnsi="Arial" w:cs="Arial"/>
          <w:sz w:val="22"/>
          <w:szCs w:val="22"/>
        </w:rPr>
        <w:fldChar w:fldCharType="end"/>
      </w:r>
      <w:r w:rsidRPr="00A62B1B" w:rsidDel="00F7268A">
        <w:rPr>
          <w:rFonts w:ascii="Arial" w:hAnsi="Arial" w:cs="Arial"/>
          <w:sz w:val="22"/>
          <w:szCs w:val="22"/>
        </w:rPr>
        <w:t>Federal Highway Administration and National Highway Institute, “Subsurface Investigations – Geotechnical Site Characterization</w:t>
      </w:r>
      <w:r w:rsidR="000B0D40">
        <w:rPr>
          <w:rFonts w:ascii="Arial" w:hAnsi="Arial" w:cs="Arial"/>
          <w:sz w:val="22"/>
          <w:szCs w:val="22"/>
        </w:rPr>
        <w:t>.</w:t>
      </w:r>
      <w:r w:rsidRPr="00A62B1B" w:rsidDel="00F7268A">
        <w:rPr>
          <w:rFonts w:ascii="Arial" w:hAnsi="Arial" w:cs="Arial"/>
          <w:sz w:val="22"/>
          <w:szCs w:val="22"/>
        </w:rPr>
        <w:t>” FHWA NHI 132031</w:t>
      </w:r>
      <w:r w:rsidR="000B0D40">
        <w:rPr>
          <w:rFonts w:ascii="Arial" w:hAnsi="Arial" w:cs="Arial"/>
          <w:sz w:val="22"/>
          <w:szCs w:val="22"/>
        </w:rPr>
        <w:t>,</w:t>
      </w:r>
      <w:r w:rsidRPr="00A62B1B" w:rsidDel="00F7268A">
        <w:rPr>
          <w:rFonts w:ascii="Arial" w:hAnsi="Arial" w:cs="Arial"/>
          <w:sz w:val="22"/>
          <w:szCs w:val="22"/>
        </w:rPr>
        <w:t xml:space="preserve"> Chapter 7.0.</w:t>
      </w:r>
    </w:p>
    <w:p w14:paraId="7A4E735E" w14:textId="77777777" w:rsidR="00391EC7" w:rsidRPr="00A62B1B" w:rsidDel="00F7268A" w:rsidRDefault="00391EC7" w:rsidP="00DD582C">
      <w:pPr>
        <w:autoSpaceDE w:val="0"/>
        <w:autoSpaceDN w:val="0"/>
        <w:adjustRightInd w:val="0"/>
        <w:ind w:left="720" w:hanging="360"/>
        <w:jc w:val="both"/>
        <w:rPr>
          <w:rFonts w:ascii="Arial" w:hAnsi="Arial" w:cs="Arial"/>
          <w:bCs/>
          <w:iCs/>
          <w:sz w:val="22"/>
          <w:szCs w:val="22"/>
        </w:rPr>
      </w:pPr>
    </w:p>
    <w:p w14:paraId="2EACD2DD" w14:textId="35D4A83A" w:rsidR="00391EC7" w:rsidRDefault="00391EC7" w:rsidP="00172E64">
      <w:pPr>
        <w:numPr>
          <w:ilvl w:val="0"/>
          <w:numId w:val="69"/>
        </w:numPr>
        <w:autoSpaceDE w:val="0"/>
        <w:autoSpaceDN w:val="0"/>
        <w:adjustRightInd w:val="0"/>
        <w:ind w:left="720"/>
        <w:jc w:val="both"/>
        <w:rPr>
          <w:rFonts w:ascii="Arial" w:hAnsi="Arial" w:cs="Arial"/>
          <w:bCs/>
          <w:iCs/>
          <w:sz w:val="22"/>
          <w:szCs w:val="22"/>
        </w:rPr>
      </w:pPr>
      <w:r w:rsidRPr="00A62B1B" w:rsidDel="00F7268A">
        <w:rPr>
          <w:rFonts w:ascii="Arial" w:hAnsi="Arial" w:cs="Arial"/>
          <w:sz w:val="22"/>
          <w:szCs w:val="22"/>
        </w:rPr>
        <w:t>“Geotechnical Engineering Circular No. 5</w:t>
      </w:r>
      <w:r w:rsidR="000B0D40" w:rsidRPr="00DD582C">
        <w:rPr>
          <w:rFonts w:ascii="Arial" w:hAnsi="Arial"/>
        </w:rPr>
        <w:t xml:space="preserve"> </w:t>
      </w:r>
      <w:r w:rsidR="000B0D40">
        <w:rPr>
          <w:rFonts w:ascii="Arial" w:hAnsi="Arial" w:cs="Arial"/>
        </w:rPr>
        <w:t>–</w:t>
      </w:r>
      <w:r w:rsidR="000B0D40" w:rsidRPr="00DD582C">
        <w:rPr>
          <w:rFonts w:ascii="Arial" w:hAnsi="Arial"/>
        </w:rPr>
        <w:t xml:space="preserve"> </w:t>
      </w:r>
      <w:r w:rsidRPr="00A62B1B" w:rsidDel="00F7268A">
        <w:rPr>
          <w:rFonts w:ascii="Arial" w:hAnsi="Arial" w:cs="Arial"/>
          <w:sz w:val="22"/>
          <w:szCs w:val="22"/>
        </w:rPr>
        <w:t>Evaluation of Soil and Rock Properties</w:t>
      </w:r>
      <w:r w:rsidR="000B0D40">
        <w:rPr>
          <w:rFonts w:ascii="Arial" w:hAnsi="Arial" w:cs="Arial"/>
          <w:sz w:val="22"/>
          <w:szCs w:val="22"/>
        </w:rPr>
        <w:t>,</w:t>
      </w:r>
      <w:r w:rsidRPr="00A62B1B" w:rsidDel="00F7268A">
        <w:rPr>
          <w:rFonts w:ascii="Arial" w:hAnsi="Arial" w:cs="Arial"/>
          <w:sz w:val="22"/>
          <w:szCs w:val="22"/>
        </w:rPr>
        <w:t>” FHWA-IF-02-034, Chapter 4.0.</w:t>
      </w:r>
    </w:p>
    <w:p w14:paraId="3722298C" w14:textId="7B2CFBFB" w:rsidR="00391EC7" w:rsidRDefault="00391EC7" w:rsidP="00DD582C">
      <w:pPr>
        <w:pStyle w:val="BodyText"/>
        <w:ind w:left="720" w:hanging="720"/>
      </w:pPr>
    </w:p>
    <w:p w14:paraId="087B16E3" w14:textId="17BF7C7D" w:rsidR="00012E5E" w:rsidRPr="00DD582C" w:rsidRDefault="00012E5E" w:rsidP="004C0B53">
      <w:pPr>
        <w:rPr>
          <w:b/>
          <w:caps/>
          <w:sz w:val="22"/>
        </w:rPr>
        <w:sectPr w:rsidR="00012E5E" w:rsidRPr="00DD582C" w:rsidSect="008B1BAA">
          <w:headerReference w:type="default" r:id="rId353"/>
          <w:footerReference w:type="default" r:id="rId354"/>
          <w:pgSz w:w="12240" w:h="15840"/>
          <w:pgMar w:top="1440" w:right="1800" w:bottom="1440" w:left="1800" w:header="720" w:footer="720" w:gutter="0"/>
          <w:pgNumType w:chapStyle="1"/>
          <w:cols w:space="720"/>
          <w:docGrid w:linePitch="272"/>
        </w:sectPr>
      </w:pPr>
    </w:p>
    <w:p w14:paraId="741AC3B7" w14:textId="34690E34" w:rsidR="002744D8" w:rsidRPr="003C2771" w:rsidRDefault="002744D8" w:rsidP="00172E64">
      <w:pPr>
        <w:pStyle w:val="Heading2"/>
        <w:numPr>
          <w:ilvl w:val="1"/>
          <w:numId w:val="185"/>
        </w:numPr>
        <w:spacing w:before="120"/>
        <w:ind w:left="0" w:firstLine="0"/>
      </w:pPr>
      <w:bookmarkStart w:id="693" w:name="_Forms,_Spreadsheets_&amp;_1"/>
      <w:bookmarkStart w:id="694" w:name="_Toc514058026"/>
      <w:bookmarkStart w:id="695" w:name="_Toc194932421"/>
      <w:bookmarkStart w:id="696" w:name="_Toc479160140"/>
      <w:bookmarkEnd w:id="693"/>
      <w:r w:rsidRPr="003C2771">
        <w:lastRenderedPageBreak/>
        <w:t>Forms</w:t>
      </w:r>
      <w:r w:rsidR="000B5FA2" w:rsidRPr="003C2771">
        <w:t xml:space="preserve">, Spreadsheets &amp; </w:t>
      </w:r>
      <w:r w:rsidR="004422A1" w:rsidRPr="003C2771">
        <w:t>Reference Guidelines</w:t>
      </w:r>
      <w:bookmarkEnd w:id="694"/>
      <w:bookmarkEnd w:id="695"/>
      <w:r w:rsidR="000A03EC" w:rsidRPr="003C2771">
        <w:t xml:space="preserve"> </w:t>
      </w:r>
      <w:bookmarkEnd w:id="696"/>
    </w:p>
    <w:p w14:paraId="41D339CB" w14:textId="77777777" w:rsidR="007E1D5E" w:rsidRDefault="007E1D5E" w:rsidP="007E1D5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ite_Reconnaissance" w:history="1">
        <w:r w:rsidRPr="007E1D5E">
          <w:rPr>
            <w:rStyle w:val="Hyperlink"/>
            <w:rFonts w:ascii="Arial" w:hAnsi="Arial" w:cs="Arial"/>
            <w:bCs/>
            <w:sz w:val="16"/>
            <w:szCs w:val="16"/>
          </w:rPr>
          <w:t>Site Reconnaissance</w:t>
        </w:r>
      </w:hyperlink>
    </w:p>
    <w:p w14:paraId="5F5CF364" w14:textId="781ACB4C" w:rsidR="00836AD9" w:rsidRDefault="00836AD9" w:rsidP="00836AD9">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ests_For_Geotechnical_1" w:history="1">
        <w:r w:rsidRPr="00836AD9">
          <w:rPr>
            <w:rStyle w:val="Hyperlink"/>
            <w:rFonts w:ascii="Arial" w:hAnsi="Arial" w:cs="Arial"/>
            <w:bCs/>
            <w:sz w:val="16"/>
            <w:szCs w:val="16"/>
          </w:rPr>
          <w:t xml:space="preserve">Requests </w:t>
        </w:r>
        <w:r w:rsidR="003D6C00">
          <w:rPr>
            <w:rStyle w:val="Hyperlink"/>
            <w:rFonts w:ascii="Arial" w:hAnsi="Arial" w:cs="Arial"/>
            <w:bCs/>
            <w:sz w:val="16"/>
            <w:szCs w:val="16"/>
          </w:rPr>
          <w:t>f</w:t>
        </w:r>
        <w:r w:rsidRPr="00836AD9">
          <w:rPr>
            <w:rStyle w:val="Hyperlink"/>
            <w:rFonts w:ascii="Arial" w:hAnsi="Arial" w:cs="Arial"/>
            <w:bCs/>
            <w:sz w:val="16"/>
            <w:szCs w:val="16"/>
          </w:rPr>
          <w:t xml:space="preserve">or Geotechnical Field </w:t>
        </w:r>
        <w:r w:rsidR="000B0D40">
          <w:rPr>
            <w:rStyle w:val="Hyperlink"/>
            <w:rFonts w:ascii="Arial" w:hAnsi="Arial" w:cs="Arial"/>
            <w:bCs/>
            <w:sz w:val="16"/>
            <w:szCs w:val="16"/>
          </w:rPr>
          <w:t>W</w:t>
        </w:r>
        <w:r w:rsidRPr="00836AD9">
          <w:rPr>
            <w:rStyle w:val="Hyperlink"/>
            <w:rFonts w:ascii="Arial" w:hAnsi="Arial" w:cs="Arial"/>
            <w:bCs/>
            <w:sz w:val="16"/>
            <w:szCs w:val="16"/>
          </w:rPr>
          <w:t>ork</w:t>
        </w:r>
      </w:hyperlink>
    </w:p>
    <w:p w14:paraId="0BF22A95" w14:textId="77777777" w:rsidR="00836AD9" w:rsidRPr="008F604D" w:rsidRDefault="00836AD9" w:rsidP="00836AD9">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Requests_for_Lab" w:history="1">
        <w:r w:rsidRPr="00836AD9">
          <w:rPr>
            <w:rStyle w:val="Hyperlink"/>
            <w:rFonts w:ascii="Arial" w:hAnsi="Arial" w:cs="Arial"/>
            <w:bCs/>
            <w:sz w:val="16"/>
            <w:szCs w:val="16"/>
          </w:rPr>
          <w:t>Requests for Lab Work</w:t>
        </w:r>
      </w:hyperlink>
    </w:p>
    <w:p w14:paraId="64585524" w14:textId="77777777" w:rsidR="002D6703" w:rsidRDefault="002D6703" w:rsidP="002D6703">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re-Rehabilitation_Effect_on" w:history="1">
        <w:r w:rsidRPr="002D6703">
          <w:rPr>
            <w:rStyle w:val="Hyperlink"/>
            <w:rFonts w:ascii="Arial" w:hAnsi="Arial" w:cs="Arial"/>
            <w:bCs/>
            <w:sz w:val="16"/>
            <w:szCs w:val="16"/>
          </w:rPr>
          <w:t>Pre-Rehabilitation Effect on RSL Calculations</w:t>
        </w:r>
      </w:hyperlink>
    </w:p>
    <w:p w14:paraId="2BC73D11" w14:textId="77777777" w:rsidR="0067508B" w:rsidRDefault="0067508B" w:rsidP="0067508B">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Type_Selection" w:history="1">
        <w:r w:rsidRPr="0067508B">
          <w:rPr>
            <w:rStyle w:val="Hyperlink"/>
            <w:rFonts w:ascii="Arial" w:hAnsi="Arial" w:cs="Arial"/>
            <w:bCs/>
            <w:sz w:val="16"/>
            <w:szCs w:val="16"/>
          </w:rPr>
          <w:t>Pavement Type Selection</w:t>
        </w:r>
      </w:hyperlink>
    </w:p>
    <w:p w14:paraId="157E79BD" w14:textId="77777777" w:rsidR="00ED4A45" w:rsidRDefault="00ED4A45" w:rsidP="00ED4A4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Geotextiles/Geosynthetics_(Geotexti" w:history="1">
        <w:r w:rsidRPr="00ED4A45">
          <w:rPr>
            <w:rStyle w:val="Hyperlink"/>
            <w:rFonts w:ascii="Arial" w:hAnsi="Arial" w:cs="Arial"/>
            <w:bCs/>
            <w:sz w:val="16"/>
            <w:szCs w:val="16"/>
          </w:rPr>
          <w:t>Geotextiles/Geosynthetics (Geotextile)</w:t>
        </w:r>
      </w:hyperlink>
    </w:p>
    <w:p w14:paraId="301102DB" w14:textId="77777777" w:rsidR="00DC590E" w:rsidRDefault="00DC590E" w:rsidP="00DC590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anagement_Review_&amp;" w:history="1">
        <w:r w:rsidRPr="00DC590E">
          <w:rPr>
            <w:rStyle w:val="Hyperlink"/>
            <w:rFonts w:ascii="Arial" w:hAnsi="Arial" w:cs="Arial"/>
            <w:bCs/>
            <w:sz w:val="16"/>
            <w:szCs w:val="16"/>
          </w:rPr>
          <w:t>Management Review &amp; QA</w:t>
        </w:r>
      </w:hyperlink>
    </w:p>
    <w:p w14:paraId="17A75212" w14:textId="77777777" w:rsidR="00DC590E" w:rsidRDefault="00DC590E" w:rsidP="00DC590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per_Files_and" w:history="1">
        <w:r w:rsidRPr="00DC590E">
          <w:rPr>
            <w:rStyle w:val="Hyperlink"/>
            <w:rFonts w:ascii="Arial" w:hAnsi="Arial" w:cs="Arial"/>
            <w:bCs/>
            <w:sz w:val="16"/>
            <w:szCs w:val="16"/>
          </w:rPr>
          <w:t>Paper Files and Plan Storage</w:t>
        </w:r>
      </w:hyperlink>
    </w:p>
    <w:p w14:paraId="0042C02C" w14:textId="77777777" w:rsidR="008E6917" w:rsidRDefault="008E6917" w:rsidP="00172E64">
      <w:pPr>
        <w:pStyle w:val="Heading3"/>
        <w:numPr>
          <w:ilvl w:val="2"/>
          <w:numId w:val="185"/>
        </w:numPr>
        <w:ind w:left="0" w:firstLine="0"/>
      </w:pPr>
      <w:bookmarkStart w:id="697" w:name="_Forms_&amp;_Spreadsheets"/>
      <w:bookmarkStart w:id="698" w:name="_Forms"/>
      <w:bookmarkEnd w:id="697"/>
      <w:bookmarkEnd w:id="698"/>
      <w:r>
        <w:t>Forms</w:t>
      </w:r>
      <w:r w:rsidR="009B05AA">
        <w:t xml:space="preserve"> </w:t>
      </w:r>
    </w:p>
    <w:p w14:paraId="1BD31248" w14:textId="6770D60B" w:rsidR="002744D8" w:rsidRDefault="002744D8" w:rsidP="00D20268">
      <w:pPr>
        <w:jc w:val="both"/>
        <w:rPr>
          <w:rFonts w:ascii="Arial" w:hAnsi="Arial"/>
          <w:sz w:val="22"/>
        </w:rPr>
      </w:pPr>
      <w:r>
        <w:rPr>
          <w:rFonts w:ascii="Arial" w:hAnsi="Arial"/>
          <w:sz w:val="22"/>
        </w:rPr>
        <w:t>In order to standardize pavement data collection</w:t>
      </w:r>
      <w:r w:rsidR="00D20268">
        <w:rPr>
          <w:rFonts w:ascii="Arial" w:hAnsi="Arial"/>
          <w:sz w:val="22"/>
        </w:rPr>
        <w:t>,</w:t>
      </w:r>
      <w:r>
        <w:rPr>
          <w:rFonts w:ascii="Arial" w:hAnsi="Arial"/>
          <w:sz w:val="22"/>
        </w:rPr>
        <w:t xml:space="preserve"> analysis</w:t>
      </w:r>
      <w:r w:rsidR="003D6C00">
        <w:rPr>
          <w:rFonts w:ascii="Arial" w:hAnsi="Arial"/>
          <w:sz w:val="22"/>
        </w:rPr>
        <w:t>,</w:t>
      </w:r>
      <w:r>
        <w:rPr>
          <w:rFonts w:ascii="Arial" w:hAnsi="Arial"/>
          <w:sz w:val="22"/>
        </w:rPr>
        <w:t xml:space="preserve"> </w:t>
      </w:r>
      <w:r w:rsidR="00D20268">
        <w:rPr>
          <w:rFonts w:ascii="Arial" w:hAnsi="Arial"/>
          <w:sz w:val="22"/>
        </w:rPr>
        <w:t xml:space="preserve">and design </w:t>
      </w:r>
      <w:r>
        <w:rPr>
          <w:rFonts w:ascii="Arial" w:hAnsi="Arial"/>
          <w:sz w:val="22"/>
        </w:rPr>
        <w:t>efforts, several forms</w:t>
      </w:r>
      <w:r w:rsidR="0010438E">
        <w:rPr>
          <w:rFonts w:ascii="Arial" w:hAnsi="Arial"/>
          <w:sz w:val="22"/>
        </w:rPr>
        <w:t>, reference guides and spreadsheets</w:t>
      </w:r>
      <w:r>
        <w:rPr>
          <w:rFonts w:ascii="Arial" w:hAnsi="Arial"/>
          <w:sz w:val="22"/>
        </w:rPr>
        <w:t xml:space="preserve"> were </w:t>
      </w:r>
      <w:r w:rsidR="0010438E">
        <w:rPr>
          <w:rFonts w:ascii="Arial" w:hAnsi="Arial"/>
          <w:sz w:val="22"/>
        </w:rPr>
        <w:t xml:space="preserve">collected or </w:t>
      </w:r>
      <w:r>
        <w:rPr>
          <w:rFonts w:ascii="Arial" w:hAnsi="Arial"/>
          <w:sz w:val="22"/>
        </w:rPr>
        <w:t>developed for pavement designers to use while developing pavement</w:t>
      </w:r>
      <w:r w:rsidR="0093496E">
        <w:rPr>
          <w:rFonts w:ascii="Arial" w:hAnsi="Arial"/>
          <w:sz w:val="22"/>
        </w:rPr>
        <w:t xml:space="preserve"> and geotechnical</w:t>
      </w:r>
      <w:r>
        <w:rPr>
          <w:rFonts w:ascii="Arial" w:hAnsi="Arial"/>
          <w:sz w:val="22"/>
        </w:rPr>
        <w:t xml:space="preserve"> recommendations.  These are referred to and described in the procedures </w:t>
      </w:r>
      <w:r w:rsidR="00D20268">
        <w:rPr>
          <w:rFonts w:ascii="Arial" w:hAnsi="Arial"/>
          <w:sz w:val="22"/>
        </w:rPr>
        <w:t>throughout</w:t>
      </w:r>
      <w:r>
        <w:rPr>
          <w:rFonts w:ascii="Arial" w:hAnsi="Arial"/>
          <w:sz w:val="22"/>
        </w:rPr>
        <w:t xml:space="preserve"> this pavement design guide.  The following table lists all the current </w:t>
      </w:r>
      <w:hyperlink r:id="rId355" w:history="1">
        <w:r w:rsidR="00D20268" w:rsidRPr="00D20268">
          <w:rPr>
            <w:rStyle w:val="Hyperlink"/>
            <w:rFonts w:ascii="Arial" w:hAnsi="Arial"/>
            <w:sz w:val="22"/>
          </w:rPr>
          <w:t>Forms</w:t>
        </w:r>
      </w:hyperlink>
      <w:r>
        <w:rPr>
          <w:rFonts w:ascii="Arial" w:hAnsi="Arial"/>
          <w:sz w:val="22"/>
        </w:rPr>
        <w:t xml:space="preserve">: </w:t>
      </w:r>
    </w:p>
    <w:p w14:paraId="0B7113C6" w14:textId="77777777" w:rsidR="002744D8" w:rsidRDefault="002744D8" w:rsidP="00BE3F24">
      <w:pPr>
        <w:rPr>
          <w:rFonts w:ascii="Arial" w:hAnsi="Arial"/>
          <w:sz w:val="22"/>
        </w:rPr>
      </w:pPr>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8"/>
        <w:gridCol w:w="5490"/>
        <w:gridCol w:w="1440"/>
      </w:tblGrid>
      <w:tr w:rsidR="00EB30F8" w:rsidRPr="00D20268" w14:paraId="11F228D1" w14:textId="77777777" w:rsidTr="001E4FA6">
        <w:trPr>
          <w:cantSplit/>
          <w:trHeight w:val="288"/>
          <w:tblHeader/>
        </w:trPr>
        <w:tc>
          <w:tcPr>
            <w:tcW w:w="1818" w:type="dxa"/>
            <w:shd w:val="pct15" w:color="auto" w:fill="auto"/>
            <w:vAlign w:val="center"/>
          </w:tcPr>
          <w:p w14:paraId="0C105CF6" w14:textId="77777777" w:rsidR="00EB30F8" w:rsidRPr="00D20268" w:rsidRDefault="00EB30F8" w:rsidP="004A4315">
            <w:pPr>
              <w:pStyle w:val="TOC1"/>
            </w:pPr>
            <w:r w:rsidRPr="00D20268">
              <w:t>Form</w:t>
            </w:r>
          </w:p>
        </w:tc>
        <w:tc>
          <w:tcPr>
            <w:tcW w:w="5490" w:type="dxa"/>
            <w:shd w:val="pct15" w:color="auto" w:fill="auto"/>
            <w:vAlign w:val="center"/>
          </w:tcPr>
          <w:p w14:paraId="6ACB0E86" w14:textId="77777777" w:rsidR="00EB30F8" w:rsidRPr="00D20268" w:rsidRDefault="00EB30F8" w:rsidP="00BE3F24">
            <w:pPr>
              <w:rPr>
                <w:rFonts w:ascii="Arial" w:hAnsi="Arial"/>
                <w:b/>
                <w:sz w:val="22"/>
              </w:rPr>
            </w:pPr>
            <w:r w:rsidRPr="00D20268">
              <w:rPr>
                <w:rFonts w:ascii="Arial" w:hAnsi="Arial"/>
                <w:b/>
                <w:sz w:val="22"/>
              </w:rPr>
              <w:t>Form Name</w:t>
            </w:r>
          </w:p>
        </w:tc>
        <w:tc>
          <w:tcPr>
            <w:tcW w:w="1440" w:type="dxa"/>
            <w:shd w:val="pct15" w:color="auto" w:fill="auto"/>
            <w:vAlign w:val="center"/>
          </w:tcPr>
          <w:p w14:paraId="0AF91DA0" w14:textId="77777777" w:rsidR="00EB30F8" w:rsidRPr="00D20268" w:rsidRDefault="00EB30F8" w:rsidP="00BE3F24">
            <w:pPr>
              <w:jc w:val="center"/>
              <w:rPr>
                <w:rFonts w:ascii="Arial" w:hAnsi="Arial"/>
                <w:b/>
                <w:sz w:val="22"/>
              </w:rPr>
            </w:pPr>
            <w:r w:rsidRPr="00D20268">
              <w:rPr>
                <w:rFonts w:ascii="Arial" w:hAnsi="Arial"/>
                <w:b/>
                <w:sz w:val="22"/>
              </w:rPr>
              <w:t>Purpose</w:t>
            </w:r>
          </w:p>
        </w:tc>
      </w:tr>
      <w:tr w:rsidR="00EB30F8" w:rsidRPr="00EB30F8" w14:paraId="07B00C88" w14:textId="77777777" w:rsidTr="001E4FA6">
        <w:trPr>
          <w:cantSplit/>
          <w:trHeight w:val="288"/>
        </w:trPr>
        <w:tc>
          <w:tcPr>
            <w:tcW w:w="1818" w:type="dxa"/>
            <w:vAlign w:val="center"/>
          </w:tcPr>
          <w:p w14:paraId="12149B6B" w14:textId="77777777" w:rsidR="00EB30F8" w:rsidRPr="00EB30F8" w:rsidRDefault="00EB30F8" w:rsidP="00BE3F24">
            <w:pPr>
              <w:rPr>
                <w:rFonts w:ascii="Arial" w:hAnsi="Arial"/>
                <w:sz w:val="22"/>
              </w:rPr>
            </w:pPr>
            <w:hyperlink r:id="rId356" w:history="1">
              <w:r w:rsidRPr="00EB30F8">
                <w:rPr>
                  <w:rStyle w:val="Hyperlink"/>
                  <w:rFonts w:ascii="Arial" w:hAnsi="Arial"/>
                  <w:sz w:val="22"/>
                </w:rPr>
                <w:t>PD-01</w:t>
              </w:r>
            </w:hyperlink>
          </w:p>
        </w:tc>
        <w:tc>
          <w:tcPr>
            <w:tcW w:w="5490" w:type="dxa"/>
            <w:vAlign w:val="center"/>
          </w:tcPr>
          <w:p w14:paraId="3B9B01E8" w14:textId="77777777" w:rsidR="00EB30F8" w:rsidRPr="00EB30F8" w:rsidRDefault="00EB30F8" w:rsidP="00BE3F24">
            <w:pPr>
              <w:rPr>
                <w:rFonts w:ascii="Arial" w:hAnsi="Arial"/>
                <w:sz w:val="22"/>
              </w:rPr>
            </w:pPr>
            <w:r w:rsidRPr="00EB30F8">
              <w:rPr>
                <w:rFonts w:ascii="Arial" w:hAnsi="Arial"/>
                <w:sz w:val="22"/>
              </w:rPr>
              <w:t>Condition Summary Form</w:t>
            </w:r>
          </w:p>
        </w:tc>
        <w:tc>
          <w:tcPr>
            <w:tcW w:w="1440" w:type="dxa"/>
            <w:vAlign w:val="center"/>
          </w:tcPr>
          <w:p w14:paraId="44A4F74D" w14:textId="77777777" w:rsidR="00EB30F8" w:rsidRPr="00EB30F8" w:rsidRDefault="00EB30F8" w:rsidP="00BE3F24">
            <w:pPr>
              <w:jc w:val="center"/>
              <w:rPr>
                <w:rFonts w:ascii="Arial" w:hAnsi="Arial"/>
                <w:sz w:val="22"/>
              </w:rPr>
            </w:pPr>
            <w:r w:rsidRPr="00EB30F8">
              <w:rPr>
                <w:rFonts w:ascii="Arial" w:hAnsi="Arial"/>
                <w:sz w:val="22"/>
              </w:rPr>
              <w:t>Estimate</w:t>
            </w:r>
          </w:p>
        </w:tc>
      </w:tr>
      <w:tr w:rsidR="00EB30F8" w:rsidRPr="00EB30F8" w14:paraId="3435E07A" w14:textId="77777777" w:rsidTr="001E4FA6">
        <w:trPr>
          <w:cantSplit/>
          <w:trHeight w:val="288"/>
        </w:trPr>
        <w:tc>
          <w:tcPr>
            <w:tcW w:w="1818" w:type="dxa"/>
            <w:tcBorders>
              <w:top w:val="single" w:sz="4" w:space="0" w:color="auto"/>
              <w:left w:val="single" w:sz="4" w:space="0" w:color="auto"/>
              <w:bottom w:val="single" w:sz="4" w:space="0" w:color="auto"/>
              <w:right w:val="single" w:sz="4" w:space="0" w:color="auto"/>
            </w:tcBorders>
            <w:vAlign w:val="center"/>
          </w:tcPr>
          <w:p w14:paraId="07DD82CB" w14:textId="77777777" w:rsidR="00EB30F8" w:rsidRPr="00EB30F8" w:rsidRDefault="00EB30F8" w:rsidP="0010438E">
            <w:pPr>
              <w:rPr>
                <w:rFonts w:ascii="Arial" w:hAnsi="Arial" w:cs="Arial"/>
                <w:sz w:val="22"/>
                <w:szCs w:val="22"/>
              </w:rPr>
            </w:pPr>
            <w:hyperlink r:id="rId357" w:history="1">
              <w:r w:rsidRPr="00EB30F8">
                <w:rPr>
                  <w:rStyle w:val="Hyperlink"/>
                  <w:rFonts w:ascii="Arial" w:hAnsi="Arial" w:cs="Arial"/>
                  <w:sz w:val="22"/>
                  <w:szCs w:val="22"/>
                </w:rPr>
                <w:t>PD-02</w:t>
              </w:r>
            </w:hyperlink>
          </w:p>
        </w:tc>
        <w:tc>
          <w:tcPr>
            <w:tcW w:w="5490" w:type="dxa"/>
            <w:tcBorders>
              <w:top w:val="single" w:sz="4" w:space="0" w:color="auto"/>
              <w:left w:val="single" w:sz="4" w:space="0" w:color="auto"/>
              <w:bottom w:val="single" w:sz="4" w:space="0" w:color="auto"/>
              <w:right w:val="single" w:sz="4" w:space="0" w:color="auto"/>
            </w:tcBorders>
            <w:vAlign w:val="center"/>
          </w:tcPr>
          <w:p w14:paraId="57EF60DD" w14:textId="77777777" w:rsidR="00EB30F8" w:rsidRPr="00EB30F8" w:rsidRDefault="00EB30F8" w:rsidP="0010438E">
            <w:pPr>
              <w:rPr>
                <w:rFonts w:ascii="Arial" w:hAnsi="Arial" w:cs="Arial"/>
                <w:sz w:val="22"/>
                <w:szCs w:val="22"/>
              </w:rPr>
            </w:pPr>
            <w:r w:rsidRPr="00EB30F8">
              <w:rPr>
                <w:rFonts w:ascii="Arial" w:hAnsi="Arial" w:cs="Arial"/>
                <w:sz w:val="22"/>
                <w:szCs w:val="22"/>
              </w:rPr>
              <w:t>Treatment Option Discussions with District</w:t>
            </w:r>
          </w:p>
        </w:tc>
        <w:tc>
          <w:tcPr>
            <w:tcW w:w="1440" w:type="dxa"/>
            <w:tcBorders>
              <w:top w:val="single" w:sz="4" w:space="0" w:color="auto"/>
              <w:left w:val="single" w:sz="4" w:space="0" w:color="auto"/>
              <w:bottom w:val="single" w:sz="4" w:space="0" w:color="auto"/>
              <w:right w:val="single" w:sz="4" w:space="0" w:color="auto"/>
            </w:tcBorders>
            <w:vAlign w:val="center"/>
          </w:tcPr>
          <w:p w14:paraId="1563E431" w14:textId="77777777" w:rsidR="00EB30F8" w:rsidRPr="00EB30F8" w:rsidRDefault="00EB30F8" w:rsidP="0010438E">
            <w:pPr>
              <w:jc w:val="center"/>
              <w:rPr>
                <w:rFonts w:ascii="Arial" w:hAnsi="Arial" w:cs="Arial"/>
                <w:sz w:val="22"/>
                <w:szCs w:val="22"/>
              </w:rPr>
            </w:pPr>
            <w:r w:rsidRPr="00EB30F8">
              <w:rPr>
                <w:rFonts w:ascii="Arial" w:hAnsi="Arial" w:cs="Arial"/>
                <w:sz w:val="22"/>
                <w:szCs w:val="22"/>
              </w:rPr>
              <w:t>Design</w:t>
            </w:r>
          </w:p>
        </w:tc>
      </w:tr>
      <w:tr w:rsidR="00EB30F8" w:rsidRPr="00EB30F8" w14:paraId="0B929E92" w14:textId="77777777" w:rsidTr="001E4FA6">
        <w:trPr>
          <w:cantSplit/>
          <w:trHeight w:val="288"/>
        </w:trPr>
        <w:tc>
          <w:tcPr>
            <w:tcW w:w="1818" w:type="dxa"/>
            <w:vAlign w:val="center"/>
          </w:tcPr>
          <w:p w14:paraId="11F17666" w14:textId="77777777" w:rsidR="00EB30F8" w:rsidRPr="00EB30F8" w:rsidRDefault="00EB30F8" w:rsidP="0010438E">
            <w:pPr>
              <w:rPr>
                <w:rFonts w:ascii="Arial" w:hAnsi="Arial"/>
                <w:color w:val="808080" w:themeColor="background1" w:themeShade="80"/>
                <w:sz w:val="22"/>
              </w:rPr>
            </w:pPr>
            <w:hyperlink r:id="rId358" w:history="1">
              <w:r w:rsidRPr="00EB30F8">
                <w:rPr>
                  <w:rStyle w:val="Hyperlink"/>
                  <w:rFonts w:ascii="Arial" w:hAnsi="Arial"/>
                  <w:sz w:val="22"/>
                </w:rPr>
                <w:t>PD-03</w:t>
              </w:r>
            </w:hyperlink>
          </w:p>
        </w:tc>
        <w:tc>
          <w:tcPr>
            <w:tcW w:w="5490" w:type="dxa"/>
            <w:vAlign w:val="center"/>
          </w:tcPr>
          <w:p w14:paraId="7757E4DE" w14:textId="77777777" w:rsidR="00EB30F8" w:rsidRPr="00EB30F8" w:rsidRDefault="00EB30F8" w:rsidP="0010438E">
            <w:pPr>
              <w:rPr>
                <w:rFonts w:ascii="Arial" w:hAnsi="Arial"/>
                <w:sz w:val="22"/>
              </w:rPr>
            </w:pPr>
            <w:r w:rsidRPr="00EB30F8">
              <w:rPr>
                <w:rFonts w:ascii="Arial" w:hAnsi="Arial"/>
                <w:sz w:val="22"/>
              </w:rPr>
              <w:t>IRI Profiling Request</w:t>
            </w:r>
          </w:p>
        </w:tc>
        <w:tc>
          <w:tcPr>
            <w:tcW w:w="1440" w:type="dxa"/>
            <w:vAlign w:val="center"/>
          </w:tcPr>
          <w:p w14:paraId="01F4133C" w14:textId="77777777" w:rsidR="00EB30F8" w:rsidRPr="00EB30F8" w:rsidRDefault="00EB30F8" w:rsidP="00EB30F8">
            <w:pPr>
              <w:jc w:val="center"/>
              <w:rPr>
                <w:rFonts w:ascii="Arial" w:hAnsi="Arial"/>
                <w:sz w:val="22"/>
              </w:rPr>
            </w:pPr>
            <w:r w:rsidRPr="00EB30F8">
              <w:rPr>
                <w:rFonts w:ascii="Arial" w:hAnsi="Arial"/>
                <w:sz w:val="22"/>
              </w:rPr>
              <w:t>Request</w:t>
            </w:r>
          </w:p>
        </w:tc>
      </w:tr>
      <w:tr w:rsidR="00EB30F8" w:rsidRPr="00EB30F8" w14:paraId="2775FFFD" w14:textId="77777777" w:rsidTr="001E4FA6">
        <w:trPr>
          <w:cantSplit/>
          <w:trHeight w:val="288"/>
        </w:trPr>
        <w:tc>
          <w:tcPr>
            <w:tcW w:w="1818" w:type="dxa"/>
            <w:vAlign w:val="center"/>
          </w:tcPr>
          <w:p w14:paraId="12D9FC3E" w14:textId="780B83C8" w:rsidR="00EB30F8" w:rsidRPr="00EB30F8" w:rsidRDefault="00EB30F8" w:rsidP="00BE3F24">
            <w:pPr>
              <w:rPr>
                <w:rFonts w:ascii="Arial" w:hAnsi="Arial"/>
                <w:sz w:val="22"/>
              </w:rPr>
            </w:pPr>
            <w:hyperlink r:id="rId359" w:history="1">
              <w:r w:rsidRPr="00EB30F8">
                <w:rPr>
                  <w:rStyle w:val="Hyperlink"/>
                  <w:rFonts w:ascii="Arial" w:hAnsi="Arial"/>
                  <w:sz w:val="22"/>
                </w:rPr>
                <w:t>PD-04</w:t>
              </w:r>
            </w:hyperlink>
          </w:p>
        </w:tc>
        <w:tc>
          <w:tcPr>
            <w:tcW w:w="5490" w:type="dxa"/>
            <w:vAlign w:val="center"/>
          </w:tcPr>
          <w:p w14:paraId="4FAE9FA5" w14:textId="77777777" w:rsidR="00EB30F8" w:rsidRPr="00EB30F8" w:rsidRDefault="00EB30F8" w:rsidP="00BE3F24">
            <w:pPr>
              <w:rPr>
                <w:rFonts w:ascii="Arial" w:hAnsi="Arial"/>
                <w:sz w:val="22"/>
              </w:rPr>
            </w:pPr>
            <w:r w:rsidRPr="00EB30F8">
              <w:rPr>
                <w:rFonts w:ascii="Arial" w:hAnsi="Arial"/>
                <w:sz w:val="22"/>
              </w:rPr>
              <w:t>Field Testing Request Form</w:t>
            </w:r>
          </w:p>
        </w:tc>
        <w:tc>
          <w:tcPr>
            <w:tcW w:w="1440" w:type="dxa"/>
            <w:vAlign w:val="center"/>
          </w:tcPr>
          <w:p w14:paraId="792F5252" w14:textId="77777777" w:rsidR="00EB30F8" w:rsidRPr="00EB30F8" w:rsidRDefault="00EB30F8" w:rsidP="00BE3F24">
            <w:pPr>
              <w:jc w:val="center"/>
              <w:rPr>
                <w:rFonts w:ascii="Arial" w:hAnsi="Arial"/>
                <w:sz w:val="22"/>
              </w:rPr>
            </w:pPr>
            <w:r w:rsidRPr="00EB30F8">
              <w:rPr>
                <w:rFonts w:ascii="Arial" w:hAnsi="Arial"/>
                <w:sz w:val="22"/>
              </w:rPr>
              <w:t>Request</w:t>
            </w:r>
          </w:p>
        </w:tc>
      </w:tr>
      <w:tr w:rsidR="00EB30F8" w:rsidRPr="00EB30F8" w14:paraId="3ECAF349" w14:textId="77777777" w:rsidTr="001E4FA6">
        <w:trPr>
          <w:cantSplit/>
          <w:trHeight w:val="288"/>
        </w:trPr>
        <w:tc>
          <w:tcPr>
            <w:tcW w:w="1818" w:type="dxa"/>
            <w:tcBorders>
              <w:top w:val="single" w:sz="4" w:space="0" w:color="auto"/>
              <w:left w:val="single" w:sz="4" w:space="0" w:color="auto"/>
              <w:bottom w:val="single" w:sz="4" w:space="0" w:color="auto"/>
              <w:right w:val="single" w:sz="4" w:space="0" w:color="auto"/>
            </w:tcBorders>
            <w:vAlign w:val="center"/>
          </w:tcPr>
          <w:p w14:paraId="74EA4B79" w14:textId="77777777" w:rsidR="00EB30F8" w:rsidRPr="00EB30F8" w:rsidRDefault="00EB30F8" w:rsidP="0010438E">
            <w:pPr>
              <w:rPr>
                <w:rFonts w:ascii="Arial" w:hAnsi="Arial" w:cs="Arial"/>
                <w:sz w:val="22"/>
                <w:szCs w:val="22"/>
              </w:rPr>
            </w:pPr>
            <w:hyperlink r:id="rId360" w:history="1">
              <w:r w:rsidRPr="00EB30F8">
                <w:rPr>
                  <w:rStyle w:val="Hyperlink"/>
                  <w:rFonts w:ascii="Arial" w:hAnsi="Arial" w:cs="Arial"/>
                  <w:sz w:val="22"/>
                  <w:szCs w:val="22"/>
                </w:rPr>
                <w:t>PD-05</w:t>
              </w:r>
            </w:hyperlink>
          </w:p>
        </w:tc>
        <w:tc>
          <w:tcPr>
            <w:tcW w:w="5490" w:type="dxa"/>
            <w:tcBorders>
              <w:top w:val="single" w:sz="4" w:space="0" w:color="auto"/>
              <w:left w:val="single" w:sz="4" w:space="0" w:color="auto"/>
              <w:bottom w:val="single" w:sz="4" w:space="0" w:color="auto"/>
              <w:right w:val="single" w:sz="4" w:space="0" w:color="auto"/>
            </w:tcBorders>
            <w:vAlign w:val="center"/>
          </w:tcPr>
          <w:p w14:paraId="5B5E547F" w14:textId="77777777" w:rsidR="00EB30F8" w:rsidRPr="00EB30F8" w:rsidRDefault="00EB30F8" w:rsidP="0010438E">
            <w:pPr>
              <w:rPr>
                <w:rFonts w:ascii="Arial" w:hAnsi="Arial" w:cs="Arial"/>
                <w:sz w:val="22"/>
                <w:szCs w:val="22"/>
              </w:rPr>
            </w:pPr>
            <w:r w:rsidRPr="00EB30F8">
              <w:rPr>
                <w:rFonts w:ascii="Arial" w:hAnsi="Arial" w:cs="Arial"/>
                <w:sz w:val="22"/>
                <w:szCs w:val="22"/>
              </w:rPr>
              <w:t>Summary of Geotechnical Design Elements and Delegation</w:t>
            </w:r>
          </w:p>
        </w:tc>
        <w:tc>
          <w:tcPr>
            <w:tcW w:w="1440" w:type="dxa"/>
            <w:tcBorders>
              <w:top w:val="single" w:sz="4" w:space="0" w:color="auto"/>
              <w:left w:val="single" w:sz="4" w:space="0" w:color="auto"/>
              <w:bottom w:val="single" w:sz="4" w:space="0" w:color="auto"/>
              <w:right w:val="single" w:sz="4" w:space="0" w:color="auto"/>
            </w:tcBorders>
            <w:vAlign w:val="center"/>
          </w:tcPr>
          <w:p w14:paraId="4CDC6992" w14:textId="77777777" w:rsidR="00EB30F8" w:rsidRPr="00EB30F8" w:rsidRDefault="00EB30F8" w:rsidP="0010438E">
            <w:pPr>
              <w:jc w:val="center"/>
              <w:rPr>
                <w:rFonts w:ascii="Arial" w:hAnsi="Arial" w:cs="Arial"/>
                <w:sz w:val="22"/>
                <w:szCs w:val="22"/>
              </w:rPr>
            </w:pPr>
            <w:r w:rsidRPr="00EB30F8">
              <w:rPr>
                <w:rFonts w:ascii="Arial" w:hAnsi="Arial" w:cs="Arial"/>
                <w:sz w:val="22"/>
                <w:szCs w:val="22"/>
              </w:rPr>
              <w:t>Design</w:t>
            </w:r>
          </w:p>
        </w:tc>
      </w:tr>
      <w:tr w:rsidR="00EB30F8" w:rsidRPr="00EB30F8" w14:paraId="3D6280F6" w14:textId="77777777" w:rsidTr="001E4FA6">
        <w:trPr>
          <w:cantSplit/>
          <w:trHeight w:val="288"/>
        </w:trPr>
        <w:tc>
          <w:tcPr>
            <w:tcW w:w="1818" w:type="dxa"/>
            <w:vAlign w:val="center"/>
          </w:tcPr>
          <w:p w14:paraId="0AE40AEB" w14:textId="77777777" w:rsidR="00EB30F8" w:rsidRPr="00EB30F8" w:rsidRDefault="00EB30F8" w:rsidP="00BE3F24">
            <w:pPr>
              <w:rPr>
                <w:rFonts w:ascii="Arial" w:hAnsi="Arial"/>
                <w:sz w:val="22"/>
              </w:rPr>
            </w:pPr>
            <w:hyperlink r:id="rId361" w:history="1">
              <w:r w:rsidRPr="00EB30F8">
                <w:rPr>
                  <w:rStyle w:val="Hyperlink"/>
                  <w:rFonts w:ascii="Arial" w:hAnsi="Arial"/>
                  <w:sz w:val="22"/>
                </w:rPr>
                <w:t>PD-06</w:t>
              </w:r>
            </w:hyperlink>
          </w:p>
        </w:tc>
        <w:tc>
          <w:tcPr>
            <w:tcW w:w="5490" w:type="dxa"/>
            <w:vAlign w:val="center"/>
          </w:tcPr>
          <w:p w14:paraId="69839337" w14:textId="77777777" w:rsidR="00EB30F8" w:rsidRPr="00EB30F8" w:rsidRDefault="00EB30F8" w:rsidP="002A0503">
            <w:pPr>
              <w:rPr>
                <w:rFonts w:ascii="Arial" w:hAnsi="Arial"/>
                <w:sz w:val="22"/>
              </w:rPr>
            </w:pPr>
            <w:r w:rsidRPr="00EB30F8">
              <w:rPr>
                <w:rFonts w:ascii="Arial" w:hAnsi="Arial"/>
                <w:sz w:val="22"/>
              </w:rPr>
              <w:t>Pavement Design QAQC Form – Non Fund 77</w:t>
            </w:r>
          </w:p>
        </w:tc>
        <w:tc>
          <w:tcPr>
            <w:tcW w:w="1440" w:type="dxa"/>
            <w:vAlign w:val="center"/>
          </w:tcPr>
          <w:p w14:paraId="77B38782" w14:textId="77777777" w:rsidR="00EB30F8" w:rsidRPr="00EB30F8" w:rsidRDefault="00EB30F8" w:rsidP="00BE3F24">
            <w:pPr>
              <w:jc w:val="center"/>
              <w:rPr>
                <w:rFonts w:ascii="Arial" w:hAnsi="Arial"/>
                <w:sz w:val="22"/>
              </w:rPr>
            </w:pPr>
            <w:r w:rsidRPr="00EB30F8">
              <w:rPr>
                <w:rFonts w:ascii="Arial" w:hAnsi="Arial"/>
                <w:sz w:val="22"/>
              </w:rPr>
              <w:t>QA</w:t>
            </w:r>
          </w:p>
        </w:tc>
      </w:tr>
      <w:tr w:rsidR="00EB30F8" w:rsidRPr="00EB30F8" w14:paraId="595586F8" w14:textId="77777777" w:rsidTr="001E4FA6">
        <w:trPr>
          <w:cantSplit/>
          <w:trHeight w:val="288"/>
        </w:trPr>
        <w:tc>
          <w:tcPr>
            <w:tcW w:w="1818" w:type="dxa"/>
            <w:vAlign w:val="center"/>
          </w:tcPr>
          <w:p w14:paraId="06FA253A" w14:textId="77777777" w:rsidR="00EB30F8" w:rsidRPr="00EB30F8" w:rsidRDefault="00EB30F8" w:rsidP="00BE3F24">
            <w:pPr>
              <w:rPr>
                <w:rFonts w:ascii="Arial" w:hAnsi="Arial"/>
                <w:sz w:val="22"/>
              </w:rPr>
            </w:pPr>
            <w:hyperlink r:id="rId362" w:history="1">
              <w:r w:rsidRPr="00EB30F8">
                <w:rPr>
                  <w:rStyle w:val="Hyperlink"/>
                  <w:rFonts w:ascii="Arial" w:hAnsi="Arial"/>
                  <w:sz w:val="22"/>
                </w:rPr>
                <w:t>PD-06 Fund 77</w:t>
              </w:r>
            </w:hyperlink>
          </w:p>
        </w:tc>
        <w:tc>
          <w:tcPr>
            <w:tcW w:w="5490" w:type="dxa"/>
            <w:vAlign w:val="center"/>
          </w:tcPr>
          <w:p w14:paraId="4572DCF7" w14:textId="77777777" w:rsidR="00EB30F8" w:rsidRPr="00EB30F8" w:rsidRDefault="00EB30F8" w:rsidP="00BE3F24">
            <w:pPr>
              <w:rPr>
                <w:rFonts w:ascii="Arial" w:hAnsi="Arial"/>
                <w:sz w:val="22"/>
              </w:rPr>
            </w:pPr>
            <w:r w:rsidRPr="00EB30F8">
              <w:rPr>
                <w:rFonts w:ascii="Arial" w:hAnsi="Arial"/>
                <w:sz w:val="22"/>
              </w:rPr>
              <w:t>Pavement Design QA Form – Fund 77</w:t>
            </w:r>
          </w:p>
        </w:tc>
        <w:tc>
          <w:tcPr>
            <w:tcW w:w="1440" w:type="dxa"/>
            <w:vAlign w:val="center"/>
          </w:tcPr>
          <w:p w14:paraId="6293C0BA" w14:textId="77777777" w:rsidR="00EB30F8" w:rsidRPr="00EB30F8" w:rsidRDefault="00EB30F8" w:rsidP="00BE3F24">
            <w:pPr>
              <w:jc w:val="center"/>
              <w:rPr>
                <w:rFonts w:ascii="Arial" w:hAnsi="Arial"/>
                <w:sz w:val="22"/>
              </w:rPr>
            </w:pPr>
            <w:r w:rsidRPr="00EB30F8">
              <w:rPr>
                <w:rFonts w:ascii="Arial" w:hAnsi="Arial"/>
                <w:sz w:val="22"/>
              </w:rPr>
              <w:t>QA</w:t>
            </w:r>
          </w:p>
        </w:tc>
      </w:tr>
      <w:tr w:rsidR="00EB30F8" w:rsidRPr="00EB30F8" w14:paraId="5C4DF235" w14:textId="77777777" w:rsidTr="001E4FA6">
        <w:trPr>
          <w:cantSplit/>
          <w:trHeight w:val="288"/>
        </w:trPr>
        <w:tc>
          <w:tcPr>
            <w:tcW w:w="1818" w:type="dxa"/>
            <w:tcBorders>
              <w:top w:val="single" w:sz="4" w:space="0" w:color="auto"/>
              <w:left w:val="single" w:sz="4" w:space="0" w:color="auto"/>
              <w:bottom w:val="single" w:sz="4" w:space="0" w:color="auto"/>
              <w:right w:val="single" w:sz="4" w:space="0" w:color="auto"/>
            </w:tcBorders>
            <w:vAlign w:val="center"/>
          </w:tcPr>
          <w:p w14:paraId="4127CB69" w14:textId="77777777" w:rsidR="00EB30F8" w:rsidRPr="00EB30F8" w:rsidRDefault="00EB30F8" w:rsidP="0010438E">
            <w:pPr>
              <w:rPr>
                <w:rFonts w:ascii="Arial" w:hAnsi="Arial" w:cs="Arial"/>
                <w:sz w:val="22"/>
                <w:szCs w:val="22"/>
              </w:rPr>
            </w:pPr>
            <w:hyperlink r:id="rId363" w:history="1">
              <w:r w:rsidRPr="00EB30F8">
                <w:rPr>
                  <w:rStyle w:val="Hyperlink"/>
                  <w:rFonts w:ascii="Arial" w:hAnsi="Arial" w:cs="Arial"/>
                  <w:sz w:val="22"/>
                  <w:szCs w:val="22"/>
                </w:rPr>
                <w:t>PD-07</w:t>
              </w:r>
            </w:hyperlink>
          </w:p>
        </w:tc>
        <w:tc>
          <w:tcPr>
            <w:tcW w:w="5490" w:type="dxa"/>
            <w:tcBorders>
              <w:top w:val="single" w:sz="4" w:space="0" w:color="auto"/>
              <w:left w:val="single" w:sz="4" w:space="0" w:color="auto"/>
              <w:bottom w:val="single" w:sz="4" w:space="0" w:color="auto"/>
              <w:right w:val="single" w:sz="4" w:space="0" w:color="auto"/>
            </w:tcBorders>
            <w:vAlign w:val="center"/>
          </w:tcPr>
          <w:p w14:paraId="2EB34387" w14:textId="77777777" w:rsidR="00EB30F8" w:rsidRPr="00EB30F8" w:rsidRDefault="00EB30F8" w:rsidP="0010438E">
            <w:pPr>
              <w:rPr>
                <w:rFonts w:ascii="Arial" w:hAnsi="Arial" w:cs="Arial"/>
                <w:sz w:val="22"/>
                <w:szCs w:val="22"/>
              </w:rPr>
            </w:pPr>
            <w:r w:rsidRPr="00EB30F8">
              <w:rPr>
                <w:rFonts w:ascii="Arial" w:hAnsi="Arial" w:cs="Arial"/>
                <w:sz w:val="22"/>
                <w:szCs w:val="22"/>
              </w:rPr>
              <w:t>Boring Request Checklist</w:t>
            </w:r>
          </w:p>
        </w:tc>
        <w:tc>
          <w:tcPr>
            <w:tcW w:w="1440" w:type="dxa"/>
            <w:tcBorders>
              <w:top w:val="single" w:sz="4" w:space="0" w:color="auto"/>
              <w:left w:val="single" w:sz="4" w:space="0" w:color="auto"/>
              <w:bottom w:val="single" w:sz="4" w:space="0" w:color="auto"/>
              <w:right w:val="single" w:sz="4" w:space="0" w:color="auto"/>
            </w:tcBorders>
            <w:vAlign w:val="center"/>
          </w:tcPr>
          <w:p w14:paraId="2E32575A" w14:textId="77777777" w:rsidR="00EB30F8" w:rsidRPr="00EB30F8" w:rsidRDefault="00EB30F8" w:rsidP="0010438E">
            <w:pPr>
              <w:jc w:val="center"/>
              <w:rPr>
                <w:rFonts w:ascii="Arial" w:hAnsi="Arial" w:cs="Arial"/>
                <w:sz w:val="22"/>
                <w:szCs w:val="22"/>
              </w:rPr>
            </w:pPr>
            <w:r w:rsidRPr="00EB30F8">
              <w:rPr>
                <w:rFonts w:ascii="Arial" w:hAnsi="Arial" w:cs="Arial"/>
                <w:sz w:val="22"/>
                <w:szCs w:val="22"/>
              </w:rPr>
              <w:t>Design</w:t>
            </w:r>
          </w:p>
        </w:tc>
      </w:tr>
      <w:tr w:rsidR="00EB30F8" w:rsidRPr="00EB30F8" w14:paraId="616C30DD" w14:textId="77777777" w:rsidTr="001E4FA6">
        <w:trPr>
          <w:cantSplit/>
          <w:trHeight w:val="288"/>
        </w:trPr>
        <w:tc>
          <w:tcPr>
            <w:tcW w:w="1818" w:type="dxa"/>
            <w:tcBorders>
              <w:top w:val="single" w:sz="4" w:space="0" w:color="auto"/>
              <w:left w:val="single" w:sz="4" w:space="0" w:color="auto"/>
              <w:bottom w:val="single" w:sz="4" w:space="0" w:color="auto"/>
              <w:right w:val="single" w:sz="4" w:space="0" w:color="auto"/>
            </w:tcBorders>
            <w:vAlign w:val="center"/>
          </w:tcPr>
          <w:p w14:paraId="3551C547" w14:textId="77777777" w:rsidR="00EB30F8" w:rsidRPr="00EB30F8" w:rsidRDefault="00EB30F8" w:rsidP="0010438E">
            <w:pPr>
              <w:rPr>
                <w:rFonts w:ascii="Arial" w:hAnsi="Arial" w:cs="Arial"/>
                <w:sz w:val="22"/>
                <w:szCs w:val="22"/>
              </w:rPr>
            </w:pPr>
            <w:hyperlink r:id="rId364" w:history="1">
              <w:r w:rsidRPr="00EB30F8">
                <w:rPr>
                  <w:rStyle w:val="Hyperlink"/>
                  <w:rFonts w:ascii="Arial" w:hAnsi="Arial" w:cs="Arial"/>
                  <w:sz w:val="22"/>
                  <w:szCs w:val="22"/>
                </w:rPr>
                <w:t>PD-08</w:t>
              </w:r>
            </w:hyperlink>
          </w:p>
        </w:tc>
        <w:tc>
          <w:tcPr>
            <w:tcW w:w="5490" w:type="dxa"/>
            <w:tcBorders>
              <w:top w:val="single" w:sz="4" w:space="0" w:color="auto"/>
              <w:left w:val="single" w:sz="4" w:space="0" w:color="auto"/>
              <w:bottom w:val="single" w:sz="4" w:space="0" w:color="auto"/>
              <w:right w:val="single" w:sz="4" w:space="0" w:color="auto"/>
            </w:tcBorders>
            <w:vAlign w:val="center"/>
          </w:tcPr>
          <w:p w14:paraId="1D0A0F75" w14:textId="77777777" w:rsidR="00EB30F8" w:rsidRPr="00EB30F8" w:rsidRDefault="00EB30F8" w:rsidP="0010438E">
            <w:pPr>
              <w:rPr>
                <w:rFonts w:ascii="Arial" w:hAnsi="Arial" w:cs="Arial"/>
                <w:sz w:val="22"/>
                <w:szCs w:val="22"/>
              </w:rPr>
            </w:pPr>
            <w:r w:rsidRPr="00EB30F8">
              <w:rPr>
                <w:rFonts w:ascii="Arial" w:hAnsi="Arial" w:cs="Arial"/>
                <w:sz w:val="22"/>
                <w:szCs w:val="22"/>
              </w:rPr>
              <w:t>Soil Survey Request Form</w:t>
            </w:r>
          </w:p>
        </w:tc>
        <w:tc>
          <w:tcPr>
            <w:tcW w:w="1440" w:type="dxa"/>
            <w:tcBorders>
              <w:top w:val="single" w:sz="4" w:space="0" w:color="auto"/>
              <w:left w:val="single" w:sz="4" w:space="0" w:color="auto"/>
              <w:bottom w:val="single" w:sz="4" w:space="0" w:color="auto"/>
              <w:right w:val="single" w:sz="4" w:space="0" w:color="auto"/>
            </w:tcBorders>
            <w:vAlign w:val="center"/>
          </w:tcPr>
          <w:p w14:paraId="25FFCD1A" w14:textId="77777777" w:rsidR="00EB30F8" w:rsidRPr="00EB30F8" w:rsidRDefault="00EB30F8" w:rsidP="0010438E">
            <w:pPr>
              <w:jc w:val="center"/>
              <w:rPr>
                <w:rFonts w:ascii="Arial" w:hAnsi="Arial" w:cs="Arial"/>
                <w:sz w:val="22"/>
                <w:szCs w:val="22"/>
              </w:rPr>
            </w:pPr>
            <w:r w:rsidRPr="00EB30F8">
              <w:rPr>
                <w:rFonts w:ascii="Arial" w:hAnsi="Arial" w:cs="Arial"/>
                <w:sz w:val="22"/>
                <w:szCs w:val="22"/>
              </w:rPr>
              <w:t>Request</w:t>
            </w:r>
          </w:p>
        </w:tc>
      </w:tr>
      <w:tr w:rsidR="00EB30F8" w:rsidRPr="00EB30F8" w14:paraId="29C057D7" w14:textId="77777777" w:rsidTr="001E4FA6">
        <w:trPr>
          <w:cantSplit/>
          <w:trHeight w:val="288"/>
        </w:trPr>
        <w:tc>
          <w:tcPr>
            <w:tcW w:w="1818" w:type="dxa"/>
            <w:tcBorders>
              <w:top w:val="single" w:sz="4" w:space="0" w:color="auto"/>
              <w:left w:val="single" w:sz="4" w:space="0" w:color="auto"/>
              <w:bottom w:val="single" w:sz="4" w:space="0" w:color="auto"/>
              <w:right w:val="single" w:sz="4" w:space="0" w:color="auto"/>
            </w:tcBorders>
            <w:vAlign w:val="center"/>
          </w:tcPr>
          <w:p w14:paraId="0E9B86FF" w14:textId="77777777" w:rsidR="00EB30F8" w:rsidRPr="00EB30F8" w:rsidRDefault="00EB30F8" w:rsidP="0010438E">
            <w:pPr>
              <w:rPr>
                <w:rFonts w:ascii="Arial" w:hAnsi="Arial" w:cs="Arial"/>
                <w:sz w:val="22"/>
                <w:szCs w:val="22"/>
              </w:rPr>
            </w:pPr>
            <w:hyperlink r:id="rId365" w:history="1">
              <w:r w:rsidRPr="00EB30F8">
                <w:rPr>
                  <w:rStyle w:val="Hyperlink"/>
                  <w:rFonts w:ascii="Arial" w:hAnsi="Arial" w:cs="Arial"/>
                  <w:sz w:val="22"/>
                  <w:szCs w:val="22"/>
                </w:rPr>
                <w:t>PD-08a</w:t>
              </w:r>
            </w:hyperlink>
          </w:p>
        </w:tc>
        <w:tc>
          <w:tcPr>
            <w:tcW w:w="5490" w:type="dxa"/>
            <w:tcBorders>
              <w:top w:val="single" w:sz="4" w:space="0" w:color="auto"/>
              <w:left w:val="single" w:sz="4" w:space="0" w:color="auto"/>
              <w:bottom w:val="single" w:sz="4" w:space="0" w:color="auto"/>
              <w:right w:val="single" w:sz="4" w:space="0" w:color="auto"/>
            </w:tcBorders>
            <w:vAlign w:val="center"/>
          </w:tcPr>
          <w:p w14:paraId="7F96B003" w14:textId="77777777" w:rsidR="00EB30F8" w:rsidRPr="00EB30F8" w:rsidRDefault="00EB30F8" w:rsidP="0010438E">
            <w:pPr>
              <w:rPr>
                <w:rFonts w:ascii="Arial" w:hAnsi="Arial" w:cs="Arial"/>
                <w:sz w:val="22"/>
                <w:szCs w:val="22"/>
              </w:rPr>
            </w:pPr>
            <w:r w:rsidRPr="00EB30F8">
              <w:rPr>
                <w:rFonts w:ascii="Arial" w:hAnsi="Arial" w:cs="Arial"/>
                <w:sz w:val="22"/>
                <w:szCs w:val="22"/>
              </w:rPr>
              <w:t>Soil Survey Notes Example</w:t>
            </w:r>
          </w:p>
        </w:tc>
        <w:tc>
          <w:tcPr>
            <w:tcW w:w="1440" w:type="dxa"/>
            <w:tcBorders>
              <w:top w:val="single" w:sz="4" w:space="0" w:color="auto"/>
              <w:left w:val="single" w:sz="4" w:space="0" w:color="auto"/>
              <w:bottom w:val="single" w:sz="4" w:space="0" w:color="auto"/>
              <w:right w:val="single" w:sz="4" w:space="0" w:color="auto"/>
            </w:tcBorders>
            <w:vAlign w:val="center"/>
          </w:tcPr>
          <w:p w14:paraId="52EB58F4" w14:textId="77777777" w:rsidR="00EB30F8" w:rsidRPr="00EB30F8" w:rsidRDefault="00EB30F8" w:rsidP="0010438E">
            <w:pPr>
              <w:jc w:val="center"/>
              <w:rPr>
                <w:rFonts w:ascii="Arial" w:hAnsi="Arial" w:cs="Arial"/>
                <w:sz w:val="22"/>
                <w:szCs w:val="22"/>
              </w:rPr>
            </w:pPr>
            <w:r w:rsidRPr="00EB30F8">
              <w:rPr>
                <w:rFonts w:ascii="Arial" w:hAnsi="Arial" w:cs="Arial"/>
                <w:sz w:val="22"/>
                <w:szCs w:val="22"/>
              </w:rPr>
              <w:t>Request</w:t>
            </w:r>
          </w:p>
        </w:tc>
      </w:tr>
      <w:tr w:rsidR="00EB30F8" w:rsidRPr="00EB30F8" w14:paraId="05ACBBB9" w14:textId="77777777" w:rsidTr="001E4FA6">
        <w:trPr>
          <w:cantSplit/>
          <w:trHeight w:val="288"/>
        </w:trPr>
        <w:tc>
          <w:tcPr>
            <w:tcW w:w="1818" w:type="dxa"/>
            <w:tcBorders>
              <w:top w:val="single" w:sz="4" w:space="0" w:color="auto"/>
              <w:left w:val="single" w:sz="4" w:space="0" w:color="auto"/>
              <w:bottom w:val="single" w:sz="4" w:space="0" w:color="auto"/>
              <w:right w:val="single" w:sz="4" w:space="0" w:color="auto"/>
            </w:tcBorders>
            <w:vAlign w:val="center"/>
          </w:tcPr>
          <w:p w14:paraId="52F6ACB8" w14:textId="77777777" w:rsidR="00EB30F8" w:rsidRPr="00EB30F8" w:rsidRDefault="00EB30F8" w:rsidP="0010438E">
            <w:pPr>
              <w:rPr>
                <w:rFonts w:ascii="Arial" w:hAnsi="Arial" w:cs="Arial"/>
                <w:sz w:val="22"/>
                <w:szCs w:val="22"/>
              </w:rPr>
            </w:pPr>
            <w:hyperlink r:id="rId366" w:history="1">
              <w:r w:rsidRPr="00EB30F8">
                <w:rPr>
                  <w:rStyle w:val="Hyperlink"/>
                  <w:rFonts w:ascii="Arial" w:hAnsi="Arial" w:cs="Arial"/>
                  <w:sz w:val="22"/>
                  <w:szCs w:val="22"/>
                </w:rPr>
                <w:t>PD-09</w:t>
              </w:r>
            </w:hyperlink>
          </w:p>
        </w:tc>
        <w:tc>
          <w:tcPr>
            <w:tcW w:w="5490" w:type="dxa"/>
            <w:tcBorders>
              <w:top w:val="single" w:sz="4" w:space="0" w:color="auto"/>
              <w:left w:val="single" w:sz="4" w:space="0" w:color="auto"/>
              <w:bottom w:val="single" w:sz="4" w:space="0" w:color="auto"/>
              <w:right w:val="single" w:sz="4" w:space="0" w:color="auto"/>
            </w:tcBorders>
            <w:vAlign w:val="center"/>
          </w:tcPr>
          <w:p w14:paraId="5C4CF1F9" w14:textId="77777777" w:rsidR="00EB30F8" w:rsidRPr="00EB30F8" w:rsidRDefault="00EB30F8" w:rsidP="0010438E">
            <w:pPr>
              <w:rPr>
                <w:rFonts w:ascii="Arial" w:hAnsi="Arial" w:cs="Arial"/>
                <w:sz w:val="22"/>
                <w:szCs w:val="22"/>
              </w:rPr>
            </w:pPr>
            <w:r w:rsidRPr="00EB30F8">
              <w:rPr>
                <w:rFonts w:ascii="Arial" w:hAnsi="Arial" w:cs="Arial"/>
                <w:sz w:val="22"/>
                <w:szCs w:val="22"/>
              </w:rPr>
              <w:t>SPT Boring Request Form</w:t>
            </w:r>
          </w:p>
        </w:tc>
        <w:tc>
          <w:tcPr>
            <w:tcW w:w="1440" w:type="dxa"/>
            <w:tcBorders>
              <w:top w:val="single" w:sz="4" w:space="0" w:color="auto"/>
              <w:left w:val="single" w:sz="4" w:space="0" w:color="auto"/>
              <w:bottom w:val="single" w:sz="4" w:space="0" w:color="auto"/>
              <w:right w:val="single" w:sz="4" w:space="0" w:color="auto"/>
            </w:tcBorders>
            <w:vAlign w:val="center"/>
          </w:tcPr>
          <w:p w14:paraId="0EEBC337" w14:textId="77777777" w:rsidR="00EB30F8" w:rsidRPr="00EB30F8" w:rsidRDefault="00EB30F8" w:rsidP="0010438E">
            <w:pPr>
              <w:jc w:val="center"/>
              <w:rPr>
                <w:rFonts w:ascii="Arial" w:hAnsi="Arial" w:cs="Arial"/>
                <w:sz w:val="22"/>
                <w:szCs w:val="22"/>
              </w:rPr>
            </w:pPr>
            <w:r w:rsidRPr="00EB30F8">
              <w:rPr>
                <w:rFonts w:ascii="Arial" w:hAnsi="Arial" w:cs="Arial"/>
                <w:sz w:val="22"/>
                <w:szCs w:val="22"/>
              </w:rPr>
              <w:t>Request</w:t>
            </w:r>
          </w:p>
        </w:tc>
      </w:tr>
      <w:tr w:rsidR="00EB30F8" w:rsidRPr="00EB30F8" w14:paraId="215C04A4" w14:textId="77777777" w:rsidTr="001E4FA6">
        <w:trPr>
          <w:cantSplit/>
          <w:trHeight w:val="288"/>
        </w:trPr>
        <w:tc>
          <w:tcPr>
            <w:tcW w:w="1818" w:type="dxa"/>
            <w:tcBorders>
              <w:top w:val="single" w:sz="4" w:space="0" w:color="auto"/>
              <w:left w:val="single" w:sz="4" w:space="0" w:color="auto"/>
              <w:bottom w:val="single" w:sz="4" w:space="0" w:color="auto"/>
              <w:right w:val="single" w:sz="4" w:space="0" w:color="auto"/>
            </w:tcBorders>
            <w:vAlign w:val="center"/>
          </w:tcPr>
          <w:p w14:paraId="4EAA5829" w14:textId="77777777" w:rsidR="00EB30F8" w:rsidRPr="00EB30F8" w:rsidRDefault="00EB30F8" w:rsidP="0010438E">
            <w:pPr>
              <w:rPr>
                <w:rFonts w:ascii="Arial" w:hAnsi="Arial" w:cs="Arial"/>
                <w:sz w:val="22"/>
                <w:szCs w:val="22"/>
              </w:rPr>
            </w:pPr>
            <w:hyperlink r:id="rId367" w:history="1">
              <w:r w:rsidRPr="00EB30F8">
                <w:rPr>
                  <w:rStyle w:val="Hyperlink"/>
                  <w:rFonts w:ascii="Arial" w:hAnsi="Arial" w:cs="Arial"/>
                  <w:sz w:val="22"/>
                  <w:szCs w:val="22"/>
                </w:rPr>
                <w:t>PD-09a</w:t>
              </w:r>
            </w:hyperlink>
          </w:p>
        </w:tc>
        <w:tc>
          <w:tcPr>
            <w:tcW w:w="5490" w:type="dxa"/>
            <w:tcBorders>
              <w:top w:val="single" w:sz="4" w:space="0" w:color="auto"/>
              <w:left w:val="single" w:sz="4" w:space="0" w:color="auto"/>
              <w:bottom w:val="single" w:sz="4" w:space="0" w:color="auto"/>
              <w:right w:val="single" w:sz="4" w:space="0" w:color="auto"/>
            </w:tcBorders>
            <w:vAlign w:val="center"/>
          </w:tcPr>
          <w:p w14:paraId="78050052" w14:textId="77777777" w:rsidR="00EB30F8" w:rsidRPr="00EB30F8" w:rsidRDefault="00EB30F8" w:rsidP="0010438E">
            <w:pPr>
              <w:rPr>
                <w:rFonts w:ascii="Arial" w:hAnsi="Arial" w:cs="Arial"/>
                <w:sz w:val="22"/>
                <w:szCs w:val="22"/>
              </w:rPr>
            </w:pPr>
            <w:r w:rsidRPr="00EB30F8">
              <w:rPr>
                <w:rFonts w:ascii="Arial" w:hAnsi="Arial" w:cs="Arial"/>
                <w:sz w:val="22"/>
                <w:szCs w:val="22"/>
              </w:rPr>
              <w:t>SPT Boring Criteria Example</w:t>
            </w:r>
          </w:p>
        </w:tc>
        <w:tc>
          <w:tcPr>
            <w:tcW w:w="1440" w:type="dxa"/>
            <w:tcBorders>
              <w:top w:val="single" w:sz="4" w:space="0" w:color="auto"/>
              <w:left w:val="single" w:sz="4" w:space="0" w:color="auto"/>
              <w:bottom w:val="single" w:sz="4" w:space="0" w:color="auto"/>
              <w:right w:val="single" w:sz="4" w:space="0" w:color="auto"/>
            </w:tcBorders>
            <w:vAlign w:val="center"/>
          </w:tcPr>
          <w:p w14:paraId="72EA4B6A" w14:textId="77777777" w:rsidR="00EB30F8" w:rsidRPr="00EB30F8" w:rsidRDefault="00EB30F8" w:rsidP="0010438E">
            <w:pPr>
              <w:jc w:val="center"/>
              <w:rPr>
                <w:rFonts w:ascii="Arial" w:hAnsi="Arial" w:cs="Arial"/>
                <w:sz w:val="22"/>
                <w:szCs w:val="22"/>
              </w:rPr>
            </w:pPr>
            <w:r w:rsidRPr="00EB30F8">
              <w:rPr>
                <w:rFonts w:ascii="Arial" w:hAnsi="Arial" w:cs="Arial"/>
                <w:sz w:val="22"/>
                <w:szCs w:val="22"/>
              </w:rPr>
              <w:t>Request</w:t>
            </w:r>
          </w:p>
        </w:tc>
      </w:tr>
      <w:tr w:rsidR="00EB30F8" w:rsidRPr="00EB30F8" w14:paraId="0761F352" w14:textId="77777777" w:rsidTr="001E4FA6">
        <w:trPr>
          <w:cantSplit/>
          <w:trHeight w:val="288"/>
        </w:trPr>
        <w:tc>
          <w:tcPr>
            <w:tcW w:w="1818" w:type="dxa"/>
            <w:tcBorders>
              <w:top w:val="single" w:sz="4" w:space="0" w:color="auto"/>
              <w:left w:val="single" w:sz="4" w:space="0" w:color="auto"/>
              <w:bottom w:val="single" w:sz="4" w:space="0" w:color="auto"/>
              <w:right w:val="single" w:sz="4" w:space="0" w:color="auto"/>
            </w:tcBorders>
            <w:vAlign w:val="center"/>
          </w:tcPr>
          <w:p w14:paraId="622AC70A" w14:textId="77777777" w:rsidR="00EB30F8" w:rsidRPr="00EB30F8" w:rsidRDefault="00EB30F8" w:rsidP="0010438E">
            <w:pPr>
              <w:rPr>
                <w:rFonts w:ascii="Arial" w:hAnsi="Arial" w:cs="Arial"/>
                <w:sz w:val="22"/>
                <w:szCs w:val="22"/>
              </w:rPr>
            </w:pPr>
            <w:hyperlink r:id="rId368" w:history="1">
              <w:r w:rsidRPr="00EB30F8">
                <w:rPr>
                  <w:rStyle w:val="Hyperlink"/>
                  <w:rFonts w:ascii="Arial" w:hAnsi="Arial" w:cs="Arial"/>
                  <w:sz w:val="22"/>
                  <w:szCs w:val="22"/>
                </w:rPr>
                <w:t>PD-10</w:t>
              </w:r>
            </w:hyperlink>
          </w:p>
        </w:tc>
        <w:tc>
          <w:tcPr>
            <w:tcW w:w="5490" w:type="dxa"/>
            <w:tcBorders>
              <w:top w:val="single" w:sz="4" w:space="0" w:color="auto"/>
              <w:left w:val="single" w:sz="4" w:space="0" w:color="auto"/>
              <w:bottom w:val="single" w:sz="4" w:space="0" w:color="auto"/>
              <w:right w:val="single" w:sz="4" w:space="0" w:color="auto"/>
            </w:tcBorders>
            <w:vAlign w:val="center"/>
          </w:tcPr>
          <w:p w14:paraId="1E22C511" w14:textId="77777777" w:rsidR="00EB30F8" w:rsidRPr="00EB30F8" w:rsidRDefault="00EB30F8" w:rsidP="0010438E">
            <w:pPr>
              <w:rPr>
                <w:rFonts w:ascii="Arial" w:hAnsi="Arial" w:cs="Arial"/>
                <w:sz w:val="22"/>
                <w:szCs w:val="22"/>
              </w:rPr>
            </w:pPr>
            <w:r w:rsidRPr="00EB30F8">
              <w:rPr>
                <w:rFonts w:ascii="Arial" w:hAnsi="Arial" w:cs="Arial"/>
                <w:sz w:val="22"/>
                <w:szCs w:val="22"/>
              </w:rPr>
              <w:t>Laboratory Test Request Form</w:t>
            </w:r>
          </w:p>
        </w:tc>
        <w:tc>
          <w:tcPr>
            <w:tcW w:w="1440" w:type="dxa"/>
            <w:tcBorders>
              <w:top w:val="single" w:sz="4" w:space="0" w:color="auto"/>
              <w:left w:val="single" w:sz="4" w:space="0" w:color="auto"/>
              <w:bottom w:val="single" w:sz="4" w:space="0" w:color="auto"/>
              <w:right w:val="single" w:sz="4" w:space="0" w:color="auto"/>
            </w:tcBorders>
            <w:vAlign w:val="center"/>
          </w:tcPr>
          <w:p w14:paraId="36EEEF5F" w14:textId="77777777" w:rsidR="00EB30F8" w:rsidRPr="00EB30F8" w:rsidRDefault="00EB30F8" w:rsidP="0010438E">
            <w:pPr>
              <w:jc w:val="center"/>
              <w:rPr>
                <w:rFonts w:ascii="Arial" w:hAnsi="Arial" w:cs="Arial"/>
                <w:sz w:val="22"/>
                <w:szCs w:val="22"/>
              </w:rPr>
            </w:pPr>
            <w:r w:rsidRPr="00EB30F8">
              <w:rPr>
                <w:rFonts w:ascii="Arial" w:hAnsi="Arial" w:cs="Arial"/>
                <w:sz w:val="22"/>
                <w:szCs w:val="22"/>
              </w:rPr>
              <w:t>Request</w:t>
            </w:r>
          </w:p>
        </w:tc>
      </w:tr>
      <w:tr w:rsidR="00EB30F8" w:rsidRPr="00EB30F8" w14:paraId="45F6EB40" w14:textId="77777777" w:rsidTr="001E4FA6">
        <w:trPr>
          <w:cantSplit/>
          <w:trHeight w:val="288"/>
        </w:trPr>
        <w:tc>
          <w:tcPr>
            <w:tcW w:w="1818" w:type="dxa"/>
            <w:vAlign w:val="center"/>
          </w:tcPr>
          <w:p w14:paraId="53C0422A" w14:textId="77777777" w:rsidR="00EB30F8" w:rsidRPr="00EB30F8" w:rsidRDefault="00EB30F8" w:rsidP="00BE3F24">
            <w:pPr>
              <w:rPr>
                <w:rFonts w:ascii="Arial" w:hAnsi="Arial"/>
                <w:sz w:val="22"/>
              </w:rPr>
            </w:pPr>
            <w:hyperlink r:id="rId369" w:history="1">
              <w:r w:rsidRPr="00EB30F8">
                <w:rPr>
                  <w:rStyle w:val="Hyperlink"/>
                  <w:rFonts w:ascii="Arial" w:hAnsi="Arial"/>
                  <w:sz w:val="22"/>
                </w:rPr>
                <w:t>PD-11</w:t>
              </w:r>
            </w:hyperlink>
          </w:p>
        </w:tc>
        <w:tc>
          <w:tcPr>
            <w:tcW w:w="5490" w:type="dxa"/>
            <w:vAlign w:val="center"/>
          </w:tcPr>
          <w:p w14:paraId="11B73A00" w14:textId="77777777" w:rsidR="00EB30F8" w:rsidRPr="00EB30F8" w:rsidRDefault="00EB30F8" w:rsidP="0055700D">
            <w:pPr>
              <w:rPr>
                <w:rFonts w:ascii="Arial" w:hAnsi="Arial"/>
                <w:sz w:val="22"/>
              </w:rPr>
            </w:pPr>
            <w:r w:rsidRPr="00EB30F8">
              <w:rPr>
                <w:rFonts w:ascii="Arial" w:hAnsi="Arial"/>
                <w:sz w:val="22"/>
              </w:rPr>
              <w:t>Ride Quality Specification Pay Limit Form</w:t>
            </w:r>
          </w:p>
        </w:tc>
        <w:tc>
          <w:tcPr>
            <w:tcW w:w="1440" w:type="dxa"/>
            <w:vAlign w:val="center"/>
          </w:tcPr>
          <w:p w14:paraId="3D38C554" w14:textId="77777777" w:rsidR="00EB30F8" w:rsidRPr="00EB30F8" w:rsidRDefault="00EB30F8" w:rsidP="00BE3F24">
            <w:pPr>
              <w:jc w:val="center"/>
              <w:rPr>
                <w:rFonts w:ascii="Arial" w:hAnsi="Arial"/>
                <w:sz w:val="22"/>
              </w:rPr>
            </w:pPr>
            <w:r w:rsidRPr="00EB30F8">
              <w:rPr>
                <w:rFonts w:ascii="Arial" w:hAnsi="Arial"/>
                <w:sz w:val="22"/>
              </w:rPr>
              <w:t>Design</w:t>
            </w:r>
          </w:p>
        </w:tc>
      </w:tr>
      <w:tr w:rsidR="0067508B" w:rsidRPr="00EB30F8" w14:paraId="5E0FD923" w14:textId="77777777" w:rsidTr="001E4FA6">
        <w:trPr>
          <w:cantSplit/>
          <w:trHeight w:val="288"/>
        </w:trPr>
        <w:tc>
          <w:tcPr>
            <w:tcW w:w="1818" w:type="dxa"/>
            <w:vAlign w:val="center"/>
          </w:tcPr>
          <w:p w14:paraId="2CABD7E2" w14:textId="77777777" w:rsidR="0067508B" w:rsidRPr="00EB30F8" w:rsidRDefault="0067508B" w:rsidP="0067508B">
            <w:pPr>
              <w:rPr>
                <w:rFonts w:ascii="Arial" w:hAnsi="Arial"/>
                <w:sz w:val="22"/>
              </w:rPr>
            </w:pPr>
            <w:hyperlink r:id="rId370" w:history="1">
              <w:r w:rsidRPr="00EB30F8">
                <w:rPr>
                  <w:rStyle w:val="Hyperlink"/>
                  <w:rFonts w:ascii="Arial" w:hAnsi="Arial"/>
                  <w:sz w:val="22"/>
                </w:rPr>
                <w:t>PD-12</w:t>
              </w:r>
            </w:hyperlink>
          </w:p>
        </w:tc>
        <w:tc>
          <w:tcPr>
            <w:tcW w:w="5490" w:type="dxa"/>
            <w:vAlign w:val="center"/>
          </w:tcPr>
          <w:p w14:paraId="5785C694" w14:textId="77777777" w:rsidR="0067508B" w:rsidRPr="00EB30F8" w:rsidRDefault="0067508B" w:rsidP="0067508B">
            <w:pPr>
              <w:rPr>
                <w:rFonts w:ascii="Arial" w:hAnsi="Arial"/>
                <w:sz w:val="22"/>
              </w:rPr>
            </w:pPr>
            <w:r w:rsidRPr="00EB30F8">
              <w:rPr>
                <w:rFonts w:ascii="Arial" w:hAnsi="Arial"/>
                <w:sz w:val="22"/>
              </w:rPr>
              <w:t>Pavement Patching Survey Form</w:t>
            </w:r>
          </w:p>
        </w:tc>
        <w:tc>
          <w:tcPr>
            <w:tcW w:w="1440" w:type="dxa"/>
            <w:vAlign w:val="center"/>
          </w:tcPr>
          <w:p w14:paraId="421FEE90" w14:textId="77777777" w:rsidR="0067508B" w:rsidRPr="00EB30F8" w:rsidRDefault="0067508B" w:rsidP="0067508B">
            <w:pPr>
              <w:jc w:val="center"/>
              <w:rPr>
                <w:rFonts w:ascii="Arial" w:hAnsi="Arial"/>
                <w:sz w:val="22"/>
              </w:rPr>
            </w:pPr>
            <w:r w:rsidRPr="00EB30F8">
              <w:rPr>
                <w:rFonts w:ascii="Arial" w:hAnsi="Arial"/>
                <w:sz w:val="22"/>
              </w:rPr>
              <w:t>Patching</w:t>
            </w:r>
          </w:p>
        </w:tc>
      </w:tr>
      <w:tr w:rsidR="00EB30F8" w:rsidRPr="00EB30F8" w14:paraId="421D984C" w14:textId="77777777" w:rsidTr="001E4FA6">
        <w:trPr>
          <w:cantSplit/>
          <w:trHeight w:val="288"/>
        </w:trPr>
        <w:tc>
          <w:tcPr>
            <w:tcW w:w="1818" w:type="dxa"/>
            <w:tcBorders>
              <w:bottom w:val="single" w:sz="4" w:space="0" w:color="auto"/>
            </w:tcBorders>
            <w:vAlign w:val="center"/>
          </w:tcPr>
          <w:p w14:paraId="2109F0DA" w14:textId="77777777" w:rsidR="00EB30F8" w:rsidRPr="00EB30F8" w:rsidRDefault="00EB30F8" w:rsidP="0010438E">
            <w:pPr>
              <w:rPr>
                <w:rFonts w:ascii="Arial" w:hAnsi="Arial"/>
                <w:sz w:val="22"/>
              </w:rPr>
            </w:pPr>
            <w:hyperlink r:id="rId371" w:history="1">
              <w:r w:rsidRPr="0067508B">
                <w:rPr>
                  <w:rStyle w:val="Hyperlink"/>
                  <w:rFonts w:ascii="Arial" w:hAnsi="Arial"/>
                  <w:sz w:val="22"/>
                </w:rPr>
                <w:t>PD-1</w:t>
              </w:r>
              <w:r w:rsidR="0067508B" w:rsidRPr="0067508B">
                <w:rPr>
                  <w:rStyle w:val="Hyperlink"/>
                  <w:rFonts w:ascii="Arial" w:hAnsi="Arial"/>
                  <w:sz w:val="22"/>
                </w:rPr>
                <w:t>3</w:t>
              </w:r>
            </w:hyperlink>
          </w:p>
        </w:tc>
        <w:tc>
          <w:tcPr>
            <w:tcW w:w="5490" w:type="dxa"/>
            <w:tcBorders>
              <w:bottom w:val="single" w:sz="4" w:space="0" w:color="auto"/>
            </w:tcBorders>
            <w:vAlign w:val="center"/>
          </w:tcPr>
          <w:p w14:paraId="1569AC92" w14:textId="77777777" w:rsidR="00EB30F8" w:rsidRPr="00EB30F8" w:rsidRDefault="00EB30F8" w:rsidP="0067508B">
            <w:pPr>
              <w:rPr>
                <w:rFonts w:ascii="Arial" w:hAnsi="Arial"/>
                <w:sz w:val="22"/>
              </w:rPr>
            </w:pPr>
            <w:r w:rsidRPr="00EB30F8">
              <w:rPr>
                <w:rFonts w:ascii="Arial" w:hAnsi="Arial"/>
                <w:sz w:val="22"/>
              </w:rPr>
              <w:t xml:space="preserve">Pavement </w:t>
            </w:r>
            <w:r w:rsidR="0067508B">
              <w:rPr>
                <w:rFonts w:ascii="Arial" w:hAnsi="Arial"/>
                <w:sz w:val="22"/>
              </w:rPr>
              <w:t>Type Selection Process</w:t>
            </w:r>
            <w:r w:rsidRPr="00EB30F8">
              <w:rPr>
                <w:rFonts w:ascii="Arial" w:hAnsi="Arial"/>
                <w:sz w:val="22"/>
              </w:rPr>
              <w:t xml:space="preserve"> Form</w:t>
            </w:r>
          </w:p>
        </w:tc>
        <w:tc>
          <w:tcPr>
            <w:tcW w:w="1440" w:type="dxa"/>
            <w:tcBorders>
              <w:bottom w:val="single" w:sz="4" w:space="0" w:color="auto"/>
            </w:tcBorders>
            <w:vAlign w:val="center"/>
          </w:tcPr>
          <w:p w14:paraId="120E1A8F" w14:textId="77777777" w:rsidR="00EB30F8" w:rsidRPr="00EB30F8" w:rsidRDefault="0067508B" w:rsidP="0067508B">
            <w:pPr>
              <w:jc w:val="center"/>
              <w:rPr>
                <w:rFonts w:ascii="Arial" w:hAnsi="Arial"/>
                <w:sz w:val="22"/>
              </w:rPr>
            </w:pPr>
            <w:r>
              <w:rPr>
                <w:rFonts w:ascii="Arial" w:hAnsi="Arial"/>
                <w:sz w:val="22"/>
              </w:rPr>
              <w:t>Design</w:t>
            </w:r>
          </w:p>
        </w:tc>
      </w:tr>
    </w:tbl>
    <w:p w14:paraId="046865DE" w14:textId="6B2A303C" w:rsidR="00235EDE" w:rsidRDefault="00235EDE" w:rsidP="00916953"/>
    <w:p w14:paraId="4C896575" w14:textId="77777777" w:rsidR="00235EDE" w:rsidRDefault="00235EDE">
      <w:pPr>
        <w:rPr>
          <w:rFonts w:ascii="Arial" w:hAnsi="Arial"/>
          <w:b/>
          <w:i/>
          <w:sz w:val="24"/>
        </w:rPr>
      </w:pPr>
      <w:r>
        <w:br w:type="page"/>
      </w:r>
    </w:p>
    <w:p w14:paraId="3418A95A" w14:textId="77777777" w:rsidR="008E6917" w:rsidRDefault="008E6917" w:rsidP="00172E64">
      <w:pPr>
        <w:pStyle w:val="Heading3"/>
        <w:numPr>
          <w:ilvl w:val="2"/>
          <w:numId w:val="185"/>
        </w:numPr>
        <w:ind w:left="0" w:firstLine="0"/>
      </w:pPr>
      <w:bookmarkStart w:id="699" w:name="_Reference_Guidelines"/>
      <w:bookmarkEnd w:id="699"/>
      <w:r>
        <w:lastRenderedPageBreak/>
        <w:t>Reference Guidelines</w:t>
      </w:r>
    </w:p>
    <w:p w14:paraId="3125A1E9" w14:textId="77777777" w:rsidR="008E6917" w:rsidRDefault="008E6917" w:rsidP="008E6917">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gINT_Instructions_1" w:history="1">
        <w:r w:rsidRPr="008E6917">
          <w:rPr>
            <w:rStyle w:val="Hyperlink"/>
            <w:rFonts w:ascii="Arial" w:hAnsi="Arial" w:cs="Arial"/>
            <w:bCs/>
            <w:sz w:val="16"/>
            <w:szCs w:val="16"/>
          </w:rPr>
          <w:t>gINT Instructions</w:t>
        </w:r>
      </w:hyperlink>
    </w:p>
    <w:p w14:paraId="0BC134AD" w14:textId="77777777" w:rsidR="00E05BED" w:rsidRDefault="00E05BED" w:rsidP="00E05BED">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Geotextiles/Geosynthetics_(Geotexti" w:history="1">
        <w:r w:rsidRPr="00E05BED">
          <w:rPr>
            <w:rStyle w:val="Hyperlink"/>
            <w:rFonts w:ascii="Arial" w:hAnsi="Arial" w:cs="Arial"/>
            <w:bCs/>
            <w:sz w:val="16"/>
            <w:szCs w:val="16"/>
          </w:rPr>
          <w:t>Geotextiles/Geosynthetics (Geotextile)</w:t>
        </w:r>
      </w:hyperlink>
    </w:p>
    <w:p w14:paraId="0E0E79D6" w14:textId="77777777" w:rsidR="00E05BED" w:rsidRDefault="00E05BED" w:rsidP="00E05BED">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Laboratory_Data_–" w:history="1">
        <w:r w:rsidR="00D249EC" w:rsidRPr="00D249EC">
          <w:rPr>
            <w:rStyle w:val="Hyperlink"/>
            <w:rFonts w:ascii="Arial" w:hAnsi="Arial" w:cs="Arial"/>
            <w:bCs/>
            <w:sz w:val="16"/>
            <w:szCs w:val="16"/>
          </w:rPr>
          <w:t>Laboratory Data – Design-Build Projects</w:t>
        </w:r>
      </w:hyperlink>
    </w:p>
    <w:p w14:paraId="3BBBB904" w14:textId="26832FD3" w:rsidR="0035498D" w:rsidRDefault="00D249EC" w:rsidP="00D249EC">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Soil_Survey_Borings" w:history="1">
        <w:r w:rsidRPr="00D249EC">
          <w:rPr>
            <w:rStyle w:val="Hyperlink"/>
            <w:rFonts w:ascii="Arial" w:hAnsi="Arial" w:cs="Arial"/>
            <w:bCs/>
            <w:sz w:val="16"/>
            <w:szCs w:val="16"/>
          </w:rPr>
          <w:t>Soil Survey Borings – Design-Build Projects</w:t>
        </w:r>
      </w:hyperlink>
    </w:p>
    <w:p w14:paraId="2156D05A" w14:textId="77777777" w:rsidR="00CE6315" w:rsidRPr="0035498D" w:rsidRDefault="00CE6315" w:rsidP="0035498D">
      <w:pPr>
        <w:rPr>
          <w:rFonts w:ascii="Arial" w:hAnsi="Arial" w:cs="Arial"/>
          <w:bCs/>
          <w:sz w:val="16"/>
          <w:szCs w:val="16"/>
        </w:rPr>
      </w:pPr>
      <w:r w:rsidRPr="0035498D">
        <w:rPr>
          <w:rFonts w:ascii="Arial" w:eastAsia="Arial" w:hAnsi="Arial" w:cs="Arial"/>
          <w:sz w:val="16"/>
          <w:szCs w:val="16"/>
        </w:rPr>
        <w:t>Click to go to</w:t>
      </w:r>
      <w:r w:rsidRPr="0035498D">
        <w:rPr>
          <w:rFonts w:ascii="Arial" w:hAnsi="Arial" w:cs="Arial"/>
          <w:bCs/>
          <w:sz w:val="16"/>
          <w:szCs w:val="16"/>
        </w:rPr>
        <w:t xml:space="preserve"> </w:t>
      </w:r>
      <w:hyperlink w:anchor="_Cut_Slope_Design" w:history="1">
        <w:r w:rsidR="000871B7" w:rsidRPr="0035498D">
          <w:rPr>
            <w:rStyle w:val="Hyperlink"/>
            <w:rFonts w:ascii="Arial" w:hAnsi="Arial" w:cs="Arial"/>
            <w:bCs/>
            <w:sz w:val="16"/>
            <w:szCs w:val="16"/>
          </w:rPr>
          <w:t>Cut Slope Design (Soil and Rock)</w:t>
        </w:r>
      </w:hyperlink>
    </w:p>
    <w:p w14:paraId="1A83CCD6" w14:textId="77777777" w:rsidR="008C2372" w:rsidRDefault="008C2372" w:rsidP="008C237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avement_Type_Selection" w:history="1">
        <w:r w:rsidRPr="008C2372">
          <w:rPr>
            <w:rStyle w:val="Hyperlink"/>
            <w:rFonts w:ascii="Arial" w:hAnsi="Arial" w:cs="Arial"/>
            <w:bCs/>
            <w:sz w:val="16"/>
            <w:szCs w:val="16"/>
          </w:rPr>
          <w:t>Pavement Type Selection</w:t>
        </w:r>
      </w:hyperlink>
    </w:p>
    <w:p w14:paraId="599525AE" w14:textId="13DEBA22" w:rsidR="00235EDE" w:rsidRPr="001E4FA6" w:rsidRDefault="00235EDE">
      <w:pPr>
        <w:rPr>
          <w:rFonts w:ascii="Arial" w:hAnsi="Arial"/>
          <w:sz w:val="22"/>
        </w:rPr>
      </w:pPr>
    </w:p>
    <w:p w14:paraId="7576D2F1" w14:textId="2D3EB43C" w:rsidR="004422A1" w:rsidRDefault="004422A1" w:rsidP="004422A1">
      <w:pPr>
        <w:jc w:val="both"/>
        <w:rPr>
          <w:rFonts w:ascii="Arial" w:hAnsi="Arial"/>
          <w:sz w:val="22"/>
        </w:rPr>
      </w:pPr>
      <w:r>
        <w:rPr>
          <w:rFonts w:ascii="Arial" w:hAnsi="Arial"/>
          <w:sz w:val="22"/>
        </w:rPr>
        <w:t xml:space="preserve">The following table lists </w:t>
      </w:r>
      <w:r w:rsidR="00D249EC">
        <w:rPr>
          <w:rFonts w:ascii="Arial" w:hAnsi="Arial"/>
          <w:sz w:val="22"/>
        </w:rPr>
        <w:t>c</w:t>
      </w:r>
      <w:r>
        <w:rPr>
          <w:rFonts w:ascii="Arial" w:hAnsi="Arial"/>
          <w:sz w:val="22"/>
        </w:rPr>
        <w:t xml:space="preserve">urrent </w:t>
      </w:r>
      <w:hyperlink r:id="rId372" w:history="1">
        <w:r w:rsidRPr="004422A1">
          <w:rPr>
            <w:rStyle w:val="Hyperlink"/>
            <w:rFonts w:ascii="Arial" w:hAnsi="Arial"/>
            <w:sz w:val="22"/>
          </w:rPr>
          <w:t>Reference Guidelines</w:t>
        </w:r>
      </w:hyperlink>
      <w:r>
        <w:rPr>
          <w:rFonts w:ascii="Arial" w:hAnsi="Arial"/>
          <w:sz w:val="22"/>
        </w:rPr>
        <w:t xml:space="preserve">: </w:t>
      </w:r>
    </w:p>
    <w:p w14:paraId="6A874EBA" w14:textId="77777777" w:rsidR="004422A1" w:rsidRDefault="004422A1" w:rsidP="004422A1">
      <w:pPr>
        <w:rPr>
          <w:rFonts w:ascii="Arial" w:hAnsi="Arial"/>
          <w:sz w:val="22"/>
        </w:rPr>
      </w:pPr>
    </w:p>
    <w:tbl>
      <w:tblPr>
        <w:tblW w:w="8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6930"/>
      </w:tblGrid>
      <w:tr w:rsidR="00D249EC" w:rsidRPr="00D20268" w14:paraId="64A9D089" w14:textId="77777777" w:rsidTr="001E4FA6">
        <w:trPr>
          <w:cantSplit/>
          <w:trHeight w:val="331"/>
          <w:tblHeader/>
          <w:jc w:val="center"/>
        </w:trPr>
        <w:tc>
          <w:tcPr>
            <w:tcW w:w="1795" w:type="dxa"/>
            <w:shd w:val="pct15" w:color="auto" w:fill="auto"/>
            <w:vAlign w:val="center"/>
          </w:tcPr>
          <w:p w14:paraId="63E4140E" w14:textId="77777777" w:rsidR="00D249EC" w:rsidRPr="00D20268" w:rsidRDefault="00D249EC" w:rsidP="004A4315">
            <w:pPr>
              <w:pStyle w:val="TOC1"/>
            </w:pPr>
            <w:r>
              <w:t>Reference Guideline</w:t>
            </w:r>
          </w:p>
        </w:tc>
        <w:tc>
          <w:tcPr>
            <w:tcW w:w="6930" w:type="dxa"/>
            <w:shd w:val="pct15" w:color="auto" w:fill="auto"/>
            <w:vAlign w:val="center"/>
          </w:tcPr>
          <w:p w14:paraId="3FE238CC" w14:textId="77777777" w:rsidR="00D249EC" w:rsidRPr="00D20268" w:rsidRDefault="00D249EC" w:rsidP="004422A1">
            <w:pPr>
              <w:rPr>
                <w:rFonts w:ascii="Arial" w:hAnsi="Arial"/>
                <w:b/>
                <w:sz w:val="22"/>
              </w:rPr>
            </w:pPr>
            <w:r>
              <w:rPr>
                <w:rFonts w:ascii="Arial" w:hAnsi="Arial"/>
                <w:b/>
                <w:sz w:val="22"/>
              </w:rPr>
              <w:t>Reference Guideline</w:t>
            </w:r>
            <w:r w:rsidRPr="00D20268">
              <w:rPr>
                <w:rFonts w:ascii="Arial" w:hAnsi="Arial"/>
                <w:b/>
                <w:sz w:val="22"/>
              </w:rPr>
              <w:t xml:space="preserve"> Name</w:t>
            </w:r>
          </w:p>
        </w:tc>
      </w:tr>
      <w:tr w:rsidR="00D249EC" w:rsidRPr="004422A1" w14:paraId="7DF18968" w14:textId="77777777" w:rsidTr="001E4FA6">
        <w:trPr>
          <w:cantSplit/>
          <w:trHeight w:val="331"/>
          <w:jc w:val="center"/>
        </w:trPr>
        <w:tc>
          <w:tcPr>
            <w:tcW w:w="1795" w:type="dxa"/>
            <w:vAlign w:val="center"/>
          </w:tcPr>
          <w:p w14:paraId="61B1FD39" w14:textId="77777777" w:rsidR="00D249EC" w:rsidRPr="004422A1" w:rsidRDefault="00D249EC" w:rsidP="004422A1">
            <w:pPr>
              <w:rPr>
                <w:rFonts w:ascii="Arial" w:hAnsi="Arial"/>
                <w:sz w:val="22"/>
              </w:rPr>
            </w:pPr>
            <w:hyperlink r:id="rId373" w:history="1">
              <w:r w:rsidRPr="00D249EC">
                <w:rPr>
                  <w:rStyle w:val="Hyperlink"/>
                  <w:rFonts w:ascii="Arial" w:hAnsi="Arial"/>
                  <w:sz w:val="22"/>
                </w:rPr>
                <w:t>REF-01</w:t>
              </w:r>
            </w:hyperlink>
          </w:p>
        </w:tc>
        <w:tc>
          <w:tcPr>
            <w:tcW w:w="6930" w:type="dxa"/>
            <w:vAlign w:val="center"/>
          </w:tcPr>
          <w:p w14:paraId="044C4B4D" w14:textId="77777777" w:rsidR="00D249EC" w:rsidRPr="004422A1" w:rsidRDefault="00D249EC" w:rsidP="00F23C03">
            <w:pPr>
              <w:jc w:val="both"/>
              <w:rPr>
                <w:rFonts w:ascii="Arial" w:hAnsi="Arial"/>
                <w:sz w:val="22"/>
              </w:rPr>
            </w:pPr>
            <w:r w:rsidRPr="008E6917">
              <w:rPr>
                <w:rFonts w:ascii="Arial" w:hAnsi="Arial"/>
                <w:sz w:val="22"/>
              </w:rPr>
              <w:t>gINT V8i Standards</w:t>
            </w:r>
          </w:p>
        </w:tc>
      </w:tr>
      <w:tr w:rsidR="00D249EC" w:rsidRPr="004422A1" w14:paraId="267C94CC" w14:textId="77777777" w:rsidTr="001E4FA6">
        <w:trPr>
          <w:cantSplit/>
          <w:trHeight w:val="331"/>
          <w:jc w:val="center"/>
        </w:trPr>
        <w:tc>
          <w:tcPr>
            <w:tcW w:w="1795" w:type="dxa"/>
            <w:vAlign w:val="center"/>
          </w:tcPr>
          <w:p w14:paraId="36316314" w14:textId="77777777" w:rsidR="00D249EC" w:rsidRPr="004422A1" w:rsidRDefault="00D249EC" w:rsidP="004422A1">
            <w:pPr>
              <w:rPr>
                <w:rFonts w:ascii="Arial" w:hAnsi="Arial"/>
                <w:sz w:val="22"/>
              </w:rPr>
            </w:pPr>
            <w:hyperlink r:id="rId374" w:history="1">
              <w:r w:rsidRPr="00D249EC">
                <w:rPr>
                  <w:rStyle w:val="Hyperlink"/>
                  <w:rFonts w:ascii="Arial" w:hAnsi="Arial"/>
                  <w:sz w:val="22"/>
                </w:rPr>
                <w:t>REF-02</w:t>
              </w:r>
            </w:hyperlink>
          </w:p>
        </w:tc>
        <w:tc>
          <w:tcPr>
            <w:tcW w:w="6930" w:type="dxa"/>
            <w:vAlign w:val="center"/>
          </w:tcPr>
          <w:p w14:paraId="1FB2B954" w14:textId="77777777" w:rsidR="00D249EC" w:rsidRPr="004422A1" w:rsidRDefault="00D249EC" w:rsidP="00F23C03">
            <w:pPr>
              <w:jc w:val="both"/>
              <w:rPr>
                <w:rFonts w:ascii="Arial" w:hAnsi="Arial"/>
                <w:sz w:val="22"/>
              </w:rPr>
            </w:pPr>
            <w:r w:rsidRPr="00F23C03">
              <w:rPr>
                <w:rFonts w:ascii="Arial" w:hAnsi="Arial"/>
                <w:sz w:val="22"/>
              </w:rPr>
              <w:t>gINT_Input_Guidelines_DRAFT</w:t>
            </w:r>
          </w:p>
        </w:tc>
      </w:tr>
      <w:tr w:rsidR="00D249EC" w:rsidRPr="004422A1" w14:paraId="2CEB5191" w14:textId="77777777" w:rsidTr="001E4FA6">
        <w:trPr>
          <w:cantSplit/>
          <w:trHeight w:val="331"/>
          <w:jc w:val="center"/>
        </w:trPr>
        <w:tc>
          <w:tcPr>
            <w:tcW w:w="1795" w:type="dxa"/>
            <w:vAlign w:val="center"/>
          </w:tcPr>
          <w:p w14:paraId="14652250" w14:textId="77777777" w:rsidR="00D249EC" w:rsidRPr="004422A1" w:rsidRDefault="00D249EC" w:rsidP="00E05BED">
            <w:pPr>
              <w:rPr>
                <w:rFonts w:ascii="Arial" w:hAnsi="Arial"/>
                <w:sz w:val="22"/>
              </w:rPr>
            </w:pPr>
            <w:hyperlink r:id="rId375" w:history="1">
              <w:r w:rsidRPr="00D249EC">
                <w:rPr>
                  <w:rStyle w:val="Hyperlink"/>
                  <w:rFonts w:ascii="Arial" w:hAnsi="Arial"/>
                  <w:sz w:val="22"/>
                </w:rPr>
                <w:t>REF-03</w:t>
              </w:r>
            </w:hyperlink>
          </w:p>
        </w:tc>
        <w:tc>
          <w:tcPr>
            <w:tcW w:w="6930" w:type="dxa"/>
            <w:vAlign w:val="center"/>
          </w:tcPr>
          <w:p w14:paraId="06E2267E" w14:textId="77777777" w:rsidR="00D249EC" w:rsidRPr="004422A1" w:rsidRDefault="00D249EC" w:rsidP="004422A1">
            <w:pPr>
              <w:rPr>
                <w:rFonts w:ascii="Arial" w:hAnsi="Arial"/>
                <w:sz w:val="22"/>
              </w:rPr>
            </w:pPr>
            <w:r w:rsidRPr="00E05BED">
              <w:rPr>
                <w:rFonts w:ascii="Arial" w:hAnsi="Arial"/>
                <w:sz w:val="22"/>
              </w:rPr>
              <w:t>Guidelines for Selecting Geotextiles</w:t>
            </w:r>
          </w:p>
        </w:tc>
      </w:tr>
      <w:tr w:rsidR="00D249EC" w:rsidRPr="004422A1" w14:paraId="5FB63BFF" w14:textId="77777777" w:rsidTr="001E4FA6">
        <w:trPr>
          <w:cantSplit/>
          <w:trHeight w:val="331"/>
          <w:jc w:val="center"/>
        </w:trPr>
        <w:tc>
          <w:tcPr>
            <w:tcW w:w="1795" w:type="dxa"/>
            <w:vAlign w:val="center"/>
          </w:tcPr>
          <w:p w14:paraId="5AA4FE71" w14:textId="77777777" w:rsidR="00D249EC" w:rsidRPr="004422A1" w:rsidRDefault="00D249EC" w:rsidP="00E05BED">
            <w:pPr>
              <w:rPr>
                <w:rFonts w:ascii="Arial" w:hAnsi="Arial"/>
                <w:sz w:val="22"/>
              </w:rPr>
            </w:pPr>
            <w:hyperlink r:id="rId376" w:history="1">
              <w:r w:rsidRPr="00D249EC">
                <w:rPr>
                  <w:rStyle w:val="Hyperlink"/>
                  <w:rFonts w:ascii="Arial" w:hAnsi="Arial"/>
                  <w:sz w:val="22"/>
                </w:rPr>
                <w:t>REF-04</w:t>
              </w:r>
            </w:hyperlink>
          </w:p>
        </w:tc>
        <w:tc>
          <w:tcPr>
            <w:tcW w:w="6930" w:type="dxa"/>
            <w:vAlign w:val="center"/>
          </w:tcPr>
          <w:p w14:paraId="06C21BEE" w14:textId="36F61447" w:rsidR="00D249EC" w:rsidRPr="004422A1" w:rsidRDefault="00D249EC" w:rsidP="004422A1">
            <w:pPr>
              <w:rPr>
                <w:rFonts w:ascii="Arial" w:hAnsi="Arial"/>
                <w:sz w:val="22"/>
              </w:rPr>
            </w:pPr>
            <w:r w:rsidRPr="00D249EC">
              <w:rPr>
                <w:rFonts w:ascii="Arial" w:hAnsi="Arial"/>
                <w:sz w:val="22"/>
              </w:rPr>
              <w:t>Guidelines for Using Microsoft Excel Macro for</w:t>
            </w:r>
            <w:r w:rsidR="003D6C00" w:rsidRPr="00D249EC">
              <w:rPr>
                <w:rFonts w:ascii="Arial" w:hAnsi="Arial"/>
                <w:sz w:val="22"/>
              </w:rPr>
              <w:t xml:space="preserve"> Laboratory Da</w:t>
            </w:r>
            <w:r w:rsidRPr="00D249EC">
              <w:rPr>
                <w:rFonts w:ascii="Arial" w:hAnsi="Arial"/>
                <w:sz w:val="22"/>
              </w:rPr>
              <w:t>ta</w:t>
            </w:r>
          </w:p>
        </w:tc>
      </w:tr>
      <w:tr w:rsidR="00D249EC" w:rsidRPr="004422A1" w14:paraId="68929531" w14:textId="77777777" w:rsidTr="001E4FA6">
        <w:trPr>
          <w:cantSplit/>
          <w:trHeight w:val="331"/>
          <w:jc w:val="center"/>
        </w:trPr>
        <w:tc>
          <w:tcPr>
            <w:tcW w:w="1795" w:type="dxa"/>
            <w:vAlign w:val="center"/>
          </w:tcPr>
          <w:p w14:paraId="6D288ADD" w14:textId="77777777" w:rsidR="00D249EC" w:rsidRPr="004422A1" w:rsidRDefault="00D249EC" w:rsidP="00E05BED">
            <w:pPr>
              <w:rPr>
                <w:rFonts w:ascii="Arial" w:hAnsi="Arial"/>
                <w:sz w:val="22"/>
              </w:rPr>
            </w:pPr>
            <w:hyperlink r:id="rId377" w:history="1">
              <w:r w:rsidRPr="00D249EC">
                <w:rPr>
                  <w:rStyle w:val="Hyperlink"/>
                  <w:rFonts w:ascii="Arial" w:hAnsi="Arial"/>
                  <w:sz w:val="22"/>
                </w:rPr>
                <w:t>REF-05</w:t>
              </w:r>
            </w:hyperlink>
          </w:p>
        </w:tc>
        <w:tc>
          <w:tcPr>
            <w:tcW w:w="6930" w:type="dxa"/>
            <w:vAlign w:val="center"/>
          </w:tcPr>
          <w:p w14:paraId="47642956" w14:textId="1974B067" w:rsidR="00D249EC" w:rsidRPr="004422A1" w:rsidRDefault="00D249EC" w:rsidP="004422A1">
            <w:pPr>
              <w:rPr>
                <w:rFonts w:ascii="Arial" w:hAnsi="Arial"/>
                <w:sz w:val="22"/>
              </w:rPr>
            </w:pPr>
            <w:r w:rsidRPr="00D249EC">
              <w:rPr>
                <w:rFonts w:ascii="Arial" w:hAnsi="Arial"/>
                <w:sz w:val="22"/>
              </w:rPr>
              <w:t xml:space="preserve">Guidelines for using Microsoft Excel Macro for </w:t>
            </w:r>
            <w:r w:rsidR="003D6C00" w:rsidRPr="00D249EC">
              <w:rPr>
                <w:rFonts w:ascii="Arial" w:hAnsi="Arial"/>
                <w:sz w:val="22"/>
              </w:rPr>
              <w:t>Soil Survey B</w:t>
            </w:r>
            <w:r w:rsidRPr="00D249EC">
              <w:rPr>
                <w:rFonts w:ascii="Arial" w:hAnsi="Arial"/>
                <w:sz w:val="22"/>
              </w:rPr>
              <w:t>orings</w:t>
            </w:r>
          </w:p>
        </w:tc>
      </w:tr>
      <w:tr w:rsidR="007C58C9" w:rsidRPr="004422A1" w14:paraId="4BB3EB22"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5A72678B" w14:textId="77777777" w:rsidR="007C58C9" w:rsidRPr="004422A1" w:rsidRDefault="007C58C9" w:rsidP="00CE6315">
            <w:pPr>
              <w:rPr>
                <w:rFonts w:ascii="Arial" w:hAnsi="Arial"/>
                <w:sz w:val="22"/>
              </w:rPr>
            </w:pPr>
            <w:hyperlink r:id="rId378" w:history="1">
              <w:r w:rsidRPr="007C58C9">
                <w:rPr>
                  <w:rStyle w:val="Hyperlink"/>
                  <w:rFonts w:ascii="Arial" w:hAnsi="Arial"/>
                  <w:sz w:val="22"/>
                </w:rPr>
                <w:t>REF-06</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71FB2B2A" w14:textId="77777777" w:rsidR="007C58C9" w:rsidRPr="004422A1" w:rsidRDefault="007C58C9" w:rsidP="00CE6315">
            <w:pPr>
              <w:rPr>
                <w:rFonts w:ascii="Arial" w:hAnsi="Arial"/>
                <w:sz w:val="22"/>
              </w:rPr>
            </w:pPr>
            <w:r>
              <w:rPr>
                <w:rFonts w:ascii="Arial" w:hAnsi="Arial"/>
                <w:sz w:val="22"/>
              </w:rPr>
              <w:t>Category Code Numbers</w:t>
            </w:r>
          </w:p>
        </w:tc>
      </w:tr>
      <w:tr w:rsidR="000871B7" w:rsidRPr="004422A1" w14:paraId="44CDD1BB"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50506160" w14:textId="77777777" w:rsidR="000871B7" w:rsidRPr="000871B7" w:rsidRDefault="000871B7" w:rsidP="00525F09">
            <w:pPr>
              <w:rPr>
                <w:rFonts w:ascii="Arial" w:hAnsi="Arial" w:cs="Arial"/>
                <w:sz w:val="22"/>
                <w:szCs w:val="22"/>
              </w:rPr>
            </w:pPr>
            <w:hyperlink r:id="rId379" w:history="1">
              <w:r w:rsidRPr="000871B7">
                <w:rPr>
                  <w:rStyle w:val="Hyperlink"/>
                  <w:rFonts w:ascii="Arial" w:hAnsi="Arial" w:cs="Arial"/>
                  <w:sz w:val="22"/>
                  <w:szCs w:val="22"/>
                </w:rPr>
                <w:t>REF-07</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36B47A8A" w14:textId="77777777" w:rsidR="000871B7" w:rsidRPr="004422A1" w:rsidRDefault="000871B7" w:rsidP="00525F09">
            <w:pPr>
              <w:rPr>
                <w:rFonts w:ascii="Arial" w:hAnsi="Arial"/>
                <w:sz w:val="22"/>
              </w:rPr>
            </w:pPr>
            <w:r>
              <w:rPr>
                <w:rFonts w:ascii="Arial" w:hAnsi="Arial"/>
                <w:sz w:val="22"/>
              </w:rPr>
              <w:t>Cut Slope Design</w:t>
            </w:r>
          </w:p>
        </w:tc>
      </w:tr>
      <w:tr w:rsidR="000871B7" w:rsidRPr="004422A1" w14:paraId="69ED8F28"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26F3C55B" w14:textId="77777777" w:rsidR="000871B7" w:rsidRPr="000871B7" w:rsidRDefault="000871B7" w:rsidP="00525F09">
            <w:pPr>
              <w:rPr>
                <w:rFonts w:ascii="Arial" w:hAnsi="Arial" w:cs="Arial"/>
                <w:sz w:val="22"/>
                <w:szCs w:val="22"/>
              </w:rPr>
            </w:pPr>
            <w:hyperlink r:id="rId380" w:history="1">
              <w:r w:rsidRPr="000871B7">
                <w:rPr>
                  <w:rStyle w:val="Hyperlink"/>
                  <w:rFonts w:ascii="Arial" w:hAnsi="Arial" w:cs="Arial"/>
                  <w:sz w:val="22"/>
                  <w:szCs w:val="22"/>
                </w:rPr>
                <w:t>REF-08</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70E70667" w14:textId="77777777" w:rsidR="000871B7" w:rsidRPr="004422A1" w:rsidRDefault="000871B7" w:rsidP="00525F09">
            <w:pPr>
              <w:rPr>
                <w:rFonts w:ascii="Arial" w:hAnsi="Arial"/>
                <w:sz w:val="22"/>
              </w:rPr>
            </w:pPr>
            <w:r w:rsidRPr="000871B7">
              <w:rPr>
                <w:rFonts w:ascii="Arial" w:hAnsi="Arial"/>
                <w:sz w:val="22"/>
              </w:rPr>
              <w:t>How to Access AsBuilts 1-2-3</w:t>
            </w:r>
          </w:p>
        </w:tc>
      </w:tr>
      <w:tr w:rsidR="00525F09" w:rsidRPr="004422A1" w14:paraId="4906E45A"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5999E78B" w14:textId="77777777" w:rsidR="00525F09" w:rsidRPr="000871B7" w:rsidRDefault="00525F09" w:rsidP="00525F09">
            <w:pPr>
              <w:rPr>
                <w:rFonts w:ascii="Arial" w:hAnsi="Arial" w:cs="Arial"/>
                <w:sz w:val="22"/>
                <w:szCs w:val="22"/>
              </w:rPr>
            </w:pPr>
            <w:hyperlink r:id="rId381" w:history="1">
              <w:r w:rsidRPr="00525F09">
                <w:rPr>
                  <w:rStyle w:val="Hyperlink"/>
                  <w:rFonts w:ascii="Arial" w:hAnsi="Arial" w:cs="Arial"/>
                  <w:sz w:val="22"/>
                  <w:szCs w:val="22"/>
                </w:rPr>
                <w:t>REF-09</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00549C90" w14:textId="77777777" w:rsidR="00525F09" w:rsidRPr="004422A1" w:rsidRDefault="00525F09" w:rsidP="00525F09">
            <w:pPr>
              <w:rPr>
                <w:rFonts w:ascii="Arial" w:hAnsi="Arial"/>
                <w:sz w:val="22"/>
              </w:rPr>
            </w:pPr>
            <w:r>
              <w:rPr>
                <w:rFonts w:ascii="Arial" w:hAnsi="Arial"/>
                <w:sz w:val="22"/>
              </w:rPr>
              <w:t>S</w:t>
            </w:r>
            <w:r w:rsidRPr="00525F09">
              <w:rPr>
                <w:rFonts w:ascii="Arial" w:hAnsi="Arial"/>
                <w:sz w:val="22"/>
              </w:rPr>
              <w:t>lopes &amp; Drainage Cheat Sheet</w:t>
            </w:r>
          </w:p>
        </w:tc>
      </w:tr>
      <w:tr w:rsidR="00276C4A" w:rsidRPr="004422A1" w14:paraId="74032BF1"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287338B3" w14:textId="77777777" w:rsidR="00276C4A" w:rsidRPr="000871B7" w:rsidRDefault="00276C4A" w:rsidP="00DC590E">
            <w:pPr>
              <w:rPr>
                <w:rFonts w:ascii="Arial" w:hAnsi="Arial" w:cs="Arial"/>
                <w:sz w:val="22"/>
                <w:szCs w:val="22"/>
              </w:rPr>
            </w:pPr>
            <w:hyperlink r:id="rId382" w:history="1">
              <w:r w:rsidRPr="00276C4A">
                <w:rPr>
                  <w:rStyle w:val="Hyperlink"/>
                  <w:rFonts w:ascii="Arial" w:hAnsi="Arial" w:cs="Arial"/>
                  <w:sz w:val="22"/>
                  <w:szCs w:val="22"/>
                </w:rPr>
                <w:t>REF-10</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6752F162" w14:textId="77777777" w:rsidR="00276C4A" w:rsidRPr="004422A1" w:rsidRDefault="00276C4A" w:rsidP="00DC590E">
            <w:pPr>
              <w:rPr>
                <w:rFonts w:ascii="Arial" w:hAnsi="Arial"/>
                <w:sz w:val="22"/>
              </w:rPr>
            </w:pPr>
            <w:r w:rsidRPr="00276C4A">
              <w:rPr>
                <w:rFonts w:ascii="Arial" w:hAnsi="Arial"/>
                <w:sz w:val="22"/>
              </w:rPr>
              <w:t>Users Guide (SWM tool)</w:t>
            </w:r>
          </w:p>
        </w:tc>
      </w:tr>
      <w:tr w:rsidR="00276C4A" w:rsidRPr="004422A1" w14:paraId="0178BDE0"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38B9B99B" w14:textId="77777777" w:rsidR="00276C4A" w:rsidRPr="000871B7" w:rsidRDefault="00276C4A" w:rsidP="00DC590E">
            <w:pPr>
              <w:rPr>
                <w:rFonts w:ascii="Arial" w:hAnsi="Arial" w:cs="Arial"/>
                <w:sz w:val="22"/>
                <w:szCs w:val="22"/>
              </w:rPr>
            </w:pPr>
            <w:hyperlink r:id="rId383" w:history="1">
              <w:r w:rsidRPr="00276C4A">
                <w:rPr>
                  <w:rStyle w:val="Hyperlink"/>
                  <w:rFonts w:ascii="Arial" w:hAnsi="Arial" w:cs="Arial"/>
                  <w:sz w:val="22"/>
                  <w:szCs w:val="22"/>
                </w:rPr>
                <w:t>REF-11</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48124F4B" w14:textId="77777777" w:rsidR="00276C4A" w:rsidRPr="004422A1" w:rsidRDefault="00276C4A" w:rsidP="00DC590E">
            <w:pPr>
              <w:rPr>
                <w:rFonts w:ascii="Arial" w:hAnsi="Arial"/>
                <w:sz w:val="22"/>
              </w:rPr>
            </w:pPr>
            <w:r w:rsidRPr="00276C4A">
              <w:rPr>
                <w:rFonts w:ascii="Arial" w:hAnsi="Arial"/>
                <w:sz w:val="22"/>
              </w:rPr>
              <w:t>Asphalt Distress Paver Manual</w:t>
            </w:r>
          </w:p>
        </w:tc>
      </w:tr>
      <w:tr w:rsidR="00276C4A" w:rsidRPr="004422A1" w14:paraId="39F5587B"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1018F4BF" w14:textId="77777777" w:rsidR="00276C4A" w:rsidRPr="000871B7" w:rsidRDefault="00276C4A" w:rsidP="00DC590E">
            <w:pPr>
              <w:rPr>
                <w:rFonts w:ascii="Arial" w:hAnsi="Arial" w:cs="Arial"/>
                <w:sz w:val="22"/>
                <w:szCs w:val="22"/>
              </w:rPr>
            </w:pPr>
            <w:hyperlink r:id="rId384" w:history="1">
              <w:r w:rsidRPr="00276C4A">
                <w:rPr>
                  <w:rStyle w:val="Hyperlink"/>
                  <w:rFonts w:ascii="Arial" w:hAnsi="Arial" w:cs="Arial"/>
                  <w:sz w:val="22"/>
                  <w:szCs w:val="22"/>
                </w:rPr>
                <w:t>REF-12</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287209F9" w14:textId="77777777" w:rsidR="00276C4A" w:rsidRPr="004422A1" w:rsidRDefault="00276C4A" w:rsidP="00DC590E">
            <w:pPr>
              <w:rPr>
                <w:rFonts w:ascii="Arial" w:hAnsi="Arial"/>
                <w:sz w:val="22"/>
              </w:rPr>
            </w:pPr>
            <w:r w:rsidRPr="00276C4A">
              <w:rPr>
                <w:rFonts w:ascii="Arial" w:hAnsi="Arial"/>
                <w:sz w:val="22"/>
              </w:rPr>
              <w:t>Concrete Distress Paver Manual</w:t>
            </w:r>
          </w:p>
        </w:tc>
      </w:tr>
      <w:tr w:rsidR="005F1765" w:rsidRPr="004422A1" w14:paraId="5648F268"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14503FAA" w14:textId="77777777" w:rsidR="005F1765" w:rsidRPr="000871B7" w:rsidRDefault="005F1765" w:rsidP="00DC590E">
            <w:pPr>
              <w:rPr>
                <w:rFonts w:ascii="Arial" w:hAnsi="Arial" w:cs="Arial"/>
                <w:sz w:val="22"/>
                <w:szCs w:val="22"/>
              </w:rPr>
            </w:pPr>
            <w:hyperlink r:id="rId385" w:history="1">
              <w:r w:rsidRPr="005F1765">
                <w:rPr>
                  <w:rStyle w:val="Hyperlink"/>
                  <w:rFonts w:ascii="Arial" w:hAnsi="Arial" w:cs="Arial"/>
                  <w:sz w:val="22"/>
                  <w:szCs w:val="22"/>
                </w:rPr>
                <w:t>REF-13</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65A717CD" w14:textId="77777777" w:rsidR="008C2372" w:rsidRPr="004422A1" w:rsidRDefault="005F1765" w:rsidP="005F1765">
            <w:pPr>
              <w:rPr>
                <w:rFonts w:ascii="Arial" w:hAnsi="Arial"/>
                <w:sz w:val="22"/>
              </w:rPr>
            </w:pPr>
            <w:r w:rsidRPr="00276C4A">
              <w:rPr>
                <w:rFonts w:ascii="Arial" w:hAnsi="Arial"/>
                <w:sz w:val="22"/>
              </w:rPr>
              <w:t>Co</w:t>
            </w:r>
            <w:r>
              <w:rPr>
                <w:rFonts w:ascii="Arial" w:hAnsi="Arial"/>
                <w:sz w:val="22"/>
              </w:rPr>
              <w:t>mmonly Used Pavement Details</w:t>
            </w:r>
            <w:r w:rsidR="008C2372">
              <w:rPr>
                <w:rFonts w:ascii="Arial" w:hAnsi="Arial"/>
                <w:sz w:val="22"/>
              </w:rPr>
              <w:t xml:space="preserve"> – MS Word</w:t>
            </w:r>
          </w:p>
        </w:tc>
      </w:tr>
      <w:tr w:rsidR="008C2372" w:rsidRPr="004422A1" w14:paraId="3835ABF4"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47885EF1" w14:textId="77777777" w:rsidR="008C2372" w:rsidRPr="000871B7" w:rsidRDefault="008C2372" w:rsidP="00DC590E">
            <w:pPr>
              <w:rPr>
                <w:rFonts w:ascii="Arial" w:hAnsi="Arial" w:cs="Arial"/>
                <w:sz w:val="22"/>
                <w:szCs w:val="22"/>
              </w:rPr>
            </w:pPr>
            <w:hyperlink r:id="rId386" w:history="1">
              <w:r w:rsidRPr="008C2372">
                <w:rPr>
                  <w:rStyle w:val="Hyperlink"/>
                  <w:rFonts w:ascii="Arial" w:hAnsi="Arial" w:cs="Arial"/>
                  <w:sz w:val="22"/>
                  <w:szCs w:val="22"/>
                </w:rPr>
                <w:t>REF-14</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55AF1140" w14:textId="77777777" w:rsidR="008C2372" w:rsidRPr="004422A1" w:rsidRDefault="008C2372" w:rsidP="008C2372">
            <w:pPr>
              <w:rPr>
                <w:rFonts w:ascii="Arial" w:hAnsi="Arial"/>
                <w:sz w:val="22"/>
              </w:rPr>
            </w:pPr>
            <w:r w:rsidRPr="00276C4A">
              <w:rPr>
                <w:rFonts w:ascii="Arial" w:hAnsi="Arial"/>
                <w:sz w:val="22"/>
              </w:rPr>
              <w:t>Co</w:t>
            </w:r>
            <w:r>
              <w:rPr>
                <w:rFonts w:ascii="Arial" w:hAnsi="Arial"/>
                <w:sz w:val="22"/>
              </w:rPr>
              <w:t>mmonly Used Pavement Details – MicroStation</w:t>
            </w:r>
          </w:p>
        </w:tc>
      </w:tr>
      <w:tr w:rsidR="008C2372" w:rsidRPr="004422A1" w14:paraId="15D63FB7"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7E127219" w14:textId="77777777" w:rsidR="008C2372" w:rsidRPr="000871B7" w:rsidRDefault="008C2372" w:rsidP="00DC590E">
            <w:pPr>
              <w:rPr>
                <w:rFonts w:ascii="Arial" w:hAnsi="Arial" w:cs="Arial"/>
                <w:sz w:val="22"/>
                <w:szCs w:val="22"/>
              </w:rPr>
            </w:pPr>
            <w:hyperlink r:id="rId387" w:history="1">
              <w:r w:rsidRPr="008C2372">
                <w:rPr>
                  <w:rStyle w:val="Hyperlink"/>
                  <w:rFonts w:ascii="Arial" w:hAnsi="Arial" w:cs="Arial"/>
                  <w:sz w:val="22"/>
                  <w:szCs w:val="22"/>
                </w:rPr>
                <w:t>REF-15</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24B02DB5" w14:textId="77777777" w:rsidR="008C2372" w:rsidRPr="004422A1" w:rsidRDefault="008C2372" w:rsidP="008C2372">
            <w:pPr>
              <w:rPr>
                <w:rFonts w:ascii="Arial" w:hAnsi="Arial"/>
                <w:sz w:val="22"/>
              </w:rPr>
            </w:pPr>
            <w:r>
              <w:rPr>
                <w:rFonts w:ascii="Arial" w:hAnsi="Arial"/>
                <w:sz w:val="22"/>
              </w:rPr>
              <w:t>LCCA Files</w:t>
            </w:r>
          </w:p>
        </w:tc>
      </w:tr>
      <w:tr w:rsidR="004C0E20" w:rsidRPr="004422A1" w14:paraId="280CA579"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5757037B" w14:textId="77777777" w:rsidR="004C0E20" w:rsidRPr="000871B7" w:rsidRDefault="004C0E20" w:rsidP="00DC590E">
            <w:pPr>
              <w:rPr>
                <w:rFonts w:ascii="Arial" w:hAnsi="Arial" w:cs="Arial"/>
                <w:sz w:val="22"/>
                <w:szCs w:val="22"/>
              </w:rPr>
            </w:pPr>
            <w:hyperlink r:id="rId388" w:history="1">
              <w:r w:rsidRPr="004C0E20">
                <w:rPr>
                  <w:rStyle w:val="Hyperlink"/>
                  <w:rFonts w:ascii="Arial" w:hAnsi="Arial" w:cs="Arial"/>
                  <w:sz w:val="22"/>
                  <w:szCs w:val="22"/>
                </w:rPr>
                <w:t>REF-16</w:t>
              </w:r>
            </w:hyperlink>
          </w:p>
        </w:tc>
        <w:tc>
          <w:tcPr>
            <w:tcW w:w="6930" w:type="dxa"/>
            <w:tcBorders>
              <w:top w:val="single" w:sz="4" w:space="0" w:color="auto"/>
              <w:left w:val="single" w:sz="4" w:space="0" w:color="auto"/>
              <w:bottom w:val="single" w:sz="4" w:space="0" w:color="auto"/>
              <w:right w:val="single" w:sz="4" w:space="0" w:color="auto"/>
            </w:tcBorders>
            <w:vAlign w:val="center"/>
          </w:tcPr>
          <w:p w14:paraId="402D61C5" w14:textId="34F4C426" w:rsidR="004C0E20" w:rsidRPr="004422A1" w:rsidRDefault="004C0E20" w:rsidP="004C0E20">
            <w:pPr>
              <w:rPr>
                <w:rFonts w:ascii="Arial" w:hAnsi="Arial"/>
                <w:sz w:val="22"/>
              </w:rPr>
            </w:pPr>
            <w:r>
              <w:rPr>
                <w:rFonts w:ascii="Arial" w:hAnsi="Arial"/>
                <w:sz w:val="22"/>
              </w:rPr>
              <w:t>GPR Instructions</w:t>
            </w:r>
            <w:r w:rsidR="00E662BE">
              <w:rPr>
                <w:rFonts w:ascii="Arial" w:hAnsi="Arial"/>
                <w:sz w:val="22"/>
              </w:rPr>
              <w:t xml:space="preserve"> </w:t>
            </w:r>
            <w:r w:rsidR="00E662BE">
              <w:rPr>
                <w:rFonts w:ascii="Arial" w:hAnsi="Arial" w:cs="Arial"/>
                <w:sz w:val="22"/>
                <w:szCs w:val="22"/>
              </w:rPr>
              <w:t xml:space="preserve">for </w:t>
            </w:r>
            <w:r w:rsidR="003D6C00">
              <w:rPr>
                <w:rFonts w:ascii="Arial" w:hAnsi="Arial" w:cs="Arial"/>
                <w:sz w:val="22"/>
                <w:szCs w:val="22"/>
              </w:rPr>
              <w:t>Pavement Condition/Evalua</w:t>
            </w:r>
            <w:r w:rsidR="00E662BE">
              <w:rPr>
                <w:rFonts w:ascii="Arial" w:hAnsi="Arial" w:cs="Arial"/>
                <w:sz w:val="22"/>
                <w:szCs w:val="22"/>
              </w:rPr>
              <w:t>tion</w:t>
            </w:r>
          </w:p>
        </w:tc>
      </w:tr>
    </w:tbl>
    <w:p w14:paraId="70142F4C" w14:textId="77777777" w:rsidR="00CA22EC" w:rsidRDefault="00CA22EC" w:rsidP="00172E64">
      <w:pPr>
        <w:pStyle w:val="Heading3"/>
        <w:numPr>
          <w:ilvl w:val="2"/>
          <w:numId w:val="185"/>
        </w:numPr>
        <w:ind w:left="0" w:firstLine="0"/>
      </w:pPr>
      <w:r>
        <w:t>Pavement Design Spreadsheets</w:t>
      </w:r>
    </w:p>
    <w:p w14:paraId="0893A355" w14:textId="77777777" w:rsidR="00CA22EC" w:rsidRDefault="00CA22EC" w:rsidP="00CA22EC">
      <w:pPr>
        <w:jc w:val="both"/>
        <w:rPr>
          <w:rFonts w:ascii="Arial" w:hAnsi="Arial"/>
          <w:sz w:val="22"/>
        </w:rPr>
      </w:pPr>
      <w:r>
        <w:rPr>
          <w:rFonts w:ascii="Arial" w:hAnsi="Arial"/>
          <w:sz w:val="22"/>
        </w:rPr>
        <w:t xml:space="preserve">The following table lists current </w:t>
      </w:r>
      <w:hyperlink r:id="rId389" w:history="1">
        <w:r w:rsidRPr="00CA22EC">
          <w:rPr>
            <w:rStyle w:val="Hyperlink"/>
            <w:rFonts w:ascii="Arial" w:hAnsi="Arial"/>
            <w:sz w:val="22"/>
          </w:rPr>
          <w:t>Spreadsheets</w:t>
        </w:r>
      </w:hyperlink>
      <w:r>
        <w:rPr>
          <w:rFonts w:ascii="Arial" w:hAnsi="Arial"/>
          <w:sz w:val="22"/>
        </w:rPr>
        <w: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6845"/>
      </w:tblGrid>
      <w:tr w:rsidR="00CA22EC" w:rsidRPr="00D20268" w14:paraId="44A256BD" w14:textId="77777777" w:rsidTr="001E4FA6">
        <w:trPr>
          <w:cantSplit/>
          <w:trHeight w:val="331"/>
          <w:tblHeader/>
          <w:jc w:val="center"/>
        </w:trPr>
        <w:tc>
          <w:tcPr>
            <w:tcW w:w="1795" w:type="dxa"/>
            <w:shd w:val="pct15" w:color="auto" w:fill="auto"/>
            <w:vAlign w:val="center"/>
          </w:tcPr>
          <w:p w14:paraId="11400AFC" w14:textId="77777777" w:rsidR="00CA22EC" w:rsidRPr="00D20268" w:rsidRDefault="00CA22EC" w:rsidP="004A4315">
            <w:pPr>
              <w:pStyle w:val="TOC1"/>
            </w:pPr>
            <w:r>
              <w:t>Spreadsheet</w:t>
            </w:r>
          </w:p>
        </w:tc>
        <w:tc>
          <w:tcPr>
            <w:tcW w:w="6845" w:type="dxa"/>
            <w:shd w:val="pct15" w:color="auto" w:fill="auto"/>
            <w:vAlign w:val="center"/>
          </w:tcPr>
          <w:p w14:paraId="60F225D5" w14:textId="77777777" w:rsidR="00CA22EC" w:rsidRPr="00D20268" w:rsidRDefault="00CA22EC" w:rsidP="00CA22EC">
            <w:pPr>
              <w:rPr>
                <w:rFonts w:ascii="Arial" w:hAnsi="Arial"/>
                <w:b/>
                <w:sz w:val="22"/>
              </w:rPr>
            </w:pPr>
            <w:r>
              <w:rPr>
                <w:rFonts w:ascii="Arial" w:hAnsi="Arial"/>
                <w:b/>
                <w:sz w:val="22"/>
              </w:rPr>
              <w:t>Spreadsheet Name</w:t>
            </w:r>
          </w:p>
        </w:tc>
      </w:tr>
      <w:tr w:rsidR="00CA22EC" w:rsidRPr="004422A1" w14:paraId="4F3C02B2" w14:textId="77777777" w:rsidTr="001E4FA6">
        <w:trPr>
          <w:cantSplit/>
          <w:trHeight w:val="331"/>
          <w:jc w:val="center"/>
        </w:trPr>
        <w:tc>
          <w:tcPr>
            <w:tcW w:w="1795" w:type="dxa"/>
            <w:vAlign w:val="center"/>
          </w:tcPr>
          <w:p w14:paraId="22E65BE4" w14:textId="77777777" w:rsidR="00CA22EC" w:rsidRPr="004422A1" w:rsidRDefault="00CA22EC" w:rsidP="00CA22EC">
            <w:pPr>
              <w:rPr>
                <w:rFonts w:ascii="Arial" w:hAnsi="Arial"/>
                <w:sz w:val="22"/>
              </w:rPr>
            </w:pPr>
            <w:hyperlink r:id="rId390" w:history="1">
              <w:r w:rsidRPr="00CA22EC">
                <w:rPr>
                  <w:rStyle w:val="Hyperlink"/>
                  <w:rFonts w:ascii="Arial" w:hAnsi="Arial"/>
                  <w:sz w:val="22"/>
                </w:rPr>
                <w:t>PDS-01</w:t>
              </w:r>
            </w:hyperlink>
          </w:p>
        </w:tc>
        <w:tc>
          <w:tcPr>
            <w:tcW w:w="6845" w:type="dxa"/>
            <w:vAlign w:val="center"/>
          </w:tcPr>
          <w:p w14:paraId="7A5FFB63" w14:textId="77777777" w:rsidR="00CA22EC" w:rsidRPr="004422A1" w:rsidRDefault="00CA22EC" w:rsidP="00CA22EC">
            <w:pPr>
              <w:jc w:val="both"/>
              <w:rPr>
                <w:rFonts w:ascii="Arial" w:hAnsi="Arial"/>
                <w:sz w:val="22"/>
              </w:rPr>
            </w:pPr>
            <w:r>
              <w:rPr>
                <w:rFonts w:ascii="Arial" w:hAnsi="Arial"/>
                <w:sz w:val="22"/>
              </w:rPr>
              <w:t>PE Cost Estimate</w:t>
            </w:r>
          </w:p>
        </w:tc>
      </w:tr>
      <w:tr w:rsidR="00CA22EC" w:rsidRPr="004422A1" w14:paraId="7C8A6A87"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4C4038B6" w14:textId="77777777" w:rsidR="00CA22EC" w:rsidRPr="004422A1" w:rsidRDefault="00CA22EC" w:rsidP="00CA22EC">
            <w:pPr>
              <w:rPr>
                <w:rFonts w:ascii="Arial" w:hAnsi="Arial"/>
                <w:sz w:val="22"/>
              </w:rPr>
            </w:pPr>
            <w:hyperlink r:id="rId391" w:history="1">
              <w:r w:rsidRPr="00CA22EC">
                <w:rPr>
                  <w:rStyle w:val="Hyperlink"/>
                  <w:rFonts w:ascii="Arial" w:hAnsi="Arial"/>
                  <w:sz w:val="22"/>
                </w:rPr>
                <w:t>PDS-02</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56CC73FC" w14:textId="77777777" w:rsidR="00CA22EC" w:rsidRPr="004422A1" w:rsidRDefault="00CA22EC" w:rsidP="00CA22EC">
            <w:pPr>
              <w:jc w:val="both"/>
              <w:rPr>
                <w:rFonts w:ascii="Arial" w:hAnsi="Arial"/>
                <w:sz w:val="22"/>
              </w:rPr>
            </w:pPr>
            <w:r>
              <w:rPr>
                <w:rFonts w:ascii="Arial" w:hAnsi="Arial"/>
                <w:sz w:val="22"/>
              </w:rPr>
              <w:t>Traffic Calculations</w:t>
            </w:r>
          </w:p>
        </w:tc>
      </w:tr>
      <w:tr w:rsidR="00CA22EC" w:rsidRPr="004422A1" w14:paraId="53593A29"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6525B108" w14:textId="77777777" w:rsidR="00CA22EC" w:rsidRPr="004422A1" w:rsidRDefault="00CA22EC" w:rsidP="00CA22EC">
            <w:pPr>
              <w:rPr>
                <w:rFonts w:ascii="Arial" w:hAnsi="Arial"/>
                <w:sz w:val="22"/>
              </w:rPr>
            </w:pPr>
            <w:hyperlink r:id="rId392" w:history="1">
              <w:r w:rsidRPr="00CA22EC">
                <w:rPr>
                  <w:rStyle w:val="Hyperlink"/>
                  <w:rFonts w:ascii="Arial" w:hAnsi="Arial"/>
                  <w:sz w:val="22"/>
                </w:rPr>
                <w:t>PDS-03</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720560A3" w14:textId="77777777" w:rsidR="00CA22EC" w:rsidRPr="004422A1" w:rsidRDefault="00CA22EC" w:rsidP="00CA22EC">
            <w:pPr>
              <w:jc w:val="both"/>
              <w:rPr>
                <w:rFonts w:ascii="Arial" w:hAnsi="Arial"/>
                <w:sz w:val="22"/>
              </w:rPr>
            </w:pPr>
            <w:r>
              <w:rPr>
                <w:rFonts w:ascii="Arial" w:hAnsi="Arial"/>
                <w:sz w:val="22"/>
              </w:rPr>
              <w:t>Costs &amp; Quantities</w:t>
            </w:r>
          </w:p>
        </w:tc>
      </w:tr>
      <w:tr w:rsidR="00CA22EC" w:rsidRPr="004422A1" w14:paraId="1B88A65D"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211914EF" w14:textId="77777777" w:rsidR="00CA22EC" w:rsidRPr="004422A1" w:rsidRDefault="00CA22EC" w:rsidP="00CA22EC">
            <w:pPr>
              <w:rPr>
                <w:rFonts w:ascii="Arial" w:hAnsi="Arial"/>
                <w:sz w:val="22"/>
              </w:rPr>
            </w:pPr>
            <w:hyperlink r:id="rId393" w:history="1">
              <w:r w:rsidRPr="00CA22EC">
                <w:rPr>
                  <w:rStyle w:val="Hyperlink"/>
                  <w:rFonts w:ascii="Arial" w:hAnsi="Arial"/>
                  <w:sz w:val="22"/>
                </w:rPr>
                <w:t>PDS-04</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5A44C6BA" w14:textId="77777777" w:rsidR="00CA22EC" w:rsidRPr="004422A1" w:rsidRDefault="00CA22EC" w:rsidP="00CA22EC">
            <w:pPr>
              <w:jc w:val="both"/>
              <w:rPr>
                <w:rFonts w:ascii="Arial" w:hAnsi="Arial"/>
                <w:sz w:val="22"/>
              </w:rPr>
            </w:pPr>
            <w:r>
              <w:rPr>
                <w:rFonts w:ascii="Arial" w:hAnsi="Arial"/>
                <w:sz w:val="22"/>
              </w:rPr>
              <w:t>Class 1-A Computations</w:t>
            </w:r>
          </w:p>
        </w:tc>
      </w:tr>
      <w:tr w:rsidR="00CA22EC" w:rsidRPr="004422A1" w14:paraId="5C0125D0"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6462FAA0" w14:textId="77777777" w:rsidR="00CA22EC" w:rsidRPr="004422A1" w:rsidRDefault="00CA22EC" w:rsidP="00CA22EC">
            <w:pPr>
              <w:rPr>
                <w:rFonts w:ascii="Arial" w:hAnsi="Arial"/>
                <w:sz w:val="22"/>
              </w:rPr>
            </w:pPr>
            <w:hyperlink r:id="rId394" w:history="1">
              <w:r w:rsidRPr="00CA22EC">
                <w:rPr>
                  <w:rStyle w:val="Hyperlink"/>
                  <w:rFonts w:ascii="Arial" w:hAnsi="Arial"/>
                  <w:sz w:val="22"/>
                </w:rPr>
                <w:t>PDS-05</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4435B8D9" w14:textId="77777777" w:rsidR="00CA22EC" w:rsidRPr="004422A1" w:rsidRDefault="00CA22EC" w:rsidP="00CA22EC">
            <w:pPr>
              <w:jc w:val="both"/>
              <w:rPr>
                <w:rFonts w:ascii="Arial" w:hAnsi="Arial"/>
                <w:sz w:val="22"/>
              </w:rPr>
            </w:pPr>
            <w:r>
              <w:rPr>
                <w:rFonts w:ascii="Arial" w:hAnsi="Arial"/>
                <w:sz w:val="22"/>
              </w:rPr>
              <w:t>Family of Curves</w:t>
            </w:r>
          </w:p>
        </w:tc>
      </w:tr>
      <w:tr w:rsidR="00CA22EC" w:rsidRPr="004422A1" w14:paraId="4E9B2F56"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33147341" w14:textId="77777777" w:rsidR="00CA22EC" w:rsidRPr="004422A1" w:rsidRDefault="00CA22EC" w:rsidP="00CA22EC">
            <w:pPr>
              <w:rPr>
                <w:rFonts w:ascii="Arial" w:hAnsi="Arial"/>
                <w:sz w:val="22"/>
              </w:rPr>
            </w:pPr>
            <w:hyperlink r:id="rId395" w:history="1">
              <w:r w:rsidRPr="00CA22EC">
                <w:rPr>
                  <w:rStyle w:val="Hyperlink"/>
                  <w:rFonts w:ascii="Arial" w:hAnsi="Arial"/>
                  <w:sz w:val="22"/>
                </w:rPr>
                <w:t>PDS-06</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32966486" w14:textId="77777777" w:rsidR="00CA22EC" w:rsidRPr="004422A1" w:rsidRDefault="00CA22EC" w:rsidP="00CA22EC">
            <w:pPr>
              <w:jc w:val="both"/>
              <w:rPr>
                <w:rFonts w:ascii="Arial" w:hAnsi="Arial"/>
                <w:sz w:val="22"/>
              </w:rPr>
            </w:pPr>
            <w:r>
              <w:rPr>
                <w:rFonts w:ascii="Arial" w:hAnsi="Arial"/>
                <w:sz w:val="22"/>
              </w:rPr>
              <w:t>SPT to CBR to M</w:t>
            </w:r>
            <w:r w:rsidRPr="001E4FA6">
              <w:rPr>
                <w:rFonts w:ascii="Arial" w:hAnsi="Arial"/>
                <w:sz w:val="22"/>
                <w:vertAlign w:val="subscript"/>
              </w:rPr>
              <w:t>r</w:t>
            </w:r>
          </w:p>
        </w:tc>
      </w:tr>
      <w:tr w:rsidR="00CA22EC" w:rsidRPr="004422A1" w14:paraId="6E7C3C49"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3273DB19" w14:textId="77777777" w:rsidR="00CA22EC" w:rsidRPr="004422A1" w:rsidRDefault="00CA22EC" w:rsidP="00CA22EC">
            <w:pPr>
              <w:rPr>
                <w:rFonts w:ascii="Arial" w:hAnsi="Arial"/>
                <w:sz w:val="22"/>
              </w:rPr>
            </w:pPr>
            <w:hyperlink r:id="rId396" w:history="1">
              <w:r w:rsidRPr="00CA22EC">
                <w:rPr>
                  <w:rStyle w:val="Hyperlink"/>
                  <w:rFonts w:ascii="Arial" w:hAnsi="Arial"/>
                  <w:sz w:val="22"/>
                </w:rPr>
                <w:t>PDS-07</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21A9144B" w14:textId="77777777" w:rsidR="00CA22EC" w:rsidRPr="004422A1" w:rsidRDefault="00CA22EC" w:rsidP="00CA22EC">
            <w:pPr>
              <w:jc w:val="both"/>
              <w:rPr>
                <w:rFonts w:ascii="Arial" w:hAnsi="Arial"/>
                <w:sz w:val="22"/>
              </w:rPr>
            </w:pPr>
            <w:r>
              <w:rPr>
                <w:rFonts w:ascii="Arial" w:hAnsi="Arial"/>
                <w:sz w:val="22"/>
              </w:rPr>
              <w:t>Truck Factor Calculations</w:t>
            </w:r>
          </w:p>
        </w:tc>
      </w:tr>
      <w:tr w:rsidR="00CA22EC" w:rsidRPr="004422A1" w14:paraId="75644F90"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2F21C1D1" w14:textId="76B02B07" w:rsidR="00CA22EC" w:rsidRPr="004422A1" w:rsidRDefault="00CA22EC" w:rsidP="00CA22EC">
            <w:pPr>
              <w:rPr>
                <w:rFonts w:ascii="Arial" w:hAnsi="Arial"/>
                <w:sz w:val="22"/>
              </w:rPr>
            </w:pPr>
            <w:hyperlink r:id="rId397" w:history="1">
              <w:r w:rsidRPr="00CA22EC">
                <w:rPr>
                  <w:rStyle w:val="Hyperlink"/>
                  <w:rFonts w:ascii="Arial" w:hAnsi="Arial"/>
                  <w:sz w:val="22"/>
                </w:rPr>
                <w:t>PDS-08</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3D154E29" w14:textId="77777777" w:rsidR="00CA22EC" w:rsidRPr="004422A1" w:rsidRDefault="00CA22EC" w:rsidP="00CA22EC">
            <w:pPr>
              <w:jc w:val="both"/>
              <w:rPr>
                <w:rFonts w:ascii="Arial" w:hAnsi="Arial"/>
                <w:sz w:val="22"/>
              </w:rPr>
            </w:pPr>
            <w:r>
              <w:rPr>
                <w:rFonts w:ascii="Arial" w:hAnsi="Arial"/>
                <w:sz w:val="22"/>
              </w:rPr>
              <w:t>Project-Level RSL Calculations</w:t>
            </w:r>
          </w:p>
        </w:tc>
      </w:tr>
      <w:tr w:rsidR="0061647C" w:rsidRPr="004422A1" w14:paraId="46BB0527"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244D2AE5" w14:textId="763F8A24" w:rsidR="0061647C" w:rsidRPr="0061647C" w:rsidRDefault="0061647C" w:rsidP="0061647C">
            <w:pPr>
              <w:jc w:val="both"/>
            </w:pPr>
            <w:hyperlink r:id="rId398" w:history="1">
              <w:r w:rsidRPr="00FB1C27">
                <w:rPr>
                  <w:rStyle w:val="Hyperlink"/>
                  <w:rFonts w:ascii="Arial" w:hAnsi="Arial"/>
                  <w:sz w:val="22"/>
                </w:rPr>
                <w:t>PDS-09</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3F73561A" w14:textId="77777777" w:rsidR="0061647C" w:rsidRPr="004422A1" w:rsidRDefault="0061647C" w:rsidP="0061647C">
            <w:pPr>
              <w:jc w:val="both"/>
              <w:rPr>
                <w:rFonts w:ascii="Arial" w:hAnsi="Arial"/>
                <w:sz w:val="22"/>
              </w:rPr>
            </w:pPr>
            <w:r>
              <w:rPr>
                <w:rFonts w:ascii="Arial" w:hAnsi="Arial"/>
                <w:sz w:val="22"/>
              </w:rPr>
              <w:t>Automated Project-Level Design Help</w:t>
            </w:r>
          </w:p>
        </w:tc>
      </w:tr>
      <w:tr w:rsidR="001A2AB4" w:rsidRPr="004422A1" w14:paraId="154FF022"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6A878F7D" w14:textId="0B838A93" w:rsidR="001A2AB4" w:rsidRPr="001A2AB4" w:rsidRDefault="001A2AB4" w:rsidP="001A2AB4">
            <w:pPr>
              <w:rPr>
                <w:rStyle w:val="Hyperlink"/>
                <w:rFonts w:ascii="Arial" w:hAnsi="Arial"/>
                <w:sz w:val="22"/>
              </w:rPr>
            </w:pPr>
            <w:hyperlink r:id="rId399" w:history="1">
              <w:r w:rsidRPr="001A2AB4">
                <w:rPr>
                  <w:rStyle w:val="Hyperlink"/>
                  <w:rFonts w:ascii="Arial" w:hAnsi="Arial"/>
                  <w:sz w:val="22"/>
                </w:rPr>
                <w:t>PDS-10</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6D98ADC9" w14:textId="08CE2AA5" w:rsidR="001A2AB4" w:rsidRDefault="001A2AB4" w:rsidP="0061647C">
            <w:pPr>
              <w:jc w:val="both"/>
              <w:rPr>
                <w:rFonts w:ascii="Arial" w:hAnsi="Arial"/>
                <w:sz w:val="22"/>
              </w:rPr>
            </w:pPr>
            <w:r>
              <w:rPr>
                <w:rFonts w:ascii="Arial" w:hAnsi="Arial"/>
                <w:sz w:val="22"/>
              </w:rPr>
              <w:t>Multi-Project Summary</w:t>
            </w:r>
          </w:p>
        </w:tc>
      </w:tr>
      <w:tr w:rsidR="001A2AB4" w:rsidRPr="004422A1" w14:paraId="07B930B6"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36BC026C" w14:textId="39B2579D" w:rsidR="001A2AB4" w:rsidRPr="001A2AB4" w:rsidRDefault="001A2AB4" w:rsidP="001A2AB4">
            <w:pPr>
              <w:rPr>
                <w:rStyle w:val="Hyperlink"/>
                <w:rFonts w:ascii="Arial" w:hAnsi="Arial"/>
                <w:sz w:val="22"/>
              </w:rPr>
            </w:pPr>
            <w:hyperlink r:id="rId400" w:history="1">
              <w:r w:rsidRPr="001A2AB4">
                <w:rPr>
                  <w:rStyle w:val="Hyperlink"/>
                  <w:rFonts w:ascii="Arial" w:hAnsi="Arial"/>
                  <w:sz w:val="22"/>
                </w:rPr>
                <w:t>PDS-11</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65B5BA4E" w14:textId="6856478D" w:rsidR="001A2AB4" w:rsidRDefault="001A2AB4" w:rsidP="0061647C">
            <w:pPr>
              <w:jc w:val="both"/>
              <w:rPr>
                <w:rFonts w:ascii="Arial" w:hAnsi="Arial"/>
                <w:sz w:val="22"/>
              </w:rPr>
            </w:pPr>
            <w:r>
              <w:rPr>
                <w:rFonts w:ascii="Arial" w:hAnsi="Arial"/>
                <w:sz w:val="22"/>
              </w:rPr>
              <w:t>Individual Core Log</w:t>
            </w:r>
          </w:p>
        </w:tc>
      </w:tr>
      <w:tr w:rsidR="001A2AB4" w:rsidRPr="004422A1" w14:paraId="7792C809"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668E5895" w14:textId="377E8666" w:rsidR="001A2AB4" w:rsidRPr="001A2AB4" w:rsidRDefault="001A2AB4" w:rsidP="001A2AB4">
            <w:pPr>
              <w:rPr>
                <w:rStyle w:val="Hyperlink"/>
                <w:rFonts w:ascii="Arial" w:hAnsi="Arial"/>
                <w:sz w:val="22"/>
              </w:rPr>
            </w:pPr>
            <w:hyperlink r:id="rId401" w:history="1">
              <w:r w:rsidRPr="001A2AB4">
                <w:rPr>
                  <w:rStyle w:val="Hyperlink"/>
                  <w:rFonts w:ascii="Arial" w:hAnsi="Arial"/>
                  <w:sz w:val="22"/>
                </w:rPr>
                <w:t>PDS-12</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7DE93B3E" w14:textId="292E4E7E" w:rsidR="001A2AB4" w:rsidRDefault="001A2AB4" w:rsidP="0061647C">
            <w:pPr>
              <w:jc w:val="both"/>
              <w:rPr>
                <w:rFonts w:ascii="Arial" w:hAnsi="Arial"/>
                <w:sz w:val="22"/>
              </w:rPr>
            </w:pPr>
            <w:r>
              <w:rPr>
                <w:rFonts w:ascii="Arial" w:hAnsi="Arial"/>
                <w:sz w:val="22"/>
              </w:rPr>
              <w:t>Coordinate Conversion</w:t>
            </w:r>
          </w:p>
        </w:tc>
      </w:tr>
      <w:tr w:rsidR="001A2AB4" w:rsidRPr="004422A1" w14:paraId="6BF1B69C"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5510EDB1" w14:textId="41B1F2B3" w:rsidR="001A2AB4" w:rsidRPr="001A2AB4" w:rsidRDefault="001A2AB4" w:rsidP="001A2AB4">
            <w:pPr>
              <w:rPr>
                <w:rStyle w:val="Hyperlink"/>
                <w:rFonts w:ascii="Arial" w:hAnsi="Arial"/>
                <w:sz w:val="22"/>
              </w:rPr>
            </w:pPr>
            <w:hyperlink r:id="rId402" w:history="1">
              <w:r w:rsidRPr="001A2AB4">
                <w:rPr>
                  <w:rStyle w:val="Hyperlink"/>
                  <w:rFonts w:ascii="Arial" w:hAnsi="Arial"/>
                  <w:sz w:val="22"/>
                </w:rPr>
                <w:t>PDS-13</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057B72DA" w14:textId="1E93A5B5" w:rsidR="001A2AB4" w:rsidRDefault="001A2AB4" w:rsidP="0061647C">
            <w:pPr>
              <w:jc w:val="both"/>
              <w:rPr>
                <w:rFonts w:ascii="Arial" w:hAnsi="Arial"/>
                <w:sz w:val="22"/>
              </w:rPr>
            </w:pPr>
            <w:r>
              <w:rPr>
                <w:rFonts w:ascii="Arial" w:hAnsi="Arial"/>
                <w:sz w:val="22"/>
              </w:rPr>
              <w:t>Drainage Coefficient Calculations using ArcGIS</w:t>
            </w:r>
          </w:p>
        </w:tc>
      </w:tr>
      <w:tr w:rsidR="001A2AB4" w:rsidRPr="004422A1" w14:paraId="0057DA2B" w14:textId="77777777" w:rsidTr="001E4FA6">
        <w:trPr>
          <w:cantSplit/>
          <w:trHeight w:val="331"/>
          <w:jc w:val="center"/>
        </w:trPr>
        <w:tc>
          <w:tcPr>
            <w:tcW w:w="1795" w:type="dxa"/>
            <w:tcBorders>
              <w:top w:val="single" w:sz="4" w:space="0" w:color="auto"/>
              <w:left w:val="single" w:sz="4" w:space="0" w:color="auto"/>
              <w:bottom w:val="single" w:sz="4" w:space="0" w:color="auto"/>
              <w:right w:val="single" w:sz="4" w:space="0" w:color="auto"/>
            </w:tcBorders>
            <w:vAlign w:val="center"/>
          </w:tcPr>
          <w:p w14:paraId="41E12F5E" w14:textId="34DD3288" w:rsidR="001A2AB4" w:rsidRPr="001A2AB4" w:rsidRDefault="001A2AB4" w:rsidP="001A2AB4">
            <w:pPr>
              <w:rPr>
                <w:rStyle w:val="Hyperlink"/>
                <w:rFonts w:ascii="Arial" w:hAnsi="Arial"/>
                <w:sz w:val="22"/>
              </w:rPr>
            </w:pPr>
            <w:hyperlink r:id="rId403" w:history="1">
              <w:r w:rsidRPr="001A2AB4">
                <w:rPr>
                  <w:rStyle w:val="Hyperlink"/>
                  <w:rFonts w:ascii="Arial" w:hAnsi="Arial"/>
                  <w:sz w:val="22"/>
                </w:rPr>
                <w:t>PDS-14</w:t>
              </w:r>
            </w:hyperlink>
          </w:p>
        </w:tc>
        <w:tc>
          <w:tcPr>
            <w:tcW w:w="6845" w:type="dxa"/>
            <w:tcBorders>
              <w:top w:val="single" w:sz="4" w:space="0" w:color="auto"/>
              <w:left w:val="single" w:sz="4" w:space="0" w:color="auto"/>
              <w:bottom w:val="single" w:sz="4" w:space="0" w:color="auto"/>
              <w:right w:val="single" w:sz="4" w:space="0" w:color="auto"/>
            </w:tcBorders>
            <w:vAlign w:val="center"/>
          </w:tcPr>
          <w:p w14:paraId="76E312DF" w14:textId="0D81DB7A" w:rsidR="001A2AB4" w:rsidRDefault="001A2AB4" w:rsidP="0061647C">
            <w:pPr>
              <w:jc w:val="both"/>
              <w:rPr>
                <w:rFonts w:ascii="Arial" w:hAnsi="Arial"/>
                <w:sz w:val="22"/>
              </w:rPr>
            </w:pPr>
            <w:r>
              <w:rPr>
                <w:rFonts w:ascii="Arial" w:hAnsi="Arial"/>
                <w:sz w:val="22"/>
              </w:rPr>
              <w:t>Lane-Mile Factor Adjusting for Paving Widths</w:t>
            </w:r>
          </w:p>
        </w:tc>
      </w:tr>
    </w:tbl>
    <w:p w14:paraId="0FC17D9E" w14:textId="77777777" w:rsidR="004422A1" w:rsidRPr="004422A1" w:rsidRDefault="004422A1" w:rsidP="004422A1">
      <w:pPr>
        <w:sectPr w:rsidR="004422A1" w:rsidRPr="004422A1" w:rsidSect="008B1BAA">
          <w:headerReference w:type="default" r:id="rId404"/>
          <w:footerReference w:type="default" r:id="rId405"/>
          <w:pgSz w:w="12240" w:h="15840"/>
          <w:pgMar w:top="1440" w:right="1800" w:bottom="1440" w:left="1800" w:header="720" w:footer="720" w:gutter="0"/>
          <w:pgNumType w:chapStyle="1"/>
          <w:cols w:space="720"/>
          <w:docGrid w:linePitch="272"/>
        </w:sectPr>
      </w:pPr>
    </w:p>
    <w:p w14:paraId="0CFCBEB7" w14:textId="728C1A91" w:rsidR="00693A87" w:rsidRDefault="00693A87" w:rsidP="00172E64">
      <w:pPr>
        <w:pStyle w:val="Heading2"/>
        <w:numPr>
          <w:ilvl w:val="1"/>
          <w:numId w:val="185"/>
        </w:numPr>
        <w:spacing w:before="120"/>
        <w:ind w:left="0" w:firstLine="0"/>
      </w:pPr>
      <w:bookmarkStart w:id="700" w:name="_Example_Memos"/>
      <w:bookmarkStart w:id="701" w:name="_Toc479160141"/>
      <w:bookmarkStart w:id="702" w:name="_Toc514058027"/>
      <w:bookmarkStart w:id="703" w:name="_Toc194932422"/>
      <w:bookmarkEnd w:id="700"/>
      <w:r>
        <w:lastRenderedPageBreak/>
        <w:t>Example Memos</w:t>
      </w:r>
      <w:bookmarkEnd w:id="701"/>
      <w:bookmarkEnd w:id="702"/>
      <w:bookmarkEnd w:id="703"/>
      <w:r>
        <w:t xml:space="preserve"> </w:t>
      </w:r>
    </w:p>
    <w:p w14:paraId="572D1B51" w14:textId="77777777" w:rsidR="007E1D5E" w:rsidRDefault="007E1D5E" w:rsidP="007E1D5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Preliminary_Engineering_Cost" w:history="1">
        <w:r w:rsidRPr="007E1D5E">
          <w:rPr>
            <w:rStyle w:val="Hyperlink"/>
            <w:rFonts w:ascii="Arial" w:hAnsi="Arial" w:cs="Arial"/>
            <w:bCs/>
            <w:sz w:val="16"/>
            <w:szCs w:val="16"/>
          </w:rPr>
          <w:t>Preliminary Engineering Cost Estimate</w:t>
        </w:r>
      </w:hyperlink>
    </w:p>
    <w:p w14:paraId="787DCC09" w14:textId="77777777" w:rsidR="00761AF2" w:rsidRDefault="00761AF2" w:rsidP="007E1D5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Discussion/Selection_Alternative_wi" w:history="1">
        <w:r w:rsidR="00056BF3" w:rsidRPr="00056BF3">
          <w:rPr>
            <w:rStyle w:val="Hyperlink"/>
            <w:rFonts w:ascii="Arial" w:hAnsi="Arial" w:cs="Arial"/>
            <w:bCs/>
            <w:sz w:val="16"/>
            <w:szCs w:val="16"/>
          </w:rPr>
          <w:t>Preliminary Pavement Recommendation</w:t>
        </w:r>
      </w:hyperlink>
    </w:p>
    <w:p w14:paraId="0D097EC4" w14:textId="77777777" w:rsidR="00056BF3" w:rsidRDefault="00056BF3" w:rsidP="00056BF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Advanced_Geotechnical_Report" w:history="1">
        <w:r w:rsidRPr="00761AF2">
          <w:rPr>
            <w:rStyle w:val="Hyperlink"/>
            <w:rFonts w:ascii="Arial" w:hAnsi="Arial" w:cs="Arial"/>
            <w:bCs/>
            <w:sz w:val="16"/>
            <w:szCs w:val="16"/>
          </w:rPr>
          <w:t>Advanced Geotechnical Report</w:t>
        </w:r>
      </w:hyperlink>
    </w:p>
    <w:p w14:paraId="4050E4AB" w14:textId="77777777" w:rsidR="003F4B37" w:rsidRDefault="003F4B37" w:rsidP="003F4B37">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inal_Pavement_&amp;" w:history="1">
        <w:r w:rsidRPr="00761AF2">
          <w:rPr>
            <w:rStyle w:val="Hyperlink"/>
            <w:rFonts w:ascii="Arial" w:hAnsi="Arial" w:cs="Arial"/>
            <w:bCs/>
            <w:sz w:val="16"/>
            <w:szCs w:val="16"/>
          </w:rPr>
          <w:t>Final Pavement &amp; Geotechnical Report</w:t>
        </w:r>
      </w:hyperlink>
    </w:p>
    <w:p w14:paraId="7A614830" w14:textId="77777777" w:rsidR="008B5A65" w:rsidRPr="008F604D" w:rsidRDefault="008B5A65" w:rsidP="008B5A65">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Topsoil_Memo" w:history="1">
        <w:r w:rsidRPr="00761AF2">
          <w:rPr>
            <w:rStyle w:val="Hyperlink"/>
            <w:rFonts w:ascii="Arial" w:hAnsi="Arial" w:cs="Arial"/>
            <w:bCs/>
            <w:sz w:val="16"/>
            <w:szCs w:val="16"/>
          </w:rPr>
          <w:t>Topsoil Memo</w:t>
        </w:r>
      </w:hyperlink>
    </w:p>
    <w:p w14:paraId="011B5200" w14:textId="77777777" w:rsidR="00761AF2" w:rsidRDefault="00761AF2" w:rsidP="007E1D5E">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Other_Reports" w:history="1">
        <w:r w:rsidRPr="00761AF2">
          <w:rPr>
            <w:rStyle w:val="Hyperlink"/>
            <w:rFonts w:ascii="Arial" w:hAnsi="Arial" w:cs="Arial"/>
            <w:bCs/>
            <w:sz w:val="16"/>
            <w:szCs w:val="16"/>
          </w:rPr>
          <w:t>Other Reports</w:t>
        </w:r>
      </w:hyperlink>
    </w:p>
    <w:p w14:paraId="10258785" w14:textId="77777777" w:rsidR="00761AF2" w:rsidRDefault="00761AF2" w:rsidP="00761AF2">
      <w:pPr>
        <w:rPr>
          <w:rFonts w:ascii="Arial" w:hAnsi="Arial" w:cs="Arial"/>
          <w:bCs/>
          <w:sz w:val="16"/>
          <w:szCs w:val="16"/>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Construction_and_Material" w:history="1">
        <w:r w:rsidRPr="00761AF2">
          <w:rPr>
            <w:rStyle w:val="Hyperlink"/>
            <w:rFonts w:ascii="Arial" w:hAnsi="Arial" w:cs="Arial"/>
            <w:bCs/>
            <w:sz w:val="16"/>
            <w:szCs w:val="16"/>
          </w:rPr>
          <w:t>Construction and Material Specifications</w:t>
        </w:r>
      </w:hyperlink>
    </w:p>
    <w:p w14:paraId="0ACCB1AB" w14:textId="77777777" w:rsidR="00761AF2" w:rsidRDefault="00761AF2" w:rsidP="00761AF2">
      <w:pPr>
        <w:rPr>
          <w:rFonts w:ascii="Arial" w:hAnsi="Arial" w:cs="Arial"/>
          <w:bCs/>
          <w:sz w:val="22"/>
          <w:szCs w:val="22"/>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anagement_Review_&amp;" w:history="1">
        <w:r w:rsidRPr="00761AF2">
          <w:rPr>
            <w:rStyle w:val="Hyperlink"/>
            <w:rFonts w:ascii="Arial" w:hAnsi="Arial" w:cs="Arial"/>
            <w:bCs/>
            <w:sz w:val="16"/>
            <w:szCs w:val="16"/>
          </w:rPr>
          <w:t>Management Review &amp; QA</w:t>
        </w:r>
      </w:hyperlink>
    </w:p>
    <w:p w14:paraId="69C89C83" w14:textId="77777777" w:rsidR="00AC3EE9" w:rsidRDefault="00AC3EE9" w:rsidP="00AC3EE9">
      <w:pPr>
        <w:jc w:val="both"/>
        <w:rPr>
          <w:rFonts w:ascii="Arial" w:hAnsi="Arial"/>
          <w:sz w:val="22"/>
        </w:rPr>
      </w:pPr>
    </w:p>
    <w:p w14:paraId="5029364D" w14:textId="77777777" w:rsidR="00AC3EE9" w:rsidRDefault="00AC3EE9" w:rsidP="00AC3EE9">
      <w:pPr>
        <w:jc w:val="both"/>
        <w:rPr>
          <w:rFonts w:ascii="Arial" w:hAnsi="Arial"/>
          <w:sz w:val="22"/>
        </w:rPr>
      </w:pPr>
      <w:r>
        <w:rPr>
          <w:rFonts w:ascii="Arial" w:hAnsi="Arial"/>
          <w:sz w:val="22"/>
        </w:rPr>
        <w:t xml:space="preserve">In order to standardize reports and memoranda to ensure that they are as complete as possible, several templates were developed for pavement designers to use while developing pavement and geotechnical recommendations.  These examples are referred to and described in the procedures throughout this pavement design guide.  The following table lists all the current </w:t>
      </w:r>
      <w:hyperlink r:id="rId406" w:history="1">
        <w:r w:rsidRPr="00AC3EE9">
          <w:rPr>
            <w:rStyle w:val="Hyperlink"/>
            <w:rFonts w:ascii="Arial" w:hAnsi="Arial"/>
            <w:sz w:val="22"/>
          </w:rPr>
          <w:t>Memoformats</w:t>
        </w:r>
      </w:hyperlink>
      <w:r>
        <w:rPr>
          <w:rFonts w:ascii="Arial" w:hAnsi="Arial"/>
          <w:sz w:val="22"/>
        </w:rPr>
        <w:t xml:space="preserve"> and their purposes: </w:t>
      </w:r>
    </w:p>
    <w:p w14:paraId="58150EEC" w14:textId="77777777" w:rsidR="00AC3EE9" w:rsidRDefault="00AC3EE9" w:rsidP="00AC3EE9">
      <w:pPr>
        <w:rPr>
          <w:rFonts w:ascii="Arial" w:hAnsi="Arial"/>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7560"/>
      </w:tblGrid>
      <w:tr w:rsidR="000C03FA" w:rsidRPr="00D20268" w14:paraId="779B9825" w14:textId="77777777" w:rsidTr="001E4FA6">
        <w:trPr>
          <w:cantSplit/>
          <w:trHeight w:val="331"/>
          <w:tblHeader/>
          <w:jc w:val="center"/>
        </w:trPr>
        <w:tc>
          <w:tcPr>
            <w:tcW w:w="1188" w:type="dxa"/>
            <w:shd w:val="pct15" w:color="auto" w:fill="auto"/>
            <w:vAlign w:val="center"/>
          </w:tcPr>
          <w:p w14:paraId="3AEA639A" w14:textId="77777777" w:rsidR="000C03FA" w:rsidRPr="00D20268" w:rsidRDefault="000C03FA" w:rsidP="004A4315">
            <w:pPr>
              <w:pStyle w:val="TOC1"/>
            </w:pPr>
            <w:r w:rsidRPr="00D20268">
              <w:t>Form</w:t>
            </w:r>
          </w:p>
        </w:tc>
        <w:tc>
          <w:tcPr>
            <w:tcW w:w="7560" w:type="dxa"/>
            <w:shd w:val="pct15" w:color="auto" w:fill="auto"/>
            <w:vAlign w:val="center"/>
          </w:tcPr>
          <w:p w14:paraId="4CFBEC0D" w14:textId="77777777" w:rsidR="000C03FA" w:rsidRPr="00D20268" w:rsidRDefault="000C03FA" w:rsidP="003F4B37">
            <w:pPr>
              <w:rPr>
                <w:rFonts w:ascii="Arial" w:hAnsi="Arial"/>
                <w:b/>
                <w:sz w:val="22"/>
              </w:rPr>
            </w:pPr>
            <w:r>
              <w:rPr>
                <w:rFonts w:ascii="Arial" w:hAnsi="Arial"/>
                <w:b/>
                <w:sz w:val="22"/>
              </w:rPr>
              <w:t>Report/Memo</w:t>
            </w:r>
            <w:r w:rsidRPr="00D20268">
              <w:rPr>
                <w:rFonts w:ascii="Arial" w:hAnsi="Arial"/>
                <w:b/>
                <w:sz w:val="22"/>
              </w:rPr>
              <w:t xml:space="preserve"> Name</w:t>
            </w:r>
          </w:p>
        </w:tc>
      </w:tr>
      <w:tr w:rsidR="000C03FA" w:rsidRPr="00D20268" w14:paraId="2B9E5055" w14:textId="77777777" w:rsidTr="001E4FA6">
        <w:trPr>
          <w:cantSplit/>
          <w:trHeight w:val="331"/>
          <w:jc w:val="center"/>
        </w:trPr>
        <w:tc>
          <w:tcPr>
            <w:tcW w:w="1188" w:type="dxa"/>
            <w:vAlign w:val="center"/>
          </w:tcPr>
          <w:p w14:paraId="2728B316" w14:textId="77777777" w:rsidR="000C03FA" w:rsidRPr="00974DC9" w:rsidRDefault="000C03FA" w:rsidP="00AC3EE9">
            <w:pPr>
              <w:rPr>
                <w:rFonts w:ascii="Arial" w:hAnsi="Arial"/>
                <w:b/>
                <w:color w:val="808080" w:themeColor="background1" w:themeShade="80"/>
                <w:sz w:val="22"/>
              </w:rPr>
            </w:pPr>
            <w:hyperlink r:id="rId407" w:history="1">
              <w:r w:rsidRPr="003F4B37">
                <w:rPr>
                  <w:rStyle w:val="Hyperlink"/>
                  <w:rFonts w:ascii="Arial" w:hAnsi="Arial"/>
                  <w:b/>
                  <w:sz w:val="22"/>
                </w:rPr>
                <w:t>RPT-01</w:t>
              </w:r>
            </w:hyperlink>
          </w:p>
        </w:tc>
        <w:tc>
          <w:tcPr>
            <w:tcW w:w="7560" w:type="dxa"/>
            <w:vAlign w:val="center"/>
          </w:tcPr>
          <w:p w14:paraId="5F6B1F58" w14:textId="77777777" w:rsidR="000C03FA" w:rsidRPr="000C03FA" w:rsidRDefault="000C03FA" w:rsidP="003F4B37">
            <w:pPr>
              <w:rPr>
                <w:rFonts w:ascii="Arial" w:hAnsi="Arial"/>
                <w:sz w:val="22"/>
              </w:rPr>
            </w:pPr>
            <w:r w:rsidRPr="000C03FA">
              <w:rPr>
                <w:rFonts w:ascii="Arial" w:hAnsi="Arial"/>
                <w:sz w:val="22"/>
              </w:rPr>
              <w:t>Preliminary Engineering Cost Estimate</w:t>
            </w:r>
          </w:p>
        </w:tc>
      </w:tr>
      <w:tr w:rsidR="000C03FA" w:rsidRPr="00D20268" w14:paraId="79E62D2B" w14:textId="77777777" w:rsidTr="001E4FA6">
        <w:trPr>
          <w:cantSplit/>
          <w:trHeight w:val="331"/>
          <w:jc w:val="center"/>
        </w:trPr>
        <w:tc>
          <w:tcPr>
            <w:tcW w:w="1188" w:type="dxa"/>
            <w:vAlign w:val="center"/>
          </w:tcPr>
          <w:p w14:paraId="737C8CCA" w14:textId="77777777" w:rsidR="000C03FA" w:rsidRPr="00974DC9" w:rsidRDefault="000C03FA" w:rsidP="00AC3EE9">
            <w:pPr>
              <w:rPr>
                <w:rFonts w:ascii="Arial" w:hAnsi="Arial"/>
                <w:b/>
                <w:color w:val="808080" w:themeColor="background1" w:themeShade="80"/>
                <w:sz w:val="22"/>
              </w:rPr>
            </w:pPr>
            <w:hyperlink r:id="rId408" w:history="1">
              <w:r w:rsidRPr="00C008B4">
                <w:rPr>
                  <w:rStyle w:val="Hyperlink"/>
                  <w:rFonts w:ascii="Arial" w:hAnsi="Arial"/>
                  <w:b/>
                  <w:sz w:val="22"/>
                </w:rPr>
                <w:t>RPT-02</w:t>
              </w:r>
            </w:hyperlink>
          </w:p>
        </w:tc>
        <w:tc>
          <w:tcPr>
            <w:tcW w:w="7560" w:type="dxa"/>
            <w:vAlign w:val="center"/>
          </w:tcPr>
          <w:p w14:paraId="0C321F44" w14:textId="77777777" w:rsidR="000C03FA" w:rsidRPr="000C03FA" w:rsidRDefault="000C03FA" w:rsidP="003F4B37">
            <w:pPr>
              <w:rPr>
                <w:rFonts w:ascii="Arial" w:hAnsi="Arial"/>
                <w:sz w:val="22"/>
              </w:rPr>
            </w:pPr>
            <w:r w:rsidRPr="000C03FA">
              <w:rPr>
                <w:rFonts w:ascii="Arial" w:hAnsi="Arial"/>
                <w:sz w:val="22"/>
              </w:rPr>
              <w:t>Advanced Geotechnical Report</w:t>
            </w:r>
          </w:p>
        </w:tc>
      </w:tr>
      <w:tr w:rsidR="000C03FA" w:rsidRPr="00D20268" w14:paraId="0110BF77" w14:textId="77777777" w:rsidTr="001E4FA6">
        <w:trPr>
          <w:cantSplit/>
          <w:trHeight w:val="331"/>
          <w:jc w:val="center"/>
        </w:trPr>
        <w:tc>
          <w:tcPr>
            <w:tcW w:w="1188" w:type="dxa"/>
            <w:vAlign w:val="center"/>
          </w:tcPr>
          <w:p w14:paraId="0E5FD70A" w14:textId="77777777" w:rsidR="000C03FA" w:rsidRPr="00974DC9" w:rsidRDefault="000C03FA" w:rsidP="00AC3EE9">
            <w:pPr>
              <w:rPr>
                <w:rFonts w:ascii="Arial" w:hAnsi="Arial"/>
                <w:b/>
                <w:color w:val="808080" w:themeColor="background1" w:themeShade="80"/>
                <w:sz w:val="22"/>
              </w:rPr>
            </w:pPr>
            <w:hyperlink r:id="rId409" w:history="1">
              <w:r w:rsidRPr="00C008B4">
                <w:rPr>
                  <w:rStyle w:val="Hyperlink"/>
                  <w:rFonts w:ascii="Arial" w:hAnsi="Arial"/>
                  <w:b/>
                  <w:sz w:val="22"/>
                </w:rPr>
                <w:t>RPT-03</w:t>
              </w:r>
            </w:hyperlink>
          </w:p>
        </w:tc>
        <w:tc>
          <w:tcPr>
            <w:tcW w:w="7560" w:type="dxa"/>
            <w:vAlign w:val="center"/>
          </w:tcPr>
          <w:p w14:paraId="0DC95D66" w14:textId="77777777" w:rsidR="000C03FA" w:rsidRPr="000C03FA" w:rsidRDefault="000C03FA" w:rsidP="003F4B37">
            <w:pPr>
              <w:rPr>
                <w:rFonts w:ascii="Arial" w:hAnsi="Arial"/>
                <w:sz w:val="22"/>
              </w:rPr>
            </w:pPr>
            <w:r w:rsidRPr="000C03FA">
              <w:rPr>
                <w:rFonts w:ascii="Arial" w:hAnsi="Arial"/>
                <w:sz w:val="22"/>
              </w:rPr>
              <w:t>Preliminary Pavement Recommendation</w:t>
            </w:r>
          </w:p>
        </w:tc>
      </w:tr>
      <w:tr w:rsidR="000C03FA" w:rsidRPr="00D20268" w14:paraId="19C60260" w14:textId="77777777" w:rsidTr="001E4FA6">
        <w:trPr>
          <w:cantSplit/>
          <w:trHeight w:val="331"/>
          <w:jc w:val="center"/>
        </w:trPr>
        <w:tc>
          <w:tcPr>
            <w:tcW w:w="1188" w:type="dxa"/>
            <w:vAlign w:val="center"/>
          </w:tcPr>
          <w:p w14:paraId="7A8DEE8D" w14:textId="77777777" w:rsidR="000C03FA" w:rsidRPr="00974DC9" w:rsidRDefault="000C03FA" w:rsidP="00AC3EE9">
            <w:pPr>
              <w:rPr>
                <w:rFonts w:ascii="Arial" w:hAnsi="Arial"/>
                <w:b/>
                <w:color w:val="808080" w:themeColor="background1" w:themeShade="80"/>
                <w:sz w:val="22"/>
              </w:rPr>
            </w:pPr>
            <w:hyperlink r:id="rId410" w:history="1">
              <w:r w:rsidRPr="000C03FA">
                <w:rPr>
                  <w:rStyle w:val="Hyperlink"/>
                  <w:rFonts w:ascii="Arial" w:hAnsi="Arial"/>
                  <w:b/>
                  <w:sz w:val="22"/>
                </w:rPr>
                <w:t>RPT-04</w:t>
              </w:r>
            </w:hyperlink>
          </w:p>
        </w:tc>
        <w:tc>
          <w:tcPr>
            <w:tcW w:w="7560" w:type="dxa"/>
            <w:vAlign w:val="center"/>
          </w:tcPr>
          <w:p w14:paraId="32058B84" w14:textId="77777777" w:rsidR="000C03FA" w:rsidRPr="000C03FA" w:rsidRDefault="000C03FA" w:rsidP="00C008B4">
            <w:pPr>
              <w:rPr>
                <w:rFonts w:ascii="Arial" w:hAnsi="Arial"/>
                <w:sz w:val="22"/>
              </w:rPr>
            </w:pPr>
            <w:r w:rsidRPr="000C03FA">
              <w:rPr>
                <w:rFonts w:ascii="Arial" w:hAnsi="Arial"/>
                <w:sz w:val="22"/>
              </w:rPr>
              <w:t>Final Pavement Memo (Fund 77)</w:t>
            </w:r>
          </w:p>
        </w:tc>
      </w:tr>
      <w:tr w:rsidR="000C03FA" w:rsidRPr="00D20268" w14:paraId="70F4453D" w14:textId="77777777" w:rsidTr="001E4FA6">
        <w:trPr>
          <w:cantSplit/>
          <w:trHeight w:val="331"/>
          <w:jc w:val="center"/>
        </w:trPr>
        <w:tc>
          <w:tcPr>
            <w:tcW w:w="1188" w:type="dxa"/>
            <w:vAlign w:val="center"/>
          </w:tcPr>
          <w:p w14:paraId="5C55D1EC" w14:textId="77777777" w:rsidR="000C03FA" w:rsidRPr="00974DC9" w:rsidRDefault="000C03FA" w:rsidP="00AC3EE9">
            <w:pPr>
              <w:rPr>
                <w:rFonts w:ascii="Arial" w:hAnsi="Arial"/>
                <w:b/>
                <w:color w:val="808080" w:themeColor="background1" w:themeShade="80"/>
                <w:sz w:val="22"/>
              </w:rPr>
            </w:pPr>
            <w:hyperlink r:id="rId411" w:history="1">
              <w:r w:rsidRPr="000C03FA">
                <w:rPr>
                  <w:rStyle w:val="Hyperlink"/>
                  <w:rFonts w:ascii="Arial" w:hAnsi="Arial"/>
                  <w:b/>
                  <w:sz w:val="22"/>
                </w:rPr>
                <w:t>RPT-05</w:t>
              </w:r>
            </w:hyperlink>
          </w:p>
        </w:tc>
        <w:tc>
          <w:tcPr>
            <w:tcW w:w="7560" w:type="dxa"/>
            <w:vAlign w:val="center"/>
          </w:tcPr>
          <w:p w14:paraId="63633BA6" w14:textId="77777777" w:rsidR="000C03FA" w:rsidRPr="000C03FA" w:rsidRDefault="000C03FA" w:rsidP="00C008B4">
            <w:pPr>
              <w:rPr>
                <w:rFonts w:ascii="Arial" w:hAnsi="Arial"/>
                <w:sz w:val="22"/>
              </w:rPr>
            </w:pPr>
            <w:r w:rsidRPr="000C03FA">
              <w:rPr>
                <w:rFonts w:ascii="Arial" w:hAnsi="Arial"/>
                <w:sz w:val="22"/>
              </w:rPr>
              <w:t>Final Pavement &amp; Geotechnical Report (Non-Fund 77)</w:t>
            </w:r>
          </w:p>
        </w:tc>
      </w:tr>
      <w:tr w:rsidR="000C03FA" w:rsidRPr="00D20268" w14:paraId="45624D3B" w14:textId="77777777" w:rsidTr="001E4FA6">
        <w:trPr>
          <w:cantSplit/>
          <w:trHeight w:val="331"/>
          <w:jc w:val="center"/>
        </w:trPr>
        <w:tc>
          <w:tcPr>
            <w:tcW w:w="1188" w:type="dxa"/>
            <w:vAlign w:val="center"/>
          </w:tcPr>
          <w:p w14:paraId="6611319D" w14:textId="77777777" w:rsidR="000C03FA" w:rsidRPr="00440012" w:rsidRDefault="000C03FA" w:rsidP="00AC3EE9">
            <w:pPr>
              <w:rPr>
                <w:rFonts w:ascii="Arial" w:hAnsi="Arial"/>
                <w:b/>
                <w:sz w:val="22"/>
              </w:rPr>
            </w:pPr>
            <w:hyperlink r:id="rId412" w:history="1">
              <w:r w:rsidRPr="000C03FA">
                <w:rPr>
                  <w:rStyle w:val="Hyperlink"/>
                  <w:rFonts w:ascii="Arial" w:hAnsi="Arial"/>
                  <w:b/>
                  <w:sz w:val="22"/>
                </w:rPr>
                <w:t>RPT-06a</w:t>
              </w:r>
            </w:hyperlink>
          </w:p>
        </w:tc>
        <w:tc>
          <w:tcPr>
            <w:tcW w:w="7560" w:type="dxa"/>
            <w:vAlign w:val="center"/>
          </w:tcPr>
          <w:p w14:paraId="3CA94900" w14:textId="77777777" w:rsidR="000C03FA" w:rsidRPr="000C03FA" w:rsidRDefault="000C03FA" w:rsidP="00AC3EE9">
            <w:pPr>
              <w:rPr>
                <w:rFonts w:ascii="Arial" w:hAnsi="Arial"/>
                <w:sz w:val="22"/>
              </w:rPr>
            </w:pPr>
            <w:r w:rsidRPr="000C03FA">
              <w:rPr>
                <w:rFonts w:ascii="Arial" w:hAnsi="Arial"/>
                <w:sz w:val="22"/>
              </w:rPr>
              <w:t xml:space="preserve">Design-Build </w:t>
            </w:r>
            <w:r>
              <w:rPr>
                <w:rFonts w:ascii="Arial" w:hAnsi="Arial"/>
                <w:sz w:val="22"/>
              </w:rPr>
              <w:t>Cover Letter</w:t>
            </w:r>
          </w:p>
        </w:tc>
      </w:tr>
      <w:tr w:rsidR="000C03FA" w:rsidRPr="00D20268" w14:paraId="43586E26" w14:textId="77777777" w:rsidTr="001E4FA6">
        <w:trPr>
          <w:cantSplit/>
          <w:trHeight w:val="331"/>
          <w:jc w:val="center"/>
        </w:trPr>
        <w:tc>
          <w:tcPr>
            <w:tcW w:w="1188" w:type="dxa"/>
            <w:vAlign w:val="center"/>
          </w:tcPr>
          <w:p w14:paraId="6739AE2B" w14:textId="00016D37" w:rsidR="000C03FA" w:rsidRPr="00440012" w:rsidRDefault="000C03FA" w:rsidP="000C03FA">
            <w:pPr>
              <w:rPr>
                <w:rFonts w:ascii="Arial" w:hAnsi="Arial"/>
                <w:b/>
                <w:sz w:val="22"/>
              </w:rPr>
            </w:pPr>
            <w:hyperlink r:id="rId413" w:history="1">
              <w:r w:rsidRPr="000C03FA">
                <w:rPr>
                  <w:rStyle w:val="Hyperlink"/>
                  <w:rFonts w:ascii="Arial" w:hAnsi="Arial"/>
                  <w:b/>
                  <w:sz w:val="22"/>
                </w:rPr>
                <w:t>RPT-06b</w:t>
              </w:r>
            </w:hyperlink>
          </w:p>
        </w:tc>
        <w:tc>
          <w:tcPr>
            <w:tcW w:w="7560" w:type="dxa"/>
            <w:vAlign w:val="center"/>
          </w:tcPr>
          <w:p w14:paraId="2ADB8A61" w14:textId="77777777" w:rsidR="000C03FA" w:rsidRPr="000C03FA" w:rsidRDefault="000C03FA" w:rsidP="00AC3EE9">
            <w:pPr>
              <w:rPr>
                <w:rFonts w:ascii="Arial" w:hAnsi="Arial"/>
                <w:sz w:val="22"/>
              </w:rPr>
            </w:pPr>
            <w:r w:rsidRPr="000C03FA">
              <w:rPr>
                <w:rFonts w:ascii="Arial" w:hAnsi="Arial"/>
                <w:sz w:val="22"/>
              </w:rPr>
              <w:t>Design-Build</w:t>
            </w:r>
            <w:r>
              <w:rPr>
                <w:rFonts w:ascii="Arial" w:hAnsi="Arial"/>
                <w:sz w:val="22"/>
              </w:rPr>
              <w:t xml:space="preserve"> TC 3.10</w:t>
            </w:r>
          </w:p>
        </w:tc>
      </w:tr>
      <w:tr w:rsidR="000C03FA" w:rsidRPr="00D20268" w14:paraId="7D2396F1" w14:textId="77777777" w:rsidTr="001E4FA6">
        <w:trPr>
          <w:cantSplit/>
          <w:trHeight w:val="331"/>
          <w:jc w:val="center"/>
        </w:trPr>
        <w:tc>
          <w:tcPr>
            <w:tcW w:w="1188" w:type="dxa"/>
            <w:vAlign w:val="center"/>
          </w:tcPr>
          <w:p w14:paraId="32868983" w14:textId="77777777" w:rsidR="000C03FA" w:rsidRPr="00440012" w:rsidRDefault="000C03FA" w:rsidP="000C03FA">
            <w:pPr>
              <w:rPr>
                <w:rFonts w:ascii="Arial" w:hAnsi="Arial"/>
                <w:b/>
                <w:sz w:val="22"/>
              </w:rPr>
            </w:pPr>
            <w:hyperlink r:id="rId414" w:history="1">
              <w:r w:rsidRPr="000C03FA">
                <w:rPr>
                  <w:rStyle w:val="Hyperlink"/>
                  <w:rFonts w:ascii="Arial" w:hAnsi="Arial"/>
                  <w:b/>
                  <w:sz w:val="22"/>
                </w:rPr>
                <w:t>RPT-06c</w:t>
              </w:r>
            </w:hyperlink>
          </w:p>
        </w:tc>
        <w:tc>
          <w:tcPr>
            <w:tcW w:w="7560" w:type="dxa"/>
            <w:vAlign w:val="center"/>
          </w:tcPr>
          <w:p w14:paraId="6E563B08" w14:textId="77777777" w:rsidR="000C03FA" w:rsidRPr="000C03FA" w:rsidRDefault="000C03FA" w:rsidP="00AC3EE9">
            <w:pPr>
              <w:rPr>
                <w:rFonts w:ascii="Arial" w:hAnsi="Arial"/>
                <w:sz w:val="22"/>
              </w:rPr>
            </w:pPr>
            <w:r w:rsidRPr="000C03FA">
              <w:rPr>
                <w:rFonts w:ascii="Arial" w:hAnsi="Arial"/>
                <w:sz w:val="22"/>
              </w:rPr>
              <w:t>Design-Build</w:t>
            </w:r>
            <w:r>
              <w:rPr>
                <w:rFonts w:ascii="Arial" w:hAnsi="Arial"/>
                <w:sz w:val="22"/>
              </w:rPr>
              <w:t xml:space="preserve"> TC 3.10.06</w:t>
            </w:r>
          </w:p>
        </w:tc>
      </w:tr>
      <w:tr w:rsidR="000C03FA" w:rsidRPr="00D20268" w14:paraId="7CBE4B95" w14:textId="77777777" w:rsidTr="001E4FA6">
        <w:trPr>
          <w:cantSplit/>
          <w:trHeight w:val="331"/>
          <w:jc w:val="center"/>
        </w:trPr>
        <w:tc>
          <w:tcPr>
            <w:tcW w:w="1188" w:type="dxa"/>
            <w:vAlign w:val="center"/>
          </w:tcPr>
          <w:p w14:paraId="59629143" w14:textId="77777777" w:rsidR="000C03FA" w:rsidRPr="00440012" w:rsidRDefault="000C03FA" w:rsidP="000C03FA">
            <w:pPr>
              <w:rPr>
                <w:rFonts w:ascii="Arial" w:hAnsi="Arial"/>
                <w:b/>
                <w:sz w:val="22"/>
              </w:rPr>
            </w:pPr>
            <w:hyperlink r:id="rId415" w:history="1">
              <w:r w:rsidRPr="000C03FA">
                <w:rPr>
                  <w:rStyle w:val="Hyperlink"/>
                  <w:rFonts w:ascii="Arial" w:hAnsi="Arial"/>
                  <w:b/>
                  <w:sz w:val="22"/>
                </w:rPr>
                <w:t>RPT-06d</w:t>
              </w:r>
            </w:hyperlink>
          </w:p>
        </w:tc>
        <w:tc>
          <w:tcPr>
            <w:tcW w:w="7560" w:type="dxa"/>
            <w:vAlign w:val="center"/>
          </w:tcPr>
          <w:p w14:paraId="356B9EF7" w14:textId="77777777" w:rsidR="000C03FA" w:rsidRPr="000C03FA" w:rsidRDefault="000C03FA" w:rsidP="00AC3EE9">
            <w:pPr>
              <w:rPr>
                <w:rFonts w:ascii="Arial" w:hAnsi="Arial"/>
                <w:sz w:val="22"/>
              </w:rPr>
            </w:pPr>
            <w:r w:rsidRPr="000C03FA">
              <w:rPr>
                <w:rFonts w:ascii="Arial" w:hAnsi="Arial"/>
                <w:sz w:val="22"/>
              </w:rPr>
              <w:t>Design-Build</w:t>
            </w:r>
            <w:r>
              <w:rPr>
                <w:rFonts w:ascii="Arial" w:hAnsi="Arial"/>
                <w:sz w:val="22"/>
              </w:rPr>
              <w:t xml:space="preserve"> TC 3.14</w:t>
            </w:r>
          </w:p>
        </w:tc>
      </w:tr>
      <w:tr w:rsidR="00A45A5C" w:rsidRPr="00D20268" w14:paraId="54ED0304" w14:textId="77777777" w:rsidTr="001E4FA6">
        <w:trPr>
          <w:cantSplit/>
          <w:trHeight w:val="331"/>
          <w:jc w:val="center"/>
        </w:trPr>
        <w:tc>
          <w:tcPr>
            <w:tcW w:w="1188" w:type="dxa"/>
            <w:vAlign w:val="center"/>
          </w:tcPr>
          <w:p w14:paraId="2B669BE0" w14:textId="77777777" w:rsidR="00A45A5C" w:rsidRDefault="00A45A5C" w:rsidP="00AC3EE9">
            <w:pPr>
              <w:rPr>
                <w:rFonts w:ascii="Arial" w:hAnsi="Arial"/>
                <w:b/>
                <w:sz w:val="22"/>
              </w:rPr>
            </w:pPr>
            <w:hyperlink r:id="rId416" w:history="1">
              <w:r w:rsidRPr="00A45A5C">
                <w:rPr>
                  <w:rStyle w:val="Hyperlink"/>
                  <w:rFonts w:ascii="Arial" w:hAnsi="Arial"/>
                  <w:b/>
                  <w:sz w:val="22"/>
                </w:rPr>
                <w:t>RPT-06e</w:t>
              </w:r>
            </w:hyperlink>
          </w:p>
        </w:tc>
        <w:tc>
          <w:tcPr>
            <w:tcW w:w="7560" w:type="dxa"/>
            <w:vAlign w:val="center"/>
          </w:tcPr>
          <w:p w14:paraId="1A76A6E3" w14:textId="77777777" w:rsidR="00A45A5C" w:rsidRPr="000C03FA" w:rsidRDefault="00A45A5C" w:rsidP="00AC3EE9">
            <w:pPr>
              <w:rPr>
                <w:rFonts w:ascii="Arial" w:hAnsi="Arial"/>
                <w:sz w:val="22"/>
              </w:rPr>
            </w:pPr>
            <w:r>
              <w:rPr>
                <w:rFonts w:ascii="Arial" w:hAnsi="Arial"/>
                <w:sz w:val="22"/>
              </w:rPr>
              <w:t>Design-Build Data Attachments</w:t>
            </w:r>
          </w:p>
        </w:tc>
      </w:tr>
      <w:tr w:rsidR="000C03FA" w:rsidRPr="00D20268" w14:paraId="5C756966" w14:textId="77777777" w:rsidTr="001E4FA6">
        <w:trPr>
          <w:cantSplit/>
          <w:trHeight w:val="331"/>
          <w:jc w:val="center"/>
        </w:trPr>
        <w:tc>
          <w:tcPr>
            <w:tcW w:w="1188" w:type="dxa"/>
            <w:vAlign w:val="center"/>
          </w:tcPr>
          <w:p w14:paraId="2399A545" w14:textId="77777777" w:rsidR="000C03FA" w:rsidRPr="000C0465" w:rsidRDefault="000C03FA" w:rsidP="00AC3EE9">
            <w:pPr>
              <w:rPr>
                <w:rFonts w:ascii="Arial" w:hAnsi="Arial"/>
                <w:b/>
                <w:sz w:val="22"/>
              </w:rPr>
            </w:pPr>
            <w:hyperlink r:id="rId417" w:history="1">
              <w:r w:rsidRPr="00447E6D">
                <w:rPr>
                  <w:rStyle w:val="Hyperlink"/>
                  <w:rFonts w:ascii="Arial" w:hAnsi="Arial"/>
                  <w:b/>
                  <w:sz w:val="22"/>
                </w:rPr>
                <w:t>RPT-07</w:t>
              </w:r>
            </w:hyperlink>
          </w:p>
        </w:tc>
        <w:tc>
          <w:tcPr>
            <w:tcW w:w="7560" w:type="dxa"/>
            <w:vAlign w:val="center"/>
          </w:tcPr>
          <w:p w14:paraId="5866025C" w14:textId="77777777" w:rsidR="000C03FA" w:rsidRPr="000C03FA" w:rsidRDefault="000C03FA" w:rsidP="00AC3EE9">
            <w:pPr>
              <w:rPr>
                <w:rFonts w:ascii="Arial" w:hAnsi="Arial"/>
                <w:sz w:val="22"/>
              </w:rPr>
            </w:pPr>
            <w:r w:rsidRPr="000C03FA">
              <w:rPr>
                <w:rFonts w:ascii="Arial" w:hAnsi="Arial"/>
                <w:sz w:val="22"/>
              </w:rPr>
              <w:t>Topsoil Memo</w:t>
            </w:r>
          </w:p>
        </w:tc>
      </w:tr>
      <w:tr w:rsidR="000C03FA" w:rsidRPr="000655E1" w14:paraId="6DD826C1"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1F595010" w14:textId="77777777" w:rsidR="000C03FA" w:rsidRPr="000655E1" w:rsidRDefault="000C03FA" w:rsidP="00C008B4">
            <w:pPr>
              <w:rPr>
                <w:rFonts w:ascii="Arial" w:hAnsi="Arial"/>
                <w:b/>
                <w:sz w:val="22"/>
              </w:rPr>
            </w:pPr>
            <w:hyperlink r:id="rId418" w:history="1">
              <w:r w:rsidRPr="000655E1">
                <w:rPr>
                  <w:rStyle w:val="Hyperlink"/>
                  <w:rFonts w:ascii="Arial" w:hAnsi="Arial"/>
                  <w:b/>
                  <w:sz w:val="22"/>
                </w:rPr>
                <w:t>RPT-08</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40613FC4" w14:textId="77777777" w:rsidR="000C03FA" w:rsidRPr="000655E1" w:rsidRDefault="000C03FA" w:rsidP="00C008B4">
            <w:pPr>
              <w:rPr>
                <w:rFonts w:ascii="Arial" w:hAnsi="Arial" w:cs="Arial"/>
                <w:sz w:val="22"/>
                <w:szCs w:val="22"/>
              </w:rPr>
            </w:pPr>
            <w:r w:rsidRPr="000655E1">
              <w:rPr>
                <w:rFonts w:ascii="Arial" w:hAnsi="Arial" w:cs="Arial"/>
                <w:sz w:val="22"/>
                <w:szCs w:val="22"/>
              </w:rPr>
              <w:t>Pavement Core Log Example</w:t>
            </w:r>
          </w:p>
        </w:tc>
      </w:tr>
      <w:tr w:rsidR="000C03FA" w:rsidRPr="000655E1" w14:paraId="4A030CAE"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1853B12D" w14:textId="77777777" w:rsidR="000C03FA" w:rsidRPr="000655E1" w:rsidRDefault="000C03FA" w:rsidP="00C008B4">
            <w:pPr>
              <w:rPr>
                <w:rFonts w:ascii="Arial" w:hAnsi="Arial"/>
                <w:b/>
                <w:sz w:val="22"/>
              </w:rPr>
            </w:pPr>
            <w:hyperlink r:id="rId419" w:history="1">
              <w:r w:rsidRPr="000655E1">
                <w:rPr>
                  <w:rStyle w:val="Hyperlink"/>
                  <w:rFonts w:ascii="Arial" w:hAnsi="Arial"/>
                  <w:b/>
                  <w:sz w:val="22"/>
                </w:rPr>
                <w:t>RPT-09</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5DC0D6F3" w14:textId="77777777" w:rsidR="000C03FA" w:rsidRPr="000655E1" w:rsidRDefault="000C03FA" w:rsidP="00C008B4">
            <w:pPr>
              <w:rPr>
                <w:rFonts w:ascii="Arial" w:hAnsi="Arial" w:cs="Arial"/>
                <w:sz w:val="22"/>
                <w:szCs w:val="22"/>
              </w:rPr>
            </w:pPr>
            <w:r w:rsidRPr="000655E1">
              <w:rPr>
                <w:rFonts w:ascii="Arial" w:hAnsi="Arial" w:cs="Arial"/>
                <w:sz w:val="22"/>
                <w:szCs w:val="22"/>
              </w:rPr>
              <w:t>Soil Boring Log Example</w:t>
            </w:r>
          </w:p>
        </w:tc>
      </w:tr>
      <w:tr w:rsidR="000C03FA" w:rsidRPr="000655E1" w14:paraId="19A5E2EE"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720A5855" w14:textId="77777777" w:rsidR="000C03FA" w:rsidRPr="000655E1" w:rsidRDefault="000C03FA" w:rsidP="00C008B4">
            <w:pPr>
              <w:rPr>
                <w:rFonts w:ascii="Arial" w:hAnsi="Arial"/>
                <w:b/>
                <w:sz w:val="22"/>
              </w:rPr>
            </w:pPr>
            <w:hyperlink r:id="rId420" w:history="1">
              <w:r w:rsidRPr="000655E1">
                <w:rPr>
                  <w:rStyle w:val="Hyperlink"/>
                  <w:rFonts w:ascii="Arial" w:hAnsi="Arial"/>
                  <w:b/>
                  <w:sz w:val="22"/>
                </w:rPr>
                <w:t>RPT-10</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11EBAF04" w14:textId="77777777" w:rsidR="000C03FA" w:rsidRPr="000655E1" w:rsidRDefault="000C03FA" w:rsidP="00C008B4">
            <w:pPr>
              <w:rPr>
                <w:rFonts w:ascii="Arial" w:hAnsi="Arial" w:cs="Arial"/>
                <w:sz w:val="22"/>
                <w:szCs w:val="22"/>
              </w:rPr>
            </w:pPr>
            <w:r w:rsidRPr="000655E1">
              <w:rPr>
                <w:rFonts w:ascii="Arial" w:hAnsi="Arial" w:cs="Arial"/>
                <w:sz w:val="22"/>
                <w:szCs w:val="22"/>
              </w:rPr>
              <w:t>Chemical Results Sheet Example</w:t>
            </w:r>
          </w:p>
        </w:tc>
      </w:tr>
      <w:tr w:rsidR="000C03FA" w:rsidRPr="00D20268" w14:paraId="2A73135C"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0BFF79F7" w14:textId="77777777" w:rsidR="000C03FA" w:rsidRPr="000655E1" w:rsidRDefault="000C03FA" w:rsidP="00C008B4">
            <w:pPr>
              <w:rPr>
                <w:rFonts w:ascii="Arial" w:hAnsi="Arial"/>
                <w:b/>
                <w:sz w:val="22"/>
              </w:rPr>
            </w:pPr>
            <w:hyperlink r:id="rId421" w:history="1">
              <w:r w:rsidRPr="000655E1">
                <w:rPr>
                  <w:rStyle w:val="Hyperlink"/>
                  <w:rFonts w:ascii="Arial" w:hAnsi="Arial"/>
                  <w:b/>
                  <w:sz w:val="22"/>
                </w:rPr>
                <w:t>RPT-11</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62F6A05E" w14:textId="77777777" w:rsidR="000C03FA" w:rsidRPr="000655E1" w:rsidRDefault="000C03FA" w:rsidP="00C008B4">
            <w:pPr>
              <w:rPr>
                <w:rFonts w:ascii="Arial" w:hAnsi="Arial" w:cs="Arial"/>
                <w:sz w:val="22"/>
                <w:szCs w:val="22"/>
              </w:rPr>
            </w:pPr>
            <w:r w:rsidRPr="000655E1">
              <w:rPr>
                <w:rFonts w:ascii="Arial" w:hAnsi="Arial" w:cs="Arial"/>
                <w:sz w:val="22"/>
                <w:szCs w:val="22"/>
              </w:rPr>
              <w:t>Water Chemical Test Sheet Example</w:t>
            </w:r>
          </w:p>
        </w:tc>
      </w:tr>
      <w:tr w:rsidR="0062220B" w:rsidRPr="00D20268" w14:paraId="2CDB4CAB"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1BBA88C4" w14:textId="77777777" w:rsidR="0062220B" w:rsidRPr="00122021" w:rsidRDefault="0062220B" w:rsidP="000C62D0">
            <w:pPr>
              <w:rPr>
                <w:rFonts w:ascii="Arial" w:hAnsi="Arial" w:cs="Arial"/>
                <w:b/>
                <w:sz w:val="22"/>
                <w:szCs w:val="22"/>
              </w:rPr>
            </w:pPr>
            <w:hyperlink r:id="rId422" w:history="1">
              <w:r w:rsidRPr="00122021">
                <w:rPr>
                  <w:rStyle w:val="Hyperlink"/>
                  <w:rFonts w:ascii="Arial" w:hAnsi="Arial" w:cs="Arial"/>
                  <w:b/>
                  <w:sz w:val="22"/>
                  <w:szCs w:val="22"/>
                </w:rPr>
                <w:t>RPT-12a</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5E1D8099" w14:textId="77777777" w:rsidR="0062220B" w:rsidRPr="000655E1" w:rsidRDefault="0062220B" w:rsidP="006E700A">
            <w:pPr>
              <w:rPr>
                <w:rFonts w:ascii="Arial" w:hAnsi="Arial" w:cs="Arial"/>
                <w:sz w:val="22"/>
                <w:szCs w:val="22"/>
              </w:rPr>
            </w:pPr>
            <w:r w:rsidRPr="0062220B">
              <w:rPr>
                <w:rFonts w:ascii="Arial" w:hAnsi="Arial" w:cs="Arial"/>
                <w:sz w:val="22"/>
                <w:szCs w:val="22"/>
              </w:rPr>
              <w:t>LCCA-PTS</w:t>
            </w:r>
            <w:r w:rsidR="006E700A">
              <w:rPr>
                <w:rFonts w:ascii="Arial" w:hAnsi="Arial" w:cs="Arial"/>
                <w:sz w:val="22"/>
                <w:szCs w:val="22"/>
              </w:rPr>
              <w:t>P</w:t>
            </w:r>
            <w:r w:rsidRPr="0062220B">
              <w:rPr>
                <w:rFonts w:ascii="Arial" w:hAnsi="Arial" w:cs="Arial"/>
                <w:sz w:val="22"/>
                <w:szCs w:val="22"/>
              </w:rPr>
              <w:t xml:space="preserve"> Letter to HMA Industry seeking input</w:t>
            </w:r>
          </w:p>
        </w:tc>
      </w:tr>
      <w:tr w:rsidR="0062220B" w:rsidRPr="00D20268" w14:paraId="5B23EEFA"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741902DA" w14:textId="77777777" w:rsidR="0062220B" w:rsidRPr="00122021" w:rsidRDefault="0062220B" w:rsidP="0062220B">
            <w:pPr>
              <w:rPr>
                <w:rFonts w:ascii="Arial" w:hAnsi="Arial" w:cs="Arial"/>
                <w:b/>
                <w:sz w:val="22"/>
                <w:szCs w:val="22"/>
              </w:rPr>
            </w:pPr>
            <w:hyperlink r:id="rId423" w:history="1">
              <w:r w:rsidRPr="00122021">
                <w:rPr>
                  <w:rStyle w:val="Hyperlink"/>
                  <w:rFonts w:ascii="Arial" w:hAnsi="Arial" w:cs="Arial"/>
                  <w:b/>
                  <w:sz w:val="22"/>
                  <w:szCs w:val="22"/>
                </w:rPr>
                <w:t>RPT-12p</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7E8F5103" w14:textId="77777777" w:rsidR="0062220B" w:rsidRPr="000655E1" w:rsidRDefault="0062220B" w:rsidP="006E700A">
            <w:pPr>
              <w:rPr>
                <w:rFonts w:ascii="Arial" w:hAnsi="Arial" w:cs="Arial"/>
                <w:sz w:val="22"/>
                <w:szCs w:val="22"/>
              </w:rPr>
            </w:pPr>
            <w:r w:rsidRPr="0062220B">
              <w:rPr>
                <w:rFonts w:ascii="Arial" w:hAnsi="Arial" w:cs="Arial"/>
                <w:sz w:val="22"/>
                <w:szCs w:val="22"/>
              </w:rPr>
              <w:t>LCCA-PTS</w:t>
            </w:r>
            <w:r w:rsidR="006E700A">
              <w:rPr>
                <w:rFonts w:ascii="Arial" w:hAnsi="Arial" w:cs="Arial"/>
                <w:sz w:val="22"/>
                <w:szCs w:val="22"/>
              </w:rPr>
              <w:t>P</w:t>
            </w:r>
            <w:r w:rsidRPr="0062220B">
              <w:rPr>
                <w:rFonts w:ascii="Arial" w:hAnsi="Arial" w:cs="Arial"/>
                <w:sz w:val="22"/>
                <w:szCs w:val="22"/>
              </w:rPr>
              <w:t xml:space="preserve"> Letter to </w:t>
            </w:r>
            <w:r>
              <w:rPr>
                <w:rFonts w:ascii="Arial" w:hAnsi="Arial" w:cs="Arial"/>
                <w:sz w:val="22"/>
                <w:szCs w:val="22"/>
              </w:rPr>
              <w:t>PCC</w:t>
            </w:r>
            <w:r w:rsidRPr="0062220B">
              <w:rPr>
                <w:rFonts w:ascii="Arial" w:hAnsi="Arial" w:cs="Arial"/>
                <w:sz w:val="22"/>
                <w:szCs w:val="22"/>
              </w:rPr>
              <w:t xml:space="preserve"> Industry seeking input</w:t>
            </w:r>
          </w:p>
        </w:tc>
      </w:tr>
      <w:tr w:rsidR="0062220B" w:rsidRPr="00D20268" w14:paraId="7BA006B2"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0C93D5A6" w14:textId="77777777" w:rsidR="0062220B" w:rsidRPr="00122021" w:rsidRDefault="0062220B" w:rsidP="0062220B">
            <w:pPr>
              <w:rPr>
                <w:rFonts w:ascii="Arial" w:hAnsi="Arial" w:cs="Arial"/>
                <w:b/>
                <w:sz w:val="22"/>
                <w:szCs w:val="22"/>
              </w:rPr>
            </w:pPr>
            <w:hyperlink r:id="rId424" w:history="1">
              <w:r w:rsidRPr="00122021">
                <w:rPr>
                  <w:rStyle w:val="Hyperlink"/>
                  <w:rFonts w:ascii="Arial" w:hAnsi="Arial" w:cs="Arial"/>
                  <w:b/>
                  <w:sz w:val="22"/>
                  <w:szCs w:val="22"/>
                </w:rPr>
                <w:t>RPT-13</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1E77F934" w14:textId="77777777" w:rsidR="0062220B" w:rsidRPr="000655E1" w:rsidRDefault="0062220B" w:rsidP="006E700A">
            <w:pPr>
              <w:rPr>
                <w:rFonts w:ascii="Arial" w:hAnsi="Arial" w:cs="Arial"/>
                <w:sz w:val="22"/>
                <w:szCs w:val="22"/>
              </w:rPr>
            </w:pPr>
            <w:r w:rsidRPr="0062220B">
              <w:rPr>
                <w:rFonts w:ascii="Arial" w:hAnsi="Arial" w:cs="Arial"/>
                <w:sz w:val="22"/>
                <w:szCs w:val="22"/>
              </w:rPr>
              <w:t>LCCA-PTS</w:t>
            </w:r>
            <w:r w:rsidR="006E700A">
              <w:rPr>
                <w:rFonts w:ascii="Arial" w:hAnsi="Arial" w:cs="Arial"/>
                <w:sz w:val="22"/>
                <w:szCs w:val="22"/>
              </w:rPr>
              <w:t>P</w:t>
            </w:r>
            <w:r w:rsidRPr="0062220B">
              <w:rPr>
                <w:rFonts w:ascii="Arial" w:hAnsi="Arial" w:cs="Arial"/>
                <w:sz w:val="22"/>
                <w:szCs w:val="22"/>
              </w:rPr>
              <w:t xml:space="preserve"> Outcome Memo to SHA PTST</w:t>
            </w:r>
          </w:p>
        </w:tc>
      </w:tr>
      <w:tr w:rsidR="0062220B" w:rsidRPr="00D20268" w14:paraId="07D140C1"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452DCD74" w14:textId="77777777" w:rsidR="0062220B" w:rsidRPr="00122021" w:rsidRDefault="0062220B" w:rsidP="0062220B">
            <w:pPr>
              <w:rPr>
                <w:rFonts w:ascii="Arial" w:hAnsi="Arial" w:cs="Arial"/>
                <w:b/>
                <w:sz w:val="22"/>
                <w:szCs w:val="22"/>
              </w:rPr>
            </w:pPr>
            <w:hyperlink r:id="rId425" w:history="1">
              <w:r w:rsidRPr="00122021">
                <w:rPr>
                  <w:rStyle w:val="Hyperlink"/>
                  <w:rFonts w:ascii="Arial" w:hAnsi="Arial" w:cs="Arial"/>
                  <w:b/>
                  <w:sz w:val="22"/>
                  <w:szCs w:val="22"/>
                </w:rPr>
                <w:t>RPT-13a</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092FBF79" w14:textId="77777777" w:rsidR="0062220B" w:rsidRPr="000655E1" w:rsidRDefault="0062220B" w:rsidP="006E700A">
            <w:pPr>
              <w:rPr>
                <w:rFonts w:ascii="Arial" w:hAnsi="Arial" w:cs="Arial"/>
                <w:sz w:val="22"/>
                <w:szCs w:val="22"/>
              </w:rPr>
            </w:pPr>
            <w:r w:rsidRPr="0062220B">
              <w:rPr>
                <w:rFonts w:ascii="Arial" w:hAnsi="Arial" w:cs="Arial"/>
                <w:sz w:val="22"/>
                <w:szCs w:val="22"/>
              </w:rPr>
              <w:t>LCCA-PTS</w:t>
            </w:r>
            <w:r w:rsidR="006E700A">
              <w:rPr>
                <w:rFonts w:ascii="Arial" w:hAnsi="Arial" w:cs="Arial"/>
                <w:sz w:val="22"/>
                <w:szCs w:val="22"/>
              </w:rPr>
              <w:t>P</w:t>
            </w:r>
            <w:r w:rsidRPr="0062220B">
              <w:rPr>
                <w:rFonts w:ascii="Arial" w:hAnsi="Arial" w:cs="Arial"/>
                <w:sz w:val="22"/>
                <w:szCs w:val="22"/>
              </w:rPr>
              <w:t xml:space="preserve"> Outcome Letter to HMA Industry</w:t>
            </w:r>
          </w:p>
        </w:tc>
      </w:tr>
      <w:tr w:rsidR="0062220B" w:rsidRPr="00D20268" w14:paraId="16EDD448"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01ADDDA5" w14:textId="77777777" w:rsidR="0062220B" w:rsidRPr="00122021" w:rsidRDefault="0062220B" w:rsidP="0062220B">
            <w:pPr>
              <w:rPr>
                <w:rFonts w:ascii="Arial" w:hAnsi="Arial" w:cs="Arial"/>
                <w:b/>
                <w:sz w:val="22"/>
                <w:szCs w:val="22"/>
              </w:rPr>
            </w:pPr>
            <w:hyperlink r:id="rId426" w:history="1">
              <w:r w:rsidRPr="00122021">
                <w:rPr>
                  <w:rStyle w:val="Hyperlink"/>
                  <w:rFonts w:ascii="Arial" w:hAnsi="Arial" w:cs="Arial"/>
                  <w:b/>
                  <w:sz w:val="22"/>
                  <w:szCs w:val="22"/>
                </w:rPr>
                <w:t>RPT-13p</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061CB8E5" w14:textId="77777777" w:rsidR="0062220B" w:rsidRPr="000655E1" w:rsidRDefault="0062220B" w:rsidP="006E700A">
            <w:pPr>
              <w:rPr>
                <w:rFonts w:ascii="Arial" w:hAnsi="Arial" w:cs="Arial"/>
                <w:sz w:val="22"/>
                <w:szCs w:val="22"/>
              </w:rPr>
            </w:pPr>
            <w:r w:rsidRPr="0062220B">
              <w:rPr>
                <w:rFonts w:ascii="Arial" w:hAnsi="Arial" w:cs="Arial"/>
                <w:sz w:val="22"/>
                <w:szCs w:val="22"/>
              </w:rPr>
              <w:t>LCCA-PTS</w:t>
            </w:r>
            <w:r w:rsidR="006E700A">
              <w:rPr>
                <w:rFonts w:ascii="Arial" w:hAnsi="Arial" w:cs="Arial"/>
                <w:sz w:val="22"/>
                <w:szCs w:val="22"/>
              </w:rPr>
              <w:t>P</w:t>
            </w:r>
            <w:r w:rsidRPr="0062220B">
              <w:rPr>
                <w:rFonts w:ascii="Arial" w:hAnsi="Arial" w:cs="Arial"/>
                <w:sz w:val="22"/>
                <w:szCs w:val="22"/>
              </w:rPr>
              <w:t xml:space="preserve"> Outcome Letter to PCC Industry</w:t>
            </w:r>
          </w:p>
        </w:tc>
      </w:tr>
      <w:tr w:rsidR="00B42E2B" w:rsidRPr="00D20268" w14:paraId="416E9773"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3CF58346" w14:textId="77777777" w:rsidR="00B42E2B" w:rsidRPr="00B42E2B" w:rsidRDefault="00B42E2B" w:rsidP="000C62D0">
            <w:pPr>
              <w:rPr>
                <w:b/>
              </w:rPr>
            </w:pPr>
            <w:hyperlink r:id="rId427" w:history="1">
              <w:r w:rsidRPr="00B42E2B">
                <w:rPr>
                  <w:rStyle w:val="Hyperlink"/>
                  <w:rFonts w:ascii="Arial" w:hAnsi="Arial" w:cs="Arial"/>
                  <w:b/>
                  <w:sz w:val="22"/>
                  <w:szCs w:val="22"/>
                </w:rPr>
                <w:t>RPT-14</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31B9D6B4" w14:textId="77777777" w:rsidR="00B42E2B" w:rsidRPr="000655E1" w:rsidRDefault="00B42E2B" w:rsidP="000C62D0">
            <w:pPr>
              <w:rPr>
                <w:rFonts w:ascii="Arial" w:hAnsi="Arial" w:cs="Arial"/>
                <w:sz w:val="22"/>
                <w:szCs w:val="22"/>
              </w:rPr>
            </w:pPr>
            <w:r w:rsidRPr="00B42E2B">
              <w:rPr>
                <w:rFonts w:ascii="Arial" w:hAnsi="Arial" w:cs="Arial"/>
                <w:sz w:val="22"/>
                <w:szCs w:val="22"/>
              </w:rPr>
              <w:t>Fund 77 Preventive Maintenance Memo Template</w:t>
            </w:r>
          </w:p>
        </w:tc>
      </w:tr>
      <w:tr w:rsidR="00142367" w:rsidRPr="00D20268" w14:paraId="082B2A96"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4AB4EB5F" w14:textId="77777777" w:rsidR="00142367" w:rsidRPr="00142367" w:rsidRDefault="00142367" w:rsidP="000C62D0">
            <w:hyperlink r:id="rId428" w:history="1">
              <w:r w:rsidRPr="00142367">
                <w:rPr>
                  <w:rStyle w:val="Hyperlink"/>
                  <w:rFonts w:ascii="Arial" w:hAnsi="Arial" w:cs="Arial"/>
                  <w:b/>
                  <w:sz w:val="22"/>
                  <w:szCs w:val="22"/>
                </w:rPr>
                <w:t>RPT-15a</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19B67820" w14:textId="77777777" w:rsidR="00142367" w:rsidRPr="000655E1" w:rsidRDefault="00142367" w:rsidP="000C62D0">
            <w:pPr>
              <w:rPr>
                <w:rFonts w:ascii="Arial" w:hAnsi="Arial" w:cs="Arial"/>
                <w:sz w:val="22"/>
                <w:szCs w:val="22"/>
              </w:rPr>
            </w:pPr>
            <w:r w:rsidRPr="00142367">
              <w:rPr>
                <w:rFonts w:ascii="Arial" w:hAnsi="Arial" w:cs="Arial"/>
                <w:sz w:val="22"/>
                <w:szCs w:val="22"/>
              </w:rPr>
              <w:t>Preliminary Recs Areawide Mother Contract Memo</w:t>
            </w:r>
          </w:p>
        </w:tc>
      </w:tr>
      <w:tr w:rsidR="00142367" w:rsidRPr="00D20268" w14:paraId="450073E7" w14:textId="77777777" w:rsidTr="001E4FA6">
        <w:trPr>
          <w:cantSplit/>
          <w:trHeight w:val="331"/>
          <w:jc w:val="center"/>
        </w:trPr>
        <w:tc>
          <w:tcPr>
            <w:tcW w:w="1188" w:type="dxa"/>
            <w:tcBorders>
              <w:top w:val="single" w:sz="4" w:space="0" w:color="auto"/>
              <w:left w:val="single" w:sz="4" w:space="0" w:color="auto"/>
              <w:bottom w:val="single" w:sz="4" w:space="0" w:color="auto"/>
              <w:right w:val="single" w:sz="4" w:space="0" w:color="auto"/>
            </w:tcBorders>
            <w:vAlign w:val="center"/>
          </w:tcPr>
          <w:p w14:paraId="7B0D707D" w14:textId="77777777" w:rsidR="00142367" w:rsidRPr="00142367" w:rsidRDefault="00142367" w:rsidP="000C62D0">
            <w:hyperlink r:id="rId429" w:history="1">
              <w:r w:rsidRPr="00142367">
                <w:rPr>
                  <w:rStyle w:val="Hyperlink"/>
                  <w:rFonts w:ascii="Arial" w:hAnsi="Arial" w:cs="Arial"/>
                  <w:b/>
                  <w:sz w:val="22"/>
                  <w:szCs w:val="22"/>
                </w:rPr>
                <w:t>RPT-15b</w:t>
              </w:r>
            </w:hyperlink>
          </w:p>
        </w:tc>
        <w:tc>
          <w:tcPr>
            <w:tcW w:w="7560" w:type="dxa"/>
            <w:tcBorders>
              <w:top w:val="single" w:sz="4" w:space="0" w:color="auto"/>
              <w:left w:val="single" w:sz="4" w:space="0" w:color="auto"/>
              <w:bottom w:val="single" w:sz="4" w:space="0" w:color="auto"/>
              <w:right w:val="single" w:sz="4" w:space="0" w:color="auto"/>
            </w:tcBorders>
            <w:vAlign w:val="center"/>
          </w:tcPr>
          <w:p w14:paraId="4DA16DDC" w14:textId="77777777" w:rsidR="00142367" w:rsidRPr="000655E1" w:rsidRDefault="00142367" w:rsidP="000C62D0">
            <w:pPr>
              <w:rPr>
                <w:rFonts w:ascii="Arial" w:hAnsi="Arial" w:cs="Arial"/>
                <w:sz w:val="22"/>
                <w:szCs w:val="22"/>
              </w:rPr>
            </w:pPr>
            <w:r w:rsidRPr="00142367">
              <w:rPr>
                <w:rFonts w:ascii="Arial" w:hAnsi="Arial" w:cs="Arial"/>
                <w:sz w:val="22"/>
                <w:szCs w:val="22"/>
              </w:rPr>
              <w:t>XX projects Preliminary Recommendations for Mother Contract</w:t>
            </w:r>
          </w:p>
        </w:tc>
      </w:tr>
    </w:tbl>
    <w:p w14:paraId="37AEE226" w14:textId="77777777" w:rsidR="00A01F63" w:rsidRPr="00A01F63" w:rsidRDefault="00A01F63" w:rsidP="001E4FA6">
      <w:pPr>
        <w:ind w:left="720" w:hanging="720"/>
        <w:rPr>
          <w:rFonts w:ascii="Arial" w:hAnsi="Arial" w:cs="Arial"/>
          <w:bCs/>
          <w:iCs/>
          <w:sz w:val="22"/>
          <w:szCs w:val="22"/>
        </w:rPr>
      </w:pPr>
    </w:p>
    <w:p w14:paraId="4B268FEA" w14:textId="77777777" w:rsidR="00A01F63" w:rsidRPr="00A01F63" w:rsidRDefault="00A01F63" w:rsidP="001E4FA6">
      <w:pPr>
        <w:ind w:left="720" w:hanging="720"/>
        <w:rPr>
          <w:rFonts w:ascii="Arial" w:hAnsi="Arial" w:cs="Arial"/>
          <w:bCs/>
          <w:iCs/>
          <w:sz w:val="22"/>
          <w:szCs w:val="22"/>
        </w:rPr>
      </w:pPr>
    </w:p>
    <w:p w14:paraId="216BE21F" w14:textId="77777777" w:rsidR="00693A87" w:rsidRPr="00115674" w:rsidRDefault="00693A87" w:rsidP="001E4FA6">
      <w:pPr>
        <w:pStyle w:val="BodyText"/>
      </w:pPr>
    </w:p>
    <w:p w14:paraId="42CE7822" w14:textId="77777777" w:rsidR="00693A87" w:rsidRDefault="00693A87" w:rsidP="00172E64">
      <w:pPr>
        <w:pStyle w:val="Heading2"/>
        <w:numPr>
          <w:ilvl w:val="1"/>
          <w:numId w:val="185"/>
        </w:numPr>
        <w:ind w:left="0" w:firstLine="0"/>
        <w:sectPr w:rsidR="00693A87" w:rsidSect="008B1BAA">
          <w:headerReference w:type="default" r:id="rId430"/>
          <w:footerReference w:type="default" r:id="rId431"/>
          <w:pgSz w:w="12240" w:h="15840"/>
          <w:pgMar w:top="1440" w:right="1800" w:bottom="1440" w:left="1800" w:header="720" w:footer="720" w:gutter="0"/>
          <w:pgNumType w:chapStyle="1"/>
          <w:cols w:space="720"/>
          <w:docGrid w:linePitch="272"/>
        </w:sectPr>
      </w:pPr>
    </w:p>
    <w:p w14:paraId="05E38506" w14:textId="2212ED8B" w:rsidR="00693A87" w:rsidRPr="00160E58" w:rsidRDefault="00693A87" w:rsidP="00172E64">
      <w:pPr>
        <w:pStyle w:val="Heading2"/>
        <w:numPr>
          <w:ilvl w:val="1"/>
          <w:numId w:val="185"/>
        </w:numPr>
        <w:spacing w:before="120"/>
        <w:ind w:left="0" w:firstLine="0"/>
      </w:pPr>
      <w:bookmarkStart w:id="704" w:name="_Electronic_File_Storage"/>
      <w:bookmarkStart w:id="705" w:name="_Electronic_File_Set-up"/>
      <w:bookmarkStart w:id="706" w:name="_Toc514058028"/>
      <w:bookmarkStart w:id="707" w:name="_Toc479160142"/>
      <w:bookmarkStart w:id="708" w:name="_Toc194932423"/>
      <w:bookmarkEnd w:id="704"/>
      <w:bookmarkEnd w:id="705"/>
      <w:r>
        <w:lastRenderedPageBreak/>
        <w:t xml:space="preserve">Electronic File </w:t>
      </w:r>
      <w:r w:rsidR="003A7E04">
        <w:t>Set-up</w:t>
      </w:r>
      <w:bookmarkEnd w:id="706"/>
      <w:bookmarkEnd w:id="707"/>
      <w:bookmarkEnd w:id="708"/>
      <w:r w:rsidR="00A01F63">
        <w:t xml:space="preserve"> </w:t>
      </w:r>
    </w:p>
    <w:p w14:paraId="0472F466" w14:textId="77777777" w:rsidR="00982DB5" w:rsidRDefault="00982DB5" w:rsidP="00BE3F24">
      <w:pPr>
        <w:jc w:val="both"/>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iles" w:history="1">
        <w:r w:rsidRPr="00982DB5">
          <w:rPr>
            <w:rStyle w:val="Hyperlink"/>
            <w:rFonts w:ascii="Arial" w:hAnsi="Arial" w:cs="Arial"/>
            <w:bCs/>
            <w:sz w:val="16"/>
            <w:szCs w:val="16"/>
          </w:rPr>
          <w:t>Files</w:t>
        </w:r>
      </w:hyperlink>
    </w:p>
    <w:p w14:paraId="4916AFE4" w14:textId="77777777" w:rsidR="002D6703" w:rsidRPr="008F604D" w:rsidRDefault="002D6703" w:rsidP="002D6703">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New_Pavement_Design_3" w:history="1">
        <w:r w:rsidRPr="002D6703">
          <w:rPr>
            <w:rStyle w:val="Hyperlink"/>
            <w:rFonts w:ascii="Arial" w:hAnsi="Arial" w:cs="Arial"/>
            <w:bCs/>
            <w:sz w:val="16"/>
            <w:szCs w:val="16"/>
          </w:rPr>
          <w:t>New Pavement Design</w:t>
        </w:r>
      </w:hyperlink>
    </w:p>
    <w:p w14:paraId="06669892" w14:textId="77777777" w:rsidR="00982DB5" w:rsidRDefault="00982DB5" w:rsidP="00BE3F24">
      <w:pPr>
        <w:jc w:val="both"/>
        <w:rPr>
          <w:rFonts w:ascii="Arial" w:hAnsi="Arial" w:cs="Arial"/>
          <w:bCs/>
          <w:sz w:val="22"/>
          <w:szCs w:val="22"/>
        </w:rPr>
      </w:pPr>
    </w:p>
    <w:p w14:paraId="28F7CB3E" w14:textId="77777777" w:rsidR="00A01F63" w:rsidRPr="00A01F63" w:rsidRDefault="00A01F63" w:rsidP="00BE3F24">
      <w:pPr>
        <w:jc w:val="both"/>
        <w:rPr>
          <w:rFonts w:ascii="Arial" w:hAnsi="Arial" w:cs="Arial"/>
          <w:bCs/>
          <w:sz w:val="22"/>
          <w:szCs w:val="22"/>
        </w:rPr>
      </w:pPr>
      <w:r w:rsidRPr="00A01F63">
        <w:rPr>
          <w:rFonts w:ascii="Arial" w:hAnsi="Arial" w:cs="Arial"/>
          <w:bCs/>
          <w:sz w:val="22"/>
          <w:szCs w:val="22"/>
        </w:rPr>
        <w:t xml:space="preserve">When a project is assigned to the PAGD Engineer by Design TL, the PAGD Engineer should create electronic folders for the project in the N:\Drive. </w:t>
      </w:r>
    </w:p>
    <w:p w14:paraId="453CD7D3" w14:textId="77777777" w:rsidR="00A01F63" w:rsidRPr="00A01F63" w:rsidRDefault="00A01F63" w:rsidP="00BE3F24">
      <w:pPr>
        <w:jc w:val="both"/>
        <w:rPr>
          <w:rFonts w:ascii="Arial" w:hAnsi="Arial" w:cs="Arial"/>
          <w:bCs/>
          <w:sz w:val="22"/>
          <w:szCs w:val="22"/>
        </w:rPr>
      </w:pPr>
    </w:p>
    <w:p w14:paraId="4A308C5F" w14:textId="79A80701" w:rsidR="00A01F63" w:rsidRPr="00A01F63" w:rsidRDefault="00A01F63" w:rsidP="00BE3F24">
      <w:pPr>
        <w:jc w:val="both"/>
        <w:rPr>
          <w:rFonts w:ascii="Arial" w:hAnsi="Arial" w:cs="Arial"/>
          <w:bCs/>
          <w:sz w:val="22"/>
          <w:szCs w:val="22"/>
        </w:rPr>
      </w:pPr>
      <w:r w:rsidRPr="00A01F63">
        <w:rPr>
          <w:rFonts w:ascii="Arial" w:hAnsi="Arial" w:cs="Arial"/>
          <w:bCs/>
          <w:sz w:val="22"/>
          <w:szCs w:val="22"/>
        </w:rPr>
        <w:t>Create the project folder according to this link, N:\OMT\Design Projects\District #\County Name\New Folder (Route #</w:t>
      </w:r>
      <w:r w:rsidR="003D6C00" w:rsidRPr="001E4FA6">
        <w:rPr>
          <w:rFonts w:ascii="Arial" w:hAnsi="Arial"/>
        </w:rPr>
        <w:t xml:space="preserve"> </w:t>
      </w:r>
      <w:r w:rsidR="00A10658" w:rsidRPr="00A10658">
        <w:rPr>
          <w:rFonts w:ascii="Arial" w:hAnsi="Arial" w:cs="Arial"/>
          <w:bCs/>
          <w:sz w:val="22"/>
          <w:szCs w:val="22"/>
        </w:rPr>
        <w:t>-</w:t>
      </w:r>
      <w:r w:rsidR="003D6C00">
        <w:rPr>
          <w:rFonts w:ascii="Arial" w:hAnsi="Arial" w:cs="Arial"/>
        </w:rPr>
        <w:t>–</w:t>
      </w:r>
      <w:r w:rsidR="003D6C00" w:rsidRPr="001E4FA6">
        <w:rPr>
          <w:rFonts w:ascii="Arial" w:hAnsi="Arial"/>
        </w:rPr>
        <w:t xml:space="preserve"> </w:t>
      </w:r>
      <w:r w:rsidRPr="00A01F63">
        <w:rPr>
          <w:rFonts w:ascii="Arial" w:hAnsi="Arial" w:cs="Arial"/>
          <w:bCs/>
          <w:sz w:val="22"/>
          <w:szCs w:val="22"/>
        </w:rPr>
        <w:t>Mile Points – FMIS #</w:t>
      </w:r>
      <w:r w:rsidR="003D6C00" w:rsidRPr="001E4FA6">
        <w:rPr>
          <w:rFonts w:ascii="Arial" w:hAnsi="Arial"/>
        </w:rPr>
        <w:t xml:space="preserve"> </w:t>
      </w:r>
      <w:r w:rsidR="00A10658" w:rsidRPr="00A10658">
        <w:rPr>
          <w:rFonts w:ascii="Arial" w:hAnsi="Arial" w:cs="Arial"/>
          <w:bCs/>
          <w:sz w:val="22"/>
          <w:szCs w:val="22"/>
        </w:rPr>
        <w:t>-</w:t>
      </w:r>
      <w:r w:rsidR="003D6C00">
        <w:rPr>
          <w:rFonts w:ascii="Arial" w:hAnsi="Arial" w:cs="Arial"/>
        </w:rPr>
        <w:t>–</w:t>
      </w:r>
      <w:r w:rsidR="003D6C00" w:rsidRPr="001E4FA6">
        <w:rPr>
          <w:rFonts w:ascii="Arial" w:hAnsi="Arial"/>
        </w:rPr>
        <w:t xml:space="preserve"> </w:t>
      </w:r>
      <w:r w:rsidRPr="00A01F63">
        <w:rPr>
          <w:rFonts w:ascii="Arial" w:hAnsi="Arial" w:cs="Arial"/>
          <w:bCs/>
          <w:sz w:val="22"/>
          <w:szCs w:val="22"/>
        </w:rPr>
        <w:t xml:space="preserve">Project Description). Subfolders </w:t>
      </w:r>
      <w:r w:rsidRPr="003C2771">
        <w:rPr>
          <w:rFonts w:ascii="Arial" w:hAnsi="Arial" w:cs="Arial"/>
          <w:bCs/>
          <w:sz w:val="22"/>
          <w:szCs w:val="22"/>
        </w:rPr>
        <w:t xml:space="preserve">within the new project folder should be created as shown below in the picture below. </w:t>
      </w:r>
      <w:r w:rsidR="00A10658" w:rsidRPr="003C2771">
        <w:rPr>
          <w:rFonts w:ascii="Arial" w:hAnsi="Arial" w:cs="Arial"/>
          <w:bCs/>
          <w:sz w:val="22"/>
          <w:szCs w:val="22"/>
        </w:rPr>
        <w:t>Contents of electronic files should be organized as noted in Section 9.08.01 2).</w:t>
      </w:r>
      <w:r w:rsidR="00A10658" w:rsidRPr="00A10658">
        <w:rPr>
          <w:rFonts w:ascii="Arial" w:hAnsi="Arial" w:cs="Arial"/>
          <w:bCs/>
          <w:sz w:val="22"/>
          <w:szCs w:val="22"/>
        </w:rPr>
        <w:t xml:space="preserve">  </w:t>
      </w:r>
      <w:r w:rsidRPr="00A01F63">
        <w:rPr>
          <w:rFonts w:ascii="Arial" w:hAnsi="Arial" w:cs="Arial"/>
          <w:bCs/>
          <w:sz w:val="22"/>
          <w:szCs w:val="22"/>
        </w:rPr>
        <w:t xml:space="preserve">Folders within subfolders can be created. For example, within Analysis folder, Geotechnical and Pavement subfolders can be created. All electronic files related to a project should be put in respective folders. When the project is complete, all the design information, testing data, and reports are archived and stored at a central location. </w:t>
      </w:r>
    </w:p>
    <w:p w14:paraId="438606BB" w14:textId="77777777" w:rsidR="00A01F63" w:rsidRPr="00A01F63" w:rsidRDefault="00A01F63" w:rsidP="00BE3F24">
      <w:pPr>
        <w:jc w:val="both"/>
        <w:rPr>
          <w:rFonts w:ascii="Arial" w:hAnsi="Arial" w:cs="Arial"/>
          <w:bCs/>
          <w:sz w:val="22"/>
          <w:szCs w:val="22"/>
        </w:rPr>
      </w:pPr>
    </w:p>
    <w:p w14:paraId="3E21A0A2" w14:textId="77777777" w:rsidR="00A01F63" w:rsidRPr="00A01F63" w:rsidRDefault="00A10658" w:rsidP="00BE3F24">
      <w:pPr>
        <w:rPr>
          <w:rFonts w:ascii="Arial" w:hAnsi="Arial" w:cs="Arial"/>
          <w:b/>
          <w:bCs/>
          <w:i/>
          <w:iCs/>
          <w:sz w:val="22"/>
          <w:szCs w:val="22"/>
        </w:rPr>
      </w:pPr>
      <w:r w:rsidRPr="00A10658">
        <w:rPr>
          <w:noProof/>
        </w:rPr>
        <w:drawing>
          <wp:inline distT="0" distB="0" distL="0" distR="0" wp14:anchorId="3EDE7AA1" wp14:editId="1D7A157A">
            <wp:extent cx="5486400" cy="2968574"/>
            <wp:effectExtent l="0" t="0" r="0" b="3810"/>
            <wp:docPr id="535" name="Picture 535" descr="Geotechnical and pavement folders and subfolders location 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descr="Geotechnical and pavement folders and subfolders location screenshot"/>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5486400" cy="2968574"/>
                    </a:xfrm>
                    <a:prstGeom prst="rect">
                      <a:avLst/>
                    </a:prstGeom>
                    <a:noFill/>
                    <a:ln>
                      <a:noFill/>
                    </a:ln>
                  </pic:spPr>
                </pic:pic>
              </a:graphicData>
            </a:graphic>
          </wp:inline>
        </w:drawing>
      </w:r>
    </w:p>
    <w:p w14:paraId="2B1C36A7" w14:textId="77777777" w:rsidR="00A01F63" w:rsidRPr="00A01F63" w:rsidRDefault="00A01F63" w:rsidP="00BE3F24">
      <w:pPr>
        <w:tabs>
          <w:tab w:val="left" w:pos="540"/>
        </w:tabs>
        <w:rPr>
          <w:rFonts w:ascii="Arial" w:hAnsi="Arial" w:cs="Arial"/>
          <w:sz w:val="22"/>
          <w:szCs w:val="22"/>
        </w:rPr>
      </w:pPr>
    </w:p>
    <w:p w14:paraId="7469694D" w14:textId="77777777" w:rsidR="00693A87" w:rsidRDefault="00693A87" w:rsidP="00BE3F24">
      <w:pPr>
        <w:pStyle w:val="BodyText"/>
      </w:pPr>
      <w:r>
        <w:t>.</w:t>
      </w:r>
    </w:p>
    <w:p w14:paraId="7BE2C9CC" w14:textId="77777777" w:rsidR="00A01F63" w:rsidRPr="00A01F63" w:rsidRDefault="00A01F63" w:rsidP="00BE3F24">
      <w:pPr>
        <w:tabs>
          <w:tab w:val="left" w:pos="540"/>
        </w:tabs>
        <w:rPr>
          <w:rFonts w:ascii="Arial" w:hAnsi="Arial" w:cs="Arial"/>
          <w:sz w:val="22"/>
          <w:szCs w:val="22"/>
        </w:rPr>
      </w:pPr>
      <w:bookmarkStart w:id="709" w:name="_Toc514058029"/>
    </w:p>
    <w:p w14:paraId="46647E83" w14:textId="77777777" w:rsidR="00693A87" w:rsidRDefault="00693A87" w:rsidP="00BE3F24">
      <w:pPr>
        <w:pStyle w:val="BodyText"/>
      </w:pPr>
      <w:r>
        <w:t>.</w:t>
      </w:r>
    </w:p>
    <w:p w14:paraId="1856348B" w14:textId="77777777" w:rsidR="00693A87" w:rsidRDefault="00693A87" w:rsidP="00172E64">
      <w:pPr>
        <w:pStyle w:val="Heading2"/>
        <w:numPr>
          <w:ilvl w:val="1"/>
          <w:numId w:val="185"/>
        </w:numPr>
        <w:ind w:left="0" w:firstLine="0"/>
        <w:sectPr w:rsidR="00693A87" w:rsidSect="008B1BAA">
          <w:headerReference w:type="default" r:id="rId433"/>
          <w:footerReference w:type="default" r:id="rId434"/>
          <w:pgSz w:w="12240" w:h="15840"/>
          <w:pgMar w:top="1440" w:right="1800" w:bottom="1440" w:left="1800" w:header="720" w:footer="720" w:gutter="0"/>
          <w:pgNumType w:chapStyle="1"/>
          <w:cols w:space="720"/>
          <w:docGrid w:linePitch="272"/>
        </w:sectPr>
      </w:pPr>
    </w:p>
    <w:p w14:paraId="3E2A80E1" w14:textId="64CF890A" w:rsidR="00693A87" w:rsidRPr="003C2771" w:rsidRDefault="001E4FA6" w:rsidP="00172E64">
      <w:pPr>
        <w:pStyle w:val="Heading2"/>
        <w:numPr>
          <w:ilvl w:val="1"/>
          <w:numId w:val="185"/>
        </w:numPr>
        <w:spacing w:before="120"/>
        <w:ind w:left="0" w:firstLine="0"/>
      </w:pPr>
      <w:bookmarkStart w:id="710" w:name="_Paper_Files_and"/>
      <w:bookmarkStart w:id="711" w:name="_ORGANIZATION_OF_PROJECT"/>
      <w:bookmarkStart w:id="712" w:name="_Toc479160143"/>
      <w:bookmarkStart w:id="713" w:name="_Toc194932424"/>
      <w:bookmarkEnd w:id="710"/>
      <w:bookmarkEnd w:id="711"/>
      <w:r w:rsidRPr="003C2771">
        <w:lastRenderedPageBreak/>
        <w:t>O</w:t>
      </w:r>
      <w:r w:rsidR="00994B26">
        <w:t xml:space="preserve">rganization of Project </w:t>
      </w:r>
      <w:r w:rsidR="00A070F7">
        <w:t>F</w:t>
      </w:r>
      <w:r w:rsidR="00994B26">
        <w:t>iles and Plans</w:t>
      </w:r>
      <w:bookmarkEnd w:id="709"/>
      <w:bookmarkEnd w:id="712"/>
      <w:bookmarkEnd w:id="713"/>
    </w:p>
    <w:p w14:paraId="7F9EFD0B" w14:textId="77777777" w:rsidR="00982DB5" w:rsidRDefault="00982DB5" w:rsidP="00982DB5">
      <w:pPr>
        <w:jc w:val="both"/>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iles" w:history="1">
        <w:r w:rsidRPr="00982DB5">
          <w:rPr>
            <w:rStyle w:val="Hyperlink"/>
            <w:rFonts w:ascii="Arial" w:hAnsi="Arial" w:cs="Arial"/>
            <w:bCs/>
            <w:sz w:val="16"/>
            <w:szCs w:val="16"/>
          </w:rPr>
          <w:t>Files</w:t>
        </w:r>
      </w:hyperlink>
    </w:p>
    <w:p w14:paraId="115E8FE0" w14:textId="77777777" w:rsidR="00761AF2" w:rsidRDefault="00761AF2" w:rsidP="00761AF2">
      <w:pPr>
        <w:rPr>
          <w:rFonts w:ascii="Arial" w:hAnsi="Arial" w:cs="Arial"/>
          <w:bCs/>
          <w:sz w:val="22"/>
          <w:szCs w:val="22"/>
        </w:rPr>
      </w:pPr>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Management_Review_&amp;" w:history="1">
        <w:r w:rsidRPr="00761AF2">
          <w:rPr>
            <w:rStyle w:val="Hyperlink"/>
            <w:rFonts w:ascii="Arial" w:hAnsi="Arial" w:cs="Arial"/>
            <w:bCs/>
            <w:sz w:val="16"/>
            <w:szCs w:val="16"/>
          </w:rPr>
          <w:t>Management Review &amp; QA</w:t>
        </w:r>
      </w:hyperlink>
    </w:p>
    <w:p w14:paraId="73C24808" w14:textId="77777777" w:rsidR="00693A87" w:rsidRDefault="00693A87" w:rsidP="00172E64">
      <w:pPr>
        <w:pStyle w:val="Heading3"/>
        <w:numPr>
          <w:ilvl w:val="2"/>
          <w:numId w:val="185"/>
        </w:numPr>
        <w:ind w:left="0" w:firstLine="0"/>
      </w:pPr>
      <w:r>
        <w:t>P</w:t>
      </w:r>
      <w:r w:rsidR="00A01F63">
        <w:t>rocedure</w:t>
      </w:r>
    </w:p>
    <w:p w14:paraId="7F525BEE" w14:textId="77777777" w:rsidR="00A01F63" w:rsidRPr="00A01F63" w:rsidRDefault="00A01F63" w:rsidP="00BE3F24"/>
    <w:p w14:paraId="159DB193" w14:textId="77777777" w:rsidR="001A15B9" w:rsidRDefault="00A01F63" w:rsidP="00172E64">
      <w:pPr>
        <w:numPr>
          <w:ilvl w:val="0"/>
          <w:numId w:val="73"/>
        </w:numPr>
        <w:ind w:left="0" w:firstLine="0"/>
        <w:rPr>
          <w:rFonts w:ascii="Arial" w:hAnsi="Arial" w:cs="Arial"/>
          <w:b/>
          <w:sz w:val="22"/>
          <w:szCs w:val="22"/>
        </w:rPr>
      </w:pPr>
      <w:r w:rsidRPr="00A01F63">
        <w:rPr>
          <w:rFonts w:ascii="Arial" w:hAnsi="Arial" w:cs="Arial"/>
          <w:b/>
          <w:sz w:val="22"/>
          <w:szCs w:val="22"/>
        </w:rPr>
        <w:t xml:space="preserve">Project File Folder Set-Up and Identification </w:t>
      </w:r>
    </w:p>
    <w:p w14:paraId="5DB20E78" w14:textId="77777777" w:rsidR="001A15B9" w:rsidRPr="00132692" w:rsidRDefault="00A01F63" w:rsidP="00172E64">
      <w:pPr>
        <w:numPr>
          <w:ilvl w:val="0"/>
          <w:numId w:val="72"/>
        </w:numPr>
        <w:tabs>
          <w:tab w:val="num" w:pos="1080"/>
        </w:tabs>
        <w:ind w:left="0" w:firstLine="0"/>
        <w:rPr>
          <w:rFonts w:ascii="Arial" w:hAnsi="Arial" w:cs="Arial"/>
          <w:sz w:val="22"/>
          <w:szCs w:val="22"/>
        </w:rPr>
      </w:pPr>
      <w:r w:rsidRPr="00132692">
        <w:rPr>
          <w:rFonts w:ascii="Arial" w:hAnsi="Arial" w:cs="Arial"/>
          <w:sz w:val="22"/>
          <w:szCs w:val="22"/>
        </w:rPr>
        <w:t>Folder Type</w:t>
      </w:r>
      <w:r w:rsidR="00132692">
        <w:rPr>
          <w:rFonts w:ascii="Arial" w:hAnsi="Arial" w:cs="Arial"/>
          <w:sz w:val="22"/>
          <w:szCs w:val="22"/>
        </w:rPr>
        <w:t>: Si</w:t>
      </w:r>
      <w:r w:rsidRPr="00132692">
        <w:rPr>
          <w:rFonts w:ascii="Arial" w:hAnsi="Arial" w:cs="Arial"/>
          <w:sz w:val="22"/>
          <w:szCs w:val="22"/>
        </w:rPr>
        <w:t>x Section file folder</w:t>
      </w:r>
    </w:p>
    <w:p w14:paraId="12E20908" w14:textId="77777777" w:rsidR="001A15B9" w:rsidRDefault="00A01F63" w:rsidP="00172E64">
      <w:pPr>
        <w:numPr>
          <w:ilvl w:val="0"/>
          <w:numId w:val="72"/>
        </w:numPr>
        <w:tabs>
          <w:tab w:val="num" w:pos="1080"/>
        </w:tabs>
        <w:ind w:left="0" w:firstLine="0"/>
        <w:rPr>
          <w:rFonts w:ascii="Arial" w:hAnsi="Arial" w:cs="Arial"/>
          <w:sz w:val="22"/>
          <w:szCs w:val="22"/>
        </w:rPr>
      </w:pPr>
      <w:r w:rsidRPr="00A01F63">
        <w:rPr>
          <w:rFonts w:ascii="Arial" w:hAnsi="Arial" w:cs="Arial"/>
          <w:sz w:val="22"/>
          <w:szCs w:val="22"/>
        </w:rPr>
        <w:t xml:space="preserve">Folder Tab </w:t>
      </w:r>
    </w:p>
    <w:p w14:paraId="04813FEB" w14:textId="66F22FEC" w:rsidR="001A15B9" w:rsidRDefault="00A01F63" w:rsidP="00172E64">
      <w:pPr>
        <w:numPr>
          <w:ilvl w:val="0"/>
          <w:numId w:val="72"/>
        </w:numPr>
        <w:tabs>
          <w:tab w:val="clear" w:pos="720"/>
          <w:tab w:val="num" w:pos="1080"/>
          <w:tab w:val="num" w:pos="1440"/>
        </w:tabs>
        <w:ind w:firstLine="0"/>
        <w:rPr>
          <w:rFonts w:ascii="Arial" w:hAnsi="Arial" w:cs="Arial"/>
          <w:sz w:val="22"/>
          <w:szCs w:val="22"/>
        </w:rPr>
      </w:pPr>
      <w:r w:rsidRPr="00A01F63">
        <w:rPr>
          <w:rFonts w:ascii="Arial" w:hAnsi="Arial" w:cs="Arial"/>
          <w:sz w:val="22"/>
          <w:szCs w:val="22"/>
        </w:rPr>
        <w:t>Project identifiers on folder tab should be County – Route</w:t>
      </w:r>
      <w:r w:rsidR="00B35E1D" w:rsidRPr="001E4FA6">
        <w:rPr>
          <w:rFonts w:ascii="Arial" w:hAnsi="Arial"/>
        </w:rPr>
        <w:t xml:space="preserve"> </w:t>
      </w:r>
      <w:r w:rsidR="00B35E1D">
        <w:rPr>
          <w:rFonts w:ascii="Arial" w:hAnsi="Arial" w:cs="Arial"/>
        </w:rPr>
        <w:t>–</w:t>
      </w:r>
      <w:r w:rsidR="00B35E1D" w:rsidRPr="001E4FA6">
        <w:rPr>
          <w:rFonts w:ascii="Arial" w:hAnsi="Arial"/>
        </w:rPr>
        <w:t xml:space="preserve"> </w:t>
      </w:r>
      <w:r w:rsidRPr="00A01F63">
        <w:rPr>
          <w:rFonts w:ascii="Arial" w:hAnsi="Arial" w:cs="Arial"/>
          <w:sz w:val="22"/>
          <w:szCs w:val="22"/>
        </w:rPr>
        <w:t xml:space="preserve">Milepoints </w:t>
      </w:r>
    </w:p>
    <w:p w14:paraId="6D7DBCD6" w14:textId="77777777" w:rsidR="00A01F63" w:rsidRPr="00A01F63" w:rsidRDefault="00A01F63" w:rsidP="00BE3F24">
      <w:pPr>
        <w:rPr>
          <w:rFonts w:ascii="Arial" w:hAnsi="Arial" w:cs="Arial"/>
          <w:sz w:val="22"/>
          <w:szCs w:val="22"/>
        </w:rPr>
      </w:pPr>
    </w:p>
    <w:p w14:paraId="0BC24CDD" w14:textId="4EEAF785" w:rsidR="00A01F63" w:rsidRPr="00A01F63" w:rsidRDefault="004D64A3" w:rsidP="00BE3F24">
      <w:pPr>
        <w:rPr>
          <w:rFonts w:ascii="Arial" w:hAnsi="Arial" w:cs="Arial"/>
          <w:sz w:val="22"/>
          <w:szCs w:val="22"/>
        </w:rPr>
      </w:pPr>
      <w:r>
        <w:rPr>
          <w:noProof/>
          <w:sz w:val="22"/>
          <w:szCs w:val="22"/>
        </w:rPr>
        <mc:AlternateContent>
          <mc:Choice Requires="wps">
            <w:drawing>
              <wp:anchor distT="0" distB="0" distL="114300" distR="114300" simplePos="0" relativeHeight="251715072" behindDoc="0" locked="0" layoutInCell="0" allowOverlap="1" wp14:anchorId="0182555D" wp14:editId="00119041">
                <wp:simplePos x="0" y="0"/>
                <wp:positionH relativeFrom="column">
                  <wp:posOffset>1212215</wp:posOffset>
                </wp:positionH>
                <wp:positionV relativeFrom="paragraph">
                  <wp:posOffset>66675</wp:posOffset>
                </wp:positionV>
                <wp:extent cx="3524885" cy="371475"/>
                <wp:effectExtent l="12065" t="9525" r="6350" b="9525"/>
                <wp:wrapNone/>
                <wp:docPr id="512" name="Rectangle 38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4885" cy="371475"/>
                        </a:xfrm>
                        <a:prstGeom prst="rect">
                          <a:avLst/>
                        </a:prstGeom>
                        <a:solidFill>
                          <a:srgbClr val="FFFF99"/>
                        </a:solidFill>
                        <a:ln w="9525">
                          <a:solidFill>
                            <a:srgbClr val="000000"/>
                          </a:solidFill>
                          <a:miter lim="800000"/>
                          <a:headEnd/>
                          <a:tailEnd/>
                        </a:ln>
                      </wps:spPr>
                      <wps:txbx>
                        <w:txbxContent>
                          <w:p w14:paraId="0C4ACD9A" w14:textId="77777777" w:rsidR="009C1A5C" w:rsidRPr="00FE38DE" w:rsidRDefault="009C1A5C" w:rsidP="00A01F63">
                            <w:pPr>
                              <w:rPr>
                                <w:rFonts w:ascii="Comic Sans MS" w:hAnsi="Comic Sans MS"/>
                                <w:snapToGrid w:val="0"/>
                                <w:color w:val="000000"/>
                                <w:sz w:val="24"/>
                                <w:szCs w:val="24"/>
                              </w:rPr>
                            </w:pPr>
                            <w:r w:rsidRPr="00FE38DE">
                              <w:rPr>
                                <w:rFonts w:ascii="Arial" w:hAnsi="Arial"/>
                                <w:snapToGrid w:val="0"/>
                                <w:color w:val="000000"/>
                                <w:sz w:val="24"/>
                                <w:szCs w:val="24"/>
                              </w:rPr>
                              <w:t>HO           MD 32            MP (6.45 - 7.65)</w:t>
                            </w:r>
                          </w:p>
                          <w:p w14:paraId="36B467C7" w14:textId="6D1E293E" w:rsidR="009C1A5C" w:rsidRDefault="009C1A5C" w:rsidP="00A01F63">
                            <w:pPr>
                              <w:rPr>
                                <w:snapToGrid w:val="0"/>
                                <w:color w:val="000000"/>
                                <w:sz w:val="32"/>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182555D" id="Rectangle 3854" o:spid="_x0000_s1076" style="position:absolute;margin-left:95.45pt;margin-top:5.25pt;width:277.55pt;height:29.2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" o:allowincell="f" fillcolor="#ff9">
                <v:textbox>
                  <w:txbxContent>
                    <w:p w14:paraId="0C4ACD9A" w14:textId="77777777" w:rsidR="009C1A5C" w:rsidRPr="00FE38DE" w:rsidRDefault="009C1A5C" w:rsidP="00A01F63">
                      <w:pPr>
                        <w:rPr>
                          <w:rFonts w:ascii="Comic Sans MS" w:hAnsi="Comic Sans MS"/>
                          <w:snapToGrid w:val="0"/>
                          <w:color w:val="000000"/>
                          <w:sz w:val="24"/>
                          <w:szCs w:val="24"/>
                        </w:rPr>
                      </w:pPr>
                      <w:r w:rsidRPr="00FE38DE">
                        <w:rPr>
                          <w:rFonts w:ascii="Arial" w:hAnsi="Arial"/>
                          <w:snapToGrid w:val="0"/>
                          <w:color w:val="000000"/>
                          <w:sz w:val="24"/>
                          <w:szCs w:val="24"/>
                        </w:rPr>
                        <w:t>HO           MD 32            MP (6.45 - 7.65)</w:t>
                      </w:r>
                    </w:p>
                    <w:p w14:paraId="36B467C7" w14:textId="6D1E293E" w:rsidR="009C1A5C" w:rsidRDefault="009C1A5C" w:rsidP="00A01F63">
                      <w:pPr>
                        <w:rPr>
                          <w:snapToGrid w:val="0"/>
                          <w:color w:val="000000"/>
                          <w:sz w:val="32"/>
                        </w:rPr>
                      </w:pPr>
                    </w:p>
                  </w:txbxContent>
                </v:textbox>
              </v:rect>
            </w:pict>
          </mc:Fallback>
        </mc:AlternateContent>
      </w:r>
    </w:p>
    <w:p w14:paraId="380B7C26" w14:textId="77777777" w:rsidR="00A01F63" w:rsidRPr="00A01F63" w:rsidRDefault="00A01F63" w:rsidP="00BE3F24">
      <w:pPr>
        <w:rPr>
          <w:rFonts w:ascii="Arial" w:hAnsi="Arial" w:cs="Arial"/>
          <w:sz w:val="22"/>
          <w:szCs w:val="22"/>
        </w:rPr>
      </w:pPr>
    </w:p>
    <w:p w14:paraId="2BA68AAF" w14:textId="77777777" w:rsidR="00A01F63" w:rsidRPr="00A01F63" w:rsidRDefault="00A01F63" w:rsidP="00BE3F24">
      <w:pPr>
        <w:rPr>
          <w:rFonts w:ascii="Arial" w:hAnsi="Arial" w:cs="Arial"/>
          <w:sz w:val="22"/>
          <w:szCs w:val="22"/>
        </w:rPr>
      </w:pPr>
    </w:p>
    <w:p w14:paraId="2F231CFD" w14:textId="77777777" w:rsidR="00A01F63" w:rsidRPr="00A01F63" w:rsidRDefault="00A01F63" w:rsidP="00BE3F24">
      <w:pPr>
        <w:rPr>
          <w:rFonts w:ascii="Arial" w:hAnsi="Arial" w:cs="Arial"/>
          <w:sz w:val="22"/>
          <w:szCs w:val="22"/>
        </w:rPr>
      </w:pPr>
    </w:p>
    <w:p w14:paraId="711BDF56" w14:textId="77777777" w:rsidR="00835BC7" w:rsidRDefault="00A01F63" w:rsidP="00172E64">
      <w:pPr>
        <w:numPr>
          <w:ilvl w:val="0"/>
          <w:numId w:val="72"/>
        </w:numPr>
        <w:tabs>
          <w:tab w:val="num" w:pos="1080"/>
        </w:tabs>
        <w:ind w:left="0" w:firstLine="0"/>
        <w:rPr>
          <w:rFonts w:ascii="Arial" w:hAnsi="Arial" w:cs="Arial"/>
          <w:sz w:val="22"/>
          <w:szCs w:val="22"/>
        </w:rPr>
      </w:pPr>
      <w:r w:rsidRPr="00835BC7">
        <w:rPr>
          <w:rFonts w:ascii="Arial" w:hAnsi="Arial" w:cs="Arial"/>
          <w:sz w:val="22"/>
          <w:szCs w:val="22"/>
        </w:rPr>
        <w:t xml:space="preserve">Folder Front Cover </w:t>
      </w:r>
    </w:p>
    <w:p w14:paraId="5553E6BE" w14:textId="742569BE" w:rsidR="001A15B9" w:rsidRPr="00835BC7" w:rsidRDefault="00A01F63" w:rsidP="00172E64">
      <w:pPr>
        <w:numPr>
          <w:ilvl w:val="0"/>
          <w:numId w:val="72"/>
        </w:numPr>
        <w:tabs>
          <w:tab w:val="clear" w:pos="720"/>
          <w:tab w:val="num" w:pos="1080"/>
          <w:tab w:val="num" w:pos="1440"/>
        </w:tabs>
        <w:ind w:left="1080"/>
        <w:rPr>
          <w:rFonts w:ascii="Arial" w:hAnsi="Arial" w:cs="Arial"/>
          <w:sz w:val="22"/>
          <w:szCs w:val="22"/>
        </w:rPr>
      </w:pPr>
      <w:r w:rsidRPr="00835BC7">
        <w:rPr>
          <w:rFonts w:ascii="Arial" w:hAnsi="Arial" w:cs="Arial"/>
          <w:sz w:val="22"/>
          <w:szCs w:val="22"/>
        </w:rPr>
        <w:t>Project identifiers on front cover should be Project Description – Contract #</w:t>
      </w:r>
      <w:r w:rsidR="00B35E1D" w:rsidRPr="001E4FA6">
        <w:rPr>
          <w:rFonts w:ascii="Arial" w:hAnsi="Arial"/>
        </w:rPr>
        <w:t xml:space="preserve"> </w:t>
      </w:r>
      <w:r w:rsidR="00B35E1D">
        <w:rPr>
          <w:rFonts w:ascii="Arial" w:hAnsi="Arial" w:cs="Arial"/>
        </w:rPr>
        <w:t>–</w:t>
      </w:r>
      <w:r w:rsidR="00B35E1D" w:rsidRPr="001E4FA6">
        <w:rPr>
          <w:rFonts w:ascii="Arial" w:hAnsi="Arial"/>
        </w:rPr>
        <w:t xml:space="preserve"> </w:t>
      </w:r>
      <w:r w:rsidRPr="00835BC7">
        <w:rPr>
          <w:rFonts w:ascii="Arial" w:hAnsi="Arial" w:cs="Arial"/>
          <w:sz w:val="22"/>
          <w:szCs w:val="22"/>
        </w:rPr>
        <w:t>FMIS Charge #</w:t>
      </w:r>
    </w:p>
    <w:p w14:paraId="0EC7F4A6" w14:textId="442445DB" w:rsidR="00A01F63" w:rsidRPr="00A01F63" w:rsidRDefault="004D64A3" w:rsidP="00BE3F24">
      <w:pPr>
        <w:rPr>
          <w:rFonts w:ascii="Arial" w:hAnsi="Arial" w:cs="Arial"/>
          <w:sz w:val="22"/>
          <w:szCs w:val="22"/>
        </w:rPr>
      </w:pPr>
      <w:r>
        <w:rPr>
          <w:noProof/>
          <w:sz w:val="22"/>
          <w:szCs w:val="22"/>
        </w:rPr>
        <mc:AlternateContent>
          <mc:Choice Requires="wps">
            <w:drawing>
              <wp:anchor distT="0" distB="0" distL="114300" distR="114300" simplePos="0" relativeHeight="251716096" behindDoc="0" locked="0" layoutInCell="0" allowOverlap="1" wp14:anchorId="3CD7BB52" wp14:editId="3B3A167C">
                <wp:simplePos x="0" y="0"/>
                <wp:positionH relativeFrom="column">
                  <wp:posOffset>1244600</wp:posOffset>
                </wp:positionH>
                <wp:positionV relativeFrom="paragraph">
                  <wp:posOffset>117475</wp:posOffset>
                </wp:positionV>
                <wp:extent cx="3492500" cy="749300"/>
                <wp:effectExtent l="6350" t="13335" r="6350" b="8890"/>
                <wp:wrapNone/>
                <wp:docPr id="510" name="Rectangle 38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2500" cy="749300"/>
                        </a:xfrm>
                        <a:prstGeom prst="rect">
                          <a:avLst/>
                        </a:prstGeom>
                        <a:solidFill>
                          <a:srgbClr val="FFFF99"/>
                        </a:solidFill>
                        <a:ln w="9525">
                          <a:solidFill>
                            <a:srgbClr val="000000"/>
                          </a:solidFill>
                          <a:miter lim="800000"/>
                          <a:headEnd/>
                          <a:tailEnd/>
                        </a:ln>
                      </wps:spPr>
                      <wps:txbx>
                        <w:txbxContent>
                          <w:p w14:paraId="479CF522"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MD 32 from US 29 to Brokenland Pkwy</w:t>
                            </w:r>
                          </w:p>
                          <w:p w14:paraId="6B74F13D"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Contract # HO8255176</w:t>
                            </w:r>
                          </w:p>
                          <w:p w14:paraId="0057B3D7" w14:textId="77777777" w:rsidR="009C1A5C" w:rsidRDefault="009C1A5C" w:rsidP="00A01F63">
                            <w:pPr>
                              <w:rPr>
                                <w:rFonts w:ascii="Comic Sans MS" w:hAnsi="Comic Sans MS"/>
                                <w:snapToGrid w:val="0"/>
                                <w:color w:val="000000"/>
                                <w:sz w:val="32"/>
                              </w:rPr>
                            </w:pPr>
                            <w:r>
                              <w:rPr>
                                <w:rFonts w:ascii="Arial" w:hAnsi="Arial"/>
                                <w:snapToGrid w:val="0"/>
                                <w:color w:val="000000"/>
                                <w:sz w:val="28"/>
                              </w:rPr>
                              <w:t>Charge # HO825B21</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CD7BB52" id="Rectangle 3855" o:spid="_x0000_s1077" style="position:absolute;margin-left:98pt;margin-top:9.25pt;width:275pt;height:59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" o:allowincell="f" fillcolor="#ff9">
                <v:textbox>
                  <w:txbxContent>
                    <w:p w14:paraId="479CF522"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MD 32 from US 29 to Brokenland Pkwy</w:t>
                      </w:r>
                    </w:p>
                    <w:p w14:paraId="6B74F13D"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Contract # HO8255176</w:t>
                      </w:r>
                    </w:p>
                    <w:p w14:paraId="0057B3D7" w14:textId="77777777" w:rsidR="009C1A5C" w:rsidRDefault="009C1A5C" w:rsidP="00A01F63">
                      <w:pPr>
                        <w:rPr>
                          <w:rFonts w:ascii="Comic Sans MS" w:hAnsi="Comic Sans MS"/>
                          <w:snapToGrid w:val="0"/>
                          <w:color w:val="000000"/>
                          <w:sz w:val="32"/>
                        </w:rPr>
                      </w:pPr>
                      <w:r>
                        <w:rPr>
                          <w:rFonts w:ascii="Arial" w:hAnsi="Arial"/>
                          <w:snapToGrid w:val="0"/>
                          <w:color w:val="000000"/>
                          <w:sz w:val="28"/>
                        </w:rPr>
                        <w:t>Charge # HO825B21</w:t>
                      </w:r>
                    </w:p>
                  </w:txbxContent>
                </v:textbox>
              </v:rect>
            </w:pict>
          </mc:Fallback>
        </mc:AlternateContent>
      </w:r>
    </w:p>
    <w:p w14:paraId="28012DD1" w14:textId="77777777" w:rsidR="00A01F63" w:rsidRPr="00A01F63" w:rsidRDefault="00A01F63" w:rsidP="00BE3F24">
      <w:pPr>
        <w:rPr>
          <w:rFonts w:ascii="Arial" w:hAnsi="Arial" w:cs="Arial"/>
          <w:sz w:val="22"/>
          <w:szCs w:val="22"/>
        </w:rPr>
      </w:pPr>
    </w:p>
    <w:p w14:paraId="50477687" w14:textId="77777777" w:rsidR="00A01F63" w:rsidRPr="00A01F63" w:rsidRDefault="00A01F63" w:rsidP="00BE3F24">
      <w:pPr>
        <w:rPr>
          <w:rFonts w:ascii="Arial" w:hAnsi="Arial" w:cs="Arial"/>
          <w:sz w:val="22"/>
          <w:szCs w:val="22"/>
        </w:rPr>
      </w:pPr>
    </w:p>
    <w:p w14:paraId="609AFD72" w14:textId="77777777" w:rsidR="00A01F63" w:rsidRPr="00A01F63" w:rsidRDefault="00A01F63" w:rsidP="00BE3F24">
      <w:pPr>
        <w:rPr>
          <w:rFonts w:ascii="Arial" w:hAnsi="Arial" w:cs="Arial"/>
          <w:sz w:val="22"/>
          <w:szCs w:val="22"/>
        </w:rPr>
      </w:pPr>
    </w:p>
    <w:p w14:paraId="34F9E78A" w14:textId="77777777" w:rsidR="00A01F63" w:rsidRPr="00A01F63" w:rsidRDefault="00A01F63" w:rsidP="00BE3F24">
      <w:pPr>
        <w:rPr>
          <w:rFonts w:ascii="Arial" w:hAnsi="Arial" w:cs="Arial"/>
          <w:sz w:val="22"/>
          <w:szCs w:val="22"/>
        </w:rPr>
      </w:pPr>
    </w:p>
    <w:p w14:paraId="72346CE6" w14:textId="77777777" w:rsidR="00A01F63" w:rsidRPr="00A01F63" w:rsidRDefault="00A01F63" w:rsidP="00BE3F24">
      <w:pPr>
        <w:rPr>
          <w:rFonts w:ascii="Arial" w:hAnsi="Arial" w:cs="Arial"/>
          <w:sz w:val="22"/>
          <w:szCs w:val="22"/>
        </w:rPr>
      </w:pPr>
    </w:p>
    <w:p w14:paraId="6042B69A" w14:textId="77777777" w:rsidR="001A15B9" w:rsidRDefault="00A01F63" w:rsidP="00172E64">
      <w:pPr>
        <w:numPr>
          <w:ilvl w:val="0"/>
          <w:numId w:val="73"/>
        </w:numPr>
        <w:ind w:left="0" w:firstLine="0"/>
        <w:rPr>
          <w:rFonts w:ascii="Arial" w:hAnsi="Arial" w:cs="Arial"/>
          <w:b/>
          <w:sz w:val="22"/>
          <w:szCs w:val="22"/>
        </w:rPr>
      </w:pPr>
      <w:r w:rsidRPr="00A01F63">
        <w:rPr>
          <w:rFonts w:ascii="Arial" w:hAnsi="Arial" w:cs="Arial"/>
          <w:b/>
          <w:sz w:val="22"/>
          <w:szCs w:val="22"/>
        </w:rPr>
        <w:t>Organization of Project File Folders for PAGD</w:t>
      </w:r>
    </w:p>
    <w:p w14:paraId="7A64264E" w14:textId="5A568546" w:rsidR="001A15B9" w:rsidRDefault="00A01F63" w:rsidP="00172E64">
      <w:pPr>
        <w:pStyle w:val="BodyTextIndent"/>
        <w:numPr>
          <w:ilvl w:val="0"/>
          <w:numId w:val="77"/>
        </w:numPr>
        <w:tabs>
          <w:tab w:val="clear" w:pos="360"/>
        </w:tabs>
        <w:ind w:left="720" w:hanging="720"/>
        <w:jc w:val="both"/>
        <w:rPr>
          <w:rFonts w:cs="Arial"/>
          <w:szCs w:val="22"/>
        </w:rPr>
      </w:pPr>
      <w:r w:rsidRPr="00A01F63">
        <w:rPr>
          <w:rFonts w:cs="Arial"/>
          <w:szCs w:val="22"/>
        </w:rPr>
        <w:t>In some cases due to the volume and design information, more than one physical file may</w:t>
      </w:r>
      <w:r w:rsidR="00B35E1D">
        <w:rPr>
          <w:rFonts w:cs="Arial"/>
          <w:szCs w:val="22"/>
        </w:rPr>
        <w:t xml:space="preserve"> </w:t>
      </w:r>
      <w:r w:rsidRPr="00A01F63">
        <w:rPr>
          <w:rFonts w:cs="Arial"/>
          <w:szCs w:val="22"/>
        </w:rPr>
        <w:t xml:space="preserve">be needed, but it will be viewed as one project folder in the file room log.  The final project file folder will </w:t>
      </w:r>
      <w:r w:rsidR="00FC48DD">
        <w:rPr>
          <w:rFonts w:cs="Arial"/>
          <w:szCs w:val="22"/>
        </w:rPr>
        <w:t xml:space="preserve">be </w:t>
      </w:r>
      <w:r w:rsidRPr="00A01F63">
        <w:rPr>
          <w:rFonts w:cs="Arial"/>
          <w:szCs w:val="22"/>
        </w:rPr>
        <w:t>broken out into the following six sections:</w:t>
      </w:r>
    </w:p>
    <w:p w14:paraId="6F1E81E8" w14:textId="77777777" w:rsidR="00A01F63" w:rsidRPr="00A01F63" w:rsidRDefault="00A01F63" w:rsidP="00BE3F24">
      <w:pPr>
        <w:jc w:val="center"/>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
        <w:gridCol w:w="1944"/>
        <w:gridCol w:w="6354"/>
      </w:tblGrid>
      <w:tr w:rsidR="00A01F63" w:rsidRPr="00A01F63" w14:paraId="2CCC7D4B" w14:textId="77777777" w:rsidTr="001E4FA6">
        <w:trPr>
          <w:cantSplit/>
          <w:trHeight w:val="288"/>
          <w:tblHeader/>
          <w:jc w:val="center"/>
        </w:trPr>
        <w:tc>
          <w:tcPr>
            <w:tcW w:w="2394" w:type="dxa"/>
            <w:gridSpan w:val="2"/>
            <w:shd w:val="pct10" w:color="auto" w:fill="auto"/>
          </w:tcPr>
          <w:p w14:paraId="006A9FFD" w14:textId="77777777" w:rsidR="00A01F63" w:rsidRPr="001E4FA6" w:rsidRDefault="00A01F63" w:rsidP="00B35E1D">
            <w:pPr>
              <w:spacing w:before="40" w:after="40"/>
              <w:jc w:val="center"/>
              <w:rPr>
                <w:rFonts w:ascii="Arial" w:hAnsi="Arial"/>
                <w:b/>
                <w:sz w:val="22"/>
              </w:rPr>
            </w:pPr>
            <w:r w:rsidRPr="001E4FA6">
              <w:rPr>
                <w:rFonts w:ascii="Arial" w:hAnsi="Arial"/>
                <w:b/>
                <w:sz w:val="22"/>
              </w:rPr>
              <w:t>Section Heading</w:t>
            </w:r>
          </w:p>
        </w:tc>
        <w:tc>
          <w:tcPr>
            <w:tcW w:w="6354" w:type="dxa"/>
            <w:shd w:val="pct10" w:color="auto" w:fill="auto"/>
          </w:tcPr>
          <w:p w14:paraId="15886662" w14:textId="4443B3F5" w:rsidR="00A01F63" w:rsidRPr="001E4FA6" w:rsidRDefault="00A01F63" w:rsidP="00B35E1D">
            <w:pPr>
              <w:spacing w:before="40" w:after="40"/>
              <w:rPr>
                <w:rFonts w:ascii="Arial" w:hAnsi="Arial"/>
                <w:b/>
                <w:sz w:val="22"/>
              </w:rPr>
            </w:pPr>
            <w:r w:rsidRPr="001E4FA6">
              <w:rPr>
                <w:rFonts w:ascii="Arial" w:hAnsi="Arial"/>
                <w:b/>
                <w:sz w:val="22"/>
              </w:rPr>
              <w:t>Typical Contents</w:t>
            </w:r>
          </w:p>
        </w:tc>
      </w:tr>
      <w:tr w:rsidR="00A01F63" w:rsidRPr="00A01F63" w14:paraId="73E5745C" w14:textId="77777777" w:rsidTr="001E4FA6">
        <w:trPr>
          <w:cantSplit/>
          <w:trHeight w:val="288"/>
          <w:jc w:val="center"/>
        </w:trPr>
        <w:tc>
          <w:tcPr>
            <w:tcW w:w="450" w:type="dxa"/>
          </w:tcPr>
          <w:p w14:paraId="3BEF745C" w14:textId="77777777" w:rsidR="00A01F63" w:rsidRPr="00A01F63" w:rsidRDefault="00A01F63" w:rsidP="001E4FA6">
            <w:pPr>
              <w:spacing w:after="40"/>
              <w:jc w:val="center"/>
              <w:rPr>
                <w:rFonts w:ascii="Arial" w:hAnsi="Arial" w:cs="Arial"/>
                <w:sz w:val="22"/>
                <w:szCs w:val="22"/>
              </w:rPr>
            </w:pPr>
            <w:r w:rsidRPr="00A01F63">
              <w:rPr>
                <w:rFonts w:ascii="Arial" w:hAnsi="Arial" w:cs="Arial"/>
                <w:sz w:val="22"/>
                <w:szCs w:val="22"/>
              </w:rPr>
              <w:t>1.</w:t>
            </w:r>
          </w:p>
        </w:tc>
        <w:tc>
          <w:tcPr>
            <w:tcW w:w="1944" w:type="dxa"/>
          </w:tcPr>
          <w:p w14:paraId="6C4FC1E7"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 xml:space="preserve">Design QA and summaries </w:t>
            </w:r>
          </w:p>
        </w:tc>
        <w:tc>
          <w:tcPr>
            <w:tcW w:w="6354" w:type="dxa"/>
          </w:tcPr>
          <w:p w14:paraId="4ACEA038"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 xml:space="preserve">PD </w:t>
            </w:r>
            <w:hyperlink w:anchor="_Forms_&amp;_Spreadsheets" w:history="1">
              <w:r w:rsidRPr="00DC590E">
                <w:rPr>
                  <w:rStyle w:val="Hyperlink"/>
                  <w:rFonts w:ascii="Arial" w:hAnsi="Arial" w:cs="Arial"/>
                  <w:sz w:val="22"/>
                  <w:szCs w:val="22"/>
                </w:rPr>
                <w:t>Forms</w:t>
              </w:r>
            </w:hyperlink>
            <w:r w:rsidRPr="00A01F63">
              <w:rPr>
                <w:rFonts w:ascii="Arial" w:hAnsi="Arial" w:cs="Arial"/>
                <w:sz w:val="22"/>
                <w:szCs w:val="22"/>
              </w:rPr>
              <w:t xml:space="preserve"> </w:t>
            </w:r>
            <w:r w:rsidR="00132692">
              <w:rPr>
                <w:rFonts w:ascii="Arial" w:hAnsi="Arial" w:cs="Arial"/>
                <w:sz w:val="22"/>
                <w:szCs w:val="22"/>
              </w:rPr>
              <w:t>2</w:t>
            </w:r>
            <w:r w:rsidRPr="00A01F63">
              <w:rPr>
                <w:rFonts w:ascii="Arial" w:hAnsi="Arial" w:cs="Arial"/>
                <w:sz w:val="22"/>
                <w:szCs w:val="22"/>
              </w:rPr>
              <w:t xml:space="preserve">, </w:t>
            </w:r>
            <w:r w:rsidR="00132692">
              <w:rPr>
                <w:rFonts w:ascii="Arial" w:hAnsi="Arial" w:cs="Arial"/>
                <w:sz w:val="22"/>
                <w:szCs w:val="22"/>
              </w:rPr>
              <w:t>6</w:t>
            </w:r>
            <w:r w:rsidRPr="00A01F63">
              <w:rPr>
                <w:rFonts w:ascii="Arial" w:hAnsi="Arial" w:cs="Arial"/>
                <w:sz w:val="22"/>
                <w:szCs w:val="22"/>
              </w:rPr>
              <w:t>, 11</w:t>
            </w:r>
            <w:r w:rsidR="00DE0E8A">
              <w:rPr>
                <w:rFonts w:ascii="Arial" w:hAnsi="Arial" w:cs="Arial"/>
                <w:sz w:val="22"/>
                <w:szCs w:val="22"/>
              </w:rPr>
              <w:t>, PDS-08</w:t>
            </w:r>
          </w:p>
        </w:tc>
      </w:tr>
      <w:tr w:rsidR="00A01F63" w:rsidRPr="00A01F63" w14:paraId="5360F512" w14:textId="77777777" w:rsidTr="001E4FA6">
        <w:trPr>
          <w:cantSplit/>
          <w:trHeight w:val="288"/>
          <w:jc w:val="center"/>
        </w:trPr>
        <w:tc>
          <w:tcPr>
            <w:tcW w:w="450" w:type="dxa"/>
          </w:tcPr>
          <w:p w14:paraId="44ADDC77" w14:textId="77777777" w:rsidR="00A01F63" w:rsidRPr="00A01F63" w:rsidRDefault="00A01F63" w:rsidP="001E4FA6">
            <w:pPr>
              <w:spacing w:after="40"/>
              <w:jc w:val="center"/>
              <w:rPr>
                <w:rFonts w:ascii="Arial" w:hAnsi="Arial" w:cs="Arial"/>
                <w:sz w:val="22"/>
                <w:szCs w:val="22"/>
              </w:rPr>
            </w:pPr>
            <w:r w:rsidRPr="00A01F63">
              <w:rPr>
                <w:rFonts w:ascii="Arial" w:hAnsi="Arial" w:cs="Arial"/>
                <w:sz w:val="22"/>
                <w:szCs w:val="22"/>
              </w:rPr>
              <w:t>2.</w:t>
            </w:r>
          </w:p>
        </w:tc>
        <w:tc>
          <w:tcPr>
            <w:tcW w:w="1944" w:type="dxa"/>
          </w:tcPr>
          <w:p w14:paraId="5CEFA290"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Reports</w:t>
            </w:r>
          </w:p>
        </w:tc>
        <w:tc>
          <w:tcPr>
            <w:tcW w:w="6354" w:type="dxa"/>
          </w:tcPr>
          <w:p w14:paraId="703C4647"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Memorand</w:t>
            </w:r>
            <w:r w:rsidR="00132692">
              <w:rPr>
                <w:rFonts w:ascii="Arial" w:hAnsi="Arial" w:cs="Arial"/>
                <w:sz w:val="22"/>
                <w:szCs w:val="22"/>
              </w:rPr>
              <w:t>a</w:t>
            </w:r>
            <w:r w:rsidRPr="00A01F63">
              <w:rPr>
                <w:rFonts w:ascii="Arial" w:hAnsi="Arial" w:cs="Arial"/>
                <w:sz w:val="22"/>
                <w:szCs w:val="22"/>
              </w:rPr>
              <w:t xml:space="preserve"> or reports issued by PAGD</w:t>
            </w:r>
          </w:p>
        </w:tc>
      </w:tr>
      <w:tr w:rsidR="00A01F63" w:rsidRPr="00A01F63" w14:paraId="6530D6A5" w14:textId="77777777" w:rsidTr="001E4FA6">
        <w:trPr>
          <w:cantSplit/>
          <w:trHeight w:val="288"/>
          <w:jc w:val="center"/>
        </w:trPr>
        <w:tc>
          <w:tcPr>
            <w:tcW w:w="450" w:type="dxa"/>
          </w:tcPr>
          <w:p w14:paraId="49A6A74E" w14:textId="77777777" w:rsidR="00A01F63" w:rsidRPr="00A01F63" w:rsidRDefault="00A01F63" w:rsidP="001E4FA6">
            <w:pPr>
              <w:spacing w:after="40"/>
              <w:jc w:val="center"/>
              <w:rPr>
                <w:rFonts w:ascii="Arial" w:hAnsi="Arial" w:cs="Arial"/>
                <w:sz w:val="22"/>
                <w:szCs w:val="22"/>
              </w:rPr>
            </w:pPr>
            <w:r w:rsidRPr="00A01F63">
              <w:rPr>
                <w:rFonts w:ascii="Arial" w:hAnsi="Arial" w:cs="Arial"/>
                <w:sz w:val="22"/>
                <w:szCs w:val="22"/>
              </w:rPr>
              <w:t>3.</w:t>
            </w:r>
          </w:p>
        </w:tc>
        <w:tc>
          <w:tcPr>
            <w:tcW w:w="1944" w:type="dxa"/>
          </w:tcPr>
          <w:p w14:paraId="196D272B"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Correspondence</w:t>
            </w:r>
          </w:p>
        </w:tc>
        <w:tc>
          <w:tcPr>
            <w:tcW w:w="6354" w:type="dxa"/>
          </w:tcPr>
          <w:p w14:paraId="0B844935" w14:textId="745B9C8F" w:rsidR="00A01F63" w:rsidRPr="00A01F63" w:rsidRDefault="00A01F63" w:rsidP="001E4FA6">
            <w:pPr>
              <w:spacing w:after="40"/>
              <w:rPr>
                <w:rFonts w:ascii="Arial" w:hAnsi="Arial" w:cs="Arial"/>
                <w:sz w:val="22"/>
                <w:szCs w:val="22"/>
              </w:rPr>
            </w:pPr>
            <w:r w:rsidRPr="00A01F63">
              <w:rPr>
                <w:rFonts w:ascii="Arial" w:hAnsi="Arial" w:cs="Arial"/>
                <w:sz w:val="22"/>
                <w:szCs w:val="22"/>
              </w:rPr>
              <w:t>All info to be stored in chronological order:</w:t>
            </w:r>
          </w:p>
          <w:p w14:paraId="6CF92CA6"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Letters from requesting division</w:t>
            </w:r>
          </w:p>
          <w:p w14:paraId="2E32D790"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Printouts of project related e-mails</w:t>
            </w:r>
          </w:p>
          <w:p w14:paraId="6F848182"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Correspondence after Final Review and Addendum information</w:t>
            </w:r>
          </w:p>
          <w:p w14:paraId="49693C08" w14:textId="77777777" w:rsidR="00A01F63" w:rsidRPr="00A01F63" w:rsidRDefault="003D35CC" w:rsidP="001E4FA6">
            <w:pPr>
              <w:spacing w:after="40"/>
              <w:rPr>
                <w:rFonts w:ascii="Arial" w:hAnsi="Arial" w:cs="Arial"/>
                <w:sz w:val="22"/>
                <w:szCs w:val="22"/>
              </w:rPr>
            </w:pPr>
            <w:r>
              <w:rPr>
                <w:rFonts w:ascii="Arial" w:hAnsi="Arial" w:cs="Arial"/>
                <w:sz w:val="22"/>
                <w:szCs w:val="22"/>
              </w:rPr>
              <w:t>Notes from all meetings attended</w:t>
            </w:r>
          </w:p>
        </w:tc>
      </w:tr>
      <w:tr w:rsidR="00A01F63" w:rsidRPr="00A01F63" w14:paraId="2C36A1E0" w14:textId="77777777" w:rsidTr="001E4FA6">
        <w:trPr>
          <w:cantSplit/>
          <w:trHeight w:val="288"/>
          <w:jc w:val="center"/>
        </w:trPr>
        <w:tc>
          <w:tcPr>
            <w:tcW w:w="450" w:type="dxa"/>
          </w:tcPr>
          <w:p w14:paraId="1DA76CAF" w14:textId="77777777" w:rsidR="00A01F63" w:rsidRPr="00A01F63" w:rsidRDefault="00A01F63" w:rsidP="001E4FA6">
            <w:pPr>
              <w:spacing w:after="40"/>
              <w:jc w:val="center"/>
              <w:rPr>
                <w:rFonts w:ascii="Arial" w:hAnsi="Arial" w:cs="Arial"/>
                <w:sz w:val="22"/>
                <w:szCs w:val="22"/>
              </w:rPr>
            </w:pPr>
            <w:r w:rsidRPr="00A01F63">
              <w:rPr>
                <w:rFonts w:ascii="Arial" w:hAnsi="Arial" w:cs="Arial"/>
                <w:sz w:val="22"/>
                <w:szCs w:val="22"/>
              </w:rPr>
              <w:t>4.</w:t>
            </w:r>
          </w:p>
        </w:tc>
        <w:tc>
          <w:tcPr>
            <w:tcW w:w="1944" w:type="dxa"/>
          </w:tcPr>
          <w:p w14:paraId="3B0128E7"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Records Review</w:t>
            </w:r>
          </w:p>
        </w:tc>
        <w:tc>
          <w:tcPr>
            <w:tcW w:w="6354" w:type="dxa"/>
          </w:tcPr>
          <w:p w14:paraId="368AE9A7" w14:textId="77777777" w:rsidR="00A01F63" w:rsidRDefault="00132692" w:rsidP="001E4FA6">
            <w:pPr>
              <w:spacing w:after="40"/>
              <w:rPr>
                <w:rFonts w:ascii="Arial" w:hAnsi="Arial" w:cs="Arial"/>
                <w:sz w:val="22"/>
                <w:szCs w:val="22"/>
              </w:rPr>
            </w:pPr>
            <w:r>
              <w:rPr>
                <w:rFonts w:ascii="Arial" w:hAnsi="Arial" w:cs="Arial"/>
                <w:sz w:val="22"/>
                <w:szCs w:val="22"/>
              </w:rPr>
              <w:t xml:space="preserve">PDS </w:t>
            </w:r>
            <w:hyperlink r:id="rId435" w:history="1">
              <w:r w:rsidRPr="00132692">
                <w:rPr>
                  <w:rStyle w:val="Hyperlink"/>
                  <w:rFonts w:ascii="Arial" w:hAnsi="Arial" w:cs="Arial"/>
                  <w:sz w:val="22"/>
                  <w:szCs w:val="22"/>
                </w:rPr>
                <w:t>Spreadsheets</w:t>
              </w:r>
            </w:hyperlink>
            <w:r>
              <w:rPr>
                <w:rFonts w:ascii="Arial" w:hAnsi="Arial" w:cs="Arial"/>
                <w:sz w:val="22"/>
                <w:szCs w:val="22"/>
              </w:rPr>
              <w:t xml:space="preserve"> 2, 7</w:t>
            </w:r>
          </w:p>
          <w:p w14:paraId="0A328D4E" w14:textId="77777777" w:rsidR="003D35CC" w:rsidRPr="00A01F63" w:rsidRDefault="00132692" w:rsidP="001E4FA6">
            <w:pPr>
              <w:spacing w:after="40"/>
              <w:rPr>
                <w:rFonts w:ascii="Arial" w:hAnsi="Arial" w:cs="Arial"/>
                <w:sz w:val="22"/>
                <w:szCs w:val="22"/>
              </w:rPr>
            </w:pPr>
            <w:r>
              <w:rPr>
                <w:rFonts w:ascii="Arial" w:hAnsi="Arial" w:cs="Arial"/>
                <w:sz w:val="22"/>
                <w:szCs w:val="22"/>
              </w:rPr>
              <w:t>Traffic and Loadometer data</w:t>
            </w:r>
          </w:p>
          <w:p w14:paraId="50639073"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Construction history, as-built project data</w:t>
            </w:r>
          </w:p>
          <w:p w14:paraId="16A95E93"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Field and office review notes</w:t>
            </w:r>
          </w:p>
          <w:p w14:paraId="7A9DFC39" w14:textId="77777777" w:rsidR="00A01F63" w:rsidRDefault="00A01F63" w:rsidP="001E4FA6">
            <w:pPr>
              <w:spacing w:after="40"/>
              <w:rPr>
                <w:rFonts w:ascii="Arial" w:hAnsi="Arial" w:cs="Arial"/>
                <w:sz w:val="22"/>
                <w:szCs w:val="22"/>
              </w:rPr>
            </w:pPr>
            <w:r w:rsidRPr="00A01F63">
              <w:rPr>
                <w:rFonts w:ascii="Arial" w:hAnsi="Arial" w:cs="Arial"/>
                <w:sz w:val="22"/>
                <w:szCs w:val="22"/>
              </w:rPr>
              <w:t>Performance Data (</w:t>
            </w:r>
            <w:smartTag w:uri="urn:schemas-microsoft-com:office:smarttags" w:element="stockticker">
              <w:r w:rsidRPr="00A01F63">
                <w:rPr>
                  <w:rFonts w:ascii="Arial" w:hAnsi="Arial" w:cs="Arial"/>
                  <w:sz w:val="22"/>
                  <w:szCs w:val="22"/>
                </w:rPr>
                <w:t>IRI</w:t>
              </w:r>
            </w:smartTag>
            <w:r w:rsidRPr="00A01F63">
              <w:rPr>
                <w:rFonts w:ascii="Arial" w:hAnsi="Arial" w:cs="Arial"/>
                <w:sz w:val="22"/>
                <w:szCs w:val="22"/>
              </w:rPr>
              <w:t>, Rut</w:t>
            </w:r>
            <w:r w:rsidR="003D35CC">
              <w:rPr>
                <w:rFonts w:ascii="Arial" w:hAnsi="Arial" w:cs="Arial"/>
                <w:sz w:val="22"/>
                <w:szCs w:val="22"/>
              </w:rPr>
              <w:t>ting</w:t>
            </w:r>
            <w:r w:rsidRPr="00A01F63">
              <w:rPr>
                <w:rFonts w:ascii="Arial" w:hAnsi="Arial" w:cs="Arial"/>
                <w:sz w:val="22"/>
                <w:szCs w:val="22"/>
              </w:rPr>
              <w:t xml:space="preserve">, </w:t>
            </w:r>
            <w:r w:rsidR="003D35CC">
              <w:rPr>
                <w:rFonts w:ascii="Arial" w:hAnsi="Arial" w:cs="Arial"/>
                <w:sz w:val="22"/>
                <w:szCs w:val="22"/>
              </w:rPr>
              <w:t xml:space="preserve">Friction, Cracking, </w:t>
            </w:r>
            <w:r w:rsidRPr="00A01F63">
              <w:rPr>
                <w:rFonts w:ascii="Arial" w:hAnsi="Arial" w:cs="Arial"/>
                <w:sz w:val="22"/>
                <w:szCs w:val="22"/>
              </w:rPr>
              <w:t>etc.)</w:t>
            </w:r>
          </w:p>
          <w:p w14:paraId="19E21A35" w14:textId="77777777" w:rsidR="003D35CC" w:rsidRPr="00A01F63" w:rsidRDefault="003D35CC" w:rsidP="001E4FA6">
            <w:pPr>
              <w:spacing w:after="40"/>
              <w:rPr>
                <w:rFonts w:ascii="Arial" w:hAnsi="Arial" w:cs="Arial"/>
                <w:sz w:val="22"/>
                <w:szCs w:val="22"/>
              </w:rPr>
            </w:pPr>
            <w:r>
              <w:rPr>
                <w:rFonts w:ascii="Arial" w:hAnsi="Arial" w:cs="Arial"/>
                <w:sz w:val="22"/>
                <w:szCs w:val="22"/>
              </w:rPr>
              <w:t>HLR sheet(s)</w:t>
            </w:r>
          </w:p>
          <w:p w14:paraId="121434B4" w14:textId="56967E46" w:rsidR="001A2A14" w:rsidRDefault="00A01F63" w:rsidP="001E4FA6">
            <w:pPr>
              <w:spacing w:after="40"/>
              <w:rPr>
                <w:rFonts w:ascii="Arial" w:hAnsi="Arial" w:cs="Arial"/>
                <w:sz w:val="22"/>
                <w:szCs w:val="22"/>
              </w:rPr>
            </w:pPr>
            <w:r w:rsidRPr="00A01F63">
              <w:rPr>
                <w:rFonts w:ascii="Arial" w:hAnsi="Arial" w:cs="Arial"/>
                <w:sz w:val="22"/>
                <w:szCs w:val="22"/>
              </w:rPr>
              <w:t xml:space="preserve">Nearby or previous project data, </w:t>
            </w:r>
            <w:r w:rsidR="00B35E1D">
              <w:rPr>
                <w:rFonts w:ascii="Arial" w:hAnsi="Arial" w:cs="Arial"/>
                <w:sz w:val="22"/>
                <w:szCs w:val="22"/>
              </w:rPr>
              <w:t>o</w:t>
            </w:r>
            <w:r w:rsidRPr="00A01F63">
              <w:rPr>
                <w:rFonts w:ascii="Arial" w:hAnsi="Arial" w:cs="Arial"/>
                <w:sz w:val="22"/>
                <w:szCs w:val="22"/>
              </w:rPr>
              <w:t>ther background information</w:t>
            </w:r>
          </w:p>
          <w:p w14:paraId="667728E1" w14:textId="77777777" w:rsidR="00A01F63" w:rsidRPr="001A2A14" w:rsidRDefault="00A01F63" w:rsidP="001A2A14">
            <w:pPr>
              <w:jc w:val="right"/>
              <w:rPr>
                <w:rFonts w:ascii="Arial" w:hAnsi="Arial" w:cs="Arial"/>
                <w:sz w:val="22"/>
                <w:szCs w:val="22"/>
              </w:rPr>
            </w:pPr>
          </w:p>
        </w:tc>
      </w:tr>
      <w:tr w:rsidR="00A01F63" w:rsidRPr="00A01F63" w14:paraId="5D04E729" w14:textId="77777777" w:rsidTr="001E4FA6">
        <w:trPr>
          <w:cantSplit/>
          <w:trHeight w:val="288"/>
          <w:jc w:val="center"/>
        </w:trPr>
        <w:tc>
          <w:tcPr>
            <w:tcW w:w="450" w:type="dxa"/>
          </w:tcPr>
          <w:p w14:paraId="46ECE8F7" w14:textId="77777777" w:rsidR="00A01F63" w:rsidRPr="00A01F63" w:rsidRDefault="00A01F63" w:rsidP="001E4FA6">
            <w:pPr>
              <w:spacing w:after="40"/>
              <w:jc w:val="center"/>
              <w:rPr>
                <w:rFonts w:ascii="Arial" w:hAnsi="Arial" w:cs="Arial"/>
                <w:sz w:val="22"/>
                <w:szCs w:val="22"/>
              </w:rPr>
            </w:pPr>
            <w:r w:rsidRPr="00A01F63">
              <w:rPr>
                <w:rFonts w:ascii="Arial" w:hAnsi="Arial" w:cs="Arial"/>
                <w:sz w:val="22"/>
                <w:szCs w:val="22"/>
              </w:rPr>
              <w:lastRenderedPageBreak/>
              <w:t>5.</w:t>
            </w:r>
          </w:p>
        </w:tc>
        <w:tc>
          <w:tcPr>
            <w:tcW w:w="1944" w:type="dxa"/>
          </w:tcPr>
          <w:p w14:paraId="09B2165D" w14:textId="77777777" w:rsidR="00A01F63" w:rsidRPr="00A01F63" w:rsidRDefault="008D1B83" w:rsidP="001E4FA6">
            <w:pPr>
              <w:spacing w:after="40"/>
              <w:rPr>
                <w:rFonts w:ascii="Arial" w:hAnsi="Arial" w:cs="Arial"/>
                <w:sz w:val="22"/>
                <w:szCs w:val="22"/>
              </w:rPr>
            </w:pPr>
            <w:r>
              <w:rPr>
                <w:rFonts w:ascii="Arial" w:hAnsi="Arial" w:cs="Arial"/>
                <w:sz w:val="22"/>
                <w:szCs w:val="22"/>
              </w:rPr>
              <w:t xml:space="preserve">Field and Lab </w:t>
            </w:r>
            <w:r w:rsidR="00A01F63" w:rsidRPr="00A01F63">
              <w:rPr>
                <w:rFonts w:ascii="Arial" w:hAnsi="Arial" w:cs="Arial"/>
                <w:sz w:val="22"/>
                <w:szCs w:val="22"/>
              </w:rPr>
              <w:t xml:space="preserve">Data </w:t>
            </w:r>
          </w:p>
        </w:tc>
        <w:tc>
          <w:tcPr>
            <w:tcW w:w="6354" w:type="dxa"/>
          </w:tcPr>
          <w:p w14:paraId="10109DF8" w14:textId="77777777" w:rsidR="00132692" w:rsidRDefault="00132692" w:rsidP="001E4FA6">
            <w:pPr>
              <w:spacing w:after="40"/>
              <w:rPr>
                <w:rFonts w:ascii="Arial" w:hAnsi="Arial" w:cs="Arial"/>
                <w:sz w:val="22"/>
                <w:szCs w:val="22"/>
              </w:rPr>
            </w:pPr>
            <w:r w:rsidRPr="00A01F63">
              <w:rPr>
                <w:rFonts w:ascii="Arial" w:hAnsi="Arial" w:cs="Arial"/>
                <w:sz w:val="22"/>
                <w:szCs w:val="22"/>
              </w:rPr>
              <w:t xml:space="preserve">PD </w:t>
            </w:r>
            <w:hyperlink w:anchor="_Forms_&amp;_Spreadsheets" w:history="1">
              <w:r w:rsidRPr="00DC590E">
                <w:rPr>
                  <w:rStyle w:val="Hyperlink"/>
                  <w:rFonts w:ascii="Arial" w:hAnsi="Arial" w:cs="Arial"/>
                  <w:sz w:val="22"/>
                  <w:szCs w:val="22"/>
                </w:rPr>
                <w:t>Forms</w:t>
              </w:r>
            </w:hyperlink>
            <w:r w:rsidRPr="00A01F63">
              <w:rPr>
                <w:rFonts w:ascii="Arial" w:hAnsi="Arial" w:cs="Arial"/>
                <w:sz w:val="22"/>
                <w:szCs w:val="22"/>
              </w:rPr>
              <w:t xml:space="preserve"> </w:t>
            </w:r>
            <w:r>
              <w:rPr>
                <w:rFonts w:ascii="Arial" w:hAnsi="Arial" w:cs="Arial"/>
                <w:sz w:val="22"/>
                <w:szCs w:val="22"/>
              </w:rPr>
              <w:t>1</w:t>
            </w:r>
            <w:r w:rsidRPr="00A01F63">
              <w:rPr>
                <w:rFonts w:ascii="Arial" w:hAnsi="Arial" w:cs="Arial"/>
                <w:sz w:val="22"/>
                <w:szCs w:val="22"/>
              </w:rPr>
              <w:t xml:space="preserve">, </w:t>
            </w:r>
            <w:r>
              <w:rPr>
                <w:rFonts w:ascii="Arial" w:hAnsi="Arial" w:cs="Arial"/>
                <w:sz w:val="22"/>
                <w:szCs w:val="22"/>
              </w:rPr>
              <w:t>3</w:t>
            </w:r>
            <w:r w:rsidRPr="00A01F63">
              <w:rPr>
                <w:rFonts w:ascii="Arial" w:hAnsi="Arial" w:cs="Arial"/>
                <w:sz w:val="22"/>
                <w:szCs w:val="22"/>
              </w:rPr>
              <w:t xml:space="preserve">, </w:t>
            </w:r>
            <w:r>
              <w:rPr>
                <w:rFonts w:ascii="Arial" w:hAnsi="Arial" w:cs="Arial"/>
                <w:sz w:val="22"/>
                <w:szCs w:val="22"/>
              </w:rPr>
              <w:t>4</w:t>
            </w:r>
            <w:r w:rsidRPr="00A01F63">
              <w:rPr>
                <w:rFonts w:ascii="Arial" w:hAnsi="Arial" w:cs="Arial"/>
                <w:sz w:val="22"/>
                <w:szCs w:val="22"/>
              </w:rPr>
              <w:t xml:space="preserve">, </w:t>
            </w:r>
            <w:r>
              <w:rPr>
                <w:rFonts w:ascii="Arial" w:hAnsi="Arial" w:cs="Arial"/>
                <w:sz w:val="22"/>
                <w:szCs w:val="22"/>
              </w:rPr>
              <w:t>7-10, 12</w:t>
            </w:r>
          </w:p>
          <w:p w14:paraId="1DB07E34" w14:textId="77777777" w:rsidR="00A10658" w:rsidRPr="00A10658" w:rsidRDefault="00A10658" w:rsidP="00A10658">
            <w:pPr>
              <w:spacing w:before="40" w:after="40"/>
              <w:rPr>
                <w:rFonts w:ascii="Arial" w:hAnsi="Arial" w:cs="Arial"/>
                <w:sz w:val="22"/>
                <w:szCs w:val="22"/>
              </w:rPr>
            </w:pPr>
            <w:r w:rsidRPr="00A10658">
              <w:rPr>
                <w:rFonts w:ascii="Arial" w:hAnsi="Arial" w:cs="Arial"/>
                <w:sz w:val="22"/>
                <w:szCs w:val="22"/>
              </w:rPr>
              <w:t>FWD Data</w:t>
            </w:r>
          </w:p>
          <w:p w14:paraId="6888DEB3" w14:textId="77777777" w:rsidR="008D1B83" w:rsidRDefault="008D1B83" w:rsidP="001E4FA6">
            <w:pPr>
              <w:spacing w:after="40"/>
              <w:rPr>
                <w:rFonts w:ascii="Arial" w:hAnsi="Arial" w:cs="Arial"/>
                <w:sz w:val="22"/>
                <w:szCs w:val="22"/>
              </w:rPr>
            </w:pPr>
            <w:r>
              <w:rPr>
                <w:rFonts w:ascii="Arial" w:hAnsi="Arial" w:cs="Arial"/>
                <w:sz w:val="22"/>
                <w:szCs w:val="22"/>
              </w:rPr>
              <w:t>Pavement Core Logs</w:t>
            </w:r>
          </w:p>
          <w:p w14:paraId="16E64CD6" w14:textId="77777777" w:rsidR="00A10658" w:rsidRPr="00A10658" w:rsidRDefault="00A10658" w:rsidP="00A10658">
            <w:pPr>
              <w:spacing w:before="40" w:after="40"/>
              <w:rPr>
                <w:rFonts w:ascii="Arial" w:hAnsi="Arial" w:cs="Arial"/>
                <w:sz w:val="22"/>
                <w:szCs w:val="22"/>
              </w:rPr>
            </w:pPr>
            <w:r w:rsidRPr="00A10658">
              <w:rPr>
                <w:rFonts w:ascii="Arial" w:hAnsi="Arial" w:cs="Arial"/>
                <w:sz w:val="22"/>
                <w:szCs w:val="22"/>
              </w:rPr>
              <w:t>Field Boring Logs</w:t>
            </w:r>
          </w:p>
          <w:p w14:paraId="1C1E6D35" w14:textId="77777777" w:rsidR="00A10658" w:rsidRPr="00A10658" w:rsidRDefault="00A10658" w:rsidP="00A10658">
            <w:pPr>
              <w:spacing w:before="40" w:after="40"/>
              <w:rPr>
                <w:rFonts w:ascii="Arial" w:hAnsi="Arial" w:cs="Arial"/>
                <w:sz w:val="22"/>
                <w:szCs w:val="22"/>
              </w:rPr>
            </w:pPr>
            <w:r w:rsidRPr="00A10658">
              <w:rPr>
                <w:rFonts w:ascii="Arial" w:hAnsi="Arial" w:cs="Arial"/>
                <w:sz w:val="22"/>
                <w:szCs w:val="22"/>
              </w:rPr>
              <w:t>gINT files</w:t>
            </w:r>
          </w:p>
          <w:p w14:paraId="65D46E4A" w14:textId="3E84F12B" w:rsidR="008D1B83" w:rsidRDefault="008D1B83" w:rsidP="001E4FA6">
            <w:pPr>
              <w:spacing w:after="40"/>
              <w:rPr>
                <w:rFonts w:ascii="Arial" w:hAnsi="Arial" w:cs="Arial"/>
                <w:sz w:val="22"/>
                <w:szCs w:val="22"/>
              </w:rPr>
            </w:pPr>
            <w:r>
              <w:rPr>
                <w:rFonts w:ascii="Arial" w:hAnsi="Arial" w:cs="Arial"/>
                <w:sz w:val="22"/>
                <w:szCs w:val="22"/>
              </w:rPr>
              <w:t xml:space="preserve">GPR </w:t>
            </w:r>
            <w:r w:rsidR="00590B28">
              <w:rPr>
                <w:rFonts w:ascii="Arial" w:hAnsi="Arial" w:cs="Arial"/>
                <w:sz w:val="22"/>
                <w:szCs w:val="22"/>
              </w:rPr>
              <w:t xml:space="preserve">Pavement Evaluation </w:t>
            </w:r>
            <w:r>
              <w:rPr>
                <w:rFonts w:ascii="Arial" w:hAnsi="Arial" w:cs="Arial"/>
                <w:sz w:val="22"/>
                <w:szCs w:val="22"/>
              </w:rPr>
              <w:t>Results</w:t>
            </w:r>
          </w:p>
          <w:p w14:paraId="64749F06" w14:textId="58439D95" w:rsidR="00590B28" w:rsidRPr="00A01F63" w:rsidRDefault="001F5B09" w:rsidP="00AC19F0">
            <w:pPr>
              <w:spacing w:after="40"/>
              <w:rPr>
                <w:rFonts w:ascii="Arial" w:hAnsi="Arial" w:cs="Arial"/>
                <w:sz w:val="22"/>
                <w:szCs w:val="22"/>
              </w:rPr>
            </w:pPr>
            <w:r>
              <w:rPr>
                <w:rFonts w:ascii="Arial" w:hAnsi="Arial" w:cs="Arial"/>
                <w:sz w:val="22"/>
                <w:szCs w:val="22"/>
              </w:rPr>
              <w:t>Geophysical R</w:t>
            </w:r>
            <w:r w:rsidR="00590B28">
              <w:rPr>
                <w:rFonts w:ascii="Arial" w:hAnsi="Arial" w:cs="Arial"/>
                <w:sz w:val="22"/>
                <w:szCs w:val="22"/>
              </w:rPr>
              <w:t xml:space="preserve">esults and </w:t>
            </w:r>
            <w:r>
              <w:rPr>
                <w:rFonts w:ascii="Arial" w:hAnsi="Arial" w:cs="Arial"/>
                <w:sz w:val="22"/>
                <w:szCs w:val="22"/>
              </w:rPr>
              <w:t>R</w:t>
            </w:r>
            <w:r w:rsidR="00590B28">
              <w:rPr>
                <w:rFonts w:ascii="Arial" w:hAnsi="Arial" w:cs="Arial"/>
                <w:sz w:val="22"/>
                <w:szCs w:val="22"/>
              </w:rPr>
              <w:t>eports</w:t>
            </w:r>
          </w:p>
          <w:p w14:paraId="2197F0FD" w14:textId="787E42C1" w:rsidR="00A01F63" w:rsidRPr="00A01F63" w:rsidRDefault="00A01F63" w:rsidP="001E4FA6">
            <w:pPr>
              <w:spacing w:after="40"/>
              <w:rPr>
                <w:rFonts w:ascii="Arial" w:hAnsi="Arial" w:cs="Arial"/>
                <w:sz w:val="22"/>
                <w:szCs w:val="22"/>
              </w:rPr>
            </w:pPr>
            <w:r w:rsidRPr="00A01F63">
              <w:rPr>
                <w:rFonts w:ascii="Arial" w:hAnsi="Arial" w:cs="Arial"/>
                <w:sz w:val="22"/>
                <w:szCs w:val="22"/>
              </w:rPr>
              <w:t xml:space="preserve">Soils Lab </w:t>
            </w:r>
            <w:r w:rsidR="00B35E1D" w:rsidRPr="00A01F63">
              <w:rPr>
                <w:rFonts w:ascii="Arial" w:hAnsi="Arial" w:cs="Arial"/>
                <w:sz w:val="22"/>
                <w:szCs w:val="22"/>
              </w:rPr>
              <w:t>Testing Resu</w:t>
            </w:r>
            <w:r w:rsidRPr="00A01F63">
              <w:rPr>
                <w:rFonts w:ascii="Arial" w:hAnsi="Arial" w:cs="Arial"/>
                <w:sz w:val="22"/>
                <w:szCs w:val="22"/>
              </w:rPr>
              <w:t xml:space="preserve">lts </w:t>
            </w:r>
          </w:p>
        </w:tc>
      </w:tr>
      <w:tr w:rsidR="00A01F63" w:rsidRPr="00A01F63" w14:paraId="0B45298F" w14:textId="77777777" w:rsidTr="001E4FA6">
        <w:trPr>
          <w:cantSplit/>
          <w:trHeight w:val="288"/>
          <w:jc w:val="center"/>
        </w:trPr>
        <w:tc>
          <w:tcPr>
            <w:tcW w:w="450" w:type="dxa"/>
          </w:tcPr>
          <w:p w14:paraId="2024F427" w14:textId="77777777" w:rsidR="00A01F63" w:rsidRPr="00A01F63" w:rsidRDefault="00A01F63" w:rsidP="001E4FA6">
            <w:pPr>
              <w:spacing w:after="40"/>
              <w:jc w:val="center"/>
              <w:rPr>
                <w:rFonts w:ascii="Arial" w:hAnsi="Arial" w:cs="Arial"/>
                <w:sz w:val="22"/>
                <w:szCs w:val="22"/>
              </w:rPr>
            </w:pPr>
            <w:r w:rsidRPr="00A01F63">
              <w:rPr>
                <w:rFonts w:ascii="Arial" w:hAnsi="Arial" w:cs="Arial"/>
                <w:sz w:val="22"/>
                <w:szCs w:val="22"/>
              </w:rPr>
              <w:t>6.</w:t>
            </w:r>
          </w:p>
        </w:tc>
        <w:tc>
          <w:tcPr>
            <w:tcW w:w="1944" w:type="dxa"/>
          </w:tcPr>
          <w:p w14:paraId="44B730FE"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Design/Analysis</w:t>
            </w:r>
          </w:p>
        </w:tc>
        <w:tc>
          <w:tcPr>
            <w:tcW w:w="6354" w:type="dxa"/>
          </w:tcPr>
          <w:p w14:paraId="42DF5C49" w14:textId="643F6859" w:rsidR="00132692" w:rsidRDefault="00132692" w:rsidP="001E4FA6">
            <w:pPr>
              <w:spacing w:after="40"/>
              <w:rPr>
                <w:rFonts w:ascii="Arial" w:hAnsi="Arial" w:cs="Arial"/>
                <w:sz w:val="22"/>
                <w:szCs w:val="22"/>
              </w:rPr>
            </w:pPr>
            <w:r>
              <w:rPr>
                <w:rFonts w:ascii="Arial" w:hAnsi="Arial" w:cs="Arial"/>
                <w:sz w:val="22"/>
                <w:szCs w:val="22"/>
              </w:rPr>
              <w:t xml:space="preserve">PDS </w:t>
            </w:r>
            <w:hyperlink r:id="rId436" w:history="1">
              <w:r w:rsidRPr="00132692">
                <w:rPr>
                  <w:rStyle w:val="Hyperlink"/>
                  <w:rFonts w:ascii="Arial" w:hAnsi="Arial" w:cs="Arial"/>
                  <w:sz w:val="22"/>
                  <w:szCs w:val="22"/>
                </w:rPr>
                <w:t>Spreadsheets</w:t>
              </w:r>
            </w:hyperlink>
            <w:r>
              <w:rPr>
                <w:rFonts w:ascii="Arial" w:hAnsi="Arial" w:cs="Arial"/>
                <w:sz w:val="22"/>
                <w:szCs w:val="22"/>
              </w:rPr>
              <w:t xml:space="preserve"> 1, 3-6, 8</w:t>
            </w:r>
            <w:r w:rsidR="00A10658" w:rsidRPr="00A10658">
              <w:rPr>
                <w:rFonts w:ascii="Arial" w:hAnsi="Arial" w:cs="Arial"/>
                <w:sz w:val="22"/>
                <w:szCs w:val="22"/>
              </w:rPr>
              <w:t>, 9</w:t>
            </w:r>
          </w:p>
          <w:p w14:paraId="0DE43876" w14:textId="1ED3EAF7" w:rsidR="00A01F63" w:rsidRPr="00A01F63" w:rsidRDefault="00A01F63" w:rsidP="001E4FA6">
            <w:pPr>
              <w:spacing w:after="40"/>
              <w:rPr>
                <w:rFonts w:ascii="Arial" w:hAnsi="Arial" w:cs="Arial"/>
                <w:sz w:val="22"/>
                <w:szCs w:val="22"/>
              </w:rPr>
            </w:pPr>
            <w:r w:rsidRPr="00A01F63">
              <w:rPr>
                <w:rFonts w:ascii="Arial" w:hAnsi="Arial" w:cs="Arial"/>
                <w:sz w:val="22"/>
                <w:szCs w:val="22"/>
              </w:rPr>
              <w:t xml:space="preserve">Pavement design </w:t>
            </w:r>
            <w:r w:rsidR="00A10658" w:rsidRPr="00A10658">
              <w:rPr>
                <w:rFonts w:ascii="Arial" w:hAnsi="Arial" w:cs="Arial"/>
                <w:sz w:val="22"/>
                <w:szCs w:val="22"/>
              </w:rPr>
              <w:t>files</w:t>
            </w:r>
            <w:r w:rsidR="003D35CC">
              <w:rPr>
                <w:rFonts w:ascii="Arial" w:hAnsi="Arial" w:cs="Arial"/>
                <w:sz w:val="22"/>
                <w:szCs w:val="22"/>
              </w:rPr>
              <w:t xml:space="preserve"> (including RSL Calculations and AASHTO ME</w:t>
            </w:r>
            <w:r w:rsidR="00A10658" w:rsidRPr="00A10658">
              <w:rPr>
                <w:rFonts w:ascii="Arial" w:hAnsi="Arial" w:cs="Arial"/>
                <w:sz w:val="22"/>
                <w:szCs w:val="22"/>
              </w:rPr>
              <w:t xml:space="preserve"> input files and</w:t>
            </w:r>
            <w:r w:rsidR="003D35CC">
              <w:rPr>
                <w:rFonts w:ascii="Arial" w:hAnsi="Arial" w:cs="Arial"/>
                <w:sz w:val="22"/>
                <w:szCs w:val="22"/>
              </w:rPr>
              <w:t xml:space="preserve"> design outputs)</w:t>
            </w:r>
          </w:p>
          <w:p w14:paraId="0756B57A"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Cut/Fill quantity calculations</w:t>
            </w:r>
          </w:p>
          <w:p w14:paraId="247CBC0C"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Soil property information – shrinkage factors, in-situ moisture, densities</w:t>
            </w:r>
          </w:p>
          <w:p w14:paraId="6046F113"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 xml:space="preserve">Data Analysis calculations/outputs </w:t>
            </w:r>
          </w:p>
          <w:p w14:paraId="1C9B4224" w14:textId="77777777" w:rsidR="00A01F63" w:rsidRPr="00A01F63" w:rsidRDefault="00A01F63" w:rsidP="001E4FA6">
            <w:pPr>
              <w:spacing w:after="40"/>
              <w:rPr>
                <w:rFonts w:ascii="Arial" w:hAnsi="Arial" w:cs="Arial"/>
                <w:sz w:val="22"/>
                <w:szCs w:val="22"/>
              </w:rPr>
            </w:pPr>
            <w:r w:rsidRPr="00A01F63">
              <w:rPr>
                <w:rFonts w:ascii="Arial" w:hAnsi="Arial" w:cs="Arial"/>
                <w:sz w:val="22"/>
                <w:szCs w:val="22"/>
              </w:rPr>
              <w:t>Geotechnical design outputs</w:t>
            </w:r>
          </w:p>
        </w:tc>
      </w:tr>
    </w:tbl>
    <w:p w14:paraId="77581B8D" w14:textId="77777777" w:rsidR="00A01F63" w:rsidRPr="00A01F63" w:rsidRDefault="00A01F63" w:rsidP="00BE3F24">
      <w:pPr>
        <w:rPr>
          <w:rFonts w:ascii="Arial" w:hAnsi="Arial" w:cs="Arial"/>
          <w:sz w:val="22"/>
          <w:szCs w:val="22"/>
        </w:rPr>
      </w:pPr>
      <w:r w:rsidRPr="00A01F63">
        <w:rPr>
          <w:rFonts w:ascii="Arial" w:hAnsi="Arial" w:cs="Arial"/>
          <w:sz w:val="22"/>
          <w:szCs w:val="22"/>
        </w:rPr>
        <w:tab/>
      </w:r>
      <w:r w:rsidRPr="00A01F63">
        <w:rPr>
          <w:rFonts w:ascii="Arial" w:hAnsi="Arial" w:cs="Arial"/>
          <w:sz w:val="22"/>
          <w:szCs w:val="22"/>
        </w:rPr>
        <w:tab/>
      </w:r>
    </w:p>
    <w:p w14:paraId="0A25F0CE" w14:textId="77777777" w:rsidR="001A15B9" w:rsidRDefault="00A01F63" w:rsidP="00172E64">
      <w:pPr>
        <w:numPr>
          <w:ilvl w:val="0"/>
          <w:numId w:val="73"/>
        </w:numPr>
        <w:ind w:left="0" w:firstLine="0"/>
        <w:rPr>
          <w:rFonts w:ascii="Arial" w:hAnsi="Arial" w:cs="Arial"/>
          <w:b/>
          <w:sz w:val="22"/>
          <w:szCs w:val="22"/>
        </w:rPr>
      </w:pPr>
      <w:r w:rsidRPr="00A01F63">
        <w:rPr>
          <w:rFonts w:ascii="Arial" w:hAnsi="Arial" w:cs="Arial"/>
          <w:b/>
          <w:sz w:val="22"/>
          <w:szCs w:val="22"/>
        </w:rPr>
        <w:t xml:space="preserve">Organization of Project File Folders </w:t>
      </w:r>
    </w:p>
    <w:p w14:paraId="6C93B69F" w14:textId="42E9BB28" w:rsidR="001A15B9" w:rsidRDefault="00A01F63" w:rsidP="00172E64">
      <w:pPr>
        <w:numPr>
          <w:ilvl w:val="0"/>
          <w:numId w:val="74"/>
        </w:numPr>
        <w:tabs>
          <w:tab w:val="clear" w:pos="360"/>
          <w:tab w:val="num" w:pos="1080"/>
        </w:tabs>
        <w:ind w:left="720" w:hanging="720"/>
        <w:jc w:val="both"/>
        <w:rPr>
          <w:rFonts w:ascii="Arial" w:hAnsi="Arial" w:cs="Arial"/>
          <w:sz w:val="22"/>
          <w:szCs w:val="22"/>
        </w:rPr>
      </w:pPr>
      <w:r w:rsidRPr="00A01F63">
        <w:rPr>
          <w:rFonts w:ascii="Arial" w:hAnsi="Arial" w:cs="Arial"/>
          <w:sz w:val="22"/>
          <w:szCs w:val="22"/>
        </w:rPr>
        <w:t xml:space="preserve">All project file folders are stored by County, Route Number, Route (IS/MD/US), Route Suffix (AL/BU/SC) and Milepoints in PAGD file room. </w:t>
      </w:r>
    </w:p>
    <w:p w14:paraId="79D1DCE8" w14:textId="77777777" w:rsidR="001A15B9" w:rsidRDefault="00A01F63" w:rsidP="00172E64">
      <w:pPr>
        <w:numPr>
          <w:ilvl w:val="0"/>
          <w:numId w:val="74"/>
        </w:numPr>
        <w:tabs>
          <w:tab w:val="clear" w:pos="360"/>
          <w:tab w:val="num" w:pos="1080"/>
        </w:tabs>
        <w:ind w:left="720" w:hanging="720"/>
        <w:jc w:val="both"/>
        <w:rPr>
          <w:rFonts w:ascii="Arial" w:hAnsi="Arial" w:cs="Arial"/>
          <w:sz w:val="22"/>
          <w:szCs w:val="22"/>
        </w:rPr>
      </w:pPr>
      <w:r w:rsidRPr="00A01F63">
        <w:rPr>
          <w:rFonts w:ascii="Arial" w:hAnsi="Arial" w:cs="Arial"/>
          <w:sz w:val="22"/>
          <w:szCs w:val="22"/>
        </w:rPr>
        <w:t>Project files without a route number (county roads, etc.) will be filed at the end of the county in alphabetical order by road name or project location.</w:t>
      </w:r>
    </w:p>
    <w:p w14:paraId="0314A6E6" w14:textId="77777777" w:rsidR="00A01F63" w:rsidRPr="00A01F63" w:rsidRDefault="00A01F63" w:rsidP="001E4FA6">
      <w:pPr>
        <w:jc w:val="both"/>
        <w:rPr>
          <w:rFonts w:ascii="Arial" w:hAnsi="Arial" w:cs="Arial"/>
          <w:b/>
          <w:sz w:val="22"/>
          <w:szCs w:val="22"/>
        </w:rPr>
      </w:pPr>
    </w:p>
    <w:p w14:paraId="4A536759" w14:textId="77777777" w:rsidR="001A15B9" w:rsidRDefault="00A01F63" w:rsidP="00172E64">
      <w:pPr>
        <w:numPr>
          <w:ilvl w:val="0"/>
          <w:numId w:val="73"/>
        </w:numPr>
        <w:ind w:left="0" w:firstLine="0"/>
        <w:jc w:val="both"/>
        <w:rPr>
          <w:rFonts w:ascii="Arial" w:hAnsi="Arial" w:cs="Arial"/>
          <w:b/>
          <w:sz w:val="22"/>
          <w:szCs w:val="22"/>
        </w:rPr>
      </w:pPr>
      <w:r w:rsidRPr="00A01F63">
        <w:rPr>
          <w:rFonts w:ascii="Arial" w:hAnsi="Arial" w:cs="Arial"/>
          <w:b/>
          <w:sz w:val="22"/>
          <w:szCs w:val="22"/>
        </w:rPr>
        <w:t xml:space="preserve">Organization of Project Plans </w:t>
      </w:r>
    </w:p>
    <w:p w14:paraId="7CB09819" w14:textId="77777777" w:rsidR="001A15B9" w:rsidRDefault="00A01F63" w:rsidP="00172E64">
      <w:pPr>
        <w:numPr>
          <w:ilvl w:val="0"/>
          <w:numId w:val="75"/>
        </w:numPr>
        <w:tabs>
          <w:tab w:val="clear" w:pos="360"/>
          <w:tab w:val="num" w:pos="1080"/>
        </w:tabs>
        <w:ind w:left="720" w:hanging="720"/>
        <w:jc w:val="both"/>
        <w:rPr>
          <w:rFonts w:ascii="Arial" w:hAnsi="Arial" w:cs="Arial"/>
          <w:sz w:val="22"/>
          <w:szCs w:val="22"/>
        </w:rPr>
      </w:pPr>
      <w:r w:rsidRPr="00A01F63">
        <w:rPr>
          <w:rFonts w:ascii="Arial" w:hAnsi="Arial" w:cs="Arial"/>
          <w:sz w:val="22"/>
          <w:szCs w:val="22"/>
        </w:rPr>
        <w:t>All project plans are stored by District.  Keep plans according to District area in PAGD file room, and document in Projects Database where they are located.</w:t>
      </w:r>
    </w:p>
    <w:p w14:paraId="1DC7F4F7" w14:textId="77777777" w:rsidR="00A01F63" w:rsidRPr="00A01F63" w:rsidRDefault="00A01F63" w:rsidP="001E4FA6">
      <w:pPr>
        <w:jc w:val="both"/>
        <w:rPr>
          <w:rFonts w:ascii="Arial" w:hAnsi="Arial" w:cs="Arial"/>
          <w:sz w:val="22"/>
          <w:szCs w:val="22"/>
        </w:rPr>
      </w:pPr>
    </w:p>
    <w:p w14:paraId="1B0D6134" w14:textId="77777777" w:rsidR="001A15B9" w:rsidRDefault="00A01F63" w:rsidP="00172E64">
      <w:pPr>
        <w:numPr>
          <w:ilvl w:val="0"/>
          <w:numId w:val="73"/>
        </w:numPr>
        <w:ind w:left="0" w:firstLine="0"/>
        <w:jc w:val="both"/>
        <w:rPr>
          <w:rFonts w:ascii="Arial" w:hAnsi="Arial" w:cs="Arial"/>
          <w:b/>
          <w:sz w:val="22"/>
          <w:szCs w:val="22"/>
        </w:rPr>
      </w:pPr>
      <w:r w:rsidRPr="00A01F63">
        <w:rPr>
          <w:rFonts w:ascii="Arial" w:hAnsi="Arial" w:cs="Arial"/>
          <w:b/>
          <w:sz w:val="22"/>
          <w:szCs w:val="22"/>
        </w:rPr>
        <w:t>Plan Identification</w:t>
      </w:r>
    </w:p>
    <w:p w14:paraId="6B56C794" w14:textId="77777777" w:rsidR="001A15B9" w:rsidRDefault="00A01F63" w:rsidP="00172E64">
      <w:pPr>
        <w:pStyle w:val="BodyTextIndent"/>
        <w:numPr>
          <w:ilvl w:val="0"/>
          <w:numId w:val="76"/>
        </w:numPr>
        <w:tabs>
          <w:tab w:val="clear" w:pos="360"/>
          <w:tab w:val="num" w:pos="1080"/>
        </w:tabs>
        <w:ind w:left="720" w:hanging="720"/>
        <w:jc w:val="both"/>
        <w:rPr>
          <w:rFonts w:cs="Arial"/>
          <w:szCs w:val="22"/>
        </w:rPr>
      </w:pPr>
      <w:r w:rsidRPr="00A01F63">
        <w:rPr>
          <w:rFonts w:cs="Arial"/>
          <w:szCs w:val="22"/>
        </w:rPr>
        <w:t>Plan identification information should be written on the outside of all plans.  The identification information should include the following:</w:t>
      </w:r>
    </w:p>
    <w:p w14:paraId="7B3361BD" w14:textId="77777777" w:rsidR="001A15B9" w:rsidRDefault="00A01F63" w:rsidP="00172E64">
      <w:pPr>
        <w:pStyle w:val="BodyTextIndent"/>
        <w:numPr>
          <w:ilvl w:val="0"/>
          <w:numId w:val="78"/>
        </w:numPr>
        <w:tabs>
          <w:tab w:val="clear" w:pos="360"/>
          <w:tab w:val="num" w:pos="1800"/>
        </w:tabs>
        <w:ind w:left="1260" w:hanging="540"/>
        <w:jc w:val="both"/>
        <w:rPr>
          <w:rFonts w:cs="Arial"/>
          <w:szCs w:val="22"/>
        </w:rPr>
      </w:pPr>
      <w:r w:rsidRPr="00A01F63">
        <w:rPr>
          <w:rFonts w:cs="Arial"/>
          <w:szCs w:val="22"/>
        </w:rPr>
        <w:t xml:space="preserve">Project Limit Description </w:t>
      </w:r>
    </w:p>
    <w:p w14:paraId="7D397BEE" w14:textId="77777777" w:rsidR="001A15B9" w:rsidRDefault="00A01F63" w:rsidP="00172E64">
      <w:pPr>
        <w:pStyle w:val="BodyTextIndent"/>
        <w:numPr>
          <w:ilvl w:val="0"/>
          <w:numId w:val="78"/>
        </w:numPr>
        <w:tabs>
          <w:tab w:val="clear" w:pos="360"/>
          <w:tab w:val="num" w:pos="1800"/>
        </w:tabs>
        <w:ind w:left="1260" w:hanging="540"/>
        <w:jc w:val="both"/>
        <w:rPr>
          <w:rFonts w:cs="Arial"/>
          <w:szCs w:val="22"/>
        </w:rPr>
      </w:pPr>
      <w:r w:rsidRPr="00A01F63">
        <w:rPr>
          <w:rFonts w:cs="Arial"/>
          <w:szCs w:val="22"/>
        </w:rPr>
        <w:t>Contract # and FMIS # or Charge #</w:t>
      </w:r>
    </w:p>
    <w:p w14:paraId="2154456F" w14:textId="77777777" w:rsidR="001A15B9" w:rsidRDefault="00A01F63" w:rsidP="00172E64">
      <w:pPr>
        <w:pStyle w:val="BodyTextIndent"/>
        <w:numPr>
          <w:ilvl w:val="0"/>
          <w:numId w:val="78"/>
        </w:numPr>
        <w:tabs>
          <w:tab w:val="clear" w:pos="360"/>
          <w:tab w:val="num" w:pos="1800"/>
        </w:tabs>
        <w:ind w:left="1260" w:hanging="540"/>
        <w:jc w:val="both"/>
        <w:rPr>
          <w:rFonts w:cs="Arial"/>
          <w:szCs w:val="22"/>
        </w:rPr>
      </w:pPr>
      <w:r w:rsidRPr="00A01F63">
        <w:rPr>
          <w:rFonts w:cs="Arial"/>
          <w:szCs w:val="22"/>
        </w:rPr>
        <w:t>Type of plans – (PI, Semi-Final, Final, Addendum, Red Line, etc.)</w:t>
      </w:r>
    </w:p>
    <w:p w14:paraId="38F8836C" w14:textId="183B4BC6" w:rsidR="00A01F63" w:rsidRPr="00A01F63" w:rsidRDefault="004D64A3" w:rsidP="00BE3F24">
      <w:pPr>
        <w:rPr>
          <w:rFonts w:ascii="Arial" w:hAnsi="Arial" w:cs="Arial"/>
          <w:sz w:val="22"/>
          <w:szCs w:val="22"/>
        </w:rPr>
      </w:pPr>
      <w:r>
        <w:rPr>
          <w:noProof/>
          <w:sz w:val="22"/>
          <w:szCs w:val="22"/>
        </w:rPr>
        <mc:AlternateContent>
          <mc:Choice Requires="wps">
            <w:drawing>
              <wp:anchor distT="0" distB="0" distL="114300" distR="114300" simplePos="0" relativeHeight="251717120" behindDoc="0" locked="0" layoutInCell="0" allowOverlap="1" wp14:anchorId="3E7D70A2" wp14:editId="58DF72BC">
                <wp:simplePos x="0" y="0"/>
                <wp:positionH relativeFrom="column">
                  <wp:posOffset>1390650</wp:posOffset>
                </wp:positionH>
                <wp:positionV relativeFrom="paragraph">
                  <wp:posOffset>97790</wp:posOffset>
                </wp:positionV>
                <wp:extent cx="3492500" cy="812800"/>
                <wp:effectExtent l="0" t="0" r="12700" b="25400"/>
                <wp:wrapNone/>
                <wp:docPr id="509" name="Rectangle 38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2500" cy="812800"/>
                        </a:xfrm>
                        <a:prstGeom prst="rect">
                          <a:avLst/>
                        </a:prstGeom>
                        <a:solidFill>
                          <a:srgbClr val="FFFF99"/>
                        </a:solidFill>
                        <a:ln w="9525">
                          <a:solidFill>
                            <a:srgbClr val="000000"/>
                          </a:solidFill>
                          <a:miter lim="800000"/>
                          <a:headEnd/>
                          <a:tailEnd/>
                        </a:ln>
                      </wps:spPr>
                      <wps:txbx>
                        <w:txbxContent>
                          <w:p w14:paraId="35171E4A"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MD 32 from US 29 to Brokenland Pkwy</w:t>
                            </w:r>
                          </w:p>
                          <w:p w14:paraId="52F1BF7E"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Contract # HO8255176</w:t>
                            </w:r>
                          </w:p>
                          <w:p w14:paraId="1F4C30F9"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Semi-Final Plans</w:t>
                            </w:r>
                          </w:p>
                          <w:p w14:paraId="48FF7F06" w14:textId="77777777" w:rsidR="009C1A5C" w:rsidRDefault="009C1A5C" w:rsidP="00A01F63">
                            <w:pPr>
                              <w:rPr>
                                <w:rFonts w:ascii="Comic Sans MS" w:hAnsi="Comic Sans MS"/>
                                <w:snapToGrid w:val="0"/>
                                <w:color w:val="000000"/>
                                <w:sz w:val="32"/>
                              </w:rPr>
                            </w:pPr>
                            <w:r>
                              <w:rPr>
                                <w:rFonts w:ascii="Arial" w:hAnsi="Arial"/>
                                <w:snapToGrid w:val="0"/>
                                <w:color w:val="000000"/>
                                <w:sz w:val="28"/>
                              </w:rPr>
                              <w:t>Date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E7D70A2" id="Rectangle 3856" o:spid="_x0000_s1078" style="position:absolute;margin-left:109.5pt;margin-top:7.7pt;width:275pt;height:64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" o:allowincell="f" fillcolor="#ff9">
                <v:textbox>
                  <w:txbxContent>
                    <w:p w14:paraId="35171E4A"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MD 32 from US 29 to Brokenland Pkwy</w:t>
                      </w:r>
                    </w:p>
                    <w:p w14:paraId="52F1BF7E"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Contract # HO8255176</w:t>
                      </w:r>
                    </w:p>
                    <w:p w14:paraId="1F4C30F9" w14:textId="77777777" w:rsidR="009C1A5C" w:rsidRPr="00FE38DE" w:rsidRDefault="009C1A5C" w:rsidP="00A01F63">
                      <w:pPr>
                        <w:rPr>
                          <w:rFonts w:ascii="Arial" w:hAnsi="Arial"/>
                          <w:snapToGrid w:val="0"/>
                          <w:color w:val="000000"/>
                          <w:sz w:val="24"/>
                          <w:szCs w:val="24"/>
                        </w:rPr>
                      </w:pPr>
                      <w:r w:rsidRPr="00FE38DE">
                        <w:rPr>
                          <w:rFonts w:ascii="Arial" w:hAnsi="Arial"/>
                          <w:snapToGrid w:val="0"/>
                          <w:color w:val="000000"/>
                          <w:sz w:val="24"/>
                          <w:szCs w:val="24"/>
                        </w:rPr>
                        <w:t>Semi-Final Plans</w:t>
                      </w:r>
                    </w:p>
                    <w:p w14:paraId="48FF7F06" w14:textId="77777777" w:rsidR="009C1A5C" w:rsidRDefault="009C1A5C" w:rsidP="00A01F63">
                      <w:pPr>
                        <w:rPr>
                          <w:rFonts w:ascii="Comic Sans MS" w:hAnsi="Comic Sans MS"/>
                          <w:snapToGrid w:val="0"/>
                          <w:color w:val="000000"/>
                          <w:sz w:val="32"/>
                        </w:rPr>
                      </w:pPr>
                      <w:r>
                        <w:rPr>
                          <w:rFonts w:ascii="Arial" w:hAnsi="Arial"/>
                          <w:snapToGrid w:val="0"/>
                          <w:color w:val="000000"/>
                          <w:sz w:val="28"/>
                        </w:rPr>
                        <w:t>Date ?</w:t>
                      </w:r>
                    </w:p>
                  </w:txbxContent>
                </v:textbox>
              </v:rect>
            </w:pict>
          </mc:Fallback>
        </mc:AlternateContent>
      </w:r>
    </w:p>
    <w:p w14:paraId="30D6A6BE" w14:textId="77777777" w:rsidR="00A01F63" w:rsidRPr="00A01F63" w:rsidRDefault="00A01F63" w:rsidP="00BE3F24">
      <w:pPr>
        <w:rPr>
          <w:rFonts w:ascii="Arial" w:hAnsi="Arial" w:cs="Arial"/>
          <w:sz w:val="22"/>
          <w:szCs w:val="22"/>
        </w:rPr>
      </w:pPr>
    </w:p>
    <w:p w14:paraId="35C79F11" w14:textId="77777777" w:rsidR="00A01F63" w:rsidRDefault="00A01F63" w:rsidP="00BE3F24">
      <w:pPr>
        <w:rPr>
          <w:rFonts w:ascii="Arial" w:hAnsi="Arial" w:cs="Arial"/>
          <w:sz w:val="22"/>
          <w:szCs w:val="22"/>
        </w:rPr>
      </w:pPr>
    </w:p>
    <w:p w14:paraId="462E1310" w14:textId="77777777" w:rsidR="00A01F63" w:rsidRDefault="00A01F63" w:rsidP="00BE3F24">
      <w:pPr>
        <w:rPr>
          <w:rFonts w:ascii="Arial" w:hAnsi="Arial" w:cs="Arial"/>
          <w:sz w:val="22"/>
          <w:szCs w:val="22"/>
        </w:rPr>
      </w:pPr>
    </w:p>
    <w:p w14:paraId="709E1604" w14:textId="77777777" w:rsidR="00A01F63" w:rsidRPr="00A01F63" w:rsidRDefault="00A01F63" w:rsidP="00BE3F24">
      <w:pPr>
        <w:rPr>
          <w:rFonts w:ascii="Arial" w:hAnsi="Arial" w:cs="Arial"/>
          <w:sz w:val="22"/>
          <w:szCs w:val="22"/>
        </w:rPr>
      </w:pPr>
    </w:p>
    <w:p w14:paraId="7BBF830C" w14:textId="77777777" w:rsidR="00A01F63" w:rsidRPr="00A01F63" w:rsidRDefault="00A01F63" w:rsidP="00BE3F24">
      <w:pPr>
        <w:rPr>
          <w:rFonts w:ascii="Arial" w:hAnsi="Arial" w:cs="Arial"/>
          <w:sz w:val="22"/>
          <w:szCs w:val="22"/>
        </w:rPr>
      </w:pPr>
    </w:p>
    <w:p w14:paraId="7D135D44" w14:textId="77777777" w:rsidR="00A01F63" w:rsidRPr="00A01F63" w:rsidRDefault="00A01F63" w:rsidP="00BE3F24">
      <w:pPr>
        <w:rPr>
          <w:rFonts w:ascii="Arial" w:hAnsi="Arial" w:cs="Arial"/>
          <w:sz w:val="22"/>
          <w:szCs w:val="22"/>
        </w:rPr>
      </w:pPr>
    </w:p>
    <w:p w14:paraId="6AEDE7EC" w14:textId="77777777" w:rsidR="001A15B9" w:rsidRDefault="00A01F63" w:rsidP="00172E64">
      <w:pPr>
        <w:numPr>
          <w:ilvl w:val="0"/>
          <w:numId w:val="73"/>
        </w:numPr>
        <w:ind w:left="0" w:firstLine="0"/>
        <w:rPr>
          <w:rFonts w:ascii="Arial" w:hAnsi="Arial" w:cs="Arial"/>
          <w:b/>
          <w:sz w:val="22"/>
          <w:szCs w:val="22"/>
        </w:rPr>
      </w:pPr>
      <w:r w:rsidRPr="00A01F63">
        <w:rPr>
          <w:rFonts w:ascii="Arial" w:hAnsi="Arial" w:cs="Arial"/>
          <w:b/>
          <w:sz w:val="22"/>
          <w:szCs w:val="22"/>
        </w:rPr>
        <w:t>Life Cycle of Project Plans</w:t>
      </w:r>
    </w:p>
    <w:p w14:paraId="0906763C" w14:textId="6DD4675C" w:rsidR="00693A87" w:rsidRDefault="00A01F63" w:rsidP="00172E64">
      <w:pPr>
        <w:pStyle w:val="BodyTextIndent"/>
        <w:numPr>
          <w:ilvl w:val="0"/>
          <w:numId w:val="76"/>
        </w:numPr>
        <w:tabs>
          <w:tab w:val="clear" w:pos="360"/>
          <w:tab w:val="num" w:pos="1080"/>
        </w:tabs>
        <w:ind w:left="720" w:hanging="720"/>
        <w:jc w:val="both"/>
      </w:pPr>
      <w:r w:rsidRPr="00A01F63">
        <w:rPr>
          <w:rFonts w:cs="Arial"/>
          <w:szCs w:val="22"/>
        </w:rPr>
        <w:t xml:space="preserve">Project plans should remain in the possession and the responsibility of the designer throughout the design process.  For all active projects, PI plans should remain in the possession of the designer until semi-final or final review plans become available.  At that time, the new plans should be checked to verify that comments and corrections were made.  If corrections and/or additions have been </w:t>
      </w:r>
      <w:r w:rsidRPr="00A01F63">
        <w:rPr>
          <w:rFonts w:cs="Arial"/>
          <w:szCs w:val="22"/>
        </w:rPr>
        <w:lastRenderedPageBreak/>
        <w:t>made, then the older set of plans can be recycled.  Field set of plans should not be recycled, unless all information on the field set is recorded in a future version.  This sequence of recycling older sets of plans after proper verification should continue until the project is ready for archive.</w:t>
      </w:r>
      <w:r w:rsidR="00C728F5">
        <w:t xml:space="preserve"> </w:t>
      </w:r>
    </w:p>
    <w:p w14:paraId="088E2BC9" w14:textId="77777777" w:rsidR="001E4FA6" w:rsidRDefault="001E4FA6" w:rsidP="001E4FA6">
      <w:pPr>
        <w:pStyle w:val="BodyTextIndent"/>
        <w:ind w:left="720"/>
        <w:jc w:val="both"/>
      </w:pPr>
    </w:p>
    <w:p w14:paraId="47A5E2BD" w14:textId="77777777" w:rsidR="001A2A14" w:rsidRDefault="001A2A14" w:rsidP="00172E64">
      <w:pPr>
        <w:pStyle w:val="Heading2"/>
        <w:numPr>
          <w:ilvl w:val="1"/>
          <w:numId w:val="185"/>
        </w:numPr>
        <w:spacing w:before="120"/>
        <w:ind w:left="0" w:firstLine="0"/>
        <w:rPr>
          <w:highlight w:val="yellow"/>
        </w:rPr>
        <w:sectPr w:rsidR="001A2A14" w:rsidSect="008B1BAA">
          <w:headerReference w:type="default" r:id="rId437"/>
          <w:footerReference w:type="default" r:id="rId438"/>
          <w:pgSz w:w="12240" w:h="15840" w:code="1"/>
          <w:pgMar w:top="1440" w:right="1800" w:bottom="1440" w:left="1800" w:header="720" w:footer="720" w:gutter="0"/>
          <w:pgNumType w:chapStyle="1"/>
          <w:cols w:space="720"/>
          <w:docGrid w:linePitch="272"/>
        </w:sectPr>
      </w:pPr>
      <w:bookmarkStart w:id="714" w:name="_Materials_and_Typical"/>
      <w:bookmarkStart w:id="715" w:name="_Archiving_Project_Files"/>
      <w:bookmarkStart w:id="716" w:name="_Toc514058030"/>
      <w:bookmarkEnd w:id="714"/>
      <w:bookmarkEnd w:id="715"/>
    </w:p>
    <w:p w14:paraId="7DB1BA30" w14:textId="566DA6D3" w:rsidR="008838AB" w:rsidRPr="003C2771" w:rsidRDefault="001F63D8" w:rsidP="00172E64">
      <w:pPr>
        <w:pStyle w:val="Heading2"/>
        <w:numPr>
          <w:ilvl w:val="1"/>
          <w:numId w:val="185"/>
        </w:numPr>
        <w:spacing w:before="120"/>
        <w:ind w:left="0" w:firstLine="0"/>
      </w:pPr>
      <w:bookmarkStart w:id="717" w:name="_Toc194932425"/>
      <w:r w:rsidRPr="003C2771">
        <w:lastRenderedPageBreak/>
        <w:t>Archiving Project Files and Plans</w:t>
      </w:r>
      <w:bookmarkEnd w:id="716"/>
      <w:bookmarkEnd w:id="717"/>
    </w:p>
    <w:p w14:paraId="2640CA76" w14:textId="52BC77CA" w:rsidR="008838AB" w:rsidRDefault="008838AB" w:rsidP="008838AB"/>
    <w:p w14:paraId="6A47520C" w14:textId="77777777" w:rsidR="00722B46" w:rsidRDefault="00722B46" w:rsidP="00172E64">
      <w:pPr>
        <w:pStyle w:val="Heading3"/>
        <w:numPr>
          <w:ilvl w:val="2"/>
          <w:numId w:val="185"/>
        </w:numPr>
        <w:ind w:left="0" w:firstLine="0"/>
      </w:pPr>
      <w:r>
        <w:t>Procedure</w:t>
      </w:r>
    </w:p>
    <w:p w14:paraId="234C5880" w14:textId="77777777" w:rsidR="00722B46" w:rsidRPr="00221EBB" w:rsidRDefault="00722B46" w:rsidP="008838AB"/>
    <w:p w14:paraId="1EA3D0A2" w14:textId="77777777" w:rsidR="008838AB" w:rsidRPr="00221EBB" w:rsidRDefault="008838AB" w:rsidP="00172E64">
      <w:pPr>
        <w:numPr>
          <w:ilvl w:val="0"/>
          <w:numId w:val="186"/>
        </w:numPr>
        <w:rPr>
          <w:rFonts w:ascii="Arial" w:hAnsi="Arial" w:cs="Arial"/>
          <w:b/>
          <w:sz w:val="22"/>
          <w:szCs w:val="22"/>
        </w:rPr>
      </w:pPr>
      <w:r w:rsidRPr="00221EBB">
        <w:rPr>
          <w:rFonts w:ascii="Arial" w:hAnsi="Arial" w:cs="Arial"/>
          <w:b/>
          <w:sz w:val="22"/>
          <w:szCs w:val="22"/>
        </w:rPr>
        <w:t xml:space="preserve">Timeline for Archiving Electronic Files, Project File Folder and Plans </w:t>
      </w:r>
    </w:p>
    <w:p w14:paraId="0D87A06F" w14:textId="77777777" w:rsidR="008838AB" w:rsidRPr="00221EBB" w:rsidRDefault="008838AB" w:rsidP="00172E64">
      <w:pPr>
        <w:numPr>
          <w:ilvl w:val="0"/>
          <w:numId w:val="72"/>
        </w:numPr>
        <w:tabs>
          <w:tab w:val="num" w:pos="1080"/>
        </w:tabs>
        <w:ind w:left="0" w:firstLine="0"/>
        <w:rPr>
          <w:rFonts w:ascii="Arial" w:hAnsi="Arial" w:cs="Arial"/>
          <w:sz w:val="22"/>
          <w:szCs w:val="22"/>
        </w:rPr>
      </w:pPr>
      <w:r w:rsidRPr="00221EBB">
        <w:rPr>
          <w:rFonts w:ascii="Arial" w:hAnsi="Arial" w:cs="Arial"/>
          <w:sz w:val="22"/>
          <w:szCs w:val="22"/>
        </w:rPr>
        <w:t xml:space="preserve">Electronic file folders on the N: Drive, hard copies of project file folders and plans should be archived to </w:t>
      </w:r>
      <w:r w:rsidR="00F43B42">
        <w:rPr>
          <w:rFonts w:ascii="Arial" w:hAnsi="Arial" w:cs="Arial"/>
          <w:sz w:val="22"/>
          <w:szCs w:val="22"/>
        </w:rPr>
        <w:t xml:space="preserve">MDOT </w:t>
      </w:r>
      <w:r w:rsidR="00221EBB" w:rsidRPr="00221EBB">
        <w:rPr>
          <w:rFonts w:ascii="Arial" w:hAnsi="Arial" w:cs="Arial"/>
          <w:sz w:val="22"/>
          <w:szCs w:val="22"/>
        </w:rPr>
        <w:t xml:space="preserve">SharePoint </w:t>
      </w:r>
      <w:r w:rsidRPr="00221EBB">
        <w:rPr>
          <w:rFonts w:ascii="Arial" w:hAnsi="Arial" w:cs="Arial"/>
          <w:sz w:val="22"/>
          <w:szCs w:val="22"/>
        </w:rPr>
        <w:t>once construction on the project is complete and/or the Materials Clearance letter for the project is received.  Archiving project files and plans should be performed by the PAGD Engineer after discussion with the</w:t>
      </w:r>
      <w:r w:rsidRPr="00221EBB">
        <w:rPr>
          <w:rFonts w:ascii="Arial" w:hAnsi="Arial" w:cs="Arial"/>
          <w:bCs/>
          <w:sz w:val="22"/>
          <w:szCs w:val="22"/>
        </w:rPr>
        <w:t xml:space="preserve"> Design TL.</w:t>
      </w:r>
      <w:r w:rsidRPr="00221EBB">
        <w:rPr>
          <w:rFonts w:ascii="Arial" w:hAnsi="Arial" w:cs="Arial"/>
          <w:sz w:val="22"/>
          <w:szCs w:val="22"/>
        </w:rPr>
        <w:t xml:space="preserve"> </w:t>
      </w:r>
    </w:p>
    <w:p w14:paraId="2722840A" w14:textId="77777777" w:rsidR="008838AB" w:rsidRPr="00B24324" w:rsidRDefault="008838AB" w:rsidP="008838AB">
      <w:pPr>
        <w:rPr>
          <w:rFonts w:ascii="Arial" w:hAnsi="Arial" w:cs="Arial"/>
          <w:sz w:val="22"/>
          <w:szCs w:val="22"/>
        </w:rPr>
      </w:pPr>
    </w:p>
    <w:p w14:paraId="72303292" w14:textId="77777777" w:rsidR="008838AB" w:rsidRPr="00B24324" w:rsidRDefault="008838AB" w:rsidP="00172E64">
      <w:pPr>
        <w:numPr>
          <w:ilvl w:val="0"/>
          <w:numId w:val="186"/>
        </w:numPr>
        <w:rPr>
          <w:rFonts w:ascii="Arial" w:hAnsi="Arial" w:cs="Arial"/>
          <w:b/>
          <w:sz w:val="22"/>
          <w:szCs w:val="22"/>
        </w:rPr>
      </w:pPr>
      <w:r w:rsidRPr="00B24324">
        <w:rPr>
          <w:rFonts w:ascii="Arial" w:hAnsi="Arial" w:cs="Arial"/>
          <w:b/>
          <w:sz w:val="22"/>
          <w:szCs w:val="22"/>
        </w:rPr>
        <w:t xml:space="preserve">Preparing </w:t>
      </w:r>
      <w:r>
        <w:rPr>
          <w:rFonts w:ascii="Arial" w:hAnsi="Arial" w:cs="Arial"/>
          <w:b/>
          <w:sz w:val="22"/>
          <w:szCs w:val="22"/>
        </w:rPr>
        <w:t xml:space="preserve">Electronic File Folders </w:t>
      </w:r>
      <w:r w:rsidRPr="00B24324">
        <w:rPr>
          <w:rFonts w:ascii="Arial" w:hAnsi="Arial" w:cs="Arial"/>
          <w:b/>
          <w:sz w:val="22"/>
          <w:szCs w:val="22"/>
        </w:rPr>
        <w:t xml:space="preserve">for Archiving </w:t>
      </w:r>
    </w:p>
    <w:p w14:paraId="3E10FB0F" w14:textId="77777777" w:rsidR="008838AB" w:rsidRPr="00B24324" w:rsidRDefault="008838AB" w:rsidP="00172E64">
      <w:pPr>
        <w:numPr>
          <w:ilvl w:val="0"/>
          <w:numId w:val="72"/>
        </w:numPr>
        <w:tabs>
          <w:tab w:val="num" w:pos="1080"/>
        </w:tabs>
        <w:ind w:left="0" w:firstLine="0"/>
        <w:rPr>
          <w:rFonts w:ascii="Arial" w:hAnsi="Arial" w:cs="Arial"/>
          <w:sz w:val="22"/>
          <w:szCs w:val="22"/>
        </w:rPr>
      </w:pPr>
      <w:r w:rsidRPr="00B24324">
        <w:rPr>
          <w:rFonts w:ascii="Arial" w:hAnsi="Arial" w:cs="Arial"/>
          <w:sz w:val="22"/>
          <w:szCs w:val="22"/>
        </w:rPr>
        <w:t>Electronic file folders on the N: Drive should be named using the naming convention in Section 9.07 if not already done so.</w:t>
      </w:r>
    </w:p>
    <w:p w14:paraId="2C7C3735" w14:textId="77777777" w:rsidR="008838AB" w:rsidRDefault="008838AB" w:rsidP="00172E64">
      <w:pPr>
        <w:numPr>
          <w:ilvl w:val="0"/>
          <w:numId w:val="72"/>
        </w:numPr>
        <w:tabs>
          <w:tab w:val="num" w:pos="1080"/>
        </w:tabs>
        <w:ind w:left="0" w:firstLine="0"/>
        <w:rPr>
          <w:rFonts w:ascii="Arial" w:hAnsi="Arial" w:cs="Arial"/>
          <w:sz w:val="22"/>
          <w:szCs w:val="22"/>
        </w:rPr>
      </w:pPr>
      <w:r w:rsidRPr="00B24324">
        <w:rPr>
          <w:rFonts w:ascii="Arial" w:hAnsi="Arial" w:cs="Arial"/>
          <w:sz w:val="22"/>
          <w:szCs w:val="22"/>
        </w:rPr>
        <w:t xml:space="preserve">Main subfolders in the electronic file folders on the N:Drive should be organized into  the six section folder structure outlined in Section 9.07 if not already done so.  This folder structure is the same six section structure for the hard copy </w:t>
      </w:r>
      <w:r>
        <w:rPr>
          <w:rFonts w:ascii="Arial" w:hAnsi="Arial" w:cs="Arial"/>
          <w:sz w:val="22"/>
          <w:szCs w:val="22"/>
        </w:rPr>
        <w:t xml:space="preserve">project </w:t>
      </w:r>
      <w:r w:rsidRPr="00B24324">
        <w:rPr>
          <w:rFonts w:ascii="Arial" w:hAnsi="Arial" w:cs="Arial"/>
          <w:sz w:val="22"/>
          <w:szCs w:val="22"/>
        </w:rPr>
        <w:t xml:space="preserve">file folders. </w:t>
      </w:r>
    </w:p>
    <w:p w14:paraId="345EAE0B" w14:textId="77777777" w:rsidR="008838AB" w:rsidRPr="00D27C41" w:rsidRDefault="008838AB" w:rsidP="00172E64">
      <w:pPr>
        <w:numPr>
          <w:ilvl w:val="0"/>
          <w:numId w:val="72"/>
        </w:numPr>
        <w:tabs>
          <w:tab w:val="num" w:pos="1080"/>
        </w:tabs>
        <w:ind w:left="0" w:firstLine="0"/>
        <w:rPr>
          <w:rFonts w:ascii="Arial" w:hAnsi="Arial" w:cs="Arial"/>
          <w:sz w:val="22"/>
          <w:szCs w:val="22"/>
        </w:rPr>
      </w:pPr>
      <w:r w:rsidRPr="00D27C41">
        <w:rPr>
          <w:rFonts w:ascii="Arial" w:hAnsi="Arial" w:cs="Arial"/>
          <w:sz w:val="22"/>
          <w:szCs w:val="22"/>
        </w:rPr>
        <w:t>Any electronic plans or drawings should be saved in the root directory (same location as Sections 1 through 6)</w:t>
      </w:r>
    </w:p>
    <w:p w14:paraId="2F47A1E8" w14:textId="77777777" w:rsidR="008838AB" w:rsidRPr="00B24324" w:rsidRDefault="008838AB" w:rsidP="008838AB">
      <w:pPr>
        <w:tabs>
          <w:tab w:val="num" w:pos="1080"/>
        </w:tabs>
        <w:rPr>
          <w:rFonts w:ascii="Arial" w:hAnsi="Arial" w:cs="Arial"/>
          <w:sz w:val="22"/>
          <w:szCs w:val="22"/>
        </w:rPr>
      </w:pPr>
    </w:p>
    <w:p w14:paraId="6A1B06D0" w14:textId="77777777" w:rsidR="008838AB" w:rsidRPr="00B24324" w:rsidRDefault="008838AB" w:rsidP="008838AB">
      <w:pPr>
        <w:tabs>
          <w:tab w:val="num" w:pos="1080"/>
        </w:tabs>
        <w:ind w:left="1080"/>
        <w:rPr>
          <w:rFonts w:ascii="Arial" w:hAnsi="Arial" w:cs="Arial"/>
          <w:sz w:val="22"/>
          <w:szCs w:val="22"/>
        </w:rPr>
      </w:pPr>
      <w:r w:rsidRPr="00B24324">
        <w:rPr>
          <w:rFonts w:ascii="Arial" w:hAnsi="Arial" w:cs="Arial"/>
          <w:sz w:val="22"/>
          <w:szCs w:val="22"/>
        </w:rPr>
        <w:t>Note: Our previous electronic file folder structure consisted of five main subfolders named as “Analysis”, “Construction”, “Correspondence”, “Report”, and “Test Data” .  These folders should be renamed as follows match the current subfolder naming convention:</w:t>
      </w:r>
    </w:p>
    <w:p w14:paraId="29E148FC" w14:textId="77777777" w:rsidR="008838AB" w:rsidRPr="00B24324" w:rsidRDefault="008838AB" w:rsidP="008838AB">
      <w:pPr>
        <w:tabs>
          <w:tab w:val="num" w:pos="1080"/>
        </w:tabs>
        <w:rPr>
          <w:rFonts w:ascii="Arial" w:hAnsi="Arial" w:cs="Arial"/>
          <w:sz w:val="22"/>
          <w:szCs w:val="22"/>
        </w:rPr>
      </w:pPr>
    </w:p>
    <w:p w14:paraId="42B9A2D8" w14:textId="77777777" w:rsidR="008838AB" w:rsidRPr="00B24324" w:rsidRDefault="008838AB" w:rsidP="00172E64">
      <w:pPr>
        <w:pStyle w:val="ListParagraph"/>
        <w:numPr>
          <w:ilvl w:val="2"/>
          <w:numId w:val="187"/>
        </w:numPr>
        <w:tabs>
          <w:tab w:val="num" w:pos="1080"/>
        </w:tabs>
        <w:rPr>
          <w:rFonts w:ascii="Arial" w:hAnsi="Arial" w:cs="Arial"/>
          <w:sz w:val="22"/>
          <w:szCs w:val="22"/>
        </w:rPr>
      </w:pPr>
      <w:bookmarkStart w:id="718" w:name="_Hlk498947120"/>
      <w:r w:rsidRPr="00B24324">
        <w:rPr>
          <w:rFonts w:ascii="Arial" w:hAnsi="Arial" w:cs="Arial"/>
          <w:sz w:val="22"/>
          <w:szCs w:val="22"/>
        </w:rPr>
        <w:t xml:space="preserve">“Analysis” </w:t>
      </w:r>
      <w:r w:rsidRPr="00B24324">
        <w:sym w:font="Wingdings" w:char="F0E0"/>
      </w:r>
      <w:r w:rsidRPr="00B24324">
        <w:rPr>
          <w:rFonts w:ascii="Arial" w:hAnsi="Arial" w:cs="Arial"/>
          <w:sz w:val="22"/>
          <w:szCs w:val="22"/>
        </w:rPr>
        <w:t xml:space="preserve"> “Section 6 – Design and Analysis”</w:t>
      </w:r>
      <w:bookmarkEnd w:id="718"/>
    </w:p>
    <w:p w14:paraId="66A91441" w14:textId="77777777" w:rsidR="008838AB" w:rsidRPr="00B24324" w:rsidRDefault="008838AB" w:rsidP="00172E64">
      <w:pPr>
        <w:pStyle w:val="ListParagraph"/>
        <w:numPr>
          <w:ilvl w:val="2"/>
          <w:numId w:val="187"/>
        </w:numPr>
        <w:tabs>
          <w:tab w:val="num" w:pos="1080"/>
        </w:tabs>
        <w:rPr>
          <w:rFonts w:ascii="Arial" w:hAnsi="Arial" w:cs="Arial"/>
          <w:sz w:val="22"/>
          <w:szCs w:val="22"/>
        </w:rPr>
      </w:pPr>
      <w:r w:rsidRPr="00B24324">
        <w:rPr>
          <w:rFonts w:ascii="Arial" w:hAnsi="Arial" w:cs="Arial"/>
          <w:sz w:val="22"/>
          <w:szCs w:val="22"/>
        </w:rPr>
        <w:t xml:space="preserve">“Correspondence” </w:t>
      </w:r>
      <w:r w:rsidRPr="00B24324">
        <w:sym w:font="Wingdings" w:char="F0E0"/>
      </w:r>
      <w:r w:rsidRPr="00B24324">
        <w:rPr>
          <w:rFonts w:ascii="Arial" w:hAnsi="Arial" w:cs="Arial"/>
          <w:sz w:val="22"/>
          <w:szCs w:val="22"/>
        </w:rPr>
        <w:t xml:space="preserve"> “Section 3 – Correspondence”</w:t>
      </w:r>
    </w:p>
    <w:p w14:paraId="7F7AEF01" w14:textId="77777777" w:rsidR="008838AB" w:rsidRPr="00B24324" w:rsidRDefault="008838AB" w:rsidP="00172E64">
      <w:pPr>
        <w:pStyle w:val="ListParagraph"/>
        <w:numPr>
          <w:ilvl w:val="2"/>
          <w:numId w:val="187"/>
        </w:numPr>
        <w:tabs>
          <w:tab w:val="num" w:pos="1080"/>
        </w:tabs>
        <w:rPr>
          <w:rFonts w:ascii="Arial" w:hAnsi="Arial" w:cs="Arial"/>
          <w:sz w:val="22"/>
          <w:szCs w:val="22"/>
        </w:rPr>
      </w:pPr>
      <w:r w:rsidRPr="00B24324">
        <w:rPr>
          <w:rFonts w:ascii="Arial" w:hAnsi="Arial" w:cs="Arial"/>
          <w:sz w:val="22"/>
          <w:szCs w:val="22"/>
        </w:rPr>
        <w:t xml:space="preserve">“Report” </w:t>
      </w:r>
      <w:r w:rsidRPr="00B24324">
        <w:sym w:font="Wingdings" w:char="F0E0"/>
      </w:r>
      <w:r w:rsidRPr="00B24324">
        <w:rPr>
          <w:rFonts w:ascii="Arial" w:hAnsi="Arial" w:cs="Arial"/>
          <w:sz w:val="22"/>
          <w:szCs w:val="22"/>
        </w:rPr>
        <w:t xml:space="preserve"> “Section 2 – Reports”</w:t>
      </w:r>
    </w:p>
    <w:p w14:paraId="2A30010F" w14:textId="77777777" w:rsidR="008838AB" w:rsidRPr="00B24324" w:rsidRDefault="008838AB" w:rsidP="00172E64">
      <w:pPr>
        <w:pStyle w:val="ListParagraph"/>
        <w:numPr>
          <w:ilvl w:val="2"/>
          <w:numId w:val="187"/>
        </w:numPr>
        <w:tabs>
          <w:tab w:val="num" w:pos="1080"/>
        </w:tabs>
        <w:rPr>
          <w:rFonts w:ascii="Arial" w:hAnsi="Arial" w:cs="Arial"/>
          <w:sz w:val="22"/>
          <w:szCs w:val="22"/>
        </w:rPr>
      </w:pPr>
      <w:r w:rsidRPr="00B24324">
        <w:rPr>
          <w:rFonts w:ascii="Arial" w:hAnsi="Arial" w:cs="Arial"/>
          <w:sz w:val="22"/>
          <w:szCs w:val="22"/>
        </w:rPr>
        <w:t xml:space="preserve">“Test Data” </w:t>
      </w:r>
      <w:r w:rsidRPr="00B24324">
        <w:sym w:font="Wingdings" w:char="F0E0"/>
      </w:r>
      <w:r w:rsidRPr="00B24324">
        <w:rPr>
          <w:rFonts w:ascii="Arial" w:hAnsi="Arial" w:cs="Arial"/>
          <w:sz w:val="22"/>
          <w:szCs w:val="22"/>
        </w:rPr>
        <w:t xml:space="preserve"> “Section 5 – Field and Lab Data”</w:t>
      </w:r>
    </w:p>
    <w:p w14:paraId="0EA5747E" w14:textId="77777777" w:rsidR="008838AB" w:rsidRPr="00B24324" w:rsidRDefault="008838AB" w:rsidP="008838AB">
      <w:pPr>
        <w:tabs>
          <w:tab w:val="num" w:pos="1080"/>
        </w:tabs>
        <w:rPr>
          <w:rFonts w:ascii="Arial" w:hAnsi="Arial" w:cs="Arial"/>
          <w:sz w:val="22"/>
          <w:szCs w:val="22"/>
        </w:rPr>
      </w:pPr>
      <w:r>
        <w:rPr>
          <w:rFonts w:ascii="Arial" w:hAnsi="Arial" w:cs="Arial"/>
          <w:sz w:val="22"/>
          <w:szCs w:val="22"/>
        </w:rPr>
        <w:tab/>
      </w:r>
    </w:p>
    <w:p w14:paraId="7C72C9A8" w14:textId="77777777" w:rsidR="008838AB" w:rsidRPr="00B24324" w:rsidRDefault="008838AB" w:rsidP="008838AB">
      <w:pPr>
        <w:tabs>
          <w:tab w:val="num" w:pos="1080"/>
        </w:tabs>
        <w:ind w:left="1080"/>
        <w:rPr>
          <w:rFonts w:ascii="Arial" w:hAnsi="Arial" w:cs="Arial"/>
          <w:sz w:val="22"/>
          <w:szCs w:val="22"/>
        </w:rPr>
      </w:pPr>
      <w:r>
        <w:rPr>
          <w:rFonts w:ascii="Arial" w:hAnsi="Arial" w:cs="Arial"/>
          <w:sz w:val="22"/>
          <w:szCs w:val="22"/>
        </w:rPr>
        <w:t>A</w:t>
      </w:r>
      <w:r w:rsidRPr="00B24324">
        <w:rPr>
          <w:rFonts w:ascii="Arial" w:hAnsi="Arial" w:cs="Arial"/>
          <w:sz w:val="22"/>
          <w:szCs w:val="22"/>
        </w:rPr>
        <w:t xml:space="preserve">dd/create two new folders in the </w:t>
      </w:r>
      <w:r>
        <w:rPr>
          <w:rFonts w:ascii="Arial" w:hAnsi="Arial" w:cs="Arial"/>
          <w:sz w:val="22"/>
          <w:szCs w:val="22"/>
        </w:rPr>
        <w:t xml:space="preserve">root </w:t>
      </w:r>
      <w:r w:rsidRPr="00B24324">
        <w:rPr>
          <w:rFonts w:ascii="Arial" w:hAnsi="Arial" w:cs="Arial"/>
          <w:sz w:val="22"/>
          <w:szCs w:val="22"/>
        </w:rPr>
        <w:t xml:space="preserve">electronic project file </w:t>
      </w:r>
      <w:r>
        <w:rPr>
          <w:rFonts w:ascii="Arial" w:hAnsi="Arial" w:cs="Arial"/>
          <w:sz w:val="22"/>
          <w:szCs w:val="22"/>
        </w:rPr>
        <w:t xml:space="preserve">folder </w:t>
      </w:r>
      <w:r w:rsidRPr="00B24324">
        <w:rPr>
          <w:rFonts w:ascii="Arial" w:hAnsi="Arial" w:cs="Arial"/>
          <w:sz w:val="22"/>
          <w:szCs w:val="22"/>
        </w:rPr>
        <w:t>and name them as follows:</w:t>
      </w:r>
    </w:p>
    <w:p w14:paraId="5AAF2199" w14:textId="77777777" w:rsidR="008838AB" w:rsidRPr="00B24324" w:rsidRDefault="008838AB" w:rsidP="008838AB">
      <w:pPr>
        <w:tabs>
          <w:tab w:val="num" w:pos="1080"/>
        </w:tabs>
        <w:rPr>
          <w:rFonts w:ascii="Arial" w:hAnsi="Arial" w:cs="Arial"/>
          <w:sz w:val="22"/>
          <w:szCs w:val="22"/>
        </w:rPr>
      </w:pPr>
    </w:p>
    <w:p w14:paraId="0BA8D642" w14:textId="77777777" w:rsidR="008838AB" w:rsidRPr="00F45C25" w:rsidRDefault="008838AB" w:rsidP="00172E64">
      <w:pPr>
        <w:pStyle w:val="ListParagraph"/>
        <w:numPr>
          <w:ilvl w:val="2"/>
          <w:numId w:val="188"/>
        </w:numPr>
        <w:tabs>
          <w:tab w:val="num" w:pos="1080"/>
        </w:tabs>
        <w:rPr>
          <w:rFonts w:ascii="Arial" w:hAnsi="Arial" w:cs="Arial"/>
          <w:sz w:val="22"/>
          <w:szCs w:val="22"/>
        </w:rPr>
      </w:pPr>
      <w:r w:rsidRPr="00F45C25">
        <w:rPr>
          <w:rFonts w:ascii="Arial" w:hAnsi="Arial" w:cs="Arial"/>
          <w:sz w:val="22"/>
          <w:szCs w:val="22"/>
        </w:rPr>
        <w:t>“Section 1 – Design QA and Summaries”</w:t>
      </w:r>
    </w:p>
    <w:p w14:paraId="67305620" w14:textId="77777777" w:rsidR="008838AB" w:rsidRPr="002E568E" w:rsidRDefault="008838AB" w:rsidP="00172E64">
      <w:pPr>
        <w:pStyle w:val="ListParagraph"/>
        <w:numPr>
          <w:ilvl w:val="2"/>
          <w:numId w:val="188"/>
        </w:numPr>
        <w:tabs>
          <w:tab w:val="num" w:pos="1080"/>
        </w:tabs>
        <w:rPr>
          <w:rFonts w:ascii="Arial" w:hAnsi="Arial" w:cs="Arial"/>
          <w:sz w:val="22"/>
          <w:szCs w:val="22"/>
        </w:rPr>
      </w:pPr>
      <w:r w:rsidRPr="002E568E">
        <w:rPr>
          <w:rFonts w:ascii="Arial" w:hAnsi="Arial" w:cs="Arial"/>
          <w:sz w:val="22"/>
          <w:szCs w:val="22"/>
        </w:rPr>
        <w:t>“Section 4 – Records Review”</w:t>
      </w:r>
    </w:p>
    <w:p w14:paraId="4464F3A6" w14:textId="77777777" w:rsidR="008838AB" w:rsidRPr="002E568E" w:rsidRDefault="008838AB" w:rsidP="008838AB">
      <w:pPr>
        <w:tabs>
          <w:tab w:val="num" w:pos="1080"/>
        </w:tabs>
        <w:rPr>
          <w:rFonts w:ascii="Arial" w:hAnsi="Arial" w:cs="Arial"/>
          <w:sz w:val="22"/>
          <w:szCs w:val="22"/>
        </w:rPr>
      </w:pPr>
      <w:r w:rsidRPr="002E568E">
        <w:rPr>
          <w:rFonts w:ascii="Arial" w:hAnsi="Arial" w:cs="Arial"/>
          <w:sz w:val="22"/>
          <w:szCs w:val="22"/>
        </w:rPr>
        <w:tab/>
      </w:r>
    </w:p>
    <w:p w14:paraId="6FE401F7" w14:textId="77777777" w:rsidR="008838AB" w:rsidRPr="002E568E" w:rsidRDefault="008838AB" w:rsidP="008838AB">
      <w:pPr>
        <w:tabs>
          <w:tab w:val="num" w:pos="1080"/>
        </w:tabs>
        <w:ind w:left="1080"/>
        <w:jc w:val="both"/>
        <w:rPr>
          <w:rFonts w:ascii="Arial" w:hAnsi="Arial" w:cs="Arial"/>
          <w:sz w:val="22"/>
          <w:szCs w:val="22"/>
        </w:rPr>
      </w:pPr>
      <w:r w:rsidRPr="002E568E">
        <w:rPr>
          <w:rFonts w:ascii="Arial" w:hAnsi="Arial" w:cs="Arial"/>
          <w:sz w:val="22"/>
          <w:szCs w:val="22"/>
        </w:rPr>
        <w:t xml:space="preserve">Contents in the “Construction” folder will have to be moved </w:t>
      </w:r>
      <w:r>
        <w:rPr>
          <w:rFonts w:ascii="Arial" w:hAnsi="Arial" w:cs="Arial"/>
          <w:sz w:val="22"/>
          <w:szCs w:val="22"/>
        </w:rPr>
        <w:t>into the appropriate S</w:t>
      </w:r>
      <w:r w:rsidRPr="002E568E">
        <w:rPr>
          <w:rFonts w:ascii="Arial" w:hAnsi="Arial" w:cs="Arial"/>
          <w:sz w:val="22"/>
          <w:szCs w:val="22"/>
        </w:rPr>
        <w:t xml:space="preserve">ections </w:t>
      </w:r>
      <w:r>
        <w:rPr>
          <w:rFonts w:ascii="Arial" w:hAnsi="Arial" w:cs="Arial"/>
          <w:sz w:val="22"/>
          <w:szCs w:val="22"/>
        </w:rPr>
        <w:t>(1 through</w:t>
      </w:r>
      <w:r w:rsidRPr="002E568E">
        <w:rPr>
          <w:rFonts w:ascii="Arial" w:hAnsi="Arial" w:cs="Arial"/>
          <w:sz w:val="22"/>
          <w:szCs w:val="22"/>
        </w:rPr>
        <w:t xml:space="preserve"> 6) based off the six section folder structure outlined Section 9.07.  For example, any construction correspondence should be transferred to Section 3 – Correspondence, if a </w:t>
      </w:r>
      <w:r>
        <w:rPr>
          <w:rFonts w:ascii="Arial" w:hAnsi="Arial" w:cs="Arial"/>
          <w:sz w:val="22"/>
          <w:szCs w:val="22"/>
        </w:rPr>
        <w:t xml:space="preserve">construction </w:t>
      </w:r>
      <w:r w:rsidRPr="002E568E">
        <w:rPr>
          <w:rFonts w:ascii="Arial" w:hAnsi="Arial" w:cs="Arial"/>
          <w:sz w:val="22"/>
          <w:szCs w:val="22"/>
        </w:rPr>
        <w:t>recommendation</w:t>
      </w:r>
      <w:r>
        <w:rPr>
          <w:rFonts w:ascii="Arial" w:hAnsi="Arial" w:cs="Arial"/>
          <w:sz w:val="22"/>
          <w:szCs w:val="22"/>
        </w:rPr>
        <w:t>/report</w:t>
      </w:r>
      <w:r w:rsidRPr="002E568E">
        <w:rPr>
          <w:rFonts w:ascii="Arial" w:hAnsi="Arial" w:cs="Arial"/>
          <w:sz w:val="22"/>
          <w:szCs w:val="22"/>
        </w:rPr>
        <w:t xml:space="preserve"> (e-mail or memo) </w:t>
      </w:r>
      <w:r>
        <w:rPr>
          <w:rFonts w:ascii="Arial" w:hAnsi="Arial" w:cs="Arial"/>
          <w:sz w:val="22"/>
          <w:szCs w:val="22"/>
        </w:rPr>
        <w:t xml:space="preserve">was provided it </w:t>
      </w:r>
      <w:r w:rsidRPr="002E568E">
        <w:rPr>
          <w:rFonts w:ascii="Arial" w:hAnsi="Arial" w:cs="Arial"/>
          <w:sz w:val="22"/>
          <w:szCs w:val="22"/>
        </w:rPr>
        <w:t xml:space="preserve">should be transferred to Section 2 – Reports, etc. </w:t>
      </w:r>
    </w:p>
    <w:p w14:paraId="192C58B2" w14:textId="77777777" w:rsidR="008838AB" w:rsidRPr="00F43B42" w:rsidRDefault="008838AB" w:rsidP="008838AB">
      <w:pPr>
        <w:tabs>
          <w:tab w:val="num" w:pos="1080"/>
        </w:tabs>
        <w:ind w:left="1080"/>
        <w:rPr>
          <w:rFonts w:ascii="Arial" w:hAnsi="Arial" w:cs="Arial"/>
          <w:sz w:val="22"/>
          <w:szCs w:val="22"/>
        </w:rPr>
      </w:pPr>
    </w:p>
    <w:p w14:paraId="555350CC" w14:textId="77777777" w:rsidR="008838AB" w:rsidRDefault="008838AB" w:rsidP="008838AB">
      <w:pPr>
        <w:tabs>
          <w:tab w:val="num" w:pos="1080"/>
        </w:tabs>
        <w:ind w:left="1080"/>
        <w:jc w:val="both"/>
        <w:rPr>
          <w:rFonts w:ascii="Arial" w:hAnsi="Arial" w:cs="Arial"/>
          <w:sz w:val="22"/>
          <w:szCs w:val="22"/>
        </w:rPr>
      </w:pPr>
      <w:r w:rsidRPr="00F43B42">
        <w:rPr>
          <w:rFonts w:ascii="Arial" w:hAnsi="Arial" w:cs="Arial"/>
          <w:sz w:val="22"/>
          <w:szCs w:val="22"/>
        </w:rPr>
        <w:t>Contents in Sections 2, 3, 5 and 6 that belong in Sections 1 and 4, based off project file organization structure outlined in Section 9.08.01 2) should be moved as needed.</w:t>
      </w:r>
    </w:p>
    <w:p w14:paraId="784F7B6C" w14:textId="77777777" w:rsidR="00837115" w:rsidRPr="00F43B42" w:rsidRDefault="00837115" w:rsidP="008838AB">
      <w:pPr>
        <w:tabs>
          <w:tab w:val="num" w:pos="1080"/>
        </w:tabs>
        <w:ind w:left="1080"/>
        <w:jc w:val="both"/>
        <w:rPr>
          <w:rFonts w:ascii="Arial" w:hAnsi="Arial" w:cs="Arial"/>
          <w:sz w:val="22"/>
          <w:szCs w:val="22"/>
        </w:rPr>
      </w:pPr>
    </w:p>
    <w:p w14:paraId="1C3ECBDB" w14:textId="77777777" w:rsidR="008838AB" w:rsidRDefault="008838AB" w:rsidP="008838AB">
      <w:pPr>
        <w:tabs>
          <w:tab w:val="num" w:pos="1080"/>
        </w:tabs>
        <w:ind w:left="1080"/>
        <w:rPr>
          <w:rFonts w:ascii="Arial" w:hAnsi="Arial" w:cs="Arial"/>
          <w:sz w:val="22"/>
          <w:szCs w:val="22"/>
          <w:highlight w:val="cyan"/>
        </w:rPr>
      </w:pPr>
    </w:p>
    <w:p w14:paraId="301F6082" w14:textId="77777777" w:rsidR="008838AB" w:rsidRPr="004960A6" w:rsidRDefault="008838AB" w:rsidP="00172E64">
      <w:pPr>
        <w:numPr>
          <w:ilvl w:val="0"/>
          <w:numId w:val="186"/>
        </w:numPr>
        <w:ind w:left="0" w:firstLine="0"/>
        <w:rPr>
          <w:rFonts w:ascii="Arial" w:hAnsi="Arial" w:cs="Arial"/>
          <w:b/>
          <w:sz w:val="22"/>
          <w:szCs w:val="22"/>
        </w:rPr>
      </w:pPr>
      <w:r w:rsidRPr="004960A6">
        <w:rPr>
          <w:rFonts w:ascii="Arial" w:hAnsi="Arial" w:cs="Arial"/>
          <w:b/>
          <w:sz w:val="22"/>
          <w:szCs w:val="22"/>
        </w:rPr>
        <w:t>Preparing Project File Folders (Hard Copies) for Archiving</w:t>
      </w:r>
    </w:p>
    <w:p w14:paraId="3EC62DCC" w14:textId="77777777" w:rsidR="008838AB" w:rsidRPr="00E85489" w:rsidRDefault="008838AB" w:rsidP="00172E64">
      <w:pPr>
        <w:pStyle w:val="BodyTextIndent"/>
        <w:numPr>
          <w:ilvl w:val="0"/>
          <w:numId w:val="77"/>
        </w:numPr>
        <w:tabs>
          <w:tab w:val="clear" w:pos="360"/>
          <w:tab w:val="left" w:pos="900"/>
          <w:tab w:val="num" w:pos="1080"/>
        </w:tabs>
        <w:ind w:left="0" w:firstLine="0"/>
        <w:jc w:val="both"/>
        <w:rPr>
          <w:rFonts w:cs="Arial"/>
          <w:szCs w:val="22"/>
        </w:rPr>
      </w:pPr>
      <w:r w:rsidRPr="004960A6">
        <w:rPr>
          <w:rFonts w:cs="Arial"/>
          <w:szCs w:val="22"/>
        </w:rPr>
        <w:lastRenderedPageBreak/>
        <w:t>Contents of hard copy project file folders should be organized into the six sections outlined in Section 9.08.01 2</w:t>
      </w:r>
      <w:r w:rsidRPr="00E85489">
        <w:rPr>
          <w:rFonts w:cs="Arial"/>
          <w:szCs w:val="22"/>
        </w:rPr>
        <w:t xml:space="preserve">) if not already done so.  When archiving folders that pre-date this folder structure, the contents of the folder should be separated into these six sections as closely as possible. </w:t>
      </w:r>
    </w:p>
    <w:p w14:paraId="53D7CB64" w14:textId="77777777" w:rsidR="008838AB" w:rsidRDefault="008838AB" w:rsidP="008838AB">
      <w:pPr>
        <w:rPr>
          <w:rFonts w:ascii="Arial" w:hAnsi="Arial" w:cs="Arial"/>
          <w:sz w:val="22"/>
          <w:szCs w:val="22"/>
        </w:rPr>
      </w:pPr>
    </w:p>
    <w:p w14:paraId="18A2A4D4" w14:textId="77777777" w:rsidR="008838AB" w:rsidRPr="003954D2" w:rsidRDefault="008838AB" w:rsidP="00172E64">
      <w:pPr>
        <w:numPr>
          <w:ilvl w:val="0"/>
          <w:numId w:val="186"/>
        </w:numPr>
        <w:ind w:left="0" w:firstLine="0"/>
        <w:rPr>
          <w:rFonts w:ascii="Arial" w:hAnsi="Arial" w:cs="Arial"/>
          <w:b/>
          <w:sz w:val="22"/>
          <w:szCs w:val="22"/>
        </w:rPr>
      </w:pPr>
      <w:r w:rsidRPr="003954D2">
        <w:rPr>
          <w:rFonts w:ascii="Arial" w:hAnsi="Arial" w:cs="Arial"/>
          <w:b/>
          <w:sz w:val="22"/>
          <w:szCs w:val="22"/>
        </w:rPr>
        <w:t xml:space="preserve">File Contents to be Archived </w:t>
      </w:r>
    </w:p>
    <w:p w14:paraId="329A2944" w14:textId="77777777" w:rsidR="008838AB" w:rsidRDefault="008838AB" w:rsidP="00172E64">
      <w:pPr>
        <w:pStyle w:val="BodyTextIndent"/>
        <w:numPr>
          <w:ilvl w:val="0"/>
          <w:numId w:val="77"/>
        </w:numPr>
        <w:tabs>
          <w:tab w:val="clear" w:pos="360"/>
          <w:tab w:val="num" w:pos="720"/>
        </w:tabs>
        <w:ind w:left="0" w:firstLine="0"/>
        <w:rPr>
          <w:rFonts w:cs="Arial"/>
          <w:szCs w:val="22"/>
        </w:rPr>
      </w:pPr>
      <w:r>
        <w:rPr>
          <w:rFonts w:cs="Arial"/>
          <w:szCs w:val="22"/>
        </w:rPr>
        <w:t xml:space="preserve">Contents of hard copy project files and electronic file folders should be archived as noted in the table below. </w:t>
      </w:r>
    </w:p>
    <w:p w14:paraId="5F2DDDC8" w14:textId="77777777" w:rsidR="008838AB" w:rsidRDefault="008838AB" w:rsidP="00172E64">
      <w:pPr>
        <w:pStyle w:val="BodyTextIndent"/>
        <w:numPr>
          <w:ilvl w:val="0"/>
          <w:numId w:val="77"/>
        </w:numPr>
        <w:tabs>
          <w:tab w:val="clear" w:pos="360"/>
          <w:tab w:val="num" w:pos="720"/>
        </w:tabs>
        <w:ind w:left="0" w:firstLine="0"/>
        <w:jc w:val="both"/>
        <w:rPr>
          <w:rFonts w:cs="Arial"/>
          <w:szCs w:val="22"/>
        </w:rPr>
      </w:pPr>
      <w:r w:rsidRPr="003954D2">
        <w:rPr>
          <w:rFonts w:cs="Arial"/>
          <w:szCs w:val="22"/>
        </w:rPr>
        <w:t xml:space="preserve">The contents of the hard copy project file should be compared to the electronic file folder on the N: Drive as </w:t>
      </w:r>
      <w:r>
        <w:rPr>
          <w:rFonts w:cs="Arial"/>
          <w:szCs w:val="22"/>
        </w:rPr>
        <w:t>noted in the table below in order to determine the appropriate storage location of archivable content.</w:t>
      </w:r>
    </w:p>
    <w:p w14:paraId="7DA237D1" w14:textId="77777777" w:rsidR="008838AB" w:rsidRPr="008227A8" w:rsidRDefault="008838AB" w:rsidP="00172E64">
      <w:pPr>
        <w:pStyle w:val="BodyTextIndent"/>
        <w:numPr>
          <w:ilvl w:val="0"/>
          <w:numId w:val="77"/>
        </w:numPr>
        <w:tabs>
          <w:tab w:val="clear" w:pos="360"/>
          <w:tab w:val="num" w:pos="720"/>
        </w:tabs>
        <w:ind w:left="0" w:firstLine="0"/>
        <w:jc w:val="both"/>
        <w:rPr>
          <w:rFonts w:cs="Arial"/>
          <w:szCs w:val="22"/>
        </w:rPr>
      </w:pPr>
      <w:r w:rsidRPr="008227A8">
        <w:rPr>
          <w:rFonts w:cs="Arial"/>
          <w:szCs w:val="22"/>
        </w:rPr>
        <w:t>It is anticipated that m</w:t>
      </w:r>
      <w:r>
        <w:rPr>
          <w:rFonts w:cs="Arial"/>
          <w:szCs w:val="22"/>
        </w:rPr>
        <w:t xml:space="preserve">uch of the content of the </w:t>
      </w:r>
      <w:r w:rsidRPr="008227A8">
        <w:rPr>
          <w:rFonts w:cs="Arial"/>
          <w:szCs w:val="22"/>
        </w:rPr>
        <w:t>hard cop</w:t>
      </w:r>
      <w:r>
        <w:rPr>
          <w:rFonts w:cs="Arial"/>
          <w:szCs w:val="22"/>
        </w:rPr>
        <w:t xml:space="preserve">y </w:t>
      </w:r>
      <w:r w:rsidRPr="008227A8">
        <w:rPr>
          <w:rFonts w:cs="Arial"/>
          <w:szCs w:val="22"/>
        </w:rPr>
        <w:t xml:space="preserve">project files </w:t>
      </w:r>
      <w:r>
        <w:rPr>
          <w:rFonts w:cs="Arial"/>
          <w:szCs w:val="22"/>
        </w:rPr>
        <w:t xml:space="preserve">will have digital/electronic versions in the </w:t>
      </w:r>
      <w:r w:rsidRPr="008227A8">
        <w:rPr>
          <w:rFonts w:cs="Arial"/>
          <w:szCs w:val="22"/>
        </w:rPr>
        <w:t>corresponding electronic file folder on the network</w:t>
      </w:r>
      <w:r>
        <w:rPr>
          <w:rFonts w:cs="Arial"/>
          <w:szCs w:val="22"/>
        </w:rPr>
        <w:t>.</w:t>
      </w:r>
    </w:p>
    <w:p w14:paraId="534437EC" w14:textId="77777777" w:rsidR="008838AB" w:rsidRDefault="008838AB" w:rsidP="00172E64">
      <w:pPr>
        <w:pStyle w:val="BodyTextIndent"/>
        <w:numPr>
          <w:ilvl w:val="0"/>
          <w:numId w:val="77"/>
        </w:numPr>
        <w:tabs>
          <w:tab w:val="clear" w:pos="360"/>
          <w:tab w:val="num" w:pos="720"/>
        </w:tabs>
        <w:ind w:left="0" w:firstLine="0"/>
        <w:jc w:val="both"/>
        <w:rPr>
          <w:rFonts w:cs="Arial"/>
          <w:szCs w:val="22"/>
        </w:rPr>
      </w:pPr>
      <w:r>
        <w:rPr>
          <w:rFonts w:cs="Arial"/>
          <w:szCs w:val="22"/>
        </w:rPr>
        <w:t xml:space="preserve">When scanning contents from the hard copy project file folder, the resulting .pdf file should be renamed </w:t>
      </w:r>
      <w:r w:rsidRPr="00EA0DFA">
        <w:rPr>
          <w:rFonts w:cs="Arial"/>
          <w:szCs w:val="22"/>
        </w:rPr>
        <w:t>appropriately (Ex. MD 32_PD-02.pdf, MD 45_Lab_test_results.pdf).</w:t>
      </w:r>
      <w:r>
        <w:rPr>
          <w:rFonts w:cs="Arial"/>
          <w:szCs w:val="22"/>
        </w:rPr>
        <w:t xml:space="preserve">  Content should be scanned and named individually and not an entire section at a time (except for project correspondence, which can be scanned collectively).</w:t>
      </w:r>
    </w:p>
    <w:p w14:paraId="7B224142" w14:textId="77777777" w:rsidR="008838AB" w:rsidRPr="003954D2" w:rsidRDefault="008838AB" w:rsidP="00172E64">
      <w:pPr>
        <w:pStyle w:val="BodyTextIndent"/>
        <w:numPr>
          <w:ilvl w:val="0"/>
          <w:numId w:val="77"/>
        </w:numPr>
        <w:tabs>
          <w:tab w:val="clear" w:pos="360"/>
          <w:tab w:val="num" w:pos="720"/>
        </w:tabs>
        <w:ind w:left="0" w:firstLine="0"/>
        <w:jc w:val="both"/>
        <w:rPr>
          <w:rFonts w:cs="Arial"/>
          <w:szCs w:val="22"/>
        </w:rPr>
      </w:pPr>
      <w:r>
        <w:rPr>
          <w:rFonts w:cs="Arial"/>
          <w:szCs w:val="22"/>
        </w:rPr>
        <w:t xml:space="preserve">After appropriate content from the hard copy project file is transferred to the electronic file folder, the physical file folder may be reused and the contents recycled.  </w:t>
      </w:r>
    </w:p>
    <w:p w14:paraId="6C2E69B9" w14:textId="77777777" w:rsidR="008838AB" w:rsidRDefault="008838AB" w:rsidP="008838AB">
      <w:pPr>
        <w:rPr>
          <w:rFonts w:ascii="Arial" w:hAnsi="Arial" w:cs="Arial"/>
          <w:sz w:val="22"/>
          <w:szCs w:val="22"/>
          <w:highlight w:val="yellow"/>
        </w:rPr>
      </w:pPr>
    </w:p>
    <w:tbl>
      <w:tblPr>
        <w:tblW w:w="10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0"/>
        <w:gridCol w:w="1882"/>
        <w:gridCol w:w="2520"/>
        <w:gridCol w:w="5580"/>
      </w:tblGrid>
      <w:tr w:rsidR="008838AB" w:rsidRPr="00455A90" w14:paraId="0F3CFF0E" w14:textId="77777777" w:rsidTr="0056128B">
        <w:trPr>
          <w:tblHeader/>
          <w:jc w:val="center"/>
        </w:trPr>
        <w:tc>
          <w:tcPr>
            <w:tcW w:w="2332" w:type="dxa"/>
            <w:gridSpan w:val="2"/>
            <w:shd w:val="pct10" w:color="auto" w:fill="auto"/>
          </w:tcPr>
          <w:p w14:paraId="4B9ADC03" w14:textId="77777777" w:rsidR="008838AB" w:rsidRPr="003954D2" w:rsidRDefault="008838AB" w:rsidP="00B33FB2">
            <w:pPr>
              <w:spacing w:before="40" w:after="40"/>
              <w:jc w:val="center"/>
              <w:rPr>
                <w:rFonts w:ascii="Arial" w:hAnsi="Arial" w:cs="Arial"/>
                <w:sz w:val="22"/>
                <w:szCs w:val="22"/>
              </w:rPr>
            </w:pPr>
            <w:r w:rsidRPr="003954D2">
              <w:rPr>
                <w:rFonts w:ascii="Arial" w:hAnsi="Arial" w:cs="Arial"/>
                <w:sz w:val="22"/>
                <w:szCs w:val="22"/>
              </w:rPr>
              <w:t>Section Heading</w:t>
            </w:r>
          </w:p>
        </w:tc>
        <w:tc>
          <w:tcPr>
            <w:tcW w:w="2520" w:type="dxa"/>
            <w:shd w:val="pct10" w:color="auto" w:fill="auto"/>
          </w:tcPr>
          <w:p w14:paraId="0EF73808" w14:textId="77777777" w:rsidR="008838AB" w:rsidRPr="003954D2" w:rsidRDefault="008838AB" w:rsidP="00B33FB2">
            <w:pPr>
              <w:spacing w:before="40" w:after="40"/>
              <w:rPr>
                <w:rFonts w:ascii="Arial" w:hAnsi="Arial" w:cs="Arial"/>
                <w:sz w:val="22"/>
                <w:szCs w:val="22"/>
              </w:rPr>
            </w:pPr>
            <w:r w:rsidRPr="003954D2">
              <w:rPr>
                <w:rFonts w:ascii="Arial" w:hAnsi="Arial" w:cs="Arial"/>
                <w:sz w:val="22"/>
                <w:szCs w:val="22"/>
              </w:rPr>
              <w:t xml:space="preserve">     Typical Contents</w:t>
            </w:r>
          </w:p>
        </w:tc>
        <w:tc>
          <w:tcPr>
            <w:tcW w:w="5580" w:type="dxa"/>
            <w:shd w:val="pct10" w:color="auto" w:fill="auto"/>
          </w:tcPr>
          <w:p w14:paraId="3D2D55AF" w14:textId="77777777" w:rsidR="008838AB" w:rsidRPr="003954D2" w:rsidRDefault="008838AB" w:rsidP="00B33FB2">
            <w:pPr>
              <w:spacing w:before="40" w:after="40"/>
              <w:rPr>
                <w:rFonts w:ascii="Arial" w:hAnsi="Arial" w:cs="Arial"/>
                <w:sz w:val="22"/>
                <w:szCs w:val="22"/>
              </w:rPr>
            </w:pPr>
            <w:r w:rsidRPr="003954D2">
              <w:rPr>
                <w:rFonts w:ascii="Arial" w:hAnsi="Arial" w:cs="Arial"/>
                <w:sz w:val="22"/>
                <w:szCs w:val="22"/>
              </w:rPr>
              <w:t xml:space="preserve">     Notes</w:t>
            </w:r>
          </w:p>
        </w:tc>
      </w:tr>
      <w:tr w:rsidR="008838AB" w:rsidRPr="00455A90" w14:paraId="1C1D6637" w14:textId="77777777" w:rsidTr="0056128B">
        <w:trPr>
          <w:jc w:val="center"/>
        </w:trPr>
        <w:tc>
          <w:tcPr>
            <w:tcW w:w="450" w:type="dxa"/>
          </w:tcPr>
          <w:p w14:paraId="321185D1" w14:textId="77777777" w:rsidR="008838AB" w:rsidRPr="0015465F" w:rsidRDefault="008838AB" w:rsidP="00B33FB2">
            <w:pPr>
              <w:spacing w:before="40" w:after="40"/>
              <w:jc w:val="center"/>
              <w:rPr>
                <w:rFonts w:ascii="Arial" w:hAnsi="Arial" w:cs="Arial"/>
                <w:sz w:val="22"/>
                <w:szCs w:val="22"/>
              </w:rPr>
            </w:pPr>
            <w:r w:rsidRPr="0015465F">
              <w:rPr>
                <w:rFonts w:ascii="Arial" w:hAnsi="Arial" w:cs="Arial"/>
                <w:sz w:val="22"/>
                <w:szCs w:val="22"/>
              </w:rPr>
              <w:t>1.</w:t>
            </w:r>
          </w:p>
        </w:tc>
        <w:tc>
          <w:tcPr>
            <w:tcW w:w="1882" w:type="dxa"/>
          </w:tcPr>
          <w:p w14:paraId="65477293" w14:textId="77777777" w:rsidR="008838AB" w:rsidRPr="0015465F" w:rsidRDefault="008838AB" w:rsidP="00B33FB2">
            <w:pPr>
              <w:spacing w:before="40" w:after="40"/>
              <w:rPr>
                <w:rFonts w:ascii="Arial" w:hAnsi="Arial" w:cs="Arial"/>
                <w:sz w:val="22"/>
                <w:szCs w:val="22"/>
              </w:rPr>
            </w:pPr>
            <w:r w:rsidRPr="0015465F">
              <w:rPr>
                <w:rFonts w:ascii="Arial" w:hAnsi="Arial" w:cs="Arial"/>
                <w:sz w:val="22"/>
                <w:szCs w:val="22"/>
              </w:rPr>
              <w:t xml:space="preserve">Design QA and summaries </w:t>
            </w:r>
          </w:p>
        </w:tc>
        <w:tc>
          <w:tcPr>
            <w:tcW w:w="2520" w:type="dxa"/>
          </w:tcPr>
          <w:p w14:paraId="01034E78" w14:textId="77777777" w:rsidR="008838AB" w:rsidRPr="0015465F" w:rsidRDefault="008838AB" w:rsidP="00B33FB2">
            <w:pPr>
              <w:spacing w:before="40" w:after="40"/>
              <w:rPr>
                <w:rFonts w:ascii="Arial" w:hAnsi="Arial" w:cs="Arial"/>
                <w:sz w:val="22"/>
                <w:szCs w:val="22"/>
              </w:rPr>
            </w:pPr>
            <w:r w:rsidRPr="0015465F">
              <w:rPr>
                <w:rFonts w:ascii="Arial" w:hAnsi="Arial" w:cs="Arial"/>
                <w:sz w:val="22"/>
                <w:szCs w:val="22"/>
              </w:rPr>
              <w:t xml:space="preserve">PD </w:t>
            </w:r>
            <w:hyperlink w:anchor="_Forms_&amp;_Spreadsheets" w:history="1">
              <w:r w:rsidRPr="0015465F">
                <w:rPr>
                  <w:rStyle w:val="Hyperlink"/>
                  <w:rFonts w:ascii="Arial" w:hAnsi="Arial" w:cs="Arial"/>
                  <w:sz w:val="22"/>
                  <w:szCs w:val="22"/>
                </w:rPr>
                <w:t>Forms</w:t>
              </w:r>
            </w:hyperlink>
            <w:r w:rsidRPr="0015465F">
              <w:rPr>
                <w:rFonts w:ascii="Arial" w:hAnsi="Arial" w:cs="Arial"/>
                <w:sz w:val="22"/>
                <w:szCs w:val="22"/>
              </w:rPr>
              <w:t xml:space="preserve"> 2, 6, 11, PDS-08</w:t>
            </w:r>
          </w:p>
        </w:tc>
        <w:tc>
          <w:tcPr>
            <w:tcW w:w="5580" w:type="dxa"/>
          </w:tcPr>
          <w:p w14:paraId="76E5F5A2" w14:textId="77777777" w:rsidR="008838AB" w:rsidRPr="00B576C1" w:rsidRDefault="008838AB" w:rsidP="00B33FB2">
            <w:pPr>
              <w:spacing w:before="40" w:after="40"/>
              <w:rPr>
                <w:rFonts w:ascii="Arial" w:hAnsi="Arial" w:cs="Arial"/>
                <w:sz w:val="22"/>
                <w:szCs w:val="22"/>
              </w:rPr>
            </w:pPr>
            <w:r w:rsidRPr="00B576C1">
              <w:rPr>
                <w:rFonts w:ascii="Arial" w:hAnsi="Arial" w:cs="Arial"/>
                <w:sz w:val="22"/>
                <w:szCs w:val="22"/>
              </w:rPr>
              <w:t xml:space="preserve">These forms should be archived in the electronic file folder.  </w:t>
            </w:r>
          </w:p>
          <w:p w14:paraId="6F0D2FDA" w14:textId="77777777" w:rsidR="008838AB" w:rsidRPr="00B576C1" w:rsidRDefault="008838AB" w:rsidP="00B33FB2">
            <w:pPr>
              <w:spacing w:before="40" w:after="40"/>
              <w:rPr>
                <w:rFonts w:ascii="Arial" w:hAnsi="Arial" w:cs="Arial"/>
                <w:sz w:val="22"/>
                <w:szCs w:val="22"/>
              </w:rPr>
            </w:pPr>
          </w:p>
          <w:p w14:paraId="67F1A811" w14:textId="77777777" w:rsidR="008838AB" w:rsidRPr="00B576C1" w:rsidRDefault="008838AB" w:rsidP="00B33FB2">
            <w:pPr>
              <w:spacing w:before="40" w:after="40"/>
              <w:rPr>
                <w:rFonts w:ascii="Arial" w:hAnsi="Arial" w:cs="Arial"/>
                <w:sz w:val="22"/>
                <w:szCs w:val="22"/>
              </w:rPr>
            </w:pPr>
            <w:r w:rsidRPr="00B576C1">
              <w:rPr>
                <w:rFonts w:ascii="Arial" w:hAnsi="Arial" w:cs="Arial"/>
                <w:sz w:val="22"/>
                <w:szCs w:val="22"/>
              </w:rPr>
              <w:t xml:space="preserve">The electronic versions should already be in the electronic file folder. </w:t>
            </w:r>
          </w:p>
          <w:p w14:paraId="3CC98757" w14:textId="77777777" w:rsidR="008838AB" w:rsidRPr="00B576C1" w:rsidRDefault="008838AB" w:rsidP="00B33FB2">
            <w:pPr>
              <w:spacing w:before="40" w:after="40"/>
              <w:rPr>
                <w:rFonts w:ascii="Arial" w:hAnsi="Arial" w:cs="Arial"/>
                <w:sz w:val="22"/>
                <w:szCs w:val="22"/>
              </w:rPr>
            </w:pPr>
          </w:p>
          <w:p w14:paraId="1A59F56A" w14:textId="77777777" w:rsidR="008838AB" w:rsidRDefault="008838AB" w:rsidP="00B33FB2">
            <w:pPr>
              <w:spacing w:before="40" w:after="40"/>
              <w:rPr>
                <w:rFonts w:ascii="Arial" w:hAnsi="Arial" w:cs="Arial"/>
                <w:sz w:val="22"/>
                <w:szCs w:val="22"/>
              </w:rPr>
            </w:pPr>
            <w:r w:rsidRPr="00B576C1">
              <w:rPr>
                <w:rFonts w:ascii="Arial" w:hAnsi="Arial" w:cs="Arial"/>
                <w:sz w:val="22"/>
                <w:szCs w:val="22"/>
              </w:rPr>
              <w:t xml:space="preserve">Forms with important handwritten notes from </w:t>
            </w:r>
            <w:r>
              <w:rPr>
                <w:rFonts w:ascii="Arial" w:hAnsi="Arial" w:cs="Arial"/>
                <w:sz w:val="22"/>
                <w:szCs w:val="22"/>
              </w:rPr>
              <w:t xml:space="preserve">this section of </w:t>
            </w:r>
            <w:r w:rsidRPr="00B576C1">
              <w:rPr>
                <w:rFonts w:ascii="Arial" w:hAnsi="Arial" w:cs="Arial"/>
                <w:sz w:val="22"/>
                <w:szCs w:val="22"/>
              </w:rPr>
              <w:t>the project file folder (ex. PD-02 and PD-06) should be scanned, renamed and placed in Section 1 of the electronic file folder.</w:t>
            </w:r>
          </w:p>
          <w:p w14:paraId="0828B110" w14:textId="77777777" w:rsidR="008838AB" w:rsidRPr="00B576C1" w:rsidRDefault="008838AB" w:rsidP="00B33FB2">
            <w:pPr>
              <w:spacing w:before="40" w:after="40"/>
              <w:rPr>
                <w:rFonts w:ascii="Arial" w:hAnsi="Arial" w:cs="Arial"/>
                <w:sz w:val="22"/>
                <w:szCs w:val="22"/>
              </w:rPr>
            </w:pPr>
          </w:p>
        </w:tc>
      </w:tr>
      <w:tr w:rsidR="008838AB" w:rsidRPr="00455A90" w14:paraId="429EC435" w14:textId="77777777" w:rsidTr="0056128B">
        <w:trPr>
          <w:jc w:val="center"/>
        </w:trPr>
        <w:tc>
          <w:tcPr>
            <w:tcW w:w="450" w:type="dxa"/>
          </w:tcPr>
          <w:p w14:paraId="2EE716AF" w14:textId="77777777" w:rsidR="008838AB" w:rsidRPr="00366D07" w:rsidRDefault="008838AB" w:rsidP="00B33FB2">
            <w:pPr>
              <w:spacing w:before="40" w:after="40"/>
              <w:jc w:val="center"/>
              <w:rPr>
                <w:rFonts w:ascii="Arial" w:hAnsi="Arial" w:cs="Arial"/>
                <w:sz w:val="22"/>
                <w:szCs w:val="22"/>
              </w:rPr>
            </w:pPr>
            <w:r w:rsidRPr="00366D07">
              <w:rPr>
                <w:rFonts w:ascii="Arial" w:hAnsi="Arial" w:cs="Arial"/>
                <w:sz w:val="22"/>
                <w:szCs w:val="22"/>
              </w:rPr>
              <w:t>2.</w:t>
            </w:r>
          </w:p>
        </w:tc>
        <w:tc>
          <w:tcPr>
            <w:tcW w:w="1882" w:type="dxa"/>
          </w:tcPr>
          <w:p w14:paraId="725E1515" w14:textId="77777777" w:rsidR="008838AB" w:rsidRPr="00366D07" w:rsidRDefault="008838AB" w:rsidP="00B33FB2">
            <w:pPr>
              <w:spacing w:before="40" w:after="40"/>
              <w:rPr>
                <w:rFonts w:ascii="Arial" w:hAnsi="Arial" w:cs="Arial"/>
                <w:sz w:val="22"/>
                <w:szCs w:val="22"/>
              </w:rPr>
            </w:pPr>
            <w:r w:rsidRPr="00366D07">
              <w:rPr>
                <w:rFonts w:ascii="Arial" w:hAnsi="Arial" w:cs="Arial"/>
                <w:sz w:val="22"/>
                <w:szCs w:val="22"/>
              </w:rPr>
              <w:t>Reports</w:t>
            </w:r>
          </w:p>
        </w:tc>
        <w:tc>
          <w:tcPr>
            <w:tcW w:w="2520" w:type="dxa"/>
          </w:tcPr>
          <w:p w14:paraId="1E5BBAD8" w14:textId="77777777" w:rsidR="008838AB" w:rsidRPr="0015465F" w:rsidRDefault="008838AB" w:rsidP="00B33FB2">
            <w:pPr>
              <w:spacing w:before="40" w:after="40"/>
              <w:rPr>
                <w:rFonts w:ascii="Arial" w:hAnsi="Arial" w:cs="Arial"/>
                <w:sz w:val="22"/>
                <w:szCs w:val="22"/>
              </w:rPr>
            </w:pPr>
            <w:r w:rsidRPr="0015465F">
              <w:rPr>
                <w:rFonts w:ascii="Arial" w:hAnsi="Arial" w:cs="Arial"/>
                <w:sz w:val="22"/>
                <w:szCs w:val="22"/>
              </w:rPr>
              <w:t xml:space="preserve">Memoranda or reports </w:t>
            </w:r>
            <w:r w:rsidRPr="00EC70F6">
              <w:rPr>
                <w:rFonts w:ascii="Arial" w:hAnsi="Arial" w:cs="Arial"/>
                <w:sz w:val="22"/>
                <w:szCs w:val="22"/>
              </w:rPr>
              <w:t>issued by PAGD</w:t>
            </w:r>
          </w:p>
        </w:tc>
        <w:tc>
          <w:tcPr>
            <w:tcW w:w="5580" w:type="dxa"/>
          </w:tcPr>
          <w:p w14:paraId="401BBFD1" w14:textId="77777777" w:rsidR="008838AB" w:rsidRPr="00B576C1" w:rsidRDefault="008838AB" w:rsidP="00B33FB2">
            <w:pPr>
              <w:spacing w:before="40" w:after="40"/>
              <w:rPr>
                <w:rFonts w:ascii="Arial" w:hAnsi="Arial" w:cs="Arial"/>
                <w:sz w:val="22"/>
                <w:szCs w:val="22"/>
              </w:rPr>
            </w:pPr>
            <w:r w:rsidRPr="00B576C1">
              <w:rPr>
                <w:rFonts w:ascii="Arial" w:hAnsi="Arial" w:cs="Arial"/>
                <w:sz w:val="22"/>
                <w:szCs w:val="22"/>
              </w:rPr>
              <w:t xml:space="preserve">These memoranda and reports should be archived in the electronic file folder.  </w:t>
            </w:r>
          </w:p>
          <w:p w14:paraId="039A9C7B" w14:textId="77777777" w:rsidR="008838AB" w:rsidRPr="00B576C1" w:rsidRDefault="008838AB" w:rsidP="00B33FB2">
            <w:pPr>
              <w:spacing w:before="40" w:after="40"/>
              <w:rPr>
                <w:rFonts w:ascii="Arial" w:hAnsi="Arial" w:cs="Arial"/>
                <w:sz w:val="22"/>
                <w:szCs w:val="22"/>
              </w:rPr>
            </w:pPr>
          </w:p>
          <w:p w14:paraId="5D71CF35" w14:textId="77777777" w:rsidR="008838AB" w:rsidRPr="00B576C1" w:rsidRDefault="008838AB" w:rsidP="00B33FB2">
            <w:pPr>
              <w:spacing w:before="40" w:after="40"/>
              <w:rPr>
                <w:rFonts w:ascii="Arial" w:hAnsi="Arial" w:cs="Arial"/>
                <w:sz w:val="22"/>
                <w:szCs w:val="22"/>
              </w:rPr>
            </w:pPr>
            <w:r w:rsidRPr="00B576C1">
              <w:rPr>
                <w:rFonts w:ascii="Arial" w:hAnsi="Arial" w:cs="Arial"/>
                <w:sz w:val="22"/>
                <w:szCs w:val="22"/>
              </w:rPr>
              <w:t xml:space="preserve">The electronic versions and signed scanned versions should already be in the electronic file folder. </w:t>
            </w:r>
          </w:p>
          <w:p w14:paraId="72270AC1" w14:textId="77777777" w:rsidR="008838AB" w:rsidRPr="00B576C1" w:rsidRDefault="008838AB" w:rsidP="00B33FB2">
            <w:pPr>
              <w:spacing w:before="40" w:after="40"/>
              <w:rPr>
                <w:rFonts w:ascii="Arial" w:hAnsi="Arial" w:cs="Arial"/>
                <w:sz w:val="22"/>
                <w:szCs w:val="22"/>
              </w:rPr>
            </w:pPr>
          </w:p>
          <w:p w14:paraId="5ED47A88" w14:textId="77777777" w:rsidR="008838AB" w:rsidRPr="00B576C1" w:rsidRDefault="008838AB" w:rsidP="00B33FB2">
            <w:pPr>
              <w:spacing w:before="40" w:after="40"/>
              <w:rPr>
                <w:rFonts w:ascii="Arial" w:hAnsi="Arial" w:cs="Arial"/>
                <w:sz w:val="22"/>
                <w:szCs w:val="22"/>
              </w:rPr>
            </w:pPr>
            <w:r w:rsidRPr="00B576C1">
              <w:rPr>
                <w:rFonts w:ascii="Arial" w:hAnsi="Arial" w:cs="Arial"/>
                <w:sz w:val="22"/>
                <w:szCs w:val="22"/>
              </w:rPr>
              <w:t>Signed versions of memoranda and/or reports from the project file folder</w:t>
            </w:r>
            <w:r>
              <w:rPr>
                <w:rFonts w:ascii="Arial" w:hAnsi="Arial" w:cs="Arial"/>
                <w:sz w:val="22"/>
                <w:szCs w:val="22"/>
              </w:rPr>
              <w:t>, that are not already in the electronic file folder,</w:t>
            </w:r>
            <w:r w:rsidRPr="00B576C1">
              <w:rPr>
                <w:rFonts w:ascii="Arial" w:hAnsi="Arial" w:cs="Arial"/>
                <w:sz w:val="22"/>
                <w:szCs w:val="22"/>
              </w:rPr>
              <w:t xml:space="preserve"> should be scanned, renamed and placed in Section 2 of the electronic file folder.</w:t>
            </w:r>
          </w:p>
          <w:p w14:paraId="186DAD51" w14:textId="77777777" w:rsidR="008838AB" w:rsidRPr="00B576C1" w:rsidRDefault="008838AB" w:rsidP="00B33FB2">
            <w:pPr>
              <w:spacing w:before="40" w:after="40"/>
              <w:rPr>
                <w:rFonts w:ascii="Arial" w:hAnsi="Arial" w:cs="Arial"/>
                <w:sz w:val="22"/>
                <w:szCs w:val="22"/>
              </w:rPr>
            </w:pPr>
          </w:p>
        </w:tc>
      </w:tr>
      <w:tr w:rsidR="008838AB" w:rsidRPr="00455A90" w14:paraId="72ABE3FD" w14:textId="77777777" w:rsidTr="0056128B">
        <w:trPr>
          <w:jc w:val="center"/>
        </w:trPr>
        <w:tc>
          <w:tcPr>
            <w:tcW w:w="450" w:type="dxa"/>
          </w:tcPr>
          <w:p w14:paraId="5FD9FF8A" w14:textId="77777777" w:rsidR="008838AB" w:rsidRPr="0084384E" w:rsidRDefault="008838AB" w:rsidP="00B33FB2">
            <w:pPr>
              <w:spacing w:before="40" w:after="40"/>
              <w:jc w:val="center"/>
              <w:rPr>
                <w:rFonts w:ascii="Arial" w:hAnsi="Arial" w:cs="Arial"/>
                <w:sz w:val="22"/>
                <w:szCs w:val="22"/>
              </w:rPr>
            </w:pPr>
            <w:r w:rsidRPr="0084384E">
              <w:rPr>
                <w:rFonts w:ascii="Arial" w:hAnsi="Arial" w:cs="Arial"/>
                <w:sz w:val="22"/>
                <w:szCs w:val="22"/>
              </w:rPr>
              <w:t>3.</w:t>
            </w:r>
          </w:p>
        </w:tc>
        <w:tc>
          <w:tcPr>
            <w:tcW w:w="1882" w:type="dxa"/>
          </w:tcPr>
          <w:p w14:paraId="492D4C9D"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Correspondence</w:t>
            </w:r>
          </w:p>
        </w:tc>
        <w:tc>
          <w:tcPr>
            <w:tcW w:w="2520" w:type="dxa"/>
          </w:tcPr>
          <w:p w14:paraId="69E10A0F"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All info to be stored in chronological order :</w:t>
            </w:r>
          </w:p>
          <w:p w14:paraId="794BD848"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lastRenderedPageBreak/>
              <w:t>Letters from requesting division</w:t>
            </w:r>
          </w:p>
          <w:p w14:paraId="6DB54581"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Printouts of project related e-mails</w:t>
            </w:r>
          </w:p>
          <w:p w14:paraId="5E384FBC"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Correspondence after Final Review and Addendum information</w:t>
            </w:r>
          </w:p>
          <w:p w14:paraId="3157D276"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Notes from all meetings attended</w:t>
            </w:r>
          </w:p>
        </w:tc>
        <w:tc>
          <w:tcPr>
            <w:tcW w:w="5580" w:type="dxa"/>
          </w:tcPr>
          <w:p w14:paraId="1131D9AD" w14:textId="77777777" w:rsidR="008838AB" w:rsidRPr="00366D07" w:rsidRDefault="008838AB" w:rsidP="00B33FB2">
            <w:pPr>
              <w:spacing w:before="40" w:after="40"/>
              <w:rPr>
                <w:rFonts w:ascii="Arial" w:hAnsi="Arial" w:cs="Arial"/>
                <w:sz w:val="22"/>
                <w:szCs w:val="22"/>
              </w:rPr>
            </w:pPr>
            <w:r w:rsidRPr="00366D07">
              <w:rPr>
                <w:rFonts w:ascii="Arial" w:hAnsi="Arial" w:cs="Arial"/>
                <w:sz w:val="22"/>
                <w:szCs w:val="22"/>
              </w:rPr>
              <w:lastRenderedPageBreak/>
              <w:t xml:space="preserve">Only important correspondence (where a decision was made and/or containing critical project information) </w:t>
            </w:r>
            <w:r w:rsidRPr="00366D07">
              <w:rPr>
                <w:rFonts w:ascii="Arial" w:hAnsi="Arial" w:cs="Arial"/>
                <w:sz w:val="22"/>
                <w:szCs w:val="22"/>
              </w:rPr>
              <w:lastRenderedPageBreak/>
              <w:t xml:space="preserve">should be archived in the electronic file folder.  Other correspondence </w:t>
            </w:r>
            <w:r>
              <w:rPr>
                <w:rFonts w:ascii="Arial" w:hAnsi="Arial" w:cs="Arial"/>
                <w:sz w:val="22"/>
                <w:szCs w:val="22"/>
              </w:rPr>
              <w:t>should be deleted/</w:t>
            </w:r>
            <w:r w:rsidRPr="00366D07">
              <w:rPr>
                <w:rFonts w:ascii="Arial" w:hAnsi="Arial" w:cs="Arial"/>
                <w:sz w:val="22"/>
                <w:szCs w:val="22"/>
              </w:rPr>
              <w:t>omitted.</w:t>
            </w:r>
          </w:p>
          <w:p w14:paraId="40788F66" w14:textId="77777777" w:rsidR="008838AB" w:rsidRPr="00366D07" w:rsidRDefault="008838AB" w:rsidP="00B33FB2">
            <w:pPr>
              <w:spacing w:before="40" w:after="40"/>
              <w:rPr>
                <w:rFonts w:ascii="Arial" w:hAnsi="Arial" w:cs="Arial"/>
                <w:sz w:val="22"/>
                <w:szCs w:val="22"/>
              </w:rPr>
            </w:pPr>
          </w:p>
          <w:p w14:paraId="6C2215D1" w14:textId="77777777" w:rsidR="008838AB" w:rsidRPr="00366D07" w:rsidRDefault="008838AB" w:rsidP="00B33FB2">
            <w:pPr>
              <w:spacing w:before="40" w:after="40"/>
              <w:rPr>
                <w:rFonts w:ascii="Arial" w:hAnsi="Arial" w:cs="Arial"/>
                <w:sz w:val="22"/>
                <w:szCs w:val="22"/>
              </w:rPr>
            </w:pPr>
            <w:r w:rsidRPr="00366D07">
              <w:rPr>
                <w:rFonts w:ascii="Arial" w:hAnsi="Arial" w:cs="Arial"/>
                <w:sz w:val="22"/>
                <w:szCs w:val="22"/>
              </w:rPr>
              <w:t>Important correspondence from the project file folder</w:t>
            </w:r>
            <w:r>
              <w:rPr>
                <w:rFonts w:ascii="Arial" w:hAnsi="Arial" w:cs="Arial"/>
                <w:sz w:val="22"/>
                <w:szCs w:val="22"/>
              </w:rPr>
              <w:t>, not already in the electronic file folder,</w:t>
            </w:r>
            <w:r w:rsidRPr="00366D07">
              <w:rPr>
                <w:rFonts w:ascii="Arial" w:hAnsi="Arial" w:cs="Arial"/>
                <w:sz w:val="22"/>
                <w:szCs w:val="22"/>
              </w:rPr>
              <w:t xml:space="preserve"> should be scanned in reverse chronological order, renamed and placed in Section 3 of the electronic file folder.  Scanning all correspondence into one .pdf file is permitted.</w:t>
            </w:r>
          </w:p>
        </w:tc>
      </w:tr>
      <w:tr w:rsidR="008838AB" w:rsidRPr="00455A90" w14:paraId="751DD975" w14:textId="77777777" w:rsidTr="0056128B">
        <w:trPr>
          <w:trHeight w:val="3387"/>
          <w:jc w:val="center"/>
        </w:trPr>
        <w:tc>
          <w:tcPr>
            <w:tcW w:w="450" w:type="dxa"/>
          </w:tcPr>
          <w:p w14:paraId="475664DC" w14:textId="77777777" w:rsidR="008838AB" w:rsidRPr="00B00FA6" w:rsidRDefault="008838AB" w:rsidP="00B33FB2">
            <w:pPr>
              <w:spacing w:before="40" w:after="40"/>
              <w:jc w:val="center"/>
              <w:rPr>
                <w:rFonts w:ascii="Arial" w:hAnsi="Arial" w:cs="Arial"/>
                <w:sz w:val="22"/>
                <w:szCs w:val="22"/>
              </w:rPr>
            </w:pPr>
            <w:r w:rsidRPr="00B00FA6">
              <w:rPr>
                <w:rFonts w:ascii="Arial" w:hAnsi="Arial" w:cs="Arial"/>
                <w:sz w:val="22"/>
                <w:szCs w:val="22"/>
              </w:rPr>
              <w:lastRenderedPageBreak/>
              <w:t>4.</w:t>
            </w:r>
          </w:p>
        </w:tc>
        <w:tc>
          <w:tcPr>
            <w:tcW w:w="1882" w:type="dxa"/>
          </w:tcPr>
          <w:p w14:paraId="586820D1" w14:textId="77777777" w:rsidR="008838AB" w:rsidRPr="00B00FA6" w:rsidRDefault="008838AB" w:rsidP="00B33FB2">
            <w:pPr>
              <w:spacing w:before="40" w:after="40"/>
              <w:rPr>
                <w:rFonts w:ascii="Arial" w:hAnsi="Arial" w:cs="Arial"/>
                <w:sz w:val="22"/>
                <w:szCs w:val="22"/>
              </w:rPr>
            </w:pPr>
            <w:r w:rsidRPr="00B00FA6">
              <w:rPr>
                <w:rFonts w:ascii="Arial" w:hAnsi="Arial" w:cs="Arial"/>
                <w:sz w:val="22"/>
                <w:szCs w:val="22"/>
              </w:rPr>
              <w:t>Records Review</w:t>
            </w:r>
          </w:p>
        </w:tc>
        <w:tc>
          <w:tcPr>
            <w:tcW w:w="2520" w:type="dxa"/>
          </w:tcPr>
          <w:p w14:paraId="2DBFC40C"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 xml:space="preserve">PDS </w:t>
            </w:r>
            <w:hyperlink r:id="rId439" w:history="1">
              <w:r w:rsidRPr="0084384E">
                <w:rPr>
                  <w:rStyle w:val="Hyperlink"/>
                  <w:rFonts w:ascii="Arial" w:hAnsi="Arial" w:cs="Arial"/>
                  <w:sz w:val="22"/>
                  <w:szCs w:val="22"/>
                </w:rPr>
                <w:t>Spreadsheets</w:t>
              </w:r>
            </w:hyperlink>
            <w:r w:rsidRPr="0084384E">
              <w:rPr>
                <w:rFonts w:ascii="Arial" w:hAnsi="Arial" w:cs="Arial"/>
                <w:sz w:val="22"/>
                <w:szCs w:val="22"/>
              </w:rPr>
              <w:t xml:space="preserve"> 2, 7</w:t>
            </w:r>
          </w:p>
          <w:p w14:paraId="30D0DD32"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Traffic and Loadometer data</w:t>
            </w:r>
          </w:p>
          <w:p w14:paraId="57C2A306"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Construction history, as-built project data</w:t>
            </w:r>
          </w:p>
          <w:p w14:paraId="60F5118B"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Field and office review notes</w:t>
            </w:r>
          </w:p>
          <w:p w14:paraId="34AEDEB5"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Performance Data (</w:t>
            </w:r>
            <w:smartTag w:uri="urn:schemas-microsoft-com:office:smarttags" w:element="stockticker">
              <w:r w:rsidRPr="0084384E">
                <w:rPr>
                  <w:rFonts w:ascii="Arial" w:hAnsi="Arial" w:cs="Arial"/>
                  <w:sz w:val="22"/>
                  <w:szCs w:val="22"/>
                </w:rPr>
                <w:t>IRI</w:t>
              </w:r>
            </w:smartTag>
            <w:r w:rsidRPr="0084384E">
              <w:rPr>
                <w:rFonts w:ascii="Arial" w:hAnsi="Arial" w:cs="Arial"/>
                <w:sz w:val="22"/>
                <w:szCs w:val="22"/>
              </w:rPr>
              <w:t>, Rutting, Friction, Cracking, etc.)</w:t>
            </w:r>
          </w:p>
          <w:p w14:paraId="33A29E18"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HLR sheet(s)</w:t>
            </w:r>
          </w:p>
          <w:p w14:paraId="0097DE7B" w14:textId="77777777" w:rsidR="008838AB" w:rsidRPr="0084384E" w:rsidRDefault="008838AB" w:rsidP="00B33FB2">
            <w:pPr>
              <w:spacing w:before="40" w:after="40"/>
              <w:rPr>
                <w:rFonts w:ascii="Arial" w:hAnsi="Arial" w:cs="Arial"/>
                <w:sz w:val="22"/>
                <w:szCs w:val="22"/>
              </w:rPr>
            </w:pPr>
            <w:r w:rsidRPr="0084384E">
              <w:rPr>
                <w:rFonts w:ascii="Arial" w:hAnsi="Arial" w:cs="Arial"/>
                <w:sz w:val="22"/>
                <w:szCs w:val="22"/>
              </w:rPr>
              <w:t>Nearby or previous project data, Other background information</w:t>
            </w:r>
          </w:p>
        </w:tc>
        <w:tc>
          <w:tcPr>
            <w:tcW w:w="5580" w:type="dxa"/>
          </w:tcPr>
          <w:p w14:paraId="5D3ECD67" w14:textId="77777777" w:rsidR="008838AB" w:rsidRDefault="008838AB" w:rsidP="00B33FB2">
            <w:pPr>
              <w:spacing w:before="40" w:after="40"/>
              <w:rPr>
                <w:rFonts w:ascii="Arial" w:hAnsi="Arial" w:cs="Arial"/>
                <w:sz w:val="22"/>
                <w:szCs w:val="22"/>
              </w:rPr>
            </w:pPr>
            <w:r w:rsidRPr="00B576C1">
              <w:rPr>
                <w:rFonts w:ascii="Arial" w:hAnsi="Arial" w:cs="Arial"/>
                <w:sz w:val="22"/>
                <w:szCs w:val="22"/>
              </w:rPr>
              <w:t xml:space="preserve">The </w:t>
            </w:r>
            <w:r>
              <w:rPr>
                <w:rFonts w:ascii="Arial" w:hAnsi="Arial" w:cs="Arial"/>
                <w:sz w:val="22"/>
                <w:szCs w:val="22"/>
              </w:rPr>
              <w:t xml:space="preserve">following items from the Records Review section </w:t>
            </w:r>
            <w:r w:rsidRPr="00B576C1">
              <w:rPr>
                <w:rFonts w:ascii="Arial" w:hAnsi="Arial" w:cs="Arial"/>
                <w:sz w:val="22"/>
                <w:szCs w:val="22"/>
              </w:rPr>
              <w:t>should be archive</w:t>
            </w:r>
            <w:r>
              <w:rPr>
                <w:rFonts w:ascii="Arial" w:hAnsi="Arial" w:cs="Arial"/>
                <w:sz w:val="22"/>
                <w:szCs w:val="22"/>
              </w:rPr>
              <w:t>d in the electronic file folder:</w:t>
            </w:r>
          </w:p>
          <w:p w14:paraId="4D5AD584" w14:textId="77777777" w:rsidR="008838AB" w:rsidRPr="00335603" w:rsidRDefault="008838AB" w:rsidP="00172E64">
            <w:pPr>
              <w:pStyle w:val="ListParagraph"/>
              <w:numPr>
                <w:ilvl w:val="0"/>
                <w:numId w:val="189"/>
              </w:numPr>
              <w:spacing w:before="40" w:after="40"/>
              <w:rPr>
                <w:rFonts w:ascii="Arial" w:hAnsi="Arial" w:cs="Arial"/>
                <w:sz w:val="22"/>
                <w:szCs w:val="22"/>
              </w:rPr>
            </w:pPr>
            <w:r w:rsidRPr="00335603">
              <w:rPr>
                <w:rFonts w:ascii="Arial" w:hAnsi="Arial" w:cs="Arial"/>
                <w:sz w:val="22"/>
                <w:szCs w:val="22"/>
              </w:rPr>
              <w:t>PDS Spreadsheets 2, 7</w:t>
            </w:r>
          </w:p>
          <w:p w14:paraId="30BDF9E0" w14:textId="77777777" w:rsidR="008838AB" w:rsidRPr="00335603" w:rsidRDefault="008838AB" w:rsidP="00172E64">
            <w:pPr>
              <w:pStyle w:val="ListParagraph"/>
              <w:numPr>
                <w:ilvl w:val="0"/>
                <w:numId w:val="189"/>
              </w:numPr>
              <w:spacing w:before="40" w:after="40"/>
              <w:rPr>
                <w:rFonts w:ascii="Arial" w:hAnsi="Arial" w:cs="Arial"/>
                <w:sz w:val="22"/>
                <w:szCs w:val="22"/>
              </w:rPr>
            </w:pPr>
            <w:r w:rsidRPr="00335603">
              <w:rPr>
                <w:rFonts w:ascii="Arial" w:hAnsi="Arial" w:cs="Arial"/>
                <w:sz w:val="22"/>
                <w:szCs w:val="22"/>
              </w:rPr>
              <w:t>Traffic and Loadometer data</w:t>
            </w:r>
          </w:p>
          <w:p w14:paraId="0327E6D0" w14:textId="77777777" w:rsidR="008838AB" w:rsidRPr="00335603" w:rsidRDefault="008838AB" w:rsidP="00172E64">
            <w:pPr>
              <w:pStyle w:val="ListParagraph"/>
              <w:numPr>
                <w:ilvl w:val="0"/>
                <w:numId w:val="189"/>
              </w:numPr>
              <w:spacing w:before="40" w:after="40"/>
              <w:rPr>
                <w:rFonts w:ascii="Arial" w:hAnsi="Arial" w:cs="Arial"/>
                <w:sz w:val="22"/>
                <w:szCs w:val="22"/>
              </w:rPr>
            </w:pPr>
            <w:r w:rsidRPr="00335603">
              <w:rPr>
                <w:rFonts w:ascii="Arial" w:hAnsi="Arial" w:cs="Arial"/>
                <w:sz w:val="22"/>
                <w:szCs w:val="22"/>
              </w:rPr>
              <w:t>Field and office review notes</w:t>
            </w:r>
          </w:p>
          <w:p w14:paraId="2CCE6446" w14:textId="77777777" w:rsidR="008838AB" w:rsidRPr="00190216" w:rsidRDefault="008838AB" w:rsidP="00172E64">
            <w:pPr>
              <w:pStyle w:val="ListParagraph"/>
              <w:numPr>
                <w:ilvl w:val="0"/>
                <w:numId w:val="189"/>
              </w:numPr>
              <w:spacing w:before="40" w:after="40"/>
              <w:rPr>
                <w:rFonts w:ascii="Arial" w:hAnsi="Arial" w:cs="Arial"/>
                <w:sz w:val="22"/>
                <w:szCs w:val="22"/>
              </w:rPr>
            </w:pPr>
            <w:r w:rsidRPr="00190216">
              <w:rPr>
                <w:rFonts w:ascii="Arial" w:hAnsi="Arial" w:cs="Arial"/>
                <w:sz w:val="22"/>
                <w:szCs w:val="22"/>
              </w:rPr>
              <w:t>Important background information</w:t>
            </w:r>
          </w:p>
          <w:p w14:paraId="04E99971" w14:textId="77777777" w:rsidR="008838AB" w:rsidRDefault="008838AB" w:rsidP="00B33FB2">
            <w:pPr>
              <w:spacing w:before="40" w:after="40"/>
              <w:rPr>
                <w:rFonts w:ascii="Arial" w:hAnsi="Arial" w:cs="Arial"/>
                <w:sz w:val="22"/>
                <w:szCs w:val="22"/>
              </w:rPr>
            </w:pPr>
            <w:r w:rsidRPr="00366D07">
              <w:rPr>
                <w:rFonts w:ascii="Arial" w:hAnsi="Arial" w:cs="Arial"/>
                <w:sz w:val="22"/>
                <w:szCs w:val="22"/>
              </w:rPr>
              <w:t xml:space="preserve">Other </w:t>
            </w:r>
            <w:r w:rsidRPr="00190216">
              <w:rPr>
                <w:rFonts w:ascii="Arial" w:hAnsi="Arial" w:cs="Arial"/>
                <w:sz w:val="22"/>
                <w:szCs w:val="22"/>
              </w:rPr>
              <w:t>contents from this section should be deleted/omitted (since retrievable in PDW or other sources).</w:t>
            </w:r>
          </w:p>
          <w:p w14:paraId="10B03D86" w14:textId="77777777" w:rsidR="008838AB" w:rsidRDefault="008838AB" w:rsidP="00B33FB2">
            <w:pPr>
              <w:spacing w:before="40" w:after="40"/>
              <w:rPr>
                <w:rFonts w:ascii="Arial" w:hAnsi="Arial" w:cs="Arial"/>
                <w:sz w:val="22"/>
                <w:szCs w:val="22"/>
              </w:rPr>
            </w:pPr>
          </w:p>
          <w:p w14:paraId="5434FD5E" w14:textId="77777777" w:rsidR="008838AB" w:rsidRDefault="008838AB" w:rsidP="00B33FB2">
            <w:pPr>
              <w:spacing w:before="40" w:after="40"/>
              <w:rPr>
                <w:rFonts w:ascii="Arial" w:hAnsi="Arial" w:cs="Arial"/>
                <w:sz w:val="22"/>
                <w:szCs w:val="22"/>
                <w:highlight w:val="yellow"/>
              </w:rPr>
            </w:pPr>
            <w:r>
              <w:rPr>
                <w:rFonts w:ascii="Arial" w:hAnsi="Arial" w:cs="Arial"/>
                <w:sz w:val="22"/>
                <w:szCs w:val="22"/>
              </w:rPr>
              <w:t>Archivable contents from this section of the project file folder, not already in the electronic file folder,</w:t>
            </w:r>
            <w:r w:rsidRPr="00B576C1">
              <w:rPr>
                <w:rFonts w:ascii="Arial" w:hAnsi="Arial" w:cs="Arial"/>
                <w:sz w:val="22"/>
                <w:szCs w:val="22"/>
              </w:rPr>
              <w:t xml:space="preserve"> should be scanned, </w:t>
            </w:r>
            <w:r>
              <w:rPr>
                <w:rFonts w:ascii="Arial" w:hAnsi="Arial" w:cs="Arial"/>
                <w:sz w:val="22"/>
                <w:szCs w:val="22"/>
              </w:rPr>
              <w:t>renamed and placed in Section 4</w:t>
            </w:r>
            <w:r w:rsidRPr="00B576C1">
              <w:rPr>
                <w:rFonts w:ascii="Arial" w:hAnsi="Arial" w:cs="Arial"/>
                <w:sz w:val="22"/>
                <w:szCs w:val="22"/>
              </w:rPr>
              <w:t xml:space="preserve"> of the electronic file folder.</w:t>
            </w:r>
            <w:r w:rsidRPr="00455A90">
              <w:rPr>
                <w:rFonts w:ascii="Arial" w:hAnsi="Arial" w:cs="Arial"/>
                <w:sz w:val="22"/>
                <w:szCs w:val="22"/>
                <w:highlight w:val="yellow"/>
              </w:rPr>
              <w:t xml:space="preserve"> </w:t>
            </w:r>
          </w:p>
          <w:p w14:paraId="0FE8E820" w14:textId="77777777" w:rsidR="008838AB" w:rsidRPr="00455A90" w:rsidRDefault="008838AB" w:rsidP="00B33FB2">
            <w:pPr>
              <w:spacing w:before="40" w:after="40"/>
              <w:rPr>
                <w:rFonts w:ascii="Arial" w:hAnsi="Arial" w:cs="Arial"/>
                <w:sz w:val="22"/>
                <w:szCs w:val="22"/>
                <w:highlight w:val="yellow"/>
              </w:rPr>
            </w:pPr>
          </w:p>
        </w:tc>
      </w:tr>
      <w:tr w:rsidR="008838AB" w:rsidRPr="00455A90" w14:paraId="3151732A" w14:textId="77777777" w:rsidTr="0056128B">
        <w:trPr>
          <w:jc w:val="center"/>
        </w:trPr>
        <w:tc>
          <w:tcPr>
            <w:tcW w:w="450" w:type="dxa"/>
          </w:tcPr>
          <w:p w14:paraId="152C426F" w14:textId="77777777" w:rsidR="008838AB" w:rsidRPr="00B00FA6" w:rsidRDefault="008838AB" w:rsidP="00B33FB2">
            <w:pPr>
              <w:spacing w:before="40" w:after="40"/>
              <w:jc w:val="center"/>
              <w:rPr>
                <w:rFonts w:ascii="Arial" w:hAnsi="Arial" w:cs="Arial"/>
                <w:sz w:val="22"/>
                <w:szCs w:val="22"/>
              </w:rPr>
            </w:pPr>
            <w:r w:rsidRPr="00B00FA6">
              <w:rPr>
                <w:rFonts w:ascii="Arial" w:hAnsi="Arial" w:cs="Arial"/>
                <w:sz w:val="22"/>
                <w:szCs w:val="22"/>
              </w:rPr>
              <w:t>5.</w:t>
            </w:r>
          </w:p>
        </w:tc>
        <w:tc>
          <w:tcPr>
            <w:tcW w:w="1882" w:type="dxa"/>
          </w:tcPr>
          <w:p w14:paraId="5DFD6993" w14:textId="77777777" w:rsidR="008838AB" w:rsidRPr="00B00FA6" w:rsidRDefault="008838AB" w:rsidP="00B33FB2">
            <w:pPr>
              <w:spacing w:before="40" w:after="40"/>
              <w:rPr>
                <w:rFonts w:ascii="Arial" w:hAnsi="Arial" w:cs="Arial"/>
                <w:sz w:val="22"/>
                <w:szCs w:val="22"/>
              </w:rPr>
            </w:pPr>
            <w:r w:rsidRPr="00B00FA6">
              <w:rPr>
                <w:rFonts w:ascii="Arial" w:hAnsi="Arial" w:cs="Arial"/>
                <w:sz w:val="22"/>
                <w:szCs w:val="22"/>
              </w:rPr>
              <w:t xml:space="preserve">Field and Lab Data </w:t>
            </w:r>
          </w:p>
        </w:tc>
        <w:tc>
          <w:tcPr>
            <w:tcW w:w="2520" w:type="dxa"/>
          </w:tcPr>
          <w:p w14:paraId="5DC810A8" w14:textId="77777777" w:rsidR="008838AB" w:rsidRPr="00B00FA6" w:rsidRDefault="008838AB" w:rsidP="00B33FB2">
            <w:pPr>
              <w:spacing w:before="40" w:after="40"/>
              <w:rPr>
                <w:rFonts w:ascii="Arial" w:hAnsi="Arial" w:cs="Arial"/>
                <w:sz w:val="22"/>
                <w:szCs w:val="22"/>
              </w:rPr>
            </w:pPr>
            <w:r w:rsidRPr="00B00FA6">
              <w:rPr>
                <w:rFonts w:ascii="Arial" w:hAnsi="Arial" w:cs="Arial"/>
                <w:sz w:val="22"/>
                <w:szCs w:val="22"/>
              </w:rPr>
              <w:t xml:space="preserve">PD </w:t>
            </w:r>
            <w:hyperlink w:anchor="_Forms_&amp;_Spreadsheets" w:history="1">
              <w:r w:rsidRPr="00B00FA6">
                <w:rPr>
                  <w:rStyle w:val="Hyperlink"/>
                  <w:rFonts w:ascii="Arial" w:hAnsi="Arial" w:cs="Arial"/>
                  <w:sz w:val="22"/>
                  <w:szCs w:val="22"/>
                </w:rPr>
                <w:t>Forms</w:t>
              </w:r>
            </w:hyperlink>
            <w:r w:rsidRPr="00B00FA6">
              <w:rPr>
                <w:rFonts w:ascii="Arial" w:hAnsi="Arial" w:cs="Arial"/>
                <w:sz w:val="22"/>
                <w:szCs w:val="22"/>
              </w:rPr>
              <w:t xml:space="preserve"> 1, 3, 7-10, 12</w:t>
            </w:r>
          </w:p>
          <w:p w14:paraId="5F33D838" w14:textId="77777777" w:rsidR="008838AB" w:rsidRPr="00B00FA6" w:rsidRDefault="008838AB" w:rsidP="00B33FB2">
            <w:pPr>
              <w:spacing w:before="40" w:after="40"/>
              <w:rPr>
                <w:rFonts w:ascii="Arial" w:hAnsi="Arial" w:cs="Arial"/>
                <w:sz w:val="22"/>
                <w:szCs w:val="22"/>
              </w:rPr>
            </w:pPr>
            <w:r w:rsidRPr="00B00FA6">
              <w:rPr>
                <w:rFonts w:ascii="Arial" w:hAnsi="Arial" w:cs="Arial"/>
                <w:sz w:val="22"/>
                <w:szCs w:val="22"/>
              </w:rPr>
              <w:t>Pavement Core Logs</w:t>
            </w:r>
          </w:p>
          <w:p w14:paraId="62FAB85B" w14:textId="77777777" w:rsidR="008838AB" w:rsidRPr="00AC4048" w:rsidRDefault="008838AB" w:rsidP="00B33FB2">
            <w:pPr>
              <w:spacing w:before="40" w:after="40"/>
              <w:rPr>
                <w:rFonts w:ascii="Arial" w:hAnsi="Arial" w:cs="Arial"/>
                <w:sz w:val="22"/>
                <w:szCs w:val="22"/>
              </w:rPr>
            </w:pPr>
            <w:r>
              <w:rPr>
                <w:rFonts w:ascii="Arial" w:hAnsi="Arial" w:cs="Arial"/>
                <w:sz w:val="22"/>
                <w:szCs w:val="22"/>
              </w:rPr>
              <w:t>FWD Data</w:t>
            </w:r>
          </w:p>
          <w:p w14:paraId="477F56FF" w14:textId="77777777" w:rsidR="008838AB" w:rsidRPr="00B00FA6" w:rsidRDefault="008838AB" w:rsidP="00B33FB2">
            <w:pPr>
              <w:spacing w:before="40" w:after="40"/>
              <w:rPr>
                <w:rFonts w:ascii="Arial" w:hAnsi="Arial" w:cs="Arial"/>
                <w:sz w:val="22"/>
                <w:szCs w:val="22"/>
              </w:rPr>
            </w:pPr>
            <w:r w:rsidRPr="00B00FA6">
              <w:rPr>
                <w:rFonts w:ascii="Arial" w:hAnsi="Arial" w:cs="Arial"/>
                <w:sz w:val="22"/>
                <w:szCs w:val="22"/>
              </w:rPr>
              <w:t>GPR Results</w:t>
            </w:r>
          </w:p>
          <w:p w14:paraId="7B39499A" w14:textId="77777777" w:rsidR="008838AB" w:rsidRDefault="008838AB" w:rsidP="00B33FB2">
            <w:pPr>
              <w:spacing w:before="40" w:after="40"/>
              <w:rPr>
                <w:rFonts w:ascii="Arial" w:hAnsi="Arial" w:cs="Arial"/>
                <w:sz w:val="22"/>
                <w:szCs w:val="22"/>
              </w:rPr>
            </w:pPr>
            <w:r w:rsidRPr="00AC4048">
              <w:rPr>
                <w:rFonts w:ascii="Arial" w:hAnsi="Arial" w:cs="Arial"/>
                <w:sz w:val="22"/>
                <w:szCs w:val="22"/>
              </w:rPr>
              <w:t>Field Boring Logs</w:t>
            </w:r>
          </w:p>
          <w:p w14:paraId="5FC99866" w14:textId="77777777" w:rsidR="008838AB" w:rsidRPr="00AC4048" w:rsidRDefault="008838AB" w:rsidP="00B33FB2">
            <w:pPr>
              <w:spacing w:before="40" w:after="40"/>
              <w:rPr>
                <w:rFonts w:ascii="Arial" w:hAnsi="Arial" w:cs="Arial"/>
                <w:sz w:val="22"/>
                <w:szCs w:val="22"/>
              </w:rPr>
            </w:pPr>
            <w:r>
              <w:rPr>
                <w:rFonts w:ascii="Arial" w:hAnsi="Arial" w:cs="Arial"/>
                <w:sz w:val="22"/>
                <w:szCs w:val="22"/>
              </w:rPr>
              <w:t>gINT files</w:t>
            </w:r>
          </w:p>
          <w:p w14:paraId="53E859D8" w14:textId="77777777" w:rsidR="008838AB" w:rsidRPr="00455A90" w:rsidRDefault="008838AB" w:rsidP="00B33FB2">
            <w:pPr>
              <w:spacing w:before="40" w:after="40"/>
              <w:rPr>
                <w:rFonts w:ascii="Arial" w:hAnsi="Arial" w:cs="Arial"/>
                <w:sz w:val="22"/>
                <w:szCs w:val="22"/>
                <w:highlight w:val="yellow"/>
              </w:rPr>
            </w:pPr>
            <w:r w:rsidRPr="00B00FA6">
              <w:rPr>
                <w:rFonts w:ascii="Arial" w:hAnsi="Arial" w:cs="Arial"/>
                <w:sz w:val="22"/>
                <w:szCs w:val="22"/>
              </w:rPr>
              <w:t xml:space="preserve">Soils Lab testing results </w:t>
            </w:r>
          </w:p>
        </w:tc>
        <w:tc>
          <w:tcPr>
            <w:tcW w:w="5580" w:type="dxa"/>
          </w:tcPr>
          <w:p w14:paraId="13CB96AD" w14:textId="77777777" w:rsidR="008838AB" w:rsidRDefault="008838AB" w:rsidP="00B33FB2">
            <w:pPr>
              <w:spacing w:before="40" w:after="40"/>
              <w:rPr>
                <w:rFonts w:ascii="Arial" w:hAnsi="Arial" w:cs="Arial"/>
                <w:sz w:val="22"/>
                <w:szCs w:val="22"/>
              </w:rPr>
            </w:pPr>
            <w:r w:rsidRPr="00B576C1">
              <w:rPr>
                <w:rFonts w:ascii="Arial" w:hAnsi="Arial" w:cs="Arial"/>
                <w:sz w:val="22"/>
                <w:szCs w:val="22"/>
              </w:rPr>
              <w:t xml:space="preserve">The </w:t>
            </w:r>
            <w:r>
              <w:rPr>
                <w:rFonts w:ascii="Arial" w:hAnsi="Arial" w:cs="Arial"/>
                <w:sz w:val="22"/>
                <w:szCs w:val="22"/>
              </w:rPr>
              <w:t xml:space="preserve">following items from the Field and Lab Data section </w:t>
            </w:r>
            <w:r w:rsidRPr="00B576C1">
              <w:rPr>
                <w:rFonts w:ascii="Arial" w:hAnsi="Arial" w:cs="Arial"/>
                <w:sz w:val="22"/>
                <w:szCs w:val="22"/>
              </w:rPr>
              <w:t>should be archive</w:t>
            </w:r>
            <w:r>
              <w:rPr>
                <w:rFonts w:ascii="Arial" w:hAnsi="Arial" w:cs="Arial"/>
                <w:sz w:val="22"/>
                <w:szCs w:val="22"/>
              </w:rPr>
              <w:t>d in the electronic file folder:</w:t>
            </w:r>
          </w:p>
          <w:p w14:paraId="04603136" w14:textId="77777777" w:rsidR="008838AB" w:rsidRPr="00335603" w:rsidRDefault="008838AB" w:rsidP="00172E64">
            <w:pPr>
              <w:pStyle w:val="ListParagraph"/>
              <w:numPr>
                <w:ilvl w:val="0"/>
                <w:numId w:val="189"/>
              </w:numPr>
              <w:spacing w:before="40" w:after="40"/>
              <w:rPr>
                <w:rFonts w:ascii="Arial" w:hAnsi="Arial" w:cs="Arial"/>
                <w:sz w:val="22"/>
                <w:szCs w:val="22"/>
              </w:rPr>
            </w:pPr>
            <w:r w:rsidRPr="00335603">
              <w:rPr>
                <w:rFonts w:ascii="Arial" w:hAnsi="Arial" w:cs="Arial"/>
                <w:sz w:val="22"/>
                <w:szCs w:val="22"/>
              </w:rPr>
              <w:t>PD</w:t>
            </w:r>
            <w:r>
              <w:rPr>
                <w:rFonts w:ascii="Arial" w:hAnsi="Arial" w:cs="Arial"/>
                <w:sz w:val="22"/>
                <w:szCs w:val="22"/>
              </w:rPr>
              <w:t xml:space="preserve"> Forms 1</w:t>
            </w:r>
            <w:r w:rsidRPr="00335603">
              <w:rPr>
                <w:rFonts w:ascii="Arial" w:hAnsi="Arial" w:cs="Arial"/>
                <w:sz w:val="22"/>
                <w:szCs w:val="22"/>
              </w:rPr>
              <w:t xml:space="preserve">, </w:t>
            </w:r>
            <w:r>
              <w:rPr>
                <w:rFonts w:ascii="Arial" w:hAnsi="Arial" w:cs="Arial"/>
                <w:sz w:val="22"/>
                <w:szCs w:val="22"/>
              </w:rPr>
              <w:t xml:space="preserve">3, </w:t>
            </w:r>
            <w:r w:rsidRPr="00335603">
              <w:rPr>
                <w:rFonts w:ascii="Arial" w:hAnsi="Arial" w:cs="Arial"/>
                <w:sz w:val="22"/>
                <w:szCs w:val="22"/>
              </w:rPr>
              <w:t>7</w:t>
            </w:r>
            <w:r>
              <w:rPr>
                <w:rFonts w:ascii="Arial" w:hAnsi="Arial" w:cs="Arial"/>
                <w:sz w:val="22"/>
                <w:szCs w:val="22"/>
              </w:rPr>
              <w:t>-10, 12</w:t>
            </w:r>
          </w:p>
          <w:p w14:paraId="794C873B" w14:textId="77777777" w:rsidR="008838AB" w:rsidRPr="00335603" w:rsidRDefault="008838AB" w:rsidP="00172E64">
            <w:pPr>
              <w:pStyle w:val="ListParagraph"/>
              <w:numPr>
                <w:ilvl w:val="0"/>
                <w:numId w:val="189"/>
              </w:numPr>
              <w:spacing w:before="40" w:after="40"/>
              <w:rPr>
                <w:rFonts w:ascii="Arial" w:hAnsi="Arial" w:cs="Arial"/>
                <w:sz w:val="22"/>
                <w:szCs w:val="22"/>
              </w:rPr>
            </w:pPr>
            <w:r>
              <w:rPr>
                <w:rFonts w:ascii="Arial" w:hAnsi="Arial" w:cs="Arial"/>
                <w:sz w:val="22"/>
                <w:szCs w:val="22"/>
              </w:rPr>
              <w:t>GPR Results</w:t>
            </w:r>
          </w:p>
          <w:p w14:paraId="07ECDF7E" w14:textId="77777777" w:rsidR="008838AB" w:rsidRDefault="008838AB" w:rsidP="00172E64">
            <w:pPr>
              <w:pStyle w:val="ListParagraph"/>
              <w:numPr>
                <w:ilvl w:val="0"/>
                <w:numId w:val="189"/>
              </w:numPr>
              <w:spacing w:before="40" w:after="40"/>
              <w:rPr>
                <w:rFonts w:ascii="Arial" w:hAnsi="Arial" w:cs="Arial"/>
                <w:sz w:val="22"/>
                <w:szCs w:val="22"/>
              </w:rPr>
            </w:pPr>
            <w:r w:rsidRPr="001839F9">
              <w:rPr>
                <w:rFonts w:ascii="Arial" w:hAnsi="Arial" w:cs="Arial"/>
                <w:sz w:val="22"/>
                <w:szCs w:val="22"/>
              </w:rPr>
              <w:t xml:space="preserve">Field </w:t>
            </w:r>
            <w:r>
              <w:rPr>
                <w:rFonts w:ascii="Arial" w:hAnsi="Arial" w:cs="Arial"/>
                <w:sz w:val="22"/>
                <w:szCs w:val="22"/>
              </w:rPr>
              <w:t>Boring Logs</w:t>
            </w:r>
          </w:p>
          <w:p w14:paraId="25469E65" w14:textId="77777777" w:rsidR="008838AB" w:rsidRPr="001839F9" w:rsidRDefault="008838AB" w:rsidP="00172E64">
            <w:pPr>
              <w:pStyle w:val="ListParagraph"/>
              <w:numPr>
                <w:ilvl w:val="0"/>
                <w:numId w:val="189"/>
              </w:numPr>
              <w:spacing w:before="40" w:after="40"/>
              <w:rPr>
                <w:rFonts w:ascii="Arial" w:hAnsi="Arial" w:cs="Arial"/>
                <w:sz w:val="22"/>
                <w:szCs w:val="22"/>
              </w:rPr>
            </w:pPr>
            <w:r>
              <w:rPr>
                <w:rFonts w:ascii="Arial" w:hAnsi="Arial" w:cs="Arial"/>
                <w:sz w:val="22"/>
                <w:szCs w:val="22"/>
              </w:rPr>
              <w:t>gINT files</w:t>
            </w:r>
          </w:p>
          <w:p w14:paraId="21375652" w14:textId="77777777" w:rsidR="008838AB" w:rsidRPr="00384701" w:rsidRDefault="008838AB" w:rsidP="00172E64">
            <w:pPr>
              <w:pStyle w:val="ListParagraph"/>
              <w:numPr>
                <w:ilvl w:val="0"/>
                <w:numId w:val="189"/>
              </w:numPr>
              <w:spacing w:before="40" w:after="40"/>
              <w:rPr>
                <w:rFonts w:ascii="Arial" w:hAnsi="Arial" w:cs="Arial"/>
                <w:sz w:val="22"/>
                <w:szCs w:val="22"/>
              </w:rPr>
            </w:pPr>
            <w:r>
              <w:rPr>
                <w:rFonts w:ascii="Arial" w:hAnsi="Arial" w:cs="Arial"/>
                <w:sz w:val="22"/>
                <w:szCs w:val="22"/>
              </w:rPr>
              <w:t>Soils Lab testing results</w:t>
            </w:r>
          </w:p>
          <w:p w14:paraId="62F74228" w14:textId="77777777" w:rsidR="008838AB" w:rsidRDefault="008838AB" w:rsidP="00B33FB2">
            <w:pPr>
              <w:spacing w:before="40" w:after="40"/>
              <w:rPr>
                <w:rFonts w:ascii="Arial" w:hAnsi="Arial" w:cs="Arial"/>
                <w:sz w:val="22"/>
                <w:szCs w:val="22"/>
              </w:rPr>
            </w:pPr>
            <w:r>
              <w:rPr>
                <w:rFonts w:ascii="Arial" w:hAnsi="Arial" w:cs="Arial"/>
                <w:sz w:val="22"/>
                <w:szCs w:val="22"/>
              </w:rPr>
              <w:t>Raw FWD Data files (.F25 or .FWD) and Pavement Core Logs should be uploaded to the PDW prior to archiving, and should be deleted/</w:t>
            </w:r>
            <w:r w:rsidRPr="00366D07">
              <w:rPr>
                <w:rFonts w:ascii="Arial" w:hAnsi="Arial" w:cs="Arial"/>
                <w:sz w:val="22"/>
                <w:szCs w:val="22"/>
              </w:rPr>
              <w:t>omitted</w:t>
            </w:r>
            <w:r>
              <w:rPr>
                <w:rFonts w:ascii="Arial" w:hAnsi="Arial" w:cs="Arial"/>
                <w:sz w:val="22"/>
                <w:szCs w:val="22"/>
              </w:rPr>
              <w:t xml:space="preserve"> from the electronic file folder. </w:t>
            </w:r>
            <w:r w:rsidRPr="0047426C">
              <w:rPr>
                <w:rFonts w:ascii="Arial" w:hAnsi="Arial" w:cs="Arial"/>
                <w:sz w:val="22"/>
                <w:szCs w:val="22"/>
              </w:rPr>
              <w:t xml:space="preserve"> </w:t>
            </w:r>
          </w:p>
          <w:p w14:paraId="42B1E57A" w14:textId="77777777" w:rsidR="008838AB" w:rsidRDefault="008838AB" w:rsidP="00B33FB2">
            <w:pPr>
              <w:spacing w:before="40" w:after="40"/>
              <w:rPr>
                <w:rFonts w:ascii="Arial" w:hAnsi="Arial" w:cs="Arial"/>
                <w:sz w:val="22"/>
                <w:szCs w:val="22"/>
                <w:highlight w:val="magenta"/>
              </w:rPr>
            </w:pPr>
          </w:p>
          <w:p w14:paraId="3DBD5735" w14:textId="77777777" w:rsidR="008838AB" w:rsidRDefault="008838AB" w:rsidP="00B33FB2">
            <w:pPr>
              <w:spacing w:before="40" w:after="40"/>
              <w:rPr>
                <w:rFonts w:ascii="Arial" w:hAnsi="Arial" w:cs="Arial"/>
                <w:sz w:val="22"/>
                <w:szCs w:val="22"/>
              </w:rPr>
            </w:pPr>
            <w:r>
              <w:rPr>
                <w:rFonts w:ascii="Arial" w:hAnsi="Arial" w:cs="Arial"/>
                <w:sz w:val="22"/>
                <w:szCs w:val="22"/>
              </w:rPr>
              <w:t>Archivable contents from this section of the project file folder, not already in the electronic file folder,</w:t>
            </w:r>
            <w:r w:rsidRPr="00B576C1">
              <w:rPr>
                <w:rFonts w:ascii="Arial" w:hAnsi="Arial" w:cs="Arial"/>
                <w:sz w:val="22"/>
                <w:szCs w:val="22"/>
              </w:rPr>
              <w:t xml:space="preserve"> should be scanned, </w:t>
            </w:r>
            <w:r>
              <w:rPr>
                <w:rFonts w:ascii="Arial" w:hAnsi="Arial" w:cs="Arial"/>
                <w:sz w:val="22"/>
                <w:szCs w:val="22"/>
              </w:rPr>
              <w:t>renamed and placed in Section 5</w:t>
            </w:r>
            <w:r w:rsidRPr="00B576C1">
              <w:rPr>
                <w:rFonts w:ascii="Arial" w:hAnsi="Arial" w:cs="Arial"/>
                <w:sz w:val="22"/>
                <w:szCs w:val="22"/>
              </w:rPr>
              <w:t xml:space="preserve"> of the electronic file folder.</w:t>
            </w:r>
            <w:r>
              <w:rPr>
                <w:rFonts w:ascii="Arial" w:hAnsi="Arial" w:cs="Arial"/>
                <w:sz w:val="22"/>
                <w:szCs w:val="22"/>
              </w:rPr>
              <w:t xml:space="preserve">  </w:t>
            </w:r>
            <w:r w:rsidRPr="00B576C1">
              <w:rPr>
                <w:rFonts w:ascii="Arial" w:hAnsi="Arial" w:cs="Arial"/>
                <w:sz w:val="22"/>
                <w:szCs w:val="22"/>
              </w:rPr>
              <w:t>Forms with important handwritten notes from th</w:t>
            </w:r>
            <w:r>
              <w:rPr>
                <w:rFonts w:ascii="Arial" w:hAnsi="Arial" w:cs="Arial"/>
                <w:sz w:val="22"/>
                <w:szCs w:val="22"/>
              </w:rPr>
              <w:t xml:space="preserve">is section of the </w:t>
            </w:r>
            <w:r w:rsidRPr="00B576C1">
              <w:rPr>
                <w:rFonts w:ascii="Arial" w:hAnsi="Arial" w:cs="Arial"/>
                <w:sz w:val="22"/>
                <w:szCs w:val="22"/>
              </w:rPr>
              <w:t xml:space="preserve">project file folder should </w:t>
            </w:r>
            <w:r>
              <w:rPr>
                <w:rFonts w:ascii="Arial" w:hAnsi="Arial" w:cs="Arial"/>
                <w:sz w:val="22"/>
                <w:szCs w:val="22"/>
              </w:rPr>
              <w:t xml:space="preserve">also </w:t>
            </w:r>
            <w:r w:rsidRPr="00B576C1">
              <w:rPr>
                <w:rFonts w:ascii="Arial" w:hAnsi="Arial" w:cs="Arial"/>
                <w:sz w:val="22"/>
                <w:szCs w:val="22"/>
              </w:rPr>
              <w:t>be scanned,</w:t>
            </w:r>
            <w:r>
              <w:rPr>
                <w:rFonts w:ascii="Arial" w:hAnsi="Arial" w:cs="Arial"/>
                <w:sz w:val="22"/>
                <w:szCs w:val="22"/>
              </w:rPr>
              <w:t xml:space="preserve"> renamed and placed in Section 5</w:t>
            </w:r>
            <w:r w:rsidRPr="00B576C1">
              <w:rPr>
                <w:rFonts w:ascii="Arial" w:hAnsi="Arial" w:cs="Arial"/>
                <w:sz w:val="22"/>
                <w:szCs w:val="22"/>
              </w:rPr>
              <w:t xml:space="preserve"> of the electronic file folder.</w:t>
            </w:r>
            <w:r>
              <w:rPr>
                <w:rFonts w:ascii="Arial" w:hAnsi="Arial" w:cs="Arial"/>
                <w:sz w:val="22"/>
                <w:szCs w:val="22"/>
              </w:rPr>
              <w:t xml:space="preserve"> </w:t>
            </w:r>
            <w:r w:rsidRPr="00366D07">
              <w:rPr>
                <w:rFonts w:ascii="Arial" w:hAnsi="Arial" w:cs="Arial"/>
                <w:sz w:val="22"/>
                <w:szCs w:val="22"/>
              </w:rPr>
              <w:t xml:space="preserve">Scanning all </w:t>
            </w:r>
            <w:r>
              <w:rPr>
                <w:rFonts w:ascii="Arial" w:hAnsi="Arial" w:cs="Arial"/>
                <w:sz w:val="22"/>
                <w:szCs w:val="22"/>
              </w:rPr>
              <w:t>field boring logs/soil lab test results</w:t>
            </w:r>
            <w:r w:rsidRPr="00366D07">
              <w:rPr>
                <w:rFonts w:ascii="Arial" w:hAnsi="Arial" w:cs="Arial"/>
                <w:sz w:val="22"/>
                <w:szCs w:val="22"/>
              </w:rPr>
              <w:t xml:space="preserve"> into one .pdf file is permitted.</w:t>
            </w:r>
          </w:p>
          <w:p w14:paraId="23C75696" w14:textId="77777777" w:rsidR="008838AB" w:rsidRPr="00455A90" w:rsidRDefault="008838AB" w:rsidP="00B33FB2">
            <w:pPr>
              <w:spacing w:before="40" w:after="40"/>
              <w:rPr>
                <w:rFonts w:ascii="Arial" w:hAnsi="Arial" w:cs="Arial"/>
                <w:sz w:val="22"/>
                <w:szCs w:val="22"/>
                <w:highlight w:val="yellow"/>
              </w:rPr>
            </w:pPr>
          </w:p>
        </w:tc>
      </w:tr>
      <w:tr w:rsidR="008838AB" w:rsidRPr="00455A90" w14:paraId="762FE301" w14:textId="77777777" w:rsidTr="0056128B">
        <w:trPr>
          <w:jc w:val="center"/>
        </w:trPr>
        <w:tc>
          <w:tcPr>
            <w:tcW w:w="450" w:type="dxa"/>
          </w:tcPr>
          <w:p w14:paraId="1CBBCE5A" w14:textId="77777777" w:rsidR="008838AB" w:rsidRPr="00092EC2" w:rsidRDefault="008838AB" w:rsidP="00B33FB2">
            <w:pPr>
              <w:spacing w:before="40" w:after="40"/>
              <w:jc w:val="center"/>
              <w:rPr>
                <w:rFonts w:ascii="Arial" w:hAnsi="Arial" w:cs="Arial"/>
                <w:sz w:val="22"/>
                <w:szCs w:val="22"/>
              </w:rPr>
            </w:pPr>
            <w:r w:rsidRPr="00092EC2">
              <w:rPr>
                <w:rFonts w:ascii="Arial" w:hAnsi="Arial" w:cs="Arial"/>
                <w:sz w:val="22"/>
                <w:szCs w:val="22"/>
              </w:rPr>
              <w:lastRenderedPageBreak/>
              <w:t>6.</w:t>
            </w:r>
          </w:p>
        </w:tc>
        <w:tc>
          <w:tcPr>
            <w:tcW w:w="1882" w:type="dxa"/>
          </w:tcPr>
          <w:p w14:paraId="6BE82018" w14:textId="77777777" w:rsidR="008838AB" w:rsidRPr="00092EC2" w:rsidRDefault="008838AB" w:rsidP="00B33FB2">
            <w:pPr>
              <w:spacing w:before="40" w:after="40"/>
              <w:rPr>
                <w:rFonts w:ascii="Arial" w:hAnsi="Arial" w:cs="Arial"/>
                <w:sz w:val="22"/>
                <w:szCs w:val="22"/>
              </w:rPr>
            </w:pPr>
            <w:r w:rsidRPr="00092EC2">
              <w:rPr>
                <w:rFonts w:ascii="Arial" w:hAnsi="Arial" w:cs="Arial"/>
                <w:sz w:val="22"/>
                <w:szCs w:val="22"/>
              </w:rPr>
              <w:t>Design/Analysis</w:t>
            </w:r>
          </w:p>
        </w:tc>
        <w:tc>
          <w:tcPr>
            <w:tcW w:w="2520" w:type="dxa"/>
          </w:tcPr>
          <w:p w14:paraId="43242AE9" w14:textId="77777777" w:rsidR="008838AB" w:rsidRPr="00092EC2" w:rsidRDefault="008838AB" w:rsidP="00B33FB2">
            <w:pPr>
              <w:spacing w:before="40" w:after="40"/>
              <w:rPr>
                <w:rFonts w:ascii="Arial" w:hAnsi="Arial" w:cs="Arial"/>
                <w:sz w:val="22"/>
                <w:szCs w:val="22"/>
              </w:rPr>
            </w:pPr>
            <w:r w:rsidRPr="00092EC2">
              <w:rPr>
                <w:rFonts w:ascii="Arial" w:hAnsi="Arial" w:cs="Arial"/>
                <w:sz w:val="22"/>
                <w:szCs w:val="22"/>
              </w:rPr>
              <w:t xml:space="preserve">PDS </w:t>
            </w:r>
            <w:hyperlink r:id="rId440" w:history="1">
              <w:r w:rsidRPr="00092EC2">
                <w:rPr>
                  <w:rStyle w:val="Hyperlink"/>
                  <w:rFonts w:ascii="Arial" w:hAnsi="Arial" w:cs="Arial"/>
                  <w:sz w:val="22"/>
                  <w:szCs w:val="22"/>
                </w:rPr>
                <w:t>Spreadsheets</w:t>
              </w:r>
            </w:hyperlink>
            <w:r w:rsidRPr="00092EC2">
              <w:rPr>
                <w:rFonts w:ascii="Arial" w:hAnsi="Arial" w:cs="Arial"/>
                <w:sz w:val="22"/>
                <w:szCs w:val="22"/>
              </w:rPr>
              <w:t xml:space="preserve"> 1, 3-6, 8, 9</w:t>
            </w:r>
          </w:p>
          <w:p w14:paraId="5D8EFF97" w14:textId="77777777" w:rsidR="008838AB" w:rsidRPr="00092EC2" w:rsidRDefault="008838AB" w:rsidP="00B33FB2">
            <w:pPr>
              <w:spacing w:before="40" w:after="40"/>
              <w:rPr>
                <w:rFonts w:ascii="Arial" w:hAnsi="Arial" w:cs="Arial"/>
                <w:sz w:val="22"/>
                <w:szCs w:val="22"/>
              </w:rPr>
            </w:pPr>
            <w:r w:rsidRPr="00092EC2">
              <w:rPr>
                <w:rFonts w:ascii="Arial" w:hAnsi="Arial" w:cs="Arial"/>
                <w:sz w:val="22"/>
                <w:szCs w:val="22"/>
              </w:rPr>
              <w:t>Pavement design files (including RSL Calculations and AASHTO ME input files and design outputs)</w:t>
            </w:r>
          </w:p>
          <w:p w14:paraId="51F0209E" w14:textId="77777777" w:rsidR="008838AB" w:rsidRPr="00092EC2" w:rsidRDefault="008838AB" w:rsidP="00B33FB2">
            <w:pPr>
              <w:spacing w:before="40" w:after="40"/>
              <w:rPr>
                <w:rFonts w:ascii="Arial" w:hAnsi="Arial" w:cs="Arial"/>
                <w:sz w:val="22"/>
                <w:szCs w:val="22"/>
              </w:rPr>
            </w:pPr>
            <w:r w:rsidRPr="00092EC2">
              <w:rPr>
                <w:rFonts w:ascii="Arial" w:hAnsi="Arial" w:cs="Arial"/>
                <w:sz w:val="22"/>
                <w:szCs w:val="22"/>
              </w:rPr>
              <w:t>Cut/Fill quantity calculations</w:t>
            </w:r>
          </w:p>
          <w:p w14:paraId="0420224C" w14:textId="77777777" w:rsidR="008838AB" w:rsidRPr="00092EC2" w:rsidRDefault="008838AB" w:rsidP="00B33FB2">
            <w:pPr>
              <w:spacing w:before="40" w:after="40"/>
              <w:rPr>
                <w:rFonts w:ascii="Arial" w:hAnsi="Arial" w:cs="Arial"/>
                <w:sz w:val="22"/>
                <w:szCs w:val="22"/>
              </w:rPr>
            </w:pPr>
            <w:r w:rsidRPr="00092EC2">
              <w:rPr>
                <w:rFonts w:ascii="Arial" w:hAnsi="Arial" w:cs="Arial"/>
                <w:sz w:val="22"/>
                <w:szCs w:val="22"/>
              </w:rPr>
              <w:t>Soil property information – shrinkage factors, in-situ moisture, densities</w:t>
            </w:r>
          </w:p>
          <w:p w14:paraId="5FD0695E" w14:textId="77777777" w:rsidR="008838AB" w:rsidRPr="00092EC2" w:rsidRDefault="008838AB" w:rsidP="00B33FB2">
            <w:pPr>
              <w:spacing w:before="40" w:after="40"/>
              <w:rPr>
                <w:rFonts w:ascii="Arial" w:hAnsi="Arial" w:cs="Arial"/>
                <w:sz w:val="22"/>
                <w:szCs w:val="22"/>
              </w:rPr>
            </w:pPr>
            <w:r w:rsidRPr="00092EC2">
              <w:rPr>
                <w:rFonts w:ascii="Arial" w:hAnsi="Arial" w:cs="Arial"/>
                <w:sz w:val="22"/>
                <w:szCs w:val="22"/>
              </w:rPr>
              <w:t xml:space="preserve">Data Analysis calculations/outputs </w:t>
            </w:r>
          </w:p>
          <w:p w14:paraId="596717FC" w14:textId="77777777" w:rsidR="008838AB" w:rsidRPr="00092EC2" w:rsidRDefault="008838AB" w:rsidP="00B33FB2">
            <w:pPr>
              <w:spacing w:before="40" w:after="40"/>
              <w:rPr>
                <w:rFonts w:ascii="Arial" w:hAnsi="Arial" w:cs="Arial"/>
                <w:sz w:val="22"/>
                <w:szCs w:val="22"/>
              </w:rPr>
            </w:pPr>
            <w:r w:rsidRPr="00092EC2">
              <w:rPr>
                <w:rFonts w:ascii="Arial" w:hAnsi="Arial" w:cs="Arial"/>
                <w:sz w:val="22"/>
                <w:szCs w:val="22"/>
              </w:rPr>
              <w:t>Geotechnical design outputs</w:t>
            </w:r>
          </w:p>
        </w:tc>
        <w:tc>
          <w:tcPr>
            <w:tcW w:w="5580" w:type="dxa"/>
          </w:tcPr>
          <w:p w14:paraId="630FFA68" w14:textId="77777777" w:rsidR="008838AB" w:rsidRPr="00B576C1" w:rsidRDefault="008838AB" w:rsidP="00B33FB2">
            <w:pPr>
              <w:spacing w:before="40" w:after="40"/>
              <w:rPr>
                <w:rFonts w:ascii="Arial" w:hAnsi="Arial" w:cs="Arial"/>
                <w:sz w:val="22"/>
                <w:szCs w:val="22"/>
              </w:rPr>
            </w:pPr>
            <w:r>
              <w:rPr>
                <w:rFonts w:ascii="Arial" w:hAnsi="Arial" w:cs="Arial"/>
                <w:sz w:val="22"/>
                <w:szCs w:val="22"/>
              </w:rPr>
              <w:t xml:space="preserve">All content from the Design/Analysis section </w:t>
            </w:r>
            <w:r w:rsidRPr="00B576C1">
              <w:rPr>
                <w:rFonts w:ascii="Arial" w:hAnsi="Arial" w:cs="Arial"/>
                <w:sz w:val="22"/>
                <w:szCs w:val="22"/>
              </w:rPr>
              <w:t xml:space="preserve">should be archived in the electronic file folder.  </w:t>
            </w:r>
          </w:p>
          <w:p w14:paraId="77065C24" w14:textId="77777777" w:rsidR="008838AB" w:rsidRDefault="008838AB" w:rsidP="00B33FB2">
            <w:pPr>
              <w:spacing w:before="40" w:after="40"/>
              <w:rPr>
                <w:rFonts w:ascii="Arial" w:hAnsi="Arial" w:cs="Arial"/>
                <w:sz w:val="22"/>
                <w:szCs w:val="22"/>
              </w:rPr>
            </w:pPr>
          </w:p>
          <w:p w14:paraId="4A09D4A7" w14:textId="77777777" w:rsidR="008838AB" w:rsidRPr="00455A90" w:rsidRDefault="008838AB" w:rsidP="00B33FB2">
            <w:pPr>
              <w:spacing w:before="40" w:after="40"/>
              <w:rPr>
                <w:rFonts w:ascii="Arial" w:hAnsi="Arial" w:cs="Arial"/>
                <w:sz w:val="22"/>
                <w:szCs w:val="22"/>
                <w:highlight w:val="yellow"/>
              </w:rPr>
            </w:pPr>
            <w:r>
              <w:rPr>
                <w:rFonts w:ascii="Arial" w:hAnsi="Arial" w:cs="Arial"/>
                <w:sz w:val="22"/>
                <w:szCs w:val="22"/>
              </w:rPr>
              <w:t>Content from this section of the project file folder, not already in the electronic file folder,</w:t>
            </w:r>
            <w:r w:rsidRPr="00B576C1">
              <w:rPr>
                <w:rFonts w:ascii="Arial" w:hAnsi="Arial" w:cs="Arial"/>
                <w:sz w:val="22"/>
                <w:szCs w:val="22"/>
              </w:rPr>
              <w:t xml:space="preserve"> should be scanned, </w:t>
            </w:r>
            <w:r>
              <w:rPr>
                <w:rFonts w:ascii="Arial" w:hAnsi="Arial" w:cs="Arial"/>
                <w:sz w:val="22"/>
                <w:szCs w:val="22"/>
              </w:rPr>
              <w:t>renamed and placed in Section 6</w:t>
            </w:r>
            <w:r w:rsidRPr="00B576C1">
              <w:rPr>
                <w:rFonts w:ascii="Arial" w:hAnsi="Arial" w:cs="Arial"/>
                <w:sz w:val="22"/>
                <w:szCs w:val="22"/>
              </w:rPr>
              <w:t xml:space="preserve"> of the electronic file folder.</w:t>
            </w:r>
            <w:r>
              <w:rPr>
                <w:rFonts w:ascii="Arial" w:hAnsi="Arial" w:cs="Arial"/>
                <w:sz w:val="22"/>
                <w:szCs w:val="22"/>
              </w:rPr>
              <w:t xml:space="preserve">  Content with </w:t>
            </w:r>
            <w:r w:rsidRPr="00B576C1">
              <w:rPr>
                <w:rFonts w:ascii="Arial" w:hAnsi="Arial" w:cs="Arial"/>
                <w:sz w:val="22"/>
                <w:szCs w:val="22"/>
              </w:rPr>
              <w:t>important handwritten notes from th</w:t>
            </w:r>
            <w:r>
              <w:rPr>
                <w:rFonts w:ascii="Arial" w:hAnsi="Arial" w:cs="Arial"/>
                <w:sz w:val="22"/>
                <w:szCs w:val="22"/>
              </w:rPr>
              <w:t xml:space="preserve">is section of the </w:t>
            </w:r>
            <w:r w:rsidRPr="00B576C1">
              <w:rPr>
                <w:rFonts w:ascii="Arial" w:hAnsi="Arial" w:cs="Arial"/>
                <w:sz w:val="22"/>
                <w:szCs w:val="22"/>
              </w:rPr>
              <w:t xml:space="preserve">project file folder should </w:t>
            </w:r>
            <w:r>
              <w:rPr>
                <w:rFonts w:ascii="Arial" w:hAnsi="Arial" w:cs="Arial"/>
                <w:sz w:val="22"/>
                <w:szCs w:val="22"/>
              </w:rPr>
              <w:t xml:space="preserve">also </w:t>
            </w:r>
            <w:r w:rsidRPr="00B576C1">
              <w:rPr>
                <w:rFonts w:ascii="Arial" w:hAnsi="Arial" w:cs="Arial"/>
                <w:sz w:val="22"/>
                <w:szCs w:val="22"/>
              </w:rPr>
              <w:t>be scanned,</w:t>
            </w:r>
            <w:r>
              <w:rPr>
                <w:rFonts w:ascii="Arial" w:hAnsi="Arial" w:cs="Arial"/>
                <w:sz w:val="22"/>
                <w:szCs w:val="22"/>
              </w:rPr>
              <w:t xml:space="preserve"> renamed and placed in Section 6</w:t>
            </w:r>
            <w:r w:rsidRPr="00B576C1">
              <w:rPr>
                <w:rFonts w:ascii="Arial" w:hAnsi="Arial" w:cs="Arial"/>
                <w:sz w:val="22"/>
                <w:szCs w:val="22"/>
              </w:rPr>
              <w:t xml:space="preserve"> of the electronic file folder.</w:t>
            </w:r>
          </w:p>
        </w:tc>
      </w:tr>
    </w:tbl>
    <w:p w14:paraId="2624A37D" w14:textId="77777777" w:rsidR="008838AB" w:rsidRDefault="008838AB" w:rsidP="008838AB">
      <w:pPr>
        <w:rPr>
          <w:rFonts w:ascii="Arial" w:hAnsi="Arial" w:cs="Arial"/>
          <w:sz w:val="22"/>
          <w:szCs w:val="22"/>
          <w:highlight w:val="yellow"/>
        </w:rPr>
      </w:pPr>
    </w:p>
    <w:p w14:paraId="66A0AB47" w14:textId="77777777" w:rsidR="008838AB" w:rsidRPr="00086117" w:rsidRDefault="008838AB" w:rsidP="008838AB">
      <w:pPr>
        <w:rPr>
          <w:rFonts w:ascii="Arial" w:hAnsi="Arial" w:cs="Arial"/>
          <w:sz w:val="22"/>
          <w:szCs w:val="22"/>
        </w:rPr>
      </w:pPr>
    </w:p>
    <w:p w14:paraId="3CD7BDD3" w14:textId="77777777" w:rsidR="008838AB" w:rsidRPr="00086117" w:rsidRDefault="008838AB" w:rsidP="00172E64">
      <w:pPr>
        <w:numPr>
          <w:ilvl w:val="0"/>
          <w:numId w:val="186"/>
        </w:numPr>
        <w:ind w:left="0" w:firstLine="0"/>
        <w:rPr>
          <w:rFonts w:ascii="Arial" w:hAnsi="Arial" w:cs="Arial"/>
          <w:b/>
          <w:sz w:val="22"/>
          <w:szCs w:val="22"/>
        </w:rPr>
      </w:pPr>
      <w:r w:rsidRPr="00086117">
        <w:rPr>
          <w:rFonts w:ascii="Arial" w:hAnsi="Arial" w:cs="Arial"/>
          <w:b/>
          <w:sz w:val="22"/>
          <w:szCs w:val="22"/>
        </w:rPr>
        <w:t xml:space="preserve">Archive Location </w:t>
      </w:r>
    </w:p>
    <w:p w14:paraId="3B9A2B3C" w14:textId="77777777" w:rsidR="008838AB" w:rsidRPr="00086117" w:rsidRDefault="008838AB" w:rsidP="00172E64">
      <w:pPr>
        <w:pStyle w:val="ListParagraph"/>
        <w:numPr>
          <w:ilvl w:val="0"/>
          <w:numId w:val="190"/>
        </w:numPr>
        <w:jc w:val="both"/>
        <w:rPr>
          <w:rFonts w:ascii="Arial" w:hAnsi="Arial" w:cs="Arial"/>
          <w:sz w:val="22"/>
          <w:szCs w:val="22"/>
        </w:rPr>
      </w:pPr>
      <w:r w:rsidRPr="00086117">
        <w:rPr>
          <w:rFonts w:ascii="Arial" w:hAnsi="Arial" w:cs="Arial"/>
          <w:sz w:val="22"/>
          <w:szCs w:val="22"/>
        </w:rPr>
        <w:t xml:space="preserve">Once the electronic folder is ready for archiving, it needs to be </w:t>
      </w:r>
      <w:r w:rsidRPr="00EC70F6">
        <w:rPr>
          <w:rFonts w:ascii="Arial" w:hAnsi="Arial" w:cs="Arial"/>
          <w:sz w:val="22"/>
          <w:szCs w:val="22"/>
        </w:rPr>
        <w:t xml:space="preserve">copied to </w:t>
      </w:r>
      <w:r w:rsidR="00EC70F6" w:rsidRPr="00EC70F6">
        <w:rPr>
          <w:rFonts w:ascii="Arial" w:hAnsi="Arial" w:cs="Arial"/>
          <w:sz w:val="22"/>
          <w:szCs w:val="22"/>
        </w:rPr>
        <w:t>MDOT SharePoint</w:t>
      </w:r>
      <w:r w:rsidR="00EC70F6">
        <w:rPr>
          <w:rFonts w:ascii="Arial" w:hAnsi="Arial" w:cs="Arial"/>
          <w:sz w:val="22"/>
          <w:szCs w:val="22"/>
        </w:rPr>
        <w:t xml:space="preserve">. </w:t>
      </w:r>
      <w:r w:rsidRPr="00086117">
        <w:rPr>
          <w:rFonts w:ascii="Arial" w:hAnsi="Arial" w:cs="Arial"/>
          <w:sz w:val="22"/>
          <w:szCs w:val="22"/>
        </w:rPr>
        <w:t>Do not delete the electronic folder on the N: drive until the Design TL has confirmed that the transfer has been successfully completed. Once confirmed by the Design TL, the N: electronic folder should be deleted.</w:t>
      </w:r>
    </w:p>
    <w:p w14:paraId="24795FA3" w14:textId="77777777" w:rsidR="008838AB" w:rsidRPr="00086117" w:rsidRDefault="008838AB" w:rsidP="008838AB">
      <w:pPr>
        <w:rPr>
          <w:rFonts w:ascii="Arial" w:hAnsi="Arial" w:cs="Arial"/>
          <w:sz w:val="22"/>
          <w:szCs w:val="22"/>
        </w:rPr>
      </w:pPr>
    </w:p>
    <w:p w14:paraId="5F56A497" w14:textId="77777777" w:rsidR="008838AB" w:rsidRPr="00086117" w:rsidRDefault="008838AB" w:rsidP="00172E64">
      <w:pPr>
        <w:numPr>
          <w:ilvl w:val="0"/>
          <w:numId w:val="186"/>
        </w:numPr>
        <w:ind w:left="0" w:firstLine="0"/>
        <w:rPr>
          <w:rFonts w:ascii="Arial" w:hAnsi="Arial" w:cs="Arial"/>
          <w:b/>
          <w:sz w:val="22"/>
          <w:szCs w:val="22"/>
        </w:rPr>
      </w:pPr>
      <w:r w:rsidRPr="00086117">
        <w:rPr>
          <w:rFonts w:ascii="Arial" w:hAnsi="Arial" w:cs="Arial"/>
          <w:b/>
          <w:sz w:val="22"/>
          <w:szCs w:val="22"/>
        </w:rPr>
        <w:t>Project Plans and Invitation for Bids (IFB)</w:t>
      </w:r>
    </w:p>
    <w:p w14:paraId="19F50D6C" w14:textId="77777777" w:rsidR="008838AB" w:rsidRPr="00086117" w:rsidRDefault="008838AB" w:rsidP="00172E64">
      <w:pPr>
        <w:pStyle w:val="ListParagraph"/>
        <w:numPr>
          <w:ilvl w:val="0"/>
          <w:numId w:val="190"/>
        </w:numPr>
        <w:jc w:val="both"/>
        <w:rPr>
          <w:rFonts w:ascii="Arial" w:hAnsi="Arial" w:cs="Arial"/>
          <w:sz w:val="22"/>
          <w:szCs w:val="22"/>
        </w:rPr>
      </w:pPr>
      <w:r w:rsidRPr="00086117">
        <w:rPr>
          <w:rFonts w:ascii="Arial" w:hAnsi="Arial" w:cs="Arial"/>
          <w:sz w:val="22"/>
          <w:szCs w:val="22"/>
        </w:rPr>
        <w:t>Advertised Project plans and IFB documents should remain in the possession and the responsibility of the designer until the as-built plans are available. Once the as-built plans are available, the advertised project plans should be deleted/recycled. The electronic IFB may remain in the root directory of the electronic file folder. Hard copies of the IFB should be recycled.</w:t>
      </w:r>
    </w:p>
    <w:p w14:paraId="6910B688" w14:textId="77777777" w:rsidR="008838AB" w:rsidRDefault="008838AB" w:rsidP="008838AB">
      <w:pPr>
        <w:pStyle w:val="ListParagraph"/>
        <w:ind w:left="360"/>
        <w:jc w:val="both"/>
        <w:rPr>
          <w:rFonts w:ascii="Arial" w:hAnsi="Arial" w:cs="Arial"/>
          <w:sz w:val="22"/>
          <w:szCs w:val="22"/>
          <w:highlight w:val="yellow"/>
        </w:rPr>
      </w:pPr>
    </w:p>
    <w:p w14:paraId="4137787E" w14:textId="77777777" w:rsidR="008838AB" w:rsidRPr="00905D5C" w:rsidRDefault="008838AB" w:rsidP="008838AB">
      <w:pPr>
        <w:rPr>
          <w:rFonts w:ascii="Arial" w:hAnsi="Arial" w:cs="Arial"/>
        </w:rPr>
      </w:pPr>
    </w:p>
    <w:p w14:paraId="081641A2" w14:textId="77777777" w:rsidR="008838AB" w:rsidRDefault="008838AB" w:rsidP="008838AB">
      <w:pPr>
        <w:autoSpaceDE w:val="0"/>
        <w:autoSpaceDN w:val="0"/>
        <w:adjustRightInd w:val="0"/>
        <w:jc w:val="both"/>
      </w:pPr>
    </w:p>
    <w:p w14:paraId="58E09EBE" w14:textId="77777777" w:rsidR="008838AB" w:rsidRDefault="008838AB" w:rsidP="008838AB">
      <w:pPr>
        <w:pStyle w:val="BodyTextIndent"/>
        <w:ind w:left="0"/>
        <w:rPr>
          <w:rFonts w:cs="Arial"/>
          <w:szCs w:val="22"/>
        </w:rPr>
      </w:pPr>
    </w:p>
    <w:p w14:paraId="3C36D662" w14:textId="77777777" w:rsidR="00A01F63" w:rsidRPr="00905D5C" w:rsidRDefault="00A01F63" w:rsidP="00BE3F24">
      <w:pPr>
        <w:rPr>
          <w:rFonts w:ascii="Arial" w:hAnsi="Arial" w:cs="Arial"/>
        </w:rPr>
      </w:pPr>
    </w:p>
    <w:p w14:paraId="1ECB5501" w14:textId="77777777" w:rsidR="00693A87" w:rsidRDefault="00693A87" w:rsidP="00BE3F24">
      <w:pPr>
        <w:pStyle w:val="BodyText"/>
      </w:pPr>
    </w:p>
    <w:p w14:paraId="57F27EA3" w14:textId="1356A2D6" w:rsidR="00BB111A" w:rsidRDefault="00BB111A" w:rsidP="00172E64">
      <w:pPr>
        <w:pStyle w:val="Heading2"/>
        <w:numPr>
          <w:ilvl w:val="1"/>
          <w:numId w:val="185"/>
        </w:numPr>
        <w:ind w:left="0" w:firstLine="0"/>
        <w:sectPr w:rsidR="00BB111A" w:rsidSect="008B1BAA">
          <w:headerReference w:type="default" r:id="rId441"/>
          <w:pgSz w:w="12240" w:h="15840" w:code="1"/>
          <w:pgMar w:top="1440" w:right="1800" w:bottom="1440" w:left="1800" w:header="720" w:footer="720" w:gutter="0"/>
          <w:pgNumType w:chapStyle="1"/>
          <w:cols w:space="720"/>
          <w:docGrid w:linePitch="272"/>
        </w:sectPr>
      </w:pPr>
    </w:p>
    <w:p w14:paraId="0CF11ED1" w14:textId="012E542A" w:rsidR="00693A87" w:rsidRPr="00160E58" w:rsidRDefault="00693A87" w:rsidP="00172E64">
      <w:pPr>
        <w:pStyle w:val="Heading2"/>
        <w:numPr>
          <w:ilvl w:val="1"/>
          <w:numId w:val="185"/>
        </w:numPr>
        <w:spacing w:before="120"/>
        <w:ind w:left="0" w:firstLine="0"/>
      </w:pPr>
      <w:bookmarkStart w:id="719" w:name="_Contractor_Requests"/>
      <w:bookmarkStart w:id="720" w:name="_Toc479160144"/>
      <w:bookmarkStart w:id="721" w:name="_Toc514058031"/>
      <w:bookmarkStart w:id="722" w:name="_Toc194932426"/>
      <w:bookmarkEnd w:id="719"/>
      <w:r>
        <w:lastRenderedPageBreak/>
        <w:t>Contractor Requests</w:t>
      </w:r>
      <w:bookmarkEnd w:id="720"/>
      <w:bookmarkEnd w:id="721"/>
      <w:bookmarkEnd w:id="722"/>
    </w:p>
    <w:p w14:paraId="6145ACED" w14:textId="635C2737" w:rsidR="00A01F63" w:rsidRPr="00A01F63" w:rsidRDefault="00A01F63" w:rsidP="00B35E1D">
      <w:pPr>
        <w:autoSpaceDE w:val="0"/>
        <w:autoSpaceDN w:val="0"/>
        <w:adjustRightInd w:val="0"/>
        <w:jc w:val="both"/>
        <w:rPr>
          <w:rFonts w:ascii="Arial" w:hAnsi="Arial" w:cs="Arial"/>
          <w:sz w:val="22"/>
          <w:szCs w:val="22"/>
        </w:rPr>
      </w:pPr>
      <w:r w:rsidRPr="00A01F63">
        <w:rPr>
          <w:rFonts w:ascii="Arial" w:hAnsi="Arial" w:cs="Arial"/>
          <w:sz w:val="22"/>
          <w:szCs w:val="22"/>
        </w:rPr>
        <w:t>The Contractor can request to review the project</w:t>
      </w:r>
      <w:r w:rsidR="00B35E1D">
        <w:rPr>
          <w:rFonts w:ascii="Arial" w:hAnsi="Arial" w:cs="Arial"/>
          <w:sz w:val="22"/>
          <w:szCs w:val="22"/>
        </w:rPr>
        <w:t>-</w:t>
      </w:r>
      <w:r w:rsidRPr="00A01F63">
        <w:rPr>
          <w:rFonts w:ascii="Arial" w:hAnsi="Arial" w:cs="Arial"/>
          <w:sz w:val="22"/>
          <w:szCs w:val="22"/>
        </w:rPr>
        <w:t>related data after Advertisement.</w:t>
      </w:r>
      <w:r w:rsidR="00B35E1D">
        <w:rPr>
          <w:rFonts w:ascii="Arial" w:hAnsi="Arial" w:cs="Arial"/>
          <w:sz w:val="22"/>
          <w:szCs w:val="22"/>
        </w:rPr>
        <w:t xml:space="preserve"> </w:t>
      </w:r>
      <w:r w:rsidRPr="00A01F63">
        <w:rPr>
          <w:rFonts w:ascii="Arial" w:hAnsi="Arial" w:cs="Arial"/>
          <w:sz w:val="22"/>
          <w:szCs w:val="22"/>
        </w:rPr>
        <w:t>Generally, the project</w:t>
      </w:r>
      <w:r w:rsidR="00B35E1D">
        <w:rPr>
          <w:rFonts w:ascii="Arial" w:hAnsi="Arial" w:cs="Arial"/>
          <w:sz w:val="22"/>
          <w:szCs w:val="22"/>
        </w:rPr>
        <w:t>-</w:t>
      </w:r>
      <w:r w:rsidRPr="00A01F63">
        <w:rPr>
          <w:rFonts w:ascii="Arial" w:hAnsi="Arial" w:cs="Arial"/>
          <w:sz w:val="22"/>
          <w:szCs w:val="22"/>
        </w:rPr>
        <w:t>related data includes the following:</w:t>
      </w:r>
    </w:p>
    <w:p w14:paraId="4907FB94" w14:textId="77777777" w:rsidR="00A01F63" w:rsidRPr="00A01F63" w:rsidRDefault="00A01F63" w:rsidP="00B35E1D">
      <w:pPr>
        <w:autoSpaceDE w:val="0"/>
        <w:autoSpaceDN w:val="0"/>
        <w:adjustRightInd w:val="0"/>
        <w:jc w:val="both"/>
        <w:rPr>
          <w:rFonts w:ascii="Arial" w:hAnsi="Arial" w:cs="Arial"/>
          <w:sz w:val="22"/>
          <w:szCs w:val="22"/>
        </w:rPr>
      </w:pPr>
    </w:p>
    <w:p w14:paraId="524B43CB" w14:textId="77777777" w:rsidR="001A15B9" w:rsidRDefault="00A01F63" w:rsidP="00172E64">
      <w:pPr>
        <w:numPr>
          <w:ilvl w:val="0"/>
          <w:numId w:val="80"/>
        </w:numPr>
        <w:autoSpaceDE w:val="0"/>
        <w:autoSpaceDN w:val="0"/>
        <w:adjustRightInd w:val="0"/>
        <w:ind w:left="540" w:hanging="540"/>
        <w:jc w:val="both"/>
        <w:rPr>
          <w:rFonts w:ascii="Arial" w:hAnsi="Arial" w:cs="Arial"/>
          <w:sz w:val="22"/>
          <w:szCs w:val="22"/>
        </w:rPr>
      </w:pPr>
      <w:r w:rsidRPr="00A01F63">
        <w:rPr>
          <w:rFonts w:ascii="Arial" w:hAnsi="Arial" w:cs="Arial"/>
          <w:sz w:val="22"/>
          <w:szCs w:val="22"/>
        </w:rPr>
        <w:t>Soil or rock samples</w:t>
      </w:r>
    </w:p>
    <w:p w14:paraId="2C749338" w14:textId="77777777" w:rsidR="001A15B9" w:rsidRDefault="00A01F63" w:rsidP="00172E64">
      <w:pPr>
        <w:numPr>
          <w:ilvl w:val="0"/>
          <w:numId w:val="80"/>
        </w:numPr>
        <w:autoSpaceDE w:val="0"/>
        <w:autoSpaceDN w:val="0"/>
        <w:adjustRightInd w:val="0"/>
        <w:ind w:left="540" w:hanging="540"/>
        <w:jc w:val="both"/>
        <w:rPr>
          <w:rFonts w:ascii="Arial" w:hAnsi="Arial" w:cs="Arial"/>
          <w:sz w:val="22"/>
          <w:szCs w:val="22"/>
        </w:rPr>
      </w:pPr>
      <w:r w:rsidRPr="00A01F63">
        <w:rPr>
          <w:rFonts w:ascii="Arial" w:hAnsi="Arial" w:cs="Arial"/>
          <w:sz w:val="22"/>
          <w:szCs w:val="22"/>
        </w:rPr>
        <w:t>Monitoring Well Data, if not included in the Contract Document</w:t>
      </w:r>
    </w:p>
    <w:p w14:paraId="0F40A855" w14:textId="77777777" w:rsidR="001A15B9" w:rsidRDefault="00A01F63" w:rsidP="00172E64">
      <w:pPr>
        <w:numPr>
          <w:ilvl w:val="0"/>
          <w:numId w:val="80"/>
        </w:numPr>
        <w:autoSpaceDE w:val="0"/>
        <w:autoSpaceDN w:val="0"/>
        <w:adjustRightInd w:val="0"/>
        <w:ind w:left="540" w:hanging="540"/>
        <w:jc w:val="both"/>
        <w:rPr>
          <w:rFonts w:ascii="Arial" w:hAnsi="Arial" w:cs="Arial"/>
          <w:sz w:val="22"/>
          <w:szCs w:val="22"/>
        </w:rPr>
      </w:pPr>
      <w:r w:rsidRPr="00A01F63">
        <w:rPr>
          <w:rFonts w:ascii="Arial" w:hAnsi="Arial" w:cs="Arial"/>
          <w:sz w:val="22"/>
          <w:szCs w:val="22"/>
        </w:rPr>
        <w:t>Copy of the Site Assessment Report for potential hazards and hazardous site on the project is available for review only during the bidding process</w:t>
      </w:r>
    </w:p>
    <w:p w14:paraId="3E868851" w14:textId="77777777" w:rsidR="001A15B9" w:rsidRDefault="00A01F63" w:rsidP="00172E64">
      <w:pPr>
        <w:numPr>
          <w:ilvl w:val="0"/>
          <w:numId w:val="80"/>
        </w:numPr>
        <w:autoSpaceDE w:val="0"/>
        <w:autoSpaceDN w:val="0"/>
        <w:adjustRightInd w:val="0"/>
        <w:ind w:left="540" w:hanging="540"/>
        <w:jc w:val="both"/>
        <w:rPr>
          <w:rFonts w:ascii="Arial" w:hAnsi="Arial" w:cs="Arial"/>
          <w:sz w:val="22"/>
          <w:szCs w:val="22"/>
        </w:rPr>
      </w:pPr>
      <w:r w:rsidRPr="00A01F63">
        <w:rPr>
          <w:rFonts w:ascii="Arial" w:hAnsi="Arial" w:cs="Arial"/>
          <w:sz w:val="22"/>
          <w:szCs w:val="22"/>
        </w:rPr>
        <w:t>A copy of the Site Assessment Report will be furnished to the successful bidder</w:t>
      </w:r>
    </w:p>
    <w:p w14:paraId="4A28512F" w14:textId="77777777" w:rsidR="00A01F63" w:rsidRPr="00A01F63" w:rsidRDefault="00A01F63" w:rsidP="00B35E1D">
      <w:pPr>
        <w:autoSpaceDE w:val="0"/>
        <w:autoSpaceDN w:val="0"/>
        <w:adjustRightInd w:val="0"/>
        <w:ind w:left="720" w:hanging="720"/>
        <w:jc w:val="both"/>
        <w:rPr>
          <w:rFonts w:ascii="Arial" w:hAnsi="Arial" w:cs="Arial"/>
          <w:sz w:val="22"/>
          <w:szCs w:val="22"/>
        </w:rPr>
      </w:pPr>
    </w:p>
    <w:p w14:paraId="07BF560A" w14:textId="61594344" w:rsidR="00A01F63" w:rsidRPr="00A01F63" w:rsidRDefault="00A01F63" w:rsidP="00B35E1D">
      <w:pPr>
        <w:autoSpaceDE w:val="0"/>
        <w:autoSpaceDN w:val="0"/>
        <w:adjustRightInd w:val="0"/>
        <w:jc w:val="both"/>
        <w:rPr>
          <w:rFonts w:ascii="Arial" w:hAnsi="Arial" w:cs="Arial"/>
          <w:bCs/>
          <w:iCs/>
          <w:sz w:val="22"/>
          <w:szCs w:val="22"/>
        </w:rPr>
      </w:pPr>
      <w:r w:rsidRPr="00A01F63">
        <w:rPr>
          <w:rFonts w:ascii="Arial" w:hAnsi="Arial" w:cs="Arial"/>
          <w:sz w:val="22"/>
          <w:szCs w:val="22"/>
        </w:rPr>
        <w:t>The Contractor should make a request, preferably by a letter/memo addressed to OMT</w:t>
      </w:r>
      <w:r w:rsidR="00B35E1D" w:rsidRPr="00722B46">
        <w:rPr>
          <w:rFonts w:ascii="Arial" w:hAnsi="Arial"/>
        </w:rPr>
        <w:t xml:space="preserve"> </w:t>
      </w:r>
      <w:r w:rsidR="00B35E1D">
        <w:rPr>
          <w:rFonts w:ascii="Arial" w:hAnsi="Arial" w:cs="Arial"/>
        </w:rPr>
        <w:t>–</w:t>
      </w:r>
      <w:r w:rsidR="00B35E1D" w:rsidRPr="00722B46">
        <w:rPr>
          <w:rFonts w:ascii="Arial" w:hAnsi="Arial"/>
        </w:rPr>
        <w:t xml:space="preserve"> </w:t>
      </w:r>
      <w:r w:rsidRPr="00A01F63">
        <w:rPr>
          <w:rFonts w:ascii="Arial" w:hAnsi="Arial" w:cs="Arial"/>
          <w:sz w:val="22"/>
          <w:szCs w:val="22"/>
        </w:rPr>
        <w:t xml:space="preserve">Director, to review or get access to the project related data after advertisement. PAGD Engineer to discuss the request with PAGD TL to fill out the paper work to process </w:t>
      </w:r>
      <w:r>
        <w:rPr>
          <w:rFonts w:ascii="Arial" w:hAnsi="Arial" w:cs="Arial"/>
          <w:sz w:val="22"/>
          <w:szCs w:val="22"/>
        </w:rPr>
        <w:t xml:space="preserve">the </w:t>
      </w:r>
      <w:r w:rsidRPr="00A01F63">
        <w:rPr>
          <w:rFonts w:ascii="Arial" w:hAnsi="Arial" w:cs="Arial"/>
          <w:sz w:val="22"/>
          <w:szCs w:val="22"/>
        </w:rPr>
        <w:t>Contractor’s request.</w:t>
      </w:r>
    </w:p>
    <w:p w14:paraId="52546891" w14:textId="77777777" w:rsidR="00693A87" w:rsidRDefault="00693A87" w:rsidP="00BE3F24">
      <w:pPr>
        <w:pStyle w:val="BodyText"/>
      </w:pPr>
    </w:p>
    <w:p w14:paraId="0B3C5F97" w14:textId="77777777" w:rsidR="00D612BD" w:rsidRDefault="00D612BD" w:rsidP="00172E64">
      <w:pPr>
        <w:pStyle w:val="Heading2"/>
        <w:numPr>
          <w:ilvl w:val="1"/>
          <w:numId w:val="185"/>
        </w:numPr>
        <w:ind w:left="0" w:firstLine="0"/>
        <w:sectPr w:rsidR="00D612BD" w:rsidSect="008B1BAA">
          <w:headerReference w:type="default" r:id="rId442"/>
          <w:footerReference w:type="default" r:id="rId443"/>
          <w:pgSz w:w="12240" w:h="15840" w:code="1"/>
          <w:pgMar w:top="1440" w:right="1800" w:bottom="1440" w:left="1800" w:header="720" w:footer="720" w:gutter="0"/>
          <w:pgNumType w:chapStyle="1"/>
          <w:cols w:space="720"/>
          <w:docGrid w:linePitch="272"/>
        </w:sectPr>
      </w:pPr>
    </w:p>
    <w:p w14:paraId="262BE053" w14:textId="38FDFD9B" w:rsidR="002744D8" w:rsidRDefault="002744D8" w:rsidP="00172E64">
      <w:pPr>
        <w:pStyle w:val="Heading2"/>
        <w:numPr>
          <w:ilvl w:val="1"/>
          <w:numId w:val="185"/>
        </w:numPr>
        <w:spacing w:before="120"/>
        <w:ind w:left="0" w:firstLine="0"/>
      </w:pPr>
      <w:bookmarkStart w:id="723" w:name="_Unit_Costs"/>
      <w:bookmarkStart w:id="724" w:name="_Toc479160145"/>
      <w:bookmarkStart w:id="725" w:name="_Toc514058032"/>
      <w:bookmarkStart w:id="726" w:name="_Toc194932427"/>
      <w:bookmarkEnd w:id="723"/>
      <w:r>
        <w:lastRenderedPageBreak/>
        <w:t>Unit Cost</w:t>
      </w:r>
      <w:r w:rsidR="00693A87">
        <w:t>s</w:t>
      </w:r>
      <w:bookmarkEnd w:id="724"/>
      <w:bookmarkEnd w:id="725"/>
      <w:bookmarkEnd w:id="726"/>
      <w:r w:rsidR="000A03EC">
        <w:t xml:space="preserve"> </w:t>
      </w:r>
    </w:p>
    <w:p w14:paraId="7C499A07" w14:textId="77777777" w:rsidR="00C9741F" w:rsidRPr="008F604D" w:rsidRDefault="00C9741F" w:rsidP="00C9741F">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Table_C._List_1" w:history="1">
        <w:r w:rsidRPr="00C9741F">
          <w:rPr>
            <w:rStyle w:val="Hyperlink"/>
            <w:rFonts w:ascii="Arial" w:hAnsi="Arial" w:cs="Arial"/>
            <w:bCs/>
            <w:sz w:val="16"/>
            <w:szCs w:val="16"/>
          </w:rPr>
          <w:t>Table C. List of Treatment Options</w:t>
        </w:r>
      </w:hyperlink>
    </w:p>
    <w:p w14:paraId="2EA7027E" w14:textId="77777777" w:rsidR="00C9741F" w:rsidRDefault="00C9741F" w:rsidP="00BE3F24">
      <w:pPr>
        <w:jc w:val="both"/>
        <w:rPr>
          <w:rFonts w:ascii="Arial" w:hAnsi="Arial"/>
          <w:sz w:val="22"/>
        </w:rPr>
      </w:pPr>
    </w:p>
    <w:p w14:paraId="581770AB" w14:textId="4AE7B9AC" w:rsidR="002744D8" w:rsidRDefault="002744D8" w:rsidP="00BE3F24">
      <w:pPr>
        <w:jc w:val="both"/>
        <w:rPr>
          <w:rFonts w:ascii="Arial" w:hAnsi="Arial"/>
          <w:sz w:val="22"/>
        </w:rPr>
      </w:pPr>
      <w:r>
        <w:rPr>
          <w:rFonts w:ascii="Arial" w:hAnsi="Arial"/>
          <w:sz w:val="22"/>
        </w:rPr>
        <w:t>The cost of materials and construction operations is a critical element in determining the most beneficial and cost</w:t>
      </w:r>
      <w:r w:rsidR="00B35E1D">
        <w:rPr>
          <w:rFonts w:ascii="Arial" w:hAnsi="Arial"/>
          <w:sz w:val="22"/>
        </w:rPr>
        <w:t>-</w:t>
      </w:r>
      <w:r>
        <w:rPr>
          <w:rFonts w:ascii="Arial" w:hAnsi="Arial"/>
          <w:sz w:val="22"/>
        </w:rPr>
        <w:t xml:space="preserve">effective pavement recommendation for </w:t>
      </w:r>
      <w:r w:rsidR="008C7023">
        <w:rPr>
          <w:rFonts w:ascii="Arial" w:hAnsi="Arial"/>
          <w:sz w:val="22"/>
        </w:rPr>
        <w:t>MDOT-SHA</w:t>
      </w:r>
      <w:r>
        <w:rPr>
          <w:rFonts w:ascii="Arial" w:hAnsi="Arial"/>
          <w:sz w:val="22"/>
        </w:rPr>
        <w:t xml:space="preserve"> projects.  The unit cost</w:t>
      </w:r>
      <w:r w:rsidR="00BD1332">
        <w:rPr>
          <w:rFonts w:ascii="Arial" w:hAnsi="Arial"/>
          <w:sz w:val="22"/>
        </w:rPr>
        <w:t>s</w:t>
      </w:r>
      <w:r>
        <w:rPr>
          <w:rFonts w:ascii="Arial" w:hAnsi="Arial"/>
          <w:sz w:val="22"/>
        </w:rPr>
        <w:t xml:space="preserve"> of particular construction materials and operations ha</w:t>
      </w:r>
      <w:r w:rsidR="00BD1332">
        <w:rPr>
          <w:rFonts w:ascii="Arial" w:hAnsi="Arial"/>
          <w:sz w:val="22"/>
        </w:rPr>
        <w:t>ve</w:t>
      </w:r>
      <w:r>
        <w:rPr>
          <w:rFonts w:ascii="Arial" w:hAnsi="Arial"/>
          <w:sz w:val="22"/>
        </w:rPr>
        <w:t xml:space="preserve"> been used extensively in life cycle costs analysis (LCCA) procedures like the </w:t>
      </w:r>
      <w:r w:rsidR="008C7023">
        <w:rPr>
          <w:rFonts w:ascii="Arial" w:hAnsi="Arial"/>
          <w:sz w:val="22"/>
        </w:rPr>
        <w:t>MDOT-SHA</w:t>
      </w:r>
      <w:r>
        <w:rPr>
          <w:rFonts w:ascii="Arial" w:hAnsi="Arial"/>
          <w:sz w:val="22"/>
        </w:rPr>
        <w:t xml:space="preserve"> process described in</w:t>
      </w:r>
      <w:r w:rsidR="000E1693">
        <w:rPr>
          <w:rFonts w:ascii="Arial" w:hAnsi="Arial"/>
          <w:sz w:val="22"/>
        </w:rPr>
        <w:t xml:space="preserve"> </w:t>
      </w:r>
      <w:hyperlink w:anchor="_Pavement_Type_Selection" w:history="1">
        <w:r w:rsidR="000E1693" w:rsidRPr="000E1693">
          <w:rPr>
            <w:rStyle w:val="Hyperlink"/>
            <w:rFonts w:ascii="Arial" w:hAnsi="Arial"/>
            <w:sz w:val="22"/>
          </w:rPr>
          <w:t>Pavement Type Selection</w:t>
        </w:r>
      </w:hyperlink>
      <w:r>
        <w:rPr>
          <w:rFonts w:ascii="Arial" w:hAnsi="Arial"/>
          <w:sz w:val="22"/>
        </w:rPr>
        <w:t xml:space="preserve">.  The </w:t>
      </w:r>
      <w:r w:rsidR="008C7023">
        <w:rPr>
          <w:rFonts w:ascii="Arial" w:hAnsi="Arial"/>
          <w:sz w:val="22"/>
        </w:rPr>
        <w:t>MDOT-SHA</w:t>
      </w:r>
      <w:r>
        <w:rPr>
          <w:rFonts w:ascii="Arial" w:hAnsi="Arial"/>
          <w:sz w:val="22"/>
        </w:rPr>
        <w:t xml:space="preserve"> Pavement </w:t>
      </w:r>
      <w:r w:rsidR="00761989">
        <w:rPr>
          <w:rFonts w:ascii="Arial" w:hAnsi="Arial"/>
          <w:sz w:val="22"/>
        </w:rPr>
        <w:t xml:space="preserve">and Geotechnical </w:t>
      </w:r>
      <w:r>
        <w:rPr>
          <w:rFonts w:ascii="Arial" w:hAnsi="Arial"/>
          <w:sz w:val="22"/>
        </w:rPr>
        <w:t xml:space="preserve">Division of OMT has taken the unit cost information beyond LCCA for use in determining the most economical rehabilitation alternatives for </w:t>
      </w:r>
      <w:r w:rsidR="008C7023">
        <w:rPr>
          <w:rFonts w:ascii="Arial" w:hAnsi="Arial"/>
          <w:sz w:val="22"/>
        </w:rPr>
        <w:t>MDOT-SHA</w:t>
      </w:r>
      <w:r>
        <w:rPr>
          <w:rFonts w:ascii="Arial" w:hAnsi="Arial"/>
          <w:sz w:val="22"/>
        </w:rPr>
        <w:t>.  This approach is documented in several areas of</w:t>
      </w:r>
      <w:r w:rsidR="000E1693">
        <w:rPr>
          <w:rFonts w:ascii="Arial" w:hAnsi="Arial"/>
          <w:sz w:val="22"/>
        </w:rPr>
        <w:t xml:space="preserve"> </w:t>
      </w:r>
      <w:hyperlink w:anchor="_Pavement_Preservation,_Rehabilitati" w:history="1">
        <w:r w:rsidR="000E1693" w:rsidRPr="000E1693">
          <w:rPr>
            <w:rStyle w:val="Hyperlink"/>
            <w:rFonts w:ascii="Arial" w:hAnsi="Arial"/>
            <w:sz w:val="22"/>
          </w:rPr>
          <w:t>Pavement Preservation, Rehabilitation &amp; Design</w:t>
        </w:r>
      </w:hyperlink>
      <w:r w:rsidR="000E1693">
        <w:rPr>
          <w:rFonts w:ascii="Arial" w:hAnsi="Arial"/>
          <w:sz w:val="22"/>
        </w:rPr>
        <w:t>.</w:t>
      </w:r>
    </w:p>
    <w:p w14:paraId="164A223F" w14:textId="77777777" w:rsidR="002744D8" w:rsidRDefault="002744D8" w:rsidP="00BE3F24">
      <w:pPr>
        <w:jc w:val="both"/>
        <w:rPr>
          <w:rFonts w:ascii="Arial" w:hAnsi="Arial"/>
          <w:sz w:val="22"/>
        </w:rPr>
      </w:pPr>
    </w:p>
    <w:p w14:paraId="3510815C" w14:textId="1D85EE10" w:rsidR="001365FD" w:rsidRDefault="002744D8" w:rsidP="00BE3F24">
      <w:pPr>
        <w:jc w:val="both"/>
        <w:rPr>
          <w:rFonts w:ascii="Arial" w:hAnsi="Arial"/>
          <w:sz w:val="22"/>
        </w:rPr>
      </w:pPr>
      <w:r>
        <w:rPr>
          <w:rFonts w:ascii="Arial" w:hAnsi="Arial"/>
          <w:sz w:val="22"/>
        </w:rPr>
        <w:t xml:space="preserve">The Pavement Management </w:t>
      </w:r>
      <w:r w:rsidR="00761989">
        <w:rPr>
          <w:rFonts w:ascii="Arial" w:hAnsi="Arial"/>
          <w:sz w:val="22"/>
        </w:rPr>
        <w:t xml:space="preserve">Section </w:t>
      </w:r>
      <w:r>
        <w:rPr>
          <w:rFonts w:ascii="Arial" w:hAnsi="Arial"/>
          <w:sz w:val="22"/>
        </w:rPr>
        <w:t xml:space="preserve">of the Pavement </w:t>
      </w:r>
      <w:r w:rsidR="00FC1D2E">
        <w:rPr>
          <w:rFonts w:ascii="Arial" w:hAnsi="Arial"/>
          <w:sz w:val="22"/>
        </w:rPr>
        <w:t xml:space="preserve">&amp; </w:t>
      </w:r>
      <w:r w:rsidR="00761989">
        <w:rPr>
          <w:rFonts w:ascii="Arial" w:hAnsi="Arial"/>
          <w:sz w:val="22"/>
        </w:rPr>
        <w:t xml:space="preserve">Geotechnical </w:t>
      </w:r>
      <w:r>
        <w:rPr>
          <w:rFonts w:ascii="Arial" w:hAnsi="Arial"/>
          <w:sz w:val="22"/>
        </w:rPr>
        <w:t xml:space="preserve">Division </w:t>
      </w:r>
      <w:r w:rsidR="00761989">
        <w:rPr>
          <w:rFonts w:ascii="Arial" w:hAnsi="Arial"/>
          <w:sz w:val="22"/>
        </w:rPr>
        <w:t xml:space="preserve">maintains </w:t>
      </w:r>
      <w:r>
        <w:rPr>
          <w:rFonts w:ascii="Arial" w:hAnsi="Arial"/>
          <w:sz w:val="22"/>
        </w:rPr>
        <w:t xml:space="preserve">a database of pavement-related materials and operations.  These include special items and “write-in” items for unit prices.  All unit prices are extremely dependent on the quantity of material in the project.  Actual prices will vary widely depending on the contractor and their approach to bidding and figuring profit </w:t>
      </w:r>
      <w:r w:rsidR="00B35E1D">
        <w:rPr>
          <w:rFonts w:ascii="Arial" w:hAnsi="Arial"/>
          <w:sz w:val="22"/>
        </w:rPr>
        <w:t>o</w:t>
      </w:r>
      <w:r>
        <w:rPr>
          <w:rFonts w:ascii="Arial" w:hAnsi="Arial"/>
          <w:sz w:val="22"/>
        </w:rPr>
        <w:t xml:space="preserve">n various project items.  </w:t>
      </w:r>
      <w:r w:rsidR="00761989">
        <w:rPr>
          <w:rFonts w:ascii="Arial" w:hAnsi="Arial"/>
          <w:sz w:val="22"/>
        </w:rPr>
        <w:t>During a partnering effort with both the flexible and rigid pavement industries to develop a pavement type selection process, a significant amount of analysis was done in the unit costs area.  A three</w:t>
      </w:r>
      <w:r w:rsidR="00BD1332">
        <w:rPr>
          <w:rFonts w:ascii="Arial" w:hAnsi="Arial"/>
          <w:sz w:val="22"/>
        </w:rPr>
        <w:t>-</w:t>
      </w:r>
      <w:r w:rsidR="00761989">
        <w:rPr>
          <w:rFonts w:ascii="Arial" w:hAnsi="Arial"/>
          <w:sz w:val="22"/>
        </w:rPr>
        <w:t xml:space="preserve">year running average </w:t>
      </w:r>
      <w:r w:rsidR="00BF6591">
        <w:rPr>
          <w:rFonts w:ascii="Arial" w:hAnsi="Arial"/>
          <w:sz w:val="22"/>
        </w:rPr>
        <w:t xml:space="preserve">is calculated for </w:t>
      </w:r>
      <w:r w:rsidR="00761989">
        <w:rPr>
          <w:rFonts w:ascii="Arial" w:hAnsi="Arial"/>
          <w:sz w:val="22"/>
        </w:rPr>
        <w:t xml:space="preserve">various material and construction items </w:t>
      </w:r>
      <w:r w:rsidR="00BF6591">
        <w:rPr>
          <w:rFonts w:ascii="Arial" w:hAnsi="Arial"/>
          <w:sz w:val="22"/>
        </w:rPr>
        <w:t xml:space="preserve">for LCCA purposes.  The current prices for some items may be different than the </w:t>
      </w:r>
      <w:r w:rsidR="00FC1D2E">
        <w:rPr>
          <w:rFonts w:ascii="Arial" w:hAnsi="Arial"/>
          <w:sz w:val="22"/>
        </w:rPr>
        <w:t>3</w:t>
      </w:r>
      <w:r w:rsidR="00BD1332">
        <w:rPr>
          <w:rFonts w:ascii="Arial" w:hAnsi="Arial"/>
          <w:sz w:val="22"/>
        </w:rPr>
        <w:t>-</w:t>
      </w:r>
      <w:r w:rsidR="00BF6591">
        <w:rPr>
          <w:rFonts w:ascii="Arial" w:hAnsi="Arial"/>
          <w:sz w:val="22"/>
        </w:rPr>
        <w:t xml:space="preserve">year average, but an average of this length provides adequate data to develop trends and bridge across short term spikes in prices. </w:t>
      </w:r>
      <w:r w:rsidR="00761989">
        <w:rPr>
          <w:rFonts w:ascii="Arial" w:hAnsi="Arial"/>
          <w:sz w:val="22"/>
        </w:rPr>
        <w:t xml:space="preserve"> </w:t>
      </w:r>
      <w:r w:rsidR="00BF6591">
        <w:rPr>
          <w:rFonts w:ascii="Arial" w:hAnsi="Arial"/>
          <w:sz w:val="22"/>
        </w:rPr>
        <w:t xml:space="preserve">The </w:t>
      </w:r>
      <w:hyperlink r:id="rId444" w:history="1">
        <w:r w:rsidR="001C0537" w:rsidRPr="001C0537">
          <w:rPr>
            <w:rStyle w:val="Hyperlink"/>
            <w:rFonts w:ascii="Arial" w:hAnsi="Arial"/>
            <w:sz w:val="22"/>
          </w:rPr>
          <w:t>Unit Price</w:t>
        </w:r>
      </w:hyperlink>
      <w:r w:rsidR="001C0537">
        <w:rPr>
          <w:rFonts w:ascii="Arial" w:hAnsi="Arial"/>
          <w:sz w:val="22"/>
        </w:rPr>
        <w:t xml:space="preserve"> </w:t>
      </w:r>
      <w:r>
        <w:rPr>
          <w:rFonts w:ascii="Arial" w:hAnsi="Arial"/>
          <w:sz w:val="22"/>
        </w:rPr>
        <w:t xml:space="preserve">table </w:t>
      </w:r>
      <w:r w:rsidR="001C0537">
        <w:rPr>
          <w:rFonts w:ascii="Arial" w:hAnsi="Arial"/>
          <w:sz w:val="22"/>
        </w:rPr>
        <w:t xml:space="preserve">located on the OMT network </w:t>
      </w:r>
      <w:r w:rsidR="001365FD">
        <w:rPr>
          <w:rFonts w:ascii="Arial" w:hAnsi="Arial"/>
          <w:sz w:val="22"/>
        </w:rPr>
        <w:t>provide</w:t>
      </w:r>
      <w:r w:rsidR="001C0537">
        <w:rPr>
          <w:rFonts w:ascii="Arial" w:hAnsi="Arial"/>
          <w:sz w:val="22"/>
        </w:rPr>
        <w:t>s</w:t>
      </w:r>
      <w:r w:rsidR="001365FD">
        <w:rPr>
          <w:rFonts w:ascii="Arial" w:hAnsi="Arial"/>
          <w:sz w:val="22"/>
        </w:rPr>
        <w:t xml:space="preserve"> the latest average unit prices.</w:t>
      </w:r>
    </w:p>
    <w:p w14:paraId="553F8248" w14:textId="77777777" w:rsidR="001365FD" w:rsidRDefault="001365FD" w:rsidP="00BE3F24">
      <w:pPr>
        <w:jc w:val="both"/>
        <w:rPr>
          <w:rFonts w:ascii="Arial" w:hAnsi="Arial"/>
          <w:sz w:val="22"/>
        </w:rPr>
      </w:pPr>
    </w:p>
    <w:p w14:paraId="0075F886" w14:textId="77777777" w:rsidR="00D612BD" w:rsidRDefault="00D612BD" w:rsidP="00172E64">
      <w:pPr>
        <w:pStyle w:val="Heading2"/>
        <w:numPr>
          <w:ilvl w:val="1"/>
          <w:numId w:val="185"/>
        </w:numPr>
        <w:ind w:left="0" w:firstLine="0"/>
        <w:sectPr w:rsidR="00D612BD" w:rsidSect="008B1BAA">
          <w:headerReference w:type="default" r:id="rId445"/>
          <w:footerReference w:type="default" r:id="rId446"/>
          <w:pgSz w:w="12240" w:h="15840" w:code="1"/>
          <w:pgMar w:top="1440" w:right="1800" w:bottom="1440" w:left="1800" w:header="720" w:footer="720" w:gutter="0"/>
          <w:pgNumType w:chapStyle="1"/>
          <w:cols w:space="720"/>
          <w:docGrid w:linePitch="272"/>
        </w:sectPr>
      </w:pPr>
      <w:bookmarkStart w:id="727" w:name="_Toc337199756"/>
      <w:bookmarkStart w:id="728" w:name="_Toc338060819"/>
      <w:bookmarkStart w:id="729" w:name="_Toc338071958"/>
      <w:bookmarkStart w:id="730" w:name="_Toc338142263"/>
      <w:bookmarkStart w:id="731" w:name="_Toc338229497"/>
      <w:bookmarkStart w:id="732" w:name="_Toc338231302"/>
      <w:bookmarkStart w:id="733" w:name="_Toc338238496"/>
      <w:bookmarkStart w:id="734" w:name="_Toc338249504"/>
      <w:bookmarkStart w:id="735" w:name="_Toc338251176"/>
      <w:bookmarkStart w:id="736" w:name="_Toc338411523"/>
      <w:bookmarkStart w:id="737" w:name="_Toc338420083"/>
      <w:bookmarkStart w:id="738" w:name="_Toc338423465"/>
      <w:bookmarkStart w:id="739" w:name="_Toc338424990"/>
      <w:bookmarkStart w:id="740" w:name="_Toc338678148"/>
      <w:bookmarkStart w:id="741" w:name="_Toc338678629"/>
      <w:bookmarkStart w:id="742" w:name="_Toc338679107"/>
      <w:bookmarkStart w:id="743" w:name="_Toc338767576"/>
      <w:bookmarkStart w:id="744" w:name="_Toc339540842"/>
      <w:bookmarkStart w:id="745" w:name="_Toc339879620"/>
      <w:bookmarkStart w:id="746" w:name="_Toc337199768"/>
      <w:bookmarkStart w:id="747" w:name="_Toc338060831"/>
      <w:bookmarkStart w:id="748" w:name="_Toc338071970"/>
      <w:bookmarkStart w:id="749" w:name="_Toc338142275"/>
      <w:bookmarkStart w:id="750" w:name="_Toc338229509"/>
      <w:bookmarkStart w:id="751" w:name="_Toc338231314"/>
      <w:bookmarkStart w:id="752" w:name="_Toc338238508"/>
      <w:bookmarkStart w:id="753" w:name="_Toc338249516"/>
      <w:bookmarkStart w:id="754" w:name="_Toc338251188"/>
      <w:bookmarkStart w:id="755" w:name="_Toc338411535"/>
      <w:bookmarkStart w:id="756" w:name="_Toc338420095"/>
      <w:bookmarkStart w:id="757" w:name="_Toc338423477"/>
      <w:bookmarkStart w:id="758" w:name="_Toc338425002"/>
      <w:bookmarkStart w:id="759" w:name="_Toc338678160"/>
      <w:bookmarkStart w:id="760" w:name="_Toc338678641"/>
      <w:bookmarkStart w:id="761" w:name="_Toc338679119"/>
      <w:bookmarkStart w:id="762" w:name="_Toc338767588"/>
      <w:bookmarkStart w:id="763" w:name="_Toc339540854"/>
      <w:bookmarkStart w:id="764" w:name="_Toc339879632"/>
      <w:bookmarkStart w:id="765" w:name="_Toc337199774"/>
      <w:bookmarkStart w:id="766" w:name="_Toc338060837"/>
      <w:bookmarkStart w:id="767" w:name="_Toc338071976"/>
      <w:bookmarkStart w:id="768" w:name="_Toc338142281"/>
      <w:bookmarkStart w:id="769" w:name="_Toc338229515"/>
      <w:bookmarkStart w:id="770" w:name="_Toc338231320"/>
      <w:bookmarkStart w:id="771" w:name="_Toc338238514"/>
      <w:bookmarkStart w:id="772" w:name="_Toc338249522"/>
      <w:bookmarkStart w:id="773" w:name="_Toc338251194"/>
      <w:bookmarkStart w:id="774" w:name="_Toc338411541"/>
      <w:bookmarkStart w:id="775" w:name="_Toc338420101"/>
      <w:bookmarkStart w:id="776" w:name="_Toc338423483"/>
      <w:bookmarkStart w:id="777" w:name="_Toc338425008"/>
      <w:bookmarkStart w:id="778" w:name="_Toc338678166"/>
      <w:bookmarkStart w:id="779" w:name="_Toc338678647"/>
      <w:bookmarkStart w:id="780" w:name="_Toc338679125"/>
      <w:bookmarkStart w:id="781" w:name="_Toc338767594"/>
      <w:bookmarkStart w:id="782" w:name="_Toc339540860"/>
      <w:bookmarkStart w:id="783" w:name="_Toc339879638"/>
      <w:bookmarkStart w:id="784" w:name="_Toc337199786"/>
      <w:bookmarkStart w:id="785" w:name="_Toc338060849"/>
      <w:bookmarkStart w:id="786" w:name="_Toc338071988"/>
      <w:bookmarkStart w:id="787" w:name="_Toc338142293"/>
      <w:bookmarkStart w:id="788" w:name="_Toc338229527"/>
      <w:bookmarkStart w:id="789" w:name="_Toc338231332"/>
      <w:bookmarkStart w:id="790" w:name="_Toc338238526"/>
      <w:bookmarkStart w:id="791" w:name="_Toc338249534"/>
      <w:bookmarkStart w:id="792" w:name="_Toc338251206"/>
      <w:bookmarkStart w:id="793" w:name="_Toc338411553"/>
      <w:bookmarkStart w:id="794" w:name="_Toc338420113"/>
      <w:bookmarkStart w:id="795" w:name="_Toc338423495"/>
      <w:bookmarkStart w:id="796" w:name="_Toc338425020"/>
      <w:bookmarkStart w:id="797" w:name="_Toc338678178"/>
      <w:bookmarkStart w:id="798" w:name="_Toc338678659"/>
      <w:bookmarkStart w:id="799" w:name="_Toc338679137"/>
      <w:bookmarkStart w:id="800" w:name="_Toc338767606"/>
      <w:bookmarkStart w:id="801" w:name="_Toc339540872"/>
      <w:bookmarkStart w:id="802" w:name="_Toc339879650"/>
      <w:bookmarkStart w:id="803" w:name="_Toc337199792"/>
      <w:bookmarkStart w:id="804" w:name="_Toc338060855"/>
      <w:bookmarkStart w:id="805" w:name="_Toc338071994"/>
      <w:bookmarkStart w:id="806" w:name="_Toc338142299"/>
      <w:bookmarkStart w:id="807" w:name="_Toc338229533"/>
      <w:bookmarkStart w:id="808" w:name="_Toc338231338"/>
      <w:bookmarkStart w:id="809" w:name="_Toc338238532"/>
      <w:bookmarkStart w:id="810" w:name="_Toc338249540"/>
      <w:bookmarkStart w:id="811" w:name="_Toc338251212"/>
      <w:bookmarkStart w:id="812" w:name="_Toc338411559"/>
      <w:bookmarkStart w:id="813" w:name="_Toc338420119"/>
      <w:bookmarkStart w:id="814" w:name="_Toc338423501"/>
      <w:bookmarkStart w:id="815" w:name="_Toc338425026"/>
      <w:bookmarkStart w:id="816" w:name="_Toc338678184"/>
      <w:bookmarkStart w:id="817" w:name="_Toc338678665"/>
      <w:bookmarkStart w:id="818" w:name="_Toc338679143"/>
      <w:bookmarkStart w:id="819" w:name="_Toc338767612"/>
      <w:bookmarkStart w:id="820" w:name="_Toc339540878"/>
      <w:bookmarkStart w:id="821" w:name="_Toc339879656"/>
      <w:bookmarkStart w:id="822" w:name="_Toc337199805"/>
      <w:bookmarkStart w:id="823" w:name="_Toc338060868"/>
      <w:bookmarkStart w:id="824" w:name="_Toc338072007"/>
      <w:bookmarkStart w:id="825" w:name="_Toc338142312"/>
      <w:bookmarkStart w:id="826" w:name="_Toc338229546"/>
      <w:bookmarkStart w:id="827" w:name="_Toc338231351"/>
      <w:bookmarkStart w:id="828" w:name="_Toc338238545"/>
      <w:bookmarkStart w:id="829" w:name="_Toc338249553"/>
      <w:bookmarkStart w:id="830" w:name="_Toc338251225"/>
      <w:bookmarkStart w:id="831" w:name="_Toc338411572"/>
      <w:bookmarkStart w:id="832" w:name="_Toc338420132"/>
      <w:bookmarkStart w:id="833" w:name="_Toc338423514"/>
      <w:bookmarkStart w:id="834" w:name="_Toc338425039"/>
      <w:bookmarkStart w:id="835" w:name="_Toc338678197"/>
      <w:bookmarkStart w:id="836" w:name="_Toc338678678"/>
      <w:bookmarkStart w:id="837" w:name="_Toc338679156"/>
      <w:bookmarkStart w:id="838" w:name="_Toc338767625"/>
      <w:bookmarkStart w:id="839" w:name="_Toc339540891"/>
      <w:bookmarkStart w:id="840" w:name="_Toc339879669"/>
      <w:bookmarkStart w:id="841" w:name="_Toc337199811"/>
      <w:bookmarkStart w:id="842" w:name="_Toc338060874"/>
      <w:bookmarkStart w:id="843" w:name="_Toc338072013"/>
      <w:bookmarkStart w:id="844" w:name="_Toc338142318"/>
      <w:bookmarkStart w:id="845" w:name="_Toc338229552"/>
      <w:bookmarkStart w:id="846" w:name="_Toc338231357"/>
      <w:bookmarkStart w:id="847" w:name="_Toc338238551"/>
      <w:bookmarkStart w:id="848" w:name="_Toc338249559"/>
      <w:bookmarkStart w:id="849" w:name="_Toc338251231"/>
      <w:bookmarkStart w:id="850" w:name="_Toc338411578"/>
      <w:bookmarkStart w:id="851" w:name="_Toc338420138"/>
      <w:bookmarkStart w:id="852" w:name="_Toc338423520"/>
      <w:bookmarkStart w:id="853" w:name="_Toc338425045"/>
      <w:bookmarkStart w:id="854" w:name="_Toc338678203"/>
      <w:bookmarkStart w:id="855" w:name="_Toc338678684"/>
      <w:bookmarkStart w:id="856" w:name="_Toc338679162"/>
      <w:bookmarkStart w:id="857" w:name="_Toc338767631"/>
      <w:bookmarkStart w:id="858" w:name="_Toc339540897"/>
      <w:bookmarkStart w:id="859" w:name="_Toc339879675"/>
      <w:bookmarkStart w:id="860" w:name="_Toc337199824"/>
      <w:bookmarkStart w:id="861" w:name="_Toc338060887"/>
      <w:bookmarkStart w:id="862" w:name="_Toc338072026"/>
      <w:bookmarkStart w:id="863" w:name="_Toc338142331"/>
      <w:bookmarkStart w:id="864" w:name="_Toc338229565"/>
      <w:bookmarkStart w:id="865" w:name="_Toc338231370"/>
      <w:bookmarkStart w:id="866" w:name="_Toc338238564"/>
      <w:bookmarkStart w:id="867" w:name="_Toc338249572"/>
      <w:bookmarkStart w:id="868" w:name="_Toc338251244"/>
      <w:bookmarkStart w:id="869" w:name="_Toc338411591"/>
      <w:bookmarkStart w:id="870" w:name="_Toc338420151"/>
      <w:bookmarkStart w:id="871" w:name="_Toc338423533"/>
      <w:bookmarkStart w:id="872" w:name="_Toc338425058"/>
      <w:bookmarkStart w:id="873" w:name="_Toc338678216"/>
      <w:bookmarkStart w:id="874" w:name="_Toc338678697"/>
      <w:bookmarkStart w:id="875" w:name="_Toc338679175"/>
      <w:bookmarkStart w:id="876" w:name="_Toc338767644"/>
      <w:bookmarkStart w:id="877" w:name="_Toc339540910"/>
      <w:bookmarkStart w:id="878" w:name="_Toc339879688"/>
      <w:bookmarkStart w:id="879" w:name="_Toc337199830"/>
      <w:bookmarkStart w:id="880" w:name="_Toc338060893"/>
      <w:bookmarkStart w:id="881" w:name="_Toc338072032"/>
      <w:bookmarkStart w:id="882" w:name="_Toc338142337"/>
      <w:bookmarkStart w:id="883" w:name="_Toc338229571"/>
      <w:bookmarkStart w:id="884" w:name="_Toc338231376"/>
      <w:bookmarkStart w:id="885" w:name="_Toc338238570"/>
      <w:bookmarkStart w:id="886" w:name="_Toc338249578"/>
      <w:bookmarkStart w:id="887" w:name="_Toc338251250"/>
      <w:bookmarkStart w:id="888" w:name="_Toc338411597"/>
      <w:bookmarkStart w:id="889" w:name="_Toc338420157"/>
      <w:bookmarkStart w:id="890" w:name="_Toc338423539"/>
      <w:bookmarkStart w:id="891" w:name="_Toc338425064"/>
      <w:bookmarkStart w:id="892" w:name="_Toc338678222"/>
      <w:bookmarkStart w:id="893" w:name="_Toc338678703"/>
      <w:bookmarkStart w:id="894" w:name="_Toc338679181"/>
      <w:bookmarkStart w:id="895" w:name="_Toc338767650"/>
      <w:bookmarkStart w:id="896" w:name="_Toc339540916"/>
      <w:bookmarkStart w:id="897" w:name="_Toc339879694"/>
      <w:bookmarkStart w:id="898" w:name="_Toc337199842"/>
      <w:bookmarkStart w:id="899" w:name="_Toc338060905"/>
      <w:bookmarkStart w:id="900" w:name="_Toc338072044"/>
      <w:bookmarkStart w:id="901" w:name="_Toc338142349"/>
      <w:bookmarkStart w:id="902" w:name="_Toc338229583"/>
      <w:bookmarkStart w:id="903" w:name="_Toc338231388"/>
      <w:bookmarkStart w:id="904" w:name="_Toc338238582"/>
      <w:bookmarkStart w:id="905" w:name="_Toc338249590"/>
      <w:bookmarkStart w:id="906" w:name="_Toc338251262"/>
      <w:bookmarkStart w:id="907" w:name="_Toc338411609"/>
      <w:bookmarkStart w:id="908" w:name="_Toc338420169"/>
      <w:bookmarkStart w:id="909" w:name="_Toc338423551"/>
      <w:bookmarkStart w:id="910" w:name="_Toc338425076"/>
      <w:bookmarkStart w:id="911" w:name="_Toc338678234"/>
      <w:bookmarkStart w:id="912" w:name="_Toc338678715"/>
      <w:bookmarkStart w:id="913" w:name="_Toc338679193"/>
      <w:bookmarkStart w:id="914" w:name="_Toc338767662"/>
      <w:bookmarkStart w:id="915" w:name="_Toc339540928"/>
      <w:bookmarkStart w:id="916" w:name="_Toc339879706"/>
      <w:bookmarkStart w:id="917" w:name="_Toc337199848"/>
      <w:bookmarkStart w:id="918" w:name="_Toc338060911"/>
      <w:bookmarkStart w:id="919" w:name="_Toc338072050"/>
      <w:bookmarkStart w:id="920" w:name="_Toc338142355"/>
      <w:bookmarkStart w:id="921" w:name="_Toc338229589"/>
      <w:bookmarkStart w:id="922" w:name="_Toc338231394"/>
      <w:bookmarkStart w:id="923" w:name="_Toc338238588"/>
      <w:bookmarkStart w:id="924" w:name="_Toc338249596"/>
      <w:bookmarkStart w:id="925" w:name="_Toc338251268"/>
      <w:bookmarkStart w:id="926" w:name="_Toc338411615"/>
      <w:bookmarkStart w:id="927" w:name="_Toc338420175"/>
      <w:bookmarkStart w:id="928" w:name="_Toc338423557"/>
      <w:bookmarkStart w:id="929" w:name="_Toc338425082"/>
      <w:bookmarkStart w:id="930" w:name="_Toc338678240"/>
      <w:bookmarkStart w:id="931" w:name="_Toc338678721"/>
      <w:bookmarkStart w:id="932" w:name="_Toc338679199"/>
      <w:bookmarkStart w:id="933" w:name="_Toc338767668"/>
      <w:bookmarkStart w:id="934" w:name="_Toc339540934"/>
      <w:bookmarkStart w:id="935" w:name="_Toc339879712"/>
      <w:bookmarkStart w:id="936" w:name="_Toc337199860"/>
      <w:bookmarkStart w:id="937" w:name="_Toc338060923"/>
      <w:bookmarkStart w:id="938" w:name="_Toc338072062"/>
      <w:bookmarkStart w:id="939" w:name="_Toc338142367"/>
      <w:bookmarkStart w:id="940" w:name="_Toc338229601"/>
      <w:bookmarkStart w:id="941" w:name="_Toc338231406"/>
      <w:bookmarkStart w:id="942" w:name="_Toc338238600"/>
      <w:bookmarkStart w:id="943" w:name="_Toc338249608"/>
      <w:bookmarkStart w:id="944" w:name="_Toc338251280"/>
      <w:bookmarkStart w:id="945" w:name="_Toc338411627"/>
      <w:bookmarkStart w:id="946" w:name="_Toc338420187"/>
      <w:bookmarkStart w:id="947" w:name="_Toc338423569"/>
      <w:bookmarkStart w:id="948" w:name="_Toc338425094"/>
      <w:bookmarkStart w:id="949" w:name="_Toc338678252"/>
      <w:bookmarkStart w:id="950" w:name="_Toc338678733"/>
      <w:bookmarkStart w:id="951" w:name="_Toc338679211"/>
      <w:bookmarkStart w:id="952" w:name="_Toc338767680"/>
      <w:bookmarkStart w:id="953" w:name="_Toc339540946"/>
      <w:bookmarkStart w:id="954" w:name="_Toc339879724"/>
      <w:bookmarkStart w:id="955" w:name="_Toc337199866"/>
      <w:bookmarkStart w:id="956" w:name="_Toc338060929"/>
      <w:bookmarkStart w:id="957" w:name="_Toc338072068"/>
      <w:bookmarkStart w:id="958" w:name="_Toc338142373"/>
      <w:bookmarkStart w:id="959" w:name="_Toc338229607"/>
      <w:bookmarkStart w:id="960" w:name="_Toc338231412"/>
      <w:bookmarkStart w:id="961" w:name="_Toc338238606"/>
      <w:bookmarkStart w:id="962" w:name="_Toc338249614"/>
      <w:bookmarkStart w:id="963" w:name="_Toc338251286"/>
      <w:bookmarkStart w:id="964" w:name="_Toc338411633"/>
      <w:bookmarkStart w:id="965" w:name="_Toc338420193"/>
      <w:bookmarkStart w:id="966" w:name="_Toc338423575"/>
      <w:bookmarkStart w:id="967" w:name="_Toc338425100"/>
      <w:bookmarkStart w:id="968" w:name="_Toc338678258"/>
      <w:bookmarkStart w:id="969" w:name="_Toc338678739"/>
      <w:bookmarkStart w:id="970" w:name="_Toc338679217"/>
      <w:bookmarkStart w:id="971" w:name="_Toc338767686"/>
      <w:bookmarkStart w:id="972" w:name="_Toc339540952"/>
      <w:bookmarkStart w:id="973" w:name="_Toc339879730"/>
      <w:bookmarkStart w:id="974" w:name="_Toc337199879"/>
      <w:bookmarkStart w:id="975" w:name="_Toc338060942"/>
      <w:bookmarkStart w:id="976" w:name="_Toc338072081"/>
      <w:bookmarkStart w:id="977" w:name="_Toc338142386"/>
      <w:bookmarkStart w:id="978" w:name="_Toc338229620"/>
      <w:bookmarkStart w:id="979" w:name="_Toc338231425"/>
      <w:bookmarkStart w:id="980" w:name="_Toc338238619"/>
      <w:bookmarkStart w:id="981" w:name="_Toc338249627"/>
      <w:bookmarkStart w:id="982" w:name="_Toc338251299"/>
      <w:bookmarkStart w:id="983" w:name="_Toc338411646"/>
      <w:bookmarkStart w:id="984" w:name="_Toc338420206"/>
      <w:bookmarkStart w:id="985" w:name="_Toc338423588"/>
      <w:bookmarkStart w:id="986" w:name="_Toc338425113"/>
      <w:bookmarkStart w:id="987" w:name="_Toc338678271"/>
      <w:bookmarkStart w:id="988" w:name="_Toc338678752"/>
      <w:bookmarkStart w:id="989" w:name="_Toc338679230"/>
      <w:bookmarkStart w:id="990" w:name="_Toc338767699"/>
      <w:bookmarkStart w:id="991" w:name="_Toc339540965"/>
      <w:bookmarkStart w:id="992" w:name="_Toc339879743"/>
      <w:bookmarkStart w:id="993" w:name="_Toc337199885"/>
      <w:bookmarkStart w:id="994" w:name="_Toc338060948"/>
      <w:bookmarkStart w:id="995" w:name="_Toc338072087"/>
      <w:bookmarkStart w:id="996" w:name="_Toc338142392"/>
      <w:bookmarkStart w:id="997" w:name="_Toc338229626"/>
      <w:bookmarkStart w:id="998" w:name="_Toc338231431"/>
      <w:bookmarkStart w:id="999" w:name="_Toc338238625"/>
      <w:bookmarkStart w:id="1000" w:name="_Toc338249633"/>
      <w:bookmarkStart w:id="1001" w:name="_Toc338251305"/>
      <w:bookmarkStart w:id="1002" w:name="_Toc338411652"/>
      <w:bookmarkStart w:id="1003" w:name="_Toc338420212"/>
      <w:bookmarkStart w:id="1004" w:name="_Toc338423594"/>
      <w:bookmarkStart w:id="1005" w:name="_Toc338425119"/>
      <w:bookmarkStart w:id="1006" w:name="_Toc338678277"/>
      <w:bookmarkStart w:id="1007" w:name="_Toc338678758"/>
      <w:bookmarkStart w:id="1008" w:name="_Toc338679236"/>
      <w:bookmarkStart w:id="1009" w:name="_Toc338767705"/>
      <w:bookmarkStart w:id="1010" w:name="_Toc339540971"/>
      <w:bookmarkStart w:id="1011" w:name="_Toc339879749"/>
      <w:bookmarkStart w:id="1012" w:name="_Toc337199898"/>
      <w:bookmarkStart w:id="1013" w:name="_Toc338060961"/>
      <w:bookmarkStart w:id="1014" w:name="_Toc338072100"/>
      <w:bookmarkStart w:id="1015" w:name="_Toc338142405"/>
      <w:bookmarkStart w:id="1016" w:name="_Toc338229639"/>
      <w:bookmarkStart w:id="1017" w:name="_Toc338231444"/>
      <w:bookmarkStart w:id="1018" w:name="_Toc338238638"/>
      <w:bookmarkStart w:id="1019" w:name="_Toc338249646"/>
      <w:bookmarkStart w:id="1020" w:name="_Toc338251318"/>
      <w:bookmarkStart w:id="1021" w:name="_Toc338411665"/>
      <w:bookmarkStart w:id="1022" w:name="_Toc338420225"/>
      <w:bookmarkStart w:id="1023" w:name="_Toc338423607"/>
      <w:bookmarkStart w:id="1024" w:name="_Toc338425132"/>
      <w:bookmarkStart w:id="1025" w:name="_Toc338678290"/>
      <w:bookmarkStart w:id="1026" w:name="_Toc338678771"/>
      <w:bookmarkStart w:id="1027" w:name="_Toc338679249"/>
      <w:bookmarkStart w:id="1028" w:name="_Toc338767718"/>
      <w:bookmarkStart w:id="1029" w:name="_Toc339540984"/>
      <w:bookmarkStart w:id="1030" w:name="_Toc339879762"/>
      <w:bookmarkStart w:id="1031" w:name="_Toc337199904"/>
      <w:bookmarkStart w:id="1032" w:name="_Toc338060967"/>
      <w:bookmarkStart w:id="1033" w:name="_Toc338072106"/>
      <w:bookmarkStart w:id="1034" w:name="_Toc338142411"/>
      <w:bookmarkStart w:id="1035" w:name="_Toc338229645"/>
      <w:bookmarkStart w:id="1036" w:name="_Toc338231450"/>
      <w:bookmarkStart w:id="1037" w:name="_Toc338238644"/>
      <w:bookmarkStart w:id="1038" w:name="_Toc338249652"/>
      <w:bookmarkStart w:id="1039" w:name="_Toc338251324"/>
      <w:bookmarkStart w:id="1040" w:name="_Toc338411671"/>
      <w:bookmarkStart w:id="1041" w:name="_Toc338420231"/>
      <w:bookmarkStart w:id="1042" w:name="_Toc338423613"/>
      <w:bookmarkStart w:id="1043" w:name="_Toc338425138"/>
      <w:bookmarkStart w:id="1044" w:name="_Toc338678296"/>
      <w:bookmarkStart w:id="1045" w:name="_Toc338678777"/>
      <w:bookmarkStart w:id="1046" w:name="_Toc338679255"/>
      <w:bookmarkStart w:id="1047" w:name="_Toc338767724"/>
      <w:bookmarkStart w:id="1048" w:name="_Toc339540990"/>
      <w:bookmarkStart w:id="1049" w:name="_Toc339879768"/>
      <w:bookmarkStart w:id="1050" w:name="_Toc337199917"/>
      <w:bookmarkStart w:id="1051" w:name="_Toc338060980"/>
      <w:bookmarkStart w:id="1052" w:name="_Toc338072119"/>
      <w:bookmarkStart w:id="1053" w:name="_Toc338142424"/>
      <w:bookmarkStart w:id="1054" w:name="_Toc338229658"/>
      <w:bookmarkStart w:id="1055" w:name="_Toc338231463"/>
      <w:bookmarkStart w:id="1056" w:name="_Toc338238657"/>
      <w:bookmarkStart w:id="1057" w:name="_Toc338249665"/>
      <w:bookmarkStart w:id="1058" w:name="_Toc338251337"/>
      <w:bookmarkStart w:id="1059" w:name="_Toc338411684"/>
      <w:bookmarkStart w:id="1060" w:name="_Toc338420244"/>
      <w:bookmarkStart w:id="1061" w:name="_Toc338423626"/>
      <w:bookmarkStart w:id="1062" w:name="_Toc338425151"/>
      <w:bookmarkStart w:id="1063" w:name="_Toc338678309"/>
      <w:bookmarkStart w:id="1064" w:name="_Toc338678790"/>
      <w:bookmarkStart w:id="1065" w:name="_Toc338679268"/>
      <w:bookmarkStart w:id="1066" w:name="_Toc338767737"/>
      <w:bookmarkStart w:id="1067" w:name="_Toc339541003"/>
      <w:bookmarkStart w:id="1068" w:name="_Toc339879781"/>
      <w:bookmarkStart w:id="1069" w:name="_Toc337199923"/>
      <w:bookmarkStart w:id="1070" w:name="_Toc338060986"/>
      <w:bookmarkStart w:id="1071" w:name="_Toc338072125"/>
      <w:bookmarkStart w:id="1072" w:name="_Toc338142430"/>
      <w:bookmarkStart w:id="1073" w:name="_Toc338229664"/>
      <w:bookmarkStart w:id="1074" w:name="_Toc338231469"/>
      <w:bookmarkStart w:id="1075" w:name="_Toc338238663"/>
      <w:bookmarkStart w:id="1076" w:name="_Toc338249671"/>
      <w:bookmarkStart w:id="1077" w:name="_Toc338251343"/>
      <w:bookmarkStart w:id="1078" w:name="_Toc338411690"/>
      <w:bookmarkStart w:id="1079" w:name="_Toc338420250"/>
      <w:bookmarkStart w:id="1080" w:name="_Toc338423632"/>
      <w:bookmarkStart w:id="1081" w:name="_Toc338425157"/>
      <w:bookmarkStart w:id="1082" w:name="_Toc338678315"/>
      <w:bookmarkStart w:id="1083" w:name="_Toc338678796"/>
      <w:bookmarkStart w:id="1084" w:name="_Toc338679274"/>
      <w:bookmarkStart w:id="1085" w:name="_Toc338767743"/>
      <w:bookmarkStart w:id="1086" w:name="_Toc339541009"/>
      <w:bookmarkStart w:id="1087" w:name="_Toc339879787"/>
      <w:bookmarkStart w:id="1088" w:name="_Toc337199935"/>
      <w:bookmarkStart w:id="1089" w:name="_Toc338060998"/>
      <w:bookmarkStart w:id="1090" w:name="_Toc338072137"/>
      <w:bookmarkStart w:id="1091" w:name="_Toc338142442"/>
      <w:bookmarkStart w:id="1092" w:name="_Toc338229676"/>
      <w:bookmarkStart w:id="1093" w:name="_Toc338231481"/>
      <w:bookmarkStart w:id="1094" w:name="_Toc338238675"/>
      <w:bookmarkStart w:id="1095" w:name="_Toc338249683"/>
      <w:bookmarkStart w:id="1096" w:name="_Toc338251355"/>
      <w:bookmarkStart w:id="1097" w:name="_Toc338411702"/>
      <w:bookmarkStart w:id="1098" w:name="_Toc338420262"/>
      <w:bookmarkStart w:id="1099" w:name="_Toc338423644"/>
      <w:bookmarkStart w:id="1100" w:name="_Toc338425169"/>
      <w:bookmarkStart w:id="1101" w:name="_Toc338678327"/>
      <w:bookmarkStart w:id="1102" w:name="_Toc338678808"/>
      <w:bookmarkStart w:id="1103" w:name="_Toc338679286"/>
      <w:bookmarkStart w:id="1104" w:name="_Toc338767755"/>
      <w:bookmarkStart w:id="1105" w:name="_Toc339541021"/>
      <w:bookmarkStart w:id="1106" w:name="_Toc339879799"/>
      <w:bookmarkStart w:id="1107" w:name="_Toc337199941"/>
      <w:bookmarkStart w:id="1108" w:name="_Toc338061004"/>
      <w:bookmarkStart w:id="1109" w:name="_Toc338072143"/>
      <w:bookmarkStart w:id="1110" w:name="_Toc338142448"/>
      <w:bookmarkStart w:id="1111" w:name="_Toc338229682"/>
      <w:bookmarkStart w:id="1112" w:name="_Toc338231487"/>
      <w:bookmarkStart w:id="1113" w:name="_Toc338238681"/>
      <w:bookmarkStart w:id="1114" w:name="_Toc338249689"/>
      <w:bookmarkStart w:id="1115" w:name="_Toc338251361"/>
      <w:bookmarkStart w:id="1116" w:name="_Toc338411708"/>
      <w:bookmarkStart w:id="1117" w:name="_Toc338420268"/>
      <w:bookmarkStart w:id="1118" w:name="_Toc338423650"/>
      <w:bookmarkStart w:id="1119" w:name="_Toc338425175"/>
      <w:bookmarkStart w:id="1120" w:name="_Toc338678333"/>
      <w:bookmarkStart w:id="1121" w:name="_Toc338678814"/>
      <w:bookmarkStart w:id="1122" w:name="_Toc338679292"/>
      <w:bookmarkStart w:id="1123" w:name="_Toc338767761"/>
      <w:bookmarkStart w:id="1124" w:name="_Toc339541027"/>
      <w:bookmarkStart w:id="1125" w:name="_Toc339879805"/>
      <w:bookmarkStart w:id="1126" w:name="_Toc337199963"/>
      <w:bookmarkStart w:id="1127" w:name="_Toc338061026"/>
      <w:bookmarkStart w:id="1128" w:name="_Toc338072165"/>
      <w:bookmarkStart w:id="1129" w:name="_Toc338142470"/>
      <w:bookmarkStart w:id="1130" w:name="_Toc338229704"/>
      <w:bookmarkStart w:id="1131" w:name="_Toc338231509"/>
      <w:bookmarkStart w:id="1132" w:name="_Toc338238703"/>
      <w:bookmarkStart w:id="1133" w:name="_Toc338249711"/>
      <w:bookmarkStart w:id="1134" w:name="_Toc338251383"/>
      <w:bookmarkStart w:id="1135" w:name="_Toc338411730"/>
      <w:bookmarkStart w:id="1136" w:name="_Toc338420290"/>
      <w:bookmarkStart w:id="1137" w:name="_Toc338423672"/>
      <w:bookmarkStart w:id="1138" w:name="_Toc338425197"/>
      <w:bookmarkStart w:id="1139" w:name="_Toc338678355"/>
      <w:bookmarkStart w:id="1140" w:name="_Toc338678836"/>
      <w:bookmarkStart w:id="1141" w:name="_Toc338679314"/>
      <w:bookmarkStart w:id="1142" w:name="_Toc338767783"/>
      <w:bookmarkStart w:id="1143" w:name="_Toc339541049"/>
      <w:bookmarkStart w:id="1144" w:name="_Toc339879827"/>
      <w:bookmarkStart w:id="1145" w:name="_Toc337199969"/>
      <w:bookmarkStart w:id="1146" w:name="_Toc338061032"/>
      <w:bookmarkStart w:id="1147" w:name="_Toc338072171"/>
      <w:bookmarkStart w:id="1148" w:name="_Toc338142476"/>
      <w:bookmarkStart w:id="1149" w:name="_Toc338229710"/>
      <w:bookmarkStart w:id="1150" w:name="_Toc338231515"/>
      <w:bookmarkStart w:id="1151" w:name="_Toc338238709"/>
      <w:bookmarkStart w:id="1152" w:name="_Toc338249717"/>
      <w:bookmarkStart w:id="1153" w:name="_Toc338251389"/>
      <w:bookmarkStart w:id="1154" w:name="_Toc338411736"/>
      <w:bookmarkStart w:id="1155" w:name="_Toc338420296"/>
      <w:bookmarkStart w:id="1156" w:name="_Toc338423678"/>
      <w:bookmarkStart w:id="1157" w:name="_Toc338425203"/>
      <w:bookmarkStart w:id="1158" w:name="_Toc338678361"/>
      <w:bookmarkStart w:id="1159" w:name="_Toc338678842"/>
      <w:bookmarkStart w:id="1160" w:name="_Toc338679320"/>
      <w:bookmarkStart w:id="1161" w:name="_Toc338767789"/>
      <w:bookmarkStart w:id="1162" w:name="_Toc339541055"/>
      <w:bookmarkStart w:id="1163" w:name="_Toc339879833"/>
      <w:bookmarkStart w:id="1164" w:name="_Toc337199981"/>
      <w:bookmarkStart w:id="1165" w:name="_Toc338061044"/>
      <w:bookmarkStart w:id="1166" w:name="_Toc338072183"/>
      <w:bookmarkStart w:id="1167" w:name="_Toc338142488"/>
      <w:bookmarkStart w:id="1168" w:name="_Toc338229722"/>
      <w:bookmarkStart w:id="1169" w:name="_Toc338231527"/>
      <w:bookmarkStart w:id="1170" w:name="_Toc338238721"/>
      <w:bookmarkStart w:id="1171" w:name="_Toc338249729"/>
      <w:bookmarkStart w:id="1172" w:name="_Toc338251401"/>
      <w:bookmarkStart w:id="1173" w:name="_Toc338411748"/>
      <w:bookmarkStart w:id="1174" w:name="_Toc338420308"/>
      <w:bookmarkStart w:id="1175" w:name="_Toc338423690"/>
      <w:bookmarkStart w:id="1176" w:name="_Toc338425215"/>
      <w:bookmarkStart w:id="1177" w:name="_Toc338678373"/>
      <w:bookmarkStart w:id="1178" w:name="_Toc338678854"/>
      <w:bookmarkStart w:id="1179" w:name="_Toc338679332"/>
      <w:bookmarkStart w:id="1180" w:name="_Toc338767801"/>
      <w:bookmarkStart w:id="1181" w:name="_Toc339541067"/>
      <w:bookmarkStart w:id="1182" w:name="_Toc339879845"/>
      <w:bookmarkStart w:id="1183" w:name="_Toc337199987"/>
      <w:bookmarkStart w:id="1184" w:name="_Toc338061050"/>
      <w:bookmarkStart w:id="1185" w:name="_Toc338072189"/>
      <w:bookmarkStart w:id="1186" w:name="_Toc338142494"/>
      <w:bookmarkStart w:id="1187" w:name="_Toc338229728"/>
      <w:bookmarkStart w:id="1188" w:name="_Toc338231533"/>
      <w:bookmarkStart w:id="1189" w:name="_Toc338238727"/>
      <w:bookmarkStart w:id="1190" w:name="_Toc338249735"/>
      <w:bookmarkStart w:id="1191" w:name="_Toc338251407"/>
      <w:bookmarkStart w:id="1192" w:name="_Toc338411754"/>
      <w:bookmarkStart w:id="1193" w:name="_Toc338420314"/>
      <w:bookmarkStart w:id="1194" w:name="_Toc338423696"/>
      <w:bookmarkStart w:id="1195" w:name="_Toc338425221"/>
      <w:bookmarkStart w:id="1196" w:name="_Toc338678379"/>
      <w:bookmarkStart w:id="1197" w:name="_Toc338678860"/>
      <w:bookmarkStart w:id="1198" w:name="_Toc338679338"/>
      <w:bookmarkStart w:id="1199" w:name="_Toc338767807"/>
      <w:bookmarkStart w:id="1200" w:name="_Toc339541073"/>
      <w:bookmarkStart w:id="1201" w:name="_Toc339879851"/>
      <w:bookmarkStart w:id="1202" w:name="_Toc337200014"/>
      <w:bookmarkStart w:id="1203" w:name="_Toc338061077"/>
      <w:bookmarkStart w:id="1204" w:name="_Toc338072216"/>
      <w:bookmarkStart w:id="1205" w:name="_Toc338142521"/>
      <w:bookmarkStart w:id="1206" w:name="_Toc338229755"/>
      <w:bookmarkStart w:id="1207" w:name="_Toc338231560"/>
      <w:bookmarkStart w:id="1208" w:name="_Toc338238754"/>
      <w:bookmarkStart w:id="1209" w:name="_Toc338249762"/>
      <w:bookmarkStart w:id="1210" w:name="_Toc338251434"/>
      <w:bookmarkStart w:id="1211" w:name="_Toc338411781"/>
      <w:bookmarkStart w:id="1212" w:name="_Toc338420341"/>
      <w:bookmarkStart w:id="1213" w:name="_Toc338423723"/>
      <w:bookmarkStart w:id="1214" w:name="_Toc338425248"/>
      <w:bookmarkStart w:id="1215" w:name="_Toc338678406"/>
      <w:bookmarkStart w:id="1216" w:name="_Toc338678887"/>
      <w:bookmarkStart w:id="1217" w:name="_Toc338679365"/>
      <w:bookmarkStart w:id="1218" w:name="_Toc338767834"/>
      <w:bookmarkStart w:id="1219" w:name="_Toc339541100"/>
      <w:bookmarkStart w:id="1220" w:name="_Toc339879878"/>
      <w:bookmarkStart w:id="1221" w:name="_Toc337200020"/>
      <w:bookmarkStart w:id="1222" w:name="_Toc338061083"/>
      <w:bookmarkStart w:id="1223" w:name="_Toc338072222"/>
      <w:bookmarkStart w:id="1224" w:name="_Toc338142527"/>
      <w:bookmarkStart w:id="1225" w:name="_Toc338229761"/>
      <w:bookmarkStart w:id="1226" w:name="_Toc338231566"/>
      <w:bookmarkStart w:id="1227" w:name="_Toc338238760"/>
      <w:bookmarkStart w:id="1228" w:name="_Toc338249768"/>
      <w:bookmarkStart w:id="1229" w:name="_Toc338251440"/>
      <w:bookmarkStart w:id="1230" w:name="_Toc338411787"/>
      <w:bookmarkStart w:id="1231" w:name="_Toc338420347"/>
      <w:bookmarkStart w:id="1232" w:name="_Toc338423729"/>
      <w:bookmarkStart w:id="1233" w:name="_Toc338425254"/>
      <w:bookmarkStart w:id="1234" w:name="_Toc338678412"/>
      <w:bookmarkStart w:id="1235" w:name="_Toc338678893"/>
      <w:bookmarkStart w:id="1236" w:name="_Toc338679371"/>
      <w:bookmarkStart w:id="1237" w:name="_Toc338767840"/>
      <w:bookmarkStart w:id="1238" w:name="_Toc339541106"/>
      <w:bookmarkStart w:id="1239" w:name="_Toc339879884"/>
      <w:bookmarkStart w:id="1240" w:name="_Toc337200026"/>
      <w:bookmarkStart w:id="1241" w:name="_Toc338061089"/>
      <w:bookmarkStart w:id="1242" w:name="_Toc338072228"/>
      <w:bookmarkStart w:id="1243" w:name="_Toc338142533"/>
      <w:bookmarkStart w:id="1244" w:name="_Toc338229767"/>
      <w:bookmarkStart w:id="1245" w:name="_Toc338231572"/>
      <w:bookmarkStart w:id="1246" w:name="_Toc338238766"/>
      <w:bookmarkStart w:id="1247" w:name="_Toc338249774"/>
      <w:bookmarkStart w:id="1248" w:name="_Toc338251446"/>
      <w:bookmarkStart w:id="1249" w:name="_Toc338411793"/>
      <w:bookmarkStart w:id="1250" w:name="_Toc338420353"/>
      <w:bookmarkStart w:id="1251" w:name="_Toc338423735"/>
      <w:bookmarkStart w:id="1252" w:name="_Toc338425260"/>
      <w:bookmarkStart w:id="1253" w:name="_Toc338678418"/>
      <w:bookmarkStart w:id="1254" w:name="_Toc338678899"/>
      <w:bookmarkStart w:id="1255" w:name="_Toc338679377"/>
      <w:bookmarkStart w:id="1256" w:name="_Toc338767846"/>
      <w:bookmarkStart w:id="1257" w:name="_Toc339541112"/>
      <w:bookmarkStart w:id="1258" w:name="_Toc339879890"/>
      <w:bookmarkStart w:id="1259" w:name="_Toc337200027"/>
      <w:bookmarkStart w:id="1260" w:name="_Toc338061090"/>
      <w:bookmarkStart w:id="1261" w:name="_Toc338072229"/>
      <w:bookmarkStart w:id="1262" w:name="_Toc338142534"/>
      <w:bookmarkStart w:id="1263" w:name="_Toc338229768"/>
      <w:bookmarkStart w:id="1264" w:name="_Toc338231573"/>
      <w:bookmarkStart w:id="1265" w:name="_Toc338238767"/>
      <w:bookmarkStart w:id="1266" w:name="_Toc338249775"/>
      <w:bookmarkStart w:id="1267" w:name="_Toc338251447"/>
      <w:bookmarkStart w:id="1268" w:name="_Toc338411794"/>
      <w:bookmarkStart w:id="1269" w:name="_Toc338420354"/>
      <w:bookmarkStart w:id="1270" w:name="_Toc338423736"/>
      <w:bookmarkStart w:id="1271" w:name="_Toc338425261"/>
      <w:bookmarkStart w:id="1272" w:name="_Toc338678419"/>
      <w:bookmarkStart w:id="1273" w:name="_Toc338678900"/>
      <w:bookmarkStart w:id="1274" w:name="_Toc338679378"/>
      <w:bookmarkStart w:id="1275" w:name="_Toc338767847"/>
      <w:bookmarkStart w:id="1276" w:name="_Toc339541113"/>
      <w:bookmarkStart w:id="1277" w:name="_Toc339879891"/>
      <w:bookmarkStart w:id="1278" w:name="_Pavement_Design_Policies"/>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48CBE387" w14:textId="2D032F7C" w:rsidR="00735C61" w:rsidRDefault="00D6415B" w:rsidP="00172E64">
      <w:pPr>
        <w:pStyle w:val="Heading2"/>
        <w:numPr>
          <w:ilvl w:val="1"/>
          <w:numId w:val="185"/>
        </w:numPr>
        <w:spacing w:before="120"/>
        <w:ind w:left="0" w:firstLine="0"/>
      </w:pPr>
      <w:bookmarkStart w:id="1279" w:name="_FWD_Data_Analysis_1"/>
      <w:bookmarkStart w:id="1280" w:name="_Toc479160146"/>
      <w:bookmarkStart w:id="1281" w:name="_Toc514058033"/>
      <w:bookmarkStart w:id="1282" w:name="_Toc194932428"/>
      <w:bookmarkEnd w:id="1279"/>
      <w:r>
        <w:lastRenderedPageBreak/>
        <w:t xml:space="preserve">FWD </w:t>
      </w:r>
      <w:smartTag w:uri="urn:schemas-microsoft-com:office:smarttags" w:element="stockticker">
        <w:r>
          <w:t>Data</w:t>
        </w:r>
      </w:smartTag>
      <w:r>
        <w:t xml:space="preserve"> Analysis Background</w:t>
      </w:r>
      <w:bookmarkEnd w:id="1280"/>
      <w:bookmarkEnd w:id="1281"/>
      <w:bookmarkEnd w:id="1282"/>
    </w:p>
    <w:p w14:paraId="50E48A62" w14:textId="77777777" w:rsidR="00735C61" w:rsidRPr="008F604D" w:rsidRDefault="00735C61" w:rsidP="00735C61">
      <w:r>
        <w:rPr>
          <w:rFonts w:ascii="Arial" w:eastAsia="Arial" w:hAnsi="Arial" w:cs="Arial"/>
          <w:sz w:val="16"/>
        </w:rPr>
        <w:t>Click to go</w:t>
      </w:r>
      <w:r w:rsidRPr="00982DB5">
        <w:rPr>
          <w:rFonts w:ascii="Arial" w:eastAsia="Arial" w:hAnsi="Arial" w:cs="Arial"/>
          <w:sz w:val="16"/>
          <w:szCs w:val="16"/>
        </w:rPr>
        <w:t xml:space="preserve"> to</w:t>
      </w:r>
      <w:r w:rsidRPr="00982DB5">
        <w:rPr>
          <w:rFonts w:ascii="Arial" w:hAnsi="Arial" w:cs="Arial"/>
          <w:bCs/>
          <w:sz w:val="16"/>
          <w:szCs w:val="16"/>
        </w:rPr>
        <w:t xml:space="preserve"> </w:t>
      </w:r>
      <w:hyperlink w:anchor="_FWD_Data_Analysis_2" w:history="1">
        <w:r w:rsidRPr="00735C61">
          <w:rPr>
            <w:rStyle w:val="Hyperlink"/>
            <w:rFonts w:ascii="Arial" w:hAnsi="Arial" w:cs="Arial"/>
            <w:bCs/>
            <w:sz w:val="16"/>
            <w:szCs w:val="16"/>
          </w:rPr>
          <w:t>FWD Data Analysis Procedure</w:t>
        </w:r>
      </w:hyperlink>
    </w:p>
    <w:p w14:paraId="6A9DBCD2" w14:textId="77777777" w:rsidR="00D6415B" w:rsidRDefault="00D6415B" w:rsidP="00172E64">
      <w:pPr>
        <w:pStyle w:val="Heading3"/>
        <w:numPr>
          <w:ilvl w:val="2"/>
          <w:numId w:val="185"/>
        </w:numPr>
        <w:ind w:left="0" w:firstLine="0"/>
        <w:jc w:val="both"/>
      </w:pPr>
      <w:r>
        <w:t>Purpose</w:t>
      </w:r>
    </w:p>
    <w:p w14:paraId="4061C1B8" w14:textId="77777777" w:rsidR="00D6415B" w:rsidRDefault="00D6415B" w:rsidP="00D6415B">
      <w:pPr>
        <w:pStyle w:val="BodyText"/>
        <w:jc w:val="both"/>
      </w:pPr>
      <w:r>
        <w:t>FWD Data Analysis is conducted to:</w:t>
      </w:r>
    </w:p>
    <w:p w14:paraId="01518C3C" w14:textId="77777777" w:rsidR="00D6415B" w:rsidRDefault="00D6415B" w:rsidP="00722B46">
      <w:pPr>
        <w:numPr>
          <w:ilvl w:val="0"/>
          <w:numId w:val="16"/>
        </w:numPr>
        <w:tabs>
          <w:tab w:val="clear" w:pos="360"/>
          <w:tab w:val="num" w:pos="720"/>
        </w:tabs>
        <w:ind w:left="720" w:hanging="720"/>
        <w:jc w:val="both"/>
        <w:rPr>
          <w:rFonts w:ascii="Arial" w:hAnsi="Arial"/>
          <w:sz w:val="22"/>
        </w:rPr>
      </w:pPr>
      <w:r>
        <w:rPr>
          <w:rFonts w:ascii="Arial" w:hAnsi="Arial"/>
          <w:sz w:val="22"/>
        </w:rPr>
        <w:t>Verify the accuracy of FWD Data</w:t>
      </w:r>
    </w:p>
    <w:p w14:paraId="307D8BDA" w14:textId="77777777" w:rsidR="00D6415B" w:rsidRDefault="00D6415B" w:rsidP="00722B46">
      <w:pPr>
        <w:numPr>
          <w:ilvl w:val="0"/>
          <w:numId w:val="16"/>
        </w:numPr>
        <w:tabs>
          <w:tab w:val="clear" w:pos="360"/>
          <w:tab w:val="num" w:pos="720"/>
        </w:tabs>
        <w:ind w:left="720" w:hanging="720"/>
        <w:jc w:val="both"/>
        <w:rPr>
          <w:rFonts w:ascii="Arial" w:hAnsi="Arial"/>
          <w:sz w:val="22"/>
        </w:rPr>
      </w:pPr>
      <w:r>
        <w:rPr>
          <w:rFonts w:ascii="Arial" w:hAnsi="Arial"/>
          <w:sz w:val="22"/>
        </w:rPr>
        <w:t>Sub-section the FWD data in analysis sections</w:t>
      </w:r>
    </w:p>
    <w:p w14:paraId="5B6AEA8F" w14:textId="77777777" w:rsidR="00D6415B" w:rsidRDefault="00D6415B" w:rsidP="00722B46">
      <w:pPr>
        <w:numPr>
          <w:ilvl w:val="0"/>
          <w:numId w:val="16"/>
        </w:numPr>
        <w:tabs>
          <w:tab w:val="clear" w:pos="360"/>
          <w:tab w:val="num" w:pos="720"/>
        </w:tabs>
        <w:ind w:left="720" w:hanging="720"/>
        <w:jc w:val="both"/>
        <w:rPr>
          <w:rFonts w:ascii="Arial" w:hAnsi="Arial"/>
          <w:sz w:val="22"/>
        </w:rPr>
      </w:pPr>
      <w:r>
        <w:rPr>
          <w:rFonts w:ascii="Arial" w:hAnsi="Arial"/>
          <w:sz w:val="22"/>
        </w:rPr>
        <w:t>Determine general characteristics of analysis sections</w:t>
      </w:r>
    </w:p>
    <w:p w14:paraId="2FB5566A" w14:textId="5F6F8D24" w:rsidR="00D6415B" w:rsidRDefault="00D6415B" w:rsidP="00722B46">
      <w:pPr>
        <w:numPr>
          <w:ilvl w:val="0"/>
          <w:numId w:val="16"/>
        </w:numPr>
        <w:tabs>
          <w:tab w:val="clear" w:pos="360"/>
          <w:tab w:val="num" w:pos="720"/>
        </w:tabs>
        <w:ind w:left="720" w:hanging="720"/>
        <w:jc w:val="both"/>
        <w:rPr>
          <w:rFonts w:ascii="Arial" w:hAnsi="Arial"/>
          <w:sz w:val="22"/>
        </w:rPr>
      </w:pPr>
      <w:r>
        <w:rPr>
          <w:rFonts w:ascii="Arial" w:hAnsi="Arial"/>
          <w:sz w:val="22"/>
        </w:rPr>
        <w:t>Determine the structural capacity of the pavement structure, individual pavement layers</w:t>
      </w:r>
      <w:r w:rsidR="00B35E1D">
        <w:rPr>
          <w:rFonts w:ascii="Arial" w:hAnsi="Arial"/>
          <w:sz w:val="22"/>
        </w:rPr>
        <w:t>,</w:t>
      </w:r>
      <w:r>
        <w:rPr>
          <w:rFonts w:ascii="Arial" w:hAnsi="Arial"/>
          <w:sz w:val="22"/>
        </w:rPr>
        <w:t xml:space="preserve"> and subgrade</w:t>
      </w:r>
    </w:p>
    <w:p w14:paraId="5AC0F639" w14:textId="77777777" w:rsidR="00D6415B" w:rsidRDefault="00D6415B" w:rsidP="00722B46">
      <w:pPr>
        <w:numPr>
          <w:ilvl w:val="0"/>
          <w:numId w:val="16"/>
        </w:numPr>
        <w:tabs>
          <w:tab w:val="clear" w:pos="360"/>
          <w:tab w:val="num" w:pos="720"/>
        </w:tabs>
        <w:ind w:left="720" w:hanging="720"/>
        <w:jc w:val="both"/>
        <w:rPr>
          <w:rFonts w:ascii="Arial" w:hAnsi="Arial"/>
          <w:sz w:val="22"/>
        </w:rPr>
      </w:pPr>
      <w:r>
        <w:rPr>
          <w:rFonts w:ascii="Arial" w:hAnsi="Arial"/>
          <w:sz w:val="22"/>
        </w:rPr>
        <w:t>Estimate the load transfer ability of joints in jointed rigid and composite pavements</w:t>
      </w:r>
    </w:p>
    <w:p w14:paraId="37B2E11E" w14:textId="77777777" w:rsidR="00D6415B" w:rsidRDefault="00D6415B" w:rsidP="00722B46">
      <w:pPr>
        <w:numPr>
          <w:ilvl w:val="0"/>
          <w:numId w:val="16"/>
        </w:numPr>
        <w:tabs>
          <w:tab w:val="clear" w:pos="360"/>
          <w:tab w:val="num" w:pos="720"/>
        </w:tabs>
        <w:ind w:left="720" w:hanging="720"/>
        <w:jc w:val="both"/>
        <w:rPr>
          <w:rFonts w:ascii="Arial" w:hAnsi="Arial"/>
          <w:sz w:val="22"/>
        </w:rPr>
      </w:pPr>
      <w:r>
        <w:rPr>
          <w:rFonts w:ascii="Arial" w:hAnsi="Arial"/>
          <w:sz w:val="22"/>
        </w:rPr>
        <w:t>Report FWD analysis results in a form conducive to pavement rehabilitation design</w:t>
      </w:r>
    </w:p>
    <w:p w14:paraId="647311C4" w14:textId="77777777" w:rsidR="00D6415B" w:rsidRDefault="00D6415B" w:rsidP="00172E64">
      <w:pPr>
        <w:pStyle w:val="Heading3"/>
        <w:numPr>
          <w:ilvl w:val="2"/>
          <w:numId w:val="185"/>
        </w:numPr>
        <w:ind w:left="0" w:firstLine="0"/>
        <w:jc w:val="both"/>
      </w:pPr>
      <w:r>
        <w:t>Resource Requirements</w:t>
      </w:r>
    </w:p>
    <w:p w14:paraId="2D7D6C30" w14:textId="77777777" w:rsidR="00D6415B" w:rsidRDefault="00D6415B" w:rsidP="00722B46">
      <w:pPr>
        <w:pStyle w:val="BodyText"/>
        <w:spacing w:after="240"/>
        <w:jc w:val="both"/>
      </w:pPr>
      <w:r>
        <w:t>The FWD Analysis procedure documented below requires the following staffing needs for a typical job:</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1350"/>
        <w:gridCol w:w="1530"/>
      </w:tblGrid>
      <w:tr w:rsidR="00D6415B" w14:paraId="34577BFC" w14:textId="77777777" w:rsidTr="00722B46">
        <w:trPr>
          <w:trHeight w:val="288"/>
          <w:jc w:val="center"/>
        </w:trPr>
        <w:tc>
          <w:tcPr>
            <w:tcW w:w="2952" w:type="dxa"/>
            <w:shd w:val="pct15" w:color="auto" w:fill="FFFFFF"/>
            <w:vAlign w:val="center"/>
          </w:tcPr>
          <w:p w14:paraId="3FAC3B10" w14:textId="77777777" w:rsidR="00D6415B" w:rsidRDefault="00D6415B" w:rsidP="00D6415B">
            <w:pPr>
              <w:jc w:val="center"/>
              <w:rPr>
                <w:rFonts w:ascii="Arial" w:hAnsi="Arial"/>
                <w:b/>
              </w:rPr>
            </w:pPr>
            <w:r>
              <w:rPr>
                <w:rFonts w:ascii="Arial" w:hAnsi="Arial"/>
                <w:b/>
              </w:rPr>
              <w:t>Position</w:t>
            </w:r>
          </w:p>
        </w:tc>
        <w:tc>
          <w:tcPr>
            <w:tcW w:w="2713" w:type="dxa"/>
            <w:shd w:val="pct15" w:color="auto" w:fill="FFFFFF"/>
            <w:vAlign w:val="center"/>
          </w:tcPr>
          <w:p w14:paraId="4D62B58B" w14:textId="77777777" w:rsidR="00D6415B" w:rsidRDefault="00D6415B" w:rsidP="00D6415B">
            <w:pPr>
              <w:jc w:val="center"/>
              <w:rPr>
                <w:rFonts w:ascii="Arial" w:hAnsi="Arial"/>
                <w:b/>
              </w:rPr>
            </w:pPr>
            <w:r>
              <w:rPr>
                <w:rFonts w:ascii="Arial" w:hAnsi="Arial"/>
                <w:b/>
              </w:rPr>
              <w:t>Function</w:t>
            </w:r>
          </w:p>
        </w:tc>
        <w:tc>
          <w:tcPr>
            <w:tcW w:w="1350" w:type="dxa"/>
            <w:shd w:val="pct15" w:color="auto" w:fill="FFFFFF"/>
            <w:vAlign w:val="center"/>
          </w:tcPr>
          <w:p w14:paraId="5EDB8271" w14:textId="77777777" w:rsidR="00D6415B" w:rsidRDefault="00D6415B" w:rsidP="00D6415B">
            <w:pPr>
              <w:jc w:val="center"/>
              <w:rPr>
                <w:rFonts w:ascii="Arial" w:hAnsi="Arial"/>
                <w:b/>
              </w:rPr>
            </w:pPr>
            <w:r>
              <w:rPr>
                <w:rFonts w:ascii="Arial" w:hAnsi="Arial"/>
                <w:b/>
              </w:rPr>
              <w:t>Resources</w:t>
            </w:r>
          </w:p>
        </w:tc>
        <w:tc>
          <w:tcPr>
            <w:tcW w:w="1530" w:type="dxa"/>
            <w:shd w:val="pct15" w:color="auto" w:fill="FFFFFF"/>
            <w:vAlign w:val="center"/>
          </w:tcPr>
          <w:p w14:paraId="262806F0" w14:textId="77777777" w:rsidR="00D6415B" w:rsidRDefault="00D6415B" w:rsidP="00D6415B">
            <w:pPr>
              <w:jc w:val="center"/>
              <w:rPr>
                <w:rFonts w:ascii="Arial" w:hAnsi="Arial"/>
                <w:b/>
              </w:rPr>
            </w:pPr>
            <w:r>
              <w:rPr>
                <w:rFonts w:ascii="Arial" w:hAnsi="Arial"/>
                <w:b/>
              </w:rPr>
              <w:t>Effort Level</w:t>
            </w:r>
          </w:p>
          <w:p w14:paraId="689EEF84" w14:textId="77777777" w:rsidR="00D6415B" w:rsidRDefault="00D6415B" w:rsidP="00D6415B">
            <w:pPr>
              <w:jc w:val="center"/>
              <w:rPr>
                <w:rFonts w:ascii="Arial" w:hAnsi="Arial"/>
                <w:b/>
              </w:rPr>
            </w:pPr>
            <w:r>
              <w:rPr>
                <w:rFonts w:ascii="Arial" w:hAnsi="Arial"/>
                <w:b/>
              </w:rPr>
              <w:t>(man-hours)</w:t>
            </w:r>
          </w:p>
        </w:tc>
      </w:tr>
      <w:tr w:rsidR="00D6415B" w14:paraId="1F6B3FF5" w14:textId="77777777" w:rsidTr="00722B46">
        <w:trPr>
          <w:trHeight w:val="288"/>
          <w:jc w:val="center"/>
        </w:trPr>
        <w:tc>
          <w:tcPr>
            <w:tcW w:w="2952" w:type="dxa"/>
            <w:vAlign w:val="center"/>
          </w:tcPr>
          <w:p w14:paraId="1B3C5501" w14:textId="77777777" w:rsidR="00D6415B" w:rsidRDefault="00D6415B" w:rsidP="00D6415B">
            <w:pPr>
              <w:jc w:val="center"/>
              <w:rPr>
                <w:rFonts w:ascii="Arial" w:hAnsi="Arial"/>
                <w:sz w:val="18"/>
              </w:rPr>
            </w:pPr>
            <w:r>
              <w:rPr>
                <w:rFonts w:ascii="Arial" w:hAnsi="Arial"/>
                <w:sz w:val="18"/>
              </w:rPr>
              <w:t>Staff Engineer or Project Engineer</w:t>
            </w:r>
          </w:p>
        </w:tc>
        <w:tc>
          <w:tcPr>
            <w:tcW w:w="2713" w:type="dxa"/>
            <w:vAlign w:val="center"/>
          </w:tcPr>
          <w:p w14:paraId="7495D4C3" w14:textId="77777777" w:rsidR="00D6415B" w:rsidRDefault="00D6415B" w:rsidP="00D6415B">
            <w:pPr>
              <w:jc w:val="center"/>
              <w:rPr>
                <w:rFonts w:ascii="Arial" w:hAnsi="Arial"/>
                <w:sz w:val="18"/>
              </w:rPr>
            </w:pPr>
            <w:r>
              <w:rPr>
                <w:rFonts w:ascii="Arial" w:hAnsi="Arial"/>
                <w:sz w:val="18"/>
              </w:rPr>
              <w:t>Quality Control of FWD Data</w:t>
            </w:r>
          </w:p>
        </w:tc>
        <w:tc>
          <w:tcPr>
            <w:tcW w:w="1350" w:type="dxa"/>
            <w:vAlign w:val="center"/>
          </w:tcPr>
          <w:p w14:paraId="33102F08" w14:textId="77777777" w:rsidR="00D6415B" w:rsidRDefault="00D6415B" w:rsidP="00D6415B">
            <w:pPr>
              <w:jc w:val="center"/>
              <w:rPr>
                <w:rFonts w:ascii="Arial" w:hAnsi="Arial"/>
                <w:sz w:val="18"/>
              </w:rPr>
            </w:pPr>
            <w:r>
              <w:rPr>
                <w:rFonts w:ascii="Arial" w:hAnsi="Arial"/>
                <w:sz w:val="18"/>
              </w:rPr>
              <w:t>1</w:t>
            </w:r>
          </w:p>
        </w:tc>
        <w:tc>
          <w:tcPr>
            <w:tcW w:w="1530" w:type="dxa"/>
            <w:vAlign w:val="center"/>
          </w:tcPr>
          <w:p w14:paraId="0EE918DB" w14:textId="77777777" w:rsidR="00D6415B" w:rsidRDefault="00D6415B" w:rsidP="00D6415B">
            <w:pPr>
              <w:jc w:val="center"/>
              <w:rPr>
                <w:rFonts w:ascii="Arial" w:hAnsi="Arial"/>
                <w:sz w:val="18"/>
              </w:rPr>
            </w:pPr>
            <w:r>
              <w:rPr>
                <w:rFonts w:ascii="Arial" w:hAnsi="Arial"/>
                <w:sz w:val="18"/>
              </w:rPr>
              <w:t>1</w:t>
            </w:r>
          </w:p>
        </w:tc>
      </w:tr>
      <w:tr w:rsidR="00D6415B" w14:paraId="012843D8" w14:textId="77777777" w:rsidTr="00722B46">
        <w:trPr>
          <w:trHeight w:val="288"/>
          <w:jc w:val="center"/>
        </w:trPr>
        <w:tc>
          <w:tcPr>
            <w:tcW w:w="2952" w:type="dxa"/>
            <w:vAlign w:val="center"/>
          </w:tcPr>
          <w:p w14:paraId="70816EE5" w14:textId="77777777" w:rsidR="00D6415B" w:rsidRDefault="00D6415B" w:rsidP="00D6415B">
            <w:pPr>
              <w:jc w:val="center"/>
              <w:rPr>
                <w:rFonts w:ascii="Arial" w:hAnsi="Arial"/>
                <w:sz w:val="18"/>
              </w:rPr>
            </w:pPr>
            <w:r>
              <w:rPr>
                <w:rFonts w:ascii="Arial" w:hAnsi="Arial"/>
                <w:sz w:val="18"/>
              </w:rPr>
              <w:t>Staff Engineer or Project Engineer</w:t>
            </w:r>
          </w:p>
        </w:tc>
        <w:tc>
          <w:tcPr>
            <w:tcW w:w="2713" w:type="dxa"/>
            <w:vAlign w:val="center"/>
          </w:tcPr>
          <w:p w14:paraId="30883FAD" w14:textId="77777777" w:rsidR="00D6415B" w:rsidRDefault="00D6415B" w:rsidP="00D6415B">
            <w:pPr>
              <w:jc w:val="center"/>
              <w:rPr>
                <w:rFonts w:ascii="Arial" w:hAnsi="Arial"/>
                <w:sz w:val="18"/>
              </w:rPr>
            </w:pPr>
            <w:r>
              <w:rPr>
                <w:rFonts w:ascii="Arial" w:hAnsi="Arial"/>
                <w:sz w:val="18"/>
              </w:rPr>
              <w:t>Pre-Process FWD Data</w:t>
            </w:r>
          </w:p>
        </w:tc>
        <w:tc>
          <w:tcPr>
            <w:tcW w:w="1350" w:type="dxa"/>
            <w:vAlign w:val="center"/>
          </w:tcPr>
          <w:p w14:paraId="75FFACAE" w14:textId="77777777" w:rsidR="00D6415B" w:rsidRDefault="00D6415B" w:rsidP="00D6415B">
            <w:pPr>
              <w:jc w:val="center"/>
              <w:rPr>
                <w:rFonts w:ascii="Arial" w:hAnsi="Arial"/>
                <w:sz w:val="18"/>
              </w:rPr>
            </w:pPr>
            <w:r>
              <w:rPr>
                <w:rFonts w:ascii="Arial" w:hAnsi="Arial"/>
                <w:sz w:val="18"/>
              </w:rPr>
              <w:t>1</w:t>
            </w:r>
          </w:p>
        </w:tc>
        <w:tc>
          <w:tcPr>
            <w:tcW w:w="1530" w:type="dxa"/>
            <w:vAlign w:val="center"/>
          </w:tcPr>
          <w:p w14:paraId="6C90916F" w14:textId="77777777" w:rsidR="00D6415B" w:rsidRDefault="00D6415B" w:rsidP="00D6415B">
            <w:pPr>
              <w:jc w:val="center"/>
              <w:rPr>
                <w:rFonts w:ascii="Arial" w:hAnsi="Arial"/>
                <w:sz w:val="18"/>
              </w:rPr>
            </w:pPr>
            <w:r>
              <w:rPr>
                <w:rFonts w:ascii="Arial" w:hAnsi="Arial"/>
                <w:sz w:val="18"/>
              </w:rPr>
              <w:t>1</w:t>
            </w:r>
          </w:p>
        </w:tc>
      </w:tr>
      <w:tr w:rsidR="00D6415B" w14:paraId="62EE40CD" w14:textId="77777777" w:rsidTr="00722B46">
        <w:trPr>
          <w:trHeight w:val="288"/>
          <w:jc w:val="center"/>
        </w:trPr>
        <w:tc>
          <w:tcPr>
            <w:tcW w:w="2952" w:type="dxa"/>
            <w:vAlign w:val="center"/>
          </w:tcPr>
          <w:p w14:paraId="00BF53F8" w14:textId="77777777" w:rsidR="00D6415B" w:rsidRDefault="00D6415B" w:rsidP="00D6415B">
            <w:pPr>
              <w:jc w:val="center"/>
              <w:rPr>
                <w:rFonts w:ascii="Arial" w:hAnsi="Arial"/>
                <w:sz w:val="18"/>
              </w:rPr>
            </w:pPr>
            <w:r>
              <w:rPr>
                <w:rFonts w:ascii="Arial" w:hAnsi="Arial"/>
                <w:sz w:val="18"/>
              </w:rPr>
              <w:t>Staff Engineer or Project Engineer</w:t>
            </w:r>
          </w:p>
        </w:tc>
        <w:tc>
          <w:tcPr>
            <w:tcW w:w="2713" w:type="dxa"/>
            <w:vAlign w:val="center"/>
          </w:tcPr>
          <w:p w14:paraId="470501CC" w14:textId="77777777" w:rsidR="00D6415B" w:rsidRDefault="00D6415B" w:rsidP="00D6415B">
            <w:pPr>
              <w:jc w:val="center"/>
              <w:rPr>
                <w:rFonts w:ascii="Arial" w:hAnsi="Arial"/>
                <w:sz w:val="18"/>
              </w:rPr>
            </w:pPr>
            <w:r>
              <w:rPr>
                <w:rFonts w:ascii="Arial" w:hAnsi="Arial"/>
                <w:sz w:val="18"/>
              </w:rPr>
              <w:t>Backcalculation Analysis of FWD Data</w:t>
            </w:r>
          </w:p>
        </w:tc>
        <w:tc>
          <w:tcPr>
            <w:tcW w:w="1350" w:type="dxa"/>
            <w:vAlign w:val="center"/>
          </w:tcPr>
          <w:p w14:paraId="2622D6FF" w14:textId="77777777" w:rsidR="00D6415B" w:rsidRDefault="00D6415B" w:rsidP="00D6415B">
            <w:pPr>
              <w:jc w:val="center"/>
              <w:rPr>
                <w:rFonts w:ascii="Arial" w:hAnsi="Arial"/>
                <w:sz w:val="18"/>
              </w:rPr>
            </w:pPr>
            <w:r>
              <w:rPr>
                <w:rFonts w:ascii="Arial" w:hAnsi="Arial"/>
                <w:sz w:val="18"/>
              </w:rPr>
              <w:t>1</w:t>
            </w:r>
          </w:p>
        </w:tc>
        <w:tc>
          <w:tcPr>
            <w:tcW w:w="1530" w:type="dxa"/>
            <w:vAlign w:val="center"/>
          </w:tcPr>
          <w:p w14:paraId="219EC4BD" w14:textId="77777777" w:rsidR="00D6415B" w:rsidRDefault="00D6415B" w:rsidP="00D6415B">
            <w:pPr>
              <w:jc w:val="center"/>
              <w:rPr>
                <w:rFonts w:ascii="Arial" w:hAnsi="Arial"/>
                <w:sz w:val="18"/>
              </w:rPr>
            </w:pPr>
            <w:r>
              <w:rPr>
                <w:rFonts w:ascii="Arial" w:hAnsi="Arial"/>
                <w:sz w:val="18"/>
              </w:rPr>
              <w:t>2</w:t>
            </w:r>
          </w:p>
        </w:tc>
      </w:tr>
      <w:tr w:rsidR="00D6415B" w14:paraId="78F0BE14" w14:textId="77777777" w:rsidTr="00722B46">
        <w:trPr>
          <w:trHeight w:val="288"/>
          <w:jc w:val="center"/>
        </w:trPr>
        <w:tc>
          <w:tcPr>
            <w:tcW w:w="2952" w:type="dxa"/>
            <w:vAlign w:val="center"/>
          </w:tcPr>
          <w:p w14:paraId="6938F6E0" w14:textId="77777777" w:rsidR="00D6415B" w:rsidRDefault="00D6415B" w:rsidP="00D6415B">
            <w:pPr>
              <w:jc w:val="center"/>
              <w:rPr>
                <w:rFonts w:ascii="Arial" w:hAnsi="Arial"/>
                <w:sz w:val="18"/>
              </w:rPr>
            </w:pPr>
            <w:r>
              <w:rPr>
                <w:rFonts w:ascii="Arial" w:hAnsi="Arial"/>
                <w:sz w:val="18"/>
              </w:rPr>
              <w:t>Staff Engineer or Project Engineer</w:t>
            </w:r>
          </w:p>
        </w:tc>
        <w:tc>
          <w:tcPr>
            <w:tcW w:w="2713" w:type="dxa"/>
            <w:vAlign w:val="center"/>
          </w:tcPr>
          <w:p w14:paraId="4963D9A0" w14:textId="77777777" w:rsidR="00D6415B" w:rsidRDefault="00D6415B" w:rsidP="00D6415B">
            <w:pPr>
              <w:jc w:val="center"/>
              <w:rPr>
                <w:rFonts w:ascii="Arial" w:hAnsi="Arial"/>
                <w:sz w:val="18"/>
              </w:rPr>
            </w:pPr>
            <w:r>
              <w:rPr>
                <w:rFonts w:ascii="Arial" w:hAnsi="Arial"/>
                <w:sz w:val="18"/>
              </w:rPr>
              <w:t>Quality Assurance of Backcalculation Analysis</w:t>
            </w:r>
          </w:p>
        </w:tc>
        <w:tc>
          <w:tcPr>
            <w:tcW w:w="1350" w:type="dxa"/>
            <w:vAlign w:val="center"/>
          </w:tcPr>
          <w:p w14:paraId="16A09855" w14:textId="77777777" w:rsidR="00D6415B" w:rsidRDefault="00D6415B" w:rsidP="00D6415B">
            <w:pPr>
              <w:jc w:val="center"/>
              <w:rPr>
                <w:rFonts w:ascii="Arial" w:hAnsi="Arial"/>
                <w:sz w:val="18"/>
              </w:rPr>
            </w:pPr>
            <w:r>
              <w:rPr>
                <w:rFonts w:ascii="Arial" w:hAnsi="Arial"/>
                <w:sz w:val="18"/>
              </w:rPr>
              <w:t>1</w:t>
            </w:r>
          </w:p>
        </w:tc>
        <w:tc>
          <w:tcPr>
            <w:tcW w:w="1530" w:type="dxa"/>
            <w:vAlign w:val="center"/>
          </w:tcPr>
          <w:p w14:paraId="2A00BA1D" w14:textId="77777777" w:rsidR="00D6415B" w:rsidRDefault="00D6415B" w:rsidP="00D6415B">
            <w:pPr>
              <w:jc w:val="center"/>
              <w:rPr>
                <w:rFonts w:ascii="Arial" w:hAnsi="Arial"/>
                <w:sz w:val="18"/>
              </w:rPr>
            </w:pPr>
            <w:r>
              <w:rPr>
                <w:rFonts w:ascii="Arial" w:hAnsi="Arial"/>
                <w:sz w:val="18"/>
              </w:rPr>
              <w:t>1</w:t>
            </w:r>
          </w:p>
        </w:tc>
      </w:tr>
      <w:tr w:rsidR="00D6415B" w14:paraId="42C2EE25" w14:textId="77777777" w:rsidTr="00722B46">
        <w:trPr>
          <w:trHeight w:val="288"/>
          <w:jc w:val="center"/>
        </w:trPr>
        <w:tc>
          <w:tcPr>
            <w:tcW w:w="2952" w:type="dxa"/>
            <w:vAlign w:val="center"/>
          </w:tcPr>
          <w:p w14:paraId="46B8F369" w14:textId="77777777" w:rsidR="00D6415B" w:rsidRDefault="00D6415B" w:rsidP="00D6415B">
            <w:pPr>
              <w:jc w:val="center"/>
              <w:rPr>
                <w:rFonts w:ascii="Arial" w:hAnsi="Arial"/>
                <w:sz w:val="18"/>
              </w:rPr>
            </w:pPr>
            <w:r>
              <w:rPr>
                <w:rFonts w:ascii="Arial" w:hAnsi="Arial"/>
                <w:sz w:val="18"/>
              </w:rPr>
              <w:t>Staff Engineer or Project Engineer</w:t>
            </w:r>
          </w:p>
        </w:tc>
        <w:tc>
          <w:tcPr>
            <w:tcW w:w="2713" w:type="dxa"/>
            <w:vAlign w:val="center"/>
          </w:tcPr>
          <w:p w14:paraId="405EDD95" w14:textId="77777777" w:rsidR="00D6415B" w:rsidRDefault="00D6415B" w:rsidP="00D6415B">
            <w:pPr>
              <w:jc w:val="center"/>
              <w:rPr>
                <w:rFonts w:ascii="Arial" w:hAnsi="Arial"/>
                <w:sz w:val="18"/>
              </w:rPr>
            </w:pPr>
            <w:r>
              <w:rPr>
                <w:rFonts w:ascii="Arial" w:hAnsi="Arial"/>
                <w:sz w:val="18"/>
              </w:rPr>
              <w:t>Reporting/Summary of Analysis Results</w:t>
            </w:r>
          </w:p>
        </w:tc>
        <w:tc>
          <w:tcPr>
            <w:tcW w:w="1350" w:type="dxa"/>
            <w:vAlign w:val="center"/>
          </w:tcPr>
          <w:p w14:paraId="12678030" w14:textId="77777777" w:rsidR="00D6415B" w:rsidRDefault="00D6415B" w:rsidP="00D6415B">
            <w:pPr>
              <w:jc w:val="center"/>
              <w:rPr>
                <w:rFonts w:ascii="Arial" w:hAnsi="Arial"/>
                <w:sz w:val="18"/>
              </w:rPr>
            </w:pPr>
            <w:r>
              <w:rPr>
                <w:rFonts w:ascii="Arial" w:hAnsi="Arial"/>
                <w:sz w:val="18"/>
              </w:rPr>
              <w:t>1</w:t>
            </w:r>
          </w:p>
        </w:tc>
        <w:tc>
          <w:tcPr>
            <w:tcW w:w="1530" w:type="dxa"/>
            <w:vAlign w:val="center"/>
          </w:tcPr>
          <w:p w14:paraId="27AD69DC" w14:textId="77777777" w:rsidR="00D6415B" w:rsidRDefault="00D6415B" w:rsidP="00D6415B">
            <w:pPr>
              <w:jc w:val="center"/>
              <w:rPr>
                <w:rFonts w:ascii="Arial" w:hAnsi="Arial"/>
                <w:sz w:val="18"/>
              </w:rPr>
            </w:pPr>
            <w:r>
              <w:rPr>
                <w:rFonts w:ascii="Arial" w:hAnsi="Arial"/>
                <w:sz w:val="18"/>
              </w:rPr>
              <w:t>1</w:t>
            </w:r>
          </w:p>
        </w:tc>
      </w:tr>
    </w:tbl>
    <w:p w14:paraId="4B36D762" w14:textId="77777777" w:rsidR="00D6415B" w:rsidRDefault="00D6415B" w:rsidP="00172E64">
      <w:pPr>
        <w:pStyle w:val="Heading3"/>
        <w:numPr>
          <w:ilvl w:val="2"/>
          <w:numId w:val="185"/>
        </w:numPr>
        <w:ind w:left="0" w:firstLine="0"/>
      </w:pPr>
      <w:r>
        <w:t>Procedure</w:t>
      </w:r>
    </w:p>
    <w:p w14:paraId="11F1B18E" w14:textId="77777777" w:rsidR="00D6415B" w:rsidRDefault="00D6415B" w:rsidP="00D6415B">
      <w:pPr>
        <w:pStyle w:val="BodyText"/>
        <w:jc w:val="both"/>
      </w:pPr>
      <w:r>
        <w:t xml:space="preserve">The basic concept of FWD testing is to simulate typical traffic loads and monitor the deflection response of the pavement structure from that load.  FWD analysis is the science of taking recorded deflections and loads and using knowledge of pavement material characteristics to estimate the existing material properties of the pavement structure.  </w:t>
      </w:r>
    </w:p>
    <w:p w14:paraId="00355E18" w14:textId="4DA45ECF" w:rsidR="00D6415B" w:rsidRDefault="00D6415B" w:rsidP="00D6415B">
      <w:pPr>
        <w:pStyle w:val="BodyText"/>
        <w:jc w:val="both"/>
      </w:pPr>
      <w:r>
        <w:t>The primary data collected from FWD testing is a measured vertical load and the resulting deflections in the pavement surface measured at radial distances from the load.  The largest deflection from the load occurs under the load plate and decreases outwardly from the load plate.  Deflections under the load plate provide an indication of the material properties of all the layers at that location.  As recorded deflections move f</w:t>
      </w:r>
      <w:r w:rsidR="00B35E1D">
        <w:t>a</w:t>
      </w:r>
      <w:r>
        <w:t xml:space="preserve">rther away from the load plate, the data is representative of the layers deeper into the pavement structure with less influence from the layers near the surface.  </w:t>
      </w:r>
    </w:p>
    <w:p w14:paraId="1A677977" w14:textId="77777777" w:rsidR="00D6415B" w:rsidRDefault="00D6415B" w:rsidP="00D6415B">
      <w:pPr>
        <w:pStyle w:val="BodyText"/>
        <w:jc w:val="both"/>
      </w:pPr>
      <w:r>
        <w:t>This concept is presented in the following figure:</w:t>
      </w:r>
    </w:p>
    <w:p w14:paraId="0EAB8D4C" w14:textId="77777777" w:rsidR="00D6415B" w:rsidRDefault="00D6415B" w:rsidP="00D6415B">
      <w:pPr>
        <w:pStyle w:val="BodyText"/>
        <w:jc w:val="both"/>
      </w:pPr>
    </w:p>
    <w:p w14:paraId="66584DE4" w14:textId="77777777" w:rsidR="00D6415B" w:rsidRDefault="00D6415B" w:rsidP="00D6415B">
      <w:pPr>
        <w:pStyle w:val="BodyText"/>
      </w:pPr>
    </w:p>
    <w:p w14:paraId="64B11972" w14:textId="77777777" w:rsidR="00D6415B" w:rsidRDefault="00D6415B" w:rsidP="00D6415B">
      <w:pPr>
        <w:pStyle w:val="BodyText"/>
      </w:pPr>
    </w:p>
    <w:p w14:paraId="792A12DC" w14:textId="77777777" w:rsidR="00D6415B" w:rsidRDefault="00D6415B" w:rsidP="00D6415B">
      <w:pPr>
        <w:pStyle w:val="BodyText"/>
      </w:pPr>
    </w:p>
    <w:p w14:paraId="6E1789A9" w14:textId="2788FCF5" w:rsidR="00D6415B" w:rsidRDefault="00D6415B" w:rsidP="00D6415B">
      <w:pPr>
        <w:pStyle w:val="BodyText"/>
      </w:pPr>
      <w:r>
        <w:rPr>
          <w:noProof/>
        </w:rPr>
        <w:lastRenderedPageBreak/>
        <w:drawing>
          <wp:inline distT="0" distB="0" distL="0" distR="0" wp14:anchorId="35D050A3" wp14:editId="4273F615">
            <wp:extent cx="5486400" cy="3381375"/>
            <wp:effectExtent l="19050" t="0" r="0" b="0"/>
            <wp:docPr id="28" name="Picture 3" descr="Falling weight deflectometer (FWD)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3" descr="Falling weight deflectometer (FWD) diagram"/>
                    <pic:cNvPicPr>
                      <a:picLocks noChangeAspect="1" noChangeArrowheads="1"/>
                    </pic:cNvPicPr>
                  </pic:nvPicPr>
                  <pic:blipFill>
                    <a:blip r:embed="rId447" cstate="print"/>
                    <a:srcRect/>
                    <a:stretch>
                      <a:fillRect/>
                    </a:stretch>
                  </pic:blipFill>
                  <pic:spPr bwMode="auto">
                    <a:xfrm>
                      <a:off x="0" y="0"/>
                      <a:ext cx="5486400" cy="3381375"/>
                    </a:xfrm>
                    <a:prstGeom prst="rect">
                      <a:avLst/>
                    </a:prstGeom>
                    <a:noFill/>
                    <a:ln w="9525">
                      <a:noFill/>
                      <a:miter lim="800000"/>
                      <a:headEnd/>
                      <a:tailEnd/>
                    </a:ln>
                  </pic:spPr>
                </pic:pic>
              </a:graphicData>
            </a:graphic>
          </wp:inline>
        </w:drawing>
      </w:r>
    </w:p>
    <w:p w14:paraId="18091048" w14:textId="7223F8EB" w:rsidR="00D6415B" w:rsidRDefault="00D6415B" w:rsidP="00722B46">
      <w:pPr>
        <w:pStyle w:val="BodyText"/>
        <w:spacing w:after="0"/>
        <w:jc w:val="both"/>
      </w:pPr>
      <w:r w:rsidRPr="00305F2D">
        <w:t>The process of developing pavement layer properties from FWD data requires knowledge of the art/s</w:t>
      </w:r>
      <w:r w:rsidRPr="00567E1C">
        <w:t xml:space="preserve">cience of analyzing loads and deflections and a good understanding of pavement engineering and material properties. The PAGD process for checking FWD data quality, developing material properties for pavement rehabilitation design, and quality checks of the analysis are described in this Section.  </w:t>
      </w:r>
      <w:r>
        <w:t>These can be completed using the software Deflexus.</w:t>
      </w:r>
      <w:r w:rsidRPr="00305F2D">
        <w:t xml:space="preserve"> </w:t>
      </w:r>
    </w:p>
    <w:p w14:paraId="3B1C68CF" w14:textId="77777777" w:rsidR="000B449B" w:rsidRPr="00722B46" w:rsidRDefault="000B449B" w:rsidP="004C0B53">
      <w:pPr>
        <w:pStyle w:val="BodyText"/>
        <w:spacing w:after="0"/>
        <w:jc w:val="both"/>
      </w:pPr>
    </w:p>
    <w:p w14:paraId="72C0E823" w14:textId="77777777" w:rsidR="00D6415B" w:rsidRPr="009470AA" w:rsidRDefault="00D6415B" w:rsidP="00172E64">
      <w:pPr>
        <w:pStyle w:val="Heading4"/>
        <w:numPr>
          <w:ilvl w:val="3"/>
          <w:numId w:val="185"/>
        </w:numPr>
        <w:tabs>
          <w:tab w:val="left" w:pos="1800"/>
        </w:tabs>
        <w:ind w:left="0" w:firstLine="0"/>
      </w:pPr>
      <w:r w:rsidRPr="009470AA">
        <w:t>Quality Assurance of FWD Data</w:t>
      </w:r>
    </w:p>
    <w:p w14:paraId="6D967814" w14:textId="77777777" w:rsidR="00D6415B" w:rsidRDefault="00D6415B" w:rsidP="00D6415B">
      <w:pPr>
        <w:pStyle w:val="BodyText"/>
        <w:jc w:val="both"/>
      </w:pPr>
      <w:r w:rsidRPr="009470AA">
        <w:t xml:space="preserve">The accuracy and reasonableness of the FWD analysis is only as good as the quality of data collected during testing.  Data reasonableness needs to be verified through quality assurance (QA) by the pavement design engineers after the data has been collected and submitted.  </w:t>
      </w:r>
    </w:p>
    <w:p w14:paraId="408990BA" w14:textId="77777777" w:rsidR="00D6415B" w:rsidRDefault="00D6415B" w:rsidP="00722B46">
      <w:pPr>
        <w:pStyle w:val="BodyText"/>
        <w:spacing w:after="0"/>
        <w:jc w:val="both"/>
      </w:pPr>
      <w:r w:rsidRPr="009470AA">
        <w:t xml:space="preserve">This sub-section describes the steps needed to check the FWD data for errors, data reasonableness, and quality.    </w:t>
      </w:r>
    </w:p>
    <w:p w14:paraId="4F16DCAB" w14:textId="77777777" w:rsidR="000B449B" w:rsidRPr="00115674" w:rsidRDefault="000B449B" w:rsidP="00722B46">
      <w:pPr>
        <w:pStyle w:val="BodyText"/>
        <w:spacing w:after="0"/>
        <w:jc w:val="both"/>
      </w:pPr>
    </w:p>
    <w:p w14:paraId="2C79B7CE" w14:textId="77777777" w:rsidR="00D6415B" w:rsidRPr="009470AA" w:rsidRDefault="00D6415B" w:rsidP="00172E64">
      <w:pPr>
        <w:pStyle w:val="Heading5"/>
        <w:numPr>
          <w:ilvl w:val="4"/>
          <w:numId w:val="185"/>
        </w:numPr>
        <w:tabs>
          <w:tab w:val="left" w:pos="1800"/>
        </w:tabs>
        <w:ind w:left="0" w:firstLine="0"/>
      </w:pPr>
      <w:r w:rsidRPr="009470AA">
        <w:t>Non-Decreasing Deflections</w:t>
      </w:r>
    </w:p>
    <w:p w14:paraId="548D2896" w14:textId="45180337" w:rsidR="00D6415B" w:rsidRPr="00394608" w:rsidRDefault="00D6415B" w:rsidP="00D6415B">
      <w:pPr>
        <w:pStyle w:val="BodyText"/>
        <w:jc w:val="both"/>
      </w:pPr>
      <w:r w:rsidRPr="009470AA">
        <w:t xml:space="preserve">An accurate FWD test data point has sensor readings with deflections that typically </w:t>
      </w:r>
      <w:r w:rsidR="00B35E1D" w:rsidRPr="009470AA">
        <w:t xml:space="preserve">should </w:t>
      </w:r>
      <w:r w:rsidRPr="009470AA">
        <w:t>continually decrease as the sensors are placed f</w:t>
      </w:r>
      <w:r w:rsidR="000B449B">
        <w:t>a</w:t>
      </w:r>
      <w:r w:rsidRPr="009470AA">
        <w:t>rther away from the load plate.  The case where the sensor readings do not decrease, i.e.</w:t>
      </w:r>
      <w:r w:rsidR="000B449B">
        <w:t>,</w:t>
      </w:r>
      <w:r w:rsidRPr="009470AA">
        <w:t xml:space="preserve"> (in mils)</w:t>
      </w:r>
      <w:r w:rsidR="000B449B">
        <w:rPr>
          <w:rFonts w:cs="Arial"/>
        </w:rPr>
        <w:t xml:space="preserve"> – </w:t>
      </w:r>
      <w:r w:rsidRPr="009470AA">
        <w:t>20, 15, 10, 5, 8, 4, 2, th</w:t>
      </w:r>
      <w:r w:rsidRPr="00394608">
        <w:t>e FWD test point is considered to have non-decreasing deflections.  There are several reasons for non-decreasing deflections including the following:</w:t>
      </w:r>
    </w:p>
    <w:p w14:paraId="465AD8A9" w14:textId="454027DA" w:rsidR="00D6415B" w:rsidRPr="00394608" w:rsidRDefault="00D6415B" w:rsidP="00722B46">
      <w:pPr>
        <w:pStyle w:val="BodyText"/>
        <w:numPr>
          <w:ilvl w:val="0"/>
          <w:numId w:val="13"/>
        </w:numPr>
        <w:tabs>
          <w:tab w:val="clear" w:pos="360"/>
          <w:tab w:val="num" w:pos="720"/>
        </w:tabs>
        <w:spacing w:after="0"/>
        <w:ind w:left="0" w:firstLine="0"/>
        <w:jc w:val="both"/>
      </w:pPr>
      <w:r w:rsidRPr="00394608">
        <w:t>Sensor reading error</w:t>
      </w:r>
    </w:p>
    <w:p w14:paraId="2636A0E4" w14:textId="4945ABFD" w:rsidR="00D6415B" w:rsidRPr="00394608" w:rsidRDefault="00D6415B" w:rsidP="00722B46">
      <w:pPr>
        <w:pStyle w:val="BodyText"/>
        <w:numPr>
          <w:ilvl w:val="0"/>
          <w:numId w:val="13"/>
        </w:numPr>
        <w:tabs>
          <w:tab w:val="clear" w:pos="360"/>
          <w:tab w:val="num" w:pos="720"/>
        </w:tabs>
        <w:spacing w:after="0"/>
        <w:ind w:left="0" w:firstLine="0"/>
        <w:jc w:val="both"/>
      </w:pPr>
      <w:r w:rsidRPr="00394608">
        <w:t>Sensor on piece of debris or crack</w:t>
      </w:r>
    </w:p>
    <w:p w14:paraId="18C707F9" w14:textId="10E3E1EE" w:rsidR="00D6415B" w:rsidRPr="00394608" w:rsidRDefault="00D6415B" w:rsidP="00722B46">
      <w:pPr>
        <w:pStyle w:val="BodyText"/>
        <w:numPr>
          <w:ilvl w:val="0"/>
          <w:numId w:val="13"/>
        </w:numPr>
        <w:tabs>
          <w:tab w:val="clear" w:pos="360"/>
          <w:tab w:val="num" w:pos="720"/>
        </w:tabs>
        <w:spacing w:after="0"/>
        <w:ind w:left="0" w:firstLine="0"/>
        <w:jc w:val="both"/>
      </w:pPr>
      <w:r w:rsidRPr="00394608">
        <w:t>Severely deteriorated pavement surface</w:t>
      </w:r>
    </w:p>
    <w:p w14:paraId="26899754" w14:textId="115F12D9" w:rsidR="00D6415B" w:rsidRDefault="00D6415B" w:rsidP="00722B46">
      <w:pPr>
        <w:pStyle w:val="BodyText"/>
        <w:numPr>
          <w:ilvl w:val="0"/>
          <w:numId w:val="13"/>
        </w:numPr>
        <w:tabs>
          <w:tab w:val="clear" w:pos="360"/>
          <w:tab w:val="num" w:pos="720"/>
        </w:tabs>
        <w:spacing w:after="0"/>
        <w:ind w:left="0" w:firstLine="0"/>
        <w:jc w:val="both"/>
      </w:pPr>
      <w:r w:rsidRPr="00394608">
        <w:t>Pavement change boundary within range of sensors</w:t>
      </w:r>
    </w:p>
    <w:p w14:paraId="077F2A04" w14:textId="0762C8D5" w:rsidR="00D6415B" w:rsidRPr="007C320C" w:rsidRDefault="00D6415B" w:rsidP="00D6415B">
      <w:pPr>
        <w:pStyle w:val="BodyText"/>
        <w:spacing w:after="0"/>
        <w:jc w:val="both"/>
      </w:pPr>
    </w:p>
    <w:p w14:paraId="347B8D48" w14:textId="77777777" w:rsidR="00D6415B" w:rsidRPr="007C320C" w:rsidRDefault="00D6415B" w:rsidP="00172E64">
      <w:pPr>
        <w:pStyle w:val="Heading5"/>
        <w:numPr>
          <w:ilvl w:val="4"/>
          <w:numId w:val="185"/>
        </w:numPr>
        <w:tabs>
          <w:tab w:val="left" w:pos="1800"/>
        </w:tabs>
        <w:ind w:left="0" w:firstLine="0"/>
        <w:jc w:val="both"/>
      </w:pPr>
      <w:r w:rsidRPr="007C320C">
        <w:lastRenderedPageBreak/>
        <w:t>Out of Range Errors</w:t>
      </w:r>
    </w:p>
    <w:p w14:paraId="02E7D4FB" w14:textId="77777777" w:rsidR="00D6415B" w:rsidRPr="007C320C" w:rsidRDefault="00D6415B" w:rsidP="00D6415B">
      <w:pPr>
        <w:pStyle w:val="BodyText"/>
        <w:jc w:val="both"/>
      </w:pPr>
      <w:r w:rsidRPr="007C320C">
        <w:t>Each sensor on the FWD that records deflection has a total range of vertical movement available for recording data.  An “out of range” error occurs when the maximum vertical movement of the sensor has been exceeded.  The FWD software that collects the test data also recognizes the fact that the maximum sensor measurement has been exceeded and tags an “out of range” error along with the specific test point data for that sensor.  There are several reasons for “out of range” deflections including the following:</w:t>
      </w:r>
    </w:p>
    <w:p w14:paraId="12E26226" w14:textId="73BF371E" w:rsidR="00D6415B" w:rsidRPr="007C320C" w:rsidRDefault="00D6415B" w:rsidP="00722B46">
      <w:pPr>
        <w:pStyle w:val="BodyText"/>
        <w:numPr>
          <w:ilvl w:val="0"/>
          <w:numId w:val="14"/>
        </w:numPr>
        <w:tabs>
          <w:tab w:val="clear" w:pos="360"/>
          <w:tab w:val="num" w:pos="720"/>
        </w:tabs>
        <w:spacing w:after="0"/>
        <w:ind w:left="0" w:firstLine="0"/>
        <w:jc w:val="both"/>
      </w:pPr>
      <w:r w:rsidRPr="007C320C">
        <w:t>Sensor reading error</w:t>
      </w:r>
    </w:p>
    <w:p w14:paraId="11DC11CB" w14:textId="09B26C64" w:rsidR="00D6415B" w:rsidRPr="007C320C" w:rsidRDefault="00D6415B" w:rsidP="00722B46">
      <w:pPr>
        <w:pStyle w:val="BodyText"/>
        <w:numPr>
          <w:ilvl w:val="0"/>
          <w:numId w:val="14"/>
        </w:numPr>
        <w:tabs>
          <w:tab w:val="clear" w:pos="360"/>
          <w:tab w:val="num" w:pos="720"/>
        </w:tabs>
        <w:spacing w:after="0"/>
        <w:ind w:left="0" w:firstLine="0"/>
        <w:jc w:val="both"/>
      </w:pPr>
      <w:r w:rsidRPr="007C320C">
        <w:t>Severely deteriorated pavement surface</w:t>
      </w:r>
    </w:p>
    <w:p w14:paraId="42A355E3" w14:textId="1CF500C9" w:rsidR="00D6415B" w:rsidRPr="007C320C" w:rsidRDefault="00D6415B" w:rsidP="00722B46">
      <w:pPr>
        <w:pStyle w:val="BodyText"/>
        <w:numPr>
          <w:ilvl w:val="0"/>
          <w:numId w:val="14"/>
        </w:numPr>
        <w:tabs>
          <w:tab w:val="clear" w:pos="360"/>
          <w:tab w:val="num" w:pos="720"/>
        </w:tabs>
        <w:spacing w:after="0"/>
        <w:ind w:left="0" w:firstLine="0"/>
        <w:jc w:val="both"/>
      </w:pPr>
      <w:r w:rsidRPr="007C320C">
        <w:t>Weak structural capacity of the pavement structure</w:t>
      </w:r>
    </w:p>
    <w:p w14:paraId="04F3B3DF" w14:textId="7E2BEB4B" w:rsidR="000B449B" w:rsidRDefault="00D6415B" w:rsidP="00557A8B">
      <w:pPr>
        <w:pStyle w:val="BodyText"/>
        <w:numPr>
          <w:ilvl w:val="0"/>
          <w:numId w:val="14"/>
        </w:numPr>
        <w:tabs>
          <w:tab w:val="clear" w:pos="360"/>
          <w:tab w:val="num" w:pos="720"/>
        </w:tabs>
        <w:spacing w:after="0"/>
        <w:ind w:left="0" w:firstLine="0"/>
        <w:jc w:val="both"/>
      </w:pPr>
      <w:r w:rsidRPr="007C320C">
        <w:t>Load applied to pavement is too great for existing structure</w:t>
      </w:r>
    </w:p>
    <w:p w14:paraId="0F22C7B3" w14:textId="2974E92E" w:rsidR="00D6415B" w:rsidRPr="007C320C" w:rsidRDefault="00D6415B" w:rsidP="00722B46">
      <w:pPr>
        <w:pStyle w:val="BodyText"/>
        <w:spacing w:after="0"/>
        <w:jc w:val="both"/>
      </w:pPr>
    </w:p>
    <w:p w14:paraId="4453D686" w14:textId="77777777" w:rsidR="00D6415B" w:rsidRPr="007C320C" w:rsidRDefault="00D6415B" w:rsidP="00722B46">
      <w:pPr>
        <w:pStyle w:val="BodyText"/>
        <w:spacing w:after="0"/>
        <w:jc w:val="both"/>
      </w:pPr>
      <w:r w:rsidRPr="007C320C">
        <w:t xml:space="preserve">The FWD test points with an “out of range” error </w:t>
      </w:r>
      <w:r>
        <w:t>will be shown with an “out of range” error in the “Error Comments” field.  These points shall</w:t>
      </w:r>
      <w:r w:rsidRPr="007C320C">
        <w:t xml:space="preserve"> be eliminated as outliers </w:t>
      </w:r>
      <w:r>
        <w:t>by un-checking them in the Raw Data field so that they are</w:t>
      </w:r>
      <w:r w:rsidRPr="007C320C">
        <w:t xml:space="preserve"> not used any further in the analysis.  If a significant number of out of range errors are encountered during testing, the load package may need to be lowered because the load may be too great for the existing pavement structural capacity.  If the load package is not altered in the field and cores indicate a thin pavement structure, additional testing at a lower load may need to be completed.  </w:t>
      </w:r>
    </w:p>
    <w:p w14:paraId="5F59AADE" w14:textId="77777777" w:rsidR="00D6415B" w:rsidRPr="006B422F" w:rsidRDefault="00D6415B" w:rsidP="00D6415B">
      <w:pPr>
        <w:jc w:val="both"/>
        <w:rPr>
          <w:rFonts w:ascii="Arial" w:hAnsi="Arial"/>
        </w:rPr>
      </w:pPr>
    </w:p>
    <w:p w14:paraId="0DFCFED6" w14:textId="77777777" w:rsidR="00D6415B" w:rsidRPr="006B422F" w:rsidRDefault="00D6415B" w:rsidP="00172E64">
      <w:pPr>
        <w:pStyle w:val="Heading4"/>
        <w:numPr>
          <w:ilvl w:val="3"/>
          <w:numId w:val="185"/>
        </w:numPr>
        <w:tabs>
          <w:tab w:val="left" w:pos="1800"/>
        </w:tabs>
        <w:ind w:left="0" w:firstLine="0"/>
        <w:jc w:val="both"/>
      </w:pPr>
      <w:r w:rsidRPr="006B422F">
        <w:t>Pre-Process FWD Data</w:t>
      </w:r>
    </w:p>
    <w:p w14:paraId="3DC918B5" w14:textId="77777777" w:rsidR="00D6415B" w:rsidRPr="006B422F" w:rsidRDefault="00D6415B" w:rsidP="00722B46">
      <w:pPr>
        <w:pStyle w:val="BodyText"/>
        <w:spacing w:after="0"/>
        <w:jc w:val="both"/>
      </w:pPr>
      <w:r w:rsidRPr="006B422F">
        <w:t xml:space="preserve">Once FWD data has been ensured for reasonableness and accuracy, the data is further processed to arrange it into logical and manageable sub sets that will be used to complete the data analysis.  The outline steps in this sub-section are designed to assist the pavement designer to filter out the most beneficial FWD test data and establish sections for further analysis.  Analysis sections are pavement sections with similar pavement structures and similar performing pavement materials properties.    </w:t>
      </w:r>
    </w:p>
    <w:p w14:paraId="66C59DBC" w14:textId="77777777" w:rsidR="00D6415B" w:rsidRPr="006B422F" w:rsidRDefault="00D6415B" w:rsidP="00D6415B">
      <w:pPr>
        <w:jc w:val="both"/>
        <w:rPr>
          <w:rFonts w:ascii="Arial" w:hAnsi="Arial"/>
        </w:rPr>
      </w:pPr>
    </w:p>
    <w:p w14:paraId="46412829" w14:textId="77777777" w:rsidR="00D6415B" w:rsidRPr="006B422F" w:rsidRDefault="00D6415B" w:rsidP="00172E64">
      <w:pPr>
        <w:pStyle w:val="Heading5"/>
        <w:numPr>
          <w:ilvl w:val="4"/>
          <w:numId w:val="185"/>
        </w:numPr>
        <w:tabs>
          <w:tab w:val="clear" w:pos="1080"/>
          <w:tab w:val="left" w:pos="1800"/>
        </w:tabs>
        <w:ind w:left="0" w:firstLine="0"/>
        <w:jc w:val="both"/>
      </w:pPr>
      <w:r w:rsidRPr="006B422F">
        <w:t>Select FWD Load</w:t>
      </w:r>
    </w:p>
    <w:p w14:paraId="4CAE9831" w14:textId="1E32E528" w:rsidR="00D6415B" w:rsidRPr="00271BFB" w:rsidRDefault="00D6415B" w:rsidP="00D6415B">
      <w:pPr>
        <w:pStyle w:val="BodyText"/>
        <w:jc w:val="both"/>
      </w:pPr>
      <w:r w:rsidRPr="006B422F">
        <w:t>The typical roadway load plate is approximately 5.91</w:t>
      </w:r>
      <w:r w:rsidR="000B449B">
        <w:t>"</w:t>
      </w:r>
      <w:r w:rsidRPr="006B422F">
        <w:t xml:space="preserve"> in radius and is designed to mimic the contact area patch of a dual tire load from an 18-kip axle.  Therefore, to simulate an 18-kip axle load, the 9,000-pound load level or FWD drop height #2 should be used in FWD analysis.  In some cases in the </w:t>
      </w:r>
      <w:r w:rsidR="008C7023">
        <w:t>MDOT-SHA</w:t>
      </w:r>
      <w:r w:rsidRPr="006B422F">
        <w:t xml:space="preserve"> roadway network, the pavement structure is significantly thick and a 9,000-pound load will not allow a sufficient amount of load to be transferred to the lowe</w:t>
      </w:r>
      <w:r w:rsidRPr="00271BFB">
        <w:t xml:space="preserve">r layers in the pavement structure.  In these cases, a larger load applied should be analyzed in addition to the 9,000 pound load.  Guidelines for the designer to select the appropriate FWD load package are outlined in </w:t>
      </w:r>
      <w:hyperlink w:anchor="_Falling_Weight_Deflectometer" w:history="1">
        <w:r w:rsidRPr="00271BFB">
          <w:rPr>
            <w:rStyle w:val="Hyperlink"/>
          </w:rPr>
          <w:t>Falling Weight Deflectometer (FWD) Testing</w:t>
        </w:r>
      </w:hyperlink>
      <w:r w:rsidRPr="00271BFB">
        <w:t>.</w:t>
      </w:r>
    </w:p>
    <w:p w14:paraId="61116DD6" w14:textId="5D707F79" w:rsidR="00D6415B" w:rsidRPr="00271BFB" w:rsidRDefault="00D6415B" w:rsidP="00D6415B">
      <w:pPr>
        <w:pStyle w:val="BodyText"/>
        <w:jc w:val="both"/>
      </w:pPr>
      <w:r w:rsidRPr="00271BFB">
        <w:t>A deflection versus station plot allows the designer to identify weak areas and to delineate sections that are performing differently.  In order to view a deflection versus station plot accurately, every load should be normalized to the same standard load.  Although the same drop height may</w:t>
      </w:r>
      <w:r w:rsidR="000B449B">
        <w:t xml:space="preserve"> </w:t>
      </w:r>
      <w:r w:rsidRPr="00271BFB">
        <w:t xml:space="preserve">be applied to consecutive points, the actual measured applied load may vary due to slight variations in the pavement structure and FWD mechanical equipment.  Normalizing the deflections will eliminate these slight changes in load </w:t>
      </w:r>
      <w:r w:rsidR="000B449B">
        <w:t xml:space="preserve">to </w:t>
      </w:r>
      <w:r w:rsidRPr="00271BFB">
        <w:t>allow numerous test points to be compared equally.  The collected deflection is converted into normalized deflection by equating the measured load to a normal load.  The following equation shows the process to normalize a deflection to 9,000 pounds:</w:t>
      </w:r>
    </w:p>
    <w:p w14:paraId="34ABDECD" w14:textId="77777777" w:rsidR="000B449B" w:rsidRDefault="000B449B">
      <w:pPr>
        <w:rPr>
          <w:rFonts w:ascii="Arial" w:hAnsi="Arial"/>
          <w:sz w:val="22"/>
        </w:rPr>
      </w:pPr>
      <w:r>
        <w:br w:type="page"/>
      </w:r>
    </w:p>
    <w:p w14:paraId="74AF8301" w14:textId="138A1DF4" w:rsidR="00D6415B" w:rsidRPr="00271BFB" w:rsidRDefault="00D6415B" w:rsidP="00D6415B">
      <w:pPr>
        <w:pStyle w:val="BodyText"/>
      </w:pPr>
      <w:r w:rsidRPr="00271BFB">
        <w:lastRenderedPageBreak/>
        <w:tab/>
      </w:r>
      <w:r w:rsidRPr="00271BFB">
        <w:rPr>
          <w:i/>
        </w:rPr>
        <w:t>Measured Load</w:t>
      </w:r>
      <w:r w:rsidRPr="00271BFB">
        <w:t xml:space="preserve"> = 9,252#   </w:t>
      </w:r>
      <w:r w:rsidRPr="00271BFB">
        <w:tab/>
      </w:r>
      <w:r w:rsidRPr="00271BFB">
        <w:tab/>
      </w:r>
      <w:r w:rsidRPr="00271BFB">
        <w:rPr>
          <w:i/>
        </w:rPr>
        <w:t>Measure Deflection</w:t>
      </w:r>
      <w:r w:rsidRPr="00271BFB">
        <w:t xml:space="preserve"> = 15.2 mils   </w:t>
      </w:r>
    </w:p>
    <w:p w14:paraId="0C41BC85" w14:textId="77777777" w:rsidR="00D6415B" w:rsidRPr="00271BFB" w:rsidRDefault="00D6415B" w:rsidP="00D6415B">
      <w:pPr>
        <w:pStyle w:val="BodyText"/>
      </w:pPr>
      <w:r w:rsidRPr="00271BFB">
        <w:t xml:space="preserve"> </w:t>
      </w:r>
      <w:r w:rsidRPr="00271BFB">
        <w:tab/>
      </w:r>
      <w:r w:rsidRPr="00271BFB">
        <w:tab/>
      </w:r>
      <w:r w:rsidRPr="00271BFB">
        <w:tab/>
      </w:r>
      <w:r w:rsidRPr="00271BFB">
        <w:tab/>
      </w:r>
      <w:r w:rsidRPr="00271BFB">
        <w:rPr>
          <w:i/>
        </w:rPr>
        <w:t>Normal Load</w:t>
      </w:r>
      <w:r w:rsidRPr="00271BFB">
        <w:t xml:space="preserve"> = 9,000#</w:t>
      </w:r>
    </w:p>
    <w:p w14:paraId="50E9F73B" w14:textId="77777777" w:rsidR="00D6415B" w:rsidRPr="00271BFB" w:rsidRDefault="00D6415B" w:rsidP="00D6415B">
      <w:pPr>
        <w:pStyle w:val="BodyText"/>
      </w:pPr>
      <w:r w:rsidRPr="00271BFB">
        <w:tab/>
      </w:r>
      <w:r w:rsidRPr="00271BFB">
        <w:rPr>
          <w:i/>
        </w:rPr>
        <w:t>Normalized Deflection</w:t>
      </w:r>
      <w:r w:rsidRPr="00271BFB">
        <w:t xml:space="preserve"> = 15.2 * (9,000 / 9,252) = 14.8 mils</w:t>
      </w:r>
    </w:p>
    <w:p w14:paraId="3ABE8620" w14:textId="77777777" w:rsidR="00D6415B" w:rsidRPr="00271BFB" w:rsidRDefault="00D6415B" w:rsidP="00D6415B">
      <w:pPr>
        <w:rPr>
          <w:rFonts w:ascii="Arial" w:hAnsi="Arial"/>
        </w:rPr>
      </w:pPr>
    </w:p>
    <w:p w14:paraId="3A2C3E7C" w14:textId="3FD72324" w:rsidR="00D6415B" w:rsidRPr="00271BFB" w:rsidRDefault="00D6415B" w:rsidP="00D6415B">
      <w:pPr>
        <w:pStyle w:val="BodyText"/>
        <w:spacing w:after="0"/>
        <w:jc w:val="both"/>
        <w:rPr>
          <w:szCs w:val="22"/>
        </w:rPr>
      </w:pPr>
      <w:r w:rsidRPr="00271BFB">
        <w:t>Several different drop heights are typically recorded at each test point.  Some materials behave differe</w:t>
      </w:r>
      <w:r w:rsidRPr="00271BFB">
        <w:rPr>
          <w:szCs w:val="22"/>
        </w:rPr>
        <w:t xml:space="preserve">ntly depending on the amount of load that </w:t>
      </w:r>
      <w:r w:rsidR="000B449B">
        <w:rPr>
          <w:szCs w:val="22"/>
        </w:rPr>
        <w:t xml:space="preserve">is </w:t>
      </w:r>
      <w:r w:rsidRPr="00271BFB">
        <w:rPr>
          <w:szCs w:val="22"/>
        </w:rPr>
        <w:t>applied; these are called “stress sensitive” or “non-linear</w:t>
      </w:r>
      <w:r>
        <w:rPr>
          <w:szCs w:val="22"/>
        </w:rPr>
        <w:t>”</w:t>
      </w:r>
      <w:r w:rsidRPr="00271BFB">
        <w:rPr>
          <w:szCs w:val="22"/>
        </w:rPr>
        <w:t xml:space="preserve"> materials.  Therefore, a stress-sensitive pavement structure can be identified if two separate FWD data analys</w:t>
      </w:r>
      <w:r w:rsidR="000B449B">
        <w:rPr>
          <w:szCs w:val="22"/>
        </w:rPr>
        <w:t>e</w:t>
      </w:r>
      <w:r w:rsidRPr="00271BFB">
        <w:rPr>
          <w:szCs w:val="22"/>
        </w:rPr>
        <w:t>s run with different load level</w:t>
      </w:r>
      <w:r w:rsidR="000B449B">
        <w:rPr>
          <w:szCs w:val="22"/>
        </w:rPr>
        <w:t>s</w:t>
      </w:r>
      <w:r w:rsidRPr="00271BFB">
        <w:rPr>
          <w:szCs w:val="22"/>
        </w:rPr>
        <w:t xml:space="preserve"> result in different material properties at the same test point.  </w:t>
      </w:r>
    </w:p>
    <w:p w14:paraId="4E65F21D" w14:textId="77777777" w:rsidR="00D6415B" w:rsidRDefault="00D6415B" w:rsidP="00D6415B">
      <w:pPr>
        <w:pStyle w:val="BodyText"/>
        <w:spacing w:after="0"/>
        <w:jc w:val="both"/>
        <w:rPr>
          <w:szCs w:val="22"/>
        </w:rPr>
      </w:pPr>
    </w:p>
    <w:p w14:paraId="38061EEC" w14:textId="77777777" w:rsidR="00D6415B" w:rsidRPr="00271BFB" w:rsidRDefault="00D6415B" w:rsidP="00D6415B">
      <w:pPr>
        <w:pStyle w:val="BodyText"/>
        <w:spacing w:after="0"/>
        <w:jc w:val="both"/>
      </w:pPr>
      <w:r w:rsidRPr="00271BFB">
        <w:rPr>
          <w:szCs w:val="22"/>
        </w:rPr>
        <w:t>If different loads res</w:t>
      </w:r>
      <w:r w:rsidRPr="00271BFB">
        <w:t>ult in similar FWD data analysis results, then the pavement layers can be considered not to contain stress sensitive material.  In either case, the selection of one, several, or all the load levels applied to the pavement via the FWD need to be selected and filtered for analysis.</w:t>
      </w:r>
    </w:p>
    <w:p w14:paraId="5DDD1C26" w14:textId="77777777" w:rsidR="00D6415B" w:rsidRPr="00271BFB" w:rsidRDefault="00D6415B" w:rsidP="00D6415B">
      <w:pPr>
        <w:jc w:val="both"/>
        <w:rPr>
          <w:rFonts w:ascii="Arial" w:hAnsi="Arial"/>
        </w:rPr>
      </w:pPr>
    </w:p>
    <w:p w14:paraId="068DC489" w14:textId="77777777" w:rsidR="00D6415B" w:rsidRPr="00271BFB" w:rsidRDefault="00D6415B" w:rsidP="00172E64">
      <w:pPr>
        <w:pStyle w:val="Heading5"/>
        <w:numPr>
          <w:ilvl w:val="4"/>
          <w:numId w:val="185"/>
        </w:numPr>
        <w:tabs>
          <w:tab w:val="left" w:pos="1800"/>
        </w:tabs>
        <w:ind w:left="0" w:firstLine="0"/>
        <w:jc w:val="both"/>
      </w:pPr>
      <w:r w:rsidRPr="00271BFB">
        <w:t>Composite Modulus Plots</w:t>
      </w:r>
    </w:p>
    <w:p w14:paraId="07B9705F" w14:textId="3B6C0248" w:rsidR="00D6415B" w:rsidRPr="00583553" w:rsidRDefault="00D6415B" w:rsidP="00D6415B">
      <w:pPr>
        <w:pStyle w:val="BodyText"/>
        <w:jc w:val="both"/>
      </w:pPr>
      <w:r w:rsidRPr="00271BFB">
        <w:t>The composite modulus of a pavement structure is a single-value representation of the overall paveme</w:t>
      </w:r>
      <w:r w:rsidRPr="00583553">
        <w:t>nt stiffness based on the modulus of elasticity of all the pavement layers at a given point and radial distance from the load plate.  The composite modulus is a computed value based on the applied load, plate radius, sensor spacing, measured deflection, and an assumed Poisson</w:t>
      </w:r>
      <w:r w:rsidR="000B449B">
        <w:t>'s</w:t>
      </w:r>
      <w:r w:rsidRPr="00583553">
        <w:t xml:space="preserve"> ratio of the entire pavement structure.  A composite modulus can be calculated for every test point at each sensor.  The composite modulus is typically reported graphically to allow the designer to identify erroneous data or non-linear subgrade.</w:t>
      </w:r>
    </w:p>
    <w:p w14:paraId="7018B39E" w14:textId="56DE6158" w:rsidR="00D6415B" w:rsidRPr="00583553" w:rsidRDefault="00D6415B" w:rsidP="00D6415B">
      <w:pPr>
        <w:pStyle w:val="BodyText"/>
        <w:jc w:val="both"/>
      </w:pPr>
      <w:r w:rsidRPr="00583553">
        <w:rPr>
          <w:noProof/>
        </w:rPr>
        <w:drawing>
          <wp:anchor distT="0" distB="0" distL="114300" distR="114300" simplePos="0" relativeHeight="251644416" behindDoc="0" locked="0" layoutInCell="0" allowOverlap="1" wp14:anchorId="3CD67958" wp14:editId="4BB7C052">
            <wp:simplePos x="0" y="0"/>
            <wp:positionH relativeFrom="column">
              <wp:posOffset>65405</wp:posOffset>
            </wp:positionH>
            <wp:positionV relativeFrom="paragraph">
              <wp:posOffset>1195705</wp:posOffset>
            </wp:positionV>
            <wp:extent cx="5408295" cy="2673985"/>
            <wp:effectExtent l="0" t="0" r="0" b="0"/>
            <wp:wrapTopAndBottom/>
            <wp:docPr id="58" name="Picture 495" descr="Typical composite modulus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495" descr="Typical composite modulus chart"/>
                    <pic:cNvPicPr>
                      <a:picLocks noChangeAspect="1" noChangeArrowheads="1"/>
                    </pic:cNvPicPr>
                  </pic:nvPicPr>
                  <pic:blipFill>
                    <a:blip r:embed="rId448" cstate="print"/>
                    <a:srcRect/>
                    <a:stretch>
                      <a:fillRect/>
                    </a:stretch>
                  </pic:blipFill>
                  <pic:spPr bwMode="auto">
                    <a:xfrm>
                      <a:off x="0" y="0"/>
                      <a:ext cx="5408295" cy="2673985"/>
                    </a:xfrm>
                    <a:prstGeom prst="rect">
                      <a:avLst/>
                    </a:prstGeom>
                    <a:noFill/>
                    <a:ln w="9525">
                      <a:noFill/>
                      <a:miter lim="800000"/>
                      <a:headEnd/>
                      <a:tailEnd/>
                    </a:ln>
                  </pic:spPr>
                </pic:pic>
              </a:graphicData>
            </a:graphic>
          </wp:anchor>
        </w:drawing>
      </w:r>
      <w:r w:rsidRPr="00583553">
        <w:t>The composite modulus derived from the sensor directly under the load provides a representation of the stiffness of all the pavement layers as a single layer system.  The composite moduli derived from the outer sensors lose the contributing effect of the stronger upper layers of the pavement while maintaining the influence of the subgrade and lower layers.  Therefore, the composite modulus plot of all of the sensors from a test point should have a general decreasing or “half bowl” shape as the distance from the load increases.  Sharp fluctuation or an irregular</w:t>
      </w:r>
      <w:r w:rsidR="000B449B">
        <w:t>ly</w:t>
      </w:r>
      <w:r w:rsidRPr="00583553">
        <w:t xml:space="preserve"> shaped composite modulus plot may indicate </w:t>
      </w:r>
      <w:r w:rsidRPr="00583553">
        <w:lastRenderedPageBreak/>
        <w:t xml:space="preserve">an erroneous test point.  The following two plots show a typical and an irregular shape </w:t>
      </w:r>
      <w:r w:rsidR="000B449B" w:rsidRPr="00583553">
        <w:rPr>
          <w:noProof/>
        </w:rPr>
        <w:drawing>
          <wp:anchor distT="0" distB="0" distL="114300" distR="114300" simplePos="0" relativeHeight="251646464" behindDoc="0" locked="0" layoutInCell="0" allowOverlap="1" wp14:anchorId="31D3F257" wp14:editId="2D764AB8">
            <wp:simplePos x="0" y="0"/>
            <wp:positionH relativeFrom="column">
              <wp:posOffset>-50800</wp:posOffset>
            </wp:positionH>
            <wp:positionV relativeFrom="paragraph">
              <wp:posOffset>501015</wp:posOffset>
            </wp:positionV>
            <wp:extent cx="5683250" cy="3352800"/>
            <wp:effectExtent l="0" t="0" r="0" b="0"/>
            <wp:wrapTopAndBottom/>
            <wp:docPr id="66" name="Picture 496" descr="Irregular composite modulus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496" descr="Irregular composite modulus chart"/>
                    <pic:cNvPicPr>
                      <a:picLocks noChangeAspect="1" noChangeArrowheads="1"/>
                    </pic:cNvPicPr>
                  </pic:nvPicPr>
                  <pic:blipFill>
                    <a:blip r:embed="rId449" cstate="print"/>
                    <a:srcRect/>
                    <a:stretch>
                      <a:fillRect/>
                    </a:stretch>
                  </pic:blipFill>
                  <pic:spPr bwMode="auto">
                    <a:xfrm>
                      <a:off x="0" y="0"/>
                      <a:ext cx="5683250" cy="3352800"/>
                    </a:xfrm>
                    <a:prstGeom prst="rect">
                      <a:avLst/>
                    </a:prstGeom>
                    <a:noFill/>
                    <a:ln w="9525">
                      <a:noFill/>
                      <a:miter lim="800000"/>
                      <a:headEnd/>
                      <a:tailEnd/>
                    </a:ln>
                  </pic:spPr>
                </pic:pic>
              </a:graphicData>
            </a:graphic>
          </wp:anchor>
        </w:drawing>
      </w:r>
      <w:r w:rsidRPr="00583553">
        <w:t>composite modulus plot.</w:t>
      </w:r>
    </w:p>
    <w:p w14:paraId="5D4718BD" w14:textId="04495300" w:rsidR="00D6415B" w:rsidRDefault="00D6415B" w:rsidP="00D6415B">
      <w:pPr>
        <w:pStyle w:val="BodyText"/>
        <w:jc w:val="both"/>
      </w:pPr>
      <w:r w:rsidRPr="00583553">
        <w:t xml:space="preserve">The shape of the composite modulus plot can help to identify the presence of non-linear materials and subgrade.  This is </w:t>
      </w:r>
      <w:r>
        <w:t>possible</w:t>
      </w:r>
      <w:r w:rsidRPr="00583553">
        <w:t xml:space="preserve"> because the sensors f</w:t>
      </w:r>
      <w:r w:rsidR="000B449B">
        <w:t>a</w:t>
      </w:r>
      <w:r w:rsidRPr="00583553">
        <w:t xml:space="preserve">rther away from the load provide an indication of the material properties and behavior of the lower pavement layers and subgrade.  The load experienced by the outer sensors decreases as the distance from the load increases.  </w:t>
      </w:r>
    </w:p>
    <w:p w14:paraId="0B8D01CD" w14:textId="77777777" w:rsidR="00D6415B" w:rsidRDefault="00D6415B" w:rsidP="00D6415B">
      <w:pPr>
        <w:pStyle w:val="BodyText"/>
        <w:jc w:val="both"/>
      </w:pPr>
      <w:r w:rsidRPr="00583553">
        <w:t xml:space="preserve">Stress sensitive materials can either increase or decrease in strength as the stress applied to the material increases.  Typically with the materials in </w:t>
      </w:r>
      <w:smartTag w:uri="urn:schemas-microsoft-com:office:smarttags" w:element="State">
        <w:smartTag w:uri="urn:schemas-microsoft-com:office:smarttags" w:element="place">
          <w:r w:rsidRPr="00583553">
            <w:t>Maryland</w:t>
          </w:r>
        </w:smartTag>
      </w:smartTag>
      <w:r w:rsidRPr="00583553">
        <w:t xml:space="preserve">, the strength or stiffness of a stress sensitive or non-linear subgrade is inversely proportional to the amount of the applied load.  Therefore, a non-linear subgrade will appear to have a higher modulus with a lighter load and as the applied load increases, the weaker the non-linear subgrade behaves.  </w:t>
      </w:r>
    </w:p>
    <w:p w14:paraId="3B8AC19B" w14:textId="77777777" w:rsidR="00D6415B" w:rsidRPr="00435EAF" w:rsidRDefault="00D6415B" w:rsidP="00D6415B">
      <w:pPr>
        <w:pStyle w:val="BodyText"/>
        <w:jc w:val="both"/>
      </w:pPr>
      <w:r w:rsidRPr="00583553">
        <w:t xml:space="preserve">The composite modulus plot allows the designer to identify non-linear subgrade because the amount of load decreases as the distance from the load increases and because the composite modulus is a numerical representation of the pavement stiffness at varying depths.  Therefore, if the composite modulus begins to increase at the outer sensors, it is an indication of a non-linear subgrade.  This is because the load is decreasing at the outer sensors, </w:t>
      </w:r>
      <w:r w:rsidRPr="00435EAF">
        <w:t xml:space="preserve">yet the composite modulus is increasing.  The following composite modulus is an example of plot displaying a pavement structure with a non-linear subgrade. </w:t>
      </w:r>
    </w:p>
    <w:p w14:paraId="5532309F" w14:textId="77777777" w:rsidR="00D6415B" w:rsidRPr="00435EAF" w:rsidRDefault="00D6415B" w:rsidP="00D6415B">
      <w:pPr>
        <w:pStyle w:val="BodyText"/>
        <w:jc w:val="both"/>
      </w:pPr>
    </w:p>
    <w:p w14:paraId="01803163" w14:textId="77777777" w:rsidR="00D6415B" w:rsidRPr="00435EAF" w:rsidRDefault="00D6415B" w:rsidP="00D6415B">
      <w:pPr>
        <w:pStyle w:val="BodyText"/>
        <w:jc w:val="both"/>
      </w:pPr>
    </w:p>
    <w:p w14:paraId="2DF34C7A" w14:textId="77777777" w:rsidR="00D6415B" w:rsidRPr="00435EAF" w:rsidRDefault="00D6415B" w:rsidP="00D6415B">
      <w:pPr>
        <w:pStyle w:val="BodyText"/>
        <w:jc w:val="both"/>
      </w:pPr>
    </w:p>
    <w:p w14:paraId="69C9AFEC" w14:textId="0C01D1DD" w:rsidR="00D6415B" w:rsidRPr="00435EAF" w:rsidRDefault="00D6415B" w:rsidP="00280745">
      <w:pPr>
        <w:pStyle w:val="BodyText"/>
        <w:jc w:val="both"/>
      </w:pPr>
      <w:r w:rsidRPr="00435EAF">
        <w:rPr>
          <w:noProof/>
        </w:rPr>
        <w:lastRenderedPageBreak/>
        <w:drawing>
          <wp:anchor distT="0" distB="0" distL="114300" distR="114300" simplePos="0" relativeHeight="251647488" behindDoc="0" locked="0" layoutInCell="0" allowOverlap="1" wp14:anchorId="7141EBFB" wp14:editId="2B02383B">
            <wp:simplePos x="0" y="0"/>
            <wp:positionH relativeFrom="column">
              <wp:posOffset>0</wp:posOffset>
            </wp:positionH>
            <wp:positionV relativeFrom="paragraph">
              <wp:posOffset>0</wp:posOffset>
            </wp:positionV>
            <wp:extent cx="5311140" cy="3276600"/>
            <wp:effectExtent l="0" t="0" r="0" b="0"/>
            <wp:wrapTopAndBottom/>
            <wp:docPr id="67" name="Picture 497" descr="Non-linear composite modulus 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497" descr="Non-linear composite modulus plot"/>
                    <pic:cNvPicPr>
                      <a:picLocks noChangeAspect="1" noChangeArrowheads="1"/>
                    </pic:cNvPicPr>
                  </pic:nvPicPr>
                  <pic:blipFill>
                    <a:blip r:embed="rId450" cstate="print"/>
                    <a:srcRect/>
                    <a:stretch>
                      <a:fillRect/>
                    </a:stretch>
                  </pic:blipFill>
                  <pic:spPr bwMode="auto">
                    <a:xfrm>
                      <a:off x="0" y="0"/>
                      <a:ext cx="5311140" cy="3276600"/>
                    </a:xfrm>
                    <a:prstGeom prst="rect">
                      <a:avLst/>
                    </a:prstGeom>
                    <a:noFill/>
                    <a:ln w="9525">
                      <a:noFill/>
                      <a:miter lim="800000"/>
                      <a:headEnd/>
                      <a:tailEnd/>
                    </a:ln>
                  </pic:spPr>
                </pic:pic>
              </a:graphicData>
            </a:graphic>
          </wp:anchor>
        </w:drawing>
      </w:r>
      <w:r w:rsidRPr="00435EAF">
        <w:t xml:space="preserve">Knowledge of the expected FWD data analysis tool and its specific technique for estimating the subgrade modulus </w:t>
      </w:r>
      <w:r w:rsidR="000B449B">
        <w:t>is</w:t>
      </w:r>
      <w:r w:rsidR="000B449B" w:rsidRPr="00435EAF">
        <w:t xml:space="preserve"> </w:t>
      </w:r>
      <w:r w:rsidRPr="00435EAF">
        <w:t xml:space="preserve">necessary when evaluating composite modulus plots.  Most FWD data analysis tools use some type of combination of the outer sensor deflection and algorithms to estimate the subgrade modulus.  </w:t>
      </w:r>
    </w:p>
    <w:p w14:paraId="796EE0A3" w14:textId="7AF9973C" w:rsidR="00D6415B" w:rsidRPr="00435EAF" w:rsidRDefault="00D6415B" w:rsidP="00D6415B">
      <w:pPr>
        <w:pStyle w:val="BodyText"/>
        <w:jc w:val="both"/>
      </w:pPr>
      <w:r w:rsidRPr="00435EAF">
        <w:t>In the case that a non-linear subgrade is present, the estimated subgrade modulus would be too great if the last sensor were used in the calculation.  The last sensor reading from a test point with a non-linear subgrade would be falsely greater because of the soil behaving differently at varying loads.  In the case of a pavement structure with a non-linear subgrade as we have in the previous plot, the subgrade modulus estimated from data collected from the sensor at 36</w:t>
      </w:r>
      <w:r w:rsidR="000B449B">
        <w:t>"</w:t>
      </w:r>
      <w:r w:rsidRPr="00435EAF">
        <w:t xml:space="preserve"> would produce a more representative subgrade modulus.  The sensor reading at 36</w:t>
      </w:r>
      <w:r w:rsidR="000B449B">
        <w:t>"</w:t>
      </w:r>
      <w:r w:rsidRPr="00435EAF">
        <w:t xml:space="preserve"> provides a deflection based on the soil behaving with the highest encountered load.  </w:t>
      </w:r>
    </w:p>
    <w:p w14:paraId="2DACC4F4" w14:textId="542BC8AA" w:rsidR="00D6415B" w:rsidRDefault="00D6415B" w:rsidP="00722B46">
      <w:pPr>
        <w:pStyle w:val="BodyText"/>
        <w:spacing w:after="0"/>
        <w:jc w:val="both"/>
        <w:rPr>
          <w:szCs w:val="22"/>
        </w:rPr>
      </w:pPr>
      <w:r w:rsidRPr="00435EAF">
        <w:t>In the case of the non-linear subgrade shown in the previous plot, the last 2 sensors would not be used in the analysis to develop layer properties.  Typically, all software applications used for FWD data analysis need at least sensors out to 36</w:t>
      </w:r>
      <w:r w:rsidR="000B449B">
        <w:t>"</w:t>
      </w:r>
      <w:r w:rsidRPr="00435EAF">
        <w:t xml:space="preserve"> in order to perform their internal algorithms.</w:t>
      </w:r>
      <w:r w:rsidRPr="00563535">
        <w:rPr>
          <w:szCs w:val="22"/>
        </w:rPr>
        <w:t xml:space="preserve"> </w:t>
      </w:r>
    </w:p>
    <w:p w14:paraId="4F90744A" w14:textId="77777777" w:rsidR="000B449B" w:rsidRPr="00115674" w:rsidRDefault="000B449B" w:rsidP="00722B46">
      <w:pPr>
        <w:pStyle w:val="BodyText"/>
        <w:spacing w:after="0"/>
        <w:jc w:val="both"/>
      </w:pPr>
    </w:p>
    <w:p w14:paraId="72EFD6FB" w14:textId="77777777" w:rsidR="00D6415B" w:rsidRPr="00435EAF" w:rsidRDefault="00D6415B" w:rsidP="00172E64">
      <w:pPr>
        <w:pStyle w:val="Heading5"/>
        <w:numPr>
          <w:ilvl w:val="4"/>
          <w:numId w:val="185"/>
        </w:numPr>
        <w:tabs>
          <w:tab w:val="clear" w:pos="1080"/>
          <w:tab w:val="left" w:pos="1800"/>
        </w:tabs>
        <w:ind w:left="0" w:firstLine="0"/>
        <w:jc w:val="both"/>
      </w:pPr>
      <w:r w:rsidRPr="00435EAF">
        <w:t>Delineate Distinct Sections</w:t>
      </w:r>
    </w:p>
    <w:p w14:paraId="7617438E" w14:textId="77777777" w:rsidR="00D6415B" w:rsidRPr="00F53742" w:rsidRDefault="00D6415B" w:rsidP="00D6415B">
      <w:pPr>
        <w:pStyle w:val="BodyText"/>
        <w:jc w:val="both"/>
      </w:pPr>
      <w:r w:rsidRPr="00435EAF">
        <w:t xml:space="preserve">The FWD </w:t>
      </w:r>
      <w:r w:rsidRPr="00F53742">
        <w:t>data collection software stores both test type and specific test point header information.  The header information can be used to sort out specific details of a particular test point or a group of similar test points.  The ability to sort out particular tests allows the pavement designer to analyze specific data points or areas of interest for rehabilitation design.  This type of header information includes, but is not limited to, the following:</w:t>
      </w:r>
    </w:p>
    <w:p w14:paraId="75879FD6" w14:textId="77777777" w:rsidR="00D6415B" w:rsidRPr="00F53742" w:rsidRDefault="00D6415B" w:rsidP="00722B46">
      <w:pPr>
        <w:pStyle w:val="BodyText"/>
        <w:numPr>
          <w:ilvl w:val="0"/>
          <w:numId w:val="15"/>
        </w:numPr>
        <w:tabs>
          <w:tab w:val="clear" w:pos="360"/>
          <w:tab w:val="num" w:pos="720"/>
        </w:tabs>
        <w:spacing w:after="0"/>
        <w:ind w:left="720" w:hanging="720"/>
        <w:jc w:val="both"/>
      </w:pPr>
      <w:r w:rsidRPr="00F53742">
        <w:t>Test Type – Joint, Basin, Void, Subgrade</w:t>
      </w:r>
    </w:p>
    <w:p w14:paraId="6F0BBB51" w14:textId="2EBE02F1" w:rsidR="00D6415B" w:rsidRPr="00F53742" w:rsidRDefault="00D6415B" w:rsidP="00722B46">
      <w:pPr>
        <w:pStyle w:val="BodyText"/>
        <w:numPr>
          <w:ilvl w:val="0"/>
          <w:numId w:val="15"/>
        </w:numPr>
        <w:tabs>
          <w:tab w:val="clear" w:pos="360"/>
          <w:tab w:val="num" w:pos="720"/>
        </w:tabs>
        <w:spacing w:after="0"/>
        <w:ind w:left="720" w:hanging="720"/>
        <w:jc w:val="both"/>
      </w:pPr>
      <w:r w:rsidRPr="00F53742">
        <w:t>Test Lane – 1, 2, 3</w:t>
      </w:r>
      <w:r w:rsidR="005D15DA">
        <w:t>, .</w:t>
      </w:r>
      <w:r w:rsidRPr="00F53742">
        <w:t>..</w:t>
      </w:r>
    </w:p>
    <w:p w14:paraId="301E05E4" w14:textId="77777777" w:rsidR="00D6415B" w:rsidRPr="00F53742" w:rsidRDefault="00D6415B" w:rsidP="00722B46">
      <w:pPr>
        <w:pStyle w:val="BodyText"/>
        <w:numPr>
          <w:ilvl w:val="0"/>
          <w:numId w:val="15"/>
        </w:numPr>
        <w:tabs>
          <w:tab w:val="clear" w:pos="360"/>
          <w:tab w:val="num" w:pos="720"/>
        </w:tabs>
        <w:spacing w:after="0"/>
        <w:ind w:left="720" w:hanging="720"/>
        <w:jc w:val="both"/>
      </w:pPr>
      <w:r w:rsidRPr="00F53742">
        <w:t>Field Comments – FWD operator provides input about particular test point operations and pavement conditions</w:t>
      </w:r>
    </w:p>
    <w:p w14:paraId="0AD4D239" w14:textId="77777777" w:rsidR="00D6415B" w:rsidRPr="00722B46" w:rsidRDefault="00D6415B" w:rsidP="00172E64">
      <w:pPr>
        <w:pStyle w:val="Heading6"/>
        <w:numPr>
          <w:ilvl w:val="5"/>
          <w:numId w:val="185"/>
        </w:numPr>
        <w:tabs>
          <w:tab w:val="left" w:pos="1800"/>
        </w:tabs>
        <w:spacing w:before="120"/>
        <w:ind w:left="1152"/>
        <w:rPr>
          <w:b/>
        </w:rPr>
      </w:pPr>
      <w:r w:rsidRPr="00722B46">
        <w:rPr>
          <w:b/>
        </w:rPr>
        <w:lastRenderedPageBreak/>
        <w:t>Normalized Deflection Plots</w:t>
      </w:r>
    </w:p>
    <w:p w14:paraId="219198BE" w14:textId="36DA964A" w:rsidR="00D6415B" w:rsidRPr="00F53742" w:rsidRDefault="00280745" w:rsidP="00D6415B">
      <w:pPr>
        <w:pStyle w:val="BodyText"/>
        <w:jc w:val="both"/>
      </w:pPr>
      <w:r>
        <w:rPr>
          <w:noProof/>
        </w:rPr>
        <w:drawing>
          <wp:anchor distT="0" distB="0" distL="114300" distR="114300" simplePos="0" relativeHeight="251648512" behindDoc="0" locked="0" layoutInCell="0" allowOverlap="1" wp14:anchorId="6B4F7C3F" wp14:editId="37A75570">
            <wp:simplePos x="0" y="0"/>
            <wp:positionH relativeFrom="column">
              <wp:posOffset>106680</wp:posOffset>
            </wp:positionH>
            <wp:positionV relativeFrom="paragraph">
              <wp:posOffset>1786890</wp:posOffset>
            </wp:positionV>
            <wp:extent cx="5296535" cy="2725420"/>
            <wp:effectExtent l="0" t="0" r="0" b="0"/>
            <wp:wrapTopAndBottom/>
            <wp:docPr id="83" name="Picture 498" descr="Normalized deflection vs station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498" descr="Normalized deflection vs station chart"/>
                    <pic:cNvPicPr>
                      <a:picLocks noChangeAspect="1" noChangeArrowheads="1"/>
                    </pic:cNvPicPr>
                  </pic:nvPicPr>
                  <pic:blipFill>
                    <a:blip r:embed="rId451" cstate="print"/>
                    <a:srcRect/>
                    <a:stretch>
                      <a:fillRect/>
                    </a:stretch>
                  </pic:blipFill>
                  <pic:spPr bwMode="auto">
                    <a:xfrm>
                      <a:off x="0" y="0"/>
                      <a:ext cx="5296535" cy="2725420"/>
                    </a:xfrm>
                    <a:prstGeom prst="rect">
                      <a:avLst/>
                    </a:prstGeom>
                    <a:noFill/>
                    <a:ln w="9525">
                      <a:noFill/>
                      <a:miter lim="800000"/>
                      <a:headEnd/>
                      <a:tailEnd/>
                    </a:ln>
                  </pic:spPr>
                </pic:pic>
              </a:graphicData>
            </a:graphic>
          </wp:anchor>
        </w:drawing>
      </w:r>
      <w:r w:rsidR="00D6415B" w:rsidRPr="00F53742">
        <w:t xml:space="preserve">In addition to header information, the normalized deflection data can be used to delineate similar sections of project for FWD data analysis.  The response of a pavement structure to a simulated traffic load can be used to identify thickness variations and areas of variability in material strengths.  Variability in the pavement layer properties can be </w:t>
      </w:r>
      <w:r w:rsidR="000B449B">
        <w:t>seen</w:t>
      </w:r>
      <w:r w:rsidR="000B449B" w:rsidRPr="00F53742">
        <w:t xml:space="preserve"> </w:t>
      </w:r>
      <w:r w:rsidR="00D6415B" w:rsidRPr="00F53742">
        <w:t xml:space="preserve">by observing a plot of the normalized deflections versus station.  To better view the variations in material properties, each sensor can be viewed in a plot or only selected sensors.  The most critical sensors to view in a normalized deflection plot are the sensors at the load plate and the sensor farthest away from the load.  These two provide an indication of the overall pavement structure (load plate sensor) and of the subgrade (farthest sensor).  The following plots are examples of normalized deflection plots versus station.  </w:t>
      </w:r>
    </w:p>
    <w:p w14:paraId="699D882A" w14:textId="77777777" w:rsidR="00D6415B" w:rsidRPr="00F53742" w:rsidRDefault="00D6415B" w:rsidP="00280745">
      <w:pPr>
        <w:pStyle w:val="BodyText"/>
        <w:jc w:val="both"/>
      </w:pPr>
    </w:p>
    <w:p w14:paraId="5B7D969D" w14:textId="47810423" w:rsidR="00D6415B" w:rsidRPr="00F53742" w:rsidRDefault="000B449B" w:rsidP="00722B46">
      <w:pPr>
        <w:pStyle w:val="BodyText"/>
        <w:jc w:val="center"/>
      </w:pPr>
      <w:r>
        <w:rPr>
          <w:noProof/>
        </w:rPr>
        <w:drawing>
          <wp:inline distT="0" distB="0" distL="0" distR="0" wp14:anchorId="6B4FC18A" wp14:editId="01762158">
            <wp:extent cx="5313872" cy="2855343"/>
            <wp:effectExtent l="0" t="0" r="0" b="0"/>
            <wp:docPr id="165" name="Picture 499" descr="Normalized deflection vs station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499" descr="Normalized deflection vs station chart"/>
                    <pic:cNvPicPr>
                      <a:picLocks noChangeAspect="1" noChangeArrowheads="1"/>
                    </pic:cNvPicPr>
                  </pic:nvPicPr>
                  <pic:blipFill>
                    <a:blip r:embed="rId452" cstate="print"/>
                    <a:srcRect/>
                    <a:stretch>
                      <a:fillRect/>
                    </a:stretch>
                  </pic:blipFill>
                  <pic:spPr bwMode="auto">
                    <a:xfrm>
                      <a:off x="0" y="0"/>
                      <a:ext cx="5313872" cy="2855343"/>
                    </a:xfrm>
                    <a:prstGeom prst="rect">
                      <a:avLst/>
                    </a:prstGeom>
                    <a:noFill/>
                    <a:ln w="9525">
                      <a:noFill/>
                      <a:miter lim="800000"/>
                      <a:headEnd/>
                      <a:tailEnd/>
                    </a:ln>
                  </pic:spPr>
                </pic:pic>
              </a:graphicData>
            </a:graphic>
          </wp:inline>
        </w:drawing>
      </w:r>
    </w:p>
    <w:p w14:paraId="7C07D953" w14:textId="6A45EDCB" w:rsidR="00D6415B" w:rsidRPr="00F53742" w:rsidRDefault="00D6415B" w:rsidP="00722B46">
      <w:pPr>
        <w:pStyle w:val="BodyText"/>
      </w:pPr>
    </w:p>
    <w:p w14:paraId="50534ED7" w14:textId="7AC46175" w:rsidR="00D6415B" w:rsidRPr="00F53742" w:rsidRDefault="00D6415B" w:rsidP="00D6415B">
      <w:pPr>
        <w:pStyle w:val="BodyText"/>
        <w:jc w:val="both"/>
      </w:pPr>
      <w:r w:rsidRPr="00F53742">
        <w:lastRenderedPageBreak/>
        <w:t xml:space="preserve">The #1 normalized deflection plot is a typical plot for a consistent pavement structure throughout the testing limits.  The #2 normalized deflection plot is a roadway that has a distinct pavement thickness or pavement material strength change from approximately Station 10+00 to 24+00.  The pavement thickness is thicker or the material strength is greater </w:t>
      </w:r>
      <w:r w:rsidR="005B2C50" w:rsidRPr="00F53742">
        <w:t xml:space="preserve">than the surrounding pavement </w:t>
      </w:r>
      <w:r w:rsidRPr="00F53742">
        <w:t xml:space="preserve">from Station 10+00 to 24+00, based on the deflections in this area being significantly less.  The pavement designer should analyze these sections separately.    </w:t>
      </w:r>
    </w:p>
    <w:p w14:paraId="270466F9" w14:textId="5ADBB7C5" w:rsidR="00D6415B" w:rsidRDefault="00D6415B" w:rsidP="00D6415B">
      <w:pPr>
        <w:pStyle w:val="BodyText"/>
        <w:jc w:val="both"/>
      </w:pPr>
      <w:r w:rsidRPr="00F53742">
        <w:t xml:space="preserve">In many cases, the normalized deflection versus station plot does not show a pavement material variation as distinctly as in </w:t>
      </w:r>
      <w:r w:rsidR="005B2C50">
        <w:t>P</w:t>
      </w:r>
      <w:r w:rsidRPr="00F53742">
        <w:t xml:space="preserve">lot #2 from above. </w:t>
      </w:r>
      <w:r w:rsidR="005B2C50">
        <w:t xml:space="preserve"> </w:t>
      </w:r>
      <w:r w:rsidRPr="00F53742">
        <w:t>The normalized deflection plots can have more data noise and variation from point to point</w:t>
      </w:r>
      <w:r w:rsidR="005B2C50">
        <w:t>,</w:t>
      </w:r>
      <w:r w:rsidRPr="00F53742">
        <w:t xml:space="preserve"> making identification of a separate performing section difficult, especially with numerous consecutive data points.  </w:t>
      </w:r>
    </w:p>
    <w:p w14:paraId="6EEF2244" w14:textId="77777777" w:rsidR="00D6415B" w:rsidRPr="00722B46" w:rsidRDefault="00D6415B" w:rsidP="00172E64">
      <w:pPr>
        <w:pStyle w:val="Heading6"/>
        <w:numPr>
          <w:ilvl w:val="5"/>
          <w:numId w:val="185"/>
        </w:numPr>
        <w:tabs>
          <w:tab w:val="left" w:pos="1800"/>
        </w:tabs>
        <w:ind w:left="1152"/>
        <w:rPr>
          <w:b/>
        </w:rPr>
      </w:pPr>
      <w:r w:rsidRPr="00722B46">
        <w:rPr>
          <w:b/>
        </w:rPr>
        <w:t>Cumulative Sum of Deflection Plots</w:t>
      </w:r>
    </w:p>
    <w:p w14:paraId="6702734D" w14:textId="77777777" w:rsidR="00D6415B" w:rsidRPr="005F0F40" w:rsidRDefault="00D6415B" w:rsidP="00D6415B">
      <w:pPr>
        <w:pStyle w:val="BodyText"/>
        <w:jc w:val="both"/>
      </w:pPr>
      <w:r>
        <w:t>Fortunately</w:t>
      </w:r>
      <w:r w:rsidRPr="00F53742">
        <w:t>, there is an algorithm using the average deflection within a test section to develop a plot to determine unique pavement sections.  The algorithm method is called cumulative sum.  The cumulative sum of deflection method is recommended by AASHTO to delineate section</w:t>
      </w:r>
      <w:r>
        <w:t>s</w:t>
      </w:r>
      <w:r w:rsidRPr="00F53742">
        <w:t xml:space="preserve"> based on FWD data and is outlined in Appendix J of the “1993 A</w:t>
      </w:r>
      <w:r w:rsidRPr="005F0F40">
        <w:t xml:space="preserve">ASHTO Guide for the Design of Pavement Structures.” </w:t>
      </w:r>
    </w:p>
    <w:p w14:paraId="640E40B0" w14:textId="3A25DA8E" w:rsidR="00D6415B" w:rsidRPr="005F0F40" w:rsidRDefault="00D6415B" w:rsidP="00D6415B">
      <w:pPr>
        <w:pStyle w:val="BodyText"/>
        <w:jc w:val="both"/>
      </w:pPr>
      <w:r w:rsidRPr="005F0F40">
        <w:t>The cumulative sum algorithm produces a function for interpreting trends in the pavement structure from FWD deflection data.  Calculating the average deflection for each sensor for all the test points within a test section is the first step in the cumulative sum algorithm.  A substantial number of test points are needed</w:t>
      </w:r>
      <w:r w:rsidR="005B2C50" w:rsidRPr="005F0F40">
        <w:t>, at least 30,</w:t>
      </w:r>
      <w:r w:rsidR="005B2C50">
        <w:t xml:space="preserve"> </w:t>
      </w:r>
      <w:r w:rsidRPr="005F0F40">
        <w:t xml:space="preserve">in order to develop a stable average and make the algorithm statistically significant.  </w:t>
      </w:r>
    </w:p>
    <w:p w14:paraId="11D49979" w14:textId="75DC6009" w:rsidR="00D6415B" w:rsidRPr="005F0F40" w:rsidRDefault="00A07F51" w:rsidP="00D6415B">
      <w:pPr>
        <w:pStyle w:val="BodyText"/>
        <w:jc w:val="both"/>
      </w:pPr>
      <w:r>
        <w:rPr>
          <w:noProof/>
        </w:rPr>
        <w:drawing>
          <wp:anchor distT="0" distB="0" distL="114300" distR="114300" simplePos="0" relativeHeight="251649536" behindDoc="0" locked="0" layoutInCell="0" allowOverlap="1" wp14:anchorId="64B9E833" wp14:editId="3213D7FD">
            <wp:simplePos x="0" y="0"/>
            <wp:positionH relativeFrom="column">
              <wp:posOffset>285750</wp:posOffset>
            </wp:positionH>
            <wp:positionV relativeFrom="paragraph">
              <wp:posOffset>1226185</wp:posOffset>
            </wp:positionV>
            <wp:extent cx="5073650" cy="2964815"/>
            <wp:effectExtent l="0" t="0" r="0" b="0"/>
            <wp:wrapTopAndBottom/>
            <wp:docPr id="87" name="Picture 500" descr="Cumulative sum of deflection plots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500" descr="Cumulative sum of deflection plots chart"/>
                    <pic:cNvPicPr>
                      <a:picLocks noChangeAspect="1" noChangeArrowheads="1"/>
                    </pic:cNvPicPr>
                  </pic:nvPicPr>
                  <pic:blipFill>
                    <a:blip r:embed="rId453" cstate="print"/>
                    <a:srcRect/>
                    <a:stretch>
                      <a:fillRect/>
                    </a:stretch>
                  </pic:blipFill>
                  <pic:spPr bwMode="auto">
                    <a:xfrm>
                      <a:off x="0" y="0"/>
                      <a:ext cx="5073650" cy="29648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D6415B" w:rsidRPr="005F0F40">
        <w:t xml:space="preserve">The next step involves stepping through each test point and summing up the deflections.  At each test point and sensor, the cumulative sum of the deflection is compared to the average deflection for that sensor multiplied by the total number of test points at that location.  This cumulative difference is then plotted versus station.  Upon viewing this plot, </w:t>
      </w:r>
      <w:r w:rsidR="00D6415B" w:rsidRPr="005F0F40">
        <w:rPr>
          <w:b/>
        </w:rPr>
        <w:t>it is highly probable that there is a change in pavement properties at locations in the plot where the slope significantly changes.</w:t>
      </w:r>
      <w:r w:rsidR="00D6415B" w:rsidRPr="005F0F40">
        <w:t xml:space="preserve">  The following plot shows an example of </w:t>
      </w:r>
      <w:r w:rsidR="005B2C50">
        <w:t xml:space="preserve">a </w:t>
      </w:r>
      <w:r w:rsidR="00D6415B" w:rsidRPr="005F0F40">
        <w:t xml:space="preserve">typical cumulative sum. </w:t>
      </w:r>
    </w:p>
    <w:p w14:paraId="28620CDF" w14:textId="6A480D2C" w:rsidR="00D6415B" w:rsidRPr="0057745B" w:rsidRDefault="00D6415B" w:rsidP="00722B46">
      <w:pPr>
        <w:pStyle w:val="BodyText"/>
        <w:spacing w:after="0"/>
        <w:jc w:val="both"/>
      </w:pPr>
      <w:r w:rsidRPr="005F0F40">
        <w:lastRenderedPageBreak/>
        <w:t>As with the normalized deflection plot, the cumulative sum plot can be done for any of the sensor locations, but the sensor</w:t>
      </w:r>
      <w:r w:rsidR="005B2C50">
        <w:t>s</w:t>
      </w:r>
      <w:r w:rsidRPr="005F0F40">
        <w:t xml:space="preserve"> at the load and farthest from the load are the most important to view initially.  In the case of the plot above, two statistically homogeneous units can be identified.  The change in pavement material properties is at approximately </w:t>
      </w:r>
      <w:r w:rsidR="005B2C50">
        <w:t>S</w:t>
      </w:r>
      <w:r w:rsidRPr="005F0F40">
        <w:t>tation 32+50.  This change could be a difference in thickness or material strength properties.  In either case, cores taken in both sections would verify the case and allow the pavement designer to analyze these sections separately for design.</w:t>
      </w:r>
    </w:p>
    <w:p w14:paraId="54949A42" w14:textId="77777777" w:rsidR="00D6415B" w:rsidRPr="0057745B" w:rsidRDefault="00D6415B" w:rsidP="00D6415B">
      <w:pPr>
        <w:jc w:val="both"/>
        <w:rPr>
          <w:rFonts w:ascii="Arial" w:hAnsi="Arial"/>
        </w:rPr>
      </w:pPr>
    </w:p>
    <w:p w14:paraId="63EEA83F" w14:textId="77777777" w:rsidR="00D6415B" w:rsidRPr="0057745B" w:rsidRDefault="00D6415B" w:rsidP="00172E64">
      <w:pPr>
        <w:pStyle w:val="Heading4"/>
        <w:numPr>
          <w:ilvl w:val="3"/>
          <w:numId w:val="185"/>
        </w:numPr>
        <w:tabs>
          <w:tab w:val="left" w:pos="1800"/>
        </w:tabs>
        <w:ind w:left="0" w:firstLine="0"/>
        <w:jc w:val="both"/>
      </w:pPr>
      <w:r w:rsidRPr="0057745B">
        <w:t>Analysis of FWD Data</w:t>
      </w:r>
    </w:p>
    <w:p w14:paraId="55B963A9" w14:textId="4BB8BF2E" w:rsidR="00D6415B" w:rsidRPr="0057745B" w:rsidRDefault="00D6415B" w:rsidP="00D6415B">
      <w:pPr>
        <w:pStyle w:val="BodyText"/>
        <w:jc w:val="both"/>
      </w:pPr>
      <w:r w:rsidRPr="0057745B">
        <w:t>The analysis of FWD data involves evaluating the measured load and resulting deflections to determine the material properties of the pavement structure.  A typical “forward” material calculation requires knowledge of the material properties</w:t>
      </w:r>
      <w:r w:rsidR="005B2C50">
        <w:t>,</w:t>
      </w:r>
      <w:r w:rsidRPr="0057745B">
        <w:t xml:space="preserve"> and the deflection is estimated based on the applied load.  The use of FWD requires a “back” calculation method because the deflections and load are known and the material properties are estimated.  This method of obtaining the material response and estimating the material properties is called “backcalculation.” </w:t>
      </w:r>
    </w:p>
    <w:p w14:paraId="44311E04" w14:textId="692E3C94" w:rsidR="00D6415B" w:rsidRPr="0057745B" w:rsidRDefault="00D6415B" w:rsidP="00D6415B">
      <w:pPr>
        <w:pStyle w:val="BodyText"/>
        <w:jc w:val="both"/>
      </w:pPr>
      <w:r w:rsidRPr="0057745B">
        <w:t>The FWD applies a simulated dual tire load to the pavement through a 12</w:t>
      </w:r>
      <w:r w:rsidR="005B2C50">
        <w:t>"</w:t>
      </w:r>
      <w:r w:rsidRPr="0057745B">
        <w:t xml:space="preserve"> diameter circular load plate for paved surfaces.  The amount of load a particular pavement layer experiences is based on the depth of the layer in the pavement structure.  The deeper a pavement layer is in the pavement structure, the less the amount of stress the layer is subjected to from the load.  This decreasing stress is a result of the vertical load being distributed outwardly in a stress zone down and out from the load plate into the pavement structure.      </w:t>
      </w:r>
    </w:p>
    <w:p w14:paraId="2B594E34" w14:textId="2DD6F3AD" w:rsidR="00D6415B" w:rsidRPr="0057745B" w:rsidRDefault="00D6415B" w:rsidP="00D6415B">
      <w:pPr>
        <w:pStyle w:val="BodyText"/>
        <w:jc w:val="both"/>
      </w:pPr>
      <w:r w:rsidRPr="0057745B">
        <w:t>The distribution of FWD load allows the individual pavement layer properties to be estimated through backcalculation.  From the load plate, the load is distributed outwardly and down into the pavement structure at approximately a 30</w:t>
      </w:r>
      <w:r w:rsidRPr="0057745B">
        <w:sym w:font="Symbol" w:char="F0B0"/>
      </w:r>
      <w:r w:rsidRPr="0057745B">
        <w:t xml:space="preserve"> angle.  This angle varies depending on the various layer properties.  Directly under the load plate, the sensor deflection reading provides an indication of the layer properties of all the pavement layers at that point.  The sensor deflection readings f</w:t>
      </w:r>
      <w:r w:rsidR="005B2C50">
        <w:t>a</w:t>
      </w:r>
      <w:r w:rsidRPr="0057745B">
        <w:t>rther away from the load plate provide an indication of the layer properties of the pavement layers deeper into the pavement at that point.  This concept is presented in the following figure.</w:t>
      </w:r>
    </w:p>
    <w:p w14:paraId="1C19F710" w14:textId="1FB3DCB4" w:rsidR="00D6415B" w:rsidRPr="0057745B" w:rsidRDefault="004D64A3" w:rsidP="00D6415B">
      <w:pPr>
        <w:pStyle w:val="BodyText"/>
      </w:pPr>
      <w:r>
        <w:rPr>
          <w:noProof/>
        </w:rPr>
        <mc:AlternateContent>
          <mc:Choice Requires="wpg">
            <w:drawing>
              <wp:anchor distT="0" distB="0" distL="114300" distR="114300" simplePos="0" relativeHeight="251835904" behindDoc="0" locked="0" layoutInCell="0" allowOverlap="1" wp14:anchorId="6CEF99C1" wp14:editId="6B75ED9A">
                <wp:simplePos x="0" y="0"/>
                <wp:positionH relativeFrom="column">
                  <wp:posOffset>-50800</wp:posOffset>
                </wp:positionH>
                <wp:positionV relativeFrom="paragraph">
                  <wp:posOffset>99255</wp:posOffset>
                </wp:positionV>
                <wp:extent cx="5651500" cy="2598420"/>
                <wp:effectExtent l="15875" t="0" r="9525" b="12065"/>
                <wp:wrapNone/>
                <wp:docPr id="336" name="Group 4329" descr="FWD data analysis load plate and sensors diagram"/>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00" cy="2598420"/>
                          <a:chOff x="1720" y="2100"/>
                          <a:chExt cx="8900" cy="4540"/>
                        </a:xfrm>
                      </wpg:grpSpPr>
                      <wps:wsp>
                        <wps:cNvPr id="337" name="Text Box 4330"/>
                        <wps:cNvSpPr txBox="1">
                          <a:spLocks noChangeArrowheads="1"/>
                        </wps:cNvSpPr>
                        <wps:spPr bwMode="auto">
                          <a:xfrm>
                            <a:off x="8800" y="3720"/>
                            <a:ext cx="1340"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043E59" w14:textId="77777777" w:rsidR="009C1A5C" w:rsidRDefault="009C1A5C" w:rsidP="00D6415B">
                              <w:r>
                                <w:t xml:space="preserve">HMA/PCC </w:t>
                              </w:r>
                            </w:p>
                          </w:txbxContent>
                        </wps:txbx>
                        <wps:bodyPr rot="0" vert="horz" wrap="square" lIns="91440" tIns="45720" rIns="91440" bIns="45720" anchor="t" anchorCtr="0" upright="1">
                          <a:noAutofit/>
                        </wps:bodyPr>
                      </wps:wsp>
                      <wps:wsp>
                        <wps:cNvPr id="338" name="Line 4331"/>
                        <wps:cNvCnPr>
                          <a:cxnSpLocks noChangeShapeType="1"/>
                        </wps:cNvCnPr>
                        <wps:spPr bwMode="auto">
                          <a:xfrm>
                            <a:off x="1780" y="3560"/>
                            <a:ext cx="87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 name="Line 4332"/>
                        <wps:cNvCnPr>
                          <a:cxnSpLocks noChangeShapeType="1"/>
                        </wps:cNvCnPr>
                        <wps:spPr bwMode="auto">
                          <a:xfrm>
                            <a:off x="2000" y="5560"/>
                            <a:ext cx="8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Freeform 4333"/>
                        <wps:cNvSpPr>
                          <a:spLocks/>
                        </wps:cNvSpPr>
                        <wps:spPr bwMode="auto">
                          <a:xfrm>
                            <a:off x="10377" y="3540"/>
                            <a:ext cx="243" cy="2955"/>
                          </a:xfrm>
                          <a:custGeom>
                            <a:avLst/>
                            <a:gdLst>
                              <a:gd name="T0" fmla="*/ 143 w 186"/>
                              <a:gd name="T1" fmla="*/ 1200 h 1235"/>
                              <a:gd name="T2" fmla="*/ 83 w 186"/>
                              <a:gd name="T3" fmla="*/ 1080 h 1235"/>
                              <a:gd name="T4" fmla="*/ 23 w 186"/>
                              <a:gd name="T5" fmla="*/ 960 h 1235"/>
                              <a:gd name="T6" fmla="*/ 163 w 186"/>
                              <a:gd name="T7" fmla="*/ 560 h 1235"/>
                              <a:gd name="T8" fmla="*/ 143 w 186"/>
                              <a:gd name="T9" fmla="*/ 160 h 1235"/>
                              <a:gd name="T10" fmla="*/ 103 w 186"/>
                              <a:gd name="T11" fmla="*/ 0 h 1235"/>
                            </a:gdLst>
                            <a:ahLst/>
                            <a:cxnLst>
                              <a:cxn ang="0">
                                <a:pos x="T0" y="T1"/>
                              </a:cxn>
                              <a:cxn ang="0">
                                <a:pos x="T2" y="T3"/>
                              </a:cxn>
                              <a:cxn ang="0">
                                <a:pos x="T4" y="T5"/>
                              </a:cxn>
                              <a:cxn ang="0">
                                <a:pos x="T6" y="T7"/>
                              </a:cxn>
                              <a:cxn ang="0">
                                <a:pos x="T8" y="T9"/>
                              </a:cxn>
                              <a:cxn ang="0">
                                <a:pos x="T10" y="T11"/>
                              </a:cxn>
                            </a:cxnLst>
                            <a:rect l="0" t="0" r="r" b="b"/>
                            <a:pathLst>
                              <a:path w="186" h="1235">
                                <a:moveTo>
                                  <a:pt x="143" y="1200"/>
                                </a:moveTo>
                                <a:cubicBezTo>
                                  <a:pt x="93" y="1049"/>
                                  <a:pt x="161" y="1235"/>
                                  <a:pt x="83" y="1080"/>
                                </a:cubicBezTo>
                                <a:cubicBezTo>
                                  <a:pt x="0" y="914"/>
                                  <a:pt x="138" y="1132"/>
                                  <a:pt x="23" y="960"/>
                                </a:cubicBezTo>
                                <a:cubicBezTo>
                                  <a:pt x="43" y="742"/>
                                  <a:pt x="21" y="702"/>
                                  <a:pt x="163" y="560"/>
                                </a:cubicBezTo>
                                <a:cubicBezTo>
                                  <a:pt x="186" y="421"/>
                                  <a:pt x="174" y="298"/>
                                  <a:pt x="143" y="160"/>
                                </a:cubicBezTo>
                                <a:cubicBezTo>
                                  <a:pt x="132" y="111"/>
                                  <a:pt x="103" y="50"/>
                                  <a:pt x="103"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 name="Freeform 4334"/>
                        <wps:cNvSpPr>
                          <a:spLocks/>
                        </wps:cNvSpPr>
                        <wps:spPr bwMode="auto">
                          <a:xfrm>
                            <a:off x="1720" y="3560"/>
                            <a:ext cx="220" cy="2900"/>
                          </a:xfrm>
                          <a:custGeom>
                            <a:avLst/>
                            <a:gdLst>
                              <a:gd name="T0" fmla="*/ 100 w 180"/>
                              <a:gd name="T1" fmla="*/ 1180 h 1180"/>
                              <a:gd name="T2" fmla="*/ 140 w 180"/>
                              <a:gd name="T3" fmla="*/ 1060 h 1180"/>
                              <a:gd name="T4" fmla="*/ 160 w 180"/>
                              <a:gd name="T5" fmla="*/ 1000 h 1180"/>
                              <a:gd name="T6" fmla="*/ 180 w 180"/>
                              <a:gd name="T7" fmla="*/ 940 h 1180"/>
                              <a:gd name="T8" fmla="*/ 140 w 180"/>
                              <a:gd name="T9" fmla="*/ 640 h 1180"/>
                              <a:gd name="T10" fmla="*/ 80 w 180"/>
                              <a:gd name="T11" fmla="*/ 520 h 1180"/>
                              <a:gd name="T12" fmla="*/ 0 w 180"/>
                              <a:gd name="T13" fmla="*/ 220 h 1180"/>
                              <a:gd name="T14" fmla="*/ 40 w 180"/>
                              <a:gd name="T15" fmla="*/ 0 h 118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80" h="1180">
                                <a:moveTo>
                                  <a:pt x="100" y="1180"/>
                                </a:moveTo>
                                <a:cubicBezTo>
                                  <a:pt x="113" y="1140"/>
                                  <a:pt x="127" y="1100"/>
                                  <a:pt x="140" y="1060"/>
                                </a:cubicBezTo>
                                <a:cubicBezTo>
                                  <a:pt x="147" y="1040"/>
                                  <a:pt x="153" y="1020"/>
                                  <a:pt x="160" y="1000"/>
                                </a:cubicBezTo>
                                <a:cubicBezTo>
                                  <a:pt x="167" y="980"/>
                                  <a:pt x="180" y="940"/>
                                  <a:pt x="180" y="940"/>
                                </a:cubicBezTo>
                                <a:cubicBezTo>
                                  <a:pt x="164" y="767"/>
                                  <a:pt x="175" y="764"/>
                                  <a:pt x="140" y="640"/>
                                </a:cubicBezTo>
                                <a:cubicBezTo>
                                  <a:pt x="96" y="487"/>
                                  <a:pt x="150" y="678"/>
                                  <a:pt x="80" y="520"/>
                                </a:cubicBezTo>
                                <a:cubicBezTo>
                                  <a:pt x="36" y="421"/>
                                  <a:pt x="17" y="325"/>
                                  <a:pt x="0" y="220"/>
                                </a:cubicBezTo>
                                <a:cubicBezTo>
                                  <a:pt x="10" y="159"/>
                                  <a:pt x="40" y="65"/>
                                  <a:pt x="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 name="Line 4335"/>
                        <wps:cNvCnPr>
                          <a:cxnSpLocks noChangeShapeType="1"/>
                        </wps:cNvCnPr>
                        <wps:spPr bwMode="auto">
                          <a:xfrm>
                            <a:off x="5380" y="3360"/>
                            <a:ext cx="1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3" name="Line 4336"/>
                        <wps:cNvCnPr>
                          <a:cxnSpLocks noChangeShapeType="1"/>
                        </wps:cNvCnPr>
                        <wps:spPr bwMode="auto">
                          <a:xfrm>
                            <a:off x="5380" y="3360"/>
                            <a:ext cx="0" cy="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 name="Line 4337"/>
                        <wps:cNvCnPr>
                          <a:cxnSpLocks noChangeShapeType="1"/>
                        </wps:cNvCnPr>
                        <wps:spPr bwMode="auto">
                          <a:xfrm>
                            <a:off x="6400" y="3360"/>
                            <a:ext cx="0" cy="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 name="Rectangle 4338"/>
                        <wps:cNvSpPr>
                          <a:spLocks noChangeArrowheads="1"/>
                        </wps:cNvSpPr>
                        <wps:spPr bwMode="auto">
                          <a:xfrm>
                            <a:off x="5820" y="3040"/>
                            <a:ext cx="160" cy="3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6" name="Rectangle 4339"/>
                        <wps:cNvSpPr>
                          <a:spLocks noChangeArrowheads="1"/>
                        </wps:cNvSpPr>
                        <wps:spPr bwMode="auto">
                          <a:xfrm>
                            <a:off x="7600" y="3240"/>
                            <a:ext cx="160" cy="3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7" name="Line 4340"/>
                        <wps:cNvCnPr>
                          <a:cxnSpLocks noChangeShapeType="1"/>
                        </wps:cNvCnPr>
                        <wps:spPr bwMode="auto">
                          <a:xfrm rot="11041188" flipH="1" flipV="1">
                            <a:off x="5444" y="2458"/>
                            <a:ext cx="71" cy="90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8" name="Text Box 4341"/>
                        <wps:cNvSpPr txBox="1">
                          <a:spLocks noChangeArrowheads="1"/>
                        </wps:cNvSpPr>
                        <wps:spPr bwMode="auto">
                          <a:xfrm>
                            <a:off x="8960" y="4640"/>
                            <a:ext cx="1360"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E3A06E" w14:textId="77777777" w:rsidR="009C1A5C" w:rsidRDefault="009C1A5C" w:rsidP="00D6415B">
                              <w:pPr>
                                <w:jc w:val="center"/>
                              </w:pPr>
                              <w:r>
                                <w:t>GAB/Base</w:t>
                              </w:r>
                            </w:p>
                          </w:txbxContent>
                        </wps:txbx>
                        <wps:bodyPr rot="0" vert="horz" wrap="square" lIns="91440" tIns="45720" rIns="91440" bIns="45720" anchor="t" anchorCtr="0" upright="1">
                          <a:noAutofit/>
                        </wps:bodyPr>
                      </wps:wsp>
                      <wps:wsp>
                        <wps:cNvPr id="349" name="Line 4342"/>
                        <wps:cNvCnPr>
                          <a:cxnSpLocks noChangeShapeType="1"/>
                        </wps:cNvCnPr>
                        <wps:spPr bwMode="auto">
                          <a:xfrm rot="11041188" flipV="1">
                            <a:off x="7066" y="2508"/>
                            <a:ext cx="1279" cy="79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0" name="Text Box 4343"/>
                        <wps:cNvSpPr txBox="1">
                          <a:spLocks noChangeArrowheads="1"/>
                        </wps:cNvSpPr>
                        <wps:spPr bwMode="auto">
                          <a:xfrm>
                            <a:off x="6300" y="2240"/>
                            <a:ext cx="1580"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248151" w14:textId="77777777" w:rsidR="009C1A5C" w:rsidRDefault="009C1A5C" w:rsidP="00D6415B">
                              <w:r>
                                <w:t>Sensor at 0”</w:t>
                              </w:r>
                            </w:p>
                          </w:txbxContent>
                        </wps:txbx>
                        <wps:bodyPr rot="0" vert="horz" wrap="square" lIns="91440" tIns="45720" rIns="91440" bIns="45720" anchor="t" anchorCtr="0" upright="1">
                          <a:noAutofit/>
                        </wps:bodyPr>
                      </wps:wsp>
                      <wps:wsp>
                        <wps:cNvPr id="351" name="Text Box 4344"/>
                        <wps:cNvSpPr txBox="1">
                          <a:spLocks noChangeArrowheads="1"/>
                        </wps:cNvSpPr>
                        <wps:spPr bwMode="auto">
                          <a:xfrm>
                            <a:off x="8320" y="2220"/>
                            <a:ext cx="1220"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9C8004" w14:textId="77777777" w:rsidR="009C1A5C" w:rsidRDefault="009C1A5C" w:rsidP="00D6415B">
                              <w:r>
                                <w:t>Sensors</w:t>
                              </w:r>
                            </w:p>
                          </w:txbxContent>
                        </wps:txbx>
                        <wps:bodyPr rot="0" vert="horz" wrap="square" lIns="91440" tIns="45720" rIns="91440" bIns="45720" anchor="t" anchorCtr="0" upright="1">
                          <a:noAutofit/>
                        </wps:bodyPr>
                      </wps:wsp>
                      <wps:wsp>
                        <wps:cNvPr id="480" name="Line 4345"/>
                        <wps:cNvCnPr>
                          <a:cxnSpLocks noChangeShapeType="1"/>
                        </wps:cNvCnPr>
                        <wps:spPr bwMode="auto">
                          <a:xfrm rot="11041188" flipV="1">
                            <a:off x="6036" y="2558"/>
                            <a:ext cx="399" cy="4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1" name="Rectangle 4346"/>
                        <wps:cNvSpPr>
                          <a:spLocks noChangeArrowheads="1"/>
                        </wps:cNvSpPr>
                        <wps:spPr bwMode="auto">
                          <a:xfrm>
                            <a:off x="6900" y="3240"/>
                            <a:ext cx="160" cy="3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2" name="Text Box 4347"/>
                        <wps:cNvSpPr txBox="1">
                          <a:spLocks noChangeArrowheads="1"/>
                        </wps:cNvSpPr>
                        <wps:spPr bwMode="auto">
                          <a:xfrm>
                            <a:off x="4900" y="2100"/>
                            <a:ext cx="1340"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736CAD" w14:textId="77777777" w:rsidR="009C1A5C" w:rsidRDefault="009C1A5C" w:rsidP="00D6415B">
                              <w:r>
                                <w:t>Load Plate</w:t>
                              </w:r>
                            </w:p>
                          </w:txbxContent>
                        </wps:txbx>
                        <wps:bodyPr rot="0" vert="horz" wrap="square" lIns="91440" tIns="45720" rIns="91440" bIns="45720" anchor="t" anchorCtr="0" upright="1">
                          <a:noAutofit/>
                        </wps:bodyPr>
                      </wps:wsp>
                      <wps:wsp>
                        <wps:cNvPr id="483" name="Line 4348"/>
                        <wps:cNvCnPr>
                          <a:cxnSpLocks noChangeShapeType="1"/>
                        </wps:cNvCnPr>
                        <wps:spPr bwMode="auto">
                          <a:xfrm>
                            <a:off x="1720" y="4300"/>
                            <a:ext cx="8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 name="Text Box 4349"/>
                        <wps:cNvSpPr txBox="1">
                          <a:spLocks noChangeArrowheads="1"/>
                        </wps:cNvSpPr>
                        <wps:spPr bwMode="auto">
                          <a:xfrm>
                            <a:off x="9120" y="5760"/>
                            <a:ext cx="1280"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217061" w14:textId="77777777" w:rsidR="009C1A5C" w:rsidRDefault="009C1A5C" w:rsidP="00D6415B">
                              <w:pPr>
                                <w:jc w:val="center"/>
                              </w:pPr>
                              <w:r>
                                <w:t>Subgrade</w:t>
                              </w:r>
                            </w:p>
                          </w:txbxContent>
                        </wps:txbx>
                        <wps:bodyPr rot="0" vert="horz" wrap="square" lIns="91440" tIns="45720" rIns="91440" bIns="45720" anchor="t" anchorCtr="0" upright="1">
                          <a:noAutofit/>
                        </wps:bodyPr>
                      </wps:wsp>
                      <wps:wsp>
                        <wps:cNvPr id="485" name="Rectangle 4350"/>
                        <wps:cNvSpPr>
                          <a:spLocks noChangeArrowheads="1"/>
                        </wps:cNvSpPr>
                        <wps:spPr bwMode="auto">
                          <a:xfrm>
                            <a:off x="8960" y="3240"/>
                            <a:ext cx="160" cy="3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6" name="Rectangle 4351"/>
                        <wps:cNvSpPr>
                          <a:spLocks noChangeArrowheads="1"/>
                        </wps:cNvSpPr>
                        <wps:spPr bwMode="auto">
                          <a:xfrm>
                            <a:off x="8260" y="3240"/>
                            <a:ext cx="160" cy="3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7" name="Rectangle 4352"/>
                        <wps:cNvSpPr>
                          <a:spLocks noChangeArrowheads="1"/>
                        </wps:cNvSpPr>
                        <wps:spPr bwMode="auto">
                          <a:xfrm>
                            <a:off x="10240" y="3240"/>
                            <a:ext cx="160" cy="3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8" name="Rectangle 4353"/>
                        <wps:cNvSpPr>
                          <a:spLocks noChangeArrowheads="1"/>
                        </wps:cNvSpPr>
                        <wps:spPr bwMode="auto">
                          <a:xfrm>
                            <a:off x="9540" y="3240"/>
                            <a:ext cx="160" cy="3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9" name="Line 4354"/>
                        <wps:cNvCnPr>
                          <a:cxnSpLocks noChangeShapeType="1"/>
                        </wps:cNvCnPr>
                        <wps:spPr bwMode="auto">
                          <a:xfrm rot="11041188" flipV="1">
                            <a:off x="7718" y="2604"/>
                            <a:ext cx="751" cy="6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0" name="Line 4355"/>
                        <wps:cNvCnPr>
                          <a:cxnSpLocks noChangeShapeType="1"/>
                        </wps:cNvCnPr>
                        <wps:spPr bwMode="auto">
                          <a:xfrm rot="11041188" flipV="1">
                            <a:off x="8354" y="2680"/>
                            <a:ext cx="255" cy="54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1" name="Line 4356"/>
                        <wps:cNvCnPr>
                          <a:cxnSpLocks noChangeShapeType="1"/>
                        </wps:cNvCnPr>
                        <wps:spPr bwMode="auto">
                          <a:xfrm rot="11041188" flipH="1" flipV="1">
                            <a:off x="8829" y="2674"/>
                            <a:ext cx="202" cy="4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2" name="Line 4357"/>
                        <wps:cNvCnPr>
                          <a:cxnSpLocks noChangeShapeType="1"/>
                        </wps:cNvCnPr>
                        <wps:spPr bwMode="auto">
                          <a:xfrm rot="11041188" flipH="1" flipV="1">
                            <a:off x="9165" y="2620"/>
                            <a:ext cx="406" cy="5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3" name="Line 4358"/>
                        <wps:cNvCnPr>
                          <a:cxnSpLocks noChangeShapeType="1"/>
                        </wps:cNvCnPr>
                        <wps:spPr bwMode="auto">
                          <a:xfrm rot="11041188" flipH="1" flipV="1">
                            <a:off x="9424" y="2635"/>
                            <a:ext cx="847" cy="56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4" name="Line 4359"/>
                        <wps:cNvCnPr>
                          <a:cxnSpLocks noChangeShapeType="1"/>
                        </wps:cNvCnPr>
                        <wps:spPr bwMode="auto">
                          <a:xfrm flipH="1">
                            <a:off x="3080" y="5560"/>
                            <a:ext cx="260" cy="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5" name="Line 4360"/>
                        <wps:cNvCnPr>
                          <a:cxnSpLocks noChangeShapeType="1"/>
                        </wps:cNvCnPr>
                        <wps:spPr bwMode="auto">
                          <a:xfrm flipH="1">
                            <a:off x="3200" y="5580"/>
                            <a:ext cx="2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6" name="Line 4361"/>
                        <wps:cNvCnPr>
                          <a:cxnSpLocks noChangeShapeType="1"/>
                        </wps:cNvCnPr>
                        <wps:spPr bwMode="auto">
                          <a:xfrm flipH="1">
                            <a:off x="4800" y="5560"/>
                            <a:ext cx="260" cy="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 name="Line 4362"/>
                        <wps:cNvCnPr>
                          <a:cxnSpLocks noChangeShapeType="1"/>
                        </wps:cNvCnPr>
                        <wps:spPr bwMode="auto">
                          <a:xfrm flipH="1">
                            <a:off x="4920" y="5580"/>
                            <a:ext cx="2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 name="Line 4363"/>
                        <wps:cNvCnPr>
                          <a:cxnSpLocks noChangeShapeType="1"/>
                        </wps:cNvCnPr>
                        <wps:spPr bwMode="auto">
                          <a:xfrm flipH="1">
                            <a:off x="6740" y="5560"/>
                            <a:ext cx="260" cy="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 name="Line 4364"/>
                        <wps:cNvCnPr>
                          <a:cxnSpLocks noChangeShapeType="1"/>
                        </wps:cNvCnPr>
                        <wps:spPr bwMode="auto">
                          <a:xfrm flipH="1">
                            <a:off x="6860" y="5580"/>
                            <a:ext cx="2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 name="Line 4365"/>
                        <wps:cNvCnPr>
                          <a:cxnSpLocks noChangeShapeType="1"/>
                        </wps:cNvCnPr>
                        <wps:spPr bwMode="auto">
                          <a:xfrm flipH="1">
                            <a:off x="8460" y="5560"/>
                            <a:ext cx="260" cy="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1" name="Line 4366"/>
                        <wps:cNvCnPr>
                          <a:cxnSpLocks noChangeShapeType="1"/>
                        </wps:cNvCnPr>
                        <wps:spPr bwMode="auto">
                          <a:xfrm flipH="1">
                            <a:off x="8580" y="5580"/>
                            <a:ext cx="2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Line 4367"/>
                        <wps:cNvCnPr>
                          <a:cxnSpLocks noChangeShapeType="1"/>
                        </wps:cNvCnPr>
                        <wps:spPr bwMode="auto">
                          <a:xfrm>
                            <a:off x="6400" y="3540"/>
                            <a:ext cx="1920" cy="7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3" name="Line 4368"/>
                        <wps:cNvCnPr>
                          <a:cxnSpLocks noChangeShapeType="1"/>
                        </wps:cNvCnPr>
                        <wps:spPr bwMode="auto">
                          <a:xfrm flipH="1">
                            <a:off x="3440" y="3560"/>
                            <a:ext cx="1940" cy="7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4" name="Line 4369"/>
                        <wps:cNvCnPr>
                          <a:cxnSpLocks noChangeShapeType="1"/>
                        </wps:cNvCnPr>
                        <wps:spPr bwMode="auto">
                          <a:xfrm>
                            <a:off x="8340" y="4320"/>
                            <a:ext cx="1160" cy="12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5" name="Line 4370"/>
                        <wps:cNvCnPr>
                          <a:cxnSpLocks noChangeShapeType="1"/>
                        </wps:cNvCnPr>
                        <wps:spPr bwMode="auto">
                          <a:xfrm flipH="1">
                            <a:off x="2380" y="4300"/>
                            <a:ext cx="1100" cy="1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6" name="Line 4371"/>
                        <wps:cNvCnPr>
                          <a:cxnSpLocks noChangeShapeType="1"/>
                        </wps:cNvCnPr>
                        <wps:spPr bwMode="auto">
                          <a:xfrm flipH="1">
                            <a:off x="1960" y="5600"/>
                            <a:ext cx="440" cy="10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7" name="Line 4372"/>
                        <wps:cNvCnPr>
                          <a:cxnSpLocks noChangeShapeType="1"/>
                        </wps:cNvCnPr>
                        <wps:spPr bwMode="auto">
                          <a:xfrm>
                            <a:off x="9520" y="5600"/>
                            <a:ext cx="600" cy="10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8" name="Text Box 4373"/>
                        <wps:cNvSpPr txBox="1">
                          <a:spLocks noChangeArrowheads="1"/>
                        </wps:cNvSpPr>
                        <wps:spPr bwMode="auto">
                          <a:xfrm>
                            <a:off x="4900" y="4520"/>
                            <a:ext cx="2120" cy="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F45E8" w14:textId="77777777" w:rsidR="009C1A5C" w:rsidRDefault="009C1A5C" w:rsidP="00D6415B">
                              <w:pPr>
                                <w:jc w:val="center"/>
                              </w:pPr>
                              <w:r>
                                <w:t>Zone of Stress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EF99C1" id="Group 4329" o:spid="_x0000_s1079" alt="FWD data analysis load plate and sensors diagram" style="position:absolute;margin-left:-4pt;margin-top:7.8pt;width:445pt;height:204.6pt;z-index:251835904" coordorigin="1720,2100" coordsize="8900,4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" o:allowincell="f">
                <v:shape id="Text Box 4330" o:spid="_x0000_s1080" type="#_x0000_t202" style="position:absolute;left:8800;top:3720;width:134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" stroked="f">
                  <v:textbox>
                    <w:txbxContent>
                      <w:p w14:paraId="2A043E59" w14:textId="77777777" w:rsidR="009C1A5C" w:rsidRDefault="009C1A5C" w:rsidP="00D6415B">
                        <w:r>
                          <w:t xml:space="preserve">HMA/PCC </w:t>
                        </w:r>
                      </w:p>
                    </w:txbxContent>
                  </v:textbox>
                </v:shape>
                <v:line id="Line 4331" o:spid="_x0000_s1081" style="position:absolute;visibility:visible;mso-wrap-style:square" from="1780,3560" to="10520,3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"/>
                <v:line id="Line 4332" o:spid="_x0000_s1082" style="position:absolute;visibility:visible;mso-wrap-style:square" from="2000,5560" to="10420,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shape id="Freeform 4333" o:spid="_x0000_s1083" style="position:absolute;left:10377;top:3540;width:243;height:2955;visibility:visible;mso-wrap-style:square;v-text-anchor:top" coordsize="186,1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" path="m143,1200v-50,-151,18,35,-60,-120c,914,138,1132,23,960,43,742,21,702,163,560,186,421,174,298,143,160,132,111,103,50,103,e" filled="f">
                  <v:path arrowok="t" o:connecttype="custom" o:connectlocs="187,2871;108,2584;30,2297;213,1340;187,383;135,0" o:connectangles="0,0,0,0,0,0"/>
                </v:shape>
                <v:shape id="Freeform 4334" o:spid="_x0000_s1084" style="position:absolute;left:1720;top:3560;width:220;height:2900;visibility:visible;mso-wrap-style:square;v-text-anchor:top" coordsize="18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" path="m100,1180v13,-40,27,-80,40,-120c147,1040,153,1020,160,1000v7,-20,20,-60,20,-60c164,767,175,764,140,640,96,487,150,678,80,520,36,421,17,325,,220,10,159,40,65,40,e" filled="f">
                  <v:path arrowok="t" o:connecttype="custom" o:connectlocs="122,2900;171,2605;196,2458;220,2310;171,1573;98,1278;0,541;49,0" o:connectangles="0,0,0,0,0,0,0,0"/>
                </v:shape>
                <v:line id="Line 4335" o:spid="_x0000_s1085" style="position:absolute;visibility:visible;mso-wrap-style:square" from="5380,3360" to="6380,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"/>
                <v:line id="Line 4336" o:spid="_x0000_s1086" style="position:absolute;visibility:visible;mso-wrap-style:square" from="5380,3360" to="5380,3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"/>
                <v:line id="Line 4337" o:spid="_x0000_s1087" style="position:absolute;visibility:visible;mso-wrap-style:square" from="6400,3360" to="6400,3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"/>
                <v:rect id="Rectangle 4338" o:spid="_x0000_s1088" style="position:absolute;left:5820;top:3040;width:160;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"/>
                <v:rect id="Rectangle 4339" o:spid="_x0000_s1089" style="position:absolute;left:7600;top:3240;width:160;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"/>
                <v:line id="Line 4340" o:spid="_x0000_s1090" style="position:absolute;rotation:-11533038fd;flip:x y;visibility:visible;mso-wrap-style:square" from="5444,2458" to="5515,3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">
                  <v:stroke endarrow="block"/>
                </v:line>
                <v:shape id="Text Box 4341" o:spid="_x0000_s1091" type="#_x0000_t202" style="position:absolute;left:8960;top:4640;width:136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" stroked="f">
                  <v:textbox>
                    <w:txbxContent>
                      <w:p w14:paraId="32E3A06E" w14:textId="77777777" w:rsidR="009C1A5C" w:rsidRDefault="009C1A5C" w:rsidP="00D6415B">
                        <w:pPr>
                          <w:jc w:val="center"/>
                        </w:pPr>
                        <w:r>
                          <w:t>GAB/Base</w:t>
                        </w:r>
                      </w:p>
                    </w:txbxContent>
                  </v:textbox>
                </v:shape>
                <v:line id="Line 4342" o:spid="_x0000_s1092" style="position:absolute;rotation:11533038fd;flip:y;visibility:visible;mso-wrap-style:square" from="7066,2508" to="8345,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">
                  <v:stroke endarrow="block"/>
                </v:line>
                <v:shape id="Text Box 4343" o:spid="_x0000_s1093" type="#_x0000_t202" style="position:absolute;left:6300;top:2240;width:158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" stroked="f">
                  <v:textbox>
                    <w:txbxContent>
                      <w:p w14:paraId="32248151" w14:textId="77777777" w:rsidR="009C1A5C" w:rsidRDefault="009C1A5C" w:rsidP="00D6415B">
                        <w:r>
                          <w:t>Sensor at 0”</w:t>
                        </w:r>
                      </w:p>
                    </w:txbxContent>
                  </v:textbox>
                </v:shape>
                <v:shape id="Text Box 4344" o:spid="_x0000_s1094" type="#_x0000_t202" style="position:absolute;left:8320;top:2220;width:122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" stroked="f">
                  <v:textbox>
                    <w:txbxContent>
                      <w:p w14:paraId="389C8004" w14:textId="77777777" w:rsidR="009C1A5C" w:rsidRDefault="009C1A5C" w:rsidP="00D6415B">
                        <w:r>
                          <w:t>Sensors</w:t>
                        </w:r>
                      </w:p>
                    </w:txbxContent>
                  </v:textbox>
                </v:shape>
                <v:line id="Line 4345" o:spid="_x0000_s1095" style="position:absolute;rotation:11533038fd;flip:y;visibility:visible;mso-wrap-style:square" from="6036,2558" to="6435,3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">
                  <v:stroke endarrow="block"/>
                </v:line>
                <v:rect id="Rectangle 4346" o:spid="_x0000_s1096" style="position:absolute;left:6900;top:3240;width:160;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"/>
                <v:shape id="Text Box 4347" o:spid="_x0000_s1097" type="#_x0000_t202" style="position:absolute;left:4900;top:2100;width:134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" stroked="f">
                  <v:textbox>
                    <w:txbxContent>
                      <w:p w14:paraId="69736CAD" w14:textId="77777777" w:rsidR="009C1A5C" w:rsidRDefault="009C1A5C" w:rsidP="00D6415B">
                        <w:r>
                          <w:t>Load Plate</w:t>
                        </w:r>
                      </w:p>
                    </w:txbxContent>
                  </v:textbox>
                </v:shape>
                <v:line id="Line 4348" o:spid="_x0000_s1098" style="position:absolute;visibility:visible;mso-wrap-style:square" from="1720,4300" to="10620,4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"/>
                <v:shape id="Text Box 4349" o:spid="_x0000_s1099" type="#_x0000_t202" style="position:absolute;left:9120;top:5760;width:128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" stroked="f">
                  <v:textbox>
                    <w:txbxContent>
                      <w:p w14:paraId="55217061" w14:textId="77777777" w:rsidR="009C1A5C" w:rsidRDefault="009C1A5C" w:rsidP="00D6415B">
                        <w:pPr>
                          <w:jc w:val="center"/>
                        </w:pPr>
                        <w:r>
                          <w:t>Subgrade</w:t>
                        </w:r>
                      </w:p>
                    </w:txbxContent>
                  </v:textbox>
                </v:shape>
                <v:rect id="Rectangle 4350" o:spid="_x0000_s1100" style="position:absolute;left:8960;top:3240;width:160;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"/>
                <v:rect id="Rectangle 4351" o:spid="_x0000_s1101" style="position:absolute;left:8260;top:3240;width:160;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"/>
                <v:rect id="Rectangle 4352" o:spid="_x0000_s1102" style="position:absolute;left:10240;top:3240;width:160;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"/>
                <v:rect id="Rectangle 4353" o:spid="_x0000_s1103" style="position:absolute;left:9540;top:3240;width:160;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"/>
                <v:line id="Line 4354" o:spid="_x0000_s1104" style="position:absolute;rotation:11533038fd;flip:y;visibility:visible;mso-wrap-style:square" from="7718,2604" to="8469,3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">
                  <v:stroke endarrow="block"/>
                </v:line>
                <v:line id="Line 4355" o:spid="_x0000_s1105" style="position:absolute;rotation:11533038fd;flip:y;visibility:visible;mso-wrap-style:square" from="8354,2680" to="8609,3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">
                  <v:stroke endarrow="block"/>
                </v:line>
                <v:line id="Line 4356" o:spid="_x0000_s1106" style="position:absolute;rotation:-11533038fd;flip:x y;visibility:visible;mso-wrap-style:square" from="8829,2674" to="9031,3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">
                  <v:stroke endarrow="block"/>
                </v:line>
                <v:line id="Line 4357" o:spid="_x0000_s1107" style="position:absolute;rotation:-11533038fd;flip:x y;visibility:visible;mso-wrap-style:square" from="9165,2620" to="9571,3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">
                  <v:stroke endarrow="block"/>
                </v:line>
                <v:line id="Line 4358" o:spid="_x0000_s1108" style="position:absolute;rotation:-11533038fd;flip:x y;visibility:visible;mso-wrap-style:square" from="9424,2635" to="10271,3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">
                  <v:stroke endarrow="block"/>
                </v:line>
                <v:line id="Line 4359" o:spid="_x0000_s1109" style="position:absolute;flip:x;visibility:visible;mso-wrap-style:square" from="3080,5560" to="3340,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"/>
                <v:line id="Line 4360" o:spid="_x0000_s1110" style="position:absolute;flip:x;visibility:visible;mso-wrap-style:square" from="3200,5580" to="3480,5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"/>
                <v:line id="Line 4361" o:spid="_x0000_s1111" style="position:absolute;flip:x;visibility:visible;mso-wrap-style:square" from="4800,5560" to="5060,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"/>
                <v:line id="Line 4362" o:spid="_x0000_s1112" style="position:absolute;flip:x;visibility:visible;mso-wrap-style:square" from="4920,5580" to="5200,5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"/>
                <v:line id="Line 4363" o:spid="_x0000_s1113" style="position:absolute;flip:x;visibility:visible;mso-wrap-style:square" from="6740,5560" to="7000,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"/>
                <v:line id="Line 4364" o:spid="_x0000_s1114" style="position:absolute;flip:x;visibility:visible;mso-wrap-style:square" from="6860,5580" to="7140,5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"/>
                <v:line id="Line 4365" o:spid="_x0000_s1115" style="position:absolute;flip:x;visibility:visible;mso-wrap-style:square" from="8460,5560" to="8720,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"/>
                <v:line id="Line 4366" o:spid="_x0000_s1116" style="position:absolute;flip:x;visibility:visible;mso-wrap-style:square" from="8580,5580" to="8860,5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"/>
                <v:line id="Line 4367" o:spid="_x0000_s1117" style="position:absolute;visibility:visible;mso-wrap-style:square" from="6400,3540" to="8320,4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">
                  <v:stroke dashstyle="dash"/>
                </v:line>
                <v:line id="Line 4368" o:spid="_x0000_s1118" style="position:absolute;flip:x;visibility:visible;mso-wrap-style:square" from="3440,3560" to="538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">
                  <v:stroke dashstyle="dash"/>
                </v:line>
                <v:line id="Line 4369" o:spid="_x0000_s1119" style="position:absolute;visibility:visible;mso-wrap-style:square" from="8340,4320" to="9500,5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">
                  <v:stroke dashstyle="dash"/>
                </v:line>
                <v:line id="Line 4370" o:spid="_x0000_s1120" style="position:absolute;flip:x;visibility:visible;mso-wrap-style:square" from="2380,4300" to="3480,5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">
                  <v:stroke dashstyle="dash"/>
                </v:line>
                <v:line id="Line 4371" o:spid="_x0000_s1121" style="position:absolute;flip:x;visibility:visible;mso-wrap-style:square" from="1960,5600" to="2400,6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">
                  <v:stroke dashstyle="dash"/>
                </v:line>
                <v:line id="Line 4372" o:spid="_x0000_s1122" style="position:absolute;visibility:visible;mso-wrap-style:square" from="9520,5600" to="10120,6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">
                  <v:stroke dashstyle="dash"/>
                </v:line>
                <v:shape id="Text Box 4373" o:spid="_x0000_s1123" type="#_x0000_t202" style="position:absolute;left:4900;top:4520;width:212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" stroked="f">
                  <v:textbox>
                    <w:txbxContent>
                      <w:p w14:paraId="1A6F45E8" w14:textId="77777777" w:rsidR="009C1A5C" w:rsidRDefault="009C1A5C" w:rsidP="00D6415B">
                        <w:pPr>
                          <w:jc w:val="center"/>
                        </w:pPr>
                        <w:r>
                          <w:t>Zone of Stress</w:t>
                        </w:r>
                      </w:p>
                    </w:txbxContent>
                  </v:textbox>
                </v:shape>
              </v:group>
            </w:pict>
          </mc:Fallback>
        </mc:AlternateContent>
      </w:r>
    </w:p>
    <w:p w14:paraId="2B27CFF2" w14:textId="77777777" w:rsidR="00D6415B" w:rsidRPr="0057745B" w:rsidRDefault="00D6415B" w:rsidP="00D6415B">
      <w:pPr>
        <w:pStyle w:val="BodyText"/>
      </w:pPr>
    </w:p>
    <w:p w14:paraId="3161340F" w14:textId="77777777" w:rsidR="00D6415B" w:rsidRPr="0057745B" w:rsidRDefault="00D6415B" w:rsidP="00D6415B">
      <w:pPr>
        <w:pStyle w:val="BodyText"/>
      </w:pPr>
    </w:p>
    <w:p w14:paraId="7916DF50" w14:textId="77777777" w:rsidR="00D6415B" w:rsidRPr="0057745B" w:rsidRDefault="00D6415B" w:rsidP="00D6415B">
      <w:pPr>
        <w:pStyle w:val="BodyText"/>
      </w:pPr>
    </w:p>
    <w:p w14:paraId="7D820548" w14:textId="77777777" w:rsidR="00D6415B" w:rsidRPr="0057745B" w:rsidRDefault="00D6415B" w:rsidP="00D6415B">
      <w:pPr>
        <w:pStyle w:val="BodyText"/>
      </w:pPr>
    </w:p>
    <w:p w14:paraId="001199DD" w14:textId="77777777" w:rsidR="00D6415B" w:rsidRPr="0057745B" w:rsidRDefault="00D6415B" w:rsidP="00D6415B">
      <w:pPr>
        <w:pStyle w:val="BodyText"/>
      </w:pPr>
    </w:p>
    <w:p w14:paraId="3E486CC1" w14:textId="77777777" w:rsidR="00D6415B" w:rsidRPr="0057745B" w:rsidRDefault="00D6415B" w:rsidP="00D6415B">
      <w:pPr>
        <w:pStyle w:val="BodyText"/>
      </w:pPr>
    </w:p>
    <w:p w14:paraId="7B810E2A" w14:textId="77777777" w:rsidR="00D6415B" w:rsidRPr="0057745B" w:rsidRDefault="00D6415B" w:rsidP="00D6415B">
      <w:pPr>
        <w:pStyle w:val="BodyText"/>
      </w:pPr>
    </w:p>
    <w:p w14:paraId="210957DF" w14:textId="77777777" w:rsidR="00D6415B" w:rsidRPr="0057745B" w:rsidRDefault="00D6415B" w:rsidP="00D6415B">
      <w:pPr>
        <w:pStyle w:val="BodyText"/>
      </w:pPr>
    </w:p>
    <w:p w14:paraId="7E7CCE2A" w14:textId="77777777" w:rsidR="00D6415B" w:rsidRPr="0057745B" w:rsidRDefault="00D6415B" w:rsidP="00D6415B">
      <w:pPr>
        <w:pStyle w:val="BodyText"/>
      </w:pPr>
    </w:p>
    <w:p w14:paraId="14FE1E64" w14:textId="77777777" w:rsidR="00D6415B" w:rsidRPr="0057745B" w:rsidRDefault="00D6415B" w:rsidP="00D6415B">
      <w:pPr>
        <w:pStyle w:val="BodyText"/>
      </w:pPr>
    </w:p>
    <w:p w14:paraId="73E0A2FD" w14:textId="77777777" w:rsidR="00D6415B" w:rsidRPr="0057745B" w:rsidRDefault="00D6415B" w:rsidP="00D6415B">
      <w:pPr>
        <w:pStyle w:val="BodyText"/>
      </w:pPr>
      <w:r w:rsidRPr="0057745B">
        <w:t xml:space="preserve"> </w:t>
      </w:r>
    </w:p>
    <w:p w14:paraId="0BD9BAC0" w14:textId="77777777" w:rsidR="00D6415B" w:rsidRPr="0057745B" w:rsidRDefault="00D6415B" w:rsidP="00172E64">
      <w:pPr>
        <w:pStyle w:val="Heading5"/>
        <w:numPr>
          <w:ilvl w:val="4"/>
          <w:numId w:val="185"/>
        </w:numPr>
        <w:tabs>
          <w:tab w:val="clear" w:pos="1080"/>
          <w:tab w:val="left" w:pos="1800"/>
        </w:tabs>
        <w:ind w:left="0" w:firstLine="0"/>
        <w:jc w:val="both"/>
      </w:pPr>
      <w:r w:rsidRPr="0057745B">
        <w:lastRenderedPageBreak/>
        <w:t>Flexible Standard Calculations</w:t>
      </w:r>
    </w:p>
    <w:p w14:paraId="3ADE0E86" w14:textId="77777777" w:rsidR="00D6415B" w:rsidRPr="0057745B" w:rsidRDefault="00D6415B" w:rsidP="00D6415B">
      <w:pPr>
        <w:pStyle w:val="BodyText"/>
        <w:spacing w:after="0"/>
        <w:jc w:val="both"/>
      </w:pPr>
      <w:r w:rsidRPr="0057745B">
        <w:t xml:space="preserve">The type of data analysis is dependent on the pavement type.  </w:t>
      </w:r>
      <w:r>
        <w:t>I</w:t>
      </w:r>
      <w:r w:rsidRPr="0057745B">
        <w:t xml:space="preserve">nformation about the structural capacity of the pavement can be obtained through FWD testing of flexible pavement.  Subgrade strength values and overall composite modulus of the pavement structure can be obtained from flexible pavement FWD testing.  These values can be used directly in pavement structural analysis to assist in determining the effective structural capacity.  The following sub-sections describe the FWD data analysis procedures for flexible pavements.  </w:t>
      </w:r>
    </w:p>
    <w:p w14:paraId="73DFFC0D" w14:textId="77777777" w:rsidR="00D6415B" w:rsidRPr="0057745B" w:rsidRDefault="00D6415B" w:rsidP="00D6415B">
      <w:pPr>
        <w:jc w:val="both"/>
        <w:rPr>
          <w:rFonts w:ascii="Arial" w:hAnsi="Arial"/>
        </w:rPr>
      </w:pPr>
    </w:p>
    <w:p w14:paraId="72D56299" w14:textId="77777777" w:rsidR="00D6415B" w:rsidRPr="00722B46" w:rsidRDefault="00D6415B" w:rsidP="00172E64">
      <w:pPr>
        <w:pStyle w:val="Heading6"/>
        <w:numPr>
          <w:ilvl w:val="5"/>
          <w:numId w:val="185"/>
        </w:numPr>
        <w:tabs>
          <w:tab w:val="left" w:pos="1800"/>
        </w:tabs>
        <w:ind w:left="0" w:firstLine="0"/>
        <w:jc w:val="both"/>
        <w:rPr>
          <w:b/>
        </w:rPr>
      </w:pPr>
      <w:r w:rsidRPr="00722B46">
        <w:rPr>
          <w:b/>
        </w:rPr>
        <w:t>Resilient Modulus of Subgrade</w:t>
      </w:r>
    </w:p>
    <w:p w14:paraId="7F348CBA" w14:textId="77777777" w:rsidR="00D6415B" w:rsidRPr="0057745B" w:rsidRDefault="00D6415B" w:rsidP="00D6415B">
      <w:pPr>
        <w:pStyle w:val="BodyText"/>
        <w:spacing w:after="0"/>
        <w:jc w:val="both"/>
      </w:pPr>
      <w:r w:rsidRPr="0057745B">
        <w:t>Typically, subgrade resilient modulus results obtained from FWD testing will be less conservative and give higher results than those obtained in the laboratory.  The difference in testing mechanisms between static laboratory testing and dynamic field testing will provide different strength properties of the subgrade.  Therefore, any dynamic testing must be correlated to laboratory testing.</w:t>
      </w:r>
    </w:p>
    <w:p w14:paraId="1E07B33C" w14:textId="77777777" w:rsidR="00D6415B" w:rsidRPr="0057745B" w:rsidRDefault="00D6415B" w:rsidP="00D6415B">
      <w:pPr>
        <w:jc w:val="both"/>
        <w:rPr>
          <w:rFonts w:ascii="Arial" w:hAnsi="Arial"/>
        </w:rPr>
      </w:pPr>
    </w:p>
    <w:p w14:paraId="2873BB6C" w14:textId="77777777" w:rsidR="00D6415B" w:rsidRPr="0057745B" w:rsidRDefault="00D6415B" w:rsidP="00D6415B">
      <w:pPr>
        <w:pStyle w:val="BodyText"/>
        <w:spacing w:after="0"/>
        <w:jc w:val="both"/>
      </w:pPr>
      <w:r w:rsidRPr="0057745B">
        <w:t>The AASHTO equation to calculate the subgrade resilient modulus from FWD testing is the following:</w:t>
      </w:r>
    </w:p>
    <w:p w14:paraId="4818B3FF" w14:textId="77777777" w:rsidR="0072232D" w:rsidRDefault="00000000" w:rsidP="0072232D">
      <w:pPr>
        <w:pStyle w:val="BodyText"/>
      </w:pPr>
      <m:oMathPara>
        <m:oMathParaPr>
          <m:jc m:val="center"/>
        </m:oMathParaPr>
        <m:oMath>
          <m:sSub>
            <m:sSubPr>
              <m:ctrlPr>
                <w:rPr>
                  <w:rFonts w:ascii="Cambria Math" w:hAnsi="Cambria Math"/>
                </w:rPr>
              </m:ctrlPr>
            </m:sSubPr>
            <m:e>
              <m:r>
                <w:rPr>
                  <w:rFonts w:ascii="Cambria Math" w:hAnsi="Cambria Math"/>
                </w:rPr>
                <m:t>M</m:t>
              </m:r>
            </m:e>
            <m:sub>
              <m:r>
                <w:rPr>
                  <w:rFonts w:ascii="Cambria Math" w:hAnsi="Cambria Math"/>
                </w:rPr>
                <m:t>r</m:t>
              </m:r>
            </m:sub>
          </m:sSub>
          <m:r>
            <m:rPr>
              <m:sty m:val="p"/>
            </m:rPr>
            <w:rPr>
              <w:rFonts w:ascii="Cambria Math" w:hAnsi="Cambria Math"/>
            </w:rPr>
            <m:t>=</m:t>
          </m:r>
          <m:f>
            <m:fPr>
              <m:ctrlPr>
                <w:rPr>
                  <w:rFonts w:ascii="Cambria Math" w:hAnsi="Cambria Math"/>
                </w:rPr>
              </m:ctrlPr>
            </m:fPr>
            <m:num>
              <m:r>
                <w:rPr>
                  <w:rFonts w:ascii="Cambria Math" w:hAnsi="Cambria Math"/>
                </w:rPr>
                <m:t>0.24</m:t>
              </m:r>
              <m:r>
                <m:rPr>
                  <m:sty m:val="p"/>
                </m:rPr>
                <w:rPr>
                  <w:rFonts w:ascii="Cambria Math" w:hAnsi="Cambria Math"/>
                </w:rPr>
                <m:t>⋅</m:t>
              </m:r>
              <m:r>
                <w:rPr>
                  <w:rFonts w:ascii="Cambria Math" w:hAnsi="Cambria Math"/>
                </w:rPr>
                <m:t>P</m:t>
              </m:r>
            </m:num>
            <m:den>
              <m:sSub>
                <m:sSubPr>
                  <m:ctrlPr>
                    <w:rPr>
                      <w:rFonts w:ascii="Cambria Math" w:hAnsi="Cambria Math"/>
                    </w:rPr>
                  </m:ctrlPr>
                </m:sSubPr>
                <m:e>
                  <m:r>
                    <w:rPr>
                      <w:rFonts w:ascii="Cambria Math" w:hAnsi="Cambria Math"/>
                    </w:rPr>
                    <m:t>d</m:t>
                  </m:r>
                </m:e>
                <m:sub>
                  <m:r>
                    <w:rPr>
                      <w:rFonts w:ascii="Cambria Math" w:hAnsi="Cambria Math"/>
                    </w:rPr>
                    <m:t>r</m:t>
                  </m:r>
                </m:sub>
              </m:sSub>
              <m:r>
                <m:rPr>
                  <m:sty m:val="p"/>
                </m:rPr>
                <w:rPr>
                  <w:rFonts w:ascii="Cambria Math" w:hAnsi="Cambria Math"/>
                </w:rPr>
                <m:t>⋅</m:t>
              </m:r>
              <m:r>
                <w:rPr>
                  <w:rFonts w:ascii="Cambria Math" w:hAnsi="Cambria Math"/>
                </w:rPr>
                <m:t>r</m:t>
              </m:r>
            </m:den>
          </m:f>
        </m:oMath>
      </m:oMathPara>
    </w:p>
    <w:p w14:paraId="1AE69BF3" w14:textId="77777777" w:rsidR="005B2C50" w:rsidRDefault="00D6415B" w:rsidP="00D6415B">
      <w:pPr>
        <w:jc w:val="both"/>
        <w:rPr>
          <w:rFonts w:ascii="Arial" w:hAnsi="Arial"/>
          <w:sz w:val="22"/>
        </w:rPr>
      </w:pPr>
      <w:r w:rsidRPr="0057745B">
        <w:rPr>
          <w:rFonts w:ascii="Arial" w:hAnsi="Arial"/>
          <w:sz w:val="22"/>
        </w:rPr>
        <w:tab/>
      </w:r>
      <w:r w:rsidRPr="0057745B">
        <w:rPr>
          <w:rFonts w:ascii="Arial" w:hAnsi="Arial"/>
          <w:sz w:val="22"/>
        </w:rPr>
        <w:tab/>
      </w:r>
    </w:p>
    <w:p w14:paraId="2D05E404" w14:textId="77777777" w:rsidR="005B2C50" w:rsidRDefault="00D6415B" w:rsidP="005B2C50">
      <w:pPr>
        <w:ind w:firstLine="720"/>
        <w:jc w:val="both"/>
        <w:rPr>
          <w:rFonts w:ascii="Arial" w:hAnsi="Arial"/>
          <w:sz w:val="22"/>
        </w:rPr>
      </w:pPr>
      <w:r w:rsidRPr="0057745B">
        <w:rPr>
          <w:rFonts w:ascii="Arial" w:hAnsi="Arial"/>
          <w:sz w:val="22"/>
        </w:rPr>
        <w:t xml:space="preserve">where: </w:t>
      </w:r>
    </w:p>
    <w:p w14:paraId="7983493D" w14:textId="41DB1054" w:rsidR="00D6415B" w:rsidRPr="0057745B" w:rsidRDefault="00D6415B" w:rsidP="00722B46">
      <w:pPr>
        <w:tabs>
          <w:tab w:val="left" w:pos="1260"/>
          <w:tab w:val="left" w:pos="1620"/>
          <w:tab w:val="left" w:pos="1980"/>
        </w:tabs>
        <w:ind w:firstLine="720"/>
        <w:jc w:val="both"/>
        <w:rPr>
          <w:rFonts w:ascii="Arial" w:hAnsi="Arial"/>
          <w:sz w:val="22"/>
        </w:rPr>
      </w:pPr>
      <w:r w:rsidRPr="0057745B">
        <w:rPr>
          <w:rFonts w:ascii="Arial" w:hAnsi="Arial"/>
          <w:sz w:val="22"/>
        </w:rPr>
        <w:tab/>
        <w:t>M</w:t>
      </w:r>
      <w:r w:rsidRPr="0057745B">
        <w:rPr>
          <w:rFonts w:ascii="Arial" w:hAnsi="Arial"/>
          <w:sz w:val="22"/>
          <w:vertAlign w:val="subscript"/>
        </w:rPr>
        <w:t>r</w:t>
      </w:r>
      <w:r w:rsidRPr="0057745B">
        <w:rPr>
          <w:rFonts w:ascii="Arial" w:hAnsi="Arial"/>
          <w:sz w:val="22"/>
        </w:rPr>
        <w:t xml:space="preserve"> </w:t>
      </w:r>
      <w:r w:rsidR="005B2C50">
        <w:rPr>
          <w:rFonts w:ascii="Arial" w:hAnsi="Arial"/>
          <w:sz w:val="22"/>
        </w:rPr>
        <w:tab/>
      </w:r>
      <w:r w:rsidRPr="0057745B">
        <w:rPr>
          <w:rFonts w:ascii="Arial" w:hAnsi="Arial"/>
          <w:sz w:val="22"/>
        </w:rPr>
        <w:t xml:space="preserve">= </w:t>
      </w:r>
      <w:r w:rsidR="005B2C50">
        <w:rPr>
          <w:rFonts w:ascii="Arial" w:hAnsi="Arial"/>
          <w:sz w:val="22"/>
        </w:rPr>
        <w:tab/>
      </w:r>
      <w:r w:rsidRPr="0057745B">
        <w:rPr>
          <w:rFonts w:ascii="Arial" w:hAnsi="Arial"/>
          <w:sz w:val="22"/>
        </w:rPr>
        <w:t>resilient modulus of the subgrade</w:t>
      </w:r>
    </w:p>
    <w:p w14:paraId="3C9DAD8F" w14:textId="5CD7289C" w:rsidR="00D6415B" w:rsidRPr="0057745B" w:rsidRDefault="00D6415B" w:rsidP="00722B46">
      <w:pPr>
        <w:tabs>
          <w:tab w:val="left" w:pos="1260"/>
          <w:tab w:val="left" w:pos="1620"/>
          <w:tab w:val="left" w:pos="1980"/>
        </w:tabs>
        <w:jc w:val="both"/>
        <w:rPr>
          <w:rFonts w:ascii="Arial" w:hAnsi="Arial"/>
          <w:sz w:val="22"/>
        </w:rPr>
      </w:pPr>
      <w:r w:rsidRPr="0057745B">
        <w:rPr>
          <w:rFonts w:ascii="Arial" w:hAnsi="Arial"/>
          <w:sz w:val="22"/>
        </w:rPr>
        <w:tab/>
        <w:t xml:space="preserve">P </w:t>
      </w:r>
      <w:r w:rsidR="005B2C50">
        <w:rPr>
          <w:rFonts w:ascii="Arial" w:hAnsi="Arial"/>
          <w:sz w:val="22"/>
        </w:rPr>
        <w:tab/>
      </w:r>
      <w:r w:rsidRPr="0057745B">
        <w:rPr>
          <w:rFonts w:ascii="Arial" w:hAnsi="Arial"/>
          <w:sz w:val="22"/>
        </w:rPr>
        <w:t xml:space="preserve">= </w:t>
      </w:r>
      <w:r w:rsidR="005B2C50">
        <w:rPr>
          <w:rFonts w:ascii="Arial" w:hAnsi="Arial"/>
          <w:sz w:val="22"/>
        </w:rPr>
        <w:tab/>
      </w:r>
      <w:r w:rsidRPr="0057745B">
        <w:rPr>
          <w:rFonts w:ascii="Arial" w:hAnsi="Arial"/>
          <w:sz w:val="22"/>
        </w:rPr>
        <w:t>applied load, pounds</w:t>
      </w:r>
    </w:p>
    <w:p w14:paraId="08181F4B" w14:textId="70E84464" w:rsidR="00D6415B" w:rsidRPr="0057745B" w:rsidRDefault="00D6415B" w:rsidP="00722B46">
      <w:pPr>
        <w:tabs>
          <w:tab w:val="left" w:pos="1260"/>
          <w:tab w:val="left" w:pos="1620"/>
          <w:tab w:val="left" w:pos="1980"/>
        </w:tabs>
        <w:jc w:val="both"/>
        <w:rPr>
          <w:rFonts w:ascii="Arial" w:hAnsi="Arial"/>
          <w:sz w:val="22"/>
        </w:rPr>
      </w:pPr>
      <w:r w:rsidRPr="0057745B">
        <w:rPr>
          <w:rFonts w:ascii="Arial" w:hAnsi="Arial"/>
          <w:sz w:val="22"/>
        </w:rPr>
        <w:tab/>
        <w:t>d</w:t>
      </w:r>
      <w:r w:rsidRPr="0057745B">
        <w:rPr>
          <w:rFonts w:ascii="Arial" w:hAnsi="Arial"/>
          <w:sz w:val="22"/>
          <w:vertAlign w:val="subscript"/>
        </w:rPr>
        <w:t>r</w:t>
      </w:r>
      <w:r w:rsidRPr="0057745B">
        <w:rPr>
          <w:rFonts w:ascii="Arial" w:hAnsi="Arial"/>
          <w:sz w:val="22"/>
        </w:rPr>
        <w:t xml:space="preserve"> </w:t>
      </w:r>
      <w:r w:rsidR="005B2C50">
        <w:rPr>
          <w:rFonts w:ascii="Arial" w:hAnsi="Arial"/>
          <w:sz w:val="22"/>
        </w:rPr>
        <w:tab/>
      </w:r>
      <w:r w:rsidRPr="0057745B">
        <w:rPr>
          <w:rFonts w:ascii="Arial" w:hAnsi="Arial"/>
          <w:sz w:val="22"/>
        </w:rPr>
        <w:t xml:space="preserve">= </w:t>
      </w:r>
      <w:r w:rsidR="005B2C50">
        <w:rPr>
          <w:rFonts w:ascii="Arial" w:hAnsi="Arial"/>
          <w:sz w:val="22"/>
        </w:rPr>
        <w:tab/>
      </w:r>
      <w:r w:rsidRPr="0057745B">
        <w:rPr>
          <w:rFonts w:ascii="Arial" w:hAnsi="Arial"/>
          <w:sz w:val="22"/>
        </w:rPr>
        <w:t>measured deflection at radial distance r, inches</w:t>
      </w:r>
    </w:p>
    <w:p w14:paraId="207539A5" w14:textId="7884604E" w:rsidR="00D6415B" w:rsidRPr="0057745B" w:rsidRDefault="00D6415B" w:rsidP="00722B46">
      <w:pPr>
        <w:tabs>
          <w:tab w:val="left" w:pos="1260"/>
          <w:tab w:val="left" w:pos="1620"/>
          <w:tab w:val="left" w:pos="1980"/>
        </w:tabs>
        <w:jc w:val="both"/>
        <w:rPr>
          <w:rFonts w:ascii="Arial" w:hAnsi="Arial"/>
          <w:sz w:val="22"/>
        </w:rPr>
      </w:pPr>
      <w:r w:rsidRPr="0057745B">
        <w:rPr>
          <w:rFonts w:ascii="Arial" w:hAnsi="Arial"/>
          <w:sz w:val="22"/>
        </w:rPr>
        <w:tab/>
        <w:t xml:space="preserve">r </w:t>
      </w:r>
      <w:r w:rsidR="005B2C50">
        <w:rPr>
          <w:rFonts w:ascii="Arial" w:hAnsi="Arial"/>
          <w:sz w:val="22"/>
        </w:rPr>
        <w:tab/>
      </w:r>
      <w:r w:rsidRPr="0057745B">
        <w:rPr>
          <w:rFonts w:ascii="Arial" w:hAnsi="Arial"/>
          <w:sz w:val="22"/>
        </w:rPr>
        <w:t xml:space="preserve">= </w:t>
      </w:r>
      <w:r w:rsidR="005B2C50">
        <w:rPr>
          <w:rFonts w:ascii="Arial" w:hAnsi="Arial"/>
          <w:sz w:val="22"/>
        </w:rPr>
        <w:tab/>
      </w:r>
      <w:r w:rsidRPr="0057745B">
        <w:rPr>
          <w:rFonts w:ascii="Arial" w:hAnsi="Arial"/>
          <w:sz w:val="22"/>
        </w:rPr>
        <w:t>radial distance of measured deflection, inches</w:t>
      </w:r>
    </w:p>
    <w:p w14:paraId="4C3127A9" w14:textId="77777777" w:rsidR="00D6415B" w:rsidRPr="0057745B" w:rsidRDefault="00D6415B" w:rsidP="00722B46">
      <w:pPr>
        <w:tabs>
          <w:tab w:val="left" w:pos="1260"/>
          <w:tab w:val="left" w:pos="1620"/>
          <w:tab w:val="left" w:pos="1980"/>
        </w:tabs>
        <w:jc w:val="both"/>
        <w:rPr>
          <w:rFonts w:ascii="Arial" w:hAnsi="Arial"/>
          <w:sz w:val="22"/>
        </w:rPr>
      </w:pPr>
      <w:r w:rsidRPr="0057745B">
        <w:rPr>
          <w:rFonts w:ascii="Arial" w:hAnsi="Arial"/>
          <w:sz w:val="22"/>
        </w:rPr>
        <w:tab/>
      </w:r>
      <w:r w:rsidRPr="0057745B">
        <w:rPr>
          <w:rFonts w:ascii="Arial" w:hAnsi="Arial"/>
          <w:sz w:val="22"/>
        </w:rPr>
        <w:tab/>
      </w:r>
      <w:r w:rsidRPr="0057745B">
        <w:rPr>
          <w:rFonts w:ascii="Arial" w:hAnsi="Arial"/>
          <w:sz w:val="22"/>
        </w:rPr>
        <w:tab/>
      </w:r>
      <w:r w:rsidRPr="0057745B">
        <w:rPr>
          <w:rFonts w:ascii="Arial" w:hAnsi="Arial"/>
          <w:sz w:val="22"/>
        </w:rPr>
        <w:tab/>
      </w:r>
    </w:p>
    <w:p w14:paraId="14CB6B7E" w14:textId="77777777" w:rsidR="00D6415B" w:rsidRPr="0057745B" w:rsidRDefault="00D6415B" w:rsidP="00722B46">
      <w:pPr>
        <w:pStyle w:val="BodyText"/>
        <w:tabs>
          <w:tab w:val="left" w:pos="1260"/>
          <w:tab w:val="left" w:pos="1620"/>
          <w:tab w:val="left" w:pos="1980"/>
        </w:tabs>
        <w:jc w:val="both"/>
      </w:pPr>
      <w:r w:rsidRPr="0057745B">
        <w:t>The key to this equation is selecting the radial distance to ensure the measured deflection is due to the subgrade and not other layers, but yet close enough to the load plate to ensure data accuracy.  The minimum distance can be determined using the following AASHTO equation:</w:t>
      </w:r>
    </w:p>
    <w:p w14:paraId="21432920" w14:textId="77777777" w:rsidR="005D0983" w:rsidRPr="005D0983" w:rsidRDefault="005D0983" w:rsidP="005D0983">
      <w:pPr>
        <w:rPr>
          <w:sz w:val="22"/>
          <w:szCs w:val="22"/>
        </w:rPr>
      </w:pPr>
      <m:oMathPara>
        <m:oMathParaPr>
          <m:jc m:val="center"/>
        </m:oMathParaPr>
        <m:oMath>
          <m:r>
            <w:rPr>
              <w:rFonts w:ascii="Cambria Math" w:hAnsi="Cambria Math"/>
              <w:sz w:val="22"/>
              <w:szCs w:val="22"/>
            </w:rPr>
            <m:t>r</m:t>
          </m:r>
          <m:r>
            <m:rPr>
              <m:sty m:val="p"/>
            </m:rPr>
            <w:rPr>
              <w:rFonts w:ascii="Cambria Math" w:hAnsi="Cambria Math"/>
              <w:sz w:val="22"/>
              <w:szCs w:val="22"/>
            </w:rPr>
            <m:t>≥</m:t>
          </m:r>
          <m:r>
            <w:rPr>
              <w:rFonts w:ascii="Cambria Math" w:hAnsi="Cambria Math"/>
              <w:sz w:val="22"/>
              <w:szCs w:val="22"/>
            </w:rPr>
            <m:t>0.7</m:t>
          </m:r>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a</m:t>
              </m:r>
            </m:e>
            <m:sub>
              <m:r>
                <w:rPr>
                  <w:rFonts w:ascii="Cambria Math" w:hAnsi="Cambria Math"/>
                  <w:sz w:val="22"/>
                  <w:szCs w:val="22"/>
                </w:rPr>
                <m:t>e</m:t>
              </m:r>
            </m:sub>
          </m:sSub>
        </m:oMath>
      </m:oMathPara>
    </w:p>
    <w:p w14:paraId="07ABB37C" w14:textId="77777777" w:rsidR="00092522" w:rsidRPr="005D15DA" w:rsidRDefault="00092522" w:rsidP="00092522">
      <w:pPr>
        <w:tabs>
          <w:tab w:val="left" w:pos="1260"/>
          <w:tab w:val="left" w:pos="1620"/>
          <w:tab w:val="left" w:pos="1980"/>
        </w:tabs>
        <w:jc w:val="both"/>
        <w:rPr>
          <w:rFonts w:ascii="Arial" w:hAnsi="Arial"/>
          <w:sz w:val="18"/>
          <w:szCs w:val="18"/>
        </w:rPr>
      </w:pPr>
    </w:p>
    <w:p w14:paraId="61114B40" w14:textId="77777777" w:rsidR="00092522" w:rsidRDefault="00D6415B" w:rsidP="00092522">
      <w:pPr>
        <w:tabs>
          <w:tab w:val="left" w:pos="1260"/>
          <w:tab w:val="left" w:pos="1620"/>
          <w:tab w:val="left" w:pos="1980"/>
        </w:tabs>
        <w:ind w:firstLine="720"/>
        <w:jc w:val="both"/>
        <w:rPr>
          <w:rFonts w:ascii="Arial" w:hAnsi="Arial"/>
          <w:sz w:val="22"/>
        </w:rPr>
      </w:pPr>
      <w:r w:rsidRPr="0057745B">
        <w:rPr>
          <w:rFonts w:ascii="Arial" w:hAnsi="Arial"/>
          <w:sz w:val="22"/>
        </w:rPr>
        <w:t xml:space="preserve">where: </w:t>
      </w:r>
      <w:r w:rsidRPr="0057745B">
        <w:rPr>
          <w:rFonts w:ascii="Arial" w:hAnsi="Arial"/>
          <w:sz w:val="22"/>
        </w:rPr>
        <w:tab/>
      </w:r>
    </w:p>
    <w:p w14:paraId="7F156DE1" w14:textId="7FDDF80C" w:rsidR="00D6415B" w:rsidRPr="0057745B" w:rsidRDefault="00D6415B" w:rsidP="00722B46">
      <w:pPr>
        <w:tabs>
          <w:tab w:val="left" w:pos="1260"/>
          <w:tab w:val="left" w:pos="1620"/>
          <w:tab w:val="left" w:pos="1980"/>
        </w:tabs>
        <w:ind w:left="720" w:firstLine="540"/>
        <w:jc w:val="both"/>
        <w:rPr>
          <w:rFonts w:ascii="Arial" w:hAnsi="Arial"/>
          <w:sz w:val="22"/>
        </w:rPr>
      </w:pPr>
      <w:r w:rsidRPr="0057745B">
        <w:rPr>
          <w:rFonts w:ascii="Arial" w:hAnsi="Arial"/>
          <w:sz w:val="22"/>
        </w:rPr>
        <w:t>a</w:t>
      </w:r>
      <w:r w:rsidRPr="0057745B">
        <w:rPr>
          <w:rFonts w:ascii="Arial" w:hAnsi="Arial"/>
          <w:sz w:val="22"/>
          <w:vertAlign w:val="subscript"/>
        </w:rPr>
        <w:t>e</w:t>
      </w:r>
      <w:r w:rsidRPr="0057745B">
        <w:rPr>
          <w:rFonts w:ascii="Arial" w:hAnsi="Arial"/>
          <w:sz w:val="22"/>
        </w:rPr>
        <w:t xml:space="preserve"> </w:t>
      </w:r>
      <w:r w:rsidR="00092522">
        <w:rPr>
          <w:rFonts w:ascii="Arial" w:hAnsi="Arial"/>
          <w:sz w:val="22"/>
        </w:rPr>
        <w:tab/>
      </w:r>
      <w:r w:rsidRPr="0057745B">
        <w:rPr>
          <w:rFonts w:ascii="Arial" w:hAnsi="Arial"/>
          <w:sz w:val="22"/>
        </w:rPr>
        <w:t xml:space="preserve">= </w:t>
      </w:r>
      <w:r w:rsidR="00092522">
        <w:rPr>
          <w:rFonts w:ascii="Arial" w:hAnsi="Arial"/>
          <w:sz w:val="22"/>
        </w:rPr>
        <w:tab/>
      </w:r>
      <w:r w:rsidRPr="0057745B">
        <w:rPr>
          <w:rFonts w:ascii="Arial" w:hAnsi="Arial"/>
          <w:sz w:val="22"/>
        </w:rPr>
        <w:t>radius of the stress bulb at the subgrade-pavement interface, inches</w:t>
      </w:r>
    </w:p>
    <w:p w14:paraId="742558E1" w14:textId="77777777" w:rsidR="00D6415B" w:rsidRPr="0057745B" w:rsidRDefault="00D6415B" w:rsidP="00D6415B">
      <w:pPr>
        <w:jc w:val="both"/>
        <w:rPr>
          <w:rFonts w:ascii="Arial" w:hAnsi="Arial"/>
          <w:sz w:val="22"/>
        </w:rPr>
      </w:pPr>
      <w:r w:rsidRPr="0057745B">
        <w:rPr>
          <w:rFonts w:ascii="Arial" w:hAnsi="Arial"/>
          <w:sz w:val="22"/>
        </w:rPr>
        <w:tab/>
      </w:r>
      <w:r w:rsidRPr="0057745B">
        <w:rPr>
          <w:rFonts w:ascii="Arial" w:hAnsi="Arial"/>
          <w:sz w:val="22"/>
        </w:rPr>
        <w:tab/>
      </w:r>
      <w:r w:rsidRPr="0057745B">
        <w:rPr>
          <w:rFonts w:ascii="Arial" w:hAnsi="Arial"/>
          <w:sz w:val="22"/>
        </w:rPr>
        <w:tab/>
      </w:r>
      <w:r w:rsidRPr="0057745B">
        <w:rPr>
          <w:rFonts w:ascii="Arial" w:hAnsi="Arial"/>
          <w:sz w:val="22"/>
        </w:rPr>
        <w:tab/>
      </w:r>
    </w:p>
    <w:p w14:paraId="57CFB196" w14:textId="77777777" w:rsidR="00D6415B" w:rsidRPr="0057745B" w:rsidRDefault="00D6415B" w:rsidP="00D6415B">
      <w:pPr>
        <w:pStyle w:val="BodyText"/>
        <w:jc w:val="both"/>
      </w:pPr>
      <w:r w:rsidRPr="0057745B">
        <w:t>The stress bulb is calculated using the following AASHTO equation:</w:t>
      </w:r>
    </w:p>
    <w:p w14:paraId="35DDD085" w14:textId="77777777" w:rsidR="005D0983" w:rsidRDefault="00000000" w:rsidP="005D0983">
      <w:pPr>
        <w:pStyle w:val="BodyText"/>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e</m:t>
              </m:r>
            </m:sub>
          </m:sSub>
          <m:r>
            <m:rPr>
              <m:sty m:val="p"/>
            </m:rPr>
            <w:rPr>
              <w:rFonts w:ascii="Cambria Math" w:hAnsi="Cambria Math"/>
            </w:rPr>
            <m:t>=</m:t>
          </m:r>
          <m:rad>
            <m:radPr>
              <m:degHide m:val="1"/>
              <m:ctrlPr>
                <w:rPr>
                  <w:rFonts w:ascii="Cambria Math" w:hAnsi="Cambria Math"/>
                </w:rPr>
              </m:ctrlPr>
            </m:radPr>
            <m:deg/>
            <m:e>
              <m:d>
                <m:dPr>
                  <m:begChr m:val="{"/>
                  <m:endChr m:val="}"/>
                  <m:ctrlPr>
                    <w:rPr>
                      <w:rFonts w:ascii="Cambria Math" w:hAnsi="Cambria Math"/>
                    </w:rPr>
                  </m:ctrlPr>
                </m:dPr>
                <m:e>
                  <m:sSup>
                    <m:sSupPr>
                      <m:ctrlPr>
                        <w:rPr>
                          <w:rFonts w:ascii="Cambria Math" w:hAnsi="Cambria Math"/>
                        </w:rPr>
                      </m:ctrlPr>
                    </m:sSupPr>
                    <m:e>
                      <m:r>
                        <w:rPr>
                          <w:rFonts w:ascii="Cambria Math" w:hAnsi="Cambria Math"/>
                        </w:rPr>
                        <m:t>a</m:t>
                      </m:r>
                    </m:e>
                    <m:sup>
                      <m: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D</m:t>
                          </m:r>
                          <m:r>
                            <m:rPr>
                              <m:sty m:val="p"/>
                            </m:rPr>
                            <w:rPr>
                              <w:rFonts w:ascii="Cambria Math" w:hAnsi="Cambria Math"/>
                            </w:rPr>
                            <m:t>×</m:t>
                          </m:r>
                          <m:rad>
                            <m:radPr>
                              <m:ctrlPr>
                                <w:rPr>
                                  <w:rFonts w:ascii="Cambria Math" w:hAnsi="Cambria Math"/>
                                </w:rPr>
                              </m:ctrlPr>
                            </m:radPr>
                            <m:deg>
                              <m:r>
                                <w:rPr>
                                  <w:rFonts w:ascii="Cambria Math" w:hAnsi="Cambria Math"/>
                                </w:rPr>
                                <m:t>3</m:t>
                              </m:r>
                            </m:deg>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p</m:t>
                                      </m:r>
                                    </m:sub>
                                  </m:sSub>
                                </m:num>
                                <m:den>
                                  <m:sSub>
                                    <m:sSubPr>
                                      <m:ctrlPr>
                                        <w:rPr>
                                          <w:rFonts w:ascii="Cambria Math" w:hAnsi="Cambria Math"/>
                                        </w:rPr>
                                      </m:ctrlPr>
                                    </m:sSubPr>
                                    <m:e>
                                      <m:r>
                                        <w:rPr>
                                          <w:rFonts w:ascii="Cambria Math" w:hAnsi="Cambria Math"/>
                                        </w:rPr>
                                        <m:t>M</m:t>
                                      </m:r>
                                    </m:e>
                                    <m:sub>
                                      <m:r>
                                        <w:rPr>
                                          <w:rFonts w:ascii="Cambria Math" w:hAnsi="Cambria Math"/>
                                        </w:rPr>
                                        <m:t>r</m:t>
                                      </m:r>
                                    </m:sub>
                                  </m:sSub>
                                </m:den>
                              </m:f>
                            </m:e>
                          </m:rad>
                        </m:e>
                      </m:d>
                    </m:e>
                    <m:sup>
                      <m:r>
                        <w:rPr>
                          <w:rFonts w:ascii="Cambria Math" w:hAnsi="Cambria Math"/>
                        </w:rPr>
                        <m:t>2</m:t>
                      </m:r>
                    </m:sup>
                  </m:sSup>
                </m:e>
              </m:d>
            </m:e>
          </m:rad>
        </m:oMath>
      </m:oMathPara>
    </w:p>
    <w:p w14:paraId="10A99791" w14:textId="77777777" w:rsidR="00D6415B" w:rsidRPr="00722B46" w:rsidRDefault="00D6415B" w:rsidP="00D6415B">
      <w:pPr>
        <w:jc w:val="both"/>
        <w:rPr>
          <w:rFonts w:ascii="Arial" w:hAnsi="Arial"/>
          <w:b/>
          <w:sz w:val="18"/>
        </w:rPr>
      </w:pPr>
    </w:p>
    <w:p w14:paraId="70E45CC1" w14:textId="77777777" w:rsidR="00092522" w:rsidRDefault="00D6415B" w:rsidP="00092522">
      <w:pPr>
        <w:ind w:firstLine="720"/>
        <w:jc w:val="both"/>
        <w:rPr>
          <w:rFonts w:ascii="Arial" w:hAnsi="Arial"/>
          <w:sz w:val="22"/>
        </w:rPr>
      </w:pPr>
      <w:r w:rsidRPr="0057745B">
        <w:rPr>
          <w:rFonts w:ascii="Arial" w:hAnsi="Arial"/>
          <w:sz w:val="22"/>
        </w:rPr>
        <w:t xml:space="preserve">where: </w:t>
      </w:r>
    </w:p>
    <w:p w14:paraId="552841A8" w14:textId="6D9D8BE7" w:rsidR="00D6415B" w:rsidRPr="0057745B" w:rsidRDefault="00D6415B" w:rsidP="00722B46">
      <w:pPr>
        <w:tabs>
          <w:tab w:val="left" w:pos="1620"/>
          <w:tab w:val="left" w:pos="1980"/>
        </w:tabs>
        <w:ind w:firstLine="1260"/>
        <w:jc w:val="both"/>
        <w:rPr>
          <w:rFonts w:ascii="Arial" w:hAnsi="Arial"/>
          <w:sz w:val="22"/>
        </w:rPr>
      </w:pPr>
      <w:r w:rsidRPr="0057745B">
        <w:rPr>
          <w:rFonts w:ascii="Arial" w:hAnsi="Arial"/>
          <w:sz w:val="22"/>
        </w:rPr>
        <w:t xml:space="preserve">a </w:t>
      </w:r>
      <w:r w:rsidR="00092522">
        <w:rPr>
          <w:rFonts w:ascii="Arial" w:hAnsi="Arial"/>
          <w:sz w:val="22"/>
        </w:rPr>
        <w:tab/>
      </w:r>
      <w:r w:rsidRPr="0057745B">
        <w:rPr>
          <w:rFonts w:ascii="Arial" w:hAnsi="Arial"/>
          <w:sz w:val="22"/>
        </w:rPr>
        <w:t xml:space="preserve">= </w:t>
      </w:r>
      <w:r w:rsidR="00092522">
        <w:rPr>
          <w:rFonts w:ascii="Arial" w:hAnsi="Arial"/>
          <w:sz w:val="22"/>
        </w:rPr>
        <w:tab/>
      </w:r>
      <w:r w:rsidRPr="0057745B">
        <w:rPr>
          <w:rFonts w:ascii="Arial" w:hAnsi="Arial"/>
          <w:sz w:val="22"/>
        </w:rPr>
        <w:t>FWD load plate radius, inches</w:t>
      </w:r>
    </w:p>
    <w:p w14:paraId="046BBBC7" w14:textId="221A6BDD" w:rsidR="00D6415B" w:rsidRPr="0057745B" w:rsidRDefault="00D6415B" w:rsidP="00722B46">
      <w:pPr>
        <w:tabs>
          <w:tab w:val="left" w:pos="1620"/>
          <w:tab w:val="left" w:pos="1980"/>
        </w:tabs>
        <w:ind w:left="1980" w:hanging="720"/>
        <w:rPr>
          <w:rFonts w:ascii="Arial" w:hAnsi="Arial"/>
          <w:sz w:val="22"/>
        </w:rPr>
      </w:pPr>
      <w:r w:rsidRPr="0057745B">
        <w:rPr>
          <w:rFonts w:ascii="Arial" w:hAnsi="Arial"/>
          <w:sz w:val="22"/>
        </w:rPr>
        <w:t xml:space="preserve">D </w:t>
      </w:r>
      <w:r w:rsidR="00092522">
        <w:rPr>
          <w:rFonts w:ascii="Arial" w:hAnsi="Arial"/>
          <w:sz w:val="22"/>
        </w:rPr>
        <w:tab/>
      </w:r>
      <w:r w:rsidRPr="0057745B">
        <w:rPr>
          <w:rFonts w:ascii="Arial" w:hAnsi="Arial"/>
          <w:sz w:val="22"/>
        </w:rPr>
        <w:t xml:space="preserve">= </w:t>
      </w:r>
      <w:r w:rsidR="00092522">
        <w:rPr>
          <w:rFonts w:ascii="Arial" w:hAnsi="Arial"/>
          <w:sz w:val="22"/>
        </w:rPr>
        <w:tab/>
      </w:r>
      <w:r w:rsidRPr="0057745B">
        <w:rPr>
          <w:rFonts w:ascii="Arial" w:hAnsi="Arial"/>
          <w:sz w:val="22"/>
        </w:rPr>
        <w:t>total pavement thickness of pavement layers above the subgrade, inches</w:t>
      </w:r>
    </w:p>
    <w:p w14:paraId="340F6A6E" w14:textId="6632C7C2" w:rsidR="00D6415B" w:rsidRPr="0057745B" w:rsidRDefault="00D6415B" w:rsidP="00722B46">
      <w:pPr>
        <w:tabs>
          <w:tab w:val="left" w:pos="1620"/>
          <w:tab w:val="left" w:pos="1980"/>
        </w:tabs>
        <w:ind w:firstLine="1260"/>
        <w:rPr>
          <w:rFonts w:ascii="Arial" w:hAnsi="Arial"/>
          <w:sz w:val="22"/>
        </w:rPr>
      </w:pPr>
      <w:r w:rsidRPr="0057745B">
        <w:rPr>
          <w:rFonts w:ascii="Arial" w:hAnsi="Arial"/>
          <w:sz w:val="22"/>
        </w:rPr>
        <w:t>E</w:t>
      </w:r>
      <w:r w:rsidRPr="0057745B">
        <w:rPr>
          <w:rFonts w:ascii="Arial" w:hAnsi="Arial"/>
          <w:sz w:val="22"/>
          <w:vertAlign w:val="subscript"/>
        </w:rPr>
        <w:t xml:space="preserve">p </w:t>
      </w:r>
      <w:r w:rsidR="00092522">
        <w:rPr>
          <w:rFonts w:ascii="Arial" w:hAnsi="Arial"/>
          <w:sz w:val="22"/>
          <w:vertAlign w:val="subscript"/>
        </w:rPr>
        <w:tab/>
      </w:r>
      <w:r w:rsidRPr="0057745B">
        <w:rPr>
          <w:rFonts w:ascii="Arial" w:hAnsi="Arial"/>
          <w:sz w:val="22"/>
        </w:rPr>
        <w:t xml:space="preserve">= </w:t>
      </w:r>
      <w:r w:rsidR="00092522">
        <w:rPr>
          <w:rFonts w:ascii="Arial" w:hAnsi="Arial"/>
          <w:sz w:val="22"/>
        </w:rPr>
        <w:tab/>
      </w:r>
      <w:r w:rsidRPr="0057745B">
        <w:rPr>
          <w:rFonts w:ascii="Arial" w:hAnsi="Arial"/>
          <w:sz w:val="22"/>
        </w:rPr>
        <w:t>effective modulus of all pavement layers above the subgrade, psi</w:t>
      </w:r>
    </w:p>
    <w:p w14:paraId="4E72CD16" w14:textId="77777777" w:rsidR="00D6415B" w:rsidRPr="0057745B" w:rsidRDefault="00D6415B" w:rsidP="00722B46">
      <w:pPr>
        <w:rPr>
          <w:rFonts w:ascii="Arial" w:hAnsi="Arial"/>
        </w:rPr>
      </w:pPr>
    </w:p>
    <w:p w14:paraId="253297A4" w14:textId="77777777" w:rsidR="00D6415B" w:rsidRDefault="00D6415B" w:rsidP="00D6415B">
      <w:pPr>
        <w:jc w:val="both"/>
        <w:rPr>
          <w:rFonts w:ascii="Arial" w:hAnsi="Arial"/>
          <w:sz w:val="22"/>
        </w:rPr>
      </w:pPr>
      <w:r w:rsidRPr="0057745B">
        <w:rPr>
          <w:rFonts w:ascii="Arial" w:hAnsi="Arial"/>
          <w:sz w:val="22"/>
        </w:rPr>
        <w:lastRenderedPageBreak/>
        <w:t xml:space="preserve">Based on the equations provided above, the resilient modulus cannot be calculated without the effective modulus of all pavement layers above the subgrade.  Yet, the effective modulus of all pavement layers above the subgrade cannot be calculated without the subgrade resilient modulus.  Therefore, an iterative process is required to obtain both values using the equations provided above.  </w:t>
      </w:r>
    </w:p>
    <w:p w14:paraId="20F02F78" w14:textId="77777777" w:rsidR="00D6415B" w:rsidRDefault="00D6415B" w:rsidP="00D6415B">
      <w:pPr>
        <w:jc w:val="both"/>
        <w:rPr>
          <w:rFonts w:ascii="Arial" w:hAnsi="Arial"/>
          <w:sz w:val="22"/>
        </w:rPr>
      </w:pPr>
    </w:p>
    <w:p w14:paraId="3959CD9C" w14:textId="45264720" w:rsidR="00D6415B" w:rsidRPr="0057745B" w:rsidRDefault="00D6415B" w:rsidP="00D6415B">
      <w:pPr>
        <w:jc w:val="both"/>
        <w:rPr>
          <w:rFonts w:ascii="Arial" w:hAnsi="Arial"/>
          <w:sz w:val="22"/>
        </w:rPr>
      </w:pPr>
      <w:r w:rsidRPr="0057745B">
        <w:rPr>
          <w:rFonts w:ascii="Arial" w:hAnsi="Arial"/>
          <w:sz w:val="22"/>
        </w:rPr>
        <w:t xml:space="preserve">However, engineering judgment can be used coupled with information from composite modulus plots to estimate the sensor to use to obtain the resilient subgrade modulus.  To ensure that the sensor is only recording the effect from the subgrade, use the </w:t>
      </w:r>
      <w:r w:rsidR="00092522" w:rsidRPr="0057745B">
        <w:rPr>
          <w:rFonts w:ascii="Arial" w:hAnsi="Arial"/>
          <w:sz w:val="22"/>
        </w:rPr>
        <w:t xml:space="preserve">sensor </w:t>
      </w:r>
      <w:r w:rsidRPr="0057745B">
        <w:rPr>
          <w:rFonts w:ascii="Arial" w:hAnsi="Arial"/>
          <w:sz w:val="22"/>
        </w:rPr>
        <w:t>f</w:t>
      </w:r>
      <w:r w:rsidR="00092522">
        <w:rPr>
          <w:rFonts w:ascii="Arial" w:hAnsi="Arial"/>
          <w:sz w:val="22"/>
        </w:rPr>
        <w:t>a</w:t>
      </w:r>
      <w:r w:rsidRPr="0057745B">
        <w:rPr>
          <w:rFonts w:ascii="Arial" w:hAnsi="Arial"/>
          <w:sz w:val="22"/>
        </w:rPr>
        <w:t xml:space="preserve">rthest away from the load plate that does not show effects of a non-linear subgrade to calculate the subgrade resilient modulus.  Composite modulus plots and non-liner subgrade items were discussed in a previous section about pre-processing FWD data. </w:t>
      </w:r>
      <w:r w:rsidRPr="0057745B">
        <w:rPr>
          <w:rFonts w:ascii="Arial" w:hAnsi="Arial"/>
          <w:sz w:val="22"/>
        </w:rPr>
        <w:tab/>
      </w:r>
    </w:p>
    <w:p w14:paraId="4531AA4B" w14:textId="77777777" w:rsidR="00D6415B" w:rsidRPr="0057745B" w:rsidRDefault="00D6415B" w:rsidP="00D6415B">
      <w:pPr>
        <w:jc w:val="both"/>
      </w:pPr>
    </w:p>
    <w:p w14:paraId="1D5EEA2C" w14:textId="688374CF" w:rsidR="00D6415B" w:rsidRPr="00EB061A" w:rsidRDefault="00D6415B" w:rsidP="0072232D">
      <w:pPr>
        <w:pStyle w:val="BodyText"/>
        <w:jc w:val="both"/>
      </w:pPr>
      <w:r w:rsidRPr="0057745B">
        <w:t xml:space="preserve">The resilient subgrade modulus calculated from the equations above provides the results as measured through dynamic testing and not correlated to laboratory testing.  AASHTO provides a general guideline that </w:t>
      </w:r>
      <w:r w:rsidR="00092522">
        <w:rPr>
          <w:rFonts w:cs="Arial"/>
        </w:rPr>
        <w:t>⅓</w:t>
      </w:r>
      <w:r w:rsidRPr="0057745B">
        <w:t xml:space="preserve"> the calculated subgrade resilient modulus from FWD data analysis shall be used for the design subgrade resilient modulus.  Therefore, the AASHTO eq</w:t>
      </w:r>
      <w:r w:rsidRPr="00EB061A">
        <w:t xml:space="preserve">uation to calculate subgrade resilient modulus results in the following: </w:t>
      </w:r>
    </w:p>
    <w:p w14:paraId="195DB2DE" w14:textId="77777777" w:rsidR="0072232D" w:rsidRPr="0072232D" w:rsidRDefault="00000000" w:rsidP="0072232D">
      <w:pPr>
        <w:pStyle w:val="BodyText"/>
        <w:rPr>
          <w:sz w:val="24"/>
          <w:szCs w:val="22"/>
        </w:rPr>
      </w:pPr>
      <m:oMathPara>
        <m:oMathParaPr>
          <m:jc m:val="center"/>
        </m:oMathParaPr>
        <m:oMath>
          <m:sSub>
            <m:sSubPr>
              <m:ctrlPr>
                <w:rPr>
                  <w:rFonts w:ascii="Cambria Math" w:hAnsi="Cambria Math"/>
                  <w:sz w:val="24"/>
                  <w:szCs w:val="22"/>
                </w:rPr>
              </m:ctrlPr>
            </m:sSubPr>
            <m:e>
              <m:r>
                <w:rPr>
                  <w:rFonts w:ascii="Cambria Math" w:hAnsi="Cambria Math"/>
                  <w:sz w:val="24"/>
                  <w:szCs w:val="22"/>
                </w:rPr>
                <m:t>M</m:t>
              </m:r>
            </m:e>
            <m:sub>
              <m:r>
                <w:rPr>
                  <w:rFonts w:ascii="Cambria Math" w:hAnsi="Cambria Math"/>
                  <w:sz w:val="24"/>
                  <w:szCs w:val="22"/>
                </w:rPr>
                <m:t>r</m:t>
              </m:r>
              <m:d>
                <m:dPr>
                  <m:ctrlPr>
                    <w:rPr>
                      <w:rFonts w:ascii="Cambria Math" w:hAnsi="Cambria Math"/>
                      <w:sz w:val="24"/>
                      <w:szCs w:val="22"/>
                    </w:rPr>
                  </m:ctrlPr>
                </m:dPr>
                <m:e>
                  <m:r>
                    <m:rPr>
                      <m:nor/>
                    </m:rPr>
                    <w:rPr>
                      <w:sz w:val="24"/>
                      <w:szCs w:val="22"/>
                    </w:rPr>
                    <m:t>Design</m:t>
                  </m:r>
                </m:e>
              </m:d>
            </m:sub>
          </m:sSub>
          <m:r>
            <m:rPr>
              <m:sty m:val="p"/>
            </m:rPr>
            <w:rPr>
              <w:rFonts w:ascii="Cambria Math" w:hAnsi="Cambria Math"/>
              <w:sz w:val="24"/>
              <w:szCs w:val="22"/>
            </w:rPr>
            <m:t>=</m:t>
          </m:r>
          <m:r>
            <w:rPr>
              <w:rFonts w:ascii="Cambria Math" w:hAnsi="Cambria Math"/>
              <w:sz w:val="24"/>
              <w:szCs w:val="22"/>
            </w:rPr>
            <m:t>C</m:t>
          </m:r>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M</m:t>
              </m:r>
            </m:e>
            <m:sub>
              <m:r>
                <w:rPr>
                  <w:rFonts w:ascii="Cambria Math" w:hAnsi="Cambria Math"/>
                  <w:sz w:val="24"/>
                  <w:szCs w:val="22"/>
                </w:rPr>
                <m:t>r</m:t>
              </m:r>
              <m:d>
                <m:dPr>
                  <m:ctrlPr>
                    <w:rPr>
                      <w:rFonts w:ascii="Cambria Math" w:hAnsi="Cambria Math"/>
                      <w:sz w:val="24"/>
                      <w:szCs w:val="22"/>
                    </w:rPr>
                  </m:ctrlPr>
                </m:dPr>
                <m:e>
                  <m:r>
                    <m:rPr>
                      <m:nor/>
                    </m:rPr>
                    <w:rPr>
                      <w:sz w:val="24"/>
                      <w:szCs w:val="22"/>
                    </w:rPr>
                    <m:t>FWD</m:t>
                  </m:r>
                </m:e>
              </m:d>
            </m:sub>
          </m:sSub>
        </m:oMath>
      </m:oMathPara>
    </w:p>
    <w:p w14:paraId="72A56D07" w14:textId="1AFC9860" w:rsidR="00DB7F89" w:rsidRDefault="00D6415B" w:rsidP="00D6415B">
      <w:pPr>
        <w:jc w:val="both"/>
        <w:rPr>
          <w:rFonts w:ascii="Arial" w:hAnsi="Arial"/>
          <w:sz w:val="22"/>
        </w:rPr>
      </w:pPr>
      <w:r w:rsidRPr="00EB061A">
        <w:rPr>
          <w:rFonts w:ascii="Arial" w:hAnsi="Arial"/>
          <w:sz w:val="22"/>
        </w:rPr>
        <w:tab/>
        <w:t xml:space="preserve">where: </w:t>
      </w:r>
    </w:p>
    <w:p w14:paraId="07B28C39" w14:textId="15FA91B0" w:rsidR="00D6415B" w:rsidRPr="00EB061A" w:rsidRDefault="00DB7F89" w:rsidP="00722B46">
      <w:pPr>
        <w:tabs>
          <w:tab w:val="left" w:pos="1260"/>
          <w:tab w:val="left" w:pos="1620"/>
          <w:tab w:val="left" w:pos="1980"/>
        </w:tabs>
        <w:ind w:left="1980" w:hanging="1980"/>
        <w:rPr>
          <w:rFonts w:ascii="Arial" w:hAnsi="Arial"/>
          <w:sz w:val="22"/>
        </w:rPr>
      </w:pPr>
      <w:r>
        <w:rPr>
          <w:rFonts w:ascii="Arial" w:hAnsi="Arial"/>
          <w:sz w:val="22"/>
        </w:rPr>
        <w:tab/>
      </w:r>
      <w:r w:rsidR="00D6415B" w:rsidRPr="00EB061A">
        <w:rPr>
          <w:rFonts w:ascii="Arial" w:hAnsi="Arial"/>
          <w:sz w:val="22"/>
        </w:rPr>
        <w:t xml:space="preserve">C </w:t>
      </w:r>
      <w:r>
        <w:rPr>
          <w:rFonts w:ascii="Arial" w:hAnsi="Arial"/>
          <w:sz w:val="22"/>
        </w:rPr>
        <w:tab/>
      </w:r>
      <w:r w:rsidR="00D6415B" w:rsidRPr="00EB061A">
        <w:rPr>
          <w:rFonts w:ascii="Arial" w:hAnsi="Arial"/>
          <w:sz w:val="22"/>
        </w:rPr>
        <w:t xml:space="preserve">= </w:t>
      </w:r>
      <w:r>
        <w:rPr>
          <w:rFonts w:ascii="Arial" w:hAnsi="Arial"/>
          <w:sz w:val="22"/>
        </w:rPr>
        <w:tab/>
      </w:r>
      <w:r w:rsidR="00D6415B" w:rsidRPr="00EB061A">
        <w:rPr>
          <w:rFonts w:ascii="Arial" w:hAnsi="Arial"/>
          <w:sz w:val="22"/>
        </w:rPr>
        <w:t xml:space="preserve">field to laboratory correlation for subgrade resilient modulus.  This value is typically </w:t>
      </w:r>
      <w:r w:rsidR="00D6415B" w:rsidRPr="00EB061A">
        <w:rPr>
          <w:rFonts w:ascii="Arial" w:hAnsi="Arial"/>
          <w:b/>
          <w:sz w:val="22"/>
        </w:rPr>
        <w:t>0.33</w:t>
      </w:r>
      <w:r w:rsidR="00D6415B" w:rsidRPr="00EB061A">
        <w:rPr>
          <w:rFonts w:ascii="Arial" w:hAnsi="Arial"/>
          <w:sz w:val="22"/>
        </w:rPr>
        <w:t xml:space="preserve">. </w:t>
      </w:r>
    </w:p>
    <w:p w14:paraId="691B33CA" w14:textId="48B3CC40" w:rsidR="00D6415B" w:rsidRPr="00EB061A" w:rsidRDefault="00D6415B" w:rsidP="00D6415B">
      <w:pPr>
        <w:jc w:val="both"/>
        <w:rPr>
          <w:rFonts w:ascii="Arial" w:hAnsi="Arial"/>
        </w:rPr>
      </w:pPr>
    </w:p>
    <w:p w14:paraId="539EAD0A" w14:textId="77777777" w:rsidR="00D6415B" w:rsidRPr="00722B46" w:rsidRDefault="00D6415B" w:rsidP="00172E64">
      <w:pPr>
        <w:pStyle w:val="Heading6"/>
        <w:numPr>
          <w:ilvl w:val="5"/>
          <w:numId w:val="185"/>
        </w:numPr>
        <w:tabs>
          <w:tab w:val="left" w:pos="1800"/>
        </w:tabs>
        <w:ind w:left="0" w:firstLine="0"/>
        <w:jc w:val="both"/>
        <w:rPr>
          <w:b/>
        </w:rPr>
      </w:pPr>
      <w:r w:rsidRPr="00722B46">
        <w:rPr>
          <w:b/>
        </w:rPr>
        <w:t>Composite Modulus of Pavement Layers Above Subgrade</w:t>
      </w:r>
    </w:p>
    <w:p w14:paraId="09613E9D" w14:textId="50903CD3" w:rsidR="00D6415B" w:rsidRDefault="00D6415B" w:rsidP="00D6415B">
      <w:pPr>
        <w:pStyle w:val="BodyText"/>
        <w:spacing w:after="0"/>
        <w:jc w:val="both"/>
      </w:pPr>
      <w:r w:rsidRPr="00EB061A">
        <w:t xml:space="preserve">The composite modulus, or the effective modulus, is the measure of the strength of all the pavement layers above the subgrade in the pavement structure.  This value provides an indication of the overall strength of the pavement structure at the test point. This can be used to compare with other sections to identify change in pavement structure or pavement layer material strengths.  In order to calculate the composite modulus, both the total thickness of all the layers above subgrade and the subgrade resilient modulus need to be known.  This information and the deflection from FWD testing directly under the load plate </w:t>
      </w:r>
      <w:r w:rsidR="00DB7F89">
        <w:t xml:space="preserve">are </w:t>
      </w:r>
      <w:r w:rsidRPr="00EB061A">
        <w:t>used in the following equation to calculate the composite modulus:</w:t>
      </w:r>
    </w:p>
    <w:p w14:paraId="7CE4E95B" w14:textId="77777777" w:rsidR="005D0983" w:rsidRPr="00EB061A" w:rsidRDefault="005D0983" w:rsidP="00D6415B">
      <w:pPr>
        <w:pStyle w:val="BodyText"/>
        <w:spacing w:after="0"/>
        <w:jc w:val="both"/>
      </w:pPr>
    </w:p>
    <w:p w14:paraId="16861FF6" w14:textId="77777777" w:rsidR="005D0983" w:rsidRDefault="00000000" w:rsidP="005D0983">
      <w:pPr>
        <w:pStyle w:val="BodyText"/>
      </w:pPr>
      <m:oMathPara>
        <m:oMathParaPr>
          <m:jc m:val="center"/>
        </m:oMathParaPr>
        <m:oMath>
          <m:sSub>
            <m:sSubPr>
              <m:ctrlPr>
                <w:rPr>
                  <w:rFonts w:ascii="Cambria Math" w:hAnsi="Cambria Math"/>
                </w:rPr>
              </m:ctrlPr>
            </m:sSubPr>
            <m:e>
              <m:r>
                <w:rPr>
                  <w:rFonts w:ascii="Cambria Math" w:hAnsi="Cambria Math"/>
                </w:rPr>
                <m:t>d</m:t>
              </m:r>
            </m:e>
            <m:sub>
              <m:r>
                <w:rPr>
                  <w:rFonts w:ascii="Cambria Math" w:hAnsi="Cambria Math"/>
                </w:rPr>
                <m:t>0</m:t>
              </m:r>
            </m:sub>
          </m:sSub>
          <m:r>
            <m:rPr>
              <m:sty m:val="p"/>
            </m:rPr>
            <w:rPr>
              <w:rFonts w:ascii="Cambria Math" w:hAnsi="Cambria Math"/>
            </w:rPr>
            <m:t>=</m:t>
          </m:r>
          <m:r>
            <w:rPr>
              <w:rFonts w:ascii="Cambria Math" w:hAnsi="Cambria Math"/>
            </w:rPr>
            <m:t>1.5</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r</m:t>
                      </m:r>
                    </m:sub>
                  </m:sSub>
                  <m:r>
                    <m:rPr>
                      <m:sty m:val="p"/>
                    </m:rPr>
                    <w:rPr>
                      <w:rFonts w:ascii="Cambria Math" w:hAnsi="Cambria Math"/>
                    </w:rPr>
                    <m:t>×</m:t>
                  </m:r>
                  <m:rad>
                    <m:radPr>
                      <m:degHide m:val="1"/>
                      <m:ctrlPr>
                        <w:rPr>
                          <w:rFonts w:ascii="Cambria Math" w:hAnsi="Cambria Math"/>
                        </w:rPr>
                      </m:ctrlPr>
                    </m:radPr>
                    <m:deg/>
                    <m:e>
                      <m:r>
                        <w:rPr>
                          <w:rFonts w:ascii="Cambria Math" w:hAnsi="Cambria Math"/>
                        </w:rPr>
                        <m:t>1</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D</m:t>
                                  </m:r>
                                </m:num>
                                <m:den>
                                  <m:r>
                                    <w:rPr>
                                      <w:rFonts w:ascii="Cambria Math" w:hAnsi="Cambria Math"/>
                                    </w:rPr>
                                    <m:t>a</m:t>
                                  </m:r>
                                </m:den>
                              </m:f>
                              <m:r>
                                <m:rPr>
                                  <m:sty m:val="p"/>
                                </m:rPr>
                                <w:rPr>
                                  <w:rFonts w:ascii="Cambria Math" w:hAnsi="Cambria Math"/>
                                </w:rPr>
                                <m:t>×</m:t>
                              </m:r>
                              <m:rad>
                                <m:radPr>
                                  <m:ctrlPr>
                                    <w:rPr>
                                      <w:rFonts w:ascii="Cambria Math" w:hAnsi="Cambria Math"/>
                                    </w:rPr>
                                  </m:ctrlPr>
                                </m:radPr>
                                <m:deg>
                                  <m:r>
                                    <w:rPr>
                                      <w:rFonts w:ascii="Cambria Math" w:hAnsi="Cambria Math"/>
                                    </w:rPr>
                                    <m:t>3</m:t>
                                  </m:r>
                                </m:deg>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p</m:t>
                                          </m:r>
                                        </m:sub>
                                      </m:sSub>
                                    </m:num>
                                    <m:den>
                                      <m:sSub>
                                        <m:sSubPr>
                                          <m:ctrlPr>
                                            <w:rPr>
                                              <w:rFonts w:ascii="Cambria Math" w:hAnsi="Cambria Math"/>
                                            </w:rPr>
                                          </m:ctrlPr>
                                        </m:sSubPr>
                                        <m:e>
                                          <m:r>
                                            <w:rPr>
                                              <w:rFonts w:ascii="Cambria Math" w:hAnsi="Cambria Math"/>
                                            </w:rPr>
                                            <m:t>M</m:t>
                                          </m:r>
                                        </m:e>
                                        <m:sub>
                                          <m:r>
                                            <w:rPr>
                                              <w:rFonts w:ascii="Cambria Math" w:hAnsi="Cambria Math"/>
                                            </w:rPr>
                                            <m:t>r</m:t>
                                          </m:r>
                                        </m:sub>
                                      </m:sSub>
                                    </m:den>
                                  </m:f>
                                </m:e>
                              </m:rad>
                            </m:e>
                          </m:d>
                        </m:e>
                        <m:sup>
                          <m:r>
                            <w:rPr>
                              <w:rFonts w:ascii="Cambria Math" w:hAnsi="Cambria Math"/>
                            </w:rPr>
                            <m:t>2</m:t>
                          </m:r>
                        </m:sup>
                      </m:sSup>
                    </m:e>
                  </m:rad>
                </m:den>
              </m:f>
              <m:r>
                <m:rPr>
                  <m:sty m:val="p"/>
                </m:rPr>
                <w:rPr>
                  <w:rFonts w:ascii="Cambria Math" w:hAnsi="Cambria Math"/>
                </w:rPr>
                <m:t>+</m:t>
              </m:r>
              <m:f>
                <m:fPr>
                  <m:ctrlPr>
                    <w:rPr>
                      <w:rFonts w:ascii="Cambria Math" w:hAnsi="Cambria Math"/>
                    </w:rPr>
                  </m:ctrlPr>
                </m:fPr>
                <m:num>
                  <m:d>
                    <m:dPr>
                      <m:ctrlPr>
                        <w:rPr>
                          <w:rFonts w:ascii="Cambria Math" w:hAnsi="Cambria Math"/>
                        </w:rPr>
                      </m:ctrlPr>
                    </m:dPr>
                    <m:e>
                      <m:r>
                        <w:rPr>
                          <w:rFonts w:ascii="Cambria Math" w:hAnsi="Cambria Math"/>
                        </w:rPr>
                        <m:t>1</m:t>
                      </m:r>
                      <m:r>
                        <m:rPr>
                          <m:sty m:val="p"/>
                        </m:rPr>
                        <w:rPr>
                          <w:rFonts w:ascii="Cambria Math" w:hAnsi="Cambria Math"/>
                        </w:rPr>
                        <m:t>-</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r>
                                <w:rPr>
                                  <w:rFonts w:ascii="Cambria Math" w:hAnsi="Cambria Math"/>
                                </w:rPr>
                                <m:t>1</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D</m:t>
                                          </m:r>
                                        </m:num>
                                        <m:den>
                                          <m:r>
                                            <w:rPr>
                                              <w:rFonts w:ascii="Cambria Math" w:hAnsi="Cambria Math"/>
                                            </w:rPr>
                                            <m:t>a</m:t>
                                          </m:r>
                                        </m:den>
                                      </m:f>
                                    </m:e>
                                  </m:d>
                                </m:e>
                                <m:sup>
                                  <m:r>
                                    <w:rPr>
                                      <w:rFonts w:ascii="Cambria Math" w:hAnsi="Cambria Math"/>
                                    </w:rPr>
                                    <m:t>2</m:t>
                                  </m:r>
                                </m:sup>
                              </m:sSup>
                            </m:e>
                          </m:rad>
                        </m:den>
                      </m:f>
                    </m:e>
                  </m:d>
                </m:num>
                <m:den>
                  <m:sSub>
                    <m:sSubPr>
                      <m:ctrlPr>
                        <w:rPr>
                          <w:rFonts w:ascii="Cambria Math" w:hAnsi="Cambria Math"/>
                        </w:rPr>
                      </m:ctrlPr>
                    </m:sSubPr>
                    <m:e>
                      <m:r>
                        <w:rPr>
                          <w:rFonts w:ascii="Cambria Math" w:hAnsi="Cambria Math"/>
                        </w:rPr>
                        <m:t>E</m:t>
                      </m:r>
                    </m:e>
                    <m:sub>
                      <m:r>
                        <w:rPr>
                          <w:rFonts w:ascii="Cambria Math" w:hAnsi="Cambria Math"/>
                        </w:rPr>
                        <m:t>p</m:t>
                      </m:r>
                    </m:sub>
                  </m:sSub>
                </m:den>
              </m:f>
            </m:e>
          </m:d>
        </m:oMath>
      </m:oMathPara>
    </w:p>
    <w:p w14:paraId="72ABC8AD" w14:textId="3583A60D" w:rsidR="00D6415B" w:rsidRPr="00E7346B" w:rsidRDefault="00D6415B" w:rsidP="00722B46">
      <w:pPr>
        <w:jc w:val="center"/>
        <w:rPr>
          <w:rFonts w:ascii="Arial" w:hAnsi="Arial"/>
          <w:b/>
          <w:sz w:val="8"/>
          <w:szCs w:val="6"/>
        </w:rPr>
      </w:pPr>
    </w:p>
    <w:p w14:paraId="61F42AFC" w14:textId="77777777" w:rsidR="00DB7F89" w:rsidRDefault="00D6415B" w:rsidP="00DB7F89">
      <w:pPr>
        <w:ind w:left="1440" w:hanging="720"/>
        <w:jc w:val="both"/>
        <w:rPr>
          <w:rFonts w:ascii="Arial" w:hAnsi="Arial"/>
          <w:sz w:val="22"/>
        </w:rPr>
      </w:pPr>
      <w:r w:rsidRPr="00EB061A">
        <w:rPr>
          <w:rFonts w:ascii="Arial" w:hAnsi="Arial"/>
          <w:sz w:val="22"/>
        </w:rPr>
        <w:t xml:space="preserve">where: </w:t>
      </w:r>
    </w:p>
    <w:p w14:paraId="508780E3" w14:textId="37978B01" w:rsidR="00D6415B" w:rsidRPr="00EB061A" w:rsidRDefault="00D6415B" w:rsidP="00722B46">
      <w:pPr>
        <w:tabs>
          <w:tab w:val="left" w:pos="1260"/>
          <w:tab w:val="left" w:pos="1620"/>
          <w:tab w:val="left" w:pos="1980"/>
        </w:tabs>
        <w:ind w:left="1980" w:hanging="1260"/>
        <w:rPr>
          <w:rFonts w:ascii="Arial" w:hAnsi="Arial"/>
          <w:sz w:val="22"/>
        </w:rPr>
      </w:pPr>
      <w:r w:rsidRPr="00EB061A">
        <w:rPr>
          <w:rFonts w:ascii="Arial" w:hAnsi="Arial"/>
          <w:sz w:val="22"/>
        </w:rPr>
        <w:tab/>
        <w:t>d</w:t>
      </w:r>
      <w:r w:rsidRPr="00EB061A">
        <w:rPr>
          <w:rFonts w:ascii="Arial" w:hAnsi="Arial"/>
          <w:sz w:val="22"/>
          <w:vertAlign w:val="subscript"/>
        </w:rPr>
        <w:t>o</w:t>
      </w:r>
      <w:r w:rsidRPr="00EB061A">
        <w:rPr>
          <w:rFonts w:ascii="Arial" w:hAnsi="Arial"/>
          <w:sz w:val="22"/>
        </w:rPr>
        <w:t xml:space="preserve"> </w:t>
      </w:r>
      <w:r w:rsidR="00DB7F89">
        <w:rPr>
          <w:rFonts w:ascii="Arial" w:hAnsi="Arial"/>
          <w:sz w:val="22"/>
        </w:rPr>
        <w:tab/>
      </w:r>
      <w:r w:rsidRPr="00EB061A">
        <w:rPr>
          <w:rFonts w:ascii="Arial" w:hAnsi="Arial"/>
          <w:sz w:val="22"/>
        </w:rPr>
        <w:t xml:space="preserve">= </w:t>
      </w:r>
      <w:r w:rsidR="00DB7F89">
        <w:rPr>
          <w:rFonts w:ascii="Arial" w:hAnsi="Arial"/>
          <w:sz w:val="22"/>
        </w:rPr>
        <w:tab/>
      </w:r>
      <w:r w:rsidRPr="00EB061A">
        <w:rPr>
          <w:rFonts w:ascii="Arial" w:hAnsi="Arial"/>
          <w:sz w:val="22"/>
        </w:rPr>
        <w:t>deflection measured at the center of the load late (adjusted to a standard temperature of 68° F), inches</w:t>
      </w:r>
    </w:p>
    <w:p w14:paraId="79685C21" w14:textId="15A00B26" w:rsidR="00D6415B" w:rsidRPr="00EB061A" w:rsidRDefault="00D6415B" w:rsidP="00722B46">
      <w:pPr>
        <w:tabs>
          <w:tab w:val="left" w:pos="1260"/>
          <w:tab w:val="left" w:pos="1620"/>
          <w:tab w:val="left" w:pos="1980"/>
        </w:tabs>
        <w:jc w:val="both"/>
        <w:rPr>
          <w:rFonts w:ascii="Arial" w:hAnsi="Arial"/>
          <w:sz w:val="22"/>
        </w:rPr>
      </w:pPr>
      <w:r w:rsidRPr="00EB061A">
        <w:rPr>
          <w:rFonts w:ascii="Arial" w:hAnsi="Arial"/>
          <w:sz w:val="22"/>
        </w:rPr>
        <w:tab/>
        <w:t xml:space="preserve">p </w:t>
      </w:r>
      <w:r w:rsidR="00DB7F89">
        <w:rPr>
          <w:rFonts w:ascii="Arial" w:hAnsi="Arial"/>
          <w:sz w:val="22"/>
        </w:rPr>
        <w:tab/>
      </w:r>
      <w:r w:rsidRPr="00EB061A">
        <w:rPr>
          <w:rFonts w:ascii="Arial" w:hAnsi="Arial"/>
          <w:sz w:val="22"/>
        </w:rPr>
        <w:t xml:space="preserve">= </w:t>
      </w:r>
      <w:r w:rsidR="00DB7F89">
        <w:rPr>
          <w:rFonts w:ascii="Arial" w:hAnsi="Arial"/>
          <w:sz w:val="22"/>
        </w:rPr>
        <w:tab/>
      </w:r>
      <w:r w:rsidRPr="00EB061A">
        <w:rPr>
          <w:rFonts w:ascii="Arial" w:hAnsi="Arial"/>
          <w:sz w:val="22"/>
        </w:rPr>
        <w:t>FWD load plate pressure, psi</w:t>
      </w:r>
    </w:p>
    <w:p w14:paraId="33A34BC2" w14:textId="04A2C34A" w:rsidR="00D6415B" w:rsidRPr="00EB061A" w:rsidRDefault="00D6415B" w:rsidP="00722B46">
      <w:pPr>
        <w:tabs>
          <w:tab w:val="left" w:pos="1260"/>
          <w:tab w:val="left" w:pos="1620"/>
          <w:tab w:val="left" w:pos="1980"/>
        </w:tabs>
        <w:jc w:val="both"/>
        <w:rPr>
          <w:rFonts w:ascii="Arial" w:hAnsi="Arial"/>
          <w:sz w:val="22"/>
        </w:rPr>
      </w:pPr>
      <w:r w:rsidRPr="00EB061A">
        <w:rPr>
          <w:rFonts w:ascii="Arial" w:hAnsi="Arial"/>
          <w:sz w:val="22"/>
        </w:rPr>
        <w:tab/>
        <w:t>a</w:t>
      </w:r>
      <w:r w:rsidRPr="00EB061A">
        <w:rPr>
          <w:rFonts w:ascii="Arial" w:hAnsi="Arial"/>
          <w:sz w:val="22"/>
          <w:vertAlign w:val="subscript"/>
        </w:rPr>
        <w:t xml:space="preserve"> </w:t>
      </w:r>
      <w:r w:rsidR="00DB7F89">
        <w:rPr>
          <w:rFonts w:ascii="Arial" w:hAnsi="Arial"/>
          <w:sz w:val="22"/>
          <w:vertAlign w:val="subscript"/>
        </w:rPr>
        <w:tab/>
      </w:r>
      <w:r w:rsidRPr="00EB061A">
        <w:rPr>
          <w:rFonts w:ascii="Arial" w:hAnsi="Arial"/>
          <w:sz w:val="22"/>
        </w:rPr>
        <w:t xml:space="preserve">= </w:t>
      </w:r>
      <w:r w:rsidR="00DB7F89">
        <w:rPr>
          <w:rFonts w:ascii="Arial" w:hAnsi="Arial"/>
          <w:sz w:val="22"/>
        </w:rPr>
        <w:tab/>
      </w:r>
      <w:r w:rsidRPr="00EB061A">
        <w:rPr>
          <w:rFonts w:ascii="Arial" w:hAnsi="Arial"/>
          <w:sz w:val="22"/>
        </w:rPr>
        <w:t>FWD load plate radius, inches</w:t>
      </w:r>
    </w:p>
    <w:p w14:paraId="1A9E2F5D" w14:textId="732A90CC" w:rsidR="00D6415B" w:rsidRPr="00EB061A" w:rsidRDefault="00DB7F89" w:rsidP="00722B46">
      <w:pPr>
        <w:tabs>
          <w:tab w:val="left" w:pos="1260"/>
          <w:tab w:val="left" w:pos="1620"/>
          <w:tab w:val="left" w:pos="1980"/>
        </w:tabs>
        <w:jc w:val="both"/>
        <w:rPr>
          <w:rFonts w:ascii="Arial" w:hAnsi="Arial"/>
          <w:sz w:val="22"/>
        </w:rPr>
      </w:pPr>
      <w:r>
        <w:rPr>
          <w:rFonts w:ascii="Arial" w:hAnsi="Arial"/>
          <w:sz w:val="22"/>
        </w:rPr>
        <w:tab/>
      </w:r>
      <w:r w:rsidR="00D6415B" w:rsidRPr="00EB061A">
        <w:rPr>
          <w:rFonts w:ascii="Arial" w:hAnsi="Arial"/>
          <w:sz w:val="22"/>
        </w:rPr>
        <w:t xml:space="preserve">D </w:t>
      </w:r>
      <w:r>
        <w:rPr>
          <w:rFonts w:ascii="Arial" w:hAnsi="Arial"/>
          <w:sz w:val="22"/>
        </w:rPr>
        <w:tab/>
      </w:r>
      <w:r w:rsidR="00D6415B" w:rsidRPr="00EB061A">
        <w:rPr>
          <w:rFonts w:ascii="Arial" w:hAnsi="Arial"/>
          <w:sz w:val="22"/>
        </w:rPr>
        <w:t xml:space="preserve">= </w:t>
      </w:r>
      <w:r>
        <w:rPr>
          <w:rFonts w:ascii="Arial" w:hAnsi="Arial"/>
          <w:sz w:val="22"/>
        </w:rPr>
        <w:tab/>
      </w:r>
      <w:r w:rsidR="00D6415B" w:rsidRPr="00EB061A">
        <w:rPr>
          <w:rFonts w:ascii="Arial" w:hAnsi="Arial"/>
          <w:sz w:val="22"/>
        </w:rPr>
        <w:t>total thickness of pavement layers above subgrade, inches</w:t>
      </w:r>
    </w:p>
    <w:p w14:paraId="418BCD1D" w14:textId="3848C059" w:rsidR="00D6415B" w:rsidRDefault="00D6415B" w:rsidP="00722B46">
      <w:pPr>
        <w:tabs>
          <w:tab w:val="left" w:pos="1260"/>
          <w:tab w:val="left" w:pos="1620"/>
          <w:tab w:val="left" w:pos="1980"/>
        </w:tabs>
        <w:jc w:val="both"/>
        <w:rPr>
          <w:rFonts w:ascii="Arial" w:hAnsi="Arial"/>
          <w:sz w:val="22"/>
        </w:rPr>
      </w:pPr>
      <w:r w:rsidRPr="00EB061A">
        <w:rPr>
          <w:rFonts w:ascii="Arial" w:hAnsi="Arial"/>
          <w:sz w:val="22"/>
        </w:rPr>
        <w:tab/>
        <w:t>a</w:t>
      </w:r>
      <w:r w:rsidRPr="00EB061A">
        <w:rPr>
          <w:rFonts w:ascii="Arial" w:hAnsi="Arial"/>
          <w:sz w:val="22"/>
          <w:vertAlign w:val="subscript"/>
        </w:rPr>
        <w:t xml:space="preserve"> </w:t>
      </w:r>
      <w:r w:rsidR="00DB7F89">
        <w:rPr>
          <w:rFonts w:ascii="Arial" w:hAnsi="Arial"/>
          <w:sz w:val="22"/>
          <w:vertAlign w:val="subscript"/>
        </w:rPr>
        <w:tab/>
      </w:r>
      <w:r w:rsidRPr="00EB061A">
        <w:rPr>
          <w:rFonts w:ascii="Arial" w:hAnsi="Arial"/>
          <w:sz w:val="22"/>
        </w:rPr>
        <w:t xml:space="preserve">= </w:t>
      </w:r>
      <w:r w:rsidR="00DB7F89">
        <w:rPr>
          <w:rFonts w:ascii="Arial" w:hAnsi="Arial"/>
          <w:sz w:val="22"/>
        </w:rPr>
        <w:tab/>
      </w:r>
      <w:r w:rsidRPr="00EB061A">
        <w:rPr>
          <w:rFonts w:ascii="Arial" w:hAnsi="Arial"/>
          <w:sz w:val="22"/>
        </w:rPr>
        <w:t>FWD load plate radius, inches</w:t>
      </w:r>
    </w:p>
    <w:p w14:paraId="4F068077" w14:textId="77777777" w:rsidR="005D0983" w:rsidRPr="00EB061A" w:rsidRDefault="005D0983" w:rsidP="00722B46">
      <w:pPr>
        <w:tabs>
          <w:tab w:val="left" w:pos="1260"/>
          <w:tab w:val="left" w:pos="1620"/>
          <w:tab w:val="left" w:pos="1980"/>
        </w:tabs>
        <w:jc w:val="both"/>
        <w:rPr>
          <w:rFonts w:ascii="Arial" w:hAnsi="Arial"/>
          <w:sz w:val="22"/>
        </w:rPr>
      </w:pPr>
    </w:p>
    <w:p w14:paraId="1EF74722" w14:textId="5A07E574" w:rsidR="00D6415B" w:rsidRPr="00EB061A" w:rsidRDefault="00D6415B" w:rsidP="00D6415B">
      <w:pPr>
        <w:pStyle w:val="BodyText"/>
        <w:spacing w:after="0"/>
        <w:jc w:val="both"/>
      </w:pPr>
      <w:r w:rsidRPr="00EB061A">
        <w:t>The calculation of composite modulus is also an iterative process with the temperature-corrected deflection under the load, based on the equation above.  All deflections need to be adjusted to a reference temperature of 68°F for comparison purposes and to also follow the AASHTO deflection analysis procedure.</w:t>
      </w:r>
    </w:p>
    <w:p w14:paraId="0F70B0C1" w14:textId="77777777" w:rsidR="00D6415B" w:rsidRPr="00EB061A" w:rsidRDefault="00D6415B" w:rsidP="00D6415B">
      <w:pPr>
        <w:jc w:val="both"/>
        <w:rPr>
          <w:rFonts w:ascii="Arial" w:hAnsi="Arial"/>
        </w:rPr>
      </w:pPr>
    </w:p>
    <w:p w14:paraId="4BEC9B7F" w14:textId="77777777" w:rsidR="00D6415B" w:rsidRPr="00EB061A" w:rsidRDefault="00D6415B" w:rsidP="00172E64">
      <w:pPr>
        <w:pStyle w:val="Heading6"/>
        <w:numPr>
          <w:ilvl w:val="5"/>
          <w:numId w:val="185"/>
        </w:numPr>
        <w:tabs>
          <w:tab w:val="left" w:pos="1800"/>
        </w:tabs>
        <w:ind w:left="0" w:firstLine="0"/>
        <w:jc w:val="both"/>
      </w:pPr>
      <w:r w:rsidRPr="00722B46">
        <w:rPr>
          <w:b/>
        </w:rPr>
        <w:t xml:space="preserve">Temperature Correction Factor </w:t>
      </w:r>
    </w:p>
    <w:p w14:paraId="4F1633F9" w14:textId="0E7AB93A" w:rsidR="00D6415B" w:rsidRPr="00EB061A" w:rsidRDefault="00D6415B" w:rsidP="00D6415B">
      <w:pPr>
        <w:jc w:val="both"/>
        <w:rPr>
          <w:rFonts w:ascii="Arial" w:hAnsi="Arial"/>
          <w:sz w:val="22"/>
        </w:rPr>
      </w:pPr>
      <w:r w:rsidRPr="00EB061A">
        <w:rPr>
          <w:rFonts w:ascii="Arial" w:hAnsi="Arial"/>
          <w:sz w:val="22"/>
        </w:rPr>
        <w:t xml:space="preserve">In order to allow </w:t>
      </w:r>
      <w:r w:rsidR="00DB7F89">
        <w:rPr>
          <w:rFonts w:ascii="Arial" w:hAnsi="Arial"/>
          <w:sz w:val="22"/>
        </w:rPr>
        <w:t>for</w:t>
      </w:r>
      <w:r w:rsidR="00DB7F89" w:rsidRPr="00EB061A">
        <w:rPr>
          <w:rFonts w:ascii="Arial" w:hAnsi="Arial"/>
          <w:sz w:val="22"/>
        </w:rPr>
        <w:t xml:space="preserve"> </w:t>
      </w:r>
      <w:r w:rsidRPr="00EB061A">
        <w:rPr>
          <w:rFonts w:ascii="Arial" w:hAnsi="Arial"/>
          <w:sz w:val="22"/>
        </w:rPr>
        <w:t>equal comparisons between FWD test points done at varying weather and temperature conditions, all test data needs to be corrected to a reference temperature.  The properties of a majority of pavement materials are temperature</w:t>
      </w:r>
      <w:r w:rsidR="005D15DA">
        <w:rPr>
          <w:rFonts w:ascii="Arial" w:hAnsi="Arial"/>
          <w:sz w:val="22"/>
        </w:rPr>
        <w:t>-</w:t>
      </w:r>
      <w:r w:rsidRPr="00EB061A">
        <w:rPr>
          <w:rFonts w:ascii="Arial" w:hAnsi="Arial"/>
          <w:sz w:val="22"/>
        </w:rPr>
        <w:t>dependent</w:t>
      </w:r>
      <w:r w:rsidR="00DB7F89">
        <w:rPr>
          <w:rFonts w:ascii="Arial" w:hAnsi="Arial"/>
          <w:sz w:val="22"/>
        </w:rPr>
        <w:t>:</w:t>
      </w:r>
      <w:r w:rsidRPr="00EB061A">
        <w:rPr>
          <w:rFonts w:ascii="Arial" w:hAnsi="Arial"/>
          <w:sz w:val="22"/>
        </w:rPr>
        <w:t xml:space="preserve"> some material</w:t>
      </w:r>
      <w:r w:rsidR="00DB7F89">
        <w:rPr>
          <w:rFonts w:ascii="Arial" w:hAnsi="Arial"/>
          <w:sz w:val="22"/>
        </w:rPr>
        <w:t>s,</w:t>
      </w:r>
      <w:r w:rsidRPr="00EB061A">
        <w:rPr>
          <w:rFonts w:ascii="Arial" w:hAnsi="Arial"/>
          <w:sz w:val="22"/>
        </w:rPr>
        <w:t xml:space="preserve"> like hot mix asphalt</w:t>
      </w:r>
      <w:r w:rsidR="00DB7F89">
        <w:rPr>
          <w:rFonts w:ascii="Arial" w:hAnsi="Arial"/>
          <w:sz w:val="22"/>
        </w:rPr>
        <w:t>,</w:t>
      </w:r>
      <w:r w:rsidRPr="00EB061A">
        <w:rPr>
          <w:rFonts w:ascii="Arial" w:hAnsi="Arial"/>
          <w:sz w:val="22"/>
        </w:rPr>
        <w:t xml:space="preserve"> are more temperature</w:t>
      </w:r>
      <w:r w:rsidR="00DB7F89">
        <w:rPr>
          <w:rFonts w:ascii="Arial" w:hAnsi="Arial"/>
          <w:sz w:val="22"/>
        </w:rPr>
        <w:t>-s</w:t>
      </w:r>
      <w:r w:rsidRPr="00EB061A">
        <w:rPr>
          <w:rFonts w:ascii="Arial" w:hAnsi="Arial"/>
          <w:sz w:val="22"/>
        </w:rPr>
        <w:t xml:space="preserve">usceptible than other materials.  The same flexible pavement structure may provide drastically different strength characteristics in </w:t>
      </w:r>
      <w:smartTag w:uri="urn:schemas-microsoft-com:office:smarttags" w:element="State">
        <w:smartTag w:uri="urn:schemas-microsoft-com:office:smarttags" w:element="place">
          <w:r w:rsidRPr="00EB061A">
            <w:rPr>
              <w:rFonts w:ascii="Arial" w:hAnsi="Arial"/>
              <w:sz w:val="22"/>
            </w:rPr>
            <w:t>Maryland</w:t>
          </w:r>
        </w:smartTag>
      </w:smartTag>
      <w:r w:rsidRPr="00EB061A">
        <w:rPr>
          <w:rFonts w:ascii="Arial" w:hAnsi="Arial"/>
          <w:sz w:val="22"/>
        </w:rPr>
        <w:t xml:space="preserve"> at mid-day testing in August than in the morning testing in late October.  Therefore, all FWD testing data must be corrected to a reference temperature of 68° F for valid comparison.  There are two basic ways to correct for temperature</w:t>
      </w:r>
      <w:r w:rsidR="00DB7F89">
        <w:rPr>
          <w:rFonts w:ascii="Arial" w:hAnsi="Arial"/>
          <w:sz w:val="22"/>
        </w:rPr>
        <w:t>:</w:t>
      </w:r>
      <w:r w:rsidRPr="00EB061A">
        <w:rPr>
          <w:rFonts w:ascii="Arial" w:hAnsi="Arial"/>
          <w:sz w:val="22"/>
        </w:rPr>
        <w:t xml:space="preserve"> either the measured deflection can be corrected</w:t>
      </w:r>
      <w:r w:rsidR="00DB7F89">
        <w:rPr>
          <w:rFonts w:ascii="Arial" w:hAnsi="Arial"/>
          <w:sz w:val="22"/>
        </w:rPr>
        <w:t>,</w:t>
      </w:r>
      <w:r w:rsidRPr="00EB061A">
        <w:rPr>
          <w:rFonts w:ascii="Arial" w:hAnsi="Arial"/>
          <w:sz w:val="22"/>
        </w:rPr>
        <w:t xml:space="preserve"> or the resulting calculated modulus could be corrected to the reference temperature.  The equations used by AASHTO require the correction to occur for the deflection.</w:t>
      </w:r>
    </w:p>
    <w:p w14:paraId="21D4B352" w14:textId="77777777" w:rsidR="00D6415B" w:rsidRPr="00EB061A" w:rsidRDefault="00D6415B" w:rsidP="00D6415B">
      <w:pPr>
        <w:jc w:val="both"/>
        <w:rPr>
          <w:rFonts w:ascii="Arial" w:hAnsi="Arial"/>
          <w:sz w:val="22"/>
        </w:rPr>
      </w:pPr>
    </w:p>
    <w:p w14:paraId="77F01EC9" w14:textId="0605B288" w:rsidR="00D6415B" w:rsidRDefault="00D6415B" w:rsidP="00A07F51">
      <w:pPr>
        <w:jc w:val="both"/>
      </w:pPr>
      <w:r w:rsidRPr="00EB061A">
        <w:rPr>
          <w:rFonts w:ascii="Arial" w:hAnsi="Arial"/>
          <w:sz w:val="22"/>
        </w:rPr>
        <w:t xml:space="preserve">Temperature correction curves for deflections are contained on pages </w:t>
      </w:r>
      <w:smartTag w:uri="urn:schemas-microsoft-com:office:smarttags" w:element="stockticker">
        <w:r w:rsidRPr="00EB061A">
          <w:rPr>
            <w:rFonts w:ascii="Arial" w:hAnsi="Arial"/>
            <w:sz w:val="22"/>
          </w:rPr>
          <w:t>III</w:t>
        </w:r>
      </w:smartTag>
      <w:r w:rsidRPr="00EB061A">
        <w:rPr>
          <w:rFonts w:ascii="Arial" w:hAnsi="Arial"/>
          <w:sz w:val="22"/>
        </w:rPr>
        <w:t xml:space="preserve">-99 and </w:t>
      </w:r>
      <w:smartTag w:uri="urn:schemas-microsoft-com:office:smarttags" w:element="stockticker">
        <w:r w:rsidRPr="00EB061A">
          <w:rPr>
            <w:rFonts w:ascii="Arial" w:hAnsi="Arial"/>
            <w:sz w:val="22"/>
          </w:rPr>
          <w:t>III</w:t>
        </w:r>
      </w:smartTag>
      <w:r w:rsidRPr="00EB061A">
        <w:rPr>
          <w:rFonts w:ascii="Arial" w:hAnsi="Arial"/>
          <w:sz w:val="22"/>
        </w:rPr>
        <w:t xml:space="preserve">-100 in the 1993 “AASHTO Guide for Design of Pavement Structures.”  </w:t>
      </w:r>
      <w:r>
        <w:rPr>
          <w:rFonts w:ascii="Arial" w:hAnsi="Arial"/>
          <w:sz w:val="22"/>
        </w:rPr>
        <w:t>Deflexus</w:t>
      </w:r>
      <w:r w:rsidRPr="00EB061A">
        <w:rPr>
          <w:rFonts w:ascii="Arial" w:hAnsi="Arial"/>
          <w:sz w:val="22"/>
        </w:rPr>
        <w:t xml:space="preserve"> uses these equations within the software calculations.  These curves will be used to temperature correct deflection for </w:t>
      </w:r>
      <w:r w:rsidR="008C7023">
        <w:rPr>
          <w:rFonts w:ascii="Arial" w:hAnsi="Arial"/>
          <w:sz w:val="22"/>
        </w:rPr>
        <w:t>MDOT-SHA</w:t>
      </w:r>
      <w:r w:rsidRPr="00EB061A">
        <w:rPr>
          <w:rFonts w:ascii="Arial" w:hAnsi="Arial"/>
          <w:sz w:val="22"/>
        </w:rPr>
        <w:t xml:space="preserve"> pavement design projects.  The BELLS equation will be used to temperature correct the backcalculated modulus for </w:t>
      </w:r>
      <w:r w:rsidR="008C7023">
        <w:rPr>
          <w:rFonts w:ascii="Arial" w:hAnsi="Arial"/>
          <w:sz w:val="22"/>
        </w:rPr>
        <w:t>MDOT-SHA</w:t>
      </w:r>
      <w:r w:rsidRPr="00EB061A">
        <w:rPr>
          <w:rFonts w:ascii="Arial" w:hAnsi="Arial"/>
          <w:sz w:val="22"/>
        </w:rPr>
        <w:t xml:space="preserve"> pavement design projects.  The BELLS equation calculates the mid-depth HMA temperature and calculates an adjustment factor to be applied to the uncorrected layer modulus.  </w:t>
      </w:r>
    </w:p>
    <w:p w14:paraId="51DA0898" w14:textId="77777777" w:rsidR="00D6415B" w:rsidRPr="00353A67" w:rsidRDefault="00D6415B" w:rsidP="00D6415B">
      <w:pPr>
        <w:jc w:val="both"/>
        <w:rPr>
          <w:rFonts w:ascii="Arial" w:hAnsi="Arial"/>
          <w:sz w:val="22"/>
        </w:rPr>
      </w:pPr>
    </w:p>
    <w:p w14:paraId="3488878F" w14:textId="77777777" w:rsidR="00D6415B" w:rsidRPr="005E2181" w:rsidRDefault="00D6415B" w:rsidP="00172E64">
      <w:pPr>
        <w:pStyle w:val="Heading5"/>
        <w:numPr>
          <w:ilvl w:val="4"/>
          <w:numId w:val="185"/>
        </w:numPr>
        <w:tabs>
          <w:tab w:val="left" w:pos="1800"/>
        </w:tabs>
        <w:ind w:left="0" w:firstLine="0"/>
        <w:jc w:val="both"/>
      </w:pPr>
      <w:r w:rsidRPr="00353A67">
        <w:t>Rigid/</w:t>
      </w:r>
      <w:r w:rsidRPr="005E2181">
        <w:t>Composite Standard Calculations</w:t>
      </w:r>
    </w:p>
    <w:p w14:paraId="74C558B4" w14:textId="1520B13A" w:rsidR="00D6415B" w:rsidRPr="005E2181" w:rsidRDefault="00D6415B" w:rsidP="00D6415B">
      <w:pPr>
        <w:pStyle w:val="BodyText"/>
        <w:spacing w:after="0"/>
        <w:jc w:val="both"/>
      </w:pPr>
      <w:r w:rsidRPr="005E2181">
        <w:t xml:space="preserve">Subgrade strength values, slab bending/compression factors, joint load transfer efficiency, void detection, and </w:t>
      </w:r>
      <w:smartTag w:uri="urn:schemas-microsoft-com:office:smarttags" w:element="stockticker">
        <w:r w:rsidRPr="005E2181">
          <w:t>PCC</w:t>
        </w:r>
      </w:smartTag>
      <w:r w:rsidRPr="005E2181">
        <w:t xml:space="preserve"> material properties can be obtained from rigid and composite pavement FWD testing.  These values can be used directly in pavement analysis to determine the effective structural capacity.  The following sub-sections describe the FWD data analysis procedures for composite and rigid pavements.  </w:t>
      </w:r>
    </w:p>
    <w:p w14:paraId="51E8F6D6" w14:textId="77777777" w:rsidR="00D6415B" w:rsidRPr="005E2181" w:rsidRDefault="00D6415B" w:rsidP="00D6415B">
      <w:pPr>
        <w:jc w:val="both"/>
        <w:rPr>
          <w:rFonts w:ascii="Arial" w:hAnsi="Arial"/>
        </w:rPr>
      </w:pPr>
    </w:p>
    <w:p w14:paraId="71525CE9" w14:textId="77777777" w:rsidR="00D6415B" w:rsidRPr="00722B46" w:rsidRDefault="00D6415B" w:rsidP="00172E64">
      <w:pPr>
        <w:pStyle w:val="Heading6"/>
        <w:numPr>
          <w:ilvl w:val="5"/>
          <w:numId w:val="185"/>
        </w:numPr>
        <w:tabs>
          <w:tab w:val="left" w:pos="1800"/>
        </w:tabs>
        <w:ind w:left="0" w:firstLine="0"/>
        <w:jc w:val="both"/>
        <w:rPr>
          <w:b/>
        </w:rPr>
      </w:pPr>
      <w:r w:rsidRPr="00722B46">
        <w:rPr>
          <w:b/>
        </w:rPr>
        <w:t>Slab Bending Factor / AC Compression Factor</w:t>
      </w:r>
    </w:p>
    <w:p w14:paraId="7FC3496E" w14:textId="43C2D699" w:rsidR="00D6415B" w:rsidRPr="00AA4642" w:rsidRDefault="00D6415B" w:rsidP="00D6415B">
      <w:pPr>
        <w:jc w:val="both"/>
        <w:rPr>
          <w:rFonts w:ascii="Arial" w:hAnsi="Arial"/>
          <w:sz w:val="22"/>
        </w:rPr>
      </w:pPr>
      <w:r w:rsidRPr="005E2181">
        <w:rPr>
          <w:rFonts w:ascii="Arial" w:hAnsi="Arial"/>
          <w:sz w:val="22"/>
        </w:rPr>
        <w:t>The slab bending factor/AC compression factor (B) is used in the calculation of load transfer efficiency of joints in rigid and composite pavements</w:t>
      </w:r>
      <w:r w:rsidR="00DB7F89">
        <w:rPr>
          <w:rFonts w:ascii="Arial" w:hAnsi="Arial"/>
          <w:sz w:val="22"/>
        </w:rPr>
        <w:t>,</w:t>
      </w:r>
      <w:r w:rsidRPr="005E2181">
        <w:rPr>
          <w:rFonts w:ascii="Arial" w:hAnsi="Arial"/>
          <w:sz w:val="22"/>
        </w:rPr>
        <w:t xml:space="preserve"> slab bending factor for rigid pavements</w:t>
      </w:r>
      <w:r w:rsidR="00DB7F89">
        <w:rPr>
          <w:rFonts w:ascii="Arial" w:hAnsi="Arial"/>
          <w:sz w:val="22"/>
        </w:rPr>
        <w:t>,</w:t>
      </w:r>
      <w:r w:rsidRPr="005E2181">
        <w:rPr>
          <w:rFonts w:ascii="Arial" w:hAnsi="Arial"/>
          <w:sz w:val="22"/>
        </w:rPr>
        <w:t xml:space="preserve"> and AC compression factor for composite pavements.  This factor corrects for the differential </w:t>
      </w:r>
      <w:r w:rsidRPr="00CB420A">
        <w:rPr>
          <w:rFonts w:ascii="Arial" w:hAnsi="Arial"/>
          <w:sz w:val="22"/>
        </w:rPr>
        <w:t>bending of the slab under vertical loading in rigid and composite pavements.  It also accounts for the compression of the AC material under loading in composite pavements.  This correction is needed because of the slight slab bending that occurs even when testing sound concrete at the center of the slab.  Even the deflections measured at the first 2 sensor locations at the center of a slab, with theoretically 100% load transfer efficiency, would not be equal.  Several basin tests at the mid-slab away from the joints are needed to develop a reasonable bending factor (B).  The bending/</w:t>
      </w:r>
      <w:r w:rsidR="00DB7F89">
        <w:rPr>
          <w:rFonts w:ascii="Arial" w:hAnsi="Arial"/>
          <w:sz w:val="22"/>
        </w:rPr>
        <w:t xml:space="preserve"> </w:t>
      </w:r>
      <w:r w:rsidRPr="00CB420A">
        <w:rPr>
          <w:rFonts w:ascii="Arial" w:hAnsi="Arial"/>
          <w:sz w:val="22"/>
        </w:rPr>
        <w:t>compression correction factor is obtained from the ratio of deflection under the load plate to the deflection 12</w:t>
      </w:r>
      <w:r w:rsidR="00DB7F89">
        <w:rPr>
          <w:rFonts w:ascii="Arial" w:hAnsi="Arial"/>
          <w:sz w:val="22"/>
        </w:rPr>
        <w:t>"</w:t>
      </w:r>
      <w:r w:rsidRPr="00CB420A">
        <w:rPr>
          <w:rFonts w:ascii="Arial" w:hAnsi="Arial"/>
          <w:sz w:val="22"/>
        </w:rPr>
        <w:t xml:space="preserve"> away from the center of the load plate, for a typical center slab location.  Typical values for B range from 1.05 and 1.20.  Values above 1.25 should be r</w:t>
      </w:r>
      <w:r w:rsidRPr="00AA4642">
        <w:rPr>
          <w:rFonts w:ascii="Arial" w:hAnsi="Arial"/>
          <w:sz w:val="22"/>
        </w:rPr>
        <w:t>econsidered prior to using for analysis based on reasonable data.  It is reasonable and conservative to base all load transfer analys</w:t>
      </w:r>
      <w:r w:rsidR="00DB7F89">
        <w:rPr>
          <w:rFonts w:ascii="Arial" w:hAnsi="Arial"/>
          <w:sz w:val="22"/>
        </w:rPr>
        <w:t>e</w:t>
      </w:r>
      <w:r w:rsidRPr="00AA4642">
        <w:rPr>
          <w:rFonts w:ascii="Arial" w:hAnsi="Arial"/>
          <w:sz w:val="22"/>
        </w:rPr>
        <w:t xml:space="preserve">s on a bending factor equal to 1.0.  </w:t>
      </w:r>
    </w:p>
    <w:p w14:paraId="01E50BA8" w14:textId="77777777" w:rsidR="00D6415B" w:rsidRPr="00AA4642" w:rsidRDefault="00D6415B" w:rsidP="00D6415B">
      <w:pPr>
        <w:jc w:val="both"/>
        <w:rPr>
          <w:rFonts w:ascii="Arial" w:hAnsi="Arial"/>
          <w:sz w:val="22"/>
        </w:rPr>
      </w:pPr>
    </w:p>
    <w:p w14:paraId="4AFCE7E6" w14:textId="77777777" w:rsidR="00D6415B" w:rsidRPr="00722B46" w:rsidRDefault="00D6415B" w:rsidP="00172E64">
      <w:pPr>
        <w:pStyle w:val="Heading6"/>
        <w:numPr>
          <w:ilvl w:val="5"/>
          <w:numId w:val="185"/>
        </w:numPr>
        <w:tabs>
          <w:tab w:val="left" w:pos="1800"/>
        </w:tabs>
        <w:ind w:left="0" w:firstLine="0"/>
        <w:jc w:val="both"/>
        <w:rPr>
          <w:b/>
        </w:rPr>
      </w:pPr>
      <w:bookmarkStart w:id="1283" w:name="_Load_Transfer"/>
      <w:bookmarkEnd w:id="1283"/>
      <w:r w:rsidRPr="00722B46">
        <w:rPr>
          <w:b/>
        </w:rPr>
        <w:t xml:space="preserve">Load Transfer </w:t>
      </w:r>
    </w:p>
    <w:p w14:paraId="6359416A" w14:textId="1DCE219A" w:rsidR="00D6415B" w:rsidRPr="00AA4642" w:rsidRDefault="008C7023" w:rsidP="00D6415B">
      <w:pPr>
        <w:jc w:val="both"/>
        <w:rPr>
          <w:rFonts w:ascii="Arial" w:hAnsi="Arial"/>
          <w:sz w:val="22"/>
        </w:rPr>
      </w:pPr>
      <w:r>
        <w:rPr>
          <w:rFonts w:ascii="Arial" w:hAnsi="Arial"/>
          <w:sz w:val="22"/>
        </w:rPr>
        <w:t>MDOT-SHA</w:t>
      </w:r>
      <w:r w:rsidR="00D6415B" w:rsidRPr="00AA4642">
        <w:rPr>
          <w:rFonts w:ascii="Arial" w:hAnsi="Arial"/>
          <w:sz w:val="22"/>
        </w:rPr>
        <w:t xml:space="preserve">’s Pavement and Geotechnical Division uses load transfer information to assist in determining pre-overlay repair strategies.  See the Joint Reflection section in </w:t>
      </w:r>
      <w:hyperlink w:anchor="_Patching_Guidelines_for" w:history="1">
        <w:r w:rsidR="00D6415B" w:rsidRPr="00AA4642">
          <w:rPr>
            <w:rStyle w:val="Hyperlink"/>
            <w:rFonts w:ascii="Arial" w:hAnsi="Arial"/>
            <w:sz w:val="22"/>
          </w:rPr>
          <w:t>Patching Guidelines for AC Surfaces</w:t>
        </w:r>
      </w:hyperlink>
      <w:r w:rsidR="00D6415B" w:rsidRPr="00AA4642">
        <w:rPr>
          <w:rFonts w:ascii="Arial" w:hAnsi="Arial"/>
          <w:sz w:val="22"/>
        </w:rPr>
        <w:t xml:space="preserve">.  </w:t>
      </w:r>
    </w:p>
    <w:p w14:paraId="722F6EB3" w14:textId="77777777" w:rsidR="00D6415B" w:rsidRPr="00AA4642" w:rsidRDefault="00D6415B" w:rsidP="00D6415B">
      <w:pPr>
        <w:jc w:val="both"/>
        <w:rPr>
          <w:rFonts w:ascii="Arial" w:hAnsi="Arial"/>
          <w:sz w:val="22"/>
        </w:rPr>
      </w:pPr>
    </w:p>
    <w:p w14:paraId="20B6B826" w14:textId="77777777" w:rsidR="00D6415B" w:rsidRDefault="00D6415B" w:rsidP="00D6415B">
      <w:pPr>
        <w:jc w:val="both"/>
        <w:rPr>
          <w:rFonts w:ascii="Arial" w:hAnsi="Arial"/>
          <w:sz w:val="22"/>
        </w:rPr>
      </w:pPr>
      <w:r w:rsidRPr="00AA4642">
        <w:rPr>
          <w:rFonts w:ascii="Arial" w:hAnsi="Arial"/>
          <w:sz w:val="22"/>
        </w:rPr>
        <w:t xml:space="preserve">The deflection data can be used to calculate </w:t>
      </w:r>
      <w:r w:rsidRPr="00AA4642">
        <w:rPr>
          <w:rFonts w:ascii="Arial" w:hAnsi="Arial"/>
          <w:b/>
          <w:sz w:val="22"/>
        </w:rPr>
        <w:t>differential deflection,</w:t>
      </w:r>
      <w:r w:rsidRPr="00AA4642">
        <w:rPr>
          <w:rFonts w:ascii="Arial" w:hAnsi="Arial"/>
          <w:sz w:val="22"/>
        </w:rPr>
        <w:t xml:space="preserve"> which may be more relevant to the rate of deterioration of joints and cracks and to the likelihood of reflection cracking in asphalt overlays.  Differential deflection is the absolute difference between the loaded joint side deflection and the unloaded joint side deflection. </w:t>
      </w:r>
    </w:p>
    <w:p w14:paraId="1CC34BAB" w14:textId="77777777" w:rsidR="00D6415B" w:rsidRPr="00AA4642" w:rsidRDefault="00D6415B" w:rsidP="00D6415B">
      <w:pPr>
        <w:jc w:val="both"/>
        <w:rPr>
          <w:rFonts w:ascii="Arial" w:hAnsi="Arial"/>
          <w:sz w:val="22"/>
        </w:rPr>
      </w:pPr>
    </w:p>
    <w:p w14:paraId="0B3AAC00" w14:textId="77777777" w:rsidR="00D6415B" w:rsidRPr="00722B46" w:rsidRDefault="00D6415B" w:rsidP="00172E64">
      <w:pPr>
        <w:pStyle w:val="Heading6"/>
        <w:numPr>
          <w:ilvl w:val="5"/>
          <w:numId w:val="185"/>
        </w:numPr>
        <w:tabs>
          <w:tab w:val="left" w:pos="1800"/>
        </w:tabs>
        <w:ind w:left="0" w:firstLine="0"/>
        <w:jc w:val="both"/>
        <w:rPr>
          <w:b/>
        </w:rPr>
      </w:pPr>
      <w:bookmarkStart w:id="1284" w:name="_Void_Detection"/>
      <w:bookmarkEnd w:id="1284"/>
      <w:r w:rsidRPr="00722B46">
        <w:rPr>
          <w:b/>
        </w:rPr>
        <w:t>Void Detection</w:t>
      </w:r>
    </w:p>
    <w:p w14:paraId="64E53D69" w14:textId="77777777" w:rsidR="00823FC2" w:rsidRDefault="00823FC2" w:rsidP="00823FC2">
      <w:pPr>
        <w:rPr>
          <w:rFonts w:ascii="Arial" w:eastAsia="Arial" w:hAnsi="Arial" w:cs="Arial"/>
          <w:sz w:val="16"/>
        </w:rPr>
      </w:pPr>
      <w:r>
        <w:rPr>
          <w:rFonts w:ascii="Arial" w:eastAsia="Arial" w:hAnsi="Arial" w:cs="Arial"/>
          <w:sz w:val="16"/>
        </w:rPr>
        <w:t xml:space="preserve">Click to go to </w:t>
      </w:r>
      <w:hyperlink w:anchor="_JPCP_Layer_Properties_1" w:history="1">
        <w:r w:rsidRPr="00DE4165">
          <w:rPr>
            <w:rStyle w:val="Hyperlink"/>
            <w:rFonts w:ascii="Arial" w:eastAsia="Arial" w:hAnsi="Arial" w:cs="Arial"/>
            <w:sz w:val="16"/>
          </w:rPr>
          <w:t>JPCP Layer Properties</w:t>
        </w:r>
      </w:hyperlink>
      <w:r>
        <w:rPr>
          <w:rFonts w:ascii="Arial" w:eastAsia="Arial" w:hAnsi="Arial" w:cs="Arial"/>
          <w:sz w:val="16"/>
        </w:rPr>
        <w:t xml:space="preserve"> in the </w:t>
      </w:r>
      <w:r w:rsidRPr="00DE4165">
        <w:rPr>
          <w:rFonts w:ascii="Arial" w:eastAsia="Arial" w:hAnsi="Arial" w:cs="Arial"/>
          <w:i/>
          <w:sz w:val="16"/>
        </w:rPr>
        <w:t>AC overlay over JC</w:t>
      </w:r>
      <w:r w:rsidRPr="002A7742">
        <w:rPr>
          <w:rFonts w:ascii="Arial" w:eastAsia="Arial" w:hAnsi="Arial" w:cs="Arial"/>
          <w:i/>
          <w:sz w:val="16"/>
        </w:rPr>
        <w:t>P</w:t>
      </w:r>
      <w:r>
        <w:rPr>
          <w:rFonts w:ascii="Arial" w:eastAsia="Arial" w:hAnsi="Arial" w:cs="Arial"/>
          <w:sz w:val="16"/>
        </w:rPr>
        <w:t xml:space="preserve"> section.</w:t>
      </w:r>
    </w:p>
    <w:p w14:paraId="4971D4F0" w14:textId="77777777" w:rsidR="00823FC2" w:rsidRDefault="00823FC2" w:rsidP="00547B49">
      <w:pPr>
        <w:pStyle w:val="BodyText"/>
        <w:spacing w:after="0"/>
        <w:jc w:val="both"/>
      </w:pPr>
    </w:p>
    <w:p w14:paraId="2F02D554" w14:textId="7C1CF7B9" w:rsidR="00D6415B" w:rsidRPr="00F65431" w:rsidRDefault="003C3CD4" w:rsidP="00547B49">
      <w:pPr>
        <w:pStyle w:val="BodyText"/>
        <w:spacing w:after="0"/>
        <w:jc w:val="both"/>
      </w:pPr>
      <w:r>
        <w:rPr>
          <w:noProof/>
        </w:rPr>
        <w:drawing>
          <wp:anchor distT="0" distB="0" distL="114300" distR="114300" simplePos="0" relativeHeight="251650560" behindDoc="0" locked="0" layoutInCell="0" allowOverlap="1" wp14:anchorId="63E92C81" wp14:editId="720E987E">
            <wp:simplePos x="0" y="0"/>
            <wp:positionH relativeFrom="column">
              <wp:posOffset>197485</wp:posOffset>
            </wp:positionH>
            <wp:positionV relativeFrom="paragraph">
              <wp:posOffset>1550670</wp:posOffset>
            </wp:positionV>
            <wp:extent cx="5089525" cy="2337435"/>
            <wp:effectExtent l="0" t="0" r="0" b="0"/>
            <wp:wrapTopAndBottom/>
            <wp:docPr id="99" name="Picture 502" descr="FWD vs Deflection with void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502" descr="FWD vs Deflection with void chart"/>
                    <pic:cNvPicPr>
                      <a:picLocks noChangeAspect="1" noChangeArrowheads="1"/>
                    </pic:cNvPicPr>
                  </pic:nvPicPr>
                  <pic:blipFill>
                    <a:blip r:embed="rId454" cstate="print"/>
                    <a:srcRect/>
                    <a:stretch>
                      <a:fillRect/>
                    </a:stretch>
                  </pic:blipFill>
                  <pic:spPr bwMode="auto">
                    <a:xfrm>
                      <a:off x="0" y="0"/>
                      <a:ext cx="5089525" cy="2337435"/>
                    </a:xfrm>
                    <a:prstGeom prst="rect">
                      <a:avLst/>
                    </a:prstGeom>
                    <a:noFill/>
                    <a:ln w="9525">
                      <a:noFill/>
                      <a:miter lim="800000"/>
                      <a:headEnd/>
                      <a:tailEnd/>
                    </a:ln>
                  </pic:spPr>
                </pic:pic>
              </a:graphicData>
            </a:graphic>
          </wp:anchor>
        </w:drawing>
      </w:r>
      <w:r w:rsidR="00D6415B" w:rsidRPr="00AA4642">
        <w:t>Void detec</w:t>
      </w:r>
      <w:r w:rsidR="00D6415B" w:rsidRPr="001A4634">
        <w:t>tion analysis is used to identify joints that have lost base material under the concrete slab.  FWD testing for void detection involves corner testing at three load levels, typically 6, 9, and 12 kips; greater loads can be used depending on the thickness and type of pavement structure.  The deflection versus load plot is produced for each test location in order to identify the presence of voids.  If no voids exist, the slope of the line between the three load drop points will cross very near the origin (less than 2 mils).  When the slope of the line crosses f</w:t>
      </w:r>
      <w:r w:rsidR="006F2009">
        <w:t>a</w:t>
      </w:r>
      <w:r w:rsidR="00D6415B" w:rsidRPr="001A4634">
        <w:t xml:space="preserve">rther away from the origin (greater than 2 mils), the presence of a void is expected.  This method identifies the presence of a void, but does </w:t>
      </w:r>
      <w:r w:rsidR="006F2009">
        <w:t xml:space="preserve">not </w:t>
      </w:r>
      <w:r w:rsidR="00D6415B" w:rsidRPr="001A4634">
        <w:t>provide any indication as to the size of the void.  The graphs below demonstrate this concept.</w:t>
      </w:r>
    </w:p>
    <w:p w14:paraId="1ABEBEB3" w14:textId="2AF97D4C" w:rsidR="00D6415B" w:rsidRDefault="00547B49" w:rsidP="00722B46">
      <w:pPr>
        <w:pStyle w:val="ListNumber"/>
        <w:tabs>
          <w:tab w:val="clear" w:pos="720"/>
          <w:tab w:val="clear" w:pos="1872"/>
        </w:tabs>
      </w:pPr>
      <w:r>
        <w:rPr>
          <w:noProof/>
        </w:rPr>
        <w:lastRenderedPageBreak/>
        <w:drawing>
          <wp:inline distT="0" distB="0" distL="0" distR="0" wp14:anchorId="2CD3B82B" wp14:editId="7A13CC57">
            <wp:extent cx="4710023" cy="2354396"/>
            <wp:effectExtent l="0" t="0" r="0" b="0"/>
            <wp:docPr id="100" name="Picture 501" descr="FWD Load vs Deflection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501" descr="FWD Load vs Deflection chart"/>
                    <pic:cNvPicPr>
                      <a:picLocks noChangeAspect="1" noChangeArrowheads="1"/>
                    </pic:cNvPicPr>
                  </pic:nvPicPr>
                  <pic:blipFill>
                    <a:blip r:embed="rId455" cstate="print"/>
                    <a:srcRect/>
                    <a:stretch>
                      <a:fillRect/>
                    </a:stretch>
                  </pic:blipFill>
                  <pic:spPr bwMode="auto">
                    <a:xfrm>
                      <a:off x="0" y="0"/>
                      <a:ext cx="4710391" cy="2354580"/>
                    </a:xfrm>
                    <a:prstGeom prst="rect">
                      <a:avLst/>
                    </a:prstGeom>
                    <a:noFill/>
                    <a:ln w="9525">
                      <a:noFill/>
                      <a:miter lim="800000"/>
                      <a:headEnd/>
                      <a:tailEnd/>
                    </a:ln>
                  </pic:spPr>
                </pic:pic>
              </a:graphicData>
            </a:graphic>
          </wp:inline>
        </w:drawing>
      </w:r>
    </w:p>
    <w:p w14:paraId="22A6A1EF" w14:textId="77777777" w:rsidR="00D6415B" w:rsidRDefault="00D6415B" w:rsidP="00D6415B">
      <w:pPr>
        <w:jc w:val="both"/>
        <w:rPr>
          <w:rFonts w:ascii="Arial" w:hAnsi="Arial"/>
          <w:sz w:val="22"/>
        </w:rPr>
      </w:pPr>
    </w:p>
    <w:p w14:paraId="0C3D67E4" w14:textId="7E586D96" w:rsidR="00D6415B" w:rsidRPr="00722B46" w:rsidRDefault="00D6415B" w:rsidP="00172E64">
      <w:pPr>
        <w:pStyle w:val="Heading6"/>
        <w:numPr>
          <w:ilvl w:val="5"/>
          <w:numId w:val="185"/>
        </w:numPr>
        <w:tabs>
          <w:tab w:val="left" w:pos="1800"/>
        </w:tabs>
        <w:ind w:left="0" w:firstLine="0"/>
        <w:jc w:val="both"/>
        <w:rPr>
          <w:b/>
        </w:rPr>
      </w:pPr>
      <w:r w:rsidRPr="00722B46">
        <w:rPr>
          <w:b/>
        </w:rPr>
        <w:t xml:space="preserve">Structural Capacity </w:t>
      </w:r>
      <w:r w:rsidR="006F2009">
        <w:rPr>
          <w:b/>
        </w:rPr>
        <w:t>U</w:t>
      </w:r>
      <w:r w:rsidRPr="006F2009">
        <w:rPr>
          <w:b/>
        </w:rPr>
        <w:t>sing</w:t>
      </w:r>
      <w:r w:rsidRPr="00722B46">
        <w:rPr>
          <w:b/>
        </w:rPr>
        <w:t xml:space="preserve"> the Area Method</w:t>
      </w:r>
    </w:p>
    <w:p w14:paraId="3D28666B" w14:textId="744D6614" w:rsidR="00D6415B" w:rsidRPr="00AA3C38" w:rsidRDefault="00D6415B" w:rsidP="005D0983">
      <w:pPr>
        <w:spacing w:after="120"/>
        <w:jc w:val="both"/>
        <w:rPr>
          <w:b/>
        </w:rPr>
      </w:pPr>
      <w:r w:rsidRPr="001A4634">
        <w:rPr>
          <w:rFonts w:ascii="Arial" w:hAnsi="Arial"/>
          <w:sz w:val="22"/>
        </w:rPr>
        <w:t xml:space="preserve">A simple two-layer pavement system approach to backcalculation of FWD data that is used to determine the structural capacity of rigid and composite pavements is the </w:t>
      </w:r>
      <w:smartTag w:uri="urn:schemas-microsoft-com:office:smarttags" w:element="stockticker">
        <w:r w:rsidRPr="001A4634">
          <w:rPr>
            <w:rFonts w:ascii="Arial" w:hAnsi="Arial"/>
            <w:sz w:val="22"/>
          </w:rPr>
          <w:t>AREA</w:t>
        </w:r>
      </w:smartTag>
      <w:r w:rsidRPr="001A4634">
        <w:rPr>
          <w:rFonts w:ascii="Arial" w:hAnsi="Arial"/>
          <w:sz w:val="22"/>
        </w:rPr>
        <w:t xml:space="preserve"> method.  Each FWD test measures the load and resulting deflection basin from that applied load.  The size and shape of the deflection basin provide an indication of the structural capacity of the pavement structure at the test point.  Therefore, the </w:t>
      </w:r>
      <w:smartTag w:uri="urn:schemas-microsoft-com:office:smarttags" w:element="stockticker">
        <w:r w:rsidRPr="001A4634">
          <w:rPr>
            <w:rFonts w:ascii="Arial" w:hAnsi="Arial"/>
            <w:sz w:val="22"/>
          </w:rPr>
          <w:t>AREA</w:t>
        </w:r>
      </w:smartTag>
      <w:r w:rsidRPr="001A4634">
        <w:rPr>
          <w:rFonts w:ascii="Arial" w:hAnsi="Arial"/>
          <w:sz w:val="22"/>
        </w:rPr>
        <w:t xml:space="preserve"> method uses the deflection basin to calculate the pavement structural capacity.  For </w:t>
      </w:r>
      <w:r w:rsidRPr="001A4634">
        <w:rPr>
          <w:rFonts w:ascii="Arial" w:hAnsi="Arial"/>
          <w:b/>
          <w:sz w:val="22"/>
        </w:rPr>
        <w:t>rigid pavements</w:t>
      </w:r>
      <w:r w:rsidRPr="001A4634">
        <w:rPr>
          <w:rFonts w:ascii="Arial" w:hAnsi="Arial"/>
          <w:sz w:val="22"/>
        </w:rPr>
        <w:t>, AR</w:t>
      </w:r>
      <w:r w:rsidRPr="00AA3C38">
        <w:rPr>
          <w:rFonts w:ascii="Arial" w:hAnsi="Arial"/>
          <w:sz w:val="22"/>
        </w:rPr>
        <w:t>EA is calculated with the following equation:</w:t>
      </w:r>
    </w:p>
    <w:p w14:paraId="40551160" w14:textId="77777777" w:rsidR="005D0983" w:rsidRDefault="005D0983" w:rsidP="005D0983">
      <w:pPr>
        <w:pStyle w:val="BodyText"/>
      </w:pPr>
      <m:oMathPara>
        <m:oMathParaPr>
          <m:jc m:val="center"/>
        </m:oMathParaPr>
        <m:oMath>
          <m:r>
            <w:rPr>
              <w:rFonts w:ascii="Cambria Math" w:hAnsi="Cambria Math"/>
            </w:rPr>
            <m:t>ARE</m:t>
          </m:r>
          <m:sSub>
            <m:sSubPr>
              <m:ctrlPr>
                <w:rPr>
                  <w:rFonts w:ascii="Cambria Math" w:hAnsi="Cambria Math"/>
                </w:rPr>
              </m:ctrlPr>
            </m:sSubPr>
            <m:e>
              <m:r>
                <w:rPr>
                  <w:rFonts w:ascii="Cambria Math" w:hAnsi="Cambria Math"/>
                </w:rPr>
                <m:t>A</m:t>
              </m:r>
            </m:e>
            <m:sub>
              <m:r>
                <w:rPr>
                  <w:rFonts w:ascii="Cambria Math" w:hAnsi="Cambria Math"/>
                </w:rPr>
                <m:t>7</m:t>
              </m:r>
            </m:sub>
          </m:sSub>
          <m:r>
            <m:rPr>
              <m:sty m:val="p"/>
            </m:rPr>
            <w:rPr>
              <w:rFonts w:ascii="Cambria Math" w:hAnsi="Cambria Math"/>
            </w:rPr>
            <m:t>=</m:t>
          </m:r>
          <m:r>
            <w:rPr>
              <w:rFonts w:ascii="Cambria Math" w:hAnsi="Cambria Math"/>
            </w:rPr>
            <m:t>4</m:t>
          </m:r>
          <m:r>
            <m:rPr>
              <m:sty m:val="p"/>
            </m:rPr>
            <w:rPr>
              <w:rFonts w:ascii="Cambria Math" w:hAnsi="Cambria Math"/>
            </w:rPr>
            <m:t>+</m:t>
          </m:r>
          <m:r>
            <w:rPr>
              <w:rFonts w:ascii="Cambria Math" w:hAnsi="Cambria Math"/>
            </w:rPr>
            <m:t>6</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8</m:t>
                      </m:r>
                    </m:sub>
                  </m:sSub>
                </m:num>
                <m:den>
                  <m:sSub>
                    <m:sSubPr>
                      <m:ctrlPr>
                        <w:rPr>
                          <w:rFonts w:ascii="Cambria Math" w:hAnsi="Cambria Math"/>
                        </w:rPr>
                      </m:ctrlPr>
                    </m:sSubPr>
                    <m:e>
                      <m:r>
                        <w:rPr>
                          <w:rFonts w:ascii="Cambria Math" w:hAnsi="Cambria Math"/>
                        </w:rPr>
                        <m:t>d</m:t>
                      </m:r>
                    </m:e>
                    <m:sub>
                      <m:r>
                        <w:rPr>
                          <w:rFonts w:ascii="Cambria Math" w:hAnsi="Cambria Math"/>
                        </w:rPr>
                        <m:t>0</m:t>
                      </m:r>
                    </m:sub>
                  </m:sSub>
                </m:den>
              </m:f>
            </m:e>
          </m:d>
          <m:r>
            <m:rPr>
              <m:sty m:val="p"/>
            </m:rPr>
            <w:rPr>
              <w:rFonts w:ascii="Cambria Math" w:hAnsi="Cambria Math"/>
            </w:rPr>
            <m:t>+</m:t>
          </m:r>
          <m:r>
            <w:rPr>
              <w:rFonts w:ascii="Cambria Math" w:hAnsi="Cambria Math"/>
            </w:rPr>
            <m:t>5</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12</m:t>
                      </m:r>
                    </m:sub>
                  </m:sSub>
                </m:num>
                <m:den>
                  <m:sSub>
                    <m:sSubPr>
                      <m:ctrlPr>
                        <w:rPr>
                          <w:rFonts w:ascii="Cambria Math" w:hAnsi="Cambria Math"/>
                        </w:rPr>
                      </m:ctrlPr>
                    </m:sSubPr>
                    <m:e>
                      <m:r>
                        <w:rPr>
                          <w:rFonts w:ascii="Cambria Math" w:hAnsi="Cambria Math"/>
                        </w:rPr>
                        <m:t>d</m:t>
                      </m:r>
                    </m:e>
                    <m:sub>
                      <m:r>
                        <w:rPr>
                          <w:rFonts w:ascii="Cambria Math" w:hAnsi="Cambria Math"/>
                        </w:rPr>
                        <m:t>0</m:t>
                      </m:r>
                    </m:sub>
                  </m:sSub>
                </m:den>
              </m:f>
            </m:e>
          </m:d>
          <m:r>
            <m:rPr>
              <m:sty m:val="p"/>
            </m:rPr>
            <w:rPr>
              <w:rFonts w:ascii="Cambria Math" w:hAnsi="Cambria Math"/>
            </w:rPr>
            <m:t>+</m:t>
          </m:r>
          <m:r>
            <w:rPr>
              <w:rFonts w:ascii="Cambria Math" w:hAnsi="Cambria Math"/>
            </w:rPr>
            <m:t>6</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18</m:t>
                      </m:r>
                    </m:sub>
                  </m:sSub>
                </m:num>
                <m:den>
                  <m:sSub>
                    <m:sSubPr>
                      <m:ctrlPr>
                        <w:rPr>
                          <w:rFonts w:ascii="Cambria Math" w:hAnsi="Cambria Math"/>
                        </w:rPr>
                      </m:ctrlPr>
                    </m:sSubPr>
                    <m:e>
                      <m:r>
                        <w:rPr>
                          <w:rFonts w:ascii="Cambria Math" w:hAnsi="Cambria Math"/>
                        </w:rPr>
                        <m:t>d</m:t>
                      </m:r>
                    </m:e>
                    <m:sub>
                      <m:r>
                        <w:rPr>
                          <w:rFonts w:ascii="Cambria Math" w:hAnsi="Cambria Math"/>
                        </w:rPr>
                        <m:t>0</m:t>
                      </m:r>
                    </m:sub>
                  </m:sSub>
                </m:den>
              </m:f>
            </m:e>
          </m:d>
          <m:r>
            <m:rPr>
              <m:sty m:val="p"/>
            </m:rPr>
            <w:rPr>
              <w:rFonts w:ascii="Cambria Math" w:hAnsi="Cambria Math"/>
            </w:rPr>
            <m:t>+</m:t>
          </m:r>
          <m:r>
            <w:rPr>
              <w:rFonts w:ascii="Cambria Math" w:hAnsi="Cambria Math"/>
            </w:rPr>
            <m:t>9</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24</m:t>
                      </m:r>
                    </m:sub>
                  </m:sSub>
                </m:num>
                <m:den>
                  <m:sSub>
                    <m:sSubPr>
                      <m:ctrlPr>
                        <w:rPr>
                          <w:rFonts w:ascii="Cambria Math" w:hAnsi="Cambria Math"/>
                        </w:rPr>
                      </m:ctrlPr>
                    </m:sSubPr>
                    <m:e>
                      <m:r>
                        <w:rPr>
                          <w:rFonts w:ascii="Cambria Math" w:hAnsi="Cambria Math"/>
                        </w:rPr>
                        <m:t>d</m:t>
                      </m:r>
                    </m:e>
                    <m:sub>
                      <m:r>
                        <w:rPr>
                          <w:rFonts w:ascii="Cambria Math" w:hAnsi="Cambria Math"/>
                        </w:rPr>
                        <m:t>0</m:t>
                      </m:r>
                    </m:sub>
                  </m:sSub>
                </m:den>
              </m:f>
            </m:e>
          </m:d>
          <m:r>
            <m:rPr>
              <m:sty m:val="p"/>
            </m:rPr>
            <w:rPr>
              <w:rFonts w:ascii="Cambria Math" w:hAnsi="Cambria Math"/>
            </w:rPr>
            <m:t>+</m:t>
          </m:r>
          <m:r>
            <w:rPr>
              <w:rFonts w:ascii="Cambria Math" w:hAnsi="Cambria Math"/>
            </w:rPr>
            <m:t>18</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36</m:t>
                      </m:r>
                    </m:sub>
                  </m:sSub>
                </m:num>
                <m:den>
                  <m:sSub>
                    <m:sSubPr>
                      <m:ctrlPr>
                        <w:rPr>
                          <w:rFonts w:ascii="Cambria Math" w:hAnsi="Cambria Math"/>
                        </w:rPr>
                      </m:ctrlPr>
                    </m:sSubPr>
                    <m:e>
                      <m:r>
                        <w:rPr>
                          <w:rFonts w:ascii="Cambria Math" w:hAnsi="Cambria Math"/>
                        </w:rPr>
                        <m:t>d</m:t>
                      </m:r>
                    </m:e>
                    <m:sub>
                      <m:r>
                        <w:rPr>
                          <w:rFonts w:ascii="Cambria Math" w:hAnsi="Cambria Math"/>
                        </w:rPr>
                        <m:t>0</m:t>
                      </m:r>
                    </m:sub>
                  </m:sSub>
                </m:den>
              </m:f>
            </m:e>
          </m:d>
          <m:r>
            <m:rPr>
              <m:sty m:val="p"/>
            </m:rPr>
            <w:rPr>
              <w:rFonts w:ascii="Cambria Math" w:hAnsi="Cambria Math"/>
            </w:rPr>
            <m:t>+</m:t>
          </m:r>
          <m:r>
            <w:rPr>
              <w:rFonts w:ascii="Cambria Math" w:hAnsi="Cambria Math"/>
            </w:rPr>
            <m:t>12</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60</m:t>
                      </m:r>
                    </m:sub>
                  </m:sSub>
                </m:num>
                <m:den>
                  <m:sSub>
                    <m:sSubPr>
                      <m:ctrlPr>
                        <w:rPr>
                          <w:rFonts w:ascii="Cambria Math" w:hAnsi="Cambria Math"/>
                        </w:rPr>
                      </m:ctrlPr>
                    </m:sSubPr>
                    <m:e>
                      <m:r>
                        <w:rPr>
                          <w:rFonts w:ascii="Cambria Math" w:hAnsi="Cambria Math"/>
                        </w:rPr>
                        <m:t>d</m:t>
                      </m:r>
                    </m:e>
                    <m:sub>
                      <m:r>
                        <w:rPr>
                          <w:rFonts w:ascii="Cambria Math" w:hAnsi="Cambria Math"/>
                        </w:rPr>
                        <m:t>0</m:t>
                      </m:r>
                    </m:sub>
                  </m:sSub>
                </m:den>
              </m:f>
            </m:e>
          </m:d>
        </m:oMath>
      </m:oMathPara>
    </w:p>
    <w:p w14:paraId="732AEF15" w14:textId="77777777" w:rsidR="006F2009" w:rsidRDefault="00D6415B" w:rsidP="006F2009">
      <w:pPr>
        <w:ind w:firstLine="720"/>
        <w:jc w:val="both"/>
        <w:rPr>
          <w:rFonts w:ascii="Arial" w:hAnsi="Arial"/>
          <w:sz w:val="22"/>
        </w:rPr>
      </w:pPr>
      <w:r w:rsidRPr="00AA3C38">
        <w:rPr>
          <w:rFonts w:ascii="Arial" w:hAnsi="Arial"/>
          <w:sz w:val="22"/>
        </w:rPr>
        <w:t xml:space="preserve">where: </w:t>
      </w:r>
    </w:p>
    <w:p w14:paraId="2FBF8D39" w14:textId="0A1B72BC" w:rsidR="00D6415B" w:rsidRPr="00AA3C38" w:rsidRDefault="00D6415B" w:rsidP="00722B46">
      <w:pPr>
        <w:tabs>
          <w:tab w:val="left" w:pos="1260"/>
          <w:tab w:val="left" w:pos="1620"/>
          <w:tab w:val="left" w:pos="1980"/>
        </w:tabs>
        <w:ind w:firstLine="720"/>
        <w:jc w:val="both"/>
        <w:rPr>
          <w:rFonts w:ascii="Arial" w:hAnsi="Arial"/>
          <w:sz w:val="22"/>
        </w:rPr>
      </w:pPr>
      <w:r w:rsidRPr="00AA3C38">
        <w:rPr>
          <w:rFonts w:ascii="Arial" w:hAnsi="Arial"/>
          <w:sz w:val="22"/>
        </w:rPr>
        <w:tab/>
        <w:t>d</w:t>
      </w:r>
      <w:r w:rsidRPr="00AA3C38">
        <w:rPr>
          <w:rFonts w:ascii="Arial" w:hAnsi="Arial"/>
          <w:sz w:val="22"/>
          <w:vertAlign w:val="subscript"/>
        </w:rPr>
        <w:t>0</w:t>
      </w:r>
      <w:r w:rsidR="006F2009">
        <w:rPr>
          <w:rFonts w:ascii="Arial" w:hAnsi="Arial"/>
          <w:sz w:val="22"/>
          <w:vertAlign w:val="subscript"/>
        </w:rPr>
        <w:tab/>
      </w:r>
      <w:r w:rsidRPr="00AA3C38">
        <w:rPr>
          <w:rFonts w:ascii="Arial" w:hAnsi="Arial"/>
          <w:sz w:val="22"/>
        </w:rPr>
        <w:t xml:space="preserve">= </w:t>
      </w:r>
      <w:r w:rsidR="006F2009">
        <w:rPr>
          <w:rFonts w:ascii="Arial" w:hAnsi="Arial"/>
          <w:sz w:val="22"/>
        </w:rPr>
        <w:tab/>
      </w:r>
      <w:r w:rsidRPr="00AA3C38">
        <w:rPr>
          <w:rFonts w:ascii="Arial" w:hAnsi="Arial"/>
          <w:sz w:val="22"/>
        </w:rPr>
        <w:t>deflection in center of load plate, inches</w:t>
      </w:r>
    </w:p>
    <w:p w14:paraId="62998A5D" w14:textId="5A0D5DED" w:rsidR="00D6415B" w:rsidRPr="00AA3C38" w:rsidRDefault="00D6415B" w:rsidP="00722B46">
      <w:pPr>
        <w:tabs>
          <w:tab w:val="left" w:pos="1620"/>
          <w:tab w:val="left" w:pos="1980"/>
        </w:tabs>
        <w:ind w:left="1980" w:hanging="720"/>
        <w:rPr>
          <w:rFonts w:ascii="Arial" w:hAnsi="Arial"/>
          <w:sz w:val="22"/>
        </w:rPr>
      </w:pPr>
      <w:r w:rsidRPr="00AA3C38">
        <w:rPr>
          <w:rFonts w:ascii="Arial" w:hAnsi="Arial"/>
          <w:sz w:val="22"/>
        </w:rPr>
        <w:t>d</w:t>
      </w:r>
      <w:r w:rsidRPr="00AA3C38">
        <w:rPr>
          <w:rFonts w:ascii="Arial" w:hAnsi="Arial"/>
          <w:sz w:val="22"/>
          <w:vertAlign w:val="subscript"/>
        </w:rPr>
        <w:t xml:space="preserve">i </w:t>
      </w:r>
      <w:r w:rsidR="006F2009">
        <w:rPr>
          <w:rFonts w:ascii="Arial" w:hAnsi="Arial"/>
          <w:sz w:val="22"/>
          <w:vertAlign w:val="subscript"/>
        </w:rPr>
        <w:tab/>
      </w:r>
      <w:r w:rsidRPr="00AA3C38">
        <w:rPr>
          <w:rFonts w:ascii="Arial" w:hAnsi="Arial"/>
          <w:sz w:val="22"/>
        </w:rPr>
        <w:t xml:space="preserve">= </w:t>
      </w:r>
      <w:r w:rsidR="006F2009">
        <w:rPr>
          <w:rFonts w:ascii="Arial" w:hAnsi="Arial"/>
          <w:sz w:val="22"/>
        </w:rPr>
        <w:tab/>
      </w:r>
      <w:r w:rsidRPr="00AA3C38">
        <w:rPr>
          <w:rFonts w:ascii="Arial" w:hAnsi="Arial"/>
          <w:sz w:val="22"/>
        </w:rPr>
        <w:t>deflection at 0, 8, 12, 18, 36, and 60 inches from load plate center, inches</w:t>
      </w:r>
    </w:p>
    <w:p w14:paraId="375DF6A4" w14:textId="77777777" w:rsidR="00D6415B" w:rsidRPr="00AA3C38" w:rsidRDefault="00D6415B" w:rsidP="00D6415B">
      <w:pPr>
        <w:jc w:val="both"/>
        <w:rPr>
          <w:rFonts w:ascii="Arial" w:hAnsi="Arial"/>
          <w:sz w:val="22"/>
        </w:rPr>
      </w:pPr>
    </w:p>
    <w:p w14:paraId="64567B6D" w14:textId="4313A902" w:rsidR="00D6415B" w:rsidRPr="00AA3C38" w:rsidRDefault="00D6415B" w:rsidP="005D0983">
      <w:pPr>
        <w:spacing w:after="120"/>
        <w:jc w:val="both"/>
        <w:rPr>
          <w:b/>
        </w:rPr>
      </w:pPr>
      <w:smartTag w:uri="urn:schemas-microsoft-com:office:smarttags" w:element="stockticker">
        <w:r w:rsidRPr="00AA3C38">
          <w:rPr>
            <w:rFonts w:ascii="Arial" w:hAnsi="Arial"/>
            <w:sz w:val="22"/>
          </w:rPr>
          <w:t>AREA</w:t>
        </w:r>
      </w:smartTag>
      <w:r w:rsidRPr="00AA3C38">
        <w:rPr>
          <w:rFonts w:ascii="Arial" w:hAnsi="Arial"/>
          <w:sz w:val="22"/>
        </w:rPr>
        <w:t xml:space="preserve"> has units of length, not area, since each of the deflections is normalized with respect to the deflection under the load plate in order to remove the effect of different load levels and to restrict the range of values.  For sound concrete, the </w:t>
      </w:r>
      <w:smartTag w:uri="urn:schemas-microsoft-com:office:smarttags" w:element="stockticker">
        <w:r w:rsidRPr="00AA3C38">
          <w:rPr>
            <w:rFonts w:ascii="Arial" w:hAnsi="Arial"/>
            <w:sz w:val="22"/>
          </w:rPr>
          <w:t>AREA</w:t>
        </w:r>
      </w:smartTag>
      <w:r w:rsidRPr="00AA3C38">
        <w:rPr>
          <w:rFonts w:ascii="Arial" w:hAnsi="Arial"/>
          <w:sz w:val="22"/>
        </w:rPr>
        <w:t xml:space="preserve"> will range from 29 to 32.  For </w:t>
      </w:r>
      <w:r w:rsidRPr="00AA3C38">
        <w:rPr>
          <w:rFonts w:ascii="Arial" w:hAnsi="Arial"/>
          <w:b/>
          <w:sz w:val="22"/>
        </w:rPr>
        <w:t>composite pavements</w:t>
      </w:r>
      <w:r w:rsidRPr="00AA3C38">
        <w:rPr>
          <w:rFonts w:ascii="Arial" w:hAnsi="Arial"/>
          <w:sz w:val="22"/>
        </w:rPr>
        <w:t xml:space="preserve">, </w:t>
      </w:r>
      <w:smartTag w:uri="urn:schemas-microsoft-com:office:smarttags" w:element="stockticker">
        <w:r w:rsidRPr="00AA3C38">
          <w:rPr>
            <w:rFonts w:ascii="Arial" w:hAnsi="Arial"/>
            <w:sz w:val="22"/>
          </w:rPr>
          <w:t>AREA</w:t>
        </w:r>
      </w:smartTag>
      <w:r w:rsidRPr="00AA3C38">
        <w:rPr>
          <w:rFonts w:ascii="Arial" w:hAnsi="Arial"/>
          <w:sz w:val="22"/>
        </w:rPr>
        <w:t xml:space="preserve"> is calculated with the following equation:</w:t>
      </w:r>
    </w:p>
    <w:p w14:paraId="1B7548BA" w14:textId="77777777" w:rsidR="005D0983" w:rsidRDefault="005D0983" w:rsidP="005D0983">
      <w:pPr>
        <w:pStyle w:val="BodyText"/>
      </w:pPr>
      <m:oMathPara>
        <m:oMathParaPr>
          <m:jc m:val="center"/>
        </m:oMathParaPr>
        <m:oMath>
          <m:r>
            <w:rPr>
              <w:rFonts w:ascii="Cambria Math" w:hAnsi="Cambria Math"/>
            </w:rPr>
            <m:t>ARE</m:t>
          </m:r>
          <m:sSub>
            <m:sSubPr>
              <m:ctrlPr>
                <w:rPr>
                  <w:rFonts w:ascii="Cambria Math" w:hAnsi="Cambria Math"/>
                </w:rPr>
              </m:ctrlPr>
            </m:sSubPr>
            <m:e>
              <m:r>
                <w:rPr>
                  <w:rFonts w:ascii="Cambria Math" w:hAnsi="Cambria Math"/>
                </w:rPr>
                <m:t>A</m:t>
              </m:r>
            </m:e>
            <m:sub>
              <m:r>
                <w:rPr>
                  <w:rFonts w:ascii="Cambria Math" w:hAnsi="Cambria Math"/>
                </w:rPr>
                <m:t>5</m:t>
              </m:r>
            </m:sub>
          </m:sSub>
          <m:r>
            <m:rPr>
              <m:sty m:val="p"/>
            </m:rPr>
            <w:rPr>
              <w:rFonts w:ascii="Cambria Math" w:hAnsi="Cambria Math"/>
            </w:rPr>
            <m:t>=</m:t>
          </m:r>
          <m:r>
            <w:rPr>
              <w:rFonts w:ascii="Cambria Math" w:hAnsi="Cambria Math"/>
            </w:rPr>
            <m:t>3</m:t>
          </m:r>
          <m:r>
            <m:rPr>
              <m:sty m:val="p"/>
            </m:rPr>
            <w:rPr>
              <w:rFonts w:ascii="Cambria Math" w:hAnsi="Cambria Math"/>
            </w:rPr>
            <m:t>+</m:t>
          </m:r>
          <m:r>
            <w:rPr>
              <w:rFonts w:ascii="Cambria Math" w:hAnsi="Cambria Math"/>
            </w:rPr>
            <m:t>6</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18</m:t>
                      </m:r>
                    </m:sub>
                  </m:sSub>
                </m:num>
                <m:den>
                  <m:sSub>
                    <m:sSubPr>
                      <m:ctrlPr>
                        <w:rPr>
                          <w:rFonts w:ascii="Cambria Math" w:hAnsi="Cambria Math"/>
                        </w:rPr>
                      </m:ctrlPr>
                    </m:sSubPr>
                    <m:e>
                      <m:r>
                        <w:rPr>
                          <w:rFonts w:ascii="Cambria Math" w:hAnsi="Cambria Math"/>
                        </w:rPr>
                        <m:t>d</m:t>
                      </m:r>
                    </m:e>
                    <m:sub>
                      <m:r>
                        <w:rPr>
                          <w:rFonts w:ascii="Cambria Math" w:hAnsi="Cambria Math"/>
                        </w:rPr>
                        <m:t>12</m:t>
                      </m:r>
                    </m:sub>
                  </m:sSub>
                </m:den>
              </m:f>
            </m:e>
          </m:d>
          <m:r>
            <m:rPr>
              <m:sty m:val="p"/>
            </m:rPr>
            <w:rPr>
              <w:rFonts w:ascii="Cambria Math" w:hAnsi="Cambria Math"/>
            </w:rPr>
            <m:t>+</m:t>
          </m:r>
          <m:r>
            <w:rPr>
              <w:rFonts w:ascii="Cambria Math" w:hAnsi="Cambria Math"/>
            </w:rPr>
            <m:t>9</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24</m:t>
                      </m:r>
                    </m:sub>
                  </m:sSub>
                </m:num>
                <m:den>
                  <m:sSub>
                    <m:sSubPr>
                      <m:ctrlPr>
                        <w:rPr>
                          <w:rFonts w:ascii="Cambria Math" w:hAnsi="Cambria Math"/>
                        </w:rPr>
                      </m:ctrlPr>
                    </m:sSubPr>
                    <m:e>
                      <m:r>
                        <w:rPr>
                          <w:rFonts w:ascii="Cambria Math" w:hAnsi="Cambria Math"/>
                        </w:rPr>
                        <m:t>d</m:t>
                      </m:r>
                    </m:e>
                    <m:sub>
                      <m:r>
                        <w:rPr>
                          <w:rFonts w:ascii="Cambria Math" w:hAnsi="Cambria Math"/>
                        </w:rPr>
                        <m:t>12</m:t>
                      </m:r>
                    </m:sub>
                  </m:sSub>
                </m:den>
              </m:f>
            </m:e>
          </m:d>
          <m:r>
            <m:rPr>
              <m:sty m:val="p"/>
            </m:rPr>
            <w:rPr>
              <w:rFonts w:ascii="Cambria Math" w:hAnsi="Cambria Math"/>
            </w:rPr>
            <m:t>+</m:t>
          </m:r>
          <m:r>
            <w:rPr>
              <w:rFonts w:ascii="Cambria Math" w:hAnsi="Cambria Math"/>
            </w:rPr>
            <m:t>18</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36</m:t>
                      </m:r>
                    </m:sub>
                  </m:sSub>
                </m:num>
                <m:den>
                  <m:sSub>
                    <m:sSubPr>
                      <m:ctrlPr>
                        <w:rPr>
                          <w:rFonts w:ascii="Cambria Math" w:hAnsi="Cambria Math"/>
                        </w:rPr>
                      </m:ctrlPr>
                    </m:sSubPr>
                    <m:e>
                      <m:r>
                        <w:rPr>
                          <w:rFonts w:ascii="Cambria Math" w:hAnsi="Cambria Math"/>
                        </w:rPr>
                        <m:t>d</m:t>
                      </m:r>
                    </m:e>
                    <m:sub>
                      <m:r>
                        <w:rPr>
                          <w:rFonts w:ascii="Cambria Math" w:hAnsi="Cambria Math"/>
                        </w:rPr>
                        <m:t>0</m:t>
                      </m:r>
                    </m:sub>
                  </m:sSub>
                </m:den>
              </m:f>
            </m:e>
          </m:d>
          <m:r>
            <m:rPr>
              <m:sty m:val="p"/>
            </m:rPr>
            <w:rPr>
              <w:rFonts w:ascii="Cambria Math" w:hAnsi="Cambria Math"/>
            </w:rPr>
            <m:t>+</m:t>
          </m:r>
          <m:r>
            <w:rPr>
              <w:rFonts w:ascii="Cambria Math" w:hAnsi="Cambria Math"/>
            </w:rPr>
            <m:t>12</m:t>
          </m:r>
          <m:r>
            <m:rPr>
              <m:sty m:val="p"/>
            </m:rPr>
            <w:rPr>
              <w:rFonts w:ascii="Cambria Math" w:hAnsi="Cambria Math"/>
            </w:rPr>
            <m:t>×</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60</m:t>
                      </m:r>
                    </m:sub>
                  </m:sSub>
                </m:num>
                <m:den>
                  <m:sSub>
                    <m:sSubPr>
                      <m:ctrlPr>
                        <w:rPr>
                          <w:rFonts w:ascii="Cambria Math" w:hAnsi="Cambria Math"/>
                        </w:rPr>
                      </m:ctrlPr>
                    </m:sSubPr>
                    <m:e>
                      <m:r>
                        <w:rPr>
                          <w:rFonts w:ascii="Cambria Math" w:hAnsi="Cambria Math"/>
                        </w:rPr>
                        <m:t>d</m:t>
                      </m:r>
                    </m:e>
                    <m:sub>
                      <m:r>
                        <w:rPr>
                          <w:rFonts w:ascii="Cambria Math" w:hAnsi="Cambria Math"/>
                        </w:rPr>
                        <m:t>12</m:t>
                      </m:r>
                    </m:sub>
                  </m:sSub>
                </m:den>
              </m:f>
            </m:e>
          </m:d>
        </m:oMath>
      </m:oMathPara>
    </w:p>
    <w:p w14:paraId="40E1DED2" w14:textId="77777777" w:rsidR="006F2009" w:rsidRDefault="00D6415B" w:rsidP="006F2009">
      <w:pPr>
        <w:ind w:firstLine="720"/>
        <w:jc w:val="both"/>
        <w:rPr>
          <w:rFonts w:ascii="Arial" w:hAnsi="Arial"/>
          <w:sz w:val="22"/>
        </w:rPr>
      </w:pPr>
      <w:r w:rsidRPr="00AA3C38">
        <w:rPr>
          <w:rFonts w:ascii="Arial" w:hAnsi="Arial"/>
          <w:sz w:val="22"/>
        </w:rPr>
        <w:t xml:space="preserve">where: </w:t>
      </w:r>
    </w:p>
    <w:p w14:paraId="71D10360" w14:textId="0774A304" w:rsidR="00D6415B" w:rsidRPr="00AA3C38" w:rsidRDefault="00D6415B" w:rsidP="00722B46">
      <w:pPr>
        <w:tabs>
          <w:tab w:val="left" w:pos="1260"/>
          <w:tab w:val="left" w:pos="1620"/>
          <w:tab w:val="left" w:pos="1980"/>
        </w:tabs>
        <w:jc w:val="both"/>
        <w:rPr>
          <w:rFonts w:ascii="Arial" w:hAnsi="Arial"/>
          <w:sz w:val="22"/>
        </w:rPr>
      </w:pPr>
      <w:r w:rsidRPr="00AA3C38">
        <w:rPr>
          <w:rFonts w:ascii="Arial" w:hAnsi="Arial"/>
          <w:sz w:val="22"/>
        </w:rPr>
        <w:tab/>
        <w:t>d</w:t>
      </w:r>
      <w:r w:rsidRPr="00AA3C38">
        <w:rPr>
          <w:rFonts w:ascii="Arial" w:hAnsi="Arial"/>
          <w:sz w:val="22"/>
          <w:vertAlign w:val="subscript"/>
        </w:rPr>
        <w:t xml:space="preserve">0 </w:t>
      </w:r>
      <w:r w:rsidR="006F2009">
        <w:rPr>
          <w:rFonts w:ascii="Arial" w:hAnsi="Arial"/>
          <w:sz w:val="22"/>
          <w:vertAlign w:val="subscript"/>
        </w:rPr>
        <w:tab/>
      </w:r>
      <w:r w:rsidRPr="00AA3C38">
        <w:rPr>
          <w:rFonts w:ascii="Arial" w:hAnsi="Arial"/>
          <w:sz w:val="22"/>
        </w:rPr>
        <w:t xml:space="preserve">= </w:t>
      </w:r>
      <w:r w:rsidR="006F2009">
        <w:rPr>
          <w:rFonts w:ascii="Arial" w:hAnsi="Arial"/>
          <w:sz w:val="22"/>
        </w:rPr>
        <w:tab/>
      </w:r>
      <w:r w:rsidRPr="00AA3C38">
        <w:rPr>
          <w:rFonts w:ascii="Arial" w:hAnsi="Arial"/>
          <w:sz w:val="22"/>
        </w:rPr>
        <w:t>deflection in center of load plate, inches</w:t>
      </w:r>
    </w:p>
    <w:p w14:paraId="7A7B6193" w14:textId="209E819C" w:rsidR="00D6415B" w:rsidRPr="00AA3C38" w:rsidRDefault="00D6415B" w:rsidP="00722B46">
      <w:pPr>
        <w:tabs>
          <w:tab w:val="left" w:pos="1620"/>
          <w:tab w:val="left" w:pos="1980"/>
        </w:tabs>
        <w:ind w:left="1980" w:hanging="720"/>
        <w:rPr>
          <w:rFonts w:ascii="Arial" w:hAnsi="Arial"/>
          <w:sz w:val="22"/>
        </w:rPr>
      </w:pPr>
      <w:r w:rsidRPr="00AA3C38">
        <w:rPr>
          <w:rFonts w:ascii="Arial" w:hAnsi="Arial"/>
          <w:sz w:val="22"/>
        </w:rPr>
        <w:t>d</w:t>
      </w:r>
      <w:r w:rsidRPr="00AA3C38">
        <w:rPr>
          <w:rFonts w:ascii="Arial" w:hAnsi="Arial"/>
          <w:sz w:val="22"/>
          <w:vertAlign w:val="subscript"/>
        </w:rPr>
        <w:t xml:space="preserve">i </w:t>
      </w:r>
      <w:r w:rsidR="006F2009">
        <w:rPr>
          <w:rFonts w:ascii="Arial" w:hAnsi="Arial"/>
          <w:sz w:val="22"/>
          <w:vertAlign w:val="subscript"/>
        </w:rPr>
        <w:tab/>
      </w:r>
      <w:r w:rsidRPr="00AA3C38">
        <w:rPr>
          <w:rFonts w:ascii="Arial" w:hAnsi="Arial"/>
          <w:sz w:val="22"/>
        </w:rPr>
        <w:t xml:space="preserve">= </w:t>
      </w:r>
      <w:r w:rsidR="006F2009">
        <w:rPr>
          <w:rFonts w:ascii="Arial" w:hAnsi="Arial"/>
          <w:sz w:val="22"/>
        </w:rPr>
        <w:tab/>
      </w:r>
      <w:r w:rsidRPr="00AA3C38">
        <w:rPr>
          <w:rFonts w:ascii="Arial" w:hAnsi="Arial"/>
          <w:sz w:val="22"/>
        </w:rPr>
        <w:t>deflection at 0, 8, 12, 18, 36, and 60 inches from load plate center, inches</w:t>
      </w:r>
    </w:p>
    <w:p w14:paraId="6A5B2D3A" w14:textId="77777777" w:rsidR="00D6415B" w:rsidRPr="00AA3C38" w:rsidRDefault="00D6415B" w:rsidP="00D6415B">
      <w:pPr>
        <w:jc w:val="both"/>
        <w:rPr>
          <w:rFonts w:ascii="Arial" w:hAnsi="Arial"/>
          <w:sz w:val="22"/>
        </w:rPr>
      </w:pPr>
    </w:p>
    <w:p w14:paraId="46E2E868" w14:textId="7BDEF723" w:rsidR="00D6415B" w:rsidRDefault="00D6415B" w:rsidP="00D6415B">
      <w:pPr>
        <w:jc w:val="both"/>
        <w:rPr>
          <w:rFonts w:ascii="Arial" w:hAnsi="Arial"/>
          <w:sz w:val="22"/>
        </w:rPr>
      </w:pPr>
      <w:r w:rsidRPr="00AA3C38">
        <w:rPr>
          <w:rFonts w:ascii="Arial" w:hAnsi="Arial"/>
          <w:sz w:val="22"/>
        </w:rPr>
        <w:t>The deflection at 12</w:t>
      </w:r>
      <w:r w:rsidR="006F2009">
        <w:rPr>
          <w:rFonts w:ascii="Arial" w:hAnsi="Arial"/>
          <w:sz w:val="22"/>
        </w:rPr>
        <w:t>"</w:t>
      </w:r>
      <w:r w:rsidRPr="00AA3C38">
        <w:rPr>
          <w:rFonts w:ascii="Arial" w:hAnsi="Arial"/>
          <w:sz w:val="22"/>
        </w:rPr>
        <w:t xml:space="preserve"> rather than under the load plate is used for composite pavements to reduce the effect of the compression of the HMA that might occur under the load plate during loading.  </w:t>
      </w:r>
    </w:p>
    <w:p w14:paraId="09FAAB8F" w14:textId="77777777" w:rsidR="00D6415B" w:rsidRDefault="00D6415B" w:rsidP="00D6415B">
      <w:pPr>
        <w:jc w:val="both"/>
        <w:rPr>
          <w:rFonts w:ascii="Arial" w:hAnsi="Arial"/>
          <w:sz w:val="22"/>
        </w:rPr>
      </w:pPr>
    </w:p>
    <w:p w14:paraId="70945541" w14:textId="77777777" w:rsidR="00D6415B" w:rsidRPr="00AC6F0C" w:rsidRDefault="00D6415B" w:rsidP="00722B46">
      <w:pPr>
        <w:pStyle w:val="ListNumber"/>
        <w:tabs>
          <w:tab w:val="clear" w:pos="720"/>
          <w:tab w:val="clear" w:pos="1872"/>
        </w:tabs>
        <w:spacing w:before="0"/>
        <w:ind w:left="0" w:firstLine="0"/>
        <w:jc w:val="both"/>
        <w:rPr>
          <w:b/>
        </w:rPr>
      </w:pPr>
      <w:r w:rsidRPr="00AC6F0C">
        <w:rPr>
          <w:b/>
        </w:rPr>
        <w:t>No calculations using the AREA method need to be performed if using Deflexus.</w:t>
      </w:r>
    </w:p>
    <w:p w14:paraId="05978352" w14:textId="77777777" w:rsidR="00D6415B" w:rsidRPr="00AA3C38" w:rsidRDefault="00D6415B" w:rsidP="00D6415B">
      <w:pPr>
        <w:jc w:val="both"/>
        <w:rPr>
          <w:rFonts w:ascii="Arial" w:hAnsi="Arial"/>
          <w:sz w:val="22"/>
        </w:rPr>
      </w:pPr>
    </w:p>
    <w:p w14:paraId="20959910" w14:textId="33BC0622" w:rsidR="00D6415B" w:rsidRPr="00722B46" w:rsidRDefault="00D6415B" w:rsidP="00172E64">
      <w:pPr>
        <w:pStyle w:val="Heading6"/>
        <w:numPr>
          <w:ilvl w:val="5"/>
          <w:numId w:val="185"/>
        </w:numPr>
        <w:tabs>
          <w:tab w:val="left" w:pos="1800"/>
        </w:tabs>
        <w:ind w:left="0" w:firstLine="0"/>
        <w:jc w:val="both"/>
        <w:rPr>
          <w:b/>
        </w:rPr>
      </w:pPr>
      <w:r w:rsidRPr="00722B46">
        <w:rPr>
          <w:b/>
        </w:rPr>
        <w:lastRenderedPageBreak/>
        <w:t xml:space="preserve">Structural Capacity </w:t>
      </w:r>
      <w:r w:rsidR="006F2009">
        <w:rPr>
          <w:b/>
        </w:rPr>
        <w:t>U</w:t>
      </w:r>
      <w:r w:rsidRPr="006F2009">
        <w:rPr>
          <w:b/>
        </w:rPr>
        <w:t>sing</w:t>
      </w:r>
      <w:r w:rsidRPr="00722B46">
        <w:rPr>
          <w:b/>
        </w:rPr>
        <w:t xml:space="preserve"> the Radius of Relative Stiffness</w:t>
      </w:r>
    </w:p>
    <w:p w14:paraId="261DBE1A" w14:textId="77777777" w:rsidR="00D6415B" w:rsidRPr="00085881" w:rsidRDefault="00D6415B" w:rsidP="00D6415B">
      <w:pPr>
        <w:jc w:val="both"/>
        <w:rPr>
          <w:rFonts w:ascii="Arial" w:hAnsi="Arial"/>
          <w:sz w:val="22"/>
        </w:rPr>
      </w:pPr>
      <w:r w:rsidRPr="00AA3C38">
        <w:rPr>
          <w:rFonts w:ascii="Arial" w:hAnsi="Arial"/>
          <w:sz w:val="22"/>
        </w:rPr>
        <w:t xml:space="preserve">For a given load radius and sensor configuration, a unique relationship exists between </w:t>
      </w:r>
      <w:smartTag w:uri="urn:schemas-microsoft-com:office:smarttags" w:element="stockticker">
        <w:r w:rsidRPr="00AA3C38">
          <w:rPr>
            <w:rFonts w:ascii="Arial" w:hAnsi="Arial"/>
            <w:sz w:val="22"/>
          </w:rPr>
          <w:t>AREA</w:t>
        </w:r>
      </w:smartTag>
      <w:r w:rsidRPr="00AA3C38">
        <w:rPr>
          <w:rFonts w:ascii="Arial" w:hAnsi="Arial"/>
          <w:sz w:val="22"/>
        </w:rPr>
        <w:t xml:space="preserve"> and the dense liquid radius of relative stiffness (</w:t>
      </w:r>
      <w:r w:rsidRPr="00AA3C38">
        <w:rPr>
          <w:rFonts w:ascii="Arial" w:hAnsi="Arial"/>
          <w:b/>
          <w:sz w:val="22"/>
        </w:rPr>
        <w:t>l</w:t>
      </w:r>
      <w:r w:rsidRPr="00AA3C38">
        <w:rPr>
          <w:rFonts w:ascii="Arial" w:hAnsi="Arial"/>
          <w:sz w:val="22"/>
        </w:rPr>
        <w:t xml:space="preserve">) for the pavement system.  The radius of relative </w:t>
      </w:r>
      <w:r w:rsidRPr="00085881">
        <w:rPr>
          <w:rFonts w:ascii="Arial" w:hAnsi="Arial"/>
          <w:sz w:val="22"/>
        </w:rPr>
        <w:t xml:space="preserve">stiffness is basically a measure of the structural capacity of the pavement structure based on the dense liquid theory for </w:t>
      </w:r>
      <w:smartTag w:uri="urn:schemas-microsoft-com:office:smarttags" w:element="stockticker">
        <w:r w:rsidRPr="00085881">
          <w:rPr>
            <w:rFonts w:ascii="Arial" w:hAnsi="Arial"/>
            <w:sz w:val="22"/>
          </w:rPr>
          <w:t>PCC</w:t>
        </w:r>
      </w:smartTag>
      <w:r w:rsidRPr="00085881">
        <w:rPr>
          <w:rFonts w:ascii="Arial" w:hAnsi="Arial"/>
          <w:sz w:val="22"/>
        </w:rPr>
        <w:t xml:space="preserve">.  The value by itself does not provide any beneficial qualifier of the structural capacity, but it is used in other equations to calculate subgrade and pavement layer strengths.  Calculating radius of relative stiffness is an iterative process, with the starting point being the assumption that the </w:t>
      </w:r>
      <w:smartTag w:uri="urn:schemas-microsoft-com:office:smarttags" w:element="stockticker">
        <w:r w:rsidRPr="00085881">
          <w:rPr>
            <w:rFonts w:ascii="Arial" w:hAnsi="Arial"/>
            <w:sz w:val="22"/>
          </w:rPr>
          <w:t>PCC</w:t>
        </w:r>
      </w:smartTag>
      <w:r w:rsidRPr="00085881">
        <w:rPr>
          <w:rFonts w:ascii="Arial" w:hAnsi="Arial"/>
          <w:sz w:val="22"/>
        </w:rPr>
        <w:t xml:space="preserve"> slab has an infinite size.  With this assumption in mind, the initial calculation of the radius of relative stiffness is an estimate; </w:t>
      </w:r>
      <w:r w:rsidRPr="00085881">
        <w:rPr>
          <w:rFonts w:ascii="Arial" w:hAnsi="Arial"/>
          <w:b/>
          <w:sz w:val="22"/>
        </w:rPr>
        <w:t>l</w:t>
      </w:r>
      <w:r w:rsidRPr="00085881">
        <w:rPr>
          <w:rFonts w:ascii="Arial" w:hAnsi="Arial"/>
          <w:b/>
          <w:sz w:val="22"/>
          <w:vertAlign w:val="subscript"/>
        </w:rPr>
        <w:t>est</w:t>
      </w:r>
      <w:r w:rsidRPr="00085881">
        <w:rPr>
          <w:rFonts w:ascii="Arial" w:hAnsi="Arial"/>
          <w:sz w:val="22"/>
        </w:rPr>
        <w:t xml:space="preserve">.  For </w:t>
      </w:r>
      <w:r w:rsidRPr="00085881">
        <w:rPr>
          <w:rFonts w:ascii="Arial" w:hAnsi="Arial"/>
          <w:b/>
          <w:sz w:val="22"/>
        </w:rPr>
        <w:t>rigid pavements</w:t>
      </w:r>
      <w:r w:rsidRPr="00085881">
        <w:rPr>
          <w:rFonts w:ascii="Arial" w:hAnsi="Arial"/>
          <w:sz w:val="22"/>
        </w:rPr>
        <w:t>, the initial estimated radius of relative stiffness (</w:t>
      </w:r>
      <w:r w:rsidRPr="00085881">
        <w:rPr>
          <w:rFonts w:ascii="Arial" w:hAnsi="Arial"/>
          <w:b/>
          <w:sz w:val="22"/>
        </w:rPr>
        <w:t>l</w:t>
      </w:r>
      <w:r w:rsidRPr="00085881">
        <w:rPr>
          <w:rFonts w:ascii="Arial" w:hAnsi="Arial"/>
          <w:b/>
          <w:sz w:val="22"/>
          <w:vertAlign w:val="subscript"/>
        </w:rPr>
        <w:t>est</w:t>
      </w:r>
      <w:r w:rsidRPr="00085881">
        <w:rPr>
          <w:rFonts w:ascii="Arial" w:hAnsi="Arial"/>
          <w:sz w:val="22"/>
        </w:rPr>
        <w:t>) is calculated with the following equation:</w:t>
      </w:r>
    </w:p>
    <w:p w14:paraId="5E12A344" w14:textId="77777777" w:rsidR="00D6415B" w:rsidRPr="00085881" w:rsidRDefault="00D6415B" w:rsidP="00D6415B">
      <w:pPr>
        <w:pStyle w:val="BodyText"/>
        <w:jc w:val="both"/>
      </w:pPr>
      <w:r w:rsidRPr="00085881">
        <w:tab/>
      </w:r>
      <w:r w:rsidRPr="00085881">
        <w:tab/>
      </w:r>
    </w:p>
    <w:p w14:paraId="74D98390" w14:textId="77777777" w:rsidR="005D0983" w:rsidRDefault="00000000" w:rsidP="005D0983">
      <w:pPr>
        <w:pStyle w:val="BodyText"/>
      </w:pPr>
      <m:oMathPara>
        <m:oMathParaPr>
          <m:jc m:val="center"/>
        </m:oMathParaPr>
        <m:oMath>
          <m:sSub>
            <m:sSubPr>
              <m:ctrlPr>
                <w:rPr>
                  <w:rFonts w:ascii="Cambria Math" w:hAnsi="Cambria Math"/>
                </w:rPr>
              </m:ctrlPr>
            </m:sSubPr>
            <m:e>
              <m:r>
                <w:rPr>
                  <w:rFonts w:ascii="Cambria Math" w:hAnsi="Cambria Math"/>
                </w:rPr>
                <m:t>I</m:t>
              </m:r>
            </m:e>
            <m:sub>
              <m:r>
                <w:rPr>
                  <w:rFonts w:ascii="Cambria Math" w:hAnsi="Cambria Math"/>
                </w:rPr>
                <m:t>est</m:t>
              </m:r>
            </m:sub>
          </m:sSub>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ln</m:t>
                      </m:r>
                      <m:d>
                        <m:dPr>
                          <m:ctrlPr>
                            <w:rPr>
                              <w:rFonts w:ascii="Cambria Math" w:hAnsi="Cambria Math"/>
                            </w:rPr>
                          </m:ctrlPr>
                        </m:dPr>
                        <m:e>
                          <m:f>
                            <m:fPr>
                              <m:ctrlPr>
                                <w:rPr>
                                  <w:rFonts w:ascii="Cambria Math" w:hAnsi="Cambria Math"/>
                                </w:rPr>
                              </m:ctrlPr>
                            </m:fPr>
                            <m:num>
                              <m:r>
                                <w:rPr>
                                  <w:rFonts w:ascii="Cambria Math" w:hAnsi="Cambria Math"/>
                                </w:rPr>
                                <m:t>60</m:t>
                              </m:r>
                              <m:r>
                                <m:rPr>
                                  <m:sty m:val="p"/>
                                </m:rPr>
                                <w:rPr>
                                  <w:rFonts w:ascii="Cambria Math" w:hAnsi="Cambria Math"/>
                                </w:rPr>
                                <m:t>-</m:t>
                              </m:r>
                              <m:r>
                                <w:rPr>
                                  <w:rFonts w:ascii="Cambria Math" w:hAnsi="Cambria Math"/>
                                </w:rPr>
                                <m:t>ARE</m:t>
                              </m:r>
                              <m:sSub>
                                <m:sSubPr>
                                  <m:ctrlPr>
                                    <w:rPr>
                                      <w:rFonts w:ascii="Cambria Math" w:hAnsi="Cambria Math"/>
                                    </w:rPr>
                                  </m:ctrlPr>
                                </m:sSubPr>
                                <m:e>
                                  <m:r>
                                    <w:rPr>
                                      <w:rFonts w:ascii="Cambria Math" w:hAnsi="Cambria Math"/>
                                    </w:rPr>
                                    <m:t>A</m:t>
                                  </m:r>
                                </m:e>
                                <m:sub>
                                  <m:r>
                                    <w:rPr>
                                      <w:rFonts w:ascii="Cambria Math" w:hAnsi="Cambria Math"/>
                                    </w:rPr>
                                    <m:t>7</m:t>
                                  </m:r>
                                </m:sub>
                              </m:sSub>
                            </m:num>
                            <m:den>
                              <m:r>
                                <w:rPr>
                                  <w:rFonts w:ascii="Cambria Math" w:hAnsi="Cambria Math"/>
                                </w:rPr>
                                <m:t>289.708</m:t>
                              </m:r>
                            </m:den>
                          </m:f>
                        </m:e>
                      </m:d>
                    </m:num>
                    <m:den>
                      <m:r>
                        <m:rPr>
                          <m:sty m:val="p"/>
                        </m:rPr>
                        <w:rPr>
                          <w:rFonts w:ascii="Cambria Math" w:hAnsi="Cambria Math"/>
                        </w:rPr>
                        <m:t>-</m:t>
                      </m:r>
                      <m:r>
                        <w:rPr>
                          <w:rFonts w:ascii="Cambria Math" w:hAnsi="Cambria Math"/>
                        </w:rPr>
                        <m:t>0.698</m:t>
                      </m:r>
                    </m:den>
                  </m:f>
                </m:e>
              </m:d>
            </m:e>
            <m:sup>
              <m:r>
                <w:rPr>
                  <w:rFonts w:ascii="Cambria Math" w:hAnsi="Cambria Math"/>
                </w:rPr>
                <m:t>2.566</m:t>
              </m:r>
            </m:sup>
          </m:sSup>
        </m:oMath>
      </m:oMathPara>
    </w:p>
    <w:p w14:paraId="1BCF8DD5" w14:textId="77777777" w:rsidR="00D6415B" w:rsidRPr="00085881" w:rsidRDefault="00D6415B" w:rsidP="00D6415B">
      <w:pPr>
        <w:jc w:val="both"/>
        <w:rPr>
          <w:rFonts w:ascii="Arial" w:hAnsi="Arial"/>
          <w:sz w:val="22"/>
        </w:rPr>
      </w:pPr>
    </w:p>
    <w:p w14:paraId="0480E1F9" w14:textId="77777777" w:rsidR="00D6415B" w:rsidRPr="00085881" w:rsidRDefault="00D6415B" w:rsidP="00D6415B">
      <w:pPr>
        <w:jc w:val="both"/>
        <w:rPr>
          <w:rFonts w:ascii="Arial" w:hAnsi="Arial"/>
          <w:sz w:val="22"/>
        </w:rPr>
      </w:pPr>
      <w:r w:rsidRPr="00085881">
        <w:rPr>
          <w:rFonts w:ascii="Arial" w:hAnsi="Arial"/>
          <w:sz w:val="22"/>
        </w:rPr>
        <w:t xml:space="preserve">For </w:t>
      </w:r>
      <w:r w:rsidRPr="00085881">
        <w:rPr>
          <w:rFonts w:ascii="Arial" w:hAnsi="Arial"/>
          <w:b/>
          <w:sz w:val="22"/>
        </w:rPr>
        <w:t>composite pavements</w:t>
      </w:r>
      <w:r w:rsidRPr="00085881">
        <w:rPr>
          <w:rFonts w:ascii="Arial" w:hAnsi="Arial"/>
          <w:sz w:val="22"/>
        </w:rPr>
        <w:t>, the initial estimated radius of relative stiffness (</w:t>
      </w:r>
      <w:r w:rsidRPr="00085881">
        <w:rPr>
          <w:rFonts w:ascii="Arial" w:hAnsi="Arial"/>
          <w:b/>
          <w:sz w:val="22"/>
        </w:rPr>
        <w:t>l</w:t>
      </w:r>
      <w:r w:rsidRPr="00085881">
        <w:rPr>
          <w:rFonts w:ascii="Arial" w:hAnsi="Arial"/>
          <w:b/>
          <w:sz w:val="22"/>
          <w:vertAlign w:val="subscript"/>
        </w:rPr>
        <w:t>est</w:t>
      </w:r>
      <w:r w:rsidRPr="00085881">
        <w:rPr>
          <w:rFonts w:ascii="Arial" w:hAnsi="Arial"/>
          <w:sz w:val="22"/>
        </w:rPr>
        <w:t>) is calculated with the following equation:</w:t>
      </w:r>
    </w:p>
    <w:p w14:paraId="5F69CCC5" w14:textId="77777777" w:rsidR="00D6415B" w:rsidRPr="00085881" w:rsidRDefault="00D6415B" w:rsidP="00D6415B">
      <w:pPr>
        <w:pStyle w:val="BodyText"/>
        <w:jc w:val="both"/>
      </w:pPr>
      <w:r w:rsidRPr="00085881">
        <w:tab/>
      </w:r>
      <w:r w:rsidRPr="00085881">
        <w:tab/>
      </w:r>
    </w:p>
    <w:p w14:paraId="78E18E0F" w14:textId="69C68020" w:rsidR="00D6415B" w:rsidRPr="00085881" w:rsidRDefault="00000000" w:rsidP="005D0983">
      <w:pPr>
        <w:pStyle w:val="BodyText"/>
      </w:pPr>
      <m:oMathPara>
        <m:oMath>
          <m:sSub>
            <m:sSubPr>
              <m:ctrlPr>
                <w:rPr>
                  <w:rFonts w:ascii="Cambria Math" w:hAnsi="Cambria Math"/>
                </w:rPr>
              </m:ctrlPr>
            </m:sSubPr>
            <m:e>
              <m:r>
                <w:rPr>
                  <w:rFonts w:ascii="Cambria Math" w:hAnsi="Cambria Math"/>
                </w:rPr>
                <m:t>I</m:t>
              </m:r>
            </m:e>
            <m:sub>
              <m:r>
                <w:rPr>
                  <w:rFonts w:ascii="Cambria Math" w:hAnsi="Cambria Math"/>
                </w:rPr>
                <m:t>est</m:t>
              </m:r>
            </m:sub>
          </m:sSub>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ln</m:t>
                      </m:r>
                      <m:d>
                        <m:dPr>
                          <m:ctrlPr>
                            <w:rPr>
                              <w:rFonts w:ascii="Cambria Math" w:hAnsi="Cambria Math"/>
                            </w:rPr>
                          </m:ctrlPr>
                        </m:dPr>
                        <m:e>
                          <m:f>
                            <m:fPr>
                              <m:ctrlPr>
                                <w:rPr>
                                  <w:rFonts w:ascii="Cambria Math" w:hAnsi="Cambria Math"/>
                                </w:rPr>
                              </m:ctrlPr>
                            </m:fPr>
                            <m:num>
                              <m:r>
                                <w:rPr>
                                  <w:rFonts w:ascii="Cambria Math" w:hAnsi="Cambria Math"/>
                                </w:rPr>
                                <m:t>48</m:t>
                              </m:r>
                              <m:r>
                                <m:rPr>
                                  <m:sty m:val="p"/>
                                </m:rPr>
                                <w:rPr>
                                  <w:rFonts w:ascii="Cambria Math" w:hAnsi="Cambria Math"/>
                                </w:rPr>
                                <m:t>-</m:t>
                              </m:r>
                              <m:r>
                                <w:rPr>
                                  <w:rFonts w:ascii="Cambria Math" w:hAnsi="Cambria Math"/>
                                </w:rPr>
                                <m:t>ARE</m:t>
                              </m:r>
                              <m:sSub>
                                <m:sSubPr>
                                  <m:ctrlPr>
                                    <w:rPr>
                                      <w:rFonts w:ascii="Cambria Math" w:hAnsi="Cambria Math"/>
                                    </w:rPr>
                                  </m:ctrlPr>
                                </m:sSubPr>
                                <m:e>
                                  <m:r>
                                    <w:rPr>
                                      <w:rFonts w:ascii="Cambria Math" w:hAnsi="Cambria Math"/>
                                    </w:rPr>
                                    <m:t>A</m:t>
                                  </m:r>
                                </m:e>
                                <m:sub>
                                  <m:r>
                                    <w:rPr>
                                      <w:rFonts w:ascii="Cambria Math" w:hAnsi="Cambria Math"/>
                                    </w:rPr>
                                    <m:t>5</m:t>
                                  </m:r>
                                </m:sub>
                              </m:sSub>
                            </m:num>
                            <m:den>
                              <m:r>
                                <w:rPr>
                                  <w:rFonts w:ascii="Cambria Math" w:hAnsi="Cambria Math"/>
                                </w:rPr>
                                <m:t>157.40</m:t>
                              </m:r>
                            </m:den>
                          </m:f>
                        </m:e>
                      </m:d>
                    </m:num>
                    <m:den>
                      <m:r>
                        <m:rPr>
                          <m:sty m:val="p"/>
                        </m:rPr>
                        <w:rPr>
                          <w:rFonts w:ascii="Cambria Math" w:hAnsi="Cambria Math"/>
                        </w:rPr>
                        <m:t>-</m:t>
                      </m:r>
                      <m:r>
                        <w:rPr>
                          <w:rFonts w:ascii="Cambria Math" w:hAnsi="Cambria Math"/>
                        </w:rPr>
                        <m:t>0.476</m:t>
                      </m:r>
                    </m:den>
                  </m:f>
                </m:e>
              </m:d>
            </m:e>
            <m:sup>
              <m:r>
                <w:rPr>
                  <w:rFonts w:ascii="Cambria Math" w:hAnsi="Cambria Math"/>
                </w:rPr>
                <m:t>2.220</m:t>
              </m:r>
            </m:sup>
          </m:sSup>
        </m:oMath>
      </m:oMathPara>
    </w:p>
    <w:p w14:paraId="0013D641" w14:textId="77777777" w:rsidR="00D6415B" w:rsidRPr="00085881" w:rsidRDefault="00D6415B" w:rsidP="00D6415B">
      <w:pPr>
        <w:jc w:val="both"/>
        <w:rPr>
          <w:rFonts w:ascii="Arial" w:hAnsi="Arial"/>
          <w:sz w:val="22"/>
        </w:rPr>
      </w:pPr>
    </w:p>
    <w:p w14:paraId="140F3862" w14:textId="77777777" w:rsidR="00D6415B" w:rsidRPr="00085881" w:rsidRDefault="00D6415B" w:rsidP="00D6415B">
      <w:pPr>
        <w:jc w:val="both"/>
        <w:rPr>
          <w:rFonts w:ascii="Arial" w:hAnsi="Arial"/>
        </w:rPr>
      </w:pPr>
    </w:p>
    <w:p w14:paraId="26F2C6FF" w14:textId="77777777" w:rsidR="00D6415B" w:rsidRPr="00722B46" w:rsidRDefault="00D6415B" w:rsidP="00172E64">
      <w:pPr>
        <w:pStyle w:val="Heading6"/>
        <w:numPr>
          <w:ilvl w:val="5"/>
          <w:numId w:val="185"/>
        </w:numPr>
        <w:tabs>
          <w:tab w:val="left" w:pos="1800"/>
        </w:tabs>
        <w:ind w:left="0" w:firstLine="0"/>
        <w:jc w:val="both"/>
        <w:rPr>
          <w:b/>
        </w:rPr>
      </w:pPr>
      <w:r w:rsidRPr="00722B46">
        <w:rPr>
          <w:b/>
        </w:rPr>
        <w:t>Modulus of Subgrade Reaction</w:t>
      </w:r>
    </w:p>
    <w:p w14:paraId="4AC8D908" w14:textId="7DB6236A" w:rsidR="00D6415B" w:rsidRPr="006C583D" w:rsidRDefault="00D6415B" w:rsidP="00D6415B">
      <w:pPr>
        <w:jc w:val="both"/>
        <w:rPr>
          <w:rFonts w:ascii="Arial" w:hAnsi="Arial"/>
          <w:sz w:val="22"/>
        </w:rPr>
      </w:pPr>
      <w:r w:rsidRPr="00085881">
        <w:rPr>
          <w:rFonts w:ascii="Arial" w:hAnsi="Arial"/>
          <w:sz w:val="22"/>
        </w:rPr>
        <w:t>The modulus of subgrade reaction (</w:t>
      </w:r>
      <w:r w:rsidRPr="00085881">
        <w:rPr>
          <w:rFonts w:ascii="Arial" w:hAnsi="Arial"/>
          <w:b/>
          <w:sz w:val="22"/>
        </w:rPr>
        <w:t>k</w:t>
      </w:r>
      <w:r w:rsidRPr="00085881">
        <w:rPr>
          <w:rFonts w:ascii="Arial" w:hAnsi="Arial"/>
          <w:sz w:val="22"/>
        </w:rPr>
        <w:t>) represents the support provided by all pavement layers, includin</w:t>
      </w:r>
      <w:r w:rsidRPr="006C583D">
        <w:rPr>
          <w:rFonts w:ascii="Arial" w:hAnsi="Arial"/>
          <w:sz w:val="22"/>
        </w:rPr>
        <w:t xml:space="preserve">g </w:t>
      </w:r>
      <w:r w:rsidRPr="006C583D">
        <w:rPr>
          <w:rFonts w:ascii="Arial" w:hAnsi="Arial"/>
          <w:b/>
          <w:sz w:val="22"/>
        </w:rPr>
        <w:t>aggregate base and subgrade</w:t>
      </w:r>
      <w:r w:rsidRPr="006C583D">
        <w:rPr>
          <w:rFonts w:ascii="Arial" w:hAnsi="Arial"/>
          <w:sz w:val="22"/>
        </w:rPr>
        <w:t xml:space="preserve">, under the </w:t>
      </w:r>
      <w:smartTag w:uri="urn:schemas-microsoft-com:office:smarttags" w:element="stockticker">
        <w:r w:rsidRPr="006C583D">
          <w:rPr>
            <w:rFonts w:ascii="Arial" w:hAnsi="Arial"/>
            <w:sz w:val="22"/>
          </w:rPr>
          <w:t>PCC</w:t>
        </w:r>
      </w:smartTag>
      <w:r w:rsidRPr="006C583D">
        <w:rPr>
          <w:rFonts w:ascii="Arial" w:hAnsi="Arial"/>
          <w:sz w:val="22"/>
        </w:rPr>
        <w:t xml:space="preserve"> slab.  The resilient modulus (</w:t>
      </w:r>
      <w:r w:rsidRPr="00722B46">
        <w:rPr>
          <w:rFonts w:ascii="Arial" w:hAnsi="Arial"/>
          <w:b/>
          <w:sz w:val="22"/>
        </w:rPr>
        <w:t>M</w:t>
      </w:r>
      <w:r w:rsidRPr="00722B46">
        <w:rPr>
          <w:rFonts w:ascii="Arial" w:hAnsi="Arial"/>
          <w:b/>
          <w:sz w:val="22"/>
          <w:vertAlign w:val="subscript"/>
        </w:rPr>
        <w:t>r</w:t>
      </w:r>
      <w:r w:rsidRPr="006C583D">
        <w:rPr>
          <w:rFonts w:ascii="Arial" w:hAnsi="Arial"/>
          <w:sz w:val="22"/>
        </w:rPr>
        <w:t>) of the subgrade is used in analysis for flexible pavements</w:t>
      </w:r>
      <w:r w:rsidR="006F2009">
        <w:rPr>
          <w:rFonts w:ascii="Arial" w:hAnsi="Arial"/>
          <w:sz w:val="22"/>
        </w:rPr>
        <w:t>,</w:t>
      </w:r>
      <w:r w:rsidRPr="006C583D">
        <w:rPr>
          <w:rFonts w:ascii="Arial" w:hAnsi="Arial"/>
          <w:sz w:val="22"/>
        </w:rPr>
        <w:t xml:space="preserve"> and the modulus of subgrade reaction (</w:t>
      </w:r>
      <w:r w:rsidRPr="006C583D">
        <w:rPr>
          <w:rFonts w:ascii="Arial" w:hAnsi="Arial"/>
          <w:b/>
          <w:sz w:val="22"/>
        </w:rPr>
        <w:t>k</w:t>
      </w:r>
      <w:r w:rsidRPr="006C583D">
        <w:rPr>
          <w:rFonts w:ascii="Arial" w:hAnsi="Arial"/>
          <w:sz w:val="22"/>
        </w:rPr>
        <w:t>) is used in analysis for rigid and composite pavements.  The initial calculation of the modulus of subgrade reaction (</w:t>
      </w:r>
      <w:r w:rsidRPr="006C583D">
        <w:rPr>
          <w:rFonts w:ascii="Arial" w:hAnsi="Arial"/>
          <w:b/>
          <w:sz w:val="22"/>
        </w:rPr>
        <w:t>k</w:t>
      </w:r>
      <w:r w:rsidRPr="006C583D">
        <w:rPr>
          <w:rFonts w:ascii="Arial" w:hAnsi="Arial"/>
          <w:sz w:val="22"/>
        </w:rPr>
        <w:t>) is an estimate because it is calculated with estimated radius of relative stiffness (</w:t>
      </w:r>
      <w:r w:rsidRPr="006C583D">
        <w:rPr>
          <w:rFonts w:ascii="Arial" w:hAnsi="Arial"/>
          <w:b/>
          <w:sz w:val="22"/>
        </w:rPr>
        <w:t>l</w:t>
      </w:r>
      <w:r w:rsidRPr="006C583D">
        <w:rPr>
          <w:rFonts w:ascii="Arial" w:hAnsi="Arial"/>
          <w:b/>
          <w:sz w:val="22"/>
          <w:vertAlign w:val="subscript"/>
        </w:rPr>
        <w:t>est</w:t>
      </w:r>
      <w:r w:rsidRPr="006C583D">
        <w:rPr>
          <w:rFonts w:ascii="Arial" w:hAnsi="Arial"/>
          <w:sz w:val="22"/>
        </w:rPr>
        <w:t xml:space="preserve">), based on the assumption that the </w:t>
      </w:r>
      <w:smartTag w:uri="urn:schemas-microsoft-com:office:smarttags" w:element="stockticker">
        <w:r w:rsidRPr="006C583D">
          <w:rPr>
            <w:rFonts w:ascii="Arial" w:hAnsi="Arial"/>
            <w:sz w:val="22"/>
          </w:rPr>
          <w:t>PCC</w:t>
        </w:r>
      </w:smartTag>
      <w:r w:rsidRPr="006C583D">
        <w:rPr>
          <w:rFonts w:ascii="Arial" w:hAnsi="Arial"/>
          <w:sz w:val="22"/>
        </w:rPr>
        <w:t xml:space="preserve"> slab</w:t>
      </w:r>
      <w:r w:rsidR="006F2009">
        <w:rPr>
          <w:rFonts w:ascii="Arial" w:hAnsi="Arial"/>
          <w:sz w:val="22"/>
        </w:rPr>
        <w:t xml:space="preserve"> is</w:t>
      </w:r>
      <w:r w:rsidRPr="006C583D">
        <w:rPr>
          <w:rFonts w:ascii="Arial" w:hAnsi="Arial"/>
          <w:sz w:val="22"/>
        </w:rPr>
        <w:t xml:space="preserve"> of infinite size.  For </w:t>
      </w:r>
      <w:r w:rsidRPr="006C583D">
        <w:rPr>
          <w:rFonts w:ascii="Arial" w:hAnsi="Arial"/>
          <w:b/>
          <w:sz w:val="22"/>
        </w:rPr>
        <w:t>rigid pavements</w:t>
      </w:r>
      <w:r w:rsidRPr="006C583D">
        <w:rPr>
          <w:rFonts w:ascii="Arial" w:hAnsi="Arial"/>
          <w:sz w:val="22"/>
        </w:rPr>
        <w:t>, based on infinite slab assumption, the initial estimated modulus of subgrade reaction (</w:t>
      </w:r>
      <w:r w:rsidRPr="006C583D">
        <w:rPr>
          <w:rFonts w:ascii="Arial" w:hAnsi="Arial"/>
          <w:b/>
          <w:sz w:val="22"/>
        </w:rPr>
        <w:t>k</w:t>
      </w:r>
      <w:r w:rsidRPr="006C583D">
        <w:rPr>
          <w:rFonts w:ascii="Arial" w:hAnsi="Arial"/>
          <w:b/>
          <w:sz w:val="22"/>
          <w:vertAlign w:val="subscript"/>
        </w:rPr>
        <w:t>est</w:t>
      </w:r>
      <w:r w:rsidRPr="006C583D">
        <w:rPr>
          <w:rFonts w:ascii="Arial" w:hAnsi="Arial"/>
          <w:sz w:val="22"/>
        </w:rPr>
        <w:t>) is calculated with the following equation:</w:t>
      </w:r>
    </w:p>
    <w:p w14:paraId="163AD89B" w14:textId="77777777" w:rsidR="00D6415B" w:rsidRPr="006C583D" w:rsidRDefault="00D6415B" w:rsidP="00722B46">
      <w:pPr>
        <w:pStyle w:val="TOC1"/>
      </w:pPr>
      <w:r w:rsidRPr="006C583D">
        <w:t xml:space="preserve">    </w:t>
      </w:r>
    </w:p>
    <w:p w14:paraId="566C0DFE" w14:textId="77777777" w:rsidR="005D0983" w:rsidRPr="005D0983" w:rsidRDefault="00000000" w:rsidP="005D0983">
      <w:pPr>
        <w:pStyle w:val="BodyText"/>
        <w:rPr>
          <w:sz w:val="24"/>
          <w:szCs w:val="22"/>
        </w:rPr>
      </w:pPr>
      <m:oMathPara>
        <m:oMathParaPr>
          <m:jc m:val="center"/>
        </m:oMathParaPr>
        <m:oMath>
          <m:sSub>
            <m:sSubPr>
              <m:ctrlPr>
                <w:rPr>
                  <w:rFonts w:ascii="Cambria Math" w:hAnsi="Cambria Math"/>
                  <w:sz w:val="24"/>
                  <w:szCs w:val="22"/>
                </w:rPr>
              </m:ctrlPr>
            </m:sSubPr>
            <m:e>
              <m:r>
                <w:rPr>
                  <w:rFonts w:ascii="Cambria Math" w:hAnsi="Cambria Math"/>
                  <w:sz w:val="24"/>
                  <w:szCs w:val="22"/>
                </w:rPr>
                <m:t>k</m:t>
              </m:r>
            </m:e>
            <m:sub>
              <m:r>
                <w:rPr>
                  <w:rFonts w:ascii="Cambria Math" w:hAnsi="Cambria Math"/>
                  <w:sz w:val="24"/>
                  <w:szCs w:val="22"/>
                </w:rPr>
                <m:t>est</m:t>
              </m:r>
            </m:sub>
          </m:sSub>
          <m:r>
            <m:rPr>
              <m:sty m:val="p"/>
            </m:rPr>
            <w:rPr>
              <w:rFonts w:ascii="Cambria Math" w:hAnsi="Cambria Math"/>
              <w:sz w:val="24"/>
              <w:szCs w:val="22"/>
            </w:rPr>
            <m:t>=</m:t>
          </m:r>
          <m:f>
            <m:fPr>
              <m:ctrlPr>
                <w:rPr>
                  <w:rFonts w:ascii="Cambria Math" w:hAnsi="Cambria Math"/>
                  <w:sz w:val="24"/>
                  <w:szCs w:val="22"/>
                </w:rPr>
              </m:ctrlPr>
            </m:fPr>
            <m:num>
              <m:r>
                <w:rPr>
                  <w:rFonts w:ascii="Cambria Math" w:hAnsi="Cambria Math"/>
                  <w:sz w:val="24"/>
                  <w:szCs w:val="22"/>
                </w:rPr>
                <m:t>P</m:t>
              </m:r>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oc</m:t>
                  </m:r>
                </m:sub>
              </m:sSub>
            </m:num>
            <m:den>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0</m:t>
                  </m:r>
                </m:sub>
              </m:sSub>
              <m:r>
                <m:rPr>
                  <m:sty m:val="p"/>
                </m:rPr>
                <w:rPr>
                  <w:rFonts w:ascii="Cambria Math" w:hAnsi="Cambria Math"/>
                  <w:sz w:val="24"/>
                  <w:szCs w:val="22"/>
                </w:rPr>
                <m:t>×</m:t>
              </m:r>
              <m:sSup>
                <m:sSupPr>
                  <m:ctrlPr>
                    <w:rPr>
                      <w:rFonts w:ascii="Cambria Math" w:hAnsi="Cambria Math"/>
                      <w:sz w:val="24"/>
                      <w:szCs w:val="22"/>
                    </w:rPr>
                  </m:ctrlPr>
                </m:sSupPr>
                <m:e>
                  <m:d>
                    <m:dPr>
                      <m:ctrlPr>
                        <w:rPr>
                          <w:rFonts w:ascii="Cambria Math" w:hAnsi="Cambria Math"/>
                          <w:sz w:val="24"/>
                          <w:szCs w:val="22"/>
                        </w:rPr>
                      </m:ctrlPr>
                    </m:dPr>
                    <m:e>
                      <m:sSub>
                        <m:sSubPr>
                          <m:ctrlPr>
                            <w:rPr>
                              <w:rFonts w:ascii="Cambria Math" w:hAnsi="Cambria Math"/>
                              <w:sz w:val="24"/>
                              <w:szCs w:val="22"/>
                            </w:rPr>
                          </m:ctrlPr>
                        </m:sSubPr>
                        <m:e>
                          <m:r>
                            <w:rPr>
                              <w:rFonts w:ascii="Cambria Math" w:hAnsi="Cambria Math"/>
                              <w:sz w:val="24"/>
                              <w:szCs w:val="22"/>
                            </w:rPr>
                            <m:t>I</m:t>
                          </m:r>
                        </m:e>
                        <m:sub>
                          <m:r>
                            <w:rPr>
                              <w:rFonts w:ascii="Cambria Math" w:hAnsi="Cambria Math"/>
                              <w:sz w:val="24"/>
                              <w:szCs w:val="22"/>
                            </w:rPr>
                            <m:t>est</m:t>
                          </m:r>
                        </m:sub>
                      </m:sSub>
                    </m:e>
                  </m:d>
                </m:e>
                <m:sup>
                  <m:r>
                    <w:rPr>
                      <w:rFonts w:ascii="Cambria Math" w:hAnsi="Cambria Math"/>
                      <w:sz w:val="24"/>
                      <w:szCs w:val="22"/>
                    </w:rPr>
                    <m:t>2</m:t>
                  </m:r>
                </m:sup>
              </m:sSup>
            </m:den>
          </m:f>
        </m:oMath>
      </m:oMathPara>
    </w:p>
    <w:p w14:paraId="6A947DD6" w14:textId="02D592C4" w:rsidR="00D6415B" w:rsidRPr="006C583D" w:rsidRDefault="00D6415B" w:rsidP="00722B46">
      <w:pPr>
        <w:jc w:val="center"/>
        <w:rPr>
          <w:rFonts w:ascii="Arial" w:hAnsi="Arial"/>
          <w:sz w:val="22"/>
        </w:rPr>
      </w:pPr>
    </w:p>
    <w:p w14:paraId="4F7996CA" w14:textId="77777777" w:rsidR="006F2009" w:rsidRDefault="00D6415B" w:rsidP="006F2009">
      <w:pPr>
        <w:ind w:firstLine="720"/>
        <w:jc w:val="both"/>
        <w:rPr>
          <w:rFonts w:ascii="Arial" w:hAnsi="Arial"/>
          <w:sz w:val="22"/>
        </w:rPr>
      </w:pPr>
      <w:r w:rsidRPr="006C583D">
        <w:rPr>
          <w:rFonts w:ascii="Arial" w:hAnsi="Arial"/>
          <w:sz w:val="22"/>
        </w:rPr>
        <w:t xml:space="preserve">where: </w:t>
      </w:r>
      <w:r w:rsidRPr="006C583D">
        <w:rPr>
          <w:rFonts w:ascii="Arial" w:hAnsi="Arial"/>
          <w:sz w:val="22"/>
        </w:rPr>
        <w:tab/>
      </w:r>
    </w:p>
    <w:p w14:paraId="37BFA398" w14:textId="4F44091D" w:rsidR="00D6415B" w:rsidRPr="006C583D" w:rsidRDefault="006F2009" w:rsidP="00722B46">
      <w:pPr>
        <w:tabs>
          <w:tab w:val="left" w:pos="1260"/>
          <w:tab w:val="left" w:pos="1620"/>
          <w:tab w:val="left" w:pos="1980"/>
        </w:tabs>
        <w:ind w:left="1980" w:hanging="1260"/>
        <w:jc w:val="both"/>
        <w:rPr>
          <w:rFonts w:ascii="Arial" w:hAnsi="Arial"/>
          <w:sz w:val="22"/>
        </w:rPr>
      </w:pPr>
      <w:r>
        <w:rPr>
          <w:rFonts w:ascii="Arial" w:hAnsi="Arial"/>
          <w:sz w:val="22"/>
        </w:rPr>
        <w:tab/>
      </w:r>
      <w:r w:rsidR="00D6415B" w:rsidRPr="006C583D">
        <w:rPr>
          <w:rFonts w:ascii="Arial" w:hAnsi="Arial"/>
          <w:sz w:val="22"/>
        </w:rPr>
        <w:t>k</w:t>
      </w:r>
      <w:r w:rsidR="00D6415B" w:rsidRPr="006C583D">
        <w:rPr>
          <w:rFonts w:ascii="Arial" w:hAnsi="Arial"/>
          <w:sz w:val="22"/>
          <w:vertAlign w:val="subscript"/>
        </w:rPr>
        <w:t xml:space="preserve">est </w:t>
      </w:r>
      <w:r>
        <w:rPr>
          <w:rFonts w:ascii="Arial" w:hAnsi="Arial"/>
          <w:sz w:val="22"/>
          <w:vertAlign w:val="subscript"/>
        </w:rPr>
        <w:tab/>
      </w:r>
      <w:r w:rsidR="00D6415B" w:rsidRPr="006C583D">
        <w:rPr>
          <w:rFonts w:ascii="Arial" w:hAnsi="Arial"/>
          <w:sz w:val="22"/>
        </w:rPr>
        <w:t xml:space="preserve">= </w:t>
      </w:r>
      <w:r>
        <w:rPr>
          <w:rFonts w:ascii="Arial" w:hAnsi="Arial"/>
          <w:sz w:val="22"/>
        </w:rPr>
        <w:tab/>
      </w:r>
      <w:r w:rsidR="00D6415B" w:rsidRPr="006C583D">
        <w:rPr>
          <w:rFonts w:ascii="Arial" w:hAnsi="Arial"/>
          <w:sz w:val="22"/>
        </w:rPr>
        <w:t>estimated backcalculated modulus of subgrade reaction</w:t>
      </w:r>
    </w:p>
    <w:p w14:paraId="4DF3D19D" w14:textId="001E714F" w:rsidR="00D6415B" w:rsidRPr="006C583D" w:rsidRDefault="006F2009" w:rsidP="00722B46">
      <w:pPr>
        <w:tabs>
          <w:tab w:val="left" w:pos="1260"/>
          <w:tab w:val="left" w:pos="1620"/>
          <w:tab w:val="left" w:pos="1980"/>
        </w:tabs>
        <w:ind w:left="1980" w:hanging="1260"/>
        <w:jc w:val="both"/>
        <w:rPr>
          <w:rFonts w:ascii="Arial" w:hAnsi="Arial"/>
          <w:sz w:val="22"/>
        </w:rPr>
      </w:pPr>
      <w:r>
        <w:rPr>
          <w:rFonts w:ascii="Arial" w:hAnsi="Arial"/>
          <w:sz w:val="22"/>
        </w:rPr>
        <w:tab/>
      </w:r>
      <w:r w:rsidR="00D6415B" w:rsidRPr="006C583D">
        <w:rPr>
          <w:rFonts w:ascii="Arial" w:hAnsi="Arial"/>
          <w:sz w:val="22"/>
        </w:rPr>
        <w:t>P</w:t>
      </w:r>
      <w:r w:rsidR="00D6415B" w:rsidRPr="006C583D">
        <w:rPr>
          <w:rFonts w:ascii="Arial" w:hAnsi="Arial"/>
          <w:sz w:val="22"/>
          <w:vertAlign w:val="subscript"/>
        </w:rPr>
        <w:t xml:space="preserve"> </w:t>
      </w:r>
      <w:r>
        <w:rPr>
          <w:rFonts w:ascii="Arial" w:hAnsi="Arial"/>
          <w:sz w:val="22"/>
          <w:vertAlign w:val="subscript"/>
        </w:rPr>
        <w:tab/>
      </w:r>
      <w:r w:rsidR="00D6415B" w:rsidRPr="006C583D">
        <w:rPr>
          <w:rFonts w:ascii="Arial" w:hAnsi="Arial"/>
          <w:sz w:val="22"/>
        </w:rPr>
        <w:t xml:space="preserve">= </w:t>
      </w:r>
      <w:r>
        <w:rPr>
          <w:rFonts w:ascii="Arial" w:hAnsi="Arial"/>
          <w:sz w:val="22"/>
        </w:rPr>
        <w:tab/>
      </w:r>
      <w:r w:rsidR="00D6415B" w:rsidRPr="006C583D">
        <w:rPr>
          <w:rFonts w:ascii="Arial" w:hAnsi="Arial"/>
          <w:sz w:val="22"/>
        </w:rPr>
        <w:t>load, pounds</w:t>
      </w:r>
    </w:p>
    <w:p w14:paraId="1DBD543F" w14:textId="2AED9A06" w:rsidR="00D6415B" w:rsidRPr="006C583D" w:rsidRDefault="006F2009" w:rsidP="00722B46">
      <w:pPr>
        <w:tabs>
          <w:tab w:val="left" w:pos="1260"/>
          <w:tab w:val="left" w:pos="1620"/>
          <w:tab w:val="left" w:pos="1980"/>
        </w:tabs>
        <w:ind w:left="1980" w:hanging="1260"/>
        <w:jc w:val="both"/>
        <w:rPr>
          <w:rFonts w:ascii="Arial" w:hAnsi="Arial"/>
          <w:sz w:val="22"/>
        </w:rPr>
      </w:pPr>
      <w:r>
        <w:rPr>
          <w:rFonts w:ascii="Arial" w:hAnsi="Arial"/>
          <w:sz w:val="22"/>
        </w:rPr>
        <w:tab/>
      </w:r>
      <w:r w:rsidR="00D6415B" w:rsidRPr="006C583D">
        <w:rPr>
          <w:rFonts w:ascii="Arial" w:hAnsi="Arial"/>
          <w:sz w:val="22"/>
        </w:rPr>
        <w:t>d</w:t>
      </w:r>
      <w:r w:rsidR="00D6415B" w:rsidRPr="006C583D">
        <w:rPr>
          <w:rFonts w:ascii="Arial" w:hAnsi="Arial"/>
          <w:sz w:val="22"/>
          <w:vertAlign w:val="subscript"/>
        </w:rPr>
        <w:t xml:space="preserve">o </w:t>
      </w:r>
      <w:r>
        <w:rPr>
          <w:rFonts w:ascii="Arial" w:hAnsi="Arial"/>
          <w:sz w:val="22"/>
          <w:vertAlign w:val="subscript"/>
        </w:rPr>
        <w:tab/>
      </w:r>
      <w:r w:rsidR="00D6415B" w:rsidRPr="006C583D">
        <w:rPr>
          <w:rFonts w:ascii="Arial" w:hAnsi="Arial"/>
          <w:sz w:val="22"/>
        </w:rPr>
        <w:t xml:space="preserve">= </w:t>
      </w:r>
      <w:r>
        <w:rPr>
          <w:rFonts w:ascii="Arial" w:hAnsi="Arial"/>
          <w:sz w:val="22"/>
        </w:rPr>
        <w:tab/>
      </w:r>
      <w:r w:rsidR="00D6415B" w:rsidRPr="006C583D">
        <w:rPr>
          <w:rFonts w:ascii="Arial" w:hAnsi="Arial"/>
          <w:sz w:val="22"/>
        </w:rPr>
        <w:t>deflection measured at the center of load plate, inch</w:t>
      </w:r>
    </w:p>
    <w:p w14:paraId="0355B10F" w14:textId="783AA61A" w:rsidR="00D6415B" w:rsidRPr="006C583D" w:rsidRDefault="006F2009" w:rsidP="00722B46">
      <w:pPr>
        <w:tabs>
          <w:tab w:val="left" w:pos="1260"/>
          <w:tab w:val="left" w:pos="1620"/>
          <w:tab w:val="left" w:pos="1980"/>
        </w:tabs>
        <w:ind w:left="1980" w:hanging="1260"/>
        <w:jc w:val="both"/>
        <w:rPr>
          <w:rFonts w:ascii="Arial" w:hAnsi="Arial"/>
          <w:sz w:val="22"/>
        </w:rPr>
      </w:pPr>
      <w:r>
        <w:rPr>
          <w:rFonts w:ascii="Arial" w:hAnsi="Arial"/>
          <w:sz w:val="22"/>
        </w:rPr>
        <w:tab/>
      </w:r>
      <w:r w:rsidR="00D6415B" w:rsidRPr="006C583D">
        <w:rPr>
          <w:rFonts w:ascii="Arial" w:hAnsi="Arial"/>
          <w:sz w:val="22"/>
        </w:rPr>
        <w:t>l</w:t>
      </w:r>
      <w:r w:rsidR="00D6415B" w:rsidRPr="006C583D">
        <w:rPr>
          <w:rFonts w:ascii="Arial" w:hAnsi="Arial"/>
          <w:sz w:val="22"/>
          <w:vertAlign w:val="subscript"/>
        </w:rPr>
        <w:t xml:space="preserve">est </w:t>
      </w:r>
      <w:r>
        <w:rPr>
          <w:rFonts w:ascii="Arial" w:hAnsi="Arial"/>
          <w:sz w:val="22"/>
          <w:vertAlign w:val="subscript"/>
        </w:rPr>
        <w:tab/>
      </w:r>
      <w:r w:rsidR="00D6415B" w:rsidRPr="006C583D">
        <w:rPr>
          <w:rFonts w:ascii="Arial" w:hAnsi="Arial"/>
          <w:sz w:val="22"/>
        </w:rPr>
        <w:t xml:space="preserve">= </w:t>
      </w:r>
      <w:r>
        <w:rPr>
          <w:rFonts w:ascii="Arial" w:hAnsi="Arial"/>
          <w:sz w:val="22"/>
        </w:rPr>
        <w:tab/>
      </w:r>
      <w:r w:rsidR="00D6415B" w:rsidRPr="006C583D">
        <w:rPr>
          <w:rFonts w:ascii="Arial" w:hAnsi="Arial"/>
          <w:sz w:val="22"/>
        </w:rPr>
        <w:t>estimated radius of relative stiffness, inches (see above)</w:t>
      </w:r>
    </w:p>
    <w:p w14:paraId="09763A75" w14:textId="7D033E6F" w:rsidR="00D6415B" w:rsidRPr="006C583D" w:rsidRDefault="006F2009" w:rsidP="00722B46">
      <w:pPr>
        <w:tabs>
          <w:tab w:val="left" w:pos="1260"/>
          <w:tab w:val="left" w:pos="1620"/>
          <w:tab w:val="left" w:pos="1980"/>
        </w:tabs>
        <w:ind w:left="1980" w:hanging="1260"/>
        <w:jc w:val="both"/>
        <w:rPr>
          <w:rFonts w:ascii="Arial" w:hAnsi="Arial"/>
          <w:sz w:val="22"/>
        </w:rPr>
      </w:pPr>
      <w:r>
        <w:rPr>
          <w:rFonts w:ascii="Arial" w:hAnsi="Arial"/>
          <w:sz w:val="22"/>
        </w:rPr>
        <w:tab/>
      </w:r>
      <w:r w:rsidR="00D6415B" w:rsidRPr="006C583D">
        <w:rPr>
          <w:rFonts w:ascii="Arial" w:hAnsi="Arial"/>
          <w:sz w:val="22"/>
        </w:rPr>
        <w:t>d</w:t>
      </w:r>
      <w:r w:rsidR="00D6415B" w:rsidRPr="006C583D">
        <w:rPr>
          <w:rFonts w:ascii="Arial" w:hAnsi="Arial"/>
          <w:sz w:val="22"/>
          <w:vertAlign w:val="subscript"/>
        </w:rPr>
        <w:t xml:space="preserve">oc </w:t>
      </w:r>
      <w:r>
        <w:rPr>
          <w:rFonts w:ascii="Arial" w:hAnsi="Arial"/>
          <w:sz w:val="22"/>
          <w:vertAlign w:val="subscript"/>
        </w:rPr>
        <w:tab/>
      </w:r>
      <w:r w:rsidR="00D6415B" w:rsidRPr="006C583D">
        <w:rPr>
          <w:rFonts w:ascii="Arial" w:hAnsi="Arial"/>
          <w:sz w:val="22"/>
        </w:rPr>
        <w:t xml:space="preserve">= </w:t>
      </w:r>
      <w:r>
        <w:rPr>
          <w:rFonts w:ascii="Arial" w:hAnsi="Arial"/>
          <w:sz w:val="22"/>
        </w:rPr>
        <w:tab/>
      </w:r>
      <w:r w:rsidR="00D6415B" w:rsidRPr="006C583D">
        <w:rPr>
          <w:rFonts w:ascii="Arial" w:hAnsi="Arial"/>
          <w:sz w:val="22"/>
        </w:rPr>
        <w:t>nondimensional coefficient of deflection at center of plate</w:t>
      </w:r>
    </w:p>
    <w:p w14:paraId="17AD6237" w14:textId="77777777" w:rsidR="00D6415B" w:rsidRDefault="00D6415B" w:rsidP="00D6415B">
      <w:pPr>
        <w:ind w:left="1440"/>
        <w:jc w:val="both"/>
        <w:rPr>
          <w:rFonts w:ascii="Arial" w:hAnsi="Arial"/>
          <w:sz w:val="22"/>
        </w:rPr>
      </w:pPr>
    </w:p>
    <w:p w14:paraId="043B41FF" w14:textId="77777777" w:rsidR="005D0983" w:rsidRPr="006C583D" w:rsidRDefault="005D0983" w:rsidP="00D6415B">
      <w:pPr>
        <w:ind w:left="1440"/>
        <w:jc w:val="both"/>
        <w:rPr>
          <w:rFonts w:ascii="Arial" w:hAnsi="Arial"/>
          <w:sz w:val="22"/>
        </w:rPr>
      </w:pPr>
    </w:p>
    <w:p w14:paraId="01E8FADE" w14:textId="77777777" w:rsidR="005D0983" w:rsidRPr="005D0983" w:rsidRDefault="00000000" w:rsidP="005D0983">
      <w:pPr>
        <w:rPr>
          <w:sz w:val="28"/>
          <w:szCs w:val="28"/>
        </w:rPr>
      </w:pPr>
      <m:oMathPara>
        <m:oMathParaPr>
          <m:jc m:val="center"/>
        </m:oMathParaPr>
        <m:oMath>
          <m:sSub>
            <m:sSubPr>
              <m:ctrlPr>
                <w:rPr>
                  <w:rFonts w:ascii="Cambria Math" w:hAnsi="Cambria Math"/>
                  <w:sz w:val="28"/>
                  <w:szCs w:val="28"/>
                </w:rPr>
              </m:ctrlPr>
            </m:sSubPr>
            <m:e>
              <m:r>
                <w:rPr>
                  <w:rFonts w:ascii="Cambria Math" w:hAnsi="Cambria Math"/>
                  <w:sz w:val="28"/>
                  <w:szCs w:val="28"/>
                </w:rPr>
                <m:t>d</m:t>
              </m:r>
            </m:e>
            <m:sub>
              <m:r>
                <w:rPr>
                  <w:rFonts w:ascii="Cambria Math" w:hAnsi="Cambria Math"/>
                  <w:sz w:val="28"/>
                  <w:szCs w:val="28"/>
                </w:rPr>
                <m:t>oc</m:t>
              </m:r>
            </m:sub>
          </m:sSub>
          <m:r>
            <m:rPr>
              <m:sty m:val="p"/>
            </m:rPr>
            <w:rPr>
              <w:rFonts w:ascii="Cambria Math" w:hAnsi="Cambria Math"/>
              <w:sz w:val="28"/>
              <w:szCs w:val="28"/>
            </w:rPr>
            <m:t>=</m:t>
          </m:r>
          <m:r>
            <w:rPr>
              <w:rFonts w:ascii="Cambria Math" w:hAnsi="Cambria Math"/>
              <w:sz w:val="28"/>
              <w:szCs w:val="28"/>
            </w:rPr>
            <m:t>0.1245</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d>
                <m:dPr>
                  <m:begChr m:val="["/>
                  <m:endChr m:val="]"/>
                  <m:ctrlPr>
                    <w:rPr>
                      <w:rFonts w:ascii="Cambria Math" w:hAnsi="Cambria Math"/>
                      <w:sz w:val="28"/>
                      <w:szCs w:val="28"/>
                    </w:rPr>
                  </m:ctrlPr>
                </m:dPr>
                <m:e>
                  <m:r>
                    <m:rPr>
                      <m:sty m:val="p"/>
                    </m:rPr>
                    <w:rPr>
                      <w:rFonts w:ascii="Cambria Math" w:hAnsi="Cambria Math"/>
                      <w:sz w:val="28"/>
                      <w:szCs w:val="28"/>
                    </w:rPr>
                    <m:t>-</m:t>
                  </m:r>
                  <m:r>
                    <w:rPr>
                      <w:rFonts w:ascii="Cambria Math" w:hAnsi="Cambria Math"/>
                      <w:sz w:val="28"/>
                      <w:szCs w:val="28"/>
                    </w:rPr>
                    <m:t>0.14707</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d>
                        <m:dPr>
                          <m:ctrlPr>
                            <w:rPr>
                              <w:rFonts w:ascii="Cambria Math" w:hAnsi="Cambria Math"/>
                              <w:sz w:val="28"/>
                              <w:szCs w:val="28"/>
                            </w:rPr>
                          </m:ctrlPr>
                        </m:dPr>
                        <m:e>
                          <m:r>
                            <m:rPr>
                              <m:sty m:val="p"/>
                            </m:rPr>
                            <w:rPr>
                              <w:rFonts w:ascii="Cambria Math" w:hAnsi="Cambria Math"/>
                              <w:sz w:val="28"/>
                              <w:szCs w:val="28"/>
                            </w:rPr>
                            <m:t>-</m:t>
                          </m:r>
                          <m:r>
                            <w:rPr>
                              <w:rFonts w:ascii="Cambria Math" w:hAnsi="Cambria Math"/>
                              <w:sz w:val="28"/>
                              <w:szCs w:val="28"/>
                            </w:rPr>
                            <m:t>0.07565</m:t>
                          </m:r>
                          <m:r>
                            <m:rPr>
                              <m:sty m:val="p"/>
                            </m:rP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I</m:t>
                              </m:r>
                            </m:e>
                            <m:sub>
                              <m:r>
                                <w:rPr>
                                  <w:rFonts w:ascii="Cambria Math" w:hAnsi="Cambria Math"/>
                                  <w:sz w:val="28"/>
                                  <w:szCs w:val="28"/>
                                </w:rPr>
                                <m:t>est</m:t>
                              </m:r>
                            </m:sub>
                          </m:sSub>
                        </m:e>
                      </m:d>
                    </m:sup>
                  </m:sSup>
                </m:e>
              </m:d>
            </m:sup>
          </m:sSup>
        </m:oMath>
      </m:oMathPara>
    </w:p>
    <w:p w14:paraId="719D84EF" w14:textId="390B4F2B" w:rsidR="00D6415B" w:rsidRPr="006C583D" w:rsidRDefault="00D6415B" w:rsidP="00722B46">
      <w:pPr>
        <w:jc w:val="center"/>
        <w:rPr>
          <w:rFonts w:ascii="Arial" w:hAnsi="Arial"/>
          <w:sz w:val="22"/>
        </w:rPr>
      </w:pPr>
    </w:p>
    <w:p w14:paraId="35D97053" w14:textId="77777777" w:rsidR="00D6415B" w:rsidRPr="006C583D" w:rsidRDefault="00D6415B" w:rsidP="00D6415B">
      <w:pPr>
        <w:jc w:val="both"/>
        <w:rPr>
          <w:rFonts w:ascii="Arial" w:hAnsi="Arial"/>
          <w:sz w:val="22"/>
        </w:rPr>
      </w:pPr>
      <w:r w:rsidRPr="006C583D">
        <w:rPr>
          <w:rFonts w:ascii="Arial" w:hAnsi="Arial"/>
          <w:sz w:val="22"/>
        </w:rPr>
        <w:t xml:space="preserve">For </w:t>
      </w:r>
      <w:r w:rsidRPr="006C583D">
        <w:rPr>
          <w:rFonts w:ascii="Arial" w:hAnsi="Arial"/>
          <w:b/>
          <w:sz w:val="22"/>
        </w:rPr>
        <w:t>composite pavements</w:t>
      </w:r>
      <w:r w:rsidRPr="006C583D">
        <w:rPr>
          <w:rFonts w:ascii="Arial" w:hAnsi="Arial"/>
          <w:sz w:val="22"/>
        </w:rPr>
        <w:t>, based on infinite slab assumption, the initial estimated modulus of subgrade reaction (</w:t>
      </w:r>
      <w:r w:rsidRPr="006C583D">
        <w:rPr>
          <w:rFonts w:ascii="Arial" w:hAnsi="Arial"/>
          <w:b/>
          <w:sz w:val="22"/>
        </w:rPr>
        <w:t>k</w:t>
      </w:r>
      <w:r w:rsidRPr="006C583D">
        <w:rPr>
          <w:rFonts w:ascii="Arial" w:hAnsi="Arial"/>
          <w:b/>
          <w:sz w:val="22"/>
          <w:vertAlign w:val="subscript"/>
        </w:rPr>
        <w:t>est</w:t>
      </w:r>
      <w:r w:rsidRPr="006C583D">
        <w:rPr>
          <w:rFonts w:ascii="Arial" w:hAnsi="Arial"/>
          <w:sz w:val="22"/>
        </w:rPr>
        <w:t>) is calculated with the following equation:</w:t>
      </w:r>
    </w:p>
    <w:p w14:paraId="71B6FB1D" w14:textId="77777777" w:rsidR="00D6415B" w:rsidRPr="006C583D" w:rsidRDefault="00D6415B" w:rsidP="00722B46">
      <w:pPr>
        <w:pStyle w:val="TOC1"/>
      </w:pPr>
      <w:r w:rsidRPr="006C583D">
        <w:t xml:space="preserve">    </w:t>
      </w:r>
    </w:p>
    <w:p w14:paraId="122CCF22" w14:textId="77777777" w:rsidR="005D0983" w:rsidRPr="005D0983" w:rsidRDefault="00000000" w:rsidP="005D0983">
      <w:pPr>
        <w:pStyle w:val="BodyText"/>
        <w:rPr>
          <w:sz w:val="24"/>
          <w:szCs w:val="22"/>
        </w:rPr>
      </w:pPr>
      <m:oMathPara>
        <m:oMathParaPr>
          <m:jc m:val="center"/>
        </m:oMathParaPr>
        <m:oMath>
          <m:sSub>
            <m:sSubPr>
              <m:ctrlPr>
                <w:rPr>
                  <w:rFonts w:ascii="Cambria Math" w:hAnsi="Cambria Math"/>
                  <w:sz w:val="24"/>
                  <w:szCs w:val="22"/>
                </w:rPr>
              </m:ctrlPr>
            </m:sSubPr>
            <m:e>
              <m:r>
                <w:rPr>
                  <w:rFonts w:ascii="Cambria Math" w:hAnsi="Cambria Math"/>
                  <w:sz w:val="24"/>
                  <w:szCs w:val="22"/>
                </w:rPr>
                <m:t>k</m:t>
              </m:r>
            </m:e>
            <m:sub>
              <m:r>
                <w:rPr>
                  <w:rFonts w:ascii="Cambria Math" w:hAnsi="Cambria Math"/>
                  <w:sz w:val="24"/>
                  <w:szCs w:val="22"/>
                </w:rPr>
                <m:t>est</m:t>
              </m:r>
            </m:sub>
          </m:sSub>
          <m:r>
            <m:rPr>
              <m:sty m:val="p"/>
            </m:rPr>
            <w:rPr>
              <w:rFonts w:ascii="Cambria Math" w:hAnsi="Cambria Math"/>
              <w:sz w:val="24"/>
              <w:szCs w:val="22"/>
            </w:rPr>
            <m:t>=</m:t>
          </m:r>
          <m:f>
            <m:fPr>
              <m:ctrlPr>
                <w:rPr>
                  <w:rFonts w:ascii="Cambria Math" w:hAnsi="Cambria Math"/>
                  <w:sz w:val="24"/>
                  <w:szCs w:val="22"/>
                </w:rPr>
              </m:ctrlPr>
            </m:fPr>
            <m:num>
              <m:r>
                <w:rPr>
                  <w:rFonts w:ascii="Cambria Math" w:hAnsi="Cambria Math"/>
                  <w:sz w:val="24"/>
                  <w:szCs w:val="22"/>
                </w:rPr>
                <m:t>P</m:t>
              </m:r>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12</m:t>
                  </m:r>
                  <m:r>
                    <w:rPr>
                      <w:rFonts w:ascii="Cambria Math" w:hAnsi="Cambria Math"/>
                      <w:sz w:val="24"/>
                      <w:szCs w:val="22"/>
                    </w:rPr>
                    <m:t>c</m:t>
                  </m:r>
                </m:sub>
              </m:sSub>
            </m:num>
            <m:den>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12</m:t>
                  </m:r>
                </m:sub>
              </m:sSub>
              <m:r>
                <m:rPr>
                  <m:sty m:val="p"/>
                </m:rPr>
                <w:rPr>
                  <w:rFonts w:ascii="Cambria Math" w:hAnsi="Cambria Math"/>
                  <w:sz w:val="24"/>
                  <w:szCs w:val="22"/>
                </w:rPr>
                <m:t>×</m:t>
              </m:r>
              <m:sSup>
                <m:sSupPr>
                  <m:ctrlPr>
                    <w:rPr>
                      <w:rFonts w:ascii="Cambria Math" w:hAnsi="Cambria Math"/>
                      <w:sz w:val="24"/>
                      <w:szCs w:val="22"/>
                    </w:rPr>
                  </m:ctrlPr>
                </m:sSupPr>
                <m:e>
                  <m:d>
                    <m:dPr>
                      <m:ctrlPr>
                        <w:rPr>
                          <w:rFonts w:ascii="Cambria Math" w:hAnsi="Cambria Math"/>
                          <w:sz w:val="24"/>
                          <w:szCs w:val="22"/>
                        </w:rPr>
                      </m:ctrlPr>
                    </m:dPr>
                    <m:e>
                      <m:sSub>
                        <m:sSubPr>
                          <m:ctrlPr>
                            <w:rPr>
                              <w:rFonts w:ascii="Cambria Math" w:hAnsi="Cambria Math"/>
                              <w:sz w:val="24"/>
                              <w:szCs w:val="22"/>
                            </w:rPr>
                          </m:ctrlPr>
                        </m:sSubPr>
                        <m:e>
                          <m:r>
                            <w:rPr>
                              <w:rFonts w:ascii="Cambria Math" w:hAnsi="Cambria Math"/>
                              <w:sz w:val="24"/>
                              <w:szCs w:val="22"/>
                            </w:rPr>
                            <m:t>I</m:t>
                          </m:r>
                        </m:e>
                        <m:sub>
                          <m:r>
                            <w:rPr>
                              <w:rFonts w:ascii="Cambria Math" w:hAnsi="Cambria Math"/>
                              <w:sz w:val="24"/>
                              <w:szCs w:val="22"/>
                            </w:rPr>
                            <m:t>est</m:t>
                          </m:r>
                        </m:sub>
                      </m:sSub>
                    </m:e>
                  </m:d>
                </m:e>
                <m:sup>
                  <m:r>
                    <w:rPr>
                      <w:rFonts w:ascii="Cambria Math" w:hAnsi="Cambria Math"/>
                      <w:sz w:val="24"/>
                      <w:szCs w:val="22"/>
                    </w:rPr>
                    <m:t>2</m:t>
                  </m:r>
                </m:sup>
              </m:sSup>
            </m:den>
          </m:f>
        </m:oMath>
      </m:oMathPara>
    </w:p>
    <w:p w14:paraId="25B18FBE" w14:textId="77777777" w:rsidR="00D6415B" w:rsidRPr="006C583D" w:rsidRDefault="00D6415B" w:rsidP="00D6415B">
      <w:pPr>
        <w:jc w:val="both"/>
        <w:rPr>
          <w:rFonts w:ascii="Arial" w:hAnsi="Arial"/>
          <w:sz w:val="22"/>
        </w:rPr>
      </w:pPr>
    </w:p>
    <w:p w14:paraId="28C39D63" w14:textId="77777777" w:rsidR="008433FA" w:rsidRDefault="00D6415B" w:rsidP="008433FA">
      <w:pPr>
        <w:ind w:firstLine="720"/>
        <w:jc w:val="both"/>
        <w:rPr>
          <w:rFonts w:ascii="Arial" w:hAnsi="Arial"/>
          <w:sz w:val="22"/>
        </w:rPr>
      </w:pPr>
      <w:r w:rsidRPr="006C583D">
        <w:rPr>
          <w:rFonts w:ascii="Arial" w:hAnsi="Arial"/>
          <w:sz w:val="22"/>
        </w:rPr>
        <w:t xml:space="preserve">where: </w:t>
      </w:r>
      <w:r w:rsidRPr="006C583D">
        <w:rPr>
          <w:rFonts w:ascii="Arial" w:hAnsi="Arial"/>
          <w:sz w:val="22"/>
        </w:rPr>
        <w:tab/>
      </w:r>
    </w:p>
    <w:p w14:paraId="27E4207A" w14:textId="28F2186A" w:rsidR="00D6415B" w:rsidRPr="006C583D" w:rsidRDefault="008433FA" w:rsidP="00722B46">
      <w:pPr>
        <w:tabs>
          <w:tab w:val="left" w:pos="1260"/>
          <w:tab w:val="left" w:pos="1710"/>
          <w:tab w:val="left" w:pos="1980"/>
        </w:tabs>
        <w:ind w:firstLine="720"/>
        <w:jc w:val="both"/>
        <w:rPr>
          <w:rFonts w:ascii="Arial" w:hAnsi="Arial"/>
          <w:sz w:val="22"/>
        </w:rPr>
      </w:pPr>
      <w:r>
        <w:rPr>
          <w:rFonts w:ascii="Arial" w:hAnsi="Arial"/>
          <w:sz w:val="22"/>
        </w:rPr>
        <w:tab/>
      </w:r>
      <w:r w:rsidR="00D6415B" w:rsidRPr="006C583D">
        <w:rPr>
          <w:rFonts w:ascii="Arial" w:hAnsi="Arial"/>
          <w:sz w:val="22"/>
        </w:rPr>
        <w:t>d</w:t>
      </w:r>
      <w:r w:rsidR="00D6415B" w:rsidRPr="006C583D">
        <w:rPr>
          <w:rFonts w:ascii="Arial" w:hAnsi="Arial"/>
          <w:sz w:val="22"/>
          <w:vertAlign w:val="subscript"/>
        </w:rPr>
        <w:t xml:space="preserve">12 </w:t>
      </w:r>
      <w:r>
        <w:rPr>
          <w:rFonts w:ascii="Arial" w:hAnsi="Arial"/>
          <w:sz w:val="22"/>
          <w:vertAlign w:val="subscript"/>
        </w:rPr>
        <w:tab/>
      </w:r>
      <w:r w:rsidR="00D6415B" w:rsidRPr="006C583D">
        <w:rPr>
          <w:rFonts w:ascii="Arial" w:hAnsi="Arial"/>
          <w:sz w:val="22"/>
        </w:rPr>
        <w:t xml:space="preserve">= </w:t>
      </w:r>
      <w:r>
        <w:rPr>
          <w:rFonts w:ascii="Arial" w:hAnsi="Arial"/>
          <w:sz w:val="22"/>
        </w:rPr>
        <w:tab/>
      </w:r>
      <w:r w:rsidR="00D6415B" w:rsidRPr="006C583D">
        <w:rPr>
          <w:rFonts w:ascii="Arial" w:hAnsi="Arial"/>
          <w:sz w:val="22"/>
        </w:rPr>
        <w:t>deflection measured 12</w:t>
      </w:r>
      <w:r>
        <w:rPr>
          <w:rFonts w:ascii="Arial" w:hAnsi="Arial"/>
          <w:sz w:val="22"/>
        </w:rPr>
        <w:t>"</w:t>
      </w:r>
      <w:r w:rsidR="00D6415B" w:rsidRPr="006C583D">
        <w:rPr>
          <w:rFonts w:ascii="Arial" w:hAnsi="Arial"/>
          <w:sz w:val="22"/>
        </w:rPr>
        <w:t xml:space="preserve"> from center of load plate, inch</w:t>
      </w:r>
    </w:p>
    <w:p w14:paraId="75BEA17D" w14:textId="7D852DF3" w:rsidR="00D6415B" w:rsidRPr="006C583D" w:rsidRDefault="008433FA" w:rsidP="00722B46">
      <w:pPr>
        <w:tabs>
          <w:tab w:val="left" w:pos="1260"/>
          <w:tab w:val="left" w:pos="1710"/>
          <w:tab w:val="left" w:pos="1980"/>
        </w:tabs>
        <w:jc w:val="both"/>
        <w:rPr>
          <w:rFonts w:ascii="Arial" w:hAnsi="Arial"/>
          <w:sz w:val="22"/>
        </w:rPr>
      </w:pPr>
      <w:r>
        <w:rPr>
          <w:rFonts w:ascii="Arial" w:hAnsi="Arial"/>
          <w:sz w:val="22"/>
        </w:rPr>
        <w:tab/>
      </w:r>
      <w:r w:rsidR="00D6415B" w:rsidRPr="006C583D">
        <w:rPr>
          <w:rFonts w:ascii="Arial" w:hAnsi="Arial"/>
          <w:sz w:val="22"/>
        </w:rPr>
        <w:t>d</w:t>
      </w:r>
      <w:r w:rsidR="00D6415B" w:rsidRPr="006C583D">
        <w:rPr>
          <w:rFonts w:ascii="Arial" w:hAnsi="Arial"/>
          <w:sz w:val="22"/>
          <w:vertAlign w:val="subscript"/>
        </w:rPr>
        <w:t xml:space="preserve">12c </w:t>
      </w:r>
      <w:r>
        <w:rPr>
          <w:rFonts w:ascii="Arial" w:hAnsi="Arial"/>
          <w:sz w:val="22"/>
          <w:vertAlign w:val="subscript"/>
        </w:rPr>
        <w:tab/>
      </w:r>
      <w:r w:rsidR="00D6415B" w:rsidRPr="006C583D">
        <w:rPr>
          <w:rFonts w:ascii="Arial" w:hAnsi="Arial"/>
          <w:sz w:val="22"/>
        </w:rPr>
        <w:t xml:space="preserve">= </w:t>
      </w:r>
      <w:r>
        <w:rPr>
          <w:rFonts w:ascii="Arial" w:hAnsi="Arial"/>
          <w:sz w:val="22"/>
        </w:rPr>
        <w:tab/>
      </w:r>
      <w:r w:rsidR="00D6415B" w:rsidRPr="006C583D">
        <w:rPr>
          <w:rFonts w:ascii="Arial" w:hAnsi="Arial"/>
          <w:sz w:val="22"/>
        </w:rPr>
        <w:t>nondimensional coefficient of deflection 12” from center of plate</w:t>
      </w:r>
    </w:p>
    <w:p w14:paraId="2D4628F4" w14:textId="77777777" w:rsidR="00D6415B" w:rsidRPr="006C583D" w:rsidRDefault="00D6415B" w:rsidP="00D6415B">
      <w:pPr>
        <w:jc w:val="both"/>
        <w:rPr>
          <w:rFonts w:ascii="Arial" w:hAnsi="Arial"/>
          <w:sz w:val="22"/>
        </w:rPr>
      </w:pPr>
    </w:p>
    <w:p w14:paraId="779DEBE2" w14:textId="1AC612AB" w:rsidR="00D6415B" w:rsidRPr="00CE0957" w:rsidRDefault="00000000" w:rsidP="00CE0957">
      <w:pPr>
        <w:rPr>
          <w:rFonts w:ascii="Arial" w:hAnsi="Arial"/>
          <w:sz w:val="32"/>
          <w:szCs w:val="28"/>
        </w:rPr>
      </w:pPr>
      <m:oMathPara>
        <m:oMath>
          <m:sSub>
            <m:sSubPr>
              <m:ctrlPr>
                <w:rPr>
                  <w:rFonts w:ascii="Cambria Math" w:hAnsi="Cambria Math"/>
                  <w:sz w:val="28"/>
                  <w:szCs w:val="28"/>
                </w:rPr>
              </m:ctrlPr>
            </m:sSubPr>
            <m:e>
              <m:r>
                <w:rPr>
                  <w:rFonts w:ascii="Cambria Math" w:hAnsi="Cambria Math"/>
                  <w:sz w:val="28"/>
                  <w:szCs w:val="28"/>
                </w:rPr>
                <m:t>d</m:t>
              </m:r>
            </m:e>
            <m:sub>
              <m:r>
                <w:rPr>
                  <w:rFonts w:ascii="Cambria Math" w:hAnsi="Cambria Math"/>
                  <w:sz w:val="28"/>
                  <w:szCs w:val="28"/>
                </w:rPr>
                <m:t>12</m:t>
              </m:r>
              <m:r>
                <w:rPr>
                  <w:rFonts w:ascii="Cambria Math" w:hAnsi="Cambria Math"/>
                  <w:sz w:val="28"/>
                  <w:szCs w:val="28"/>
                </w:rPr>
                <m:t>c</m:t>
              </m:r>
            </m:sub>
          </m:sSub>
          <m:r>
            <m:rPr>
              <m:sty m:val="p"/>
            </m:rPr>
            <w:rPr>
              <w:rFonts w:ascii="Cambria Math" w:hAnsi="Cambria Math"/>
              <w:sz w:val="28"/>
              <w:szCs w:val="28"/>
            </w:rPr>
            <m:t>=</m:t>
          </m:r>
          <m:r>
            <w:rPr>
              <w:rFonts w:ascii="Cambria Math" w:hAnsi="Cambria Math"/>
              <w:sz w:val="28"/>
              <w:szCs w:val="28"/>
            </w:rPr>
            <m:t>0.12188</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d>
                <m:dPr>
                  <m:begChr m:val="["/>
                  <m:endChr m:val="]"/>
                  <m:ctrlPr>
                    <w:rPr>
                      <w:rFonts w:ascii="Cambria Math" w:hAnsi="Cambria Math"/>
                      <w:sz w:val="28"/>
                      <w:szCs w:val="28"/>
                    </w:rPr>
                  </m:ctrlPr>
                </m:dPr>
                <m:e>
                  <m:r>
                    <m:rPr>
                      <m:sty m:val="p"/>
                    </m:rPr>
                    <w:rPr>
                      <w:rFonts w:ascii="Cambria Math" w:hAnsi="Cambria Math"/>
                      <w:sz w:val="28"/>
                      <w:szCs w:val="28"/>
                    </w:rPr>
                    <m:t>-</m:t>
                  </m:r>
                  <m:r>
                    <w:rPr>
                      <w:rFonts w:ascii="Cambria Math" w:hAnsi="Cambria Math"/>
                      <w:sz w:val="28"/>
                      <w:szCs w:val="28"/>
                    </w:rPr>
                    <m:t>0.79432</m:t>
                  </m:r>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e</m:t>
                      </m:r>
                    </m:e>
                    <m:sup>
                      <m:d>
                        <m:dPr>
                          <m:ctrlPr>
                            <w:rPr>
                              <w:rFonts w:ascii="Cambria Math" w:hAnsi="Cambria Math"/>
                              <w:sz w:val="28"/>
                              <w:szCs w:val="28"/>
                            </w:rPr>
                          </m:ctrlPr>
                        </m:dPr>
                        <m:e>
                          <m:r>
                            <m:rPr>
                              <m:sty m:val="p"/>
                            </m:rPr>
                            <w:rPr>
                              <w:rFonts w:ascii="Cambria Math" w:hAnsi="Cambria Math"/>
                              <w:sz w:val="28"/>
                              <w:szCs w:val="28"/>
                            </w:rPr>
                            <m:t>-</m:t>
                          </m:r>
                          <m:r>
                            <w:rPr>
                              <w:rFonts w:ascii="Cambria Math" w:hAnsi="Cambria Math"/>
                              <w:sz w:val="28"/>
                              <w:szCs w:val="28"/>
                            </w:rPr>
                            <m:t>0.07074</m:t>
                          </m:r>
                          <m:r>
                            <m:rPr>
                              <m:sty m:val="p"/>
                            </m:rP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I</m:t>
                              </m:r>
                            </m:e>
                            <m:sub>
                              <m:r>
                                <w:rPr>
                                  <w:rFonts w:ascii="Cambria Math" w:hAnsi="Cambria Math"/>
                                  <w:sz w:val="28"/>
                                  <w:szCs w:val="28"/>
                                </w:rPr>
                                <m:t>est</m:t>
                              </m:r>
                            </m:sub>
                          </m:sSub>
                        </m:e>
                      </m:d>
                    </m:sup>
                  </m:sSup>
                </m:e>
              </m:d>
            </m:sup>
          </m:sSup>
        </m:oMath>
      </m:oMathPara>
    </w:p>
    <w:p w14:paraId="006F35BE" w14:textId="77777777" w:rsidR="00D6415B" w:rsidRPr="006C583D" w:rsidRDefault="00D6415B" w:rsidP="00D6415B">
      <w:pPr>
        <w:jc w:val="both"/>
        <w:rPr>
          <w:rFonts w:ascii="Arial" w:hAnsi="Arial"/>
          <w:sz w:val="22"/>
        </w:rPr>
      </w:pPr>
    </w:p>
    <w:p w14:paraId="456D5838" w14:textId="77777777" w:rsidR="00D6415B" w:rsidRDefault="00D6415B" w:rsidP="00D6415B">
      <w:pPr>
        <w:jc w:val="both"/>
        <w:rPr>
          <w:rFonts w:ascii="Arial" w:hAnsi="Arial"/>
          <w:sz w:val="22"/>
        </w:rPr>
      </w:pPr>
      <w:r w:rsidRPr="006C583D">
        <w:rPr>
          <w:rFonts w:ascii="Arial" w:hAnsi="Arial"/>
          <w:sz w:val="22"/>
        </w:rPr>
        <w:t xml:space="preserve">As discussed previously, all the previous equations were based on the assumption of an infinite slab.  The correction factor for the slab size is identified as, </w:t>
      </w:r>
      <w:r w:rsidRPr="006C583D">
        <w:rPr>
          <w:rFonts w:ascii="Arial" w:hAnsi="Arial"/>
          <w:b/>
          <w:sz w:val="22"/>
        </w:rPr>
        <w:t>L</w:t>
      </w:r>
      <w:r w:rsidRPr="006C583D">
        <w:rPr>
          <w:rFonts w:ascii="Arial" w:hAnsi="Arial"/>
          <w:sz w:val="22"/>
        </w:rPr>
        <w:t xml:space="preserve">.  The next step is to correct for the size of slab in the pavement structure.      </w:t>
      </w:r>
    </w:p>
    <w:p w14:paraId="4DF7D510" w14:textId="77777777" w:rsidR="008433FA" w:rsidRPr="006C583D" w:rsidRDefault="008433FA" w:rsidP="00D6415B">
      <w:pPr>
        <w:jc w:val="both"/>
        <w:rPr>
          <w:rFonts w:ascii="Arial" w:hAnsi="Arial"/>
          <w:sz w:val="22"/>
        </w:rPr>
      </w:pPr>
    </w:p>
    <w:p w14:paraId="0D78DDA9" w14:textId="77777777" w:rsidR="00CE0957" w:rsidRDefault="00000000" w:rsidP="00CE0957">
      <w:pPr>
        <w:pStyle w:val="BodyText"/>
      </w:pPr>
      <m:oMathPara>
        <m:oMathParaPr>
          <m:jc m:val="center"/>
        </m:oMathParaPr>
        <m:oMath>
          <m:d>
            <m:dPr>
              <m:begChr m:val="{"/>
              <m:endChr m:val=""/>
              <m:ctrlPr>
                <w:rPr>
                  <w:rFonts w:ascii="Cambria Math" w:hAnsi="Cambria Math"/>
                </w:rPr>
              </m:ctrlPr>
            </m:dPr>
            <m:e>
              <m:m>
                <m:mPr>
                  <m:plcHide m:val="1"/>
                  <m:mcs>
                    <m:mc>
                      <m:mcPr>
                        <m:count m:val="2"/>
                        <m:mcJc m:val="left"/>
                      </m:mcPr>
                    </m:mc>
                  </m:mcs>
                  <m:ctrlPr>
                    <w:rPr>
                      <w:rFonts w:ascii="Cambria Math" w:hAnsi="Cambria Math"/>
                    </w:rPr>
                  </m:ctrlPr>
                </m:mPr>
                <m:mr>
                  <m:e>
                    <m:r>
                      <m:rPr>
                        <m:nor/>
                      </m:rPr>
                      <m:t>If length</m:t>
                    </m:r>
                    <m:r>
                      <m:rPr>
                        <m:sty m:val="p"/>
                      </m:rPr>
                      <w:rPr>
                        <w:rFonts w:ascii="Cambria Math" w:hAnsi="Cambria Math"/>
                      </w:rPr>
                      <m:t>≤</m:t>
                    </m:r>
                    <m:r>
                      <w:rPr>
                        <w:rFonts w:ascii="Cambria Math" w:hAnsi="Cambria Math"/>
                      </w:rPr>
                      <m:t>2</m:t>
                    </m:r>
                    <m:r>
                      <m:rPr>
                        <m:sty m:val="p"/>
                      </m:rPr>
                      <w:rPr>
                        <w:rFonts w:ascii="Cambria Math" w:hAnsi="Cambria Math"/>
                      </w:rPr>
                      <m:t>×</m:t>
                    </m:r>
                    <m:r>
                      <m:rPr>
                        <m:nor/>
                      </m:rPr>
                      <m:t>width</m:t>
                    </m:r>
                    <m:r>
                      <m:rPr>
                        <m:sty m:val="p"/>
                      </m:rPr>
                      <w:rPr>
                        <w:rFonts w:ascii="Cambria Math" w:hAnsi="Cambria Math"/>
                      </w:rPr>
                      <m:t>,</m:t>
                    </m:r>
                  </m:e>
                  <m:e>
                    <m:r>
                      <m:rPr>
                        <m:sty m:val="b"/>
                      </m:rPr>
                      <w:rPr>
                        <w:rFonts w:ascii="Cambria Math" w:hAnsi="Cambria Math"/>
                      </w:rPr>
                      <m:t>L</m:t>
                    </m:r>
                    <m:r>
                      <m:rPr>
                        <m:sty m:val="p"/>
                      </m:rPr>
                      <w:rPr>
                        <w:rFonts w:ascii="Cambria Math" w:hAnsi="Cambria Math"/>
                      </w:rPr>
                      <m:t>=</m:t>
                    </m:r>
                    <m:rad>
                      <m:radPr>
                        <m:degHide m:val="1"/>
                        <m:ctrlPr>
                          <w:rPr>
                            <w:rFonts w:ascii="Cambria Math" w:hAnsi="Cambria Math"/>
                          </w:rPr>
                        </m:ctrlPr>
                      </m:radPr>
                      <m:deg/>
                      <m:e>
                        <m:r>
                          <m:rPr>
                            <m:nor/>
                          </m:rPr>
                          <m:t>Length</m:t>
                        </m:r>
                        <m:r>
                          <m:rPr>
                            <m:sty m:val="p"/>
                          </m:rPr>
                          <w:rPr>
                            <w:rFonts w:ascii="Cambria Math" w:hAnsi="Cambria Math"/>
                          </w:rPr>
                          <m:t>×</m:t>
                        </m:r>
                        <m:r>
                          <m:rPr>
                            <m:nor/>
                          </m:rPr>
                          <m:t>Width</m:t>
                        </m:r>
                      </m:e>
                    </m:rad>
                  </m:e>
                </m:mr>
                <m:mr>
                  <m:e>
                    <m:r>
                      <m:rPr>
                        <m:nor/>
                      </m:rPr>
                      <m:t>If length</m:t>
                    </m:r>
                    <m:r>
                      <m:rPr>
                        <m:sty m:val="p"/>
                      </m:rPr>
                      <w:rPr>
                        <w:rFonts w:ascii="Cambria Math" w:hAnsi="Cambria Math"/>
                      </w:rPr>
                      <m:t>&gt;</m:t>
                    </m:r>
                    <m:r>
                      <w:rPr>
                        <w:rFonts w:ascii="Cambria Math" w:hAnsi="Cambria Math"/>
                      </w:rPr>
                      <m:t>2</m:t>
                    </m:r>
                    <m:r>
                      <m:rPr>
                        <m:sty m:val="p"/>
                      </m:rPr>
                      <w:rPr>
                        <w:rFonts w:ascii="Cambria Math" w:hAnsi="Cambria Math"/>
                      </w:rPr>
                      <m:t>×</m:t>
                    </m:r>
                    <m:r>
                      <m:rPr>
                        <m:nor/>
                      </m:rPr>
                      <m:t>width</m:t>
                    </m:r>
                    <m:r>
                      <m:rPr>
                        <m:sty m:val="p"/>
                      </m:rPr>
                      <w:rPr>
                        <w:rFonts w:ascii="Cambria Math" w:hAnsi="Cambria Math"/>
                      </w:rPr>
                      <m:t>,</m:t>
                    </m:r>
                  </m:e>
                  <m:e>
                    <m:r>
                      <m:rPr>
                        <m:sty m:val="b"/>
                      </m:rPr>
                      <w:rPr>
                        <w:rFonts w:ascii="Cambria Math" w:hAnsi="Cambria Math"/>
                      </w:rPr>
                      <m:t>L</m:t>
                    </m:r>
                    <m:r>
                      <m:rPr>
                        <m:sty m:val="p"/>
                      </m:rPr>
                      <w:rPr>
                        <w:rFonts w:ascii="Cambria Math" w:hAnsi="Cambria Math"/>
                      </w:rPr>
                      <m:t>=</m:t>
                    </m:r>
                    <m:r>
                      <m:rPr>
                        <m:nor/>
                      </m:rPr>
                      <m:t>Length</m:t>
                    </m:r>
                    <m:r>
                      <m:rPr>
                        <m:sty m:val="p"/>
                      </m:rPr>
                      <w:rPr>
                        <w:rFonts w:ascii="Cambria Math" w:hAnsi="Cambria Math"/>
                      </w:rPr>
                      <m:t>×</m:t>
                    </m:r>
                    <m:rad>
                      <m:radPr>
                        <m:degHide m:val="1"/>
                        <m:ctrlPr>
                          <w:rPr>
                            <w:rFonts w:ascii="Cambria Math" w:hAnsi="Cambria Math"/>
                          </w:rPr>
                        </m:ctrlPr>
                      </m:radPr>
                      <m:deg/>
                      <m:e>
                        <m:r>
                          <w:rPr>
                            <w:rFonts w:ascii="Cambria Math" w:hAnsi="Cambria Math"/>
                          </w:rPr>
                          <m:t>2</m:t>
                        </m:r>
                      </m:e>
                    </m:rad>
                  </m:e>
                </m:mr>
              </m:m>
            </m:e>
          </m:d>
        </m:oMath>
      </m:oMathPara>
    </w:p>
    <w:p w14:paraId="486B31BA" w14:textId="77777777" w:rsidR="00D6415B" w:rsidRPr="006C583D" w:rsidRDefault="00D6415B" w:rsidP="00D6415B">
      <w:pPr>
        <w:jc w:val="both"/>
        <w:rPr>
          <w:rFonts w:ascii="Arial" w:hAnsi="Arial"/>
          <w:sz w:val="22"/>
        </w:rPr>
      </w:pPr>
    </w:p>
    <w:p w14:paraId="535F90C0" w14:textId="77777777" w:rsidR="00D6415B" w:rsidRPr="006C583D" w:rsidRDefault="00D6415B" w:rsidP="00D6415B">
      <w:pPr>
        <w:jc w:val="both"/>
        <w:rPr>
          <w:rFonts w:ascii="Arial" w:hAnsi="Arial"/>
          <w:sz w:val="22"/>
        </w:rPr>
      </w:pPr>
      <w:r w:rsidRPr="006C583D">
        <w:rPr>
          <w:rFonts w:ascii="Arial" w:hAnsi="Arial"/>
          <w:sz w:val="22"/>
        </w:rPr>
        <w:t>There are two resulting adjustment factors based on the slab size correction factor, AF</w:t>
      </w:r>
      <w:r w:rsidRPr="006C583D">
        <w:rPr>
          <w:rFonts w:ascii="Arial" w:hAnsi="Arial"/>
          <w:sz w:val="22"/>
          <w:vertAlign w:val="subscript"/>
        </w:rPr>
        <w:t>do</w:t>
      </w:r>
      <w:r w:rsidRPr="006C583D">
        <w:rPr>
          <w:rFonts w:ascii="Arial" w:hAnsi="Arial"/>
          <w:sz w:val="22"/>
        </w:rPr>
        <w:t xml:space="preserve"> and AF</w:t>
      </w:r>
      <w:r w:rsidRPr="006C583D">
        <w:rPr>
          <w:rFonts w:ascii="Arial" w:hAnsi="Arial"/>
          <w:sz w:val="22"/>
          <w:vertAlign w:val="subscript"/>
        </w:rPr>
        <w:t>l</w:t>
      </w:r>
      <w:r w:rsidRPr="006C583D">
        <w:rPr>
          <w:rFonts w:ascii="Arial" w:hAnsi="Arial"/>
          <w:sz w:val="22"/>
        </w:rPr>
        <w:t>.  The correction factor for the deflection under the load plate AF</w:t>
      </w:r>
      <w:r w:rsidRPr="006C583D">
        <w:rPr>
          <w:rFonts w:ascii="Arial" w:hAnsi="Arial"/>
          <w:sz w:val="22"/>
          <w:vertAlign w:val="subscript"/>
        </w:rPr>
        <w:t>do</w:t>
      </w:r>
      <w:r w:rsidRPr="006C583D">
        <w:rPr>
          <w:rFonts w:ascii="Arial" w:hAnsi="Arial"/>
          <w:sz w:val="22"/>
        </w:rPr>
        <w:t>, for both rigid and composite pavements is the following equation:</w:t>
      </w:r>
    </w:p>
    <w:p w14:paraId="195CAF3B" w14:textId="77777777" w:rsidR="00D6415B" w:rsidRPr="006C583D" w:rsidRDefault="00D6415B" w:rsidP="00D6415B">
      <w:pPr>
        <w:jc w:val="both"/>
        <w:rPr>
          <w:rFonts w:ascii="Arial" w:hAnsi="Arial"/>
          <w:sz w:val="22"/>
        </w:rPr>
      </w:pPr>
    </w:p>
    <w:p w14:paraId="2CC42BFF" w14:textId="77777777" w:rsidR="00CE0957" w:rsidRPr="00CE0957" w:rsidRDefault="00CE0957" w:rsidP="00CE0957">
      <w:pPr>
        <w:pStyle w:val="BodyText"/>
        <w:rPr>
          <w:sz w:val="28"/>
          <w:szCs w:val="24"/>
        </w:rPr>
      </w:pPr>
      <m:oMathPara>
        <m:oMathParaPr>
          <m:jc m:val="center"/>
        </m:oMathParaPr>
        <m:oMath>
          <m:r>
            <w:rPr>
              <w:rFonts w:ascii="Cambria Math" w:hAnsi="Cambria Math"/>
              <w:sz w:val="28"/>
              <w:szCs w:val="24"/>
            </w:rPr>
            <m:t>A</m:t>
          </m:r>
          <m:sSub>
            <m:sSubPr>
              <m:ctrlPr>
                <w:rPr>
                  <w:rFonts w:ascii="Cambria Math" w:hAnsi="Cambria Math"/>
                  <w:sz w:val="28"/>
                  <w:szCs w:val="24"/>
                </w:rPr>
              </m:ctrlPr>
            </m:sSubPr>
            <m:e>
              <m:r>
                <w:rPr>
                  <w:rFonts w:ascii="Cambria Math" w:hAnsi="Cambria Math"/>
                  <w:sz w:val="28"/>
                  <w:szCs w:val="24"/>
                </w:rPr>
                <m:t>F</m:t>
              </m:r>
            </m:e>
            <m:sub>
              <m:sSub>
                <m:sSubPr>
                  <m:ctrlPr>
                    <w:rPr>
                      <w:rFonts w:ascii="Cambria Math" w:hAnsi="Cambria Math"/>
                      <w:sz w:val="28"/>
                      <w:szCs w:val="24"/>
                    </w:rPr>
                  </m:ctrlPr>
                </m:sSubPr>
                <m:e>
                  <m:r>
                    <w:rPr>
                      <w:rFonts w:ascii="Cambria Math" w:hAnsi="Cambria Math"/>
                      <w:sz w:val="28"/>
                      <w:szCs w:val="24"/>
                    </w:rPr>
                    <m:t>d</m:t>
                  </m:r>
                </m:e>
                <m:sub>
                  <m:r>
                    <w:rPr>
                      <w:rFonts w:ascii="Cambria Math" w:hAnsi="Cambria Math"/>
                      <w:sz w:val="28"/>
                      <w:szCs w:val="24"/>
                    </w:rPr>
                    <m:t>o</m:t>
                  </m:r>
                </m:sub>
              </m:sSub>
            </m:sub>
          </m:sSub>
          <m:r>
            <m:rPr>
              <m:sty m:val="p"/>
            </m:rPr>
            <w:rPr>
              <w:rFonts w:ascii="Cambria Math" w:hAnsi="Cambria Math"/>
              <w:sz w:val="28"/>
              <w:szCs w:val="24"/>
            </w:rPr>
            <m:t>=</m:t>
          </m:r>
          <m:r>
            <w:rPr>
              <w:rFonts w:ascii="Cambria Math" w:hAnsi="Cambria Math"/>
              <w:sz w:val="28"/>
              <w:szCs w:val="24"/>
            </w:rPr>
            <m:t>1</m:t>
          </m:r>
          <m:r>
            <m:rPr>
              <m:sty m:val="p"/>
            </m:rPr>
            <w:rPr>
              <w:rFonts w:ascii="Cambria Math" w:hAnsi="Cambria Math"/>
              <w:sz w:val="28"/>
              <w:szCs w:val="24"/>
            </w:rPr>
            <m:t>-</m:t>
          </m:r>
          <m:r>
            <w:rPr>
              <w:rFonts w:ascii="Cambria Math" w:hAnsi="Cambria Math"/>
              <w:sz w:val="28"/>
              <w:szCs w:val="24"/>
            </w:rPr>
            <m:t>1.15085</m:t>
          </m:r>
          <m:r>
            <m:rPr>
              <m:sty m:val="p"/>
            </m:rPr>
            <w:rPr>
              <w:rFonts w:ascii="Cambria Math" w:hAnsi="Cambria Math"/>
              <w:sz w:val="28"/>
              <w:szCs w:val="24"/>
            </w:rPr>
            <m:t>×</m:t>
          </m:r>
          <m:sSup>
            <m:sSupPr>
              <m:ctrlPr>
                <w:rPr>
                  <w:rFonts w:ascii="Cambria Math" w:hAnsi="Cambria Math"/>
                  <w:sz w:val="28"/>
                  <w:szCs w:val="24"/>
                </w:rPr>
              </m:ctrlPr>
            </m:sSupPr>
            <m:e>
              <m:r>
                <w:rPr>
                  <w:rFonts w:ascii="Cambria Math" w:hAnsi="Cambria Math"/>
                  <w:sz w:val="28"/>
                  <w:szCs w:val="24"/>
                </w:rPr>
                <m:t>e</m:t>
              </m:r>
            </m:e>
            <m:sup>
              <m:d>
                <m:dPr>
                  <m:begChr m:val="["/>
                  <m:endChr m:val="]"/>
                  <m:ctrlPr>
                    <w:rPr>
                      <w:rFonts w:ascii="Cambria Math" w:hAnsi="Cambria Math"/>
                      <w:sz w:val="28"/>
                      <w:szCs w:val="24"/>
                    </w:rPr>
                  </m:ctrlPr>
                </m:dPr>
                <m:e>
                  <m:r>
                    <m:rPr>
                      <m:sty m:val="p"/>
                    </m:rPr>
                    <w:rPr>
                      <w:rFonts w:ascii="Cambria Math" w:hAnsi="Cambria Math"/>
                      <w:sz w:val="28"/>
                      <w:szCs w:val="24"/>
                    </w:rPr>
                    <m:t>-</m:t>
                  </m:r>
                  <m:r>
                    <w:rPr>
                      <w:rFonts w:ascii="Cambria Math" w:hAnsi="Cambria Math"/>
                      <w:sz w:val="28"/>
                      <w:szCs w:val="24"/>
                    </w:rPr>
                    <m:t>0.71878</m:t>
                  </m:r>
                  <m:r>
                    <m:rPr>
                      <m:sty m:val="p"/>
                    </m:rPr>
                    <w:rPr>
                      <w:rFonts w:ascii="Cambria Math" w:hAnsi="Cambria Math"/>
                      <w:sz w:val="28"/>
                      <w:szCs w:val="24"/>
                    </w:rPr>
                    <m:t>×</m:t>
                  </m:r>
                  <m:sSup>
                    <m:sSupPr>
                      <m:ctrlPr>
                        <w:rPr>
                          <w:rFonts w:ascii="Cambria Math" w:hAnsi="Cambria Math"/>
                          <w:sz w:val="28"/>
                          <w:szCs w:val="24"/>
                        </w:rPr>
                      </m:ctrlPr>
                    </m:sSupPr>
                    <m:e>
                      <m:d>
                        <m:dPr>
                          <m:ctrlPr>
                            <w:rPr>
                              <w:rFonts w:ascii="Cambria Math" w:hAnsi="Cambria Math"/>
                              <w:sz w:val="28"/>
                              <w:szCs w:val="24"/>
                            </w:rPr>
                          </m:ctrlPr>
                        </m:dPr>
                        <m:e>
                          <m:f>
                            <m:fPr>
                              <m:ctrlPr>
                                <w:rPr>
                                  <w:rFonts w:ascii="Cambria Math" w:hAnsi="Cambria Math"/>
                                  <w:sz w:val="28"/>
                                  <w:szCs w:val="24"/>
                                </w:rPr>
                              </m:ctrlPr>
                            </m:fPr>
                            <m:num>
                              <m:r>
                                <w:rPr>
                                  <w:rFonts w:ascii="Cambria Math" w:hAnsi="Cambria Math"/>
                                  <w:sz w:val="28"/>
                                  <w:szCs w:val="24"/>
                                </w:rPr>
                                <m:t>L</m:t>
                              </m:r>
                            </m:num>
                            <m:den>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est</m:t>
                                  </m:r>
                                </m:sub>
                              </m:sSub>
                            </m:den>
                          </m:f>
                        </m:e>
                      </m:d>
                    </m:e>
                    <m:sup>
                      <m:r>
                        <w:rPr>
                          <w:rFonts w:ascii="Cambria Math" w:hAnsi="Cambria Math"/>
                          <w:sz w:val="28"/>
                          <w:szCs w:val="24"/>
                        </w:rPr>
                        <m:t>0.80151</m:t>
                      </m:r>
                    </m:sup>
                  </m:sSup>
                </m:e>
              </m:d>
            </m:sup>
          </m:sSup>
        </m:oMath>
      </m:oMathPara>
    </w:p>
    <w:p w14:paraId="13BB1FA3" w14:textId="3C79EE9F" w:rsidR="00D6415B" w:rsidRPr="006C583D" w:rsidRDefault="00D6415B" w:rsidP="00722B46">
      <w:pPr>
        <w:jc w:val="center"/>
        <w:rPr>
          <w:rFonts w:ascii="Arial" w:hAnsi="Arial"/>
          <w:sz w:val="22"/>
        </w:rPr>
      </w:pPr>
    </w:p>
    <w:p w14:paraId="0CB96258" w14:textId="77777777" w:rsidR="00D6415B" w:rsidRPr="006C583D" w:rsidRDefault="00D6415B" w:rsidP="00D6415B">
      <w:pPr>
        <w:jc w:val="both"/>
        <w:rPr>
          <w:rFonts w:ascii="Arial" w:hAnsi="Arial"/>
          <w:sz w:val="22"/>
        </w:rPr>
      </w:pPr>
    </w:p>
    <w:p w14:paraId="3EFE914D" w14:textId="77777777" w:rsidR="00D6415B" w:rsidRPr="006C583D" w:rsidRDefault="00D6415B" w:rsidP="00D6415B">
      <w:pPr>
        <w:jc w:val="both"/>
        <w:rPr>
          <w:rFonts w:ascii="Arial" w:hAnsi="Arial"/>
          <w:sz w:val="22"/>
        </w:rPr>
      </w:pPr>
      <w:r w:rsidRPr="006C583D">
        <w:rPr>
          <w:rFonts w:ascii="Arial" w:hAnsi="Arial"/>
          <w:sz w:val="22"/>
        </w:rPr>
        <w:t>The correction factor for the radius for relative stiffness AF</w:t>
      </w:r>
      <w:r w:rsidRPr="006C583D">
        <w:rPr>
          <w:rFonts w:ascii="Arial" w:hAnsi="Arial"/>
          <w:sz w:val="22"/>
          <w:vertAlign w:val="subscript"/>
        </w:rPr>
        <w:t>l</w:t>
      </w:r>
      <w:r w:rsidRPr="006C583D">
        <w:rPr>
          <w:rFonts w:ascii="Arial" w:hAnsi="Arial"/>
          <w:sz w:val="22"/>
        </w:rPr>
        <w:t>, for both rigid and composite pavements is the following equation:</w:t>
      </w:r>
    </w:p>
    <w:p w14:paraId="47190DD0" w14:textId="77777777" w:rsidR="00D6415B" w:rsidRPr="006C583D" w:rsidRDefault="00D6415B" w:rsidP="00D6415B">
      <w:pPr>
        <w:jc w:val="both"/>
        <w:rPr>
          <w:rFonts w:ascii="Arial" w:hAnsi="Arial"/>
          <w:sz w:val="22"/>
        </w:rPr>
      </w:pPr>
    </w:p>
    <w:p w14:paraId="01818614" w14:textId="77777777" w:rsidR="00CE0957" w:rsidRPr="00CE0957" w:rsidRDefault="00CE0957" w:rsidP="00CE0957">
      <w:pPr>
        <w:pStyle w:val="BodyText"/>
        <w:rPr>
          <w:sz w:val="28"/>
          <w:szCs w:val="24"/>
        </w:rPr>
      </w:pPr>
      <m:oMathPara>
        <m:oMathParaPr>
          <m:jc m:val="center"/>
        </m:oMathParaPr>
        <m:oMath>
          <m:r>
            <w:rPr>
              <w:rFonts w:ascii="Cambria Math" w:hAnsi="Cambria Math"/>
              <w:sz w:val="28"/>
              <w:szCs w:val="24"/>
            </w:rPr>
            <m:t>A</m:t>
          </m:r>
          <m:sSub>
            <m:sSubPr>
              <m:ctrlPr>
                <w:rPr>
                  <w:rFonts w:ascii="Cambria Math" w:hAnsi="Cambria Math"/>
                  <w:sz w:val="28"/>
                  <w:szCs w:val="24"/>
                </w:rPr>
              </m:ctrlPr>
            </m:sSubPr>
            <m:e>
              <m:r>
                <w:rPr>
                  <w:rFonts w:ascii="Cambria Math" w:hAnsi="Cambria Math"/>
                  <w:sz w:val="28"/>
                  <w:szCs w:val="24"/>
                </w:rPr>
                <m:t>F</m:t>
              </m:r>
            </m:e>
            <m:sub>
              <m:r>
                <w:rPr>
                  <w:rFonts w:ascii="Cambria Math" w:hAnsi="Cambria Math"/>
                  <w:sz w:val="28"/>
                  <w:szCs w:val="24"/>
                </w:rPr>
                <m:t>l</m:t>
              </m:r>
            </m:sub>
          </m:sSub>
          <m:r>
            <m:rPr>
              <m:sty m:val="p"/>
            </m:rPr>
            <w:rPr>
              <w:rFonts w:ascii="Cambria Math" w:hAnsi="Cambria Math"/>
              <w:sz w:val="28"/>
              <w:szCs w:val="24"/>
            </w:rPr>
            <m:t>=</m:t>
          </m:r>
          <m:r>
            <w:rPr>
              <w:rFonts w:ascii="Cambria Math" w:hAnsi="Cambria Math"/>
              <w:sz w:val="28"/>
              <w:szCs w:val="24"/>
            </w:rPr>
            <m:t>1</m:t>
          </m:r>
          <m:r>
            <m:rPr>
              <m:sty m:val="p"/>
            </m:rPr>
            <w:rPr>
              <w:rFonts w:ascii="Cambria Math" w:hAnsi="Cambria Math"/>
              <w:sz w:val="28"/>
              <w:szCs w:val="24"/>
            </w:rPr>
            <m:t>-</m:t>
          </m:r>
          <m:r>
            <w:rPr>
              <w:rFonts w:ascii="Cambria Math" w:hAnsi="Cambria Math"/>
              <w:sz w:val="28"/>
              <w:szCs w:val="24"/>
            </w:rPr>
            <m:t>10.89434</m:t>
          </m:r>
          <m:r>
            <m:rPr>
              <m:sty m:val="p"/>
            </m:rPr>
            <w:rPr>
              <w:rFonts w:ascii="Cambria Math" w:hAnsi="Cambria Math"/>
              <w:sz w:val="28"/>
              <w:szCs w:val="24"/>
            </w:rPr>
            <m:t>×</m:t>
          </m:r>
          <m:sSup>
            <m:sSupPr>
              <m:ctrlPr>
                <w:rPr>
                  <w:rFonts w:ascii="Cambria Math" w:hAnsi="Cambria Math"/>
                  <w:sz w:val="28"/>
                  <w:szCs w:val="24"/>
                </w:rPr>
              </m:ctrlPr>
            </m:sSupPr>
            <m:e>
              <m:r>
                <w:rPr>
                  <w:rFonts w:ascii="Cambria Math" w:hAnsi="Cambria Math"/>
                  <w:sz w:val="28"/>
                  <w:szCs w:val="24"/>
                </w:rPr>
                <m:t>e</m:t>
              </m:r>
            </m:e>
            <m:sup>
              <m:d>
                <m:dPr>
                  <m:begChr m:val="["/>
                  <m:endChr m:val="]"/>
                  <m:ctrlPr>
                    <w:rPr>
                      <w:rFonts w:ascii="Cambria Math" w:hAnsi="Cambria Math"/>
                      <w:sz w:val="28"/>
                      <w:szCs w:val="24"/>
                    </w:rPr>
                  </m:ctrlPr>
                </m:dPr>
                <m:e>
                  <m:r>
                    <m:rPr>
                      <m:sty m:val="p"/>
                    </m:rPr>
                    <w:rPr>
                      <w:rFonts w:ascii="Cambria Math" w:hAnsi="Cambria Math"/>
                      <w:sz w:val="28"/>
                      <w:szCs w:val="24"/>
                    </w:rPr>
                    <m:t>-</m:t>
                  </m:r>
                  <m:r>
                    <w:rPr>
                      <w:rFonts w:ascii="Cambria Math" w:hAnsi="Cambria Math"/>
                      <w:sz w:val="28"/>
                      <w:szCs w:val="24"/>
                    </w:rPr>
                    <m:t>0.61662</m:t>
                  </m:r>
                  <m:r>
                    <m:rPr>
                      <m:sty m:val="p"/>
                    </m:rPr>
                    <w:rPr>
                      <w:rFonts w:ascii="Cambria Math" w:hAnsi="Cambria Math"/>
                      <w:sz w:val="28"/>
                      <w:szCs w:val="24"/>
                    </w:rPr>
                    <m:t>×</m:t>
                  </m:r>
                  <m:sSup>
                    <m:sSupPr>
                      <m:ctrlPr>
                        <w:rPr>
                          <w:rFonts w:ascii="Cambria Math" w:hAnsi="Cambria Math"/>
                          <w:sz w:val="28"/>
                          <w:szCs w:val="24"/>
                        </w:rPr>
                      </m:ctrlPr>
                    </m:sSupPr>
                    <m:e>
                      <m:d>
                        <m:dPr>
                          <m:ctrlPr>
                            <w:rPr>
                              <w:rFonts w:ascii="Cambria Math" w:hAnsi="Cambria Math"/>
                              <w:sz w:val="28"/>
                              <w:szCs w:val="24"/>
                            </w:rPr>
                          </m:ctrlPr>
                        </m:dPr>
                        <m:e>
                          <m:f>
                            <m:fPr>
                              <m:ctrlPr>
                                <w:rPr>
                                  <w:rFonts w:ascii="Cambria Math" w:hAnsi="Cambria Math"/>
                                  <w:sz w:val="28"/>
                                  <w:szCs w:val="24"/>
                                </w:rPr>
                              </m:ctrlPr>
                            </m:fPr>
                            <m:num>
                              <m:r>
                                <w:rPr>
                                  <w:rFonts w:ascii="Cambria Math" w:hAnsi="Cambria Math"/>
                                  <w:sz w:val="28"/>
                                  <w:szCs w:val="24"/>
                                </w:rPr>
                                <m:t>L</m:t>
                              </m:r>
                            </m:num>
                            <m:den>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est</m:t>
                                  </m:r>
                                </m:sub>
                              </m:sSub>
                            </m:den>
                          </m:f>
                        </m:e>
                      </m:d>
                    </m:e>
                    <m:sup>
                      <m:r>
                        <w:rPr>
                          <w:rFonts w:ascii="Cambria Math" w:hAnsi="Cambria Math"/>
                          <w:sz w:val="28"/>
                          <w:szCs w:val="24"/>
                        </w:rPr>
                        <m:t>1.04831</m:t>
                      </m:r>
                    </m:sup>
                  </m:sSup>
                </m:e>
              </m:d>
            </m:sup>
          </m:sSup>
        </m:oMath>
      </m:oMathPara>
    </w:p>
    <w:p w14:paraId="0A1BC490" w14:textId="39365F63" w:rsidR="00D6415B" w:rsidRPr="006C583D" w:rsidRDefault="00D6415B" w:rsidP="00722B46">
      <w:pPr>
        <w:jc w:val="center"/>
        <w:rPr>
          <w:rFonts w:ascii="Arial" w:hAnsi="Arial"/>
          <w:sz w:val="22"/>
        </w:rPr>
      </w:pPr>
    </w:p>
    <w:p w14:paraId="6650878D" w14:textId="77777777" w:rsidR="00D6415B" w:rsidRPr="006C583D" w:rsidRDefault="00D6415B" w:rsidP="00D6415B">
      <w:pPr>
        <w:jc w:val="both"/>
        <w:rPr>
          <w:rFonts w:ascii="Arial" w:hAnsi="Arial"/>
          <w:sz w:val="22"/>
        </w:rPr>
      </w:pPr>
    </w:p>
    <w:p w14:paraId="3A6D11C0" w14:textId="77777777" w:rsidR="00D6415B" w:rsidRPr="006C583D" w:rsidRDefault="00D6415B" w:rsidP="00D6415B">
      <w:pPr>
        <w:jc w:val="both"/>
        <w:rPr>
          <w:rFonts w:ascii="Arial" w:hAnsi="Arial"/>
          <w:sz w:val="22"/>
        </w:rPr>
      </w:pPr>
      <w:r w:rsidRPr="006C583D">
        <w:rPr>
          <w:rFonts w:ascii="Arial" w:hAnsi="Arial"/>
          <w:sz w:val="22"/>
        </w:rPr>
        <w:t xml:space="preserve">The dynamic modulus of subgrade reaction, </w:t>
      </w:r>
      <w:r w:rsidRPr="006C583D">
        <w:rPr>
          <w:rFonts w:ascii="Arial" w:hAnsi="Arial"/>
          <w:b/>
          <w:sz w:val="22"/>
        </w:rPr>
        <w:t>k</w:t>
      </w:r>
      <w:r w:rsidRPr="006C583D">
        <w:rPr>
          <w:rFonts w:ascii="Arial" w:hAnsi="Arial"/>
          <w:sz w:val="22"/>
        </w:rPr>
        <w:t>, for both composite and rigid pavements, corrected for slab size, is the following equation:</w:t>
      </w:r>
    </w:p>
    <w:p w14:paraId="3BC0A661" w14:textId="77777777" w:rsidR="00D6415B" w:rsidRPr="006C583D" w:rsidRDefault="00D6415B" w:rsidP="00D6415B">
      <w:pPr>
        <w:jc w:val="both"/>
        <w:rPr>
          <w:rFonts w:ascii="Arial" w:hAnsi="Arial"/>
          <w:sz w:val="22"/>
        </w:rPr>
      </w:pPr>
    </w:p>
    <w:p w14:paraId="79DED877" w14:textId="77777777" w:rsidR="00CE0957" w:rsidRPr="00CE0957" w:rsidRDefault="00CE0957" w:rsidP="00CE0957">
      <w:pPr>
        <w:pStyle w:val="BodyText"/>
        <w:rPr>
          <w:sz w:val="28"/>
          <w:szCs w:val="24"/>
        </w:rPr>
      </w:pPr>
      <m:oMathPara>
        <m:oMathParaPr>
          <m:jc m:val="center"/>
        </m:oMathParaPr>
        <m:oMath>
          <m:r>
            <w:rPr>
              <w:rFonts w:ascii="Cambria Math" w:hAnsi="Cambria Math"/>
              <w:sz w:val="28"/>
              <w:szCs w:val="24"/>
            </w:rPr>
            <m:t>k</m:t>
          </m:r>
          <m:r>
            <m:rPr>
              <m:sty m:val="p"/>
            </m:rPr>
            <w:rPr>
              <w:rFonts w:ascii="Cambria Math" w:hAnsi="Cambria Math"/>
              <w:sz w:val="28"/>
              <w:szCs w:val="24"/>
            </w:rPr>
            <m:t>=</m:t>
          </m:r>
          <m:f>
            <m:fPr>
              <m:ctrlPr>
                <w:rPr>
                  <w:rFonts w:ascii="Cambria Math" w:hAnsi="Cambria Math"/>
                  <w:sz w:val="28"/>
                  <w:szCs w:val="24"/>
                </w:rPr>
              </m:ctrlPr>
            </m:fPr>
            <m:num>
              <m:sSub>
                <m:sSubPr>
                  <m:ctrlPr>
                    <w:rPr>
                      <w:rFonts w:ascii="Cambria Math" w:hAnsi="Cambria Math"/>
                      <w:sz w:val="28"/>
                      <w:szCs w:val="24"/>
                    </w:rPr>
                  </m:ctrlPr>
                </m:sSubPr>
                <m:e>
                  <m:r>
                    <w:rPr>
                      <w:rFonts w:ascii="Cambria Math" w:hAnsi="Cambria Math"/>
                      <w:sz w:val="28"/>
                      <w:szCs w:val="24"/>
                    </w:rPr>
                    <m:t>k</m:t>
                  </m:r>
                </m:e>
                <m:sub>
                  <m:r>
                    <w:rPr>
                      <w:rFonts w:ascii="Cambria Math" w:hAnsi="Cambria Math"/>
                      <w:sz w:val="28"/>
                      <w:szCs w:val="24"/>
                    </w:rPr>
                    <m:t>est</m:t>
                  </m:r>
                </m:sub>
              </m:sSub>
            </m:num>
            <m:den>
              <m:r>
                <w:rPr>
                  <w:rFonts w:ascii="Cambria Math" w:hAnsi="Cambria Math"/>
                  <w:sz w:val="28"/>
                  <w:szCs w:val="24"/>
                </w:rPr>
                <m:t>A</m:t>
              </m:r>
              <m:sSubSup>
                <m:sSubSupPr>
                  <m:ctrlPr>
                    <w:rPr>
                      <w:rFonts w:ascii="Cambria Math" w:hAnsi="Cambria Math"/>
                      <w:sz w:val="28"/>
                      <w:szCs w:val="24"/>
                    </w:rPr>
                  </m:ctrlPr>
                </m:sSubSupPr>
                <m:e>
                  <m:r>
                    <w:rPr>
                      <w:rFonts w:ascii="Cambria Math" w:hAnsi="Cambria Math"/>
                      <w:sz w:val="28"/>
                      <w:szCs w:val="24"/>
                    </w:rPr>
                    <m:t>F</m:t>
                  </m:r>
                </m:e>
                <m:sub>
                  <m:r>
                    <w:rPr>
                      <w:rFonts w:ascii="Cambria Math" w:hAnsi="Cambria Math"/>
                      <w:sz w:val="28"/>
                      <w:szCs w:val="24"/>
                    </w:rPr>
                    <m:t>l</m:t>
                  </m:r>
                </m:sub>
                <m:sup>
                  <m:r>
                    <w:rPr>
                      <w:rFonts w:ascii="Cambria Math" w:hAnsi="Cambria Math"/>
                      <w:sz w:val="28"/>
                      <w:szCs w:val="24"/>
                    </w:rPr>
                    <m:t>2</m:t>
                  </m:r>
                </m:sup>
              </m:sSubSup>
              <m:r>
                <m:rPr>
                  <m:sty m:val="p"/>
                </m:rPr>
                <w:rPr>
                  <w:rFonts w:ascii="Cambria Math" w:hAnsi="Cambria Math"/>
                  <w:sz w:val="28"/>
                  <w:szCs w:val="24"/>
                </w:rPr>
                <m:t>×</m:t>
              </m:r>
              <m:r>
                <w:rPr>
                  <w:rFonts w:ascii="Cambria Math" w:hAnsi="Cambria Math"/>
                  <w:sz w:val="28"/>
                  <w:szCs w:val="24"/>
                </w:rPr>
                <m:t>A</m:t>
              </m:r>
              <m:sSub>
                <m:sSubPr>
                  <m:ctrlPr>
                    <w:rPr>
                      <w:rFonts w:ascii="Cambria Math" w:hAnsi="Cambria Math"/>
                      <w:sz w:val="28"/>
                      <w:szCs w:val="24"/>
                    </w:rPr>
                  </m:ctrlPr>
                </m:sSubPr>
                <m:e>
                  <m:r>
                    <w:rPr>
                      <w:rFonts w:ascii="Cambria Math" w:hAnsi="Cambria Math"/>
                      <w:sz w:val="28"/>
                      <w:szCs w:val="24"/>
                    </w:rPr>
                    <m:t>F</m:t>
                  </m:r>
                </m:e>
                <m:sub>
                  <m:sSub>
                    <m:sSubPr>
                      <m:ctrlPr>
                        <w:rPr>
                          <w:rFonts w:ascii="Cambria Math" w:hAnsi="Cambria Math"/>
                          <w:sz w:val="28"/>
                          <w:szCs w:val="24"/>
                        </w:rPr>
                      </m:ctrlPr>
                    </m:sSubPr>
                    <m:e>
                      <m:r>
                        <w:rPr>
                          <w:rFonts w:ascii="Cambria Math" w:hAnsi="Cambria Math"/>
                          <w:sz w:val="28"/>
                          <w:szCs w:val="24"/>
                        </w:rPr>
                        <m:t>d</m:t>
                      </m:r>
                    </m:e>
                    <m:sub>
                      <m:r>
                        <w:rPr>
                          <w:rFonts w:ascii="Cambria Math" w:hAnsi="Cambria Math"/>
                          <w:sz w:val="28"/>
                          <w:szCs w:val="24"/>
                        </w:rPr>
                        <m:t>o</m:t>
                      </m:r>
                    </m:sub>
                  </m:sSub>
                </m:sub>
              </m:sSub>
            </m:den>
          </m:f>
        </m:oMath>
      </m:oMathPara>
    </w:p>
    <w:p w14:paraId="04C9EF54" w14:textId="77777777" w:rsidR="00D6415B" w:rsidRPr="006C583D" w:rsidRDefault="00D6415B" w:rsidP="00D6415B">
      <w:pPr>
        <w:jc w:val="both"/>
        <w:rPr>
          <w:rFonts w:ascii="Arial" w:hAnsi="Arial"/>
          <w:sz w:val="22"/>
        </w:rPr>
      </w:pPr>
    </w:p>
    <w:p w14:paraId="51EF1739" w14:textId="7940B3F7" w:rsidR="00D6415B" w:rsidRPr="00E67246" w:rsidRDefault="00D6415B" w:rsidP="00D6415B">
      <w:pPr>
        <w:jc w:val="both"/>
        <w:rPr>
          <w:rFonts w:ascii="Arial" w:hAnsi="Arial"/>
          <w:sz w:val="22"/>
        </w:rPr>
      </w:pPr>
      <w:r w:rsidRPr="006C583D">
        <w:rPr>
          <w:rFonts w:ascii="Arial" w:hAnsi="Arial"/>
          <w:sz w:val="22"/>
        </w:rPr>
        <w:lastRenderedPageBreak/>
        <w:t xml:space="preserve">Using the FWD data and performing a backcalculation analysis to obtain the modulus of subgrade reaction provides a result based on a </w:t>
      </w:r>
      <w:r w:rsidRPr="006C583D">
        <w:rPr>
          <w:rFonts w:ascii="Arial" w:hAnsi="Arial"/>
          <w:b/>
          <w:sz w:val="22"/>
        </w:rPr>
        <w:t>dynamic</w:t>
      </w:r>
      <w:r w:rsidRPr="006C583D">
        <w:rPr>
          <w:rFonts w:ascii="Arial" w:hAnsi="Arial"/>
          <w:sz w:val="22"/>
        </w:rPr>
        <w:t xml:space="preserve"> load applied in the field.  All AASHTO design equations were based on static loads applied in a laboratory.  Therefore, to obtain a modulus of subgrade reaction design value for pavement design, the results obtained from backcalculation analysis must be corrected.  Use the following equation </w:t>
      </w:r>
      <w:r w:rsidRPr="00E67246">
        <w:rPr>
          <w:rFonts w:ascii="Arial" w:hAnsi="Arial"/>
          <w:sz w:val="22"/>
        </w:rPr>
        <w:t>to determine the design modulus of subgrade reaction (</w:t>
      </w:r>
      <w:r w:rsidRPr="00E67246">
        <w:rPr>
          <w:rFonts w:ascii="Arial" w:hAnsi="Arial"/>
          <w:b/>
          <w:sz w:val="22"/>
        </w:rPr>
        <w:t>k</w:t>
      </w:r>
      <w:r w:rsidRPr="00E67246">
        <w:rPr>
          <w:rFonts w:ascii="Arial" w:hAnsi="Arial"/>
          <w:b/>
          <w:sz w:val="22"/>
          <w:vertAlign w:val="subscript"/>
        </w:rPr>
        <w:t>design</w:t>
      </w:r>
      <w:r w:rsidRPr="00E67246">
        <w:rPr>
          <w:rFonts w:ascii="Arial" w:hAnsi="Arial"/>
          <w:sz w:val="22"/>
        </w:rPr>
        <w:t>)</w:t>
      </w:r>
      <w:r w:rsidR="005D15DA">
        <w:rPr>
          <w:rFonts w:ascii="Arial" w:hAnsi="Arial"/>
          <w:sz w:val="22"/>
        </w:rPr>
        <w:t>:</w:t>
      </w:r>
      <w:r w:rsidRPr="00E67246">
        <w:rPr>
          <w:rFonts w:ascii="Arial" w:hAnsi="Arial"/>
          <w:sz w:val="22"/>
        </w:rPr>
        <w:t xml:space="preserve">   </w:t>
      </w:r>
    </w:p>
    <w:p w14:paraId="5C5AB7E7" w14:textId="77777777" w:rsidR="00D6415B" w:rsidRPr="00E67246" w:rsidRDefault="00D6415B" w:rsidP="00D6415B">
      <w:pPr>
        <w:jc w:val="both"/>
        <w:rPr>
          <w:rFonts w:ascii="Arial" w:hAnsi="Arial"/>
          <w:sz w:val="22"/>
        </w:rPr>
      </w:pPr>
    </w:p>
    <w:p w14:paraId="35956479" w14:textId="77777777" w:rsidR="00CE0957" w:rsidRPr="00CE0957" w:rsidRDefault="00000000" w:rsidP="00CE0957">
      <w:pPr>
        <w:pStyle w:val="BodyText"/>
        <w:rPr>
          <w:sz w:val="28"/>
          <w:szCs w:val="24"/>
        </w:rPr>
      </w:pPr>
      <m:oMathPara>
        <m:oMathParaPr>
          <m:jc m:val="center"/>
        </m:oMathParaPr>
        <m:oMath>
          <m:sSub>
            <m:sSubPr>
              <m:ctrlPr>
                <w:rPr>
                  <w:rFonts w:ascii="Cambria Math" w:hAnsi="Cambria Math"/>
                  <w:sz w:val="28"/>
                  <w:szCs w:val="24"/>
                </w:rPr>
              </m:ctrlPr>
            </m:sSubPr>
            <m:e>
              <m:r>
                <w:rPr>
                  <w:rFonts w:ascii="Cambria Math" w:hAnsi="Cambria Math"/>
                  <w:sz w:val="28"/>
                  <w:szCs w:val="24"/>
                </w:rPr>
                <m:t>k</m:t>
              </m:r>
            </m:e>
            <m:sub>
              <m:r>
                <w:rPr>
                  <w:rFonts w:ascii="Cambria Math" w:hAnsi="Cambria Math"/>
                  <w:sz w:val="28"/>
                  <w:szCs w:val="24"/>
                </w:rPr>
                <m:t>design</m:t>
              </m:r>
            </m:sub>
          </m:sSub>
          <m:r>
            <m:rPr>
              <m:sty m:val="p"/>
            </m:rPr>
            <w:rPr>
              <w:rFonts w:ascii="Cambria Math" w:hAnsi="Cambria Math"/>
              <w:sz w:val="28"/>
              <w:szCs w:val="24"/>
            </w:rPr>
            <m:t>=</m:t>
          </m:r>
          <m:f>
            <m:fPr>
              <m:ctrlPr>
                <w:rPr>
                  <w:rFonts w:ascii="Cambria Math" w:hAnsi="Cambria Math"/>
                  <w:sz w:val="28"/>
                  <w:szCs w:val="24"/>
                </w:rPr>
              </m:ctrlPr>
            </m:fPr>
            <m:num>
              <m:sSub>
                <m:sSubPr>
                  <m:ctrlPr>
                    <w:rPr>
                      <w:rFonts w:ascii="Cambria Math" w:hAnsi="Cambria Math"/>
                      <w:sz w:val="28"/>
                      <w:szCs w:val="24"/>
                    </w:rPr>
                  </m:ctrlPr>
                </m:sSubPr>
                <m:e>
                  <m:r>
                    <w:rPr>
                      <w:rFonts w:ascii="Cambria Math" w:hAnsi="Cambria Math"/>
                      <w:sz w:val="28"/>
                      <w:szCs w:val="24"/>
                    </w:rPr>
                    <m:t>k</m:t>
                  </m:r>
                </m:e>
                <m:sub>
                  <m:r>
                    <w:rPr>
                      <w:rFonts w:ascii="Cambria Math" w:hAnsi="Cambria Math"/>
                      <w:sz w:val="28"/>
                      <w:szCs w:val="24"/>
                    </w:rPr>
                    <m:t>dynamic</m:t>
                  </m:r>
                </m:sub>
              </m:sSub>
            </m:num>
            <m:den>
              <m:r>
                <w:rPr>
                  <w:rFonts w:ascii="Cambria Math" w:hAnsi="Cambria Math"/>
                  <w:sz w:val="28"/>
                  <w:szCs w:val="24"/>
                </w:rPr>
                <m:t>2</m:t>
              </m:r>
            </m:den>
          </m:f>
        </m:oMath>
      </m:oMathPara>
    </w:p>
    <w:p w14:paraId="299464A7" w14:textId="77777777" w:rsidR="00D6415B" w:rsidRPr="00E67246" w:rsidRDefault="00D6415B" w:rsidP="00D6415B">
      <w:pPr>
        <w:jc w:val="both"/>
        <w:rPr>
          <w:rFonts w:ascii="Arial" w:hAnsi="Arial"/>
          <w:sz w:val="22"/>
        </w:rPr>
      </w:pPr>
    </w:p>
    <w:p w14:paraId="3CE6345C" w14:textId="77777777" w:rsidR="00D6415B" w:rsidRPr="00722B46" w:rsidRDefault="00D6415B" w:rsidP="00172E64">
      <w:pPr>
        <w:pStyle w:val="Heading6"/>
        <w:numPr>
          <w:ilvl w:val="5"/>
          <w:numId w:val="185"/>
        </w:numPr>
        <w:tabs>
          <w:tab w:val="left" w:pos="1800"/>
        </w:tabs>
        <w:ind w:left="0" w:firstLine="0"/>
        <w:jc w:val="both"/>
        <w:rPr>
          <w:b/>
        </w:rPr>
      </w:pPr>
      <w:smartTag w:uri="urn:schemas-microsoft-com:office:smarttags" w:element="stockticker">
        <w:r w:rsidRPr="00722B46">
          <w:rPr>
            <w:b/>
          </w:rPr>
          <w:t>PCC</w:t>
        </w:r>
      </w:smartTag>
      <w:r w:rsidRPr="00722B46">
        <w:rPr>
          <w:b/>
        </w:rPr>
        <w:t xml:space="preserve"> Elastic Modulus</w:t>
      </w:r>
    </w:p>
    <w:p w14:paraId="66737128" w14:textId="77777777" w:rsidR="00D6415B" w:rsidRPr="00E67246" w:rsidRDefault="00D6415B" w:rsidP="00D6415B">
      <w:pPr>
        <w:jc w:val="both"/>
        <w:rPr>
          <w:rFonts w:ascii="Arial" w:hAnsi="Arial"/>
          <w:sz w:val="22"/>
        </w:rPr>
      </w:pPr>
      <w:r w:rsidRPr="00E67246">
        <w:rPr>
          <w:rFonts w:ascii="Arial" w:hAnsi="Arial"/>
          <w:sz w:val="22"/>
        </w:rPr>
        <w:t xml:space="preserve">The </w:t>
      </w:r>
      <w:smartTag w:uri="urn:schemas-microsoft-com:office:smarttags" w:element="stockticker">
        <w:r w:rsidRPr="00E67246">
          <w:rPr>
            <w:rFonts w:ascii="Arial" w:hAnsi="Arial"/>
            <w:sz w:val="22"/>
          </w:rPr>
          <w:t>PCC</w:t>
        </w:r>
      </w:smartTag>
      <w:r w:rsidRPr="00E67246">
        <w:rPr>
          <w:rFonts w:ascii="Arial" w:hAnsi="Arial"/>
          <w:sz w:val="22"/>
        </w:rPr>
        <w:t xml:space="preserve"> elastic modulus is a required input for the AASHTO pavement design process.  Use the following equation to calculate </w:t>
      </w:r>
      <w:smartTag w:uri="urn:schemas-microsoft-com:office:smarttags" w:element="stockticker">
        <w:r w:rsidRPr="00E67246">
          <w:rPr>
            <w:rFonts w:ascii="Arial" w:hAnsi="Arial"/>
            <w:sz w:val="22"/>
          </w:rPr>
          <w:t>PCC</w:t>
        </w:r>
      </w:smartTag>
      <w:r w:rsidRPr="00E67246">
        <w:rPr>
          <w:rFonts w:ascii="Arial" w:hAnsi="Arial"/>
          <w:sz w:val="22"/>
        </w:rPr>
        <w:t xml:space="preserve"> elastic modulus:</w:t>
      </w:r>
    </w:p>
    <w:p w14:paraId="75C8ED29" w14:textId="77777777" w:rsidR="00D6415B" w:rsidRPr="00E67246" w:rsidRDefault="00D6415B" w:rsidP="00D6415B">
      <w:pPr>
        <w:jc w:val="both"/>
        <w:rPr>
          <w:rFonts w:ascii="Arial" w:hAnsi="Arial"/>
          <w:sz w:val="22"/>
        </w:rPr>
      </w:pPr>
    </w:p>
    <w:p w14:paraId="7553A784" w14:textId="77777777" w:rsidR="00CE0957" w:rsidRPr="00CE0957" w:rsidRDefault="00000000" w:rsidP="00CE0957">
      <w:pPr>
        <w:pStyle w:val="BodyText"/>
        <w:rPr>
          <w:sz w:val="28"/>
          <w:szCs w:val="24"/>
        </w:rPr>
      </w:pPr>
      <m:oMathPara>
        <m:oMathParaPr>
          <m:jc m:val="center"/>
        </m:oMathParaPr>
        <m:oMath>
          <m:sSub>
            <m:sSubPr>
              <m:ctrlPr>
                <w:rPr>
                  <w:rFonts w:ascii="Cambria Math" w:hAnsi="Cambria Math"/>
                  <w:sz w:val="28"/>
                  <w:szCs w:val="24"/>
                </w:rPr>
              </m:ctrlPr>
            </m:sSubPr>
            <m:e>
              <m:r>
                <w:rPr>
                  <w:rFonts w:ascii="Cambria Math" w:hAnsi="Cambria Math"/>
                  <w:sz w:val="28"/>
                  <w:szCs w:val="24"/>
                </w:rPr>
                <m:t>E</m:t>
              </m:r>
            </m:e>
            <m:sub>
              <m:r>
                <w:rPr>
                  <w:rFonts w:ascii="Cambria Math" w:hAnsi="Cambria Math"/>
                  <w:sz w:val="28"/>
                  <w:szCs w:val="24"/>
                </w:rPr>
                <m:t>pcc</m:t>
              </m:r>
            </m:sub>
          </m:sSub>
          <m:r>
            <m:rPr>
              <m:sty m:val="p"/>
            </m:rPr>
            <w:rPr>
              <w:rFonts w:ascii="Cambria Math" w:hAnsi="Cambria Math"/>
              <w:sz w:val="28"/>
              <w:szCs w:val="24"/>
            </w:rPr>
            <m:t>=</m:t>
          </m:r>
          <m:f>
            <m:fPr>
              <m:ctrlPr>
                <w:rPr>
                  <w:rFonts w:ascii="Cambria Math" w:hAnsi="Cambria Math"/>
                  <w:sz w:val="28"/>
                  <w:szCs w:val="24"/>
                </w:rPr>
              </m:ctrlPr>
            </m:fPr>
            <m:num>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est</m:t>
                  </m:r>
                </m:sub>
              </m:sSub>
              <m:r>
                <m:rPr>
                  <m:sty m:val="p"/>
                </m:rPr>
                <w:rPr>
                  <w:rFonts w:ascii="Cambria Math" w:hAnsi="Cambria Math"/>
                  <w:sz w:val="28"/>
                  <w:szCs w:val="24"/>
                </w:rPr>
                <m:t>*</m:t>
              </m:r>
              <m:d>
                <m:dPr>
                  <m:ctrlPr>
                    <w:rPr>
                      <w:rFonts w:ascii="Cambria Math" w:hAnsi="Cambria Math"/>
                      <w:sz w:val="28"/>
                      <w:szCs w:val="24"/>
                    </w:rPr>
                  </m:ctrlPr>
                </m:dPr>
                <m:e>
                  <m:r>
                    <w:rPr>
                      <w:rFonts w:ascii="Cambria Math" w:hAnsi="Cambria Math"/>
                      <w:sz w:val="28"/>
                      <w:szCs w:val="24"/>
                    </w:rPr>
                    <m:t>12</m:t>
                  </m:r>
                  <m:r>
                    <m:rPr>
                      <m:sty m:val="p"/>
                    </m:rPr>
                    <w:rPr>
                      <w:rFonts w:ascii="Cambria Math" w:hAnsi="Cambria Math"/>
                      <w:sz w:val="28"/>
                      <w:szCs w:val="24"/>
                    </w:rPr>
                    <m:t>*</m:t>
                  </m:r>
                  <m:d>
                    <m:dPr>
                      <m:ctrlPr>
                        <w:rPr>
                          <w:rFonts w:ascii="Cambria Math" w:hAnsi="Cambria Math"/>
                          <w:sz w:val="28"/>
                          <w:szCs w:val="24"/>
                        </w:rPr>
                      </m:ctrlPr>
                    </m:dPr>
                    <m:e>
                      <m:r>
                        <w:rPr>
                          <w:rFonts w:ascii="Cambria Math" w:hAnsi="Cambria Math"/>
                          <w:sz w:val="28"/>
                          <w:szCs w:val="24"/>
                        </w:rPr>
                        <m:t>1</m:t>
                      </m:r>
                      <m:r>
                        <m:rPr>
                          <m:sty m:val="p"/>
                        </m:rPr>
                        <w:rPr>
                          <w:rFonts w:ascii="Cambria Math" w:hAnsi="Cambria Math"/>
                          <w:sz w:val="28"/>
                          <w:szCs w:val="24"/>
                        </w:rPr>
                        <m:t>-</m:t>
                      </m:r>
                      <m:sSup>
                        <m:sSupPr>
                          <m:ctrlPr>
                            <w:rPr>
                              <w:rFonts w:ascii="Cambria Math" w:hAnsi="Cambria Math"/>
                              <w:sz w:val="28"/>
                              <w:szCs w:val="24"/>
                            </w:rPr>
                          </m:ctrlPr>
                        </m:sSupPr>
                        <m:e>
                          <m:r>
                            <w:rPr>
                              <w:rFonts w:ascii="Cambria Math" w:hAnsi="Cambria Math"/>
                              <w:sz w:val="28"/>
                              <w:szCs w:val="24"/>
                            </w:rPr>
                            <m:t>0.15</m:t>
                          </m:r>
                        </m:e>
                        <m:sup>
                          <m:r>
                            <w:rPr>
                              <w:rFonts w:ascii="Cambria Math" w:hAnsi="Cambria Math"/>
                              <w:sz w:val="28"/>
                              <w:szCs w:val="24"/>
                            </w:rPr>
                            <m:t>2</m:t>
                          </m:r>
                        </m:sup>
                      </m:sSup>
                    </m:e>
                  </m:d>
                  <m:r>
                    <m:rPr>
                      <m:sty m:val="p"/>
                    </m:rPr>
                    <w:rPr>
                      <w:rFonts w:ascii="Cambria Math" w:hAnsi="Cambria Math"/>
                      <w:sz w:val="28"/>
                      <w:szCs w:val="24"/>
                    </w:rPr>
                    <m:t>*</m:t>
                  </m:r>
                  <m:sSub>
                    <m:sSubPr>
                      <m:ctrlPr>
                        <w:rPr>
                          <w:rFonts w:ascii="Cambria Math" w:hAnsi="Cambria Math"/>
                          <w:sz w:val="28"/>
                          <w:szCs w:val="24"/>
                        </w:rPr>
                      </m:ctrlPr>
                    </m:sSubPr>
                    <m:e>
                      <m:r>
                        <w:rPr>
                          <w:rFonts w:ascii="Cambria Math" w:hAnsi="Cambria Math"/>
                          <w:sz w:val="28"/>
                          <w:szCs w:val="24"/>
                        </w:rPr>
                        <m:t>k</m:t>
                      </m:r>
                    </m:e>
                    <m:sub>
                      <m:r>
                        <w:rPr>
                          <w:rFonts w:ascii="Cambria Math" w:hAnsi="Cambria Math"/>
                          <w:sz w:val="28"/>
                          <w:szCs w:val="24"/>
                        </w:rPr>
                        <m:t>dynamic</m:t>
                      </m:r>
                    </m:sub>
                  </m:sSub>
                </m:e>
              </m:d>
            </m:num>
            <m:den>
              <m:r>
                <w:rPr>
                  <w:rFonts w:ascii="Cambria Math" w:hAnsi="Cambria Math"/>
                  <w:sz w:val="28"/>
                  <w:szCs w:val="24"/>
                </w:rPr>
                <m:t>PC</m:t>
              </m:r>
              <m:sSup>
                <m:sSupPr>
                  <m:ctrlPr>
                    <w:rPr>
                      <w:rFonts w:ascii="Cambria Math" w:hAnsi="Cambria Math"/>
                      <w:sz w:val="28"/>
                      <w:szCs w:val="24"/>
                    </w:rPr>
                  </m:ctrlPr>
                </m:sSupPr>
                <m:e>
                  <m:r>
                    <w:rPr>
                      <w:rFonts w:ascii="Cambria Math" w:hAnsi="Cambria Math"/>
                      <w:sz w:val="28"/>
                      <w:szCs w:val="24"/>
                    </w:rPr>
                    <m:t>C</m:t>
                  </m:r>
                </m:e>
                <m:sup>
                  <m:r>
                    <w:rPr>
                      <w:rFonts w:ascii="Cambria Math" w:hAnsi="Cambria Math"/>
                      <w:sz w:val="28"/>
                      <w:szCs w:val="24"/>
                    </w:rPr>
                    <m:t>3</m:t>
                  </m:r>
                </m:sup>
              </m:sSup>
            </m:den>
          </m:f>
        </m:oMath>
      </m:oMathPara>
    </w:p>
    <w:p w14:paraId="383F31BC" w14:textId="38CC3C31" w:rsidR="00D6415B" w:rsidRPr="00E67246" w:rsidRDefault="00D6415B" w:rsidP="00722B46">
      <w:pPr>
        <w:jc w:val="center"/>
        <w:rPr>
          <w:rFonts w:ascii="Arial" w:hAnsi="Arial"/>
          <w:sz w:val="22"/>
        </w:rPr>
      </w:pPr>
    </w:p>
    <w:p w14:paraId="1498CF8C" w14:textId="77777777" w:rsidR="008433FA" w:rsidRDefault="00D6415B" w:rsidP="008433FA">
      <w:pPr>
        <w:ind w:firstLine="720"/>
        <w:jc w:val="both"/>
        <w:rPr>
          <w:rFonts w:ascii="Arial" w:hAnsi="Arial"/>
          <w:sz w:val="22"/>
        </w:rPr>
      </w:pPr>
      <w:r w:rsidRPr="00E67246">
        <w:rPr>
          <w:rFonts w:ascii="Arial" w:hAnsi="Arial"/>
          <w:sz w:val="22"/>
        </w:rPr>
        <w:t xml:space="preserve">where: </w:t>
      </w:r>
      <w:r w:rsidRPr="00E67246">
        <w:rPr>
          <w:rFonts w:ascii="Arial" w:hAnsi="Arial"/>
          <w:sz w:val="22"/>
        </w:rPr>
        <w:tab/>
      </w:r>
    </w:p>
    <w:p w14:paraId="6E9F4348" w14:textId="42451220" w:rsidR="00D6415B" w:rsidRPr="00E67246" w:rsidRDefault="008433FA" w:rsidP="00722B46">
      <w:pPr>
        <w:tabs>
          <w:tab w:val="left" w:pos="1260"/>
          <w:tab w:val="left" w:pos="1800"/>
          <w:tab w:val="left" w:pos="2160"/>
        </w:tabs>
        <w:ind w:firstLine="720"/>
        <w:jc w:val="both"/>
        <w:rPr>
          <w:rFonts w:ascii="Arial" w:hAnsi="Arial"/>
          <w:sz w:val="22"/>
        </w:rPr>
      </w:pPr>
      <w:r>
        <w:rPr>
          <w:rFonts w:ascii="Arial" w:hAnsi="Arial"/>
          <w:sz w:val="22"/>
        </w:rPr>
        <w:tab/>
      </w:r>
      <w:smartTag w:uri="urn:schemas-microsoft-com:office:smarttags" w:element="stockticker">
        <w:r w:rsidR="00D6415B" w:rsidRPr="00E67246">
          <w:rPr>
            <w:rFonts w:ascii="Arial" w:hAnsi="Arial"/>
            <w:sz w:val="22"/>
          </w:rPr>
          <w:t>PCC</w:t>
        </w:r>
      </w:smartTag>
      <w:r w:rsidR="00D6415B" w:rsidRPr="00E67246">
        <w:rPr>
          <w:rFonts w:ascii="Arial" w:hAnsi="Arial"/>
          <w:sz w:val="22"/>
          <w:vertAlign w:val="subscript"/>
        </w:rPr>
        <w:t xml:space="preserve"> </w:t>
      </w:r>
      <w:r>
        <w:rPr>
          <w:rFonts w:ascii="Arial" w:hAnsi="Arial"/>
          <w:sz w:val="22"/>
          <w:vertAlign w:val="subscript"/>
        </w:rPr>
        <w:tab/>
      </w:r>
      <w:r w:rsidR="00D6415B" w:rsidRPr="00E67246">
        <w:rPr>
          <w:rFonts w:ascii="Arial" w:hAnsi="Arial"/>
          <w:sz w:val="22"/>
        </w:rPr>
        <w:t xml:space="preserve">= </w:t>
      </w:r>
      <w:r>
        <w:rPr>
          <w:rFonts w:ascii="Arial" w:hAnsi="Arial"/>
          <w:sz w:val="22"/>
        </w:rPr>
        <w:tab/>
      </w:r>
      <w:r w:rsidR="00D6415B" w:rsidRPr="00E67246">
        <w:rPr>
          <w:rFonts w:ascii="Arial" w:hAnsi="Arial"/>
          <w:sz w:val="22"/>
        </w:rPr>
        <w:t xml:space="preserve">thickness of </w:t>
      </w:r>
      <w:smartTag w:uri="urn:schemas-microsoft-com:office:smarttags" w:element="stockticker">
        <w:r w:rsidR="00D6415B" w:rsidRPr="00E67246">
          <w:rPr>
            <w:rFonts w:ascii="Arial" w:hAnsi="Arial"/>
            <w:sz w:val="22"/>
          </w:rPr>
          <w:t>PCC</w:t>
        </w:r>
      </w:smartTag>
      <w:r w:rsidR="00D6415B" w:rsidRPr="00E67246">
        <w:rPr>
          <w:rFonts w:ascii="Arial" w:hAnsi="Arial"/>
          <w:sz w:val="22"/>
        </w:rPr>
        <w:t xml:space="preserve"> slab, inches</w:t>
      </w:r>
    </w:p>
    <w:p w14:paraId="6EE51C90" w14:textId="6ED53827" w:rsidR="00D6415B" w:rsidRPr="00E67246" w:rsidRDefault="008433FA" w:rsidP="00722B46">
      <w:pPr>
        <w:tabs>
          <w:tab w:val="left" w:pos="1260"/>
          <w:tab w:val="left" w:pos="1800"/>
          <w:tab w:val="left" w:pos="2160"/>
        </w:tabs>
        <w:jc w:val="both"/>
        <w:rPr>
          <w:rFonts w:ascii="Arial" w:hAnsi="Arial"/>
          <w:sz w:val="22"/>
        </w:rPr>
      </w:pPr>
      <w:r>
        <w:rPr>
          <w:rFonts w:ascii="Arial" w:hAnsi="Arial"/>
          <w:sz w:val="22"/>
        </w:rPr>
        <w:tab/>
      </w:r>
      <w:r w:rsidR="00D6415B" w:rsidRPr="00E67246">
        <w:rPr>
          <w:rFonts w:ascii="Arial" w:hAnsi="Arial"/>
          <w:sz w:val="22"/>
        </w:rPr>
        <w:t>E</w:t>
      </w:r>
      <w:r w:rsidR="00D6415B" w:rsidRPr="00E67246">
        <w:rPr>
          <w:rFonts w:ascii="Arial" w:hAnsi="Arial"/>
          <w:sz w:val="22"/>
          <w:vertAlign w:val="subscript"/>
        </w:rPr>
        <w:t xml:space="preserve">pcc </w:t>
      </w:r>
      <w:r>
        <w:rPr>
          <w:rFonts w:ascii="Arial" w:hAnsi="Arial"/>
          <w:sz w:val="22"/>
          <w:vertAlign w:val="subscript"/>
        </w:rPr>
        <w:tab/>
      </w:r>
      <w:r w:rsidR="00D6415B" w:rsidRPr="00E67246">
        <w:rPr>
          <w:rFonts w:ascii="Arial" w:hAnsi="Arial"/>
          <w:sz w:val="22"/>
        </w:rPr>
        <w:t xml:space="preserve">= </w:t>
      </w:r>
      <w:r>
        <w:rPr>
          <w:rFonts w:ascii="Arial" w:hAnsi="Arial"/>
          <w:sz w:val="22"/>
        </w:rPr>
        <w:tab/>
      </w:r>
      <w:r w:rsidR="00D6415B" w:rsidRPr="00E67246">
        <w:rPr>
          <w:rFonts w:ascii="Arial" w:hAnsi="Arial"/>
          <w:sz w:val="22"/>
        </w:rPr>
        <w:t xml:space="preserve">Elastic modulus of </w:t>
      </w:r>
      <w:smartTag w:uri="urn:schemas-microsoft-com:office:smarttags" w:element="stockticker">
        <w:r w:rsidR="00D6415B" w:rsidRPr="00E67246">
          <w:rPr>
            <w:rFonts w:ascii="Arial" w:hAnsi="Arial"/>
            <w:sz w:val="22"/>
          </w:rPr>
          <w:t>PCC</w:t>
        </w:r>
      </w:smartTag>
      <w:r w:rsidR="00D6415B" w:rsidRPr="00E67246">
        <w:rPr>
          <w:rFonts w:ascii="Arial" w:hAnsi="Arial"/>
          <w:sz w:val="22"/>
        </w:rPr>
        <w:t xml:space="preserve"> layer, psi</w:t>
      </w:r>
    </w:p>
    <w:p w14:paraId="6685A072" w14:textId="77777777" w:rsidR="00D6415B" w:rsidRPr="00E67246" w:rsidRDefault="00D6415B" w:rsidP="00D6415B">
      <w:pPr>
        <w:ind w:left="1440"/>
        <w:jc w:val="both"/>
        <w:rPr>
          <w:rFonts w:ascii="Arial" w:hAnsi="Arial"/>
          <w:sz w:val="22"/>
        </w:rPr>
      </w:pPr>
    </w:p>
    <w:p w14:paraId="2F69110D" w14:textId="77777777" w:rsidR="00D6415B" w:rsidRPr="000E6ED6" w:rsidRDefault="00D6415B" w:rsidP="00172E64">
      <w:pPr>
        <w:pStyle w:val="Heading5"/>
        <w:numPr>
          <w:ilvl w:val="4"/>
          <w:numId w:val="185"/>
        </w:numPr>
        <w:tabs>
          <w:tab w:val="left" w:pos="1800"/>
        </w:tabs>
        <w:ind w:left="0" w:firstLine="0"/>
        <w:jc w:val="both"/>
      </w:pPr>
      <w:r w:rsidRPr="000E6ED6">
        <w:t>Backcalculation Software</w:t>
      </w:r>
    </w:p>
    <w:p w14:paraId="6CBFFF2E" w14:textId="7C2E65A4" w:rsidR="00D6415B" w:rsidRPr="000E6ED6" w:rsidRDefault="00D6415B" w:rsidP="00D6415B">
      <w:pPr>
        <w:pStyle w:val="BodyText"/>
        <w:jc w:val="both"/>
      </w:pPr>
      <w:r w:rsidRPr="000E6ED6">
        <w:t xml:space="preserve">There are several backcalculation software applications available on the market today.  </w:t>
      </w:r>
      <w:r w:rsidR="008C7023">
        <w:t>MDOT-SHA</w:t>
      </w:r>
      <w:r w:rsidRPr="000E6ED6">
        <w:t xml:space="preserve"> uses the backcalculation algorithms in the D</w:t>
      </w:r>
      <w:r>
        <w:t>eflexus</w:t>
      </w:r>
      <w:r w:rsidRPr="000E6ED6">
        <w:t xml:space="preserve"> software, which </w:t>
      </w:r>
      <w:r w:rsidR="008433FA">
        <w:t>are</w:t>
      </w:r>
      <w:r w:rsidR="008433FA" w:rsidRPr="000E6ED6">
        <w:t xml:space="preserve"> </w:t>
      </w:r>
      <w:r w:rsidRPr="000E6ED6">
        <w:t xml:space="preserve">based on the AASHTO deflection analysis procedures.  Most of these procedures have been documented in this section earlier and can be replicated by hand without the assistance of a software application.  The AASHTO deflection analysis procedures do not produce individual pavement layer moduli for flexible pavement, only a composite modulus for all layers.  Other software applications are required if individual pavement layer strengths are desired.  </w:t>
      </w:r>
    </w:p>
    <w:p w14:paraId="1CAD714A" w14:textId="77777777" w:rsidR="00D6415B" w:rsidRPr="000E6ED6" w:rsidRDefault="00D6415B" w:rsidP="00D6415B">
      <w:pPr>
        <w:jc w:val="both"/>
        <w:rPr>
          <w:rFonts w:ascii="Arial" w:hAnsi="Arial"/>
        </w:rPr>
      </w:pPr>
      <w:r w:rsidRPr="000E6ED6">
        <w:rPr>
          <w:rFonts w:ascii="Arial" w:hAnsi="Arial"/>
        </w:rPr>
        <w:t xml:space="preserve">   </w:t>
      </w:r>
    </w:p>
    <w:p w14:paraId="44DFD4D0" w14:textId="77777777" w:rsidR="00D6415B" w:rsidRPr="003C3CD4" w:rsidRDefault="00D6415B" w:rsidP="00172E64">
      <w:pPr>
        <w:pStyle w:val="Heading4"/>
        <w:numPr>
          <w:ilvl w:val="3"/>
          <w:numId w:val="185"/>
        </w:numPr>
        <w:tabs>
          <w:tab w:val="clear" w:pos="1080"/>
          <w:tab w:val="left" w:pos="1800"/>
        </w:tabs>
        <w:ind w:left="0" w:firstLine="0"/>
        <w:jc w:val="both"/>
        <w:rPr>
          <w:sz w:val="22"/>
          <w:szCs w:val="22"/>
        </w:rPr>
      </w:pPr>
      <w:r w:rsidRPr="003C3CD4">
        <w:rPr>
          <w:sz w:val="22"/>
          <w:szCs w:val="22"/>
        </w:rPr>
        <w:t>Quality Control of FWD Analysis</w:t>
      </w:r>
    </w:p>
    <w:p w14:paraId="59F3FA7D" w14:textId="613DEF4D" w:rsidR="00D6415B" w:rsidRDefault="00D6415B" w:rsidP="00D6415B">
      <w:pPr>
        <w:pStyle w:val="BodyText"/>
        <w:jc w:val="both"/>
      </w:pPr>
      <w:r w:rsidRPr="000E6ED6">
        <w:t xml:space="preserve">In the same manner </w:t>
      </w:r>
      <w:r w:rsidR="008433FA">
        <w:t xml:space="preserve">that </w:t>
      </w:r>
      <w:r w:rsidRPr="000E6ED6">
        <w:t>the data collected during deflection testing need</w:t>
      </w:r>
      <w:r w:rsidR="008433FA">
        <w:t>s</w:t>
      </w:r>
      <w:r w:rsidRPr="000E6ED6">
        <w:t xml:space="preserve"> to be controlled for quality to ensure accurate pavement design recommendations, so do the results of the backcalculation analysis.  FWD deflection analysis produces estimates of subgrade strengths, composite layer modulus (all layers), individual layer moduli, load transfer, void detection, </w:t>
      </w:r>
      <w:r w:rsidR="00FC48DD" w:rsidRPr="000E6ED6">
        <w:t>etc.</w:t>
      </w:r>
      <w:r w:rsidR="008433FA">
        <w:t>,</w:t>
      </w:r>
      <w:r w:rsidRPr="000E6ED6">
        <w:t xml:space="preserve"> all of which need to be verified for logical and reasonable results.  </w:t>
      </w:r>
    </w:p>
    <w:p w14:paraId="7FDD7FD2" w14:textId="20124C78" w:rsidR="00D6415B" w:rsidRPr="000E6ED6" w:rsidRDefault="00D6415B" w:rsidP="00D6415B">
      <w:pPr>
        <w:pStyle w:val="BodyText"/>
        <w:jc w:val="both"/>
      </w:pPr>
      <w:r w:rsidRPr="000E6ED6">
        <w:t xml:space="preserve">This sub-section describes the steps needed to check the FWD deflection analysis for backcalculation errors, data reasonableness, and quality.  The following headings should be viewed as the general steps needed to control the quality of the FWD deflection analysis.  </w:t>
      </w:r>
    </w:p>
    <w:p w14:paraId="6F7DA980" w14:textId="77777777" w:rsidR="00D6415B" w:rsidRPr="000E6ED6" w:rsidRDefault="00D6415B" w:rsidP="00D6415B">
      <w:pPr>
        <w:jc w:val="both"/>
        <w:rPr>
          <w:rFonts w:ascii="Arial" w:hAnsi="Arial"/>
        </w:rPr>
      </w:pPr>
    </w:p>
    <w:p w14:paraId="42DC8A69" w14:textId="77777777" w:rsidR="00D6415B" w:rsidRPr="00E67246" w:rsidRDefault="00D6415B" w:rsidP="00172E64">
      <w:pPr>
        <w:pStyle w:val="Heading5"/>
        <w:numPr>
          <w:ilvl w:val="4"/>
          <w:numId w:val="185"/>
        </w:numPr>
        <w:tabs>
          <w:tab w:val="left" w:pos="1800"/>
        </w:tabs>
        <w:ind w:left="0" w:firstLine="0"/>
        <w:jc w:val="both"/>
      </w:pPr>
      <w:bookmarkStart w:id="1285" w:name="_Reasonable_Layer_Modulus"/>
      <w:bookmarkEnd w:id="1285"/>
      <w:r w:rsidRPr="00E67246">
        <w:t xml:space="preserve">Reasonable </w:t>
      </w:r>
      <w:smartTag w:uri="urn:schemas-microsoft-com:office:smarttags" w:element="place">
        <w:smartTag w:uri="urn:schemas-microsoft-com:office:smarttags" w:element="PlaceName">
          <w:r w:rsidRPr="00E67246">
            <w:t>Layer</w:t>
          </w:r>
        </w:smartTag>
        <w:r w:rsidRPr="00E67246">
          <w:t xml:space="preserve"> </w:t>
        </w:r>
        <w:smartTag w:uri="urn:schemas-microsoft-com:office:smarttags" w:element="PlaceName">
          <w:r w:rsidRPr="00E67246">
            <w:t>Modulus</w:t>
          </w:r>
        </w:smartTag>
        <w:r w:rsidRPr="00E67246">
          <w:t xml:space="preserve"> </w:t>
        </w:r>
        <w:smartTag w:uri="urn:schemas-microsoft-com:office:smarttags" w:element="PlaceType">
          <w:r w:rsidRPr="00E67246">
            <w:t>Range</w:t>
          </w:r>
        </w:smartTag>
      </w:smartTag>
    </w:p>
    <w:p w14:paraId="21B6C22D" w14:textId="296D69B6" w:rsidR="00D6415B" w:rsidRPr="00E67246" w:rsidRDefault="00D6415B" w:rsidP="00D6415B">
      <w:pPr>
        <w:pStyle w:val="BodyText"/>
        <w:jc w:val="both"/>
      </w:pPr>
      <w:r w:rsidRPr="00E67246">
        <w:t xml:space="preserve">The results produced from backcalculation analysis need to be reasonable for the type of material under investigation.  The Material Properties section of the Material Library, </w:t>
      </w:r>
      <w:hyperlink w:anchor="_Material_Properties" w:history="1">
        <w:r w:rsidRPr="00E67246">
          <w:rPr>
            <w:rStyle w:val="Hyperlink"/>
          </w:rPr>
          <w:t>Material Properties</w:t>
        </w:r>
      </w:hyperlink>
      <w:r w:rsidRPr="00E67246">
        <w:t xml:space="preserve">, of this pavement design guide should be used to determine the reasonable strength range for pavement materials used by </w:t>
      </w:r>
      <w:r w:rsidR="008C7023">
        <w:t>MDOT-SHA</w:t>
      </w:r>
      <w:r w:rsidRPr="00E67246">
        <w:t xml:space="preserve">.  In addition, these </w:t>
      </w:r>
      <w:r w:rsidRPr="00E67246">
        <w:lastRenderedPageBreak/>
        <w:t xml:space="preserve">ranges should be used to confirm the reasonableness of analysis results involving the combining </w:t>
      </w:r>
      <w:r>
        <w:t xml:space="preserve">of </w:t>
      </w:r>
      <w:r w:rsidRPr="00E67246">
        <w:t>several pavement layer materials into one value, i.e.</w:t>
      </w:r>
      <w:r w:rsidR="008433FA">
        <w:t>,</w:t>
      </w:r>
      <w:r w:rsidRPr="00E67246">
        <w:t xml:space="preserve"> composite modulus.  </w:t>
      </w:r>
    </w:p>
    <w:p w14:paraId="7A8C4EDC" w14:textId="77777777" w:rsidR="00D6415B" w:rsidRPr="003C3CD4" w:rsidRDefault="00D6415B" w:rsidP="00172E64">
      <w:pPr>
        <w:pStyle w:val="Heading4"/>
        <w:numPr>
          <w:ilvl w:val="3"/>
          <w:numId w:val="185"/>
        </w:numPr>
        <w:tabs>
          <w:tab w:val="clear" w:pos="1080"/>
          <w:tab w:val="left" w:pos="1800"/>
        </w:tabs>
        <w:ind w:left="0" w:firstLine="0"/>
        <w:jc w:val="both"/>
        <w:rPr>
          <w:sz w:val="22"/>
          <w:szCs w:val="22"/>
        </w:rPr>
      </w:pPr>
      <w:r w:rsidRPr="003C3CD4">
        <w:rPr>
          <w:sz w:val="22"/>
          <w:szCs w:val="22"/>
        </w:rPr>
        <w:t>Reporting/Plots of FWD Data Analysis Results</w:t>
      </w:r>
    </w:p>
    <w:p w14:paraId="73BA4F2C" w14:textId="77777777" w:rsidR="00D6415B" w:rsidRDefault="00D6415B" w:rsidP="00D6415B">
      <w:pPr>
        <w:pStyle w:val="BodyText"/>
        <w:jc w:val="both"/>
      </w:pPr>
      <w:r w:rsidRPr="00E67246">
        <w:t xml:space="preserve">It is beneficial to present the results of FWD data analysis in a form that can be easily interpreted and presented to others not privy to the details of FWD data analysis.  In addition, the task of formalizing the data into a presentable form will force the pavement designer to look over the data for errors and compile numerous data points into beneficial summary data results.  </w:t>
      </w:r>
    </w:p>
    <w:p w14:paraId="4D7C3190" w14:textId="77777777" w:rsidR="00D6415B" w:rsidRDefault="00D6415B" w:rsidP="00D6415B">
      <w:pPr>
        <w:jc w:val="both"/>
        <w:rPr>
          <w:rFonts w:ascii="Arial" w:hAnsi="Arial"/>
          <w:sz w:val="22"/>
        </w:rPr>
      </w:pPr>
      <w:r w:rsidRPr="00E67246">
        <w:rPr>
          <w:rFonts w:ascii="Arial" w:hAnsi="Arial"/>
          <w:sz w:val="22"/>
        </w:rPr>
        <w:t>The following material properties from FWD data analysis are beneficial and informative for flexible pavements when plotted versus station:</w:t>
      </w:r>
    </w:p>
    <w:p w14:paraId="53389C2C" w14:textId="6946B096" w:rsidR="008433FA" w:rsidRPr="00E67246" w:rsidRDefault="008433FA" w:rsidP="00D6415B">
      <w:pPr>
        <w:jc w:val="both"/>
        <w:rPr>
          <w:rFonts w:ascii="Arial" w:hAnsi="Arial"/>
          <w:sz w:val="22"/>
        </w:rPr>
      </w:pPr>
    </w:p>
    <w:p w14:paraId="30862E6A" w14:textId="57F15869" w:rsidR="00D6415B" w:rsidRPr="00E67246" w:rsidRDefault="008433FA" w:rsidP="00557A8B">
      <w:pPr>
        <w:numPr>
          <w:ilvl w:val="0"/>
          <w:numId w:val="21"/>
        </w:numPr>
        <w:ind w:left="0" w:firstLine="0"/>
        <w:jc w:val="both"/>
        <w:rPr>
          <w:rFonts w:ascii="Arial" w:hAnsi="Arial"/>
          <w:sz w:val="22"/>
        </w:rPr>
      </w:pPr>
      <w:r w:rsidRPr="00E67246">
        <w:rPr>
          <w:rFonts w:ascii="Arial" w:hAnsi="Arial"/>
          <w:sz w:val="22"/>
        </w:rPr>
        <w:t>S</w:t>
      </w:r>
      <w:r w:rsidR="00D6415B" w:rsidRPr="00E67246">
        <w:rPr>
          <w:rFonts w:ascii="Arial" w:hAnsi="Arial"/>
          <w:sz w:val="22"/>
        </w:rPr>
        <w:t>ub</w:t>
      </w:r>
      <w:r>
        <w:rPr>
          <w:rFonts w:ascii="Arial" w:hAnsi="Arial"/>
          <w:sz w:val="22"/>
        </w:rPr>
        <w:t>-</w:t>
      </w:r>
      <w:r w:rsidR="00D6415B" w:rsidRPr="00E67246">
        <w:rPr>
          <w:rFonts w:ascii="Arial" w:hAnsi="Arial"/>
          <w:sz w:val="22"/>
        </w:rPr>
        <w:t>grade resilient modulus (M</w:t>
      </w:r>
      <w:r w:rsidR="00D6415B" w:rsidRPr="00722B46">
        <w:rPr>
          <w:rFonts w:ascii="Arial" w:hAnsi="Arial"/>
          <w:sz w:val="22"/>
          <w:vertAlign w:val="subscript"/>
        </w:rPr>
        <w:t>r</w:t>
      </w:r>
      <w:r w:rsidR="00D6415B" w:rsidRPr="00E67246">
        <w:rPr>
          <w:rFonts w:ascii="Arial" w:hAnsi="Arial"/>
          <w:sz w:val="22"/>
        </w:rPr>
        <w:t>)</w:t>
      </w:r>
    </w:p>
    <w:p w14:paraId="26AF6ED4" w14:textId="17D7CF50" w:rsidR="00D6415B" w:rsidRPr="00E67246" w:rsidRDefault="008433FA" w:rsidP="00557A8B">
      <w:pPr>
        <w:numPr>
          <w:ilvl w:val="0"/>
          <w:numId w:val="21"/>
        </w:numPr>
        <w:ind w:left="0" w:firstLine="0"/>
        <w:jc w:val="both"/>
        <w:rPr>
          <w:rFonts w:ascii="Arial" w:hAnsi="Arial"/>
          <w:sz w:val="22"/>
        </w:rPr>
      </w:pPr>
      <w:r>
        <w:rPr>
          <w:rFonts w:ascii="Arial" w:hAnsi="Arial"/>
          <w:sz w:val="22"/>
        </w:rPr>
        <w:t>B</w:t>
      </w:r>
      <w:r w:rsidR="00D6415B" w:rsidRPr="00E67246">
        <w:rPr>
          <w:rFonts w:ascii="Arial" w:hAnsi="Arial"/>
          <w:sz w:val="22"/>
        </w:rPr>
        <w:t>ackcalculated individual layer modul</w:t>
      </w:r>
      <w:r>
        <w:rPr>
          <w:rFonts w:ascii="Arial" w:hAnsi="Arial"/>
          <w:sz w:val="22"/>
        </w:rPr>
        <w:t>i</w:t>
      </w:r>
    </w:p>
    <w:p w14:paraId="333B7815" w14:textId="77777777" w:rsidR="00D6415B" w:rsidRPr="00E67246" w:rsidRDefault="00D6415B" w:rsidP="00D6415B">
      <w:pPr>
        <w:jc w:val="both"/>
        <w:rPr>
          <w:rFonts w:ascii="Arial" w:hAnsi="Arial"/>
          <w:sz w:val="22"/>
        </w:rPr>
      </w:pPr>
    </w:p>
    <w:p w14:paraId="0B7A98E5" w14:textId="77777777" w:rsidR="00D6415B" w:rsidRDefault="00D6415B" w:rsidP="00D6415B">
      <w:pPr>
        <w:jc w:val="both"/>
        <w:rPr>
          <w:rFonts w:ascii="Arial" w:hAnsi="Arial"/>
          <w:sz w:val="22"/>
        </w:rPr>
      </w:pPr>
      <w:r w:rsidRPr="00E67246">
        <w:rPr>
          <w:rFonts w:ascii="Arial" w:hAnsi="Arial"/>
          <w:sz w:val="22"/>
        </w:rPr>
        <w:t>The following material properties from FWD data analysis are beneficial and informative for rigid or composite pavements when plotted versus station:</w:t>
      </w:r>
    </w:p>
    <w:p w14:paraId="3DCC2DB5" w14:textId="4D38EF9A" w:rsidR="008433FA" w:rsidRPr="00E67246" w:rsidRDefault="008433FA" w:rsidP="00D6415B">
      <w:pPr>
        <w:jc w:val="both"/>
        <w:rPr>
          <w:rFonts w:ascii="Arial" w:hAnsi="Arial"/>
          <w:sz w:val="22"/>
        </w:rPr>
      </w:pPr>
    </w:p>
    <w:p w14:paraId="794845CE" w14:textId="25D51F3D" w:rsidR="00D6415B" w:rsidRPr="00E67246" w:rsidRDefault="008433FA" w:rsidP="00557A8B">
      <w:pPr>
        <w:numPr>
          <w:ilvl w:val="0"/>
          <w:numId w:val="22"/>
        </w:numPr>
        <w:ind w:left="0" w:firstLine="0"/>
        <w:jc w:val="both"/>
        <w:rPr>
          <w:rFonts w:ascii="Arial" w:hAnsi="Arial"/>
          <w:sz w:val="22"/>
        </w:rPr>
      </w:pPr>
      <w:r>
        <w:rPr>
          <w:rFonts w:ascii="Arial" w:hAnsi="Arial"/>
          <w:sz w:val="22"/>
        </w:rPr>
        <w:t>M</w:t>
      </w:r>
      <w:r w:rsidR="00D6415B" w:rsidRPr="00E67246">
        <w:rPr>
          <w:rFonts w:ascii="Arial" w:hAnsi="Arial"/>
          <w:sz w:val="22"/>
        </w:rPr>
        <w:t>odulus of subgrade reaction, k</w:t>
      </w:r>
    </w:p>
    <w:p w14:paraId="64AAEE03" w14:textId="5FC9EDF0" w:rsidR="00D6415B" w:rsidRPr="00E67246" w:rsidRDefault="008433FA" w:rsidP="00557A8B">
      <w:pPr>
        <w:numPr>
          <w:ilvl w:val="0"/>
          <w:numId w:val="22"/>
        </w:numPr>
        <w:ind w:left="0" w:firstLine="0"/>
        <w:jc w:val="both"/>
        <w:rPr>
          <w:rFonts w:ascii="Arial" w:hAnsi="Arial"/>
          <w:sz w:val="22"/>
        </w:rPr>
      </w:pPr>
      <w:r>
        <w:rPr>
          <w:rFonts w:ascii="Arial" w:hAnsi="Arial"/>
          <w:sz w:val="22"/>
        </w:rPr>
        <w:t>S</w:t>
      </w:r>
      <w:r w:rsidR="00D6415B" w:rsidRPr="00E67246">
        <w:rPr>
          <w:rFonts w:ascii="Arial" w:hAnsi="Arial"/>
          <w:sz w:val="22"/>
        </w:rPr>
        <w:t xml:space="preserve">trength of </w:t>
      </w:r>
      <w:smartTag w:uri="urn:schemas-microsoft-com:office:smarttags" w:element="stockticker">
        <w:r w:rsidR="00D6415B" w:rsidRPr="00E67246">
          <w:rPr>
            <w:rFonts w:ascii="Arial" w:hAnsi="Arial"/>
            <w:sz w:val="22"/>
          </w:rPr>
          <w:t>PCC</w:t>
        </w:r>
      </w:smartTag>
      <w:r>
        <w:rPr>
          <w:rFonts w:ascii="Arial" w:hAnsi="Arial"/>
          <w:sz w:val="22"/>
        </w:rPr>
        <w:t xml:space="preserve"> – </w:t>
      </w:r>
      <w:r w:rsidR="00D6415B" w:rsidRPr="00E67246">
        <w:rPr>
          <w:rFonts w:ascii="Arial" w:hAnsi="Arial"/>
          <w:sz w:val="22"/>
        </w:rPr>
        <w:t xml:space="preserve">elastic modulus of </w:t>
      </w:r>
      <w:smartTag w:uri="urn:schemas-microsoft-com:office:smarttags" w:element="stockticker">
        <w:r w:rsidR="00D6415B" w:rsidRPr="00E67246">
          <w:rPr>
            <w:rFonts w:ascii="Arial" w:hAnsi="Arial"/>
            <w:sz w:val="22"/>
          </w:rPr>
          <w:t>PCC</w:t>
        </w:r>
      </w:smartTag>
      <w:r w:rsidR="00D6415B" w:rsidRPr="00E67246">
        <w:rPr>
          <w:rFonts w:ascii="Arial" w:hAnsi="Arial"/>
          <w:sz w:val="22"/>
        </w:rPr>
        <w:t xml:space="preserve"> elastic</w:t>
      </w:r>
      <w:r>
        <w:rPr>
          <w:rFonts w:ascii="Arial" w:hAnsi="Arial"/>
          <w:sz w:val="22"/>
        </w:rPr>
        <w:t xml:space="preserve"> – </w:t>
      </w:r>
      <w:r w:rsidR="00D6415B" w:rsidRPr="00E67246">
        <w:rPr>
          <w:rFonts w:ascii="Arial" w:hAnsi="Arial"/>
          <w:sz w:val="22"/>
        </w:rPr>
        <w:t>E</w:t>
      </w:r>
      <w:r w:rsidR="00D6415B" w:rsidRPr="00E67246">
        <w:rPr>
          <w:rFonts w:ascii="Arial" w:hAnsi="Arial"/>
          <w:sz w:val="22"/>
          <w:vertAlign w:val="subscript"/>
        </w:rPr>
        <w:t>pcc</w:t>
      </w:r>
    </w:p>
    <w:p w14:paraId="0C79E4CD" w14:textId="06003998" w:rsidR="00D6415B" w:rsidRPr="00E67246" w:rsidRDefault="008433FA" w:rsidP="00557A8B">
      <w:pPr>
        <w:numPr>
          <w:ilvl w:val="0"/>
          <w:numId w:val="22"/>
        </w:numPr>
        <w:ind w:left="0" w:firstLine="0"/>
        <w:jc w:val="both"/>
        <w:rPr>
          <w:rFonts w:ascii="Arial" w:hAnsi="Arial"/>
          <w:sz w:val="22"/>
        </w:rPr>
      </w:pPr>
      <w:r>
        <w:rPr>
          <w:rFonts w:ascii="Arial" w:hAnsi="Arial"/>
          <w:sz w:val="22"/>
        </w:rPr>
        <w:t>S</w:t>
      </w:r>
      <w:r w:rsidR="00D6415B" w:rsidRPr="00E67246">
        <w:rPr>
          <w:rFonts w:ascii="Arial" w:hAnsi="Arial"/>
          <w:sz w:val="22"/>
        </w:rPr>
        <w:t>trength of PCC</w:t>
      </w:r>
      <w:r>
        <w:rPr>
          <w:rFonts w:ascii="Arial" w:hAnsi="Arial"/>
          <w:sz w:val="22"/>
        </w:rPr>
        <w:t xml:space="preserve"> – </w:t>
      </w:r>
      <w:r w:rsidR="00D6415B" w:rsidRPr="00E67246">
        <w:rPr>
          <w:rFonts w:ascii="Arial" w:hAnsi="Arial"/>
          <w:sz w:val="22"/>
        </w:rPr>
        <w:t>modulus of rupture of PCC</w:t>
      </w:r>
      <w:r>
        <w:rPr>
          <w:rFonts w:ascii="Arial" w:hAnsi="Arial"/>
          <w:sz w:val="22"/>
        </w:rPr>
        <w:t xml:space="preserve"> – </w:t>
      </w:r>
      <w:r w:rsidR="00D6415B" w:rsidRPr="00E67246">
        <w:rPr>
          <w:rFonts w:ascii="Arial" w:hAnsi="Arial"/>
          <w:sz w:val="22"/>
        </w:rPr>
        <w:t>S</w:t>
      </w:r>
      <w:r>
        <w:rPr>
          <w:rFonts w:ascii="Arial" w:hAnsi="Arial"/>
          <w:sz w:val="22"/>
        </w:rPr>
        <w:t>'</w:t>
      </w:r>
      <w:r w:rsidR="00D6415B" w:rsidRPr="00E67246">
        <w:rPr>
          <w:rFonts w:ascii="Arial" w:hAnsi="Arial"/>
          <w:sz w:val="22"/>
        </w:rPr>
        <w:t>c</w:t>
      </w:r>
    </w:p>
    <w:p w14:paraId="3B4B3BAE" w14:textId="51AE2E58" w:rsidR="00D6415B" w:rsidRDefault="008433FA" w:rsidP="00557A8B">
      <w:pPr>
        <w:numPr>
          <w:ilvl w:val="0"/>
          <w:numId w:val="22"/>
        </w:numPr>
        <w:ind w:left="0" w:firstLine="0"/>
        <w:jc w:val="both"/>
        <w:rPr>
          <w:rFonts w:ascii="Arial" w:hAnsi="Arial"/>
          <w:sz w:val="22"/>
        </w:rPr>
      </w:pPr>
      <w:r>
        <w:rPr>
          <w:rFonts w:ascii="Arial" w:hAnsi="Arial"/>
          <w:sz w:val="22"/>
        </w:rPr>
        <w:t>L</w:t>
      </w:r>
      <w:r w:rsidR="00D6415B" w:rsidRPr="00E67246">
        <w:rPr>
          <w:rFonts w:ascii="Arial" w:hAnsi="Arial"/>
          <w:sz w:val="22"/>
        </w:rPr>
        <w:t xml:space="preserve">oad transfer </w:t>
      </w:r>
      <w:r w:rsidR="00D6415B">
        <w:rPr>
          <w:rFonts w:ascii="Arial" w:hAnsi="Arial"/>
          <w:sz w:val="22"/>
        </w:rPr>
        <w:t>differences</w:t>
      </w:r>
    </w:p>
    <w:p w14:paraId="503D4652" w14:textId="2234D3AA" w:rsidR="00D6415B" w:rsidRPr="00155235" w:rsidRDefault="008433FA" w:rsidP="00557A8B">
      <w:pPr>
        <w:numPr>
          <w:ilvl w:val="0"/>
          <w:numId w:val="22"/>
        </w:numPr>
        <w:ind w:left="0" w:firstLine="0"/>
        <w:jc w:val="both"/>
        <w:rPr>
          <w:rFonts w:ascii="Arial" w:hAnsi="Arial"/>
          <w:sz w:val="22"/>
        </w:rPr>
      </w:pPr>
      <w:r>
        <w:rPr>
          <w:rFonts w:ascii="Arial" w:hAnsi="Arial"/>
          <w:sz w:val="22"/>
        </w:rPr>
        <w:t>B</w:t>
      </w:r>
      <w:r w:rsidR="00D6415B" w:rsidRPr="00155235">
        <w:rPr>
          <w:rFonts w:ascii="Arial" w:hAnsi="Arial"/>
          <w:sz w:val="22"/>
        </w:rPr>
        <w:t xml:space="preserve">ackcalculated layer moduli </w:t>
      </w:r>
    </w:p>
    <w:p w14:paraId="59BF95E6" w14:textId="77777777" w:rsidR="00D6415B" w:rsidRPr="00155235" w:rsidRDefault="00D6415B" w:rsidP="00D6415B">
      <w:pPr>
        <w:jc w:val="both"/>
        <w:rPr>
          <w:rFonts w:ascii="Arial" w:hAnsi="Arial"/>
          <w:sz w:val="22"/>
        </w:rPr>
      </w:pPr>
    </w:p>
    <w:p w14:paraId="25E677CA" w14:textId="509074CF" w:rsidR="00D6415B" w:rsidRPr="00E67246" w:rsidRDefault="00D6415B" w:rsidP="00686189">
      <w:pPr>
        <w:jc w:val="both"/>
        <w:rPr>
          <w:rFonts w:ascii="Arial" w:hAnsi="Arial"/>
          <w:sz w:val="22"/>
        </w:rPr>
      </w:pPr>
      <w:r>
        <w:rPr>
          <w:rFonts w:ascii="Arial" w:hAnsi="Arial"/>
          <w:sz w:val="22"/>
        </w:rPr>
        <w:t>The following material p</w:t>
      </w:r>
      <w:r w:rsidRPr="00E67246">
        <w:rPr>
          <w:rFonts w:ascii="Arial" w:hAnsi="Arial"/>
          <w:sz w:val="22"/>
        </w:rPr>
        <w:t>roperties from FWD data analysis are beneficial and informative for flexible pavements when presented in table form and broken out into different analysis sections or segments:</w:t>
      </w:r>
      <w:r w:rsidR="00686189">
        <w:rPr>
          <w:rFonts w:ascii="Arial" w:hAnsi="Arial"/>
          <w:sz w:val="22"/>
        </w:rPr>
        <w:t xml:space="preserve"> </w:t>
      </w:r>
      <w:r w:rsidRPr="00E67246">
        <w:rPr>
          <w:rFonts w:ascii="Arial" w:hAnsi="Arial"/>
          <w:sz w:val="22"/>
        </w:rPr>
        <w:t>mean, minimum, maximum, standard deviation of M</w:t>
      </w:r>
      <w:r w:rsidRPr="00722B46">
        <w:rPr>
          <w:rFonts w:ascii="Arial" w:hAnsi="Arial"/>
          <w:sz w:val="22"/>
          <w:vertAlign w:val="subscript"/>
        </w:rPr>
        <w:t>r</w:t>
      </w:r>
      <w:r w:rsidR="008433FA">
        <w:rPr>
          <w:rFonts w:ascii="Arial" w:hAnsi="Arial"/>
          <w:sz w:val="22"/>
        </w:rPr>
        <w:t>,</w:t>
      </w:r>
      <w:r w:rsidRPr="00E67246">
        <w:rPr>
          <w:rFonts w:ascii="Arial" w:hAnsi="Arial"/>
          <w:sz w:val="22"/>
        </w:rPr>
        <w:t xml:space="preserve"> and backcalculated layer moduli. </w:t>
      </w:r>
    </w:p>
    <w:p w14:paraId="158E550E" w14:textId="77777777" w:rsidR="00D6415B" w:rsidRPr="00E67246" w:rsidRDefault="00D6415B" w:rsidP="00D6415B">
      <w:pPr>
        <w:jc w:val="both"/>
        <w:rPr>
          <w:rFonts w:ascii="Arial" w:hAnsi="Arial"/>
          <w:sz w:val="22"/>
        </w:rPr>
      </w:pPr>
    </w:p>
    <w:p w14:paraId="0FC1EE2D" w14:textId="5FA8F799" w:rsidR="00D6415B" w:rsidRPr="000E6ED6" w:rsidRDefault="00D6415B" w:rsidP="00D6415B">
      <w:pPr>
        <w:jc w:val="both"/>
        <w:rPr>
          <w:rFonts w:ascii="Arial" w:hAnsi="Arial"/>
          <w:sz w:val="22"/>
        </w:rPr>
      </w:pPr>
      <w:r w:rsidRPr="00E67246">
        <w:rPr>
          <w:rFonts w:ascii="Arial" w:hAnsi="Arial"/>
          <w:sz w:val="22"/>
        </w:rPr>
        <w:t>The following material properties from FWD data analysis are beneficial and informative for rigid or composite pavements when presented in table form and broken out into different analysis sections or segments:</w:t>
      </w:r>
      <w:r w:rsidR="00686189">
        <w:rPr>
          <w:rFonts w:ascii="Arial" w:hAnsi="Arial"/>
          <w:sz w:val="22"/>
        </w:rPr>
        <w:t xml:space="preserve"> </w:t>
      </w:r>
      <w:r w:rsidRPr="00686189">
        <w:rPr>
          <w:rFonts w:ascii="Arial" w:hAnsi="Arial"/>
          <w:sz w:val="22"/>
        </w:rPr>
        <w:t>mean, minimum, maximum, and standard deviation of k, E</w:t>
      </w:r>
      <w:r w:rsidRPr="00722B46">
        <w:rPr>
          <w:rFonts w:ascii="Arial" w:hAnsi="Arial"/>
          <w:sz w:val="22"/>
          <w:vertAlign w:val="subscript"/>
        </w:rPr>
        <w:t>pcc</w:t>
      </w:r>
      <w:r w:rsidRPr="00686189">
        <w:rPr>
          <w:rFonts w:ascii="Arial" w:hAnsi="Arial"/>
          <w:sz w:val="22"/>
        </w:rPr>
        <w:t>, S</w:t>
      </w:r>
      <w:r w:rsidR="005D15DA">
        <w:rPr>
          <w:rFonts w:ascii="Arial" w:hAnsi="Arial"/>
          <w:sz w:val="22"/>
        </w:rPr>
        <w:t>'</w:t>
      </w:r>
      <w:r w:rsidRPr="00686189">
        <w:rPr>
          <w:rFonts w:ascii="Arial" w:hAnsi="Arial"/>
          <w:sz w:val="22"/>
        </w:rPr>
        <w:t>c, and backcalculated layer moduli.</w:t>
      </w:r>
    </w:p>
    <w:p w14:paraId="1DDAE8BA" w14:textId="77777777" w:rsidR="00D6415B" w:rsidRDefault="00D6415B">
      <w:pPr>
        <w:sectPr w:rsidR="00D6415B" w:rsidSect="008B1BAA">
          <w:headerReference w:type="default" r:id="rId456"/>
          <w:footerReference w:type="default" r:id="rId457"/>
          <w:pgSz w:w="12240" w:h="15840" w:code="1"/>
          <w:pgMar w:top="1440" w:right="1800" w:bottom="1440" w:left="1800" w:header="720" w:footer="720" w:gutter="0"/>
          <w:pgNumType w:chapStyle="1"/>
          <w:cols w:space="720"/>
          <w:docGrid w:linePitch="272"/>
        </w:sectPr>
      </w:pPr>
    </w:p>
    <w:p w14:paraId="721ED9C5" w14:textId="596F1628" w:rsidR="00D007B1" w:rsidRDefault="00D007B1" w:rsidP="00172E64">
      <w:pPr>
        <w:pStyle w:val="Heading2"/>
        <w:numPr>
          <w:ilvl w:val="1"/>
          <w:numId w:val="185"/>
        </w:numPr>
        <w:spacing w:before="120"/>
        <w:ind w:left="0" w:firstLine="0"/>
      </w:pPr>
      <w:bookmarkStart w:id="1286" w:name="_New_Pavement_Design_2"/>
      <w:bookmarkStart w:id="1287" w:name="_Toc479160147"/>
      <w:bookmarkStart w:id="1288" w:name="_Toc514058034"/>
      <w:bookmarkStart w:id="1289" w:name="_Toc194932429"/>
      <w:bookmarkEnd w:id="1286"/>
      <w:smartTag w:uri="urn:schemas-microsoft-com:office:smarttags" w:element="stockticker">
        <w:r>
          <w:lastRenderedPageBreak/>
          <w:t>New</w:t>
        </w:r>
      </w:smartTag>
      <w:r>
        <w:t xml:space="preserve"> Pavement Design</w:t>
      </w:r>
      <w:r w:rsidR="00722AAC">
        <w:t xml:space="preserve"> Using AASHTO 1993</w:t>
      </w:r>
      <w:bookmarkEnd w:id="1287"/>
      <w:bookmarkEnd w:id="1288"/>
      <w:bookmarkEnd w:id="1289"/>
    </w:p>
    <w:p w14:paraId="24954F3B" w14:textId="77777777" w:rsidR="00E86920" w:rsidRDefault="00E86920" w:rsidP="00E86920">
      <w:pPr>
        <w:pStyle w:val="Heading3"/>
        <w:numPr>
          <w:ilvl w:val="0"/>
          <w:numId w:val="0"/>
        </w:numPr>
      </w:pPr>
      <w:r w:rsidRPr="00E86920">
        <w:rPr>
          <w:rFonts w:eastAsia="Arial" w:cs="Arial"/>
          <w:b w:val="0"/>
          <w:i w:val="0"/>
          <w:sz w:val="16"/>
        </w:rPr>
        <w:t>Click to go to</w:t>
      </w:r>
      <w:r>
        <w:rPr>
          <w:rFonts w:eastAsia="Arial" w:cs="Arial"/>
          <w:b w:val="0"/>
          <w:i w:val="0"/>
          <w:sz w:val="16"/>
        </w:rPr>
        <w:t xml:space="preserve"> </w:t>
      </w:r>
      <w:hyperlink w:anchor="_Pavement_Mechanistic-Empirical_Anal" w:history="1">
        <w:r w:rsidR="006B41DE" w:rsidRPr="006B41DE">
          <w:rPr>
            <w:rStyle w:val="Hyperlink"/>
            <w:rFonts w:eastAsia="Arial" w:cs="Arial"/>
            <w:b w:val="0"/>
            <w:i w:val="0"/>
            <w:sz w:val="16"/>
          </w:rPr>
          <w:t>Pavement Mechanistic-Empirical Analysis</w:t>
        </w:r>
      </w:hyperlink>
    </w:p>
    <w:p w14:paraId="0F0D5D3C" w14:textId="77777777" w:rsidR="00707989" w:rsidRPr="008F604D"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0EBE6F43" w14:textId="77777777" w:rsidR="00D007B1" w:rsidRDefault="00D007B1" w:rsidP="00172E64">
      <w:pPr>
        <w:pStyle w:val="Heading3"/>
        <w:numPr>
          <w:ilvl w:val="2"/>
          <w:numId w:val="185"/>
        </w:numPr>
        <w:ind w:left="0" w:firstLine="0"/>
      </w:pPr>
      <w:r>
        <w:t>Purpose</w:t>
      </w:r>
    </w:p>
    <w:p w14:paraId="3ABF141D" w14:textId="77777777" w:rsidR="00D007B1" w:rsidRDefault="00D007B1" w:rsidP="00D007B1">
      <w:pPr>
        <w:pStyle w:val="BodyText"/>
      </w:pPr>
      <w:r>
        <w:t>New pavement designs are conducted to:</w:t>
      </w:r>
    </w:p>
    <w:p w14:paraId="4F736DE8" w14:textId="77777777" w:rsidR="00D007B1" w:rsidRPr="000F66DA" w:rsidRDefault="00D007B1" w:rsidP="00722B46">
      <w:pPr>
        <w:numPr>
          <w:ilvl w:val="0"/>
          <w:numId w:val="24"/>
        </w:numPr>
        <w:tabs>
          <w:tab w:val="clear" w:pos="648"/>
          <w:tab w:val="num" w:pos="720"/>
          <w:tab w:val="num" w:pos="1224"/>
        </w:tabs>
        <w:ind w:left="720" w:hanging="720"/>
        <w:jc w:val="both"/>
      </w:pPr>
      <w:r w:rsidRPr="000F66DA">
        <w:rPr>
          <w:rFonts w:ascii="Arial" w:hAnsi="Arial"/>
          <w:sz w:val="22"/>
        </w:rPr>
        <w:t>Determine the future structural and functional demands of the new pavement necessary to support the expected traffic volumes</w:t>
      </w:r>
    </w:p>
    <w:p w14:paraId="1A4C412A" w14:textId="702F966D" w:rsidR="00D007B1" w:rsidRPr="000F66DA" w:rsidRDefault="00D007B1" w:rsidP="00722B46">
      <w:pPr>
        <w:numPr>
          <w:ilvl w:val="0"/>
          <w:numId w:val="24"/>
        </w:numPr>
        <w:tabs>
          <w:tab w:val="clear" w:pos="648"/>
          <w:tab w:val="num" w:pos="720"/>
          <w:tab w:val="num" w:pos="1224"/>
        </w:tabs>
        <w:ind w:left="720" w:hanging="720"/>
        <w:jc w:val="both"/>
      </w:pPr>
      <w:r w:rsidRPr="000F66DA">
        <w:rPr>
          <w:rFonts w:ascii="Arial" w:hAnsi="Arial"/>
          <w:sz w:val="22"/>
        </w:rPr>
        <w:t>Identify the material requirements to provide a structurally and functionally adequate pavement system</w:t>
      </w:r>
    </w:p>
    <w:p w14:paraId="345A2490" w14:textId="77777777" w:rsidR="00D007B1" w:rsidRDefault="00D007B1" w:rsidP="00172E64">
      <w:pPr>
        <w:pStyle w:val="Heading3"/>
        <w:numPr>
          <w:ilvl w:val="2"/>
          <w:numId w:val="185"/>
        </w:numPr>
        <w:ind w:left="0" w:firstLine="0"/>
      </w:pPr>
      <w:r>
        <w:t>Resource Requirements</w:t>
      </w:r>
    </w:p>
    <w:p w14:paraId="01398275" w14:textId="77777777" w:rsidR="00D007B1" w:rsidRDefault="00D007B1" w:rsidP="00722B46">
      <w:pPr>
        <w:pStyle w:val="BodyText"/>
        <w:spacing w:after="240"/>
        <w:jc w:val="both"/>
      </w:pPr>
      <w:r>
        <w:t>The new pavement design procedure documented below requires the following staffing needs for a typical job:</w:t>
      </w: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7"/>
        <w:gridCol w:w="2286"/>
        <w:gridCol w:w="1926"/>
        <w:gridCol w:w="1584"/>
      </w:tblGrid>
      <w:tr w:rsidR="00D007B1" w14:paraId="25EB1098" w14:textId="77777777" w:rsidTr="00722B46">
        <w:trPr>
          <w:trHeight w:val="288"/>
          <w:jc w:val="center"/>
        </w:trPr>
        <w:tc>
          <w:tcPr>
            <w:tcW w:w="2687" w:type="dxa"/>
            <w:shd w:val="pct15" w:color="auto" w:fill="FFFFFF"/>
            <w:vAlign w:val="center"/>
          </w:tcPr>
          <w:p w14:paraId="164E6353" w14:textId="77777777" w:rsidR="00D007B1" w:rsidRDefault="00D007B1" w:rsidP="00722AAC">
            <w:pPr>
              <w:jc w:val="center"/>
              <w:rPr>
                <w:rFonts w:ascii="Arial" w:hAnsi="Arial"/>
                <w:b/>
              </w:rPr>
            </w:pPr>
            <w:r>
              <w:rPr>
                <w:rFonts w:ascii="Arial" w:hAnsi="Arial"/>
                <w:b/>
              </w:rPr>
              <w:t>Position</w:t>
            </w:r>
          </w:p>
        </w:tc>
        <w:tc>
          <w:tcPr>
            <w:tcW w:w="2286" w:type="dxa"/>
            <w:shd w:val="pct15" w:color="auto" w:fill="FFFFFF"/>
            <w:vAlign w:val="center"/>
          </w:tcPr>
          <w:p w14:paraId="5845300F" w14:textId="77777777" w:rsidR="00D007B1" w:rsidRDefault="00D007B1" w:rsidP="00722AAC">
            <w:pPr>
              <w:jc w:val="center"/>
              <w:rPr>
                <w:rFonts w:ascii="Arial" w:hAnsi="Arial"/>
                <w:b/>
              </w:rPr>
            </w:pPr>
            <w:r>
              <w:rPr>
                <w:rFonts w:ascii="Arial" w:hAnsi="Arial"/>
                <w:b/>
              </w:rPr>
              <w:t>Function</w:t>
            </w:r>
          </w:p>
        </w:tc>
        <w:tc>
          <w:tcPr>
            <w:tcW w:w="1926" w:type="dxa"/>
            <w:shd w:val="pct15" w:color="auto" w:fill="FFFFFF"/>
            <w:vAlign w:val="center"/>
          </w:tcPr>
          <w:p w14:paraId="71518AAC" w14:textId="77777777" w:rsidR="00D007B1" w:rsidRDefault="00D007B1" w:rsidP="00722AAC">
            <w:pPr>
              <w:jc w:val="center"/>
              <w:rPr>
                <w:rFonts w:ascii="Arial" w:hAnsi="Arial"/>
                <w:b/>
              </w:rPr>
            </w:pPr>
            <w:r>
              <w:rPr>
                <w:rFonts w:ascii="Arial" w:hAnsi="Arial"/>
                <w:b/>
              </w:rPr>
              <w:t>Resources</w:t>
            </w:r>
          </w:p>
        </w:tc>
        <w:tc>
          <w:tcPr>
            <w:tcW w:w="1584" w:type="dxa"/>
            <w:shd w:val="pct15" w:color="auto" w:fill="FFFFFF"/>
            <w:vAlign w:val="center"/>
          </w:tcPr>
          <w:p w14:paraId="6041DB1F" w14:textId="77777777" w:rsidR="00D007B1" w:rsidRDefault="00D007B1" w:rsidP="00722AAC">
            <w:pPr>
              <w:jc w:val="center"/>
              <w:rPr>
                <w:rFonts w:ascii="Arial" w:hAnsi="Arial"/>
                <w:b/>
              </w:rPr>
            </w:pPr>
            <w:r>
              <w:rPr>
                <w:rFonts w:ascii="Arial" w:hAnsi="Arial"/>
                <w:b/>
              </w:rPr>
              <w:t>Effort Level</w:t>
            </w:r>
          </w:p>
          <w:p w14:paraId="5980312A" w14:textId="77777777" w:rsidR="00D007B1" w:rsidRDefault="00D007B1" w:rsidP="00722AAC">
            <w:pPr>
              <w:jc w:val="center"/>
              <w:rPr>
                <w:rFonts w:ascii="Arial" w:hAnsi="Arial"/>
                <w:b/>
              </w:rPr>
            </w:pPr>
            <w:r>
              <w:rPr>
                <w:rFonts w:ascii="Arial" w:hAnsi="Arial"/>
                <w:b/>
              </w:rPr>
              <w:t>(man-hours)</w:t>
            </w:r>
          </w:p>
        </w:tc>
      </w:tr>
      <w:tr w:rsidR="00D007B1" w14:paraId="023DB0F2" w14:textId="77777777" w:rsidTr="00722B46">
        <w:trPr>
          <w:trHeight w:val="288"/>
          <w:jc w:val="center"/>
        </w:trPr>
        <w:tc>
          <w:tcPr>
            <w:tcW w:w="2687" w:type="dxa"/>
            <w:vAlign w:val="center"/>
          </w:tcPr>
          <w:p w14:paraId="45E8661E" w14:textId="77777777" w:rsidR="00D007B1" w:rsidRDefault="00D007B1" w:rsidP="00722AAC">
            <w:pPr>
              <w:jc w:val="center"/>
              <w:rPr>
                <w:rFonts w:ascii="Arial" w:hAnsi="Arial"/>
                <w:sz w:val="18"/>
              </w:rPr>
            </w:pPr>
            <w:r>
              <w:rPr>
                <w:rFonts w:ascii="Arial" w:hAnsi="Arial"/>
                <w:sz w:val="18"/>
              </w:rPr>
              <w:t>Pavement Engineer</w:t>
            </w:r>
          </w:p>
        </w:tc>
        <w:tc>
          <w:tcPr>
            <w:tcW w:w="2286" w:type="dxa"/>
            <w:vAlign w:val="center"/>
          </w:tcPr>
          <w:p w14:paraId="7FA27100" w14:textId="77777777" w:rsidR="00D007B1" w:rsidRDefault="00D007B1" w:rsidP="00722AAC">
            <w:pPr>
              <w:jc w:val="center"/>
              <w:rPr>
                <w:rFonts w:ascii="Arial" w:hAnsi="Arial"/>
                <w:sz w:val="18"/>
              </w:rPr>
            </w:pPr>
            <w:r>
              <w:rPr>
                <w:rFonts w:ascii="Arial" w:hAnsi="Arial"/>
                <w:sz w:val="18"/>
              </w:rPr>
              <w:t>Records Review</w:t>
            </w:r>
          </w:p>
        </w:tc>
        <w:tc>
          <w:tcPr>
            <w:tcW w:w="1926" w:type="dxa"/>
            <w:vAlign w:val="center"/>
          </w:tcPr>
          <w:p w14:paraId="15D6009E" w14:textId="77777777" w:rsidR="00D007B1" w:rsidRDefault="00D007B1" w:rsidP="00722AAC">
            <w:pPr>
              <w:jc w:val="center"/>
              <w:rPr>
                <w:rFonts w:ascii="Arial" w:hAnsi="Arial"/>
                <w:sz w:val="18"/>
              </w:rPr>
            </w:pPr>
            <w:r>
              <w:rPr>
                <w:rFonts w:ascii="Arial" w:hAnsi="Arial"/>
                <w:sz w:val="18"/>
              </w:rPr>
              <w:t>1</w:t>
            </w:r>
          </w:p>
        </w:tc>
        <w:tc>
          <w:tcPr>
            <w:tcW w:w="1584" w:type="dxa"/>
            <w:vAlign w:val="center"/>
          </w:tcPr>
          <w:p w14:paraId="4DE26B5D" w14:textId="77777777" w:rsidR="00D007B1" w:rsidRDefault="00D007B1" w:rsidP="00722AAC">
            <w:pPr>
              <w:jc w:val="center"/>
              <w:rPr>
                <w:rFonts w:ascii="Arial" w:hAnsi="Arial"/>
                <w:sz w:val="18"/>
              </w:rPr>
            </w:pPr>
            <w:r>
              <w:rPr>
                <w:rFonts w:ascii="Arial" w:hAnsi="Arial"/>
                <w:sz w:val="18"/>
              </w:rPr>
              <w:t>4</w:t>
            </w:r>
          </w:p>
        </w:tc>
      </w:tr>
      <w:tr w:rsidR="00D007B1" w14:paraId="17CE9041" w14:textId="77777777" w:rsidTr="00722B46">
        <w:trPr>
          <w:trHeight w:val="288"/>
          <w:jc w:val="center"/>
        </w:trPr>
        <w:tc>
          <w:tcPr>
            <w:tcW w:w="2687" w:type="dxa"/>
            <w:vAlign w:val="center"/>
          </w:tcPr>
          <w:p w14:paraId="13B9E572" w14:textId="77777777" w:rsidR="00D007B1" w:rsidRDefault="00D007B1" w:rsidP="00722AAC">
            <w:pPr>
              <w:jc w:val="center"/>
              <w:rPr>
                <w:rFonts w:ascii="Arial" w:hAnsi="Arial"/>
                <w:sz w:val="18"/>
              </w:rPr>
            </w:pPr>
            <w:r>
              <w:rPr>
                <w:rFonts w:ascii="Arial" w:hAnsi="Arial"/>
                <w:sz w:val="18"/>
              </w:rPr>
              <w:t>Pavement Engineer</w:t>
            </w:r>
          </w:p>
        </w:tc>
        <w:tc>
          <w:tcPr>
            <w:tcW w:w="2286" w:type="dxa"/>
            <w:vAlign w:val="center"/>
          </w:tcPr>
          <w:p w14:paraId="5DA3FC5D" w14:textId="77777777" w:rsidR="00D007B1" w:rsidRDefault="00D007B1" w:rsidP="00722AAC">
            <w:pPr>
              <w:jc w:val="center"/>
              <w:rPr>
                <w:rFonts w:ascii="Arial" w:hAnsi="Arial"/>
                <w:sz w:val="18"/>
              </w:rPr>
            </w:pPr>
            <w:r>
              <w:rPr>
                <w:rFonts w:ascii="Arial" w:hAnsi="Arial"/>
                <w:sz w:val="18"/>
              </w:rPr>
              <w:t>Site Visit</w:t>
            </w:r>
          </w:p>
        </w:tc>
        <w:tc>
          <w:tcPr>
            <w:tcW w:w="1926" w:type="dxa"/>
            <w:vAlign w:val="center"/>
          </w:tcPr>
          <w:p w14:paraId="7715643B" w14:textId="77777777" w:rsidR="00D007B1" w:rsidRDefault="00D007B1" w:rsidP="00722AAC">
            <w:pPr>
              <w:jc w:val="center"/>
              <w:rPr>
                <w:rFonts w:ascii="Arial" w:hAnsi="Arial"/>
                <w:sz w:val="18"/>
              </w:rPr>
            </w:pPr>
            <w:r>
              <w:rPr>
                <w:rFonts w:ascii="Arial" w:hAnsi="Arial"/>
                <w:sz w:val="18"/>
              </w:rPr>
              <w:t>1</w:t>
            </w:r>
          </w:p>
        </w:tc>
        <w:tc>
          <w:tcPr>
            <w:tcW w:w="1584" w:type="dxa"/>
            <w:vAlign w:val="center"/>
          </w:tcPr>
          <w:p w14:paraId="0AB33395" w14:textId="77777777" w:rsidR="00D007B1" w:rsidRDefault="00D007B1" w:rsidP="00722AAC">
            <w:pPr>
              <w:jc w:val="center"/>
              <w:rPr>
                <w:rFonts w:ascii="Arial" w:hAnsi="Arial"/>
                <w:sz w:val="18"/>
              </w:rPr>
            </w:pPr>
            <w:r>
              <w:rPr>
                <w:rFonts w:ascii="Arial" w:hAnsi="Arial"/>
                <w:sz w:val="18"/>
              </w:rPr>
              <w:t>16</w:t>
            </w:r>
          </w:p>
        </w:tc>
      </w:tr>
      <w:tr w:rsidR="00D007B1" w14:paraId="19794E30" w14:textId="77777777" w:rsidTr="00722B46">
        <w:trPr>
          <w:trHeight w:val="288"/>
          <w:jc w:val="center"/>
        </w:trPr>
        <w:tc>
          <w:tcPr>
            <w:tcW w:w="2687" w:type="dxa"/>
            <w:vAlign w:val="center"/>
          </w:tcPr>
          <w:p w14:paraId="6A80DF22" w14:textId="77777777" w:rsidR="00D007B1" w:rsidRDefault="00D007B1" w:rsidP="00722AAC">
            <w:pPr>
              <w:jc w:val="center"/>
              <w:rPr>
                <w:rFonts w:ascii="Arial" w:hAnsi="Arial"/>
                <w:sz w:val="18"/>
              </w:rPr>
            </w:pPr>
            <w:r>
              <w:rPr>
                <w:rFonts w:ascii="Arial" w:hAnsi="Arial"/>
                <w:sz w:val="18"/>
              </w:rPr>
              <w:t>Pavement Engineer</w:t>
            </w:r>
          </w:p>
        </w:tc>
        <w:tc>
          <w:tcPr>
            <w:tcW w:w="2286" w:type="dxa"/>
            <w:vAlign w:val="center"/>
          </w:tcPr>
          <w:p w14:paraId="6CFD0D2A" w14:textId="77777777" w:rsidR="00D007B1" w:rsidRDefault="00D007B1" w:rsidP="00722AAC">
            <w:pPr>
              <w:jc w:val="center"/>
              <w:rPr>
                <w:rFonts w:ascii="Arial" w:hAnsi="Arial"/>
                <w:sz w:val="18"/>
              </w:rPr>
            </w:pPr>
            <w:r>
              <w:rPr>
                <w:rFonts w:ascii="Arial" w:hAnsi="Arial"/>
                <w:sz w:val="18"/>
              </w:rPr>
              <w:t>Data Analysis</w:t>
            </w:r>
          </w:p>
        </w:tc>
        <w:tc>
          <w:tcPr>
            <w:tcW w:w="1926" w:type="dxa"/>
            <w:vAlign w:val="center"/>
          </w:tcPr>
          <w:p w14:paraId="42EF0117" w14:textId="77777777" w:rsidR="00D007B1" w:rsidRDefault="00D007B1" w:rsidP="00722AAC">
            <w:pPr>
              <w:jc w:val="center"/>
              <w:rPr>
                <w:rFonts w:ascii="Arial" w:hAnsi="Arial"/>
                <w:sz w:val="18"/>
              </w:rPr>
            </w:pPr>
            <w:r>
              <w:rPr>
                <w:rFonts w:ascii="Arial" w:hAnsi="Arial"/>
                <w:sz w:val="18"/>
              </w:rPr>
              <w:t>1</w:t>
            </w:r>
          </w:p>
        </w:tc>
        <w:tc>
          <w:tcPr>
            <w:tcW w:w="1584" w:type="dxa"/>
            <w:vAlign w:val="center"/>
          </w:tcPr>
          <w:p w14:paraId="66099A82" w14:textId="77777777" w:rsidR="00D007B1" w:rsidRDefault="00D007B1" w:rsidP="00722AAC">
            <w:pPr>
              <w:jc w:val="center"/>
              <w:rPr>
                <w:rFonts w:ascii="Arial" w:hAnsi="Arial"/>
                <w:sz w:val="18"/>
              </w:rPr>
            </w:pPr>
            <w:r>
              <w:rPr>
                <w:rFonts w:ascii="Arial" w:hAnsi="Arial"/>
                <w:sz w:val="18"/>
              </w:rPr>
              <w:t>16</w:t>
            </w:r>
          </w:p>
        </w:tc>
      </w:tr>
      <w:tr w:rsidR="00D007B1" w14:paraId="7F540FDA" w14:textId="77777777" w:rsidTr="00722B46">
        <w:trPr>
          <w:trHeight w:val="288"/>
          <w:jc w:val="center"/>
        </w:trPr>
        <w:tc>
          <w:tcPr>
            <w:tcW w:w="2687" w:type="dxa"/>
            <w:vAlign w:val="center"/>
          </w:tcPr>
          <w:p w14:paraId="5DB93C8F" w14:textId="77777777" w:rsidR="00D007B1" w:rsidRDefault="00D007B1" w:rsidP="00722AAC">
            <w:pPr>
              <w:jc w:val="center"/>
              <w:rPr>
                <w:rFonts w:ascii="Arial" w:hAnsi="Arial"/>
                <w:sz w:val="18"/>
              </w:rPr>
            </w:pPr>
            <w:r>
              <w:rPr>
                <w:rFonts w:ascii="Arial" w:hAnsi="Arial"/>
                <w:sz w:val="18"/>
              </w:rPr>
              <w:t>Pavement Engineer</w:t>
            </w:r>
          </w:p>
        </w:tc>
        <w:tc>
          <w:tcPr>
            <w:tcW w:w="2286" w:type="dxa"/>
            <w:vAlign w:val="center"/>
          </w:tcPr>
          <w:p w14:paraId="265531D6" w14:textId="77777777" w:rsidR="00D007B1" w:rsidRDefault="00D007B1" w:rsidP="00722AAC">
            <w:pPr>
              <w:jc w:val="center"/>
              <w:rPr>
                <w:rFonts w:ascii="Arial" w:hAnsi="Arial"/>
                <w:sz w:val="18"/>
              </w:rPr>
            </w:pPr>
            <w:r>
              <w:rPr>
                <w:rFonts w:ascii="Arial" w:hAnsi="Arial"/>
                <w:sz w:val="18"/>
              </w:rPr>
              <w:t>Project Communication</w:t>
            </w:r>
          </w:p>
        </w:tc>
        <w:tc>
          <w:tcPr>
            <w:tcW w:w="1926" w:type="dxa"/>
            <w:vAlign w:val="center"/>
          </w:tcPr>
          <w:p w14:paraId="2D65AA32" w14:textId="77777777" w:rsidR="00D007B1" w:rsidRDefault="00D007B1" w:rsidP="00722AAC">
            <w:pPr>
              <w:jc w:val="center"/>
              <w:rPr>
                <w:rFonts w:ascii="Arial" w:hAnsi="Arial"/>
                <w:sz w:val="18"/>
              </w:rPr>
            </w:pPr>
            <w:r>
              <w:rPr>
                <w:rFonts w:ascii="Arial" w:hAnsi="Arial"/>
                <w:sz w:val="18"/>
              </w:rPr>
              <w:t>1</w:t>
            </w:r>
          </w:p>
        </w:tc>
        <w:tc>
          <w:tcPr>
            <w:tcW w:w="1584" w:type="dxa"/>
            <w:vAlign w:val="center"/>
          </w:tcPr>
          <w:p w14:paraId="303F16A2" w14:textId="77777777" w:rsidR="00D007B1" w:rsidRDefault="00D007B1" w:rsidP="00722AAC">
            <w:pPr>
              <w:jc w:val="center"/>
              <w:rPr>
                <w:rFonts w:ascii="Arial" w:hAnsi="Arial"/>
                <w:sz w:val="18"/>
              </w:rPr>
            </w:pPr>
            <w:r>
              <w:rPr>
                <w:rFonts w:ascii="Arial" w:hAnsi="Arial"/>
                <w:sz w:val="18"/>
              </w:rPr>
              <w:t>16</w:t>
            </w:r>
          </w:p>
        </w:tc>
      </w:tr>
      <w:tr w:rsidR="00D007B1" w14:paraId="53025B22" w14:textId="77777777" w:rsidTr="00722B46">
        <w:trPr>
          <w:trHeight w:val="288"/>
          <w:jc w:val="center"/>
        </w:trPr>
        <w:tc>
          <w:tcPr>
            <w:tcW w:w="2687" w:type="dxa"/>
            <w:vAlign w:val="center"/>
          </w:tcPr>
          <w:p w14:paraId="56F11794" w14:textId="77777777" w:rsidR="00D007B1" w:rsidRDefault="00D007B1" w:rsidP="00722AAC">
            <w:pPr>
              <w:jc w:val="center"/>
              <w:rPr>
                <w:rFonts w:ascii="Arial" w:hAnsi="Arial"/>
                <w:sz w:val="18"/>
              </w:rPr>
            </w:pPr>
            <w:r>
              <w:rPr>
                <w:rFonts w:ascii="Arial" w:hAnsi="Arial"/>
                <w:sz w:val="18"/>
              </w:rPr>
              <w:t>Pavement Engineer</w:t>
            </w:r>
          </w:p>
        </w:tc>
        <w:tc>
          <w:tcPr>
            <w:tcW w:w="2286" w:type="dxa"/>
            <w:vAlign w:val="center"/>
          </w:tcPr>
          <w:p w14:paraId="7A226C7E" w14:textId="77777777" w:rsidR="00D007B1" w:rsidRDefault="00D007B1" w:rsidP="00722AAC">
            <w:pPr>
              <w:jc w:val="center"/>
              <w:rPr>
                <w:rFonts w:ascii="Arial" w:hAnsi="Arial"/>
                <w:sz w:val="18"/>
              </w:rPr>
            </w:pPr>
            <w:r>
              <w:rPr>
                <w:rFonts w:ascii="Arial" w:hAnsi="Arial"/>
                <w:sz w:val="18"/>
              </w:rPr>
              <w:t>New Design</w:t>
            </w:r>
          </w:p>
        </w:tc>
        <w:tc>
          <w:tcPr>
            <w:tcW w:w="1926" w:type="dxa"/>
            <w:vAlign w:val="center"/>
          </w:tcPr>
          <w:p w14:paraId="15A914EA" w14:textId="77777777" w:rsidR="00D007B1" w:rsidRDefault="00D007B1" w:rsidP="00722AAC">
            <w:pPr>
              <w:jc w:val="center"/>
              <w:rPr>
                <w:rFonts w:ascii="Arial" w:hAnsi="Arial"/>
                <w:sz w:val="18"/>
              </w:rPr>
            </w:pPr>
            <w:r>
              <w:rPr>
                <w:rFonts w:ascii="Arial" w:hAnsi="Arial"/>
                <w:sz w:val="18"/>
              </w:rPr>
              <w:t>1</w:t>
            </w:r>
          </w:p>
        </w:tc>
        <w:tc>
          <w:tcPr>
            <w:tcW w:w="1584" w:type="dxa"/>
            <w:vAlign w:val="center"/>
          </w:tcPr>
          <w:p w14:paraId="1294014B" w14:textId="77777777" w:rsidR="00D007B1" w:rsidRDefault="00D007B1" w:rsidP="00722AAC">
            <w:pPr>
              <w:jc w:val="center"/>
              <w:rPr>
                <w:rFonts w:ascii="Arial" w:hAnsi="Arial"/>
                <w:sz w:val="18"/>
              </w:rPr>
            </w:pPr>
            <w:r>
              <w:rPr>
                <w:rFonts w:ascii="Arial" w:hAnsi="Arial"/>
                <w:sz w:val="18"/>
              </w:rPr>
              <w:t>8</w:t>
            </w:r>
          </w:p>
        </w:tc>
      </w:tr>
      <w:tr w:rsidR="00D007B1" w14:paraId="53D36D66" w14:textId="77777777" w:rsidTr="00722B46">
        <w:trPr>
          <w:trHeight w:val="288"/>
          <w:jc w:val="center"/>
        </w:trPr>
        <w:tc>
          <w:tcPr>
            <w:tcW w:w="2687" w:type="dxa"/>
            <w:vAlign w:val="center"/>
          </w:tcPr>
          <w:p w14:paraId="1C6F0CBB" w14:textId="77777777" w:rsidR="00D007B1" w:rsidRDefault="00D007B1" w:rsidP="00722AAC">
            <w:pPr>
              <w:jc w:val="center"/>
              <w:rPr>
                <w:rFonts w:ascii="Arial" w:hAnsi="Arial"/>
                <w:sz w:val="18"/>
              </w:rPr>
            </w:pPr>
            <w:r>
              <w:rPr>
                <w:rFonts w:ascii="Arial" w:hAnsi="Arial"/>
                <w:sz w:val="18"/>
              </w:rPr>
              <w:t>Pavement Engineer</w:t>
            </w:r>
          </w:p>
        </w:tc>
        <w:tc>
          <w:tcPr>
            <w:tcW w:w="2286" w:type="dxa"/>
            <w:vAlign w:val="center"/>
          </w:tcPr>
          <w:p w14:paraId="6B48328E" w14:textId="77777777" w:rsidR="00D007B1" w:rsidRDefault="00D007B1" w:rsidP="00722AAC">
            <w:pPr>
              <w:jc w:val="center"/>
              <w:rPr>
                <w:rFonts w:ascii="Arial" w:hAnsi="Arial"/>
                <w:sz w:val="18"/>
              </w:rPr>
            </w:pPr>
            <w:r>
              <w:rPr>
                <w:rFonts w:ascii="Arial" w:hAnsi="Arial"/>
                <w:sz w:val="18"/>
              </w:rPr>
              <w:t>Memo Development</w:t>
            </w:r>
          </w:p>
        </w:tc>
        <w:tc>
          <w:tcPr>
            <w:tcW w:w="1926" w:type="dxa"/>
            <w:vAlign w:val="center"/>
          </w:tcPr>
          <w:p w14:paraId="4BC85C82" w14:textId="77777777" w:rsidR="00D007B1" w:rsidRDefault="00D007B1" w:rsidP="00722AAC">
            <w:pPr>
              <w:jc w:val="center"/>
              <w:rPr>
                <w:rFonts w:ascii="Arial" w:hAnsi="Arial"/>
                <w:sz w:val="18"/>
              </w:rPr>
            </w:pPr>
            <w:r>
              <w:rPr>
                <w:rFonts w:ascii="Arial" w:hAnsi="Arial"/>
                <w:sz w:val="18"/>
              </w:rPr>
              <w:t>1</w:t>
            </w:r>
          </w:p>
        </w:tc>
        <w:tc>
          <w:tcPr>
            <w:tcW w:w="1584" w:type="dxa"/>
            <w:vAlign w:val="center"/>
          </w:tcPr>
          <w:p w14:paraId="6091C8DB" w14:textId="77777777" w:rsidR="00D007B1" w:rsidRDefault="00D007B1" w:rsidP="00722AAC">
            <w:pPr>
              <w:jc w:val="center"/>
              <w:rPr>
                <w:rFonts w:ascii="Arial" w:hAnsi="Arial"/>
                <w:sz w:val="18"/>
              </w:rPr>
            </w:pPr>
            <w:r>
              <w:rPr>
                <w:rFonts w:ascii="Arial" w:hAnsi="Arial"/>
                <w:sz w:val="18"/>
              </w:rPr>
              <w:t>24</w:t>
            </w:r>
          </w:p>
        </w:tc>
      </w:tr>
    </w:tbl>
    <w:p w14:paraId="5BDEDE05" w14:textId="77777777" w:rsidR="00D007B1" w:rsidRDefault="00D007B1" w:rsidP="00172E64">
      <w:pPr>
        <w:pStyle w:val="Heading3"/>
        <w:numPr>
          <w:ilvl w:val="2"/>
          <w:numId w:val="185"/>
        </w:numPr>
        <w:ind w:left="0" w:firstLine="0"/>
        <w:jc w:val="both"/>
      </w:pPr>
      <w:r>
        <w:t>Procedure</w:t>
      </w:r>
    </w:p>
    <w:p w14:paraId="0FF842F5" w14:textId="6CAAB860" w:rsidR="00B936F3" w:rsidRDefault="00D007B1" w:rsidP="00D007B1">
      <w:pPr>
        <w:pStyle w:val="BodyText"/>
        <w:jc w:val="both"/>
      </w:pPr>
      <w:r>
        <w:t xml:space="preserve">The procedure described </w:t>
      </w:r>
      <w:r w:rsidR="00CA01E8">
        <w:t>below</w:t>
      </w:r>
      <w:r>
        <w:t xml:space="preserve"> should be followed in a typical new pavement design recommendation</w:t>
      </w:r>
      <w:r w:rsidR="00B936F3">
        <w:t xml:space="preserve">, and is intended for Design-Build projects, since the MEPD software cannot be used for those projects.  For design-bid-build projects, refer to </w:t>
      </w:r>
      <w:hyperlink w:anchor="_New_Pavement_Design_3" w:history="1">
        <w:r w:rsidR="002D6703">
          <w:rPr>
            <w:rStyle w:val="Hyperlink"/>
          </w:rPr>
          <w:t>New Pavement Design</w:t>
        </w:r>
      </w:hyperlink>
      <w:r>
        <w:t xml:space="preserve">.  </w:t>
      </w:r>
    </w:p>
    <w:p w14:paraId="422D5C03" w14:textId="77777777" w:rsidR="00D007B1" w:rsidRDefault="00D007B1" w:rsidP="00D007B1">
      <w:pPr>
        <w:pStyle w:val="BodyText"/>
        <w:jc w:val="both"/>
      </w:pPr>
      <w:r>
        <w:t xml:space="preserve">Reference to specific design inputs for rehabilitation design development can be located in </w:t>
      </w:r>
      <w:hyperlink w:anchor="_Design_Input_Policies_1" w:history="1">
        <w:r w:rsidRPr="00D007B1">
          <w:rPr>
            <w:rStyle w:val="Hyperlink"/>
          </w:rPr>
          <w:t>Design Input Policies</w:t>
        </w:r>
      </w:hyperlink>
      <w:r>
        <w:t xml:space="preserve">.  Numerous steps contained in this procedure can be completed within several software applications that PAGD currently uses.  The software application tool available to PAGD that can be principally used to complete new pavement designs </w:t>
      </w:r>
      <w:r w:rsidR="00722AAC">
        <w:t>using the AASHTO 1993 procedures is DARWin</w:t>
      </w:r>
      <w:r>
        <w:t xml:space="preserve">.  The following procedure was written to provide the design engineer with adequate information to complete a new design without specific knowledge or access to computer software applications, but with the assumption that these tools were available.      </w:t>
      </w:r>
    </w:p>
    <w:p w14:paraId="612FC2F8" w14:textId="77777777" w:rsidR="00D007B1" w:rsidRDefault="00D007B1" w:rsidP="00D007B1">
      <w:pPr>
        <w:pStyle w:val="BodyText"/>
        <w:jc w:val="both"/>
      </w:pPr>
      <w:r>
        <w:t xml:space="preserve">Certain steps in the new pavement design process and other processes overlap.  It is important to keep in mind that although these processes are broken out and written in separate sections, they are a part of an overall process to provide logically and technically sound recommendations.  </w:t>
      </w:r>
    </w:p>
    <w:p w14:paraId="005782CF" w14:textId="249DADCC" w:rsidR="0078168A" w:rsidRDefault="00D007B1" w:rsidP="00D007B1">
      <w:pPr>
        <w:pStyle w:val="BodyText"/>
        <w:jc w:val="both"/>
      </w:pPr>
      <w:r>
        <w:t>In most cases, a new pavement design is completed in conjunction with a pavement rehabilitation design; i.e.</w:t>
      </w:r>
      <w:r w:rsidR="00CA01E8">
        <w:t>,</w:t>
      </w:r>
      <w:r>
        <w:t xml:space="preserve"> “widening and resurfacing.” Therefore, the new and rehabilitation design process will occur concurrently and use the same data and information.  The basic difference is that pavement rehabilitation design requires the </w:t>
      </w:r>
      <w:r>
        <w:lastRenderedPageBreak/>
        <w:t xml:space="preserve">evaluation and assessment of the existing roadway, both structurally and functionally.  New pavement design does not take into account any of the existing conditions of the pavement other than geotechnical and drainage conditions because it is a new design.  </w:t>
      </w:r>
    </w:p>
    <w:p w14:paraId="3841E317" w14:textId="77777777" w:rsidR="006C364F" w:rsidRDefault="00D007B1" w:rsidP="00D007B1">
      <w:pPr>
        <w:pStyle w:val="BodyText"/>
        <w:jc w:val="both"/>
      </w:pPr>
      <w:r>
        <w:t>It is the design engineer</w:t>
      </w:r>
      <w:r w:rsidR="0078168A">
        <w:t>’</w:t>
      </w:r>
      <w:r>
        <w:t>s responsibility to use both design processes concurrently where needed and take care to monitor that both designs are agreeable with one another for design and for construction related reasons.</w:t>
      </w:r>
    </w:p>
    <w:p w14:paraId="52B1C36C" w14:textId="77777777" w:rsidR="006C364F" w:rsidRDefault="006C364F" w:rsidP="00172E64">
      <w:pPr>
        <w:pStyle w:val="Heading4"/>
        <w:numPr>
          <w:ilvl w:val="3"/>
          <w:numId w:val="185"/>
        </w:numPr>
        <w:ind w:left="864"/>
      </w:pPr>
      <w:r>
        <w:t>Preliminary Steps</w:t>
      </w:r>
    </w:p>
    <w:p w14:paraId="69CBDDF9" w14:textId="77777777" w:rsidR="006C364F" w:rsidRPr="00D81436" w:rsidRDefault="006C364F" w:rsidP="00172E64">
      <w:pPr>
        <w:pStyle w:val="ListNumber"/>
        <w:numPr>
          <w:ilvl w:val="0"/>
          <w:numId w:val="100"/>
        </w:numPr>
        <w:tabs>
          <w:tab w:val="clear" w:pos="1872"/>
          <w:tab w:val="num" w:pos="1080"/>
        </w:tabs>
        <w:spacing w:before="240"/>
        <w:ind w:left="1080" w:hanging="1080"/>
        <w:jc w:val="both"/>
      </w:pPr>
      <w:r w:rsidRPr="00D81436">
        <w:t xml:space="preserve">Conduct the steps as detailed in </w:t>
      </w:r>
      <w:hyperlink w:anchor="_Pavement_Design_Procedures" w:history="1">
        <w:r w:rsidRPr="00D81436">
          <w:rPr>
            <w:rStyle w:val="Hyperlink"/>
          </w:rPr>
          <w:t>Preliminary Procedures</w:t>
        </w:r>
      </w:hyperlink>
      <w:r w:rsidRPr="00D81436">
        <w:t>.</w:t>
      </w:r>
    </w:p>
    <w:p w14:paraId="4D0F7731" w14:textId="77777777" w:rsidR="006C364F" w:rsidRDefault="006C364F" w:rsidP="00172E64">
      <w:pPr>
        <w:pStyle w:val="ListNumber"/>
        <w:numPr>
          <w:ilvl w:val="0"/>
          <w:numId w:val="100"/>
        </w:numPr>
        <w:tabs>
          <w:tab w:val="clear" w:pos="1872"/>
          <w:tab w:val="num" w:pos="1080"/>
        </w:tabs>
        <w:ind w:left="1080" w:hanging="1080"/>
        <w:jc w:val="both"/>
      </w:pPr>
      <w:r w:rsidRPr="00D81436">
        <w:t>Conduct the</w:t>
      </w:r>
      <w:r>
        <w:t xml:space="preserve"> steps as detailed in </w:t>
      </w:r>
      <w:hyperlink w:anchor="_Testing_&amp;_Data" w:history="1">
        <w:r w:rsidRPr="00F07917">
          <w:rPr>
            <w:rStyle w:val="Hyperlink"/>
          </w:rPr>
          <w:t>Testing &amp; Data Collection</w:t>
        </w:r>
      </w:hyperlink>
      <w:r>
        <w:t>.</w:t>
      </w:r>
    </w:p>
    <w:p w14:paraId="655C758E" w14:textId="77777777" w:rsidR="006C364F" w:rsidRDefault="006C364F" w:rsidP="00172E64">
      <w:pPr>
        <w:pStyle w:val="ListNumber"/>
        <w:numPr>
          <w:ilvl w:val="0"/>
          <w:numId w:val="100"/>
        </w:numPr>
        <w:tabs>
          <w:tab w:val="clear" w:pos="1872"/>
          <w:tab w:val="num" w:pos="1080"/>
        </w:tabs>
        <w:ind w:left="1080" w:hanging="1080"/>
        <w:jc w:val="both"/>
      </w:pPr>
      <w:r>
        <w:t xml:space="preserve">Conduct the steps as detailed in </w:t>
      </w:r>
      <w:hyperlink w:anchor="_Analysis_Procedures" w:history="1">
        <w:r w:rsidRPr="00F07917">
          <w:rPr>
            <w:rStyle w:val="Hyperlink"/>
          </w:rPr>
          <w:t>Analysis Procedures</w:t>
        </w:r>
      </w:hyperlink>
      <w:r>
        <w:t>.</w:t>
      </w:r>
    </w:p>
    <w:p w14:paraId="2716B1DD" w14:textId="74B71BA8" w:rsidR="006C364F" w:rsidRDefault="006C364F" w:rsidP="00722B46">
      <w:pPr>
        <w:pStyle w:val="ListNumber"/>
        <w:tabs>
          <w:tab w:val="clear" w:pos="720"/>
          <w:tab w:val="clear" w:pos="1872"/>
        </w:tabs>
        <w:spacing w:before="0"/>
        <w:ind w:left="1080" w:firstLine="0"/>
        <w:jc w:val="both"/>
      </w:pPr>
    </w:p>
    <w:p w14:paraId="2CB226A1" w14:textId="77777777" w:rsidR="006C364F" w:rsidRDefault="00E05969" w:rsidP="00172E64">
      <w:pPr>
        <w:pStyle w:val="Heading4"/>
        <w:numPr>
          <w:ilvl w:val="3"/>
          <w:numId w:val="185"/>
        </w:numPr>
        <w:ind w:left="864"/>
      </w:pPr>
      <w:bookmarkStart w:id="1290" w:name="_Design_Inputs"/>
      <w:bookmarkEnd w:id="1290"/>
      <w:r>
        <w:t>Design Inputs</w:t>
      </w:r>
    </w:p>
    <w:p w14:paraId="4980C2EF" w14:textId="579B3993" w:rsidR="00654992" w:rsidRDefault="00654992" w:rsidP="00654992">
      <w:r>
        <w:rPr>
          <w:rFonts w:ascii="Arial" w:eastAsia="Arial" w:hAnsi="Arial" w:cs="Arial"/>
          <w:sz w:val="16"/>
        </w:rPr>
        <w:t xml:space="preserve">Click to go to </w:t>
      </w:r>
      <w:hyperlink w:anchor="_Pavement_Preservation_and_1" w:history="1">
        <w:r w:rsidR="00A05306" w:rsidRPr="00A05306">
          <w:rPr>
            <w:rStyle w:val="Hyperlink"/>
            <w:rFonts w:ascii="Arial" w:eastAsia="Arial" w:hAnsi="Arial" w:cs="Arial"/>
            <w:sz w:val="16"/>
          </w:rPr>
          <w:t>Pavement Preservation and Rehabilitation Design Using AASHTO 1993</w:t>
        </w:r>
      </w:hyperlink>
    </w:p>
    <w:p w14:paraId="5171E76E" w14:textId="3D44F7B3" w:rsidR="00A05306" w:rsidRPr="00654992" w:rsidRDefault="00A05306" w:rsidP="00654992">
      <w:r>
        <w:rPr>
          <w:rFonts w:ascii="Arial" w:eastAsia="Arial" w:hAnsi="Arial" w:cs="Arial"/>
          <w:sz w:val="16"/>
        </w:rPr>
        <w:t xml:space="preserve">Click to go to </w:t>
      </w:r>
      <w:hyperlink w:anchor="_Concrete_Overlay_Design_1" w:history="1">
        <w:r w:rsidRPr="00E96760">
          <w:rPr>
            <w:rStyle w:val="Hyperlink"/>
            <w:rFonts w:ascii="Arial" w:eastAsia="Arial" w:hAnsi="Arial" w:cs="Arial"/>
            <w:sz w:val="16"/>
            <w:szCs w:val="16"/>
          </w:rPr>
          <w:t>Concrete Overlay Design</w:t>
        </w:r>
      </w:hyperlink>
    </w:p>
    <w:p w14:paraId="6BC3197F" w14:textId="5021263A" w:rsidR="001A15B9" w:rsidRDefault="00D007B1" w:rsidP="009B1736">
      <w:pPr>
        <w:pStyle w:val="ListNumber"/>
        <w:tabs>
          <w:tab w:val="clear" w:pos="720"/>
          <w:tab w:val="clear" w:pos="1872"/>
        </w:tabs>
        <w:ind w:left="0" w:firstLine="0"/>
        <w:jc w:val="both"/>
      </w:pPr>
      <w:r>
        <w:t>Calculate the required structural capacity (SC</w:t>
      </w:r>
      <w:r>
        <w:rPr>
          <w:vertAlign w:val="subscript"/>
        </w:rPr>
        <w:t>f</w:t>
      </w:r>
      <w:r>
        <w:t>)</w:t>
      </w:r>
      <w:r>
        <w:rPr>
          <w:vertAlign w:val="subscript"/>
        </w:rPr>
        <w:t xml:space="preserve"> </w:t>
      </w:r>
      <w:r>
        <w:t>for future traffic for each new pavement section. SC</w:t>
      </w:r>
      <w:r>
        <w:rPr>
          <w:vertAlign w:val="subscript"/>
        </w:rPr>
        <w:t>f</w:t>
      </w:r>
      <w:r>
        <w:t xml:space="preserve"> is obtained from Figures 3.1 and 3.7 and the nomograph equations on page II-32 and II-45 in the “AASHTO Guide for Design of Pavement Structures</w:t>
      </w:r>
      <w:r w:rsidR="00CA01E8">
        <w:t>,</w:t>
      </w:r>
      <w:r>
        <w:t>” for flexible and rigid pavement sections</w:t>
      </w:r>
      <w:r w:rsidR="00CA01E8">
        <w:t>,</w:t>
      </w:r>
      <w:r>
        <w:t xml:space="preserve"> respectively.  The following design inputs are required in order to use the nomograph or equation on pages II-32 and II-45:</w:t>
      </w:r>
    </w:p>
    <w:p w14:paraId="36B612B3" w14:textId="77777777" w:rsidR="00D007B1" w:rsidRDefault="00D007B1" w:rsidP="00A42B5F">
      <w:pPr>
        <w:pStyle w:val="ListBullet"/>
      </w:pPr>
    </w:p>
    <w:p w14:paraId="01F836B8" w14:textId="77777777" w:rsidR="00D007B1" w:rsidRPr="00722B46" w:rsidRDefault="00D007B1" w:rsidP="004C0B53">
      <w:pPr>
        <w:pStyle w:val="ListNumber"/>
        <w:numPr>
          <w:ilvl w:val="0"/>
          <w:numId w:val="4"/>
        </w:numPr>
        <w:tabs>
          <w:tab w:val="clear" w:pos="1872"/>
          <w:tab w:val="num" w:pos="2520"/>
        </w:tabs>
        <w:ind w:hanging="720"/>
        <w:jc w:val="both"/>
      </w:pPr>
      <w:r w:rsidRPr="00722B46">
        <w:t>Initial Serviceability</w:t>
      </w:r>
      <w:r w:rsidR="008C6030" w:rsidRPr="00722B46">
        <w:t>:</w:t>
      </w:r>
      <w:r w:rsidRPr="00722B46">
        <w:t xml:space="preserve"> </w:t>
      </w:r>
      <w:r w:rsidR="008C6030" w:rsidRPr="00722B46">
        <w:t>4.2</w:t>
      </w:r>
    </w:p>
    <w:p w14:paraId="2A57F495" w14:textId="77777777" w:rsidR="008C6030" w:rsidRPr="00722B46" w:rsidRDefault="00D007B1" w:rsidP="004C0B53">
      <w:pPr>
        <w:pStyle w:val="ListNumber"/>
        <w:numPr>
          <w:ilvl w:val="0"/>
          <w:numId w:val="4"/>
        </w:numPr>
        <w:tabs>
          <w:tab w:val="clear" w:pos="1872"/>
          <w:tab w:val="num" w:pos="2520"/>
        </w:tabs>
        <w:ind w:hanging="720"/>
        <w:jc w:val="both"/>
      </w:pPr>
      <w:r w:rsidRPr="00722B46">
        <w:t>Terminal Serviceability</w:t>
      </w:r>
      <w:r w:rsidR="008C6030" w:rsidRPr="00722B46">
        <w:t xml:space="preserve">: </w:t>
      </w:r>
    </w:p>
    <w:p w14:paraId="103C6FF5" w14:textId="77777777" w:rsidR="00CA01E8" w:rsidRPr="00CA01E8" w:rsidRDefault="00CA01E8" w:rsidP="00CA01E8">
      <w:pPr>
        <w:pStyle w:val="ListNumber"/>
        <w:tabs>
          <w:tab w:val="clear" w:pos="720"/>
          <w:tab w:val="clear" w:pos="1872"/>
        </w:tabs>
        <w:spacing w:before="0"/>
        <w:ind w:left="720" w:firstLine="0"/>
        <w:jc w:val="both"/>
        <w:rPr>
          <w:szCs w:val="22"/>
        </w:rPr>
      </w:pPr>
    </w:p>
    <w:tbl>
      <w:tblPr>
        <w:tblStyle w:val="TableGrid"/>
        <w:tblW w:w="0" w:type="auto"/>
        <w:tblInd w:w="805" w:type="dxa"/>
        <w:tblLook w:val="04A0" w:firstRow="1" w:lastRow="0" w:firstColumn="1" w:lastColumn="0" w:noHBand="0" w:noVBand="1"/>
      </w:tblPr>
      <w:tblGrid>
        <w:gridCol w:w="4523"/>
        <w:gridCol w:w="810"/>
      </w:tblGrid>
      <w:tr w:rsidR="008C6030" w:rsidRPr="00CA01E8" w14:paraId="2AFD3580" w14:textId="77777777" w:rsidTr="00722B46">
        <w:trPr>
          <w:trHeight w:val="360"/>
        </w:trPr>
        <w:tc>
          <w:tcPr>
            <w:tcW w:w="4523" w:type="dxa"/>
            <w:vAlign w:val="center"/>
          </w:tcPr>
          <w:p w14:paraId="0B4EB367" w14:textId="77777777" w:rsidR="008C6030" w:rsidRPr="00722B46" w:rsidRDefault="008C6030" w:rsidP="00722B46">
            <w:pPr>
              <w:pStyle w:val="ListNumber"/>
              <w:tabs>
                <w:tab w:val="clear" w:pos="720"/>
                <w:tab w:val="clear" w:pos="1872"/>
              </w:tabs>
              <w:spacing w:before="0"/>
              <w:ind w:left="0" w:firstLine="0"/>
              <w:jc w:val="both"/>
            </w:pPr>
            <w:r w:rsidRPr="00722B46">
              <w:t>Interstates</w:t>
            </w:r>
          </w:p>
        </w:tc>
        <w:tc>
          <w:tcPr>
            <w:tcW w:w="810" w:type="dxa"/>
            <w:vAlign w:val="center"/>
          </w:tcPr>
          <w:p w14:paraId="65453488" w14:textId="77777777" w:rsidR="008C6030" w:rsidRPr="00722B46" w:rsidRDefault="008C6030" w:rsidP="00722B46">
            <w:pPr>
              <w:pStyle w:val="ListNumber"/>
              <w:tabs>
                <w:tab w:val="clear" w:pos="720"/>
                <w:tab w:val="clear" w:pos="1872"/>
              </w:tabs>
              <w:spacing w:before="0"/>
              <w:ind w:left="0" w:firstLine="0"/>
              <w:jc w:val="both"/>
            </w:pPr>
            <w:r w:rsidRPr="00722B46">
              <w:t>3.0</w:t>
            </w:r>
          </w:p>
        </w:tc>
      </w:tr>
      <w:tr w:rsidR="008C6030" w:rsidRPr="00CA01E8" w14:paraId="75FE1C0D" w14:textId="77777777" w:rsidTr="00722B46">
        <w:trPr>
          <w:trHeight w:val="360"/>
        </w:trPr>
        <w:tc>
          <w:tcPr>
            <w:tcW w:w="4523" w:type="dxa"/>
            <w:vAlign w:val="center"/>
          </w:tcPr>
          <w:p w14:paraId="4EFA3F26" w14:textId="77777777" w:rsidR="008C6030" w:rsidRPr="00722B46" w:rsidRDefault="008C6030" w:rsidP="00722B46">
            <w:pPr>
              <w:pStyle w:val="ListNumber"/>
              <w:tabs>
                <w:tab w:val="clear" w:pos="720"/>
                <w:tab w:val="clear" w:pos="1872"/>
              </w:tabs>
              <w:spacing w:before="0"/>
              <w:ind w:left="0" w:firstLine="0"/>
              <w:jc w:val="both"/>
            </w:pPr>
            <w:r w:rsidRPr="00722B46">
              <w:t>Other Expressways and Principal Arterials</w:t>
            </w:r>
          </w:p>
        </w:tc>
        <w:tc>
          <w:tcPr>
            <w:tcW w:w="810" w:type="dxa"/>
            <w:vAlign w:val="center"/>
          </w:tcPr>
          <w:p w14:paraId="715571DD" w14:textId="77777777" w:rsidR="008C6030" w:rsidRPr="00722B46" w:rsidRDefault="008C6030" w:rsidP="00722B46">
            <w:pPr>
              <w:pStyle w:val="ListNumber"/>
              <w:tabs>
                <w:tab w:val="clear" w:pos="720"/>
                <w:tab w:val="clear" w:pos="1872"/>
              </w:tabs>
              <w:spacing w:before="0"/>
              <w:ind w:left="0" w:firstLine="0"/>
              <w:jc w:val="both"/>
            </w:pPr>
            <w:r w:rsidRPr="00722B46">
              <w:t>2.9</w:t>
            </w:r>
          </w:p>
        </w:tc>
      </w:tr>
      <w:tr w:rsidR="008C6030" w:rsidRPr="00CA01E8" w14:paraId="31057D09" w14:textId="77777777" w:rsidTr="00722B46">
        <w:trPr>
          <w:trHeight w:val="360"/>
        </w:trPr>
        <w:tc>
          <w:tcPr>
            <w:tcW w:w="4523" w:type="dxa"/>
            <w:vAlign w:val="center"/>
          </w:tcPr>
          <w:p w14:paraId="308706CD" w14:textId="77777777" w:rsidR="008C6030" w:rsidRPr="00722B46" w:rsidRDefault="008C6030" w:rsidP="00722B46">
            <w:pPr>
              <w:pStyle w:val="ListNumber"/>
              <w:tabs>
                <w:tab w:val="clear" w:pos="720"/>
                <w:tab w:val="clear" w:pos="1872"/>
              </w:tabs>
              <w:spacing w:before="0"/>
              <w:ind w:left="0" w:firstLine="0"/>
              <w:jc w:val="both"/>
            </w:pPr>
            <w:r w:rsidRPr="00722B46">
              <w:t>Minor Arterials</w:t>
            </w:r>
          </w:p>
        </w:tc>
        <w:tc>
          <w:tcPr>
            <w:tcW w:w="810" w:type="dxa"/>
            <w:vAlign w:val="center"/>
          </w:tcPr>
          <w:p w14:paraId="471CA57D" w14:textId="77777777" w:rsidR="008C6030" w:rsidRPr="00722B46" w:rsidRDefault="008C6030" w:rsidP="00722B46">
            <w:pPr>
              <w:pStyle w:val="ListNumber"/>
              <w:tabs>
                <w:tab w:val="clear" w:pos="720"/>
                <w:tab w:val="clear" w:pos="1872"/>
              </w:tabs>
              <w:spacing w:before="0"/>
              <w:ind w:left="0" w:firstLine="0"/>
              <w:jc w:val="both"/>
            </w:pPr>
            <w:r w:rsidRPr="00722B46">
              <w:t>2.8</w:t>
            </w:r>
          </w:p>
        </w:tc>
      </w:tr>
      <w:tr w:rsidR="008C6030" w:rsidRPr="00CA01E8" w14:paraId="2D4051E9" w14:textId="77777777" w:rsidTr="00722B46">
        <w:trPr>
          <w:trHeight w:val="360"/>
        </w:trPr>
        <w:tc>
          <w:tcPr>
            <w:tcW w:w="4523" w:type="dxa"/>
            <w:vAlign w:val="center"/>
          </w:tcPr>
          <w:p w14:paraId="3A9A86D4" w14:textId="77777777" w:rsidR="008C6030" w:rsidRPr="00722B46" w:rsidRDefault="008C6030" w:rsidP="00722B46">
            <w:pPr>
              <w:pStyle w:val="ListNumber"/>
              <w:tabs>
                <w:tab w:val="clear" w:pos="720"/>
                <w:tab w:val="clear" w:pos="1872"/>
              </w:tabs>
              <w:spacing w:before="0"/>
              <w:ind w:left="0" w:firstLine="0"/>
              <w:jc w:val="both"/>
            </w:pPr>
            <w:r w:rsidRPr="00722B46">
              <w:t>Collectors and Locals</w:t>
            </w:r>
          </w:p>
        </w:tc>
        <w:tc>
          <w:tcPr>
            <w:tcW w:w="810" w:type="dxa"/>
            <w:vAlign w:val="center"/>
          </w:tcPr>
          <w:p w14:paraId="55335492" w14:textId="77777777" w:rsidR="008C6030" w:rsidRPr="00722B46" w:rsidRDefault="008C6030" w:rsidP="00722B46">
            <w:pPr>
              <w:pStyle w:val="ListNumber"/>
              <w:tabs>
                <w:tab w:val="clear" w:pos="720"/>
                <w:tab w:val="clear" w:pos="1872"/>
              </w:tabs>
              <w:spacing w:before="0"/>
              <w:ind w:left="0" w:firstLine="0"/>
              <w:jc w:val="both"/>
            </w:pPr>
            <w:r w:rsidRPr="00722B46">
              <w:t>2.6</w:t>
            </w:r>
          </w:p>
        </w:tc>
      </w:tr>
    </w:tbl>
    <w:p w14:paraId="17932E90" w14:textId="77777777" w:rsidR="00D007B1" w:rsidRPr="004C0B53" w:rsidRDefault="00D007B1" w:rsidP="004C0B53">
      <w:pPr>
        <w:pStyle w:val="ListNumber"/>
        <w:tabs>
          <w:tab w:val="clear" w:pos="720"/>
          <w:tab w:val="clear" w:pos="1872"/>
        </w:tabs>
        <w:spacing w:before="0"/>
        <w:ind w:left="1080" w:firstLine="0"/>
        <w:jc w:val="both"/>
      </w:pPr>
    </w:p>
    <w:p w14:paraId="44073F55" w14:textId="1B85362F" w:rsidR="00A05306" w:rsidRPr="004C0B53" w:rsidRDefault="00A05306" w:rsidP="00A05306">
      <w:pPr>
        <w:pStyle w:val="ListNumber"/>
        <w:numPr>
          <w:ilvl w:val="0"/>
          <w:numId w:val="4"/>
        </w:numPr>
        <w:tabs>
          <w:tab w:val="clear" w:pos="1872"/>
          <w:tab w:val="num" w:pos="2520"/>
        </w:tabs>
        <w:ind w:hanging="720"/>
        <w:jc w:val="both"/>
      </w:pPr>
      <w:r w:rsidRPr="004C0B53">
        <w:t>Reliability</w:t>
      </w:r>
      <w:r>
        <w:t xml:space="preserve"> – Existing Pavement</w:t>
      </w:r>
      <w:r w:rsidRPr="004C0B53">
        <w:t>:</w:t>
      </w:r>
      <w:r>
        <w:t xml:space="preserve"> 50</w:t>
      </w:r>
    </w:p>
    <w:p w14:paraId="046E18C4" w14:textId="227F318B" w:rsidR="008C6030" w:rsidRPr="004C0B53" w:rsidRDefault="00D007B1" w:rsidP="004C0B53">
      <w:pPr>
        <w:pStyle w:val="ListNumber"/>
        <w:numPr>
          <w:ilvl w:val="0"/>
          <w:numId w:val="4"/>
        </w:numPr>
        <w:tabs>
          <w:tab w:val="clear" w:pos="1872"/>
          <w:tab w:val="num" w:pos="2520"/>
        </w:tabs>
        <w:ind w:hanging="720"/>
        <w:jc w:val="both"/>
      </w:pPr>
      <w:r w:rsidRPr="004C0B53">
        <w:t>Reliability</w:t>
      </w:r>
      <w:r w:rsidR="00A05306">
        <w:t xml:space="preserve"> – New Construction</w:t>
      </w:r>
      <w:r w:rsidR="008C6030" w:rsidRPr="004C0B53">
        <w:t>:</w:t>
      </w:r>
    </w:p>
    <w:p w14:paraId="1B3158F2" w14:textId="77777777" w:rsidR="00CA01E8" w:rsidRPr="00CA01E8" w:rsidRDefault="00CA01E8" w:rsidP="00CA01E8">
      <w:pPr>
        <w:pStyle w:val="ListNumber"/>
        <w:tabs>
          <w:tab w:val="clear" w:pos="720"/>
          <w:tab w:val="clear" w:pos="1872"/>
        </w:tabs>
        <w:spacing w:before="0"/>
        <w:ind w:left="720" w:firstLine="0"/>
        <w:jc w:val="both"/>
        <w:rPr>
          <w:szCs w:val="22"/>
        </w:rPr>
      </w:pPr>
    </w:p>
    <w:tbl>
      <w:tblPr>
        <w:tblStyle w:val="TableGrid"/>
        <w:tblW w:w="0" w:type="auto"/>
        <w:tblInd w:w="805" w:type="dxa"/>
        <w:tblLook w:val="04A0" w:firstRow="1" w:lastRow="0" w:firstColumn="1" w:lastColumn="0" w:noHBand="0" w:noVBand="1"/>
      </w:tblPr>
      <w:tblGrid>
        <w:gridCol w:w="4523"/>
        <w:gridCol w:w="810"/>
      </w:tblGrid>
      <w:tr w:rsidR="008C6030" w:rsidRPr="00CA01E8" w14:paraId="2367C98B" w14:textId="77777777" w:rsidTr="00722B46">
        <w:trPr>
          <w:trHeight w:val="360"/>
        </w:trPr>
        <w:tc>
          <w:tcPr>
            <w:tcW w:w="4523" w:type="dxa"/>
            <w:vAlign w:val="center"/>
          </w:tcPr>
          <w:p w14:paraId="0EB8D180" w14:textId="77777777" w:rsidR="008C6030" w:rsidRPr="00722B46" w:rsidRDefault="008C6030" w:rsidP="00722B46">
            <w:pPr>
              <w:pStyle w:val="ListNumber"/>
              <w:tabs>
                <w:tab w:val="clear" w:pos="720"/>
                <w:tab w:val="clear" w:pos="1872"/>
              </w:tabs>
              <w:spacing w:before="0"/>
              <w:ind w:left="0" w:firstLine="0"/>
              <w:jc w:val="both"/>
            </w:pPr>
            <w:r w:rsidRPr="00722B46">
              <w:t>Interstates</w:t>
            </w:r>
          </w:p>
        </w:tc>
        <w:tc>
          <w:tcPr>
            <w:tcW w:w="810" w:type="dxa"/>
            <w:vAlign w:val="center"/>
          </w:tcPr>
          <w:p w14:paraId="6349DB1D" w14:textId="77777777" w:rsidR="008C6030" w:rsidRPr="00722B46" w:rsidRDefault="008C6030" w:rsidP="00722B46">
            <w:pPr>
              <w:pStyle w:val="ListNumber"/>
              <w:tabs>
                <w:tab w:val="clear" w:pos="720"/>
                <w:tab w:val="clear" w:pos="1872"/>
              </w:tabs>
              <w:spacing w:before="0"/>
              <w:ind w:left="0" w:firstLine="0"/>
              <w:jc w:val="both"/>
            </w:pPr>
            <w:r w:rsidRPr="00722B46">
              <w:t>95</w:t>
            </w:r>
          </w:p>
        </w:tc>
      </w:tr>
      <w:tr w:rsidR="008C6030" w:rsidRPr="00CA01E8" w14:paraId="5FE52893" w14:textId="77777777" w:rsidTr="00722B46">
        <w:trPr>
          <w:trHeight w:val="360"/>
        </w:trPr>
        <w:tc>
          <w:tcPr>
            <w:tcW w:w="4523" w:type="dxa"/>
            <w:vAlign w:val="center"/>
          </w:tcPr>
          <w:p w14:paraId="5FABA373" w14:textId="77777777" w:rsidR="008C6030" w:rsidRPr="00722B46" w:rsidRDefault="008C6030" w:rsidP="00722B46">
            <w:pPr>
              <w:pStyle w:val="ListNumber"/>
              <w:tabs>
                <w:tab w:val="clear" w:pos="720"/>
                <w:tab w:val="clear" w:pos="1872"/>
              </w:tabs>
              <w:spacing w:before="0"/>
              <w:ind w:left="0" w:firstLine="0"/>
              <w:jc w:val="both"/>
            </w:pPr>
            <w:r w:rsidRPr="00722B46">
              <w:t>Other Expressways and Principal Arterials</w:t>
            </w:r>
          </w:p>
        </w:tc>
        <w:tc>
          <w:tcPr>
            <w:tcW w:w="810" w:type="dxa"/>
            <w:vAlign w:val="center"/>
          </w:tcPr>
          <w:p w14:paraId="56AA5754" w14:textId="77777777" w:rsidR="008C6030" w:rsidRPr="00722B46" w:rsidRDefault="008C6030" w:rsidP="00722B46">
            <w:pPr>
              <w:pStyle w:val="ListNumber"/>
              <w:tabs>
                <w:tab w:val="clear" w:pos="720"/>
                <w:tab w:val="clear" w:pos="1872"/>
              </w:tabs>
              <w:spacing w:before="0"/>
              <w:ind w:left="0" w:firstLine="0"/>
              <w:jc w:val="both"/>
            </w:pPr>
            <w:r w:rsidRPr="00722B46">
              <w:t>90</w:t>
            </w:r>
          </w:p>
        </w:tc>
      </w:tr>
      <w:tr w:rsidR="008C6030" w:rsidRPr="00CA01E8" w14:paraId="4CC8BB88" w14:textId="77777777" w:rsidTr="00722B46">
        <w:trPr>
          <w:trHeight w:val="360"/>
        </w:trPr>
        <w:tc>
          <w:tcPr>
            <w:tcW w:w="4523" w:type="dxa"/>
            <w:vAlign w:val="center"/>
          </w:tcPr>
          <w:p w14:paraId="7552814A" w14:textId="77777777" w:rsidR="008C6030" w:rsidRPr="00722B46" w:rsidRDefault="008C6030" w:rsidP="00722B46">
            <w:pPr>
              <w:pStyle w:val="ListNumber"/>
              <w:tabs>
                <w:tab w:val="clear" w:pos="720"/>
                <w:tab w:val="clear" w:pos="1872"/>
              </w:tabs>
              <w:spacing w:before="0"/>
              <w:ind w:left="0" w:firstLine="0"/>
              <w:jc w:val="both"/>
            </w:pPr>
            <w:r w:rsidRPr="00722B46">
              <w:t>Minor Arterials</w:t>
            </w:r>
          </w:p>
        </w:tc>
        <w:tc>
          <w:tcPr>
            <w:tcW w:w="810" w:type="dxa"/>
            <w:vAlign w:val="center"/>
          </w:tcPr>
          <w:p w14:paraId="7936F7AE" w14:textId="77777777" w:rsidR="008C6030" w:rsidRPr="00722B46" w:rsidRDefault="008C6030" w:rsidP="00722B46">
            <w:pPr>
              <w:pStyle w:val="ListNumber"/>
              <w:tabs>
                <w:tab w:val="clear" w:pos="720"/>
                <w:tab w:val="clear" w:pos="1872"/>
              </w:tabs>
              <w:spacing w:before="0"/>
              <w:ind w:left="0" w:firstLine="0"/>
              <w:jc w:val="both"/>
            </w:pPr>
            <w:r w:rsidRPr="00722B46">
              <w:t>85</w:t>
            </w:r>
          </w:p>
        </w:tc>
      </w:tr>
      <w:tr w:rsidR="008C6030" w:rsidRPr="00CA01E8" w14:paraId="7FE18A76" w14:textId="77777777" w:rsidTr="00722B46">
        <w:trPr>
          <w:trHeight w:val="360"/>
        </w:trPr>
        <w:tc>
          <w:tcPr>
            <w:tcW w:w="4523" w:type="dxa"/>
            <w:vAlign w:val="center"/>
          </w:tcPr>
          <w:p w14:paraId="4BCF2AD8" w14:textId="77777777" w:rsidR="008C6030" w:rsidRPr="00722B46" w:rsidRDefault="008C6030" w:rsidP="00722B46">
            <w:pPr>
              <w:pStyle w:val="ListNumber"/>
              <w:tabs>
                <w:tab w:val="clear" w:pos="720"/>
                <w:tab w:val="clear" w:pos="1872"/>
              </w:tabs>
              <w:spacing w:before="0"/>
              <w:ind w:left="0" w:firstLine="0"/>
              <w:jc w:val="both"/>
            </w:pPr>
            <w:r w:rsidRPr="00722B46">
              <w:t>Collectors and Locals</w:t>
            </w:r>
          </w:p>
        </w:tc>
        <w:tc>
          <w:tcPr>
            <w:tcW w:w="810" w:type="dxa"/>
            <w:vAlign w:val="center"/>
          </w:tcPr>
          <w:p w14:paraId="65AB8386" w14:textId="77777777" w:rsidR="008C6030" w:rsidRPr="00722B46" w:rsidRDefault="008C6030" w:rsidP="00722B46">
            <w:pPr>
              <w:pStyle w:val="ListNumber"/>
              <w:tabs>
                <w:tab w:val="clear" w:pos="720"/>
                <w:tab w:val="clear" w:pos="1872"/>
              </w:tabs>
              <w:spacing w:before="0"/>
              <w:ind w:left="0" w:firstLine="0"/>
              <w:jc w:val="both"/>
            </w:pPr>
            <w:r w:rsidRPr="00722B46">
              <w:t>80</w:t>
            </w:r>
          </w:p>
        </w:tc>
      </w:tr>
    </w:tbl>
    <w:p w14:paraId="46EFE984" w14:textId="77777777" w:rsidR="00CA01E8" w:rsidRDefault="00CA01E8" w:rsidP="00CA01E8">
      <w:pPr>
        <w:pStyle w:val="ListNumber"/>
        <w:tabs>
          <w:tab w:val="clear" w:pos="720"/>
          <w:tab w:val="clear" w:pos="1872"/>
        </w:tabs>
        <w:spacing w:before="0"/>
        <w:ind w:left="720" w:firstLine="0"/>
        <w:jc w:val="both"/>
        <w:rPr>
          <w:szCs w:val="22"/>
        </w:rPr>
      </w:pPr>
    </w:p>
    <w:p w14:paraId="0A89C875" w14:textId="77777777" w:rsidR="00D007B1" w:rsidRPr="00722B46" w:rsidRDefault="00D007B1" w:rsidP="00722B46">
      <w:pPr>
        <w:pStyle w:val="ListNumber"/>
        <w:numPr>
          <w:ilvl w:val="0"/>
          <w:numId w:val="4"/>
        </w:numPr>
        <w:tabs>
          <w:tab w:val="clear" w:pos="1872"/>
          <w:tab w:val="num" w:pos="2520"/>
        </w:tabs>
        <w:ind w:hanging="720"/>
        <w:jc w:val="both"/>
      </w:pPr>
      <w:r w:rsidRPr="00722B46">
        <w:t>Standard Deviation</w:t>
      </w:r>
      <w:r w:rsidR="008C6030" w:rsidRPr="00722B46">
        <w:t>: 0.49</w:t>
      </w:r>
      <w:r w:rsidR="00E05969" w:rsidRPr="00722B46">
        <w:t xml:space="preserve"> for Flexible, 0.39 for Rigid</w:t>
      </w:r>
    </w:p>
    <w:p w14:paraId="62DBE015" w14:textId="77777777" w:rsidR="008C6030" w:rsidRPr="00722B46" w:rsidRDefault="00D007B1" w:rsidP="00722B46">
      <w:pPr>
        <w:pStyle w:val="ListNumber"/>
        <w:numPr>
          <w:ilvl w:val="0"/>
          <w:numId w:val="4"/>
        </w:numPr>
        <w:tabs>
          <w:tab w:val="clear" w:pos="1872"/>
          <w:tab w:val="num" w:pos="2520"/>
        </w:tabs>
        <w:ind w:hanging="720"/>
        <w:jc w:val="both"/>
      </w:pPr>
      <w:r w:rsidRPr="00722B46">
        <w:t>Design ESALs</w:t>
      </w:r>
      <w:r w:rsidR="008C6030" w:rsidRPr="00722B46">
        <w:t xml:space="preserve">: Refer to </w:t>
      </w:r>
      <w:hyperlink w:anchor="_Traffic_Analysis" w:history="1">
        <w:r w:rsidR="008C6030" w:rsidRPr="00722B46">
          <w:rPr>
            <w:rStyle w:val="Hyperlink"/>
          </w:rPr>
          <w:t>Traffic Analysis</w:t>
        </w:r>
      </w:hyperlink>
      <w:r w:rsidR="008C6030" w:rsidRPr="00722B46">
        <w:t>.</w:t>
      </w:r>
    </w:p>
    <w:p w14:paraId="28306C95" w14:textId="77777777" w:rsidR="00E05969" w:rsidRPr="00722B46" w:rsidRDefault="00E05969" w:rsidP="00722B46">
      <w:pPr>
        <w:pStyle w:val="ListNumber"/>
        <w:numPr>
          <w:ilvl w:val="0"/>
          <w:numId w:val="4"/>
        </w:numPr>
        <w:tabs>
          <w:tab w:val="clear" w:pos="1872"/>
          <w:tab w:val="num" w:pos="2520"/>
        </w:tabs>
        <w:ind w:hanging="720"/>
        <w:jc w:val="both"/>
      </w:pPr>
      <w:r w:rsidRPr="00722B46">
        <w:lastRenderedPageBreak/>
        <w:t>Design Subgrade Resilient Modulus (M</w:t>
      </w:r>
      <w:r w:rsidRPr="00722B46">
        <w:rPr>
          <w:vertAlign w:val="subscript"/>
        </w:rPr>
        <w:t>r</w:t>
      </w:r>
      <w:r w:rsidRPr="00722B46">
        <w:t xml:space="preserve">) – Obtained from geotechnical soils investigation for new pavement designs.  </w:t>
      </w:r>
      <w:hyperlink w:anchor="_Materials_and_Typical" w:history="1">
        <w:r w:rsidRPr="00722B46">
          <w:rPr>
            <w:rStyle w:val="Hyperlink"/>
          </w:rPr>
          <w:t>Materials and Typical Design Properties</w:t>
        </w:r>
      </w:hyperlink>
      <w:r w:rsidRPr="00722B46">
        <w:t xml:space="preserve"> includes default values for various types of subgrade materials.</w:t>
      </w:r>
    </w:p>
    <w:p w14:paraId="64C259A2" w14:textId="77777777" w:rsidR="00E05969" w:rsidRPr="00722B46" w:rsidRDefault="00E05969" w:rsidP="00722B46">
      <w:pPr>
        <w:pStyle w:val="ListNumber"/>
        <w:numPr>
          <w:ilvl w:val="0"/>
          <w:numId w:val="4"/>
        </w:numPr>
        <w:tabs>
          <w:tab w:val="clear" w:pos="1872"/>
          <w:tab w:val="num" w:pos="2520"/>
        </w:tabs>
        <w:ind w:hanging="720"/>
        <w:jc w:val="both"/>
      </w:pPr>
      <w:r w:rsidRPr="00722B46">
        <w:t xml:space="preserve">Modulus of Subgrade Reaction (k) – Obtained from geotechnical soils investigation for new pavement designs.  </w:t>
      </w:r>
      <w:hyperlink w:anchor="_Materials_and_Typical" w:history="1">
        <w:r w:rsidRPr="00722B46">
          <w:rPr>
            <w:rStyle w:val="Hyperlink"/>
          </w:rPr>
          <w:t>Materials and Typical Design Properties</w:t>
        </w:r>
      </w:hyperlink>
      <w:r w:rsidRPr="00722B46">
        <w:t xml:space="preserve"> includes default values for various types of subgrade materials.  The modulus of subgrade reaction can also be calculated following the procedures identified in Section 3.2.1 of Chapter II of the “AASHTO Guide for Design of Pavement Structures.”</w:t>
      </w:r>
    </w:p>
    <w:p w14:paraId="0EF57CF6" w14:textId="77777777" w:rsidR="00E05969" w:rsidRPr="00722B46" w:rsidRDefault="00E05969" w:rsidP="00722B46">
      <w:pPr>
        <w:pStyle w:val="ListNumber"/>
        <w:numPr>
          <w:ilvl w:val="0"/>
          <w:numId w:val="4"/>
        </w:numPr>
        <w:tabs>
          <w:tab w:val="clear" w:pos="1872"/>
          <w:tab w:val="num" w:pos="2520"/>
        </w:tabs>
        <w:ind w:hanging="720"/>
        <w:jc w:val="both"/>
      </w:pPr>
      <w:r w:rsidRPr="00722B46">
        <w:t>J Factor (J) – 3.2</w:t>
      </w:r>
    </w:p>
    <w:p w14:paraId="7AC7AC6D" w14:textId="22C464FA" w:rsidR="00E05969" w:rsidRPr="00722B46" w:rsidRDefault="00E05969" w:rsidP="00722B46">
      <w:pPr>
        <w:pStyle w:val="ListNumber"/>
        <w:numPr>
          <w:ilvl w:val="0"/>
          <w:numId w:val="4"/>
        </w:numPr>
        <w:tabs>
          <w:tab w:val="clear" w:pos="1872"/>
          <w:tab w:val="num" w:pos="2520"/>
        </w:tabs>
        <w:ind w:hanging="720"/>
        <w:jc w:val="both"/>
      </w:pPr>
      <w:r w:rsidRPr="00722B46">
        <w:t>PCC Elastic Modulus (E</w:t>
      </w:r>
      <w:r w:rsidRPr="00722B46">
        <w:rPr>
          <w:vertAlign w:val="subscript"/>
        </w:rPr>
        <w:t>pcc</w:t>
      </w:r>
      <w:r w:rsidRPr="00CA01E8">
        <w:rPr>
          <w:szCs w:val="22"/>
        </w:rPr>
        <w:t>)</w:t>
      </w:r>
      <w:r w:rsidR="00CA01E8">
        <w:rPr>
          <w:szCs w:val="22"/>
        </w:rPr>
        <w:t xml:space="preserve"> </w:t>
      </w:r>
      <w:r w:rsidRPr="00CA01E8">
        <w:rPr>
          <w:szCs w:val="22"/>
        </w:rPr>
        <w:t>–</w:t>
      </w:r>
      <w:r w:rsidRPr="00722B46">
        <w:t xml:space="preserve"> 57,000 x [Compressive Strength (psi) ^2]</w:t>
      </w:r>
      <w:r w:rsidR="00407D40" w:rsidRPr="00722B46">
        <w:t xml:space="preserve">.  Refer to </w:t>
      </w:r>
      <w:hyperlink w:anchor="_Strength_and_Stiffness" w:history="1">
        <w:r w:rsidR="00407D40" w:rsidRPr="00722B46">
          <w:rPr>
            <w:rStyle w:val="Hyperlink"/>
          </w:rPr>
          <w:t>Strength and Stiffness Properties</w:t>
        </w:r>
      </w:hyperlink>
      <w:r w:rsidR="00407D40" w:rsidRPr="00722B46">
        <w:t>.</w:t>
      </w:r>
    </w:p>
    <w:p w14:paraId="592EC13D" w14:textId="63627F7E" w:rsidR="00E05969" w:rsidRPr="00722B46" w:rsidRDefault="00E05969" w:rsidP="00722B46">
      <w:pPr>
        <w:pStyle w:val="ListNumber"/>
        <w:numPr>
          <w:ilvl w:val="0"/>
          <w:numId w:val="4"/>
        </w:numPr>
        <w:tabs>
          <w:tab w:val="clear" w:pos="1872"/>
          <w:tab w:val="num" w:pos="2520"/>
        </w:tabs>
        <w:ind w:hanging="720"/>
        <w:jc w:val="both"/>
      </w:pPr>
      <w:smartTag w:uri="urn:schemas-microsoft-com:office:smarttags" w:element="stockticker">
        <w:r w:rsidRPr="00722B46">
          <w:t>PCC</w:t>
        </w:r>
      </w:smartTag>
      <w:r w:rsidRPr="00722B46">
        <w:t xml:space="preserve"> Modulus of Rupture (</w:t>
      </w:r>
      <w:r w:rsidRPr="00CA01E8">
        <w:rPr>
          <w:szCs w:val="22"/>
        </w:rPr>
        <w:t>S</w:t>
      </w:r>
      <w:r w:rsidR="00CA01E8">
        <w:rPr>
          <w:szCs w:val="22"/>
        </w:rPr>
        <w:t>'</w:t>
      </w:r>
      <w:r w:rsidRPr="00CA01E8">
        <w:rPr>
          <w:szCs w:val="22"/>
        </w:rPr>
        <w:t>c)</w:t>
      </w:r>
      <w:r w:rsidR="00CA01E8">
        <w:rPr>
          <w:szCs w:val="22"/>
        </w:rPr>
        <w:t xml:space="preserve"> </w:t>
      </w:r>
      <w:r w:rsidRPr="00CA01E8">
        <w:rPr>
          <w:szCs w:val="22"/>
        </w:rPr>
        <w:t>–</w:t>
      </w:r>
      <w:r w:rsidRPr="00722B46">
        <w:t xml:space="preserve"> Calculate the modulus of rupture based on the </w:t>
      </w:r>
      <w:smartTag w:uri="urn:schemas-microsoft-com:office:smarttags" w:element="stockticker">
        <w:r w:rsidRPr="00722B46">
          <w:t>PCC</w:t>
        </w:r>
      </w:smartTag>
      <w:r w:rsidRPr="00722B46">
        <w:t xml:space="preserve"> elastic modulus using the following equation:</w:t>
      </w:r>
    </w:p>
    <w:p w14:paraId="5D7526C8" w14:textId="77777777" w:rsidR="00CE0957" w:rsidRPr="00CE0957" w:rsidRDefault="00CE0957" w:rsidP="00CE0957">
      <w:pPr>
        <w:ind w:left="360"/>
        <w:rPr>
          <w:sz w:val="22"/>
          <w:szCs w:val="22"/>
        </w:rPr>
      </w:pPr>
      <m:oMathPara>
        <m:oMathParaPr>
          <m:jc m:val="center"/>
        </m:oMathParaPr>
        <m:oMath>
          <m:r>
            <w:rPr>
              <w:rFonts w:ascii="Cambria Math" w:hAnsi="Cambria Math"/>
              <w:sz w:val="22"/>
              <w:szCs w:val="22"/>
            </w:rPr>
            <m:t>S</m:t>
          </m:r>
          <m:r>
            <m:rPr>
              <m:sty m:val="p"/>
            </m:rPr>
            <w:rPr>
              <w:rFonts w:ascii="Cambria Math" w:hAnsi="Cambria Math"/>
              <w:sz w:val="22"/>
              <w:szCs w:val="22"/>
            </w:rPr>
            <m:t>'</m:t>
          </m:r>
          <m:r>
            <w:rPr>
              <w:rFonts w:ascii="Cambria Math" w:hAnsi="Cambria Math"/>
              <w:sz w:val="22"/>
              <w:szCs w:val="22"/>
            </w:rPr>
            <m:t>c</m:t>
          </m:r>
          <m:r>
            <m:rPr>
              <m:sty m:val="p"/>
            </m:rPr>
            <w:rPr>
              <w:rFonts w:ascii="Cambria Math" w:hAnsi="Cambria Math"/>
              <w:sz w:val="22"/>
              <w:szCs w:val="22"/>
            </w:rPr>
            <m:t>=</m:t>
          </m:r>
          <m:r>
            <w:rPr>
              <w:rFonts w:ascii="Cambria Math" w:hAnsi="Cambria Math"/>
              <w:sz w:val="22"/>
              <w:szCs w:val="22"/>
            </w:rPr>
            <m:t>43.5</m:t>
          </m:r>
          <m:r>
            <m:rPr>
              <m:sty m:val="p"/>
            </m:rPr>
            <w:rPr>
              <w:rFonts w:ascii="Cambria Math" w:hAnsi="Cambria Math"/>
              <w:sz w:val="22"/>
              <w:szCs w:val="22"/>
            </w:rPr>
            <m:t>×</m:t>
          </m:r>
          <m:d>
            <m:dPr>
              <m:ctrlPr>
                <w:rPr>
                  <w:rFonts w:ascii="Cambria Math" w:hAnsi="Cambria Math"/>
                  <w:sz w:val="22"/>
                  <w:szCs w:val="22"/>
                </w:rPr>
              </m:ctrlPr>
            </m:dPr>
            <m:e>
              <m:f>
                <m:fPr>
                  <m:ctrlPr>
                    <w:rPr>
                      <w:rFonts w:ascii="Cambria Math" w:hAnsi="Cambria Math"/>
                      <w:sz w:val="22"/>
                      <w:szCs w:val="22"/>
                    </w:rPr>
                  </m:ctrlPr>
                </m:fPr>
                <m:num>
                  <m:sSub>
                    <m:sSubPr>
                      <m:ctrlPr>
                        <w:rPr>
                          <w:rFonts w:ascii="Cambria Math" w:hAnsi="Cambria Math"/>
                          <w:sz w:val="22"/>
                          <w:szCs w:val="22"/>
                        </w:rPr>
                      </m:ctrlPr>
                    </m:sSubPr>
                    <m:e>
                      <m:r>
                        <w:rPr>
                          <w:rFonts w:ascii="Cambria Math" w:hAnsi="Cambria Math"/>
                          <w:sz w:val="22"/>
                          <w:szCs w:val="22"/>
                        </w:rPr>
                        <m:t>E</m:t>
                      </m:r>
                    </m:e>
                    <m:sub>
                      <m:r>
                        <w:rPr>
                          <w:rFonts w:ascii="Cambria Math" w:hAnsi="Cambria Math"/>
                          <w:sz w:val="22"/>
                          <w:szCs w:val="22"/>
                        </w:rPr>
                        <m:t>pcc</m:t>
                      </m:r>
                    </m:sub>
                  </m:sSub>
                </m:num>
                <m:den>
                  <m:r>
                    <w:rPr>
                      <w:rFonts w:ascii="Cambria Math" w:hAnsi="Cambria Math"/>
                      <w:sz w:val="22"/>
                      <w:szCs w:val="22"/>
                    </w:rPr>
                    <m:t>1</m:t>
                  </m:r>
                  <m:r>
                    <m:rPr>
                      <m:sty m:val="p"/>
                    </m:rPr>
                    <w:rPr>
                      <w:rFonts w:ascii="Cambria Math" w:hAnsi="Cambria Math"/>
                      <w:sz w:val="22"/>
                      <w:szCs w:val="22"/>
                    </w:rPr>
                    <m:t>,</m:t>
                  </m:r>
                  <m:r>
                    <w:rPr>
                      <w:rFonts w:ascii="Cambria Math" w:hAnsi="Cambria Math"/>
                      <w:sz w:val="22"/>
                      <w:szCs w:val="22"/>
                    </w:rPr>
                    <m:t>000</m:t>
                  </m:r>
                  <m:r>
                    <m:rPr>
                      <m:sty m:val="p"/>
                    </m:rPr>
                    <w:rPr>
                      <w:rFonts w:ascii="Cambria Math" w:hAnsi="Cambria Math"/>
                      <w:sz w:val="22"/>
                      <w:szCs w:val="22"/>
                    </w:rPr>
                    <m:t>,</m:t>
                  </m:r>
                  <m:r>
                    <w:rPr>
                      <w:rFonts w:ascii="Cambria Math" w:hAnsi="Cambria Math"/>
                      <w:sz w:val="22"/>
                      <w:szCs w:val="22"/>
                    </w:rPr>
                    <m:t>000</m:t>
                  </m:r>
                </m:den>
              </m:f>
            </m:e>
          </m:d>
          <m:r>
            <m:rPr>
              <m:sty m:val="p"/>
            </m:rPr>
            <w:rPr>
              <w:rFonts w:ascii="Cambria Math" w:hAnsi="Cambria Math"/>
              <w:sz w:val="22"/>
              <w:szCs w:val="22"/>
            </w:rPr>
            <m:t>+</m:t>
          </m:r>
          <m:r>
            <w:rPr>
              <w:rFonts w:ascii="Cambria Math" w:hAnsi="Cambria Math"/>
              <w:sz w:val="22"/>
              <w:szCs w:val="22"/>
            </w:rPr>
            <m:t>488.5</m:t>
          </m:r>
        </m:oMath>
      </m:oMathPara>
    </w:p>
    <w:p w14:paraId="42AAF5BC" w14:textId="77777777" w:rsidR="00E05969" w:rsidRPr="00722B46" w:rsidRDefault="00E05969" w:rsidP="00722B46">
      <w:pPr>
        <w:pStyle w:val="ListNumber"/>
        <w:numPr>
          <w:ilvl w:val="0"/>
          <w:numId w:val="4"/>
        </w:numPr>
        <w:tabs>
          <w:tab w:val="clear" w:pos="1872"/>
          <w:tab w:val="num" w:pos="2520"/>
        </w:tabs>
        <w:ind w:hanging="720"/>
        <w:jc w:val="both"/>
      </w:pPr>
      <w:r w:rsidRPr="00722B46">
        <w:t>Drainage Factor (C</w:t>
      </w:r>
      <w:r w:rsidRPr="00722B46">
        <w:rPr>
          <w:vertAlign w:val="subscript"/>
        </w:rPr>
        <w:t>d</w:t>
      </w:r>
      <w:r w:rsidRPr="00722B46">
        <w:t>) – 1.0</w:t>
      </w:r>
    </w:p>
    <w:p w14:paraId="33A213BA" w14:textId="308270CC" w:rsidR="00E05969" w:rsidRPr="00722B46" w:rsidRDefault="00E05969" w:rsidP="00722B46">
      <w:pPr>
        <w:pStyle w:val="ListNumber"/>
        <w:numPr>
          <w:ilvl w:val="0"/>
          <w:numId w:val="4"/>
        </w:numPr>
        <w:tabs>
          <w:tab w:val="clear" w:pos="1872"/>
          <w:tab w:val="num" w:pos="2520"/>
        </w:tabs>
        <w:ind w:hanging="720"/>
        <w:jc w:val="both"/>
      </w:pPr>
      <w:r w:rsidRPr="00722B46">
        <w:t xml:space="preserve">Consider drainage treatments that would be appropriate improvements or repair strategies to address the source of any potential pavement or subsurface drainage concerns.  Refer to </w:t>
      </w:r>
      <w:hyperlink w:anchor="_Pavement_Drainage" w:history="1">
        <w:r w:rsidRPr="00722B46">
          <w:rPr>
            <w:rStyle w:val="Hyperlink"/>
          </w:rPr>
          <w:t>Pavement Drainage</w:t>
        </w:r>
      </w:hyperlink>
      <w:r w:rsidRPr="00722B46">
        <w:t xml:space="preserve"> and </w:t>
      </w:r>
      <w:hyperlink w:anchor="_Subsurface_Drainage" w:history="1">
        <w:r w:rsidRPr="00722B46">
          <w:rPr>
            <w:rStyle w:val="Hyperlink"/>
          </w:rPr>
          <w:t>Subsurface Drainage</w:t>
        </w:r>
      </w:hyperlink>
      <w:r w:rsidRPr="00722B46">
        <w:t xml:space="preserve">.  </w:t>
      </w:r>
    </w:p>
    <w:p w14:paraId="6BDB85A8" w14:textId="106B4406" w:rsidR="00E05969" w:rsidRPr="00722B46" w:rsidRDefault="00E05969" w:rsidP="00E05969">
      <w:pPr>
        <w:pStyle w:val="ListNumber"/>
        <w:tabs>
          <w:tab w:val="clear" w:pos="720"/>
          <w:tab w:val="clear" w:pos="1872"/>
        </w:tabs>
        <w:ind w:left="2160" w:firstLine="0"/>
        <w:jc w:val="both"/>
      </w:pPr>
    </w:p>
    <w:p w14:paraId="5FA37BFC" w14:textId="77777777" w:rsidR="00E05969" w:rsidRDefault="00E05969" w:rsidP="00172E64">
      <w:pPr>
        <w:pStyle w:val="Heading4"/>
        <w:numPr>
          <w:ilvl w:val="3"/>
          <w:numId w:val="185"/>
        </w:numPr>
        <w:ind w:left="864"/>
      </w:pPr>
      <w:bookmarkStart w:id="1291" w:name="_Flexible_Pavement"/>
      <w:bookmarkEnd w:id="1291"/>
      <w:r>
        <w:t>Flexible Pavement</w:t>
      </w:r>
    </w:p>
    <w:p w14:paraId="1DD8596D" w14:textId="77777777" w:rsidR="00707989" w:rsidRPr="008F604D" w:rsidRDefault="00707989" w:rsidP="00707989">
      <w:r>
        <w:rPr>
          <w:rFonts w:ascii="Arial" w:eastAsia="Arial" w:hAnsi="Arial" w:cs="Arial"/>
          <w:sz w:val="16"/>
        </w:rPr>
        <w:t>Click to go</w:t>
      </w:r>
      <w:r w:rsidRPr="00982DB5">
        <w:rPr>
          <w:rFonts w:ascii="Arial" w:eastAsia="Arial" w:hAnsi="Arial" w:cs="Arial"/>
          <w:sz w:val="16"/>
          <w:szCs w:val="16"/>
        </w:rPr>
        <w:t xml:space="preserve"> </w:t>
      </w:r>
      <w:r>
        <w:rPr>
          <w:rFonts w:ascii="Arial" w:eastAsia="Arial" w:hAnsi="Arial" w:cs="Arial"/>
          <w:sz w:val="16"/>
          <w:szCs w:val="16"/>
        </w:rPr>
        <w:t>t</w:t>
      </w:r>
      <w:r w:rsidRPr="00982DB5">
        <w:rPr>
          <w:rFonts w:ascii="Arial" w:eastAsia="Arial" w:hAnsi="Arial" w:cs="Arial"/>
          <w:sz w:val="16"/>
          <w:szCs w:val="16"/>
        </w:rPr>
        <w:t>o</w:t>
      </w:r>
      <w:r w:rsidRPr="00982DB5">
        <w:rPr>
          <w:rFonts w:ascii="Arial" w:hAnsi="Arial" w:cs="Arial"/>
          <w:bCs/>
          <w:sz w:val="16"/>
          <w:szCs w:val="16"/>
        </w:rPr>
        <w:t xml:space="preserve"> </w:t>
      </w:r>
      <w:hyperlink w:anchor="_Pavement_Preservation_and_1" w:history="1">
        <w:r w:rsidRPr="00707989">
          <w:rPr>
            <w:rStyle w:val="Hyperlink"/>
            <w:rFonts w:ascii="Arial" w:hAnsi="Arial" w:cs="Arial"/>
            <w:bCs/>
            <w:sz w:val="16"/>
            <w:szCs w:val="16"/>
          </w:rPr>
          <w:t>Pavement Preservation and Rehabilitation Design Using AASHTO 1993</w:t>
        </w:r>
      </w:hyperlink>
    </w:p>
    <w:p w14:paraId="0FEB6D23" w14:textId="77777777" w:rsidR="00707989" w:rsidRPr="00707989" w:rsidRDefault="00707989" w:rsidP="00707989"/>
    <w:p w14:paraId="55C69694" w14:textId="77777777" w:rsidR="001A15B9" w:rsidRDefault="00D007B1" w:rsidP="00172E64">
      <w:pPr>
        <w:pStyle w:val="ListNumber"/>
        <w:numPr>
          <w:ilvl w:val="0"/>
          <w:numId w:val="99"/>
        </w:numPr>
        <w:tabs>
          <w:tab w:val="clear" w:pos="1152"/>
          <w:tab w:val="clear" w:pos="1872"/>
          <w:tab w:val="num" w:pos="1080"/>
        </w:tabs>
        <w:ind w:left="1080" w:hanging="1080"/>
        <w:jc w:val="both"/>
      </w:pPr>
      <w:r>
        <w:t>Identify the individual pavement layers and thickness that will provide the structural capacity to satisfy traffic demands represented by SC</w:t>
      </w:r>
      <w:r>
        <w:rPr>
          <w:vertAlign w:val="subscript"/>
        </w:rPr>
        <w:t>f.</w:t>
      </w:r>
      <w:r>
        <w:t xml:space="preserve"> Use the following guidelines to determine the individual pavement layers and thickness:</w:t>
      </w:r>
    </w:p>
    <w:p w14:paraId="3E8B94D1" w14:textId="77777777" w:rsidR="00D007B1" w:rsidRDefault="00D007B1" w:rsidP="00A42B5F">
      <w:pPr>
        <w:pStyle w:val="ListBullet"/>
      </w:pPr>
    </w:p>
    <w:p w14:paraId="0BD8E2BB" w14:textId="77777777" w:rsidR="00D007B1" w:rsidRPr="003C2771" w:rsidRDefault="00D007B1" w:rsidP="00E71B93">
      <w:pPr>
        <w:pStyle w:val="ListBullet"/>
      </w:pPr>
      <w:r w:rsidRPr="003C2771">
        <w:t>Flexible Pavements: SC</w:t>
      </w:r>
      <w:r w:rsidRPr="003C2771">
        <w:rPr>
          <w:vertAlign w:val="subscript"/>
        </w:rPr>
        <w:t xml:space="preserve">f </w:t>
      </w:r>
      <w:r w:rsidRPr="003C2771">
        <w:t>= SN</w:t>
      </w:r>
      <w:r w:rsidRPr="003C2771">
        <w:rPr>
          <w:vertAlign w:val="subscript"/>
        </w:rPr>
        <w:t>f</w:t>
      </w:r>
    </w:p>
    <w:p w14:paraId="1A7EDA61" w14:textId="77777777" w:rsidR="00D007B1" w:rsidRPr="003C2771" w:rsidRDefault="00D007B1" w:rsidP="00D007B1">
      <w:pPr>
        <w:pStyle w:val="BodyText"/>
        <w:ind w:left="2160" w:hanging="1080"/>
        <w:jc w:val="both"/>
        <w:rPr>
          <w:sz w:val="20"/>
        </w:rPr>
      </w:pPr>
    </w:p>
    <w:p w14:paraId="09DAFD73" w14:textId="77777777" w:rsidR="00CE0957" w:rsidRPr="00CE0957" w:rsidRDefault="00CE0957" w:rsidP="00CE0957">
      <w:pPr>
        <w:pStyle w:val="BodyText"/>
        <w:rPr>
          <w:sz w:val="24"/>
          <w:szCs w:val="22"/>
        </w:rPr>
      </w:pPr>
      <m:oMathPara>
        <m:oMathParaPr>
          <m:jc m:val="center"/>
        </m:oMathParaPr>
        <m:oMath>
          <m:r>
            <w:rPr>
              <w:rFonts w:ascii="Cambria Math" w:hAnsi="Cambria Math"/>
              <w:sz w:val="24"/>
              <w:szCs w:val="22"/>
            </w:rPr>
            <m:t>S</m:t>
          </m:r>
          <m:sSub>
            <m:sSubPr>
              <m:ctrlPr>
                <w:rPr>
                  <w:rFonts w:ascii="Cambria Math" w:hAnsi="Cambria Math"/>
                  <w:sz w:val="24"/>
                  <w:szCs w:val="22"/>
                </w:rPr>
              </m:ctrlPr>
            </m:sSubPr>
            <m:e>
              <m:r>
                <w:rPr>
                  <w:rFonts w:ascii="Cambria Math" w:hAnsi="Cambria Math"/>
                  <w:sz w:val="24"/>
                  <w:szCs w:val="22"/>
                </w:rPr>
                <m:t>N</m:t>
              </m:r>
            </m:e>
            <m:sub>
              <m:r>
                <w:rPr>
                  <w:rFonts w:ascii="Cambria Math" w:hAnsi="Cambria Math"/>
                  <w:sz w:val="24"/>
                  <w:szCs w:val="22"/>
                </w:rPr>
                <m:t>f</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a</m:t>
              </m:r>
            </m:e>
            <m:sub>
              <m:r>
                <w:rPr>
                  <w:rFonts w:ascii="Cambria Math" w:hAnsi="Cambria Math"/>
                  <w:sz w:val="24"/>
                  <w:szCs w:val="22"/>
                </w:rPr>
                <m:t>1</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1</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a</m:t>
              </m:r>
            </m:e>
            <m:sub>
              <m:r>
                <w:rPr>
                  <w:rFonts w:ascii="Cambria Math" w:hAnsi="Cambria Math"/>
                  <w:sz w:val="24"/>
                  <w:szCs w:val="22"/>
                </w:rPr>
                <m:t>2</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m</m:t>
              </m:r>
            </m:e>
            <m:sub>
              <m:r>
                <w:rPr>
                  <w:rFonts w:ascii="Cambria Math" w:hAnsi="Cambria Math"/>
                  <w:sz w:val="24"/>
                  <w:szCs w:val="22"/>
                </w:rPr>
                <m:t>2</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2</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a</m:t>
              </m:r>
            </m:e>
            <m:sub>
              <m:r>
                <w:rPr>
                  <w:rFonts w:ascii="Cambria Math" w:hAnsi="Cambria Math"/>
                  <w:sz w:val="24"/>
                  <w:szCs w:val="22"/>
                </w:rPr>
                <m:t>i</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i</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m</m:t>
              </m:r>
            </m:e>
            <m:sub>
              <m:r>
                <w:rPr>
                  <w:rFonts w:ascii="Cambria Math" w:hAnsi="Cambria Math"/>
                  <w:sz w:val="24"/>
                  <w:szCs w:val="22"/>
                </w:rPr>
                <m:t>i</m:t>
              </m:r>
            </m:sub>
          </m:sSub>
        </m:oMath>
      </m:oMathPara>
    </w:p>
    <w:p w14:paraId="4014E462" w14:textId="77777777" w:rsidR="00CD057B" w:rsidRPr="003C2771" w:rsidRDefault="00CD057B" w:rsidP="00CE0957">
      <w:pPr>
        <w:pStyle w:val="BodyText"/>
        <w:ind w:left="2160" w:hanging="1080"/>
        <w:rPr>
          <w:szCs w:val="22"/>
        </w:rPr>
      </w:pPr>
      <w:r w:rsidRPr="003C2771">
        <w:rPr>
          <w:szCs w:val="22"/>
        </w:rPr>
        <w:tab/>
      </w:r>
      <w:r w:rsidRPr="003C2771">
        <w:rPr>
          <w:szCs w:val="22"/>
        </w:rPr>
        <w:tab/>
        <w:t>where:</w:t>
      </w:r>
    </w:p>
    <w:p w14:paraId="7C8A5233" w14:textId="77777777" w:rsidR="00CD057B" w:rsidRPr="003C2771" w:rsidRDefault="00CD057B" w:rsidP="00CD057B">
      <w:pPr>
        <w:pStyle w:val="BodyText"/>
        <w:ind w:left="2160" w:hanging="1080"/>
        <w:jc w:val="both"/>
        <w:rPr>
          <w:szCs w:val="22"/>
        </w:rPr>
      </w:pPr>
      <w:r w:rsidRPr="003C2771">
        <w:rPr>
          <w:szCs w:val="22"/>
        </w:rPr>
        <w:t xml:space="preserve">d = layer thickness; the thickness of each layer shall be rounded up in 0.5” increments for HMA and </w:t>
      </w:r>
      <w:smartTag w:uri="urn:schemas-microsoft-com:office:smarttags" w:element="stockticker">
        <w:r w:rsidRPr="003C2771">
          <w:rPr>
            <w:szCs w:val="22"/>
          </w:rPr>
          <w:t>PCC</w:t>
        </w:r>
      </w:smartTag>
      <w:r w:rsidRPr="003C2771">
        <w:rPr>
          <w:szCs w:val="22"/>
        </w:rPr>
        <w:t xml:space="preserve"> materials and rounded up in 1.0” increments for all other materials. </w:t>
      </w:r>
    </w:p>
    <w:p w14:paraId="61805D1F" w14:textId="77777777" w:rsidR="00CD057B" w:rsidRPr="003C2771" w:rsidRDefault="00CD057B" w:rsidP="00CD057B">
      <w:pPr>
        <w:pStyle w:val="BodyText"/>
        <w:ind w:left="2160" w:hanging="1080"/>
        <w:jc w:val="both"/>
        <w:rPr>
          <w:rStyle w:val="Hyperlink"/>
          <w:szCs w:val="22"/>
        </w:rPr>
      </w:pPr>
      <w:r w:rsidRPr="003C2771">
        <w:rPr>
          <w:szCs w:val="22"/>
        </w:rPr>
        <w:t xml:space="preserve">a = layer structural coefficient: Refer to </w:t>
      </w:r>
      <w:hyperlink w:anchor="_Design_Properties_for" w:history="1">
        <w:r w:rsidRPr="003C2771">
          <w:rPr>
            <w:rStyle w:val="Hyperlink"/>
            <w:szCs w:val="22"/>
          </w:rPr>
          <w:t>Design Properties for Pavement Materials – AASHTO 1993</w:t>
        </w:r>
      </w:hyperlink>
      <w:r w:rsidRPr="003C2771">
        <w:rPr>
          <w:rStyle w:val="Hyperlink"/>
          <w:szCs w:val="22"/>
        </w:rPr>
        <w:t xml:space="preserve">.  Refer to </w:t>
      </w:r>
      <w:hyperlink w:anchor="_Structural_and_Drainage" w:history="1">
        <w:r w:rsidRPr="003C2771">
          <w:rPr>
            <w:rStyle w:val="Hyperlink"/>
            <w:szCs w:val="22"/>
          </w:rPr>
          <w:t>Structural and Drainage Coefficient Factors – AASHTO 1993</w:t>
        </w:r>
      </w:hyperlink>
    </w:p>
    <w:p w14:paraId="14814C00" w14:textId="77777777" w:rsidR="00CD057B" w:rsidRPr="00CD057B" w:rsidRDefault="00CD057B" w:rsidP="00CD057B">
      <w:pPr>
        <w:pStyle w:val="BodyText"/>
        <w:ind w:left="2160" w:hanging="1080"/>
        <w:jc w:val="both"/>
        <w:rPr>
          <w:rStyle w:val="Hyperlink"/>
          <w:szCs w:val="22"/>
        </w:rPr>
      </w:pPr>
      <w:r w:rsidRPr="003C2771">
        <w:rPr>
          <w:szCs w:val="22"/>
        </w:rPr>
        <w:t xml:space="preserve">m = drainage coefficient.  </w:t>
      </w:r>
      <w:r w:rsidRPr="003C2771">
        <w:rPr>
          <w:rStyle w:val="Hyperlink"/>
          <w:szCs w:val="22"/>
        </w:rPr>
        <w:t xml:space="preserve">Refer to </w:t>
      </w:r>
      <w:hyperlink w:anchor="_Structural_and_Drainage" w:history="1">
        <w:r w:rsidRPr="003C2771">
          <w:rPr>
            <w:rStyle w:val="Hyperlink"/>
            <w:szCs w:val="22"/>
          </w:rPr>
          <w:t>Structural and Drainage Coefficient Factors – AASHTO 1993</w:t>
        </w:r>
      </w:hyperlink>
    </w:p>
    <w:p w14:paraId="0611CBDE" w14:textId="77777777" w:rsidR="00E05969" w:rsidRDefault="00E05969" w:rsidP="00172E64">
      <w:pPr>
        <w:pStyle w:val="Heading4"/>
        <w:numPr>
          <w:ilvl w:val="3"/>
          <w:numId w:val="185"/>
        </w:numPr>
        <w:ind w:left="864"/>
      </w:pPr>
      <w:bookmarkStart w:id="1292" w:name="_Jointed_Plain_Concrete_2"/>
      <w:bookmarkEnd w:id="1292"/>
      <w:r>
        <w:t>Jointed Plain Concrete Pavement</w:t>
      </w:r>
    </w:p>
    <w:p w14:paraId="73C6BDDD" w14:textId="77777777" w:rsidR="009B1736" w:rsidRDefault="009B1736" w:rsidP="00172E64">
      <w:pPr>
        <w:pStyle w:val="ListNumber"/>
        <w:numPr>
          <w:ilvl w:val="0"/>
          <w:numId w:val="101"/>
        </w:numPr>
        <w:tabs>
          <w:tab w:val="clear" w:pos="1152"/>
          <w:tab w:val="clear" w:pos="1872"/>
          <w:tab w:val="num" w:pos="1080"/>
        </w:tabs>
        <w:ind w:left="1080" w:hanging="1080"/>
        <w:jc w:val="both"/>
      </w:pPr>
      <w:r>
        <w:t>Identify the individual pavement layers and thickness that will provide the structural capacity to satisfy traffic demands represented by SC</w:t>
      </w:r>
      <w:r>
        <w:rPr>
          <w:vertAlign w:val="subscript"/>
        </w:rPr>
        <w:t>f.</w:t>
      </w:r>
      <w:r>
        <w:t xml:space="preserve"> Use the following guidelines to determine the individual pavement layers and thickness:</w:t>
      </w:r>
    </w:p>
    <w:p w14:paraId="2A6ECCA9" w14:textId="77777777" w:rsidR="009B1736" w:rsidRDefault="009B1736" w:rsidP="00A42B5F">
      <w:pPr>
        <w:pStyle w:val="ListBullet"/>
      </w:pPr>
    </w:p>
    <w:p w14:paraId="77AE2F28" w14:textId="77777777" w:rsidR="009B1736" w:rsidRDefault="009B1736" w:rsidP="00A42B5F">
      <w:pPr>
        <w:pStyle w:val="ListBullet"/>
      </w:pPr>
      <w:r>
        <w:t>Rigid Pavements: SC</w:t>
      </w:r>
      <w:r>
        <w:rPr>
          <w:vertAlign w:val="subscript"/>
        </w:rPr>
        <w:t>f</w:t>
      </w:r>
      <w:r>
        <w:t xml:space="preserve"> = D</w:t>
      </w:r>
      <w:r>
        <w:rPr>
          <w:vertAlign w:val="subscript"/>
        </w:rPr>
        <w:t>f</w:t>
      </w:r>
    </w:p>
    <w:p w14:paraId="25815411" w14:textId="77777777" w:rsidR="006F61EA" w:rsidRDefault="006F61EA" w:rsidP="009B1736">
      <w:pPr>
        <w:pStyle w:val="BodyText"/>
        <w:ind w:left="1152"/>
        <w:jc w:val="both"/>
        <w:rPr>
          <w:sz w:val="20"/>
        </w:rPr>
      </w:pPr>
    </w:p>
    <w:p w14:paraId="70540179" w14:textId="77777777" w:rsidR="009B1736" w:rsidRDefault="009B1736" w:rsidP="00722B46">
      <w:pPr>
        <w:pStyle w:val="BodyText"/>
        <w:ind w:left="1152"/>
        <w:jc w:val="center"/>
        <w:rPr>
          <w:sz w:val="20"/>
          <w:vertAlign w:val="subscript"/>
        </w:rPr>
      </w:pPr>
      <w:r>
        <w:rPr>
          <w:sz w:val="20"/>
        </w:rPr>
        <w:t>D</w:t>
      </w:r>
      <w:r>
        <w:rPr>
          <w:sz w:val="20"/>
          <w:vertAlign w:val="subscript"/>
        </w:rPr>
        <w:t>f</w:t>
      </w:r>
      <w:r>
        <w:rPr>
          <w:sz w:val="20"/>
        </w:rPr>
        <w:t xml:space="preserve"> &lt;= d</w:t>
      </w:r>
    </w:p>
    <w:p w14:paraId="3448E88F" w14:textId="0033E765" w:rsidR="00A81424" w:rsidRDefault="00842346" w:rsidP="00842346">
      <w:pPr>
        <w:pStyle w:val="BodyText"/>
        <w:spacing w:after="0"/>
        <w:ind w:left="1080"/>
        <w:jc w:val="both"/>
        <w:rPr>
          <w:sz w:val="20"/>
        </w:rPr>
      </w:pPr>
      <w:r>
        <w:rPr>
          <w:sz w:val="20"/>
        </w:rPr>
        <w:t>w</w:t>
      </w:r>
      <w:r w:rsidR="009B1736">
        <w:rPr>
          <w:sz w:val="20"/>
        </w:rPr>
        <w:t>here</w:t>
      </w:r>
      <w:r w:rsidR="00A81424">
        <w:rPr>
          <w:sz w:val="20"/>
        </w:rPr>
        <w:t>:</w:t>
      </w:r>
    </w:p>
    <w:p w14:paraId="61C9672E" w14:textId="23866910" w:rsidR="009B1736" w:rsidRDefault="00A81424" w:rsidP="00722B46">
      <w:pPr>
        <w:pStyle w:val="BodyText"/>
        <w:tabs>
          <w:tab w:val="left" w:pos="1620"/>
          <w:tab w:val="left" w:pos="1890"/>
          <w:tab w:val="left" w:pos="2160"/>
        </w:tabs>
        <w:ind w:left="1152"/>
        <w:jc w:val="both"/>
      </w:pPr>
      <w:r>
        <w:rPr>
          <w:sz w:val="20"/>
        </w:rPr>
        <w:tab/>
      </w:r>
      <w:r w:rsidR="009B1736">
        <w:rPr>
          <w:sz w:val="20"/>
        </w:rPr>
        <w:t xml:space="preserve">d </w:t>
      </w:r>
      <w:r>
        <w:rPr>
          <w:sz w:val="20"/>
        </w:rPr>
        <w:tab/>
      </w:r>
      <w:r w:rsidR="009B1736">
        <w:rPr>
          <w:sz w:val="20"/>
        </w:rPr>
        <w:t xml:space="preserve">= </w:t>
      </w:r>
      <w:r>
        <w:rPr>
          <w:sz w:val="20"/>
        </w:rPr>
        <w:tab/>
      </w:r>
      <w:smartTag w:uri="urn:schemas-microsoft-com:office:smarttags" w:element="stockticker">
        <w:r w:rsidR="009B1736">
          <w:rPr>
            <w:sz w:val="20"/>
          </w:rPr>
          <w:t>PCC</w:t>
        </w:r>
      </w:smartTag>
      <w:r w:rsidR="009B1736">
        <w:rPr>
          <w:sz w:val="20"/>
        </w:rPr>
        <w:t xml:space="preserve"> layer thickness;</w:t>
      </w:r>
      <w:r w:rsidR="009B1736" w:rsidRPr="00C97664">
        <w:rPr>
          <w:sz w:val="20"/>
        </w:rPr>
        <w:t xml:space="preserve"> </w:t>
      </w:r>
      <w:r w:rsidR="009B1736">
        <w:rPr>
          <w:sz w:val="20"/>
        </w:rPr>
        <w:t>rounded up in 0.5</w:t>
      </w:r>
      <w:r w:rsidR="00842346">
        <w:rPr>
          <w:sz w:val="20"/>
        </w:rPr>
        <w:t xml:space="preserve">" </w:t>
      </w:r>
      <w:r w:rsidR="009B1736">
        <w:rPr>
          <w:sz w:val="20"/>
        </w:rPr>
        <w:t xml:space="preserve">increments </w:t>
      </w:r>
    </w:p>
    <w:p w14:paraId="06884308" w14:textId="77777777" w:rsidR="000904C4" w:rsidRDefault="00EE5F0E" w:rsidP="00172E64">
      <w:pPr>
        <w:pStyle w:val="ListNumber"/>
        <w:numPr>
          <w:ilvl w:val="0"/>
          <w:numId w:val="101"/>
        </w:numPr>
        <w:tabs>
          <w:tab w:val="clear" w:pos="1872"/>
        </w:tabs>
        <w:jc w:val="both"/>
      </w:pPr>
      <w:r>
        <w:t xml:space="preserve">Refer to </w:t>
      </w:r>
      <w:hyperlink w:anchor="_Jointed_Plain_Concrete_1" w:history="1">
        <w:r w:rsidRPr="00EE5F0E">
          <w:rPr>
            <w:rStyle w:val="Hyperlink"/>
          </w:rPr>
          <w:t>Jointed Plain Concrete Pavement Design</w:t>
        </w:r>
      </w:hyperlink>
      <w:r w:rsidR="000904C4">
        <w:t xml:space="preserve"> </w:t>
      </w:r>
      <w:r w:rsidR="00BE15AB">
        <w:t xml:space="preserve">in the PMED section </w:t>
      </w:r>
      <w:r w:rsidR="000904C4">
        <w:t>for other design parameters</w:t>
      </w:r>
      <w:r>
        <w:t xml:space="preserve">.  </w:t>
      </w:r>
    </w:p>
    <w:p w14:paraId="3BF3FF45" w14:textId="76793E49" w:rsidR="00A66597" w:rsidRDefault="00A66597" w:rsidP="00172E64">
      <w:pPr>
        <w:pStyle w:val="Heading4"/>
        <w:numPr>
          <w:ilvl w:val="3"/>
          <w:numId w:val="185"/>
        </w:numPr>
        <w:spacing w:before="240"/>
        <w:ind w:left="864"/>
      </w:pPr>
      <w:bookmarkStart w:id="1293" w:name="_CRCP_steel_reinforcement_1"/>
      <w:bookmarkEnd w:id="1293"/>
      <w:r>
        <w:t>CRCP</w:t>
      </w:r>
      <w:r w:rsidR="00842346">
        <w:t xml:space="preserve"> Steel Reinforcement Design In</w:t>
      </w:r>
      <w:r>
        <w:t>puts – AASHTO 1993</w:t>
      </w:r>
    </w:p>
    <w:p w14:paraId="1A94D4BB" w14:textId="77777777" w:rsidR="00B8666C" w:rsidRPr="008F604D" w:rsidRDefault="00B8666C" w:rsidP="00B8666C"/>
    <w:p w14:paraId="4D22115D" w14:textId="24576E8F" w:rsidR="00A66597" w:rsidRPr="00885526" w:rsidRDefault="00A66597" w:rsidP="00722B46">
      <w:pPr>
        <w:pStyle w:val="BodyText"/>
        <w:jc w:val="both"/>
      </w:pPr>
      <w:r w:rsidRPr="00885526">
        <w:rPr>
          <w:szCs w:val="22"/>
        </w:rPr>
        <w:t xml:space="preserve">The following are details of the CRCP steel reinforcement design input material properties if using AASHTO 1993 for inputs not listed </w:t>
      </w:r>
      <w:r>
        <w:rPr>
          <w:szCs w:val="22"/>
        </w:rPr>
        <w:t xml:space="preserve">in </w:t>
      </w:r>
      <w:hyperlink w:anchor="_CRCP_Layer_Properties" w:history="1">
        <w:r w:rsidRPr="00A66597">
          <w:rPr>
            <w:rStyle w:val="Hyperlink"/>
            <w:szCs w:val="22"/>
          </w:rPr>
          <w:t>CRCP Layer Properties</w:t>
        </w:r>
      </w:hyperlink>
      <w:r w:rsidR="00407D40">
        <w:t xml:space="preserve"> and </w:t>
      </w:r>
      <w:hyperlink w:anchor="_Material_Properties_–_2" w:history="1">
        <w:r w:rsidR="00407D40" w:rsidRPr="00407D40">
          <w:rPr>
            <w:rStyle w:val="Hyperlink"/>
          </w:rPr>
          <w:t>Material Properties – Concrete</w:t>
        </w:r>
      </w:hyperlink>
      <w:r w:rsidR="00A81424" w:rsidRPr="00885526" w:rsidDel="00A81424">
        <w:rPr>
          <w:szCs w:val="22"/>
        </w:rPr>
        <w:t xml:space="preserve"> </w:t>
      </w:r>
    </w:p>
    <w:p w14:paraId="42DB9C02" w14:textId="2E3902CA" w:rsidR="00A81424" w:rsidRPr="00A81424" w:rsidRDefault="00A81424" w:rsidP="00722B46">
      <w:pPr>
        <w:pStyle w:val="ListNumber"/>
        <w:numPr>
          <w:ilvl w:val="0"/>
          <w:numId w:val="4"/>
        </w:numPr>
        <w:tabs>
          <w:tab w:val="clear" w:pos="1872"/>
          <w:tab w:val="num" w:pos="2520"/>
        </w:tabs>
        <w:ind w:hanging="720"/>
        <w:jc w:val="both"/>
      </w:pPr>
      <w:smartTag w:uri="urn:schemas-microsoft-com:office:smarttags" w:element="stockticker">
        <w:r w:rsidRPr="00885526">
          <w:rPr>
            <w:u w:val="single"/>
          </w:rPr>
          <w:t>PCC</w:t>
        </w:r>
      </w:smartTag>
      <w:r w:rsidRPr="00885526">
        <w:rPr>
          <w:u w:val="single"/>
        </w:rPr>
        <w:t xml:space="preserve"> Indirect Tensile Strength</w:t>
      </w:r>
      <w:r w:rsidRPr="00885526">
        <w:t>: 0.86 x S</w:t>
      </w:r>
      <w:r>
        <w:t>'</w:t>
      </w:r>
      <w:r w:rsidRPr="00885526">
        <w:t>c</w:t>
      </w:r>
      <w:r>
        <w:t xml:space="preserve">.  Refer to </w:t>
      </w:r>
      <w:hyperlink w:anchor="_Tensile_Strength_Modulus_2" w:history="1">
        <w:r w:rsidRPr="00A66597">
          <w:rPr>
            <w:rStyle w:val="Hyperlink"/>
            <w:szCs w:val="22"/>
          </w:rPr>
          <w:t>Tensile Strength Modulus of PCC</w:t>
        </w:r>
      </w:hyperlink>
    </w:p>
    <w:p w14:paraId="7DFCE226" w14:textId="5C2CC2E4" w:rsidR="00A81424" w:rsidRPr="00A81424" w:rsidRDefault="00A81424" w:rsidP="00722B46">
      <w:pPr>
        <w:pStyle w:val="ListNumber"/>
        <w:numPr>
          <w:ilvl w:val="0"/>
          <w:numId w:val="4"/>
        </w:numPr>
        <w:tabs>
          <w:tab w:val="clear" w:pos="1872"/>
          <w:tab w:val="num" w:pos="2520"/>
        </w:tabs>
        <w:spacing w:before="0"/>
        <w:ind w:hanging="720"/>
        <w:jc w:val="both"/>
        <w:rPr>
          <w:szCs w:val="22"/>
        </w:rPr>
      </w:pPr>
      <w:smartTag w:uri="urn:schemas-microsoft-com:office:smarttags" w:element="stockticker">
        <w:r w:rsidRPr="00885526">
          <w:rPr>
            <w:u w:val="single"/>
          </w:rPr>
          <w:t>PCC</w:t>
        </w:r>
      </w:smartTag>
      <w:r w:rsidRPr="00885526">
        <w:rPr>
          <w:u w:val="single"/>
        </w:rPr>
        <w:t xml:space="preserve"> Shri</w:t>
      </w:r>
      <w:r w:rsidRPr="00A81424">
        <w:rPr>
          <w:szCs w:val="22"/>
          <w:u w:val="single"/>
        </w:rPr>
        <w:t>nkage Factor</w:t>
      </w:r>
      <w:r w:rsidRPr="00A81424">
        <w:rPr>
          <w:szCs w:val="22"/>
        </w:rPr>
        <w:t xml:space="preserve">: Refer to </w:t>
      </w:r>
      <w:hyperlink w:anchor="_Drying_Shrinkage_Coefficient" w:history="1">
        <w:r w:rsidRPr="00A81424">
          <w:rPr>
            <w:rStyle w:val="Hyperlink"/>
            <w:szCs w:val="22"/>
          </w:rPr>
          <w:t>Drying Shrinkage Coefficient of PCC Slab</w:t>
        </w:r>
      </w:hyperlink>
    </w:p>
    <w:p w14:paraId="1B692747" w14:textId="3C3D97EB" w:rsidR="00A81424" w:rsidRPr="00A81424" w:rsidRDefault="00A81424" w:rsidP="00722B46">
      <w:pPr>
        <w:pStyle w:val="ListNumber"/>
        <w:numPr>
          <w:ilvl w:val="0"/>
          <w:numId w:val="4"/>
        </w:numPr>
        <w:tabs>
          <w:tab w:val="clear" w:pos="1872"/>
          <w:tab w:val="num" w:pos="2520"/>
        </w:tabs>
        <w:spacing w:before="0"/>
        <w:ind w:hanging="720"/>
        <w:jc w:val="both"/>
        <w:rPr>
          <w:szCs w:val="22"/>
        </w:rPr>
      </w:pPr>
      <w:smartTag w:uri="urn:schemas-microsoft-com:office:smarttags" w:element="stockticker">
        <w:r w:rsidRPr="00A81424">
          <w:rPr>
            <w:szCs w:val="22"/>
            <w:u w:val="single"/>
          </w:rPr>
          <w:t>PCC</w:t>
        </w:r>
      </w:smartTag>
      <w:r w:rsidRPr="00A81424">
        <w:rPr>
          <w:szCs w:val="22"/>
          <w:u w:val="single"/>
        </w:rPr>
        <w:t xml:space="preserve"> Thermal Coefficient</w:t>
      </w:r>
      <w:r w:rsidRPr="00A81424">
        <w:rPr>
          <w:szCs w:val="22"/>
        </w:rPr>
        <w:t xml:space="preserve">: Refer to </w:t>
      </w:r>
      <w:hyperlink w:anchor="_Coefficient_of_Thermal_1" w:history="1">
        <w:r w:rsidRPr="00A81424">
          <w:rPr>
            <w:rStyle w:val="Hyperlink"/>
            <w:szCs w:val="22"/>
          </w:rPr>
          <w:t>Coefficient of Thermal Expansion</w:t>
        </w:r>
      </w:hyperlink>
    </w:p>
    <w:p w14:paraId="2C149753" w14:textId="21F9EC36" w:rsidR="00A81424" w:rsidRPr="00A81424" w:rsidRDefault="00A81424" w:rsidP="00722B46">
      <w:pPr>
        <w:pStyle w:val="ListNumber"/>
        <w:numPr>
          <w:ilvl w:val="0"/>
          <w:numId w:val="4"/>
        </w:numPr>
        <w:tabs>
          <w:tab w:val="clear" w:pos="1872"/>
          <w:tab w:val="num" w:pos="2520"/>
        </w:tabs>
        <w:spacing w:before="0"/>
        <w:ind w:hanging="720"/>
        <w:jc w:val="both"/>
        <w:rPr>
          <w:szCs w:val="22"/>
        </w:rPr>
      </w:pPr>
      <w:r w:rsidRPr="00A81424">
        <w:rPr>
          <w:szCs w:val="22"/>
          <w:u w:val="single"/>
        </w:rPr>
        <w:t>Reinforcing Bar Thermal Coefficient</w:t>
      </w:r>
      <w:r w:rsidRPr="00A81424">
        <w:rPr>
          <w:szCs w:val="22"/>
        </w:rPr>
        <w:t xml:space="preserve">: Refer to </w:t>
      </w:r>
      <w:hyperlink w:anchor="_Coefficient_of_Thermal_1" w:history="1">
        <w:r w:rsidRPr="00A81424">
          <w:rPr>
            <w:rStyle w:val="Hyperlink"/>
            <w:szCs w:val="22"/>
          </w:rPr>
          <w:t>Coefficient of Thermal Expansion</w:t>
        </w:r>
      </w:hyperlink>
    </w:p>
    <w:p w14:paraId="603AE57D" w14:textId="77777777" w:rsidR="00A66597" w:rsidRPr="00A81424" w:rsidRDefault="00A66597" w:rsidP="00722B46">
      <w:pPr>
        <w:pStyle w:val="ListNumber"/>
        <w:numPr>
          <w:ilvl w:val="0"/>
          <w:numId w:val="4"/>
        </w:numPr>
        <w:tabs>
          <w:tab w:val="clear" w:pos="1872"/>
          <w:tab w:val="num" w:pos="2520"/>
        </w:tabs>
        <w:spacing w:before="0"/>
        <w:ind w:hanging="720"/>
        <w:jc w:val="both"/>
        <w:rPr>
          <w:szCs w:val="22"/>
        </w:rPr>
      </w:pPr>
      <w:r w:rsidRPr="00A81424">
        <w:rPr>
          <w:szCs w:val="22"/>
          <w:u w:val="single"/>
        </w:rPr>
        <w:t>Design Temperature Drop</w:t>
      </w:r>
      <w:r w:rsidRPr="00A81424">
        <w:rPr>
          <w:szCs w:val="22"/>
        </w:rPr>
        <w:t xml:space="preserve">: The design temperature drop is the difference between the average concrete curing temperature and a design minimum temperature.  The average concrete curing temperature may be taken as the average daily high temperature during the month the pavement is expected to be constructed.  The design minimum temperature is defined as the average daily low temperature for the coldest month during the pavement life.   </w:t>
      </w:r>
    </w:p>
    <w:p w14:paraId="4806A1BF" w14:textId="0BE7A54B" w:rsidR="00A81424" w:rsidRPr="00A81424" w:rsidRDefault="00A81424" w:rsidP="00722B46">
      <w:pPr>
        <w:pStyle w:val="ListNumber"/>
        <w:numPr>
          <w:ilvl w:val="0"/>
          <w:numId w:val="4"/>
        </w:numPr>
        <w:tabs>
          <w:tab w:val="clear" w:pos="1872"/>
          <w:tab w:val="num" w:pos="2520"/>
        </w:tabs>
        <w:spacing w:before="0"/>
        <w:ind w:hanging="720"/>
        <w:jc w:val="both"/>
        <w:rPr>
          <w:szCs w:val="22"/>
        </w:rPr>
      </w:pPr>
      <w:r w:rsidRPr="00A81424">
        <w:rPr>
          <w:szCs w:val="22"/>
          <w:u w:val="single"/>
        </w:rPr>
        <w:t>Wheel Load Stress</w:t>
      </w:r>
      <w:r w:rsidRPr="00A81424">
        <w:rPr>
          <w:szCs w:val="22"/>
        </w:rPr>
        <w:t>: The wheel load stress can be estimated using the graph presented on page II-55 in the “1993 AASHTO Guide for Design of Pavement Structures.”</w:t>
      </w:r>
    </w:p>
    <w:p w14:paraId="37ADA895" w14:textId="77777777" w:rsidR="00A81424" w:rsidRPr="00A81424" w:rsidRDefault="00A81424" w:rsidP="00722B46">
      <w:pPr>
        <w:pStyle w:val="BulletList"/>
        <w:numPr>
          <w:ilvl w:val="0"/>
          <w:numId w:val="4"/>
        </w:numPr>
        <w:ind w:hanging="720"/>
        <w:jc w:val="both"/>
      </w:pPr>
      <w:r w:rsidRPr="00A81424">
        <w:rPr>
          <w:sz w:val="22"/>
          <w:u w:val="single"/>
        </w:rPr>
        <w:t>Allowable Steel Stress</w:t>
      </w:r>
      <w:r w:rsidRPr="00A81424">
        <w:rPr>
          <w:sz w:val="22"/>
        </w:rPr>
        <w:t>: 75% of steel grade.</w:t>
      </w:r>
    </w:p>
    <w:p w14:paraId="0517FEFE" w14:textId="77777777" w:rsidR="00A81424" w:rsidRPr="00A81424" w:rsidRDefault="00A81424" w:rsidP="00722B46">
      <w:pPr>
        <w:pStyle w:val="BulletList"/>
        <w:numPr>
          <w:ilvl w:val="0"/>
          <w:numId w:val="4"/>
        </w:numPr>
        <w:ind w:hanging="720"/>
        <w:jc w:val="both"/>
      </w:pPr>
      <w:r w:rsidRPr="00A81424">
        <w:rPr>
          <w:sz w:val="22"/>
          <w:u w:val="single"/>
        </w:rPr>
        <w:t>Allowable Crack Width</w:t>
      </w:r>
      <w:r w:rsidRPr="00A81424">
        <w:rPr>
          <w:sz w:val="22"/>
        </w:rPr>
        <w:t>: Make as close to 0.020 inches as the software will allow so that the maximum steel percentage is not less than the minimum.</w:t>
      </w:r>
    </w:p>
    <w:p w14:paraId="4D3F85AF" w14:textId="77777777" w:rsidR="00A81424" w:rsidRPr="00A81424" w:rsidRDefault="00A81424" w:rsidP="00722B46">
      <w:pPr>
        <w:pStyle w:val="BulletList"/>
        <w:numPr>
          <w:ilvl w:val="0"/>
          <w:numId w:val="4"/>
        </w:numPr>
        <w:ind w:hanging="720"/>
        <w:jc w:val="both"/>
      </w:pPr>
      <w:r w:rsidRPr="00A81424">
        <w:rPr>
          <w:sz w:val="22"/>
          <w:u w:val="single"/>
        </w:rPr>
        <w:t>Friction Factor</w:t>
      </w:r>
      <w:r w:rsidRPr="00A81424">
        <w:rPr>
          <w:sz w:val="22"/>
        </w:rPr>
        <w:t xml:space="preserve">:  Refer to </w:t>
      </w:r>
      <w:hyperlink w:anchor="_Friction_Factor_–" w:history="1">
        <w:r w:rsidRPr="00A81424">
          <w:rPr>
            <w:rStyle w:val="Hyperlink"/>
            <w:sz w:val="22"/>
          </w:rPr>
          <w:t>Friction Factor – AASHTO 1993</w:t>
        </w:r>
      </w:hyperlink>
      <w:r w:rsidRPr="00A81424">
        <w:rPr>
          <w:sz w:val="22"/>
        </w:rPr>
        <w:t>.</w:t>
      </w:r>
    </w:p>
    <w:p w14:paraId="1DEF4056" w14:textId="50BCE146" w:rsidR="00A81424" w:rsidRPr="00722B46" w:rsidRDefault="00A81424" w:rsidP="00722B46">
      <w:pPr>
        <w:pStyle w:val="ListNumber"/>
        <w:numPr>
          <w:ilvl w:val="0"/>
          <w:numId w:val="4"/>
        </w:numPr>
        <w:tabs>
          <w:tab w:val="clear" w:pos="1872"/>
          <w:tab w:val="num" w:pos="2520"/>
        </w:tabs>
        <w:spacing w:before="0"/>
        <w:ind w:hanging="720"/>
        <w:jc w:val="both"/>
      </w:pPr>
      <w:r w:rsidRPr="00A81424">
        <w:rPr>
          <w:szCs w:val="22"/>
        </w:rPr>
        <w:t>Follow Section 3.4.3 of the AASHTO 1993 Guide for the Transverse Steel Reinforcement Requirements procedure.</w:t>
      </w:r>
    </w:p>
    <w:p w14:paraId="25B085DE" w14:textId="77777777" w:rsidR="00E74156" w:rsidRPr="00A81424" w:rsidRDefault="00E74156" w:rsidP="00722B46">
      <w:pPr>
        <w:pStyle w:val="BulletList"/>
        <w:numPr>
          <w:ilvl w:val="0"/>
          <w:numId w:val="0"/>
        </w:numPr>
        <w:ind w:left="720" w:hanging="720"/>
        <w:jc w:val="both"/>
      </w:pPr>
    </w:p>
    <w:p w14:paraId="000C6587" w14:textId="77777777" w:rsidR="00957E95" w:rsidRDefault="00957E95" w:rsidP="00172E64">
      <w:pPr>
        <w:pStyle w:val="Heading4"/>
        <w:numPr>
          <w:ilvl w:val="3"/>
          <w:numId w:val="185"/>
        </w:numPr>
        <w:ind w:left="864"/>
      </w:pPr>
      <w:r>
        <w:t>Constructability</w:t>
      </w:r>
    </w:p>
    <w:p w14:paraId="769F9148" w14:textId="4D37D964" w:rsidR="001A15B9" w:rsidRDefault="00D007B1" w:rsidP="00172E64">
      <w:pPr>
        <w:pStyle w:val="ListNumber"/>
        <w:numPr>
          <w:ilvl w:val="0"/>
          <w:numId w:val="102"/>
        </w:numPr>
        <w:tabs>
          <w:tab w:val="clear" w:pos="1872"/>
        </w:tabs>
        <w:spacing w:after="240"/>
        <w:jc w:val="both"/>
      </w:pPr>
      <w:r>
        <w:t xml:space="preserve">The new pavement design shall be checked for constructability issues.  For base widening and new pavement designs, care shall be taken to ensure that the new section does not </w:t>
      </w:r>
      <w:r w:rsidR="00BD186D">
        <w:t>a</w:t>
      </w:r>
      <w:r>
        <w:t>ffect the performance of the existing roadway; i.e.</w:t>
      </w:r>
      <w:r w:rsidR="00E55769">
        <w:t>,</w:t>
      </w:r>
      <w:r>
        <w:t xml:space="preserve"> drainage problems from a “bathtub” effect or poor construction joint from different pavement types, etc.  For new construction or reconstruction, care shall be taken to ensure that the pavement design can be constructed and perform well over the pavement service life; geometric and grade demands</w:t>
      </w:r>
      <w:r w:rsidR="00E55769">
        <w:t>;</w:t>
      </w:r>
      <w:r>
        <w:t xml:space="preserve"> </w:t>
      </w:r>
      <w:smartTag w:uri="urn:schemas-microsoft-com:office:smarttags" w:element="stockticker">
        <w:r>
          <w:t>MOT</w:t>
        </w:r>
      </w:smartTag>
      <w:r>
        <w:t xml:space="preserve"> constraints</w:t>
      </w:r>
      <w:r w:rsidR="00E55769">
        <w:t>;</w:t>
      </w:r>
      <w:r>
        <w:t xml:space="preserve"> regional material constraints</w:t>
      </w:r>
      <w:r w:rsidR="00E55769">
        <w:t>;</w:t>
      </w:r>
      <w:r>
        <w:t xml:space="preserve"> etc.</w:t>
      </w:r>
      <w:r>
        <w:br w:type="page"/>
      </w:r>
    </w:p>
    <w:p w14:paraId="62955B8F" w14:textId="77777777" w:rsidR="00D007B1" w:rsidRDefault="00D007B1" w:rsidP="00172E64">
      <w:pPr>
        <w:pStyle w:val="Heading2"/>
        <w:numPr>
          <w:ilvl w:val="1"/>
          <w:numId w:val="185"/>
        </w:numPr>
        <w:ind w:left="0" w:firstLine="0"/>
        <w:jc w:val="both"/>
        <w:sectPr w:rsidR="00D007B1" w:rsidSect="008B1BAA">
          <w:headerReference w:type="default" r:id="rId458"/>
          <w:footerReference w:type="default" r:id="rId459"/>
          <w:pgSz w:w="12240" w:h="15840"/>
          <w:pgMar w:top="1440" w:right="1800" w:bottom="1440" w:left="1800" w:header="720" w:footer="720" w:gutter="0"/>
          <w:pgNumType w:chapStyle="1"/>
          <w:cols w:space="720"/>
          <w:docGrid w:linePitch="272"/>
        </w:sectPr>
      </w:pPr>
    </w:p>
    <w:p w14:paraId="16E673DD" w14:textId="5A14C790" w:rsidR="00150C5E" w:rsidRDefault="00150C5E" w:rsidP="00172E64">
      <w:pPr>
        <w:pStyle w:val="Heading2"/>
        <w:numPr>
          <w:ilvl w:val="1"/>
          <w:numId w:val="185"/>
        </w:numPr>
        <w:ind w:left="720" w:hanging="720"/>
      </w:pPr>
      <w:bookmarkStart w:id="1294" w:name="_Pavement_Preservation_and_1"/>
      <w:bookmarkStart w:id="1295" w:name="_Pavement_Preservation_and"/>
      <w:bookmarkStart w:id="1296" w:name="_Toc479160148"/>
      <w:bookmarkStart w:id="1297" w:name="_Toc514058035"/>
      <w:bookmarkStart w:id="1298" w:name="_Toc194932430"/>
      <w:bookmarkEnd w:id="1294"/>
      <w:bookmarkEnd w:id="1295"/>
      <w:r>
        <w:lastRenderedPageBreak/>
        <w:t xml:space="preserve">Pavement </w:t>
      </w:r>
      <w:r w:rsidR="006309AA">
        <w:t xml:space="preserve">Preservation and </w:t>
      </w:r>
      <w:r>
        <w:t>Rehabilitation Design</w:t>
      </w:r>
      <w:r w:rsidR="006309AA">
        <w:t xml:space="preserve"> Using AA</w:t>
      </w:r>
      <w:r w:rsidR="00825288">
        <w:t>S</w:t>
      </w:r>
      <w:r w:rsidR="006309AA">
        <w:t>HTO 1993</w:t>
      </w:r>
      <w:bookmarkEnd w:id="1296"/>
      <w:bookmarkEnd w:id="1297"/>
      <w:bookmarkEnd w:id="1298"/>
    </w:p>
    <w:p w14:paraId="21F7A2E1" w14:textId="77777777" w:rsidR="000A6278" w:rsidRDefault="000A6278" w:rsidP="00115674">
      <w:pPr>
        <w:pStyle w:val="Heading3"/>
        <w:numPr>
          <w:ilvl w:val="0"/>
          <w:numId w:val="0"/>
        </w:numPr>
        <w:spacing w:before="0"/>
      </w:pPr>
      <w:r w:rsidRPr="00E86920">
        <w:rPr>
          <w:rFonts w:eastAsia="Arial" w:cs="Arial"/>
          <w:b w:val="0"/>
          <w:i w:val="0"/>
          <w:sz w:val="16"/>
        </w:rPr>
        <w:t>Click to go to</w:t>
      </w:r>
      <w:r>
        <w:rPr>
          <w:rFonts w:eastAsia="Arial" w:cs="Arial"/>
          <w:b w:val="0"/>
          <w:i w:val="0"/>
          <w:sz w:val="16"/>
        </w:rPr>
        <w:t xml:space="preserve"> </w:t>
      </w:r>
      <w:hyperlink w:anchor="_Pavement_Mechanistic-Empirical_Anal" w:history="1">
        <w:r w:rsidRPr="006B41DE">
          <w:rPr>
            <w:rStyle w:val="Hyperlink"/>
            <w:rFonts w:eastAsia="Arial" w:cs="Arial"/>
            <w:b w:val="0"/>
            <w:i w:val="0"/>
            <w:sz w:val="16"/>
          </w:rPr>
          <w:t>Pavement Mechanistic-Empirical Analysis</w:t>
        </w:r>
      </w:hyperlink>
    </w:p>
    <w:p w14:paraId="3430510E" w14:textId="77777777" w:rsidR="00630F37" w:rsidRPr="006309AA" w:rsidRDefault="00630F37" w:rsidP="00172E64">
      <w:pPr>
        <w:pStyle w:val="Heading3"/>
        <w:numPr>
          <w:ilvl w:val="2"/>
          <w:numId w:val="185"/>
        </w:numPr>
        <w:ind w:left="0" w:firstLine="0"/>
      </w:pPr>
      <w:r w:rsidRPr="006309AA">
        <w:t>Purpose</w:t>
      </w:r>
    </w:p>
    <w:p w14:paraId="3CA24C38" w14:textId="77777777" w:rsidR="00630F37" w:rsidRPr="006309AA" w:rsidRDefault="00630F37" w:rsidP="00630F37">
      <w:pPr>
        <w:pStyle w:val="BodyText"/>
      </w:pPr>
      <w:r w:rsidRPr="006309AA">
        <w:t xml:space="preserve">Pavement </w:t>
      </w:r>
      <w:r w:rsidR="006309AA">
        <w:t xml:space="preserve">preservation and </w:t>
      </w:r>
      <w:r w:rsidR="006309AA" w:rsidRPr="006309AA">
        <w:t>rehabil</w:t>
      </w:r>
      <w:r w:rsidRPr="006309AA">
        <w:t>itation</w:t>
      </w:r>
      <w:r w:rsidR="006309AA" w:rsidRPr="006309AA">
        <w:t xml:space="preserve"> design</w:t>
      </w:r>
      <w:r w:rsidRPr="006309AA">
        <w:t>s are conducted to:</w:t>
      </w:r>
    </w:p>
    <w:p w14:paraId="3952DAC8" w14:textId="77777777" w:rsidR="00630F37" w:rsidRPr="000F66DA" w:rsidRDefault="00630F37" w:rsidP="00722B46">
      <w:pPr>
        <w:numPr>
          <w:ilvl w:val="0"/>
          <w:numId w:val="24"/>
        </w:numPr>
        <w:tabs>
          <w:tab w:val="clear" w:pos="648"/>
          <w:tab w:val="num" w:pos="720"/>
          <w:tab w:val="num" w:pos="1224"/>
        </w:tabs>
        <w:ind w:left="720" w:hanging="720"/>
        <w:jc w:val="both"/>
      </w:pPr>
      <w:r w:rsidRPr="000F66DA">
        <w:rPr>
          <w:rFonts w:ascii="Arial" w:hAnsi="Arial"/>
          <w:sz w:val="22"/>
        </w:rPr>
        <w:t>Identify the existing condition of the pavement</w:t>
      </w:r>
    </w:p>
    <w:p w14:paraId="3AA00DB6" w14:textId="77777777" w:rsidR="00630F37" w:rsidRPr="000F66DA" w:rsidRDefault="00630F37" w:rsidP="00722B46">
      <w:pPr>
        <w:numPr>
          <w:ilvl w:val="0"/>
          <w:numId w:val="24"/>
        </w:numPr>
        <w:tabs>
          <w:tab w:val="clear" w:pos="648"/>
          <w:tab w:val="num" w:pos="720"/>
          <w:tab w:val="num" w:pos="1224"/>
        </w:tabs>
        <w:ind w:left="720" w:hanging="720"/>
        <w:jc w:val="both"/>
      </w:pPr>
      <w:r w:rsidRPr="000F66DA">
        <w:rPr>
          <w:rFonts w:ascii="Arial" w:hAnsi="Arial"/>
          <w:sz w:val="22"/>
        </w:rPr>
        <w:t>Identify the deterioration trend in the existing pavement</w:t>
      </w:r>
    </w:p>
    <w:p w14:paraId="293ADDE7" w14:textId="77777777" w:rsidR="00630F37" w:rsidRPr="000F66DA" w:rsidRDefault="00630F37" w:rsidP="00722B46">
      <w:pPr>
        <w:numPr>
          <w:ilvl w:val="0"/>
          <w:numId w:val="24"/>
        </w:numPr>
        <w:tabs>
          <w:tab w:val="clear" w:pos="648"/>
          <w:tab w:val="num" w:pos="720"/>
          <w:tab w:val="num" w:pos="1224"/>
        </w:tabs>
        <w:ind w:left="720" w:hanging="720"/>
        <w:jc w:val="both"/>
      </w:pPr>
      <w:r w:rsidRPr="000F66DA">
        <w:rPr>
          <w:rFonts w:ascii="Arial" w:hAnsi="Arial"/>
          <w:sz w:val="22"/>
        </w:rPr>
        <w:t>Determine the future structural requirements of the pavement</w:t>
      </w:r>
    </w:p>
    <w:p w14:paraId="525FB824" w14:textId="77777777" w:rsidR="00630F37" w:rsidRPr="000F66DA" w:rsidRDefault="00630F37" w:rsidP="00722B46">
      <w:pPr>
        <w:numPr>
          <w:ilvl w:val="0"/>
          <w:numId w:val="24"/>
        </w:numPr>
        <w:tabs>
          <w:tab w:val="clear" w:pos="648"/>
          <w:tab w:val="num" w:pos="720"/>
          <w:tab w:val="num" w:pos="1224"/>
        </w:tabs>
        <w:ind w:left="720" w:hanging="720"/>
        <w:jc w:val="both"/>
      </w:pPr>
      <w:r w:rsidRPr="000F66DA">
        <w:rPr>
          <w:rFonts w:ascii="Arial" w:hAnsi="Arial"/>
          <w:sz w:val="22"/>
        </w:rPr>
        <w:t>Determine the future functional requirements of the pavement</w:t>
      </w:r>
    </w:p>
    <w:p w14:paraId="3D281305" w14:textId="77777777" w:rsidR="00630F37" w:rsidRPr="000F66DA" w:rsidRDefault="00630F37" w:rsidP="00722B46">
      <w:pPr>
        <w:numPr>
          <w:ilvl w:val="0"/>
          <w:numId w:val="24"/>
        </w:numPr>
        <w:tabs>
          <w:tab w:val="clear" w:pos="648"/>
          <w:tab w:val="num" w:pos="720"/>
          <w:tab w:val="num" w:pos="1224"/>
        </w:tabs>
        <w:ind w:left="720" w:hanging="720"/>
        <w:jc w:val="both"/>
      </w:pPr>
      <w:r w:rsidRPr="000F66DA">
        <w:rPr>
          <w:rFonts w:ascii="Arial" w:hAnsi="Arial"/>
          <w:sz w:val="22"/>
        </w:rPr>
        <w:t>Determine the necessary improvements to the existing pavement</w:t>
      </w:r>
    </w:p>
    <w:p w14:paraId="456E8DC5" w14:textId="77777777" w:rsidR="00630F37" w:rsidRPr="000F66DA" w:rsidRDefault="00630F37" w:rsidP="00722B46">
      <w:pPr>
        <w:numPr>
          <w:ilvl w:val="0"/>
          <w:numId w:val="24"/>
        </w:numPr>
        <w:tabs>
          <w:tab w:val="clear" w:pos="648"/>
          <w:tab w:val="num" w:pos="720"/>
          <w:tab w:val="num" w:pos="1224"/>
        </w:tabs>
        <w:ind w:left="720" w:hanging="720"/>
        <w:jc w:val="both"/>
      </w:pPr>
      <w:r w:rsidRPr="000F66DA">
        <w:rPr>
          <w:rFonts w:ascii="Arial" w:hAnsi="Arial"/>
          <w:sz w:val="22"/>
        </w:rPr>
        <w:t>Identify the material requirements to improve the pavement following the Pavement Design Policies</w:t>
      </w:r>
    </w:p>
    <w:p w14:paraId="3D418812" w14:textId="77777777" w:rsidR="00630F37" w:rsidRPr="006309AA" w:rsidRDefault="00630F37" w:rsidP="00A42B5F">
      <w:pPr>
        <w:pStyle w:val="ListBullet"/>
      </w:pPr>
    </w:p>
    <w:p w14:paraId="160DFBA6" w14:textId="63BF2A8F" w:rsidR="006309AA" w:rsidRPr="006309AA" w:rsidRDefault="00630F37" w:rsidP="00630F37">
      <w:pPr>
        <w:jc w:val="both"/>
        <w:rPr>
          <w:rFonts w:ascii="Arial" w:hAnsi="Arial"/>
          <w:sz w:val="22"/>
        </w:rPr>
      </w:pPr>
      <w:r w:rsidRPr="006309AA">
        <w:rPr>
          <w:rFonts w:ascii="Arial" w:hAnsi="Arial"/>
          <w:sz w:val="22"/>
        </w:rPr>
        <w:t>Historically, the Maryland State Highway Administration (</w:t>
      </w:r>
      <w:r w:rsidR="008C7023">
        <w:rPr>
          <w:rFonts w:ascii="Arial" w:hAnsi="Arial"/>
          <w:sz w:val="22"/>
        </w:rPr>
        <w:t>MDOT-SHA</w:t>
      </w:r>
      <w:r w:rsidRPr="006309AA">
        <w:rPr>
          <w:rFonts w:ascii="Arial" w:hAnsi="Arial"/>
          <w:sz w:val="22"/>
        </w:rPr>
        <w:t>)</w:t>
      </w:r>
      <w:r w:rsidR="00E55769">
        <w:rPr>
          <w:rFonts w:ascii="Arial" w:hAnsi="Arial"/>
          <w:sz w:val="22"/>
        </w:rPr>
        <w:t xml:space="preserve"> </w:t>
      </w:r>
      <w:r w:rsidRPr="006309AA">
        <w:rPr>
          <w:rFonts w:ascii="Arial" w:hAnsi="Arial"/>
          <w:sz w:val="22"/>
        </w:rPr>
        <w:t xml:space="preserve">has relied almost exclusively upon rehabilitation strategies to maintain their pavement system.  While rehabilitation is a valid strategy, it is not necessarily the most cost-effective strategy; quite often, the more cost-effective treatments to maintain the pavement system are pavement preservation treatments. Pavement preservation is an important facet of maintaining </w:t>
      </w:r>
      <w:r w:rsidR="008C7023">
        <w:rPr>
          <w:rFonts w:ascii="Arial" w:hAnsi="Arial"/>
          <w:sz w:val="22"/>
        </w:rPr>
        <w:t>MDOT-SHA</w:t>
      </w:r>
      <w:r w:rsidRPr="006309AA">
        <w:rPr>
          <w:rFonts w:ascii="Arial" w:hAnsi="Arial"/>
          <w:sz w:val="22"/>
        </w:rPr>
        <w:t>’s roadways.</w:t>
      </w:r>
      <w:r w:rsidR="006309AA" w:rsidRPr="006309AA">
        <w:rPr>
          <w:rFonts w:ascii="Arial" w:hAnsi="Arial"/>
          <w:sz w:val="22"/>
        </w:rPr>
        <w:t xml:space="preserve">  </w:t>
      </w:r>
    </w:p>
    <w:p w14:paraId="317BD25E" w14:textId="77777777" w:rsidR="006309AA" w:rsidRPr="006309AA" w:rsidRDefault="006309AA" w:rsidP="00630F37">
      <w:pPr>
        <w:jc w:val="both"/>
        <w:rPr>
          <w:rFonts w:ascii="Arial" w:hAnsi="Arial"/>
          <w:sz w:val="22"/>
        </w:rPr>
      </w:pPr>
    </w:p>
    <w:p w14:paraId="7642296D" w14:textId="77777777" w:rsidR="00630F37" w:rsidRPr="006309AA" w:rsidRDefault="006309AA" w:rsidP="00630F37">
      <w:pPr>
        <w:jc w:val="both"/>
        <w:rPr>
          <w:rFonts w:ascii="Arial" w:hAnsi="Arial" w:cs="Arial"/>
          <w:sz w:val="22"/>
          <w:szCs w:val="22"/>
        </w:rPr>
      </w:pPr>
      <w:r w:rsidRPr="006309AA">
        <w:rPr>
          <w:rFonts w:ascii="Arial" w:hAnsi="Arial"/>
          <w:sz w:val="22"/>
        </w:rPr>
        <w:t xml:space="preserve">However, the AASHTO 1993 methodology is not geared towards preservation.  Refer to </w:t>
      </w:r>
      <w:hyperlink w:anchor="_Pavement_Preservation_&amp;" w:history="1">
        <w:r w:rsidR="0084247A">
          <w:rPr>
            <w:rStyle w:val="Hyperlink"/>
            <w:rFonts w:ascii="Arial" w:hAnsi="Arial" w:cs="Arial"/>
            <w:sz w:val="22"/>
            <w:szCs w:val="22"/>
          </w:rPr>
          <w:t>Pavement Preservation &amp; Rehabilitation Design</w:t>
        </w:r>
      </w:hyperlink>
      <w:r w:rsidRPr="006309AA">
        <w:rPr>
          <w:rFonts w:ascii="Arial" w:hAnsi="Arial" w:cs="Arial"/>
          <w:sz w:val="22"/>
          <w:szCs w:val="22"/>
        </w:rPr>
        <w:t xml:space="preserve"> for preservation guidance.</w:t>
      </w:r>
    </w:p>
    <w:p w14:paraId="633C2D29" w14:textId="77777777" w:rsidR="00630F37" w:rsidRPr="006309AA" w:rsidRDefault="00630F37" w:rsidP="00630F37">
      <w:pPr>
        <w:jc w:val="both"/>
        <w:rPr>
          <w:rFonts w:ascii="Arial" w:hAnsi="Arial"/>
          <w:sz w:val="22"/>
        </w:rPr>
      </w:pPr>
    </w:p>
    <w:p w14:paraId="169D73C2" w14:textId="77777777" w:rsidR="00630F37" w:rsidRPr="006309AA" w:rsidRDefault="00630F37" w:rsidP="00630F37">
      <w:pPr>
        <w:jc w:val="both"/>
        <w:rPr>
          <w:rFonts w:ascii="Arial" w:hAnsi="Arial"/>
          <w:sz w:val="22"/>
        </w:rPr>
      </w:pPr>
      <w:r w:rsidRPr="006309AA">
        <w:rPr>
          <w:rFonts w:ascii="Arial" w:hAnsi="Arial"/>
          <w:sz w:val="22"/>
        </w:rPr>
        <w:t xml:space="preserve">The purpose of this section is to provide general guidance on the selection of pavement </w:t>
      </w:r>
      <w:r w:rsidR="006309AA" w:rsidRPr="006309AA">
        <w:rPr>
          <w:rFonts w:ascii="Arial" w:hAnsi="Arial"/>
          <w:sz w:val="22"/>
        </w:rPr>
        <w:t>preservation and rehabilitation treat</w:t>
      </w:r>
      <w:r w:rsidRPr="006309AA">
        <w:rPr>
          <w:rFonts w:ascii="Arial" w:hAnsi="Arial"/>
          <w:sz w:val="22"/>
        </w:rPr>
        <w:t xml:space="preserve">ments.  </w:t>
      </w:r>
    </w:p>
    <w:p w14:paraId="316EA89A" w14:textId="77777777" w:rsidR="00630F37" w:rsidRPr="006309AA" w:rsidRDefault="00630F37" w:rsidP="00630F37">
      <w:pPr>
        <w:jc w:val="both"/>
        <w:rPr>
          <w:rFonts w:ascii="Arial" w:hAnsi="Arial"/>
          <w:sz w:val="22"/>
        </w:rPr>
      </w:pPr>
    </w:p>
    <w:p w14:paraId="7D46EE96" w14:textId="22A1754F" w:rsidR="00630F37" w:rsidRPr="006309AA" w:rsidRDefault="00630F37" w:rsidP="00630F37">
      <w:pPr>
        <w:jc w:val="both"/>
        <w:rPr>
          <w:rFonts w:ascii="Arial" w:hAnsi="Arial"/>
          <w:sz w:val="22"/>
        </w:rPr>
      </w:pPr>
      <w:r w:rsidRPr="006309AA">
        <w:rPr>
          <w:rFonts w:ascii="Arial" w:hAnsi="Arial"/>
          <w:sz w:val="22"/>
        </w:rPr>
        <w:t>This section will assist in determining “the right fix for the right road at the right time” when used in conjunction with network-level and project specific data.  Step-by-step instructions on determining treatment options are provided through the use of flow charts, decision trees</w:t>
      </w:r>
      <w:r w:rsidR="00E55769">
        <w:rPr>
          <w:rFonts w:ascii="Arial" w:hAnsi="Arial"/>
          <w:sz w:val="22"/>
        </w:rPr>
        <w:t>,</w:t>
      </w:r>
      <w:r w:rsidRPr="006309AA">
        <w:rPr>
          <w:rFonts w:ascii="Arial" w:hAnsi="Arial"/>
          <w:sz w:val="22"/>
        </w:rPr>
        <w:t xml:space="preserve"> and treatment tables.  At the end of the step-by-step process, many treatment options will be available</w:t>
      </w:r>
      <w:r w:rsidR="006309AA" w:rsidRPr="006309AA">
        <w:rPr>
          <w:rFonts w:ascii="Arial" w:hAnsi="Arial"/>
          <w:sz w:val="22"/>
        </w:rPr>
        <w:t>, and ultimately t</w:t>
      </w:r>
      <w:r w:rsidRPr="006309AA">
        <w:rPr>
          <w:rFonts w:ascii="Arial" w:hAnsi="Arial"/>
          <w:sz w:val="22"/>
        </w:rPr>
        <w:t>he final treatment option(s) should be determined in a partnership between the districts and PAGD.</w:t>
      </w:r>
    </w:p>
    <w:p w14:paraId="253BFE1C" w14:textId="77777777" w:rsidR="00630F37" w:rsidRPr="006309AA" w:rsidRDefault="00630F37" w:rsidP="00172E64">
      <w:pPr>
        <w:pStyle w:val="Heading3"/>
        <w:numPr>
          <w:ilvl w:val="2"/>
          <w:numId w:val="185"/>
        </w:numPr>
        <w:ind w:left="0" w:firstLine="0"/>
      </w:pPr>
      <w:r w:rsidRPr="006309AA">
        <w:t>Resource Requirements</w:t>
      </w:r>
    </w:p>
    <w:p w14:paraId="09903757" w14:textId="77777777" w:rsidR="00630F37" w:rsidRPr="006309AA" w:rsidRDefault="00630F37" w:rsidP="00722B46">
      <w:pPr>
        <w:pStyle w:val="BodyText"/>
        <w:spacing w:after="240"/>
      </w:pPr>
      <w:r w:rsidRPr="006309AA">
        <w:t>The pavement rehabilitation design procedure documented below requires the following staffing needs for a typical job:</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5"/>
        <w:gridCol w:w="2093"/>
        <w:gridCol w:w="1687"/>
        <w:gridCol w:w="1620"/>
      </w:tblGrid>
      <w:tr w:rsidR="00115674" w:rsidRPr="006309AA" w14:paraId="378D93C1" w14:textId="77777777" w:rsidTr="00E55769">
        <w:trPr>
          <w:trHeight w:val="288"/>
          <w:jc w:val="center"/>
        </w:trPr>
        <w:tc>
          <w:tcPr>
            <w:tcW w:w="3145" w:type="dxa"/>
            <w:shd w:val="pct15" w:color="auto" w:fill="FFFFFF"/>
            <w:vAlign w:val="center"/>
          </w:tcPr>
          <w:p w14:paraId="7CA7BCCC" w14:textId="77777777" w:rsidR="00630F37" w:rsidRPr="006309AA" w:rsidRDefault="00630F37" w:rsidP="00630F37">
            <w:pPr>
              <w:jc w:val="center"/>
              <w:rPr>
                <w:rFonts w:ascii="Arial" w:hAnsi="Arial"/>
                <w:b/>
              </w:rPr>
            </w:pPr>
            <w:r w:rsidRPr="006309AA">
              <w:rPr>
                <w:rFonts w:ascii="Arial" w:hAnsi="Arial"/>
                <w:b/>
              </w:rPr>
              <w:t>Position</w:t>
            </w:r>
          </w:p>
        </w:tc>
        <w:tc>
          <w:tcPr>
            <w:tcW w:w="2093" w:type="dxa"/>
            <w:shd w:val="pct15" w:color="auto" w:fill="FFFFFF"/>
            <w:vAlign w:val="center"/>
          </w:tcPr>
          <w:p w14:paraId="4A02E727" w14:textId="77777777" w:rsidR="00630F37" w:rsidRPr="006309AA" w:rsidRDefault="00630F37" w:rsidP="00630F37">
            <w:pPr>
              <w:jc w:val="center"/>
              <w:rPr>
                <w:rFonts w:ascii="Arial" w:hAnsi="Arial"/>
                <w:b/>
              </w:rPr>
            </w:pPr>
            <w:r w:rsidRPr="006309AA">
              <w:rPr>
                <w:rFonts w:ascii="Arial" w:hAnsi="Arial"/>
                <w:b/>
              </w:rPr>
              <w:t>Function</w:t>
            </w:r>
          </w:p>
        </w:tc>
        <w:tc>
          <w:tcPr>
            <w:tcW w:w="1687" w:type="dxa"/>
            <w:shd w:val="pct15" w:color="auto" w:fill="FFFFFF"/>
            <w:vAlign w:val="center"/>
          </w:tcPr>
          <w:p w14:paraId="6C6AA58C" w14:textId="77777777" w:rsidR="00630F37" w:rsidRPr="006309AA" w:rsidRDefault="00630F37" w:rsidP="00630F37">
            <w:pPr>
              <w:jc w:val="center"/>
              <w:rPr>
                <w:rFonts w:ascii="Arial" w:hAnsi="Arial"/>
                <w:b/>
              </w:rPr>
            </w:pPr>
            <w:r w:rsidRPr="006309AA">
              <w:rPr>
                <w:rFonts w:ascii="Arial" w:hAnsi="Arial"/>
                <w:b/>
              </w:rPr>
              <w:t>Resources</w:t>
            </w:r>
          </w:p>
        </w:tc>
        <w:tc>
          <w:tcPr>
            <w:tcW w:w="1620" w:type="dxa"/>
            <w:shd w:val="pct15" w:color="auto" w:fill="FFFFFF"/>
            <w:vAlign w:val="center"/>
          </w:tcPr>
          <w:p w14:paraId="525DD8A8" w14:textId="77777777" w:rsidR="00630F37" w:rsidRPr="006309AA" w:rsidRDefault="00630F37" w:rsidP="00630F37">
            <w:pPr>
              <w:jc w:val="center"/>
              <w:rPr>
                <w:rFonts w:ascii="Arial" w:hAnsi="Arial"/>
                <w:b/>
              </w:rPr>
            </w:pPr>
            <w:r w:rsidRPr="006309AA">
              <w:rPr>
                <w:rFonts w:ascii="Arial" w:hAnsi="Arial"/>
                <w:b/>
              </w:rPr>
              <w:t>Effort Level</w:t>
            </w:r>
          </w:p>
          <w:p w14:paraId="754D74FA" w14:textId="77777777" w:rsidR="00630F37" w:rsidRPr="006309AA" w:rsidRDefault="00630F37" w:rsidP="00630F37">
            <w:pPr>
              <w:jc w:val="center"/>
              <w:rPr>
                <w:rFonts w:ascii="Arial" w:hAnsi="Arial"/>
                <w:b/>
              </w:rPr>
            </w:pPr>
            <w:r w:rsidRPr="006309AA">
              <w:rPr>
                <w:rFonts w:ascii="Arial" w:hAnsi="Arial"/>
                <w:b/>
              </w:rPr>
              <w:t>(man-hours)</w:t>
            </w:r>
          </w:p>
        </w:tc>
      </w:tr>
      <w:tr w:rsidR="00630F37" w:rsidRPr="006309AA" w14:paraId="4BE6163E" w14:textId="77777777" w:rsidTr="00722B46">
        <w:trPr>
          <w:trHeight w:val="288"/>
          <w:jc w:val="center"/>
        </w:trPr>
        <w:tc>
          <w:tcPr>
            <w:tcW w:w="3145" w:type="dxa"/>
            <w:vAlign w:val="center"/>
          </w:tcPr>
          <w:p w14:paraId="4D6A338C" w14:textId="77777777" w:rsidR="00630F37" w:rsidRPr="006309AA" w:rsidRDefault="00630F37" w:rsidP="00630F37">
            <w:pPr>
              <w:jc w:val="center"/>
              <w:rPr>
                <w:rFonts w:ascii="Arial" w:hAnsi="Arial"/>
                <w:sz w:val="18"/>
              </w:rPr>
            </w:pPr>
            <w:r w:rsidRPr="006309AA">
              <w:rPr>
                <w:rFonts w:ascii="Arial" w:hAnsi="Arial"/>
                <w:sz w:val="18"/>
              </w:rPr>
              <w:t>Staff Engineer or Project Engineer</w:t>
            </w:r>
          </w:p>
        </w:tc>
        <w:tc>
          <w:tcPr>
            <w:tcW w:w="2093" w:type="dxa"/>
            <w:vAlign w:val="center"/>
          </w:tcPr>
          <w:p w14:paraId="7E4852EE" w14:textId="77777777" w:rsidR="00630F37" w:rsidRPr="006309AA" w:rsidRDefault="00630F37" w:rsidP="00630F37">
            <w:pPr>
              <w:jc w:val="center"/>
              <w:rPr>
                <w:rFonts w:ascii="Arial" w:hAnsi="Arial"/>
                <w:sz w:val="18"/>
              </w:rPr>
            </w:pPr>
            <w:r w:rsidRPr="006309AA">
              <w:rPr>
                <w:rFonts w:ascii="Arial" w:hAnsi="Arial"/>
                <w:sz w:val="18"/>
              </w:rPr>
              <w:t>Records Review</w:t>
            </w:r>
          </w:p>
        </w:tc>
        <w:tc>
          <w:tcPr>
            <w:tcW w:w="1687" w:type="dxa"/>
            <w:vAlign w:val="center"/>
          </w:tcPr>
          <w:p w14:paraId="37A262D5" w14:textId="77777777" w:rsidR="00630F37" w:rsidRPr="006309AA" w:rsidRDefault="00630F37" w:rsidP="00630F37">
            <w:pPr>
              <w:jc w:val="center"/>
              <w:rPr>
                <w:rFonts w:ascii="Arial" w:hAnsi="Arial"/>
                <w:sz w:val="18"/>
              </w:rPr>
            </w:pPr>
            <w:r w:rsidRPr="006309AA">
              <w:rPr>
                <w:rFonts w:ascii="Arial" w:hAnsi="Arial"/>
                <w:sz w:val="18"/>
              </w:rPr>
              <w:t>1</w:t>
            </w:r>
          </w:p>
        </w:tc>
        <w:tc>
          <w:tcPr>
            <w:tcW w:w="1620" w:type="dxa"/>
            <w:vAlign w:val="center"/>
          </w:tcPr>
          <w:p w14:paraId="6BB64E48" w14:textId="77777777" w:rsidR="00630F37" w:rsidRPr="006309AA" w:rsidRDefault="00630F37" w:rsidP="00630F37">
            <w:pPr>
              <w:jc w:val="center"/>
              <w:rPr>
                <w:rFonts w:ascii="Arial" w:hAnsi="Arial"/>
                <w:sz w:val="18"/>
              </w:rPr>
            </w:pPr>
            <w:r w:rsidRPr="006309AA">
              <w:rPr>
                <w:rFonts w:ascii="Arial" w:hAnsi="Arial"/>
                <w:sz w:val="18"/>
              </w:rPr>
              <w:t>2</w:t>
            </w:r>
          </w:p>
        </w:tc>
      </w:tr>
      <w:tr w:rsidR="00630F37" w:rsidRPr="006309AA" w14:paraId="4DC631CE" w14:textId="77777777" w:rsidTr="00722B46">
        <w:trPr>
          <w:trHeight w:val="288"/>
          <w:jc w:val="center"/>
        </w:trPr>
        <w:tc>
          <w:tcPr>
            <w:tcW w:w="3145" w:type="dxa"/>
            <w:vAlign w:val="center"/>
          </w:tcPr>
          <w:p w14:paraId="54F02C8D" w14:textId="77777777" w:rsidR="00630F37" w:rsidRPr="006309AA" w:rsidRDefault="00630F37" w:rsidP="00630F37">
            <w:pPr>
              <w:jc w:val="center"/>
              <w:rPr>
                <w:rFonts w:ascii="Arial" w:hAnsi="Arial"/>
                <w:sz w:val="18"/>
              </w:rPr>
            </w:pPr>
            <w:r w:rsidRPr="006309AA">
              <w:rPr>
                <w:rFonts w:ascii="Arial" w:hAnsi="Arial"/>
                <w:sz w:val="18"/>
              </w:rPr>
              <w:t>Staff Engineer or Project Engineer</w:t>
            </w:r>
          </w:p>
        </w:tc>
        <w:tc>
          <w:tcPr>
            <w:tcW w:w="2093" w:type="dxa"/>
            <w:vAlign w:val="center"/>
          </w:tcPr>
          <w:p w14:paraId="1CEA09DF" w14:textId="77777777" w:rsidR="00630F37" w:rsidRPr="006309AA" w:rsidRDefault="00630F37" w:rsidP="00630F37">
            <w:pPr>
              <w:jc w:val="center"/>
              <w:rPr>
                <w:rFonts w:ascii="Arial" w:hAnsi="Arial"/>
                <w:sz w:val="18"/>
              </w:rPr>
            </w:pPr>
            <w:r w:rsidRPr="006309AA">
              <w:rPr>
                <w:rFonts w:ascii="Arial" w:hAnsi="Arial"/>
                <w:sz w:val="18"/>
              </w:rPr>
              <w:t>Site Visit</w:t>
            </w:r>
          </w:p>
        </w:tc>
        <w:tc>
          <w:tcPr>
            <w:tcW w:w="1687" w:type="dxa"/>
            <w:vAlign w:val="center"/>
          </w:tcPr>
          <w:p w14:paraId="59897206" w14:textId="77777777" w:rsidR="00630F37" w:rsidRPr="006309AA" w:rsidRDefault="00630F37" w:rsidP="00630F37">
            <w:pPr>
              <w:jc w:val="center"/>
              <w:rPr>
                <w:rFonts w:ascii="Arial" w:hAnsi="Arial"/>
                <w:sz w:val="18"/>
              </w:rPr>
            </w:pPr>
            <w:r w:rsidRPr="006309AA">
              <w:rPr>
                <w:rFonts w:ascii="Arial" w:hAnsi="Arial"/>
                <w:sz w:val="18"/>
              </w:rPr>
              <w:t>1</w:t>
            </w:r>
          </w:p>
        </w:tc>
        <w:tc>
          <w:tcPr>
            <w:tcW w:w="1620" w:type="dxa"/>
            <w:vAlign w:val="center"/>
          </w:tcPr>
          <w:p w14:paraId="08E82AFF" w14:textId="753A1BFB" w:rsidR="00630F37" w:rsidRPr="006309AA" w:rsidRDefault="00630F37" w:rsidP="00E55769">
            <w:pPr>
              <w:jc w:val="center"/>
              <w:rPr>
                <w:rFonts w:ascii="Arial" w:hAnsi="Arial"/>
                <w:sz w:val="18"/>
              </w:rPr>
            </w:pPr>
            <w:r w:rsidRPr="006309AA">
              <w:rPr>
                <w:rFonts w:ascii="Arial" w:hAnsi="Arial"/>
                <w:sz w:val="18"/>
              </w:rPr>
              <w:t>8*</w:t>
            </w:r>
          </w:p>
        </w:tc>
      </w:tr>
      <w:tr w:rsidR="00630F37" w:rsidRPr="006309AA" w14:paraId="3D49F4BE" w14:textId="77777777" w:rsidTr="00722B46">
        <w:trPr>
          <w:trHeight w:val="288"/>
          <w:jc w:val="center"/>
        </w:trPr>
        <w:tc>
          <w:tcPr>
            <w:tcW w:w="3145" w:type="dxa"/>
            <w:vAlign w:val="center"/>
          </w:tcPr>
          <w:p w14:paraId="47719C61" w14:textId="77777777" w:rsidR="00630F37" w:rsidRPr="006309AA" w:rsidRDefault="00630F37" w:rsidP="00630F37">
            <w:pPr>
              <w:jc w:val="center"/>
              <w:rPr>
                <w:rFonts w:ascii="Arial" w:hAnsi="Arial"/>
                <w:sz w:val="18"/>
              </w:rPr>
            </w:pPr>
            <w:r w:rsidRPr="006309AA">
              <w:rPr>
                <w:rFonts w:ascii="Arial" w:hAnsi="Arial"/>
                <w:sz w:val="18"/>
              </w:rPr>
              <w:t>Staff Engineer or Project Engineer</w:t>
            </w:r>
          </w:p>
        </w:tc>
        <w:tc>
          <w:tcPr>
            <w:tcW w:w="2093" w:type="dxa"/>
            <w:vAlign w:val="center"/>
          </w:tcPr>
          <w:p w14:paraId="6C890855" w14:textId="77777777" w:rsidR="00630F37" w:rsidRPr="006309AA" w:rsidRDefault="00630F37" w:rsidP="00630F37">
            <w:pPr>
              <w:jc w:val="center"/>
              <w:rPr>
                <w:rFonts w:ascii="Arial" w:hAnsi="Arial"/>
                <w:sz w:val="18"/>
              </w:rPr>
            </w:pPr>
            <w:r w:rsidRPr="006309AA">
              <w:rPr>
                <w:rFonts w:ascii="Arial" w:hAnsi="Arial"/>
                <w:sz w:val="18"/>
              </w:rPr>
              <w:t>Data Analysis</w:t>
            </w:r>
          </w:p>
        </w:tc>
        <w:tc>
          <w:tcPr>
            <w:tcW w:w="1687" w:type="dxa"/>
            <w:vAlign w:val="center"/>
          </w:tcPr>
          <w:p w14:paraId="60118F93" w14:textId="77777777" w:rsidR="00630F37" w:rsidRPr="006309AA" w:rsidRDefault="00630F37" w:rsidP="00630F37">
            <w:pPr>
              <w:jc w:val="center"/>
              <w:rPr>
                <w:rFonts w:ascii="Arial" w:hAnsi="Arial"/>
                <w:sz w:val="18"/>
              </w:rPr>
            </w:pPr>
            <w:r w:rsidRPr="006309AA">
              <w:rPr>
                <w:rFonts w:ascii="Arial" w:hAnsi="Arial"/>
                <w:sz w:val="18"/>
              </w:rPr>
              <w:t>1</w:t>
            </w:r>
          </w:p>
        </w:tc>
        <w:tc>
          <w:tcPr>
            <w:tcW w:w="1620" w:type="dxa"/>
            <w:vAlign w:val="center"/>
          </w:tcPr>
          <w:p w14:paraId="1CBDED6B" w14:textId="77777777" w:rsidR="00630F37" w:rsidRPr="006309AA" w:rsidRDefault="00630F37" w:rsidP="00630F37">
            <w:pPr>
              <w:jc w:val="center"/>
              <w:rPr>
                <w:rFonts w:ascii="Arial" w:hAnsi="Arial"/>
                <w:sz w:val="18"/>
              </w:rPr>
            </w:pPr>
            <w:r w:rsidRPr="006309AA">
              <w:rPr>
                <w:rFonts w:ascii="Arial" w:hAnsi="Arial"/>
                <w:sz w:val="18"/>
              </w:rPr>
              <w:t>16</w:t>
            </w:r>
          </w:p>
        </w:tc>
      </w:tr>
      <w:tr w:rsidR="00630F37" w:rsidRPr="006309AA" w14:paraId="6E415632" w14:textId="77777777" w:rsidTr="00722B46">
        <w:trPr>
          <w:trHeight w:val="288"/>
          <w:jc w:val="center"/>
        </w:trPr>
        <w:tc>
          <w:tcPr>
            <w:tcW w:w="3145" w:type="dxa"/>
            <w:vAlign w:val="center"/>
          </w:tcPr>
          <w:p w14:paraId="593EF2D1" w14:textId="77777777" w:rsidR="00630F37" w:rsidRPr="006309AA" w:rsidRDefault="00630F37" w:rsidP="00630F37">
            <w:pPr>
              <w:jc w:val="center"/>
              <w:rPr>
                <w:rFonts w:ascii="Arial" w:hAnsi="Arial"/>
                <w:sz w:val="18"/>
              </w:rPr>
            </w:pPr>
            <w:r w:rsidRPr="006309AA">
              <w:rPr>
                <w:rFonts w:ascii="Arial" w:hAnsi="Arial"/>
                <w:sz w:val="18"/>
              </w:rPr>
              <w:t>Staff Engineer or Project Engineer</w:t>
            </w:r>
          </w:p>
        </w:tc>
        <w:tc>
          <w:tcPr>
            <w:tcW w:w="2093" w:type="dxa"/>
            <w:vAlign w:val="center"/>
          </w:tcPr>
          <w:p w14:paraId="5EF614F0" w14:textId="77777777" w:rsidR="00630F37" w:rsidRPr="006309AA" w:rsidRDefault="00630F37" w:rsidP="00630F37">
            <w:pPr>
              <w:jc w:val="center"/>
              <w:rPr>
                <w:rFonts w:ascii="Arial" w:hAnsi="Arial"/>
                <w:sz w:val="18"/>
              </w:rPr>
            </w:pPr>
            <w:r w:rsidRPr="006309AA">
              <w:rPr>
                <w:rFonts w:ascii="Arial" w:hAnsi="Arial"/>
                <w:sz w:val="18"/>
              </w:rPr>
              <w:t>Project Communication</w:t>
            </w:r>
          </w:p>
        </w:tc>
        <w:tc>
          <w:tcPr>
            <w:tcW w:w="1687" w:type="dxa"/>
            <w:vAlign w:val="center"/>
          </w:tcPr>
          <w:p w14:paraId="218E334D" w14:textId="77777777" w:rsidR="00630F37" w:rsidRPr="006309AA" w:rsidRDefault="00630F37" w:rsidP="00630F37">
            <w:pPr>
              <w:jc w:val="center"/>
              <w:rPr>
                <w:rFonts w:ascii="Arial" w:hAnsi="Arial"/>
                <w:sz w:val="18"/>
              </w:rPr>
            </w:pPr>
            <w:r w:rsidRPr="006309AA">
              <w:rPr>
                <w:rFonts w:ascii="Arial" w:hAnsi="Arial"/>
                <w:sz w:val="18"/>
              </w:rPr>
              <w:t>1</w:t>
            </w:r>
          </w:p>
        </w:tc>
        <w:tc>
          <w:tcPr>
            <w:tcW w:w="1620" w:type="dxa"/>
            <w:vAlign w:val="center"/>
          </w:tcPr>
          <w:p w14:paraId="6752CAF7" w14:textId="77777777" w:rsidR="00630F37" w:rsidRPr="006309AA" w:rsidRDefault="00630F37" w:rsidP="00630F37">
            <w:pPr>
              <w:jc w:val="center"/>
              <w:rPr>
                <w:rFonts w:ascii="Arial" w:hAnsi="Arial"/>
                <w:sz w:val="18"/>
              </w:rPr>
            </w:pPr>
            <w:r w:rsidRPr="006309AA">
              <w:rPr>
                <w:rFonts w:ascii="Arial" w:hAnsi="Arial"/>
                <w:sz w:val="18"/>
              </w:rPr>
              <w:t>8</w:t>
            </w:r>
          </w:p>
        </w:tc>
      </w:tr>
      <w:tr w:rsidR="00630F37" w:rsidRPr="006309AA" w14:paraId="0A57B4A9" w14:textId="77777777" w:rsidTr="00722B46">
        <w:trPr>
          <w:trHeight w:val="288"/>
          <w:jc w:val="center"/>
        </w:trPr>
        <w:tc>
          <w:tcPr>
            <w:tcW w:w="3145" w:type="dxa"/>
            <w:vAlign w:val="center"/>
          </w:tcPr>
          <w:p w14:paraId="5B94AEA7" w14:textId="77777777" w:rsidR="00630F37" w:rsidRPr="006309AA" w:rsidRDefault="00630F37" w:rsidP="00630F37">
            <w:pPr>
              <w:jc w:val="center"/>
              <w:rPr>
                <w:rFonts w:ascii="Arial" w:hAnsi="Arial"/>
                <w:sz w:val="18"/>
              </w:rPr>
            </w:pPr>
            <w:r w:rsidRPr="006309AA">
              <w:rPr>
                <w:rFonts w:ascii="Arial" w:hAnsi="Arial"/>
                <w:sz w:val="18"/>
              </w:rPr>
              <w:t>Staff Engineer or Project Engineer</w:t>
            </w:r>
          </w:p>
        </w:tc>
        <w:tc>
          <w:tcPr>
            <w:tcW w:w="2093" w:type="dxa"/>
            <w:vAlign w:val="center"/>
          </w:tcPr>
          <w:p w14:paraId="71FD2B7C" w14:textId="77777777" w:rsidR="00630F37" w:rsidRPr="006309AA" w:rsidRDefault="00630F37" w:rsidP="00630F37">
            <w:pPr>
              <w:jc w:val="center"/>
              <w:rPr>
                <w:rFonts w:ascii="Arial" w:hAnsi="Arial"/>
                <w:sz w:val="18"/>
              </w:rPr>
            </w:pPr>
            <w:r w:rsidRPr="006309AA">
              <w:rPr>
                <w:rFonts w:ascii="Arial" w:hAnsi="Arial"/>
                <w:sz w:val="18"/>
              </w:rPr>
              <w:t>Rehabilitation Design</w:t>
            </w:r>
          </w:p>
        </w:tc>
        <w:tc>
          <w:tcPr>
            <w:tcW w:w="1687" w:type="dxa"/>
            <w:vAlign w:val="center"/>
          </w:tcPr>
          <w:p w14:paraId="187A26B1" w14:textId="77777777" w:rsidR="00630F37" w:rsidRPr="006309AA" w:rsidRDefault="00630F37" w:rsidP="00630F37">
            <w:pPr>
              <w:jc w:val="center"/>
              <w:rPr>
                <w:rFonts w:ascii="Arial" w:hAnsi="Arial"/>
                <w:sz w:val="18"/>
              </w:rPr>
            </w:pPr>
            <w:r w:rsidRPr="006309AA">
              <w:rPr>
                <w:rFonts w:ascii="Arial" w:hAnsi="Arial"/>
                <w:sz w:val="18"/>
              </w:rPr>
              <w:t>1</w:t>
            </w:r>
          </w:p>
        </w:tc>
        <w:tc>
          <w:tcPr>
            <w:tcW w:w="1620" w:type="dxa"/>
            <w:vAlign w:val="center"/>
          </w:tcPr>
          <w:p w14:paraId="212B047B" w14:textId="77777777" w:rsidR="00630F37" w:rsidRPr="006309AA" w:rsidRDefault="00630F37" w:rsidP="00630F37">
            <w:pPr>
              <w:jc w:val="center"/>
              <w:rPr>
                <w:rFonts w:ascii="Arial" w:hAnsi="Arial"/>
                <w:sz w:val="18"/>
              </w:rPr>
            </w:pPr>
            <w:r w:rsidRPr="006309AA">
              <w:rPr>
                <w:rFonts w:ascii="Arial" w:hAnsi="Arial"/>
                <w:sz w:val="18"/>
              </w:rPr>
              <w:t>12</w:t>
            </w:r>
          </w:p>
        </w:tc>
      </w:tr>
      <w:tr w:rsidR="00630F37" w:rsidRPr="006309AA" w14:paraId="562A73E2" w14:textId="77777777" w:rsidTr="00722B46">
        <w:trPr>
          <w:trHeight w:val="288"/>
          <w:jc w:val="center"/>
        </w:trPr>
        <w:tc>
          <w:tcPr>
            <w:tcW w:w="3145" w:type="dxa"/>
            <w:vAlign w:val="center"/>
          </w:tcPr>
          <w:p w14:paraId="61BA5FEE" w14:textId="77777777" w:rsidR="00630F37" w:rsidRPr="006309AA" w:rsidRDefault="00630F37" w:rsidP="00630F37">
            <w:pPr>
              <w:jc w:val="center"/>
              <w:rPr>
                <w:rFonts w:ascii="Arial" w:hAnsi="Arial"/>
                <w:sz w:val="18"/>
              </w:rPr>
            </w:pPr>
            <w:r w:rsidRPr="006309AA">
              <w:rPr>
                <w:rFonts w:ascii="Arial" w:hAnsi="Arial"/>
                <w:sz w:val="18"/>
              </w:rPr>
              <w:t>Staff Engineer or Project Engineer</w:t>
            </w:r>
          </w:p>
        </w:tc>
        <w:tc>
          <w:tcPr>
            <w:tcW w:w="2093" w:type="dxa"/>
            <w:vAlign w:val="center"/>
          </w:tcPr>
          <w:p w14:paraId="45FF1191" w14:textId="77777777" w:rsidR="00630F37" w:rsidRPr="006309AA" w:rsidRDefault="00630F37" w:rsidP="00630F37">
            <w:pPr>
              <w:jc w:val="center"/>
              <w:rPr>
                <w:rFonts w:ascii="Arial" w:hAnsi="Arial"/>
                <w:sz w:val="18"/>
              </w:rPr>
            </w:pPr>
            <w:r w:rsidRPr="006309AA">
              <w:rPr>
                <w:rFonts w:ascii="Arial" w:hAnsi="Arial"/>
                <w:sz w:val="18"/>
              </w:rPr>
              <w:t>Memo Development</w:t>
            </w:r>
          </w:p>
        </w:tc>
        <w:tc>
          <w:tcPr>
            <w:tcW w:w="1687" w:type="dxa"/>
            <w:vAlign w:val="center"/>
          </w:tcPr>
          <w:p w14:paraId="6551B4ED" w14:textId="77777777" w:rsidR="00630F37" w:rsidRPr="006309AA" w:rsidRDefault="00630F37" w:rsidP="00630F37">
            <w:pPr>
              <w:jc w:val="center"/>
              <w:rPr>
                <w:rFonts w:ascii="Arial" w:hAnsi="Arial"/>
                <w:sz w:val="18"/>
              </w:rPr>
            </w:pPr>
            <w:r w:rsidRPr="006309AA">
              <w:rPr>
                <w:rFonts w:ascii="Arial" w:hAnsi="Arial"/>
                <w:sz w:val="18"/>
              </w:rPr>
              <w:t>1</w:t>
            </w:r>
          </w:p>
        </w:tc>
        <w:tc>
          <w:tcPr>
            <w:tcW w:w="1620" w:type="dxa"/>
            <w:vAlign w:val="center"/>
          </w:tcPr>
          <w:p w14:paraId="0A96CC5B" w14:textId="77777777" w:rsidR="00630F37" w:rsidRPr="006309AA" w:rsidRDefault="00630F37" w:rsidP="00630F37">
            <w:pPr>
              <w:jc w:val="center"/>
              <w:rPr>
                <w:rFonts w:ascii="Arial" w:hAnsi="Arial"/>
                <w:sz w:val="18"/>
              </w:rPr>
            </w:pPr>
            <w:r w:rsidRPr="006309AA">
              <w:rPr>
                <w:rFonts w:ascii="Arial" w:hAnsi="Arial"/>
                <w:sz w:val="18"/>
              </w:rPr>
              <w:t>24</w:t>
            </w:r>
          </w:p>
        </w:tc>
      </w:tr>
    </w:tbl>
    <w:p w14:paraId="35AC811D" w14:textId="13979818" w:rsidR="00630F37" w:rsidRPr="006309AA" w:rsidRDefault="00630F37" w:rsidP="00630F37">
      <w:pPr>
        <w:jc w:val="both"/>
        <w:rPr>
          <w:rFonts w:ascii="Arial" w:hAnsi="Arial"/>
        </w:rPr>
      </w:pPr>
      <w:r w:rsidRPr="006309AA">
        <w:rPr>
          <w:rFonts w:ascii="Arial" w:hAnsi="Arial"/>
          <w:sz w:val="18"/>
          <w:szCs w:val="18"/>
        </w:rPr>
        <w:t>* The time required would vary depending on the size, complexity and location of the project.</w:t>
      </w:r>
    </w:p>
    <w:p w14:paraId="35E21179" w14:textId="77777777" w:rsidR="00630F37" w:rsidRPr="006309AA" w:rsidRDefault="00630F37" w:rsidP="00172E64">
      <w:pPr>
        <w:pStyle w:val="Heading3"/>
        <w:numPr>
          <w:ilvl w:val="2"/>
          <w:numId w:val="185"/>
        </w:numPr>
        <w:ind w:left="0" w:firstLine="0"/>
      </w:pPr>
      <w:r w:rsidRPr="006309AA">
        <w:lastRenderedPageBreak/>
        <w:t>Procedure</w:t>
      </w:r>
    </w:p>
    <w:p w14:paraId="3CC523ED" w14:textId="39B28C83" w:rsidR="006309AA" w:rsidRPr="008327CC" w:rsidRDefault="006309AA" w:rsidP="008327CC">
      <w:pPr>
        <w:pStyle w:val="BodyText"/>
        <w:jc w:val="both"/>
      </w:pPr>
      <w:r w:rsidRPr="006309AA">
        <w:t>The procedure described</w:t>
      </w:r>
      <w:r>
        <w:t xml:space="preserve"> </w:t>
      </w:r>
      <w:r w:rsidR="00E55769">
        <w:t>below</w:t>
      </w:r>
      <w:r>
        <w:t xml:space="preserve"> should be followed in a typical new pavement design recommendation, and is intended for Design-Build projects, since the </w:t>
      </w:r>
      <w:r w:rsidRPr="008327CC">
        <w:t xml:space="preserve">MEPD software cannot be used for those projects.  For design-bid-build projects, refer to </w:t>
      </w:r>
      <w:hyperlink w:anchor="_Pavement_Preservation_&amp;" w:history="1">
        <w:r w:rsidR="0084247A">
          <w:rPr>
            <w:rStyle w:val="Hyperlink"/>
          </w:rPr>
          <w:t>Pavement Preservation &amp; Rehabilitation Design</w:t>
        </w:r>
      </w:hyperlink>
      <w:r w:rsidRPr="008327CC">
        <w:t>.</w:t>
      </w:r>
    </w:p>
    <w:p w14:paraId="7200142F" w14:textId="11C5557C" w:rsidR="008327CC" w:rsidRPr="008327CC" w:rsidRDefault="00630F37" w:rsidP="008327CC">
      <w:pPr>
        <w:pStyle w:val="BodyText"/>
        <w:jc w:val="both"/>
      </w:pPr>
      <w:r w:rsidRPr="008327CC">
        <w:t xml:space="preserve">The procedure described </w:t>
      </w:r>
      <w:r w:rsidR="00E55769">
        <w:t>below</w:t>
      </w:r>
      <w:r w:rsidRPr="008327CC">
        <w:t xml:space="preserve"> should be followed in a typical pavement </w:t>
      </w:r>
      <w:r w:rsidR="008327CC" w:rsidRPr="008327CC">
        <w:t>preservation or reh</w:t>
      </w:r>
      <w:r w:rsidRPr="008327CC">
        <w:t xml:space="preserve">abilitation design recommendation.  Reference to specific design inputs for design development can be located in </w:t>
      </w:r>
      <w:hyperlink w:anchor="_Design_Input_Policies_1" w:history="1">
        <w:r w:rsidR="008327CC" w:rsidRPr="008327CC">
          <w:rPr>
            <w:rStyle w:val="Hyperlink"/>
          </w:rPr>
          <w:t>Design Input Policies</w:t>
        </w:r>
      </w:hyperlink>
      <w:r w:rsidR="008327CC" w:rsidRPr="008327CC">
        <w:t xml:space="preserve">.  </w:t>
      </w:r>
      <w:r w:rsidRPr="008327CC">
        <w:t xml:space="preserve">Numerous steps contained in this procedure can be completed within several software applications that </w:t>
      </w:r>
      <w:r w:rsidR="008327CC" w:rsidRPr="008327CC">
        <w:t>PAGD</w:t>
      </w:r>
      <w:r w:rsidRPr="008327CC">
        <w:t xml:space="preserve"> currently uses.  The software application tool available to </w:t>
      </w:r>
      <w:r w:rsidR="008327CC" w:rsidRPr="008327CC">
        <w:t>PAGD</w:t>
      </w:r>
      <w:r w:rsidRPr="008327CC">
        <w:t xml:space="preserve"> that can be principally used to complete pavement rehabilitation designs at this time is DARWin.  </w:t>
      </w:r>
    </w:p>
    <w:p w14:paraId="08134E28" w14:textId="77777777" w:rsidR="00630F37" w:rsidRPr="008327CC" w:rsidRDefault="00630F37" w:rsidP="008327CC">
      <w:pPr>
        <w:pStyle w:val="BodyText"/>
        <w:jc w:val="both"/>
      </w:pPr>
      <w:r w:rsidRPr="008327CC">
        <w:t>The following procedure was written to provide the design engineer with adequate information to complete a rehabilitation design with the assumption that these tools were available.</w:t>
      </w:r>
    </w:p>
    <w:p w14:paraId="67AA0A67" w14:textId="77777777" w:rsidR="008327CC" w:rsidRDefault="00630F37" w:rsidP="008327CC">
      <w:pPr>
        <w:pStyle w:val="BodyText"/>
        <w:jc w:val="both"/>
      </w:pPr>
      <w:r w:rsidRPr="008327CC">
        <w:t xml:space="preserve">Certain steps in the pavement </w:t>
      </w:r>
      <w:r w:rsidR="008327CC">
        <w:t xml:space="preserve">preservation and </w:t>
      </w:r>
      <w:r w:rsidRPr="008327CC">
        <w:t>rehabilitation design process and other processes overlap.  It is important to keep in mind that although these processes are broken out and writte</w:t>
      </w:r>
      <w:r w:rsidRPr="00D81436">
        <w:t xml:space="preserve">n in separate sections, they are a part of an overall process to provide logically and technically sound recommendations.  </w:t>
      </w:r>
    </w:p>
    <w:p w14:paraId="015E0244" w14:textId="77777777" w:rsidR="006C364F" w:rsidRDefault="006C364F" w:rsidP="00172E64">
      <w:pPr>
        <w:pStyle w:val="Heading4"/>
        <w:numPr>
          <w:ilvl w:val="3"/>
          <w:numId w:val="185"/>
        </w:numPr>
        <w:ind w:left="864"/>
      </w:pPr>
      <w:r>
        <w:t>Preliminary Steps</w:t>
      </w:r>
    </w:p>
    <w:p w14:paraId="0E898CF3" w14:textId="5A6D2BFE" w:rsidR="00630F37" w:rsidRPr="00D81436" w:rsidRDefault="00630F37" w:rsidP="00172E64">
      <w:pPr>
        <w:pStyle w:val="ListNumber"/>
        <w:numPr>
          <w:ilvl w:val="0"/>
          <w:numId w:val="103"/>
        </w:numPr>
        <w:tabs>
          <w:tab w:val="clear" w:pos="1872"/>
          <w:tab w:val="num" w:pos="1080"/>
        </w:tabs>
        <w:spacing w:before="240"/>
        <w:ind w:left="1080" w:hanging="1080"/>
        <w:jc w:val="both"/>
      </w:pPr>
      <w:r w:rsidRPr="00D81436">
        <w:t>If the project involves any base-widening, reconstruction, stormwater management, embankment slopes, new construction, or has special soil issues</w:t>
      </w:r>
      <w:r w:rsidR="008327CC" w:rsidRPr="00D81436">
        <w:t xml:space="preserve">, refer to </w:t>
      </w:r>
      <w:hyperlink w:anchor="_New_Pavement_Design_2" w:history="1">
        <w:r w:rsidR="008327CC" w:rsidRPr="00D81436">
          <w:rPr>
            <w:rStyle w:val="Hyperlink"/>
          </w:rPr>
          <w:t>New Pavement Design Using AASHTO 1993</w:t>
        </w:r>
      </w:hyperlink>
      <w:r w:rsidR="008327CC" w:rsidRPr="00D81436">
        <w:t>.</w:t>
      </w:r>
    </w:p>
    <w:p w14:paraId="4DF0FA21" w14:textId="77777777" w:rsidR="00D81436" w:rsidRPr="00D81436" w:rsidRDefault="00D81436" w:rsidP="00172E64">
      <w:pPr>
        <w:pStyle w:val="ListNumber"/>
        <w:numPr>
          <w:ilvl w:val="0"/>
          <w:numId w:val="103"/>
        </w:numPr>
        <w:ind w:left="1080" w:hanging="1080"/>
        <w:jc w:val="both"/>
      </w:pPr>
      <w:r w:rsidRPr="00D81436">
        <w:t xml:space="preserve">Conduct the steps as detailed in </w:t>
      </w:r>
      <w:hyperlink w:anchor="_Pavement_Design_Procedures" w:history="1">
        <w:r w:rsidRPr="00D81436">
          <w:rPr>
            <w:rStyle w:val="Hyperlink"/>
          </w:rPr>
          <w:t>Preliminary Procedures</w:t>
        </w:r>
      </w:hyperlink>
      <w:r w:rsidRPr="00D81436">
        <w:t>.</w:t>
      </w:r>
    </w:p>
    <w:p w14:paraId="30B89DA4" w14:textId="77777777" w:rsidR="00D81436" w:rsidRDefault="00D81436" w:rsidP="00172E64">
      <w:pPr>
        <w:pStyle w:val="ListNumber"/>
        <w:numPr>
          <w:ilvl w:val="0"/>
          <w:numId w:val="103"/>
        </w:numPr>
        <w:ind w:left="1080" w:hanging="1080"/>
        <w:jc w:val="both"/>
      </w:pPr>
      <w:r w:rsidRPr="00D81436">
        <w:t>Conduct the</w:t>
      </w:r>
      <w:r>
        <w:t xml:space="preserve"> steps as detailed in </w:t>
      </w:r>
      <w:hyperlink w:anchor="_Testing_&amp;_Data" w:history="1">
        <w:r w:rsidRPr="00F07917">
          <w:rPr>
            <w:rStyle w:val="Hyperlink"/>
          </w:rPr>
          <w:t>Testing &amp; Data Collection</w:t>
        </w:r>
      </w:hyperlink>
      <w:r>
        <w:t>.</w:t>
      </w:r>
    </w:p>
    <w:p w14:paraId="3584700D" w14:textId="77777777" w:rsidR="00D81436" w:rsidRDefault="00D81436" w:rsidP="00172E64">
      <w:pPr>
        <w:pStyle w:val="ListNumber"/>
        <w:numPr>
          <w:ilvl w:val="0"/>
          <w:numId w:val="103"/>
        </w:numPr>
        <w:ind w:left="1080" w:hanging="1080"/>
        <w:jc w:val="both"/>
      </w:pPr>
      <w:r>
        <w:t xml:space="preserve">Conduct the steps as detailed in </w:t>
      </w:r>
      <w:hyperlink w:anchor="_Analysis_Procedures" w:history="1">
        <w:r w:rsidRPr="00F07917">
          <w:rPr>
            <w:rStyle w:val="Hyperlink"/>
          </w:rPr>
          <w:t>Analysis Procedures</w:t>
        </w:r>
      </w:hyperlink>
      <w:r>
        <w:t>.</w:t>
      </w:r>
    </w:p>
    <w:p w14:paraId="34CB6389" w14:textId="77777777" w:rsidR="006C364F" w:rsidRDefault="006C364F" w:rsidP="006C364F">
      <w:pPr>
        <w:pStyle w:val="ListNumber"/>
        <w:tabs>
          <w:tab w:val="clear" w:pos="720"/>
          <w:tab w:val="clear" w:pos="1872"/>
        </w:tabs>
        <w:ind w:left="1080" w:firstLine="0"/>
        <w:jc w:val="both"/>
      </w:pPr>
    </w:p>
    <w:p w14:paraId="79B65D2D" w14:textId="77777777" w:rsidR="006C364F" w:rsidRPr="00541484" w:rsidRDefault="00E6719D" w:rsidP="00172E64">
      <w:pPr>
        <w:pStyle w:val="Heading4"/>
        <w:numPr>
          <w:ilvl w:val="3"/>
          <w:numId w:val="185"/>
        </w:numPr>
        <w:ind w:left="864"/>
      </w:pPr>
      <w:bookmarkStart w:id="1299" w:name="_Overlay_Design_–"/>
      <w:bookmarkEnd w:id="1299"/>
      <w:r>
        <w:t xml:space="preserve">Overlay Design – Existing </w:t>
      </w:r>
      <w:r w:rsidR="006C364F" w:rsidRPr="00541484">
        <w:t>Flexible Pavement</w:t>
      </w:r>
    </w:p>
    <w:p w14:paraId="64218274" w14:textId="77777777" w:rsidR="00630F37" w:rsidRPr="00541484" w:rsidRDefault="00630F37" w:rsidP="00172E64">
      <w:pPr>
        <w:pStyle w:val="ListNumber"/>
        <w:numPr>
          <w:ilvl w:val="0"/>
          <w:numId w:val="104"/>
        </w:numPr>
        <w:tabs>
          <w:tab w:val="clear" w:pos="1872"/>
          <w:tab w:val="num" w:pos="1080"/>
        </w:tabs>
        <w:spacing w:before="240"/>
        <w:ind w:left="1080" w:hanging="1080"/>
        <w:jc w:val="both"/>
      </w:pPr>
      <w:r w:rsidRPr="00541484">
        <w:t>Calculate original structural capacity (S</w:t>
      </w:r>
      <w:r w:rsidR="00541484" w:rsidRPr="00541484">
        <w:t>N</w:t>
      </w:r>
      <w:r w:rsidRPr="00541484">
        <w:rPr>
          <w:vertAlign w:val="subscript"/>
        </w:rPr>
        <w:t>o</w:t>
      </w:r>
      <w:r w:rsidRPr="00541484">
        <w:t xml:space="preserve">) of each pavement analysis section.  </w:t>
      </w:r>
    </w:p>
    <w:p w14:paraId="749686C3" w14:textId="77777777" w:rsidR="00630F37" w:rsidRPr="00541484" w:rsidRDefault="00630F37" w:rsidP="00E71B93">
      <w:pPr>
        <w:pStyle w:val="ListBullet"/>
      </w:pPr>
    </w:p>
    <w:p w14:paraId="4DBCD2E3" w14:textId="77777777" w:rsidR="00630F37" w:rsidRPr="00722B46" w:rsidRDefault="00630F37" w:rsidP="00722B46">
      <w:pPr>
        <w:pStyle w:val="BodyText"/>
        <w:ind w:left="2160" w:hanging="1080"/>
        <w:jc w:val="center"/>
        <w:rPr>
          <w:vertAlign w:val="subscript"/>
        </w:rPr>
      </w:pPr>
      <w:r w:rsidRPr="00722B46">
        <w:t>SN</w:t>
      </w:r>
      <w:r w:rsidRPr="00722B46">
        <w:rPr>
          <w:vertAlign w:val="subscript"/>
        </w:rPr>
        <w:t>o</w:t>
      </w:r>
      <w:r w:rsidRPr="00722B46">
        <w:t xml:space="preserve"> = a</w:t>
      </w:r>
      <w:r w:rsidRPr="00722B46">
        <w:rPr>
          <w:vertAlign w:val="subscript"/>
        </w:rPr>
        <w:t>1</w:t>
      </w:r>
      <w:r w:rsidRPr="00722B46">
        <w:t>*d</w:t>
      </w:r>
      <w:r w:rsidRPr="00722B46">
        <w:rPr>
          <w:vertAlign w:val="subscript"/>
        </w:rPr>
        <w:t>1</w:t>
      </w:r>
      <w:r w:rsidRPr="00722B46">
        <w:t xml:space="preserve"> + a</w:t>
      </w:r>
      <w:r w:rsidRPr="00722B46">
        <w:rPr>
          <w:vertAlign w:val="subscript"/>
        </w:rPr>
        <w:t>2</w:t>
      </w:r>
      <w:r w:rsidRPr="00722B46">
        <w:t>*d</w:t>
      </w:r>
      <w:r w:rsidRPr="00722B46">
        <w:rPr>
          <w:vertAlign w:val="subscript"/>
        </w:rPr>
        <w:t>2</w:t>
      </w:r>
      <w:r w:rsidRPr="00722B46">
        <w:t xml:space="preserve"> + a</w:t>
      </w:r>
      <w:r w:rsidRPr="00722B46">
        <w:rPr>
          <w:vertAlign w:val="subscript"/>
        </w:rPr>
        <w:t>i</w:t>
      </w:r>
      <w:r w:rsidRPr="00722B46">
        <w:t>d</w:t>
      </w:r>
      <w:r w:rsidRPr="00722B46">
        <w:rPr>
          <w:vertAlign w:val="subscript"/>
        </w:rPr>
        <w:t>i</w:t>
      </w:r>
    </w:p>
    <w:p w14:paraId="5FF3259B" w14:textId="77777777" w:rsidR="00630F37" w:rsidRPr="00541484" w:rsidRDefault="00630F37" w:rsidP="00722B46">
      <w:pPr>
        <w:pStyle w:val="BodyText"/>
        <w:spacing w:after="0"/>
        <w:ind w:left="2160" w:hanging="1080"/>
        <w:jc w:val="both"/>
        <w:rPr>
          <w:sz w:val="20"/>
        </w:rPr>
      </w:pPr>
      <w:r w:rsidRPr="00541484">
        <w:rPr>
          <w:sz w:val="20"/>
        </w:rPr>
        <w:t>where:</w:t>
      </w:r>
    </w:p>
    <w:p w14:paraId="0DF68EAB" w14:textId="293DA716" w:rsidR="00630F37" w:rsidRPr="00722B46" w:rsidRDefault="00E55769" w:rsidP="00722B46">
      <w:pPr>
        <w:pStyle w:val="BodyText"/>
        <w:tabs>
          <w:tab w:val="left" w:pos="1530"/>
          <w:tab w:val="left" w:pos="1800"/>
          <w:tab w:val="left" w:pos="2070"/>
        </w:tabs>
        <w:ind w:left="2070" w:hanging="990"/>
        <w:jc w:val="both"/>
      </w:pPr>
      <w:r>
        <w:rPr>
          <w:szCs w:val="22"/>
        </w:rPr>
        <w:tab/>
      </w:r>
      <w:r w:rsidR="00630F37" w:rsidRPr="00722B46">
        <w:t xml:space="preserve">d </w:t>
      </w:r>
      <w:r>
        <w:rPr>
          <w:szCs w:val="22"/>
        </w:rPr>
        <w:tab/>
      </w:r>
      <w:r w:rsidR="00630F37" w:rsidRPr="00E55769">
        <w:rPr>
          <w:szCs w:val="22"/>
        </w:rPr>
        <w:t xml:space="preserve">= </w:t>
      </w:r>
      <w:r>
        <w:rPr>
          <w:szCs w:val="22"/>
        </w:rPr>
        <w:tab/>
      </w:r>
      <w:r w:rsidR="00630F37" w:rsidRPr="00722B46">
        <w:t>layer thickness</w:t>
      </w:r>
    </w:p>
    <w:p w14:paraId="46CBE40D" w14:textId="3D3FBB7A" w:rsidR="00EC376A" w:rsidRPr="00722B46" w:rsidRDefault="00E55769" w:rsidP="00722B46">
      <w:pPr>
        <w:pStyle w:val="BodyText"/>
        <w:tabs>
          <w:tab w:val="left" w:pos="1530"/>
          <w:tab w:val="left" w:pos="1800"/>
          <w:tab w:val="left" w:pos="2070"/>
        </w:tabs>
        <w:ind w:left="2070" w:hanging="990"/>
      </w:pPr>
      <w:r>
        <w:rPr>
          <w:szCs w:val="22"/>
        </w:rPr>
        <w:tab/>
      </w:r>
      <w:r w:rsidR="00541484" w:rsidRPr="00722B46">
        <w:t xml:space="preserve">a </w:t>
      </w:r>
      <w:r>
        <w:rPr>
          <w:szCs w:val="22"/>
        </w:rPr>
        <w:tab/>
      </w:r>
      <w:r w:rsidR="00541484" w:rsidRPr="00E55769">
        <w:rPr>
          <w:szCs w:val="22"/>
        </w:rPr>
        <w:t xml:space="preserve">= </w:t>
      </w:r>
      <w:r>
        <w:rPr>
          <w:szCs w:val="22"/>
        </w:rPr>
        <w:tab/>
      </w:r>
      <w:r w:rsidR="00541484" w:rsidRPr="00722B46">
        <w:t>layer structural coefficient</w:t>
      </w:r>
      <w:r w:rsidR="00572594" w:rsidRPr="00722B46">
        <w:t xml:space="preserve">.  </w:t>
      </w:r>
      <w:r w:rsidR="00EC376A" w:rsidRPr="00722B46">
        <w:t xml:space="preserve">Refer to </w:t>
      </w:r>
      <w:hyperlink w:anchor="_Design_Properties_for" w:history="1">
        <w:r w:rsidR="00EC376A" w:rsidRPr="00722B46">
          <w:rPr>
            <w:rStyle w:val="Hyperlink"/>
          </w:rPr>
          <w:t>Design Properties for Pavement Materials – AASHTO 1993</w:t>
        </w:r>
      </w:hyperlink>
    </w:p>
    <w:p w14:paraId="16F8ADD4" w14:textId="510811E8" w:rsidR="00630F37" w:rsidRPr="00722B46" w:rsidRDefault="00630F37" w:rsidP="00541484">
      <w:pPr>
        <w:pStyle w:val="BodyText"/>
        <w:ind w:left="1080"/>
        <w:jc w:val="both"/>
      </w:pPr>
      <w:r w:rsidRPr="00722B46">
        <w:t>Construction History information and core results will assist the pavement designer in determining the age and thickness of pavement layers</w:t>
      </w:r>
      <w:r w:rsidRPr="00E55769">
        <w:rPr>
          <w:szCs w:val="22"/>
        </w:rPr>
        <w:t>.</w:t>
      </w:r>
    </w:p>
    <w:p w14:paraId="5D314F18" w14:textId="77777777" w:rsidR="00630F37" w:rsidRPr="00983E96" w:rsidRDefault="00630F37" w:rsidP="00172E64">
      <w:pPr>
        <w:pStyle w:val="ListNumber"/>
        <w:numPr>
          <w:ilvl w:val="0"/>
          <w:numId w:val="104"/>
        </w:numPr>
        <w:ind w:left="1080" w:hanging="1080"/>
        <w:jc w:val="both"/>
      </w:pPr>
      <w:r w:rsidRPr="00983E96">
        <w:t>Calculate the effective structural capacity (S</w:t>
      </w:r>
      <w:r w:rsidR="00983E96" w:rsidRPr="00983E96">
        <w:t>N</w:t>
      </w:r>
      <w:r w:rsidRPr="00983E96">
        <w:rPr>
          <w:vertAlign w:val="subscript"/>
        </w:rPr>
        <w:t>eff</w:t>
      </w:r>
      <w:r w:rsidRPr="00983E96">
        <w:t>)</w:t>
      </w:r>
      <w:r w:rsidRPr="00983E96">
        <w:rPr>
          <w:vertAlign w:val="subscript"/>
        </w:rPr>
        <w:t xml:space="preserve"> </w:t>
      </w:r>
      <w:r w:rsidRPr="00983E96">
        <w:t>of each analysis section following the condition (visual survey) analysis approach. It is important to not</w:t>
      </w:r>
      <w:r w:rsidR="00983E96" w:rsidRPr="00983E96">
        <w:t>e</w:t>
      </w:r>
      <w:r w:rsidRPr="00983E96">
        <w:t xml:space="preserve"> that the visual survey approach only evaluates the condition of the pavement based on the visual observation of the surface.  Use the following guidelines to determine S</w:t>
      </w:r>
      <w:r w:rsidR="00983E96" w:rsidRPr="00983E96">
        <w:t>N</w:t>
      </w:r>
      <w:r w:rsidRPr="00983E96">
        <w:rPr>
          <w:vertAlign w:val="subscript"/>
        </w:rPr>
        <w:t xml:space="preserve">eff </w:t>
      </w:r>
      <w:r w:rsidRPr="00983E96">
        <w:t>following the visual condition survey analysis approach:</w:t>
      </w:r>
    </w:p>
    <w:p w14:paraId="47B42495" w14:textId="77777777" w:rsidR="00630F37" w:rsidRPr="00983E96" w:rsidRDefault="00630F37" w:rsidP="00A42B5F">
      <w:pPr>
        <w:pStyle w:val="ListBullet"/>
      </w:pPr>
    </w:p>
    <w:p w14:paraId="64EC524D" w14:textId="77777777" w:rsidR="00630F37" w:rsidRPr="00722B46" w:rsidRDefault="00630F37" w:rsidP="00643DBD">
      <w:pPr>
        <w:pStyle w:val="BodyText"/>
        <w:ind w:left="2160" w:hanging="1080"/>
        <w:jc w:val="both"/>
      </w:pPr>
      <w:r w:rsidRPr="00722B46">
        <w:t>Option 1:</w:t>
      </w:r>
    </w:p>
    <w:p w14:paraId="76FFC99D" w14:textId="77777777" w:rsidR="00CE0957" w:rsidRDefault="00CE0957" w:rsidP="00CE0957">
      <w:pPr>
        <w:pStyle w:val="BodyText"/>
      </w:pPr>
      <m:oMathPara>
        <m:oMathParaPr>
          <m:jc m:val="center"/>
        </m:oMathParaPr>
        <m:oMath>
          <m:r>
            <w:rPr>
              <w:rFonts w:ascii="Cambria Math" w:hAnsi="Cambria Math"/>
            </w:rPr>
            <w:lastRenderedPageBreak/>
            <m:t>S</m:t>
          </m:r>
          <m:sSub>
            <m:sSubPr>
              <m:ctrlPr>
                <w:rPr>
                  <w:rFonts w:ascii="Cambria Math" w:hAnsi="Cambria Math"/>
                </w:rPr>
              </m:ctrlPr>
            </m:sSubPr>
            <m:e>
              <m:r>
                <w:rPr>
                  <w:rFonts w:ascii="Cambria Math" w:hAnsi="Cambria Math"/>
                </w:rPr>
                <m:t>N</m:t>
              </m:r>
            </m:e>
            <m:sub>
              <m:r>
                <w:rPr>
                  <w:rFonts w:ascii="Cambria Math" w:hAnsi="Cambria Math"/>
                </w:rPr>
                <m:t>eff</m:t>
              </m:r>
            </m:sub>
          </m:sSub>
          <m:r>
            <m:rPr>
              <m:sty m:val="p"/>
            </m:rPr>
            <w:rPr>
              <w:rFonts w:ascii="Cambria Math" w:hAnsi="Cambria Math"/>
            </w:rPr>
            <m:t>=</m:t>
          </m:r>
          <m:r>
            <w:rPr>
              <w:rFonts w:ascii="Cambria Math" w:hAnsi="Cambria Math"/>
            </w:rPr>
            <m:t>S</m:t>
          </m:r>
          <m:sSub>
            <m:sSubPr>
              <m:ctrlPr>
                <w:rPr>
                  <w:rFonts w:ascii="Cambria Math" w:hAnsi="Cambria Math"/>
                </w:rPr>
              </m:ctrlPr>
            </m:sSubPr>
            <m:e>
              <m:r>
                <w:rPr>
                  <w:rFonts w:ascii="Cambria Math" w:hAnsi="Cambria Math"/>
                </w:rPr>
                <m:t>N</m:t>
              </m:r>
            </m:e>
            <m:sub>
              <m:r>
                <w:rPr>
                  <w:rFonts w:ascii="Cambria Math" w:hAnsi="Cambria Math"/>
                </w:rPr>
                <m:t>o</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x</m:t>
              </m:r>
            </m:sub>
          </m:sSub>
        </m:oMath>
      </m:oMathPara>
    </w:p>
    <w:p w14:paraId="78069CC1" w14:textId="77777777" w:rsidR="00630F37" w:rsidRPr="00722B46" w:rsidRDefault="00630F37" w:rsidP="00722B46">
      <w:pPr>
        <w:pStyle w:val="BodyText"/>
        <w:spacing w:after="0"/>
        <w:ind w:left="2160" w:hanging="720"/>
        <w:jc w:val="both"/>
      </w:pPr>
      <w:r w:rsidRPr="00722B46">
        <w:t>where:</w:t>
      </w:r>
    </w:p>
    <w:p w14:paraId="30B891A6" w14:textId="532C6DF9" w:rsidR="00630F37" w:rsidRPr="00722B46" w:rsidRDefault="00630F37" w:rsidP="00722B46">
      <w:pPr>
        <w:pStyle w:val="BodyText"/>
        <w:tabs>
          <w:tab w:val="left" w:pos="2340"/>
          <w:tab w:val="left" w:pos="2700"/>
        </w:tabs>
        <w:ind w:left="2700" w:hanging="720"/>
      </w:pPr>
      <w:r w:rsidRPr="00722B46">
        <w:t>C</w:t>
      </w:r>
      <w:r w:rsidRPr="00722B46">
        <w:rPr>
          <w:vertAlign w:val="subscript"/>
        </w:rPr>
        <w:t>x</w:t>
      </w:r>
      <w:r w:rsidRPr="00722B46">
        <w:t xml:space="preserve"> </w:t>
      </w:r>
      <w:r w:rsidR="00E55769">
        <w:rPr>
          <w:szCs w:val="22"/>
        </w:rPr>
        <w:tab/>
      </w:r>
      <w:r w:rsidRPr="00E55769">
        <w:rPr>
          <w:szCs w:val="22"/>
        </w:rPr>
        <w:t xml:space="preserve">= </w:t>
      </w:r>
      <w:r w:rsidR="00E55769">
        <w:rPr>
          <w:szCs w:val="22"/>
        </w:rPr>
        <w:tab/>
      </w:r>
      <w:r w:rsidRPr="00722B46">
        <w:t>Condition Factor from visual condition analysis (=&lt; 1.0).  To obtain C</w:t>
      </w:r>
      <w:r w:rsidRPr="00722B46">
        <w:rPr>
          <w:vertAlign w:val="subscript"/>
        </w:rPr>
        <w:t>x</w:t>
      </w:r>
      <w:r w:rsidRPr="00722B46">
        <w:t xml:space="preserve"> use the following equation:</w:t>
      </w:r>
    </w:p>
    <w:p w14:paraId="33B858C2" w14:textId="2FCCF509" w:rsidR="00630F37" w:rsidRPr="00CE0957" w:rsidRDefault="00000000" w:rsidP="00CE0957">
      <w:pPr>
        <w:rPr>
          <w:sz w:val="24"/>
          <w:szCs w:val="24"/>
        </w:rPr>
      </w:pPr>
      <m:oMathPara>
        <m:oMath>
          <m:sSub>
            <m:sSubPr>
              <m:ctrlPr>
                <w:rPr>
                  <w:rFonts w:ascii="Cambria Math" w:hAnsi="Cambria Math"/>
                  <w:sz w:val="24"/>
                  <w:szCs w:val="24"/>
                </w:rPr>
              </m:ctrlPr>
            </m:sSubPr>
            <m:e>
              <m:r>
                <w:rPr>
                  <w:rFonts w:ascii="Cambria Math" w:hAnsi="Cambria Math"/>
                  <w:sz w:val="24"/>
                  <w:szCs w:val="24"/>
                </w:rPr>
                <m:t>C</m:t>
              </m:r>
            </m:e>
            <m:sub>
              <m:r>
                <w:rPr>
                  <w:rFonts w:ascii="Cambria Math" w:hAnsi="Cambria Math"/>
                  <w:sz w:val="24"/>
                  <w:szCs w:val="24"/>
                </w:rPr>
                <m:t>x</m:t>
              </m:r>
            </m:sub>
          </m:sSub>
          <m:r>
            <m:rPr>
              <m:sty m:val="p"/>
            </m:rPr>
            <w:rPr>
              <w:rFonts w:ascii="Cambria Math" w:hAnsi="Cambria Math"/>
              <w:sz w:val="24"/>
              <w:szCs w:val="24"/>
            </w:rPr>
            <m:t>=</m:t>
          </m:r>
          <m:sSup>
            <m:sSupPr>
              <m:ctrlPr>
                <w:rPr>
                  <w:rFonts w:ascii="Cambria Math" w:hAnsi="Cambria Math"/>
                  <w:sz w:val="24"/>
                  <w:szCs w:val="24"/>
                </w:rPr>
              </m:ctrlPr>
            </m:sSupPr>
            <m:e>
              <m:d>
                <m:dPr>
                  <m:ctrlPr>
                    <w:rPr>
                      <w:rFonts w:ascii="Cambria Math" w:hAnsi="Cambria Math"/>
                      <w:sz w:val="24"/>
                      <w:szCs w:val="24"/>
                    </w:rPr>
                  </m:ctrlPr>
                </m:dPr>
                <m:e>
                  <m:r>
                    <w:rPr>
                      <w:rFonts w:ascii="Cambria Math" w:hAnsi="Cambria Math"/>
                      <w:sz w:val="24"/>
                      <w:szCs w:val="24"/>
                    </w:rPr>
                    <m:t>PCI</m:t>
                  </m:r>
                  <m:r>
                    <m:rPr>
                      <m:sty m:val="p"/>
                    </m:rPr>
                    <w:rPr>
                      <w:rFonts w:ascii="Cambria Math" w:hAnsi="Cambria Math"/>
                      <w:sz w:val="24"/>
                      <w:szCs w:val="24"/>
                    </w:rPr>
                    <m:t>/</m:t>
                  </m:r>
                  <m:r>
                    <w:rPr>
                      <w:rFonts w:ascii="Cambria Math" w:hAnsi="Cambria Math"/>
                      <w:sz w:val="24"/>
                      <w:szCs w:val="24"/>
                    </w:rPr>
                    <m:t>100</m:t>
                  </m:r>
                </m:e>
              </m:d>
            </m:e>
            <m:sup>
              <m:r>
                <w:rPr>
                  <w:rFonts w:ascii="Cambria Math" w:hAnsi="Cambria Math"/>
                  <w:sz w:val="24"/>
                  <w:szCs w:val="24"/>
                </w:rPr>
                <m:t>1</m:t>
              </m:r>
              <m:r>
                <m:rPr>
                  <m:sty m:val="p"/>
                </m:rPr>
                <w:rPr>
                  <w:rFonts w:ascii="Cambria Math" w:hAnsi="Cambria Math"/>
                  <w:sz w:val="24"/>
                  <w:szCs w:val="24"/>
                </w:rPr>
                <m:t>/</m:t>
              </m:r>
              <m:r>
                <w:rPr>
                  <w:rFonts w:ascii="Cambria Math" w:hAnsi="Cambria Math"/>
                  <w:sz w:val="24"/>
                  <w:szCs w:val="24"/>
                </w:rPr>
                <m:t>2</m:t>
              </m:r>
            </m:sup>
          </m:sSup>
          <m:r>
            <m:rPr>
              <m:sty m:val="p"/>
            </m:rPr>
            <w:rPr>
              <w:rFonts w:ascii="Cambria Math" w:hAnsi="Cambria Math"/>
              <w:sz w:val="24"/>
              <w:szCs w:val="24"/>
            </w:rPr>
            <m:t>&gt;</m:t>
          </m:r>
          <m:r>
            <w:rPr>
              <w:rFonts w:ascii="Cambria Math" w:hAnsi="Cambria Math"/>
              <w:sz w:val="24"/>
              <w:szCs w:val="24"/>
            </w:rPr>
            <m:t>0.65</m:t>
          </m:r>
        </m:oMath>
      </m:oMathPara>
    </w:p>
    <w:p w14:paraId="4231E0F2" w14:textId="77777777" w:rsidR="00630F37" w:rsidRPr="00722B46" w:rsidRDefault="00630F37" w:rsidP="00722B46">
      <w:pPr>
        <w:pStyle w:val="BodyText"/>
        <w:spacing w:after="0"/>
        <w:ind w:left="2160" w:hanging="720"/>
        <w:jc w:val="both"/>
      </w:pPr>
      <w:r w:rsidRPr="00722B46">
        <w:t>where:</w:t>
      </w:r>
    </w:p>
    <w:p w14:paraId="0E8F6EEC" w14:textId="354A9107" w:rsidR="00983E96" w:rsidRPr="00722B46" w:rsidRDefault="00630F37" w:rsidP="00722B46">
      <w:pPr>
        <w:pStyle w:val="BodyText"/>
        <w:tabs>
          <w:tab w:val="left" w:pos="2430"/>
          <w:tab w:val="left" w:pos="2700"/>
        </w:tabs>
        <w:ind w:left="1980"/>
        <w:jc w:val="both"/>
      </w:pPr>
      <w:r w:rsidRPr="00722B46">
        <w:t xml:space="preserve">PCI </w:t>
      </w:r>
      <w:r w:rsidR="00E55769">
        <w:rPr>
          <w:szCs w:val="22"/>
        </w:rPr>
        <w:tab/>
      </w:r>
      <w:r w:rsidRPr="00E55769">
        <w:rPr>
          <w:szCs w:val="22"/>
        </w:rPr>
        <w:t xml:space="preserve">= </w:t>
      </w:r>
      <w:r w:rsidR="00E55769">
        <w:rPr>
          <w:szCs w:val="22"/>
        </w:rPr>
        <w:tab/>
      </w:r>
      <w:r w:rsidRPr="00722B46">
        <w:t>Average PCI for analysis section</w:t>
      </w:r>
    </w:p>
    <w:p w14:paraId="2F9F0065" w14:textId="2C580A73" w:rsidR="00983E96" w:rsidRPr="00722B46" w:rsidRDefault="00983E96" w:rsidP="00983E96">
      <w:pPr>
        <w:pStyle w:val="BodyText"/>
        <w:ind w:left="1440"/>
        <w:jc w:val="both"/>
        <w:rPr>
          <w:b/>
        </w:rPr>
      </w:pPr>
      <w:r w:rsidRPr="00722B46">
        <w:rPr>
          <w:b/>
        </w:rPr>
        <w:t xml:space="preserve">Note: The engineer must determine if the majority of the </w:t>
      </w:r>
      <w:r w:rsidRPr="00E55769">
        <w:rPr>
          <w:b/>
          <w:szCs w:val="22"/>
        </w:rPr>
        <w:t>distress</w:t>
      </w:r>
      <w:r w:rsidRPr="00722B46">
        <w:rPr>
          <w:b/>
        </w:rPr>
        <w:t xml:space="preserve"> captured by the PCI</w:t>
      </w:r>
      <w:r w:rsidR="00E55769" w:rsidRPr="00722B46">
        <w:rPr>
          <w:b/>
        </w:rPr>
        <w:t xml:space="preserve"> </w:t>
      </w:r>
      <w:r w:rsidR="00E55769">
        <w:rPr>
          <w:b/>
          <w:szCs w:val="22"/>
        </w:rPr>
        <w:t>is</w:t>
      </w:r>
      <w:r w:rsidRPr="00722B46">
        <w:rPr>
          <w:b/>
        </w:rPr>
        <w:t xml:space="preserve"> structural or functional.  If </w:t>
      </w:r>
      <w:r w:rsidR="00E55769">
        <w:rPr>
          <w:b/>
          <w:szCs w:val="22"/>
        </w:rPr>
        <w:t>it is</w:t>
      </w:r>
      <w:r w:rsidRPr="00722B46">
        <w:rPr>
          <w:b/>
        </w:rPr>
        <w:t xml:space="preserve"> structural, then the C</w:t>
      </w:r>
      <w:r w:rsidRPr="00722B46">
        <w:rPr>
          <w:b/>
          <w:vertAlign w:val="subscript"/>
        </w:rPr>
        <w:t>x</w:t>
      </w:r>
      <w:r w:rsidRPr="00722B46">
        <w:rPr>
          <w:b/>
        </w:rPr>
        <w:t xml:space="preserve"> factor should apply to the entire pavement structure.  If </w:t>
      </w:r>
      <w:r w:rsidR="008059C5">
        <w:rPr>
          <w:b/>
          <w:szCs w:val="22"/>
        </w:rPr>
        <w:t>it is</w:t>
      </w:r>
      <w:r w:rsidRPr="00722B46">
        <w:rPr>
          <w:b/>
        </w:rPr>
        <w:t xml:space="preserve"> functional, then the C</w:t>
      </w:r>
      <w:r w:rsidRPr="00722B46">
        <w:rPr>
          <w:b/>
          <w:vertAlign w:val="subscript"/>
        </w:rPr>
        <w:t>x</w:t>
      </w:r>
      <w:r w:rsidRPr="00722B46">
        <w:rPr>
          <w:b/>
        </w:rPr>
        <w:t xml:space="preserve"> factor should apply only to the top layer(s) as judged by the engineer.</w:t>
      </w:r>
    </w:p>
    <w:p w14:paraId="060FA183" w14:textId="5014719E" w:rsidR="00CE0957" w:rsidRPr="00CE0957" w:rsidRDefault="00630F37" w:rsidP="00CE0957">
      <w:pPr>
        <w:pStyle w:val="BodyText"/>
        <w:spacing w:before="240"/>
        <w:ind w:left="2160" w:hanging="1080"/>
        <w:jc w:val="both"/>
      </w:pPr>
      <w:r w:rsidRPr="003C2771">
        <w:t>Option 2:</w:t>
      </w:r>
      <w:r w:rsidR="00B41858" w:rsidRPr="003C2771">
        <w:rPr>
          <w:szCs w:val="22"/>
        </w:rPr>
        <w:tab/>
      </w:r>
      <w:r w:rsidR="00B41858" w:rsidRPr="003C2771">
        <w:rPr>
          <w:szCs w:val="22"/>
        </w:rPr>
        <w:tab/>
        <w:t xml:space="preserve"> </w:t>
      </w:r>
      <w:r w:rsidR="00CE0957" w:rsidRPr="00CE0957">
        <w:rPr>
          <w:rFonts w:ascii="Cambria Math" w:hAnsi="Cambria Math"/>
          <w:i/>
        </w:rPr>
        <w:br/>
      </w:r>
      <m:oMathPara>
        <m:oMathParaPr>
          <m:jc m:val="center"/>
        </m:oMathParaPr>
        <m:oMath>
          <m:r>
            <w:rPr>
              <w:rFonts w:ascii="Cambria Math" w:hAnsi="Cambria Math"/>
              <w:sz w:val="24"/>
              <w:szCs w:val="22"/>
            </w:rPr>
            <m:t>S</m:t>
          </m:r>
          <m:sSub>
            <m:sSubPr>
              <m:ctrlPr>
                <w:rPr>
                  <w:rFonts w:ascii="Cambria Math" w:hAnsi="Cambria Math"/>
                  <w:sz w:val="24"/>
                  <w:szCs w:val="22"/>
                </w:rPr>
              </m:ctrlPr>
            </m:sSubPr>
            <m:e>
              <m:r>
                <w:rPr>
                  <w:rFonts w:ascii="Cambria Math" w:hAnsi="Cambria Math"/>
                  <w:sz w:val="24"/>
                  <w:szCs w:val="22"/>
                </w:rPr>
                <m:t>N</m:t>
              </m:r>
            </m:e>
            <m:sub>
              <m:r>
                <w:rPr>
                  <w:rFonts w:ascii="Cambria Math" w:hAnsi="Cambria Math"/>
                  <w:sz w:val="24"/>
                  <w:szCs w:val="22"/>
                </w:rPr>
                <m:t>f</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a</m:t>
              </m:r>
            </m:e>
            <m:sub>
              <m:r>
                <w:rPr>
                  <w:rFonts w:ascii="Cambria Math" w:hAnsi="Cambria Math"/>
                  <w:sz w:val="24"/>
                  <w:szCs w:val="22"/>
                </w:rPr>
                <m:t>1</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1</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a</m:t>
              </m:r>
            </m:e>
            <m:sub>
              <m:r>
                <w:rPr>
                  <w:rFonts w:ascii="Cambria Math" w:hAnsi="Cambria Math"/>
                  <w:sz w:val="24"/>
                  <w:szCs w:val="22"/>
                </w:rPr>
                <m:t>2</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m</m:t>
              </m:r>
            </m:e>
            <m:sub>
              <m:r>
                <w:rPr>
                  <w:rFonts w:ascii="Cambria Math" w:hAnsi="Cambria Math"/>
                  <w:sz w:val="24"/>
                  <w:szCs w:val="22"/>
                </w:rPr>
                <m:t>2</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2</m:t>
              </m:r>
            </m:sub>
          </m:sSub>
          <m:r>
            <m:rPr>
              <m:sty m:val="p"/>
            </m:rPr>
            <w:rPr>
              <w:rFonts w:ascii="Cambria Math" w:hAnsi="Cambria Math"/>
              <w:sz w:val="24"/>
              <w:szCs w:val="22"/>
            </w:rPr>
            <m:t>+</m:t>
          </m:r>
          <m:sSub>
            <m:sSubPr>
              <m:ctrlPr>
                <w:rPr>
                  <w:rFonts w:ascii="Cambria Math" w:hAnsi="Cambria Math"/>
                  <w:sz w:val="24"/>
                  <w:szCs w:val="22"/>
                </w:rPr>
              </m:ctrlPr>
            </m:sSubPr>
            <m:e>
              <m:r>
                <w:rPr>
                  <w:rFonts w:ascii="Cambria Math" w:hAnsi="Cambria Math"/>
                  <w:sz w:val="24"/>
                  <w:szCs w:val="22"/>
                </w:rPr>
                <m:t>a</m:t>
              </m:r>
            </m:e>
            <m:sub>
              <m:r>
                <w:rPr>
                  <w:rFonts w:ascii="Cambria Math" w:hAnsi="Cambria Math"/>
                  <w:sz w:val="24"/>
                  <w:szCs w:val="22"/>
                </w:rPr>
                <m:t>i</m:t>
              </m:r>
            </m:sub>
          </m:sSub>
          <m:sSub>
            <m:sSubPr>
              <m:ctrlPr>
                <w:rPr>
                  <w:rFonts w:ascii="Cambria Math" w:hAnsi="Cambria Math"/>
                  <w:sz w:val="24"/>
                  <w:szCs w:val="22"/>
                </w:rPr>
              </m:ctrlPr>
            </m:sSubPr>
            <m:e>
              <m:r>
                <w:rPr>
                  <w:rFonts w:ascii="Cambria Math" w:hAnsi="Cambria Math"/>
                  <w:sz w:val="24"/>
                  <w:szCs w:val="22"/>
                </w:rPr>
                <m:t>d</m:t>
              </m:r>
            </m:e>
            <m:sub>
              <m:r>
                <w:rPr>
                  <w:rFonts w:ascii="Cambria Math" w:hAnsi="Cambria Math"/>
                  <w:sz w:val="24"/>
                  <w:szCs w:val="22"/>
                </w:rPr>
                <m:t>i</m:t>
              </m:r>
            </m:sub>
          </m:sSub>
          <m:sSub>
            <m:sSubPr>
              <m:ctrlPr>
                <w:rPr>
                  <w:rFonts w:ascii="Cambria Math" w:hAnsi="Cambria Math"/>
                  <w:sz w:val="24"/>
                  <w:szCs w:val="22"/>
                </w:rPr>
              </m:ctrlPr>
            </m:sSubPr>
            <m:e>
              <m:r>
                <w:rPr>
                  <w:rFonts w:ascii="Cambria Math" w:hAnsi="Cambria Math"/>
                  <w:sz w:val="24"/>
                  <w:szCs w:val="22"/>
                </w:rPr>
                <m:t>m</m:t>
              </m:r>
            </m:e>
            <m:sub>
              <m:r>
                <w:rPr>
                  <w:rFonts w:ascii="Cambria Math" w:hAnsi="Cambria Math"/>
                  <w:sz w:val="24"/>
                  <w:szCs w:val="22"/>
                </w:rPr>
                <m:t>i</m:t>
              </m:r>
            </m:sub>
          </m:sSub>
        </m:oMath>
      </m:oMathPara>
    </w:p>
    <w:p w14:paraId="2E2CB2BE" w14:textId="77777777" w:rsidR="00B41858" w:rsidRPr="003C2771" w:rsidRDefault="00B41858" w:rsidP="00B41858">
      <w:pPr>
        <w:pStyle w:val="BodyText"/>
        <w:ind w:left="2160" w:hanging="1080"/>
        <w:jc w:val="both"/>
        <w:rPr>
          <w:szCs w:val="22"/>
        </w:rPr>
      </w:pPr>
      <w:r w:rsidRPr="003C2771">
        <w:rPr>
          <w:szCs w:val="22"/>
        </w:rPr>
        <w:tab/>
      </w:r>
      <w:r w:rsidRPr="003C2771">
        <w:rPr>
          <w:szCs w:val="22"/>
        </w:rPr>
        <w:tab/>
        <w:t>where:</w:t>
      </w:r>
    </w:p>
    <w:p w14:paraId="03D1F7EC" w14:textId="77777777" w:rsidR="00B41858" w:rsidRPr="003C2771" w:rsidRDefault="00B41858" w:rsidP="00B41858">
      <w:pPr>
        <w:pStyle w:val="BodyText"/>
        <w:ind w:left="2160" w:hanging="1080"/>
        <w:jc w:val="both"/>
        <w:rPr>
          <w:szCs w:val="22"/>
        </w:rPr>
      </w:pPr>
      <w:r w:rsidRPr="003C2771">
        <w:rPr>
          <w:szCs w:val="22"/>
        </w:rPr>
        <w:t xml:space="preserve">d = layer thickness; the thickness of each layer shall be rounded up in 0.5” increments for HMA and </w:t>
      </w:r>
      <w:smartTag w:uri="urn:schemas-microsoft-com:office:smarttags" w:element="stockticker">
        <w:r w:rsidRPr="003C2771">
          <w:rPr>
            <w:szCs w:val="22"/>
          </w:rPr>
          <w:t>PCC</w:t>
        </w:r>
      </w:smartTag>
      <w:r w:rsidRPr="003C2771">
        <w:rPr>
          <w:szCs w:val="22"/>
        </w:rPr>
        <w:t xml:space="preserve"> materials and rounded up in 1.0” increments for all other materials. </w:t>
      </w:r>
    </w:p>
    <w:p w14:paraId="2920C47F" w14:textId="77777777" w:rsidR="00B41858" w:rsidRPr="003C2771" w:rsidRDefault="00B41858" w:rsidP="00B41858">
      <w:pPr>
        <w:pStyle w:val="BodyText"/>
        <w:ind w:left="2160" w:hanging="1080"/>
        <w:jc w:val="both"/>
        <w:rPr>
          <w:rStyle w:val="Hyperlink"/>
          <w:szCs w:val="22"/>
        </w:rPr>
      </w:pPr>
      <w:r w:rsidRPr="003C2771">
        <w:rPr>
          <w:szCs w:val="22"/>
        </w:rPr>
        <w:t xml:space="preserve">a = layer structural coefficient: (Follow guidelines established in by AASHTO found in Table 5.2 on page </w:t>
      </w:r>
      <w:smartTag w:uri="urn:schemas-microsoft-com:office:smarttags" w:element="stockticker">
        <w:r w:rsidRPr="003C2771">
          <w:rPr>
            <w:szCs w:val="22"/>
          </w:rPr>
          <w:t>III</w:t>
        </w:r>
      </w:smartTag>
      <w:r w:rsidRPr="003C2771">
        <w:rPr>
          <w:szCs w:val="22"/>
        </w:rPr>
        <w:t xml:space="preserve">-105 in the 1993 AASHTO Guide.  Refer to </w:t>
      </w:r>
      <w:hyperlink w:anchor="_Design_Properties_for" w:history="1">
        <w:r w:rsidRPr="003C2771">
          <w:rPr>
            <w:rStyle w:val="Hyperlink"/>
            <w:szCs w:val="22"/>
          </w:rPr>
          <w:t>Design Properties for Pavement Materials – AASHTO 1993</w:t>
        </w:r>
      </w:hyperlink>
      <w:r w:rsidRPr="003C2771">
        <w:rPr>
          <w:rStyle w:val="Hyperlink"/>
          <w:szCs w:val="22"/>
        </w:rPr>
        <w:t xml:space="preserve">.  Refer to </w:t>
      </w:r>
      <w:hyperlink w:anchor="_Structural_and_Drainage" w:history="1">
        <w:r w:rsidRPr="003C2771">
          <w:rPr>
            <w:rStyle w:val="Hyperlink"/>
            <w:szCs w:val="22"/>
          </w:rPr>
          <w:t>Structural and Drainage Coefficient Factors – AASHTO 1993</w:t>
        </w:r>
      </w:hyperlink>
    </w:p>
    <w:p w14:paraId="691EF29B" w14:textId="77777777" w:rsidR="00B41858" w:rsidRPr="00B41858" w:rsidRDefault="00B41858" w:rsidP="00B41858">
      <w:pPr>
        <w:pStyle w:val="BodyText"/>
        <w:ind w:left="2160" w:hanging="1080"/>
        <w:jc w:val="both"/>
        <w:rPr>
          <w:rStyle w:val="Hyperlink"/>
          <w:szCs w:val="22"/>
        </w:rPr>
      </w:pPr>
      <w:r w:rsidRPr="003C2771">
        <w:rPr>
          <w:szCs w:val="22"/>
        </w:rPr>
        <w:t xml:space="preserve">m = drainage coefficient.  </w:t>
      </w:r>
      <w:r w:rsidRPr="003C2771">
        <w:rPr>
          <w:rStyle w:val="Hyperlink"/>
          <w:szCs w:val="22"/>
        </w:rPr>
        <w:t xml:space="preserve">Refer to </w:t>
      </w:r>
      <w:hyperlink w:anchor="_Structural_and_Drainage" w:history="1">
        <w:r w:rsidRPr="003C2771">
          <w:rPr>
            <w:rStyle w:val="Hyperlink"/>
            <w:szCs w:val="22"/>
          </w:rPr>
          <w:t>Structural and Drainage Coefficient Factors – AASHTO 1993</w:t>
        </w:r>
      </w:hyperlink>
    </w:p>
    <w:p w14:paraId="4D554AE6" w14:textId="6BC75705" w:rsidR="00630F37" w:rsidRPr="00722B46" w:rsidRDefault="00630F37" w:rsidP="00722B46">
      <w:pPr>
        <w:pStyle w:val="BodyText"/>
        <w:spacing w:after="0"/>
        <w:ind w:left="1440" w:hanging="1440"/>
        <w:jc w:val="both"/>
      </w:pPr>
    </w:p>
    <w:p w14:paraId="5C272515" w14:textId="77777777" w:rsidR="00630F37" w:rsidRPr="00E55769" w:rsidRDefault="00630F37" w:rsidP="00CE0957">
      <w:pPr>
        <w:pStyle w:val="ListNumber"/>
        <w:numPr>
          <w:ilvl w:val="0"/>
          <w:numId w:val="104"/>
        </w:numPr>
        <w:spacing w:before="0"/>
        <w:ind w:left="1080" w:hanging="1080"/>
        <w:jc w:val="both"/>
        <w:rPr>
          <w:szCs w:val="22"/>
        </w:rPr>
      </w:pPr>
      <w:r w:rsidRPr="00E55769">
        <w:rPr>
          <w:szCs w:val="22"/>
        </w:rPr>
        <w:t>Calculate the effective structural capacity (S</w:t>
      </w:r>
      <w:r w:rsidR="00983E96" w:rsidRPr="00E55769">
        <w:rPr>
          <w:szCs w:val="22"/>
        </w:rPr>
        <w:t>N</w:t>
      </w:r>
      <w:r w:rsidRPr="00E55769">
        <w:rPr>
          <w:szCs w:val="22"/>
          <w:vertAlign w:val="subscript"/>
        </w:rPr>
        <w:t>eff</w:t>
      </w:r>
      <w:r w:rsidRPr="00E55769">
        <w:rPr>
          <w:szCs w:val="22"/>
        </w:rPr>
        <w:t>)</w:t>
      </w:r>
      <w:r w:rsidRPr="00E55769">
        <w:rPr>
          <w:szCs w:val="22"/>
          <w:vertAlign w:val="subscript"/>
        </w:rPr>
        <w:t xml:space="preserve"> </w:t>
      </w:r>
      <w:r w:rsidRPr="00E55769">
        <w:rPr>
          <w:szCs w:val="22"/>
        </w:rPr>
        <w:t>of each analysis section following the non-destructive testing analysis approach:</w:t>
      </w:r>
    </w:p>
    <w:p w14:paraId="64C67410" w14:textId="77777777" w:rsidR="00630F37" w:rsidRPr="00CE0957" w:rsidRDefault="00630F37" w:rsidP="00643DBD">
      <w:pPr>
        <w:pStyle w:val="BodyText"/>
        <w:ind w:left="1440" w:hanging="1440"/>
        <w:jc w:val="both"/>
        <w:rPr>
          <w:sz w:val="8"/>
          <w:szCs w:val="6"/>
        </w:rPr>
      </w:pPr>
    </w:p>
    <w:p w14:paraId="2C5691EE" w14:textId="77777777" w:rsidR="00CE0957" w:rsidRPr="00CE0957" w:rsidRDefault="00CE0957" w:rsidP="00CE0957">
      <w:pPr>
        <w:rPr>
          <w:sz w:val="24"/>
          <w:szCs w:val="24"/>
        </w:rPr>
      </w:pPr>
      <m:oMathPara>
        <m:oMathParaPr>
          <m:jc m:val="center"/>
        </m:oMathParaPr>
        <m:oMath>
          <m:r>
            <w:rPr>
              <w:rFonts w:ascii="Cambria Math" w:hAnsi="Cambria Math"/>
              <w:sz w:val="24"/>
              <w:szCs w:val="24"/>
            </w:rPr>
            <m:t>S</m:t>
          </m:r>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eff</m:t>
              </m:r>
            </m:sub>
          </m:sSub>
          <m:r>
            <m:rPr>
              <m:sty m:val="p"/>
            </m:rPr>
            <w:rPr>
              <w:rFonts w:ascii="Cambria Math" w:hAnsi="Cambria Math"/>
              <w:sz w:val="24"/>
              <w:szCs w:val="24"/>
            </w:rPr>
            <m:t>=</m:t>
          </m:r>
          <m:r>
            <w:rPr>
              <w:rFonts w:ascii="Cambria Math" w:hAnsi="Cambria Math"/>
              <w:sz w:val="24"/>
              <w:szCs w:val="24"/>
            </w:rPr>
            <m:t>0.0045</m:t>
          </m:r>
          <m:r>
            <m:rPr>
              <m:sty m:val="p"/>
            </m:rPr>
            <w:rPr>
              <w:rFonts w:ascii="Cambria Math" w:hAnsi="Cambria Math"/>
              <w:sz w:val="24"/>
              <w:szCs w:val="24"/>
            </w:rPr>
            <m:t>*</m:t>
          </m:r>
          <m:r>
            <w:rPr>
              <w:rFonts w:ascii="Cambria Math" w:hAnsi="Cambria Math"/>
              <w:sz w:val="24"/>
              <w:szCs w:val="24"/>
            </w:rPr>
            <m:t>D</m:t>
          </m:r>
          <m:r>
            <m:rPr>
              <m:sty m:val="p"/>
            </m:rPr>
            <w:rPr>
              <w:rFonts w:ascii="Cambria Math" w:hAnsi="Cambria Math"/>
              <w:sz w:val="24"/>
              <w:szCs w:val="24"/>
            </w:rPr>
            <m:t>*</m:t>
          </m:r>
          <m:sSup>
            <m:sSupPr>
              <m:ctrlPr>
                <w:rPr>
                  <w:rFonts w:ascii="Cambria Math" w:hAnsi="Cambria Math"/>
                  <w:sz w:val="24"/>
                  <w:szCs w:val="24"/>
                </w:rPr>
              </m:ctrlPr>
            </m:sSupPr>
            <m:e>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E</m:t>
                      </m:r>
                    </m:e>
                    <m:sub>
                      <m:r>
                        <w:rPr>
                          <w:rFonts w:ascii="Cambria Math" w:hAnsi="Cambria Math"/>
                          <w:sz w:val="24"/>
                          <w:szCs w:val="24"/>
                        </w:rPr>
                        <m:t>p</m:t>
                      </m:r>
                    </m:sub>
                  </m:sSub>
                </m:e>
              </m:d>
            </m:e>
            <m:sup>
              <m:r>
                <w:rPr>
                  <w:rFonts w:ascii="Cambria Math" w:hAnsi="Cambria Math"/>
                  <w:sz w:val="24"/>
                  <w:szCs w:val="24"/>
                </w:rPr>
                <m:t>1</m:t>
              </m:r>
              <m:r>
                <m:rPr>
                  <m:sty m:val="p"/>
                </m:rPr>
                <w:rPr>
                  <w:rFonts w:ascii="Cambria Math" w:hAnsi="Cambria Math"/>
                  <w:sz w:val="24"/>
                  <w:szCs w:val="24"/>
                </w:rPr>
                <m:t>/</m:t>
              </m:r>
              <m:r>
                <w:rPr>
                  <w:rFonts w:ascii="Cambria Math" w:hAnsi="Cambria Math"/>
                  <w:sz w:val="24"/>
                  <w:szCs w:val="24"/>
                </w:rPr>
                <m:t>3</m:t>
              </m:r>
            </m:sup>
          </m:sSup>
        </m:oMath>
      </m:oMathPara>
    </w:p>
    <w:p w14:paraId="65674DD8" w14:textId="153C4684" w:rsidR="00983E96" w:rsidRPr="00E55769" w:rsidRDefault="00842346" w:rsidP="00842346">
      <w:pPr>
        <w:pStyle w:val="BodyText"/>
        <w:spacing w:after="0"/>
        <w:ind w:left="1440"/>
        <w:jc w:val="both"/>
        <w:rPr>
          <w:szCs w:val="22"/>
        </w:rPr>
      </w:pPr>
      <w:r>
        <w:rPr>
          <w:szCs w:val="22"/>
        </w:rPr>
        <w:t>w</w:t>
      </w:r>
      <w:r w:rsidR="00983E96" w:rsidRPr="00E55769">
        <w:rPr>
          <w:szCs w:val="22"/>
        </w:rPr>
        <w:t>here</w:t>
      </w:r>
      <w:r w:rsidR="008059C5">
        <w:rPr>
          <w:szCs w:val="22"/>
        </w:rPr>
        <w:t>:</w:t>
      </w:r>
    </w:p>
    <w:p w14:paraId="472237AD" w14:textId="2CB5274A" w:rsidR="00630F37" w:rsidRPr="00722B46" w:rsidRDefault="00630F37" w:rsidP="00722B46">
      <w:pPr>
        <w:pStyle w:val="BodyText"/>
        <w:tabs>
          <w:tab w:val="left" w:pos="2250"/>
        </w:tabs>
        <w:spacing w:after="0"/>
        <w:ind w:left="2520" w:hanging="540"/>
      </w:pPr>
      <w:r w:rsidRPr="00722B46">
        <w:t xml:space="preserve">D </w:t>
      </w:r>
      <w:r w:rsidR="00A25E05">
        <w:rPr>
          <w:szCs w:val="22"/>
        </w:rPr>
        <w:tab/>
      </w:r>
      <w:r w:rsidRPr="00E55769">
        <w:rPr>
          <w:szCs w:val="22"/>
        </w:rPr>
        <w:t xml:space="preserve">= </w:t>
      </w:r>
      <w:r w:rsidR="00A25E05">
        <w:rPr>
          <w:szCs w:val="22"/>
        </w:rPr>
        <w:tab/>
      </w:r>
      <w:r w:rsidRPr="00722B46">
        <w:t xml:space="preserve">Total thickness of all pavement layers above the subgrade, inches </w:t>
      </w:r>
    </w:p>
    <w:p w14:paraId="06BECA62" w14:textId="3CB1125B" w:rsidR="00630F37" w:rsidRPr="00E55769" w:rsidRDefault="00630F37" w:rsidP="009E6563">
      <w:pPr>
        <w:pStyle w:val="BodyText"/>
        <w:tabs>
          <w:tab w:val="left" w:pos="2250"/>
        </w:tabs>
        <w:spacing w:after="0"/>
        <w:ind w:left="2520" w:hanging="540"/>
        <w:rPr>
          <w:szCs w:val="22"/>
        </w:rPr>
      </w:pPr>
      <w:r w:rsidRPr="00722B46">
        <w:t>E</w:t>
      </w:r>
      <w:r w:rsidRPr="00722B46">
        <w:rPr>
          <w:vertAlign w:val="subscript"/>
        </w:rPr>
        <w:t>p</w:t>
      </w:r>
      <w:r w:rsidR="00A25E05">
        <w:rPr>
          <w:szCs w:val="22"/>
        </w:rPr>
        <w:tab/>
      </w:r>
      <w:r w:rsidRPr="00E55769">
        <w:rPr>
          <w:szCs w:val="22"/>
        </w:rPr>
        <w:t xml:space="preserve">= </w:t>
      </w:r>
      <w:r w:rsidR="00A25E05">
        <w:rPr>
          <w:szCs w:val="22"/>
        </w:rPr>
        <w:tab/>
      </w:r>
      <w:r w:rsidRPr="00722B46">
        <w:t xml:space="preserve">Effective modulus of the pavement layers above the subgrade, psi </w:t>
      </w:r>
    </w:p>
    <w:p w14:paraId="4797DF33" w14:textId="77777777" w:rsidR="00A25E05" w:rsidRPr="00722B46" w:rsidRDefault="00A25E05" w:rsidP="00722B46">
      <w:pPr>
        <w:pStyle w:val="BodyText"/>
        <w:ind w:left="1080"/>
        <w:jc w:val="both"/>
      </w:pPr>
    </w:p>
    <w:p w14:paraId="6066BF9B" w14:textId="77777777" w:rsidR="00630F37" w:rsidRPr="00722B46" w:rsidRDefault="00630F37" w:rsidP="00722B46">
      <w:pPr>
        <w:pStyle w:val="BodyText"/>
        <w:ind w:left="1080"/>
        <w:jc w:val="both"/>
      </w:pPr>
      <w:r w:rsidRPr="00722B46">
        <w:t>SN</w:t>
      </w:r>
      <w:r w:rsidRPr="00722B46">
        <w:rPr>
          <w:vertAlign w:val="subscript"/>
        </w:rPr>
        <w:t>eff</w:t>
      </w:r>
      <w:r w:rsidRPr="00722B46">
        <w:t xml:space="preserve"> and E</w:t>
      </w:r>
      <w:r w:rsidRPr="00722B46">
        <w:rPr>
          <w:vertAlign w:val="subscript"/>
        </w:rPr>
        <w:t>p</w:t>
      </w:r>
      <w:r w:rsidRPr="00722B46">
        <w:t xml:space="preserve"> shall be calculated following the guidelines provided in </w:t>
      </w:r>
      <w:hyperlink w:anchor="_FWD_Data_Analysis_2" w:history="1">
        <w:r w:rsidR="00983E96" w:rsidRPr="00722B46">
          <w:rPr>
            <w:rStyle w:val="Hyperlink"/>
          </w:rPr>
          <w:t>FWD Data Analysis Procedure</w:t>
        </w:r>
      </w:hyperlink>
      <w:r w:rsidR="00983E96" w:rsidRPr="00722B46">
        <w:t>.</w:t>
      </w:r>
      <w:r w:rsidRPr="00722B46">
        <w:t xml:space="preserve">  </w:t>
      </w:r>
    </w:p>
    <w:p w14:paraId="60D18B60" w14:textId="6EAC34C2" w:rsidR="00630F37" w:rsidRPr="00722B46" w:rsidRDefault="00630F37" w:rsidP="00722B46">
      <w:pPr>
        <w:pStyle w:val="BodyText"/>
        <w:spacing w:after="0"/>
        <w:ind w:left="1080"/>
        <w:jc w:val="both"/>
      </w:pPr>
      <w:r w:rsidRPr="00722B46">
        <w:t>It is possible for SN</w:t>
      </w:r>
      <w:r w:rsidRPr="00722B46">
        <w:rPr>
          <w:vertAlign w:val="subscript"/>
        </w:rPr>
        <w:t>eff</w:t>
      </w:r>
      <w:r w:rsidRPr="00722B46">
        <w:t xml:space="preserve"> to be greater than SN</w:t>
      </w:r>
      <w:r w:rsidRPr="00722B46">
        <w:rPr>
          <w:vertAlign w:val="subscript"/>
        </w:rPr>
        <w:t>o</w:t>
      </w:r>
      <w:r w:rsidRPr="00722B46">
        <w:t>.  If this is true</w:t>
      </w:r>
      <w:r w:rsidR="00A25E05">
        <w:rPr>
          <w:szCs w:val="22"/>
        </w:rPr>
        <w:t>,</w:t>
      </w:r>
      <w:r w:rsidRPr="00722B46">
        <w:t xml:space="preserve"> then SN</w:t>
      </w:r>
      <w:r w:rsidRPr="00722B46">
        <w:rPr>
          <w:vertAlign w:val="subscript"/>
        </w:rPr>
        <w:t>o</w:t>
      </w:r>
      <w:r w:rsidRPr="00722B46">
        <w:t xml:space="preserve"> should be redefined to be equal to SN</w:t>
      </w:r>
      <w:r w:rsidRPr="00722B46">
        <w:rPr>
          <w:vertAlign w:val="subscript"/>
        </w:rPr>
        <w:t>eff</w:t>
      </w:r>
      <w:r w:rsidRPr="00722B46">
        <w:t xml:space="preserve"> and </w:t>
      </w:r>
      <w:r w:rsidR="00825288" w:rsidRPr="00722B46">
        <w:t xml:space="preserve">Steps 1 </w:t>
      </w:r>
      <w:r w:rsidRPr="00722B46">
        <w:t xml:space="preserve">and </w:t>
      </w:r>
      <w:r w:rsidR="00C51057" w:rsidRPr="00722B46">
        <w:t xml:space="preserve">2 </w:t>
      </w:r>
      <w:r w:rsidRPr="00722B46">
        <w:t>should be repeated to calculate SN</w:t>
      </w:r>
      <w:r w:rsidRPr="00722B46">
        <w:rPr>
          <w:vertAlign w:val="subscript"/>
        </w:rPr>
        <w:t>eff</w:t>
      </w:r>
      <w:r w:rsidRPr="00722B46">
        <w:t xml:space="preserve">.  </w:t>
      </w:r>
    </w:p>
    <w:p w14:paraId="2DF47561" w14:textId="77777777" w:rsidR="00A25E05" w:rsidRPr="00E55769" w:rsidRDefault="00A25E05" w:rsidP="00A25E05">
      <w:pPr>
        <w:pStyle w:val="BodyText"/>
        <w:spacing w:after="0"/>
        <w:ind w:left="1080"/>
        <w:jc w:val="both"/>
        <w:rPr>
          <w:szCs w:val="22"/>
        </w:rPr>
      </w:pPr>
    </w:p>
    <w:p w14:paraId="61DCDB8F" w14:textId="77777777" w:rsidR="00E6719D" w:rsidRPr="00541484" w:rsidRDefault="00E6719D" w:rsidP="00172E64">
      <w:pPr>
        <w:pStyle w:val="Heading5"/>
        <w:numPr>
          <w:ilvl w:val="4"/>
          <w:numId w:val="185"/>
        </w:numPr>
        <w:tabs>
          <w:tab w:val="left" w:pos="1800"/>
        </w:tabs>
        <w:ind w:left="1098" w:hanging="1098"/>
      </w:pPr>
      <w:r>
        <w:lastRenderedPageBreak/>
        <w:t xml:space="preserve">HMA Overlay </w:t>
      </w:r>
    </w:p>
    <w:p w14:paraId="5628D617" w14:textId="701A0A0B" w:rsidR="00630F37" w:rsidRPr="00E6719D" w:rsidRDefault="00630F37" w:rsidP="00172E64">
      <w:pPr>
        <w:pStyle w:val="ListNumber"/>
        <w:numPr>
          <w:ilvl w:val="0"/>
          <w:numId w:val="106"/>
        </w:numPr>
        <w:tabs>
          <w:tab w:val="clear" w:pos="1872"/>
        </w:tabs>
        <w:spacing w:before="240"/>
        <w:ind w:left="1080" w:hanging="1080"/>
        <w:jc w:val="both"/>
        <w:rPr>
          <w:szCs w:val="22"/>
        </w:rPr>
      </w:pPr>
      <w:r w:rsidRPr="00572594">
        <w:t>Calculate the required structural capacity (S</w:t>
      </w:r>
      <w:r w:rsidR="00146EB4" w:rsidRPr="00572594">
        <w:t>N</w:t>
      </w:r>
      <w:r w:rsidRPr="00572594">
        <w:rPr>
          <w:vertAlign w:val="subscript"/>
        </w:rPr>
        <w:t>f</w:t>
      </w:r>
      <w:r w:rsidRPr="00572594">
        <w:t>)</w:t>
      </w:r>
      <w:r w:rsidRPr="00572594">
        <w:rPr>
          <w:vertAlign w:val="subscript"/>
        </w:rPr>
        <w:t xml:space="preserve"> </w:t>
      </w:r>
      <w:r w:rsidRPr="00572594">
        <w:t>for future traffic for each analysis section. S</w:t>
      </w:r>
      <w:r w:rsidR="00146EB4" w:rsidRPr="00572594">
        <w:t>N</w:t>
      </w:r>
      <w:r w:rsidRPr="00572594">
        <w:rPr>
          <w:vertAlign w:val="subscript"/>
        </w:rPr>
        <w:t>f</w:t>
      </w:r>
      <w:r w:rsidRPr="00572594">
        <w:t xml:space="preserve"> is obtained from Figure 3.1 and the nomograph equations on page II-32 in the </w:t>
      </w:r>
      <w:r w:rsidR="00146EB4" w:rsidRPr="00572594">
        <w:t xml:space="preserve">1993 </w:t>
      </w:r>
      <w:r w:rsidRPr="00572594">
        <w:t xml:space="preserve">AASHTO Guide.  </w:t>
      </w:r>
      <w:r w:rsidR="00572594" w:rsidRPr="00572594">
        <w:t>For all</w:t>
      </w:r>
      <w:r w:rsidRPr="00572594">
        <w:t xml:space="preserve"> design inputs </w:t>
      </w:r>
      <w:r w:rsidR="00572594">
        <w:t>requi</w:t>
      </w:r>
      <w:r w:rsidR="00572594" w:rsidRPr="00E6719D">
        <w:t>red</w:t>
      </w:r>
      <w:r w:rsidRPr="00E6719D">
        <w:t xml:space="preserve"> to </w:t>
      </w:r>
      <w:r w:rsidRPr="00E6719D">
        <w:rPr>
          <w:szCs w:val="22"/>
        </w:rPr>
        <w:t xml:space="preserve">use the nomograph or equation on </w:t>
      </w:r>
      <w:r w:rsidRPr="003C2771">
        <w:rPr>
          <w:szCs w:val="22"/>
        </w:rPr>
        <w:t>page II-32</w:t>
      </w:r>
      <w:r w:rsidR="00572594" w:rsidRPr="003C2771">
        <w:rPr>
          <w:szCs w:val="22"/>
        </w:rPr>
        <w:t>,</w:t>
      </w:r>
      <w:r w:rsidR="00572594" w:rsidRPr="00E6719D">
        <w:rPr>
          <w:szCs w:val="22"/>
        </w:rPr>
        <w:t xml:space="preserve"> refer to </w:t>
      </w:r>
      <w:hyperlink w:anchor="_Design_Inputs" w:history="1">
        <w:r w:rsidR="00572594" w:rsidRPr="00E6719D">
          <w:rPr>
            <w:rStyle w:val="Hyperlink"/>
            <w:szCs w:val="22"/>
          </w:rPr>
          <w:t>Design Inputs</w:t>
        </w:r>
      </w:hyperlink>
      <w:r w:rsidR="00572594" w:rsidRPr="00E6719D">
        <w:rPr>
          <w:szCs w:val="22"/>
        </w:rPr>
        <w:t>.</w:t>
      </w:r>
    </w:p>
    <w:p w14:paraId="77AA047F" w14:textId="77777777" w:rsidR="00E6719D" w:rsidRPr="00A25E05" w:rsidRDefault="00E6719D" w:rsidP="00172E64">
      <w:pPr>
        <w:pStyle w:val="ListNumber"/>
        <w:numPr>
          <w:ilvl w:val="0"/>
          <w:numId w:val="106"/>
        </w:numPr>
        <w:ind w:left="1080" w:hanging="1080"/>
        <w:jc w:val="both"/>
        <w:rPr>
          <w:szCs w:val="22"/>
        </w:rPr>
      </w:pPr>
      <w:r w:rsidRPr="00E6719D">
        <w:t>Ident</w:t>
      </w:r>
      <w:r w:rsidRPr="00A25E05">
        <w:rPr>
          <w:szCs w:val="22"/>
        </w:rPr>
        <w:t xml:space="preserve">ify pre-overlay needs as per </w:t>
      </w:r>
      <w:hyperlink w:anchor="_Supplemental_Treatment_Information_1" w:history="1">
        <w:r w:rsidRPr="00A25E05">
          <w:rPr>
            <w:rStyle w:val="Hyperlink"/>
            <w:szCs w:val="22"/>
          </w:rPr>
          <w:t>Supplemental Treatment Information</w:t>
        </w:r>
      </w:hyperlink>
      <w:r w:rsidRPr="00A25E05">
        <w:rPr>
          <w:szCs w:val="22"/>
        </w:rPr>
        <w:t xml:space="preserve"> and </w:t>
      </w:r>
      <w:hyperlink w:anchor="_Pre-Overlay_Repair_Guidelines" w:history="1">
        <w:r w:rsidRPr="00A25E05">
          <w:rPr>
            <w:rStyle w:val="Hyperlink"/>
            <w:szCs w:val="22"/>
          </w:rPr>
          <w:t>Pre-Overlay Repair Guidelines</w:t>
        </w:r>
      </w:hyperlink>
      <w:r w:rsidRPr="00A25E05">
        <w:rPr>
          <w:szCs w:val="22"/>
        </w:rPr>
        <w:t xml:space="preserve"> for each selected, applicable repair alternative.  Also, consider drainage treatments from </w:t>
      </w:r>
      <w:hyperlink w:anchor="_Pavement_Drainage" w:history="1">
        <w:r w:rsidRPr="00A25E05">
          <w:rPr>
            <w:rStyle w:val="Hyperlink"/>
            <w:szCs w:val="22"/>
          </w:rPr>
          <w:t>Pavement Drainage</w:t>
        </w:r>
      </w:hyperlink>
      <w:r w:rsidRPr="00A25E05">
        <w:rPr>
          <w:szCs w:val="22"/>
        </w:rPr>
        <w:t xml:space="preserve"> that would be appropriate repairs and/or rehabilitation strategies to address the source of any drainage issues.    </w:t>
      </w:r>
    </w:p>
    <w:p w14:paraId="507B7BAA" w14:textId="320031CC" w:rsidR="00630F37" w:rsidRPr="00A25E05" w:rsidRDefault="00630F37" w:rsidP="00172E64">
      <w:pPr>
        <w:pStyle w:val="ListNumber"/>
        <w:numPr>
          <w:ilvl w:val="0"/>
          <w:numId w:val="106"/>
        </w:numPr>
        <w:ind w:left="1080" w:hanging="1080"/>
        <w:jc w:val="both"/>
        <w:rPr>
          <w:szCs w:val="22"/>
        </w:rPr>
      </w:pPr>
      <w:r w:rsidRPr="00A25E05">
        <w:rPr>
          <w:szCs w:val="22"/>
        </w:rPr>
        <w:t>If milling is to be used as a pre-overlay repair then recalculate S</w:t>
      </w:r>
      <w:r w:rsidR="0098552F" w:rsidRPr="00A25E05">
        <w:rPr>
          <w:szCs w:val="22"/>
        </w:rPr>
        <w:t>N</w:t>
      </w:r>
      <w:r w:rsidRPr="00A25E05">
        <w:rPr>
          <w:szCs w:val="22"/>
          <w:vertAlign w:val="subscript"/>
        </w:rPr>
        <w:t>o</w:t>
      </w:r>
      <w:r w:rsidRPr="00A25E05">
        <w:rPr>
          <w:szCs w:val="22"/>
        </w:rPr>
        <w:t xml:space="preserve"> as follows:</w:t>
      </w:r>
    </w:p>
    <w:p w14:paraId="1BB4057D" w14:textId="77777777" w:rsidR="00A25E05" w:rsidRDefault="00A25E05" w:rsidP="00A25E05">
      <w:pPr>
        <w:ind w:left="1080" w:hanging="1080"/>
        <w:jc w:val="center"/>
        <w:rPr>
          <w:rFonts w:ascii="Arial" w:hAnsi="Arial"/>
          <w:sz w:val="22"/>
          <w:szCs w:val="22"/>
        </w:rPr>
      </w:pPr>
    </w:p>
    <w:p w14:paraId="2C440898" w14:textId="77777777" w:rsidR="00630F37" w:rsidRPr="00722B46" w:rsidRDefault="00630F37" w:rsidP="00722B46">
      <w:pPr>
        <w:ind w:left="1080" w:hanging="1080"/>
        <w:jc w:val="center"/>
        <w:rPr>
          <w:rFonts w:ascii="Arial" w:hAnsi="Arial"/>
          <w:sz w:val="22"/>
          <w:vertAlign w:val="subscript"/>
        </w:rPr>
      </w:pPr>
      <w:r w:rsidRPr="00722B46">
        <w:rPr>
          <w:rFonts w:ascii="Arial" w:hAnsi="Arial"/>
          <w:sz w:val="22"/>
        </w:rPr>
        <w:t>S</w:t>
      </w:r>
      <w:r w:rsidR="0098552F" w:rsidRPr="00722B46">
        <w:rPr>
          <w:rFonts w:ascii="Arial" w:hAnsi="Arial"/>
          <w:sz w:val="22"/>
        </w:rPr>
        <w:t>N</w:t>
      </w:r>
      <w:r w:rsidRPr="00722B46">
        <w:rPr>
          <w:rFonts w:ascii="Arial" w:hAnsi="Arial"/>
          <w:sz w:val="22"/>
          <w:vertAlign w:val="subscript"/>
        </w:rPr>
        <w:t>o(ar)</w:t>
      </w:r>
      <w:r w:rsidRPr="00722B46">
        <w:rPr>
          <w:rFonts w:ascii="Arial" w:hAnsi="Arial"/>
          <w:sz w:val="22"/>
        </w:rPr>
        <w:t xml:space="preserve"> = S</w:t>
      </w:r>
      <w:r w:rsidR="0098552F" w:rsidRPr="00722B46">
        <w:rPr>
          <w:rFonts w:ascii="Arial" w:hAnsi="Arial"/>
          <w:sz w:val="22"/>
        </w:rPr>
        <w:t>N</w:t>
      </w:r>
      <w:r w:rsidRPr="00722B46">
        <w:rPr>
          <w:rFonts w:ascii="Arial" w:hAnsi="Arial"/>
          <w:sz w:val="22"/>
          <w:vertAlign w:val="subscript"/>
        </w:rPr>
        <w:t>o(br)</w:t>
      </w:r>
      <w:r w:rsidRPr="00722B46">
        <w:rPr>
          <w:rFonts w:ascii="Arial" w:hAnsi="Arial"/>
          <w:sz w:val="22"/>
        </w:rPr>
        <w:t xml:space="preserve"> – h</w:t>
      </w:r>
      <w:r w:rsidRPr="00722B46">
        <w:rPr>
          <w:rFonts w:ascii="Arial" w:hAnsi="Arial"/>
          <w:sz w:val="22"/>
          <w:vertAlign w:val="subscript"/>
        </w:rPr>
        <w:t xml:space="preserve">rem </w:t>
      </w:r>
      <w:r w:rsidRPr="00722B46">
        <w:rPr>
          <w:rFonts w:ascii="Arial" w:hAnsi="Arial"/>
          <w:sz w:val="22"/>
        </w:rPr>
        <w:t>* a</w:t>
      </w:r>
      <w:r w:rsidRPr="00722B46">
        <w:rPr>
          <w:rFonts w:ascii="Arial" w:hAnsi="Arial"/>
          <w:sz w:val="22"/>
          <w:vertAlign w:val="subscript"/>
        </w:rPr>
        <w:t>ac</w:t>
      </w:r>
    </w:p>
    <w:p w14:paraId="490A6EE8" w14:textId="77777777" w:rsidR="00630F37" w:rsidRPr="00722B46" w:rsidRDefault="00630F37" w:rsidP="00722B46">
      <w:pPr>
        <w:ind w:left="1080"/>
        <w:jc w:val="both"/>
        <w:rPr>
          <w:rFonts w:ascii="Arial" w:hAnsi="Arial"/>
          <w:sz w:val="22"/>
        </w:rPr>
      </w:pPr>
      <w:r w:rsidRPr="00722B46">
        <w:rPr>
          <w:rFonts w:ascii="Arial" w:hAnsi="Arial"/>
          <w:sz w:val="22"/>
        </w:rPr>
        <w:t>where:</w:t>
      </w:r>
    </w:p>
    <w:p w14:paraId="304DA342" w14:textId="5E2A369B" w:rsidR="00630F37" w:rsidRPr="00722B46" w:rsidRDefault="00630F37" w:rsidP="00722B46">
      <w:pPr>
        <w:tabs>
          <w:tab w:val="left" w:pos="2340"/>
          <w:tab w:val="left" w:pos="2610"/>
        </w:tabs>
        <w:ind w:left="1620"/>
        <w:jc w:val="both"/>
        <w:rPr>
          <w:rFonts w:ascii="Arial" w:hAnsi="Arial"/>
          <w:sz w:val="22"/>
          <w:vertAlign w:val="subscript"/>
        </w:rPr>
      </w:pPr>
      <w:r w:rsidRPr="00722B46">
        <w:rPr>
          <w:rFonts w:ascii="Arial" w:hAnsi="Arial"/>
          <w:sz w:val="22"/>
        </w:rPr>
        <w:t>S</w:t>
      </w:r>
      <w:r w:rsidR="0098552F" w:rsidRPr="00722B46">
        <w:rPr>
          <w:rFonts w:ascii="Arial" w:hAnsi="Arial"/>
          <w:sz w:val="22"/>
        </w:rPr>
        <w:t>N</w:t>
      </w:r>
      <w:r w:rsidRPr="00722B46">
        <w:rPr>
          <w:rFonts w:ascii="Arial" w:hAnsi="Arial"/>
          <w:sz w:val="22"/>
          <w:vertAlign w:val="subscript"/>
        </w:rPr>
        <w:t xml:space="preserve">o(ar) </w:t>
      </w:r>
      <w:r w:rsidRPr="00722B46">
        <w:rPr>
          <w:rFonts w:ascii="Arial" w:hAnsi="Arial"/>
          <w:sz w:val="22"/>
        </w:rPr>
        <w:t xml:space="preserve"> </w:t>
      </w:r>
      <w:r w:rsidR="00231969">
        <w:rPr>
          <w:rFonts w:ascii="Arial" w:hAnsi="Arial"/>
          <w:sz w:val="22"/>
          <w:szCs w:val="22"/>
        </w:rPr>
        <w:tab/>
      </w:r>
      <w:r w:rsidRPr="00A25E05">
        <w:rPr>
          <w:rFonts w:ascii="Arial" w:hAnsi="Arial"/>
          <w:sz w:val="22"/>
          <w:szCs w:val="22"/>
        </w:rPr>
        <w:t xml:space="preserve">= </w:t>
      </w:r>
      <w:r w:rsidR="00231969">
        <w:rPr>
          <w:rFonts w:ascii="Arial" w:hAnsi="Arial"/>
          <w:sz w:val="22"/>
          <w:szCs w:val="22"/>
        </w:rPr>
        <w:tab/>
      </w:r>
      <w:r w:rsidRPr="00722B46">
        <w:rPr>
          <w:rFonts w:ascii="Arial" w:hAnsi="Arial"/>
          <w:sz w:val="22"/>
        </w:rPr>
        <w:t>Corrected S</w:t>
      </w:r>
      <w:r w:rsidR="0098552F" w:rsidRPr="00722B46">
        <w:rPr>
          <w:rFonts w:ascii="Arial" w:hAnsi="Arial"/>
          <w:sz w:val="22"/>
        </w:rPr>
        <w:t>N</w:t>
      </w:r>
      <w:r w:rsidRPr="00722B46">
        <w:rPr>
          <w:rFonts w:ascii="Arial" w:hAnsi="Arial"/>
          <w:sz w:val="22"/>
          <w:vertAlign w:val="subscript"/>
        </w:rPr>
        <w:t>o</w:t>
      </w:r>
      <w:r w:rsidRPr="00722B46">
        <w:rPr>
          <w:rFonts w:ascii="Arial" w:hAnsi="Arial"/>
          <w:sz w:val="22"/>
        </w:rPr>
        <w:t xml:space="preserve"> value after pavement removal</w:t>
      </w:r>
    </w:p>
    <w:p w14:paraId="2D7CE0D0" w14:textId="39A03A01" w:rsidR="00630F37" w:rsidRPr="00722B46" w:rsidRDefault="00630F37" w:rsidP="00722B46">
      <w:pPr>
        <w:tabs>
          <w:tab w:val="left" w:pos="2340"/>
          <w:tab w:val="left" w:pos="2610"/>
        </w:tabs>
        <w:ind w:left="1620"/>
        <w:jc w:val="both"/>
        <w:rPr>
          <w:rFonts w:ascii="Arial" w:hAnsi="Arial"/>
          <w:sz w:val="22"/>
          <w:vertAlign w:val="subscript"/>
        </w:rPr>
      </w:pPr>
      <w:r w:rsidRPr="00722B46">
        <w:rPr>
          <w:rFonts w:ascii="Arial" w:hAnsi="Arial"/>
          <w:sz w:val="22"/>
        </w:rPr>
        <w:t>S</w:t>
      </w:r>
      <w:r w:rsidR="0098552F" w:rsidRPr="00722B46">
        <w:rPr>
          <w:rFonts w:ascii="Arial" w:hAnsi="Arial"/>
          <w:sz w:val="22"/>
        </w:rPr>
        <w:t>N</w:t>
      </w:r>
      <w:r w:rsidRPr="00722B46">
        <w:rPr>
          <w:rFonts w:ascii="Arial" w:hAnsi="Arial"/>
          <w:sz w:val="22"/>
          <w:vertAlign w:val="subscript"/>
        </w:rPr>
        <w:t xml:space="preserve">o(br) </w:t>
      </w:r>
      <w:r w:rsidR="00231969">
        <w:rPr>
          <w:rFonts w:ascii="Arial" w:hAnsi="Arial"/>
          <w:sz w:val="22"/>
          <w:szCs w:val="22"/>
          <w:vertAlign w:val="subscript"/>
        </w:rPr>
        <w:tab/>
      </w:r>
      <w:r w:rsidRPr="00A25E05">
        <w:rPr>
          <w:rFonts w:ascii="Arial" w:hAnsi="Arial"/>
          <w:sz w:val="22"/>
          <w:szCs w:val="22"/>
        </w:rPr>
        <w:t>=</w:t>
      </w:r>
      <w:r w:rsidRPr="00A25E05">
        <w:rPr>
          <w:rFonts w:ascii="Arial" w:hAnsi="Arial"/>
          <w:sz w:val="22"/>
          <w:szCs w:val="22"/>
          <w:vertAlign w:val="subscript"/>
        </w:rPr>
        <w:t xml:space="preserve"> </w:t>
      </w:r>
      <w:r w:rsidR="00231969">
        <w:rPr>
          <w:rFonts w:ascii="Arial" w:hAnsi="Arial"/>
          <w:sz w:val="22"/>
          <w:szCs w:val="22"/>
          <w:vertAlign w:val="subscript"/>
        </w:rPr>
        <w:tab/>
      </w:r>
      <w:r w:rsidRPr="00722B46">
        <w:rPr>
          <w:rFonts w:ascii="Arial" w:hAnsi="Arial"/>
          <w:sz w:val="22"/>
        </w:rPr>
        <w:t>S</w:t>
      </w:r>
      <w:r w:rsidR="0098552F" w:rsidRPr="00722B46">
        <w:rPr>
          <w:rFonts w:ascii="Arial" w:hAnsi="Arial"/>
          <w:sz w:val="22"/>
        </w:rPr>
        <w:t>N</w:t>
      </w:r>
      <w:r w:rsidRPr="00722B46">
        <w:rPr>
          <w:rFonts w:ascii="Arial" w:hAnsi="Arial"/>
          <w:sz w:val="22"/>
          <w:vertAlign w:val="subscript"/>
        </w:rPr>
        <w:t>o</w:t>
      </w:r>
      <w:r w:rsidRPr="00722B46">
        <w:rPr>
          <w:rFonts w:ascii="Arial" w:hAnsi="Arial"/>
          <w:sz w:val="22"/>
        </w:rPr>
        <w:t xml:space="preserve"> value before pavement removal</w:t>
      </w:r>
    </w:p>
    <w:p w14:paraId="2AC94A21" w14:textId="236EDE95" w:rsidR="00630F37" w:rsidRPr="00722B46" w:rsidRDefault="00630F37" w:rsidP="00722B46">
      <w:pPr>
        <w:tabs>
          <w:tab w:val="left" w:pos="2340"/>
          <w:tab w:val="left" w:pos="2610"/>
        </w:tabs>
        <w:ind w:left="1620"/>
        <w:rPr>
          <w:rFonts w:ascii="Arial" w:hAnsi="Arial"/>
          <w:sz w:val="22"/>
        </w:rPr>
      </w:pPr>
      <w:r w:rsidRPr="00722B46">
        <w:rPr>
          <w:rFonts w:ascii="Arial" w:hAnsi="Arial"/>
          <w:sz w:val="22"/>
        </w:rPr>
        <w:t>h</w:t>
      </w:r>
      <w:r w:rsidRPr="00722B46">
        <w:rPr>
          <w:rFonts w:ascii="Arial" w:hAnsi="Arial"/>
          <w:sz w:val="22"/>
          <w:vertAlign w:val="subscript"/>
        </w:rPr>
        <w:t xml:space="preserve">rem </w:t>
      </w:r>
      <w:r w:rsidR="00231969">
        <w:rPr>
          <w:rFonts w:ascii="Arial" w:hAnsi="Arial"/>
          <w:sz w:val="22"/>
          <w:szCs w:val="22"/>
          <w:vertAlign w:val="subscript"/>
        </w:rPr>
        <w:tab/>
      </w:r>
      <w:r w:rsidRPr="00A25E05">
        <w:rPr>
          <w:rFonts w:ascii="Arial" w:hAnsi="Arial"/>
          <w:sz w:val="22"/>
          <w:szCs w:val="22"/>
        </w:rPr>
        <w:t>=</w:t>
      </w:r>
      <w:r w:rsidRPr="00A25E05">
        <w:rPr>
          <w:rFonts w:ascii="Arial" w:hAnsi="Arial"/>
          <w:sz w:val="22"/>
          <w:szCs w:val="22"/>
          <w:vertAlign w:val="subscript"/>
        </w:rPr>
        <w:t xml:space="preserve"> </w:t>
      </w:r>
      <w:r w:rsidR="00231969">
        <w:rPr>
          <w:rFonts w:ascii="Arial" w:hAnsi="Arial"/>
          <w:sz w:val="22"/>
          <w:szCs w:val="22"/>
          <w:vertAlign w:val="subscript"/>
        </w:rPr>
        <w:tab/>
      </w:r>
      <w:r w:rsidRPr="00722B46">
        <w:rPr>
          <w:rFonts w:ascii="Arial" w:hAnsi="Arial"/>
          <w:sz w:val="22"/>
        </w:rPr>
        <w:t>Depth of pavement removal; 0.5</w:t>
      </w:r>
      <w:r w:rsidR="00231969">
        <w:rPr>
          <w:rFonts w:ascii="Arial" w:hAnsi="Arial"/>
          <w:sz w:val="22"/>
          <w:szCs w:val="22"/>
        </w:rPr>
        <w:t>"</w:t>
      </w:r>
      <w:r w:rsidR="009E6563" w:rsidRPr="00722B46">
        <w:rPr>
          <w:rFonts w:ascii="Arial" w:hAnsi="Arial"/>
          <w:sz w:val="22"/>
        </w:rPr>
        <w:t xml:space="preserve"> </w:t>
      </w:r>
      <w:r w:rsidRPr="00722B46">
        <w:rPr>
          <w:rFonts w:ascii="Arial" w:hAnsi="Arial"/>
          <w:sz w:val="22"/>
        </w:rPr>
        <w:t>increments</w:t>
      </w:r>
    </w:p>
    <w:p w14:paraId="072DA12B" w14:textId="7CD90B6D" w:rsidR="00630F37" w:rsidRPr="00722B46" w:rsidRDefault="00630F37" w:rsidP="00722B46">
      <w:pPr>
        <w:tabs>
          <w:tab w:val="left" w:pos="2340"/>
          <w:tab w:val="left" w:pos="2430"/>
          <w:tab w:val="left" w:pos="2610"/>
        </w:tabs>
        <w:ind w:left="2610" w:hanging="990"/>
        <w:rPr>
          <w:rFonts w:ascii="Arial" w:hAnsi="Arial"/>
          <w:sz w:val="22"/>
        </w:rPr>
      </w:pPr>
      <w:r w:rsidRPr="00722B46">
        <w:rPr>
          <w:rFonts w:ascii="Arial" w:hAnsi="Arial"/>
          <w:sz w:val="22"/>
        </w:rPr>
        <w:t>a</w:t>
      </w:r>
      <w:r w:rsidRPr="00722B46">
        <w:rPr>
          <w:rFonts w:ascii="Arial" w:hAnsi="Arial"/>
          <w:sz w:val="22"/>
          <w:vertAlign w:val="subscript"/>
        </w:rPr>
        <w:t>ac</w:t>
      </w:r>
      <w:r w:rsidRPr="00722B46">
        <w:rPr>
          <w:rFonts w:ascii="Arial" w:hAnsi="Arial"/>
          <w:sz w:val="22"/>
        </w:rPr>
        <w:t xml:space="preserve"> </w:t>
      </w:r>
      <w:r w:rsidR="00231969">
        <w:rPr>
          <w:rFonts w:ascii="Arial" w:hAnsi="Arial"/>
          <w:sz w:val="22"/>
          <w:szCs w:val="22"/>
        </w:rPr>
        <w:tab/>
      </w:r>
      <w:r w:rsidRPr="00A25E05">
        <w:rPr>
          <w:rFonts w:ascii="Arial" w:hAnsi="Arial"/>
          <w:sz w:val="22"/>
          <w:szCs w:val="22"/>
        </w:rPr>
        <w:t xml:space="preserve">= </w:t>
      </w:r>
      <w:r w:rsidR="00231969">
        <w:rPr>
          <w:rFonts w:ascii="Arial" w:hAnsi="Arial"/>
          <w:sz w:val="22"/>
          <w:szCs w:val="22"/>
        </w:rPr>
        <w:tab/>
      </w:r>
      <w:r w:rsidRPr="00722B46">
        <w:rPr>
          <w:rFonts w:ascii="Arial" w:hAnsi="Arial"/>
          <w:sz w:val="22"/>
        </w:rPr>
        <w:t>Layer coefficient of sound asphalt surface material at the time of the last rehabilitation in the past.  However, if S</w:t>
      </w:r>
      <w:r w:rsidR="0098552F" w:rsidRPr="00722B46">
        <w:rPr>
          <w:rFonts w:ascii="Arial" w:hAnsi="Arial"/>
          <w:sz w:val="22"/>
        </w:rPr>
        <w:t>N</w:t>
      </w:r>
      <w:r w:rsidRPr="00722B46">
        <w:rPr>
          <w:rFonts w:ascii="Arial" w:hAnsi="Arial"/>
          <w:sz w:val="22"/>
          <w:vertAlign w:val="subscript"/>
        </w:rPr>
        <w:t>o</w:t>
      </w:r>
      <w:r w:rsidRPr="00722B46">
        <w:rPr>
          <w:rFonts w:ascii="Arial" w:hAnsi="Arial"/>
          <w:sz w:val="22"/>
        </w:rPr>
        <w:t xml:space="preserve"> was set equal to the S</w:t>
      </w:r>
      <w:r w:rsidR="0098552F" w:rsidRPr="00722B46">
        <w:rPr>
          <w:rFonts w:ascii="Arial" w:hAnsi="Arial"/>
          <w:sz w:val="22"/>
        </w:rPr>
        <w:t>N</w:t>
      </w:r>
      <w:r w:rsidRPr="00722B46">
        <w:rPr>
          <w:rFonts w:ascii="Arial" w:hAnsi="Arial"/>
          <w:sz w:val="22"/>
          <w:vertAlign w:val="subscript"/>
        </w:rPr>
        <w:t>eff</w:t>
      </w:r>
      <w:r w:rsidRPr="00722B46">
        <w:rPr>
          <w:rFonts w:ascii="Arial" w:hAnsi="Arial"/>
          <w:sz w:val="22"/>
        </w:rPr>
        <w:t xml:space="preserve"> (NDT), then the layer coefficient should be that of the existing deteriorated surface material.  </w:t>
      </w:r>
    </w:p>
    <w:p w14:paraId="7C8CA58A" w14:textId="490E01CE" w:rsidR="00630F37" w:rsidRPr="00A25E05" w:rsidRDefault="004E7FAB" w:rsidP="00172E64">
      <w:pPr>
        <w:pStyle w:val="ListNumber"/>
        <w:numPr>
          <w:ilvl w:val="0"/>
          <w:numId w:val="106"/>
        </w:numPr>
        <w:ind w:left="1080" w:hanging="1080"/>
        <w:jc w:val="both"/>
        <w:rPr>
          <w:szCs w:val="22"/>
        </w:rPr>
      </w:pPr>
      <w:r w:rsidRPr="00A25E05">
        <w:rPr>
          <w:szCs w:val="22"/>
        </w:rPr>
        <w:t>Estimate</w:t>
      </w:r>
      <w:r w:rsidR="00630F37" w:rsidRPr="00A25E05">
        <w:rPr>
          <w:szCs w:val="22"/>
        </w:rPr>
        <w:t xml:space="preserve"> the corrected PCI and related </w:t>
      </w:r>
      <w:r w:rsidRPr="00A25E05">
        <w:rPr>
          <w:szCs w:val="22"/>
        </w:rPr>
        <w:t>C</w:t>
      </w:r>
      <w:r w:rsidRPr="00722B46">
        <w:rPr>
          <w:vertAlign w:val="subscript"/>
        </w:rPr>
        <w:t>x</w:t>
      </w:r>
      <w:r w:rsidRPr="00A25E05">
        <w:rPr>
          <w:szCs w:val="22"/>
        </w:rPr>
        <w:t xml:space="preserve"> based on the pre-overlay fix and r</w:t>
      </w:r>
      <w:r w:rsidR="00630F37" w:rsidRPr="00A25E05">
        <w:rPr>
          <w:szCs w:val="22"/>
        </w:rPr>
        <w:t>ecalculate S</w:t>
      </w:r>
      <w:r w:rsidRPr="00A25E05">
        <w:rPr>
          <w:szCs w:val="22"/>
        </w:rPr>
        <w:t>N</w:t>
      </w:r>
      <w:r w:rsidR="00630F37" w:rsidRPr="00A25E05">
        <w:rPr>
          <w:szCs w:val="22"/>
          <w:vertAlign w:val="subscript"/>
        </w:rPr>
        <w:t>eff</w:t>
      </w:r>
      <w:r w:rsidR="00231969">
        <w:rPr>
          <w:szCs w:val="22"/>
        </w:rPr>
        <w:t xml:space="preserve"> </w:t>
      </w:r>
      <w:r w:rsidRPr="00A25E05">
        <w:rPr>
          <w:szCs w:val="22"/>
        </w:rPr>
        <w:t>(PCI)</w:t>
      </w:r>
      <w:r w:rsidR="00630F37" w:rsidRPr="00A25E05">
        <w:rPr>
          <w:szCs w:val="22"/>
        </w:rPr>
        <w:t>.</w:t>
      </w:r>
    </w:p>
    <w:p w14:paraId="3AB7A4CE" w14:textId="39681035" w:rsidR="00630F37" w:rsidRPr="00A25E05" w:rsidRDefault="00630F37" w:rsidP="00172E64">
      <w:pPr>
        <w:pStyle w:val="ListNumber"/>
        <w:numPr>
          <w:ilvl w:val="0"/>
          <w:numId w:val="106"/>
        </w:numPr>
        <w:ind w:left="1080" w:hanging="1080"/>
        <w:jc w:val="both"/>
        <w:rPr>
          <w:szCs w:val="22"/>
        </w:rPr>
      </w:pPr>
      <w:r w:rsidRPr="00A25E05">
        <w:rPr>
          <w:szCs w:val="22"/>
        </w:rPr>
        <w:t xml:space="preserve">Use this information </w:t>
      </w:r>
      <w:r w:rsidR="004E7FAB" w:rsidRPr="00A25E05">
        <w:rPr>
          <w:szCs w:val="22"/>
        </w:rPr>
        <w:t>from the adjusted SN</w:t>
      </w:r>
      <w:r w:rsidR="004E7FAB" w:rsidRPr="00A25E05">
        <w:rPr>
          <w:szCs w:val="22"/>
          <w:vertAlign w:val="subscript"/>
        </w:rPr>
        <w:t>eff</w:t>
      </w:r>
      <w:r w:rsidR="004E7FAB" w:rsidRPr="00A25E05">
        <w:rPr>
          <w:szCs w:val="22"/>
        </w:rPr>
        <w:t xml:space="preserve">.(PCI) </w:t>
      </w:r>
      <w:r w:rsidRPr="00A25E05">
        <w:rPr>
          <w:szCs w:val="22"/>
        </w:rPr>
        <w:t>to adjust the S</w:t>
      </w:r>
      <w:r w:rsidR="004E7FAB" w:rsidRPr="00A25E05">
        <w:rPr>
          <w:szCs w:val="22"/>
        </w:rPr>
        <w:t>N</w:t>
      </w:r>
      <w:r w:rsidRPr="00A25E05">
        <w:rPr>
          <w:szCs w:val="22"/>
          <w:vertAlign w:val="subscript"/>
        </w:rPr>
        <w:t>eff</w:t>
      </w:r>
      <w:r w:rsidRPr="00A25E05">
        <w:rPr>
          <w:szCs w:val="22"/>
        </w:rPr>
        <w:t xml:space="preserve"> calculated based on AASHTO. Use </w:t>
      </w:r>
      <w:hyperlink w:anchor="_Design_Properties_for" w:history="1">
        <w:r w:rsidR="004E7FAB" w:rsidRPr="00A25E05">
          <w:rPr>
            <w:rStyle w:val="Hyperlink"/>
            <w:szCs w:val="22"/>
          </w:rPr>
          <w:t>Design Properties for Pavement Materials</w:t>
        </w:r>
      </w:hyperlink>
      <w:r w:rsidR="004E7FAB" w:rsidRPr="00A25E05">
        <w:rPr>
          <w:szCs w:val="22"/>
        </w:rPr>
        <w:t xml:space="preserve"> </w:t>
      </w:r>
      <w:r w:rsidRPr="00A25E05">
        <w:rPr>
          <w:szCs w:val="22"/>
        </w:rPr>
        <w:t xml:space="preserve">to assist in determining the correct layer coefficient for each pavement layer following pre-overlay repairs for flexible pavements. </w:t>
      </w:r>
    </w:p>
    <w:p w14:paraId="323A4E79" w14:textId="3390EF52" w:rsidR="00630F37" w:rsidRPr="00A25E05" w:rsidRDefault="00630F37" w:rsidP="00172E64">
      <w:pPr>
        <w:pStyle w:val="ListNumber"/>
        <w:numPr>
          <w:ilvl w:val="0"/>
          <w:numId w:val="106"/>
        </w:numPr>
        <w:ind w:left="1080" w:hanging="1080"/>
        <w:jc w:val="both"/>
        <w:rPr>
          <w:szCs w:val="22"/>
        </w:rPr>
      </w:pPr>
      <w:r w:rsidRPr="00A25E05">
        <w:rPr>
          <w:szCs w:val="22"/>
        </w:rPr>
        <w:t>If milling is to be used as a pre-overlay repair</w:t>
      </w:r>
      <w:r w:rsidR="00231969">
        <w:rPr>
          <w:szCs w:val="22"/>
        </w:rPr>
        <w:t>,</w:t>
      </w:r>
      <w:r w:rsidRPr="00A25E05">
        <w:rPr>
          <w:szCs w:val="22"/>
        </w:rPr>
        <w:t xml:space="preserve"> then recalculate S</w:t>
      </w:r>
      <w:r w:rsidR="004E7FAB" w:rsidRPr="00A25E05">
        <w:rPr>
          <w:szCs w:val="22"/>
        </w:rPr>
        <w:t>N</w:t>
      </w:r>
      <w:r w:rsidRPr="00A25E05">
        <w:rPr>
          <w:szCs w:val="22"/>
          <w:vertAlign w:val="subscript"/>
        </w:rPr>
        <w:t>eff</w:t>
      </w:r>
      <w:r w:rsidRPr="00A25E05">
        <w:rPr>
          <w:szCs w:val="22"/>
        </w:rPr>
        <w:t xml:space="preserve"> based on NDT for flexible pavements as follows:</w:t>
      </w:r>
    </w:p>
    <w:p w14:paraId="01E1576B" w14:textId="77777777" w:rsidR="00630F37" w:rsidRPr="00A25E05" w:rsidRDefault="00630F37" w:rsidP="00722B46">
      <w:pPr>
        <w:pStyle w:val="ListNumber"/>
        <w:tabs>
          <w:tab w:val="clear" w:pos="720"/>
          <w:tab w:val="clear" w:pos="1872"/>
        </w:tabs>
        <w:ind w:left="1080" w:hanging="1080"/>
        <w:jc w:val="both"/>
        <w:rPr>
          <w:szCs w:val="22"/>
        </w:rPr>
      </w:pPr>
    </w:p>
    <w:p w14:paraId="3CE36715" w14:textId="77777777" w:rsidR="00630F37" w:rsidRPr="00722B46" w:rsidRDefault="00630F37" w:rsidP="00722B46">
      <w:pPr>
        <w:ind w:left="1080" w:hanging="1080"/>
        <w:jc w:val="center"/>
        <w:rPr>
          <w:rFonts w:ascii="Arial" w:hAnsi="Arial"/>
          <w:sz w:val="22"/>
        </w:rPr>
      </w:pPr>
      <w:r w:rsidRPr="00722B46">
        <w:rPr>
          <w:rFonts w:ascii="Arial" w:hAnsi="Arial"/>
          <w:sz w:val="22"/>
        </w:rPr>
        <w:t>S</w:t>
      </w:r>
      <w:r w:rsidR="004E7FAB" w:rsidRPr="00722B46">
        <w:rPr>
          <w:rFonts w:ascii="Arial" w:hAnsi="Arial"/>
          <w:sz w:val="22"/>
        </w:rPr>
        <w:t>N</w:t>
      </w:r>
      <w:r w:rsidRPr="00722B46">
        <w:rPr>
          <w:rFonts w:ascii="Arial" w:hAnsi="Arial"/>
          <w:sz w:val="22"/>
          <w:vertAlign w:val="subscript"/>
        </w:rPr>
        <w:t>eff(ar)</w:t>
      </w:r>
      <w:r w:rsidRPr="00722B46">
        <w:rPr>
          <w:rFonts w:ascii="Arial" w:hAnsi="Arial"/>
          <w:sz w:val="22"/>
        </w:rPr>
        <w:t xml:space="preserve">  = S</w:t>
      </w:r>
      <w:r w:rsidR="004E7FAB" w:rsidRPr="00722B46">
        <w:rPr>
          <w:rFonts w:ascii="Arial" w:hAnsi="Arial"/>
          <w:sz w:val="22"/>
        </w:rPr>
        <w:t>N</w:t>
      </w:r>
      <w:r w:rsidRPr="00722B46">
        <w:rPr>
          <w:rFonts w:ascii="Arial" w:hAnsi="Arial"/>
          <w:sz w:val="22"/>
          <w:vertAlign w:val="subscript"/>
        </w:rPr>
        <w:t>eff(br)</w:t>
      </w:r>
      <w:r w:rsidRPr="00722B46">
        <w:rPr>
          <w:rFonts w:ascii="Arial" w:hAnsi="Arial"/>
          <w:sz w:val="22"/>
        </w:rPr>
        <w:t xml:space="preserve"> –(h</w:t>
      </w:r>
      <w:r w:rsidRPr="00722B46">
        <w:rPr>
          <w:rFonts w:ascii="Arial" w:hAnsi="Arial"/>
          <w:sz w:val="22"/>
          <w:vertAlign w:val="subscript"/>
        </w:rPr>
        <w:t>rem</w:t>
      </w:r>
      <w:r w:rsidRPr="00722B46">
        <w:rPr>
          <w:rFonts w:ascii="Arial" w:hAnsi="Arial"/>
          <w:sz w:val="22"/>
        </w:rPr>
        <w:t>*a</w:t>
      </w:r>
      <w:r w:rsidRPr="00722B46">
        <w:rPr>
          <w:rFonts w:ascii="Arial" w:hAnsi="Arial"/>
          <w:sz w:val="22"/>
          <w:vertAlign w:val="subscript"/>
        </w:rPr>
        <w:t>ac</w:t>
      </w:r>
      <w:r w:rsidRPr="00722B46">
        <w:rPr>
          <w:rFonts w:ascii="Arial" w:hAnsi="Arial"/>
          <w:sz w:val="22"/>
        </w:rPr>
        <w:t>)</w:t>
      </w:r>
    </w:p>
    <w:p w14:paraId="7AF667D8" w14:textId="77777777" w:rsidR="00630F37" w:rsidRPr="00722B46" w:rsidRDefault="00630F37" w:rsidP="00722B46">
      <w:pPr>
        <w:ind w:left="1080" w:hanging="1080"/>
        <w:jc w:val="both"/>
        <w:rPr>
          <w:rFonts w:ascii="Arial" w:hAnsi="Arial"/>
          <w:sz w:val="22"/>
        </w:rPr>
      </w:pPr>
    </w:p>
    <w:p w14:paraId="59FACACB" w14:textId="77777777" w:rsidR="00630F37" w:rsidRPr="00722B46" w:rsidRDefault="00630F37" w:rsidP="00722B46">
      <w:pPr>
        <w:ind w:left="1080"/>
        <w:jc w:val="both"/>
        <w:rPr>
          <w:rFonts w:ascii="Arial" w:hAnsi="Arial"/>
          <w:sz w:val="22"/>
        </w:rPr>
      </w:pPr>
      <w:r w:rsidRPr="00722B46">
        <w:rPr>
          <w:rFonts w:ascii="Arial" w:hAnsi="Arial"/>
          <w:sz w:val="22"/>
        </w:rPr>
        <w:t>where:</w:t>
      </w:r>
    </w:p>
    <w:p w14:paraId="0542BB5F" w14:textId="7AAC27B2" w:rsidR="00630F37" w:rsidRPr="00722B46" w:rsidRDefault="00630F37" w:rsidP="00722B46">
      <w:pPr>
        <w:tabs>
          <w:tab w:val="left" w:pos="2340"/>
          <w:tab w:val="left" w:pos="2610"/>
        </w:tabs>
        <w:ind w:left="1620"/>
        <w:jc w:val="both"/>
        <w:rPr>
          <w:rFonts w:ascii="Arial" w:hAnsi="Arial"/>
          <w:sz w:val="22"/>
          <w:vertAlign w:val="subscript"/>
        </w:rPr>
      </w:pPr>
      <w:r w:rsidRPr="00722B46">
        <w:rPr>
          <w:rFonts w:ascii="Arial" w:hAnsi="Arial"/>
          <w:sz w:val="22"/>
        </w:rPr>
        <w:t>S</w:t>
      </w:r>
      <w:r w:rsidR="004E7FAB" w:rsidRPr="00722B46">
        <w:rPr>
          <w:rFonts w:ascii="Arial" w:hAnsi="Arial"/>
          <w:sz w:val="22"/>
        </w:rPr>
        <w:t>N</w:t>
      </w:r>
      <w:r w:rsidRPr="00722B46">
        <w:rPr>
          <w:rFonts w:ascii="Arial" w:hAnsi="Arial"/>
          <w:sz w:val="22"/>
          <w:vertAlign w:val="subscript"/>
        </w:rPr>
        <w:t>eff(ar)</w:t>
      </w:r>
      <w:r w:rsidR="00231969">
        <w:rPr>
          <w:rFonts w:ascii="Arial" w:hAnsi="Arial"/>
          <w:sz w:val="22"/>
          <w:szCs w:val="22"/>
        </w:rPr>
        <w:tab/>
      </w:r>
      <w:r w:rsidRPr="00A25E05">
        <w:rPr>
          <w:rFonts w:ascii="Arial" w:hAnsi="Arial"/>
          <w:sz w:val="22"/>
          <w:szCs w:val="22"/>
        </w:rPr>
        <w:t xml:space="preserve">= </w:t>
      </w:r>
      <w:r w:rsidR="00231969">
        <w:rPr>
          <w:rFonts w:ascii="Arial" w:hAnsi="Arial"/>
          <w:sz w:val="22"/>
          <w:szCs w:val="22"/>
        </w:rPr>
        <w:tab/>
      </w:r>
      <w:r w:rsidRPr="00722B46">
        <w:rPr>
          <w:rFonts w:ascii="Arial" w:hAnsi="Arial"/>
          <w:sz w:val="22"/>
        </w:rPr>
        <w:t>Corrected S</w:t>
      </w:r>
      <w:r w:rsidR="004E7FAB" w:rsidRPr="00722B46">
        <w:rPr>
          <w:rFonts w:ascii="Arial" w:hAnsi="Arial"/>
          <w:sz w:val="22"/>
        </w:rPr>
        <w:t>N</w:t>
      </w:r>
      <w:r w:rsidRPr="00722B46">
        <w:rPr>
          <w:rFonts w:ascii="Arial" w:hAnsi="Arial"/>
          <w:sz w:val="22"/>
          <w:vertAlign w:val="subscript"/>
        </w:rPr>
        <w:t>eff</w:t>
      </w:r>
      <w:r w:rsidRPr="00722B46">
        <w:rPr>
          <w:rFonts w:ascii="Arial" w:hAnsi="Arial"/>
          <w:sz w:val="22"/>
        </w:rPr>
        <w:t xml:space="preserve"> value after pavement removal</w:t>
      </w:r>
      <w:r w:rsidRPr="00722B46">
        <w:rPr>
          <w:rFonts w:ascii="Arial" w:hAnsi="Arial"/>
          <w:sz w:val="22"/>
          <w:vertAlign w:val="subscript"/>
        </w:rPr>
        <w:t xml:space="preserve"> </w:t>
      </w:r>
    </w:p>
    <w:p w14:paraId="6C1AD505" w14:textId="5C6ECFEA" w:rsidR="00630F37" w:rsidRPr="00722B46" w:rsidRDefault="00630F37" w:rsidP="00722B46">
      <w:pPr>
        <w:tabs>
          <w:tab w:val="left" w:pos="2340"/>
          <w:tab w:val="left" w:pos="2610"/>
        </w:tabs>
        <w:ind w:left="1620"/>
        <w:jc w:val="both"/>
        <w:rPr>
          <w:rFonts w:ascii="Arial" w:hAnsi="Arial"/>
          <w:sz w:val="22"/>
          <w:vertAlign w:val="subscript"/>
        </w:rPr>
      </w:pPr>
      <w:r w:rsidRPr="00722B46">
        <w:rPr>
          <w:rFonts w:ascii="Arial" w:hAnsi="Arial"/>
          <w:sz w:val="22"/>
        </w:rPr>
        <w:t>S</w:t>
      </w:r>
      <w:r w:rsidR="004E7FAB" w:rsidRPr="00722B46">
        <w:rPr>
          <w:rFonts w:ascii="Arial" w:hAnsi="Arial"/>
          <w:sz w:val="22"/>
        </w:rPr>
        <w:t>N</w:t>
      </w:r>
      <w:r w:rsidRPr="00722B46">
        <w:rPr>
          <w:rFonts w:ascii="Arial" w:hAnsi="Arial"/>
          <w:sz w:val="22"/>
          <w:vertAlign w:val="subscript"/>
        </w:rPr>
        <w:t xml:space="preserve">eff(br) </w:t>
      </w:r>
      <w:r w:rsidR="00231969">
        <w:rPr>
          <w:rFonts w:ascii="Arial" w:hAnsi="Arial"/>
          <w:sz w:val="22"/>
          <w:szCs w:val="22"/>
          <w:vertAlign w:val="subscript"/>
        </w:rPr>
        <w:tab/>
      </w:r>
      <w:r w:rsidRPr="00A25E05">
        <w:rPr>
          <w:rFonts w:ascii="Arial" w:hAnsi="Arial"/>
          <w:sz w:val="22"/>
          <w:szCs w:val="22"/>
        </w:rPr>
        <w:t>=</w:t>
      </w:r>
      <w:r w:rsidRPr="00A25E05">
        <w:rPr>
          <w:rFonts w:ascii="Arial" w:hAnsi="Arial"/>
          <w:sz w:val="22"/>
          <w:szCs w:val="22"/>
          <w:vertAlign w:val="subscript"/>
        </w:rPr>
        <w:t xml:space="preserve"> </w:t>
      </w:r>
      <w:r w:rsidR="00231969">
        <w:rPr>
          <w:rFonts w:ascii="Arial" w:hAnsi="Arial"/>
          <w:sz w:val="22"/>
          <w:szCs w:val="22"/>
          <w:vertAlign w:val="subscript"/>
        </w:rPr>
        <w:tab/>
      </w:r>
      <w:r w:rsidRPr="00722B46">
        <w:rPr>
          <w:rFonts w:ascii="Arial" w:hAnsi="Arial"/>
          <w:sz w:val="22"/>
        </w:rPr>
        <w:t>S</w:t>
      </w:r>
      <w:r w:rsidR="004E7FAB" w:rsidRPr="00722B46">
        <w:rPr>
          <w:rFonts w:ascii="Arial" w:hAnsi="Arial"/>
          <w:sz w:val="22"/>
        </w:rPr>
        <w:t>N</w:t>
      </w:r>
      <w:r w:rsidRPr="00722B46">
        <w:rPr>
          <w:rFonts w:ascii="Arial" w:hAnsi="Arial"/>
          <w:sz w:val="22"/>
          <w:vertAlign w:val="subscript"/>
        </w:rPr>
        <w:t>eff</w:t>
      </w:r>
      <w:r w:rsidRPr="00722B46">
        <w:rPr>
          <w:rFonts w:ascii="Arial" w:hAnsi="Arial"/>
          <w:sz w:val="22"/>
        </w:rPr>
        <w:t xml:space="preserve"> value before pavement removal</w:t>
      </w:r>
    </w:p>
    <w:p w14:paraId="5C6B12C8" w14:textId="040FA210" w:rsidR="00630F37" w:rsidRPr="00722B46" w:rsidRDefault="00630F37" w:rsidP="00722B46">
      <w:pPr>
        <w:tabs>
          <w:tab w:val="left" w:pos="2340"/>
          <w:tab w:val="left" w:pos="2610"/>
        </w:tabs>
        <w:ind w:left="1620"/>
        <w:jc w:val="both"/>
        <w:rPr>
          <w:rFonts w:ascii="Arial" w:hAnsi="Arial"/>
          <w:sz w:val="22"/>
        </w:rPr>
      </w:pPr>
      <w:r w:rsidRPr="00722B46">
        <w:rPr>
          <w:rFonts w:ascii="Arial" w:hAnsi="Arial"/>
          <w:sz w:val="22"/>
        </w:rPr>
        <w:t>h</w:t>
      </w:r>
      <w:r w:rsidRPr="00722B46">
        <w:rPr>
          <w:rFonts w:ascii="Arial" w:hAnsi="Arial"/>
          <w:sz w:val="22"/>
          <w:vertAlign w:val="subscript"/>
        </w:rPr>
        <w:t xml:space="preserve">rem </w:t>
      </w:r>
      <w:r w:rsidR="00231969">
        <w:rPr>
          <w:rFonts w:ascii="Arial" w:hAnsi="Arial"/>
          <w:sz w:val="22"/>
          <w:szCs w:val="22"/>
          <w:vertAlign w:val="subscript"/>
        </w:rPr>
        <w:tab/>
      </w:r>
      <w:r w:rsidRPr="00A25E05">
        <w:rPr>
          <w:rFonts w:ascii="Arial" w:hAnsi="Arial"/>
          <w:sz w:val="22"/>
          <w:szCs w:val="22"/>
        </w:rPr>
        <w:t>=</w:t>
      </w:r>
      <w:r w:rsidRPr="00A25E05">
        <w:rPr>
          <w:rFonts w:ascii="Arial" w:hAnsi="Arial"/>
          <w:sz w:val="22"/>
          <w:szCs w:val="22"/>
          <w:vertAlign w:val="subscript"/>
        </w:rPr>
        <w:t xml:space="preserve"> </w:t>
      </w:r>
      <w:r w:rsidR="00231969">
        <w:rPr>
          <w:rFonts w:ascii="Arial" w:hAnsi="Arial"/>
          <w:sz w:val="22"/>
          <w:szCs w:val="22"/>
          <w:vertAlign w:val="subscript"/>
        </w:rPr>
        <w:tab/>
      </w:r>
      <w:r w:rsidRPr="00722B46">
        <w:rPr>
          <w:rFonts w:ascii="Arial" w:hAnsi="Arial"/>
          <w:sz w:val="22"/>
        </w:rPr>
        <w:t>Depth of pavement removal; 0.5</w:t>
      </w:r>
      <w:r w:rsidR="009E6563">
        <w:rPr>
          <w:rFonts w:ascii="Arial" w:hAnsi="Arial"/>
          <w:sz w:val="22"/>
          <w:szCs w:val="22"/>
        </w:rPr>
        <w:t>"</w:t>
      </w:r>
      <w:r w:rsidR="009E6563" w:rsidRPr="00722B46">
        <w:rPr>
          <w:rFonts w:ascii="Arial" w:hAnsi="Arial"/>
          <w:sz w:val="22"/>
        </w:rPr>
        <w:t xml:space="preserve"> </w:t>
      </w:r>
      <w:r w:rsidRPr="00722B46">
        <w:rPr>
          <w:rFonts w:ascii="Arial" w:hAnsi="Arial"/>
          <w:sz w:val="22"/>
        </w:rPr>
        <w:t>increments</w:t>
      </w:r>
    </w:p>
    <w:p w14:paraId="12BC6723" w14:textId="66C8FEFA" w:rsidR="00630F37" w:rsidRPr="00722B46" w:rsidRDefault="00630F37" w:rsidP="00722B46">
      <w:pPr>
        <w:tabs>
          <w:tab w:val="left" w:pos="2340"/>
          <w:tab w:val="left" w:pos="2610"/>
        </w:tabs>
        <w:ind w:left="1620"/>
        <w:jc w:val="both"/>
        <w:rPr>
          <w:rFonts w:ascii="Arial" w:hAnsi="Arial"/>
          <w:sz w:val="22"/>
        </w:rPr>
      </w:pPr>
      <w:r w:rsidRPr="00722B46">
        <w:rPr>
          <w:rFonts w:ascii="Arial" w:hAnsi="Arial"/>
          <w:sz w:val="22"/>
        </w:rPr>
        <w:t>a</w:t>
      </w:r>
      <w:r w:rsidRPr="00722B46">
        <w:rPr>
          <w:rFonts w:ascii="Arial" w:hAnsi="Arial"/>
          <w:sz w:val="22"/>
          <w:vertAlign w:val="subscript"/>
        </w:rPr>
        <w:t>ac</w:t>
      </w:r>
      <w:r w:rsidRPr="00722B46">
        <w:rPr>
          <w:rFonts w:ascii="Arial" w:hAnsi="Arial"/>
          <w:sz w:val="22"/>
        </w:rPr>
        <w:t xml:space="preserve"> </w:t>
      </w:r>
      <w:r w:rsidR="00231969">
        <w:rPr>
          <w:rFonts w:ascii="Arial" w:hAnsi="Arial"/>
          <w:sz w:val="22"/>
          <w:szCs w:val="22"/>
        </w:rPr>
        <w:tab/>
      </w:r>
      <w:r w:rsidRPr="00A25E05">
        <w:rPr>
          <w:rFonts w:ascii="Arial" w:hAnsi="Arial"/>
          <w:sz w:val="22"/>
          <w:szCs w:val="22"/>
        </w:rPr>
        <w:t>=</w:t>
      </w:r>
      <w:r w:rsidR="00231969">
        <w:rPr>
          <w:rFonts w:ascii="Arial" w:hAnsi="Arial"/>
          <w:sz w:val="22"/>
          <w:szCs w:val="22"/>
        </w:rPr>
        <w:tab/>
      </w:r>
      <w:r w:rsidRPr="00722B46">
        <w:rPr>
          <w:rFonts w:ascii="Arial" w:hAnsi="Arial"/>
          <w:sz w:val="22"/>
        </w:rPr>
        <w:t>0.44 or layer coefficient of existing asphalt surface material</w:t>
      </w:r>
    </w:p>
    <w:p w14:paraId="60CD7371" w14:textId="77777777" w:rsidR="00C9016F" w:rsidRPr="00A25E05" w:rsidRDefault="00630F37" w:rsidP="00172E64">
      <w:pPr>
        <w:pStyle w:val="ListNumber"/>
        <w:numPr>
          <w:ilvl w:val="0"/>
          <w:numId w:val="106"/>
        </w:numPr>
        <w:ind w:left="1080" w:hanging="1080"/>
        <w:jc w:val="both"/>
        <w:rPr>
          <w:szCs w:val="22"/>
        </w:rPr>
      </w:pPr>
      <w:r w:rsidRPr="00A25E05">
        <w:rPr>
          <w:szCs w:val="22"/>
        </w:rPr>
        <w:t>Select the S</w:t>
      </w:r>
      <w:r w:rsidR="00C9016F" w:rsidRPr="00A25E05">
        <w:rPr>
          <w:szCs w:val="22"/>
        </w:rPr>
        <w:t>N</w:t>
      </w:r>
      <w:r w:rsidRPr="00A25E05">
        <w:rPr>
          <w:szCs w:val="22"/>
          <w:vertAlign w:val="subscript"/>
        </w:rPr>
        <w:t>eff</w:t>
      </w:r>
      <w:r w:rsidRPr="00A25E05">
        <w:rPr>
          <w:szCs w:val="22"/>
        </w:rPr>
        <w:t xml:space="preserve"> to use for each rehabilitation design based on the following guidelines</w:t>
      </w:r>
      <w:r w:rsidR="00C9016F" w:rsidRPr="00A25E05">
        <w:rPr>
          <w:szCs w:val="22"/>
        </w:rPr>
        <w:t>:</w:t>
      </w:r>
    </w:p>
    <w:p w14:paraId="44D2AC10" w14:textId="63C512F4" w:rsidR="00C9016F" w:rsidRPr="00A25E05" w:rsidRDefault="00630F37" w:rsidP="00722B46">
      <w:pPr>
        <w:pStyle w:val="ListNumber"/>
        <w:tabs>
          <w:tab w:val="clear" w:pos="720"/>
          <w:tab w:val="clear" w:pos="1872"/>
        </w:tabs>
        <w:ind w:left="1080" w:firstLine="0"/>
        <w:jc w:val="both"/>
        <w:rPr>
          <w:szCs w:val="22"/>
        </w:rPr>
      </w:pPr>
      <w:r w:rsidRPr="00A25E05">
        <w:rPr>
          <w:szCs w:val="22"/>
        </w:rPr>
        <w:t>Compare S</w:t>
      </w:r>
      <w:r w:rsidR="00C9016F" w:rsidRPr="00A25E05">
        <w:rPr>
          <w:szCs w:val="22"/>
        </w:rPr>
        <w:t>N</w:t>
      </w:r>
      <w:r w:rsidRPr="00A25E05">
        <w:rPr>
          <w:szCs w:val="22"/>
          <w:vertAlign w:val="subscript"/>
        </w:rPr>
        <w:t xml:space="preserve">eff </w:t>
      </w:r>
      <w:r w:rsidRPr="00A25E05">
        <w:rPr>
          <w:szCs w:val="22"/>
        </w:rPr>
        <w:t>calculated based on the corrected visual survey to the S</w:t>
      </w:r>
      <w:r w:rsidR="00C9016F" w:rsidRPr="00A25E05">
        <w:rPr>
          <w:szCs w:val="22"/>
        </w:rPr>
        <w:t>N</w:t>
      </w:r>
      <w:r w:rsidRPr="00A25E05">
        <w:rPr>
          <w:szCs w:val="22"/>
          <w:vertAlign w:val="subscript"/>
        </w:rPr>
        <w:t>eff</w:t>
      </w:r>
      <w:r w:rsidRPr="00A25E05">
        <w:rPr>
          <w:szCs w:val="22"/>
        </w:rPr>
        <w:t xml:space="preserve"> calculated from NDT</w:t>
      </w:r>
      <w:r w:rsidR="00231969">
        <w:rPr>
          <w:szCs w:val="22"/>
        </w:rPr>
        <w:t>,</w:t>
      </w:r>
      <w:r w:rsidRPr="00A25E05">
        <w:rPr>
          <w:szCs w:val="22"/>
        </w:rPr>
        <w:t xml:space="preserve"> and select the lower of the two.  </w:t>
      </w:r>
    </w:p>
    <w:p w14:paraId="611FBEDF" w14:textId="47EA9B61" w:rsidR="00630F37" w:rsidRPr="00A25E05" w:rsidRDefault="00630F37" w:rsidP="00722B46">
      <w:pPr>
        <w:pStyle w:val="ListNumber"/>
        <w:tabs>
          <w:tab w:val="clear" w:pos="720"/>
          <w:tab w:val="clear" w:pos="1872"/>
        </w:tabs>
        <w:ind w:left="1080" w:firstLine="0"/>
        <w:jc w:val="both"/>
        <w:rPr>
          <w:szCs w:val="22"/>
        </w:rPr>
      </w:pPr>
      <w:r w:rsidRPr="00A25E05">
        <w:rPr>
          <w:szCs w:val="22"/>
        </w:rPr>
        <w:t>Note:  If S</w:t>
      </w:r>
      <w:r w:rsidR="00C9016F" w:rsidRPr="00A25E05">
        <w:rPr>
          <w:szCs w:val="22"/>
        </w:rPr>
        <w:t>N</w:t>
      </w:r>
      <w:r w:rsidRPr="00A25E05">
        <w:rPr>
          <w:szCs w:val="22"/>
          <w:vertAlign w:val="subscript"/>
        </w:rPr>
        <w:t>eff</w:t>
      </w:r>
      <w:r w:rsidRPr="00A25E05">
        <w:rPr>
          <w:szCs w:val="22"/>
        </w:rPr>
        <w:t xml:space="preserve"> was not calculated based on PCI results</w:t>
      </w:r>
      <w:r w:rsidR="00231969">
        <w:rPr>
          <w:szCs w:val="22"/>
        </w:rPr>
        <w:t>,</w:t>
      </w:r>
      <w:r w:rsidRPr="00A25E05">
        <w:rPr>
          <w:szCs w:val="22"/>
        </w:rPr>
        <w:t xml:space="preserve"> then compare the S</w:t>
      </w:r>
      <w:r w:rsidR="00C9016F" w:rsidRPr="00A25E05">
        <w:rPr>
          <w:szCs w:val="22"/>
        </w:rPr>
        <w:t>N</w:t>
      </w:r>
      <w:r w:rsidRPr="00A25E05">
        <w:rPr>
          <w:szCs w:val="22"/>
          <w:vertAlign w:val="subscript"/>
        </w:rPr>
        <w:t>eff</w:t>
      </w:r>
      <w:r w:rsidRPr="00A25E05">
        <w:rPr>
          <w:szCs w:val="22"/>
        </w:rPr>
        <w:t xml:space="preserve"> calculated following AASHTO procedures to the S</w:t>
      </w:r>
      <w:r w:rsidR="00C9016F" w:rsidRPr="00A25E05">
        <w:rPr>
          <w:szCs w:val="22"/>
        </w:rPr>
        <w:t>N</w:t>
      </w:r>
      <w:r w:rsidRPr="00A25E05">
        <w:rPr>
          <w:szCs w:val="22"/>
          <w:vertAlign w:val="subscript"/>
        </w:rPr>
        <w:t>eff</w:t>
      </w:r>
      <w:r w:rsidRPr="00A25E05">
        <w:rPr>
          <w:szCs w:val="22"/>
        </w:rPr>
        <w:t xml:space="preserve"> calculated from NDT.  </w:t>
      </w:r>
    </w:p>
    <w:p w14:paraId="14F41FD2" w14:textId="77777777" w:rsidR="009E6563" w:rsidRPr="00A25E05" w:rsidRDefault="009E6563" w:rsidP="00722B46">
      <w:pPr>
        <w:pStyle w:val="ListBullet"/>
      </w:pPr>
    </w:p>
    <w:p w14:paraId="4FB5F74B" w14:textId="5CAC4DEA" w:rsidR="00EC706A" w:rsidRPr="00A25E05" w:rsidRDefault="00630F37" w:rsidP="00E71B93">
      <w:pPr>
        <w:pStyle w:val="ListBullet"/>
      </w:pPr>
      <w:r w:rsidRPr="00A25E05">
        <w:lastRenderedPageBreak/>
        <w:t>If the S</w:t>
      </w:r>
      <w:r w:rsidR="00C9016F" w:rsidRPr="00A25E05">
        <w:t>N</w:t>
      </w:r>
      <w:r w:rsidRPr="00A25E05">
        <w:rPr>
          <w:vertAlign w:val="subscript"/>
        </w:rPr>
        <w:t>eff</w:t>
      </w:r>
      <w:r w:rsidRPr="00A25E05">
        <w:t xml:space="preserve"> calculated from the corrected visual survey is considerabl</w:t>
      </w:r>
      <w:r w:rsidR="00231969">
        <w:t>y</w:t>
      </w:r>
      <w:r w:rsidRPr="00A25E05">
        <w:t xml:space="preserve"> lower th</w:t>
      </w:r>
      <w:r w:rsidR="00EC706A" w:rsidRPr="00A25E05">
        <w:t>a</w:t>
      </w:r>
      <w:r w:rsidRPr="00A25E05">
        <w:t>n the S</w:t>
      </w:r>
      <w:r w:rsidR="00C9016F" w:rsidRPr="00A25E05">
        <w:t>N</w:t>
      </w:r>
      <w:r w:rsidRPr="00A25E05">
        <w:rPr>
          <w:vertAlign w:val="subscript"/>
        </w:rPr>
        <w:t>eff</w:t>
      </w:r>
      <w:r w:rsidRPr="00A25E05">
        <w:t xml:space="preserve"> calculated from NDT</w:t>
      </w:r>
      <w:r w:rsidR="00231969">
        <w:t>,</w:t>
      </w:r>
      <w:r w:rsidRPr="00A25E05">
        <w:t xml:space="preserve"> then determine if the distress driving the PCI </w:t>
      </w:r>
      <w:r w:rsidR="00231969">
        <w:t>is</w:t>
      </w:r>
      <w:r w:rsidR="00231969" w:rsidRPr="00A25E05">
        <w:t xml:space="preserve"> </w:t>
      </w:r>
      <w:r w:rsidRPr="00A25E05">
        <w:t xml:space="preserve">predominantly functional.  If this is the case, then </w:t>
      </w:r>
      <w:r w:rsidR="00EC706A" w:rsidRPr="00A25E05">
        <w:t>revisit the pavement structure used in analysis, and repeat the previous steps until the different calculated SN</w:t>
      </w:r>
      <w:r w:rsidR="00EC706A" w:rsidRPr="00A25E05">
        <w:rPr>
          <w:vertAlign w:val="subscript"/>
        </w:rPr>
        <w:t>eff</w:t>
      </w:r>
      <w:r w:rsidR="00EC706A" w:rsidRPr="00A25E05">
        <w:t xml:space="preserve"> values are similar.</w:t>
      </w:r>
    </w:p>
    <w:p w14:paraId="12DCD695" w14:textId="77777777" w:rsidR="00630F37" w:rsidRPr="00A25E05" w:rsidRDefault="00630F37" w:rsidP="00E71B93">
      <w:pPr>
        <w:pStyle w:val="ListBullet"/>
      </w:pPr>
    </w:p>
    <w:p w14:paraId="3D20DFE8" w14:textId="77777777" w:rsidR="00E6719D" w:rsidRPr="00A25E05" w:rsidRDefault="00E6719D" w:rsidP="00172E64">
      <w:pPr>
        <w:pStyle w:val="ListNumber"/>
        <w:numPr>
          <w:ilvl w:val="0"/>
          <w:numId w:val="106"/>
        </w:numPr>
        <w:ind w:left="1080" w:hanging="1080"/>
        <w:jc w:val="both"/>
        <w:rPr>
          <w:szCs w:val="22"/>
        </w:rPr>
      </w:pPr>
      <w:r w:rsidRPr="00A25E05">
        <w:rPr>
          <w:szCs w:val="22"/>
        </w:rPr>
        <w:t>Calculate the total required HMA overlay thickness based on the following guidelines:</w:t>
      </w:r>
      <w:r w:rsidRPr="00A25E05">
        <w:rPr>
          <w:szCs w:val="22"/>
        </w:rPr>
        <w:br/>
        <w:t xml:space="preserve"> </w:t>
      </w:r>
    </w:p>
    <w:p w14:paraId="313A8F97" w14:textId="77777777" w:rsidR="00E6719D" w:rsidRPr="00722B46" w:rsidRDefault="00E6719D" w:rsidP="00722B46">
      <w:pPr>
        <w:pStyle w:val="BodyText"/>
        <w:ind w:left="1080" w:hanging="1080"/>
        <w:jc w:val="center"/>
      </w:pPr>
      <w:r w:rsidRPr="00722B46">
        <w:t>SN</w:t>
      </w:r>
      <w:r w:rsidRPr="00722B46">
        <w:rPr>
          <w:vertAlign w:val="subscript"/>
        </w:rPr>
        <w:t>ol</w:t>
      </w:r>
      <w:r w:rsidRPr="00722B46">
        <w:t xml:space="preserve"> </w:t>
      </w:r>
      <w:r w:rsidRPr="00722B46">
        <w:rPr>
          <w:vertAlign w:val="subscript"/>
        </w:rPr>
        <w:t xml:space="preserve"> </w:t>
      </w:r>
      <w:r w:rsidRPr="00722B46">
        <w:t>= SN</w:t>
      </w:r>
      <w:r w:rsidRPr="00722B46">
        <w:rPr>
          <w:vertAlign w:val="subscript"/>
        </w:rPr>
        <w:t>f</w:t>
      </w:r>
      <w:r w:rsidRPr="00722B46">
        <w:t xml:space="preserve"> - SN</w:t>
      </w:r>
      <w:r w:rsidRPr="00722B46">
        <w:rPr>
          <w:vertAlign w:val="subscript"/>
        </w:rPr>
        <w:t>eff</w:t>
      </w:r>
    </w:p>
    <w:p w14:paraId="2EA35232" w14:textId="593602B7" w:rsidR="00E6719D" w:rsidRPr="00722B46" w:rsidRDefault="00E6719D" w:rsidP="00722B46">
      <w:pPr>
        <w:pStyle w:val="BodyText"/>
        <w:ind w:left="1080"/>
        <w:jc w:val="both"/>
      </w:pPr>
      <w:r w:rsidRPr="00722B46">
        <w:t>Calculate overlay thickness using the following equation:</w:t>
      </w:r>
    </w:p>
    <w:p w14:paraId="4A9526CC" w14:textId="0813183A" w:rsidR="00E6719D" w:rsidRPr="00722B46" w:rsidRDefault="00E6719D" w:rsidP="00722B46">
      <w:pPr>
        <w:pStyle w:val="BodyText"/>
        <w:ind w:left="1080" w:hanging="1080"/>
        <w:jc w:val="center"/>
      </w:pPr>
      <w:r w:rsidRPr="00722B46">
        <w:t>h</w:t>
      </w:r>
      <w:r w:rsidRPr="00722B46">
        <w:rPr>
          <w:vertAlign w:val="subscript"/>
        </w:rPr>
        <w:t>ol</w:t>
      </w:r>
      <w:r w:rsidRPr="00722B46">
        <w:t xml:space="preserve"> = SN</w:t>
      </w:r>
      <w:r w:rsidRPr="00722B46">
        <w:rPr>
          <w:vertAlign w:val="subscript"/>
        </w:rPr>
        <w:t>ol</w:t>
      </w:r>
      <w:r w:rsidRPr="00722B46">
        <w:t>/0.44</w:t>
      </w:r>
    </w:p>
    <w:p w14:paraId="7CF465BA" w14:textId="5F951234" w:rsidR="00231969" w:rsidRDefault="00E6719D" w:rsidP="00231969">
      <w:pPr>
        <w:pStyle w:val="BodyText"/>
        <w:ind w:left="1080"/>
        <w:jc w:val="both"/>
        <w:rPr>
          <w:szCs w:val="22"/>
        </w:rPr>
      </w:pPr>
      <w:r w:rsidRPr="00722B46">
        <w:t>where</w:t>
      </w:r>
      <w:r w:rsidR="00231969">
        <w:rPr>
          <w:szCs w:val="22"/>
        </w:rPr>
        <w:t>:</w:t>
      </w:r>
    </w:p>
    <w:p w14:paraId="56FE49C2" w14:textId="5EB22BFD" w:rsidR="00E6719D" w:rsidRDefault="00E6719D" w:rsidP="00722B46">
      <w:pPr>
        <w:pStyle w:val="BodyText"/>
        <w:ind w:left="1620"/>
        <w:jc w:val="both"/>
        <w:rPr>
          <w:sz w:val="20"/>
        </w:rPr>
      </w:pPr>
      <w:r w:rsidRPr="00722B46">
        <w:t>h</w:t>
      </w:r>
      <w:r w:rsidRPr="00722B46">
        <w:rPr>
          <w:vertAlign w:val="subscript"/>
        </w:rPr>
        <w:t xml:space="preserve">ol </w:t>
      </w:r>
      <w:r w:rsidRPr="00722B46">
        <w:t xml:space="preserve"> =</w:t>
      </w:r>
      <w:r w:rsidRPr="00A84E04">
        <w:rPr>
          <w:sz w:val="20"/>
        </w:rPr>
        <w:t xml:space="preserve"> HMA overlay thickness</w:t>
      </w:r>
    </w:p>
    <w:p w14:paraId="338EBA99" w14:textId="77777777" w:rsidR="00A84E04" w:rsidRPr="00541484" w:rsidRDefault="00A84E04" w:rsidP="00172E64">
      <w:pPr>
        <w:pStyle w:val="Heading5"/>
        <w:numPr>
          <w:ilvl w:val="4"/>
          <w:numId w:val="185"/>
        </w:numPr>
        <w:tabs>
          <w:tab w:val="left" w:pos="1800"/>
        </w:tabs>
        <w:ind w:left="1098" w:hanging="1098"/>
      </w:pPr>
      <w:r>
        <w:t xml:space="preserve">Concrete Overlay </w:t>
      </w:r>
    </w:p>
    <w:p w14:paraId="65A3E5F1" w14:textId="74E84A60" w:rsidR="00E96760" w:rsidRDefault="00E96760">
      <w:pPr>
        <w:pStyle w:val="ListBullet"/>
        <w:ind w:left="0"/>
      </w:pPr>
      <w:r w:rsidRPr="00101728">
        <w:rPr>
          <w:szCs w:val="22"/>
        </w:rPr>
        <w:t xml:space="preserve">Refer to </w:t>
      </w:r>
      <w:hyperlink w:anchor="_Concrete_Overlay_Design_1" w:history="1">
        <w:r w:rsidR="00101728" w:rsidRPr="00101728">
          <w:rPr>
            <w:rStyle w:val="Hyperlink"/>
            <w:rFonts w:eastAsia="Arial" w:cs="Arial"/>
            <w:szCs w:val="22"/>
          </w:rPr>
          <w:t>Concrete Overlay Design</w:t>
        </w:r>
      </w:hyperlink>
      <w:r w:rsidRPr="00101728">
        <w:t xml:space="preserve"> </w:t>
      </w:r>
    </w:p>
    <w:p w14:paraId="2925979C" w14:textId="77777777" w:rsidR="00231969" w:rsidRPr="00722B46" w:rsidRDefault="00231969" w:rsidP="00722B46">
      <w:pPr>
        <w:pStyle w:val="ListBullet"/>
      </w:pPr>
    </w:p>
    <w:p w14:paraId="6B158190" w14:textId="77777777" w:rsidR="00ED7814" w:rsidRPr="002C0570" w:rsidRDefault="00E74156" w:rsidP="00172E64">
      <w:pPr>
        <w:pStyle w:val="Heading4"/>
        <w:numPr>
          <w:ilvl w:val="3"/>
          <w:numId w:val="185"/>
        </w:numPr>
        <w:tabs>
          <w:tab w:val="left" w:pos="1800"/>
        </w:tabs>
        <w:ind w:left="864"/>
      </w:pPr>
      <w:r>
        <w:t>Ove</w:t>
      </w:r>
      <w:r w:rsidRPr="002C0570">
        <w:t>rlay Design – R</w:t>
      </w:r>
      <w:r w:rsidR="00ED7814" w:rsidRPr="002C0570">
        <w:t>igid or Composite Pavement</w:t>
      </w:r>
    </w:p>
    <w:p w14:paraId="3318721E" w14:textId="77777777" w:rsidR="00E74156" w:rsidRPr="002C0570" w:rsidRDefault="00ED7814" w:rsidP="00172E64">
      <w:pPr>
        <w:pStyle w:val="ListNumber"/>
        <w:numPr>
          <w:ilvl w:val="0"/>
          <w:numId w:val="105"/>
        </w:numPr>
        <w:tabs>
          <w:tab w:val="clear" w:pos="1872"/>
          <w:tab w:val="num" w:pos="1080"/>
        </w:tabs>
        <w:spacing w:before="240"/>
        <w:ind w:left="1080" w:hanging="1080"/>
        <w:jc w:val="both"/>
        <w:rPr>
          <w:i/>
          <w:sz w:val="20"/>
        </w:rPr>
      </w:pPr>
      <w:r w:rsidRPr="002C0570">
        <w:t xml:space="preserve">Calculate </w:t>
      </w:r>
      <w:r w:rsidR="00E74156" w:rsidRPr="002C0570">
        <w:t xml:space="preserve">the </w:t>
      </w:r>
      <w:r w:rsidRPr="002C0570">
        <w:t>original structural capacity (SC</w:t>
      </w:r>
      <w:r w:rsidRPr="002C0570">
        <w:rPr>
          <w:vertAlign w:val="subscript"/>
        </w:rPr>
        <w:t>o</w:t>
      </w:r>
      <w:r w:rsidRPr="002C0570">
        <w:t xml:space="preserve">) of each pavement analysis section.  </w:t>
      </w:r>
    </w:p>
    <w:p w14:paraId="4BDEA5AA" w14:textId="77777777" w:rsidR="00ED7814" w:rsidRPr="00722B46" w:rsidRDefault="00E74156" w:rsidP="00172E64">
      <w:pPr>
        <w:pStyle w:val="BodyText"/>
        <w:numPr>
          <w:ilvl w:val="0"/>
          <w:numId w:val="107"/>
        </w:numPr>
        <w:ind w:hanging="720"/>
        <w:jc w:val="both"/>
        <w:rPr>
          <w:i/>
        </w:rPr>
      </w:pPr>
      <w:r w:rsidRPr="00722B46">
        <w:rPr>
          <w:i/>
        </w:rPr>
        <w:t xml:space="preserve">Rigid Pavement: </w:t>
      </w:r>
      <w:r w:rsidR="00ED7814" w:rsidRPr="00722B46">
        <w:rPr>
          <w:i/>
        </w:rPr>
        <w:t>SC</w:t>
      </w:r>
      <w:r w:rsidR="00ED7814" w:rsidRPr="00722B46">
        <w:rPr>
          <w:i/>
          <w:vertAlign w:val="subscript"/>
        </w:rPr>
        <w:t>o</w:t>
      </w:r>
      <w:r w:rsidR="00ED7814" w:rsidRPr="00722B46">
        <w:rPr>
          <w:i/>
        </w:rPr>
        <w:t xml:space="preserve"> = D</w:t>
      </w:r>
      <w:r w:rsidR="00ED7814" w:rsidRPr="00722B46">
        <w:rPr>
          <w:i/>
          <w:vertAlign w:val="subscript"/>
        </w:rPr>
        <w:t>o</w:t>
      </w:r>
      <w:r w:rsidR="00ED7814" w:rsidRPr="00722B46">
        <w:rPr>
          <w:i/>
        </w:rPr>
        <w:t xml:space="preserve"> = d</w:t>
      </w:r>
    </w:p>
    <w:p w14:paraId="37865083" w14:textId="77777777" w:rsidR="00ED7814" w:rsidRPr="00722B46" w:rsidRDefault="00ED7814" w:rsidP="00E74156">
      <w:pPr>
        <w:pStyle w:val="BodyText"/>
        <w:ind w:left="2880" w:hanging="1080"/>
        <w:jc w:val="both"/>
      </w:pPr>
      <w:r w:rsidRPr="00722B46">
        <w:t>where:</w:t>
      </w:r>
    </w:p>
    <w:p w14:paraId="36CB7EB1" w14:textId="77777777" w:rsidR="00ED7814" w:rsidRPr="00722B46" w:rsidRDefault="00ED7814" w:rsidP="00E74156">
      <w:pPr>
        <w:pStyle w:val="BodyText"/>
        <w:ind w:left="2880" w:hanging="1080"/>
        <w:jc w:val="both"/>
      </w:pPr>
      <w:r w:rsidRPr="00722B46">
        <w:t xml:space="preserve">d = </w:t>
      </w:r>
      <w:smartTag w:uri="urn:schemas-microsoft-com:office:smarttags" w:element="stockticker">
        <w:r w:rsidRPr="00722B46">
          <w:t>PCC</w:t>
        </w:r>
      </w:smartTag>
      <w:r w:rsidRPr="00722B46">
        <w:t xml:space="preserve"> layer thickness</w:t>
      </w:r>
    </w:p>
    <w:p w14:paraId="37C8229E" w14:textId="0E7A3DE3" w:rsidR="00ED7814" w:rsidRPr="00722B46" w:rsidRDefault="00ED7814" w:rsidP="00172E64">
      <w:pPr>
        <w:pStyle w:val="BodyText"/>
        <w:numPr>
          <w:ilvl w:val="0"/>
          <w:numId w:val="107"/>
        </w:numPr>
        <w:ind w:hanging="720"/>
        <w:jc w:val="both"/>
        <w:rPr>
          <w:i/>
        </w:rPr>
      </w:pPr>
      <w:r w:rsidRPr="00722B46">
        <w:rPr>
          <w:i/>
        </w:rPr>
        <w:t>Composite Pavement: SC</w:t>
      </w:r>
      <w:r w:rsidRPr="00722B46">
        <w:rPr>
          <w:i/>
          <w:vertAlign w:val="subscript"/>
        </w:rPr>
        <w:t xml:space="preserve">o </w:t>
      </w:r>
      <w:r w:rsidRPr="00722B46">
        <w:rPr>
          <w:i/>
        </w:rPr>
        <w:t>= D</w:t>
      </w:r>
      <w:r w:rsidRPr="00722B46">
        <w:rPr>
          <w:i/>
          <w:vertAlign w:val="subscript"/>
        </w:rPr>
        <w:t>o</w:t>
      </w:r>
      <w:r w:rsidRPr="00722B46">
        <w:rPr>
          <w:i/>
        </w:rPr>
        <w:t xml:space="preserve"> </w:t>
      </w:r>
    </w:p>
    <w:p w14:paraId="13E4EAD5" w14:textId="77777777" w:rsidR="00ED7814" w:rsidRPr="00722B46" w:rsidRDefault="00ED7814" w:rsidP="00722B46">
      <w:pPr>
        <w:pStyle w:val="BodyText"/>
        <w:spacing w:before="240"/>
        <w:jc w:val="center"/>
      </w:pPr>
      <w:r w:rsidRPr="00722B46">
        <w:t>D</w:t>
      </w:r>
      <w:r w:rsidRPr="00722B46">
        <w:rPr>
          <w:vertAlign w:val="subscript"/>
        </w:rPr>
        <w:t>o</w:t>
      </w:r>
      <w:r w:rsidRPr="00722B46">
        <w:t xml:space="preserve"> = d</w:t>
      </w:r>
      <w:r w:rsidRPr="00722B46">
        <w:rPr>
          <w:vertAlign w:val="subscript"/>
        </w:rPr>
        <w:t xml:space="preserve">pcc </w:t>
      </w:r>
      <w:r w:rsidRPr="00722B46">
        <w:t>+ h</w:t>
      </w:r>
      <w:r w:rsidRPr="00722B46">
        <w:rPr>
          <w:vertAlign w:val="subscript"/>
        </w:rPr>
        <w:t>pcc</w:t>
      </w:r>
    </w:p>
    <w:p w14:paraId="5011A247" w14:textId="77777777" w:rsidR="00ED7814" w:rsidRPr="00722B46" w:rsidRDefault="00ED7814" w:rsidP="002C0570">
      <w:pPr>
        <w:pStyle w:val="BodyText"/>
        <w:ind w:left="2880" w:hanging="1080"/>
        <w:jc w:val="both"/>
      </w:pPr>
      <w:r w:rsidRPr="00722B46">
        <w:t>where:</w:t>
      </w:r>
    </w:p>
    <w:p w14:paraId="4F8B60C6" w14:textId="02A4EE6F" w:rsidR="00ED7814" w:rsidRPr="00722B46" w:rsidRDefault="00ED7814" w:rsidP="00722B46">
      <w:pPr>
        <w:pStyle w:val="BodyText"/>
        <w:tabs>
          <w:tab w:val="left" w:pos="2340"/>
          <w:tab w:val="left" w:pos="2700"/>
        </w:tabs>
        <w:ind w:left="2880" w:hanging="1080"/>
        <w:jc w:val="both"/>
      </w:pPr>
      <w:r w:rsidRPr="00722B46">
        <w:t>d</w:t>
      </w:r>
      <w:r w:rsidRPr="00722B46">
        <w:rPr>
          <w:vertAlign w:val="subscript"/>
        </w:rPr>
        <w:t>pcc</w:t>
      </w:r>
      <w:r w:rsidRPr="00722B46">
        <w:t xml:space="preserve"> </w:t>
      </w:r>
      <w:r w:rsidR="008F1FC2">
        <w:rPr>
          <w:szCs w:val="22"/>
        </w:rPr>
        <w:tab/>
      </w:r>
      <w:r w:rsidRPr="00231969">
        <w:rPr>
          <w:szCs w:val="22"/>
        </w:rPr>
        <w:t xml:space="preserve">= </w:t>
      </w:r>
      <w:r w:rsidR="008F1FC2">
        <w:rPr>
          <w:szCs w:val="22"/>
        </w:rPr>
        <w:tab/>
      </w:r>
      <w:smartTag w:uri="urn:schemas-microsoft-com:office:smarttags" w:element="stockticker">
        <w:r w:rsidRPr="00722B46">
          <w:t>PCC</w:t>
        </w:r>
      </w:smartTag>
      <w:r w:rsidRPr="00722B46">
        <w:t xml:space="preserve"> layer thickness</w:t>
      </w:r>
    </w:p>
    <w:p w14:paraId="310C63BF" w14:textId="0C5BB7F3" w:rsidR="00ED7814" w:rsidRPr="00722B46" w:rsidRDefault="00ED7814" w:rsidP="00722B46">
      <w:pPr>
        <w:pStyle w:val="BodyText"/>
        <w:tabs>
          <w:tab w:val="left" w:pos="2340"/>
          <w:tab w:val="left" w:pos="2700"/>
        </w:tabs>
        <w:ind w:left="2700" w:hanging="900"/>
      </w:pPr>
      <w:r w:rsidRPr="00722B46">
        <w:t>h</w:t>
      </w:r>
      <w:r w:rsidRPr="00722B46">
        <w:rPr>
          <w:vertAlign w:val="subscript"/>
        </w:rPr>
        <w:t>pcc</w:t>
      </w:r>
      <w:r w:rsidRPr="00722B46">
        <w:t xml:space="preserve"> </w:t>
      </w:r>
      <w:r w:rsidR="008F1FC2">
        <w:rPr>
          <w:szCs w:val="22"/>
        </w:rPr>
        <w:tab/>
      </w:r>
      <w:r w:rsidRPr="00231969">
        <w:rPr>
          <w:szCs w:val="22"/>
        </w:rPr>
        <w:t xml:space="preserve">= </w:t>
      </w:r>
      <w:r w:rsidR="008F1FC2">
        <w:rPr>
          <w:szCs w:val="22"/>
        </w:rPr>
        <w:tab/>
      </w:r>
      <w:r w:rsidRPr="00722B46">
        <w:t xml:space="preserve">The existing AC layer thickness converted to an equivalent </w:t>
      </w:r>
      <w:smartTag w:uri="urn:schemas-microsoft-com:office:smarttags" w:element="stockticker">
        <w:r w:rsidRPr="00722B46">
          <w:t>PCC</w:t>
        </w:r>
      </w:smartTag>
      <w:r w:rsidRPr="00722B46">
        <w:t xml:space="preserve"> layer thickness.  Use the h</w:t>
      </w:r>
      <w:r w:rsidRPr="00722B46">
        <w:rPr>
          <w:vertAlign w:val="subscript"/>
        </w:rPr>
        <w:t>pcc</w:t>
      </w:r>
      <w:r w:rsidRPr="00722B46">
        <w:t xml:space="preserve"> = d</w:t>
      </w:r>
      <w:r w:rsidRPr="00722B46">
        <w:rPr>
          <w:vertAlign w:val="subscript"/>
        </w:rPr>
        <w:t>ac</w:t>
      </w:r>
      <w:r w:rsidRPr="00722B46">
        <w:t>/2.</w:t>
      </w:r>
    </w:p>
    <w:p w14:paraId="435B6BBB" w14:textId="77777777" w:rsidR="00ED7814" w:rsidRPr="00154C03" w:rsidRDefault="00ED7814" w:rsidP="00172E64">
      <w:pPr>
        <w:pStyle w:val="ListNumber"/>
        <w:numPr>
          <w:ilvl w:val="0"/>
          <w:numId w:val="105"/>
        </w:numPr>
        <w:ind w:left="1080" w:hanging="1080"/>
        <w:jc w:val="both"/>
      </w:pPr>
      <w:r w:rsidRPr="00154C03">
        <w:t>Calculate the effective structural capacity (SC</w:t>
      </w:r>
      <w:r w:rsidRPr="00154C03">
        <w:rPr>
          <w:vertAlign w:val="subscript"/>
        </w:rPr>
        <w:t>eff</w:t>
      </w:r>
      <w:r w:rsidRPr="00154C03">
        <w:t>)</w:t>
      </w:r>
      <w:r w:rsidRPr="00154C03">
        <w:rPr>
          <w:vertAlign w:val="subscript"/>
        </w:rPr>
        <w:t xml:space="preserve"> </w:t>
      </w:r>
      <w:r w:rsidRPr="00154C03">
        <w:t>of each analysis section following the condition (visual survey) analysis approach.</w:t>
      </w:r>
      <w:r w:rsidR="00BB62D4" w:rsidRPr="00154C03">
        <w:t xml:space="preserve"> </w:t>
      </w:r>
      <w:r w:rsidRPr="00154C03">
        <w:t xml:space="preserve"> It is important to not</w:t>
      </w:r>
      <w:r w:rsidR="00BB62D4" w:rsidRPr="00154C03">
        <w:t>e</w:t>
      </w:r>
      <w:r w:rsidRPr="00154C03">
        <w:t xml:space="preserve"> that the visual survey approach only evaluates the condition of the pavement based on the visual observation of the surface.  Use the following guidelines to determine SC</w:t>
      </w:r>
      <w:r w:rsidRPr="00154C03">
        <w:rPr>
          <w:vertAlign w:val="subscript"/>
        </w:rPr>
        <w:t xml:space="preserve">eff </w:t>
      </w:r>
      <w:r w:rsidRPr="00154C03">
        <w:t>following the visual condition survey analysis approach for each pavement type:</w:t>
      </w:r>
    </w:p>
    <w:p w14:paraId="2540BA81" w14:textId="77777777" w:rsidR="00ED7814" w:rsidRPr="00154C03" w:rsidRDefault="00ED7814" w:rsidP="00A42B5F">
      <w:pPr>
        <w:pStyle w:val="ListBullet"/>
      </w:pPr>
    </w:p>
    <w:p w14:paraId="3F3FAAF9" w14:textId="77777777" w:rsidR="00ED7814" w:rsidRPr="00553F82" w:rsidRDefault="00ED7814" w:rsidP="00172E64">
      <w:pPr>
        <w:pStyle w:val="Heading5"/>
        <w:numPr>
          <w:ilvl w:val="4"/>
          <w:numId w:val="185"/>
        </w:numPr>
        <w:tabs>
          <w:tab w:val="left" w:pos="1800"/>
        </w:tabs>
        <w:ind w:left="1098" w:hanging="1098"/>
      </w:pPr>
      <w:r w:rsidRPr="00553F82">
        <w:t>Option 1:</w:t>
      </w:r>
      <w:r w:rsidR="009D30ED">
        <w:t xml:space="preserve"> Rigid or Composite Pavement</w:t>
      </w:r>
      <w:r w:rsidR="00E943EA">
        <w:t xml:space="preserve"> – PCI Method</w:t>
      </w:r>
    </w:p>
    <w:p w14:paraId="177E91E9" w14:textId="77777777" w:rsidR="008F1FC2" w:rsidRDefault="008F1FC2" w:rsidP="008F1FC2">
      <w:pPr>
        <w:pStyle w:val="BodyText"/>
        <w:spacing w:after="0"/>
        <w:ind w:left="2880" w:hanging="1080"/>
        <w:jc w:val="both"/>
        <w:rPr>
          <w:sz w:val="20"/>
        </w:rPr>
      </w:pPr>
    </w:p>
    <w:p w14:paraId="088EF092" w14:textId="35AC8B6B" w:rsidR="009D30ED" w:rsidRPr="00722B46" w:rsidRDefault="009D30ED" w:rsidP="00722B46">
      <w:pPr>
        <w:pStyle w:val="BodyText"/>
        <w:tabs>
          <w:tab w:val="left" w:pos="2340"/>
          <w:tab w:val="left" w:pos="2700"/>
        </w:tabs>
        <w:ind w:left="2880" w:hanging="1080"/>
        <w:jc w:val="both"/>
      </w:pPr>
      <w:r w:rsidRPr="00722B46">
        <w:t>Sc</w:t>
      </w:r>
      <w:r w:rsidRPr="00722B46">
        <w:rPr>
          <w:vertAlign w:val="subscript"/>
        </w:rPr>
        <w:t>eff</w:t>
      </w:r>
      <w:r w:rsidRPr="00722B46">
        <w:t xml:space="preserve"> </w:t>
      </w:r>
      <w:r w:rsidR="009E6563">
        <w:rPr>
          <w:szCs w:val="22"/>
        </w:rPr>
        <w:tab/>
      </w:r>
      <w:r w:rsidRPr="008F1FC2">
        <w:rPr>
          <w:szCs w:val="22"/>
        </w:rPr>
        <w:t xml:space="preserve">= </w:t>
      </w:r>
      <w:r w:rsidR="009E6563">
        <w:rPr>
          <w:szCs w:val="22"/>
        </w:rPr>
        <w:tab/>
      </w:r>
      <w:r w:rsidRPr="00722B46">
        <w:t>D</w:t>
      </w:r>
      <w:r w:rsidRPr="00722B46">
        <w:rPr>
          <w:vertAlign w:val="subscript"/>
        </w:rPr>
        <w:t>eff</w:t>
      </w:r>
    </w:p>
    <w:p w14:paraId="6EAFC9E8" w14:textId="376D63CD" w:rsidR="00ED7814" w:rsidRPr="00722B46" w:rsidRDefault="00ED7814" w:rsidP="00722B46">
      <w:pPr>
        <w:pStyle w:val="BodyText"/>
        <w:tabs>
          <w:tab w:val="left" w:pos="2340"/>
          <w:tab w:val="left" w:pos="2700"/>
        </w:tabs>
        <w:ind w:left="2880" w:hanging="1080"/>
        <w:jc w:val="both"/>
        <w:rPr>
          <w:vertAlign w:val="subscript"/>
        </w:rPr>
      </w:pPr>
      <w:r w:rsidRPr="00722B46">
        <w:t>D</w:t>
      </w:r>
      <w:r w:rsidRPr="00722B46">
        <w:rPr>
          <w:vertAlign w:val="subscript"/>
        </w:rPr>
        <w:t>eff</w:t>
      </w:r>
      <w:r w:rsidRPr="00722B46">
        <w:t xml:space="preserve">  </w:t>
      </w:r>
      <w:r w:rsidR="009E6563">
        <w:rPr>
          <w:szCs w:val="22"/>
        </w:rPr>
        <w:tab/>
      </w:r>
      <w:r w:rsidRPr="008F1FC2">
        <w:rPr>
          <w:szCs w:val="22"/>
        </w:rPr>
        <w:t xml:space="preserve">= </w:t>
      </w:r>
      <w:r w:rsidR="009E6563">
        <w:rPr>
          <w:szCs w:val="22"/>
        </w:rPr>
        <w:tab/>
      </w:r>
      <w:r w:rsidRPr="00722B46">
        <w:t>D</w:t>
      </w:r>
      <w:r w:rsidRPr="00722B46">
        <w:rPr>
          <w:vertAlign w:val="subscript"/>
        </w:rPr>
        <w:t>o</w:t>
      </w:r>
      <w:r w:rsidRPr="00722B46">
        <w:t xml:space="preserve"> * C</w:t>
      </w:r>
      <w:r w:rsidRPr="00722B46">
        <w:rPr>
          <w:vertAlign w:val="subscript"/>
        </w:rPr>
        <w:t>x</w:t>
      </w:r>
    </w:p>
    <w:p w14:paraId="68E1C450" w14:textId="77777777" w:rsidR="00ED7814" w:rsidRPr="00722B46" w:rsidRDefault="00ED7814" w:rsidP="00722B46">
      <w:pPr>
        <w:pStyle w:val="BodyText"/>
        <w:tabs>
          <w:tab w:val="left" w:pos="2340"/>
          <w:tab w:val="left" w:pos="2700"/>
        </w:tabs>
        <w:ind w:left="2880" w:hanging="1080"/>
        <w:jc w:val="both"/>
      </w:pPr>
      <w:r w:rsidRPr="00722B46">
        <w:t>where:</w:t>
      </w:r>
    </w:p>
    <w:p w14:paraId="383514CB" w14:textId="7A9A7527" w:rsidR="00ED7814" w:rsidRPr="00722B46" w:rsidRDefault="00ED7814" w:rsidP="00722B46">
      <w:pPr>
        <w:pStyle w:val="BodyText"/>
        <w:tabs>
          <w:tab w:val="left" w:pos="2340"/>
          <w:tab w:val="left" w:pos="2700"/>
        </w:tabs>
        <w:ind w:left="2700" w:hanging="900"/>
      </w:pPr>
      <w:r w:rsidRPr="00722B46">
        <w:lastRenderedPageBreak/>
        <w:t>C</w:t>
      </w:r>
      <w:r w:rsidRPr="00722B46">
        <w:rPr>
          <w:vertAlign w:val="subscript"/>
        </w:rPr>
        <w:t>x</w:t>
      </w:r>
      <w:r w:rsidRPr="00722B46">
        <w:t xml:space="preserve"> </w:t>
      </w:r>
      <w:r w:rsidR="009E6563">
        <w:rPr>
          <w:szCs w:val="22"/>
        </w:rPr>
        <w:tab/>
      </w:r>
      <w:r w:rsidRPr="008F1FC2">
        <w:rPr>
          <w:szCs w:val="22"/>
        </w:rPr>
        <w:t xml:space="preserve">= </w:t>
      </w:r>
      <w:r w:rsidR="009E6563">
        <w:rPr>
          <w:szCs w:val="22"/>
        </w:rPr>
        <w:tab/>
      </w:r>
      <w:r w:rsidRPr="00722B46">
        <w:t>Condition Factor from visual condition analysis (=&lt; 1.0).  To obtain C</w:t>
      </w:r>
      <w:r w:rsidRPr="00722B46">
        <w:rPr>
          <w:vertAlign w:val="subscript"/>
        </w:rPr>
        <w:t>x</w:t>
      </w:r>
      <w:r w:rsidRPr="00722B46">
        <w:t xml:space="preserve"> for rigid pavements</w:t>
      </w:r>
      <w:r w:rsidR="008F1FC2">
        <w:rPr>
          <w:szCs w:val="22"/>
        </w:rPr>
        <w:t>,</w:t>
      </w:r>
      <w:r w:rsidRPr="00722B46">
        <w:t xml:space="preserve"> use the following equation:</w:t>
      </w:r>
    </w:p>
    <w:p w14:paraId="676B8084" w14:textId="128D5687" w:rsidR="00ED7814" w:rsidRPr="00722B46" w:rsidRDefault="00ED7814" w:rsidP="00722B46">
      <w:pPr>
        <w:pStyle w:val="BodyText"/>
        <w:tabs>
          <w:tab w:val="left" w:pos="2340"/>
          <w:tab w:val="left" w:pos="2700"/>
        </w:tabs>
        <w:jc w:val="center"/>
      </w:pPr>
      <w:r w:rsidRPr="00722B46">
        <w:t>C</w:t>
      </w:r>
      <w:r w:rsidRPr="00722B46">
        <w:rPr>
          <w:vertAlign w:val="subscript"/>
        </w:rPr>
        <w:t>x</w:t>
      </w:r>
      <w:r w:rsidRPr="00722B46">
        <w:t xml:space="preserve"> = (PCI / 100)^</w:t>
      </w:r>
      <w:r w:rsidRPr="00722B46">
        <w:rPr>
          <w:vertAlign w:val="superscript"/>
        </w:rPr>
        <w:t xml:space="preserve">1/2 </w:t>
      </w:r>
      <w:r w:rsidRPr="00722B46">
        <w:t xml:space="preserve"> &gt; 0.65</w:t>
      </w:r>
    </w:p>
    <w:p w14:paraId="222E40D1" w14:textId="77777777" w:rsidR="007F27C8" w:rsidRPr="00722B46" w:rsidRDefault="007F27C8" w:rsidP="00722B46">
      <w:pPr>
        <w:pStyle w:val="BodyText"/>
        <w:tabs>
          <w:tab w:val="left" w:pos="2340"/>
          <w:tab w:val="left" w:pos="2700"/>
        </w:tabs>
        <w:ind w:left="2880" w:hanging="1080"/>
        <w:jc w:val="both"/>
      </w:pPr>
      <w:r w:rsidRPr="00722B46">
        <w:t>where:</w:t>
      </w:r>
    </w:p>
    <w:p w14:paraId="637944E0" w14:textId="533D282C" w:rsidR="007F27C8" w:rsidRPr="00722B46" w:rsidRDefault="007F27C8" w:rsidP="00722B46">
      <w:pPr>
        <w:pStyle w:val="BodyText"/>
        <w:tabs>
          <w:tab w:val="left" w:pos="2340"/>
          <w:tab w:val="left" w:pos="2700"/>
        </w:tabs>
        <w:ind w:left="2880" w:hanging="1080"/>
        <w:jc w:val="both"/>
      </w:pPr>
      <w:r w:rsidRPr="00722B46">
        <w:t xml:space="preserve">PCI </w:t>
      </w:r>
      <w:r w:rsidR="009E6563">
        <w:rPr>
          <w:szCs w:val="22"/>
        </w:rPr>
        <w:tab/>
      </w:r>
      <w:r w:rsidRPr="008F1FC2">
        <w:rPr>
          <w:szCs w:val="22"/>
        </w:rPr>
        <w:t xml:space="preserve">= </w:t>
      </w:r>
      <w:r w:rsidR="009E6563">
        <w:rPr>
          <w:szCs w:val="22"/>
        </w:rPr>
        <w:tab/>
      </w:r>
      <w:r w:rsidRPr="00722B46">
        <w:t xml:space="preserve">Average PCI for analysis section </w:t>
      </w:r>
    </w:p>
    <w:p w14:paraId="3E5432FF" w14:textId="7CE13EBF" w:rsidR="007F27C8" w:rsidRDefault="007F27C8" w:rsidP="00553F82">
      <w:pPr>
        <w:pStyle w:val="BodyText"/>
        <w:ind w:left="1800"/>
        <w:jc w:val="both"/>
        <w:rPr>
          <w:b/>
          <w:sz w:val="20"/>
        </w:rPr>
      </w:pPr>
      <w:r w:rsidRPr="00553F82">
        <w:rPr>
          <w:b/>
          <w:sz w:val="20"/>
        </w:rPr>
        <w:t xml:space="preserve">Note: The engineer must determine if the majority of the distress captured by the PCI </w:t>
      </w:r>
      <w:r w:rsidR="008F1FC2">
        <w:rPr>
          <w:b/>
          <w:sz w:val="20"/>
        </w:rPr>
        <w:t>is</w:t>
      </w:r>
      <w:r w:rsidR="008F1FC2" w:rsidRPr="00553F82">
        <w:rPr>
          <w:b/>
          <w:sz w:val="20"/>
        </w:rPr>
        <w:t xml:space="preserve"> </w:t>
      </w:r>
      <w:r w:rsidRPr="00553F82">
        <w:rPr>
          <w:b/>
          <w:sz w:val="20"/>
        </w:rPr>
        <w:t xml:space="preserve">structural or functional.  If </w:t>
      </w:r>
      <w:r w:rsidR="008F1FC2">
        <w:rPr>
          <w:b/>
          <w:sz w:val="20"/>
        </w:rPr>
        <w:t>it is</w:t>
      </w:r>
      <w:r w:rsidRPr="00553F82">
        <w:rPr>
          <w:b/>
          <w:sz w:val="20"/>
        </w:rPr>
        <w:t xml:space="preserve"> structural, then the C</w:t>
      </w:r>
      <w:r w:rsidRPr="00722B46">
        <w:rPr>
          <w:b/>
          <w:sz w:val="20"/>
          <w:vertAlign w:val="subscript"/>
        </w:rPr>
        <w:t>x</w:t>
      </w:r>
      <w:r w:rsidRPr="00553F82">
        <w:rPr>
          <w:b/>
          <w:sz w:val="20"/>
        </w:rPr>
        <w:t xml:space="preserve"> factor should apply to the entire pavement structure.  If </w:t>
      </w:r>
      <w:r w:rsidR="008F1FC2">
        <w:rPr>
          <w:b/>
          <w:sz w:val="20"/>
        </w:rPr>
        <w:t xml:space="preserve">it is </w:t>
      </w:r>
      <w:r w:rsidRPr="0044067E">
        <w:rPr>
          <w:b/>
          <w:sz w:val="20"/>
        </w:rPr>
        <w:t>functional, then the C</w:t>
      </w:r>
      <w:r w:rsidRPr="00722B46">
        <w:rPr>
          <w:b/>
          <w:sz w:val="20"/>
          <w:vertAlign w:val="subscript"/>
        </w:rPr>
        <w:t>x</w:t>
      </w:r>
      <w:r w:rsidRPr="0044067E">
        <w:rPr>
          <w:b/>
          <w:sz w:val="20"/>
        </w:rPr>
        <w:t xml:space="preserve"> factor should apply only to the top layer(s) as judged by the engineer.</w:t>
      </w:r>
    </w:p>
    <w:p w14:paraId="7692DD31" w14:textId="77777777" w:rsidR="009D30ED" w:rsidRPr="00553F82" w:rsidRDefault="009D30ED" w:rsidP="00172E64">
      <w:pPr>
        <w:pStyle w:val="Heading5"/>
        <w:numPr>
          <w:ilvl w:val="4"/>
          <w:numId w:val="185"/>
        </w:numPr>
        <w:tabs>
          <w:tab w:val="clear" w:pos="1080"/>
          <w:tab w:val="left" w:pos="1800"/>
        </w:tabs>
        <w:ind w:left="1800" w:hanging="1800"/>
      </w:pPr>
      <w:bookmarkStart w:id="1300" w:name="_Option_2:_Rigid"/>
      <w:bookmarkEnd w:id="1300"/>
      <w:r w:rsidRPr="00553F82">
        <w:t xml:space="preserve">Option </w:t>
      </w:r>
      <w:r>
        <w:t>2</w:t>
      </w:r>
      <w:r w:rsidRPr="00553F82">
        <w:t>:</w:t>
      </w:r>
      <w:r>
        <w:t xml:space="preserve"> Rigid Pavement</w:t>
      </w:r>
      <w:r w:rsidR="00E943EA">
        <w:t xml:space="preserve"> – AASHTO</w:t>
      </w:r>
      <w:r w:rsidR="00BF2D82">
        <w:t xml:space="preserve"> Component Analysis</w:t>
      </w:r>
      <w:r w:rsidR="00E943EA">
        <w:t xml:space="preserve"> Method</w:t>
      </w:r>
    </w:p>
    <w:p w14:paraId="20249B32" w14:textId="77777777" w:rsidR="008F1FC2" w:rsidRDefault="008F1FC2" w:rsidP="008F1FC2">
      <w:pPr>
        <w:pStyle w:val="BodyText"/>
        <w:spacing w:after="0"/>
        <w:ind w:left="1800"/>
        <w:jc w:val="both"/>
        <w:rPr>
          <w:szCs w:val="22"/>
        </w:rPr>
      </w:pPr>
    </w:p>
    <w:p w14:paraId="7B3C8534" w14:textId="68311999" w:rsidR="00ED7814" w:rsidRPr="00722B46" w:rsidRDefault="00ED7814" w:rsidP="00722B46">
      <w:pPr>
        <w:pStyle w:val="BodyText"/>
        <w:jc w:val="center"/>
        <w:rPr>
          <w:vertAlign w:val="subscript"/>
        </w:rPr>
      </w:pPr>
      <w:r w:rsidRPr="00722B46">
        <w:t>D</w:t>
      </w:r>
      <w:r w:rsidRPr="00722B46">
        <w:rPr>
          <w:vertAlign w:val="subscript"/>
        </w:rPr>
        <w:t>eff</w:t>
      </w:r>
      <w:r w:rsidRPr="00722B46">
        <w:t xml:space="preserve">  = D</w:t>
      </w:r>
      <w:r w:rsidRPr="00722B46">
        <w:rPr>
          <w:vertAlign w:val="subscript"/>
        </w:rPr>
        <w:t>o</w:t>
      </w:r>
      <w:r w:rsidRPr="00722B46">
        <w:t xml:space="preserve"> * F</w:t>
      </w:r>
      <w:r w:rsidRPr="00722B46">
        <w:rPr>
          <w:vertAlign w:val="subscript"/>
        </w:rPr>
        <w:t>jc</w:t>
      </w:r>
      <w:r w:rsidRPr="00722B46">
        <w:t xml:space="preserve"> * F</w:t>
      </w:r>
      <w:r w:rsidRPr="00722B46">
        <w:rPr>
          <w:vertAlign w:val="subscript"/>
        </w:rPr>
        <w:t xml:space="preserve">dur </w:t>
      </w:r>
      <w:r w:rsidRPr="00722B46">
        <w:t>* F</w:t>
      </w:r>
      <w:r w:rsidRPr="00722B46">
        <w:rPr>
          <w:vertAlign w:val="subscript"/>
        </w:rPr>
        <w:t>fat</w:t>
      </w:r>
    </w:p>
    <w:p w14:paraId="5BCF0503" w14:textId="3EAFF84B" w:rsidR="00ED7814" w:rsidRPr="00722B46" w:rsidRDefault="00ED7814" w:rsidP="00722B46">
      <w:pPr>
        <w:pStyle w:val="BodyText"/>
        <w:ind w:left="1800"/>
        <w:jc w:val="both"/>
      </w:pPr>
      <w:r w:rsidRPr="00722B46">
        <w:t>where:</w:t>
      </w:r>
    </w:p>
    <w:p w14:paraId="2007747A" w14:textId="7FD53CCB" w:rsidR="009E6563" w:rsidRDefault="00ED7814" w:rsidP="008F1FC2">
      <w:pPr>
        <w:pStyle w:val="BodyText"/>
        <w:ind w:left="1800"/>
        <w:jc w:val="both"/>
        <w:rPr>
          <w:szCs w:val="22"/>
        </w:rPr>
      </w:pPr>
      <w:r w:rsidRPr="00722B46">
        <w:t>F</w:t>
      </w:r>
      <w:r w:rsidRPr="00722B46">
        <w:rPr>
          <w:vertAlign w:val="subscript"/>
        </w:rPr>
        <w:t>jc</w:t>
      </w:r>
      <w:r w:rsidRPr="00722B46">
        <w:t xml:space="preserve"> = Joints and cracks adjustment factor</w:t>
      </w:r>
      <w:r w:rsidRPr="008F1FC2">
        <w:rPr>
          <w:szCs w:val="22"/>
        </w:rPr>
        <w:t xml:space="preserve"> </w:t>
      </w:r>
    </w:p>
    <w:p w14:paraId="30003E4D" w14:textId="590C4243" w:rsidR="00ED7814" w:rsidRPr="00722B46" w:rsidRDefault="00ED7814" w:rsidP="00722B46">
      <w:pPr>
        <w:pStyle w:val="BodyText"/>
        <w:spacing w:after="0"/>
        <w:ind w:left="1800"/>
        <w:jc w:val="both"/>
      </w:pPr>
      <w:r w:rsidRPr="00722B46">
        <w:t>F</w:t>
      </w:r>
      <w:r w:rsidRPr="00722B46">
        <w:rPr>
          <w:vertAlign w:val="subscript"/>
        </w:rPr>
        <w:t>jc</w:t>
      </w:r>
      <w:r w:rsidRPr="00722B46">
        <w:t xml:space="preserve"> is calculated from Figure 5.12 on page </w:t>
      </w:r>
      <w:smartTag w:uri="urn:schemas-microsoft-com:office:smarttags" w:element="stockticker">
        <w:r w:rsidRPr="00722B46">
          <w:t>III</w:t>
        </w:r>
      </w:smartTag>
      <w:r w:rsidRPr="00722B46">
        <w:t>-124 in the 1993 “AASHTO Guide for Design of Pavement Structures.”  All of the input values needed to use Figure 5.12 can be tabulated in the field during the pavement designer windshield survey or estimated based on the distress quantities from the PCI visual survey results. F</w:t>
      </w:r>
      <w:r w:rsidRPr="00722B46">
        <w:rPr>
          <w:vertAlign w:val="subscript"/>
        </w:rPr>
        <w:t>jc</w:t>
      </w:r>
      <w:r w:rsidRPr="00722B46">
        <w:t xml:space="preserve"> ranges from approximately 0.4 to 1.0.  In order to use Figure 5.12</w:t>
      </w:r>
      <w:r w:rsidR="008F1FC2">
        <w:rPr>
          <w:szCs w:val="22"/>
        </w:rPr>
        <w:t>,</w:t>
      </w:r>
      <w:r w:rsidRPr="00722B46">
        <w:t xml:space="preserve"> the following items need to be summed:</w:t>
      </w:r>
    </w:p>
    <w:p w14:paraId="1462CD44" w14:textId="77777777" w:rsidR="00ED7814" w:rsidRPr="00722B46" w:rsidRDefault="00ED7814" w:rsidP="00172E64">
      <w:pPr>
        <w:pStyle w:val="BodyText"/>
        <w:numPr>
          <w:ilvl w:val="1"/>
          <w:numId w:val="107"/>
        </w:numPr>
        <w:ind w:left="2160"/>
        <w:jc w:val="both"/>
      </w:pPr>
      <w:r w:rsidRPr="00722B46">
        <w:t>Number of unrepaired deteriorated joints per mile</w:t>
      </w:r>
    </w:p>
    <w:p w14:paraId="2D697382" w14:textId="77777777" w:rsidR="00ED7814" w:rsidRPr="00722B46" w:rsidRDefault="00ED7814" w:rsidP="00172E64">
      <w:pPr>
        <w:pStyle w:val="BodyText"/>
        <w:numPr>
          <w:ilvl w:val="1"/>
          <w:numId w:val="107"/>
        </w:numPr>
        <w:ind w:left="2160"/>
        <w:jc w:val="both"/>
      </w:pPr>
      <w:r w:rsidRPr="00722B46">
        <w:t>Number of unrepaired deteriorated cracks per mile</w:t>
      </w:r>
    </w:p>
    <w:p w14:paraId="418118D8" w14:textId="77777777" w:rsidR="00ED7814" w:rsidRPr="00722B46" w:rsidRDefault="00ED7814" w:rsidP="00172E64">
      <w:pPr>
        <w:pStyle w:val="BodyText"/>
        <w:numPr>
          <w:ilvl w:val="1"/>
          <w:numId w:val="107"/>
        </w:numPr>
        <w:ind w:left="2160"/>
        <w:jc w:val="both"/>
      </w:pPr>
      <w:r w:rsidRPr="00722B46">
        <w:t>Number of unrepaired punchouts per mile</w:t>
      </w:r>
    </w:p>
    <w:p w14:paraId="10A2EF69" w14:textId="328A3900" w:rsidR="00ED7814" w:rsidRPr="00722B46" w:rsidRDefault="00ED7814" w:rsidP="00172E64">
      <w:pPr>
        <w:pStyle w:val="BodyText"/>
        <w:numPr>
          <w:ilvl w:val="1"/>
          <w:numId w:val="107"/>
        </w:numPr>
        <w:ind w:left="2160"/>
        <w:jc w:val="both"/>
      </w:pPr>
      <w:r w:rsidRPr="00722B46">
        <w:t>Number of expansion joints, exceptionally wide joints (&gt;1.0</w:t>
      </w:r>
      <w:r w:rsidR="008F1FC2">
        <w:rPr>
          <w:szCs w:val="22"/>
        </w:rPr>
        <w:t>"</w:t>
      </w:r>
      <w:r w:rsidRPr="008F1FC2">
        <w:rPr>
          <w:szCs w:val="22"/>
        </w:rPr>
        <w:t>),</w:t>
      </w:r>
      <w:r w:rsidRPr="00722B46">
        <w:t xml:space="preserve"> and full-depth AC patches per mile</w:t>
      </w:r>
    </w:p>
    <w:p w14:paraId="57E975C4" w14:textId="7BB97536" w:rsidR="009E6563" w:rsidRDefault="00ED7814" w:rsidP="008F1FC2">
      <w:pPr>
        <w:pStyle w:val="BodyText"/>
        <w:ind w:left="1800"/>
        <w:jc w:val="both"/>
        <w:rPr>
          <w:szCs w:val="22"/>
        </w:rPr>
      </w:pPr>
      <w:r w:rsidRPr="00722B46">
        <w:t>F</w:t>
      </w:r>
      <w:r w:rsidRPr="00722B46">
        <w:rPr>
          <w:vertAlign w:val="subscript"/>
        </w:rPr>
        <w:t>dur</w:t>
      </w:r>
      <w:r w:rsidRPr="00722B46">
        <w:t xml:space="preserve"> = Durability adjustment factor</w:t>
      </w:r>
    </w:p>
    <w:p w14:paraId="55C759EC" w14:textId="14D28C02" w:rsidR="00ED7814" w:rsidRPr="00722B46" w:rsidRDefault="00ED7814" w:rsidP="00722B46">
      <w:pPr>
        <w:pStyle w:val="BodyText"/>
        <w:ind w:left="1800"/>
        <w:jc w:val="both"/>
      </w:pPr>
      <w:r w:rsidRPr="00722B46">
        <w:t>F</w:t>
      </w:r>
      <w:r w:rsidRPr="00722B46">
        <w:rPr>
          <w:vertAlign w:val="subscript"/>
        </w:rPr>
        <w:t>dur</w:t>
      </w:r>
      <w:r w:rsidRPr="00722B46">
        <w:t xml:space="preserve"> is a function of the amount of durability problems such as D-cracking in the existing </w:t>
      </w:r>
      <w:smartTag w:uri="urn:schemas-microsoft-com:office:smarttags" w:element="stockticker">
        <w:r w:rsidRPr="00722B46">
          <w:t>PCC</w:t>
        </w:r>
      </w:smartTag>
      <w:r w:rsidRPr="00722B46">
        <w:t xml:space="preserve"> slab. The Durability adjustment factor range is 0.8 to 1.0.  The summary results from the PCI survey will provide adequate information to develop an accurate Durability adjustment factor.  The 1993 AASHTO Guide for Design of Pavement Structures provides the following guidelines:</w:t>
      </w:r>
    </w:p>
    <w:p w14:paraId="5BD19736" w14:textId="77777777" w:rsidR="00ED7814" w:rsidRPr="00722B46" w:rsidRDefault="00ED7814" w:rsidP="00172E64">
      <w:pPr>
        <w:pStyle w:val="BodyText"/>
        <w:numPr>
          <w:ilvl w:val="1"/>
          <w:numId w:val="107"/>
        </w:numPr>
        <w:ind w:left="1800" w:firstLine="0"/>
        <w:jc w:val="both"/>
      </w:pPr>
      <w:r w:rsidRPr="00722B46">
        <w:t xml:space="preserve">1.00: </w:t>
      </w:r>
      <w:r w:rsidR="00FA294A" w:rsidRPr="00722B46">
        <w:t xml:space="preserve"> </w:t>
      </w:r>
      <w:r w:rsidRPr="00722B46">
        <w:t xml:space="preserve">No signs of </w:t>
      </w:r>
      <w:smartTag w:uri="urn:schemas-microsoft-com:office:smarttags" w:element="stockticker">
        <w:r w:rsidRPr="00722B46">
          <w:t>PCC</w:t>
        </w:r>
      </w:smartTag>
      <w:r w:rsidRPr="00722B46">
        <w:t xml:space="preserve"> durability problems</w:t>
      </w:r>
    </w:p>
    <w:p w14:paraId="12A2E2B7" w14:textId="77777777" w:rsidR="00ED7814" w:rsidRPr="00722B46" w:rsidRDefault="00ED7814" w:rsidP="00172E64">
      <w:pPr>
        <w:pStyle w:val="BodyText"/>
        <w:numPr>
          <w:ilvl w:val="1"/>
          <w:numId w:val="107"/>
        </w:numPr>
        <w:ind w:left="1800" w:firstLine="0"/>
        <w:jc w:val="both"/>
      </w:pPr>
      <w:r w:rsidRPr="00722B46">
        <w:t>0.96 – 0.99:</w:t>
      </w:r>
      <w:r w:rsidRPr="00722B46">
        <w:tab/>
        <w:t xml:space="preserve">Durability cracking exists, but no spalling </w:t>
      </w:r>
    </w:p>
    <w:p w14:paraId="0DE02FC5" w14:textId="77777777" w:rsidR="00ED7814" w:rsidRPr="00722B46" w:rsidRDefault="00ED7814" w:rsidP="00172E64">
      <w:pPr>
        <w:pStyle w:val="BodyText"/>
        <w:numPr>
          <w:ilvl w:val="1"/>
          <w:numId w:val="107"/>
        </w:numPr>
        <w:ind w:left="1800" w:firstLine="0"/>
        <w:jc w:val="both"/>
      </w:pPr>
      <w:r w:rsidRPr="00722B46">
        <w:t>0.88 – 0.95:</w:t>
      </w:r>
      <w:r w:rsidRPr="00722B46">
        <w:tab/>
        <w:t>Substantial cracking and some spalling exists</w:t>
      </w:r>
    </w:p>
    <w:p w14:paraId="6C954F43" w14:textId="77777777" w:rsidR="00ED7814" w:rsidRPr="00722B46" w:rsidRDefault="00ED7814" w:rsidP="00172E64">
      <w:pPr>
        <w:pStyle w:val="BodyText"/>
        <w:numPr>
          <w:ilvl w:val="1"/>
          <w:numId w:val="107"/>
        </w:numPr>
        <w:ind w:left="1800" w:firstLine="0"/>
        <w:jc w:val="both"/>
      </w:pPr>
      <w:r w:rsidRPr="00722B46">
        <w:t>0.80 – 0.88:</w:t>
      </w:r>
      <w:r w:rsidRPr="00722B46">
        <w:tab/>
        <w:t>Extensive cracking and severe spalling exists</w:t>
      </w:r>
    </w:p>
    <w:p w14:paraId="370EAE1C" w14:textId="6C51F813" w:rsidR="00ED7814" w:rsidRPr="00722B46" w:rsidRDefault="00ED7814" w:rsidP="00722B46">
      <w:pPr>
        <w:pStyle w:val="BodyText"/>
        <w:ind w:left="1800"/>
        <w:jc w:val="both"/>
      </w:pPr>
      <w:r w:rsidRPr="00722B46">
        <w:t>Durability</w:t>
      </w:r>
      <w:r w:rsidR="008F1FC2">
        <w:rPr>
          <w:szCs w:val="22"/>
        </w:rPr>
        <w:t>-</w:t>
      </w:r>
      <w:r w:rsidRPr="00722B46">
        <w:t>related problems from reactive aggregate are not a prevalent distress in Maryland.  The durability adjustment factor is typically close to 1.0 for a majority of Maryland roadways.  With extrapolated PCI survey results, use the following equation to calculate F</w:t>
      </w:r>
      <w:r w:rsidRPr="00722B46">
        <w:rPr>
          <w:vertAlign w:val="subscript"/>
        </w:rPr>
        <w:t>dur</w:t>
      </w:r>
      <w:r w:rsidRPr="00722B46">
        <w:t>:</w:t>
      </w:r>
    </w:p>
    <w:p w14:paraId="493A29E2" w14:textId="1FA6D875" w:rsidR="00ED7814" w:rsidRPr="00722B46" w:rsidRDefault="00ED7814" w:rsidP="00722B46">
      <w:pPr>
        <w:pStyle w:val="BodyText"/>
        <w:tabs>
          <w:tab w:val="left" w:pos="2250"/>
          <w:tab w:val="left" w:pos="2520"/>
        </w:tabs>
        <w:ind w:left="1800"/>
        <w:jc w:val="both"/>
      </w:pPr>
      <w:r w:rsidRPr="00722B46">
        <w:lastRenderedPageBreak/>
        <w:t>F</w:t>
      </w:r>
      <w:r w:rsidRPr="00722B46">
        <w:rPr>
          <w:vertAlign w:val="subscript"/>
        </w:rPr>
        <w:t>dur</w:t>
      </w:r>
      <w:r w:rsidRPr="00722B46">
        <w:t xml:space="preserve"> </w:t>
      </w:r>
      <w:r w:rsidR="008F1FC2">
        <w:rPr>
          <w:szCs w:val="22"/>
        </w:rPr>
        <w:tab/>
      </w:r>
      <w:r w:rsidRPr="008F1FC2">
        <w:rPr>
          <w:szCs w:val="22"/>
        </w:rPr>
        <w:t xml:space="preserve">= </w:t>
      </w:r>
      <w:r w:rsidR="008F1FC2">
        <w:rPr>
          <w:szCs w:val="22"/>
        </w:rPr>
        <w:tab/>
      </w:r>
      <w:r w:rsidRPr="00722B46">
        <w:t>1.0 – 0.2 * (A / B)</w:t>
      </w:r>
    </w:p>
    <w:p w14:paraId="5765A867" w14:textId="5ECAB52D" w:rsidR="00ED7814" w:rsidRPr="00722B46" w:rsidRDefault="00ED7814" w:rsidP="00722B46">
      <w:pPr>
        <w:pStyle w:val="BodyText"/>
        <w:tabs>
          <w:tab w:val="left" w:pos="2250"/>
          <w:tab w:val="left" w:pos="2520"/>
        </w:tabs>
        <w:ind w:left="1800"/>
        <w:jc w:val="both"/>
      </w:pPr>
      <w:r w:rsidRPr="00722B46">
        <w:t xml:space="preserve">A </w:t>
      </w:r>
      <w:r w:rsidR="008F1FC2">
        <w:rPr>
          <w:szCs w:val="22"/>
        </w:rPr>
        <w:tab/>
      </w:r>
      <w:r w:rsidRPr="008F1FC2">
        <w:rPr>
          <w:szCs w:val="22"/>
        </w:rPr>
        <w:t xml:space="preserve">= </w:t>
      </w:r>
      <w:r w:rsidR="008F1FC2">
        <w:rPr>
          <w:szCs w:val="22"/>
        </w:rPr>
        <w:tab/>
      </w:r>
      <w:r w:rsidRPr="00722B46">
        <w:t>Extrapolated number of slabs with D-cracking of any severity</w:t>
      </w:r>
    </w:p>
    <w:p w14:paraId="71FA676F" w14:textId="219573CA" w:rsidR="00ED7814" w:rsidRPr="00722B46" w:rsidRDefault="00ED7814" w:rsidP="00722B46">
      <w:pPr>
        <w:pStyle w:val="BodyText"/>
        <w:tabs>
          <w:tab w:val="left" w:pos="2250"/>
          <w:tab w:val="left" w:pos="2520"/>
        </w:tabs>
        <w:ind w:left="1800"/>
        <w:jc w:val="both"/>
      </w:pPr>
      <w:r w:rsidRPr="00722B46">
        <w:t xml:space="preserve">B </w:t>
      </w:r>
      <w:r w:rsidR="008F1FC2">
        <w:rPr>
          <w:szCs w:val="22"/>
        </w:rPr>
        <w:tab/>
      </w:r>
      <w:r w:rsidRPr="008F1FC2">
        <w:rPr>
          <w:szCs w:val="22"/>
        </w:rPr>
        <w:t xml:space="preserve">= </w:t>
      </w:r>
      <w:r w:rsidR="008F1FC2">
        <w:rPr>
          <w:szCs w:val="22"/>
        </w:rPr>
        <w:tab/>
      </w:r>
      <w:r w:rsidRPr="00722B46">
        <w:t>Total number of slab</w:t>
      </w:r>
      <w:r w:rsidR="00236660" w:rsidRPr="00722B46">
        <w:t>s</w:t>
      </w:r>
      <w:r w:rsidRPr="00722B46">
        <w:t xml:space="preserve"> in section</w:t>
      </w:r>
    </w:p>
    <w:p w14:paraId="4493EDDA" w14:textId="5D64DABF" w:rsidR="009E6563" w:rsidRDefault="00ED7814" w:rsidP="008F1FC2">
      <w:pPr>
        <w:pStyle w:val="BodyText"/>
        <w:tabs>
          <w:tab w:val="left" w:pos="2250"/>
          <w:tab w:val="left" w:pos="2520"/>
        </w:tabs>
        <w:ind w:left="1800"/>
        <w:jc w:val="both"/>
        <w:rPr>
          <w:szCs w:val="22"/>
        </w:rPr>
      </w:pPr>
      <w:r w:rsidRPr="00722B46">
        <w:t>F</w:t>
      </w:r>
      <w:r w:rsidRPr="00722B46">
        <w:rPr>
          <w:vertAlign w:val="subscript"/>
        </w:rPr>
        <w:t>fat</w:t>
      </w:r>
      <w:r w:rsidRPr="00722B46">
        <w:t xml:space="preserve"> </w:t>
      </w:r>
      <w:r w:rsidR="008F1FC2">
        <w:rPr>
          <w:szCs w:val="22"/>
        </w:rPr>
        <w:tab/>
      </w:r>
      <w:r w:rsidRPr="008F1FC2">
        <w:rPr>
          <w:szCs w:val="22"/>
        </w:rPr>
        <w:t xml:space="preserve">= </w:t>
      </w:r>
      <w:r w:rsidR="008F1FC2">
        <w:rPr>
          <w:szCs w:val="22"/>
        </w:rPr>
        <w:tab/>
      </w:r>
      <w:r w:rsidRPr="00722B46">
        <w:t>Fatigue damage adjustment factor</w:t>
      </w:r>
    </w:p>
    <w:p w14:paraId="2E5EFC5F" w14:textId="0128B186" w:rsidR="00ED7814" w:rsidRPr="00722B46" w:rsidRDefault="00ED7814" w:rsidP="00722B46">
      <w:pPr>
        <w:pStyle w:val="BodyText"/>
        <w:tabs>
          <w:tab w:val="left" w:pos="2250"/>
          <w:tab w:val="left" w:pos="2520"/>
        </w:tabs>
        <w:ind w:left="1800"/>
        <w:jc w:val="both"/>
      </w:pPr>
      <w:r w:rsidRPr="00722B46">
        <w:t>F</w:t>
      </w:r>
      <w:r w:rsidRPr="00722B46">
        <w:rPr>
          <w:vertAlign w:val="subscript"/>
        </w:rPr>
        <w:t>fat</w:t>
      </w:r>
      <w:r w:rsidRPr="00722B46">
        <w:t xml:space="preserve"> is a function of the amount of past fatigue or structural damage that may exist in the </w:t>
      </w:r>
      <w:smartTag w:uri="urn:schemas-microsoft-com:office:smarttags" w:element="stockticker">
        <w:r w:rsidRPr="00722B46">
          <w:t>PCC</w:t>
        </w:r>
      </w:smartTag>
      <w:r w:rsidRPr="00722B46">
        <w:t xml:space="preserve"> slab.  The fatigue damage adjustment factor range is 0.9 to 1.0. The summary results from the PCI survey will provide adequate information to develop an accurate Fatigue adjustment factor.  The 1993 AASHTO Guide for Design of Pavement Structures provides the following guidelines for each </w:t>
      </w:r>
      <w:smartTag w:uri="urn:schemas-microsoft-com:office:smarttags" w:element="stockticker">
        <w:r w:rsidRPr="00722B46">
          <w:t>PCC</w:t>
        </w:r>
      </w:smartTag>
      <w:r w:rsidRPr="00722B46">
        <w:t xml:space="preserve"> pavement type:</w:t>
      </w:r>
    </w:p>
    <w:p w14:paraId="0D04837C" w14:textId="77777777" w:rsidR="00ED7814" w:rsidRPr="00722B46" w:rsidRDefault="00ED7814" w:rsidP="00722B46">
      <w:pPr>
        <w:pStyle w:val="BodyText"/>
        <w:ind w:left="1800"/>
        <w:jc w:val="both"/>
      </w:pPr>
      <w:r w:rsidRPr="00722B46">
        <w:t xml:space="preserve">JPCP (Plain): </w:t>
      </w:r>
    </w:p>
    <w:p w14:paraId="0134DDA7" w14:textId="797A0472" w:rsidR="00ED7814" w:rsidRPr="00722B46" w:rsidRDefault="00ED7814" w:rsidP="00172E64">
      <w:pPr>
        <w:pStyle w:val="BodyText"/>
        <w:numPr>
          <w:ilvl w:val="1"/>
          <w:numId w:val="107"/>
        </w:numPr>
        <w:ind w:left="1800" w:firstLine="0"/>
        <w:jc w:val="both"/>
      </w:pPr>
      <w:r w:rsidRPr="00722B46">
        <w:t>0.97 – 1.00</w:t>
      </w:r>
      <w:r w:rsidR="008F1FC2">
        <w:rPr>
          <w:szCs w:val="22"/>
        </w:rPr>
        <w:t>:</w:t>
      </w:r>
      <w:r w:rsidRPr="00722B46">
        <w:tab/>
        <w:t>&lt; 5% of slabs are cracked</w:t>
      </w:r>
    </w:p>
    <w:p w14:paraId="64280C95" w14:textId="77777777" w:rsidR="00ED7814" w:rsidRPr="00722B46" w:rsidRDefault="00ED7814" w:rsidP="00172E64">
      <w:pPr>
        <w:pStyle w:val="BodyText"/>
        <w:numPr>
          <w:ilvl w:val="1"/>
          <w:numId w:val="107"/>
        </w:numPr>
        <w:ind w:left="1800" w:firstLine="0"/>
        <w:jc w:val="both"/>
      </w:pPr>
      <w:r w:rsidRPr="00722B46">
        <w:t>0.94 – 0.96:</w:t>
      </w:r>
      <w:r w:rsidRPr="00722B46">
        <w:tab/>
        <w:t xml:space="preserve">5 to 15 % of slabs are cracked </w:t>
      </w:r>
    </w:p>
    <w:p w14:paraId="6F77A3D1" w14:textId="77777777" w:rsidR="00ED7814" w:rsidRPr="00722B46" w:rsidRDefault="00ED7814" w:rsidP="00172E64">
      <w:pPr>
        <w:pStyle w:val="BodyText"/>
        <w:numPr>
          <w:ilvl w:val="1"/>
          <w:numId w:val="107"/>
        </w:numPr>
        <w:ind w:left="1800" w:firstLine="0"/>
        <w:jc w:val="both"/>
      </w:pPr>
      <w:r w:rsidRPr="00722B46">
        <w:t>0.90 – 0.93:</w:t>
      </w:r>
      <w:r w:rsidRPr="00722B46">
        <w:tab/>
        <w:t>&gt; 15% of slabs are cracked</w:t>
      </w:r>
    </w:p>
    <w:p w14:paraId="02307917" w14:textId="77777777" w:rsidR="00ED7814" w:rsidRPr="00722B46" w:rsidRDefault="00ED7814" w:rsidP="00722B46">
      <w:pPr>
        <w:pStyle w:val="BodyText"/>
        <w:ind w:left="1800"/>
        <w:jc w:val="both"/>
      </w:pPr>
      <w:r w:rsidRPr="00722B46">
        <w:t xml:space="preserve">JRCP (Reinforced):  </w:t>
      </w:r>
    </w:p>
    <w:p w14:paraId="18A20CAC" w14:textId="59097AB4" w:rsidR="00ED7814" w:rsidRPr="00722B46" w:rsidRDefault="00ED7814" w:rsidP="00172E64">
      <w:pPr>
        <w:pStyle w:val="BodyText"/>
        <w:numPr>
          <w:ilvl w:val="1"/>
          <w:numId w:val="107"/>
        </w:numPr>
        <w:ind w:left="1800" w:firstLine="0"/>
        <w:jc w:val="both"/>
      </w:pPr>
      <w:r w:rsidRPr="00722B46">
        <w:t>0.97 – 1.00</w:t>
      </w:r>
      <w:r w:rsidR="008F1FC2">
        <w:rPr>
          <w:szCs w:val="22"/>
        </w:rPr>
        <w:t>:</w:t>
      </w:r>
      <w:r w:rsidRPr="00722B46">
        <w:tab/>
        <w:t>&lt; 25 cracks / lane mile</w:t>
      </w:r>
    </w:p>
    <w:p w14:paraId="1BCCE780" w14:textId="77777777" w:rsidR="00ED7814" w:rsidRPr="00722B46" w:rsidRDefault="00ED7814" w:rsidP="00172E64">
      <w:pPr>
        <w:pStyle w:val="BodyText"/>
        <w:numPr>
          <w:ilvl w:val="1"/>
          <w:numId w:val="107"/>
        </w:numPr>
        <w:ind w:left="1800" w:firstLine="0"/>
        <w:jc w:val="both"/>
      </w:pPr>
      <w:r w:rsidRPr="00722B46">
        <w:t>0.94 – 0.96:</w:t>
      </w:r>
      <w:r w:rsidRPr="00722B46">
        <w:tab/>
        <w:t xml:space="preserve">25 to 75 cracks / lane mile  </w:t>
      </w:r>
    </w:p>
    <w:p w14:paraId="1ED9C8C8" w14:textId="77777777" w:rsidR="00ED7814" w:rsidRPr="00722B46" w:rsidRDefault="00ED7814" w:rsidP="00172E64">
      <w:pPr>
        <w:pStyle w:val="BodyText"/>
        <w:numPr>
          <w:ilvl w:val="1"/>
          <w:numId w:val="107"/>
        </w:numPr>
        <w:ind w:left="1800" w:firstLine="0"/>
        <w:jc w:val="both"/>
      </w:pPr>
      <w:r w:rsidRPr="00722B46">
        <w:t>0.90 – 0.93:</w:t>
      </w:r>
      <w:r w:rsidRPr="00722B46">
        <w:tab/>
        <w:t>&gt; 75 cracks / lane mile</w:t>
      </w:r>
    </w:p>
    <w:p w14:paraId="23F86BBD" w14:textId="77777777" w:rsidR="00ED7814" w:rsidRPr="00722B46" w:rsidRDefault="00ED7814" w:rsidP="00722B46">
      <w:pPr>
        <w:pStyle w:val="BodyText"/>
        <w:ind w:left="1800"/>
        <w:jc w:val="both"/>
      </w:pPr>
      <w:r w:rsidRPr="00722B46">
        <w:t xml:space="preserve">CRCP (Continuously Reinforced):  </w:t>
      </w:r>
    </w:p>
    <w:p w14:paraId="0C49E54A" w14:textId="5BB53DCE" w:rsidR="00ED7814" w:rsidRPr="00722B46" w:rsidRDefault="00ED7814" w:rsidP="00172E64">
      <w:pPr>
        <w:pStyle w:val="BodyText"/>
        <w:numPr>
          <w:ilvl w:val="1"/>
          <w:numId w:val="107"/>
        </w:numPr>
        <w:ind w:left="1800" w:firstLine="0"/>
        <w:jc w:val="both"/>
      </w:pPr>
      <w:r w:rsidRPr="00722B46">
        <w:t>0.97 – 1.00</w:t>
      </w:r>
      <w:r w:rsidR="008F1FC2">
        <w:rPr>
          <w:szCs w:val="22"/>
        </w:rPr>
        <w:t>:</w:t>
      </w:r>
      <w:r w:rsidRPr="00722B46">
        <w:tab/>
        <w:t>&lt; 4 punchouts / lane mile</w:t>
      </w:r>
    </w:p>
    <w:p w14:paraId="09EE0122" w14:textId="77777777" w:rsidR="00ED7814" w:rsidRPr="00722B46" w:rsidRDefault="00ED7814" w:rsidP="00172E64">
      <w:pPr>
        <w:pStyle w:val="BodyText"/>
        <w:numPr>
          <w:ilvl w:val="1"/>
          <w:numId w:val="107"/>
        </w:numPr>
        <w:ind w:left="1800" w:firstLine="0"/>
        <w:jc w:val="both"/>
      </w:pPr>
      <w:r w:rsidRPr="00722B46">
        <w:t>0.94 – 0.96:</w:t>
      </w:r>
      <w:r w:rsidRPr="00722B46">
        <w:tab/>
        <w:t xml:space="preserve">4 to 12 punchouts / lane mile  </w:t>
      </w:r>
    </w:p>
    <w:p w14:paraId="0AAE2024" w14:textId="77777777" w:rsidR="00ED7814" w:rsidRPr="00722B46" w:rsidRDefault="00ED7814" w:rsidP="00172E64">
      <w:pPr>
        <w:pStyle w:val="BodyText"/>
        <w:numPr>
          <w:ilvl w:val="1"/>
          <w:numId w:val="107"/>
        </w:numPr>
        <w:ind w:left="1800" w:firstLine="0"/>
        <w:jc w:val="both"/>
      </w:pPr>
      <w:r w:rsidRPr="00722B46">
        <w:t>0.90 – 0.93:</w:t>
      </w:r>
      <w:r w:rsidRPr="00722B46">
        <w:tab/>
        <w:t>&gt; 12 punchouts / lane mile</w:t>
      </w:r>
    </w:p>
    <w:p w14:paraId="6EFB2402" w14:textId="77777777" w:rsidR="009D30ED" w:rsidRPr="00553F82" w:rsidRDefault="009D30ED" w:rsidP="00172E64">
      <w:pPr>
        <w:pStyle w:val="Heading5"/>
        <w:numPr>
          <w:ilvl w:val="4"/>
          <w:numId w:val="185"/>
        </w:numPr>
        <w:tabs>
          <w:tab w:val="left" w:pos="1800"/>
        </w:tabs>
        <w:spacing w:before="240"/>
        <w:ind w:left="1098" w:hanging="1098"/>
      </w:pPr>
      <w:r w:rsidRPr="00553F82">
        <w:t xml:space="preserve">Option </w:t>
      </w:r>
      <w:r>
        <w:t>2</w:t>
      </w:r>
      <w:r w:rsidRPr="00553F82">
        <w:t>:</w:t>
      </w:r>
      <w:r>
        <w:t xml:space="preserve"> Composite Pavement</w:t>
      </w:r>
      <w:r w:rsidR="00E943EA">
        <w:t xml:space="preserve"> – AASHTO Method</w:t>
      </w:r>
    </w:p>
    <w:p w14:paraId="37628942" w14:textId="77777777" w:rsidR="008F1FC2" w:rsidRDefault="008F1FC2" w:rsidP="009E6563">
      <w:pPr>
        <w:pStyle w:val="BodyText"/>
        <w:spacing w:after="0"/>
        <w:ind w:left="1890"/>
        <w:jc w:val="both"/>
        <w:rPr>
          <w:sz w:val="20"/>
        </w:rPr>
      </w:pPr>
    </w:p>
    <w:p w14:paraId="33A15039" w14:textId="112F16E2" w:rsidR="00ED7814" w:rsidRPr="00722B46" w:rsidRDefault="00ED7814" w:rsidP="00722B46">
      <w:pPr>
        <w:pStyle w:val="BodyText"/>
        <w:jc w:val="center"/>
        <w:rPr>
          <w:vertAlign w:val="subscript"/>
        </w:rPr>
      </w:pPr>
      <w:r w:rsidRPr="00722B46">
        <w:t>D</w:t>
      </w:r>
      <w:r w:rsidRPr="00722B46">
        <w:rPr>
          <w:vertAlign w:val="subscript"/>
        </w:rPr>
        <w:t>eff</w:t>
      </w:r>
      <w:r w:rsidRPr="00722B46">
        <w:t xml:space="preserve"> = (d</w:t>
      </w:r>
      <w:r w:rsidRPr="00722B46">
        <w:rPr>
          <w:vertAlign w:val="subscript"/>
        </w:rPr>
        <w:t>pcc</w:t>
      </w:r>
      <w:r w:rsidRPr="00722B46">
        <w:t xml:space="preserve"> * F</w:t>
      </w:r>
      <w:r w:rsidRPr="00722B46">
        <w:rPr>
          <w:vertAlign w:val="subscript"/>
        </w:rPr>
        <w:t>jc</w:t>
      </w:r>
      <w:r w:rsidRPr="00722B46">
        <w:t xml:space="preserve"> * F</w:t>
      </w:r>
      <w:r w:rsidRPr="00722B46">
        <w:rPr>
          <w:vertAlign w:val="subscript"/>
        </w:rPr>
        <w:t xml:space="preserve">dur </w:t>
      </w:r>
      <w:r w:rsidRPr="00722B46">
        <w:t>) + (h</w:t>
      </w:r>
      <w:r w:rsidRPr="00722B46">
        <w:rPr>
          <w:vertAlign w:val="subscript"/>
        </w:rPr>
        <w:t>pcc</w:t>
      </w:r>
      <w:r w:rsidRPr="00722B46">
        <w:t xml:space="preserve"> * F</w:t>
      </w:r>
      <w:r w:rsidRPr="00722B46">
        <w:rPr>
          <w:vertAlign w:val="subscript"/>
        </w:rPr>
        <w:t>ac</w:t>
      </w:r>
      <w:r w:rsidRPr="00722B46">
        <w:t>)</w:t>
      </w:r>
    </w:p>
    <w:p w14:paraId="4E8F58F9" w14:textId="77777777" w:rsidR="00ED7814" w:rsidRPr="00722B46" w:rsidRDefault="00ED7814" w:rsidP="00722B46">
      <w:pPr>
        <w:pStyle w:val="BodyText"/>
        <w:ind w:left="1800"/>
        <w:jc w:val="both"/>
      </w:pPr>
      <w:r w:rsidRPr="00722B46">
        <w:t>where:</w:t>
      </w:r>
    </w:p>
    <w:p w14:paraId="6C55201F" w14:textId="568D8E3B" w:rsidR="00ED7814" w:rsidRPr="00722B46" w:rsidRDefault="00ED7814" w:rsidP="00722B46">
      <w:pPr>
        <w:pStyle w:val="BodyText"/>
        <w:tabs>
          <w:tab w:val="left" w:pos="2250"/>
          <w:tab w:val="left" w:pos="2520"/>
        </w:tabs>
        <w:ind w:left="2520" w:hanging="720"/>
        <w:jc w:val="both"/>
      </w:pPr>
      <w:r w:rsidRPr="00722B46">
        <w:t>d</w:t>
      </w:r>
      <w:r w:rsidRPr="00722B46">
        <w:rPr>
          <w:vertAlign w:val="subscript"/>
        </w:rPr>
        <w:t>pcc</w:t>
      </w:r>
      <w:r w:rsidRPr="00722B46">
        <w:t xml:space="preserve"> </w:t>
      </w:r>
      <w:r w:rsidR="00E71B93">
        <w:rPr>
          <w:szCs w:val="22"/>
        </w:rPr>
        <w:tab/>
      </w:r>
      <w:r w:rsidRPr="008F1FC2">
        <w:rPr>
          <w:szCs w:val="22"/>
        </w:rPr>
        <w:t xml:space="preserve">= </w:t>
      </w:r>
      <w:r w:rsidR="00E71B93">
        <w:rPr>
          <w:szCs w:val="22"/>
        </w:rPr>
        <w:tab/>
      </w:r>
      <w:smartTag w:uri="urn:schemas-microsoft-com:office:smarttags" w:element="stockticker">
        <w:r w:rsidRPr="00722B46">
          <w:t>PCC</w:t>
        </w:r>
      </w:smartTag>
      <w:r w:rsidRPr="00722B46">
        <w:t xml:space="preserve"> layer thickness</w:t>
      </w:r>
    </w:p>
    <w:p w14:paraId="18BE3309" w14:textId="122C5629" w:rsidR="00ED7814" w:rsidRPr="00722B46" w:rsidRDefault="00ED7814" w:rsidP="00722B46">
      <w:pPr>
        <w:pStyle w:val="BodyText"/>
        <w:tabs>
          <w:tab w:val="left" w:pos="2250"/>
          <w:tab w:val="left" w:pos="2520"/>
        </w:tabs>
        <w:ind w:left="2520" w:hanging="720"/>
      </w:pPr>
      <w:r w:rsidRPr="00722B46">
        <w:t>F</w:t>
      </w:r>
      <w:r w:rsidRPr="00722B46">
        <w:rPr>
          <w:vertAlign w:val="subscript"/>
        </w:rPr>
        <w:t>jc</w:t>
      </w:r>
      <w:r w:rsidRPr="00722B46">
        <w:t xml:space="preserve"> </w:t>
      </w:r>
      <w:r w:rsidR="00E71B93">
        <w:rPr>
          <w:szCs w:val="22"/>
        </w:rPr>
        <w:tab/>
      </w:r>
      <w:r w:rsidRPr="008F1FC2">
        <w:rPr>
          <w:szCs w:val="22"/>
        </w:rPr>
        <w:t xml:space="preserve">= </w:t>
      </w:r>
      <w:r w:rsidR="00E71B93">
        <w:rPr>
          <w:szCs w:val="22"/>
        </w:rPr>
        <w:tab/>
      </w:r>
      <w:r w:rsidRPr="00722B46">
        <w:t xml:space="preserve">Joints and cracks adjustment factor. </w:t>
      </w:r>
      <w:r w:rsidR="009D30ED" w:rsidRPr="00722B46">
        <w:t xml:space="preserve">Refer to </w:t>
      </w:r>
      <w:hyperlink w:anchor="_Option_2:_Rigid" w:history="1">
        <w:r w:rsidR="009D30ED" w:rsidRPr="00722B46">
          <w:rPr>
            <w:rStyle w:val="Hyperlink"/>
          </w:rPr>
          <w:t>Option 2: Rigid Pavement</w:t>
        </w:r>
      </w:hyperlink>
      <w:r w:rsidR="009D30ED" w:rsidRPr="00722B46">
        <w:t xml:space="preserve"> </w:t>
      </w:r>
    </w:p>
    <w:p w14:paraId="53B897CA" w14:textId="49F2141F" w:rsidR="00ED7814" w:rsidRPr="00722B46" w:rsidRDefault="00ED7814" w:rsidP="00722B46">
      <w:pPr>
        <w:pStyle w:val="BodyText"/>
        <w:tabs>
          <w:tab w:val="left" w:pos="2250"/>
          <w:tab w:val="left" w:pos="2520"/>
        </w:tabs>
        <w:ind w:left="2520" w:hanging="720"/>
      </w:pPr>
      <w:r w:rsidRPr="00722B46">
        <w:t>F</w:t>
      </w:r>
      <w:r w:rsidRPr="00722B46">
        <w:rPr>
          <w:vertAlign w:val="subscript"/>
        </w:rPr>
        <w:t>dur</w:t>
      </w:r>
      <w:r w:rsidRPr="00722B46">
        <w:t xml:space="preserve"> </w:t>
      </w:r>
      <w:r w:rsidR="00E71B93">
        <w:rPr>
          <w:szCs w:val="22"/>
        </w:rPr>
        <w:tab/>
      </w:r>
      <w:r w:rsidRPr="008F1FC2">
        <w:rPr>
          <w:szCs w:val="22"/>
        </w:rPr>
        <w:t xml:space="preserve">= </w:t>
      </w:r>
      <w:r w:rsidR="00E71B93">
        <w:rPr>
          <w:szCs w:val="22"/>
        </w:rPr>
        <w:tab/>
      </w:r>
      <w:r w:rsidRPr="00722B46">
        <w:t xml:space="preserve">Durability adjustment factor. </w:t>
      </w:r>
      <w:r w:rsidR="009D30ED" w:rsidRPr="00722B46">
        <w:t xml:space="preserve">Refer to </w:t>
      </w:r>
      <w:hyperlink w:anchor="_Option_2:_Rigid" w:history="1">
        <w:r w:rsidR="009D30ED" w:rsidRPr="00722B46">
          <w:rPr>
            <w:rStyle w:val="Hyperlink"/>
          </w:rPr>
          <w:t>Option 2: Rigid Pavement</w:t>
        </w:r>
      </w:hyperlink>
      <w:r w:rsidR="009D30ED" w:rsidRPr="00722B46">
        <w:t xml:space="preserve">.  </w:t>
      </w:r>
    </w:p>
    <w:p w14:paraId="6BA41113" w14:textId="66FAD010" w:rsidR="00ED7814" w:rsidRPr="00722B46" w:rsidRDefault="00ED7814" w:rsidP="00722B46">
      <w:pPr>
        <w:pStyle w:val="BodyText"/>
        <w:ind w:left="1800"/>
        <w:jc w:val="both"/>
      </w:pPr>
      <w:r w:rsidRPr="00722B46">
        <w:t xml:space="preserve">This value will be estimated based on the visual survey and past history of durability problems.  For the most part, Maryland does not typically have a reactive aggregate problem.  The majority of the problems with composite pavements in Maryland are from reflective cracking, full-depth flexible patches, and flexible pavement widening.  </w:t>
      </w:r>
      <w:smartTag w:uri="urn:schemas-microsoft-com:office:smarttags" w:element="stockticker">
        <w:r w:rsidRPr="00722B46">
          <w:t>PCC</w:t>
        </w:r>
      </w:smartTag>
      <w:r w:rsidRPr="00722B46">
        <w:t xml:space="preserve"> durability factor is typically close to 1.0 for a majority of Maryland roadways.</w:t>
      </w:r>
    </w:p>
    <w:p w14:paraId="102FE6F0" w14:textId="6ABD7D5F" w:rsidR="00ED7814" w:rsidRPr="00722B46" w:rsidRDefault="00ED7814" w:rsidP="00722B46">
      <w:pPr>
        <w:pStyle w:val="BodyText"/>
        <w:tabs>
          <w:tab w:val="left" w:pos="2250"/>
          <w:tab w:val="left" w:pos="2520"/>
        </w:tabs>
        <w:ind w:left="2520" w:hanging="720"/>
      </w:pPr>
      <w:r w:rsidRPr="00722B46">
        <w:lastRenderedPageBreak/>
        <w:t>h</w:t>
      </w:r>
      <w:r w:rsidRPr="00722B46">
        <w:rPr>
          <w:vertAlign w:val="subscript"/>
        </w:rPr>
        <w:t>pcc</w:t>
      </w:r>
      <w:r w:rsidRPr="00722B46">
        <w:t xml:space="preserve"> </w:t>
      </w:r>
      <w:r w:rsidR="00E71B93">
        <w:rPr>
          <w:szCs w:val="22"/>
        </w:rPr>
        <w:tab/>
      </w:r>
      <w:r w:rsidRPr="008F1FC2">
        <w:rPr>
          <w:szCs w:val="22"/>
        </w:rPr>
        <w:t xml:space="preserve">= </w:t>
      </w:r>
      <w:r w:rsidR="00E71B93">
        <w:rPr>
          <w:szCs w:val="22"/>
        </w:rPr>
        <w:tab/>
      </w:r>
      <w:r w:rsidRPr="00722B46">
        <w:t xml:space="preserve">The existing AC layer thickness converted to an equivalent </w:t>
      </w:r>
      <w:smartTag w:uri="urn:schemas-microsoft-com:office:smarttags" w:element="stockticker">
        <w:r w:rsidRPr="00722B46">
          <w:t>PCC</w:t>
        </w:r>
      </w:smartTag>
      <w:r w:rsidRPr="00722B46">
        <w:t xml:space="preserve"> layer thickness  </w:t>
      </w:r>
    </w:p>
    <w:p w14:paraId="337EBA79" w14:textId="727E97C2" w:rsidR="009E6563" w:rsidRDefault="00ED7814" w:rsidP="009E6563">
      <w:pPr>
        <w:pStyle w:val="BodyText"/>
        <w:tabs>
          <w:tab w:val="left" w:pos="2250"/>
          <w:tab w:val="left" w:pos="2520"/>
        </w:tabs>
        <w:ind w:left="1800"/>
        <w:jc w:val="both"/>
        <w:rPr>
          <w:szCs w:val="22"/>
        </w:rPr>
      </w:pPr>
      <w:r w:rsidRPr="00722B46">
        <w:t>F</w:t>
      </w:r>
      <w:r w:rsidRPr="00722B46">
        <w:rPr>
          <w:vertAlign w:val="subscript"/>
        </w:rPr>
        <w:t>ac</w:t>
      </w:r>
      <w:r w:rsidRPr="00722B46">
        <w:t xml:space="preserve"> </w:t>
      </w:r>
      <w:r w:rsidR="009E6563">
        <w:rPr>
          <w:szCs w:val="22"/>
        </w:rPr>
        <w:tab/>
      </w:r>
      <w:r w:rsidRPr="008F1FC2">
        <w:rPr>
          <w:szCs w:val="22"/>
        </w:rPr>
        <w:t xml:space="preserve">= </w:t>
      </w:r>
      <w:r w:rsidR="009E6563">
        <w:rPr>
          <w:szCs w:val="22"/>
        </w:rPr>
        <w:tab/>
      </w:r>
      <w:r w:rsidRPr="00722B46">
        <w:t>The AC quality adjustment factor</w:t>
      </w:r>
    </w:p>
    <w:p w14:paraId="18BB415C" w14:textId="22C1889C" w:rsidR="00ED7814" w:rsidRPr="00722B46" w:rsidRDefault="00ED7814" w:rsidP="00722B46">
      <w:pPr>
        <w:pStyle w:val="BodyText"/>
        <w:ind w:left="1800"/>
        <w:jc w:val="both"/>
      </w:pPr>
      <w:r w:rsidRPr="00722B46">
        <w:t>F</w:t>
      </w:r>
      <w:r w:rsidRPr="00722B46">
        <w:rPr>
          <w:vertAlign w:val="subscript"/>
        </w:rPr>
        <w:t>ac</w:t>
      </w:r>
      <w:r w:rsidRPr="00722B46">
        <w:t xml:space="preserve"> adjusts for the quality of the asphalt concrete (AC) with respect to the effective structural capacity of the composite pavement. F</w:t>
      </w:r>
      <w:r w:rsidRPr="00722B46">
        <w:rPr>
          <w:vertAlign w:val="subscript"/>
        </w:rPr>
        <w:t>ac</w:t>
      </w:r>
      <w:r w:rsidRPr="00722B46">
        <w:t xml:space="preserve"> is a function of the existing AC material </w:t>
      </w:r>
      <w:r w:rsidR="00E71B93" w:rsidRPr="00722B46">
        <w:t>quality</w:t>
      </w:r>
      <w:r w:rsidR="00E71B93">
        <w:rPr>
          <w:szCs w:val="22"/>
        </w:rPr>
        <w:t>-</w:t>
      </w:r>
      <w:r w:rsidRPr="00722B46">
        <w:t xml:space="preserve">related distress in the AC layer.  AC material quality </w:t>
      </w:r>
      <w:r w:rsidRPr="008F1FC2">
        <w:rPr>
          <w:szCs w:val="22"/>
        </w:rPr>
        <w:t>distress include</w:t>
      </w:r>
      <w:r w:rsidR="00E71B93">
        <w:rPr>
          <w:szCs w:val="22"/>
        </w:rPr>
        <w:t>s</w:t>
      </w:r>
      <w:r w:rsidRPr="00722B46">
        <w:t xml:space="preserve"> the following: rutting, stripping, bleeding, weathering/raveling.  Reflective cracking is not considered an AC material quality</w:t>
      </w:r>
      <w:r w:rsidR="00E71B93">
        <w:rPr>
          <w:szCs w:val="22"/>
        </w:rPr>
        <w:t>-</w:t>
      </w:r>
      <w:r w:rsidRPr="00722B46">
        <w:t>related distress for pavement design purposes</w:t>
      </w:r>
      <w:r w:rsidR="00E71B93">
        <w:rPr>
          <w:szCs w:val="22"/>
        </w:rPr>
        <w:t>,</w:t>
      </w:r>
      <w:r w:rsidRPr="00722B46">
        <w:t xml:space="preserve"> although the AC material properties may contribute to the development of the distress.</w:t>
      </w:r>
    </w:p>
    <w:p w14:paraId="62C7146D" w14:textId="11FF13FE" w:rsidR="00ED7814" w:rsidRPr="00722B46" w:rsidRDefault="00ED7814" w:rsidP="00172E64">
      <w:pPr>
        <w:pStyle w:val="BodyText"/>
        <w:numPr>
          <w:ilvl w:val="1"/>
          <w:numId w:val="107"/>
        </w:numPr>
        <w:ind w:left="1800" w:firstLine="0"/>
        <w:jc w:val="both"/>
      </w:pPr>
      <w:r w:rsidRPr="00722B46">
        <w:t xml:space="preserve">1.00: </w:t>
      </w:r>
      <w:r w:rsidRPr="008F1FC2">
        <w:rPr>
          <w:szCs w:val="22"/>
        </w:rPr>
        <w:tab/>
      </w:r>
      <w:r w:rsidR="00E71B93" w:rsidRPr="00722B46">
        <w:tab/>
      </w:r>
      <w:r w:rsidRPr="00722B46">
        <w:t>No AC material quality distress</w:t>
      </w:r>
    </w:p>
    <w:p w14:paraId="0A6787AC" w14:textId="77777777" w:rsidR="00ED7814" w:rsidRPr="00722B46" w:rsidRDefault="00ED7814" w:rsidP="00172E64">
      <w:pPr>
        <w:pStyle w:val="BodyText"/>
        <w:numPr>
          <w:ilvl w:val="1"/>
          <w:numId w:val="107"/>
        </w:numPr>
        <w:ind w:left="1800" w:firstLine="0"/>
        <w:jc w:val="both"/>
      </w:pPr>
      <w:r w:rsidRPr="00722B46">
        <w:t>0.96 – 0.99:</w:t>
      </w:r>
      <w:r w:rsidRPr="00722B46">
        <w:tab/>
        <w:t xml:space="preserve">Minor AC material quality distress  </w:t>
      </w:r>
    </w:p>
    <w:p w14:paraId="40CC7E71" w14:textId="77777777" w:rsidR="00ED7814" w:rsidRPr="00722B46" w:rsidRDefault="00ED7814" w:rsidP="00172E64">
      <w:pPr>
        <w:pStyle w:val="BodyText"/>
        <w:numPr>
          <w:ilvl w:val="1"/>
          <w:numId w:val="107"/>
        </w:numPr>
        <w:ind w:left="1800" w:firstLine="0"/>
        <w:jc w:val="both"/>
      </w:pPr>
      <w:r w:rsidRPr="00722B46">
        <w:t>0.88 – 0.95:</w:t>
      </w:r>
      <w:r w:rsidRPr="00722B46">
        <w:tab/>
        <w:t>Significant AC material quality distress</w:t>
      </w:r>
    </w:p>
    <w:p w14:paraId="001B8E4B" w14:textId="77777777" w:rsidR="00ED7814" w:rsidRPr="00722B46" w:rsidRDefault="00ED7814" w:rsidP="00172E64">
      <w:pPr>
        <w:pStyle w:val="BodyText"/>
        <w:numPr>
          <w:ilvl w:val="1"/>
          <w:numId w:val="107"/>
        </w:numPr>
        <w:ind w:left="1800" w:firstLine="0"/>
        <w:jc w:val="both"/>
      </w:pPr>
      <w:r w:rsidRPr="00722B46">
        <w:t>0.80 – 0.88:</w:t>
      </w:r>
      <w:r w:rsidRPr="00722B46">
        <w:tab/>
        <w:t>Severe AC material quality distress</w:t>
      </w:r>
    </w:p>
    <w:p w14:paraId="3C2E9389" w14:textId="77777777" w:rsidR="00ED7814" w:rsidRPr="00722B46" w:rsidRDefault="00236660" w:rsidP="00722B46">
      <w:pPr>
        <w:pStyle w:val="BodyText"/>
        <w:ind w:left="1800"/>
        <w:jc w:val="both"/>
      </w:pPr>
      <w:r w:rsidRPr="00722B46">
        <w:t>U</w:t>
      </w:r>
      <w:r w:rsidR="00ED7814" w:rsidRPr="00722B46">
        <w:t>se the following table to determine F</w:t>
      </w:r>
      <w:r w:rsidR="00ED7814" w:rsidRPr="00722B46">
        <w:rPr>
          <w:vertAlign w:val="subscript"/>
        </w:rPr>
        <w:t>ac</w:t>
      </w:r>
      <w:r w:rsidR="00ED7814" w:rsidRPr="00722B46">
        <w:t>:</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3"/>
        <w:gridCol w:w="1052"/>
        <w:gridCol w:w="810"/>
        <w:gridCol w:w="900"/>
        <w:gridCol w:w="990"/>
        <w:gridCol w:w="1170"/>
      </w:tblGrid>
      <w:tr w:rsidR="00236660" w:rsidRPr="00E71B93" w14:paraId="48F2DF0E" w14:textId="77777777" w:rsidTr="00722B46">
        <w:trPr>
          <w:trHeight w:val="288"/>
        </w:trPr>
        <w:tc>
          <w:tcPr>
            <w:tcW w:w="2875" w:type="dxa"/>
            <w:gridSpan w:val="3"/>
            <w:shd w:val="clear" w:color="auto" w:fill="D9D9D9"/>
            <w:vAlign w:val="center"/>
          </w:tcPr>
          <w:p w14:paraId="61DEC2C4" w14:textId="77777777" w:rsidR="00236660" w:rsidRPr="00722B46" w:rsidRDefault="00236660" w:rsidP="00983E96">
            <w:pPr>
              <w:jc w:val="center"/>
              <w:rPr>
                <w:rFonts w:ascii="Arial" w:hAnsi="Arial"/>
                <w:b/>
                <w:sz w:val="22"/>
              </w:rPr>
            </w:pPr>
            <w:r w:rsidRPr="00722B46">
              <w:rPr>
                <w:rFonts w:ascii="Arial" w:hAnsi="Arial"/>
                <w:b/>
                <w:sz w:val="22"/>
              </w:rPr>
              <w:t>&lt; 25% Weathering</w:t>
            </w:r>
          </w:p>
        </w:tc>
        <w:tc>
          <w:tcPr>
            <w:tcW w:w="3060" w:type="dxa"/>
            <w:gridSpan w:val="3"/>
            <w:shd w:val="clear" w:color="auto" w:fill="D9D9D9"/>
            <w:vAlign w:val="center"/>
          </w:tcPr>
          <w:p w14:paraId="39E2B2D1" w14:textId="77777777" w:rsidR="00236660" w:rsidRPr="00722B46" w:rsidRDefault="00236660" w:rsidP="00983E96">
            <w:pPr>
              <w:jc w:val="center"/>
              <w:rPr>
                <w:rFonts w:ascii="Arial" w:hAnsi="Arial"/>
                <w:b/>
                <w:sz w:val="22"/>
              </w:rPr>
            </w:pPr>
            <w:r w:rsidRPr="00722B46">
              <w:rPr>
                <w:rFonts w:ascii="Arial" w:hAnsi="Arial"/>
                <w:b/>
                <w:sz w:val="22"/>
              </w:rPr>
              <w:t>&gt;= 25% Weathering</w:t>
            </w:r>
          </w:p>
        </w:tc>
      </w:tr>
      <w:tr w:rsidR="00236660" w:rsidRPr="00E71B93" w14:paraId="736F6192" w14:textId="77777777" w:rsidTr="00722B46">
        <w:trPr>
          <w:trHeight w:val="288"/>
        </w:trPr>
        <w:tc>
          <w:tcPr>
            <w:tcW w:w="2875" w:type="dxa"/>
            <w:gridSpan w:val="3"/>
            <w:shd w:val="clear" w:color="auto" w:fill="D9D9D9"/>
            <w:vAlign w:val="center"/>
          </w:tcPr>
          <w:p w14:paraId="286401D7" w14:textId="77777777" w:rsidR="00236660" w:rsidRPr="00722B46" w:rsidRDefault="00236660" w:rsidP="00236660">
            <w:pPr>
              <w:jc w:val="center"/>
              <w:rPr>
                <w:rFonts w:ascii="Arial" w:hAnsi="Arial"/>
                <w:b/>
                <w:sz w:val="22"/>
              </w:rPr>
            </w:pPr>
            <w:r w:rsidRPr="00722B46">
              <w:rPr>
                <w:rFonts w:ascii="Arial" w:hAnsi="Arial"/>
                <w:b/>
                <w:sz w:val="22"/>
              </w:rPr>
              <w:t>% Rutting</w:t>
            </w:r>
          </w:p>
        </w:tc>
        <w:tc>
          <w:tcPr>
            <w:tcW w:w="3060" w:type="dxa"/>
            <w:gridSpan w:val="3"/>
            <w:shd w:val="clear" w:color="auto" w:fill="D9D9D9"/>
            <w:vAlign w:val="center"/>
          </w:tcPr>
          <w:p w14:paraId="1FA76235" w14:textId="77777777" w:rsidR="00236660" w:rsidRPr="00722B46" w:rsidRDefault="00236660" w:rsidP="00983E96">
            <w:pPr>
              <w:jc w:val="center"/>
              <w:rPr>
                <w:rFonts w:ascii="Arial" w:hAnsi="Arial"/>
                <w:b/>
                <w:sz w:val="22"/>
              </w:rPr>
            </w:pPr>
            <w:r w:rsidRPr="00722B46">
              <w:rPr>
                <w:rFonts w:ascii="Arial" w:hAnsi="Arial"/>
                <w:b/>
                <w:sz w:val="22"/>
              </w:rPr>
              <w:t>% Rutting</w:t>
            </w:r>
          </w:p>
        </w:tc>
      </w:tr>
      <w:tr w:rsidR="00115674" w:rsidRPr="00E71B93" w14:paraId="0511CDCA" w14:textId="77777777" w:rsidTr="00E71B93">
        <w:trPr>
          <w:trHeight w:val="288"/>
        </w:trPr>
        <w:tc>
          <w:tcPr>
            <w:tcW w:w="1013" w:type="dxa"/>
            <w:shd w:val="clear" w:color="auto" w:fill="D9D9D9"/>
            <w:vAlign w:val="center"/>
          </w:tcPr>
          <w:p w14:paraId="12FF0179" w14:textId="77777777" w:rsidR="00236660" w:rsidRPr="00722B46" w:rsidRDefault="00236660" w:rsidP="00983E96">
            <w:pPr>
              <w:jc w:val="center"/>
              <w:rPr>
                <w:rFonts w:ascii="Arial" w:hAnsi="Arial"/>
                <w:b/>
                <w:sz w:val="22"/>
              </w:rPr>
            </w:pPr>
            <w:r w:rsidRPr="00722B46">
              <w:rPr>
                <w:rFonts w:ascii="Arial" w:hAnsi="Arial"/>
                <w:b/>
                <w:sz w:val="22"/>
              </w:rPr>
              <w:t>&lt;10%</w:t>
            </w:r>
          </w:p>
        </w:tc>
        <w:tc>
          <w:tcPr>
            <w:tcW w:w="1052" w:type="dxa"/>
            <w:shd w:val="clear" w:color="auto" w:fill="D9D9D9"/>
            <w:vAlign w:val="center"/>
          </w:tcPr>
          <w:p w14:paraId="5BE833EE" w14:textId="77777777" w:rsidR="00236660" w:rsidRPr="00722B46" w:rsidRDefault="00236660" w:rsidP="00983E96">
            <w:pPr>
              <w:jc w:val="center"/>
              <w:rPr>
                <w:rFonts w:ascii="Arial" w:hAnsi="Arial"/>
                <w:b/>
                <w:sz w:val="22"/>
              </w:rPr>
            </w:pPr>
            <w:r w:rsidRPr="00722B46">
              <w:rPr>
                <w:rFonts w:ascii="Arial" w:hAnsi="Arial"/>
                <w:b/>
                <w:sz w:val="22"/>
              </w:rPr>
              <w:t>10-25%</w:t>
            </w:r>
          </w:p>
        </w:tc>
        <w:tc>
          <w:tcPr>
            <w:tcW w:w="810" w:type="dxa"/>
            <w:shd w:val="clear" w:color="auto" w:fill="D9D9D9"/>
            <w:vAlign w:val="center"/>
          </w:tcPr>
          <w:p w14:paraId="761D1B68" w14:textId="77777777" w:rsidR="00236660" w:rsidRPr="00722B46" w:rsidRDefault="00236660" w:rsidP="00983E96">
            <w:pPr>
              <w:jc w:val="center"/>
              <w:rPr>
                <w:rFonts w:ascii="Arial" w:hAnsi="Arial"/>
                <w:b/>
                <w:sz w:val="22"/>
              </w:rPr>
            </w:pPr>
            <w:r w:rsidRPr="00722B46">
              <w:rPr>
                <w:rFonts w:ascii="Arial" w:hAnsi="Arial"/>
                <w:b/>
                <w:sz w:val="22"/>
              </w:rPr>
              <w:t>&gt;25%</w:t>
            </w:r>
          </w:p>
        </w:tc>
        <w:tc>
          <w:tcPr>
            <w:tcW w:w="900" w:type="dxa"/>
            <w:shd w:val="clear" w:color="auto" w:fill="D9D9D9"/>
            <w:vAlign w:val="center"/>
          </w:tcPr>
          <w:p w14:paraId="55B15ED7" w14:textId="77777777" w:rsidR="00236660" w:rsidRPr="00722B46" w:rsidRDefault="00236660" w:rsidP="00983E96">
            <w:pPr>
              <w:jc w:val="center"/>
              <w:rPr>
                <w:rFonts w:ascii="Arial" w:hAnsi="Arial"/>
                <w:b/>
                <w:sz w:val="22"/>
              </w:rPr>
            </w:pPr>
            <w:r w:rsidRPr="00722B46">
              <w:rPr>
                <w:rFonts w:ascii="Arial" w:hAnsi="Arial"/>
                <w:b/>
                <w:sz w:val="22"/>
              </w:rPr>
              <w:t>&lt;10%</w:t>
            </w:r>
          </w:p>
        </w:tc>
        <w:tc>
          <w:tcPr>
            <w:tcW w:w="990" w:type="dxa"/>
            <w:shd w:val="clear" w:color="auto" w:fill="D9D9D9"/>
            <w:vAlign w:val="center"/>
          </w:tcPr>
          <w:p w14:paraId="109033E7" w14:textId="77777777" w:rsidR="00236660" w:rsidRPr="00722B46" w:rsidRDefault="00236660" w:rsidP="00983E96">
            <w:pPr>
              <w:jc w:val="center"/>
              <w:rPr>
                <w:rFonts w:ascii="Arial" w:hAnsi="Arial"/>
                <w:b/>
                <w:sz w:val="22"/>
              </w:rPr>
            </w:pPr>
            <w:r w:rsidRPr="00722B46">
              <w:rPr>
                <w:rFonts w:ascii="Arial" w:hAnsi="Arial"/>
                <w:b/>
                <w:sz w:val="22"/>
              </w:rPr>
              <w:t>10-25%</w:t>
            </w:r>
          </w:p>
        </w:tc>
        <w:tc>
          <w:tcPr>
            <w:tcW w:w="1170" w:type="dxa"/>
            <w:shd w:val="clear" w:color="auto" w:fill="D9D9D9"/>
            <w:vAlign w:val="center"/>
          </w:tcPr>
          <w:p w14:paraId="0723D793" w14:textId="77777777" w:rsidR="00236660" w:rsidRPr="00722B46" w:rsidRDefault="00236660" w:rsidP="00983E96">
            <w:pPr>
              <w:jc w:val="center"/>
              <w:rPr>
                <w:rFonts w:ascii="Arial" w:hAnsi="Arial"/>
                <w:b/>
                <w:sz w:val="22"/>
              </w:rPr>
            </w:pPr>
            <w:r w:rsidRPr="00722B46">
              <w:rPr>
                <w:rFonts w:ascii="Arial" w:hAnsi="Arial"/>
                <w:b/>
                <w:sz w:val="22"/>
              </w:rPr>
              <w:t>&gt;25%</w:t>
            </w:r>
          </w:p>
        </w:tc>
      </w:tr>
      <w:tr w:rsidR="00236660" w:rsidRPr="00E71B93" w14:paraId="144A342C" w14:textId="77777777" w:rsidTr="004C0B53">
        <w:trPr>
          <w:trHeight w:val="288"/>
        </w:trPr>
        <w:tc>
          <w:tcPr>
            <w:tcW w:w="1013" w:type="dxa"/>
            <w:vAlign w:val="center"/>
          </w:tcPr>
          <w:p w14:paraId="17107861" w14:textId="77777777" w:rsidR="00236660" w:rsidRPr="00722B46" w:rsidRDefault="00236660" w:rsidP="00983E96">
            <w:pPr>
              <w:jc w:val="center"/>
              <w:rPr>
                <w:rFonts w:ascii="Arial" w:hAnsi="Arial"/>
                <w:sz w:val="22"/>
              </w:rPr>
            </w:pPr>
            <w:r w:rsidRPr="00722B46">
              <w:rPr>
                <w:rFonts w:ascii="Arial" w:hAnsi="Arial"/>
                <w:sz w:val="22"/>
              </w:rPr>
              <w:t>1.0</w:t>
            </w:r>
          </w:p>
        </w:tc>
        <w:tc>
          <w:tcPr>
            <w:tcW w:w="1052" w:type="dxa"/>
            <w:vAlign w:val="center"/>
          </w:tcPr>
          <w:p w14:paraId="6DE6EB57" w14:textId="77777777" w:rsidR="00236660" w:rsidRPr="00722B46" w:rsidRDefault="00236660" w:rsidP="00983E96">
            <w:pPr>
              <w:jc w:val="center"/>
              <w:rPr>
                <w:rFonts w:ascii="Arial" w:hAnsi="Arial"/>
                <w:sz w:val="22"/>
              </w:rPr>
            </w:pPr>
            <w:r w:rsidRPr="00722B46">
              <w:rPr>
                <w:rFonts w:ascii="Arial" w:hAnsi="Arial"/>
                <w:sz w:val="22"/>
              </w:rPr>
              <w:t>0.95</w:t>
            </w:r>
          </w:p>
        </w:tc>
        <w:tc>
          <w:tcPr>
            <w:tcW w:w="810" w:type="dxa"/>
            <w:vAlign w:val="center"/>
          </w:tcPr>
          <w:p w14:paraId="4EDF5B18" w14:textId="77777777" w:rsidR="00236660" w:rsidRPr="00722B46" w:rsidRDefault="00236660" w:rsidP="00983E96">
            <w:pPr>
              <w:jc w:val="center"/>
              <w:rPr>
                <w:rFonts w:ascii="Arial" w:hAnsi="Arial"/>
                <w:sz w:val="22"/>
              </w:rPr>
            </w:pPr>
            <w:r w:rsidRPr="00722B46">
              <w:rPr>
                <w:rFonts w:ascii="Arial" w:hAnsi="Arial"/>
                <w:sz w:val="22"/>
              </w:rPr>
              <w:t>0.80</w:t>
            </w:r>
          </w:p>
        </w:tc>
        <w:tc>
          <w:tcPr>
            <w:tcW w:w="900" w:type="dxa"/>
            <w:vAlign w:val="center"/>
          </w:tcPr>
          <w:p w14:paraId="69B69689" w14:textId="77777777" w:rsidR="00236660" w:rsidRPr="00722B46" w:rsidRDefault="00236660" w:rsidP="00983E96">
            <w:pPr>
              <w:jc w:val="center"/>
              <w:rPr>
                <w:rFonts w:ascii="Arial" w:hAnsi="Arial"/>
                <w:sz w:val="22"/>
              </w:rPr>
            </w:pPr>
            <w:r w:rsidRPr="00722B46">
              <w:rPr>
                <w:rFonts w:ascii="Arial" w:hAnsi="Arial"/>
                <w:sz w:val="22"/>
              </w:rPr>
              <w:t>0.97</w:t>
            </w:r>
          </w:p>
        </w:tc>
        <w:tc>
          <w:tcPr>
            <w:tcW w:w="990" w:type="dxa"/>
            <w:vAlign w:val="center"/>
          </w:tcPr>
          <w:p w14:paraId="1CB9F86A" w14:textId="77777777" w:rsidR="00236660" w:rsidRPr="00722B46" w:rsidRDefault="00236660" w:rsidP="00983E96">
            <w:pPr>
              <w:jc w:val="center"/>
              <w:rPr>
                <w:rFonts w:ascii="Arial" w:hAnsi="Arial"/>
                <w:sz w:val="22"/>
              </w:rPr>
            </w:pPr>
            <w:r w:rsidRPr="00722B46">
              <w:rPr>
                <w:rFonts w:ascii="Arial" w:hAnsi="Arial"/>
                <w:sz w:val="22"/>
              </w:rPr>
              <w:t>0.90</w:t>
            </w:r>
          </w:p>
        </w:tc>
        <w:tc>
          <w:tcPr>
            <w:tcW w:w="1170" w:type="dxa"/>
            <w:vAlign w:val="center"/>
          </w:tcPr>
          <w:p w14:paraId="257BAA8A" w14:textId="77777777" w:rsidR="00236660" w:rsidRPr="00722B46" w:rsidRDefault="00236660" w:rsidP="00983E96">
            <w:pPr>
              <w:jc w:val="center"/>
              <w:rPr>
                <w:rFonts w:ascii="Arial" w:hAnsi="Arial"/>
                <w:sz w:val="22"/>
              </w:rPr>
            </w:pPr>
            <w:r w:rsidRPr="00722B46">
              <w:rPr>
                <w:rFonts w:ascii="Arial" w:hAnsi="Arial"/>
                <w:sz w:val="22"/>
              </w:rPr>
              <w:t>0.80</w:t>
            </w:r>
          </w:p>
        </w:tc>
      </w:tr>
    </w:tbl>
    <w:p w14:paraId="7DC02CC2" w14:textId="77777777" w:rsidR="00ED7814" w:rsidRDefault="00ED7814" w:rsidP="00A42B5F">
      <w:pPr>
        <w:pStyle w:val="ListBullet"/>
        <w:rPr>
          <w:highlight w:val="yellow"/>
        </w:rPr>
      </w:pPr>
    </w:p>
    <w:p w14:paraId="50821832" w14:textId="77777777" w:rsidR="0067633B" w:rsidRPr="002872AC" w:rsidRDefault="0067633B" w:rsidP="00172E64">
      <w:pPr>
        <w:pStyle w:val="Heading5"/>
        <w:numPr>
          <w:ilvl w:val="4"/>
          <w:numId w:val="185"/>
        </w:numPr>
        <w:tabs>
          <w:tab w:val="left" w:pos="1800"/>
        </w:tabs>
        <w:ind w:left="1098" w:hanging="1098"/>
      </w:pPr>
      <w:bookmarkStart w:id="1301" w:name="_Hlk69302824"/>
      <w:r w:rsidRPr="002872AC">
        <w:t xml:space="preserve">HMA Overlay </w:t>
      </w:r>
    </w:p>
    <w:p w14:paraId="29E70A9C" w14:textId="072117E4" w:rsidR="00ED7814" w:rsidRPr="00807DA8" w:rsidRDefault="00ED7814" w:rsidP="00172E64">
      <w:pPr>
        <w:pStyle w:val="ListNumber"/>
        <w:numPr>
          <w:ilvl w:val="0"/>
          <w:numId w:val="108"/>
        </w:numPr>
        <w:tabs>
          <w:tab w:val="clear" w:pos="1872"/>
        </w:tabs>
        <w:spacing w:before="240"/>
        <w:ind w:left="1080" w:hanging="1080"/>
        <w:jc w:val="both"/>
      </w:pPr>
      <w:r w:rsidRPr="002872AC">
        <w:t>Calculate the required structural capacity (SC</w:t>
      </w:r>
      <w:r w:rsidRPr="002872AC">
        <w:rPr>
          <w:vertAlign w:val="subscript"/>
        </w:rPr>
        <w:t>f</w:t>
      </w:r>
      <w:r w:rsidRPr="002872AC">
        <w:t>)</w:t>
      </w:r>
      <w:r w:rsidRPr="002872AC">
        <w:rPr>
          <w:vertAlign w:val="subscript"/>
        </w:rPr>
        <w:t xml:space="preserve"> </w:t>
      </w:r>
      <w:r w:rsidRPr="002872AC">
        <w:t>for future traffic for each analysis section. SC</w:t>
      </w:r>
      <w:r w:rsidRPr="002872AC">
        <w:rPr>
          <w:vertAlign w:val="subscript"/>
        </w:rPr>
        <w:t>f</w:t>
      </w:r>
      <w:r w:rsidRPr="002872AC">
        <w:t xml:space="preserve"> is obtained from Figure 3.7 and the nomograph equations on page II-45</w:t>
      </w:r>
      <w:r w:rsidR="00E71B93">
        <w:t>,</w:t>
      </w:r>
      <w:r w:rsidRPr="002872AC">
        <w:t xml:space="preserve"> in the </w:t>
      </w:r>
      <w:r w:rsidR="00B656FD" w:rsidRPr="002872AC">
        <w:t xml:space="preserve">1993 </w:t>
      </w:r>
      <w:r w:rsidRPr="002872AC">
        <w:t>AASHTO Guide</w:t>
      </w:r>
      <w:r w:rsidR="00B656FD" w:rsidRPr="002872AC">
        <w:t xml:space="preserve"> </w:t>
      </w:r>
      <w:r w:rsidRPr="002872AC">
        <w:t xml:space="preserve">for rigid/composite sections.  </w:t>
      </w:r>
      <w:r w:rsidR="002872AC">
        <w:t>For all</w:t>
      </w:r>
      <w:r w:rsidRPr="002872AC">
        <w:t xml:space="preserve"> design inputs required to use the nomograph or equation on page II-45</w:t>
      </w:r>
      <w:r w:rsidR="002872AC" w:rsidRPr="002872AC">
        <w:rPr>
          <w:szCs w:val="22"/>
        </w:rPr>
        <w:t xml:space="preserve"> </w:t>
      </w:r>
      <w:r w:rsidR="002872AC" w:rsidRPr="00E6719D">
        <w:rPr>
          <w:szCs w:val="22"/>
        </w:rPr>
        <w:t xml:space="preserve">refer to </w:t>
      </w:r>
      <w:hyperlink w:anchor="_Design_Inputs" w:history="1">
        <w:r w:rsidR="002872AC" w:rsidRPr="00E6719D">
          <w:rPr>
            <w:rStyle w:val="Hyperlink"/>
            <w:szCs w:val="22"/>
          </w:rPr>
          <w:t>Design Inputs</w:t>
        </w:r>
      </w:hyperlink>
      <w:r w:rsidR="002872AC">
        <w:t>, except for the J Factor (J), PCC Elastic Modulus (E)</w:t>
      </w:r>
      <w:r w:rsidR="00E71B93">
        <w:t>,</w:t>
      </w:r>
      <w:r w:rsidR="002872AC">
        <w:t xml:space="preserve"> and PCC Modulus of Rupture (S</w:t>
      </w:r>
      <w:r w:rsidR="00E71B93">
        <w:t>'</w:t>
      </w:r>
      <w:r w:rsidR="002872AC">
        <w:t>c)</w:t>
      </w:r>
      <w:r w:rsidR="002872AC" w:rsidRPr="00E6719D">
        <w:rPr>
          <w:szCs w:val="22"/>
        </w:rPr>
        <w:t>.</w:t>
      </w:r>
      <w:r w:rsidR="002872AC">
        <w:rPr>
          <w:szCs w:val="22"/>
        </w:rPr>
        <w:t xml:space="preserve">  These values should be obtained as per </w:t>
      </w:r>
      <w:hyperlink w:anchor="_FWD_Data_Analysis_2" w:history="1">
        <w:r w:rsidR="002872AC" w:rsidRPr="002872AC">
          <w:rPr>
            <w:rStyle w:val="Hyperlink"/>
            <w:szCs w:val="22"/>
          </w:rPr>
          <w:t>FWD Data Analysis Procedure</w:t>
        </w:r>
      </w:hyperlink>
      <w:r w:rsidR="002872AC">
        <w:rPr>
          <w:szCs w:val="22"/>
        </w:rPr>
        <w:t>.</w:t>
      </w:r>
      <w:r w:rsidR="00402869">
        <w:rPr>
          <w:szCs w:val="22"/>
        </w:rPr>
        <w:t xml:space="preserve">  When FWD data is not available, use 3.2 for the J Factor except for the situations where at least 10% of reflective cracks will have bumps or depressions after patching operations.  For those situations, J shall be 3.5. </w:t>
      </w:r>
    </w:p>
    <w:bookmarkEnd w:id="1301"/>
    <w:p w14:paraId="1F8ED159" w14:textId="77777777" w:rsidR="00807DA8" w:rsidRPr="0098552F" w:rsidRDefault="00807DA8" w:rsidP="00172E64">
      <w:pPr>
        <w:pStyle w:val="ListNumber"/>
        <w:numPr>
          <w:ilvl w:val="0"/>
          <w:numId w:val="108"/>
        </w:numPr>
        <w:tabs>
          <w:tab w:val="clear" w:pos="1872"/>
        </w:tabs>
        <w:ind w:left="1080" w:hanging="1080"/>
        <w:jc w:val="both"/>
      </w:pPr>
      <w:r w:rsidRPr="00E6719D">
        <w:t xml:space="preserve">Identify pre-overlay needs as per </w:t>
      </w:r>
      <w:hyperlink w:anchor="_Supplemental_Treatment_Information_1" w:history="1">
        <w:r w:rsidRPr="00E6719D">
          <w:rPr>
            <w:rStyle w:val="Hyperlink"/>
          </w:rPr>
          <w:t>Supplemental Treatment Information</w:t>
        </w:r>
      </w:hyperlink>
      <w:r w:rsidRPr="00E6719D">
        <w:t xml:space="preserve"> and </w:t>
      </w:r>
      <w:hyperlink w:anchor="_Pre-Overlay_Repair_Guidelines" w:history="1">
        <w:r w:rsidRPr="00E6719D">
          <w:rPr>
            <w:rStyle w:val="Hyperlink"/>
          </w:rPr>
          <w:t>Pre-Overlay Repair Guidelines</w:t>
        </w:r>
      </w:hyperlink>
      <w:r w:rsidRPr="00E6719D">
        <w:t xml:space="preserve"> for each selected, applicable repair alternative.  Also, consider drainage treatments from </w:t>
      </w:r>
      <w:hyperlink w:anchor="_Pavement_Drainage" w:history="1">
        <w:r w:rsidRPr="00E6719D">
          <w:rPr>
            <w:rStyle w:val="Hyperlink"/>
          </w:rPr>
          <w:t>Pavement Drainage</w:t>
        </w:r>
      </w:hyperlink>
      <w:r w:rsidRPr="00E6719D">
        <w:t xml:space="preserve"> that wou</w:t>
      </w:r>
      <w:r w:rsidRPr="0098552F">
        <w:t xml:space="preserve">ld be appropriate repairs and/or rehabilitation strategies to address the source of any drainage issues.    </w:t>
      </w:r>
    </w:p>
    <w:p w14:paraId="45021288" w14:textId="56C0E41A" w:rsidR="00807DA8" w:rsidRPr="00807DA8" w:rsidRDefault="00807DA8" w:rsidP="00172E64">
      <w:pPr>
        <w:pStyle w:val="ListNumber"/>
        <w:numPr>
          <w:ilvl w:val="0"/>
          <w:numId w:val="108"/>
        </w:numPr>
        <w:tabs>
          <w:tab w:val="clear" w:pos="1872"/>
        </w:tabs>
        <w:ind w:left="1080" w:hanging="1080"/>
        <w:jc w:val="both"/>
      </w:pPr>
      <w:r w:rsidRPr="0098552F">
        <w:t xml:space="preserve">If milling or grinding </w:t>
      </w:r>
      <w:r>
        <w:t xml:space="preserve">of composite pavements </w:t>
      </w:r>
      <w:r w:rsidRPr="0098552F">
        <w:t>is to be used as a pre-overlay repair</w:t>
      </w:r>
      <w:r w:rsidR="009E6563">
        <w:t>,</w:t>
      </w:r>
      <w:r w:rsidRPr="0098552F">
        <w:t xml:space="preserve"> t</w:t>
      </w:r>
      <w:r w:rsidRPr="00807DA8">
        <w:t>hen recalculate SC</w:t>
      </w:r>
      <w:r w:rsidRPr="00807DA8">
        <w:rPr>
          <w:vertAlign w:val="subscript"/>
        </w:rPr>
        <w:t>o</w:t>
      </w:r>
      <w:r w:rsidRPr="00807DA8">
        <w:t xml:space="preserve"> as follows:</w:t>
      </w:r>
    </w:p>
    <w:p w14:paraId="7B8DC504" w14:textId="77777777" w:rsidR="00807DA8" w:rsidRPr="00807DA8" w:rsidRDefault="00807DA8" w:rsidP="00722B46">
      <w:pPr>
        <w:pStyle w:val="ListParagraph"/>
        <w:ind w:left="1080" w:hanging="1080"/>
        <w:jc w:val="both"/>
        <w:rPr>
          <w:rFonts w:ascii="Arial" w:hAnsi="Arial"/>
        </w:rPr>
      </w:pPr>
    </w:p>
    <w:p w14:paraId="08CC33F3" w14:textId="77777777" w:rsidR="00807DA8" w:rsidRPr="00807DA8" w:rsidRDefault="00807DA8" w:rsidP="00722B46">
      <w:pPr>
        <w:pStyle w:val="ListParagraph"/>
        <w:ind w:left="1080" w:hanging="1080"/>
        <w:jc w:val="center"/>
        <w:rPr>
          <w:rFonts w:ascii="Arial" w:hAnsi="Arial"/>
          <w:sz w:val="22"/>
          <w:szCs w:val="22"/>
          <w:vertAlign w:val="subscript"/>
        </w:rPr>
      </w:pPr>
      <w:r w:rsidRPr="00807DA8">
        <w:rPr>
          <w:rFonts w:ascii="Arial" w:hAnsi="Arial"/>
          <w:sz w:val="22"/>
          <w:szCs w:val="22"/>
        </w:rPr>
        <w:t>SC</w:t>
      </w:r>
      <w:r w:rsidRPr="00807DA8">
        <w:rPr>
          <w:rFonts w:ascii="Arial" w:hAnsi="Arial"/>
          <w:sz w:val="22"/>
          <w:szCs w:val="22"/>
          <w:vertAlign w:val="subscript"/>
        </w:rPr>
        <w:t>o(ar)</w:t>
      </w:r>
      <w:r w:rsidRPr="00807DA8">
        <w:rPr>
          <w:rFonts w:ascii="Arial" w:hAnsi="Arial"/>
          <w:sz w:val="22"/>
          <w:szCs w:val="22"/>
        </w:rPr>
        <w:t xml:space="preserve"> = SC</w:t>
      </w:r>
      <w:r w:rsidRPr="00807DA8">
        <w:rPr>
          <w:rFonts w:ascii="Arial" w:hAnsi="Arial"/>
          <w:sz w:val="22"/>
          <w:szCs w:val="22"/>
          <w:vertAlign w:val="subscript"/>
        </w:rPr>
        <w:t>o(br)</w:t>
      </w:r>
      <w:r w:rsidRPr="00807DA8">
        <w:rPr>
          <w:rFonts w:ascii="Arial" w:hAnsi="Arial"/>
          <w:sz w:val="22"/>
          <w:szCs w:val="22"/>
        </w:rPr>
        <w:t xml:space="preserve"> – h</w:t>
      </w:r>
      <w:r w:rsidRPr="00807DA8">
        <w:rPr>
          <w:rFonts w:ascii="Arial" w:hAnsi="Arial"/>
          <w:sz w:val="22"/>
          <w:szCs w:val="22"/>
          <w:vertAlign w:val="subscript"/>
        </w:rPr>
        <w:t>rem</w:t>
      </w:r>
      <w:r w:rsidRPr="00807DA8">
        <w:rPr>
          <w:rFonts w:ascii="Arial" w:hAnsi="Arial"/>
          <w:sz w:val="22"/>
          <w:szCs w:val="22"/>
        </w:rPr>
        <w:t xml:space="preserve"> / 2</w:t>
      </w:r>
    </w:p>
    <w:p w14:paraId="1CF1B0BE" w14:textId="77777777" w:rsidR="00807DA8" w:rsidRPr="00807DA8" w:rsidRDefault="00807DA8" w:rsidP="00722B46">
      <w:pPr>
        <w:pStyle w:val="ListParagraph"/>
        <w:ind w:left="1080"/>
        <w:jc w:val="both"/>
        <w:rPr>
          <w:rFonts w:ascii="Arial" w:hAnsi="Arial"/>
          <w:sz w:val="22"/>
          <w:szCs w:val="22"/>
        </w:rPr>
      </w:pPr>
      <w:r w:rsidRPr="00807DA8">
        <w:rPr>
          <w:rFonts w:ascii="Arial" w:hAnsi="Arial"/>
          <w:sz w:val="22"/>
          <w:szCs w:val="22"/>
        </w:rPr>
        <w:t>where:</w:t>
      </w:r>
    </w:p>
    <w:p w14:paraId="7F163D17" w14:textId="0200BB20" w:rsidR="00807DA8" w:rsidRPr="00807DA8" w:rsidRDefault="00807DA8" w:rsidP="00722B46">
      <w:pPr>
        <w:pStyle w:val="ListParagraph"/>
        <w:tabs>
          <w:tab w:val="left" w:pos="2340"/>
          <w:tab w:val="left" w:pos="2700"/>
        </w:tabs>
        <w:ind w:left="1620"/>
        <w:jc w:val="both"/>
        <w:rPr>
          <w:rFonts w:ascii="Arial" w:hAnsi="Arial"/>
          <w:sz w:val="22"/>
          <w:szCs w:val="22"/>
          <w:vertAlign w:val="subscript"/>
        </w:rPr>
      </w:pPr>
      <w:r w:rsidRPr="00807DA8">
        <w:rPr>
          <w:rFonts w:ascii="Arial" w:hAnsi="Arial"/>
          <w:sz w:val="22"/>
          <w:szCs w:val="22"/>
        </w:rPr>
        <w:t>SC</w:t>
      </w:r>
      <w:r w:rsidRPr="00807DA8">
        <w:rPr>
          <w:rFonts w:ascii="Arial" w:hAnsi="Arial"/>
          <w:sz w:val="22"/>
          <w:szCs w:val="22"/>
          <w:vertAlign w:val="subscript"/>
        </w:rPr>
        <w:t xml:space="preserve">o(ar) </w:t>
      </w:r>
      <w:r w:rsidR="00E71B93">
        <w:rPr>
          <w:rFonts w:ascii="Arial" w:hAnsi="Arial"/>
          <w:sz w:val="22"/>
          <w:szCs w:val="22"/>
          <w:vertAlign w:val="subscript"/>
        </w:rPr>
        <w:tab/>
      </w:r>
      <w:r w:rsidRPr="00807DA8">
        <w:rPr>
          <w:rFonts w:ascii="Arial" w:hAnsi="Arial"/>
          <w:sz w:val="22"/>
          <w:szCs w:val="22"/>
        </w:rPr>
        <w:t xml:space="preserve">= </w:t>
      </w:r>
      <w:r w:rsidR="00E71B93">
        <w:rPr>
          <w:rFonts w:ascii="Arial" w:hAnsi="Arial"/>
          <w:sz w:val="22"/>
          <w:szCs w:val="22"/>
        </w:rPr>
        <w:tab/>
      </w:r>
      <w:r w:rsidRPr="00807DA8">
        <w:rPr>
          <w:rFonts w:ascii="Arial" w:hAnsi="Arial"/>
          <w:sz w:val="22"/>
          <w:szCs w:val="22"/>
        </w:rPr>
        <w:t>Corrected SC</w:t>
      </w:r>
      <w:r w:rsidRPr="00807DA8">
        <w:rPr>
          <w:rFonts w:ascii="Arial" w:hAnsi="Arial"/>
          <w:sz w:val="22"/>
          <w:szCs w:val="22"/>
          <w:vertAlign w:val="subscript"/>
        </w:rPr>
        <w:t>o</w:t>
      </w:r>
      <w:r w:rsidRPr="00807DA8">
        <w:rPr>
          <w:rFonts w:ascii="Arial" w:hAnsi="Arial"/>
          <w:sz w:val="22"/>
          <w:szCs w:val="22"/>
        </w:rPr>
        <w:t xml:space="preserve"> value after pavement removal</w:t>
      </w:r>
      <w:r w:rsidRPr="00807DA8">
        <w:rPr>
          <w:rFonts w:ascii="Arial" w:hAnsi="Arial"/>
          <w:sz w:val="22"/>
          <w:szCs w:val="22"/>
          <w:vertAlign w:val="subscript"/>
        </w:rPr>
        <w:t xml:space="preserve"> </w:t>
      </w:r>
    </w:p>
    <w:p w14:paraId="133293EB" w14:textId="2CED15D8" w:rsidR="00807DA8" w:rsidRPr="00807DA8" w:rsidRDefault="00807DA8" w:rsidP="00722B46">
      <w:pPr>
        <w:pStyle w:val="ListParagraph"/>
        <w:tabs>
          <w:tab w:val="left" w:pos="2340"/>
          <w:tab w:val="left" w:pos="2700"/>
        </w:tabs>
        <w:ind w:left="1620"/>
        <w:jc w:val="both"/>
        <w:rPr>
          <w:rFonts w:ascii="Arial" w:hAnsi="Arial"/>
          <w:sz w:val="22"/>
          <w:szCs w:val="22"/>
          <w:vertAlign w:val="subscript"/>
        </w:rPr>
      </w:pPr>
      <w:r w:rsidRPr="00807DA8">
        <w:rPr>
          <w:rFonts w:ascii="Arial" w:hAnsi="Arial"/>
          <w:sz w:val="22"/>
          <w:szCs w:val="22"/>
        </w:rPr>
        <w:t>SC</w:t>
      </w:r>
      <w:r w:rsidRPr="00807DA8">
        <w:rPr>
          <w:rFonts w:ascii="Arial" w:hAnsi="Arial"/>
          <w:sz w:val="22"/>
          <w:szCs w:val="22"/>
          <w:vertAlign w:val="subscript"/>
        </w:rPr>
        <w:t xml:space="preserve">o(br) </w:t>
      </w:r>
      <w:r w:rsidR="00E71B93">
        <w:rPr>
          <w:rFonts w:ascii="Arial" w:hAnsi="Arial"/>
          <w:sz w:val="22"/>
          <w:szCs w:val="22"/>
          <w:vertAlign w:val="subscript"/>
        </w:rPr>
        <w:tab/>
      </w:r>
      <w:r w:rsidRPr="00807DA8">
        <w:rPr>
          <w:rFonts w:ascii="Arial" w:hAnsi="Arial"/>
          <w:sz w:val="22"/>
          <w:szCs w:val="22"/>
        </w:rPr>
        <w:t>=</w:t>
      </w:r>
      <w:r w:rsidRPr="00807DA8">
        <w:rPr>
          <w:rFonts w:ascii="Arial" w:hAnsi="Arial"/>
          <w:sz w:val="22"/>
          <w:szCs w:val="22"/>
          <w:vertAlign w:val="subscript"/>
        </w:rPr>
        <w:t xml:space="preserve"> </w:t>
      </w:r>
      <w:r w:rsidR="00E71B93">
        <w:rPr>
          <w:rFonts w:ascii="Arial" w:hAnsi="Arial"/>
          <w:sz w:val="22"/>
          <w:szCs w:val="22"/>
          <w:vertAlign w:val="subscript"/>
        </w:rPr>
        <w:tab/>
      </w:r>
      <w:r w:rsidRPr="00807DA8">
        <w:rPr>
          <w:rFonts w:ascii="Arial" w:hAnsi="Arial"/>
          <w:sz w:val="22"/>
          <w:szCs w:val="22"/>
        </w:rPr>
        <w:t>SC</w:t>
      </w:r>
      <w:r w:rsidRPr="00807DA8">
        <w:rPr>
          <w:rFonts w:ascii="Arial" w:hAnsi="Arial"/>
          <w:sz w:val="22"/>
          <w:szCs w:val="22"/>
          <w:vertAlign w:val="subscript"/>
        </w:rPr>
        <w:t>o</w:t>
      </w:r>
      <w:r w:rsidRPr="00807DA8">
        <w:rPr>
          <w:rFonts w:ascii="Arial" w:hAnsi="Arial"/>
          <w:sz w:val="22"/>
          <w:szCs w:val="22"/>
        </w:rPr>
        <w:t xml:space="preserve"> value before pavement removal</w:t>
      </w:r>
    </w:p>
    <w:p w14:paraId="16615BE4" w14:textId="77D07CAA" w:rsidR="00807DA8" w:rsidRPr="00807DA8" w:rsidRDefault="00807DA8" w:rsidP="00722B46">
      <w:pPr>
        <w:pStyle w:val="ListParagraph"/>
        <w:tabs>
          <w:tab w:val="left" w:pos="2340"/>
          <w:tab w:val="left" w:pos="2700"/>
        </w:tabs>
        <w:ind w:left="1620"/>
        <w:jc w:val="both"/>
        <w:rPr>
          <w:rFonts w:ascii="Arial" w:hAnsi="Arial"/>
          <w:sz w:val="22"/>
          <w:szCs w:val="22"/>
        </w:rPr>
      </w:pPr>
      <w:r w:rsidRPr="00807DA8">
        <w:rPr>
          <w:rFonts w:ascii="Arial" w:hAnsi="Arial"/>
          <w:sz w:val="22"/>
          <w:szCs w:val="22"/>
        </w:rPr>
        <w:lastRenderedPageBreak/>
        <w:t>h</w:t>
      </w:r>
      <w:r w:rsidRPr="00807DA8">
        <w:rPr>
          <w:rFonts w:ascii="Arial" w:hAnsi="Arial"/>
          <w:sz w:val="22"/>
          <w:szCs w:val="22"/>
          <w:vertAlign w:val="subscript"/>
        </w:rPr>
        <w:t xml:space="preserve">rem </w:t>
      </w:r>
      <w:r w:rsidR="00E71B93">
        <w:rPr>
          <w:rFonts w:ascii="Arial" w:hAnsi="Arial"/>
          <w:sz w:val="22"/>
          <w:szCs w:val="22"/>
          <w:vertAlign w:val="subscript"/>
        </w:rPr>
        <w:tab/>
      </w:r>
      <w:r w:rsidRPr="00807DA8">
        <w:rPr>
          <w:rFonts w:ascii="Arial" w:hAnsi="Arial"/>
          <w:sz w:val="22"/>
          <w:szCs w:val="22"/>
        </w:rPr>
        <w:t>=</w:t>
      </w:r>
      <w:r w:rsidRPr="00807DA8">
        <w:rPr>
          <w:rFonts w:ascii="Arial" w:hAnsi="Arial"/>
          <w:sz w:val="22"/>
          <w:szCs w:val="22"/>
          <w:vertAlign w:val="subscript"/>
        </w:rPr>
        <w:t xml:space="preserve"> </w:t>
      </w:r>
      <w:r w:rsidR="00E71B93">
        <w:rPr>
          <w:rFonts w:ascii="Arial" w:hAnsi="Arial"/>
          <w:sz w:val="22"/>
          <w:szCs w:val="22"/>
          <w:vertAlign w:val="subscript"/>
        </w:rPr>
        <w:tab/>
      </w:r>
      <w:r w:rsidRPr="00807DA8">
        <w:rPr>
          <w:rFonts w:ascii="Arial" w:hAnsi="Arial"/>
          <w:sz w:val="22"/>
          <w:szCs w:val="22"/>
        </w:rPr>
        <w:t>Depth of pavement removal; 0.5</w:t>
      </w:r>
      <w:r w:rsidR="009E6563">
        <w:rPr>
          <w:rFonts w:ascii="Arial" w:hAnsi="Arial"/>
          <w:sz w:val="22"/>
          <w:szCs w:val="22"/>
        </w:rPr>
        <w:t xml:space="preserve">" </w:t>
      </w:r>
      <w:r w:rsidRPr="00807DA8">
        <w:rPr>
          <w:rFonts w:ascii="Arial" w:hAnsi="Arial"/>
          <w:sz w:val="22"/>
          <w:szCs w:val="22"/>
        </w:rPr>
        <w:t>increments</w:t>
      </w:r>
    </w:p>
    <w:p w14:paraId="300EF22D" w14:textId="144B84B0" w:rsidR="008132C7" w:rsidRPr="004E7FAB" w:rsidRDefault="008132C7" w:rsidP="00172E64">
      <w:pPr>
        <w:pStyle w:val="ListNumber"/>
        <w:numPr>
          <w:ilvl w:val="0"/>
          <w:numId w:val="108"/>
        </w:numPr>
        <w:tabs>
          <w:tab w:val="clear" w:pos="1872"/>
        </w:tabs>
        <w:ind w:left="1080" w:hanging="1080"/>
        <w:jc w:val="both"/>
      </w:pPr>
      <w:r w:rsidRPr="004E7FAB">
        <w:t>Estimate the corrected PCI and related C</w:t>
      </w:r>
      <w:r w:rsidRPr="00722B46">
        <w:rPr>
          <w:vertAlign w:val="subscript"/>
        </w:rPr>
        <w:t>x</w:t>
      </w:r>
      <w:r w:rsidRPr="004E7FAB">
        <w:t xml:space="preserve"> based on the pre-overlay fix and recalculate S</w:t>
      </w:r>
      <w:r>
        <w:t>C</w:t>
      </w:r>
      <w:r w:rsidRPr="004E7FAB">
        <w:rPr>
          <w:vertAlign w:val="subscript"/>
        </w:rPr>
        <w:t>eff</w:t>
      </w:r>
      <w:r w:rsidR="00E71B93">
        <w:t xml:space="preserve"> </w:t>
      </w:r>
      <w:r w:rsidRPr="004E7FAB">
        <w:t>(PCI).</w:t>
      </w:r>
    </w:p>
    <w:p w14:paraId="486D729A" w14:textId="74EA109F" w:rsidR="008132C7" w:rsidRPr="008132C7" w:rsidRDefault="008132C7" w:rsidP="00172E64">
      <w:pPr>
        <w:pStyle w:val="ListNumber"/>
        <w:numPr>
          <w:ilvl w:val="0"/>
          <w:numId w:val="108"/>
        </w:numPr>
        <w:ind w:left="1080" w:hanging="1080"/>
        <w:jc w:val="both"/>
      </w:pPr>
      <w:r w:rsidRPr="004E7FAB">
        <w:t xml:space="preserve">Use this </w:t>
      </w:r>
      <w:r w:rsidRPr="008132C7">
        <w:t>information from the adjusted SC</w:t>
      </w:r>
      <w:r w:rsidRPr="008132C7">
        <w:rPr>
          <w:vertAlign w:val="subscript"/>
        </w:rPr>
        <w:t>eff</w:t>
      </w:r>
      <w:r w:rsidR="00E71B93">
        <w:t xml:space="preserve"> </w:t>
      </w:r>
      <w:r w:rsidRPr="008132C7">
        <w:t>(PCI) to adjust the SC</w:t>
      </w:r>
      <w:r w:rsidRPr="008132C7">
        <w:rPr>
          <w:vertAlign w:val="subscript"/>
        </w:rPr>
        <w:t>eff</w:t>
      </w:r>
      <w:r w:rsidRPr="008132C7">
        <w:t xml:space="preserve"> calculated based on AASHTO.  Use Tables 5.8 and 5.10 on page </w:t>
      </w:r>
      <w:smartTag w:uri="urn:schemas-microsoft-com:office:smarttags" w:element="stockticker">
        <w:r w:rsidRPr="008132C7">
          <w:t>III</w:t>
        </w:r>
      </w:smartTag>
      <w:r w:rsidRPr="008132C7">
        <w:t xml:space="preserve">-126 and </w:t>
      </w:r>
      <w:smartTag w:uri="urn:schemas-microsoft-com:office:smarttags" w:element="stockticker">
        <w:r w:rsidRPr="008132C7">
          <w:t>III</w:t>
        </w:r>
      </w:smartTag>
      <w:r w:rsidRPr="008132C7">
        <w:t xml:space="preserve">-136 in the 1993 AASHTO Guide in determining the existing distress based on corrections made to the pavement from pre-overlay repairs for rigid and composite pavements. </w:t>
      </w:r>
    </w:p>
    <w:p w14:paraId="29D25803" w14:textId="77777777" w:rsidR="002210B7" w:rsidRPr="002210B7" w:rsidRDefault="00ED7814" w:rsidP="00172E64">
      <w:pPr>
        <w:pStyle w:val="ListNumber"/>
        <w:numPr>
          <w:ilvl w:val="0"/>
          <w:numId w:val="108"/>
        </w:numPr>
        <w:ind w:left="1080" w:hanging="1080"/>
        <w:jc w:val="both"/>
      </w:pPr>
      <w:r w:rsidRPr="002210B7">
        <w:t>Select the SC</w:t>
      </w:r>
      <w:r w:rsidRPr="002210B7">
        <w:rPr>
          <w:vertAlign w:val="subscript"/>
        </w:rPr>
        <w:t>eff</w:t>
      </w:r>
      <w:r w:rsidRPr="002210B7">
        <w:t xml:space="preserve"> to use for each rehabilitation design based on the following guidelines</w:t>
      </w:r>
      <w:r w:rsidR="002210B7" w:rsidRPr="002210B7">
        <w:t>:</w:t>
      </w:r>
    </w:p>
    <w:p w14:paraId="2D951C5D" w14:textId="77777777" w:rsidR="00065AAB" w:rsidRPr="00A84E04" w:rsidRDefault="00ED7814" w:rsidP="00172E64">
      <w:pPr>
        <w:pStyle w:val="BodyText"/>
        <w:numPr>
          <w:ilvl w:val="0"/>
          <w:numId w:val="107"/>
        </w:numPr>
        <w:ind w:hanging="720"/>
        <w:jc w:val="both"/>
      </w:pPr>
      <w:r w:rsidRPr="00065AAB">
        <w:t>Compare SC</w:t>
      </w:r>
      <w:r w:rsidRPr="00065AAB">
        <w:rPr>
          <w:vertAlign w:val="subscript"/>
        </w:rPr>
        <w:t xml:space="preserve">eff </w:t>
      </w:r>
      <w:r w:rsidRPr="00065AAB">
        <w:t>calculated based on the corrected PCI to the SC</w:t>
      </w:r>
      <w:r w:rsidRPr="00065AAB">
        <w:rPr>
          <w:vertAlign w:val="subscript"/>
        </w:rPr>
        <w:t xml:space="preserve">eff </w:t>
      </w:r>
      <w:r w:rsidRPr="00065AAB">
        <w:t>calculated based on the corrected AASHTO survey and select the lower of the two.</w:t>
      </w:r>
      <w:r w:rsidR="00065AAB" w:rsidRPr="00065AAB">
        <w:t xml:space="preserve">  If the difference between the two is considerable, then revisit the pav</w:t>
      </w:r>
      <w:r w:rsidR="00065AAB" w:rsidRPr="00EC706A">
        <w:t xml:space="preserve">ement structure used in analysis, and repeat the previous steps </w:t>
      </w:r>
      <w:r w:rsidR="00065AAB" w:rsidRPr="00A84E04">
        <w:t>until the different calculated S</w:t>
      </w:r>
      <w:r w:rsidR="00065AAB">
        <w:t>C</w:t>
      </w:r>
      <w:r w:rsidR="00065AAB" w:rsidRPr="00A84E04">
        <w:rPr>
          <w:vertAlign w:val="subscript"/>
        </w:rPr>
        <w:t>eff</w:t>
      </w:r>
      <w:r w:rsidR="00065AAB" w:rsidRPr="00A84E04">
        <w:t xml:space="preserve"> values are similar.</w:t>
      </w:r>
    </w:p>
    <w:p w14:paraId="4C6DEB22" w14:textId="77777777" w:rsidR="00065AAB" w:rsidRPr="00E71B93" w:rsidRDefault="00065AAB" w:rsidP="00172E64">
      <w:pPr>
        <w:pStyle w:val="ListNumber"/>
        <w:numPr>
          <w:ilvl w:val="0"/>
          <w:numId w:val="108"/>
        </w:numPr>
        <w:tabs>
          <w:tab w:val="clear" w:pos="1872"/>
        </w:tabs>
        <w:ind w:left="1080" w:hanging="1080"/>
        <w:jc w:val="both"/>
        <w:rPr>
          <w:szCs w:val="22"/>
        </w:rPr>
      </w:pPr>
      <w:r w:rsidRPr="00A84E04">
        <w:t>Calculate the total required HMA overlay thickness based on the following guidelines:</w:t>
      </w:r>
      <w:r w:rsidRPr="00A84E04">
        <w:br/>
        <w:t xml:space="preserve"> </w:t>
      </w:r>
    </w:p>
    <w:p w14:paraId="2FE25EE7" w14:textId="77777777" w:rsidR="00065AAB" w:rsidRPr="00722B46" w:rsidRDefault="00065AAB" w:rsidP="00722B46">
      <w:pPr>
        <w:pStyle w:val="BodyText"/>
        <w:ind w:left="1080" w:hanging="1080"/>
        <w:jc w:val="center"/>
      </w:pPr>
      <w:r w:rsidRPr="00722B46">
        <w:t>h</w:t>
      </w:r>
      <w:r w:rsidRPr="00722B46">
        <w:rPr>
          <w:vertAlign w:val="subscript"/>
        </w:rPr>
        <w:t>ol</w:t>
      </w:r>
      <w:r w:rsidRPr="00722B46">
        <w:t xml:space="preserve"> </w:t>
      </w:r>
      <w:r w:rsidRPr="00722B46">
        <w:rPr>
          <w:vertAlign w:val="subscript"/>
        </w:rPr>
        <w:t xml:space="preserve"> </w:t>
      </w:r>
      <w:r w:rsidRPr="00722B46">
        <w:t>= (D</w:t>
      </w:r>
      <w:r w:rsidRPr="00722B46">
        <w:rPr>
          <w:vertAlign w:val="subscript"/>
        </w:rPr>
        <w:t>f</w:t>
      </w:r>
      <w:r w:rsidRPr="00722B46">
        <w:t xml:space="preserve"> - D</w:t>
      </w:r>
      <w:r w:rsidRPr="00722B46">
        <w:rPr>
          <w:vertAlign w:val="subscript"/>
        </w:rPr>
        <w:t>eff</w:t>
      </w:r>
      <w:r w:rsidRPr="00722B46">
        <w:t>)*A</w:t>
      </w:r>
    </w:p>
    <w:p w14:paraId="1A5F9ECF" w14:textId="528C89BD" w:rsidR="00065AAB" w:rsidRPr="00722B46" w:rsidRDefault="00065AAB" w:rsidP="004C0B53">
      <w:pPr>
        <w:pStyle w:val="BodyText"/>
        <w:ind w:left="1080"/>
        <w:jc w:val="both"/>
      </w:pPr>
      <w:r w:rsidRPr="00722B46">
        <w:t>where:</w:t>
      </w:r>
    </w:p>
    <w:p w14:paraId="615C2B56" w14:textId="5F55BEF2" w:rsidR="00065AAB" w:rsidRPr="00722B46" w:rsidRDefault="00065AAB" w:rsidP="00722B46">
      <w:pPr>
        <w:pStyle w:val="BodyText"/>
        <w:tabs>
          <w:tab w:val="left" w:pos="1980"/>
          <w:tab w:val="left" w:pos="2340"/>
        </w:tabs>
        <w:ind w:left="1620"/>
        <w:jc w:val="both"/>
      </w:pPr>
      <w:r w:rsidRPr="00722B46">
        <w:t xml:space="preserve">A </w:t>
      </w:r>
      <w:r w:rsidR="0001139B">
        <w:rPr>
          <w:szCs w:val="22"/>
        </w:rPr>
        <w:tab/>
      </w:r>
      <w:r w:rsidRPr="00E71B93">
        <w:rPr>
          <w:szCs w:val="22"/>
        </w:rPr>
        <w:t xml:space="preserve">= </w:t>
      </w:r>
      <w:r w:rsidR="0001139B">
        <w:rPr>
          <w:szCs w:val="22"/>
        </w:rPr>
        <w:tab/>
      </w:r>
      <w:r w:rsidRPr="00722B46">
        <w:t>2.2233 + 0.0099 * (D</w:t>
      </w:r>
      <w:r w:rsidRPr="00722B46">
        <w:rPr>
          <w:vertAlign w:val="subscript"/>
        </w:rPr>
        <w:t>f</w:t>
      </w:r>
      <w:r w:rsidRPr="00722B46">
        <w:t xml:space="preserve"> – D</w:t>
      </w:r>
      <w:r w:rsidRPr="00722B46">
        <w:rPr>
          <w:vertAlign w:val="subscript"/>
        </w:rPr>
        <w:t>eff</w:t>
      </w:r>
      <w:r w:rsidRPr="00722B46">
        <w:t>)</w:t>
      </w:r>
      <w:r w:rsidRPr="00722B46">
        <w:rPr>
          <w:vertAlign w:val="superscript"/>
        </w:rPr>
        <w:t>2</w:t>
      </w:r>
      <w:r w:rsidRPr="00722B46">
        <w:t xml:space="preserve"> – 0.1534 * (D</w:t>
      </w:r>
      <w:r w:rsidRPr="00722B46">
        <w:rPr>
          <w:vertAlign w:val="subscript"/>
        </w:rPr>
        <w:t>f</w:t>
      </w:r>
      <w:r w:rsidRPr="00722B46">
        <w:t xml:space="preserve"> – D</w:t>
      </w:r>
      <w:r w:rsidRPr="00722B46">
        <w:rPr>
          <w:vertAlign w:val="subscript"/>
        </w:rPr>
        <w:t>eff</w:t>
      </w:r>
      <w:r w:rsidRPr="00722B46">
        <w:t>)</w:t>
      </w:r>
    </w:p>
    <w:p w14:paraId="27F76EAA" w14:textId="778B2A58" w:rsidR="00065AAB" w:rsidRPr="00722B46" w:rsidRDefault="00065AAB" w:rsidP="00722B46">
      <w:pPr>
        <w:pStyle w:val="BodyText"/>
        <w:tabs>
          <w:tab w:val="left" w:pos="1980"/>
          <w:tab w:val="left" w:pos="2340"/>
        </w:tabs>
        <w:ind w:left="1620"/>
        <w:jc w:val="both"/>
      </w:pPr>
      <w:r w:rsidRPr="00722B46">
        <w:t>h</w:t>
      </w:r>
      <w:r w:rsidRPr="00722B46">
        <w:rPr>
          <w:vertAlign w:val="subscript"/>
        </w:rPr>
        <w:t xml:space="preserve">ol </w:t>
      </w:r>
      <w:r w:rsidRPr="00722B46">
        <w:t xml:space="preserve"> </w:t>
      </w:r>
      <w:r w:rsidR="0001139B">
        <w:rPr>
          <w:szCs w:val="22"/>
        </w:rPr>
        <w:tab/>
      </w:r>
      <w:r w:rsidRPr="00E71B93">
        <w:rPr>
          <w:szCs w:val="22"/>
        </w:rPr>
        <w:t xml:space="preserve">= </w:t>
      </w:r>
      <w:r w:rsidR="0001139B">
        <w:rPr>
          <w:szCs w:val="22"/>
        </w:rPr>
        <w:tab/>
      </w:r>
      <w:r w:rsidRPr="00722B46">
        <w:t>HMA overlay thickness</w:t>
      </w:r>
    </w:p>
    <w:p w14:paraId="5A5D433A" w14:textId="77777777" w:rsidR="00065AAB" w:rsidRPr="00A84E04" w:rsidRDefault="00065AAB" w:rsidP="00722B46">
      <w:pPr>
        <w:pStyle w:val="BodyText"/>
        <w:ind w:left="1080" w:hanging="1080"/>
        <w:jc w:val="both"/>
        <w:rPr>
          <w:sz w:val="20"/>
        </w:rPr>
      </w:pPr>
    </w:p>
    <w:p w14:paraId="46E8EF3F" w14:textId="77777777" w:rsidR="00065AAB" w:rsidRPr="00541484" w:rsidRDefault="00065AAB" w:rsidP="00172E64">
      <w:pPr>
        <w:pStyle w:val="Heading5"/>
        <w:numPr>
          <w:ilvl w:val="4"/>
          <w:numId w:val="185"/>
        </w:numPr>
        <w:ind w:left="1098" w:hanging="1098"/>
      </w:pPr>
      <w:r>
        <w:t xml:space="preserve">Concrete Overlay </w:t>
      </w:r>
    </w:p>
    <w:p w14:paraId="3843925B" w14:textId="30E46968" w:rsidR="00101728" w:rsidRPr="00101728" w:rsidRDefault="00101728">
      <w:pPr>
        <w:pStyle w:val="ListBullet"/>
        <w:ind w:left="0"/>
      </w:pPr>
      <w:r w:rsidRPr="00101728">
        <w:rPr>
          <w:szCs w:val="22"/>
        </w:rPr>
        <w:t xml:space="preserve">Refer to </w:t>
      </w:r>
      <w:hyperlink w:anchor="_Concrete_Overlay_Design_1" w:history="1">
        <w:r w:rsidRPr="00101728">
          <w:rPr>
            <w:rStyle w:val="Hyperlink"/>
            <w:rFonts w:eastAsia="Arial" w:cs="Arial"/>
            <w:szCs w:val="22"/>
          </w:rPr>
          <w:t>Concrete Overlay Design</w:t>
        </w:r>
      </w:hyperlink>
      <w:r w:rsidRPr="00101728">
        <w:t xml:space="preserve"> </w:t>
      </w:r>
    </w:p>
    <w:p w14:paraId="13527152" w14:textId="77777777" w:rsidR="00630F37" w:rsidRDefault="00630F37" w:rsidP="00630F37">
      <w:pPr>
        <w:pStyle w:val="ListNumber"/>
        <w:tabs>
          <w:tab w:val="clear" w:pos="720"/>
          <w:tab w:val="clear" w:pos="1872"/>
        </w:tabs>
        <w:ind w:left="1440" w:hanging="1440"/>
        <w:jc w:val="center"/>
      </w:pPr>
    </w:p>
    <w:p w14:paraId="5CD21C79" w14:textId="77777777" w:rsidR="00B6702F" w:rsidRDefault="00B6702F" w:rsidP="00172E64">
      <w:pPr>
        <w:pStyle w:val="Heading4"/>
        <w:numPr>
          <w:ilvl w:val="3"/>
          <w:numId w:val="185"/>
        </w:numPr>
        <w:ind w:left="864"/>
      </w:pPr>
      <w:r>
        <w:t>Constructability</w:t>
      </w:r>
    </w:p>
    <w:p w14:paraId="039B24F4" w14:textId="45AC82F0" w:rsidR="00630F37" w:rsidRPr="002A3551" w:rsidRDefault="00B6702F" w:rsidP="00B6702F">
      <w:pPr>
        <w:pStyle w:val="ListNumber"/>
        <w:tabs>
          <w:tab w:val="clear" w:pos="720"/>
          <w:tab w:val="clear" w:pos="1872"/>
        </w:tabs>
        <w:ind w:left="0" w:firstLine="0"/>
        <w:jc w:val="both"/>
      </w:pPr>
      <w:r>
        <w:t xml:space="preserve">The pavement design shall be checked for constructability issues.  </w:t>
      </w:r>
      <w:r w:rsidR="002A3551">
        <w:t>C</w:t>
      </w:r>
      <w:r>
        <w:t>are shall be taken to ensure that the pavement design can be constructed and perform well over the pavement service life</w:t>
      </w:r>
      <w:r w:rsidR="0001139B">
        <w:t>,</w:t>
      </w:r>
      <w:r w:rsidRPr="002A3551">
        <w:t xml:space="preserve"> geometric and grade demands, </w:t>
      </w:r>
      <w:smartTag w:uri="urn:schemas-microsoft-com:office:smarttags" w:element="stockticker">
        <w:r w:rsidRPr="002A3551">
          <w:t>MOT</w:t>
        </w:r>
      </w:smartTag>
      <w:r w:rsidRPr="002A3551">
        <w:t xml:space="preserve"> constraints, regional material constraints, etc.</w:t>
      </w:r>
    </w:p>
    <w:p w14:paraId="71E553B1" w14:textId="77777777" w:rsidR="00654992" w:rsidRPr="00A9156D" w:rsidRDefault="00654992" w:rsidP="00654992">
      <w:pPr>
        <w:pStyle w:val="ListNumber"/>
        <w:tabs>
          <w:tab w:val="clear" w:pos="720"/>
          <w:tab w:val="clear" w:pos="1872"/>
        </w:tabs>
        <w:ind w:left="1152" w:firstLine="0"/>
        <w:jc w:val="both"/>
      </w:pPr>
      <w:bookmarkStart w:id="1302" w:name="_Concrete_Overlay_Design"/>
      <w:bookmarkEnd w:id="1302"/>
    </w:p>
    <w:p w14:paraId="05C8B034" w14:textId="77777777" w:rsidR="00654992" w:rsidRPr="009647DE" w:rsidRDefault="00654992" w:rsidP="00E96760">
      <w:pPr>
        <w:rPr>
          <w:rFonts w:ascii="Arial" w:hAnsi="Arial" w:cs="Arial"/>
          <w:iCs/>
          <w:sz w:val="22"/>
          <w:szCs w:val="22"/>
        </w:rPr>
        <w:sectPr w:rsidR="00654992" w:rsidRPr="009647DE" w:rsidSect="008B1BAA">
          <w:headerReference w:type="default" r:id="rId460"/>
          <w:footerReference w:type="default" r:id="rId461"/>
          <w:pgSz w:w="12240" w:h="15840" w:code="1"/>
          <w:pgMar w:top="1440" w:right="1800" w:bottom="1440" w:left="1800" w:header="720" w:footer="720" w:gutter="0"/>
          <w:pgNumType w:chapStyle="1"/>
          <w:cols w:space="720"/>
          <w:docGrid w:linePitch="272"/>
        </w:sectPr>
      </w:pPr>
    </w:p>
    <w:p w14:paraId="7F1C7AF3" w14:textId="740AC564" w:rsidR="00192B9A" w:rsidRDefault="00192B9A" w:rsidP="00172E64">
      <w:pPr>
        <w:pStyle w:val="Heading2"/>
        <w:numPr>
          <w:ilvl w:val="1"/>
          <w:numId w:val="185"/>
        </w:numPr>
        <w:tabs>
          <w:tab w:val="left" w:pos="720"/>
        </w:tabs>
        <w:spacing w:before="120" w:after="120"/>
        <w:ind w:left="0" w:firstLine="0"/>
      </w:pPr>
      <w:bookmarkStart w:id="1303" w:name="_References"/>
      <w:bookmarkStart w:id="1304" w:name="_Toc514058036"/>
      <w:bookmarkStart w:id="1305" w:name="_Toc194932431"/>
      <w:bookmarkStart w:id="1306" w:name="_Toc479160149"/>
      <w:bookmarkEnd w:id="1303"/>
      <w:r>
        <w:lastRenderedPageBreak/>
        <w:t>References</w:t>
      </w:r>
      <w:bookmarkEnd w:id="1304"/>
      <w:bookmarkEnd w:id="1305"/>
      <w:r>
        <w:t xml:space="preserve"> </w:t>
      </w:r>
      <w:bookmarkEnd w:id="1306"/>
    </w:p>
    <w:p w14:paraId="6686A103" w14:textId="062807F5" w:rsidR="00213803" w:rsidRPr="00722B46" w:rsidRDefault="00213803" w:rsidP="00722B46">
      <w:pPr>
        <w:ind w:left="720" w:hanging="720"/>
        <w:jc w:val="both"/>
        <w:rPr>
          <w:rFonts w:ascii="Arial" w:hAnsi="Arial"/>
          <w:sz w:val="22"/>
        </w:rPr>
      </w:pPr>
      <w:bookmarkStart w:id="1307" w:name="_Material_Library"/>
      <w:bookmarkStart w:id="1308" w:name="_Glossary"/>
      <w:bookmarkEnd w:id="1307"/>
      <w:bookmarkEnd w:id="1308"/>
      <w:r w:rsidRPr="00722B46">
        <w:rPr>
          <w:rFonts w:ascii="Arial" w:hAnsi="Arial"/>
          <w:sz w:val="22"/>
        </w:rPr>
        <w:t xml:space="preserve">American Association of State Highway and Transportation Officials (AASHTO) (1988). </w:t>
      </w:r>
      <w:r w:rsidRPr="00722B46">
        <w:rPr>
          <w:rFonts w:ascii="Arial" w:hAnsi="Arial"/>
          <w:i/>
          <w:sz w:val="22"/>
        </w:rPr>
        <w:t>Manual on Subsurface Investigations,</w:t>
      </w:r>
      <w:r w:rsidRPr="00722B46">
        <w:rPr>
          <w:rFonts w:ascii="Arial" w:hAnsi="Arial"/>
          <w:sz w:val="22"/>
        </w:rPr>
        <w:t xml:space="preserve"> Developed by the Subcommittee on Materials, Washington, </w:t>
      </w:r>
      <w:r w:rsidRPr="00213803">
        <w:rPr>
          <w:rFonts w:ascii="Arial" w:hAnsi="Arial" w:cs="Arial"/>
          <w:sz w:val="22"/>
          <w:szCs w:val="22"/>
        </w:rPr>
        <w:t>DC</w:t>
      </w:r>
      <w:r w:rsidRPr="00722B46">
        <w:rPr>
          <w:rFonts w:ascii="Arial" w:hAnsi="Arial"/>
          <w:sz w:val="22"/>
        </w:rPr>
        <w:t>.</w:t>
      </w:r>
    </w:p>
    <w:p w14:paraId="55DBE8B9" w14:textId="77777777" w:rsidR="00213803" w:rsidRPr="00722B46" w:rsidRDefault="00213803" w:rsidP="00722B46">
      <w:pPr>
        <w:jc w:val="both"/>
        <w:rPr>
          <w:rFonts w:ascii="Arial" w:hAnsi="Arial"/>
          <w:sz w:val="22"/>
        </w:rPr>
      </w:pPr>
    </w:p>
    <w:p w14:paraId="707BEBFA" w14:textId="6F5B6ADA" w:rsidR="00213803" w:rsidRPr="00722B46" w:rsidRDefault="00213803" w:rsidP="00722B46">
      <w:pPr>
        <w:ind w:left="720" w:hanging="720"/>
        <w:jc w:val="both"/>
        <w:rPr>
          <w:rFonts w:ascii="Arial" w:hAnsi="Arial"/>
          <w:sz w:val="22"/>
        </w:rPr>
      </w:pPr>
      <w:r w:rsidRPr="00213803">
        <w:rPr>
          <w:rFonts w:ascii="Arial" w:hAnsi="Arial" w:cs="Arial"/>
          <w:sz w:val="22"/>
          <w:szCs w:val="22"/>
        </w:rPr>
        <w:t>AASHTO. “AASHTO</w:t>
      </w:r>
      <w:r w:rsidRPr="00722B46">
        <w:rPr>
          <w:rFonts w:ascii="Arial" w:hAnsi="Arial"/>
          <w:sz w:val="22"/>
        </w:rPr>
        <w:t xml:space="preserve"> Standard Specifications for Highway Bridges – Latest Edition</w:t>
      </w:r>
      <w:r w:rsidRPr="00213803">
        <w:rPr>
          <w:rFonts w:ascii="Arial" w:hAnsi="Arial" w:cs="Arial"/>
          <w:sz w:val="22"/>
          <w:szCs w:val="22"/>
        </w:rPr>
        <w:t>.”</w:t>
      </w:r>
      <w:r w:rsidRPr="00722B46">
        <w:rPr>
          <w:rFonts w:ascii="Arial" w:hAnsi="Arial"/>
          <w:sz w:val="22"/>
        </w:rPr>
        <w:t xml:space="preserve"> </w:t>
      </w:r>
    </w:p>
    <w:p w14:paraId="5D18CFCD" w14:textId="77777777" w:rsidR="00213803" w:rsidRPr="00722B46" w:rsidRDefault="00213803" w:rsidP="00722B46">
      <w:pPr>
        <w:ind w:left="720" w:hanging="720"/>
        <w:jc w:val="both"/>
        <w:rPr>
          <w:rFonts w:ascii="Arial" w:hAnsi="Arial"/>
          <w:sz w:val="22"/>
        </w:rPr>
      </w:pPr>
    </w:p>
    <w:p w14:paraId="1BE8E097" w14:textId="64B6A57C" w:rsidR="00213803" w:rsidRPr="00722B46" w:rsidRDefault="00213803" w:rsidP="00722B46">
      <w:pPr>
        <w:ind w:left="720" w:hanging="720"/>
        <w:jc w:val="both"/>
        <w:rPr>
          <w:rFonts w:ascii="Arial" w:hAnsi="Arial"/>
          <w:sz w:val="22"/>
        </w:rPr>
      </w:pPr>
      <w:r w:rsidRPr="00722B46">
        <w:rPr>
          <w:rFonts w:ascii="Arial" w:hAnsi="Arial"/>
          <w:sz w:val="22"/>
        </w:rPr>
        <w:t xml:space="preserve">AASHTO (1986). </w:t>
      </w:r>
      <w:r w:rsidRPr="00722B46">
        <w:rPr>
          <w:rFonts w:ascii="Arial" w:hAnsi="Arial"/>
          <w:i/>
          <w:sz w:val="22"/>
        </w:rPr>
        <w:t>Standard Specifications for Transportation Materials and Methods of Sampling and Testing, Part I, Specifications,</w:t>
      </w:r>
      <w:r w:rsidRPr="00722B46">
        <w:rPr>
          <w:rFonts w:ascii="Arial" w:hAnsi="Arial"/>
          <w:sz w:val="22"/>
        </w:rPr>
        <w:t xml:space="preserve"> 14th </w:t>
      </w:r>
      <w:r w:rsidRPr="00213803">
        <w:rPr>
          <w:rFonts w:ascii="Arial" w:hAnsi="Arial" w:cs="Arial"/>
          <w:sz w:val="22"/>
          <w:szCs w:val="22"/>
        </w:rPr>
        <w:t>Ed.,</w:t>
      </w:r>
      <w:r w:rsidRPr="00722B46">
        <w:rPr>
          <w:rFonts w:ascii="Arial" w:hAnsi="Arial"/>
          <w:sz w:val="22"/>
        </w:rPr>
        <w:t xml:space="preserve"> Washington, </w:t>
      </w:r>
      <w:r w:rsidRPr="00213803">
        <w:rPr>
          <w:rFonts w:ascii="Arial" w:hAnsi="Arial" w:cs="Arial"/>
          <w:sz w:val="22"/>
          <w:szCs w:val="22"/>
        </w:rPr>
        <w:t>DC</w:t>
      </w:r>
      <w:r w:rsidRPr="00722B46">
        <w:rPr>
          <w:rFonts w:ascii="Arial" w:hAnsi="Arial"/>
          <w:sz w:val="22"/>
        </w:rPr>
        <w:t>.</w:t>
      </w:r>
    </w:p>
    <w:p w14:paraId="4FFCB0A9" w14:textId="3F01826D" w:rsidR="00213803" w:rsidRPr="00213803" w:rsidRDefault="00213803" w:rsidP="00722B46">
      <w:pPr>
        <w:jc w:val="both"/>
        <w:rPr>
          <w:rFonts w:ascii="Arial" w:hAnsi="Arial" w:cs="Arial"/>
          <w:sz w:val="22"/>
          <w:szCs w:val="22"/>
        </w:rPr>
      </w:pPr>
    </w:p>
    <w:p w14:paraId="2C1218E4" w14:textId="3BD6E74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 xml:space="preserve">AASHTO (1992). </w:t>
      </w:r>
      <w:r w:rsidRPr="00213803">
        <w:rPr>
          <w:rFonts w:ascii="Arial" w:hAnsi="Arial" w:cs="Arial"/>
          <w:i/>
          <w:sz w:val="22"/>
          <w:szCs w:val="22"/>
        </w:rPr>
        <w:t>Standard Specifications for Transportation Materials and Methods of Sampling and Testing, Part II, Tests,</w:t>
      </w:r>
      <w:r w:rsidRPr="00213803">
        <w:rPr>
          <w:rFonts w:ascii="Arial" w:hAnsi="Arial" w:cs="Arial"/>
          <w:sz w:val="22"/>
          <w:szCs w:val="22"/>
        </w:rPr>
        <w:t xml:space="preserve"> Washington, DC.</w:t>
      </w:r>
    </w:p>
    <w:p w14:paraId="4D519FF8" w14:textId="77777777" w:rsidR="00213803" w:rsidRPr="00213803" w:rsidRDefault="00213803" w:rsidP="00213803">
      <w:pPr>
        <w:ind w:left="720" w:hanging="720"/>
        <w:jc w:val="both"/>
        <w:rPr>
          <w:rFonts w:ascii="Arial" w:hAnsi="Arial" w:cs="Arial"/>
          <w:sz w:val="22"/>
          <w:szCs w:val="22"/>
        </w:rPr>
      </w:pPr>
    </w:p>
    <w:p w14:paraId="4F72CF53" w14:textId="6B0F93E1" w:rsidR="00213803" w:rsidRPr="00722B46" w:rsidRDefault="00213803" w:rsidP="00722B46">
      <w:pPr>
        <w:ind w:left="720" w:hanging="720"/>
        <w:jc w:val="both"/>
        <w:rPr>
          <w:rFonts w:ascii="Arial" w:hAnsi="Arial"/>
          <w:sz w:val="22"/>
        </w:rPr>
      </w:pPr>
      <w:r w:rsidRPr="00722B46">
        <w:rPr>
          <w:rFonts w:ascii="Arial" w:hAnsi="Arial"/>
          <w:sz w:val="22"/>
        </w:rPr>
        <w:t>American Concrete Pavement Association</w:t>
      </w:r>
      <w:r w:rsidRPr="00213803">
        <w:rPr>
          <w:rFonts w:ascii="Arial" w:hAnsi="Arial" w:cs="Arial"/>
          <w:sz w:val="22"/>
          <w:szCs w:val="22"/>
        </w:rPr>
        <w:t xml:space="preserve"> (ACPA) (2008).</w:t>
      </w:r>
      <w:r w:rsidRPr="00722B46">
        <w:rPr>
          <w:rFonts w:ascii="Arial" w:hAnsi="Arial"/>
          <w:sz w:val="22"/>
        </w:rPr>
        <w:t xml:space="preserve"> </w:t>
      </w:r>
      <w:r w:rsidRPr="00722B46">
        <w:rPr>
          <w:rFonts w:ascii="Arial" w:hAnsi="Arial"/>
          <w:i/>
          <w:sz w:val="22"/>
        </w:rPr>
        <w:t>Concrete Pavement Field Reference Preservation and Repair</w:t>
      </w:r>
      <w:r w:rsidRPr="00213803">
        <w:rPr>
          <w:rFonts w:ascii="Arial" w:hAnsi="Arial" w:cs="Arial"/>
          <w:i/>
          <w:sz w:val="22"/>
          <w:szCs w:val="22"/>
        </w:rPr>
        <w:t>,</w:t>
      </w:r>
      <w:r w:rsidRPr="00722B46">
        <w:rPr>
          <w:rFonts w:ascii="Arial" w:hAnsi="Arial"/>
          <w:sz w:val="22"/>
        </w:rPr>
        <w:t xml:space="preserve"> Skokie, IL.</w:t>
      </w:r>
    </w:p>
    <w:p w14:paraId="02888204" w14:textId="77777777" w:rsidR="00213803" w:rsidRPr="00722B46" w:rsidRDefault="00213803" w:rsidP="00722B46">
      <w:pPr>
        <w:ind w:left="720" w:hanging="720"/>
        <w:jc w:val="both"/>
        <w:rPr>
          <w:rFonts w:ascii="Arial" w:hAnsi="Arial"/>
          <w:sz w:val="22"/>
        </w:rPr>
      </w:pPr>
    </w:p>
    <w:p w14:paraId="49F08548" w14:textId="456D4EDF" w:rsidR="00213803" w:rsidRPr="00722B46" w:rsidRDefault="00213803" w:rsidP="00722B46">
      <w:pPr>
        <w:ind w:left="720" w:hanging="720"/>
        <w:jc w:val="both"/>
        <w:rPr>
          <w:rFonts w:ascii="Arial" w:hAnsi="Arial"/>
          <w:sz w:val="22"/>
        </w:rPr>
      </w:pPr>
      <w:r w:rsidRPr="00213803">
        <w:rPr>
          <w:rFonts w:ascii="Arial" w:hAnsi="Arial" w:cs="Arial"/>
          <w:sz w:val="22"/>
          <w:szCs w:val="22"/>
        </w:rPr>
        <w:t>ACPA (1997).</w:t>
      </w:r>
      <w:r w:rsidRPr="00722B46">
        <w:rPr>
          <w:rFonts w:ascii="Arial" w:hAnsi="Arial"/>
          <w:sz w:val="22"/>
        </w:rPr>
        <w:t xml:space="preserve"> </w:t>
      </w:r>
      <w:r w:rsidRPr="00722B46">
        <w:rPr>
          <w:rFonts w:ascii="Arial" w:hAnsi="Arial"/>
          <w:i/>
          <w:sz w:val="22"/>
        </w:rPr>
        <w:t>The</w:t>
      </w:r>
      <w:r w:rsidRPr="00722B46">
        <w:rPr>
          <w:rFonts w:ascii="Arial" w:hAnsi="Arial"/>
          <w:sz w:val="22"/>
        </w:rPr>
        <w:t xml:space="preserve"> </w:t>
      </w:r>
      <w:r w:rsidRPr="00722B46">
        <w:rPr>
          <w:rFonts w:ascii="Arial" w:hAnsi="Arial"/>
          <w:i/>
          <w:sz w:val="22"/>
        </w:rPr>
        <w:t>Concrete Pavement Restoration Guide</w:t>
      </w:r>
      <w:r w:rsidRPr="00213803">
        <w:rPr>
          <w:rFonts w:ascii="Arial" w:hAnsi="Arial" w:cs="Arial"/>
          <w:i/>
          <w:sz w:val="22"/>
          <w:szCs w:val="22"/>
        </w:rPr>
        <w:t>,</w:t>
      </w:r>
      <w:r w:rsidRPr="00722B46">
        <w:rPr>
          <w:rFonts w:ascii="Arial" w:hAnsi="Arial"/>
          <w:i/>
          <w:sz w:val="22"/>
        </w:rPr>
        <w:t xml:space="preserve"> </w:t>
      </w:r>
      <w:r w:rsidRPr="00722B46">
        <w:rPr>
          <w:rFonts w:ascii="Arial" w:hAnsi="Arial"/>
          <w:sz w:val="22"/>
        </w:rPr>
        <w:t>Skokie, IL.</w:t>
      </w:r>
    </w:p>
    <w:p w14:paraId="2B35ECFB" w14:textId="77777777" w:rsidR="00213803" w:rsidRPr="00722B46" w:rsidRDefault="00213803" w:rsidP="00722B46">
      <w:pPr>
        <w:jc w:val="both"/>
        <w:rPr>
          <w:rFonts w:ascii="Arial" w:hAnsi="Arial"/>
          <w:sz w:val="22"/>
        </w:rPr>
      </w:pPr>
    </w:p>
    <w:p w14:paraId="4ED13126" w14:textId="4983508A" w:rsidR="00213803" w:rsidRPr="00722B46" w:rsidRDefault="00213803" w:rsidP="00722B46">
      <w:pPr>
        <w:ind w:left="720" w:hanging="720"/>
        <w:jc w:val="both"/>
        <w:rPr>
          <w:rFonts w:ascii="Arial" w:hAnsi="Arial"/>
          <w:sz w:val="22"/>
        </w:rPr>
      </w:pPr>
      <w:r w:rsidRPr="00722B46">
        <w:rPr>
          <w:rFonts w:ascii="Arial" w:hAnsi="Arial"/>
          <w:sz w:val="22"/>
        </w:rPr>
        <w:t>Asphalt Institute</w:t>
      </w:r>
      <w:r w:rsidRPr="00213803">
        <w:rPr>
          <w:rFonts w:ascii="Arial" w:hAnsi="Arial" w:cs="Arial"/>
          <w:sz w:val="22"/>
          <w:szCs w:val="22"/>
        </w:rPr>
        <w:t xml:space="preserve"> (2000).</w:t>
      </w:r>
      <w:r w:rsidRPr="00722B46">
        <w:rPr>
          <w:rFonts w:ascii="Arial" w:hAnsi="Arial"/>
          <w:sz w:val="22"/>
        </w:rPr>
        <w:t xml:space="preserve"> Manual Series No. 17 (MS-17), </w:t>
      </w:r>
      <w:r w:rsidRPr="00722B46">
        <w:rPr>
          <w:rFonts w:ascii="Arial" w:hAnsi="Arial"/>
          <w:i/>
          <w:sz w:val="22"/>
        </w:rPr>
        <w:t>Asphalt Overlays for Highway and Street Rehabilitation</w:t>
      </w:r>
      <w:r w:rsidRPr="00213803">
        <w:rPr>
          <w:rFonts w:ascii="Arial" w:hAnsi="Arial" w:cs="Arial"/>
          <w:i/>
          <w:sz w:val="22"/>
          <w:szCs w:val="22"/>
        </w:rPr>
        <w:t>,</w:t>
      </w:r>
      <w:r w:rsidRPr="00722B46">
        <w:rPr>
          <w:rFonts w:ascii="Arial" w:hAnsi="Arial"/>
          <w:sz w:val="22"/>
        </w:rPr>
        <w:t xml:space="preserve"> Lexington, KY.</w:t>
      </w:r>
    </w:p>
    <w:p w14:paraId="4A576216" w14:textId="77777777" w:rsidR="00213803" w:rsidRPr="00722B46" w:rsidRDefault="00213803" w:rsidP="00722B46">
      <w:pPr>
        <w:ind w:left="720" w:hanging="720"/>
        <w:jc w:val="both"/>
        <w:rPr>
          <w:rFonts w:ascii="Arial" w:hAnsi="Arial"/>
          <w:sz w:val="22"/>
        </w:rPr>
      </w:pPr>
    </w:p>
    <w:p w14:paraId="155AB352" w14:textId="51C2C5D5" w:rsidR="00213803" w:rsidRPr="00722B46" w:rsidRDefault="00213803" w:rsidP="00722B46">
      <w:pPr>
        <w:ind w:left="720" w:hanging="720"/>
        <w:jc w:val="both"/>
        <w:rPr>
          <w:rFonts w:ascii="Arial" w:hAnsi="Arial"/>
          <w:sz w:val="22"/>
        </w:rPr>
      </w:pPr>
      <w:r w:rsidRPr="00722B46">
        <w:rPr>
          <w:rFonts w:ascii="Arial" w:hAnsi="Arial"/>
          <w:sz w:val="22"/>
        </w:rPr>
        <w:t>Asphalt Recycling and Reclaiming Association</w:t>
      </w:r>
      <w:r w:rsidRPr="00213803">
        <w:rPr>
          <w:rFonts w:ascii="Arial" w:hAnsi="Arial" w:cs="Arial"/>
          <w:sz w:val="22"/>
          <w:szCs w:val="22"/>
        </w:rPr>
        <w:t xml:space="preserve"> (2001).</w:t>
      </w:r>
      <w:r w:rsidRPr="00722B46">
        <w:rPr>
          <w:rFonts w:ascii="Arial" w:hAnsi="Arial"/>
          <w:sz w:val="22"/>
        </w:rPr>
        <w:t xml:space="preserve"> </w:t>
      </w:r>
      <w:r w:rsidRPr="00722B46">
        <w:rPr>
          <w:rFonts w:ascii="Arial" w:hAnsi="Arial"/>
          <w:i/>
          <w:sz w:val="22"/>
        </w:rPr>
        <w:t>Basic Asphalt Recycling Manual</w:t>
      </w:r>
      <w:r w:rsidRPr="00213803">
        <w:rPr>
          <w:rFonts w:ascii="Arial" w:hAnsi="Arial" w:cs="Arial"/>
          <w:i/>
          <w:sz w:val="22"/>
          <w:szCs w:val="22"/>
        </w:rPr>
        <w:t>,</w:t>
      </w:r>
      <w:r w:rsidRPr="00722B46">
        <w:rPr>
          <w:rFonts w:ascii="Arial" w:hAnsi="Arial"/>
          <w:sz w:val="22"/>
        </w:rPr>
        <w:t xml:space="preserve"> Annapolis, MD.</w:t>
      </w:r>
    </w:p>
    <w:p w14:paraId="539E15A6" w14:textId="77777777" w:rsidR="00213803" w:rsidRPr="00722B46" w:rsidRDefault="00213803" w:rsidP="00722B46">
      <w:pPr>
        <w:ind w:left="720" w:hanging="720"/>
        <w:jc w:val="both"/>
        <w:rPr>
          <w:rFonts w:ascii="Arial" w:hAnsi="Arial"/>
          <w:sz w:val="22"/>
        </w:rPr>
      </w:pPr>
    </w:p>
    <w:p w14:paraId="72B1585E" w14:textId="167EC4D5" w:rsidR="00213803" w:rsidRPr="00722B46" w:rsidRDefault="00213803" w:rsidP="00722B46">
      <w:pPr>
        <w:ind w:left="720" w:hanging="720"/>
        <w:jc w:val="both"/>
        <w:rPr>
          <w:rFonts w:ascii="Arial" w:hAnsi="Arial"/>
          <w:sz w:val="22"/>
        </w:rPr>
      </w:pPr>
      <w:r w:rsidRPr="00722B46">
        <w:rPr>
          <w:rFonts w:ascii="Arial" w:hAnsi="Arial"/>
          <w:sz w:val="22"/>
        </w:rPr>
        <w:t>American Society for Testing and Materials</w:t>
      </w:r>
      <w:r w:rsidRPr="00213803">
        <w:rPr>
          <w:rFonts w:ascii="Arial" w:hAnsi="Arial" w:cs="Arial"/>
          <w:sz w:val="22"/>
          <w:szCs w:val="22"/>
        </w:rPr>
        <w:t xml:space="preserve"> (ASTM) (1997). </w:t>
      </w:r>
      <w:r w:rsidRPr="00213803">
        <w:rPr>
          <w:rFonts w:ascii="Arial" w:hAnsi="Arial" w:cs="Arial"/>
          <w:i/>
          <w:sz w:val="22"/>
          <w:szCs w:val="22"/>
        </w:rPr>
        <w:t>1997 Annual Book of ASTM Standards</w:t>
      </w:r>
      <w:r w:rsidRPr="00722B46">
        <w:rPr>
          <w:rFonts w:ascii="Arial" w:hAnsi="Arial"/>
          <w:i/>
          <w:sz w:val="22"/>
        </w:rPr>
        <w:t>,</w:t>
      </w:r>
      <w:r w:rsidRPr="00722B46">
        <w:rPr>
          <w:rFonts w:ascii="Arial" w:hAnsi="Arial"/>
          <w:sz w:val="22"/>
        </w:rPr>
        <w:t xml:space="preserve"> Philadelphia, </w:t>
      </w:r>
      <w:r w:rsidRPr="00213803">
        <w:rPr>
          <w:rFonts w:ascii="Arial" w:hAnsi="Arial" w:cs="Arial"/>
          <w:sz w:val="22"/>
          <w:szCs w:val="22"/>
        </w:rPr>
        <w:t>PA</w:t>
      </w:r>
      <w:r w:rsidRPr="00722B46">
        <w:rPr>
          <w:rFonts w:ascii="Arial" w:hAnsi="Arial"/>
          <w:sz w:val="22"/>
        </w:rPr>
        <w:t>.</w:t>
      </w:r>
    </w:p>
    <w:p w14:paraId="189810E7" w14:textId="77777777" w:rsidR="00213803" w:rsidRPr="00722B46" w:rsidRDefault="00213803" w:rsidP="00722B46">
      <w:pPr>
        <w:ind w:left="720" w:hanging="720"/>
        <w:jc w:val="both"/>
        <w:rPr>
          <w:rFonts w:ascii="Arial" w:hAnsi="Arial"/>
          <w:sz w:val="22"/>
        </w:rPr>
      </w:pPr>
    </w:p>
    <w:p w14:paraId="1CCD200C" w14:textId="7777777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ASTM D6429 (1999 updated 2011). “Standard Guide for Selecting Surface Geophysical Methods.”</w:t>
      </w:r>
    </w:p>
    <w:p w14:paraId="045333B2" w14:textId="77777777" w:rsidR="00213803" w:rsidRPr="00213803" w:rsidRDefault="00213803" w:rsidP="00213803">
      <w:pPr>
        <w:ind w:left="720" w:hanging="720"/>
        <w:jc w:val="both"/>
        <w:rPr>
          <w:rFonts w:ascii="Arial" w:hAnsi="Arial" w:cs="Arial"/>
          <w:sz w:val="22"/>
          <w:szCs w:val="22"/>
        </w:rPr>
      </w:pPr>
    </w:p>
    <w:p w14:paraId="06F2E425" w14:textId="7777777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 xml:space="preserve">Caterpillar Tractor Company (2017). </w:t>
      </w:r>
      <w:r w:rsidRPr="00213803">
        <w:rPr>
          <w:rFonts w:ascii="Arial" w:hAnsi="Arial" w:cs="Arial"/>
          <w:i/>
          <w:sz w:val="22"/>
          <w:szCs w:val="22"/>
        </w:rPr>
        <w:t>Caterpillar Performance Handbook,</w:t>
      </w:r>
      <w:r w:rsidRPr="00213803">
        <w:rPr>
          <w:rFonts w:ascii="Arial" w:hAnsi="Arial" w:cs="Arial"/>
          <w:sz w:val="22"/>
          <w:szCs w:val="22"/>
        </w:rPr>
        <w:t xml:space="preserve"> Peoria, IL.</w:t>
      </w:r>
    </w:p>
    <w:p w14:paraId="2F2726ED" w14:textId="77777777" w:rsidR="00213803" w:rsidRPr="00213803" w:rsidRDefault="00213803" w:rsidP="00213803">
      <w:pPr>
        <w:ind w:left="720" w:hanging="720"/>
        <w:jc w:val="both"/>
        <w:rPr>
          <w:rFonts w:ascii="Arial" w:hAnsi="Arial" w:cs="Arial"/>
          <w:sz w:val="22"/>
          <w:szCs w:val="22"/>
        </w:rPr>
      </w:pPr>
    </w:p>
    <w:p w14:paraId="0C0D1084" w14:textId="0CFA6BCD" w:rsidR="00213803" w:rsidRPr="00722B46" w:rsidRDefault="00213803" w:rsidP="00722B46">
      <w:pPr>
        <w:ind w:left="720" w:hanging="720"/>
        <w:jc w:val="both"/>
        <w:rPr>
          <w:rFonts w:ascii="Arial" w:hAnsi="Arial"/>
          <w:sz w:val="22"/>
        </w:rPr>
      </w:pPr>
      <w:r w:rsidRPr="00722B46">
        <w:rPr>
          <w:rFonts w:ascii="Arial" w:hAnsi="Arial"/>
          <w:sz w:val="22"/>
        </w:rPr>
        <w:t>Federal Highway Administration</w:t>
      </w:r>
      <w:r w:rsidRPr="00213803">
        <w:rPr>
          <w:rFonts w:ascii="Arial" w:hAnsi="Arial" w:cs="Arial"/>
          <w:sz w:val="22"/>
          <w:szCs w:val="22"/>
        </w:rPr>
        <w:t xml:space="preserve"> (FHWA) (2007).</w:t>
      </w:r>
      <w:r w:rsidRPr="00722B46">
        <w:rPr>
          <w:rFonts w:ascii="Arial" w:hAnsi="Arial"/>
          <w:sz w:val="22"/>
        </w:rPr>
        <w:t xml:space="preserve"> </w:t>
      </w:r>
      <w:r w:rsidRPr="00722B46">
        <w:rPr>
          <w:rFonts w:ascii="Arial" w:hAnsi="Arial"/>
          <w:i/>
          <w:sz w:val="22"/>
        </w:rPr>
        <w:t>Pavement Preservation: Optimal Timing of Pavement Preservation Treatments</w:t>
      </w:r>
      <w:r w:rsidRPr="00213803">
        <w:rPr>
          <w:rFonts w:ascii="Arial" w:hAnsi="Arial" w:cs="Arial"/>
          <w:i/>
          <w:sz w:val="22"/>
          <w:szCs w:val="22"/>
        </w:rPr>
        <w:t>,</w:t>
      </w:r>
      <w:r w:rsidRPr="00722B46">
        <w:rPr>
          <w:rFonts w:ascii="Arial" w:hAnsi="Arial"/>
          <w:sz w:val="22"/>
        </w:rPr>
        <w:t xml:space="preserve"> Washington</w:t>
      </w:r>
      <w:r w:rsidRPr="00213803">
        <w:rPr>
          <w:rFonts w:ascii="Arial" w:hAnsi="Arial" w:cs="Arial"/>
          <w:sz w:val="22"/>
          <w:szCs w:val="22"/>
        </w:rPr>
        <w:t>, DC</w:t>
      </w:r>
      <w:r w:rsidRPr="00722B46">
        <w:rPr>
          <w:rFonts w:ascii="Arial" w:hAnsi="Arial"/>
          <w:sz w:val="22"/>
        </w:rPr>
        <w:t>.</w:t>
      </w:r>
    </w:p>
    <w:p w14:paraId="6C3F5731" w14:textId="77777777" w:rsidR="00213803" w:rsidRPr="00722B46" w:rsidRDefault="00213803" w:rsidP="00722B46">
      <w:pPr>
        <w:ind w:left="720" w:hanging="720"/>
        <w:jc w:val="both"/>
        <w:rPr>
          <w:rFonts w:ascii="Arial" w:hAnsi="Arial"/>
          <w:sz w:val="22"/>
        </w:rPr>
      </w:pPr>
    </w:p>
    <w:p w14:paraId="5500D854" w14:textId="5BF6926B" w:rsidR="00213803" w:rsidRPr="00722B46" w:rsidRDefault="00213803" w:rsidP="00722B46">
      <w:pPr>
        <w:ind w:left="720" w:hanging="720"/>
        <w:jc w:val="both"/>
        <w:rPr>
          <w:rFonts w:ascii="Arial" w:hAnsi="Arial"/>
          <w:sz w:val="22"/>
        </w:rPr>
      </w:pPr>
      <w:r w:rsidRPr="00213803">
        <w:rPr>
          <w:rFonts w:ascii="Arial" w:hAnsi="Arial" w:cs="Arial"/>
          <w:sz w:val="22"/>
          <w:szCs w:val="22"/>
        </w:rPr>
        <w:t>FHWA (2007).</w:t>
      </w:r>
      <w:r w:rsidRPr="00722B46">
        <w:rPr>
          <w:rFonts w:ascii="Arial" w:hAnsi="Arial"/>
          <w:sz w:val="22"/>
        </w:rPr>
        <w:t xml:space="preserve"> </w:t>
      </w:r>
      <w:r w:rsidRPr="00722B46">
        <w:rPr>
          <w:rFonts w:ascii="Arial" w:hAnsi="Arial"/>
          <w:i/>
          <w:sz w:val="22"/>
        </w:rPr>
        <w:t>Pavement Preservation: Preventive Maintenance Treatment, Timing, and Selection</w:t>
      </w:r>
      <w:r w:rsidRPr="00213803">
        <w:rPr>
          <w:rFonts w:ascii="Arial" w:hAnsi="Arial" w:cs="Arial"/>
          <w:i/>
          <w:sz w:val="22"/>
          <w:szCs w:val="22"/>
        </w:rPr>
        <w:t>,</w:t>
      </w:r>
      <w:r w:rsidRPr="00722B46">
        <w:rPr>
          <w:rFonts w:ascii="Arial" w:hAnsi="Arial"/>
          <w:sz w:val="22"/>
        </w:rPr>
        <w:t xml:space="preserve"> Washington</w:t>
      </w:r>
      <w:r w:rsidRPr="00213803">
        <w:rPr>
          <w:rFonts w:ascii="Arial" w:hAnsi="Arial" w:cs="Arial"/>
          <w:sz w:val="22"/>
          <w:szCs w:val="22"/>
        </w:rPr>
        <w:t>, DC.</w:t>
      </w:r>
    </w:p>
    <w:p w14:paraId="1C77ED27" w14:textId="77777777" w:rsidR="00213803" w:rsidRPr="00722B46" w:rsidRDefault="00213803" w:rsidP="00722B46">
      <w:pPr>
        <w:ind w:left="720" w:hanging="720"/>
        <w:jc w:val="both"/>
        <w:rPr>
          <w:rFonts w:ascii="Arial" w:hAnsi="Arial"/>
          <w:sz w:val="22"/>
        </w:rPr>
      </w:pPr>
    </w:p>
    <w:p w14:paraId="3FD1B474" w14:textId="1D5BFE8C"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FHWA (2003). “Application of Geophysical Methods to Highway Related Problems,” FHWA-IF-04-021.</w:t>
      </w:r>
    </w:p>
    <w:p w14:paraId="6B04A453" w14:textId="77777777" w:rsidR="00213803" w:rsidRPr="00213803" w:rsidRDefault="00213803" w:rsidP="00213803">
      <w:pPr>
        <w:ind w:left="720" w:hanging="720"/>
        <w:jc w:val="both"/>
        <w:rPr>
          <w:rFonts w:ascii="Arial" w:hAnsi="Arial" w:cs="Arial"/>
          <w:sz w:val="22"/>
          <w:szCs w:val="22"/>
        </w:rPr>
      </w:pPr>
    </w:p>
    <w:p w14:paraId="2C20EA5B" w14:textId="4D804212"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 xml:space="preserve">FHWA SA-96-072, </w:t>
      </w:r>
      <w:r w:rsidR="0001139B" w:rsidRPr="00213803">
        <w:rPr>
          <w:rFonts w:ascii="Arial" w:hAnsi="Arial" w:cs="Arial"/>
          <w:sz w:val="22"/>
          <w:szCs w:val="22"/>
        </w:rPr>
        <w:t>“</w:t>
      </w:r>
      <w:r w:rsidRPr="00213803">
        <w:rPr>
          <w:rFonts w:ascii="Arial" w:hAnsi="Arial" w:cs="Arial"/>
          <w:sz w:val="22"/>
          <w:szCs w:val="22"/>
        </w:rPr>
        <w:t xml:space="preserve">Mechanically Stabilized Earth Walls and Reinforced Soil Slopes Design and Construction Guidelines.” </w:t>
      </w:r>
    </w:p>
    <w:p w14:paraId="05CB759C" w14:textId="77777777" w:rsidR="00213803" w:rsidRPr="00213803" w:rsidRDefault="00213803" w:rsidP="00213803">
      <w:pPr>
        <w:ind w:left="720" w:hanging="720"/>
        <w:jc w:val="both"/>
        <w:rPr>
          <w:rFonts w:ascii="Arial" w:hAnsi="Arial" w:cs="Arial"/>
          <w:sz w:val="22"/>
          <w:szCs w:val="22"/>
        </w:rPr>
      </w:pPr>
    </w:p>
    <w:p w14:paraId="696B9F43" w14:textId="6CDB9B7C" w:rsidR="00213803" w:rsidRPr="00722B46" w:rsidRDefault="00213803" w:rsidP="00722B46">
      <w:pPr>
        <w:ind w:left="720" w:hanging="720"/>
        <w:jc w:val="both"/>
        <w:rPr>
          <w:rFonts w:ascii="Arial" w:hAnsi="Arial"/>
          <w:sz w:val="22"/>
        </w:rPr>
      </w:pPr>
      <w:r w:rsidRPr="00213803">
        <w:rPr>
          <w:rFonts w:ascii="Arial" w:hAnsi="Arial" w:cs="Arial"/>
          <w:sz w:val="22"/>
          <w:szCs w:val="22"/>
        </w:rPr>
        <w:t>FHWA</w:t>
      </w:r>
      <w:r w:rsidRPr="00722B46">
        <w:rPr>
          <w:rFonts w:ascii="Arial" w:hAnsi="Arial"/>
          <w:sz w:val="22"/>
        </w:rPr>
        <w:t xml:space="preserve"> and National Highway Institute</w:t>
      </w:r>
      <w:r w:rsidRPr="00213803">
        <w:rPr>
          <w:rFonts w:ascii="Arial" w:hAnsi="Arial" w:cs="Arial"/>
          <w:sz w:val="22"/>
          <w:szCs w:val="22"/>
        </w:rPr>
        <w:t xml:space="preserve"> (NHI).</w:t>
      </w:r>
      <w:r w:rsidRPr="00722B46">
        <w:rPr>
          <w:rFonts w:ascii="Arial" w:hAnsi="Arial"/>
          <w:sz w:val="22"/>
        </w:rPr>
        <w:t xml:space="preserve"> “Geosynthetic Design and Construction Guidelines</w:t>
      </w:r>
      <w:r w:rsidRPr="00213803">
        <w:rPr>
          <w:rFonts w:ascii="Arial" w:hAnsi="Arial" w:cs="Arial"/>
          <w:sz w:val="22"/>
          <w:szCs w:val="22"/>
        </w:rPr>
        <w:t>,”</w:t>
      </w:r>
      <w:r w:rsidRPr="00722B46">
        <w:rPr>
          <w:rFonts w:ascii="Arial" w:hAnsi="Arial"/>
          <w:sz w:val="22"/>
        </w:rPr>
        <w:t xml:space="preserve"> FHWA HI-95-038.</w:t>
      </w:r>
    </w:p>
    <w:p w14:paraId="60C9B304" w14:textId="3FE8E30D" w:rsidR="00213803" w:rsidRPr="00213803" w:rsidRDefault="00213803" w:rsidP="00213803">
      <w:pPr>
        <w:ind w:left="720" w:hanging="720"/>
        <w:jc w:val="both"/>
        <w:rPr>
          <w:rFonts w:ascii="Arial" w:hAnsi="Arial" w:cs="Arial"/>
          <w:sz w:val="22"/>
          <w:szCs w:val="22"/>
        </w:rPr>
      </w:pPr>
    </w:p>
    <w:p w14:paraId="34E58CF3" w14:textId="645B3F10" w:rsidR="00213803" w:rsidRPr="00722B46" w:rsidRDefault="00213803" w:rsidP="00722B46">
      <w:pPr>
        <w:ind w:left="720" w:hanging="720"/>
        <w:jc w:val="both"/>
        <w:rPr>
          <w:rFonts w:ascii="Arial" w:hAnsi="Arial"/>
          <w:sz w:val="22"/>
        </w:rPr>
      </w:pPr>
      <w:r w:rsidRPr="00213803">
        <w:rPr>
          <w:rFonts w:ascii="Arial" w:hAnsi="Arial" w:cs="Arial"/>
          <w:sz w:val="22"/>
          <w:szCs w:val="22"/>
        </w:rPr>
        <w:t>FHWA and NHI.</w:t>
      </w:r>
      <w:r w:rsidRPr="00722B46">
        <w:rPr>
          <w:rFonts w:ascii="Arial" w:hAnsi="Arial"/>
          <w:sz w:val="22"/>
        </w:rPr>
        <w:t xml:space="preserve"> “Geotechnical Aspect of Pavements</w:t>
      </w:r>
      <w:r w:rsidRPr="00213803">
        <w:rPr>
          <w:rFonts w:ascii="Arial" w:hAnsi="Arial" w:cs="Arial"/>
          <w:sz w:val="22"/>
          <w:szCs w:val="22"/>
        </w:rPr>
        <w:t>,”</w:t>
      </w:r>
      <w:r w:rsidRPr="00722B46">
        <w:rPr>
          <w:rFonts w:ascii="Arial" w:hAnsi="Arial"/>
          <w:sz w:val="22"/>
        </w:rPr>
        <w:t xml:space="preserve"> FHWA </w:t>
      </w:r>
      <w:hyperlink r:id="rId462" w:history="1">
        <w:r w:rsidRPr="00722B46">
          <w:rPr>
            <w:rFonts w:ascii="Arial" w:hAnsi="Arial"/>
            <w:sz w:val="22"/>
          </w:rPr>
          <w:t>NHI 132040.</w:t>
        </w:r>
        <w:r w:rsidRPr="00722B46">
          <w:rPr>
            <w:sz w:val="22"/>
          </w:rPr>
          <w:t xml:space="preserve"> </w:t>
        </w:r>
      </w:hyperlink>
    </w:p>
    <w:p w14:paraId="655D20B7" w14:textId="77777777" w:rsidR="00213803" w:rsidRPr="00722B46" w:rsidRDefault="00213803" w:rsidP="00722B46">
      <w:pPr>
        <w:ind w:left="720" w:hanging="720"/>
        <w:jc w:val="both"/>
        <w:rPr>
          <w:rFonts w:ascii="Arial" w:hAnsi="Arial"/>
          <w:sz w:val="22"/>
        </w:rPr>
      </w:pPr>
    </w:p>
    <w:p w14:paraId="40BCEF89" w14:textId="428B413F" w:rsidR="00213803" w:rsidRPr="00722B46" w:rsidRDefault="00213803" w:rsidP="00722B46">
      <w:pPr>
        <w:ind w:left="720" w:hanging="720"/>
        <w:jc w:val="both"/>
        <w:rPr>
          <w:rFonts w:ascii="Arial" w:hAnsi="Arial"/>
          <w:sz w:val="22"/>
        </w:rPr>
      </w:pPr>
      <w:r w:rsidRPr="00213803">
        <w:rPr>
          <w:rFonts w:ascii="Arial" w:hAnsi="Arial" w:cs="Arial"/>
          <w:sz w:val="22"/>
          <w:szCs w:val="22"/>
        </w:rPr>
        <w:lastRenderedPageBreak/>
        <w:t>FHWA</w:t>
      </w:r>
      <w:r w:rsidRPr="00722B46">
        <w:rPr>
          <w:rFonts w:ascii="Arial" w:hAnsi="Arial"/>
          <w:sz w:val="22"/>
        </w:rPr>
        <w:t xml:space="preserve"> and </w:t>
      </w:r>
      <w:r w:rsidRPr="00213803">
        <w:rPr>
          <w:rFonts w:ascii="Arial" w:hAnsi="Arial" w:cs="Arial"/>
          <w:sz w:val="22"/>
          <w:szCs w:val="22"/>
        </w:rPr>
        <w:t xml:space="preserve">NHI. </w:t>
      </w:r>
      <w:r w:rsidRPr="00722B46">
        <w:rPr>
          <w:rFonts w:ascii="Arial" w:hAnsi="Arial"/>
          <w:sz w:val="22"/>
        </w:rPr>
        <w:t>Soils and Foundation Workshop</w:t>
      </w:r>
      <w:r w:rsidR="00FF00AD" w:rsidRPr="00B4752C">
        <w:rPr>
          <w:rFonts w:ascii="Arial" w:hAnsi="Arial" w:cs="Arial"/>
        </w:rPr>
        <w:t xml:space="preserve">”, </w:t>
      </w:r>
      <w:hyperlink r:id="rId463" w:history="1">
        <w:r w:rsidR="00FF00AD">
          <w:rPr>
            <w:rFonts w:ascii="Arial" w:hAnsi="Arial" w:cs="Arial"/>
          </w:rPr>
          <w:t>NHI 132012.</w:t>
        </w:r>
        <w:r w:rsidR="00FF00AD" w:rsidRPr="00B4752C">
          <w:rPr>
            <w:rStyle w:val="Hyperlink"/>
            <w:rFonts w:ascii="Arial" w:hAnsi="Arial" w:cs="Arial"/>
          </w:rPr>
          <w:t xml:space="preserve"> </w:t>
        </w:r>
      </w:hyperlink>
      <w:r w:rsidR="00FF00AD" w:rsidRPr="00B4752C">
        <w:rPr>
          <w:rFonts w:ascii="Arial" w:hAnsi="Arial" w:cs="Arial"/>
        </w:rPr>
        <w:br/>
      </w:r>
    </w:p>
    <w:p w14:paraId="2B3E398E" w14:textId="7352ED1E" w:rsidR="00213803" w:rsidRPr="00213803" w:rsidRDefault="00213803" w:rsidP="00213803">
      <w:pPr>
        <w:tabs>
          <w:tab w:val="left" w:pos="3874"/>
        </w:tabs>
        <w:ind w:left="720" w:hanging="720"/>
        <w:jc w:val="both"/>
        <w:rPr>
          <w:rFonts w:ascii="Arial" w:hAnsi="Arial" w:cs="Arial"/>
          <w:sz w:val="22"/>
          <w:szCs w:val="22"/>
        </w:rPr>
      </w:pPr>
    </w:p>
    <w:p w14:paraId="0D32CDD0" w14:textId="4F5F92EE" w:rsidR="00213803" w:rsidRPr="00722B46" w:rsidRDefault="00213803" w:rsidP="00722B46">
      <w:pPr>
        <w:ind w:left="720" w:hanging="720"/>
        <w:jc w:val="both"/>
        <w:rPr>
          <w:rFonts w:ascii="Arial" w:hAnsi="Arial"/>
          <w:sz w:val="22"/>
        </w:rPr>
      </w:pPr>
      <w:r w:rsidRPr="00213803">
        <w:rPr>
          <w:rFonts w:ascii="Arial" w:hAnsi="Arial" w:cs="Arial"/>
          <w:sz w:val="22"/>
          <w:szCs w:val="22"/>
        </w:rPr>
        <w:t>FHWA and NHI.</w:t>
      </w:r>
      <w:r w:rsidRPr="00722B46">
        <w:rPr>
          <w:rFonts w:ascii="Arial" w:hAnsi="Arial"/>
          <w:sz w:val="22"/>
        </w:rPr>
        <w:t xml:space="preserve"> “Subsurface Investigations – Geotechnical Site Characterization</w:t>
      </w:r>
      <w:r w:rsidRPr="00213803">
        <w:rPr>
          <w:rFonts w:ascii="Arial" w:hAnsi="Arial" w:cs="Arial"/>
          <w:sz w:val="22"/>
          <w:szCs w:val="22"/>
        </w:rPr>
        <w:t>,”</w:t>
      </w:r>
      <w:r w:rsidRPr="00722B46">
        <w:rPr>
          <w:rFonts w:ascii="Arial" w:hAnsi="Arial"/>
          <w:sz w:val="22"/>
        </w:rPr>
        <w:t xml:space="preserve"> FHWA </w:t>
      </w:r>
      <w:hyperlink r:id="rId464" w:history="1">
        <w:r w:rsidRPr="00722B46">
          <w:rPr>
            <w:rFonts w:ascii="Arial" w:hAnsi="Arial"/>
            <w:sz w:val="22"/>
          </w:rPr>
          <w:t>NHI 132031.</w:t>
        </w:r>
        <w:r w:rsidRPr="00722B46">
          <w:rPr>
            <w:sz w:val="22"/>
          </w:rPr>
          <w:t xml:space="preserve"> </w:t>
        </w:r>
      </w:hyperlink>
    </w:p>
    <w:p w14:paraId="710E5424" w14:textId="77777777" w:rsidR="00213803" w:rsidRPr="00722B46" w:rsidRDefault="00213803" w:rsidP="00722B46">
      <w:pPr>
        <w:ind w:left="720" w:hanging="720"/>
        <w:jc w:val="both"/>
        <w:rPr>
          <w:rFonts w:ascii="Arial" w:hAnsi="Arial"/>
          <w:sz w:val="22"/>
        </w:rPr>
      </w:pPr>
    </w:p>
    <w:p w14:paraId="4DBED007" w14:textId="143F9DF2"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FHWA and NHI.</w:t>
      </w:r>
      <w:r w:rsidRPr="00722B46">
        <w:rPr>
          <w:rFonts w:ascii="Arial" w:hAnsi="Arial"/>
          <w:sz w:val="22"/>
        </w:rPr>
        <w:t xml:space="preserve"> “Subsurface Investigation Qualification</w:t>
      </w:r>
      <w:r w:rsidRPr="00213803">
        <w:rPr>
          <w:rFonts w:ascii="Arial" w:hAnsi="Arial" w:cs="Arial"/>
          <w:sz w:val="22"/>
          <w:szCs w:val="22"/>
        </w:rPr>
        <w:t>,”</w:t>
      </w:r>
      <w:r w:rsidRPr="00722B46">
        <w:rPr>
          <w:rFonts w:ascii="Arial" w:hAnsi="Arial"/>
          <w:sz w:val="22"/>
        </w:rPr>
        <w:t xml:space="preserve"> FHWA </w:t>
      </w:r>
      <w:r w:rsidRPr="00213803">
        <w:rPr>
          <w:rFonts w:ascii="Arial" w:hAnsi="Arial" w:cs="Arial"/>
          <w:sz w:val="22"/>
          <w:szCs w:val="22"/>
        </w:rPr>
        <w:fldChar w:fldCharType="begin"/>
      </w:r>
      <w:r w:rsidRPr="00213803">
        <w:rPr>
          <w:rFonts w:ascii="Arial" w:hAnsi="Arial" w:cs="Arial"/>
          <w:sz w:val="22"/>
          <w:szCs w:val="22"/>
        </w:rPr>
        <w:instrText xml:space="preserve"> HYPERLINK "http://www.nhi.fhwa.dot.gov/training/course_detail.aspx?num=FHWA-NHI-132079&amp;num=" </w:instrText>
      </w:r>
      <w:r w:rsidRPr="00213803">
        <w:rPr>
          <w:rFonts w:ascii="Arial" w:hAnsi="Arial" w:cs="Arial"/>
          <w:sz w:val="22"/>
          <w:szCs w:val="22"/>
        </w:rPr>
      </w:r>
      <w:r w:rsidRPr="00213803">
        <w:rPr>
          <w:rFonts w:ascii="Arial" w:hAnsi="Arial" w:cs="Arial"/>
          <w:sz w:val="22"/>
          <w:szCs w:val="22"/>
        </w:rPr>
        <w:fldChar w:fldCharType="separate"/>
      </w:r>
      <w:r w:rsidRPr="00213803">
        <w:rPr>
          <w:rFonts w:ascii="Arial" w:hAnsi="Arial" w:cs="Arial"/>
          <w:sz w:val="22"/>
          <w:szCs w:val="22"/>
        </w:rPr>
        <w:t>NHI 132079.</w:t>
      </w:r>
    </w:p>
    <w:p w14:paraId="2C3F8C90" w14:textId="7777777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fldChar w:fldCharType="end"/>
      </w:r>
    </w:p>
    <w:p w14:paraId="1D0038FF" w14:textId="3F9EB72F" w:rsidR="00213803" w:rsidRPr="00722B46" w:rsidRDefault="00213803" w:rsidP="00722B46">
      <w:pPr>
        <w:ind w:left="720" w:hanging="720"/>
        <w:jc w:val="both"/>
        <w:rPr>
          <w:rFonts w:ascii="Arial" w:hAnsi="Arial"/>
          <w:sz w:val="22"/>
        </w:rPr>
      </w:pPr>
      <w:r w:rsidRPr="00722B46">
        <w:rPr>
          <w:rFonts w:ascii="Arial" w:hAnsi="Arial"/>
          <w:sz w:val="22"/>
        </w:rPr>
        <w:t xml:space="preserve">“Geotechnical Engineering Circular No. 5 </w:t>
      </w:r>
      <w:r w:rsidRPr="00213803">
        <w:rPr>
          <w:rFonts w:ascii="Arial" w:hAnsi="Arial" w:cs="Arial"/>
          <w:sz w:val="22"/>
          <w:szCs w:val="22"/>
        </w:rPr>
        <w:t>–</w:t>
      </w:r>
      <w:r w:rsidRPr="00722B46">
        <w:rPr>
          <w:rFonts w:ascii="Arial" w:hAnsi="Arial"/>
          <w:sz w:val="22"/>
        </w:rPr>
        <w:t xml:space="preserve"> Evaluation of Soil and Rock Properties</w:t>
      </w:r>
      <w:r w:rsidRPr="00213803">
        <w:rPr>
          <w:rFonts w:ascii="Arial" w:hAnsi="Arial" w:cs="Arial"/>
          <w:sz w:val="22"/>
          <w:szCs w:val="22"/>
        </w:rPr>
        <w:t>.”</w:t>
      </w:r>
    </w:p>
    <w:p w14:paraId="2C974975" w14:textId="77777777" w:rsidR="00213803" w:rsidRPr="00722B46" w:rsidRDefault="00213803" w:rsidP="00722B46">
      <w:pPr>
        <w:ind w:left="720" w:hanging="720"/>
        <w:jc w:val="both"/>
        <w:rPr>
          <w:rFonts w:ascii="Arial" w:hAnsi="Arial"/>
          <w:sz w:val="22"/>
        </w:rPr>
      </w:pPr>
    </w:p>
    <w:p w14:paraId="42E9D789" w14:textId="136D1C12" w:rsidR="00213803" w:rsidRPr="00722B46" w:rsidRDefault="00213803" w:rsidP="00722B46">
      <w:pPr>
        <w:ind w:left="720" w:hanging="720"/>
        <w:jc w:val="both"/>
        <w:rPr>
          <w:rFonts w:ascii="Arial" w:hAnsi="Arial"/>
          <w:sz w:val="22"/>
        </w:rPr>
      </w:pPr>
      <w:r w:rsidRPr="00722B46">
        <w:rPr>
          <w:rFonts w:ascii="Arial" w:hAnsi="Arial"/>
          <w:sz w:val="22"/>
        </w:rPr>
        <w:t>Maryland Department of the Environment</w:t>
      </w:r>
      <w:r w:rsidRPr="00213803">
        <w:rPr>
          <w:rFonts w:ascii="Arial" w:hAnsi="Arial" w:cs="Arial"/>
          <w:sz w:val="22"/>
          <w:szCs w:val="22"/>
        </w:rPr>
        <w:t xml:space="preserve"> (2009).</w:t>
      </w:r>
      <w:r w:rsidRPr="00722B46">
        <w:rPr>
          <w:rFonts w:ascii="Arial" w:hAnsi="Arial"/>
          <w:sz w:val="22"/>
        </w:rPr>
        <w:t xml:space="preserve"> </w:t>
      </w:r>
      <w:r w:rsidRPr="00722B46">
        <w:rPr>
          <w:rFonts w:ascii="Arial" w:hAnsi="Arial"/>
          <w:i/>
          <w:sz w:val="22"/>
        </w:rPr>
        <w:t>Maryland Stormwater Design Manual,</w:t>
      </w:r>
      <w:r w:rsidRPr="00722B46">
        <w:rPr>
          <w:rFonts w:ascii="Arial" w:hAnsi="Arial"/>
          <w:sz w:val="22"/>
        </w:rPr>
        <w:t xml:space="preserve"> Volumes I </w:t>
      </w:r>
      <w:r w:rsidRPr="00213803">
        <w:rPr>
          <w:rFonts w:ascii="Arial" w:hAnsi="Arial" w:cs="Arial"/>
          <w:sz w:val="22"/>
          <w:szCs w:val="22"/>
        </w:rPr>
        <w:t>and</w:t>
      </w:r>
      <w:r w:rsidRPr="00722B46">
        <w:rPr>
          <w:rFonts w:ascii="Arial" w:hAnsi="Arial"/>
          <w:sz w:val="22"/>
        </w:rPr>
        <w:t xml:space="preserve"> II</w:t>
      </w:r>
      <w:r w:rsidRPr="00213803">
        <w:rPr>
          <w:rFonts w:ascii="Arial" w:hAnsi="Arial" w:cs="Arial"/>
          <w:sz w:val="22"/>
          <w:szCs w:val="22"/>
        </w:rPr>
        <w:t>,</w:t>
      </w:r>
      <w:r w:rsidRPr="00722B46">
        <w:rPr>
          <w:rFonts w:ascii="Arial" w:hAnsi="Arial"/>
          <w:sz w:val="22"/>
        </w:rPr>
        <w:t xml:space="preserve"> Baltimore, MD.</w:t>
      </w:r>
    </w:p>
    <w:p w14:paraId="1FFE67EE" w14:textId="77777777" w:rsidR="00213803" w:rsidRPr="00722B46" w:rsidRDefault="00213803" w:rsidP="00722B46">
      <w:pPr>
        <w:ind w:left="720" w:hanging="720"/>
        <w:jc w:val="both"/>
        <w:rPr>
          <w:rFonts w:ascii="Arial" w:hAnsi="Arial"/>
          <w:sz w:val="22"/>
        </w:rPr>
      </w:pPr>
    </w:p>
    <w:p w14:paraId="7DE5E209" w14:textId="42FE1A4F" w:rsidR="00213803" w:rsidRPr="00722B46" w:rsidRDefault="00213803" w:rsidP="00722B46">
      <w:pPr>
        <w:ind w:left="720" w:hanging="720"/>
        <w:jc w:val="both"/>
        <w:rPr>
          <w:rFonts w:ascii="Arial" w:hAnsi="Arial"/>
          <w:sz w:val="22"/>
        </w:rPr>
      </w:pPr>
      <w:r w:rsidRPr="00722B46">
        <w:rPr>
          <w:rFonts w:ascii="Arial" w:hAnsi="Arial"/>
          <w:sz w:val="22"/>
        </w:rPr>
        <w:t>Maryland Department of Transportation</w:t>
      </w:r>
      <w:r w:rsidRPr="00213803">
        <w:rPr>
          <w:rFonts w:ascii="Arial" w:hAnsi="Arial" w:cs="Arial"/>
          <w:sz w:val="22"/>
          <w:szCs w:val="22"/>
        </w:rPr>
        <w:t xml:space="preserve"> (2008).</w:t>
      </w:r>
      <w:r w:rsidRPr="00722B46">
        <w:rPr>
          <w:rFonts w:ascii="Arial" w:hAnsi="Arial"/>
          <w:sz w:val="22"/>
        </w:rPr>
        <w:t xml:space="preserve">  </w:t>
      </w:r>
      <w:r w:rsidRPr="00722B46">
        <w:rPr>
          <w:rFonts w:ascii="Arial" w:hAnsi="Arial"/>
          <w:i/>
          <w:sz w:val="22"/>
        </w:rPr>
        <w:t>Standard Specifications for Construction and Materials</w:t>
      </w:r>
      <w:r w:rsidRPr="00213803">
        <w:rPr>
          <w:rFonts w:ascii="Arial" w:hAnsi="Arial" w:cs="Arial"/>
          <w:i/>
          <w:sz w:val="22"/>
          <w:szCs w:val="22"/>
        </w:rPr>
        <w:t>,</w:t>
      </w:r>
      <w:r w:rsidRPr="00722B46">
        <w:rPr>
          <w:rFonts w:ascii="Arial" w:hAnsi="Arial"/>
          <w:sz w:val="22"/>
        </w:rPr>
        <w:t xml:space="preserve"> Baltimore, MD.</w:t>
      </w:r>
    </w:p>
    <w:p w14:paraId="771D6588" w14:textId="77777777" w:rsidR="00213803" w:rsidRPr="00722B46" w:rsidRDefault="00213803" w:rsidP="00722B46">
      <w:pPr>
        <w:ind w:left="720" w:hanging="720"/>
        <w:jc w:val="both"/>
        <w:rPr>
          <w:rFonts w:ascii="Arial" w:hAnsi="Arial"/>
          <w:sz w:val="22"/>
        </w:rPr>
      </w:pPr>
    </w:p>
    <w:p w14:paraId="3DCD12C2" w14:textId="333BF8D8" w:rsidR="00213803" w:rsidRPr="00722B46" w:rsidRDefault="00213803" w:rsidP="00722B46">
      <w:pPr>
        <w:ind w:left="720" w:hanging="720"/>
        <w:jc w:val="both"/>
        <w:rPr>
          <w:rFonts w:ascii="Arial" w:hAnsi="Arial"/>
          <w:sz w:val="22"/>
        </w:rPr>
      </w:pPr>
      <w:r w:rsidRPr="00722B46">
        <w:rPr>
          <w:rFonts w:ascii="Arial" w:hAnsi="Arial"/>
          <w:sz w:val="22"/>
        </w:rPr>
        <w:t xml:space="preserve">Maryland State Highway Administration. </w:t>
      </w:r>
      <w:r w:rsidRPr="00722B46">
        <w:rPr>
          <w:rFonts w:ascii="Arial" w:hAnsi="Arial"/>
          <w:i/>
          <w:sz w:val="22"/>
        </w:rPr>
        <w:t>Book of Standards for Highway and Incidental Structures</w:t>
      </w:r>
      <w:r w:rsidRPr="00213803">
        <w:rPr>
          <w:rFonts w:ascii="Arial" w:hAnsi="Arial" w:cs="Arial"/>
          <w:i/>
          <w:sz w:val="22"/>
          <w:szCs w:val="22"/>
        </w:rPr>
        <w:t>,</w:t>
      </w:r>
      <w:r w:rsidRPr="00722B46">
        <w:rPr>
          <w:rFonts w:ascii="Arial" w:hAnsi="Arial"/>
          <w:sz w:val="22"/>
        </w:rPr>
        <w:t xml:space="preserve"> Baltimore, MD.</w:t>
      </w:r>
    </w:p>
    <w:p w14:paraId="7F557C28" w14:textId="77777777" w:rsidR="00213803" w:rsidRPr="00722B46" w:rsidRDefault="00213803" w:rsidP="00722B46">
      <w:pPr>
        <w:ind w:left="720" w:hanging="720"/>
        <w:jc w:val="both"/>
        <w:rPr>
          <w:rFonts w:ascii="Arial" w:hAnsi="Arial"/>
          <w:sz w:val="22"/>
        </w:rPr>
      </w:pPr>
    </w:p>
    <w:p w14:paraId="694B42FF" w14:textId="7777777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Minnesota Department of Transportation (2017). “Geotechnical Engineering Manual: Geotechnical Engineering Section.”</w:t>
      </w:r>
    </w:p>
    <w:p w14:paraId="07561C9D" w14:textId="77777777" w:rsidR="00213803" w:rsidRPr="00722B46" w:rsidRDefault="00213803" w:rsidP="00722B46">
      <w:pPr>
        <w:ind w:left="720" w:hanging="720"/>
        <w:jc w:val="both"/>
        <w:rPr>
          <w:rFonts w:ascii="Arial" w:hAnsi="Arial"/>
          <w:sz w:val="22"/>
        </w:rPr>
      </w:pPr>
    </w:p>
    <w:p w14:paraId="0D945CB3" w14:textId="437D7B2E" w:rsidR="00213803" w:rsidRPr="00722B46" w:rsidRDefault="00213803" w:rsidP="00722B46">
      <w:pPr>
        <w:ind w:left="720" w:hanging="720"/>
        <w:jc w:val="both"/>
        <w:rPr>
          <w:rFonts w:ascii="Arial" w:hAnsi="Arial"/>
          <w:sz w:val="22"/>
        </w:rPr>
      </w:pPr>
      <w:r w:rsidRPr="00722B46">
        <w:rPr>
          <w:rFonts w:ascii="Arial" w:hAnsi="Arial"/>
          <w:sz w:val="22"/>
        </w:rPr>
        <w:t>National Concrete Pavement Technology Center</w:t>
      </w:r>
      <w:r w:rsidRPr="00213803">
        <w:rPr>
          <w:rFonts w:ascii="Arial" w:hAnsi="Arial" w:cs="Arial"/>
          <w:sz w:val="22"/>
          <w:szCs w:val="22"/>
        </w:rPr>
        <w:t xml:space="preserve"> (2008).</w:t>
      </w:r>
      <w:r w:rsidRPr="00722B46">
        <w:rPr>
          <w:rFonts w:ascii="Arial" w:hAnsi="Arial"/>
          <w:sz w:val="22"/>
        </w:rPr>
        <w:t xml:space="preserve">  </w:t>
      </w:r>
      <w:r w:rsidRPr="00722B46">
        <w:rPr>
          <w:rFonts w:ascii="Arial" w:hAnsi="Arial"/>
          <w:i/>
          <w:sz w:val="22"/>
        </w:rPr>
        <w:t>Guide to Concrete Overlays.</w:t>
      </w:r>
      <w:r w:rsidRPr="00722B46">
        <w:rPr>
          <w:rFonts w:ascii="Arial" w:hAnsi="Arial"/>
          <w:sz w:val="22"/>
        </w:rPr>
        <w:t xml:space="preserve"> Ames, IA.</w:t>
      </w:r>
    </w:p>
    <w:p w14:paraId="0FB4F235" w14:textId="77777777" w:rsidR="00213803" w:rsidRPr="00722B46" w:rsidRDefault="00213803" w:rsidP="00722B46">
      <w:pPr>
        <w:ind w:left="720" w:hanging="720"/>
        <w:jc w:val="both"/>
        <w:rPr>
          <w:rFonts w:ascii="Arial" w:hAnsi="Arial"/>
          <w:sz w:val="22"/>
        </w:rPr>
      </w:pPr>
    </w:p>
    <w:p w14:paraId="2BBC910E" w14:textId="32F73327" w:rsidR="00213803" w:rsidRPr="00722B46" w:rsidRDefault="00213803" w:rsidP="00722B46">
      <w:pPr>
        <w:ind w:left="720" w:hanging="720"/>
        <w:jc w:val="both"/>
        <w:rPr>
          <w:rFonts w:ascii="Arial" w:hAnsi="Arial"/>
          <w:sz w:val="22"/>
        </w:rPr>
      </w:pPr>
      <w:r w:rsidRPr="00213803">
        <w:rPr>
          <w:rFonts w:ascii="Arial" w:hAnsi="Arial" w:cs="Arial"/>
          <w:sz w:val="22"/>
          <w:szCs w:val="22"/>
        </w:rPr>
        <w:t>Naval Facilities Engineering Command (</w:t>
      </w:r>
      <w:r w:rsidRPr="00722B46">
        <w:rPr>
          <w:rFonts w:ascii="Arial" w:hAnsi="Arial"/>
          <w:sz w:val="22"/>
        </w:rPr>
        <w:t>NAVFAC</w:t>
      </w:r>
      <w:r w:rsidRPr="00213803">
        <w:rPr>
          <w:rFonts w:ascii="Arial" w:hAnsi="Arial" w:cs="Arial"/>
          <w:sz w:val="22"/>
          <w:szCs w:val="22"/>
        </w:rPr>
        <w:t>)</w:t>
      </w:r>
      <w:r w:rsidRPr="00722B46">
        <w:rPr>
          <w:rFonts w:ascii="Arial" w:hAnsi="Arial"/>
          <w:sz w:val="22"/>
        </w:rPr>
        <w:t xml:space="preserve"> (1982). </w:t>
      </w:r>
      <w:r w:rsidRPr="00722B46">
        <w:rPr>
          <w:rFonts w:ascii="Arial" w:hAnsi="Arial"/>
          <w:i/>
          <w:sz w:val="22"/>
        </w:rPr>
        <w:t>Design Manual: Soil Mechanics</w:t>
      </w:r>
      <w:r w:rsidRPr="00213803">
        <w:rPr>
          <w:rFonts w:ascii="Arial" w:hAnsi="Arial" w:cs="Arial"/>
          <w:sz w:val="22"/>
          <w:szCs w:val="22"/>
        </w:rPr>
        <w:t>, DM-7.1</w:t>
      </w:r>
      <w:r w:rsidRPr="00722B46">
        <w:rPr>
          <w:rFonts w:ascii="Arial" w:hAnsi="Arial"/>
          <w:sz w:val="22"/>
        </w:rPr>
        <w:t xml:space="preserve">, U.S. Government Printing Office, Washington, </w:t>
      </w:r>
      <w:r w:rsidRPr="00213803">
        <w:rPr>
          <w:rFonts w:ascii="Arial" w:hAnsi="Arial" w:cs="Arial"/>
          <w:sz w:val="22"/>
          <w:szCs w:val="22"/>
        </w:rPr>
        <w:t>DC</w:t>
      </w:r>
      <w:r w:rsidRPr="00722B46">
        <w:rPr>
          <w:rFonts w:ascii="Arial" w:hAnsi="Arial"/>
          <w:sz w:val="22"/>
        </w:rPr>
        <w:t xml:space="preserve">. </w:t>
      </w:r>
    </w:p>
    <w:p w14:paraId="7C158998" w14:textId="77777777" w:rsidR="00213803" w:rsidRPr="00722B46" w:rsidRDefault="00213803" w:rsidP="00722B46">
      <w:pPr>
        <w:ind w:left="720" w:hanging="720"/>
        <w:jc w:val="both"/>
        <w:rPr>
          <w:rFonts w:ascii="Arial" w:hAnsi="Arial"/>
          <w:sz w:val="22"/>
        </w:rPr>
      </w:pPr>
    </w:p>
    <w:p w14:paraId="614C7F4F" w14:textId="52966C61" w:rsidR="00213803" w:rsidRPr="00722B46" w:rsidRDefault="00213803" w:rsidP="00722B46">
      <w:pPr>
        <w:ind w:left="720" w:hanging="720"/>
        <w:jc w:val="both"/>
        <w:rPr>
          <w:rFonts w:ascii="Arial" w:hAnsi="Arial"/>
          <w:sz w:val="22"/>
        </w:rPr>
      </w:pPr>
      <w:r w:rsidRPr="00213803">
        <w:rPr>
          <w:rFonts w:ascii="Arial" w:hAnsi="Arial" w:cs="Arial"/>
          <w:sz w:val="22"/>
          <w:szCs w:val="22"/>
        </w:rPr>
        <w:t>National Cooperative Highway Research Program (NCHRP)</w:t>
      </w:r>
      <w:r w:rsidRPr="00722B46">
        <w:rPr>
          <w:rFonts w:ascii="Arial" w:hAnsi="Arial"/>
          <w:sz w:val="22"/>
        </w:rPr>
        <w:t xml:space="preserve"> Web Document 65</w:t>
      </w:r>
      <w:r w:rsidRPr="00213803">
        <w:rPr>
          <w:rFonts w:ascii="Arial" w:hAnsi="Arial" w:cs="Arial"/>
          <w:sz w:val="22"/>
          <w:szCs w:val="22"/>
        </w:rPr>
        <w:t>,</w:t>
      </w:r>
      <w:r w:rsidRPr="00722B46">
        <w:rPr>
          <w:rFonts w:ascii="Arial" w:hAnsi="Arial"/>
          <w:sz w:val="22"/>
        </w:rPr>
        <w:t xml:space="preserve"> “Geofoam Applications in the design and construction of Highway Embankments</w:t>
      </w:r>
      <w:r w:rsidRPr="00213803">
        <w:rPr>
          <w:rFonts w:ascii="Arial" w:hAnsi="Arial" w:cs="Arial"/>
          <w:sz w:val="22"/>
          <w:szCs w:val="22"/>
        </w:rPr>
        <w:t>.”</w:t>
      </w:r>
    </w:p>
    <w:p w14:paraId="4EBCD38A" w14:textId="77777777" w:rsidR="00213803" w:rsidRPr="00213803" w:rsidRDefault="00213803" w:rsidP="00213803">
      <w:pPr>
        <w:tabs>
          <w:tab w:val="left" w:pos="3600"/>
        </w:tabs>
        <w:ind w:left="720" w:hanging="720"/>
        <w:jc w:val="both"/>
        <w:rPr>
          <w:rFonts w:ascii="Arial" w:hAnsi="Arial" w:cs="Arial"/>
          <w:sz w:val="22"/>
          <w:szCs w:val="22"/>
        </w:rPr>
      </w:pPr>
    </w:p>
    <w:p w14:paraId="3D0C26CE" w14:textId="7777777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NCHRP (2006). “Use of Geophysics for Transportation Projects.”</w:t>
      </w:r>
    </w:p>
    <w:p w14:paraId="1639863A" w14:textId="77777777" w:rsidR="00213803" w:rsidRPr="00722B46" w:rsidRDefault="00213803" w:rsidP="00722B46">
      <w:pPr>
        <w:ind w:left="720" w:hanging="720"/>
        <w:jc w:val="both"/>
        <w:rPr>
          <w:rFonts w:ascii="Arial" w:hAnsi="Arial"/>
          <w:sz w:val="22"/>
        </w:rPr>
      </w:pPr>
    </w:p>
    <w:p w14:paraId="37DF2D4C" w14:textId="773E09F0" w:rsidR="00213803" w:rsidRPr="00722B46" w:rsidRDefault="00213803" w:rsidP="00722B46">
      <w:pPr>
        <w:ind w:left="720" w:hanging="720"/>
        <w:jc w:val="both"/>
        <w:rPr>
          <w:rFonts w:ascii="Arial" w:hAnsi="Arial"/>
          <w:sz w:val="22"/>
        </w:rPr>
      </w:pPr>
      <w:r w:rsidRPr="00722B46">
        <w:rPr>
          <w:rFonts w:ascii="Arial" w:hAnsi="Arial"/>
          <w:sz w:val="22"/>
        </w:rPr>
        <w:t>Nebraska Department of Roads</w:t>
      </w:r>
      <w:r w:rsidRPr="00213803">
        <w:rPr>
          <w:rFonts w:ascii="Arial" w:hAnsi="Arial" w:cs="Arial"/>
          <w:sz w:val="22"/>
          <w:szCs w:val="22"/>
        </w:rPr>
        <w:t xml:space="preserve"> (2002).</w:t>
      </w:r>
      <w:r w:rsidRPr="00722B46">
        <w:rPr>
          <w:rFonts w:ascii="Arial" w:hAnsi="Arial"/>
          <w:sz w:val="22"/>
        </w:rPr>
        <w:t xml:space="preserve"> </w:t>
      </w:r>
      <w:r w:rsidRPr="00722B46">
        <w:rPr>
          <w:rFonts w:ascii="Arial" w:hAnsi="Arial"/>
          <w:i/>
          <w:sz w:val="22"/>
        </w:rPr>
        <w:t>Pavement Maintenance Manual</w:t>
      </w:r>
      <w:r w:rsidRPr="00213803">
        <w:rPr>
          <w:rFonts w:ascii="Arial" w:hAnsi="Arial" w:cs="Arial"/>
          <w:i/>
          <w:sz w:val="22"/>
          <w:szCs w:val="22"/>
        </w:rPr>
        <w:t>,</w:t>
      </w:r>
      <w:r w:rsidRPr="00722B46">
        <w:rPr>
          <w:rFonts w:ascii="Arial" w:hAnsi="Arial"/>
          <w:sz w:val="22"/>
        </w:rPr>
        <w:t xml:space="preserve"> Lincoln, NE.</w:t>
      </w:r>
    </w:p>
    <w:p w14:paraId="07D9885E" w14:textId="77777777" w:rsidR="00213803" w:rsidRPr="00213803" w:rsidRDefault="00213803" w:rsidP="00213803">
      <w:pPr>
        <w:tabs>
          <w:tab w:val="left" w:pos="3884"/>
        </w:tabs>
        <w:ind w:left="720" w:hanging="720"/>
        <w:jc w:val="both"/>
        <w:rPr>
          <w:rFonts w:ascii="Arial" w:hAnsi="Arial" w:cs="Arial"/>
          <w:sz w:val="22"/>
          <w:szCs w:val="22"/>
        </w:rPr>
      </w:pPr>
    </w:p>
    <w:p w14:paraId="3F5123C3" w14:textId="7777777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NHI (2002). “Subsurface Investigations – Geotechnical Site Characterizations Reference Manual,” Course No. 132031.</w:t>
      </w:r>
    </w:p>
    <w:p w14:paraId="26D5D0B9" w14:textId="77777777" w:rsidR="00213803" w:rsidRPr="00213803" w:rsidRDefault="00213803" w:rsidP="00213803">
      <w:pPr>
        <w:ind w:left="720" w:hanging="720"/>
        <w:jc w:val="both"/>
        <w:rPr>
          <w:rFonts w:ascii="Arial" w:hAnsi="Arial" w:cs="Arial"/>
          <w:sz w:val="22"/>
          <w:szCs w:val="22"/>
        </w:rPr>
      </w:pPr>
    </w:p>
    <w:p w14:paraId="73B51DB9" w14:textId="7777777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New Hampshire Department of Transportation (2006). “Integrated Geophysical Methods for Geotechnical Subsurface Investigations.”</w:t>
      </w:r>
    </w:p>
    <w:p w14:paraId="06423E38" w14:textId="77777777" w:rsidR="00213803" w:rsidRPr="00722B46" w:rsidRDefault="00213803" w:rsidP="00722B46">
      <w:pPr>
        <w:ind w:left="720" w:hanging="720"/>
        <w:jc w:val="both"/>
        <w:rPr>
          <w:rFonts w:ascii="Arial" w:hAnsi="Arial"/>
          <w:sz w:val="22"/>
        </w:rPr>
      </w:pPr>
    </w:p>
    <w:p w14:paraId="36598F22" w14:textId="766A626C" w:rsidR="00213803" w:rsidRPr="00722B46" w:rsidRDefault="00213803" w:rsidP="00722B46">
      <w:pPr>
        <w:ind w:left="720" w:hanging="720"/>
        <w:jc w:val="both"/>
        <w:rPr>
          <w:rFonts w:ascii="Arial" w:hAnsi="Arial"/>
          <w:sz w:val="22"/>
        </w:rPr>
      </w:pPr>
      <w:r w:rsidRPr="00722B46">
        <w:rPr>
          <w:rFonts w:ascii="Arial" w:hAnsi="Arial"/>
          <w:sz w:val="22"/>
        </w:rPr>
        <w:t>State of California Department of Transportation</w:t>
      </w:r>
      <w:r w:rsidRPr="00213803">
        <w:rPr>
          <w:rFonts w:ascii="Arial" w:hAnsi="Arial" w:cs="Arial"/>
          <w:sz w:val="22"/>
          <w:szCs w:val="22"/>
        </w:rPr>
        <w:t xml:space="preserve"> (Caltrans) (2003).</w:t>
      </w:r>
      <w:r w:rsidRPr="00722B46">
        <w:rPr>
          <w:rFonts w:ascii="Arial" w:hAnsi="Arial"/>
          <w:sz w:val="22"/>
        </w:rPr>
        <w:t xml:space="preserve"> </w:t>
      </w:r>
      <w:r w:rsidRPr="00722B46">
        <w:rPr>
          <w:rFonts w:ascii="Arial" w:hAnsi="Arial"/>
          <w:i/>
          <w:sz w:val="22"/>
        </w:rPr>
        <w:t>Asphalt Rubber Usage Guide</w:t>
      </w:r>
      <w:r w:rsidRPr="00213803">
        <w:rPr>
          <w:rFonts w:ascii="Arial" w:hAnsi="Arial" w:cs="Arial"/>
          <w:i/>
          <w:sz w:val="22"/>
          <w:szCs w:val="22"/>
        </w:rPr>
        <w:t>,</w:t>
      </w:r>
      <w:r w:rsidRPr="00722B46">
        <w:rPr>
          <w:rFonts w:ascii="Arial" w:hAnsi="Arial"/>
          <w:sz w:val="22"/>
        </w:rPr>
        <w:t xml:space="preserve"> Sa</w:t>
      </w:r>
      <w:r w:rsidR="0001139B" w:rsidRPr="00722B46">
        <w:rPr>
          <w:rFonts w:ascii="Arial" w:hAnsi="Arial"/>
          <w:sz w:val="22"/>
        </w:rPr>
        <w:t xml:space="preserve">cramento, </w:t>
      </w:r>
      <w:r w:rsidR="0001139B">
        <w:rPr>
          <w:rFonts w:ascii="Arial" w:hAnsi="Arial" w:cs="Arial"/>
          <w:sz w:val="22"/>
          <w:szCs w:val="22"/>
        </w:rPr>
        <w:t xml:space="preserve">CA, </w:t>
      </w:r>
      <w:r w:rsidR="0001139B" w:rsidRPr="00722B46">
        <w:rPr>
          <w:rFonts w:ascii="Arial" w:hAnsi="Arial"/>
          <w:sz w:val="22"/>
        </w:rPr>
        <w:t>January.</w:t>
      </w:r>
    </w:p>
    <w:p w14:paraId="24D4EC50" w14:textId="77777777" w:rsidR="00213803" w:rsidRPr="00722B46" w:rsidRDefault="00213803" w:rsidP="00722B46">
      <w:pPr>
        <w:ind w:left="720" w:hanging="720"/>
        <w:jc w:val="both"/>
        <w:rPr>
          <w:rFonts w:ascii="Arial" w:hAnsi="Arial"/>
          <w:sz w:val="22"/>
        </w:rPr>
      </w:pPr>
    </w:p>
    <w:p w14:paraId="177A6E31" w14:textId="619D5096" w:rsidR="00213803" w:rsidRPr="00722B46" w:rsidRDefault="00213803" w:rsidP="00722B46">
      <w:pPr>
        <w:ind w:left="720" w:hanging="720"/>
        <w:jc w:val="both"/>
        <w:rPr>
          <w:rFonts w:ascii="Arial" w:hAnsi="Arial"/>
          <w:sz w:val="22"/>
        </w:rPr>
      </w:pPr>
      <w:r w:rsidRPr="00213803">
        <w:rPr>
          <w:rFonts w:ascii="Arial" w:hAnsi="Arial" w:cs="Arial"/>
          <w:sz w:val="22"/>
          <w:szCs w:val="22"/>
        </w:rPr>
        <w:t>Caltrans (2003).</w:t>
      </w:r>
      <w:r w:rsidRPr="00722B46">
        <w:rPr>
          <w:rFonts w:ascii="Arial" w:hAnsi="Arial"/>
          <w:sz w:val="22"/>
        </w:rPr>
        <w:t xml:space="preserve"> </w:t>
      </w:r>
      <w:r w:rsidRPr="00722B46">
        <w:rPr>
          <w:rFonts w:ascii="Arial" w:hAnsi="Arial"/>
          <w:i/>
          <w:sz w:val="22"/>
        </w:rPr>
        <w:t>Maintenance Technical Advisory Guide</w:t>
      </w:r>
      <w:r w:rsidRPr="00722B46">
        <w:rPr>
          <w:rFonts w:ascii="Arial" w:hAnsi="Arial"/>
          <w:sz w:val="22"/>
        </w:rPr>
        <w:t xml:space="preserve"> (TAG</w:t>
      </w:r>
      <w:r w:rsidRPr="00213803">
        <w:rPr>
          <w:rFonts w:ascii="Arial" w:hAnsi="Arial" w:cs="Arial"/>
          <w:sz w:val="22"/>
          <w:szCs w:val="22"/>
        </w:rPr>
        <w:t>),</w:t>
      </w:r>
      <w:r w:rsidRPr="00722B46">
        <w:rPr>
          <w:rFonts w:ascii="Arial" w:hAnsi="Arial"/>
          <w:sz w:val="22"/>
        </w:rPr>
        <w:t xml:space="preserve"> Sacramento, </w:t>
      </w:r>
      <w:r w:rsidR="0001139B">
        <w:rPr>
          <w:rFonts w:ascii="Arial" w:hAnsi="Arial" w:cs="Arial"/>
          <w:sz w:val="22"/>
          <w:szCs w:val="22"/>
        </w:rPr>
        <w:t xml:space="preserve">CA, </w:t>
      </w:r>
      <w:r w:rsidRPr="00722B46">
        <w:rPr>
          <w:rFonts w:ascii="Arial" w:hAnsi="Arial"/>
          <w:sz w:val="22"/>
        </w:rPr>
        <w:t>October.</w:t>
      </w:r>
    </w:p>
    <w:p w14:paraId="4EE1F8F5" w14:textId="77777777" w:rsidR="00213803" w:rsidRPr="00722B46" w:rsidRDefault="00213803" w:rsidP="00722B46">
      <w:pPr>
        <w:ind w:left="720" w:hanging="720"/>
        <w:jc w:val="both"/>
        <w:rPr>
          <w:rFonts w:ascii="Arial" w:hAnsi="Arial"/>
          <w:sz w:val="22"/>
        </w:rPr>
      </w:pPr>
    </w:p>
    <w:p w14:paraId="4E18C0D2" w14:textId="2C585BAC" w:rsidR="00213803" w:rsidRPr="00722B46" w:rsidRDefault="00213803" w:rsidP="00722B46">
      <w:pPr>
        <w:ind w:left="720" w:hanging="720"/>
        <w:jc w:val="both"/>
        <w:rPr>
          <w:rFonts w:ascii="Arial" w:hAnsi="Arial"/>
          <w:sz w:val="22"/>
        </w:rPr>
      </w:pPr>
      <w:r w:rsidRPr="00722B46">
        <w:rPr>
          <w:rFonts w:ascii="Arial" w:hAnsi="Arial"/>
          <w:sz w:val="22"/>
        </w:rPr>
        <w:t>Texas Department of Transportation</w:t>
      </w:r>
      <w:r w:rsidRPr="00213803">
        <w:rPr>
          <w:rFonts w:ascii="Arial" w:hAnsi="Arial" w:cs="Arial"/>
          <w:sz w:val="22"/>
          <w:szCs w:val="22"/>
        </w:rPr>
        <w:t xml:space="preserve"> (2008).</w:t>
      </w:r>
      <w:r w:rsidRPr="00722B46">
        <w:rPr>
          <w:rFonts w:ascii="Arial" w:hAnsi="Arial"/>
          <w:sz w:val="22"/>
        </w:rPr>
        <w:t xml:space="preserve"> </w:t>
      </w:r>
      <w:r w:rsidRPr="00722B46">
        <w:rPr>
          <w:rFonts w:ascii="Arial" w:hAnsi="Arial"/>
          <w:i/>
          <w:sz w:val="22"/>
        </w:rPr>
        <w:t>Pavement Design Guide</w:t>
      </w:r>
      <w:r w:rsidRPr="00213803">
        <w:rPr>
          <w:rFonts w:ascii="Arial" w:hAnsi="Arial" w:cs="Arial"/>
          <w:i/>
          <w:sz w:val="22"/>
          <w:szCs w:val="22"/>
        </w:rPr>
        <w:t>,</w:t>
      </w:r>
      <w:r w:rsidRPr="00722B46">
        <w:rPr>
          <w:rFonts w:ascii="Arial" w:hAnsi="Arial"/>
          <w:sz w:val="22"/>
        </w:rPr>
        <w:t xml:space="preserve"> Austin, TX.</w:t>
      </w:r>
    </w:p>
    <w:p w14:paraId="26AA0EC2" w14:textId="77777777" w:rsidR="00213803" w:rsidRPr="00722B46" w:rsidRDefault="00213803" w:rsidP="00722B46">
      <w:pPr>
        <w:ind w:left="720" w:hanging="720"/>
        <w:jc w:val="both"/>
        <w:rPr>
          <w:rFonts w:ascii="Arial" w:hAnsi="Arial"/>
          <w:sz w:val="22"/>
        </w:rPr>
      </w:pPr>
    </w:p>
    <w:p w14:paraId="6504F37A" w14:textId="5371FA86" w:rsidR="00213803" w:rsidRPr="00722B46" w:rsidRDefault="00213803" w:rsidP="00722B46">
      <w:pPr>
        <w:ind w:left="720" w:hanging="720"/>
        <w:jc w:val="both"/>
        <w:rPr>
          <w:rFonts w:ascii="Arial" w:hAnsi="Arial"/>
          <w:sz w:val="22"/>
        </w:rPr>
      </w:pPr>
      <w:r w:rsidRPr="00722B46">
        <w:rPr>
          <w:rFonts w:ascii="Arial" w:hAnsi="Arial"/>
          <w:sz w:val="22"/>
        </w:rPr>
        <w:lastRenderedPageBreak/>
        <w:t>Transportation Research Board</w:t>
      </w:r>
      <w:r w:rsidRPr="00213803">
        <w:rPr>
          <w:rFonts w:ascii="Arial" w:hAnsi="Arial" w:cs="Arial"/>
          <w:sz w:val="22"/>
          <w:szCs w:val="22"/>
        </w:rPr>
        <w:t xml:space="preserve"> (2004). (NCHRP</w:t>
      </w:r>
      <w:r w:rsidRPr="00722B46">
        <w:rPr>
          <w:rFonts w:ascii="Arial" w:hAnsi="Arial"/>
          <w:sz w:val="22"/>
        </w:rPr>
        <w:t xml:space="preserve"> Synthesis 338): </w:t>
      </w:r>
      <w:r w:rsidRPr="00213803">
        <w:rPr>
          <w:rFonts w:ascii="Arial" w:hAnsi="Arial" w:cs="Arial"/>
          <w:sz w:val="22"/>
          <w:szCs w:val="22"/>
        </w:rPr>
        <w:t>“</w:t>
      </w:r>
      <w:r w:rsidRPr="00722B46">
        <w:rPr>
          <w:rFonts w:ascii="Arial" w:hAnsi="Arial"/>
          <w:sz w:val="22"/>
        </w:rPr>
        <w:t>Thin and Ultra-thin Whitetopping</w:t>
      </w:r>
      <w:r w:rsidRPr="00213803">
        <w:rPr>
          <w:rFonts w:ascii="Arial" w:hAnsi="Arial" w:cs="Arial"/>
          <w:sz w:val="22"/>
          <w:szCs w:val="22"/>
        </w:rPr>
        <w:t>,”</w:t>
      </w:r>
      <w:r w:rsidRPr="00722B46">
        <w:rPr>
          <w:rFonts w:ascii="Arial" w:hAnsi="Arial"/>
          <w:sz w:val="22"/>
        </w:rPr>
        <w:t xml:space="preserve"> Washington</w:t>
      </w:r>
      <w:r w:rsidRPr="00213803">
        <w:rPr>
          <w:rFonts w:ascii="Arial" w:hAnsi="Arial" w:cs="Arial"/>
          <w:sz w:val="22"/>
          <w:szCs w:val="22"/>
        </w:rPr>
        <w:t>, DC.</w:t>
      </w:r>
    </w:p>
    <w:p w14:paraId="09FD88B5" w14:textId="77777777" w:rsidR="00213803" w:rsidRPr="00722B46" w:rsidRDefault="00213803" w:rsidP="00722B46">
      <w:pPr>
        <w:ind w:left="720" w:hanging="720"/>
        <w:jc w:val="both"/>
        <w:rPr>
          <w:rFonts w:ascii="Arial" w:hAnsi="Arial"/>
          <w:sz w:val="22"/>
        </w:rPr>
      </w:pPr>
    </w:p>
    <w:p w14:paraId="5E72451E" w14:textId="0551C94D" w:rsidR="00213803" w:rsidRPr="00722B46" w:rsidRDefault="00213803" w:rsidP="00722B46">
      <w:pPr>
        <w:ind w:left="720" w:hanging="720"/>
        <w:jc w:val="both"/>
        <w:rPr>
          <w:rFonts w:ascii="Arial" w:hAnsi="Arial"/>
          <w:sz w:val="22"/>
        </w:rPr>
      </w:pPr>
      <w:r w:rsidRPr="00722B46">
        <w:rPr>
          <w:rFonts w:ascii="Arial" w:hAnsi="Arial"/>
          <w:sz w:val="22"/>
        </w:rPr>
        <w:t>Transportation Research Board</w:t>
      </w:r>
      <w:r w:rsidRPr="00213803">
        <w:rPr>
          <w:rFonts w:ascii="Arial" w:hAnsi="Arial" w:cs="Arial"/>
          <w:sz w:val="22"/>
          <w:szCs w:val="22"/>
        </w:rPr>
        <w:t xml:space="preserve"> (2011).</w:t>
      </w:r>
      <w:r w:rsidRPr="00722B46">
        <w:rPr>
          <w:rFonts w:ascii="Arial" w:hAnsi="Arial"/>
          <w:sz w:val="22"/>
        </w:rPr>
        <w:t xml:space="preserve">  SHRP2 Renewal Research (SHRP2 Report S2-R26-RR-2): </w:t>
      </w:r>
      <w:r w:rsidRPr="00213803">
        <w:rPr>
          <w:rFonts w:ascii="Arial" w:hAnsi="Arial" w:cs="Arial"/>
          <w:sz w:val="22"/>
          <w:szCs w:val="22"/>
        </w:rPr>
        <w:t>“</w:t>
      </w:r>
      <w:r w:rsidRPr="00722B46">
        <w:rPr>
          <w:rFonts w:ascii="Arial" w:hAnsi="Arial"/>
          <w:sz w:val="22"/>
        </w:rPr>
        <w:t>Guidelines for the Preservation of High-Traffic-Volume Roadways</w:t>
      </w:r>
      <w:r w:rsidRPr="00213803">
        <w:rPr>
          <w:rFonts w:ascii="Arial" w:hAnsi="Arial" w:cs="Arial"/>
          <w:sz w:val="22"/>
          <w:szCs w:val="22"/>
        </w:rPr>
        <w:t>,”</w:t>
      </w:r>
      <w:r w:rsidRPr="00722B46">
        <w:rPr>
          <w:rFonts w:ascii="Arial" w:hAnsi="Arial"/>
          <w:i/>
          <w:sz w:val="22"/>
        </w:rPr>
        <w:t xml:space="preserve"> </w:t>
      </w:r>
      <w:r w:rsidRPr="00722B46">
        <w:rPr>
          <w:rFonts w:ascii="Arial" w:hAnsi="Arial"/>
          <w:sz w:val="22"/>
        </w:rPr>
        <w:t>Washington</w:t>
      </w:r>
      <w:r w:rsidRPr="00213803">
        <w:rPr>
          <w:rFonts w:ascii="Arial" w:hAnsi="Arial" w:cs="Arial"/>
          <w:sz w:val="22"/>
          <w:szCs w:val="22"/>
        </w:rPr>
        <w:t xml:space="preserve">, DC. </w:t>
      </w:r>
    </w:p>
    <w:p w14:paraId="60D28708" w14:textId="77777777" w:rsidR="00213803" w:rsidRPr="00722B46" w:rsidRDefault="00213803" w:rsidP="00722B46">
      <w:pPr>
        <w:ind w:left="720" w:hanging="720"/>
        <w:jc w:val="both"/>
        <w:rPr>
          <w:rFonts w:ascii="Arial" w:hAnsi="Arial"/>
          <w:sz w:val="22"/>
        </w:rPr>
      </w:pPr>
    </w:p>
    <w:p w14:paraId="079336C5" w14:textId="2DA44645"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Transportation Research Board (2008). Transportation Research Circular: “Geophysical Methods Commonly Employed for Geotechnical Site Characterization.”</w:t>
      </w:r>
    </w:p>
    <w:p w14:paraId="35A8D685" w14:textId="77777777" w:rsidR="00213803" w:rsidRPr="00213803" w:rsidRDefault="00213803" w:rsidP="00213803">
      <w:pPr>
        <w:ind w:left="720" w:hanging="720"/>
        <w:jc w:val="both"/>
        <w:rPr>
          <w:rFonts w:ascii="Arial" w:hAnsi="Arial" w:cs="Arial"/>
          <w:sz w:val="22"/>
          <w:szCs w:val="22"/>
        </w:rPr>
      </w:pPr>
    </w:p>
    <w:p w14:paraId="293A7393" w14:textId="1228A0DB"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US</w:t>
      </w:r>
      <w:r w:rsidRPr="00722B46">
        <w:rPr>
          <w:rFonts w:ascii="Arial" w:hAnsi="Arial"/>
          <w:sz w:val="22"/>
        </w:rPr>
        <w:t xml:space="preserve"> Army Corps of Engineers</w:t>
      </w:r>
      <w:r w:rsidRPr="00213803">
        <w:rPr>
          <w:rFonts w:ascii="Arial" w:hAnsi="Arial" w:cs="Arial"/>
          <w:sz w:val="22"/>
          <w:szCs w:val="22"/>
        </w:rPr>
        <w:t xml:space="preserve"> (USACE) (1995). “Geophysical Exploration for Engineering and Environmental Investigations.”</w:t>
      </w:r>
    </w:p>
    <w:p w14:paraId="42709E47" w14:textId="77777777" w:rsidR="00213803" w:rsidRPr="00213803" w:rsidRDefault="00213803" w:rsidP="00213803">
      <w:pPr>
        <w:ind w:left="720" w:hanging="720"/>
        <w:jc w:val="both"/>
        <w:rPr>
          <w:rFonts w:ascii="Arial" w:hAnsi="Arial" w:cs="Arial"/>
          <w:sz w:val="22"/>
          <w:szCs w:val="22"/>
        </w:rPr>
      </w:pPr>
    </w:p>
    <w:p w14:paraId="7574D565" w14:textId="5F495A30" w:rsidR="00213803" w:rsidRPr="00722B46" w:rsidRDefault="00213803" w:rsidP="00722B46">
      <w:pPr>
        <w:ind w:left="720" w:hanging="720"/>
        <w:jc w:val="both"/>
        <w:rPr>
          <w:rFonts w:ascii="Arial" w:hAnsi="Arial"/>
          <w:sz w:val="22"/>
        </w:rPr>
      </w:pPr>
      <w:r w:rsidRPr="00213803">
        <w:rPr>
          <w:rFonts w:ascii="Arial" w:hAnsi="Arial" w:cs="Arial"/>
          <w:sz w:val="22"/>
          <w:szCs w:val="22"/>
        </w:rPr>
        <w:t>USACE (2000).</w:t>
      </w:r>
      <w:r w:rsidRPr="00722B46">
        <w:rPr>
          <w:rFonts w:ascii="Arial" w:hAnsi="Arial"/>
          <w:sz w:val="22"/>
        </w:rPr>
        <w:t xml:space="preserve"> </w:t>
      </w:r>
      <w:r w:rsidRPr="00722B46">
        <w:rPr>
          <w:rFonts w:ascii="Arial" w:hAnsi="Arial"/>
          <w:i/>
          <w:sz w:val="22"/>
        </w:rPr>
        <w:t>Hot-Mix Asphalt Paving Handbook 2000</w:t>
      </w:r>
      <w:r w:rsidRPr="00213803">
        <w:rPr>
          <w:rFonts w:ascii="Arial" w:hAnsi="Arial" w:cs="Arial"/>
          <w:i/>
          <w:sz w:val="22"/>
          <w:szCs w:val="22"/>
        </w:rPr>
        <w:t>,</w:t>
      </w:r>
      <w:r w:rsidRPr="00722B46">
        <w:rPr>
          <w:rFonts w:ascii="Arial" w:hAnsi="Arial"/>
          <w:sz w:val="22"/>
        </w:rPr>
        <w:t xml:space="preserve"> Washington, </w:t>
      </w:r>
      <w:r w:rsidRPr="00213803">
        <w:rPr>
          <w:rFonts w:ascii="Arial" w:hAnsi="Arial" w:cs="Arial"/>
          <w:sz w:val="22"/>
          <w:szCs w:val="22"/>
        </w:rPr>
        <w:t>DC.</w:t>
      </w:r>
    </w:p>
    <w:p w14:paraId="1E2B6819" w14:textId="77777777" w:rsidR="00213803" w:rsidRPr="00213803" w:rsidRDefault="00213803" w:rsidP="00213803">
      <w:pPr>
        <w:ind w:left="720" w:hanging="720"/>
        <w:jc w:val="both"/>
        <w:rPr>
          <w:rFonts w:ascii="Arial" w:hAnsi="Arial" w:cs="Arial"/>
          <w:sz w:val="22"/>
          <w:szCs w:val="22"/>
        </w:rPr>
      </w:pPr>
    </w:p>
    <w:p w14:paraId="024549D9" w14:textId="77777777" w:rsidR="00213803" w:rsidRPr="00213803" w:rsidRDefault="00213803" w:rsidP="00213803">
      <w:pPr>
        <w:ind w:left="720" w:hanging="720"/>
        <w:jc w:val="both"/>
        <w:rPr>
          <w:rFonts w:ascii="Arial" w:hAnsi="Arial" w:cs="Arial"/>
          <w:sz w:val="22"/>
          <w:szCs w:val="22"/>
        </w:rPr>
      </w:pPr>
      <w:r w:rsidRPr="00213803">
        <w:rPr>
          <w:rFonts w:ascii="Arial" w:hAnsi="Arial" w:cs="Arial"/>
          <w:sz w:val="22"/>
          <w:szCs w:val="22"/>
        </w:rPr>
        <w:t>USACE (2003).</w:t>
      </w:r>
      <w:r w:rsidRPr="00213803">
        <w:rPr>
          <w:rFonts w:ascii="Arial" w:hAnsi="Arial" w:cs="Arial"/>
          <w:i/>
          <w:sz w:val="22"/>
          <w:szCs w:val="22"/>
        </w:rPr>
        <w:t xml:space="preserve"> Engineering and Design – Slope Stability,</w:t>
      </w:r>
      <w:r w:rsidRPr="00213803">
        <w:rPr>
          <w:rFonts w:ascii="Arial" w:hAnsi="Arial" w:cs="Arial"/>
          <w:sz w:val="22"/>
          <w:szCs w:val="22"/>
        </w:rPr>
        <w:t xml:space="preserve"> EM 1110-2-1902, Washington, DC.</w:t>
      </w:r>
    </w:p>
    <w:p w14:paraId="372EB73D" w14:textId="77777777" w:rsidR="00213803" w:rsidRPr="00722B46" w:rsidRDefault="00213803" w:rsidP="00722B46">
      <w:pPr>
        <w:ind w:left="720" w:hanging="720"/>
        <w:jc w:val="both"/>
        <w:rPr>
          <w:rFonts w:ascii="Arial" w:hAnsi="Arial"/>
          <w:sz w:val="22"/>
        </w:rPr>
      </w:pPr>
    </w:p>
    <w:p w14:paraId="16387BDA" w14:textId="45BC3D5A" w:rsidR="00213803" w:rsidRPr="00722B46" w:rsidRDefault="00213803" w:rsidP="00722B46">
      <w:pPr>
        <w:ind w:left="720" w:hanging="720"/>
        <w:jc w:val="both"/>
        <w:rPr>
          <w:rFonts w:ascii="Arial" w:hAnsi="Arial"/>
          <w:sz w:val="22"/>
        </w:rPr>
      </w:pPr>
      <w:r w:rsidRPr="00722B46">
        <w:rPr>
          <w:rFonts w:ascii="Arial" w:hAnsi="Arial"/>
          <w:sz w:val="22"/>
        </w:rPr>
        <w:t>Virginia Department of Transportation</w:t>
      </w:r>
      <w:r w:rsidRPr="00213803">
        <w:rPr>
          <w:rFonts w:ascii="Arial" w:hAnsi="Arial" w:cs="Arial"/>
          <w:sz w:val="22"/>
          <w:szCs w:val="22"/>
        </w:rPr>
        <w:t xml:space="preserve"> (2007).</w:t>
      </w:r>
      <w:r w:rsidRPr="00722B46">
        <w:rPr>
          <w:rFonts w:ascii="Arial" w:hAnsi="Arial"/>
          <w:sz w:val="22"/>
        </w:rPr>
        <w:t xml:space="preserve"> </w:t>
      </w:r>
      <w:r w:rsidRPr="00722B46">
        <w:rPr>
          <w:rFonts w:ascii="Arial" w:hAnsi="Arial"/>
          <w:i/>
          <w:sz w:val="22"/>
        </w:rPr>
        <w:t>Road and Bridge Specifications</w:t>
      </w:r>
      <w:r w:rsidRPr="00213803">
        <w:rPr>
          <w:rFonts w:ascii="Arial" w:hAnsi="Arial" w:cs="Arial"/>
          <w:i/>
          <w:sz w:val="22"/>
          <w:szCs w:val="22"/>
        </w:rPr>
        <w:t>,</w:t>
      </w:r>
      <w:r w:rsidRPr="00722B46">
        <w:rPr>
          <w:rFonts w:ascii="Arial" w:hAnsi="Arial"/>
          <w:sz w:val="22"/>
        </w:rPr>
        <w:t xml:space="preserve"> Richmond, VA.</w:t>
      </w:r>
    </w:p>
    <w:p w14:paraId="0FF418C4" w14:textId="77777777" w:rsidR="00213803" w:rsidRPr="00722B46" w:rsidRDefault="00213803" w:rsidP="00722B46">
      <w:pPr>
        <w:ind w:left="720" w:hanging="720"/>
        <w:jc w:val="both"/>
        <w:rPr>
          <w:rFonts w:ascii="Arial" w:hAnsi="Arial"/>
          <w:sz w:val="22"/>
        </w:rPr>
      </w:pPr>
    </w:p>
    <w:p w14:paraId="2266BE05" w14:textId="32F6D055" w:rsidR="00213803" w:rsidRPr="00722B46" w:rsidRDefault="00213803" w:rsidP="00722B46">
      <w:pPr>
        <w:ind w:left="720" w:hanging="720"/>
        <w:rPr>
          <w:rFonts w:ascii="Arial" w:hAnsi="Arial"/>
          <w:sz w:val="22"/>
        </w:rPr>
      </w:pPr>
      <w:r w:rsidRPr="00722B46">
        <w:rPr>
          <w:rFonts w:ascii="Arial" w:hAnsi="Arial"/>
          <w:sz w:val="22"/>
        </w:rPr>
        <w:t xml:space="preserve">Washington State </w:t>
      </w:r>
      <w:r w:rsidRPr="00014D32">
        <w:rPr>
          <w:rFonts w:ascii="Arial" w:hAnsi="Arial" w:cs="Arial"/>
          <w:sz w:val="22"/>
          <w:szCs w:val="22"/>
        </w:rPr>
        <w:t>Department of Transportation,</w:t>
      </w:r>
      <w:r w:rsidRPr="00722B46">
        <w:rPr>
          <w:rFonts w:ascii="Arial" w:hAnsi="Arial"/>
          <w:sz w:val="22"/>
        </w:rPr>
        <w:t xml:space="preserve"> link on aggregates</w:t>
      </w:r>
      <w:r w:rsidR="00FF00AD" w:rsidRPr="00B4752C">
        <w:rPr>
          <w:rFonts w:ascii="Arial" w:hAnsi="Arial" w:cs="Arial"/>
          <w:bCs/>
          <w:iCs/>
        </w:rPr>
        <w:t xml:space="preserve">, </w:t>
      </w:r>
      <w:hyperlink r:id="rId465" w:history="1">
        <w:r w:rsidR="00FF00AD" w:rsidRPr="00B4752C">
          <w:rPr>
            <w:rStyle w:val="Hyperlink"/>
            <w:rFonts w:ascii="Arial" w:hAnsi="Arial" w:cs="Arial"/>
            <w:bCs/>
            <w:iCs/>
          </w:rPr>
          <w:t>http://training.ce.washington.edu/wsdot/modules/03_materials/03-2_body.htm</w:t>
        </w:r>
      </w:hyperlink>
      <w:r w:rsidR="00FF00AD" w:rsidRPr="00B4752C">
        <w:rPr>
          <w:rFonts w:ascii="Arial" w:hAnsi="Arial" w:cs="Arial"/>
          <w:bCs/>
          <w:iCs/>
        </w:rPr>
        <w:br/>
      </w:r>
    </w:p>
    <w:p w14:paraId="5E7077FA" w14:textId="77777777" w:rsidR="00192B9A" w:rsidRDefault="00192B9A" w:rsidP="00BE3F24">
      <w:pPr>
        <w:rPr>
          <w:rFonts w:ascii="Arial" w:hAnsi="Arial"/>
        </w:rPr>
      </w:pPr>
    </w:p>
    <w:p w14:paraId="1BB79D1F" w14:textId="77777777" w:rsidR="00872702" w:rsidRDefault="00872702" w:rsidP="00BE3F24">
      <w:pPr>
        <w:rPr>
          <w:rFonts w:ascii="Arial" w:hAnsi="Arial"/>
        </w:rPr>
      </w:pPr>
    </w:p>
    <w:p w14:paraId="065F31EC" w14:textId="76A0D44F" w:rsidR="009A73E9" w:rsidRDefault="009A73E9" w:rsidP="00836F12">
      <w:pPr>
        <w:jc w:val="both"/>
      </w:pPr>
    </w:p>
    <w:p w14:paraId="12FDD237" w14:textId="383E0C7B" w:rsidR="007F2765" w:rsidRDefault="007F2765" w:rsidP="00836F12">
      <w:pPr>
        <w:jc w:val="both"/>
      </w:pPr>
    </w:p>
    <w:p w14:paraId="3F71AFB0" w14:textId="076DC716" w:rsidR="007F2765" w:rsidRDefault="007F2765" w:rsidP="00836F12">
      <w:pPr>
        <w:jc w:val="both"/>
      </w:pPr>
    </w:p>
    <w:p w14:paraId="197B49CC" w14:textId="29CAD06E" w:rsidR="007F2765" w:rsidRDefault="007F2765" w:rsidP="00836F12">
      <w:pPr>
        <w:jc w:val="both"/>
      </w:pPr>
    </w:p>
    <w:p w14:paraId="64AAE413" w14:textId="0AFC9E1F" w:rsidR="007F2765" w:rsidRDefault="007F2765" w:rsidP="00836F12">
      <w:pPr>
        <w:jc w:val="both"/>
      </w:pPr>
    </w:p>
    <w:p w14:paraId="184AD059" w14:textId="0927ABF2" w:rsidR="007F2765" w:rsidRDefault="007F2765" w:rsidP="00836F12">
      <w:pPr>
        <w:jc w:val="both"/>
      </w:pPr>
    </w:p>
    <w:p w14:paraId="656CA56D" w14:textId="77777777" w:rsidR="00CC4293" w:rsidRDefault="00CC4293" w:rsidP="00836F12">
      <w:pPr>
        <w:jc w:val="both"/>
        <w:sectPr w:rsidR="00CC4293" w:rsidSect="008B1BAA">
          <w:headerReference w:type="default" r:id="rId466"/>
          <w:footerReference w:type="default" r:id="rId467"/>
          <w:pgSz w:w="12240" w:h="15840" w:code="1"/>
          <w:pgMar w:top="1440" w:right="1800" w:bottom="1440" w:left="1800" w:header="720" w:footer="720" w:gutter="0"/>
          <w:pgNumType w:chapStyle="1"/>
          <w:cols w:space="720"/>
          <w:docGrid w:linePitch="272"/>
        </w:sectPr>
      </w:pPr>
    </w:p>
    <w:p w14:paraId="779B5C53" w14:textId="58FBD5A2" w:rsidR="00504D20" w:rsidRDefault="00504D20" w:rsidP="00172E64">
      <w:pPr>
        <w:pStyle w:val="Heading2"/>
        <w:numPr>
          <w:ilvl w:val="1"/>
          <w:numId w:val="185"/>
        </w:numPr>
        <w:tabs>
          <w:tab w:val="left" w:pos="720"/>
        </w:tabs>
        <w:spacing w:before="120" w:after="120"/>
        <w:ind w:left="0" w:firstLine="0"/>
      </w:pPr>
      <w:bookmarkStart w:id="1309" w:name="_EXECUTIVE_MEMORANDUM"/>
      <w:bookmarkStart w:id="1310" w:name="_Toc194932432"/>
      <w:bookmarkEnd w:id="1309"/>
      <w:r>
        <w:lastRenderedPageBreak/>
        <w:t>Change Log</w:t>
      </w:r>
      <w:bookmarkEnd w:id="1310"/>
      <w:r>
        <w:t xml:space="preserve"> </w:t>
      </w:r>
    </w:p>
    <w:p w14:paraId="1E31D1A4" w14:textId="77777777" w:rsidR="00504D20" w:rsidRDefault="00504D20" w:rsidP="00504D20">
      <w:pPr>
        <w:jc w:val="both"/>
      </w:pPr>
    </w:p>
    <w:p w14:paraId="5FB989AF" w14:textId="77777777" w:rsidR="00504D20" w:rsidRDefault="00504D20" w:rsidP="00504D20">
      <w:pPr>
        <w:jc w:val="both"/>
        <w:rPr>
          <w:rFonts w:ascii="Arial" w:hAnsi="Arial" w:cs="Arial"/>
          <w:sz w:val="22"/>
          <w:szCs w:val="22"/>
        </w:rPr>
      </w:pPr>
      <w:r>
        <w:rPr>
          <w:rFonts w:ascii="Arial" w:hAnsi="Arial" w:cs="Arial"/>
          <w:sz w:val="22"/>
          <w:szCs w:val="22"/>
        </w:rPr>
        <w:t>The following lists the changes made since the previous version of this Guide was published on-line.</w:t>
      </w:r>
    </w:p>
    <w:p w14:paraId="7EDB0AEB" w14:textId="77777777" w:rsidR="00504D20" w:rsidRDefault="00504D20" w:rsidP="00504D20">
      <w:pPr>
        <w:jc w:val="both"/>
        <w:rPr>
          <w:rFonts w:ascii="Arial" w:hAnsi="Arial" w:cs="Arial"/>
          <w:sz w:val="22"/>
          <w:szCs w:val="22"/>
        </w:rPr>
      </w:pPr>
    </w:p>
    <w:p w14:paraId="7861063A" w14:textId="0AFBF122" w:rsidR="00504D20" w:rsidRDefault="00504D20" w:rsidP="00504D20">
      <w:pPr>
        <w:jc w:val="both"/>
        <w:rPr>
          <w:rFonts w:ascii="Arial" w:hAnsi="Arial" w:cs="Arial"/>
          <w:sz w:val="22"/>
          <w:szCs w:val="22"/>
        </w:rPr>
      </w:pPr>
      <w:r>
        <w:rPr>
          <w:rFonts w:ascii="Arial" w:hAnsi="Arial" w:cs="Arial"/>
          <w:sz w:val="22"/>
          <w:szCs w:val="22"/>
        </w:rPr>
        <w:t>Last Publish Date: Ju</w:t>
      </w:r>
      <w:r w:rsidR="00A1072F">
        <w:rPr>
          <w:rFonts w:ascii="Arial" w:hAnsi="Arial" w:cs="Arial"/>
          <w:sz w:val="22"/>
          <w:szCs w:val="22"/>
        </w:rPr>
        <w:t>ly</w:t>
      </w:r>
      <w:r>
        <w:rPr>
          <w:rFonts w:ascii="Arial" w:hAnsi="Arial" w:cs="Arial"/>
          <w:sz w:val="22"/>
          <w:szCs w:val="22"/>
        </w:rPr>
        <w:t xml:space="preserve"> 27, 20</w:t>
      </w:r>
      <w:r w:rsidR="003672E9">
        <w:rPr>
          <w:rFonts w:ascii="Arial" w:hAnsi="Arial" w:cs="Arial"/>
          <w:sz w:val="22"/>
          <w:szCs w:val="22"/>
        </w:rPr>
        <w:t>22</w:t>
      </w:r>
    </w:p>
    <w:p w14:paraId="192491C5" w14:textId="6DCCD2FE" w:rsidR="00504D20" w:rsidRDefault="00504D20" w:rsidP="00836F12">
      <w:pPr>
        <w:jc w:val="both"/>
        <w:rPr>
          <w:rFonts w:ascii="Arial" w:hAnsi="Arial" w:cs="Arial"/>
        </w:rPr>
      </w:pPr>
    </w:p>
    <w:tbl>
      <w:tblPr>
        <w:tblStyle w:val="TableGrid"/>
        <w:tblW w:w="0" w:type="auto"/>
        <w:tblLook w:val="04A0" w:firstRow="1" w:lastRow="0" w:firstColumn="1" w:lastColumn="0" w:noHBand="0" w:noVBand="1"/>
      </w:tblPr>
      <w:tblGrid>
        <w:gridCol w:w="1345"/>
        <w:gridCol w:w="1620"/>
        <w:gridCol w:w="5665"/>
      </w:tblGrid>
      <w:tr w:rsidR="00504D20" w:rsidRPr="00504D20" w14:paraId="544CE34E" w14:textId="77777777" w:rsidTr="00396947">
        <w:tc>
          <w:tcPr>
            <w:tcW w:w="1345" w:type="dxa"/>
          </w:tcPr>
          <w:p w14:paraId="14E3D8A6" w14:textId="020E2B68" w:rsidR="00504D20" w:rsidRPr="00504D20" w:rsidRDefault="00504D20" w:rsidP="00836F12">
            <w:pPr>
              <w:jc w:val="both"/>
              <w:rPr>
                <w:rFonts w:ascii="Arial" w:hAnsi="Arial" w:cs="Arial"/>
                <w:b/>
              </w:rPr>
            </w:pPr>
            <w:r w:rsidRPr="00504D20">
              <w:rPr>
                <w:rFonts w:ascii="Arial" w:hAnsi="Arial" w:cs="Arial"/>
                <w:b/>
              </w:rPr>
              <w:t>Date</w:t>
            </w:r>
          </w:p>
        </w:tc>
        <w:tc>
          <w:tcPr>
            <w:tcW w:w="1620" w:type="dxa"/>
          </w:tcPr>
          <w:p w14:paraId="48BCF895" w14:textId="44AE4FA9" w:rsidR="00504D20" w:rsidRPr="00504D20" w:rsidRDefault="00504D20" w:rsidP="00836F12">
            <w:pPr>
              <w:jc w:val="both"/>
              <w:rPr>
                <w:rFonts w:ascii="Arial" w:hAnsi="Arial" w:cs="Arial"/>
                <w:b/>
              </w:rPr>
            </w:pPr>
            <w:r w:rsidRPr="00504D20">
              <w:rPr>
                <w:rFonts w:ascii="Arial" w:hAnsi="Arial" w:cs="Arial"/>
                <w:b/>
              </w:rPr>
              <w:t>Section</w:t>
            </w:r>
          </w:p>
        </w:tc>
        <w:tc>
          <w:tcPr>
            <w:tcW w:w="5665" w:type="dxa"/>
          </w:tcPr>
          <w:p w14:paraId="03FB21D0" w14:textId="7414458C" w:rsidR="00504D20" w:rsidRPr="00504D20" w:rsidRDefault="00504D20" w:rsidP="00836F12">
            <w:pPr>
              <w:jc w:val="both"/>
              <w:rPr>
                <w:rFonts w:ascii="Arial" w:hAnsi="Arial" w:cs="Arial"/>
                <w:b/>
              </w:rPr>
            </w:pPr>
            <w:r w:rsidRPr="00504D20">
              <w:rPr>
                <w:rFonts w:ascii="Arial" w:hAnsi="Arial" w:cs="Arial"/>
                <w:b/>
              </w:rPr>
              <w:t>Change</w:t>
            </w:r>
          </w:p>
        </w:tc>
      </w:tr>
      <w:tr w:rsidR="00504D20" w14:paraId="1BBDBB77" w14:textId="77777777" w:rsidTr="00396947">
        <w:tc>
          <w:tcPr>
            <w:tcW w:w="1345" w:type="dxa"/>
          </w:tcPr>
          <w:p w14:paraId="24B910C3" w14:textId="46EC44A2" w:rsidR="00504D20" w:rsidRDefault="00B07C42" w:rsidP="00836F12">
            <w:pPr>
              <w:jc w:val="both"/>
              <w:rPr>
                <w:rFonts w:ascii="Arial" w:hAnsi="Arial" w:cs="Arial"/>
              </w:rPr>
            </w:pPr>
            <w:r>
              <w:rPr>
                <w:rFonts w:ascii="Arial" w:hAnsi="Arial" w:cs="Arial"/>
              </w:rPr>
              <w:t>11</w:t>
            </w:r>
            <w:r w:rsidR="00DF4341">
              <w:rPr>
                <w:rFonts w:ascii="Arial" w:hAnsi="Arial" w:cs="Arial"/>
              </w:rPr>
              <w:t>-</w:t>
            </w:r>
            <w:r>
              <w:rPr>
                <w:rFonts w:ascii="Arial" w:hAnsi="Arial" w:cs="Arial"/>
              </w:rPr>
              <w:t>13</w:t>
            </w:r>
            <w:r w:rsidR="00DF4341">
              <w:rPr>
                <w:rFonts w:ascii="Arial" w:hAnsi="Arial" w:cs="Arial"/>
              </w:rPr>
              <w:t>-202</w:t>
            </w:r>
            <w:r>
              <w:rPr>
                <w:rFonts w:ascii="Arial" w:hAnsi="Arial" w:cs="Arial"/>
              </w:rPr>
              <w:t>3</w:t>
            </w:r>
          </w:p>
        </w:tc>
        <w:tc>
          <w:tcPr>
            <w:tcW w:w="1620" w:type="dxa"/>
          </w:tcPr>
          <w:p w14:paraId="549A29BC" w14:textId="0FC12388" w:rsidR="00504D20" w:rsidRDefault="00DF4341" w:rsidP="00836F12">
            <w:pPr>
              <w:jc w:val="both"/>
              <w:rPr>
                <w:rFonts w:ascii="Arial" w:hAnsi="Arial" w:cs="Arial"/>
              </w:rPr>
            </w:pPr>
            <w:r>
              <w:rPr>
                <w:rFonts w:ascii="Arial" w:hAnsi="Arial" w:cs="Arial"/>
              </w:rPr>
              <w:t>6.02.01</w:t>
            </w:r>
          </w:p>
        </w:tc>
        <w:tc>
          <w:tcPr>
            <w:tcW w:w="5665" w:type="dxa"/>
          </w:tcPr>
          <w:p w14:paraId="6AC4D21E" w14:textId="5655947E" w:rsidR="00504D20" w:rsidRDefault="00DF4341" w:rsidP="00836F12">
            <w:pPr>
              <w:jc w:val="both"/>
              <w:rPr>
                <w:rFonts w:ascii="Arial" w:hAnsi="Arial" w:cs="Arial"/>
              </w:rPr>
            </w:pPr>
            <w:r>
              <w:rPr>
                <w:rFonts w:ascii="Arial" w:hAnsi="Arial" w:cs="Arial"/>
              </w:rPr>
              <w:t>Updated concrete uses table</w:t>
            </w:r>
          </w:p>
        </w:tc>
      </w:tr>
      <w:tr w:rsidR="00504D20" w14:paraId="3471DE19" w14:textId="77777777" w:rsidTr="00396947">
        <w:tc>
          <w:tcPr>
            <w:tcW w:w="1345" w:type="dxa"/>
          </w:tcPr>
          <w:p w14:paraId="58CD93BA" w14:textId="1CB20DBC" w:rsidR="00504D20" w:rsidRDefault="00396947" w:rsidP="00836F12">
            <w:pPr>
              <w:jc w:val="both"/>
              <w:rPr>
                <w:rFonts w:ascii="Arial" w:hAnsi="Arial" w:cs="Arial"/>
              </w:rPr>
            </w:pPr>
            <w:r>
              <w:rPr>
                <w:rFonts w:ascii="Arial" w:hAnsi="Arial" w:cs="Arial"/>
              </w:rPr>
              <w:t>4-02-2024</w:t>
            </w:r>
          </w:p>
        </w:tc>
        <w:tc>
          <w:tcPr>
            <w:tcW w:w="1620" w:type="dxa"/>
          </w:tcPr>
          <w:p w14:paraId="64772C06" w14:textId="3714D622" w:rsidR="00504D20" w:rsidRDefault="00396947" w:rsidP="00836F12">
            <w:pPr>
              <w:jc w:val="both"/>
              <w:rPr>
                <w:rFonts w:ascii="Arial" w:hAnsi="Arial" w:cs="Arial"/>
              </w:rPr>
            </w:pPr>
            <w:r>
              <w:rPr>
                <w:rFonts w:ascii="Arial" w:hAnsi="Arial" w:cs="Arial"/>
              </w:rPr>
              <w:t>6.01.01.05</w:t>
            </w:r>
          </w:p>
        </w:tc>
        <w:tc>
          <w:tcPr>
            <w:tcW w:w="5665" w:type="dxa"/>
          </w:tcPr>
          <w:p w14:paraId="61A93C0E" w14:textId="5FEEC7D7" w:rsidR="00504D20" w:rsidRDefault="00396947" w:rsidP="00836F12">
            <w:pPr>
              <w:jc w:val="both"/>
              <w:rPr>
                <w:rFonts w:ascii="Arial" w:hAnsi="Arial" w:cs="Arial"/>
              </w:rPr>
            </w:pPr>
            <w:r>
              <w:rPr>
                <w:rFonts w:ascii="Arial" w:hAnsi="Arial" w:cs="Arial"/>
              </w:rPr>
              <w:t>Added Functional Classes 3 and 18 to Friction table</w:t>
            </w:r>
          </w:p>
        </w:tc>
      </w:tr>
      <w:tr w:rsidR="00396947" w14:paraId="0EE87295" w14:textId="77777777" w:rsidTr="00396947">
        <w:tc>
          <w:tcPr>
            <w:tcW w:w="1345" w:type="dxa"/>
          </w:tcPr>
          <w:p w14:paraId="0F6225F9" w14:textId="1ECAE766" w:rsidR="00396947" w:rsidRDefault="00396947" w:rsidP="00396947">
            <w:pPr>
              <w:jc w:val="both"/>
              <w:rPr>
                <w:rFonts w:ascii="Arial" w:hAnsi="Arial" w:cs="Arial"/>
              </w:rPr>
            </w:pPr>
            <w:r>
              <w:rPr>
                <w:rFonts w:ascii="Arial" w:hAnsi="Arial" w:cs="Arial"/>
              </w:rPr>
              <w:t>4-02-2024</w:t>
            </w:r>
          </w:p>
        </w:tc>
        <w:tc>
          <w:tcPr>
            <w:tcW w:w="1620" w:type="dxa"/>
          </w:tcPr>
          <w:p w14:paraId="2BB9508F" w14:textId="6B83F10C" w:rsidR="00396947" w:rsidRDefault="00396947" w:rsidP="00396947">
            <w:pPr>
              <w:jc w:val="both"/>
              <w:rPr>
                <w:rFonts w:ascii="Arial" w:hAnsi="Arial" w:cs="Arial"/>
              </w:rPr>
            </w:pPr>
            <w:r>
              <w:rPr>
                <w:rFonts w:ascii="Arial" w:hAnsi="Arial" w:cs="Arial"/>
              </w:rPr>
              <w:t>6.06.03.02.03.1</w:t>
            </w:r>
          </w:p>
        </w:tc>
        <w:tc>
          <w:tcPr>
            <w:tcW w:w="5665" w:type="dxa"/>
          </w:tcPr>
          <w:p w14:paraId="43578079" w14:textId="1F44661D" w:rsidR="00396947" w:rsidRDefault="00396947" w:rsidP="00396947">
            <w:pPr>
              <w:jc w:val="both"/>
              <w:rPr>
                <w:rFonts w:ascii="Arial" w:hAnsi="Arial" w:cs="Arial"/>
              </w:rPr>
            </w:pPr>
            <w:r>
              <w:rPr>
                <w:rFonts w:ascii="Arial" w:hAnsi="Arial" w:cs="Arial"/>
              </w:rPr>
              <w:t>Added Functional Classes 3 and 18 to Friction tables</w:t>
            </w:r>
          </w:p>
        </w:tc>
      </w:tr>
      <w:tr w:rsidR="00396947" w14:paraId="44E87DA5" w14:textId="77777777" w:rsidTr="00396947">
        <w:tc>
          <w:tcPr>
            <w:tcW w:w="1345" w:type="dxa"/>
          </w:tcPr>
          <w:p w14:paraId="068082B1" w14:textId="5620EF7E" w:rsidR="00396947" w:rsidRDefault="0062091A" w:rsidP="00396947">
            <w:pPr>
              <w:jc w:val="both"/>
              <w:rPr>
                <w:rFonts w:ascii="Arial" w:hAnsi="Arial" w:cs="Arial"/>
              </w:rPr>
            </w:pPr>
            <w:r>
              <w:rPr>
                <w:rFonts w:ascii="Arial" w:hAnsi="Arial" w:cs="Arial"/>
              </w:rPr>
              <w:t>5-17-2024</w:t>
            </w:r>
          </w:p>
        </w:tc>
        <w:tc>
          <w:tcPr>
            <w:tcW w:w="1620" w:type="dxa"/>
          </w:tcPr>
          <w:p w14:paraId="5D6323F9" w14:textId="15AC83EF" w:rsidR="00396947" w:rsidRDefault="0062091A" w:rsidP="00396947">
            <w:pPr>
              <w:jc w:val="both"/>
              <w:rPr>
                <w:rFonts w:ascii="Arial" w:hAnsi="Arial" w:cs="Arial"/>
              </w:rPr>
            </w:pPr>
            <w:r>
              <w:rPr>
                <w:rFonts w:ascii="Arial" w:hAnsi="Arial" w:cs="Arial"/>
              </w:rPr>
              <w:t>6.08.03</w:t>
            </w:r>
          </w:p>
        </w:tc>
        <w:tc>
          <w:tcPr>
            <w:tcW w:w="5665" w:type="dxa"/>
          </w:tcPr>
          <w:p w14:paraId="0B227B7F" w14:textId="4EA426AF" w:rsidR="00396947" w:rsidRDefault="0062091A" w:rsidP="00396947">
            <w:pPr>
              <w:jc w:val="both"/>
              <w:rPr>
                <w:rFonts w:ascii="Arial" w:hAnsi="Arial" w:cs="Arial"/>
              </w:rPr>
            </w:pPr>
            <w:r>
              <w:rPr>
                <w:rFonts w:ascii="Arial" w:hAnsi="Arial" w:cs="Arial"/>
              </w:rPr>
              <w:t>Expanded Step 8.</w:t>
            </w:r>
          </w:p>
        </w:tc>
      </w:tr>
      <w:tr w:rsidR="00396947" w14:paraId="43208C2B" w14:textId="77777777" w:rsidTr="00396947">
        <w:tc>
          <w:tcPr>
            <w:tcW w:w="1345" w:type="dxa"/>
          </w:tcPr>
          <w:p w14:paraId="2628F9DC" w14:textId="7545765C" w:rsidR="00396947" w:rsidRDefault="00A00775" w:rsidP="00396947">
            <w:pPr>
              <w:jc w:val="both"/>
              <w:rPr>
                <w:rFonts w:ascii="Arial" w:hAnsi="Arial" w:cs="Arial"/>
              </w:rPr>
            </w:pPr>
            <w:r>
              <w:rPr>
                <w:rFonts w:ascii="Arial" w:hAnsi="Arial" w:cs="Arial"/>
              </w:rPr>
              <w:t>9-18-2024</w:t>
            </w:r>
          </w:p>
        </w:tc>
        <w:tc>
          <w:tcPr>
            <w:tcW w:w="1620" w:type="dxa"/>
          </w:tcPr>
          <w:p w14:paraId="11D5D448" w14:textId="27E36792" w:rsidR="00396947" w:rsidRDefault="00A00775" w:rsidP="00396947">
            <w:pPr>
              <w:jc w:val="both"/>
              <w:rPr>
                <w:rFonts w:ascii="Arial" w:hAnsi="Arial" w:cs="Arial"/>
              </w:rPr>
            </w:pPr>
            <w:r>
              <w:rPr>
                <w:rFonts w:ascii="Arial" w:hAnsi="Arial" w:cs="Arial"/>
              </w:rPr>
              <w:t>6.02.04.03</w:t>
            </w:r>
          </w:p>
        </w:tc>
        <w:tc>
          <w:tcPr>
            <w:tcW w:w="5665" w:type="dxa"/>
          </w:tcPr>
          <w:p w14:paraId="0D063B60" w14:textId="2C6D04D8" w:rsidR="00396947" w:rsidRDefault="00A00775" w:rsidP="00396947">
            <w:pPr>
              <w:jc w:val="both"/>
              <w:rPr>
                <w:rFonts w:ascii="Arial" w:hAnsi="Arial" w:cs="Arial"/>
              </w:rPr>
            </w:pPr>
            <w:r>
              <w:rPr>
                <w:rFonts w:ascii="Arial" w:hAnsi="Arial" w:cs="Arial"/>
              </w:rPr>
              <w:t>Added criteria for considering HDFV mixes</w:t>
            </w:r>
          </w:p>
        </w:tc>
      </w:tr>
      <w:tr w:rsidR="00396947" w14:paraId="5DD79DF1" w14:textId="77777777" w:rsidTr="00396947">
        <w:tc>
          <w:tcPr>
            <w:tcW w:w="1345" w:type="dxa"/>
          </w:tcPr>
          <w:p w14:paraId="622AD805" w14:textId="03A18F58" w:rsidR="00396947" w:rsidRDefault="00EB3788" w:rsidP="00396947">
            <w:pPr>
              <w:jc w:val="both"/>
              <w:rPr>
                <w:rFonts w:ascii="Arial" w:hAnsi="Arial" w:cs="Arial"/>
              </w:rPr>
            </w:pPr>
            <w:r>
              <w:rPr>
                <w:rFonts w:ascii="Arial" w:hAnsi="Arial" w:cs="Arial"/>
              </w:rPr>
              <w:t>9-20-2024</w:t>
            </w:r>
          </w:p>
        </w:tc>
        <w:tc>
          <w:tcPr>
            <w:tcW w:w="1620" w:type="dxa"/>
          </w:tcPr>
          <w:p w14:paraId="20AE21FE" w14:textId="7FC2CAFA" w:rsidR="00396947" w:rsidRDefault="00EB3788" w:rsidP="00396947">
            <w:pPr>
              <w:jc w:val="both"/>
              <w:rPr>
                <w:rFonts w:ascii="Arial" w:hAnsi="Arial" w:cs="Arial"/>
              </w:rPr>
            </w:pPr>
            <w:r>
              <w:rPr>
                <w:rFonts w:ascii="Arial" w:hAnsi="Arial" w:cs="Arial"/>
              </w:rPr>
              <w:t>6.01.02.02</w:t>
            </w:r>
          </w:p>
        </w:tc>
        <w:tc>
          <w:tcPr>
            <w:tcW w:w="5665" w:type="dxa"/>
          </w:tcPr>
          <w:p w14:paraId="535ACF82" w14:textId="3BD9B755" w:rsidR="00396947" w:rsidRDefault="00EB3788" w:rsidP="00396947">
            <w:pPr>
              <w:jc w:val="both"/>
              <w:rPr>
                <w:rFonts w:ascii="Arial" w:hAnsi="Arial" w:cs="Arial"/>
              </w:rPr>
            </w:pPr>
            <w:r>
              <w:rPr>
                <w:rFonts w:ascii="Arial" w:hAnsi="Arial" w:cs="Arial"/>
              </w:rPr>
              <w:t>Added shoulder evaluation criteria</w:t>
            </w:r>
          </w:p>
        </w:tc>
      </w:tr>
      <w:tr w:rsidR="00396947" w14:paraId="7EDE3E7D" w14:textId="77777777" w:rsidTr="00396947">
        <w:tc>
          <w:tcPr>
            <w:tcW w:w="1345" w:type="dxa"/>
          </w:tcPr>
          <w:p w14:paraId="5F60314A" w14:textId="511315BC" w:rsidR="00396947" w:rsidRDefault="00A1072F" w:rsidP="00396947">
            <w:pPr>
              <w:jc w:val="both"/>
              <w:rPr>
                <w:rFonts w:ascii="Arial" w:hAnsi="Arial" w:cs="Arial"/>
              </w:rPr>
            </w:pPr>
            <w:r>
              <w:rPr>
                <w:rFonts w:ascii="Arial" w:hAnsi="Arial" w:cs="Arial"/>
              </w:rPr>
              <w:t>10-21-</w:t>
            </w:r>
            <w:r w:rsidR="00640C68">
              <w:rPr>
                <w:rFonts w:ascii="Arial" w:hAnsi="Arial" w:cs="Arial"/>
              </w:rPr>
              <w:t>20</w:t>
            </w:r>
            <w:r>
              <w:rPr>
                <w:rFonts w:ascii="Arial" w:hAnsi="Arial" w:cs="Arial"/>
              </w:rPr>
              <w:t>24</w:t>
            </w:r>
          </w:p>
        </w:tc>
        <w:tc>
          <w:tcPr>
            <w:tcW w:w="1620" w:type="dxa"/>
          </w:tcPr>
          <w:p w14:paraId="084FC871" w14:textId="47EEDF31" w:rsidR="00396947" w:rsidRDefault="00A1072F" w:rsidP="00396947">
            <w:pPr>
              <w:jc w:val="both"/>
              <w:rPr>
                <w:rFonts w:ascii="Arial" w:hAnsi="Arial" w:cs="Arial"/>
              </w:rPr>
            </w:pPr>
            <w:r>
              <w:rPr>
                <w:rFonts w:ascii="Arial" w:hAnsi="Arial" w:cs="Arial"/>
              </w:rPr>
              <w:t>7.01.04.02</w:t>
            </w:r>
          </w:p>
        </w:tc>
        <w:tc>
          <w:tcPr>
            <w:tcW w:w="5665" w:type="dxa"/>
          </w:tcPr>
          <w:p w14:paraId="77C94162" w14:textId="287DD818" w:rsidR="00396947" w:rsidRDefault="00A1072F" w:rsidP="00396947">
            <w:pPr>
              <w:jc w:val="both"/>
              <w:rPr>
                <w:rFonts w:ascii="Arial" w:hAnsi="Arial" w:cs="Arial"/>
              </w:rPr>
            </w:pPr>
            <w:r>
              <w:rPr>
                <w:rFonts w:ascii="Arial" w:hAnsi="Arial" w:cs="Arial"/>
              </w:rPr>
              <w:t>Fixed “BB” to be “PB”</w:t>
            </w:r>
          </w:p>
        </w:tc>
      </w:tr>
      <w:tr w:rsidR="00396947" w14:paraId="4AAA2C44" w14:textId="77777777" w:rsidTr="00396947">
        <w:tc>
          <w:tcPr>
            <w:tcW w:w="1345" w:type="dxa"/>
          </w:tcPr>
          <w:p w14:paraId="0BB82E5C" w14:textId="7A622F7C" w:rsidR="00396947" w:rsidRDefault="00EF642D" w:rsidP="00396947">
            <w:pPr>
              <w:jc w:val="both"/>
              <w:rPr>
                <w:rFonts w:ascii="Arial" w:hAnsi="Arial" w:cs="Arial"/>
              </w:rPr>
            </w:pPr>
            <w:r>
              <w:rPr>
                <w:rFonts w:ascii="Arial" w:hAnsi="Arial" w:cs="Arial"/>
              </w:rPr>
              <w:t>12-13-</w:t>
            </w:r>
            <w:r w:rsidR="00640C68">
              <w:rPr>
                <w:rFonts w:ascii="Arial" w:hAnsi="Arial" w:cs="Arial"/>
              </w:rPr>
              <w:t>20</w:t>
            </w:r>
            <w:r>
              <w:rPr>
                <w:rFonts w:ascii="Arial" w:hAnsi="Arial" w:cs="Arial"/>
              </w:rPr>
              <w:t>24</w:t>
            </w:r>
          </w:p>
        </w:tc>
        <w:tc>
          <w:tcPr>
            <w:tcW w:w="1620" w:type="dxa"/>
          </w:tcPr>
          <w:p w14:paraId="33D72603" w14:textId="7EE68BD7" w:rsidR="00396947" w:rsidRDefault="00EF642D" w:rsidP="00396947">
            <w:pPr>
              <w:jc w:val="both"/>
              <w:rPr>
                <w:rFonts w:ascii="Arial" w:hAnsi="Arial" w:cs="Arial"/>
              </w:rPr>
            </w:pPr>
            <w:r>
              <w:rPr>
                <w:rFonts w:ascii="Arial" w:hAnsi="Arial" w:cs="Arial"/>
              </w:rPr>
              <w:t>2.01.05</w:t>
            </w:r>
          </w:p>
        </w:tc>
        <w:tc>
          <w:tcPr>
            <w:tcW w:w="5665" w:type="dxa"/>
          </w:tcPr>
          <w:p w14:paraId="5FDA0978" w14:textId="62516A29" w:rsidR="00396947" w:rsidRDefault="00EF642D" w:rsidP="00396947">
            <w:pPr>
              <w:jc w:val="both"/>
              <w:rPr>
                <w:rFonts w:ascii="Arial" w:hAnsi="Arial" w:cs="Arial"/>
              </w:rPr>
            </w:pPr>
            <w:r>
              <w:rPr>
                <w:rFonts w:ascii="Arial" w:hAnsi="Arial" w:cs="Arial"/>
              </w:rPr>
              <w:t>Added a bullet</w:t>
            </w:r>
            <w:r w:rsidR="001903A5">
              <w:rPr>
                <w:rFonts w:ascii="Arial" w:hAnsi="Arial" w:cs="Arial"/>
              </w:rPr>
              <w:t xml:space="preserve"> about coordination</w:t>
            </w:r>
          </w:p>
        </w:tc>
      </w:tr>
      <w:tr w:rsidR="00396947" w14:paraId="1422357E" w14:textId="77777777" w:rsidTr="00396947">
        <w:tc>
          <w:tcPr>
            <w:tcW w:w="1345" w:type="dxa"/>
          </w:tcPr>
          <w:p w14:paraId="46D7826D" w14:textId="4B12AA03" w:rsidR="00396947" w:rsidRDefault="00EF642D" w:rsidP="00396947">
            <w:pPr>
              <w:jc w:val="both"/>
              <w:rPr>
                <w:rFonts w:ascii="Arial" w:hAnsi="Arial" w:cs="Arial"/>
              </w:rPr>
            </w:pPr>
            <w:r>
              <w:rPr>
                <w:rFonts w:ascii="Arial" w:hAnsi="Arial" w:cs="Arial"/>
              </w:rPr>
              <w:t>12-13-</w:t>
            </w:r>
            <w:r w:rsidR="00640C68">
              <w:rPr>
                <w:rFonts w:ascii="Arial" w:hAnsi="Arial" w:cs="Arial"/>
              </w:rPr>
              <w:t>20</w:t>
            </w:r>
            <w:r>
              <w:rPr>
                <w:rFonts w:ascii="Arial" w:hAnsi="Arial" w:cs="Arial"/>
              </w:rPr>
              <w:t>24</w:t>
            </w:r>
          </w:p>
        </w:tc>
        <w:tc>
          <w:tcPr>
            <w:tcW w:w="1620" w:type="dxa"/>
          </w:tcPr>
          <w:p w14:paraId="54B37340" w14:textId="4F48B3A9" w:rsidR="00396947" w:rsidRDefault="00EF642D" w:rsidP="00396947">
            <w:pPr>
              <w:jc w:val="both"/>
              <w:rPr>
                <w:rFonts w:ascii="Arial" w:hAnsi="Arial" w:cs="Arial"/>
              </w:rPr>
            </w:pPr>
            <w:r>
              <w:rPr>
                <w:rFonts w:ascii="Arial" w:hAnsi="Arial" w:cs="Arial"/>
              </w:rPr>
              <w:t>3.08</w:t>
            </w:r>
          </w:p>
        </w:tc>
        <w:tc>
          <w:tcPr>
            <w:tcW w:w="5665" w:type="dxa"/>
          </w:tcPr>
          <w:p w14:paraId="03594E6C" w14:textId="57BFE2A3" w:rsidR="00396947" w:rsidRDefault="00EF642D" w:rsidP="00396947">
            <w:pPr>
              <w:jc w:val="both"/>
              <w:rPr>
                <w:rFonts w:ascii="Arial" w:hAnsi="Arial" w:cs="Arial"/>
              </w:rPr>
            </w:pPr>
            <w:r>
              <w:rPr>
                <w:rFonts w:ascii="Arial" w:hAnsi="Arial" w:cs="Arial"/>
              </w:rPr>
              <w:t>Added a paragraph about coordination</w:t>
            </w:r>
          </w:p>
        </w:tc>
      </w:tr>
      <w:tr w:rsidR="001903A5" w14:paraId="3FCD8C7D" w14:textId="77777777" w:rsidTr="00396947">
        <w:tc>
          <w:tcPr>
            <w:tcW w:w="1345" w:type="dxa"/>
          </w:tcPr>
          <w:p w14:paraId="0BF38E63" w14:textId="7995D9B0" w:rsidR="001903A5" w:rsidRDefault="001903A5" w:rsidP="001903A5">
            <w:pPr>
              <w:jc w:val="both"/>
              <w:rPr>
                <w:rFonts w:ascii="Arial" w:hAnsi="Arial" w:cs="Arial"/>
              </w:rPr>
            </w:pPr>
            <w:r>
              <w:rPr>
                <w:rFonts w:ascii="Arial" w:hAnsi="Arial" w:cs="Arial"/>
              </w:rPr>
              <w:t>12-13-</w:t>
            </w:r>
            <w:r w:rsidR="00640C68">
              <w:rPr>
                <w:rFonts w:ascii="Arial" w:hAnsi="Arial" w:cs="Arial"/>
              </w:rPr>
              <w:t>20</w:t>
            </w:r>
            <w:r>
              <w:rPr>
                <w:rFonts w:ascii="Arial" w:hAnsi="Arial" w:cs="Arial"/>
              </w:rPr>
              <w:t>24</w:t>
            </w:r>
          </w:p>
        </w:tc>
        <w:tc>
          <w:tcPr>
            <w:tcW w:w="1620" w:type="dxa"/>
          </w:tcPr>
          <w:p w14:paraId="19AA2450" w14:textId="3BC4F344" w:rsidR="001903A5" w:rsidRDefault="001903A5" w:rsidP="001903A5">
            <w:pPr>
              <w:jc w:val="both"/>
              <w:rPr>
                <w:rFonts w:ascii="Arial" w:hAnsi="Arial" w:cs="Arial"/>
              </w:rPr>
            </w:pPr>
            <w:r>
              <w:rPr>
                <w:rFonts w:ascii="Arial" w:hAnsi="Arial" w:cs="Arial"/>
              </w:rPr>
              <w:t>7.02</w:t>
            </w:r>
          </w:p>
        </w:tc>
        <w:tc>
          <w:tcPr>
            <w:tcW w:w="5665" w:type="dxa"/>
          </w:tcPr>
          <w:p w14:paraId="2F3FDB51" w14:textId="385E4533" w:rsidR="001903A5" w:rsidRDefault="001903A5" w:rsidP="001903A5">
            <w:pPr>
              <w:jc w:val="both"/>
              <w:rPr>
                <w:rFonts w:ascii="Arial" w:hAnsi="Arial" w:cs="Arial"/>
              </w:rPr>
            </w:pPr>
            <w:r>
              <w:rPr>
                <w:rFonts w:ascii="Arial" w:hAnsi="Arial" w:cs="Arial"/>
              </w:rPr>
              <w:t>Removed Division of Responsibilities reference</w:t>
            </w:r>
          </w:p>
        </w:tc>
      </w:tr>
      <w:tr w:rsidR="001903A5" w14:paraId="2BC64402" w14:textId="77777777" w:rsidTr="00396947">
        <w:tc>
          <w:tcPr>
            <w:tcW w:w="1345" w:type="dxa"/>
          </w:tcPr>
          <w:p w14:paraId="07CC341E" w14:textId="4DADACB9" w:rsidR="001903A5" w:rsidRDefault="001903A5" w:rsidP="001903A5">
            <w:pPr>
              <w:jc w:val="both"/>
              <w:rPr>
                <w:rFonts w:ascii="Arial" w:hAnsi="Arial" w:cs="Arial"/>
              </w:rPr>
            </w:pPr>
            <w:r>
              <w:rPr>
                <w:rFonts w:ascii="Arial" w:hAnsi="Arial" w:cs="Arial"/>
              </w:rPr>
              <w:t>12-13-</w:t>
            </w:r>
            <w:r w:rsidR="00640C68">
              <w:rPr>
                <w:rFonts w:ascii="Arial" w:hAnsi="Arial" w:cs="Arial"/>
              </w:rPr>
              <w:t>20</w:t>
            </w:r>
            <w:r>
              <w:rPr>
                <w:rFonts w:ascii="Arial" w:hAnsi="Arial" w:cs="Arial"/>
              </w:rPr>
              <w:t>24</w:t>
            </w:r>
          </w:p>
        </w:tc>
        <w:tc>
          <w:tcPr>
            <w:tcW w:w="1620" w:type="dxa"/>
          </w:tcPr>
          <w:p w14:paraId="3FF8285B" w14:textId="3504651B" w:rsidR="001903A5" w:rsidRDefault="001903A5" w:rsidP="001903A5">
            <w:pPr>
              <w:jc w:val="both"/>
              <w:rPr>
                <w:rFonts w:ascii="Arial" w:hAnsi="Arial" w:cs="Arial"/>
              </w:rPr>
            </w:pPr>
            <w:r>
              <w:rPr>
                <w:rFonts w:ascii="Arial" w:hAnsi="Arial" w:cs="Arial"/>
              </w:rPr>
              <w:t>8.03.01.01</w:t>
            </w:r>
          </w:p>
        </w:tc>
        <w:tc>
          <w:tcPr>
            <w:tcW w:w="5665" w:type="dxa"/>
          </w:tcPr>
          <w:p w14:paraId="2E311383" w14:textId="04A79694" w:rsidR="001903A5" w:rsidRDefault="001903A5" w:rsidP="001903A5">
            <w:pPr>
              <w:jc w:val="both"/>
              <w:rPr>
                <w:rFonts w:ascii="Arial" w:hAnsi="Arial" w:cs="Arial"/>
              </w:rPr>
            </w:pPr>
            <w:r>
              <w:rPr>
                <w:rFonts w:ascii="Arial" w:hAnsi="Arial" w:cs="Arial"/>
              </w:rPr>
              <w:t>Added a paragraph about coordination</w:t>
            </w:r>
          </w:p>
        </w:tc>
      </w:tr>
      <w:tr w:rsidR="001903A5" w14:paraId="7E2F0C1A" w14:textId="77777777" w:rsidTr="00396947">
        <w:tc>
          <w:tcPr>
            <w:tcW w:w="1345" w:type="dxa"/>
          </w:tcPr>
          <w:p w14:paraId="3819E55B" w14:textId="05EDC871" w:rsidR="001903A5" w:rsidRDefault="001903A5" w:rsidP="001903A5">
            <w:pPr>
              <w:jc w:val="both"/>
              <w:rPr>
                <w:rFonts w:ascii="Arial" w:hAnsi="Arial" w:cs="Arial"/>
              </w:rPr>
            </w:pPr>
            <w:r>
              <w:rPr>
                <w:rFonts w:ascii="Arial" w:hAnsi="Arial" w:cs="Arial"/>
              </w:rPr>
              <w:t>12-13-</w:t>
            </w:r>
            <w:r w:rsidR="00640C68">
              <w:rPr>
                <w:rFonts w:ascii="Arial" w:hAnsi="Arial" w:cs="Arial"/>
              </w:rPr>
              <w:t>20</w:t>
            </w:r>
            <w:r>
              <w:rPr>
                <w:rFonts w:ascii="Arial" w:hAnsi="Arial" w:cs="Arial"/>
              </w:rPr>
              <w:t>24</w:t>
            </w:r>
          </w:p>
        </w:tc>
        <w:tc>
          <w:tcPr>
            <w:tcW w:w="1620" w:type="dxa"/>
          </w:tcPr>
          <w:p w14:paraId="54809578" w14:textId="6D35F951" w:rsidR="001903A5" w:rsidRDefault="001903A5" w:rsidP="001903A5">
            <w:pPr>
              <w:jc w:val="both"/>
              <w:rPr>
                <w:rFonts w:ascii="Arial" w:hAnsi="Arial" w:cs="Arial"/>
              </w:rPr>
            </w:pPr>
            <w:r>
              <w:rPr>
                <w:rFonts w:ascii="Arial" w:hAnsi="Arial" w:cs="Arial"/>
              </w:rPr>
              <w:t>9.15</w:t>
            </w:r>
          </w:p>
        </w:tc>
        <w:tc>
          <w:tcPr>
            <w:tcW w:w="5665" w:type="dxa"/>
          </w:tcPr>
          <w:p w14:paraId="63F30C63" w14:textId="4AAA8CA4" w:rsidR="001903A5" w:rsidRDefault="001903A5" w:rsidP="001903A5">
            <w:pPr>
              <w:jc w:val="both"/>
              <w:rPr>
                <w:rFonts w:ascii="Arial" w:hAnsi="Arial" w:cs="Arial"/>
              </w:rPr>
            </w:pPr>
            <w:r>
              <w:rPr>
                <w:rFonts w:ascii="Arial" w:hAnsi="Arial" w:cs="Arial"/>
              </w:rPr>
              <w:t>Removed Division of Responsibilities section</w:t>
            </w:r>
          </w:p>
        </w:tc>
      </w:tr>
      <w:tr w:rsidR="001903A5" w14:paraId="43E00E4D" w14:textId="77777777" w:rsidTr="00396947">
        <w:tc>
          <w:tcPr>
            <w:tcW w:w="1345" w:type="dxa"/>
          </w:tcPr>
          <w:p w14:paraId="2ECCB2AF" w14:textId="49C63222" w:rsidR="001903A5" w:rsidRDefault="00D01712" w:rsidP="001903A5">
            <w:pPr>
              <w:jc w:val="both"/>
              <w:rPr>
                <w:rFonts w:ascii="Arial" w:hAnsi="Arial" w:cs="Arial"/>
              </w:rPr>
            </w:pPr>
            <w:r>
              <w:rPr>
                <w:rFonts w:ascii="Arial" w:hAnsi="Arial" w:cs="Arial"/>
              </w:rPr>
              <w:t>12-17-</w:t>
            </w:r>
            <w:r w:rsidR="00640C68">
              <w:rPr>
                <w:rFonts w:ascii="Arial" w:hAnsi="Arial" w:cs="Arial"/>
              </w:rPr>
              <w:t>20</w:t>
            </w:r>
            <w:r>
              <w:rPr>
                <w:rFonts w:ascii="Arial" w:hAnsi="Arial" w:cs="Arial"/>
              </w:rPr>
              <w:t>24</w:t>
            </w:r>
          </w:p>
        </w:tc>
        <w:tc>
          <w:tcPr>
            <w:tcW w:w="1620" w:type="dxa"/>
          </w:tcPr>
          <w:p w14:paraId="7DEFA821" w14:textId="1A565003" w:rsidR="001903A5" w:rsidRDefault="00D01712" w:rsidP="001903A5">
            <w:pPr>
              <w:jc w:val="both"/>
              <w:rPr>
                <w:rFonts w:ascii="Arial" w:hAnsi="Arial" w:cs="Arial"/>
              </w:rPr>
            </w:pPr>
            <w:r>
              <w:rPr>
                <w:rFonts w:ascii="Arial" w:hAnsi="Arial" w:cs="Arial"/>
              </w:rPr>
              <w:t>6.05.04</w:t>
            </w:r>
          </w:p>
        </w:tc>
        <w:tc>
          <w:tcPr>
            <w:tcW w:w="5665" w:type="dxa"/>
          </w:tcPr>
          <w:p w14:paraId="6E1201E8" w14:textId="798B38A3" w:rsidR="001903A5" w:rsidRDefault="00D01712" w:rsidP="001903A5">
            <w:pPr>
              <w:jc w:val="both"/>
              <w:rPr>
                <w:rFonts w:ascii="Arial" w:hAnsi="Arial" w:cs="Arial"/>
              </w:rPr>
            </w:pPr>
            <w:r>
              <w:rPr>
                <w:rFonts w:ascii="Arial" w:hAnsi="Arial" w:cs="Arial"/>
              </w:rPr>
              <w:t>Adjusted patch criteria for reflection cracks</w:t>
            </w:r>
          </w:p>
        </w:tc>
      </w:tr>
      <w:tr w:rsidR="001903A5" w14:paraId="5DE6FE92" w14:textId="77777777" w:rsidTr="00396947">
        <w:tc>
          <w:tcPr>
            <w:tcW w:w="1345" w:type="dxa"/>
          </w:tcPr>
          <w:p w14:paraId="1841B957" w14:textId="2979650D" w:rsidR="001903A5" w:rsidRDefault="00640C68" w:rsidP="001903A5">
            <w:pPr>
              <w:jc w:val="both"/>
              <w:rPr>
                <w:rFonts w:ascii="Arial" w:hAnsi="Arial" w:cs="Arial"/>
              </w:rPr>
            </w:pPr>
            <w:r>
              <w:rPr>
                <w:rFonts w:ascii="Arial" w:hAnsi="Arial" w:cs="Arial"/>
              </w:rPr>
              <w:t>2-14-2025</w:t>
            </w:r>
          </w:p>
        </w:tc>
        <w:tc>
          <w:tcPr>
            <w:tcW w:w="1620" w:type="dxa"/>
          </w:tcPr>
          <w:p w14:paraId="2C6FFFA5" w14:textId="23C813A8" w:rsidR="001903A5" w:rsidRDefault="00640C68" w:rsidP="001903A5">
            <w:pPr>
              <w:jc w:val="both"/>
              <w:rPr>
                <w:rFonts w:ascii="Arial" w:hAnsi="Arial" w:cs="Arial"/>
              </w:rPr>
            </w:pPr>
            <w:r>
              <w:rPr>
                <w:rFonts w:ascii="Arial" w:hAnsi="Arial" w:cs="Arial"/>
              </w:rPr>
              <w:t>6.05.01</w:t>
            </w:r>
          </w:p>
        </w:tc>
        <w:tc>
          <w:tcPr>
            <w:tcW w:w="5665" w:type="dxa"/>
          </w:tcPr>
          <w:p w14:paraId="5FAF29E4" w14:textId="443E2564" w:rsidR="001903A5" w:rsidRDefault="00640C68" w:rsidP="001903A5">
            <w:pPr>
              <w:jc w:val="both"/>
              <w:rPr>
                <w:rFonts w:ascii="Arial" w:hAnsi="Arial" w:cs="Arial"/>
              </w:rPr>
            </w:pPr>
            <w:r>
              <w:rPr>
                <w:rFonts w:ascii="Arial" w:hAnsi="Arial" w:cs="Arial"/>
              </w:rPr>
              <w:t>Added language about micro milling</w:t>
            </w:r>
          </w:p>
        </w:tc>
      </w:tr>
      <w:tr w:rsidR="001903A5" w14:paraId="3F52A8A6" w14:textId="77777777" w:rsidTr="00396947">
        <w:tc>
          <w:tcPr>
            <w:tcW w:w="1345" w:type="dxa"/>
          </w:tcPr>
          <w:p w14:paraId="7BF37DA0" w14:textId="6A6D26ED" w:rsidR="001903A5" w:rsidRDefault="007675DB" w:rsidP="001903A5">
            <w:pPr>
              <w:jc w:val="both"/>
              <w:rPr>
                <w:rFonts w:ascii="Arial" w:hAnsi="Arial" w:cs="Arial"/>
              </w:rPr>
            </w:pPr>
            <w:r>
              <w:rPr>
                <w:rFonts w:ascii="Arial" w:hAnsi="Arial" w:cs="Arial"/>
              </w:rPr>
              <w:t>4-7-2025</w:t>
            </w:r>
          </w:p>
        </w:tc>
        <w:tc>
          <w:tcPr>
            <w:tcW w:w="1620" w:type="dxa"/>
          </w:tcPr>
          <w:p w14:paraId="47275252" w14:textId="74EFA5EA" w:rsidR="001903A5" w:rsidRDefault="007675DB" w:rsidP="001903A5">
            <w:pPr>
              <w:jc w:val="both"/>
              <w:rPr>
                <w:rFonts w:ascii="Arial" w:hAnsi="Arial" w:cs="Arial"/>
              </w:rPr>
            </w:pPr>
            <w:r>
              <w:rPr>
                <w:rFonts w:ascii="Arial" w:hAnsi="Arial" w:cs="Arial"/>
              </w:rPr>
              <w:t>6.02.04.05</w:t>
            </w:r>
          </w:p>
        </w:tc>
        <w:tc>
          <w:tcPr>
            <w:tcW w:w="5665" w:type="dxa"/>
          </w:tcPr>
          <w:p w14:paraId="4A8DDC8B" w14:textId="05351F3F" w:rsidR="001903A5" w:rsidRPr="000829D7" w:rsidRDefault="007675DB" w:rsidP="001903A5">
            <w:pPr>
              <w:jc w:val="both"/>
              <w:rPr>
                <w:rFonts w:ascii="Arial" w:hAnsi="Arial" w:cs="Arial"/>
              </w:rPr>
            </w:pPr>
            <w:r>
              <w:rPr>
                <w:rFonts w:ascii="Arial" w:hAnsi="Arial" w:cs="Arial"/>
              </w:rPr>
              <w:t>Added language about fiber reinforcement of HMA mixes</w:t>
            </w:r>
          </w:p>
        </w:tc>
      </w:tr>
      <w:tr w:rsidR="001903A5" w14:paraId="75E87580" w14:textId="77777777" w:rsidTr="00396947">
        <w:tc>
          <w:tcPr>
            <w:tcW w:w="1345" w:type="dxa"/>
          </w:tcPr>
          <w:p w14:paraId="5F3ABE7F" w14:textId="7AC8AE81" w:rsidR="001903A5" w:rsidRDefault="007675DB" w:rsidP="001903A5">
            <w:pPr>
              <w:jc w:val="both"/>
              <w:rPr>
                <w:rFonts w:ascii="Arial" w:hAnsi="Arial" w:cs="Arial"/>
              </w:rPr>
            </w:pPr>
            <w:r>
              <w:rPr>
                <w:rFonts w:ascii="Arial" w:hAnsi="Arial" w:cs="Arial"/>
              </w:rPr>
              <w:t>4-7-2025</w:t>
            </w:r>
          </w:p>
        </w:tc>
        <w:tc>
          <w:tcPr>
            <w:tcW w:w="1620" w:type="dxa"/>
          </w:tcPr>
          <w:p w14:paraId="6BAAEB45" w14:textId="2C222B52" w:rsidR="001903A5" w:rsidRDefault="007675DB" w:rsidP="001903A5">
            <w:pPr>
              <w:jc w:val="both"/>
              <w:rPr>
                <w:rFonts w:ascii="Arial" w:hAnsi="Arial" w:cs="Arial"/>
              </w:rPr>
            </w:pPr>
            <w:r>
              <w:rPr>
                <w:rFonts w:ascii="Arial" w:hAnsi="Arial" w:cs="Arial"/>
              </w:rPr>
              <w:t>6.02.05</w:t>
            </w:r>
          </w:p>
        </w:tc>
        <w:tc>
          <w:tcPr>
            <w:tcW w:w="5665" w:type="dxa"/>
          </w:tcPr>
          <w:p w14:paraId="1710ADCE" w14:textId="317C56AF" w:rsidR="001903A5" w:rsidRPr="000829D7" w:rsidRDefault="007675DB" w:rsidP="001903A5">
            <w:pPr>
              <w:jc w:val="both"/>
              <w:rPr>
                <w:rFonts w:ascii="Arial" w:hAnsi="Arial"/>
              </w:rPr>
            </w:pPr>
            <w:r>
              <w:rPr>
                <w:rFonts w:ascii="Arial" w:hAnsi="Arial"/>
              </w:rPr>
              <w:t>Revised section</w:t>
            </w:r>
          </w:p>
        </w:tc>
      </w:tr>
      <w:tr w:rsidR="001903A5" w14:paraId="0638288B" w14:textId="77777777" w:rsidTr="00396947">
        <w:tc>
          <w:tcPr>
            <w:tcW w:w="1345" w:type="dxa"/>
          </w:tcPr>
          <w:p w14:paraId="0E894A88" w14:textId="1610D931" w:rsidR="001903A5" w:rsidRDefault="00CD079C" w:rsidP="001903A5">
            <w:pPr>
              <w:jc w:val="both"/>
              <w:rPr>
                <w:rFonts w:ascii="Arial" w:hAnsi="Arial" w:cs="Arial"/>
              </w:rPr>
            </w:pPr>
            <w:r>
              <w:rPr>
                <w:rFonts w:ascii="Arial" w:hAnsi="Arial" w:cs="Arial"/>
              </w:rPr>
              <w:t>6-30-25</w:t>
            </w:r>
          </w:p>
        </w:tc>
        <w:tc>
          <w:tcPr>
            <w:tcW w:w="1620" w:type="dxa"/>
          </w:tcPr>
          <w:p w14:paraId="5A4A7144" w14:textId="39C2CDB9" w:rsidR="001903A5" w:rsidRDefault="00CD079C" w:rsidP="001903A5">
            <w:pPr>
              <w:jc w:val="both"/>
              <w:rPr>
                <w:rFonts w:ascii="Arial" w:hAnsi="Arial" w:cs="Arial"/>
              </w:rPr>
            </w:pPr>
            <w:r>
              <w:rPr>
                <w:rFonts w:ascii="Arial" w:hAnsi="Arial" w:cs="Arial"/>
              </w:rPr>
              <w:t>Various</w:t>
            </w:r>
          </w:p>
        </w:tc>
        <w:tc>
          <w:tcPr>
            <w:tcW w:w="5665" w:type="dxa"/>
          </w:tcPr>
          <w:p w14:paraId="74E81345" w14:textId="7B76B00A" w:rsidR="001903A5" w:rsidRDefault="00CD079C" w:rsidP="001903A5">
            <w:pPr>
              <w:jc w:val="both"/>
              <w:rPr>
                <w:rFonts w:ascii="Arial" w:hAnsi="Arial" w:cs="Arial"/>
              </w:rPr>
            </w:pPr>
            <w:r>
              <w:rPr>
                <w:rFonts w:ascii="Arial" w:hAnsi="Arial" w:cs="Arial"/>
              </w:rPr>
              <w:t>Updated “Soil Cement” to “Cement Treated Base”</w:t>
            </w:r>
          </w:p>
        </w:tc>
      </w:tr>
      <w:tr w:rsidR="001903A5" w14:paraId="5FB6AA00" w14:textId="77777777" w:rsidTr="00396947">
        <w:tc>
          <w:tcPr>
            <w:tcW w:w="1345" w:type="dxa"/>
          </w:tcPr>
          <w:p w14:paraId="79A22B3E" w14:textId="60E63B0E" w:rsidR="001903A5" w:rsidRDefault="00443A22" w:rsidP="001903A5">
            <w:pPr>
              <w:jc w:val="both"/>
              <w:rPr>
                <w:rFonts w:ascii="Arial" w:hAnsi="Arial" w:cs="Arial"/>
              </w:rPr>
            </w:pPr>
            <w:r>
              <w:rPr>
                <w:rFonts w:ascii="Arial" w:hAnsi="Arial" w:cs="Arial"/>
              </w:rPr>
              <w:t>7-16-25</w:t>
            </w:r>
          </w:p>
        </w:tc>
        <w:tc>
          <w:tcPr>
            <w:tcW w:w="1620" w:type="dxa"/>
          </w:tcPr>
          <w:p w14:paraId="1030B7AB" w14:textId="3657AD45" w:rsidR="001903A5" w:rsidRDefault="00443A22" w:rsidP="001903A5">
            <w:pPr>
              <w:jc w:val="both"/>
              <w:rPr>
                <w:rFonts w:ascii="Arial" w:hAnsi="Arial" w:cs="Arial"/>
              </w:rPr>
            </w:pPr>
            <w:r>
              <w:rPr>
                <w:rFonts w:ascii="Arial" w:hAnsi="Arial" w:cs="Arial"/>
              </w:rPr>
              <w:t>2.07.01</w:t>
            </w:r>
          </w:p>
        </w:tc>
        <w:tc>
          <w:tcPr>
            <w:tcW w:w="5665" w:type="dxa"/>
          </w:tcPr>
          <w:p w14:paraId="3802D51E" w14:textId="1AE329DA" w:rsidR="001903A5" w:rsidRDefault="00443A22" w:rsidP="001903A5">
            <w:pPr>
              <w:jc w:val="both"/>
              <w:rPr>
                <w:rFonts w:ascii="Arial" w:hAnsi="Arial" w:cs="Arial"/>
              </w:rPr>
            </w:pPr>
            <w:r>
              <w:rPr>
                <w:rFonts w:ascii="Arial" w:hAnsi="Arial" w:cs="Arial"/>
              </w:rPr>
              <w:t>Added language about meeting attendance.</w:t>
            </w:r>
          </w:p>
        </w:tc>
      </w:tr>
      <w:tr w:rsidR="001903A5" w14:paraId="49AE5525" w14:textId="77777777" w:rsidTr="00396947">
        <w:tc>
          <w:tcPr>
            <w:tcW w:w="1345" w:type="dxa"/>
          </w:tcPr>
          <w:p w14:paraId="3EB51E49" w14:textId="008388FB" w:rsidR="001903A5" w:rsidRDefault="000D75AB" w:rsidP="001903A5">
            <w:pPr>
              <w:jc w:val="both"/>
              <w:rPr>
                <w:rFonts w:ascii="Arial" w:hAnsi="Arial" w:cs="Arial"/>
              </w:rPr>
            </w:pPr>
            <w:r>
              <w:rPr>
                <w:rFonts w:ascii="Arial" w:hAnsi="Arial" w:cs="Arial"/>
              </w:rPr>
              <w:t>1-14-26</w:t>
            </w:r>
          </w:p>
        </w:tc>
        <w:tc>
          <w:tcPr>
            <w:tcW w:w="1620" w:type="dxa"/>
          </w:tcPr>
          <w:p w14:paraId="4557BB4C" w14:textId="22FB01C7" w:rsidR="001903A5" w:rsidRDefault="000D75AB" w:rsidP="001903A5">
            <w:pPr>
              <w:jc w:val="both"/>
              <w:rPr>
                <w:rFonts w:ascii="Arial" w:hAnsi="Arial" w:cs="Arial"/>
              </w:rPr>
            </w:pPr>
            <w:r>
              <w:rPr>
                <w:rFonts w:ascii="Arial" w:hAnsi="Arial" w:cs="Arial"/>
              </w:rPr>
              <w:t>2.08, 2.09</w:t>
            </w:r>
          </w:p>
        </w:tc>
        <w:tc>
          <w:tcPr>
            <w:tcW w:w="5665" w:type="dxa"/>
          </w:tcPr>
          <w:p w14:paraId="51B93836" w14:textId="1E06D034" w:rsidR="001903A5" w:rsidRDefault="000D75AB" w:rsidP="001903A5">
            <w:pPr>
              <w:jc w:val="both"/>
              <w:rPr>
                <w:rFonts w:ascii="Arial" w:hAnsi="Arial" w:cs="Arial"/>
              </w:rPr>
            </w:pPr>
            <w:r>
              <w:rPr>
                <w:rFonts w:ascii="Arial" w:hAnsi="Arial" w:cs="Arial"/>
              </w:rPr>
              <w:t>Updated/included criteria for Cape Seal and Scrub Seal</w:t>
            </w:r>
          </w:p>
        </w:tc>
      </w:tr>
      <w:tr w:rsidR="001903A5" w14:paraId="7E0739EF" w14:textId="77777777" w:rsidTr="00396947">
        <w:tc>
          <w:tcPr>
            <w:tcW w:w="1345" w:type="dxa"/>
          </w:tcPr>
          <w:p w14:paraId="2B6D7188" w14:textId="02649BB5" w:rsidR="001903A5" w:rsidRDefault="001903A5" w:rsidP="001903A5">
            <w:pPr>
              <w:jc w:val="both"/>
              <w:rPr>
                <w:rFonts w:ascii="Arial" w:hAnsi="Arial" w:cs="Arial"/>
              </w:rPr>
            </w:pPr>
          </w:p>
        </w:tc>
        <w:tc>
          <w:tcPr>
            <w:tcW w:w="1620" w:type="dxa"/>
          </w:tcPr>
          <w:p w14:paraId="1673EB06" w14:textId="59A3F7C1" w:rsidR="001903A5" w:rsidRDefault="001903A5" w:rsidP="001903A5">
            <w:pPr>
              <w:jc w:val="both"/>
              <w:rPr>
                <w:rFonts w:ascii="Arial" w:hAnsi="Arial" w:cs="Arial"/>
              </w:rPr>
            </w:pPr>
          </w:p>
        </w:tc>
        <w:tc>
          <w:tcPr>
            <w:tcW w:w="5665" w:type="dxa"/>
          </w:tcPr>
          <w:p w14:paraId="780BF6C7" w14:textId="067535F7" w:rsidR="001903A5" w:rsidRDefault="001903A5" w:rsidP="001903A5">
            <w:pPr>
              <w:jc w:val="both"/>
              <w:rPr>
                <w:rFonts w:ascii="Arial" w:hAnsi="Arial" w:cs="Arial"/>
              </w:rPr>
            </w:pPr>
          </w:p>
        </w:tc>
      </w:tr>
      <w:tr w:rsidR="001903A5" w14:paraId="08F2552C" w14:textId="77777777" w:rsidTr="00396947">
        <w:tc>
          <w:tcPr>
            <w:tcW w:w="1345" w:type="dxa"/>
          </w:tcPr>
          <w:p w14:paraId="2B10FB2A" w14:textId="396A4FC2" w:rsidR="001903A5" w:rsidRDefault="001903A5" w:rsidP="001903A5">
            <w:pPr>
              <w:jc w:val="both"/>
              <w:rPr>
                <w:rFonts w:ascii="Arial" w:hAnsi="Arial" w:cs="Arial"/>
              </w:rPr>
            </w:pPr>
          </w:p>
        </w:tc>
        <w:tc>
          <w:tcPr>
            <w:tcW w:w="1620" w:type="dxa"/>
          </w:tcPr>
          <w:p w14:paraId="45804ABB" w14:textId="2C2F9B6C" w:rsidR="001903A5" w:rsidRDefault="001903A5" w:rsidP="001903A5">
            <w:pPr>
              <w:jc w:val="both"/>
              <w:rPr>
                <w:rFonts w:ascii="Arial" w:hAnsi="Arial" w:cs="Arial"/>
              </w:rPr>
            </w:pPr>
          </w:p>
        </w:tc>
        <w:tc>
          <w:tcPr>
            <w:tcW w:w="5665" w:type="dxa"/>
          </w:tcPr>
          <w:p w14:paraId="65BFC4EB" w14:textId="68B61424" w:rsidR="001903A5" w:rsidRDefault="001903A5" w:rsidP="001903A5">
            <w:pPr>
              <w:jc w:val="both"/>
              <w:rPr>
                <w:rFonts w:ascii="Arial" w:hAnsi="Arial" w:cs="Arial"/>
              </w:rPr>
            </w:pPr>
          </w:p>
        </w:tc>
      </w:tr>
      <w:tr w:rsidR="001903A5" w14:paraId="359D440C" w14:textId="77777777" w:rsidTr="00396947">
        <w:tc>
          <w:tcPr>
            <w:tcW w:w="1345" w:type="dxa"/>
          </w:tcPr>
          <w:p w14:paraId="51C79594" w14:textId="17A20578" w:rsidR="001903A5" w:rsidRDefault="001903A5" w:rsidP="001903A5">
            <w:pPr>
              <w:jc w:val="both"/>
              <w:rPr>
                <w:rFonts w:ascii="Arial" w:hAnsi="Arial" w:cs="Arial"/>
              </w:rPr>
            </w:pPr>
          </w:p>
        </w:tc>
        <w:tc>
          <w:tcPr>
            <w:tcW w:w="1620" w:type="dxa"/>
          </w:tcPr>
          <w:p w14:paraId="70C23FAE" w14:textId="31FED0EE" w:rsidR="001903A5" w:rsidRDefault="001903A5" w:rsidP="001903A5">
            <w:pPr>
              <w:jc w:val="both"/>
              <w:rPr>
                <w:rFonts w:ascii="Arial" w:hAnsi="Arial" w:cs="Arial"/>
              </w:rPr>
            </w:pPr>
          </w:p>
        </w:tc>
        <w:tc>
          <w:tcPr>
            <w:tcW w:w="5665" w:type="dxa"/>
          </w:tcPr>
          <w:p w14:paraId="6711EC25" w14:textId="3E8290EE" w:rsidR="001903A5" w:rsidRDefault="001903A5" w:rsidP="001903A5">
            <w:pPr>
              <w:jc w:val="both"/>
              <w:rPr>
                <w:rFonts w:ascii="Arial" w:hAnsi="Arial" w:cs="Arial"/>
              </w:rPr>
            </w:pPr>
          </w:p>
        </w:tc>
      </w:tr>
      <w:tr w:rsidR="001903A5" w14:paraId="2623F7D9" w14:textId="77777777" w:rsidTr="00396947">
        <w:tc>
          <w:tcPr>
            <w:tcW w:w="1345" w:type="dxa"/>
          </w:tcPr>
          <w:p w14:paraId="35E4BF5C" w14:textId="36A4C0F5" w:rsidR="001903A5" w:rsidRDefault="001903A5" w:rsidP="001903A5">
            <w:pPr>
              <w:jc w:val="both"/>
              <w:rPr>
                <w:rFonts w:ascii="Arial" w:hAnsi="Arial" w:cs="Arial"/>
              </w:rPr>
            </w:pPr>
          </w:p>
        </w:tc>
        <w:tc>
          <w:tcPr>
            <w:tcW w:w="1620" w:type="dxa"/>
          </w:tcPr>
          <w:p w14:paraId="238DF4E1" w14:textId="69106FFA" w:rsidR="001903A5" w:rsidRDefault="001903A5" w:rsidP="001903A5">
            <w:pPr>
              <w:jc w:val="both"/>
              <w:rPr>
                <w:rFonts w:ascii="Arial" w:hAnsi="Arial" w:cs="Arial"/>
              </w:rPr>
            </w:pPr>
          </w:p>
        </w:tc>
        <w:tc>
          <w:tcPr>
            <w:tcW w:w="5665" w:type="dxa"/>
          </w:tcPr>
          <w:p w14:paraId="17F82805" w14:textId="3DB87940" w:rsidR="001903A5" w:rsidRDefault="001903A5" w:rsidP="001903A5">
            <w:pPr>
              <w:jc w:val="both"/>
              <w:rPr>
                <w:rFonts w:ascii="Arial" w:hAnsi="Arial" w:cs="Arial"/>
              </w:rPr>
            </w:pPr>
          </w:p>
        </w:tc>
      </w:tr>
      <w:tr w:rsidR="001903A5" w14:paraId="0F7256EC" w14:textId="77777777" w:rsidTr="00396947">
        <w:tc>
          <w:tcPr>
            <w:tcW w:w="1345" w:type="dxa"/>
          </w:tcPr>
          <w:p w14:paraId="5AF0DE60" w14:textId="6119F52E" w:rsidR="001903A5" w:rsidRDefault="001903A5" w:rsidP="001903A5">
            <w:pPr>
              <w:jc w:val="both"/>
              <w:rPr>
                <w:rFonts w:ascii="Arial" w:hAnsi="Arial" w:cs="Arial"/>
              </w:rPr>
            </w:pPr>
          </w:p>
        </w:tc>
        <w:tc>
          <w:tcPr>
            <w:tcW w:w="1620" w:type="dxa"/>
          </w:tcPr>
          <w:p w14:paraId="658FE8A2" w14:textId="1F8F8CD1" w:rsidR="001903A5" w:rsidRDefault="001903A5" w:rsidP="001903A5">
            <w:pPr>
              <w:jc w:val="both"/>
              <w:rPr>
                <w:rFonts w:ascii="Arial" w:hAnsi="Arial" w:cs="Arial"/>
              </w:rPr>
            </w:pPr>
          </w:p>
        </w:tc>
        <w:tc>
          <w:tcPr>
            <w:tcW w:w="5665" w:type="dxa"/>
          </w:tcPr>
          <w:p w14:paraId="5CDC6DEF" w14:textId="698B497F" w:rsidR="001903A5" w:rsidRDefault="001903A5" w:rsidP="001903A5">
            <w:pPr>
              <w:jc w:val="both"/>
              <w:rPr>
                <w:rFonts w:ascii="Arial" w:hAnsi="Arial" w:cs="Arial"/>
              </w:rPr>
            </w:pPr>
          </w:p>
        </w:tc>
      </w:tr>
      <w:tr w:rsidR="001903A5" w14:paraId="5D5C3E07" w14:textId="77777777" w:rsidTr="00396947">
        <w:tc>
          <w:tcPr>
            <w:tcW w:w="1345" w:type="dxa"/>
          </w:tcPr>
          <w:p w14:paraId="66676118" w14:textId="765ED024" w:rsidR="001903A5" w:rsidRDefault="001903A5" w:rsidP="001903A5">
            <w:pPr>
              <w:jc w:val="both"/>
              <w:rPr>
                <w:rFonts w:ascii="Arial" w:hAnsi="Arial" w:cs="Arial"/>
              </w:rPr>
            </w:pPr>
          </w:p>
        </w:tc>
        <w:tc>
          <w:tcPr>
            <w:tcW w:w="1620" w:type="dxa"/>
          </w:tcPr>
          <w:p w14:paraId="2704CFDB" w14:textId="1605C4E2" w:rsidR="001903A5" w:rsidRDefault="001903A5" w:rsidP="001903A5">
            <w:pPr>
              <w:jc w:val="both"/>
              <w:rPr>
                <w:rFonts w:ascii="Arial" w:hAnsi="Arial" w:cs="Arial"/>
              </w:rPr>
            </w:pPr>
          </w:p>
        </w:tc>
        <w:tc>
          <w:tcPr>
            <w:tcW w:w="5665" w:type="dxa"/>
          </w:tcPr>
          <w:p w14:paraId="7EA6BAE1" w14:textId="3BDFDBF3" w:rsidR="001903A5" w:rsidRDefault="001903A5" w:rsidP="001903A5">
            <w:pPr>
              <w:jc w:val="both"/>
              <w:rPr>
                <w:rFonts w:ascii="Arial" w:hAnsi="Arial" w:cs="Arial"/>
              </w:rPr>
            </w:pPr>
          </w:p>
        </w:tc>
      </w:tr>
      <w:tr w:rsidR="001903A5" w14:paraId="1EF38E8C" w14:textId="77777777" w:rsidTr="00396947">
        <w:tc>
          <w:tcPr>
            <w:tcW w:w="1345" w:type="dxa"/>
          </w:tcPr>
          <w:p w14:paraId="2E834ED5" w14:textId="4A69C3F4" w:rsidR="001903A5" w:rsidRDefault="001903A5" w:rsidP="001903A5">
            <w:pPr>
              <w:jc w:val="both"/>
              <w:rPr>
                <w:rFonts w:ascii="Arial" w:hAnsi="Arial" w:cs="Arial"/>
              </w:rPr>
            </w:pPr>
          </w:p>
        </w:tc>
        <w:tc>
          <w:tcPr>
            <w:tcW w:w="1620" w:type="dxa"/>
          </w:tcPr>
          <w:p w14:paraId="7E740389" w14:textId="485044BC" w:rsidR="001903A5" w:rsidRDefault="001903A5" w:rsidP="001903A5">
            <w:pPr>
              <w:jc w:val="both"/>
              <w:rPr>
                <w:rFonts w:ascii="Arial" w:hAnsi="Arial" w:cs="Arial"/>
              </w:rPr>
            </w:pPr>
          </w:p>
        </w:tc>
        <w:tc>
          <w:tcPr>
            <w:tcW w:w="5665" w:type="dxa"/>
          </w:tcPr>
          <w:p w14:paraId="43B8ADE2" w14:textId="2E63DE34" w:rsidR="001903A5" w:rsidRDefault="001903A5" w:rsidP="001903A5">
            <w:pPr>
              <w:jc w:val="both"/>
              <w:rPr>
                <w:rFonts w:ascii="Arial" w:hAnsi="Arial" w:cs="Arial"/>
              </w:rPr>
            </w:pPr>
          </w:p>
        </w:tc>
      </w:tr>
      <w:tr w:rsidR="001903A5" w14:paraId="6BD50101" w14:textId="77777777" w:rsidTr="00396947">
        <w:tc>
          <w:tcPr>
            <w:tcW w:w="1345" w:type="dxa"/>
          </w:tcPr>
          <w:p w14:paraId="60554162" w14:textId="228F40D9" w:rsidR="001903A5" w:rsidRDefault="001903A5" w:rsidP="001903A5">
            <w:pPr>
              <w:jc w:val="both"/>
              <w:rPr>
                <w:rFonts w:ascii="Arial" w:hAnsi="Arial" w:cs="Arial"/>
              </w:rPr>
            </w:pPr>
          </w:p>
        </w:tc>
        <w:tc>
          <w:tcPr>
            <w:tcW w:w="1620" w:type="dxa"/>
          </w:tcPr>
          <w:p w14:paraId="41BA2E62" w14:textId="4E68B908" w:rsidR="001903A5" w:rsidRDefault="001903A5" w:rsidP="001903A5">
            <w:pPr>
              <w:jc w:val="both"/>
              <w:rPr>
                <w:rFonts w:ascii="Arial" w:hAnsi="Arial" w:cs="Arial"/>
              </w:rPr>
            </w:pPr>
          </w:p>
        </w:tc>
        <w:tc>
          <w:tcPr>
            <w:tcW w:w="5665" w:type="dxa"/>
          </w:tcPr>
          <w:p w14:paraId="1E924104" w14:textId="568F3172" w:rsidR="001903A5" w:rsidRDefault="001903A5" w:rsidP="001903A5">
            <w:pPr>
              <w:jc w:val="both"/>
              <w:rPr>
                <w:rFonts w:ascii="Arial" w:hAnsi="Arial" w:cs="Arial"/>
              </w:rPr>
            </w:pPr>
          </w:p>
        </w:tc>
      </w:tr>
      <w:tr w:rsidR="001903A5" w14:paraId="5A8D1A13" w14:textId="77777777" w:rsidTr="00396947">
        <w:tc>
          <w:tcPr>
            <w:tcW w:w="1345" w:type="dxa"/>
          </w:tcPr>
          <w:p w14:paraId="4AE5B2AC" w14:textId="6B2FF9F8" w:rsidR="001903A5" w:rsidRDefault="001903A5" w:rsidP="001903A5">
            <w:pPr>
              <w:jc w:val="both"/>
              <w:rPr>
                <w:rFonts w:ascii="Arial" w:hAnsi="Arial" w:cs="Arial"/>
              </w:rPr>
            </w:pPr>
          </w:p>
        </w:tc>
        <w:tc>
          <w:tcPr>
            <w:tcW w:w="1620" w:type="dxa"/>
          </w:tcPr>
          <w:p w14:paraId="69045077" w14:textId="590D3826" w:rsidR="001903A5" w:rsidRDefault="001903A5" w:rsidP="001903A5">
            <w:pPr>
              <w:jc w:val="both"/>
              <w:rPr>
                <w:rFonts w:ascii="Arial" w:hAnsi="Arial" w:cs="Arial"/>
              </w:rPr>
            </w:pPr>
          </w:p>
        </w:tc>
        <w:tc>
          <w:tcPr>
            <w:tcW w:w="5665" w:type="dxa"/>
          </w:tcPr>
          <w:p w14:paraId="658FD938" w14:textId="6CB78F9C" w:rsidR="001903A5" w:rsidRDefault="001903A5" w:rsidP="001903A5">
            <w:pPr>
              <w:jc w:val="both"/>
              <w:rPr>
                <w:rFonts w:ascii="Arial" w:hAnsi="Arial" w:cs="Arial"/>
              </w:rPr>
            </w:pPr>
          </w:p>
        </w:tc>
      </w:tr>
    </w:tbl>
    <w:p w14:paraId="65C759A6" w14:textId="77777777" w:rsidR="00504D20" w:rsidRPr="008B3A81" w:rsidRDefault="00504D20" w:rsidP="00836F12">
      <w:pPr>
        <w:jc w:val="both"/>
        <w:rPr>
          <w:rFonts w:ascii="Arial" w:hAnsi="Arial" w:cs="Arial"/>
        </w:rPr>
      </w:pPr>
    </w:p>
    <w:sectPr w:rsidR="00504D20" w:rsidRPr="008B3A81" w:rsidSect="008B1BAA">
      <w:headerReference w:type="default" r:id="rId468"/>
      <w:footerReference w:type="default" r:id="rId469"/>
      <w:pgSz w:w="12240" w:h="15840" w:code="1"/>
      <w:pgMar w:top="1440" w:right="1800" w:bottom="1440" w:left="1800" w:header="720" w:footer="720" w:gutter="0"/>
      <w:pgNumType w:chapStyle="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86B649" w14:textId="77777777" w:rsidR="007A31F5" w:rsidRDefault="007A31F5">
      <w:r>
        <w:separator/>
      </w:r>
    </w:p>
  </w:endnote>
  <w:endnote w:type="continuationSeparator" w:id="0">
    <w:p w14:paraId="3A813945" w14:textId="77777777" w:rsidR="007A31F5" w:rsidRDefault="007A31F5">
      <w:r>
        <w:continuationSeparator/>
      </w:r>
    </w:p>
  </w:endnote>
  <w:endnote w:type="continuationNotice" w:id="1">
    <w:p w14:paraId="3DA370DB" w14:textId="77777777" w:rsidR="007A31F5" w:rsidRDefault="007A31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ell MT">
    <w:panose1 w:val="02020503060305020303"/>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mic Sans MS">
    <w:panose1 w:val="030F0702030302020204"/>
    <w:charset w:val="00"/>
    <w:family w:val="script"/>
    <w:pitch w:val="variable"/>
    <w:sig w:usb0="000006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2A4E5" w14:textId="77777777" w:rsidR="009C1A5C" w:rsidRDefault="009C1A5C" w:rsidP="001979D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CCD2F6" w14:textId="77777777" w:rsidR="009C1A5C" w:rsidRDefault="009C1A5C">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19675" w14:textId="3FFC9F4E" w:rsidR="009C1A5C" w:rsidRDefault="009C1A5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2-7</w:t>
    </w:r>
    <w:r>
      <w:rPr>
        <w:rStyle w:val="PageNumber"/>
      </w:rPr>
      <w:fldChar w:fldCharType="end"/>
    </w:r>
  </w:p>
  <w:p w14:paraId="086F6CB9" w14:textId="7ED2C057" w:rsidR="009C1A5C" w:rsidRPr="004C0B53" w:rsidRDefault="009C1A5C" w:rsidP="004C0B53">
    <w:pPr>
      <w:pStyle w:val="Footer"/>
      <w:pBdr>
        <w:top w:val="single" w:sz="4" w:space="1" w:color="auto"/>
      </w:pBdr>
      <w:tabs>
        <w:tab w:val="clear" w:pos="8640"/>
        <w:tab w:val="right" w:pos="9360"/>
      </w:tabs>
      <w:rPr>
        <w:rStyle w:val="PageNumber"/>
      </w:rPr>
    </w:pPr>
    <w:r>
      <w:rPr>
        <w:noProof/>
        <w:sz w:val="20"/>
      </w:rPr>
      <mc:AlternateContent>
        <mc:Choice Requires="wps">
          <w:drawing>
            <wp:anchor distT="0" distB="0" distL="114300" distR="114300" simplePos="0" relativeHeight="252281344" behindDoc="0" locked="0" layoutInCell="0" allowOverlap="1" wp14:anchorId="25DFC40B" wp14:editId="2AA592A3">
              <wp:simplePos x="0" y="0"/>
              <wp:positionH relativeFrom="column">
                <wp:posOffset>19050</wp:posOffset>
              </wp:positionH>
              <wp:positionV relativeFrom="paragraph">
                <wp:posOffset>-34925</wp:posOffset>
              </wp:positionV>
              <wp:extent cx="0" cy="0"/>
              <wp:effectExtent l="0" t="0" r="0" b="0"/>
              <wp:wrapNone/>
              <wp:docPr id="1197" name="Line 2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456700" id="Line 222" o:spid="_x0000_s1026" alt="&quot;&quot;" style="position:absolute;z-index:25228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5pt" to="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80320" behindDoc="0" locked="0" layoutInCell="0" allowOverlap="1" wp14:anchorId="402C0762" wp14:editId="2CF730B0">
              <wp:simplePos x="0" y="0"/>
              <wp:positionH relativeFrom="column">
                <wp:posOffset>-9525</wp:posOffset>
              </wp:positionH>
              <wp:positionV relativeFrom="paragraph">
                <wp:posOffset>-34925</wp:posOffset>
              </wp:positionV>
              <wp:extent cx="0" cy="0"/>
              <wp:effectExtent l="0" t="0" r="0" b="0"/>
              <wp:wrapNone/>
              <wp:docPr id="1196" name="Line 2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ED5734" id="Line 221" o:spid="_x0000_s1026" alt="&quot;&quot;" style="position:absolute;z-index:25228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79296" behindDoc="0" locked="0" layoutInCell="0" allowOverlap="1" wp14:anchorId="277BC15D" wp14:editId="22138FA1">
              <wp:simplePos x="0" y="0"/>
              <wp:positionH relativeFrom="column">
                <wp:posOffset>-9525</wp:posOffset>
              </wp:positionH>
              <wp:positionV relativeFrom="paragraph">
                <wp:posOffset>-34925</wp:posOffset>
              </wp:positionV>
              <wp:extent cx="0" cy="0"/>
              <wp:effectExtent l="0" t="0" r="0" b="0"/>
              <wp:wrapNone/>
              <wp:docPr id="1195" name="Line 2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4403AF" id="Line 220" o:spid="_x0000_s1026" alt="&quot;&quot;" style="position:absolute;z-index:25227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78272" behindDoc="0" locked="0" layoutInCell="0" allowOverlap="1" wp14:anchorId="45BD0F14" wp14:editId="6379D619">
              <wp:simplePos x="0" y="0"/>
              <wp:positionH relativeFrom="column">
                <wp:posOffset>9525</wp:posOffset>
              </wp:positionH>
              <wp:positionV relativeFrom="paragraph">
                <wp:posOffset>-31750</wp:posOffset>
              </wp:positionV>
              <wp:extent cx="0" cy="0"/>
              <wp:effectExtent l="0" t="0" r="0" b="0"/>
              <wp:wrapNone/>
              <wp:docPr id="1194" name="Line 21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816F1B" id="Line 219" o:spid="_x0000_s1026" alt="&quot;&quot;" style="position:absolute;z-index:25227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5pt" to=".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" o:allowincell="f"/>
          </w:pict>
        </mc:Fallback>
      </mc:AlternateContent>
    </w:r>
    <w:r>
      <w:rPr>
        <w:sz w:val="18"/>
      </w:rPr>
      <w:t>Updated 04/29/2016</w:t>
    </w:r>
    <w:r>
      <w:rPr>
        <w:sz w:val="18"/>
      </w:rPr>
      <w:tab/>
    </w:r>
    <w:r>
      <w:rPr>
        <w:sz w:val="18"/>
      </w:rPr>
      <w:tab/>
    </w:r>
  </w:p>
  <w:p w14:paraId="28612ADF"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94AFE" w14:textId="77777777" w:rsidR="009C1A5C" w:rsidRDefault="009C1A5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2-7</w:t>
    </w:r>
    <w:r>
      <w:rPr>
        <w:rStyle w:val="PageNumber"/>
      </w:rPr>
      <w:fldChar w:fldCharType="end"/>
    </w:r>
  </w:p>
  <w:p w14:paraId="288EC260" w14:textId="71084A07" w:rsidR="009C1A5C" w:rsidRPr="004C0B53" w:rsidRDefault="009C1A5C" w:rsidP="004C0B53">
    <w:pPr>
      <w:pStyle w:val="Footer"/>
      <w:pBdr>
        <w:top w:val="single" w:sz="4" w:space="1" w:color="auto"/>
      </w:pBdr>
      <w:tabs>
        <w:tab w:val="clear" w:pos="8640"/>
        <w:tab w:val="right" w:pos="9360"/>
      </w:tabs>
      <w:rPr>
        <w:rStyle w:val="PageNumber"/>
      </w:rPr>
    </w:pPr>
    <w:r>
      <w:rPr>
        <w:noProof/>
        <w:sz w:val="20"/>
      </w:rPr>
      <mc:AlternateContent>
        <mc:Choice Requires="wps">
          <w:drawing>
            <wp:anchor distT="0" distB="0" distL="114300" distR="114300" simplePos="0" relativeHeight="252686848" behindDoc="0" locked="0" layoutInCell="0" allowOverlap="1" wp14:anchorId="758572DB" wp14:editId="54176947">
              <wp:simplePos x="0" y="0"/>
              <wp:positionH relativeFrom="column">
                <wp:posOffset>19050</wp:posOffset>
              </wp:positionH>
              <wp:positionV relativeFrom="paragraph">
                <wp:posOffset>-34925</wp:posOffset>
              </wp:positionV>
              <wp:extent cx="0" cy="0"/>
              <wp:effectExtent l="0" t="0" r="0" b="0"/>
              <wp:wrapNone/>
              <wp:docPr id="1664" name="Line 2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5D71F7" id="Line 222" o:spid="_x0000_s1026" alt="&quot;&quot;" style="position:absolute;z-index:25268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5pt" to="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685824" behindDoc="0" locked="0" layoutInCell="0" allowOverlap="1" wp14:anchorId="1D7B3F8E" wp14:editId="212EADB9">
              <wp:simplePos x="0" y="0"/>
              <wp:positionH relativeFrom="column">
                <wp:posOffset>-9525</wp:posOffset>
              </wp:positionH>
              <wp:positionV relativeFrom="paragraph">
                <wp:posOffset>-34925</wp:posOffset>
              </wp:positionV>
              <wp:extent cx="0" cy="0"/>
              <wp:effectExtent l="0" t="0" r="0" b="0"/>
              <wp:wrapNone/>
              <wp:docPr id="3312" name="Line 2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FB69C3" id="Line 221" o:spid="_x0000_s1026" alt="&quot;&quot;" style="position:absolute;z-index:25268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684800" behindDoc="0" locked="0" layoutInCell="0" allowOverlap="1" wp14:anchorId="2AB0C6C8" wp14:editId="16CB5F63">
              <wp:simplePos x="0" y="0"/>
              <wp:positionH relativeFrom="column">
                <wp:posOffset>-9525</wp:posOffset>
              </wp:positionH>
              <wp:positionV relativeFrom="paragraph">
                <wp:posOffset>-34925</wp:posOffset>
              </wp:positionV>
              <wp:extent cx="0" cy="0"/>
              <wp:effectExtent l="0" t="0" r="0" b="0"/>
              <wp:wrapNone/>
              <wp:docPr id="3315" name="Line 2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3ED4B1" id="Line 220" o:spid="_x0000_s1026" alt="&quot;&quot;" style="position:absolute;z-index:25268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683776" behindDoc="0" locked="0" layoutInCell="0" allowOverlap="1" wp14:anchorId="133B97B0" wp14:editId="13170FE4">
              <wp:simplePos x="0" y="0"/>
              <wp:positionH relativeFrom="column">
                <wp:posOffset>9525</wp:posOffset>
              </wp:positionH>
              <wp:positionV relativeFrom="paragraph">
                <wp:posOffset>-31750</wp:posOffset>
              </wp:positionV>
              <wp:extent cx="0" cy="0"/>
              <wp:effectExtent l="0" t="0" r="0" b="0"/>
              <wp:wrapNone/>
              <wp:docPr id="3316" name="Line 21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45441D" id="Line 219" o:spid="_x0000_s1026" alt="&quot;&quot;" style="position:absolute;z-index:25268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5pt" to=".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" o:allowincell="f"/>
          </w:pict>
        </mc:Fallback>
      </mc:AlternateContent>
    </w:r>
    <w:r>
      <w:rPr>
        <w:sz w:val="18"/>
      </w:rPr>
      <w:t>Updated 12/09/2021</w:t>
    </w:r>
    <w:r>
      <w:rPr>
        <w:sz w:val="18"/>
      </w:rPr>
      <w:tab/>
    </w:r>
    <w:r>
      <w:rPr>
        <w:sz w:val="18"/>
      </w:rPr>
      <w:tab/>
    </w:r>
  </w:p>
  <w:p w14:paraId="07C39706"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6A92F" w14:textId="69DFBAA7" w:rsidR="009C1A5C" w:rsidRDefault="009C1A5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2-10</w:t>
    </w:r>
    <w:r>
      <w:rPr>
        <w:rStyle w:val="PageNumber"/>
      </w:rPr>
      <w:fldChar w:fldCharType="end"/>
    </w:r>
  </w:p>
  <w:p w14:paraId="3AF5F227" w14:textId="2FC7D9E1" w:rsidR="009C1A5C" w:rsidRPr="004C0B53" w:rsidRDefault="009C1A5C" w:rsidP="004C0B53">
    <w:pPr>
      <w:pStyle w:val="Footer"/>
      <w:pBdr>
        <w:top w:val="single" w:sz="4" w:space="1" w:color="auto"/>
      </w:pBdr>
      <w:tabs>
        <w:tab w:val="clear" w:pos="8640"/>
        <w:tab w:val="right" w:pos="9360"/>
      </w:tabs>
      <w:rPr>
        <w:rStyle w:val="PageNumber"/>
      </w:rPr>
    </w:pPr>
    <w:r>
      <w:rPr>
        <w:noProof/>
        <w:sz w:val="20"/>
      </w:rPr>
      <mc:AlternateContent>
        <mc:Choice Requires="wps">
          <w:drawing>
            <wp:anchor distT="0" distB="0" distL="114300" distR="114300" simplePos="0" relativeHeight="252286464" behindDoc="0" locked="0" layoutInCell="0" allowOverlap="1" wp14:anchorId="744C5523" wp14:editId="76C956C5">
              <wp:simplePos x="0" y="0"/>
              <wp:positionH relativeFrom="column">
                <wp:posOffset>19050</wp:posOffset>
              </wp:positionH>
              <wp:positionV relativeFrom="paragraph">
                <wp:posOffset>-34925</wp:posOffset>
              </wp:positionV>
              <wp:extent cx="0" cy="0"/>
              <wp:effectExtent l="0" t="0" r="0" b="0"/>
              <wp:wrapNone/>
              <wp:docPr id="1192" name="Line 21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CE60C4" id="Line 218" o:spid="_x0000_s1026" alt="&quot;&quot;" style="position:absolute;z-index:25228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5pt" to="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85440" behindDoc="0" locked="0" layoutInCell="0" allowOverlap="1" wp14:anchorId="3AE5556E" wp14:editId="2512C592">
              <wp:simplePos x="0" y="0"/>
              <wp:positionH relativeFrom="column">
                <wp:posOffset>-9525</wp:posOffset>
              </wp:positionH>
              <wp:positionV relativeFrom="paragraph">
                <wp:posOffset>-34925</wp:posOffset>
              </wp:positionV>
              <wp:extent cx="0" cy="0"/>
              <wp:effectExtent l="0" t="0" r="0" b="0"/>
              <wp:wrapNone/>
              <wp:docPr id="1191" name="Line 2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F0696F" id="Line 217" o:spid="_x0000_s1026" alt="&quot;&quot;" style="position:absolute;z-index:25228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84416" behindDoc="0" locked="0" layoutInCell="0" allowOverlap="1" wp14:anchorId="47B54E7B" wp14:editId="5C322B35">
              <wp:simplePos x="0" y="0"/>
              <wp:positionH relativeFrom="column">
                <wp:posOffset>-9525</wp:posOffset>
              </wp:positionH>
              <wp:positionV relativeFrom="paragraph">
                <wp:posOffset>-34925</wp:posOffset>
              </wp:positionV>
              <wp:extent cx="0" cy="0"/>
              <wp:effectExtent l="0" t="0" r="0" b="0"/>
              <wp:wrapNone/>
              <wp:docPr id="1190" name="Line 21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85A7F9" id="Line 216" o:spid="_x0000_s1026" alt="&quot;&quot;" style="position:absolute;z-index:25228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83392" behindDoc="0" locked="0" layoutInCell="0" allowOverlap="1" wp14:anchorId="75911BAA" wp14:editId="0BB080CD">
              <wp:simplePos x="0" y="0"/>
              <wp:positionH relativeFrom="column">
                <wp:posOffset>9525</wp:posOffset>
              </wp:positionH>
              <wp:positionV relativeFrom="paragraph">
                <wp:posOffset>-31750</wp:posOffset>
              </wp:positionV>
              <wp:extent cx="0" cy="0"/>
              <wp:effectExtent l="0" t="0" r="0" b="0"/>
              <wp:wrapNone/>
              <wp:docPr id="1189" name="Line 2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EF5273" id="Line 215" o:spid="_x0000_s1026" alt="&quot;&quot;" style="position:absolute;z-index:25228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5pt" to=".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" o:allowincell="f"/>
          </w:pict>
        </mc:Fallback>
      </mc:AlternateContent>
    </w:r>
    <w:r>
      <w:rPr>
        <w:sz w:val="18"/>
      </w:rPr>
      <w:t>Updated 07/27/2018</w:t>
    </w:r>
  </w:p>
  <w:p w14:paraId="25D4B5B5"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E03044" w14:textId="27BEB6F1" w:rsidR="009C1A5C" w:rsidRDefault="009C1A5C" w:rsidP="00E81304">
    <w:pPr>
      <w:pStyle w:val="Footer"/>
      <w:framePr w:wrap="around" w:vAnchor="text" w:hAnchor="page" w:x="9975" w:y="7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2-12</w:t>
    </w:r>
    <w:r>
      <w:rPr>
        <w:rStyle w:val="PageNumber"/>
      </w:rPr>
      <w:fldChar w:fldCharType="end"/>
    </w:r>
  </w:p>
  <w:p w14:paraId="352FF733" w14:textId="41C8C0A2" w:rsidR="009C1A5C" w:rsidRPr="004C0B53" w:rsidRDefault="009C1A5C" w:rsidP="004C0B53">
    <w:pPr>
      <w:pStyle w:val="Footer"/>
      <w:pBdr>
        <w:top w:val="single" w:sz="4" w:space="1" w:color="auto"/>
      </w:pBdr>
      <w:tabs>
        <w:tab w:val="clear" w:pos="8640"/>
        <w:tab w:val="right" w:pos="9360"/>
      </w:tabs>
      <w:rPr>
        <w:rStyle w:val="PageNumber"/>
      </w:rPr>
    </w:pPr>
    <w:r>
      <w:rPr>
        <w:noProof/>
        <w:sz w:val="20"/>
      </w:rPr>
      <mc:AlternateContent>
        <mc:Choice Requires="wps">
          <w:drawing>
            <wp:anchor distT="0" distB="0" distL="114300" distR="114300" simplePos="0" relativeHeight="252291584" behindDoc="0" locked="0" layoutInCell="0" allowOverlap="1" wp14:anchorId="136AD7AA" wp14:editId="0D49E535">
              <wp:simplePos x="0" y="0"/>
              <wp:positionH relativeFrom="column">
                <wp:posOffset>19050</wp:posOffset>
              </wp:positionH>
              <wp:positionV relativeFrom="paragraph">
                <wp:posOffset>-34925</wp:posOffset>
              </wp:positionV>
              <wp:extent cx="0" cy="0"/>
              <wp:effectExtent l="0" t="0" r="0" b="0"/>
              <wp:wrapNone/>
              <wp:docPr id="1186" name="Line 2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6A1622" id="Line 214" o:spid="_x0000_s1026" alt="&quot;&quot;" style="position:absolute;z-index:25229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5pt" to="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90560" behindDoc="0" locked="0" layoutInCell="0" allowOverlap="1" wp14:anchorId="2DF1D86F" wp14:editId="66EAE696">
              <wp:simplePos x="0" y="0"/>
              <wp:positionH relativeFrom="column">
                <wp:posOffset>-9525</wp:posOffset>
              </wp:positionH>
              <wp:positionV relativeFrom="paragraph">
                <wp:posOffset>-34925</wp:posOffset>
              </wp:positionV>
              <wp:extent cx="0" cy="0"/>
              <wp:effectExtent l="0" t="0" r="0" b="0"/>
              <wp:wrapNone/>
              <wp:docPr id="1185" name="Line 2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068812" id="Line 213" o:spid="_x0000_s1026" alt="&quot;&quot;" style="position:absolute;z-index:25229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89536" behindDoc="0" locked="0" layoutInCell="0" allowOverlap="1" wp14:anchorId="17FCB570" wp14:editId="5C9CFB81">
              <wp:simplePos x="0" y="0"/>
              <wp:positionH relativeFrom="column">
                <wp:posOffset>-9525</wp:posOffset>
              </wp:positionH>
              <wp:positionV relativeFrom="paragraph">
                <wp:posOffset>-34925</wp:posOffset>
              </wp:positionV>
              <wp:extent cx="0" cy="0"/>
              <wp:effectExtent l="0" t="0" r="0" b="0"/>
              <wp:wrapNone/>
              <wp:docPr id="1184" name="Line 2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2187F7" id="Line 212" o:spid="_x0000_s1026" alt="&quot;&quot;" style="position:absolute;z-index:25228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88512" behindDoc="0" locked="0" layoutInCell="0" allowOverlap="1" wp14:anchorId="4AB19E19" wp14:editId="0D697D1A">
              <wp:simplePos x="0" y="0"/>
              <wp:positionH relativeFrom="column">
                <wp:posOffset>9525</wp:posOffset>
              </wp:positionH>
              <wp:positionV relativeFrom="paragraph">
                <wp:posOffset>-31750</wp:posOffset>
              </wp:positionV>
              <wp:extent cx="0" cy="0"/>
              <wp:effectExtent l="0" t="0" r="0" b="0"/>
              <wp:wrapNone/>
              <wp:docPr id="255" name="Line 2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72A31C" id="Line 211" o:spid="_x0000_s1026" alt="&quot;&quot;" style="position:absolute;z-index:25228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5pt" to=".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" o:allowincell="f"/>
          </w:pict>
        </mc:Fallback>
      </mc:AlternateContent>
    </w:r>
    <w:r>
      <w:rPr>
        <w:sz w:val="18"/>
      </w:rPr>
      <w:t>Updated 07/27/2018</w:t>
    </w:r>
  </w:p>
  <w:p w14:paraId="70E00158" w14:textId="6AC92F3E"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1860C1" w14:textId="7E00D9B4" w:rsidR="009C1A5C" w:rsidRPr="004C0B53" w:rsidRDefault="009C1A5C" w:rsidP="004C0B53">
    <w:pPr>
      <w:pStyle w:val="Footer"/>
      <w:pBdr>
        <w:top w:val="single" w:sz="4" w:space="1" w:color="auto"/>
      </w:pBdr>
      <w:tabs>
        <w:tab w:val="clear" w:pos="8640"/>
        <w:tab w:val="right" w:pos="9360"/>
      </w:tabs>
      <w:rPr>
        <w:rStyle w:val="PageNumber"/>
      </w:rPr>
    </w:pPr>
    <w:r>
      <w:rPr>
        <w:noProof/>
        <w:sz w:val="20"/>
      </w:rPr>
      <mc:AlternateContent>
        <mc:Choice Requires="wps">
          <w:drawing>
            <wp:anchor distT="0" distB="0" distL="114300" distR="114300" simplePos="0" relativeHeight="252296704" behindDoc="0" locked="0" layoutInCell="0" allowOverlap="1" wp14:anchorId="7C28EC11" wp14:editId="22F0FDE1">
              <wp:simplePos x="0" y="0"/>
              <wp:positionH relativeFrom="column">
                <wp:posOffset>19050</wp:posOffset>
              </wp:positionH>
              <wp:positionV relativeFrom="paragraph">
                <wp:posOffset>-34925</wp:posOffset>
              </wp:positionV>
              <wp:extent cx="0" cy="0"/>
              <wp:effectExtent l="0" t="0" r="0" b="0"/>
              <wp:wrapNone/>
              <wp:docPr id="253" name="Line 2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834E8A" id="Line 210" o:spid="_x0000_s1026" alt="&quot;&quot;" style="position:absolute;z-index:25229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5pt" to="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95680" behindDoc="0" locked="0" layoutInCell="0" allowOverlap="1" wp14:anchorId="0633F3FD" wp14:editId="12485365">
              <wp:simplePos x="0" y="0"/>
              <wp:positionH relativeFrom="column">
                <wp:posOffset>-9525</wp:posOffset>
              </wp:positionH>
              <wp:positionV relativeFrom="paragraph">
                <wp:posOffset>-34925</wp:posOffset>
              </wp:positionV>
              <wp:extent cx="0" cy="0"/>
              <wp:effectExtent l="0" t="0" r="0" b="0"/>
              <wp:wrapNone/>
              <wp:docPr id="252" name="Line 20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AB17EE" id="Line 209" o:spid="_x0000_s1026" alt="&quot;&quot;" style="position:absolute;z-index:25229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94656" behindDoc="0" locked="0" layoutInCell="0" allowOverlap="1" wp14:anchorId="04512EE9" wp14:editId="41CDBA43">
              <wp:simplePos x="0" y="0"/>
              <wp:positionH relativeFrom="column">
                <wp:posOffset>-9525</wp:posOffset>
              </wp:positionH>
              <wp:positionV relativeFrom="paragraph">
                <wp:posOffset>-34925</wp:posOffset>
              </wp:positionV>
              <wp:extent cx="0" cy="0"/>
              <wp:effectExtent l="0" t="0" r="0" b="0"/>
              <wp:wrapNone/>
              <wp:docPr id="251" name="Line 20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285050" id="Line 208" o:spid="_x0000_s1026" alt="&quot;&quot;" style="position:absolute;z-index:25229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93632" behindDoc="0" locked="0" layoutInCell="0" allowOverlap="1" wp14:anchorId="317C5B53" wp14:editId="0C6F6699">
              <wp:simplePos x="0" y="0"/>
              <wp:positionH relativeFrom="column">
                <wp:posOffset>9525</wp:posOffset>
              </wp:positionH>
              <wp:positionV relativeFrom="paragraph">
                <wp:posOffset>-31750</wp:posOffset>
              </wp:positionV>
              <wp:extent cx="0" cy="0"/>
              <wp:effectExtent l="0" t="0" r="0" b="0"/>
              <wp:wrapNone/>
              <wp:docPr id="250" name="Line 20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06E991" id="Line 207" o:spid="_x0000_s1026" alt="&quot;&quot;" style="position:absolute;z-index:25229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5pt" to=".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" o:allowincell="f"/>
          </w:pict>
        </mc:Fallback>
      </mc:AlternateContent>
    </w:r>
    <w:r>
      <w:rPr>
        <w:sz w:val="18"/>
      </w:rPr>
      <w:t>Updated 07/27/2018</w:t>
    </w:r>
  </w:p>
  <w:p w14:paraId="26C84D91" w14:textId="0C50CA70" w:rsidR="009C1A5C" w:rsidRDefault="009C1A5C" w:rsidP="00E81304">
    <w:pPr>
      <w:pStyle w:val="Footer"/>
      <w:framePr w:wrap="around" w:vAnchor="text" w:hAnchor="page" w:x="9772" w:y="2"/>
      <w:ind w:left="360"/>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2-15</w:t>
    </w:r>
    <w:r>
      <w:rPr>
        <w:rStyle w:val="PageNumber"/>
      </w:rPr>
      <w:fldChar w:fldCharType="end"/>
    </w:r>
  </w:p>
  <w:p w14:paraId="1C5D61CD" w14:textId="77777777" w:rsidR="009C1A5C" w:rsidRDefault="009C1A5C" w:rsidP="004C0B53">
    <w:pPr>
      <w:pStyle w:val="Footer"/>
      <w:ind w:right="360"/>
      <w:rPr>
        <w:sz w:val="18"/>
      </w:rPr>
    </w:pPr>
    <w:hyperlink w:anchor="TOC" w:history="1">
      <w:r w:rsidRPr="00B21B2A">
        <w:rPr>
          <w:rStyle w:val="Hyperlink"/>
          <w:sz w:val="18"/>
        </w:rPr>
        <w:t>Return to Table of Contents</w:t>
      </w:r>
    </w:hyperlink>
    <w:r>
      <w:tab/>
    </w:r>
    <w:r>
      <w:tab/>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B2A41" w14:textId="6622B52D" w:rsidR="009C1A5C" w:rsidRDefault="009C1A5C" w:rsidP="0076608D">
    <w:pPr>
      <w:pStyle w:val="Footer"/>
      <w:pBdr>
        <w:top w:val="single" w:sz="4" w:space="1" w:color="auto"/>
      </w:pBdr>
      <w:tabs>
        <w:tab w:val="clear" w:pos="8640"/>
        <w:tab w:val="right" w:pos="9360"/>
      </w:tabs>
      <w:rPr>
        <w:rStyle w:val="PageNumber"/>
      </w:rPr>
    </w:pPr>
    <w:r>
      <w:rPr>
        <w:sz w:val="18"/>
      </w:rPr>
      <w:t>Updated 07/</w:t>
    </w:r>
    <w:r w:rsidR="00443A22">
      <w:rPr>
        <w:sz w:val="18"/>
      </w:rPr>
      <w:t>16</w:t>
    </w:r>
    <w:r>
      <w:rPr>
        <w:sz w:val="18"/>
      </w:rPr>
      <w:t>/20</w:t>
    </w:r>
    <w:r w:rsidR="00443A22">
      <w:rPr>
        <w:sz w:val="18"/>
      </w:rPr>
      <w:t>25</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2-17</w:t>
    </w:r>
    <w:r>
      <w:rPr>
        <w:rStyle w:val="PageNumber"/>
      </w:rPr>
      <w:fldChar w:fldCharType="end"/>
    </w:r>
  </w:p>
  <w:p w14:paraId="3E1FB2B7" w14:textId="77777777" w:rsidR="009C1A5C" w:rsidRPr="00836F12" w:rsidRDefault="009C1A5C" w:rsidP="004C0B53">
    <w:pPr>
      <w:pStyle w:val="Footer"/>
      <w:ind w:right="360"/>
      <w:rPr>
        <w:sz w:val="18"/>
      </w:rPr>
    </w:pPr>
    <w:hyperlink w:anchor="TOC" w:history="1">
      <w:r w:rsidRPr="00B21B2A">
        <w:rPr>
          <w:rStyle w:val="Hyperlink"/>
          <w:sz w:val="18"/>
        </w:rPr>
        <w:t>Return to Table of Contents</w:t>
      </w:r>
    </w:hyperlink>
    <w:r>
      <w:tab/>
    </w:r>
    <w:r>
      <w:tab/>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7D19C6" w14:textId="1AA25A09"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2-20</w:t>
    </w:r>
    <w:r>
      <w:rPr>
        <w:rStyle w:val="PageNumber"/>
      </w:rPr>
      <w:fldChar w:fldCharType="end"/>
    </w:r>
  </w:p>
  <w:p w14:paraId="379FB731" w14:textId="3EBF297E" w:rsidR="009C1A5C" w:rsidRPr="004C0B53" w:rsidRDefault="009C1A5C" w:rsidP="004C0B53">
    <w:pPr>
      <w:pStyle w:val="Footer"/>
      <w:pBdr>
        <w:top w:val="single" w:sz="4" w:space="1" w:color="auto"/>
      </w:pBdr>
      <w:tabs>
        <w:tab w:val="clear" w:pos="8640"/>
        <w:tab w:val="right" w:pos="9360"/>
      </w:tabs>
      <w:rPr>
        <w:rStyle w:val="PageNumber"/>
      </w:rPr>
    </w:pPr>
    <w:r>
      <w:rPr>
        <w:sz w:val="18"/>
      </w:rPr>
      <w:t>Updated 12/04/2017</w:t>
    </w:r>
  </w:p>
  <w:p w14:paraId="0E3D7888" w14:textId="6A15C562" w:rsidR="009C1A5C" w:rsidRDefault="009C1A5C" w:rsidP="004C0B53">
    <w:pPr>
      <w:pStyle w:val="Footer"/>
      <w:ind w:right="360"/>
      <w:rPr>
        <w:sz w:val="18"/>
      </w:rPr>
    </w:pPr>
    <w:r>
      <w:rPr>
        <w:noProof/>
        <w:sz w:val="18"/>
      </w:rPr>
      <mc:AlternateContent>
        <mc:Choice Requires="wps">
          <w:drawing>
            <wp:anchor distT="0" distB="0" distL="114300" distR="114300" simplePos="0" relativeHeight="252302848" behindDoc="0" locked="0" layoutInCell="0" allowOverlap="1" wp14:anchorId="10D2441D" wp14:editId="7FC4D29B">
              <wp:simplePos x="0" y="0"/>
              <wp:positionH relativeFrom="column">
                <wp:posOffset>9525</wp:posOffset>
              </wp:positionH>
              <wp:positionV relativeFrom="paragraph">
                <wp:posOffset>-144780</wp:posOffset>
              </wp:positionV>
              <wp:extent cx="0" cy="0"/>
              <wp:effectExtent l="0" t="0" r="0" b="0"/>
              <wp:wrapNone/>
              <wp:docPr id="245" name="Line 2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803E32" id="Line 243" o:spid="_x0000_s1026" alt="&quot;&quot;" style="position:absolute;z-index:25230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1.4pt" to=".7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" o:allowincell="f"/>
          </w:pict>
        </mc:Fallback>
      </mc:AlternateContent>
    </w:r>
    <w:hyperlink w:anchor="TOC" w:history="1">
      <w:r w:rsidRPr="00B21B2A">
        <w:rPr>
          <w:rStyle w:val="Hyperlink"/>
          <w:sz w:val="18"/>
        </w:rPr>
        <w:t>Return to Table of Contents</w:t>
      </w:r>
    </w:hyperlink>
    <w:r w:rsidRPr="004C0B53">
      <w:tab/>
    </w:r>
    <w:r>
      <w:tab/>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5F480" w14:textId="2999C1D3" w:rsidR="009C1A5C" w:rsidRDefault="009C1A5C" w:rsidP="009D4B5C">
    <w:pPr>
      <w:pStyle w:val="Footer"/>
      <w:pBdr>
        <w:top w:val="single" w:sz="4" w:space="1" w:color="auto"/>
      </w:pBdr>
      <w:tabs>
        <w:tab w:val="clear" w:pos="8640"/>
        <w:tab w:val="right" w:pos="12870"/>
      </w:tabs>
      <w:rPr>
        <w:rStyle w:val="PageNumber"/>
      </w:rPr>
    </w:pPr>
    <w:r>
      <w:rPr>
        <w:noProof/>
      </w:rPr>
      <w:drawing>
        <wp:anchor distT="0" distB="0" distL="114300" distR="114300" simplePos="0" relativeHeight="252525056" behindDoc="1" locked="0" layoutInCell="1" allowOverlap="1" wp14:anchorId="544B80D3" wp14:editId="7C71806D">
          <wp:simplePos x="0" y="0"/>
          <wp:positionH relativeFrom="column">
            <wp:posOffset>-2590800</wp:posOffset>
          </wp:positionH>
          <wp:positionV relativeFrom="paragraph">
            <wp:posOffset>-46885225</wp:posOffset>
          </wp:positionV>
          <wp:extent cx="2749550" cy="353060"/>
          <wp:effectExtent l="0" t="0" r="0" b="8890"/>
          <wp:wrapTight wrapText="bothSides">
            <wp:wrapPolygon edited="0">
              <wp:start x="0" y="0"/>
              <wp:lineTo x="0" y="20978"/>
              <wp:lineTo x="21400" y="20978"/>
              <wp:lineTo x="21400" y="0"/>
              <wp:lineTo x="0" y="0"/>
            </wp:wrapPolygon>
          </wp:wrapTight>
          <wp:docPr id="1684" name="Picture 168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 name="Picture 1684">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49550" cy="353060"/>
                  </a:xfrm>
                  <a:prstGeom prst="rect">
                    <a:avLst/>
                  </a:prstGeom>
                  <a:noFill/>
                  <a:ln>
                    <a:noFill/>
                  </a:ln>
                </pic:spPr>
              </pic:pic>
            </a:graphicData>
          </a:graphic>
        </wp:anchor>
      </w:drawing>
    </w:r>
    <w:r>
      <w:rPr>
        <w:sz w:val="18"/>
      </w:rPr>
      <w:t>Updated 1/</w:t>
    </w:r>
    <w:r w:rsidR="000D75AB">
      <w:rPr>
        <w:sz w:val="18"/>
      </w:rPr>
      <w:t>14</w:t>
    </w:r>
    <w:r>
      <w:rPr>
        <w:sz w:val="18"/>
      </w:rPr>
      <w:t>/202</w:t>
    </w:r>
    <w:r w:rsidR="000D75AB">
      <w:rPr>
        <w:sz w:val="18"/>
      </w:rPr>
      <w:t>6</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2-30</w:t>
    </w:r>
    <w:r>
      <w:rPr>
        <w:rStyle w:val="PageNumber"/>
      </w:rPr>
      <w:fldChar w:fldCharType="end"/>
    </w:r>
  </w:p>
  <w:p w14:paraId="6B7363A2" w14:textId="77777777" w:rsidR="009C1A5C" w:rsidRPr="00836F12" w:rsidRDefault="009C1A5C" w:rsidP="00F34EFC">
    <w:pPr>
      <w:pStyle w:val="Footer"/>
      <w:ind w:right="360"/>
      <w:rPr>
        <w:sz w:val="18"/>
      </w:rPr>
    </w:pPr>
    <w:hyperlink w:anchor="TOC" w:history="1">
      <w:r w:rsidRPr="00B21B2A">
        <w:rPr>
          <w:rStyle w:val="Hyperlink"/>
          <w:sz w:val="18"/>
        </w:rPr>
        <w:t>Return to Table of Contents</w:t>
      </w:r>
    </w:hyperlink>
    <w:r>
      <w:tab/>
    </w:r>
    <w:r>
      <w:tab/>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0C58A" w14:textId="3838A57D"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2-32</w:t>
    </w:r>
    <w:r>
      <w:rPr>
        <w:rStyle w:val="PageNumber"/>
      </w:rPr>
      <w:fldChar w:fldCharType="end"/>
    </w:r>
  </w:p>
  <w:p w14:paraId="69F877A3" w14:textId="450BC9C0" w:rsidR="009C1A5C" w:rsidRPr="004C0B53" w:rsidRDefault="009C1A5C" w:rsidP="000122F4">
    <w:pPr>
      <w:pStyle w:val="Footer"/>
      <w:pBdr>
        <w:top w:val="single" w:sz="4" w:space="1" w:color="auto"/>
      </w:pBdr>
      <w:tabs>
        <w:tab w:val="clear" w:pos="8640"/>
        <w:tab w:val="right" w:pos="9360"/>
      </w:tabs>
      <w:rPr>
        <w:rStyle w:val="PageNumber"/>
      </w:rPr>
    </w:pPr>
    <w:r>
      <w:rPr>
        <w:sz w:val="18"/>
      </w:rPr>
      <w:t>Updated 0</w:t>
    </w:r>
    <w:r w:rsidR="000D75AB">
      <w:rPr>
        <w:sz w:val="18"/>
      </w:rPr>
      <w:t>1</w:t>
    </w:r>
    <w:r>
      <w:rPr>
        <w:sz w:val="18"/>
      </w:rPr>
      <w:t>/1</w:t>
    </w:r>
    <w:r w:rsidR="000D75AB">
      <w:rPr>
        <w:sz w:val="18"/>
      </w:rPr>
      <w:t>4</w:t>
    </w:r>
    <w:r>
      <w:rPr>
        <w:sz w:val="18"/>
      </w:rPr>
      <w:t>/202</w:t>
    </w:r>
    <w:r w:rsidR="000D75AB">
      <w:rPr>
        <w:sz w:val="18"/>
      </w:rPr>
      <w:t>6</w:t>
    </w:r>
    <w:r>
      <w:rPr>
        <w:sz w:val="18"/>
      </w:rPr>
      <w:tab/>
    </w:r>
  </w:p>
  <w:p w14:paraId="6F72A978" w14:textId="7A997270" w:rsidR="009C1A5C" w:rsidRDefault="009C1A5C" w:rsidP="004C0B53">
    <w:pPr>
      <w:pStyle w:val="Footer"/>
      <w:ind w:right="360"/>
      <w:rPr>
        <w:sz w:val="18"/>
      </w:rPr>
    </w:pPr>
    <w:r>
      <w:rPr>
        <w:noProof/>
        <w:sz w:val="18"/>
      </w:rPr>
      <mc:AlternateContent>
        <mc:Choice Requires="wps">
          <w:drawing>
            <wp:anchor distT="0" distB="0" distL="114300" distR="114300" simplePos="0" relativeHeight="252304896" behindDoc="0" locked="0" layoutInCell="0" allowOverlap="1" wp14:anchorId="6BC839EE" wp14:editId="2958DE1E">
              <wp:simplePos x="0" y="0"/>
              <wp:positionH relativeFrom="column">
                <wp:posOffset>9525</wp:posOffset>
              </wp:positionH>
              <wp:positionV relativeFrom="paragraph">
                <wp:posOffset>-144780</wp:posOffset>
              </wp:positionV>
              <wp:extent cx="0" cy="0"/>
              <wp:effectExtent l="0" t="0" r="0" b="0"/>
              <wp:wrapNone/>
              <wp:docPr id="244" name="Line 47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486EFC" id="Line 475" o:spid="_x0000_s1026" alt="&quot;&quot;" style="position:absolute;z-index:25230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1.4pt" to=".7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" o:allowincell="f"/>
          </w:pict>
        </mc:Fallback>
      </mc:AlternateContent>
    </w:r>
    <w:hyperlink w:anchor="TOC" w:history="1">
      <w:r w:rsidRPr="00B21B2A">
        <w:rPr>
          <w:rStyle w:val="Hyperlink"/>
          <w:sz w:val="18"/>
        </w:rPr>
        <w:t>Return to Table of Contents</w:t>
      </w:r>
    </w:hyperlink>
    <w:r w:rsidRPr="004C0B53">
      <w:tab/>
    </w:r>
    <w:r>
      <w:tab/>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0978F" w14:textId="145A2E8A"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2-33</w:t>
    </w:r>
    <w:r>
      <w:rPr>
        <w:rStyle w:val="PageNumber"/>
      </w:rPr>
      <w:fldChar w:fldCharType="end"/>
    </w:r>
  </w:p>
  <w:p w14:paraId="7A7530EC" w14:textId="3106E7F5" w:rsidR="009C1A5C" w:rsidRPr="004C0B53" w:rsidRDefault="009C1A5C" w:rsidP="004C0B53">
    <w:pPr>
      <w:pStyle w:val="Footer"/>
      <w:pBdr>
        <w:top w:val="single" w:sz="4" w:space="1" w:color="auto"/>
      </w:pBdr>
      <w:tabs>
        <w:tab w:val="clear" w:pos="8640"/>
        <w:tab w:val="right" w:pos="9360"/>
      </w:tabs>
      <w:rPr>
        <w:rStyle w:val="PageNumber"/>
      </w:rPr>
    </w:pPr>
    <w:r>
      <w:rPr>
        <w:sz w:val="18"/>
      </w:rPr>
      <w:t>Updated 05/14/2018</w:t>
    </w:r>
  </w:p>
  <w:p w14:paraId="2548133F" w14:textId="3A64457D" w:rsidR="009C1A5C" w:rsidRDefault="009C1A5C" w:rsidP="004C0B53">
    <w:pPr>
      <w:pStyle w:val="Footer"/>
      <w:ind w:right="360"/>
      <w:rPr>
        <w:sz w:val="18"/>
      </w:rPr>
    </w:pPr>
    <w:r>
      <w:rPr>
        <w:noProof/>
        <w:sz w:val="18"/>
      </w:rPr>
      <mc:AlternateContent>
        <mc:Choice Requires="wps">
          <w:drawing>
            <wp:anchor distT="0" distB="0" distL="114300" distR="114300" simplePos="0" relativeHeight="252306944" behindDoc="0" locked="0" layoutInCell="0" allowOverlap="1" wp14:anchorId="33CAA4C0" wp14:editId="514DFCF0">
              <wp:simplePos x="0" y="0"/>
              <wp:positionH relativeFrom="column">
                <wp:posOffset>9525</wp:posOffset>
              </wp:positionH>
              <wp:positionV relativeFrom="paragraph">
                <wp:posOffset>-192405</wp:posOffset>
              </wp:positionV>
              <wp:extent cx="0" cy="0"/>
              <wp:effectExtent l="0" t="0" r="0" b="0"/>
              <wp:wrapNone/>
              <wp:docPr id="243" name="Line 24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8C7D25" id="Line 245" o:spid="_x0000_s1026" alt="&quot;&quot;" style="position:absolute;z-index:25230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4C0B53">
      <w:tab/>
    </w:r>
    <w:r w:rsidRPr="004C0B53">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C458F0" w14:textId="77777777" w:rsidR="009C1A5C" w:rsidRDefault="009C1A5C">
    <w:pPr>
      <w:pStyle w:val="Footer"/>
    </w:pPr>
    <w:r>
      <w:rPr>
        <w:noProof/>
        <w:sz w:val="18"/>
      </w:rPr>
      <mc:AlternateContent>
        <mc:Choice Requires="wps">
          <w:drawing>
            <wp:anchor distT="0" distB="0" distL="114300" distR="114300" simplePos="0" relativeHeight="251605504" behindDoc="0" locked="0" layoutInCell="0" allowOverlap="1" wp14:anchorId="7C116712" wp14:editId="335E6823">
              <wp:simplePos x="0" y="0"/>
              <wp:positionH relativeFrom="column">
                <wp:posOffset>9525</wp:posOffset>
              </wp:positionH>
              <wp:positionV relativeFrom="paragraph">
                <wp:posOffset>-25400</wp:posOffset>
              </wp:positionV>
              <wp:extent cx="5467350" cy="0"/>
              <wp:effectExtent l="9525" t="12700" r="9525" b="6350"/>
              <wp:wrapNone/>
              <wp:docPr id="331" name="Line 43" descr="Pavement &amp; Geotechnical Design Guid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1A6659" id="Line 43" o:spid="_x0000_s1026" alt="Pavement &amp; Geotechnical Design Guide" style="position:absolute;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pt" to="431.2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" o:allowincell="f"/>
          </w:pict>
        </mc:Fallback>
      </mc:AlternateContent>
    </w:r>
    <w:r>
      <w:rPr>
        <w:sz w:val="18"/>
      </w:rPr>
      <w:t>Updated 10/25/2013</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4A42F" w14:textId="0DD7FA13" w:rsidR="009C1A5C" w:rsidRDefault="009C1A5C" w:rsidP="0076608D">
    <w:pPr>
      <w:pStyle w:val="Footer"/>
      <w:pBdr>
        <w:top w:val="single" w:sz="4" w:space="1" w:color="auto"/>
      </w:pBdr>
      <w:tabs>
        <w:tab w:val="clear" w:pos="8640"/>
        <w:tab w:val="right" w:pos="9360"/>
      </w:tabs>
      <w:rPr>
        <w:rStyle w:val="PageNumber"/>
      </w:rPr>
    </w:pPr>
    <w:r>
      <w:rPr>
        <w:sz w:val="18"/>
      </w:rPr>
      <w:t>Updated 03/10/2020</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2-53</w:t>
    </w:r>
    <w:r>
      <w:rPr>
        <w:rStyle w:val="PageNumber"/>
      </w:rPr>
      <w:fldChar w:fldCharType="end"/>
    </w:r>
  </w:p>
  <w:p w14:paraId="2D29E97F" w14:textId="77777777" w:rsidR="009C1A5C" w:rsidRPr="00836F12" w:rsidRDefault="009C1A5C" w:rsidP="004C0B53">
    <w:pPr>
      <w:pStyle w:val="Footer"/>
      <w:ind w:right="360"/>
      <w:rPr>
        <w:sz w:val="18"/>
      </w:rPr>
    </w:pPr>
    <w:hyperlink w:anchor="TOC" w:history="1">
      <w:r w:rsidRPr="00B21B2A">
        <w:rPr>
          <w:rStyle w:val="Hyperlink"/>
          <w:sz w:val="18"/>
        </w:rPr>
        <w:t>Return to Table of Contents</w:t>
      </w:r>
    </w:hyperlink>
    <w:r>
      <w:tab/>
    </w:r>
    <w:r>
      <w:tab/>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E0F4F" w14:textId="5EA64C33"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2-56</w:t>
    </w:r>
    <w:r>
      <w:rPr>
        <w:rStyle w:val="PageNumber"/>
      </w:rPr>
      <w:fldChar w:fldCharType="end"/>
    </w:r>
  </w:p>
  <w:p w14:paraId="708CDCAF" w14:textId="42141415" w:rsidR="009C1A5C" w:rsidRPr="00D93588" w:rsidRDefault="009C1A5C" w:rsidP="004C0B53">
    <w:pPr>
      <w:pStyle w:val="Footer"/>
      <w:pBdr>
        <w:top w:val="single" w:sz="4" w:space="1" w:color="auto"/>
      </w:pBdr>
      <w:tabs>
        <w:tab w:val="clear" w:pos="8640"/>
        <w:tab w:val="right" w:pos="9360"/>
      </w:tabs>
      <w:rPr>
        <w:rStyle w:val="PageNumber"/>
      </w:rPr>
    </w:pPr>
    <w:r>
      <w:rPr>
        <w:sz w:val="18"/>
      </w:rPr>
      <w:t>Updated 05/14/2018</w:t>
    </w:r>
  </w:p>
  <w:p w14:paraId="4902565A" w14:textId="551903F4" w:rsidR="009C1A5C" w:rsidRDefault="009C1A5C" w:rsidP="004C0B53">
    <w:pPr>
      <w:pStyle w:val="Footer"/>
      <w:ind w:right="360"/>
      <w:rPr>
        <w:sz w:val="18"/>
      </w:rPr>
    </w:pPr>
    <w:r>
      <w:rPr>
        <w:noProof/>
        <w:sz w:val="18"/>
      </w:rPr>
      <mc:AlternateContent>
        <mc:Choice Requires="wps">
          <w:drawing>
            <wp:anchor distT="0" distB="0" distL="114300" distR="114300" simplePos="0" relativeHeight="252308992" behindDoc="0" locked="0" layoutInCell="0" allowOverlap="1" wp14:anchorId="3BB98B5F" wp14:editId="37ED6D70">
              <wp:simplePos x="0" y="0"/>
              <wp:positionH relativeFrom="column">
                <wp:posOffset>9525</wp:posOffset>
              </wp:positionH>
              <wp:positionV relativeFrom="paragraph">
                <wp:posOffset>-192405</wp:posOffset>
              </wp:positionV>
              <wp:extent cx="0" cy="0"/>
              <wp:effectExtent l="0" t="0" r="0" b="0"/>
              <wp:wrapNone/>
              <wp:docPr id="738" name="Line 49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2AB03B" id="Line 493" o:spid="_x0000_s1026" alt="&quot;&quot;" style="position:absolute;z-index:25230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4C0B53">
      <w:tab/>
    </w:r>
    <w:r w:rsidRPr="004C0B53">
      <w:tab/>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A60D8" w14:textId="438E4003" w:rsidR="009C1A5C" w:rsidRDefault="009C1A5C" w:rsidP="002D1DF8">
    <w:pPr>
      <w:pStyle w:val="Footer"/>
      <w:framePr w:wrap="around" w:vAnchor="text" w:hAnchor="margin" w:xAlign="right" w:y="1"/>
      <w:rPr>
        <w:rStyle w:val="PageNumber"/>
        <w:rFonts w:ascii="Times New Roman" w:hAnsi="Times New Roman"/>
        <w:sz w:val="20"/>
      </w:rPr>
    </w:pPr>
    <w:r>
      <w:rPr>
        <w:rStyle w:val="PageNumber"/>
      </w:rPr>
      <w:fldChar w:fldCharType="begin"/>
    </w:r>
    <w:r>
      <w:rPr>
        <w:rStyle w:val="PageNumber"/>
      </w:rPr>
      <w:instrText xml:space="preserve"> PAGE </w:instrText>
    </w:r>
    <w:r>
      <w:rPr>
        <w:rStyle w:val="PageNumber"/>
      </w:rPr>
      <w:fldChar w:fldCharType="separate"/>
    </w:r>
    <w:r>
      <w:rPr>
        <w:rStyle w:val="PageNumber"/>
        <w:noProof/>
      </w:rPr>
      <w:t>3-3</w:t>
    </w:r>
    <w:r>
      <w:rPr>
        <w:rStyle w:val="PageNumber"/>
      </w:rPr>
      <w:fldChar w:fldCharType="end"/>
    </w:r>
  </w:p>
  <w:p w14:paraId="0D269F05" w14:textId="7D070FC1" w:rsidR="009C1A5C" w:rsidRDefault="009C1A5C">
    <w:pPr>
      <w:pStyle w:val="Footer"/>
      <w:ind w:right="360"/>
      <w:rPr>
        <w:sz w:val="18"/>
      </w:rPr>
    </w:pPr>
    <w:r>
      <w:rPr>
        <w:sz w:val="18"/>
      </w:rPr>
      <w:t>Updated 06/15/2020</w:t>
    </w:r>
  </w:p>
  <w:p w14:paraId="5601D88E"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37FE3" w14:textId="5168975D" w:rsidR="009C1A5C" w:rsidRDefault="009C1A5C" w:rsidP="00D839EF">
    <w:pPr>
      <w:pStyle w:val="Footer"/>
      <w:framePr w:wrap="around" w:vAnchor="text" w:hAnchor="margin" w:xAlign="right" w:y="1"/>
      <w:rPr>
        <w:rStyle w:val="PageNumber"/>
        <w:rFonts w:ascii="Times New Roman" w:hAnsi="Times New Roman"/>
        <w:sz w:val="20"/>
      </w:rPr>
    </w:pPr>
    <w:r>
      <w:rPr>
        <w:rStyle w:val="PageNumber"/>
      </w:rPr>
      <w:fldChar w:fldCharType="begin"/>
    </w:r>
    <w:r>
      <w:rPr>
        <w:rStyle w:val="PageNumber"/>
      </w:rPr>
      <w:instrText xml:space="preserve"> PAGE </w:instrText>
    </w:r>
    <w:r>
      <w:rPr>
        <w:rStyle w:val="PageNumber"/>
      </w:rPr>
      <w:fldChar w:fldCharType="separate"/>
    </w:r>
    <w:r>
      <w:rPr>
        <w:rStyle w:val="PageNumber"/>
        <w:noProof/>
      </w:rPr>
      <w:t>3-5</w:t>
    </w:r>
    <w:r>
      <w:rPr>
        <w:rStyle w:val="PageNumber"/>
      </w:rPr>
      <w:fldChar w:fldCharType="end"/>
    </w:r>
  </w:p>
  <w:p w14:paraId="438110A7" w14:textId="2F7E8C2B" w:rsidR="009C1A5C" w:rsidRDefault="009C1A5C">
    <w:pPr>
      <w:pStyle w:val="Footer"/>
      <w:ind w:right="360"/>
      <w:rPr>
        <w:sz w:val="18"/>
      </w:rPr>
    </w:pPr>
    <w:r>
      <w:rPr>
        <w:sz w:val="18"/>
      </w:rPr>
      <w:t>Updated 05/21/2018</w:t>
    </w:r>
  </w:p>
  <w:p w14:paraId="25809027"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993BE" w14:textId="791EEAE7" w:rsidR="009C1A5C" w:rsidRPr="00157CB4" w:rsidRDefault="009C1A5C" w:rsidP="004C0B53">
    <w:pPr>
      <w:pStyle w:val="Footer"/>
      <w:pBdr>
        <w:top w:val="single" w:sz="4" w:space="1" w:color="auto"/>
      </w:pBdr>
      <w:tabs>
        <w:tab w:val="clear" w:pos="8640"/>
        <w:tab w:val="right" w:pos="9360"/>
      </w:tabs>
      <w:rPr>
        <w:rStyle w:val="PageNumber"/>
      </w:rPr>
    </w:pPr>
    <w:r>
      <w:rPr>
        <w:sz w:val="18"/>
      </w:rPr>
      <w:t>Updated 12/06/2012</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3-6</w:t>
    </w:r>
    <w:r>
      <w:rPr>
        <w:rStyle w:val="PageNumber"/>
      </w:rPr>
      <w:fldChar w:fldCharType="end"/>
    </w:r>
  </w:p>
  <w:p w14:paraId="1ACFC790"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CFEB6" w14:textId="759A2893" w:rsidR="009C1A5C" w:rsidRPr="00157CB4" w:rsidRDefault="009C1A5C" w:rsidP="00157CB4">
    <w:pPr>
      <w:pStyle w:val="Footer"/>
      <w:pBdr>
        <w:top w:val="single" w:sz="4" w:space="1" w:color="auto"/>
      </w:pBdr>
      <w:tabs>
        <w:tab w:val="clear" w:pos="8640"/>
        <w:tab w:val="right" w:pos="9360"/>
      </w:tabs>
      <w:rPr>
        <w:rStyle w:val="PageNumber"/>
      </w:rPr>
    </w:pPr>
    <w:r>
      <w:rPr>
        <w:sz w:val="18"/>
      </w:rPr>
      <w:t>Updated 12/06/2012</w:t>
    </w:r>
    <w:r>
      <w:rPr>
        <w:noProof/>
        <w:sz w:val="18"/>
      </w:rPr>
      <mc:AlternateContent>
        <mc:Choice Requires="wps">
          <w:drawing>
            <wp:anchor distT="0" distB="0" distL="114300" distR="114300" simplePos="0" relativeHeight="252323328" behindDoc="0" locked="0" layoutInCell="0" allowOverlap="1" wp14:anchorId="4EE2E8D7" wp14:editId="2A8C2AE5">
              <wp:simplePos x="0" y="0"/>
              <wp:positionH relativeFrom="column">
                <wp:posOffset>0</wp:posOffset>
              </wp:positionH>
              <wp:positionV relativeFrom="paragraph">
                <wp:posOffset>-26670</wp:posOffset>
              </wp:positionV>
              <wp:extent cx="0" cy="0"/>
              <wp:effectExtent l="0" t="0" r="0" b="0"/>
              <wp:wrapNone/>
              <wp:docPr id="190" name="Line 26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05A4A2" id="Line 268" o:spid="_x0000_s1026" alt="&quot;&quot;" style="position:absolute;z-index:25232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1pt" to="0,-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" o:allowincell="f"/>
          </w:pict>
        </mc:Fallback>
      </mc:AlternateConten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3-13</w:t>
    </w:r>
    <w:r>
      <w:rPr>
        <w:rStyle w:val="PageNumber"/>
      </w:rPr>
      <w:fldChar w:fldCharType="end"/>
    </w:r>
  </w:p>
  <w:p w14:paraId="4B734D55" w14:textId="77777777" w:rsidR="009C1A5C" w:rsidRDefault="009C1A5C">
    <w:pPr>
      <w:pStyle w:val="Footer"/>
      <w:ind w:right="360"/>
      <w:rPr>
        <w:sz w:val="18"/>
      </w:rPr>
    </w:pPr>
    <w:hyperlink w:anchor="TOC" w:history="1">
      <w:r w:rsidRPr="00B21B2A">
        <w:rPr>
          <w:rStyle w:val="Hyperlink"/>
          <w:sz w:val="18"/>
        </w:rPr>
        <w:t>Return to Table of Contents</w:t>
      </w:r>
    </w:hyperlink>
    <w:r w:rsidRPr="00157CB4">
      <w:tab/>
    </w:r>
    <w:r w:rsidRPr="00157CB4">
      <w:tab/>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07F27C" w14:textId="017AFBEA" w:rsidR="009C1A5C" w:rsidRPr="00157CB4" w:rsidRDefault="009C1A5C" w:rsidP="00157CB4">
    <w:pPr>
      <w:pStyle w:val="Footer"/>
      <w:pBdr>
        <w:top w:val="single" w:sz="4" w:space="1" w:color="auto"/>
      </w:pBdr>
      <w:tabs>
        <w:tab w:val="clear" w:pos="8640"/>
        <w:tab w:val="right" w:pos="9360"/>
      </w:tabs>
      <w:rPr>
        <w:rStyle w:val="PageNumber"/>
      </w:rPr>
    </w:pPr>
    <w:r>
      <w:rPr>
        <w:sz w:val="18"/>
      </w:rPr>
      <w:t>Updated 06/02/2017</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3-21</w:t>
    </w:r>
    <w:r>
      <w:rPr>
        <w:rStyle w:val="PageNumber"/>
      </w:rPr>
      <w:fldChar w:fldCharType="end"/>
    </w:r>
  </w:p>
  <w:p w14:paraId="62503D10" w14:textId="649B415B" w:rsidR="009C1A5C" w:rsidRDefault="009C1A5C">
    <w:pPr>
      <w:pStyle w:val="Footer"/>
      <w:ind w:right="360"/>
      <w:rPr>
        <w:sz w:val="18"/>
      </w:rPr>
    </w:pPr>
    <w:r>
      <w:rPr>
        <w:noProof/>
      </w:rPr>
      <mc:AlternateContent>
        <mc:Choice Requires="wps">
          <w:drawing>
            <wp:anchor distT="0" distB="0" distL="114300" distR="114300" simplePos="0" relativeHeight="252325376" behindDoc="0" locked="0" layoutInCell="0" allowOverlap="1" wp14:anchorId="287F9121" wp14:editId="4098B2F3">
              <wp:simplePos x="0" y="0"/>
              <wp:positionH relativeFrom="column">
                <wp:posOffset>9525</wp:posOffset>
              </wp:positionH>
              <wp:positionV relativeFrom="paragraph">
                <wp:posOffset>-163830</wp:posOffset>
              </wp:positionV>
              <wp:extent cx="0" cy="0"/>
              <wp:effectExtent l="0" t="0" r="0" b="0"/>
              <wp:wrapNone/>
              <wp:docPr id="188" name="Line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EBF544" id="Line 23" o:spid="_x0000_s1026" alt="&quot;&quot;" style="position:absolute;z-index:25232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2.9pt" to=".75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" o:allowincell="f"/>
          </w:pict>
        </mc:Fallback>
      </mc:AlternateContent>
    </w:r>
    <w:hyperlink w:anchor="TOC" w:history="1">
      <w:r w:rsidRPr="00B21B2A">
        <w:rPr>
          <w:rStyle w:val="Hyperlink"/>
          <w:sz w:val="18"/>
        </w:rPr>
        <w:t>Return to Table of Contents</w:t>
      </w:r>
    </w:hyperlink>
    <w:r>
      <w:tab/>
    </w:r>
    <w:r>
      <w:tab/>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369A78" w14:textId="2F216913" w:rsidR="009C1A5C" w:rsidRPr="00157CB4" w:rsidRDefault="009C1A5C" w:rsidP="00157CB4">
    <w:pPr>
      <w:pStyle w:val="Footer"/>
      <w:pBdr>
        <w:top w:val="single" w:sz="4" w:space="1" w:color="auto"/>
      </w:pBdr>
      <w:tabs>
        <w:tab w:val="clear" w:pos="8640"/>
        <w:tab w:val="right" w:pos="9360"/>
      </w:tabs>
      <w:rPr>
        <w:rStyle w:val="PageNumber"/>
      </w:rPr>
    </w:pPr>
    <w:r>
      <w:rPr>
        <w:sz w:val="18"/>
      </w:rPr>
      <w:t>Updated 07/27/2018</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3-29</w:t>
    </w:r>
    <w:r>
      <w:rPr>
        <w:rStyle w:val="PageNumber"/>
      </w:rPr>
      <w:fldChar w:fldCharType="end"/>
    </w:r>
  </w:p>
  <w:p w14:paraId="57D0EA80" w14:textId="77777777" w:rsidR="009C1A5C" w:rsidRDefault="009C1A5C">
    <w:pPr>
      <w:pStyle w:val="Footer"/>
      <w:ind w:right="360"/>
      <w:rPr>
        <w:sz w:val="18"/>
      </w:rPr>
    </w:pPr>
    <w:r>
      <w:rPr>
        <w:noProof/>
      </w:rPr>
      <mc:AlternateContent>
        <mc:Choice Requires="wps">
          <w:drawing>
            <wp:anchor distT="0" distB="0" distL="114300" distR="114300" simplePos="0" relativeHeight="252671488" behindDoc="0" locked="0" layoutInCell="0" allowOverlap="1" wp14:anchorId="04C1027A" wp14:editId="619F96D5">
              <wp:simplePos x="0" y="0"/>
              <wp:positionH relativeFrom="column">
                <wp:posOffset>9525</wp:posOffset>
              </wp:positionH>
              <wp:positionV relativeFrom="paragraph">
                <wp:posOffset>-163830</wp:posOffset>
              </wp:positionV>
              <wp:extent cx="0" cy="0"/>
              <wp:effectExtent l="0" t="0" r="0" b="0"/>
              <wp:wrapNone/>
              <wp:docPr id="333" name="Line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0FAE67" id="Line 23" o:spid="_x0000_s1026" alt="&quot;&quot;" style="position:absolute;z-index:25267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2.9pt" to=".75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" o:allowincell="f"/>
          </w:pict>
        </mc:Fallback>
      </mc:AlternateContent>
    </w:r>
    <w:hyperlink w:anchor="TOC" w:history="1">
      <w:r w:rsidRPr="00B21B2A">
        <w:rPr>
          <w:rStyle w:val="Hyperlink"/>
          <w:sz w:val="18"/>
        </w:rPr>
        <w:t>Return to Table of Contents</w:t>
      </w:r>
    </w:hyperlink>
    <w:r>
      <w:tab/>
    </w:r>
    <w:r>
      <w:tab/>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4D32BF" w14:textId="0F0F32ED" w:rsidR="009C1A5C" w:rsidRPr="00157CB4" w:rsidRDefault="009C1A5C" w:rsidP="00157CB4">
    <w:pPr>
      <w:pStyle w:val="Footer"/>
      <w:pBdr>
        <w:top w:val="single" w:sz="4" w:space="1" w:color="auto"/>
      </w:pBdr>
      <w:tabs>
        <w:tab w:val="clear" w:pos="8640"/>
        <w:tab w:val="right" w:pos="9360"/>
      </w:tabs>
      <w:rPr>
        <w:rStyle w:val="PageNumber"/>
      </w:rPr>
    </w:pPr>
    <w:r>
      <w:rPr>
        <w:sz w:val="18"/>
      </w:rPr>
      <w:t>Updated 07/27/2018</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3-32</w:t>
    </w:r>
    <w:r>
      <w:rPr>
        <w:rStyle w:val="PageNumber"/>
      </w:rPr>
      <w:fldChar w:fldCharType="end"/>
    </w:r>
  </w:p>
  <w:p w14:paraId="01A0BA3C" w14:textId="77777777" w:rsidR="009C1A5C" w:rsidRDefault="009C1A5C">
    <w:pPr>
      <w:pStyle w:val="Footer"/>
      <w:ind w:right="360"/>
      <w:rPr>
        <w:sz w:val="18"/>
      </w:rPr>
    </w:pPr>
    <w:r>
      <w:rPr>
        <w:noProof/>
      </w:rPr>
      <mc:AlternateContent>
        <mc:Choice Requires="wps">
          <w:drawing>
            <wp:anchor distT="0" distB="0" distL="114300" distR="114300" simplePos="0" relativeHeight="252673536" behindDoc="0" locked="0" layoutInCell="0" allowOverlap="1" wp14:anchorId="0E15320B" wp14:editId="371B328F">
              <wp:simplePos x="0" y="0"/>
              <wp:positionH relativeFrom="column">
                <wp:posOffset>9525</wp:posOffset>
              </wp:positionH>
              <wp:positionV relativeFrom="paragraph">
                <wp:posOffset>-163830</wp:posOffset>
              </wp:positionV>
              <wp:extent cx="0" cy="0"/>
              <wp:effectExtent l="0" t="0" r="0" b="0"/>
              <wp:wrapNone/>
              <wp:docPr id="334" name="Line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208ACA" id="Line 23" o:spid="_x0000_s1026" alt="&quot;&quot;" style="position:absolute;z-index:25267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2.9pt" to=".75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" o:allowincell="f"/>
          </w:pict>
        </mc:Fallback>
      </mc:AlternateContent>
    </w:r>
    <w:hyperlink w:anchor="TOC" w:history="1">
      <w:r w:rsidRPr="00B21B2A">
        <w:rPr>
          <w:rStyle w:val="Hyperlink"/>
          <w:sz w:val="18"/>
        </w:rPr>
        <w:t>Return to Table of Contents</w:t>
      </w:r>
    </w:hyperlink>
    <w:r>
      <w:tab/>
    </w:r>
    <w:r>
      <w:tab/>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26639" w14:textId="73E11C63" w:rsidR="009C1A5C" w:rsidRDefault="009C1A5C">
    <w:pPr>
      <w:pStyle w:val="Footer"/>
      <w:framePr w:wrap="around" w:vAnchor="text" w:hAnchor="page" w:x="9841" w:y="-2"/>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3-51</w:t>
    </w:r>
    <w:r>
      <w:rPr>
        <w:rStyle w:val="PageNumber"/>
      </w:rPr>
      <w:fldChar w:fldCharType="end"/>
    </w:r>
  </w:p>
  <w:p w14:paraId="3B185B3E" w14:textId="12877818" w:rsidR="009C1A5C" w:rsidRDefault="009C1A5C">
    <w:pPr>
      <w:pStyle w:val="Footer"/>
      <w:ind w:right="360"/>
      <w:rPr>
        <w:sz w:val="18"/>
      </w:rPr>
    </w:pPr>
    <w:r>
      <w:rPr>
        <w:sz w:val="18"/>
      </w:rPr>
      <w:t xml:space="preserve">Updated </w:t>
    </w:r>
    <w:r w:rsidR="001903A5">
      <w:rPr>
        <w:sz w:val="18"/>
      </w:rPr>
      <w:t>12</w:t>
    </w:r>
    <w:r>
      <w:rPr>
        <w:sz w:val="18"/>
      </w:rPr>
      <w:t>/</w:t>
    </w:r>
    <w:r w:rsidR="001903A5">
      <w:rPr>
        <w:sz w:val="18"/>
      </w:rPr>
      <w:t>13</w:t>
    </w:r>
    <w:r>
      <w:rPr>
        <w:sz w:val="18"/>
      </w:rPr>
      <w:t>/</w:t>
    </w:r>
    <w:r w:rsidR="001903A5">
      <w:rPr>
        <w:sz w:val="18"/>
      </w:rPr>
      <w:t>2024</w:t>
    </w:r>
  </w:p>
  <w:p w14:paraId="117C1CDE" w14:textId="325B80D6" w:rsidR="009C1A5C" w:rsidRPr="00836F12" w:rsidRDefault="009C1A5C" w:rsidP="00157CB4">
    <w:pPr>
      <w:pStyle w:val="Footer"/>
    </w:pPr>
    <w:hyperlink w:anchor="TOC" w:history="1">
      <w:r w:rsidRPr="00B21B2A">
        <w:rPr>
          <w:rStyle w:val="Hyperlink"/>
          <w:sz w:val="18"/>
        </w:rPr>
        <w:t>Return to Table of Contents</w:t>
      </w:r>
    </w:hyperlink>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C85E8" w14:textId="7FB04CED" w:rsidR="009C1A5C" w:rsidRDefault="009C1A5C">
    <w:pPr>
      <w:pStyle w:val="Footer"/>
    </w:pPr>
    <w:r>
      <w:rPr>
        <w:sz w:val="18"/>
      </w:rPr>
      <w:t>Updated 11/23/2011</w: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988B5" w14:textId="267217B9" w:rsidR="009C1A5C" w:rsidRDefault="009C1A5C">
    <w:pPr>
      <w:pStyle w:val="Footer"/>
      <w:framePr w:wrap="around" w:vAnchor="text" w:hAnchor="page" w:x="9841" w:y="-2"/>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3-56</w:t>
    </w:r>
    <w:r>
      <w:rPr>
        <w:rStyle w:val="PageNumber"/>
      </w:rPr>
      <w:fldChar w:fldCharType="end"/>
    </w:r>
  </w:p>
  <w:p w14:paraId="78A72561" w14:textId="4BAAA316" w:rsidR="009C1A5C" w:rsidRPr="00157CB4" w:rsidRDefault="009C1A5C" w:rsidP="00157CB4">
    <w:pPr>
      <w:pStyle w:val="Footer"/>
      <w:ind w:right="360"/>
      <w:rPr>
        <w:rStyle w:val="PageNumber"/>
      </w:rPr>
    </w:pPr>
    <w:r>
      <w:rPr>
        <w:sz w:val="18"/>
      </w:rPr>
      <w:t>Updated 10/15/2013</w:t>
    </w:r>
  </w:p>
  <w:p w14:paraId="4438B2DF" w14:textId="72980B8C"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624D4" w14:textId="44A096C7" w:rsidR="009C1A5C" w:rsidRDefault="009C1A5C">
    <w:pPr>
      <w:pStyle w:val="Footer"/>
      <w:framePr w:wrap="around" w:vAnchor="text" w:hAnchor="page" w:x="9841"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4-3</w:t>
    </w:r>
    <w:r>
      <w:rPr>
        <w:rStyle w:val="PageNumber"/>
      </w:rPr>
      <w:fldChar w:fldCharType="end"/>
    </w:r>
  </w:p>
  <w:p w14:paraId="587635EC" w14:textId="77AD1341" w:rsidR="009C1A5C" w:rsidRPr="00157CB4" w:rsidRDefault="009C1A5C" w:rsidP="00157CB4">
    <w:pPr>
      <w:pStyle w:val="Footer"/>
      <w:rPr>
        <w:rStyle w:val="PageNumber"/>
      </w:rPr>
    </w:pPr>
    <w:r>
      <w:rPr>
        <w:sz w:val="18"/>
      </w:rPr>
      <w:t>Updated 02/24/2021</w:t>
    </w:r>
  </w:p>
  <w:p w14:paraId="69232CAD" w14:textId="77777777" w:rsidR="009C1A5C" w:rsidRPr="00836F12" w:rsidRDefault="009C1A5C" w:rsidP="00157CB4">
    <w:pPr>
      <w:pStyle w:val="Footer"/>
      <w:ind w:right="360"/>
      <w:rPr>
        <w:sz w:val="18"/>
      </w:rPr>
    </w:pPr>
    <w:hyperlink w:anchor="TOC" w:history="1">
      <w:r w:rsidRPr="00B21B2A">
        <w:rPr>
          <w:rStyle w:val="Hyperlink"/>
          <w:sz w:val="18"/>
        </w:rPr>
        <w:t>Return to Table of Contents</w:t>
      </w:r>
    </w:hyperlink>
    <w:r>
      <w:tab/>
    </w:r>
    <w:r>
      <w:tab/>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013D6B" w14:textId="003E3E6F" w:rsidR="009C1A5C" w:rsidRDefault="009C1A5C">
    <w:pPr>
      <w:pStyle w:val="Footer"/>
      <w:framePr w:wrap="around" w:vAnchor="text" w:hAnchor="page" w:x="9841"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4-6</w:t>
    </w:r>
    <w:r>
      <w:rPr>
        <w:rStyle w:val="PageNumber"/>
      </w:rPr>
      <w:fldChar w:fldCharType="end"/>
    </w:r>
  </w:p>
  <w:p w14:paraId="0C9DFC21" w14:textId="1C84063C" w:rsidR="009C1A5C" w:rsidRDefault="009C1A5C">
    <w:pPr>
      <w:pStyle w:val="Footer"/>
      <w:rPr>
        <w:sz w:val="18"/>
      </w:rPr>
    </w:pPr>
    <w:r>
      <w:rPr>
        <w:sz w:val="18"/>
      </w:rPr>
      <w:t>Updated 03/17/2015</w:t>
    </w:r>
  </w:p>
  <w:p w14:paraId="0EAF7A69" w14:textId="23DE31B1" w:rsidR="009C1A5C" w:rsidRDefault="009C1A5C">
    <w:pPr>
      <w:pStyle w:val="Footer"/>
    </w:pPr>
    <w:hyperlink w:anchor="TOC" w:history="1">
      <w:r w:rsidRPr="00B21B2A">
        <w:rPr>
          <w:rStyle w:val="Hyperlink"/>
          <w:sz w:val="18"/>
        </w:rPr>
        <w:t>Return to Table of Contents</w:t>
      </w:r>
    </w:hyperlink>
    <w:r>
      <w:tab/>
    </w:r>
    <w:r>
      <w:tab/>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31B89" w14:textId="48C20BC8" w:rsidR="009C1A5C" w:rsidRDefault="009C1A5C">
    <w:pPr>
      <w:pStyle w:val="Footer"/>
      <w:framePr w:wrap="around" w:vAnchor="text" w:hAnchor="page" w:x="9841"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4-9</w:t>
    </w:r>
    <w:r>
      <w:rPr>
        <w:rStyle w:val="PageNumber"/>
      </w:rPr>
      <w:fldChar w:fldCharType="end"/>
    </w:r>
  </w:p>
  <w:p w14:paraId="74E417F4" w14:textId="18F34F6E" w:rsidR="009C1A5C" w:rsidRDefault="009C1A5C">
    <w:pPr>
      <w:pStyle w:val="Footer"/>
      <w:rPr>
        <w:sz w:val="18"/>
      </w:rPr>
    </w:pPr>
    <w:r>
      <w:rPr>
        <w:sz w:val="18"/>
      </w:rPr>
      <w:t>Updated 03/25/2021</w:t>
    </w:r>
  </w:p>
  <w:p w14:paraId="47A6641D" w14:textId="6D77ECE4" w:rsidR="009C1A5C" w:rsidRDefault="009C1A5C">
    <w:pPr>
      <w:pStyle w:val="Footer"/>
    </w:pPr>
    <w:hyperlink w:anchor="TOC" w:history="1">
      <w:r w:rsidRPr="00B21B2A">
        <w:rPr>
          <w:rStyle w:val="Hyperlink"/>
          <w:sz w:val="18"/>
        </w:rPr>
        <w:t>Return to Table of Contents</w:t>
      </w:r>
    </w:hyperlink>
    <w:r>
      <w:tab/>
    </w:r>
    <w:r>
      <w:tab/>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DD5F7" w14:textId="5F0B1CFD" w:rsidR="009C1A5C" w:rsidRDefault="009C1A5C">
    <w:pPr>
      <w:pStyle w:val="Footer"/>
      <w:framePr w:wrap="around" w:vAnchor="text" w:hAnchor="page" w:x="9841"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4-12</w:t>
    </w:r>
    <w:r>
      <w:rPr>
        <w:rStyle w:val="PageNumber"/>
      </w:rPr>
      <w:fldChar w:fldCharType="end"/>
    </w:r>
  </w:p>
  <w:p w14:paraId="25B62159" w14:textId="5E66659B" w:rsidR="009C1A5C" w:rsidRDefault="009C1A5C">
    <w:pPr>
      <w:pStyle w:val="Footer"/>
      <w:rPr>
        <w:sz w:val="18"/>
      </w:rPr>
    </w:pPr>
    <w:r>
      <w:rPr>
        <w:sz w:val="18"/>
      </w:rPr>
      <w:t>Updated 03/17/2015</w:t>
    </w:r>
  </w:p>
  <w:p w14:paraId="357808F1" w14:textId="572A2B26" w:rsidR="009C1A5C" w:rsidRDefault="009C1A5C">
    <w:pPr>
      <w:pStyle w:val="Footer"/>
    </w:pPr>
    <w:hyperlink w:anchor="TOC" w:history="1">
      <w:r w:rsidRPr="00B21B2A">
        <w:rPr>
          <w:rStyle w:val="Hyperlink"/>
          <w:sz w:val="18"/>
        </w:rPr>
        <w:t>Return to Table of Contents</w:t>
      </w:r>
    </w:hyperlink>
    <w:r>
      <w:tab/>
    </w:r>
    <w:r>
      <w:tab/>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8207FB" w14:textId="7BBC7CF5" w:rsidR="009C1A5C" w:rsidRDefault="009C1A5C" w:rsidP="00CF4FA9">
    <w:pPr>
      <w:pStyle w:val="Footer"/>
      <w:framePr w:wrap="around" w:vAnchor="text" w:hAnchor="page" w:x="9836" w:yAlign="bottom"/>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4-22</w:t>
    </w:r>
    <w:r>
      <w:rPr>
        <w:rStyle w:val="PageNumber"/>
      </w:rPr>
      <w:fldChar w:fldCharType="end"/>
    </w:r>
  </w:p>
  <w:p w14:paraId="6A792CA8" w14:textId="34A46DDA" w:rsidR="009C1A5C" w:rsidRDefault="009C1A5C">
    <w:pPr>
      <w:pStyle w:val="Footer"/>
      <w:rPr>
        <w:sz w:val="18"/>
      </w:rPr>
    </w:pPr>
    <w:r>
      <w:rPr>
        <w:sz w:val="18"/>
      </w:rPr>
      <w:t>Updated 04/11/2019</w:t>
    </w:r>
  </w:p>
  <w:p w14:paraId="5017E39F" w14:textId="45B30844" w:rsidR="009C1A5C" w:rsidRDefault="009C1A5C">
    <w:pPr>
      <w:pStyle w:val="Footer"/>
    </w:pPr>
    <w:hyperlink w:anchor="TOC" w:history="1">
      <w:r w:rsidRPr="00B21B2A">
        <w:rPr>
          <w:rStyle w:val="Hyperlink"/>
          <w:sz w:val="18"/>
        </w:rPr>
        <w:t>Return to Table of Contents</w:t>
      </w:r>
    </w:hyperlink>
    <w:r>
      <w:tab/>
    </w:r>
    <w:r>
      <w:tab/>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E108E" w14:textId="7B39ADC8" w:rsidR="009C1A5C" w:rsidRDefault="009C1A5C">
    <w:pPr>
      <w:pStyle w:val="Footer"/>
      <w:framePr w:wrap="around" w:vAnchor="text" w:hAnchor="page" w:x="9841"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4-23</w:t>
    </w:r>
    <w:r>
      <w:rPr>
        <w:rStyle w:val="PageNumber"/>
      </w:rPr>
      <w:fldChar w:fldCharType="end"/>
    </w:r>
  </w:p>
  <w:p w14:paraId="1E3E00B6" w14:textId="3FBB50BA" w:rsidR="009C1A5C" w:rsidRDefault="009C1A5C">
    <w:pPr>
      <w:pStyle w:val="Footer"/>
      <w:rPr>
        <w:sz w:val="18"/>
      </w:rPr>
    </w:pPr>
    <w:r>
      <w:rPr>
        <w:sz w:val="18"/>
      </w:rPr>
      <w:t>Updated 03/17/2015</w:t>
    </w:r>
  </w:p>
  <w:p w14:paraId="4E1D9B5B" w14:textId="4BAE19E3" w:rsidR="009C1A5C" w:rsidRDefault="009C1A5C">
    <w:pPr>
      <w:pStyle w:val="Footer"/>
    </w:pPr>
    <w:hyperlink w:anchor="TOC" w:history="1">
      <w:r w:rsidRPr="00B21B2A">
        <w:rPr>
          <w:rStyle w:val="Hyperlink"/>
          <w:sz w:val="18"/>
        </w:rPr>
        <w:t>Return to Table of Contents</w:t>
      </w:r>
    </w:hyperlink>
    <w:r>
      <w:tab/>
    </w:r>
    <w:r>
      <w:tab/>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901A4" w14:textId="1DD37CC9" w:rsidR="009C1A5C" w:rsidRDefault="009C1A5C">
    <w:pPr>
      <w:pStyle w:val="Footer"/>
      <w:framePr w:wrap="around" w:vAnchor="text" w:hAnchor="page" w:x="9841"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4-25</w:t>
    </w:r>
    <w:r>
      <w:rPr>
        <w:rStyle w:val="PageNumber"/>
      </w:rPr>
      <w:fldChar w:fldCharType="end"/>
    </w:r>
  </w:p>
  <w:p w14:paraId="1BF0B6CA" w14:textId="695BD4A4" w:rsidR="009C1A5C" w:rsidRDefault="009C1A5C">
    <w:pPr>
      <w:pStyle w:val="Footer"/>
      <w:rPr>
        <w:sz w:val="18"/>
      </w:rPr>
    </w:pPr>
    <w:r>
      <w:rPr>
        <w:sz w:val="18"/>
      </w:rPr>
      <w:t>Updated 02/24/2021</w:t>
    </w:r>
  </w:p>
  <w:p w14:paraId="7CA11E6C" w14:textId="77777777" w:rsidR="009C1A5C" w:rsidRDefault="009C1A5C">
    <w:pPr>
      <w:pStyle w:val="Footer"/>
    </w:pPr>
    <w:hyperlink w:anchor="TOC" w:history="1">
      <w:r w:rsidRPr="00B21B2A">
        <w:rPr>
          <w:rStyle w:val="Hyperlink"/>
          <w:sz w:val="18"/>
        </w:rPr>
        <w:t>Return to Table of Contents</w:t>
      </w:r>
    </w:hyperlink>
    <w:r>
      <w:tab/>
    </w:r>
    <w:r>
      <w:tab/>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335B8" w14:textId="75851948" w:rsidR="009C1A5C" w:rsidRDefault="009C1A5C">
    <w:pPr>
      <w:pStyle w:val="Footer"/>
      <w:framePr w:wrap="around" w:vAnchor="text" w:hAnchor="page" w:x="9661" w:y="-2"/>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5-5</w:t>
    </w:r>
    <w:r>
      <w:rPr>
        <w:rStyle w:val="PageNumber"/>
      </w:rPr>
      <w:fldChar w:fldCharType="end"/>
    </w:r>
  </w:p>
  <w:p w14:paraId="58086EA2" w14:textId="54559C06" w:rsidR="009C1A5C" w:rsidRPr="006E41DE" w:rsidRDefault="009C1A5C" w:rsidP="00157CB4">
    <w:pPr>
      <w:pStyle w:val="Footer"/>
      <w:pBdr>
        <w:top w:val="single" w:sz="4" w:space="1" w:color="auto"/>
      </w:pBdr>
      <w:tabs>
        <w:tab w:val="clear" w:pos="8640"/>
        <w:tab w:val="right" w:pos="9360"/>
      </w:tabs>
      <w:rPr>
        <w:sz w:val="18"/>
      </w:rPr>
    </w:pPr>
    <w:r>
      <w:rPr>
        <w:noProof/>
        <w:sz w:val="18"/>
      </w:rPr>
      <mc:AlternateContent>
        <mc:Choice Requires="wps">
          <w:drawing>
            <wp:anchor distT="0" distB="0" distL="114300" distR="114300" simplePos="0" relativeHeight="252354048" behindDoc="0" locked="0" layoutInCell="0" allowOverlap="1" wp14:anchorId="58B9C958" wp14:editId="2AAB0BBB">
              <wp:simplePos x="0" y="0"/>
              <wp:positionH relativeFrom="column">
                <wp:posOffset>9525</wp:posOffset>
              </wp:positionH>
              <wp:positionV relativeFrom="paragraph">
                <wp:posOffset>-30480</wp:posOffset>
              </wp:positionV>
              <wp:extent cx="0" cy="0"/>
              <wp:effectExtent l="0" t="0" r="0" b="0"/>
              <wp:wrapNone/>
              <wp:docPr id="180" name="Line 53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BAFADD" id="Line 533" o:spid="_x0000_s1026" alt="&quot;&quot;" style="position:absolute;z-index:25235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4pt" to=".7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" o:allowincell="f"/>
          </w:pict>
        </mc:Fallback>
      </mc:AlternateContent>
    </w:r>
    <w:r>
      <w:rPr>
        <w:sz w:val="18"/>
      </w:rPr>
      <w:t>Updated 02/05/2020</w:t>
    </w:r>
  </w:p>
  <w:p w14:paraId="64D38EFD"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F541A" w14:textId="763F2CBE" w:rsidR="009C1A5C" w:rsidRDefault="009C1A5C">
    <w:pPr>
      <w:pStyle w:val="Footer"/>
      <w:framePr w:wrap="around" w:vAnchor="text" w:hAnchor="page" w:x="9661" w:y="-2"/>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5-12</w:t>
    </w:r>
    <w:r>
      <w:rPr>
        <w:rStyle w:val="PageNumber"/>
      </w:rPr>
      <w:fldChar w:fldCharType="end"/>
    </w:r>
  </w:p>
  <w:p w14:paraId="7A1BA079" w14:textId="471D456B" w:rsidR="009C1A5C" w:rsidRPr="00157CB4" w:rsidRDefault="009C1A5C" w:rsidP="00157CB4">
    <w:pPr>
      <w:pStyle w:val="Footer"/>
      <w:ind w:right="360"/>
      <w:rPr>
        <w:rStyle w:val="PageNumber"/>
      </w:rPr>
    </w:pPr>
    <w:r>
      <w:rPr>
        <w:noProof/>
        <w:sz w:val="18"/>
      </w:rPr>
      <mc:AlternateContent>
        <mc:Choice Requires="wps">
          <w:drawing>
            <wp:anchor distT="0" distB="0" distL="114300" distR="114300" simplePos="0" relativeHeight="252356096" behindDoc="0" locked="0" layoutInCell="0" allowOverlap="1" wp14:anchorId="0E1AFD34" wp14:editId="7EEDCCF0">
              <wp:simplePos x="0" y="0"/>
              <wp:positionH relativeFrom="column">
                <wp:posOffset>9525</wp:posOffset>
              </wp:positionH>
              <wp:positionV relativeFrom="paragraph">
                <wp:posOffset>-30480</wp:posOffset>
              </wp:positionV>
              <wp:extent cx="5467350" cy="0"/>
              <wp:effectExtent l="9525" t="11430" r="9525" b="7620"/>
              <wp:wrapNone/>
              <wp:docPr id="178" name="Line 49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36B009" id="Line 495" o:spid="_x0000_s1026" alt="&quot;&quot;" style="position:absolute;z-index:25235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4pt" to="431.2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" o:allowincell="f"/>
          </w:pict>
        </mc:Fallback>
      </mc:AlternateContent>
    </w:r>
    <w:r>
      <w:rPr>
        <w:sz w:val="18"/>
      </w:rPr>
      <w:t>Updated 09/06/2013</w:t>
    </w:r>
  </w:p>
  <w:p w14:paraId="3819BDD5"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CF2F8" w14:textId="63BFCE03" w:rsidR="009C1A5C" w:rsidRDefault="009C1A5C">
    <w:pPr>
      <w:pStyle w:val="Footer"/>
    </w:pPr>
    <w:r>
      <w:rPr>
        <w:sz w:val="18"/>
      </w:rPr>
      <w:t xml:space="preserve">Updated </w:t>
    </w:r>
    <w:r w:rsidR="001903A5">
      <w:rPr>
        <w:sz w:val="18"/>
      </w:rPr>
      <w:t>12</w:t>
    </w:r>
    <w:r>
      <w:rPr>
        <w:sz w:val="18"/>
      </w:rPr>
      <w:t>/</w:t>
    </w:r>
    <w:r w:rsidR="001903A5">
      <w:rPr>
        <w:sz w:val="18"/>
      </w:rPr>
      <w:t>13</w:t>
    </w:r>
    <w:r>
      <w:rPr>
        <w:sz w:val="18"/>
      </w:rPr>
      <w:t>/202</w:t>
    </w:r>
    <w:r w:rsidR="001903A5">
      <w:rPr>
        <w:sz w:val="18"/>
      </w:rPr>
      <w:t>4</w: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86949" w14:textId="2957137D" w:rsidR="009C1A5C" w:rsidRDefault="009C1A5C" w:rsidP="0076608D">
    <w:pPr>
      <w:pStyle w:val="Footer"/>
      <w:pBdr>
        <w:top w:val="single" w:sz="4" w:space="1" w:color="auto"/>
      </w:pBdr>
      <w:tabs>
        <w:tab w:val="clear" w:pos="8640"/>
        <w:tab w:val="right" w:pos="9360"/>
      </w:tabs>
      <w:rPr>
        <w:rStyle w:val="PageNumber"/>
      </w:rPr>
    </w:pPr>
    <w:r>
      <w:rPr>
        <w:sz w:val="18"/>
      </w:rPr>
      <w:t>Updated 11/26/2013</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5-16</w:t>
    </w:r>
    <w:r>
      <w:rPr>
        <w:rStyle w:val="PageNumber"/>
      </w:rPr>
      <w:fldChar w:fldCharType="end"/>
    </w:r>
  </w:p>
  <w:p w14:paraId="29DB1C23" w14:textId="77777777" w:rsidR="009C1A5C" w:rsidRPr="006E41DE" w:rsidRDefault="009C1A5C" w:rsidP="006E41DE">
    <w:pPr>
      <w:pStyle w:val="Footer"/>
      <w:ind w:right="360"/>
      <w:rPr>
        <w:sz w:val="18"/>
      </w:rPr>
    </w:pPr>
    <w:hyperlink w:anchor="TOC" w:history="1">
      <w:r w:rsidRPr="00B21B2A">
        <w:rPr>
          <w:rStyle w:val="Hyperlink"/>
          <w:sz w:val="18"/>
        </w:rPr>
        <w:t>Return to Table of Contents</w:t>
      </w:r>
    </w:hyperlink>
    <w:r>
      <w:tab/>
    </w:r>
    <w:r>
      <w:tab/>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72568C" w14:textId="1951E53D" w:rsidR="009C1A5C" w:rsidRDefault="009C1A5C">
    <w:pPr>
      <w:pStyle w:val="Footer"/>
      <w:framePr w:wrap="around" w:vAnchor="text" w:hAnchor="page" w:x="9661" w:y="-2"/>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5-22</w:t>
    </w:r>
    <w:r>
      <w:rPr>
        <w:rStyle w:val="PageNumber"/>
      </w:rPr>
      <w:fldChar w:fldCharType="end"/>
    </w:r>
  </w:p>
  <w:p w14:paraId="13D25FC1" w14:textId="1E108417" w:rsidR="009C1A5C" w:rsidRPr="006E41DE" w:rsidRDefault="009C1A5C" w:rsidP="00157CB4">
    <w:pPr>
      <w:pStyle w:val="Footer"/>
      <w:pBdr>
        <w:top w:val="single" w:sz="4" w:space="1" w:color="auto"/>
      </w:pBdr>
      <w:tabs>
        <w:tab w:val="clear" w:pos="8640"/>
        <w:tab w:val="right" w:pos="9360"/>
      </w:tabs>
      <w:rPr>
        <w:sz w:val="18"/>
      </w:rPr>
    </w:pPr>
    <w:r>
      <w:rPr>
        <w:noProof/>
        <w:sz w:val="18"/>
      </w:rPr>
      <mc:AlternateContent>
        <mc:Choice Requires="wps">
          <w:drawing>
            <wp:anchor distT="0" distB="0" distL="114300" distR="114300" simplePos="0" relativeHeight="252364288" behindDoc="0" locked="0" layoutInCell="0" allowOverlap="1" wp14:anchorId="5C04F082" wp14:editId="5DCF1F90">
              <wp:simplePos x="0" y="0"/>
              <wp:positionH relativeFrom="column">
                <wp:posOffset>9525</wp:posOffset>
              </wp:positionH>
              <wp:positionV relativeFrom="paragraph">
                <wp:posOffset>-30480</wp:posOffset>
              </wp:positionV>
              <wp:extent cx="0" cy="0"/>
              <wp:effectExtent l="0" t="0" r="0" b="0"/>
              <wp:wrapNone/>
              <wp:docPr id="174" name="Line 4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D9C6E1" id="Line 424" o:spid="_x0000_s1026" alt="&quot;&quot;" style="position:absolute;z-index:25236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4pt" to=".7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" o:allowincell="f"/>
          </w:pict>
        </mc:Fallback>
      </mc:AlternateContent>
    </w:r>
    <w:r>
      <w:rPr>
        <w:sz w:val="18"/>
      </w:rPr>
      <w:t>Updated 07/27/2018</w:t>
    </w:r>
  </w:p>
  <w:p w14:paraId="676B3531"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CD0AB" w14:textId="4846B63C" w:rsidR="009C1A5C" w:rsidRDefault="009C1A5C">
    <w:pPr>
      <w:pStyle w:val="Footer"/>
      <w:framePr w:wrap="around" w:vAnchor="text" w:hAnchor="page" w:x="9661" w:y="-2"/>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5-39</w:t>
    </w:r>
    <w:r>
      <w:rPr>
        <w:rStyle w:val="PageNumber"/>
      </w:rPr>
      <w:fldChar w:fldCharType="end"/>
    </w:r>
  </w:p>
  <w:p w14:paraId="57970BCA" w14:textId="03C2FF30" w:rsidR="009C1A5C" w:rsidRPr="00157CB4" w:rsidRDefault="009C1A5C" w:rsidP="00157CB4">
    <w:pPr>
      <w:pStyle w:val="Footer"/>
      <w:ind w:right="360"/>
      <w:rPr>
        <w:rStyle w:val="PageNumber"/>
      </w:rPr>
    </w:pPr>
    <w:r>
      <w:rPr>
        <w:noProof/>
        <w:sz w:val="18"/>
      </w:rPr>
      <mc:AlternateContent>
        <mc:Choice Requires="wps">
          <w:drawing>
            <wp:anchor distT="0" distB="0" distL="114300" distR="114300" simplePos="0" relativeHeight="252366336" behindDoc="0" locked="0" layoutInCell="0" allowOverlap="1" wp14:anchorId="01B9C991" wp14:editId="6DFAC288">
              <wp:simplePos x="0" y="0"/>
              <wp:positionH relativeFrom="column">
                <wp:posOffset>9525</wp:posOffset>
              </wp:positionH>
              <wp:positionV relativeFrom="paragraph">
                <wp:posOffset>-30480</wp:posOffset>
              </wp:positionV>
              <wp:extent cx="5467350" cy="0"/>
              <wp:effectExtent l="9525" t="11430" r="9525" b="7620"/>
              <wp:wrapNone/>
              <wp:docPr id="172" name="Line 28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10E428" id="Line 283" o:spid="_x0000_s1026" alt="&quot;&quot;" style="position:absolute;z-index:25236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4pt" to="431.2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" o:allowincell="f"/>
          </w:pict>
        </mc:Fallback>
      </mc:AlternateContent>
    </w:r>
    <w:r>
      <w:rPr>
        <w:sz w:val="18"/>
      </w:rPr>
      <w:t>Updated 03/25/2021</w:t>
    </w:r>
  </w:p>
  <w:p w14:paraId="5D5B2A86"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0EA6D" w14:textId="56A0C1D7" w:rsidR="009C1A5C" w:rsidRDefault="009C1A5C">
    <w:pPr>
      <w:pStyle w:val="Footer"/>
      <w:framePr w:wrap="around" w:vAnchor="text" w:hAnchor="page" w:x="9601" w:y="28"/>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6-1</w:t>
    </w:r>
    <w:r>
      <w:rPr>
        <w:rStyle w:val="PageNumber"/>
      </w:rPr>
      <w:fldChar w:fldCharType="end"/>
    </w:r>
  </w:p>
  <w:p w14:paraId="797E400B" w14:textId="0FD2FDD6" w:rsidR="009C1A5C" w:rsidRDefault="009C1A5C">
    <w:pPr>
      <w:pStyle w:val="Footer"/>
      <w:ind w:right="360"/>
      <w:rPr>
        <w:sz w:val="18"/>
      </w:rPr>
    </w:pPr>
    <w:r>
      <w:rPr>
        <w:noProof/>
        <w:sz w:val="18"/>
      </w:rPr>
      <mc:AlternateContent>
        <mc:Choice Requires="wps">
          <w:drawing>
            <wp:anchor distT="0" distB="0" distL="114300" distR="114300" simplePos="0" relativeHeight="251775488" behindDoc="0" locked="0" layoutInCell="0" allowOverlap="1" wp14:anchorId="5C763BDC" wp14:editId="63274A1F">
              <wp:simplePos x="0" y="0"/>
              <wp:positionH relativeFrom="column">
                <wp:posOffset>-19685</wp:posOffset>
              </wp:positionH>
              <wp:positionV relativeFrom="paragraph">
                <wp:posOffset>-41910</wp:posOffset>
              </wp:positionV>
              <wp:extent cx="5467350" cy="0"/>
              <wp:effectExtent l="8890" t="9525" r="10160" b="9525"/>
              <wp:wrapNone/>
              <wp:docPr id="170" name="Line 5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70D1E2" id="Line 523" o:spid="_x0000_s1026" alt="&quot;&quot;" style="position:absolute;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pt,-3.3pt" to="428.9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" o:allowincell="f"/>
          </w:pict>
        </mc:Fallback>
      </mc:AlternateContent>
    </w:r>
    <w:r>
      <w:rPr>
        <w:sz w:val="18"/>
      </w:rPr>
      <w:t>Updated 05/14/201810/26/2016</w:t>
    </w:r>
  </w:p>
  <w:p w14:paraId="7B6BEE23" w14:textId="77777777" w:rsidR="009C1A5C" w:rsidRDefault="009C1A5C">
    <w:pPr>
      <w:pStyle w:val="Footer"/>
      <w:ind w:right="360"/>
      <w:rPr>
        <w:sz w:val="18"/>
      </w:rPr>
    </w:pPr>
    <w:hyperlink w:anchor="TOC" w:history="1">
      <w:r w:rsidRPr="00B21B2A">
        <w:rPr>
          <w:rStyle w:val="Hyperlink"/>
          <w:sz w:val="18"/>
        </w:rPr>
        <w:t>Return to Table of Contents</w:t>
      </w:r>
    </w:hyperlink>
    <w:r>
      <w:rPr>
        <w:sz w:val="18"/>
      </w:rPr>
      <w:tab/>
    </w:r>
    <w:r>
      <w:rPr>
        <w:sz w:val="18"/>
      </w:rPr>
      <w:tab/>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A9633" w14:textId="3A82FA9D" w:rsidR="009C1A5C" w:rsidRPr="00D577CB" w:rsidRDefault="009C1A5C" w:rsidP="00972041">
    <w:pPr>
      <w:pStyle w:val="Footer"/>
      <w:pBdr>
        <w:top w:val="single" w:sz="4" w:space="1" w:color="auto"/>
      </w:pBdr>
      <w:tabs>
        <w:tab w:val="clear" w:pos="8640"/>
        <w:tab w:val="right" w:pos="9360"/>
      </w:tabs>
      <w:rPr>
        <w:rStyle w:val="PageNumber"/>
        <w:szCs w:val="22"/>
      </w:rPr>
    </w:pPr>
    <w:r>
      <w:rPr>
        <w:sz w:val="18"/>
      </w:rPr>
      <w:t>Updated 0</w:t>
    </w:r>
    <w:r w:rsidR="00EB3788">
      <w:rPr>
        <w:sz w:val="18"/>
      </w:rPr>
      <w:t>9</w:t>
    </w:r>
    <w:r>
      <w:rPr>
        <w:sz w:val="18"/>
      </w:rPr>
      <w:t>/</w:t>
    </w:r>
    <w:r w:rsidR="00A71DEF">
      <w:rPr>
        <w:sz w:val="18"/>
      </w:rPr>
      <w:t>2</w:t>
    </w:r>
    <w:r w:rsidR="00EB3788">
      <w:rPr>
        <w:sz w:val="18"/>
      </w:rPr>
      <w:t>0</w:t>
    </w:r>
    <w:r>
      <w:rPr>
        <w:sz w:val="18"/>
      </w:rPr>
      <w:t>/202</w:t>
    </w:r>
    <w:r w:rsidR="00A71DEF">
      <w:rPr>
        <w:sz w:val="18"/>
      </w:rPr>
      <w:t>4</w:t>
    </w:r>
    <w:r>
      <w:rPr>
        <w:sz w:val="18"/>
      </w:rPr>
      <w:tab/>
    </w:r>
    <w:r>
      <w:rPr>
        <w:sz w:val="18"/>
      </w:rPr>
      <w:tab/>
    </w:r>
    <w:r w:rsidRPr="00D577CB">
      <w:rPr>
        <w:szCs w:val="22"/>
      </w:rPr>
      <w:fldChar w:fldCharType="begin"/>
    </w:r>
    <w:r w:rsidRPr="00D577CB">
      <w:rPr>
        <w:szCs w:val="22"/>
      </w:rPr>
      <w:instrText xml:space="preserve"> PAGE   \* MERGEFORMAT </w:instrText>
    </w:r>
    <w:r w:rsidRPr="00D577CB">
      <w:rPr>
        <w:szCs w:val="22"/>
      </w:rPr>
      <w:fldChar w:fldCharType="separate"/>
    </w:r>
    <w:r>
      <w:rPr>
        <w:noProof/>
        <w:szCs w:val="22"/>
      </w:rPr>
      <w:t>6-9</w:t>
    </w:r>
    <w:r w:rsidRPr="00D577CB">
      <w:rPr>
        <w:noProof/>
        <w:szCs w:val="22"/>
      </w:rPr>
      <w:fldChar w:fldCharType="end"/>
    </w:r>
  </w:p>
  <w:p w14:paraId="7F43A6BC" w14:textId="28C655E6" w:rsidR="009C1A5C" w:rsidRPr="00836F12" w:rsidRDefault="009C1A5C" w:rsidP="00E324B3">
    <w:pPr>
      <w:pStyle w:val="Footer"/>
      <w:ind w:right="360"/>
      <w:rPr>
        <w:sz w:val="18"/>
      </w:rPr>
    </w:pPr>
    <w:hyperlink w:anchor="TOC" w:history="1">
      <w:r w:rsidRPr="00B21B2A">
        <w:rPr>
          <w:rStyle w:val="Hyperlink"/>
          <w:sz w:val="18"/>
        </w:rPr>
        <w:t>Return to Table of Contents</w:t>
      </w:r>
    </w:hyperlink>
    <w:r>
      <w:tab/>
    </w:r>
    <w:r>
      <w:tab/>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60A66D" w14:textId="641D3471" w:rsidR="009C1A5C" w:rsidRDefault="009C1A5C">
    <w:pPr>
      <w:pStyle w:val="Footer"/>
      <w:framePr w:wrap="around" w:vAnchor="text" w:hAnchor="page" w:x="9601" w:y="28"/>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6-26</w:t>
    </w:r>
    <w:r>
      <w:rPr>
        <w:rStyle w:val="PageNumber"/>
      </w:rPr>
      <w:fldChar w:fldCharType="end"/>
    </w:r>
  </w:p>
  <w:p w14:paraId="12DD7978" w14:textId="4E5A74DE" w:rsidR="009C1A5C" w:rsidRDefault="009C1A5C">
    <w:pPr>
      <w:pStyle w:val="Footer"/>
      <w:ind w:right="360"/>
      <w:rPr>
        <w:sz w:val="18"/>
      </w:rPr>
    </w:pPr>
    <w:r>
      <w:rPr>
        <w:noProof/>
        <w:sz w:val="18"/>
      </w:rPr>
      <mc:AlternateContent>
        <mc:Choice Requires="wps">
          <w:drawing>
            <wp:anchor distT="0" distB="0" distL="114300" distR="114300" simplePos="0" relativeHeight="252368384" behindDoc="0" locked="0" layoutInCell="0" allowOverlap="1" wp14:anchorId="1D53CD9C" wp14:editId="755367FE">
              <wp:simplePos x="0" y="0"/>
              <wp:positionH relativeFrom="column">
                <wp:posOffset>-19685</wp:posOffset>
              </wp:positionH>
              <wp:positionV relativeFrom="paragraph">
                <wp:posOffset>-41910</wp:posOffset>
              </wp:positionV>
              <wp:extent cx="5467350" cy="0"/>
              <wp:effectExtent l="8890" t="9525" r="10160" b="9525"/>
              <wp:wrapNone/>
              <wp:docPr id="168" name="Line 5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6C9C9F" id="Line 522" o:spid="_x0000_s1026" alt="&quot;&quot;" style="position:absolute;z-index:25236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pt,-3.3pt" to="428.9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" o:allowincell="f"/>
          </w:pict>
        </mc:Fallback>
      </mc:AlternateContent>
    </w:r>
    <w:r>
      <w:rPr>
        <w:sz w:val="18"/>
      </w:rPr>
      <w:t xml:space="preserve">Updated </w:t>
    </w:r>
    <w:r w:rsidR="00A00775">
      <w:rPr>
        <w:sz w:val="18"/>
      </w:rPr>
      <w:t>0</w:t>
    </w:r>
    <w:r w:rsidR="00945B20">
      <w:rPr>
        <w:sz w:val="18"/>
      </w:rPr>
      <w:t>4</w:t>
    </w:r>
    <w:r>
      <w:rPr>
        <w:sz w:val="18"/>
      </w:rPr>
      <w:t>/</w:t>
    </w:r>
    <w:r w:rsidR="00945B20">
      <w:rPr>
        <w:sz w:val="18"/>
      </w:rPr>
      <w:t>07</w:t>
    </w:r>
    <w:r>
      <w:rPr>
        <w:sz w:val="18"/>
      </w:rPr>
      <w:t>/202</w:t>
    </w:r>
    <w:r w:rsidR="00945B20">
      <w:rPr>
        <w:sz w:val="18"/>
      </w:rPr>
      <w:t>5</w:t>
    </w:r>
  </w:p>
  <w:p w14:paraId="72356041" w14:textId="5589AA36" w:rsidR="009C1A5C" w:rsidRPr="00836F12" w:rsidRDefault="009C1A5C" w:rsidP="00E324B3">
    <w:pPr>
      <w:pStyle w:val="Footer"/>
    </w:pPr>
    <w:hyperlink w:anchor="TOC" w:history="1">
      <w:r w:rsidRPr="00B21B2A">
        <w:rPr>
          <w:rStyle w:val="Hyperlink"/>
          <w:sz w:val="18"/>
        </w:rPr>
        <w:t>Return to Table of Contents</w:t>
      </w:r>
    </w:hyperlink>
    <w:r>
      <w:rPr>
        <w:sz w:val="18"/>
      </w:rPr>
      <w:tab/>
    </w:r>
    <w:r>
      <w:rPr>
        <w:sz w:val="18"/>
      </w:rPr>
      <w:tab/>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33095" w14:textId="2BD2B9DB" w:rsidR="009C1A5C" w:rsidRDefault="009C1A5C">
    <w:pPr>
      <w:pStyle w:val="Footer"/>
      <w:framePr w:wrap="around" w:vAnchor="text" w:hAnchor="page" w:x="9601" w:y="28"/>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6-32</w:t>
    </w:r>
    <w:r>
      <w:rPr>
        <w:rStyle w:val="PageNumber"/>
      </w:rPr>
      <w:fldChar w:fldCharType="end"/>
    </w:r>
  </w:p>
  <w:p w14:paraId="7C8D2579" w14:textId="63BF44E9" w:rsidR="009C1A5C" w:rsidRPr="0067267A" w:rsidRDefault="009C1A5C" w:rsidP="00E324B3">
    <w:pPr>
      <w:pStyle w:val="Footer"/>
      <w:pBdr>
        <w:top w:val="single" w:sz="4" w:space="1" w:color="auto"/>
      </w:pBdr>
      <w:tabs>
        <w:tab w:val="clear" w:pos="8640"/>
        <w:tab w:val="right" w:pos="9360"/>
      </w:tabs>
      <w:rPr>
        <w:sz w:val="18"/>
      </w:rPr>
    </w:pPr>
    <w:r>
      <w:rPr>
        <w:noProof/>
        <w:sz w:val="18"/>
      </w:rPr>
      <mc:AlternateContent>
        <mc:Choice Requires="wps">
          <w:drawing>
            <wp:anchor distT="0" distB="0" distL="114300" distR="114300" simplePos="0" relativeHeight="252370432" behindDoc="0" locked="0" layoutInCell="0" allowOverlap="1" wp14:anchorId="69437FFF" wp14:editId="7EC4E647">
              <wp:simplePos x="0" y="0"/>
              <wp:positionH relativeFrom="column">
                <wp:posOffset>23495</wp:posOffset>
              </wp:positionH>
              <wp:positionV relativeFrom="paragraph">
                <wp:posOffset>-24765</wp:posOffset>
              </wp:positionV>
              <wp:extent cx="0" cy="0"/>
              <wp:effectExtent l="0" t="0" r="0" b="0"/>
              <wp:wrapNone/>
              <wp:docPr id="750" name="Line 5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21DE4D" id="Line 521" o:spid="_x0000_s1026" alt="&quot;&quot;" style="position:absolute;z-index:25237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5pt,-1.95pt" to="1.8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" o:allowincell="f"/>
          </w:pict>
        </mc:Fallback>
      </mc:AlternateContent>
    </w:r>
    <w:r>
      <w:rPr>
        <w:sz w:val="18"/>
      </w:rPr>
      <w:t>Updated 05-21-21</w:t>
    </w:r>
  </w:p>
  <w:p w14:paraId="2E801E6B" w14:textId="5379B59D" w:rsidR="009C1A5C" w:rsidRDefault="009C1A5C">
    <w:pPr>
      <w:pStyle w:val="Footer"/>
      <w:ind w:right="360"/>
      <w:rPr>
        <w:sz w:val="18"/>
      </w:rPr>
    </w:pPr>
    <w:hyperlink w:anchor="TOC" w:history="1">
      <w:r w:rsidRPr="00B21B2A">
        <w:rPr>
          <w:rStyle w:val="Hyperlink"/>
          <w:sz w:val="18"/>
        </w:rPr>
        <w:t>Return to Table of Contents</w:t>
      </w:r>
    </w:hyperlink>
    <w:r w:rsidRPr="00E324B3">
      <w:tab/>
    </w:r>
    <w:r w:rsidRPr="00E324B3">
      <w:tab/>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0DBF2A" w14:textId="20F47EA3" w:rsidR="009C1A5C" w:rsidRDefault="009C1A5C">
    <w:pPr>
      <w:pStyle w:val="Footer"/>
      <w:framePr w:wrap="around" w:vAnchor="text" w:hAnchor="page" w:x="9661" w:y="-2"/>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6-39</w:t>
    </w:r>
    <w:r>
      <w:rPr>
        <w:rStyle w:val="PageNumber"/>
      </w:rPr>
      <w:fldChar w:fldCharType="end"/>
    </w:r>
  </w:p>
  <w:p w14:paraId="446BA073" w14:textId="77777777" w:rsidR="009C1A5C" w:rsidRDefault="009C1A5C">
    <w:pPr>
      <w:pStyle w:val="Footer"/>
      <w:ind w:right="360"/>
      <w:rPr>
        <w:sz w:val="18"/>
      </w:rPr>
    </w:pPr>
    <w:r>
      <w:rPr>
        <w:noProof/>
        <w:sz w:val="18"/>
      </w:rPr>
      <mc:AlternateContent>
        <mc:Choice Requires="wps">
          <w:drawing>
            <wp:anchor distT="0" distB="0" distL="114300" distR="114300" simplePos="0" relativeHeight="252372480" behindDoc="0" locked="0" layoutInCell="0" allowOverlap="1" wp14:anchorId="78C84BF7" wp14:editId="62C3228F">
              <wp:simplePos x="0" y="0"/>
              <wp:positionH relativeFrom="column">
                <wp:posOffset>9525</wp:posOffset>
              </wp:positionH>
              <wp:positionV relativeFrom="paragraph">
                <wp:posOffset>-30480</wp:posOffset>
              </wp:positionV>
              <wp:extent cx="5467350" cy="0"/>
              <wp:effectExtent l="9525" t="11430" r="9525" b="7620"/>
              <wp:wrapNone/>
              <wp:docPr id="162" name="Line 28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68AAC6" id="Line 288" o:spid="_x0000_s1026" alt="&quot;&quot;" style="position:absolute;z-index:25237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4pt" to="431.2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" o:allowincell="f"/>
          </w:pict>
        </mc:Fallback>
      </mc:AlternateContent>
    </w:r>
    <w:r>
      <w:rPr>
        <w:sz w:val="18"/>
      </w:rPr>
      <w:t>Updated 11/26/2013</w:t>
    </w:r>
  </w:p>
  <w:p w14:paraId="01DE5F5F" w14:textId="6FF72EB8" w:rsidR="009C1A5C" w:rsidRPr="00836F12" w:rsidRDefault="009C1A5C" w:rsidP="00E324B3">
    <w:pPr>
      <w:pStyle w:val="Footer"/>
    </w:pPr>
    <w:hyperlink w:anchor="TOC" w:history="1">
      <w:r w:rsidRPr="00B21B2A">
        <w:rPr>
          <w:rStyle w:val="Hyperlink"/>
          <w:sz w:val="18"/>
        </w:rPr>
        <w:t>Return to Table of Contents</w:t>
      </w:r>
    </w:hyperlink>
    <w:r>
      <w:tab/>
    </w:r>
    <w:r>
      <w:tab/>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7A4DA" w14:textId="2DE9C8CF"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6-43</w:t>
    </w:r>
    <w:r>
      <w:rPr>
        <w:rStyle w:val="PageNumber"/>
      </w:rPr>
      <w:fldChar w:fldCharType="end"/>
    </w:r>
  </w:p>
  <w:p w14:paraId="4D3BF465" w14:textId="3B6597BD" w:rsidR="009C1A5C" w:rsidRDefault="009C1A5C" w:rsidP="00531654">
    <w:pPr>
      <w:pStyle w:val="Footer"/>
      <w:rPr>
        <w:sz w:val="18"/>
      </w:rPr>
    </w:pPr>
    <w:r>
      <w:rPr>
        <w:sz w:val="18"/>
      </w:rPr>
      <w:t xml:space="preserve">Updated </w:t>
    </w:r>
    <w:r w:rsidR="00D01712">
      <w:rPr>
        <w:sz w:val="18"/>
      </w:rPr>
      <w:t>2</w:t>
    </w:r>
    <w:r>
      <w:rPr>
        <w:sz w:val="18"/>
      </w:rPr>
      <w:t>/</w:t>
    </w:r>
    <w:r w:rsidR="00D01712">
      <w:rPr>
        <w:sz w:val="18"/>
      </w:rPr>
      <w:t>1</w:t>
    </w:r>
    <w:r w:rsidR="00640C68">
      <w:rPr>
        <w:sz w:val="18"/>
      </w:rPr>
      <w:t>4</w:t>
    </w:r>
    <w:r>
      <w:rPr>
        <w:sz w:val="18"/>
      </w:rPr>
      <w:t>/202</w:t>
    </w:r>
    <w:r w:rsidR="00640C68">
      <w:rPr>
        <w:sz w:val="18"/>
      </w:rPr>
      <w:t>5</w:t>
    </w:r>
  </w:p>
  <w:p w14:paraId="79CC3316" w14:textId="101B9F2F" w:rsidR="009C1A5C" w:rsidRPr="00836F12" w:rsidRDefault="009C1A5C">
    <w:pPr>
      <w:pStyle w:val="Footer"/>
    </w:pPr>
    <w:r>
      <w:rPr>
        <w:noProof/>
        <w:sz w:val="18"/>
      </w:rPr>
      <mc:AlternateContent>
        <mc:Choice Requires="wps">
          <w:drawing>
            <wp:anchor distT="0" distB="0" distL="114300" distR="114300" simplePos="0" relativeHeight="252374528" behindDoc="0" locked="0" layoutInCell="0" allowOverlap="1" wp14:anchorId="0EB69569" wp14:editId="6EC7B555">
              <wp:simplePos x="0" y="0"/>
              <wp:positionH relativeFrom="column">
                <wp:posOffset>9525</wp:posOffset>
              </wp:positionH>
              <wp:positionV relativeFrom="paragraph">
                <wp:posOffset>-192405</wp:posOffset>
              </wp:positionV>
              <wp:extent cx="5467350" cy="0"/>
              <wp:effectExtent l="9525" t="9525" r="9525" b="9525"/>
              <wp:wrapNone/>
              <wp:docPr id="159" name="Line 30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12CC5F" id="Line 303" o:spid="_x0000_s1026" alt="&quot;&quot;" style="position:absolute;z-index:25237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431.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" o:allowincell="f"/>
          </w:pict>
        </mc:Fallback>
      </mc:AlternateContent>
    </w:r>
    <w:hyperlink w:anchor="TOC" w:history="1">
      <w:r w:rsidRPr="00B21B2A">
        <w:rPr>
          <w:rStyle w:val="Hyperlink"/>
          <w:sz w:val="18"/>
        </w:rPr>
        <w:t>Return to Table of Contents</w:t>
      </w:r>
    </w:hyperlink>
    <w:r>
      <w:rPr>
        <w:sz w:val="18"/>
      </w:rPr>
      <w:tab/>
    </w:r>
    <w:r>
      <w:rPr>
        <w:sz w:val="18"/>
      </w:rPr>
      <w:tab/>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BFA9C" w14:textId="3C0B8D34"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6-51</w:t>
    </w:r>
    <w:r>
      <w:rPr>
        <w:rStyle w:val="PageNumber"/>
      </w:rPr>
      <w:fldChar w:fldCharType="end"/>
    </w:r>
  </w:p>
  <w:p w14:paraId="0229F117" w14:textId="34E6454B" w:rsidR="009C1A5C" w:rsidRDefault="009C1A5C" w:rsidP="00531654">
    <w:pPr>
      <w:pStyle w:val="Footer"/>
      <w:rPr>
        <w:sz w:val="18"/>
      </w:rPr>
    </w:pPr>
    <w:r>
      <w:rPr>
        <w:sz w:val="18"/>
      </w:rPr>
      <w:t>Updated 04/</w:t>
    </w:r>
    <w:r w:rsidR="00A71DEF">
      <w:rPr>
        <w:sz w:val="18"/>
      </w:rPr>
      <w:t>02</w:t>
    </w:r>
    <w:r>
      <w:rPr>
        <w:sz w:val="18"/>
      </w:rPr>
      <w:t>/20</w:t>
    </w:r>
    <w:r w:rsidR="00A71DEF">
      <w:rPr>
        <w:sz w:val="18"/>
      </w:rPr>
      <w:t>24</w:t>
    </w:r>
  </w:p>
  <w:p w14:paraId="4C9067E9" w14:textId="1E12BE99" w:rsidR="009C1A5C" w:rsidRPr="00836F12" w:rsidRDefault="009C1A5C">
    <w:pPr>
      <w:pStyle w:val="Footer"/>
    </w:pPr>
    <w:r>
      <w:rPr>
        <w:noProof/>
        <w:sz w:val="18"/>
      </w:rPr>
      <mc:AlternateContent>
        <mc:Choice Requires="wps">
          <w:drawing>
            <wp:anchor distT="0" distB="0" distL="114300" distR="114300" simplePos="0" relativeHeight="252376576" behindDoc="0" locked="0" layoutInCell="0" allowOverlap="1" wp14:anchorId="5026B2C0" wp14:editId="7E846ECB">
              <wp:simplePos x="0" y="0"/>
              <wp:positionH relativeFrom="column">
                <wp:posOffset>9525</wp:posOffset>
              </wp:positionH>
              <wp:positionV relativeFrom="paragraph">
                <wp:posOffset>-192405</wp:posOffset>
              </wp:positionV>
              <wp:extent cx="5467350" cy="0"/>
              <wp:effectExtent l="9525" t="9525" r="9525" b="9525"/>
              <wp:wrapNone/>
              <wp:docPr id="156" name="Line 30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C5F500" id="Line 305" o:spid="_x0000_s1026" alt="&quot;&quot;" style="position:absolute;z-index:25237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431.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" o:allowincell="f"/>
          </w:pict>
        </mc:Fallback>
      </mc:AlternateContent>
    </w:r>
    <w:hyperlink w:anchor="TOC" w:history="1">
      <w:r w:rsidRPr="00B21B2A">
        <w:rPr>
          <w:rStyle w:val="Hyperlink"/>
          <w:sz w:val="18"/>
        </w:rPr>
        <w:t>Return to Table of Contents</w:t>
      </w:r>
    </w:hyperlink>
    <w:r>
      <w:rPr>
        <w:sz w:val="18"/>
      </w:rPr>
      <w:tab/>
    </w:r>
    <w:r>
      <w:rPr>
        <w:sz w:val="18"/>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2F678B" w14:textId="14C622B5" w:rsidR="009C1A5C" w:rsidRDefault="009C1A5C" w:rsidP="007D5B45">
    <w:pPr>
      <w:pStyle w:val="Footer"/>
      <w:pBdr>
        <w:top w:val="single" w:sz="4" w:space="1" w:color="auto"/>
      </w:pBdr>
      <w:tabs>
        <w:tab w:val="clear" w:pos="8640"/>
        <w:tab w:val="right" w:pos="9360"/>
      </w:tabs>
      <w:rPr>
        <w:rStyle w:val="PageNumber"/>
      </w:rPr>
    </w:pPr>
    <w:r>
      <w:rPr>
        <w:noProof/>
        <w:sz w:val="18"/>
      </w:rPr>
      <mc:AlternateContent>
        <mc:Choice Requires="wps">
          <w:drawing>
            <wp:anchor distT="0" distB="0" distL="114300" distR="114300" simplePos="0" relativeHeight="252253696" behindDoc="0" locked="0" layoutInCell="0" allowOverlap="1" wp14:anchorId="4B649C11" wp14:editId="24C9E6A8">
              <wp:simplePos x="0" y="0"/>
              <wp:positionH relativeFrom="column">
                <wp:posOffset>9525</wp:posOffset>
              </wp:positionH>
              <wp:positionV relativeFrom="paragraph">
                <wp:posOffset>-15875</wp:posOffset>
              </wp:positionV>
              <wp:extent cx="5467350" cy="0"/>
              <wp:effectExtent l="9525" t="12700" r="9525" b="6350"/>
              <wp:wrapNone/>
              <wp:docPr id="3389" name="Line 16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7AD974" id="Line 166" o:spid="_x0000_s1026" alt="&quot;&quot;" style="position:absolute;z-index:25225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25pt" to="431.2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" o:allowincell="f"/>
          </w:pict>
        </mc:Fallback>
      </mc:AlternateContent>
    </w:r>
    <w:r>
      <w:rPr>
        <w:sz w:val="18"/>
      </w:rPr>
      <w:t>Updated 10/10/201316/2012</w:t>
    </w:r>
    <w:r>
      <w:rPr>
        <w:sz w:val="18"/>
      </w:rPr>
      <w:tab/>
    </w:r>
    <w:r>
      <w:rPr>
        <w:sz w:val="18"/>
      </w:rPr>
      <w:tab/>
    </w:r>
    <w:r>
      <w:rPr>
        <w:szCs w:val="22"/>
      </w:rPr>
      <w:t>9</w:t>
    </w:r>
    <w:r w:rsidRPr="00E847C7">
      <w:rPr>
        <w:szCs w:val="22"/>
      </w:rPr>
      <w:t>-</w:t>
    </w:r>
    <w:r>
      <w:rPr>
        <w:rStyle w:val="PageNumber"/>
      </w:rPr>
      <w:fldChar w:fldCharType="begin"/>
    </w:r>
    <w:r>
      <w:rPr>
        <w:rStyle w:val="PageNumber"/>
      </w:rPr>
      <w:instrText xml:space="preserve"> PAGE </w:instrText>
    </w:r>
    <w:r>
      <w:rPr>
        <w:rStyle w:val="PageNumber"/>
      </w:rPr>
      <w:fldChar w:fldCharType="separate"/>
    </w:r>
    <w:r>
      <w:rPr>
        <w:rStyle w:val="PageNumber"/>
        <w:noProof/>
      </w:rPr>
      <w:t>24</w:t>
    </w:r>
    <w:r>
      <w:rPr>
        <w:rStyle w:val="PageNumber"/>
      </w:rPr>
      <w:fldChar w:fldCharType="end"/>
    </w:r>
  </w:p>
  <w:p w14:paraId="03FD4563" w14:textId="5E92BB05" w:rsidR="009C1A5C" w:rsidRDefault="009C1A5C" w:rsidP="007D5B45">
    <w:pPr>
      <w:pStyle w:val="Footer"/>
    </w:pPr>
    <w:hyperlink w:anchor="TOC" w:history="1">
      <w:r w:rsidRPr="00B21B2A">
        <w:rPr>
          <w:rStyle w:val="Hyperlink"/>
          <w:sz w:val="18"/>
        </w:rPr>
        <w:t>Return to Table of Contents</w:t>
      </w:r>
    </w:hyperlink>
    <w:r>
      <w:tab/>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FC9E4" w14:textId="684E46A5"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6-52</w:t>
    </w:r>
    <w:r>
      <w:rPr>
        <w:rStyle w:val="PageNumber"/>
      </w:rPr>
      <w:fldChar w:fldCharType="end"/>
    </w:r>
  </w:p>
  <w:p w14:paraId="3FC112F5" w14:textId="77777777" w:rsidR="009C1A5C" w:rsidRDefault="009C1A5C" w:rsidP="00531654">
    <w:pPr>
      <w:pStyle w:val="Footer"/>
      <w:rPr>
        <w:sz w:val="18"/>
      </w:rPr>
    </w:pPr>
    <w:r>
      <w:rPr>
        <w:sz w:val="18"/>
      </w:rPr>
      <w:t>Updated 02/06/13</w:t>
    </w:r>
  </w:p>
  <w:p w14:paraId="23512CFE" w14:textId="6D0126D4" w:rsidR="009C1A5C" w:rsidRPr="00836F12" w:rsidRDefault="009C1A5C">
    <w:pPr>
      <w:pStyle w:val="Footer"/>
    </w:pPr>
    <w:r>
      <w:rPr>
        <w:noProof/>
        <w:sz w:val="18"/>
      </w:rPr>
      <mc:AlternateContent>
        <mc:Choice Requires="wps">
          <w:drawing>
            <wp:anchor distT="0" distB="0" distL="114300" distR="114300" simplePos="0" relativeHeight="252378624" behindDoc="0" locked="0" layoutInCell="0" allowOverlap="1" wp14:anchorId="603B8D72" wp14:editId="399B57C2">
              <wp:simplePos x="0" y="0"/>
              <wp:positionH relativeFrom="column">
                <wp:posOffset>9525</wp:posOffset>
              </wp:positionH>
              <wp:positionV relativeFrom="paragraph">
                <wp:posOffset>-192405</wp:posOffset>
              </wp:positionV>
              <wp:extent cx="5467350" cy="0"/>
              <wp:effectExtent l="9525" t="9525" r="9525" b="9525"/>
              <wp:wrapNone/>
              <wp:docPr id="153" name="Line 30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752C0D" id="Line 307" o:spid="_x0000_s1026" alt="&quot;&quot;" style="position:absolute;z-index:25237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431.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" o:allowincell="f"/>
          </w:pict>
        </mc:Fallback>
      </mc:AlternateContent>
    </w:r>
    <w:hyperlink w:anchor="TOC" w:history="1">
      <w:r w:rsidRPr="00B21B2A">
        <w:rPr>
          <w:rStyle w:val="Hyperlink"/>
          <w:sz w:val="18"/>
        </w:rPr>
        <w:t>Return to Table of Contents</w:t>
      </w:r>
    </w:hyperlink>
    <w:r>
      <w:rPr>
        <w:sz w:val="18"/>
      </w:rPr>
      <w:tab/>
    </w:r>
    <w:r>
      <w:rPr>
        <w:sz w:val="18"/>
      </w:rPr>
      <w:tab/>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B6201" w14:textId="1DB66DDC"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6-54</w:t>
    </w:r>
    <w:r>
      <w:rPr>
        <w:rStyle w:val="PageNumber"/>
      </w:rPr>
      <w:fldChar w:fldCharType="end"/>
    </w:r>
  </w:p>
  <w:p w14:paraId="6CB46010" w14:textId="3C0392F8" w:rsidR="009C1A5C" w:rsidRPr="00E324B3" w:rsidRDefault="009C1A5C" w:rsidP="00E324B3">
    <w:pPr>
      <w:pStyle w:val="Footer"/>
      <w:rPr>
        <w:rStyle w:val="PageNumber"/>
      </w:rPr>
    </w:pPr>
    <w:r>
      <w:rPr>
        <w:sz w:val="18"/>
      </w:rPr>
      <w:t xml:space="preserve">Updated </w:t>
    </w:r>
    <w:r w:rsidR="00896388">
      <w:rPr>
        <w:sz w:val="18"/>
      </w:rPr>
      <w:t>05</w:t>
    </w:r>
    <w:r>
      <w:rPr>
        <w:sz w:val="18"/>
      </w:rPr>
      <w:t>/</w:t>
    </w:r>
    <w:r w:rsidR="00896388">
      <w:rPr>
        <w:sz w:val="18"/>
      </w:rPr>
      <w:t>17</w:t>
    </w:r>
    <w:r>
      <w:rPr>
        <w:sz w:val="18"/>
      </w:rPr>
      <w:t>/202</w:t>
    </w:r>
    <w:r w:rsidR="00896388">
      <w:rPr>
        <w:sz w:val="18"/>
      </w:rPr>
      <w:t>4</w:t>
    </w:r>
  </w:p>
  <w:p w14:paraId="5957E684" w14:textId="181B8FDD" w:rsidR="009C1A5C" w:rsidRDefault="009C1A5C" w:rsidP="00E324B3">
    <w:pPr>
      <w:pStyle w:val="Footer"/>
      <w:ind w:right="360"/>
      <w:rPr>
        <w:sz w:val="18"/>
      </w:rPr>
    </w:pPr>
    <w:r>
      <w:rPr>
        <w:noProof/>
        <w:sz w:val="18"/>
      </w:rPr>
      <mc:AlternateContent>
        <mc:Choice Requires="wps">
          <w:drawing>
            <wp:anchor distT="0" distB="0" distL="114300" distR="114300" simplePos="0" relativeHeight="252380672" behindDoc="0" locked="0" layoutInCell="0" allowOverlap="1" wp14:anchorId="746AE068" wp14:editId="17828A9D">
              <wp:simplePos x="0" y="0"/>
              <wp:positionH relativeFrom="column">
                <wp:posOffset>9525</wp:posOffset>
              </wp:positionH>
              <wp:positionV relativeFrom="paragraph">
                <wp:posOffset>-192405</wp:posOffset>
              </wp:positionV>
              <wp:extent cx="5467350" cy="0"/>
              <wp:effectExtent l="9525" t="9525" r="9525" b="9525"/>
              <wp:wrapNone/>
              <wp:docPr id="151" name="Line 30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69F1F6" id="Line 309" o:spid="_x0000_s1026" alt="&quot;&quot;" style="position:absolute;z-index:25238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431.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" o:allowincell="f"/>
          </w:pict>
        </mc:Fallback>
      </mc:AlternateContent>
    </w:r>
    <w:hyperlink w:anchor="TOC" w:history="1">
      <w:r w:rsidRPr="00B21B2A">
        <w:rPr>
          <w:rStyle w:val="Hyperlink"/>
          <w:sz w:val="18"/>
        </w:rPr>
        <w:t>Return to Table of Contents</w:t>
      </w:r>
    </w:hyperlink>
    <w:r w:rsidRPr="00E324B3">
      <w:tab/>
    </w:r>
    <w:r w:rsidRPr="00E324B3">
      <w:tab/>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E8A2B6" w14:textId="4FFEA3A4" w:rsidR="009C1A5C" w:rsidRDefault="009C1A5C">
    <w:pPr>
      <w:pStyle w:val="Footer"/>
      <w:framePr w:wrap="around" w:vAnchor="text" w:hAnchor="page" w:x="972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6-55</w:t>
    </w:r>
    <w:r>
      <w:rPr>
        <w:rStyle w:val="PageNumber"/>
      </w:rPr>
      <w:fldChar w:fldCharType="end"/>
    </w:r>
  </w:p>
  <w:p w14:paraId="0EE4FFF5" w14:textId="42246268" w:rsidR="009C1A5C" w:rsidRPr="00E324B3" w:rsidRDefault="009C1A5C" w:rsidP="00E324B3">
    <w:pPr>
      <w:pStyle w:val="Footer"/>
      <w:pBdr>
        <w:top w:val="single" w:sz="4" w:space="1" w:color="auto"/>
      </w:pBdr>
      <w:tabs>
        <w:tab w:val="clear" w:pos="8640"/>
        <w:tab w:val="right" w:pos="9360"/>
      </w:tabs>
      <w:rPr>
        <w:sz w:val="18"/>
      </w:rPr>
    </w:pPr>
    <w:r>
      <w:rPr>
        <w:sz w:val="18"/>
      </w:rPr>
      <w:t>Updated 03/10/2014</w:t>
    </w:r>
    <w:r>
      <w:rPr>
        <w:sz w:val="18"/>
      </w:rPr>
      <w:tab/>
    </w:r>
    <w:r>
      <w:rPr>
        <w:sz w:val="18"/>
      </w:rPr>
      <w:tab/>
    </w:r>
  </w:p>
  <w:p w14:paraId="575C1CA5" w14:textId="17B6E61A" w:rsidR="009C1A5C" w:rsidRDefault="009C1A5C" w:rsidP="00E324B3">
    <w:pPr>
      <w:pStyle w:val="Footer"/>
      <w:rPr>
        <w:sz w:val="18"/>
      </w:rPr>
    </w:pPr>
    <w:r>
      <w:rPr>
        <w:noProof/>
        <w:sz w:val="18"/>
      </w:rPr>
      <mc:AlternateContent>
        <mc:Choice Requires="wps">
          <w:drawing>
            <wp:anchor distT="0" distB="0" distL="114300" distR="114300" simplePos="0" relativeHeight="252382720" behindDoc="0" locked="0" layoutInCell="0" allowOverlap="1" wp14:anchorId="5EA63FF2" wp14:editId="060C7A69">
              <wp:simplePos x="0" y="0"/>
              <wp:positionH relativeFrom="column">
                <wp:posOffset>9525</wp:posOffset>
              </wp:positionH>
              <wp:positionV relativeFrom="paragraph">
                <wp:posOffset>-192405</wp:posOffset>
              </wp:positionV>
              <wp:extent cx="5467350" cy="0"/>
              <wp:effectExtent l="9525" t="9525" r="9525" b="9525"/>
              <wp:wrapNone/>
              <wp:docPr id="149" name="Line 3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ECA042" id="Line 310" o:spid="_x0000_s1026" alt="&quot;&quot;" style="position:absolute;z-index:25238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431.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" o:allowincell="f"/>
          </w:pict>
        </mc:Fallback>
      </mc:AlternateContent>
    </w:r>
    <w:hyperlink w:anchor="TOC" w:history="1">
      <w:r w:rsidRPr="00B21B2A">
        <w:rPr>
          <w:rStyle w:val="Hyperlink"/>
          <w:sz w:val="18"/>
        </w:rPr>
        <w:t>Return to Table of Contents</w:t>
      </w:r>
    </w:hyperlink>
    <w:r w:rsidRPr="00E324B3">
      <w:rPr>
        <w:sz w:val="18"/>
      </w:rPr>
      <w:tab/>
    </w:r>
    <w:r w:rsidRPr="00E324B3">
      <w:rPr>
        <w:sz w:val="18"/>
      </w:rPr>
      <w:tab/>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77FA7" w14:textId="58E0329D"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6-60</w:t>
    </w:r>
    <w:r>
      <w:rPr>
        <w:rStyle w:val="PageNumber"/>
      </w:rPr>
      <w:fldChar w:fldCharType="end"/>
    </w:r>
  </w:p>
  <w:p w14:paraId="2875B1DF" w14:textId="0C8DC9FA" w:rsidR="009C1A5C" w:rsidRPr="00E324B3" w:rsidRDefault="009C1A5C" w:rsidP="00E324B3">
    <w:pPr>
      <w:pStyle w:val="Footer"/>
      <w:ind w:right="360"/>
      <w:rPr>
        <w:rStyle w:val="PageNumber"/>
      </w:rPr>
    </w:pPr>
    <w:r>
      <w:rPr>
        <w:sz w:val="18"/>
      </w:rPr>
      <w:t>Updated 04/19/2016</w:t>
    </w:r>
    <w:r>
      <w:rPr>
        <w:sz w:val="18"/>
      </w:rPr>
      <w:tab/>
    </w:r>
    <w:r>
      <w:rPr>
        <w:sz w:val="18"/>
      </w:rPr>
      <w:tab/>
    </w:r>
  </w:p>
  <w:p w14:paraId="0B5DC118" w14:textId="6FE901EE" w:rsidR="009C1A5C" w:rsidRDefault="009C1A5C">
    <w:pPr>
      <w:pStyle w:val="Footer"/>
      <w:ind w:right="360"/>
      <w:rPr>
        <w:sz w:val="18"/>
      </w:rPr>
    </w:pPr>
    <w:r>
      <w:rPr>
        <w:noProof/>
        <w:sz w:val="18"/>
      </w:rPr>
      <mc:AlternateContent>
        <mc:Choice Requires="wps">
          <w:drawing>
            <wp:anchor distT="0" distB="0" distL="114300" distR="114300" simplePos="0" relativeHeight="252384768" behindDoc="0" locked="0" layoutInCell="0" allowOverlap="1" wp14:anchorId="58FC069D" wp14:editId="27C0CBAA">
              <wp:simplePos x="0" y="0"/>
              <wp:positionH relativeFrom="column">
                <wp:posOffset>9525</wp:posOffset>
              </wp:positionH>
              <wp:positionV relativeFrom="paragraph">
                <wp:posOffset>-192405</wp:posOffset>
              </wp:positionV>
              <wp:extent cx="5467350" cy="0"/>
              <wp:effectExtent l="9525" t="9525" r="9525" b="9525"/>
              <wp:wrapNone/>
              <wp:docPr id="147" name="Line 47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36AE42" id="Line 473" o:spid="_x0000_s1026" alt="&quot;&quot;" style="position:absolute;z-index:25238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431.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" o:allowincell="f"/>
          </w:pict>
        </mc:Fallback>
      </mc:AlternateContent>
    </w:r>
    <w:hyperlink w:anchor="TOC" w:history="1">
      <w:r w:rsidRPr="00B21B2A">
        <w:rPr>
          <w:rStyle w:val="Hyperlink"/>
          <w:sz w:val="18"/>
        </w:rPr>
        <w:t>Return to Table of Contents</w:t>
      </w:r>
    </w:hyperlink>
    <w:r w:rsidRPr="00E324B3">
      <w:tab/>
    </w:r>
    <w:r w:rsidRPr="00E324B3">
      <w:tab/>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CAF74" w14:textId="36F4E711"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6-62</w:t>
    </w:r>
    <w:r>
      <w:rPr>
        <w:rStyle w:val="PageNumber"/>
      </w:rPr>
      <w:fldChar w:fldCharType="end"/>
    </w:r>
  </w:p>
  <w:p w14:paraId="71E3DC04" w14:textId="77777777" w:rsidR="009C1A5C" w:rsidRDefault="009C1A5C">
    <w:pPr>
      <w:pStyle w:val="Footer"/>
      <w:ind w:right="360"/>
      <w:rPr>
        <w:sz w:val="18"/>
      </w:rPr>
    </w:pPr>
    <w:r>
      <w:rPr>
        <w:sz w:val="18"/>
      </w:rPr>
      <w:t>Updated 04/19/2016</w:t>
    </w:r>
  </w:p>
  <w:p w14:paraId="4D7C6E5A" w14:textId="77777777" w:rsidR="009C1A5C" w:rsidRDefault="009C1A5C">
    <w:pPr>
      <w:pStyle w:val="Footer"/>
      <w:ind w:right="360"/>
      <w:rPr>
        <w:sz w:val="18"/>
      </w:rPr>
    </w:pPr>
    <w:r>
      <w:rPr>
        <w:noProof/>
        <w:sz w:val="18"/>
      </w:rPr>
      <mc:AlternateContent>
        <mc:Choice Requires="wps">
          <w:drawing>
            <wp:anchor distT="0" distB="0" distL="114300" distR="114300" simplePos="0" relativeHeight="251601408" behindDoc="0" locked="0" layoutInCell="0" allowOverlap="1" wp14:anchorId="6905AE02" wp14:editId="783436E0">
              <wp:simplePos x="0" y="0"/>
              <wp:positionH relativeFrom="column">
                <wp:posOffset>9525</wp:posOffset>
              </wp:positionH>
              <wp:positionV relativeFrom="paragraph">
                <wp:posOffset>-192405</wp:posOffset>
              </wp:positionV>
              <wp:extent cx="5467350" cy="0"/>
              <wp:effectExtent l="9525" t="9525" r="9525" b="9525"/>
              <wp:wrapNone/>
              <wp:docPr id="143" name="Line 3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03E496" id="Line 31" o:spid="_x0000_s1026" alt="&quot;&quot;" style="position:absolute;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431.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" o:allowincell="f"/>
          </w:pict>
        </mc:Fallback>
      </mc:AlternateContent>
    </w:r>
    <w:hyperlink w:anchor="TOC" w:history="1">
      <w:r w:rsidRPr="00B21B2A">
        <w:rPr>
          <w:rStyle w:val="Hyperlink"/>
          <w:sz w:val="18"/>
        </w:rPr>
        <w:t>Return to Table of Contents</w:t>
      </w:r>
    </w:hyperlink>
    <w:r>
      <w:rPr>
        <w:sz w:val="18"/>
      </w:rPr>
      <w:tab/>
    </w:r>
    <w:r>
      <w:rPr>
        <w:sz w:val="18"/>
      </w:rPr>
      <w:tab/>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98E45" w14:textId="5026A508" w:rsidR="009C1A5C" w:rsidRDefault="009C1A5C" w:rsidP="00FC5124">
    <w:pPr>
      <w:pStyle w:val="Footer"/>
      <w:pBdr>
        <w:top w:val="single" w:sz="4" w:space="1" w:color="auto"/>
      </w:pBdr>
      <w:tabs>
        <w:tab w:val="clear" w:pos="8640"/>
        <w:tab w:val="right" w:pos="9360"/>
      </w:tabs>
      <w:rPr>
        <w:rStyle w:val="PageNumber"/>
      </w:rPr>
    </w:pPr>
    <w:r>
      <w:rPr>
        <w:sz w:val="18"/>
      </w:rPr>
      <w:t>Updated 04/19/2016</w:t>
    </w:r>
    <w:r>
      <w:rPr>
        <w:sz w:val="18"/>
      </w:rPr>
      <w:tab/>
    </w:r>
    <w:r>
      <w:rPr>
        <w:sz w:val="18"/>
      </w:rPr>
      <w:tab/>
    </w:r>
    <w:r w:rsidRPr="00D577CB">
      <w:rPr>
        <w:rStyle w:val="PageNumber"/>
        <w:szCs w:val="22"/>
      </w:rPr>
      <w:fldChar w:fldCharType="begin"/>
    </w:r>
    <w:r w:rsidRPr="00D577CB">
      <w:rPr>
        <w:rStyle w:val="PageNumber"/>
        <w:szCs w:val="22"/>
      </w:rPr>
      <w:instrText xml:space="preserve"> PAGE </w:instrText>
    </w:r>
    <w:r w:rsidRPr="00D577CB">
      <w:rPr>
        <w:rStyle w:val="PageNumber"/>
        <w:szCs w:val="22"/>
      </w:rPr>
      <w:fldChar w:fldCharType="separate"/>
    </w:r>
    <w:r>
      <w:rPr>
        <w:rStyle w:val="PageNumber"/>
        <w:noProof/>
        <w:szCs w:val="22"/>
      </w:rPr>
      <w:t>6-61</w:t>
    </w:r>
    <w:r w:rsidRPr="00D577CB">
      <w:rPr>
        <w:rStyle w:val="PageNumber"/>
        <w:szCs w:val="22"/>
      </w:rPr>
      <w:fldChar w:fldCharType="end"/>
    </w:r>
  </w:p>
  <w:p w14:paraId="26206E92" w14:textId="7B528E94" w:rsidR="009C1A5C" w:rsidRPr="00836F12" w:rsidRDefault="009C1A5C" w:rsidP="00E324B3">
    <w:pPr>
      <w:pStyle w:val="Footer"/>
      <w:ind w:right="360"/>
      <w:rPr>
        <w:sz w:val="18"/>
      </w:rPr>
    </w:pPr>
    <w:hyperlink w:anchor="TOC" w:history="1">
      <w:r w:rsidRPr="00B21B2A">
        <w:rPr>
          <w:rStyle w:val="Hyperlink"/>
          <w:sz w:val="18"/>
        </w:rPr>
        <w:t>Return to Table of Contents</w:t>
      </w:r>
    </w:hyperlink>
    <w:r>
      <w:tab/>
    </w:r>
    <w:r>
      <w:tab/>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E38FA" w14:textId="5EBA06D7"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7-1</w:t>
    </w:r>
    <w:r>
      <w:rPr>
        <w:rStyle w:val="PageNumber"/>
      </w:rPr>
      <w:fldChar w:fldCharType="end"/>
    </w:r>
  </w:p>
  <w:p w14:paraId="27C0231E" w14:textId="089C9D18" w:rsidR="009C1A5C" w:rsidRPr="00E324B3" w:rsidRDefault="009C1A5C" w:rsidP="00836F12">
    <w:pPr>
      <w:pStyle w:val="Footer"/>
      <w:pBdr>
        <w:top w:val="single" w:sz="4" w:space="1" w:color="auto"/>
      </w:pBdr>
      <w:tabs>
        <w:tab w:val="clear" w:pos="8640"/>
        <w:tab w:val="right" w:pos="9360"/>
      </w:tabs>
      <w:rPr>
        <w:rStyle w:val="PageNumber"/>
      </w:rPr>
    </w:pPr>
    <w:r>
      <w:rPr>
        <w:sz w:val="18"/>
      </w:rPr>
      <w:t>Updated 10/15/2013</w:t>
    </w:r>
    <w:r>
      <w:rPr>
        <w:sz w:val="18"/>
      </w:rPr>
      <w:tab/>
    </w:r>
    <w:r>
      <w:rPr>
        <w:sz w:val="18"/>
      </w:rPr>
      <w:tab/>
    </w:r>
  </w:p>
  <w:p w14:paraId="2BC36AAD" w14:textId="0DEC7F87" w:rsidR="009C1A5C" w:rsidRDefault="009C1A5C">
    <w:pPr>
      <w:pStyle w:val="Footer"/>
      <w:ind w:right="360"/>
      <w:rPr>
        <w:sz w:val="18"/>
      </w:rPr>
    </w:pPr>
    <w:r>
      <w:rPr>
        <w:noProof/>
        <w:sz w:val="18"/>
      </w:rPr>
      <mc:AlternateContent>
        <mc:Choice Requires="wps">
          <w:drawing>
            <wp:anchor distT="0" distB="0" distL="114300" distR="114300" simplePos="0" relativeHeight="252386816" behindDoc="0" locked="0" layoutInCell="0" allowOverlap="1" wp14:anchorId="44E51412" wp14:editId="63719557">
              <wp:simplePos x="0" y="0"/>
              <wp:positionH relativeFrom="column">
                <wp:posOffset>9525</wp:posOffset>
              </wp:positionH>
              <wp:positionV relativeFrom="paragraph">
                <wp:posOffset>-192405</wp:posOffset>
              </wp:positionV>
              <wp:extent cx="0" cy="0"/>
              <wp:effectExtent l="0" t="0" r="0" b="0"/>
              <wp:wrapNone/>
              <wp:docPr id="3324" name="Line 3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35341E" id="Line 31" o:spid="_x0000_s1026" alt="&quot;&quot;" style="position:absolute;z-index:25238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E324B3">
      <w:tab/>
    </w:r>
    <w:r w:rsidRPr="00E324B3">
      <w:tab/>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7D4D4" w14:textId="351635DF"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7-2</w:t>
    </w:r>
    <w:r>
      <w:rPr>
        <w:rStyle w:val="PageNumber"/>
      </w:rPr>
      <w:fldChar w:fldCharType="end"/>
    </w:r>
  </w:p>
  <w:p w14:paraId="6B6C984A" w14:textId="0F703A0D" w:rsidR="009C1A5C" w:rsidRPr="00E324B3" w:rsidRDefault="009C1A5C" w:rsidP="00836F12">
    <w:pPr>
      <w:pStyle w:val="Footer"/>
      <w:pBdr>
        <w:top w:val="single" w:sz="4" w:space="1" w:color="auto"/>
      </w:pBdr>
      <w:tabs>
        <w:tab w:val="clear" w:pos="8640"/>
        <w:tab w:val="right" w:pos="9360"/>
      </w:tabs>
      <w:rPr>
        <w:rStyle w:val="PageNumber"/>
      </w:rPr>
    </w:pPr>
    <w:r>
      <w:rPr>
        <w:sz w:val="18"/>
      </w:rPr>
      <w:t xml:space="preserve">Updated </w:t>
    </w:r>
    <w:r w:rsidR="00A1072F">
      <w:rPr>
        <w:sz w:val="18"/>
      </w:rPr>
      <w:t>10</w:t>
    </w:r>
    <w:r>
      <w:rPr>
        <w:sz w:val="18"/>
      </w:rPr>
      <w:t>/</w:t>
    </w:r>
    <w:r w:rsidR="00A1072F">
      <w:rPr>
        <w:sz w:val="18"/>
      </w:rPr>
      <w:t>21</w:t>
    </w:r>
    <w:r>
      <w:rPr>
        <w:sz w:val="18"/>
      </w:rPr>
      <w:t>/20</w:t>
    </w:r>
    <w:r w:rsidR="00A1072F">
      <w:rPr>
        <w:sz w:val="18"/>
      </w:rPr>
      <w:t>24</w:t>
    </w:r>
    <w:r>
      <w:rPr>
        <w:sz w:val="18"/>
      </w:rPr>
      <w:tab/>
    </w:r>
    <w:r>
      <w:rPr>
        <w:sz w:val="18"/>
      </w:rPr>
      <w:tab/>
    </w:r>
  </w:p>
  <w:p w14:paraId="401B2F77" w14:textId="77777777" w:rsidR="009C1A5C" w:rsidRDefault="009C1A5C">
    <w:pPr>
      <w:pStyle w:val="Footer"/>
      <w:ind w:right="360"/>
      <w:rPr>
        <w:sz w:val="18"/>
      </w:rPr>
    </w:pPr>
    <w:r>
      <w:rPr>
        <w:noProof/>
        <w:sz w:val="18"/>
      </w:rPr>
      <mc:AlternateContent>
        <mc:Choice Requires="wps">
          <w:drawing>
            <wp:anchor distT="0" distB="0" distL="114300" distR="114300" simplePos="0" relativeHeight="252664320" behindDoc="0" locked="0" layoutInCell="0" allowOverlap="1" wp14:anchorId="6DF8C750" wp14:editId="177B0E0A">
              <wp:simplePos x="0" y="0"/>
              <wp:positionH relativeFrom="column">
                <wp:posOffset>9525</wp:posOffset>
              </wp:positionH>
              <wp:positionV relativeFrom="paragraph">
                <wp:posOffset>-192405</wp:posOffset>
              </wp:positionV>
              <wp:extent cx="0" cy="0"/>
              <wp:effectExtent l="0" t="0" r="0" b="0"/>
              <wp:wrapNone/>
              <wp:docPr id="1678" name="Line 3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FB67A6" id="Line 31" o:spid="_x0000_s1026" alt="&quot;&quot;" style="position:absolute;z-index:25266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E324B3">
      <w:tab/>
    </w:r>
    <w:r w:rsidRPr="00E324B3">
      <w:tab/>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A607E1" w14:textId="77777777"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6-10</w:t>
    </w:r>
    <w:r>
      <w:rPr>
        <w:rStyle w:val="PageNumber"/>
      </w:rPr>
      <w:fldChar w:fldCharType="end"/>
    </w:r>
  </w:p>
  <w:p w14:paraId="0BBDC9ED" w14:textId="3DBF723A" w:rsidR="009C1A5C" w:rsidRDefault="009C1A5C">
    <w:pPr>
      <w:pStyle w:val="Footer"/>
      <w:ind w:right="360"/>
      <w:rPr>
        <w:sz w:val="18"/>
      </w:rPr>
    </w:pPr>
    <w:r>
      <w:rPr>
        <w:sz w:val="18"/>
      </w:rPr>
      <w:t>Updated 07/07/2009</w:t>
    </w:r>
  </w:p>
  <w:p w14:paraId="0AF847F7" w14:textId="748DF967" w:rsidR="009C1A5C" w:rsidRDefault="009C1A5C">
    <w:pPr>
      <w:pStyle w:val="Footer"/>
      <w:ind w:right="360"/>
      <w:rPr>
        <w:sz w:val="18"/>
      </w:rPr>
    </w:pPr>
    <w:r>
      <w:rPr>
        <w:noProof/>
        <w:sz w:val="18"/>
      </w:rPr>
      <mc:AlternateContent>
        <mc:Choice Requires="wps">
          <w:drawing>
            <wp:anchor distT="0" distB="0" distL="114300" distR="114300" simplePos="0" relativeHeight="251730432" behindDoc="0" locked="0" layoutInCell="0" allowOverlap="1" wp14:anchorId="1F76CA92" wp14:editId="764CD95B">
              <wp:simplePos x="0" y="0"/>
              <wp:positionH relativeFrom="column">
                <wp:posOffset>9525</wp:posOffset>
              </wp:positionH>
              <wp:positionV relativeFrom="paragraph">
                <wp:posOffset>-192405</wp:posOffset>
              </wp:positionV>
              <wp:extent cx="5467350" cy="0"/>
              <wp:effectExtent l="9525" t="7620" r="9525" b="11430"/>
              <wp:wrapNone/>
              <wp:docPr id="140" name="Line 43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334102" id="Line 434" o:spid="_x0000_s1026" alt="&quot;&quot;" style="position:absolute;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431.2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" o:allowincell="f"/>
          </w:pict>
        </mc:Fallback>
      </mc:AlternateContent>
    </w:r>
    <w:hyperlink w:anchor="TOC" w:history="1">
      <w:r w:rsidRPr="00B21B2A">
        <w:rPr>
          <w:rStyle w:val="Hyperlink"/>
          <w:sz w:val="18"/>
        </w:rPr>
        <w:t>Return to Table of Contents</w:t>
      </w:r>
    </w:hyperlink>
    <w:r>
      <w:rPr>
        <w:sz w:val="18"/>
      </w:rPr>
      <w:tab/>
    </w:r>
    <w:r>
      <w:rPr>
        <w:sz w:val="18"/>
      </w:rPr>
      <w:tab/>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4E813" w14:textId="51BC3A58"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7-10</w:t>
    </w:r>
    <w:r>
      <w:rPr>
        <w:rStyle w:val="PageNumber"/>
      </w:rPr>
      <w:fldChar w:fldCharType="end"/>
    </w:r>
  </w:p>
  <w:p w14:paraId="48F68709" w14:textId="49CE8AC8" w:rsidR="009C1A5C" w:rsidRPr="00E324B3" w:rsidRDefault="009C1A5C" w:rsidP="00E324B3">
    <w:pPr>
      <w:pStyle w:val="Footer"/>
      <w:pBdr>
        <w:top w:val="single" w:sz="4" w:space="1" w:color="auto"/>
      </w:pBdr>
      <w:tabs>
        <w:tab w:val="clear" w:pos="8640"/>
        <w:tab w:val="right" w:pos="9360"/>
      </w:tabs>
      <w:rPr>
        <w:rStyle w:val="PageNumber"/>
      </w:rPr>
    </w:pPr>
    <w:r>
      <w:rPr>
        <w:sz w:val="18"/>
      </w:rPr>
      <w:t xml:space="preserve">Updated </w:t>
    </w:r>
    <w:r w:rsidR="00EF642D">
      <w:rPr>
        <w:sz w:val="18"/>
      </w:rPr>
      <w:t>12</w:t>
    </w:r>
    <w:r>
      <w:rPr>
        <w:sz w:val="18"/>
      </w:rPr>
      <w:t>/</w:t>
    </w:r>
    <w:r w:rsidR="00EF642D">
      <w:rPr>
        <w:sz w:val="18"/>
      </w:rPr>
      <w:t>13</w:t>
    </w:r>
    <w:r>
      <w:rPr>
        <w:sz w:val="18"/>
      </w:rPr>
      <w:t>/20</w:t>
    </w:r>
    <w:r w:rsidR="00EF642D">
      <w:rPr>
        <w:sz w:val="18"/>
      </w:rPr>
      <w:t>24</w:t>
    </w:r>
    <w:r>
      <w:rPr>
        <w:sz w:val="18"/>
      </w:rPr>
      <w:tab/>
    </w:r>
    <w:r>
      <w:rPr>
        <w:sz w:val="18"/>
      </w:rPr>
      <w:tab/>
    </w:r>
  </w:p>
  <w:p w14:paraId="701862B2" w14:textId="3FA3CBDF" w:rsidR="009C1A5C" w:rsidRDefault="009C1A5C">
    <w:pPr>
      <w:pStyle w:val="Footer"/>
      <w:ind w:right="360"/>
      <w:rPr>
        <w:sz w:val="18"/>
      </w:rPr>
    </w:pPr>
    <w:hyperlink w:anchor="TOC" w:history="1">
      <w:r w:rsidRPr="00B21B2A">
        <w:rPr>
          <w:rStyle w:val="Hyperlink"/>
          <w:sz w:val="18"/>
        </w:rPr>
        <w:t>Return to Table of Contents</w:t>
      </w:r>
    </w:hyperlink>
    <w:r w:rsidRPr="00E324B3">
      <w:tab/>
    </w:r>
    <w:r w:rsidRPr="00E324B3">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598A6" w14:textId="57869AA7" w:rsidR="009C1A5C" w:rsidRDefault="009C1A5C" w:rsidP="002A05E7">
    <w:pPr>
      <w:pStyle w:val="Footer"/>
      <w:pBdr>
        <w:top w:val="single" w:sz="4" w:space="1" w:color="auto"/>
      </w:pBdr>
      <w:rPr>
        <w:rStyle w:val="PageNumber"/>
      </w:rPr>
    </w:pPr>
    <w:r>
      <w:rPr>
        <w:sz w:val="18"/>
      </w:rPr>
      <w:t>Updated 05/24/2019</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1-6</w:t>
    </w:r>
    <w:r>
      <w:rPr>
        <w:rStyle w:val="PageNumber"/>
      </w:rPr>
      <w:fldChar w:fldCharType="end"/>
    </w:r>
  </w:p>
  <w:p w14:paraId="1F979101" w14:textId="4FA9A098" w:rsidR="009C1A5C" w:rsidRPr="00836F12" w:rsidRDefault="009C1A5C" w:rsidP="007E0092">
    <w:pPr>
      <w:pStyle w:val="Footer"/>
      <w:ind w:right="360"/>
      <w:rPr>
        <w:sz w:val="18"/>
      </w:rPr>
    </w:pPr>
    <w:hyperlink w:anchor="TOC" w:history="1">
      <w:r w:rsidRPr="00B21B2A">
        <w:rPr>
          <w:rStyle w:val="Hyperlink"/>
          <w:sz w:val="18"/>
        </w:rPr>
        <w:t>Return to Table of Contents</w:t>
      </w:r>
    </w:hyperlink>
    <w:r>
      <w:tab/>
    </w:r>
    <w:r>
      <w:tab/>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2E596" w14:textId="5DD9A5BE"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7-13</w:t>
    </w:r>
    <w:r>
      <w:rPr>
        <w:rStyle w:val="PageNumber"/>
      </w:rPr>
      <w:fldChar w:fldCharType="end"/>
    </w:r>
  </w:p>
  <w:p w14:paraId="67C65644" w14:textId="32AEA750" w:rsidR="009C1A5C" w:rsidRPr="00E324B3" w:rsidRDefault="009C1A5C" w:rsidP="00E324B3">
    <w:pPr>
      <w:pStyle w:val="Footer"/>
      <w:pBdr>
        <w:top w:val="single" w:sz="4" w:space="1" w:color="auto"/>
      </w:pBdr>
      <w:tabs>
        <w:tab w:val="clear" w:pos="8640"/>
        <w:tab w:val="right" w:pos="9360"/>
      </w:tabs>
      <w:rPr>
        <w:rStyle w:val="PageNumber"/>
      </w:rPr>
    </w:pPr>
    <w:r>
      <w:rPr>
        <w:sz w:val="18"/>
      </w:rPr>
      <w:t>Updated 07/27/2018</w:t>
    </w:r>
    <w:r>
      <w:rPr>
        <w:sz w:val="18"/>
      </w:rPr>
      <w:tab/>
    </w:r>
    <w:r>
      <w:rPr>
        <w:sz w:val="18"/>
      </w:rPr>
      <w:tab/>
    </w:r>
  </w:p>
  <w:p w14:paraId="3EE862C4" w14:textId="20D38F66" w:rsidR="009C1A5C" w:rsidRDefault="009C1A5C" w:rsidP="00A06642">
    <w:pPr>
      <w:pStyle w:val="Footer"/>
      <w:ind w:right="360"/>
      <w:rPr>
        <w:sz w:val="18"/>
      </w:rPr>
    </w:pPr>
    <w:hyperlink w:anchor="TOC" w:history="1">
      <w:r w:rsidRPr="00B21B2A">
        <w:rPr>
          <w:rStyle w:val="Hyperlink"/>
          <w:sz w:val="18"/>
        </w:rPr>
        <w:t>Return to Table of Contents</w:t>
      </w:r>
    </w:hyperlink>
    <w:r w:rsidRPr="00E324B3">
      <w:tab/>
    </w:r>
    <w:r w:rsidRPr="00E324B3">
      <w:tab/>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E5732" w14:textId="0DE82DB5"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7-23</w:t>
    </w:r>
    <w:r>
      <w:rPr>
        <w:rStyle w:val="PageNumber"/>
      </w:rPr>
      <w:fldChar w:fldCharType="end"/>
    </w:r>
  </w:p>
  <w:p w14:paraId="196AB814" w14:textId="65882A6C" w:rsidR="009C1A5C" w:rsidRPr="00E324B3" w:rsidRDefault="009C1A5C" w:rsidP="00E324B3">
    <w:pPr>
      <w:pStyle w:val="Footer"/>
      <w:pBdr>
        <w:top w:val="single" w:sz="4" w:space="1" w:color="auto"/>
      </w:pBdr>
      <w:tabs>
        <w:tab w:val="clear" w:pos="8640"/>
        <w:tab w:val="right" w:pos="9360"/>
      </w:tabs>
      <w:rPr>
        <w:rStyle w:val="PageNumber"/>
      </w:rPr>
    </w:pPr>
    <w:r>
      <w:rPr>
        <w:sz w:val="18"/>
      </w:rPr>
      <w:t>Updated 02/24/2021</w:t>
    </w:r>
    <w:r>
      <w:rPr>
        <w:sz w:val="18"/>
      </w:rPr>
      <w:tab/>
    </w:r>
    <w:r>
      <w:rPr>
        <w:sz w:val="18"/>
      </w:rPr>
      <w:tab/>
    </w:r>
  </w:p>
  <w:p w14:paraId="2E2496F5" w14:textId="1463D9E8" w:rsidR="009C1A5C" w:rsidRDefault="009C1A5C" w:rsidP="00A06642">
    <w:pPr>
      <w:pStyle w:val="Footer"/>
      <w:ind w:right="360"/>
      <w:rPr>
        <w:sz w:val="18"/>
      </w:rPr>
    </w:pPr>
    <w:r>
      <w:rPr>
        <w:noProof/>
        <w:sz w:val="18"/>
      </w:rPr>
      <mc:AlternateContent>
        <mc:Choice Requires="wps">
          <w:drawing>
            <wp:anchor distT="0" distB="0" distL="114300" distR="114300" simplePos="0" relativeHeight="252392960" behindDoc="0" locked="0" layoutInCell="0" allowOverlap="1" wp14:anchorId="55AB4A5C" wp14:editId="75B4676E">
              <wp:simplePos x="0" y="0"/>
              <wp:positionH relativeFrom="column">
                <wp:posOffset>9525</wp:posOffset>
              </wp:positionH>
              <wp:positionV relativeFrom="paragraph">
                <wp:posOffset>-192405</wp:posOffset>
              </wp:positionV>
              <wp:extent cx="0" cy="0"/>
              <wp:effectExtent l="0" t="0" r="0" b="0"/>
              <wp:wrapNone/>
              <wp:docPr id="134" name="Line 44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8A5E5A" id="Line 440" o:spid="_x0000_s1026" alt="&quot;&quot;" style="position:absolute;z-index:25239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E324B3">
      <w:tab/>
    </w:r>
    <w:r w:rsidRPr="00E324B3">
      <w:tab/>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C3D5" w14:textId="77777777" w:rsidR="009C1A5C" w:rsidRDefault="009C1A5C" w:rsidP="00E977BF">
    <w:pPr>
      <w:pStyle w:val="Footer"/>
      <w:pBdr>
        <w:top w:val="single" w:sz="4" w:space="0" w:color="auto"/>
      </w:pBdr>
      <w:tabs>
        <w:tab w:val="clear" w:pos="8640"/>
        <w:tab w:val="right" w:pos="9360"/>
      </w:tabs>
      <w:rPr>
        <w:rStyle w:val="PageNumber"/>
      </w:rPr>
    </w:pPr>
    <w:r>
      <w:rPr>
        <w:sz w:val="18"/>
      </w:rPr>
      <w:t>Updated 10/15/2013</w:t>
    </w:r>
    <w:r>
      <w:rPr>
        <w:sz w:val="18"/>
      </w:rPr>
      <w:tab/>
    </w:r>
    <w:r>
      <w:rPr>
        <w:sz w:val="18"/>
      </w:rPr>
      <w:tab/>
    </w:r>
    <w:r w:rsidRPr="00403D56">
      <w:rPr>
        <w:szCs w:val="22"/>
      </w:rPr>
      <w:t>7-</w:t>
    </w:r>
    <w:r w:rsidRPr="00403D56">
      <w:rPr>
        <w:rStyle w:val="PageNumber"/>
        <w:szCs w:val="22"/>
      </w:rPr>
      <w:fldChar w:fldCharType="begin"/>
    </w:r>
    <w:r w:rsidRPr="00403D56">
      <w:rPr>
        <w:rStyle w:val="PageNumber"/>
        <w:szCs w:val="22"/>
      </w:rPr>
      <w:instrText xml:space="preserve"> PAGE </w:instrText>
    </w:r>
    <w:r w:rsidRPr="00403D56">
      <w:rPr>
        <w:rStyle w:val="PageNumber"/>
        <w:szCs w:val="22"/>
      </w:rPr>
      <w:fldChar w:fldCharType="separate"/>
    </w:r>
    <w:r>
      <w:rPr>
        <w:rStyle w:val="PageNumber"/>
        <w:noProof/>
        <w:szCs w:val="22"/>
      </w:rPr>
      <w:t>5-30</w:t>
    </w:r>
    <w:r w:rsidRPr="00403D56">
      <w:rPr>
        <w:rStyle w:val="PageNumber"/>
        <w:szCs w:val="22"/>
      </w:rPr>
      <w:fldChar w:fldCharType="end"/>
    </w:r>
  </w:p>
  <w:p w14:paraId="695AFDA1" w14:textId="765FE41C" w:rsidR="009C1A5C" w:rsidRDefault="009C1A5C">
    <w:pPr>
      <w:pStyle w:val="Footer"/>
    </w:pPr>
    <w:hyperlink w:anchor="TOC" w:history="1">
      <w:r w:rsidRPr="00B21B2A">
        <w:rPr>
          <w:rStyle w:val="Hyperlink"/>
          <w:sz w:val="18"/>
        </w:rPr>
        <w:t>Return to Table of Contents</w:t>
      </w:r>
    </w:hyperlink>
    <w:r>
      <w:tab/>
    </w:r>
    <w:r>
      <w:tab/>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FCEB1" w14:textId="5B6D8125"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7-24</w:t>
    </w:r>
    <w:r>
      <w:rPr>
        <w:rStyle w:val="PageNumber"/>
      </w:rPr>
      <w:fldChar w:fldCharType="end"/>
    </w:r>
  </w:p>
  <w:p w14:paraId="038878D4" w14:textId="208420F7" w:rsidR="009C1A5C" w:rsidRPr="00E324B3" w:rsidRDefault="009C1A5C" w:rsidP="00E324B3">
    <w:pPr>
      <w:pStyle w:val="Footer"/>
      <w:pBdr>
        <w:top w:val="single" w:sz="4" w:space="0" w:color="auto"/>
      </w:pBdr>
      <w:tabs>
        <w:tab w:val="clear" w:pos="8640"/>
        <w:tab w:val="right" w:pos="9360"/>
      </w:tabs>
      <w:rPr>
        <w:rStyle w:val="PageNumber"/>
      </w:rPr>
    </w:pPr>
    <w:r>
      <w:rPr>
        <w:sz w:val="18"/>
      </w:rPr>
      <w:t>Updated 11/26/2013</w:t>
    </w:r>
    <w:r>
      <w:rPr>
        <w:sz w:val="18"/>
      </w:rPr>
      <w:tab/>
    </w:r>
    <w:r>
      <w:rPr>
        <w:sz w:val="18"/>
      </w:rPr>
      <w:tab/>
    </w:r>
  </w:p>
  <w:p w14:paraId="38A385C0" w14:textId="52351B46" w:rsidR="009C1A5C" w:rsidRPr="00E324B3" w:rsidRDefault="009C1A5C" w:rsidP="00E324B3">
    <w:pPr>
      <w:pStyle w:val="Footer"/>
    </w:pPr>
    <w:r>
      <w:rPr>
        <w:noProof/>
        <w:sz w:val="18"/>
      </w:rPr>
      <mc:AlternateContent>
        <mc:Choice Requires="wps">
          <w:drawing>
            <wp:anchor distT="0" distB="0" distL="114300" distR="114300" simplePos="0" relativeHeight="252395008" behindDoc="0" locked="0" layoutInCell="0" allowOverlap="1" wp14:anchorId="5A641F99" wp14:editId="7D3B6959">
              <wp:simplePos x="0" y="0"/>
              <wp:positionH relativeFrom="column">
                <wp:posOffset>9525</wp:posOffset>
              </wp:positionH>
              <wp:positionV relativeFrom="paragraph">
                <wp:posOffset>-192405</wp:posOffset>
              </wp:positionV>
              <wp:extent cx="0" cy="0"/>
              <wp:effectExtent l="0" t="0" r="0" b="0"/>
              <wp:wrapNone/>
              <wp:docPr id="131" name="Line 3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E490FF" id="Line 341" o:spid="_x0000_s1026" alt="&quot;&quot;" style="position:absolute;z-index:25239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E324B3">
      <w:tab/>
    </w:r>
    <w:r w:rsidRPr="00E324B3">
      <w:tab/>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7B9C8" w14:textId="6FA17C69"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7-25</w:t>
    </w:r>
    <w:r>
      <w:rPr>
        <w:rStyle w:val="PageNumber"/>
      </w:rPr>
      <w:fldChar w:fldCharType="end"/>
    </w:r>
  </w:p>
  <w:p w14:paraId="3E5D0F30" w14:textId="54645CC5" w:rsidR="009C1A5C" w:rsidRPr="00867699" w:rsidRDefault="009C1A5C" w:rsidP="00867699">
    <w:pPr>
      <w:pStyle w:val="Footer"/>
      <w:pBdr>
        <w:top w:val="single" w:sz="4" w:space="0" w:color="auto"/>
      </w:pBdr>
      <w:tabs>
        <w:tab w:val="clear" w:pos="8640"/>
        <w:tab w:val="right" w:pos="9360"/>
      </w:tabs>
      <w:rPr>
        <w:rStyle w:val="PageNumber"/>
      </w:rPr>
    </w:pPr>
    <w:r>
      <w:rPr>
        <w:sz w:val="18"/>
      </w:rPr>
      <w:t>Updated 11/26/2013</w:t>
    </w:r>
    <w:r>
      <w:rPr>
        <w:sz w:val="18"/>
      </w:rPr>
      <w:tab/>
    </w:r>
    <w:r>
      <w:rPr>
        <w:sz w:val="18"/>
      </w:rPr>
      <w:tab/>
    </w:r>
  </w:p>
  <w:p w14:paraId="49A3B4F4" w14:textId="4CB27030" w:rsidR="009C1A5C" w:rsidRPr="00867699" w:rsidRDefault="009C1A5C" w:rsidP="00867699">
    <w:pPr>
      <w:pStyle w:val="Footer"/>
    </w:pPr>
    <w:r>
      <w:rPr>
        <w:noProof/>
        <w:sz w:val="18"/>
      </w:rPr>
      <mc:AlternateContent>
        <mc:Choice Requires="wps">
          <w:drawing>
            <wp:anchor distT="0" distB="0" distL="114300" distR="114300" simplePos="0" relativeHeight="252397056" behindDoc="0" locked="0" layoutInCell="0" allowOverlap="1" wp14:anchorId="7486CC5B" wp14:editId="6B456DBF">
              <wp:simplePos x="0" y="0"/>
              <wp:positionH relativeFrom="column">
                <wp:posOffset>9525</wp:posOffset>
              </wp:positionH>
              <wp:positionV relativeFrom="paragraph">
                <wp:posOffset>-192405</wp:posOffset>
              </wp:positionV>
              <wp:extent cx="0" cy="0"/>
              <wp:effectExtent l="0" t="0" r="0" b="0"/>
              <wp:wrapNone/>
              <wp:docPr id="129" name="Line 34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ADDBFB" id="Line 342" o:spid="_x0000_s1026" alt="&quot;&quot;" style="position:absolute;z-index:25239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867699">
      <w:tab/>
    </w:r>
    <w:r w:rsidRPr="00867699">
      <w:tab/>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11F27" w14:textId="4D83E10F"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7-30</w:t>
    </w:r>
    <w:r>
      <w:rPr>
        <w:rStyle w:val="PageNumber"/>
      </w:rPr>
      <w:fldChar w:fldCharType="end"/>
    </w:r>
  </w:p>
  <w:p w14:paraId="73C82137" w14:textId="6F426B1A" w:rsidR="009C1A5C" w:rsidRPr="00867699" w:rsidRDefault="009C1A5C" w:rsidP="00867699">
    <w:pPr>
      <w:pStyle w:val="Footer"/>
      <w:pBdr>
        <w:top w:val="single" w:sz="4" w:space="0" w:color="auto"/>
      </w:pBdr>
      <w:tabs>
        <w:tab w:val="clear" w:pos="8640"/>
        <w:tab w:val="right" w:pos="9360"/>
      </w:tabs>
      <w:rPr>
        <w:sz w:val="18"/>
      </w:rPr>
    </w:pPr>
    <w:r>
      <w:rPr>
        <w:sz w:val="18"/>
      </w:rPr>
      <w:t>Updated 07/27/2108</w:t>
    </w:r>
    <w:r>
      <w:rPr>
        <w:sz w:val="18"/>
      </w:rPr>
      <w:tab/>
    </w:r>
    <w:r>
      <w:rPr>
        <w:sz w:val="18"/>
      </w:rPr>
      <w:tab/>
    </w:r>
  </w:p>
  <w:p w14:paraId="62F75FE2" w14:textId="26810FE2" w:rsidR="009C1A5C" w:rsidRPr="00867699" w:rsidRDefault="009C1A5C" w:rsidP="00867699">
    <w:pPr>
      <w:pStyle w:val="Footer"/>
      <w:ind w:right="360"/>
    </w:pPr>
    <w:r>
      <w:rPr>
        <w:noProof/>
        <w:sz w:val="18"/>
      </w:rPr>
      <mc:AlternateContent>
        <mc:Choice Requires="wps">
          <w:drawing>
            <wp:anchor distT="0" distB="0" distL="114300" distR="114300" simplePos="0" relativeHeight="252405248" behindDoc="0" locked="0" layoutInCell="0" allowOverlap="1" wp14:anchorId="404B0853" wp14:editId="6190204F">
              <wp:simplePos x="0" y="0"/>
              <wp:positionH relativeFrom="column">
                <wp:posOffset>9525</wp:posOffset>
              </wp:positionH>
              <wp:positionV relativeFrom="paragraph">
                <wp:posOffset>-192405</wp:posOffset>
              </wp:positionV>
              <wp:extent cx="0" cy="0"/>
              <wp:effectExtent l="0" t="0" r="0" b="0"/>
              <wp:wrapNone/>
              <wp:docPr id="125" name="Line 3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CD5C4C" id="Line 343" o:spid="_x0000_s1026" alt="&quot;&quot;" style="position:absolute;z-index:25240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867699">
      <w:tab/>
    </w:r>
    <w:r w:rsidRPr="00867699">
      <w:tab/>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9179D" w14:textId="0E81C343"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7-37</w:t>
    </w:r>
    <w:r>
      <w:rPr>
        <w:rStyle w:val="PageNumber"/>
      </w:rPr>
      <w:fldChar w:fldCharType="end"/>
    </w:r>
  </w:p>
  <w:p w14:paraId="4B7A9A6E" w14:textId="30CD5BC8" w:rsidR="009C1A5C" w:rsidRPr="00240C0B" w:rsidRDefault="009C1A5C" w:rsidP="00240C0B">
    <w:pPr>
      <w:pStyle w:val="Footer"/>
      <w:pBdr>
        <w:top w:val="single" w:sz="4" w:space="1" w:color="auto"/>
      </w:pBdr>
      <w:tabs>
        <w:tab w:val="clear" w:pos="8640"/>
        <w:tab w:val="right" w:pos="9360"/>
      </w:tabs>
      <w:rPr>
        <w:rStyle w:val="PageNumber"/>
      </w:rPr>
    </w:pPr>
    <w:r>
      <w:rPr>
        <w:sz w:val="18"/>
      </w:rPr>
      <w:t>Updated 11/26/2013</w:t>
    </w:r>
    <w:r>
      <w:rPr>
        <w:sz w:val="18"/>
      </w:rPr>
      <w:tab/>
    </w:r>
    <w:r>
      <w:rPr>
        <w:sz w:val="18"/>
      </w:rPr>
      <w:tab/>
    </w:r>
  </w:p>
  <w:p w14:paraId="3C280E03" w14:textId="41D0426C" w:rsidR="009C1A5C" w:rsidRPr="00836F12" w:rsidRDefault="009C1A5C" w:rsidP="00240C0B">
    <w:pPr>
      <w:pStyle w:val="Footer"/>
    </w:pPr>
    <w:r>
      <w:rPr>
        <w:noProof/>
        <w:sz w:val="18"/>
      </w:rPr>
      <mc:AlternateContent>
        <mc:Choice Requires="wps">
          <w:drawing>
            <wp:anchor distT="0" distB="0" distL="114300" distR="114300" simplePos="0" relativeHeight="252407296" behindDoc="0" locked="0" layoutInCell="0" allowOverlap="1" wp14:anchorId="5454A7FA" wp14:editId="71347480">
              <wp:simplePos x="0" y="0"/>
              <wp:positionH relativeFrom="column">
                <wp:posOffset>9525</wp:posOffset>
              </wp:positionH>
              <wp:positionV relativeFrom="paragraph">
                <wp:posOffset>-192405</wp:posOffset>
              </wp:positionV>
              <wp:extent cx="0" cy="0"/>
              <wp:effectExtent l="0" t="0" r="0" b="0"/>
              <wp:wrapNone/>
              <wp:docPr id="123" name="Line 34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768651" id="Line 344" o:spid="_x0000_s1026" alt="&quot;&quot;" style="position:absolute;z-index:25240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240C0B">
      <w:tab/>
    </w:r>
    <w:r>
      <w:rPr>
        <w:sz w:val="18"/>
      </w:rPr>
      <w:tab/>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90FFB3" w14:textId="42A74794" w:rsidR="009C1A5C" w:rsidRDefault="009C1A5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8-2</w:t>
    </w:r>
    <w:r>
      <w:rPr>
        <w:rStyle w:val="PageNumber"/>
      </w:rPr>
      <w:fldChar w:fldCharType="end"/>
    </w:r>
  </w:p>
  <w:p w14:paraId="649AFF43" w14:textId="15C57BE3" w:rsidR="009C1A5C" w:rsidRPr="00240C0B" w:rsidRDefault="009C1A5C" w:rsidP="00240C0B">
    <w:pPr>
      <w:pStyle w:val="Footer"/>
      <w:pBdr>
        <w:top w:val="single" w:sz="4" w:space="1" w:color="auto"/>
      </w:pBdr>
      <w:tabs>
        <w:tab w:val="clear" w:pos="8640"/>
        <w:tab w:val="right" w:pos="9360"/>
      </w:tabs>
      <w:rPr>
        <w:rStyle w:val="PageNumber"/>
      </w:rPr>
    </w:pPr>
    <w:r>
      <w:rPr>
        <w:noProof/>
        <w:sz w:val="20"/>
      </w:rPr>
      <mc:AlternateContent>
        <mc:Choice Requires="wps">
          <w:drawing>
            <wp:anchor distT="0" distB="0" distL="114300" distR="114300" simplePos="0" relativeHeight="252412416" behindDoc="0" locked="0" layoutInCell="0" allowOverlap="1" wp14:anchorId="33C160CA" wp14:editId="360B5277">
              <wp:simplePos x="0" y="0"/>
              <wp:positionH relativeFrom="column">
                <wp:posOffset>19050</wp:posOffset>
              </wp:positionH>
              <wp:positionV relativeFrom="paragraph">
                <wp:posOffset>-34925</wp:posOffset>
              </wp:positionV>
              <wp:extent cx="0" cy="0"/>
              <wp:effectExtent l="0" t="0" r="0" b="0"/>
              <wp:wrapNone/>
              <wp:docPr id="121" name="Line 48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79F5FB" id="Line 484" o:spid="_x0000_s1026" alt="&quot;&quot;" style="position:absolute;z-index:25241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5pt" to="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411392" behindDoc="0" locked="0" layoutInCell="0" allowOverlap="1" wp14:anchorId="63D7E45D" wp14:editId="6B677D43">
              <wp:simplePos x="0" y="0"/>
              <wp:positionH relativeFrom="column">
                <wp:posOffset>-9525</wp:posOffset>
              </wp:positionH>
              <wp:positionV relativeFrom="paragraph">
                <wp:posOffset>-34925</wp:posOffset>
              </wp:positionV>
              <wp:extent cx="0" cy="0"/>
              <wp:effectExtent l="0" t="0" r="0" b="0"/>
              <wp:wrapNone/>
              <wp:docPr id="758" name="Line 48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82C702" id="Line 483" o:spid="_x0000_s1026" alt="&quot;&quot;" style="position:absolute;z-index:25241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410368" behindDoc="0" locked="0" layoutInCell="0" allowOverlap="1" wp14:anchorId="55A225B9" wp14:editId="7C3D71F7">
              <wp:simplePos x="0" y="0"/>
              <wp:positionH relativeFrom="column">
                <wp:posOffset>-9525</wp:posOffset>
              </wp:positionH>
              <wp:positionV relativeFrom="paragraph">
                <wp:posOffset>-34925</wp:posOffset>
              </wp:positionV>
              <wp:extent cx="0" cy="0"/>
              <wp:effectExtent l="0" t="0" r="0" b="0"/>
              <wp:wrapNone/>
              <wp:docPr id="119" name="Line 48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B49F9B" id="Line 482" o:spid="_x0000_s1026" alt="&quot;&quot;" style="position:absolute;z-index:25241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409344" behindDoc="0" locked="0" layoutInCell="0" allowOverlap="1" wp14:anchorId="0A9D1947" wp14:editId="5C4A1008">
              <wp:simplePos x="0" y="0"/>
              <wp:positionH relativeFrom="column">
                <wp:posOffset>9525</wp:posOffset>
              </wp:positionH>
              <wp:positionV relativeFrom="paragraph">
                <wp:posOffset>-31750</wp:posOffset>
              </wp:positionV>
              <wp:extent cx="0" cy="0"/>
              <wp:effectExtent l="0" t="0" r="0" b="0"/>
              <wp:wrapNone/>
              <wp:docPr id="118" name="Line 48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E2796D" id="Line 481" o:spid="_x0000_s1026" alt="&quot;&quot;" style="position:absolute;z-index:25240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5pt" to=".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" o:allowincell="f"/>
          </w:pict>
        </mc:Fallback>
      </mc:AlternateContent>
    </w:r>
    <w:r>
      <w:rPr>
        <w:sz w:val="18"/>
      </w:rPr>
      <w:t>Updated 11/07/2013</w:t>
    </w:r>
    <w:r>
      <w:rPr>
        <w:sz w:val="18"/>
      </w:rPr>
      <w:tab/>
    </w:r>
    <w:r>
      <w:rPr>
        <w:sz w:val="18"/>
      </w:rPr>
      <w:tab/>
    </w:r>
  </w:p>
  <w:p w14:paraId="0C219CAF" w14:textId="614F247A" w:rsidR="009C1A5C" w:rsidRPr="00836F12" w:rsidRDefault="009C1A5C" w:rsidP="00240C0B">
    <w:pPr>
      <w:pStyle w:val="Footer"/>
    </w:pPr>
    <w:hyperlink w:anchor="TOC" w:history="1">
      <w:r w:rsidRPr="00B21B2A">
        <w:rPr>
          <w:rStyle w:val="Hyperlink"/>
          <w:sz w:val="18"/>
        </w:rPr>
        <w:t>Return to Table of Contents</w:t>
      </w:r>
    </w:hyperlink>
    <w:r>
      <w:tab/>
    </w:r>
    <w:r>
      <w:tab/>
    </w: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97E15A" w14:textId="707BF50B" w:rsidR="009C1A5C" w:rsidRDefault="009C1A5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8-4</w:t>
    </w:r>
    <w:r>
      <w:rPr>
        <w:rStyle w:val="PageNumber"/>
      </w:rPr>
      <w:fldChar w:fldCharType="end"/>
    </w:r>
  </w:p>
  <w:p w14:paraId="1FBE0816" w14:textId="4C15FF53" w:rsidR="009C1A5C" w:rsidRPr="00240C0B" w:rsidRDefault="009C1A5C" w:rsidP="00240C0B">
    <w:pPr>
      <w:pStyle w:val="Footer"/>
      <w:pBdr>
        <w:top w:val="single" w:sz="4" w:space="1" w:color="auto"/>
      </w:pBdr>
      <w:tabs>
        <w:tab w:val="clear" w:pos="8640"/>
        <w:tab w:val="right" w:pos="9360"/>
      </w:tabs>
      <w:rPr>
        <w:rStyle w:val="PageNumber"/>
      </w:rPr>
    </w:pPr>
    <w:r>
      <w:rPr>
        <w:noProof/>
        <w:sz w:val="20"/>
      </w:rPr>
      <mc:AlternateContent>
        <mc:Choice Requires="wps">
          <w:drawing>
            <wp:anchor distT="0" distB="0" distL="114300" distR="114300" simplePos="0" relativeHeight="252417536" behindDoc="0" locked="0" layoutInCell="0" allowOverlap="1" wp14:anchorId="276862B3" wp14:editId="2055F420">
              <wp:simplePos x="0" y="0"/>
              <wp:positionH relativeFrom="column">
                <wp:posOffset>19050</wp:posOffset>
              </wp:positionH>
              <wp:positionV relativeFrom="paragraph">
                <wp:posOffset>-34925</wp:posOffset>
              </wp:positionV>
              <wp:extent cx="0" cy="0"/>
              <wp:effectExtent l="0" t="0" r="0" b="0"/>
              <wp:wrapNone/>
              <wp:docPr id="116" name="Line 48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891B8D" id="Line 480" o:spid="_x0000_s1026" alt="&quot;&quot;" style="position:absolute;z-index:25241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5pt" to="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416512" behindDoc="0" locked="0" layoutInCell="0" allowOverlap="1" wp14:anchorId="774CB3E9" wp14:editId="1C8334B6">
              <wp:simplePos x="0" y="0"/>
              <wp:positionH relativeFrom="column">
                <wp:posOffset>-9525</wp:posOffset>
              </wp:positionH>
              <wp:positionV relativeFrom="paragraph">
                <wp:posOffset>-34925</wp:posOffset>
              </wp:positionV>
              <wp:extent cx="0" cy="0"/>
              <wp:effectExtent l="0" t="0" r="0" b="0"/>
              <wp:wrapNone/>
              <wp:docPr id="115" name="Line 47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07C1C4" id="Line 479" o:spid="_x0000_s1026" alt="&quot;&quot;" style="position:absolute;z-index:25241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415488" behindDoc="0" locked="0" layoutInCell="0" allowOverlap="1" wp14:anchorId="6DEDC364" wp14:editId="7089EFB9">
              <wp:simplePos x="0" y="0"/>
              <wp:positionH relativeFrom="column">
                <wp:posOffset>-9525</wp:posOffset>
              </wp:positionH>
              <wp:positionV relativeFrom="paragraph">
                <wp:posOffset>-34925</wp:posOffset>
              </wp:positionV>
              <wp:extent cx="0" cy="0"/>
              <wp:effectExtent l="0" t="0" r="0" b="0"/>
              <wp:wrapNone/>
              <wp:docPr id="114" name="Line 47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59459B" id="Line 478" o:spid="_x0000_s1026" alt="&quot;&quot;" style="position:absolute;z-index:25241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414464" behindDoc="0" locked="0" layoutInCell="0" allowOverlap="1" wp14:anchorId="6F05D4D9" wp14:editId="76BE8297">
              <wp:simplePos x="0" y="0"/>
              <wp:positionH relativeFrom="column">
                <wp:posOffset>9525</wp:posOffset>
              </wp:positionH>
              <wp:positionV relativeFrom="paragraph">
                <wp:posOffset>-31750</wp:posOffset>
              </wp:positionV>
              <wp:extent cx="0" cy="0"/>
              <wp:effectExtent l="0" t="0" r="0" b="0"/>
              <wp:wrapNone/>
              <wp:docPr id="113" name="Line 47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5AF3C3" id="Line 477" o:spid="_x0000_s1026" alt="&quot;&quot;" style="position:absolute;z-index:25241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5pt" to=".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" o:allowincell="f"/>
          </w:pict>
        </mc:Fallback>
      </mc:AlternateContent>
    </w:r>
    <w:r>
      <w:rPr>
        <w:sz w:val="18"/>
      </w:rPr>
      <w:t>Updated 10/15/2013</w:t>
    </w:r>
    <w:r>
      <w:rPr>
        <w:sz w:val="18"/>
      </w:rPr>
      <w:tab/>
    </w:r>
    <w:r>
      <w:rPr>
        <w:sz w:val="18"/>
      </w:rPr>
      <w:tab/>
    </w:r>
  </w:p>
  <w:p w14:paraId="5A9B5B0A" w14:textId="5CF7C36F" w:rsidR="009C1A5C" w:rsidRPr="00836F12" w:rsidRDefault="009C1A5C" w:rsidP="00240C0B">
    <w:pPr>
      <w:pStyle w:val="Footer"/>
    </w:pPr>
    <w:hyperlink w:anchor="TOC" w:history="1">
      <w:r w:rsidRPr="00B21B2A">
        <w:rPr>
          <w:rStyle w:val="Hyperlink"/>
          <w:sz w:val="18"/>
        </w:rPr>
        <w:t>Return to Table of Contents</w:t>
      </w:r>
    </w:hyperlink>
    <w:r>
      <w:tab/>
    </w:r>
    <w:r>
      <w:tab/>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115317" w14:textId="19DBB64E"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8-5</w:t>
    </w:r>
    <w:r>
      <w:rPr>
        <w:rStyle w:val="PageNumber"/>
      </w:rPr>
      <w:fldChar w:fldCharType="end"/>
    </w:r>
  </w:p>
  <w:p w14:paraId="56157433" w14:textId="214885C9" w:rsidR="009C1A5C" w:rsidRPr="00240C0B" w:rsidRDefault="009C1A5C" w:rsidP="00240C0B">
    <w:pPr>
      <w:pStyle w:val="Footer"/>
      <w:pBdr>
        <w:top w:val="single" w:sz="4" w:space="1" w:color="auto"/>
      </w:pBdr>
      <w:tabs>
        <w:tab w:val="clear" w:pos="8640"/>
        <w:tab w:val="right" w:pos="9360"/>
      </w:tabs>
      <w:rPr>
        <w:rStyle w:val="PageNumber"/>
      </w:rPr>
    </w:pPr>
    <w:r>
      <w:rPr>
        <w:sz w:val="18"/>
      </w:rPr>
      <w:t xml:space="preserve">Updated </w:t>
    </w:r>
    <w:r w:rsidR="003827AB">
      <w:rPr>
        <w:sz w:val="18"/>
      </w:rPr>
      <w:t>12</w:t>
    </w:r>
    <w:r>
      <w:rPr>
        <w:sz w:val="18"/>
      </w:rPr>
      <w:t>/</w:t>
    </w:r>
    <w:r w:rsidR="003827AB">
      <w:rPr>
        <w:sz w:val="18"/>
      </w:rPr>
      <w:t>1</w:t>
    </w:r>
    <w:r w:rsidR="001903A5">
      <w:rPr>
        <w:sz w:val="18"/>
      </w:rPr>
      <w:t>3</w:t>
    </w:r>
    <w:r>
      <w:rPr>
        <w:sz w:val="18"/>
      </w:rPr>
      <w:t>/20</w:t>
    </w:r>
    <w:r w:rsidR="003827AB">
      <w:rPr>
        <w:sz w:val="18"/>
      </w:rPr>
      <w:t>24</w:t>
    </w:r>
    <w:r>
      <w:rPr>
        <w:sz w:val="18"/>
      </w:rPr>
      <w:tab/>
    </w:r>
    <w:r>
      <w:rPr>
        <w:sz w:val="18"/>
      </w:rPr>
      <w:tab/>
    </w:r>
  </w:p>
  <w:p w14:paraId="79432310" w14:textId="328E429E" w:rsidR="009C1A5C" w:rsidRPr="00836F12" w:rsidRDefault="009C1A5C" w:rsidP="00240C0B">
    <w:pPr>
      <w:pStyle w:val="Footer"/>
    </w:pPr>
    <w:r>
      <w:rPr>
        <w:noProof/>
        <w:sz w:val="18"/>
      </w:rPr>
      <mc:AlternateContent>
        <mc:Choice Requires="wps">
          <w:drawing>
            <wp:anchor distT="0" distB="0" distL="114300" distR="114300" simplePos="0" relativeHeight="252419584" behindDoc="0" locked="0" layoutInCell="0" allowOverlap="1" wp14:anchorId="05E470F7" wp14:editId="05A4DAC3">
              <wp:simplePos x="0" y="0"/>
              <wp:positionH relativeFrom="column">
                <wp:posOffset>9525</wp:posOffset>
              </wp:positionH>
              <wp:positionV relativeFrom="paragraph">
                <wp:posOffset>-192405</wp:posOffset>
              </wp:positionV>
              <wp:extent cx="0" cy="0"/>
              <wp:effectExtent l="0" t="0" r="0" b="0"/>
              <wp:wrapNone/>
              <wp:docPr id="111" name="Line 3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7B66D8" id="Line 349" o:spid="_x0000_s1026" alt="&quot;&quot;" style="position:absolute;z-index:25241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240C0B">
      <w:tab/>
    </w:r>
    <w:r>
      <w:rPr>
        <w:sz w:val="18"/>
      </w:rP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CB1A6" w14:textId="4FC971EE" w:rsidR="009C1A5C" w:rsidRDefault="009C1A5C" w:rsidP="005E259E">
    <w:pPr>
      <w:pStyle w:val="Footer"/>
      <w:framePr w:wrap="around" w:vAnchor="text" w:hAnchor="page" w:x="10120"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1-8</w:t>
    </w:r>
    <w:r>
      <w:rPr>
        <w:rStyle w:val="PageNumber"/>
      </w:rPr>
      <w:fldChar w:fldCharType="end"/>
    </w:r>
  </w:p>
  <w:p w14:paraId="0DE98B81" w14:textId="34C74A3E" w:rsidR="009C1A5C" w:rsidRPr="004C0B53" w:rsidRDefault="009C1A5C" w:rsidP="00A77BC6">
    <w:pPr>
      <w:pStyle w:val="Footer"/>
      <w:pBdr>
        <w:top w:val="single" w:sz="4" w:space="11" w:color="auto"/>
      </w:pBdr>
      <w:rPr>
        <w:rStyle w:val="PageNumber"/>
      </w:rPr>
    </w:pPr>
    <w:r>
      <w:rPr>
        <w:sz w:val="18"/>
      </w:rPr>
      <w:t>Updated 12/05/2012</w:t>
    </w:r>
    <w:r>
      <w:rPr>
        <w:sz w:val="18"/>
      </w:rPr>
      <w:tab/>
    </w:r>
    <w:r>
      <w:rPr>
        <w:sz w:val="18"/>
      </w:rPr>
      <w:tab/>
    </w:r>
  </w:p>
  <w:p w14:paraId="0307A987" w14:textId="2ECE5112" w:rsidR="009C1A5C" w:rsidRDefault="009C1A5C">
    <w:pPr>
      <w:pStyle w:val="Footer"/>
      <w:ind w:right="360"/>
      <w:rPr>
        <w:sz w:val="18"/>
      </w:rPr>
    </w:pPr>
    <w:r>
      <w:rPr>
        <w:noProof/>
        <w:sz w:val="20"/>
      </w:rPr>
      <mc:AlternateContent>
        <mc:Choice Requires="wps">
          <w:drawing>
            <wp:anchor distT="0" distB="0" distL="114300" distR="114300" simplePos="0" relativeHeight="252262912" behindDoc="0" locked="0" layoutInCell="0" allowOverlap="1" wp14:anchorId="0746B367" wp14:editId="7C516025">
              <wp:simplePos x="0" y="0"/>
              <wp:positionH relativeFrom="column">
                <wp:posOffset>-65405</wp:posOffset>
              </wp:positionH>
              <wp:positionV relativeFrom="paragraph">
                <wp:posOffset>142875</wp:posOffset>
              </wp:positionV>
              <wp:extent cx="0" cy="0"/>
              <wp:effectExtent l="0" t="0" r="0" b="0"/>
              <wp:wrapNone/>
              <wp:docPr id="1209" name="Line 16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49F412" id="Line 169" o:spid="_x0000_s1026" alt="&quot;&quot;" style="position:absolute;z-index:25226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5pt,11.25pt" to="-5.1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" o:allowincell="f"/>
          </w:pict>
        </mc:Fallback>
      </mc:AlternateContent>
    </w:r>
    <w:r>
      <w:rPr>
        <w:noProof/>
        <w:sz w:val="20"/>
      </w:rPr>
      <mc:AlternateContent>
        <mc:Choice Requires="wps">
          <w:drawing>
            <wp:anchor distT="0" distB="0" distL="114300" distR="114300" simplePos="0" relativeHeight="252263936" behindDoc="0" locked="0" layoutInCell="0" allowOverlap="1" wp14:anchorId="2EBE2822" wp14:editId="58E25889">
              <wp:simplePos x="0" y="0"/>
              <wp:positionH relativeFrom="column">
                <wp:posOffset>-71755</wp:posOffset>
              </wp:positionH>
              <wp:positionV relativeFrom="paragraph">
                <wp:posOffset>139700</wp:posOffset>
              </wp:positionV>
              <wp:extent cx="0" cy="0"/>
              <wp:effectExtent l="0" t="0" r="0" b="0"/>
              <wp:wrapNone/>
              <wp:docPr id="1210" name="Line 17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C22F60" id="Line 170" o:spid="_x0000_s1026" alt="&quot;&quot;" style="position:absolute;z-index:25226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5pt,11pt" to="-5.6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" o:allowincell="f"/>
          </w:pict>
        </mc:Fallback>
      </mc:AlternateContent>
    </w:r>
    <w:hyperlink w:anchor="TOC" w:history="1">
      <w:r w:rsidRPr="00B21B2A">
        <w:rPr>
          <w:rStyle w:val="Hyperlink"/>
          <w:sz w:val="18"/>
        </w:rPr>
        <w:t>Return to Table of Contents</w:t>
      </w:r>
    </w:hyperlink>
    <w:r>
      <w:tab/>
    </w:r>
    <w:r>
      <w:tab/>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9E87FC" w14:textId="703841F4"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8-6</w:t>
    </w:r>
    <w:r>
      <w:rPr>
        <w:rStyle w:val="PageNumber"/>
      </w:rPr>
      <w:fldChar w:fldCharType="end"/>
    </w:r>
  </w:p>
  <w:p w14:paraId="59B12EE6" w14:textId="176D1E32" w:rsidR="009C1A5C" w:rsidRPr="00240C0B" w:rsidRDefault="009C1A5C" w:rsidP="00240C0B">
    <w:pPr>
      <w:pStyle w:val="Footer"/>
      <w:pBdr>
        <w:top w:val="single" w:sz="4" w:space="1" w:color="auto"/>
      </w:pBdr>
      <w:tabs>
        <w:tab w:val="clear" w:pos="8640"/>
        <w:tab w:val="right" w:pos="9360"/>
      </w:tabs>
      <w:rPr>
        <w:rStyle w:val="PageNumber"/>
      </w:rPr>
    </w:pPr>
    <w:r>
      <w:rPr>
        <w:sz w:val="18"/>
      </w:rPr>
      <w:t>Updated 11/26/2013</w:t>
    </w:r>
    <w:r>
      <w:rPr>
        <w:sz w:val="18"/>
      </w:rPr>
      <w:tab/>
    </w:r>
    <w:r>
      <w:rPr>
        <w:sz w:val="18"/>
      </w:rPr>
      <w:tab/>
    </w:r>
  </w:p>
  <w:p w14:paraId="0A471866" w14:textId="306713DC" w:rsidR="009C1A5C" w:rsidRPr="00836F12" w:rsidRDefault="009C1A5C" w:rsidP="00240C0B">
    <w:pPr>
      <w:pStyle w:val="Footer"/>
    </w:pPr>
    <w:r>
      <w:rPr>
        <w:noProof/>
        <w:sz w:val="18"/>
      </w:rPr>
      <mc:AlternateContent>
        <mc:Choice Requires="wps">
          <w:drawing>
            <wp:anchor distT="0" distB="0" distL="114300" distR="114300" simplePos="0" relativeHeight="252421632" behindDoc="0" locked="0" layoutInCell="0" allowOverlap="1" wp14:anchorId="7FF648ED" wp14:editId="206920B7">
              <wp:simplePos x="0" y="0"/>
              <wp:positionH relativeFrom="column">
                <wp:posOffset>9525</wp:posOffset>
              </wp:positionH>
              <wp:positionV relativeFrom="paragraph">
                <wp:posOffset>-192405</wp:posOffset>
              </wp:positionV>
              <wp:extent cx="0" cy="0"/>
              <wp:effectExtent l="0" t="0" r="0" b="0"/>
              <wp:wrapNone/>
              <wp:docPr id="109" name="Line 35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2BEC51" id="Line 352" o:spid="_x0000_s1026" alt="&quot;&quot;" style="position:absolute;z-index:25242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240C0B">
      <w:tab/>
    </w:r>
    <w:r>
      <w:rPr>
        <w:sz w:val="18"/>
      </w:rPr>
      <w:tab/>
    </w: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1ABCB" w14:textId="1D782DD1"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8-11</w:t>
    </w:r>
    <w:r>
      <w:rPr>
        <w:rStyle w:val="PageNumber"/>
      </w:rPr>
      <w:fldChar w:fldCharType="end"/>
    </w:r>
  </w:p>
  <w:p w14:paraId="45631099" w14:textId="0AD1665A" w:rsidR="009C1A5C" w:rsidRPr="00240C0B" w:rsidRDefault="009C1A5C" w:rsidP="00240C0B">
    <w:pPr>
      <w:pStyle w:val="Footer"/>
      <w:pBdr>
        <w:top w:val="single" w:sz="4" w:space="1" w:color="auto"/>
      </w:pBdr>
      <w:tabs>
        <w:tab w:val="clear" w:pos="8640"/>
        <w:tab w:val="right" w:pos="9360"/>
      </w:tabs>
      <w:rPr>
        <w:rStyle w:val="PageNumber"/>
      </w:rPr>
    </w:pPr>
    <w:r>
      <w:rPr>
        <w:sz w:val="18"/>
      </w:rPr>
      <w:t>Updated 12/06/2012</w:t>
    </w:r>
    <w:r>
      <w:rPr>
        <w:sz w:val="18"/>
      </w:rPr>
      <w:tab/>
    </w:r>
    <w:r>
      <w:rPr>
        <w:sz w:val="18"/>
      </w:rPr>
      <w:tab/>
    </w:r>
  </w:p>
  <w:p w14:paraId="0DAF5C68" w14:textId="00F779F5" w:rsidR="009C1A5C" w:rsidRPr="00836F12" w:rsidRDefault="009C1A5C" w:rsidP="00240C0B">
    <w:pPr>
      <w:pStyle w:val="Footer"/>
    </w:pPr>
    <w:r>
      <w:rPr>
        <w:noProof/>
        <w:sz w:val="18"/>
      </w:rPr>
      <mc:AlternateContent>
        <mc:Choice Requires="wps">
          <w:drawing>
            <wp:anchor distT="0" distB="0" distL="114300" distR="114300" simplePos="0" relativeHeight="252423680" behindDoc="0" locked="0" layoutInCell="0" allowOverlap="1" wp14:anchorId="6C6E05F8" wp14:editId="7C18D6F5">
              <wp:simplePos x="0" y="0"/>
              <wp:positionH relativeFrom="column">
                <wp:posOffset>9525</wp:posOffset>
              </wp:positionH>
              <wp:positionV relativeFrom="paragraph">
                <wp:posOffset>-192405</wp:posOffset>
              </wp:positionV>
              <wp:extent cx="0" cy="0"/>
              <wp:effectExtent l="0" t="0" r="0" b="0"/>
              <wp:wrapNone/>
              <wp:docPr id="107" name="Line 34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89E321" id="Line 347" o:spid="_x0000_s1026" alt="&quot;&quot;" style="position:absolute;z-index:25242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240C0B">
      <w:tab/>
    </w:r>
    <w:r>
      <w:rPr>
        <w:sz w:val="18"/>
      </w:rPr>
      <w:tab/>
    </w: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E4EEC" w14:textId="1511FDF2"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8-13</w:t>
    </w:r>
    <w:r>
      <w:rPr>
        <w:rStyle w:val="PageNumber"/>
      </w:rPr>
      <w:fldChar w:fldCharType="end"/>
    </w:r>
  </w:p>
  <w:p w14:paraId="35FAA798" w14:textId="47A44EE9" w:rsidR="009C1A5C" w:rsidRPr="00836F12" w:rsidRDefault="009C1A5C" w:rsidP="00836F12">
    <w:pPr>
      <w:pStyle w:val="Footer"/>
      <w:pBdr>
        <w:top w:val="single" w:sz="4" w:space="1" w:color="auto"/>
      </w:pBdr>
      <w:tabs>
        <w:tab w:val="clear" w:pos="8640"/>
        <w:tab w:val="right" w:pos="9360"/>
      </w:tabs>
      <w:rPr>
        <w:rStyle w:val="PageNumber"/>
      </w:rPr>
    </w:pPr>
    <w:r>
      <w:rPr>
        <w:sz w:val="18"/>
      </w:rPr>
      <w:t>Updated 01/03/2014</w:t>
    </w:r>
    <w:r>
      <w:rPr>
        <w:sz w:val="18"/>
      </w:rPr>
      <w:tab/>
    </w:r>
    <w:r>
      <w:rPr>
        <w:sz w:val="18"/>
      </w:rPr>
      <w:tab/>
    </w:r>
  </w:p>
  <w:p w14:paraId="6D8291DD" w14:textId="10B950D3" w:rsidR="009C1A5C" w:rsidRPr="00836F12" w:rsidRDefault="009C1A5C" w:rsidP="00836F12">
    <w:pPr>
      <w:pStyle w:val="Footer"/>
    </w:pPr>
    <w:r>
      <w:rPr>
        <w:noProof/>
        <w:sz w:val="18"/>
      </w:rPr>
      <mc:AlternateContent>
        <mc:Choice Requires="wps">
          <w:drawing>
            <wp:anchor distT="0" distB="0" distL="114300" distR="114300" simplePos="0" relativeHeight="252425728" behindDoc="0" locked="0" layoutInCell="0" allowOverlap="1" wp14:anchorId="6796F51C" wp14:editId="5FFB63F9">
              <wp:simplePos x="0" y="0"/>
              <wp:positionH relativeFrom="column">
                <wp:posOffset>9525</wp:posOffset>
              </wp:positionH>
              <wp:positionV relativeFrom="paragraph">
                <wp:posOffset>-192405</wp:posOffset>
              </wp:positionV>
              <wp:extent cx="0" cy="0"/>
              <wp:effectExtent l="0" t="0" r="0" b="0"/>
              <wp:wrapNone/>
              <wp:docPr id="105" name="Line 35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9C85FE" id="Line 356" o:spid="_x0000_s1026" alt="&quot;&quot;" style="position:absolute;z-index:25242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5.15pt" to=".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rsidRPr="00836F12">
      <w:tab/>
    </w:r>
    <w:r>
      <w:rPr>
        <w:sz w:val="18"/>
      </w:rPr>
      <w:tab/>
    </w: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5E729D" w14:textId="59827416"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8-20</w:t>
    </w:r>
    <w:r>
      <w:rPr>
        <w:rStyle w:val="PageNumber"/>
      </w:rPr>
      <w:fldChar w:fldCharType="end"/>
    </w:r>
  </w:p>
  <w:p w14:paraId="4ACD526F" w14:textId="7B452AC3"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27776" behindDoc="0" locked="0" layoutInCell="0" allowOverlap="1" wp14:anchorId="1E83F5BB" wp14:editId="4A3721BF">
              <wp:simplePos x="0" y="0"/>
              <wp:positionH relativeFrom="column">
                <wp:posOffset>9525</wp:posOffset>
              </wp:positionH>
              <wp:positionV relativeFrom="paragraph">
                <wp:posOffset>-21590</wp:posOffset>
              </wp:positionV>
              <wp:extent cx="0" cy="0"/>
              <wp:effectExtent l="0" t="0" r="0" b="0"/>
              <wp:wrapNone/>
              <wp:docPr id="102" name="Line 36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A14DCD" id="Line 360" o:spid="_x0000_s1026" alt="&quot;&quot;" style="position:absolute;z-index:25242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10/01/2013</w:t>
    </w:r>
    <w:r>
      <w:rPr>
        <w:sz w:val="18"/>
      </w:rPr>
      <w:tab/>
    </w:r>
    <w:r>
      <w:rPr>
        <w:sz w:val="18"/>
      </w:rPr>
      <w:tab/>
    </w:r>
  </w:p>
  <w:p w14:paraId="63F35B68" w14:textId="35B6C7D2"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C88F9" w14:textId="192F2D0C"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8-25</w:t>
    </w:r>
    <w:r>
      <w:rPr>
        <w:rStyle w:val="PageNumber"/>
      </w:rPr>
      <w:fldChar w:fldCharType="end"/>
    </w:r>
  </w:p>
  <w:p w14:paraId="0003B252" w14:textId="52B83768"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29824" behindDoc="0" locked="0" layoutInCell="0" allowOverlap="1" wp14:anchorId="4CEF0432" wp14:editId="40167181">
              <wp:simplePos x="0" y="0"/>
              <wp:positionH relativeFrom="column">
                <wp:posOffset>9525</wp:posOffset>
              </wp:positionH>
              <wp:positionV relativeFrom="paragraph">
                <wp:posOffset>-21590</wp:posOffset>
              </wp:positionV>
              <wp:extent cx="0" cy="0"/>
              <wp:effectExtent l="0" t="0" r="0" b="0"/>
              <wp:wrapNone/>
              <wp:docPr id="990" name="Line 4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398701" id="Line 449" o:spid="_x0000_s1026" alt="&quot;&quot;" style="position:absolute;z-index:25242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01/06/2014</w:t>
    </w:r>
    <w:r>
      <w:rPr>
        <w:sz w:val="18"/>
      </w:rPr>
      <w:tab/>
    </w:r>
    <w:r>
      <w:rPr>
        <w:sz w:val="18"/>
      </w:rPr>
      <w:tab/>
    </w:r>
  </w:p>
  <w:p w14:paraId="4ACDF487" w14:textId="50868F61"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81BCB1" w14:textId="2AADA1D9" w:rsidR="009C1A5C" w:rsidRPr="00836F12" w:rsidRDefault="009C1A5C" w:rsidP="00836F12">
    <w:pPr>
      <w:pStyle w:val="Footer"/>
      <w:pBdr>
        <w:top w:val="single" w:sz="4" w:space="1" w:color="auto"/>
      </w:pBdr>
      <w:tabs>
        <w:tab w:val="clear" w:pos="8640"/>
        <w:tab w:val="right" w:pos="9360"/>
      </w:tabs>
      <w:rPr>
        <w:rStyle w:val="PageNumber"/>
      </w:rPr>
    </w:pPr>
    <w:r>
      <w:rPr>
        <w:sz w:val="18"/>
      </w:rPr>
      <w:t>Updated 11/03/2021</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9-8</w:t>
    </w:r>
    <w:r>
      <w:rPr>
        <w:rStyle w:val="PageNumber"/>
      </w:rPr>
      <w:fldChar w:fldCharType="end"/>
    </w:r>
  </w:p>
  <w:p w14:paraId="2EEB2E60" w14:textId="380D48E4" w:rsidR="009C1A5C" w:rsidRPr="00836F12" w:rsidRDefault="009C1A5C" w:rsidP="00836F12">
    <w:pPr>
      <w:pStyle w:val="Footer"/>
    </w:pPr>
    <w:hyperlink w:anchor="TOC" w:history="1">
      <w:r w:rsidRPr="00B21B2A">
        <w:rPr>
          <w:rStyle w:val="Hyperlink"/>
          <w:sz w:val="18"/>
        </w:rPr>
        <w:t>Return to Table of Contents</w:t>
      </w:r>
    </w:hyperlink>
    <w:r>
      <w:rPr>
        <w:sz w:val="18"/>
      </w:rPr>
      <w:t xml:space="preserve"> </w:t>
    </w:r>
    <w:r>
      <w:rPr>
        <w:sz w:val="18"/>
      </w:rPr>
      <w:tab/>
    </w:r>
    <w:r>
      <w:rPr>
        <w:sz w:val="18"/>
      </w:rPr>
      <w:tab/>
    </w:r>
    <w:r>
      <w:rPr>
        <w:sz w:val="18"/>
      </w:rPr>
      <w:tab/>
    </w:r>
    <w:r>
      <w:rPr>
        <w:sz w:val="18"/>
      </w:rPr>
      <w:tab/>
    </w:r>
    <w:r>
      <w:rPr>
        <w:sz w:val="18"/>
      </w:rPr>
      <w:tab/>
    </w:r>
    <w:r>
      <w:rPr>
        <w:sz w:val="18"/>
      </w:rPr>
      <w:tab/>
    </w:r>
    <w:r>
      <w:rPr>
        <w:sz w:val="18"/>
      </w:rPr>
      <w:tab/>
    </w:r>
    <w:r w:rsidRPr="00836F12">
      <w:tab/>
    </w:r>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4A02A" w14:textId="0D14024C" w:rsidR="009C1A5C" w:rsidRDefault="009C1A5C" w:rsidP="003755B0">
    <w:pPr>
      <w:pStyle w:val="Footer"/>
      <w:framePr w:wrap="around" w:vAnchor="text" w:hAnchor="page" w:x="9661" w:y="55"/>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9-16</w:t>
    </w:r>
    <w:r>
      <w:rPr>
        <w:rStyle w:val="PageNumber"/>
      </w:rPr>
      <w:fldChar w:fldCharType="end"/>
    </w:r>
  </w:p>
  <w:p w14:paraId="0E64AF1A" w14:textId="766A1579"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35968" behindDoc="0" locked="0" layoutInCell="0" allowOverlap="1" wp14:anchorId="3D7DAD57" wp14:editId="75392730">
              <wp:simplePos x="0" y="0"/>
              <wp:positionH relativeFrom="column">
                <wp:posOffset>9525</wp:posOffset>
              </wp:positionH>
              <wp:positionV relativeFrom="paragraph">
                <wp:posOffset>-21590</wp:posOffset>
              </wp:positionV>
              <wp:extent cx="0" cy="0"/>
              <wp:effectExtent l="0" t="0" r="0" b="0"/>
              <wp:wrapNone/>
              <wp:docPr id="985" name="Line 36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B7EB66" id="Line 362" o:spid="_x0000_s1026" alt="&quot;&quot;" style="position:absolute;z-index:25243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07/27/2018</w:t>
    </w:r>
    <w:r>
      <w:rPr>
        <w:sz w:val="18"/>
      </w:rPr>
      <w:tab/>
    </w:r>
    <w:r>
      <w:rPr>
        <w:sz w:val="18"/>
      </w:rPr>
      <w:tab/>
    </w:r>
  </w:p>
  <w:p w14:paraId="4002B852" w14:textId="702CC11B"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AB4FA" w14:textId="77777777" w:rsidR="009C1A5C" w:rsidRDefault="009C1A5C" w:rsidP="007D5B45">
    <w:pPr>
      <w:pStyle w:val="Footer"/>
      <w:pBdr>
        <w:top w:val="single" w:sz="4" w:space="1" w:color="auto"/>
      </w:pBdr>
      <w:tabs>
        <w:tab w:val="clear" w:pos="8640"/>
        <w:tab w:val="right" w:pos="9360"/>
      </w:tabs>
      <w:rPr>
        <w:rStyle w:val="PageNumber"/>
      </w:rPr>
    </w:pPr>
    <w:r>
      <w:rPr>
        <w:sz w:val="18"/>
      </w:rPr>
      <w:t>Updated 10/16/2012</w:t>
    </w:r>
    <w:r>
      <w:rPr>
        <w:sz w:val="18"/>
      </w:rPr>
      <w:tab/>
    </w:r>
    <w:r>
      <w:rPr>
        <w:sz w:val="18"/>
      </w:rPr>
      <w:tab/>
    </w:r>
    <w:r>
      <w:rPr>
        <w:szCs w:val="22"/>
      </w:rPr>
      <w:t>9</w:t>
    </w:r>
    <w:r w:rsidRPr="00E847C7">
      <w:rPr>
        <w:szCs w:val="22"/>
      </w:rPr>
      <w:t>-</w:t>
    </w:r>
    <w:r>
      <w:rPr>
        <w:rStyle w:val="PageNumber"/>
      </w:rPr>
      <w:fldChar w:fldCharType="begin"/>
    </w:r>
    <w:r>
      <w:rPr>
        <w:rStyle w:val="PageNumber"/>
      </w:rPr>
      <w:instrText xml:space="preserve"> PAGE </w:instrText>
    </w:r>
    <w:r>
      <w:rPr>
        <w:rStyle w:val="PageNumber"/>
      </w:rPr>
      <w:fldChar w:fldCharType="separate"/>
    </w:r>
    <w:r>
      <w:rPr>
        <w:rStyle w:val="PageNumber"/>
        <w:noProof/>
      </w:rPr>
      <w:t>14</w:t>
    </w:r>
    <w:r>
      <w:rPr>
        <w:rStyle w:val="PageNumber"/>
      </w:rPr>
      <w:fldChar w:fldCharType="end"/>
    </w:r>
  </w:p>
  <w:p w14:paraId="6D5DE06A" w14:textId="0E9C77DC" w:rsidR="009C1A5C" w:rsidRDefault="009C1A5C" w:rsidP="007D5B45">
    <w:pPr>
      <w:pStyle w:val="Footer"/>
    </w:pPr>
    <w:hyperlink w:anchor="TOC" w:history="1">
      <w:r w:rsidRPr="00B21B2A">
        <w:rPr>
          <w:rStyle w:val="Hyperlink"/>
          <w:sz w:val="18"/>
        </w:rPr>
        <w:t>Return to Table of Contents</w:t>
      </w:r>
    </w:hyperlink>
    <w:r>
      <w:tab/>
    </w:r>
  </w:p>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1689F" w14:textId="7B3191C0" w:rsidR="009C1A5C" w:rsidRDefault="009C1A5C" w:rsidP="003755B0">
    <w:pPr>
      <w:pStyle w:val="Footer"/>
      <w:framePr w:wrap="around" w:vAnchor="text" w:hAnchor="page" w:x="9661" w:y="55"/>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9-18</w:t>
    </w:r>
    <w:r>
      <w:rPr>
        <w:rStyle w:val="PageNumber"/>
      </w:rPr>
      <w:fldChar w:fldCharType="end"/>
    </w:r>
  </w:p>
  <w:p w14:paraId="2C279991" w14:textId="77777777"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675584" behindDoc="0" locked="0" layoutInCell="0" allowOverlap="1" wp14:anchorId="2692002E" wp14:editId="2CA15C31">
              <wp:simplePos x="0" y="0"/>
              <wp:positionH relativeFrom="column">
                <wp:posOffset>9525</wp:posOffset>
              </wp:positionH>
              <wp:positionV relativeFrom="paragraph">
                <wp:posOffset>-21590</wp:posOffset>
              </wp:positionV>
              <wp:extent cx="0" cy="0"/>
              <wp:effectExtent l="0" t="0" r="0" b="0"/>
              <wp:wrapNone/>
              <wp:docPr id="335" name="Line 36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3AE96A" id="Line 362" o:spid="_x0000_s1026" alt="&quot;&quot;" style="position:absolute;z-index:25267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07/27/2018</w:t>
    </w:r>
    <w:r>
      <w:rPr>
        <w:sz w:val="18"/>
      </w:rPr>
      <w:tab/>
    </w:r>
    <w:r>
      <w:rPr>
        <w:sz w:val="18"/>
      </w:rPr>
      <w:tab/>
    </w:r>
  </w:p>
  <w:p w14:paraId="063B289F" w14:textId="77777777"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8524A" w14:textId="6017F4B4"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9-19</w:t>
    </w:r>
    <w:r>
      <w:rPr>
        <w:rStyle w:val="PageNumber"/>
      </w:rPr>
      <w:fldChar w:fldCharType="end"/>
    </w:r>
  </w:p>
  <w:p w14:paraId="088AE507" w14:textId="037C995A"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54400" behindDoc="0" locked="0" layoutInCell="0" allowOverlap="1" wp14:anchorId="29585A39" wp14:editId="455A921A">
              <wp:simplePos x="0" y="0"/>
              <wp:positionH relativeFrom="column">
                <wp:posOffset>9525</wp:posOffset>
              </wp:positionH>
              <wp:positionV relativeFrom="paragraph">
                <wp:posOffset>-21590</wp:posOffset>
              </wp:positionV>
              <wp:extent cx="0" cy="0"/>
              <wp:effectExtent l="0" t="0" r="0" b="0"/>
              <wp:wrapNone/>
              <wp:docPr id="979" name="Line 37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1D25F6" id="Line 375" o:spid="_x0000_s1026" alt="&quot;&quot;" style="position:absolute;z-index:25245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5/07/2014</w:t>
    </w:r>
    <w:r>
      <w:rPr>
        <w:sz w:val="18"/>
      </w:rPr>
      <w:tab/>
    </w:r>
    <w:r>
      <w:rPr>
        <w:sz w:val="18"/>
      </w:rPr>
      <w:tab/>
    </w:r>
  </w:p>
  <w:p w14:paraId="7BA5761D" w14:textId="74117BBB"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0F10C" w14:textId="75EDA188" w:rsidR="009C1A5C" w:rsidRDefault="009C1A5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2-3</w:t>
    </w:r>
    <w:r>
      <w:rPr>
        <w:rStyle w:val="PageNumber"/>
      </w:rPr>
      <w:fldChar w:fldCharType="end"/>
    </w:r>
  </w:p>
  <w:p w14:paraId="17092DFD" w14:textId="6C066A28" w:rsidR="009C1A5C" w:rsidRPr="004C0B53" w:rsidRDefault="009C1A5C" w:rsidP="004C0B53">
    <w:pPr>
      <w:pStyle w:val="Footer"/>
      <w:pBdr>
        <w:top w:val="single" w:sz="4" w:space="1" w:color="auto"/>
      </w:pBdr>
      <w:rPr>
        <w:rStyle w:val="PageNumber"/>
      </w:rPr>
    </w:pPr>
    <w:r>
      <w:rPr>
        <w:noProof/>
        <w:sz w:val="20"/>
      </w:rPr>
      <mc:AlternateContent>
        <mc:Choice Requires="wps">
          <w:drawing>
            <wp:anchor distT="0" distB="0" distL="114300" distR="114300" simplePos="0" relativeHeight="252269056" behindDoc="0" locked="0" layoutInCell="0" allowOverlap="1" wp14:anchorId="05A952A8" wp14:editId="7E6B6B96">
              <wp:simplePos x="0" y="0"/>
              <wp:positionH relativeFrom="column">
                <wp:posOffset>-9525</wp:posOffset>
              </wp:positionH>
              <wp:positionV relativeFrom="paragraph">
                <wp:posOffset>-34925</wp:posOffset>
              </wp:positionV>
              <wp:extent cx="0" cy="0"/>
              <wp:effectExtent l="0" t="0" r="0" b="0"/>
              <wp:wrapNone/>
              <wp:docPr id="1205" name="Line 9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93540B" id="Line 97" o:spid="_x0000_s1026" alt="&quot;&quot;" style="position:absolute;z-index:25226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sz w:val="18"/>
      </w:rPr>
      <w:t xml:space="preserve">Updated </w:t>
    </w:r>
    <w:r w:rsidR="001903A5">
      <w:rPr>
        <w:sz w:val="18"/>
      </w:rPr>
      <w:t>12</w:t>
    </w:r>
    <w:r>
      <w:rPr>
        <w:sz w:val="18"/>
      </w:rPr>
      <w:t>/</w:t>
    </w:r>
    <w:r w:rsidR="001903A5">
      <w:rPr>
        <w:sz w:val="18"/>
      </w:rPr>
      <w:t>13</w:t>
    </w:r>
    <w:r>
      <w:rPr>
        <w:sz w:val="18"/>
      </w:rPr>
      <w:t>/20</w:t>
    </w:r>
    <w:r w:rsidR="001903A5">
      <w:rPr>
        <w:sz w:val="18"/>
      </w:rPr>
      <w:t>24</w:t>
    </w:r>
  </w:p>
  <w:p w14:paraId="1955E2DD" w14:textId="1FD180E6" w:rsidR="009C1A5C" w:rsidRDefault="009C1A5C">
    <w:pPr>
      <w:pStyle w:val="Footer"/>
      <w:ind w:right="360"/>
      <w:rPr>
        <w:sz w:val="18"/>
      </w:rPr>
    </w:pPr>
    <w:r>
      <w:rPr>
        <w:noProof/>
        <w:sz w:val="20"/>
      </w:rPr>
      <mc:AlternateContent>
        <mc:Choice Requires="wps">
          <w:drawing>
            <wp:anchor distT="0" distB="0" distL="114300" distR="114300" simplePos="0" relativeHeight="252268032" behindDoc="0" locked="0" layoutInCell="0" allowOverlap="1" wp14:anchorId="361D0BBD" wp14:editId="7A0B684D">
              <wp:simplePos x="0" y="0"/>
              <wp:positionH relativeFrom="column">
                <wp:posOffset>9525</wp:posOffset>
              </wp:positionH>
              <wp:positionV relativeFrom="paragraph">
                <wp:posOffset>268605</wp:posOffset>
              </wp:positionV>
              <wp:extent cx="0" cy="0"/>
              <wp:effectExtent l="0" t="0" r="0" b="0"/>
              <wp:wrapNone/>
              <wp:docPr id="1204" name="Line 9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A91184" id="Line 96" o:spid="_x0000_s1026" alt="&quot;&quot;" style="position:absolute;z-index:25226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1.15pt" to=".75pt,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" o:allowincell="f"/>
          </w:pict>
        </mc:Fallback>
      </mc:AlternateContent>
    </w:r>
    <w:r>
      <w:rPr>
        <w:noProof/>
        <w:sz w:val="20"/>
      </w:rPr>
      <mc:AlternateContent>
        <mc:Choice Requires="wps">
          <w:drawing>
            <wp:anchor distT="0" distB="0" distL="114300" distR="114300" simplePos="0" relativeHeight="252270080" behindDoc="0" locked="0" layoutInCell="0" allowOverlap="1" wp14:anchorId="0EA95BA8" wp14:editId="22AD5A45">
              <wp:simplePos x="0" y="0"/>
              <wp:positionH relativeFrom="column">
                <wp:posOffset>69215</wp:posOffset>
              </wp:positionH>
              <wp:positionV relativeFrom="paragraph">
                <wp:posOffset>320040</wp:posOffset>
              </wp:positionV>
              <wp:extent cx="0" cy="0"/>
              <wp:effectExtent l="0" t="0" r="0" b="0"/>
              <wp:wrapNone/>
              <wp:docPr id="1206" name="Line 9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F7561B" id="Line 98" o:spid="_x0000_s1026" alt="&quot;&quot;" style="position:absolute;z-index:25227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5pt,25.2pt" to="5.4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71104" behindDoc="0" locked="0" layoutInCell="0" allowOverlap="1" wp14:anchorId="304EB6AD" wp14:editId="6F6CCC20">
              <wp:simplePos x="0" y="0"/>
              <wp:positionH relativeFrom="column">
                <wp:posOffset>67310</wp:posOffset>
              </wp:positionH>
              <wp:positionV relativeFrom="paragraph">
                <wp:posOffset>106680</wp:posOffset>
              </wp:positionV>
              <wp:extent cx="0" cy="0"/>
              <wp:effectExtent l="0" t="0" r="0" b="0"/>
              <wp:wrapNone/>
              <wp:docPr id="1207" name="Line 9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6C6840" id="Line 99" o:spid="_x0000_s1026" alt="&quot;&quot;" style="position:absolute;z-index:25227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pt,8.4pt" to="5.3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" o:allowincell="f"/>
          </w:pict>
        </mc:Fallback>
      </mc:AlternateContent>
    </w:r>
    <w:hyperlink w:anchor="TOC" w:history="1">
      <w:r w:rsidRPr="00B21B2A">
        <w:rPr>
          <w:rStyle w:val="Hyperlink"/>
          <w:sz w:val="18"/>
        </w:rPr>
        <w:t>Return to Table of Contents</w:t>
      </w:r>
    </w:hyperlink>
    <w:r>
      <w:tab/>
    </w:r>
    <w:r>
      <w:tab/>
    </w: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1BAD3" w14:textId="5771ED25"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9-21</w:t>
    </w:r>
    <w:r>
      <w:rPr>
        <w:rStyle w:val="PageNumber"/>
      </w:rPr>
      <w:fldChar w:fldCharType="end"/>
    </w:r>
  </w:p>
  <w:p w14:paraId="01CB7219" w14:textId="272E1448"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60544" behindDoc="0" locked="0" layoutInCell="0" allowOverlap="1" wp14:anchorId="2F3579B7" wp14:editId="3EA3C22B">
              <wp:simplePos x="0" y="0"/>
              <wp:positionH relativeFrom="column">
                <wp:posOffset>9525</wp:posOffset>
              </wp:positionH>
              <wp:positionV relativeFrom="paragraph">
                <wp:posOffset>-21590</wp:posOffset>
              </wp:positionV>
              <wp:extent cx="0" cy="0"/>
              <wp:effectExtent l="0" t="0" r="0" b="0"/>
              <wp:wrapNone/>
              <wp:docPr id="977" name="Line 37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D40F15" id="Line 376" o:spid="_x0000_s1026" alt="&quot;&quot;" style="position:absolute;z-index:25246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03/10/2014</w:t>
    </w:r>
    <w:r>
      <w:rPr>
        <w:sz w:val="18"/>
      </w:rPr>
      <w:tab/>
    </w:r>
    <w:r>
      <w:rPr>
        <w:sz w:val="18"/>
      </w:rPr>
      <w:tab/>
    </w:r>
  </w:p>
  <w:p w14:paraId="780B4BF9" w14:textId="42C0895F"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2CE63" w14:textId="1716EBB3"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9-22</w:t>
    </w:r>
    <w:r>
      <w:rPr>
        <w:rStyle w:val="PageNumber"/>
      </w:rPr>
      <w:fldChar w:fldCharType="end"/>
    </w:r>
  </w:p>
  <w:p w14:paraId="5D79D98F" w14:textId="00232106"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62592" behindDoc="0" locked="0" layoutInCell="0" allowOverlap="1" wp14:anchorId="2AF4A988" wp14:editId="2B5CB37B">
              <wp:simplePos x="0" y="0"/>
              <wp:positionH relativeFrom="column">
                <wp:posOffset>9525</wp:posOffset>
              </wp:positionH>
              <wp:positionV relativeFrom="paragraph">
                <wp:posOffset>-21590</wp:posOffset>
              </wp:positionV>
              <wp:extent cx="0" cy="0"/>
              <wp:effectExtent l="0" t="0" r="0" b="0"/>
              <wp:wrapNone/>
              <wp:docPr id="974" name="Line 37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05526E" id="Line 378" o:spid="_x0000_s1026" alt="&quot;&quot;" style="position:absolute;z-index:25246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03/31/2014</w:t>
    </w:r>
    <w:r>
      <w:rPr>
        <w:sz w:val="18"/>
      </w:rPr>
      <w:tab/>
    </w:r>
    <w:r>
      <w:rPr>
        <w:sz w:val="18"/>
      </w:rPr>
      <w:tab/>
    </w:r>
  </w:p>
  <w:p w14:paraId="0D77F10B" w14:textId="521F783A"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438B7" w14:textId="0DD9A86B"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9-23</w:t>
    </w:r>
    <w:r>
      <w:rPr>
        <w:rStyle w:val="PageNumber"/>
      </w:rPr>
      <w:fldChar w:fldCharType="end"/>
    </w:r>
  </w:p>
  <w:p w14:paraId="40E6ABAF" w14:textId="1E4B565F"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64640" behindDoc="0" locked="0" layoutInCell="0" allowOverlap="1" wp14:anchorId="248B5900" wp14:editId="1E5E3094">
              <wp:simplePos x="0" y="0"/>
              <wp:positionH relativeFrom="column">
                <wp:posOffset>9525</wp:posOffset>
              </wp:positionH>
              <wp:positionV relativeFrom="paragraph">
                <wp:posOffset>-21590</wp:posOffset>
              </wp:positionV>
              <wp:extent cx="0" cy="0"/>
              <wp:effectExtent l="0" t="0" r="0" b="0"/>
              <wp:wrapNone/>
              <wp:docPr id="3490" name="Line 38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4FD568" id="Line 384" o:spid="_x0000_s1026" alt="&quot;&quot;" style="position:absolute;z-index:25246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02/13/2018</w:t>
    </w:r>
    <w:r>
      <w:rPr>
        <w:sz w:val="18"/>
      </w:rPr>
      <w:tab/>
    </w:r>
    <w:r>
      <w:rPr>
        <w:sz w:val="18"/>
      </w:rPr>
      <w:tab/>
    </w:r>
  </w:p>
  <w:p w14:paraId="6A1594F2" w14:textId="4D855E4C"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F707D" w14:textId="31B0E443"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9-30</w:t>
    </w:r>
    <w:r>
      <w:rPr>
        <w:rStyle w:val="PageNumber"/>
      </w:rPr>
      <w:fldChar w:fldCharType="end"/>
    </w:r>
  </w:p>
  <w:p w14:paraId="4DD5B064" w14:textId="05ACADFE"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66688" behindDoc="0" locked="0" layoutInCell="0" allowOverlap="1" wp14:anchorId="3BEE8225" wp14:editId="6F96B1B3">
              <wp:simplePos x="0" y="0"/>
              <wp:positionH relativeFrom="column">
                <wp:posOffset>9525</wp:posOffset>
              </wp:positionH>
              <wp:positionV relativeFrom="paragraph">
                <wp:posOffset>-21590</wp:posOffset>
              </wp:positionV>
              <wp:extent cx="0" cy="0"/>
              <wp:effectExtent l="0" t="0" r="0" b="0"/>
              <wp:wrapNone/>
              <wp:docPr id="970" name="Line 40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EE1A70" id="Line 402" o:spid="_x0000_s1026" alt="&quot;&quot;" style="position:absolute;z-index:25246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02/13/2018</w:t>
    </w:r>
    <w:r>
      <w:rPr>
        <w:sz w:val="18"/>
      </w:rPr>
      <w:tab/>
    </w:r>
    <w:r>
      <w:rPr>
        <w:sz w:val="18"/>
      </w:rPr>
      <w:tab/>
    </w:r>
  </w:p>
  <w:p w14:paraId="674E7AEA" w14:textId="4A8A26CA"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FEF431" w14:textId="4BA5289B" w:rsidR="009C1A5C" w:rsidRDefault="009C1A5C">
    <w:pPr>
      <w:pStyle w:val="Footer"/>
      <w:framePr w:wrap="around" w:vAnchor="text" w:hAnchor="page" w:x="9751" w:y="29"/>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9-31</w:t>
    </w:r>
    <w:r>
      <w:rPr>
        <w:rStyle w:val="PageNumber"/>
      </w:rPr>
      <w:fldChar w:fldCharType="end"/>
    </w:r>
  </w:p>
  <w:p w14:paraId="46152D50" w14:textId="5E1AA874" w:rsidR="009C1A5C" w:rsidRPr="00836F12" w:rsidRDefault="009C1A5C" w:rsidP="00836F12">
    <w:pPr>
      <w:pStyle w:val="Footer"/>
      <w:pBdr>
        <w:top w:val="single" w:sz="4" w:space="1" w:color="auto"/>
      </w:pBdr>
      <w:tabs>
        <w:tab w:val="clear" w:pos="8640"/>
        <w:tab w:val="right" w:pos="9360"/>
      </w:tabs>
      <w:rPr>
        <w:rStyle w:val="PageNumber"/>
      </w:rPr>
    </w:pPr>
    <w:r>
      <w:rPr>
        <w:sz w:val="18"/>
      </w:rPr>
      <w:t xml:space="preserve">Updated </w:t>
    </w:r>
    <w:r>
      <w:rPr>
        <w:noProof/>
        <w:sz w:val="18"/>
      </w:rPr>
      <mc:AlternateContent>
        <mc:Choice Requires="wps">
          <w:drawing>
            <wp:anchor distT="0" distB="0" distL="114300" distR="114300" simplePos="0" relativeHeight="252468736" behindDoc="0" locked="0" layoutInCell="0" allowOverlap="1" wp14:anchorId="2D3B5B76" wp14:editId="032C0BB4">
              <wp:simplePos x="0" y="0"/>
              <wp:positionH relativeFrom="column">
                <wp:posOffset>9525</wp:posOffset>
              </wp:positionH>
              <wp:positionV relativeFrom="paragraph">
                <wp:posOffset>-21590</wp:posOffset>
              </wp:positionV>
              <wp:extent cx="0" cy="0"/>
              <wp:effectExtent l="0" t="0" r="0" b="0"/>
              <wp:wrapNone/>
              <wp:docPr id="968" name="Line 5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05128D" id="Line 536" o:spid="_x0000_s1026" alt="&quot;&quot;" style="position:absolute;z-index:25246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pt" to=".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" o:allowincell="f"/>
          </w:pict>
        </mc:Fallback>
      </mc:AlternateContent>
    </w:r>
    <w:r>
      <w:rPr>
        <w:sz w:val="18"/>
      </w:rPr>
      <w:t>11/26/2013</w:t>
    </w:r>
    <w:r>
      <w:rPr>
        <w:sz w:val="18"/>
      </w:rPr>
      <w:tab/>
    </w:r>
    <w:r>
      <w:rPr>
        <w:sz w:val="18"/>
      </w:rPr>
      <w:tab/>
    </w:r>
  </w:p>
  <w:p w14:paraId="23254A4D" w14:textId="35F4268D"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77BD12" w14:textId="2CB65631" w:rsidR="009C1A5C" w:rsidRDefault="009C1A5C">
    <w:pPr>
      <w:pStyle w:val="Footer"/>
      <w:framePr w:wrap="around" w:vAnchor="text" w:hAnchor="page" w:x="9751" w:y="-2"/>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9-32</w:t>
    </w:r>
    <w:r>
      <w:rPr>
        <w:rStyle w:val="PageNumber"/>
      </w:rPr>
      <w:fldChar w:fldCharType="end"/>
    </w:r>
  </w:p>
  <w:p w14:paraId="67DA0917" w14:textId="5EC8591B" w:rsidR="009C1A5C" w:rsidRPr="00836F12" w:rsidRDefault="009C1A5C" w:rsidP="00836F12">
    <w:pPr>
      <w:pStyle w:val="Footer"/>
      <w:pBdr>
        <w:top w:val="single" w:sz="4" w:space="1" w:color="auto"/>
      </w:pBdr>
      <w:tabs>
        <w:tab w:val="clear" w:pos="8640"/>
        <w:tab w:val="right" w:pos="9360"/>
      </w:tabs>
      <w:rPr>
        <w:rStyle w:val="PageNumber"/>
      </w:rPr>
    </w:pPr>
    <w:r>
      <w:rPr>
        <w:sz w:val="18"/>
      </w:rPr>
      <w:t>Updated 12/06/2012</w:t>
    </w:r>
    <w:r>
      <w:rPr>
        <w:sz w:val="18"/>
      </w:rPr>
      <w:tab/>
    </w:r>
    <w:r>
      <w:rPr>
        <w:sz w:val="18"/>
      </w:rPr>
      <w:tab/>
    </w:r>
  </w:p>
  <w:p w14:paraId="150049BF" w14:textId="280DFD60" w:rsidR="009C1A5C" w:rsidRPr="00836F12" w:rsidRDefault="009C1A5C" w:rsidP="00836F12">
    <w:pPr>
      <w:pStyle w:val="Footer"/>
    </w:pPr>
    <w:r>
      <w:rPr>
        <w:noProof/>
      </w:rPr>
      <mc:AlternateContent>
        <mc:Choice Requires="wps">
          <w:drawing>
            <wp:anchor distT="0" distB="0" distL="114300" distR="114300" simplePos="0" relativeHeight="252470784" behindDoc="0" locked="0" layoutInCell="0" allowOverlap="1" wp14:anchorId="0C400C15" wp14:editId="4BC9AC9E">
              <wp:simplePos x="0" y="0"/>
              <wp:positionH relativeFrom="column">
                <wp:posOffset>-9525</wp:posOffset>
              </wp:positionH>
              <wp:positionV relativeFrom="paragraph">
                <wp:posOffset>-182880</wp:posOffset>
              </wp:positionV>
              <wp:extent cx="0" cy="0"/>
              <wp:effectExtent l="0" t="0" r="0" b="0"/>
              <wp:wrapNone/>
              <wp:docPr id="966" name="Line 39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9EDC51" id="Line 392" o:spid="_x0000_s1026" alt="&quot;&quot;" style="position:absolute;z-index:25247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4.4pt" to="-.75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" o:allowincell="f"/>
          </w:pict>
        </mc:Fallback>
      </mc:AlternateContent>
    </w:r>
    <w:hyperlink w:anchor="TOC" w:history="1">
      <w:r w:rsidRPr="00B21B2A">
        <w:rPr>
          <w:rStyle w:val="Hyperlink"/>
          <w:sz w:val="18"/>
        </w:rPr>
        <w:t>Return to Table of Contents</w:t>
      </w:r>
    </w:hyperlink>
    <w:r>
      <w:tab/>
    </w:r>
    <w:r>
      <w:tab/>
    </w:r>
  </w:p>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FA65B" w14:textId="517575AA" w:rsidR="009C1A5C" w:rsidRPr="00836F12" w:rsidRDefault="009C1A5C" w:rsidP="00836F12">
    <w:pPr>
      <w:pStyle w:val="Footer"/>
      <w:pBdr>
        <w:top w:val="single" w:sz="4" w:space="1" w:color="auto"/>
      </w:pBdr>
      <w:tabs>
        <w:tab w:val="clear" w:pos="8640"/>
        <w:tab w:val="right" w:pos="9360"/>
      </w:tabs>
      <w:rPr>
        <w:rStyle w:val="PageNumber"/>
      </w:rPr>
    </w:pPr>
    <w:r>
      <w:rPr>
        <w:sz w:val="18"/>
      </w:rPr>
      <w:t>Updated 09/26/2013</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9-51</w:t>
    </w:r>
    <w:r>
      <w:rPr>
        <w:rStyle w:val="PageNumber"/>
      </w:rPr>
      <w:fldChar w:fldCharType="end"/>
    </w:r>
  </w:p>
  <w:p w14:paraId="376ED474" w14:textId="470F5A1E" w:rsidR="009C1A5C" w:rsidRPr="00836F12" w:rsidRDefault="009C1A5C" w:rsidP="00836F12">
    <w:pPr>
      <w:pStyle w:val="Footer"/>
    </w:pPr>
    <w:r>
      <w:rPr>
        <w:noProof/>
        <w:sz w:val="18"/>
      </w:rPr>
      <mc:AlternateContent>
        <mc:Choice Requires="wps">
          <w:drawing>
            <wp:anchor distT="0" distB="0" distL="114300" distR="114300" simplePos="0" relativeHeight="252472832" behindDoc="0" locked="0" layoutInCell="0" allowOverlap="1" wp14:anchorId="05C8910A" wp14:editId="12EFF408">
              <wp:simplePos x="0" y="0"/>
              <wp:positionH relativeFrom="column">
                <wp:posOffset>38100</wp:posOffset>
              </wp:positionH>
              <wp:positionV relativeFrom="paragraph">
                <wp:posOffset>-192405</wp:posOffset>
              </wp:positionV>
              <wp:extent cx="0" cy="0"/>
              <wp:effectExtent l="0" t="0" r="0" b="0"/>
              <wp:wrapNone/>
              <wp:docPr id="964" name="Line 19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2AE514" id="Line 194" o:spid="_x0000_s1026" alt="&quot;&quot;" style="position:absolute;z-index:25247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5.15pt" to="3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" o:allowincell="f"/>
          </w:pict>
        </mc:Fallback>
      </mc:AlternateContent>
    </w:r>
    <w:hyperlink w:anchor="TOC" w:history="1">
      <w:r w:rsidRPr="00B21B2A">
        <w:rPr>
          <w:rStyle w:val="Hyperlink"/>
          <w:sz w:val="18"/>
        </w:rPr>
        <w:t>Return to Table of Contents</w:t>
      </w:r>
    </w:hyperlink>
    <w:r>
      <w:rPr>
        <w:sz w:val="18"/>
      </w:rPr>
      <w:t xml:space="preserve"> </w:t>
    </w:r>
    <w:r>
      <w:rPr>
        <w:sz w:val="18"/>
      </w:rPr>
      <w:tab/>
    </w:r>
    <w:r>
      <w:rPr>
        <w:sz w:val="18"/>
      </w:rPr>
      <w:tab/>
    </w:r>
    <w:r>
      <w:rPr>
        <w:sz w:val="18"/>
      </w:rPr>
      <w:tab/>
    </w:r>
    <w:r w:rsidRPr="00836F12">
      <w:tab/>
    </w:r>
  </w:p>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689AD" w14:textId="796C3371" w:rsidR="009C1A5C" w:rsidRDefault="009C1A5C">
    <w:pPr>
      <w:pStyle w:val="Footer"/>
      <w:framePr w:wrap="around" w:vAnchor="text" w:hAnchor="page" w:x="9601" w:y="28"/>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9-55</w:t>
    </w:r>
    <w:r>
      <w:rPr>
        <w:rStyle w:val="PageNumber"/>
      </w:rPr>
      <w:fldChar w:fldCharType="end"/>
    </w:r>
  </w:p>
  <w:p w14:paraId="132DFA94" w14:textId="7489BBDC" w:rsidR="009C1A5C" w:rsidRPr="00836F12" w:rsidRDefault="009C1A5C" w:rsidP="00836F12">
    <w:pPr>
      <w:pStyle w:val="Footer"/>
      <w:pBdr>
        <w:top w:val="single" w:sz="4" w:space="1" w:color="auto"/>
      </w:pBdr>
      <w:tabs>
        <w:tab w:val="clear" w:pos="8640"/>
        <w:tab w:val="right" w:pos="9360"/>
      </w:tabs>
      <w:rPr>
        <w:rStyle w:val="PageNumber"/>
      </w:rPr>
    </w:pPr>
    <w:r>
      <w:rPr>
        <w:sz w:val="18"/>
      </w:rPr>
      <w:t>Updated 08/22/201</w:t>
    </w:r>
    <w:r>
      <w:rPr>
        <w:noProof/>
        <w:sz w:val="18"/>
      </w:rPr>
      <mc:AlternateContent>
        <mc:Choice Requires="wps">
          <w:drawing>
            <wp:anchor distT="0" distB="0" distL="114300" distR="114300" simplePos="0" relativeHeight="252474880" behindDoc="0" locked="0" layoutInCell="0" allowOverlap="1" wp14:anchorId="4D3A64F8" wp14:editId="513F9719">
              <wp:simplePos x="0" y="0"/>
              <wp:positionH relativeFrom="column">
                <wp:posOffset>-9525</wp:posOffset>
              </wp:positionH>
              <wp:positionV relativeFrom="paragraph">
                <wp:posOffset>-6350</wp:posOffset>
              </wp:positionV>
              <wp:extent cx="5467350" cy="0"/>
              <wp:effectExtent l="9525" t="6985" r="9525" b="12065"/>
              <wp:wrapNone/>
              <wp:docPr id="962" name="Line 49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5A9362" id="Line 499" o:spid="_x0000_s1026" alt="&quot;&quot;" style="position:absolute;z-index:25247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5pt" to="429.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" o:allowincell="f"/>
          </w:pict>
        </mc:Fallback>
      </mc:AlternateContent>
    </w:r>
    <w:r>
      <w:rPr>
        <w:sz w:val="18"/>
      </w:rPr>
      <w:t>8</w:t>
    </w:r>
    <w:r>
      <w:rPr>
        <w:sz w:val="18"/>
      </w:rPr>
      <w:tab/>
    </w:r>
    <w:r>
      <w:rPr>
        <w:sz w:val="18"/>
      </w:rPr>
      <w:tab/>
    </w:r>
  </w:p>
  <w:p w14:paraId="2BCA90D1" w14:textId="4551A849"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p>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1B4C0" w14:textId="768B6491" w:rsidR="009C1A5C" w:rsidRPr="00836F12" w:rsidRDefault="009C1A5C" w:rsidP="00836F12">
    <w:pPr>
      <w:pStyle w:val="Footer"/>
      <w:pBdr>
        <w:top w:val="single" w:sz="4" w:space="1" w:color="auto"/>
      </w:pBdr>
      <w:tabs>
        <w:tab w:val="clear" w:pos="8640"/>
        <w:tab w:val="right" w:pos="9360"/>
      </w:tabs>
      <w:rPr>
        <w:rStyle w:val="PageNumber"/>
      </w:rPr>
    </w:pPr>
    <w:r>
      <w:rPr>
        <w:sz w:val="18"/>
      </w:rPr>
      <w:t>Updated 06/14/201</w:t>
    </w:r>
    <w:r>
      <w:rPr>
        <w:noProof/>
        <w:sz w:val="18"/>
      </w:rPr>
      <mc:AlternateContent>
        <mc:Choice Requires="wps">
          <w:drawing>
            <wp:anchor distT="0" distB="0" distL="114300" distR="114300" simplePos="0" relativeHeight="252476928" behindDoc="0" locked="0" layoutInCell="0" allowOverlap="1" wp14:anchorId="0B020C86" wp14:editId="0F946C22">
              <wp:simplePos x="0" y="0"/>
              <wp:positionH relativeFrom="column">
                <wp:posOffset>38100</wp:posOffset>
              </wp:positionH>
              <wp:positionV relativeFrom="paragraph">
                <wp:posOffset>-15875</wp:posOffset>
              </wp:positionV>
              <wp:extent cx="0" cy="0"/>
              <wp:effectExtent l="0" t="0" r="0" b="0"/>
              <wp:wrapNone/>
              <wp:docPr id="960" name="Line 53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63D56A" id="Line 538" o:spid="_x0000_s1026" alt="&quot;&quot;" style="position:absolute;z-index:25247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25pt" to="3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" o:allowincell="f"/>
          </w:pict>
        </mc:Fallback>
      </mc:AlternateContent>
    </w:r>
    <w:r>
      <w:rPr>
        <w:sz w:val="18"/>
      </w:rPr>
      <w:t xml:space="preserve">8 </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9-64</w:t>
    </w:r>
    <w:r>
      <w:rPr>
        <w:rStyle w:val="PageNumber"/>
      </w:rPr>
      <w:fldChar w:fldCharType="end"/>
    </w:r>
  </w:p>
  <w:p w14:paraId="670AF1E9" w14:textId="3ECECD2C" w:rsidR="009C1A5C" w:rsidRPr="00836F12" w:rsidRDefault="009C1A5C" w:rsidP="00836F12">
    <w:pPr>
      <w:pStyle w:val="Footer"/>
    </w:pPr>
    <w:hyperlink w:anchor="TOC" w:history="1">
      <w:r w:rsidRPr="00B21B2A">
        <w:rPr>
          <w:rStyle w:val="Hyperlink"/>
          <w:sz w:val="18"/>
        </w:rPr>
        <w:t>Return to Table of Contents</w:t>
      </w:r>
    </w:hyperlink>
    <w:r w:rsidRPr="00836F12">
      <w:tab/>
    </w:r>
    <w:r>
      <w:rPr>
        <w:sz w:val="18"/>
      </w:rPr>
      <w:tab/>
    </w:r>
    <w:r>
      <w:rPr>
        <w:sz w:val="18"/>
      </w:rPr>
      <w:tab/>
    </w:r>
    <w:r>
      <w:rPr>
        <w:sz w:val="18"/>
      </w:rPr>
      <w:tab/>
    </w: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C1773A" w14:textId="5BD35AC3" w:rsidR="009C1A5C" w:rsidRDefault="009C1A5C" w:rsidP="00336AF9">
    <w:pPr>
      <w:pStyle w:val="Footer"/>
      <w:pBdr>
        <w:top w:val="single" w:sz="4" w:space="1" w:color="auto"/>
      </w:pBdr>
      <w:tabs>
        <w:tab w:val="clear" w:pos="8640"/>
        <w:tab w:val="right" w:pos="9360"/>
      </w:tabs>
      <w:rPr>
        <w:rStyle w:val="PageNumber"/>
      </w:rPr>
    </w:pPr>
    <w:r>
      <w:rPr>
        <w:sz w:val="18"/>
      </w:rPr>
      <w:t>Updated 06/01/2017</w:t>
    </w:r>
    <w:r>
      <w:rPr>
        <w:noProof/>
        <w:sz w:val="18"/>
      </w:rPr>
      <mc:AlternateContent>
        <mc:Choice Requires="wps">
          <w:drawing>
            <wp:anchor distT="0" distB="0" distL="114300" distR="114300" simplePos="0" relativeHeight="252483072" behindDoc="0" locked="0" layoutInCell="0" allowOverlap="1" wp14:anchorId="1EB1ADFC" wp14:editId="759ADDE5">
              <wp:simplePos x="0" y="0"/>
              <wp:positionH relativeFrom="column">
                <wp:posOffset>38100</wp:posOffset>
              </wp:positionH>
              <wp:positionV relativeFrom="paragraph">
                <wp:posOffset>-15875</wp:posOffset>
              </wp:positionV>
              <wp:extent cx="0" cy="0"/>
              <wp:effectExtent l="0" t="0" r="0" b="0"/>
              <wp:wrapNone/>
              <wp:docPr id="19" name="Line 4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393F7E" id="Line 464" o:spid="_x0000_s1026" alt="&quot;&quot;" style="position:absolute;z-index:25248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25pt" to="3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" o:allowincell="f"/>
          </w:pict>
        </mc:Fallback>
      </mc:AlternateContent>
    </w:r>
    <w:r>
      <w:rPr>
        <w:sz w:val="18"/>
      </w:rPr>
      <w:t xml:space="preserve"> </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9-67</w:t>
    </w:r>
    <w:r>
      <w:rPr>
        <w:rStyle w:val="PageNumber"/>
      </w:rPr>
      <w:fldChar w:fldCharType="end"/>
    </w:r>
  </w:p>
  <w:p w14:paraId="09AC5FA8" w14:textId="4CB088B0" w:rsidR="009C1A5C" w:rsidRPr="00836F12" w:rsidRDefault="009C1A5C" w:rsidP="00836F12">
    <w:pPr>
      <w:pStyle w:val="Footer"/>
    </w:pPr>
    <w:hyperlink w:anchor="TOC" w:history="1">
      <w:r w:rsidRPr="00B21B2A">
        <w:rPr>
          <w:rStyle w:val="Hyperlink"/>
          <w:sz w:val="18"/>
        </w:rPr>
        <w:t>Return to Table of Contents</w:t>
      </w:r>
    </w:hyperlink>
    <w:r w:rsidRPr="00836F12">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2358C" w14:textId="53C26AF7" w:rsidR="009C1A5C" w:rsidRDefault="009C1A5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2-5</w:t>
    </w:r>
    <w:r>
      <w:rPr>
        <w:rStyle w:val="PageNumber"/>
      </w:rPr>
      <w:fldChar w:fldCharType="end"/>
    </w:r>
  </w:p>
  <w:p w14:paraId="767FDCA6" w14:textId="213D6DFA" w:rsidR="009C1A5C" w:rsidRPr="004C0B53" w:rsidRDefault="009C1A5C" w:rsidP="004C0B53">
    <w:pPr>
      <w:pStyle w:val="Footer"/>
      <w:pBdr>
        <w:top w:val="single" w:sz="4" w:space="1" w:color="auto"/>
      </w:pBdr>
      <w:rPr>
        <w:rStyle w:val="PageNumber"/>
      </w:rPr>
    </w:pPr>
    <w:r>
      <w:rPr>
        <w:noProof/>
        <w:sz w:val="20"/>
      </w:rPr>
      <mc:AlternateContent>
        <mc:Choice Requires="wps">
          <w:drawing>
            <wp:anchor distT="0" distB="0" distL="114300" distR="114300" simplePos="0" relativeHeight="252276224" behindDoc="0" locked="0" layoutInCell="0" allowOverlap="1" wp14:anchorId="5497EC7F" wp14:editId="3BDFD745">
              <wp:simplePos x="0" y="0"/>
              <wp:positionH relativeFrom="column">
                <wp:posOffset>19050</wp:posOffset>
              </wp:positionH>
              <wp:positionV relativeFrom="paragraph">
                <wp:posOffset>-34925</wp:posOffset>
              </wp:positionV>
              <wp:extent cx="0" cy="0"/>
              <wp:effectExtent l="0" t="0" r="0" b="0"/>
              <wp:wrapNone/>
              <wp:docPr id="1202" name="Line 2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67AC87" id="Line 226" o:spid="_x0000_s1026" alt="&quot;&quot;" style="position:absolute;z-index:25227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75pt" to="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75200" behindDoc="0" locked="0" layoutInCell="0" allowOverlap="1" wp14:anchorId="5AED8344" wp14:editId="15523E6C">
              <wp:simplePos x="0" y="0"/>
              <wp:positionH relativeFrom="column">
                <wp:posOffset>-9525</wp:posOffset>
              </wp:positionH>
              <wp:positionV relativeFrom="paragraph">
                <wp:posOffset>-34925</wp:posOffset>
              </wp:positionV>
              <wp:extent cx="0" cy="0"/>
              <wp:effectExtent l="0" t="0" r="0" b="0"/>
              <wp:wrapNone/>
              <wp:docPr id="1201" name="Line 2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99D78A" id="Line 225" o:spid="_x0000_s1026" alt="&quot;&quot;" style="position:absolute;z-index:25227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74176" behindDoc="0" locked="0" layoutInCell="0" allowOverlap="1" wp14:anchorId="5A2C17C9" wp14:editId="0F316C3C">
              <wp:simplePos x="0" y="0"/>
              <wp:positionH relativeFrom="column">
                <wp:posOffset>-9525</wp:posOffset>
              </wp:positionH>
              <wp:positionV relativeFrom="paragraph">
                <wp:posOffset>-34925</wp:posOffset>
              </wp:positionV>
              <wp:extent cx="0" cy="0"/>
              <wp:effectExtent l="0" t="0" r="0" b="0"/>
              <wp:wrapNone/>
              <wp:docPr id="1200" name="Line 2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452559" id="Line 224" o:spid="_x0000_s1026" alt="&quot;&quot;" style="position:absolute;z-index:25227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75pt" to="-.7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" o:allowincell="f"/>
          </w:pict>
        </mc:Fallback>
      </mc:AlternateContent>
    </w:r>
    <w:r>
      <w:rPr>
        <w:noProof/>
        <w:sz w:val="20"/>
      </w:rPr>
      <mc:AlternateContent>
        <mc:Choice Requires="wps">
          <w:drawing>
            <wp:anchor distT="0" distB="0" distL="114300" distR="114300" simplePos="0" relativeHeight="252273152" behindDoc="0" locked="0" layoutInCell="0" allowOverlap="1" wp14:anchorId="60468D28" wp14:editId="7611F9B5">
              <wp:simplePos x="0" y="0"/>
              <wp:positionH relativeFrom="column">
                <wp:posOffset>9525</wp:posOffset>
              </wp:positionH>
              <wp:positionV relativeFrom="paragraph">
                <wp:posOffset>-31750</wp:posOffset>
              </wp:positionV>
              <wp:extent cx="0" cy="0"/>
              <wp:effectExtent l="0" t="0" r="0" b="0"/>
              <wp:wrapNone/>
              <wp:docPr id="1199" name="Line 2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87A35D" id="Line 223" o:spid="_x0000_s1026" alt="&quot;&quot;" style="position:absolute;z-index:25227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2.5pt" to=".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" o:allowincell="f"/>
          </w:pict>
        </mc:Fallback>
      </mc:AlternateContent>
    </w:r>
    <w:r>
      <w:rPr>
        <w:sz w:val="18"/>
      </w:rPr>
      <w:t>Updated 09/04/2013</w:t>
    </w:r>
    <w:r>
      <w:rPr>
        <w:sz w:val="18"/>
      </w:rPr>
      <w:tab/>
    </w:r>
    <w:r>
      <w:rPr>
        <w:sz w:val="18"/>
      </w:rPr>
      <w:tab/>
    </w:r>
  </w:p>
  <w:p w14:paraId="038B4C3F" w14:textId="77777777" w:rsidR="009C1A5C" w:rsidRDefault="009C1A5C">
    <w:pPr>
      <w:pStyle w:val="Footer"/>
      <w:ind w:right="360"/>
      <w:rPr>
        <w:sz w:val="18"/>
      </w:rPr>
    </w:pPr>
    <w:hyperlink w:anchor="TOC" w:history="1">
      <w:r w:rsidRPr="00B21B2A">
        <w:rPr>
          <w:rStyle w:val="Hyperlink"/>
          <w:sz w:val="18"/>
        </w:rPr>
        <w:t>Return to Table of Contents</w:t>
      </w:r>
    </w:hyperlink>
    <w:r>
      <w:tab/>
    </w:r>
    <w:r>
      <w:tab/>
    </w:r>
  </w:p>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389A4" w14:textId="1FFF7966" w:rsidR="009C1A5C" w:rsidRDefault="009C1A5C" w:rsidP="00336AF9">
    <w:pPr>
      <w:pStyle w:val="Footer"/>
      <w:pBdr>
        <w:top w:val="single" w:sz="4" w:space="1" w:color="auto"/>
      </w:pBdr>
      <w:tabs>
        <w:tab w:val="clear" w:pos="8640"/>
        <w:tab w:val="right" w:pos="9360"/>
      </w:tabs>
      <w:rPr>
        <w:rStyle w:val="PageNumber"/>
      </w:rPr>
    </w:pPr>
    <w:r>
      <w:rPr>
        <w:sz w:val="18"/>
      </w:rPr>
      <w:t xml:space="preserve">Updated </w:t>
    </w:r>
    <w:r w:rsidR="007675DB">
      <w:rPr>
        <w:sz w:val="18"/>
      </w:rPr>
      <w:t>04</w:t>
    </w:r>
    <w:r>
      <w:rPr>
        <w:sz w:val="18"/>
      </w:rPr>
      <w:t>/</w:t>
    </w:r>
    <w:r w:rsidR="007675DB">
      <w:rPr>
        <w:sz w:val="18"/>
      </w:rPr>
      <w:t>07</w:t>
    </w:r>
    <w:r>
      <w:rPr>
        <w:sz w:val="18"/>
      </w:rPr>
      <w:t>/202</w:t>
    </w:r>
    <w:r>
      <w:rPr>
        <w:noProof/>
        <w:sz w:val="18"/>
      </w:rPr>
      <mc:AlternateContent>
        <mc:Choice Requires="wps">
          <w:drawing>
            <wp:anchor distT="0" distB="0" distL="114300" distR="114300" simplePos="0" relativeHeight="252681728" behindDoc="0" locked="0" layoutInCell="0" allowOverlap="1" wp14:anchorId="1A89A63A" wp14:editId="41835039">
              <wp:simplePos x="0" y="0"/>
              <wp:positionH relativeFrom="column">
                <wp:posOffset>38100</wp:posOffset>
              </wp:positionH>
              <wp:positionV relativeFrom="paragraph">
                <wp:posOffset>-15875</wp:posOffset>
              </wp:positionV>
              <wp:extent cx="0" cy="0"/>
              <wp:effectExtent l="0" t="0" r="0" b="0"/>
              <wp:wrapNone/>
              <wp:docPr id="3306" name="Line 4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EF1867" id="Line 464" o:spid="_x0000_s1026" alt="&quot;&quot;" style="position:absolute;z-index:25268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25pt" to="3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" o:allowincell="f"/>
          </w:pict>
        </mc:Fallback>
      </mc:AlternateContent>
    </w:r>
    <w:r w:rsidR="007675DB">
      <w:rPr>
        <w:sz w:val="18"/>
      </w:rPr>
      <w:t>5</w:t>
    </w:r>
    <w:r>
      <w:rPr>
        <w:sz w:val="18"/>
      </w:rPr>
      <w:tab/>
    </w:r>
    <w:r>
      <w:rPr>
        <w:sz w:val="18"/>
      </w:rPr>
      <w:tab/>
    </w:r>
    <w:r>
      <w:rPr>
        <w:rStyle w:val="PageNumber"/>
      </w:rPr>
      <w:fldChar w:fldCharType="begin"/>
    </w:r>
    <w:r>
      <w:rPr>
        <w:rStyle w:val="PageNumber"/>
      </w:rPr>
      <w:instrText xml:space="preserve"> PAGE </w:instrText>
    </w:r>
    <w:r>
      <w:rPr>
        <w:rStyle w:val="PageNumber"/>
      </w:rPr>
      <w:fldChar w:fldCharType="separate"/>
    </w:r>
    <w:r>
      <w:rPr>
        <w:rStyle w:val="PageNumber"/>
        <w:noProof/>
      </w:rPr>
      <w:t>9-69</w:t>
    </w:r>
    <w:r>
      <w:rPr>
        <w:rStyle w:val="PageNumber"/>
      </w:rPr>
      <w:fldChar w:fldCharType="end"/>
    </w:r>
  </w:p>
  <w:p w14:paraId="2F243172" w14:textId="77777777" w:rsidR="009C1A5C" w:rsidRPr="00836F12" w:rsidRDefault="009C1A5C" w:rsidP="00836F12">
    <w:pPr>
      <w:pStyle w:val="Footer"/>
    </w:pPr>
    <w:hyperlink w:anchor="TOC" w:history="1">
      <w:r w:rsidRPr="00B21B2A">
        <w:rPr>
          <w:rStyle w:val="Hyperlink"/>
          <w:sz w:val="18"/>
        </w:rPr>
        <w:t>Return to Table of Contents</w:t>
      </w:r>
    </w:hyperlink>
    <w:r w:rsidRPr="00836F12">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50DC46" w14:textId="77777777" w:rsidR="007A31F5" w:rsidRDefault="007A31F5">
      <w:r>
        <w:separator/>
      </w:r>
    </w:p>
  </w:footnote>
  <w:footnote w:type="continuationSeparator" w:id="0">
    <w:p w14:paraId="18B015EE" w14:textId="77777777" w:rsidR="007A31F5" w:rsidRDefault="007A31F5">
      <w:r>
        <w:continuationSeparator/>
      </w:r>
    </w:p>
  </w:footnote>
  <w:footnote w:type="continuationNotice" w:id="1">
    <w:p w14:paraId="36520EDC" w14:textId="77777777" w:rsidR="007A31F5" w:rsidRDefault="007A31F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C494A8" w14:textId="396EE86A" w:rsidR="009C1A5C" w:rsidRDefault="009C1A5C" w:rsidP="00E9656E">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2F127" w14:textId="77777777" w:rsidR="009C1A5C" w:rsidRDefault="009C1A5C">
    <w:pPr>
      <w:pStyle w:val="Header"/>
    </w:pPr>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A15EA6" w14:textId="1B4B4DF5" w:rsidR="009C1A5C" w:rsidRDefault="009C1A5C" w:rsidP="00144071">
    <w:pPr>
      <w:pStyle w:val="Header"/>
      <w:jc w:val="right"/>
      <w:rPr>
        <w:sz w:val="18"/>
      </w:rPr>
    </w:pPr>
    <w:r>
      <w:rPr>
        <w:sz w:val="18"/>
      </w:rPr>
      <w:t>Appendices</w:t>
    </w:r>
  </w:p>
  <w:p w14:paraId="7EB8DCD8" w14:textId="4B897185" w:rsidR="009C1A5C" w:rsidRDefault="009C1A5C" w:rsidP="00144071">
    <w:pPr>
      <w:pStyle w:val="Header"/>
      <w:jc w:val="right"/>
    </w:pPr>
    <w:r>
      <w:rPr>
        <w:sz w:val="18"/>
      </w:rPr>
      <w:t>Section 13: Pavement Preservation and Rehabilitation Design Using AASHTO 1993</w:t>
    </w:r>
  </w:p>
  <w:p w14:paraId="14FD42CE" w14:textId="2DE1824D" w:rsidR="009C1A5C" w:rsidRDefault="009C1A5C" w:rsidP="00144071">
    <w:pPr>
      <w:pStyle w:val="Header"/>
      <w:jc w:val="right"/>
    </w:pPr>
  </w:p>
</w:hdr>
</file>

<file path=word/header1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03E7EB" w14:textId="13A99B81" w:rsidR="009C1A5C" w:rsidRDefault="009C1A5C">
    <w:pPr>
      <w:pStyle w:val="Header"/>
      <w:jc w:val="right"/>
      <w:rPr>
        <w:sz w:val="18"/>
      </w:rPr>
    </w:pPr>
  </w:p>
  <w:p w14:paraId="103D2357" w14:textId="56E33EFC" w:rsidR="009C1A5C" w:rsidRDefault="009C1A5C" w:rsidP="00144071">
    <w:pPr>
      <w:pStyle w:val="Header"/>
      <w:jc w:val="right"/>
      <w:rPr>
        <w:sz w:val="18"/>
      </w:rPr>
    </w:pPr>
    <w:r>
      <w:rPr>
        <w:sz w:val="18"/>
      </w:rPr>
      <w:t>Appendices</w:t>
    </w:r>
  </w:p>
  <w:p w14:paraId="1481682C" w14:textId="4E1BB97C" w:rsidR="009C1A5C" w:rsidRDefault="009C1A5C" w:rsidP="00144071">
    <w:pPr>
      <w:pStyle w:val="Header"/>
      <w:jc w:val="right"/>
    </w:pPr>
    <w:r>
      <w:rPr>
        <w:sz w:val="18"/>
      </w:rPr>
      <w:t>Section 14: References</w:t>
    </w:r>
  </w:p>
  <w:p w14:paraId="43860FDD" w14:textId="77777777" w:rsidR="009C1A5C" w:rsidRDefault="009C1A5C" w:rsidP="00144071">
    <w:pPr>
      <w:pStyle w:val="Header"/>
      <w:jc w:val="right"/>
    </w:pPr>
  </w:p>
</w:hdr>
</file>

<file path=word/header1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3E5A7D" w14:textId="377826F3" w:rsidR="009C1A5C" w:rsidRDefault="009C1A5C">
    <w:pPr>
      <w:pStyle w:val="Header"/>
      <w:jc w:val="right"/>
      <w:rPr>
        <w:sz w:val="18"/>
      </w:rPr>
    </w:pPr>
  </w:p>
  <w:p w14:paraId="5C22727B" w14:textId="77777777" w:rsidR="009C1A5C" w:rsidRDefault="009C1A5C" w:rsidP="00144071">
    <w:pPr>
      <w:pStyle w:val="Header"/>
      <w:jc w:val="right"/>
      <w:rPr>
        <w:sz w:val="18"/>
      </w:rPr>
    </w:pPr>
    <w:r>
      <w:rPr>
        <w:sz w:val="18"/>
      </w:rPr>
      <w:t>Appendices</w:t>
    </w:r>
  </w:p>
  <w:p w14:paraId="308EC94D" w14:textId="7F44C430" w:rsidR="009C1A5C" w:rsidRDefault="009C1A5C" w:rsidP="00144071">
    <w:pPr>
      <w:pStyle w:val="Header"/>
      <w:jc w:val="right"/>
    </w:pPr>
    <w:r>
      <w:rPr>
        <w:sz w:val="18"/>
      </w:rPr>
      <w:t>Section 1</w:t>
    </w:r>
    <w:r w:rsidR="00EF642D">
      <w:rPr>
        <w:sz w:val="18"/>
      </w:rPr>
      <w:t>5</w:t>
    </w:r>
    <w:r>
      <w:rPr>
        <w:sz w:val="18"/>
      </w:rPr>
      <w:t>: Change Log</w:t>
    </w:r>
  </w:p>
  <w:p w14:paraId="70CD6909" w14:textId="77777777" w:rsidR="009C1A5C" w:rsidRDefault="009C1A5C" w:rsidP="00144071">
    <w:pPr>
      <w:pStyle w:val="Header"/>
      <w:jc w:val="right"/>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3FEEE7" w14:textId="3E45C2F0" w:rsidR="009C1A5C" w:rsidRDefault="009C1A5C">
    <w:pPr>
      <w:pStyle w:val="Header"/>
      <w:ind w:left="3600"/>
      <w:jc w:val="right"/>
      <w:rPr>
        <w:sz w:val="18"/>
      </w:rPr>
    </w:pPr>
  </w:p>
  <w:p w14:paraId="46BCD0FC" w14:textId="77777777" w:rsidR="009C1A5C" w:rsidRDefault="009C1A5C">
    <w:pPr>
      <w:pStyle w:val="Header"/>
      <w:ind w:left="3600"/>
      <w:jc w:val="right"/>
      <w:rPr>
        <w:sz w:val="18"/>
      </w:rPr>
    </w:pPr>
  </w:p>
  <w:p w14:paraId="4825DD05" w14:textId="389E91A7" w:rsidR="009C1A5C" w:rsidRDefault="009C1A5C">
    <w:pPr>
      <w:pStyle w:val="Header"/>
      <w:ind w:left="3600"/>
      <w:jc w:val="right"/>
      <w:rPr>
        <w:sz w:val="18"/>
      </w:rPr>
    </w:pPr>
    <w:r>
      <w:rPr>
        <w:sz w:val="18"/>
      </w:rPr>
      <w:t xml:space="preserve">   </w:t>
    </w:r>
  </w:p>
  <w:p w14:paraId="6F9CE427" w14:textId="63DA271C" w:rsidR="009C1A5C" w:rsidRPr="004C0B53" w:rsidRDefault="009C1A5C">
    <w:pPr>
      <w:pStyle w:val="Header"/>
      <w:ind w:left="3600"/>
      <w:jc w:val="right"/>
    </w:pPr>
    <w:r>
      <w:rPr>
        <w:sz w:val="18"/>
      </w:rPr>
      <w:t>Preliminary Procedures</w:t>
    </w:r>
  </w:p>
  <w:p w14:paraId="028C6CDE" w14:textId="60392DD4" w:rsidR="009C1A5C" w:rsidRDefault="009C1A5C" w:rsidP="00A62430">
    <w:pPr>
      <w:pStyle w:val="Header"/>
      <w:jc w:val="right"/>
      <w:rPr>
        <w:sz w:val="18"/>
      </w:rPr>
    </w:pPr>
    <w:r>
      <w:rPr>
        <w:sz w:val="18"/>
      </w:rPr>
      <w:t>Section 07: Meeting Attendance –</w:t>
    </w:r>
  </w:p>
  <w:p w14:paraId="70E9961D" w14:textId="48626A14" w:rsidR="009C1A5C" w:rsidRPr="004C0B53" w:rsidRDefault="009C1A5C" w:rsidP="00A62430">
    <w:pPr>
      <w:pStyle w:val="Header"/>
      <w:jc w:val="right"/>
    </w:pPr>
    <w:r>
      <w:rPr>
        <w:sz w:val="18"/>
      </w:rPr>
      <w:t>Project Team Meetings</w:t>
    </w:r>
  </w:p>
  <w:p w14:paraId="4C30D0BE" w14:textId="0FBE9EE4" w:rsidR="009C1A5C" w:rsidRDefault="009C1A5C">
    <w:pPr>
      <w:pStyle w:val="Header"/>
      <w:ind w:left="3600"/>
      <w:jc w:val="right"/>
      <w:rPr>
        <w:sz w:val="20"/>
      </w:rPr>
    </w:pPr>
    <w:r>
      <w:rPr>
        <w:sz w:val="20"/>
      </w:rPr>
      <w:tab/>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0DF3B" w14:textId="77777777" w:rsidR="009C1A5C" w:rsidRDefault="009C1A5C">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2434B5" w14:textId="77777777" w:rsidR="009C1A5C" w:rsidRDefault="009C1A5C">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9F090" w14:textId="77777777" w:rsidR="009C1A5C" w:rsidRDefault="009C1A5C">
    <w:pPr>
      <w:pStyle w:val="Header"/>
      <w:ind w:left="3600"/>
      <w:jc w:val="right"/>
      <w:rPr>
        <w:sz w:val="18"/>
      </w:rPr>
    </w:pPr>
  </w:p>
  <w:p w14:paraId="5C4EA352" w14:textId="77777777" w:rsidR="009C1A5C" w:rsidRDefault="009C1A5C">
    <w:pPr>
      <w:pStyle w:val="Header"/>
      <w:ind w:left="3600"/>
      <w:jc w:val="right"/>
      <w:rPr>
        <w:sz w:val="18"/>
      </w:rPr>
    </w:pPr>
    <w:r>
      <w:rPr>
        <w:noProof/>
        <w:sz w:val="18"/>
      </w:rPr>
      <w:drawing>
        <wp:anchor distT="0" distB="0" distL="114300" distR="114300" simplePos="0" relativeHeight="251643904" behindDoc="0" locked="0" layoutInCell="1" allowOverlap="1" wp14:anchorId="42328BAA" wp14:editId="28BFAF49">
          <wp:simplePos x="0" y="0"/>
          <wp:positionH relativeFrom="column">
            <wp:posOffset>0</wp:posOffset>
          </wp:positionH>
          <wp:positionV relativeFrom="paragraph">
            <wp:posOffset>97155</wp:posOffset>
          </wp:positionV>
          <wp:extent cx="868680" cy="467360"/>
          <wp:effectExtent l="19050" t="0" r="7620" b="0"/>
          <wp:wrapTopAndBottom/>
          <wp:docPr id="1679" name="Picture 4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 name="Picture 47">
                    <a:extLst>
                      <a:ext uri="{C183D7F6-B498-43B3-948B-1728B52AA6E4}">
                        <adec:decorative xmlns:adec="http://schemas.microsoft.com/office/drawing/2017/decorative" val="1"/>
                      </a:ext>
                    </a:extLst>
                  </pic:cNvPr>
                  <pic:cNvPicPr>
                    <a:picLocks noChangeAspect="1" noChangeArrowheads="1"/>
                  </pic:cNvPicPr>
                </pic:nvPicPr>
                <pic:blipFill>
                  <a:blip r:embed="rId1"/>
                  <a:srcRect/>
                  <a:stretch>
                    <a:fillRect/>
                  </a:stretch>
                </pic:blipFill>
                <pic:spPr bwMode="auto">
                  <a:xfrm>
                    <a:off x="0" y="0"/>
                    <a:ext cx="868680" cy="467360"/>
                  </a:xfrm>
                  <a:prstGeom prst="rect">
                    <a:avLst/>
                  </a:prstGeom>
                  <a:noFill/>
                </pic:spPr>
              </pic:pic>
            </a:graphicData>
          </a:graphic>
        </wp:anchor>
      </w:drawing>
    </w:r>
  </w:p>
  <w:p w14:paraId="4FDC66EA" w14:textId="77777777" w:rsidR="009C1A5C" w:rsidRDefault="009C1A5C">
    <w:pPr>
      <w:pStyle w:val="Header"/>
      <w:ind w:left="3600"/>
      <w:jc w:val="right"/>
      <w:rPr>
        <w:sz w:val="18"/>
      </w:rPr>
    </w:pPr>
  </w:p>
  <w:p w14:paraId="55650EF3" w14:textId="77777777" w:rsidR="009C1A5C" w:rsidRDefault="009C1A5C">
    <w:pPr>
      <w:pStyle w:val="Header"/>
      <w:ind w:left="3600"/>
      <w:jc w:val="right"/>
      <w:rPr>
        <w:sz w:val="18"/>
      </w:rPr>
    </w:pPr>
    <w:r>
      <w:rPr>
        <w:sz w:val="18"/>
      </w:rPr>
      <w:t xml:space="preserve">   </w:t>
    </w:r>
  </w:p>
  <w:p w14:paraId="20FB685B" w14:textId="77777777" w:rsidR="009C1A5C" w:rsidRDefault="009C1A5C" w:rsidP="00233C4E">
    <w:pPr>
      <w:pStyle w:val="Header"/>
      <w:ind w:left="4320" w:firstLine="2880"/>
      <w:jc w:val="right"/>
      <w:rPr>
        <w:sz w:val="20"/>
      </w:rPr>
    </w:pPr>
    <w:r>
      <w:rPr>
        <w:noProof/>
        <w:sz w:val="20"/>
      </w:rPr>
      <mc:AlternateContent>
        <mc:Choice Requires="wps">
          <w:drawing>
            <wp:anchor distT="0" distB="0" distL="114300" distR="114300" simplePos="0" relativeHeight="251724288" behindDoc="0" locked="0" layoutInCell="1" allowOverlap="1" wp14:anchorId="2700B125" wp14:editId="5CB443BB">
              <wp:simplePos x="0" y="0"/>
              <wp:positionH relativeFrom="column">
                <wp:posOffset>0</wp:posOffset>
              </wp:positionH>
              <wp:positionV relativeFrom="paragraph">
                <wp:posOffset>160020</wp:posOffset>
              </wp:positionV>
              <wp:extent cx="6035040" cy="0"/>
              <wp:effectExtent l="9525" t="7620" r="13335" b="11430"/>
              <wp:wrapNone/>
              <wp:docPr id="248" name="Line 40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350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CDB70F" id="Line 407" o:spid="_x0000_s1026" alt="&quot;&quot;" style="position:absolute;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2.6pt" to="475.2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"/>
          </w:pict>
        </mc:Fallback>
      </mc:AlternateContent>
    </w:r>
    <w:r>
      <w:rPr>
        <w:sz w:val="18"/>
      </w:rPr>
      <w:t xml:space="preserve">    Requests for Field Work</w:t>
    </w:r>
    <w:r>
      <w:rPr>
        <w:sz w:val="20"/>
      </w:rPr>
      <w:tab/>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B0BA7" w14:textId="77777777" w:rsidR="009C1A5C" w:rsidRDefault="009C1A5C">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ACB73" w14:textId="77777777" w:rsidR="009C1A5C" w:rsidRDefault="009C1A5C">
    <w:pPr>
      <w:pStyle w:val="Header"/>
      <w:ind w:left="3600"/>
      <w:jc w:val="right"/>
      <w:rPr>
        <w:sz w:val="18"/>
      </w:rPr>
    </w:pPr>
  </w:p>
  <w:p w14:paraId="168BD2D2" w14:textId="77777777" w:rsidR="009C1A5C" w:rsidRDefault="009C1A5C">
    <w:pPr>
      <w:pStyle w:val="Header"/>
      <w:ind w:left="3600"/>
      <w:jc w:val="right"/>
      <w:rPr>
        <w:sz w:val="18"/>
      </w:rPr>
    </w:pPr>
    <w:r>
      <w:rPr>
        <w:noProof/>
        <w:sz w:val="18"/>
      </w:rPr>
      <w:drawing>
        <wp:anchor distT="0" distB="0" distL="114300" distR="114300" simplePos="0" relativeHeight="251644928" behindDoc="0" locked="0" layoutInCell="1" allowOverlap="1" wp14:anchorId="5A58C438" wp14:editId="0A975054">
          <wp:simplePos x="0" y="0"/>
          <wp:positionH relativeFrom="column">
            <wp:posOffset>0</wp:posOffset>
          </wp:positionH>
          <wp:positionV relativeFrom="paragraph">
            <wp:posOffset>97155</wp:posOffset>
          </wp:positionV>
          <wp:extent cx="868680" cy="467360"/>
          <wp:effectExtent l="19050" t="0" r="7620" b="0"/>
          <wp:wrapTopAndBottom/>
          <wp:docPr id="1680" name="Picture 168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 name="Picture 1680">
                    <a:extLst>
                      <a:ext uri="{C183D7F6-B498-43B3-948B-1728B52AA6E4}">
                        <adec:decorative xmlns:adec="http://schemas.microsoft.com/office/drawing/2017/decorative" val="1"/>
                      </a:ext>
                    </a:extLst>
                  </pic:cNvPr>
                  <pic:cNvPicPr>
                    <a:picLocks noChangeAspect="1" noChangeArrowheads="1"/>
                  </pic:cNvPicPr>
                </pic:nvPicPr>
                <pic:blipFill>
                  <a:blip r:embed="rId1"/>
                  <a:srcRect/>
                  <a:stretch>
                    <a:fillRect/>
                  </a:stretch>
                </pic:blipFill>
                <pic:spPr bwMode="auto">
                  <a:xfrm>
                    <a:off x="0" y="0"/>
                    <a:ext cx="868680" cy="467360"/>
                  </a:xfrm>
                  <a:prstGeom prst="rect">
                    <a:avLst/>
                  </a:prstGeom>
                  <a:noFill/>
                </pic:spPr>
              </pic:pic>
            </a:graphicData>
          </a:graphic>
        </wp:anchor>
      </w:drawing>
    </w:r>
  </w:p>
  <w:p w14:paraId="0D23862D" w14:textId="77777777" w:rsidR="009C1A5C" w:rsidRDefault="009C1A5C">
    <w:pPr>
      <w:pStyle w:val="Header"/>
      <w:ind w:left="3600"/>
      <w:jc w:val="right"/>
      <w:rPr>
        <w:sz w:val="18"/>
      </w:rPr>
    </w:pPr>
  </w:p>
  <w:p w14:paraId="26DF358E" w14:textId="77777777" w:rsidR="009C1A5C" w:rsidRDefault="009C1A5C">
    <w:pPr>
      <w:pStyle w:val="Header"/>
      <w:ind w:left="3600"/>
      <w:jc w:val="right"/>
      <w:rPr>
        <w:sz w:val="18"/>
      </w:rPr>
    </w:pPr>
    <w:r>
      <w:rPr>
        <w:sz w:val="18"/>
      </w:rPr>
      <w:t xml:space="preserve">   </w:t>
    </w:r>
  </w:p>
  <w:p w14:paraId="5C164DD1" w14:textId="77777777" w:rsidR="009C1A5C" w:rsidRDefault="009C1A5C" w:rsidP="00233C4E">
    <w:pPr>
      <w:pStyle w:val="Header"/>
      <w:ind w:left="4320" w:firstLine="2880"/>
      <w:jc w:val="right"/>
      <w:rPr>
        <w:sz w:val="20"/>
      </w:rPr>
    </w:pPr>
    <w:r>
      <w:rPr>
        <w:noProof/>
        <w:sz w:val="20"/>
      </w:rPr>
      <mc:AlternateContent>
        <mc:Choice Requires="wps">
          <w:drawing>
            <wp:anchor distT="0" distB="0" distL="114300" distR="114300" simplePos="0" relativeHeight="251725312" behindDoc="0" locked="0" layoutInCell="1" allowOverlap="1" wp14:anchorId="4EBB575B" wp14:editId="69F14F80">
              <wp:simplePos x="0" y="0"/>
              <wp:positionH relativeFrom="column">
                <wp:posOffset>0</wp:posOffset>
              </wp:positionH>
              <wp:positionV relativeFrom="paragraph">
                <wp:posOffset>160020</wp:posOffset>
              </wp:positionV>
              <wp:extent cx="6035040" cy="0"/>
              <wp:effectExtent l="9525" t="7620" r="13335" b="11430"/>
              <wp:wrapNone/>
              <wp:docPr id="247" name="Line 40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350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F9A640" id="Line 408" o:spid="_x0000_s1026" alt="&quot;&quot;" style="position:absolute;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2.6pt" to="475.2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"/>
          </w:pict>
        </mc:Fallback>
      </mc:AlternateContent>
    </w:r>
    <w:r>
      <w:rPr>
        <w:sz w:val="18"/>
      </w:rPr>
      <w:t xml:space="preserve">    Preliminary Procedures</w:t>
    </w:r>
    <w:r>
      <w:rPr>
        <w:sz w:val="20"/>
      </w:rPr>
      <w:tab/>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F27F8" w14:textId="4A072779" w:rsidR="009C1A5C" w:rsidRDefault="009C1A5C">
    <w:pPr>
      <w:pStyle w:val="Header"/>
      <w:ind w:left="3600"/>
      <w:jc w:val="right"/>
    </w:pPr>
    <w:r>
      <w:rPr>
        <w:noProof/>
      </w:rPr>
      <w:drawing>
        <wp:anchor distT="0" distB="0" distL="114300" distR="114300" simplePos="0" relativeHeight="252520960" behindDoc="1" locked="0" layoutInCell="1" allowOverlap="1" wp14:anchorId="4505DBFA" wp14:editId="6983C90C">
          <wp:simplePos x="0" y="0"/>
          <wp:positionH relativeFrom="column">
            <wp:posOffset>-13258800</wp:posOffset>
          </wp:positionH>
          <wp:positionV relativeFrom="paragraph">
            <wp:posOffset>-20935950</wp:posOffset>
          </wp:positionV>
          <wp:extent cx="2749550" cy="353060"/>
          <wp:effectExtent l="0" t="0" r="0" b="8890"/>
          <wp:wrapTight wrapText="bothSides">
            <wp:wrapPolygon edited="0">
              <wp:start x="0" y="0"/>
              <wp:lineTo x="0" y="20978"/>
              <wp:lineTo x="21400" y="20978"/>
              <wp:lineTo x="21400" y="0"/>
              <wp:lineTo x="0" y="0"/>
            </wp:wrapPolygon>
          </wp:wrapTight>
          <wp:docPr id="1681" name="Picture 168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 name="Picture 1681">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49550" cy="353060"/>
                  </a:xfrm>
                  <a:prstGeom prst="rect">
                    <a:avLst/>
                  </a:prstGeom>
                  <a:noFill/>
                  <a:ln>
                    <a:noFill/>
                  </a:ln>
                </pic:spPr>
              </pic:pic>
            </a:graphicData>
          </a:graphic>
        </wp:anchor>
      </w:drawing>
    </w:r>
    <w:r>
      <w:rPr>
        <w:sz w:val="18"/>
      </w:rPr>
      <w:t>Preliminary Procedures</w:t>
    </w:r>
  </w:p>
  <w:p w14:paraId="6D8D2A36" w14:textId="77777777" w:rsidR="009C1A5C" w:rsidRDefault="009C1A5C">
    <w:pPr>
      <w:pStyle w:val="Header"/>
      <w:jc w:val="right"/>
    </w:pPr>
    <w:r>
      <w:rPr>
        <w:sz w:val="18"/>
      </w:rPr>
      <w:t>Section 08: Initial Treatment Identification</w:t>
    </w:r>
  </w:p>
  <w:p w14:paraId="2151CA7E" w14:textId="0BAE0418" w:rsidR="009C1A5C" w:rsidRDefault="009C1A5C">
    <w:pPr>
      <w:pStyle w:val="Header"/>
      <w:ind w:left="3600"/>
      <w:jc w:val="right"/>
      <w:rPr>
        <w:sz w:val="2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62A62" w14:textId="55BDF5D7" w:rsidR="009C1A5C" w:rsidRDefault="009C1A5C">
    <w:pPr>
      <w:pStyle w:val="Header"/>
      <w:ind w:left="3600"/>
      <w:jc w:val="right"/>
      <w:rPr>
        <w:sz w:val="18"/>
      </w:rPr>
    </w:pPr>
  </w:p>
  <w:p w14:paraId="32C4C3B9" w14:textId="73B753D6" w:rsidR="009C1A5C" w:rsidRDefault="009C1A5C">
    <w:pPr>
      <w:pStyle w:val="Header"/>
      <w:ind w:left="3600"/>
      <w:jc w:val="right"/>
    </w:pPr>
    <w:r>
      <w:rPr>
        <w:sz w:val="18"/>
      </w:rPr>
      <w:t>Preliminary Procedures</w:t>
    </w:r>
  </w:p>
  <w:p w14:paraId="41956D0B" w14:textId="6AF6261F" w:rsidR="009C1A5C" w:rsidRDefault="009C1A5C">
    <w:pPr>
      <w:pStyle w:val="Header"/>
      <w:jc w:val="right"/>
    </w:pPr>
    <w:r>
      <w:rPr>
        <w:sz w:val="18"/>
      </w:rPr>
      <w:t>Section 08: Initial Treatment Identification</w:t>
    </w:r>
  </w:p>
  <w:p w14:paraId="1C851ADC" w14:textId="59D70FD0" w:rsidR="009C1A5C" w:rsidRPr="00836F12" w:rsidRDefault="009C1A5C" w:rsidP="00836F12">
    <w:pPr>
      <w:pStyle w:val="Header"/>
      <w:ind w:left="3600"/>
      <w:jc w:val="right"/>
      <w:rPr>
        <w:sz w:val="2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AC6A5" w14:textId="738D2AEB" w:rsidR="009C1A5C" w:rsidRDefault="009C1A5C">
    <w:pPr>
      <w:pStyle w:val="Header"/>
      <w:ind w:left="3600"/>
      <w:jc w:val="right"/>
      <w:rPr>
        <w:sz w:val="18"/>
      </w:rPr>
    </w:pPr>
  </w:p>
  <w:p w14:paraId="338364C9" w14:textId="61B74B0A" w:rsidR="009C1A5C" w:rsidRDefault="009C1A5C">
    <w:pPr>
      <w:pStyle w:val="Header"/>
      <w:ind w:left="3600"/>
      <w:jc w:val="right"/>
    </w:pPr>
    <w:r>
      <w:rPr>
        <w:sz w:val="18"/>
      </w:rPr>
      <w:t>Preliminary Procedures</w:t>
    </w:r>
  </w:p>
  <w:p w14:paraId="52BE5061" w14:textId="1D6592D1" w:rsidR="009C1A5C" w:rsidRDefault="009C1A5C">
    <w:pPr>
      <w:pStyle w:val="Header"/>
      <w:jc w:val="right"/>
    </w:pPr>
    <w:r>
      <w:rPr>
        <w:sz w:val="18"/>
      </w:rPr>
      <w:t>Section 08: Initial Treatment Identification</w:t>
    </w:r>
  </w:p>
  <w:p w14:paraId="6A1E7F83" w14:textId="5486126D" w:rsidR="009C1A5C" w:rsidRPr="00836F12" w:rsidRDefault="009C1A5C" w:rsidP="004C0B53">
    <w:pPr>
      <w:pStyle w:val="Header"/>
      <w:ind w:left="3600"/>
      <w:jc w:val="right"/>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843C0" w14:textId="5F245C41" w:rsidR="009C1A5C" w:rsidRDefault="009C1A5C">
    <w:pPr>
      <w:pStyle w:val="Header"/>
      <w:ind w:left="3600"/>
      <w:jc w:val="right"/>
      <w:rPr>
        <w:sz w:val="18"/>
      </w:rPr>
    </w:pPr>
    <w:r>
      <w:rPr>
        <w:sz w:val="18"/>
      </w:rPr>
      <w:t>Overview</w:t>
    </w:r>
  </w:p>
  <w:p w14:paraId="026BE07E" w14:textId="73E04253" w:rsidR="009C1A5C" w:rsidRDefault="009C1A5C">
    <w:pPr>
      <w:pStyle w:val="Header"/>
      <w:ind w:left="3600"/>
      <w:jc w:val="right"/>
      <w:rPr>
        <w:sz w:val="18"/>
      </w:rPr>
    </w:pPr>
    <w:r>
      <w:rPr>
        <w:sz w:val="18"/>
      </w:rPr>
      <w:t>Section 01: Introduction and Background</w:t>
    </w:r>
  </w:p>
  <w:p w14:paraId="0173946E" w14:textId="77777777" w:rsidR="00D75CB2" w:rsidRDefault="00D75CB2">
    <w:pPr>
      <w:pStyle w:val="Header"/>
      <w:ind w:left="3600"/>
      <w:jc w:val="right"/>
      <w:rPr>
        <w:sz w:val="18"/>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2D7695" w14:textId="09B47635" w:rsidR="009C1A5C" w:rsidRDefault="009C1A5C">
    <w:pPr>
      <w:pStyle w:val="Header"/>
      <w:ind w:left="3600"/>
      <w:jc w:val="right"/>
      <w:rPr>
        <w:sz w:val="18"/>
      </w:rPr>
    </w:pPr>
  </w:p>
  <w:p w14:paraId="122B2020" w14:textId="77777777" w:rsidR="009C1A5C" w:rsidRDefault="009C1A5C">
    <w:pPr>
      <w:pStyle w:val="Header"/>
      <w:ind w:left="3600"/>
      <w:jc w:val="right"/>
    </w:pPr>
    <w:r>
      <w:rPr>
        <w:sz w:val="18"/>
      </w:rPr>
      <w:t>Preliminary Procedures</w:t>
    </w:r>
  </w:p>
  <w:p w14:paraId="1B7C37FB" w14:textId="77777777" w:rsidR="009C1A5C" w:rsidRDefault="009C1A5C">
    <w:pPr>
      <w:pStyle w:val="Header"/>
      <w:jc w:val="right"/>
    </w:pPr>
    <w:r>
      <w:rPr>
        <w:sz w:val="18"/>
      </w:rPr>
      <w:t>Section 09: Supplemental Treatment Information</w:t>
    </w:r>
  </w:p>
  <w:p w14:paraId="077C4F2F" w14:textId="4428B037" w:rsidR="009C1A5C" w:rsidRDefault="009C1A5C">
    <w:pPr>
      <w:pStyle w:val="Header"/>
      <w:ind w:left="3600"/>
      <w:jc w:val="right"/>
      <w:rPr>
        <w:sz w:val="2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C2A6C" w14:textId="0F3E541E" w:rsidR="009C1A5C" w:rsidRDefault="009C1A5C">
    <w:pPr>
      <w:pStyle w:val="Header"/>
      <w:ind w:left="3600"/>
      <w:jc w:val="right"/>
      <w:rPr>
        <w:sz w:val="18"/>
      </w:rPr>
    </w:pPr>
  </w:p>
  <w:p w14:paraId="7A04776D" w14:textId="77777777" w:rsidR="009C1A5C" w:rsidRDefault="009C1A5C">
    <w:pPr>
      <w:pStyle w:val="Header"/>
      <w:ind w:left="3600"/>
      <w:jc w:val="right"/>
    </w:pPr>
    <w:r>
      <w:rPr>
        <w:sz w:val="18"/>
      </w:rPr>
      <w:t>Preliminary Procedures</w:t>
    </w:r>
  </w:p>
  <w:p w14:paraId="18669D17" w14:textId="77777777" w:rsidR="009C1A5C" w:rsidRDefault="009C1A5C">
    <w:pPr>
      <w:pStyle w:val="Header"/>
      <w:jc w:val="right"/>
    </w:pPr>
    <w:r>
      <w:rPr>
        <w:sz w:val="18"/>
      </w:rPr>
      <w:t>Section 10: Discussion/Selection Alternative with Project Owner</w:t>
    </w:r>
  </w:p>
  <w:p w14:paraId="33A54503" w14:textId="46D43753" w:rsidR="009C1A5C" w:rsidRDefault="009C1A5C">
    <w:pPr>
      <w:pStyle w:val="Header"/>
      <w:ind w:left="3600"/>
      <w:jc w:val="right"/>
      <w:rPr>
        <w:sz w:val="2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8D8C4" w14:textId="652DBE64" w:rsidR="009C1A5C" w:rsidRDefault="009C1A5C">
    <w:pPr>
      <w:pStyle w:val="Header"/>
      <w:ind w:left="3600"/>
      <w:jc w:val="right"/>
      <w:rPr>
        <w:sz w:val="18"/>
      </w:rPr>
    </w:pPr>
  </w:p>
  <w:p w14:paraId="6190B11E" w14:textId="77777777" w:rsidR="009C1A5C" w:rsidRDefault="009C1A5C">
    <w:pPr>
      <w:pStyle w:val="Header"/>
      <w:ind w:left="3600"/>
      <w:jc w:val="right"/>
    </w:pPr>
    <w:r>
      <w:rPr>
        <w:sz w:val="18"/>
      </w:rPr>
      <w:t>Testing &amp; Data Collection</w:t>
    </w:r>
  </w:p>
  <w:p w14:paraId="06E7A48B" w14:textId="5E1D483F" w:rsidR="009C1A5C" w:rsidRDefault="009C1A5C">
    <w:pPr>
      <w:pStyle w:val="Header"/>
      <w:jc w:val="right"/>
    </w:pPr>
    <w:r>
      <w:rPr>
        <w:sz w:val="18"/>
      </w:rPr>
      <w:t>Section 01: Required Pavement Testing Guidelines</w:t>
    </w:r>
  </w:p>
  <w:p w14:paraId="7FA01766" w14:textId="20B5423B" w:rsidR="009C1A5C" w:rsidRDefault="009C1A5C">
    <w:pPr>
      <w:pStyle w:val="Header"/>
      <w:ind w:left="3600"/>
      <w:jc w:val="right"/>
      <w:rPr>
        <w:sz w:val="2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C21A8" w14:textId="26EDE4B6" w:rsidR="009C1A5C" w:rsidRDefault="009C1A5C">
    <w:pPr>
      <w:pStyle w:val="Header"/>
      <w:ind w:left="3600"/>
      <w:jc w:val="right"/>
      <w:rPr>
        <w:sz w:val="18"/>
      </w:rPr>
    </w:pPr>
  </w:p>
  <w:p w14:paraId="7DE41E2B" w14:textId="77777777" w:rsidR="009C1A5C" w:rsidRDefault="009C1A5C">
    <w:pPr>
      <w:pStyle w:val="Header"/>
      <w:ind w:left="3600"/>
      <w:jc w:val="right"/>
    </w:pPr>
    <w:r>
      <w:rPr>
        <w:sz w:val="18"/>
      </w:rPr>
      <w:t>Testing &amp; Data Collection</w:t>
    </w:r>
  </w:p>
  <w:p w14:paraId="3366464B" w14:textId="77777777" w:rsidR="009C1A5C" w:rsidRDefault="009C1A5C">
    <w:pPr>
      <w:pStyle w:val="Header"/>
      <w:jc w:val="right"/>
    </w:pPr>
    <w:r>
      <w:rPr>
        <w:sz w:val="18"/>
      </w:rPr>
      <w:t>Section 02: Visual Pavement Condition Assessment</w:t>
    </w:r>
  </w:p>
  <w:p w14:paraId="75A369A9" w14:textId="0D811BEF" w:rsidR="009C1A5C" w:rsidRDefault="009C1A5C">
    <w:pPr>
      <w:pStyle w:val="Header"/>
      <w:ind w:left="3600"/>
      <w:jc w:val="right"/>
      <w:rPr>
        <w:sz w:val="2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3D02A6" w14:textId="0F6BE08E" w:rsidR="009C1A5C" w:rsidRDefault="009C1A5C">
    <w:pPr>
      <w:pStyle w:val="Header"/>
      <w:ind w:left="3600"/>
      <w:jc w:val="right"/>
      <w:rPr>
        <w:sz w:val="18"/>
      </w:rPr>
    </w:pPr>
  </w:p>
  <w:p w14:paraId="3D9B48C3" w14:textId="77777777" w:rsidR="009C1A5C" w:rsidRDefault="009C1A5C">
    <w:pPr>
      <w:pStyle w:val="Header"/>
      <w:ind w:left="3600"/>
      <w:jc w:val="right"/>
    </w:pPr>
    <w:r>
      <w:rPr>
        <w:sz w:val="18"/>
      </w:rPr>
      <w:t>Testing &amp; Data Collection</w:t>
    </w:r>
  </w:p>
  <w:p w14:paraId="09432BFF" w14:textId="77777777" w:rsidR="009C1A5C" w:rsidRDefault="009C1A5C">
    <w:pPr>
      <w:pStyle w:val="Header"/>
      <w:jc w:val="right"/>
    </w:pPr>
    <w:r>
      <w:rPr>
        <w:sz w:val="18"/>
      </w:rPr>
      <w:t>Section 03: Patching Survey</w:t>
    </w:r>
  </w:p>
  <w:p w14:paraId="70FB903A" w14:textId="076E498C" w:rsidR="009C1A5C" w:rsidRDefault="009C1A5C">
    <w:pPr>
      <w:pStyle w:val="Header"/>
      <w:ind w:left="3600"/>
      <w:jc w:val="right"/>
      <w:rPr>
        <w:sz w:val="2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C7253" w14:textId="3892512C" w:rsidR="009C1A5C" w:rsidRDefault="009C1A5C">
    <w:pPr>
      <w:pStyle w:val="Header"/>
      <w:ind w:left="3600"/>
      <w:jc w:val="right"/>
      <w:rPr>
        <w:sz w:val="18"/>
      </w:rPr>
    </w:pPr>
  </w:p>
  <w:p w14:paraId="1B3AA5C2" w14:textId="77777777" w:rsidR="009C1A5C" w:rsidRDefault="009C1A5C">
    <w:pPr>
      <w:pStyle w:val="Header"/>
      <w:ind w:left="3600"/>
      <w:jc w:val="right"/>
    </w:pPr>
    <w:r>
      <w:rPr>
        <w:sz w:val="18"/>
      </w:rPr>
      <w:t>Testing &amp; Data Collection</w:t>
    </w:r>
  </w:p>
  <w:p w14:paraId="33F5C185" w14:textId="77777777" w:rsidR="009C1A5C" w:rsidRDefault="009C1A5C">
    <w:pPr>
      <w:pStyle w:val="Header"/>
      <w:jc w:val="right"/>
    </w:pPr>
    <w:r>
      <w:rPr>
        <w:sz w:val="18"/>
      </w:rPr>
      <w:t>Section 04: Falling Weight Deflectometer (FWD) Testing</w:t>
    </w:r>
  </w:p>
  <w:p w14:paraId="760DCE13" w14:textId="63FD0A79" w:rsidR="009C1A5C" w:rsidRDefault="009C1A5C">
    <w:pPr>
      <w:pStyle w:val="Header"/>
      <w:ind w:left="3600"/>
      <w:jc w:val="right"/>
      <w:rPr>
        <w:sz w:val="2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16851" w14:textId="1F01E257" w:rsidR="009C1A5C" w:rsidRDefault="009C1A5C">
    <w:pPr>
      <w:pStyle w:val="Header"/>
      <w:ind w:left="3600"/>
      <w:jc w:val="right"/>
      <w:rPr>
        <w:sz w:val="18"/>
      </w:rPr>
    </w:pPr>
  </w:p>
  <w:p w14:paraId="10BBCB30" w14:textId="77777777" w:rsidR="009C1A5C" w:rsidRDefault="009C1A5C">
    <w:pPr>
      <w:pStyle w:val="Header"/>
      <w:ind w:left="3600"/>
      <w:jc w:val="right"/>
    </w:pPr>
    <w:r>
      <w:rPr>
        <w:sz w:val="18"/>
      </w:rPr>
      <w:t>Testing &amp; Data Collection</w:t>
    </w:r>
  </w:p>
  <w:p w14:paraId="0F6EA929" w14:textId="77777777" w:rsidR="009C1A5C" w:rsidRDefault="009C1A5C">
    <w:pPr>
      <w:pStyle w:val="Header"/>
      <w:jc w:val="right"/>
    </w:pPr>
    <w:r>
      <w:rPr>
        <w:sz w:val="18"/>
      </w:rPr>
      <w:t>Section 05: Requests for Pavement Field Work</w:t>
    </w:r>
  </w:p>
  <w:p w14:paraId="235C50A1" w14:textId="35C42382" w:rsidR="009C1A5C" w:rsidRDefault="009C1A5C">
    <w:pPr>
      <w:pStyle w:val="Header"/>
      <w:ind w:left="3600"/>
      <w:jc w:val="right"/>
      <w:rPr>
        <w:sz w:val="2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CF7BE" w14:textId="2654DE80" w:rsidR="009C1A5C" w:rsidRDefault="009C1A5C">
    <w:pPr>
      <w:pStyle w:val="Header"/>
      <w:ind w:left="3600"/>
      <w:jc w:val="right"/>
    </w:pPr>
    <w:r>
      <w:rPr>
        <w:sz w:val="18"/>
      </w:rPr>
      <w:t>Testing &amp; Data Collection</w:t>
    </w:r>
  </w:p>
  <w:p w14:paraId="75D927B6" w14:textId="26341B8E" w:rsidR="009C1A5C" w:rsidRDefault="009C1A5C">
    <w:pPr>
      <w:pStyle w:val="Header"/>
      <w:jc w:val="right"/>
    </w:pPr>
    <w:r>
      <w:rPr>
        <w:sz w:val="18"/>
      </w:rPr>
      <w:t>Section 06: Geotechnical Investigation Scoping</w:t>
    </w:r>
  </w:p>
  <w:p w14:paraId="26D55C57" w14:textId="3D2243B4" w:rsidR="009C1A5C" w:rsidRDefault="009C1A5C">
    <w:pPr>
      <w:pStyle w:val="Header"/>
      <w:ind w:left="3600"/>
      <w:jc w:val="right"/>
      <w:rPr>
        <w:sz w:val="2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912C8" w14:textId="20E8A580" w:rsidR="009C1A5C" w:rsidRDefault="009C1A5C">
    <w:pPr>
      <w:pStyle w:val="Header"/>
      <w:ind w:left="3600"/>
      <w:jc w:val="right"/>
      <w:rPr>
        <w:sz w:val="18"/>
      </w:rPr>
    </w:pPr>
  </w:p>
  <w:p w14:paraId="33226497" w14:textId="77777777" w:rsidR="009C1A5C" w:rsidRDefault="009C1A5C">
    <w:pPr>
      <w:pStyle w:val="Header"/>
      <w:ind w:left="3600"/>
      <w:jc w:val="right"/>
    </w:pPr>
    <w:r>
      <w:rPr>
        <w:sz w:val="18"/>
      </w:rPr>
      <w:t>Testing &amp; Data Collection</w:t>
    </w:r>
  </w:p>
  <w:p w14:paraId="4979B7EB" w14:textId="497C1750" w:rsidR="009C1A5C" w:rsidRDefault="009C1A5C">
    <w:pPr>
      <w:pStyle w:val="Header"/>
      <w:jc w:val="right"/>
    </w:pPr>
    <w:r>
      <w:rPr>
        <w:sz w:val="18"/>
      </w:rPr>
      <w:t>Section 07: Geophysical Investigation</w:t>
    </w:r>
  </w:p>
  <w:p w14:paraId="5D917BA6" w14:textId="24D2345F" w:rsidR="009C1A5C" w:rsidRDefault="009C1A5C">
    <w:pPr>
      <w:pStyle w:val="Header"/>
      <w:ind w:left="3600"/>
      <w:jc w:val="right"/>
      <w:rPr>
        <w:sz w:val="2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BF7F72" w14:textId="1821E08A" w:rsidR="009C1A5C" w:rsidRDefault="009C1A5C">
    <w:pPr>
      <w:pStyle w:val="Header"/>
      <w:ind w:left="3600"/>
      <w:jc w:val="right"/>
      <w:rPr>
        <w:sz w:val="18"/>
      </w:rPr>
    </w:pPr>
  </w:p>
  <w:p w14:paraId="5ACDA49A" w14:textId="77777777" w:rsidR="009C1A5C" w:rsidRDefault="009C1A5C">
    <w:pPr>
      <w:pStyle w:val="Header"/>
      <w:ind w:left="3600"/>
      <w:jc w:val="right"/>
    </w:pPr>
    <w:r>
      <w:rPr>
        <w:sz w:val="18"/>
      </w:rPr>
      <w:t>Testing &amp; Data Collection</w:t>
    </w:r>
  </w:p>
  <w:p w14:paraId="1E3090C6" w14:textId="7EFB439A" w:rsidR="009C1A5C" w:rsidRDefault="009C1A5C">
    <w:pPr>
      <w:pStyle w:val="Header"/>
      <w:jc w:val="right"/>
    </w:pPr>
    <w:r>
      <w:rPr>
        <w:sz w:val="18"/>
      </w:rPr>
      <w:t>Section 08: Requests for Geotechnical Field Work</w:t>
    </w:r>
  </w:p>
  <w:p w14:paraId="482EB3D3" w14:textId="5557269E" w:rsidR="009C1A5C" w:rsidRDefault="009C1A5C">
    <w:pPr>
      <w:pStyle w:val="Header"/>
      <w:ind w:left="3600"/>
      <w:jc w:val="right"/>
      <w:rPr>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BA1526" w14:textId="6E731783" w:rsidR="009C1A5C" w:rsidRDefault="009C1A5C" w:rsidP="00160E58">
    <w:pPr>
      <w:pStyle w:val="Header"/>
      <w:ind w:left="3600"/>
      <w:jc w:val="right"/>
      <w:rPr>
        <w:sz w:val="18"/>
      </w:rPr>
    </w:pPr>
    <w:r>
      <w:rPr>
        <w:sz w:val="18"/>
      </w:rPr>
      <w:t>Overview</w:t>
    </w:r>
  </w:p>
  <w:p w14:paraId="29CA19FD" w14:textId="4A57890B" w:rsidR="009C1A5C" w:rsidRDefault="009C1A5C" w:rsidP="00160E58">
    <w:pPr>
      <w:pStyle w:val="Header"/>
      <w:ind w:left="2880"/>
      <w:jc w:val="right"/>
      <w:rPr>
        <w:sz w:val="20"/>
      </w:rPr>
    </w:pPr>
    <w:r>
      <w:rPr>
        <w:sz w:val="18"/>
      </w:rPr>
      <w:t>Section 02: MDSHA Pavement &amp; Geotechnical Design Overview</w:t>
    </w:r>
    <w:r>
      <w:rPr>
        <w:noProof/>
        <w:sz w:val="18"/>
      </w:rPr>
      <w:t xml:space="preserve"> </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94C17" w14:textId="66AFDB15" w:rsidR="009C1A5C" w:rsidRDefault="009C1A5C">
    <w:pPr>
      <w:pStyle w:val="Header"/>
      <w:ind w:left="3600"/>
      <w:jc w:val="right"/>
      <w:rPr>
        <w:sz w:val="18"/>
      </w:rPr>
    </w:pPr>
  </w:p>
  <w:p w14:paraId="27F8F7EE" w14:textId="77777777" w:rsidR="009C1A5C" w:rsidRDefault="009C1A5C">
    <w:pPr>
      <w:pStyle w:val="Header"/>
      <w:ind w:left="3600"/>
      <w:jc w:val="right"/>
    </w:pPr>
    <w:r>
      <w:rPr>
        <w:sz w:val="18"/>
      </w:rPr>
      <w:t>Testing &amp; Data Collection</w:t>
    </w:r>
  </w:p>
  <w:p w14:paraId="154C3CAE" w14:textId="5049D8BE" w:rsidR="009C1A5C" w:rsidRDefault="009C1A5C">
    <w:pPr>
      <w:pStyle w:val="Header"/>
      <w:jc w:val="right"/>
    </w:pPr>
    <w:r>
      <w:rPr>
        <w:sz w:val="18"/>
      </w:rPr>
      <w:t>Section 09: Requests for Lab Work</w:t>
    </w:r>
  </w:p>
  <w:p w14:paraId="28C0A32C" w14:textId="67394572" w:rsidR="009C1A5C" w:rsidRDefault="009C1A5C">
    <w:pPr>
      <w:pStyle w:val="Header"/>
      <w:ind w:left="3600"/>
      <w:jc w:val="right"/>
      <w:rPr>
        <w:sz w:val="2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45728" w14:textId="0374A360" w:rsidR="009C1A5C" w:rsidRDefault="009C1A5C" w:rsidP="000B7767">
    <w:pPr>
      <w:pStyle w:val="Header"/>
      <w:ind w:left="3600"/>
      <w:jc w:val="right"/>
      <w:rPr>
        <w:sz w:val="18"/>
      </w:rPr>
    </w:pPr>
  </w:p>
  <w:p w14:paraId="784DFB97" w14:textId="5AF04505" w:rsidR="009C1A5C" w:rsidRDefault="009C1A5C" w:rsidP="000B7767">
    <w:pPr>
      <w:pStyle w:val="Header"/>
      <w:ind w:left="3600"/>
      <w:jc w:val="right"/>
      <w:rPr>
        <w:sz w:val="18"/>
      </w:rPr>
    </w:pPr>
    <w:r>
      <w:rPr>
        <w:sz w:val="18"/>
      </w:rPr>
      <w:t>Materials and Typical Design Properties</w:t>
    </w:r>
  </w:p>
  <w:p w14:paraId="62B9C81D" w14:textId="77777777" w:rsidR="009C1A5C" w:rsidRPr="000B7767" w:rsidRDefault="009C1A5C" w:rsidP="000B7767">
    <w:pPr>
      <w:pStyle w:val="Header"/>
      <w:ind w:left="3600"/>
      <w:jc w:val="right"/>
      <w:rPr>
        <w:sz w:val="18"/>
      </w:rPr>
    </w:pPr>
    <w:r w:rsidRPr="000B7767">
      <w:rPr>
        <w:sz w:val="18"/>
      </w:rPr>
      <w:t>Section 01: Material Description</w:t>
    </w:r>
  </w:p>
  <w:p w14:paraId="0C3EEEE8" w14:textId="35FD30E4" w:rsidR="009C1A5C" w:rsidRDefault="009C1A5C">
    <w:pPr>
      <w:pStyle w:val="Header"/>
      <w:ind w:left="3600"/>
      <w:jc w:val="right"/>
      <w:rPr>
        <w:sz w:val="2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091F1" w14:textId="2CAC5F2F" w:rsidR="009C1A5C" w:rsidRDefault="009C1A5C" w:rsidP="000B7767">
    <w:pPr>
      <w:pStyle w:val="Header"/>
      <w:ind w:left="3600"/>
      <w:jc w:val="right"/>
      <w:rPr>
        <w:sz w:val="18"/>
      </w:rPr>
    </w:pPr>
  </w:p>
  <w:p w14:paraId="1F7A05F2" w14:textId="1170EFC4" w:rsidR="009C1A5C" w:rsidRDefault="009C1A5C" w:rsidP="000B7767">
    <w:pPr>
      <w:pStyle w:val="Header"/>
      <w:ind w:left="3600"/>
      <w:jc w:val="right"/>
      <w:rPr>
        <w:sz w:val="18"/>
      </w:rPr>
    </w:pPr>
    <w:r>
      <w:rPr>
        <w:sz w:val="18"/>
      </w:rPr>
      <w:t>Materials and Typical Design Properties</w:t>
    </w:r>
  </w:p>
  <w:p w14:paraId="2742CC37" w14:textId="77777777" w:rsidR="009C1A5C" w:rsidRPr="000B7767" w:rsidRDefault="009C1A5C" w:rsidP="000B7767">
    <w:pPr>
      <w:pStyle w:val="Header"/>
      <w:ind w:left="3600"/>
      <w:jc w:val="right"/>
      <w:rPr>
        <w:sz w:val="18"/>
      </w:rPr>
    </w:pPr>
    <w:r w:rsidRPr="000B7767">
      <w:rPr>
        <w:sz w:val="18"/>
      </w:rPr>
      <w:t>Section 0</w:t>
    </w:r>
    <w:r>
      <w:rPr>
        <w:sz w:val="18"/>
      </w:rPr>
      <w:t>2:</w:t>
    </w:r>
    <w:r w:rsidRPr="000B7767">
      <w:rPr>
        <w:sz w:val="18"/>
      </w:rPr>
      <w:t xml:space="preserve"> Material </w:t>
    </w:r>
    <w:r>
      <w:rPr>
        <w:sz w:val="18"/>
      </w:rPr>
      <w:t>Properties – General/Definitions</w:t>
    </w:r>
  </w:p>
  <w:p w14:paraId="48A10F67" w14:textId="7E4E10F6" w:rsidR="009C1A5C" w:rsidRDefault="009C1A5C">
    <w:pPr>
      <w:pStyle w:val="Header"/>
      <w:ind w:left="3600"/>
      <w:jc w:val="right"/>
      <w:rPr>
        <w:sz w:val="2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BA07E" w14:textId="6BCC6896" w:rsidR="009C1A5C" w:rsidRDefault="009C1A5C" w:rsidP="000B7767">
    <w:pPr>
      <w:pStyle w:val="Header"/>
      <w:ind w:left="3600"/>
      <w:jc w:val="right"/>
      <w:rPr>
        <w:sz w:val="18"/>
      </w:rPr>
    </w:pPr>
  </w:p>
  <w:p w14:paraId="5863CC8F" w14:textId="5A8ED089" w:rsidR="009C1A5C" w:rsidRDefault="009C1A5C" w:rsidP="000B7767">
    <w:pPr>
      <w:pStyle w:val="Header"/>
      <w:ind w:left="3600"/>
      <w:jc w:val="right"/>
      <w:rPr>
        <w:sz w:val="18"/>
      </w:rPr>
    </w:pPr>
    <w:r>
      <w:rPr>
        <w:sz w:val="18"/>
      </w:rPr>
      <w:t>Materials and Typical Design Properties</w:t>
    </w:r>
  </w:p>
  <w:p w14:paraId="07AB5CE6" w14:textId="77777777" w:rsidR="009C1A5C" w:rsidRPr="000B7767" w:rsidRDefault="009C1A5C" w:rsidP="000B7767">
    <w:pPr>
      <w:pStyle w:val="Header"/>
      <w:ind w:left="3600"/>
      <w:jc w:val="right"/>
      <w:rPr>
        <w:sz w:val="18"/>
      </w:rPr>
    </w:pPr>
    <w:r w:rsidRPr="000B7767">
      <w:rPr>
        <w:sz w:val="18"/>
      </w:rPr>
      <w:t>Section 0</w:t>
    </w:r>
    <w:r>
      <w:rPr>
        <w:sz w:val="18"/>
      </w:rPr>
      <w:t>3:</w:t>
    </w:r>
    <w:r w:rsidRPr="000B7767">
      <w:rPr>
        <w:sz w:val="18"/>
      </w:rPr>
      <w:t xml:space="preserve"> Material </w:t>
    </w:r>
    <w:r>
      <w:rPr>
        <w:sz w:val="18"/>
      </w:rPr>
      <w:t>Properties – Asphalt</w:t>
    </w:r>
  </w:p>
  <w:p w14:paraId="541799F4" w14:textId="3BE568CA" w:rsidR="009C1A5C" w:rsidRDefault="009C1A5C">
    <w:pPr>
      <w:pStyle w:val="Header"/>
      <w:ind w:left="3600"/>
      <w:jc w:val="right"/>
      <w:rPr>
        <w:sz w:val="2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88E8BA" w14:textId="1BD52C85" w:rsidR="009C1A5C" w:rsidRDefault="009C1A5C" w:rsidP="000B7767">
    <w:pPr>
      <w:pStyle w:val="Header"/>
      <w:ind w:left="3600"/>
      <w:jc w:val="right"/>
      <w:rPr>
        <w:sz w:val="18"/>
      </w:rPr>
    </w:pPr>
  </w:p>
  <w:p w14:paraId="24288E21" w14:textId="28807E04" w:rsidR="009C1A5C" w:rsidRDefault="009C1A5C" w:rsidP="000B7767">
    <w:pPr>
      <w:pStyle w:val="Header"/>
      <w:ind w:left="3600"/>
      <w:jc w:val="right"/>
      <w:rPr>
        <w:sz w:val="18"/>
      </w:rPr>
    </w:pPr>
    <w:r>
      <w:rPr>
        <w:sz w:val="18"/>
      </w:rPr>
      <w:t>Materials and Typical Design Properties</w:t>
    </w:r>
  </w:p>
  <w:p w14:paraId="42E140EF" w14:textId="77777777" w:rsidR="009C1A5C" w:rsidRPr="000B7767" w:rsidRDefault="009C1A5C" w:rsidP="000B7767">
    <w:pPr>
      <w:pStyle w:val="Header"/>
      <w:ind w:left="3600"/>
      <w:jc w:val="right"/>
      <w:rPr>
        <w:sz w:val="18"/>
      </w:rPr>
    </w:pPr>
    <w:r w:rsidRPr="000B7767">
      <w:rPr>
        <w:sz w:val="18"/>
      </w:rPr>
      <w:t>Section 0</w:t>
    </w:r>
    <w:r>
      <w:rPr>
        <w:sz w:val="18"/>
      </w:rPr>
      <w:t>4:</w:t>
    </w:r>
    <w:r w:rsidRPr="000B7767">
      <w:rPr>
        <w:sz w:val="18"/>
      </w:rPr>
      <w:t xml:space="preserve"> Material </w:t>
    </w:r>
    <w:r>
      <w:rPr>
        <w:sz w:val="18"/>
      </w:rPr>
      <w:t>Properties – Concrete</w:t>
    </w:r>
  </w:p>
  <w:p w14:paraId="5684EC76" w14:textId="138047DF" w:rsidR="009C1A5C" w:rsidRDefault="009C1A5C">
    <w:pPr>
      <w:pStyle w:val="Header"/>
      <w:ind w:left="3600"/>
      <w:jc w:val="right"/>
      <w:rPr>
        <w:sz w:val="2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4F113" w14:textId="5C199EB1" w:rsidR="009C1A5C" w:rsidRDefault="009C1A5C" w:rsidP="000B7767">
    <w:pPr>
      <w:pStyle w:val="Header"/>
      <w:ind w:left="3600"/>
      <w:jc w:val="right"/>
      <w:rPr>
        <w:sz w:val="18"/>
      </w:rPr>
    </w:pPr>
  </w:p>
  <w:p w14:paraId="09BC16B5" w14:textId="1B642A91" w:rsidR="009C1A5C" w:rsidRDefault="009C1A5C" w:rsidP="000B7767">
    <w:pPr>
      <w:pStyle w:val="Header"/>
      <w:ind w:left="3600"/>
      <w:jc w:val="right"/>
      <w:rPr>
        <w:sz w:val="18"/>
      </w:rPr>
    </w:pPr>
    <w:r>
      <w:rPr>
        <w:sz w:val="18"/>
      </w:rPr>
      <w:t>Materials and Typical Design Properties</w:t>
    </w:r>
  </w:p>
  <w:p w14:paraId="0FBFD940" w14:textId="77777777" w:rsidR="009C1A5C" w:rsidRPr="000B7767" w:rsidRDefault="009C1A5C" w:rsidP="000B7767">
    <w:pPr>
      <w:pStyle w:val="Header"/>
      <w:ind w:left="3600"/>
      <w:jc w:val="right"/>
      <w:rPr>
        <w:sz w:val="18"/>
      </w:rPr>
    </w:pPr>
    <w:r w:rsidRPr="000B7767">
      <w:rPr>
        <w:sz w:val="18"/>
      </w:rPr>
      <w:t>Section 0</w:t>
    </w:r>
    <w:r>
      <w:rPr>
        <w:sz w:val="18"/>
      </w:rPr>
      <w:t>5:</w:t>
    </w:r>
    <w:r w:rsidRPr="000B7767">
      <w:rPr>
        <w:sz w:val="18"/>
      </w:rPr>
      <w:t xml:space="preserve"> Material </w:t>
    </w:r>
    <w:r>
      <w:rPr>
        <w:sz w:val="18"/>
      </w:rPr>
      <w:t>Properties – Unbound Layers</w:t>
    </w:r>
  </w:p>
  <w:p w14:paraId="4DFE2844" w14:textId="3099A049" w:rsidR="009C1A5C" w:rsidRDefault="009C1A5C">
    <w:pPr>
      <w:pStyle w:val="Header"/>
      <w:ind w:left="3600"/>
      <w:jc w:val="right"/>
      <w:rPr>
        <w:sz w:val="2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14703" w14:textId="1AD47DE0" w:rsidR="009C1A5C" w:rsidRDefault="009C1A5C" w:rsidP="000B7767">
    <w:pPr>
      <w:pStyle w:val="Header"/>
      <w:ind w:left="3600"/>
      <w:jc w:val="right"/>
      <w:rPr>
        <w:sz w:val="18"/>
      </w:rPr>
    </w:pPr>
  </w:p>
  <w:p w14:paraId="464AD305" w14:textId="53846AF9" w:rsidR="009C1A5C" w:rsidRDefault="009C1A5C" w:rsidP="000B7767">
    <w:pPr>
      <w:pStyle w:val="Header"/>
      <w:ind w:left="3600"/>
      <w:jc w:val="right"/>
      <w:rPr>
        <w:sz w:val="18"/>
      </w:rPr>
    </w:pPr>
    <w:r>
      <w:rPr>
        <w:sz w:val="18"/>
      </w:rPr>
      <w:t>Materials and Typical Design Properties</w:t>
    </w:r>
  </w:p>
  <w:p w14:paraId="3F8E2EE6" w14:textId="77777777" w:rsidR="009C1A5C" w:rsidRPr="000B7767" w:rsidRDefault="009C1A5C" w:rsidP="000B7767">
    <w:pPr>
      <w:pStyle w:val="Header"/>
      <w:ind w:left="3600"/>
      <w:jc w:val="right"/>
      <w:rPr>
        <w:sz w:val="18"/>
      </w:rPr>
    </w:pPr>
    <w:r w:rsidRPr="000B7767">
      <w:rPr>
        <w:sz w:val="18"/>
      </w:rPr>
      <w:t>Section 0</w:t>
    </w:r>
    <w:r>
      <w:rPr>
        <w:sz w:val="18"/>
      </w:rPr>
      <w:t>6:</w:t>
    </w:r>
    <w:r w:rsidRPr="000B7767">
      <w:rPr>
        <w:sz w:val="18"/>
      </w:rPr>
      <w:t xml:space="preserve"> </w:t>
    </w:r>
    <w:r>
      <w:rPr>
        <w:sz w:val="18"/>
      </w:rPr>
      <w:t>Geotechnical Design</w:t>
    </w:r>
    <w:r w:rsidRPr="000B7767">
      <w:rPr>
        <w:sz w:val="18"/>
      </w:rPr>
      <w:t xml:space="preserve"> </w:t>
    </w:r>
    <w:r>
      <w:rPr>
        <w:sz w:val="18"/>
      </w:rPr>
      <w:t xml:space="preserve">Properties </w:t>
    </w:r>
  </w:p>
  <w:p w14:paraId="4CA9FD5A" w14:textId="363C3867" w:rsidR="009C1A5C" w:rsidRDefault="009C1A5C">
    <w:pPr>
      <w:pStyle w:val="Header"/>
      <w:ind w:left="3600"/>
      <w:jc w:val="right"/>
      <w:rPr>
        <w:sz w:val="2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40816C" w14:textId="64EDB74A" w:rsidR="009C1A5C" w:rsidRDefault="009C1A5C" w:rsidP="000B7767">
    <w:pPr>
      <w:pStyle w:val="Header"/>
      <w:ind w:left="3600"/>
      <w:jc w:val="right"/>
      <w:rPr>
        <w:sz w:val="18"/>
      </w:rPr>
    </w:pPr>
    <w:r>
      <w:rPr>
        <w:sz w:val="18"/>
      </w:rPr>
      <w:t>Materials and Typical Design Properties</w:t>
    </w:r>
  </w:p>
  <w:p w14:paraId="2BB1BC91" w14:textId="77777777" w:rsidR="009C1A5C" w:rsidRPr="000B7767" w:rsidRDefault="009C1A5C" w:rsidP="000B7767">
    <w:pPr>
      <w:pStyle w:val="Header"/>
      <w:ind w:left="3600"/>
      <w:jc w:val="right"/>
      <w:rPr>
        <w:sz w:val="18"/>
      </w:rPr>
    </w:pPr>
    <w:r w:rsidRPr="000B7767">
      <w:rPr>
        <w:sz w:val="18"/>
      </w:rPr>
      <w:t>Section 0</w:t>
    </w:r>
    <w:r>
      <w:rPr>
        <w:sz w:val="18"/>
      </w:rPr>
      <w:t>7:</w:t>
    </w:r>
    <w:r w:rsidRPr="000B7767">
      <w:rPr>
        <w:sz w:val="18"/>
      </w:rPr>
      <w:t xml:space="preserve"> </w:t>
    </w:r>
    <w:r>
      <w:rPr>
        <w:sz w:val="18"/>
      </w:rPr>
      <w:t>Design</w:t>
    </w:r>
    <w:r w:rsidRPr="000B7767">
      <w:rPr>
        <w:sz w:val="18"/>
      </w:rPr>
      <w:t xml:space="preserve"> </w:t>
    </w:r>
    <w:r>
      <w:rPr>
        <w:sz w:val="18"/>
      </w:rPr>
      <w:t>Properties for Pavement Materials – AASHTO 1993</w:t>
    </w:r>
  </w:p>
  <w:p w14:paraId="5C9BC038" w14:textId="560357B5" w:rsidR="009C1A5C" w:rsidRDefault="009C1A5C">
    <w:pPr>
      <w:pStyle w:val="Header"/>
      <w:ind w:left="3600"/>
      <w:jc w:val="right"/>
      <w:rPr>
        <w:sz w:val="2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5F89E" w14:textId="0E9D8593" w:rsidR="009C1A5C" w:rsidRDefault="009C1A5C">
    <w:pPr>
      <w:pStyle w:val="Header"/>
      <w:ind w:left="3600"/>
      <w:jc w:val="right"/>
      <w:rPr>
        <w:sz w:val="18"/>
      </w:rPr>
    </w:pPr>
  </w:p>
  <w:p w14:paraId="64FFC5E6" w14:textId="77777777" w:rsidR="009C1A5C" w:rsidRDefault="009C1A5C">
    <w:pPr>
      <w:pStyle w:val="Header"/>
      <w:ind w:left="3600"/>
      <w:jc w:val="right"/>
    </w:pPr>
    <w:r>
      <w:rPr>
        <w:sz w:val="18"/>
      </w:rPr>
      <w:t>Analysis Procedures</w:t>
    </w:r>
  </w:p>
  <w:p w14:paraId="4357F61A" w14:textId="77777777" w:rsidR="009C1A5C" w:rsidRDefault="009C1A5C">
    <w:pPr>
      <w:pStyle w:val="Header"/>
      <w:jc w:val="right"/>
    </w:pPr>
    <w:r>
      <w:rPr>
        <w:sz w:val="18"/>
      </w:rPr>
      <w:t>Section 01: Traffic Analysis</w:t>
    </w:r>
  </w:p>
  <w:p w14:paraId="20890C5A" w14:textId="091078F3" w:rsidR="009C1A5C" w:rsidRDefault="009C1A5C">
    <w:pPr>
      <w:pStyle w:val="Header"/>
      <w:ind w:left="3600"/>
      <w:jc w:val="right"/>
      <w:rPr>
        <w:sz w:val="20"/>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D9177" w14:textId="4C1A1D43" w:rsidR="009C1A5C" w:rsidRDefault="009C1A5C">
    <w:pPr>
      <w:pStyle w:val="Header"/>
      <w:ind w:left="3600"/>
      <w:jc w:val="right"/>
      <w:rPr>
        <w:sz w:val="18"/>
      </w:rPr>
    </w:pPr>
  </w:p>
  <w:p w14:paraId="66E272C5" w14:textId="77777777" w:rsidR="009C1A5C" w:rsidRDefault="009C1A5C">
    <w:pPr>
      <w:pStyle w:val="Header"/>
      <w:ind w:left="3600"/>
      <w:jc w:val="right"/>
    </w:pPr>
    <w:r>
      <w:rPr>
        <w:sz w:val="18"/>
      </w:rPr>
      <w:t>Analysis Procedures</w:t>
    </w:r>
  </w:p>
  <w:p w14:paraId="1859E92E" w14:textId="490DCA3D" w:rsidR="009C1A5C" w:rsidRDefault="009C1A5C">
    <w:pPr>
      <w:pStyle w:val="Header"/>
      <w:jc w:val="right"/>
    </w:pPr>
    <w:r>
      <w:rPr>
        <w:sz w:val="18"/>
      </w:rPr>
      <w:t>Section 02: FWD Data Analysis Procedure</w:t>
    </w:r>
  </w:p>
  <w:p w14:paraId="4C53359E" w14:textId="3010FA3D" w:rsidR="009C1A5C" w:rsidRDefault="009C1A5C">
    <w:pPr>
      <w:pStyle w:val="Header"/>
      <w:ind w:left="3600"/>
      <w:jc w:val="right"/>
      <w:rPr>
        <w:sz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A7ADF" w14:textId="5059F18D" w:rsidR="009C1A5C" w:rsidRDefault="009C1A5C">
    <w:pPr>
      <w:pStyle w:val="Header"/>
      <w:ind w:left="3600"/>
      <w:jc w:val="right"/>
    </w:pPr>
    <w:r>
      <w:rPr>
        <w:sz w:val="18"/>
      </w:rPr>
      <w:t>Preliminary Procedures</w:t>
    </w:r>
  </w:p>
  <w:p w14:paraId="23E8A53D" w14:textId="4A406116" w:rsidR="009C1A5C" w:rsidRDefault="009C1A5C">
    <w:pPr>
      <w:pStyle w:val="Header"/>
      <w:jc w:val="right"/>
    </w:pPr>
    <w:r>
      <w:rPr>
        <w:sz w:val="18"/>
      </w:rPr>
      <w:t xml:space="preserve">     Section 01: Initial Communication with Requesting Office</w:t>
    </w:r>
  </w:p>
  <w:p w14:paraId="2F17E20A" w14:textId="0E938571" w:rsidR="009C1A5C" w:rsidRDefault="009C1A5C">
    <w:pPr>
      <w:pStyle w:val="Header"/>
      <w:ind w:left="3600"/>
      <w:jc w:val="right"/>
      <w:rPr>
        <w:sz w:val="2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6B3255" w14:textId="20E16A69" w:rsidR="009C1A5C" w:rsidRDefault="009C1A5C">
    <w:pPr>
      <w:pStyle w:val="Header"/>
      <w:ind w:left="3600"/>
      <w:jc w:val="right"/>
      <w:rPr>
        <w:sz w:val="18"/>
      </w:rPr>
    </w:pPr>
  </w:p>
  <w:p w14:paraId="7776C91B" w14:textId="77777777" w:rsidR="009C1A5C" w:rsidRDefault="009C1A5C">
    <w:pPr>
      <w:pStyle w:val="Header"/>
      <w:ind w:left="3600"/>
      <w:jc w:val="right"/>
    </w:pPr>
    <w:r>
      <w:rPr>
        <w:sz w:val="18"/>
      </w:rPr>
      <w:t>Analysis Procedures</w:t>
    </w:r>
  </w:p>
  <w:p w14:paraId="230E1608" w14:textId="77777777" w:rsidR="009C1A5C" w:rsidRDefault="009C1A5C">
    <w:pPr>
      <w:pStyle w:val="Header"/>
      <w:jc w:val="right"/>
    </w:pPr>
    <w:r>
      <w:rPr>
        <w:sz w:val="18"/>
      </w:rPr>
      <w:t>Section 03: Processing Boring/Laboratory Data</w:t>
    </w:r>
  </w:p>
  <w:p w14:paraId="6E70093F" w14:textId="2CB099AA" w:rsidR="009C1A5C" w:rsidRPr="00836F12" w:rsidRDefault="009C1A5C" w:rsidP="00157CB4">
    <w:pPr>
      <w:pStyle w:val="Header"/>
      <w:ind w:left="3600"/>
      <w:jc w:val="right"/>
      <w:rPr>
        <w:sz w:val="20"/>
      </w:rP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CF08C" w14:textId="77777777" w:rsidR="009C1A5C" w:rsidRDefault="009C1A5C">
    <w:pPr>
      <w:pStyle w:val="Heade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13AE6" w14:textId="02BBF42C" w:rsidR="009C1A5C" w:rsidRDefault="009C1A5C">
    <w:pPr>
      <w:pStyle w:val="Header"/>
      <w:ind w:left="3600"/>
      <w:jc w:val="right"/>
      <w:rPr>
        <w:sz w:val="18"/>
      </w:rPr>
    </w:pPr>
  </w:p>
  <w:p w14:paraId="769D5C46" w14:textId="77777777" w:rsidR="009C1A5C" w:rsidRDefault="009C1A5C">
    <w:pPr>
      <w:pStyle w:val="Header"/>
      <w:ind w:left="3600"/>
      <w:jc w:val="right"/>
    </w:pPr>
    <w:r>
      <w:rPr>
        <w:sz w:val="18"/>
      </w:rPr>
      <w:t>Analysis Procedures</w:t>
    </w:r>
  </w:p>
  <w:p w14:paraId="0DE9D7A7" w14:textId="56DE5B31" w:rsidR="009C1A5C" w:rsidRDefault="009C1A5C">
    <w:pPr>
      <w:pStyle w:val="Header"/>
      <w:jc w:val="right"/>
    </w:pPr>
    <w:r>
      <w:rPr>
        <w:sz w:val="18"/>
      </w:rPr>
      <w:t>Section 04: Geotechnical Data Analysis</w:t>
    </w:r>
  </w:p>
  <w:p w14:paraId="5F02DCA3" w14:textId="6917BE08" w:rsidR="009C1A5C" w:rsidRDefault="009C1A5C">
    <w:pPr>
      <w:pStyle w:val="Header"/>
      <w:ind w:left="3600"/>
      <w:jc w:val="right"/>
      <w:rPr>
        <w:sz w:val="20"/>
      </w:rP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9BF84F" w14:textId="77777777" w:rsidR="009C1A5C" w:rsidRDefault="009C1A5C">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3AC59" w14:textId="78824EE4" w:rsidR="009C1A5C" w:rsidRDefault="009C1A5C">
    <w:pPr>
      <w:pStyle w:val="Header"/>
      <w:ind w:left="3600"/>
      <w:jc w:val="right"/>
      <w:rPr>
        <w:sz w:val="18"/>
      </w:rPr>
    </w:pPr>
  </w:p>
  <w:p w14:paraId="7287A92C" w14:textId="77777777" w:rsidR="009C1A5C" w:rsidRDefault="009C1A5C">
    <w:pPr>
      <w:pStyle w:val="Header"/>
      <w:ind w:left="3600"/>
      <w:jc w:val="right"/>
    </w:pPr>
    <w:r>
      <w:rPr>
        <w:sz w:val="18"/>
      </w:rPr>
      <w:t>Analysis Procedures</w:t>
    </w:r>
  </w:p>
  <w:p w14:paraId="5971EAD4" w14:textId="1385FF64" w:rsidR="009C1A5C" w:rsidRDefault="009C1A5C">
    <w:pPr>
      <w:pStyle w:val="Header"/>
      <w:jc w:val="right"/>
    </w:pPr>
    <w:r>
      <w:rPr>
        <w:sz w:val="18"/>
      </w:rPr>
      <w:t>Section 05: Pavement ME Analysis</w:t>
    </w:r>
  </w:p>
  <w:p w14:paraId="024AABF3" w14:textId="16948064" w:rsidR="009C1A5C" w:rsidRDefault="009C1A5C">
    <w:pPr>
      <w:pStyle w:val="Header"/>
      <w:ind w:left="3600"/>
      <w:jc w:val="right"/>
      <w:rPr>
        <w:sz w:val="20"/>
      </w:rP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AC0D3" w14:textId="77777777" w:rsidR="009C1A5C" w:rsidRDefault="009C1A5C">
    <w:pPr>
      <w:pStyle w:val="Header"/>
      <w:jc w:val="right"/>
      <w:rPr>
        <w:sz w:val="18"/>
      </w:rPr>
    </w:pPr>
    <w:r>
      <w:rPr>
        <w:noProof/>
        <w:sz w:val="18"/>
      </w:rPr>
      <w:drawing>
        <wp:anchor distT="0" distB="0" distL="114300" distR="114300" simplePos="0" relativeHeight="251699200" behindDoc="1" locked="0" layoutInCell="0" allowOverlap="1" wp14:anchorId="455794CA" wp14:editId="4C0503DB">
          <wp:simplePos x="0" y="0"/>
          <wp:positionH relativeFrom="column">
            <wp:posOffset>-4445</wp:posOffset>
          </wp:positionH>
          <wp:positionV relativeFrom="paragraph">
            <wp:posOffset>-8890</wp:posOffset>
          </wp:positionV>
          <wp:extent cx="868680" cy="467360"/>
          <wp:effectExtent l="0" t="0" r="7620" b="8890"/>
          <wp:wrapNone/>
          <wp:docPr id="906" name="Picture 6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 name="Picture 66">
                    <a:extLst>
                      <a:ext uri="{C183D7F6-B498-43B3-948B-1728B52AA6E4}">
                        <adec:decorative xmlns:adec="http://schemas.microsoft.com/office/drawing/2017/decorative" val="1"/>
                      </a:ext>
                    </a:extLst>
                  </pic:cNvPr>
                  <pic:cNvPicPr>
                    <a:picLocks noChangeAspect="1" noChangeArrowheads="1"/>
                  </pic:cNvPicPr>
                </pic:nvPicPr>
                <pic:blipFill>
                  <a:blip r:embed="rId1"/>
                  <a:srcRect/>
                  <a:stretch>
                    <a:fillRect/>
                  </a:stretch>
                </pic:blipFill>
                <pic:spPr bwMode="auto">
                  <a:xfrm>
                    <a:off x="0" y="0"/>
                    <a:ext cx="868680" cy="467360"/>
                  </a:xfrm>
                  <a:prstGeom prst="rect">
                    <a:avLst/>
                  </a:prstGeom>
                  <a:noFill/>
                  <a:ln w="9525">
                    <a:noFill/>
                    <a:miter lim="800000"/>
                    <a:headEnd/>
                    <a:tailEnd/>
                  </a:ln>
                </pic:spPr>
              </pic:pic>
            </a:graphicData>
          </a:graphic>
        </wp:anchor>
      </w:drawing>
    </w:r>
  </w:p>
  <w:p w14:paraId="74A42DEC" w14:textId="77777777" w:rsidR="009C1A5C" w:rsidRDefault="009C1A5C" w:rsidP="00D316B0">
    <w:pPr>
      <w:pStyle w:val="Header"/>
      <w:ind w:left="3600"/>
      <w:jc w:val="right"/>
    </w:pPr>
    <w:r>
      <w:rPr>
        <w:sz w:val="18"/>
      </w:rPr>
      <w:t>Pavement Preservation, Rehabilitation &amp; Design</w:t>
    </w:r>
  </w:p>
  <w:p w14:paraId="5982BDAE" w14:textId="77777777" w:rsidR="009C1A5C" w:rsidRDefault="009C1A5C" w:rsidP="00D316B0">
    <w:pPr>
      <w:pStyle w:val="Header"/>
      <w:jc w:val="right"/>
    </w:pPr>
    <w:r>
      <w:rPr>
        <w:sz w:val="18"/>
      </w:rPr>
      <w:t>Section 01: Design Input Policies</w:t>
    </w:r>
  </w:p>
  <w:p w14:paraId="07B39B4C" w14:textId="77777777" w:rsidR="009C1A5C" w:rsidRDefault="009C1A5C">
    <w:pPr>
      <w:pStyle w:val="Header"/>
      <w:jc w:val="right"/>
    </w:pPr>
    <w:r>
      <w:rPr>
        <w:noProof/>
        <w:sz w:val="18"/>
      </w:rPr>
      <mc:AlternateContent>
        <mc:Choice Requires="wps">
          <w:drawing>
            <wp:anchor distT="0" distB="0" distL="114300" distR="114300" simplePos="0" relativeHeight="251771392" behindDoc="0" locked="0" layoutInCell="0" allowOverlap="1" wp14:anchorId="6899F9C5" wp14:editId="7771C88A">
              <wp:simplePos x="0" y="0"/>
              <wp:positionH relativeFrom="column">
                <wp:posOffset>0</wp:posOffset>
              </wp:positionH>
              <wp:positionV relativeFrom="paragraph">
                <wp:posOffset>16510</wp:posOffset>
              </wp:positionV>
              <wp:extent cx="5467350" cy="0"/>
              <wp:effectExtent l="9525" t="8890" r="9525" b="10160"/>
              <wp:wrapNone/>
              <wp:docPr id="171" name="Line 5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A60BBF" id="Line 517" o:spid="_x0000_s1026" alt="&quot;&quot;" style="position:absolute;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3pt" to="430.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" o:allowincell="f"/>
          </w:pict>
        </mc:Fallback>
      </mc:AlternateConten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304E8" w14:textId="3A1983A7" w:rsidR="009C1A5C" w:rsidRDefault="009C1A5C" w:rsidP="00972041">
    <w:pPr>
      <w:pStyle w:val="Header"/>
      <w:ind w:left="3600"/>
      <w:jc w:val="right"/>
      <w:rPr>
        <w:sz w:val="18"/>
      </w:rPr>
    </w:pPr>
  </w:p>
  <w:p w14:paraId="5691643C" w14:textId="77777777" w:rsidR="009C1A5C" w:rsidRDefault="009C1A5C" w:rsidP="00CA7304">
    <w:pPr>
      <w:pStyle w:val="Header"/>
      <w:ind w:left="3600"/>
      <w:jc w:val="right"/>
    </w:pPr>
    <w:r>
      <w:rPr>
        <w:sz w:val="18"/>
      </w:rPr>
      <w:t>Pavement Preservation, Rehabilitation &amp; Design</w:t>
    </w:r>
  </w:p>
  <w:p w14:paraId="22BF38C0" w14:textId="09887A73" w:rsidR="009C1A5C" w:rsidRDefault="009C1A5C" w:rsidP="00CA7304">
    <w:pPr>
      <w:pStyle w:val="Header"/>
      <w:jc w:val="right"/>
    </w:pPr>
    <w:r>
      <w:rPr>
        <w:sz w:val="18"/>
      </w:rPr>
      <w:t>Section 01: Design Input Policies</w:t>
    </w:r>
  </w:p>
  <w:p w14:paraId="6EA62DDA" w14:textId="61F2275B" w:rsidR="009C1A5C" w:rsidRDefault="009C1A5C">
    <w:pPr>
      <w:pStyle w:val="Heade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7AA46" w14:textId="7FDC7D33" w:rsidR="009C1A5C" w:rsidRDefault="009C1A5C">
    <w:pPr>
      <w:pStyle w:val="Header"/>
      <w:jc w:val="right"/>
      <w:rPr>
        <w:sz w:val="18"/>
      </w:rPr>
    </w:pPr>
  </w:p>
  <w:p w14:paraId="770C11EC" w14:textId="77777777" w:rsidR="009C1A5C" w:rsidRDefault="009C1A5C" w:rsidP="00D316B0">
    <w:pPr>
      <w:pStyle w:val="Header"/>
      <w:ind w:left="3600"/>
      <w:jc w:val="right"/>
    </w:pPr>
    <w:r>
      <w:rPr>
        <w:sz w:val="18"/>
      </w:rPr>
      <w:t>Pavement Preservation, Rehabilitation &amp; Design</w:t>
    </w:r>
  </w:p>
  <w:p w14:paraId="25188A6A" w14:textId="5FECFF3A" w:rsidR="009C1A5C" w:rsidRDefault="009C1A5C" w:rsidP="00D316B0">
    <w:pPr>
      <w:pStyle w:val="Header"/>
      <w:jc w:val="right"/>
    </w:pPr>
    <w:r>
      <w:rPr>
        <w:sz w:val="18"/>
      </w:rPr>
      <w:t>Section 02: Material Selection Policies</w:t>
    </w:r>
  </w:p>
  <w:p w14:paraId="3982CBC4" w14:textId="755D1E49" w:rsidR="009C1A5C" w:rsidRDefault="009C1A5C">
    <w:pPr>
      <w:pStyle w:val="Header"/>
      <w:jc w:val="right"/>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8C880" w14:textId="48BBFE12" w:rsidR="009C1A5C" w:rsidRDefault="009C1A5C">
    <w:pPr>
      <w:pStyle w:val="Header"/>
      <w:jc w:val="right"/>
      <w:rPr>
        <w:sz w:val="18"/>
      </w:rPr>
    </w:pPr>
  </w:p>
  <w:p w14:paraId="18E0C6AC" w14:textId="77777777" w:rsidR="009C1A5C" w:rsidRDefault="009C1A5C" w:rsidP="00D316B0">
    <w:pPr>
      <w:pStyle w:val="Header"/>
      <w:ind w:left="3600"/>
      <w:jc w:val="right"/>
    </w:pPr>
    <w:r>
      <w:rPr>
        <w:sz w:val="18"/>
      </w:rPr>
      <w:t>Pavement Preservation, Rehabilitation &amp; Design</w:t>
    </w:r>
  </w:p>
  <w:p w14:paraId="023264BE" w14:textId="718BA2A4" w:rsidR="009C1A5C" w:rsidRDefault="009C1A5C" w:rsidP="00D316B0">
    <w:pPr>
      <w:pStyle w:val="Header"/>
      <w:jc w:val="right"/>
    </w:pPr>
    <w:r>
      <w:rPr>
        <w:sz w:val="18"/>
      </w:rPr>
      <w:t>Section 03: New Pavement Design</w:t>
    </w:r>
  </w:p>
  <w:p w14:paraId="624F7F99" w14:textId="452DF114" w:rsidR="009C1A5C" w:rsidRDefault="009C1A5C">
    <w:pPr>
      <w:pStyle w:val="Header"/>
      <w:jc w:val="right"/>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E4311" w14:textId="5360D087" w:rsidR="009C1A5C" w:rsidRDefault="009C1A5C">
    <w:pPr>
      <w:pStyle w:val="Header"/>
      <w:ind w:left="3600"/>
      <w:jc w:val="right"/>
      <w:rPr>
        <w:sz w:val="18"/>
      </w:rPr>
    </w:pPr>
  </w:p>
  <w:p w14:paraId="044FA950" w14:textId="77777777" w:rsidR="009C1A5C" w:rsidRDefault="009C1A5C">
    <w:pPr>
      <w:pStyle w:val="Header"/>
      <w:ind w:left="3600"/>
      <w:jc w:val="right"/>
    </w:pPr>
    <w:r>
      <w:rPr>
        <w:sz w:val="18"/>
      </w:rPr>
      <w:t>Pavement Preservation, Rehabilitation &amp; Design</w:t>
    </w:r>
  </w:p>
  <w:p w14:paraId="7F1F1622" w14:textId="1C1439CC" w:rsidR="009C1A5C" w:rsidRDefault="009C1A5C">
    <w:pPr>
      <w:pStyle w:val="Header"/>
      <w:jc w:val="right"/>
    </w:pPr>
    <w:r>
      <w:rPr>
        <w:sz w:val="18"/>
      </w:rPr>
      <w:t>Section 04: Pavement Drainage</w:t>
    </w:r>
  </w:p>
  <w:p w14:paraId="66A11FC5" w14:textId="561D3086" w:rsidR="009C1A5C" w:rsidRDefault="009C1A5C">
    <w:pPr>
      <w:pStyle w:val="Header"/>
      <w:ind w:left="3600"/>
      <w:jc w:val="right"/>
      <w:rPr>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FECB5" w14:textId="25949CE5" w:rsidR="009C1A5C" w:rsidRDefault="009C1A5C">
    <w:pPr>
      <w:pStyle w:val="Header"/>
      <w:ind w:left="3600"/>
      <w:jc w:val="right"/>
    </w:pPr>
    <w:r>
      <w:rPr>
        <w:sz w:val="18"/>
      </w:rPr>
      <w:t>Preliminary Procedures</w:t>
    </w:r>
  </w:p>
  <w:p w14:paraId="5DF8C866" w14:textId="77777777" w:rsidR="009C1A5C" w:rsidRDefault="009C1A5C">
    <w:pPr>
      <w:pStyle w:val="Header"/>
      <w:jc w:val="right"/>
    </w:pPr>
    <w:r>
      <w:rPr>
        <w:sz w:val="18"/>
      </w:rPr>
      <w:t>Section 02: Files</w:t>
    </w:r>
  </w:p>
  <w:p w14:paraId="2C2CD96E" w14:textId="2713DE51" w:rsidR="009C1A5C" w:rsidRDefault="009C1A5C">
    <w:pPr>
      <w:pStyle w:val="Header"/>
      <w:ind w:left="3600"/>
      <w:jc w:val="right"/>
      <w:rPr>
        <w:sz w:val="20"/>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2DED1" w14:textId="442CAA21" w:rsidR="009C1A5C" w:rsidRDefault="009C1A5C">
    <w:pPr>
      <w:pStyle w:val="Header"/>
      <w:ind w:left="3600"/>
      <w:jc w:val="right"/>
      <w:rPr>
        <w:sz w:val="18"/>
      </w:rPr>
    </w:pPr>
  </w:p>
  <w:p w14:paraId="0A1ABF1C" w14:textId="77777777" w:rsidR="009C1A5C" w:rsidRDefault="009C1A5C">
    <w:pPr>
      <w:pStyle w:val="Header"/>
      <w:ind w:left="3600"/>
      <w:jc w:val="right"/>
    </w:pPr>
    <w:r>
      <w:rPr>
        <w:sz w:val="18"/>
      </w:rPr>
      <w:t>Pavement Preservation, Rehabilitation &amp; Design</w:t>
    </w:r>
  </w:p>
  <w:p w14:paraId="3F225E14" w14:textId="345DCCB8" w:rsidR="009C1A5C" w:rsidRDefault="009C1A5C">
    <w:pPr>
      <w:pStyle w:val="Header"/>
      <w:jc w:val="right"/>
    </w:pPr>
    <w:r>
      <w:rPr>
        <w:sz w:val="18"/>
      </w:rPr>
      <w:t>Section 05: Pre-Overlay Repair Guidelines</w:t>
    </w:r>
  </w:p>
  <w:p w14:paraId="247FF4FE" w14:textId="55B4FE9C" w:rsidR="009C1A5C" w:rsidRDefault="009C1A5C">
    <w:pPr>
      <w:pStyle w:val="Header"/>
      <w:ind w:left="3600"/>
      <w:jc w:val="right"/>
      <w:rPr>
        <w:sz w:val="20"/>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AE8D07" w14:textId="00877ABA" w:rsidR="009C1A5C" w:rsidRDefault="009C1A5C">
    <w:pPr>
      <w:pStyle w:val="Header"/>
      <w:ind w:left="3600"/>
      <w:jc w:val="right"/>
      <w:rPr>
        <w:sz w:val="18"/>
      </w:rPr>
    </w:pPr>
  </w:p>
  <w:p w14:paraId="23653F01" w14:textId="77777777" w:rsidR="009C1A5C" w:rsidRDefault="009C1A5C">
    <w:pPr>
      <w:pStyle w:val="Header"/>
      <w:ind w:left="3600"/>
      <w:jc w:val="right"/>
    </w:pPr>
    <w:r>
      <w:rPr>
        <w:sz w:val="18"/>
      </w:rPr>
      <w:t>Pavement Preservation, Rehabilitation &amp; Design</w:t>
    </w:r>
  </w:p>
  <w:p w14:paraId="7E2ECDB2" w14:textId="52B33B74" w:rsidR="009C1A5C" w:rsidRDefault="009C1A5C">
    <w:pPr>
      <w:pStyle w:val="Header"/>
      <w:jc w:val="right"/>
    </w:pPr>
    <w:r>
      <w:rPr>
        <w:sz w:val="18"/>
      </w:rPr>
      <w:t>Section 06: Pavement Preservation &amp; Rehabilitation Design</w:t>
    </w:r>
  </w:p>
  <w:p w14:paraId="649618AD" w14:textId="297D79CB" w:rsidR="009C1A5C" w:rsidRDefault="009C1A5C">
    <w:pPr>
      <w:pStyle w:val="Header"/>
      <w:ind w:left="3600"/>
      <w:jc w:val="right"/>
      <w:rPr>
        <w:sz w:val="20"/>
      </w:rP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84CF2" w14:textId="687BD0AA" w:rsidR="009C1A5C" w:rsidRDefault="009C1A5C">
    <w:pPr>
      <w:pStyle w:val="Header"/>
      <w:ind w:left="3600"/>
      <w:jc w:val="right"/>
      <w:rPr>
        <w:sz w:val="18"/>
      </w:rPr>
    </w:pPr>
  </w:p>
  <w:p w14:paraId="5DCCA752" w14:textId="77777777" w:rsidR="009C1A5C" w:rsidRDefault="009C1A5C">
    <w:pPr>
      <w:pStyle w:val="Header"/>
      <w:ind w:left="3600"/>
      <w:jc w:val="right"/>
    </w:pPr>
    <w:r>
      <w:rPr>
        <w:sz w:val="18"/>
      </w:rPr>
      <w:t>Pavement Preservation, Rehabilitation &amp; Design</w:t>
    </w:r>
  </w:p>
  <w:p w14:paraId="0F3BD29A" w14:textId="6001B2B0" w:rsidR="009C1A5C" w:rsidRDefault="009C1A5C">
    <w:pPr>
      <w:pStyle w:val="Header"/>
      <w:jc w:val="right"/>
    </w:pPr>
    <w:r>
      <w:rPr>
        <w:sz w:val="18"/>
      </w:rPr>
      <w:t>Section 07: Quantity &amp; Cost Development</w:t>
    </w:r>
  </w:p>
  <w:p w14:paraId="050B214F" w14:textId="35DBE90C" w:rsidR="009C1A5C" w:rsidRDefault="009C1A5C">
    <w:pPr>
      <w:pStyle w:val="Header"/>
      <w:ind w:left="3600"/>
      <w:jc w:val="right"/>
      <w:rPr>
        <w:sz w:val="20"/>
      </w:rP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5A9C8A" w14:textId="7100F235" w:rsidR="009C1A5C" w:rsidRDefault="009C1A5C">
    <w:pPr>
      <w:pStyle w:val="Header"/>
      <w:ind w:left="3600"/>
      <w:jc w:val="right"/>
      <w:rPr>
        <w:sz w:val="18"/>
      </w:rPr>
    </w:pPr>
  </w:p>
  <w:p w14:paraId="593422F6" w14:textId="77777777" w:rsidR="009C1A5C" w:rsidRDefault="009C1A5C">
    <w:pPr>
      <w:pStyle w:val="Header"/>
      <w:ind w:left="3600"/>
      <w:jc w:val="right"/>
    </w:pPr>
    <w:r>
      <w:rPr>
        <w:sz w:val="18"/>
      </w:rPr>
      <w:t>Pavement Preservation, Rehabilitation &amp; Design</w:t>
    </w:r>
  </w:p>
  <w:p w14:paraId="402E267C" w14:textId="2C8096DF" w:rsidR="009C1A5C" w:rsidRDefault="009C1A5C">
    <w:pPr>
      <w:pStyle w:val="Header"/>
      <w:jc w:val="right"/>
    </w:pPr>
    <w:r>
      <w:rPr>
        <w:sz w:val="18"/>
      </w:rPr>
      <w:t>Section 08: Remaining Service Life Analysis</w:t>
    </w:r>
  </w:p>
  <w:p w14:paraId="45874B32" w14:textId="42D6DAF9" w:rsidR="009C1A5C" w:rsidRDefault="009C1A5C">
    <w:pPr>
      <w:pStyle w:val="Header"/>
      <w:ind w:left="3600"/>
      <w:jc w:val="right"/>
      <w:rPr>
        <w:sz w:val="20"/>
      </w:rP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AC7EB" w14:textId="4C58C880" w:rsidR="009C1A5C" w:rsidRDefault="009C1A5C">
    <w:pPr>
      <w:pStyle w:val="Header"/>
      <w:ind w:left="3600"/>
      <w:jc w:val="right"/>
      <w:rPr>
        <w:sz w:val="18"/>
      </w:rPr>
    </w:pPr>
  </w:p>
  <w:p w14:paraId="17043D58" w14:textId="77777777" w:rsidR="009C1A5C" w:rsidRDefault="009C1A5C">
    <w:pPr>
      <w:pStyle w:val="Header"/>
      <w:ind w:left="3600"/>
      <w:jc w:val="right"/>
    </w:pPr>
    <w:r>
      <w:rPr>
        <w:sz w:val="18"/>
      </w:rPr>
      <w:t>Pavement Preservation, Rehabilitation &amp; Design</w:t>
    </w:r>
  </w:p>
  <w:p w14:paraId="18B20A93" w14:textId="1A8D6567" w:rsidR="009C1A5C" w:rsidRDefault="009C1A5C">
    <w:pPr>
      <w:pStyle w:val="Header"/>
      <w:jc w:val="right"/>
    </w:pPr>
    <w:r>
      <w:rPr>
        <w:sz w:val="18"/>
      </w:rPr>
      <w:t>Section 09: Pavement Type Selection</w:t>
    </w:r>
  </w:p>
  <w:p w14:paraId="014C6653" w14:textId="45BEAC2E" w:rsidR="009C1A5C" w:rsidRDefault="009C1A5C">
    <w:pPr>
      <w:pStyle w:val="Header"/>
      <w:ind w:left="3600"/>
      <w:jc w:val="right"/>
      <w:rPr>
        <w:sz w:val="20"/>
      </w:rP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F0D1B" w14:textId="0510AA0D" w:rsidR="009C1A5C" w:rsidRDefault="009C1A5C">
    <w:pPr>
      <w:pStyle w:val="Header"/>
      <w:ind w:left="3600"/>
      <w:jc w:val="right"/>
      <w:rPr>
        <w:sz w:val="18"/>
      </w:rPr>
    </w:pPr>
  </w:p>
  <w:p w14:paraId="7476BD5E" w14:textId="77777777" w:rsidR="009C1A5C" w:rsidRDefault="009C1A5C">
    <w:pPr>
      <w:pStyle w:val="Header"/>
      <w:ind w:left="3600"/>
      <w:jc w:val="right"/>
    </w:pPr>
    <w:r>
      <w:rPr>
        <w:sz w:val="18"/>
      </w:rPr>
      <w:t>Pavement Preservation, Rehabilitation &amp; Design</w:t>
    </w:r>
  </w:p>
  <w:p w14:paraId="0A4BA308" w14:textId="4E56555F" w:rsidR="009C1A5C" w:rsidRDefault="009C1A5C">
    <w:pPr>
      <w:pStyle w:val="Header"/>
      <w:jc w:val="right"/>
    </w:pPr>
    <w:r>
      <w:rPr>
        <w:sz w:val="18"/>
      </w:rPr>
      <w:t>Section 10: Concrete Pavement Designs</w:t>
    </w:r>
  </w:p>
  <w:p w14:paraId="12BA2255" w14:textId="541D14E9" w:rsidR="009C1A5C" w:rsidRDefault="009C1A5C">
    <w:pPr>
      <w:pStyle w:val="Header"/>
      <w:ind w:left="3600"/>
      <w:jc w:val="right"/>
      <w:rPr>
        <w:sz w:val="20"/>
      </w:rP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31102" w14:textId="77777777" w:rsidR="009C1A5C" w:rsidRDefault="009C1A5C">
    <w:pPr>
      <w:pStyle w:val="Header"/>
      <w:ind w:left="3600"/>
      <w:jc w:val="right"/>
      <w:rPr>
        <w:sz w:val="18"/>
      </w:rPr>
    </w:pPr>
    <w:r>
      <w:rPr>
        <w:noProof/>
        <w:sz w:val="18"/>
      </w:rPr>
      <w:drawing>
        <wp:anchor distT="0" distB="0" distL="114300" distR="114300" simplePos="0" relativeHeight="251659264" behindDoc="0" locked="0" layoutInCell="0" allowOverlap="1" wp14:anchorId="3984D522" wp14:editId="2A51F11B">
          <wp:simplePos x="0" y="0"/>
          <wp:positionH relativeFrom="column">
            <wp:posOffset>76200</wp:posOffset>
          </wp:positionH>
          <wp:positionV relativeFrom="paragraph">
            <wp:posOffset>0</wp:posOffset>
          </wp:positionV>
          <wp:extent cx="868680" cy="467360"/>
          <wp:effectExtent l="19050" t="0" r="7620" b="0"/>
          <wp:wrapTopAndBottom/>
          <wp:docPr id="3650" name="Picture 9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0" name="Picture 94">
                    <a:extLst>
                      <a:ext uri="{C183D7F6-B498-43B3-948B-1728B52AA6E4}">
                        <adec:decorative xmlns:adec="http://schemas.microsoft.com/office/drawing/2017/decorative" val="1"/>
                      </a:ext>
                    </a:extLst>
                  </pic:cNvPr>
                  <pic:cNvPicPr>
                    <a:picLocks noChangeAspect="1" noChangeArrowheads="1"/>
                  </pic:cNvPicPr>
                </pic:nvPicPr>
                <pic:blipFill>
                  <a:blip r:embed="rId1"/>
                  <a:srcRect/>
                  <a:stretch>
                    <a:fillRect/>
                  </a:stretch>
                </pic:blipFill>
                <pic:spPr bwMode="auto">
                  <a:xfrm>
                    <a:off x="0" y="0"/>
                    <a:ext cx="868680" cy="467360"/>
                  </a:xfrm>
                  <a:prstGeom prst="rect">
                    <a:avLst/>
                  </a:prstGeom>
                  <a:noFill/>
                  <a:ln w="9525">
                    <a:noFill/>
                    <a:miter lim="800000"/>
                    <a:headEnd/>
                    <a:tailEnd/>
                  </a:ln>
                </pic:spPr>
              </pic:pic>
            </a:graphicData>
          </a:graphic>
        </wp:anchor>
      </w:drawing>
    </w:r>
  </w:p>
  <w:p w14:paraId="0F50695F" w14:textId="77777777" w:rsidR="009C1A5C" w:rsidRDefault="009C1A5C">
    <w:pPr>
      <w:pStyle w:val="Header"/>
      <w:ind w:left="3600"/>
      <w:jc w:val="right"/>
    </w:pPr>
    <w:r>
      <w:rPr>
        <w:sz w:val="18"/>
      </w:rPr>
      <w:t>Pavement Preservation, Rehabilitation &amp; Design</w:t>
    </w:r>
  </w:p>
  <w:p w14:paraId="1AE72DB7" w14:textId="77777777" w:rsidR="009C1A5C" w:rsidRDefault="009C1A5C">
    <w:pPr>
      <w:pStyle w:val="Header"/>
      <w:jc w:val="right"/>
    </w:pPr>
    <w:r>
      <w:rPr>
        <w:sz w:val="18"/>
      </w:rPr>
      <w:t>Section 11: Standard Pavement Designs</w:t>
    </w:r>
  </w:p>
  <w:p w14:paraId="31D194E8" w14:textId="31B4FB26" w:rsidR="009C1A5C" w:rsidRDefault="009C1A5C">
    <w:pPr>
      <w:pStyle w:val="Header"/>
      <w:ind w:left="3600"/>
      <w:jc w:val="right"/>
      <w:rPr>
        <w:sz w:val="20"/>
      </w:rPr>
    </w:pPr>
    <w:r>
      <w:rPr>
        <w:noProof/>
        <w:sz w:val="20"/>
      </w:rPr>
      <mc:AlternateContent>
        <mc:Choice Requires="wps">
          <w:drawing>
            <wp:anchor distT="0" distB="0" distL="114300" distR="114300" simplePos="0" relativeHeight="251682304" behindDoc="0" locked="0" layoutInCell="0" allowOverlap="1" wp14:anchorId="3C375CD5" wp14:editId="249B6311">
              <wp:simplePos x="0" y="0"/>
              <wp:positionH relativeFrom="column">
                <wp:posOffset>9525</wp:posOffset>
              </wp:positionH>
              <wp:positionV relativeFrom="paragraph">
                <wp:posOffset>22225</wp:posOffset>
              </wp:positionV>
              <wp:extent cx="5467350" cy="0"/>
              <wp:effectExtent l="9525" t="5080" r="9525" b="13970"/>
              <wp:wrapNone/>
              <wp:docPr id="144" name="Line 32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8DA56B" id="Line 329" o:spid="_x0000_s1026" alt="&quot;&quot;" style="position:absolute;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5pt" to="431.2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" o:allowincell="f"/>
          </w:pict>
        </mc:Fallback>
      </mc:AlternateContent>
    </w: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3E1C9" w14:textId="6B585623" w:rsidR="009C1A5C" w:rsidRDefault="009C1A5C">
    <w:pPr>
      <w:pStyle w:val="Header"/>
      <w:ind w:left="3600"/>
      <w:jc w:val="right"/>
      <w:rPr>
        <w:sz w:val="18"/>
      </w:rPr>
    </w:pPr>
  </w:p>
  <w:p w14:paraId="29C9A8D3" w14:textId="77777777" w:rsidR="009C1A5C" w:rsidRDefault="009C1A5C" w:rsidP="005F75EF">
    <w:pPr>
      <w:pStyle w:val="Header"/>
      <w:ind w:left="3600"/>
      <w:jc w:val="right"/>
    </w:pPr>
    <w:r>
      <w:rPr>
        <w:sz w:val="18"/>
      </w:rPr>
      <w:t>Pavement Preservation, Rehabilitation &amp; Design</w:t>
    </w:r>
  </w:p>
  <w:p w14:paraId="385E6119" w14:textId="4FD88718" w:rsidR="009C1A5C" w:rsidRDefault="009C1A5C">
    <w:pPr>
      <w:pStyle w:val="Header"/>
      <w:jc w:val="right"/>
    </w:pPr>
    <w:r>
      <w:rPr>
        <w:sz w:val="18"/>
      </w:rPr>
      <w:t>Section 11: Standard Pavement Designs</w:t>
    </w:r>
  </w:p>
  <w:p w14:paraId="17BFC9A3" w14:textId="221B845B" w:rsidR="009C1A5C" w:rsidRDefault="009C1A5C">
    <w:pPr>
      <w:pStyle w:val="Header"/>
      <w:ind w:left="3600"/>
      <w:jc w:val="right"/>
      <w:rPr>
        <w:sz w:val="20"/>
      </w:rP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AD598" w14:textId="77777777" w:rsidR="009C1A5C" w:rsidRDefault="009C1A5C">
    <w:pPr>
      <w:pStyle w:val="Heade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AE91A" w14:textId="304781D8" w:rsidR="009C1A5C" w:rsidRDefault="009C1A5C">
    <w:pPr>
      <w:pStyle w:val="Header"/>
      <w:ind w:left="3600"/>
      <w:jc w:val="right"/>
      <w:rPr>
        <w:sz w:val="18"/>
      </w:rPr>
    </w:pPr>
    <w:r>
      <w:rPr>
        <w:noProof/>
      </w:rPr>
      <w:drawing>
        <wp:anchor distT="0" distB="0" distL="114300" distR="114300" simplePos="0" relativeHeight="252598784" behindDoc="1" locked="0" layoutInCell="1" allowOverlap="1" wp14:anchorId="424D159C" wp14:editId="062A15F5">
          <wp:simplePos x="0" y="0"/>
          <wp:positionH relativeFrom="column">
            <wp:posOffset>0</wp:posOffset>
          </wp:positionH>
          <wp:positionV relativeFrom="paragraph">
            <wp:posOffset>19050</wp:posOffset>
          </wp:positionV>
          <wp:extent cx="2749550" cy="353060"/>
          <wp:effectExtent l="0" t="0" r="0" b="8890"/>
          <wp:wrapTight wrapText="bothSides">
            <wp:wrapPolygon edited="0">
              <wp:start x="0" y="0"/>
              <wp:lineTo x="0" y="20978"/>
              <wp:lineTo x="21400" y="20978"/>
              <wp:lineTo x="21400" y="0"/>
              <wp:lineTo x="0" y="0"/>
            </wp:wrapPolygon>
          </wp:wrapTight>
          <wp:docPr id="907" name="Picture 90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 name="Picture 907">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49550" cy="353060"/>
                  </a:xfrm>
                  <a:prstGeom prst="rect">
                    <a:avLst/>
                  </a:prstGeom>
                  <a:noFill/>
                  <a:ln>
                    <a:noFill/>
                  </a:ln>
                </pic:spPr>
              </pic:pic>
            </a:graphicData>
          </a:graphic>
        </wp:anchor>
      </w:drawing>
    </w:r>
  </w:p>
  <w:p w14:paraId="70AD67F4" w14:textId="40356E1B" w:rsidR="009C1A5C" w:rsidRDefault="009C1A5C" w:rsidP="005F75EF">
    <w:pPr>
      <w:pStyle w:val="Header"/>
      <w:ind w:left="3600"/>
      <w:jc w:val="right"/>
    </w:pPr>
    <w:r>
      <w:rPr>
        <w:sz w:val="18"/>
      </w:rPr>
      <w:t>Geotechnical Design</w:t>
    </w:r>
  </w:p>
  <w:p w14:paraId="4779EFDB" w14:textId="77777777" w:rsidR="009C1A5C" w:rsidRDefault="009C1A5C">
    <w:pPr>
      <w:pStyle w:val="Header"/>
      <w:jc w:val="right"/>
    </w:pPr>
    <w:r>
      <w:rPr>
        <w:sz w:val="18"/>
      </w:rPr>
      <w:t>Section 01: Earthwork (Excavation)</w:t>
    </w:r>
  </w:p>
  <w:p w14:paraId="2BF373E9" w14:textId="77777777" w:rsidR="009C1A5C" w:rsidRDefault="009C1A5C">
    <w:pPr>
      <w:pStyle w:val="Header"/>
      <w:ind w:left="3600"/>
      <w:jc w:val="right"/>
      <w:rPr>
        <w:sz w:val="20"/>
      </w:rPr>
    </w:pPr>
    <w:r>
      <w:rPr>
        <w:noProof/>
        <w:sz w:val="20"/>
      </w:rPr>
      <mc:AlternateContent>
        <mc:Choice Requires="wps">
          <w:drawing>
            <wp:anchor distT="0" distB="0" distL="114300" distR="114300" simplePos="0" relativeHeight="251792896" behindDoc="0" locked="0" layoutInCell="0" allowOverlap="1" wp14:anchorId="5A8C987B" wp14:editId="1798FEBF">
              <wp:simplePos x="0" y="0"/>
              <wp:positionH relativeFrom="column">
                <wp:posOffset>9525</wp:posOffset>
              </wp:positionH>
              <wp:positionV relativeFrom="paragraph">
                <wp:posOffset>22225</wp:posOffset>
              </wp:positionV>
              <wp:extent cx="5467350" cy="0"/>
              <wp:effectExtent l="9525" t="6985" r="9525" b="12065"/>
              <wp:wrapNone/>
              <wp:docPr id="3322" name="Line 4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67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804057" id="Line 426" o:spid="_x0000_s1026" alt="&quot;&quot;" style="position:absolute;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1.75pt" to="431.2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" o:allowincell="f"/>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0B84B6" w14:textId="0EF8F11C" w:rsidR="009C1A5C" w:rsidRDefault="009C1A5C">
    <w:pPr>
      <w:pStyle w:val="Header"/>
      <w:ind w:left="3600"/>
      <w:jc w:val="right"/>
    </w:pPr>
    <w:r>
      <w:rPr>
        <w:sz w:val="18"/>
      </w:rPr>
      <w:t>Preliminary Procedures</w:t>
    </w:r>
  </w:p>
  <w:p w14:paraId="30EEE979" w14:textId="77777777" w:rsidR="009C1A5C" w:rsidRDefault="009C1A5C">
    <w:pPr>
      <w:pStyle w:val="Header"/>
      <w:jc w:val="right"/>
    </w:pPr>
    <w:r>
      <w:rPr>
        <w:sz w:val="18"/>
      </w:rPr>
      <w:t>Section 03: Records Review</w:t>
    </w:r>
  </w:p>
  <w:p w14:paraId="587F9901" w14:textId="271EDDEE" w:rsidR="009C1A5C" w:rsidRDefault="009C1A5C">
    <w:pPr>
      <w:pStyle w:val="Header"/>
      <w:ind w:left="3600"/>
      <w:jc w:val="right"/>
      <w:rPr>
        <w:sz w:val="20"/>
      </w:rP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2BEAA" w14:textId="77777777" w:rsidR="009C1A5C" w:rsidRDefault="009C1A5C">
    <w:pPr>
      <w:pStyle w:val="Heade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F43E84" w14:textId="36ED7D5E" w:rsidR="009C1A5C" w:rsidRDefault="009C1A5C">
    <w:pPr>
      <w:pStyle w:val="Header"/>
      <w:ind w:left="3600"/>
      <w:jc w:val="right"/>
      <w:rPr>
        <w:sz w:val="18"/>
      </w:rPr>
    </w:pPr>
  </w:p>
  <w:p w14:paraId="4F0F2FA9" w14:textId="77777777" w:rsidR="009C1A5C" w:rsidRDefault="009C1A5C" w:rsidP="005F75EF">
    <w:pPr>
      <w:pStyle w:val="Header"/>
      <w:ind w:left="3600"/>
      <w:jc w:val="right"/>
    </w:pPr>
    <w:r>
      <w:rPr>
        <w:sz w:val="18"/>
      </w:rPr>
      <w:t>Geotechnical Design</w:t>
    </w:r>
  </w:p>
  <w:p w14:paraId="14A43AD7" w14:textId="77777777" w:rsidR="009C1A5C" w:rsidRDefault="009C1A5C">
    <w:pPr>
      <w:pStyle w:val="Header"/>
      <w:jc w:val="right"/>
    </w:pPr>
    <w:r>
      <w:rPr>
        <w:sz w:val="18"/>
      </w:rPr>
      <w:t>Section 01: Earthwork (Excavation)</w:t>
    </w:r>
  </w:p>
  <w:p w14:paraId="7B7218C7" w14:textId="26758B4D" w:rsidR="009C1A5C" w:rsidRDefault="009C1A5C">
    <w:pPr>
      <w:pStyle w:val="Header"/>
      <w:ind w:left="3600"/>
      <w:jc w:val="right"/>
      <w:rPr>
        <w:sz w:val="20"/>
      </w:rPr>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22A94" w14:textId="77777777" w:rsidR="009C1A5C" w:rsidRDefault="009C1A5C">
    <w:pPr>
      <w:pStyle w:val="Header"/>
    </w:pP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33D3D" w14:textId="66352DD6" w:rsidR="009C1A5C" w:rsidRDefault="009C1A5C">
    <w:pPr>
      <w:pStyle w:val="Header"/>
    </w:pP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F082AC" w14:textId="77777777" w:rsidR="009C1A5C" w:rsidRDefault="009C1A5C">
    <w:pPr>
      <w:pStyle w:val="Header"/>
    </w:pP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5E4B8" w14:textId="77777777" w:rsidR="009C1A5C" w:rsidRDefault="009C1A5C">
    <w:pPr>
      <w:pStyle w:val="Header"/>
    </w:pP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BFA7AC" w14:textId="4FEF5457" w:rsidR="009C1A5C" w:rsidRDefault="009C1A5C">
    <w:pPr>
      <w:pStyle w:val="Header"/>
      <w:ind w:left="3600"/>
      <w:jc w:val="right"/>
      <w:rPr>
        <w:sz w:val="18"/>
      </w:rPr>
    </w:pPr>
  </w:p>
  <w:p w14:paraId="3B9020C4" w14:textId="77777777" w:rsidR="009C1A5C" w:rsidRDefault="009C1A5C">
    <w:pPr>
      <w:pStyle w:val="Header"/>
      <w:ind w:left="3600"/>
      <w:jc w:val="right"/>
    </w:pPr>
    <w:r>
      <w:rPr>
        <w:sz w:val="18"/>
      </w:rPr>
      <w:t>Geotechnical Design</w:t>
    </w:r>
  </w:p>
  <w:p w14:paraId="2345CA49" w14:textId="6F26DC41" w:rsidR="009C1A5C" w:rsidRDefault="009C1A5C">
    <w:pPr>
      <w:pStyle w:val="Header"/>
      <w:jc w:val="right"/>
    </w:pPr>
    <w:r>
      <w:rPr>
        <w:sz w:val="18"/>
      </w:rPr>
      <w:t>Section 02: Slopes</w:t>
    </w:r>
  </w:p>
  <w:p w14:paraId="476E0625" w14:textId="234EADD7" w:rsidR="009C1A5C" w:rsidRDefault="009C1A5C">
    <w:pPr>
      <w:pStyle w:val="Header"/>
      <w:ind w:left="3600"/>
      <w:jc w:val="right"/>
      <w:rPr>
        <w:sz w:val="20"/>
      </w:rPr>
    </w:pP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A326A" w14:textId="77777777" w:rsidR="009C1A5C" w:rsidRDefault="009C1A5C">
    <w:pPr>
      <w:pStyle w:val="Header"/>
    </w:pP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A2223D" w14:textId="77777777" w:rsidR="009C1A5C" w:rsidRDefault="009C1A5C">
    <w:pPr>
      <w:pStyle w:val="Header"/>
    </w:pP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1FC8F4" w14:textId="59DFB5CA" w:rsidR="009C1A5C" w:rsidRDefault="00114B9F" w:rsidP="00272B52">
    <w:pPr>
      <w:pStyle w:val="Header"/>
      <w:tabs>
        <w:tab w:val="left" w:pos="390"/>
      </w:tabs>
      <w:jc w:val="center"/>
      <w:rPr>
        <w:sz w:val="18"/>
      </w:rPr>
    </w:pPr>
    <w:r>
      <w:rPr>
        <w:sz w:val="18"/>
      </w:rPr>
      <w:tab/>
    </w:r>
    <w:r>
      <w:rPr>
        <w:sz w:val="18"/>
      </w:rPr>
      <w:tab/>
    </w:r>
    <w:r w:rsidR="009C1A5C">
      <w:rPr>
        <w:sz w:val="18"/>
      </w:rPr>
      <w:tab/>
      <w:t>Geotechnical Design</w:t>
    </w:r>
  </w:p>
  <w:p w14:paraId="356CFFC0" w14:textId="341D3DF2" w:rsidR="009C1A5C" w:rsidRDefault="009C1A5C" w:rsidP="007E61DF">
    <w:pPr>
      <w:pStyle w:val="Header"/>
      <w:jc w:val="right"/>
    </w:pPr>
    <w:r>
      <w:rPr>
        <w:sz w:val="18"/>
      </w:rPr>
      <w:t xml:space="preserve">        Section 03: Embankments</w:t>
    </w:r>
  </w:p>
  <w:p w14:paraId="319C2AB0" w14:textId="77777777" w:rsidR="009C1A5C" w:rsidRPr="001B49D3" w:rsidRDefault="009C1A5C" w:rsidP="007E61DF">
    <w:pPr>
      <w:pStyle w:val="Header"/>
      <w:jc w:val="right"/>
      <w:rPr>
        <w:sz w:val="1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A91224" w14:textId="7F467BDC" w:rsidR="009C1A5C" w:rsidRDefault="009C1A5C">
    <w:pPr>
      <w:pStyle w:val="Header"/>
      <w:ind w:left="3600"/>
      <w:jc w:val="right"/>
    </w:pPr>
    <w:r>
      <w:rPr>
        <w:sz w:val="18"/>
      </w:rPr>
      <w:t>Preliminary Procedures</w:t>
    </w:r>
  </w:p>
  <w:p w14:paraId="7B29A9BE" w14:textId="1FBC206C" w:rsidR="009C1A5C" w:rsidRDefault="009C1A5C">
    <w:pPr>
      <w:pStyle w:val="Header"/>
      <w:jc w:val="right"/>
    </w:pPr>
    <w:r>
      <w:rPr>
        <w:sz w:val="18"/>
      </w:rPr>
      <w:t>Section 04: OMT Internal Meetings</w:t>
    </w:r>
  </w:p>
  <w:p w14:paraId="0861E6D9" w14:textId="034A1C62" w:rsidR="009C1A5C" w:rsidRDefault="009C1A5C">
    <w:pPr>
      <w:pStyle w:val="Header"/>
      <w:ind w:left="3600"/>
      <w:jc w:val="right"/>
      <w:rPr>
        <w:sz w:val="20"/>
      </w:rPr>
    </w:pP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7C7B9" w14:textId="77777777" w:rsidR="009C1A5C" w:rsidRDefault="009C1A5C">
    <w:pPr>
      <w:pStyle w:val="Header"/>
    </w:pP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3A0" w14:textId="77777777" w:rsidR="009C1A5C" w:rsidRDefault="009C1A5C">
    <w:pPr>
      <w:pStyle w:val="Header"/>
    </w:pP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34A738" w14:textId="4CADFA87" w:rsidR="009C1A5C" w:rsidRDefault="009C1A5C" w:rsidP="00364B1B">
    <w:pPr>
      <w:pStyle w:val="Header"/>
      <w:ind w:left="3600"/>
      <w:jc w:val="right"/>
      <w:rPr>
        <w:sz w:val="18"/>
      </w:rPr>
    </w:pPr>
    <w:r>
      <w:rPr>
        <w:sz w:val="18"/>
      </w:rPr>
      <w:tab/>
      <w:t xml:space="preserve"> </w:t>
    </w:r>
  </w:p>
  <w:p w14:paraId="4BFFD2B4" w14:textId="39753543" w:rsidR="009C1A5C" w:rsidRDefault="009C1A5C" w:rsidP="00272B52">
    <w:pPr>
      <w:pStyle w:val="Header"/>
      <w:jc w:val="center"/>
      <w:rPr>
        <w:sz w:val="18"/>
      </w:rPr>
    </w:pPr>
    <w:r>
      <w:rPr>
        <w:sz w:val="18"/>
      </w:rPr>
      <w:tab/>
    </w:r>
    <w:r w:rsidR="00C14986">
      <w:rPr>
        <w:sz w:val="18"/>
      </w:rPr>
      <w:tab/>
    </w:r>
    <w:r>
      <w:rPr>
        <w:sz w:val="18"/>
      </w:rPr>
      <w:t>Geotechnical Design</w:t>
    </w:r>
  </w:p>
  <w:p w14:paraId="3043288C" w14:textId="0015C04E" w:rsidR="009C1A5C" w:rsidRDefault="009C1A5C" w:rsidP="007E61DF">
    <w:pPr>
      <w:pStyle w:val="Header"/>
      <w:jc w:val="right"/>
    </w:pPr>
    <w:r>
      <w:rPr>
        <w:sz w:val="18"/>
      </w:rPr>
      <w:t>Section 04: Subgrades</w:t>
    </w:r>
  </w:p>
  <w:p w14:paraId="1B773E94" w14:textId="77777777" w:rsidR="009C1A5C" w:rsidRPr="001B49D3" w:rsidRDefault="009C1A5C" w:rsidP="007E61DF">
    <w:pPr>
      <w:pStyle w:val="Header"/>
      <w:jc w:val="right"/>
      <w:rPr>
        <w:sz w:val="18"/>
      </w:rPr>
    </w:pP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5C7A2" w14:textId="77777777" w:rsidR="009C1A5C" w:rsidRDefault="009C1A5C">
    <w:pPr>
      <w:pStyle w:val="Header"/>
    </w:pP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99E6D" w14:textId="42123A57" w:rsidR="009C1A5C" w:rsidRDefault="009C1A5C">
    <w:pPr>
      <w:pStyle w:val="Header"/>
    </w:pP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D3E46" w14:textId="354141AA" w:rsidR="009C1A5C" w:rsidRDefault="009C1A5C" w:rsidP="005B1744">
    <w:pPr>
      <w:pStyle w:val="Header"/>
      <w:rPr>
        <w:sz w:val="18"/>
      </w:rPr>
    </w:pPr>
  </w:p>
  <w:p w14:paraId="043AC8F8" w14:textId="5B942CF2" w:rsidR="009C1A5C" w:rsidRDefault="009C1A5C" w:rsidP="00F60DA2">
    <w:pPr>
      <w:pStyle w:val="Header"/>
      <w:tabs>
        <w:tab w:val="left" w:pos="975"/>
      </w:tabs>
      <w:rPr>
        <w:sz w:val="18"/>
      </w:rPr>
    </w:pPr>
    <w:r>
      <w:rPr>
        <w:sz w:val="18"/>
      </w:rPr>
      <w:tab/>
    </w:r>
    <w:r>
      <w:rPr>
        <w:sz w:val="18"/>
      </w:rPr>
      <w:tab/>
    </w:r>
    <w:r>
      <w:rPr>
        <w:sz w:val="18"/>
      </w:rPr>
      <w:tab/>
      <w:t>Geotechnical Design</w:t>
    </w:r>
  </w:p>
  <w:p w14:paraId="5E3C74C9" w14:textId="6A3CD8F6" w:rsidR="009C1A5C" w:rsidRDefault="009C1A5C">
    <w:pPr>
      <w:pStyle w:val="Header"/>
      <w:jc w:val="right"/>
      <w:rPr>
        <w:sz w:val="18"/>
      </w:rPr>
    </w:pPr>
    <w:r>
      <w:rPr>
        <w:sz w:val="18"/>
      </w:rPr>
      <w:t>Section 05: Retaining Walls</w:t>
    </w:r>
  </w:p>
  <w:p w14:paraId="5D9F2C01" w14:textId="77777777" w:rsidR="009C1A5C" w:rsidRDefault="009C1A5C">
    <w:pPr>
      <w:pStyle w:val="Header"/>
      <w:jc w:val="right"/>
    </w:pPr>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4A7E9" w14:textId="62B149A4" w:rsidR="009C1A5C" w:rsidRDefault="009C1A5C">
    <w:pPr>
      <w:pStyle w:val="Header"/>
      <w:jc w:val="right"/>
      <w:rPr>
        <w:sz w:val="18"/>
      </w:rPr>
    </w:pPr>
  </w:p>
  <w:p w14:paraId="42DA59E8" w14:textId="20560FB2" w:rsidR="009C1A5C" w:rsidRDefault="009C1A5C">
    <w:pPr>
      <w:pStyle w:val="Header"/>
      <w:jc w:val="right"/>
      <w:rPr>
        <w:sz w:val="18"/>
      </w:rPr>
    </w:pPr>
    <w:r>
      <w:rPr>
        <w:sz w:val="18"/>
      </w:rPr>
      <w:t>Geotechnical Design</w:t>
    </w:r>
  </w:p>
  <w:p w14:paraId="4DB7DEF7" w14:textId="47205460" w:rsidR="009C1A5C" w:rsidRDefault="009C1A5C">
    <w:pPr>
      <w:pStyle w:val="Header"/>
      <w:jc w:val="right"/>
      <w:rPr>
        <w:sz w:val="18"/>
      </w:rPr>
    </w:pPr>
    <w:r>
      <w:rPr>
        <w:sz w:val="18"/>
      </w:rPr>
      <w:t>Section 06: Stormwater Management</w:t>
    </w:r>
  </w:p>
  <w:p w14:paraId="707C1B69" w14:textId="77777777" w:rsidR="009C1A5C" w:rsidRDefault="009C1A5C">
    <w:pPr>
      <w:pStyle w:val="Header"/>
      <w:jc w:val="right"/>
    </w:pPr>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7FF0D" w14:textId="698CF591" w:rsidR="009C1A5C" w:rsidRDefault="009C1A5C" w:rsidP="00F60DA2">
    <w:pPr>
      <w:pStyle w:val="Header"/>
      <w:tabs>
        <w:tab w:val="left" w:pos="975"/>
      </w:tabs>
      <w:rPr>
        <w:sz w:val="18"/>
      </w:rPr>
    </w:pPr>
  </w:p>
  <w:p w14:paraId="54F089A3" w14:textId="770142ED" w:rsidR="009C1A5C" w:rsidRDefault="009C1A5C">
    <w:pPr>
      <w:pStyle w:val="Header"/>
      <w:jc w:val="right"/>
      <w:rPr>
        <w:sz w:val="18"/>
      </w:rPr>
    </w:pPr>
    <w:r>
      <w:rPr>
        <w:sz w:val="18"/>
      </w:rPr>
      <w:t>Geotechnical Design</w:t>
    </w:r>
  </w:p>
  <w:p w14:paraId="2ADD0C0E" w14:textId="2924C641" w:rsidR="009C1A5C" w:rsidRDefault="009C1A5C">
    <w:pPr>
      <w:pStyle w:val="Header"/>
      <w:jc w:val="right"/>
      <w:rPr>
        <w:sz w:val="18"/>
      </w:rPr>
    </w:pPr>
    <w:r>
      <w:rPr>
        <w:sz w:val="18"/>
      </w:rPr>
      <w:t>Section 07: Miscellaneous</w:t>
    </w:r>
  </w:p>
  <w:p w14:paraId="6A448255" w14:textId="77777777" w:rsidR="009C1A5C" w:rsidRDefault="009C1A5C">
    <w:pPr>
      <w:pStyle w:val="Header"/>
      <w:jc w:val="right"/>
    </w:pPr>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02F93" w14:textId="2703243C" w:rsidR="009C1A5C" w:rsidRDefault="009C1A5C" w:rsidP="008F14E8">
    <w:pPr>
      <w:pStyle w:val="Header"/>
      <w:rPr>
        <w:sz w:val="18"/>
      </w:rPr>
    </w:pPr>
  </w:p>
  <w:p w14:paraId="51FE0E04" w14:textId="77777777" w:rsidR="009C1A5C" w:rsidRDefault="009C1A5C">
    <w:pPr>
      <w:pStyle w:val="Header"/>
      <w:jc w:val="right"/>
      <w:rPr>
        <w:sz w:val="18"/>
      </w:rPr>
    </w:pPr>
    <w:r>
      <w:rPr>
        <w:sz w:val="18"/>
      </w:rPr>
      <w:t>Geotechnical Design</w:t>
    </w:r>
  </w:p>
  <w:p w14:paraId="1A6C93B6" w14:textId="205AAF02" w:rsidR="009C1A5C" w:rsidRDefault="009C1A5C">
    <w:pPr>
      <w:pStyle w:val="Header"/>
      <w:jc w:val="right"/>
      <w:rPr>
        <w:sz w:val="18"/>
      </w:rPr>
    </w:pPr>
    <w:r>
      <w:rPr>
        <w:sz w:val="18"/>
      </w:rPr>
      <w:t>Section 08: Subsurface Drainage</w:t>
    </w:r>
  </w:p>
  <w:p w14:paraId="1EC2923B" w14:textId="77777777" w:rsidR="009C1A5C" w:rsidRDefault="009C1A5C">
    <w:pPr>
      <w:pStyle w:val="Header"/>
      <w:jc w:val="right"/>
    </w:pPr>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B1FEE" w14:textId="6ACEFC09" w:rsidR="009C1A5C" w:rsidRDefault="009C1A5C">
    <w:pPr>
      <w:pStyle w:val="Header"/>
      <w:ind w:left="3600"/>
      <w:jc w:val="right"/>
      <w:rPr>
        <w:sz w:val="18"/>
      </w:rPr>
    </w:pPr>
  </w:p>
  <w:p w14:paraId="7084CA12" w14:textId="2DC3BD38" w:rsidR="009C1A5C" w:rsidRDefault="009C1A5C">
    <w:pPr>
      <w:pStyle w:val="Header"/>
      <w:ind w:left="3600"/>
      <w:jc w:val="right"/>
    </w:pPr>
    <w:r>
      <w:rPr>
        <w:sz w:val="18"/>
      </w:rPr>
      <w:t>Deliverables and Report</w:t>
    </w:r>
  </w:p>
  <w:p w14:paraId="314901DC" w14:textId="796748EF" w:rsidR="009C1A5C" w:rsidRDefault="009C1A5C">
    <w:pPr>
      <w:pStyle w:val="Header"/>
      <w:jc w:val="right"/>
    </w:pPr>
    <w:r>
      <w:rPr>
        <w:sz w:val="18"/>
      </w:rPr>
      <w:t>Section 01: Preliminary Pavement Recommendation</w:t>
    </w:r>
  </w:p>
  <w:p w14:paraId="58D92F5C" w14:textId="51DB3526" w:rsidR="009C1A5C" w:rsidRDefault="009C1A5C">
    <w:pPr>
      <w:pStyle w:val="Header"/>
      <w:ind w:left="3600"/>
      <w:jc w:val="right"/>
      <w:rPr>
        <w:sz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BF7CA1" w14:textId="4E0AAC12" w:rsidR="009C1A5C" w:rsidRDefault="009C1A5C">
    <w:pPr>
      <w:pStyle w:val="Header"/>
      <w:ind w:left="3600"/>
      <w:jc w:val="right"/>
    </w:pPr>
    <w:r>
      <w:rPr>
        <w:sz w:val="18"/>
      </w:rPr>
      <w:t>Preliminary Procedures</w:t>
    </w:r>
  </w:p>
  <w:p w14:paraId="171D0B80" w14:textId="77777777" w:rsidR="009C1A5C" w:rsidRDefault="009C1A5C">
    <w:pPr>
      <w:pStyle w:val="Header"/>
      <w:jc w:val="right"/>
    </w:pPr>
    <w:r>
      <w:rPr>
        <w:sz w:val="18"/>
      </w:rPr>
      <w:t>Section 05: Site Reconnaissance</w:t>
    </w:r>
  </w:p>
  <w:p w14:paraId="504EED43" w14:textId="2D594C4A" w:rsidR="009C1A5C" w:rsidRDefault="009C1A5C">
    <w:pPr>
      <w:pStyle w:val="Header"/>
      <w:ind w:left="3600"/>
      <w:jc w:val="right"/>
      <w:rPr>
        <w:sz w:val="20"/>
      </w:rPr>
    </w:pPr>
  </w:p>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C0A86" w14:textId="5745CA8B" w:rsidR="009C1A5C" w:rsidRDefault="009C1A5C">
    <w:pPr>
      <w:pStyle w:val="Header"/>
      <w:ind w:left="3600"/>
      <w:jc w:val="right"/>
      <w:rPr>
        <w:sz w:val="18"/>
      </w:rPr>
    </w:pPr>
  </w:p>
  <w:p w14:paraId="1E2C97CA" w14:textId="197A72C5" w:rsidR="009C1A5C" w:rsidRDefault="009C1A5C">
    <w:pPr>
      <w:pStyle w:val="Header"/>
      <w:ind w:left="3600"/>
      <w:jc w:val="right"/>
    </w:pPr>
    <w:r>
      <w:rPr>
        <w:sz w:val="18"/>
      </w:rPr>
      <w:t>Deliverables and Report</w:t>
    </w:r>
  </w:p>
  <w:p w14:paraId="2FC7E372" w14:textId="77777777" w:rsidR="009C1A5C" w:rsidRDefault="009C1A5C">
    <w:pPr>
      <w:pStyle w:val="Header"/>
      <w:jc w:val="right"/>
    </w:pPr>
    <w:r>
      <w:rPr>
        <w:sz w:val="18"/>
      </w:rPr>
      <w:t>Section 02: Advanced Geotechnical Report</w:t>
    </w:r>
  </w:p>
  <w:p w14:paraId="226D55B2" w14:textId="26DD569F" w:rsidR="009C1A5C" w:rsidRDefault="009C1A5C">
    <w:pPr>
      <w:pStyle w:val="Header"/>
      <w:ind w:left="3600"/>
      <w:jc w:val="right"/>
      <w:rPr>
        <w:sz w:val="20"/>
      </w:rPr>
    </w:pPr>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BB3C39" w14:textId="0C113364" w:rsidR="009C1A5C" w:rsidRDefault="009C1A5C">
    <w:pPr>
      <w:pStyle w:val="Header"/>
      <w:jc w:val="right"/>
      <w:rPr>
        <w:sz w:val="18"/>
      </w:rPr>
    </w:pPr>
  </w:p>
  <w:p w14:paraId="1E0211D4" w14:textId="3A0290A8" w:rsidR="009C1A5C" w:rsidRDefault="009C1A5C">
    <w:pPr>
      <w:pStyle w:val="Header"/>
      <w:jc w:val="right"/>
      <w:rPr>
        <w:sz w:val="18"/>
      </w:rPr>
    </w:pPr>
    <w:r>
      <w:rPr>
        <w:sz w:val="18"/>
      </w:rPr>
      <w:t>Deliverables and Report</w:t>
    </w:r>
  </w:p>
  <w:p w14:paraId="5072B18E" w14:textId="42DC5E08" w:rsidR="009C1A5C" w:rsidRDefault="009C1A5C">
    <w:pPr>
      <w:pStyle w:val="Header"/>
      <w:jc w:val="right"/>
      <w:rPr>
        <w:sz w:val="18"/>
      </w:rPr>
    </w:pPr>
    <w:r>
      <w:rPr>
        <w:sz w:val="18"/>
      </w:rPr>
      <w:t>Section 03: Final Pavement &amp; Geotechnical Report</w:t>
    </w:r>
  </w:p>
  <w:p w14:paraId="353D9E7F" w14:textId="77777777" w:rsidR="009C1A5C" w:rsidRDefault="009C1A5C">
    <w:pPr>
      <w:pStyle w:val="Header"/>
      <w:jc w:val="right"/>
    </w:pPr>
  </w:p>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4D44E" w14:textId="71A63F8A" w:rsidR="009C1A5C" w:rsidRDefault="009C1A5C">
    <w:pPr>
      <w:pStyle w:val="Header"/>
      <w:jc w:val="right"/>
      <w:rPr>
        <w:sz w:val="18"/>
      </w:rPr>
    </w:pPr>
  </w:p>
  <w:p w14:paraId="7991B390" w14:textId="77777777" w:rsidR="009C1A5C" w:rsidRDefault="009C1A5C">
    <w:pPr>
      <w:pStyle w:val="Header"/>
      <w:jc w:val="right"/>
      <w:rPr>
        <w:sz w:val="18"/>
      </w:rPr>
    </w:pPr>
    <w:r>
      <w:rPr>
        <w:sz w:val="18"/>
      </w:rPr>
      <w:t>Deliverables and Report</w:t>
    </w:r>
  </w:p>
  <w:p w14:paraId="65A2857C" w14:textId="1576B542" w:rsidR="009C1A5C" w:rsidRDefault="009C1A5C">
    <w:pPr>
      <w:pStyle w:val="Header"/>
      <w:jc w:val="right"/>
      <w:rPr>
        <w:sz w:val="18"/>
      </w:rPr>
    </w:pPr>
    <w:r>
      <w:rPr>
        <w:sz w:val="18"/>
      </w:rPr>
      <w:t>Section 04: Topsoil Memo</w:t>
    </w:r>
  </w:p>
  <w:p w14:paraId="06C49D7C" w14:textId="77777777" w:rsidR="009C1A5C" w:rsidRDefault="009C1A5C">
    <w:pPr>
      <w:pStyle w:val="Header"/>
      <w:jc w:val="right"/>
    </w:pPr>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5BB3F2" w14:textId="083E756F" w:rsidR="009C1A5C" w:rsidRDefault="009C1A5C" w:rsidP="00F60DA2">
    <w:pPr>
      <w:pStyle w:val="Header"/>
      <w:tabs>
        <w:tab w:val="left" w:pos="1035"/>
      </w:tabs>
      <w:rPr>
        <w:sz w:val="18"/>
      </w:rPr>
    </w:pPr>
    <w:r>
      <w:rPr>
        <w:sz w:val="18"/>
      </w:rPr>
      <w:tab/>
    </w:r>
    <w:r>
      <w:rPr>
        <w:sz w:val="18"/>
      </w:rPr>
      <w:tab/>
    </w:r>
    <w:r>
      <w:rPr>
        <w:sz w:val="18"/>
      </w:rPr>
      <w:tab/>
      <w:t>Deliverables and Report</w:t>
    </w:r>
  </w:p>
  <w:p w14:paraId="58130090" w14:textId="4939294B" w:rsidR="009C1A5C" w:rsidRDefault="009C1A5C">
    <w:pPr>
      <w:pStyle w:val="Header"/>
      <w:jc w:val="right"/>
      <w:rPr>
        <w:sz w:val="18"/>
      </w:rPr>
    </w:pPr>
    <w:r>
      <w:rPr>
        <w:sz w:val="18"/>
      </w:rPr>
      <w:t>Section 05: Plans, IFB, and Estimate Comments</w:t>
    </w:r>
  </w:p>
  <w:p w14:paraId="1D7A8099" w14:textId="77777777" w:rsidR="009C1A5C" w:rsidRDefault="009C1A5C">
    <w:pPr>
      <w:pStyle w:val="Header"/>
      <w:jc w:val="right"/>
    </w:pPr>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4584E6" w14:textId="21E6E34B" w:rsidR="009C1A5C" w:rsidRDefault="009C1A5C">
    <w:pPr>
      <w:pStyle w:val="Header"/>
      <w:jc w:val="right"/>
      <w:rPr>
        <w:sz w:val="18"/>
      </w:rPr>
    </w:pPr>
  </w:p>
  <w:p w14:paraId="34082D1E" w14:textId="77777777" w:rsidR="009C1A5C" w:rsidRDefault="009C1A5C">
    <w:pPr>
      <w:pStyle w:val="Header"/>
      <w:jc w:val="right"/>
      <w:rPr>
        <w:sz w:val="18"/>
      </w:rPr>
    </w:pPr>
    <w:r>
      <w:rPr>
        <w:sz w:val="18"/>
      </w:rPr>
      <w:t>Deliverables and Report</w:t>
    </w:r>
  </w:p>
  <w:p w14:paraId="38B7AF44" w14:textId="1C844F01" w:rsidR="009C1A5C" w:rsidRDefault="009C1A5C">
    <w:pPr>
      <w:pStyle w:val="Header"/>
      <w:jc w:val="right"/>
      <w:rPr>
        <w:sz w:val="18"/>
      </w:rPr>
    </w:pPr>
    <w:r>
      <w:rPr>
        <w:sz w:val="18"/>
      </w:rPr>
      <w:t>Section 06: Other Reports</w:t>
    </w:r>
  </w:p>
  <w:p w14:paraId="22AB1933" w14:textId="77777777" w:rsidR="009C1A5C" w:rsidRDefault="009C1A5C">
    <w:pPr>
      <w:pStyle w:val="Header"/>
      <w:jc w:val="right"/>
    </w:pPr>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B12E9C" w14:textId="1524F92F" w:rsidR="009C1A5C" w:rsidRDefault="009C1A5C">
    <w:pPr>
      <w:pStyle w:val="Header"/>
      <w:jc w:val="right"/>
      <w:rPr>
        <w:sz w:val="18"/>
      </w:rPr>
    </w:pPr>
  </w:p>
  <w:p w14:paraId="2755CA73" w14:textId="77777777" w:rsidR="009C1A5C" w:rsidRDefault="009C1A5C">
    <w:pPr>
      <w:pStyle w:val="Header"/>
      <w:jc w:val="right"/>
      <w:rPr>
        <w:sz w:val="18"/>
      </w:rPr>
    </w:pPr>
    <w:r>
      <w:rPr>
        <w:sz w:val="18"/>
      </w:rPr>
      <w:t>Deliverables and Report</w:t>
    </w:r>
  </w:p>
  <w:p w14:paraId="214464F6" w14:textId="6A9C134B" w:rsidR="009C1A5C" w:rsidRDefault="009C1A5C">
    <w:pPr>
      <w:pStyle w:val="Header"/>
      <w:jc w:val="right"/>
      <w:rPr>
        <w:sz w:val="18"/>
      </w:rPr>
    </w:pPr>
    <w:r>
      <w:rPr>
        <w:sz w:val="18"/>
      </w:rPr>
      <w:t>Section 07: Construction and Material Specifications</w:t>
    </w:r>
  </w:p>
  <w:p w14:paraId="1525014A" w14:textId="77777777" w:rsidR="009C1A5C" w:rsidRDefault="009C1A5C">
    <w:pPr>
      <w:pStyle w:val="Header"/>
      <w:jc w:val="right"/>
    </w:pPr>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9A304A" w14:textId="3C54C809" w:rsidR="009C1A5C" w:rsidRDefault="009C1A5C">
    <w:pPr>
      <w:pStyle w:val="Header"/>
      <w:jc w:val="right"/>
      <w:rPr>
        <w:sz w:val="18"/>
      </w:rPr>
    </w:pPr>
  </w:p>
  <w:p w14:paraId="503B6D75" w14:textId="77777777" w:rsidR="009C1A5C" w:rsidRDefault="009C1A5C">
    <w:pPr>
      <w:pStyle w:val="Header"/>
      <w:jc w:val="right"/>
      <w:rPr>
        <w:sz w:val="18"/>
      </w:rPr>
    </w:pPr>
    <w:r>
      <w:rPr>
        <w:sz w:val="18"/>
      </w:rPr>
      <w:t>Deliverables and Report</w:t>
    </w:r>
  </w:p>
  <w:p w14:paraId="12E314E6" w14:textId="1347B06F" w:rsidR="009C1A5C" w:rsidRDefault="009C1A5C">
    <w:pPr>
      <w:pStyle w:val="Header"/>
      <w:jc w:val="right"/>
      <w:rPr>
        <w:sz w:val="18"/>
      </w:rPr>
    </w:pPr>
    <w:r>
      <w:rPr>
        <w:sz w:val="18"/>
      </w:rPr>
      <w:t>Section 08: Management Review &amp; QA</w:t>
    </w:r>
  </w:p>
  <w:p w14:paraId="4CDCCB1D" w14:textId="77777777" w:rsidR="009C1A5C" w:rsidRDefault="009C1A5C">
    <w:pPr>
      <w:pStyle w:val="Header"/>
      <w:jc w:val="right"/>
    </w:pPr>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10883" w14:textId="5D65F7D6" w:rsidR="009C1A5C" w:rsidRDefault="009C1A5C">
    <w:pPr>
      <w:pStyle w:val="Header"/>
      <w:jc w:val="right"/>
      <w:rPr>
        <w:sz w:val="18"/>
      </w:rPr>
    </w:pPr>
  </w:p>
  <w:p w14:paraId="32004A67" w14:textId="77777777" w:rsidR="009C1A5C" w:rsidRDefault="009C1A5C">
    <w:pPr>
      <w:pStyle w:val="Header"/>
      <w:jc w:val="right"/>
      <w:rPr>
        <w:sz w:val="18"/>
      </w:rPr>
    </w:pPr>
    <w:r>
      <w:rPr>
        <w:sz w:val="18"/>
      </w:rPr>
      <w:t>Appendices</w:t>
    </w:r>
  </w:p>
  <w:p w14:paraId="50332FD4" w14:textId="01AC8C7C" w:rsidR="009C1A5C" w:rsidRDefault="009C1A5C">
    <w:pPr>
      <w:pStyle w:val="Header"/>
      <w:jc w:val="right"/>
      <w:rPr>
        <w:sz w:val="18"/>
      </w:rPr>
    </w:pPr>
    <w:r>
      <w:rPr>
        <w:sz w:val="18"/>
      </w:rPr>
      <w:t>Section 01: Glossary</w:t>
    </w:r>
  </w:p>
  <w:p w14:paraId="44A52337" w14:textId="77777777" w:rsidR="009C1A5C" w:rsidRDefault="009C1A5C">
    <w:pPr>
      <w:pStyle w:val="Header"/>
      <w:jc w:val="right"/>
    </w:pPr>
  </w:p>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E59FD0" w14:textId="28B2EFE4" w:rsidR="009C1A5C" w:rsidRDefault="009C1A5C">
    <w:pPr>
      <w:pStyle w:val="Header"/>
      <w:jc w:val="right"/>
      <w:rPr>
        <w:sz w:val="18"/>
      </w:rPr>
    </w:pPr>
    <w:r>
      <w:rPr>
        <w:sz w:val="18"/>
      </w:rPr>
      <w:t>Appendices</w:t>
    </w:r>
  </w:p>
  <w:p w14:paraId="0330A471" w14:textId="39848446" w:rsidR="009C1A5C" w:rsidRDefault="009C1A5C">
    <w:pPr>
      <w:pStyle w:val="Header"/>
      <w:jc w:val="right"/>
    </w:pPr>
    <w:r>
      <w:rPr>
        <w:sz w:val="18"/>
      </w:rPr>
      <w:t>Section 01: Glossary</w:t>
    </w:r>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38007" w14:textId="342128C9" w:rsidR="009C1A5C" w:rsidRDefault="009C1A5C">
    <w:pPr>
      <w:pStyle w:val="Header"/>
      <w:jc w:val="right"/>
      <w:rPr>
        <w:sz w:val="18"/>
      </w:rPr>
    </w:pPr>
  </w:p>
  <w:p w14:paraId="714364BB" w14:textId="7A130EE1" w:rsidR="009C1A5C" w:rsidRDefault="009C1A5C">
    <w:pPr>
      <w:pStyle w:val="Header"/>
      <w:jc w:val="right"/>
      <w:rPr>
        <w:sz w:val="18"/>
      </w:rPr>
    </w:pPr>
    <w:r>
      <w:rPr>
        <w:sz w:val="18"/>
      </w:rPr>
      <w:t>Appendices</w:t>
    </w:r>
  </w:p>
  <w:p w14:paraId="417C521E" w14:textId="6D618368" w:rsidR="009C1A5C" w:rsidRDefault="009C1A5C">
    <w:pPr>
      <w:pStyle w:val="Header"/>
      <w:jc w:val="right"/>
      <w:rPr>
        <w:sz w:val="18"/>
      </w:rPr>
    </w:pPr>
    <w:r>
      <w:rPr>
        <w:sz w:val="18"/>
      </w:rPr>
      <w:t>Section 02: Geotechnical Investigation References</w:t>
    </w:r>
  </w:p>
  <w:p w14:paraId="0EFC64A0" w14:textId="77777777" w:rsidR="009C1A5C" w:rsidRDefault="009C1A5C">
    <w:pPr>
      <w:pStyle w:val="Header"/>
      <w:jc w:val="righ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6AFF1" w14:textId="0A77FFD7" w:rsidR="009C1A5C" w:rsidRDefault="009C1A5C">
    <w:pPr>
      <w:pStyle w:val="Header"/>
      <w:ind w:left="3600"/>
      <w:jc w:val="right"/>
    </w:pPr>
    <w:r>
      <w:rPr>
        <w:sz w:val="18"/>
      </w:rPr>
      <w:t>Preliminary Procedures</w:t>
    </w:r>
  </w:p>
  <w:p w14:paraId="56E89A6C" w14:textId="77777777" w:rsidR="009C1A5C" w:rsidRDefault="009C1A5C">
    <w:pPr>
      <w:pStyle w:val="Header"/>
      <w:jc w:val="right"/>
    </w:pPr>
    <w:r>
      <w:rPr>
        <w:sz w:val="18"/>
      </w:rPr>
      <w:t>Section 06: Preliminary Engineering Cost Estimate</w:t>
    </w:r>
  </w:p>
  <w:p w14:paraId="34791453" w14:textId="3FF73099" w:rsidR="009C1A5C" w:rsidRDefault="009C1A5C" w:rsidP="00E22ACF">
    <w:pPr>
      <w:pStyle w:val="Header"/>
      <w:rPr>
        <w:sz w:val="20"/>
      </w:rPr>
    </w:pPr>
  </w:p>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6682C" w14:textId="26D9B725" w:rsidR="009C1A5C" w:rsidRDefault="009C1A5C">
    <w:pPr>
      <w:pStyle w:val="Header"/>
      <w:jc w:val="right"/>
      <w:rPr>
        <w:sz w:val="18"/>
      </w:rPr>
    </w:pPr>
  </w:p>
  <w:p w14:paraId="6D674EA7" w14:textId="2C7A7749" w:rsidR="009C1A5C" w:rsidRDefault="009C1A5C">
    <w:pPr>
      <w:pStyle w:val="Header"/>
      <w:jc w:val="right"/>
      <w:rPr>
        <w:sz w:val="18"/>
      </w:rPr>
    </w:pPr>
    <w:r>
      <w:rPr>
        <w:sz w:val="18"/>
      </w:rPr>
      <w:t>Appendices</w:t>
    </w:r>
  </w:p>
  <w:p w14:paraId="0F322162" w14:textId="6E9E9364" w:rsidR="009C1A5C" w:rsidRDefault="009C1A5C">
    <w:pPr>
      <w:pStyle w:val="Header"/>
      <w:jc w:val="right"/>
      <w:rPr>
        <w:sz w:val="18"/>
      </w:rPr>
    </w:pPr>
    <w:r>
      <w:rPr>
        <w:sz w:val="18"/>
      </w:rPr>
      <w:t>Section 03: Laboratory Testing Procedures</w:t>
    </w:r>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389E7" w14:textId="296FFA8E" w:rsidR="009C1A5C" w:rsidRDefault="009C1A5C">
    <w:pPr>
      <w:pStyle w:val="Header"/>
      <w:jc w:val="right"/>
      <w:rPr>
        <w:sz w:val="18"/>
      </w:rPr>
    </w:pPr>
  </w:p>
  <w:p w14:paraId="4B4E3A22" w14:textId="3B1F4C82" w:rsidR="009C1A5C" w:rsidRDefault="009C1A5C">
    <w:pPr>
      <w:pStyle w:val="Header"/>
      <w:jc w:val="right"/>
      <w:rPr>
        <w:sz w:val="18"/>
      </w:rPr>
    </w:pPr>
    <w:r>
      <w:rPr>
        <w:sz w:val="18"/>
      </w:rPr>
      <w:t>Appendices</w:t>
    </w:r>
  </w:p>
  <w:p w14:paraId="16143DEE" w14:textId="2EF5F94B" w:rsidR="009C1A5C" w:rsidRDefault="009C1A5C">
    <w:pPr>
      <w:pStyle w:val="Header"/>
      <w:jc w:val="right"/>
      <w:rPr>
        <w:sz w:val="18"/>
      </w:rPr>
    </w:pPr>
    <w:r>
      <w:rPr>
        <w:sz w:val="18"/>
      </w:rPr>
      <w:t>Section 04: Forms, Spreadsheets &amp; Reference Guidelines</w:t>
    </w:r>
  </w:p>
  <w:p w14:paraId="131914AE" w14:textId="4567778D" w:rsidR="009C1A5C" w:rsidRDefault="009C1A5C">
    <w:pPr>
      <w:pStyle w:val="Header"/>
      <w:jc w:val="right"/>
    </w:pPr>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E71D1" w14:textId="348288BB" w:rsidR="009C1A5C" w:rsidRDefault="009C1A5C">
    <w:pPr>
      <w:pStyle w:val="Header"/>
      <w:jc w:val="right"/>
      <w:rPr>
        <w:sz w:val="18"/>
      </w:rPr>
    </w:pPr>
  </w:p>
  <w:p w14:paraId="7E41449A" w14:textId="77777777" w:rsidR="009C1A5C" w:rsidRDefault="009C1A5C">
    <w:pPr>
      <w:pStyle w:val="Header"/>
      <w:jc w:val="right"/>
      <w:rPr>
        <w:sz w:val="18"/>
      </w:rPr>
    </w:pPr>
    <w:r>
      <w:rPr>
        <w:sz w:val="18"/>
      </w:rPr>
      <w:t>Appendices</w:t>
    </w:r>
  </w:p>
  <w:p w14:paraId="28F1B485" w14:textId="767A347B" w:rsidR="009C1A5C" w:rsidRDefault="009C1A5C">
    <w:pPr>
      <w:pStyle w:val="Header"/>
      <w:jc w:val="right"/>
      <w:rPr>
        <w:sz w:val="18"/>
      </w:rPr>
    </w:pPr>
    <w:r>
      <w:rPr>
        <w:sz w:val="18"/>
      </w:rPr>
      <w:t>Section 05: Example Memos</w:t>
    </w:r>
  </w:p>
  <w:p w14:paraId="749FC9CB" w14:textId="77777777" w:rsidR="009C1A5C" w:rsidRDefault="009C1A5C">
    <w:pPr>
      <w:pStyle w:val="Header"/>
      <w:jc w:val="right"/>
    </w:pPr>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60E65" w14:textId="7BAF45B0" w:rsidR="009C1A5C" w:rsidRDefault="009C1A5C">
    <w:pPr>
      <w:pStyle w:val="Header"/>
      <w:jc w:val="right"/>
      <w:rPr>
        <w:sz w:val="18"/>
      </w:rPr>
    </w:pPr>
  </w:p>
  <w:p w14:paraId="249318D4" w14:textId="3782CB5C" w:rsidR="009C1A5C" w:rsidRDefault="009C1A5C">
    <w:pPr>
      <w:pStyle w:val="Header"/>
      <w:jc w:val="right"/>
      <w:rPr>
        <w:sz w:val="18"/>
      </w:rPr>
    </w:pPr>
    <w:r>
      <w:rPr>
        <w:sz w:val="18"/>
      </w:rPr>
      <w:t>Appendices</w:t>
    </w:r>
  </w:p>
  <w:p w14:paraId="3A2C3237" w14:textId="6F311E29" w:rsidR="009C1A5C" w:rsidRDefault="009C1A5C">
    <w:pPr>
      <w:pStyle w:val="Header"/>
      <w:jc w:val="right"/>
      <w:rPr>
        <w:sz w:val="18"/>
      </w:rPr>
    </w:pPr>
    <w:r>
      <w:rPr>
        <w:sz w:val="18"/>
      </w:rPr>
      <w:t>Section 06: Electronic File Set-up</w:t>
    </w:r>
  </w:p>
  <w:p w14:paraId="5F9FC0A5" w14:textId="77777777" w:rsidR="009C1A5C" w:rsidRDefault="009C1A5C">
    <w:pPr>
      <w:pStyle w:val="Header"/>
      <w:jc w:val="right"/>
    </w:pPr>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D681A" w14:textId="41D25458" w:rsidR="009C1A5C" w:rsidRDefault="009C1A5C">
    <w:pPr>
      <w:pStyle w:val="Header"/>
      <w:jc w:val="right"/>
      <w:rPr>
        <w:sz w:val="18"/>
      </w:rPr>
    </w:pPr>
  </w:p>
  <w:p w14:paraId="6DEF92F8" w14:textId="2190D43A" w:rsidR="009C1A5C" w:rsidRDefault="009C1A5C">
    <w:pPr>
      <w:pStyle w:val="Header"/>
      <w:jc w:val="right"/>
      <w:rPr>
        <w:sz w:val="18"/>
      </w:rPr>
    </w:pPr>
    <w:r>
      <w:rPr>
        <w:sz w:val="18"/>
      </w:rPr>
      <w:t>Appendices</w:t>
    </w:r>
  </w:p>
  <w:p w14:paraId="1AE63905" w14:textId="558B0380" w:rsidR="009C1A5C" w:rsidRDefault="009C1A5C">
    <w:pPr>
      <w:pStyle w:val="Header"/>
      <w:jc w:val="right"/>
      <w:rPr>
        <w:sz w:val="18"/>
      </w:rPr>
    </w:pPr>
    <w:r>
      <w:rPr>
        <w:sz w:val="18"/>
      </w:rPr>
      <w:t>Section 07: Organization of Project Files and Plans</w:t>
    </w:r>
  </w:p>
  <w:p w14:paraId="1C150AD9" w14:textId="77777777" w:rsidR="009C1A5C" w:rsidRDefault="009C1A5C">
    <w:pPr>
      <w:pStyle w:val="Header"/>
      <w:jc w:val="right"/>
    </w:pPr>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B7AB45" w14:textId="38C97EC3" w:rsidR="009C1A5C" w:rsidRDefault="009C1A5C">
    <w:pPr>
      <w:pStyle w:val="Header"/>
      <w:jc w:val="right"/>
      <w:rPr>
        <w:sz w:val="18"/>
      </w:rPr>
    </w:pPr>
  </w:p>
  <w:p w14:paraId="633252DC" w14:textId="77777777" w:rsidR="009C1A5C" w:rsidRDefault="009C1A5C">
    <w:pPr>
      <w:pStyle w:val="Header"/>
      <w:jc w:val="right"/>
      <w:rPr>
        <w:sz w:val="18"/>
      </w:rPr>
    </w:pPr>
    <w:r>
      <w:rPr>
        <w:sz w:val="18"/>
      </w:rPr>
      <w:t>Appendices</w:t>
    </w:r>
  </w:p>
  <w:p w14:paraId="1CA1BCD8" w14:textId="506300A8" w:rsidR="009C1A5C" w:rsidRDefault="009C1A5C">
    <w:pPr>
      <w:pStyle w:val="Header"/>
      <w:jc w:val="right"/>
      <w:rPr>
        <w:sz w:val="18"/>
      </w:rPr>
    </w:pPr>
    <w:r>
      <w:rPr>
        <w:sz w:val="18"/>
      </w:rPr>
      <w:t>Section 08: Archiving Project Files and Plans</w:t>
    </w:r>
  </w:p>
  <w:p w14:paraId="03D67075" w14:textId="77777777" w:rsidR="009C1A5C" w:rsidRDefault="009C1A5C">
    <w:pPr>
      <w:pStyle w:val="Header"/>
      <w:jc w:val="right"/>
    </w:pPr>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2FB335" w14:textId="03799DAB" w:rsidR="009C1A5C" w:rsidRDefault="009C1A5C">
    <w:pPr>
      <w:pStyle w:val="Header"/>
      <w:jc w:val="right"/>
      <w:rPr>
        <w:sz w:val="18"/>
      </w:rPr>
    </w:pPr>
  </w:p>
  <w:p w14:paraId="59FAFA1A" w14:textId="77777777" w:rsidR="009C1A5C" w:rsidRDefault="009C1A5C">
    <w:pPr>
      <w:pStyle w:val="Header"/>
      <w:jc w:val="right"/>
      <w:rPr>
        <w:sz w:val="18"/>
      </w:rPr>
    </w:pPr>
    <w:r>
      <w:rPr>
        <w:sz w:val="18"/>
      </w:rPr>
      <w:t>Appendices</w:t>
    </w:r>
  </w:p>
  <w:p w14:paraId="0C59AF69" w14:textId="3986BA17" w:rsidR="009C1A5C" w:rsidRDefault="009C1A5C">
    <w:pPr>
      <w:pStyle w:val="Header"/>
      <w:jc w:val="right"/>
      <w:rPr>
        <w:sz w:val="18"/>
      </w:rPr>
    </w:pPr>
    <w:r>
      <w:rPr>
        <w:sz w:val="18"/>
      </w:rPr>
      <w:t>Section 09: Contractor Requests</w:t>
    </w:r>
  </w:p>
  <w:p w14:paraId="38F670A1" w14:textId="77777777" w:rsidR="009C1A5C" w:rsidRDefault="009C1A5C">
    <w:pPr>
      <w:pStyle w:val="Header"/>
      <w:jc w:val="right"/>
    </w:pPr>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04678" w14:textId="739BD1AA" w:rsidR="009C1A5C" w:rsidRDefault="009C1A5C">
    <w:pPr>
      <w:pStyle w:val="Header"/>
      <w:jc w:val="right"/>
      <w:rPr>
        <w:sz w:val="18"/>
      </w:rPr>
    </w:pPr>
  </w:p>
  <w:p w14:paraId="353C2A7C" w14:textId="77777777" w:rsidR="009C1A5C" w:rsidRDefault="009C1A5C">
    <w:pPr>
      <w:pStyle w:val="Header"/>
      <w:jc w:val="right"/>
      <w:rPr>
        <w:sz w:val="18"/>
      </w:rPr>
    </w:pPr>
    <w:r>
      <w:rPr>
        <w:sz w:val="18"/>
      </w:rPr>
      <w:t>Appendices</w:t>
    </w:r>
  </w:p>
  <w:p w14:paraId="6036960F" w14:textId="7008F5D9" w:rsidR="009C1A5C" w:rsidRDefault="009C1A5C">
    <w:pPr>
      <w:pStyle w:val="Header"/>
      <w:jc w:val="right"/>
      <w:rPr>
        <w:sz w:val="18"/>
      </w:rPr>
    </w:pPr>
    <w:r>
      <w:rPr>
        <w:sz w:val="18"/>
      </w:rPr>
      <w:t>Section 10: Unit Costs</w:t>
    </w:r>
  </w:p>
  <w:p w14:paraId="5D951ACF" w14:textId="77777777" w:rsidR="009C1A5C" w:rsidRDefault="009C1A5C">
    <w:pPr>
      <w:pStyle w:val="Header"/>
      <w:jc w:val="right"/>
    </w:pPr>
  </w:p>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9DAE7" w14:textId="50221AFF" w:rsidR="009C1A5C" w:rsidRDefault="009C1A5C">
    <w:pPr>
      <w:pStyle w:val="Header"/>
      <w:jc w:val="right"/>
      <w:rPr>
        <w:sz w:val="18"/>
      </w:rPr>
    </w:pPr>
  </w:p>
  <w:p w14:paraId="7A2F8AF5" w14:textId="77777777" w:rsidR="009C1A5C" w:rsidRDefault="009C1A5C">
    <w:pPr>
      <w:pStyle w:val="Header"/>
      <w:jc w:val="right"/>
      <w:rPr>
        <w:sz w:val="18"/>
      </w:rPr>
    </w:pPr>
    <w:r>
      <w:rPr>
        <w:sz w:val="18"/>
      </w:rPr>
      <w:t>Appendices</w:t>
    </w:r>
  </w:p>
  <w:p w14:paraId="0CF2DE4E" w14:textId="505ECC4D" w:rsidR="009C1A5C" w:rsidRDefault="009C1A5C">
    <w:pPr>
      <w:pStyle w:val="Header"/>
      <w:jc w:val="right"/>
      <w:rPr>
        <w:sz w:val="18"/>
      </w:rPr>
    </w:pPr>
    <w:r>
      <w:rPr>
        <w:sz w:val="18"/>
      </w:rPr>
      <w:t>Section 11: FWD Data Analysis Background</w:t>
    </w:r>
  </w:p>
  <w:p w14:paraId="756D4099" w14:textId="77777777" w:rsidR="009C1A5C" w:rsidRDefault="009C1A5C">
    <w:pPr>
      <w:pStyle w:val="Header"/>
      <w:jc w:val="right"/>
    </w:pPr>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79BD5" w14:textId="07A2FDB2" w:rsidR="009C1A5C" w:rsidRDefault="009C1A5C" w:rsidP="0025386D">
    <w:pPr>
      <w:pStyle w:val="Header"/>
      <w:jc w:val="right"/>
    </w:pPr>
    <w:r>
      <w:rPr>
        <w:sz w:val="18"/>
      </w:rPr>
      <w:t>Appendices</w:t>
    </w:r>
  </w:p>
  <w:p w14:paraId="3A81A033" w14:textId="77777777" w:rsidR="009C1A5C" w:rsidRDefault="009C1A5C" w:rsidP="00D316B0">
    <w:pPr>
      <w:pStyle w:val="Header"/>
      <w:jc w:val="right"/>
      <w:rPr>
        <w:sz w:val="18"/>
      </w:rPr>
    </w:pPr>
    <w:r>
      <w:rPr>
        <w:sz w:val="18"/>
      </w:rPr>
      <w:t xml:space="preserve">Section 12: New Pavement Design Using </w:t>
    </w:r>
  </w:p>
  <w:p w14:paraId="5DA208AD" w14:textId="75D9AAFD" w:rsidR="009C1A5C" w:rsidRDefault="009C1A5C" w:rsidP="00D316B0">
    <w:pPr>
      <w:pStyle w:val="Header"/>
      <w:jc w:val="right"/>
    </w:pPr>
    <w:r>
      <w:rPr>
        <w:sz w:val="18"/>
      </w:rPr>
      <w:t>AASHTO 1993 Procedures</w:t>
    </w:r>
  </w:p>
  <w:p w14:paraId="2C33CDEF" w14:textId="5A910E28" w:rsidR="009C1A5C" w:rsidRDefault="009C1A5C">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8551F"/>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 w15:restartNumberingAfterBreak="0">
    <w:nsid w:val="014560C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1A418F6"/>
    <w:multiLevelType w:val="hybridMultilevel"/>
    <w:tmpl w:val="C5DAB48A"/>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22450CF"/>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4" w15:restartNumberingAfterBreak="0">
    <w:nsid w:val="02610063"/>
    <w:multiLevelType w:val="hybridMultilevel"/>
    <w:tmpl w:val="80468468"/>
    <w:lvl w:ilvl="0" w:tplc="6CF445D4">
      <w:start w:val="1"/>
      <w:numFmt w:val="decimal"/>
      <w:lvlText w:val="%1)"/>
      <w:lvlJc w:val="left"/>
      <w:pPr>
        <w:tabs>
          <w:tab w:val="num" w:pos="1800"/>
        </w:tabs>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143248"/>
    <w:multiLevelType w:val="hybridMultilevel"/>
    <w:tmpl w:val="32A8B1F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038D54A8"/>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7" w15:restartNumberingAfterBreak="0">
    <w:nsid w:val="04B1295A"/>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8" w15:restartNumberingAfterBreak="0">
    <w:nsid w:val="04DC14BF"/>
    <w:multiLevelType w:val="hybridMultilevel"/>
    <w:tmpl w:val="36FCCD0C"/>
    <w:lvl w:ilvl="0" w:tplc="EB2C90B6">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15:restartNumberingAfterBreak="0">
    <w:nsid w:val="05B76742"/>
    <w:multiLevelType w:val="hybridMultilevel"/>
    <w:tmpl w:val="E8A6B66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05DA3EA3"/>
    <w:multiLevelType w:val="hybridMultilevel"/>
    <w:tmpl w:val="8D0EDE98"/>
    <w:lvl w:ilvl="0" w:tplc="363C1D76">
      <w:start w:val="1"/>
      <w:numFmt w:val="decimal"/>
      <w:lvlText w:val="Step %1."/>
      <w:lvlJc w:val="left"/>
      <w:pPr>
        <w:tabs>
          <w:tab w:val="num" w:pos="1872"/>
        </w:tabs>
        <w:ind w:left="1872" w:hanging="1152"/>
      </w:pPr>
      <w:rPr>
        <w:rFonts w:ascii="Arial" w:hAnsi="Arial" w:cs="Arial" w:hint="default"/>
        <w:b w:val="0"/>
        <w:bCs w:val="0"/>
        <w:i w:val="0"/>
        <w:iCs w:val="0"/>
        <w:sz w:val="22"/>
        <w:szCs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06743EF1"/>
    <w:multiLevelType w:val="hybridMultilevel"/>
    <w:tmpl w:val="CEAAD3F2"/>
    <w:lvl w:ilvl="0" w:tplc="6148A45A">
      <w:start w:val="1"/>
      <w:numFmt w:val="lowerLetter"/>
      <w:lvlText w:val="%1."/>
      <w:lvlJc w:val="left"/>
      <w:pPr>
        <w:ind w:left="1440" w:hanging="360"/>
      </w:pPr>
      <w:rPr>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6DE1702"/>
    <w:multiLevelType w:val="hybridMultilevel"/>
    <w:tmpl w:val="ACDE5AF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075442F1"/>
    <w:multiLevelType w:val="hybridMultilevel"/>
    <w:tmpl w:val="2CFAC072"/>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4" w15:restartNumberingAfterBreak="0">
    <w:nsid w:val="07F44CE2"/>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5" w15:restartNumberingAfterBreak="0">
    <w:nsid w:val="08276626"/>
    <w:multiLevelType w:val="hybridMultilevel"/>
    <w:tmpl w:val="2FE4AFB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85A0C86"/>
    <w:multiLevelType w:val="multilevel"/>
    <w:tmpl w:val="376EFCB0"/>
    <w:lvl w:ilvl="0">
      <w:start w:val="6"/>
      <w:numFmt w:val="decimal"/>
      <w:lvlText w:val="%1"/>
      <w:lvlJc w:val="left"/>
      <w:pPr>
        <w:ind w:left="1125" w:hanging="1125"/>
      </w:pPr>
      <w:rPr>
        <w:rFonts w:hint="default"/>
      </w:rPr>
    </w:lvl>
    <w:lvl w:ilvl="1">
      <w:start w:val="2"/>
      <w:numFmt w:val="decimalZero"/>
      <w:lvlText w:val="%1.%2"/>
      <w:lvlJc w:val="left"/>
      <w:pPr>
        <w:ind w:left="1125" w:hanging="1125"/>
      </w:pPr>
      <w:rPr>
        <w:rFonts w:hint="default"/>
      </w:rPr>
    </w:lvl>
    <w:lvl w:ilvl="2">
      <w:start w:val="4"/>
      <w:numFmt w:val="decimalZero"/>
      <w:lvlText w:val="%1.%2.%3"/>
      <w:lvlJc w:val="left"/>
      <w:pPr>
        <w:ind w:left="1125" w:hanging="1125"/>
      </w:pPr>
      <w:rPr>
        <w:rFonts w:hint="default"/>
      </w:rPr>
    </w:lvl>
    <w:lvl w:ilvl="3">
      <w:start w:val="5"/>
      <w:numFmt w:val="decimalZero"/>
      <w:lvlText w:val="%1.%2.%3.%4"/>
      <w:lvlJc w:val="left"/>
      <w:pPr>
        <w:ind w:left="1125" w:hanging="1125"/>
      </w:pPr>
      <w:rPr>
        <w:rFonts w:hint="default"/>
      </w:rPr>
    </w:lvl>
    <w:lvl w:ilvl="4">
      <w:start w:val="1"/>
      <w:numFmt w:val="decimal"/>
      <w:lvlText w:val="%1.%2.%3.%4.%5"/>
      <w:lvlJc w:val="left"/>
      <w:pPr>
        <w:ind w:left="1125" w:hanging="1125"/>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088B767E"/>
    <w:multiLevelType w:val="hybridMultilevel"/>
    <w:tmpl w:val="4BAED7A2"/>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8" w15:restartNumberingAfterBreak="0">
    <w:nsid w:val="092F738C"/>
    <w:multiLevelType w:val="singleLevel"/>
    <w:tmpl w:val="FFD4FF66"/>
    <w:lvl w:ilvl="0">
      <w:start w:val="1"/>
      <w:numFmt w:val="decimal"/>
      <w:lvlText w:val="Step %1."/>
      <w:lvlJc w:val="left"/>
      <w:pPr>
        <w:tabs>
          <w:tab w:val="num" w:pos="1872"/>
        </w:tabs>
        <w:ind w:left="1872" w:hanging="1152"/>
      </w:pPr>
      <w:rPr>
        <w:rFonts w:ascii="Arial" w:hAnsi="Arial" w:cs="Times New Roman" w:hint="default"/>
        <w:b w:val="0"/>
        <w:i w:val="0"/>
        <w:sz w:val="22"/>
      </w:rPr>
    </w:lvl>
  </w:abstractNum>
  <w:abstractNum w:abstractNumId="19" w15:restartNumberingAfterBreak="0">
    <w:nsid w:val="0A064C34"/>
    <w:multiLevelType w:val="hybridMultilevel"/>
    <w:tmpl w:val="32A8B1F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0AD07549"/>
    <w:multiLevelType w:val="hybridMultilevel"/>
    <w:tmpl w:val="2C6C8D3A"/>
    <w:lvl w:ilvl="0" w:tplc="93581A30">
      <w:start w:val="1"/>
      <w:numFmt w:val="bullet"/>
      <w:pStyle w:val="BulletList"/>
      <w:lvlText w:val=""/>
      <w:lvlJc w:val="left"/>
      <w:pPr>
        <w:tabs>
          <w:tab w:val="num" w:pos="720"/>
        </w:tabs>
        <w:ind w:left="720" w:hanging="360"/>
      </w:pPr>
      <w:rPr>
        <w:rFonts w:ascii="Wingdings" w:hAnsi="Wingding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0BA60A3B"/>
    <w:multiLevelType w:val="hybridMultilevel"/>
    <w:tmpl w:val="D616B57E"/>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BB01B3C"/>
    <w:multiLevelType w:val="hybridMultilevel"/>
    <w:tmpl w:val="17101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BCF294F"/>
    <w:multiLevelType w:val="singleLevel"/>
    <w:tmpl w:val="5C98C972"/>
    <w:lvl w:ilvl="0">
      <w:start w:val="1"/>
      <w:numFmt w:val="bullet"/>
      <w:lvlText w:val=""/>
      <w:lvlJc w:val="left"/>
      <w:pPr>
        <w:tabs>
          <w:tab w:val="num" w:pos="648"/>
        </w:tabs>
        <w:ind w:left="360" w:hanging="72"/>
      </w:pPr>
      <w:rPr>
        <w:rFonts w:ascii="Symbol" w:hAnsi="Symbol" w:hint="default"/>
      </w:rPr>
    </w:lvl>
  </w:abstractNum>
  <w:abstractNum w:abstractNumId="24" w15:restartNumberingAfterBreak="0">
    <w:nsid w:val="0BDC26F1"/>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25" w15:restartNumberingAfterBreak="0">
    <w:nsid w:val="0CF419D7"/>
    <w:multiLevelType w:val="hybridMultilevel"/>
    <w:tmpl w:val="6D76BB74"/>
    <w:lvl w:ilvl="0" w:tplc="E804A5AE">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D5C2918"/>
    <w:multiLevelType w:val="hybridMultilevel"/>
    <w:tmpl w:val="CC6E4642"/>
    <w:lvl w:ilvl="0" w:tplc="0409000F">
      <w:start w:val="1"/>
      <w:numFmt w:val="decimal"/>
      <w:lvlText w:val="%1."/>
      <w:lvlJc w:val="left"/>
      <w:pPr>
        <w:ind w:left="765" w:hanging="360"/>
      </w:pPr>
      <w:rPr>
        <w:rFonts w:cs="Times New Roman"/>
      </w:rPr>
    </w:lvl>
    <w:lvl w:ilvl="1" w:tplc="04090019">
      <w:start w:val="1"/>
      <w:numFmt w:val="lowerLetter"/>
      <w:lvlText w:val="%2."/>
      <w:lvlJc w:val="left"/>
      <w:pPr>
        <w:ind w:left="1485" w:hanging="360"/>
      </w:pPr>
      <w:rPr>
        <w:rFonts w:cs="Times New Roman"/>
      </w:rPr>
    </w:lvl>
    <w:lvl w:ilvl="2" w:tplc="0409001B" w:tentative="1">
      <w:start w:val="1"/>
      <w:numFmt w:val="lowerRoman"/>
      <w:lvlText w:val="%3."/>
      <w:lvlJc w:val="right"/>
      <w:pPr>
        <w:ind w:left="2205" w:hanging="180"/>
      </w:pPr>
      <w:rPr>
        <w:rFonts w:cs="Times New Roman"/>
      </w:rPr>
    </w:lvl>
    <w:lvl w:ilvl="3" w:tplc="0409000F" w:tentative="1">
      <w:start w:val="1"/>
      <w:numFmt w:val="decimal"/>
      <w:lvlText w:val="%4."/>
      <w:lvlJc w:val="left"/>
      <w:pPr>
        <w:ind w:left="2925" w:hanging="360"/>
      </w:pPr>
      <w:rPr>
        <w:rFonts w:cs="Times New Roman"/>
      </w:rPr>
    </w:lvl>
    <w:lvl w:ilvl="4" w:tplc="04090019" w:tentative="1">
      <w:start w:val="1"/>
      <w:numFmt w:val="lowerLetter"/>
      <w:lvlText w:val="%5."/>
      <w:lvlJc w:val="left"/>
      <w:pPr>
        <w:ind w:left="3645" w:hanging="360"/>
      </w:pPr>
      <w:rPr>
        <w:rFonts w:cs="Times New Roman"/>
      </w:rPr>
    </w:lvl>
    <w:lvl w:ilvl="5" w:tplc="0409001B" w:tentative="1">
      <w:start w:val="1"/>
      <w:numFmt w:val="lowerRoman"/>
      <w:lvlText w:val="%6."/>
      <w:lvlJc w:val="right"/>
      <w:pPr>
        <w:ind w:left="4365" w:hanging="180"/>
      </w:pPr>
      <w:rPr>
        <w:rFonts w:cs="Times New Roman"/>
      </w:rPr>
    </w:lvl>
    <w:lvl w:ilvl="6" w:tplc="0409000F" w:tentative="1">
      <w:start w:val="1"/>
      <w:numFmt w:val="decimal"/>
      <w:lvlText w:val="%7."/>
      <w:lvlJc w:val="left"/>
      <w:pPr>
        <w:ind w:left="5085" w:hanging="360"/>
      </w:pPr>
      <w:rPr>
        <w:rFonts w:cs="Times New Roman"/>
      </w:rPr>
    </w:lvl>
    <w:lvl w:ilvl="7" w:tplc="04090019" w:tentative="1">
      <w:start w:val="1"/>
      <w:numFmt w:val="lowerLetter"/>
      <w:lvlText w:val="%8."/>
      <w:lvlJc w:val="left"/>
      <w:pPr>
        <w:ind w:left="5805" w:hanging="360"/>
      </w:pPr>
      <w:rPr>
        <w:rFonts w:cs="Times New Roman"/>
      </w:rPr>
    </w:lvl>
    <w:lvl w:ilvl="8" w:tplc="0409001B" w:tentative="1">
      <w:start w:val="1"/>
      <w:numFmt w:val="lowerRoman"/>
      <w:lvlText w:val="%9."/>
      <w:lvlJc w:val="right"/>
      <w:pPr>
        <w:ind w:left="6525" w:hanging="180"/>
      </w:pPr>
      <w:rPr>
        <w:rFonts w:cs="Times New Roman"/>
      </w:rPr>
    </w:lvl>
  </w:abstractNum>
  <w:abstractNum w:abstractNumId="27" w15:restartNumberingAfterBreak="0">
    <w:nsid w:val="0DBD4257"/>
    <w:multiLevelType w:val="hybridMultilevel"/>
    <w:tmpl w:val="00BC8430"/>
    <w:lvl w:ilvl="0" w:tplc="FFD4FF66">
      <w:start w:val="1"/>
      <w:numFmt w:val="decimal"/>
      <w:lvlText w:val="Step %1."/>
      <w:lvlJc w:val="left"/>
      <w:pPr>
        <w:tabs>
          <w:tab w:val="num" w:pos="1152"/>
        </w:tabs>
        <w:ind w:left="1152" w:hanging="1152"/>
      </w:pPr>
      <w:rPr>
        <w:rFonts w:ascii="Arial" w:hAnsi="Arial" w:cs="Times New Roman" w:hint="default"/>
        <w:b w:val="0"/>
        <w:i w:val="0"/>
        <w:sz w:val="22"/>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15:restartNumberingAfterBreak="0">
    <w:nsid w:val="0DC61C10"/>
    <w:multiLevelType w:val="hybridMultilevel"/>
    <w:tmpl w:val="7CD0C55C"/>
    <w:lvl w:ilvl="0" w:tplc="9CACDD7A">
      <w:start w:val="2"/>
      <w:numFmt w:val="decimal"/>
      <w:lvlText w:val="Step %1."/>
      <w:lvlJc w:val="left"/>
      <w:pPr>
        <w:tabs>
          <w:tab w:val="num" w:pos="1872"/>
        </w:tabs>
        <w:ind w:left="1872" w:hanging="1152"/>
      </w:pPr>
      <w:rPr>
        <w:rFonts w:ascii="Arial" w:hAnsi="Arial" w:cs="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DD007A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103575B0"/>
    <w:multiLevelType w:val="hybridMultilevel"/>
    <w:tmpl w:val="4908293A"/>
    <w:lvl w:ilvl="0" w:tplc="A8845CF0">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156438A"/>
    <w:multiLevelType w:val="hybridMultilevel"/>
    <w:tmpl w:val="CBDC3E1E"/>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11B74954"/>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33" w15:restartNumberingAfterBreak="0">
    <w:nsid w:val="13A842F0"/>
    <w:multiLevelType w:val="hybridMultilevel"/>
    <w:tmpl w:val="45F8BC64"/>
    <w:lvl w:ilvl="0" w:tplc="0E2ACB1E">
      <w:start w:val="1"/>
      <w:numFmt w:val="none"/>
      <w:lvlText w:val="Step 9."/>
      <w:lvlJc w:val="left"/>
      <w:pPr>
        <w:tabs>
          <w:tab w:val="num" w:pos="432"/>
        </w:tabs>
        <w:ind w:left="432" w:hanging="1152"/>
      </w:pPr>
      <w:rPr>
        <w:rFonts w:ascii="Arial" w:hAnsi="Arial" w:hint="default"/>
        <w:b w:val="0"/>
        <w:i w:val="0"/>
        <w:sz w:val="22"/>
      </w:rPr>
    </w:lvl>
    <w:lvl w:ilvl="1" w:tplc="04090019" w:tentative="1">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34" w15:restartNumberingAfterBreak="0">
    <w:nsid w:val="13BD6F31"/>
    <w:multiLevelType w:val="hybridMultilevel"/>
    <w:tmpl w:val="04BE35C0"/>
    <w:lvl w:ilvl="0" w:tplc="0409000F">
      <w:start w:val="1"/>
      <w:numFmt w:val="decimal"/>
      <w:lvlText w:val="%1."/>
      <w:lvlJc w:val="left"/>
      <w:pPr>
        <w:ind w:left="810" w:hanging="360"/>
      </w:pPr>
      <w:rPr>
        <w:rFonts w:cs="Times New Roman"/>
      </w:rPr>
    </w:lvl>
    <w:lvl w:ilvl="1" w:tplc="04090019">
      <w:start w:val="1"/>
      <w:numFmt w:val="lowerLetter"/>
      <w:lvlText w:val="%2."/>
      <w:lvlJc w:val="left"/>
      <w:pPr>
        <w:ind w:left="1530" w:hanging="360"/>
      </w:pPr>
      <w:rPr>
        <w:rFonts w:cs="Times New Roman"/>
      </w:rPr>
    </w:lvl>
    <w:lvl w:ilvl="2" w:tplc="0409001B" w:tentative="1">
      <w:start w:val="1"/>
      <w:numFmt w:val="lowerRoman"/>
      <w:lvlText w:val="%3."/>
      <w:lvlJc w:val="right"/>
      <w:pPr>
        <w:ind w:left="2250" w:hanging="180"/>
      </w:pPr>
      <w:rPr>
        <w:rFonts w:cs="Times New Roman"/>
      </w:rPr>
    </w:lvl>
    <w:lvl w:ilvl="3" w:tplc="0409000F" w:tentative="1">
      <w:start w:val="1"/>
      <w:numFmt w:val="decimal"/>
      <w:lvlText w:val="%4."/>
      <w:lvlJc w:val="left"/>
      <w:pPr>
        <w:ind w:left="2970" w:hanging="360"/>
      </w:pPr>
      <w:rPr>
        <w:rFonts w:cs="Times New Roman"/>
      </w:rPr>
    </w:lvl>
    <w:lvl w:ilvl="4" w:tplc="04090019" w:tentative="1">
      <w:start w:val="1"/>
      <w:numFmt w:val="lowerLetter"/>
      <w:lvlText w:val="%5."/>
      <w:lvlJc w:val="left"/>
      <w:pPr>
        <w:ind w:left="3690" w:hanging="360"/>
      </w:pPr>
      <w:rPr>
        <w:rFonts w:cs="Times New Roman"/>
      </w:rPr>
    </w:lvl>
    <w:lvl w:ilvl="5" w:tplc="0409001B" w:tentative="1">
      <w:start w:val="1"/>
      <w:numFmt w:val="lowerRoman"/>
      <w:lvlText w:val="%6."/>
      <w:lvlJc w:val="right"/>
      <w:pPr>
        <w:ind w:left="4410" w:hanging="180"/>
      </w:pPr>
      <w:rPr>
        <w:rFonts w:cs="Times New Roman"/>
      </w:rPr>
    </w:lvl>
    <w:lvl w:ilvl="6" w:tplc="0409000F" w:tentative="1">
      <w:start w:val="1"/>
      <w:numFmt w:val="decimal"/>
      <w:lvlText w:val="%7."/>
      <w:lvlJc w:val="left"/>
      <w:pPr>
        <w:ind w:left="5130" w:hanging="360"/>
      </w:pPr>
      <w:rPr>
        <w:rFonts w:cs="Times New Roman"/>
      </w:rPr>
    </w:lvl>
    <w:lvl w:ilvl="7" w:tplc="04090019" w:tentative="1">
      <w:start w:val="1"/>
      <w:numFmt w:val="lowerLetter"/>
      <w:lvlText w:val="%8."/>
      <w:lvlJc w:val="left"/>
      <w:pPr>
        <w:ind w:left="5850" w:hanging="360"/>
      </w:pPr>
      <w:rPr>
        <w:rFonts w:cs="Times New Roman"/>
      </w:rPr>
    </w:lvl>
    <w:lvl w:ilvl="8" w:tplc="0409001B" w:tentative="1">
      <w:start w:val="1"/>
      <w:numFmt w:val="lowerRoman"/>
      <w:lvlText w:val="%9."/>
      <w:lvlJc w:val="right"/>
      <w:pPr>
        <w:ind w:left="6570" w:hanging="180"/>
      </w:pPr>
      <w:rPr>
        <w:rFonts w:cs="Times New Roman"/>
      </w:rPr>
    </w:lvl>
  </w:abstractNum>
  <w:abstractNum w:abstractNumId="35" w15:restartNumberingAfterBreak="0">
    <w:nsid w:val="13E621C4"/>
    <w:multiLevelType w:val="hybridMultilevel"/>
    <w:tmpl w:val="309050F8"/>
    <w:lvl w:ilvl="0" w:tplc="EB2C90B6">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6" w15:restartNumberingAfterBreak="0">
    <w:nsid w:val="14430686"/>
    <w:multiLevelType w:val="singleLevel"/>
    <w:tmpl w:val="FFD4FF66"/>
    <w:lvl w:ilvl="0">
      <w:start w:val="1"/>
      <w:numFmt w:val="decimal"/>
      <w:lvlText w:val="Step %1."/>
      <w:lvlJc w:val="left"/>
      <w:pPr>
        <w:tabs>
          <w:tab w:val="num" w:pos="1872"/>
        </w:tabs>
        <w:ind w:left="1872" w:hanging="1152"/>
      </w:pPr>
      <w:rPr>
        <w:rFonts w:ascii="Arial" w:hAnsi="Arial" w:cs="Times New Roman" w:hint="default"/>
        <w:b w:val="0"/>
        <w:i w:val="0"/>
        <w:sz w:val="22"/>
      </w:rPr>
    </w:lvl>
  </w:abstractNum>
  <w:abstractNum w:abstractNumId="37" w15:restartNumberingAfterBreak="0">
    <w:nsid w:val="15F9233E"/>
    <w:multiLevelType w:val="multilevel"/>
    <w:tmpl w:val="8F924D5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16AD2D65"/>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39" w15:restartNumberingAfterBreak="0">
    <w:nsid w:val="16FB5740"/>
    <w:multiLevelType w:val="hybridMultilevel"/>
    <w:tmpl w:val="0AB669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744411F"/>
    <w:multiLevelType w:val="hybridMultilevel"/>
    <w:tmpl w:val="B614CB64"/>
    <w:lvl w:ilvl="0" w:tplc="91D2C8B2">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17A718FA"/>
    <w:multiLevelType w:val="hybridMultilevel"/>
    <w:tmpl w:val="C772F474"/>
    <w:lvl w:ilvl="0" w:tplc="FFD4FF66">
      <w:start w:val="1"/>
      <w:numFmt w:val="decimal"/>
      <w:lvlText w:val="Step %1."/>
      <w:lvlJc w:val="left"/>
      <w:pPr>
        <w:tabs>
          <w:tab w:val="num" w:pos="1872"/>
        </w:tabs>
        <w:ind w:left="1872" w:hanging="1152"/>
      </w:pPr>
      <w:rPr>
        <w:rFonts w:ascii="Arial" w:hAnsi="Arial" w:cs="Times New Roman"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42" w15:restartNumberingAfterBreak="0">
    <w:nsid w:val="190756A0"/>
    <w:multiLevelType w:val="hybridMultilevel"/>
    <w:tmpl w:val="23C4901A"/>
    <w:lvl w:ilvl="0" w:tplc="91D2C8B2">
      <w:start w:val="1"/>
      <w:numFmt w:val="bullet"/>
      <w:lvlText w:val=""/>
      <w:lvlJc w:val="left"/>
      <w:pPr>
        <w:tabs>
          <w:tab w:val="num" w:pos="720"/>
        </w:tabs>
        <w:ind w:left="720" w:hanging="360"/>
      </w:pPr>
      <w:rPr>
        <w:rFonts w:ascii="Symbol" w:hAnsi="Symbol" w:cs="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1A4626D1"/>
    <w:multiLevelType w:val="hybridMultilevel"/>
    <w:tmpl w:val="5944EC5E"/>
    <w:lvl w:ilvl="0" w:tplc="04090017">
      <w:start w:val="1"/>
      <w:numFmt w:val="decimal"/>
      <w:lvlText w:val="Step %1."/>
      <w:lvlJc w:val="left"/>
      <w:pPr>
        <w:tabs>
          <w:tab w:val="num" w:pos="1152"/>
        </w:tabs>
        <w:ind w:left="1152" w:hanging="1152"/>
      </w:pPr>
      <w:rPr>
        <w:rFonts w:ascii="Arial" w:hAnsi="Arial" w:cs="Times New Roman" w:hint="default"/>
        <w:b w:val="0"/>
        <w:i w:val="0"/>
        <w:sz w:val="22"/>
      </w:rPr>
    </w:lvl>
    <w:lvl w:ilvl="1" w:tplc="04090013">
      <w:start w:val="3"/>
      <w:numFmt w:val="decimal"/>
      <w:lvlText w:val="%2."/>
      <w:lvlJc w:val="left"/>
      <w:pPr>
        <w:tabs>
          <w:tab w:val="num" w:pos="720"/>
        </w:tabs>
        <w:ind w:left="720" w:hanging="360"/>
      </w:pPr>
      <w:rPr>
        <w:rFonts w:cs="Times New Roman" w:hint="default"/>
      </w:rPr>
    </w:lvl>
    <w:lvl w:ilvl="2" w:tplc="04090005" w:tentative="1">
      <w:start w:val="1"/>
      <w:numFmt w:val="lowerRoman"/>
      <w:lvlText w:val="%3."/>
      <w:lvlJc w:val="right"/>
      <w:pPr>
        <w:tabs>
          <w:tab w:val="num" w:pos="1440"/>
        </w:tabs>
        <w:ind w:left="1440" w:hanging="180"/>
      </w:pPr>
      <w:rPr>
        <w:rFonts w:cs="Times New Roman"/>
      </w:rPr>
    </w:lvl>
    <w:lvl w:ilvl="3" w:tplc="04090001" w:tentative="1">
      <w:start w:val="1"/>
      <w:numFmt w:val="decimal"/>
      <w:lvlText w:val="%4."/>
      <w:lvlJc w:val="left"/>
      <w:pPr>
        <w:tabs>
          <w:tab w:val="num" w:pos="2160"/>
        </w:tabs>
        <w:ind w:left="2160" w:hanging="360"/>
      </w:pPr>
      <w:rPr>
        <w:rFonts w:cs="Times New Roman"/>
      </w:rPr>
    </w:lvl>
    <w:lvl w:ilvl="4" w:tplc="04090003" w:tentative="1">
      <w:start w:val="1"/>
      <w:numFmt w:val="lowerLetter"/>
      <w:lvlText w:val="%5."/>
      <w:lvlJc w:val="left"/>
      <w:pPr>
        <w:tabs>
          <w:tab w:val="num" w:pos="2880"/>
        </w:tabs>
        <w:ind w:left="2880" w:hanging="360"/>
      </w:pPr>
      <w:rPr>
        <w:rFonts w:cs="Times New Roman"/>
      </w:rPr>
    </w:lvl>
    <w:lvl w:ilvl="5" w:tplc="04090005" w:tentative="1">
      <w:start w:val="1"/>
      <w:numFmt w:val="lowerRoman"/>
      <w:lvlText w:val="%6."/>
      <w:lvlJc w:val="right"/>
      <w:pPr>
        <w:tabs>
          <w:tab w:val="num" w:pos="3600"/>
        </w:tabs>
        <w:ind w:left="3600" w:hanging="180"/>
      </w:pPr>
      <w:rPr>
        <w:rFonts w:cs="Times New Roman"/>
      </w:rPr>
    </w:lvl>
    <w:lvl w:ilvl="6" w:tplc="04090001" w:tentative="1">
      <w:start w:val="1"/>
      <w:numFmt w:val="decimal"/>
      <w:lvlText w:val="%7."/>
      <w:lvlJc w:val="left"/>
      <w:pPr>
        <w:tabs>
          <w:tab w:val="num" w:pos="4320"/>
        </w:tabs>
        <w:ind w:left="4320" w:hanging="360"/>
      </w:pPr>
      <w:rPr>
        <w:rFonts w:cs="Times New Roman"/>
      </w:rPr>
    </w:lvl>
    <w:lvl w:ilvl="7" w:tplc="04090003" w:tentative="1">
      <w:start w:val="1"/>
      <w:numFmt w:val="lowerLetter"/>
      <w:lvlText w:val="%8."/>
      <w:lvlJc w:val="left"/>
      <w:pPr>
        <w:tabs>
          <w:tab w:val="num" w:pos="5040"/>
        </w:tabs>
        <w:ind w:left="5040" w:hanging="360"/>
      </w:pPr>
      <w:rPr>
        <w:rFonts w:cs="Times New Roman"/>
      </w:rPr>
    </w:lvl>
    <w:lvl w:ilvl="8" w:tplc="04090005" w:tentative="1">
      <w:start w:val="1"/>
      <w:numFmt w:val="lowerRoman"/>
      <w:lvlText w:val="%9."/>
      <w:lvlJc w:val="right"/>
      <w:pPr>
        <w:tabs>
          <w:tab w:val="num" w:pos="5760"/>
        </w:tabs>
        <w:ind w:left="5760" w:hanging="180"/>
      </w:pPr>
      <w:rPr>
        <w:rFonts w:cs="Times New Roman"/>
      </w:rPr>
    </w:lvl>
  </w:abstractNum>
  <w:abstractNum w:abstractNumId="44" w15:restartNumberingAfterBreak="0">
    <w:nsid w:val="1BBA660D"/>
    <w:multiLevelType w:val="hybridMultilevel"/>
    <w:tmpl w:val="A4AA7DC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BE67115"/>
    <w:multiLevelType w:val="hybridMultilevel"/>
    <w:tmpl w:val="0BF03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C454054"/>
    <w:multiLevelType w:val="hybridMultilevel"/>
    <w:tmpl w:val="0C7E8A28"/>
    <w:lvl w:ilvl="0" w:tplc="D8B2B7A6">
      <w:start w:val="1"/>
      <w:numFmt w:val="bullet"/>
      <w:lvlText w:val=""/>
      <w:lvlJc w:val="left"/>
      <w:pPr>
        <w:tabs>
          <w:tab w:val="num" w:pos="1080"/>
        </w:tabs>
        <w:ind w:left="1080" w:hanging="360"/>
      </w:pPr>
      <w:rPr>
        <w:rFonts w:ascii="Symbol" w:hAnsi="Symbol" w:hint="default"/>
      </w:rPr>
    </w:lvl>
    <w:lvl w:ilvl="1" w:tplc="6CF445D4">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7" w15:restartNumberingAfterBreak="0">
    <w:nsid w:val="1C814A9F"/>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48" w15:restartNumberingAfterBreak="0">
    <w:nsid w:val="1C8B24F4"/>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49" w15:restartNumberingAfterBreak="0">
    <w:nsid w:val="1CB748F6"/>
    <w:multiLevelType w:val="hybridMultilevel"/>
    <w:tmpl w:val="B50C0B72"/>
    <w:lvl w:ilvl="0" w:tplc="91D2C8B2">
      <w:start w:val="1"/>
      <w:numFmt w:val="bullet"/>
      <w:lvlText w:val=""/>
      <w:lvlJc w:val="left"/>
      <w:pPr>
        <w:tabs>
          <w:tab w:val="num" w:pos="720"/>
        </w:tabs>
        <w:ind w:left="720" w:hanging="360"/>
      </w:pPr>
      <w:rPr>
        <w:rFonts w:ascii="Symbol" w:hAnsi="Symbol" w:cs="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D5C7903"/>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51" w15:restartNumberingAfterBreak="0">
    <w:nsid w:val="1DCF4434"/>
    <w:multiLevelType w:val="singleLevel"/>
    <w:tmpl w:val="FFD4FF66"/>
    <w:lvl w:ilvl="0">
      <w:start w:val="1"/>
      <w:numFmt w:val="decimal"/>
      <w:lvlText w:val="Step %1."/>
      <w:lvlJc w:val="left"/>
      <w:pPr>
        <w:ind w:left="720" w:hanging="360"/>
      </w:pPr>
      <w:rPr>
        <w:rFonts w:ascii="Arial" w:hAnsi="Arial" w:hint="default"/>
        <w:b w:val="0"/>
        <w:i w:val="0"/>
        <w:sz w:val="22"/>
      </w:rPr>
    </w:lvl>
  </w:abstractNum>
  <w:abstractNum w:abstractNumId="52" w15:restartNumberingAfterBreak="0">
    <w:nsid w:val="1FB5209B"/>
    <w:multiLevelType w:val="hybridMultilevel"/>
    <w:tmpl w:val="4A12F6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FDB496C"/>
    <w:multiLevelType w:val="singleLevel"/>
    <w:tmpl w:val="1F626CDE"/>
    <w:lvl w:ilvl="0">
      <w:numFmt w:val="bullet"/>
      <w:lvlText w:val="–"/>
      <w:lvlJc w:val="left"/>
      <w:pPr>
        <w:tabs>
          <w:tab w:val="num" w:pos="360"/>
        </w:tabs>
        <w:ind w:left="360" w:hanging="360"/>
      </w:pPr>
      <w:rPr>
        <w:rFonts w:ascii="Times New Roman" w:hAnsi="Times New Roman" w:hint="default"/>
      </w:rPr>
    </w:lvl>
  </w:abstractNum>
  <w:abstractNum w:abstractNumId="54" w15:restartNumberingAfterBreak="0">
    <w:nsid w:val="215563C7"/>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55" w15:restartNumberingAfterBreak="0">
    <w:nsid w:val="217544B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6" w15:restartNumberingAfterBreak="0">
    <w:nsid w:val="22350D93"/>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57" w15:restartNumberingAfterBreak="0">
    <w:nsid w:val="223B72A7"/>
    <w:multiLevelType w:val="hybridMultilevel"/>
    <w:tmpl w:val="80468468"/>
    <w:lvl w:ilvl="0" w:tplc="6CF445D4">
      <w:start w:val="1"/>
      <w:numFmt w:val="decimal"/>
      <w:lvlText w:val="%1)"/>
      <w:lvlJc w:val="left"/>
      <w:pPr>
        <w:tabs>
          <w:tab w:val="num" w:pos="1800"/>
        </w:tabs>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2984BCA"/>
    <w:multiLevelType w:val="hybridMultilevel"/>
    <w:tmpl w:val="71BCC2F2"/>
    <w:lvl w:ilvl="0" w:tplc="EB2C90B6">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9" w15:restartNumberingAfterBreak="0">
    <w:nsid w:val="231C254A"/>
    <w:multiLevelType w:val="singleLevel"/>
    <w:tmpl w:val="3D6EFE2A"/>
    <w:lvl w:ilvl="0">
      <w:start w:val="1"/>
      <w:numFmt w:val="decimal"/>
      <w:lvlText w:val="Step %1."/>
      <w:lvlJc w:val="left"/>
      <w:pPr>
        <w:tabs>
          <w:tab w:val="num" w:pos="1512"/>
        </w:tabs>
        <w:ind w:left="1512" w:hanging="1152"/>
      </w:pPr>
      <w:rPr>
        <w:rFonts w:ascii="Arial" w:hAnsi="Arial" w:cs="Times New Roman" w:hint="default"/>
        <w:b w:val="0"/>
        <w:i w:val="0"/>
        <w:sz w:val="22"/>
      </w:rPr>
    </w:lvl>
  </w:abstractNum>
  <w:abstractNum w:abstractNumId="60" w15:restartNumberingAfterBreak="0">
    <w:nsid w:val="238A1CCB"/>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61" w15:restartNumberingAfterBreak="0">
    <w:nsid w:val="23C5710D"/>
    <w:multiLevelType w:val="hybridMultilevel"/>
    <w:tmpl w:val="869481D4"/>
    <w:lvl w:ilvl="0" w:tplc="FFD4FF66">
      <w:start w:val="1"/>
      <w:numFmt w:val="decimal"/>
      <w:lvlText w:val="Step %1."/>
      <w:lvlJc w:val="left"/>
      <w:pPr>
        <w:tabs>
          <w:tab w:val="num" w:pos="1242"/>
        </w:tabs>
        <w:ind w:left="1242" w:hanging="1152"/>
      </w:pPr>
      <w:rPr>
        <w:rFonts w:ascii="Arial" w:hAnsi="Arial" w:cs="Times New Roman" w:hint="default"/>
        <w:b w:val="0"/>
        <w:i w:val="0"/>
        <w:sz w:val="22"/>
      </w:rPr>
    </w:lvl>
    <w:lvl w:ilvl="1" w:tplc="04090019" w:tentative="1">
      <w:start w:val="1"/>
      <w:numFmt w:val="lowerLetter"/>
      <w:lvlText w:val="%2."/>
      <w:lvlJc w:val="left"/>
      <w:pPr>
        <w:tabs>
          <w:tab w:val="num" w:pos="450"/>
        </w:tabs>
        <w:ind w:left="450" w:hanging="360"/>
      </w:pPr>
    </w:lvl>
    <w:lvl w:ilvl="2" w:tplc="0409001B" w:tentative="1">
      <w:start w:val="1"/>
      <w:numFmt w:val="lowerRoman"/>
      <w:lvlText w:val="%3."/>
      <w:lvlJc w:val="right"/>
      <w:pPr>
        <w:tabs>
          <w:tab w:val="num" w:pos="1170"/>
        </w:tabs>
        <w:ind w:left="1170" w:hanging="180"/>
      </w:pPr>
    </w:lvl>
    <w:lvl w:ilvl="3" w:tplc="0409000F" w:tentative="1">
      <w:start w:val="1"/>
      <w:numFmt w:val="decimal"/>
      <w:lvlText w:val="%4."/>
      <w:lvlJc w:val="left"/>
      <w:pPr>
        <w:tabs>
          <w:tab w:val="num" w:pos="1890"/>
        </w:tabs>
        <w:ind w:left="1890" w:hanging="360"/>
      </w:pPr>
    </w:lvl>
    <w:lvl w:ilvl="4" w:tplc="04090019" w:tentative="1">
      <w:start w:val="1"/>
      <w:numFmt w:val="lowerLetter"/>
      <w:lvlText w:val="%5."/>
      <w:lvlJc w:val="left"/>
      <w:pPr>
        <w:tabs>
          <w:tab w:val="num" w:pos="2610"/>
        </w:tabs>
        <w:ind w:left="2610" w:hanging="360"/>
      </w:pPr>
    </w:lvl>
    <w:lvl w:ilvl="5" w:tplc="0409001B" w:tentative="1">
      <w:start w:val="1"/>
      <w:numFmt w:val="lowerRoman"/>
      <w:lvlText w:val="%6."/>
      <w:lvlJc w:val="right"/>
      <w:pPr>
        <w:tabs>
          <w:tab w:val="num" w:pos="3330"/>
        </w:tabs>
        <w:ind w:left="3330" w:hanging="180"/>
      </w:pPr>
    </w:lvl>
    <w:lvl w:ilvl="6" w:tplc="0409000F" w:tentative="1">
      <w:start w:val="1"/>
      <w:numFmt w:val="decimal"/>
      <w:lvlText w:val="%7."/>
      <w:lvlJc w:val="left"/>
      <w:pPr>
        <w:tabs>
          <w:tab w:val="num" w:pos="4050"/>
        </w:tabs>
        <w:ind w:left="4050" w:hanging="360"/>
      </w:pPr>
    </w:lvl>
    <w:lvl w:ilvl="7" w:tplc="04090019" w:tentative="1">
      <w:start w:val="1"/>
      <w:numFmt w:val="lowerLetter"/>
      <w:lvlText w:val="%8."/>
      <w:lvlJc w:val="left"/>
      <w:pPr>
        <w:tabs>
          <w:tab w:val="num" w:pos="4770"/>
        </w:tabs>
        <w:ind w:left="4770" w:hanging="360"/>
      </w:pPr>
    </w:lvl>
    <w:lvl w:ilvl="8" w:tplc="0409001B" w:tentative="1">
      <w:start w:val="1"/>
      <w:numFmt w:val="lowerRoman"/>
      <w:lvlText w:val="%9."/>
      <w:lvlJc w:val="right"/>
      <w:pPr>
        <w:tabs>
          <w:tab w:val="num" w:pos="5490"/>
        </w:tabs>
        <w:ind w:left="5490" w:hanging="180"/>
      </w:pPr>
    </w:lvl>
  </w:abstractNum>
  <w:abstractNum w:abstractNumId="62" w15:restartNumberingAfterBreak="0">
    <w:nsid w:val="241C769C"/>
    <w:multiLevelType w:val="hybridMultilevel"/>
    <w:tmpl w:val="2716F4FA"/>
    <w:lvl w:ilvl="0" w:tplc="B48CE2EE">
      <w:start w:val="7"/>
      <w:numFmt w:val="decimal"/>
      <w:lvlText w:val="Step %1."/>
      <w:lvlJc w:val="left"/>
      <w:pPr>
        <w:tabs>
          <w:tab w:val="num" w:pos="1152"/>
        </w:tabs>
        <w:ind w:left="1152" w:hanging="1152"/>
      </w:pPr>
      <w:rPr>
        <w:rFonts w:ascii="Arial" w:hAnsi="Arial" w:cs="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24284D93"/>
    <w:multiLevelType w:val="hybridMultilevel"/>
    <w:tmpl w:val="99B436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24B973E2"/>
    <w:multiLevelType w:val="hybridMultilevel"/>
    <w:tmpl w:val="D74CF570"/>
    <w:lvl w:ilvl="0" w:tplc="EB2C90B6">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5" w15:restartNumberingAfterBreak="0">
    <w:nsid w:val="2582343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6" w15:restartNumberingAfterBreak="0">
    <w:nsid w:val="26FE13C4"/>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67" w15:restartNumberingAfterBreak="0">
    <w:nsid w:val="2A250A1D"/>
    <w:multiLevelType w:val="hybridMultilevel"/>
    <w:tmpl w:val="3FE2278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15:restartNumberingAfterBreak="0">
    <w:nsid w:val="2A443079"/>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69" w15:restartNumberingAfterBreak="0">
    <w:nsid w:val="2A7C0A30"/>
    <w:multiLevelType w:val="hybridMultilevel"/>
    <w:tmpl w:val="0FC2C5B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BAB6B54"/>
    <w:multiLevelType w:val="hybridMultilevel"/>
    <w:tmpl w:val="642EBE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15:restartNumberingAfterBreak="0">
    <w:nsid w:val="2C2F4173"/>
    <w:multiLevelType w:val="hybridMultilevel"/>
    <w:tmpl w:val="27AA0DFE"/>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2" w15:restartNumberingAfterBreak="0">
    <w:nsid w:val="2C5C78A2"/>
    <w:multiLevelType w:val="hybridMultilevel"/>
    <w:tmpl w:val="42866FD0"/>
    <w:lvl w:ilvl="0" w:tplc="363C1D76">
      <w:start w:val="1"/>
      <w:numFmt w:val="decimal"/>
      <w:lvlText w:val="Step %1."/>
      <w:lvlJc w:val="left"/>
      <w:pPr>
        <w:tabs>
          <w:tab w:val="num" w:pos="1872"/>
        </w:tabs>
        <w:ind w:left="1872" w:hanging="1152"/>
      </w:pPr>
      <w:rPr>
        <w:rFonts w:ascii="Arial" w:hAnsi="Arial" w:cs="Arial" w:hint="default"/>
        <w:b w:val="0"/>
        <w:bCs w:val="0"/>
        <w:i w:val="0"/>
        <w:iCs w:val="0"/>
        <w:sz w:val="22"/>
        <w:szCs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3" w15:restartNumberingAfterBreak="0">
    <w:nsid w:val="2C7950B8"/>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74" w15:restartNumberingAfterBreak="0">
    <w:nsid w:val="2CB37F60"/>
    <w:multiLevelType w:val="hybridMultilevel"/>
    <w:tmpl w:val="2FBCBAD0"/>
    <w:lvl w:ilvl="0" w:tplc="522CE8C4">
      <w:start w:val="1"/>
      <w:numFmt w:val="decimal"/>
      <w:lvlText w:val="%1."/>
      <w:lvlJc w:val="left"/>
      <w:pPr>
        <w:tabs>
          <w:tab w:val="num" w:pos="1170"/>
        </w:tabs>
        <w:ind w:left="117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2D5146A9"/>
    <w:multiLevelType w:val="hybridMultilevel"/>
    <w:tmpl w:val="174E79F0"/>
    <w:lvl w:ilvl="0" w:tplc="04090019">
      <w:start w:val="1"/>
      <w:numFmt w:val="lowerLetter"/>
      <w:lvlText w:val="%1."/>
      <w:lvlJc w:val="left"/>
      <w:pPr>
        <w:ind w:left="630" w:hanging="360"/>
      </w:pPr>
      <w:rPr>
        <w:rFonts w:hint="default"/>
        <w:color w:val="auto"/>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76" w15:restartNumberingAfterBreak="0">
    <w:nsid w:val="2E0D6624"/>
    <w:multiLevelType w:val="hybridMultilevel"/>
    <w:tmpl w:val="8716D712"/>
    <w:lvl w:ilvl="0" w:tplc="A986104E">
      <w:start w:val="1"/>
      <w:numFmt w:val="decimal"/>
      <w:lvlText w:val="Step %1."/>
      <w:lvlJc w:val="left"/>
      <w:pPr>
        <w:tabs>
          <w:tab w:val="num" w:pos="1152"/>
        </w:tabs>
        <w:ind w:left="1152" w:hanging="1152"/>
      </w:pPr>
      <w:rPr>
        <w:rFonts w:ascii="Arial" w:hAnsi="Arial" w:cs="Times New Roman" w:hint="default"/>
        <w:b w:val="0"/>
        <w:i w:val="0"/>
        <w:color w:val="auto"/>
        <w:sz w:val="22"/>
      </w:rPr>
    </w:lvl>
    <w:lvl w:ilvl="1" w:tplc="04090003">
      <w:start w:val="3"/>
      <w:numFmt w:val="decimal"/>
      <w:lvlText w:val="%2."/>
      <w:lvlJc w:val="left"/>
      <w:pPr>
        <w:tabs>
          <w:tab w:val="num" w:pos="720"/>
        </w:tabs>
        <w:ind w:left="720" w:hanging="360"/>
      </w:pPr>
      <w:rPr>
        <w:rFonts w:cs="Times New Roman" w:hint="default"/>
      </w:rPr>
    </w:lvl>
    <w:lvl w:ilvl="2" w:tplc="04090005" w:tentative="1">
      <w:start w:val="1"/>
      <w:numFmt w:val="lowerRoman"/>
      <w:lvlText w:val="%3."/>
      <w:lvlJc w:val="right"/>
      <w:pPr>
        <w:tabs>
          <w:tab w:val="num" w:pos="1440"/>
        </w:tabs>
        <w:ind w:left="1440" w:hanging="180"/>
      </w:pPr>
      <w:rPr>
        <w:rFonts w:cs="Times New Roman"/>
      </w:rPr>
    </w:lvl>
    <w:lvl w:ilvl="3" w:tplc="04090001" w:tentative="1">
      <w:start w:val="1"/>
      <w:numFmt w:val="decimal"/>
      <w:lvlText w:val="%4."/>
      <w:lvlJc w:val="left"/>
      <w:pPr>
        <w:tabs>
          <w:tab w:val="num" w:pos="2160"/>
        </w:tabs>
        <w:ind w:left="2160" w:hanging="360"/>
      </w:pPr>
      <w:rPr>
        <w:rFonts w:cs="Times New Roman"/>
      </w:rPr>
    </w:lvl>
    <w:lvl w:ilvl="4" w:tplc="04090003" w:tentative="1">
      <w:start w:val="1"/>
      <w:numFmt w:val="lowerLetter"/>
      <w:lvlText w:val="%5."/>
      <w:lvlJc w:val="left"/>
      <w:pPr>
        <w:tabs>
          <w:tab w:val="num" w:pos="2880"/>
        </w:tabs>
        <w:ind w:left="2880" w:hanging="360"/>
      </w:pPr>
      <w:rPr>
        <w:rFonts w:cs="Times New Roman"/>
      </w:rPr>
    </w:lvl>
    <w:lvl w:ilvl="5" w:tplc="04090005" w:tentative="1">
      <w:start w:val="1"/>
      <w:numFmt w:val="lowerRoman"/>
      <w:lvlText w:val="%6."/>
      <w:lvlJc w:val="right"/>
      <w:pPr>
        <w:tabs>
          <w:tab w:val="num" w:pos="3600"/>
        </w:tabs>
        <w:ind w:left="3600" w:hanging="180"/>
      </w:pPr>
      <w:rPr>
        <w:rFonts w:cs="Times New Roman"/>
      </w:rPr>
    </w:lvl>
    <w:lvl w:ilvl="6" w:tplc="04090001" w:tentative="1">
      <w:start w:val="1"/>
      <w:numFmt w:val="decimal"/>
      <w:lvlText w:val="%7."/>
      <w:lvlJc w:val="left"/>
      <w:pPr>
        <w:tabs>
          <w:tab w:val="num" w:pos="4320"/>
        </w:tabs>
        <w:ind w:left="4320" w:hanging="360"/>
      </w:pPr>
      <w:rPr>
        <w:rFonts w:cs="Times New Roman"/>
      </w:rPr>
    </w:lvl>
    <w:lvl w:ilvl="7" w:tplc="04090003" w:tentative="1">
      <w:start w:val="1"/>
      <w:numFmt w:val="lowerLetter"/>
      <w:lvlText w:val="%8."/>
      <w:lvlJc w:val="left"/>
      <w:pPr>
        <w:tabs>
          <w:tab w:val="num" w:pos="5040"/>
        </w:tabs>
        <w:ind w:left="5040" w:hanging="360"/>
      </w:pPr>
      <w:rPr>
        <w:rFonts w:cs="Times New Roman"/>
      </w:rPr>
    </w:lvl>
    <w:lvl w:ilvl="8" w:tplc="04090005" w:tentative="1">
      <w:start w:val="1"/>
      <w:numFmt w:val="lowerRoman"/>
      <w:lvlText w:val="%9."/>
      <w:lvlJc w:val="right"/>
      <w:pPr>
        <w:tabs>
          <w:tab w:val="num" w:pos="5760"/>
        </w:tabs>
        <w:ind w:left="5760" w:hanging="180"/>
      </w:pPr>
      <w:rPr>
        <w:rFonts w:cs="Times New Roman"/>
      </w:rPr>
    </w:lvl>
  </w:abstractNum>
  <w:abstractNum w:abstractNumId="77" w15:restartNumberingAfterBreak="0">
    <w:nsid w:val="2EDA0D52"/>
    <w:multiLevelType w:val="hybridMultilevel"/>
    <w:tmpl w:val="8062950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F7E3626"/>
    <w:multiLevelType w:val="hybridMultilevel"/>
    <w:tmpl w:val="07E64B1C"/>
    <w:lvl w:ilvl="0" w:tplc="F88CC45C">
      <w:start w:val="1"/>
      <w:numFmt w:val="decimal"/>
      <w:lvlText w:val="%1."/>
      <w:lvlJc w:val="left"/>
      <w:pPr>
        <w:ind w:left="360" w:hanging="360"/>
      </w:pPr>
      <w:rPr>
        <w:rFonts w:ascii="Arial" w:hAnsi="Arial" w:cs="Arial" w:hint="default"/>
        <w:sz w:val="18"/>
        <w:szCs w:val="18"/>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2FC149DA"/>
    <w:multiLevelType w:val="hybridMultilevel"/>
    <w:tmpl w:val="FB6ACF22"/>
    <w:lvl w:ilvl="0" w:tplc="DE6A310E">
      <w:start w:val="8"/>
      <w:numFmt w:val="decimal"/>
      <w:lvlText w:val="Step %1."/>
      <w:lvlJc w:val="left"/>
      <w:pPr>
        <w:tabs>
          <w:tab w:val="num" w:pos="1512"/>
        </w:tabs>
        <w:ind w:left="1512" w:hanging="1152"/>
      </w:pPr>
      <w:rPr>
        <w:rFonts w:ascii="Arial" w:hAnsi="Arial" w:cs="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06E29FC"/>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81" w15:restartNumberingAfterBreak="0">
    <w:nsid w:val="30C5218B"/>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82" w15:restartNumberingAfterBreak="0">
    <w:nsid w:val="310549B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83" w15:restartNumberingAfterBreak="0">
    <w:nsid w:val="317231FA"/>
    <w:multiLevelType w:val="hybridMultilevel"/>
    <w:tmpl w:val="EEDE63D6"/>
    <w:lvl w:ilvl="0" w:tplc="4F88A3BC">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32B2115E"/>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85" w15:restartNumberingAfterBreak="0">
    <w:nsid w:val="32E52C03"/>
    <w:multiLevelType w:val="hybridMultilevel"/>
    <w:tmpl w:val="4B48864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349204E3"/>
    <w:multiLevelType w:val="hybridMultilevel"/>
    <w:tmpl w:val="6F881FE2"/>
    <w:lvl w:ilvl="0" w:tplc="26A87232">
      <w:start w:val="1"/>
      <w:numFmt w:val="decimal"/>
      <w:lvlText w:val="Step %1."/>
      <w:lvlJc w:val="left"/>
      <w:pPr>
        <w:tabs>
          <w:tab w:val="num" w:pos="1512"/>
        </w:tabs>
        <w:ind w:left="1512" w:hanging="1152"/>
      </w:pPr>
      <w:rPr>
        <w:rFonts w:ascii="Arial" w:hAnsi="Arial" w:cs="Times New Roman" w:hint="default"/>
        <w:b w:val="0"/>
        <w:i w:val="0"/>
        <w:sz w:val="22"/>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7" w15:restartNumberingAfterBreak="0">
    <w:nsid w:val="35DA2BBC"/>
    <w:multiLevelType w:val="hybridMultilevel"/>
    <w:tmpl w:val="D1A2A9EE"/>
    <w:lvl w:ilvl="0" w:tplc="5C2672A4">
      <w:start w:val="1"/>
      <w:numFmt w:val="decimal"/>
      <w:lvlText w:val="Step %1."/>
      <w:lvlJc w:val="left"/>
      <w:pPr>
        <w:tabs>
          <w:tab w:val="num" w:pos="1152"/>
        </w:tabs>
        <w:ind w:left="1152" w:hanging="1152"/>
      </w:pPr>
      <w:rPr>
        <w:rFonts w:ascii="Arial" w:hAnsi="Arial" w:cs="Times New Roman" w:hint="default"/>
        <w:b w:val="0"/>
        <w:i w:val="0"/>
        <w:sz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39287241"/>
    <w:multiLevelType w:val="hybridMultilevel"/>
    <w:tmpl w:val="D3526F50"/>
    <w:lvl w:ilvl="0" w:tplc="3F1EBE48">
      <w:start w:val="5"/>
      <w:numFmt w:val="decimal"/>
      <w:lvlText w:val="Step %1."/>
      <w:lvlJc w:val="left"/>
      <w:pPr>
        <w:tabs>
          <w:tab w:val="num" w:pos="1872"/>
        </w:tabs>
        <w:ind w:left="1872" w:hanging="1152"/>
      </w:pPr>
      <w:rPr>
        <w:rFonts w:ascii="Arial" w:hAnsi="Arial" w:cs="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39B34E7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90" w15:restartNumberingAfterBreak="0">
    <w:nsid w:val="3BEB70E6"/>
    <w:multiLevelType w:val="singleLevel"/>
    <w:tmpl w:val="6CA0949A"/>
    <w:lvl w:ilvl="0">
      <w:numFmt w:val="decimal"/>
      <w:lvlText w:val="%1"/>
      <w:legacy w:legacy="1" w:legacySpace="0" w:legacyIndent="0"/>
      <w:lvlJc w:val="left"/>
    </w:lvl>
  </w:abstractNum>
  <w:abstractNum w:abstractNumId="91" w15:restartNumberingAfterBreak="0">
    <w:nsid w:val="3C571E09"/>
    <w:multiLevelType w:val="hybridMultilevel"/>
    <w:tmpl w:val="0E122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D290EBC"/>
    <w:multiLevelType w:val="hybridMultilevel"/>
    <w:tmpl w:val="F762116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D651003"/>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94" w15:restartNumberingAfterBreak="0">
    <w:nsid w:val="3E482111"/>
    <w:multiLevelType w:val="hybridMultilevel"/>
    <w:tmpl w:val="D240950A"/>
    <w:lvl w:ilvl="0" w:tplc="1026F7F4">
      <w:start w:val="1"/>
      <w:numFmt w:val="lowerRoman"/>
      <w:lvlText w:val="%1."/>
      <w:lvlJc w:val="left"/>
      <w:pPr>
        <w:tabs>
          <w:tab w:val="num" w:pos="3600"/>
        </w:tabs>
        <w:ind w:left="3600" w:hanging="360"/>
      </w:pPr>
      <w:rPr>
        <w:rFonts w:hint="default"/>
      </w:rPr>
    </w:lvl>
    <w:lvl w:ilvl="1" w:tplc="04090019">
      <w:start w:val="1"/>
      <w:numFmt w:val="lowerLetter"/>
      <w:lvlText w:val="%2."/>
      <w:lvlJc w:val="left"/>
      <w:pPr>
        <w:tabs>
          <w:tab w:val="num" w:pos="4320"/>
        </w:tabs>
        <w:ind w:left="4320" w:hanging="360"/>
      </w:pPr>
    </w:lvl>
    <w:lvl w:ilvl="2" w:tplc="485EAD52">
      <w:start w:val="6"/>
      <w:numFmt w:val="decimal"/>
      <w:lvlText w:val="%3"/>
      <w:lvlJc w:val="left"/>
      <w:pPr>
        <w:ind w:left="5220" w:hanging="360"/>
      </w:pPr>
      <w:rPr>
        <w:rFonts w:hint="default"/>
      </w:rPr>
    </w:lvl>
    <w:lvl w:ilvl="3" w:tplc="0409000F" w:tentative="1">
      <w:start w:val="1"/>
      <w:numFmt w:val="decimal"/>
      <w:lvlText w:val="%4."/>
      <w:lvlJc w:val="left"/>
      <w:pPr>
        <w:tabs>
          <w:tab w:val="num" w:pos="5760"/>
        </w:tabs>
        <w:ind w:left="5760" w:hanging="360"/>
      </w:pPr>
    </w:lvl>
    <w:lvl w:ilvl="4" w:tplc="04090019" w:tentative="1">
      <w:start w:val="1"/>
      <w:numFmt w:val="lowerLetter"/>
      <w:lvlText w:val="%5."/>
      <w:lvlJc w:val="left"/>
      <w:pPr>
        <w:tabs>
          <w:tab w:val="num" w:pos="6480"/>
        </w:tabs>
        <w:ind w:left="6480" w:hanging="360"/>
      </w:pPr>
    </w:lvl>
    <w:lvl w:ilvl="5" w:tplc="0409001B" w:tentative="1">
      <w:start w:val="1"/>
      <w:numFmt w:val="lowerRoman"/>
      <w:lvlText w:val="%6."/>
      <w:lvlJc w:val="right"/>
      <w:pPr>
        <w:tabs>
          <w:tab w:val="num" w:pos="7200"/>
        </w:tabs>
        <w:ind w:left="7200" w:hanging="180"/>
      </w:pPr>
    </w:lvl>
    <w:lvl w:ilvl="6" w:tplc="0409000F" w:tentative="1">
      <w:start w:val="1"/>
      <w:numFmt w:val="decimal"/>
      <w:lvlText w:val="%7."/>
      <w:lvlJc w:val="left"/>
      <w:pPr>
        <w:tabs>
          <w:tab w:val="num" w:pos="7920"/>
        </w:tabs>
        <w:ind w:left="7920" w:hanging="360"/>
      </w:pPr>
    </w:lvl>
    <w:lvl w:ilvl="7" w:tplc="04090019" w:tentative="1">
      <w:start w:val="1"/>
      <w:numFmt w:val="lowerLetter"/>
      <w:lvlText w:val="%8."/>
      <w:lvlJc w:val="left"/>
      <w:pPr>
        <w:tabs>
          <w:tab w:val="num" w:pos="8640"/>
        </w:tabs>
        <w:ind w:left="8640" w:hanging="360"/>
      </w:pPr>
    </w:lvl>
    <w:lvl w:ilvl="8" w:tplc="0409001B" w:tentative="1">
      <w:start w:val="1"/>
      <w:numFmt w:val="lowerRoman"/>
      <w:lvlText w:val="%9."/>
      <w:lvlJc w:val="right"/>
      <w:pPr>
        <w:tabs>
          <w:tab w:val="num" w:pos="9360"/>
        </w:tabs>
        <w:ind w:left="9360" w:hanging="180"/>
      </w:pPr>
    </w:lvl>
  </w:abstractNum>
  <w:abstractNum w:abstractNumId="95" w15:restartNumberingAfterBreak="0">
    <w:nsid w:val="3F9A3846"/>
    <w:multiLevelType w:val="hybridMultilevel"/>
    <w:tmpl w:val="23C838BA"/>
    <w:lvl w:ilvl="0" w:tplc="54280C48">
      <w:start w:val="1"/>
      <w:numFmt w:val="none"/>
      <w:lvlText w:val="Step 8."/>
      <w:lvlJc w:val="left"/>
      <w:pPr>
        <w:tabs>
          <w:tab w:val="num" w:pos="1242"/>
        </w:tabs>
        <w:ind w:left="1242" w:hanging="1152"/>
      </w:pPr>
      <w:rPr>
        <w:rFonts w:ascii="Arial" w:hAnsi="Arial" w:hint="default"/>
        <w:b w:val="0"/>
        <w:i w:val="0"/>
        <w:sz w:val="22"/>
      </w:rPr>
    </w:lvl>
    <w:lvl w:ilvl="1" w:tplc="04090019" w:tentative="1">
      <w:start w:val="1"/>
      <w:numFmt w:val="lowerLetter"/>
      <w:lvlText w:val="%2."/>
      <w:lvlJc w:val="left"/>
      <w:pPr>
        <w:tabs>
          <w:tab w:val="num" w:pos="1530"/>
        </w:tabs>
        <w:ind w:left="1530" w:hanging="360"/>
      </w:pPr>
    </w:lvl>
    <w:lvl w:ilvl="2" w:tplc="0409001B" w:tentative="1">
      <w:start w:val="1"/>
      <w:numFmt w:val="lowerRoman"/>
      <w:lvlText w:val="%3."/>
      <w:lvlJc w:val="right"/>
      <w:pPr>
        <w:tabs>
          <w:tab w:val="num" w:pos="2250"/>
        </w:tabs>
        <w:ind w:left="2250" w:hanging="180"/>
      </w:pPr>
    </w:lvl>
    <w:lvl w:ilvl="3" w:tplc="0409000F" w:tentative="1">
      <w:start w:val="1"/>
      <w:numFmt w:val="decimal"/>
      <w:lvlText w:val="%4."/>
      <w:lvlJc w:val="left"/>
      <w:pPr>
        <w:tabs>
          <w:tab w:val="num" w:pos="2970"/>
        </w:tabs>
        <w:ind w:left="2970" w:hanging="360"/>
      </w:pPr>
    </w:lvl>
    <w:lvl w:ilvl="4" w:tplc="04090019" w:tentative="1">
      <w:start w:val="1"/>
      <w:numFmt w:val="lowerLetter"/>
      <w:lvlText w:val="%5."/>
      <w:lvlJc w:val="left"/>
      <w:pPr>
        <w:tabs>
          <w:tab w:val="num" w:pos="3690"/>
        </w:tabs>
        <w:ind w:left="3690" w:hanging="360"/>
      </w:pPr>
    </w:lvl>
    <w:lvl w:ilvl="5" w:tplc="0409001B" w:tentative="1">
      <w:start w:val="1"/>
      <w:numFmt w:val="lowerRoman"/>
      <w:lvlText w:val="%6."/>
      <w:lvlJc w:val="right"/>
      <w:pPr>
        <w:tabs>
          <w:tab w:val="num" w:pos="4410"/>
        </w:tabs>
        <w:ind w:left="4410" w:hanging="180"/>
      </w:pPr>
    </w:lvl>
    <w:lvl w:ilvl="6" w:tplc="0409000F" w:tentative="1">
      <w:start w:val="1"/>
      <w:numFmt w:val="decimal"/>
      <w:lvlText w:val="%7."/>
      <w:lvlJc w:val="left"/>
      <w:pPr>
        <w:tabs>
          <w:tab w:val="num" w:pos="5130"/>
        </w:tabs>
        <w:ind w:left="5130" w:hanging="360"/>
      </w:pPr>
    </w:lvl>
    <w:lvl w:ilvl="7" w:tplc="04090019" w:tentative="1">
      <w:start w:val="1"/>
      <w:numFmt w:val="lowerLetter"/>
      <w:lvlText w:val="%8."/>
      <w:lvlJc w:val="left"/>
      <w:pPr>
        <w:tabs>
          <w:tab w:val="num" w:pos="5850"/>
        </w:tabs>
        <w:ind w:left="5850" w:hanging="360"/>
      </w:pPr>
    </w:lvl>
    <w:lvl w:ilvl="8" w:tplc="0409001B" w:tentative="1">
      <w:start w:val="1"/>
      <w:numFmt w:val="lowerRoman"/>
      <w:lvlText w:val="%9."/>
      <w:lvlJc w:val="right"/>
      <w:pPr>
        <w:tabs>
          <w:tab w:val="num" w:pos="6570"/>
        </w:tabs>
        <w:ind w:left="6570" w:hanging="180"/>
      </w:pPr>
    </w:lvl>
  </w:abstractNum>
  <w:abstractNum w:abstractNumId="96" w15:restartNumberingAfterBreak="0">
    <w:nsid w:val="3FBE196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97" w15:restartNumberingAfterBreak="0">
    <w:nsid w:val="3FDF1C47"/>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98" w15:restartNumberingAfterBreak="0">
    <w:nsid w:val="423F3088"/>
    <w:multiLevelType w:val="hybridMultilevel"/>
    <w:tmpl w:val="4BAED7A2"/>
    <w:lvl w:ilvl="0" w:tplc="FFD4FF66">
      <w:start w:val="1"/>
      <w:numFmt w:val="decimal"/>
      <w:lvlText w:val="Step %1."/>
      <w:lvlJc w:val="left"/>
      <w:pPr>
        <w:tabs>
          <w:tab w:val="num" w:pos="1872"/>
        </w:tabs>
        <w:ind w:left="1872" w:hanging="1152"/>
      </w:pPr>
      <w:rPr>
        <w:rFonts w:ascii="Arial" w:hAnsi="Arial"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42A858F8"/>
    <w:multiLevelType w:val="hybridMultilevel"/>
    <w:tmpl w:val="1542F84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0" w15:restartNumberingAfterBreak="0">
    <w:nsid w:val="42C712A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01" w15:restartNumberingAfterBreak="0">
    <w:nsid w:val="4359027E"/>
    <w:multiLevelType w:val="hybridMultilevel"/>
    <w:tmpl w:val="7A26A5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45050DD5"/>
    <w:multiLevelType w:val="singleLevel"/>
    <w:tmpl w:val="04090001"/>
    <w:lvl w:ilvl="0">
      <w:start w:val="1"/>
      <w:numFmt w:val="bullet"/>
      <w:lvlText w:val=""/>
      <w:lvlJc w:val="left"/>
      <w:pPr>
        <w:ind w:left="720" w:hanging="360"/>
      </w:pPr>
      <w:rPr>
        <w:rFonts w:ascii="Symbol" w:hAnsi="Symbol" w:hint="default"/>
      </w:rPr>
    </w:lvl>
  </w:abstractNum>
  <w:abstractNum w:abstractNumId="103" w15:restartNumberingAfterBreak="0">
    <w:nsid w:val="4594087B"/>
    <w:multiLevelType w:val="hybridMultilevel"/>
    <w:tmpl w:val="0D58534C"/>
    <w:lvl w:ilvl="0" w:tplc="91D2C8B2">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3">
      <w:start w:val="1"/>
      <w:numFmt w:val="bullet"/>
      <w:lvlText w:val="o"/>
      <w:lvlJc w:val="left"/>
      <w:pPr>
        <w:tabs>
          <w:tab w:val="num" w:pos="2160"/>
        </w:tabs>
        <w:ind w:left="2160" w:hanging="360"/>
      </w:pPr>
      <w:rPr>
        <w:rFonts w:ascii="Courier New" w:hAnsi="Courier New"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BD7619"/>
    <w:multiLevelType w:val="hybridMultilevel"/>
    <w:tmpl w:val="2CFAC072"/>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05" w15:restartNumberingAfterBreak="0">
    <w:nsid w:val="478158A7"/>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06" w15:restartNumberingAfterBreak="0">
    <w:nsid w:val="479C7A07"/>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07" w15:restartNumberingAfterBreak="0">
    <w:nsid w:val="47EA1400"/>
    <w:multiLevelType w:val="hybridMultilevel"/>
    <w:tmpl w:val="24D0921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48ED62F8"/>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09" w15:restartNumberingAfterBreak="0">
    <w:nsid w:val="494C3F88"/>
    <w:multiLevelType w:val="hybridMultilevel"/>
    <w:tmpl w:val="2CFAC072"/>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10" w15:restartNumberingAfterBreak="0">
    <w:nsid w:val="49DF2BA7"/>
    <w:multiLevelType w:val="singleLevel"/>
    <w:tmpl w:val="A756FA6C"/>
    <w:lvl w:ilvl="0">
      <w:start w:val="1"/>
      <w:numFmt w:val="decimal"/>
      <w:lvlText w:val="%1)"/>
      <w:lvlJc w:val="left"/>
      <w:pPr>
        <w:tabs>
          <w:tab w:val="num" w:pos="360"/>
        </w:tabs>
        <w:ind w:left="360" w:hanging="360"/>
      </w:pPr>
      <w:rPr>
        <w:rFonts w:cs="Times New Roman" w:hint="default"/>
      </w:rPr>
    </w:lvl>
  </w:abstractNum>
  <w:abstractNum w:abstractNumId="111" w15:restartNumberingAfterBreak="0">
    <w:nsid w:val="4A1D08C0"/>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12" w15:restartNumberingAfterBreak="0">
    <w:nsid w:val="4A555C87"/>
    <w:multiLevelType w:val="hybridMultilevel"/>
    <w:tmpl w:val="32A8B1F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3" w15:restartNumberingAfterBreak="0">
    <w:nsid w:val="4AB26267"/>
    <w:multiLevelType w:val="singleLevel"/>
    <w:tmpl w:val="5C98C972"/>
    <w:lvl w:ilvl="0">
      <w:start w:val="1"/>
      <w:numFmt w:val="bullet"/>
      <w:lvlText w:val=""/>
      <w:lvlJc w:val="left"/>
      <w:pPr>
        <w:tabs>
          <w:tab w:val="num" w:pos="648"/>
        </w:tabs>
        <w:ind w:left="360" w:hanging="72"/>
      </w:pPr>
      <w:rPr>
        <w:rFonts w:ascii="Symbol" w:hAnsi="Symbol" w:hint="default"/>
      </w:rPr>
    </w:lvl>
  </w:abstractNum>
  <w:abstractNum w:abstractNumId="114" w15:restartNumberingAfterBreak="0">
    <w:nsid w:val="4B490025"/>
    <w:multiLevelType w:val="hybridMultilevel"/>
    <w:tmpl w:val="04BE35C0"/>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5" w15:restartNumberingAfterBreak="0">
    <w:nsid w:val="4B512A81"/>
    <w:multiLevelType w:val="hybridMultilevel"/>
    <w:tmpl w:val="2C1EE6B8"/>
    <w:lvl w:ilvl="0" w:tplc="0409000F">
      <w:start w:val="1"/>
      <w:numFmt w:val="decimal"/>
      <w:lvlText w:val="%1."/>
      <w:lvlJc w:val="left"/>
      <w:pPr>
        <w:ind w:left="360" w:hanging="360"/>
      </w:pPr>
    </w:lvl>
    <w:lvl w:ilvl="1" w:tplc="B9B047E2">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15:restartNumberingAfterBreak="0">
    <w:nsid w:val="4B8B53A9"/>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17" w15:restartNumberingAfterBreak="0">
    <w:nsid w:val="4C0C342B"/>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18" w15:restartNumberingAfterBreak="0">
    <w:nsid w:val="4CFD5015"/>
    <w:multiLevelType w:val="hybridMultilevel"/>
    <w:tmpl w:val="209C50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4D7E1668"/>
    <w:multiLevelType w:val="hybridMultilevel"/>
    <w:tmpl w:val="4BAED7A2"/>
    <w:lvl w:ilvl="0" w:tplc="FFD4FF66">
      <w:start w:val="1"/>
      <w:numFmt w:val="decimal"/>
      <w:lvlText w:val="Step %1."/>
      <w:lvlJc w:val="left"/>
      <w:pPr>
        <w:tabs>
          <w:tab w:val="num" w:pos="1872"/>
        </w:tabs>
        <w:ind w:left="1872" w:hanging="1152"/>
      </w:pPr>
      <w:rPr>
        <w:rFonts w:ascii="Arial" w:hAnsi="Arial"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4D9E67B5"/>
    <w:multiLevelType w:val="hybridMultilevel"/>
    <w:tmpl w:val="68667AB4"/>
    <w:lvl w:ilvl="0" w:tplc="BDCAA23E">
      <w:start w:val="1"/>
      <w:numFmt w:val="decimal"/>
      <w:lvlText w:val="%1."/>
      <w:lvlJc w:val="left"/>
      <w:pPr>
        <w:ind w:left="765" w:hanging="360"/>
      </w:pPr>
      <w:rPr>
        <w:rFonts w:ascii="Arial" w:hAnsi="Arial" w:cs="Arial" w:hint="default"/>
        <w:sz w:val="22"/>
        <w:szCs w:val="22"/>
      </w:rPr>
    </w:lvl>
    <w:lvl w:ilvl="1" w:tplc="04090019">
      <w:start w:val="1"/>
      <w:numFmt w:val="lowerLetter"/>
      <w:lvlText w:val="%2."/>
      <w:lvlJc w:val="left"/>
      <w:pPr>
        <w:ind w:left="1485" w:hanging="360"/>
      </w:pPr>
      <w:rPr>
        <w:rFonts w:cs="Times New Roman"/>
      </w:rPr>
    </w:lvl>
    <w:lvl w:ilvl="2" w:tplc="0409001B" w:tentative="1">
      <w:start w:val="1"/>
      <w:numFmt w:val="lowerRoman"/>
      <w:lvlText w:val="%3."/>
      <w:lvlJc w:val="right"/>
      <w:pPr>
        <w:ind w:left="2205" w:hanging="180"/>
      </w:pPr>
      <w:rPr>
        <w:rFonts w:cs="Times New Roman"/>
      </w:rPr>
    </w:lvl>
    <w:lvl w:ilvl="3" w:tplc="0409000F" w:tentative="1">
      <w:start w:val="1"/>
      <w:numFmt w:val="decimal"/>
      <w:lvlText w:val="%4."/>
      <w:lvlJc w:val="left"/>
      <w:pPr>
        <w:ind w:left="2925" w:hanging="360"/>
      </w:pPr>
      <w:rPr>
        <w:rFonts w:cs="Times New Roman"/>
      </w:rPr>
    </w:lvl>
    <w:lvl w:ilvl="4" w:tplc="04090019" w:tentative="1">
      <w:start w:val="1"/>
      <w:numFmt w:val="lowerLetter"/>
      <w:lvlText w:val="%5."/>
      <w:lvlJc w:val="left"/>
      <w:pPr>
        <w:ind w:left="3645" w:hanging="360"/>
      </w:pPr>
      <w:rPr>
        <w:rFonts w:cs="Times New Roman"/>
      </w:rPr>
    </w:lvl>
    <w:lvl w:ilvl="5" w:tplc="0409001B" w:tentative="1">
      <w:start w:val="1"/>
      <w:numFmt w:val="lowerRoman"/>
      <w:lvlText w:val="%6."/>
      <w:lvlJc w:val="right"/>
      <w:pPr>
        <w:ind w:left="4365" w:hanging="180"/>
      </w:pPr>
      <w:rPr>
        <w:rFonts w:cs="Times New Roman"/>
      </w:rPr>
    </w:lvl>
    <w:lvl w:ilvl="6" w:tplc="0409000F" w:tentative="1">
      <w:start w:val="1"/>
      <w:numFmt w:val="decimal"/>
      <w:lvlText w:val="%7."/>
      <w:lvlJc w:val="left"/>
      <w:pPr>
        <w:ind w:left="5085" w:hanging="360"/>
      </w:pPr>
      <w:rPr>
        <w:rFonts w:cs="Times New Roman"/>
      </w:rPr>
    </w:lvl>
    <w:lvl w:ilvl="7" w:tplc="04090019" w:tentative="1">
      <w:start w:val="1"/>
      <w:numFmt w:val="lowerLetter"/>
      <w:lvlText w:val="%8."/>
      <w:lvlJc w:val="left"/>
      <w:pPr>
        <w:ind w:left="5805" w:hanging="360"/>
      </w:pPr>
      <w:rPr>
        <w:rFonts w:cs="Times New Roman"/>
      </w:rPr>
    </w:lvl>
    <w:lvl w:ilvl="8" w:tplc="0409001B" w:tentative="1">
      <w:start w:val="1"/>
      <w:numFmt w:val="lowerRoman"/>
      <w:lvlText w:val="%9."/>
      <w:lvlJc w:val="right"/>
      <w:pPr>
        <w:ind w:left="6525" w:hanging="180"/>
      </w:pPr>
      <w:rPr>
        <w:rFonts w:cs="Times New Roman"/>
      </w:rPr>
    </w:lvl>
  </w:abstractNum>
  <w:abstractNum w:abstractNumId="121" w15:restartNumberingAfterBreak="0">
    <w:nsid w:val="4E3F03D4"/>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22" w15:restartNumberingAfterBreak="0">
    <w:nsid w:val="4E58408A"/>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23" w15:restartNumberingAfterBreak="0">
    <w:nsid w:val="5011673B"/>
    <w:multiLevelType w:val="hybridMultilevel"/>
    <w:tmpl w:val="54EC3C2A"/>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24" w15:restartNumberingAfterBreak="0">
    <w:nsid w:val="501E6713"/>
    <w:multiLevelType w:val="hybridMultilevel"/>
    <w:tmpl w:val="23B06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14C1E52"/>
    <w:multiLevelType w:val="singleLevel"/>
    <w:tmpl w:val="FFD4FF66"/>
    <w:lvl w:ilvl="0">
      <w:start w:val="1"/>
      <w:numFmt w:val="decimal"/>
      <w:lvlText w:val="Step %1."/>
      <w:lvlJc w:val="left"/>
      <w:pPr>
        <w:ind w:left="720" w:hanging="360"/>
      </w:pPr>
      <w:rPr>
        <w:rFonts w:ascii="Arial" w:hAnsi="Arial" w:hint="default"/>
        <w:b w:val="0"/>
        <w:i w:val="0"/>
        <w:sz w:val="22"/>
      </w:rPr>
    </w:lvl>
  </w:abstractNum>
  <w:abstractNum w:abstractNumId="126" w15:restartNumberingAfterBreak="0">
    <w:nsid w:val="52415DFB"/>
    <w:multiLevelType w:val="hybridMultilevel"/>
    <w:tmpl w:val="40CE8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2C170F8"/>
    <w:multiLevelType w:val="hybridMultilevel"/>
    <w:tmpl w:val="790E8EC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52D46665"/>
    <w:multiLevelType w:val="hybridMultilevel"/>
    <w:tmpl w:val="16CCEB78"/>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29" w15:restartNumberingAfterBreak="0">
    <w:nsid w:val="52FD74FD"/>
    <w:multiLevelType w:val="hybridMultilevel"/>
    <w:tmpl w:val="2FBCBAD0"/>
    <w:lvl w:ilvl="0" w:tplc="522CE8C4">
      <w:start w:val="1"/>
      <w:numFmt w:val="decimal"/>
      <w:lvlText w:val="%1."/>
      <w:lvlJc w:val="left"/>
      <w:pPr>
        <w:tabs>
          <w:tab w:val="num" w:pos="1170"/>
        </w:tabs>
        <w:ind w:left="117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0" w15:restartNumberingAfterBreak="0">
    <w:nsid w:val="53B62FB4"/>
    <w:multiLevelType w:val="hybridMultilevel"/>
    <w:tmpl w:val="7C34705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131" w15:restartNumberingAfterBreak="0">
    <w:nsid w:val="54EE07DA"/>
    <w:multiLevelType w:val="hybridMultilevel"/>
    <w:tmpl w:val="4BAED7A2"/>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32" w15:restartNumberingAfterBreak="0">
    <w:nsid w:val="56AF2F25"/>
    <w:multiLevelType w:val="hybridMultilevel"/>
    <w:tmpl w:val="A162BEE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85B6F4E"/>
    <w:multiLevelType w:val="hybridMultilevel"/>
    <w:tmpl w:val="993409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4" w15:restartNumberingAfterBreak="0">
    <w:nsid w:val="58EC0C68"/>
    <w:multiLevelType w:val="hybridMultilevel"/>
    <w:tmpl w:val="CEAAD3F2"/>
    <w:lvl w:ilvl="0" w:tplc="6148A45A">
      <w:start w:val="1"/>
      <w:numFmt w:val="lowerLetter"/>
      <w:lvlText w:val="%1."/>
      <w:lvlJc w:val="left"/>
      <w:pPr>
        <w:ind w:left="1440" w:hanging="360"/>
      </w:pPr>
      <w:rPr>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5" w15:restartNumberingAfterBreak="0">
    <w:nsid w:val="59374C9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36" w15:restartNumberingAfterBreak="0">
    <w:nsid w:val="59653DF6"/>
    <w:multiLevelType w:val="hybridMultilevel"/>
    <w:tmpl w:val="790E8EC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7" w15:restartNumberingAfterBreak="0">
    <w:nsid w:val="5BA80C77"/>
    <w:multiLevelType w:val="hybridMultilevel"/>
    <w:tmpl w:val="869481D4"/>
    <w:lvl w:ilvl="0" w:tplc="FFD4FF66">
      <w:start w:val="1"/>
      <w:numFmt w:val="decimal"/>
      <w:lvlText w:val="Step %1."/>
      <w:lvlJc w:val="left"/>
      <w:pPr>
        <w:tabs>
          <w:tab w:val="num" w:pos="1242"/>
        </w:tabs>
        <w:ind w:left="1242" w:hanging="1152"/>
      </w:pPr>
      <w:rPr>
        <w:rFonts w:ascii="Arial" w:hAnsi="Arial" w:cs="Times New Roman" w:hint="default"/>
        <w:b w:val="0"/>
        <w:i w:val="0"/>
        <w:sz w:val="22"/>
      </w:rPr>
    </w:lvl>
    <w:lvl w:ilvl="1" w:tplc="04090019" w:tentative="1">
      <w:start w:val="1"/>
      <w:numFmt w:val="lowerLetter"/>
      <w:lvlText w:val="%2."/>
      <w:lvlJc w:val="left"/>
      <w:pPr>
        <w:tabs>
          <w:tab w:val="num" w:pos="450"/>
        </w:tabs>
        <w:ind w:left="450" w:hanging="360"/>
      </w:pPr>
    </w:lvl>
    <w:lvl w:ilvl="2" w:tplc="0409001B" w:tentative="1">
      <w:start w:val="1"/>
      <w:numFmt w:val="lowerRoman"/>
      <w:lvlText w:val="%3."/>
      <w:lvlJc w:val="right"/>
      <w:pPr>
        <w:tabs>
          <w:tab w:val="num" w:pos="1170"/>
        </w:tabs>
        <w:ind w:left="1170" w:hanging="180"/>
      </w:pPr>
    </w:lvl>
    <w:lvl w:ilvl="3" w:tplc="0409000F" w:tentative="1">
      <w:start w:val="1"/>
      <w:numFmt w:val="decimal"/>
      <w:lvlText w:val="%4."/>
      <w:lvlJc w:val="left"/>
      <w:pPr>
        <w:tabs>
          <w:tab w:val="num" w:pos="1890"/>
        </w:tabs>
        <w:ind w:left="1890" w:hanging="360"/>
      </w:pPr>
    </w:lvl>
    <w:lvl w:ilvl="4" w:tplc="04090019" w:tentative="1">
      <w:start w:val="1"/>
      <w:numFmt w:val="lowerLetter"/>
      <w:lvlText w:val="%5."/>
      <w:lvlJc w:val="left"/>
      <w:pPr>
        <w:tabs>
          <w:tab w:val="num" w:pos="2610"/>
        </w:tabs>
        <w:ind w:left="2610" w:hanging="360"/>
      </w:pPr>
    </w:lvl>
    <w:lvl w:ilvl="5" w:tplc="0409001B" w:tentative="1">
      <w:start w:val="1"/>
      <w:numFmt w:val="lowerRoman"/>
      <w:lvlText w:val="%6."/>
      <w:lvlJc w:val="right"/>
      <w:pPr>
        <w:tabs>
          <w:tab w:val="num" w:pos="3330"/>
        </w:tabs>
        <w:ind w:left="3330" w:hanging="180"/>
      </w:pPr>
    </w:lvl>
    <w:lvl w:ilvl="6" w:tplc="0409000F" w:tentative="1">
      <w:start w:val="1"/>
      <w:numFmt w:val="decimal"/>
      <w:lvlText w:val="%7."/>
      <w:lvlJc w:val="left"/>
      <w:pPr>
        <w:tabs>
          <w:tab w:val="num" w:pos="4050"/>
        </w:tabs>
        <w:ind w:left="4050" w:hanging="360"/>
      </w:pPr>
    </w:lvl>
    <w:lvl w:ilvl="7" w:tplc="04090019" w:tentative="1">
      <w:start w:val="1"/>
      <w:numFmt w:val="lowerLetter"/>
      <w:lvlText w:val="%8."/>
      <w:lvlJc w:val="left"/>
      <w:pPr>
        <w:tabs>
          <w:tab w:val="num" w:pos="4770"/>
        </w:tabs>
        <w:ind w:left="4770" w:hanging="360"/>
      </w:pPr>
    </w:lvl>
    <w:lvl w:ilvl="8" w:tplc="0409001B" w:tentative="1">
      <w:start w:val="1"/>
      <w:numFmt w:val="lowerRoman"/>
      <w:lvlText w:val="%9."/>
      <w:lvlJc w:val="right"/>
      <w:pPr>
        <w:tabs>
          <w:tab w:val="num" w:pos="5490"/>
        </w:tabs>
        <w:ind w:left="5490" w:hanging="180"/>
      </w:pPr>
    </w:lvl>
  </w:abstractNum>
  <w:abstractNum w:abstractNumId="138" w15:restartNumberingAfterBreak="0">
    <w:nsid w:val="5BD24557"/>
    <w:multiLevelType w:val="multilevel"/>
    <w:tmpl w:val="CEEA66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5C1E365C"/>
    <w:multiLevelType w:val="hybridMultilevel"/>
    <w:tmpl w:val="7062F0AE"/>
    <w:lvl w:ilvl="0" w:tplc="EB2C90B6">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0" w15:restartNumberingAfterBreak="0">
    <w:nsid w:val="5C377013"/>
    <w:multiLevelType w:val="multilevel"/>
    <w:tmpl w:val="17242D7E"/>
    <w:lvl w:ilvl="0">
      <w:start w:val="1"/>
      <w:numFmt w:val="decimal"/>
      <w:pStyle w:val="Heading1"/>
      <w:lvlText w:val="%1"/>
      <w:lvlJc w:val="left"/>
      <w:pPr>
        <w:ind w:left="432" w:hanging="432"/>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Zero"/>
      <w:pStyle w:val="Heading2"/>
      <w:lvlText w:val="%1.%2"/>
      <w:lvlJc w:val="left"/>
      <w:pPr>
        <w:ind w:left="576" w:hanging="576"/>
      </w:pPr>
      <w:rPr>
        <w:rFonts w:hint="default"/>
      </w:rPr>
    </w:lvl>
    <w:lvl w:ilvl="2">
      <w:start w:val="1"/>
      <w:numFmt w:val="decimalZero"/>
      <w:pStyle w:val="Heading3"/>
      <w:lvlText w:val="%1.%2.%3"/>
      <w:lvlJc w:val="left"/>
      <w:pPr>
        <w:ind w:left="1980" w:hanging="720"/>
      </w:pPr>
      <w:rPr>
        <w:rFonts w:cs="Times New Roman"/>
        <w:b/>
        <w:bCs w:val="0"/>
        <w:i w:val="0"/>
        <w:iCs w:val="0"/>
        <w:caps w:val="0"/>
        <w:smallCaps w:val="0"/>
        <w:strike w:val="0"/>
        <w:dstrike w:val="0"/>
        <w:noProof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Zero"/>
      <w:pStyle w:val="Heading4"/>
      <w:lvlText w:val="%1.%2.%3.%4"/>
      <w:lvlJc w:val="left"/>
      <w:pPr>
        <w:ind w:left="864" w:hanging="864"/>
      </w:pPr>
      <w:rPr>
        <w:rFonts w:cs="Times New Roman"/>
        <w:bCs w:val="0"/>
        <w:i w:val="0"/>
        <w:iC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Zero"/>
      <w:pStyle w:val="Heading5"/>
      <w:lvlText w:val="%1.%2.%3.%4.%5"/>
      <w:lvlJc w:val="left"/>
      <w:pPr>
        <w:ind w:left="1548" w:hanging="1008"/>
      </w:pPr>
      <w:rPr>
        <w:rFonts w:hint="default"/>
      </w:rPr>
    </w:lvl>
    <w:lvl w:ilvl="5">
      <w:start w:val="1"/>
      <w:numFmt w:val="decimal"/>
      <w:pStyle w:val="Heading6"/>
      <w:lvlText w:val="%1.%2.%3.%4.%5.%6"/>
      <w:lvlJc w:val="left"/>
      <w:pPr>
        <w:ind w:left="2682" w:hanging="1152"/>
      </w:pPr>
      <w:rPr>
        <w:rFonts w:hint="default"/>
        <w:b/>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41" w15:restartNumberingAfterBreak="0">
    <w:nsid w:val="5E262C57"/>
    <w:multiLevelType w:val="singleLevel"/>
    <w:tmpl w:val="5C98C972"/>
    <w:lvl w:ilvl="0">
      <w:start w:val="1"/>
      <w:numFmt w:val="bullet"/>
      <w:lvlText w:val=""/>
      <w:lvlJc w:val="left"/>
      <w:pPr>
        <w:tabs>
          <w:tab w:val="num" w:pos="648"/>
        </w:tabs>
        <w:ind w:left="360" w:hanging="72"/>
      </w:pPr>
      <w:rPr>
        <w:rFonts w:ascii="Symbol" w:hAnsi="Symbol" w:hint="default"/>
      </w:rPr>
    </w:lvl>
  </w:abstractNum>
  <w:abstractNum w:abstractNumId="142" w15:restartNumberingAfterBreak="0">
    <w:nsid w:val="5EDD060C"/>
    <w:multiLevelType w:val="singleLevel"/>
    <w:tmpl w:val="FFD4FF66"/>
    <w:lvl w:ilvl="0">
      <w:start w:val="1"/>
      <w:numFmt w:val="decimal"/>
      <w:lvlText w:val="Step %1."/>
      <w:lvlJc w:val="left"/>
      <w:pPr>
        <w:ind w:left="720" w:hanging="360"/>
      </w:pPr>
      <w:rPr>
        <w:rFonts w:ascii="Arial" w:hAnsi="Arial" w:hint="default"/>
        <w:b w:val="0"/>
        <w:i w:val="0"/>
        <w:sz w:val="22"/>
      </w:rPr>
    </w:lvl>
  </w:abstractNum>
  <w:abstractNum w:abstractNumId="143" w15:restartNumberingAfterBreak="0">
    <w:nsid w:val="5FAD35C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4" w15:restartNumberingAfterBreak="0">
    <w:nsid w:val="60A85549"/>
    <w:multiLevelType w:val="hybridMultilevel"/>
    <w:tmpl w:val="930CCC12"/>
    <w:lvl w:ilvl="0" w:tplc="533CA44E">
      <w:start w:val="1"/>
      <w:numFmt w:val="decimal"/>
      <w:lvlText w:val="%1."/>
      <w:lvlJc w:val="left"/>
      <w:pPr>
        <w:ind w:left="720" w:hanging="360"/>
      </w:pPr>
      <w:rPr>
        <w:rFonts w:ascii="Arial" w:hAnsi="Arial" w:cs="Arial" w:hint="default"/>
        <w:sz w:val="2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5" w15:restartNumberingAfterBreak="0">
    <w:nsid w:val="60EE449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6" w15:restartNumberingAfterBreak="0">
    <w:nsid w:val="60F27226"/>
    <w:multiLevelType w:val="hybridMultilevel"/>
    <w:tmpl w:val="E322427A"/>
    <w:lvl w:ilvl="0" w:tplc="EB2C90B6">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7" w15:restartNumberingAfterBreak="0">
    <w:nsid w:val="61536564"/>
    <w:multiLevelType w:val="hybridMultilevel"/>
    <w:tmpl w:val="DAAC9CE8"/>
    <w:lvl w:ilvl="0" w:tplc="EB2C90B6">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61985FCC"/>
    <w:multiLevelType w:val="hybridMultilevel"/>
    <w:tmpl w:val="D004DF86"/>
    <w:lvl w:ilvl="0" w:tplc="FFD4FF66">
      <w:start w:val="1"/>
      <w:numFmt w:val="decimal"/>
      <w:lvlText w:val="Step %1."/>
      <w:lvlJc w:val="left"/>
      <w:pPr>
        <w:tabs>
          <w:tab w:val="num" w:pos="1872"/>
        </w:tabs>
        <w:ind w:left="187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49" w15:restartNumberingAfterBreak="0">
    <w:nsid w:val="61DA3F3C"/>
    <w:multiLevelType w:val="hybridMultilevel"/>
    <w:tmpl w:val="A62A27FA"/>
    <w:lvl w:ilvl="0" w:tplc="363C1D76">
      <w:start w:val="1"/>
      <w:numFmt w:val="decimal"/>
      <w:lvlText w:val="Step %1."/>
      <w:lvlJc w:val="left"/>
      <w:pPr>
        <w:tabs>
          <w:tab w:val="num" w:pos="1872"/>
        </w:tabs>
        <w:ind w:left="1872" w:hanging="1152"/>
      </w:pPr>
      <w:rPr>
        <w:rFonts w:ascii="Arial" w:hAnsi="Arial" w:cs="Arial" w:hint="default"/>
        <w:b w:val="0"/>
        <w:bCs w:val="0"/>
        <w:i w:val="0"/>
        <w:iCs w:val="0"/>
        <w:sz w:val="22"/>
        <w:szCs w:val="22"/>
      </w:rPr>
    </w:lvl>
    <w:lvl w:ilvl="1" w:tplc="AEBA9C8C">
      <w:start w:val="1"/>
      <w:numFmt w:val="bullet"/>
      <w:lvlText w:val=""/>
      <w:lvlJc w:val="left"/>
      <w:pPr>
        <w:tabs>
          <w:tab w:val="num" w:pos="900"/>
        </w:tabs>
        <w:ind w:left="900" w:hanging="360"/>
      </w:pPr>
      <w:rPr>
        <w:rFonts w:ascii="Symbol" w:hAnsi="Symbol" w:cs="Symbol" w:hint="default"/>
        <w:b w:val="0"/>
        <w:bCs w:val="0"/>
        <w:i w:val="0"/>
        <w:iCs w:val="0"/>
        <w:sz w:val="22"/>
        <w:szCs w:val="22"/>
      </w:rPr>
    </w:lvl>
    <w:lvl w:ilvl="2" w:tplc="EA683164">
      <w:start w:val="1"/>
      <w:numFmt w:val="none"/>
      <w:lvlText w:val="Step 5."/>
      <w:lvlJc w:val="left"/>
      <w:pPr>
        <w:tabs>
          <w:tab w:val="num" w:pos="2592"/>
        </w:tabs>
        <w:ind w:left="2592" w:hanging="1152"/>
      </w:pPr>
      <w:rPr>
        <w:rFonts w:ascii="Arial" w:hAnsi="Arial" w:cs="Arial" w:hint="default"/>
        <w:b w:val="0"/>
        <w:bCs w:val="0"/>
        <w:i w:val="0"/>
        <w:iCs w:val="0"/>
        <w:sz w:val="22"/>
        <w:szCs w:val="22"/>
      </w:rPr>
    </w:lvl>
    <w:lvl w:ilvl="3" w:tplc="0409000F">
      <w:start w:val="1"/>
      <w:numFmt w:val="decimal"/>
      <w:lvlText w:val="%4."/>
      <w:lvlJc w:val="left"/>
      <w:pPr>
        <w:tabs>
          <w:tab w:val="num" w:pos="2340"/>
        </w:tabs>
        <w:ind w:left="2340" w:hanging="360"/>
      </w:pPr>
    </w:lvl>
    <w:lvl w:ilvl="4" w:tplc="04090019">
      <w:start w:val="1"/>
      <w:numFmt w:val="lowerLetter"/>
      <w:lvlText w:val="%5."/>
      <w:lvlJc w:val="left"/>
      <w:pPr>
        <w:tabs>
          <w:tab w:val="num" w:pos="3060"/>
        </w:tabs>
        <w:ind w:left="3060" w:hanging="360"/>
      </w:pPr>
    </w:lvl>
    <w:lvl w:ilvl="5" w:tplc="0409001B">
      <w:start w:val="1"/>
      <w:numFmt w:val="lowerRoman"/>
      <w:lvlText w:val="%6."/>
      <w:lvlJc w:val="right"/>
      <w:pPr>
        <w:tabs>
          <w:tab w:val="num" w:pos="3780"/>
        </w:tabs>
        <w:ind w:left="3780" w:hanging="180"/>
      </w:pPr>
    </w:lvl>
    <w:lvl w:ilvl="6" w:tplc="0409000F">
      <w:start w:val="1"/>
      <w:numFmt w:val="decimal"/>
      <w:lvlText w:val="%7."/>
      <w:lvlJc w:val="left"/>
      <w:pPr>
        <w:tabs>
          <w:tab w:val="num" w:pos="4500"/>
        </w:tabs>
        <w:ind w:left="4500" w:hanging="360"/>
      </w:pPr>
    </w:lvl>
    <w:lvl w:ilvl="7" w:tplc="04090019">
      <w:start w:val="1"/>
      <w:numFmt w:val="lowerLetter"/>
      <w:lvlText w:val="%8."/>
      <w:lvlJc w:val="left"/>
      <w:pPr>
        <w:tabs>
          <w:tab w:val="num" w:pos="5220"/>
        </w:tabs>
        <w:ind w:left="5220" w:hanging="360"/>
      </w:pPr>
    </w:lvl>
    <w:lvl w:ilvl="8" w:tplc="0409001B">
      <w:start w:val="1"/>
      <w:numFmt w:val="lowerRoman"/>
      <w:lvlText w:val="%9."/>
      <w:lvlJc w:val="right"/>
      <w:pPr>
        <w:tabs>
          <w:tab w:val="num" w:pos="5940"/>
        </w:tabs>
        <w:ind w:left="5940" w:hanging="180"/>
      </w:pPr>
    </w:lvl>
  </w:abstractNum>
  <w:abstractNum w:abstractNumId="150" w15:restartNumberingAfterBreak="0">
    <w:nsid w:val="63806A3C"/>
    <w:multiLevelType w:val="hybridMultilevel"/>
    <w:tmpl w:val="A09C28D4"/>
    <w:lvl w:ilvl="0" w:tplc="91D2C8B2">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51" w15:restartNumberingAfterBreak="0">
    <w:nsid w:val="63AA3C92"/>
    <w:multiLevelType w:val="hybridMultilevel"/>
    <w:tmpl w:val="592AFB8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B14A06F8">
      <w:start w:val="1"/>
      <w:numFmt w:val="upperLetter"/>
      <w:lvlText w:val="%4)"/>
      <w:lvlJc w:val="left"/>
      <w:pPr>
        <w:ind w:left="2880" w:hanging="360"/>
      </w:pPr>
      <w:rPr>
        <w:rFonts w:hint="default"/>
        <w:i w:val="0"/>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655D6E48"/>
    <w:multiLevelType w:val="hybridMultilevel"/>
    <w:tmpl w:val="CE88BF52"/>
    <w:lvl w:ilvl="0" w:tplc="1026F7F4">
      <w:start w:val="1"/>
      <w:numFmt w:val="lowerRoman"/>
      <w:lvlText w:val="%1."/>
      <w:lvlJc w:val="left"/>
      <w:pPr>
        <w:tabs>
          <w:tab w:val="num" w:pos="3600"/>
        </w:tabs>
        <w:ind w:left="3600" w:hanging="360"/>
      </w:pPr>
      <w:rPr>
        <w:rFonts w:hint="default"/>
      </w:rPr>
    </w:lvl>
    <w:lvl w:ilvl="1" w:tplc="04090019">
      <w:start w:val="1"/>
      <w:numFmt w:val="lowerLetter"/>
      <w:lvlText w:val="%2."/>
      <w:lvlJc w:val="left"/>
      <w:pPr>
        <w:tabs>
          <w:tab w:val="num" w:pos="4320"/>
        </w:tabs>
        <w:ind w:left="4320" w:hanging="360"/>
      </w:pPr>
      <w:rPr>
        <w:rFonts w:hint="default"/>
      </w:rPr>
    </w:lvl>
    <w:lvl w:ilvl="2" w:tplc="485EAD52">
      <w:start w:val="6"/>
      <w:numFmt w:val="decimal"/>
      <w:lvlText w:val="%3"/>
      <w:lvlJc w:val="left"/>
      <w:pPr>
        <w:ind w:left="5220" w:hanging="360"/>
      </w:pPr>
      <w:rPr>
        <w:rFonts w:hint="default"/>
      </w:rPr>
    </w:lvl>
    <w:lvl w:ilvl="3" w:tplc="5622D31A">
      <w:start w:val="1"/>
      <w:numFmt w:val="decimal"/>
      <w:lvlText w:val="%4."/>
      <w:lvlJc w:val="left"/>
      <w:pPr>
        <w:ind w:left="5760" w:hanging="360"/>
      </w:pPr>
      <w:rPr>
        <w:rFonts w:hint="default"/>
      </w:rPr>
    </w:lvl>
    <w:lvl w:ilvl="4" w:tplc="04090019" w:tentative="1">
      <w:start w:val="1"/>
      <w:numFmt w:val="lowerLetter"/>
      <w:lvlText w:val="%5."/>
      <w:lvlJc w:val="left"/>
      <w:pPr>
        <w:tabs>
          <w:tab w:val="num" w:pos="6480"/>
        </w:tabs>
        <w:ind w:left="6480" w:hanging="360"/>
      </w:pPr>
    </w:lvl>
    <w:lvl w:ilvl="5" w:tplc="0409001B" w:tentative="1">
      <w:start w:val="1"/>
      <w:numFmt w:val="lowerRoman"/>
      <w:lvlText w:val="%6."/>
      <w:lvlJc w:val="right"/>
      <w:pPr>
        <w:tabs>
          <w:tab w:val="num" w:pos="7200"/>
        </w:tabs>
        <w:ind w:left="7200" w:hanging="180"/>
      </w:pPr>
    </w:lvl>
    <w:lvl w:ilvl="6" w:tplc="0409000F" w:tentative="1">
      <w:start w:val="1"/>
      <w:numFmt w:val="decimal"/>
      <w:lvlText w:val="%7."/>
      <w:lvlJc w:val="left"/>
      <w:pPr>
        <w:tabs>
          <w:tab w:val="num" w:pos="7920"/>
        </w:tabs>
        <w:ind w:left="7920" w:hanging="360"/>
      </w:pPr>
    </w:lvl>
    <w:lvl w:ilvl="7" w:tplc="04090019" w:tentative="1">
      <w:start w:val="1"/>
      <w:numFmt w:val="lowerLetter"/>
      <w:lvlText w:val="%8."/>
      <w:lvlJc w:val="left"/>
      <w:pPr>
        <w:tabs>
          <w:tab w:val="num" w:pos="8640"/>
        </w:tabs>
        <w:ind w:left="8640" w:hanging="360"/>
      </w:pPr>
    </w:lvl>
    <w:lvl w:ilvl="8" w:tplc="0409001B" w:tentative="1">
      <w:start w:val="1"/>
      <w:numFmt w:val="lowerRoman"/>
      <w:lvlText w:val="%9."/>
      <w:lvlJc w:val="right"/>
      <w:pPr>
        <w:tabs>
          <w:tab w:val="num" w:pos="9360"/>
        </w:tabs>
        <w:ind w:left="9360" w:hanging="180"/>
      </w:pPr>
    </w:lvl>
  </w:abstractNum>
  <w:abstractNum w:abstractNumId="153" w15:restartNumberingAfterBreak="0">
    <w:nsid w:val="65A07089"/>
    <w:multiLevelType w:val="hybridMultilevel"/>
    <w:tmpl w:val="F334DBA6"/>
    <w:lvl w:ilvl="0" w:tplc="676C171C">
      <w:start w:val="1"/>
      <w:numFmt w:val="bullet"/>
      <w:lvlText w:val=""/>
      <w:lvlJc w:val="left"/>
      <w:pPr>
        <w:ind w:left="1440" w:hanging="360"/>
      </w:pPr>
      <w:rPr>
        <w:rFonts w:ascii="Symbol" w:hAnsi="Symbol" w:hint="default"/>
      </w:rPr>
    </w:lvl>
    <w:lvl w:ilvl="1" w:tplc="EB2C90B6">
      <w:start w:val="1"/>
      <w:numFmt w:val="bullet"/>
      <w:lvlText w:val="o"/>
      <w:lvlJc w:val="left"/>
      <w:pPr>
        <w:ind w:left="2160" w:hanging="360"/>
      </w:pPr>
      <w:rPr>
        <w:rFonts w:ascii="Courier New" w:hAnsi="Courier New" w:hint="default"/>
      </w:rPr>
    </w:lvl>
    <w:lvl w:ilvl="2" w:tplc="29529E90" w:tentative="1">
      <w:start w:val="1"/>
      <w:numFmt w:val="bullet"/>
      <w:lvlText w:val=""/>
      <w:lvlJc w:val="left"/>
      <w:pPr>
        <w:ind w:left="2880" w:hanging="360"/>
      </w:pPr>
      <w:rPr>
        <w:rFonts w:ascii="Wingdings" w:hAnsi="Wingdings" w:hint="default"/>
      </w:rPr>
    </w:lvl>
    <w:lvl w:ilvl="3" w:tplc="60B0B796" w:tentative="1">
      <w:start w:val="1"/>
      <w:numFmt w:val="bullet"/>
      <w:lvlText w:val=""/>
      <w:lvlJc w:val="left"/>
      <w:pPr>
        <w:ind w:left="3600" w:hanging="360"/>
      </w:pPr>
      <w:rPr>
        <w:rFonts w:ascii="Symbol" w:hAnsi="Symbol" w:hint="default"/>
      </w:rPr>
    </w:lvl>
    <w:lvl w:ilvl="4" w:tplc="757CAA1C" w:tentative="1">
      <w:start w:val="1"/>
      <w:numFmt w:val="bullet"/>
      <w:lvlText w:val="o"/>
      <w:lvlJc w:val="left"/>
      <w:pPr>
        <w:ind w:left="4320" w:hanging="360"/>
      </w:pPr>
      <w:rPr>
        <w:rFonts w:ascii="Courier New" w:hAnsi="Courier New" w:hint="default"/>
      </w:rPr>
    </w:lvl>
    <w:lvl w:ilvl="5" w:tplc="A00EE586" w:tentative="1">
      <w:start w:val="1"/>
      <w:numFmt w:val="bullet"/>
      <w:lvlText w:val=""/>
      <w:lvlJc w:val="left"/>
      <w:pPr>
        <w:ind w:left="5040" w:hanging="360"/>
      </w:pPr>
      <w:rPr>
        <w:rFonts w:ascii="Wingdings" w:hAnsi="Wingdings" w:hint="default"/>
      </w:rPr>
    </w:lvl>
    <w:lvl w:ilvl="6" w:tplc="CFD0DD44" w:tentative="1">
      <w:start w:val="1"/>
      <w:numFmt w:val="bullet"/>
      <w:lvlText w:val=""/>
      <w:lvlJc w:val="left"/>
      <w:pPr>
        <w:ind w:left="5760" w:hanging="360"/>
      </w:pPr>
      <w:rPr>
        <w:rFonts w:ascii="Symbol" w:hAnsi="Symbol" w:hint="default"/>
      </w:rPr>
    </w:lvl>
    <w:lvl w:ilvl="7" w:tplc="09E4C584" w:tentative="1">
      <w:start w:val="1"/>
      <w:numFmt w:val="bullet"/>
      <w:lvlText w:val="o"/>
      <w:lvlJc w:val="left"/>
      <w:pPr>
        <w:ind w:left="6480" w:hanging="360"/>
      </w:pPr>
      <w:rPr>
        <w:rFonts w:ascii="Courier New" w:hAnsi="Courier New" w:hint="default"/>
      </w:rPr>
    </w:lvl>
    <w:lvl w:ilvl="8" w:tplc="07F23A46" w:tentative="1">
      <w:start w:val="1"/>
      <w:numFmt w:val="bullet"/>
      <w:lvlText w:val=""/>
      <w:lvlJc w:val="left"/>
      <w:pPr>
        <w:ind w:left="7200" w:hanging="360"/>
      </w:pPr>
      <w:rPr>
        <w:rFonts w:ascii="Wingdings" w:hAnsi="Wingdings" w:hint="default"/>
      </w:rPr>
    </w:lvl>
  </w:abstractNum>
  <w:abstractNum w:abstractNumId="154" w15:restartNumberingAfterBreak="0">
    <w:nsid w:val="671C6097"/>
    <w:multiLevelType w:val="hybridMultilevel"/>
    <w:tmpl w:val="43B859CE"/>
    <w:lvl w:ilvl="0" w:tplc="04090001">
      <w:start w:val="1"/>
      <w:numFmt w:val="bullet"/>
      <w:lvlText w:val=""/>
      <w:lvlJc w:val="left"/>
      <w:pPr>
        <w:ind w:left="1890" w:hanging="360"/>
      </w:pPr>
      <w:rPr>
        <w:rFonts w:ascii="Symbol" w:hAnsi="Symbol"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155" w15:restartNumberingAfterBreak="0">
    <w:nsid w:val="685129C8"/>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56" w15:restartNumberingAfterBreak="0">
    <w:nsid w:val="68747C9F"/>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57" w15:restartNumberingAfterBreak="0">
    <w:nsid w:val="68D63057"/>
    <w:multiLevelType w:val="singleLevel"/>
    <w:tmpl w:val="AFE46B78"/>
    <w:lvl w:ilvl="0">
      <w:start w:val="1"/>
      <w:numFmt w:val="bullet"/>
      <w:lvlText w:val=""/>
      <w:lvlJc w:val="left"/>
      <w:pPr>
        <w:tabs>
          <w:tab w:val="num" w:pos="360"/>
        </w:tabs>
        <w:ind w:left="360" w:hanging="360"/>
      </w:pPr>
      <w:rPr>
        <w:rFonts w:ascii="Symbol" w:hAnsi="Symbol" w:hint="default"/>
      </w:rPr>
    </w:lvl>
  </w:abstractNum>
  <w:abstractNum w:abstractNumId="158" w15:restartNumberingAfterBreak="0">
    <w:nsid w:val="690416C2"/>
    <w:multiLevelType w:val="hybridMultilevel"/>
    <w:tmpl w:val="B40810D2"/>
    <w:lvl w:ilvl="0" w:tplc="5C2672A4">
      <w:start w:val="1"/>
      <w:numFmt w:val="decimal"/>
      <w:lvlText w:val="Step %1."/>
      <w:lvlJc w:val="left"/>
      <w:pPr>
        <w:tabs>
          <w:tab w:val="num" w:pos="1152"/>
        </w:tabs>
        <w:ind w:left="1152" w:hanging="1152"/>
      </w:pPr>
      <w:rPr>
        <w:rFonts w:ascii="Arial" w:hAnsi="Arial" w:cs="Times New Roman" w:hint="default"/>
        <w:b w:val="0"/>
        <w:i w:val="0"/>
        <w:sz w:val="22"/>
      </w:rPr>
    </w:lvl>
    <w:lvl w:ilvl="1" w:tplc="04090019">
      <w:start w:val="3"/>
      <w:numFmt w:val="decimal"/>
      <w:lvlText w:val="%2."/>
      <w:lvlJc w:val="left"/>
      <w:pPr>
        <w:tabs>
          <w:tab w:val="num" w:pos="720"/>
        </w:tabs>
        <w:ind w:left="720" w:hanging="360"/>
      </w:pPr>
      <w:rPr>
        <w:rFonts w:cs="Times New Roman" w:hint="default"/>
      </w:rPr>
    </w:lvl>
    <w:lvl w:ilvl="2" w:tplc="0409001B" w:tentative="1">
      <w:start w:val="1"/>
      <w:numFmt w:val="lowerRoman"/>
      <w:lvlText w:val="%3."/>
      <w:lvlJc w:val="right"/>
      <w:pPr>
        <w:tabs>
          <w:tab w:val="num" w:pos="1440"/>
        </w:tabs>
        <w:ind w:left="1440" w:hanging="180"/>
      </w:pPr>
      <w:rPr>
        <w:rFonts w:cs="Times New Roman"/>
      </w:rPr>
    </w:lvl>
    <w:lvl w:ilvl="3" w:tplc="0409000F" w:tentative="1">
      <w:start w:val="1"/>
      <w:numFmt w:val="decimal"/>
      <w:lvlText w:val="%4."/>
      <w:lvlJc w:val="left"/>
      <w:pPr>
        <w:tabs>
          <w:tab w:val="num" w:pos="2160"/>
        </w:tabs>
        <w:ind w:left="2160" w:hanging="360"/>
      </w:pPr>
      <w:rPr>
        <w:rFonts w:cs="Times New Roman"/>
      </w:rPr>
    </w:lvl>
    <w:lvl w:ilvl="4" w:tplc="04090019" w:tentative="1">
      <w:start w:val="1"/>
      <w:numFmt w:val="lowerLetter"/>
      <w:lvlText w:val="%5."/>
      <w:lvlJc w:val="left"/>
      <w:pPr>
        <w:tabs>
          <w:tab w:val="num" w:pos="2880"/>
        </w:tabs>
        <w:ind w:left="2880" w:hanging="360"/>
      </w:pPr>
      <w:rPr>
        <w:rFonts w:cs="Times New Roman"/>
      </w:rPr>
    </w:lvl>
    <w:lvl w:ilvl="5" w:tplc="0409001B" w:tentative="1">
      <w:start w:val="1"/>
      <w:numFmt w:val="lowerRoman"/>
      <w:lvlText w:val="%6."/>
      <w:lvlJc w:val="right"/>
      <w:pPr>
        <w:tabs>
          <w:tab w:val="num" w:pos="3600"/>
        </w:tabs>
        <w:ind w:left="3600" w:hanging="180"/>
      </w:pPr>
      <w:rPr>
        <w:rFonts w:cs="Times New Roman"/>
      </w:rPr>
    </w:lvl>
    <w:lvl w:ilvl="6" w:tplc="0409000F" w:tentative="1">
      <w:start w:val="1"/>
      <w:numFmt w:val="decimal"/>
      <w:lvlText w:val="%7."/>
      <w:lvlJc w:val="left"/>
      <w:pPr>
        <w:tabs>
          <w:tab w:val="num" w:pos="4320"/>
        </w:tabs>
        <w:ind w:left="4320" w:hanging="360"/>
      </w:pPr>
      <w:rPr>
        <w:rFonts w:cs="Times New Roman"/>
      </w:rPr>
    </w:lvl>
    <w:lvl w:ilvl="7" w:tplc="04090019" w:tentative="1">
      <w:start w:val="1"/>
      <w:numFmt w:val="lowerLetter"/>
      <w:lvlText w:val="%8."/>
      <w:lvlJc w:val="left"/>
      <w:pPr>
        <w:tabs>
          <w:tab w:val="num" w:pos="5040"/>
        </w:tabs>
        <w:ind w:left="5040" w:hanging="360"/>
      </w:pPr>
      <w:rPr>
        <w:rFonts w:cs="Times New Roman"/>
      </w:rPr>
    </w:lvl>
    <w:lvl w:ilvl="8" w:tplc="0409001B" w:tentative="1">
      <w:start w:val="1"/>
      <w:numFmt w:val="lowerRoman"/>
      <w:lvlText w:val="%9."/>
      <w:lvlJc w:val="right"/>
      <w:pPr>
        <w:tabs>
          <w:tab w:val="num" w:pos="5760"/>
        </w:tabs>
        <w:ind w:left="5760" w:hanging="180"/>
      </w:pPr>
      <w:rPr>
        <w:rFonts w:cs="Times New Roman"/>
      </w:rPr>
    </w:lvl>
  </w:abstractNum>
  <w:abstractNum w:abstractNumId="159" w15:restartNumberingAfterBreak="0">
    <w:nsid w:val="69122759"/>
    <w:multiLevelType w:val="singleLevel"/>
    <w:tmpl w:val="04090001"/>
    <w:lvl w:ilvl="0">
      <w:start w:val="1"/>
      <w:numFmt w:val="bullet"/>
      <w:lvlText w:val=""/>
      <w:lvlJc w:val="left"/>
      <w:pPr>
        <w:ind w:left="720" w:hanging="360"/>
      </w:pPr>
      <w:rPr>
        <w:rFonts w:ascii="Symbol" w:hAnsi="Symbol" w:hint="default"/>
      </w:rPr>
    </w:lvl>
  </w:abstractNum>
  <w:abstractNum w:abstractNumId="160" w15:restartNumberingAfterBreak="0">
    <w:nsid w:val="699C60D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61" w15:restartNumberingAfterBreak="0">
    <w:nsid w:val="69DE43F6"/>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62" w15:restartNumberingAfterBreak="0">
    <w:nsid w:val="69E13B0B"/>
    <w:multiLevelType w:val="hybridMultilevel"/>
    <w:tmpl w:val="A322C0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6A61644D"/>
    <w:multiLevelType w:val="hybridMultilevel"/>
    <w:tmpl w:val="2F7275FC"/>
    <w:lvl w:ilvl="0" w:tplc="B8B0EC3A">
      <w:start w:val="1"/>
      <w:numFmt w:val="decimal"/>
      <w:lvlText w:val="Step %1."/>
      <w:lvlJc w:val="left"/>
      <w:pPr>
        <w:tabs>
          <w:tab w:val="num" w:pos="1152"/>
        </w:tabs>
        <w:ind w:left="1152" w:hanging="1152"/>
      </w:pPr>
      <w:rPr>
        <w:rFonts w:ascii="Arial" w:hAnsi="Arial" w:cs="Times New Roman" w:hint="default"/>
        <w:b w:val="0"/>
        <w:i w:val="0"/>
        <w:sz w:val="22"/>
      </w:rPr>
    </w:lvl>
    <w:lvl w:ilvl="1" w:tplc="04090019" w:tentative="1">
      <w:start w:val="1"/>
      <w:numFmt w:val="lowerLetter"/>
      <w:lvlText w:val="%2."/>
      <w:lvlJc w:val="left"/>
      <w:pPr>
        <w:tabs>
          <w:tab w:val="num" w:pos="720"/>
        </w:tabs>
        <w:ind w:left="720" w:hanging="360"/>
      </w:pPr>
      <w:rPr>
        <w:rFonts w:cs="Times New Roman"/>
      </w:rPr>
    </w:lvl>
    <w:lvl w:ilvl="2" w:tplc="0409001B" w:tentative="1">
      <w:start w:val="1"/>
      <w:numFmt w:val="lowerRoman"/>
      <w:lvlText w:val="%3."/>
      <w:lvlJc w:val="right"/>
      <w:pPr>
        <w:tabs>
          <w:tab w:val="num" w:pos="1440"/>
        </w:tabs>
        <w:ind w:left="1440" w:hanging="180"/>
      </w:pPr>
      <w:rPr>
        <w:rFonts w:cs="Times New Roman"/>
      </w:rPr>
    </w:lvl>
    <w:lvl w:ilvl="3" w:tplc="0409000F" w:tentative="1">
      <w:start w:val="1"/>
      <w:numFmt w:val="decimal"/>
      <w:lvlText w:val="%4."/>
      <w:lvlJc w:val="left"/>
      <w:pPr>
        <w:tabs>
          <w:tab w:val="num" w:pos="2160"/>
        </w:tabs>
        <w:ind w:left="2160" w:hanging="360"/>
      </w:pPr>
      <w:rPr>
        <w:rFonts w:cs="Times New Roman"/>
      </w:rPr>
    </w:lvl>
    <w:lvl w:ilvl="4" w:tplc="04090019" w:tentative="1">
      <w:start w:val="1"/>
      <w:numFmt w:val="lowerLetter"/>
      <w:lvlText w:val="%5."/>
      <w:lvlJc w:val="left"/>
      <w:pPr>
        <w:tabs>
          <w:tab w:val="num" w:pos="2880"/>
        </w:tabs>
        <w:ind w:left="2880" w:hanging="360"/>
      </w:pPr>
      <w:rPr>
        <w:rFonts w:cs="Times New Roman"/>
      </w:rPr>
    </w:lvl>
    <w:lvl w:ilvl="5" w:tplc="0409001B" w:tentative="1">
      <w:start w:val="1"/>
      <w:numFmt w:val="lowerRoman"/>
      <w:lvlText w:val="%6."/>
      <w:lvlJc w:val="right"/>
      <w:pPr>
        <w:tabs>
          <w:tab w:val="num" w:pos="3600"/>
        </w:tabs>
        <w:ind w:left="3600" w:hanging="180"/>
      </w:pPr>
      <w:rPr>
        <w:rFonts w:cs="Times New Roman"/>
      </w:rPr>
    </w:lvl>
    <w:lvl w:ilvl="6" w:tplc="0409000F" w:tentative="1">
      <w:start w:val="1"/>
      <w:numFmt w:val="decimal"/>
      <w:lvlText w:val="%7."/>
      <w:lvlJc w:val="left"/>
      <w:pPr>
        <w:tabs>
          <w:tab w:val="num" w:pos="4320"/>
        </w:tabs>
        <w:ind w:left="4320" w:hanging="360"/>
      </w:pPr>
      <w:rPr>
        <w:rFonts w:cs="Times New Roman"/>
      </w:rPr>
    </w:lvl>
    <w:lvl w:ilvl="7" w:tplc="04090019" w:tentative="1">
      <w:start w:val="1"/>
      <w:numFmt w:val="lowerLetter"/>
      <w:lvlText w:val="%8."/>
      <w:lvlJc w:val="left"/>
      <w:pPr>
        <w:tabs>
          <w:tab w:val="num" w:pos="5040"/>
        </w:tabs>
        <w:ind w:left="5040" w:hanging="360"/>
      </w:pPr>
      <w:rPr>
        <w:rFonts w:cs="Times New Roman"/>
      </w:rPr>
    </w:lvl>
    <w:lvl w:ilvl="8" w:tplc="0409001B" w:tentative="1">
      <w:start w:val="1"/>
      <w:numFmt w:val="lowerRoman"/>
      <w:lvlText w:val="%9."/>
      <w:lvlJc w:val="right"/>
      <w:pPr>
        <w:tabs>
          <w:tab w:val="num" w:pos="5760"/>
        </w:tabs>
        <w:ind w:left="5760" w:hanging="180"/>
      </w:pPr>
      <w:rPr>
        <w:rFonts w:cs="Times New Roman"/>
      </w:rPr>
    </w:lvl>
  </w:abstractNum>
  <w:abstractNum w:abstractNumId="164" w15:restartNumberingAfterBreak="0">
    <w:nsid w:val="6A6204C2"/>
    <w:multiLevelType w:val="hybridMultilevel"/>
    <w:tmpl w:val="DD2A13C6"/>
    <w:lvl w:ilvl="0" w:tplc="56C4FDA6">
      <w:start w:val="1"/>
      <w:numFmt w:val="decimal"/>
      <w:lvlText w:val="Step %1."/>
      <w:lvlJc w:val="left"/>
      <w:pPr>
        <w:tabs>
          <w:tab w:val="num" w:pos="1152"/>
        </w:tabs>
        <w:ind w:left="1152" w:hanging="1152"/>
      </w:pPr>
      <w:rPr>
        <w:rFonts w:ascii="Arial" w:hAnsi="Arial" w:cs="Times New Roman" w:hint="default"/>
        <w:b w:val="0"/>
        <w:i w:val="0"/>
        <w:sz w:val="22"/>
      </w:rPr>
    </w:lvl>
    <w:lvl w:ilvl="1" w:tplc="04090003">
      <w:start w:val="3"/>
      <w:numFmt w:val="decimal"/>
      <w:lvlText w:val="%2."/>
      <w:lvlJc w:val="left"/>
      <w:pPr>
        <w:tabs>
          <w:tab w:val="num" w:pos="720"/>
        </w:tabs>
        <w:ind w:left="720" w:hanging="360"/>
      </w:pPr>
      <w:rPr>
        <w:rFonts w:cs="Times New Roman" w:hint="default"/>
      </w:rPr>
    </w:lvl>
    <w:lvl w:ilvl="2" w:tplc="04090005" w:tentative="1">
      <w:start w:val="1"/>
      <w:numFmt w:val="lowerRoman"/>
      <w:lvlText w:val="%3."/>
      <w:lvlJc w:val="right"/>
      <w:pPr>
        <w:tabs>
          <w:tab w:val="num" w:pos="1440"/>
        </w:tabs>
        <w:ind w:left="1440" w:hanging="180"/>
      </w:pPr>
      <w:rPr>
        <w:rFonts w:cs="Times New Roman"/>
      </w:rPr>
    </w:lvl>
    <w:lvl w:ilvl="3" w:tplc="04090001" w:tentative="1">
      <w:start w:val="1"/>
      <w:numFmt w:val="decimal"/>
      <w:lvlText w:val="%4."/>
      <w:lvlJc w:val="left"/>
      <w:pPr>
        <w:tabs>
          <w:tab w:val="num" w:pos="2160"/>
        </w:tabs>
        <w:ind w:left="2160" w:hanging="360"/>
      </w:pPr>
      <w:rPr>
        <w:rFonts w:cs="Times New Roman"/>
      </w:rPr>
    </w:lvl>
    <w:lvl w:ilvl="4" w:tplc="04090003" w:tentative="1">
      <w:start w:val="1"/>
      <w:numFmt w:val="lowerLetter"/>
      <w:lvlText w:val="%5."/>
      <w:lvlJc w:val="left"/>
      <w:pPr>
        <w:tabs>
          <w:tab w:val="num" w:pos="2880"/>
        </w:tabs>
        <w:ind w:left="2880" w:hanging="360"/>
      </w:pPr>
      <w:rPr>
        <w:rFonts w:cs="Times New Roman"/>
      </w:rPr>
    </w:lvl>
    <w:lvl w:ilvl="5" w:tplc="04090005" w:tentative="1">
      <w:start w:val="1"/>
      <w:numFmt w:val="lowerRoman"/>
      <w:lvlText w:val="%6."/>
      <w:lvlJc w:val="right"/>
      <w:pPr>
        <w:tabs>
          <w:tab w:val="num" w:pos="3600"/>
        </w:tabs>
        <w:ind w:left="3600" w:hanging="180"/>
      </w:pPr>
      <w:rPr>
        <w:rFonts w:cs="Times New Roman"/>
      </w:rPr>
    </w:lvl>
    <w:lvl w:ilvl="6" w:tplc="04090001" w:tentative="1">
      <w:start w:val="1"/>
      <w:numFmt w:val="decimal"/>
      <w:lvlText w:val="%7."/>
      <w:lvlJc w:val="left"/>
      <w:pPr>
        <w:tabs>
          <w:tab w:val="num" w:pos="4320"/>
        </w:tabs>
        <w:ind w:left="4320" w:hanging="360"/>
      </w:pPr>
      <w:rPr>
        <w:rFonts w:cs="Times New Roman"/>
      </w:rPr>
    </w:lvl>
    <w:lvl w:ilvl="7" w:tplc="04090003" w:tentative="1">
      <w:start w:val="1"/>
      <w:numFmt w:val="lowerLetter"/>
      <w:lvlText w:val="%8."/>
      <w:lvlJc w:val="left"/>
      <w:pPr>
        <w:tabs>
          <w:tab w:val="num" w:pos="5040"/>
        </w:tabs>
        <w:ind w:left="5040" w:hanging="360"/>
      </w:pPr>
      <w:rPr>
        <w:rFonts w:cs="Times New Roman"/>
      </w:rPr>
    </w:lvl>
    <w:lvl w:ilvl="8" w:tplc="04090005" w:tentative="1">
      <w:start w:val="1"/>
      <w:numFmt w:val="lowerRoman"/>
      <w:lvlText w:val="%9."/>
      <w:lvlJc w:val="right"/>
      <w:pPr>
        <w:tabs>
          <w:tab w:val="num" w:pos="5760"/>
        </w:tabs>
        <w:ind w:left="5760" w:hanging="180"/>
      </w:pPr>
      <w:rPr>
        <w:rFonts w:cs="Times New Roman"/>
      </w:rPr>
    </w:lvl>
  </w:abstractNum>
  <w:abstractNum w:abstractNumId="165" w15:restartNumberingAfterBreak="0">
    <w:nsid w:val="6BA84962"/>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66" w15:restartNumberingAfterBreak="0">
    <w:nsid w:val="6BBA1FAA"/>
    <w:multiLevelType w:val="hybridMultilevel"/>
    <w:tmpl w:val="77509CE2"/>
    <w:lvl w:ilvl="0" w:tplc="4EEC2966">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67" w15:restartNumberingAfterBreak="0">
    <w:nsid w:val="6E0D36B9"/>
    <w:multiLevelType w:val="hybridMultilevel"/>
    <w:tmpl w:val="3E4C7ABC"/>
    <w:lvl w:ilvl="0" w:tplc="EB2C90B6">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8" w15:restartNumberingAfterBreak="0">
    <w:nsid w:val="6EE5079F"/>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69" w15:restartNumberingAfterBreak="0">
    <w:nsid w:val="6F305308"/>
    <w:multiLevelType w:val="hybridMultilevel"/>
    <w:tmpl w:val="D8BC33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6F3926E7"/>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171" w15:restartNumberingAfterBreak="0">
    <w:nsid w:val="6FB26254"/>
    <w:multiLevelType w:val="hybridMultilevel"/>
    <w:tmpl w:val="FFB450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71935D33"/>
    <w:multiLevelType w:val="hybridMultilevel"/>
    <w:tmpl w:val="32A8B1F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3" w15:restartNumberingAfterBreak="0">
    <w:nsid w:val="723B14DC"/>
    <w:multiLevelType w:val="singleLevel"/>
    <w:tmpl w:val="3D6EFE2A"/>
    <w:lvl w:ilvl="0">
      <w:start w:val="1"/>
      <w:numFmt w:val="decimal"/>
      <w:lvlText w:val="Step %1."/>
      <w:lvlJc w:val="left"/>
      <w:pPr>
        <w:tabs>
          <w:tab w:val="num" w:pos="1962"/>
        </w:tabs>
        <w:ind w:left="1962" w:hanging="1152"/>
      </w:pPr>
      <w:rPr>
        <w:rFonts w:ascii="Arial" w:hAnsi="Arial" w:cs="Times New Roman" w:hint="default"/>
        <w:b w:val="0"/>
        <w:i w:val="0"/>
        <w:sz w:val="22"/>
      </w:rPr>
    </w:lvl>
  </w:abstractNum>
  <w:abstractNum w:abstractNumId="174" w15:restartNumberingAfterBreak="0">
    <w:nsid w:val="72951550"/>
    <w:multiLevelType w:val="singleLevel"/>
    <w:tmpl w:val="A756FA6C"/>
    <w:lvl w:ilvl="0">
      <w:start w:val="1"/>
      <w:numFmt w:val="decimal"/>
      <w:lvlText w:val="%1)"/>
      <w:lvlJc w:val="left"/>
      <w:pPr>
        <w:tabs>
          <w:tab w:val="num" w:pos="360"/>
        </w:tabs>
        <w:ind w:left="360" w:hanging="360"/>
      </w:pPr>
      <w:rPr>
        <w:rFonts w:cs="Times New Roman" w:hint="default"/>
      </w:rPr>
    </w:lvl>
  </w:abstractNum>
  <w:abstractNum w:abstractNumId="175" w15:restartNumberingAfterBreak="0">
    <w:nsid w:val="73722C49"/>
    <w:multiLevelType w:val="hybridMultilevel"/>
    <w:tmpl w:val="642A0B64"/>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6" w15:restartNumberingAfterBreak="0">
    <w:nsid w:val="73C932D2"/>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77" w15:restartNumberingAfterBreak="0">
    <w:nsid w:val="7470346E"/>
    <w:multiLevelType w:val="hybridMultilevel"/>
    <w:tmpl w:val="9C1AFBD8"/>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78" w15:restartNumberingAfterBreak="0">
    <w:nsid w:val="74773F5D"/>
    <w:multiLevelType w:val="singleLevel"/>
    <w:tmpl w:val="5C98C972"/>
    <w:lvl w:ilvl="0">
      <w:start w:val="1"/>
      <w:numFmt w:val="bullet"/>
      <w:lvlText w:val=""/>
      <w:lvlJc w:val="left"/>
      <w:pPr>
        <w:tabs>
          <w:tab w:val="num" w:pos="648"/>
        </w:tabs>
        <w:ind w:left="360" w:hanging="72"/>
      </w:pPr>
      <w:rPr>
        <w:rFonts w:ascii="Symbol" w:hAnsi="Symbol" w:hint="default"/>
      </w:rPr>
    </w:lvl>
  </w:abstractNum>
  <w:abstractNum w:abstractNumId="179" w15:restartNumberingAfterBreak="0">
    <w:nsid w:val="74A402C6"/>
    <w:multiLevelType w:val="hybridMultilevel"/>
    <w:tmpl w:val="5F4EB666"/>
    <w:lvl w:ilvl="0" w:tplc="91D2C8B2">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80" w15:restartNumberingAfterBreak="0">
    <w:nsid w:val="76015376"/>
    <w:multiLevelType w:val="hybridMultilevel"/>
    <w:tmpl w:val="69FEA90E"/>
    <w:lvl w:ilvl="0" w:tplc="A8845CF0">
      <w:start w:val="1"/>
      <w:numFmt w:val="bullet"/>
      <w:lvlText w:val=""/>
      <w:lvlJc w:val="left"/>
      <w:pPr>
        <w:tabs>
          <w:tab w:val="num" w:pos="720"/>
        </w:tabs>
        <w:ind w:left="720" w:hanging="360"/>
      </w:pPr>
      <w:rPr>
        <w:rFonts w:ascii="Symbol" w:hAnsi="Symbol" w:hint="default"/>
      </w:rPr>
    </w:lvl>
    <w:lvl w:ilvl="1" w:tplc="6CF445D4">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1" w15:restartNumberingAfterBreak="0">
    <w:nsid w:val="768062FE"/>
    <w:multiLevelType w:val="hybridMultilevel"/>
    <w:tmpl w:val="DD548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76863F3C"/>
    <w:multiLevelType w:val="hybridMultilevel"/>
    <w:tmpl w:val="CEAAD3F2"/>
    <w:lvl w:ilvl="0" w:tplc="6148A45A">
      <w:start w:val="1"/>
      <w:numFmt w:val="lowerLetter"/>
      <w:lvlText w:val="%1."/>
      <w:lvlJc w:val="left"/>
      <w:pPr>
        <w:ind w:left="1440" w:hanging="360"/>
      </w:pPr>
      <w:rPr>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3" w15:restartNumberingAfterBreak="0">
    <w:nsid w:val="76DF09E8"/>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84" w15:restartNumberingAfterBreak="0">
    <w:nsid w:val="78175C05"/>
    <w:multiLevelType w:val="hybridMultilevel"/>
    <w:tmpl w:val="ED208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8D13EF4"/>
    <w:multiLevelType w:val="hybridMultilevel"/>
    <w:tmpl w:val="8C8E985C"/>
    <w:lvl w:ilvl="0" w:tplc="5024FAC6">
      <w:start w:val="1"/>
      <w:numFmt w:val="lowerLetter"/>
      <w:suff w:val="space"/>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71C4C822">
      <w:start w:val="1"/>
      <w:numFmt w:val="decimal"/>
      <w:lvlText w:val="%3."/>
      <w:lvlJc w:val="left"/>
      <w:pPr>
        <w:ind w:left="1980" w:hanging="360"/>
      </w:pPr>
      <w:rPr>
        <w:rFont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6" w15:restartNumberingAfterBreak="0">
    <w:nsid w:val="7AE03E38"/>
    <w:multiLevelType w:val="hybridMultilevel"/>
    <w:tmpl w:val="2CFAC072"/>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87" w15:restartNumberingAfterBreak="0">
    <w:nsid w:val="7C2A240D"/>
    <w:multiLevelType w:val="singleLevel"/>
    <w:tmpl w:val="FFD4FF66"/>
    <w:lvl w:ilvl="0">
      <w:start w:val="1"/>
      <w:numFmt w:val="decimal"/>
      <w:lvlText w:val="Step %1."/>
      <w:lvlJc w:val="left"/>
      <w:pPr>
        <w:tabs>
          <w:tab w:val="num" w:pos="1872"/>
        </w:tabs>
        <w:ind w:left="1872" w:hanging="1152"/>
      </w:pPr>
      <w:rPr>
        <w:rFonts w:ascii="Arial" w:hAnsi="Arial" w:hint="default"/>
        <w:b w:val="0"/>
        <w:i w:val="0"/>
        <w:sz w:val="22"/>
      </w:rPr>
    </w:lvl>
  </w:abstractNum>
  <w:abstractNum w:abstractNumId="188" w15:restartNumberingAfterBreak="0">
    <w:nsid w:val="7CA353FB"/>
    <w:multiLevelType w:val="hybridMultilevel"/>
    <w:tmpl w:val="359E60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7CCE3FEA"/>
    <w:multiLevelType w:val="hybridMultilevel"/>
    <w:tmpl w:val="54EC3C2A"/>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90" w15:restartNumberingAfterBreak="0">
    <w:nsid w:val="7CD25FD6"/>
    <w:multiLevelType w:val="hybridMultilevel"/>
    <w:tmpl w:val="BD8E6916"/>
    <w:lvl w:ilvl="0" w:tplc="8040B5EE">
      <w:start w:val="1"/>
      <w:numFmt w:val="decimal"/>
      <w:lvlText w:val="Step %1."/>
      <w:lvlJc w:val="left"/>
      <w:pPr>
        <w:ind w:left="2970" w:hanging="360"/>
      </w:pPr>
      <w:rPr>
        <w:rFonts w:ascii="Arial" w:hAnsi="Arial" w:hint="default"/>
        <w:b w:val="0"/>
        <w:i w:val="0"/>
        <w:sz w:val="22"/>
      </w:rPr>
    </w:lvl>
    <w:lvl w:ilvl="1" w:tplc="04090019">
      <w:start w:val="1"/>
      <w:numFmt w:val="lowerLetter"/>
      <w:lvlText w:val="%2."/>
      <w:lvlJc w:val="left"/>
      <w:pPr>
        <w:ind w:left="3690" w:hanging="360"/>
      </w:pPr>
    </w:lvl>
    <w:lvl w:ilvl="2" w:tplc="0409001B" w:tentative="1">
      <w:start w:val="1"/>
      <w:numFmt w:val="lowerRoman"/>
      <w:lvlText w:val="%3."/>
      <w:lvlJc w:val="right"/>
      <w:pPr>
        <w:ind w:left="4410" w:hanging="180"/>
      </w:pPr>
    </w:lvl>
    <w:lvl w:ilvl="3" w:tplc="0409000F" w:tentative="1">
      <w:start w:val="1"/>
      <w:numFmt w:val="decimal"/>
      <w:lvlText w:val="%4."/>
      <w:lvlJc w:val="left"/>
      <w:pPr>
        <w:ind w:left="5130" w:hanging="360"/>
      </w:pPr>
    </w:lvl>
    <w:lvl w:ilvl="4" w:tplc="04090019" w:tentative="1">
      <w:start w:val="1"/>
      <w:numFmt w:val="lowerLetter"/>
      <w:lvlText w:val="%5."/>
      <w:lvlJc w:val="left"/>
      <w:pPr>
        <w:ind w:left="5850" w:hanging="360"/>
      </w:pPr>
    </w:lvl>
    <w:lvl w:ilvl="5" w:tplc="0409001B" w:tentative="1">
      <w:start w:val="1"/>
      <w:numFmt w:val="lowerRoman"/>
      <w:lvlText w:val="%6."/>
      <w:lvlJc w:val="right"/>
      <w:pPr>
        <w:ind w:left="6570" w:hanging="180"/>
      </w:pPr>
    </w:lvl>
    <w:lvl w:ilvl="6" w:tplc="0409000F" w:tentative="1">
      <w:start w:val="1"/>
      <w:numFmt w:val="decimal"/>
      <w:lvlText w:val="%7."/>
      <w:lvlJc w:val="left"/>
      <w:pPr>
        <w:ind w:left="7290" w:hanging="360"/>
      </w:pPr>
    </w:lvl>
    <w:lvl w:ilvl="7" w:tplc="04090019" w:tentative="1">
      <w:start w:val="1"/>
      <w:numFmt w:val="lowerLetter"/>
      <w:lvlText w:val="%8."/>
      <w:lvlJc w:val="left"/>
      <w:pPr>
        <w:ind w:left="8010" w:hanging="360"/>
      </w:pPr>
    </w:lvl>
    <w:lvl w:ilvl="8" w:tplc="0409001B" w:tentative="1">
      <w:start w:val="1"/>
      <w:numFmt w:val="lowerRoman"/>
      <w:lvlText w:val="%9."/>
      <w:lvlJc w:val="right"/>
      <w:pPr>
        <w:ind w:left="8730" w:hanging="180"/>
      </w:pPr>
    </w:lvl>
  </w:abstractNum>
  <w:abstractNum w:abstractNumId="191" w15:restartNumberingAfterBreak="0">
    <w:nsid w:val="7D840C62"/>
    <w:multiLevelType w:val="hybridMultilevel"/>
    <w:tmpl w:val="B9E03C8E"/>
    <w:lvl w:ilvl="0" w:tplc="A8845CF0">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92" w15:restartNumberingAfterBreak="0">
    <w:nsid w:val="7EC80119"/>
    <w:multiLevelType w:val="hybridMultilevel"/>
    <w:tmpl w:val="6F881FE2"/>
    <w:lvl w:ilvl="0" w:tplc="26A87232">
      <w:start w:val="1"/>
      <w:numFmt w:val="decimal"/>
      <w:lvlText w:val="Step %1."/>
      <w:lvlJc w:val="left"/>
      <w:pPr>
        <w:tabs>
          <w:tab w:val="num" w:pos="1512"/>
        </w:tabs>
        <w:ind w:left="1512" w:hanging="1152"/>
      </w:pPr>
      <w:rPr>
        <w:rFonts w:ascii="Arial" w:hAnsi="Arial" w:cs="Times New Roman" w:hint="default"/>
        <w:b w:val="0"/>
        <w:i w:val="0"/>
        <w:sz w:val="22"/>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3" w15:restartNumberingAfterBreak="0">
    <w:nsid w:val="7F09491F"/>
    <w:multiLevelType w:val="hybridMultilevel"/>
    <w:tmpl w:val="2CFAC072"/>
    <w:lvl w:ilvl="0" w:tplc="FFD4FF66">
      <w:start w:val="1"/>
      <w:numFmt w:val="decimal"/>
      <w:lvlText w:val="Step %1."/>
      <w:lvlJc w:val="left"/>
      <w:pPr>
        <w:tabs>
          <w:tab w:val="num" w:pos="1152"/>
        </w:tabs>
        <w:ind w:left="1152" w:hanging="1152"/>
      </w:pPr>
      <w:rPr>
        <w:rFonts w:ascii="Arial" w:hAnsi="Arial" w:hint="default"/>
        <w:b w:val="0"/>
        <w:i w:val="0"/>
        <w:sz w:val="22"/>
      </w:rPr>
    </w:lvl>
    <w:lvl w:ilvl="1" w:tplc="04090019">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94" w15:restartNumberingAfterBreak="0">
    <w:nsid w:val="7F3728F5"/>
    <w:multiLevelType w:val="hybridMultilevel"/>
    <w:tmpl w:val="12A00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7FCA2F1E"/>
    <w:multiLevelType w:val="hybridMultilevel"/>
    <w:tmpl w:val="9F089F40"/>
    <w:lvl w:ilvl="0" w:tplc="91D2C8B2">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num w:numId="1" w16cid:durableId="1855144846">
    <w:abstractNumId w:val="0"/>
  </w:num>
  <w:num w:numId="2" w16cid:durableId="1349409669">
    <w:abstractNumId w:val="165"/>
  </w:num>
  <w:num w:numId="3" w16cid:durableId="431167137">
    <w:abstractNumId w:val="125"/>
  </w:num>
  <w:num w:numId="4" w16cid:durableId="1403791080">
    <w:abstractNumId w:val="159"/>
  </w:num>
  <w:num w:numId="5" w16cid:durableId="481893642">
    <w:abstractNumId w:val="157"/>
  </w:num>
  <w:num w:numId="6" w16cid:durableId="442967172">
    <w:abstractNumId w:val="100"/>
  </w:num>
  <w:num w:numId="7" w16cid:durableId="158812527">
    <w:abstractNumId w:val="160"/>
  </w:num>
  <w:num w:numId="8" w16cid:durableId="1285114000">
    <w:abstractNumId w:val="102"/>
  </w:num>
  <w:num w:numId="9" w16cid:durableId="1580286431">
    <w:abstractNumId w:val="135"/>
  </w:num>
  <w:num w:numId="10" w16cid:durableId="831988844">
    <w:abstractNumId w:val="187"/>
  </w:num>
  <w:num w:numId="11" w16cid:durableId="1265769124">
    <w:abstractNumId w:val="90"/>
  </w:num>
  <w:num w:numId="12" w16cid:durableId="790320874">
    <w:abstractNumId w:val="48"/>
  </w:num>
  <w:num w:numId="13" w16cid:durableId="395787633">
    <w:abstractNumId w:val="143"/>
  </w:num>
  <w:num w:numId="14" w16cid:durableId="486677110">
    <w:abstractNumId w:val="55"/>
  </w:num>
  <w:num w:numId="15" w16cid:durableId="159540155">
    <w:abstractNumId w:val="29"/>
  </w:num>
  <w:num w:numId="16" w16cid:durableId="2064138592">
    <w:abstractNumId w:val="89"/>
  </w:num>
  <w:num w:numId="17" w16cid:durableId="2060202539">
    <w:abstractNumId w:val="82"/>
  </w:num>
  <w:num w:numId="18" w16cid:durableId="444735527">
    <w:abstractNumId w:val="117"/>
  </w:num>
  <w:num w:numId="19" w16cid:durableId="1959221875">
    <w:abstractNumId w:val="84"/>
  </w:num>
  <w:num w:numId="20" w16cid:durableId="1045645601">
    <w:abstractNumId w:val="50"/>
  </w:num>
  <w:num w:numId="21" w16cid:durableId="876352087">
    <w:abstractNumId w:val="113"/>
  </w:num>
  <w:num w:numId="22" w16cid:durableId="1025978676">
    <w:abstractNumId w:val="141"/>
  </w:num>
  <w:num w:numId="23" w16cid:durableId="1011374608">
    <w:abstractNumId w:val="178"/>
  </w:num>
  <w:num w:numId="24" w16cid:durableId="564685966">
    <w:abstractNumId w:val="23"/>
  </w:num>
  <w:num w:numId="25" w16cid:durableId="574434439">
    <w:abstractNumId w:val="133"/>
  </w:num>
  <w:num w:numId="26" w16cid:durableId="1790392594">
    <w:abstractNumId w:val="83"/>
  </w:num>
  <w:num w:numId="27" w16cid:durableId="762527224">
    <w:abstractNumId w:val="98"/>
  </w:num>
  <w:num w:numId="28" w16cid:durableId="1562714343">
    <w:abstractNumId w:val="78"/>
  </w:num>
  <w:num w:numId="29" w16cid:durableId="318074452">
    <w:abstractNumId w:val="118"/>
  </w:num>
  <w:num w:numId="30" w16cid:durableId="491138797">
    <w:abstractNumId w:val="162"/>
  </w:num>
  <w:num w:numId="31" w16cid:durableId="385884520">
    <w:abstractNumId w:val="140"/>
  </w:num>
  <w:num w:numId="32" w16cid:durableId="2026200990">
    <w:abstractNumId w:val="91"/>
  </w:num>
  <w:num w:numId="33" w16cid:durableId="650522616">
    <w:abstractNumId w:val="153"/>
  </w:num>
  <w:num w:numId="34" w16cid:durableId="496582627">
    <w:abstractNumId w:val="158"/>
  </w:num>
  <w:num w:numId="35" w16cid:durableId="680206610">
    <w:abstractNumId w:val="164"/>
  </w:num>
  <w:num w:numId="36" w16cid:durableId="650787806">
    <w:abstractNumId w:val="43"/>
  </w:num>
  <w:num w:numId="37" w16cid:durableId="1055661595">
    <w:abstractNumId w:val="163"/>
  </w:num>
  <w:num w:numId="38" w16cid:durableId="1266039775">
    <w:abstractNumId w:val="30"/>
  </w:num>
  <w:num w:numId="39" w16cid:durableId="1298604564">
    <w:abstractNumId w:val="14"/>
  </w:num>
  <w:num w:numId="40" w16cid:durableId="1749157518">
    <w:abstractNumId w:val="180"/>
  </w:num>
  <w:num w:numId="41" w16cid:durableId="1431241102">
    <w:abstractNumId w:val="46"/>
  </w:num>
  <w:num w:numId="42" w16cid:durableId="164982727">
    <w:abstractNumId w:val="36"/>
  </w:num>
  <w:num w:numId="43" w16cid:durableId="1478763287">
    <w:abstractNumId w:val="42"/>
  </w:num>
  <w:num w:numId="44" w16cid:durableId="1878853624">
    <w:abstractNumId w:val="152"/>
  </w:num>
  <w:num w:numId="45" w16cid:durableId="1079407654">
    <w:abstractNumId w:val="27"/>
  </w:num>
  <w:num w:numId="46" w16cid:durableId="1660307279">
    <w:abstractNumId w:val="41"/>
  </w:num>
  <w:num w:numId="47" w16cid:durableId="461313235">
    <w:abstractNumId w:val="40"/>
  </w:num>
  <w:num w:numId="48" w16cid:durableId="508445359">
    <w:abstractNumId w:val="49"/>
  </w:num>
  <w:num w:numId="49" w16cid:durableId="27339761">
    <w:abstractNumId w:val="87"/>
  </w:num>
  <w:num w:numId="50" w16cid:durableId="2048601735">
    <w:abstractNumId w:val="95"/>
  </w:num>
  <w:num w:numId="51" w16cid:durableId="288972754">
    <w:abstractNumId w:val="33"/>
  </w:num>
  <w:num w:numId="52" w16cid:durableId="435634632">
    <w:abstractNumId w:val="62"/>
  </w:num>
  <w:num w:numId="53" w16cid:durableId="710108925">
    <w:abstractNumId w:val="128"/>
  </w:num>
  <w:num w:numId="54" w16cid:durableId="165750760">
    <w:abstractNumId w:val="150"/>
  </w:num>
  <w:num w:numId="55" w16cid:durableId="88088720">
    <w:abstractNumId w:val="101"/>
  </w:num>
  <w:num w:numId="56" w16cid:durableId="955452071">
    <w:abstractNumId w:val="195"/>
  </w:num>
  <w:num w:numId="57" w16cid:durableId="1056471081">
    <w:abstractNumId w:val="191"/>
  </w:num>
  <w:num w:numId="58" w16cid:durableId="2065831329">
    <w:abstractNumId w:val="179"/>
  </w:num>
  <w:num w:numId="59" w16cid:durableId="1158309182">
    <w:abstractNumId w:val="149"/>
  </w:num>
  <w:num w:numId="60" w16cid:durableId="1404912842">
    <w:abstractNumId w:val="10"/>
  </w:num>
  <w:num w:numId="61" w16cid:durableId="230770945">
    <w:abstractNumId w:val="72"/>
  </w:num>
  <w:num w:numId="62" w16cid:durableId="198324563">
    <w:abstractNumId w:val="129"/>
  </w:num>
  <w:num w:numId="63" w16cid:durableId="609237801">
    <w:abstractNumId w:val="61"/>
  </w:num>
  <w:num w:numId="64" w16cid:durableId="212934624">
    <w:abstractNumId w:val="192"/>
  </w:num>
  <w:num w:numId="65" w16cid:durableId="493759916">
    <w:abstractNumId w:val="22"/>
  </w:num>
  <w:num w:numId="66" w16cid:durableId="2039623513">
    <w:abstractNumId w:val="190"/>
  </w:num>
  <w:num w:numId="67" w16cid:durableId="168260333">
    <w:abstractNumId w:val="2"/>
  </w:num>
  <w:num w:numId="68" w16cid:durableId="978458269">
    <w:abstractNumId w:val="120"/>
  </w:num>
  <w:num w:numId="69" w16cid:durableId="263726927">
    <w:abstractNumId w:val="26"/>
  </w:num>
  <w:num w:numId="70" w16cid:durableId="545070455">
    <w:abstractNumId w:val="181"/>
  </w:num>
  <w:num w:numId="71" w16cid:durableId="576668290">
    <w:abstractNumId w:val="34"/>
  </w:num>
  <w:num w:numId="72" w16cid:durableId="1194924949">
    <w:abstractNumId w:val="170"/>
  </w:num>
  <w:num w:numId="73" w16cid:durableId="1384524595">
    <w:abstractNumId w:val="110"/>
  </w:num>
  <w:num w:numId="74" w16cid:durableId="909190715">
    <w:abstractNumId w:val="145"/>
  </w:num>
  <w:num w:numId="75" w16cid:durableId="1408574120">
    <w:abstractNumId w:val="96"/>
  </w:num>
  <w:num w:numId="76" w16cid:durableId="320543139">
    <w:abstractNumId w:val="65"/>
  </w:num>
  <w:num w:numId="77" w16cid:durableId="603074250">
    <w:abstractNumId w:val="1"/>
  </w:num>
  <w:num w:numId="78" w16cid:durableId="1977494068">
    <w:abstractNumId w:val="53"/>
  </w:num>
  <w:num w:numId="79" w16cid:durableId="865216227">
    <w:abstractNumId w:val="144"/>
  </w:num>
  <w:num w:numId="80" w16cid:durableId="1094517952">
    <w:abstractNumId w:val="31"/>
  </w:num>
  <w:num w:numId="81" w16cid:durableId="1575817426">
    <w:abstractNumId w:val="184"/>
  </w:num>
  <w:num w:numId="82" w16cid:durableId="835658314">
    <w:abstractNumId w:val="76"/>
  </w:num>
  <w:num w:numId="83" w16cid:durableId="1940216778">
    <w:abstractNumId w:val="3"/>
  </w:num>
  <w:num w:numId="84" w16cid:durableId="1130782068">
    <w:abstractNumId w:val="63"/>
  </w:num>
  <w:num w:numId="85" w16cid:durableId="721100181">
    <w:abstractNumId w:val="115"/>
  </w:num>
  <w:num w:numId="86" w16cid:durableId="2043092853">
    <w:abstractNumId w:val="173"/>
  </w:num>
  <w:num w:numId="87" w16cid:durableId="1683512952">
    <w:abstractNumId w:val="185"/>
  </w:num>
  <w:num w:numId="88" w16cid:durableId="1517033448">
    <w:abstractNumId w:val="52"/>
  </w:num>
  <w:num w:numId="89" w16cid:durableId="1291327546">
    <w:abstractNumId w:val="142"/>
  </w:num>
  <w:num w:numId="90" w16cid:durableId="1319577634">
    <w:abstractNumId w:val="51"/>
  </w:num>
  <w:num w:numId="91" w16cid:durableId="324092476">
    <w:abstractNumId w:val="67"/>
  </w:num>
  <w:num w:numId="92" w16cid:durableId="1791123927">
    <w:abstractNumId w:val="45"/>
  </w:num>
  <w:num w:numId="93" w16cid:durableId="1618365113">
    <w:abstractNumId w:val="131"/>
  </w:num>
  <w:num w:numId="94" w16cid:durableId="1118526746">
    <w:abstractNumId w:val="17"/>
  </w:num>
  <w:num w:numId="95" w16cid:durableId="1580554457">
    <w:abstractNumId w:val="148"/>
  </w:num>
  <w:num w:numId="96" w16cid:durableId="998732975">
    <w:abstractNumId w:val="105"/>
  </w:num>
  <w:num w:numId="97" w16cid:durableId="1469854730">
    <w:abstractNumId w:val="59"/>
  </w:num>
  <w:num w:numId="98" w16cid:durableId="622614879">
    <w:abstractNumId w:val="86"/>
  </w:num>
  <w:num w:numId="99" w16cid:durableId="1552157206">
    <w:abstractNumId w:val="109"/>
  </w:num>
  <w:num w:numId="100" w16cid:durableId="1805584299">
    <w:abstractNumId w:val="155"/>
  </w:num>
  <w:num w:numId="101" w16cid:durableId="162359583">
    <w:abstractNumId w:val="193"/>
  </w:num>
  <w:num w:numId="102" w16cid:durableId="1177765644">
    <w:abstractNumId w:val="186"/>
  </w:num>
  <w:num w:numId="103" w16cid:durableId="1550875758">
    <w:abstractNumId w:val="176"/>
  </w:num>
  <w:num w:numId="104" w16cid:durableId="1235582246">
    <w:abstractNumId w:val="122"/>
  </w:num>
  <w:num w:numId="105" w16cid:durableId="1851943736">
    <w:abstractNumId w:val="60"/>
  </w:num>
  <w:num w:numId="106" w16cid:durableId="786125681">
    <w:abstractNumId w:val="56"/>
  </w:num>
  <w:num w:numId="107" w16cid:durableId="622347767">
    <w:abstractNumId w:val="175"/>
  </w:num>
  <w:num w:numId="108" w16cid:durableId="1342126385">
    <w:abstractNumId w:val="183"/>
  </w:num>
  <w:num w:numId="109" w16cid:durableId="1193689663">
    <w:abstractNumId w:val="32"/>
  </w:num>
  <w:num w:numId="110" w16cid:durableId="1864249605">
    <w:abstractNumId w:val="37"/>
  </w:num>
  <w:num w:numId="111" w16cid:durableId="1026950063">
    <w:abstractNumId w:val="168"/>
  </w:num>
  <w:num w:numId="112" w16cid:durableId="1652640100">
    <w:abstractNumId w:val="156"/>
  </w:num>
  <w:num w:numId="113" w16cid:durableId="623659794">
    <w:abstractNumId w:val="68"/>
  </w:num>
  <w:num w:numId="114" w16cid:durableId="774591866">
    <w:abstractNumId w:val="116"/>
  </w:num>
  <w:num w:numId="115" w16cid:durableId="1777603985">
    <w:abstractNumId w:val="6"/>
  </w:num>
  <w:num w:numId="116" w16cid:durableId="388722897">
    <w:abstractNumId w:val="47"/>
  </w:num>
  <w:num w:numId="117" w16cid:durableId="656345828">
    <w:abstractNumId w:val="93"/>
  </w:num>
  <w:num w:numId="118" w16cid:durableId="919562266">
    <w:abstractNumId w:val="124"/>
  </w:num>
  <w:num w:numId="119" w16cid:durableId="2067800816">
    <w:abstractNumId w:val="24"/>
  </w:num>
  <w:num w:numId="120" w16cid:durableId="319310056">
    <w:abstractNumId w:val="73"/>
  </w:num>
  <w:num w:numId="121" w16cid:durableId="1069184188">
    <w:abstractNumId w:val="121"/>
  </w:num>
  <w:num w:numId="122" w16cid:durableId="1339693040">
    <w:abstractNumId w:val="38"/>
  </w:num>
  <w:num w:numId="123" w16cid:durableId="233246808">
    <w:abstractNumId w:val="111"/>
  </w:num>
  <w:num w:numId="124" w16cid:durableId="361128395">
    <w:abstractNumId w:val="7"/>
  </w:num>
  <w:num w:numId="125" w16cid:durableId="35591119">
    <w:abstractNumId w:val="108"/>
  </w:num>
  <w:num w:numId="126" w16cid:durableId="1843547631">
    <w:abstractNumId w:val="177"/>
  </w:num>
  <w:num w:numId="127" w16cid:durableId="1985425125">
    <w:abstractNumId w:val="80"/>
  </w:num>
  <w:num w:numId="128" w16cid:durableId="653411659">
    <w:abstractNumId w:val="106"/>
  </w:num>
  <w:num w:numId="129" w16cid:durableId="670762007">
    <w:abstractNumId w:val="81"/>
  </w:num>
  <w:num w:numId="130" w16cid:durableId="646057953">
    <w:abstractNumId w:val="97"/>
  </w:num>
  <w:num w:numId="131" w16cid:durableId="320937394">
    <w:abstractNumId w:val="119"/>
  </w:num>
  <w:num w:numId="132" w16cid:durableId="1341858471">
    <w:abstractNumId w:val="154"/>
  </w:num>
  <w:num w:numId="133" w16cid:durableId="1923564045">
    <w:abstractNumId w:val="74"/>
  </w:num>
  <w:num w:numId="134" w16cid:durableId="188373672">
    <w:abstractNumId w:val="21"/>
  </w:num>
  <w:num w:numId="135" w16cid:durableId="239560711">
    <w:abstractNumId w:val="75"/>
  </w:num>
  <w:num w:numId="136" w16cid:durableId="1556965789">
    <w:abstractNumId w:val="161"/>
  </w:num>
  <w:num w:numId="137" w16cid:durableId="340857275">
    <w:abstractNumId w:val="123"/>
  </w:num>
  <w:num w:numId="138" w16cid:durableId="909117998">
    <w:abstractNumId w:val="104"/>
  </w:num>
  <w:num w:numId="139" w16cid:durableId="1911694033">
    <w:abstractNumId w:val="189"/>
  </w:num>
  <w:num w:numId="140" w16cid:durableId="1025714746">
    <w:abstractNumId w:val="13"/>
  </w:num>
  <w:num w:numId="141" w16cid:durableId="1844710310">
    <w:abstractNumId w:val="194"/>
  </w:num>
  <w:num w:numId="142" w16cid:durableId="305621246">
    <w:abstractNumId w:val="20"/>
  </w:num>
  <w:num w:numId="143" w16cid:durableId="96607507">
    <w:abstractNumId w:val="114"/>
  </w:num>
  <w:num w:numId="144" w16cid:durableId="821698483">
    <w:abstractNumId w:val="39"/>
  </w:num>
  <w:num w:numId="145" w16cid:durableId="1945111610">
    <w:abstractNumId w:val="54"/>
  </w:num>
  <w:num w:numId="146" w16cid:durableId="607808556">
    <w:abstractNumId w:val="66"/>
  </w:num>
  <w:num w:numId="147" w16cid:durableId="303778812">
    <w:abstractNumId w:val="25"/>
  </w:num>
  <w:num w:numId="148" w16cid:durableId="954211961">
    <w:abstractNumId w:val="171"/>
  </w:num>
  <w:num w:numId="149" w16cid:durableId="606618750">
    <w:abstractNumId w:val="151"/>
  </w:num>
  <w:num w:numId="150" w16cid:durableId="234441153">
    <w:abstractNumId w:val="107"/>
  </w:num>
  <w:num w:numId="151" w16cid:durableId="333841934">
    <w:abstractNumId w:val="85"/>
  </w:num>
  <w:num w:numId="152" w16cid:durableId="2066952500">
    <w:abstractNumId w:val="44"/>
  </w:num>
  <w:num w:numId="153" w16cid:durableId="2070036594">
    <w:abstractNumId w:val="79"/>
  </w:num>
  <w:num w:numId="154" w16cid:durableId="1106773423">
    <w:abstractNumId w:val="172"/>
  </w:num>
  <w:num w:numId="155" w16cid:durableId="322050160">
    <w:abstractNumId w:val="88"/>
  </w:num>
  <w:num w:numId="156" w16cid:durableId="1919973491">
    <w:abstractNumId w:val="28"/>
  </w:num>
  <w:num w:numId="157" w16cid:durableId="825392743">
    <w:abstractNumId w:val="12"/>
  </w:num>
  <w:num w:numId="158" w16cid:durableId="485707043">
    <w:abstractNumId w:val="15"/>
  </w:num>
  <w:num w:numId="159" w16cid:durableId="297148056">
    <w:abstractNumId w:val="127"/>
  </w:num>
  <w:num w:numId="160" w16cid:durableId="91365567">
    <w:abstractNumId w:val="136"/>
  </w:num>
  <w:num w:numId="161" w16cid:durableId="32312697">
    <w:abstractNumId w:val="134"/>
  </w:num>
  <w:num w:numId="162" w16cid:durableId="2010254492">
    <w:abstractNumId w:val="11"/>
  </w:num>
  <w:num w:numId="163" w16cid:durableId="753865597">
    <w:abstractNumId w:val="182"/>
  </w:num>
  <w:num w:numId="164" w16cid:durableId="1065680995">
    <w:abstractNumId w:val="112"/>
  </w:num>
  <w:num w:numId="165" w16cid:durableId="329139976">
    <w:abstractNumId w:val="5"/>
  </w:num>
  <w:num w:numId="166" w16cid:durableId="651445180">
    <w:abstractNumId w:val="57"/>
  </w:num>
  <w:num w:numId="167" w16cid:durableId="1371105973">
    <w:abstractNumId w:val="19"/>
  </w:num>
  <w:num w:numId="168" w16cid:durableId="146284923">
    <w:abstractNumId w:val="4"/>
  </w:num>
  <w:num w:numId="169" w16cid:durableId="1247495238">
    <w:abstractNumId w:val="94"/>
  </w:num>
  <w:num w:numId="170" w16cid:durableId="1346009769">
    <w:abstractNumId w:val="166"/>
  </w:num>
  <w:num w:numId="171" w16cid:durableId="296108054">
    <w:abstractNumId w:val="77"/>
  </w:num>
  <w:num w:numId="172" w16cid:durableId="1625766238">
    <w:abstractNumId w:val="137"/>
  </w:num>
  <w:num w:numId="173" w16cid:durableId="838425485">
    <w:abstractNumId w:val="139"/>
  </w:num>
  <w:num w:numId="174" w16cid:durableId="1970283702">
    <w:abstractNumId w:val="167"/>
  </w:num>
  <w:num w:numId="175" w16cid:durableId="2106729251">
    <w:abstractNumId w:val="58"/>
  </w:num>
  <w:num w:numId="176" w16cid:durableId="1185631974">
    <w:abstractNumId w:val="35"/>
  </w:num>
  <w:num w:numId="177" w16cid:durableId="1178887265">
    <w:abstractNumId w:val="8"/>
  </w:num>
  <w:num w:numId="178" w16cid:durableId="1841240300">
    <w:abstractNumId w:val="64"/>
  </w:num>
  <w:num w:numId="179" w16cid:durableId="1488940340">
    <w:abstractNumId w:val="146"/>
  </w:num>
  <w:num w:numId="180" w16cid:durableId="851919104">
    <w:abstractNumId w:val="147"/>
  </w:num>
  <w:num w:numId="181" w16cid:durableId="1057052222">
    <w:abstractNumId w:val="103"/>
  </w:num>
  <w:num w:numId="182" w16cid:durableId="20210439">
    <w:abstractNumId w:val="71"/>
  </w:num>
  <w:num w:numId="183" w16cid:durableId="887183676">
    <w:abstractNumId w:val="140"/>
    <w:lvlOverride w:ilvl="0">
      <w:lvl w:ilvl="0">
        <w:start w:val="1"/>
        <w:numFmt w:val="decimal"/>
        <w:pStyle w:val="Heading1"/>
        <w:lvlText w:val="%1"/>
        <w:lvlJc w:val="left"/>
        <w:pPr>
          <w:ind w:left="432" w:hanging="432"/>
        </w:pPr>
        <w:rPr>
          <w:rFonts w:cs="Times New Roman" w:hint="default"/>
          <w:b w:val="0"/>
          <w:bCs w:val="0"/>
          <w:i w:val="0"/>
          <w:iCs w:val="0"/>
          <w:caps w:val="0"/>
          <w:smallCaps w:val="0"/>
          <w:strike w:val="0"/>
          <w:dstrike w:val="0"/>
          <w:vanish w:val="0"/>
          <w:color w:val="000000"/>
          <w:spacing w:val="0"/>
          <w:kern w:val="0"/>
          <w:position w:val="0"/>
          <w:u w:val="none"/>
          <w:vertAlign w:val="baseline"/>
          <w:em w:val="none"/>
        </w:rPr>
      </w:lvl>
    </w:lvlOverride>
    <w:lvlOverride w:ilvl="1">
      <w:lvl w:ilvl="1">
        <w:start w:val="1"/>
        <w:numFmt w:val="decimalZero"/>
        <w:pStyle w:val="Heading2"/>
        <w:lvlText w:val="%1.%2"/>
        <w:lvlJc w:val="left"/>
        <w:pPr>
          <w:ind w:left="576" w:hanging="576"/>
        </w:pPr>
        <w:rPr>
          <w:rFonts w:hint="default"/>
        </w:rPr>
      </w:lvl>
    </w:lvlOverride>
    <w:lvlOverride w:ilvl="2">
      <w:lvl w:ilvl="2">
        <w:start w:val="1"/>
        <w:numFmt w:val="decimalZero"/>
        <w:pStyle w:val="Heading3"/>
        <w:lvlText w:val="%1.%2.%3"/>
        <w:lvlJc w:val="left"/>
        <w:pPr>
          <w:ind w:left="1980" w:hanging="720"/>
        </w:pPr>
        <w:rPr>
          <w:rFonts w:cs="Times New Roman" w:hint="default"/>
          <w:b/>
          <w:bCs w:val="0"/>
          <w:i w:val="0"/>
          <w:iCs w:val="0"/>
          <w:caps w:val="0"/>
          <w:smallCaps w:val="0"/>
          <w:strike w:val="0"/>
          <w:dstrike w:val="0"/>
          <w:vanish w:val="0"/>
          <w:color w:val="000000"/>
          <w:spacing w:val="0"/>
          <w:kern w:val="0"/>
          <w:position w:val="0"/>
          <w:sz w:val="24"/>
          <w:szCs w:val="24"/>
          <w:u w:val="none"/>
          <w:vertAlign w:val="baseline"/>
          <w:em w:val="none"/>
        </w:rPr>
      </w:lvl>
    </w:lvlOverride>
    <w:lvlOverride w:ilvl="3">
      <w:lvl w:ilvl="3">
        <w:start w:val="1"/>
        <w:numFmt w:val="decimalZero"/>
        <w:pStyle w:val="Heading4"/>
        <w:lvlText w:val="%1.%2.%3.%4"/>
        <w:lvlJc w:val="left"/>
        <w:pPr>
          <w:ind w:left="1944" w:hanging="864"/>
        </w:pPr>
        <w:rPr>
          <w:rFonts w:cs="Times New Roman" w:hint="default"/>
          <w:bCs w:val="0"/>
          <w:i w:val="0"/>
          <w:iCs w:val="0"/>
          <w:smallCaps w:val="0"/>
          <w:strike w:val="0"/>
          <w:dstrike w:val="0"/>
          <w:vanish w:val="0"/>
          <w:color w:val="000000"/>
          <w:spacing w:val="0"/>
          <w:kern w:val="0"/>
          <w:position w:val="0"/>
          <w:u w:val="none"/>
          <w:vertAlign w:val="baseline"/>
          <w:em w:val="none"/>
        </w:rPr>
      </w:lvl>
    </w:lvlOverride>
    <w:lvlOverride w:ilvl="4">
      <w:lvl w:ilvl="4">
        <w:start w:val="1"/>
        <w:numFmt w:val="decimalZero"/>
        <w:pStyle w:val="Heading5"/>
        <w:lvlText w:val="%1.%2.%3.%4.%5"/>
        <w:lvlJc w:val="left"/>
        <w:pPr>
          <w:ind w:left="1548" w:hanging="1008"/>
        </w:pPr>
        <w:rPr>
          <w:rFonts w:hint="default"/>
        </w:rPr>
      </w:lvl>
    </w:lvlOverride>
    <w:lvlOverride w:ilvl="5">
      <w:lvl w:ilvl="5">
        <w:start w:val="1"/>
        <w:numFmt w:val="decimal"/>
        <w:pStyle w:val="Heading6"/>
        <w:lvlText w:val="%1.%2.%3.%4.%5.%6"/>
        <w:lvlJc w:val="left"/>
        <w:pPr>
          <w:ind w:left="2682" w:hanging="1152"/>
        </w:pPr>
        <w:rPr>
          <w:rFonts w:hint="default"/>
          <w:b/>
        </w:rPr>
      </w:lvl>
    </w:lvlOverride>
    <w:lvlOverride w:ilvl="6">
      <w:lvl w:ilvl="6">
        <w:start w:val="1"/>
        <w:numFmt w:val="decimal"/>
        <w:pStyle w:val="Heading7"/>
        <w:lvlText w:val="%1.%2.%3.%4.%5.%6.%7"/>
        <w:lvlJc w:val="left"/>
        <w:pPr>
          <w:ind w:left="1296" w:hanging="1296"/>
        </w:pPr>
        <w:rPr>
          <w:rFonts w:hint="default"/>
        </w:rPr>
      </w:lvl>
    </w:lvlOverride>
    <w:lvlOverride w:ilvl="7">
      <w:lvl w:ilvl="7">
        <w:start w:val="1"/>
        <w:numFmt w:val="decimal"/>
        <w:pStyle w:val="Heading8"/>
        <w:lvlText w:val="%1.%2.%3.%4.%5.%6.%7.%8"/>
        <w:lvlJc w:val="left"/>
        <w:pPr>
          <w:ind w:left="1440" w:hanging="1440"/>
        </w:pPr>
        <w:rPr>
          <w:rFonts w:hint="default"/>
        </w:rPr>
      </w:lvl>
    </w:lvlOverride>
    <w:lvlOverride w:ilvl="8">
      <w:lvl w:ilvl="8">
        <w:start w:val="1"/>
        <w:numFmt w:val="decimal"/>
        <w:pStyle w:val="Heading9"/>
        <w:lvlText w:val="%1.%2.%3.%4.%5.%6.%7.%8.%9"/>
        <w:lvlJc w:val="left"/>
        <w:pPr>
          <w:ind w:left="1584" w:hanging="1584"/>
        </w:pPr>
        <w:rPr>
          <w:rFonts w:hint="default"/>
        </w:rPr>
      </w:lvl>
    </w:lvlOverride>
  </w:num>
  <w:num w:numId="184" w16cid:durableId="993340755">
    <w:abstractNumId w:val="140"/>
    <w:lvlOverride w:ilvl="0">
      <w:lvl w:ilvl="0">
        <w:start w:val="1"/>
        <w:numFmt w:val="decimal"/>
        <w:pStyle w:val="Heading1"/>
        <w:lvlText w:val="%1"/>
        <w:lvlJc w:val="left"/>
        <w:pPr>
          <w:ind w:left="432" w:hanging="432"/>
        </w:pPr>
        <w:rPr>
          <w:rFonts w:cs="Times New Roman" w:hint="default"/>
          <w:b w:val="0"/>
          <w:bCs w:val="0"/>
          <w:i w:val="0"/>
          <w:iCs w:val="0"/>
          <w:caps w:val="0"/>
          <w:smallCaps w:val="0"/>
          <w:strike w:val="0"/>
          <w:dstrike w:val="0"/>
          <w:vanish w:val="0"/>
          <w:color w:val="000000"/>
          <w:spacing w:val="0"/>
          <w:kern w:val="0"/>
          <w:position w:val="0"/>
          <w:u w:val="none"/>
          <w:vertAlign w:val="baseline"/>
          <w:em w:val="none"/>
        </w:rPr>
      </w:lvl>
    </w:lvlOverride>
    <w:lvlOverride w:ilvl="1">
      <w:lvl w:ilvl="1">
        <w:start w:val="1"/>
        <w:numFmt w:val="decimalZero"/>
        <w:pStyle w:val="Heading2"/>
        <w:lvlText w:val="%1.%2"/>
        <w:lvlJc w:val="left"/>
        <w:pPr>
          <w:ind w:left="576" w:hanging="576"/>
        </w:pPr>
        <w:rPr>
          <w:rFonts w:hint="default"/>
        </w:rPr>
      </w:lvl>
    </w:lvlOverride>
    <w:lvlOverride w:ilvl="2">
      <w:lvl w:ilvl="2">
        <w:start w:val="1"/>
        <w:numFmt w:val="decimalZero"/>
        <w:pStyle w:val="Heading3"/>
        <w:lvlText w:val="%1.%2.%3"/>
        <w:lvlJc w:val="left"/>
        <w:pPr>
          <w:ind w:left="1980" w:hanging="720"/>
        </w:pPr>
        <w:rPr>
          <w:rFonts w:cs="Times New Roman" w:hint="default"/>
          <w:b/>
          <w:bCs w:val="0"/>
          <w:i w:val="0"/>
          <w:iCs w:val="0"/>
          <w:caps w:val="0"/>
          <w:smallCaps w:val="0"/>
          <w:strike w:val="0"/>
          <w:dstrike w:val="0"/>
          <w:vanish w:val="0"/>
          <w:color w:val="000000"/>
          <w:spacing w:val="0"/>
          <w:kern w:val="0"/>
          <w:position w:val="0"/>
          <w:sz w:val="24"/>
          <w:szCs w:val="24"/>
          <w:u w:val="none"/>
          <w:vertAlign w:val="baseline"/>
          <w:em w:val="none"/>
        </w:rPr>
      </w:lvl>
    </w:lvlOverride>
    <w:lvlOverride w:ilvl="3">
      <w:lvl w:ilvl="3">
        <w:start w:val="1"/>
        <w:numFmt w:val="decimalZero"/>
        <w:pStyle w:val="Heading4"/>
        <w:lvlText w:val="%1.%2.%3.%4"/>
        <w:lvlJc w:val="left"/>
        <w:pPr>
          <w:ind w:left="1944" w:hanging="864"/>
        </w:pPr>
        <w:rPr>
          <w:rFonts w:cs="Times New Roman" w:hint="default"/>
          <w:bCs w:val="0"/>
          <w:i w:val="0"/>
          <w:iCs w:val="0"/>
          <w:smallCaps w:val="0"/>
          <w:strike w:val="0"/>
          <w:dstrike w:val="0"/>
          <w:vanish w:val="0"/>
          <w:color w:val="000000"/>
          <w:spacing w:val="0"/>
          <w:kern w:val="0"/>
          <w:position w:val="0"/>
          <w:u w:val="none"/>
          <w:vertAlign w:val="baseline"/>
          <w:em w:val="none"/>
        </w:rPr>
      </w:lvl>
    </w:lvlOverride>
    <w:lvlOverride w:ilvl="4">
      <w:lvl w:ilvl="4">
        <w:start w:val="1"/>
        <w:numFmt w:val="decimalZero"/>
        <w:pStyle w:val="Heading5"/>
        <w:lvlText w:val="%1.%2.%3.%4.%5"/>
        <w:lvlJc w:val="left"/>
        <w:pPr>
          <w:ind w:left="1548" w:hanging="1008"/>
        </w:pPr>
        <w:rPr>
          <w:rFonts w:hint="default"/>
        </w:rPr>
      </w:lvl>
    </w:lvlOverride>
    <w:lvlOverride w:ilvl="5">
      <w:lvl w:ilvl="5">
        <w:start w:val="1"/>
        <w:numFmt w:val="decimal"/>
        <w:pStyle w:val="Heading6"/>
        <w:lvlText w:val="%1.%2.%3.%4.%5.%6"/>
        <w:lvlJc w:val="left"/>
        <w:pPr>
          <w:ind w:left="2682" w:hanging="1152"/>
        </w:pPr>
        <w:rPr>
          <w:rFonts w:hint="default"/>
          <w:b/>
        </w:rPr>
      </w:lvl>
    </w:lvlOverride>
    <w:lvlOverride w:ilvl="6">
      <w:lvl w:ilvl="6">
        <w:start w:val="1"/>
        <w:numFmt w:val="decimal"/>
        <w:pStyle w:val="Heading7"/>
        <w:lvlText w:val="%1.%2.%3.%4.%5.%6.%7"/>
        <w:lvlJc w:val="left"/>
        <w:pPr>
          <w:ind w:left="1296" w:hanging="1296"/>
        </w:pPr>
        <w:rPr>
          <w:rFonts w:hint="default"/>
        </w:rPr>
      </w:lvl>
    </w:lvlOverride>
    <w:lvlOverride w:ilvl="7">
      <w:lvl w:ilvl="7">
        <w:start w:val="1"/>
        <w:numFmt w:val="decimal"/>
        <w:pStyle w:val="Heading8"/>
        <w:lvlText w:val="%1.%2.%3.%4.%5.%6.%7.%8"/>
        <w:lvlJc w:val="left"/>
        <w:pPr>
          <w:ind w:left="1440" w:hanging="1440"/>
        </w:pPr>
        <w:rPr>
          <w:rFonts w:hint="default"/>
        </w:rPr>
      </w:lvl>
    </w:lvlOverride>
    <w:lvlOverride w:ilvl="8">
      <w:lvl w:ilvl="8">
        <w:start w:val="1"/>
        <w:numFmt w:val="decimal"/>
        <w:pStyle w:val="Heading9"/>
        <w:lvlText w:val="%1.%2.%3.%4.%5.%6.%7.%8.%9"/>
        <w:lvlJc w:val="left"/>
        <w:pPr>
          <w:ind w:left="1584" w:hanging="1584"/>
        </w:pPr>
        <w:rPr>
          <w:rFonts w:hint="default"/>
        </w:rPr>
      </w:lvl>
    </w:lvlOverride>
  </w:num>
  <w:num w:numId="185" w16cid:durableId="1564173737">
    <w:abstractNumId w:val="140"/>
    <w:lvlOverride w:ilvl="0">
      <w:lvl w:ilvl="0">
        <w:start w:val="1"/>
        <w:numFmt w:val="decimal"/>
        <w:pStyle w:val="Heading1"/>
        <w:lvlText w:val="%1"/>
        <w:lvlJc w:val="left"/>
        <w:pPr>
          <w:ind w:left="432" w:hanging="432"/>
        </w:pPr>
        <w:rPr>
          <w:rFonts w:cs="Times New Roman" w:hint="default"/>
          <w:b w:val="0"/>
          <w:bCs w:val="0"/>
          <w:i w:val="0"/>
          <w:iCs w:val="0"/>
          <w:caps w:val="0"/>
          <w:smallCaps w:val="0"/>
          <w:strike w:val="0"/>
          <w:dstrike w:val="0"/>
          <w:vanish w:val="0"/>
          <w:color w:val="000000"/>
          <w:spacing w:val="0"/>
          <w:kern w:val="0"/>
          <w:position w:val="0"/>
          <w:u w:val="none"/>
          <w:vertAlign w:val="baseline"/>
          <w:em w:val="none"/>
        </w:rPr>
      </w:lvl>
    </w:lvlOverride>
    <w:lvlOverride w:ilvl="1">
      <w:lvl w:ilvl="1">
        <w:start w:val="1"/>
        <w:numFmt w:val="decimalZero"/>
        <w:pStyle w:val="Heading2"/>
        <w:lvlText w:val="%1.%2"/>
        <w:lvlJc w:val="left"/>
        <w:pPr>
          <w:ind w:left="576" w:hanging="576"/>
        </w:pPr>
        <w:rPr>
          <w:rFonts w:hint="default"/>
        </w:rPr>
      </w:lvl>
    </w:lvlOverride>
    <w:lvlOverride w:ilvl="2">
      <w:lvl w:ilvl="2">
        <w:start w:val="1"/>
        <w:numFmt w:val="decimalZero"/>
        <w:pStyle w:val="Heading3"/>
        <w:lvlText w:val="%1.%2.%3"/>
        <w:lvlJc w:val="left"/>
        <w:pPr>
          <w:ind w:left="1440" w:hanging="1440"/>
        </w:pPr>
        <w:rPr>
          <w:rFonts w:cs="Times New Roman" w:hint="default"/>
          <w:b/>
          <w:bCs w:val="0"/>
          <w:i w:val="0"/>
          <w:iCs w:val="0"/>
          <w:caps w:val="0"/>
          <w:smallCaps w:val="0"/>
          <w:strike w:val="0"/>
          <w:dstrike w:val="0"/>
          <w:vanish w:val="0"/>
          <w:color w:val="000000"/>
          <w:spacing w:val="0"/>
          <w:kern w:val="0"/>
          <w:position w:val="0"/>
          <w:sz w:val="24"/>
          <w:szCs w:val="24"/>
          <w:u w:val="none"/>
          <w:vertAlign w:val="baseline"/>
          <w:em w:val="none"/>
        </w:rPr>
      </w:lvl>
    </w:lvlOverride>
    <w:lvlOverride w:ilvl="3">
      <w:lvl w:ilvl="3">
        <w:start w:val="1"/>
        <w:numFmt w:val="decimalZero"/>
        <w:pStyle w:val="Heading4"/>
        <w:lvlText w:val="%1.%2.%3.%4"/>
        <w:lvlJc w:val="left"/>
        <w:pPr>
          <w:ind w:left="1944" w:hanging="864"/>
        </w:pPr>
        <w:rPr>
          <w:rFonts w:cs="Times New Roman" w:hint="default"/>
          <w:bCs w:val="0"/>
          <w:i w:val="0"/>
          <w:iCs w:val="0"/>
          <w:smallCaps w:val="0"/>
          <w:strike w:val="0"/>
          <w:dstrike w:val="0"/>
          <w:vanish w:val="0"/>
          <w:color w:val="000000"/>
          <w:spacing w:val="0"/>
          <w:kern w:val="0"/>
          <w:position w:val="0"/>
          <w:u w:val="none"/>
          <w:vertAlign w:val="baseline"/>
          <w:em w:val="none"/>
        </w:rPr>
      </w:lvl>
    </w:lvlOverride>
    <w:lvlOverride w:ilvl="4">
      <w:lvl w:ilvl="4">
        <w:start w:val="1"/>
        <w:numFmt w:val="decimalZero"/>
        <w:pStyle w:val="Heading5"/>
        <w:lvlText w:val="%1.%2.%3.%4.%5"/>
        <w:lvlJc w:val="left"/>
        <w:pPr>
          <w:ind w:left="1548" w:hanging="1008"/>
        </w:pPr>
        <w:rPr>
          <w:rFonts w:hint="default"/>
        </w:rPr>
      </w:lvl>
    </w:lvlOverride>
    <w:lvlOverride w:ilvl="5">
      <w:lvl w:ilvl="5">
        <w:start w:val="1"/>
        <w:numFmt w:val="decimal"/>
        <w:pStyle w:val="Heading6"/>
        <w:lvlText w:val="%1.%2.%3.%4.%5.%6"/>
        <w:lvlJc w:val="left"/>
        <w:pPr>
          <w:ind w:left="2682" w:hanging="1152"/>
        </w:pPr>
        <w:rPr>
          <w:rFonts w:hint="default"/>
          <w:b w:val="0"/>
        </w:rPr>
      </w:lvl>
    </w:lvlOverride>
    <w:lvlOverride w:ilvl="6">
      <w:lvl w:ilvl="6">
        <w:start w:val="1"/>
        <w:numFmt w:val="decimal"/>
        <w:pStyle w:val="Heading7"/>
        <w:lvlText w:val="%1.%2.%3.%4.%5.%6.%7"/>
        <w:lvlJc w:val="left"/>
        <w:pPr>
          <w:ind w:left="1296" w:hanging="1296"/>
        </w:pPr>
        <w:rPr>
          <w:rFonts w:hint="default"/>
        </w:rPr>
      </w:lvl>
    </w:lvlOverride>
    <w:lvlOverride w:ilvl="7">
      <w:lvl w:ilvl="7">
        <w:start w:val="1"/>
        <w:numFmt w:val="decimal"/>
        <w:pStyle w:val="Heading8"/>
        <w:lvlText w:val="%1.%2.%3.%4.%5.%6.%7.%8"/>
        <w:lvlJc w:val="left"/>
        <w:pPr>
          <w:ind w:left="1440" w:hanging="1440"/>
        </w:pPr>
        <w:rPr>
          <w:rFonts w:hint="default"/>
        </w:rPr>
      </w:lvl>
    </w:lvlOverride>
    <w:lvlOverride w:ilvl="8">
      <w:lvl w:ilvl="8">
        <w:start w:val="1"/>
        <w:numFmt w:val="decimal"/>
        <w:pStyle w:val="Heading9"/>
        <w:lvlText w:val="%1.%2.%3.%4.%5.%6.%7.%8.%9"/>
        <w:lvlJc w:val="left"/>
        <w:pPr>
          <w:ind w:left="1584" w:hanging="1584"/>
        </w:pPr>
        <w:rPr>
          <w:rFonts w:hint="default"/>
        </w:rPr>
      </w:lvl>
    </w:lvlOverride>
  </w:num>
  <w:num w:numId="186" w16cid:durableId="609436784">
    <w:abstractNumId w:val="174"/>
  </w:num>
  <w:num w:numId="187" w16cid:durableId="2062291555">
    <w:abstractNumId w:val="132"/>
  </w:num>
  <w:num w:numId="188" w16cid:durableId="1926037930">
    <w:abstractNumId w:val="69"/>
  </w:num>
  <w:num w:numId="189" w16cid:durableId="1971131493">
    <w:abstractNumId w:val="92"/>
  </w:num>
  <w:num w:numId="190" w16cid:durableId="1195849304">
    <w:abstractNumId w:val="188"/>
  </w:num>
  <w:num w:numId="191" w16cid:durableId="2104449297">
    <w:abstractNumId w:val="18"/>
  </w:num>
  <w:num w:numId="192" w16cid:durableId="612399079">
    <w:abstractNumId w:val="169"/>
  </w:num>
  <w:num w:numId="193" w16cid:durableId="813789561">
    <w:abstractNumId w:val="138"/>
  </w:num>
  <w:num w:numId="194" w16cid:durableId="1621648420">
    <w:abstractNumId w:val="130"/>
  </w:num>
  <w:num w:numId="195" w16cid:durableId="305670844">
    <w:abstractNumId w:val="99"/>
  </w:num>
  <w:num w:numId="196" w16cid:durableId="98166512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16cid:durableId="777485852">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16cid:durableId="960457345">
    <w:abstractNumId w:val="16"/>
  </w:num>
  <w:num w:numId="199" w16cid:durableId="291135819">
    <w:abstractNumId w:val="126"/>
  </w:num>
  <w:num w:numId="200" w16cid:durableId="87580950">
    <w:abstractNumId w:val="140"/>
  </w:num>
  <w:num w:numId="201" w16cid:durableId="70950145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hideSpellingErrors/>
  <w:proofState w:spelling="clean" w:grammar="clean"/>
  <w:stylePaneFormatFilter w:val="3F28" w:allStyles="0" w:customStyles="0" w:latentStyles="0" w:stylesInUse="1" w:headingStyles="1" w:numberingStyles="0" w:tableStyles="0" w:directFormattingOnRuns="1" w:directFormattingOnParagraphs="1" w:directFormattingOnNumbering="1" w:directFormattingOnTables="1" w:clearFormatting="1" w:top3HeadingStyles="1" w:visibleStyles="0" w:alternateStyleNames="0"/>
  <w:doNotTrackFormatting/>
  <w:documentProtection w:edit="readOnly" w:enforcement="1" w:cryptProviderType="rsaAES" w:cryptAlgorithmClass="hash" w:cryptAlgorithmType="typeAny" w:cryptAlgorithmSid="14" w:cryptSpinCount="100000" w:hash="VW5sqzkHteuLNQZcI6+AIyAkep9wi+0ODeaHvlsRJKNhgcD8c0tHl4LTAsENMe5U9dAy3hy8kUVKNnyF92RiuQ==" w:salt="tTftyczpRyAHPHK77OTfSg=="/>
  <w:defaultTabStop w:val="720"/>
  <w:drawingGridHorizontalSpacing w:val="100"/>
  <w:drawingGridVerticalSpacing w:val="187"/>
  <w:displayHorizontalDrawingGridEvery w:val="0"/>
  <w:displayVerticalDrawingGridEvery w:val="0"/>
  <w:noPunctuationKerning/>
  <w:characterSpacingControl w:val="doNotCompress"/>
  <w:hdrShapeDefaults>
    <o:shapedefaults v:ext="edit" spidmax="2050">
      <o:colormru v:ext="edit" colors="blue,lim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44D8"/>
    <w:rsid w:val="00000482"/>
    <w:rsid w:val="00000A52"/>
    <w:rsid w:val="000013E4"/>
    <w:rsid w:val="00001CC7"/>
    <w:rsid w:val="00002D1D"/>
    <w:rsid w:val="000031F5"/>
    <w:rsid w:val="0000373A"/>
    <w:rsid w:val="00003B20"/>
    <w:rsid w:val="000040BD"/>
    <w:rsid w:val="000043DA"/>
    <w:rsid w:val="00004D6C"/>
    <w:rsid w:val="00006983"/>
    <w:rsid w:val="000076C0"/>
    <w:rsid w:val="00010B37"/>
    <w:rsid w:val="00010CB0"/>
    <w:rsid w:val="000110A6"/>
    <w:rsid w:val="0001117C"/>
    <w:rsid w:val="0001121C"/>
    <w:rsid w:val="0001139B"/>
    <w:rsid w:val="000122F4"/>
    <w:rsid w:val="000124D9"/>
    <w:rsid w:val="00012CDF"/>
    <w:rsid w:val="00012D18"/>
    <w:rsid w:val="00012E5E"/>
    <w:rsid w:val="00013242"/>
    <w:rsid w:val="00013CE4"/>
    <w:rsid w:val="00014315"/>
    <w:rsid w:val="00014594"/>
    <w:rsid w:val="00014D32"/>
    <w:rsid w:val="00014DA6"/>
    <w:rsid w:val="00015FB5"/>
    <w:rsid w:val="00016910"/>
    <w:rsid w:val="00017E36"/>
    <w:rsid w:val="00020391"/>
    <w:rsid w:val="00020C19"/>
    <w:rsid w:val="000210C9"/>
    <w:rsid w:val="00022208"/>
    <w:rsid w:val="00023C71"/>
    <w:rsid w:val="00023CAD"/>
    <w:rsid w:val="00024E8D"/>
    <w:rsid w:val="00025589"/>
    <w:rsid w:val="00026177"/>
    <w:rsid w:val="000267BC"/>
    <w:rsid w:val="000267C4"/>
    <w:rsid w:val="0002793F"/>
    <w:rsid w:val="00027B5F"/>
    <w:rsid w:val="00030730"/>
    <w:rsid w:val="000311E1"/>
    <w:rsid w:val="00031A83"/>
    <w:rsid w:val="00031C56"/>
    <w:rsid w:val="0003224C"/>
    <w:rsid w:val="00032ACC"/>
    <w:rsid w:val="000332B0"/>
    <w:rsid w:val="000338FE"/>
    <w:rsid w:val="00033971"/>
    <w:rsid w:val="00033CDD"/>
    <w:rsid w:val="00034086"/>
    <w:rsid w:val="000341E8"/>
    <w:rsid w:val="00034698"/>
    <w:rsid w:val="00034D7B"/>
    <w:rsid w:val="00035C82"/>
    <w:rsid w:val="000362D1"/>
    <w:rsid w:val="00036C2B"/>
    <w:rsid w:val="00036F81"/>
    <w:rsid w:val="00036FB5"/>
    <w:rsid w:val="00037B9A"/>
    <w:rsid w:val="00040875"/>
    <w:rsid w:val="00040A48"/>
    <w:rsid w:val="0004126A"/>
    <w:rsid w:val="00041B8E"/>
    <w:rsid w:val="00041C2B"/>
    <w:rsid w:val="0004318F"/>
    <w:rsid w:val="000431BA"/>
    <w:rsid w:val="00043B7E"/>
    <w:rsid w:val="00044CAC"/>
    <w:rsid w:val="00045828"/>
    <w:rsid w:val="0004592A"/>
    <w:rsid w:val="000459F4"/>
    <w:rsid w:val="00046C55"/>
    <w:rsid w:val="00047083"/>
    <w:rsid w:val="00047830"/>
    <w:rsid w:val="00047868"/>
    <w:rsid w:val="00050A04"/>
    <w:rsid w:val="0005101D"/>
    <w:rsid w:val="00051DD6"/>
    <w:rsid w:val="000520EC"/>
    <w:rsid w:val="00052A2A"/>
    <w:rsid w:val="00052B2D"/>
    <w:rsid w:val="00052EEE"/>
    <w:rsid w:val="00053578"/>
    <w:rsid w:val="00053D80"/>
    <w:rsid w:val="000544AA"/>
    <w:rsid w:val="00055597"/>
    <w:rsid w:val="00056BF3"/>
    <w:rsid w:val="000571C4"/>
    <w:rsid w:val="000577FA"/>
    <w:rsid w:val="000623B1"/>
    <w:rsid w:val="000625CA"/>
    <w:rsid w:val="000640FC"/>
    <w:rsid w:val="00065011"/>
    <w:rsid w:val="000655E1"/>
    <w:rsid w:val="000658FF"/>
    <w:rsid w:val="00065AAB"/>
    <w:rsid w:val="00066997"/>
    <w:rsid w:val="00067070"/>
    <w:rsid w:val="00067D41"/>
    <w:rsid w:val="000702BF"/>
    <w:rsid w:val="0007050D"/>
    <w:rsid w:val="00072826"/>
    <w:rsid w:val="00072BD8"/>
    <w:rsid w:val="00072BEB"/>
    <w:rsid w:val="00072EC9"/>
    <w:rsid w:val="00073661"/>
    <w:rsid w:val="00073F03"/>
    <w:rsid w:val="00074DFA"/>
    <w:rsid w:val="000755B7"/>
    <w:rsid w:val="000759FF"/>
    <w:rsid w:val="0007677E"/>
    <w:rsid w:val="000775B8"/>
    <w:rsid w:val="000779A5"/>
    <w:rsid w:val="000805CA"/>
    <w:rsid w:val="00080780"/>
    <w:rsid w:val="00080910"/>
    <w:rsid w:val="00080952"/>
    <w:rsid w:val="00080B1B"/>
    <w:rsid w:val="00081276"/>
    <w:rsid w:val="000828BF"/>
    <w:rsid w:val="000829D7"/>
    <w:rsid w:val="00083504"/>
    <w:rsid w:val="00083704"/>
    <w:rsid w:val="00083E76"/>
    <w:rsid w:val="0008430A"/>
    <w:rsid w:val="000847CA"/>
    <w:rsid w:val="0008558B"/>
    <w:rsid w:val="00085881"/>
    <w:rsid w:val="0008611F"/>
    <w:rsid w:val="00086849"/>
    <w:rsid w:val="000871B7"/>
    <w:rsid w:val="000904C4"/>
    <w:rsid w:val="00091439"/>
    <w:rsid w:val="0009226D"/>
    <w:rsid w:val="0009228E"/>
    <w:rsid w:val="00092522"/>
    <w:rsid w:val="000926F6"/>
    <w:rsid w:val="0009339A"/>
    <w:rsid w:val="000933C0"/>
    <w:rsid w:val="00093691"/>
    <w:rsid w:val="00094EFD"/>
    <w:rsid w:val="00095942"/>
    <w:rsid w:val="000964D1"/>
    <w:rsid w:val="0009683C"/>
    <w:rsid w:val="000971A8"/>
    <w:rsid w:val="0009733B"/>
    <w:rsid w:val="00097D66"/>
    <w:rsid w:val="00097F35"/>
    <w:rsid w:val="000A018E"/>
    <w:rsid w:val="000A02F1"/>
    <w:rsid w:val="000A0350"/>
    <w:rsid w:val="000A03EC"/>
    <w:rsid w:val="000A0BA3"/>
    <w:rsid w:val="000A1183"/>
    <w:rsid w:val="000A1815"/>
    <w:rsid w:val="000A240C"/>
    <w:rsid w:val="000A34FB"/>
    <w:rsid w:val="000A5554"/>
    <w:rsid w:val="000A5566"/>
    <w:rsid w:val="000A59A6"/>
    <w:rsid w:val="000A5B74"/>
    <w:rsid w:val="000A6278"/>
    <w:rsid w:val="000B0400"/>
    <w:rsid w:val="000B0757"/>
    <w:rsid w:val="000B0AA7"/>
    <w:rsid w:val="000B0CF8"/>
    <w:rsid w:val="000B0D40"/>
    <w:rsid w:val="000B1A02"/>
    <w:rsid w:val="000B2637"/>
    <w:rsid w:val="000B2CFA"/>
    <w:rsid w:val="000B2FCD"/>
    <w:rsid w:val="000B3088"/>
    <w:rsid w:val="000B3314"/>
    <w:rsid w:val="000B35F9"/>
    <w:rsid w:val="000B3E72"/>
    <w:rsid w:val="000B41FC"/>
    <w:rsid w:val="000B449B"/>
    <w:rsid w:val="000B45FC"/>
    <w:rsid w:val="000B4F04"/>
    <w:rsid w:val="000B53BF"/>
    <w:rsid w:val="000B5A79"/>
    <w:rsid w:val="000B5AF1"/>
    <w:rsid w:val="000B5FA2"/>
    <w:rsid w:val="000B66AE"/>
    <w:rsid w:val="000B6FFA"/>
    <w:rsid w:val="000B7767"/>
    <w:rsid w:val="000B798A"/>
    <w:rsid w:val="000C03FA"/>
    <w:rsid w:val="000C0465"/>
    <w:rsid w:val="000C11D4"/>
    <w:rsid w:val="000C19C6"/>
    <w:rsid w:val="000C2140"/>
    <w:rsid w:val="000C260A"/>
    <w:rsid w:val="000C2B1E"/>
    <w:rsid w:val="000C363F"/>
    <w:rsid w:val="000C3806"/>
    <w:rsid w:val="000C41F1"/>
    <w:rsid w:val="000C4227"/>
    <w:rsid w:val="000C62C9"/>
    <w:rsid w:val="000C62D0"/>
    <w:rsid w:val="000C757E"/>
    <w:rsid w:val="000C7A6A"/>
    <w:rsid w:val="000C7AE1"/>
    <w:rsid w:val="000D1A34"/>
    <w:rsid w:val="000D2B44"/>
    <w:rsid w:val="000D2CF2"/>
    <w:rsid w:val="000D397B"/>
    <w:rsid w:val="000D3C08"/>
    <w:rsid w:val="000D3EF6"/>
    <w:rsid w:val="000D4375"/>
    <w:rsid w:val="000D468F"/>
    <w:rsid w:val="000D5CB0"/>
    <w:rsid w:val="000D5D5A"/>
    <w:rsid w:val="000D61F9"/>
    <w:rsid w:val="000D6350"/>
    <w:rsid w:val="000D641A"/>
    <w:rsid w:val="000D75AB"/>
    <w:rsid w:val="000D761F"/>
    <w:rsid w:val="000D782E"/>
    <w:rsid w:val="000D7A07"/>
    <w:rsid w:val="000D7EE9"/>
    <w:rsid w:val="000E025F"/>
    <w:rsid w:val="000E0694"/>
    <w:rsid w:val="000E0B35"/>
    <w:rsid w:val="000E0BBC"/>
    <w:rsid w:val="000E0E64"/>
    <w:rsid w:val="000E1110"/>
    <w:rsid w:val="000E118B"/>
    <w:rsid w:val="000E1693"/>
    <w:rsid w:val="000E1873"/>
    <w:rsid w:val="000E1C09"/>
    <w:rsid w:val="000E1EBB"/>
    <w:rsid w:val="000E45C2"/>
    <w:rsid w:val="000E51FC"/>
    <w:rsid w:val="000E59A5"/>
    <w:rsid w:val="000E5A77"/>
    <w:rsid w:val="000E6031"/>
    <w:rsid w:val="000E661A"/>
    <w:rsid w:val="000E68FE"/>
    <w:rsid w:val="000E6BF3"/>
    <w:rsid w:val="000E6ED6"/>
    <w:rsid w:val="000E779A"/>
    <w:rsid w:val="000E7EB6"/>
    <w:rsid w:val="000F026C"/>
    <w:rsid w:val="000F127E"/>
    <w:rsid w:val="000F15DE"/>
    <w:rsid w:val="000F19E2"/>
    <w:rsid w:val="000F1DC0"/>
    <w:rsid w:val="000F2E63"/>
    <w:rsid w:val="000F30A1"/>
    <w:rsid w:val="000F32F5"/>
    <w:rsid w:val="000F34D6"/>
    <w:rsid w:val="000F3C2B"/>
    <w:rsid w:val="000F4A02"/>
    <w:rsid w:val="000F616D"/>
    <w:rsid w:val="000F66DA"/>
    <w:rsid w:val="000F6D57"/>
    <w:rsid w:val="000F70D9"/>
    <w:rsid w:val="000F78A1"/>
    <w:rsid w:val="000F78A7"/>
    <w:rsid w:val="001005CD"/>
    <w:rsid w:val="00100955"/>
    <w:rsid w:val="00100A61"/>
    <w:rsid w:val="001012B9"/>
    <w:rsid w:val="00101728"/>
    <w:rsid w:val="00101E98"/>
    <w:rsid w:val="001025DC"/>
    <w:rsid w:val="001025F7"/>
    <w:rsid w:val="00102D78"/>
    <w:rsid w:val="001030F5"/>
    <w:rsid w:val="0010438E"/>
    <w:rsid w:val="00105846"/>
    <w:rsid w:val="0010714A"/>
    <w:rsid w:val="001077A2"/>
    <w:rsid w:val="00107E6F"/>
    <w:rsid w:val="001101A9"/>
    <w:rsid w:val="00110B5F"/>
    <w:rsid w:val="001130A9"/>
    <w:rsid w:val="00113414"/>
    <w:rsid w:val="001138B2"/>
    <w:rsid w:val="0011449A"/>
    <w:rsid w:val="00114A45"/>
    <w:rsid w:val="00114B9F"/>
    <w:rsid w:val="00114C08"/>
    <w:rsid w:val="00115674"/>
    <w:rsid w:val="00116BA8"/>
    <w:rsid w:val="00116F96"/>
    <w:rsid w:val="00117BA8"/>
    <w:rsid w:val="00117CFC"/>
    <w:rsid w:val="00117E1C"/>
    <w:rsid w:val="001207A8"/>
    <w:rsid w:val="00120E9E"/>
    <w:rsid w:val="00121738"/>
    <w:rsid w:val="00122021"/>
    <w:rsid w:val="00122E38"/>
    <w:rsid w:val="0012351C"/>
    <w:rsid w:val="001239FB"/>
    <w:rsid w:val="00123F3B"/>
    <w:rsid w:val="00124E28"/>
    <w:rsid w:val="001264AD"/>
    <w:rsid w:val="00126D6F"/>
    <w:rsid w:val="00127092"/>
    <w:rsid w:val="0012748C"/>
    <w:rsid w:val="00131450"/>
    <w:rsid w:val="001318D0"/>
    <w:rsid w:val="00131E55"/>
    <w:rsid w:val="00132692"/>
    <w:rsid w:val="00133013"/>
    <w:rsid w:val="00133264"/>
    <w:rsid w:val="00133518"/>
    <w:rsid w:val="00134B23"/>
    <w:rsid w:val="00134B44"/>
    <w:rsid w:val="00135BA1"/>
    <w:rsid w:val="00135F9A"/>
    <w:rsid w:val="001365FD"/>
    <w:rsid w:val="00136CEE"/>
    <w:rsid w:val="00137137"/>
    <w:rsid w:val="0013716C"/>
    <w:rsid w:val="001374D2"/>
    <w:rsid w:val="001379A6"/>
    <w:rsid w:val="00140C15"/>
    <w:rsid w:val="001414A8"/>
    <w:rsid w:val="00141DBF"/>
    <w:rsid w:val="00142367"/>
    <w:rsid w:val="001425F1"/>
    <w:rsid w:val="0014279D"/>
    <w:rsid w:val="00142C0D"/>
    <w:rsid w:val="00143089"/>
    <w:rsid w:val="00143F7A"/>
    <w:rsid w:val="00144071"/>
    <w:rsid w:val="00144DE0"/>
    <w:rsid w:val="00145303"/>
    <w:rsid w:val="00145D39"/>
    <w:rsid w:val="001468AD"/>
    <w:rsid w:val="00146EB4"/>
    <w:rsid w:val="00146EBF"/>
    <w:rsid w:val="00146F2A"/>
    <w:rsid w:val="001476EB"/>
    <w:rsid w:val="00150442"/>
    <w:rsid w:val="00150C5E"/>
    <w:rsid w:val="001526DF"/>
    <w:rsid w:val="00152A78"/>
    <w:rsid w:val="00152F5C"/>
    <w:rsid w:val="00153AB4"/>
    <w:rsid w:val="00154275"/>
    <w:rsid w:val="00154C03"/>
    <w:rsid w:val="00155235"/>
    <w:rsid w:val="00155559"/>
    <w:rsid w:val="00155F83"/>
    <w:rsid w:val="00156156"/>
    <w:rsid w:val="00156712"/>
    <w:rsid w:val="00156AD6"/>
    <w:rsid w:val="001576C1"/>
    <w:rsid w:val="00157CB4"/>
    <w:rsid w:val="0016072E"/>
    <w:rsid w:val="00160E58"/>
    <w:rsid w:val="00162702"/>
    <w:rsid w:val="00162BFE"/>
    <w:rsid w:val="00162DD9"/>
    <w:rsid w:val="001635F4"/>
    <w:rsid w:val="001642DB"/>
    <w:rsid w:val="00164825"/>
    <w:rsid w:val="0016588F"/>
    <w:rsid w:val="00166300"/>
    <w:rsid w:val="00166887"/>
    <w:rsid w:val="001679D6"/>
    <w:rsid w:val="00167AB9"/>
    <w:rsid w:val="001703BF"/>
    <w:rsid w:val="00170481"/>
    <w:rsid w:val="00171335"/>
    <w:rsid w:val="001718FF"/>
    <w:rsid w:val="00171EC1"/>
    <w:rsid w:val="0017229F"/>
    <w:rsid w:val="00172E64"/>
    <w:rsid w:val="0017303F"/>
    <w:rsid w:val="00173141"/>
    <w:rsid w:val="00173C06"/>
    <w:rsid w:val="00173D02"/>
    <w:rsid w:val="00174995"/>
    <w:rsid w:val="001752CA"/>
    <w:rsid w:val="00175528"/>
    <w:rsid w:val="00175697"/>
    <w:rsid w:val="0017641F"/>
    <w:rsid w:val="001765C1"/>
    <w:rsid w:val="001777C7"/>
    <w:rsid w:val="00180B67"/>
    <w:rsid w:val="00180F97"/>
    <w:rsid w:val="00181386"/>
    <w:rsid w:val="001822F4"/>
    <w:rsid w:val="00182974"/>
    <w:rsid w:val="0018322C"/>
    <w:rsid w:val="001845B7"/>
    <w:rsid w:val="00184A02"/>
    <w:rsid w:val="00184D37"/>
    <w:rsid w:val="0018545B"/>
    <w:rsid w:val="001861F1"/>
    <w:rsid w:val="001863AE"/>
    <w:rsid w:val="00186A89"/>
    <w:rsid w:val="0018702B"/>
    <w:rsid w:val="001903A5"/>
    <w:rsid w:val="00190AE9"/>
    <w:rsid w:val="00190DD6"/>
    <w:rsid w:val="00192958"/>
    <w:rsid w:val="00192B9A"/>
    <w:rsid w:val="001937BD"/>
    <w:rsid w:val="00194252"/>
    <w:rsid w:val="001956B5"/>
    <w:rsid w:val="00196447"/>
    <w:rsid w:val="001965C3"/>
    <w:rsid w:val="00196EF6"/>
    <w:rsid w:val="001974E0"/>
    <w:rsid w:val="001979DC"/>
    <w:rsid w:val="001A003B"/>
    <w:rsid w:val="001A0613"/>
    <w:rsid w:val="001A0D1B"/>
    <w:rsid w:val="001A107C"/>
    <w:rsid w:val="001A113C"/>
    <w:rsid w:val="001A15B9"/>
    <w:rsid w:val="001A26E5"/>
    <w:rsid w:val="001A2A14"/>
    <w:rsid w:val="001A2AB4"/>
    <w:rsid w:val="001A3736"/>
    <w:rsid w:val="001A3751"/>
    <w:rsid w:val="001A4634"/>
    <w:rsid w:val="001A4EDC"/>
    <w:rsid w:val="001A5C68"/>
    <w:rsid w:val="001A604B"/>
    <w:rsid w:val="001A6BCF"/>
    <w:rsid w:val="001A6C91"/>
    <w:rsid w:val="001A6D69"/>
    <w:rsid w:val="001A73BF"/>
    <w:rsid w:val="001A74E0"/>
    <w:rsid w:val="001B1001"/>
    <w:rsid w:val="001B1040"/>
    <w:rsid w:val="001B15DE"/>
    <w:rsid w:val="001B1DE3"/>
    <w:rsid w:val="001B1F64"/>
    <w:rsid w:val="001B4BCD"/>
    <w:rsid w:val="001B4E91"/>
    <w:rsid w:val="001B5854"/>
    <w:rsid w:val="001B76DF"/>
    <w:rsid w:val="001C0537"/>
    <w:rsid w:val="001C124E"/>
    <w:rsid w:val="001C17F1"/>
    <w:rsid w:val="001C186B"/>
    <w:rsid w:val="001C2B92"/>
    <w:rsid w:val="001C2F29"/>
    <w:rsid w:val="001C3861"/>
    <w:rsid w:val="001C3C41"/>
    <w:rsid w:val="001C416D"/>
    <w:rsid w:val="001C4A28"/>
    <w:rsid w:val="001C4C4E"/>
    <w:rsid w:val="001C4E4E"/>
    <w:rsid w:val="001C4E7E"/>
    <w:rsid w:val="001C5A32"/>
    <w:rsid w:val="001C5B60"/>
    <w:rsid w:val="001C6717"/>
    <w:rsid w:val="001C6B2C"/>
    <w:rsid w:val="001C77D4"/>
    <w:rsid w:val="001D07DC"/>
    <w:rsid w:val="001D107A"/>
    <w:rsid w:val="001D1A8F"/>
    <w:rsid w:val="001D2271"/>
    <w:rsid w:val="001D2291"/>
    <w:rsid w:val="001D25C1"/>
    <w:rsid w:val="001D2BA0"/>
    <w:rsid w:val="001D366A"/>
    <w:rsid w:val="001D586A"/>
    <w:rsid w:val="001D6847"/>
    <w:rsid w:val="001D69CD"/>
    <w:rsid w:val="001D74E9"/>
    <w:rsid w:val="001D7FFC"/>
    <w:rsid w:val="001E16F6"/>
    <w:rsid w:val="001E22BE"/>
    <w:rsid w:val="001E3014"/>
    <w:rsid w:val="001E34D7"/>
    <w:rsid w:val="001E3A44"/>
    <w:rsid w:val="001E3BE6"/>
    <w:rsid w:val="001E4FA6"/>
    <w:rsid w:val="001E4FB4"/>
    <w:rsid w:val="001E4FC9"/>
    <w:rsid w:val="001E5866"/>
    <w:rsid w:val="001E58E8"/>
    <w:rsid w:val="001E5B53"/>
    <w:rsid w:val="001E6230"/>
    <w:rsid w:val="001E66EC"/>
    <w:rsid w:val="001E6D7A"/>
    <w:rsid w:val="001E70D2"/>
    <w:rsid w:val="001E7AFC"/>
    <w:rsid w:val="001F03F2"/>
    <w:rsid w:val="001F0E95"/>
    <w:rsid w:val="001F1D5C"/>
    <w:rsid w:val="001F24BC"/>
    <w:rsid w:val="001F25A5"/>
    <w:rsid w:val="001F27CE"/>
    <w:rsid w:val="001F2AA9"/>
    <w:rsid w:val="001F32D3"/>
    <w:rsid w:val="001F3D7C"/>
    <w:rsid w:val="001F41A9"/>
    <w:rsid w:val="001F42EB"/>
    <w:rsid w:val="001F4E59"/>
    <w:rsid w:val="001F5152"/>
    <w:rsid w:val="001F54B6"/>
    <w:rsid w:val="001F5B09"/>
    <w:rsid w:val="001F5CD7"/>
    <w:rsid w:val="001F6378"/>
    <w:rsid w:val="001F63D8"/>
    <w:rsid w:val="001F6815"/>
    <w:rsid w:val="001F6CA0"/>
    <w:rsid w:val="001F6F64"/>
    <w:rsid w:val="001F77F4"/>
    <w:rsid w:val="00200205"/>
    <w:rsid w:val="00200738"/>
    <w:rsid w:val="00200AF1"/>
    <w:rsid w:val="00200E0F"/>
    <w:rsid w:val="00201BB4"/>
    <w:rsid w:val="002021B7"/>
    <w:rsid w:val="002036E8"/>
    <w:rsid w:val="00205115"/>
    <w:rsid w:val="0020546F"/>
    <w:rsid w:val="002058AE"/>
    <w:rsid w:val="00206544"/>
    <w:rsid w:val="00207CD3"/>
    <w:rsid w:val="00210549"/>
    <w:rsid w:val="0021209F"/>
    <w:rsid w:val="0021294A"/>
    <w:rsid w:val="00213662"/>
    <w:rsid w:val="00213803"/>
    <w:rsid w:val="00213B99"/>
    <w:rsid w:val="00213D60"/>
    <w:rsid w:val="0021416C"/>
    <w:rsid w:val="00214B26"/>
    <w:rsid w:val="00217C0D"/>
    <w:rsid w:val="00217D45"/>
    <w:rsid w:val="00220D00"/>
    <w:rsid w:val="00220FE4"/>
    <w:rsid w:val="002210B7"/>
    <w:rsid w:val="00221B14"/>
    <w:rsid w:val="00221EBB"/>
    <w:rsid w:val="00221EE2"/>
    <w:rsid w:val="00222234"/>
    <w:rsid w:val="002233DD"/>
    <w:rsid w:val="00223FEA"/>
    <w:rsid w:val="00224252"/>
    <w:rsid w:val="00224C82"/>
    <w:rsid w:val="0022510F"/>
    <w:rsid w:val="002251A9"/>
    <w:rsid w:val="00225445"/>
    <w:rsid w:val="00226D0F"/>
    <w:rsid w:val="00227979"/>
    <w:rsid w:val="002302DB"/>
    <w:rsid w:val="002308EA"/>
    <w:rsid w:val="0023126B"/>
    <w:rsid w:val="00231969"/>
    <w:rsid w:val="00232344"/>
    <w:rsid w:val="002333CE"/>
    <w:rsid w:val="00233C4E"/>
    <w:rsid w:val="00234467"/>
    <w:rsid w:val="00234821"/>
    <w:rsid w:val="00235EDE"/>
    <w:rsid w:val="002360A0"/>
    <w:rsid w:val="00236588"/>
    <w:rsid w:val="00236660"/>
    <w:rsid w:val="00236666"/>
    <w:rsid w:val="002370B0"/>
    <w:rsid w:val="002375C2"/>
    <w:rsid w:val="002379C4"/>
    <w:rsid w:val="00237FA6"/>
    <w:rsid w:val="002403BE"/>
    <w:rsid w:val="00240C0B"/>
    <w:rsid w:val="00240D3E"/>
    <w:rsid w:val="002417C7"/>
    <w:rsid w:val="002434BE"/>
    <w:rsid w:val="002451B0"/>
    <w:rsid w:val="0024579B"/>
    <w:rsid w:val="0024613E"/>
    <w:rsid w:val="00246589"/>
    <w:rsid w:val="00246B87"/>
    <w:rsid w:val="00247B4D"/>
    <w:rsid w:val="00247D4C"/>
    <w:rsid w:val="0025078E"/>
    <w:rsid w:val="00250CA0"/>
    <w:rsid w:val="00251213"/>
    <w:rsid w:val="0025184F"/>
    <w:rsid w:val="00251903"/>
    <w:rsid w:val="0025386D"/>
    <w:rsid w:val="002545FA"/>
    <w:rsid w:val="002578E3"/>
    <w:rsid w:val="002606DB"/>
    <w:rsid w:val="00261736"/>
    <w:rsid w:val="00261C23"/>
    <w:rsid w:val="00262810"/>
    <w:rsid w:val="00262DF7"/>
    <w:rsid w:val="0026333C"/>
    <w:rsid w:val="00265156"/>
    <w:rsid w:val="00265506"/>
    <w:rsid w:val="00266A9A"/>
    <w:rsid w:val="00266DED"/>
    <w:rsid w:val="00266F13"/>
    <w:rsid w:val="0026781A"/>
    <w:rsid w:val="00267821"/>
    <w:rsid w:val="00270997"/>
    <w:rsid w:val="00271BFB"/>
    <w:rsid w:val="002721DD"/>
    <w:rsid w:val="00272283"/>
    <w:rsid w:val="00272526"/>
    <w:rsid w:val="002728BF"/>
    <w:rsid w:val="00272B52"/>
    <w:rsid w:val="00272BE3"/>
    <w:rsid w:val="002744D8"/>
    <w:rsid w:val="00275542"/>
    <w:rsid w:val="0027598C"/>
    <w:rsid w:val="00275E3B"/>
    <w:rsid w:val="00276130"/>
    <w:rsid w:val="00276C4A"/>
    <w:rsid w:val="00277615"/>
    <w:rsid w:val="00277A51"/>
    <w:rsid w:val="00277CD6"/>
    <w:rsid w:val="00280745"/>
    <w:rsid w:val="002809B9"/>
    <w:rsid w:val="0028297C"/>
    <w:rsid w:val="002829FB"/>
    <w:rsid w:val="00282C38"/>
    <w:rsid w:val="002839CA"/>
    <w:rsid w:val="00283F48"/>
    <w:rsid w:val="0028469E"/>
    <w:rsid w:val="00286593"/>
    <w:rsid w:val="00286BA7"/>
    <w:rsid w:val="00286CC7"/>
    <w:rsid w:val="002870B4"/>
    <w:rsid w:val="002872AC"/>
    <w:rsid w:val="00287367"/>
    <w:rsid w:val="00287445"/>
    <w:rsid w:val="0028797B"/>
    <w:rsid w:val="002904DA"/>
    <w:rsid w:val="00290D9D"/>
    <w:rsid w:val="0029163B"/>
    <w:rsid w:val="002917AA"/>
    <w:rsid w:val="002918BE"/>
    <w:rsid w:val="0029193D"/>
    <w:rsid w:val="002928D9"/>
    <w:rsid w:val="0029316F"/>
    <w:rsid w:val="00293210"/>
    <w:rsid w:val="00293753"/>
    <w:rsid w:val="00294ABF"/>
    <w:rsid w:val="00295C6C"/>
    <w:rsid w:val="00295DD3"/>
    <w:rsid w:val="0029698C"/>
    <w:rsid w:val="0029698E"/>
    <w:rsid w:val="00296EE0"/>
    <w:rsid w:val="00297533"/>
    <w:rsid w:val="002A010D"/>
    <w:rsid w:val="002A0503"/>
    <w:rsid w:val="002A05E7"/>
    <w:rsid w:val="002A0673"/>
    <w:rsid w:val="002A0F88"/>
    <w:rsid w:val="002A10EA"/>
    <w:rsid w:val="002A29F8"/>
    <w:rsid w:val="002A34C3"/>
    <w:rsid w:val="002A3551"/>
    <w:rsid w:val="002A52DD"/>
    <w:rsid w:val="002A595A"/>
    <w:rsid w:val="002A6785"/>
    <w:rsid w:val="002A68F4"/>
    <w:rsid w:val="002A6B95"/>
    <w:rsid w:val="002A6CBC"/>
    <w:rsid w:val="002A7742"/>
    <w:rsid w:val="002A7A95"/>
    <w:rsid w:val="002B0485"/>
    <w:rsid w:val="002B0571"/>
    <w:rsid w:val="002B0CAE"/>
    <w:rsid w:val="002B1452"/>
    <w:rsid w:val="002B19DB"/>
    <w:rsid w:val="002B1D50"/>
    <w:rsid w:val="002B27E5"/>
    <w:rsid w:val="002B2C14"/>
    <w:rsid w:val="002B320C"/>
    <w:rsid w:val="002B3276"/>
    <w:rsid w:val="002B3931"/>
    <w:rsid w:val="002B3D63"/>
    <w:rsid w:val="002B4C7D"/>
    <w:rsid w:val="002B4DC1"/>
    <w:rsid w:val="002B4F74"/>
    <w:rsid w:val="002B513A"/>
    <w:rsid w:val="002B560C"/>
    <w:rsid w:val="002B5858"/>
    <w:rsid w:val="002B6575"/>
    <w:rsid w:val="002B6991"/>
    <w:rsid w:val="002B7102"/>
    <w:rsid w:val="002B7F3B"/>
    <w:rsid w:val="002C02D3"/>
    <w:rsid w:val="002C0434"/>
    <w:rsid w:val="002C0570"/>
    <w:rsid w:val="002C09E6"/>
    <w:rsid w:val="002C0B0C"/>
    <w:rsid w:val="002C0D9A"/>
    <w:rsid w:val="002C0DA2"/>
    <w:rsid w:val="002C1701"/>
    <w:rsid w:val="002C1BF2"/>
    <w:rsid w:val="002C2454"/>
    <w:rsid w:val="002C2856"/>
    <w:rsid w:val="002C29D9"/>
    <w:rsid w:val="002C2C6F"/>
    <w:rsid w:val="002C3171"/>
    <w:rsid w:val="002C369F"/>
    <w:rsid w:val="002C3BD7"/>
    <w:rsid w:val="002C438E"/>
    <w:rsid w:val="002C4AF3"/>
    <w:rsid w:val="002C51E9"/>
    <w:rsid w:val="002C62EB"/>
    <w:rsid w:val="002C630A"/>
    <w:rsid w:val="002C6AC4"/>
    <w:rsid w:val="002C7B34"/>
    <w:rsid w:val="002D0F56"/>
    <w:rsid w:val="002D1960"/>
    <w:rsid w:val="002D1DF8"/>
    <w:rsid w:val="002D313A"/>
    <w:rsid w:val="002D3524"/>
    <w:rsid w:val="002D3A2A"/>
    <w:rsid w:val="002D3A2F"/>
    <w:rsid w:val="002D5C0B"/>
    <w:rsid w:val="002D5CDD"/>
    <w:rsid w:val="002D6310"/>
    <w:rsid w:val="002D6703"/>
    <w:rsid w:val="002E15EF"/>
    <w:rsid w:val="002E2230"/>
    <w:rsid w:val="002E23F7"/>
    <w:rsid w:val="002E2601"/>
    <w:rsid w:val="002E2E74"/>
    <w:rsid w:val="002E393C"/>
    <w:rsid w:val="002E3F86"/>
    <w:rsid w:val="002E3FE9"/>
    <w:rsid w:val="002E53E5"/>
    <w:rsid w:val="002E5609"/>
    <w:rsid w:val="002E6365"/>
    <w:rsid w:val="002E6DD7"/>
    <w:rsid w:val="002E74C6"/>
    <w:rsid w:val="002E7533"/>
    <w:rsid w:val="002E78A7"/>
    <w:rsid w:val="002E7EF0"/>
    <w:rsid w:val="002F01B6"/>
    <w:rsid w:val="002F0271"/>
    <w:rsid w:val="002F102F"/>
    <w:rsid w:val="002F10C8"/>
    <w:rsid w:val="002F130C"/>
    <w:rsid w:val="002F139C"/>
    <w:rsid w:val="002F1A46"/>
    <w:rsid w:val="002F2C67"/>
    <w:rsid w:val="002F2F86"/>
    <w:rsid w:val="002F3285"/>
    <w:rsid w:val="002F3506"/>
    <w:rsid w:val="002F3C7B"/>
    <w:rsid w:val="002F3E8A"/>
    <w:rsid w:val="002F4642"/>
    <w:rsid w:val="002F5129"/>
    <w:rsid w:val="002F5255"/>
    <w:rsid w:val="002F5701"/>
    <w:rsid w:val="002F6032"/>
    <w:rsid w:val="002F6364"/>
    <w:rsid w:val="002F6562"/>
    <w:rsid w:val="002F7036"/>
    <w:rsid w:val="002F7593"/>
    <w:rsid w:val="00300872"/>
    <w:rsid w:val="00300BC5"/>
    <w:rsid w:val="0030177D"/>
    <w:rsid w:val="003017AD"/>
    <w:rsid w:val="003019B7"/>
    <w:rsid w:val="00301BB6"/>
    <w:rsid w:val="00302108"/>
    <w:rsid w:val="003023A9"/>
    <w:rsid w:val="00302B3C"/>
    <w:rsid w:val="00302C5B"/>
    <w:rsid w:val="00302D2D"/>
    <w:rsid w:val="00303292"/>
    <w:rsid w:val="0030340B"/>
    <w:rsid w:val="00303A6F"/>
    <w:rsid w:val="00304694"/>
    <w:rsid w:val="003050F9"/>
    <w:rsid w:val="00305342"/>
    <w:rsid w:val="00305ABE"/>
    <w:rsid w:val="00305B1B"/>
    <w:rsid w:val="00305F2D"/>
    <w:rsid w:val="00306EAE"/>
    <w:rsid w:val="00307141"/>
    <w:rsid w:val="00307222"/>
    <w:rsid w:val="0031012E"/>
    <w:rsid w:val="003109D7"/>
    <w:rsid w:val="00310A24"/>
    <w:rsid w:val="00311620"/>
    <w:rsid w:val="00311712"/>
    <w:rsid w:val="0031218F"/>
    <w:rsid w:val="0031289A"/>
    <w:rsid w:val="00313C44"/>
    <w:rsid w:val="00314138"/>
    <w:rsid w:val="0031465F"/>
    <w:rsid w:val="00314775"/>
    <w:rsid w:val="00314FCA"/>
    <w:rsid w:val="00316203"/>
    <w:rsid w:val="00316DC7"/>
    <w:rsid w:val="00317773"/>
    <w:rsid w:val="00320CF8"/>
    <w:rsid w:val="003210FB"/>
    <w:rsid w:val="00321144"/>
    <w:rsid w:val="00321706"/>
    <w:rsid w:val="003225F6"/>
    <w:rsid w:val="00322805"/>
    <w:rsid w:val="0032377D"/>
    <w:rsid w:val="00323E16"/>
    <w:rsid w:val="003251D6"/>
    <w:rsid w:val="003265FB"/>
    <w:rsid w:val="0032772D"/>
    <w:rsid w:val="00327A5E"/>
    <w:rsid w:val="00330491"/>
    <w:rsid w:val="00331228"/>
    <w:rsid w:val="003321CE"/>
    <w:rsid w:val="00332EA2"/>
    <w:rsid w:val="003333CE"/>
    <w:rsid w:val="00334AD6"/>
    <w:rsid w:val="003350AA"/>
    <w:rsid w:val="00335C21"/>
    <w:rsid w:val="00336358"/>
    <w:rsid w:val="003364CA"/>
    <w:rsid w:val="00336516"/>
    <w:rsid w:val="0033696D"/>
    <w:rsid w:val="00336AF9"/>
    <w:rsid w:val="00336C08"/>
    <w:rsid w:val="00336D5D"/>
    <w:rsid w:val="00336E9B"/>
    <w:rsid w:val="00337ACF"/>
    <w:rsid w:val="00340943"/>
    <w:rsid w:val="003422B6"/>
    <w:rsid w:val="00342D04"/>
    <w:rsid w:val="00343159"/>
    <w:rsid w:val="00344560"/>
    <w:rsid w:val="00344AD1"/>
    <w:rsid w:val="00344D15"/>
    <w:rsid w:val="00345BAE"/>
    <w:rsid w:val="00346381"/>
    <w:rsid w:val="003466BF"/>
    <w:rsid w:val="00346A29"/>
    <w:rsid w:val="00346E9C"/>
    <w:rsid w:val="0034753D"/>
    <w:rsid w:val="003479EF"/>
    <w:rsid w:val="00347C74"/>
    <w:rsid w:val="0035097C"/>
    <w:rsid w:val="00350EAD"/>
    <w:rsid w:val="00352085"/>
    <w:rsid w:val="00352642"/>
    <w:rsid w:val="00353543"/>
    <w:rsid w:val="00353A67"/>
    <w:rsid w:val="00353D70"/>
    <w:rsid w:val="0035498D"/>
    <w:rsid w:val="00354BE0"/>
    <w:rsid w:val="00354BEA"/>
    <w:rsid w:val="003550AA"/>
    <w:rsid w:val="003567FF"/>
    <w:rsid w:val="00356E0B"/>
    <w:rsid w:val="00356EE1"/>
    <w:rsid w:val="0035790D"/>
    <w:rsid w:val="00357924"/>
    <w:rsid w:val="0036047A"/>
    <w:rsid w:val="00361350"/>
    <w:rsid w:val="00361D31"/>
    <w:rsid w:val="0036244E"/>
    <w:rsid w:val="00364670"/>
    <w:rsid w:val="00364722"/>
    <w:rsid w:val="00364B1B"/>
    <w:rsid w:val="00364E32"/>
    <w:rsid w:val="003671A8"/>
    <w:rsid w:val="003672E9"/>
    <w:rsid w:val="00367ADB"/>
    <w:rsid w:val="00367BA7"/>
    <w:rsid w:val="00367CE8"/>
    <w:rsid w:val="003707F8"/>
    <w:rsid w:val="00372416"/>
    <w:rsid w:val="00372A5A"/>
    <w:rsid w:val="003737F6"/>
    <w:rsid w:val="003746EA"/>
    <w:rsid w:val="003748B8"/>
    <w:rsid w:val="0037490B"/>
    <w:rsid w:val="00374C1C"/>
    <w:rsid w:val="00374F81"/>
    <w:rsid w:val="00374FB1"/>
    <w:rsid w:val="003755B0"/>
    <w:rsid w:val="0037583B"/>
    <w:rsid w:val="00375886"/>
    <w:rsid w:val="00376229"/>
    <w:rsid w:val="003777C2"/>
    <w:rsid w:val="00380024"/>
    <w:rsid w:val="003810D5"/>
    <w:rsid w:val="003817F6"/>
    <w:rsid w:val="00381F67"/>
    <w:rsid w:val="003826FB"/>
    <w:rsid w:val="003827AB"/>
    <w:rsid w:val="00382D11"/>
    <w:rsid w:val="00385533"/>
    <w:rsid w:val="00386D11"/>
    <w:rsid w:val="00387178"/>
    <w:rsid w:val="0038737A"/>
    <w:rsid w:val="00387A68"/>
    <w:rsid w:val="00387BB1"/>
    <w:rsid w:val="00387EFF"/>
    <w:rsid w:val="00390ECA"/>
    <w:rsid w:val="00391922"/>
    <w:rsid w:val="00391A32"/>
    <w:rsid w:val="00391EC7"/>
    <w:rsid w:val="00391F5D"/>
    <w:rsid w:val="0039215C"/>
    <w:rsid w:val="00392741"/>
    <w:rsid w:val="0039369A"/>
    <w:rsid w:val="00394608"/>
    <w:rsid w:val="003949A5"/>
    <w:rsid w:val="00395C32"/>
    <w:rsid w:val="00396947"/>
    <w:rsid w:val="0039712B"/>
    <w:rsid w:val="0039748D"/>
    <w:rsid w:val="00397B23"/>
    <w:rsid w:val="003A0C52"/>
    <w:rsid w:val="003A0F1C"/>
    <w:rsid w:val="003A14FA"/>
    <w:rsid w:val="003A165C"/>
    <w:rsid w:val="003A1B6A"/>
    <w:rsid w:val="003A2263"/>
    <w:rsid w:val="003A2BF0"/>
    <w:rsid w:val="003A2C9E"/>
    <w:rsid w:val="003A343F"/>
    <w:rsid w:val="003A358D"/>
    <w:rsid w:val="003A4CF2"/>
    <w:rsid w:val="003A4E94"/>
    <w:rsid w:val="003A5627"/>
    <w:rsid w:val="003A7478"/>
    <w:rsid w:val="003A7906"/>
    <w:rsid w:val="003A7E04"/>
    <w:rsid w:val="003B0305"/>
    <w:rsid w:val="003B075C"/>
    <w:rsid w:val="003B0918"/>
    <w:rsid w:val="003B1662"/>
    <w:rsid w:val="003B1A4F"/>
    <w:rsid w:val="003B22D0"/>
    <w:rsid w:val="003B234C"/>
    <w:rsid w:val="003B27BA"/>
    <w:rsid w:val="003B27C3"/>
    <w:rsid w:val="003B3519"/>
    <w:rsid w:val="003B42FC"/>
    <w:rsid w:val="003B4369"/>
    <w:rsid w:val="003B46EA"/>
    <w:rsid w:val="003B6165"/>
    <w:rsid w:val="003B71FE"/>
    <w:rsid w:val="003B74A4"/>
    <w:rsid w:val="003B7671"/>
    <w:rsid w:val="003C0D94"/>
    <w:rsid w:val="003C1791"/>
    <w:rsid w:val="003C20AA"/>
    <w:rsid w:val="003C256A"/>
    <w:rsid w:val="003C2771"/>
    <w:rsid w:val="003C31AB"/>
    <w:rsid w:val="003C36AC"/>
    <w:rsid w:val="003C3CD4"/>
    <w:rsid w:val="003C3F25"/>
    <w:rsid w:val="003C4AAA"/>
    <w:rsid w:val="003C4DBF"/>
    <w:rsid w:val="003C5A72"/>
    <w:rsid w:val="003C5A9F"/>
    <w:rsid w:val="003C5CEB"/>
    <w:rsid w:val="003C63B9"/>
    <w:rsid w:val="003C6904"/>
    <w:rsid w:val="003C69D2"/>
    <w:rsid w:val="003C6DCE"/>
    <w:rsid w:val="003D06B2"/>
    <w:rsid w:val="003D0707"/>
    <w:rsid w:val="003D0B9B"/>
    <w:rsid w:val="003D0D6A"/>
    <w:rsid w:val="003D19F2"/>
    <w:rsid w:val="003D2760"/>
    <w:rsid w:val="003D2896"/>
    <w:rsid w:val="003D2F70"/>
    <w:rsid w:val="003D3387"/>
    <w:rsid w:val="003D35CC"/>
    <w:rsid w:val="003D377D"/>
    <w:rsid w:val="003D3A4B"/>
    <w:rsid w:val="003D3A66"/>
    <w:rsid w:val="003D4E09"/>
    <w:rsid w:val="003D55C8"/>
    <w:rsid w:val="003D5A68"/>
    <w:rsid w:val="003D5CE6"/>
    <w:rsid w:val="003D5F59"/>
    <w:rsid w:val="003D63F6"/>
    <w:rsid w:val="003D6C00"/>
    <w:rsid w:val="003E03FC"/>
    <w:rsid w:val="003E1207"/>
    <w:rsid w:val="003E1E17"/>
    <w:rsid w:val="003E2C01"/>
    <w:rsid w:val="003E346F"/>
    <w:rsid w:val="003E36E2"/>
    <w:rsid w:val="003E3BB3"/>
    <w:rsid w:val="003E40B5"/>
    <w:rsid w:val="003E55BA"/>
    <w:rsid w:val="003E5A2F"/>
    <w:rsid w:val="003E5EC6"/>
    <w:rsid w:val="003E6A9D"/>
    <w:rsid w:val="003E6D94"/>
    <w:rsid w:val="003E7141"/>
    <w:rsid w:val="003F0C04"/>
    <w:rsid w:val="003F1D73"/>
    <w:rsid w:val="003F252F"/>
    <w:rsid w:val="003F286D"/>
    <w:rsid w:val="003F2D9A"/>
    <w:rsid w:val="003F3D68"/>
    <w:rsid w:val="003F425E"/>
    <w:rsid w:val="003F4B37"/>
    <w:rsid w:val="003F4F82"/>
    <w:rsid w:val="003F56CC"/>
    <w:rsid w:val="003F6BEB"/>
    <w:rsid w:val="003F6D96"/>
    <w:rsid w:val="003F7CB4"/>
    <w:rsid w:val="0040000C"/>
    <w:rsid w:val="004001AC"/>
    <w:rsid w:val="00400F37"/>
    <w:rsid w:val="00400FEC"/>
    <w:rsid w:val="00401224"/>
    <w:rsid w:val="004014EB"/>
    <w:rsid w:val="00401B64"/>
    <w:rsid w:val="00401BA3"/>
    <w:rsid w:val="00401C92"/>
    <w:rsid w:val="004020D0"/>
    <w:rsid w:val="00402869"/>
    <w:rsid w:val="00402920"/>
    <w:rsid w:val="00403B05"/>
    <w:rsid w:val="00403D56"/>
    <w:rsid w:val="00404706"/>
    <w:rsid w:val="00404AF1"/>
    <w:rsid w:val="00404D4D"/>
    <w:rsid w:val="004052E0"/>
    <w:rsid w:val="00406302"/>
    <w:rsid w:val="004074F9"/>
    <w:rsid w:val="00407D40"/>
    <w:rsid w:val="00410880"/>
    <w:rsid w:val="004108D8"/>
    <w:rsid w:val="004109D4"/>
    <w:rsid w:val="00411277"/>
    <w:rsid w:val="0041172F"/>
    <w:rsid w:val="00411A44"/>
    <w:rsid w:val="00411AB7"/>
    <w:rsid w:val="0041217B"/>
    <w:rsid w:val="004138CC"/>
    <w:rsid w:val="00413D8A"/>
    <w:rsid w:val="00414E6B"/>
    <w:rsid w:val="004156F3"/>
    <w:rsid w:val="00416ECF"/>
    <w:rsid w:val="00416F2D"/>
    <w:rsid w:val="0041775D"/>
    <w:rsid w:val="00417F88"/>
    <w:rsid w:val="00417FCD"/>
    <w:rsid w:val="00421FC9"/>
    <w:rsid w:val="004223F3"/>
    <w:rsid w:val="00422D59"/>
    <w:rsid w:val="00423053"/>
    <w:rsid w:val="00423243"/>
    <w:rsid w:val="0042351A"/>
    <w:rsid w:val="00423693"/>
    <w:rsid w:val="0042403B"/>
    <w:rsid w:val="004242BA"/>
    <w:rsid w:val="00424778"/>
    <w:rsid w:val="00425422"/>
    <w:rsid w:val="00427F46"/>
    <w:rsid w:val="0043017B"/>
    <w:rsid w:val="00430401"/>
    <w:rsid w:val="00430E4A"/>
    <w:rsid w:val="00430FDD"/>
    <w:rsid w:val="00431BB3"/>
    <w:rsid w:val="00432250"/>
    <w:rsid w:val="0043228D"/>
    <w:rsid w:val="00433994"/>
    <w:rsid w:val="004341A2"/>
    <w:rsid w:val="0043452C"/>
    <w:rsid w:val="004358BD"/>
    <w:rsid w:val="00435EAF"/>
    <w:rsid w:val="0043649B"/>
    <w:rsid w:val="00436BAE"/>
    <w:rsid w:val="0043757C"/>
    <w:rsid w:val="004375D0"/>
    <w:rsid w:val="00437FFE"/>
    <w:rsid w:val="00440012"/>
    <w:rsid w:val="0044067E"/>
    <w:rsid w:val="00440939"/>
    <w:rsid w:val="004412C4"/>
    <w:rsid w:val="004422A1"/>
    <w:rsid w:val="0044257E"/>
    <w:rsid w:val="004432D9"/>
    <w:rsid w:val="00443A22"/>
    <w:rsid w:val="00444BC6"/>
    <w:rsid w:val="004455E4"/>
    <w:rsid w:val="004457C1"/>
    <w:rsid w:val="0044607E"/>
    <w:rsid w:val="00447CD6"/>
    <w:rsid w:val="00447E6D"/>
    <w:rsid w:val="00450316"/>
    <w:rsid w:val="0045032D"/>
    <w:rsid w:val="004508E5"/>
    <w:rsid w:val="00450ED1"/>
    <w:rsid w:val="00452EFF"/>
    <w:rsid w:val="00455921"/>
    <w:rsid w:val="00455AE1"/>
    <w:rsid w:val="00455C16"/>
    <w:rsid w:val="0045641D"/>
    <w:rsid w:val="00456874"/>
    <w:rsid w:val="00457322"/>
    <w:rsid w:val="00457675"/>
    <w:rsid w:val="00457BED"/>
    <w:rsid w:val="004609BC"/>
    <w:rsid w:val="004619A7"/>
    <w:rsid w:val="00462738"/>
    <w:rsid w:val="004635A5"/>
    <w:rsid w:val="0046413B"/>
    <w:rsid w:val="00464E6E"/>
    <w:rsid w:val="0046520D"/>
    <w:rsid w:val="00465417"/>
    <w:rsid w:val="00465C06"/>
    <w:rsid w:val="00466257"/>
    <w:rsid w:val="0046659C"/>
    <w:rsid w:val="00466A64"/>
    <w:rsid w:val="00466D5C"/>
    <w:rsid w:val="00466E16"/>
    <w:rsid w:val="00466EA8"/>
    <w:rsid w:val="00467B00"/>
    <w:rsid w:val="0047006B"/>
    <w:rsid w:val="0047030A"/>
    <w:rsid w:val="004714F3"/>
    <w:rsid w:val="004727CD"/>
    <w:rsid w:val="004730CA"/>
    <w:rsid w:val="00473E1E"/>
    <w:rsid w:val="0047442B"/>
    <w:rsid w:val="00474521"/>
    <w:rsid w:val="00474B59"/>
    <w:rsid w:val="00475ECB"/>
    <w:rsid w:val="00476E70"/>
    <w:rsid w:val="004774C1"/>
    <w:rsid w:val="00477745"/>
    <w:rsid w:val="004777B8"/>
    <w:rsid w:val="00477E15"/>
    <w:rsid w:val="004800CD"/>
    <w:rsid w:val="0048013D"/>
    <w:rsid w:val="004807D9"/>
    <w:rsid w:val="00481833"/>
    <w:rsid w:val="004825CA"/>
    <w:rsid w:val="00482655"/>
    <w:rsid w:val="00482910"/>
    <w:rsid w:val="00482959"/>
    <w:rsid w:val="00482E0D"/>
    <w:rsid w:val="00483837"/>
    <w:rsid w:val="0048442E"/>
    <w:rsid w:val="004847FF"/>
    <w:rsid w:val="004848A7"/>
    <w:rsid w:val="00484D8E"/>
    <w:rsid w:val="00484E70"/>
    <w:rsid w:val="004862A0"/>
    <w:rsid w:val="00487FF2"/>
    <w:rsid w:val="0049074E"/>
    <w:rsid w:val="0049076B"/>
    <w:rsid w:val="00490776"/>
    <w:rsid w:val="00490778"/>
    <w:rsid w:val="00490784"/>
    <w:rsid w:val="004909D5"/>
    <w:rsid w:val="004913E2"/>
    <w:rsid w:val="00491632"/>
    <w:rsid w:val="00491C1A"/>
    <w:rsid w:val="004929A9"/>
    <w:rsid w:val="00492B84"/>
    <w:rsid w:val="00494535"/>
    <w:rsid w:val="00494CF5"/>
    <w:rsid w:val="004950F0"/>
    <w:rsid w:val="00496079"/>
    <w:rsid w:val="0049684B"/>
    <w:rsid w:val="00496C1D"/>
    <w:rsid w:val="00496C1E"/>
    <w:rsid w:val="00496E2D"/>
    <w:rsid w:val="004976D0"/>
    <w:rsid w:val="00497C06"/>
    <w:rsid w:val="00497E32"/>
    <w:rsid w:val="004A089B"/>
    <w:rsid w:val="004A13E3"/>
    <w:rsid w:val="004A30F5"/>
    <w:rsid w:val="004A3733"/>
    <w:rsid w:val="004A4196"/>
    <w:rsid w:val="004A41EE"/>
    <w:rsid w:val="004A4315"/>
    <w:rsid w:val="004A4D68"/>
    <w:rsid w:val="004A5A2A"/>
    <w:rsid w:val="004A75FF"/>
    <w:rsid w:val="004A7AC1"/>
    <w:rsid w:val="004B0A99"/>
    <w:rsid w:val="004B0D5C"/>
    <w:rsid w:val="004B2E2F"/>
    <w:rsid w:val="004B33CB"/>
    <w:rsid w:val="004B3A21"/>
    <w:rsid w:val="004B3B22"/>
    <w:rsid w:val="004B4273"/>
    <w:rsid w:val="004B4A41"/>
    <w:rsid w:val="004B4AA3"/>
    <w:rsid w:val="004B4B2F"/>
    <w:rsid w:val="004B5D38"/>
    <w:rsid w:val="004B71BB"/>
    <w:rsid w:val="004B7FFB"/>
    <w:rsid w:val="004C0590"/>
    <w:rsid w:val="004C0978"/>
    <w:rsid w:val="004C0B53"/>
    <w:rsid w:val="004C0E20"/>
    <w:rsid w:val="004C100E"/>
    <w:rsid w:val="004C13CB"/>
    <w:rsid w:val="004C1639"/>
    <w:rsid w:val="004C1DE0"/>
    <w:rsid w:val="004C25A1"/>
    <w:rsid w:val="004C3821"/>
    <w:rsid w:val="004C465E"/>
    <w:rsid w:val="004C4A6B"/>
    <w:rsid w:val="004C4CA2"/>
    <w:rsid w:val="004C579E"/>
    <w:rsid w:val="004C5F6E"/>
    <w:rsid w:val="004C6139"/>
    <w:rsid w:val="004C6520"/>
    <w:rsid w:val="004C6B36"/>
    <w:rsid w:val="004C6C15"/>
    <w:rsid w:val="004C7204"/>
    <w:rsid w:val="004C7502"/>
    <w:rsid w:val="004D0806"/>
    <w:rsid w:val="004D0EF0"/>
    <w:rsid w:val="004D133C"/>
    <w:rsid w:val="004D1807"/>
    <w:rsid w:val="004D18AB"/>
    <w:rsid w:val="004D1E74"/>
    <w:rsid w:val="004D3C4C"/>
    <w:rsid w:val="004D405C"/>
    <w:rsid w:val="004D421C"/>
    <w:rsid w:val="004D4663"/>
    <w:rsid w:val="004D4F2E"/>
    <w:rsid w:val="004D53AD"/>
    <w:rsid w:val="004D58B9"/>
    <w:rsid w:val="004D64A3"/>
    <w:rsid w:val="004D7013"/>
    <w:rsid w:val="004D7053"/>
    <w:rsid w:val="004E03FD"/>
    <w:rsid w:val="004E042A"/>
    <w:rsid w:val="004E161A"/>
    <w:rsid w:val="004E1902"/>
    <w:rsid w:val="004E1950"/>
    <w:rsid w:val="004E1D5D"/>
    <w:rsid w:val="004E2185"/>
    <w:rsid w:val="004E22F4"/>
    <w:rsid w:val="004E292A"/>
    <w:rsid w:val="004E373C"/>
    <w:rsid w:val="004E3E51"/>
    <w:rsid w:val="004E4689"/>
    <w:rsid w:val="004E48E2"/>
    <w:rsid w:val="004E52E8"/>
    <w:rsid w:val="004E5733"/>
    <w:rsid w:val="004E5ACD"/>
    <w:rsid w:val="004E603E"/>
    <w:rsid w:val="004E633C"/>
    <w:rsid w:val="004E7448"/>
    <w:rsid w:val="004E74B4"/>
    <w:rsid w:val="004E782F"/>
    <w:rsid w:val="004E784A"/>
    <w:rsid w:val="004E7B54"/>
    <w:rsid w:val="004E7D39"/>
    <w:rsid w:val="004E7F81"/>
    <w:rsid w:val="004E7FAB"/>
    <w:rsid w:val="004F154F"/>
    <w:rsid w:val="004F1C3D"/>
    <w:rsid w:val="004F2148"/>
    <w:rsid w:val="004F22E5"/>
    <w:rsid w:val="004F2BAB"/>
    <w:rsid w:val="004F3FE9"/>
    <w:rsid w:val="004F48BB"/>
    <w:rsid w:val="004F5260"/>
    <w:rsid w:val="004F5528"/>
    <w:rsid w:val="004F5984"/>
    <w:rsid w:val="004F65FB"/>
    <w:rsid w:val="004F6C56"/>
    <w:rsid w:val="004F6EB7"/>
    <w:rsid w:val="004F7215"/>
    <w:rsid w:val="00500263"/>
    <w:rsid w:val="00500649"/>
    <w:rsid w:val="0050165F"/>
    <w:rsid w:val="00501B17"/>
    <w:rsid w:val="00501F86"/>
    <w:rsid w:val="00502112"/>
    <w:rsid w:val="0050226B"/>
    <w:rsid w:val="00502D32"/>
    <w:rsid w:val="00503754"/>
    <w:rsid w:val="00503C0D"/>
    <w:rsid w:val="00503FCC"/>
    <w:rsid w:val="005045F7"/>
    <w:rsid w:val="005048E3"/>
    <w:rsid w:val="00504D20"/>
    <w:rsid w:val="005052C3"/>
    <w:rsid w:val="005052D6"/>
    <w:rsid w:val="005053B1"/>
    <w:rsid w:val="00505612"/>
    <w:rsid w:val="00505822"/>
    <w:rsid w:val="0050649D"/>
    <w:rsid w:val="0050650E"/>
    <w:rsid w:val="00506DF0"/>
    <w:rsid w:val="00507712"/>
    <w:rsid w:val="005078DA"/>
    <w:rsid w:val="00510A55"/>
    <w:rsid w:val="0051123A"/>
    <w:rsid w:val="00511AB3"/>
    <w:rsid w:val="005121D9"/>
    <w:rsid w:val="0051256E"/>
    <w:rsid w:val="0051284F"/>
    <w:rsid w:val="0051299D"/>
    <w:rsid w:val="00512F19"/>
    <w:rsid w:val="005132E7"/>
    <w:rsid w:val="00513BF3"/>
    <w:rsid w:val="0051416A"/>
    <w:rsid w:val="00514755"/>
    <w:rsid w:val="005153AE"/>
    <w:rsid w:val="0051605B"/>
    <w:rsid w:val="00516727"/>
    <w:rsid w:val="00516FBE"/>
    <w:rsid w:val="005173A1"/>
    <w:rsid w:val="00517FBD"/>
    <w:rsid w:val="00520EE1"/>
    <w:rsid w:val="00522279"/>
    <w:rsid w:val="0052231A"/>
    <w:rsid w:val="00522BDA"/>
    <w:rsid w:val="00524204"/>
    <w:rsid w:val="00524D35"/>
    <w:rsid w:val="0052524A"/>
    <w:rsid w:val="0052563D"/>
    <w:rsid w:val="00525F09"/>
    <w:rsid w:val="0052620A"/>
    <w:rsid w:val="005267EC"/>
    <w:rsid w:val="005271DA"/>
    <w:rsid w:val="005275A6"/>
    <w:rsid w:val="00527730"/>
    <w:rsid w:val="005301B9"/>
    <w:rsid w:val="00531654"/>
    <w:rsid w:val="00531694"/>
    <w:rsid w:val="00531A6F"/>
    <w:rsid w:val="00532419"/>
    <w:rsid w:val="0053258E"/>
    <w:rsid w:val="005327DE"/>
    <w:rsid w:val="0053308A"/>
    <w:rsid w:val="00533815"/>
    <w:rsid w:val="0053397E"/>
    <w:rsid w:val="00533A31"/>
    <w:rsid w:val="00533A6D"/>
    <w:rsid w:val="00534106"/>
    <w:rsid w:val="00535358"/>
    <w:rsid w:val="005354B1"/>
    <w:rsid w:val="00536820"/>
    <w:rsid w:val="00537EE9"/>
    <w:rsid w:val="0054145D"/>
    <w:rsid w:val="00541484"/>
    <w:rsid w:val="00542219"/>
    <w:rsid w:val="00543549"/>
    <w:rsid w:val="0054361A"/>
    <w:rsid w:val="00544178"/>
    <w:rsid w:val="00544B36"/>
    <w:rsid w:val="00544C02"/>
    <w:rsid w:val="00545ABD"/>
    <w:rsid w:val="00546067"/>
    <w:rsid w:val="005464A2"/>
    <w:rsid w:val="00546539"/>
    <w:rsid w:val="0054689A"/>
    <w:rsid w:val="00546922"/>
    <w:rsid w:val="005469E5"/>
    <w:rsid w:val="005473FC"/>
    <w:rsid w:val="00547B49"/>
    <w:rsid w:val="005501CB"/>
    <w:rsid w:val="00550506"/>
    <w:rsid w:val="00550B85"/>
    <w:rsid w:val="00551297"/>
    <w:rsid w:val="00551733"/>
    <w:rsid w:val="00551975"/>
    <w:rsid w:val="00551CF5"/>
    <w:rsid w:val="00551CF8"/>
    <w:rsid w:val="00552717"/>
    <w:rsid w:val="00552ADF"/>
    <w:rsid w:val="00553806"/>
    <w:rsid w:val="00553ACC"/>
    <w:rsid w:val="00553D08"/>
    <w:rsid w:val="00553F82"/>
    <w:rsid w:val="0055478B"/>
    <w:rsid w:val="005547C4"/>
    <w:rsid w:val="00554CCD"/>
    <w:rsid w:val="00556365"/>
    <w:rsid w:val="00556626"/>
    <w:rsid w:val="0055700D"/>
    <w:rsid w:val="005578B1"/>
    <w:rsid w:val="00557A8B"/>
    <w:rsid w:val="0056128B"/>
    <w:rsid w:val="00563535"/>
    <w:rsid w:val="00564256"/>
    <w:rsid w:val="00565603"/>
    <w:rsid w:val="00565684"/>
    <w:rsid w:val="00565DFE"/>
    <w:rsid w:val="0056748A"/>
    <w:rsid w:val="00567E1C"/>
    <w:rsid w:val="005703AE"/>
    <w:rsid w:val="0057101C"/>
    <w:rsid w:val="00571561"/>
    <w:rsid w:val="00571D79"/>
    <w:rsid w:val="00571DB0"/>
    <w:rsid w:val="005723FE"/>
    <w:rsid w:val="00572594"/>
    <w:rsid w:val="00572F29"/>
    <w:rsid w:val="0057363B"/>
    <w:rsid w:val="00574AE3"/>
    <w:rsid w:val="0057578A"/>
    <w:rsid w:val="005758CE"/>
    <w:rsid w:val="00576374"/>
    <w:rsid w:val="00577032"/>
    <w:rsid w:val="0057740B"/>
    <w:rsid w:val="0057745B"/>
    <w:rsid w:val="0058077E"/>
    <w:rsid w:val="00582645"/>
    <w:rsid w:val="00582C89"/>
    <w:rsid w:val="00583553"/>
    <w:rsid w:val="00583EBB"/>
    <w:rsid w:val="00584817"/>
    <w:rsid w:val="00584842"/>
    <w:rsid w:val="00584D9E"/>
    <w:rsid w:val="00586F59"/>
    <w:rsid w:val="00587880"/>
    <w:rsid w:val="00590B28"/>
    <w:rsid w:val="00590C5B"/>
    <w:rsid w:val="00590F58"/>
    <w:rsid w:val="005914B6"/>
    <w:rsid w:val="005919D1"/>
    <w:rsid w:val="005923E4"/>
    <w:rsid w:val="00592423"/>
    <w:rsid w:val="0059300E"/>
    <w:rsid w:val="0059425A"/>
    <w:rsid w:val="00594753"/>
    <w:rsid w:val="00595233"/>
    <w:rsid w:val="00595DEF"/>
    <w:rsid w:val="005963A5"/>
    <w:rsid w:val="005972F4"/>
    <w:rsid w:val="00597389"/>
    <w:rsid w:val="005A047E"/>
    <w:rsid w:val="005A0740"/>
    <w:rsid w:val="005A0C18"/>
    <w:rsid w:val="005A13C1"/>
    <w:rsid w:val="005A1AF2"/>
    <w:rsid w:val="005A25C5"/>
    <w:rsid w:val="005A38EA"/>
    <w:rsid w:val="005A46F8"/>
    <w:rsid w:val="005A5F71"/>
    <w:rsid w:val="005A70C0"/>
    <w:rsid w:val="005A70C1"/>
    <w:rsid w:val="005A7276"/>
    <w:rsid w:val="005A7BB7"/>
    <w:rsid w:val="005B0A95"/>
    <w:rsid w:val="005B0E92"/>
    <w:rsid w:val="005B1744"/>
    <w:rsid w:val="005B17AE"/>
    <w:rsid w:val="005B2392"/>
    <w:rsid w:val="005B2BE5"/>
    <w:rsid w:val="005B2C50"/>
    <w:rsid w:val="005B32E5"/>
    <w:rsid w:val="005B3957"/>
    <w:rsid w:val="005B44E5"/>
    <w:rsid w:val="005B4563"/>
    <w:rsid w:val="005B46B9"/>
    <w:rsid w:val="005B4CBE"/>
    <w:rsid w:val="005B5032"/>
    <w:rsid w:val="005B5891"/>
    <w:rsid w:val="005B58A9"/>
    <w:rsid w:val="005B5B0F"/>
    <w:rsid w:val="005B72D9"/>
    <w:rsid w:val="005B7977"/>
    <w:rsid w:val="005B7D7E"/>
    <w:rsid w:val="005C3016"/>
    <w:rsid w:val="005C3236"/>
    <w:rsid w:val="005C3FD8"/>
    <w:rsid w:val="005C409A"/>
    <w:rsid w:val="005C4712"/>
    <w:rsid w:val="005C5741"/>
    <w:rsid w:val="005C6974"/>
    <w:rsid w:val="005C6C47"/>
    <w:rsid w:val="005C6F3E"/>
    <w:rsid w:val="005C7020"/>
    <w:rsid w:val="005C76D5"/>
    <w:rsid w:val="005D0983"/>
    <w:rsid w:val="005D0AEA"/>
    <w:rsid w:val="005D15DA"/>
    <w:rsid w:val="005D2EF4"/>
    <w:rsid w:val="005D4811"/>
    <w:rsid w:val="005D48B9"/>
    <w:rsid w:val="005D5093"/>
    <w:rsid w:val="005D57B2"/>
    <w:rsid w:val="005D5C3C"/>
    <w:rsid w:val="005D78F7"/>
    <w:rsid w:val="005E018D"/>
    <w:rsid w:val="005E0B43"/>
    <w:rsid w:val="005E17A9"/>
    <w:rsid w:val="005E2084"/>
    <w:rsid w:val="005E2181"/>
    <w:rsid w:val="005E259E"/>
    <w:rsid w:val="005E302D"/>
    <w:rsid w:val="005E3B59"/>
    <w:rsid w:val="005E3BE1"/>
    <w:rsid w:val="005E4C78"/>
    <w:rsid w:val="005E4F3C"/>
    <w:rsid w:val="005E51E6"/>
    <w:rsid w:val="005E523B"/>
    <w:rsid w:val="005E6C66"/>
    <w:rsid w:val="005E7B70"/>
    <w:rsid w:val="005F0EEC"/>
    <w:rsid w:val="005F0F40"/>
    <w:rsid w:val="005F1765"/>
    <w:rsid w:val="005F2AE2"/>
    <w:rsid w:val="005F2CDA"/>
    <w:rsid w:val="005F2DD4"/>
    <w:rsid w:val="005F328B"/>
    <w:rsid w:val="005F3716"/>
    <w:rsid w:val="005F39DB"/>
    <w:rsid w:val="005F4145"/>
    <w:rsid w:val="005F46A0"/>
    <w:rsid w:val="005F5204"/>
    <w:rsid w:val="005F5770"/>
    <w:rsid w:val="005F5A61"/>
    <w:rsid w:val="005F6516"/>
    <w:rsid w:val="005F7288"/>
    <w:rsid w:val="005F75EF"/>
    <w:rsid w:val="005F77E3"/>
    <w:rsid w:val="00600042"/>
    <w:rsid w:val="006001B9"/>
    <w:rsid w:val="0060129D"/>
    <w:rsid w:val="006012E9"/>
    <w:rsid w:val="006021E1"/>
    <w:rsid w:val="00602E0E"/>
    <w:rsid w:val="0060362B"/>
    <w:rsid w:val="00603B2F"/>
    <w:rsid w:val="00604060"/>
    <w:rsid w:val="00604184"/>
    <w:rsid w:val="006041E7"/>
    <w:rsid w:val="006047A9"/>
    <w:rsid w:val="00604CD8"/>
    <w:rsid w:val="00605101"/>
    <w:rsid w:val="006058C6"/>
    <w:rsid w:val="00605B7A"/>
    <w:rsid w:val="006062F4"/>
    <w:rsid w:val="006100E0"/>
    <w:rsid w:val="00610465"/>
    <w:rsid w:val="00610600"/>
    <w:rsid w:val="006106EB"/>
    <w:rsid w:val="00611364"/>
    <w:rsid w:val="00612E7A"/>
    <w:rsid w:val="006130D3"/>
    <w:rsid w:val="006147F3"/>
    <w:rsid w:val="0061539E"/>
    <w:rsid w:val="00615AD6"/>
    <w:rsid w:val="0061647C"/>
    <w:rsid w:val="006165CC"/>
    <w:rsid w:val="006166CA"/>
    <w:rsid w:val="00616BD8"/>
    <w:rsid w:val="00616CD8"/>
    <w:rsid w:val="00617D51"/>
    <w:rsid w:val="00617EEA"/>
    <w:rsid w:val="00620734"/>
    <w:rsid w:val="0062091A"/>
    <w:rsid w:val="006216F5"/>
    <w:rsid w:val="00621D7F"/>
    <w:rsid w:val="00621F82"/>
    <w:rsid w:val="0062220B"/>
    <w:rsid w:val="00622EC2"/>
    <w:rsid w:val="00622EFC"/>
    <w:rsid w:val="006231C9"/>
    <w:rsid w:val="006235D5"/>
    <w:rsid w:val="006244D6"/>
    <w:rsid w:val="00624A9D"/>
    <w:rsid w:val="006261C5"/>
    <w:rsid w:val="006309AA"/>
    <w:rsid w:val="00630DF9"/>
    <w:rsid w:val="00630F37"/>
    <w:rsid w:val="00631111"/>
    <w:rsid w:val="0063140D"/>
    <w:rsid w:val="00631A84"/>
    <w:rsid w:val="006325A7"/>
    <w:rsid w:val="006332E8"/>
    <w:rsid w:val="006336A5"/>
    <w:rsid w:val="0063424A"/>
    <w:rsid w:val="00635087"/>
    <w:rsid w:val="006353DD"/>
    <w:rsid w:val="00635582"/>
    <w:rsid w:val="00635750"/>
    <w:rsid w:val="00635D5B"/>
    <w:rsid w:val="00636B79"/>
    <w:rsid w:val="00636CA9"/>
    <w:rsid w:val="00636E18"/>
    <w:rsid w:val="006375F2"/>
    <w:rsid w:val="00637657"/>
    <w:rsid w:val="00640C68"/>
    <w:rsid w:val="00641318"/>
    <w:rsid w:val="00643717"/>
    <w:rsid w:val="0064386A"/>
    <w:rsid w:val="00643B9E"/>
    <w:rsid w:val="00643DBD"/>
    <w:rsid w:val="00644388"/>
    <w:rsid w:val="0064578A"/>
    <w:rsid w:val="006457B4"/>
    <w:rsid w:val="00647426"/>
    <w:rsid w:val="006504F4"/>
    <w:rsid w:val="00650AAA"/>
    <w:rsid w:val="00650E7E"/>
    <w:rsid w:val="006521DC"/>
    <w:rsid w:val="0065237B"/>
    <w:rsid w:val="00652A72"/>
    <w:rsid w:val="00653B70"/>
    <w:rsid w:val="00654992"/>
    <w:rsid w:val="00655E7A"/>
    <w:rsid w:val="006563A1"/>
    <w:rsid w:val="00657043"/>
    <w:rsid w:val="006570CC"/>
    <w:rsid w:val="006571EE"/>
    <w:rsid w:val="0065723C"/>
    <w:rsid w:val="00657513"/>
    <w:rsid w:val="00657527"/>
    <w:rsid w:val="00657609"/>
    <w:rsid w:val="006576AA"/>
    <w:rsid w:val="00660227"/>
    <w:rsid w:val="006602E3"/>
    <w:rsid w:val="00661663"/>
    <w:rsid w:val="006625C0"/>
    <w:rsid w:val="00662924"/>
    <w:rsid w:val="00662BB9"/>
    <w:rsid w:val="00664A98"/>
    <w:rsid w:val="00664B42"/>
    <w:rsid w:val="00664CC2"/>
    <w:rsid w:val="0066501A"/>
    <w:rsid w:val="00665273"/>
    <w:rsid w:val="00665298"/>
    <w:rsid w:val="00665507"/>
    <w:rsid w:val="0066673D"/>
    <w:rsid w:val="00666831"/>
    <w:rsid w:val="00667295"/>
    <w:rsid w:val="00667CB0"/>
    <w:rsid w:val="006708B5"/>
    <w:rsid w:val="00670ACF"/>
    <w:rsid w:val="00671368"/>
    <w:rsid w:val="00671A6C"/>
    <w:rsid w:val="00672237"/>
    <w:rsid w:val="0067267A"/>
    <w:rsid w:val="00673008"/>
    <w:rsid w:val="006734A3"/>
    <w:rsid w:val="00673E25"/>
    <w:rsid w:val="00674740"/>
    <w:rsid w:val="00674FE2"/>
    <w:rsid w:val="0067508B"/>
    <w:rsid w:val="006750FF"/>
    <w:rsid w:val="00675101"/>
    <w:rsid w:val="006753D1"/>
    <w:rsid w:val="00675646"/>
    <w:rsid w:val="00675C96"/>
    <w:rsid w:val="0067633B"/>
    <w:rsid w:val="006802DC"/>
    <w:rsid w:val="006803C9"/>
    <w:rsid w:val="006811B3"/>
    <w:rsid w:val="006817A4"/>
    <w:rsid w:val="00681A86"/>
    <w:rsid w:val="00681E8D"/>
    <w:rsid w:val="00682815"/>
    <w:rsid w:val="00682AB6"/>
    <w:rsid w:val="006834C7"/>
    <w:rsid w:val="006843D5"/>
    <w:rsid w:val="0068477F"/>
    <w:rsid w:val="00686189"/>
    <w:rsid w:val="00686DF6"/>
    <w:rsid w:val="00687173"/>
    <w:rsid w:val="006874A4"/>
    <w:rsid w:val="00687CFA"/>
    <w:rsid w:val="00687F31"/>
    <w:rsid w:val="00687FC9"/>
    <w:rsid w:val="00690231"/>
    <w:rsid w:val="00690320"/>
    <w:rsid w:val="006903A3"/>
    <w:rsid w:val="00690765"/>
    <w:rsid w:val="00690A11"/>
    <w:rsid w:val="00690D20"/>
    <w:rsid w:val="006918E1"/>
    <w:rsid w:val="006919FD"/>
    <w:rsid w:val="00691E58"/>
    <w:rsid w:val="006924B8"/>
    <w:rsid w:val="00692603"/>
    <w:rsid w:val="00692DB3"/>
    <w:rsid w:val="00692FCB"/>
    <w:rsid w:val="00693421"/>
    <w:rsid w:val="00693947"/>
    <w:rsid w:val="00693A87"/>
    <w:rsid w:val="00694D84"/>
    <w:rsid w:val="00695699"/>
    <w:rsid w:val="00696103"/>
    <w:rsid w:val="0069613B"/>
    <w:rsid w:val="006973DA"/>
    <w:rsid w:val="00697966"/>
    <w:rsid w:val="006A0600"/>
    <w:rsid w:val="006A17CA"/>
    <w:rsid w:val="006A1C0F"/>
    <w:rsid w:val="006A2BD8"/>
    <w:rsid w:val="006A2E83"/>
    <w:rsid w:val="006A3196"/>
    <w:rsid w:val="006A4B9E"/>
    <w:rsid w:val="006A4F2F"/>
    <w:rsid w:val="006A56CC"/>
    <w:rsid w:val="006A56CD"/>
    <w:rsid w:val="006A5FD5"/>
    <w:rsid w:val="006A603F"/>
    <w:rsid w:val="006A65CA"/>
    <w:rsid w:val="006A71EC"/>
    <w:rsid w:val="006A7DA6"/>
    <w:rsid w:val="006B087A"/>
    <w:rsid w:val="006B1D2F"/>
    <w:rsid w:val="006B1FB4"/>
    <w:rsid w:val="006B2382"/>
    <w:rsid w:val="006B3461"/>
    <w:rsid w:val="006B41DE"/>
    <w:rsid w:val="006B422F"/>
    <w:rsid w:val="006B4E36"/>
    <w:rsid w:val="006B5E4D"/>
    <w:rsid w:val="006B60DE"/>
    <w:rsid w:val="006B6B1C"/>
    <w:rsid w:val="006B788A"/>
    <w:rsid w:val="006C001D"/>
    <w:rsid w:val="006C0857"/>
    <w:rsid w:val="006C1CC1"/>
    <w:rsid w:val="006C1F88"/>
    <w:rsid w:val="006C3591"/>
    <w:rsid w:val="006C364F"/>
    <w:rsid w:val="006C3991"/>
    <w:rsid w:val="006C435C"/>
    <w:rsid w:val="006C583D"/>
    <w:rsid w:val="006C5AB0"/>
    <w:rsid w:val="006C638C"/>
    <w:rsid w:val="006C69CF"/>
    <w:rsid w:val="006C714B"/>
    <w:rsid w:val="006C7C93"/>
    <w:rsid w:val="006D00C8"/>
    <w:rsid w:val="006D0B1B"/>
    <w:rsid w:val="006D0E86"/>
    <w:rsid w:val="006D237E"/>
    <w:rsid w:val="006D23BA"/>
    <w:rsid w:val="006D24C8"/>
    <w:rsid w:val="006D2901"/>
    <w:rsid w:val="006D35A7"/>
    <w:rsid w:val="006D5B76"/>
    <w:rsid w:val="006D5C4C"/>
    <w:rsid w:val="006D67BB"/>
    <w:rsid w:val="006D6F6D"/>
    <w:rsid w:val="006D7207"/>
    <w:rsid w:val="006E1F7A"/>
    <w:rsid w:val="006E2E11"/>
    <w:rsid w:val="006E393F"/>
    <w:rsid w:val="006E3B66"/>
    <w:rsid w:val="006E41DE"/>
    <w:rsid w:val="006E42A6"/>
    <w:rsid w:val="006E4499"/>
    <w:rsid w:val="006E45EC"/>
    <w:rsid w:val="006E506E"/>
    <w:rsid w:val="006E5242"/>
    <w:rsid w:val="006E53DA"/>
    <w:rsid w:val="006E5FE3"/>
    <w:rsid w:val="006E6E88"/>
    <w:rsid w:val="006E700A"/>
    <w:rsid w:val="006E72EF"/>
    <w:rsid w:val="006F0D07"/>
    <w:rsid w:val="006F13AC"/>
    <w:rsid w:val="006F1E0B"/>
    <w:rsid w:val="006F2009"/>
    <w:rsid w:val="006F24C9"/>
    <w:rsid w:val="006F2F76"/>
    <w:rsid w:val="006F39D0"/>
    <w:rsid w:val="006F3F03"/>
    <w:rsid w:val="006F4BA8"/>
    <w:rsid w:val="006F5004"/>
    <w:rsid w:val="006F5062"/>
    <w:rsid w:val="006F53D5"/>
    <w:rsid w:val="006F61EA"/>
    <w:rsid w:val="006F642D"/>
    <w:rsid w:val="006F77F3"/>
    <w:rsid w:val="0070005C"/>
    <w:rsid w:val="00700064"/>
    <w:rsid w:val="007004DD"/>
    <w:rsid w:val="0070243C"/>
    <w:rsid w:val="00702874"/>
    <w:rsid w:val="00702F89"/>
    <w:rsid w:val="00703966"/>
    <w:rsid w:val="007039AC"/>
    <w:rsid w:val="00704193"/>
    <w:rsid w:val="00705636"/>
    <w:rsid w:val="00705FCB"/>
    <w:rsid w:val="007066D7"/>
    <w:rsid w:val="0070788C"/>
    <w:rsid w:val="0070795F"/>
    <w:rsid w:val="00707989"/>
    <w:rsid w:val="00707C10"/>
    <w:rsid w:val="00707DA8"/>
    <w:rsid w:val="00707F33"/>
    <w:rsid w:val="00710266"/>
    <w:rsid w:val="00710359"/>
    <w:rsid w:val="0071136E"/>
    <w:rsid w:val="00712182"/>
    <w:rsid w:val="007132AF"/>
    <w:rsid w:val="00713723"/>
    <w:rsid w:val="00713990"/>
    <w:rsid w:val="00714089"/>
    <w:rsid w:val="00715244"/>
    <w:rsid w:val="00715623"/>
    <w:rsid w:val="00715CEA"/>
    <w:rsid w:val="00715EE1"/>
    <w:rsid w:val="007161C1"/>
    <w:rsid w:val="00716D56"/>
    <w:rsid w:val="0071742C"/>
    <w:rsid w:val="007205B3"/>
    <w:rsid w:val="007213A8"/>
    <w:rsid w:val="007222D2"/>
    <w:rsid w:val="0072232D"/>
    <w:rsid w:val="007227EC"/>
    <w:rsid w:val="00722AAC"/>
    <w:rsid w:val="00722B46"/>
    <w:rsid w:val="00722DBA"/>
    <w:rsid w:val="0072304A"/>
    <w:rsid w:val="00723325"/>
    <w:rsid w:val="00723F1A"/>
    <w:rsid w:val="0072448E"/>
    <w:rsid w:val="00725353"/>
    <w:rsid w:val="007268F6"/>
    <w:rsid w:val="00726D2D"/>
    <w:rsid w:val="00726D59"/>
    <w:rsid w:val="00727DFC"/>
    <w:rsid w:val="0073075A"/>
    <w:rsid w:val="0073084F"/>
    <w:rsid w:val="00730E34"/>
    <w:rsid w:val="00730F40"/>
    <w:rsid w:val="00731468"/>
    <w:rsid w:val="00733FFE"/>
    <w:rsid w:val="00734312"/>
    <w:rsid w:val="00734BEF"/>
    <w:rsid w:val="00735AF3"/>
    <w:rsid w:val="00735B36"/>
    <w:rsid w:val="00735C61"/>
    <w:rsid w:val="00736156"/>
    <w:rsid w:val="00736385"/>
    <w:rsid w:val="00736783"/>
    <w:rsid w:val="00736B2F"/>
    <w:rsid w:val="00737676"/>
    <w:rsid w:val="00737FD1"/>
    <w:rsid w:val="007400F0"/>
    <w:rsid w:val="00740A28"/>
    <w:rsid w:val="00741835"/>
    <w:rsid w:val="00741EDE"/>
    <w:rsid w:val="00741F42"/>
    <w:rsid w:val="00742D68"/>
    <w:rsid w:val="00743E79"/>
    <w:rsid w:val="007448BA"/>
    <w:rsid w:val="00745CFB"/>
    <w:rsid w:val="00746580"/>
    <w:rsid w:val="00746CF3"/>
    <w:rsid w:val="00747509"/>
    <w:rsid w:val="00747E51"/>
    <w:rsid w:val="00750747"/>
    <w:rsid w:val="00750D3B"/>
    <w:rsid w:val="0075140C"/>
    <w:rsid w:val="007523D4"/>
    <w:rsid w:val="007541BE"/>
    <w:rsid w:val="007544C2"/>
    <w:rsid w:val="00754814"/>
    <w:rsid w:val="00755187"/>
    <w:rsid w:val="00756B80"/>
    <w:rsid w:val="00756E81"/>
    <w:rsid w:val="00756F96"/>
    <w:rsid w:val="007570FF"/>
    <w:rsid w:val="00757B46"/>
    <w:rsid w:val="00757CEB"/>
    <w:rsid w:val="007601B5"/>
    <w:rsid w:val="00760476"/>
    <w:rsid w:val="007606F7"/>
    <w:rsid w:val="00761222"/>
    <w:rsid w:val="007614D0"/>
    <w:rsid w:val="00761607"/>
    <w:rsid w:val="00761989"/>
    <w:rsid w:val="00761AF2"/>
    <w:rsid w:val="00761D96"/>
    <w:rsid w:val="00762567"/>
    <w:rsid w:val="00762C9F"/>
    <w:rsid w:val="007630A0"/>
    <w:rsid w:val="00763383"/>
    <w:rsid w:val="007637A0"/>
    <w:rsid w:val="007637DE"/>
    <w:rsid w:val="007652A9"/>
    <w:rsid w:val="00765EAE"/>
    <w:rsid w:val="0076608D"/>
    <w:rsid w:val="00766280"/>
    <w:rsid w:val="007664E7"/>
    <w:rsid w:val="00766767"/>
    <w:rsid w:val="00766EBF"/>
    <w:rsid w:val="007674E1"/>
    <w:rsid w:val="007675DB"/>
    <w:rsid w:val="00770744"/>
    <w:rsid w:val="00770C37"/>
    <w:rsid w:val="007710D6"/>
    <w:rsid w:val="00771C52"/>
    <w:rsid w:val="007722CA"/>
    <w:rsid w:val="007734F6"/>
    <w:rsid w:val="007742F2"/>
    <w:rsid w:val="007749B2"/>
    <w:rsid w:val="00775E78"/>
    <w:rsid w:val="0077681B"/>
    <w:rsid w:val="007777A8"/>
    <w:rsid w:val="00777D44"/>
    <w:rsid w:val="007808E0"/>
    <w:rsid w:val="00780FC3"/>
    <w:rsid w:val="0078168A"/>
    <w:rsid w:val="00781DE4"/>
    <w:rsid w:val="007822F3"/>
    <w:rsid w:val="00782851"/>
    <w:rsid w:val="00782FE3"/>
    <w:rsid w:val="00784849"/>
    <w:rsid w:val="007851BB"/>
    <w:rsid w:val="0078638D"/>
    <w:rsid w:val="00786652"/>
    <w:rsid w:val="00786888"/>
    <w:rsid w:val="007868AE"/>
    <w:rsid w:val="00787030"/>
    <w:rsid w:val="00787550"/>
    <w:rsid w:val="007878C5"/>
    <w:rsid w:val="00787D78"/>
    <w:rsid w:val="00790F2D"/>
    <w:rsid w:val="00791E9E"/>
    <w:rsid w:val="00792380"/>
    <w:rsid w:val="00792644"/>
    <w:rsid w:val="00793361"/>
    <w:rsid w:val="0079465A"/>
    <w:rsid w:val="007956B1"/>
    <w:rsid w:val="00795D2A"/>
    <w:rsid w:val="007969FD"/>
    <w:rsid w:val="007977B0"/>
    <w:rsid w:val="007A2416"/>
    <w:rsid w:val="007A31F5"/>
    <w:rsid w:val="007A50AF"/>
    <w:rsid w:val="007A5215"/>
    <w:rsid w:val="007A5489"/>
    <w:rsid w:val="007A550B"/>
    <w:rsid w:val="007A5738"/>
    <w:rsid w:val="007A5F37"/>
    <w:rsid w:val="007A61D4"/>
    <w:rsid w:val="007A6E8E"/>
    <w:rsid w:val="007A72F3"/>
    <w:rsid w:val="007A778F"/>
    <w:rsid w:val="007B1286"/>
    <w:rsid w:val="007B160B"/>
    <w:rsid w:val="007B1796"/>
    <w:rsid w:val="007B198F"/>
    <w:rsid w:val="007B1CD4"/>
    <w:rsid w:val="007B295F"/>
    <w:rsid w:val="007B297A"/>
    <w:rsid w:val="007B2CAD"/>
    <w:rsid w:val="007B337D"/>
    <w:rsid w:val="007B3D86"/>
    <w:rsid w:val="007B4784"/>
    <w:rsid w:val="007B561C"/>
    <w:rsid w:val="007B5711"/>
    <w:rsid w:val="007B627A"/>
    <w:rsid w:val="007B7C15"/>
    <w:rsid w:val="007C0262"/>
    <w:rsid w:val="007C0DBE"/>
    <w:rsid w:val="007C104F"/>
    <w:rsid w:val="007C12D4"/>
    <w:rsid w:val="007C1675"/>
    <w:rsid w:val="007C246B"/>
    <w:rsid w:val="007C2492"/>
    <w:rsid w:val="007C2B36"/>
    <w:rsid w:val="007C2D0E"/>
    <w:rsid w:val="007C320C"/>
    <w:rsid w:val="007C33F1"/>
    <w:rsid w:val="007C3546"/>
    <w:rsid w:val="007C4E0E"/>
    <w:rsid w:val="007C58C9"/>
    <w:rsid w:val="007C6265"/>
    <w:rsid w:val="007C6A2A"/>
    <w:rsid w:val="007C7D89"/>
    <w:rsid w:val="007D144D"/>
    <w:rsid w:val="007D256C"/>
    <w:rsid w:val="007D2B50"/>
    <w:rsid w:val="007D3C54"/>
    <w:rsid w:val="007D43A0"/>
    <w:rsid w:val="007D510F"/>
    <w:rsid w:val="007D513D"/>
    <w:rsid w:val="007D5B45"/>
    <w:rsid w:val="007D71A8"/>
    <w:rsid w:val="007E0092"/>
    <w:rsid w:val="007E04F1"/>
    <w:rsid w:val="007E11D2"/>
    <w:rsid w:val="007E1D5E"/>
    <w:rsid w:val="007E332E"/>
    <w:rsid w:val="007E3B02"/>
    <w:rsid w:val="007E41CB"/>
    <w:rsid w:val="007E4519"/>
    <w:rsid w:val="007E521D"/>
    <w:rsid w:val="007E5CE2"/>
    <w:rsid w:val="007E61DF"/>
    <w:rsid w:val="007E629B"/>
    <w:rsid w:val="007E6DFB"/>
    <w:rsid w:val="007E7855"/>
    <w:rsid w:val="007F00DF"/>
    <w:rsid w:val="007F0779"/>
    <w:rsid w:val="007F0FEB"/>
    <w:rsid w:val="007F1312"/>
    <w:rsid w:val="007F142A"/>
    <w:rsid w:val="007F1A60"/>
    <w:rsid w:val="007F2765"/>
    <w:rsid w:val="007F27BA"/>
    <w:rsid w:val="007F27C8"/>
    <w:rsid w:val="007F2DBF"/>
    <w:rsid w:val="007F30C7"/>
    <w:rsid w:val="007F3DEA"/>
    <w:rsid w:val="007F40B9"/>
    <w:rsid w:val="007F58CD"/>
    <w:rsid w:val="007F63AA"/>
    <w:rsid w:val="007F72A4"/>
    <w:rsid w:val="007F75D6"/>
    <w:rsid w:val="007F762D"/>
    <w:rsid w:val="00800A99"/>
    <w:rsid w:val="00800B6A"/>
    <w:rsid w:val="00801063"/>
    <w:rsid w:val="00801394"/>
    <w:rsid w:val="008014BA"/>
    <w:rsid w:val="00801662"/>
    <w:rsid w:val="00802EFB"/>
    <w:rsid w:val="008042B1"/>
    <w:rsid w:val="008049BC"/>
    <w:rsid w:val="00804F40"/>
    <w:rsid w:val="008059C5"/>
    <w:rsid w:val="00805C09"/>
    <w:rsid w:val="00807270"/>
    <w:rsid w:val="00807DA8"/>
    <w:rsid w:val="00811A3D"/>
    <w:rsid w:val="00811AA8"/>
    <w:rsid w:val="0081209C"/>
    <w:rsid w:val="00812993"/>
    <w:rsid w:val="008132C7"/>
    <w:rsid w:val="008132DE"/>
    <w:rsid w:val="0081565D"/>
    <w:rsid w:val="008160E4"/>
    <w:rsid w:val="008162B0"/>
    <w:rsid w:val="008163CB"/>
    <w:rsid w:val="0082010B"/>
    <w:rsid w:val="008214FB"/>
    <w:rsid w:val="0082213C"/>
    <w:rsid w:val="0082361B"/>
    <w:rsid w:val="00823FC2"/>
    <w:rsid w:val="00824145"/>
    <w:rsid w:val="00824C46"/>
    <w:rsid w:val="00824EAD"/>
    <w:rsid w:val="00825288"/>
    <w:rsid w:val="0082556E"/>
    <w:rsid w:val="00825EC8"/>
    <w:rsid w:val="0082610E"/>
    <w:rsid w:val="00827EE0"/>
    <w:rsid w:val="00830AD6"/>
    <w:rsid w:val="00830C8B"/>
    <w:rsid w:val="008327CC"/>
    <w:rsid w:val="008327E0"/>
    <w:rsid w:val="00832D89"/>
    <w:rsid w:val="00832E19"/>
    <w:rsid w:val="00833711"/>
    <w:rsid w:val="00833C9E"/>
    <w:rsid w:val="00834DAF"/>
    <w:rsid w:val="00835502"/>
    <w:rsid w:val="0083553A"/>
    <w:rsid w:val="00835BC7"/>
    <w:rsid w:val="00836AD9"/>
    <w:rsid w:val="00836F12"/>
    <w:rsid w:val="00837115"/>
    <w:rsid w:val="00840E16"/>
    <w:rsid w:val="008415F4"/>
    <w:rsid w:val="00841A7E"/>
    <w:rsid w:val="00841EFA"/>
    <w:rsid w:val="008421D1"/>
    <w:rsid w:val="008421D6"/>
    <w:rsid w:val="00842346"/>
    <w:rsid w:val="0084247A"/>
    <w:rsid w:val="00842B4B"/>
    <w:rsid w:val="00842BF2"/>
    <w:rsid w:val="008433FA"/>
    <w:rsid w:val="008437A5"/>
    <w:rsid w:val="00843940"/>
    <w:rsid w:val="008445BF"/>
    <w:rsid w:val="00844E9E"/>
    <w:rsid w:val="0084504C"/>
    <w:rsid w:val="00845E9B"/>
    <w:rsid w:val="00846609"/>
    <w:rsid w:val="00846F56"/>
    <w:rsid w:val="008471D2"/>
    <w:rsid w:val="00847624"/>
    <w:rsid w:val="00850964"/>
    <w:rsid w:val="00851A35"/>
    <w:rsid w:val="00852CFE"/>
    <w:rsid w:val="008533CB"/>
    <w:rsid w:val="00853539"/>
    <w:rsid w:val="00853E37"/>
    <w:rsid w:val="008540BE"/>
    <w:rsid w:val="00854E4C"/>
    <w:rsid w:val="00855B7B"/>
    <w:rsid w:val="008561EC"/>
    <w:rsid w:val="008562AE"/>
    <w:rsid w:val="00860741"/>
    <w:rsid w:val="00860E3B"/>
    <w:rsid w:val="00861436"/>
    <w:rsid w:val="00864062"/>
    <w:rsid w:val="00864C17"/>
    <w:rsid w:val="00864C2C"/>
    <w:rsid w:val="00865846"/>
    <w:rsid w:val="00865B6C"/>
    <w:rsid w:val="00865C9F"/>
    <w:rsid w:val="00865D2D"/>
    <w:rsid w:val="00865F5B"/>
    <w:rsid w:val="008665F6"/>
    <w:rsid w:val="00866887"/>
    <w:rsid w:val="00866F0C"/>
    <w:rsid w:val="00867681"/>
    <w:rsid w:val="00867699"/>
    <w:rsid w:val="0087120E"/>
    <w:rsid w:val="00871AE3"/>
    <w:rsid w:val="0087216E"/>
    <w:rsid w:val="00872702"/>
    <w:rsid w:val="00872E15"/>
    <w:rsid w:val="00873CE3"/>
    <w:rsid w:val="0087761C"/>
    <w:rsid w:val="00877A94"/>
    <w:rsid w:val="00877CC9"/>
    <w:rsid w:val="00877F13"/>
    <w:rsid w:val="0088094B"/>
    <w:rsid w:val="008810D7"/>
    <w:rsid w:val="00881340"/>
    <w:rsid w:val="00881632"/>
    <w:rsid w:val="0088244B"/>
    <w:rsid w:val="00882E98"/>
    <w:rsid w:val="0088350C"/>
    <w:rsid w:val="008838AB"/>
    <w:rsid w:val="008839B6"/>
    <w:rsid w:val="0088425E"/>
    <w:rsid w:val="00884709"/>
    <w:rsid w:val="00885526"/>
    <w:rsid w:val="008871B6"/>
    <w:rsid w:val="00887603"/>
    <w:rsid w:val="0088791C"/>
    <w:rsid w:val="00887BB4"/>
    <w:rsid w:val="008913E2"/>
    <w:rsid w:val="00891B10"/>
    <w:rsid w:val="00891F23"/>
    <w:rsid w:val="00891FC9"/>
    <w:rsid w:val="0089240D"/>
    <w:rsid w:val="00892CE2"/>
    <w:rsid w:val="0089368A"/>
    <w:rsid w:val="00893877"/>
    <w:rsid w:val="00894571"/>
    <w:rsid w:val="008962E0"/>
    <w:rsid w:val="00896388"/>
    <w:rsid w:val="00896EC4"/>
    <w:rsid w:val="00897073"/>
    <w:rsid w:val="00897573"/>
    <w:rsid w:val="00897AF2"/>
    <w:rsid w:val="008A0AF6"/>
    <w:rsid w:val="008A1BCF"/>
    <w:rsid w:val="008A1C98"/>
    <w:rsid w:val="008A25B9"/>
    <w:rsid w:val="008A2F55"/>
    <w:rsid w:val="008A36B7"/>
    <w:rsid w:val="008A5031"/>
    <w:rsid w:val="008A6801"/>
    <w:rsid w:val="008A6971"/>
    <w:rsid w:val="008A6BD8"/>
    <w:rsid w:val="008A6EAD"/>
    <w:rsid w:val="008A74E0"/>
    <w:rsid w:val="008B0A8A"/>
    <w:rsid w:val="008B0B9E"/>
    <w:rsid w:val="008B14BF"/>
    <w:rsid w:val="008B1BAA"/>
    <w:rsid w:val="008B1C4F"/>
    <w:rsid w:val="008B337A"/>
    <w:rsid w:val="008B33FC"/>
    <w:rsid w:val="008B3A81"/>
    <w:rsid w:val="008B3DE6"/>
    <w:rsid w:val="008B3E2F"/>
    <w:rsid w:val="008B41B9"/>
    <w:rsid w:val="008B4EF4"/>
    <w:rsid w:val="008B5017"/>
    <w:rsid w:val="008B5A65"/>
    <w:rsid w:val="008B5F3B"/>
    <w:rsid w:val="008B666A"/>
    <w:rsid w:val="008B6C42"/>
    <w:rsid w:val="008B7924"/>
    <w:rsid w:val="008C0801"/>
    <w:rsid w:val="008C085D"/>
    <w:rsid w:val="008C1299"/>
    <w:rsid w:val="008C15E7"/>
    <w:rsid w:val="008C17B3"/>
    <w:rsid w:val="008C2372"/>
    <w:rsid w:val="008C2A13"/>
    <w:rsid w:val="008C3926"/>
    <w:rsid w:val="008C4018"/>
    <w:rsid w:val="008C460C"/>
    <w:rsid w:val="008C4677"/>
    <w:rsid w:val="008C4785"/>
    <w:rsid w:val="008C5507"/>
    <w:rsid w:val="008C6030"/>
    <w:rsid w:val="008C7023"/>
    <w:rsid w:val="008C718C"/>
    <w:rsid w:val="008C748A"/>
    <w:rsid w:val="008D145C"/>
    <w:rsid w:val="008D170F"/>
    <w:rsid w:val="008D1B83"/>
    <w:rsid w:val="008D2AE9"/>
    <w:rsid w:val="008D2BB6"/>
    <w:rsid w:val="008D3381"/>
    <w:rsid w:val="008D3DE4"/>
    <w:rsid w:val="008D462E"/>
    <w:rsid w:val="008D48ED"/>
    <w:rsid w:val="008D4C07"/>
    <w:rsid w:val="008D4DB6"/>
    <w:rsid w:val="008D583C"/>
    <w:rsid w:val="008D591D"/>
    <w:rsid w:val="008D6618"/>
    <w:rsid w:val="008D7723"/>
    <w:rsid w:val="008D79C4"/>
    <w:rsid w:val="008D7D17"/>
    <w:rsid w:val="008E0623"/>
    <w:rsid w:val="008E0706"/>
    <w:rsid w:val="008E0B72"/>
    <w:rsid w:val="008E1692"/>
    <w:rsid w:val="008E1BF2"/>
    <w:rsid w:val="008E2312"/>
    <w:rsid w:val="008E3D65"/>
    <w:rsid w:val="008E5183"/>
    <w:rsid w:val="008E5961"/>
    <w:rsid w:val="008E6355"/>
    <w:rsid w:val="008E6917"/>
    <w:rsid w:val="008E6DC3"/>
    <w:rsid w:val="008F048C"/>
    <w:rsid w:val="008F0AB7"/>
    <w:rsid w:val="008F14E8"/>
    <w:rsid w:val="008F1D88"/>
    <w:rsid w:val="008F1FC2"/>
    <w:rsid w:val="008F207D"/>
    <w:rsid w:val="008F233E"/>
    <w:rsid w:val="008F2A80"/>
    <w:rsid w:val="008F2B32"/>
    <w:rsid w:val="008F328C"/>
    <w:rsid w:val="008F40C6"/>
    <w:rsid w:val="008F474D"/>
    <w:rsid w:val="008F48F1"/>
    <w:rsid w:val="008F5831"/>
    <w:rsid w:val="008F5AF7"/>
    <w:rsid w:val="008F604D"/>
    <w:rsid w:val="008F7981"/>
    <w:rsid w:val="0090009D"/>
    <w:rsid w:val="0090150D"/>
    <w:rsid w:val="00901B68"/>
    <w:rsid w:val="00902137"/>
    <w:rsid w:val="009029D5"/>
    <w:rsid w:val="00903F09"/>
    <w:rsid w:val="009048E4"/>
    <w:rsid w:val="00905F70"/>
    <w:rsid w:val="00906054"/>
    <w:rsid w:val="00906441"/>
    <w:rsid w:val="0090649F"/>
    <w:rsid w:val="009071A3"/>
    <w:rsid w:val="009101BE"/>
    <w:rsid w:val="009108BC"/>
    <w:rsid w:val="00910DC7"/>
    <w:rsid w:val="00911042"/>
    <w:rsid w:val="009117A5"/>
    <w:rsid w:val="00912679"/>
    <w:rsid w:val="00912705"/>
    <w:rsid w:val="00912971"/>
    <w:rsid w:val="00912DF8"/>
    <w:rsid w:val="009137E8"/>
    <w:rsid w:val="00915D1C"/>
    <w:rsid w:val="00915EA9"/>
    <w:rsid w:val="00915F32"/>
    <w:rsid w:val="00915FAD"/>
    <w:rsid w:val="009164FC"/>
    <w:rsid w:val="00916953"/>
    <w:rsid w:val="00916A9A"/>
    <w:rsid w:val="00917475"/>
    <w:rsid w:val="00917730"/>
    <w:rsid w:val="00917A56"/>
    <w:rsid w:val="00920076"/>
    <w:rsid w:val="009200BD"/>
    <w:rsid w:val="009205AC"/>
    <w:rsid w:val="00920B02"/>
    <w:rsid w:val="00921D1D"/>
    <w:rsid w:val="00921D91"/>
    <w:rsid w:val="00921EA3"/>
    <w:rsid w:val="0092229B"/>
    <w:rsid w:val="00922A85"/>
    <w:rsid w:val="00922B97"/>
    <w:rsid w:val="00922D79"/>
    <w:rsid w:val="00922F83"/>
    <w:rsid w:val="009230E5"/>
    <w:rsid w:val="00923432"/>
    <w:rsid w:val="009237A5"/>
    <w:rsid w:val="00923E5F"/>
    <w:rsid w:val="0092406F"/>
    <w:rsid w:val="0092630D"/>
    <w:rsid w:val="00926BFB"/>
    <w:rsid w:val="009270A2"/>
    <w:rsid w:val="0092726C"/>
    <w:rsid w:val="00927B45"/>
    <w:rsid w:val="009310B0"/>
    <w:rsid w:val="00931184"/>
    <w:rsid w:val="009313B7"/>
    <w:rsid w:val="009315B7"/>
    <w:rsid w:val="00932102"/>
    <w:rsid w:val="0093219D"/>
    <w:rsid w:val="009321C3"/>
    <w:rsid w:val="00932915"/>
    <w:rsid w:val="0093296E"/>
    <w:rsid w:val="00932B27"/>
    <w:rsid w:val="00932E20"/>
    <w:rsid w:val="0093467E"/>
    <w:rsid w:val="0093496E"/>
    <w:rsid w:val="00934C57"/>
    <w:rsid w:val="00934FFB"/>
    <w:rsid w:val="00935553"/>
    <w:rsid w:val="0093581A"/>
    <w:rsid w:val="00936519"/>
    <w:rsid w:val="009365CE"/>
    <w:rsid w:val="00940A7A"/>
    <w:rsid w:val="0094118E"/>
    <w:rsid w:val="00941190"/>
    <w:rsid w:val="00941E77"/>
    <w:rsid w:val="00942988"/>
    <w:rsid w:val="00944308"/>
    <w:rsid w:val="00944ACA"/>
    <w:rsid w:val="009450BE"/>
    <w:rsid w:val="00945B20"/>
    <w:rsid w:val="0094605E"/>
    <w:rsid w:val="009470AA"/>
    <w:rsid w:val="00947150"/>
    <w:rsid w:val="00947E1A"/>
    <w:rsid w:val="00951164"/>
    <w:rsid w:val="009514E2"/>
    <w:rsid w:val="00952039"/>
    <w:rsid w:val="00952A23"/>
    <w:rsid w:val="00952C14"/>
    <w:rsid w:val="00952FBB"/>
    <w:rsid w:val="009540F7"/>
    <w:rsid w:val="009542BB"/>
    <w:rsid w:val="00955147"/>
    <w:rsid w:val="009551C3"/>
    <w:rsid w:val="009554E1"/>
    <w:rsid w:val="00955868"/>
    <w:rsid w:val="00956736"/>
    <w:rsid w:val="00956BA4"/>
    <w:rsid w:val="00957E2E"/>
    <w:rsid w:val="00957E95"/>
    <w:rsid w:val="009619E5"/>
    <w:rsid w:val="00962645"/>
    <w:rsid w:val="009626F7"/>
    <w:rsid w:val="00962CA4"/>
    <w:rsid w:val="00962E3D"/>
    <w:rsid w:val="00963188"/>
    <w:rsid w:val="00963CB5"/>
    <w:rsid w:val="00963EBE"/>
    <w:rsid w:val="009647DE"/>
    <w:rsid w:val="00964A58"/>
    <w:rsid w:val="00964B45"/>
    <w:rsid w:val="00965B0F"/>
    <w:rsid w:val="00966436"/>
    <w:rsid w:val="00966DB1"/>
    <w:rsid w:val="00966DB3"/>
    <w:rsid w:val="0096701D"/>
    <w:rsid w:val="009673D4"/>
    <w:rsid w:val="00967D80"/>
    <w:rsid w:val="009702CE"/>
    <w:rsid w:val="0097074B"/>
    <w:rsid w:val="00970B6B"/>
    <w:rsid w:val="00971DC3"/>
    <w:rsid w:val="00972041"/>
    <w:rsid w:val="0097239F"/>
    <w:rsid w:val="00972F0B"/>
    <w:rsid w:val="00973742"/>
    <w:rsid w:val="00973D5B"/>
    <w:rsid w:val="00973DC2"/>
    <w:rsid w:val="00974DC9"/>
    <w:rsid w:val="00974EDE"/>
    <w:rsid w:val="00976EFA"/>
    <w:rsid w:val="00977256"/>
    <w:rsid w:val="0097798E"/>
    <w:rsid w:val="00981253"/>
    <w:rsid w:val="0098144A"/>
    <w:rsid w:val="00981965"/>
    <w:rsid w:val="00981C68"/>
    <w:rsid w:val="00981E7E"/>
    <w:rsid w:val="00982DB5"/>
    <w:rsid w:val="00983857"/>
    <w:rsid w:val="00983E96"/>
    <w:rsid w:val="00984AF8"/>
    <w:rsid w:val="00984EBA"/>
    <w:rsid w:val="009852F8"/>
    <w:rsid w:val="0098552F"/>
    <w:rsid w:val="009855C3"/>
    <w:rsid w:val="009855C4"/>
    <w:rsid w:val="00986948"/>
    <w:rsid w:val="00986B9B"/>
    <w:rsid w:val="00986FFE"/>
    <w:rsid w:val="00991DA8"/>
    <w:rsid w:val="009920F8"/>
    <w:rsid w:val="00992138"/>
    <w:rsid w:val="0099292E"/>
    <w:rsid w:val="009930A7"/>
    <w:rsid w:val="00994610"/>
    <w:rsid w:val="00994ABF"/>
    <w:rsid w:val="00994B26"/>
    <w:rsid w:val="00995128"/>
    <w:rsid w:val="00995A07"/>
    <w:rsid w:val="00996621"/>
    <w:rsid w:val="0099694A"/>
    <w:rsid w:val="00996B83"/>
    <w:rsid w:val="009A234B"/>
    <w:rsid w:val="009A2617"/>
    <w:rsid w:val="009A261D"/>
    <w:rsid w:val="009A2750"/>
    <w:rsid w:val="009A2C6B"/>
    <w:rsid w:val="009A3CCF"/>
    <w:rsid w:val="009A40D8"/>
    <w:rsid w:val="009A52F1"/>
    <w:rsid w:val="009A6576"/>
    <w:rsid w:val="009A7323"/>
    <w:rsid w:val="009A73E9"/>
    <w:rsid w:val="009B05AA"/>
    <w:rsid w:val="009B09CC"/>
    <w:rsid w:val="009B163A"/>
    <w:rsid w:val="009B1736"/>
    <w:rsid w:val="009B19D1"/>
    <w:rsid w:val="009B1E8D"/>
    <w:rsid w:val="009B23BC"/>
    <w:rsid w:val="009B2971"/>
    <w:rsid w:val="009B482C"/>
    <w:rsid w:val="009B4B94"/>
    <w:rsid w:val="009B5176"/>
    <w:rsid w:val="009B53B3"/>
    <w:rsid w:val="009B54E1"/>
    <w:rsid w:val="009B5D2A"/>
    <w:rsid w:val="009B61BB"/>
    <w:rsid w:val="009B6704"/>
    <w:rsid w:val="009B67F6"/>
    <w:rsid w:val="009B68A5"/>
    <w:rsid w:val="009B6F57"/>
    <w:rsid w:val="009B75E9"/>
    <w:rsid w:val="009B7A45"/>
    <w:rsid w:val="009C0E0B"/>
    <w:rsid w:val="009C1A5C"/>
    <w:rsid w:val="009C2B20"/>
    <w:rsid w:val="009C383A"/>
    <w:rsid w:val="009C3BFF"/>
    <w:rsid w:val="009C50D3"/>
    <w:rsid w:val="009C54E2"/>
    <w:rsid w:val="009C6422"/>
    <w:rsid w:val="009C75C9"/>
    <w:rsid w:val="009D0732"/>
    <w:rsid w:val="009D0762"/>
    <w:rsid w:val="009D09DA"/>
    <w:rsid w:val="009D0B8E"/>
    <w:rsid w:val="009D0CFD"/>
    <w:rsid w:val="009D1638"/>
    <w:rsid w:val="009D1711"/>
    <w:rsid w:val="009D17B4"/>
    <w:rsid w:val="009D30ED"/>
    <w:rsid w:val="009D3CFA"/>
    <w:rsid w:val="009D4B5C"/>
    <w:rsid w:val="009D5224"/>
    <w:rsid w:val="009D533D"/>
    <w:rsid w:val="009D58F8"/>
    <w:rsid w:val="009D5A9B"/>
    <w:rsid w:val="009D5C59"/>
    <w:rsid w:val="009D63F8"/>
    <w:rsid w:val="009D677D"/>
    <w:rsid w:val="009D77CB"/>
    <w:rsid w:val="009E0061"/>
    <w:rsid w:val="009E01AC"/>
    <w:rsid w:val="009E1721"/>
    <w:rsid w:val="009E21D4"/>
    <w:rsid w:val="009E237D"/>
    <w:rsid w:val="009E2F36"/>
    <w:rsid w:val="009E3171"/>
    <w:rsid w:val="009E3563"/>
    <w:rsid w:val="009E36AF"/>
    <w:rsid w:val="009E5F5D"/>
    <w:rsid w:val="009E6563"/>
    <w:rsid w:val="009E6E67"/>
    <w:rsid w:val="009E716C"/>
    <w:rsid w:val="009F0DA9"/>
    <w:rsid w:val="009F0E4A"/>
    <w:rsid w:val="009F127A"/>
    <w:rsid w:val="009F1CC9"/>
    <w:rsid w:val="009F1FE1"/>
    <w:rsid w:val="009F20D7"/>
    <w:rsid w:val="009F27CE"/>
    <w:rsid w:val="009F2984"/>
    <w:rsid w:val="009F2CDD"/>
    <w:rsid w:val="009F42CA"/>
    <w:rsid w:val="009F59EF"/>
    <w:rsid w:val="009F617F"/>
    <w:rsid w:val="009F631B"/>
    <w:rsid w:val="00A00039"/>
    <w:rsid w:val="00A00775"/>
    <w:rsid w:val="00A015C6"/>
    <w:rsid w:val="00A0188F"/>
    <w:rsid w:val="00A01F63"/>
    <w:rsid w:val="00A027B4"/>
    <w:rsid w:val="00A02B14"/>
    <w:rsid w:val="00A02D42"/>
    <w:rsid w:val="00A02F50"/>
    <w:rsid w:val="00A0425F"/>
    <w:rsid w:val="00A04F56"/>
    <w:rsid w:val="00A05306"/>
    <w:rsid w:val="00A06584"/>
    <w:rsid w:val="00A06642"/>
    <w:rsid w:val="00A06704"/>
    <w:rsid w:val="00A06763"/>
    <w:rsid w:val="00A06BE6"/>
    <w:rsid w:val="00A070F7"/>
    <w:rsid w:val="00A07CCC"/>
    <w:rsid w:val="00A07F51"/>
    <w:rsid w:val="00A10658"/>
    <w:rsid w:val="00A1072F"/>
    <w:rsid w:val="00A11114"/>
    <w:rsid w:val="00A11483"/>
    <w:rsid w:val="00A11798"/>
    <w:rsid w:val="00A123A2"/>
    <w:rsid w:val="00A12790"/>
    <w:rsid w:val="00A127E5"/>
    <w:rsid w:val="00A1297B"/>
    <w:rsid w:val="00A131D0"/>
    <w:rsid w:val="00A13245"/>
    <w:rsid w:val="00A13E0F"/>
    <w:rsid w:val="00A143FF"/>
    <w:rsid w:val="00A15A4F"/>
    <w:rsid w:val="00A15C6B"/>
    <w:rsid w:val="00A1609E"/>
    <w:rsid w:val="00A16700"/>
    <w:rsid w:val="00A167DD"/>
    <w:rsid w:val="00A173F4"/>
    <w:rsid w:val="00A17536"/>
    <w:rsid w:val="00A177D5"/>
    <w:rsid w:val="00A17935"/>
    <w:rsid w:val="00A17E02"/>
    <w:rsid w:val="00A17F0A"/>
    <w:rsid w:val="00A2030C"/>
    <w:rsid w:val="00A212C6"/>
    <w:rsid w:val="00A22875"/>
    <w:rsid w:val="00A2289E"/>
    <w:rsid w:val="00A22CFE"/>
    <w:rsid w:val="00A235AA"/>
    <w:rsid w:val="00A23FBA"/>
    <w:rsid w:val="00A24668"/>
    <w:rsid w:val="00A247B5"/>
    <w:rsid w:val="00A24BAA"/>
    <w:rsid w:val="00A24E30"/>
    <w:rsid w:val="00A25DAE"/>
    <w:rsid w:val="00A25E05"/>
    <w:rsid w:val="00A26022"/>
    <w:rsid w:val="00A26030"/>
    <w:rsid w:val="00A260FA"/>
    <w:rsid w:val="00A26468"/>
    <w:rsid w:val="00A26BCB"/>
    <w:rsid w:val="00A2797B"/>
    <w:rsid w:val="00A30E04"/>
    <w:rsid w:val="00A3272B"/>
    <w:rsid w:val="00A32B29"/>
    <w:rsid w:val="00A33243"/>
    <w:rsid w:val="00A33D65"/>
    <w:rsid w:val="00A34F37"/>
    <w:rsid w:val="00A353B9"/>
    <w:rsid w:val="00A37163"/>
    <w:rsid w:val="00A372C7"/>
    <w:rsid w:val="00A37C11"/>
    <w:rsid w:val="00A40DBC"/>
    <w:rsid w:val="00A40E9D"/>
    <w:rsid w:val="00A41235"/>
    <w:rsid w:val="00A4148F"/>
    <w:rsid w:val="00A418E0"/>
    <w:rsid w:val="00A4196F"/>
    <w:rsid w:val="00A42174"/>
    <w:rsid w:val="00A42462"/>
    <w:rsid w:val="00A42B5F"/>
    <w:rsid w:val="00A430DE"/>
    <w:rsid w:val="00A4337E"/>
    <w:rsid w:val="00A43926"/>
    <w:rsid w:val="00A43BA3"/>
    <w:rsid w:val="00A45651"/>
    <w:rsid w:val="00A4584E"/>
    <w:rsid w:val="00A45A5C"/>
    <w:rsid w:val="00A45AD3"/>
    <w:rsid w:val="00A45AE6"/>
    <w:rsid w:val="00A4648E"/>
    <w:rsid w:val="00A4699D"/>
    <w:rsid w:val="00A47418"/>
    <w:rsid w:val="00A47834"/>
    <w:rsid w:val="00A478A0"/>
    <w:rsid w:val="00A47E39"/>
    <w:rsid w:val="00A47FD6"/>
    <w:rsid w:val="00A50FD5"/>
    <w:rsid w:val="00A514E7"/>
    <w:rsid w:val="00A51D5D"/>
    <w:rsid w:val="00A51D6B"/>
    <w:rsid w:val="00A52B4E"/>
    <w:rsid w:val="00A539BA"/>
    <w:rsid w:val="00A53A94"/>
    <w:rsid w:val="00A53EAE"/>
    <w:rsid w:val="00A543A8"/>
    <w:rsid w:val="00A54DE5"/>
    <w:rsid w:val="00A561CD"/>
    <w:rsid w:val="00A5637D"/>
    <w:rsid w:val="00A57651"/>
    <w:rsid w:val="00A607DE"/>
    <w:rsid w:val="00A61A07"/>
    <w:rsid w:val="00A61C5B"/>
    <w:rsid w:val="00A62430"/>
    <w:rsid w:val="00A62B1B"/>
    <w:rsid w:val="00A63F09"/>
    <w:rsid w:val="00A64764"/>
    <w:rsid w:val="00A64C9B"/>
    <w:rsid w:val="00A64D54"/>
    <w:rsid w:val="00A6503D"/>
    <w:rsid w:val="00A66597"/>
    <w:rsid w:val="00A66C6C"/>
    <w:rsid w:val="00A6709A"/>
    <w:rsid w:val="00A67208"/>
    <w:rsid w:val="00A702A6"/>
    <w:rsid w:val="00A70856"/>
    <w:rsid w:val="00A7178D"/>
    <w:rsid w:val="00A71BAF"/>
    <w:rsid w:val="00A71DEF"/>
    <w:rsid w:val="00A724F1"/>
    <w:rsid w:val="00A7284D"/>
    <w:rsid w:val="00A728D7"/>
    <w:rsid w:val="00A73186"/>
    <w:rsid w:val="00A7365E"/>
    <w:rsid w:val="00A73819"/>
    <w:rsid w:val="00A754CF"/>
    <w:rsid w:val="00A75AD1"/>
    <w:rsid w:val="00A7616D"/>
    <w:rsid w:val="00A7711C"/>
    <w:rsid w:val="00A77339"/>
    <w:rsid w:val="00A778DF"/>
    <w:rsid w:val="00A77BC6"/>
    <w:rsid w:val="00A81424"/>
    <w:rsid w:val="00A81DE8"/>
    <w:rsid w:val="00A81F58"/>
    <w:rsid w:val="00A820E8"/>
    <w:rsid w:val="00A82272"/>
    <w:rsid w:val="00A82543"/>
    <w:rsid w:val="00A829DA"/>
    <w:rsid w:val="00A849A6"/>
    <w:rsid w:val="00A84E04"/>
    <w:rsid w:val="00A85335"/>
    <w:rsid w:val="00A85B44"/>
    <w:rsid w:val="00A85B96"/>
    <w:rsid w:val="00A86407"/>
    <w:rsid w:val="00A876C0"/>
    <w:rsid w:val="00A87E32"/>
    <w:rsid w:val="00A87E83"/>
    <w:rsid w:val="00A9156D"/>
    <w:rsid w:val="00A91809"/>
    <w:rsid w:val="00A91AD7"/>
    <w:rsid w:val="00A92DCF"/>
    <w:rsid w:val="00A939B2"/>
    <w:rsid w:val="00A93CFC"/>
    <w:rsid w:val="00A9465F"/>
    <w:rsid w:val="00A94C26"/>
    <w:rsid w:val="00A9509A"/>
    <w:rsid w:val="00A95AF4"/>
    <w:rsid w:val="00A95B74"/>
    <w:rsid w:val="00A95C6A"/>
    <w:rsid w:val="00A96E30"/>
    <w:rsid w:val="00A978B8"/>
    <w:rsid w:val="00A97B26"/>
    <w:rsid w:val="00AA14CD"/>
    <w:rsid w:val="00AA14F6"/>
    <w:rsid w:val="00AA1FE0"/>
    <w:rsid w:val="00AA3AA9"/>
    <w:rsid w:val="00AA3C38"/>
    <w:rsid w:val="00AA42CE"/>
    <w:rsid w:val="00AA4342"/>
    <w:rsid w:val="00AA4642"/>
    <w:rsid w:val="00AA46B4"/>
    <w:rsid w:val="00AA4FFC"/>
    <w:rsid w:val="00AA5174"/>
    <w:rsid w:val="00AA5432"/>
    <w:rsid w:val="00AA71F7"/>
    <w:rsid w:val="00AA7451"/>
    <w:rsid w:val="00AB00D9"/>
    <w:rsid w:val="00AB0867"/>
    <w:rsid w:val="00AB1759"/>
    <w:rsid w:val="00AB1CDC"/>
    <w:rsid w:val="00AB2699"/>
    <w:rsid w:val="00AB2889"/>
    <w:rsid w:val="00AB2DAE"/>
    <w:rsid w:val="00AB3BBA"/>
    <w:rsid w:val="00AB4355"/>
    <w:rsid w:val="00AB5094"/>
    <w:rsid w:val="00AB6F04"/>
    <w:rsid w:val="00AB7AA2"/>
    <w:rsid w:val="00AC00BE"/>
    <w:rsid w:val="00AC0527"/>
    <w:rsid w:val="00AC0E76"/>
    <w:rsid w:val="00AC118E"/>
    <w:rsid w:val="00AC1799"/>
    <w:rsid w:val="00AC19F0"/>
    <w:rsid w:val="00AC209B"/>
    <w:rsid w:val="00AC20C3"/>
    <w:rsid w:val="00AC2EB6"/>
    <w:rsid w:val="00AC3EE9"/>
    <w:rsid w:val="00AC40CB"/>
    <w:rsid w:val="00AC47BA"/>
    <w:rsid w:val="00AC52E3"/>
    <w:rsid w:val="00AC54C8"/>
    <w:rsid w:val="00AC6A8C"/>
    <w:rsid w:val="00AC6F0C"/>
    <w:rsid w:val="00AC736F"/>
    <w:rsid w:val="00AC763D"/>
    <w:rsid w:val="00AC7686"/>
    <w:rsid w:val="00AD064C"/>
    <w:rsid w:val="00AD0AA5"/>
    <w:rsid w:val="00AD191E"/>
    <w:rsid w:val="00AD29A3"/>
    <w:rsid w:val="00AD35E3"/>
    <w:rsid w:val="00AD39DE"/>
    <w:rsid w:val="00AD3D80"/>
    <w:rsid w:val="00AD4A1C"/>
    <w:rsid w:val="00AD605A"/>
    <w:rsid w:val="00AD6741"/>
    <w:rsid w:val="00AD6A2C"/>
    <w:rsid w:val="00AD7AB9"/>
    <w:rsid w:val="00AE0637"/>
    <w:rsid w:val="00AE0B09"/>
    <w:rsid w:val="00AE0BB0"/>
    <w:rsid w:val="00AE1151"/>
    <w:rsid w:val="00AE1929"/>
    <w:rsid w:val="00AE1BF8"/>
    <w:rsid w:val="00AE2837"/>
    <w:rsid w:val="00AE2B2D"/>
    <w:rsid w:val="00AE2B63"/>
    <w:rsid w:val="00AE4E57"/>
    <w:rsid w:val="00AE54E2"/>
    <w:rsid w:val="00AE56EA"/>
    <w:rsid w:val="00AE5C09"/>
    <w:rsid w:val="00AE64FC"/>
    <w:rsid w:val="00AE6AAC"/>
    <w:rsid w:val="00AE6B85"/>
    <w:rsid w:val="00AE6FB1"/>
    <w:rsid w:val="00AE7D81"/>
    <w:rsid w:val="00AF0A86"/>
    <w:rsid w:val="00AF0EF4"/>
    <w:rsid w:val="00AF27E0"/>
    <w:rsid w:val="00AF2C17"/>
    <w:rsid w:val="00AF4464"/>
    <w:rsid w:val="00AF4D71"/>
    <w:rsid w:val="00AF4DC2"/>
    <w:rsid w:val="00AF4DE5"/>
    <w:rsid w:val="00AF521C"/>
    <w:rsid w:val="00AF588D"/>
    <w:rsid w:val="00AF58F5"/>
    <w:rsid w:val="00AF5A17"/>
    <w:rsid w:val="00AF637B"/>
    <w:rsid w:val="00AF683B"/>
    <w:rsid w:val="00AF71FD"/>
    <w:rsid w:val="00AF73CC"/>
    <w:rsid w:val="00AF760C"/>
    <w:rsid w:val="00AF76DC"/>
    <w:rsid w:val="00B000E2"/>
    <w:rsid w:val="00B00635"/>
    <w:rsid w:val="00B01034"/>
    <w:rsid w:val="00B01974"/>
    <w:rsid w:val="00B01C2C"/>
    <w:rsid w:val="00B0237B"/>
    <w:rsid w:val="00B02436"/>
    <w:rsid w:val="00B02F4A"/>
    <w:rsid w:val="00B03634"/>
    <w:rsid w:val="00B04280"/>
    <w:rsid w:val="00B0432A"/>
    <w:rsid w:val="00B04AD4"/>
    <w:rsid w:val="00B054D2"/>
    <w:rsid w:val="00B05A68"/>
    <w:rsid w:val="00B063D7"/>
    <w:rsid w:val="00B06502"/>
    <w:rsid w:val="00B067F3"/>
    <w:rsid w:val="00B07090"/>
    <w:rsid w:val="00B07C42"/>
    <w:rsid w:val="00B112E8"/>
    <w:rsid w:val="00B1155E"/>
    <w:rsid w:val="00B117D7"/>
    <w:rsid w:val="00B1194E"/>
    <w:rsid w:val="00B11E5C"/>
    <w:rsid w:val="00B12570"/>
    <w:rsid w:val="00B12E6D"/>
    <w:rsid w:val="00B132DC"/>
    <w:rsid w:val="00B1343C"/>
    <w:rsid w:val="00B13950"/>
    <w:rsid w:val="00B13F44"/>
    <w:rsid w:val="00B142B5"/>
    <w:rsid w:val="00B14C0A"/>
    <w:rsid w:val="00B156F1"/>
    <w:rsid w:val="00B15ED7"/>
    <w:rsid w:val="00B16938"/>
    <w:rsid w:val="00B169CF"/>
    <w:rsid w:val="00B169E3"/>
    <w:rsid w:val="00B16BAC"/>
    <w:rsid w:val="00B16BD1"/>
    <w:rsid w:val="00B16C24"/>
    <w:rsid w:val="00B172B7"/>
    <w:rsid w:val="00B20C04"/>
    <w:rsid w:val="00B21142"/>
    <w:rsid w:val="00B21B2A"/>
    <w:rsid w:val="00B21F99"/>
    <w:rsid w:val="00B23426"/>
    <w:rsid w:val="00B23EEF"/>
    <w:rsid w:val="00B25D2A"/>
    <w:rsid w:val="00B27BE0"/>
    <w:rsid w:val="00B27F99"/>
    <w:rsid w:val="00B30187"/>
    <w:rsid w:val="00B3085F"/>
    <w:rsid w:val="00B3172C"/>
    <w:rsid w:val="00B31FB1"/>
    <w:rsid w:val="00B323FD"/>
    <w:rsid w:val="00B3243B"/>
    <w:rsid w:val="00B33317"/>
    <w:rsid w:val="00B33C29"/>
    <w:rsid w:val="00B33FB2"/>
    <w:rsid w:val="00B3418E"/>
    <w:rsid w:val="00B345F0"/>
    <w:rsid w:val="00B352B9"/>
    <w:rsid w:val="00B35E1D"/>
    <w:rsid w:val="00B37399"/>
    <w:rsid w:val="00B376AC"/>
    <w:rsid w:val="00B41630"/>
    <w:rsid w:val="00B41858"/>
    <w:rsid w:val="00B41FBA"/>
    <w:rsid w:val="00B423FF"/>
    <w:rsid w:val="00B42D10"/>
    <w:rsid w:val="00B42E2B"/>
    <w:rsid w:val="00B434D5"/>
    <w:rsid w:val="00B44EA6"/>
    <w:rsid w:val="00B46187"/>
    <w:rsid w:val="00B47785"/>
    <w:rsid w:val="00B504BA"/>
    <w:rsid w:val="00B50E1F"/>
    <w:rsid w:val="00B526C2"/>
    <w:rsid w:val="00B5312F"/>
    <w:rsid w:val="00B545CB"/>
    <w:rsid w:val="00B556D4"/>
    <w:rsid w:val="00B57296"/>
    <w:rsid w:val="00B57A58"/>
    <w:rsid w:val="00B61E0B"/>
    <w:rsid w:val="00B61E64"/>
    <w:rsid w:val="00B62186"/>
    <w:rsid w:val="00B621C3"/>
    <w:rsid w:val="00B6353D"/>
    <w:rsid w:val="00B64520"/>
    <w:rsid w:val="00B6515C"/>
    <w:rsid w:val="00B653DA"/>
    <w:rsid w:val="00B656FD"/>
    <w:rsid w:val="00B66704"/>
    <w:rsid w:val="00B66C0D"/>
    <w:rsid w:val="00B6702F"/>
    <w:rsid w:val="00B67B07"/>
    <w:rsid w:val="00B70689"/>
    <w:rsid w:val="00B71320"/>
    <w:rsid w:val="00B72150"/>
    <w:rsid w:val="00B721AB"/>
    <w:rsid w:val="00B72906"/>
    <w:rsid w:val="00B736FE"/>
    <w:rsid w:val="00B738C4"/>
    <w:rsid w:val="00B73D0E"/>
    <w:rsid w:val="00B74A60"/>
    <w:rsid w:val="00B7520C"/>
    <w:rsid w:val="00B75C58"/>
    <w:rsid w:val="00B763BE"/>
    <w:rsid w:val="00B76BC2"/>
    <w:rsid w:val="00B76FA1"/>
    <w:rsid w:val="00B7709F"/>
    <w:rsid w:val="00B775C4"/>
    <w:rsid w:val="00B777F3"/>
    <w:rsid w:val="00B77F25"/>
    <w:rsid w:val="00B80120"/>
    <w:rsid w:val="00B81EEA"/>
    <w:rsid w:val="00B84B23"/>
    <w:rsid w:val="00B85816"/>
    <w:rsid w:val="00B8666C"/>
    <w:rsid w:val="00B86D88"/>
    <w:rsid w:val="00B86EE1"/>
    <w:rsid w:val="00B87154"/>
    <w:rsid w:val="00B87524"/>
    <w:rsid w:val="00B876CC"/>
    <w:rsid w:val="00B87D6C"/>
    <w:rsid w:val="00B910B3"/>
    <w:rsid w:val="00B913D8"/>
    <w:rsid w:val="00B9157E"/>
    <w:rsid w:val="00B918FB"/>
    <w:rsid w:val="00B9224D"/>
    <w:rsid w:val="00B92B0E"/>
    <w:rsid w:val="00B92B57"/>
    <w:rsid w:val="00B92D54"/>
    <w:rsid w:val="00B93127"/>
    <w:rsid w:val="00B936F3"/>
    <w:rsid w:val="00B94561"/>
    <w:rsid w:val="00B95171"/>
    <w:rsid w:val="00B95431"/>
    <w:rsid w:val="00B95724"/>
    <w:rsid w:val="00B95BC1"/>
    <w:rsid w:val="00B964F5"/>
    <w:rsid w:val="00B96F86"/>
    <w:rsid w:val="00B97BDD"/>
    <w:rsid w:val="00BA0676"/>
    <w:rsid w:val="00BA12DF"/>
    <w:rsid w:val="00BA1669"/>
    <w:rsid w:val="00BA27E3"/>
    <w:rsid w:val="00BA31A1"/>
    <w:rsid w:val="00BA34A1"/>
    <w:rsid w:val="00BA3A93"/>
    <w:rsid w:val="00BA403F"/>
    <w:rsid w:val="00BA49B9"/>
    <w:rsid w:val="00BA50FD"/>
    <w:rsid w:val="00BA5643"/>
    <w:rsid w:val="00BA5FBB"/>
    <w:rsid w:val="00BA6139"/>
    <w:rsid w:val="00BA658B"/>
    <w:rsid w:val="00BA6982"/>
    <w:rsid w:val="00BA6C72"/>
    <w:rsid w:val="00BB012A"/>
    <w:rsid w:val="00BB0DCF"/>
    <w:rsid w:val="00BB0FD9"/>
    <w:rsid w:val="00BB111A"/>
    <w:rsid w:val="00BB3B5C"/>
    <w:rsid w:val="00BB3EDD"/>
    <w:rsid w:val="00BB427E"/>
    <w:rsid w:val="00BB4346"/>
    <w:rsid w:val="00BB5E55"/>
    <w:rsid w:val="00BB62D4"/>
    <w:rsid w:val="00BB6915"/>
    <w:rsid w:val="00BC0335"/>
    <w:rsid w:val="00BC0BBC"/>
    <w:rsid w:val="00BC1CBA"/>
    <w:rsid w:val="00BC273A"/>
    <w:rsid w:val="00BC368B"/>
    <w:rsid w:val="00BC37A3"/>
    <w:rsid w:val="00BC3ABF"/>
    <w:rsid w:val="00BC3DCD"/>
    <w:rsid w:val="00BC48AB"/>
    <w:rsid w:val="00BC4C94"/>
    <w:rsid w:val="00BC5973"/>
    <w:rsid w:val="00BC5F4C"/>
    <w:rsid w:val="00BC662D"/>
    <w:rsid w:val="00BC6B5A"/>
    <w:rsid w:val="00BC6EE8"/>
    <w:rsid w:val="00BC7099"/>
    <w:rsid w:val="00BC70BB"/>
    <w:rsid w:val="00BC7308"/>
    <w:rsid w:val="00BC7AF0"/>
    <w:rsid w:val="00BC7E4C"/>
    <w:rsid w:val="00BD02CA"/>
    <w:rsid w:val="00BD047B"/>
    <w:rsid w:val="00BD07FD"/>
    <w:rsid w:val="00BD0CD9"/>
    <w:rsid w:val="00BD1332"/>
    <w:rsid w:val="00BD1379"/>
    <w:rsid w:val="00BD186D"/>
    <w:rsid w:val="00BD202E"/>
    <w:rsid w:val="00BD2660"/>
    <w:rsid w:val="00BD310A"/>
    <w:rsid w:val="00BD3826"/>
    <w:rsid w:val="00BD40B8"/>
    <w:rsid w:val="00BD429E"/>
    <w:rsid w:val="00BD4596"/>
    <w:rsid w:val="00BD53BF"/>
    <w:rsid w:val="00BD53EA"/>
    <w:rsid w:val="00BD736B"/>
    <w:rsid w:val="00BD73DA"/>
    <w:rsid w:val="00BD73DB"/>
    <w:rsid w:val="00BD74F1"/>
    <w:rsid w:val="00BE15AB"/>
    <w:rsid w:val="00BE26DF"/>
    <w:rsid w:val="00BE273C"/>
    <w:rsid w:val="00BE368E"/>
    <w:rsid w:val="00BE3E30"/>
    <w:rsid w:val="00BE3F24"/>
    <w:rsid w:val="00BE43C5"/>
    <w:rsid w:val="00BE489F"/>
    <w:rsid w:val="00BE4975"/>
    <w:rsid w:val="00BE4B70"/>
    <w:rsid w:val="00BE56C6"/>
    <w:rsid w:val="00BE5D41"/>
    <w:rsid w:val="00BE5E6F"/>
    <w:rsid w:val="00BE6130"/>
    <w:rsid w:val="00BE6ABB"/>
    <w:rsid w:val="00BE6C63"/>
    <w:rsid w:val="00BE6E5E"/>
    <w:rsid w:val="00BE70BD"/>
    <w:rsid w:val="00BE741C"/>
    <w:rsid w:val="00BF051A"/>
    <w:rsid w:val="00BF07C2"/>
    <w:rsid w:val="00BF0AC8"/>
    <w:rsid w:val="00BF0DA0"/>
    <w:rsid w:val="00BF0FB5"/>
    <w:rsid w:val="00BF10A0"/>
    <w:rsid w:val="00BF2D82"/>
    <w:rsid w:val="00BF315C"/>
    <w:rsid w:val="00BF4EF2"/>
    <w:rsid w:val="00BF59EF"/>
    <w:rsid w:val="00BF5A3C"/>
    <w:rsid w:val="00BF5E0D"/>
    <w:rsid w:val="00BF63E8"/>
    <w:rsid w:val="00BF6591"/>
    <w:rsid w:val="00BF7A43"/>
    <w:rsid w:val="00C00479"/>
    <w:rsid w:val="00C008B4"/>
    <w:rsid w:val="00C00F65"/>
    <w:rsid w:val="00C0156B"/>
    <w:rsid w:val="00C017DD"/>
    <w:rsid w:val="00C01E14"/>
    <w:rsid w:val="00C021C2"/>
    <w:rsid w:val="00C02296"/>
    <w:rsid w:val="00C023A5"/>
    <w:rsid w:val="00C02E9A"/>
    <w:rsid w:val="00C03BC5"/>
    <w:rsid w:val="00C04868"/>
    <w:rsid w:val="00C04BCE"/>
    <w:rsid w:val="00C059BF"/>
    <w:rsid w:val="00C05F53"/>
    <w:rsid w:val="00C064A4"/>
    <w:rsid w:val="00C064FE"/>
    <w:rsid w:val="00C07249"/>
    <w:rsid w:val="00C075B0"/>
    <w:rsid w:val="00C079AB"/>
    <w:rsid w:val="00C07C24"/>
    <w:rsid w:val="00C07DBB"/>
    <w:rsid w:val="00C10523"/>
    <w:rsid w:val="00C11922"/>
    <w:rsid w:val="00C1193F"/>
    <w:rsid w:val="00C12283"/>
    <w:rsid w:val="00C122A9"/>
    <w:rsid w:val="00C124A0"/>
    <w:rsid w:val="00C1270B"/>
    <w:rsid w:val="00C13421"/>
    <w:rsid w:val="00C142D3"/>
    <w:rsid w:val="00C14986"/>
    <w:rsid w:val="00C14F32"/>
    <w:rsid w:val="00C153D9"/>
    <w:rsid w:val="00C169A5"/>
    <w:rsid w:val="00C17190"/>
    <w:rsid w:val="00C17603"/>
    <w:rsid w:val="00C17792"/>
    <w:rsid w:val="00C17C0D"/>
    <w:rsid w:val="00C17EF0"/>
    <w:rsid w:val="00C21200"/>
    <w:rsid w:val="00C215DA"/>
    <w:rsid w:val="00C2220E"/>
    <w:rsid w:val="00C22551"/>
    <w:rsid w:val="00C2266D"/>
    <w:rsid w:val="00C22C43"/>
    <w:rsid w:val="00C2406F"/>
    <w:rsid w:val="00C24460"/>
    <w:rsid w:val="00C24F10"/>
    <w:rsid w:val="00C252DF"/>
    <w:rsid w:val="00C25987"/>
    <w:rsid w:val="00C263A6"/>
    <w:rsid w:val="00C270F8"/>
    <w:rsid w:val="00C2736D"/>
    <w:rsid w:val="00C278B0"/>
    <w:rsid w:val="00C3058F"/>
    <w:rsid w:val="00C3117F"/>
    <w:rsid w:val="00C317A9"/>
    <w:rsid w:val="00C31D56"/>
    <w:rsid w:val="00C31F19"/>
    <w:rsid w:val="00C3228E"/>
    <w:rsid w:val="00C326ED"/>
    <w:rsid w:val="00C32EE7"/>
    <w:rsid w:val="00C337C3"/>
    <w:rsid w:val="00C34080"/>
    <w:rsid w:val="00C345BF"/>
    <w:rsid w:val="00C35B61"/>
    <w:rsid w:val="00C35F49"/>
    <w:rsid w:val="00C361A5"/>
    <w:rsid w:val="00C3648D"/>
    <w:rsid w:val="00C3658C"/>
    <w:rsid w:val="00C36C27"/>
    <w:rsid w:val="00C376DC"/>
    <w:rsid w:val="00C400BE"/>
    <w:rsid w:val="00C406B4"/>
    <w:rsid w:val="00C40FE1"/>
    <w:rsid w:val="00C434AD"/>
    <w:rsid w:val="00C43E15"/>
    <w:rsid w:val="00C44083"/>
    <w:rsid w:val="00C44B85"/>
    <w:rsid w:val="00C455A5"/>
    <w:rsid w:val="00C45E96"/>
    <w:rsid w:val="00C47056"/>
    <w:rsid w:val="00C47547"/>
    <w:rsid w:val="00C47ADE"/>
    <w:rsid w:val="00C50AC6"/>
    <w:rsid w:val="00C51057"/>
    <w:rsid w:val="00C513F8"/>
    <w:rsid w:val="00C52107"/>
    <w:rsid w:val="00C53034"/>
    <w:rsid w:val="00C5339D"/>
    <w:rsid w:val="00C539A4"/>
    <w:rsid w:val="00C53D1A"/>
    <w:rsid w:val="00C5463A"/>
    <w:rsid w:val="00C5493F"/>
    <w:rsid w:val="00C559FC"/>
    <w:rsid w:val="00C56581"/>
    <w:rsid w:val="00C56AB6"/>
    <w:rsid w:val="00C56EF5"/>
    <w:rsid w:val="00C61677"/>
    <w:rsid w:val="00C61B7D"/>
    <w:rsid w:val="00C61FA7"/>
    <w:rsid w:val="00C63DE0"/>
    <w:rsid w:val="00C64142"/>
    <w:rsid w:val="00C642F5"/>
    <w:rsid w:val="00C64B1F"/>
    <w:rsid w:val="00C64CD7"/>
    <w:rsid w:val="00C64E92"/>
    <w:rsid w:val="00C652A8"/>
    <w:rsid w:val="00C653B9"/>
    <w:rsid w:val="00C6729A"/>
    <w:rsid w:val="00C67CEF"/>
    <w:rsid w:val="00C70970"/>
    <w:rsid w:val="00C71F09"/>
    <w:rsid w:val="00C728F5"/>
    <w:rsid w:val="00C735C1"/>
    <w:rsid w:val="00C7400A"/>
    <w:rsid w:val="00C7478E"/>
    <w:rsid w:val="00C74841"/>
    <w:rsid w:val="00C75D17"/>
    <w:rsid w:val="00C7677D"/>
    <w:rsid w:val="00C76CDF"/>
    <w:rsid w:val="00C774D9"/>
    <w:rsid w:val="00C77644"/>
    <w:rsid w:val="00C7778E"/>
    <w:rsid w:val="00C77C43"/>
    <w:rsid w:val="00C8077F"/>
    <w:rsid w:val="00C80BFE"/>
    <w:rsid w:val="00C8224F"/>
    <w:rsid w:val="00C836B9"/>
    <w:rsid w:val="00C83BB2"/>
    <w:rsid w:val="00C85846"/>
    <w:rsid w:val="00C85ADD"/>
    <w:rsid w:val="00C860F0"/>
    <w:rsid w:val="00C86536"/>
    <w:rsid w:val="00C86C97"/>
    <w:rsid w:val="00C878B8"/>
    <w:rsid w:val="00C9016F"/>
    <w:rsid w:val="00C9090C"/>
    <w:rsid w:val="00C90BDF"/>
    <w:rsid w:val="00C91604"/>
    <w:rsid w:val="00C92DB6"/>
    <w:rsid w:val="00C92F90"/>
    <w:rsid w:val="00C93B70"/>
    <w:rsid w:val="00C946EE"/>
    <w:rsid w:val="00C947EA"/>
    <w:rsid w:val="00C9511E"/>
    <w:rsid w:val="00C95939"/>
    <w:rsid w:val="00C95CC8"/>
    <w:rsid w:val="00C9630F"/>
    <w:rsid w:val="00C967D9"/>
    <w:rsid w:val="00C9741F"/>
    <w:rsid w:val="00C97445"/>
    <w:rsid w:val="00C974E8"/>
    <w:rsid w:val="00C975AF"/>
    <w:rsid w:val="00C97664"/>
    <w:rsid w:val="00CA01E8"/>
    <w:rsid w:val="00CA0968"/>
    <w:rsid w:val="00CA140F"/>
    <w:rsid w:val="00CA2086"/>
    <w:rsid w:val="00CA20A5"/>
    <w:rsid w:val="00CA22EC"/>
    <w:rsid w:val="00CA26CC"/>
    <w:rsid w:val="00CA2ED8"/>
    <w:rsid w:val="00CA3E3A"/>
    <w:rsid w:val="00CA4F95"/>
    <w:rsid w:val="00CA58D8"/>
    <w:rsid w:val="00CA6888"/>
    <w:rsid w:val="00CA7304"/>
    <w:rsid w:val="00CB0D12"/>
    <w:rsid w:val="00CB0E99"/>
    <w:rsid w:val="00CB1130"/>
    <w:rsid w:val="00CB2615"/>
    <w:rsid w:val="00CB264E"/>
    <w:rsid w:val="00CB2765"/>
    <w:rsid w:val="00CB2D90"/>
    <w:rsid w:val="00CB3519"/>
    <w:rsid w:val="00CB3707"/>
    <w:rsid w:val="00CB39E8"/>
    <w:rsid w:val="00CB3E06"/>
    <w:rsid w:val="00CB3EE8"/>
    <w:rsid w:val="00CB419C"/>
    <w:rsid w:val="00CB420A"/>
    <w:rsid w:val="00CB42DD"/>
    <w:rsid w:val="00CB4BAB"/>
    <w:rsid w:val="00CB4D22"/>
    <w:rsid w:val="00CB50E3"/>
    <w:rsid w:val="00CB68E4"/>
    <w:rsid w:val="00CB6F3A"/>
    <w:rsid w:val="00CB714B"/>
    <w:rsid w:val="00CB7667"/>
    <w:rsid w:val="00CB76CC"/>
    <w:rsid w:val="00CB7A0E"/>
    <w:rsid w:val="00CC09A3"/>
    <w:rsid w:val="00CC0FB3"/>
    <w:rsid w:val="00CC1F14"/>
    <w:rsid w:val="00CC2607"/>
    <w:rsid w:val="00CC2CB8"/>
    <w:rsid w:val="00CC2CD2"/>
    <w:rsid w:val="00CC3053"/>
    <w:rsid w:val="00CC355C"/>
    <w:rsid w:val="00CC4293"/>
    <w:rsid w:val="00CC4472"/>
    <w:rsid w:val="00CC579E"/>
    <w:rsid w:val="00CC5B4F"/>
    <w:rsid w:val="00CC5DB3"/>
    <w:rsid w:val="00CC5FB2"/>
    <w:rsid w:val="00CC6110"/>
    <w:rsid w:val="00CC68C3"/>
    <w:rsid w:val="00CC6DF4"/>
    <w:rsid w:val="00CD056F"/>
    <w:rsid w:val="00CD057B"/>
    <w:rsid w:val="00CD079C"/>
    <w:rsid w:val="00CD0893"/>
    <w:rsid w:val="00CD286D"/>
    <w:rsid w:val="00CD2880"/>
    <w:rsid w:val="00CD295C"/>
    <w:rsid w:val="00CD2A1A"/>
    <w:rsid w:val="00CD36AA"/>
    <w:rsid w:val="00CD3E0E"/>
    <w:rsid w:val="00CD4085"/>
    <w:rsid w:val="00CD5376"/>
    <w:rsid w:val="00CD5BB5"/>
    <w:rsid w:val="00CD6D37"/>
    <w:rsid w:val="00CD6DC0"/>
    <w:rsid w:val="00CD7295"/>
    <w:rsid w:val="00CD79B5"/>
    <w:rsid w:val="00CD7E18"/>
    <w:rsid w:val="00CE0393"/>
    <w:rsid w:val="00CE0957"/>
    <w:rsid w:val="00CE10B0"/>
    <w:rsid w:val="00CE18A2"/>
    <w:rsid w:val="00CE2303"/>
    <w:rsid w:val="00CE31A6"/>
    <w:rsid w:val="00CE3E36"/>
    <w:rsid w:val="00CE4257"/>
    <w:rsid w:val="00CE5CFF"/>
    <w:rsid w:val="00CE5D5E"/>
    <w:rsid w:val="00CE6315"/>
    <w:rsid w:val="00CE63F4"/>
    <w:rsid w:val="00CE6602"/>
    <w:rsid w:val="00CE6AB8"/>
    <w:rsid w:val="00CE6D85"/>
    <w:rsid w:val="00CE73A9"/>
    <w:rsid w:val="00CE76CB"/>
    <w:rsid w:val="00CE7C47"/>
    <w:rsid w:val="00CF022A"/>
    <w:rsid w:val="00CF08DA"/>
    <w:rsid w:val="00CF1465"/>
    <w:rsid w:val="00CF1637"/>
    <w:rsid w:val="00CF1774"/>
    <w:rsid w:val="00CF266E"/>
    <w:rsid w:val="00CF285E"/>
    <w:rsid w:val="00CF2D0F"/>
    <w:rsid w:val="00CF3CDB"/>
    <w:rsid w:val="00CF3FEF"/>
    <w:rsid w:val="00CF47AB"/>
    <w:rsid w:val="00CF499E"/>
    <w:rsid w:val="00CF4FA9"/>
    <w:rsid w:val="00CF5618"/>
    <w:rsid w:val="00CF587F"/>
    <w:rsid w:val="00CF65CA"/>
    <w:rsid w:val="00CF685C"/>
    <w:rsid w:val="00CF7582"/>
    <w:rsid w:val="00D0023C"/>
    <w:rsid w:val="00D007B1"/>
    <w:rsid w:val="00D00B84"/>
    <w:rsid w:val="00D012DE"/>
    <w:rsid w:val="00D015BC"/>
    <w:rsid w:val="00D01712"/>
    <w:rsid w:val="00D01F68"/>
    <w:rsid w:val="00D02538"/>
    <w:rsid w:val="00D0318E"/>
    <w:rsid w:val="00D038D3"/>
    <w:rsid w:val="00D03D64"/>
    <w:rsid w:val="00D03F20"/>
    <w:rsid w:val="00D046DC"/>
    <w:rsid w:val="00D063D4"/>
    <w:rsid w:val="00D06B4C"/>
    <w:rsid w:val="00D07152"/>
    <w:rsid w:val="00D073D3"/>
    <w:rsid w:val="00D07FC6"/>
    <w:rsid w:val="00D105A1"/>
    <w:rsid w:val="00D1089A"/>
    <w:rsid w:val="00D10C7D"/>
    <w:rsid w:val="00D113BA"/>
    <w:rsid w:val="00D1264F"/>
    <w:rsid w:val="00D1398F"/>
    <w:rsid w:val="00D13C0F"/>
    <w:rsid w:val="00D13DCC"/>
    <w:rsid w:val="00D141FF"/>
    <w:rsid w:val="00D148F0"/>
    <w:rsid w:val="00D14A36"/>
    <w:rsid w:val="00D1544A"/>
    <w:rsid w:val="00D17369"/>
    <w:rsid w:val="00D17735"/>
    <w:rsid w:val="00D17816"/>
    <w:rsid w:val="00D17EDA"/>
    <w:rsid w:val="00D20268"/>
    <w:rsid w:val="00D202F3"/>
    <w:rsid w:val="00D20D5E"/>
    <w:rsid w:val="00D212D7"/>
    <w:rsid w:val="00D21954"/>
    <w:rsid w:val="00D23A5F"/>
    <w:rsid w:val="00D23B5E"/>
    <w:rsid w:val="00D23FDB"/>
    <w:rsid w:val="00D249EC"/>
    <w:rsid w:val="00D25235"/>
    <w:rsid w:val="00D252E3"/>
    <w:rsid w:val="00D2555A"/>
    <w:rsid w:val="00D25909"/>
    <w:rsid w:val="00D25F62"/>
    <w:rsid w:val="00D26370"/>
    <w:rsid w:val="00D26BC2"/>
    <w:rsid w:val="00D270F3"/>
    <w:rsid w:val="00D27102"/>
    <w:rsid w:val="00D27500"/>
    <w:rsid w:val="00D30A97"/>
    <w:rsid w:val="00D312AA"/>
    <w:rsid w:val="00D316B0"/>
    <w:rsid w:val="00D318BB"/>
    <w:rsid w:val="00D31E66"/>
    <w:rsid w:val="00D32516"/>
    <w:rsid w:val="00D32E07"/>
    <w:rsid w:val="00D33101"/>
    <w:rsid w:val="00D33374"/>
    <w:rsid w:val="00D34400"/>
    <w:rsid w:val="00D34C64"/>
    <w:rsid w:val="00D35B63"/>
    <w:rsid w:val="00D3609E"/>
    <w:rsid w:val="00D36EAF"/>
    <w:rsid w:val="00D371D6"/>
    <w:rsid w:val="00D40729"/>
    <w:rsid w:val="00D407DF"/>
    <w:rsid w:val="00D40DE8"/>
    <w:rsid w:val="00D412CC"/>
    <w:rsid w:val="00D4184C"/>
    <w:rsid w:val="00D41DCD"/>
    <w:rsid w:val="00D42F61"/>
    <w:rsid w:val="00D4300B"/>
    <w:rsid w:val="00D4328C"/>
    <w:rsid w:val="00D43E46"/>
    <w:rsid w:val="00D440C3"/>
    <w:rsid w:val="00D454BD"/>
    <w:rsid w:val="00D455CF"/>
    <w:rsid w:val="00D45DAF"/>
    <w:rsid w:val="00D46330"/>
    <w:rsid w:val="00D4640B"/>
    <w:rsid w:val="00D502D6"/>
    <w:rsid w:val="00D503CC"/>
    <w:rsid w:val="00D51261"/>
    <w:rsid w:val="00D512EE"/>
    <w:rsid w:val="00D51344"/>
    <w:rsid w:val="00D523FC"/>
    <w:rsid w:val="00D5296D"/>
    <w:rsid w:val="00D53673"/>
    <w:rsid w:val="00D54431"/>
    <w:rsid w:val="00D54D76"/>
    <w:rsid w:val="00D54FFF"/>
    <w:rsid w:val="00D551A5"/>
    <w:rsid w:val="00D55558"/>
    <w:rsid w:val="00D558FD"/>
    <w:rsid w:val="00D560B4"/>
    <w:rsid w:val="00D56B1C"/>
    <w:rsid w:val="00D572A6"/>
    <w:rsid w:val="00D57695"/>
    <w:rsid w:val="00D577CB"/>
    <w:rsid w:val="00D6030F"/>
    <w:rsid w:val="00D60355"/>
    <w:rsid w:val="00D60424"/>
    <w:rsid w:val="00D606A4"/>
    <w:rsid w:val="00D60AFC"/>
    <w:rsid w:val="00D612BD"/>
    <w:rsid w:val="00D6216B"/>
    <w:rsid w:val="00D62403"/>
    <w:rsid w:val="00D625F2"/>
    <w:rsid w:val="00D6415B"/>
    <w:rsid w:val="00D648B0"/>
    <w:rsid w:val="00D64BEF"/>
    <w:rsid w:val="00D650CE"/>
    <w:rsid w:val="00D651FE"/>
    <w:rsid w:val="00D661F6"/>
    <w:rsid w:val="00D6675D"/>
    <w:rsid w:val="00D67BEA"/>
    <w:rsid w:val="00D67DC3"/>
    <w:rsid w:val="00D70399"/>
    <w:rsid w:val="00D7159F"/>
    <w:rsid w:val="00D717CB"/>
    <w:rsid w:val="00D71C36"/>
    <w:rsid w:val="00D73B1B"/>
    <w:rsid w:val="00D73B4D"/>
    <w:rsid w:val="00D73E97"/>
    <w:rsid w:val="00D744E5"/>
    <w:rsid w:val="00D74D3F"/>
    <w:rsid w:val="00D752D6"/>
    <w:rsid w:val="00D753A1"/>
    <w:rsid w:val="00D75CB2"/>
    <w:rsid w:val="00D76B98"/>
    <w:rsid w:val="00D77052"/>
    <w:rsid w:val="00D77952"/>
    <w:rsid w:val="00D77D61"/>
    <w:rsid w:val="00D808E1"/>
    <w:rsid w:val="00D80D8F"/>
    <w:rsid w:val="00D81436"/>
    <w:rsid w:val="00D83099"/>
    <w:rsid w:val="00D839EF"/>
    <w:rsid w:val="00D83EAC"/>
    <w:rsid w:val="00D840F2"/>
    <w:rsid w:val="00D868E7"/>
    <w:rsid w:val="00D86F4E"/>
    <w:rsid w:val="00D86F58"/>
    <w:rsid w:val="00D87069"/>
    <w:rsid w:val="00D87366"/>
    <w:rsid w:val="00D87940"/>
    <w:rsid w:val="00D90358"/>
    <w:rsid w:val="00D909E4"/>
    <w:rsid w:val="00D90BAE"/>
    <w:rsid w:val="00D91C7B"/>
    <w:rsid w:val="00D9259F"/>
    <w:rsid w:val="00D92CB7"/>
    <w:rsid w:val="00D932A0"/>
    <w:rsid w:val="00D9346E"/>
    <w:rsid w:val="00D93588"/>
    <w:rsid w:val="00D93A41"/>
    <w:rsid w:val="00D947FA"/>
    <w:rsid w:val="00D94BE2"/>
    <w:rsid w:val="00D94EC5"/>
    <w:rsid w:val="00D94EDD"/>
    <w:rsid w:val="00D96457"/>
    <w:rsid w:val="00D969FA"/>
    <w:rsid w:val="00D97A19"/>
    <w:rsid w:val="00D97D68"/>
    <w:rsid w:val="00D97E62"/>
    <w:rsid w:val="00DA1401"/>
    <w:rsid w:val="00DA1F12"/>
    <w:rsid w:val="00DA39D5"/>
    <w:rsid w:val="00DA3E5E"/>
    <w:rsid w:val="00DA3EFD"/>
    <w:rsid w:val="00DA4EAB"/>
    <w:rsid w:val="00DA5339"/>
    <w:rsid w:val="00DA61BE"/>
    <w:rsid w:val="00DA62A4"/>
    <w:rsid w:val="00DA6460"/>
    <w:rsid w:val="00DA6888"/>
    <w:rsid w:val="00DA6948"/>
    <w:rsid w:val="00DA6951"/>
    <w:rsid w:val="00DA7052"/>
    <w:rsid w:val="00DA71FA"/>
    <w:rsid w:val="00DB0498"/>
    <w:rsid w:val="00DB2813"/>
    <w:rsid w:val="00DB283C"/>
    <w:rsid w:val="00DB2E22"/>
    <w:rsid w:val="00DB30C9"/>
    <w:rsid w:val="00DB3126"/>
    <w:rsid w:val="00DB3594"/>
    <w:rsid w:val="00DB3C11"/>
    <w:rsid w:val="00DB3CE7"/>
    <w:rsid w:val="00DB3D87"/>
    <w:rsid w:val="00DB4495"/>
    <w:rsid w:val="00DB685B"/>
    <w:rsid w:val="00DB7DF1"/>
    <w:rsid w:val="00DB7F89"/>
    <w:rsid w:val="00DC0C41"/>
    <w:rsid w:val="00DC128A"/>
    <w:rsid w:val="00DC2296"/>
    <w:rsid w:val="00DC22A9"/>
    <w:rsid w:val="00DC2BFD"/>
    <w:rsid w:val="00DC3D64"/>
    <w:rsid w:val="00DC4008"/>
    <w:rsid w:val="00DC462A"/>
    <w:rsid w:val="00DC590E"/>
    <w:rsid w:val="00DC5F3C"/>
    <w:rsid w:val="00DC6A23"/>
    <w:rsid w:val="00DC6FB2"/>
    <w:rsid w:val="00DC74B4"/>
    <w:rsid w:val="00DC754C"/>
    <w:rsid w:val="00DC7D4A"/>
    <w:rsid w:val="00DD0C27"/>
    <w:rsid w:val="00DD0F8A"/>
    <w:rsid w:val="00DD165E"/>
    <w:rsid w:val="00DD1953"/>
    <w:rsid w:val="00DD3769"/>
    <w:rsid w:val="00DD414B"/>
    <w:rsid w:val="00DD4922"/>
    <w:rsid w:val="00DD4B7A"/>
    <w:rsid w:val="00DD582C"/>
    <w:rsid w:val="00DD61F7"/>
    <w:rsid w:val="00DD6C01"/>
    <w:rsid w:val="00DD7060"/>
    <w:rsid w:val="00DD74D1"/>
    <w:rsid w:val="00DD769A"/>
    <w:rsid w:val="00DD7A47"/>
    <w:rsid w:val="00DE011F"/>
    <w:rsid w:val="00DE0E8A"/>
    <w:rsid w:val="00DE1D06"/>
    <w:rsid w:val="00DE1E14"/>
    <w:rsid w:val="00DE237C"/>
    <w:rsid w:val="00DE24A1"/>
    <w:rsid w:val="00DE2B3D"/>
    <w:rsid w:val="00DE4165"/>
    <w:rsid w:val="00DE4B6E"/>
    <w:rsid w:val="00DE4D42"/>
    <w:rsid w:val="00DE5308"/>
    <w:rsid w:val="00DE57D0"/>
    <w:rsid w:val="00DE66EF"/>
    <w:rsid w:val="00DE6F82"/>
    <w:rsid w:val="00DE7A42"/>
    <w:rsid w:val="00DE7B3D"/>
    <w:rsid w:val="00DF1823"/>
    <w:rsid w:val="00DF1FAF"/>
    <w:rsid w:val="00DF272D"/>
    <w:rsid w:val="00DF2BD8"/>
    <w:rsid w:val="00DF33CD"/>
    <w:rsid w:val="00DF4341"/>
    <w:rsid w:val="00DF4794"/>
    <w:rsid w:val="00DF5A2A"/>
    <w:rsid w:val="00DF5F46"/>
    <w:rsid w:val="00DF6A27"/>
    <w:rsid w:val="00DF6C4E"/>
    <w:rsid w:val="00DF6D00"/>
    <w:rsid w:val="00DF70F5"/>
    <w:rsid w:val="00DF74AB"/>
    <w:rsid w:val="00DF7A10"/>
    <w:rsid w:val="00DF7EB8"/>
    <w:rsid w:val="00E0033C"/>
    <w:rsid w:val="00E010AB"/>
    <w:rsid w:val="00E01451"/>
    <w:rsid w:val="00E02270"/>
    <w:rsid w:val="00E04336"/>
    <w:rsid w:val="00E0442C"/>
    <w:rsid w:val="00E058D2"/>
    <w:rsid w:val="00E05969"/>
    <w:rsid w:val="00E05BED"/>
    <w:rsid w:val="00E06479"/>
    <w:rsid w:val="00E06B80"/>
    <w:rsid w:val="00E0703C"/>
    <w:rsid w:val="00E071B5"/>
    <w:rsid w:val="00E07D3D"/>
    <w:rsid w:val="00E1002E"/>
    <w:rsid w:val="00E110D5"/>
    <w:rsid w:val="00E111E9"/>
    <w:rsid w:val="00E11254"/>
    <w:rsid w:val="00E125C5"/>
    <w:rsid w:val="00E12803"/>
    <w:rsid w:val="00E128B9"/>
    <w:rsid w:val="00E13843"/>
    <w:rsid w:val="00E14749"/>
    <w:rsid w:val="00E15EF8"/>
    <w:rsid w:val="00E1624B"/>
    <w:rsid w:val="00E16F07"/>
    <w:rsid w:val="00E17130"/>
    <w:rsid w:val="00E17629"/>
    <w:rsid w:val="00E17E5E"/>
    <w:rsid w:val="00E207FA"/>
    <w:rsid w:val="00E208B0"/>
    <w:rsid w:val="00E20F37"/>
    <w:rsid w:val="00E21246"/>
    <w:rsid w:val="00E21963"/>
    <w:rsid w:val="00E220BC"/>
    <w:rsid w:val="00E22ACF"/>
    <w:rsid w:val="00E22BCA"/>
    <w:rsid w:val="00E23048"/>
    <w:rsid w:val="00E25B20"/>
    <w:rsid w:val="00E25DBE"/>
    <w:rsid w:val="00E2693A"/>
    <w:rsid w:val="00E26CAB"/>
    <w:rsid w:val="00E26EB1"/>
    <w:rsid w:val="00E2729E"/>
    <w:rsid w:val="00E272F6"/>
    <w:rsid w:val="00E27A2B"/>
    <w:rsid w:val="00E27FAA"/>
    <w:rsid w:val="00E32042"/>
    <w:rsid w:val="00E324B3"/>
    <w:rsid w:val="00E32C27"/>
    <w:rsid w:val="00E33194"/>
    <w:rsid w:val="00E33229"/>
    <w:rsid w:val="00E3383A"/>
    <w:rsid w:val="00E339A9"/>
    <w:rsid w:val="00E348F8"/>
    <w:rsid w:val="00E34984"/>
    <w:rsid w:val="00E34BB6"/>
    <w:rsid w:val="00E354C6"/>
    <w:rsid w:val="00E35E5F"/>
    <w:rsid w:val="00E3644D"/>
    <w:rsid w:val="00E3665A"/>
    <w:rsid w:val="00E36B1E"/>
    <w:rsid w:val="00E37158"/>
    <w:rsid w:val="00E37217"/>
    <w:rsid w:val="00E37F34"/>
    <w:rsid w:val="00E40083"/>
    <w:rsid w:val="00E403A5"/>
    <w:rsid w:val="00E40545"/>
    <w:rsid w:val="00E40718"/>
    <w:rsid w:val="00E41190"/>
    <w:rsid w:val="00E41B23"/>
    <w:rsid w:val="00E41FF2"/>
    <w:rsid w:val="00E428D8"/>
    <w:rsid w:val="00E431DE"/>
    <w:rsid w:val="00E4352D"/>
    <w:rsid w:val="00E43A47"/>
    <w:rsid w:val="00E442A5"/>
    <w:rsid w:val="00E4444C"/>
    <w:rsid w:val="00E4467D"/>
    <w:rsid w:val="00E45C30"/>
    <w:rsid w:val="00E47002"/>
    <w:rsid w:val="00E47072"/>
    <w:rsid w:val="00E476F0"/>
    <w:rsid w:val="00E47F85"/>
    <w:rsid w:val="00E51197"/>
    <w:rsid w:val="00E513DD"/>
    <w:rsid w:val="00E5158A"/>
    <w:rsid w:val="00E528FC"/>
    <w:rsid w:val="00E54421"/>
    <w:rsid w:val="00E55052"/>
    <w:rsid w:val="00E55678"/>
    <w:rsid w:val="00E55769"/>
    <w:rsid w:val="00E57164"/>
    <w:rsid w:val="00E57220"/>
    <w:rsid w:val="00E600D6"/>
    <w:rsid w:val="00E6076C"/>
    <w:rsid w:val="00E60F1F"/>
    <w:rsid w:val="00E624E1"/>
    <w:rsid w:val="00E625D5"/>
    <w:rsid w:val="00E63422"/>
    <w:rsid w:val="00E63965"/>
    <w:rsid w:val="00E65AD5"/>
    <w:rsid w:val="00E662BE"/>
    <w:rsid w:val="00E667D9"/>
    <w:rsid w:val="00E6719D"/>
    <w:rsid w:val="00E67246"/>
    <w:rsid w:val="00E672F8"/>
    <w:rsid w:val="00E676D9"/>
    <w:rsid w:val="00E70B85"/>
    <w:rsid w:val="00E717DC"/>
    <w:rsid w:val="00E71B93"/>
    <w:rsid w:val="00E71D54"/>
    <w:rsid w:val="00E71FE4"/>
    <w:rsid w:val="00E7268C"/>
    <w:rsid w:val="00E72E89"/>
    <w:rsid w:val="00E7346B"/>
    <w:rsid w:val="00E73988"/>
    <w:rsid w:val="00E74156"/>
    <w:rsid w:val="00E74752"/>
    <w:rsid w:val="00E749D4"/>
    <w:rsid w:val="00E74F65"/>
    <w:rsid w:val="00E75547"/>
    <w:rsid w:val="00E7571D"/>
    <w:rsid w:val="00E77EB8"/>
    <w:rsid w:val="00E803DA"/>
    <w:rsid w:val="00E80673"/>
    <w:rsid w:val="00E80DD7"/>
    <w:rsid w:val="00E81304"/>
    <w:rsid w:val="00E820E3"/>
    <w:rsid w:val="00E83698"/>
    <w:rsid w:val="00E838DF"/>
    <w:rsid w:val="00E8395E"/>
    <w:rsid w:val="00E8444A"/>
    <w:rsid w:val="00E847C7"/>
    <w:rsid w:val="00E84A94"/>
    <w:rsid w:val="00E850AC"/>
    <w:rsid w:val="00E85972"/>
    <w:rsid w:val="00E864C6"/>
    <w:rsid w:val="00E86920"/>
    <w:rsid w:val="00E86A2C"/>
    <w:rsid w:val="00E872C2"/>
    <w:rsid w:val="00E87A3C"/>
    <w:rsid w:val="00E87BD6"/>
    <w:rsid w:val="00E90F3D"/>
    <w:rsid w:val="00E91B44"/>
    <w:rsid w:val="00E921FC"/>
    <w:rsid w:val="00E92335"/>
    <w:rsid w:val="00E9283E"/>
    <w:rsid w:val="00E936D5"/>
    <w:rsid w:val="00E93CB4"/>
    <w:rsid w:val="00E943EA"/>
    <w:rsid w:val="00E946C0"/>
    <w:rsid w:val="00E94E59"/>
    <w:rsid w:val="00E95592"/>
    <w:rsid w:val="00E95AEB"/>
    <w:rsid w:val="00E95F51"/>
    <w:rsid w:val="00E9656E"/>
    <w:rsid w:val="00E96760"/>
    <w:rsid w:val="00E97030"/>
    <w:rsid w:val="00E973D3"/>
    <w:rsid w:val="00E9741C"/>
    <w:rsid w:val="00E977BF"/>
    <w:rsid w:val="00E97BD0"/>
    <w:rsid w:val="00EA0CFF"/>
    <w:rsid w:val="00EA178F"/>
    <w:rsid w:val="00EA1918"/>
    <w:rsid w:val="00EA1AEE"/>
    <w:rsid w:val="00EA2350"/>
    <w:rsid w:val="00EA2506"/>
    <w:rsid w:val="00EA40D9"/>
    <w:rsid w:val="00EA4724"/>
    <w:rsid w:val="00EA52EF"/>
    <w:rsid w:val="00EA60D9"/>
    <w:rsid w:val="00EA695E"/>
    <w:rsid w:val="00EA6B6E"/>
    <w:rsid w:val="00EA710A"/>
    <w:rsid w:val="00EA7F6A"/>
    <w:rsid w:val="00EB061A"/>
    <w:rsid w:val="00EB10B4"/>
    <w:rsid w:val="00EB1137"/>
    <w:rsid w:val="00EB14E3"/>
    <w:rsid w:val="00EB2240"/>
    <w:rsid w:val="00EB23E1"/>
    <w:rsid w:val="00EB27CE"/>
    <w:rsid w:val="00EB30F8"/>
    <w:rsid w:val="00EB32D0"/>
    <w:rsid w:val="00EB34C7"/>
    <w:rsid w:val="00EB3706"/>
    <w:rsid w:val="00EB3788"/>
    <w:rsid w:val="00EB3978"/>
    <w:rsid w:val="00EB3B06"/>
    <w:rsid w:val="00EB46BF"/>
    <w:rsid w:val="00EB4861"/>
    <w:rsid w:val="00EB4E9A"/>
    <w:rsid w:val="00EB53BD"/>
    <w:rsid w:val="00EB5743"/>
    <w:rsid w:val="00EB627A"/>
    <w:rsid w:val="00EB68E1"/>
    <w:rsid w:val="00EB6AAF"/>
    <w:rsid w:val="00EB71C2"/>
    <w:rsid w:val="00EB74D7"/>
    <w:rsid w:val="00EB7A62"/>
    <w:rsid w:val="00EC06F0"/>
    <w:rsid w:val="00EC11C1"/>
    <w:rsid w:val="00EC1D5C"/>
    <w:rsid w:val="00EC208D"/>
    <w:rsid w:val="00EC25CE"/>
    <w:rsid w:val="00EC2A21"/>
    <w:rsid w:val="00EC2A2E"/>
    <w:rsid w:val="00EC36E8"/>
    <w:rsid w:val="00EC376A"/>
    <w:rsid w:val="00EC37CE"/>
    <w:rsid w:val="00EC3BD1"/>
    <w:rsid w:val="00EC3CB0"/>
    <w:rsid w:val="00EC4169"/>
    <w:rsid w:val="00EC44A2"/>
    <w:rsid w:val="00EC46AC"/>
    <w:rsid w:val="00EC4AED"/>
    <w:rsid w:val="00EC4F22"/>
    <w:rsid w:val="00EC63A4"/>
    <w:rsid w:val="00EC706A"/>
    <w:rsid w:val="00EC70F6"/>
    <w:rsid w:val="00EC79E1"/>
    <w:rsid w:val="00ED0075"/>
    <w:rsid w:val="00ED09BB"/>
    <w:rsid w:val="00ED16A4"/>
    <w:rsid w:val="00ED1883"/>
    <w:rsid w:val="00ED2425"/>
    <w:rsid w:val="00ED24EC"/>
    <w:rsid w:val="00ED268B"/>
    <w:rsid w:val="00ED26EC"/>
    <w:rsid w:val="00ED3CB1"/>
    <w:rsid w:val="00ED3E37"/>
    <w:rsid w:val="00ED4A45"/>
    <w:rsid w:val="00ED4CEC"/>
    <w:rsid w:val="00ED6130"/>
    <w:rsid w:val="00ED73CF"/>
    <w:rsid w:val="00ED7814"/>
    <w:rsid w:val="00EE18CB"/>
    <w:rsid w:val="00EE1E8F"/>
    <w:rsid w:val="00EE24ED"/>
    <w:rsid w:val="00EE34AB"/>
    <w:rsid w:val="00EE3768"/>
    <w:rsid w:val="00EE3C6A"/>
    <w:rsid w:val="00EE469B"/>
    <w:rsid w:val="00EE49D4"/>
    <w:rsid w:val="00EE5EE0"/>
    <w:rsid w:val="00EE5F0E"/>
    <w:rsid w:val="00EE7671"/>
    <w:rsid w:val="00EE769E"/>
    <w:rsid w:val="00EF0648"/>
    <w:rsid w:val="00EF083D"/>
    <w:rsid w:val="00EF160E"/>
    <w:rsid w:val="00EF174C"/>
    <w:rsid w:val="00EF21DA"/>
    <w:rsid w:val="00EF3595"/>
    <w:rsid w:val="00EF3A8D"/>
    <w:rsid w:val="00EF3C70"/>
    <w:rsid w:val="00EF48E3"/>
    <w:rsid w:val="00EF4C86"/>
    <w:rsid w:val="00EF5428"/>
    <w:rsid w:val="00EF5A4D"/>
    <w:rsid w:val="00EF642D"/>
    <w:rsid w:val="00EF6890"/>
    <w:rsid w:val="00EF7103"/>
    <w:rsid w:val="00EF7604"/>
    <w:rsid w:val="00F00527"/>
    <w:rsid w:val="00F00E37"/>
    <w:rsid w:val="00F01AE2"/>
    <w:rsid w:val="00F04BCA"/>
    <w:rsid w:val="00F062AE"/>
    <w:rsid w:val="00F0658A"/>
    <w:rsid w:val="00F069A9"/>
    <w:rsid w:val="00F06ECB"/>
    <w:rsid w:val="00F07917"/>
    <w:rsid w:val="00F0799E"/>
    <w:rsid w:val="00F07EF9"/>
    <w:rsid w:val="00F100B3"/>
    <w:rsid w:val="00F101C3"/>
    <w:rsid w:val="00F11479"/>
    <w:rsid w:val="00F11823"/>
    <w:rsid w:val="00F12269"/>
    <w:rsid w:val="00F12460"/>
    <w:rsid w:val="00F13495"/>
    <w:rsid w:val="00F13564"/>
    <w:rsid w:val="00F13EA3"/>
    <w:rsid w:val="00F155DE"/>
    <w:rsid w:val="00F15A7A"/>
    <w:rsid w:val="00F162BD"/>
    <w:rsid w:val="00F17FD8"/>
    <w:rsid w:val="00F20411"/>
    <w:rsid w:val="00F21218"/>
    <w:rsid w:val="00F2134A"/>
    <w:rsid w:val="00F21661"/>
    <w:rsid w:val="00F21E9D"/>
    <w:rsid w:val="00F22558"/>
    <w:rsid w:val="00F232EF"/>
    <w:rsid w:val="00F23902"/>
    <w:rsid w:val="00F23C03"/>
    <w:rsid w:val="00F24054"/>
    <w:rsid w:val="00F25222"/>
    <w:rsid w:val="00F257A2"/>
    <w:rsid w:val="00F25E56"/>
    <w:rsid w:val="00F266F8"/>
    <w:rsid w:val="00F2691A"/>
    <w:rsid w:val="00F301A6"/>
    <w:rsid w:val="00F303D3"/>
    <w:rsid w:val="00F3047E"/>
    <w:rsid w:val="00F3075D"/>
    <w:rsid w:val="00F30823"/>
    <w:rsid w:val="00F3084F"/>
    <w:rsid w:val="00F30E1A"/>
    <w:rsid w:val="00F314C6"/>
    <w:rsid w:val="00F33565"/>
    <w:rsid w:val="00F33714"/>
    <w:rsid w:val="00F3380D"/>
    <w:rsid w:val="00F33A4C"/>
    <w:rsid w:val="00F33F6A"/>
    <w:rsid w:val="00F3417A"/>
    <w:rsid w:val="00F34929"/>
    <w:rsid w:val="00F34E46"/>
    <w:rsid w:val="00F34EFC"/>
    <w:rsid w:val="00F35BBB"/>
    <w:rsid w:val="00F36BA4"/>
    <w:rsid w:val="00F370D7"/>
    <w:rsid w:val="00F41225"/>
    <w:rsid w:val="00F4125F"/>
    <w:rsid w:val="00F41378"/>
    <w:rsid w:val="00F427DA"/>
    <w:rsid w:val="00F43B42"/>
    <w:rsid w:val="00F442FF"/>
    <w:rsid w:val="00F44753"/>
    <w:rsid w:val="00F44E93"/>
    <w:rsid w:val="00F4523B"/>
    <w:rsid w:val="00F458D3"/>
    <w:rsid w:val="00F45F90"/>
    <w:rsid w:val="00F47C37"/>
    <w:rsid w:val="00F47CA7"/>
    <w:rsid w:val="00F47D9B"/>
    <w:rsid w:val="00F501D3"/>
    <w:rsid w:val="00F504AA"/>
    <w:rsid w:val="00F5219E"/>
    <w:rsid w:val="00F52D47"/>
    <w:rsid w:val="00F52D7E"/>
    <w:rsid w:val="00F52F18"/>
    <w:rsid w:val="00F530F1"/>
    <w:rsid w:val="00F536E0"/>
    <w:rsid w:val="00F53742"/>
    <w:rsid w:val="00F538FE"/>
    <w:rsid w:val="00F53CAE"/>
    <w:rsid w:val="00F53EC1"/>
    <w:rsid w:val="00F54393"/>
    <w:rsid w:val="00F54D82"/>
    <w:rsid w:val="00F567FF"/>
    <w:rsid w:val="00F5748B"/>
    <w:rsid w:val="00F57BEA"/>
    <w:rsid w:val="00F57C21"/>
    <w:rsid w:val="00F57F76"/>
    <w:rsid w:val="00F605C9"/>
    <w:rsid w:val="00F606D8"/>
    <w:rsid w:val="00F60DA2"/>
    <w:rsid w:val="00F617C2"/>
    <w:rsid w:val="00F6330E"/>
    <w:rsid w:val="00F641FE"/>
    <w:rsid w:val="00F65431"/>
    <w:rsid w:val="00F6603E"/>
    <w:rsid w:val="00F6695E"/>
    <w:rsid w:val="00F66D1F"/>
    <w:rsid w:val="00F70889"/>
    <w:rsid w:val="00F71018"/>
    <w:rsid w:val="00F71EDD"/>
    <w:rsid w:val="00F72198"/>
    <w:rsid w:val="00F7268A"/>
    <w:rsid w:val="00F726D3"/>
    <w:rsid w:val="00F7296C"/>
    <w:rsid w:val="00F72ACB"/>
    <w:rsid w:val="00F730D3"/>
    <w:rsid w:val="00F739B5"/>
    <w:rsid w:val="00F73B28"/>
    <w:rsid w:val="00F7434A"/>
    <w:rsid w:val="00F74BC8"/>
    <w:rsid w:val="00F771B4"/>
    <w:rsid w:val="00F7781C"/>
    <w:rsid w:val="00F8019B"/>
    <w:rsid w:val="00F81304"/>
    <w:rsid w:val="00F81D66"/>
    <w:rsid w:val="00F832FE"/>
    <w:rsid w:val="00F835FA"/>
    <w:rsid w:val="00F84231"/>
    <w:rsid w:val="00F86F11"/>
    <w:rsid w:val="00F87E38"/>
    <w:rsid w:val="00F91258"/>
    <w:rsid w:val="00F91955"/>
    <w:rsid w:val="00F91EDE"/>
    <w:rsid w:val="00F92B86"/>
    <w:rsid w:val="00F93C39"/>
    <w:rsid w:val="00F954F1"/>
    <w:rsid w:val="00F955E0"/>
    <w:rsid w:val="00F966F9"/>
    <w:rsid w:val="00F96B1F"/>
    <w:rsid w:val="00FA0DC2"/>
    <w:rsid w:val="00FA159A"/>
    <w:rsid w:val="00FA1E42"/>
    <w:rsid w:val="00FA20D3"/>
    <w:rsid w:val="00FA25C0"/>
    <w:rsid w:val="00FA294A"/>
    <w:rsid w:val="00FA2CC5"/>
    <w:rsid w:val="00FA4025"/>
    <w:rsid w:val="00FA430A"/>
    <w:rsid w:val="00FA47E5"/>
    <w:rsid w:val="00FA4CE9"/>
    <w:rsid w:val="00FA552F"/>
    <w:rsid w:val="00FA596B"/>
    <w:rsid w:val="00FA6047"/>
    <w:rsid w:val="00FB0518"/>
    <w:rsid w:val="00FB0D3F"/>
    <w:rsid w:val="00FB12B8"/>
    <w:rsid w:val="00FB1433"/>
    <w:rsid w:val="00FB1C27"/>
    <w:rsid w:val="00FB216A"/>
    <w:rsid w:val="00FB2548"/>
    <w:rsid w:val="00FB2AED"/>
    <w:rsid w:val="00FB2EB8"/>
    <w:rsid w:val="00FB3A5D"/>
    <w:rsid w:val="00FB3FB6"/>
    <w:rsid w:val="00FB4353"/>
    <w:rsid w:val="00FB4841"/>
    <w:rsid w:val="00FB48B4"/>
    <w:rsid w:val="00FB501F"/>
    <w:rsid w:val="00FB551E"/>
    <w:rsid w:val="00FB5756"/>
    <w:rsid w:val="00FB5C1F"/>
    <w:rsid w:val="00FB665E"/>
    <w:rsid w:val="00FB7127"/>
    <w:rsid w:val="00FB7816"/>
    <w:rsid w:val="00FB7A10"/>
    <w:rsid w:val="00FB7C73"/>
    <w:rsid w:val="00FC0A1E"/>
    <w:rsid w:val="00FC0A37"/>
    <w:rsid w:val="00FC162A"/>
    <w:rsid w:val="00FC1C87"/>
    <w:rsid w:val="00FC1D2E"/>
    <w:rsid w:val="00FC4351"/>
    <w:rsid w:val="00FC48DD"/>
    <w:rsid w:val="00FC5124"/>
    <w:rsid w:val="00FC5EC3"/>
    <w:rsid w:val="00FC74CB"/>
    <w:rsid w:val="00FC74CC"/>
    <w:rsid w:val="00FC7703"/>
    <w:rsid w:val="00FC77F8"/>
    <w:rsid w:val="00FC780F"/>
    <w:rsid w:val="00FD099F"/>
    <w:rsid w:val="00FD0AE5"/>
    <w:rsid w:val="00FD2C06"/>
    <w:rsid w:val="00FD489F"/>
    <w:rsid w:val="00FD4AE9"/>
    <w:rsid w:val="00FD5043"/>
    <w:rsid w:val="00FD535D"/>
    <w:rsid w:val="00FD58D4"/>
    <w:rsid w:val="00FD6E97"/>
    <w:rsid w:val="00FE07DE"/>
    <w:rsid w:val="00FE26D6"/>
    <w:rsid w:val="00FE278C"/>
    <w:rsid w:val="00FE2D52"/>
    <w:rsid w:val="00FE3682"/>
    <w:rsid w:val="00FE3C29"/>
    <w:rsid w:val="00FE43F8"/>
    <w:rsid w:val="00FE4639"/>
    <w:rsid w:val="00FE659F"/>
    <w:rsid w:val="00FE71F0"/>
    <w:rsid w:val="00FE7A4B"/>
    <w:rsid w:val="00FF00AD"/>
    <w:rsid w:val="00FF0177"/>
    <w:rsid w:val="00FF117A"/>
    <w:rsid w:val="00FF156E"/>
    <w:rsid w:val="00FF17BE"/>
    <w:rsid w:val="00FF1FF2"/>
    <w:rsid w:val="00FF2735"/>
    <w:rsid w:val="00FF2F33"/>
    <w:rsid w:val="00FF3FDA"/>
    <w:rsid w:val="00FF48E5"/>
    <w:rsid w:val="00FF49B7"/>
    <w:rsid w:val="00FF52BB"/>
    <w:rsid w:val="00FF5CE5"/>
    <w:rsid w:val="00FF687D"/>
    <w:rsid w:val="00FF6AE7"/>
    <w:rsid w:val="00FF7B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ate"/>
  <w:smartTagType w:namespaceuri="urn:schemas-microsoft-com:office:smarttags" w:name="stockticker"/>
  <w:shapeDefaults>
    <o:shapedefaults v:ext="edit" spidmax="2050">
      <o:colormru v:ext="edit" colors="blue,lime"/>
    </o:shapedefaults>
    <o:shapelayout v:ext="edit">
      <o:idmap v:ext="edit" data="2"/>
    </o:shapelayout>
  </w:shapeDefaults>
  <w:decimalSymbol w:val="."/>
  <w:listSeparator w:val=","/>
  <w14:docId w14:val="7BED2D92"/>
  <w15:docId w15:val="{0D51F7D1-3656-4528-867D-D7DC085C31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3A4B"/>
  </w:style>
  <w:style w:type="paragraph" w:styleId="Heading1">
    <w:name w:val="heading 1"/>
    <w:basedOn w:val="Normal"/>
    <w:next w:val="Normal"/>
    <w:qFormat/>
    <w:rsid w:val="00160E58"/>
    <w:pPr>
      <w:keepNext/>
      <w:numPr>
        <w:numId w:val="31"/>
      </w:numPr>
      <w:spacing w:before="240" w:after="60"/>
      <w:outlineLvl w:val="0"/>
    </w:pPr>
    <w:rPr>
      <w:rFonts w:ascii="Arial" w:hAnsi="Arial"/>
      <w:b/>
      <w:smallCaps/>
      <w:kern w:val="28"/>
      <w:sz w:val="40"/>
    </w:rPr>
  </w:style>
  <w:style w:type="paragraph" w:styleId="Heading2">
    <w:name w:val="heading 2"/>
    <w:basedOn w:val="Normal"/>
    <w:next w:val="Normal"/>
    <w:qFormat/>
    <w:rsid w:val="00115674"/>
    <w:pPr>
      <w:keepNext/>
      <w:numPr>
        <w:ilvl w:val="1"/>
        <w:numId w:val="31"/>
      </w:numPr>
      <w:spacing w:before="240" w:after="60"/>
      <w:outlineLvl w:val="1"/>
    </w:pPr>
    <w:rPr>
      <w:rFonts w:ascii="Arial" w:hAnsi="Arial"/>
      <w:b/>
      <w:caps/>
      <w:sz w:val="28"/>
    </w:rPr>
  </w:style>
  <w:style w:type="paragraph" w:styleId="Heading3">
    <w:name w:val="heading 3"/>
    <w:basedOn w:val="Normal"/>
    <w:next w:val="Normal"/>
    <w:qFormat/>
    <w:rsid w:val="00115674"/>
    <w:pPr>
      <w:keepNext/>
      <w:numPr>
        <w:ilvl w:val="2"/>
        <w:numId w:val="31"/>
      </w:numPr>
      <w:spacing w:before="240" w:after="60"/>
      <w:outlineLvl w:val="2"/>
    </w:pPr>
    <w:rPr>
      <w:rFonts w:ascii="Arial" w:hAnsi="Arial"/>
      <w:b/>
      <w:i/>
      <w:sz w:val="24"/>
    </w:rPr>
  </w:style>
  <w:style w:type="paragraph" w:styleId="Heading4">
    <w:name w:val="heading 4"/>
    <w:basedOn w:val="Normal"/>
    <w:next w:val="Normal"/>
    <w:link w:val="Heading4Char"/>
    <w:qFormat/>
    <w:rsid w:val="00115674"/>
    <w:pPr>
      <w:keepNext/>
      <w:numPr>
        <w:ilvl w:val="3"/>
        <w:numId w:val="31"/>
      </w:numPr>
      <w:tabs>
        <w:tab w:val="left" w:pos="1080"/>
      </w:tabs>
      <w:outlineLvl w:val="3"/>
    </w:pPr>
    <w:rPr>
      <w:rFonts w:ascii="Arial" w:hAnsi="Arial"/>
      <w:b/>
      <w:i/>
      <w:sz w:val="24"/>
    </w:rPr>
  </w:style>
  <w:style w:type="paragraph" w:styleId="Heading5">
    <w:name w:val="heading 5"/>
    <w:basedOn w:val="Normal"/>
    <w:next w:val="Normal"/>
    <w:qFormat/>
    <w:rsid w:val="00115674"/>
    <w:pPr>
      <w:keepNext/>
      <w:numPr>
        <w:ilvl w:val="4"/>
        <w:numId w:val="31"/>
      </w:numPr>
      <w:tabs>
        <w:tab w:val="left" w:pos="1080"/>
      </w:tabs>
      <w:ind w:left="1098"/>
      <w:outlineLvl w:val="4"/>
    </w:pPr>
    <w:rPr>
      <w:rFonts w:ascii="Arial" w:hAnsi="Arial"/>
      <w:b/>
      <w:sz w:val="22"/>
    </w:rPr>
  </w:style>
  <w:style w:type="paragraph" w:styleId="Heading6">
    <w:name w:val="heading 6"/>
    <w:basedOn w:val="Normal"/>
    <w:next w:val="Normal"/>
    <w:link w:val="Heading6Char"/>
    <w:qFormat/>
    <w:rsid w:val="00115674"/>
    <w:pPr>
      <w:keepNext/>
      <w:numPr>
        <w:ilvl w:val="5"/>
        <w:numId w:val="31"/>
      </w:numPr>
      <w:ind w:left="1152"/>
      <w:outlineLvl w:val="5"/>
    </w:pPr>
    <w:rPr>
      <w:rFonts w:ascii="Arial" w:hAnsi="Arial"/>
      <w:i/>
      <w:sz w:val="22"/>
    </w:rPr>
  </w:style>
  <w:style w:type="paragraph" w:styleId="Heading7">
    <w:name w:val="heading 7"/>
    <w:basedOn w:val="Normal"/>
    <w:next w:val="Normal"/>
    <w:qFormat/>
    <w:rsid w:val="00897073"/>
    <w:pPr>
      <w:keepNext/>
      <w:numPr>
        <w:ilvl w:val="6"/>
        <w:numId w:val="31"/>
      </w:numPr>
      <w:outlineLvl w:val="6"/>
    </w:pPr>
    <w:rPr>
      <w:rFonts w:ascii="Arial" w:hAnsi="Arial"/>
      <w:b/>
      <w:color w:val="FFFFFF"/>
      <w:sz w:val="18"/>
    </w:rPr>
  </w:style>
  <w:style w:type="paragraph" w:styleId="Heading8">
    <w:name w:val="heading 8"/>
    <w:basedOn w:val="Normal"/>
    <w:next w:val="Normal"/>
    <w:qFormat/>
    <w:rsid w:val="00897073"/>
    <w:pPr>
      <w:keepNext/>
      <w:numPr>
        <w:ilvl w:val="7"/>
        <w:numId w:val="31"/>
      </w:numPr>
      <w:outlineLvl w:val="7"/>
    </w:pPr>
    <w:rPr>
      <w:rFonts w:ascii="Arial" w:hAnsi="Arial"/>
      <w:sz w:val="36"/>
    </w:rPr>
  </w:style>
  <w:style w:type="paragraph" w:styleId="Heading9">
    <w:name w:val="heading 9"/>
    <w:basedOn w:val="Normal"/>
    <w:next w:val="Normal"/>
    <w:qFormat/>
    <w:rsid w:val="00897073"/>
    <w:pPr>
      <w:numPr>
        <w:ilvl w:val="8"/>
        <w:numId w:val="31"/>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autoRedefine/>
    <w:rsid w:val="00115674"/>
    <w:pPr>
      <w:ind w:left="1080"/>
      <w:jc w:val="both"/>
    </w:pPr>
    <w:rPr>
      <w:rFonts w:ascii="Arial" w:hAnsi="Arial"/>
      <w:sz w:val="22"/>
    </w:rPr>
  </w:style>
  <w:style w:type="paragraph" w:styleId="Footer">
    <w:name w:val="footer"/>
    <w:basedOn w:val="Normal"/>
    <w:link w:val="FooterChar"/>
    <w:rsid w:val="00897073"/>
    <w:pPr>
      <w:tabs>
        <w:tab w:val="center" w:pos="4320"/>
        <w:tab w:val="right" w:pos="8640"/>
      </w:tabs>
    </w:pPr>
    <w:rPr>
      <w:rFonts w:ascii="Arial" w:hAnsi="Arial"/>
      <w:sz w:val="22"/>
    </w:rPr>
  </w:style>
  <w:style w:type="character" w:customStyle="1" w:styleId="FooterChar">
    <w:name w:val="Footer Char"/>
    <w:basedOn w:val="DefaultParagraphFont"/>
    <w:link w:val="Footer"/>
    <w:rsid w:val="000F4A02"/>
    <w:rPr>
      <w:rFonts w:ascii="Arial" w:hAnsi="Arial"/>
      <w:sz w:val="22"/>
    </w:rPr>
  </w:style>
  <w:style w:type="paragraph" w:styleId="TOC1">
    <w:name w:val="toc 1"/>
    <w:basedOn w:val="Normal"/>
    <w:next w:val="Normal"/>
    <w:autoRedefine/>
    <w:uiPriority w:val="39"/>
    <w:qFormat/>
    <w:rsid w:val="00994B26"/>
    <w:pPr>
      <w:tabs>
        <w:tab w:val="left" w:pos="630"/>
        <w:tab w:val="right" w:leader="dot" w:pos="8630"/>
      </w:tabs>
      <w:spacing w:before="120"/>
    </w:pPr>
    <w:rPr>
      <w:rFonts w:ascii="Arial" w:hAnsi="Arial"/>
      <w:b/>
      <w:noProof/>
      <w:sz w:val="22"/>
    </w:rPr>
  </w:style>
  <w:style w:type="paragraph" w:styleId="TOC2">
    <w:name w:val="toc 2"/>
    <w:basedOn w:val="Normal"/>
    <w:next w:val="Normal"/>
    <w:autoRedefine/>
    <w:uiPriority w:val="39"/>
    <w:qFormat/>
    <w:rsid w:val="004A4315"/>
    <w:pPr>
      <w:tabs>
        <w:tab w:val="left" w:pos="810"/>
        <w:tab w:val="right" w:leader="dot" w:pos="8630"/>
      </w:tabs>
      <w:ind w:left="200"/>
    </w:pPr>
    <w:rPr>
      <w:rFonts w:ascii="Arial" w:hAnsi="Arial"/>
      <w:noProof/>
      <w:sz w:val="18"/>
    </w:rPr>
  </w:style>
  <w:style w:type="paragraph" w:styleId="BodyText">
    <w:name w:val="Body Text"/>
    <w:aliases w:val="Body Text Char,Body Text Char1 Char,Body Text Char Char Char,Body Text Char1 Char Char Char1,Body Text Char Char Char Char Char1,Body Text Char Char1 Char1,Body Text Char Char1 Char Char,Body Text Char1 Char Char Char Char,Body Text Char1"/>
    <w:basedOn w:val="Normal"/>
    <w:rsid w:val="00897073"/>
    <w:pPr>
      <w:spacing w:after="120"/>
    </w:pPr>
    <w:rPr>
      <w:rFonts w:ascii="Arial" w:hAnsi="Arial"/>
      <w:sz w:val="22"/>
    </w:rPr>
  </w:style>
  <w:style w:type="paragraph" w:styleId="ListNumber">
    <w:name w:val="List Number"/>
    <w:basedOn w:val="Normal"/>
    <w:uiPriority w:val="99"/>
    <w:rsid w:val="00897073"/>
    <w:pPr>
      <w:tabs>
        <w:tab w:val="num" w:pos="720"/>
        <w:tab w:val="num" w:pos="1872"/>
      </w:tabs>
      <w:spacing w:before="120"/>
      <w:ind w:left="1872" w:hanging="1152"/>
    </w:pPr>
    <w:rPr>
      <w:rFonts w:ascii="Arial" w:hAnsi="Arial"/>
      <w:sz w:val="22"/>
    </w:rPr>
  </w:style>
  <w:style w:type="paragraph" w:styleId="ListBullet2">
    <w:name w:val="List Bullet 2"/>
    <w:basedOn w:val="Normal"/>
    <w:autoRedefine/>
    <w:rsid w:val="00897073"/>
    <w:rPr>
      <w:rFonts w:ascii="Arial" w:hAnsi="Arial"/>
      <w:sz w:val="22"/>
    </w:rPr>
  </w:style>
  <w:style w:type="paragraph" w:styleId="BodyTextIndent">
    <w:name w:val="Body Text Indent"/>
    <w:basedOn w:val="Normal"/>
    <w:rsid w:val="00897073"/>
    <w:pPr>
      <w:ind w:left="1872"/>
    </w:pPr>
    <w:rPr>
      <w:rFonts w:ascii="Arial" w:hAnsi="Arial"/>
      <w:sz w:val="22"/>
    </w:rPr>
  </w:style>
  <w:style w:type="paragraph" w:styleId="BodyText3">
    <w:name w:val="Body Text 3"/>
    <w:basedOn w:val="Normal"/>
    <w:rsid w:val="00897073"/>
    <w:rPr>
      <w:rFonts w:ascii="Arial" w:hAnsi="Arial"/>
      <w:sz w:val="18"/>
    </w:rPr>
  </w:style>
  <w:style w:type="paragraph" w:styleId="BodyText2">
    <w:name w:val="Body Text 2"/>
    <w:basedOn w:val="Normal"/>
    <w:rsid w:val="00897073"/>
    <w:pPr>
      <w:jc w:val="center"/>
    </w:pPr>
    <w:rPr>
      <w:rFonts w:ascii="Arial" w:hAnsi="Arial"/>
      <w:b/>
      <w:sz w:val="22"/>
    </w:rPr>
  </w:style>
  <w:style w:type="paragraph" w:styleId="BodyTextIndent2">
    <w:name w:val="Body Text Indent 2"/>
    <w:basedOn w:val="Normal"/>
    <w:rsid w:val="00897073"/>
    <w:pPr>
      <w:ind w:left="2880"/>
    </w:pPr>
    <w:rPr>
      <w:rFonts w:ascii="Arial" w:hAnsi="Arial"/>
      <w:sz w:val="22"/>
    </w:rPr>
  </w:style>
  <w:style w:type="paragraph" w:styleId="BodyTextIndent3">
    <w:name w:val="Body Text Indent 3"/>
    <w:basedOn w:val="Normal"/>
    <w:rsid w:val="00897073"/>
    <w:pPr>
      <w:ind w:left="720"/>
    </w:pPr>
    <w:rPr>
      <w:rFonts w:ascii="Arial" w:hAnsi="Arial"/>
      <w:b/>
      <w:sz w:val="28"/>
    </w:rPr>
  </w:style>
  <w:style w:type="paragraph" w:styleId="Header">
    <w:name w:val="header"/>
    <w:basedOn w:val="Normal"/>
    <w:link w:val="HeaderChar"/>
    <w:rsid w:val="00897073"/>
    <w:pPr>
      <w:tabs>
        <w:tab w:val="center" w:pos="4320"/>
        <w:tab w:val="right" w:pos="8640"/>
      </w:tabs>
    </w:pPr>
    <w:rPr>
      <w:rFonts w:ascii="Arial" w:hAnsi="Arial"/>
      <w:sz w:val="22"/>
    </w:rPr>
  </w:style>
  <w:style w:type="character" w:customStyle="1" w:styleId="HeaderChar">
    <w:name w:val="Header Char"/>
    <w:basedOn w:val="DefaultParagraphFont"/>
    <w:link w:val="Header"/>
    <w:rsid w:val="00C1270B"/>
    <w:rPr>
      <w:rFonts w:ascii="Arial" w:hAnsi="Arial"/>
      <w:sz w:val="22"/>
    </w:rPr>
  </w:style>
  <w:style w:type="character" w:styleId="PageNumber">
    <w:name w:val="page number"/>
    <w:basedOn w:val="DefaultParagraphFont"/>
    <w:rsid w:val="00897073"/>
  </w:style>
  <w:style w:type="table" w:styleId="TableGrid">
    <w:name w:val="Table Grid"/>
    <w:basedOn w:val="TableNormal"/>
    <w:rsid w:val="005058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AF760C"/>
  </w:style>
  <w:style w:type="character" w:customStyle="1" w:styleId="CommentTextChar">
    <w:name w:val="Comment Text Char"/>
    <w:basedOn w:val="DefaultParagraphFont"/>
    <w:link w:val="CommentText"/>
    <w:uiPriority w:val="99"/>
    <w:rsid w:val="000F1DC0"/>
  </w:style>
  <w:style w:type="paragraph" w:styleId="FootnoteText">
    <w:name w:val="footnote text"/>
    <w:basedOn w:val="Normal"/>
    <w:link w:val="FootnoteTextChar"/>
    <w:unhideWhenUsed/>
    <w:rsid w:val="000F1DC0"/>
  </w:style>
  <w:style w:type="character" w:customStyle="1" w:styleId="FootnoteTextChar">
    <w:name w:val="Footnote Text Char"/>
    <w:basedOn w:val="DefaultParagraphFont"/>
    <w:link w:val="FootnoteText"/>
    <w:rsid w:val="000F1DC0"/>
  </w:style>
  <w:style w:type="character" w:styleId="FootnoteReference">
    <w:name w:val="footnote reference"/>
    <w:basedOn w:val="DefaultParagraphFont"/>
    <w:unhideWhenUsed/>
    <w:rsid w:val="000F1DC0"/>
    <w:rPr>
      <w:vertAlign w:val="superscript"/>
    </w:rPr>
  </w:style>
  <w:style w:type="character" w:styleId="CommentReference">
    <w:name w:val="annotation reference"/>
    <w:basedOn w:val="DefaultParagraphFont"/>
    <w:uiPriority w:val="99"/>
    <w:unhideWhenUsed/>
    <w:rsid w:val="000F1DC0"/>
    <w:rPr>
      <w:sz w:val="16"/>
      <w:szCs w:val="16"/>
    </w:rPr>
  </w:style>
  <w:style w:type="paragraph" w:styleId="CommentSubject">
    <w:name w:val="annotation subject"/>
    <w:basedOn w:val="CommentText"/>
    <w:next w:val="CommentText"/>
    <w:link w:val="CommentSubjectChar"/>
    <w:semiHidden/>
    <w:unhideWhenUsed/>
    <w:rsid w:val="000F1DC0"/>
    <w:rPr>
      <w:b/>
      <w:bCs/>
    </w:rPr>
  </w:style>
  <w:style w:type="character" w:customStyle="1" w:styleId="CommentSubjectChar">
    <w:name w:val="Comment Subject Char"/>
    <w:basedOn w:val="CommentTextChar"/>
    <w:link w:val="CommentSubject"/>
    <w:rsid w:val="000F1DC0"/>
  </w:style>
  <w:style w:type="paragraph" w:styleId="BalloonText">
    <w:name w:val="Balloon Text"/>
    <w:basedOn w:val="Normal"/>
    <w:link w:val="BalloonTextChar"/>
    <w:semiHidden/>
    <w:unhideWhenUsed/>
    <w:rsid w:val="000F1DC0"/>
    <w:rPr>
      <w:rFonts w:ascii="Tahoma" w:hAnsi="Tahoma" w:cs="Tahoma"/>
      <w:sz w:val="16"/>
      <w:szCs w:val="16"/>
    </w:rPr>
  </w:style>
  <w:style w:type="character" w:customStyle="1" w:styleId="BalloonTextChar">
    <w:name w:val="Balloon Text Char"/>
    <w:basedOn w:val="DefaultParagraphFont"/>
    <w:link w:val="BalloonText"/>
    <w:uiPriority w:val="99"/>
    <w:semiHidden/>
    <w:rsid w:val="000F1DC0"/>
    <w:rPr>
      <w:rFonts w:ascii="Tahoma" w:hAnsi="Tahoma" w:cs="Tahoma"/>
      <w:sz w:val="16"/>
      <w:szCs w:val="16"/>
    </w:rPr>
  </w:style>
  <w:style w:type="paragraph" w:styleId="Caption">
    <w:name w:val="caption"/>
    <w:basedOn w:val="Normal"/>
    <w:next w:val="Normal"/>
    <w:qFormat/>
    <w:rsid w:val="00C36C27"/>
    <w:pPr>
      <w:spacing w:before="120" w:after="120"/>
    </w:pPr>
    <w:rPr>
      <w:b/>
    </w:rPr>
  </w:style>
  <w:style w:type="paragraph" w:styleId="ListParagraph">
    <w:name w:val="List Paragraph"/>
    <w:basedOn w:val="Normal"/>
    <w:uiPriority w:val="34"/>
    <w:qFormat/>
    <w:rsid w:val="00C36C27"/>
    <w:pPr>
      <w:ind w:left="720"/>
      <w:contextualSpacing/>
    </w:pPr>
    <w:rPr>
      <w:sz w:val="24"/>
      <w:szCs w:val="24"/>
    </w:rPr>
  </w:style>
  <w:style w:type="character" w:styleId="Hyperlink">
    <w:name w:val="Hyperlink"/>
    <w:basedOn w:val="DefaultParagraphFont"/>
    <w:uiPriority w:val="99"/>
    <w:unhideWhenUsed/>
    <w:rsid w:val="005F2DD4"/>
    <w:rPr>
      <w:color w:val="0000FF" w:themeColor="hyperlink"/>
      <w:u w:val="single"/>
    </w:rPr>
  </w:style>
  <w:style w:type="character" w:styleId="FollowedHyperlink">
    <w:name w:val="FollowedHyperlink"/>
    <w:basedOn w:val="DefaultParagraphFont"/>
    <w:uiPriority w:val="99"/>
    <w:semiHidden/>
    <w:unhideWhenUsed/>
    <w:rsid w:val="00C2736D"/>
    <w:rPr>
      <w:color w:val="800080" w:themeColor="followedHyperlink"/>
      <w:u w:val="single"/>
    </w:rPr>
  </w:style>
  <w:style w:type="character" w:customStyle="1" w:styleId="BodyTextCharChar">
    <w:name w:val="Body Text Char Char"/>
    <w:aliases w:val="Body Text Char1 Char Char,Body Text Char Char Char Char,Body Text Char1 Char Char Char1 Char,Body Text Char Char Char Char Char1 Char,Body Text Char Char1 Char1 Char,Body Text Char Char1 Char Char Char"/>
    <w:basedOn w:val="DefaultParagraphFont"/>
    <w:rsid w:val="000F4A02"/>
    <w:rPr>
      <w:rFonts w:ascii="Arial" w:hAnsi="Arial"/>
      <w:noProof w:val="0"/>
      <w:sz w:val="22"/>
      <w:szCs w:val="22"/>
      <w:lang w:val="en-US" w:eastAsia="en-US" w:bidi="ar-SA"/>
    </w:rPr>
  </w:style>
  <w:style w:type="character" w:customStyle="1" w:styleId="BodyTextChar1Char1">
    <w:name w:val="Body Text Char1 Char1"/>
    <w:aliases w:val="Body Text Char Char Char1,Body Text Char Char Char Char Char Char"/>
    <w:basedOn w:val="DefaultParagraphFont"/>
    <w:rsid w:val="000F4A02"/>
    <w:rPr>
      <w:rFonts w:ascii="Arial" w:hAnsi="Arial"/>
      <w:noProof w:val="0"/>
      <w:sz w:val="22"/>
      <w:szCs w:val="22"/>
      <w:lang w:val="en-US" w:eastAsia="en-US" w:bidi="ar-SA"/>
    </w:rPr>
  </w:style>
  <w:style w:type="paragraph" w:styleId="PlainText">
    <w:name w:val="Plain Text"/>
    <w:basedOn w:val="Normal"/>
    <w:link w:val="PlainTextChar"/>
    <w:rsid w:val="000F4A02"/>
    <w:rPr>
      <w:rFonts w:ascii="Courier New" w:hAnsi="Courier New" w:cs="Courier New"/>
    </w:rPr>
  </w:style>
  <w:style w:type="character" w:customStyle="1" w:styleId="PlainTextChar">
    <w:name w:val="Plain Text Char"/>
    <w:basedOn w:val="DefaultParagraphFont"/>
    <w:link w:val="PlainText"/>
    <w:rsid w:val="000F4A02"/>
    <w:rPr>
      <w:rFonts w:ascii="Courier New" w:hAnsi="Courier New" w:cs="Courier New"/>
    </w:rPr>
  </w:style>
  <w:style w:type="paragraph" w:styleId="TOC3">
    <w:name w:val="toc 3"/>
    <w:basedOn w:val="Normal"/>
    <w:next w:val="Normal"/>
    <w:autoRedefine/>
    <w:uiPriority w:val="39"/>
    <w:unhideWhenUsed/>
    <w:qFormat/>
    <w:rsid w:val="001D366A"/>
    <w:pPr>
      <w:tabs>
        <w:tab w:val="left" w:pos="1100"/>
        <w:tab w:val="right" w:leader="dot" w:pos="8630"/>
      </w:tabs>
    </w:pPr>
    <w:rPr>
      <w:rFonts w:ascii="Arial" w:hAnsi="Arial" w:cs="Arial"/>
      <w:b/>
      <w:i/>
      <w:noProof/>
      <w:sz w:val="24"/>
      <w:szCs w:val="24"/>
    </w:rPr>
  </w:style>
  <w:style w:type="paragraph" w:styleId="TableofFigures">
    <w:name w:val="table of figures"/>
    <w:basedOn w:val="Normal"/>
    <w:next w:val="Normal"/>
    <w:uiPriority w:val="99"/>
    <w:unhideWhenUsed/>
    <w:rsid w:val="000F4A02"/>
    <w:rPr>
      <w:sz w:val="24"/>
      <w:szCs w:val="24"/>
    </w:rPr>
  </w:style>
  <w:style w:type="paragraph" w:styleId="DocumentMap">
    <w:name w:val="Document Map"/>
    <w:basedOn w:val="Normal"/>
    <w:link w:val="DocumentMapChar"/>
    <w:uiPriority w:val="99"/>
    <w:semiHidden/>
    <w:unhideWhenUsed/>
    <w:rsid w:val="000F4A02"/>
    <w:rPr>
      <w:rFonts w:ascii="Tahoma" w:hAnsi="Tahoma" w:cs="Tahoma"/>
      <w:sz w:val="16"/>
      <w:szCs w:val="16"/>
    </w:rPr>
  </w:style>
  <w:style w:type="character" w:customStyle="1" w:styleId="DocumentMapChar">
    <w:name w:val="Document Map Char"/>
    <w:basedOn w:val="DefaultParagraphFont"/>
    <w:link w:val="DocumentMap"/>
    <w:uiPriority w:val="99"/>
    <w:semiHidden/>
    <w:rsid w:val="000F4A02"/>
    <w:rPr>
      <w:rFonts w:ascii="Tahoma" w:hAnsi="Tahoma" w:cs="Tahoma"/>
      <w:sz w:val="16"/>
      <w:szCs w:val="16"/>
    </w:rPr>
  </w:style>
  <w:style w:type="paragraph" w:styleId="Title">
    <w:name w:val="Title"/>
    <w:basedOn w:val="Normal"/>
    <w:link w:val="TitleChar"/>
    <w:qFormat/>
    <w:rsid w:val="000F4A02"/>
    <w:pPr>
      <w:jc w:val="center"/>
    </w:pPr>
    <w:rPr>
      <w:b/>
      <w:bCs/>
      <w:i/>
      <w:iCs/>
      <w:sz w:val="28"/>
      <w:szCs w:val="24"/>
    </w:rPr>
  </w:style>
  <w:style w:type="character" w:customStyle="1" w:styleId="TitleChar">
    <w:name w:val="Title Char"/>
    <w:basedOn w:val="DefaultParagraphFont"/>
    <w:link w:val="Title"/>
    <w:rsid w:val="000F4A02"/>
    <w:rPr>
      <w:b/>
      <w:bCs/>
      <w:i/>
      <w:iCs/>
      <w:sz w:val="28"/>
      <w:szCs w:val="24"/>
    </w:rPr>
  </w:style>
  <w:style w:type="paragraph" w:styleId="TOCHeading">
    <w:name w:val="TOC Heading"/>
    <w:basedOn w:val="Heading1"/>
    <w:next w:val="Normal"/>
    <w:uiPriority w:val="39"/>
    <w:unhideWhenUsed/>
    <w:qFormat/>
    <w:rsid w:val="000F4A02"/>
    <w:pPr>
      <w:keepLines/>
      <w:numPr>
        <w:numId w:val="0"/>
      </w:numPr>
      <w:spacing w:before="480" w:after="0" w:line="276" w:lineRule="auto"/>
      <w:outlineLvl w:val="9"/>
    </w:pPr>
    <w:rPr>
      <w:rFonts w:asciiTheme="majorHAnsi" w:eastAsiaTheme="majorEastAsia" w:hAnsiTheme="majorHAnsi" w:cstheme="majorBidi"/>
      <w:bCs/>
      <w:smallCaps w:val="0"/>
      <w:color w:val="365F91" w:themeColor="accent1" w:themeShade="BF"/>
      <w:kern w:val="0"/>
      <w:sz w:val="28"/>
      <w:szCs w:val="28"/>
    </w:rPr>
  </w:style>
  <w:style w:type="paragraph" w:styleId="TOC4">
    <w:name w:val="toc 4"/>
    <w:basedOn w:val="Normal"/>
    <w:next w:val="Normal"/>
    <w:autoRedefine/>
    <w:uiPriority w:val="39"/>
    <w:unhideWhenUsed/>
    <w:rsid w:val="00115674"/>
    <w:pPr>
      <w:tabs>
        <w:tab w:val="left" w:pos="1827"/>
        <w:tab w:val="right" w:leader="dot" w:pos="8630"/>
      </w:tabs>
      <w:spacing w:after="80" w:line="276" w:lineRule="auto"/>
      <w:ind w:left="720"/>
      <w:jc w:val="both"/>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F41225"/>
    <w:pPr>
      <w:spacing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4E7F81"/>
    <w:pPr>
      <w:spacing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4E7F81"/>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4E7F81"/>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4E7F81"/>
    <w:pPr>
      <w:spacing w:after="100" w:line="276" w:lineRule="auto"/>
      <w:ind w:left="1760"/>
    </w:pPr>
    <w:rPr>
      <w:rFonts w:asciiTheme="minorHAnsi" w:eastAsiaTheme="minorEastAsia" w:hAnsiTheme="minorHAnsi" w:cstheme="minorBidi"/>
      <w:sz w:val="22"/>
      <w:szCs w:val="22"/>
    </w:rPr>
  </w:style>
  <w:style w:type="character" w:customStyle="1" w:styleId="blackten1">
    <w:name w:val="blackten1"/>
    <w:basedOn w:val="DefaultParagraphFont"/>
    <w:rsid w:val="00041B8E"/>
    <w:rPr>
      <w:rFonts w:ascii="Verdana" w:hAnsi="Verdana" w:hint="default"/>
      <w:color w:val="000000"/>
      <w:sz w:val="19"/>
      <w:szCs w:val="19"/>
    </w:rPr>
  </w:style>
  <w:style w:type="paragraph" w:styleId="NormalWeb">
    <w:name w:val="Normal (Web)"/>
    <w:basedOn w:val="Normal"/>
    <w:uiPriority w:val="99"/>
    <w:rsid w:val="00041B8E"/>
    <w:pPr>
      <w:spacing w:before="100" w:beforeAutospacing="1" w:after="100" w:afterAutospacing="1"/>
    </w:pPr>
    <w:rPr>
      <w:sz w:val="24"/>
      <w:szCs w:val="24"/>
    </w:rPr>
  </w:style>
  <w:style w:type="character" w:styleId="Strong">
    <w:name w:val="Strong"/>
    <w:basedOn w:val="DefaultParagraphFont"/>
    <w:uiPriority w:val="22"/>
    <w:qFormat/>
    <w:rsid w:val="00865C9F"/>
    <w:rPr>
      <w:b/>
      <w:bCs/>
    </w:rPr>
  </w:style>
  <w:style w:type="character" w:customStyle="1" w:styleId="Heading6Char">
    <w:name w:val="Heading 6 Char"/>
    <w:basedOn w:val="DefaultParagraphFont"/>
    <w:link w:val="Heading6"/>
    <w:rsid w:val="00C74841"/>
    <w:rPr>
      <w:rFonts w:ascii="Arial" w:hAnsi="Arial"/>
      <w:i/>
      <w:sz w:val="22"/>
    </w:rPr>
  </w:style>
  <w:style w:type="paragraph" w:customStyle="1" w:styleId="Default">
    <w:name w:val="Default"/>
    <w:rsid w:val="00C74841"/>
    <w:pPr>
      <w:autoSpaceDE w:val="0"/>
      <w:autoSpaceDN w:val="0"/>
      <w:adjustRightInd w:val="0"/>
    </w:pPr>
    <w:rPr>
      <w:rFonts w:ascii="Arial" w:eastAsiaTheme="minorHAnsi" w:hAnsi="Arial" w:cs="Arial"/>
      <w:color w:val="000000"/>
      <w:sz w:val="24"/>
      <w:szCs w:val="24"/>
    </w:rPr>
  </w:style>
  <w:style w:type="character" w:customStyle="1" w:styleId="Heading4Char">
    <w:name w:val="Heading 4 Char"/>
    <w:basedOn w:val="DefaultParagraphFont"/>
    <w:link w:val="Heading4"/>
    <w:rsid w:val="00133518"/>
    <w:rPr>
      <w:rFonts w:ascii="Arial" w:hAnsi="Arial"/>
      <w:b/>
      <w:i/>
      <w:sz w:val="24"/>
    </w:rPr>
  </w:style>
  <w:style w:type="paragraph" w:styleId="Revision">
    <w:name w:val="Revision"/>
    <w:hidden/>
    <w:uiPriority w:val="99"/>
    <w:semiHidden/>
    <w:rsid w:val="00334AD6"/>
  </w:style>
  <w:style w:type="paragraph" w:customStyle="1" w:styleId="BulletList">
    <w:name w:val="Bullet List"/>
    <w:basedOn w:val="Normal"/>
    <w:rsid w:val="00391EC7"/>
    <w:pPr>
      <w:numPr>
        <w:numId w:val="142"/>
      </w:numPr>
      <w:spacing w:line="288" w:lineRule="auto"/>
    </w:pPr>
    <w:rPr>
      <w:rFonts w:ascii="Arial" w:hAnsi="Arial"/>
    </w:rPr>
  </w:style>
  <w:style w:type="paragraph" w:styleId="NoSpacing">
    <w:name w:val="No Spacing"/>
    <w:uiPriority w:val="1"/>
    <w:qFormat/>
    <w:rsid w:val="009A73E9"/>
    <w:rPr>
      <w:rFonts w:asciiTheme="minorHAnsi" w:eastAsiaTheme="minorHAnsi" w:hAnsiTheme="minorHAnsi" w:cstheme="minorBidi"/>
      <w:sz w:val="22"/>
      <w:szCs w:val="22"/>
    </w:rPr>
  </w:style>
  <w:style w:type="character" w:customStyle="1" w:styleId="UnresolvedMention1">
    <w:name w:val="Unresolved Mention1"/>
    <w:basedOn w:val="DefaultParagraphFont"/>
    <w:uiPriority w:val="99"/>
    <w:semiHidden/>
    <w:unhideWhenUsed/>
    <w:rsid w:val="00115674"/>
    <w:rPr>
      <w:color w:val="808080"/>
      <w:shd w:val="clear" w:color="auto" w:fill="E6E6E6"/>
    </w:rPr>
  </w:style>
  <w:style w:type="character" w:styleId="UnresolvedMention">
    <w:name w:val="Unresolved Mention"/>
    <w:basedOn w:val="DefaultParagraphFont"/>
    <w:uiPriority w:val="99"/>
    <w:semiHidden/>
    <w:unhideWhenUsed/>
    <w:rsid w:val="0016588F"/>
    <w:rPr>
      <w:color w:val="605E5C"/>
      <w:shd w:val="clear" w:color="auto" w:fill="E1DFDD"/>
    </w:rPr>
  </w:style>
  <w:style w:type="paragraph" w:customStyle="1" w:styleId="xmsonormal">
    <w:name w:val="x_msonormal"/>
    <w:basedOn w:val="Normal"/>
    <w:rsid w:val="007E629B"/>
    <w:rPr>
      <w:rFonts w:ascii="Calibri" w:eastAsiaTheme="minorHAnsi" w:hAnsi="Calibri" w:cs="Calibri"/>
      <w:sz w:val="22"/>
      <w:szCs w:val="22"/>
    </w:rPr>
  </w:style>
  <w:style w:type="paragraph" w:customStyle="1" w:styleId="xmsolistparagraph">
    <w:name w:val="x_msolistparagraph"/>
    <w:basedOn w:val="Normal"/>
    <w:rsid w:val="007E629B"/>
    <w:pPr>
      <w:ind w:left="720"/>
    </w:pPr>
    <w:rPr>
      <w:rFonts w:eastAsiaTheme="minorHAns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397937">
      <w:bodyDiv w:val="1"/>
      <w:marLeft w:val="0"/>
      <w:marRight w:val="0"/>
      <w:marTop w:val="0"/>
      <w:marBottom w:val="0"/>
      <w:divBdr>
        <w:top w:val="none" w:sz="0" w:space="0" w:color="auto"/>
        <w:left w:val="none" w:sz="0" w:space="0" w:color="auto"/>
        <w:bottom w:val="none" w:sz="0" w:space="0" w:color="auto"/>
        <w:right w:val="none" w:sz="0" w:space="0" w:color="auto"/>
      </w:divBdr>
    </w:div>
    <w:div w:id="320155846">
      <w:bodyDiv w:val="1"/>
      <w:marLeft w:val="0"/>
      <w:marRight w:val="0"/>
      <w:marTop w:val="0"/>
      <w:marBottom w:val="0"/>
      <w:divBdr>
        <w:top w:val="none" w:sz="0" w:space="0" w:color="auto"/>
        <w:left w:val="none" w:sz="0" w:space="0" w:color="auto"/>
        <w:bottom w:val="none" w:sz="0" w:space="0" w:color="auto"/>
        <w:right w:val="none" w:sz="0" w:space="0" w:color="auto"/>
      </w:divBdr>
    </w:div>
    <w:div w:id="327363676">
      <w:bodyDiv w:val="1"/>
      <w:marLeft w:val="0"/>
      <w:marRight w:val="0"/>
      <w:marTop w:val="0"/>
      <w:marBottom w:val="0"/>
      <w:divBdr>
        <w:top w:val="none" w:sz="0" w:space="0" w:color="auto"/>
        <w:left w:val="none" w:sz="0" w:space="0" w:color="auto"/>
        <w:bottom w:val="none" w:sz="0" w:space="0" w:color="auto"/>
        <w:right w:val="none" w:sz="0" w:space="0" w:color="auto"/>
      </w:divBdr>
    </w:div>
    <w:div w:id="353043181">
      <w:bodyDiv w:val="1"/>
      <w:marLeft w:val="0"/>
      <w:marRight w:val="0"/>
      <w:marTop w:val="0"/>
      <w:marBottom w:val="0"/>
      <w:divBdr>
        <w:top w:val="none" w:sz="0" w:space="0" w:color="auto"/>
        <w:left w:val="none" w:sz="0" w:space="0" w:color="auto"/>
        <w:bottom w:val="none" w:sz="0" w:space="0" w:color="auto"/>
        <w:right w:val="none" w:sz="0" w:space="0" w:color="auto"/>
      </w:divBdr>
    </w:div>
    <w:div w:id="386076627">
      <w:bodyDiv w:val="1"/>
      <w:marLeft w:val="0"/>
      <w:marRight w:val="0"/>
      <w:marTop w:val="0"/>
      <w:marBottom w:val="0"/>
      <w:divBdr>
        <w:top w:val="none" w:sz="0" w:space="0" w:color="auto"/>
        <w:left w:val="none" w:sz="0" w:space="0" w:color="auto"/>
        <w:bottom w:val="none" w:sz="0" w:space="0" w:color="auto"/>
        <w:right w:val="none" w:sz="0" w:space="0" w:color="auto"/>
      </w:divBdr>
    </w:div>
    <w:div w:id="394204535">
      <w:bodyDiv w:val="1"/>
      <w:marLeft w:val="0"/>
      <w:marRight w:val="0"/>
      <w:marTop w:val="0"/>
      <w:marBottom w:val="0"/>
      <w:divBdr>
        <w:top w:val="none" w:sz="0" w:space="0" w:color="auto"/>
        <w:left w:val="none" w:sz="0" w:space="0" w:color="auto"/>
        <w:bottom w:val="none" w:sz="0" w:space="0" w:color="auto"/>
        <w:right w:val="none" w:sz="0" w:space="0" w:color="auto"/>
      </w:divBdr>
    </w:div>
    <w:div w:id="401559078">
      <w:bodyDiv w:val="1"/>
      <w:marLeft w:val="0"/>
      <w:marRight w:val="0"/>
      <w:marTop w:val="0"/>
      <w:marBottom w:val="0"/>
      <w:divBdr>
        <w:top w:val="none" w:sz="0" w:space="0" w:color="auto"/>
        <w:left w:val="none" w:sz="0" w:space="0" w:color="auto"/>
        <w:bottom w:val="none" w:sz="0" w:space="0" w:color="auto"/>
        <w:right w:val="none" w:sz="0" w:space="0" w:color="auto"/>
      </w:divBdr>
    </w:div>
    <w:div w:id="472017237">
      <w:bodyDiv w:val="1"/>
      <w:marLeft w:val="0"/>
      <w:marRight w:val="0"/>
      <w:marTop w:val="0"/>
      <w:marBottom w:val="0"/>
      <w:divBdr>
        <w:top w:val="none" w:sz="0" w:space="0" w:color="auto"/>
        <w:left w:val="none" w:sz="0" w:space="0" w:color="auto"/>
        <w:bottom w:val="none" w:sz="0" w:space="0" w:color="auto"/>
        <w:right w:val="none" w:sz="0" w:space="0" w:color="auto"/>
      </w:divBdr>
    </w:div>
    <w:div w:id="571309149">
      <w:bodyDiv w:val="1"/>
      <w:marLeft w:val="0"/>
      <w:marRight w:val="0"/>
      <w:marTop w:val="0"/>
      <w:marBottom w:val="0"/>
      <w:divBdr>
        <w:top w:val="none" w:sz="0" w:space="0" w:color="auto"/>
        <w:left w:val="none" w:sz="0" w:space="0" w:color="auto"/>
        <w:bottom w:val="none" w:sz="0" w:space="0" w:color="auto"/>
        <w:right w:val="none" w:sz="0" w:space="0" w:color="auto"/>
      </w:divBdr>
    </w:div>
    <w:div w:id="624847350">
      <w:bodyDiv w:val="1"/>
      <w:marLeft w:val="0"/>
      <w:marRight w:val="0"/>
      <w:marTop w:val="0"/>
      <w:marBottom w:val="0"/>
      <w:divBdr>
        <w:top w:val="none" w:sz="0" w:space="0" w:color="auto"/>
        <w:left w:val="none" w:sz="0" w:space="0" w:color="auto"/>
        <w:bottom w:val="none" w:sz="0" w:space="0" w:color="auto"/>
        <w:right w:val="none" w:sz="0" w:space="0" w:color="auto"/>
      </w:divBdr>
    </w:div>
    <w:div w:id="710228758">
      <w:bodyDiv w:val="1"/>
      <w:marLeft w:val="0"/>
      <w:marRight w:val="0"/>
      <w:marTop w:val="0"/>
      <w:marBottom w:val="0"/>
      <w:divBdr>
        <w:top w:val="none" w:sz="0" w:space="0" w:color="auto"/>
        <w:left w:val="none" w:sz="0" w:space="0" w:color="auto"/>
        <w:bottom w:val="none" w:sz="0" w:space="0" w:color="auto"/>
        <w:right w:val="none" w:sz="0" w:space="0" w:color="auto"/>
      </w:divBdr>
    </w:div>
    <w:div w:id="742994745">
      <w:bodyDiv w:val="1"/>
      <w:marLeft w:val="0"/>
      <w:marRight w:val="0"/>
      <w:marTop w:val="0"/>
      <w:marBottom w:val="0"/>
      <w:divBdr>
        <w:top w:val="none" w:sz="0" w:space="0" w:color="auto"/>
        <w:left w:val="none" w:sz="0" w:space="0" w:color="auto"/>
        <w:bottom w:val="none" w:sz="0" w:space="0" w:color="auto"/>
        <w:right w:val="none" w:sz="0" w:space="0" w:color="auto"/>
      </w:divBdr>
    </w:div>
    <w:div w:id="756172610">
      <w:bodyDiv w:val="1"/>
      <w:marLeft w:val="0"/>
      <w:marRight w:val="0"/>
      <w:marTop w:val="0"/>
      <w:marBottom w:val="0"/>
      <w:divBdr>
        <w:top w:val="none" w:sz="0" w:space="0" w:color="auto"/>
        <w:left w:val="none" w:sz="0" w:space="0" w:color="auto"/>
        <w:bottom w:val="none" w:sz="0" w:space="0" w:color="auto"/>
        <w:right w:val="none" w:sz="0" w:space="0" w:color="auto"/>
      </w:divBdr>
    </w:div>
    <w:div w:id="759831966">
      <w:bodyDiv w:val="1"/>
      <w:marLeft w:val="0"/>
      <w:marRight w:val="0"/>
      <w:marTop w:val="0"/>
      <w:marBottom w:val="0"/>
      <w:divBdr>
        <w:top w:val="none" w:sz="0" w:space="0" w:color="auto"/>
        <w:left w:val="none" w:sz="0" w:space="0" w:color="auto"/>
        <w:bottom w:val="none" w:sz="0" w:space="0" w:color="auto"/>
        <w:right w:val="none" w:sz="0" w:space="0" w:color="auto"/>
      </w:divBdr>
    </w:div>
    <w:div w:id="833037165">
      <w:bodyDiv w:val="1"/>
      <w:marLeft w:val="0"/>
      <w:marRight w:val="0"/>
      <w:marTop w:val="0"/>
      <w:marBottom w:val="0"/>
      <w:divBdr>
        <w:top w:val="none" w:sz="0" w:space="0" w:color="auto"/>
        <w:left w:val="none" w:sz="0" w:space="0" w:color="auto"/>
        <w:bottom w:val="none" w:sz="0" w:space="0" w:color="auto"/>
        <w:right w:val="none" w:sz="0" w:space="0" w:color="auto"/>
      </w:divBdr>
    </w:div>
    <w:div w:id="959997242">
      <w:bodyDiv w:val="1"/>
      <w:marLeft w:val="0"/>
      <w:marRight w:val="0"/>
      <w:marTop w:val="0"/>
      <w:marBottom w:val="0"/>
      <w:divBdr>
        <w:top w:val="none" w:sz="0" w:space="0" w:color="auto"/>
        <w:left w:val="none" w:sz="0" w:space="0" w:color="auto"/>
        <w:bottom w:val="none" w:sz="0" w:space="0" w:color="auto"/>
        <w:right w:val="none" w:sz="0" w:space="0" w:color="auto"/>
      </w:divBdr>
    </w:div>
    <w:div w:id="978220984">
      <w:bodyDiv w:val="1"/>
      <w:marLeft w:val="0"/>
      <w:marRight w:val="0"/>
      <w:marTop w:val="0"/>
      <w:marBottom w:val="0"/>
      <w:divBdr>
        <w:top w:val="none" w:sz="0" w:space="0" w:color="auto"/>
        <w:left w:val="none" w:sz="0" w:space="0" w:color="auto"/>
        <w:bottom w:val="none" w:sz="0" w:space="0" w:color="auto"/>
        <w:right w:val="none" w:sz="0" w:space="0" w:color="auto"/>
      </w:divBdr>
    </w:div>
    <w:div w:id="1015185078">
      <w:bodyDiv w:val="1"/>
      <w:marLeft w:val="0"/>
      <w:marRight w:val="0"/>
      <w:marTop w:val="0"/>
      <w:marBottom w:val="0"/>
      <w:divBdr>
        <w:top w:val="none" w:sz="0" w:space="0" w:color="auto"/>
        <w:left w:val="none" w:sz="0" w:space="0" w:color="auto"/>
        <w:bottom w:val="none" w:sz="0" w:space="0" w:color="auto"/>
        <w:right w:val="none" w:sz="0" w:space="0" w:color="auto"/>
      </w:divBdr>
    </w:div>
    <w:div w:id="1037853327">
      <w:bodyDiv w:val="1"/>
      <w:marLeft w:val="0"/>
      <w:marRight w:val="0"/>
      <w:marTop w:val="0"/>
      <w:marBottom w:val="0"/>
      <w:divBdr>
        <w:top w:val="none" w:sz="0" w:space="0" w:color="auto"/>
        <w:left w:val="none" w:sz="0" w:space="0" w:color="auto"/>
        <w:bottom w:val="none" w:sz="0" w:space="0" w:color="auto"/>
        <w:right w:val="none" w:sz="0" w:space="0" w:color="auto"/>
      </w:divBdr>
    </w:div>
    <w:div w:id="1108890357">
      <w:bodyDiv w:val="1"/>
      <w:marLeft w:val="0"/>
      <w:marRight w:val="0"/>
      <w:marTop w:val="0"/>
      <w:marBottom w:val="0"/>
      <w:divBdr>
        <w:top w:val="none" w:sz="0" w:space="0" w:color="auto"/>
        <w:left w:val="none" w:sz="0" w:space="0" w:color="auto"/>
        <w:bottom w:val="none" w:sz="0" w:space="0" w:color="auto"/>
        <w:right w:val="none" w:sz="0" w:space="0" w:color="auto"/>
      </w:divBdr>
    </w:div>
    <w:div w:id="1180582202">
      <w:bodyDiv w:val="1"/>
      <w:marLeft w:val="0"/>
      <w:marRight w:val="0"/>
      <w:marTop w:val="0"/>
      <w:marBottom w:val="0"/>
      <w:divBdr>
        <w:top w:val="none" w:sz="0" w:space="0" w:color="auto"/>
        <w:left w:val="none" w:sz="0" w:space="0" w:color="auto"/>
        <w:bottom w:val="none" w:sz="0" w:space="0" w:color="auto"/>
        <w:right w:val="none" w:sz="0" w:space="0" w:color="auto"/>
      </w:divBdr>
    </w:div>
    <w:div w:id="1196624913">
      <w:bodyDiv w:val="1"/>
      <w:marLeft w:val="0"/>
      <w:marRight w:val="0"/>
      <w:marTop w:val="0"/>
      <w:marBottom w:val="0"/>
      <w:divBdr>
        <w:top w:val="none" w:sz="0" w:space="0" w:color="auto"/>
        <w:left w:val="none" w:sz="0" w:space="0" w:color="auto"/>
        <w:bottom w:val="none" w:sz="0" w:space="0" w:color="auto"/>
        <w:right w:val="none" w:sz="0" w:space="0" w:color="auto"/>
      </w:divBdr>
    </w:div>
    <w:div w:id="1328165812">
      <w:bodyDiv w:val="1"/>
      <w:marLeft w:val="0"/>
      <w:marRight w:val="0"/>
      <w:marTop w:val="0"/>
      <w:marBottom w:val="0"/>
      <w:divBdr>
        <w:top w:val="none" w:sz="0" w:space="0" w:color="auto"/>
        <w:left w:val="none" w:sz="0" w:space="0" w:color="auto"/>
        <w:bottom w:val="none" w:sz="0" w:space="0" w:color="auto"/>
        <w:right w:val="none" w:sz="0" w:space="0" w:color="auto"/>
      </w:divBdr>
    </w:div>
    <w:div w:id="1489131863">
      <w:bodyDiv w:val="1"/>
      <w:marLeft w:val="0"/>
      <w:marRight w:val="0"/>
      <w:marTop w:val="0"/>
      <w:marBottom w:val="0"/>
      <w:divBdr>
        <w:top w:val="none" w:sz="0" w:space="0" w:color="auto"/>
        <w:left w:val="none" w:sz="0" w:space="0" w:color="auto"/>
        <w:bottom w:val="none" w:sz="0" w:space="0" w:color="auto"/>
        <w:right w:val="none" w:sz="0" w:space="0" w:color="auto"/>
      </w:divBdr>
    </w:div>
    <w:div w:id="1499803068">
      <w:bodyDiv w:val="1"/>
      <w:marLeft w:val="0"/>
      <w:marRight w:val="0"/>
      <w:marTop w:val="0"/>
      <w:marBottom w:val="0"/>
      <w:divBdr>
        <w:top w:val="none" w:sz="0" w:space="0" w:color="auto"/>
        <w:left w:val="none" w:sz="0" w:space="0" w:color="auto"/>
        <w:bottom w:val="none" w:sz="0" w:space="0" w:color="auto"/>
        <w:right w:val="none" w:sz="0" w:space="0" w:color="auto"/>
      </w:divBdr>
    </w:div>
    <w:div w:id="1616474930">
      <w:bodyDiv w:val="1"/>
      <w:marLeft w:val="0"/>
      <w:marRight w:val="0"/>
      <w:marTop w:val="0"/>
      <w:marBottom w:val="0"/>
      <w:divBdr>
        <w:top w:val="none" w:sz="0" w:space="0" w:color="auto"/>
        <w:left w:val="none" w:sz="0" w:space="0" w:color="auto"/>
        <w:bottom w:val="none" w:sz="0" w:space="0" w:color="auto"/>
        <w:right w:val="none" w:sz="0" w:space="0" w:color="auto"/>
      </w:divBdr>
    </w:div>
    <w:div w:id="1748259529">
      <w:bodyDiv w:val="1"/>
      <w:marLeft w:val="0"/>
      <w:marRight w:val="0"/>
      <w:marTop w:val="0"/>
      <w:marBottom w:val="0"/>
      <w:divBdr>
        <w:top w:val="none" w:sz="0" w:space="0" w:color="auto"/>
        <w:left w:val="none" w:sz="0" w:space="0" w:color="auto"/>
        <w:bottom w:val="none" w:sz="0" w:space="0" w:color="auto"/>
        <w:right w:val="none" w:sz="0" w:space="0" w:color="auto"/>
      </w:divBdr>
    </w:div>
    <w:div w:id="2142645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33.xml"/><Relationship Id="rId299" Type="http://schemas.openxmlformats.org/officeDocument/2006/relationships/header" Target="header76.xml"/><Relationship Id="rId21" Type="http://schemas.openxmlformats.org/officeDocument/2006/relationships/header" Target="header2.xml"/><Relationship Id="rId63" Type="http://schemas.openxmlformats.org/officeDocument/2006/relationships/hyperlink" Target="file:///N:\OMT\Pavement%20and%20Geotechnical\PAVEDSGN\Technical\PTST\PTST%20Procedures\Current%20Version\Latest%20Material%20Unit%20Costs.pdf" TargetMode="External"/><Relationship Id="rId159" Type="http://schemas.openxmlformats.org/officeDocument/2006/relationships/image" Target="media/image14.png"/><Relationship Id="rId324" Type="http://schemas.openxmlformats.org/officeDocument/2006/relationships/footer" Target="footer68.xml"/><Relationship Id="rId366" Type="http://schemas.openxmlformats.org/officeDocument/2006/relationships/hyperlink" Target="file:///N:\OMT\Pavement%20and%20Geotechnical\PaveDsgnGuid\Forms\PD-09%20-%20SPT%20Boring%20Request.docx" TargetMode="External"/><Relationship Id="rId170" Type="http://schemas.openxmlformats.org/officeDocument/2006/relationships/image" Target="media/image25.png"/><Relationship Id="rId226" Type="http://schemas.openxmlformats.org/officeDocument/2006/relationships/header" Target="header49.xml"/><Relationship Id="rId433" Type="http://schemas.openxmlformats.org/officeDocument/2006/relationships/header" Target="header93.xml"/><Relationship Id="rId268" Type="http://schemas.openxmlformats.org/officeDocument/2006/relationships/footer" Target="footer55.xml"/><Relationship Id="rId32" Type="http://schemas.openxmlformats.org/officeDocument/2006/relationships/hyperlink" Target="file:///\\shahanfs1\omtoocshared\OMT\Pavement%20and%20Geotechnical\PaveDsgnGuid\Reference%20Guidelines\REF-08%20-%20How%20to%20Access%20AsBuilts%201-2-3_updated.pdf" TargetMode="External"/><Relationship Id="rId74" Type="http://schemas.openxmlformats.org/officeDocument/2006/relationships/hyperlink" Target="file:///N:\OMT\Pavement%20and%20Geotechnical\PaveDsgnGuid\Forms\PD-02%20Summary%20of%20Discussion%20with%20District%20of%20Preservation%20Options.xlsx" TargetMode="External"/><Relationship Id="rId128" Type="http://schemas.openxmlformats.org/officeDocument/2006/relationships/hyperlink" Target="http://en.wikipedia.org/wiki/Sand" TargetMode="External"/><Relationship Id="rId335" Type="http://schemas.openxmlformats.org/officeDocument/2006/relationships/hyperlink" Target="file:///N:\OMT\Pavement%20and%20Geotechnical\Specifications\Ready%20for%20Use\Example%20Geotechnical%20Specs" TargetMode="External"/><Relationship Id="rId377" Type="http://schemas.openxmlformats.org/officeDocument/2006/relationships/hyperlink" Target="file:///N:\OMT\Pavement%20and%20Geotechnical\PaveDsgnGuid\Reference%20Guidelines\REF-05%20-%20Guidelines%20for%20using%20Microsoft%20Excel%20Macro%20for%20soil%20survey%20borings.doc" TargetMode="External"/><Relationship Id="rId5" Type="http://schemas.openxmlformats.org/officeDocument/2006/relationships/webSettings" Target="webSettings.xml"/><Relationship Id="rId181" Type="http://schemas.openxmlformats.org/officeDocument/2006/relationships/image" Target="media/image28.png"/><Relationship Id="rId237" Type="http://schemas.openxmlformats.org/officeDocument/2006/relationships/header" Target="header52.xml"/><Relationship Id="rId402" Type="http://schemas.openxmlformats.org/officeDocument/2006/relationships/hyperlink" Target="file:///\\shahanfs1\omtoocshared\OMT\Pavement%20and%20Geotechnical\PaveDsgnGuid\Pavement%20Design%20Spreadsheets\PDS-13%20-%20Drainage%20Coefficient%20Calculations%20using%20ArcGIs.xlsx" TargetMode="External"/><Relationship Id="rId279" Type="http://schemas.openxmlformats.org/officeDocument/2006/relationships/footer" Target="footer58.xml"/><Relationship Id="rId444" Type="http://schemas.openxmlformats.org/officeDocument/2006/relationships/hyperlink" Target="file:///N:\OMT\Pavement%20and%20Geotechnical\PAVEDSGN\Technical\PTST\PTST%20Procedures\Current%20Version\Latest%20Material%20Unit%20Costs.pdf" TargetMode="External"/><Relationship Id="rId43" Type="http://schemas.openxmlformats.org/officeDocument/2006/relationships/header" Target="header9.xml"/><Relationship Id="rId139" Type="http://schemas.openxmlformats.org/officeDocument/2006/relationships/hyperlink" Target="https://maryland.maps.arcgis.com/home/signin.html?returnUrl=http%3A//maryland.maps.arcgis.com/apps/webappviewer/index.html%3Fid%3D6595be786f3e473cb8bb59c56d33f119%26extent%3D-8951562.717%252C4467594.3356%252C-8071008.1512%252C4921936.0318%252C102100%20" TargetMode="External"/><Relationship Id="rId290" Type="http://schemas.openxmlformats.org/officeDocument/2006/relationships/header" Target="header71.xml"/><Relationship Id="rId304" Type="http://schemas.openxmlformats.org/officeDocument/2006/relationships/hyperlink" Target="http://www.mgs.md.gov/" TargetMode="External"/><Relationship Id="rId346" Type="http://schemas.openxmlformats.org/officeDocument/2006/relationships/footer" Target="footer75.xml"/><Relationship Id="rId388" Type="http://schemas.openxmlformats.org/officeDocument/2006/relationships/hyperlink" Target="file:///N:\OMT\Pavement%20and%20Geotechnical\PaveDsgnGuid\Reference%20Guidelines\REF-16%20-%20GPR" TargetMode="External"/><Relationship Id="rId85" Type="http://schemas.openxmlformats.org/officeDocument/2006/relationships/hyperlink" Target="file:///N:\OMT\Pavement%20and%20Geotechnical\PaveDsgnGuid\Forms\PD-01%20Condition%20Summary.xlsx" TargetMode="External"/><Relationship Id="rId150" Type="http://schemas.openxmlformats.org/officeDocument/2006/relationships/footer" Target="footer37.xml"/><Relationship Id="rId192" Type="http://schemas.openxmlformats.org/officeDocument/2006/relationships/image" Target="media/image38.png"/><Relationship Id="rId206" Type="http://schemas.openxmlformats.org/officeDocument/2006/relationships/image" Target="media/image43.png"/><Relationship Id="rId413" Type="http://schemas.openxmlformats.org/officeDocument/2006/relationships/hyperlink" Target="file:///\\shahanfs1\omtoocshared\OMT\Pavement%20and%20Geotechnical\PaveDsgnGuid\Design%20Build%20Performance%20Spec%20and%20Templates\Current%20Templates\RPT-06b%20-%20TC%203.10_Pavement%20Performance%20Specification%20-%20FWD%20and%20CTB%20and%20CMS%20NOT%20allowed.docx" TargetMode="External"/><Relationship Id="rId248" Type="http://schemas.openxmlformats.org/officeDocument/2006/relationships/hyperlink" Target="javascript:WebForm_DoPostBackWithOptions(new%20WebForm_PostBackOptions(%22ctl00$ctl00$MainPageContentArea$main_RHS$lkbAmdatMap%22,%20%22%22,%20true,%20%22%22,%20%22%22,%20false,%20true))" TargetMode="External"/><Relationship Id="rId455" Type="http://schemas.openxmlformats.org/officeDocument/2006/relationships/image" Target="media/image73.wmf"/><Relationship Id="rId12" Type="http://schemas.openxmlformats.org/officeDocument/2006/relationships/image" Target="media/image3.jpeg"/><Relationship Id="rId108" Type="http://schemas.openxmlformats.org/officeDocument/2006/relationships/oleObject" Target="embeddings/oleObject1.bin"/><Relationship Id="rId315" Type="http://schemas.openxmlformats.org/officeDocument/2006/relationships/image" Target="media/image63.jpeg"/><Relationship Id="rId357" Type="http://schemas.openxmlformats.org/officeDocument/2006/relationships/hyperlink" Target="file:///N:\OMT\Pavement%20and%20Geotechnical\PaveDsgnGuid\Forms\PD-02%20Summary%20of%20Discussion%20with%20District%20of%20Preservation%20Options.xlsx" TargetMode="External"/><Relationship Id="rId54" Type="http://schemas.openxmlformats.org/officeDocument/2006/relationships/hyperlink" Target="https://www.roads.maryland.gov/mdotsha/pages/Index.aspx?PageId=832" TargetMode="External"/><Relationship Id="rId96" Type="http://schemas.openxmlformats.org/officeDocument/2006/relationships/header" Target="header25.xml"/><Relationship Id="rId161" Type="http://schemas.openxmlformats.org/officeDocument/2006/relationships/image" Target="media/image16.png"/><Relationship Id="rId217" Type="http://schemas.openxmlformats.org/officeDocument/2006/relationships/hyperlink" Target="file:///N:\OMT\Pavement%20and%20Geotechnical\Specifications" TargetMode="External"/><Relationship Id="rId399" Type="http://schemas.openxmlformats.org/officeDocument/2006/relationships/hyperlink" Target="file:///\\shahanfs1\omtoocshared\OMT\Pavement%20and%20Geotechnical\PaveDsgnGuid\Pavement%20Design%20Spreadsheets\PDS-10%20Multi%20Project%20Summary%20-%20CD.xlsm" TargetMode="External"/><Relationship Id="rId259" Type="http://schemas.openxmlformats.org/officeDocument/2006/relationships/hyperlink" Target="http://apps.roads.maryland.gov/BusinessWithSHA/bizStdsSpecs/desManualStdPub/publicationsonline/ohd/bookstd/pdf/MD-580.03.pdf" TargetMode="External"/><Relationship Id="rId424" Type="http://schemas.openxmlformats.org/officeDocument/2006/relationships/hyperlink" Target="file:///N:\OMT\Pavement%20and%20Geotechnical\PaveDsgnGuid\Memoformats\RPT-13%20-%20LCCA-PTSP%20Outcome%20Memo%20to%20SHA%20PTST.docx" TargetMode="External"/><Relationship Id="rId466" Type="http://schemas.openxmlformats.org/officeDocument/2006/relationships/header" Target="header101.xml"/><Relationship Id="rId23" Type="http://schemas.openxmlformats.org/officeDocument/2006/relationships/image" Target="media/image7.png"/><Relationship Id="rId119" Type="http://schemas.openxmlformats.org/officeDocument/2006/relationships/header" Target="header34.xml"/><Relationship Id="rId270" Type="http://schemas.openxmlformats.org/officeDocument/2006/relationships/header" Target="header59.xml"/><Relationship Id="rId326" Type="http://schemas.openxmlformats.org/officeDocument/2006/relationships/footer" Target="footer69.xml"/><Relationship Id="rId65" Type="http://schemas.openxmlformats.org/officeDocument/2006/relationships/hyperlink" Target="file:///N:\OMT\Pavement%20and%20Geotechnical\PAVEDSGN\Technical\PTST\PTST%20Procedures\Current%20Version\Latest%20Material%20Unit%20Costs.pdf" TargetMode="External"/><Relationship Id="rId130" Type="http://schemas.openxmlformats.org/officeDocument/2006/relationships/hyperlink" Target="http://en.wikipedia.org/wiki/Clay" TargetMode="External"/><Relationship Id="rId368" Type="http://schemas.openxmlformats.org/officeDocument/2006/relationships/hyperlink" Target="file:///N:\OMT\Pavement%20and%20Geotechnical\PaveDsgnGuid\Forms\PD-10%20Laboratory%20Test%20Request%20Form.xlsx" TargetMode="External"/><Relationship Id="rId172" Type="http://schemas.openxmlformats.org/officeDocument/2006/relationships/image" Target="media/image27.png"/><Relationship Id="rId193" Type="http://schemas.openxmlformats.org/officeDocument/2006/relationships/image" Target="media/image39.png"/><Relationship Id="rId207" Type="http://schemas.openxmlformats.org/officeDocument/2006/relationships/image" Target="media/image44.jpeg"/><Relationship Id="rId228" Type="http://schemas.openxmlformats.org/officeDocument/2006/relationships/header" Target="header50.xml"/><Relationship Id="rId249" Type="http://schemas.openxmlformats.org/officeDocument/2006/relationships/hyperlink" Target="javascript:WebForm_DoPostBackWithOptions(new%20WebForm_PostBackOptions(%22ctl00$ctl00$MainPageContentArea$main_RHS$lkbSolarZoneMap%22,%20%22%22,%20true,%20%22%22,%20%22%22,%20false,%20true))" TargetMode="External"/><Relationship Id="rId414" Type="http://schemas.openxmlformats.org/officeDocument/2006/relationships/hyperlink" Target="file:///N:\OMT\Pavement%20and%20Geotechnical\PaveDsgnGuid\Design%20Build%20Performance%20Spec%20and%20Templates\Current%20Templates\RPT-06c%20-%20TC%203.10.06%20Template.docx" TargetMode="External"/><Relationship Id="rId435" Type="http://schemas.openxmlformats.org/officeDocument/2006/relationships/hyperlink" Target="file:///\\shahanfs1\omtoocshared\OMT\Pavement%20and%20Geotechnical\PaveDsgnGuid\Pavement%20Design%20Spreadsheets" TargetMode="External"/><Relationship Id="rId456" Type="http://schemas.openxmlformats.org/officeDocument/2006/relationships/header" Target="header98.xml"/><Relationship Id="rId13" Type="http://schemas.openxmlformats.org/officeDocument/2006/relationships/image" Target="cid:image001.jpg@01D40FAD.A1B48C30" TargetMode="External"/><Relationship Id="rId109" Type="http://schemas.openxmlformats.org/officeDocument/2006/relationships/header" Target="header29.xml"/><Relationship Id="rId260" Type="http://schemas.openxmlformats.org/officeDocument/2006/relationships/hyperlink" Target="http://apps.roads.maryland.gov/BusinessWithSHA/bizStdsSpecs/desManualStdPub/publicationsonline/ohd/bookstd/pdf/MD-580.04.pdf" TargetMode="External"/><Relationship Id="rId281" Type="http://schemas.openxmlformats.org/officeDocument/2006/relationships/header" Target="header65.xml"/><Relationship Id="rId316" Type="http://schemas.openxmlformats.org/officeDocument/2006/relationships/hyperlink" Target="http://apps.roads.maryland.gov/BusinessWithSHA/bizStdsSpecs/desManualStdPub/publicationsonline/ohd/bookstd/pdf/MD-387.51.pdf" TargetMode="External"/><Relationship Id="rId337" Type="http://schemas.openxmlformats.org/officeDocument/2006/relationships/hyperlink" Target="file:///N:\OMT\Pavement%20and%20Geotechnical\PaveDsgnGuid\Forms\PD-11%20for%2010-01-13%20Ride%20Spec.xlsm" TargetMode="External"/><Relationship Id="rId34" Type="http://schemas.openxmlformats.org/officeDocument/2006/relationships/hyperlink" Target="https://data.imap.maryland.gov/" TargetMode="External"/><Relationship Id="rId55" Type="http://schemas.openxmlformats.org/officeDocument/2006/relationships/image" Target="media/image9.png"/><Relationship Id="rId76" Type="http://schemas.openxmlformats.org/officeDocument/2006/relationships/footer" Target="footer21.xml"/><Relationship Id="rId97" Type="http://schemas.openxmlformats.org/officeDocument/2006/relationships/footer" Target="footer25.xml"/><Relationship Id="rId120" Type="http://schemas.openxmlformats.org/officeDocument/2006/relationships/footer" Target="footer34.xml"/><Relationship Id="rId141" Type="http://schemas.openxmlformats.org/officeDocument/2006/relationships/header" Target="header35.xml"/><Relationship Id="rId358" Type="http://schemas.openxmlformats.org/officeDocument/2006/relationships/hyperlink" Target="file:///N:\OMT\Pavement%20and%20Geotechnical\PaveDsgnGuid\Forms\PD-03%20IRI%20Profiling%20Request.docx" TargetMode="External"/><Relationship Id="rId379" Type="http://schemas.openxmlformats.org/officeDocument/2006/relationships/hyperlink" Target="file:///N:\OMT\Pavement%20and%20Geotechnical\PaveDsgnGuid\Reference%20Guidelines\REF-07%20-%20Cut%20slope%20design.doc" TargetMode="External"/><Relationship Id="rId7" Type="http://schemas.openxmlformats.org/officeDocument/2006/relationships/endnotes" Target="endnotes.xml"/><Relationship Id="rId162" Type="http://schemas.openxmlformats.org/officeDocument/2006/relationships/image" Target="media/image17.png"/><Relationship Id="rId183" Type="http://schemas.openxmlformats.org/officeDocument/2006/relationships/image" Target="media/image30.png"/><Relationship Id="rId218" Type="http://schemas.openxmlformats.org/officeDocument/2006/relationships/header" Target="header48.xml"/><Relationship Id="rId239" Type="http://schemas.openxmlformats.org/officeDocument/2006/relationships/hyperlink" Target="file:///N:\OMT\Pavement%20and%20Geotechnical\PaveDsgnGuid\Pavement%20Design%20Spreadsheets\PDS-08%20-%20Project-Level%20RSL%20Calculation.xlsx" TargetMode="External"/><Relationship Id="rId390" Type="http://schemas.openxmlformats.org/officeDocument/2006/relationships/hyperlink" Target="file:///N:\OMT\Pavement%20and%20Geotechnical\PaveDsgnGuid\Pavement%20Design%20Spreadsheets\PDS-01%20-%20PE%20Cost%20Estimate.xlsx" TargetMode="External"/><Relationship Id="rId404" Type="http://schemas.openxmlformats.org/officeDocument/2006/relationships/header" Target="header91.xml"/><Relationship Id="rId425" Type="http://schemas.openxmlformats.org/officeDocument/2006/relationships/hyperlink" Target="file:///N:\OMT\Pavement%20and%20Geotechnical\PaveDsgnGuid\Memoformats\RPT-13a%20-%20LCCA-PTSP%20Outcome%20Letter%20to%20HMA%20Industry.docx" TargetMode="External"/><Relationship Id="rId446" Type="http://schemas.openxmlformats.org/officeDocument/2006/relationships/footer" Target="footer85.xml"/><Relationship Id="rId467" Type="http://schemas.openxmlformats.org/officeDocument/2006/relationships/footer" Target="footer89.xml"/><Relationship Id="rId250" Type="http://schemas.openxmlformats.org/officeDocument/2006/relationships/hyperlink" Target="http://apps.acpa.org/applibrary/BCOA/" TargetMode="External"/><Relationship Id="rId271" Type="http://schemas.openxmlformats.org/officeDocument/2006/relationships/footer" Target="footer56.xml"/><Relationship Id="rId292" Type="http://schemas.openxmlformats.org/officeDocument/2006/relationships/footer" Target="footer61.xml"/><Relationship Id="rId306" Type="http://schemas.openxmlformats.org/officeDocument/2006/relationships/image" Target="media/image54.jpeg"/><Relationship Id="rId24" Type="http://schemas.openxmlformats.org/officeDocument/2006/relationships/header" Target="header3.xml"/><Relationship Id="rId45" Type="http://schemas.openxmlformats.org/officeDocument/2006/relationships/header" Target="header10.xml"/><Relationship Id="rId66" Type="http://schemas.openxmlformats.org/officeDocument/2006/relationships/hyperlink" Target="file:///N:\OMT\Pavement%20and%20Geotechnical\PAVEDSGN\Technical\PTST\PTST%20Procedures\Current%20Version\Latest%20Material%20Unit%20Costs.pdf" TargetMode="External"/><Relationship Id="rId87" Type="http://schemas.openxmlformats.org/officeDocument/2006/relationships/footer" Target="footer23.xml"/><Relationship Id="rId110" Type="http://schemas.openxmlformats.org/officeDocument/2006/relationships/footer" Target="footer29.xml"/><Relationship Id="rId131" Type="http://schemas.openxmlformats.org/officeDocument/2006/relationships/hyperlink" Target="http://en.wikipedia.org/wiki/Liquid_limit" TargetMode="External"/><Relationship Id="rId327" Type="http://schemas.openxmlformats.org/officeDocument/2006/relationships/header" Target="header82.xml"/><Relationship Id="rId348" Type="http://schemas.openxmlformats.org/officeDocument/2006/relationships/header" Target="header88.xml"/><Relationship Id="rId369" Type="http://schemas.openxmlformats.org/officeDocument/2006/relationships/hyperlink" Target="file:///N:\OMT\Pavement%20and%20Geotechnical\PaveDsgnGuid\Forms\PD-11%20for%2010-01-13%20Ride%20Spec.xlsm" TargetMode="External"/><Relationship Id="rId152" Type="http://schemas.openxmlformats.org/officeDocument/2006/relationships/hyperlink" Target="file:///N:\OMT\Pavement%20and%20Geotechnical\PaveDsgnGuid\Pavement%20Design%20Spreadsheets\PDS-02%20-%20Traffic%20Calculations.xlsx" TargetMode="External"/><Relationship Id="rId173" Type="http://schemas.openxmlformats.org/officeDocument/2006/relationships/header" Target="header39.xml"/><Relationship Id="rId194" Type="http://schemas.openxmlformats.org/officeDocument/2006/relationships/image" Target="media/image40.png"/><Relationship Id="rId208" Type="http://schemas.openxmlformats.org/officeDocument/2006/relationships/image" Target="cid:image001.jpg@01D5F84C.E9200390" TargetMode="External"/><Relationship Id="rId229" Type="http://schemas.openxmlformats.org/officeDocument/2006/relationships/footer" Target="footer48.xml"/><Relationship Id="rId380" Type="http://schemas.openxmlformats.org/officeDocument/2006/relationships/hyperlink" Target="file:///N:\OMT\Pavement%20and%20Geotechnical\PaveDsgnGuid\Reference%20Guidelines\REF-08%20-%20How%20to%20Access%20AsBuilts%201-2-3.pdf" TargetMode="External"/><Relationship Id="rId415" Type="http://schemas.openxmlformats.org/officeDocument/2006/relationships/hyperlink" Target="file:///N:\OMT\Pavement%20and%20Geotechnical\PaveDsgnGuid\Design%20Build%20Performance%20Spec%20and%20Templates\Current%20Templates\RPT-06d%20-%20TC%203%2014%20Geotech%20Performance%20Specification.docx" TargetMode="External"/><Relationship Id="rId436" Type="http://schemas.openxmlformats.org/officeDocument/2006/relationships/hyperlink" Target="file:///\\shahanfs1\omtoocshared\OMT\Pavement%20and%20Geotechnical\PaveDsgnGuid\Pavement%20Design%20Spreadsheets" TargetMode="External"/><Relationship Id="rId457" Type="http://schemas.openxmlformats.org/officeDocument/2006/relationships/footer" Target="footer86.xml"/><Relationship Id="rId240" Type="http://schemas.openxmlformats.org/officeDocument/2006/relationships/hyperlink" Target="https://www.roads.maryland.gov/mdotsha/pages/Index.aspx?PageId=832" TargetMode="External"/><Relationship Id="rId261" Type="http://schemas.openxmlformats.org/officeDocument/2006/relationships/hyperlink" Target="http://apps.roads.maryland.gov/BusinessWithSHA/bizStdsSpecs/desManualStdPub/publicationsonline/ohd/bookstd/pdf/MD-580.05.pdf" TargetMode="External"/><Relationship Id="rId14" Type="http://schemas.openxmlformats.org/officeDocument/2006/relationships/header" Target="header1.xml"/><Relationship Id="rId35" Type="http://schemas.openxmlformats.org/officeDocument/2006/relationships/hyperlink" Target="http://geodata.md.gov/imaptemplate/?appid=a8ec7e2ff4c34a31bc1e9411ed8e7a7e" TargetMode="External"/><Relationship Id="rId56" Type="http://schemas.openxmlformats.org/officeDocument/2006/relationships/header" Target="header17.xml"/><Relationship Id="rId77" Type="http://schemas.openxmlformats.org/officeDocument/2006/relationships/hyperlink" Target="file:///\\shahanfs1\omtoocshared\OMT\Design%20Projects\DesignProjects.accdb" TargetMode="External"/><Relationship Id="rId100" Type="http://schemas.openxmlformats.org/officeDocument/2006/relationships/image" Target="media/image11.jpeg"/><Relationship Id="rId282" Type="http://schemas.openxmlformats.org/officeDocument/2006/relationships/header" Target="header66.xml"/><Relationship Id="rId317" Type="http://schemas.openxmlformats.org/officeDocument/2006/relationships/hyperlink" Target="http://apps.roads.maryland.gov/BusinessWithSHA/bizStdsSpecs/desManualStdPub/publicationsonline/ohd/bookstd/pdf/MD-387.61.pdf" TargetMode="External"/><Relationship Id="rId338" Type="http://schemas.openxmlformats.org/officeDocument/2006/relationships/header" Target="header85.xml"/><Relationship Id="rId359" Type="http://schemas.openxmlformats.org/officeDocument/2006/relationships/hyperlink" Target="file:///\\shahanfs1\omtoocshared\OMT\Pavement%20and%20Geotechnical\PAVEDSGN\TestRequest%202012.accdb" TargetMode="External"/><Relationship Id="rId8" Type="http://schemas.openxmlformats.org/officeDocument/2006/relationships/image" Target="media/image1.png"/><Relationship Id="rId98" Type="http://schemas.openxmlformats.org/officeDocument/2006/relationships/header" Target="header26.xml"/><Relationship Id="rId121" Type="http://schemas.openxmlformats.org/officeDocument/2006/relationships/hyperlink" Target="http://apps.roads.maryland.gov/BusinessWithSHA/bizStdsSpecs/desManualStdPub/publicationsonline/ohd/bookstd/pdf/MD-000.04.pdf" TargetMode="External"/><Relationship Id="rId142" Type="http://schemas.openxmlformats.org/officeDocument/2006/relationships/footer" Target="footer35.xml"/><Relationship Id="rId163" Type="http://schemas.openxmlformats.org/officeDocument/2006/relationships/image" Target="media/image18.png"/><Relationship Id="rId184" Type="http://schemas.openxmlformats.org/officeDocument/2006/relationships/image" Target="media/image31.png"/><Relationship Id="rId219" Type="http://schemas.openxmlformats.org/officeDocument/2006/relationships/footer" Target="footer46.xml"/><Relationship Id="rId370" Type="http://schemas.openxmlformats.org/officeDocument/2006/relationships/hyperlink" Target="file:///N:\OMT\Pavement%20and%20Geotechnical\PaveDsgnGuid\Forms\PD-12%20Pavement%20Patching%20Survey.xlsx" TargetMode="External"/><Relationship Id="rId391" Type="http://schemas.openxmlformats.org/officeDocument/2006/relationships/hyperlink" Target="file:///N:\OMT\Pavement%20and%20Geotechnical\PaveDsgnGuid\Pavement%20Design%20Spreadsheets\PDS-02%20-%20Traffic%20Calculations.xlsx" TargetMode="External"/><Relationship Id="rId405" Type="http://schemas.openxmlformats.org/officeDocument/2006/relationships/footer" Target="footer80.xml"/><Relationship Id="rId426" Type="http://schemas.openxmlformats.org/officeDocument/2006/relationships/hyperlink" Target="file:///N:\OMT\Pavement%20and%20Geotechnical\PaveDsgnGuid\Memoformats\RPT-13p%20-%20LCCA-PTSP%20Outcome%20Letter%20to%20PCC%20Industry.docx" TargetMode="External"/><Relationship Id="rId447" Type="http://schemas.openxmlformats.org/officeDocument/2006/relationships/image" Target="media/image65.jpeg"/><Relationship Id="rId230" Type="http://schemas.openxmlformats.org/officeDocument/2006/relationships/hyperlink" Target="file:///\\shahanfs1\omtoocshared\OMT\Pavement%20and%20Geotechnical\PaveDsgnGuid\Pavement%20Design%20Spreadsheets\PDS-09%20Automated%20Project-Level%20Design%20Help%20-CD.xlsm" TargetMode="External"/><Relationship Id="rId251" Type="http://schemas.openxmlformats.org/officeDocument/2006/relationships/hyperlink" Target="http://apps.acpa.org/applibrary/kvalue/" TargetMode="External"/><Relationship Id="rId468" Type="http://schemas.openxmlformats.org/officeDocument/2006/relationships/header" Target="header102.xml"/><Relationship Id="rId25" Type="http://schemas.openxmlformats.org/officeDocument/2006/relationships/footer" Target="footer7.xml"/><Relationship Id="rId46" Type="http://schemas.openxmlformats.org/officeDocument/2006/relationships/header" Target="header11.xml"/><Relationship Id="rId67" Type="http://schemas.openxmlformats.org/officeDocument/2006/relationships/hyperlink" Target="file:///N:\OMT\Pavement%20and%20Geotechnical\PAVEDSGN\Technical\PTST\PTST%20Procedures\Current%20Version\Latest%20Material%20Unit%20Costs.pdf" TargetMode="External"/><Relationship Id="rId272" Type="http://schemas.openxmlformats.org/officeDocument/2006/relationships/header" Target="header60.xml"/><Relationship Id="rId293" Type="http://schemas.openxmlformats.org/officeDocument/2006/relationships/header" Target="header73.xml"/><Relationship Id="rId307" Type="http://schemas.openxmlformats.org/officeDocument/2006/relationships/image" Target="media/image55.jpeg"/><Relationship Id="rId328" Type="http://schemas.openxmlformats.org/officeDocument/2006/relationships/footer" Target="footer70.xml"/><Relationship Id="rId349" Type="http://schemas.openxmlformats.org/officeDocument/2006/relationships/footer" Target="footer76.xml"/><Relationship Id="rId88" Type="http://schemas.openxmlformats.org/officeDocument/2006/relationships/hyperlink" Target="file:///N:\OMT\Pavement%20and%20Geotechnical\PaveDsgnGuid\Forms\PD-12%20Pavement%20Patching%20Survey.xlsx" TargetMode="External"/><Relationship Id="rId111" Type="http://schemas.openxmlformats.org/officeDocument/2006/relationships/header" Target="header30.xml"/><Relationship Id="rId132" Type="http://schemas.openxmlformats.org/officeDocument/2006/relationships/hyperlink" Target="http://en.wikipedia.org/wiki/Inorganic" TargetMode="External"/><Relationship Id="rId153" Type="http://schemas.openxmlformats.org/officeDocument/2006/relationships/hyperlink" Target="file:///N:\OMT\Pavement%20and%20Geotechnical\PaveDsgnGuid\Pavement%20Design%20Spreadsheets\PDS-02%20-%20Traffic%20Calculations.xlsx" TargetMode="External"/><Relationship Id="rId174" Type="http://schemas.openxmlformats.org/officeDocument/2006/relationships/footer" Target="footer39.xml"/><Relationship Id="rId195" Type="http://schemas.openxmlformats.org/officeDocument/2006/relationships/hyperlink" Target="file:///N:\OMT\Pavement%20and%20Geotechnical\PaveDsgnGuid\Reference%20Guidelines\REF-08%20-%20How%20to%20Access%20AsBuilts%201-2-3.pdf" TargetMode="External"/><Relationship Id="rId209" Type="http://schemas.openxmlformats.org/officeDocument/2006/relationships/header" Target="header47.xml"/><Relationship Id="rId360" Type="http://schemas.openxmlformats.org/officeDocument/2006/relationships/hyperlink" Target="file:///N:\OMT\Pavement%20and%20Geotechnical\PaveDsgnGuid\Forms\PD-05%20-%20Summary%20of%20Geotechnical%20Design%20Elements%20and%20Delegation.docx" TargetMode="External"/><Relationship Id="rId381" Type="http://schemas.openxmlformats.org/officeDocument/2006/relationships/hyperlink" Target="file:///N:\OMT\Pavement%20and%20Geotechnical\PaveDsgnGuid\Reference%20Guidelines\REF-09%20-%20Slopes%20&amp;%20Drainage%20Cheat%20Sheet.doc" TargetMode="External"/><Relationship Id="rId416" Type="http://schemas.openxmlformats.org/officeDocument/2006/relationships/hyperlink" Target="file:///N:\OMT\Pavement%20and%20Geotechnical\PaveDsgnGuid\Design%20Build%20Performance%20Spec%20and%20Templates\Current%20Templates\RPT-06e%20-%20PGD%20Data%20Guidelines" TargetMode="External"/><Relationship Id="rId220" Type="http://schemas.openxmlformats.org/officeDocument/2006/relationships/image" Target="media/image45.jpeg"/><Relationship Id="rId241" Type="http://schemas.openxmlformats.org/officeDocument/2006/relationships/hyperlink" Target="file:///\\shahanfs1\omtoocshared\OMT\Pavement%20and%20Geotechnical\PaveDsgnGuid\Pavement%20Design%20Spreadsheets\PDS-14%20-%20Lane-Mile%20Factor%20Adjusting%20for%20Paving%20Widths.xlsx" TargetMode="External"/><Relationship Id="rId437" Type="http://schemas.openxmlformats.org/officeDocument/2006/relationships/header" Target="header94.xml"/><Relationship Id="rId458" Type="http://schemas.openxmlformats.org/officeDocument/2006/relationships/header" Target="header99.xml"/><Relationship Id="rId15" Type="http://schemas.openxmlformats.org/officeDocument/2006/relationships/footer" Target="footer3.xml"/><Relationship Id="rId36" Type="http://schemas.openxmlformats.org/officeDocument/2006/relationships/footer" Target="footer11.xml"/><Relationship Id="rId57" Type="http://schemas.openxmlformats.org/officeDocument/2006/relationships/footer" Target="footer16.xml"/><Relationship Id="rId262" Type="http://schemas.openxmlformats.org/officeDocument/2006/relationships/hyperlink" Target="http://apps.roads.maryland.gov/BusinessWithSHA/bizStdsSpecs/desManualStdPub/publicationsonline/ohd/bookstd/pdf/MD-580.06.pdf" TargetMode="External"/><Relationship Id="rId283" Type="http://schemas.openxmlformats.org/officeDocument/2006/relationships/footer" Target="footer59.xml"/><Relationship Id="rId318" Type="http://schemas.openxmlformats.org/officeDocument/2006/relationships/header" Target="header78.xml"/><Relationship Id="rId339" Type="http://schemas.openxmlformats.org/officeDocument/2006/relationships/footer" Target="footer73.xml"/><Relationship Id="rId78" Type="http://schemas.openxmlformats.org/officeDocument/2006/relationships/hyperlink" Target="file:///N:\OMT\Pavement%20and%20Geotechnical\PaveDsgnGuid\Forms\PD-01%20Condition%20Summary.xlsx" TargetMode="External"/><Relationship Id="rId99" Type="http://schemas.openxmlformats.org/officeDocument/2006/relationships/footer" Target="footer26.xml"/><Relationship Id="rId101" Type="http://schemas.openxmlformats.org/officeDocument/2006/relationships/hyperlink" Target="https://dot.ca.gov/programs/engineering-services/manuals/sc-trenchingandshoring-manual" TargetMode="External"/><Relationship Id="rId122" Type="http://schemas.openxmlformats.org/officeDocument/2006/relationships/hyperlink" Target="http://apps.roads.maryland.gov/BusinessWithSHA/bizStdsSpecs/desManualStdPub/publicationsonline/ohd/bookstd/pdf/MD-000.01.pdf" TargetMode="External"/><Relationship Id="rId143" Type="http://schemas.openxmlformats.org/officeDocument/2006/relationships/hyperlink" Target="http://www.fhwa.dot.gov/engineering/geotech/library_listing.cfm?TitleStart=G" TargetMode="External"/><Relationship Id="rId164" Type="http://schemas.openxmlformats.org/officeDocument/2006/relationships/image" Target="media/image19.png"/><Relationship Id="rId185" Type="http://schemas.openxmlformats.org/officeDocument/2006/relationships/image" Target="media/image32.png"/><Relationship Id="rId350" Type="http://schemas.openxmlformats.org/officeDocument/2006/relationships/footer" Target="footer77.xml"/><Relationship Id="rId371" Type="http://schemas.openxmlformats.org/officeDocument/2006/relationships/hyperlink" Target="file:///N:\OMT\Pavement%20and%20Geotechnical\PaveDsgnGuid\Forms\PD-13%20-%20PTSP%20Checklist.docx" TargetMode="External"/><Relationship Id="rId406" Type="http://schemas.openxmlformats.org/officeDocument/2006/relationships/hyperlink" Target="file:///\\shahanfs1\omtoocshared\OMT\Pavement%20and%20Geotechnical\PaveDsgnGuid\Memoformats" TargetMode="External"/><Relationship Id="rId9" Type="http://schemas.openxmlformats.org/officeDocument/2006/relationships/image" Target="media/image2.emf"/><Relationship Id="rId210" Type="http://schemas.openxmlformats.org/officeDocument/2006/relationships/footer" Target="footer45.xml"/><Relationship Id="rId392" Type="http://schemas.openxmlformats.org/officeDocument/2006/relationships/hyperlink" Target="file:///N:\OMT\Pavement%20and%20Geotechnical\PaveDsgnGuid\Pavement%20Design%20Spreadsheets\PDS-03%20-%20Costs%20&amp;%20Quantities.xlsx" TargetMode="External"/><Relationship Id="rId427" Type="http://schemas.openxmlformats.org/officeDocument/2006/relationships/hyperlink" Target="file:///N:\OMT\Pavement%20and%20Geotechnical\PaveDsgnGuid\Memoformats\RPT-14%20-%20Fund%2077%20Preventive%20Maintenance%20Memo%20Template.docx" TargetMode="External"/><Relationship Id="rId448" Type="http://schemas.openxmlformats.org/officeDocument/2006/relationships/image" Target="media/image66.wmf"/><Relationship Id="rId469" Type="http://schemas.openxmlformats.org/officeDocument/2006/relationships/footer" Target="footer90.xml"/><Relationship Id="rId26" Type="http://schemas.openxmlformats.org/officeDocument/2006/relationships/header" Target="header4.xml"/><Relationship Id="rId231" Type="http://schemas.openxmlformats.org/officeDocument/2006/relationships/hyperlink" Target="file:///N:\OMT\Pavement%20and%20Geotechnical\PaveDsgnGuid\Forms\PD-11%20for%2010-01-13%20Ride%20Spec.xlsm" TargetMode="External"/><Relationship Id="rId252" Type="http://schemas.openxmlformats.org/officeDocument/2006/relationships/header" Target="header55.xml"/><Relationship Id="rId273" Type="http://schemas.openxmlformats.org/officeDocument/2006/relationships/image" Target="media/image51.png"/><Relationship Id="rId294" Type="http://schemas.openxmlformats.org/officeDocument/2006/relationships/header" Target="header74.xml"/><Relationship Id="rId308" Type="http://schemas.openxmlformats.org/officeDocument/2006/relationships/image" Target="media/image56.jpeg"/><Relationship Id="rId329" Type="http://schemas.openxmlformats.org/officeDocument/2006/relationships/header" Target="header83.xml"/><Relationship Id="rId47" Type="http://schemas.openxmlformats.org/officeDocument/2006/relationships/footer" Target="footer15.xml"/><Relationship Id="rId68" Type="http://schemas.openxmlformats.org/officeDocument/2006/relationships/hyperlink" Target="file:///N:\OMT\Pavement%20and%20Geotechnical\PAVEDSGN\Technical\PTST\PTST%20Procedures\Current%20Version\Latest%20Material%20Unit%20Costs.pdf" TargetMode="External"/><Relationship Id="rId89" Type="http://schemas.openxmlformats.org/officeDocument/2006/relationships/header" Target="header24.xml"/><Relationship Id="rId112" Type="http://schemas.openxmlformats.org/officeDocument/2006/relationships/footer" Target="footer30.xml"/><Relationship Id="rId133" Type="http://schemas.openxmlformats.org/officeDocument/2006/relationships/hyperlink" Target="http://en.wikipedia.org/wiki/Organic_material" TargetMode="External"/><Relationship Id="rId154" Type="http://schemas.openxmlformats.org/officeDocument/2006/relationships/hyperlink" Target="file:///N:\OMT\Pavement%20and%20Geotechnical\PaveDsgnGuid\Pavement%20Design%20Spreadsheets\PDS-02%20-%20Traffic%20Calculations.xlsx" TargetMode="External"/><Relationship Id="rId175" Type="http://schemas.openxmlformats.org/officeDocument/2006/relationships/header" Target="header40.xml"/><Relationship Id="rId340" Type="http://schemas.openxmlformats.org/officeDocument/2006/relationships/hyperlink" Target="file:///\\shahanfs1\omtoocshared\OMT\Design%20Projects\DesignProjects.accdb" TargetMode="External"/><Relationship Id="rId361" Type="http://schemas.openxmlformats.org/officeDocument/2006/relationships/hyperlink" Target="file:///N:\OMT\Pavement%20and%20Geotechnical\PaveDsgnGuid\Forms\PD-06%20QCQA%20Form.docx" TargetMode="External"/><Relationship Id="rId196" Type="http://schemas.openxmlformats.org/officeDocument/2006/relationships/header" Target="header44.xml"/><Relationship Id="rId200" Type="http://schemas.openxmlformats.org/officeDocument/2006/relationships/hyperlink" Target="file:///\\shahanfs1\omtoocshared\OMT\Pavement%20and%20Geotechnical\PaveDsgnGuid\Pavement%20Design%20Spreadsheets\PDS-08%20-%20Project-Level%20RSL%20Calculation.xlsx" TargetMode="External"/><Relationship Id="rId382" Type="http://schemas.openxmlformats.org/officeDocument/2006/relationships/hyperlink" Target="file:///N:\OMT\Pavement%20and%20Geotechnical\PaveDsgnGuid\Reference%20Guidelines\REF-10%20-%20Users%20Guide%20(SWM%20tool).doc" TargetMode="External"/><Relationship Id="rId417" Type="http://schemas.openxmlformats.org/officeDocument/2006/relationships/hyperlink" Target="file:///N:\OMT\Pavement%20and%20Geotechnical\PaveDsgnGuid\Memoformats\RPT-07%20-%20Top%20Soil%20Memo%20Example.docx" TargetMode="External"/><Relationship Id="rId438" Type="http://schemas.openxmlformats.org/officeDocument/2006/relationships/footer" Target="footer83.xml"/><Relationship Id="rId459" Type="http://schemas.openxmlformats.org/officeDocument/2006/relationships/footer" Target="footer87.xml"/><Relationship Id="rId16" Type="http://schemas.openxmlformats.org/officeDocument/2006/relationships/footer" Target="footer4.xml"/><Relationship Id="rId221" Type="http://schemas.openxmlformats.org/officeDocument/2006/relationships/image" Target="media/image46.jpeg"/><Relationship Id="rId242" Type="http://schemas.openxmlformats.org/officeDocument/2006/relationships/header" Target="header53.xml"/><Relationship Id="rId263" Type="http://schemas.openxmlformats.org/officeDocument/2006/relationships/hyperlink" Target="http://apps.roads.maryland.gov/BusinessWithSHA/bizStdsSpecs/desManualStdPub/publicationsonline/ohd/bookstd/pdf/MD-580.07.pdf" TargetMode="External"/><Relationship Id="rId284" Type="http://schemas.openxmlformats.org/officeDocument/2006/relationships/header" Target="header67.xml"/><Relationship Id="rId319" Type="http://schemas.openxmlformats.org/officeDocument/2006/relationships/footer" Target="footer66.xml"/><Relationship Id="rId470" Type="http://schemas.openxmlformats.org/officeDocument/2006/relationships/fontTable" Target="fontTable.xml"/><Relationship Id="rId37" Type="http://schemas.openxmlformats.org/officeDocument/2006/relationships/header" Target="header7.xml"/><Relationship Id="rId58" Type="http://schemas.openxmlformats.org/officeDocument/2006/relationships/header" Target="header18.xml"/><Relationship Id="rId79" Type="http://schemas.openxmlformats.org/officeDocument/2006/relationships/hyperlink" Target="file:///N:\OMT\Pavement%20and%20Geotechnical\PaveDsgnGuid\Forms\PD-01%20Condition%20Summary.xlsx" TargetMode="External"/><Relationship Id="rId102" Type="http://schemas.openxmlformats.org/officeDocument/2006/relationships/header" Target="header27.xml"/><Relationship Id="rId123" Type="http://schemas.openxmlformats.org/officeDocument/2006/relationships/hyperlink" Target="http://apps.roads.maryland.gov/BusinessWithSHA/bizStdsSpecs/desManualStdPub/publicationsonline/ohd/bookstd/pdf/MD-000.03.pdf" TargetMode="External"/><Relationship Id="rId144" Type="http://schemas.openxmlformats.org/officeDocument/2006/relationships/hyperlink" Target="http://www.fhwa.dot.gov/engineering/geotech/pubs/05037/" TargetMode="External"/><Relationship Id="rId330" Type="http://schemas.openxmlformats.org/officeDocument/2006/relationships/footer" Target="footer71.xml"/><Relationship Id="rId90" Type="http://schemas.openxmlformats.org/officeDocument/2006/relationships/footer" Target="footer24.xml"/><Relationship Id="rId165" Type="http://schemas.openxmlformats.org/officeDocument/2006/relationships/image" Target="media/image20.png"/><Relationship Id="rId186" Type="http://schemas.openxmlformats.org/officeDocument/2006/relationships/hyperlink" Target="http://groundwaterwatch.usgs.gov/Net/OGWNetwork.asp?ncd=rtn" TargetMode="External"/><Relationship Id="rId351" Type="http://schemas.openxmlformats.org/officeDocument/2006/relationships/header" Target="header89.xml"/><Relationship Id="rId372" Type="http://schemas.openxmlformats.org/officeDocument/2006/relationships/hyperlink" Target="file:///\\shahanfs1\omtoocshared\OMT\Pavement%20and%20Geotechnical\PaveDsgnGuid\Reference%20Guidelines" TargetMode="External"/><Relationship Id="rId393" Type="http://schemas.openxmlformats.org/officeDocument/2006/relationships/hyperlink" Target="file:///N:\OMT\Pavement%20and%20Geotechnical\PaveDsgnGuid\Pavement%20Design%20Spreadsheets\PDS-04%20-%20Class%201-A%20Excavation%20Computation%20Sheet.xlsx" TargetMode="External"/><Relationship Id="rId407" Type="http://schemas.openxmlformats.org/officeDocument/2006/relationships/hyperlink" Target="file:///N:\OMT\Pavement%20and%20Geotechnical\PaveDsgnGuid\Memoformats\RPT-01%20-%20PE%20Cost%20Memo.docx" TargetMode="External"/><Relationship Id="rId428" Type="http://schemas.openxmlformats.org/officeDocument/2006/relationships/hyperlink" Target="file:///N:\OMT\Pavement%20and%20Geotechnical\PaveDsgnGuid\Memoformats\RPT-15a%20-%20Preliminary%20Recs%20Areawide%20Mother%20Contract%20Memo.docx" TargetMode="External"/><Relationship Id="rId449" Type="http://schemas.openxmlformats.org/officeDocument/2006/relationships/image" Target="media/image67.wmf"/><Relationship Id="rId211" Type="http://schemas.openxmlformats.org/officeDocument/2006/relationships/hyperlink" Target="file:///\\shahanfs1\omtoocshared\OMT\Design%20Projects\DesignProjects.accdb" TargetMode="External"/><Relationship Id="rId232" Type="http://schemas.openxmlformats.org/officeDocument/2006/relationships/hyperlink" Target="file:///\\shahanfs1\omtoocshared\OMT\Pavement%20and%20Geotechnical\PaveDsgnGuid\Pavement%20Design%20Spreadsheets\PDS-09%20Automated%20Project-Level%20Design%20Help%20-CD.xlsm" TargetMode="External"/><Relationship Id="rId253" Type="http://schemas.openxmlformats.org/officeDocument/2006/relationships/footer" Target="footer53.xml"/><Relationship Id="rId274" Type="http://schemas.openxmlformats.org/officeDocument/2006/relationships/image" Target="media/image52.png"/><Relationship Id="rId295" Type="http://schemas.openxmlformats.org/officeDocument/2006/relationships/footer" Target="footer62.xml"/><Relationship Id="rId309" Type="http://schemas.openxmlformats.org/officeDocument/2006/relationships/image" Target="media/image57.jpeg"/><Relationship Id="rId460" Type="http://schemas.openxmlformats.org/officeDocument/2006/relationships/header" Target="header100.xml"/><Relationship Id="rId27" Type="http://schemas.openxmlformats.org/officeDocument/2006/relationships/footer" Target="footer8.xml"/><Relationship Id="rId48" Type="http://schemas.openxmlformats.org/officeDocument/2006/relationships/header" Target="header12.xml"/><Relationship Id="rId69" Type="http://schemas.openxmlformats.org/officeDocument/2006/relationships/hyperlink" Target="file:///N:\OMT\Pavement%20and%20Geotechnical\PAVEDSGN\Technical\PTST\PTST%20Procedures\Current%20Version\Latest%20Material%20Unit%20Costs.pdf" TargetMode="External"/><Relationship Id="rId113" Type="http://schemas.openxmlformats.org/officeDocument/2006/relationships/header" Target="header31.xml"/><Relationship Id="rId134" Type="http://schemas.openxmlformats.org/officeDocument/2006/relationships/hyperlink" Target="http://en.wikipedia.org/w/index.php?title=Organic_clay&amp;action=edit&amp;redlink=1" TargetMode="External"/><Relationship Id="rId320" Type="http://schemas.openxmlformats.org/officeDocument/2006/relationships/hyperlink" Target="file:///\\shahanfs1\omtoocshared\OMT\Design%20Projects\DesignProjects.accdb" TargetMode="External"/><Relationship Id="rId80" Type="http://schemas.openxmlformats.org/officeDocument/2006/relationships/hyperlink" Target="file:///N:\OMT\Pavement%20and%20Geotechnical\PaveDsgnGuid\Forms\PD-01%20Condition%20Summary.xlsx" TargetMode="External"/><Relationship Id="rId155" Type="http://schemas.openxmlformats.org/officeDocument/2006/relationships/hyperlink" Target="file:///N:\OMT\Pavement%20and%20Geotechnical\PaveDsgnGuid\Pavement%20Design%20Spreadsheets\PDS-02%20-%20Traffic%20Calculations.xlsx" TargetMode="External"/><Relationship Id="rId176" Type="http://schemas.openxmlformats.org/officeDocument/2006/relationships/footer" Target="footer40.xml"/><Relationship Id="rId197" Type="http://schemas.openxmlformats.org/officeDocument/2006/relationships/footer" Target="footer42.xml"/><Relationship Id="rId341" Type="http://schemas.openxmlformats.org/officeDocument/2006/relationships/hyperlink" Target="file:///\\shahanfs1\omtoocshared\OMT\Design%20Projects\DesignProjects.accdb" TargetMode="External"/><Relationship Id="rId362" Type="http://schemas.openxmlformats.org/officeDocument/2006/relationships/hyperlink" Target="file:///N:\OMT\Pavement%20and%20Geotechnical\PaveDsgnGuid\Forms\PD-06-Fund%2077.docx" TargetMode="External"/><Relationship Id="rId383" Type="http://schemas.openxmlformats.org/officeDocument/2006/relationships/hyperlink" Target="file:///N:\OMT\Pavement%20and%20Geotechnical\PaveDsgnGuid\Reference%20Guidelines\REF-11%20-%20Asphalt%20Distress%20Paver%20Manual.pdf" TargetMode="External"/><Relationship Id="rId418" Type="http://schemas.openxmlformats.org/officeDocument/2006/relationships/hyperlink" Target="file:///N:\OMT\Pavement%20and%20Geotechnical\PaveDsgnGuid\Memoformats\RPT-08%20-%20Example%20Coring%20Log.xlsx" TargetMode="External"/><Relationship Id="rId439" Type="http://schemas.openxmlformats.org/officeDocument/2006/relationships/hyperlink" Target="file:///\\shahanfs1\omtoocshared\OMT\Pavement%20and%20Geotechnical\PaveDsgnGuid\Pavement%20Design%20Spreadsheets" TargetMode="External"/><Relationship Id="rId201" Type="http://schemas.openxmlformats.org/officeDocument/2006/relationships/hyperlink" Target="file:///\\shavmhanfs1\omtoocshared\OMT\Pavement%20and%20Geotechnical\PaveDsgnGuid\Official%20Pavement%20Preservation%20Guide%20Documents\Version%20Approved%20by%20FHWA%20May%202011\MDSHA%20Integrating%20Pavement%20Preservation%20into%20Fund%2077%20Guide%20March%202011.pdf" TargetMode="External"/><Relationship Id="rId222" Type="http://schemas.openxmlformats.org/officeDocument/2006/relationships/image" Target="media/image47.jpeg"/><Relationship Id="rId243" Type="http://schemas.openxmlformats.org/officeDocument/2006/relationships/footer" Target="footer51.xml"/><Relationship Id="rId264" Type="http://schemas.openxmlformats.org/officeDocument/2006/relationships/hyperlink" Target="http://apps.roads.maryland.gov/BusinessWithSHA/bizStdsSpecs/desManualStdPub/publicationsonline/ohd/bookstd/pdf/MD-580.08.pdf" TargetMode="External"/><Relationship Id="rId285" Type="http://schemas.openxmlformats.org/officeDocument/2006/relationships/header" Target="header68.xml"/><Relationship Id="rId450" Type="http://schemas.openxmlformats.org/officeDocument/2006/relationships/image" Target="media/image68.wmf"/><Relationship Id="rId471" Type="http://schemas.openxmlformats.org/officeDocument/2006/relationships/theme" Target="theme/theme1.xml"/><Relationship Id="rId17" Type="http://schemas.openxmlformats.org/officeDocument/2006/relationships/footer" Target="footer5.xml"/><Relationship Id="rId38" Type="http://schemas.openxmlformats.org/officeDocument/2006/relationships/footer" Target="footer12.xml"/><Relationship Id="rId59" Type="http://schemas.openxmlformats.org/officeDocument/2006/relationships/footer" Target="footer17.xml"/><Relationship Id="rId103" Type="http://schemas.openxmlformats.org/officeDocument/2006/relationships/footer" Target="footer27.xml"/><Relationship Id="rId124" Type="http://schemas.openxmlformats.org/officeDocument/2006/relationships/hyperlink" Target="http://apps.roads.maryland.gov/BusinessWithSHA/bizStdsSpecs/desManualStdPub/publicationsonline/ohd/bookstd/pdf/MD-000.01.pdf" TargetMode="External"/><Relationship Id="rId310" Type="http://schemas.openxmlformats.org/officeDocument/2006/relationships/image" Target="media/image58.jpeg"/><Relationship Id="rId70" Type="http://schemas.openxmlformats.org/officeDocument/2006/relationships/hyperlink" Target="file:///N:\OMT\Pavement%20and%20Geotechnical\PAVEDSGN\Technical\PTST\PTST%20Procedures\Current%20Version\Latest%20Material%20Unit%20Costs.pdf" TargetMode="External"/><Relationship Id="rId91" Type="http://schemas.openxmlformats.org/officeDocument/2006/relationships/hyperlink" Target="file:///N:\OMT\Pavement%20and%20Geotechnical\PaveDsgnGuid\Forms\PD-01%20Condition%20Summary.xlsx" TargetMode="External"/><Relationship Id="rId145" Type="http://schemas.openxmlformats.org/officeDocument/2006/relationships/hyperlink" Target="https://www.roads.maryland.gov/mdotsha/pages/sscm.aspx?PageId=853&amp;lid=SSP" TargetMode="External"/><Relationship Id="rId166" Type="http://schemas.openxmlformats.org/officeDocument/2006/relationships/image" Target="media/image21.png"/><Relationship Id="rId187" Type="http://schemas.openxmlformats.org/officeDocument/2006/relationships/image" Target="media/image33.png"/><Relationship Id="rId331" Type="http://schemas.openxmlformats.org/officeDocument/2006/relationships/header" Target="header84.xml"/><Relationship Id="rId352" Type="http://schemas.openxmlformats.org/officeDocument/2006/relationships/footer" Target="footer78.xml"/><Relationship Id="rId373" Type="http://schemas.openxmlformats.org/officeDocument/2006/relationships/hyperlink" Target="file:///N:\OMT\Pavement%20and%20Geotechnical\PaveDsgnGuid\Reference%20Guidelines\REF-01%20-%20gINT%20V8i%20Standards.pdf" TargetMode="External"/><Relationship Id="rId394" Type="http://schemas.openxmlformats.org/officeDocument/2006/relationships/hyperlink" Target="file:///N:\OMT\Pavement%20and%20Geotechnical\PaveDsgnGuid\Pavement%20Design%20Spreadsheets\PDS-05%20-%20Family%20of%20Curves.xlsx" TargetMode="External"/><Relationship Id="rId408" Type="http://schemas.openxmlformats.org/officeDocument/2006/relationships/hyperlink" Target="file:///N:\OMT\Pavement%20and%20Geotechnical\PaveDsgnGuid\Memoformats\RPT-02%20-%20Advanced%20Geotechnical%20Memo.docx" TargetMode="External"/><Relationship Id="rId429" Type="http://schemas.openxmlformats.org/officeDocument/2006/relationships/hyperlink" Target="file:///N:\OMT\Pavement%20and%20Geotechnical\PaveDsgnGuid\Memoformats\RPT-15b%20-%20XX%20projects%20Preliminary%20Recommendations%20for%20Mother%20Contract.xlsx" TargetMode="External"/><Relationship Id="rId1" Type="http://schemas.openxmlformats.org/officeDocument/2006/relationships/customXml" Target="../customXml/item1.xml"/><Relationship Id="rId212" Type="http://schemas.openxmlformats.org/officeDocument/2006/relationships/hyperlink" Target="http://apps.roads.maryland.gov/BusinessWithSHA/bizStdsSpecs/desManualStdPub/publicationsonline/ohd/bookstd/pdf/MD-580.10.pdf" TargetMode="External"/><Relationship Id="rId233" Type="http://schemas.openxmlformats.org/officeDocument/2006/relationships/header" Target="header51.xml"/><Relationship Id="rId254" Type="http://schemas.openxmlformats.org/officeDocument/2006/relationships/header" Target="header56.xml"/><Relationship Id="rId440" Type="http://schemas.openxmlformats.org/officeDocument/2006/relationships/hyperlink" Target="file:///\\shahanfs1\omtoocshared\OMT\Pavement%20and%20Geotechnical\PaveDsgnGuid\Pavement%20Design%20Spreadsheets" TargetMode="External"/><Relationship Id="rId28" Type="http://schemas.openxmlformats.org/officeDocument/2006/relationships/header" Target="header5.xml"/><Relationship Id="rId49" Type="http://schemas.openxmlformats.org/officeDocument/2006/relationships/header" Target="header13.xml"/><Relationship Id="rId114" Type="http://schemas.openxmlformats.org/officeDocument/2006/relationships/footer" Target="footer31.xml"/><Relationship Id="rId275" Type="http://schemas.openxmlformats.org/officeDocument/2006/relationships/header" Target="header61.xml"/><Relationship Id="rId296" Type="http://schemas.openxmlformats.org/officeDocument/2006/relationships/header" Target="header75.xml"/><Relationship Id="rId300" Type="http://schemas.openxmlformats.org/officeDocument/2006/relationships/footer" Target="footer64.xml"/><Relationship Id="rId461" Type="http://schemas.openxmlformats.org/officeDocument/2006/relationships/footer" Target="footer88.xml"/><Relationship Id="rId60" Type="http://schemas.openxmlformats.org/officeDocument/2006/relationships/header" Target="header19.xml"/><Relationship Id="rId81" Type="http://schemas.openxmlformats.org/officeDocument/2006/relationships/header" Target="header22.xml"/><Relationship Id="rId135" Type="http://schemas.openxmlformats.org/officeDocument/2006/relationships/hyperlink" Target="http://en.wikipedia.org/wiki/Plasticity_(physics)" TargetMode="External"/><Relationship Id="rId156" Type="http://schemas.openxmlformats.org/officeDocument/2006/relationships/hyperlink" Target="file:///N:\OMT\Pavement%20and%20Geotechnical\PaveDsgnGuid\Pavement%20Design%20Spreadsheets\PDS-02%20-%20Traffic%20Calculations.xlsx" TargetMode="External"/><Relationship Id="rId177" Type="http://schemas.openxmlformats.org/officeDocument/2006/relationships/header" Target="header41.xml"/><Relationship Id="rId198" Type="http://schemas.openxmlformats.org/officeDocument/2006/relationships/header" Target="header45.xml"/><Relationship Id="rId321" Type="http://schemas.openxmlformats.org/officeDocument/2006/relationships/header" Target="header79.xml"/><Relationship Id="rId342" Type="http://schemas.openxmlformats.org/officeDocument/2006/relationships/hyperlink" Target="file:///\\shahanfs1\omtoocshared\OMT\Design%20Projects\DesignProjects.accdb" TargetMode="External"/><Relationship Id="rId363" Type="http://schemas.openxmlformats.org/officeDocument/2006/relationships/hyperlink" Target="file:///N:\OMT\Pavement%20and%20Geotechnical\PaveDsgnGuid\Forms\PD-07%20-%20Boring%20Request%20Checklist.docx" TargetMode="External"/><Relationship Id="rId384" Type="http://schemas.openxmlformats.org/officeDocument/2006/relationships/hyperlink" Target="file:///N:\OMT\Pavement%20and%20Geotechnical\PaveDsgnGuid\Reference%20Guidelines\REF-12%20-%20Concrete%20Distress%20Paver%20Manual.pdf" TargetMode="External"/><Relationship Id="rId419" Type="http://schemas.openxmlformats.org/officeDocument/2006/relationships/hyperlink" Target="file:///N:\OMT\Pavement%20and%20Geotechnical\PaveDsgnGuid\Memoformats\RPT-09%20-%20Example%20Soil%20Boring%20Log%20Summary%20Sheet.xlsx" TargetMode="External"/><Relationship Id="rId202" Type="http://schemas.openxmlformats.org/officeDocument/2006/relationships/header" Target="header46.xml"/><Relationship Id="rId223" Type="http://schemas.openxmlformats.org/officeDocument/2006/relationships/image" Target="media/image48.jpeg"/><Relationship Id="rId244" Type="http://schemas.openxmlformats.org/officeDocument/2006/relationships/hyperlink" Target="file:///N:\OMT\Pavement%20and%20Geotechnical\PAVEDSGN\Technical\PTST\PTST%20Procedures\Current%20Version\PTS%20Process.pdf" TargetMode="External"/><Relationship Id="rId430" Type="http://schemas.openxmlformats.org/officeDocument/2006/relationships/header" Target="header92.xml"/><Relationship Id="rId18" Type="http://schemas.openxmlformats.org/officeDocument/2006/relationships/image" Target="media/image4.png"/><Relationship Id="rId39" Type="http://schemas.openxmlformats.org/officeDocument/2006/relationships/header" Target="header8.xml"/><Relationship Id="rId265" Type="http://schemas.openxmlformats.org/officeDocument/2006/relationships/hyperlink" Target="http://apps.roads.maryland.gov/BusinessWithSHA/bizStdsSpecs/desManualStdPub/publicationsonline/ohd/bookstd/pdf/MD-580.09.pdf" TargetMode="External"/><Relationship Id="rId286" Type="http://schemas.openxmlformats.org/officeDocument/2006/relationships/header" Target="header69.xml"/><Relationship Id="rId451" Type="http://schemas.openxmlformats.org/officeDocument/2006/relationships/image" Target="media/image69.wmf"/><Relationship Id="rId50" Type="http://schemas.openxmlformats.org/officeDocument/2006/relationships/header" Target="header14.xml"/><Relationship Id="rId104" Type="http://schemas.openxmlformats.org/officeDocument/2006/relationships/header" Target="header28.xml"/><Relationship Id="rId125" Type="http://schemas.openxmlformats.org/officeDocument/2006/relationships/image" Target="media/image13.png"/><Relationship Id="rId146" Type="http://schemas.openxmlformats.org/officeDocument/2006/relationships/hyperlink" Target="http://www.fhwa.dot.gov/pavement/pub_details.cfm?id=1" TargetMode="External"/><Relationship Id="rId167" Type="http://schemas.openxmlformats.org/officeDocument/2006/relationships/image" Target="media/image22.png"/><Relationship Id="rId188" Type="http://schemas.openxmlformats.org/officeDocument/2006/relationships/image" Target="media/image34.png"/><Relationship Id="rId311" Type="http://schemas.openxmlformats.org/officeDocument/2006/relationships/image" Target="media/image59.jpeg"/><Relationship Id="rId332" Type="http://schemas.openxmlformats.org/officeDocument/2006/relationships/footer" Target="footer72.xml"/><Relationship Id="rId353" Type="http://schemas.openxmlformats.org/officeDocument/2006/relationships/header" Target="header90.xml"/><Relationship Id="rId374" Type="http://schemas.openxmlformats.org/officeDocument/2006/relationships/hyperlink" Target="file:///\\shahanfs1\omtoocshared\OMT\Pavement%20and%20Geotechnical\PaveDsgnGuid\Reference%20Guidelines\REF-02%20-%20gINT_Input_Guidelines_DRAFT.doc" TargetMode="External"/><Relationship Id="rId395" Type="http://schemas.openxmlformats.org/officeDocument/2006/relationships/hyperlink" Target="file:///N:\OMT\Pavement%20and%20Geotechnical\PaveDsgnGuid\Pavement%20Design%20Spreadsheets\PDS-06%20-%20SPT%20to%20CBR%20to%20Mr.xlsx" TargetMode="External"/><Relationship Id="rId409" Type="http://schemas.openxmlformats.org/officeDocument/2006/relationships/hyperlink" Target="file:///N:\OMT\Pavement%20and%20Geotechnical\PaveDsgnGuid\Memoformats\RPT-03%20-%20Preliminary%20Pavement%20Recommendations%20Example.docx" TargetMode="External"/><Relationship Id="rId71" Type="http://schemas.openxmlformats.org/officeDocument/2006/relationships/hyperlink" Target="file:///N:\OMT\Pavement%20and%20Geotechnical\PAVEDSGN\Technical\PTST\PTST%20Procedures\Current%20Version\Latest%20Material%20Unit%20Costs.pdf" TargetMode="External"/><Relationship Id="rId92" Type="http://schemas.openxmlformats.org/officeDocument/2006/relationships/hyperlink" Target="file:///\\shahanfs1\omtoocshared\OMT\Pavement%20and%20Geotechnical\PAVEDSGN\TestRequest%202012.accdb" TargetMode="External"/><Relationship Id="rId213" Type="http://schemas.openxmlformats.org/officeDocument/2006/relationships/hyperlink" Target="https://mde.maryland.gov/programs/water/StormwaterManagementProgram/Documents/www.mde.state.md.us/assets/document/Design%20Manual%20Chapter%205%2003%2024%202009.pdf" TargetMode="External"/><Relationship Id="rId234" Type="http://schemas.openxmlformats.org/officeDocument/2006/relationships/footer" Target="footer49.xml"/><Relationship Id="rId420" Type="http://schemas.openxmlformats.org/officeDocument/2006/relationships/hyperlink" Target="file:///N:\OMT\Pavement%20and%20Geotechnical\PaveDsgnGuid\Memoformats\RPT-10-%20Chemical%20Results.xlsx" TargetMode="External"/><Relationship Id="rId2" Type="http://schemas.openxmlformats.org/officeDocument/2006/relationships/numbering" Target="numbering.xml"/><Relationship Id="rId29" Type="http://schemas.openxmlformats.org/officeDocument/2006/relationships/footer" Target="footer9.xml"/><Relationship Id="rId255" Type="http://schemas.openxmlformats.org/officeDocument/2006/relationships/footer" Target="footer54.xml"/><Relationship Id="rId276" Type="http://schemas.openxmlformats.org/officeDocument/2006/relationships/footer" Target="footer57.xml"/><Relationship Id="rId297" Type="http://schemas.openxmlformats.org/officeDocument/2006/relationships/footer" Target="footer63.xml"/><Relationship Id="rId441" Type="http://schemas.openxmlformats.org/officeDocument/2006/relationships/header" Target="header95.xml"/><Relationship Id="rId462" Type="http://schemas.openxmlformats.org/officeDocument/2006/relationships/hyperlink" Target="http://www.nhi.fhwa.dot.gov/training/course_detail.aspx?num=FHWA-NHI-132079&amp;num=" TargetMode="External"/><Relationship Id="rId40" Type="http://schemas.openxmlformats.org/officeDocument/2006/relationships/footer" Target="footer13.xml"/><Relationship Id="rId115" Type="http://schemas.openxmlformats.org/officeDocument/2006/relationships/header" Target="header32.xml"/><Relationship Id="rId136" Type="http://schemas.openxmlformats.org/officeDocument/2006/relationships/hyperlink" Target="http://en.wikipedia.org/wiki/Elasticity_(physics)" TargetMode="External"/><Relationship Id="rId157" Type="http://schemas.openxmlformats.org/officeDocument/2006/relationships/header" Target="header38.xml"/><Relationship Id="rId178" Type="http://schemas.openxmlformats.org/officeDocument/2006/relationships/header" Target="header42.xml"/><Relationship Id="rId301" Type="http://schemas.openxmlformats.org/officeDocument/2006/relationships/hyperlink" Target="http://www.osha.gov" TargetMode="External"/><Relationship Id="rId322" Type="http://schemas.openxmlformats.org/officeDocument/2006/relationships/footer" Target="footer67.xml"/><Relationship Id="rId343" Type="http://schemas.openxmlformats.org/officeDocument/2006/relationships/header" Target="header86.xml"/><Relationship Id="rId364" Type="http://schemas.openxmlformats.org/officeDocument/2006/relationships/hyperlink" Target="file:///N:\OMT\Pavement%20and%20Geotechnical\PaveDsgnGuid\Forms\PD-08%20-%20Soil%20Survey%20Request.docx" TargetMode="External"/><Relationship Id="rId61" Type="http://schemas.openxmlformats.org/officeDocument/2006/relationships/footer" Target="footer18.xml"/><Relationship Id="rId82" Type="http://schemas.openxmlformats.org/officeDocument/2006/relationships/footer" Target="footer22.xml"/><Relationship Id="rId199" Type="http://schemas.openxmlformats.org/officeDocument/2006/relationships/footer" Target="footer43.xml"/><Relationship Id="rId203" Type="http://schemas.openxmlformats.org/officeDocument/2006/relationships/footer" Target="footer44.xml"/><Relationship Id="rId385" Type="http://schemas.openxmlformats.org/officeDocument/2006/relationships/hyperlink" Target="file:///N:\OMT\Pavement%20and%20Geotechnical\PaveDsgnGuid\Reference%20Guidelines\REF-13%20-%20Pavement%20Details.doc" TargetMode="External"/><Relationship Id="rId19" Type="http://schemas.openxmlformats.org/officeDocument/2006/relationships/image" Target="media/image5.png"/><Relationship Id="rId224" Type="http://schemas.openxmlformats.org/officeDocument/2006/relationships/image" Target="media/image49.jpeg"/><Relationship Id="rId245" Type="http://schemas.openxmlformats.org/officeDocument/2006/relationships/header" Target="header54.xml"/><Relationship Id="rId266" Type="http://schemas.openxmlformats.org/officeDocument/2006/relationships/hyperlink" Target="http://apps.roads.maryland.gov/BusinessWithSHA/bizStdsSpecs/desManualStdPub/publicationsonline/ohd/bookstd/pdf/MD-580.10.pdf" TargetMode="External"/><Relationship Id="rId287" Type="http://schemas.openxmlformats.org/officeDocument/2006/relationships/footer" Target="footer60.xml"/><Relationship Id="rId410" Type="http://schemas.openxmlformats.org/officeDocument/2006/relationships/hyperlink" Target="file:///N:\OMT\Pavement%20and%20Geotechnical\PaveDsgnGuid\Memoformats\RPT-04%20-%20Fund%2077%20Final%20Report%20Template.docx" TargetMode="External"/><Relationship Id="rId431" Type="http://schemas.openxmlformats.org/officeDocument/2006/relationships/footer" Target="footer81.xml"/><Relationship Id="rId452" Type="http://schemas.openxmlformats.org/officeDocument/2006/relationships/image" Target="media/image70.wmf"/><Relationship Id="rId30" Type="http://schemas.openxmlformats.org/officeDocument/2006/relationships/header" Target="header6.xml"/><Relationship Id="rId105" Type="http://schemas.openxmlformats.org/officeDocument/2006/relationships/footer" Target="footer28.xml"/><Relationship Id="rId126" Type="http://schemas.openxmlformats.org/officeDocument/2006/relationships/hyperlink" Target="http://en.wikipedia.org/wiki/Sieve" TargetMode="External"/><Relationship Id="rId147" Type="http://schemas.openxmlformats.org/officeDocument/2006/relationships/header" Target="header36.xml"/><Relationship Id="rId168" Type="http://schemas.openxmlformats.org/officeDocument/2006/relationships/image" Target="media/image23.png"/><Relationship Id="rId312" Type="http://schemas.openxmlformats.org/officeDocument/2006/relationships/image" Target="media/image60.jpeg"/><Relationship Id="rId333" Type="http://schemas.openxmlformats.org/officeDocument/2006/relationships/hyperlink" Target="https://www.roads.maryland.gov/mdotsha/pages/sscm.aspx?PageId=853&amp;lid=SSP" TargetMode="External"/><Relationship Id="rId354" Type="http://schemas.openxmlformats.org/officeDocument/2006/relationships/footer" Target="footer79.xml"/><Relationship Id="rId51" Type="http://schemas.openxmlformats.org/officeDocument/2006/relationships/header" Target="header15.xml"/><Relationship Id="rId72" Type="http://schemas.openxmlformats.org/officeDocument/2006/relationships/header" Target="header20.xml"/><Relationship Id="rId93" Type="http://schemas.openxmlformats.org/officeDocument/2006/relationships/hyperlink" Target="file:///N:\OMT\Pavement%20and%20Geotechnical\PaveDsgnGuid\Pavement%20Design%20Spreadsheets\PDS-03%20-%20Costs%20&amp;%20Quantities.xlsx" TargetMode="External"/><Relationship Id="rId189" Type="http://schemas.openxmlformats.org/officeDocument/2006/relationships/image" Target="media/image35.png"/><Relationship Id="rId375" Type="http://schemas.openxmlformats.org/officeDocument/2006/relationships/hyperlink" Target="file:///N:\OMT\Pavement%20and%20Geotechnical\PaveDsgnGuid\Reference%20Guidelines\REF-03%20-%20Guidelines%20for%20Selecting%20Geotextiles.pdf" TargetMode="External"/><Relationship Id="rId396" Type="http://schemas.openxmlformats.org/officeDocument/2006/relationships/hyperlink" Target="file:///N:\OMT\Pavement%20and%20Geotechnical\PaveDsgnGuid\Pavement%20Design%20Spreadsheets\PDS-07%20-%20Truck%20Factor%20Calc.xlsx" TargetMode="External"/><Relationship Id="rId3" Type="http://schemas.openxmlformats.org/officeDocument/2006/relationships/styles" Target="styles.xml"/><Relationship Id="rId214" Type="http://schemas.openxmlformats.org/officeDocument/2006/relationships/hyperlink" Target="http://apps.roads.maryland.gov/BusinessWithSHA/bizStdsSpecs/desManualStdPub/publicationsonline/ohd/bookstd/pdf/MD-580.10.pdf" TargetMode="External"/><Relationship Id="rId235" Type="http://schemas.openxmlformats.org/officeDocument/2006/relationships/hyperlink" Target="file:///N:\OMT\Pavement%20and%20Geotechnical\PaveDsgnGuid\Pavement%20Design%20Spreadsheets\PDS-03%20-%20Costs%20&amp;%20Quantities.xlsx" TargetMode="External"/><Relationship Id="rId256" Type="http://schemas.openxmlformats.org/officeDocument/2006/relationships/hyperlink" Target="http://apps.roads.maryland.gov/BusinessWithSHA/bizStdsSpecs/desManualStdPub/publicationsonline/ohd/bookstd/pdf/MD-578.03-01.pdf" TargetMode="External"/><Relationship Id="rId277" Type="http://schemas.openxmlformats.org/officeDocument/2006/relationships/header" Target="header62.xml"/><Relationship Id="rId298" Type="http://schemas.openxmlformats.org/officeDocument/2006/relationships/hyperlink" Target="http://mde.maryland.gov/programs/Water/StormwaterManagementProgram/Pages/stormwater_design.aspx" TargetMode="External"/><Relationship Id="rId400" Type="http://schemas.openxmlformats.org/officeDocument/2006/relationships/hyperlink" Target="file:///\\shahanfs1\omtoocshared\OMT\Pavement%20and%20Geotechnical\PaveDsgnGuid\Pavement%20Design%20Spreadsheets\PDS-11%20Individual%20Core%20Log.xlsm" TargetMode="External"/><Relationship Id="rId421" Type="http://schemas.openxmlformats.org/officeDocument/2006/relationships/hyperlink" Target="file:///N:\OMT\Pavement%20and%20Geotechnical\PaveDsgnGuid\Memoformats\RPT-11%20-%20Water%20Chemical%20Test.xlsx" TargetMode="External"/><Relationship Id="rId442" Type="http://schemas.openxmlformats.org/officeDocument/2006/relationships/header" Target="header96.xml"/><Relationship Id="rId463" Type="http://schemas.openxmlformats.org/officeDocument/2006/relationships/hyperlink" Target="http://www.nhi.fhwa.dot.gov/training/course_detail.aspx?num=FHWA-NHI-132079&amp;num=" TargetMode="External"/><Relationship Id="rId116" Type="http://schemas.openxmlformats.org/officeDocument/2006/relationships/footer" Target="footer32.xml"/><Relationship Id="rId137" Type="http://schemas.openxmlformats.org/officeDocument/2006/relationships/hyperlink" Target="http://en.wikipedia.org/wiki/Peat" TargetMode="External"/><Relationship Id="rId158" Type="http://schemas.openxmlformats.org/officeDocument/2006/relationships/footer" Target="footer38.xml"/><Relationship Id="rId302" Type="http://schemas.openxmlformats.org/officeDocument/2006/relationships/header" Target="header77.xml"/><Relationship Id="rId323" Type="http://schemas.openxmlformats.org/officeDocument/2006/relationships/header" Target="header80.xml"/><Relationship Id="rId344" Type="http://schemas.openxmlformats.org/officeDocument/2006/relationships/footer" Target="footer74.xml"/><Relationship Id="rId20" Type="http://schemas.openxmlformats.org/officeDocument/2006/relationships/image" Target="media/image6.png"/><Relationship Id="rId41" Type="http://schemas.openxmlformats.org/officeDocument/2006/relationships/hyperlink" Target="file:///N:\OMT\Pavement%20and%20Geotechnical\PaveDsgnGuid\Pavement%20Design%20Spreadsheets\PDS-01%20-%20PE%20Cost%20Estimate.xlsx" TargetMode="External"/><Relationship Id="rId62" Type="http://schemas.openxmlformats.org/officeDocument/2006/relationships/footer" Target="footer19.xml"/><Relationship Id="rId83" Type="http://schemas.openxmlformats.org/officeDocument/2006/relationships/hyperlink" Target="file:///N:\OMT\Pavement%20and%20Geotechnical\PaveDsgnGuid\Forms\PD-01%20Condition%20Summary.xlsx" TargetMode="External"/><Relationship Id="rId179" Type="http://schemas.openxmlformats.org/officeDocument/2006/relationships/footer" Target="footer41.xml"/><Relationship Id="rId365" Type="http://schemas.openxmlformats.org/officeDocument/2006/relationships/hyperlink" Target="file:///N:\OMT\Pavement%20and%20Geotechnical\PaveDsgnGuid\Forms\PD-08a%20-%20Soil%20Survey%20Notes.docx" TargetMode="External"/><Relationship Id="rId386" Type="http://schemas.openxmlformats.org/officeDocument/2006/relationships/hyperlink" Target="file:///N:\OMT\Pavement%20and%20Geotechnical\PaveDsgnGuid\Reference%20Guidelines\REF-14%20-%20MicroStation%20Pavement%20Details" TargetMode="External"/><Relationship Id="rId190" Type="http://schemas.openxmlformats.org/officeDocument/2006/relationships/image" Target="media/image36.png"/><Relationship Id="rId204" Type="http://schemas.openxmlformats.org/officeDocument/2006/relationships/image" Target="media/image41.emf"/><Relationship Id="rId225" Type="http://schemas.openxmlformats.org/officeDocument/2006/relationships/image" Target="media/image50.jpeg"/><Relationship Id="rId246" Type="http://schemas.openxmlformats.org/officeDocument/2006/relationships/footer" Target="footer52.xml"/><Relationship Id="rId267" Type="http://schemas.openxmlformats.org/officeDocument/2006/relationships/header" Target="header57.xml"/><Relationship Id="rId288" Type="http://schemas.openxmlformats.org/officeDocument/2006/relationships/header" Target="header70.xml"/><Relationship Id="rId411" Type="http://schemas.openxmlformats.org/officeDocument/2006/relationships/hyperlink" Target="file:///N:\OMT\Pavement%20and%20Geotechnical\PaveDsgnGuid\Memoformats\RPT-05%20-%20Final%20Pavement%20and%20Geotechnical%20Report%20Template%20-%20Non-Fund%2077.docx" TargetMode="External"/><Relationship Id="rId432" Type="http://schemas.openxmlformats.org/officeDocument/2006/relationships/image" Target="media/image64.emf"/><Relationship Id="rId453" Type="http://schemas.openxmlformats.org/officeDocument/2006/relationships/image" Target="media/image71.wmf"/><Relationship Id="rId106" Type="http://schemas.openxmlformats.org/officeDocument/2006/relationships/hyperlink" Target="https://mde.maryland.gov/programs/water/StormwaterManagementProgram/Documents/www.mde.state.md.us/assets/document/chapter4.pdf" TargetMode="External"/><Relationship Id="rId127" Type="http://schemas.openxmlformats.org/officeDocument/2006/relationships/hyperlink" Target="http://en.wikipedia.org/wiki/Gravel" TargetMode="External"/><Relationship Id="rId313" Type="http://schemas.openxmlformats.org/officeDocument/2006/relationships/image" Target="media/image61.jpeg"/><Relationship Id="rId10" Type="http://schemas.openxmlformats.org/officeDocument/2006/relationships/footer" Target="footer1.xml"/><Relationship Id="rId31" Type="http://schemas.openxmlformats.org/officeDocument/2006/relationships/footer" Target="footer10.xml"/><Relationship Id="rId52" Type="http://schemas.openxmlformats.org/officeDocument/2006/relationships/header" Target="header16.xml"/><Relationship Id="rId73" Type="http://schemas.openxmlformats.org/officeDocument/2006/relationships/footer" Target="footer20.xml"/><Relationship Id="rId94" Type="http://schemas.openxmlformats.org/officeDocument/2006/relationships/hyperlink" Target="file:///\\shahanfs1\omtoocshared\OMT\Pavement%20and%20Geotechnical\PAVEDSGN\TestRequest%202012.accdb" TargetMode="External"/><Relationship Id="rId148" Type="http://schemas.openxmlformats.org/officeDocument/2006/relationships/footer" Target="footer36.xml"/><Relationship Id="rId169" Type="http://schemas.openxmlformats.org/officeDocument/2006/relationships/image" Target="media/image24.png"/><Relationship Id="rId334" Type="http://schemas.openxmlformats.org/officeDocument/2006/relationships/hyperlink" Target="http://apps.roads.maryland.gov/BusinessWithSHA/bizStdsSpecs/desManualStdPub/publicationsonline/ohd/bookstd/index.asp" TargetMode="External"/><Relationship Id="rId355" Type="http://schemas.openxmlformats.org/officeDocument/2006/relationships/hyperlink" Target="file:///\\shahanfs1\omtoocshared\OMT\Pavement%20and%20Geotechnical\PaveDsgnGuid\Forms" TargetMode="External"/><Relationship Id="rId376" Type="http://schemas.openxmlformats.org/officeDocument/2006/relationships/hyperlink" Target="file:///N:\OMT\Pavement%20and%20Geotechnical\PaveDsgnGuid\Reference%20Guidelines\REF-04%20-%20Guidelines%20for%20Using%20Microsoft%20Excel%20Macro%20for%20laboratory%20data.doc" TargetMode="External"/><Relationship Id="rId397" Type="http://schemas.openxmlformats.org/officeDocument/2006/relationships/hyperlink" Target="file:///N:\OMT\Pavement%20and%20Geotechnical\PaveDsgnGuid\Pavement%20Design%20Spreadsheets\PDS-08%20-%20Project-Level%20RSL%20Calculation.xlsx" TargetMode="External"/><Relationship Id="rId4" Type="http://schemas.openxmlformats.org/officeDocument/2006/relationships/settings" Target="settings.xml"/><Relationship Id="rId180" Type="http://schemas.openxmlformats.org/officeDocument/2006/relationships/header" Target="header43.xml"/><Relationship Id="rId215" Type="http://schemas.openxmlformats.org/officeDocument/2006/relationships/hyperlink" Target="http://apps.roads.maryland.gov/BusinessWithSHA/bizStdsSpecs/desManualStdPub/publicationsonline/ohd/bookstd/pdf/MD-580.10.pdf" TargetMode="External"/><Relationship Id="rId236" Type="http://schemas.openxmlformats.org/officeDocument/2006/relationships/hyperlink" Target="file:///N:\OMT\Pavement%20and%20Geotechnical\PaveDsgnGuid\Pavement%20Design%20Spreadsheets\PDS-03%20-%20Costs%20&amp;%20Quantities.xlsx" TargetMode="External"/><Relationship Id="rId257" Type="http://schemas.openxmlformats.org/officeDocument/2006/relationships/hyperlink" Target="http://apps.roads.maryland.gov/BusinessWithSHA/bizStdsSpecs/desManualStdPub/publicationsonline/ohd/bookstd/pdf/MD-580.01.pdf" TargetMode="External"/><Relationship Id="rId278" Type="http://schemas.openxmlformats.org/officeDocument/2006/relationships/header" Target="header63.xml"/><Relationship Id="rId401" Type="http://schemas.openxmlformats.org/officeDocument/2006/relationships/hyperlink" Target="file:///\\shahanfs1\omtoocshared\OMT\Pavement%20and%20Geotechnical\PaveDsgnGuid\Pavement%20Design%20Spreadsheets\PDS-12%20Coordinate%20Conversion.xlsm" TargetMode="External"/><Relationship Id="rId422" Type="http://schemas.openxmlformats.org/officeDocument/2006/relationships/hyperlink" Target="file:///N:\OMT\Pavement%20and%20Geotechnical\PaveDsgnGuid\Memoformats\RPT-12a%20-%20LCCA-PTSP%20Letter%20to%20HMA%20Industry%20seeking%20input.docx" TargetMode="External"/><Relationship Id="rId443" Type="http://schemas.openxmlformats.org/officeDocument/2006/relationships/footer" Target="footer84.xml"/><Relationship Id="rId464" Type="http://schemas.openxmlformats.org/officeDocument/2006/relationships/hyperlink" Target="http://www.nhi.fhwa.dot.gov/training/course_detail.aspx?num=FHWA-NHI-132079&amp;num=" TargetMode="External"/><Relationship Id="rId303" Type="http://schemas.openxmlformats.org/officeDocument/2006/relationships/footer" Target="footer65.xml"/><Relationship Id="rId42" Type="http://schemas.openxmlformats.org/officeDocument/2006/relationships/hyperlink" Target="file:///N:\OMT\Pavement%20and%20Geotechnical\PaveDsgnGuid\Pavement%20Design%20Spreadsheets\PDS-01%20-%20PE%20Cost%20Estimate.xlsx" TargetMode="External"/><Relationship Id="rId84" Type="http://schemas.openxmlformats.org/officeDocument/2006/relationships/hyperlink" Target="file:///N:\OMT\Pavement%20and%20Geotechnical\PaveDsgnGuid\Forms\PD-01%20Condition%20Summary.xlsx" TargetMode="External"/><Relationship Id="rId138" Type="http://schemas.openxmlformats.org/officeDocument/2006/relationships/hyperlink" Target="https://www.roads.maryland.gov/mdotsha/pages/sscm.aspx?PageId=853&amp;lid=SSP" TargetMode="External"/><Relationship Id="rId345" Type="http://schemas.openxmlformats.org/officeDocument/2006/relationships/header" Target="header87.xml"/><Relationship Id="rId387" Type="http://schemas.openxmlformats.org/officeDocument/2006/relationships/hyperlink" Target="file:///N:\OMT\Pavement%20and%20Geotechnical\PAVEDSGN\Technical\LCCA\LCCA_InputsForRealCost" TargetMode="External"/><Relationship Id="rId191" Type="http://schemas.openxmlformats.org/officeDocument/2006/relationships/image" Target="media/image37.png"/><Relationship Id="rId205" Type="http://schemas.openxmlformats.org/officeDocument/2006/relationships/image" Target="media/image42.png"/><Relationship Id="rId247" Type="http://schemas.openxmlformats.org/officeDocument/2006/relationships/hyperlink" Target="http://www.engineering.pitt.edu/Vandenbossche/BCOA-ME" TargetMode="External"/><Relationship Id="rId412" Type="http://schemas.openxmlformats.org/officeDocument/2006/relationships/hyperlink" Target="file:///N:\OMT\Pavement%20and%20Geotechnical\PaveDsgnGuid\Design%20Build%20Performance%20Spec%20and%20Templates\Current%20Templates\RPT-06a%20-%20PAGD%20Cover%20Letter%20for%20DB.docx" TargetMode="External"/><Relationship Id="rId107" Type="http://schemas.openxmlformats.org/officeDocument/2006/relationships/image" Target="media/image12.png"/><Relationship Id="rId289" Type="http://schemas.openxmlformats.org/officeDocument/2006/relationships/image" Target="media/image53.jpeg"/><Relationship Id="rId454" Type="http://schemas.openxmlformats.org/officeDocument/2006/relationships/image" Target="media/image72.wmf"/><Relationship Id="rId11" Type="http://schemas.openxmlformats.org/officeDocument/2006/relationships/footer" Target="footer2.xml"/><Relationship Id="rId53" Type="http://schemas.openxmlformats.org/officeDocument/2006/relationships/hyperlink" Target="https://shaapps.shacadd.ad.mdot.mdstate/omt/pmbase/query.asp" TargetMode="External"/><Relationship Id="rId149" Type="http://schemas.openxmlformats.org/officeDocument/2006/relationships/header" Target="header37.xml"/><Relationship Id="rId314" Type="http://schemas.openxmlformats.org/officeDocument/2006/relationships/image" Target="media/image62.jpeg"/><Relationship Id="rId356" Type="http://schemas.openxmlformats.org/officeDocument/2006/relationships/hyperlink" Target="file:///N:\OMT\Pavement%20and%20Geotechnical\PaveDsgnGuid\Forms\PD-01%20Condition%20Summary.xlsx" TargetMode="External"/><Relationship Id="rId398" Type="http://schemas.openxmlformats.org/officeDocument/2006/relationships/hyperlink" Target="file:///\\shahanfs1\omtoocshared\OMT\Pavement%20and%20Geotechnical\PaveDsgnGuid\Pavement%20Design%20Spreadsheets\PDS-09%20Automated%20Project-Level%20Design%20Help%20-CD.xlsm" TargetMode="External"/><Relationship Id="rId95" Type="http://schemas.openxmlformats.org/officeDocument/2006/relationships/hyperlink" Target="file:///N:\OMT\Pavement%20and%20Geotechnical\PaveDsgnGuid\Forms\PD-06%20QCQA%20Form.docx" TargetMode="External"/><Relationship Id="rId160" Type="http://schemas.openxmlformats.org/officeDocument/2006/relationships/image" Target="media/image15.png"/><Relationship Id="rId216" Type="http://schemas.openxmlformats.org/officeDocument/2006/relationships/hyperlink" Target="https://groundwaterwatch.usgs.gov/default.asp" TargetMode="External"/><Relationship Id="rId423" Type="http://schemas.openxmlformats.org/officeDocument/2006/relationships/hyperlink" Target="file:///N:\OMT\Pavement%20and%20Geotechnical\PaveDsgnGuid\Memoformats\RPT-12p%20-%20LCCA-PTSP%20Letter%20to%20PCC%20Industry%20seeking%20input.docx" TargetMode="External"/><Relationship Id="rId258" Type="http://schemas.openxmlformats.org/officeDocument/2006/relationships/hyperlink" Target="http://apps.roads.maryland.gov/BusinessWithSHA/bizStdsSpecs/desManualStdPub/publicationsonline/ohd/bookstd/pdf/MD-580.02.pdf" TargetMode="External"/><Relationship Id="rId465" Type="http://schemas.openxmlformats.org/officeDocument/2006/relationships/hyperlink" Target="http://training.ce.washington.edu/wsdot/modules/03_materials/03-2_body.htm" TargetMode="External"/><Relationship Id="rId22" Type="http://schemas.openxmlformats.org/officeDocument/2006/relationships/footer" Target="footer6.xml"/><Relationship Id="rId64" Type="http://schemas.openxmlformats.org/officeDocument/2006/relationships/hyperlink" Target="file:///N:\OMT\Pavement%20and%20Geotechnical\PAVEDSGN\Technical\PTST\PTST%20Procedures\Current%20Version\Latest%20Material%20Unit%20Costs.pdf" TargetMode="External"/><Relationship Id="rId118" Type="http://schemas.openxmlformats.org/officeDocument/2006/relationships/footer" Target="footer33.xml"/><Relationship Id="rId325" Type="http://schemas.openxmlformats.org/officeDocument/2006/relationships/header" Target="header81.xml"/><Relationship Id="rId367" Type="http://schemas.openxmlformats.org/officeDocument/2006/relationships/hyperlink" Target="file:///N:\OMT\Pavement%20and%20Geotechnical\PaveDsgnGuid\Forms\PD-09a%20-%20SPT%20Boring%20Criteria%20Example.docx" TargetMode="External"/><Relationship Id="rId171" Type="http://schemas.openxmlformats.org/officeDocument/2006/relationships/image" Target="media/image26.png"/><Relationship Id="rId227" Type="http://schemas.openxmlformats.org/officeDocument/2006/relationships/footer" Target="footer47.xml"/><Relationship Id="rId269" Type="http://schemas.openxmlformats.org/officeDocument/2006/relationships/header" Target="header58.xml"/><Relationship Id="rId434" Type="http://schemas.openxmlformats.org/officeDocument/2006/relationships/footer" Target="footer82.xml"/><Relationship Id="rId33" Type="http://schemas.openxmlformats.org/officeDocument/2006/relationships/hyperlink" Target="file:///N:\OMT\Design%20Projects\Historical%20Core%20Data" TargetMode="External"/><Relationship Id="rId129" Type="http://schemas.openxmlformats.org/officeDocument/2006/relationships/hyperlink" Target="http://en.wikipedia.org/wiki/Silt" TargetMode="External"/><Relationship Id="rId280" Type="http://schemas.openxmlformats.org/officeDocument/2006/relationships/header" Target="header64.xml"/><Relationship Id="rId336" Type="http://schemas.openxmlformats.org/officeDocument/2006/relationships/hyperlink" Target="file:///\\shahanfs1\omtoocshared\OMT\Pavement%20and%20Geotechnical\Specifications\Specification%20Development%20Priorities.xlsx" TargetMode="External"/><Relationship Id="rId75" Type="http://schemas.openxmlformats.org/officeDocument/2006/relationships/header" Target="header21.xml"/><Relationship Id="rId140" Type="http://schemas.openxmlformats.org/officeDocument/2006/relationships/hyperlink" Target="file:///\\shahanfs1\omtoocshared\OMT\Pavement%20and%20Geotechnical\PaveDsgnGuid\Pavement%20Design%20Spreadsheets\PDS-13%20-%20Drainage%20Coefficient%20Calculations%20using%20ArcGIs.xlsx" TargetMode="External"/><Relationship Id="rId182" Type="http://schemas.openxmlformats.org/officeDocument/2006/relationships/image" Target="media/image29.png"/><Relationship Id="rId378" Type="http://schemas.openxmlformats.org/officeDocument/2006/relationships/hyperlink" Target="file:///N:\OMT\Pavement%20and%20Geotechnical\PaveDsgnGuid\Reference%20Guidelines\REF-06%20-%20Cat%20Code%20Num.xlsx" TargetMode="External"/><Relationship Id="rId403" Type="http://schemas.openxmlformats.org/officeDocument/2006/relationships/hyperlink" Target="file:///\\shahanfs1\omtoocshared\OMT\Pavement%20and%20Geotechnical\PaveDsgnGuid\Pavement%20Design%20Spreadsheets\PDS-14%20-%20Lane-Mile%20Factor%20Adjusting%20for%20Paving%20Widths.xlsx" TargetMode="External"/><Relationship Id="rId6" Type="http://schemas.openxmlformats.org/officeDocument/2006/relationships/footnotes" Target="footnotes.xml"/><Relationship Id="rId238" Type="http://schemas.openxmlformats.org/officeDocument/2006/relationships/footer" Target="footer50.xml"/><Relationship Id="rId445" Type="http://schemas.openxmlformats.org/officeDocument/2006/relationships/header" Target="header97.xml"/><Relationship Id="rId291" Type="http://schemas.openxmlformats.org/officeDocument/2006/relationships/header" Target="header72.xml"/><Relationship Id="rId305" Type="http://schemas.openxmlformats.org/officeDocument/2006/relationships/hyperlink" Target="http://www.dnr.state.md.us/" TargetMode="External"/><Relationship Id="rId347" Type="http://schemas.openxmlformats.org/officeDocument/2006/relationships/hyperlink" Target="https://www.fhwa.dot.gov/publications/research/infrastructure/pavements/ltpp/13092/13092.pdf" TargetMode="External"/><Relationship Id="rId44" Type="http://schemas.openxmlformats.org/officeDocument/2006/relationships/footer" Target="footer14.xml"/><Relationship Id="rId86" Type="http://schemas.openxmlformats.org/officeDocument/2006/relationships/header" Target="header23.xml"/><Relationship Id="rId151" Type="http://schemas.openxmlformats.org/officeDocument/2006/relationships/hyperlink" Target="file:///N:\OMT\Pavement%20and%20Geotechnical\PaveDsgnGuid\Pavement%20Design%20Spreadsheets\PDS-02%20-%20Traffic%20Calculations.xlsx" TargetMode="External"/><Relationship Id="rId389" Type="http://schemas.openxmlformats.org/officeDocument/2006/relationships/hyperlink" Target="file:///\\shahanfs1\omtoocshared\OMT\Pavement%20and%20Geotechnical\PaveDsgnGuid\Pavement%20Design%20Spreadsheets" TargetMode="External"/></Relationships>
</file>

<file path=word/_rels/footer17.xml.rels><?xml version="1.0" encoding="UTF-8" standalone="yes"?>
<Relationships xmlns="http://schemas.openxmlformats.org/package/2006/relationships"><Relationship Id="rId1" Type="http://schemas.openxmlformats.org/officeDocument/2006/relationships/image" Target="media/image10.png"/></Relationships>
</file>

<file path=word/_rels/header14.xml.rels><?xml version="1.0" encoding="UTF-8" standalone="yes"?>
<Relationships xmlns="http://schemas.openxmlformats.org/package/2006/relationships"><Relationship Id="rId1" Type="http://schemas.openxmlformats.org/officeDocument/2006/relationships/image" Target="media/image8.wmf"/></Relationships>
</file>

<file path=word/_rels/header16.xml.rels><?xml version="1.0" encoding="UTF-8" standalone="yes"?>
<Relationships xmlns="http://schemas.openxmlformats.org/package/2006/relationships"><Relationship Id="rId1" Type="http://schemas.openxmlformats.org/officeDocument/2006/relationships/image" Target="media/image8.wmf"/></Relationships>
</file>

<file path=word/_rels/header17.xml.rels><?xml version="1.0" encoding="UTF-8" standalone="yes"?>
<Relationships xmlns="http://schemas.openxmlformats.org/package/2006/relationships"><Relationship Id="rId1" Type="http://schemas.openxmlformats.org/officeDocument/2006/relationships/image" Target="media/image10.png"/></Relationships>
</file>

<file path=word/_rels/header45.xml.rels><?xml version="1.0" encoding="UTF-8" standalone="yes"?>
<Relationships xmlns="http://schemas.openxmlformats.org/package/2006/relationships"><Relationship Id="rId1" Type="http://schemas.openxmlformats.org/officeDocument/2006/relationships/image" Target="media/image8.wmf"/></Relationships>
</file>

<file path=word/_rels/header56.xml.rels><?xml version="1.0" encoding="UTF-8" standalone="yes"?>
<Relationships xmlns="http://schemas.openxmlformats.org/package/2006/relationships"><Relationship Id="rId1" Type="http://schemas.openxmlformats.org/officeDocument/2006/relationships/image" Target="media/image8.wmf"/></Relationships>
</file>

<file path=word/_rels/header59.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CB8C82D-06C9-48B8-ABD4-78915EA7C3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1002</TotalTime>
  <Pages>380</Pages>
  <Words>120310</Words>
  <Characters>685770</Characters>
  <Application>Microsoft Office Word</Application>
  <DocSecurity>8</DocSecurity>
  <Lines>5714</Lines>
  <Paragraphs>1608</Paragraphs>
  <ScaleCrop>false</ScaleCrop>
  <HeadingPairs>
    <vt:vector size="2" baseType="variant">
      <vt:variant>
        <vt:lpstr>Title</vt:lpstr>
      </vt:variant>
      <vt:variant>
        <vt:i4>1</vt:i4>
      </vt:variant>
    </vt:vector>
  </HeadingPairs>
  <TitlesOfParts>
    <vt:vector size="1" baseType="lpstr">
      <vt:lpstr>Pavement Design Guide</vt:lpstr>
    </vt:vector>
  </TitlesOfParts>
  <Company>MDOT - MDSHA</Company>
  <LinksUpToDate>false</LinksUpToDate>
  <CharactersWithSpaces>804472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Pavement Design Guide</dc:title>
  <dc:subject/>
  <dc:creator>Geoff</dc:creator>
  <cp:keywords/>
  <dc:description/>
  <cp:lastModifiedBy>Jon Porter</cp:lastModifiedBy>
  <cp:revision>201</cp:revision>
  <cp:lastPrinted>2026-01-14T14:37:00Z</cp:lastPrinted>
  <dcterms:created xsi:type="dcterms:W3CDTF">2026-02-04T18:07:00Z</dcterms:created>
  <dcterms:modified xsi:type="dcterms:W3CDTF">2026-06-16T16:31:00Z</dcterms:modified>
</cp:coreProperties>
</file>